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tbl>
      <w:tblPr>
        <w:tblW w:w="5000" w:type="pct"/>
        <w:jc w:val="right"/>
        <w:tblLayout w:type="fixed"/>
        <w:tblLook w:val="0000" w:firstRow="0" w:lastRow="0" w:firstColumn="0" w:lastColumn="0" w:noHBand="0" w:noVBand="0"/>
      </w:tblPr>
      <w:tblGrid>
        <w:gridCol w:w="1490"/>
        <w:gridCol w:w="474"/>
        <w:gridCol w:w="498"/>
        <w:gridCol w:w="834"/>
        <w:gridCol w:w="971"/>
        <w:gridCol w:w="2350"/>
        <w:gridCol w:w="695"/>
        <w:gridCol w:w="558"/>
        <w:gridCol w:w="1627"/>
      </w:tblGrid>
      <w:tr w:rsidR="00404F64" w:rsidRPr="008C00D6" w14:paraId="2B02EF9D" w14:textId="77777777" w:rsidTr="004031BD">
        <w:trPr>
          <w:cantSplit/>
          <w:trHeight w:val="1079"/>
          <w:jc w:val="right"/>
        </w:trPr>
        <w:tc>
          <w:tcPr>
            <w:tcW w:w="1526" w:type="dxa"/>
          </w:tcPr>
          <w:p w14:paraId="29D3AA58" w14:textId="77777777" w:rsidR="00404F64" w:rsidRPr="00024C14" w:rsidRDefault="00404F64" w:rsidP="004031BD">
            <w:pPr>
              <w:pStyle w:val="Normal-pool"/>
              <w:rPr>
                <w:rFonts w:ascii="Arial" w:hAnsi="Arial" w:cs="Arial"/>
                <w:b/>
                <w:sz w:val="27"/>
                <w:szCs w:val="27"/>
              </w:rPr>
            </w:pPr>
            <w:r w:rsidRPr="00024C14">
              <w:rPr>
                <w:rFonts w:ascii="Arial" w:hAnsi="Arial" w:cs="Arial"/>
                <w:b/>
                <w:noProof/>
                <w:sz w:val="27"/>
                <w:szCs w:val="27"/>
              </w:rPr>
              <w:t xml:space="preserve">UNITED </w:t>
            </w:r>
            <w:r w:rsidRPr="00024C14">
              <w:rPr>
                <w:rFonts w:ascii="Arial" w:hAnsi="Arial" w:cs="Arial"/>
                <w:b/>
                <w:noProof/>
                <w:sz w:val="27"/>
                <w:szCs w:val="27"/>
              </w:rPr>
              <w:br/>
              <w:t>NATIONS</w:t>
            </w:r>
          </w:p>
        </w:tc>
        <w:tc>
          <w:tcPr>
            <w:tcW w:w="992" w:type="dxa"/>
            <w:gridSpan w:val="2"/>
            <w:tcBorders>
              <w:left w:val="nil"/>
            </w:tcBorders>
            <w:vAlign w:val="center"/>
          </w:tcPr>
          <w:p w14:paraId="383AC1D8" w14:textId="77777777" w:rsidR="00404F64" w:rsidRPr="0081483A" w:rsidRDefault="00404F64" w:rsidP="004031BD">
            <w:pPr>
              <w:pStyle w:val="Normal-pool"/>
              <w:ind w:left="-108"/>
              <w:jc w:val="both"/>
            </w:pPr>
            <w:r>
              <w:rPr>
                <w:noProof/>
                <w:lang w:eastAsia="en-GB"/>
              </w:rPr>
              <w:drawing>
                <wp:inline distT="0" distB="0" distL="0" distR="0" wp14:anchorId="311974D4" wp14:editId="38A3C6AD">
                  <wp:extent cx="537932" cy="468923"/>
                  <wp:effectExtent l="0" t="0" r="0" b="7620"/>
                  <wp:docPr id="28" name="Picture 28" descr="Description: Description: !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UN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5429" cy="475458"/>
                          </a:xfrm>
                          <a:prstGeom prst="rect">
                            <a:avLst/>
                          </a:prstGeom>
                          <a:noFill/>
                          <a:ln>
                            <a:noFill/>
                          </a:ln>
                        </pic:spPr>
                      </pic:pic>
                    </a:graphicData>
                  </a:graphic>
                </wp:inline>
              </w:drawing>
            </w:r>
          </w:p>
        </w:tc>
        <w:tc>
          <w:tcPr>
            <w:tcW w:w="851" w:type="dxa"/>
            <w:tcBorders>
              <w:left w:val="nil"/>
            </w:tcBorders>
            <w:vAlign w:val="center"/>
          </w:tcPr>
          <w:p w14:paraId="412B4712" w14:textId="77777777" w:rsidR="00404F64" w:rsidRPr="0081483A" w:rsidRDefault="00404F64" w:rsidP="004031BD">
            <w:pPr>
              <w:pStyle w:val="Normal-pool"/>
              <w:ind w:left="-108"/>
            </w:pPr>
            <w:r>
              <w:rPr>
                <w:noProof/>
                <w:lang w:eastAsia="en-GB"/>
              </w:rPr>
              <w:drawing>
                <wp:inline distT="0" distB="0" distL="0" distR="0" wp14:anchorId="7E09B6A2" wp14:editId="55B0523F">
                  <wp:extent cx="468455" cy="492369"/>
                  <wp:effectExtent l="0" t="0" r="8255" b="3175"/>
                  <wp:docPr id="232" name="Picture 232" descr="Description: Description: !UN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UNE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6988" cy="490827"/>
                          </a:xfrm>
                          <a:prstGeom prst="rect">
                            <a:avLst/>
                          </a:prstGeom>
                          <a:noFill/>
                          <a:ln>
                            <a:noFill/>
                          </a:ln>
                        </pic:spPr>
                      </pic:pic>
                    </a:graphicData>
                  </a:graphic>
                </wp:inline>
              </w:drawing>
            </w:r>
          </w:p>
        </w:tc>
        <w:tc>
          <w:tcPr>
            <w:tcW w:w="992" w:type="dxa"/>
            <w:tcBorders>
              <w:left w:val="nil"/>
            </w:tcBorders>
            <w:vAlign w:val="center"/>
          </w:tcPr>
          <w:p w14:paraId="345261F2" w14:textId="77777777" w:rsidR="00404F64" w:rsidRPr="0081483A" w:rsidRDefault="00404F64" w:rsidP="004031BD">
            <w:pPr>
              <w:pStyle w:val="Normal-pool"/>
              <w:ind w:left="-108"/>
            </w:pPr>
            <w:r>
              <w:rPr>
                <w:noProof/>
                <w:lang w:eastAsia="en-GB"/>
              </w:rPr>
              <w:drawing>
                <wp:inline distT="0" distB="0" distL="0" distR="0" wp14:anchorId="68501C37" wp14:editId="6457684F">
                  <wp:extent cx="574431" cy="475392"/>
                  <wp:effectExtent l="0" t="0" r="0" b="1270"/>
                  <wp:docPr id="233" name="Picture 70" descr="E:\Logos\UNESCO (bl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Logos\UNESCO (black).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513" cy="474632"/>
                          </a:xfrm>
                          <a:prstGeom prst="rect">
                            <a:avLst/>
                          </a:prstGeom>
                          <a:noFill/>
                          <a:ln>
                            <a:noFill/>
                          </a:ln>
                        </pic:spPr>
                      </pic:pic>
                    </a:graphicData>
                  </a:graphic>
                </wp:inline>
              </w:drawing>
            </w:r>
          </w:p>
        </w:tc>
        <w:tc>
          <w:tcPr>
            <w:tcW w:w="2410" w:type="dxa"/>
            <w:tcBorders>
              <w:left w:val="nil"/>
            </w:tcBorders>
            <w:vAlign w:val="center"/>
          </w:tcPr>
          <w:p w14:paraId="578443AD" w14:textId="77777777" w:rsidR="00404F64" w:rsidRPr="0081483A" w:rsidRDefault="00404F64" w:rsidP="004031BD">
            <w:pPr>
              <w:pStyle w:val="Normal-pool"/>
              <w:ind w:left="-108"/>
            </w:pPr>
            <w:r>
              <w:rPr>
                <w:noProof/>
                <w:lang w:eastAsia="en-GB"/>
              </w:rPr>
              <w:drawing>
                <wp:inline distT="0" distB="0" distL="0" distR="0" wp14:anchorId="084981FC" wp14:editId="070C4783">
                  <wp:extent cx="1518138" cy="527539"/>
                  <wp:effectExtent l="0" t="0" r="6350" b="635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O_logo_3lines_en_Blac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18139" cy="527539"/>
                          </a:xfrm>
                          <a:prstGeom prst="rect">
                            <a:avLst/>
                          </a:prstGeom>
                        </pic:spPr>
                      </pic:pic>
                    </a:graphicData>
                  </a:graphic>
                </wp:inline>
              </w:drawing>
            </w:r>
          </w:p>
        </w:tc>
        <w:tc>
          <w:tcPr>
            <w:tcW w:w="708" w:type="dxa"/>
            <w:tcBorders>
              <w:left w:val="nil"/>
              <w:right w:val="nil"/>
            </w:tcBorders>
          </w:tcPr>
          <w:p w14:paraId="0825179F" w14:textId="77777777" w:rsidR="00404F64" w:rsidRPr="0081483A" w:rsidRDefault="00404F64" w:rsidP="004031BD">
            <w:pPr>
              <w:pStyle w:val="Normal-pool"/>
            </w:pPr>
            <w:r>
              <w:rPr>
                <w:noProof/>
                <w:lang w:eastAsia="en-GB"/>
              </w:rPr>
              <w:drawing>
                <wp:inline distT="0" distB="0" distL="0" distR="0" wp14:anchorId="7D203172" wp14:editId="5715DFD8">
                  <wp:extent cx="287215" cy="562232"/>
                  <wp:effectExtent l="0" t="0" r="0" b="0"/>
                  <wp:docPr id="60" name="Picture 60" descr="Description: E:\Logos\UNDP (bl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E:\Logos\UNDP (blck).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215" cy="562232"/>
                          </a:xfrm>
                          <a:prstGeom prst="rect">
                            <a:avLst/>
                          </a:prstGeom>
                          <a:noFill/>
                          <a:ln>
                            <a:noFill/>
                          </a:ln>
                        </pic:spPr>
                      </pic:pic>
                    </a:graphicData>
                  </a:graphic>
                </wp:inline>
              </w:drawing>
            </w:r>
          </w:p>
        </w:tc>
        <w:tc>
          <w:tcPr>
            <w:tcW w:w="567" w:type="dxa"/>
            <w:tcBorders>
              <w:left w:val="nil"/>
            </w:tcBorders>
            <w:vAlign w:val="center"/>
          </w:tcPr>
          <w:p w14:paraId="1207E516" w14:textId="77777777" w:rsidR="00404F64" w:rsidRPr="0081483A" w:rsidRDefault="00404F64" w:rsidP="004031BD">
            <w:pPr>
              <w:pStyle w:val="Normal-pool"/>
            </w:pPr>
          </w:p>
        </w:tc>
        <w:tc>
          <w:tcPr>
            <w:tcW w:w="1666" w:type="dxa"/>
          </w:tcPr>
          <w:p w14:paraId="53EC4AEB" w14:textId="77777777" w:rsidR="00404F64" w:rsidRPr="00024C14" w:rsidRDefault="00404F64" w:rsidP="004031BD">
            <w:pPr>
              <w:pStyle w:val="Normal-pool"/>
              <w:rPr>
                <w:rFonts w:ascii="Arial" w:hAnsi="Arial" w:cs="Arial"/>
                <w:b/>
                <w:sz w:val="64"/>
                <w:szCs w:val="64"/>
              </w:rPr>
            </w:pPr>
            <w:r w:rsidRPr="00024C14">
              <w:rPr>
                <w:rFonts w:ascii="Arial" w:hAnsi="Arial" w:cs="Arial"/>
                <w:b/>
                <w:sz w:val="64"/>
                <w:szCs w:val="64"/>
              </w:rPr>
              <w:t>BES</w:t>
            </w:r>
          </w:p>
        </w:tc>
      </w:tr>
      <w:tr w:rsidR="00404F64" w:rsidRPr="008C00D6" w14:paraId="412F3612" w14:textId="77777777" w:rsidTr="004031BD">
        <w:trPr>
          <w:cantSplit/>
          <w:trHeight w:val="282"/>
          <w:jc w:val="right"/>
        </w:trPr>
        <w:tc>
          <w:tcPr>
            <w:tcW w:w="1526" w:type="dxa"/>
            <w:tcBorders>
              <w:bottom w:val="single" w:sz="2" w:space="0" w:color="auto"/>
            </w:tcBorders>
          </w:tcPr>
          <w:p w14:paraId="2AAF3680" w14:textId="77777777" w:rsidR="00404F64" w:rsidRPr="0081483A" w:rsidRDefault="00404F64" w:rsidP="004031BD">
            <w:pPr>
              <w:pStyle w:val="Normal-pool"/>
              <w:rPr>
                <w:noProof/>
              </w:rPr>
            </w:pPr>
          </w:p>
        </w:tc>
        <w:tc>
          <w:tcPr>
            <w:tcW w:w="5953" w:type="dxa"/>
            <w:gridSpan w:val="6"/>
            <w:tcBorders>
              <w:bottom w:val="single" w:sz="2" w:space="0" w:color="auto"/>
            </w:tcBorders>
          </w:tcPr>
          <w:p w14:paraId="1ECA8586" w14:textId="77777777" w:rsidR="00404F64" w:rsidRPr="00EA5E72" w:rsidRDefault="00404F64" w:rsidP="004031BD">
            <w:pPr>
              <w:pStyle w:val="Normal-pool"/>
              <w:rPr>
                <w:sz w:val="24"/>
                <w:szCs w:val="24"/>
              </w:rPr>
            </w:pPr>
          </w:p>
        </w:tc>
        <w:tc>
          <w:tcPr>
            <w:tcW w:w="2233" w:type="dxa"/>
            <w:gridSpan w:val="2"/>
            <w:tcBorders>
              <w:bottom w:val="single" w:sz="2" w:space="0" w:color="auto"/>
            </w:tcBorders>
          </w:tcPr>
          <w:p w14:paraId="5A7121EC" w14:textId="77777777" w:rsidR="00404F64" w:rsidRPr="00EA5E72" w:rsidRDefault="00404F64" w:rsidP="004031BD">
            <w:pPr>
              <w:pStyle w:val="Normal-pool"/>
              <w:rPr>
                <w:sz w:val="24"/>
                <w:szCs w:val="24"/>
              </w:rPr>
            </w:pPr>
            <w:r w:rsidRPr="001B6CA5">
              <w:rPr>
                <w:b/>
                <w:sz w:val="24"/>
                <w:szCs w:val="24"/>
              </w:rPr>
              <w:t>IPBES</w:t>
            </w:r>
            <w:r w:rsidRPr="00024C14">
              <w:t>/</w:t>
            </w:r>
            <w:r>
              <w:t>6/INF/3/Rev.1</w:t>
            </w:r>
          </w:p>
        </w:tc>
      </w:tr>
      <w:tr w:rsidR="00404F64" w:rsidRPr="008C00D6" w14:paraId="1792CF4D" w14:textId="77777777" w:rsidTr="004031BD">
        <w:trPr>
          <w:cantSplit/>
          <w:trHeight w:val="1433"/>
          <w:jc w:val="right"/>
        </w:trPr>
        <w:tc>
          <w:tcPr>
            <w:tcW w:w="2009" w:type="dxa"/>
            <w:gridSpan w:val="2"/>
            <w:tcBorders>
              <w:top w:val="single" w:sz="2" w:space="0" w:color="auto"/>
              <w:bottom w:val="single" w:sz="24" w:space="0" w:color="auto"/>
            </w:tcBorders>
          </w:tcPr>
          <w:p w14:paraId="4B3A3A7D" w14:textId="77777777" w:rsidR="00404F64" w:rsidRPr="0081483A" w:rsidRDefault="00404F64" w:rsidP="004031BD">
            <w:pPr>
              <w:pStyle w:val="Normal-pool"/>
              <w:spacing w:before="240" w:after="240"/>
              <w:rPr>
                <w:sz w:val="28"/>
                <w:szCs w:val="28"/>
              </w:rPr>
            </w:pPr>
            <w:r>
              <w:rPr>
                <w:noProof/>
                <w:sz w:val="28"/>
                <w:szCs w:val="28"/>
                <w:lang w:eastAsia="en-GB"/>
              </w:rPr>
              <w:drawing>
                <wp:inline distT="0" distB="0" distL="0" distR="0" wp14:anchorId="7D393E00" wp14:editId="180C92B8">
                  <wp:extent cx="1111406" cy="51937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BES Logo MONO 2015-0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11406" cy="519379"/>
                          </a:xfrm>
                          <a:prstGeom prst="rect">
                            <a:avLst/>
                          </a:prstGeom>
                        </pic:spPr>
                      </pic:pic>
                    </a:graphicData>
                  </a:graphic>
                </wp:inline>
              </w:drawing>
            </w:r>
          </w:p>
        </w:tc>
        <w:tc>
          <w:tcPr>
            <w:tcW w:w="5470" w:type="dxa"/>
            <w:gridSpan w:val="5"/>
            <w:tcBorders>
              <w:top w:val="single" w:sz="2" w:space="0" w:color="auto"/>
              <w:bottom w:val="single" w:sz="24" w:space="0" w:color="auto"/>
            </w:tcBorders>
          </w:tcPr>
          <w:p w14:paraId="13E2A11C" w14:textId="77777777" w:rsidR="00404F64" w:rsidRPr="00024C14" w:rsidRDefault="00404F64" w:rsidP="004031BD">
            <w:pPr>
              <w:pStyle w:val="Normal-pool"/>
              <w:spacing w:before="120" w:after="240"/>
              <w:rPr>
                <w:rFonts w:ascii="Arial" w:hAnsi="Arial" w:cs="Arial"/>
                <w:b/>
              </w:rPr>
            </w:pPr>
            <w:r w:rsidRPr="00024C14">
              <w:rPr>
                <w:rFonts w:ascii="Arial" w:hAnsi="Arial" w:cs="Arial"/>
                <w:b/>
                <w:sz w:val="28"/>
                <w:szCs w:val="28"/>
              </w:rPr>
              <w:t>Intergovernmental Science-Policy Platform on Biodiversity and Ecosystem Services</w:t>
            </w:r>
          </w:p>
        </w:tc>
        <w:tc>
          <w:tcPr>
            <w:tcW w:w="2233" w:type="dxa"/>
            <w:gridSpan w:val="2"/>
            <w:tcBorders>
              <w:top w:val="single" w:sz="2" w:space="0" w:color="auto"/>
              <w:bottom w:val="single" w:sz="24" w:space="0" w:color="auto"/>
            </w:tcBorders>
          </w:tcPr>
          <w:p w14:paraId="784B5E86" w14:textId="77777777" w:rsidR="00404F64" w:rsidRPr="006B503A" w:rsidRDefault="00404F64" w:rsidP="004031BD">
            <w:pPr>
              <w:pStyle w:val="Normal-pool"/>
              <w:spacing w:before="120" w:after="120"/>
            </w:pPr>
            <w:r w:rsidRPr="006B503A">
              <w:t>Distr.: General</w:t>
            </w:r>
            <w:r>
              <w:t xml:space="preserve"> </w:t>
            </w:r>
            <w:r w:rsidRPr="006B503A">
              <w:br/>
            </w:r>
            <w:r>
              <w:t>22 June 2018</w:t>
            </w:r>
          </w:p>
          <w:p w14:paraId="7E763316" w14:textId="77777777" w:rsidR="00404F64" w:rsidRPr="006B503A" w:rsidRDefault="00404F64" w:rsidP="004031BD">
            <w:pPr>
              <w:pStyle w:val="Normal-pool"/>
              <w:spacing w:after="240"/>
            </w:pPr>
            <w:r w:rsidRPr="006B503A">
              <w:t>English</w:t>
            </w:r>
            <w:r>
              <w:t xml:space="preserve"> only</w:t>
            </w:r>
          </w:p>
        </w:tc>
      </w:tr>
    </w:tbl>
    <w:p w14:paraId="76277DA2" w14:textId="77777777" w:rsidR="00404F64" w:rsidRPr="00146DF4" w:rsidRDefault="00404F64" w:rsidP="00404F64">
      <w:pPr>
        <w:pStyle w:val="AATitle"/>
      </w:pPr>
      <w:r w:rsidRPr="00C358A4">
        <w:t xml:space="preserve">Plenary of the Intergovernmental Science-Policy </w:t>
      </w:r>
      <w:r w:rsidRPr="00C358A4">
        <w:br/>
      </w:r>
      <w:r w:rsidRPr="00146DF4">
        <w:t>Platform on Biodiversity and Ecosystem Services</w:t>
      </w:r>
    </w:p>
    <w:p w14:paraId="640BA6B0" w14:textId="77777777" w:rsidR="00404F64" w:rsidRPr="00861062" w:rsidRDefault="00404F64" w:rsidP="00404F64">
      <w:pPr>
        <w:pStyle w:val="AATitle"/>
      </w:pPr>
      <w:r w:rsidRPr="00146DF4">
        <w:t>Sixth session</w:t>
      </w:r>
    </w:p>
    <w:p w14:paraId="2E068B13" w14:textId="77777777" w:rsidR="00404F64" w:rsidRPr="00861062" w:rsidRDefault="00404F64" w:rsidP="00404F64">
      <w:pPr>
        <w:pStyle w:val="AATitle"/>
        <w:rPr>
          <w:b w:val="0"/>
        </w:rPr>
      </w:pPr>
      <w:r w:rsidRPr="00861062">
        <w:rPr>
          <w:b w:val="0"/>
        </w:rPr>
        <w:t>Medellin, Colombia, 1</w:t>
      </w:r>
      <w:r>
        <w:rPr>
          <w:b w:val="0"/>
        </w:rPr>
        <w:t>8</w:t>
      </w:r>
      <w:r w:rsidRPr="00861062">
        <w:rPr>
          <w:b w:val="0"/>
        </w:rPr>
        <w:t>–24 March 2018</w:t>
      </w:r>
    </w:p>
    <w:p w14:paraId="4C122946" w14:textId="77777777" w:rsidR="00404F64" w:rsidRDefault="00404F64" w:rsidP="00404F64">
      <w:pPr>
        <w:pStyle w:val="AATitle"/>
        <w:rPr>
          <w:b w:val="0"/>
        </w:rPr>
      </w:pPr>
      <w:r>
        <w:rPr>
          <w:b w:val="0"/>
        </w:rPr>
        <w:t>Agenda item 6 (a)</w:t>
      </w:r>
    </w:p>
    <w:p w14:paraId="6FC6464E" w14:textId="77777777" w:rsidR="00404F64" w:rsidRPr="002378F6" w:rsidRDefault="00404F64" w:rsidP="00404F64">
      <w:pPr>
        <w:pStyle w:val="AATitle2"/>
        <w:suppressLineNumbers/>
      </w:pPr>
      <w:r w:rsidRPr="002378F6">
        <w:t>Regional and subregional assessments of biodiversity and ecosystem services: regional and subregional assessment for Africa</w:t>
      </w:r>
      <w:r>
        <w:t xml:space="preserve"> </w:t>
      </w:r>
    </w:p>
    <w:p w14:paraId="24842369" w14:textId="77777777" w:rsidR="00404F64" w:rsidRDefault="00404F64" w:rsidP="00404F64">
      <w:pPr>
        <w:pStyle w:val="BBTitle"/>
        <w:spacing w:before="240"/>
      </w:pPr>
      <w:r>
        <w:t>Chapters of the r</w:t>
      </w:r>
      <w:r w:rsidRPr="00136756">
        <w:t>egion</w:t>
      </w:r>
      <w:r>
        <w:t>al and subregional assessment of</w:t>
      </w:r>
      <w:r w:rsidRPr="00136756">
        <w:t xml:space="preserve"> biodiversity and ecosystem services for </w:t>
      </w:r>
      <w:r>
        <w:t>Africa</w:t>
      </w:r>
    </w:p>
    <w:p w14:paraId="7C4F3D65" w14:textId="77777777" w:rsidR="00404F64" w:rsidRDefault="00404F64" w:rsidP="00404F64">
      <w:pPr>
        <w:pStyle w:val="CH2"/>
      </w:pPr>
      <w:r>
        <w:tab/>
      </w:r>
      <w:r>
        <w:tab/>
        <w:t xml:space="preserve">Note by the secretariat </w:t>
      </w:r>
    </w:p>
    <w:p w14:paraId="06F34C1F" w14:textId="77777777" w:rsidR="00404F64" w:rsidRPr="000E6824" w:rsidRDefault="00404F64" w:rsidP="00404F64">
      <w:pPr>
        <w:pStyle w:val="Normalnumber"/>
        <w:numPr>
          <w:ilvl w:val="0"/>
          <w:numId w:val="28"/>
        </w:numPr>
      </w:pPr>
      <w:r w:rsidRPr="000E6824">
        <w:t>In paragraph 2 of section III of decision IPBES-3/1, the Plenary of the Intergovernmental Science</w:t>
      </w:r>
      <w:r w:rsidRPr="000E6824">
        <w:noBreakHyphen/>
        <w:t xml:space="preserve">Policy Platform on Biodiversity and Ecosystem Services (IPBES) approved the undertaking of four regional and subregional assessments of biodiversity and ecosystem services for Africa, the Americas, Asia and the Pacific, and Europe and Central Asia (hereinafter </w:t>
      </w:r>
      <w:r>
        <w:t>referred to as</w:t>
      </w:r>
      <w:r w:rsidRPr="000E6824">
        <w:t xml:space="preserve"> regional assessments) in accordance with the procedures for the preparation of the Platform’s deliverables set out in annex I to decision IPBES-3/3, the generic scoping report for the regional assessments of biodiversity and ecosystem services set out in annex III to decision IPBES-3/1, and the scoping reports for each of the four regional assessments (decision IPBES-3/1, annexes IV–VII).</w:t>
      </w:r>
    </w:p>
    <w:p w14:paraId="3EBC01A0" w14:textId="77777777" w:rsidR="00404F64" w:rsidRPr="000E6824" w:rsidRDefault="00404F64" w:rsidP="00404F64">
      <w:pPr>
        <w:pStyle w:val="Normalnumber"/>
        <w:numPr>
          <w:ilvl w:val="0"/>
          <w:numId w:val="28"/>
        </w:numPr>
      </w:pPr>
      <w:r w:rsidRPr="002E1330">
        <w:t>In response to decision</w:t>
      </w:r>
      <w:r w:rsidRPr="00444E3A">
        <w:t xml:space="preserve"> IPBES-3/1</w:t>
      </w:r>
      <w:r w:rsidRPr="000E6824">
        <w:t xml:space="preserve">, a set of six chapters (IPBES/6/INF/3–6), together with a summary for policymakers (IPBES/6/4–7), were produced for each of the regional assessments by an expert group in accordance with the procedures for the preparation of the Platform’s deliverables for consideration by the Plenary at its sixth session. </w:t>
      </w:r>
    </w:p>
    <w:p w14:paraId="4D973216" w14:textId="77777777" w:rsidR="00404F64" w:rsidRPr="000E6824" w:rsidRDefault="00404F64" w:rsidP="00404F64">
      <w:pPr>
        <w:pStyle w:val="Normalnumber"/>
        <w:numPr>
          <w:ilvl w:val="0"/>
          <w:numId w:val="28"/>
        </w:numPr>
      </w:pPr>
      <w:r w:rsidRPr="000E6824">
        <w:t>In paragraph 4 of section IV of decision IPBES-6/1</w:t>
      </w:r>
      <w:r>
        <w:t>,</w:t>
      </w:r>
      <w:r w:rsidRPr="000E6824">
        <w:t xml:space="preserve"> the Plenary approved the summary for policymakers of the regional assessment for Africa </w:t>
      </w:r>
      <w:r>
        <w:t>(</w:t>
      </w:r>
      <w:r w:rsidRPr="000E6824">
        <w:t>IPBES/6/15/Add.1</w:t>
      </w:r>
      <w:r>
        <w:t>)</w:t>
      </w:r>
      <w:r w:rsidRPr="000E6824">
        <w:t xml:space="preserve"> and accepted the chapters</w:t>
      </w:r>
      <w:r>
        <w:t xml:space="preserve"> of the assessment</w:t>
      </w:r>
      <w:r w:rsidRPr="000E6824">
        <w:t xml:space="preserve">, </w:t>
      </w:r>
      <w:r>
        <w:t>on</w:t>
      </w:r>
      <w:r w:rsidRPr="000E6824">
        <w:t xml:space="preserve"> the understanding that the chapters would be revised </w:t>
      </w:r>
      <w:r>
        <w:t>following</w:t>
      </w:r>
      <w:r w:rsidRPr="000E6824">
        <w:t xml:space="preserve"> the sixth session as document IPBES/6/INF/3/Rev.1 </w:t>
      </w:r>
      <w:bookmarkStart w:id="0" w:name="_Hlk517270870"/>
      <w:r w:rsidRPr="000E6824">
        <w:t>to correct factual errors and to ensure consistency with the summary for policymakers as approved.</w:t>
      </w:r>
      <w:bookmarkEnd w:id="0"/>
      <w:r w:rsidRPr="003538D1">
        <w:t xml:space="preserve"> </w:t>
      </w:r>
      <w:r w:rsidRPr="000E6824">
        <w:t xml:space="preserve">The annex to the present note, which is presented without formal editing, sets out the final set of chapters </w:t>
      </w:r>
      <w:r>
        <w:t>of the assessment for Africa including</w:t>
      </w:r>
      <w:r w:rsidRPr="000E6824">
        <w:t xml:space="preserve"> their executive summaries.</w:t>
      </w:r>
    </w:p>
    <w:p w14:paraId="3C696377" w14:textId="77777777" w:rsidR="00404F64" w:rsidRPr="000E6824" w:rsidRDefault="00404F64" w:rsidP="00404F64">
      <w:pPr>
        <w:pStyle w:val="Normalnumber"/>
        <w:numPr>
          <w:ilvl w:val="0"/>
          <w:numId w:val="28"/>
        </w:numPr>
      </w:pPr>
      <w:r w:rsidRPr="00884CEC">
        <w:t>A laid</w:t>
      </w:r>
      <w:r>
        <w:t>-</w:t>
      </w:r>
      <w:r w:rsidRPr="00884CEC">
        <w:t>out version</w:t>
      </w:r>
      <w:r w:rsidRPr="000E6824">
        <w:t xml:space="preserve"> of the final regional assessment report of biodiversity and ecosystem services for Africa (including a foreword, statements from key partners, acknowledgements, a preface, the summary for policymakers, the revised chapters and annexes setting out a glossary and lists of acronyms, authors, review editors and expert reviewers) will be made available on the website of the Platform </w:t>
      </w:r>
      <w:r>
        <w:t>prior to</w:t>
      </w:r>
      <w:r w:rsidRPr="000E6824">
        <w:t xml:space="preserve"> the </w:t>
      </w:r>
      <w:r>
        <w:t>seventh session of the Plenary.</w:t>
      </w:r>
    </w:p>
    <w:p w14:paraId="32198E2B" w14:textId="77777777" w:rsidR="00404F64" w:rsidRDefault="00404F64" w:rsidP="00404F64">
      <w:pPr>
        <w:pStyle w:val="Normal-pool"/>
      </w:pPr>
      <w:r>
        <w:br w:type="page"/>
      </w:r>
    </w:p>
    <w:p w14:paraId="196FDB78" w14:textId="77777777" w:rsidR="00404F64" w:rsidRDefault="00404F64" w:rsidP="00404F64">
      <w:pPr>
        <w:pStyle w:val="ZZAnxheader"/>
      </w:pPr>
      <w:r w:rsidRPr="004D402B">
        <w:lastRenderedPageBreak/>
        <w:t>Annex</w:t>
      </w:r>
    </w:p>
    <w:p w14:paraId="734347E2" w14:textId="77777777" w:rsidR="00404F64" w:rsidRPr="003E7D8F" w:rsidRDefault="00404F64" w:rsidP="00404F64">
      <w:pPr>
        <w:pStyle w:val="ZZAnxtitle"/>
        <w:ind w:left="1260"/>
        <w:rPr>
          <w:bCs w:val="0"/>
          <w:szCs w:val="28"/>
        </w:rPr>
      </w:pPr>
      <w:r w:rsidRPr="003E7D8F">
        <w:rPr>
          <w:bCs w:val="0"/>
          <w:szCs w:val="28"/>
        </w:rPr>
        <w:t xml:space="preserve">Chapters of the regional assessment report on biodiversity and ecosystem services for </w:t>
      </w:r>
      <w:r>
        <w:rPr>
          <w:bCs w:val="0"/>
          <w:szCs w:val="28"/>
        </w:rPr>
        <w:t>Africa</w:t>
      </w:r>
      <w:r w:rsidRPr="003E7D8F">
        <w:rPr>
          <w:bCs w:val="0"/>
          <w:szCs w:val="28"/>
        </w:rPr>
        <w:t xml:space="preserve"> of the Intergovernmental Science-Policy Platform on Biodiversity and Ecosystem Services</w:t>
      </w:r>
    </w:p>
    <w:p w14:paraId="77299944" w14:textId="77777777" w:rsidR="00404F64" w:rsidRDefault="00404F64" w:rsidP="00404F64">
      <w:pPr>
        <w:pStyle w:val="ZZAnxtitle"/>
      </w:pPr>
    </w:p>
    <w:p w14:paraId="11E9C2C3" w14:textId="77777777" w:rsidR="00404F64" w:rsidRDefault="00404F64" w:rsidP="00404F64">
      <w:pPr>
        <w:pStyle w:val="ZZAnxtitle"/>
      </w:pPr>
    </w:p>
    <w:p w14:paraId="4FE16C76" w14:textId="77777777" w:rsidR="00404F64" w:rsidRDefault="00404F64" w:rsidP="00404F64">
      <w:pPr>
        <w:pStyle w:val="Normal-pool"/>
      </w:pPr>
    </w:p>
    <w:p w14:paraId="160AB87F" w14:textId="77777777" w:rsidR="00404F64" w:rsidRDefault="00404F64" w:rsidP="00404F64">
      <w:pPr>
        <w:pStyle w:val="Normal-pool"/>
      </w:pPr>
    </w:p>
    <w:p w14:paraId="34549A82" w14:textId="77777777" w:rsidR="00404F64" w:rsidRDefault="00404F64" w:rsidP="00404F64">
      <w:pPr>
        <w:pStyle w:val="Normal-pool"/>
      </w:pPr>
    </w:p>
    <w:p w14:paraId="2CB833CF" w14:textId="77777777" w:rsidR="00404F64" w:rsidRDefault="00404F64" w:rsidP="00404F64">
      <w:pPr>
        <w:pStyle w:val="Normal-pool"/>
      </w:pPr>
    </w:p>
    <w:p w14:paraId="31A86A16" w14:textId="77777777" w:rsidR="00404F64" w:rsidRDefault="00404F64" w:rsidP="00404F64">
      <w:pPr>
        <w:pStyle w:val="Normal-pool"/>
      </w:pPr>
    </w:p>
    <w:p w14:paraId="24FA9853" w14:textId="77777777" w:rsidR="00404F64" w:rsidRDefault="00404F64" w:rsidP="00404F64">
      <w:pPr>
        <w:pStyle w:val="Normal-pool"/>
      </w:pPr>
    </w:p>
    <w:p w14:paraId="3CB262D2" w14:textId="77777777" w:rsidR="00404F64" w:rsidRDefault="00404F64" w:rsidP="00404F64">
      <w:pPr>
        <w:pStyle w:val="Normal-pool"/>
      </w:pPr>
    </w:p>
    <w:p w14:paraId="2285F4BF" w14:textId="77777777" w:rsidR="00404F64" w:rsidRDefault="00404F64" w:rsidP="00404F64">
      <w:pPr>
        <w:pStyle w:val="Normal-pool"/>
      </w:pPr>
    </w:p>
    <w:p w14:paraId="080B10CB" w14:textId="77777777" w:rsidR="00404F64" w:rsidRDefault="00404F64" w:rsidP="00404F64">
      <w:pPr>
        <w:pStyle w:val="Normal-pool"/>
      </w:pPr>
    </w:p>
    <w:p w14:paraId="2B8FE136" w14:textId="77777777" w:rsidR="00404F64" w:rsidRDefault="00404F64" w:rsidP="00404F64">
      <w:pPr>
        <w:pStyle w:val="Normal-pool"/>
      </w:pPr>
    </w:p>
    <w:p w14:paraId="49BFA790" w14:textId="77777777" w:rsidR="00404F64" w:rsidRDefault="00404F64" w:rsidP="00404F64">
      <w:pPr>
        <w:pStyle w:val="Normal-pool"/>
      </w:pPr>
    </w:p>
    <w:p w14:paraId="588C1C13" w14:textId="77777777" w:rsidR="00404F64" w:rsidRDefault="00404F64" w:rsidP="00404F64">
      <w:pPr>
        <w:pStyle w:val="Normal-pool"/>
      </w:pPr>
    </w:p>
    <w:p w14:paraId="121DD9CD" w14:textId="77777777" w:rsidR="00404F64" w:rsidRDefault="00404F64" w:rsidP="00404F64">
      <w:pPr>
        <w:pStyle w:val="Normal-pool"/>
      </w:pPr>
    </w:p>
    <w:p w14:paraId="1E39393C" w14:textId="77777777" w:rsidR="00404F64" w:rsidRDefault="00404F64" w:rsidP="00404F64">
      <w:pPr>
        <w:pStyle w:val="Normal-pool"/>
      </w:pPr>
    </w:p>
    <w:p w14:paraId="14556946" w14:textId="77777777" w:rsidR="00404F64" w:rsidRDefault="00404F64" w:rsidP="00404F64">
      <w:pPr>
        <w:pStyle w:val="Normal-pool"/>
      </w:pPr>
    </w:p>
    <w:p w14:paraId="2BB457EE" w14:textId="77777777" w:rsidR="00404F64" w:rsidRDefault="00404F64" w:rsidP="00404F64">
      <w:pPr>
        <w:pStyle w:val="Normal-pool"/>
      </w:pPr>
    </w:p>
    <w:p w14:paraId="409E1376" w14:textId="77777777" w:rsidR="00404F64" w:rsidRDefault="00404F64" w:rsidP="00404F64">
      <w:pPr>
        <w:pStyle w:val="Normal-pool"/>
      </w:pPr>
    </w:p>
    <w:p w14:paraId="0B5D7315" w14:textId="77777777" w:rsidR="00404F64" w:rsidRDefault="00404F64" w:rsidP="00404F64">
      <w:pPr>
        <w:pStyle w:val="Normal-pool"/>
      </w:pPr>
    </w:p>
    <w:p w14:paraId="1B149E9C" w14:textId="77777777" w:rsidR="00404F64" w:rsidRDefault="00404F64" w:rsidP="00404F64">
      <w:pPr>
        <w:pStyle w:val="Normal-pool"/>
      </w:pPr>
    </w:p>
    <w:p w14:paraId="01158012" w14:textId="77777777" w:rsidR="00404F64" w:rsidRDefault="00404F64" w:rsidP="00404F64">
      <w:pPr>
        <w:pStyle w:val="Normal-pool"/>
      </w:pPr>
    </w:p>
    <w:p w14:paraId="30DEEB43" w14:textId="77777777" w:rsidR="00404F64" w:rsidRDefault="00404F64" w:rsidP="00404F64">
      <w:pPr>
        <w:pStyle w:val="Normal-pool"/>
      </w:pPr>
    </w:p>
    <w:p w14:paraId="72F43012" w14:textId="77777777" w:rsidR="00404F64" w:rsidRDefault="00404F64" w:rsidP="00404F64">
      <w:pPr>
        <w:pStyle w:val="Normal-pool"/>
      </w:pPr>
    </w:p>
    <w:p w14:paraId="1CE519DD" w14:textId="77777777" w:rsidR="00404F64" w:rsidRDefault="00404F64" w:rsidP="00404F64">
      <w:pPr>
        <w:pStyle w:val="Normal-pool"/>
      </w:pPr>
    </w:p>
    <w:p w14:paraId="1C1E0423" w14:textId="77777777" w:rsidR="00404F64" w:rsidRDefault="00404F64" w:rsidP="00404F64">
      <w:pPr>
        <w:pStyle w:val="Normal-pool"/>
      </w:pPr>
    </w:p>
    <w:p w14:paraId="469165D1" w14:textId="77777777" w:rsidR="00404F64" w:rsidRDefault="00404F64" w:rsidP="00404F64">
      <w:pPr>
        <w:pStyle w:val="Normal-pool"/>
      </w:pPr>
    </w:p>
    <w:p w14:paraId="52FBD81E" w14:textId="77777777" w:rsidR="00404F64" w:rsidRDefault="00404F64" w:rsidP="00404F64">
      <w:pPr>
        <w:pStyle w:val="Normal-pool"/>
      </w:pPr>
    </w:p>
    <w:p w14:paraId="229EE4E5" w14:textId="77777777" w:rsidR="00404F64" w:rsidRDefault="00404F64" w:rsidP="00404F64">
      <w:pPr>
        <w:pStyle w:val="Normal-pool"/>
      </w:pPr>
    </w:p>
    <w:p w14:paraId="44BFF18B" w14:textId="77777777" w:rsidR="00404F64" w:rsidRDefault="00404F64" w:rsidP="00404F64">
      <w:pPr>
        <w:pStyle w:val="Normal-pool"/>
      </w:pPr>
    </w:p>
    <w:p w14:paraId="12A23EDC" w14:textId="77777777" w:rsidR="00404F64" w:rsidRDefault="00404F64" w:rsidP="00404F64">
      <w:pPr>
        <w:pStyle w:val="Normal-pool"/>
      </w:pPr>
    </w:p>
    <w:p w14:paraId="75523DD5" w14:textId="77777777" w:rsidR="00404F64" w:rsidRDefault="00404F64" w:rsidP="00404F64">
      <w:pPr>
        <w:pStyle w:val="Normal-pool"/>
      </w:pPr>
    </w:p>
    <w:p w14:paraId="6F1B1242" w14:textId="77777777" w:rsidR="00404F64" w:rsidRDefault="00404F64" w:rsidP="00404F64">
      <w:pPr>
        <w:pStyle w:val="Normal-pool"/>
      </w:pPr>
    </w:p>
    <w:p w14:paraId="7C984DCE" w14:textId="77777777" w:rsidR="00404F64" w:rsidRDefault="00404F64" w:rsidP="00404F64">
      <w:pPr>
        <w:pStyle w:val="Normal-pool"/>
      </w:pPr>
    </w:p>
    <w:p w14:paraId="79EDE453" w14:textId="77777777" w:rsidR="00404F64" w:rsidRDefault="00404F64" w:rsidP="00404F64">
      <w:pPr>
        <w:pStyle w:val="Normal-pool"/>
      </w:pPr>
    </w:p>
    <w:p w14:paraId="365D342C" w14:textId="77777777" w:rsidR="00404F64" w:rsidRDefault="00404F64" w:rsidP="00404F64">
      <w:pPr>
        <w:pStyle w:val="Normal-pool"/>
      </w:pPr>
    </w:p>
    <w:p w14:paraId="30A744BE" w14:textId="77777777" w:rsidR="00404F64" w:rsidRDefault="00404F64" w:rsidP="00404F64">
      <w:pPr>
        <w:pStyle w:val="Normal-pool"/>
        <w:ind w:left="1170"/>
        <w:rPr>
          <w:b/>
        </w:rPr>
      </w:pPr>
      <w:r w:rsidRPr="00F06BC5">
        <w:rPr>
          <w:b/>
        </w:rPr>
        <w:t>Disclaimer on maps</w:t>
      </w:r>
    </w:p>
    <w:p w14:paraId="1C04EED0" w14:textId="77777777" w:rsidR="00404F64" w:rsidRDefault="00404F64" w:rsidP="00404F64">
      <w:pPr>
        <w:pStyle w:val="Normal-pool"/>
        <w:ind w:left="1170"/>
      </w:pPr>
      <w:r>
        <w:t>The designations employed and the presentation of material on the maps used in this report do not imply the expression of any opinion whatsoever on the part of the Intergovernmental Science-Policy Platform on Biodiversity and Ecosystems Services concerning the legal status of any country, territory, city or area or of its authorities, or concerning the delimitation of its frontiers or boundaries. These maps have been prepared for the sole purpose of facilitating the assessment of the broad biogeographical areas represented therein.</w:t>
      </w:r>
    </w:p>
    <w:p w14:paraId="044A6779" w14:textId="77777777" w:rsidR="00404F64" w:rsidRDefault="00404F64" w:rsidP="00404F64">
      <w:pPr>
        <w:pStyle w:val="Normal-pool"/>
      </w:pPr>
    </w:p>
    <w:p w14:paraId="3570527E" w14:textId="77777777" w:rsidR="00404F64" w:rsidRDefault="00404F64" w:rsidP="00404F64">
      <w:pPr>
        <w:pStyle w:val="Normal-pool"/>
      </w:pPr>
    </w:p>
    <w:p w14:paraId="3B673F36" w14:textId="77777777" w:rsidR="00455669" w:rsidRDefault="00455669">
      <w:pPr>
        <w:rPr>
          <w:rFonts w:ascii="Times New Roman" w:hAnsi="Times New Roman" w:cs="Times New Roman"/>
          <w:color w:val="auto"/>
          <w:sz w:val="20"/>
          <w:szCs w:val="20"/>
        </w:rPr>
        <w:sectPr w:rsidR="00455669" w:rsidSect="00455669">
          <w:headerReference w:type="even" r:id="rId17"/>
          <w:headerReference w:type="default" r:id="rId18"/>
          <w:footerReference w:type="default" r:id="rId19"/>
          <w:headerReference w:type="first" r:id="rId20"/>
          <w:footerReference w:type="first" r:id="rId21"/>
          <w:pgSz w:w="11907" w:h="16839"/>
          <w:pgMar w:top="907" w:right="992" w:bottom="1418" w:left="1418" w:header="0" w:footer="142" w:gutter="0"/>
          <w:pgNumType w:start="1"/>
          <w:cols w:space="720"/>
        </w:sectPr>
      </w:pPr>
    </w:p>
    <w:sdt>
      <w:sdtPr>
        <w:rPr>
          <w:rFonts w:ascii="Times New Roman" w:eastAsia="Calibri" w:hAnsi="Times New Roman" w:cs="Times New Roman"/>
          <w:color w:val="000000"/>
          <w:sz w:val="28"/>
          <w:szCs w:val="28"/>
          <w:lang w:val="en-GB" w:eastAsia="en-ZA"/>
        </w:rPr>
        <w:id w:val="-1031404376"/>
        <w:docPartObj>
          <w:docPartGallery w:val="Table of Contents"/>
          <w:docPartUnique/>
        </w:docPartObj>
      </w:sdtPr>
      <w:sdtEndPr>
        <w:rPr>
          <w:rFonts w:eastAsia="Times New Roman"/>
          <w:noProof/>
          <w:color w:val="auto"/>
          <w:sz w:val="20"/>
          <w:szCs w:val="20"/>
          <w:lang w:eastAsia="en-US"/>
        </w:rPr>
      </w:sdtEndPr>
      <w:sdtContent>
        <w:sdt>
          <w:sdtPr>
            <w:rPr>
              <w:rFonts w:ascii="Times New Roman" w:eastAsia="Calibri" w:hAnsi="Times New Roman" w:cs="Times New Roman"/>
              <w:noProof/>
              <w:color w:val="000000"/>
              <w:sz w:val="28"/>
              <w:szCs w:val="28"/>
              <w:lang w:val="en-GB" w:eastAsia="en-ZA"/>
            </w:rPr>
            <w:id w:val="1391310394"/>
            <w:docPartObj>
              <w:docPartGallery w:val="Table of Contents"/>
              <w:docPartUnique/>
            </w:docPartObj>
          </w:sdtPr>
          <w:sdtEndPr>
            <w:rPr>
              <w:rFonts w:eastAsiaTheme="minorEastAsia"/>
              <w:b/>
              <w:bCs/>
              <w:color w:val="auto"/>
              <w:sz w:val="20"/>
              <w:szCs w:val="20"/>
              <w:lang w:val="en-US" w:eastAsia="en-US"/>
            </w:rPr>
          </w:sdtEndPr>
          <w:sdtContent>
            <w:p w14:paraId="76784B41" w14:textId="77777777" w:rsidR="004451B4" w:rsidRPr="00655E1C" w:rsidRDefault="00146914" w:rsidP="00146914">
              <w:pPr>
                <w:pStyle w:val="TOCHeading"/>
                <w:rPr>
                  <w:rFonts w:ascii="Times New Roman" w:hAnsi="Times New Roman" w:cs="Times New Roman"/>
                  <w:b/>
                  <w:color w:val="auto"/>
                  <w:sz w:val="28"/>
                  <w:szCs w:val="28"/>
                </w:rPr>
              </w:pPr>
              <w:r w:rsidRPr="00655E1C">
                <w:rPr>
                  <w:rFonts w:ascii="Times New Roman" w:hAnsi="Times New Roman" w:cs="Times New Roman"/>
                  <w:b/>
                  <w:color w:val="auto"/>
                  <w:sz w:val="28"/>
                  <w:szCs w:val="28"/>
                </w:rPr>
                <w:t>Table of Contents</w:t>
              </w:r>
            </w:p>
            <w:p w14:paraId="696447CF" w14:textId="6557CC3B" w:rsidR="00DA6432" w:rsidRDefault="00146914">
              <w:pPr>
                <w:pStyle w:val="TOC1"/>
                <w:rPr>
                  <w:rFonts w:asciiTheme="minorHAnsi" w:hAnsiTheme="minorHAnsi" w:cstheme="minorBidi"/>
                  <w:sz w:val="22"/>
                  <w:szCs w:val="22"/>
                </w:rPr>
              </w:pPr>
              <w:r w:rsidRPr="00E54335">
                <w:rPr>
                  <w:sz w:val="20"/>
                  <w:szCs w:val="20"/>
                </w:rPr>
                <w:fldChar w:fldCharType="begin"/>
              </w:r>
              <w:r w:rsidRPr="00E54335">
                <w:rPr>
                  <w:sz w:val="20"/>
                  <w:szCs w:val="20"/>
                </w:rPr>
                <w:instrText xml:space="preserve"> TOC \o "1-3" \h \z \u </w:instrText>
              </w:r>
              <w:r w:rsidRPr="00E54335">
                <w:rPr>
                  <w:sz w:val="20"/>
                  <w:szCs w:val="20"/>
                </w:rPr>
                <w:fldChar w:fldCharType="separate"/>
              </w:r>
              <w:hyperlink w:anchor="_Toc519499755" w:history="1">
                <w:r w:rsidR="00DA6432" w:rsidRPr="004C4CA6">
                  <w:rPr>
                    <w:rStyle w:val="Hyperlink"/>
                  </w:rPr>
                  <w:t>Chapter 1: Setting the scene</w:t>
                </w:r>
                <w:r w:rsidR="00DA6432">
                  <w:rPr>
                    <w:webHidden/>
                  </w:rPr>
                  <w:tab/>
                </w:r>
                <w:r w:rsidR="00DA6432">
                  <w:rPr>
                    <w:webHidden/>
                  </w:rPr>
                  <w:fldChar w:fldCharType="begin"/>
                </w:r>
                <w:r w:rsidR="00DA6432">
                  <w:rPr>
                    <w:webHidden/>
                  </w:rPr>
                  <w:instrText xml:space="preserve"> PAGEREF _Toc519499755 \h </w:instrText>
                </w:r>
                <w:r w:rsidR="00DA6432">
                  <w:rPr>
                    <w:webHidden/>
                  </w:rPr>
                </w:r>
                <w:r w:rsidR="00DA6432">
                  <w:rPr>
                    <w:webHidden/>
                  </w:rPr>
                  <w:fldChar w:fldCharType="separate"/>
                </w:r>
                <w:r w:rsidR="00DA6432">
                  <w:rPr>
                    <w:webHidden/>
                  </w:rPr>
                  <w:t>12</w:t>
                </w:r>
                <w:r w:rsidR="00DA6432">
                  <w:rPr>
                    <w:webHidden/>
                  </w:rPr>
                  <w:fldChar w:fldCharType="end"/>
                </w:r>
              </w:hyperlink>
            </w:p>
            <w:p w14:paraId="4723C3E3" w14:textId="29B0213A" w:rsidR="00DA6432" w:rsidRDefault="00DA6432">
              <w:pPr>
                <w:pStyle w:val="TOC3"/>
                <w:rPr>
                  <w:rFonts w:asciiTheme="minorHAnsi" w:eastAsiaTheme="minorEastAsia" w:hAnsiTheme="minorHAnsi" w:cstheme="minorBidi"/>
                  <w:noProof/>
                  <w:color w:val="auto"/>
                  <w:lang w:val="en-US" w:eastAsia="en-US"/>
                </w:rPr>
              </w:pPr>
              <w:hyperlink w:anchor="_Toc519499756" w:history="1">
                <w:r w:rsidRPr="004C4CA6">
                  <w:rPr>
                    <w:rStyle w:val="Hyperlink"/>
                    <w:rFonts w:cs="Times New Roman"/>
                    <w:noProof/>
                  </w:rPr>
                  <w:t>Executive Summary</w:t>
                </w:r>
                <w:r>
                  <w:rPr>
                    <w:noProof/>
                    <w:webHidden/>
                  </w:rPr>
                  <w:tab/>
                </w:r>
                <w:r>
                  <w:rPr>
                    <w:noProof/>
                    <w:webHidden/>
                  </w:rPr>
                  <w:fldChar w:fldCharType="begin"/>
                </w:r>
                <w:r>
                  <w:rPr>
                    <w:noProof/>
                    <w:webHidden/>
                  </w:rPr>
                  <w:instrText xml:space="preserve"> PAGEREF _Toc519499756 \h </w:instrText>
                </w:r>
                <w:r>
                  <w:rPr>
                    <w:noProof/>
                    <w:webHidden/>
                  </w:rPr>
                </w:r>
                <w:r>
                  <w:rPr>
                    <w:noProof/>
                    <w:webHidden/>
                  </w:rPr>
                  <w:fldChar w:fldCharType="separate"/>
                </w:r>
                <w:r>
                  <w:rPr>
                    <w:noProof/>
                    <w:webHidden/>
                  </w:rPr>
                  <w:t>13</w:t>
                </w:r>
                <w:r>
                  <w:rPr>
                    <w:noProof/>
                    <w:webHidden/>
                  </w:rPr>
                  <w:fldChar w:fldCharType="end"/>
                </w:r>
              </w:hyperlink>
            </w:p>
            <w:p w14:paraId="421EC6B0" w14:textId="2ACBEBD3" w:rsidR="00DA6432" w:rsidRDefault="00DA6432">
              <w:pPr>
                <w:pStyle w:val="TOC3"/>
                <w:rPr>
                  <w:rFonts w:asciiTheme="minorHAnsi" w:eastAsiaTheme="minorEastAsia" w:hAnsiTheme="minorHAnsi" w:cstheme="minorBidi"/>
                  <w:noProof/>
                  <w:color w:val="auto"/>
                  <w:lang w:val="en-US" w:eastAsia="en-US"/>
                </w:rPr>
              </w:pPr>
              <w:hyperlink w:anchor="_Toc519499757" w:history="1">
                <w:r w:rsidRPr="004C4CA6">
                  <w:rPr>
                    <w:rStyle w:val="Hyperlink"/>
                    <w:rFonts w:cs="Times New Roman"/>
                    <w:noProof/>
                  </w:rPr>
                  <w:t>1.1</w:t>
                </w:r>
                <w:r>
                  <w:rPr>
                    <w:rFonts w:asciiTheme="minorHAnsi" w:eastAsiaTheme="minorEastAsia" w:hAnsiTheme="minorHAnsi" w:cstheme="minorBidi"/>
                    <w:noProof/>
                    <w:color w:val="auto"/>
                    <w:lang w:val="en-US" w:eastAsia="en-US"/>
                  </w:rPr>
                  <w:tab/>
                </w:r>
                <w:r w:rsidRPr="004C4CA6">
                  <w:rPr>
                    <w:rStyle w:val="Hyperlink"/>
                    <w:rFonts w:cs="Times New Roman"/>
                    <w:noProof/>
                  </w:rPr>
                  <w:t>Introduction</w:t>
                </w:r>
                <w:r>
                  <w:rPr>
                    <w:noProof/>
                    <w:webHidden/>
                  </w:rPr>
                  <w:tab/>
                </w:r>
                <w:r>
                  <w:rPr>
                    <w:noProof/>
                    <w:webHidden/>
                  </w:rPr>
                  <w:fldChar w:fldCharType="begin"/>
                </w:r>
                <w:r>
                  <w:rPr>
                    <w:noProof/>
                    <w:webHidden/>
                  </w:rPr>
                  <w:instrText xml:space="preserve"> PAGEREF _Toc519499757 \h </w:instrText>
                </w:r>
                <w:r>
                  <w:rPr>
                    <w:noProof/>
                    <w:webHidden/>
                  </w:rPr>
                </w:r>
                <w:r>
                  <w:rPr>
                    <w:noProof/>
                    <w:webHidden/>
                  </w:rPr>
                  <w:fldChar w:fldCharType="separate"/>
                </w:r>
                <w:r>
                  <w:rPr>
                    <w:noProof/>
                    <w:webHidden/>
                  </w:rPr>
                  <w:t>14</w:t>
                </w:r>
                <w:r>
                  <w:rPr>
                    <w:noProof/>
                    <w:webHidden/>
                  </w:rPr>
                  <w:fldChar w:fldCharType="end"/>
                </w:r>
              </w:hyperlink>
            </w:p>
            <w:p w14:paraId="31B92501" w14:textId="2440274F"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58" w:history="1">
                <w:r w:rsidRPr="004C4CA6">
                  <w:rPr>
                    <w:rStyle w:val="Hyperlink"/>
                  </w:rPr>
                  <w:t>1.1.1</w:t>
                </w:r>
                <w:r>
                  <w:rPr>
                    <w:rFonts w:asciiTheme="minorHAnsi" w:eastAsiaTheme="minorEastAsia" w:hAnsiTheme="minorHAnsi" w:cstheme="minorBidi"/>
                    <w:sz w:val="22"/>
                    <w:szCs w:val="22"/>
                    <w:lang w:val="en-US" w:eastAsia="en-US"/>
                  </w:rPr>
                  <w:tab/>
                </w:r>
                <w:r w:rsidRPr="004C4CA6">
                  <w:rPr>
                    <w:rStyle w:val="Hyperlink"/>
                  </w:rPr>
                  <w:t>Purpose and scope of this assessment</w:t>
                </w:r>
                <w:r>
                  <w:rPr>
                    <w:webHidden/>
                  </w:rPr>
                  <w:tab/>
                </w:r>
                <w:r>
                  <w:rPr>
                    <w:webHidden/>
                  </w:rPr>
                  <w:fldChar w:fldCharType="begin"/>
                </w:r>
                <w:r>
                  <w:rPr>
                    <w:webHidden/>
                  </w:rPr>
                  <w:instrText xml:space="preserve"> PAGEREF _Toc519499758 \h </w:instrText>
                </w:r>
                <w:r>
                  <w:rPr>
                    <w:webHidden/>
                  </w:rPr>
                </w:r>
                <w:r>
                  <w:rPr>
                    <w:webHidden/>
                  </w:rPr>
                  <w:fldChar w:fldCharType="separate"/>
                </w:r>
                <w:r>
                  <w:rPr>
                    <w:webHidden/>
                  </w:rPr>
                  <w:t>14</w:t>
                </w:r>
                <w:r>
                  <w:rPr>
                    <w:webHidden/>
                  </w:rPr>
                  <w:fldChar w:fldCharType="end"/>
                </w:r>
              </w:hyperlink>
            </w:p>
            <w:p w14:paraId="26CD73C0" w14:textId="46BDEAFB"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59" w:history="1">
                <w:r w:rsidRPr="004C4CA6">
                  <w:rPr>
                    <w:rStyle w:val="Hyperlink"/>
                  </w:rPr>
                  <w:t>1.1.2</w:t>
                </w:r>
                <w:r>
                  <w:rPr>
                    <w:rFonts w:asciiTheme="minorHAnsi" w:eastAsiaTheme="minorEastAsia" w:hAnsiTheme="minorHAnsi" w:cstheme="minorBidi"/>
                    <w:sz w:val="22"/>
                    <w:szCs w:val="22"/>
                    <w:lang w:val="en-US" w:eastAsia="en-US"/>
                  </w:rPr>
                  <w:tab/>
                </w:r>
                <w:r w:rsidRPr="004C4CA6">
                  <w:rPr>
                    <w:rStyle w:val="Hyperlink"/>
                  </w:rPr>
                  <w:t>Background on Biodiversity and Ecosystem Services</w:t>
                </w:r>
                <w:r>
                  <w:rPr>
                    <w:webHidden/>
                  </w:rPr>
                  <w:tab/>
                </w:r>
                <w:r>
                  <w:rPr>
                    <w:webHidden/>
                  </w:rPr>
                  <w:fldChar w:fldCharType="begin"/>
                </w:r>
                <w:r>
                  <w:rPr>
                    <w:webHidden/>
                  </w:rPr>
                  <w:instrText xml:space="preserve"> PAGEREF _Toc519499759 \h </w:instrText>
                </w:r>
                <w:r>
                  <w:rPr>
                    <w:webHidden/>
                  </w:rPr>
                </w:r>
                <w:r>
                  <w:rPr>
                    <w:webHidden/>
                  </w:rPr>
                  <w:fldChar w:fldCharType="separate"/>
                </w:r>
                <w:r>
                  <w:rPr>
                    <w:webHidden/>
                  </w:rPr>
                  <w:t>16</w:t>
                </w:r>
                <w:r>
                  <w:rPr>
                    <w:webHidden/>
                  </w:rPr>
                  <w:fldChar w:fldCharType="end"/>
                </w:r>
              </w:hyperlink>
            </w:p>
            <w:p w14:paraId="32DE652B" w14:textId="1293F46F"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60" w:history="1">
                <w:r w:rsidRPr="004C4CA6">
                  <w:rPr>
                    <w:rStyle w:val="Hyperlink"/>
                  </w:rPr>
                  <w:t>1.1.3</w:t>
                </w:r>
                <w:r>
                  <w:rPr>
                    <w:rFonts w:asciiTheme="minorHAnsi" w:eastAsiaTheme="minorEastAsia" w:hAnsiTheme="minorHAnsi" w:cstheme="minorBidi"/>
                    <w:sz w:val="22"/>
                    <w:szCs w:val="22"/>
                    <w:lang w:val="en-US" w:eastAsia="en-US"/>
                  </w:rPr>
                  <w:tab/>
                </w:r>
                <w:r w:rsidRPr="004C4CA6">
                  <w:rPr>
                    <w:rStyle w:val="Hyperlink"/>
                  </w:rPr>
                  <w:t>Global importance and uniqueness of biodiversity in Africa</w:t>
                </w:r>
                <w:r>
                  <w:rPr>
                    <w:webHidden/>
                  </w:rPr>
                  <w:tab/>
                </w:r>
                <w:r>
                  <w:rPr>
                    <w:webHidden/>
                  </w:rPr>
                  <w:fldChar w:fldCharType="begin"/>
                </w:r>
                <w:r>
                  <w:rPr>
                    <w:webHidden/>
                  </w:rPr>
                  <w:instrText xml:space="preserve"> PAGEREF _Toc519499760 \h </w:instrText>
                </w:r>
                <w:r>
                  <w:rPr>
                    <w:webHidden/>
                  </w:rPr>
                </w:r>
                <w:r>
                  <w:rPr>
                    <w:webHidden/>
                  </w:rPr>
                  <w:fldChar w:fldCharType="separate"/>
                </w:r>
                <w:r>
                  <w:rPr>
                    <w:webHidden/>
                  </w:rPr>
                  <w:t>18</w:t>
                </w:r>
                <w:r>
                  <w:rPr>
                    <w:webHidden/>
                  </w:rPr>
                  <w:fldChar w:fldCharType="end"/>
                </w:r>
              </w:hyperlink>
            </w:p>
            <w:p w14:paraId="18DBE2FD" w14:textId="1054DAB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61" w:history="1">
                <w:r w:rsidRPr="004C4CA6">
                  <w:rPr>
                    <w:rStyle w:val="Hyperlink"/>
                  </w:rPr>
                  <w:t>1.1.4</w:t>
                </w:r>
                <w:r>
                  <w:rPr>
                    <w:rFonts w:asciiTheme="minorHAnsi" w:eastAsiaTheme="minorEastAsia" w:hAnsiTheme="minorHAnsi" w:cstheme="minorBidi"/>
                    <w:sz w:val="22"/>
                    <w:szCs w:val="22"/>
                    <w:lang w:val="en-US" w:eastAsia="en-US"/>
                  </w:rPr>
                  <w:tab/>
                </w:r>
                <w:r w:rsidRPr="004C4CA6">
                  <w:rPr>
                    <w:rStyle w:val="Hyperlink"/>
                  </w:rPr>
                  <w:t>Links between biodiversity and ecosystem services, and human well-being in Africa</w:t>
                </w:r>
                <w:r>
                  <w:rPr>
                    <w:webHidden/>
                  </w:rPr>
                  <w:tab/>
                </w:r>
                <w:r>
                  <w:rPr>
                    <w:webHidden/>
                  </w:rPr>
                  <w:fldChar w:fldCharType="begin"/>
                </w:r>
                <w:r>
                  <w:rPr>
                    <w:webHidden/>
                  </w:rPr>
                  <w:instrText xml:space="preserve"> PAGEREF _Toc519499761 \h </w:instrText>
                </w:r>
                <w:r>
                  <w:rPr>
                    <w:webHidden/>
                  </w:rPr>
                </w:r>
                <w:r>
                  <w:rPr>
                    <w:webHidden/>
                  </w:rPr>
                  <w:fldChar w:fldCharType="separate"/>
                </w:r>
                <w:r>
                  <w:rPr>
                    <w:webHidden/>
                  </w:rPr>
                  <w:t>21</w:t>
                </w:r>
                <w:r>
                  <w:rPr>
                    <w:webHidden/>
                  </w:rPr>
                  <w:fldChar w:fldCharType="end"/>
                </w:r>
              </w:hyperlink>
            </w:p>
            <w:p w14:paraId="469FB882" w14:textId="2301935E" w:rsidR="00DA6432" w:rsidRDefault="00DA6432">
              <w:pPr>
                <w:pStyle w:val="TOC3"/>
                <w:rPr>
                  <w:rFonts w:asciiTheme="minorHAnsi" w:eastAsiaTheme="minorEastAsia" w:hAnsiTheme="minorHAnsi" w:cstheme="minorBidi"/>
                  <w:noProof/>
                  <w:color w:val="auto"/>
                  <w:lang w:val="en-US" w:eastAsia="en-US"/>
                </w:rPr>
              </w:pPr>
              <w:hyperlink w:anchor="_Toc519499762" w:history="1">
                <w:r w:rsidRPr="004C4CA6">
                  <w:rPr>
                    <w:rStyle w:val="Hyperlink"/>
                    <w:rFonts w:cs="Times New Roman"/>
                    <w:noProof/>
                  </w:rPr>
                  <w:t>1.2</w:t>
                </w:r>
                <w:r>
                  <w:rPr>
                    <w:rFonts w:asciiTheme="minorHAnsi" w:eastAsiaTheme="minorEastAsia" w:hAnsiTheme="minorHAnsi" w:cstheme="minorBidi"/>
                    <w:noProof/>
                    <w:color w:val="auto"/>
                    <w:lang w:val="en-US" w:eastAsia="en-US"/>
                  </w:rPr>
                  <w:tab/>
                </w:r>
                <w:r w:rsidRPr="004C4CA6">
                  <w:rPr>
                    <w:rStyle w:val="Hyperlink"/>
                    <w:rFonts w:cs="Times New Roman"/>
                    <w:noProof/>
                  </w:rPr>
                  <w:t>Methodology</w:t>
                </w:r>
                <w:r>
                  <w:rPr>
                    <w:noProof/>
                    <w:webHidden/>
                  </w:rPr>
                  <w:tab/>
                </w:r>
                <w:r>
                  <w:rPr>
                    <w:noProof/>
                    <w:webHidden/>
                  </w:rPr>
                  <w:fldChar w:fldCharType="begin"/>
                </w:r>
                <w:r>
                  <w:rPr>
                    <w:noProof/>
                    <w:webHidden/>
                  </w:rPr>
                  <w:instrText xml:space="preserve"> PAGEREF _Toc519499762 \h </w:instrText>
                </w:r>
                <w:r>
                  <w:rPr>
                    <w:noProof/>
                    <w:webHidden/>
                  </w:rPr>
                </w:r>
                <w:r>
                  <w:rPr>
                    <w:noProof/>
                    <w:webHidden/>
                  </w:rPr>
                  <w:fldChar w:fldCharType="separate"/>
                </w:r>
                <w:r>
                  <w:rPr>
                    <w:noProof/>
                    <w:webHidden/>
                  </w:rPr>
                  <w:t>21</w:t>
                </w:r>
                <w:r>
                  <w:rPr>
                    <w:noProof/>
                    <w:webHidden/>
                  </w:rPr>
                  <w:fldChar w:fldCharType="end"/>
                </w:r>
              </w:hyperlink>
            </w:p>
            <w:p w14:paraId="787640B2" w14:textId="3E42EBAB"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63" w:history="1">
                <w:r w:rsidRPr="004C4CA6">
                  <w:rPr>
                    <w:rStyle w:val="Hyperlink"/>
                  </w:rPr>
                  <w:t>1.2.1</w:t>
                </w:r>
                <w:r>
                  <w:rPr>
                    <w:rFonts w:asciiTheme="minorHAnsi" w:eastAsiaTheme="minorEastAsia" w:hAnsiTheme="minorHAnsi" w:cstheme="minorBidi"/>
                    <w:sz w:val="22"/>
                    <w:szCs w:val="22"/>
                    <w:lang w:val="en-US" w:eastAsia="en-US"/>
                  </w:rPr>
                  <w:tab/>
                </w:r>
                <w:r w:rsidRPr="004C4CA6">
                  <w:rPr>
                    <w:rStyle w:val="Hyperlink"/>
                  </w:rPr>
                  <w:t>Basic methods and approaches used in the assessment</w:t>
                </w:r>
                <w:r>
                  <w:rPr>
                    <w:webHidden/>
                  </w:rPr>
                  <w:tab/>
                </w:r>
                <w:r>
                  <w:rPr>
                    <w:webHidden/>
                  </w:rPr>
                  <w:fldChar w:fldCharType="begin"/>
                </w:r>
                <w:r>
                  <w:rPr>
                    <w:webHidden/>
                  </w:rPr>
                  <w:instrText xml:space="preserve"> PAGEREF _Toc519499763 \h </w:instrText>
                </w:r>
                <w:r>
                  <w:rPr>
                    <w:webHidden/>
                  </w:rPr>
                </w:r>
                <w:r>
                  <w:rPr>
                    <w:webHidden/>
                  </w:rPr>
                  <w:fldChar w:fldCharType="separate"/>
                </w:r>
                <w:r>
                  <w:rPr>
                    <w:webHidden/>
                  </w:rPr>
                  <w:t>21</w:t>
                </w:r>
                <w:r>
                  <w:rPr>
                    <w:webHidden/>
                  </w:rPr>
                  <w:fldChar w:fldCharType="end"/>
                </w:r>
              </w:hyperlink>
            </w:p>
            <w:p w14:paraId="6B9CD4F6" w14:textId="0B529D27"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64" w:history="1">
                <w:r w:rsidRPr="004C4CA6">
                  <w:rPr>
                    <w:rStyle w:val="Hyperlink"/>
                  </w:rPr>
                  <w:t>1.2.2</w:t>
                </w:r>
                <w:r>
                  <w:rPr>
                    <w:rFonts w:asciiTheme="minorHAnsi" w:eastAsiaTheme="minorEastAsia" w:hAnsiTheme="minorHAnsi" w:cstheme="minorBidi"/>
                    <w:sz w:val="22"/>
                    <w:szCs w:val="22"/>
                    <w:lang w:val="en-US" w:eastAsia="en-US"/>
                  </w:rPr>
                  <w:tab/>
                </w:r>
                <w:r w:rsidRPr="004C4CA6">
                  <w:rPr>
                    <w:rStyle w:val="Hyperlink"/>
                  </w:rPr>
                  <w:t>Indicators</w:t>
                </w:r>
                <w:r>
                  <w:rPr>
                    <w:webHidden/>
                  </w:rPr>
                  <w:tab/>
                </w:r>
                <w:r>
                  <w:rPr>
                    <w:webHidden/>
                  </w:rPr>
                  <w:fldChar w:fldCharType="begin"/>
                </w:r>
                <w:r>
                  <w:rPr>
                    <w:webHidden/>
                  </w:rPr>
                  <w:instrText xml:space="preserve"> PAGEREF _Toc519499764 \h </w:instrText>
                </w:r>
                <w:r>
                  <w:rPr>
                    <w:webHidden/>
                  </w:rPr>
                </w:r>
                <w:r>
                  <w:rPr>
                    <w:webHidden/>
                  </w:rPr>
                  <w:fldChar w:fldCharType="separate"/>
                </w:r>
                <w:r>
                  <w:rPr>
                    <w:webHidden/>
                  </w:rPr>
                  <w:t>22</w:t>
                </w:r>
                <w:r>
                  <w:rPr>
                    <w:webHidden/>
                  </w:rPr>
                  <w:fldChar w:fldCharType="end"/>
                </w:r>
              </w:hyperlink>
            </w:p>
            <w:p w14:paraId="7AA2DB92" w14:textId="3E2CD3A1"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65" w:history="1">
                <w:r w:rsidRPr="004C4CA6">
                  <w:rPr>
                    <w:rStyle w:val="Hyperlink"/>
                  </w:rPr>
                  <w:t>1.2.3</w:t>
                </w:r>
                <w:r>
                  <w:rPr>
                    <w:rFonts w:asciiTheme="minorHAnsi" w:eastAsiaTheme="minorEastAsia" w:hAnsiTheme="minorHAnsi" w:cstheme="minorBidi"/>
                    <w:sz w:val="22"/>
                    <w:szCs w:val="22"/>
                    <w:lang w:val="en-US" w:eastAsia="en-US"/>
                  </w:rPr>
                  <w:tab/>
                </w:r>
                <w:r w:rsidRPr="004C4CA6">
                  <w:rPr>
                    <w:rStyle w:val="Hyperlink"/>
                  </w:rPr>
                  <w:t>Scenarios</w:t>
                </w:r>
                <w:r>
                  <w:rPr>
                    <w:webHidden/>
                  </w:rPr>
                  <w:tab/>
                </w:r>
                <w:r>
                  <w:rPr>
                    <w:webHidden/>
                  </w:rPr>
                  <w:fldChar w:fldCharType="begin"/>
                </w:r>
                <w:r>
                  <w:rPr>
                    <w:webHidden/>
                  </w:rPr>
                  <w:instrText xml:space="preserve"> PAGEREF _Toc519499765 \h </w:instrText>
                </w:r>
                <w:r>
                  <w:rPr>
                    <w:webHidden/>
                  </w:rPr>
                </w:r>
                <w:r>
                  <w:rPr>
                    <w:webHidden/>
                  </w:rPr>
                  <w:fldChar w:fldCharType="separate"/>
                </w:r>
                <w:r>
                  <w:rPr>
                    <w:webHidden/>
                  </w:rPr>
                  <w:t>23</w:t>
                </w:r>
                <w:r>
                  <w:rPr>
                    <w:webHidden/>
                  </w:rPr>
                  <w:fldChar w:fldCharType="end"/>
                </w:r>
              </w:hyperlink>
            </w:p>
            <w:p w14:paraId="54CE7A22" w14:textId="536D5225"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66" w:history="1">
                <w:r w:rsidRPr="004C4CA6">
                  <w:rPr>
                    <w:rStyle w:val="Hyperlink"/>
                  </w:rPr>
                  <w:t>1.2.4</w:t>
                </w:r>
                <w:r>
                  <w:rPr>
                    <w:rFonts w:asciiTheme="minorHAnsi" w:eastAsiaTheme="minorEastAsia" w:hAnsiTheme="minorHAnsi" w:cstheme="minorBidi"/>
                    <w:sz w:val="22"/>
                    <w:szCs w:val="22"/>
                    <w:lang w:val="en-US" w:eastAsia="en-US"/>
                  </w:rPr>
                  <w:tab/>
                </w:r>
                <w:r w:rsidRPr="004C4CA6">
                  <w:rPr>
                    <w:rStyle w:val="Hyperlink"/>
                  </w:rPr>
                  <w:t>IPBES terrestrial and aquatic units of analysis</w:t>
                </w:r>
                <w:r>
                  <w:rPr>
                    <w:webHidden/>
                  </w:rPr>
                  <w:tab/>
                </w:r>
                <w:r>
                  <w:rPr>
                    <w:webHidden/>
                  </w:rPr>
                  <w:fldChar w:fldCharType="begin"/>
                </w:r>
                <w:r>
                  <w:rPr>
                    <w:webHidden/>
                  </w:rPr>
                  <w:instrText xml:space="preserve"> PAGEREF _Toc519499766 \h </w:instrText>
                </w:r>
                <w:r>
                  <w:rPr>
                    <w:webHidden/>
                  </w:rPr>
                </w:r>
                <w:r>
                  <w:rPr>
                    <w:webHidden/>
                  </w:rPr>
                  <w:fldChar w:fldCharType="separate"/>
                </w:r>
                <w:r>
                  <w:rPr>
                    <w:webHidden/>
                  </w:rPr>
                  <w:t>25</w:t>
                </w:r>
                <w:r>
                  <w:rPr>
                    <w:webHidden/>
                  </w:rPr>
                  <w:fldChar w:fldCharType="end"/>
                </w:r>
              </w:hyperlink>
            </w:p>
            <w:p w14:paraId="10303B34" w14:textId="2EE23B33"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67" w:history="1">
                <w:r w:rsidRPr="004C4CA6">
                  <w:rPr>
                    <w:rStyle w:val="Hyperlink"/>
                  </w:rPr>
                  <w:t>1.2.5</w:t>
                </w:r>
                <w:r>
                  <w:rPr>
                    <w:rFonts w:asciiTheme="minorHAnsi" w:eastAsiaTheme="minorEastAsia" w:hAnsiTheme="minorHAnsi" w:cstheme="minorBidi"/>
                    <w:sz w:val="22"/>
                    <w:szCs w:val="22"/>
                    <w:lang w:val="en-US" w:eastAsia="en-US"/>
                  </w:rPr>
                  <w:tab/>
                </w:r>
                <w:r w:rsidRPr="004C4CA6">
                  <w:rPr>
                    <w:rStyle w:val="Hyperlink"/>
                  </w:rPr>
                  <w:t>Addressing data gaps and uncertainties</w:t>
                </w:r>
                <w:r>
                  <w:rPr>
                    <w:webHidden/>
                  </w:rPr>
                  <w:tab/>
                </w:r>
                <w:r>
                  <w:rPr>
                    <w:webHidden/>
                  </w:rPr>
                  <w:fldChar w:fldCharType="begin"/>
                </w:r>
                <w:r>
                  <w:rPr>
                    <w:webHidden/>
                  </w:rPr>
                  <w:instrText xml:space="preserve"> PAGEREF _Toc519499767 \h </w:instrText>
                </w:r>
                <w:r>
                  <w:rPr>
                    <w:webHidden/>
                  </w:rPr>
                </w:r>
                <w:r>
                  <w:rPr>
                    <w:webHidden/>
                  </w:rPr>
                  <w:fldChar w:fldCharType="separate"/>
                </w:r>
                <w:r>
                  <w:rPr>
                    <w:webHidden/>
                  </w:rPr>
                  <w:t>26</w:t>
                </w:r>
                <w:r>
                  <w:rPr>
                    <w:webHidden/>
                  </w:rPr>
                  <w:fldChar w:fldCharType="end"/>
                </w:r>
              </w:hyperlink>
            </w:p>
            <w:p w14:paraId="255BECFE" w14:textId="2F35238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68" w:history="1">
                <w:r w:rsidRPr="004C4CA6">
                  <w:rPr>
                    <w:rStyle w:val="Hyperlink"/>
                  </w:rPr>
                  <w:t>1.2.6</w:t>
                </w:r>
                <w:r>
                  <w:rPr>
                    <w:rFonts w:asciiTheme="minorHAnsi" w:eastAsiaTheme="minorEastAsia" w:hAnsiTheme="minorHAnsi" w:cstheme="minorBidi"/>
                    <w:sz w:val="22"/>
                    <w:szCs w:val="22"/>
                    <w:lang w:val="en-US" w:eastAsia="en-US"/>
                  </w:rPr>
                  <w:tab/>
                </w:r>
                <w:r w:rsidRPr="004C4CA6">
                  <w:rPr>
                    <w:rStyle w:val="Hyperlink"/>
                  </w:rPr>
                  <w:t>Stakeholder linkages: who will benefit?</w:t>
                </w:r>
                <w:r>
                  <w:rPr>
                    <w:webHidden/>
                  </w:rPr>
                  <w:tab/>
                </w:r>
                <w:r>
                  <w:rPr>
                    <w:webHidden/>
                  </w:rPr>
                  <w:fldChar w:fldCharType="begin"/>
                </w:r>
                <w:r>
                  <w:rPr>
                    <w:webHidden/>
                  </w:rPr>
                  <w:instrText xml:space="preserve"> PAGEREF _Toc519499768 \h </w:instrText>
                </w:r>
                <w:r>
                  <w:rPr>
                    <w:webHidden/>
                  </w:rPr>
                </w:r>
                <w:r>
                  <w:rPr>
                    <w:webHidden/>
                  </w:rPr>
                  <w:fldChar w:fldCharType="separate"/>
                </w:r>
                <w:r>
                  <w:rPr>
                    <w:webHidden/>
                  </w:rPr>
                  <w:t>27</w:t>
                </w:r>
                <w:r>
                  <w:rPr>
                    <w:webHidden/>
                  </w:rPr>
                  <w:fldChar w:fldCharType="end"/>
                </w:r>
              </w:hyperlink>
            </w:p>
            <w:p w14:paraId="529FA177" w14:textId="128F2EDF" w:rsidR="00DA6432" w:rsidRDefault="00DA6432">
              <w:pPr>
                <w:pStyle w:val="TOC3"/>
                <w:rPr>
                  <w:rFonts w:asciiTheme="minorHAnsi" w:eastAsiaTheme="minorEastAsia" w:hAnsiTheme="minorHAnsi" w:cstheme="minorBidi"/>
                  <w:noProof/>
                  <w:color w:val="auto"/>
                  <w:lang w:val="en-US" w:eastAsia="en-US"/>
                </w:rPr>
              </w:pPr>
              <w:hyperlink w:anchor="_Toc519499769" w:history="1">
                <w:r w:rsidRPr="004C4CA6">
                  <w:rPr>
                    <w:rStyle w:val="Hyperlink"/>
                    <w:rFonts w:cs="Times New Roman"/>
                    <w:noProof/>
                  </w:rPr>
                  <w:t>1.3</w:t>
                </w:r>
                <w:r>
                  <w:rPr>
                    <w:rFonts w:asciiTheme="minorHAnsi" w:eastAsiaTheme="minorEastAsia" w:hAnsiTheme="minorHAnsi" w:cstheme="minorBidi"/>
                    <w:noProof/>
                    <w:color w:val="auto"/>
                    <w:lang w:val="en-US" w:eastAsia="en-US"/>
                  </w:rPr>
                  <w:tab/>
                </w:r>
                <w:r w:rsidRPr="004C4CA6">
                  <w:rPr>
                    <w:rStyle w:val="Hyperlink"/>
                    <w:rFonts w:cs="Times New Roman"/>
                    <w:noProof/>
                  </w:rPr>
                  <w:t>Priority issues in biodiversity and ecosystem services policy and management interventions in Africa</w:t>
                </w:r>
                <w:r>
                  <w:rPr>
                    <w:noProof/>
                    <w:webHidden/>
                  </w:rPr>
                  <w:tab/>
                </w:r>
                <w:r>
                  <w:rPr>
                    <w:noProof/>
                    <w:webHidden/>
                  </w:rPr>
                  <w:fldChar w:fldCharType="begin"/>
                </w:r>
                <w:r>
                  <w:rPr>
                    <w:noProof/>
                    <w:webHidden/>
                  </w:rPr>
                  <w:instrText xml:space="preserve"> PAGEREF _Toc519499769 \h </w:instrText>
                </w:r>
                <w:r>
                  <w:rPr>
                    <w:noProof/>
                    <w:webHidden/>
                  </w:rPr>
                </w:r>
                <w:r>
                  <w:rPr>
                    <w:noProof/>
                    <w:webHidden/>
                  </w:rPr>
                  <w:fldChar w:fldCharType="separate"/>
                </w:r>
                <w:r>
                  <w:rPr>
                    <w:noProof/>
                    <w:webHidden/>
                  </w:rPr>
                  <w:t>29</w:t>
                </w:r>
                <w:r>
                  <w:rPr>
                    <w:noProof/>
                    <w:webHidden/>
                  </w:rPr>
                  <w:fldChar w:fldCharType="end"/>
                </w:r>
              </w:hyperlink>
            </w:p>
            <w:p w14:paraId="51024039" w14:textId="11832941"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70" w:history="1">
                <w:r w:rsidRPr="004C4CA6">
                  <w:rPr>
                    <w:rStyle w:val="Hyperlink"/>
                  </w:rPr>
                  <w:t>1.3.1</w:t>
                </w:r>
                <w:r>
                  <w:rPr>
                    <w:rFonts w:asciiTheme="minorHAnsi" w:eastAsiaTheme="minorEastAsia" w:hAnsiTheme="minorHAnsi" w:cstheme="minorBidi"/>
                    <w:sz w:val="22"/>
                    <w:szCs w:val="22"/>
                    <w:lang w:val="en-US" w:eastAsia="en-US"/>
                  </w:rPr>
                  <w:tab/>
                </w:r>
                <w:r w:rsidRPr="004C4CA6">
                  <w:rPr>
                    <w:rStyle w:val="Hyperlink"/>
                  </w:rPr>
                  <w:t>Gender and biodiversity</w:t>
                </w:r>
                <w:r>
                  <w:rPr>
                    <w:webHidden/>
                  </w:rPr>
                  <w:tab/>
                </w:r>
                <w:r>
                  <w:rPr>
                    <w:webHidden/>
                  </w:rPr>
                  <w:fldChar w:fldCharType="begin"/>
                </w:r>
                <w:r>
                  <w:rPr>
                    <w:webHidden/>
                  </w:rPr>
                  <w:instrText xml:space="preserve"> PAGEREF _Toc519499770 \h </w:instrText>
                </w:r>
                <w:r>
                  <w:rPr>
                    <w:webHidden/>
                  </w:rPr>
                </w:r>
                <w:r>
                  <w:rPr>
                    <w:webHidden/>
                  </w:rPr>
                  <w:fldChar w:fldCharType="separate"/>
                </w:r>
                <w:r>
                  <w:rPr>
                    <w:webHidden/>
                  </w:rPr>
                  <w:t>31</w:t>
                </w:r>
                <w:r>
                  <w:rPr>
                    <w:webHidden/>
                  </w:rPr>
                  <w:fldChar w:fldCharType="end"/>
                </w:r>
              </w:hyperlink>
            </w:p>
            <w:p w14:paraId="5E66BD6C" w14:textId="07EAE4EC"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71" w:history="1">
                <w:r w:rsidRPr="004C4CA6">
                  <w:rPr>
                    <w:rStyle w:val="Hyperlink"/>
                  </w:rPr>
                  <w:t>1.3.2</w:t>
                </w:r>
                <w:r>
                  <w:rPr>
                    <w:rFonts w:asciiTheme="minorHAnsi" w:eastAsiaTheme="minorEastAsia" w:hAnsiTheme="minorHAnsi" w:cstheme="minorBidi"/>
                    <w:sz w:val="22"/>
                    <w:szCs w:val="22"/>
                    <w:lang w:val="en-US" w:eastAsia="en-US"/>
                  </w:rPr>
                  <w:tab/>
                </w:r>
                <w:r w:rsidRPr="004C4CA6">
                  <w:rPr>
                    <w:rStyle w:val="Hyperlink"/>
                  </w:rPr>
                  <w:t>Indigenous and Local Knowledge (ILK)</w:t>
                </w:r>
                <w:r>
                  <w:rPr>
                    <w:webHidden/>
                  </w:rPr>
                  <w:tab/>
                </w:r>
                <w:r>
                  <w:rPr>
                    <w:webHidden/>
                  </w:rPr>
                  <w:fldChar w:fldCharType="begin"/>
                </w:r>
                <w:r>
                  <w:rPr>
                    <w:webHidden/>
                  </w:rPr>
                  <w:instrText xml:space="preserve"> PAGEREF _Toc519499771 \h </w:instrText>
                </w:r>
                <w:r>
                  <w:rPr>
                    <w:webHidden/>
                  </w:rPr>
                </w:r>
                <w:r>
                  <w:rPr>
                    <w:webHidden/>
                  </w:rPr>
                  <w:fldChar w:fldCharType="separate"/>
                </w:r>
                <w:r>
                  <w:rPr>
                    <w:webHidden/>
                  </w:rPr>
                  <w:t>32</w:t>
                </w:r>
                <w:r>
                  <w:rPr>
                    <w:webHidden/>
                  </w:rPr>
                  <w:fldChar w:fldCharType="end"/>
                </w:r>
              </w:hyperlink>
            </w:p>
            <w:p w14:paraId="267DB599" w14:textId="4D782AC5"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72" w:history="1">
                <w:r w:rsidRPr="004C4CA6">
                  <w:rPr>
                    <w:rStyle w:val="Hyperlink"/>
                  </w:rPr>
                  <w:t>1.3.3</w:t>
                </w:r>
                <w:r>
                  <w:rPr>
                    <w:rFonts w:asciiTheme="minorHAnsi" w:eastAsiaTheme="minorEastAsia" w:hAnsiTheme="minorHAnsi" w:cstheme="minorBidi"/>
                    <w:sz w:val="22"/>
                    <w:szCs w:val="22"/>
                    <w:lang w:val="en-US" w:eastAsia="en-US"/>
                  </w:rPr>
                  <w:tab/>
                </w:r>
                <w:r w:rsidRPr="004C4CA6">
                  <w:rPr>
                    <w:rStyle w:val="Hyperlink"/>
                  </w:rPr>
                  <w:t>Climate change</w:t>
                </w:r>
                <w:r>
                  <w:rPr>
                    <w:webHidden/>
                  </w:rPr>
                  <w:tab/>
                </w:r>
                <w:r>
                  <w:rPr>
                    <w:webHidden/>
                  </w:rPr>
                  <w:fldChar w:fldCharType="begin"/>
                </w:r>
                <w:r>
                  <w:rPr>
                    <w:webHidden/>
                  </w:rPr>
                  <w:instrText xml:space="preserve"> PAGEREF _Toc519499772 \h </w:instrText>
                </w:r>
                <w:r>
                  <w:rPr>
                    <w:webHidden/>
                  </w:rPr>
                </w:r>
                <w:r>
                  <w:rPr>
                    <w:webHidden/>
                  </w:rPr>
                  <w:fldChar w:fldCharType="separate"/>
                </w:r>
                <w:r>
                  <w:rPr>
                    <w:webHidden/>
                  </w:rPr>
                  <w:t>33</w:t>
                </w:r>
                <w:r>
                  <w:rPr>
                    <w:webHidden/>
                  </w:rPr>
                  <w:fldChar w:fldCharType="end"/>
                </w:r>
              </w:hyperlink>
            </w:p>
            <w:p w14:paraId="3FAC6E7F" w14:textId="0CC197ED"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73" w:history="1">
                <w:r w:rsidRPr="004C4CA6">
                  <w:rPr>
                    <w:rStyle w:val="Hyperlink"/>
                  </w:rPr>
                  <w:t>1.3.4</w:t>
                </w:r>
                <w:r>
                  <w:rPr>
                    <w:rFonts w:asciiTheme="minorHAnsi" w:eastAsiaTheme="minorEastAsia" w:hAnsiTheme="minorHAnsi" w:cstheme="minorBidi"/>
                    <w:sz w:val="22"/>
                    <w:szCs w:val="22"/>
                    <w:lang w:val="en-US" w:eastAsia="en-US"/>
                  </w:rPr>
                  <w:tab/>
                </w:r>
                <w:r w:rsidRPr="004C4CA6">
                  <w:rPr>
                    <w:rStyle w:val="Hyperlink"/>
                  </w:rPr>
                  <w:t>The Food, Water and Energy Nexus</w:t>
                </w:r>
                <w:r>
                  <w:rPr>
                    <w:webHidden/>
                  </w:rPr>
                  <w:tab/>
                </w:r>
                <w:r>
                  <w:rPr>
                    <w:webHidden/>
                  </w:rPr>
                  <w:fldChar w:fldCharType="begin"/>
                </w:r>
                <w:r>
                  <w:rPr>
                    <w:webHidden/>
                  </w:rPr>
                  <w:instrText xml:space="preserve"> PAGEREF _Toc519499773 \h </w:instrText>
                </w:r>
                <w:r>
                  <w:rPr>
                    <w:webHidden/>
                  </w:rPr>
                </w:r>
                <w:r>
                  <w:rPr>
                    <w:webHidden/>
                  </w:rPr>
                  <w:fldChar w:fldCharType="separate"/>
                </w:r>
                <w:r>
                  <w:rPr>
                    <w:webHidden/>
                  </w:rPr>
                  <w:t>37</w:t>
                </w:r>
                <w:r>
                  <w:rPr>
                    <w:webHidden/>
                  </w:rPr>
                  <w:fldChar w:fldCharType="end"/>
                </w:r>
              </w:hyperlink>
            </w:p>
            <w:p w14:paraId="5517D5A7" w14:textId="7DF6FB23"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74" w:history="1">
                <w:r w:rsidRPr="004C4CA6">
                  <w:rPr>
                    <w:rStyle w:val="Hyperlink"/>
                  </w:rPr>
                  <w:t>1.3.4.1</w:t>
                </w:r>
                <w:r>
                  <w:rPr>
                    <w:rFonts w:asciiTheme="minorHAnsi" w:eastAsiaTheme="minorEastAsia" w:hAnsiTheme="minorHAnsi" w:cstheme="minorBidi"/>
                    <w:sz w:val="22"/>
                    <w:szCs w:val="22"/>
                    <w:lang w:val="en-US" w:eastAsia="en-US"/>
                  </w:rPr>
                  <w:tab/>
                </w:r>
                <w:r w:rsidRPr="004C4CA6">
                  <w:rPr>
                    <w:rStyle w:val="Hyperlink"/>
                  </w:rPr>
                  <w:t>Meeting Africa’s demand for food: Agriculture and African food systems</w:t>
                </w:r>
                <w:r>
                  <w:rPr>
                    <w:webHidden/>
                  </w:rPr>
                  <w:tab/>
                </w:r>
                <w:r>
                  <w:rPr>
                    <w:webHidden/>
                  </w:rPr>
                  <w:fldChar w:fldCharType="begin"/>
                </w:r>
                <w:r>
                  <w:rPr>
                    <w:webHidden/>
                  </w:rPr>
                  <w:instrText xml:space="preserve"> PAGEREF _Toc519499774 \h </w:instrText>
                </w:r>
                <w:r>
                  <w:rPr>
                    <w:webHidden/>
                  </w:rPr>
                </w:r>
                <w:r>
                  <w:rPr>
                    <w:webHidden/>
                  </w:rPr>
                  <w:fldChar w:fldCharType="separate"/>
                </w:r>
                <w:r>
                  <w:rPr>
                    <w:webHidden/>
                  </w:rPr>
                  <w:t>37</w:t>
                </w:r>
                <w:r>
                  <w:rPr>
                    <w:webHidden/>
                  </w:rPr>
                  <w:fldChar w:fldCharType="end"/>
                </w:r>
              </w:hyperlink>
            </w:p>
            <w:p w14:paraId="0E6C4781" w14:textId="2F5FDEFB"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775" w:history="1">
                <w:r w:rsidRPr="004C4CA6">
                  <w:rPr>
                    <w:rStyle w:val="Hyperlink"/>
                  </w:rPr>
                  <w:t>1.3.4.1.1</w:t>
                </w:r>
                <w:r>
                  <w:rPr>
                    <w:rFonts w:asciiTheme="minorHAnsi" w:eastAsiaTheme="minorEastAsia" w:hAnsiTheme="minorHAnsi" w:cstheme="minorBidi"/>
                    <w:sz w:val="22"/>
                    <w:szCs w:val="22"/>
                    <w:lang w:val="en-US" w:eastAsia="en-US"/>
                  </w:rPr>
                  <w:tab/>
                </w:r>
                <w:r w:rsidRPr="004C4CA6">
                  <w:rPr>
                    <w:rStyle w:val="Hyperlink"/>
                  </w:rPr>
                  <w:t>Forest and agroforestry systems</w:t>
                </w:r>
                <w:r>
                  <w:rPr>
                    <w:webHidden/>
                  </w:rPr>
                  <w:tab/>
                </w:r>
                <w:r>
                  <w:rPr>
                    <w:webHidden/>
                  </w:rPr>
                  <w:fldChar w:fldCharType="begin"/>
                </w:r>
                <w:r>
                  <w:rPr>
                    <w:webHidden/>
                  </w:rPr>
                  <w:instrText xml:space="preserve"> PAGEREF _Toc519499775 \h </w:instrText>
                </w:r>
                <w:r>
                  <w:rPr>
                    <w:webHidden/>
                  </w:rPr>
                </w:r>
                <w:r>
                  <w:rPr>
                    <w:webHidden/>
                  </w:rPr>
                  <w:fldChar w:fldCharType="separate"/>
                </w:r>
                <w:r>
                  <w:rPr>
                    <w:webHidden/>
                  </w:rPr>
                  <w:t>38</w:t>
                </w:r>
                <w:r>
                  <w:rPr>
                    <w:webHidden/>
                  </w:rPr>
                  <w:fldChar w:fldCharType="end"/>
                </w:r>
              </w:hyperlink>
            </w:p>
            <w:p w14:paraId="6AFFDF8D" w14:textId="6715512E"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776" w:history="1">
                <w:r w:rsidRPr="004C4CA6">
                  <w:rPr>
                    <w:rStyle w:val="Hyperlink"/>
                  </w:rPr>
                  <w:t>1.3.4.1.2</w:t>
                </w:r>
                <w:r>
                  <w:rPr>
                    <w:rFonts w:asciiTheme="minorHAnsi" w:eastAsiaTheme="minorEastAsia" w:hAnsiTheme="minorHAnsi" w:cstheme="minorBidi"/>
                    <w:sz w:val="22"/>
                    <w:szCs w:val="22"/>
                    <w:lang w:val="en-US" w:eastAsia="en-US"/>
                  </w:rPr>
                  <w:tab/>
                </w:r>
                <w:r w:rsidRPr="004C4CA6">
                  <w:rPr>
                    <w:rStyle w:val="Hyperlink"/>
                  </w:rPr>
                  <w:t>Marine fisheries</w:t>
                </w:r>
                <w:r>
                  <w:rPr>
                    <w:webHidden/>
                  </w:rPr>
                  <w:tab/>
                </w:r>
                <w:r>
                  <w:rPr>
                    <w:webHidden/>
                  </w:rPr>
                  <w:fldChar w:fldCharType="begin"/>
                </w:r>
                <w:r>
                  <w:rPr>
                    <w:webHidden/>
                  </w:rPr>
                  <w:instrText xml:space="preserve"> PAGEREF _Toc519499776 \h </w:instrText>
                </w:r>
                <w:r>
                  <w:rPr>
                    <w:webHidden/>
                  </w:rPr>
                </w:r>
                <w:r>
                  <w:rPr>
                    <w:webHidden/>
                  </w:rPr>
                  <w:fldChar w:fldCharType="separate"/>
                </w:r>
                <w:r>
                  <w:rPr>
                    <w:webHidden/>
                  </w:rPr>
                  <w:t>40</w:t>
                </w:r>
                <w:r>
                  <w:rPr>
                    <w:webHidden/>
                  </w:rPr>
                  <w:fldChar w:fldCharType="end"/>
                </w:r>
              </w:hyperlink>
            </w:p>
            <w:p w14:paraId="75300D32" w14:textId="67913318"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777" w:history="1">
                <w:r w:rsidRPr="004C4CA6">
                  <w:rPr>
                    <w:rStyle w:val="Hyperlink"/>
                  </w:rPr>
                  <w:t>1.3.4.1.3</w:t>
                </w:r>
                <w:r>
                  <w:rPr>
                    <w:rFonts w:asciiTheme="minorHAnsi" w:eastAsiaTheme="minorEastAsia" w:hAnsiTheme="minorHAnsi" w:cstheme="minorBidi"/>
                    <w:sz w:val="22"/>
                    <w:szCs w:val="22"/>
                    <w:lang w:val="en-US" w:eastAsia="en-US"/>
                  </w:rPr>
                  <w:tab/>
                </w:r>
                <w:r w:rsidRPr="004C4CA6">
                  <w:rPr>
                    <w:rStyle w:val="Hyperlink"/>
                  </w:rPr>
                  <w:t>Freshwater fisheries</w:t>
                </w:r>
                <w:r>
                  <w:rPr>
                    <w:webHidden/>
                  </w:rPr>
                  <w:tab/>
                </w:r>
                <w:r>
                  <w:rPr>
                    <w:webHidden/>
                  </w:rPr>
                  <w:fldChar w:fldCharType="begin"/>
                </w:r>
                <w:r>
                  <w:rPr>
                    <w:webHidden/>
                  </w:rPr>
                  <w:instrText xml:space="preserve"> PAGEREF _Toc519499777 \h </w:instrText>
                </w:r>
                <w:r>
                  <w:rPr>
                    <w:webHidden/>
                  </w:rPr>
                </w:r>
                <w:r>
                  <w:rPr>
                    <w:webHidden/>
                  </w:rPr>
                  <w:fldChar w:fldCharType="separate"/>
                </w:r>
                <w:r>
                  <w:rPr>
                    <w:webHidden/>
                  </w:rPr>
                  <w:t>41</w:t>
                </w:r>
                <w:r>
                  <w:rPr>
                    <w:webHidden/>
                  </w:rPr>
                  <w:fldChar w:fldCharType="end"/>
                </w:r>
              </w:hyperlink>
            </w:p>
            <w:p w14:paraId="4F77236F" w14:textId="76D04E6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78" w:history="1">
                <w:r w:rsidRPr="004C4CA6">
                  <w:rPr>
                    <w:rStyle w:val="Hyperlink"/>
                  </w:rPr>
                  <w:t>1.3.4.2</w:t>
                </w:r>
                <w:r>
                  <w:rPr>
                    <w:rFonts w:asciiTheme="minorHAnsi" w:eastAsiaTheme="minorEastAsia" w:hAnsiTheme="minorHAnsi" w:cstheme="minorBidi"/>
                    <w:sz w:val="22"/>
                    <w:szCs w:val="22"/>
                    <w:lang w:val="en-US" w:eastAsia="en-US"/>
                  </w:rPr>
                  <w:tab/>
                </w:r>
                <w:r w:rsidRPr="004C4CA6">
                  <w:rPr>
                    <w:rStyle w:val="Hyperlink"/>
                  </w:rPr>
                  <w:t>Water in Africa</w:t>
                </w:r>
                <w:r>
                  <w:rPr>
                    <w:webHidden/>
                  </w:rPr>
                  <w:tab/>
                </w:r>
                <w:r>
                  <w:rPr>
                    <w:webHidden/>
                  </w:rPr>
                  <w:fldChar w:fldCharType="begin"/>
                </w:r>
                <w:r>
                  <w:rPr>
                    <w:webHidden/>
                  </w:rPr>
                  <w:instrText xml:space="preserve"> PAGEREF _Toc519499778 \h </w:instrText>
                </w:r>
                <w:r>
                  <w:rPr>
                    <w:webHidden/>
                  </w:rPr>
                </w:r>
                <w:r>
                  <w:rPr>
                    <w:webHidden/>
                  </w:rPr>
                  <w:fldChar w:fldCharType="separate"/>
                </w:r>
                <w:r>
                  <w:rPr>
                    <w:webHidden/>
                  </w:rPr>
                  <w:t>41</w:t>
                </w:r>
                <w:r>
                  <w:rPr>
                    <w:webHidden/>
                  </w:rPr>
                  <w:fldChar w:fldCharType="end"/>
                </w:r>
              </w:hyperlink>
            </w:p>
            <w:p w14:paraId="2897454C" w14:textId="556731FD"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79" w:history="1">
                <w:r w:rsidRPr="004C4CA6">
                  <w:rPr>
                    <w:rStyle w:val="Hyperlink"/>
                  </w:rPr>
                  <w:t>1.3.4.3</w:t>
                </w:r>
                <w:r>
                  <w:rPr>
                    <w:rFonts w:asciiTheme="minorHAnsi" w:eastAsiaTheme="minorEastAsia" w:hAnsiTheme="minorHAnsi" w:cstheme="minorBidi"/>
                    <w:sz w:val="22"/>
                    <w:szCs w:val="22"/>
                    <w:lang w:val="en-US" w:eastAsia="en-US"/>
                  </w:rPr>
                  <w:tab/>
                </w:r>
                <w:r w:rsidRPr="004C4CA6">
                  <w:rPr>
                    <w:rStyle w:val="Hyperlink"/>
                  </w:rPr>
                  <w:t>Energy in Africa</w:t>
                </w:r>
                <w:r>
                  <w:rPr>
                    <w:webHidden/>
                  </w:rPr>
                  <w:tab/>
                </w:r>
                <w:r>
                  <w:rPr>
                    <w:webHidden/>
                  </w:rPr>
                  <w:fldChar w:fldCharType="begin"/>
                </w:r>
                <w:r>
                  <w:rPr>
                    <w:webHidden/>
                  </w:rPr>
                  <w:instrText xml:space="preserve"> PAGEREF _Toc519499779 \h </w:instrText>
                </w:r>
                <w:r>
                  <w:rPr>
                    <w:webHidden/>
                  </w:rPr>
                </w:r>
                <w:r>
                  <w:rPr>
                    <w:webHidden/>
                  </w:rPr>
                  <w:fldChar w:fldCharType="separate"/>
                </w:r>
                <w:r>
                  <w:rPr>
                    <w:webHidden/>
                  </w:rPr>
                  <w:t>45</w:t>
                </w:r>
                <w:r>
                  <w:rPr>
                    <w:webHidden/>
                  </w:rPr>
                  <w:fldChar w:fldCharType="end"/>
                </w:r>
              </w:hyperlink>
            </w:p>
            <w:p w14:paraId="4E4A44A2" w14:textId="75454E6A"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80" w:history="1">
                <w:r w:rsidRPr="004C4CA6">
                  <w:rPr>
                    <w:rStyle w:val="Hyperlink"/>
                  </w:rPr>
                  <w:t>1.3.5</w:t>
                </w:r>
                <w:r>
                  <w:rPr>
                    <w:rFonts w:asciiTheme="minorHAnsi" w:eastAsiaTheme="minorEastAsia" w:hAnsiTheme="minorHAnsi" w:cstheme="minorBidi"/>
                    <w:sz w:val="22"/>
                    <w:szCs w:val="22"/>
                    <w:lang w:val="en-US" w:eastAsia="en-US"/>
                  </w:rPr>
                  <w:tab/>
                </w:r>
                <w:r w:rsidRPr="004C4CA6">
                  <w:rPr>
                    <w:rStyle w:val="Hyperlink"/>
                  </w:rPr>
                  <w:t>Invasive species</w:t>
                </w:r>
                <w:r>
                  <w:rPr>
                    <w:webHidden/>
                  </w:rPr>
                  <w:tab/>
                </w:r>
                <w:r>
                  <w:rPr>
                    <w:webHidden/>
                  </w:rPr>
                  <w:fldChar w:fldCharType="begin"/>
                </w:r>
                <w:r>
                  <w:rPr>
                    <w:webHidden/>
                  </w:rPr>
                  <w:instrText xml:space="preserve"> PAGEREF _Toc519499780 \h </w:instrText>
                </w:r>
                <w:r>
                  <w:rPr>
                    <w:webHidden/>
                  </w:rPr>
                </w:r>
                <w:r>
                  <w:rPr>
                    <w:webHidden/>
                  </w:rPr>
                  <w:fldChar w:fldCharType="separate"/>
                </w:r>
                <w:r>
                  <w:rPr>
                    <w:webHidden/>
                  </w:rPr>
                  <w:t>46</w:t>
                </w:r>
                <w:r>
                  <w:rPr>
                    <w:webHidden/>
                  </w:rPr>
                  <w:fldChar w:fldCharType="end"/>
                </w:r>
              </w:hyperlink>
            </w:p>
            <w:p w14:paraId="1237D465" w14:textId="73434F0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81" w:history="1">
                <w:r w:rsidRPr="004C4CA6">
                  <w:rPr>
                    <w:rStyle w:val="Hyperlink"/>
                  </w:rPr>
                  <w:t>1.3.6</w:t>
                </w:r>
                <w:r>
                  <w:rPr>
                    <w:rFonts w:asciiTheme="minorHAnsi" w:eastAsiaTheme="minorEastAsia" w:hAnsiTheme="minorHAnsi" w:cstheme="minorBidi"/>
                    <w:sz w:val="22"/>
                    <w:szCs w:val="22"/>
                    <w:lang w:val="en-US" w:eastAsia="en-US"/>
                  </w:rPr>
                  <w:tab/>
                </w:r>
                <w:r w:rsidRPr="004C4CA6">
                  <w:rPr>
                    <w:rStyle w:val="Hyperlink"/>
                  </w:rPr>
                  <w:t>Habitat degradation and restoration (marine and terrestrial)</w:t>
                </w:r>
                <w:r>
                  <w:rPr>
                    <w:webHidden/>
                  </w:rPr>
                  <w:tab/>
                </w:r>
                <w:r>
                  <w:rPr>
                    <w:webHidden/>
                  </w:rPr>
                  <w:fldChar w:fldCharType="begin"/>
                </w:r>
                <w:r>
                  <w:rPr>
                    <w:webHidden/>
                  </w:rPr>
                  <w:instrText xml:space="preserve"> PAGEREF _Toc519499781 \h </w:instrText>
                </w:r>
                <w:r>
                  <w:rPr>
                    <w:webHidden/>
                  </w:rPr>
                </w:r>
                <w:r>
                  <w:rPr>
                    <w:webHidden/>
                  </w:rPr>
                  <w:fldChar w:fldCharType="separate"/>
                </w:r>
                <w:r>
                  <w:rPr>
                    <w:webHidden/>
                  </w:rPr>
                  <w:t>49</w:t>
                </w:r>
                <w:r>
                  <w:rPr>
                    <w:webHidden/>
                  </w:rPr>
                  <w:fldChar w:fldCharType="end"/>
                </w:r>
              </w:hyperlink>
            </w:p>
            <w:p w14:paraId="02DBDC7E" w14:textId="69014C7E"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82" w:history="1">
                <w:r w:rsidRPr="004C4CA6">
                  <w:rPr>
                    <w:rStyle w:val="Hyperlink"/>
                  </w:rPr>
                  <w:t>1.3.7</w:t>
                </w:r>
                <w:r>
                  <w:rPr>
                    <w:rFonts w:asciiTheme="minorHAnsi" w:eastAsiaTheme="minorEastAsia" w:hAnsiTheme="minorHAnsi" w:cstheme="minorBidi"/>
                    <w:sz w:val="22"/>
                    <w:szCs w:val="22"/>
                    <w:lang w:val="en-US" w:eastAsia="en-US"/>
                  </w:rPr>
                  <w:tab/>
                </w:r>
                <w:r w:rsidRPr="004C4CA6">
                  <w:rPr>
                    <w:rStyle w:val="Hyperlink"/>
                  </w:rPr>
                  <w:t>Population, poverty and health</w:t>
                </w:r>
                <w:r>
                  <w:rPr>
                    <w:webHidden/>
                  </w:rPr>
                  <w:tab/>
                </w:r>
                <w:r>
                  <w:rPr>
                    <w:webHidden/>
                  </w:rPr>
                  <w:fldChar w:fldCharType="begin"/>
                </w:r>
                <w:r>
                  <w:rPr>
                    <w:webHidden/>
                  </w:rPr>
                  <w:instrText xml:space="preserve"> PAGEREF _Toc519499782 \h </w:instrText>
                </w:r>
                <w:r>
                  <w:rPr>
                    <w:webHidden/>
                  </w:rPr>
                </w:r>
                <w:r>
                  <w:rPr>
                    <w:webHidden/>
                  </w:rPr>
                  <w:fldChar w:fldCharType="separate"/>
                </w:r>
                <w:r>
                  <w:rPr>
                    <w:webHidden/>
                  </w:rPr>
                  <w:t>52</w:t>
                </w:r>
                <w:r>
                  <w:rPr>
                    <w:webHidden/>
                  </w:rPr>
                  <w:fldChar w:fldCharType="end"/>
                </w:r>
              </w:hyperlink>
            </w:p>
            <w:p w14:paraId="47A69149" w14:textId="66283690"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83" w:history="1">
                <w:r w:rsidRPr="004C4CA6">
                  <w:rPr>
                    <w:rStyle w:val="Hyperlink"/>
                  </w:rPr>
                  <w:t>1.3.7.1</w:t>
                </w:r>
                <w:r>
                  <w:rPr>
                    <w:rFonts w:asciiTheme="minorHAnsi" w:eastAsiaTheme="minorEastAsia" w:hAnsiTheme="minorHAnsi" w:cstheme="minorBidi"/>
                    <w:sz w:val="22"/>
                    <w:szCs w:val="22"/>
                    <w:lang w:val="en-US" w:eastAsia="en-US"/>
                  </w:rPr>
                  <w:tab/>
                </w:r>
                <w:r w:rsidRPr="004C4CA6">
                  <w:rPr>
                    <w:rStyle w:val="Hyperlink"/>
                  </w:rPr>
                  <w:t>Population dynamics and their implications</w:t>
                </w:r>
                <w:r>
                  <w:rPr>
                    <w:webHidden/>
                  </w:rPr>
                  <w:tab/>
                </w:r>
                <w:r>
                  <w:rPr>
                    <w:webHidden/>
                  </w:rPr>
                  <w:fldChar w:fldCharType="begin"/>
                </w:r>
                <w:r>
                  <w:rPr>
                    <w:webHidden/>
                  </w:rPr>
                  <w:instrText xml:space="preserve"> PAGEREF _Toc519499783 \h </w:instrText>
                </w:r>
                <w:r>
                  <w:rPr>
                    <w:webHidden/>
                  </w:rPr>
                </w:r>
                <w:r>
                  <w:rPr>
                    <w:webHidden/>
                  </w:rPr>
                  <w:fldChar w:fldCharType="separate"/>
                </w:r>
                <w:r>
                  <w:rPr>
                    <w:webHidden/>
                  </w:rPr>
                  <w:t>52</w:t>
                </w:r>
                <w:r>
                  <w:rPr>
                    <w:webHidden/>
                  </w:rPr>
                  <w:fldChar w:fldCharType="end"/>
                </w:r>
              </w:hyperlink>
            </w:p>
            <w:p w14:paraId="5C206A3F" w14:textId="408E03F7"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84" w:history="1">
                <w:r w:rsidRPr="004C4CA6">
                  <w:rPr>
                    <w:rStyle w:val="Hyperlink"/>
                  </w:rPr>
                  <w:t>1.3.7.2</w:t>
                </w:r>
                <w:r>
                  <w:rPr>
                    <w:rFonts w:asciiTheme="minorHAnsi" w:eastAsiaTheme="minorEastAsia" w:hAnsiTheme="minorHAnsi" w:cstheme="minorBidi"/>
                    <w:sz w:val="22"/>
                    <w:szCs w:val="22"/>
                    <w:lang w:val="en-US" w:eastAsia="en-US"/>
                  </w:rPr>
                  <w:tab/>
                </w:r>
                <w:r w:rsidRPr="004C4CA6">
                  <w:rPr>
                    <w:rStyle w:val="Hyperlink"/>
                  </w:rPr>
                  <w:t>Poverty and ecosystems</w:t>
                </w:r>
                <w:r>
                  <w:rPr>
                    <w:webHidden/>
                  </w:rPr>
                  <w:tab/>
                </w:r>
                <w:r>
                  <w:rPr>
                    <w:webHidden/>
                  </w:rPr>
                  <w:fldChar w:fldCharType="begin"/>
                </w:r>
                <w:r>
                  <w:rPr>
                    <w:webHidden/>
                  </w:rPr>
                  <w:instrText xml:space="preserve"> PAGEREF _Toc519499784 \h </w:instrText>
                </w:r>
                <w:r>
                  <w:rPr>
                    <w:webHidden/>
                  </w:rPr>
                </w:r>
                <w:r>
                  <w:rPr>
                    <w:webHidden/>
                  </w:rPr>
                  <w:fldChar w:fldCharType="separate"/>
                </w:r>
                <w:r>
                  <w:rPr>
                    <w:webHidden/>
                  </w:rPr>
                  <w:t>61</w:t>
                </w:r>
                <w:r>
                  <w:rPr>
                    <w:webHidden/>
                  </w:rPr>
                  <w:fldChar w:fldCharType="end"/>
                </w:r>
              </w:hyperlink>
            </w:p>
            <w:p w14:paraId="6298E3BA" w14:textId="37500180"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85" w:history="1">
                <w:r w:rsidRPr="004C4CA6">
                  <w:rPr>
                    <w:rStyle w:val="Hyperlink"/>
                  </w:rPr>
                  <w:t>1.3.7.3</w:t>
                </w:r>
                <w:r>
                  <w:rPr>
                    <w:rFonts w:asciiTheme="minorHAnsi" w:eastAsiaTheme="minorEastAsia" w:hAnsiTheme="minorHAnsi" w:cstheme="minorBidi"/>
                    <w:sz w:val="22"/>
                    <w:szCs w:val="22"/>
                    <w:lang w:val="en-US" w:eastAsia="en-US"/>
                  </w:rPr>
                  <w:tab/>
                </w:r>
                <w:r w:rsidRPr="004C4CA6">
                  <w:rPr>
                    <w:rStyle w:val="Hyperlink"/>
                  </w:rPr>
                  <w:t>Human health and ecosystems</w:t>
                </w:r>
                <w:r>
                  <w:rPr>
                    <w:webHidden/>
                  </w:rPr>
                  <w:tab/>
                </w:r>
                <w:r>
                  <w:rPr>
                    <w:webHidden/>
                  </w:rPr>
                  <w:fldChar w:fldCharType="begin"/>
                </w:r>
                <w:r>
                  <w:rPr>
                    <w:webHidden/>
                  </w:rPr>
                  <w:instrText xml:space="preserve"> PAGEREF _Toc519499785 \h </w:instrText>
                </w:r>
                <w:r>
                  <w:rPr>
                    <w:webHidden/>
                  </w:rPr>
                </w:r>
                <w:r>
                  <w:rPr>
                    <w:webHidden/>
                  </w:rPr>
                  <w:fldChar w:fldCharType="separate"/>
                </w:r>
                <w:r>
                  <w:rPr>
                    <w:webHidden/>
                  </w:rPr>
                  <w:t>64</w:t>
                </w:r>
                <w:r>
                  <w:rPr>
                    <w:webHidden/>
                  </w:rPr>
                  <w:fldChar w:fldCharType="end"/>
                </w:r>
              </w:hyperlink>
            </w:p>
            <w:p w14:paraId="1E65458B" w14:textId="7B4AC5EF"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86" w:history="1">
                <w:r w:rsidRPr="004C4CA6">
                  <w:rPr>
                    <w:rStyle w:val="Hyperlink"/>
                  </w:rPr>
                  <w:t>1.3.8</w:t>
                </w:r>
                <w:r>
                  <w:rPr>
                    <w:rFonts w:asciiTheme="minorHAnsi" w:eastAsiaTheme="minorEastAsia" w:hAnsiTheme="minorHAnsi" w:cstheme="minorBidi"/>
                    <w:sz w:val="22"/>
                    <w:szCs w:val="22"/>
                    <w:lang w:val="en-US" w:eastAsia="en-US"/>
                  </w:rPr>
                  <w:tab/>
                </w:r>
                <w:r w:rsidRPr="004C4CA6">
                  <w:rPr>
                    <w:rStyle w:val="Hyperlink"/>
                  </w:rPr>
                  <w:t>Governance, tenure, security and trade</w:t>
                </w:r>
                <w:r>
                  <w:rPr>
                    <w:webHidden/>
                  </w:rPr>
                  <w:tab/>
                </w:r>
                <w:r>
                  <w:rPr>
                    <w:webHidden/>
                  </w:rPr>
                  <w:fldChar w:fldCharType="begin"/>
                </w:r>
                <w:r>
                  <w:rPr>
                    <w:webHidden/>
                  </w:rPr>
                  <w:instrText xml:space="preserve"> PAGEREF _Toc519499786 \h </w:instrText>
                </w:r>
                <w:r>
                  <w:rPr>
                    <w:webHidden/>
                  </w:rPr>
                </w:r>
                <w:r>
                  <w:rPr>
                    <w:webHidden/>
                  </w:rPr>
                  <w:fldChar w:fldCharType="separate"/>
                </w:r>
                <w:r>
                  <w:rPr>
                    <w:webHidden/>
                  </w:rPr>
                  <w:t>67</w:t>
                </w:r>
                <w:r>
                  <w:rPr>
                    <w:webHidden/>
                  </w:rPr>
                  <w:fldChar w:fldCharType="end"/>
                </w:r>
              </w:hyperlink>
            </w:p>
            <w:p w14:paraId="2E299959" w14:textId="4AE34F17"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87" w:history="1">
                <w:r w:rsidRPr="004C4CA6">
                  <w:rPr>
                    <w:rStyle w:val="Hyperlink"/>
                  </w:rPr>
                  <w:t>1.3.8.1</w:t>
                </w:r>
                <w:r>
                  <w:rPr>
                    <w:rFonts w:asciiTheme="minorHAnsi" w:eastAsiaTheme="minorEastAsia" w:hAnsiTheme="minorHAnsi" w:cstheme="minorBidi"/>
                    <w:sz w:val="22"/>
                    <w:szCs w:val="22"/>
                    <w:lang w:val="en-US" w:eastAsia="en-US"/>
                  </w:rPr>
                  <w:tab/>
                </w:r>
                <w:r w:rsidRPr="004C4CA6">
                  <w:rPr>
                    <w:rStyle w:val="Hyperlink"/>
                  </w:rPr>
                  <w:t>Environmental governance in Africa</w:t>
                </w:r>
                <w:r>
                  <w:rPr>
                    <w:webHidden/>
                  </w:rPr>
                  <w:tab/>
                </w:r>
                <w:r>
                  <w:rPr>
                    <w:webHidden/>
                  </w:rPr>
                  <w:fldChar w:fldCharType="begin"/>
                </w:r>
                <w:r>
                  <w:rPr>
                    <w:webHidden/>
                  </w:rPr>
                  <w:instrText xml:space="preserve"> PAGEREF _Toc519499787 \h </w:instrText>
                </w:r>
                <w:r>
                  <w:rPr>
                    <w:webHidden/>
                  </w:rPr>
                </w:r>
                <w:r>
                  <w:rPr>
                    <w:webHidden/>
                  </w:rPr>
                  <w:fldChar w:fldCharType="separate"/>
                </w:r>
                <w:r>
                  <w:rPr>
                    <w:webHidden/>
                  </w:rPr>
                  <w:t>67</w:t>
                </w:r>
                <w:r>
                  <w:rPr>
                    <w:webHidden/>
                  </w:rPr>
                  <w:fldChar w:fldCharType="end"/>
                </w:r>
              </w:hyperlink>
            </w:p>
            <w:p w14:paraId="0CECB97C" w14:textId="284FC7C5"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788" w:history="1">
                <w:r w:rsidRPr="004C4CA6">
                  <w:rPr>
                    <w:rStyle w:val="Hyperlink"/>
                  </w:rPr>
                  <w:t>1.3.8.1.1</w:t>
                </w:r>
                <w:r>
                  <w:rPr>
                    <w:rFonts w:asciiTheme="minorHAnsi" w:eastAsiaTheme="minorEastAsia" w:hAnsiTheme="minorHAnsi" w:cstheme="minorBidi"/>
                    <w:sz w:val="22"/>
                    <w:szCs w:val="22"/>
                    <w:lang w:val="en-US" w:eastAsia="en-US"/>
                  </w:rPr>
                  <w:tab/>
                </w:r>
                <w:r w:rsidRPr="004C4CA6">
                  <w:rPr>
                    <w:rStyle w:val="Hyperlink"/>
                  </w:rPr>
                  <w:t>The decentralisation of Natural Resource Management</w:t>
                </w:r>
                <w:r>
                  <w:rPr>
                    <w:webHidden/>
                  </w:rPr>
                  <w:tab/>
                </w:r>
                <w:r>
                  <w:rPr>
                    <w:webHidden/>
                  </w:rPr>
                  <w:fldChar w:fldCharType="begin"/>
                </w:r>
                <w:r>
                  <w:rPr>
                    <w:webHidden/>
                  </w:rPr>
                  <w:instrText xml:space="preserve"> PAGEREF _Toc519499788 \h </w:instrText>
                </w:r>
                <w:r>
                  <w:rPr>
                    <w:webHidden/>
                  </w:rPr>
                </w:r>
                <w:r>
                  <w:rPr>
                    <w:webHidden/>
                  </w:rPr>
                  <w:fldChar w:fldCharType="separate"/>
                </w:r>
                <w:r>
                  <w:rPr>
                    <w:webHidden/>
                  </w:rPr>
                  <w:t>68</w:t>
                </w:r>
                <w:r>
                  <w:rPr>
                    <w:webHidden/>
                  </w:rPr>
                  <w:fldChar w:fldCharType="end"/>
                </w:r>
              </w:hyperlink>
            </w:p>
            <w:p w14:paraId="70948ED4" w14:textId="5A093069"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789" w:history="1">
                <w:r w:rsidRPr="004C4CA6">
                  <w:rPr>
                    <w:rStyle w:val="Hyperlink"/>
                  </w:rPr>
                  <w:t>1.3.8.1.2</w:t>
                </w:r>
                <w:r>
                  <w:rPr>
                    <w:rFonts w:asciiTheme="minorHAnsi" w:eastAsiaTheme="minorEastAsia" w:hAnsiTheme="minorHAnsi" w:cstheme="minorBidi"/>
                    <w:sz w:val="22"/>
                    <w:szCs w:val="22"/>
                    <w:lang w:val="en-US" w:eastAsia="en-US"/>
                  </w:rPr>
                  <w:tab/>
                </w:r>
                <w:r w:rsidRPr="004C4CA6">
                  <w:rPr>
                    <w:rStyle w:val="Hyperlink"/>
                  </w:rPr>
                  <w:t>The historicity and evolution of protected areas</w:t>
                </w:r>
                <w:r>
                  <w:rPr>
                    <w:webHidden/>
                  </w:rPr>
                  <w:tab/>
                </w:r>
                <w:r>
                  <w:rPr>
                    <w:webHidden/>
                  </w:rPr>
                  <w:fldChar w:fldCharType="begin"/>
                </w:r>
                <w:r>
                  <w:rPr>
                    <w:webHidden/>
                  </w:rPr>
                  <w:instrText xml:space="preserve"> PAGEREF _Toc519499789 \h </w:instrText>
                </w:r>
                <w:r>
                  <w:rPr>
                    <w:webHidden/>
                  </w:rPr>
                </w:r>
                <w:r>
                  <w:rPr>
                    <w:webHidden/>
                  </w:rPr>
                  <w:fldChar w:fldCharType="separate"/>
                </w:r>
                <w:r>
                  <w:rPr>
                    <w:webHidden/>
                  </w:rPr>
                  <w:t>70</w:t>
                </w:r>
                <w:r>
                  <w:rPr>
                    <w:webHidden/>
                  </w:rPr>
                  <w:fldChar w:fldCharType="end"/>
                </w:r>
              </w:hyperlink>
            </w:p>
            <w:p w14:paraId="0E38517B" w14:textId="41D6FBB0"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790" w:history="1">
                <w:r w:rsidRPr="004C4CA6">
                  <w:rPr>
                    <w:rStyle w:val="Hyperlink"/>
                  </w:rPr>
                  <w:t>1.3.8.1.3</w:t>
                </w:r>
                <w:r>
                  <w:rPr>
                    <w:rFonts w:asciiTheme="minorHAnsi" w:eastAsiaTheme="minorEastAsia" w:hAnsiTheme="minorHAnsi" w:cstheme="minorBidi"/>
                    <w:sz w:val="22"/>
                    <w:szCs w:val="22"/>
                    <w:lang w:val="en-US" w:eastAsia="en-US"/>
                  </w:rPr>
                  <w:tab/>
                </w:r>
                <w:r w:rsidRPr="004C4CA6">
                  <w:rPr>
                    <w:rStyle w:val="Hyperlink"/>
                  </w:rPr>
                  <w:t>Integrated Landscape Management (ILM)</w:t>
                </w:r>
                <w:r>
                  <w:rPr>
                    <w:webHidden/>
                  </w:rPr>
                  <w:tab/>
                </w:r>
                <w:r>
                  <w:rPr>
                    <w:webHidden/>
                  </w:rPr>
                  <w:fldChar w:fldCharType="begin"/>
                </w:r>
                <w:r>
                  <w:rPr>
                    <w:webHidden/>
                  </w:rPr>
                  <w:instrText xml:space="preserve"> PAGEREF _Toc519499790 \h </w:instrText>
                </w:r>
                <w:r>
                  <w:rPr>
                    <w:webHidden/>
                  </w:rPr>
                </w:r>
                <w:r>
                  <w:rPr>
                    <w:webHidden/>
                  </w:rPr>
                  <w:fldChar w:fldCharType="separate"/>
                </w:r>
                <w:r>
                  <w:rPr>
                    <w:webHidden/>
                  </w:rPr>
                  <w:t>73</w:t>
                </w:r>
                <w:r>
                  <w:rPr>
                    <w:webHidden/>
                  </w:rPr>
                  <w:fldChar w:fldCharType="end"/>
                </w:r>
              </w:hyperlink>
            </w:p>
            <w:p w14:paraId="219A95E8" w14:textId="52B6E1F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91" w:history="1">
                <w:r w:rsidRPr="004C4CA6">
                  <w:rPr>
                    <w:rStyle w:val="Hyperlink"/>
                  </w:rPr>
                  <w:t>1.3.8.2</w:t>
                </w:r>
                <w:r>
                  <w:rPr>
                    <w:rFonts w:asciiTheme="minorHAnsi" w:eastAsiaTheme="minorEastAsia" w:hAnsiTheme="minorHAnsi" w:cstheme="minorBidi"/>
                    <w:sz w:val="22"/>
                    <w:szCs w:val="22"/>
                    <w:lang w:val="en-US" w:eastAsia="en-US"/>
                  </w:rPr>
                  <w:tab/>
                </w:r>
                <w:r w:rsidRPr="004C4CA6">
                  <w:rPr>
                    <w:rStyle w:val="Hyperlink"/>
                  </w:rPr>
                  <w:t>Land tenure and tenure governance</w:t>
                </w:r>
                <w:r>
                  <w:rPr>
                    <w:webHidden/>
                  </w:rPr>
                  <w:tab/>
                </w:r>
                <w:r>
                  <w:rPr>
                    <w:webHidden/>
                  </w:rPr>
                  <w:fldChar w:fldCharType="begin"/>
                </w:r>
                <w:r>
                  <w:rPr>
                    <w:webHidden/>
                  </w:rPr>
                  <w:instrText xml:space="preserve"> PAGEREF _Toc519499791 \h </w:instrText>
                </w:r>
                <w:r>
                  <w:rPr>
                    <w:webHidden/>
                  </w:rPr>
                </w:r>
                <w:r>
                  <w:rPr>
                    <w:webHidden/>
                  </w:rPr>
                  <w:fldChar w:fldCharType="separate"/>
                </w:r>
                <w:r>
                  <w:rPr>
                    <w:webHidden/>
                  </w:rPr>
                  <w:t>74</w:t>
                </w:r>
                <w:r>
                  <w:rPr>
                    <w:webHidden/>
                  </w:rPr>
                  <w:fldChar w:fldCharType="end"/>
                </w:r>
              </w:hyperlink>
            </w:p>
            <w:p w14:paraId="42759DED" w14:textId="770257CC"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792" w:history="1">
                <w:r w:rsidRPr="004C4CA6">
                  <w:rPr>
                    <w:rStyle w:val="Hyperlink"/>
                  </w:rPr>
                  <w:t>1.3.8.2.1</w:t>
                </w:r>
                <w:r>
                  <w:rPr>
                    <w:rFonts w:asciiTheme="minorHAnsi" w:eastAsiaTheme="minorEastAsia" w:hAnsiTheme="minorHAnsi" w:cstheme="minorBidi"/>
                    <w:sz w:val="22"/>
                    <w:szCs w:val="22"/>
                    <w:lang w:val="en-US" w:eastAsia="en-US"/>
                  </w:rPr>
                  <w:tab/>
                </w:r>
                <w:r w:rsidRPr="004C4CA6">
                  <w:rPr>
                    <w:rStyle w:val="Hyperlink"/>
                  </w:rPr>
                  <w:t>The persistence of customary tenure</w:t>
                </w:r>
                <w:r>
                  <w:rPr>
                    <w:webHidden/>
                  </w:rPr>
                  <w:tab/>
                </w:r>
                <w:r>
                  <w:rPr>
                    <w:webHidden/>
                  </w:rPr>
                  <w:fldChar w:fldCharType="begin"/>
                </w:r>
                <w:r>
                  <w:rPr>
                    <w:webHidden/>
                  </w:rPr>
                  <w:instrText xml:space="preserve"> PAGEREF _Toc519499792 \h </w:instrText>
                </w:r>
                <w:r>
                  <w:rPr>
                    <w:webHidden/>
                  </w:rPr>
                </w:r>
                <w:r>
                  <w:rPr>
                    <w:webHidden/>
                  </w:rPr>
                  <w:fldChar w:fldCharType="separate"/>
                </w:r>
                <w:r>
                  <w:rPr>
                    <w:webHidden/>
                  </w:rPr>
                  <w:t>74</w:t>
                </w:r>
                <w:r>
                  <w:rPr>
                    <w:webHidden/>
                  </w:rPr>
                  <w:fldChar w:fldCharType="end"/>
                </w:r>
              </w:hyperlink>
            </w:p>
            <w:p w14:paraId="3538733A" w14:textId="033AFF61"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793" w:history="1">
                <w:r w:rsidRPr="004C4CA6">
                  <w:rPr>
                    <w:rStyle w:val="Hyperlink"/>
                  </w:rPr>
                  <w:t>1.3.8.2.2</w:t>
                </w:r>
                <w:r>
                  <w:rPr>
                    <w:rFonts w:asciiTheme="minorHAnsi" w:eastAsiaTheme="minorEastAsia" w:hAnsiTheme="minorHAnsi" w:cstheme="minorBidi"/>
                    <w:sz w:val="22"/>
                    <w:szCs w:val="22"/>
                    <w:lang w:val="en-US" w:eastAsia="en-US"/>
                  </w:rPr>
                  <w:tab/>
                </w:r>
                <w:r w:rsidRPr="004C4CA6">
                  <w:rPr>
                    <w:rStyle w:val="Hyperlink"/>
                  </w:rPr>
                  <w:t>Africa’s adaptations to legal pluralism</w:t>
                </w:r>
                <w:r>
                  <w:rPr>
                    <w:webHidden/>
                  </w:rPr>
                  <w:tab/>
                </w:r>
                <w:r>
                  <w:rPr>
                    <w:webHidden/>
                  </w:rPr>
                  <w:fldChar w:fldCharType="begin"/>
                </w:r>
                <w:r>
                  <w:rPr>
                    <w:webHidden/>
                  </w:rPr>
                  <w:instrText xml:space="preserve"> PAGEREF _Toc519499793 \h </w:instrText>
                </w:r>
                <w:r>
                  <w:rPr>
                    <w:webHidden/>
                  </w:rPr>
                </w:r>
                <w:r>
                  <w:rPr>
                    <w:webHidden/>
                  </w:rPr>
                  <w:fldChar w:fldCharType="separate"/>
                </w:r>
                <w:r>
                  <w:rPr>
                    <w:webHidden/>
                  </w:rPr>
                  <w:t>75</w:t>
                </w:r>
                <w:r>
                  <w:rPr>
                    <w:webHidden/>
                  </w:rPr>
                  <w:fldChar w:fldCharType="end"/>
                </w:r>
              </w:hyperlink>
            </w:p>
            <w:p w14:paraId="51A941A6" w14:textId="6FE0F477"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94" w:history="1">
                <w:r w:rsidRPr="004C4CA6">
                  <w:rPr>
                    <w:rStyle w:val="Hyperlink"/>
                  </w:rPr>
                  <w:t>1.3.8.3</w:t>
                </w:r>
                <w:r>
                  <w:rPr>
                    <w:rFonts w:asciiTheme="minorHAnsi" w:eastAsiaTheme="minorEastAsia" w:hAnsiTheme="minorHAnsi" w:cstheme="minorBidi"/>
                    <w:sz w:val="22"/>
                    <w:szCs w:val="22"/>
                    <w:lang w:val="en-US" w:eastAsia="en-US"/>
                  </w:rPr>
                  <w:tab/>
                </w:r>
                <w:r w:rsidRPr="004C4CA6">
                  <w:rPr>
                    <w:rStyle w:val="Hyperlink"/>
                  </w:rPr>
                  <w:t>Policy frameworks and guidelines on tenure governance</w:t>
                </w:r>
                <w:r>
                  <w:rPr>
                    <w:webHidden/>
                  </w:rPr>
                  <w:tab/>
                </w:r>
                <w:r>
                  <w:rPr>
                    <w:webHidden/>
                  </w:rPr>
                  <w:fldChar w:fldCharType="begin"/>
                </w:r>
                <w:r>
                  <w:rPr>
                    <w:webHidden/>
                  </w:rPr>
                  <w:instrText xml:space="preserve"> PAGEREF _Toc519499794 \h </w:instrText>
                </w:r>
                <w:r>
                  <w:rPr>
                    <w:webHidden/>
                  </w:rPr>
                </w:r>
                <w:r>
                  <w:rPr>
                    <w:webHidden/>
                  </w:rPr>
                  <w:fldChar w:fldCharType="separate"/>
                </w:r>
                <w:r>
                  <w:rPr>
                    <w:webHidden/>
                  </w:rPr>
                  <w:t>75</w:t>
                </w:r>
                <w:r>
                  <w:rPr>
                    <w:webHidden/>
                  </w:rPr>
                  <w:fldChar w:fldCharType="end"/>
                </w:r>
              </w:hyperlink>
            </w:p>
            <w:p w14:paraId="65486561" w14:textId="058BECE5"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95" w:history="1">
                <w:r w:rsidRPr="004C4CA6">
                  <w:rPr>
                    <w:rStyle w:val="Hyperlink"/>
                  </w:rPr>
                  <w:t>1.3.8.4</w:t>
                </w:r>
                <w:r>
                  <w:rPr>
                    <w:rFonts w:asciiTheme="minorHAnsi" w:eastAsiaTheme="minorEastAsia" w:hAnsiTheme="minorHAnsi" w:cstheme="minorBidi"/>
                    <w:sz w:val="22"/>
                    <w:szCs w:val="22"/>
                    <w:lang w:val="en-US" w:eastAsia="en-US"/>
                  </w:rPr>
                  <w:tab/>
                </w:r>
                <w:r w:rsidRPr="004C4CA6">
                  <w:rPr>
                    <w:rStyle w:val="Hyperlink"/>
                  </w:rPr>
                  <w:t>Conflicts, peace and security</w:t>
                </w:r>
                <w:r>
                  <w:rPr>
                    <w:webHidden/>
                  </w:rPr>
                  <w:tab/>
                </w:r>
                <w:r>
                  <w:rPr>
                    <w:webHidden/>
                  </w:rPr>
                  <w:fldChar w:fldCharType="begin"/>
                </w:r>
                <w:r>
                  <w:rPr>
                    <w:webHidden/>
                  </w:rPr>
                  <w:instrText xml:space="preserve"> PAGEREF _Toc519499795 \h </w:instrText>
                </w:r>
                <w:r>
                  <w:rPr>
                    <w:webHidden/>
                  </w:rPr>
                </w:r>
                <w:r>
                  <w:rPr>
                    <w:webHidden/>
                  </w:rPr>
                  <w:fldChar w:fldCharType="separate"/>
                </w:r>
                <w:r>
                  <w:rPr>
                    <w:webHidden/>
                  </w:rPr>
                  <w:t>76</w:t>
                </w:r>
                <w:r>
                  <w:rPr>
                    <w:webHidden/>
                  </w:rPr>
                  <w:fldChar w:fldCharType="end"/>
                </w:r>
              </w:hyperlink>
            </w:p>
            <w:p w14:paraId="25661F8B" w14:textId="170331F8"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796" w:history="1">
                <w:r w:rsidRPr="004C4CA6">
                  <w:rPr>
                    <w:rStyle w:val="Hyperlink"/>
                  </w:rPr>
                  <w:t>1.3.8.4.1</w:t>
                </w:r>
                <w:r>
                  <w:rPr>
                    <w:rFonts w:asciiTheme="minorHAnsi" w:eastAsiaTheme="minorEastAsia" w:hAnsiTheme="minorHAnsi" w:cstheme="minorBidi"/>
                    <w:sz w:val="22"/>
                    <w:szCs w:val="22"/>
                    <w:lang w:val="en-US" w:eastAsia="en-US"/>
                  </w:rPr>
                  <w:tab/>
                </w:r>
                <w:r w:rsidRPr="004C4CA6">
                  <w:rPr>
                    <w:rStyle w:val="Hyperlink"/>
                  </w:rPr>
                  <w:t>The rise of conflict and violent confrontation</w:t>
                </w:r>
                <w:r>
                  <w:rPr>
                    <w:webHidden/>
                  </w:rPr>
                  <w:tab/>
                </w:r>
                <w:r>
                  <w:rPr>
                    <w:webHidden/>
                  </w:rPr>
                  <w:fldChar w:fldCharType="begin"/>
                </w:r>
                <w:r>
                  <w:rPr>
                    <w:webHidden/>
                  </w:rPr>
                  <w:instrText xml:space="preserve"> PAGEREF _Toc519499796 \h </w:instrText>
                </w:r>
                <w:r>
                  <w:rPr>
                    <w:webHidden/>
                  </w:rPr>
                </w:r>
                <w:r>
                  <w:rPr>
                    <w:webHidden/>
                  </w:rPr>
                  <w:fldChar w:fldCharType="separate"/>
                </w:r>
                <w:r>
                  <w:rPr>
                    <w:webHidden/>
                  </w:rPr>
                  <w:t>77</w:t>
                </w:r>
                <w:r>
                  <w:rPr>
                    <w:webHidden/>
                  </w:rPr>
                  <w:fldChar w:fldCharType="end"/>
                </w:r>
              </w:hyperlink>
            </w:p>
            <w:p w14:paraId="59D4E126" w14:textId="5FED21D3"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797" w:history="1">
                <w:r w:rsidRPr="004C4CA6">
                  <w:rPr>
                    <w:rStyle w:val="Hyperlink"/>
                  </w:rPr>
                  <w:t>1.3.8.4.2</w:t>
                </w:r>
                <w:r>
                  <w:rPr>
                    <w:rFonts w:asciiTheme="minorHAnsi" w:eastAsiaTheme="minorEastAsia" w:hAnsiTheme="minorHAnsi" w:cstheme="minorBidi"/>
                    <w:sz w:val="22"/>
                    <w:szCs w:val="22"/>
                    <w:lang w:val="en-US" w:eastAsia="en-US"/>
                  </w:rPr>
                  <w:tab/>
                </w:r>
                <w:r w:rsidRPr="004C4CA6">
                  <w:rPr>
                    <w:rStyle w:val="Hyperlink"/>
                  </w:rPr>
                  <w:t>The impact of violent conflicts and the reconstruction of society</w:t>
                </w:r>
                <w:r>
                  <w:rPr>
                    <w:webHidden/>
                  </w:rPr>
                  <w:tab/>
                </w:r>
                <w:r>
                  <w:rPr>
                    <w:webHidden/>
                  </w:rPr>
                  <w:fldChar w:fldCharType="begin"/>
                </w:r>
                <w:r>
                  <w:rPr>
                    <w:webHidden/>
                  </w:rPr>
                  <w:instrText xml:space="preserve"> PAGEREF _Toc519499797 \h </w:instrText>
                </w:r>
                <w:r>
                  <w:rPr>
                    <w:webHidden/>
                  </w:rPr>
                </w:r>
                <w:r>
                  <w:rPr>
                    <w:webHidden/>
                  </w:rPr>
                  <w:fldChar w:fldCharType="separate"/>
                </w:r>
                <w:r>
                  <w:rPr>
                    <w:webHidden/>
                  </w:rPr>
                  <w:t>78</w:t>
                </w:r>
                <w:r>
                  <w:rPr>
                    <w:webHidden/>
                  </w:rPr>
                  <w:fldChar w:fldCharType="end"/>
                </w:r>
              </w:hyperlink>
            </w:p>
            <w:p w14:paraId="56CE5DD9" w14:textId="032B04FF"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98" w:history="1">
                <w:r w:rsidRPr="004C4CA6">
                  <w:rPr>
                    <w:rStyle w:val="Hyperlink"/>
                  </w:rPr>
                  <w:t>1.3.8.5</w:t>
                </w:r>
                <w:r>
                  <w:rPr>
                    <w:rFonts w:asciiTheme="minorHAnsi" w:eastAsiaTheme="minorEastAsia" w:hAnsiTheme="minorHAnsi" w:cstheme="minorBidi"/>
                    <w:sz w:val="22"/>
                    <w:szCs w:val="22"/>
                    <w:lang w:val="en-US" w:eastAsia="en-US"/>
                  </w:rPr>
                  <w:tab/>
                </w:r>
                <w:r w:rsidRPr="004C4CA6">
                  <w:rPr>
                    <w:rStyle w:val="Hyperlink"/>
                  </w:rPr>
                  <w:t>Trade issues in the governance of biodiversity and ecosystem services</w:t>
                </w:r>
                <w:r>
                  <w:rPr>
                    <w:webHidden/>
                  </w:rPr>
                  <w:tab/>
                </w:r>
                <w:r>
                  <w:rPr>
                    <w:webHidden/>
                  </w:rPr>
                  <w:fldChar w:fldCharType="begin"/>
                </w:r>
                <w:r>
                  <w:rPr>
                    <w:webHidden/>
                  </w:rPr>
                  <w:instrText xml:space="preserve"> PAGEREF _Toc519499798 \h </w:instrText>
                </w:r>
                <w:r>
                  <w:rPr>
                    <w:webHidden/>
                  </w:rPr>
                </w:r>
                <w:r>
                  <w:rPr>
                    <w:webHidden/>
                  </w:rPr>
                  <w:fldChar w:fldCharType="separate"/>
                </w:r>
                <w:r>
                  <w:rPr>
                    <w:webHidden/>
                  </w:rPr>
                  <w:t>79</w:t>
                </w:r>
                <w:r>
                  <w:rPr>
                    <w:webHidden/>
                  </w:rPr>
                  <w:fldChar w:fldCharType="end"/>
                </w:r>
              </w:hyperlink>
            </w:p>
            <w:p w14:paraId="45F32F04" w14:textId="679E155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799" w:history="1">
                <w:r w:rsidRPr="004C4CA6">
                  <w:rPr>
                    <w:rStyle w:val="Hyperlink"/>
                  </w:rPr>
                  <w:t>1.3.9</w:t>
                </w:r>
                <w:r>
                  <w:rPr>
                    <w:rFonts w:asciiTheme="minorHAnsi" w:eastAsiaTheme="minorEastAsia" w:hAnsiTheme="minorHAnsi" w:cstheme="minorBidi"/>
                    <w:sz w:val="22"/>
                    <w:szCs w:val="22"/>
                    <w:lang w:val="en-US" w:eastAsia="en-US"/>
                  </w:rPr>
                  <w:tab/>
                </w:r>
                <w:r w:rsidRPr="004C4CA6">
                  <w:rPr>
                    <w:rStyle w:val="Hyperlink"/>
                  </w:rPr>
                  <w:t>Sustainable use of ecosystems and green-blue economy</w:t>
                </w:r>
                <w:r>
                  <w:rPr>
                    <w:webHidden/>
                  </w:rPr>
                  <w:tab/>
                </w:r>
                <w:r>
                  <w:rPr>
                    <w:webHidden/>
                  </w:rPr>
                  <w:fldChar w:fldCharType="begin"/>
                </w:r>
                <w:r>
                  <w:rPr>
                    <w:webHidden/>
                  </w:rPr>
                  <w:instrText xml:space="preserve"> PAGEREF _Toc519499799 \h </w:instrText>
                </w:r>
                <w:r>
                  <w:rPr>
                    <w:webHidden/>
                  </w:rPr>
                </w:r>
                <w:r>
                  <w:rPr>
                    <w:webHidden/>
                  </w:rPr>
                  <w:fldChar w:fldCharType="separate"/>
                </w:r>
                <w:r>
                  <w:rPr>
                    <w:webHidden/>
                  </w:rPr>
                  <w:t>80</w:t>
                </w:r>
                <w:r>
                  <w:rPr>
                    <w:webHidden/>
                  </w:rPr>
                  <w:fldChar w:fldCharType="end"/>
                </w:r>
              </w:hyperlink>
            </w:p>
            <w:p w14:paraId="1D5F767C" w14:textId="2E37F34C" w:rsidR="00DA6432" w:rsidRDefault="00DA6432">
              <w:pPr>
                <w:pStyle w:val="TOC3"/>
                <w:rPr>
                  <w:rFonts w:asciiTheme="minorHAnsi" w:eastAsiaTheme="minorEastAsia" w:hAnsiTheme="minorHAnsi" w:cstheme="minorBidi"/>
                  <w:noProof/>
                  <w:color w:val="auto"/>
                  <w:lang w:val="en-US" w:eastAsia="en-US"/>
                </w:rPr>
              </w:pPr>
              <w:hyperlink w:anchor="_Toc519499800" w:history="1">
                <w:r w:rsidRPr="004C4CA6">
                  <w:rPr>
                    <w:rStyle w:val="Hyperlink"/>
                    <w:rFonts w:cs="Times New Roman"/>
                    <w:noProof/>
                  </w:rPr>
                  <w:t>1.4</w:t>
                </w:r>
                <w:r>
                  <w:rPr>
                    <w:rFonts w:asciiTheme="minorHAnsi" w:eastAsiaTheme="minorEastAsia" w:hAnsiTheme="minorHAnsi" w:cstheme="minorBidi"/>
                    <w:noProof/>
                    <w:color w:val="auto"/>
                    <w:lang w:val="en-US" w:eastAsia="en-US"/>
                  </w:rPr>
                  <w:tab/>
                </w:r>
                <w:r w:rsidRPr="004C4CA6">
                  <w:rPr>
                    <w:rStyle w:val="Hyperlink"/>
                    <w:rFonts w:cs="Times New Roman"/>
                    <w:noProof/>
                  </w:rPr>
                  <w:t>References</w:t>
                </w:r>
                <w:r>
                  <w:rPr>
                    <w:noProof/>
                    <w:webHidden/>
                  </w:rPr>
                  <w:tab/>
                </w:r>
                <w:r>
                  <w:rPr>
                    <w:noProof/>
                    <w:webHidden/>
                  </w:rPr>
                  <w:fldChar w:fldCharType="begin"/>
                </w:r>
                <w:r>
                  <w:rPr>
                    <w:noProof/>
                    <w:webHidden/>
                  </w:rPr>
                  <w:instrText xml:space="preserve"> PAGEREF _Toc519499800 \h </w:instrText>
                </w:r>
                <w:r>
                  <w:rPr>
                    <w:noProof/>
                    <w:webHidden/>
                  </w:rPr>
                </w:r>
                <w:r>
                  <w:rPr>
                    <w:noProof/>
                    <w:webHidden/>
                  </w:rPr>
                  <w:fldChar w:fldCharType="separate"/>
                </w:r>
                <w:r>
                  <w:rPr>
                    <w:noProof/>
                    <w:webHidden/>
                  </w:rPr>
                  <w:t>83</w:t>
                </w:r>
                <w:r>
                  <w:rPr>
                    <w:noProof/>
                    <w:webHidden/>
                  </w:rPr>
                  <w:fldChar w:fldCharType="end"/>
                </w:r>
              </w:hyperlink>
            </w:p>
            <w:p w14:paraId="72513834" w14:textId="06DFE97A" w:rsidR="00DA6432" w:rsidRDefault="00DA6432">
              <w:pPr>
                <w:pStyle w:val="TOC1"/>
                <w:rPr>
                  <w:rFonts w:asciiTheme="minorHAnsi" w:hAnsiTheme="minorHAnsi" w:cstheme="minorBidi"/>
                  <w:sz w:val="22"/>
                  <w:szCs w:val="22"/>
                </w:rPr>
              </w:pPr>
              <w:hyperlink w:anchor="_Toc519499801" w:history="1">
                <w:r w:rsidRPr="004C4CA6">
                  <w:rPr>
                    <w:rStyle w:val="Hyperlink"/>
                  </w:rPr>
                  <w:t>Chapter 2: Nature’s contributions to people and quality of life</w:t>
                </w:r>
                <w:r>
                  <w:rPr>
                    <w:webHidden/>
                  </w:rPr>
                  <w:tab/>
                </w:r>
                <w:r>
                  <w:rPr>
                    <w:webHidden/>
                  </w:rPr>
                  <w:fldChar w:fldCharType="begin"/>
                </w:r>
                <w:r>
                  <w:rPr>
                    <w:webHidden/>
                  </w:rPr>
                  <w:instrText xml:space="preserve"> PAGEREF _Toc519499801 \h </w:instrText>
                </w:r>
                <w:r>
                  <w:rPr>
                    <w:webHidden/>
                  </w:rPr>
                </w:r>
                <w:r>
                  <w:rPr>
                    <w:webHidden/>
                  </w:rPr>
                  <w:fldChar w:fldCharType="separate"/>
                </w:r>
                <w:r>
                  <w:rPr>
                    <w:webHidden/>
                  </w:rPr>
                  <w:t>115</w:t>
                </w:r>
                <w:r>
                  <w:rPr>
                    <w:webHidden/>
                  </w:rPr>
                  <w:fldChar w:fldCharType="end"/>
                </w:r>
              </w:hyperlink>
            </w:p>
            <w:p w14:paraId="30E615D5" w14:textId="65D5A93E" w:rsidR="00DA6432" w:rsidRDefault="00DA6432">
              <w:pPr>
                <w:pStyle w:val="TOC3"/>
                <w:rPr>
                  <w:rFonts w:asciiTheme="minorHAnsi" w:eastAsiaTheme="minorEastAsia" w:hAnsiTheme="minorHAnsi" w:cstheme="minorBidi"/>
                  <w:noProof/>
                  <w:color w:val="auto"/>
                  <w:lang w:val="en-US" w:eastAsia="en-US"/>
                </w:rPr>
              </w:pPr>
              <w:hyperlink w:anchor="_Toc519499802" w:history="1">
                <w:r w:rsidRPr="004C4CA6">
                  <w:rPr>
                    <w:rStyle w:val="Hyperlink"/>
                    <w:rFonts w:cs="Times New Roman"/>
                    <w:noProof/>
                  </w:rPr>
                  <w:t>Executive summary</w:t>
                </w:r>
                <w:r>
                  <w:rPr>
                    <w:noProof/>
                    <w:webHidden/>
                  </w:rPr>
                  <w:tab/>
                </w:r>
                <w:r>
                  <w:rPr>
                    <w:noProof/>
                    <w:webHidden/>
                  </w:rPr>
                  <w:fldChar w:fldCharType="begin"/>
                </w:r>
                <w:r>
                  <w:rPr>
                    <w:noProof/>
                    <w:webHidden/>
                  </w:rPr>
                  <w:instrText xml:space="preserve"> PAGEREF _Toc519499802 \h </w:instrText>
                </w:r>
                <w:r>
                  <w:rPr>
                    <w:noProof/>
                    <w:webHidden/>
                  </w:rPr>
                </w:r>
                <w:r>
                  <w:rPr>
                    <w:noProof/>
                    <w:webHidden/>
                  </w:rPr>
                  <w:fldChar w:fldCharType="separate"/>
                </w:r>
                <w:r>
                  <w:rPr>
                    <w:noProof/>
                    <w:webHidden/>
                  </w:rPr>
                  <w:t>116</w:t>
                </w:r>
                <w:r>
                  <w:rPr>
                    <w:noProof/>
                    <w:webHidden/>
                  </w:rPr>
                  <w:fldChar w:fldCharType="end"/>
                </w:r>
              </w:hyperlink>
            </w:p>
            <w:p w14:paraId="05E0586F" w14:textId="2326CFA8" w:rsidR="00DA6432" w:rsidRDefault="00DA6432">
              <w:pPr>
                <w:pStyle w:val="TOC3"/>
                <w:rPr>
                  <w:rFonts w:asciiTheme="minorHAnsi" w:eastAsiaTheme="minorEastAsia" w:hAnsiTheme="minorHAnsi" w:cstheme="minorBidi"/>
                  <w:noProof/>
                  <w:color w:val="auto"/>
                  <w:lang w:val="en-US" w:eastAsia="en-US"/>
                </w:rPr>
              </w:pPr>
              <w:hyperlink w:anchor="_Toc519499803" w:history="1">
                <w:r w:rsidRPr="004C4CA6">
                  <w:rPr>
                    <w:rStyle w:val="Hyperlink"/>
                    <w:rFonts w:cs="Times New Roman"/>
                    <w:noProof/>
                  </w:rPr>
                  <w:t>2.1.</w:t>
                </w:r>
                <w:r>
                  <w:rPr>
                    <w:rFonts w:asciiTheme="minorHAnsi" w:eastAsiaTheme="minorEastAsia" w:hAnsiTheme="minorHAnsi" w:cstheme="minorBidi"/>
                    <w:noProof/>
                    <w:color w:val="auto"/>
                    <w:lang w:val="en-US" w:eastAsia="en-US"/>
                  </w:rPr>
                  <w:tab/>
                </w:r>
                <w:r w:rsidRPr="004C4CA6">
                  <w:rPr>
                    <w:rStyle w:val="Hyperlink"/>
                    <w:rFonts w:cs="Times New Roman"/>
                    <w:noProof/>
                  </w:rPr>
                  <w:t>Introduction</w:t>
                </w:r>
                <w:r>
                  <w:rPr>
                    <w:noProof/>
                    <w:webHidden/>
                  </w:rPr>
                  <w:tab/>
                </w:r>
                <w:r>
                  <w:rPr>
                    <w:noProof/>
                    <w:webHidden/>
                  </w:rPr>
                  <w:fldChar w:fldCharType="begin"/>
                </w:r>
                <w:r>
                  <w:rPr>
                    <w:noProof/>
                    <w:webHidden/>
                  </w:rPr>
                  <w:instrText xml:space="preserve"> PAGEREF _Toc519499803 \h </w:instrText>
                </w:r>
                <w:r>
                  <w:rPr>
                    <w:noProof/>
                    <w:webHidden/>
                  </w:rPr>
                </w:r>
                <w:r>
                  <w:rPr>
                    <w:noProof/>
                    <w:webHidden/>
                  </w:rPr>
                  <w:fldChar w:fldCharType="separate"/>
                </w:r>
                <w:r>
                  <w:rPr>
                    <w:noProof/>
                    <w:webHidden/>
                  </w:rPr>
                  <w:t>118</w:t>
                </w:r>
                <w:r>
                  <w:rPr>
                    <w:noProof/>
                    <w:webHidden/>
                  </w:rPr>
                  <w:fldChar w:fldCharType="end"/>
                </w:r>
              </w:hyperlink>
            </w:p>
            <w:p w14:paraId="0AAD5BD1" w14:textId="7C907263" w:rsidR="00DA6432" w:rsidRDefault="00DA6432">
              <w:pPr>
                <w:pStyle w:val="TOC3"/>
                <w:rPr>
                  <w:rFonts w:asciiTheme="minorHAnsi" w:eastAsiaTheme="minorEastAsia" w:hAnsiTheme="minorHAnsi" w:cstheme="minorBidi"/>
                  <w:noProof/>
                  <w:color w:val="auto"/>
                  <w:lang w:val="en-US" w:eastAsia="en-US"/>
                </w:rPr>
              </w:pPr>
              <w:hyperlink w:anchor="_Toc519499804" w:history="1">
                <w:r w:rsidRPr="004C4CA6">
                  <w:rPr>
                    <w:rStyle w:val="Hyperlink"/>
                    <w:rFonts w:cs="Times New Roman"/>
                    <w:noProof/>
                  </w:rPr>
                  <w:t>2.2.</w:t>
                </w:r>
                <w:r>
                  <w:rPr>
                    <w:rFonts w:asciiTheme="minorHAnsi" w:eastAsiaTheme="minorEastAsia" w:hAnsiTheme="minorHAnsi" w:cstheme="minorBidi"/>
                    <w:noProof/>
                    <w:color w:val="auto"/>
                    <w:lang w:val="en-US" w:eastAsia="en-US"/>
                  </w:rPr>
                  <w:tab/>
                </w:r>
                <w:r w:rsidRPr="004C4CA6">
                  <w:rPr>
                    <w:rStyle w:val="Hyperlink"/>
                    <w:rFonts w:cs="Times New Roman"/>
                    <w:noProof/>
                  </w:rPr>
                  <w:t>Values and valuation of nature’s contribution to people</w:t>
                </w:r>
                <w:r>
                  <w:rPr>
                    <w:noProof/>
                    <w:webHidden/>
                  </w:rPr>
                  <w:tab/>
                </w:r>
                <w:r>
                  <w:rPr>
                    <w:noProof/>
                    <w:webHidden/>
                  </w:rPr>
                  <w:fldChar w:fldCharType="begin"/>
                </w:r>
                <w:r>
                  <w:rPr>
                    <w:noProof/>
                    <w:webHidden/>
                  </w:rPr>
                  <w:instrText xml:space="preserve"> PAGEREF _Toc519499804 \h </w:instrText>
                </w:r>
                <w:r>
                  <w:rPr>
                    <w:noProof/>
                    <w:webHidden/>
                  </w:rPr>
                </w:r>
                <w:r>
                  <w:rPr>
                    <w:noProof/>
                    <w:webHidden/>
                  </w:rPr>
                  <w:fldChar w:fldCharType="separate"/>
                </w:r>
                <w:r>
                  <w:rPr>
                    <w:noProof/>
                    <w:webHidden/>
                  </w:rPr>
                  <w:t>125</w:t>
                </w:r>
                <w:r>
                  <w:rPr>
                    <w:noProof/>
                    <w:webHidden/>
                  </w:rPr>
                  <w:fldChar w:fldCharType="end"/>
                </w:r>
              </w:hyperlink>
            </w:p>
            <w:p w14:paraId="37A80AF6" w14:textId="34105DA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05" w:history="1">
                <w:r w:rsidRPr="004C4CA6">
                  <w:rPr>
                    <w:rStyle w:val="Hyperlink"/>
                  </w:rPr>
                  <w:t>2.2.1.</w:t>
                </w:r>
                <w:r>
                  <w:rPr>
                    <w:rFonts w:asciiTheme="minorHAnsi" w:eastAsiaTheme="minorEastAsia" w:hAnsiTheme="minorHAnsi" w:cstheme="minorBidi"/>
                    <w:sz w:val="22"/>
                    <w:szCs w:val="22"/>
                    <w:lang w:val="en-US" w:eastAsia="en-US"/>
                  </w:rPr>
                  <w:tab/>
                </w:r>
                <w:r w:rsidRPr="004C4CA6">
                  <w:rPr>
                    <w:rStyle w:val="Hyperlink"/>
                  </w:rPr>
                  <w:t>Material Contributions</w:t>
                </w:r>
                <w:r>
                  <w:rPr>
                    <w:webHidden/>
                  </w:rPr>
                  <w:tab/>
                </w:r>
                <w:r>
                  <w:rPr>
                    <w:webHidden/>
                  </w:rPr>
                  <w:fldChar w:fldCharType="begin"/>
                </w:r>
                <w:r>
                  <w:rPr>
                    <w:webHidden/>
                  </w:rPr>
                  <w:instrText xml:space="preserve"> PAGEREF _Toc519499805 \h </w:instrText>
                </w:r>
                <w:r>
                  <w:rPr>
                    <w:webHidden/>
                  </w:rPr>
                </w:r>
                <w:r>
                  <w:rPr>
                    <w:webHidden/>
                  </w:rPr>
                  <w:fldChar w:fldCharType="separate"/>
                </w:r>
                <w:r>
                  <w:rPr>
                    <w:webHidden/>
                  </w:rPr>
                  <w:t>127</w:t>
                </w:r>
                <w:r>
                  <w:rPr>
                    <w:webHidden/>
                  </w:rPr>
                  <w:fldChar w:fldCharType="end"/>
                </w:r>
              </w:hyperlink>
            </w:p>
            <w:p w14:paraId="44B95563" w14:textId="191643CB"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06" w:history="1">
                <w:r w:rsidRPr="004C4CA6">
                  <w:rPr>
                    <w:rStyle w:val="Hyperlink"/>
                  </w:rPr>
                  <w:t>2.2.1.1.</w:t>
                </w:r>
                <w:r>
                  <w:rPr>
                    <w:rFonts w:asciiTheme="minorHAnsi" w:eastAsiaTheme="minorEastAsia" w:hAnsiTheme="minorHAnsi" w:cstheme="minorBidi"/>
                    <w:sz w:val="22"/>
                    <w:szCs w:val="22"/>
                    <w:lang w:val="en-US" w:eastAsia="en-US"/>
                  </w:rPr>
                  <w:tab/>
                </w:r>
                <w:r w:rsidRPr="004C4CA6">
                  <w:rPr>
                    <w:rStyle w:val="Hyperlink"/>
                  </w:rPr>
                  <w:t>Food and feeds</w:t>
                </w:r>
                <w:r>
                  <w:rPr>
                    <w:webHidden/>
                  </w:rPr>
                  <w:tab/>
                </w:r>
                <w:r>
                  <w:rPr>
                    <w:webHidden/>
                  </w:rPr>
                  <w:fldChar w:fldCharType="begin"/>
                </w:r>
                <w:r>
                  <w:rPr>
                    <w:webHidden/>
                  </w:rPr>
                  <w:instrText xml:space="preserve"> PAGEREF _Toc519499806 \h </w:instrText>
                </w:r>
                <w:r>
                  <w:rPr>
                    <w:webHidden/>
                  </w:rPr>
                </w:r>
                <w:r>
                  <w:rPr>
                    <w:webHidden/>
                  </w:rPr>
                  <w:fldChar w:fldCharType="separate"/>
                </w:r>
                <w:r>
                  <w:rPr>
                    <w:webHidden/>
                  </w:rPr>
                  <w:t>128</w:t>
                </w:r>
                <w:r>
                  <w:rPr>
                    <w:webHidden/>
                  </w:rPr>
                  <w:fldChar w:fldCharType="end"/>
                </w:r>
              </w:hyperlink>
            </w:p>
            <w:p w14:paraId="150D7E86" w14:textId="16F92FF2"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07" w:history="1">
                <w:r w:rsidRPr="004C4CA6">
                  <w:rPr>
                    <w:rStyle w:val="Hyperlink"/>
                  </w:rPr>
                  <w:t>2.2.1.2.</w:t>
                </w:r>
                <w:r>
                  <w:rPr>
                    <w:rFonts w:asciiTheme="minorHAnsi" w:eastAsiaTheme="minorEastAsia" w:hAnsiTheme="minorHAnsi" w:cstheme="minorBidi"/>
                    <w:sz w:val="22"/>
                    <w:szCs w:val="22"/>
                    <w:lang w:val="en-US" w:eastAsia="en-US"/>
                  </w:rPr>
                  <w:tab/>
                </w:r>
                <w:r w:rsidRPr="004C4CA6">
                  <w:rPr>
                    <w:rStyle w:val="Hyperlink"/>
                  </w:rPr>
                  <w:t>Timber and Non-Timber Forest Products (NTFPs) and livelihoods</w:t>
                </w:r>
                <w:r>
                  <w:rPr>
                    <w:webHidden/>
                  </w:rPr>
                  <w:tab/>
                </w:r>
                <w:r>
                  <w:rPr>
                    <w:webHidden/>
                  </w:rPr>
                  <w:fldChar w:fldCharType="begin"/>
                </w:r>
                <w:r>
                  <w:rPr>
                    <w:webHidden/>
                  </w:rPr>
                  <w:instrText xml:space="preserve"> PAGEREF _Toc519499807 \h </w:instrText>
                </w:r>
                <w:r>
                  <w:rPr>
                    <w:webHidden/>
                  </w:rPr>
                </w:r>
                <w:r>
                  <w:rPr>
                    <w:webHidden/>
                  </w:rPr>
                  <w:fldChar w:fldCharType="separate"/>
                </w:r>
                <w:r>
                  <w:rPr>
                    <w:webHidden/>
                  </w:rPr>
                  <w:t>131</w:t>
                </w:r>
                <w:r>
                  <w:rPr>
                    <w:webHidden/>
                  </w:rPr>
                  <w:fldChar w:fldCharType="end"/>
                </w:r>
              </w:hyperlink>
            </w:p>
            <w:p w14:paraId="41BBA010" w14:textId="575EF83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08" w:history="1">
                <w:r w:rsidRPr="004C4CA6">
                  <w:rPr>
                    <w:rStyle w:val="Hyperlink"/>
                  </w:rPr>
                  <w:t>2.2.1.3.</w:t>
                </w:r>
                <w:r>
                  <w:rPr>
                    <w:rFonts w:asciiTheme="minorHAnsi" w:eastAsiaTheme="minorEastAsia" w:hAnsiTheme="minorHAnsi" w:cstheme="minorBidi"/>
                    <w:sz w:val="22"/>
                    <w:szCs w:val="22"/>
                    <w:lang w:val="en-US" w:eastAsia="en-US"/>
                  </w:rPr>
                  <w:tab/>
                </w:r>
                <w:r w:rsidRPr="004C4CA6">
                  <w:rPr>
                    <w:rStyle w:val="Hyperlink"/>
                  </w:rPr>
                  <w:t>Energy</w:t>
                </w:r>
                <w:r>
                  <w:rPr>
                    <w:webHidden/>
                  </w:rPr>
                  <w:tab/>
                </w:r>
                <w:r>
                  <w:rPr>
                    <w:webHidden/>
                  </w:rPr>
                  <w:fldChar w:fldCharType="begin"/>
                </w:r>
                <w:r>
                  <w:rPr>
                    <w:webHidden/>
                  </w:rPr>
                  <w:instrText xml:space="preserve"> PAGEREF _Toc519499808 \h </w:instrText>
                </w:r>
                <w:r>
                  <w:rPr>
                    <w:webHidden/>
                  </w:rPr>
                </w:r>
                <w:r>
                  <w:rPr>
                    <w:webHidden/>
                  </w:rPr>
                  <w:fldChar w:fldCharType="separate"/>
                </w:r>
                <w:r>
                  <w:rPr>
                    <w:webHidden/>
                  </w:rPr>
                  <w:t>133</w:t>
                </w:r>
                <w:r>
                  <w:rPr>
                    <w:webHidden/>
                  </w:rPr>
                  <w:fldChar w:fldCharType="end"/>
                </w:r>
              </w:hyperlink>
            </w:p>
            <w:p w14:paraId="55F8674B" w14:textId="68F690C3"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09" w:history="1">
                <w:r w:rsidRPr="004C4CA6">
                  <w:rPr>
                    <w:rStyle w:val="Hyperlink"/>
                  </w:rPr>
                  <w:t>2.2.1.4.</w:t>
                </w:r>
                <w:r>
                  <w:rPr>
                    <w:rFonts w:asciiTheme="minorHAnsi" w:eastAsiaTheme="minorEastAsia" w:hAnsiTheme="minorHAnsi" w:cstheme="minorBidi"/>
                    <w:sz w:val="22"/>
                    <w:szCs w:val="22"/>
                    <w:lang w:val="en-US" w:eastAsia="en-US"/>
                  </w:rPr>
                  <w:tab/>
                </w:r>
                <w:r w:rsidRPr="004C4CA6">
                  <w:rPr>
                    <w:rStyle w:val="Hyperlink"/>
                  </w:rPr>
                  <w:t>Medicinal, biochemical and genetic resources</w:t>
                </w:r>
                <w:r>
                  <w:rPr>
                    <w:webHidden/>
                  </w:rPr>
                  <w:tab/>
                </w:r>
                <w:r>
                  <w:rPr>
                    <w:webHidden/>
                  </w:rPr>
                  <w:fldChar w:fldCharType="begin"/>
                </w:r>
                <w:r>
                  <w:rPr>
                    <w:webHidden/>
                  </w:rPr>
                  <w:instrText xml:space="preserve"> PAGEREF _Toc519499809 \h </w:instrText>
                </w:r>
                <w:r>
                  <w:rPr>
                    <w:webHidden/>
                  </w:rPr>
                </w:r>
                <w:r>
                  <w:rPr>
                    <w:webHidden/>
                  </w:rPr>
                  <w:fldChar w:fldCharType="separate"/>
                </w:r>
                <w:r>
                  <w:rPr>
                    <w:webHidden/>
                  </w:rPr>
                  <w:t>136</w:t>
                </w:r>
                <w:r>
                  <w:rPr>
                    <w:webHidden/>
                  </w:rPr>
                  <w:fldChar w:fldCharType="end"/>
                </w:r>
              </w:hyperlink>
            </w:p>
            <w:p w14:paraId="359F8E26" w14:textId="0B905C34"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10" w:history="1">
                <w:r w:rsidRPr="004C4CA6">
                  <w:rPr>
                    <w:rStyle w:val="Hyperlink"/>
                  </w:rPr>
                  <w:t>2.2.1.5.</w:t>
                </w:r>
                <w:r>
                  <w:rPr>
                    <w:rFonts w:asciiTheme="minorHAnsi" w:eastAsiaTheme="minorEastAsia" w:hAnsiTheme="minorHAnsi" w:cstheme="minorBidi"/>
                    <w:sz w:val="22"/>
                    <w:szCs w:val="22"/>
                    <w:lang w:val="en-US" w:eastAsia="en-US"/>
                  </w:rPr>
                  <w:tab/>
                </w:r>
                <w:r w:rsidRPr="004C4CA6">
                  <w:rPr>
                    <w:rStyle w:val="Hyperlink"/>
                  </w:rPr>
                  <w:t>Water supply</w:t>
                </w:r>
                <w:r>
                  <w:rPr>
                    <w:webHidden/>
                  </w:rPr>
                  <w:tab/>
                </w:r>
                <w:r>
                  <w:rPr>
                    <w:webHidden/>
                  </w:rPr>
                  <w:fldChar w:fldCharType="begin"/>
                </w:r>
                <w:r>
                  <w:rPr>
                    <w:webHidden/>
                  </w:rPr>
                  <w:instrText xml:space="preserve"> PAGEREF _Toc519499810 \h </w:instrText>
                </w:r>
                <w:r>
                  <w:rPr>
                    <w:webHidden/>
                  </w:rPr>
                </w:r>
                <w:r>
                  <w:rPr>
                    <w:webHidden/>
                  </w:rPr>
                  <w:fldChar w:fldCharType="separate"/>
                </w:r>
                <w:r>
                  <w:rPr>
                    <w:webHidden/>
                  </w:rPr>
                  <w:t>137</w:t>
                </w:r>
                <w:r>
                  <w:rPr>
                    <w:webHidden/>
                  </w:rPr>
                  <w:fldChar w:fldCharType="end"/>
                </w:r>
              </w:hyperlink>
            </w:p>
            <w:p w14:paraId="451D22D8" w14:textId="61EA9CD2"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11" w:history="1">
                <w:r w:rsidRPr="004C4CA6">
                  <w:rPr>
                    <w:rStyle w:val="Hyperlink"/>
                  </w:rPr>
                  <w:t>2.2.2.</w:t>
                </w:r>
                <w:r>
                  <w:rPr>
                    <w:rFonts w:asciiTheme="minorHAnsi" w:eastAsiaTheme="minorEastAsia" w:hAnsiTheme="minorHAnsi" w:cstheme="minorBidi"/>
                    <w:sz w:val="22"/>
                    <w:szCs w:val="22"/>
                    <w:lang w:val="en-US" w:eastAsia="en-US"/>
                  </w:rPr>
                  <w:tab/>
                </w:r>
                <w:r w:rsidRPr="004C4CA6">
                  <w:rPr>
                    <w:rStyle w:val="Hyperlink"/>
                  </w:rPr>
                  <w:t>Regulating Contributions</w:t>
                </w:r>
                <w:r>
                  <w:rPr>
                    <w:webHidden/>
                  </w:rPr>
                  <w:tab/>
                </w:r>
                <w:r>
                  <w:rPr>
                    <w:webHidden/>
                  </w:rPr>
                  <w:fldChar w:fldCharType="begin"/>
                </w:r>
                <w:r>
                  <w:rPr>
                    <w:webHidden/>
                  </w:rPr>
                  <w:instrText xml:space="preserve"> PAGEREF _Toc519499811 \h </w:instrText>
                </w:r>
                <w:r>
                  <w:rPr>
                    <w:webHidden/>
                  </w:rPr>
                </w:r>
                <w:r>
                  <w:rPr>
                    <w:webHidden/>
                  </w:rPr>
                  <w:fldChar w:fldCharType="separate"/>
                </w:r>
                <w:r>
                  <w:rPr>
                    <w:webHidden/>
                  </w:rPr>
                  <w:t>140</w:t>
                </w:r>
                <w:r>
                  <w:rPr>
                    <w:webHidden/>
                  </w:rPr>
                  <w:fldChar w:fldCharType="end"/>
                </w:r>
              </w:hyperlink>
            </w:p>
            <w:p w14:paraId="09CE868C" w14:textId="1AAF2719"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12" w:history="1">
                <w:r w:rsidRPr="004C4CA6">
                  <w:rPr>
                    <w:rStyle w:val="Hyperlink"/>
                  </w:rPr>
                  <w:t>2.2.2.1.</w:t>
                </w:r>
                <w:r>
                  <w:rPr>
                    <w:rFonts w:asciiTheme="minorHAnsi" w:eastAsiaTheme="minorEastAsia" w:hAnsiTheme="minorHAnsi" w:cstheme="minorBidi"/>
                    <w:sz w:val="22"/>
                    <w:szCs w:val="22"/>
                    <w:lang w:val="en-US" w:eastAsia="en-US"/>
                  </w:rPr>
                  <w:tab/>
                </w:r>
                <w:r w:rsidRPr="004C4CA6">
                  <w:rPr>
                    <w:rStyle w:val="Hyperlink"/>
                  </w:rPr>
                  <w:t>Pollination, dispersal of seeds and other propagules</w:t>
                </w:r>
                <w:r>
                  <w:rPr>
                    <w:webHidden/>
                  </w:rPr>
                  <w:tab/>
                </w:r>
                <w:r>
                  <w:rPr>
                    <w:webHidden/>
                  </w:rPr>
                  <w:fldChar w:fldCharType="begin"/>
                </w:r>
                <w:r>
                  <w:rPr>
                    <w:webHidden/>
                  </w:rPr>
                  <w:instrText xml:space="preserve"> PAGEREF _Toc519499812 \h </w:instrText>
                </w:r>
                <w:r>
                  <w:rPr>
                    <w:webHidden/>
                  </w:rPr>
                </w:r>
                <w:r>
                  <w:rPr>
                    <w:webHidden/>
                  </w:rPr>
                  <w:fldChar w:fldCharType="separate"/>
                </w:r>
                <w:r>
                  <w:rPr>
                    <w:webHidden/>
                  </w:rPr>
                  <w:t>140</w:t>
                </w:r>
                <w:r>
                  <w:rPr>
                    <w:webHidden/>
                  </w:rPr>
                  <w:fldChar w:fldCharType="end"/>
                </w:r>
              </w:hyperlink>
            </w:p>
            <w:p w14:paraId="530C66AD" w14:textId="27A6004B"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13" w:history="1">
                <w:r w:rsidRPr="004C4CA6">
                  <w:rPr>
                    <w:rStyle w:val="Hyperlink"/>
                  </w:rPr>
                  <w:t>2.2.2.2.</w:t>
                </w:r>
                <w:r>
                  <w:rPr>
                    <w:rFonts w:asciiTheme="minorHAnsi" w:eastAsiaTheme="minorEastAsia" w:hAnsiTheme="minorHAnsi" w:cstheme="minorBidi"/>
                    <w:sz w:val="22"/>
                    <w:szCs w:val="22"/>
                    <w:lang w:val="en-US" w:eastAsia="en-US"/>
                  </w:rPr>
                  <w:tab/>
                </w:r>
                <w:r w:rsidRPr="004C4CA6">
                  <w:rPr>
                    <w:rStyle w:val="Hyperlink"/>
                  </w:rPr>
                  <w:t>Regulation of climate</w:t>
                </w:r>
                <w:r>
                  <w:rPr>
                    <w:webHidden/>
                  </w:rPr>
                  <w:tab/>
                </w:r>
                <w:r>
                  <w:rPr>
                    <w:webHidden/>
                  </w:rPr>
                  <w:fldChar w:fldCharType="begin"/>
                </w:r>
                <w:r>
                  <w:rPr>
                    <w:webHidden/>
                  </w:rPr>
                  <w:instrText xml:space="preserve"> PAGEREF _Toc519499813 \h </w:instrText>
                </w:r>
                <w:r>
                  <w:rPr>
                    <w:webHidden/>
                  </w:rPr>
                </w:r>
                <w:r>
                  <w:rPr>
                    <w:webHidden/>
                  </w:rPr>
                  <w:fldChar w:fldCharType="separate"/>
                </w:r>
                <w:r>
                  <w:rPr>
                    <w:webHidden/>
                  </w:rPr>
                  <w:t>141</w:t>
                </w:r>
                <w:r>
                  <w:rPr>
                    <w:webHidden/>
                  </w:rPr>
                  <w:fldChar w:fldCharType="end"/>
                </w:r>
              </w:hyperlink>
            </w:p>
            <w:p w14:paraId="1DCBCF12" w14:textId="1EE65E26"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14" w:history="1">
                <w:r w:rsidRPr="004C4CA6">
                  <w:rPr>
                    <w:rStyle w:val="Hyperlink"/>
                  </w:rPr>
                  <w:t>2.2.2.2.1.</w:t>
                </w:r>
                <w:r>
                  <w:rPr>
                    <w:rFonts w:asciiTheme="minorHAnsi" w:eastAsiaTheme="minorEastAsia" w:hAnsiTheme="minorHAnsi" w:cstheme="minorBidi"/>
                    <w:sz w:val="22"/>
                    <w:szCs w:val="22"/>
                    <w:lang w:val="en-US" w:eastAsia="en-US"/>
                  </w:rPr>
                  <w:tab/>
                </w:r>
                <w:r w:rsidRPr="004C4CA6">
                  <w:rPr>
                    <w:rStyle w:val="Hyperlink"/>
                  </w:rPr>
                  <w:t>Regulation of hazards and extreme events</w:t>
                </w:r>
                <w:r>
                  <w:rPr>
                    <w:webHidden/>
                  </w:rPr>
                  <w:tab/>
                </w:r>
                <w:r>
                  <w:rPr>
                    <w:webHidden/>
                  </w:rPr>
                  <w:fldChar w:fldCharType="begin"/>
                </w:r>
                <w:r>
                  <w:rPr>
                    <w:webHidden/>
                  </w:rPr>
                  <w:instrText xml:space="preserve"> PAGEREF _Toc519499814 \h </w:instrText>
                </w:r>
                <w:r>
                  <w:rPr>
                    <w:webHidden/>
                  </w:rPr>
                </w:r>
                <w:r>
                  <w:rPr>
                    <w:webHidden/>
                  </w:rPr>
                  <w:fldChar w:fldCharType="separate"/>
                </w:r>
                <w:r>
                  <w:rPr>
                    <w:webHidden/>
                  </w:rPr>
                  <w:t>142</w:t>
                </w:r>
                <w:r>
                  <w:rPr>
                    <w:webHidden/>
                  </w:rPr>
                  <w:fldChar w:fldCharType="end"/>
                </w:r>
              </w:hyperlink>
            </w:p>
            <w:p w14:paraId="2ED39F4F" w14:textId="03309485"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15" w:history="1">
                <w:r w:rsidRPr="004C4CA6">
                  <w:rPr>
                    <w:rStyle w:val="Hyperlink"/>
                  </w:rPr>
                  <w:t>2.2.2.3.</w:t>
                </w:r>
                <w:r>
                  <w:rPr>
                    <w:rFonts w:asciiTheme="minorHAnsi" w:eastAsiaTheme="minorEastAsia" w:hAnsiTheme="minorHAnsi" w:cstheme="minorBidi"/>
                    <w:sz w:val="22"/>
                    <w:szCs w:val="22"/>
                    <w:lang w:val="en-US" w:eastAsia="en-US"/>
                  </w:rPr>
                  <w:tab/>
                </w:r>
                <w:r w:rsidRPr="004C4CA6">
                  <w:rPr>
                    <w:rStyle w:val="Hyperlink"/>
                  </w:rPr>
                  <w:t>Regulation of freshwater and coastal quality</w:t>
                </w:r>
                <w:r>
                  <w:rPr>
                    <w:webHidden/>
                  </w:rPr>
                  <w:tab/>
                </w:r>
                <w:r>
                  <w:rPr>
                    <w:webHidden/>
                  </w:rPr>
                  <w:fldChar w:fldCharType="begin"/>
                </w:r>
                <w:r>
                  <w:rPr>
                    <w:webHidden/>
                  </w:rPr>
                  <w:instrText xml:space="preserve"> PAGEREF _Toc519499815 \h </w:instrText>
                </w:r>
                <w:r>
                  <w:rPr>
                    <w:webHidden/>
                  </w:rPr>
                </w:r>
                <w:r>
                  <w:rPr>
                    <w:webHidden/>
                  </w:rPr>
                  <w:fldChar w:fldCharType="separate"/>
                </w:r>
                <w:r>
                  <w:rPr>
                    <w:webHidden/>
                  </w:rPr>
                  <w:t>143</w:t>
                </w:r>
                <w:r>
                  <w:rPr>
                    <w:webHidden/>
                  </w:rPr>
                  <w:fldChar w:fldCharType="end"/>
                </w:r>
              </w:hyperlink>
            </w:p>
            <w:p w14:paraId="07937544" w14:textId="5DCFBE0F"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16" w:history="1">
                <w:r w:rsidRPr="004C4CA6">
                  <w:rPr>
                    <w:rStyle w:val="Hyperlink"/>
                  </w:rPr>
                  <w:t>2.2.2.4.</w:t>
                </w:r>
                <w:r>
                  <w:rPr>
                    <w:rFonts w:asciiTheme="minorHAnsi" w:eastAsiaTheme="minorEastAsia" w:hAnsiTheme="minorHAnsi" w:cstheme="minorBidi"/>
                    <w:sz w:val="22"/>
                    <w:szCs w:val="22"/>
                    <w:lang w:val="en-US" w:eastAsia="en-US"/>
                  </w:rPr>
                  <w:tab/>
                </w:r>
                <w:r w:rsidRPr="004C4CA6">
                  <w:rPr>
                    <w:rStyle w:val="Hyperlink"/>
                  </w:rPr>
                  <w:t>Soil amelioration</w:t>
                </w:r>
                <w:r>
                  <w:rPr>
                    <w:webHidden/>
                  </w:rPr>
                  <w:tab/>
                </w:r>
                <w:r>
                  <w:rPr>
                    <w:webHidden/>
                  </w:rPr>
                  <w:fldChar w:fldCharType="begin"/>
                </w:r>
                <w:r>
                  <w:rPr>
                    <w:webHidden/>
                  </w:rPr>
                  <w:instrText xml:space="preserve"> PAGEREF _Toc519499816 \h </w:instrText>
                </w:r>
                <w:r>
                  <w:rPr>
                    <w:webHidden/>
                  </w:rPr>
                </w:r>
                <w:r>
                  <w:rPr>
                    <w:webHidden/>
                  </w:rPr>
                  <w:fldChar w:fldCharType="separate"/>
                </w:r>
                <w:r>
                  <w:rPr>
                    <w:webHidden/>
                  </w:rPr>
                  <w:t>144</w:t>
                </w:r>
                <w:r>
                  <w:rPr>
                    <w:webHidden/>
                  </w:rPr>
                  <w:fldChar w:fldCharType="end"/>
                </w:r>
              </w:hyperlink>
            </w:p>
            <w:p w14:paraId="3F0663D5" w14:textId="43EA7809"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17" w:history="1">
                <w:r w:rsidRPr="004C4CA6">
                  <w:rPr>
                    <w:rStyle w:val="Hyperlink"/>
                  </w:rPr>
                  <w:t>2.2.3.</w:t>
                </w:r>
                <w:r>
                  <w:rPr>
                    <w:rFonts w:asciiTheme="minorHAnsi" w:eastAsiaTheme="minorEastAsia" w:hAnsiTheme="minorHAnsi" w:cstheme="minorBidi"/>
                    <w:sz w:val="22"/>
                    <w:szCs w:val="22"/>
                    <w:lang w:val="en-US" w:eastAsia="en-US"/>
                  </w:rPr>
                  <w:tab/>
                </w:r>
                <w:r w:rsidRPr="004C4CA6">
                  <w:rPr>
                    <w:rStyle w:val="Hyperlink"/>
                  </w:rPr>
                  <w:t>Non-material Contributions</w:t>
                </w:r>
                <w:r>
                  <w:rPr>
                    <w:webHidden/>
                  </w:rPr>
                  <w:tab/>
                </w:r>
                <w:r>
                  <w:rPr>
                    <w:webHidden/>
                  </w:rPr>
                  <w:fldChar w:fldCharType="begin"/>
                </w:r>
                <w:r>
                  <w:rPr>
                    <w:webHidden/>
                  </w:rPr>
                  <w:instrText xml:space="preserve"> PAGEREF _Toc519499817 \h </w:instrText>
                </w:r>
                <w:r>
                  <w:rPr>
                    <w:webHidden/>
                  </w:rPr>
                </w:r>
                <w:r>
                  <w:rPr>
                    <w:webHidden/>
                  </w:rPr>
                  <w:fldChar w:fldCharType="separate"/>
                </w:r>
                <w:r>
                  <w:rPr>
                    <w:webHidden/>
                  </w:rPr>
                  <w:t>144</w:t>
                </w:r>
                <w:r>
                  <w:rPr>
                    <w:webHidden/>
                  </w:rPr>
                  <w:fldChar w:fldCharType="end"/>
                </w:r>
              </w:hyperlink>
            </w:p>
            <w:p w14:paraId="7330A9B5" w14:textId="30212FBE"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18" w:history="1">
                <w:r w:rsidRPr="004C4CA6">
                  <w:rPr>
                    <w:rStyle w:val="Hyperlink"/>
                  </w:rPr>
                  <w:t>2.2.3.1.</w:t>
                </w:r>
                <w:r>
                  <w:rPr>
                    <w:rFonts w:asciiTheme="minorHAnsi" w:eastAsiaTheme="minorEastAsia" w:hAnsiTheme="minorHAnsi" w:cstheme="minorBidi"/>
                    <w:sz w:val="22"/>
                    <w:szCs w:val="22"/>
                    <w:lang w:val="en-US" w:eastAsia="en-US"/>
                  </w:rPr>
                  <w:tab/>
                </w:r>
                <w:r w:rsidRPr="004C4CA6">
                  <w:rPr>
                    <w:rStyle w:val="Hyperlink"/>
                  </w:rPr>
                  <w:t>Supporting identities</w:t>
                </w:r>
                <w:r>
                  <w:rPr>
                    <w:webHidden/>
                  </w:rPr>
                  <w:tab/>
                </w:r>
                <w:r>
                  <w:rPr>
                    <w:webHidden/>
                  </w:rPr>
                  <w:fldChar w:fldCharType="begin"/>
                </w:r>
                <w:r>
                  <w:rPr>
                    <w:webHidden/>
                  </w:rPr>
                  <w:instrText xml:space="preserve"> PAGEREF _Toc519499818 \h </w:instrText>
                </w:r>
                <w:r>
                  <w:rPr>
                    <w:webHidden/>
                  </w:rPr>
                </w:r>
                <w:r>
                  <w:rPr>
                    <w:webHidden/>
                  </w:rPr>
                  <w:fldChar w:fldCharType="separate"/>
                </w:r>
                <w:r>
                  <w:rPr>
                    <w:webHidden/>
                  </w:rPr>
                  <w:t>145</w:t>
                </w:r>
                <w:r>
                  <w:rPr>
                    <w:webHidden/>
                  </w:rPr>
                  <w:fldChar w:fldCharType="end"/>
                </w:r>
              </w:hyperlink>
            </w:p>
            <w:p w14:paraId="2CEB81F6" w14:textId="1E515B6D"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19" w:history="1">
                <w:r w:rsidRPr="004C4CA6">
                  <w:rPr>
                    <w:rStyle w:val="Hyperlink"/>
                  </w:rPr>
                  <w:t>2.2.3.2.</w:t>
                </w:r>
                <w:r>
                  <w:rPr>
                    <w:rFonts w:asciiTheme="minorHAnsi" w:eastAsiaTheme="minorEastAsia" w:hAnsiTheme="minorHAnsi" w:cstheme="minorBidi"/>
                    <w:sz w:val="22"/>
                    <w:szCs w:val="22"/>
                    <w:lang w:val="en-US" w:eastAsia="en-US"/>
                  </w:rPr>
                  <w:tab/>
                </w:r>
                <w:r w:rsidRPr="004C4CA6">
                  <w:rPr>
                    <w:rStyle w:val="Hyperlink"/>
                  </w:rPr>
                  <w:t>Physical and physiological experiences</w:t>
                </w:r>
                <w:r>
                  <w:rPr>
                    <w:webHidden/>
                  </w:rPr>
                  <w:tab/>
                </w:r>
                <w:r>
                  <w:rPr>
                    <w:webHidden/>
                  </w:rPr>
                  <w:fldChar w:fldCharType="begin"/>
                </w:r>
                <w:r>
                  <w:rPr>
                    <w:webHidden/>
                  </w:rPr>
                  <w:instrText xml:space="preserve"> PAGEREF _Toc519499819 \h </w:instrText>
                </w:r>
                <w:r>
                  <w:rPr>
                    <w:webHidden/>
                  </w:rPr>
                </w:r>
                <w:r>
                  <w:rPr>
                    <w:webHidden/>
                  </w:rPr>
                  <w:fldChar w:fldCharType="separate"/>
                </w:r>
                <w:r>
                  <w:rPr>
                    <w:webHidden/>
                  </w:rPr>
                  <w:t>146</w:t>
                </w:r>
                <w:r>
                  <w:rPr>
                    <w:webHidden/>
                  </w:rPr>
                  <w:fldChar w:fldCharType="end"/>
                </w:r>
              </w:hyperlink>
            </w:p>
            <w:p w14:paraId="61E581EC" w14:textId="33599F72"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20" w:history="1">
                <w:r w:rsidRPr="004C4CA6">
                  <w:rPr>
                    <w:rStyle w:val="Hyperlink"/>
                  </w:rPr>
                  <w:t>2.2.3.3.</w:t>
                </w:r>
                <w:r>
                  <w:rPr>
                    <w:rFonts w:asciiTheme="minorHAnsi" w:eastAsiaTheme="minorEastAsia" w:hAnsiTheme="minorHAnsi" w:cstheme="minorBidi"/>
                    <w:sz w:val="22"/>
                    <w:szCs w:val="22"/>
                    <w:lang w:val="en-US" w:eastAsia="en-US"/>
                  </w:rPr>
                  <w:tab/>
                </w:r>
                <w:r w:rsidRPr="004C4CA6">
                  <w:rPr>
                    <w:rStyle w:val="Hyperlink"/>
                  </w:rPr>
                  <w:t>Social relationships, spirituality and cultural identity</w:t>
                </w:r>
                <w:r>
                  <w:rPr>
                    <w:webHidden/>
                  </w:rPr>
                  <w:tab/>
                </w:r>
                <w:r>
                  <w:rPr>
                    <w:webHidden/>
                  </w:rPr>
                  <w:fldChar w:fldCharType="begin"/>
                </w:r>
                <w:r>
                  <w:rPr>
                    <w:webHidden/>
                  </w:rPr>
                  <w:instrText xml:space="preserve"> PAGEREF _Toc519499820 \h </w:instrText>
                </w:r>
                <w:r>
                  <w:rPr>
                    <w:webHidden/>
                  </w:rPr>
                </w:r>
                <w:r>
                  <w:rPr>
                    <w:webHidden/>
                  </w:rPr>
                  <w:fldChar w:fldCharType="separate"/>
                </w:r>
                <w:r>
                  <w:rPr>
                    <w:webHidden/>
                  </w:rPr>
                  <w:t>146</w:t>
                </w:r>
                <w:r>
                  <w:rPr>
                    <w:webHidden/>
                  </w:rPr>
                  <w:fldChar w:fldCharType="end"/>
                </w:r>
              </w:hyperlink>
            </w:p>
            <w:p w14:paraId="3CB6267B" w14:textId="704699DF"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21" w:history="1">
                <w:r w:rsidRPr="004C4CA6">
                  <w:rPr>
                    <w:rStyle w:val="Hyperlink"/>
                  </w:rPr>
                  <w:t>2.2.3.4.</w:t>
                </w:r>
                <w:r>
                  <w:rPr>
                    <w:rFonts w:asciiTheme="minorHAnsi" w:eastAsiaTheme="minorEastAsia" w:hAnsiTheme="minorHAnsi" w:cstheme="minorBidi"/>
                    <w:sz w:val="22"/>
                    <w:szCs w:val="22"/>
                    <w:lang w:val="en-US" w:eastAsia="en-US"/>
                  </w:rPr>
                  <w:tab/>
                </w:r>
                <w:r w:rsidRPr="004C4CA6">
                  <w:rPr>
                    <w:rStyle w:val="Hyperlink"/>
                  </w:rPr>
                  <w:t>Learning and inspiration</w:t>
                </w:r>
                <w:r>
                  <w:rPr>
                    <w:webHidden/>
                  </w:rPr>
                  <w:tab/>
                </w:r>
                <w:r>
                  <w:rPr>
                    <w:webHidden/>
                  </w:rPr>
                  <w:fldChar w:fldCharType="begin"/>
                </w:r>
                <w:r>
                  <w:rPr>
                    <w:webHidden/>
                  </w:rPr>
                  <w:instrText xml:space="preserve"> PAGEREF _Toc519499821 \h </w:instrText>
                </w:r>
                <w:r>
                  <w:rPr>
                    <w:webHidden/>
                  </w:rPr>
                </w:r>
                <w:r>
                  <w:rPr>
                    <w:webHidden/>
                  </w:rPr>
                  <w:fldChar w:fldCharType="separate"/>
                </w:r>
                <w:r>
                  <w:rPr>
                    <w:webHidden/>
                  </w:rPr>
                  <w:t>147</w:t>
                </w:r>
                <w:r>
                  <w:rPr>
                    <w:webHidden/>
                  </w:rPr>
                  <w:fldChar w:fldCharType="end"/>
                </w:r>
              </w:hyperlink>
            </w:p>
            <w:p w14:paraId="32EF1E2B" w14:textId="2B3A981F" w:rsidR="00DA6432" w:rsidRDefault="00DA6432">
              <w:pPr>
                <w:pStyle w:val="TOC3"/>
                <w:rPr>
                  <w:rFonts w:asciiTheme="minorHAnsi" w:eastAsiaTheme="minorEastAsia" w:hAnsiTheme="minorHAnsi" w:cstheme="minorBidi"/>
                  <w:noProof/>
                  <w:color w:val="auto"/>
                  <w:lang w:val="en-US" w:eastAsia="en-US"/>
                </w:rPr>
              </w:pPr>
              <w:hyperlink w:anchor="_Toc519499822" w:history="1">
                <w:r w:rsidRPr="004C4CA6">
                  <w:rPr>
                    <w:rStyle w:val="Hyperlink"/>
                    <w:rFonts w:cs="Times New Roman"/>
                    <w:noProof/>
                  </w:rPr>
                  <w:t>2.3.</w:t>
                </w:r>
                <w:r>
                  <w:rPr>
                    <w:rFonts w:asciiTheme="minorHAnsi" w:eastAsiaTheme="minorEastAsia" w:hAnsiTheme="minorHAnsi" w:cstheme="minorBidi"/>
                    <w:noProof/>
                    <w:color w:val="auto"/>
                    <w:lang w:val="en-US" w:eastAsia="en-US"/>
                  </w:rPr>
                  <w:tab/>
                </w:r>
                <w:r w:rsidRPr="004C4CA6">
                  <w:rPr>
                    <w:rStyle w:val="Hyperlink"/>
                    <w:rFonts w:cs="Times New Roman"/>
                    <w:noProof/>
                  </w:rPr>
                  <w:t>Geographical differences in production and contribution of ecosystem services</w:t>
                </w:r>
                <w:r>
                  <w:rPr>
                    <w:noProof/>
                    <w:webHidden/>
                  </w:rPr>
                  <w:tab/>
                </w:r>
                <w:r>
                  <w:rPr>
                    <w:noProof/>
                    <w:webHidden/>
                  </w:rPr>
                  <w:fldChar w:fldCharType="begin"/>
                </w:r>
                <w:r>
                  <w:rPr>
                    <w:noProof/>
                    <w:webHidden/>
                  </w:rPr>
                  <w:instrText xml:space="preserve"> PAGEREF _Toc519499822 \h </w:instrText>
                </w:r>
                <w:r>
                  <w:rPr>
                    <w:noProof/>
                    <w:webHidden/>
                  </w:rPr>
                </w:r>
                <w:r>
                  <w:rPr>
                    <w:noProof/>
                    <w:webHidden/>
                  </w:rPr>
                  <w:fldChar w:fldCharType="separate"/>
                </w:r>
                <w:r>
                  <w:rPr>
                    <w:noProof/>
                    <w:webHidden/>
                  </w:rPr>
                  <w:t>148</w:t>
                </w:r>
                <w:r>
                  <w:rPr>
                    <w:noProof/>
                    <w:webHidden/>
                  </w:rPr>
                  <w:fldChar w:fldCharType="end"/>
                </w:r>
              </w:hyperlink>
            </w:p>
            <w:p w14:paraId="1A65172A" w14:textId="35D218F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23" w:history="1">
                <w:r w:rsidRPr="004C4CA6">
                  <w:rPr>
                    <w:rStyle w:val="Hyperlink"/>
                  </w:rPr>
                  <w:t>2.3.1.</w:t>
                </w:r>
                <w:r>
                  <w:rPr>
                    <w:rFonts w:asciiTheme="minorHAnsi" w:eastAsiaTheme="minorEastAsia" w:hAnsiTheme="minorHAnsi" w:cstheme="minorBidi"/>
                    <w:sz w:val="22"/>
                    <w:szCs w:val="22"/>
                    <w:lang w:val="en-US" w:eastAsia="en-US"/>
                  </w:rPr>
                  <w:tab/>
                </w:r>
                <w:r w:rsidRPr="004C4CA6">
                  <w:rPr>
                    <w:rStyle w:val="Hyperlink"/>
                  </w:rPr>
                  <w:t>Regulating contributions according to subregions and units of analysis</w:t>
                </w:r>
                <w:r>
                  <w:rPr>
                    <w:webHidden/>
                  </w:rPr>
                  <w:tab/>
                </w:r>
                <w:r>
                  <w:rPr>
                    <w:webHidden/>
                  </w:rPr>
                  <w:fldChar w:fldCharType="begin"/>
                </w:r>
                <w:r>
                  <w:rPr>
                    <w:webHidden/>
                  </w:rPr>
                  <w:instrText xml:space="preserve"> PAGEREF _Toc519499823 \h </w:instrText>
                </w:r>
                <w:r>
                  <w:rPr>
                    <w:webHidden/>
                  </w:rPr>
                </w:r>
                <w:r>
                  <w:rPr>
                    <w:webHidden/>
                  </w:rPr>
                  <w:fldChar w:fldCharType="separate"/>
                </w:r>
                <w:r>
                  <w:rPr>
                    <w:webHidden/>
                  </w:rPr>
                  <w:t>148</w:t>
                </w:r>
                <w:r>
                  <w:rPr>
                    <w:webHidden/>
                  </w:rPr>
                  <w:fldChar w:fldCharType="end"/>
                </w:r>
              </w:hyperlink>
            </w:p>
            <w:p w14:paraId="33365AEF" w14:textId="29095207"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24" w:history="1">
                <w:r w:rsidRPr="004C4CA6">
                  <w:rPr>
                    <w:rStyle w:val="Hyperlink"/>
                  </w:rPr>
                  <w:t>2.3.2.</w:t>
                </w:r>
                <w:r>
                  <w:rPr>
                    <w:rFonts w:asciiTheme="minorHAnsi" w:eastAsiaTheme="minorEastAsia" w:hAnsiTheme="minorHAnsi" w:cstheme="minorBidi"/>
                    <w:sz w:val="22"/>
                    <w:szCs w:val="22"/>
                    <w:lang w:val="en-US" w:eastAsia="en-US"/>
                  </w:rPr>
                  <w:tab/>
                </w:r>
                <w:r w:rsidRPr="004C4CA6">
                  <w:rPr>
                    <w:rStyle w:val="Hyperlink"/>
                  </w:rPr>
                  <w:t>Material contributions according to subregions and units of analysis</w:t>
                </w:r>
                <w:r>
                  <w:rPr>
                    <w:webHidden/>
                  </w:rPr>
                  <w:tab/>
                </w:r>
                <w:r>
                  <w:rPr>
                    <w:webHidden/>
                  </w:rPr>
                  <w:fldChar w:fldCharType="begin"/>
                </w:r>
                <w:r>
                  <w:rPr>
                    <w:webHidden/>
                  </w:rPr>
                  <w:instrText xml:space="preserve"> PAGEREF _Toc519499824 \h </w:instrText>
                </w:r>
                <w:r>
                  <w:rPr>
                    <w:webHidden/>
                  </w:rPr>
                </w:r>
                <w:r>
                  <w:rPr>
                    <w:webHidden/>
                  </w:rPr>
                  <w:fldChar w:fldCharType="separate"/>
                </w:r>
                <w:r>
                  <w:rPr>
                    <w:webHidden/>
                  </w:rPr>
                  <w:t>151</w:t>
                </w:r>
                <w:r>
                  <w:rPr>
                    <w:webHidden/>
                  </w:rPr>
                  <w:fldChar w:fldCharType="end"/>
                </w:r>
              </w:hyperlink>
            </w:p>
            <w:p w14:paraId="474B50E6" w14:textId="63EF82E2"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25" w:history="1">
                <w:r w:rsidRPr="004C4CA6">
                  <w:rPr>
                    <w:rStyle w:val="Hyperlink"/>
                  </w:rPr>
                  <w:t>2.3.3.</w:t>
                </w:r>
                <w:r>
                  <w:rPr>
                    <w:rFonts w:asciiTheme="minorHAnsi" w:eastAsiaTheme="minorEastAsia" w:hAnsiTheme="minorHAnsi" w:cstheme="minorBidi"/>
                    <w:sz w:val="22"/>
                    <w:szCs w:val="22"/>
                    <w:lang w:val="en-US" w:eastAsia="en-US"/>
                  </w:rPr>
                  <w:tab/>
                </w:r>
                <w:r w:rsidRPr="004C4CA6">
                  <w:rPr>
                    <w:rStyle w:val="Hyperlink"/>
                  </w:rPr>
                  <w:t>Non-material nature’s contributions to people according to subregions and units of analysis</w:t>
                </w:r>
                <w:r>
                  <w:rPr>
                    <w:webHidden/>
                  </w:rPr>
                  <w:tab/>
                </w:r>
                <w:r>
                  <w:rPr>
                    <w:webHidden/>
                  </w:rPr>
                  <w:fldChar w:fldCharType="begin"/>
                </w:r>
                <w:r>
                  <w:rPr>
                    <w:webHidden/>
                  </w:rPr>
                  <w:instrText xml:space="preserve"> PAGEREF _Toc519499825 \h </w:instrText>
                </w:r>
                <w:r>
                  <w:rPr>
                    <w:webHidden/>
                  </w:rPr>
                </w:r>
                <w:r>
                  <w:rPr>
                    <w:webHidden/>
                  </w:rPr>
                  <w:fldChar w:fldCharType="separate"/>
                </w:r>
                <w:r>
                  <w:rPr>
                    <w:webHidden/>
                  </w:rPr>
                  <w:t>153</w:t>
                </w:r>
                <w:r>
                  <w:rPr>
                    <w:webHidden/>
                  </w:rPr>
                  <w:fldChar w:fldCharType="end"/>
                </w:r>
              </w:hyperlink>
            </w:p>
            <w:p w14:paraId="2F6B6BBC" w14:textId="1BFEF546" w:rsidR="00DA6432" w:rsidRDefault="00DA6432">
              <w:pPr>
                <w:pStyle w:val="TOC3"/>
                <w:rPr>
                  <w:rFonts w:asciiTheme="minorHAnsi" w:eastAsiaTheme="minorEastAsia" w:hAnsiTheme="minorHAnsi" w:cstheme="minorBidi"/>
                  <w:noProof/>
                  <w:color w:val="auto"/>
                  <w:lang w:val="en-US" w:eastAsia="en-US"/>
                </w:rPr>
              </w:pPr>
              <w:hyperlink w:anchor="_Toc519499826" w:history="1">
                <w:r w:rsidRPr="004C4CA6">
                  <w:rPr>
                    <w:rStyle w:val="Hyperlink"/>
                    <w:rFonts w:cs="Times New Roman"/>
                    <w:noProof/>
                  </w:rPr>
                  <w:t>2.4.</w:t>
                </w:r>
                <w:r>
                  <w:rPr>
                    <w:rFonts w:asciiTheme="minorHAnsi" w:eastAsiaTheme="minorEastAsia" w:hAnsiTheme="minorHAnsi" w:cstheme="minorBidi"/>
                    <w:noProof/>
                    <w:color w:val="auto"/>
                    <w:lang w:val="en-US" w:eastAsia="en-US"/>
                  </w:rPr>
                  <w:tab/>
                </w:r>
                <w:r w:rsidRPr="004C4CA6">
                  <w:rPr>
                    <w:rStyle w:val="Hyperlink"/>
                    <w:rFonts w:cs="Times New Roman"/>
                    <w:noProof/>
                  </w:rPr>
                  <w:t>Status, trend, future dynamics of Nature’s Contributions People (NCP)</w:t>
                </w:r>
                <w:r>
                  <w:rPr>
                    <w:noProof/>
                    <w:webHidden/>
                  </w:rPr>
                  <w:tab/>
                </w:r>
                <w:r>
                  <w:rPr>
                    <w:noProof/>
                    <w:webHidden/>
                  </w:rPr>
                  <w:fldChar w:fldCharType="begin"/>
                </w:r>
                <w:r>
                  <w:rPr>
                    <w:noProof/>
                    <w:webHidden/>
                  </w:rPr>
                  <w:instrText xml:space="preserve"> PAGEREF _Toc519499826 \h </w:instrText>
                </w:r>
                <w:r>
                  <w:rPr>
                    <w:noProof/>
                    <w:webHidden/>
                  </w:rPr>
                </w:r>
                <w:r>
                  <w:rPr>
                    <w:noProof/>
                    <w:webHidden/>
                  </w:rPr>
                  <w:fldChar w:fldCharType="separate"/>
                </w:r>
                <w:r>
                  <w:rPr>
                    <w:noProof/>
                    <w:webHidden/>
                  </w:rPr>
                  <w:t>155</w:t>
                </w:r>
                <w:r>
                  <w:rPr>
                    <w:noProof/>
                    <w:webHidden/>
                  </w:rPr>
                  <w:fldChar w:fldCharType="end"/>
                </w:r>
              </w:hyperlink>
            </w:p>
            <w:p w14:paraId="4710DF84" w14:textId="48DDBAD9"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27" w:history="1">
                <w:r w:rsidRPr="004C4CA6">
                  <w:rPr>
                    <w:rStyle w:val="Hyperlink"/>
                  </w:rPr>
                  <w:t>2.4.1.</w:t>
                </w:r>
                <w:r>
                  <w:rPr>
                    <w:rFonts w:asciiTheme="minorHAnsi" w:eastAsiaTheme="minorEastAsia" w:hAnsiTheme="minorHAnsi" w:cstheme="minorBidi"/>
                    <w:sz w:val="22"/>
                    <w:szCs w:val="22"/>
                    <w:lang w:val="en-US" w:eastAsia="en-US"/>
                  </w:rPr>
                  <w:tab/>
                </w:r>
                <w:r w:rsidRPr="004C4CA6">
                  <w:rPr>
                    <w:rStyle w:val="Hyperlink"/>
                  </w:rPr>
                  <w:t>Status of NCP</w:t>
                </w:r>
                <w:r>
                  <w:rPr>
                    <w:webHidden/>
                  </w:rPr>
                  <w:tab/>
                </w:r>
                <w:r>
                  <w:rPr>
                    <w:webHidden/>
                  </w:rPr>
                  <w:fldChar w:fldCharType="begin"/>
                </w:r>
                <w:r>
                  <w:rPr>
                    <w:webHidden/>
                  </w:rPr>
                  <w:instrText xml:space="preserve"> PAGEREF _Toc519499827 \h </w:instrText>
                </w:r>
                <w:r>
                  <w:rPr>
                    <w:webHidden/>
                  </w:rPr>
                </w:r>
                <w:r>
                  <w:rPr>
                    <w:webHidden/>
                  </w:rPr>
                  <w:fldChar w:fldCharType="separate"/>
                </w:r>
                <w:r>
                  <w:rPr>
                    <w:webHidden/>
                  </w:rPr>
                  <w:t>155</w:t>
                </w:r>
                <w:r>
                  <w:rPr>
                    <w:webHidden/>
                  </w:rPr>
                  <w:fldChar w:fldCharType="end"/>
                </w:r>
              </w:hyperlink>
            </w:p>
            <w:p w14:paraId="6D5BAB15" w14:textId="254824A9"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28" w:history="1">
                <w:r w:rsidRPr="004C4CA6">
                  <w:rPr>
                    <w:rStyle w:val="Hyperlink"/>
                  </w:rPr>
                  <w:t>2.4.1.1.</w:t>
                </w:r>
                <w:r>
                  <w:rPr>
                    <w:rFonts w:asciiTheme="minorHAnsi" w:eastAsiaTheme="minorEastAsia" w:hAnsiTheme="minorHAnsi" w:cstheme="minorBidi"/>
                    <w:sz w:val="22"/>
                    <w:szCs w:val="22"/>
                    <w:lang w:val="en-US" w:eastAsia="en-US"/>
                  </w:rPr>
                  <w:tab/>
                </w:r>
                <w:r w:rsidRPr="004C4CA6">
                  <w:rPr>
                    <w:rStyle w:val="Hyperlink"/>
                  </w:rPr>
                  <w:t>Habitat creation and maintenance</w:t>
                </w:r>
                <w:r>
                  <w:rPr>
                    <w:webHidden/>
                  </w:rPr>
                  <w:tab/>
                </w:r>
                <w:r>
                  <w:rPr>
                    <w:webHidden/>
                  </w:rPr>
                  <w:fldChar w:fldCharType="begin"/>
                </w:r>
                <w:r>
                  <w:rPr>
                    <w:webHidden/>
                  </w:rPr>
                  <w:instrText xml:space="preserve"> PAGEREF _Toc519499828 \h </w:instrText>
                </w:r>
                <w:r>
                  <w:rPr>
                    <w:webHidden/>
                  </w:rPr>
                </w:r>
                <w:r>
                  <w:rPr>
                    <w:webHidden/>
                  </w:rPr>
                  <w:fldChar w:fldCharType="separate"/>
                </w:r>
                <w:r>
                  <w:rPr>
                    <w:webHidden/>
                  </w:rPr>
                  <w:t>155</w:t>
                </w:r>
                <w:r>
                  <w:rPr>
                    <w:webHidden/>
                  </w:rPr>
                  <w:fldChar w:fldCharType="end"/>
                </w:r>
              </w:hyperlink>
            </w:p>
            <w:p w14:paraId="70BF468D" w14:textId="0796404B"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29" w:history="1">
                <w:r w:rsidRPr="004C4CA6">
                  <w:rPr>
                    <w:rStyle w:val="Hyperlink"/>
                  </w:rPr>
                  <w:t>2.4.1.2.</w:t>
                </w:r>
                <w:r>
                  <w:rPr>
                    <w:rFonts w:asciiTheme="minorHAnsi" w:eastAsiaTheme="minorEastAsia" w:hAnsiTheme="minorHAnsi" w:cstheme="minorBidi"/>
                    <w:sz w:val="22"/>
                    <w:szCs w:val="22"/>
                    <w:lang w:val="en-US" w:eastAsia="en-US"/>
                  </w:rPr>
                  <w:tab/>
                </w:r>
                <w:r w:rsidRPr="004C4CA6">
                  <w:rPr>
                    <w:rStyle w:val="Hyperlink"/>
                  </w:rPr>
                  <w:t>Dispersal of threat potentials</w:t>
                </w:r>
                <w:r>
                  <w:rPr>
                    <w:webHidden/>
                  </w:rPr>
                  <w:tab/>
                </w:r>
                <w:r>
                  <w:rPr>
                    <w:webHidden/>
                  </w:rPr>
                  <w:fldChar w:fldCharType="begin"/>
                </w:r>
                <w:r>
                  <w:rPr>
                    <w:webHidden/>
                  </w:rPr>
                  <w:instrText xml:space="preserve"> PAGEREF _Toc519499829 \h </w:instrText>
                </w:r>
                <w:r>
                  <w:rPr>
                    <w:webHidden/>
                  </w:rPr>
                </w:r>
                <w:r>
                  <w:rPr>
                    <w:webHidden/>
                  </w:rPr>
                  <w:fldChar w:fldCharType="separate"/>
                </w:r>
                <w:r>
                  <w:rPr>
                    <w:webHidden/>
                  </w:rPr>
                  <w:t>155</w:t>
                </w:r>
                <w:r>
                  <w:rPr>
                    <w:webHidden/>
                  </w:rPr>
                  <w:fldChar w:fldCharType="end"/>
                </w:r>
              </w:hyperlink>
            </w:p>
            <w:p w14:paraId="75028E39" w14:textId="3B3BCE83"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30" w:history="1">
                <w:r w:rsidRPr="004C4CA6">
                  <w:rPr>
                    <w:rStyle w:val="Hyperlink"/>
                  </w:rPr>
                  <w:t>2.4.2.</w:t>
                </w:r>
                <w:r>
                  <w:rPr>
                    <w:rFonts w:asciiTheme="minorHAnsi" w:eastAsiaTheme="minorEastAsia" w:hAnsiTheme="minorHAnsi" w:cstheme="minorBidi"/>
                    <w:sz w:val="22"/>
                    <w:szCs w:val="22"/>
                    <w:lang w:val="en-US" w:eastAsia="en-US"/>
                  </w:rPr>
                  <w:tab/>
                </w:r>
                <w:r w:rsidRPr="004C4CA6">
                  <w:rPr>
                    <w:rStyle w:val="Hyperlink"/>
                  </w:rPr>
                  <w:t>Trends of nature’s contributions to people</w:t>
                </w:r>
                <w:r>
                  <w:rPr>
                    <w:webHidden/>
                  </w:rPr>
                  <w:tab/>
                </w:r>
                <w:r>
                  <w:rPr>
                    <w:webHidden/>
                  </w:rPr>
                  <w:fldChar w:fldCharType="begin"/>
                </w:r>
                <w:r>
                  <w:rPr>
                    <w:webHidden/>
                  </w:rPr>
                  <w:instrText xml:space="preserve"> PAGEREF _Toc519499830 \h </w:instrText>
                </w:r>
                <w:r>
                  <w:rPr>
                    <w:webHidden/>
                  </w:rPr>
                </w:r>
                <w:r>
                  <w:rPr>
                    <w:webHidden/>
                  </w:rPr>
                  <w:fldChar w:fldCharType="separate"/>
                </w:r>
                <w:r>
                  <w:rPr>
                    <w:webHidden/>
                  </w:rPr>
                  <w:t>156</w:t>
                </w:r>
                <w:r>
                  <w:rPr>
                    <w:webHidden/>
                  </w:rPr>
                  <w:fldChar w:fldCharType="end"/>
                </w:r>
              </w:hyperlink>
            </w:p>
            <w:p w14:paraId="7E171C69" w14:textId="21A0983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31" w:history="1">
                <w:r w:rsidRPr="004C4CA6">
                  <w:rPr>
                    <w:rStyle w:val="Hyperlink"/>
                  </w:rPr>
                  <w:t>2.4.2.1.</w:t>
                </w:r>
                <w:r>
                  <w:rPr>
                    <w:rFonts w:asciiTheme="minorHAnsi" w:eastAsiaTheme="minorEastAsia" w:hAnsiTheme="minorHAnsi" w:cstheme="minorBidi"/>
                    <w:sz w:val="22"/>
                    <w:szCs w:val="22"/>
                    <w:lang w:val="en-US" w:eastAsia="en-US"/>
                  </w:rPr>
                  <w:tab/>
                </w:r>
                <w:r w:rsidRPr="004C4CA6">
                  <w:rPr>
                    <w:rStyle w:val="Hyperlink"/>
                  </w:rPr>
                  <w:t>Habitat Creation and Maintenance</w:t>
                </w:r>
                <w:r>
                  <w:rPr>
                    <w:webHidden/>
                  </w:rPr>
                  <w:tab/>
                </w:r>
                <w:r>
                  <w:rPr>
                    <w:webHidden/>
                  </w:rPr>
                  <w:fldChar w:fldCharType="begin"/>
                </w:r>
                <w:r>
                  <w:rPr>
                    <w:webHidden/>
                  </w:rPr>
                  <w:instrText xml:space="preserve"> PAGEREF _Toc519499831 \h </w:instrText>
                </w:r>
                <w:r>
                  <w:rPr>
                    <w:webHidden/>
                  </w:rPr>
                </w:r>
                <w:r>
                  <w:rPr>
                    <w:webHidden/>
                  </w:rPr>
                  <w:fldChar w:fldCharType="separate"/>
                </w:r>
                <w:r>
                  <w:rPr>
                    <w:webHidden/>
                  </w:rPr>
                  <w:t>156</w:t>
                </w:r>
                <w:r>
                  <w:rPr>
                    <w:webHidden/>
                  </w:rPr>
                  <w:fldChar w:fldCharType="end"/>
                </w:r>
              </w:hyperlink>
            </w:p>
            <w:p w14:paraId="57A9E426" w14:textId="24B911B1"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32" w:history="1">
                <w:r w:rsidRPr="004C4CA6">
                  <w:rPr>
                    <w:rStyle w:val="Hyperlink"/>
                  </w:rPr>
                  <w:t>2.4.2.2.</w:t>
                </w:r>
                <w:r>
                  <w:rPr>
                    <w:rFonts w:asciiTheme="minorHAnsi" w:eastAsiaTheme="minorEastAsia" w:hAnsiTheme="minorHAnsi" w:cstheme="minorBidi"/>
                    <w:sz w:val="22"/>
                    <w:szCs w:val="22"/>
                    <w:lang w:val="en-US" w:eastAsia="en-US"/>
                  </w:rPr>
                  <w:tab/>
                </w:r>
                <w:r w:rsidRPr="004C4CA6">
                  <w:rPr>
                    <w:rStyle w:val="Hyperlink"/>
                  </w:rPr>
                  <w:t>Materials and assistance</w:t>
                </w:r>
                <w:r>
                  <w:rPr>
                    <w:webHidden/>
                  </w:rPr>
                  <w:tab/>
                </w:r>
                <w:r>
                  <w:rPr>
                    <w:webHidden/>
                  </w:rPr>
                  <w:fldChar w:fldCharType="begin"/>
                </w:r>
                <w:r>
                  <w:rPr>
                    <w:webHidden/>
                  </w:rPr>
                  <w:instrText xml:space="preserve"> PAGEREF _Toc519499832 \h </w:instrText>
                </w:r>
                <w:r>
                  <w:rPr>
                    <w:webHidden/>
                  </w:rPr>
                </w:r>
                <w:r>
                  <w:rPr>
                    <w:webHidden/>
                  </w:rPr>
                  <w:fldChar w:fldCharType="separate"/>
                </w:r>
                <w:r>
                  <w:rPr>
                    <w:webHidden/>
                  </w:rPr>
                  <w:t>156</w:t>
                </w:r>
                <w:r>
                  <w:rPr>
                    <w:webHidden/>
                  </w:rPr>
                  <w:fldChar w:fldCharType="end"/>
                </w:r>
              </w:hyperlink>
            </w:p>
            <w:p w14:paraId="2BA27753" w14:textId="34D90DCB"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33" w:history="1">
                <w:r w:rsidRPr="004C4CA6">
                  <w:rPr>
                    <w:rStyle w:val="Hyperlink"/>
                  </w:rPr>
                  <w:t>2.4.2.3.</w:t>
                </w:r>
                <w:r>
                  <w:rPr>
                    <w:rFonts w:asciiTheme="minorHAnsi" w:eastAsiaTheme="minorEastAsia" w:hAnsiTheme="minorHAnsi" w:cstheme="minorBidi"/>
                    <w:sz w:val="22"/>
                    <w:szCs w:val="22"/>
                    <w:lang w:val="en-US" w:eastAsia="en-US"/>
                  </w:rPr>
                  <w:tab/>
                </w:r>
                <w:r w:rsidRPr="004C4CA6">
                  <w:rPr>
                    <w:rStyle w:val="Hyperlink"/>
                  </w:rPr>
                  <w:t>Regulation of threat potentials</w:t>
                </w:r>
                <w:r>
                  <w:rPr>
                    <w:webHidden/>
                  </w:rPr>
                  <w:tab/>
                </w:r>
                <w:r>
                  <w:rPr>
                    <w:webHidden/>
                  </w:rPr>
                  <w:fldChar w:fldCharType="begin"/>
                </w:r>
                <w:r>
                  <w:rPr>
                    <w:webHidden/>
                  </w:rPr>
                  <w:instrText xml:space="preserve"> PAGEREF _Toc519499833 \h </w:instrText>
                </w:r>
                <w:r>
                  <w:rPr>
                    <w:webHidden/>
                  </w:rPr>
                </w:r>
                <w:r>
                  <w:rPr>
                    <w:webHidden/>
                  </w:rPr>
                  <w:fldChar w:fldCharType="separate"/>
                </w:r>
                <w:r>
                  <w:rPr>
                    <w:webHidden/>
                  </w:rPr>
                  <w:t>156</w:t>
                </w:r>
                <w:r>
                  <w:rPr>
                    <w:webHidden/>
                  </w:rPr>
                  <w:fldChar w:fldCharType="end"/>
                </w:r>
              </w:hyperlink>
            </w:p>
            <w:p w14:paraId="12C865C0" w14:textId="2DF8F1D7"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34" w:history="1">
                <w:r w:rsidRPr="004C4CA6">
                  <w:rPr>
                    <w:rStyle w:val="Hyperlink"/>
                  </w:rPr>
                  <w:t>2.4.3.</w:t>
                </w:r>
                <w:r>
                  <w:rPr>
                    <w:rFonts w:asciiTheme="minorHAnsi" w:eastAsiaTheme="minorEastAsia" w:hAnsiTheme="minorHAnsi" w:cstheme="minorBidi"/>
                    <w:sz w:val="22"/>
                    <w:szCs w:val="22"/>
                    <w:lang w:val="en-US" w:eastAsia="en-US"/>
                  </w:rPr>
                  <w:tab/>
                </w:r>
                <w:r w:rsidRPr="004C4CA6">
                  <w:rPr>
                    <w:rStyle w:val="Hyperlink"/>
                  </w:rPr>
                  <w:t>Future Dynamics of nature’s contributions to people</w:t>
                </w:r>
                <w:r>
                  <w:rPr>
                    <w:webHidden/>
                  </w:rPr>
                  <w:tab/>
                </w:r>
                <w:r>
                  <w:rPr>
                    <w:webHidden/>
                  </w:rPr>
                  <w:fldChar w:fldCharType="begin"/>
                </w:r>
                <w:r>
                  <w:rPr>
                    <w:webHidden/>
                  </w:rPr>
                  <w:instrText xml:space="preserve"> PAGEREF _Toc519499834 \h </w:instrText>
                </w:r>
                <w:r>
                  <w:rPr>
                    <w:webHidden/>
                  </w:rPr>
                </w:r>
                <w:r>
                  <w:rPr>
                    <w:webHidden/>
                  </w:rPr>
                  <w:fldChar w:fldCharType="separate"/>
                </w:r>
                <w:r>
                  <w:rPr>
                    <w:webHidden/>
                  </w:rPr>
                  <w:t>157</w:t>
                </w:r>
                <w:r>
                  <w:rPr>
                    <w:webHidden/>
                  </w:rPr>
                  <w:fldChar w:fldCharType="end"/>
                </w:r>
              </w:hyperlink>
            </w:p>
            <w:p w14:paraId="2CF42BE0" w14:textId="6B780ECD" w:rsidR="00DA6432" w:rsidRDefault="00DA6432">
              <w:pPr>
                <w:pStyle w:val="TOC3"/>
                <w:rPr>
                  <w:rFonts w:asciiTheme="minorHAnsi" w:eastAsiaTheme="minorEastAsia" w:hAnsiTheme="minorHAnsi" w:cstheme="minorBidi"/>
                  <w:noProof/>
                  <w:color w:val="auto"/>
                  <w:lang w:val="en-US" w:eastAsia="en-US"/>
                </w:rPr>
              </w:pPr>
              <w:hyperlink w:anchor="_Toc519499835" w:history="1">
                <w:r w:rsidRPr="004C4CA6">
                  <w:rPr>
                    <w:rStyle w:val="Hyperlink"/>
                    <w:rFonts w:cs="Times New Roman"/>
                    <w:noProof/>
                  </w:rPr>
                  <w:t>2.5.</w:t>
                </w:r>
                <w:r>
                  <w:rPr>
                    <w:rFonts w:asciiTheme="minorHAnsi" w:eastAsiaTheme="minorEastAsia" w:hAnsiTheme="minorHAnsi" w:cstheme="minorBidi"/>
                    <w:noProof/>
                    <w:color w:val="auto"/>
                    <w:lang w:val="en-US" w:eastAsia="en-US"/>
                  </w:rPr>
                  <w:tab/>
                </w:r>
                <w:r w:rsidRPr="004C4CA6">
                  <w:rPr>
                    <w:rStyle w:val="Hyperlink"/>
                    <w:rFonts w:cs="Times New Roman"/>
                    <w:noProof/>
                  </w:rPr>
                  <w:t>Impact of nature’s contributions to people changes on human well-being</w:t>
                </w:r>
                <w:r>
                  <w:rPr>
                    <w:noProof/>
                    <w:webHidden/>
                  </w:rPr>
                  <w:tab/>
                </w:r>
                <w:r>
                  <w:rPr>
                    <w:noProof/>
                    <w:webHidden/>
                  </w:rPr>
                  <w:fldChar w:fldCharType="begin"/>
                </w:r>
                <w:r>
                  <w:rPr>
                    <w:noProof/>
                    <w:webHidden/>
                  </w:rPr>
                  <w:instrText xml:space="preserve"> PAGEREF _Toc519499835 \h </w:instrText>
                </w:r>
                <w:r>
                  <w:rPr>
                    <w:noProof/>
                    <w:webHidden/>
                  </w:rPr>
                </w:r>
                <w:r>
                  <w:rPr>
                    <w:noProof/>
                    <w:webHidden/>
                  </w:rPr>
                  <w:fldChar w:fldCharType="separate"/>
                </w:r>
                <w:r>
                  <w:rPr>
                    <w:noProof/>
                    <w:webHidden/>
                  </w:rPr>
                  <w:t>157</w:t>
                </w:r>
                <w:r>
                  <w:rPr>
                    <w:noProof/>
                    <w:webHidden/>
                  </w:rPr>
                  <w:fldChar w:fldCharType="end"/>
                </w:r>
              </w:hyperlink>
            </w:p>
            <w:p w14:paraId="2E4401E6" w14:textId="1DFF5611"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36" w:history="1">
                <w:r w:rsidRPr="004C4CA6">
                  <w:rPr>
                    <w:rStyle w:val="Hyperlink"/>
                  </w:rPr>
                  <w:t>2.5.1.</w:t>
                </w:r>
                <w:r>
                  <w:rPr>
                    <w:rFonts w:asciiTheme="minorHAnsi" w:eastAsiaTheme="minorEastAsia" w:hAnsiTheme="minorHAnsi" w:cstheme="minorBidi"/>
                    <w:sz w:val="22"/>
                    <w:szCs w:val="22"/>
                    <w:lang w:val="en-US" w:eastAsia="en-US"/>
                  </w:rPr>
                  <w:tab/>
                </w:r>
                <w:r w:rsidRPr="004C4CA6">
                  <w:rPr>
                    <w:rStyle w:val="Hyperlink"/>
                  </w:rPr>
                  <w:t>Impacts of changes in contributions of nature on basic material for a good life</w:t>
                </w:r>
                <w:r>
                  <w:rPr>
                    <w:webHidden/>
                  </w:rPr>
                  <w:tab/>
                </w:r>
                <w:r>
                  <w:rPr>
                    <w:webHidden/>
                  </w:rPr>
                  <w:fldChar w:fldCharType="begin"/>
                </w:r>
                <w:r>
                  <w:rPr>
                    <w:webHidden/>
                  </w:rPr>
                  <w:instrText xml:space="preserve"> PAGEREF _Toc519499836 \h </w:instrText>
                </w:r>
                <w:r>
                  <w:rPr>
                    <w:webHidden/>
                  </w:rPr>
                </w:r>
                <w:r>
                  <w:rPr>
                    <w:webHidden/>
                  </w:rPr>
                  <w:fldChar w:fldCharType="separate"/>
                </w:r>
                <w:r>
                  <w:rPr>
                    <w:webHidden/>
                  </w:rPr>
                  <w:t>158</w:t>
                </w:r>
                <w:r>
                  <w:rPr>
                    <w:webHidden/>
                  </w:rPr>
                  <w:fldChar w:fldCharType="end"/>
                </w:r>
              </w:hyperlink>
            </w:p>
            <w:p w14:paraId="0209A003" w14:textId="21849C22"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37" w:history="1">
                <w:r w:rsidRPr="004C4CA6">
                  <w:rPr>
                    <w:rStyle w:val="Hyperlink"/>
                  </w:rPr>
                  <w:t>2.5.2.</w:t>
                </w:r>
                <w:r>
                  <w:rPr>
                    <w:rFonts w:asciiTheme="minorHAnsi" w:eastAsiaTheme="minorEastAsia" w:hAnsiTheme="minorHAnsi" w:cstheme="minorBidi"/>
                    <w:sz w:val="22"/>
                    <w:szCs w:val="22"/>
                    <w:lang w:val="en-US" w:eastAsia="en-US"/>
                  </w:rPr>
                  <w:tab/>
                </w:r>
                <w:r w:rsidRPr="004C4CA6">
                  <w:rPr>
                    <w:rStyle w:val="Hyperlink"/>
                  </w:rPr>
                  <w:t>Impacts of changes in contributions of nature on people’s health</w:t>
                </w:r>
                <w:r>
                  <w:rPr>
                    <w:webHidden/>
                  </w:rPr>
                  <w:tab/>
                </w:r>
                <w:r>
                  <w:rPr>
                    <w:webHidden/>
                  </w:rPr>
                  <w:fldChar w:fldCharType="begin"/>
                </w:r>
                <w:r>
                  <w:rPr>
                    <w:webHidden/>
                  </w:rPr>
                  <w:instrText xml:space="preserve"> PAGEREF _Toc519499837 \h </w:instrText>
                </w:r>
                <w:r>
                  <w:rPr>
                    <w:webHidden/>
                  </w:rPr>
                </w:r>
                <w:r>
                  <w:rPr>
                    <w:webHidden/>
                  </w:rPr>
                  <w:fldChar w:fldCharType="separate"/>
                </w:r>
                <w:r>
                  <w:rPr>
                    <w:webHidden/>
                  </w:rPr>
                  <w:t>158</w:t>
                </w:r>
                <w:r>
                  <w:rPr>
                    <w:webHidden/>
                  </w:rPr>
                  <w:fldChar w:fldCharType="end"/>
                </w:r>
              </w:hyperlink>
            </w:p>
            <w:p w14:paraId="464C4332" w14:textId="0F158474"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38" w:history="1">
                <w:r w:rsidRPr="004C4CA6">
                  <w:rPr>
                    <w:rStyle w:val="Hyperlink"/>
                  </w:rPr>
                  <w:t>2.5.3.</w:t>
                </w:r>
                <w:r>
                  <w:rPr>
                    <w:rFonts w:asciiTheme="minorHAnsi" w:eastAsiaTheme="minorEastAsia" w:hAnsiTheme="minorHAnsi" w:cstheme="minorBidi"/>
                    <w:sz w:val="22"/>
                    <w:szCs w:val="22"/>
                    <w:lang w:val="en-US" w:eastAsia="en-US"/>
                  </w:rPr>
                  <w:tab/>
                </w:r>
                <w:r w:rsidRPr="004C4CA6">
                  <w:rPr>
                    <w:rStyle w:val="Hyperlink"/>
                  </w:rPr>
                  <w:t>Impacts of changes in contributions of nature on livelihood security</w:t>
                </w:r>
                <w:r>
                  <w:rPr>
                    <w:webHidden/>
                  </w:rPr>
                  <w:tab/>
                </w:r>
                <w:r>
                  <w:rPr>
                    <w:webHidden/>
                  </w:rPr>
                  <w:fldChar w:fldCharType="begin"/>
                </w:r>
                <w:r>
                  <w:rPr>
                    <w:webHidden/>
                  </w:rPr>
                  <w:instrText xml:space="preserve"> PAGEREF _Toc519499838 \h </w:instrText>
                </w:r>
                <w:r>
                  <w:rPr>
                    <w:webHidden/>
                  </w:rPr>
                </w:r>
                <w:r>
                  <w:rPr>
                    <w:webHidden/>
                  </w:rPr>
                  <w:fldChar w:fldCharType="separate"/>
                </w:r>
                <w:r>
                  <w:rPr>
                    <w:webHidden/>
                  </w:rPr>
                  <w:t>159</w:t>
                </w:r>
                <w:r>
                  <w:rPr>
                    <w:webHidden/>
                  </w:rPr>
                  <w:fldChar w:fldCharType="end"/>
                </w:r>
              </w:hyperlink>
            </w:p>
            <w:p w14:paraId="76BAA02B" w14:textId="027B13B0"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39" w:history="1">
                <w:r w:rsidRPr="004C4CA6">
                  <w:rPr>
                    <w:rStyle w:val="Hyperlink"/>
                  </w:rPr>
                  <w:t>2.5.4.</w:t>
                </w:r>
                <w:r>
                  <w:rPr>
                    <w:rFonts w:asciiTheme="minorHAnsi" w:eastAsiaTheme="minorEastAsia" w:hAnsiTheme="minorHAnsi" w:cstheme="minorBidi"/>
                    <w:sz w:val="22"/>
                    <w:szCs w:val="22"/>
                    <w:lang w:val="en-US" w:eastAsia="en-US"/>
                  </w:rPr>
                  <w:tab/>
                </w:r>
                <w:r w:rsidRPr="004C4CA6">
                  <w:rPr>
                    <w:rStyle w:val="Hyperlink"/>
                  </w:rPr>
                  <w:t>Impacts of changes in contributions of nature on people’s freedom</w:t>
                </w:r>
                <w:r>
                  <w:rPr>
                    <w:webHidden/>
                  </w:rPr>
                  <w:tab/>
                </w:r>
                <w:r>
                  <w:rPr>
                    <w:webHidden/>
                  </w:rPr>
                  <w:fldChar w:fldCharType="begin"/>
                </w:r>
                <w:r>
                  <w:rPr>
                    <w:webHidden/>
                  </w:rPr>
                  <w:instrText xml:space="preserve"> PAGEREF _Toc519499839 \h </w:instrText>
                </w:r>
                <w:r>
                  <w:rPr>
                    <w:webHidden/>
                  </w:rPr>
                </w:r>
                <w:r>
                  <w:rPr>
                    <w:webHidden/>
                  </w:rPr>
                  <w:fldChar w:fldCharType="separate"/>
                </w:r>
                <w:r>
                  <w:rPr>
                    <w:webHidden/>
                  </w:rPr>
                  <w:t>160</w:t>
                </w:r>
                <w:r>
                  <w:rPr>
                    <w:webHidden/>
                  </w:rPr>
                  <w:fldChar w:fldCharType="end"/>
                </w:r>
              </w:hyperlink>
            </w:p>
            <w:p w14:paraId="709F7BA4" w14:textId="680F8E4A" w:rsidR="00DA6432" w:rsidRDefault="00DA6432">
              <w:pPr>
                <w:pStyle w:val="TOC3"/>
                <w:rPr>
                  <w:rFonts w:asciiTheme="minorHAnsi" w:eastAsiaTheme="minorEastAsia" w:hAnsiTheme="minorHAnsi" w:cstheme="minorBidi"/>
                  <w:noProof/>
                  <w:color w:val="auto"/>
                  <w:lang w:val="en-US" w:eastAsia="en-US"/>
                </w:rPr>
              </w:pPr>
              <w:hyperlink w:anchor="_Toc519499840" w:history="1">
                <w:r w:rsidRPr="004C4CA6">
                  <w:rPr>
                    <w:rStyle w:val="Hyperlink"/>
                    <w:rFonts w:cs="Times New Roman"/>
                    <w:noProof/>
                  </w:rPr>
                  <w:t>2.6.</w:t>
                </w:r>
                <w:r>
                  <w:rPr>
                    <w:rFonts w:asciiTheme="minorHAnsi" w:eastAsiaTheme="minorEastAsia" w:hAnsiTheme="minorHAnsi" w:cstheme="minorBidi"/>
                    <w:noProof/>
                    <w:color w:val="auto"/>
                    <w:lang w:val="en-US" w:eastAsia="en-US"/>
                  </w:rPr>
                  <w:tab/>
                </w:r>
                <w:r w:rsidRPr="004C4CA6">
                  <w:rPr>
                    <w:rStyle w:val="Hyperlink"/>
                    <w:rFonts w:cs="Times New Roman"/>
                    <w:noProof/>
                  </w:rPr>
                  <w:t>Negative nature’s contributions to people</w:t>
                </w:r>
                <w:r>
                  <w:rPr>
                    <w:noProof/>
                    <w:webHidden/>
                  </w:rPr>
                  <w:tab/>
                </w:r>
                <w:r>
                  <w:rPr>
                    <w:noProof/>
                    <w:webHidden/>
                  </w:rPr>
                  <w:fldChar w:fldCharType="begin"/>
                </w:r>
                <w:r>
                  <w:rPr>
                    <w:noProof/>
                    <w:webHidden/>
                  </w:rPr>
                  <w:instrText xml:space="preserve"> PAGEREF _Toc519499840 \h </w:instrText>
                </w:r>
                <w:r>
                  <w:rPr>
                    <w:noProof/>
                    <w:webHidden/>
                  </w:rPr>
                </w:r>
                <w:r>
                  <w:rPr>
                    <w:noProof/>
                    <w:webHidden/>
                  </w:rPr>
                  <w:fldChar w:fldCharType="separate"/>
                </w:r>
                <w:r>
                  <w:rPr>
                    <w:noProof/>
                    <w:webHidden/>
                  </w:rPr>
                  <w:t>160</w:t>
                </w:r>
                <w:r>
                  <w:rPr>
                    <w:noProof/>
                    <w:webHidden/>
                  </w:rPr>
                  <w:fldChar w:fldCharType="end"/>
                </w:r>
              </w:hyperlink>
            </w:p>
            <w:p w14:paraId="315743AE" w14:textId="78EBF051" w:rsidR="00DA6432" w:rsidRDefault="00DA6432">
              <w:pPr>
                <w:pStyle w:val="TOC3"/>
                <w:rPr>
                  <w:rFonts w:asciiTheme="minorHAnsi" w:eastAsiaTheme="minorEastAsia" w:hAnsiTheme="minorHAnsi" w:cstheme="minorBidi"/>
                  <w:noProof/>
                  <w:color w:val="auto"/>
                  <w:lang w:val="en-US" w:eastAsia="en-US"/>
                </w:rPr>
              </w:pPr>
              <w:hyperlink w:anchor="_Toc519499841" w:history="1">
                <w:r w:rsidRPr="004C4CA6">
                  <w:rPr>
                    <w:rStyle w:val="Hyperlink"/>
                    <w:rFonts w:cs="Times New Roman"/>
                    <w:noProof/>
                  </w:rPr>
                  <w:t>2.7.</w:t>
                </w:r>
                <w:r>
                  <w:rPr>
                    <w:rFonts w:asciiTheme="minorHAnsi" w:eastAsiaTheme="minorEastAsia" w:hAnsiTheme="minorHAnsi" w:cstheme="minorBidi"/>
                    <w:noProof/>
                    <w:color w:val="auto"/>
                    <w:lang w:val="en-US" w:eastAsia="en-US"/>
                  </w:rPr>
                  <w:tab/>
                </w:r>
                <w:r w:rsidRPr="004C4CA6">
                  <w:rPr>
                    <w:rStyle w:val="Hyperlink"/>
                    <w:rFonts w:cs="Times New Roman"/>
                    <w:noProof/>
                  </w:rPr>
                  <w:t>Conclusion</w:t>
                </w:r>
                <w:r>
                  <w:rPr>
                    <w:noProof/>
                    <w:webHidden/>
                  </w:rPr>
                  <w:tab/>
                </w:r>
                <w:r>
                  <w:rPr>
                    <w:noProof/>
                    <w:webHidden/>
                  </w:rPr>
                  <w:fldChar w:fldCharType="begin"/>
                </w:r>
                <w:r>
                  <w:rPr>
                    <w:noProof/>
                    <w:webHidden/>
                  </w:rPr>
                  <w:instrText xml:space="preserve"> PAGEREF _Toc519499841 \h </w:instrText>
                </w:r>
                <w:r>
                  <w:rPr>
                    <w:noProof/>
                    <w:webHidden/>
                  </w:rPr>
                </w:r>
                <w:r>
                  <w:rPr>
                    <w:noProof/>
                    <w:webHidden/>
                  </w:rPr>
                  <w:fldChar w:fldCharType="separate"/>
                </w:r>
                <w:r>
                  <w:rPr>
                    <w:noProof/>
                    <w:webHidden/>
                  </w:rPr>
                  <w:t>162</w:t>
                </w:r>
                <w:r>
                  <w:rPr>
                    <w:noProof/>
                    <w:webHidden/>
                  </w:rPr>
                  <w:fldChar w:fldCharType="end"/>
                </w:r>
              </w:hyperlink>
            </w:p>
            <w:p w14:paraId="7BCC42D9" w14:textId="222BE93D" w:rsidR="00DA6432" w:rsidRDefault="00DA6432">
              <w:pPr>
                <w:pStyle w:val="TOC3"/>
                <w:rPr>
                  <w:rFonts w:asciiTheme="minorHAnsi" w:eastAsiaTheme="minorEastAsia" w:hAnsiTheme="minorHAnsi" w:cstheme="minorBidi"/>
                  <w:noProof/>
                  <w:color w:val="auto"/>
                  <w:lang w:val="en-US" w:eastAsia="en-US"/>
                </w:rPr>
              </w:pPr>
              <w:hyperlink w:anchor="_Toc519499842" w:history="1">
                <w:r w:rsidRPr="004C4CA6">
                  <w:rPr>
                    <w:rStyle w:val="Hyperlink"/>
                    <w:rFonts w:cs="Times New Roman"/>
                    <w:noProof/>
                  </w:rPr>
                  <w:t>2.8.</w:t>
                </w:r>
                <w:r>
                  <w:rPr>
                    <w:rFonts w:asciiTheme="minorHAnsi" w:eastAsiaTheme="minorEastAsia" w:hAnsiTheme="minorHAnsi" w:cstheme="minorBidi"/>
                    <w:noProof/>
                    <w:color w:val="auto"/>
                    <w:lang w:val="en-US" w:eastAsia="en-US"/>
                  </w:rPr>
                  <w:tab/>
                </w:r>
                <w:r w:rsidRPr="004C4CA6">
                  <w:rPr>
                    <w:rStyle w:val="Hyperlink"/>
                    <w:rFonts w:cs="Times New Roman"/>
                    <w:noProof/>
                  </w:rPr>
                  <w:t>References</w:t>
                </w:r>
                <w:r>
                  <w:rPr>
                    <w:noProof/>
                    <w:webHidden/>
                  </w:rPr>
                  <w:tab/>
                </w:r>
                <w:r>
                  <w:rPr>
                    <w:noProof/>
                    <w:webHidden/>
                  </w:rPr>
                  <w:fldChar w:fldCharType="begin"/>
                </w:r>
                <w:r>
                  <w:rPr>
                    <w:noProof/>
                    <w:webHidden/>
                  </w:rPr>
                  <w:instrText xml:space="preserve"> PAGEREF _Toc519499842 \h </w:instrText>
                </w:r>
                <w:r>
                  <w:rPr>
                    <w:noProof/>
                    <w:webHidden/>
                  </w:rPr>
                </w:r>
                <w:r>
                  <w:rPr>
                    <w:noProof/>
                    <w:webHidden/>
                  </w:rPr>
                  <w:fldChar w:fldCharType="separate"/>
                </w:r>
                <w:r>
                  <w:rPr>
                    <w:noProof/>
                    <w:webHidden/>
                  </w:rPr>
                  <w:t>164</w:t>
                </w:r>
                <w:r>
                  <w:rPr>
                    <w:noProof/>
                    <w:webHidden/>
                  </w:rPr>
                  <w:fldChar w:fldCharType="end"/>
                </w:r>
              </w:hyperlink>
            </w:p>
            <w:p w14:paraId="662D7A76" w14:textId="4A6285D9" w:rsidR="00DA6432" w:rsidRDefault="00DA6432">
              <w:pPr>
                <w:pStyle w:val="TOC1"/>
                <w:rPr>
                  <w:rFonts w:asciiTheme="minorHAnsi" w:hAnsiTheme="minorHAnsi" w:cstheme="minorBidi"/>
                  <w:sz w:val="22"/>
                  <w:szCs w:val="22"/>
                </w:rPr>
              </w:pPr>
              <w:hyperlink w:anchor="_Toc519499843" w:history="1">
                <w:r w:rsidRPr="004C4CA6">
                  <w:rPr>
                    <w:rStyle w:val="Hyperlink"/>
                  </w:rPr>
                  <w:t>Chapter 3: Status, trends and future dynamics of biodiversity and ecosystems underpinning nature’s contributions to people</w:t>
                </w:r>
                <w:r>
                  <w:rPr>
                    <w:webHidden/>
                  </w:rPr>
                  <w:tab/>
                </w:r>
                <w:r>
                  <w:rPr>
                    <w:webHidden/>
                  </w:rPr>
                  <w:fldChar w:fldCharType="begin"/>
                </w:r>
                <w:r>
                  <w:rPr>
                    <w:webHidden/>
                  </w:rPr>
                  <w:instrText xml:space="preserve"> PAGEREF _Toc519499843 \h </w:instrText>
                </w:r>
                <w:r>
                  <w:rPr>
                    <w:webHidden/>
                  </w:rPr>
                </w:r>
                <w:r>
                  <w:rPr>
                    <w:webHidden/>
                  </w:rPr>
                  <w:fldChar w:fldCharType="separate"/>
                </w:r>
                <w:r>
                  <w:rPr>
                    <w:webHidden/>
                  </w:rPr>
                  <w:t>186</w:t>
                </w:r>
                <w:r>
                  <w:rPr>
                    <w:webHidden/>
                  </w:rPr>
                  <w:fldChar w:fldCharType="end"/>
                </w:r>
              </w:hyperlink>
            </w:p>
            <w:p w14:paraId="79BFF5FA" w14:textId="4A1EA855" w:rsidR="00DA6432" w:rsidRDefault="00DA6432">
              <w:pPr>
                <w:pStyle w:val="TOC3"/>
                <w:rPr>
                  <w:rFonts w:asciiTheme="minorHAnsi" w:eastAsiaTheme="minorEastAsia" w:hAnsiTheme="minorHAnsi" w:cstheme="minorBidi"/>
                  <w:noProof/>
                  <w:color w:val="auto"/>
                  <w:lang w:val="en-US" w:eastAsia="en-US"/>
                </w:rPr>
              </w:pPr>
              <w:hyperlink w:anchor="_Toc519499844" w:history="1">
                <w:r w:rsidRPr="004C4CA6">
                  <w:rPr>
                    <w:rStyle w:val="Hyperlink"/>
                    <w:rFonts w:cs="Times New Roman"/>
                    <w:noProof/>
                  </w:rPr>
                  <w:t>Executive summary</w:t>
                </w:r>
                <w:r>
                  <w:rPr>
                    <w:noProof/>
                    <w:webHidden/>
                  </w:rPr>
                  <w:tab/>
                </w:r>
                <w:r>
                  <w:rPr>
                    <w:noProof/>
                    <w:webHidden/>
                  </w:rPr>
                  <w:fldChar w:fldCharType="begin"/>
                </w:r>
                <w:r>
                  <w:rPr>
                    <w:noProof/>
                    <w:webHidden/>
                  </w:rPr>
                  <w:instrText xml:space="preserve"> PAGEREF _Toc519499844 \h </w:instrText>
                </w:r>
                <w:r>
                  <w:rPr>
                    <w:noProof/>
                    <w:webHidden/>
                  </w:rPr>
                </w:r>
                <w:r>
                  <w:rPr>
                    <w:noProof/>
                    <w:webHidden/>
                  </w:rPr>
                  <w:fldChar w:fldCharType="separate"/>
                </w:r>
                <w:r>
                  <w:rPr>
                    <w:noProof/>
                    <w:webHidden/>
                  </w:rPr>
                  <w:t>187</w:t>
                </w:r>
                <w:r>
                  <w:rPr>
                    <w:noProof/>
                    <w:webHidden/>
                  </w:rPr>
                  <w:fldChar w:fldCharType="end"/>
                </w:r>
              </w:hyperlink>
            </w:p>
            <w:p w14:paraId="544C745A" w14:textId="6622897B" w:rsidR="00DA6432" w:rsidRDefault="00DA6432">
              <w:pPr>
                <w:pStyle w:val="TOC3"/>
                <w:rPr>
                  <w:rFonts w:asciiTheme="minorHAnsi" w:eastAsiaTheme="minorEastAsia" w:hAnsiTheme="minorHAnsi" w:cstheme="minorBidi"/>
                  <w:noProof/>
                  <w:color w:val="auto"/>
                  <w:lang w:val="en-US" w:eastAsia="en-US"/>
                </w:rPr>
              </w:pPr>
              <w:hyperlink w:anchor="_Toc519499845" w:history="1">
                <w:r w:rsidRPr="004C4CA6">
                  <w:rPr>
                    <w:rStyle w:val="Hyperlink"/>
                    <w:rFonts w:cs="Times New Roman"/>
                    <w:noProof/>
                  </w:rPr>
                  <w:t>3.1.</w:t>
                </w:r>
                <w:r>
                  <w:rPr>
                    <w:rFonts w:asciiTheme="minorHAnsi" w:eastAsiaTheme="minorEastAsia" w:hAnsiTheme="minorHAnsi" w:cstheme="minorBidi"/>
                    <w:noProof/>
                    <w:color w:val="auto"/>
                    <w:lang w:val="en-US" w:eastAsia="en-US"/>
                  </w:rPr>
                  <w:tab/>
                </w:r>
                <w:r w:rsidRPr="004C4CA6">
                  <w:rPr>
                    <w:rStyle w:val="Hyperlink"/>
                    <w:rFonts w:cs="Times New Roman"/>
                    <w:noProof/>
                  </w:rPr>
                  <w:t>Introduction</w:t>
                </w:r>
                <w:r>
                  <w:rPr>
                    <w:noProof/>
                    <w:webHidden/>
                  </w:rPr>
                  <w:tab/>
                </w:r>
                <w:r>
                  <w:rPr>
                    <w:noProof/>
                    <w:webHidden/>
                  </w:rPr>
                  <w:fldChar w:fldCharType="begin"/>
                </w:r>
                <w:r>
                  <w:rPr>
                    <w:noProof/>
                    <w:webHidden/>
                  </w:rPr>
                  <w:instrText xml:space="preserve"> PAGEREF _Toc519499845 \h </w:instrText>
                </w:r>
                <w:r>
                  <w:rPr>
                    <w:noProof/>
                    <w:webHidden/>
                  </w:rPr>
                </w:r>
                <w:r>
                  <w:rPr>
                    <w:noProof/>
                    <w:webHidden/>
                  </w:rPr>
                  <w:fldChar w:fldCharType="separate"/>
                </w:r>
                <w:r>
                  <w:rPr>
                    <w:noProof/>
                    <w:webHidden/>
                  </w:rPr>
                  <w:t>189</w:t>
                </w:r>
                <w:r>
                  <w:rPr>
                    <w:noProof/>
                    <w:webHidden/>
                  </w:rPr>
                  <w:fldChar w:fldCharType="end"/>
                </w:r>
              </w:hyperlink>
            </w:p>
            <w:p w14:paraId="14187657" w14:textId="7498D07C" w:rsidR="00DA6432" w:rsidRDefault="00DA6432">
              <w:pPr>
                <w:pStyle w:val="TOC3"/>
                <w:rPr>
                  <w:rFonts w:asciiTheme="minorHAnsi" w:eastAsiaTheme="minorEastAsia" w:hAnsiTheme="minorHAnsi" w:cstheme="minorBidi"/>
                  <w:noProof/>
                  <w:color w:val="auto"/>
                  <w:lang w:val="en-US" w:eastAsia="en-US"/>
                </w:rPr>
              </w:pPr>
              <w:hyperlink w:anchor="_Toc519499846" w:history="1">
                <w:r w:rsidRPr="004C4CA6">
                  <w:rPr>
                    <w:rStyle w:val="Hyperlink"/>
                    <w:rFonts w:cs="Times New Roman"/>
                    <w:noProof/>
                  </w:rPr>
                  <w:t>3.2.</w:t>
                </w:r>
                <w:r>
                  <w:rPr>
                    <w:rFonts w:asciiTheme="minorHAnsi" w:eastAsiaTheme="minorEastAsia" w:hAnsiTheme="minorHAnsi" w:cstheme="minorBidi"/>
                    <w:noProof/>
                    <w:color w:val="auto"/>
                    <w:lang w:val="en-US" w:eastAsia="en-US"/>
                  </w:rPr>
                  <w:tab/>
                </w:r>
                <w:r w:rsidRPr="004C4CA6">
                  <w:rPr>
                    <w:rStyle w:val="Hyperlink"/>
                    <w:rFonts w:cs="Times New Roman"/>
                    <w:noProof/>
                  </w:rPr>
                  <w:t>Methods and information sources</w:t>
                </w:r>
                <w:r>
                  <w:rPr>
                    <w:noProof/>
                    <w:webHidden/>
                  </w:rPr>
                  <w:tab/>
                </w:r>
                <w:r>
                  <w:rPr>
                    <w:noProof/>
                    <w:webHidden/>
                  </w:rPr>
                  <w:fldChar w:fldCharType="begin"/>
                </w:r>
                <w:r>
                  <w:rPr>
                    <w:noProof/>
                    <w:webHidden/>
                  </w:rPr>
                  <w:instrText xml:space="preserve"> PAGEREF _Toc519499846 \h </w:instrText>
                </w:r>
                <w:r>
                  <w:rPr>
                    <w:noProof/>
                    <w:webHidden/>
                  </w:rPr>
                </w:r>
                <w:r>
                  <w:rPr>
                    <w:noProof/>
                    <w:webHidden/>
                  </w:rPr>
                  <w:fldChar w:fldCharType="separate"/>
                </w:r>
                <w:r>
                  <w:rPr>
                    <w:noProof/>
                    <w:webHidden/>
                  </w:rPr>
                  <w:t>190</w:t>
                </w:r>
                <w:r>
                  <w:rPr>
                    <w:noProof/>
                    <w:webHidden/>
                  </w:rPr>
                  <w:fldChar w:fldCharType="end"/>
                </w:r>
              </w:hyperlink>
            </w:p>
            <w:p w14:paraId="0980B2B0" w14:textId="0BE6A18E" w:rsidR="00DA6432" w:rsidRDefault="00DA6432">
              <w:pPr>
                <w:pStyle w:val="TOC3"/>
                <w:rPr>
                  <w:rFonts w:asciiTheme="minorHAnsi" w:eastAsiaTheme="minorEastAsia" w:hAnsiTheme="minorHAnsi" w:cstheme="minorBidi"/>
                  <w:noProof/>
                  <w:color w:val="auto"/>
                  <w:lang w:val="en-US" w:eastAsia="en-US"/>
                </w:rPr>
              </w:pPr>
              <w:hyperlink w:anchor="_Toc519499847" w:history="1">
                <w:r w:rsidRPr="004C4CA6">
                  <w:rPr>
                    <w:rStyle w:val="Hyperlink"/>
                    <w:rFonts w:cs="Times New Roman"/>
                    <w:noProof/>
                  </w:rPr>
                  <w:t>3.3.</w:t>
                </w:r>
                <w:r>
                  <w:rPr>
                    <w:rFonts w:asciiTheme="minorHAnsi" w:eastAsiaTheme="minorEastAsia" w:hAnsiTheme="minorHAnsi" w:cstheme="minorBidi"/>
                    <w:noProof/>
                    <w:color w:val="auto"/>
                    <w:lang w:val="en-US" w:eastAsia="en-US"/>
                  </w:rPr>
                  <w:tab/>
                </w:r>
                <w:r w:rsidRPr="004C4CA6">
                  <w:rPr>
                    <w:rStyle w:val="Hyperlink"/>
                    <w:rFonts w:cs="Times New Roman"/>
                    <w:noProof/>
                  </w:rPr>
                  <w:t>Overview of status and trends of biodiversity in the African region</w:t>
                </w:r>
                <w:r>
                  <w:rPr>
                    <w:noProof/>
                    <w:webHidden/>
                  </w:rPr>
                  <w:tab/>
                </w:r>
                <w:r>
                  <w:rPr>
                    <w:noProof/>
                    <w:webHidden/>
                  </w:rPr>
                  <w:fldChar w:fldCharType="begin"/>
                </w:r>
                <w:r>
                  <w:rPr>
                    <w:noProof/>
                    <w:webHidden/>
                  </w:rPr>
                  <w:instrText xml:space="preserve"> PAGEREF _Toc519499847 \h </w:instrText>
                </w:r>
                <w:r>
                  <w:rPr>
                    <w:noProof/>
                    <w:webHidden/>
                  </w:rPr>
                </w:r>
                <w:r>
                  <w:rPr>
                    <w:noProof/>
                    <w:webHidden/>
                  </w:rPr>
                  <w:fldChar w:fldCharType="separate"/>
                </w:r>
                <w:r>
                  <w:rPr>
                    <w:noProof/>
                    <w:webHidden/>
                  </w:rPr>
                  <w:t>191</w:t>
                </w:r>
                <w:r>
                  <w:rPr>
                    <w:noProof/>
                    <w:webHidden/>
                  </w:rPr>
                  <w:fldChar w:fldCharType="end"/>
                </w:r>
              </w:hyperlink>
            </w:p>
            <w:p w14:paraId="2953BD91" w14:textId="059EEC2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48" w:history="1">
                <w:r w:rsidRPr="004C4CA6">
                  <w:rPr>
                    <w:rStyle w:val="Hyperlink"/>
                  </w:rPr>
                  <w:t>3.3.1</w:t>
                </w:r>
                <w:r>
                  <w:rPr>
                    <w:rFonts w:asciiTheme="minorHAnsi" w:eastAsiaTheme="minorEastAsia" w:hAnsiTheme="minorHAnsi" w:cstheme="minorBidi"/>
                    <w:sz w:val="22"/>
                    <w:szCs w:val="22"/>
                    <w:lang w:val="en-US" w:eastAsia="en-US"/>
                  </w:rPr>
                  <w:tab/>
                </w:r>
                <w:r w:rsidRPr="004C4CA6">
                  <w:rPr>
                    <w:rStyle w:val="Hyperlink"/>
                  </w:rPr>
                  <w:t>Status of species diversity</w:t>
                </w:r>
                <w:r>
                  <w:rPr>
                    <w:webHidden/>
                  </w:rPr>
                  <w:tab/>
                </w:r>
                <w:r>
                  <w:rPr>
                    <w:webHidden/>
                  </w:rPr>
                  <w:fldChar w:fldCharType="begin"/>
                </w:r>
                <w:r>
                  <w:rPr>
                    <w:webHidden/>
                  </w:rPr>
                  <w:instrText xml:space="preserve"> PAGEREF _Toc519499848 \h </w:instrText>
                </w:r>
                <w:r>
                  <w:rPr>
                    <w:webHidden/>
                  </w:rPr>
                </w:r>
                <w:r>
                  <w:rPr>
                    <w:webHidden/>
                  </w:rPr>
                  <w:fldChar w:fldCharType="separate"/>
                </w:r>
                <w:r>
                  <w:rPr>
                    <w:webHidden/>
                  </w:rPr>
                  <w:t>191</w:t>
                </w:r>
                <w:r>
                  <w:rPr>
                    <w:webHidden/>
                  </w:rPr>
                  <w:fldChar w:fldCharType="end"/>
                </w:r>
              </w:hyperlink>
            </w:p>
            <w:p w14:paraId="0C9C1CED" w14:textId="2DEF5623"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49" w:history="1">
                <w:r w:rsidRPr="004C4CA6">
                  <w:rPr>
                    <w:rStyle w:val="Hyperlink"/>
                  </w:rPr>
                  <w:t>3.3.1.1</w:t>
                </w:r>
                <w:r>
                  <w:rPr>
                    <w:rFonts w:asciiTheme="minorHAnsi" w:eastAsiaTheme="minorEastAsia" w:hAnsiTheme="minorHAnsi" w:cstheme="minorBidi"/>
                    <w:sz w:val="22"/>
                    <w:szCs w:val="22"/>
                    <w:lang w:val="en-US" w:eastAsia="en-US"/>
                  </w:rPr>
                  <w:tab/>
                </w:r>
                <w:r w:rsidRPr="004C4CA6">
                  <w:rPr>
                    <w:rStyle w:val="Hyperlink"/>
                  </w:rPr>
                  <w:t>Threat status</w:t>
                </w:r>
                <w:r>
                  <w:rPr>
                    <w:webHidden/>
                  </w:rPr>
                  <w:tab/>
                </w:r>
                <w:r>
                  <w:rPr>
                    <w:webHidden/>
                  </w:rPr>
                  <w:fldChar w:fldCharType="begin"/>
                </w:r>
                <w:r>
                  <w:rPr>
                    <w:webHidden/>
                  </w:rPr>
                  <w:instrText xml:space="preserve"> PAGEREF _Toc519499849 \h </w:instrText>
                </w:r>
                <w:r>
                  <w:rPr>
                    <w:webHidden/>
                  </w:rPr>
                </w:r>
                <w:r>
                  <w:rPr>
                    <w:webHidden/>
                  </w:rPr>
                  <w:fldChar w:fldCharType="separate"/>
                </w:r>
                <w:r>
                  <w:rPr>
                    <w:webHidden/>
                  </w:rPr>
                  <w:t>194</w:t>
                </w:r>
                <w:r>
                  <w:rPr>
                    <w:webHidden/>
                  </w:rPr>
                  <w:fldChar w:fldCharType="end"/>
                </w:r>
              </w:hyperlink>
            </w:p>
            <w:p w14:paraId="5C0E5AE1" w14:textId="35F02F11"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50" w:history="1">
                <w:r w:rsidRPr="004C4CA6">
                  <w:rPr>
                    <w:rStyle w:val="Hyperlink"/>
                  </w:rPr>
                  <w:t>3.3.2</w:t>
                </w:r>
                <w:r>
                  <w:rPr>
                    <w:rFonts w:asciiTheme="minorHAnsi" w:eastAsiaTheme="minorEastAsia" w:hAnsiTheme="minorHAnsi" w:cstheme="minorBidi"/>
                    <w:sz w:val="22"/>
                    <w:szCs w:val="22"/>
                    <w:lang w:val="en-US" w:eastAsia="en-US"/>
                  </w:rPr>
                  <w:tab/>
                </w:r>
                <w:r w:rsidRPr="004C4CA6">
                  <w:rPr>
                    <w:rStyle w:val="Hyperlink"/>
                  </w:rPr>
                  <w:t>Status of ecosystem components</w:t>
                </w:r>
                <w:r>
                  <w:rPr>
                    <w:webHidden/>
                  </w:rPr>
                  <w:tab/>
                </w:r>
                <w:r>
                  <w:rPr>
                    <w:webHidden/>
                  </w:rPr>
                  <w:fldChar w:fldCharType="begin"/>
                </w:r>
                <w:r>
                  <w:rPr>
                    <w:webHidden/>
                  </w:rPr>
                  <w:instrText xml:space="preserve"> PAGEREF _Toc519499850 \h </w:instrText>
                </w:r>
                <w:r>
                  <w:rPr>
                    <w:webHidden/>
                  </w:rPr>
                </w:r>
                <w:r>
                  <w:rPr>
                    <w:webHidden/>
                  </w:rPr>
                  <w:fldChar w:fldCharType="separate"/>
                </w:r>
                <w:r>
                  <w:rPr>
                    <w:webHidden/>
                  </w:rPr>
                  <w:t>196</w:t>
                </w:r>
                <w:r>
                  <w:rPr>
                    <w:webHidden/>
                  </w:rPr>
                  <w:fldChar w:fldCharType="end"/>
                </w:r>
              </w:hyperlink>
            </w:p>
            <w:p w14:paraId="2DC15F14" w14:textId="288F8AB2"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51" w:history="1">
                <w:r w:rsidRPr="004C4CA6">
                  <w:rPr>
                    <w:rStyle w:val="Hyperlink"/>
                  </w:rPr>
                  <w:t>3.3.2.1</w:t>
                </w:r>
                <w:r>
                  <w:rPr>
                    <w:rFonts w:asciiTheme="minorHAnsi" w:eastAsiaTheme="minorEastAsia" w:hAnsiTheme="minorHAnsi" w:cstheme="minorBidi"/>
                    <w:sz w:val="22"/>
                    <w:szCs w:val="22"/>
                    <w:lang w:val="en-US" w:eastAsia="en-US"/>
                  </w:rPr>
                  <w:tab/>
                </w:r>
                <w:r w:rsidRPr="004C4CA6">
                  <w:rPr>
                    <w:rStyle w:val="Hyperlink"/>
                  </w:rPr>
                  <w:t>Protected area status</w:t>
                </w:r>
                <w:r>
                  <w:rPr>
                    <w:webHidden/>
                  </w:rPr>
                  <w:tab/>
                </w:r>
                <w:r>
                  <w:rPr>
                    <w:webHidden/>
                  </w:rPr>
                  <w:fldChar w:fldCharType="begin"/>
                </w:r>
                <w:r>
                  <w:rPr>
                    <w:webHidden/>
                  </w:rPr>
                  <w:instrText xml:space="preserve"> PAGEREF _Toc519499851 \h </w:instrText>
                </w:r>
                <w:r>
                  <w:rPr>
                    <w:webHidden/>
                  </w:rPr>
                </w:r>
                <w:r>
                  <w:rPr>
                    <w:webHidden/>
                  </w:rPr>
                  <w:fldChar w:fldCharType="separate"/>
                </w:r>
                <w:r>
                  <w:rPr>
                    <w:webHidden/>
                  </w:rPr>
                  <w:t>198</w:t>
                </w:r>
                <w:r>
                  <w:rPr>
                    <w:webHidden/>
                  </w:rPr>
                  <w:fldChar w:fldCharType="end"/>
                </w:r>
              </w:hyperlink>
            </w:p>
            <w:p w14:paraId="6E6946F9" w14:textId="42D603D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52" w:history="1">
                <w:r w:rsidRPr="004C4CA6">
                  <w:rPr>
                    <w:rStyle w:val="Hyperlink"/>
                  </w:rPr>
                  <w:t>3.3.3</w:t>
                </w:r>
                <w:r>
                  <w:rPr>
                    <w:rFonts w:asciiTheme="minorHAnsi" w:eastAsiaTheme="minorEastAsia" w:hAnsiTheme="minorHAnsi" w:cstheme="minorBidi"/>
                    <w:sz w:val="22"/>
                    <w:szCs w:val="22"/>
                    <w:lang w:val="en-US" w:eastAsia="en-US"/>
                  </w:rPr>
                  <w:tab/>
                </w:r>
                <w:r w:rsidRPr="004C4CA6">
                  <w:rPr>
                    <w:rStyle w:val="Hyperlink"/>
                  </w:rPr>
                  <w:t>Broad temporal trends in biodiversity and ecosystem components</w:t>
                </w:r>
                <w:r>
                  <w:rPr>
                    <w:webHidden/>
                  </w:rPr>
                  <w:tab/>
                </w:r>
                <w:r>
                  <w:rPr>
                    <w:webHidden/>
                  </w:rPr>
                  <w:fldChar w:fldCharType="begin"/>
                </w:r>
                <w:r>
                  <w:rPr>
                    <w:webHidden/>
                  </w:rPr>
                  <w:instrText xml:space="preserve"> PAGEREF _Toc519499852 \h </w:instrText>
                </w:r>
                <w:r>
                  <w:rPr>
                    <w:webHidden/>
                  </w:rPr>
                </w:r>
                <w:r>
                  <w:rPr>
                    <w:webHidden/>
                  </w:rPr>
                  <w:fldChar w:fldCharType="separate"/>
                </w:r>
                <w:r>
                  <w:rPr>
                    <w:webHidden/>
                  </w:rPr>
                  <w:t>199</w:t>
                </w:r>
                <w:r>
                  <w:rPr>
                    <w:webHidden/>
                  </w:rPr>
                  <w:fldChar w:fldCharType="end"/>
                </w:r>
              </w:hyperlink>
            </w:p>
            <w:p w14:paraId="57D4ADF3" w14:textId="7D1AD7F9"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53" w:history="1">
                <w:r w:rsidRPr="004C4CA6">
                  <w:rPr>
                    <w:rStyle w:val="Hyperlink"/>
                  </w:rPr>
                  <w:t>3.3.3.1</w:t>
                </w:r>
                <w:r>
                  <w:rPr>
                    <w:rFonts w:asciiTheme="minorHAnsi" w:eastAsiaTheme="minorEastAsia" w:hAnsiTheme="minorHAnsi" w:cstheme="minorBidi"/>
                    <w:sz w:val="22"/>
                    <w:szCs w:val="22"/>
                    <w:lang w:val="en-US" w:eastAsia="en-US"/>
                  </w:rPr>
                  <w:tab/>
                </w:r>
                <w:r w:rsidRPr="004C4CA6">
                  <w:rPr>
                    <w:rStyle w:val="Hyperlink"/>
                  </w:rPr>
                  <w:t>Protected area trends</w:t>
                </w:r>
                <w:r>
                  <w:rPr>
                    <w:webHidden/>
                  </w:rPr>
                  <w:tab/>
                </w:r>
                <w:r>
                  <w:rPr>
                    <w:webHidden/>
                  </w:rPr>
                  <w:fldChar w:fldCharType="begin"/>
                </w:r>
                <w:r>
                  <w:rPr>
                    <w:webHidden/>
                  </w:rPr>
                  <w:instrText xml:space="preserve"> PAGEREF _Toc519499853 \h </w:instrText>
                </w:r>
                <w:r>
                  <w:rPr>
                    <w:webHidden/>
                  </w:rPr>
                </w:r>
                <w:r>
                  <w:rPr>
                    <w:webHidden/>
                  </w:rPr>
                  <w:fldChar w:fldCharType="separate"/>
                </w:r>
                <w:r>
                  <w:rPr>
                    <w:webHidden/>
                  </w:rPr>
                  <w:t>200</w:t>
                </w:r>
                <w:r>
                  <w:rPr>
                    <w:webHidden/>
                  </w:rPr>
                  <w:fldChar w:fldCharType="end"/>
                </w:r>
              </w:hyperlink>
            </w:p>
            <w:p w14:paraId="152227E9" w14:textId="7F679FDA"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54" w:history="1">
                <w:r w:rsidRPr="004C4CA6">
                  <w:rPr>
                    <w:rStyle w:val="Hyperlink"/>
                  </w:rPr>
                  <w:t>3.3.3.2</w:t>
                </w:r>
                <w:r>
                  <w:rPr>
                    <w:rFonts w:asciiTheme="minorHAnsi" w:eastAsiaTheme="minorEastAsia" w:hAnsiTheme="minorHAnsi" w:cstheme="minorBidi"/>
                    <w:sz w:val="22"/>
                    <w:szCs w:val="22"/>
                    <w:lang w:val="en-US" w:eastAsia="en-US"/>
                  </w:rPr>
                  <w:tab/>
                </w:r>
                <w:r w:rsidRPr="004C4CA6">
                  <w:rPr>
                    <w:rStyle w:val="Hyperlink"/>
                  </w:rPr>
                  <w:t>Environmental health trends</w:t>
                </w:r>
                <w:r>
                  <w:rPr>
                    <w:webHidden/>
                  </w:rPr>
                  <w:tab/>
                </w:r>
                <w:r>
                  <w:rPr>
                    <w:webHidden/>
                  </w:rPr>
                  <w:fldChar w:fldCharType="begin"/>
                </w:r>
                <w:r>
                  <w:rPr>
                    <w:webHidden/>
                  </w:rPr>
                  <w:instrText xml:space="preserve"> PAGEREF _Toc519499854 \h </w:instrText>
                </w:r>
                <w:r>
                  <w:rPr>
                    <w:webHidden/>
                  </w:rPr>
                </w:r>
                <w:r>
                  <w:rPr>
                    <w:webHidden/>
                  </w:rPr>
                  <w:fldChar w:fldCharType="separate"/>
                </w:r>
                <w:r>
                  <w:rPr>
                    <w:webHidden/>
                  </w:rPr>
                  <w:t>200</w:t>
                </w:r>
                <w:r>
                  <w:rPr>
                    <w:webHidden/>
                  </w:rPr>
                  <w:fldChar w:fldCharType="end"/>
                </w:r>
              </w:hyperlink>
            </w:p>
            <w:p w14:paraId="5A61C6F2" w14:textId="79177A0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55" w:history="1">
                <w:r w:rsidRPr="004C4CA6">
                  <w:rPr>
                    <w:rStyle w:val="Hyperlink"/>
                  </w:rPr>
                  <w:t>3.3.3.3</w:t>
                </w:r>
                <w:r>
                  <w:rPr>
                    <w:rFonts w:asciiTheme="minorHAnsi" w:eastAsiaTheme="minorEastAsia" w:hAnsiTheme="minorHAnsi" w:cstheme="minorBidi"/>
                    <w:sz w:val="22"/>
                    <w:szCs w:val="22"/>
                    <w:lang w:val="en-US" w:eastAsia="en-US"/>
                  </w:rPr>
                  <w:tab/>
                </w:r>
                <w:r w:rsidRPr="004C4CA6">
                  <w:rPr>
                    <w:rStyle w:val="Hyperlink"/>
                  </w:rPr>
                  <w:t>Urbanisation, agriculture and biodiversity in Africa</w:t>
                </w:r>
                <w:r>
                  <w:rPr>
                    <w:webHidden/>
                  </w:rPr>
                  <w:tab/>
                </w:r>
                <w:r>
                  <w:rPr>
                    <w:webHidden/>
                  </w:rPr>
                  <w:fldChar w:fldCharType="begin"/>
                </w:r>
                <w:r>
                  <w:rPr>
                    <w:webHidden/>
                  </w:rPr>
                  <w:instrText xml:space="preserve"> PAGEREF _Toc519499855 \h </w:instrText>
                </w:r>
                <w:r>
                  <w:rPr>
                    <w:webHidden/>
                  </w:rPr>
                </w:r>
                <w:r>
                  <w:rPr>
                    <w:webHidden/>
                  </w:rPr>
                  <w:fldChar w:fldCharType="separate"/>
                </w:r>
                <w:r>
                  <w:rPr>
                    <w:webHidden/>
                  </w:rPr>
                  <w:t>201</w:t>
                </w:r>
                <w:r>
                  <w:rPr>
                    <w:webHidden/>
                  </w:rPr>
                  <w:fldChar w:fldCharType="end"/>
                </w:r>
              </w:hyperlink>
            </w:p>
            <w:p w14:paraId="741A1FAE" w14:textId="394A89C6" w:rsidR="00DA6432" w:rsidRDefault="00DA6432">
              <w:pPr>
                <w:pStyle w:val="TOC3"/>
                <w:rPr>
                  <w:rFonts w:asciiTheme="minorHAnsi" w:eastAsiaTheme="minorEastAsia" w:hAnsiTheme="minorHAnsi" w:cstheme="minorBidi"/>
                  <w:noProof/>
                  <w:color w:val="auto"/>
                  <w:lang w:val="en-US" w:eastAsia="en-US"/>
                </w:rPr>
              </w:pPr>
              <w:hyperlink w:anchor="_Toc519499856" w:history="1">
                <w:r w:rsidRPr="004C4CA6">
                  <w:rPr>
                    <w:rStyle w:val="Hyperlink"/>
                    <w:rFonts w:cs="Times New Roman"/>
                    <w:noProof/>
                  </w:rPr>
                  <w:t>3.4.</w:t>
                </w:r>
                <w:r>
                  <w:rPr>
                    <w:rFonts w:asciiTheme="minorHAnsi" w:eastAsiaTheme="minorEastAsia" w:hAnsiTheme="minorHAnsi" w:cstheme="minorBidi"/>
                    <w:noProof/>
                    <w:color w:val="auto"/>
                    <w:lang w:val="en-US" w:eastAsia="en-US"/>
                  </w:rPr>
                  <w:tab/>
                </w:r>
                <w:r w:rsidRPr="004C4CA6">
                  <w:rPr>
                    <w:rStyle w:val="Hyperlink"/>
                    <w:rFonts w:cs="Times New Roman"/>
                    <w:noProof/>
                  </w:rPr>
                  <w:t>Subregional analysis</w:t>
                </w:r>
                <w:r>
                  <w:rPr>
                    <w:noProof/>
                    <w:webHidden/>
                  </w:rPr>
                  <w:tab/>
                </w:r>
                <w:r>
                  <w:rPr>
                    <w:noProof/>
                    <w:webHidden/>
                  </w:rPr>
                  <w:fldChar w:fldCharType="begin"/>
                </w:r>
                <w:r>
                  <w:rPr>
                    <w:noProof/>
                    <w:webHidden/>
                  </w:rPr>
                  <w:instrText xml:space="preserve"> PAGEREF _Toc519499856 \h </w:instrText>
                </w:r>
                <w:r>
                  <w:rPr>
                    <w:noProof/>
                    <w:webHidden/>
                  </w:rPr>
                </w:r>
                <w:r>
                  <w:rPr>
                    <w:noProof/>
                    <w:webHidden/>
                  </w:rPr>
                  <w:fldChar w:fldCharType="separate"/>
                </w:r>
                <w:r>
                  <w:rPr>
                    <w:noProof/>
                    <w:webHidden/>
                  </w:rPr>
                  <w:t>203</w:t>
                </w:r>
                <w:r>
                  <w:rPr>
                    <w:noProof/>
                    <w:webHidden/>
                  </w:rPr>
                  <w:fldChar w:fldCharType="end"/>
                </w:r>
              </w:hyperlink>
            </w:p>
            <w:p w14:paraId="293E5A63" w14:textId="221FE414"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57" w:history="1">
                <w:r w:rsidRPr="004C4CA6">
                  <w:rPr>
                    <w:rStyle w:val="Hyperlink"/>
                  </w:rPr>
                  <w:t>3.4.1.</w:t>
                </w:r>
                <w:r>
                  <w:rPr>
                    <w:rFonts w:asciiTheme="minorHAnsi" w:eastAsiaTheme="minorEastAsia" w:hAnsiTheme="minorHAnsi" w:cstheme="minorBidi"/>
                    <w:sz w:val="22"/>
                    <w:szCs w:val="22"/>
                    <w:lang w:val="en-US" w:eastAsia="en-US"/>
                  </w:rPr>
                  <w:tab/>
                </w:r>
                <w:r w:rsidRPr="004C4CA6">
                  <w:rPr>
                    <w:rStyle w:val="Hyperlink"/>
                  </w:rPr>
                  <w:t>North Africa</w:t>
                </w:r>
                <w:r>
                  <w:rPr>
                    <w:webHidden/>
                  </w:rPr>
                  <w:tab/>
                </w:r>
                <w:r>
                  <w:rPr>
                    <w:webHidden/>
                  </w:rPr>
                  <w:fldChar w:fldCharType="begin"/>
                </w:r>
                <w:r>
                  <w:rPr>
                    <w:webHidden/>
                  </w:rPr>
                  <w:instrText xml:space="preserve"> PAGEREF _Toc519499857 \h </w:instrText>
                </w:r>
                <w:r>
                  <w:rPr>
                    <w:webHidden/>
                  </w:rPr>
                </w:r>
                <w:r>
                  <w:rPr>
                    <w:webHidden/>
                  </w:rPr>
                  <w:fldChar w:fldCharType="separate"/>
                </w:r>
                <w:r>
                  <w:rPr>
                    <w:webHidden/>
                  </w:rPr>
                  <w:t>203</w:t>
                </w:r>
                <w:r>
                  <w:rPr>
                    <w:webHidden/>
                  </w:rPr>
                  <w:fldChar w:fldCharType="end"/>
                </w:r>
              </w:hyperlink>
            </w:p>
            <w:p w14:paraId="581E4B53" w14:textId="65A57A02"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58" w:history="1">
                <w:r w:rsidRPr="004C4CA6">
                  <w:rPr>
                    <w:rStyle w:val="Hyperlink"/>
                  </w:rPr>
                  <w:t>3.4.1.1.</w:t>
                </w:r>
                <w:r>
                  <w:rPr>
                    <w:rFonts w:asciiTheme="minorHAnsi" w:eastAsiaTheme="minorEastAsia" w:hAnsiTheme="minorHAnsi" w:cstheme="minorBidi"/>
                    <w:sz w:val="22"/>
                    <w:szCs w:val="22"/>
                    <w:lang w:val="en-US" w:eastAsia="en-US"/>
                  </w:rPr>
                  <w:tab/>
                </w:r>
                <w:r w:rsidRPr="004C4CA6">
                  <w:rPr>
                    <w:rStyle w:val="Hyperlink"/>
                  </w:rPr>
                  <w:t>Terrestrial</w:t>
                </w:r>
                <w:r>
                  <w:rPr>
                    <w:webHidden/>
                  </w:rPr>
                  <w:tab/>
                </w:r>
                <w:r>
                  <w:rPr>
                    <w:webHidden/>
                  </w:rPr>
                  <w:fldChar w:fldCharType="begin"/>
                </w:r>
                <w:r>
                  <w:rPr>
                    <w:webHidden/>
                  </w:rPr>
                  <w:instrText xml:space="preserve"> PAGEREF _Toc519499858 \h </w:instrText>
                </w:r>
                <w:r>
                  <w:rPr>
                    <w:webHidden/>
                  </w:rPr>
                </w:r>
                <w:r>
                  <w:rPr>
                    <w:webHidden/>
                  </w:rPr>
                  <w:fldChar w:fldCharType="separate"/>
                </w:r>
                <w:r>
                  <w:rPr>
                    <w:webHidden/>
                  </w:rPr>
                  <w:t>203</w:t>
                </w:r>
                <w:r>
                  <w:rPr>
                    <w:webHidden/>
                  </w:rPr>
                  <w:fldChar w:fldCharType="end"/>
                </w:r>
              </w:hyperlink>
            </w:p>
            <w:p w14:paraId="1D3C944F" w14:textId="5457F168"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59" w:history="1">
                <w:r w:rsidRPr="004C4CA6">
                  <w:rPr>
                    <w:rStyle w:val="Hyperlink"/>
                  </w:rPr>
                  <w:t>3.4.1.1.1.</w:t>
                </w:r>
                <w:r>
                  <w:rPr>
                    <w:rFonts w:asciiTheme="minorHAnsi" w:eastAsiaTheme="minorEastAsia" w:hAnsiTheme="minorHAnsi" w:cstheme="minorBidi"/>
                    <w:sz w:val="22"/>
                    <w:szCs w:val="22"/>
                    <w:lang w:val="en-US" w:eastAsia="en-US"/>
                  </w:rPr>
                  <w:tab/>
                </w:r>
                <w:r w:rsidRPr="004C4CA6">
                  <w:rPr>
                    <w:rStyle w:val="Hyperlink"/>
                  </w:rPr>
                  <w:t>Mediterranean Forest</w:t>
                </w:r>
                <w:r>
                  <w:rPr>
                    <w:webHidden/>
                  </w:rPr>
                  <w:tab/>
                </w:r>
                <w:r>
                  <w:rPr>
                    <w:webHidden/>
                  </w:rPr>
                  <w:fldChar w:fldCharType="begin"/>
                </w:r>
                <w:r>
                  <w:rPr>
                    <w:webHidden/>
                  </w:rPr>
                  <w:instrText xml:space="preserve"> PAGEREF _Toc519499859 \h </w:instrText>
                </w:r>
                <w:r>
                  <w:rPr>
                    <w:webHidden/>
                  </w:rPr>
                </w:r>
                <w:r>
                  <w:rPr>
                    <w:webHidden/>
                  </w:rPr>
                  <w:fldChar w:fldCharType="separate"/>
                </w:r>
                <w:r>
                  <w:rPr>
                    <w:webHidden/>
                  </w:rPr>
                  <w:t>203</w:t>
                </w:r>
                <w:r>
                  <w:rPr>
                    <w:webHidden/>
                  </w:rPr>
                  <w:fldChar w:fldCharType="end"/>
                </w:r>
              </w:hyperlink>
            </w:p>
            <w:p w14:paraId="3812566B" w14:textId="575E7A86"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60" w:history="1">
                <w:r w:rsidRPr="004C4CA6">
                  <w:rPr>
                    <w:rStyle w:val="Hyperlink"/>
                  </w:rPr>
                  <w:t>3.4.1.1.2.</w:t>
                </w:r>
                <w:r>
                  <w:rPr>
                    <w:rFonts w:asciiTheme="minorHAnsi" w:eastAsiaTheme="minorEastAsia" w:hAnsiTheme="minorHAnsi" w:cstheme="minorBidi"/>
                    <w:sz w:val="22"/>
                    <w:szCs w:val="22"/>
                    <w:lang w:val="en-US" w:eastAsia="en-US"/>
                  </w:rPr>
                  <w:tab/>
                </w:r>
                <w:r w:rsidRPr="004C4CA6">
                  <w:rPr>
                    <w:rStyle w:val="Hyperlink"/>
                  </w:rPr>
                  <w:t>High mountain habitats</w:t>
                </w:r>
                <w:r>
                  <w:rPr>
                    <w:webHidden/>
                  </w:rPr>
                  <w:tab/>
                </w:r>
                <w:r>
                  <w:rPr>
                    <w:webHidden/>
                  </w:rPr>
                  <w:fldChar w:fldCharType="begin"/>
                </w:r>
                <w:r>
                  <w:rPr>
                    <w:webHidden/>
                  </w:rPr>
                  <w:instrText xml:space="preserve"> PAGEREF _Toc519499860 \h </w:instrText>
                </w:r>
                <w:r>
                  <w:rPr>
                    <w:webHidden/>
                  </w:rPr>
                </w:r>
                <w:r>
                  <w:rPr>
                    <w:webHidden/>
                  </w:rPr>
                  <w:fldChar w:fldCharType="separate"/>
                </w:r>
                <w:r>
                  <w:rPr>
                    <w:webHidden/>
                  </w:rPr>
                  <w:t>205</w:t>
                </w:r>
                <w:r>
                  <w:rPr>
                    <w:webHidden/>
                  </w:rPr>
                  <w:fldChar w:fldCharType="end"/>
                </w:r>
              </w:hyperlink>
            </w:p>
            <w:p w14:paraId="328A17CB" w14:textId="297EE537"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61" w:history="1">
                <w:r w:rsidRPr="004C4CA6">
                  <w:rPr>
                    <w:rStyle w:val="Hyperlink"/>
                  </w:rPr>
                  <w:t>3.4.1.1.3.</w:t>
                </w:r>
                <w:r>
                  <w:rPr>
                    <w:rFonts w:asciiTheme="minorHAnsi" w:eastAsiaTheme="minorEastAsia" w:hAnsiTheme="minorHAnsi" w:cstheme="minorBidi"/>
                    <w:sz w:val="22"/>
                    <w:szCs w:val="22"/>
                    <w:lang w:val="en-US" w:eastAsia="en-US"/>
                  </w:rPr>
                  <w:tab/>
                </w:r>
                <w:r w:rsidRPr="004C4CA6">
                  <w:rPr>
                    <w:rStyle w:val="Hyperlink"/>
                  </w:rPr>
                  <w:t>Savannah and grassland</w:t>
                </w:r>
                <w:r>
                  <w:rPr>
                    <w:webHidden/>
                  </w:rPr>
                  <w:tab/>
                </w:r>
                <w:r>
                  <w:rPr>
                    <w:webHidden/>
                  </w:rPr>
                  <w:fldChar w:fldCharType="begin"/>
                </w:r>
                <w:r>
                  <w:rPr>
                    <w:webHidden/>
                  </w:rPr>
                  <w:instrText xml:space="preserve"> PAGEREF _Toc519499861 \h </w:instrText>
                </w:r>
                <w:r>
                  <w:rPr>
                    <w:webHidden/>
                  </w:rPr>
                </w:r>
                <w:r>
                  <w:rPr>
                    <w:webHidden/>
                  </w:rPr>
                  <w:fldChar w:fldCharType="separate"/>
                </w:r>
                <w:r>
                  <w:rPr>
                    <w:webHidden/>
                  </w:rPr>
                  <w:t>207</w:t>
                </w:r>
                <w:r>
                  <w:rPr>
                    <w:webHidden/>
                  </w:rPr>
                  <w:fldChar w:fldCharType="end"/>
                </w:r>
              </w:hyperlink>
            </w:p>
            <w:p w14:paraId="76BFA72D" w14:textId="64D26887"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62" w:history="1">
                <w:r w:rsidRPr="004C4CA6">
                  <w:rPr>
                    <w:rStyle w:val="Hyperlink"/>
                  </w:rPr>
                  <w:t>3.4.1.1.4.</w:t>
                </w:r>
                <w:r>
                  <w:rPr>
                    <w:rFonts w:asciiTheme="minorHAnsi" w:eastAsiaTheme="minorEastAsia" w:hAnsiTheme="minorHAnsi" w:cstheme="minorBidi"/>
                    <w:sz w:val="22"/>
                    <w:szCs w:val="22"/>
                    <w:lang w:val="en-US" w:eastAsia="en-US"/>
                  </w:rPr>
                  <w:tab/>
                </w:r>
                <w:r w:rsidRPr="004C4CA6">
                  <w:rPr>
                    <w:rStyle w:val="Hyperlink"/>
                  </w:rPr>
                  <w:t>Dryland and desert</w:t>
                </w:r>
                <w:r>
                  <w:rPr>
                    <w:webHidden/>
                  </w:rPr>
                  <w:tab/>
                </w:r>
                <w:r>
                  <w:rPr>
                    <w:webHidden/>
                  </w:rPr>
                  <w:fldChar w:fldCharType="begin"/>
                </w:r>
                <w:r>
                  <w:rPr>
                    <w:webHidden/>
                  </w:rPr>
                  <w:instrText xml:space="preserve"> PAGEREF _Toc519499862 \h </w:instrText>
                </w:r>
                <w:r>
                  <w:rPr>
                    <w:webHidden/>
                  </w:rPr>
                </w:r>
                <w:r>
                  <w:rPr>
                    <w:webHidden/>
                  </w:rPr>
                  <w:fldChar w:fldCharType="separate"/>
                </w:r>
                <w:r>
                  <w:rPr>
                    <w:webHidden/>
                  </w:rPr>
                  <w:t>208</w:t>
                </w:r>
                <w:r>
                  <w:rPr>
                    <w:webHidden/>
                  </w:rPr>
                  <w:fldChar w:fldCharType="end"/>
                </w:r>
              </w:hyperlink>
            </w:p>
            <w:p w14:paraId="317D60C9" w14:textId="7AD6BE8C"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63" w:history="1">
                <w:r w:rsidRPr="004C4CA6">
                  <w:rPr>
                    <w:rStyle w:val="Hyperlink"/>
                  </w:rPr>
                  <w:t>3.4.1.1.5.</w:t>
                </w:r>
                <w:r>
                  <w:rPr>
                    <w:rFonts w:asciiTheme="minorHAnsi" w:eastAsiaTheme="minorEastAsia" w:hAnsiTheme="minorHAnsi" w:cstheme="minorBidi"/>
                    <w:sz w:val="22"/>
                    <w:szCs w:val="22"/>
                    <w:lang w:val="en-US" w:eastAsia="en-US"/>
                  </w:rPr>
                  <w:tab/>
                </w:r>
                <w:r w:rsidRPr="004C4CA6">
                  <w:rPr>
                    <w:rStyle w:val="Hyperlink"/>
                  </w:rPr>
                  <w:t>Cultivated lands</w:t>
                </w:r>
                <w:r>
                  <w:rPr>
                    <w:webHidden/>
                  </w:rPr>
                  <w:tab/>
                </w:r>
                <w:r>
                  <w:rPr>
                    <w:webHidden/>
                  </w:rPr>
                  <w:fldChar w:fldCharType="begin"/>
                </w:r>
                <w:r>
                  <w:rPr>
                    <w:webHidden/>
                  </w:rPr>
                  <w:instrText xml:space="preserve"> PAGEREF _Toc519499863 \h </w:instrText>
                </w:r>
                <w:r>
                  <w:rPr>
                    <w:webHidden/>
                  </w:rPr>
                </w:r>
                <w:r>
                  <w:rPr>
                    <w:webHidden/>
                  </w:rPr>
                  <w:fldChar w:fldCharType="separate"/>
                </w:r>
                <w:r>
                  <w:rPr>
                    <w:webHidden/>
                  </w:rPr>
                  <w:t>212</w:t>
                </w:r>
                <w:r>
                  <w:rPr>
                    <w:webHidden/>
                  </w:rPr>
                  <w:fldChar w:fldCharType="end"/>
                </w:r>
              </w:hyperlink>
            </w:p>
            <w:p w14:paraId="31F6C72D" w14:textId="0A59B3A4"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64" w:history="1">
                <w:r w:rsidRPr="004C4CA6">
                  <w:rPr>
                    <w:rStyle w:val="Hyperlink"/>
                  </w:rPr>
                  <w:t>3.4.1.2.</w:t>
                </w:r>
                <w:r>
                  <w:rPr>
                    <w:rFonts w:asciiTheme="minorHAnsi" w:eastAsiaTheme="minorEastAsia" w:hAnsiTheme="minorHAnsi" w:cstheme="minorBidi"/>
                    <w:sz w:val="22"/>
                    <w:szCs w:val="22"/>
                    <w:lang w:val="en-US" w:eastAsia="en-US"/>
                  </w:rPr>
                  <w:tab/>
                </w:r>
                <w:r w:rsidRPr="004C4CA6">
                  <w:rPr>
                    <w:rStyle w:val="Hyperlink"/>
                  </w:rPr>
                  <w:t>Aquatic (Freshwater, Marine and Coastal)</w:t>
                </w:r>
                <w:r>
                  <w:rPr>
                    <w:webHidden/>
                  </w:rPr>
                  <w:tab/>
                </w:r>
                <w:r>
                  <w:rPr>
                    <w:webHidden/>
                  </w:rPr>
                  <w:fldChar w:fldCharType="begin"/>
                </w:r>
                <w:r>
                  <w:rPr>
                    <w:webHidden/>
                  </w:rPr>
                  <w:instrText xml:space="preserve"> PAGEREF _Toc519499864 \h </w:instrText>
                </w:r>
                <w:r>
                  <w:rPr>
                    <w:webHidden/>
                  </w:rPr>
                </w:r>
                <w:r>
                  <w:rPr>
                    <w:webHidden/>
                  </w:rPr>
                  <w:fldChar w:fldCharType="separate"/>
                </w:r>
                <w:r>
                  <w:rPr>
                    <w:webHidden/>
                  </w:rPr>
                  <w:t>213</w:t>
                </w:r>
                <w:r>
                  <w:rPr>
                    <w:webHidden/>
                  </w:rPr>
                  <w:fldChar w:fldCharType="end"/>
                </w:r>
              </w:hyperlink>
            </w:p>
            <w:p w14:paraId="6343E01D" w14:textId="3118CA0B"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65" w:history="1">
                <w:r w:rsidRPr="004C4CA6">
                  <w:rPr>
                    <w:rStyle w:val="Hyperlink"/>
                  </w:rPr>
                  <w:t>3.4.1.2.1.</w:t>
                </w:r>
                <w:r>
                  <w:rPr>
                    <w:rFonts w:asciiTheme="minorHAnsi" w:eastAsiaTheme="minorEastAsia" w:hAnsiTheme="minorHAnsi" w:cstheme="minorBidi"/>
                    <w:sz w:val="22"/>
                    <w:szCs w:val="22"/>
                    <w:lang w:val="en-US" w:eastAsia="en-US"/>
                  </w:rPr>
                  <w:tab/>
                </w:r>
                <w:r w:rsidRPr="004C4CA6">
                  <w:rPr>
                    <w:rStyle w:val="Hyperlink"/>
                  </w:rPr>
                  <w:t>Wetlands</w:t>
                </w:r>
                <w:r>
                  <w:rPr>
                    <w:webHidden/>
                  </w:rPr>
                  <w:tab/>
                </w:r>
                <w:r>
                  <w:rPr>
                    <w:webHidden/>
                  </w:rPr>
                  <w:fldChar w:fldCharType="begin"/>
                </w:r>
                <w:r>
                  <w:rPr>
                    <w:webHidden/>
                  </w:rPr>
                  <w:instrText xml:space="preserve"> PAGEREF _Toc519499865 \h </w:instrText>
                </w:r>
                <w:r>
                  <w:rPr>
                    <w:webHidden/>
                  </w:rPr>
                </w:r>
                <w:r>
                  <w:rPr>
                    <w:webHidden/>
                  </w:rPr>
                  <w:fldChar w:fldCharType="separate"/>
                </w:r>
                <w:r>
                  <w:rPr>
                    <w:webHidden/>
                  </w:rPr>
                  <w:t>213</w:t>
                </w:r>
                <w:r>
                  <w:rPr>
                    <w:webHidden/>
                  </w:rPr>
                  <w:fldChar w:fldCharType="end"/>
                </w:r>
              </w:hyperlink>
            </w:p>
            <w:p w14:paraId="3DF99F6A" w14:textId="68CE593F"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66" w:history="1">
                <w:r w:rsidRPr="004C4CA6">
                  <w:rPr>
                    <w:rStyle w:val="Hyperlink"/>
                  </w:rPr>
                  <w:t>3.4.1.2.2.</w:t>
                </w:r>
                <w:r>
                  <w:rPr>
                    <w:rFonts w:asciiTheme="minorHAnsi" w:eastAsiaTheme="minorEastAsia" w:hAnsiTheme="minorHAnsi" w:cstheme="minorBidi"/>
                    <w:sz w:val="22"/>
                    <w:szCs w:val="22"/>
                    <w:lang w:val="en-US" w:eastAsia="en-US"/>
                  </w:rPr>
                  <w:tab/>
                </w:r>
                <w:r w:rsidRPr="004C4CA6">
                  <w:rPr>
                    <w:rStyle w:val="Hyperlink"/>
                  </w:rPr>
                  <w:t>Inland surface waters and water bodies/freshwater</w:t>
                </w:r>
                <w:r>
                  <w:rPr>
                    <w:webHidden/>
                  </w:rPr>
                  <w:tab/>
                </w:r>
                <w:r>
                  <w:rPr>
                    <w:webHidden/>
                  </w:rPr>
                  <w:fldChar w:fldCharType="begin"/>
                </w:r>
                <w:r>
                  <w:rPr>
                    <w:webHidden/>
                  </w:rPr>
                  <w:instrText xml:space="preserve"> PAGEREF _Toc519499866 \h </w:instrText>
                </w:r>
                <w:r>
                  <w:rPr>
                    <w:webHidden/>
                  </w:rPr>
                </w:r>
                <w:r>
                  <w:rPr>
                    <w:webHidden/>
                  </w:rPr>
                  <w:fldChar w:fldCharType="separate"/>
                </w:r>
                <w:r>
                  <w:rPr>
                    <w:webHidden/>
                  </w:rPr>
                  <w:t>213</w:t>
                </w:r>
                <w:r>
                  <w:rPr>
                    <w:webHidden/>
                  </w:rPr>
                  <w:fldChar w:fldCharType="end"/>
                </w:r>
              </w:hyperlink>
            </w:p>
            <w:p w14:paraId="2C65680C" w14:textId="6FE2EEBD"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67" w:history="1">
                <w:r w:rsidRPr="004C4CA6">
                  <w:rPr>
                    <w:rStyle w:val="Hyperlink"/>
                  </w:rPr>
                  <w:t>3.4.1.2.3.</w:t>
                </w:r>
                <w:r>
                  <w:rPr>
                    <w:rFonts w:asciiTheme="minorHAnsi" w:eastAsiaTheme="minorEastAsia" w:hAnsiTheme="minorHAnsi" w:cstheme="minorBidi"/>
                    <w:sz w:val="22"/>
                    <w:szCs w:val="22"/>
                    <w:lang w:val="en-US" w:eastAsia="en-US"/>
                  </w:rPr>
                  <w:tab/>
                </w:r>
                <w:r w:rsidRPr="004C4CA6">
                  <w:rPr>
                    <w:rStyle w:val="Hyperlink"/>
                  </w:rPr>
                  <w:t>Shelf ecosystem</w:t>
                </w:r>
                <w:r>
                  <w:rPr>
                    <w:webHidden/>
                  </w:rPr>
                  <w:tab/>
                </w:r>
                <w:r>
                  <w:rPr>
                    <w:webHidden/>
                  </w:rPr>
                  <w:fldChar w:fldCharType="begin"/>
                </w:r>
                <w:r>
                  <w:rPr>
                    <w:webHidden/>
                  </w:rPr>
                  <w:instrText xml:space="preserve"> PAGEREF _Toc519499867 \h </w:instrText>
                </w:r>
                <w:r>
                  <w:rPr>
                    <w:webHidden/>
                  </w:rPr>
                </w:r>
                <w:r>
                  <w:rPr>
                    <w:webHidden/>
                  </w:rPr>
                  <w:fldChar w:fldCharType="separate"/>
                </w:r>
                <w:r>
                  <w:rPr>
                    <w:webHidden/>
                  </w:rPr>
                  <w:t>214</w:t>
                </w:r>
                <w:r>
                  <w:rPr>
                    <w:webHidden/>
                  </w:rPr>
                  <w:fldChar w:fldCharType="end"/>
                </w:r>
              </w:hyperlink>
            </w:p>
            <w:p w14:paraId="49555339" w14:textId="1D036F10"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68" w:history="1">
                <w:r w:rsidRPr="004C4CA6">
                  <w:rPr>
                    <w:rStyle w:val="Hyperlink"/>
                  </w:rPr>
                  <w:t>3.4.1.2.4.</w:t>
                </w:r>
                <w:r>
                  <w:rPr>
                    <w:rFonts w:asciiTheme="minorHAnsi" w:eastAsiaTheme="minorEastAsia" w:hAnsiTheme="minorHAnsi" w:cstheme="minorBidi"/>
                    <w:sz w:val="22"/>
                    <w:szCs w:val="22"/>
                    <w:lang w:val="en-US" w:eastAsia="en-US"/>
                  </w:rPr>
                  <w:tab/>
                </w:r>
                <w:r w:rsidRPr="004C4CA6">
                  <w:rPr>
                    <w:rStyle w:val="Hyperlink"/>
                  </w:rPr>
                  <w:t>Open Ocean</w:t>
                </w:r>
                <w:r>
                  <w:rPr>
                    <w:webHidden/>
                  </w:rPr>
                  <w:tab/>
                </w:r>
                <w:r>
                  <w:rPr>
                    <w:webHidden/>
                  </w:rPr>
                  <w:fldChar w:fldCharType="begin"/>
                </w:r>
                <w:r>
                  <w:rPr>
                    <w:webHidden/>
                  </w:rPr>
                  <w:instrText xml:space="preserve"> PAGEREF _Toc519499868 \h </w:instrText>
                </w:r>
                <w:r>
                  <w:rPr>
                    <w:webHidden/>
                  </w:rPr>
                </w:r>
                <w:r>
                  <w:rPr>
                    <w:webHidden/>
                  </w:rPr>
                  <w:fldChar w:fldCharType="separate"/>
                </w:r>
                <w:r>
                  <w:rPr>
                    <w:webHidden/>
                  </w:rPr>
                  <w:t>215</w:t>
                </w:r>
                <w:r>
                  <w:rPr>
                    <w:webHidden/>
                  </w:rPr>
                  <w:fldChar w:fldCharType="end"/>
                </w:r>
              </w:hyperlink>
            </w:p>
            <w:p w14:paraId="69669AC1" w14:textId="2CE555F6"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69" w:history="1">
                <w:r w:rsidRPr="004C4CA6">
                  <w:rPr>
                    <w:rStyle w:val="Hyperlink"/>
                  </w:rPr>
                  <w:t>3.4.1.2.5.</w:t>
                </w:r>
                <w:r>
                  <w:rPr>
                    <w:rFonts w:asciiTheme="minorHAnsi" w:eastAsiaTheme="minorEastAsia" w:hAnsiTheme="minorHAnsi" w:cstheme="minorBidi"/>
                    <w:sz w:val="22"/>
                    <w:szCs w:val="22"/>
                    <w:lang w:val="en-US" w:eastAsia="en-US"/>
                  </w:rPr>
                  <w:tab/>
                </w:r>
                <w:r w:rsidRPr="004C4CA6">
                  <w:rPr>
                    <w:rStyle w:val="Hyperlink"/>
                  </w:rPr>
                  <w:t>Deep sea</w:t>
                </w:r>
                <w:r>
                  <w:rPr>
                    <w:webHidden/>
                  </w:rPr>
                  <w:tab/>
                </w:r>
                <w:r>
                  <w:rPr>
                    <w:webHidden/>
                  </w:rPr>
                  <w:fldChar w:fldCharType="begin"/>
                </w:r>
                <w:r>
                  <w:rPr>
                    <w:webHidden/>
                  </w:rPr>
                  <w:instrText xml:space="preserve"> PAGEREF _Toc519499869 \h </w:instrText>
                </w:r>
                <w:r>
                  <w:rPr>
                    <w:webHidden/>
                  </w:rPr>
                </w:r>
                <w:r>
                  <w:rPr>
                    <w:webHidden/>
                  </w:rPr>
                  <w:fldChar w:fldCharType="separate"/>
                </w:r>
                <w:r>
                  <w:rPr>
                    <w:webHidden/>
                  </w:rPr>
                  <w:t>215</w:t>
                </w:r>
                <w:r>
                  <w:rPr>
                    <w:webHidden/>
                  </w:rPr>
                  <w:fldChar w:fldCharType="end"/>
                </w:r>
              </w:hyperlink>
            </w:p>
            <w:p w14:paraId="204BD148" w14:textId="0A5CDCFE"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70" w:history="1">
                <w:r w:rsidRPr="004C4CA6">
                  <w:rPr>
                    <w:rStyle w:val="Hyperlink"/>
                  </w:rPr>
                  <w:t>3.4.2.</w:t>
                </w:r>
                <w:r>
                  <w:rPr>
                    <w:rFonts w:asciiTheme="minorHAnsi" w:eastAsiaTheme="minorEastAsia" w:hAnsiTheme="minorHAnsi" w:cstheme="minorBidi"/>
                    <w:sz w:val="22"/>
                    <w:szCs w:val="22"/>
                    <w:lang w:val="en-US" w:eastAsia="en-US"/>
                  </w:rPr>
                  <w:tab/>
                </w:r>
                <w:r w:rsidRPr="004C4CA6">
                  <w:rPr>
                    <w:rStyle w:val="Hyperlink"/>
                  </w:rPr>
                  <w:t>Central Africa</w:t>
                </w:r>
                <w:r>
                  <w:rPr>
                    <w:webHidden/>
                  </w:rPr>
                  <w:tab/>
                </w:r>
                <w:r>
                  <w:rPr>
                    <w:webHidden/>
                  </w:rPr>
                  <w:fldChar w:fldCharType="begin"/>
                </w:r>
                <w:r>
                  <w:rPr>
                    <w:webHidden/>
                  </w:rPr>
                  <w:instrText xml:space="preserve"> PAGEREF _Toc519499870 \h </w:instrText>
                </w:r>
                <w:r>
                  <w:rPr>
                    <w:webHidden/>
                  </w:rPr>
                </w:r>
                <w:r>
                  <w:rPr>
                    <w:webHidden/>
                  </w:rPr>
                  <w:fldChar w:fldCharType="separate"/>
                </w:r>
                <w:r>
                  <w:rPr>
                    <w:webHidden/>
                  </w:rPr>
                  <w:t>216</w:t>
                </w:r>
                <w:r>
                  <w:rPr>
                    <w:webHidden/>
                  </w:rPr>
                  <w:fldChar w:fldCharType="end"/>
                </w:r>
              </w:hyperlink>
            </w:p>
            <w:p w14:paraId="17A8719A" w14:textId="729278B1"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71" w:history="1">
                <w:r w:rsidRPr="004C4CA6">
                  <w:rPr>
                    <w:rStyle w:val="Hyperlink"/>
                  </w:rPr>
                  <w:t>3.4.2.1.</w:t>
                </w:r>
                <w:r>
                  <w:rPr>
                    <w:rFonts w:asciiTheme="minorHAnsi" w:eastAsiaTheme="minorEastAsia" w:hAnsiTheme="minorHAnsi" w:cstheme="minorBidi"/>
                    <w:sz w:val="22"/>
                    <w:szCs w:val="22"/>
                    <w:lang w:val="en-US" w:eastAsia="en-US"/>
                  </w:rPr>
                  <w:tab/>
                </w:r>
                <w:r w:rsidRPr="004C4CA6">
                  <w:rPr>
                    <w:rStyle w:val="Hyperlink"/>
                  </w:rPr>
                  <w:t>Terrestrial</w:t>
                </w:r>
                <w:r>
                  <w:rPr>
                    <w:webHidden/>
                  </w:rPr>
                  <w:tab/>
                </w:r>
                <w:r>
                  <w:rPr>
                    <w:webHidden/>
                  </w:rPr>
                  <w:fldChar w:fldCharType="begin"/>
                </w:r>
                <w:r>
                  <w:rPr>
                    <w:webHidden/>
                  </w:rPr>
                  <w:instrText xml:space="preserve"> PAGEREF _Toc519499871 \h </w:instrText>
                </w:r>
                <w:r>
                  <w:rPr>
                    <w:webHidden/>
                  </w:rPr>
                </w:r>
                <w:r>
                  <w:rPr>
                    <w:webHidden/>
                  </w:rPr>
                  <w:fldChar w:fldCharType="separate"/>
                </w:r>
                <w:r>
                  <w:rPr>
                    <w:webHidden/>
                  </w:rPr>
                  <w:t>216</w:t>
                </w:r>
                <w:r>
                  <w:rPr>
                    <w:webHidden/>
                  </w:rPr>
                  <w:fldChar w:fldCharType="end"/>
                </w:r>
              </w:hyperlink>
            </w:p>
            <w:p w14:paraId="341AEE7F" w14:textId="327025B8"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72" w:history="1">
                <w:r w:rsidRPr="004C4CA6">
                  <w:rPr>
                    <w:rStyle w:val="Hyperlink"/>
                  </w:rPr>
                  <w:t>3.4.2.1.1.</w:t>
                </w:r>
                <w:r>
                  <w:rPr>
                    <w:rFonts w:asciiTheme="minorHAnsi" w:eastAsiaTheme="minorEastAsia" w:hAnsiTheme="minorHAnsi" w:cstheme="minorBidi"/>
                    <w:sz w:val="22"/>
                    <w:szCs w:val="22"/>
                    <w:lang w:val="en-US" w:eastAsia="en-US"/>
                  </w:rPr>
                  <w:tab/>
                </w:r>
                <w:r w:rsidRPr="004C4CA6">
                  <w:rPr>
                    <w:rStyle w:val="Hyperlink"/>
                  </w:rPr>
                  <w:t>Tropical and subtropical dry and humid forest</w:t>
                </w:r>
                <w:r>
                  <w:rPr>
                    <w:webHidden/>
                  </w:rPr>
                  <w:tab/>
                </w:r>
                <w:r>
                  <w:rPr>
                    <w:webHidden/>
                  </w:rPr>
                  <w:fldChar w:fldCharType="begin"/>
                </w:r>
                <w:r>
                  <w:rPr>
                    <w:webHidden/>
                  </w:rPr>
                  <w:instrText xml:space="preserve"> PAGEREF _Toc519499872 \h </w:instrText>
                </w:r>
                <w:r>
                  <w:rPr>
                    <w:webHidden/>
                  </w:rPr>
                </w:r>
                <w:r>
                  <w:rPr>
                    <w:webHidden/>
                  </w:rPr>
                  <w:fldChar w:fldCharType="separate"/>
                </w:r>
                <w:r>
                  <w:rPr>
                    <w:webHidden/>
                  </w:rPr>
                  <w:t>216</w:t>
                </w:r>
                <w:r>
                  <w:rPr>
                    <w:webHidden/>
                  </w:rPr>
                  <w:fldChar w:fldCharType="end"/>
                </w:r>
              </w:hyperlink>
            </w:p>
            <w:p w14:paraId="083C57E8" w14:textId="58850432"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73" w:history="1">
                <w:r w:rsidRPr="004C4CA6">
                  <w:rPr>
                    <w:rStyle w:val="Hyperlink"/>
                  </w:rPr>
                  <w:t>3.4.2.1.2.</w:t>
                </w:r>
                <w:r>
                  <w:rPr>
                    <w:rFonts w:asciiTheme="minorHAnsi" w:eastAsiaTheme="minorEastAsia" w:hAnsiTheme="minorHAnsi" w:cstheme="minorBidi"/>
                    <w:sz w:val="22"/>
                    <w:szCs w:val="22"/>
                    <w:lang w:val="en-US" w:eastAsia="en-US"/>
                  </w:rPr>
                  <w:tab/>
                </w:r>
                <w:r w:rsidRPr="004C4CA6">
                  <w:rPr>
                    <w:rStyle w:val="Hyperlink"/>
                  </w:rPr>
                  <w:t>High mountain habitats</w:t>
                </w:r>
                <w:r>
                  <w:rPr>
                    <w:webHidden/>
                  </w:rPr>
                  <w:tab/>
                </w:r>
                <w:r>
                  <w:rPr>
                    <w:webHidden/>
                  </w:rPr>
                  <w:fldChar w:fldCharType="begin"/>
                </w:r>
                <w:r>
                  <w:rPr>
                    <w:webHidden/>
                  </w:rPr>
                  <w:instrText xml:space="preserve"> PAGEREF _Toc519499873 \h </w:instrText>
                </w:r>
                <w:r>
                  <w:rPr>
                    <w:webHidden/>
                  </w:rPr>
                </w:r>
                <w:r>
                  <w:rPr>
                    <w:webHidden/>
                  </w:rPr>
                  <w:fldChar w:fldCharType="separate"/>
                </w:r>
                <w:r>
                  <w:rPr>
                    <w:webHidden/>
                  </w:rPr>
                  <w:t>217</w:t>
                </w:r>
                <w:r>
                  <w:rPr>
                    <w:webHidden/>
                  </w:rPr>
                  <w:fldChar w:fldCharType="end"/>
                </w:r>
              </w:hyperlink>
            </w:p>
            <w:p w14:paraId="0E0503A0" w14:textId="40CC515E"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74" w:history="1">
                <w:r w:rsidRPr="004C4CA6">
                  <w:rPr>
                    <w:rStyle w:val="Hyperlink"/>
                  </w:rPr>
                  <w:t>3.4.2.1.3.</w:t>
                </w:r>
                <w:r>
                  <w:rPr>
                    <w:rFonts w:asciiTheme="minorHAnsi" w:eastAsiaTheme="minorEastAsia" w:hAnsiTheme="minorHAnsi" w:cstheme="minorBidi"/>
                    <w:sz w:val="22"/>
                    <w:szCs w:val="22"/>
                    <w:lang w:val="en-US" w:eastAsia="en-US"/>
                  </w:rPr>
                  <w:tab/>
                </w:r>
                <w:r w:rsidRPr="004C4CA6">
                  <w:rPr>
                    <w:rStyle w:val="Hyperlink"/>
                  </w:rPr>
                  <w:t>Savannah and grassland</w:t>
                </w:r>
                <w:r>
                  <w:rPr>
                    <w:webHidden/>
                  </w:rPr>
                  <w:tab/>
                </w:r>
                <w:r>
                  <w:rPr>
                    <w:webHidden/>
                  </w:rPr>
                  <w:fldChar w:fldCharType="begin"/>
                </w:r>
                <w:r>
                  <w:rPr>
                    <w:webHidden/>
                  </w:rPr>
                  <w:instrText xml:space="preserve"> PAGEREF _Toc519499874 \h </w:instrText>
                </w:r>
                <w:r>
                  <w:rPr>
                    <w:webHidden/>
                  </w:rPr>
                </w:r>
                <w:r>
                  <w:rPr>
                    <w:webHidden/>
                  </w:rPr>
                  <w:fldChar w:fldCharType="separate"/>
                </w:r>
                <w:r>
                  <w:rPr>
                    <w:webHidden/>
                  </w:rPr>
                  <w:t>218</w:t>
                </w:r>
                <w:r>
                  <w:rPr>
                    <w:webHidden/>
                  </w:rPr>
                  <w:fldChar w:fldCharType="end"/>
                </w:r>
              </w:hyperlink>
            </w:p>
            <w:p w14:paraId="7168C845" w14:textId="631DB7AB"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75" w:history="1">
                <w:r w:rsidRPr="004C4CA6">
                  <w:rPr>
                    <w:rStyle w:val="Hyperlink"/>
                  </w:rPr>
                  <w:t>3.4.2.1.4.</w:t>
                </w:r>
                <w:r>
                  <w:rPr>
                    <w:rFonts w:asciiTheme="minorHAnsi" w:eastAsiaTheme="minorEastAsia" w:hAnsiTheme="minorHAnsi" w:cstheme="minorBidi"/>
                    <w:sz w:val="22"/>
                    <w:szCs w:val="22"/>
                    <w:lang w:val="en-US" w:eastAsia="en-US"/>
                  </w:rPr>
                  <w:tab/>
                </w:r>
                <w:r w:rsidRPr="004C4CA6">
                  <w:rPr>
                    <w:rStyle w:val="Hyperlink"/>
                  </w:rPr>
                  <w:t>Dryland and desert</w:t>
                </w:r>
                <w:r>
                  <w:rPr>
                    <w:webHidden/>
                  </w:rPr>
                  <w:tab/>
                </w:r>
                <w:r>
                  <w:rPr>
                    <w:webHidden/>
                  </w:rPr>
                  <w:fldChar w:fldCharType="begin"/>
                </w:r>
                <w:r>
                  <w:rPr>
                    <w:webHidden/>
                  </w:rPr>
                  <w:instrText xml:space="preserve"> PAGEREF _Toc519499875 \h </w:instrText>
                </w:r>
                <w:r>
                  <w:rPr>
                    <w:webHidden/>
                  </w:rPr>
                </w:r>
                <w:r>
                  <w:rPr>
                    <w:webHidden/>
                  </w:rPr>
                  <w:fldChar w:fldCharType="separate"/>
                </w:r>
                <w:r>
                  <w:rPr>
                    <w:webHidden/>
                  </w:rPr>
                  <w:t>219</w:t>
                </w:r>
                <w:r>
                  <w:rPr>
                    <w:webHidden/>
                  </w:rPr>
                  <w:fldChar w:fldCharType="end"/>
                </w:r>
              </w:hyperlink>
            </w:p>
            <w:p w14:paraId="5BD7F347" w14:textId="5122B433"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76" w:history="1">
                <w:r w:rsidRPr="004C4CA6">
                  <w:rPr>
                    <w:rStyle w:val="Hyperlink"/>
                  </w:rPr>
                  <w:t>3.4.2.1.5.</w:t>
                </w:r>
                <w:r>
                  <w:rPr>
                    <w:rFonts w:asciiTheme="minorHAnsi" w:eastAsiaTheme="minorEastAsia" w:hAnsiTheme="minorHAnsi" w:cstheme="minorBidi"/>
                    <w:sz w:val="22"/>
                    <w:szCs w:val="22"/>
                    <w:lang w:val="en-US" w:eastAsia="en-US"/>
                  </w:rPr>
                  <w:tab/>
                </w:r>
                <w:r w:rsidRPr="004C4CA6">
                  <w:rPr>
                    <w:rStyle w:val="Hyperlink"/>
                  </w:rPr>
                  <w:t>Urban/Semi-urban</w:t>
                </w:r>
                <w:r>
                  <w:rPr>
                    <w:webHidden/>
                  </w:rPr>
                  <w:tab/>
                </w:r>
                <w:r>
                  <w:rPr>
                    <w:webHidden/>
                  </w:rPr>
                  <w:fldChar w:fldCharType="begin"/>
                </w:r>
                <w:r>
                  <w:rPr>
                    <w:webHidden/>
                  </w:rPr>
                  <w:instrText xml:space="preserve"> PAGEREF _Toc519499876 \h </w:instrText>
                </w:r>
                <w:r>
                  <w:rPr>
                    <w:webHidden/>
                  </w:rPr>
                </w:r>
                <w:r>
                  <w:rPr>
                    <w:webHidden/>
                  </w:rPr>
                  <w:fldChar w:fldCharType="separate"/>
                </w:r>
                <w:r>
                  <w:rPr>
                    <w:webHidden/>
                  </w:rPr>
                  <w:t>219</w:t>
                </w:r>
                <w:r>
                  <w:rPr>
                    <w:webHidden/>
                  </w:rPr>
                  <w:fldChar w:fldCharType="end"/>
                </w:r>
              </w:hyperlink>
            </w:p>
            <w:p w14:paraId="069CE082" w14:textId="51EC1851"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77" w:history="1">
                <w:r w:rsidRPr="004C4CA6">
                  <w:rPr>
                    <w:rStyle w:val="Hyperlink"/>
                  </w:rPr>
                  <w:t>3.4.2.1.6.</w:t>
                </w:r>
                <w:r>
                  <w:rPr>
                    <w:rFonts w:asciiTheme="minorHAnsi" w:eastAsiaTheme="minorEastAsia" w:hAnsiTheme="minorHAnsi" w:cstheme="minorBidi"/>
                    <w:sz w:val="22"/>
                    <w:szCs w:val="22"/>
                    <w:lang w:val="en-US" w:eastAsia="en-US"/>
                  </w:rPr>
                  <w:tab/>
                </w:r>
                <w:r w:rsidRPr="004C4CA6">
                  <w:rPr>
                    <w:rStyle w:val="Hyperlink"/>
                  </w:rPr>
                  <w:t>Cultivated lands</w:t>
                </w:r>
                <w:r>
                  <w:rPr>
                    <w:webHidden/>
                  </w:rPr>
                  <w:tab/>
                </w:r>
                <w:r>
                  <w:rPr>
                    <w:webHidden/>
                  </w:rPr>
                  <w:fldChar w:fldCharType="begin"/>
                </w:r>
                <w:r>
                  <w:rPr>
                    <w:webHidden/>
                  </w:rPr>
                  <w:instrText xml:space="preserve"> PAGEREF _Toc519499877 \h </w:instrText>
                </w:r>
                <w:r>
                  <w:rPr>
                    <w:webHidden/>
                  </w:rPr>
                </w:r>
                <w:r>
                  <w:rPr>
                    <w:webHidden/>
                  </w:rPr>
                  <w:fldChar w:fldCharType="separate"/>
                </w:r>
                <w:r>
                  <w:rPr>
                    <w:webHidden/>
                  </w:rPr>
                  <w:t>220</w:t>
                </w:r>
                <w:r>
                  <w:rPr>
                    <w:webHidden/>
                  </w:rPr>
                  <w:fldChar w:fldCharType="end"/>
                </w:r>
              </w:hyperlink>
            </w:p>
            <w:p w14:paraId="4B5D9C6A" w14:textId="02A6096C"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78" w:history="1">
                <w:r w:rsidRPr="004C4CA6">
                  <w:rPr>
                    <w:rStyle w:val="Hyperlink"/>
                  </w:rPr>
                  <w:t>3.4.2.2.</w:t>
                </w:r>
                <w:r>
                  <w:rPr>
                    <w:rFonts w:asciiTheme="minorHAnsi" w:eastAsiaTheme="minorEastAsia" w:hAnsiTheme="minorHAnsi" w:cstheme="minorBidi"/>
                    <w:sz w:val="22"/>
                    <w:szCs w:val="22"/>
                    <w:lang w:val="en-US" w:eastAsia="en-US"/>
                  </w:rPr>
                  <w:tab/>
                </w:r>
                <w:r w:rsidRPr="004C4CA6">
                  <w:rPr>
                    <w:rStyle w:val="Hyperlink"/>
                  </w:rPr>
                  <w:t>Aquatic (Freshwater, Marine and Coastal)</w:t>
                </w:r>
                <w:r>
                  <w:rPr>
                    <w:webHidden/>
                  </w:rPr>
                  <w:tab/>
                </w:r>
                <w:r>
                  <w:rPr>
                    <w:webHidden/>
                  </w:rPr>
                  <w:fldChar w:fldCharType="begin"/>
                </w:r>
                <w:r>
                  <w:rPr>
                    <w:webHidden/>
                  </w:rPr>
                  <w:instrText xml:space="preserve"> PAGEREF _Toc519499878 \h </w:instrText>
                </w:r>
                <w:r>
                  <w:rPr>
                    <w:webHidden/>
                  </w:rPr>
                </w:r>
                <w:r>
                  <w:rPr>
                    <w:webHidden/>
                  </w:rPr>
                  <w:fldChar w:fldCharType="separate"/>
                </w:r>
                <w:r>
                  <w:rPr>
                    <w:webHidden/>
                  </w:rPr>
                  <w:t>220</w:t>
                </w:r>
                <w:r>
                  <w:rPr>
                    <w:webHidden/>
                  </w:rPr>
                  <w:fldChar w:fldCharType="end"/>
                </w:r>
              </w:hyperlink>
            </w:p>
            <w:p w14:paraId="61466965" w14:textId="51B30567"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79" w:history="1">
                <w:r w:rsidRPr="004C4CA6">
                  <w:rPr>
                    <w:rStyle w:val="Hyperlink"/>
                  </w:rPr>
                  <w:t>3.4.2.2.1.</w:t>
                </w:r>
                <w:r>
                  <w:rPr>
                    <w:rFonts w:asciiTheme="minorHAnsi" w:eastAsiaTheme="minorEastAsia" w:hAnsiTheme="minorHAnsi" w:cstheme="minorBidi"/>
                    <w:sz w:val="22"/>
                    <w:szCs w:val="22"/>
                    <w:lang w:val="en-US" w:eastAsia="en-US"/>
                  </w:rPr>
                  <w:tab/>
                </w:r>
                <w:r w:rsidRPr="004C4CA6">
                  <w:rPr>
                    <w:rStyle w:val="Hyperlink"/>
                  </w:rPr>
                  <w:t>Wetlands</w:t>
                </w:r>
                <w:r>
                  <w:rPr>
                    <w:webHidden/>
                  </w:rPr>
                  <w:tab/>
                </w:r>
                <w:r>
                  <w:rPr>
                    <w:webHidden/>
                  </w:rPr>
                  <w:fldChar w:fldCharType="begin"/>
                </w:r>
                <w:r>
                  <w:rPr>
                    <w:webHidden/>
                  </w:rPr>
                  <w:instrText xml:space="preserve"> PAGEREF _Toc519499879 \h </w:instrText>
                </w:r>
                <w:r>
                  <w:rPr>
                    <w:webHidden/>
                  </w:rPr>
                </w:r>
                <w:r>
                  <w:rPr>
                    <w:webHidden/>
                  </w:rPr>
                  <w:fldChar w:fldCharType="separate"/>
                </w:r>
                <w:r>
                  <w:rPr>
                    <w:webHidden/>
                  </w:rPr>
                  <w:t>220</w:t>
                </w:r>
                <w:r>
                  <w:rPr>
                    <w:webHidden/>
                  </w:rPr>
                  <w:fldChar w:fldCharType="end"/>
                </w:r>
              </w:hyperlink>
            </w:p>
            <w:p w14:paraId="65462E31" w14:textId="154D3CA1"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80" w:history="1">
                <w:r w:rsidRPr="004C4CA6">
                  <w:rPr>
                    <w:rStyle w:val="Hyperlink"/>
                  </w:rPr>
                  <w:t>3.4.2.2.2.</w:t>
                </w:r>
                <w:r>
                  <w:rPr>
                    <w:rFonts w:asciiTheme="minorHAnsi" w:eastAsiaTheme="minorEastAsia" w:hAnsiTheme="minorHAnsi" w:cstheme="minorBidi"/>
                    <w:sz w:val="22"/>
                    <w:szCs w:val="22"/>
                    <w:lang w:val="en-US" w:eastAsia="en-US"/>
                  </w:rPr>
                  <w:tab/>
                </w:r>
                <w:r w:rsidRPr="004C4CA6">
                  <w:rPr>
                    <w:rStyle w:val="Hyperlink"/>
                  </w:rPr>
                  <w:t>Inland surface waters and water bodies/freshwater</w:t>
                </w:r>
                <w:r>
                  <w:rPr>
                    <w:webHidden/>
                  </w:rPr>
                  <w:tab/>
                </w:r>
                <w:r>
                  <w:rPr>
                    <w:webHidden/>
                  </w:rPr>
                  <w:fldChar w:fldCharType="begin"/>
                </w:r>
                <w:r>
                  <w:rPr>
                    <w:webHidden/>
                  </w:rPr>
                  <w:instrText xml:space="preserve"> PAGEREF _Toc519499880 \h </w:instrText>
                </w:r>
                <w:r>
                  <w:rPr>
                    <w:webHidden/>
                  </w:rPr>
                </w:r>
                <w:r>
                  <w:rPr>
                    <w:webHidden/>
                  </w:rPr>
                  <w:fldChar w:fldCharType="separate"/>
                </w:r>
                <w:r>
                  <w:rPr>
                    <w:webHidden/>
                  </w:rPr>
                  <w:t>221</w:t>
                </w:r>
                <w:r>
                  <w:rPr>
                    <w:webHidden/>
                  </w:rPr>
                  <w:fldChar w:fldCharType="end"/>
                </w:r>
              </w:hyperlink>
            </w:p>
            <w:p w14:paraId="5066FA39" w14:textId="0D300B1D"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81" w:history="1">
                <w:r w:rsidRPr="004C4CA6">
                  <w:rPr>
                    <w:rStyle w:val="Hyperlink"/>
                  </w:rPr>
                  <w:t>3.4.2.2.3.</w:t>
                </w:r>
                <w:r>
                  <w:rPr>
                    <w:rFonts w:asciiTheme="minorHAnsi" w:eastAsiaTheme="minorEastAsia" w:hAnsiTheme="minorHAnsi" w:cstheme="minorBidi"/>
                    <w:sz w:val="22"/>
                    <w:szCs w:val="22"/>
                    <w:lang w:val="en-US" w:eastAsia="en-US"/>
                  </w:rPr>
                  <w:tab/>
                </w:r>
                <w:r w:rsidRPr="004C4CA6">
                  <w:rPr>
                    <w:rStyle w:val="Hyperlink"/>
                  </w:rPr>
                  <w:t>Shelf ecosystem</w:t>
                </w:r>
                <w:r>
                  <w:rPr>
                    <w:webHidden/>
                  </w:rPr>
                  <w:tab/>
                </w:r>
                <w:r>
                  <w:rPr>
                    <w:webHidden/>
                  </w:rPr>
                  <w:fldChar w:fldCharType="begin"/>
                </w:r>
                <w:r>
                  <w:rPr>
                    <w:webHidden/>
                  </w:rPr>
                  <w:instrText xml:space="preserve"> PAGEREF _Toc519499881 \h </w:instrText>
                </w:r>
                <w:r>
                  <w:rPr>
                    <w:webHidden/>
                  </w:rPr>
                </w:r>
                <w:r>
                  <w:rPr>
                    <w:webHidden/>
                  </w:rPr>
                  <w:fldChar w:fldCharType="separate"/>
                </w:r>
                <w:r>
                  <w:rPr>
                    <w:webHidden/>
                  </w:rPr>
                  <w:t>221</w:t>
                </w:r>
                <w:r>
                  <w:rPr>
                    <w:webHidden/>
                  </w:rPr>
                  <w:fldChar w:fldCharType="end"/>
                </w:r>
              </w:hyperlink>
            </w:p>
            <w:p w14:paraId="199A302E" w14:textId="4F0012F9"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82" w:history="1">
                <w:r w:rsidRPr="004C4CA6">
                  <w:rPr>
                    <w:rStyle w:val="Hyperlink"/>
                  </w:rPr>
                  <w:t>3.4.2.2.4.</w:t>
                </w:r>
                <w:r>
                  <w:rPr>
                    <w:rFonts w:asciiTheme="minorHAnsi" w:eastAsiaTheme="minorEastAsia" w:hAnsiTheme="minorHAnsi" w:cstheme="minorBidi"/>
                    <w:sz w:val="22"/>
                    <w:szCs w:val="22"/>
                    <w:lang w:val="en-US" w:eastAsia="en-US"/>
                  </w:rPr>
                  <w:tab/>
                </w:r>
                <w:r w:rsidRPr="004C4CA6">
                  <w:rPr>
                    <w:rStyle w:val="Hyperlink"/>
                  </w:rPr>
                  <w:t>Open Ocean</w:t>
                </w:r>
                <w:r>
                  <w:rPr>
                    <w:webHidden/>
                  </w:rPr>
                  <w:tab/>
                </w:r>
                <w:r>
                  <w:rPr>
                    <w:webHidden/>
                  </w:rPr>
                  <w:fldChar w:fldCharType="begin"/>
                </w:r>
                <w:r>
                  <w:rPr>
                    <w:webHidden/>
                  </w:rPr>
                  <w:instrText xml:space="preserve"> PAGEREF _Toc519499882 \h </w:instrText>
                </w:r>
                <w:r>
                  <w:rPr>
                    <w:webHidden/>
                  </w:rPr>
                </w:r>
                <w:r>
                  <w:rPr>
                    <w:webHidden/>
                  </w:rPr>
                  <w:fldChar w:fldCharType="separate"/>
                </w:r>
                <w:r>
                  <w:rPr>
                    <w:webHidden/>
                  </w:rPr>
                  <w:t>223</w:t>
                </w:r>
                <w:r>
                  <w:rPr>
                    <w:webHidden/>
                  </w:rPr>
                  <w:fldChar w:fldCharType="end"/>
                </w:r>
              </w:hyperlink>
            </w:p>
            <w:p w14:paraId="4B371586" w14:textId="5DA7E963"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83" w:history="1">
                <w:r w:rsidRPr="004C4CA6">
                  <w:rPr>
                    <w:rStyle w:val="Hyperlink"/>
                  </w:rPr>
                  <w:t>3.4.2.2.5.</w:t>
                </w:r>
                <w:r>
                  <w:rPr>
                    <w:rFonts w:asciiTheme="minorHAnsi" w:eastAsiaTheme="minorEastAsia" w:hAnsiTheme="minorHAnsi" w:cstheme="minorBidi"/>
                    <w:sz w:val="22"/>
                    <w:szCs w:val="22"/>
                    <w:lang w:val="en-US" w:eastAsia="en-US"/>
                  </w:rPr>
                  <w:tab/>
                </w:r>
                <w:r w:rsidRPr="004C4CA6">
                  <w:rPr>
                    <w:rStyle w:val="Hyperlink"/>
                  </w:rPr>
                  <w:t>Deep-sea</w:t>
                </w:r>
                <w:r>
                  <w:rPr>
                    <w:webHidden/>
                  </w:rPr>
                  <w:tab/>
                </w:r>
                <w:r>
                  <w:rPr>
                    <w:webHidden/>
                  </w:rPr>
                  <w:fldChar w:fldCharType="begin"/>
                </w:r>
                <w:r>
                  <w:rPr>
                    <w:webHidden/>
                  </w:rPr>
                  <w:instrText xml:space="preserve"> PAGEREF _Toc519499883 \h </w:instrText>
                </w:r>
                <w:r>
                  <w:rPr>
                    <w:webHidden/>
                  </w:rPr>
                </w:r>
                <w:r>
                  <w:rPr>
                    <w:webHidden/>
                  </w:rPr>
                  <w:fldChar w:fldCharType="separate"/>
                </w:r>
                <w:r>
                  <w:rPr>
                    <w:webHidden/>
                  </w:rPr>
                  <w:t>223</w:t>
                </w:r>
                <w:r>
                  <w:rPr>
                    <w:webHidden/>
                  </w:rPr>
                  <w:fldChar w:fldCharType="end"/>
                </w:r>
              </w:hyperlink>
            </w:p>
            <w:p w14:paraId="1B419418" w14:textId="5AA869A1"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84" w:history="1">
                <w:r w:rsidRPr="004C4CA6">
                  <w:rPr>
                    <w:rStyle w:val="Hyperlink"/>
                  </w:rPr>
                  <w:t>3.4.3.</w:t>
                </w:r>
                <w:r>
                  <w:rPr>
                    <w:rFonts w:asciiTheme="minorHAnsi" w:eastAsiaTheme="minorEastAsia" w:hAnsiTheme="minorHAnsi" w:cstheme="minorBidi"/>
                    <w:sz w:val="22"/>
                    <w:szCs w:val="22"/>
                    <w:lang w:val="en-US" w:eastAsia="en-US"/>
                  </w:rPr>
                  <w:tab/>
                </w:r>
                <w:r w:rsidRPr="004C4CA6">
                  <w:rPr>
                    <w:rStyle w:val="Hyperlink"/>
                  </w:rPr>
                  <w:t>East Africa and adjacent islands</w:t>
                </w:r>
                <w:r>
                  <w:rPr>
                    <w:webHidden/>
                  </w:rPr>
                  <w:tab/>
                </w:r>
                <w:r>
                  <w:rPr>
                    <w:webHidden/>
                  </w:rPr>
                  <w:fldChar w:fldCharType="begin"/>
                </w:r>
                <w:r>
                  <w:rPr>
                    <w:webHidden/>
                  </w:rPr>
                  <w:instrText xml:space="preserve"> PAGEREF _Toc519499884 \h </w:instrText>
                </w:r>
                <w:r>
                  <w:rPr>
                    <w:webHidden/>
                  </w:rPr>
                </w:r>
                <w:r>
                  <w:rPr>
                    <w:webHidden/>
                  </w:rPr>
                  <w:fldChar w:fldCharType="separate"/>
                </w:r>
                <w:r>
                  <w:rPr>
                    <w:webHidden/>
                  </w:rPr>
                  <w:t>223</w:t>
                </w:r>
                <w:r>
                  <w:rPr>
                    <w:webHidden/>
                  </w:rPr>
                  <w:fldChar w:fldCharType="end"/>
                </w:r>
              </w:hyperlink>
            </w:p>
            <w:p w14:paraId="3DDB0B1A" w14:textId="67FF3025"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85" w:history="1">
                <w:r w:rsidRPr="004C4CA6">
                  <w:rPr>
                    <w:rStyle w:val="Hyperlink"/>
                  </w:rPr>
                  <w:t>3.4.3.1.</w:t>
                </w:r>
                <w:r>
                  <w:rPr>
                    <w:rFonts w:asciiTheme="minorHAnsi" w:eastAsiaTheme="minorEastAsia" w:hAnsiTheme="minorHAnsi" w:cstheme="minorBidi"/>
                    <w:sz w:val="22"/>
                    <w:szCs w:val="22"/>
                    <w:lang w:val="en-US" w:eastAsia="en-US"/>
                  </w:rPr>
                  <w:tab/>
                </w:r>
                <w:r w:rsidRPr="004C4CA6">
                  <w:rPr>
                    <w:rStyle w:val="Hyperlink"/>
                  </w:rPr>
                  <w:t>Terrestrial</w:t>
                </w:r>
                <w:r>
                  <w:rPr>
                    <w:webHidden/>
                  </w:rPr>
                  <w:tab/>
                </w:r>
                <w:r>
                  <w:rPr>
                    <w:webHidden/>
                  </w:rPr>
                  <w:fldChar w:fldCharType="begin"/>
                </w:r>
                <w:r>
                  <w:rPr>
                    <w:webHidden/>
                  </w:rPr>
                  <w:instrText xml:space="preserve"> PAGEREF _Toc519499885 \h </w:instrText>
                </w:r>
                <w:r>
                  <w:rPr>
                    <w:webHidden/>
                  </w:rPr>
                </w:r>
                <w:r>
                  <w:rPr>
                    <w:webHidden/>
                  </w:rPr>
                  <w:fldChar w:fldCharType="separate"/>
                </w:r>
                <w:r>
                  <w:rPr>
                    <w:webHidden/>
                  </w:rPr>
                  <w:t>223</w:t>
                </w:r>
                <w:r>
                  <w:rPr>
                    <w:webHidden/>
                  </w:rPr>
                  <w:fldChar w:fldCharType="end"/>
                </w:r>
              </w:hyperlink>
            </w:p>
            <w:p w14:paraId="1745A8A2" w14:textId="3CF4C133"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86" w:history="1">
                <w:r w:rsidRPr="004C4CA6">
                  <w:rPr>
                    <w:rStyle w:val="Hyperlink"/>
                  </w:rPr>
                  <w:t>3.4.3.1.1.</w:t>
                </w:r>
                <w:r>
                  <w:rPr>
                    <w:rFonts w:asciiTheme="minorHAnsi" w:eastAsiaTheme="minorEastAsia" w:hAnsiTheme="minorHAnsi" w:cstheme="minorBidi"/>
                    <w:sz w:val="22"/>
                    <w:szCs w:val="22"/>
                    <w:lang w:val="en-US" w:eastAsia="en-US"/>
                  </w:rPr>
                  <w:tab/>
                </w:r>
                <w:r w:rsidRPr="004C4CA6">
                  <w:rPr>
                    <w:rStyle w:val="Hyperlink"/>
                  </w:rPr>
                  <w:t>Tropical and subtropical dry and humid forest</w:t>
                </w:r>
                <w:r>
                  <w:rPr>
                    <w:webHidden/>
                  </w:rPr>
                  <w:tab/>
                </w:r>
                <w:r>
                  <w:rPr>
                    <w:webHidden/>
                  </w:rPr>
                  <w:fldChar w:fldCharType="begin"/>
                </w:r>
                <w:r>
                  <w:rPr>
                    <w:webHidden/>
                  </w:rPr>
                  <w:instrText xml:space="preserve"> PAGEREF _Toc519499886 \h </w:instrText>
                </w:r>
                <w:r>
                  <w:rPr>
                    <w:webHidden/>
                  </w:rPr>
                </w:r>
                <w:r>
                  <w:rPr>
                    <w:webHidden/>
                  </w:rPr>
                  <w:fldChar w:fldCharType="separate"/>
                </w:r>
                <w:r>
                  <w:rPr>
                    <w:webHidden/>
                  </w:rPr>
                  <w:t>223</w:t>
                </w:r>
                <w:r>
                  <w:rPr>
                    <w:webHidden/>
                  </w:rPr>
                  <w:fldChar w:fldCharType="end"/>
                </w:r>
              </w:hyperlink>
            </w:p>
            <w:p w14:paraId="66630D91" w14:textId="64C33198"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87" w:history="1">
                <w:r w:rsidRPr="004C4CA6">
                  <w:rPr>
                    <w:rStyle w:val="Hyperlink"/>
                  </w:rPr>
                  <w:t>3.4.3.1.2.</w:t>
                </w:r>
                <w:r>
                  <w:rPr>
                    <w:rFonts w:asciiTheme="minorHAnsi" w:eastAsiaTheme="minorEastAsia" w:hAnsiTheme="minorHAnsi" w:cstheme="minorBidi"/>
                    <w:sz w:val="22"/>
                    <w:szCs w:val="22"/>
                    <w:lang w:val="en-US" w:eastAsia="en-US"/>
                  </w:rPr>
                  <w:tab/>
                </w:r>
                <w:r w:rsidRPr="004C4CA6">
                  <w:rPr>
                    <w:rStyle w:val="Hyperlink"/>
                  </w:rPr>
                  <w:t>High mountain habitats</w:t>
                </w:r>
                <w:r>
                  <w:rPr>
                    <w:webHidden/>
                  </w:rPr>
                  <w:tab/>
                </w:r>
                <w:r>
                  <w:rPr>
                    <w:webHidden/>
                  </w:rPr>
                  <w:fldChar w:fldCharType="begin"/>
                </w:r>
                <w:r>
                  <w:rPr>
                    <w:webHidden/>
                  </w:rPr>
                  <w:instrText xml:space="preserve"> PAGEREF _Toc519499887 \h </w:instrText>
                </w:r>
                <w:r>
                  <w:rPr>
                    <w:webHidden/>
                  </w:rPr>
                </w:r>
                <w:r>
                  <w:rPr>
                    <w:webHidden/>
                  </w:rPr>
                  <w:fldChar w:fldCharType="separate"/>
                </w:r>
                <w:r>
                  <w:rPr>
                    <w:webHidden/>
                  </w:rPr>
                  <w:t>224</w:t>
                </w:r>
                <w:r>
                  <w:rPr>
                    <w:webHidden/>
                  </w:rPr>
                  <w:fldChar w:fldCharType="end"/>
                </w:r>
              </w:hyperlink>
            </w:p>
            <w:p w14:paraId="010C4ECB" w14:textId="4C613F25"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88" w:history="1">
                <w:r w:rsidRPr="004C4CA6">
                  <w:rPr>
                    <w:rStyle w:val="Hyperlink"/>
                  </w:rPr>
                  <w:t>3.4.3.1.3.</w:t>
                </w:r>
                <w:r>
                  <w:rPr>
                    <w:rFonts w:asciiTheme="minorHAnsi" w:eastAsiaTheme="minorEastAsia" w:hAnsiTheme="minorHAnsi" w:cstheme="minorBidi"/>
                    <w:sz w:val="22"/>
                    <w:szCs w:val="22"/>
                    <w:lang w:val="en-US" w:eastAsia="en-US"/>
                  </w:rPr>
                  <w:tab/>
                </w:r>
                <w:r w:rsidRPr="004C4CA6">
                  <w:rPr>
                    <w:rStyle w:val="Hyperlink"/>
                  </w:rPr>
                  <w:t>Tropical and subtropical savannah and grasslands</w:t>
                </w:r>
                <w:r>
                  <w:rPr>
                    <w:webHidden/>
                  </w:rPr>
                  <w:tab/>
                </w:r>
                <w:r>
                  <w:rPr>
                    <w:webHidden/>
                  </w:rPr>
                  <w:fldChar w:fldCharType="begin"/>
                </w:r>
                <w:r>
                  <w:rPr>
                    <w:webHidden/>
                  </w:rPr>
                  <w:instrText xml:space="preserve"> PAGEREF _Toc519499888 \h </w:instrText>
                </w:r>
                <w:r>
                  <w:rPr>
                    <w:webHidden/>
                  </w:rPr>
                </w:r>
                <w:r>
                  <w:rPr>
                    <w:webHidden/>
                  </w:rPr>
                  <w:fldChar w:fldCharType="separate"/>
                </w:r>
                <w:r>
                  <w:rPr>
                    <w:webHidden/>
                  </w:rPr>
                  <w:t>228</w:t>
                </w:r>
                <w:r>
                  <w:rPr>
                    <w:webHidden/>
                  </w:rPr>
                  <w:fldChar w:fldCharType="end"/>
                </w:r>
              </w:hyperlink>
            </w:p>
            <w:p w14:paraId="5037706D" w14:textId="7B25CC65"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89" w:history="1">
                <w:r w:rsidRPr="004C4CA6">
                  <w:rPr>
                    <w:rStyle w:val="Hyperlink"/>
                  </w:rPr>
                  <w:t>3.4.3.1.4.</w:t>
                </w:r>
                <w:r>
                  <w:rPr>
                    <w:rFonts w:asciiTheme="minorHAnsi" w:eastAsiaTheme="minorEastAsia" w:hAnsiTheme="minorHAnsi" w:cstheme="minorBidi"/>
                    <w:sz w:val="22"/>
                    <w:szCs w:val="22"/>
                    <w:lang w:val="en-US" w:eastAsia="en-US"/>
                  </w:rPr>
                  <w:tab/>
                </w:r>
                <w:r w:rsidRPr="004C4CA6">
                  <w:rPr>
                    <w:rStyle w:val="Hyperlink"/>
                  </w:rPr>
                  <w:t>Dryland and desert</w:t>
                </w:r>
                <w:r>
                  <w:rPr>
                    <w:webHidden/>
                  </w:rPr>
                  <w:tab/>
                </w:r>
                <w:r>
                  <w:rPr>
                    <w:webHidden/>
                  </w:rPr>
                  <w:fldChar w:fldCharType="begin"/>
                </w:r>
                <w:r>
                  <w:rPr>
                    <w:webHidden/>
                  </w:rPr>
                  <w:instrText xml:space="preserve"> PAGEREF _Toc519499889 \h </w:instrText>
                </w:r>
                <w:r>
                  <w:rPr>
                    <w:webHidden/>
                  </w:rPr>
                </w:r>
                <w:r>
                  <w:rPr>
                    <w:webHidden/>
                  </w:rPr>
                  <w:fldChar w:fldCharType="separate"/>
                </w:r>
                <w:r>
                  <w:rPr>
                    <w:webHidden/>
                  </w:rPr>
                  <w:t>229</w:t>
                </w:r>
                <w:r>
                  <w:rPr>
                    <w:webHidden/>
                  </w:rPr>
                  <w:fldChar w:fldCharType="end"/>
                </w:r>
              </w:hyperlink>
            </w:p>
            <w:p w14:paraId="79E0E5A7" w14:textId="3C18D5CB"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90" w:history="1">
                <w:r w:rsidRPr="004C4CA6">
                  <w:rPr>
                    <w:rStyle w:val="Hyperlink"/>
                  </w:rPr>
                  <w:t>3.4.3.1.5.</w:t>
                </w:r>
                <w:r>
                  <w:rPr>
                    <w:rFonts w:asciiTheme="minorHAnsi" w:eastAsiaTheme="minorEastAsia" w:hAnsiTheme="minorHAnsi" w:cstheme="minorBidi"/>
                    <w:sz w:val="22"/>
                    <w:szCs w:val="22"/>
                    <w:lang w:val="en-US" w:eastAsia="en-US"/>
                  </w:rPr>
                  <w:tab/>
                </w:r>
                <w:r w:rsidRPr="004C4CA6">
                  <w:rPr>
                    <w:rStyle w:val="Hyperlink"/>
                  </w:rPr>
                  <w:t>Cultivated lands</w:t>
                </w:r>
                <w:r>
                  <w:rPr>
                    <w:webHidden/>
                  </w:rPr>
                  <w:tab/>
                </w:r>
                <w:r>
                  <w:rPr>
                    <w:webHidden/>
                  </w:rPr>
                  <w:fldChar w:fldCharType="begin"/>
                </w:r>
                <w:r>
                  <w:rPr>
                    <w:webHidden/>
                  </w:rPr>
                  <w:instrText xml:space="preserve"> PAGEREF _Toc519499890 \h </w:instrText>
                </w:r>
                <w:r>
                  <w:rPr>
                    <w:webHidden/>
                  </w:rPr>
                </w:r>
                <w:r>
                  <w:rPr>
                    <w:webHidden/>
                  </w:rPr>
                  <w:fldChar w:fldCharType="separate"/>
                </w:r>
                <w:r>
                  <w:rPr>
                    <w:webHidden/>
                  </w:rPr>
                  <w:t>230</w:t>
                </w:r>
                <w:r>
                  <w:rPr>
                    <w:webHidden/>
                  </w:rPr>
                  <w:fldChar w:fldCharType="end"/>
                </w:r>
              </w:hyperlink>
            </w:p>
            <w:p w14:paraId="43D73E17" w14:textId="1797542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91" w:history="1">
                <w:r w:rsidRPr="004C4CA6">
                  <w:rPr>
                    <w:rStyle w:val="Hyperlink"/>
                  </w:rPr>
                  <w:t>3.4.3.2.</w:t>
                </w:r>
                <w:r>
                  <w:rPr>
                    <w:rFonts w:asciiTheme="minorHAnsi" w:eastAsiaTheme="minorEastAsia" w:hAnsiTheme="minorHAnsi" w:cstheme="minorBidi"/>
                    <w:sz w:val="22"/>
                    <w:szCs w:val="22"/>
                    <w:lang w:val="en-US" w:eastAsia="en-US"/>
                  </w:rPr>
                  <w:tab/>
                </w:r>
                <w:r w:rsidRPr="004C4CA6">
                  <w:rPr>
                    <w:rStyle w:val="Hyperlink"/>
                  </w:rPr>
                  <w:t>Aquatic (Freshwater, Marine and Coastal)</w:t>
                </w:r>
                <w:r>
                  <w:rPr>
                    <w:webHidden/>
                  </w:rPr>
                  <w:tab/>
                </w:r>
                <w:r>
                  <w:rPr>
                    <w:webHidden/>
                  </w:rPr>
                  <w:fldChar w:fldCharType="begin"/>
                </w:r>
                <w:r>
                  <w:rPr>
                    <w:webHidden/>
                  </w:rPr>
                  <w:instrText xml:space="preserve"> PAGEREF _Toc519499891 \h </w:instrText>
                </w:r>
                <w:r>
                  <w:rPr>
                    <w:webHidden/>
                  </w:rPr>
                </w:r>
                <w:r>
                  <w:rPr>
                    <w:webHidden/>
                  </w:rPr>
                  <w:fldChar w:fldCharType="separate"/>
                </w:r>
                <w:r>
                  <w:rPr>
                    <w:webHidden/>
                  </w:rPr>
                  <w:t>231</w:t>
                </w:r>
                <w:r>
                  <w:rPr>
                    <w:webHidden/>
                  </w:rPr>
                  <w:fldChar w:fldCharType="end"/>
                </w:r>
              </w:hyperlink>
            </w:p>
            <w:p w14:paraId="3375CD1A" w14:textId="2BFFD3DB"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92" w:history="1">
                <w:r w:rsidRPr="004C4CA6">
                  <w:rPr>
                    <w:rStyle w:val="Hyperlink"/>
                  </w:rPr>
                  <w:t>3.4.3.2.1.</w:t>
                </w:r>
                <w:r>
                  <w:rPr>
                    <w:rFonts w:asciiTheme="minorHAnsi" w:eastAsiaTheme="minorEastAsia" w:hAnsiTheme="minorHAnsi" w:cstheme="minorBidi"/>
                    <w:sz w:val="22"/>
                    <w:szCs w:val="22"/>
                    <w:lang w:val="en-US" w:eastAsia="en-US"/>
                  </w:rPr>
                  <w:tab/>
                </w:r>
                <w:r w:rsidRPr="004C4CA6">
                  <w:rPr>
                    <w:rStyle w:val="Hyperlink"/>
                  </w:rPr>
                  <w:t>Wetlands and mangroves</w:t>
                </w:r>
                <w:r>
                  <w:rPr>
                    <w:webHidden/>
                  </w:rPr>
                  <w:tab/>
                </w:r>
                <w:r>
                  <w:rPr>
                    <w:webHidden/>
                  </w:rPr>
                  <w:fldChar w:fldCharType="begin"/>
                </w:r>
                <w:r>
                  <w:rPr>
                    <w:webHidden/>
                  </w:rPr>
                  <w:instrText xml:space="preserve"> PAGEREF _Toc519499892 \h </w:instrText>
                </w:r>
                <w:r>
                  <w:rPr>
                    <w:webHidden/>
                  </w:rPr>
                </w:r>
                <w:r>
                  <w:rPr>
                    <w:webHidden/>
                  </w:rPr>
                  <w:fldChar w:fldCharType="separate"/>
                </w:r>
                <w:r>
                  <w:rPr>
                    <w:webHidden/>
                  </w:rPr>
                  <w:t>231</w:t>
                </w:r>
                <w:r>
                  <w:rPr>
                    <w:webHidden/>
                  </w:rPr>
                  <w:fldChar w:fldCharType="end"/>
                </w:r>
              </w:hyperlink>
            </w:p>
            <w:p w14:paraId="494A22A1" w14:textId="31922697"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93" w:history="1">
                <w:r w:rsidRPr="004C4CA6">
                  <w:rPr>
                    <w:rStyle w:val="Hyperlink"/>
                  </w:rPr>
                  <w:t>3.4.3.2.2.</w:t>
                </w:r>
                <w:r>
                  <w:rPr>
                    <w:rFonts w:asciiTheme="minorHAnsi" w:eastAsiaTheme="minorEastAsia" w:hAnsiTheme="minorHAnsi" w:cstheme="minorBidi"/>
                    <w:sz w:val="22"/>
                    <w:szCs w:val="22"/>
                    <w:lang w:val="en-US" w:eastAsia="en-US"/>
                  </w:rPr>
                  <w:tab/>
                </w:r>
                <w:r w:rsidRPr="004C4CA6">
                  <w:rPr>
                    <w:rStyle w:val="Hyperlink"/>
                  </w:rPr>
                  <w:t>Inland surface waters and water bodies/freshwater</w:t>
                </w:r>
                <w:r>
                  <w:rPr>
                    <w:webHidden/>
                  </w:rPr>
                  <w:tab/>
                </w:r>
                <w:r>
                  <w:rPr>
                    <w:webHidden/>
                  </w:rPr>
                  <w:fldChar w:fldCharType="begin"/>
                </w:r>
                <w:r>
                  <w:rPr>
                    <w:webHidden/>
                  </w:rPr>
                  <w:instrText xml:space="preserve"> PAGEREF _Toc519499893 \h </w:instrText>
                </w:r>
                <w:r>
                  <w:rPr>
                    <w:webHidden/>
                  </w:rPr>
                </w:r>
                <w:r>
                  <w:rPr>
                    <w:webHidden/>
                  </w:rPr>
                  <w:fldChar w:fldCharType="separate"/>
                </w:r>
                <w:r>
                  <w:rPr>
                    <w:webHidden/>
                  </w:rPr>
                  <w:t>232</w:t>
                </w:r>
                <w:r>
                  <w:rPr>
                    <w:webHidden/>
                  </w:rPr>
                  <w:fldChar w:fldCharType="end"/>
                </w:r>
              </w:hyperlink>
            </w:p>
            <w:p w14:paraId="3C1F5F91" w14:textId="29FF6D2C"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94" w:history="1">
                <w:r w:rsidRPr="004C4CA6">
                  <w:rPr>
                    <w:rStyle w:val="Hyperlink"/>
                  </w:rPr>
                  <w:t>3.4.3.2.3.</w:t>
                </w:r>
                <w:r>
                  <w:rPr>
                    <w:rFonts w:asciiTheme="minorHAnsi" w:eastAsiaTheme="minorEastAsia" w:hAnsiTheme="minorHAnsi" w:cstheme="minorBidi"/>
                    <w:sz w:val="22"/>
                    <w:szCs w:val="22"/>
                    <w:lang w:val="en-US" w:eastAsia="en-US"/>
                  </w:rPr>
                  <w:tab/>
                </w:r>
                <w:r w:rsidRPr="004C4CA6">
                  <w:rPr>
                    <w:rStyle w:val="Hyperlink"/>
                  </w:rPr>
                  <w:t>Shelf ecosystem</w:t>
                </w:r>
                <w:r>
                  <w:rPr>
                    <w:webHidden/>
                  </w:rPr>
                  <w:tab/>
                </w:r>
                <w:r>
                  <w:rPr>
                    <w:webHidden/>
                  </w:rPr>
                  <w:fldChar w:fldCharType="begin"/>
                </w:r>
                <w:r>
                  <w:rPr>
                    <w:webHidden/>
                  </w:rPr>
                  <w:instrText xml:space="preserve"> PAGEREF _Toc519499894 \h </w:instrText>
                </w:r>
                <w:r>
                  <w:rPr>
                    <w:webHidden/>
                  </w:rPr>
                </w:r>
                <w:r>
                  <w:rPr>
                    <w:webHidden/>
                  </w:rPr>
                  <w:fldChar w:fldCharType="separate"/>
                </w:r>
                <w:r>
                  <w:rPr>
                    <w:webHidden/>
                  </w:rPr>
                  <w:t>232</w:t>
                </w:r>
                <w:r>
                  <w:rPr>
                    <w:webHidden/>
                  </w:rPr>
                  <w:fldChar w:fldCharType="end"/>
                </w:r>
              </w:hyperlink>
            </w:p>
            <w:p w14:paraId="1AA218CB" w14:textId="750CCB68"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95" w:history="1">
                <w:r w:rsidRPr="004C4CA6">
                  <w:rPr>
                    <w:rStyle w:val="Hyperlink"/>
                  </w:rPr>
                  <w:t>3.4.3.2.4.</w:t>
                </w:r>
                <w:r>
                  <w:rPr>
                    <w:rFonts w:asciiTheme="minorHAnsi" w:eastAsiaTheme="minorEastAsia" w:hAnsiTheme="minorHAnsi" w:cstheme="minorBidi"/>
                    <w:sz w:val="22"/>
                    <w:szCs w:val="22"/>
                    <w:lang w:val="en-US" w:eastAsia="en-US"/>
                  </w:rPr>
                  <w:tab/>
                </w:r>
                <w:r w:rsidRPr="004C4CA6">
                  <w:rPr>
                    <w:rStyle w:val="Hyperlink"/>
                  </w:rPr>
                  <w:t>Open Ocean</w:t>
                </w:r>
                <w:r>
                  <w:rPr>
                    <w:webHidden/>
                  </w:rPr>
                  <w:tab/>
                </w:r>
                <w:r>
                  <w:rPr>
                    <w:webHidden/>
                  </w:rPr>
                  <w:fldChar w:fldCharType="begin"/>
                </w:r>
                <w:r>
                  <w:rPr>
                    <w:webHidden/>
                  </w:rPr>
                  <w:instrText xml:space="preserve"> PAGEREF _Toc519499895 \h </w:instrText>
                </w:r>
                <w:r>
                  <w:rPr>
                    <w:webHidden/>
                  </w:rPr>
                </w:r>
                <w:r>
                  <w:rPr>
                    <w:webHidden/>
                  </w:rPr>
                  <w:fldChar w:fldCharType="separate"/>
                </w:r>
                <w:r>
                  <w:rPr>
                    <w:webHidden/>
                  </w:rPr>
                  <w:t>233</w:t>
                </w:r>
                <w:r>
                  <w:rPr>
                    <w:webHidden/>
                  </w:rPr>
                  <w:fldChar w:fldCharType="end"/>
                </w:r>
              </w:hyperlink>
            </w:p>
            <w:p w14:paraId="579DD26D" w14:textId="760E63F4"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96" w:history="1">
                <w:r w:rsidRPr="004C4CA6">
                  <w:rPr>
                    <w:rStyle w:val="Hyperlink"/>
                  </w:rPr>
                  <w:t>3.4.3.2.5.</w:t>
                </w:r>
                <w:r>
                  <w:rPr>
                    <w:rFonts w:asciiTheme="minorHAnsi" w:eastAsiaTheme="minorEastAsia" w:hAnsiTheme="minorHAnsi" w:cstheme="minorBidi"/>
                    <w:sz w:val="22"/>
                    <w:szCs w:val="22"/>
                    <w:lang w:val="en-US" w:eastAsia="en-US"/>
                  </w:rPr>
                  <w:tab/>
                </w:r>
                <w:r w:rsidRPr="004C4CA6">
                  <w:rPr>
                    <w:rStyle w:val="Hyperlink"/>
                  </w:rPr>
                  <w:t>Deep sea</w:t>
                </w:r>
                <w:r>
                  <w:rPr>
                    <w:webHidden/>
                  </w:rPr>
                  <w:tab/>
                </w:r>
                <w:r>
                  <w:rPr>
                    <w:webHidden/>
                  </w:rPr>
                  <w:fldChar w:fldCharType="begin"/>
                </w:r>
                <w:r>
                  <w:rPr>
                    <w:webHidden/>
                  </w:rPr>
                  <w:instrText xml:space="preserve"> PAGEREF _Toc519499896 \h </w:instrText>
                </w:r>
                <w:r>
                  <w:rPr>
                    <w:webHidden/>
                  </w:rPr>
                </w:r>
                <w:r>
                  <w:rPr>
                    <w:webHidden/>
                  </w:rPr>
                  <w:fldChar w:fldCharType="separate"/>
                </w:r>
                <w:r>
                  <w:rPr>
                    <w:webHidden/>
                  </w:rPr>
                  <w:t>233</w:t>
                </w:r>
                <w:r>
                  <w:rPr>
                    <w:webHidden/>
                  </w:rPr>
                  <w:fldChar w:fldCharType="end"/>
                </w:r>
              </w:hyperlink>
            </w:p>
            <w:p w14:paraId="5C9E7FA8" w14:textId="3FC2613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97" w:history="1">
                <w:r w:rsidRPr="004C4CA6">
                  <w:rPr>
                    <w:rStyle w:val="Hyperlink"/>
                  </w:rPr>
                  <w:t>3.4.4.</w:t>
                </w:r>
                <w:r>
                  <w:rPr>
                    <w:rFonts w:asciiTheme="minorHAnsi" w:eastAsiaTheme="minorEastAsia" w:hAnsiTheme="minorHAnsi" w:cstheme="minorBidi"/>
                    <w:sz w:val="22"/>
                    <w:szCs w:val="22"/>
                    <w:lang w:val="en-US" w:eastAsia="en-US"/>
                  </w:rPr>
                  <w:tab/>
                </w:r>
                <w:r w:rsidRPr="004C4CA6">
                  <w:rPr>
                    <w:rStyle w:val="Hyperlink"/>
                  </w:rPr>
                  <w:t>West Africa</w:t>
                </w:r>
                <w:r>
                  <w:rPr>
                    <w:webHidden/>
                  </w:rPr>
                  <w:tab/>
                </w:r>
                <w:r>
                  <w:rPr>
                    <w:webHidden/>
                  </w:rPr>
                  <w:fldChar w:fldCharType="begin"/>
                </w:r>
                <w:r>
                  <w:rPr>
                    <w:webHidden/>
                  </w:rPr>
                  <w:instrText xml:space="preserve"> PAGEREF _Toc519499897 \h </w:instrText>
                </w:r>
                <w:r>
                  <w:rPr>
                    <w:webHidden/>
                  </w:rPr>
                </w:r>
                <w:r>
                  <w:rPr>
                    <w:webHidden/>
                  </w:rPr>
                  <w:fldChar w:fldCharType="separate"/>
                </w:r>
                <w:r>
                  <w:rPr>
                    <w:webHidden/>
                  </w:rPr>
                  <w:t>234</w:t>
                </w:r>
                <w:r>
                  <w:rPr>
                    <w:webHidden/>
                  </w:rPr>
                  <w:fldChar w:fldCharType="end"/>
                </w:r>
              </w:hyperlink>
            </w:p>
            <w:p w14:paraId="479424A0" w14:textId="26DBD4CB"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898" w:history="1">
                <w:r w:rsidRPr="004C4CA6">
                  <w:rPr>
                    <w:rStyle w:val="Hyperlink"/>
                  </w:rPr>
                  <w:t>3.4.4.1.</w:t>
                </w:r>
                <w:r>
                  <w:rPr>
                    <w:rFonts w:asciiTheme="minorHAnsi" w:eastAsiaTheme="minorEastAsia" w:hAnsiTheme="minorHAnsi" w:cstheme="minorBidi"/>
                    <w:sz w:val="22"/>
                    <w:szCs w:val="22"/>
                    <w:lang w:val="en-US" w:eastAsia="en-US"/>
                  </w:rPr>
                  <w:tab/>
                </w:r>
                <w:r w:rsidRPr="004C4CA6">
                  <w:rPr>
                    <w:rStyle w:val="Hyperlink"/>
                  </w:rPr>
                  <w:t>Terrestrial</w:t>
                </w:r>
                <w:r>
                  <w:rPr>
                    <w:webHidden/>
                  </w:rPr>
                  <w:tab/>
                </w:r>
                <w:r>
                  <w:rPr>
                    <w:webHidden/>
                  </w:rPr>
                  <w:fldChar w:fldCharType="begin"/>
                </w:r>
                <w:r>
                  <w:rPr>
                    <w:webHidden/>
                  </w:rPr>
                  <w:instrText xml:space="preserve"> PAGEREF _Toc519499898 \h </w:instrText>
                </w:r>
                <w:r>
                  <w:rPr>
                    <w:webHidden/>
                  </w:rPr>
                </w:r>
                <w:r>
                  <w:rPr>
                    <w:webHidden/>
                  </w:rPr>
                  <w:fldChar w:fldCharType="separate"/>
                </w:r>
                <w:r>
                  <w:rPr>
                    <w:webHidden/>
                  </w:rPr>
                  <w:t>234</w:t>
                </w:r>
                <w:r>
                  <w:rPr>
                    <w:webHidden/>
                  </w:rPr>
                  <w:fldChar w:fldCharType="end"/>
                </w:r>
              </w:hyperlink>
            </w:p>
            <w:p w14:paraId="194DEABD" w14:textId="3C738994"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899" w:history="1">
                <w:r w:rsidRPr="004C4CA6">
                  <w:rPr>
                    <w:rStyle w:val="Hyperlink"/>
                  </w:rPr>
                  <w:t>3.4.4.1.1.</w:t>
                </w:r>
                <w:r>
                  <w:rPr>
                    <w:rFonts w:asciiTheme="minorHAnsi" w:eastAsiaTheme="minorEastAsia" w:hAnsiTheme="minorHAnsi" w:cstheme="minorBidi"/>
                    <w:sz w:val="22"/>
                    <w:szCs w:val="22"/>
                    <w:lang w:val="en-US" w:eastAsia="en-US"/>
                  </w:rPr>
                  <w:tab/>
                </w:r>
                <w:r w:rsidRPr="004C4CA6">
                  <w:rPr>
                    <w:rStyle w:val="Hyperlink"/>
                  </w:rPr>
                  <w:t>Tropical and subtropical dry and humid forest</w:t>
                </w:r>
                <w:r>
                  <w:rPr>
                    <w:webHidden/>
                  </w:rPr>
                  <w:tab/>
                </w:r>
                <w:r>
                  <w:rPr>
                    <w:webHidden/>
                  </w:rPr>
                  <w:fldChar w:fldCharType="begin"/>
                </w:r>
                <w:r>
                  <w:rPr>
                    <w:webHidden/>
                  </w:rPr>
                  <w:instrText xml:space="preserve"> PAGEREF _Toc519499899 \h </w:instrText>
                </w:r>
                <w:r>
                  <w:rPr>
                    <w:webHidden/>
                  </w:rPr>
                </w:r>
                <w:r>
                  <w:rPr>
                    <w:webHidden/>
                  </w:rPr>
                  <w:fldChar w:fldCharType="separate"/>
                </w:r>
                <w:r>
                  <w:rPr>
                    <w:webHidden/>
                  </w:rPr>
                  <w:t>234</w:t>
                </w:r>
                <w:r>
                  <w:rPr>
                    <w:webHidden/>
                  </w:rPr>
                  <w:fldChar w:fldCharType="end"/>
                </w:r>
              </w:hyperlink>
            </w:p>
            <w:p w14:paraId="5D331B9E" w14:textId="0FA9E9DB"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00" w:history="1">
                <w:r w:rsidRPr="004C4CA6">
                  <w:rPr>
                    <w:rStyle w:val="Hyperlink"/>
                  </w:rPr>
                  <w:t>3.4.4.1.2.</w:t>
                </w:r>
                <w:r>
                  <w:rPr>
                    <w:rFonts w:asciiTheme="minorHAnsi" w:eastAsiaTheme="minorEastAsia" w:hAnsiTheme="minorHAnsi" w:cstheme="minorBidi"/>
                    <w:sz w:val="22"/>
                    <w:szCs w:val="22"/>
                    <w:lang w:val="en-US" w:eastAsia="en-US"/>
                  </w:rPr>
                  <w:tab/>
                </w:r>
                <w:r w:rsidRPr="004C4CA6">
                  <w:rPr>
                    <w:rStyle w:val="Hyperlink"/>
                  </w:rPr>
                  <w:t>High mountain habitats</w:t>
                </w:r>
                <w:r>
                  <w:rPr>
                    <w:webHidden/>
                  </w:rPr>
                  <w:tab/>
                </w:r>
                <w:r>
                  <w:rPr>
                    <w:webHidden/>
                  </w:rPr>
                  <w:fldChar w:fldCharType="begin"/>
                </w:r>
                <w:r>
                  <w:rPr>
                    <w:webHidden/>
                  </w:rPr>
                  <w:instrText xml:space="preserve"> PAGEREF _Toc519499900 \h </w:instrText>
                </w:r>
                <w:r>
                  <w:rPr>
                    <w:webHidden/>
                  </w:rPr>
                </w:r>
                <w:r>
                  <w:rPr>
                    <w:webHidden/>
                  </w:rPr>
                  <w:fldChar w:fldCharType="separate"/>
                </w:r>
                <w:r>
                  <w:rPr>
                    <w:webHidden/>
                  </w:rPr>
                  <w:t>236</w:t>
                </w:r>
                <w:r>
                  <w:rPr>
                    <w:webHidden/>
                  </w:rPr>
                  <w:fldChar w:fldCharType="end"/>
                </w:r>
              </w:hyperlink>
            </w:p>
            <w:p w14:paraId="0CB756C4" w14:textId="27EAA8FC"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01" w:history="1">
                <w:r w:rsidRPr="004C4CA6">
                  <w:rPr>
                    <w:rStyle w:val="Hyperlink"/>
                  </w:rPr>
                  <w:t>3.4.4.1.3.</w:t>
                </w:r>
                <w:r>
                  <w:rPr>
                    <w:rFonts w:asciiTheme="minorHAnsi" w:eastAsiaTheme="minorEastAsia" w:hAnsiTheme="minorHAnsi" w:cstheme="minorBidi"/>
                    <w:sz w:val="22"/>
                    <w:szCs w:val="22"/>
                    <w:lang w:val="en-US" w:eastAsia="en-US"/>
                  </w:rPr>
                  <w:tab/>
                </w:r>
                <w:r w:rsidRPr="004C4CA6">
                  <w:rPr>
                    <w:rStyle w:val="Hyperlink"/>
                  </w:rPr>
                  <w:t>Savannah and grassland</w:t>
                </w:r>
                <w:r>
                  <w:rPr>
                    <w:webHidden/>
                  </w:rPr>
                  <w:tab/>
                </w:r>
                <w:r>
                  <w:rPr>
                    <w:webHidden/>
                  </w:rPr>
                  <w:fldChar w:fldCharType="begin"/>
                </w:r>
                <w:r>
                  <w:rPr>
                    <w:webHidden/>
                  </w:rPr>
                  <w:instrText xml:space="preserve"> PAGEREF _Toc519499901 \h </w:instrText>
                </w:r>
                <w:r>
                  <w:rPr>
                    <w:webHidden/>
                  </w:rPr>
                </w:r>
                <w:r>
                  <w:rPr>
                    <w:webHidden/>
                  </w:rPr>
                  <w:fldChar w:fldCharType="separate"/>
                </w:r>
                <w:r>
                  <w:rPr>
                    <w:webHidden/>
                  </w:rPr>
                  <w:t>238</w:t>
                </w:r>
                <w:r>
                  <w:rPr>
                    <w:webHidden/>
                  </w:rPr>
                  <w:fldChar w:fldCharType="end"/>
                </w:r>
              </w:hyperlink>
            </w:p>
            <w:p w14:paraId="708852ED" w14:textId="1C8E558F"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02" w:history="1">
                <w:r w:rsidRPr="004C4CA6">
                  <w:rPr>
                    <w:rStyle w:val="Hyperlink"/>
                  </w:rPr>
                  <w:t>3.4.4.1.4.</w:t>
                </w:r>
                <w:r>
                  <w:rPr>
                    <w:rFonts w:asciiTheme="minorHAnsi" w:eastAsiaTheme="minorEastAsia" w:hAnsiTheme="minorHAnsi" w:cstheme="minorBidi"/>
                    <w:sz w:val="22"/>
                    <w:szCs w:val="22"/>
                    <w:lang w:val="en-US" w:eastAsia="en-US"/>
                  </w:rPr>
                  <w:tab/>
                </w:r>
                <w:r w:rsidRPr="004C4CA6">
                  <w:rPr>
                    <w:rStyle w:val="Hyperlink"/>
                  </w:rPr>
                  <w:t>Dryland and desert</w:t>
                </w:r>
                <w:r>
                  <w:rPr>
                    <w:webHidden/>
                  </w:rPr>
                  <w:tab/>
                </w:r>
                <w:r>
                  <w:rPr>
                    <w:webHidden/>
                  </w:rPr>
                  <w:fldChar w:fldCharType="begin"/>
                </w:r>
                <w:r>
                  <w:rPr>
                    <w:webHidden/>
                  </w:rPr>
                  <w:instrText xml:space="preserve"> PAGEREF _Toc519499902 \h </w:instrText>
                </w:r>
                <w:r>
                  <w:rPr>
                    <w:webHidden/>
                  </w:rPr>
                </w:r>
                <w:r>
                  <w:rPr>
                    <w:webHidden/>
                  </w:rPr>
                  <w:fldChar w:fldCharType="separate"/>
                </w:r>
                <w:r>
                  <w:rPr>
                    <w:webHidden/>
                  </w:rPr>
                  <w:t>238</w:t>
                </w:r>
                <w:r>
                  <w:rPr>
                    <w:webHidden/>
                  </w:rPr>
                  <w:fldChar w:fldCharType="end"/>
                </w:r>
              </w:hyperlink>
            </w:p>
            <w:p w14:paraId="38E23101" w14:textId="5C710B29"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03" w:history="1">
                <w:r w:rsidRPr="004C4CA6">
                  <w:rPr>
                    <w:rStyle w:val="Hyperlink"/>
                  </w:rPr>
                  <w:t>3.4.4.1.5.</w:t>
                </w:r>
                <w:r>
                  <w:rPr>
                    <w:rFonts w:asciiTheme="minorHAnsi" w:eastAsiaTheme="minorEastAsia" w:hAnsiTheme="minorHAnsi" w:cstheme="minorBidi"/>
                    <w:sz w:val="22"/>
                    <w:szCs w:val="22"/>
                    <w:lang w:val="en-US" w:eastAsia="en-US"/>
                  </w:rPr>
                  <w:tab/>
                </w:r>
                <w:r w:rsidRPr="004C4CA6">
                  <w:rPr>
                    <w:rStyle w:val="Hyperlink"/>
                  </w:rPr>
                  <w:t>Cultivated lands</w:t>
                </w:r>
                <w:r>
                  <w:rPr>
                    <w:webHidden/>
                  </w:rPr>
                  <w:tab/>
                </w:r>
                <w:r>
                  <w:rPr>
                    <w:webHidden/>
                  </w:rPr>
                  <w:fldChar w:fldCharType="begin"/>
                </w:r>
                <w:r>
                  <w:rPr>
                    <w:webHidden/>
                  </w:rPr>
                  <w:instrText xml:space="preserve"> PAGEREF _Toc519499903 \h </w:instrText>
                </w:r>
                <w:r>
                  <w:rPr>
                    <w:webHidden/>
                  </w:rPr>
                </w:r>
                <w:r>
                  <w:rPr>
                    <w:webHidden/>
                  </w:rPr>
                  <w:fldChar w:fldCharType="separate"/>
                </w:r>
                <w:r>
                  <w:rPr>
                    <w:webHidden/>
                  </w:rPr>
                  <w:t>239</w:t>
                </w:r>
                <w:r>
                  <w:rPr>
                    <w:webHidden/>
                  </w:rPr>
                  <w:fldChar w:fldCharType="end"/>
                </w:r>
              </w:hyperlink>
            </w:p>
            <w:p w14:paraId="587EC436" w14:textId="4062780C"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04" w:history="1">
                <w:r w:rsidRPr="004C4CA6">
                  <w:rPr>
                    <w:rStyle w:val="Hyperlink"/>
                  </w:rPr>
                  <w:t>3.4.4.2.</w:t>
                </w:r>
                <w:r>
                  <w:rPr>
                    <w:rFonts w:asciiTheme="minorHAnsi" w:eastAsiaTheme="minorEastAsia" w:hAnsiTheme="minorHAnsi" w:cstheme="minorBidi"/>
                    <w:sz w:val="22"/>
                    <w:szCs w:val="22"/>
                    <w:lang w:val="en-US" w:eastAsia="en-US"/>
                  </w:rPr>
                  <w:tab/>
                </w:r>
                <w:r w:rsidRPr="004C4CA6">
                  <w:rPr>
                    <w:rStyle w:val="Hyperlink"/>
                  </w:rPr>
                  <w:t>Aquatic (Freshwater, Marine and Coastal)</w:t>
                </w:r>
                <w:r>
                  <w:rPr>
                    <w:webHidden/>
                  </w:rPr>
                  <w:tab/>
                </w:r>
                <w:r>
                  <w:rPr>
                    <w:webHidden/>
                  </w:rPr>
                  <w:fldChar w:fldCharType="begin"/>
                </w:r>
                <w:r>
                  <w:rPr>
                    <w:webHidden/>
                  </w:rPr>
                  <w:instrText xml:space="preserve"> PAGEREF _Toc519499904 \h </w:instrText>
                </w:r>
                <w:r>
                  <w:rPr>
                    <w:webHidden/>
                  </w:rPr>
                </w:r>
                <w:r>
                  <w:rPr>
                    <w:webHidden/>
                  </w:rPr>
                  <w:fldChar w:fldCharType="separate"/>
                </w:r>
                <w:r>
                  <w:rPr>
                    <w:webHidden/>
                  </w:rPr>
                  <w:t>241</w:t>
                </w:r>
                <w:r>
                  <w:rPr>
                    <w:webHidden/>
                  </w:rPr>
                  <w:fldChar w:fldCharType="end"/>
                </w:r>
              </w:hyperlink>
            </w:p>
            <w:p w14:paraId="123A2516" w14:textId="6D46B383"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05" w:history="1">
                <w:r w:rsidRPr="004C4CA6">
                  <w:rPr>
                    <w:rStyle w:val="Hyperlink"/>
                  </w:rPr>
                  <w:t>3.4.4.2.1.</w:t>
                </w:r>
                <w:r>
                  <w:rPr>
                    <w:rFonts w:asciiTheme="minorHAnsi" w:eastAsiaTheme="minorEastAsia" w:hAnsiTheme="minorHAnsi" w:cstheme="minorBidi"/>
                    <w:sz w:val="22"/>
                    <w:szCs w:val="22"/>
                    <w:lang w:val="en-US" w:eastAsia="en-US"/>
                  </w:rPr>
                  <w:tab/>
                </w:r>
                <w:r w:rsidRPr="004C4CA6">
                  <w:rPr>
                    <w:rStyle w:val="Hyperlink"/>
                  </w:rPr>
                  <w:t>Wetlands</w:t>
                </w:r>
                <w:r>
                  <w:rPr>
                    <w:webHidden/>
                  </w:rPr>
                  <w:tab/>
                </w:r>
                <w:r>
                  <w:rPr>
                    <w:webHidden/>
                  </w:rPr>
                  <w:fldChar w:fldCharType="begin"/>
                </w:r>
                <w:r>
                  <w:rPr>
                    <w:webHidden/>
                  </w:rPr>
                  <w:instrText xml:space="preserve"> PAGEREF _Toc519499905 \h </w:instrText>
                </w:r>
                <w:r>
                  <w:rPr>
                    <w:webHidden/>
                  </w:rPr>
                </w:r>
                <w:r>
                  <w:rPr>
                    <w:webHidden/>
                  </w:rPr>
                  <w:fldChar w:fldCharType="separate"/>
                </w:r>
                <w:r>
                  <w:rPr>
                    <w:webHidden/>
                  </w:rPr>
                  <w:t>241</w:t>
                </w:r>
                <w:r>
                  <w:rPr>
                    <w:webHidden/>
                  </w:rPr>
                  <w:fldChar w:fldCharType="end"/>
                </w:r>
              </w:hyperlink>
            </w:p>
            <w:p w14:paraId="5BAD6BD2" w14:textId="3B328F89"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06" w:history="1">
                <w:r w:rsidRPr="004C4CA6">
                  <w:rPr>
                    <w:rStyle w:val="Hyperlink"/>
                  </w:rPr>
                  <w:t>3.4.4.2.2.</w:t>
                </w:r>
                <w:r>
                  <w:rPr>
                    <w:rFonts w:asciiTheme="minorHAnsi" w:eastAsiaTheme="minorEastAsia" w:hAnsiTheme="minorHAnsi" w:cstheme="minorBidi"/>
                    <w:sz w:val="22"/>
                    <w:szCs w:val="22"/>
                    <w:lang w:val="en-US" w:eastAsia="en-US"/>
                  </w:rPr>
                  <w:tab/>
                </w:r>
                <w:r w:rsidRPr="004C4CA6">
                  <w:rPr>
                    <w:rStyle w:val="Hyperlink"/>
                  </w:rPr>
                  <w:t>Inland surface waters and water bodies/freshwater</w:t>
                </w:r>
                <w:r>
                  <w:rPr>
                    <w:webHidden/>
                  </w:rPr>
                  <w:tab/>
                </w:r>
                <w:r>
                  <w:rPr>
                    <w:webHidden/>
                  </w:rPr>
                  <w:fldChar w:fldCharType="begin"/>
                </w:r>
                <w:r>
                  <w:rPr>
                    <w:webHidden/>
                  </w:rPr>
                  <w:instrText xml:space="preserve"> PAGEREF _Toc519499906 \h </w:instrText>
                </w:r>
                <w:r>
                  <w:rPr>
                    <w:webHidden/>
                  </w:rPr>
                </w:r>
                <w:r>
                  <w:rPr>
                    <w:webHidden/>
                  </w:rPr>
                  <w:fldChar w:fldCharType="separate"/>
                </w:r>
                <w:r>
                  <w:rPr>
                    <w:webHidden/>
                  </w:rPr>
                  <w:t>242</w:t>
                </w:r>
                <w:r>
                  <w:rPr>
                    <w:webHidden/>
                  </w:rPr>
                  <w:fldChar w:fldCharType="end"/>
                </w:r>
              </w:hyperlink>
            </w:p>
            <w:p w14:paraId="270E4549" w14:textId="5818F533"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07" w:history="1">
                <w:r w:rsidRPr="004C4CA6">
                  <w:rPr>
                    <w:rStyle w:val="Hyperlink"/>
                  </w:rPr>
                  <w:t>3.4.4.2.3.</w:t>
                </w:r>
                <w:r>
                  <w:rPr>
                    <w:rFonts w:asciiTheme="minorHAnsi" w:eastAsiaTheme="minorEastAsia" w:hAnsiTheme="minorHAnsi" w:cstheme="minorBidi"/>
                    <w:sz w:val="22"/>
                    <w:szCs w:val="22"/>
                    <w:lang w:val="en-US" w:eastAsia="en-US"/>
                  </w:rPr>
                  <w:tab/>
                </w:r>
                <w:r w:rsidRPr="004C4CA6">
                  <w:rPr>
                    <w:rStyle w:val="Hyperlink"/>
                  </w:rPr>
                  <w:t>Shelf-ecosystem</w:t>
                </w:r>
                <w:r>
                  <w:rPr>
                    <w:webHidden/>
                  </w:rPr>
                  <w:tab/>
                </w:r>
                <w:r>
                  <w:rPr>
                    <w:webHidden/>
                  </w:rPr>
                  <w:fldChar w:fldCharType="begin"/>
                </w:r>
                <w:r>
                  <w:rPr>
                    <w:webHidden/>
                  </w:rPr>
                  <w:instrText xml:space="preserve"> PAGEREF _Toc519499907 \h </w:instrText>
                </w:r>
                <w:r>
                  <w:rPr>
                    <w:webHidden/>
                  </w:rPr>
                </w:r>
                <w:r>
                  <w:rPr>
                    <w:webHidden/>
                  </w:rPr>
                  <w:fldChar w:fldCharType="separate"/>
                </w:r>
                <w:r>
                  <w:rPr>
                    <w:webHidden/>
                  </w:rPr>
                  <w:t>242</w:t>
                </w:r>
                <w:r>
                  <w:rPr>
                    <w:webHidden/>
                  </w:rPr>
                  <w:fldChar w:fldCharType="end"/>
                </w:r>
              </w:hyperlink>
            </w:p>
            <w:p w14:paraId="6984CDDF" w14:textId="3992F0CF"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08" w:history="1">
                <w:r w:rsidRPr="004C4CA6">
                  <w:rPr>
                    <w:rStyle w:val="Hyperlink"/>
                  </w:rPr>
                  <w:t>3.4.4.2.4.</w:t>
                </w:r>
                <w:r>
                  <w:rPr>
                    <w:rFonts w:asciiTheme="minorHAnsi" w:eastAsiaTheme="minorEastAsia" w:hAnsiTheme="minorHAnsi" w:cstheme="minorBidi"/>
                    <w:sz w:val="22"/>
                    <w:szCs w:val="22"/>
                    <w:lang w:val="en-US" w:eastAsia="en-US"/>
                  </w:rPr>
                  <w:tab/>
                </w:r>
                <w:r w:rsidRPr="004C4CA6">
                  <w:rPr>
                    <w:rStyle w:val="Hyperlink"/>
                  </w:rPr>
                  <w:t>Open Ocean</w:t>
                </w:r>
                <w:r>
                  <w:rPr>
                    <w:webHidden/>
                  </w:rPr>
                  <w:tab/>
                </w:r>
                <w:r>
                  <w:rPr>
                    <w:webHidden/>
                  </w:rPr>
                  <w:fldChar w:fldCharType="begin"/>
                </w:r>
                <w:r>
                  <w:rPr>
                    <w:webHidden/>
                  </w:rPr>
                  <w:instrText xml:space="preserve"> PAGEREF _Toc519499908 \h </w:instrText>
                </w:r>
                <w:r>
                  <w:rPr>
                    <w:webHidden/>
                  </w:rPr>
                </w:r>
                <w:r>
                  <w:rPr>
                    <w:webHidden/>
                  </w:rPr>
                  <w:fldChar w:fldCharType="separate"/>
                </w:r>
                <w:r>
                  <w:rPr>
                    <w:webHidden/>
                  </w:rPr>
                  <w:t>244</w:t>
                </w:r>
                <w:r>
                  <w:rPr>
                    <w:webHidden/>
                  </w:rPr>
                  <w:fldChar w:fldCharType="end"/>
                </w:r>
              </w:hyperlink>
            </w:p>
            <w:p w14:paraId="26DAC160" w14:textId="190696E3"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09" w:history="1">
                <w:r w:rsidRPr="004C4CA6">
                  <w:rPr>
                    <w:rStyle w:val="Hyperlink"/>
                  </w:rPr>
                  <w:t>3.4.4.2.5.</w:t>
                </w:r>
                <w:r>
                  <w:rPr>
                    <w:rFonts w:asciiTheme="minorHAnsi" w:eastAsiaTheme="minorEastAsia" w:hAnsiTheme="minorHAnsi" w:cstheme="minorBidi"/>
                    <w:sz w:val="22"/>
                    <w:szCs w:val="22"/>
                    <w:lang w:val="en-US" w:eastAsia="en-US"/>
                  </w:rPr>
                  <w:tab/>
                </w:r>
                <w:r w:rsidRPr="004C4CA6">
                  <w:rPr>
                    <w:rStyle w:val="Hyperlink"/>
                  </w:rPr>
                  <w:t>Deep sea</w:t>
                </w:r>
                <w:r>
                  <w:rPr>
                    <w:webHidden/>
                  </w:rPr>
                  <w:tab/>
                </w:r>
                <w:r>
                  <w:rPr>
                    <w:webHidden/>
                  </w:rPr>
                  <w:fldChar w:fldCharType="begin"/>
                </w:r>
                <w:r>
                  <w:rPr>
                    <w:webHidden/>
                  </w:rPr>
                  <w:instrText xml:space="preserve"> PAGEREF _Toc519499909 \h </w:instrText>
                </w:r>
                <w:r>
                  <w:rPr>
                    <w:webHidden/>
                  </w:rPr>
                </w:r>
                <w:r>
                  <w:rPr>
                    <w:webHidden/>
                  </w:rPr>
                  <w:fldChar w:fldCharType="separate"/>
                </w:r>
                <w:r>
                  <w:rPr>
                    <w:webHidden/>
                  </w:rPr>
                  <w:t>244</w:t>
                </w:r>
                <w:r>
                  <w:rPr>
                    <w:webHidden/>
                  </w:rPr>
                  <w:fldChar w:fldCharType="end"/>
                </w:r>
              </w:hyperlink>
            </w:p>
            <w:p w14:paraId="31393FCA" w14:textId="09ED81CB"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10" w:history="1">
                <w:r w:rsidRPr="004C4CA6">
                  <w:rPr>
                    <w:rStyle w:val="Hyperlink"/>
                  </w:rPr>
                  <w:t>3.4.5.</w:t>
                </w:r>
                <w:r>
                  <w:rPr>
                    <w:rFonts w:asciiTheme="minorHAnsi" w:eastAsiaTheme="minorEastAsia" w:hAnsiTheme="minorHAnsi" w:cstheme="minorBidi"/>
                    <w:sz w:val="22"/>
                    <w:szCs w:val="22"/>
                    <w:lang w:val="en-US" w:eastAsia="en-US"/>
                  </w:rPr>
                  <w:tab/>
                </w:r>
                <w:r w:rsidRPr="004C4CA6">
                  <w:rPr>
                    <w:rStyle w:val="Hyperlink"/>
                  </w:rPr>
                  <w:t>Southern Africa</w:t>
                </w:r>
                <w:r>
                  <w:rPr>
                    <w:webHidden/>
                  </w:rPr>
                  <w:tab/>
                </w:r>
                <w:r>
                  <w:rPr>
                    <w:webHidden/>
                  </w:rPr>
                  <w:fldChar w:fldCharType="begin"/>
                </w:r>
                <w:r>
                  <w:rPr>
                    <w:webHidden/>
                  </w:rPr>
                  <w:instrText xml:space="preserve"> PAGEREF _Toc519499910 \h </w:instrText>
                </w:r>
                <w:r>
                  <w:rPr>
                    <w:webHidden/>
                  </w:rPr>
                </w:r>
                <w:r>
                  <w:rPr>
                    <w:webHidden/>
                  </w:rPr>
                  <w:fldChar w:fldCharType="separate"/>
                </w:r>
                <w:r>
                  <w:rPr>
                    <w:webHidden/>
                  </w:rPr>
                  <w:t>244</w:t>
                </w:r>
                <w:r>
                  <w:rPr>
                    <w:webHidden/>
                  </w:rPr>
                  <w:fldChar w:fldCharType="end"/>
                </w:r>
              </w:hyperlink>
            </w:p>
            <w:p w14:paraId="7C50FFE5" w14:textId="07C3445C"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11" w:history="1">
                <w:r w:rsidRPr="004C4CA6">
                  <w:rPr>
                    <w:rStyle w:val="Hyperlink"/>
                  </w:rPr>
                  <w:t>3.4.5.1.</w:t>
                </w:r>
                <w:r>
                  <w:rPr>
                    <w:rFonts w:asciiTheme="minorHAnsi" w:eastAsiaTheme="minorEastAsia" w:hAnsiTheme="minorHAnsi" w:cstheme="minorBidi"/>
                    <w:sz w:val="22"/>
                    <w:szCs w:val="22"/>
                    <w:lang w:val="en-US" w:eastAsia="en-US"/>
                  </w:rPr>
                  <w:tab/>
                </w:r>
                <w:r w:rsidRPr="004C4CA6">
                  <w:rPr>
                    <w:rStyle w:val="Hyperlink"/>
                  </w:rPr>
                  <w:t>Terrestrial</w:t>
                </w:r>
                <w:r>
                  <w:rPr>
                    <w:webHidden/>
                  </w:rPr>
                  <w:tab/>
                </w:r>
                <w:r>
                  <w:rPr>
                    <w:webHidden/>
                  </w:rPr>
                  <w:fldChar w:fldCharType="begin"/>
                </w:r>
                <w:r>
                  <w:rPr>
                    <w:webHidden/>
                  </w:rPr>
                  <w:instrText xml:space="preserve"> PAGEREF _Toc519499911 \h </w:instrText>
                </w:r>
                <w:r>
                  <w:rPr>
                    <w:webHidden/>
                  </w:rPr>
                </w:r>
                <w:r>
                  <w:rPr>
                    <w:webHidden/>
                  </w:rPr>
                  <w:fldChar w:fldCharType="separate"/>
                </w:r>
                <w:r>
                  <w:rPr>
                    <w:webHidden/>
                  </w:rPr>
                  <w:t>244</w:t>
                </w:r>
                <w:r>
                  <w:rPr>
                    <w:webHidden/>
                  </w:rPr>
                  <w:fldChar w:fldCharType="end"/>
                </w:r>
              </w:hyperlink>
            </w:p>
            <w:p w14:paraId="4A75FA63" w14:textId="5F0EC985"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12" w:history="1">
                <w:r w:rsidRPr="004C4CA6">
                  <w:rPr>
                    <w:rStyle w:val="Hyperlink"/>
                  </w:rPr>
                  <w:t>3.4.5.1.1.</w:t>
                </w:r>
                <w:r>
                  <w:rPr>
                    <w:rFonts w:asciiTheme="minorHAnsi" w:eastAsiaTheme="minorEastAsia" w:hAnsiTheme="minorHAnsi" w:cstheme="minorBidi"/>
                    <w:sz w:val="22"/>
                    <w:szCs w:val="22"/>
                    <w:lang w:val="en-US" w:eastAsia="en-US"/>
                  </w:rPr>
                  <w:tab/>
                </w:r>
                <w:r w:rsidRPr="004C4CA6">
                  <w:rPr>
                    <w:rStyle w:val="Hyperlink"/>
                  </w:rPr>
                  <w:t>Tropical and subtropical dry and humid forest</w:t>
                </w:r>
                <w:r>
                  <w:rPr>
                    <w:webHidden/>
                  </w:rPr>
                  <w:tab/>
                </w:r>
                <w:r>
                  <w:rPr>
                    <w:webHidden/>
                  </w:rPr>
                  <w:fldChar w:fldCharType="begin"/>
                </w:r>
                <w:r>
                  <w:rPr>
                    <w:webHidden/>
                  </w:rPr>
                  <w:instrText xml:space="preserve"> PAGEREF _Toc519499912 \h </w:instrText>
                </w:r>
                <w:r>
                  <w:rPr>
                    <w:webHidden/>
                  </w:rPr>
                </w:r>
                <w:r>
                  <w:rPr>
                    <w:webHidden/>
                  </w:rPr>
                  <w:fldChar w:fldCharType="separate"/>
                </w:r>
                <w:r>
                  <w:rPr>
                    <w:webHidden/>
                  </w:rPr>
                  <w:t>244</w:t>
                </w:r>
                <w:r>
                  <w:rPr>
                    <w:webHidden/>
                  </w:rPr>
                  <w:fldChar w:fldCharType="end"/>
                </w:r>
              </w:hyperlink>
            </w:p>
            <w:p w14:paraId="2B138E18" w14:textId="38AE22A9"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13" w:history="1">
                <w:r w:rsidRPr="004C4CA6">
                  <w:rPr>
                    <w:rStyle w:val="Hyperlink"/>
                  </w:rPr>
                  <w:t>3.4.5.1.2.</w:t>
                </w:r>
                <w:r>
                  <w:rPr>
                    <w:rFonts w:asciiTheme="minorHAnsi" w:eastAsiaTheme="minorEastAsia" w:hAnsiTheme="minorHAnsi" w:cstheme="minorBidi"/>
                    <w:sz w:val="22"/>
                    <w:szCs w:val="22"/>
                    <w:lang w:val="en-US" w:eastAsia="en-US"/>
                  </w:rPr>
                  <w:tab/>
                </w:r>
                <w:r w:rsidRPr="004C4CA6">
                  <w:rPr>
                    <w:rStyle w:val="Hyperlink"/>
                  </w:rPr>
                  <w:t>High mountain habitats and Grassland</w:t>
                </w:r>
                <w:r>
                  <w:rPr>
                    <w:webHidden/>
                  </w:rPr>
                  <w:tab/>
                </w:r>
                <w:r>
                  <w:rPr>
                    <w:webHidden/>
                  </w:rPr>
                  <w:fldChar w:fldCharType="begin"/>
                </w:r>
                <w:r>
                  <w:rPr>
                    <w:webHidden/>
                  </w:rPr>
                  <w:instrText xml:space="preserve"> PAGEREF _Toc519499913 \h </w:instrText>
                </w:r>
                <w:r>
                  <w:rPr>
                    <w:webHidden/>
                  </w:rPr>
                </w:r>
                <w:r>
                  <w:rPr>
                    <w:webHidden/>
                  </w:rPr>
                  <w:fldChar w:fldCharType="separate"/>
                </w:r>
                <w:r>
                  <w:rPr>
                    <w:webHidden/>
                  </w:rPr>
                  <w:t>247</w:t>
                </w:r>
                <w:r>
                  <w:rPr>
                    <w:webHidden/>
                  </w:rPr>
                  <w:fldChar w:fldCharType="end"/>
                </w:r>
              </w:hyperlink>
            </w:p>
            <w:p w14:paraId="283EF84D" w14:textId="34C1D13A"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14" w:history="1">
                <w:r w:rsidRPr="004C4CA6">
                  <w:rPr>
                    <w:rStyle w:val="Hyperlink"/>
                  </w:rPr>
                  <w:t>3.4.5.1.3.</w:t>
                </w:r>
                <w:r>
                  <w:rPr>
                    <w:rFonts w:asciiTheme="minorHAnsi" w:eastAsiaTheme="minorEastAsia" w:hAnsiTheme="minorHAnsi" w:cstheme="minorBidi"/>
                    <w:sz w:val="22"/>
                    <w:szCs w:val="22"/>
                    <w:lang w:val="en-US" w:eastAsia="en-US"/>
                  </w:rPr>
                  <w:tab/>
                </w:r>
                <w:r w:rsidRPr="004C4CA6">
                  <w:rPr>
                    <w:rStyle w:val="Hyperlink"/>
                  </w:rPr>
                  <w:t>Savannah and grassland</w:t>
                </w:r>
                <w:r>
                  <w:rPr>
                    <w:webHidden/>
                  </w:rPr>
                  <w:tab/>
                </w:r>
                <w:r>
                  <w:rPr>
                    <w:webHidden/>
                  </w:rPr>
                  <w:fldChar w:fldCharType="begin"/>
                </w:r>
                <w:r>
                  <w:rPr>
                    <w:webHidden/>
                  </w:rPr>
                  <w:instrText xml:space="preserve"> PAGEREF _Toc519499914 \h </w:instrText>
                </w:r>
                <w:r>
                  <w:rPr>
                    <w:webHidden/>
                  </w:rPr>
                </w:r>
                <w:r>
                  <w:rPr>
                    <w:webHidden/>
                  </w:rPr>
                  <w:fldChar w:fldCharType="separate"/>
                </w:r>
                <w:r>
                  <w:rPr>
                    <w:webHidden/>
                  </w:rPr>
                  <w:t>248</w:t>
                </w:r>
                <w:r>
                  <w:rPr>
                    <w:webHidden/>
                  </w:rPr>
                  <w:fldChar w:fldCharType="end"/>
                </w:r>
              </w:hyperlink>
            </w:p>
            <w:p w14:paraId="12C863B0" w14:textId="759942B3"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15" w:history="1">
                <w:r w:rsidRPr="004C4CA6">
                  <w:rPr>
                    <w:rStyle w:val="Hyperlink"/>
                  </w:rPr>
                  <w:t>3.4.5.1.4.</w:t>
                </w:r>
                <w:r>
                  <w:rPr>
                    <w:rFonts w:asciiTheme="minorHAnsi" w:eastAsiaTheme="minorEastAsia" w:hAnsiTheme="minorHAnsi" w:cstheme="minorBidi"/>
                    <w:sz w:val="22"/>
                    <w:szCs w:val="22"/>
                    <w:lang w:val="en-US" w:eastAsia="en-US"/>
                  </w:rPr>
                  <w:tab/>
                </w:r>
                <w:r w:rsidRPr="004C4CA6">
                  <w:rPr>
                    <w:rStyle w:val="Hyperlink"/>
                  </w:rPr>
                  <w:t>Dryland and desert</w:t>
                </w:r>
                <w:r>
                  <w:rPr>
                    <w:webHidden/>
                  </w:rPr>
                  <w:tab/>
                </w:r>
                <w:r>
                  <w:rPr>
                    <w:webHidden/>
                  </w:rPr>
                  <w:fldChar w:fldCharType="begin"/>
                </w:r>
                <w:r>
                  <w:rPr>
                    <w:webHidden/>
                  </w:rPr>
                  <w:instrText xml:space="preserve"> PAGEREF _Toc519499915 \h </w:instrText>
                </w:r>
                <w:r>
                  <w:rPr>
                    <w:webHidden/>
                  </w:rPr>
                </w:r>
                <w:r>
                  <w:rPr>
                    <w:webHidden/>
                  </w:rPr>
                  <w:fldChar w:fldCharType="separate"/>
                </w:r>
                <w:r>
                  <w:rPr>
                    <w:webHidden/>
                  </w:rPr>
                  <w:t>249</w:t>
                </w:r>
                <w:r>
                  <w:rPr>
                    <w:webHidden/>
                  </w:rPr>
                  <w:fldChar w:fldCharType="end"/>
                </w:r>
              </w:hyperlink>
            </w:p>
            <w:p w14:paraId="2CA515E1" w14:textId="3B175545"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16" w:history="1">
                <w:r w:rsidRPr="004C4CA6">
                  <w:rPr>
                    <w:rStyle w:val="Hyperlink"/>
                  </w:rPr>
                  <w:t>3.4.5.1.5.</w:t>
                </w:r>
                <w:r>
                  <w:rPr>
                    <w:rFonts w:asciiTheme="minorHAnsi" w:eastAsiaTheme="minorEastAsia" w:hAnsiTheme="minorHAnsi" w:cstheme="minorBidi"/>
                    <w:sz w:val="22"/>
                    <w:szCs w:val="22"/>
                    <w:lang w:val="en-US" w:eastAsia="en-US"/>
                  </w:rPr>
                  <w:tab/>
                </w:r>
                <w:r w:rsidRPr="004C4CA6">
                  <w:rPr>
                    <w:rStyle w:val="Hyperlink"/>
                  </w:rPr>
                  <w:t>Urban/Semi-urban</w:t>
                </w:r>
                <w:r>
                  <w:rPr>
                    <w:webHidden/>
                  </w:rPr>
                  <w:tab/>
                </w:r>
                <w:r>
                  <w:rPr>
                    <w:webHidden/>
                  </w:rPr>
                  <w:fldChar w:fldCharType="begin"/>
                </w:r>
                <w:r>
                  <w:rPr>
                    <w:webHidden/>
                  </w:rPr>
                  <w:instrText xml:space="preserve"> PAGEREF _Toc519499916 \h </w:instrText>
                </w:r>
                <w:r>
                  <w:rPr>
                    <w:webHidden/>
                  </w:rPr>
                </w:r>
                <w:r>
                  <w:rPr>
                    <w:webHidden/>
                  </w:rPr>
                  <w:fldChar w:fldCharType="separate"/>
                </w:r>
                <w:r>
                  <w:rPr>
                    <w:webHidden/>
                  </w:rPr>
                  <w:t>250</w:t>
                </w:r>
                <w:r>
                  <w:rPr>
                    <w:webHidden/>
                  </w:rPr>
                  <w:fldChar w:fldCharType="end"/>
                </w:r>
              </w:hyperlink>
            </w:p>
            <w:p w14:paraId="54452264" w14:textId="763B257F"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17" w:history="1">
                <w:r w:rsidRPr="004C4CA6">
                  <w:rPr>
                    <w:rStyle w:val="Hyperlink"/>
                  </w:rPr>
                  <w:t>3.4.5.1.6.</w:t>
                </w:r>
                <w:r>
                  <w:rPr>
                    <w:rFonts w:asciiTheme="minorHAnsi" w:eastAsiaTheme="minorEastAsia" w:hAnsiTheme="minorHAnsi" w:cstheme="minorBidi"/>
                    <w:sz w:val="22"/>
                    <w:szCs w:val="22"/>
                    <w:lang w:val="en-US" w:eastAsia="en-US"/>
                  </w:rPr>
                  <w:tab/>
                </w:r>
                <w:r w:rsidRPr="004C4CA6">
                  <w:rPr>
                    <w:rStyle w:val="Hyperlink"/>
                  </w:rPr>
                  <w:t>Cultivated lands</w:t>
                </w:r>
                <w:r>
                  <w:rPr>
                    <w:webHidden/>
                  </w:rPr>
                  <w:tab/>
                </w:r>
                <w:r>
                  <w:rPr>
                    <w:webHidden/>
                  </w:rPr>
                  <w:fldChar w:fldCharType="begin"/>
                </w:r>
                <w:r>
                  <w:rPr>
                    <w:webHidden/>
                  </w:rPr>
                  <w:instrText xml:space="preserve"> PAGEREF _Toc519499917 \h </w:instrText>
                </w:r>
                <w:r>
                  <w:rPr>
                    <w:webHidden/>
                  </w:rPr>
                </w:r>
                <w:r>
                  <w:rPr>
                    <w:webHidden/>
                  </w:rPr>
                  <w:fldChar w:fldCharType="separate"/>
                </w:r>
                <w:r>
                  <w:rPr>
                    <w:webHidden/>
                  </w:rPr>
                  <w:t>250</w:t>
                </w:r>
                <w:r>
                  <w:rPr>
                    <w:webHidden/>
                  </w:rPr>
                  <w:fldChar w:fldCharType="end"/>
                </w:r>
              </w:hyperlink>
            </w:p>
            <w:p w14:paraId="7B45455E" w14:textId="1FEE3110"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18" w:history="1">
                <w:r w:rsidRPr="004C4CA6">
                  <w:rPr>
                    <w:rStyle w:val="Hyperlink"/>
                  </w:rPr>
                  <w:t>3.4.5.2.</w:t>
                </w:r>
                <w:r>
                  <w:rPr>
                    <w:rFonts w:asciiTheme="minorHAnsi" w:eastAsiaTheme="minorEastAsia" w:hAnsiTheme="minorHAnsi" w:cstheme="minorBidi"/>
                    <w:sz w:val="22"/>
                    <w:szCs w:val="22"/>
                    <w:lang w:val="en-US" w:eastAsia="en-US"/>
                  </w:rPr>
                  <w:tab/>
                </w:r>
                <w:r w:rsidRPr="004C4CA6">
                  <w:rPr>
                    <w:rStyle w:val="Hyperlink"/>
                  </w:rPr>
                  <w:t>Aquatic (Freshwater, Coastal and Marine)</w:t>
                </w:r>
                <w:r>
                  <w:rPr>
                    <w:webHidden/>
                  </w:rPr>
                  <w:tab/>
                </w:r>
                <w:r>
                  <w:rPr>
                    <w:webHidden/>
                  </w:rPr>
                  <w:fldChar w:fldCharType="begin"/>
                </w:r>
                <w:r>
                  <w:rPr>
                    <w:webHidden/>
                  </w:rPr>
                  <w:instrText xml:space="preserve"> PAGEREF _Toc519499918 \h </w:instrText>
                </w:r>
                <w:r>
                  <w:rPr>
                    <w:webHidden/>
                  </w:rPr>
                </w:r>
                <w:r>
                  <w:rPr>
                    <w:webHidden/>
                  </w:rPr>
                  <w:fldChar w:fldCharType="separate"/>
                </w:r>
                <w:r>
                  <w:rPr>
                    <w:webHidden/>
                  </w:rPr>
                  <w:t>252</w:t>
                </w:r>
                <w:r>
                  <w:rPr>
                    <w:webHidden/>
                  </w:rPr>
                  <w:fldChar w:fldCharType="end"/>
                </w:r>
              </w:hyperlink>
            </w:p>
            <w:p w14:paraId="2B832EB2" w14:textId="68F76C9C"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19" w:history="1">
                <w:r w:rsidRPr="004C4CA6">
                  <w:rPr>
                    <w:rStyle w:val="Hyperlink"/>
                  </w:rPr>
                  <w:t>3.4.5.2.1.</w:t>
                </w:r>
                <w:r>
                  <w:rPr>
                    <w:rFonts w:asciiTheme="minorHAnsi" w:eastAsiaTheme="minorEastAsia" w:hAnsiTheme="minorHAnsi" w:cstheme="minorBidi"/>
                    <w:sz w:val="22"/>
                    <w:szCs w:val="22"/>
                    <w:lang w:val="en-US" w:eastAsia="en-US"/>
                  </w:rPr>
                  <w:tab/>
                </w:r>
                <w:r w:rsidRPr="004C4CA6">
                  <w:rPr>
                    <w:rStyle w:val="Hyperlink"/>
                  </w:rPr>
                  <w:t>Freshwater</w:t>
                </w:r>
                <w:r>
                  <w:rPr>
                    <w:webHidden/>
                  </w:rPr>
                  <w:tab/>
                </w:r>
                <w:r>
                  <w:rPr>
                    <w:webHidden/>
                  </w:rPr>
                  <w:fldChar w:fldCharType="begin"/>
                </w:r>
                <w:r>
                  <w:rPr>
                    <w:webHidden/>
                  </w:rPr>
                  <w:instrText xml:space="preserve"> PAGEREF _Toc519499919 \h </w:instrText>
                </w:r>
                <w:r>
                  <w:rPr>
                    <w:webHidden/>
                  </w:rPr>
                </w:r>
                <w:r>
                  <w:rPr>
                    <w:webHidden/>
                  </w:rPr>
                  <w:fldChar w:fldCharType="separate"/>
                </w:r>
                <w:r>
                  <w:rPr>
                    <w:webHidden/>
                  </w:rPr>
                  <w:t>252</w:t>
                </w:r>
                <w:r>
                  <w:rPr>
                    <w:webHidden/>
                  </w:rPr>
                  <w:fldChar w:fldCharType="end"/>
                </w:r>
              </w:hyperlink>
            </w:p>
            <w:p w14:paraId="62A32CC4" w14:textId="7CBAB82A"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20" w:history="1">
                <w:r w:rsidRPr="004C4CA6">
                  <w:rPr>
                    <w:rStyle w:val="Hyperlink"/>
                  </w:rPr>
                  <w:t>3.4.5.2.2.</w:t>
                </w:r>
                <w:r>
                  <w:rPr>
                    <w:rFonts w:asciiTheme="minorHAnsi" w:eastAsiaTheme="minorEastAsia" w:hAnsiTheme="minorHAnsi" w:cstheme="minorBidi"/>
                    <w:sz w:val="22"/>
                    <w:szCs w:val="22"/>
                    <w:lang w:val="en-US" w:eastAsia="en-US"/>
                  </w:rPr>
                  <w:tab/>
                </w:r>
                <w:r w:rsidRPr="004C4CA6">
                  <w:rPr>
                    <w:rStyle w:val="Hyperlink"/>
                  </w:rPr>
                  <w:t>Shelf-ecosystem</w:t>
                </w:r>
                <w:r>
                  <w:rPr>
                    <w:webHidden/>
                  </w:rPr>
                  <w:tab/>
                </w:r>
                <w:r>
                  <w:rPr>
                    <w:webHidden/>
                  </w:rPr>
                  <w:fldChar w:fldCharType="begin"/>
                </w:r>
                <w:r>
                  <w:rPr>
                    <w:webHidden/>
                  </w:rPr>
                  <w:instrText xml:space="preserve"> PAGEREF _Toc519499920 \h </w:instrText>
                </w:r>
                <w:r>
                  <w:rPr>
                    <w:webHidden/>
                  </w:rPr>
                </w:r>
                <w:r>
                  <w:rPr>
                    <w:webHidden/>
                  </w:rPr>
                  <w:fldChar w:fldCharType="separate"/>
                </w:r>
                <w:r>
                  <w:rPr>
                    <w:webHidden/>
                  </w:rPr>
                  <w:t>252</w:t>
                </w:r>
                <w:r>
                  <w:rPr>
                    <w:webHidden/>
                  </w:rPr>
                  <w:fldChar w:fldCharType="end"/>
                </w:r>
              </w:hyperlink>
            </w:p>
            <w:p w14:paraId="28F94DB2" w14:textId="0151F0E2"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21" w:history="1">
                <w:r w:rsidRPr="004C4CA6">
                  <w:rPr>
                    <w:rStyle w:val="Hyperlink"/>
                  </w:rPr>
                  <w:t>3.4.5.2.3.</w:t>
                </w:r>
                <w:r>
                  <w:rPr>
                    <w:rFonts w:asciiTheme="minorHAnsi" w:eastAsiaTheme="minorEastAsia" w:hAnsiTheme="minorHAnsi" w:cstheme="minorBidi"/>
                    <w:sz w:val="22"/>
                    <w:szCs w:val="22"/>
                    <w:lang w:val="en-US" w:eastAsia="en-US"/>
                  </w:rPr>
                  <w:tab/>
                </w:r>
                <w:r w:rsidRPr="004C4CA6">
                  <w:rPr>
                    <w:rStyle w:val="Hyperlink"/>
                  </w:rPr>
                  <w:t>Open Ocean</w:t>
                </w:r>
                <w:r>
                  <w:rPr>
                    <w:webHidden/>
                  </w:rPr>
                  <w:tab/>
                </w:r>
                <w:r>
                  <w:rPr>
                    <w:webHidden/>
                  </w:rPr>
                  <w:fldChar w:fldCharType="begin"/>
                </w:r>
                <w:r>
                  <w:rPr>
                    <w:webHidden/>
                  </w:rPr>
                  <w:instrText xml:space="preserve"> PAGEREF _Toc519499921 \h </w:instrText>
                </w:r>
                <w:r>
                  <w:rPr>
                    <w:webHidden/>
                  </w:rPr>
                </w:r>
                <w:r>
                  <w:rPr>
                    <w:webHidden/>
                  </w:rPr>
                  <w:fldChar w:fldCharType="separate"/>
                </w:r>
                <w:r>
                  <w:rPr>
                    <w:webHidden/>
                  </w:rPr>
                  <w:t>253</w:t>
                </w:r>
                <w:r>
                  <w:rPr>
                    <w:webHidden/>
                  </w:rPr>
                  <w:fldChar w:fldCharType="end"/>
                </w:r>
              </w:hyperlink>
            </w:p>
            <w:p w14:paraId="7F266E1E" w14:textId="388DBCAF"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22" w:history="1">
                <w:r w:rsidRPr="004C4CA6">
                  <w:rPr>
                    <w:rStyle w:val="Hyperlink"/>
                  </w:rPr>
                  <w:t>3.4.5.2.4.</w:t>
                </w:r>
                <w:r>
                  <w:rPr>
                    <w:rFonts w:asciiTheme="minorHAnsi" w:eastAsiaTheme="minorEastAsia" w:hAnsiTheme="minorHAnsi" w:cstheme="minorBidi"/>
                    <w:sz w:val="22"/>
                    <w:szCs w:val="22"/>
                    <w:lang w:val="en-US" w:eastAsia="en-US"/>
                  </w:rPr>
                  <w:tab/>
                </w:r>
                <w:r w:rsidRPr="004C4CA6">
                  <w:rPr>
                    <w:rStyle w:val="Hyperlink"/>
                  </w:rPr>
                  <w:t>Deep sea</w:t>
                </w:r>
                <w:r>
                  <w:rPr>
                    <w:webHidden/>
                  </w:rPr>
                  <w:tab/>
                </w:r>
                <w:r>
                  <w:rPr>
                    <w:webHidden/>
                  </w:rPr>
                  <w:fldChar w:fldCharType="begin"/>
                </w:r>
                <w:r>
                  <w:rPr>
                    <w:webHidden/>
                  </w:rPr>
                  <w:instrText xml:space="preserve"> PAGEREF _Toc519499922 \h </w:instrText>
                </w:r>
                <w:r>
                  <w:rPr>
                    <w:webHidden/>
                  </w:rPr>
                </w:r>
                <w:r>
                  <w:rPr>
                    <w:webHidden/>
                  </w:rPr>
                  <w:fldChar w:fldCharType="separate"/>
                </w:r>
                <w:r>
                  <w:rPr>
                    <w:webHidden/>
                  </w:rPr>
                  <w:t>254</w:t>
                </w:r>
                <w:r>
                  <w:rPr>
                    <w:webHidden/>
                  </w:rPr>
                  <w:fldChar w:fldCharType="end"/>
                </w:r>
              </w:hyperlink>
            </w:p>
            <w:p w14:paraId="005B678B" w14:textId="534116D0" w:rsidR="00DA6432" w:rsidRDefault="00DA6432">
              <w:pPr>
                <w:pStyle w:val="TOC3"/>
                <w:rPr>
                  <w:rFonts w:asciiTheme="minorHAnsi" w:eastAsiaTheme="minorEastAsia" w:hAnsiTheme="minorHAnsi" w:cstheme="minorBidi"/>
                  <w:noProof/>
                  <w:color w:val="auto"/>
                  <w:lang w:val="en-US" w:eastAsia="en-US"/>
                </w:rPr>
              </w:pPr>
              <w:hyperlink w:anchor="_Toc519499923" w:history="1">
                <w:r w:rsidRPr="004C4CA6">
                  <w:rPr>
                    <w:rStyle w:val="Hyperlink"/>
                    <w:rFonts w:cs="Times New Roman"/>
                    <w:noProof/>
                  </w:rPr>
                  <w:t>3.5.</w:t>
                </w:r>
                <w:r>
                  <w:rPr>
                    <w:rFonts w:asciiTheme="minorHAnsi" w:eastAsiaTheme="minorEastAsia" w:hAnsiTheme="minorHAnsi" w:cstheme="minorBidi"/>
                    <w:noProof/>
                    <w:color w:val="auto"/>
                    <w:lang w:val="en-US" w:eastAsia="en-US"/>
                  </w:rPr>
                  <w:tab/>
                </w:r>
                <w:r w:rsidRPr="004C4CA6">
                  <w:rPr>
                    <w:rStyle w:val="Hyperlink"/>
                    <w:rFonts w:cs="Times New Roman"/>
                    <w:noProof/>
                  </w:rPr>
                  <w:t>Impact of biodiversity changes on nature’s contribution to people</w:t>
                </w:r>
                <w:r>
                  <w:rPr>
                    <w:noProof/>
                    <w:webHidden/>
                  </w:rPr>
                  <w:tab/>
                </w:r>
                <w:r>
                  <w:rPr>
                    <w:noProof/>
                    <w:webHidden/>
                  </w:rPr>
                  <w:fldChar w:fldCharType="begin"/>
                </w:r>
                <w:r>
                  <w:rPr>
                    <w:noProof/>
                    <w:webHidden/>
                  </w:rPr>
                  <w:instrText xml:space="preserve"> PAGEREF _Toc519499923 \h </w:instrText>
                </w:r>
                <w:r>
                  <w:rPr>
                    <w:noProof/>
                    <w:webHidden/>
                  </w:rPr>
                </w:r>
                <w:r>
                  <w:rPr>
                    <w:noProof/>
                    <w:webHidden/>
                  </w:rPr>
                  <w:fldChar w:fldCharType="separate"/>
                </w:r>
                <w:r>
                  <w:rPr>
                    <w:noProof/>
                    <w:webHidden/>
                  </w:rPr>
                  <w:t>254</w:t>
                </w:r>
                <w:r>
                  <w:rPr>
                    <w:noProof/>
                    <w:webHidden/>
                  </w:rPr>
                  <w:fldChar w:fldCharType="end"/>
                </w:r>
              </w:hyperlink>
            </w:p>
            <w:p w14:paraId="4D9FEFAD" w14:textId="0F63A618" w:rsidR="00DA6432" w:rsidRDefault="00DA6432">
              <w:pPr>
                <w:pStyle w:val="TOC3"/>
                <w:rPr>
                  <w:rFonts w:asciiTheme="minorHAnsi" w:eastAsiaTheme="minorEastAsia" w:hAnsiTheme="minorHAnsi" w:cstheme="minorBidi"/>
                  <w:noProof/>
                  <w:color w:val="auto"/>
                  <w:lang w:val="en-US" w:eastAsia="en-US"/>
                </w:rPr>
              </w:pPr>
              <w:hyperlink w:anchor="_Toc519499924" w:history="1">
                <w:r w:rsidRPr="004C4CA6">
                  <w:rPr>
                    <w:rStyle w:val="Hyperlink"/>
                    <w:rFonts w:cs="Times New Roman"/>
                    <w:noProof/>
                  </w:rPr>
                  <w:t>3.6.</w:t>
                </w:r>
                <w:r>
                  <w:rPr>
                    <w:rFonts w:asciiTheme="minorHAnsi" w:eastAsiaTheme="minorEastAsia" w:hAnsiTheme="minorHAnsi" w:cstheme="minorBidi"/>
                    <w:noProof/>
                    <w:color w:val="auto"/>
                    <w:lang w:val="en-US" w:eastAsia="en-US"/>
                  </w:rPr>
                  <w:tab/>
                </w:r>
                <w:r w:rsidRPr="004C4CA6">
                  <w:rPr>
                    <w:rStyle w:val="Hyperlink"/>
                    <w:rFonts w:cs="Times New Roman"/>
                    <w:noProof/>
                  </w:rPr>
                  <w:t>Data Gaps</w:t>
                </w:r>
                <w:r>
                  <w:rPr>
                    <w:noProof/>
                    <w:webHidden/>
                  </w:rPr>
                  <w:tab/>
                </w:r>
                <w:r>
                  <w:rPr>
                    <w:noProof/>
                    <w:webHidden/>
                  </w:rPr>
                  <w:fldChar w:fldCharType="begin"/>
                </w:r>
                <w:r>
                  <w:rPr>
                    <w:noProof/>
                    <w:webHidden/>
                  </w:rPr>
                  <w:instrText xml:space="preserve"> PAGEREF _Toc519499924 \h </w:instrText>
                </w:r>
                <w:r>
                  <w:rPr>
                    <w:noProof/>
                    <w:webHidden/>
                  </w:rPr>
                </w:r>
                <w:r>
                  <w:rPr>
                    <w:noProof/>
                    <w:webHidden/>
                  </w:rPr>
                  <w:fldChar w:fldCharType="separate"/>
                </w:r>
                <w:r>
                  <w:rPr>
                    <w:noProof/>
                    <w:webHidden/>
                  </w:rPr>
                  <w:t>256</w:t>
                </w:r>
                <w:r>
                  <w:rPr>
                    <w:noProof/>
                    <w:webHidden/>
                  </w:rPr>
                  <w:fldChar w:fldCharType="end"/>
                </w:r>
              </w:hyperlink>
            </w:p>
            <w:p w14:paraId="0BBA91D3" w14:textId="40AB4465" w:rsidR="00DA6432" w:rsidRDefault="00DA6432">
              <w:pPr>
                <w:pStyle w:val="TOC3"/>
                <w:rPr>
                  <w:rFonts w:asciiTheme="minorHAnsi" w:eastAsiaTheme="minorEastAsia" w:hAnsiTheme="minorHAnsi" w:cstheme="minorBidi"/>
                  <w:noProof/>
                  <w:color w:val="auto"/>
                  <w:lang w:val="en-US" w:eastAsia="en-US"/>
                </w:rPr>
              </w:pPr>
              <w:hyperlink w:anchor="_Toc519499925" w:history="1">
                <w:r w:rsidRPr="004C4CA6">
                  <w:rPr>
                    <w:rStyle w:val="Hyperlink"/>
                    <w:rFonts w:cs="Times New Roman"/>
                    <w:noProof/>
                  </w:rPr>
                  <w:t>3.7.</w:t>
                </w:r>
                <w:r>
                  <w:rPr>
                    <w:rFonts w:asciiTheme="minorHAnsi" w:eastAsiaTheme="minorEastAsia" w:hAnsiTheme="minorHAnsi" w:cstheme="minorBidi"/>
                    <w:noProof/>
                    <w:color w:val="auto"/>
                    <w:lang w:val="en-US" w:eastAsia="en-US"/>
                  </w:rPr>
                  <w:tab/>
                </w:r>
                <w:r w:rsidRPr="004C4CA6">
                  <w:rPr>
                    <w:rStyle w:val="Hyperlink"/>
                    <w:rFonts w:cs="Times New Roman"/>
                    <w:noProof/>
                  </w:rPr>
                  <w:t>Conclusions and recommendations</w:t>
                </w:r>
                <w:r>
                  <w:rPr>
                    <w:noProof/>
                    <w:webHidden/>
                  </w:rPr>
                  <w:tab/>
                </w:r>
                <w:r>
                  <w:rPr>
                    <w:noProof/>
                    <w:webHidden/>
                  </w:rPr>
                  <w:fldChar w:fldCharType="begin"/>
                </w:r>
                <w:r>
                  <w:rPr>
                    <w:noProof/>
                    <w:webHidden/>
                  </w:rPr>
                  <w:instrText xml:space="preserve"> PAGEREF _Toc519499925 \h </w:instrText>
                </w:r>
                <w:r>
                  <w:rPr>
                    <w:noProof/>
                    <w:webHidden/>
                  </w:rPr>
                </w:r>
                <w:r>
                  <w:rPr>
                    <w:noProof/>
                    <w:webHidden/>
                  </w:rPr>
                  <w:fldChar w:fldCharType="separate"/>
                </w:r>
                <w:r>
                  <w:rPr>
                    <w:noProof/>
                    <w:webHidden/>
                  </w:rPr>
                  <w:t>257</w:t>
                </w:r>
                <w:r>
                  <w:rPr>
                    <w:noProof/>
                    <w:webHidden/>
                  </w:rPr>
                  <w:fldChar w:fldCharType="end"/>
                </w:r>
              </w:hyperlink>
            </w:p>
            <w:p w14:paraId="0F790294" w14:textId="2DCDB013" w:rsidR="00DA6432" w:rsidRDefault="00DA6432">
              <w:pPr>
                <w:pStyle w:val="TOC3"/>
                <w:rPr>
                  <w:rFonts w:asciiTheme="minorHAnsi" w:eastAsiaTheme="minorEastAsia" w:hAnsiTheme="minorHAnsi" w:cstheme="minorBidi"/>
                  <w:noProof/>
                  <w:color w:val="auto"/>
                  <w:lang w:val="en-US" w:eastAsia="en-US"/>
                </w:rPr>
              </w:pPr>
              <w:hyperlink w:anchor="_Toc519499926" w:history="1">
                <w:r w:rsidRPr="004C4CA6">
                  <w:rPr>
                    <w:rStyle w:val="Hyperlink"/>
                    <w:rFonts w:cs="Times New Roman"/>
                    <w:noProof/>
                  </w:rPr>
                  <w:t>3.8.</w:t>
                </w:r>
                <w:r>
                  <w:rPr>
                    <w:rFonts w:asciiTheme="minorHAnsi" w:eastAsiaTheme="minorEastAsia" w:hAnsiTheme="minorHAnsi" w:cstheme="minorBidi"/>
                    <w:noProof/>
                    <w:color w:val="auto"/>
                    <w:lang w:val="en-US" w:eastAsia="en-US"/>
                  </w:rPr>
                  <w:tab/>
                </w:r>
                <w:r w:rsidRPr="004C4CA6">
                  <w:rPr>
                    <w:rStyle w:val="Hyperlink"/>
                    <w:rFonts w:cs="Times New Roman"/>
                    <w:noProof/>
                  </w:rPr>
                  <w:t>References</w:t>
                </w:r>
                <w:r>
                  <w:rPr>
                    <w:noProof/>
                    <w:webHidden/>
                  </w:rPr>
                  <w:tab/>
                </w:r>
                <w:r>
                  <w:rPr>
                    <w:noProof/>
                    <w:webHidden/>
                  </w:rPr>
                  <w:fldChar w:fldCharType="begin"/>
                </w:r>
                <w:r>
                  <w:rPr>
                    <w:noProof/>
                    <w:webHidden/>
                  </w:rPr>
                  <w:instrText xml:space="preserve"> PAGEREF _Toc519499926 \h </w:instrText>
                </w:r>
                <w:r>
                  <w:rPr>
                    <w:noProof/>
                    <w:webHidden/>
                  </w:rPr>
                </w:r>
                <w:r>
                  <w:rPr>
                    <w:noProof/>
                    <w:webHidden/>
                  </w:rPr>
                  <w:fldChar w:fldCharType="separate"/>
                </w:r>
                <w:r>
                  <w:rPr>
                    <w:noProof/>
                    <w:webHidden/>
                  </w:rPr>
                  <w:t>258</w:t>
                </w:r>
                <w:r>
                  <w:rPr>
                    <w:noProof/>
                    <w:webHidden/>
                  </w:rPr>
                  <w:fldChar w:fldCharType="end"/>
                </w:r>
              </w:hyperlink>
            </w:p>
            <w:p w14:paraId="3064A0B6" w14:textId="1DB6D16E" w:rsidR="00DA6432" w:rsidRDefault="00DA6432">
              <w:pPr>
                <w:pStyle w:val="TOC1"/>
                <w:rPr>
                  <w:rFonts w:asciiTheme="minorHAnsi" w:hAnsiTheme="minorHAnsi" w:cstheme="minorBidi"/>
                  <w:sz w:val="22"/>
                  <w:szCs w:val="22"/>
                </w:rPr>
              </w:pPr>
              <w:hyperlink w:anchor="_Toc519499927" w:history="1">
                <w:r w:rsidRPr="004C4CA6">
                  <w:rPr>
                    <w:rStyle w:val="Hyperlink"/>
                  </w:rPr>
                  <w:t>Chapter 4: Direct and indirect drivers of change in biodiversity and nature’s contributions to people</w:t>
                </w:r>
                <w:r>
                  <w:rPr>
                    <w:webHidden/>
                  </w:rPr>
                  <w:tab/>
                </w:r>
                <w:r>
                  <w:rPr>
                    <w:webHidden/>
                  </w:rPr>
                  <w:fldChar w:fldCharType="begin"/>
                </w:r>
                <w:r>
                  <w:rPr>
                    <w:webHidden/>
                  </w:rPr>
                  <w:instrText xml:space="preserve"> PAGEREF _Toc519499927 \h </w:instrText>
                </w:r>
                <w:r>
                  <w:rPr>
                    <w:webHidden/>
                  </w:rPr>
                </w:r>
                <w:r>
                  <w:rPr>
                    <w:webHidden/>
                  </w:rPr>
                  <w:fldChar w:fldCharType="separate"/>
                </w:r>
                <w:r>
                  <w:rPr>
                    <w:webHidden/>
                  </w:rPr>
                  <w:t>290</w:t>
                </w:r>
                <w:r>
                  <w:rPr>
                    <w:webHidden/>
                  </w:rPr>
                  <w:fldChar w:fldCharType="end"/>
                </w:r>
              </w:hyperlink>
            </w:p>
            <w:p w14:paraId="1F7641C2" w14:textId="5CD70012" w:rsidR="00DA6432" w:rsidRDefault="00DA6432">
              <w:pPr>
                <w:pStyle w:val="TOC3"/>
                <w:rPr>
                  <w:rFonts w:asciiTheme="minorHAnsi" w:eastAsiaTheme="minorEastAsia" w:hAnsiTheme="minorHAnsi" w:cstheme="minorBidi"/>
                  <w:noProof/>
                  <w:color w:val="auto"/>
                  <w:lang w:val="en-US" w:eastAsia="en-US"/>
                </w:rPr>
              </w:pPr>
              <w:hyperlink w:anchor="_Toc519499928" w:history="1">
                <w:r w:rsidRPr="004C4CA6">
                  <w:rPr>
                    <w:rStyle w:val="Hyperlink"/>
                    <w:rFonts w:cs="Times New Roman"/>
                    <w:noProof/>
                  </w:rPr>
                  <w:t>Executive Summary</w:t>
                </w:r>
                <w:r>
                  <w:rPr>
                    <w:noProof/>
                    <w:webHidden/>
                  </w:rPr>
                  <w:tab/>
                </w:r>
                <w:r>
                  <w:rPr>
                    <w:noProof/>
                    <w:webHidden/>
                  </w:rPr>
                  <w:fldChar w:fldCharType="begin"/>
                </w:r>
                <w:r>
                  <w:rPr>
                    <w:noProof/>
                    <w:webHidden/>
                  </w:rPr>
                  <w:instrText xml:space="preserve"> PAGEREF _Toc519499928 \h </w:instrText>
                </w:r>
                <w:r>
                  <w:rPr>
                    <w:noProof/>
                    <w:webHidden/>
                  </w:rPr>
                </w:r>
                <w:r>
                  <w:rPr>
                    <w:noProof/>
                    <w:webHidden/>
                  </w:rPr>
                  <w:fldChar w:fldCharType="separate"/>
                </w:r>
                <w:r>
                  <w:rPr>
                    <w:noProof/>
                    <w:webHidden/>
                  </w:rPr>
                  <w:t>291</w:t>
                </w:r>
                <w:r>
                  <w:rPr>
                    <w:noProof/>
                    <w:webHidden/>
                  </w:rPr>
                  <w:fldChar w:fldCharType="end"/>
                </w:r>
              </w:hyperlink>
            </w:p>
            <w:p w14:paraId="16C56893" w14:textId="57650611" w:rsidR="00DA6432" w:rsidRDefault="00DA6432">
              <w:pPr>
                <w:pStyle w:val="TOC3"/>
                <w:rPr>
                  <w:rFonts w:asciiTheme="minorHAnsi" w:eastAsiaTheme="minorEastAsia" w:hAnsiTheme="minorHAnsi" w:cstheme="minorBidi"/>
                  <w:noProof/>
                  <w:color w:val="auto"/>
                  <w:lang w:val="en-US" w:eastAsia="en-US"/>
                </w:rPr>
              </w:pPr>
              <w:hyperlink w:anchor="_Toc519499930" w:history="1">
                <w:r w:rsidRPr="004C4CA6">
                  <w:rPr>
                    <w:rStyle w:val="Hyperlink"/>
                    <w:rFonts w:cs="Times New Roman"/>
                    <w:noProof/>
                  </w:rPr>
                  <w:t>4.1.</w:t>
                </w:r>
                <w:r>
                  <w:rPr>
                    <w:rFonts w:asciiTheme="minorHAnsi" w:eastAsiaTheme="minorEastAsia" w:hAnsiTheme="minorHAnsi" w:cstheme="minorBidi"/>
                    <w:noProof/>
                    <w:color w:val="auto"/>
                    <w:lang w:val="en-US" w:eastAsia="en-US"/>
                  </w:rPr>
                  <w:tab/>
                </w:r>
                <w:r w:rsidRPr="004C4CA6">
                  <w:rPr>
                    <w:rStyle w:val="Hyperlink"/>
                    <w:rFonts w:cs="Times New Roman"/>
                    <w:noProof/>
                  </w:rPr>
                  <w:t>Introduction</w:t>
                </w:r>
                <w:r>
                  <w:rPr>
                    <w:noProof/>
                    <w:webHidden/>
                  </w:rPr>
                  <w:tab/>
                </w:r>
                <w:r>
                  <w:rPr>
                    <w:noProof/>
                    <w:webHidden/>
                  </w:rPr>
                  <w:fldChar w:fldCharType="begin"/>
                </w:r>
                <w:r>
                  <w:rPr>
                    <w:noProof/>
                    <w:webHidden/>
                  </w:rPr>
                  <w:instrText xml:space="preserve"> PAGEREF _Toc519499930 \h </w:instrText>
                </w:r>
                <w:r>
                  <w:rPr>
                    <w:noProof/>
                    <w:webHidden/>
                  </w:rPr>
                </w:r>
                <w:r>
                  <w:rPr>
                    <w:noProof/>
                    <w:webHidden/>
                  </w:rPr>
                  <w:fldChar w:fldCharType="separate"/>
                </w:r>
                <w:r>
                  <w:rPr>
                    <w:noProof/>
                    <w:webHidden/>
                  </w:rPr>
                  <w:t>294</w:t>
                </w:r>
                <w:r>
                  <w:rPr>
                    <w:noProof/>
                    <w:webHidden/>
                  </w:rPr>
                  <w:fldChar w:fldCharType="end"/>
                </w:r>
              </w:hyperlink>
            </w:p>
            <w:p w14:paraId="2E49929D" w14:textId="040D30A2" w:rsidR="00DA6432" w:rsidRDefault="00DA6432">
              <w:pPr>
                <w:pStyle w:val="TOC3"/>
                <w:rPr>
                  <w:rFonts w:asciiTheme="minorHAnsi" w:eastAsiaTheme="minorEastAsia" w:hAnsiTheme="minorHAnsi" w:cstheme="minorBidi"/>
                  <w:noProof/>
                  <w:color w:val="auto"/>
                  <w:lang w:val="en-US" w:eastAsia="en-US"/>
                </w:rPr>
              </w:pPr>
              <w:hyperlink w:anchor="_Toc519499931" w:history="1">
                <w:r w:rsidRPr="004C4CA6">
                  <w:rPr>
                    <w:rStyle w:val="Hyperlink"/>
                    <w:rFonts w:cs="Times New Roman"/>
                    <w:noProof/>
                  </w:rPr>
                  <w:t>4.2.</w:t>
                </w:r>
                <w:r>
                  <w:rPr>
                    <w:rFonts w:asciiTheme="minorHAnsi" w:eastAsiaTheme="minorEastAsia" w:hAnsiTheme="minorHAnsi" w:cstheme="minorBidi"/>
                    <w:noProof/>
                    <w:color w:val="auto"/>
                    <w:lang w:val="en-US" w:eastAsia="en-US"/>
                  </w:rPr>
                  <w:tab/>
                </w:r>
                <w:r w:rsidRPr="004C4CA6">
                  <w:rPr>
                    <w:rStyle w:val="Hyperlink"/>
                    <w:rFonts w:cs="Times New Roman"/>
                    <w:noProof/>
                  </w:rPr>
                  <w:t>Direct drivers of biodiversity change and flow of ecosystem services</w:t>
                </w:r>
                <w:r>
                  <w:rPr>
                    <w:noProof/>
                    <w:webHidden/>
                  </w:rPr>
                  <w:tab/>
                </w:r>
                <w:r>
                  <w:rPr>
                    <w:noProof/>
                    <w:webHidden/>
                  </w:rPr>
                  <w:fldChar w:fldCharType="begin"/>
                </w:r>
                <w:r>
                  <w:rPr>
                    <w:noProof/>
                    <w:webHidden/>
                  </w:rPr>
                  <w:instrText xml:space="preserve"> PAGEREF _Toc519499931 \h </w:instrText>
                </w:r>
                <w:r>
                  <w:rPr>
                    <w:noProof/>
                    <w:webHidden/>
                  </w:rPr>
                </w:r>
                <w:r>
                  <w:rPr>
                    <w:noProof/>
                    <w:webHidden/>
                  </w:rPr>
                  <w:fldChar w:fldCharType="separate"/>
                </w:r>
                <w:r>
                  <w:rPr>
                    <w:noProof/>
                    <w:webHidden/>
                  </w:rPr>
                  <w:t>296</w:t>
                </w:r>
                <w:r>
                  <w:rPr>
                    <w:noProof/>
                    <w:webHidden/>
                  </w:rPr>
                  <w:fldChar w:fldCharType="end"/>
                </w:r>
              </w:hyperlink>
            </w:p>
            <w:p w14:paraId="578A6840" w14:textId="2926122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32" w:history="1">
                <w:r w:rsidRPr="004C4CA6">
                  <w:rPr>
                    <w:rStyle w:val="Hyperlink"/>
                  </w:rPr>
                  <w:t>4.2.1.</w:t>
                </w:r>
                <w:r>
                  <w:rPr>
                    <w:rFonts w:asciiTheme="minorHAnsi" w:eastAsiaTheme="minorEastAsia" w:hAnsiTheme="minorHAnsi" w:cstheme="minorBidi"/>
                    <w:sz w:val="22"/>
                    <w:szCs w:val="22"/>
                    <w:lang w:val="en-US" w:eastAsia="en-US"/>
                  </w:rPr>
                  <w:tab/>
                </w:r>
                <w:r w:rsidRPr="004C4CA6">
                  <w:rPr>
                    <w:rStyle w:val="Hyperlink"/>
                  </w:rPr>
                  <w:t>Natural direct drivers</w:t>
                </w:r>
                <w:r>
                  <w:rPr>
                    <w:webHidden/>
                  </w:rPr>
                  <w:tab/>
                </w:r>
                <w:r>
                  <w:rPr>
                    <w:webHidden/>
                  </w:rPr>
                  <w:fldChar w:fldCharType="begin"/>
                </w:r>
                <w:r>
                  <w:rPr>
                    <w:webHidden/>
                  </w:rPr>
                  <w:instrText xml:space="preserve"> PAGEREF _Toc519499932 \h </w:instrText>
                </w:r>
                <w:r>
                  <w:rPr>
                    <w:webHidden/>
                  </w:rPr>
                </w:r>
                <w:r>
                  <w:rPr>
                    <w:webHidden/>
                  </w:rPr>
                  <w:fldChar w:fldCharType="separate"/>
                </w:r>
                <w:r>
                  <w:rPr>
                    <w:webHidden/>
                  </w:rPr>
                  <w:t>296</w:t>
                </w:r>
                <w:r>
                  <w:rPr>
                    <w:webHidden/>
                  </w:rPr>
                  <w:fldChar w:fldCharType="end"/>
                </w:r>
              </w:hyperlink>
            </w:p>
            <w:p w14:paraId="73CE4992" w14:textId="6880EB72"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33" w:history="1">
                <w:r w:rsidRPr="004C4CA6">
                  <w:rPr>
                    <w:rStyle w:val="Hyperlink"/>
                  </w:rPr>
                  <w:t>4.2.1.1.</w:t>
                </w:r>
                <w:r>
                  <w:rPr>
                    <w:rFonts w:asciiTheme="minorHAnsi" w:eastAsiaTheme="minorEastAsia" w:hAnsiTheme="minorHAnsi" w:cstheme="minorBidi"/>
                    <w:sz w:val="22"/>
                    <w:szCs w:val="22"/>
                    <w:lang w:val="en-US" w:eastAsia="en-US"/>
                  </w:rPr>
                  <w:tab/>
                </w:r>
                <w:r w:rsidRPr="004C4CA6">
                  <w:rPr>
                    <w:rStyle w:val="Hyperlink"/>
                  </w:rPr>
                  <w:t>Natural climate variability and weather patterns</w:t>
                </w:r>
                <w:r>
                  <w:rPr>
                    <w:webHidden/>
                  </w:rPr>
                  <w:tab/>
                </w:r>
                <w:r>
                  <w:rPr>
                    <w:webHidden/>
                  </w:rPr>
                  <w:fldChar w:fldCharType="begin"/>
                </w:r>
                <w:r>
                  <w:rPr>
                    <w:webHidden/>
                  </w:rPr>
                  <w:instrText xml:space="preserve"> PAGEREF _Toc519499933 \h </w:instrText>
                </w:r>
                <w:r>
                  <w:rPr>
                    <w:webHidden/>
                  </w:rPr>
                </w:r>
                <w:r>
                  <w:rPr>
                    <w:webHidden/>
                  </w:rPr>
                  <w:fldChar w:fldCharType="separate"/>
                </w:r>
                <w:r>
                  <w:rPr>
                    <w:webHidden/>
                  </w:rPr>
                  <w:t>297</w:t>
                </w:r>
                <w:r>
                  <w:rPr>
                    <w:webHidden/>
                  </w:rPr>
                  <w:fldChar w:fldCharType="end"/>
                </w:r>
              </w:hyperlink>
            </w:p>
            <w:p w14:paraId="4BE95C93" w14:textId="095935DA"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34" w:history="1">
                <w:r w:rsidRPr="004C4CA6">
                  <w:rPr>
                    <w:rStyle w:val="Hyperlink"/>
                  </w:rPr>
                  <w:t>4.2.1.2.</w:t>
                </w:r>
                <w:r>
                  <w:rPr>
                    <w:rFonts w:asciiTheme="minorHAnsi" w:eastAsiaTheme="minorEastAsia" w:hAnsiTheme="minorHAnsi" w:cstheme="minorBidi"/>
                    <w:sz w:val="22"/>
                    <w:szCs w:val="22"/>
                    <w:lang w:val="en-US" w:eastAsia="en-US"/>
                  </w:rPr>
                  <w:tab/>
                </w:r>
                <w:r w:rsidRPr="004C4CA6">
                  <w:rPr>
                    <w:rStyle w:val="Hyperlink"/>
                  </w:rPr>
                  <w:t>Fire as driver of ecosystem change</w:t>
                </w:r>
                <w:r>
                  <w:rPr>
                    <w:webHidden/>
                  </w:rPr>
                  <w:tab/>
                </w:r>
                <w:r>
                  <w:rPr>
                    <w:webHidden/>
                  </w:rPr>
                  <w:fldChar w:fldCharType="begin"/>
                </w:r>
                <w:r>
                  <w:rPr>
                    <w:webHidden/>
                  </w:rPr>
                  <w:instrText xml:space="preserve"> PAGEREF _Toc519499934 \h </w:instrText>
                </w:r>
                <w:r>
                  <w:rPr>
                    <w:webHidden/>
                  </w:rPr>
                </w:r>
                <w:r>
                  <w:rPr>
                    <w:webHidden/>
                  </w:rPr>
                  <w:fldChar w:fldCharType="separate"/>
                </w:r>
                <w:r>
                  <w:rPr>
                    <w:webHidden/>
                  </w:rPr>
                  <w:t>299</w:t>
                </w:r>
                <w:r>
                  <w:rPr>
                    <w:webHidden/>
                  </w:rPr>
                  <w:fldChar w:fldCharType="end"/>
                </w:r>
              </w:hyperlink>
            </w:p>
            <w:p w14:paraId="52915B07" w14:textId="623BFBC4"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35" w:history="1">
                <w:r w:rsidRPr="004C4CA6">
                  <w:rPr>
                    <w:rStyle w:val="Hyperlink"/>
                  </w:rPr>
                  <w:t>4.2.1.3.</w:t>
                </w:r>
                <w:r>
                  <w:rPr>
                    <w:rFonts w:asciiTheme="minorHAnsi" w:eastAsiaTheme="minorEastAsia" w:hAnsiTheme="minorHAnsi" w:cstheme="minorBidi"/>
                    <w:sz w:val="22"/>
                    <w:szCs w:val="22"/>
                    <w:lang w:val="en-US" w:eastAsia="en-US"/>
                  </w:rPr>
                  <w:tab/>
                </w:r>
                <w:r w:rsidRPr="004C4CA6">
                  <w:rPr>
                    <w:rStyle w:val="Hyperlink"/>
                  </w:rPr>
                  <w:t>Diseases and Pests (zoonotic diseases, human diseases)</w:t>
                </w:r>
                <w:r>
                  <w:rPr>
                    <w:webHidden/>
                  </w:rPr>
                  <w:tab/>
                </w:r>
                <w:r>
                  <w:rPr>
                    <w:webHidden/>
                  </w:rPr>
                  <w:fldChar w:fldCharType="begin"/>
                </w:r>
                <w:r>
                  <w:rPr>
                    <w:webHidden/>
                  </w:rPr>
                  <w:instrText xml:space="preserve"> PAGEREF _Toc519499935 \h </w:instrText>
                </w:r>
                <w:r>
                  <w:rPr>
                    <w:webHidden/>
                  </w:rPr>
                </w:r>
                <w:r>
                  <w:rPr>
                    <w:webHidden/>
                  </w:rPr>
                  <w:fldChar w:fldCharType="separate"/>
                </w:r>
                <w:r>
                  <w:rPr>
                    <w:webHidden/>
                  </w:rPr>
                  <w:t>301</w:t>
                </w:r>
                <w:r>
                  <w:rPr>
                    <w:webHidden/>
                  </w:rPr>
                  <w:fldChar w:fldCharType="end"/>
                </w:r>
              </w:hyperlink>
            </w:p>
            <w:p w14:paraId="2D5DFD67" w14:textId="033265A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36" w:history="1">
                <w:r w:rsidRPr="004C4CA6">
                  <w:rPr>
                    <w:rStyle w:val="Hyperlink"/>
                  </w:rPr>
                  <w:t>4.2.1.4.</w:t>
                </w:r>
                <w:r>
                  <w:rPr>
                    <w:rFonts w:asciiTheme="minorHAnsi" w:eastAsiaTheme="minorEastAsia" w:hAnsiTheme="minorHAnsi" w:cstheme="minorBidi"/>
                    <w:sz w:val="22"/>
                    <w:szCs w:val="22"/>
                    <w:lang w:val="en-US" w:eastAsia="en-US"/>
                  </w:rPr>
                  <w:tab/>
                </w:r>
                <w:r w:rsidRPr="004C4CA6">
                  <w:rPr>
                    <w:rStyle w:val="Hyperlink"/>
                  </w:rPr>
                  <w:t>Natural hazards and disasters</w:t>
                </w:r>
                <w:r>
                  <w:rPr>
                    <w:webHidden/>
                  </w:rPr>
                  <w:tab/>
                </w:r>
                <w:r>
                  <w:rPr>
                    <w:webHidden/>
                  </w:rPr>
                  <w:fldChar w:fldCharType="begin"/>
                </w:r>
                <w:r>
                  <w:rPr>
                    <w:webHidden/>
                  </w:rPr>
                  <w:instrText xml:space="preserve"> PAGEREF _Toc519499936 \h </w:instrText>
                </w:r>
                <w:r>
                  <w:rPr>
                    <w:webHidden/>
                  </w:rPr>
                </w:r>
                <w:r>
                  <w:rPr>
                    <w:webHidden/>
                  </w:rPr>
                  <w:fldChar w:fldCharType="separate"/>
                </w:r>
                <w:r>
                  <w:rPr>
                    <w:webHidden/>
                  </w:rPr>
                  <w:t>304</w:t>
                </w:r>
                <w:r>
                  <w:rPr>
                    <w:webHidden/>
                  </w:rPr>
                  <w:fldChar w:fldCharType="end"/>
                </w:r>
              </w:hyperlink>
            </w:p>
            <w:p w14:paraId="09CF1470" w14:textId="173370C5"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37" w:history="1">
                <w:r w:rsidRPr="004C4CA6">
                  <w:rPr>
                    <w:rStyle w:val="Hyperlink"/>
                  </w:rPr>
                  <w:t>4.2.2.</w:t>
                </w:r>
                <w:r>
                  <w:rPr>
                    <w:rFonts w:asciiTheme="minorHAnsi" w:eastAsiaTheme="minorEastAsia" w:hAnsiTheme="minorHAnsi" w:cstheme="minorBidi"/>
                    <w:sz w:val="22"/>
                    <w:szCs w:val="22"/>
                    <w:lang w:val="en-US" w:eastAsia="en-US"/>
                  </w:rPr>
                  <w:tab/>
                </w:r>
                <w:r w:rsidRPr="004C4CA6">
                  <w:rPr>
                    <w:rStyle w:val="Hyperlink"/>
                  </w:rPr>
                  <w:t>Anthropogenic direct drivers</w:t>
                </w:r>
                <w:r>
                  <w:rPr>
                    <w:webHidden/>
                  </w:rPr>
                  <w:tab/>
                </w:r>
                <w:r>
                  <w:rPr>
                    <w:webHidden/>
                  </w:rPr>
                  <w:fldChar w:fldCharType="begin"/>
                </w:r>
                <w:r>
                  <w:rPr>
                    <w:webHidden/>
                  </w:rPr>
                  <w:instrText xml:space="preserve"> PAGEREF _Toc519499937 \h </w:instrText>
                </w:r>
                <w:r>
                  <w:rPr>
                    <w:webHidden/>
                  </w:rPr>
                </w:r>
                <w:r>
                  <w:rPr>
                    <w:webHidden/>
                  </w:rPr>
                  <w:fldChar w:fldCharType="separate"/>
                </w:r>
                <w:r>
                  <w:rPr>
                    <w:webHidden/>
                  </w:rPr>
                  <w:t>306</w:t>
                </w:r>
                <w:r>
                  <w:rPr>
                    <w:webHidden/>
                  </w:rPr>
                  <w:fldChar w:fldCharType="end"/>
                </w:r>
              </w:hyperlink>
            </w:p>
            <w:p w14:paraId="684FD31E" w14:textId="56CFCEF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38" w:history="1">
                <w:r w:rsidRPr="004C4CA6">
                  <w:rPr>
                    <w:rStyle w:val="Hyperlink"/>
                  </w:rPr>
                  <w:t>4.2.2.1.</w:t>
                </w:r>
                <w:r>
                  <w:rPr>
                    <w:rFonts w:asciiTheme="minorHAnsi" w:eastAsiaTheme="minorEastAsia" w:hAnsiTheme="minorHAnsi" w:cstheme="minorBidi"/>
                    <w:sz w:val="22"/>
                    <w:szCs w:val="22"/>
                    <w:lang w:val="en-US" w:eastAsia="en-US"/>
                  </w:rPr>
                  <w:tab/>
                </w:r>
                <w:r w:rsidRPr="004C4CA6">
                  <w:rPr>
                    <w:rStyle w:val="Hyperlink"/>
                  </w:rPr>
                  <w:t>Land-use and land-cover change</w:t>
                </w:r>
                <w:r>
                  <w:rPr>
                    <w:webHidden/>
                  </w:rPr>
                  <w:tab/>
                </w:r>
                <w:r>
                  <w:rPr>
                    <w:webHidden/>
                  </w:rPr>
                  <w:fldChar w:fldCharType="begin"/>
                </w:r>
                <w:r>
                  <w:rPr>
                    <w:webHidden/>
                  </w:rPr>
                  <w:instrText xml:space="preserve"> PAGEREF _Toc519499938 \h </w:instrText>
                </w:r>
                <w:r>
                  <w:rPr>
                    <w:webHidden/>
                  </w:rPr>
                </w:r>
                <w:r>
                  <w:rPr>
                    <w:webHidden/>
                  </w:rPr>
                  <w:fldChar w:fldCharType="separate"/>
                </w:r>
                <w:r>
                  <w:rPr>
                    <w:webHidden/>
                  </w:rPr>
                  <w:t>307</w:t>
                </w:r>
                <w:r>
                  <w:rPr>
                    <w:webHidden/>
                  </w:rPr>
                  <w:fldChar w:fldCharType="end"/>
                </w:r>
              </w:hyperlink>
            </w:p>
            <w:p w14:paraId="59631C35" w14:textId="2A9C8229"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39" w:history="1">
                <w:r w:rsidRPr="004C4CA6">
                  <w:rPr>
                    <w:rStyle w:val="Hyperlink"/>
                  </w:rPr>
                  <w:t>4.2.2.2.</w:t>
                </w:r>
                <w:r>
                  <w:rPr>
                    <w:rFonts w:asciiTheme="minorHAnsi" w:eastAsiaTheme="minorEastAsia" w:hAnsiTheme="minorHAnsi" w:cstheme="minorBidi"/>
                    <w:sz w:val="22"/>
                    <w:szCs w:val="22"/>
                    <w:lang w:val="en-US" w:eastAsia="en-US"/>
                  </w:rPr>
                  <w:tab/>
                </w:r>
                <w:r w:rsidRPr="004C4CA6">
                  <w:rPr>
                    <w:rStyle w:val="Hyperlink"/>
                  </w:rPr>
                  <w:t>Deforestation</w:t>
                </w:r>
                <w:r>
                  <w:rPr>
                    <w:webHidden/>
                  </w:rPr>
                  <w:tab/>
                </w:r>
                <w:r>
                  <w:rPr>
                    <w:webHidden/>
                  </w:rPr>
                  <w:fldChar w:fldCharType="begin"/>
                </w:r>
                <w:r>
                  <w:rPr>
                    <w:webHidden/>
                  </w:rPr>
                  <w:instrText xml:space="preserve"> PAGEREF _Toc519499939 \h </w:instrText>
                </w:r>
                <w:r>
                  <w:rPr>
                    <w:webHidden/>
                  </w:rPr>
                </w:r>
                <w:r>
                  <w:rPr>
                    <w:webHidden/>
                  </w:rPr>
                  <w:fldChar w:fldCharType="separate"/>
                </w:r>
                <w:r>
                  <w:rPr>
                    <w:webHidden/>
                  </w:rPr>
                  <w:t>308</w:t>
                </w:r>
                <w:r>
                  <w:rPr>
                    <w:webHidden/>
                  </w:rPr>
                  <w:fldChar w:fldCharType="end"/>
                </w:r>
              </w:hyperlink>
            </w:p>
            <w:p w14:paraId="4A3E1630" w14:textId="0EE20ED9"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40" w:history="1">
                <w:r w:rsidRPr="004C4CA6">
                  <w:rPr>
                    <w:rStyle w:val="Hyperlink"/>
                  </w:rPr>
                  <w:t>4.2.2.2.1.</w:t>
                </w:r>
                <w:r>
                  <w:rPr>
                    <w:rFonts w:asciiTheme="minorHAnsi" w:eastAsiaTheme="minorEastAsia" w:hAnsiTheme="minorHAnsi" w:cstheme="minorBidi"/>
                    <w:sz w:val="22"/>
                    <w:szCs w:val="22"/>
                    <w:lang w:val="en-US" w:eastAsia="en-US"/>
                  </w:rPr>
                  <w:tab/>
                </w:r>
                <w:r w:rsidRPr="004C4CA6">
                  <w:rPr>
                    <w:rStyle w:val="Hyperlink"/>
                  </w:rPr>
                  <w:t>Central Africa (Congo Basin)</w:t>
                </w:r>
                <w:r>
                  <w:rPr>
                    <w:webHidden/>
                  </w:rPr>
                  <w:tab/>
                </w:r>
                <w:r>
                  <w:rPr>
                    <w:webHidden/>
                  </w:rPr>
                  <w:fldChar w:fldCharType="begin"/>
                </w:r>
                <w:r>
                  <w:rPr>
                    <w:webHidden/>
                  </w:rPr>
                  <w:instrText xml:space="preserve"> PAGEREF _Toc519499940 \h </w:instrText>
                </w:r>
                <w:r>
                  <w:rPr>
                    <w:webHidden/>
                  </w:rPr>
                </w:r>
                <w:r>
                  <w:rPr>
                    <w:webHidden/>
                  </w:rPr>
                  <w:fldChar w:fldCharType="separate"/>
                </w:r>
                <w:r>
                  <w:rPr>
                    <w:webHidden/>
                  </w:rPr>
                  <w:t>310</w:t>
                </w:r>
                <w:r>
                  <w:rPr>
                    <w:webHidden/>
                  </w:rPr>
                  <w:fldChar w:fldCharType="end"/>
                </w:r>
              </w:hyperlink>
            </w:p>
            <w:p w14:paraId="4AE60FB8" w14:textId="68D60631"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41" w:history="1">
                <w:r w:rsidRPr="004C4CA6">
                  <w:rPr>
                    <w:rStyle w:val="Hyperlink"/>
                  </w:rPr>
                  <w:t>4.2.2.2.2.</w:t>
                </w:r>
                <w:r>
                  <w:rPr>
                    <w:rFonts w:asciiTheme="minorHAnsi" w:eastAsiaTheme="minorEastAsia" w:hAnsiTheme="minorHAnsi" w:cstheme="minorBidi"/>
                    <w:sz w:val="22"/>
                    <w:szCs w:val="22"/>
                    <w:lang w:val="en-US" w:eastAsia="en-US"/>
                  </w:rPr>
                  <w:tab/>
                </w:r>
                <w:r w:rsidRPr="004C4CA6">
                  <w:rPr>
                    <w:rStyle w:val="Hyperlink"/>
                  </w:rPr>
                  <w:t>West Africa</w:t>
                </w:r>
                <w:r>
                  <w:rPr>
                    <w:webHidden/>
                  </w:rPr>
                  <w:tab/>
                </w:r>
                <w:r>
                  <w:rPr>
                    <w:webHidden/>
                  </w:rPr>
                  <w:fldChar w:fldCharType="begin"/>
                </w:r>
                <w:r>
                  <w:rPr>
                    <w:webHidden/>
                  </w:rPr>
                  <w:instrText xml:space="preserve"> PAGEREF _Toc519499941 \h </w:instrText>
                </w:r>
                <w:r>
                  <w:rPr>
                    <w:webHidden/>
                  </w:rPr>
                </w:r>
                <w:r>
                  <w:rPr>
                    <w:webHidden/>
                  </w:rPr>
                  <w:fldChar w:fldCharType="separate"/>
                </w:r>
                <w:r>
                  <w:rPr>
                    <w:webHidden/>
                  </w:rPr>
                  <w:t>311</w:t>
                </w:r>
                <w:r>
                  <w:rPr>
                    <w:webHidden/>
                  </w:rPr>
                  <w:fldChar w:fldCharType="end"/>
                </w:r>
              </w:hyperlink>
            </w:p>
            <w:p w14:paraId="76F5EF57" w14:textId="768EE323"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42" w:history="1">
                <w:r w:rsidRPr="004C4CA6">
                  <w:rPr>
                    <w:rStyle w:val="Hyperlink"/>
                  </w:rPr>
                  <w:t>4.2.2.2.3.</w:t>
                </w:r>
                <w:r>
                  <w:rPr>
                    <w:rFonts w:asciiTheme="minorHAnsi" w:eastAsiaTheme="minorEastAsia" w:hAnsiTheme="minorHAnsi" w:cstheme="minorBidi"/>
                    <w:sz w:val="22"/>
                    <w:szCs w:val="22"/>
                    <w:lang w:val="en-US" w:eastAsia="en-US"/>
                  </w:rPr>
                  <w:tab/>
                </w:r>
                <w:r w:rsidRPr="004C4CA6">
                  <w:rPr>
                    <w:rStyle w:val="Hyperlink"/>
                  </w:rPr>
                  <w:t>Southern Africa</w:t>
                </w:r>
                <w:r>
                  <w:rPr>
                    <w:webHidden/>
                  </w:rPr>
                  <w:tab/>
                </w:r>
                <w:r>
                  <w:rPr>
                    <w:webHidden/>
                  </w:rPr>
                  <w:fldChar w:fldCharType="begin"/>
                </w:r>
                <w:r>
                  <w:rPr>
                    <w:webHidden/>
                  </w:rPr>
                  <w:instrText xml:space="preserve"> PAGEREF _Toc519499942 \h </w:instrText>
                </w:r>
                <w:r>
                  <w:rPr>
                    <w:webHidden/>
                  </w:rPr>
                </w:r>
                <w:r>
                  <w:rPr>
                    <w:webHidden/>
                  </w:rPr>
                  <w:fldChar w:fldCharType="separate"/>
                </w:r>
                <w:r>
                  <w:rPr>
                    <w:webHidden/>
                  </w:rPr>
                  <w:t>311</w:t>
                </w:r>
                <w:r>
                  <w:rPr>
                    <w:webHidden/>
                  </w:rPr>
                  <w:fldChar w:fldCharType="end"/>
                </w:r>
              </w:hyperlink>
            </w:p>
            <w:p w14:paraId="53EBD337" w14:textId="1C64E48B"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43" w:history="1">
                <w:r w:rsidRPr="004C4CA6">
                  <w:rPr>
                    <w:rStyle w:val="Hyperlink"/>
                  </w:rPr>
                  <w:t>4.2.2.2.4.</w:t>
                </w:r>
                <w:r>
                  <w:rPr>
                    <w:rFonts w:asciiTheme="minorHAnsi" w:eastAsiaTheme="minorEastAsia" w:hAnsiTheme="minorHAnsi" w:cstheme="minorBidi"/>
                    <w:sz w:val="22"/>
                    <w:szCs w:val="22"/>
                    <w:lang w:val="en-US" w:eastAsia="en-US"/>
                  </w:rPr>
                  <w:tab/>
                </w:r>
                <w:r w:rsidRPr="004C4CA6">
                  <w:rPr>
                    <w:rStyle w:val="Hyperlink"/>
                  </w:rPr>
                  <w:t>East Africa and adjacent islands</w:t>
                </w:r>
                <w:r>
                  <w:rPr>
                    <w:webHidden/>
                  </w:rPr>
                  <w:tab/>
                </w:r>
                <w:r>
                  <w:rPr>
                    <w:webHidden/>
                  </w:rPr>
                  <w:fldChar w:fldCharType="begin"/>
                </w:r>
                <w:r>
                  <w:rPr>
                    <w:webHidden/>
                  </w:rPr>
                  <w:instrText xml:space="preserve"> PAGEREF _Toc519499943 \h </w:instrText>
                </w:r>
                <w:r>
                  <w:rPr>
                    <w:webHidden/>
                  </w:rPr>
                </w:r>
                <w:r>
                  <w:rPr>
                    <w:webHidden/>
                  </w:rPr>
                  <w:fldChar w:fldCharType="separate"/>
                </w:r>
                <w:r>
                  <w:rPr>
                    <w:webHidden/>
                  </w:rPr>
                  <w:t>312</w:t>
                </w:r>
                <w:r>
                  <w:rPr>
                    <w:webHidden/>
                  </w:rPr>
                  <w:fldChar w:fldCharType="end"/>
                </w:r>
              </w:hyperlink>
            </w:p>
            <w:p w14:paraId="1912D381" w14:textId="288C1359"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44" w:history="1">
                <w:r w:rsidRPr="004C4CA6">
                  <w:rPr>
                    <w:rStyle w:val="Hyperlink"/>
                  </w:rPr>
                  <w:t>4.2.2.3.</w:t>
                </w:r>
                <w:r>
                  <w:rPr>
                    <w:rFonts w:asciiTheme="minorHAnsi" w:eastAsiaTheme="minorEastAsia" w:hAnsiTheme="minorHAnsi" w:cstheme="minorBidi"/>
                    <w:sz w:val="22"/>
                    <w:szCs w:val="22"/>
                    <w:lang w:val="en-US" w:eastAsia="en-US"/>
                  </w:rPr>
                  <w:tab/>
                </w:r>
                <w:r w:rsidRPr="004C4CA6">
                  <w:rPr>
                    <w:rStyle w:val="Hyperlink"/>
                  </w:rPr>
                  <w:t>Climate change</w:t>
                </w:r>
                <w:r>
                  <w:rPr>
                    <w:webHidden/>
                  </w:rPr>
                  <w:tab/>
                </w:r>
                <w:r>
                  <w:rPr>
                    <w:webHidden/>
                  </w:rPr>
                  <w:fldChar w:fldCharType="begin"/>
                </w:r>
                <w:r>
                  <w:rPr>
                    <w:webHidden/>
                  </w:rPr>
                  <w:instrText xml:space="preserve"> PAGEREF _Toc519499944 \h </w:instrText>
                </w:r>
                <w:r>
                  <w:rPr>
                    <w:webHidden/>
                  </w:rPr>
                </w:r>
                <w:r>
                  <w:rPr>
                    <w:webHidden/>
                  </w:rPr>
                  <w:fldChar w:fldCharType="separate"/>
                </w:r>
                <w:r>
                  <w:rPr>
                    <w:webHidden/>
                  </w:rPr>
                  <w:t>314</w:t>
                </w:r>
                <w:r>
                  <w:rPr>
                    <w:webHidden/>
                  </w:rPr>
                  <w:fldChar w:fldCharType="end"/>
                </w:r>
              </w:hyperlink>
            </w:p>
            <w:p w14:paraId="0248AC45" w14:textId="41226E94"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45" w:history="1">
                <w:r w:rsidRPr="004C4CA6">
                  <w:rPr>
                    <w:rStyle w:val="Hyperlink"/>
                  </w:rPr>
                  <w:t>4.2.2.3.1.</w:t>
                </w:r>
                <w:r>
                  <w:rPr>
                    <w:rFonts w:asciiTheme="minorHAnsi" w:eastAsiaTheme="minorEastAsia" w:hAnsiTheme="minorHAnsi" w:cstheme="minorBidi"/>
                    <w:sz w:val="22"/>
                    <w:szCs w:val="22"/>
                    <w:lang w:val="en-US" w:eastAsia="en-US"/>
                  </w:rPr>
                  <w:tab/>
                </w:r>
                <w:r w:rsidRPr="004C4CA6">
                  <w:rPr>
                    <w:rStyle w:val="Hyperlink"/>
                  </w:rPr>
                  <w:t>Future climate change dynamics</w:t>
                </w:r>
                <w:r>
                  <w:rPr>
                    <w:webHidden/>
                  </w:rPr>
                  <w:tab/>
                </w:r>
                <w:r>
                  <w:rPr>
                    <w:webHidden/>
                  </w:rPr>
                  <w:fldChar w:fldCharType="begin"/>
                </w:r>
                <w:r>
                  <w:rPr>
                    <w:webHidden/>
                  </w:rPr>
                  <w:instrText xml:space="preserve"> PAGEREF _Toc519499945 \h </w:instrText>
                </w:r>
                <w:r>
                  <w:rPr>
                    <w:webHidden/>
                  </w:rPr>
                </w:r>
                <w:r>
                  <w:rPr>
                    <w:webHidden/>
                  </w:rPr>
                  <w:fldChar w:fldCharType="separate"/>
                </w:r>
                <w:r>
                  <w:rPr>
                    <w:webHidden/>
                  </w:rPr>
                  <w:t>320</w:t>
                </w:r>
                <w:r>
                  <w:rPr>
                    <w:webHidden/>
                  </w:rPr>
                  <w:fldChar w:fldCharType="end"/>
                </w:r>
              </w:hyperlink>
            </w:p>
            <w:p w14:paraId="39059395" w14:textId="12B800C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46" w:history="1">
                <w:r w:rsidRPr="004C4CA6">
                  <w:rPr>
                    <w:rStyle w:val="Hyperlink"/>
                  </w:rPr>
                  <w:t>4.2.2.4.</w:t>
                </w:r>
                <w:r>
                  <w:rPr>
                    <w:rFonts w:asciiTheme="minorHAnsi" w:eastAsiaTheme="minorEastAsia" w:hAnsiTheme="minorHAnsi" w:cstheme="minorBidi"/>
                    <w:sz w:val="22"/>
                    <w:szCs w:val="22"/>
                    <w:lang w:val="en-US" w:eastAsia="en-US"/>
                  </w:rPr>
                  <w:tab/>
                </w:r>
                <w:r w:rsidRPr="004C4CA6">
                  <w:rPr>
                    <w:rStyle w:val="Hyperlink"/>
                  </w:rPr>
                  <w:t>Overexploitation</w:t>
                </w:r>
                <w:r>
                  <w:rPr>
                    <w:webHidden/>
                  </w:rPr>
                  <w:tab/>
                </w:r>
                <w:r>
                  <w:rPr>
                    <w:webHidden/>
                  </w:rPr>
                  <w:fldChar w:fldCharType="begin"/>
                </w:r>
                <w:r>
                  <w:rPr>
                    <w:webHidden/>
                  </w:rPr>
                  <w:instrText xml:space="preserve"> PAGEREF _Toc519499946 \h </w:instrText>
                </w:r>
                <w:r>
                  <w:rPr>
                    <w:webHidden/>
                  </w:rPr>
                </w:r>
                <w:r>
                  <w:rPr>
                    <w:webHidden/>
                  </w:rPr>
                  <w:fldChar w:fldCharType="separate"/>
                </w:r>
                <w:r>
                  <w:rPr>
                    <w:webHidden/>
                  </w:rPr>
                  <w:t>322</w:t>
                </w:r>
                <w:r>
                  <w:rPr>
                    <w:webHidden/>
                  </w:rPr>
                  <w:fldChar w:fldCharType="end"/>
                </w:r>
              </w:hyperlink>
            </w:p>
            <w:p w14:paraId="25FB7DAB" w14:textId="592F446C"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47" w:history="1">
                <w:r w:rsidRPr="004C4CA6">
                  <w:rPr>
                    <w:rStyle w:val="Hyperlink"/>
                  </w:rPr>
                  <w:t>4.2.2.4.1.</w:t>
                </w:r>
                <w:r>
                  <w:rPr>
                    <w:rFonts w:asciiTheme="minorHAnsi" w:eastAsiaTheme="minorEastAsia" w:hAnsiTheme="minorHAnsi" w:cstheme="minorBidi"/>
                    <w:sz w:val="22"/>
                    <w:szCs w:val="22"/>
                    <w:lang w:val="en-US" w:eastAsia="en-US"/>
                  </w:rPr>
                  <w:tab/>
                </w:r>
                <w:r w:rsidRPr="004C4CA6">
                  <w:rPr>
                    <w:rStyle w:val="Hyperlink"/>
                  </w:rPr>
                  <w:t>Rangeland degradation due to overgrazing</w:t>
                </w:r>
                <w:r>
                  <w:rPr>
                    <w:webHidden/>
                  </w:rPr>
                  <w:tab/>
                </w:r>
                <w:r>
                  <w:rPr>
                    <w:webHidden/>
                  </w:rPr>
                  <w:fldChar w:fldCharType="begin"/>
                </w:r>
                <w:r>
                  <w:rPr>
                    <w:webHidden/>
                  </w:rPr>
                  <w:instrText xml:space="preserve"> PAGEREF _Toc519499947 \h </w:instrText>
                </w:r>
                <w:r>
                  <w:rPr>
                    <w:webHidden/>
                  </w:rPr>
                </w:r>
                <w:r>
                  <w:rPr>
                    <w:webHidden/>
                  </w:rPr>
                  <w:fldChar w:fldCharType="separate"/>
                </w:r>
                <w:r>
                  <w:rPr>
                    <w:webHidden/>
                  </w:rPr>
                  <w:t>322</w:t>
                </w:r>
                <w:r>
                  <w:rPr>
                    <w:webHidden/>
                  </w:rPr>
                  <w:fldChar w:fldCharType="end"/>
                </w:r>
              </w:hyperlink>
            </w:p>
            <w:p w14:paraId="3C10DEFD" w14:textId="15C28359"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48" w:history="1">
                <w:r w:rsidRPr="004C4CA6">
                  <w:rPr>
                    <w:rStyle w:val="Hyperlink"/>
                  </w:rPr>
                  <w:t>4.2.2.4.2.</w:t>
                </w:r>
                <w:r>
                  <w:rPr>
                    <w:rFonts w:asciiTheme="minorHAnsi" w:eastAsiaTheme="minorEastAsia" w:hAnsiTheme="minorHAnsi" w:cstheme="minorBidi"/>
                    <w:sz w:val="22"/>
                    <w:szCs w:val="22"/>
                    <w:lang w:val="en-US" w:eastAsia="en-US"/>
                  </w:rPr>
                  <w:tab/>
                </w:r>
                <w:r w:rsidRPr="004C4CA6">
                  <w:rPr>
                    <w:rStyle w:val="Hyperlink"/>
                  </w:rPr>
                  <w:t>Overharvesting</w:t>
                </w:r>
                <w:r>
                  <w:rPr>
                    <w:webHidden/>
                  </w:rPr>
                  <w:tab/>
                </w:r>
                <w:r>
                  <w:rPr>
                    <w:webHidden/>
                  </w:rPr>
                  <w:fldChar w:fldCharType="begin"/>
                </w:r>
                <w:r>
                  <w:rPr>
                    <w:webHidden/>
                  </w:rPr>
                  <w:instrText xml:space="preserve"> PAGEREF _Toc519499948 \h </w:instrText>
                </w:r>
                <w:r>
                  <w:rPr>
                    <w:webHidden/>
                  </w:rPr>
                </w:r>
                <w:r>
                  <w:rPr>
                    <w:webHidden/>
                  </w:rPr>
                  <w:fldChar w:fldCharType="separate"/>
                </w:r>
                <w:r>
                  <w:rPr>
                    <w:webHidden/>
                  </w:rPr>
                  <w:t>323</w:t>
                </w:r>
                <w:r>
                  <w:rPr>
                    <w:webHidden/>
                  </w:rPr>
                  <w:fldChar w:fldCharType="end"/>
                </w:r>
              </w:hyperlink>
            </w:p>
            <w:p w14:paraId="6E476FE4" w14:textId="37714F9C"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49" w:history="1">
                <w:r w:rsidRPr="004C4CA6">
                  <w:rPr>
                    <w:rStyle w:val="Hyperlink"/>
                  </w:rPr>
                  <w:t>4.2.2.4.3.</w:t>
                </w:r>
                <w:r>
                  <w:rPr>
                    <w:rFonts w:asciiTheme="minorHAnsi" w:eastAsiaTheme="minorEastAsia" w:hAnsiTheme="minorHAnsi" w:cstheme="minorBidi"/>
                    <w:sz w:val="22"/>
                    <w:szCs w:val="22"/>
                    <w:lang w:val="en-US" w:eastAsia="en-US"/>
                  </w:rPr>
                  <w:tab/>
                </w:r>
                <w:r w:rsidRPr="004C4CA6">
                  <w:rPr>
                    <w:rStyle w:val="Hyperlink"/>
                  </w:rPr>
                  <w:t>Wildlife poaching</w:t>
                </w:r>
                <w:r>
                  <w:rPr>
                    <w:webHidden/>
                  </w:rPr>
                  <w:tab/>
                </w:r>
                <w:r>
                  <w:rPr>
                    <w:webHidden/>
                  </w:rPr>
                  <w:fldChar w:fldCharType="begin"/>
                </w:r>
                <w:r>
                  <w:rPr>
                    <w:webHidden/>
                  </w:rPr>
                  <w:instrText xml:space="preserve"> PAGEREF _Toc519499949 \h </w:instrText>
                </w:r>
                <w:r>
                  <w:rPr>
                    <w:webHidden/>
                  </w:rPr>
                </w:r>
                <w:r>
                  <w:rPr>
                    <w:webHidden/>
                  </w:rPr>
                  <w:fldChar w:fldCharType="separate"/>
                </w:r>
                <w:r>
                  <w:rPr>
                    <w:webHidden/>
                  </w:rPr>
                  <w:t>325</w:t>
                </w:r>
                <w:r>
                  <w:rPr>
                    <w:webHidden/>
                  </w:rPr>
                  <w:fldChar w:fldCharType="end"/>
                </w:r>
              </w:hyperlink>
            </w:p>
            <w:p w14:paraId="459C71D1" w14:textId="71ADEAF7"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50" w:history="1">
                <w:r w:rsidRPr="004C4CA6">
                  <w:rPr>
                    <w:rStyle w:val="Hyperlink"/>
                  </w:rPr>
                  <w:t>4.2.2.4.4.</w:t>
                </w:r>
                <w:r>
                  <w:rPr>
                    <w:rFonts w:asciiTheme="minorHAnsi" w:eastAsiaTheme="minorEastAsia" w:hAnsiTheme="minorHAnsi" w:cstheme="minorBidi"/>
                    <w:sz w:val="22"/>
                    <w:szCs w:val="22"/>
                    <w:lang w:val="en-US" w:eastAsia="en-US"/>
                  </w:rPr>
                  <w:tab/>
                </w:r>
                <w:r w:rsidRPr="004C4CA6">
                  <w:rPr>
                    <w:rStyle w:val="Hyperlink"/>
                  </w:rPr>
                  <w:t>Overfishing</w:t>
                </w:r>
                <w:r>
                  <w:rPr>
                    <w:webHidden/>
                  </w:rPr>
                  <w:tab/>
                </w:r>
                <w:r>
                  <w:rPr>
                    <w:webHidden/>
                  </w:rPr>
                  <w:fldChar w:fldCharType="begin"/>
                </w:r>
                <w:r>
                  <w:rPr>
                    <w:webHidden/>
                  </w:rPr>
                  <w:instrText xml:space="preserve"> PAGEREF _Toc519499950 \h </w:instrText>
                </w:r>
                <w:r>
                  <w:rPr>
                    <w:webHidden/>
                  </w:rPr>
                </w:r>
                <w:r>
                  <w:rPr>
                    <w:webHidden/>
                  </w:rPr>
                  <w:fldChar w:fldCharType="separate"/>
                </w:r>
                <w:r>
                  <w:rPr>
                    <w:webHidden/>
                  </w:rPr>
                  <w:t>328</w:t>
                </w:r>
                <w:r>
                  <w:rPr>
                    <w:webHidden/>
                  </w:rPr>
                  <w:fldChar w:fldCharType="end"/>
                </w:r>
              </w:hyperlink>
            </w:p>
            <w:p w14:paraId="1DC73FA9" w14:textId="473FC3AD"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51" w:history="1">
                <w:r w:rsidRPr="004C4CA6">
                  <w:rPr>
                    <w:rStyle w:val="Hyperlink"/>
                  </w:rPr>
                  <w:t>4.2.2.5.</w:t>
                </w:r>
                <w:r>
                  <w:rPr>
                    <w:rFonts w:asciiTheme="minorHAnsi" w:eastAsiaTheme="minorEastAsia" w:hAnsiTheme="minorHAnsi" w:cstheme="minorBidi"/>
                    <w:sz w:val="22"/>
                    <w:szCs w:val="22"/>
                    <w:lang w:val="en-US" w:eastAsia="en-US"/>
                  </w:rPr>
                  <w:tab/>
                </w:r>
                <w:r w:rsidRPr="004C4CA6">
                  <w:rPr>
                    <w:rStyle w:val="Hyperlink"/>
                  </w:rPr>
                  <w:t>Invasive Alien Species</w:t>
                </w:r>
                <w:r>
                  <w:rPr>
                    <w:webHidden/>
                  </w:rPr>
                  <w:tab/>
                </w:r>
                <w:r>
                  <w:rPr>
                    <w:webHidden/>
                  </w:rPr>
                  <w:fldChar w:fldCharType="begin"/>
                </w:r>
                <w:r>
                  <w:rPr>
                    <w:webHidden/>
                  </w:rPr>
                  <w:instrText xml:space="preserve"> PAGEREF _Toc519499951 \h </w:instrText>
                </w:r>
                <w:r>
                  <w:rPr>
                    <w:webHidden/>
                  </w:rPr>
                </w:r>
                <w:r>
                  <w:rPr>
                    <w:webHidden/>
                  </w:rPr>
                  <w:fldChar w:fldCharType="separate"/>
                </w:r>
                <w:r>
                  <w:rPr>
                    <w:webHidden/>
                  </w:rPr>
                  <w:t>329</w:t>
                </w:r>
                <w:r>
                  <w:rPr>
                    <w:webHidden/>
                  </w:rPr>
                  <w:fldChar w:fldCharType="end"/>
                </w:r>
              </w:hyperlink>
            </w:p>
            <w:p w14:paraId="7FE1FCF9" w14:textId="744C20ED"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52" w:history="1">
                <w:r w:rsidRPr="004C4CA6">
                  <w:rPr>
                    <w:rStyle w:val="Hyperlink"/>
                  </w:rPr>
                  <w:t>4.2.2.5.1.</w:t>
                </w:r>
                <w:r>
                  <w:rPr>
                    <w:rFonts w:asciiTheme="minorHAnsi" w:eastAsiaTheme="minorEastAsia" w:hAnsiTheme="minorHAnsi" w:cstheme="minorBidi"/>
                    <w:sz w:val="22"/>
                    <w:szCs w:val="22"/>
                    <w:lang w:val="en-US" w:eastAsia="en-US"/>
                  </w:rPr>
                  <w:tab/>
                </w:r>
                <w:r w:rsidRPr="004C4CA6">
                  <w:rPr>
                    <w:rStyle w:val="Hyperlink"/>
                  </w:rPr>
                  <w:t>Treaties and conventions for a regional collaboration to deal with invasive alien species in Africa</w:t>
                </w:r>
                <w:r>
                  <w:rPr>
                    <w:webHidden/>
                  </w:rPr>
                  <w:tab/>
                </w:r>
                <w:r>
                  <w:rPr>
                    <w:webHidden/>
                  </w:rPr>
                  <w:fldChar w:fldCharType="begin"/>
                </w:r>
                <w:r>
                  <w:rPr>
                    <w:webHidden/>
                  </w:rPr>
                  <w:instrText xml:space="preserve"> PAGEREF _Toc519499952 \h </w:instrText>
                </w:r>
                <w:r>
                  <w:rPr>
                    <w:webHidden/>
                  </w:rPr>
                </w:r>
                <w:r>
                  <w:rPr>
                    <w:webHidden/>
                  </w:rPr>
                  <w:fldChar w:fldCharType="separate"/>
                </w:r>
                <w:r>
                  <w:rPr>
                    <w:webHidden/>
                  </w:rPr>
                  <w:t>329</w:t>
                </w:r>
                <w:r>
                  <w:rPr>
                    <w:webHidden/>
                  </w:rPr>
                  <w:fldChar w:fldCharType="end"/>
                </w:r>
              </w:hyperlink>
            </w:p>
            <w:p w14:paraId="1BB2E0B5" w14:textId="422613B6"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53" w:history="1">
                <w:r w:rsidRPr="004C4CA6">
                  <w:rPr>
                    <w:rStyle w:val="Hyperlink"/>
                  </w:rPr>
                  <w:t>4.2.2.5.2.</w:t>
                </w:r>
                <w:r>
                  <w:rPr>
                    <w:rFonts w:asciiTheme="minorHAnsi" w:eastAsiaTheme="minorEastAsia" w:hAnsiTheme="minorHAnsi" w:cstheme="minorBidi"/>
                    <w:sz w:val="22"/>
                    <w:szCs w:val="22"/>
                    <w:lang w:val="en-US" w:eastAsia="en-US"/>
                  </w:rPr>
                  <w:tab/>
                </w:r>
                <w:r w:rsidRPr="004C4CA6">
                  <w:rPr>
                    <w:rStyle w:val="Hyperlink"/>
                  </w:rPr>
                  <w:t>The main types of invasive alien species impacting biodiversity and ecosystem services in Africa</w:t>
                </w:r>
                <w:r>
                  <w:rPr>
                    <w:webHidden/>
                  </w:rPr>
                  <w:tab/>
                </w:r>
                <w:r>
                  <w:rPr>
                    <w:webHidden/>
                  </w:rPr>
                  <w:fldChar w:fldCharType="begin"/>
                </w:r>
                <w:r>
                  <w:rPr>
                    <w:webHidden/>
                  </w:rPr>
                  <w:instrText xml:space="preserve"> PAGEREF _Toc519499953 \h </w:instrText>
                </w:r>
                <w:r>
                  <w:rPr>
                    <w:webHidden/>
                  </w:rPr>
                </w:r>
                <w:r>
                  <w:rPr>
                    <w:webHidden/>
                  </w:rPr>
                  <w:fldChar w:fldCharType="separate"/>
                </w:r>
                <w:r>
                  <w:rPr>
                    <w:webHidden/>
                  </w:rPr>
                  <w:t>330</w:t>
                </w:r>
                <w:r>
                  <w:rPr>
                    <w:webHidden/>
                  </w:rPr>
                  <w:fldChar w:fldCharType="end"/>
                </w:r>
              </w:hyperlink>
            </w:p>
            <w:p w14:paraId="38634A29" w14:textId="309D0E18"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54" w:history="1">
                <w:r w:rsidRPr="004C4CA6">
                  <w:rPr>
                    <w:rStyle w:val="Hyperlink"/>
                  </w:rPr>
                  <w:t>4.2.2.5.3.</w:t>
                </w:r>
                <w:r>
                  <w:rPr>
                    <w:rFonts w:asciiTheme="minorHAnsi" w:eastAsiaTheme="minorEastAsia" w:hAnsiTheme="minorHAnsi" w:cstheme="minorBidi"/>
                    <w:sz w:val="22"/>
                    <w:szCs w:val="22"/>
                    <w:lang w:val="en-US" w:eastAsia="en-US"/>
                  </w:rPr>
                  <w:tab/>
                </w:r>
                <w:r w:rsidRPr="004C4CA6">
                  <w:rPr>
                    <w:rStyle w:val="Hyperlink"/>
                  </w:rPr>
                  <w:t>Assessment of impacts of invasive alien species on biodiversity and ecosystem services in Africa</w:t>
                </w:r>
                <w:r>
                  <w:rPr>
                    <w:webHidden/>
                  </w:rPr>
                  <w:tab/>
                </w:r>
                <w:r>
                  <w:rPr>
                    <w:webHidden/>
                  </w:rPr>
                  <w:fldChar w:fldCharType="begin"/>
                </w:r>
                <w:r>
                  <w:rPr>
                    <w:webHidden/>
                  </w:rPr>
                  <w:instrText xml:space="preserve"> PAGEREF _Toc519499954 \h </w:instrText>
                </w:r>
                <w:r>
                  <w:rPr>
                    <w:webHidden/>
                  </w:rPr>
                </w:r>
                <w:r>
                  <w:rPr>
                    <w:webHidden/>
                  </w:rPr>
                  <w:fldChar w:fldCharType="separate"/>
                </w:r>
                <w:r>
                  <w:rPr>
                    <w:webHidden/>
                  </w:rPr>
                  <w:t>330</w:t>
                </w:r>
                <w:r>
                  <w:rPr>
                    <w:webHidden/>
                  </w:rPr>
                  <w:fldChar w:fldCharType="end"/>
                </w:r>
              </w:hyperlink>
            </w:p>
            <w:p w14:paraId="5420C888" w14:textId="46E843C0"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55" w:history="1">
                <w:r w:rsidRPr="004C4CA6">
                  <w:rPr>
                    <w:rStyle w:val="Hyperlink"/>
                  </w:rPr>
                  <w:t>4.2.2.6.</w:t>
                </w:r>
                <w:r>
                  <w:rPr>
                    <w:rFonts w:asciiTheme="minorHAnsi" w:eastAsiaTheme="minorEastAsia" w:hAnsiTheme="minorHAnsi" w:cstheme="minorBidi"/>
                    <w:sz w:val="22"/>
                    <w:szCs w:val="22"/>
                    <w:lang w:val="en-US" w:eastAsia="en-US"/>
                  </w:rPr>
                  <w:tab/>
                </w:r>
                <w:r w:rsidRPr="004C4CA6">
                  <w:rPr>
                    <w:rStyle w:val="Hyperlink"/>
                  </w:rPr>
                  <w:t>Pollution (soil, water, air)</w:t>
                </w:r>
                <w:r>
                  <w:rPr>
                    <w:webHidden/>
                  </w:rPr>
                  <w:tab/>
                </w:r>
                <w:r>
                  <w:rPr>
                    <w:webHidden/>
                  </w:rPr>
                  <w:fldChar w:fldCharType="begin"/>
                </w:r>
                <w:r>
                  <w:rPr>
                    <w:webHidden/>
                  </w:rPr>
                  <w:instrText xml:space="preserve"> PAGEREF _Toc519499955 \h </w:instrText>
                </w:r>
                <w:r>
                  <w:rPr>
                    <w:webHidden/>
                  </w:rPr>
                </w:r>
                <w:r>
                  <w:rPr>
                    <w:webHidden/>
                  </w:rPr>
                  <w:fldChar w:fldCharType="separate"/>
                </w:r>
                <w:r>
                  <w:rPr>
                    <w:webHidden/>
                  </w:rPr>
                  <w:t>334</w:t>
                </w:r>
                <w:r>
                  <w:rPr>
                    <w:webHidden/>
                  </w:rPr>
                  <w:fldChar w:fldCharType="end"/>
                </w:r>
              </w:hyperlink>
            </w:p>
            <w:p w14:paraId="08B9E7BF" w14:textId="1ED2C5C6"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56" w:history="1">
                <w:r w:rsidRPr="004C4CA6">
                  <w:rPr>
                    <w:rStyle w:val="Hyperlink"/>
                  </w:rPr>
                  <w:t>4.2.2.6.1.</w:t>
                </w:r>
                <w:r>
                  <w:rPr>
                    <w:rFonts w:asciiTheme="minorHAnsi" w:eastAsiaTheme="minorEastAsia" w:hAnsiTheme="minorHAnsi" w:cstheme="minorBidi"/>
                    <w:sz w:val="22"/>
                    <w:szCs w:val="22"/>
                    <w:lang w:val="en-US" w:eastAsia="en-US"/>
                  </w:rPr>
                  <w:tab/>
                </w:r>
                <w:r w:rsidRPr="004C4CA6">
                  <w:rPr>
                    <w:rStyle w:val="Hyperlink"/>
                  </w:rPr>
                  <w:t>Soil Pollution</w:t>
                </w:r>
                <w:r>
                  <w:rPr>
                    <w:webHidden/>
                  </w:rPr>
                  <w:tab/>
                </w:r>
                <w:r>
                  <w:rPr>
                    <w:webHidden/>
                  </w:rPr>
                  <w:fldChar w:fldCharType="begin"/>
                </w:r>
                <w:r>
                  <w:rPr>
                    <w:webHidden/>
                  </w:rPr>
                  <w:instrText xml:space="preserve"> PAGEREF _Toc519499956 \h </w:instrText>
                </w:r>
                <w:r>
                  <w:rPr>
                    <w:webHidden/>
                  </w:rPr>
                </w:r>
                <w:r>
                  <w:rPr>
                    <w:webHidden/>
                  </w:rPr>
                  <w:fldChar w:fldCharType="separate"/>
                </w:r>
                <w:r>
                  <w:rPr>
                    <w:webHidden/>
                  </w:rPr>
                  <w:t>334</w:t>
                </w:r>
                <w:r>
                  <w:rPr>
                    <w:webHidden/>
                  </w:rPr>
                  <w:fldChar w:fldCharType="end"/>
                </w:r>
              </w:hyperlink>
            </w:p>
            <w:p w14:paraId="5EFC31CC" w14:textId="4ABF6202"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57" w:history="1">
                <w:r w:rsidRPr="004C4CA6">
                  <w:rPr>
                    <w:rStyle w:val="Hyperlink"/>
                  </w:rPr>
                  <w:t>4.2.2.6.2.</w:t>
                </w:r>
                <w:r>
                  <w:rPr>
                    <w:rFonts w:asciiTheme="minorHAnsi" w:eastAsiaTheme="minorEastAsia" w:hAnsiTheme="minorHAnsi" w:cstheme="minorBidi"/>
                    <w:sz w:val="22"/>
                    <w:szCs w:val="22"/>
                    <w:lang w:val="en-US" w:eastAsia="en-US"/>
                  </w:rPr>
                  <w:tab/>
                </w:r>
                <w:r w:rsidRPr="004C4CA6">
                  <w:rPr>
                    <w:rStyle w:val="Hyperlink"/>
                  </w:rPr>
                  <w:t>Water Pollution</w:t>
                </w:r>
                <w:r>
                  <w:rPr>
                    <w:webHidden/>
                  </w:rPr>
                  <w:tab/>
                </w:r>
                <w:r>
                  <w:rPr>
                    <w:webHidden/>
                  </w:rPr>
                  <w:fldChar w:fldCharType="begin"/>
                </w:r>
                <w:r>
                  <w:rPr>
                    <w:webHidden/>
                  </w:rPr>
                  <w:instrText xml:space="preserve"> PAGEREF _Toc519499957 \h </w:instrText>
                </w:r>
                <w:r>
                  <w:rPr>
                    <w:webHidden/>
                  </w:rPr>
                </w:r>
                <w:r>
                  <w:rPr>
                    <w:webHidden/>
                  </w:rPr>
                  <w:fldChar w:fldCharType="separate"/>
                </w:r>
                <w:r>
                  <w:rPr>
                    <w:webHidden/>
                  </w:rPr>
                  <w:t>335</w:t>
                </w:r>
                <w:r>
                  <w:rPr>
                    <w:webHidden/>
                  </w:rPr>
                  <w:fldChar w:fldCharType="end"/>
                </w:r>
              </w:hyperlink>
            </w:p>
            <w:p w14:paraId="0C0F4DC8" w14:textId="112B61B9"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58" w:history="1">
                <w:r w:rsidRPr="004C4CA6">
                  <w:rPr>
                    <w:rStyle w:val="Hyperlink"/>
                  </w:rPr>
                  <w:t>4.2.2.6.3.</w:t>
                </w:r>
                <w:r>
                  <w:rPr>
                    <w:rFonts w:asciiTheme="minorHAnsi" w:eastAsiaTheme="minorEastAsia" w:hAnsiTheme="minorHAnsi" w:cstheme="minorBidi"/>
                    <w:sz w:val="22"/>
                    <w:szCs w:val="22"/>
                    <w:lang w:val="en-US" w:eastAsia="en-US"/>
                  </w:rPr>
                  <w:tab/>
                </w:r>
                <w:r w:rsidRPr="004C4CA6">
                  <w:rPr>
                    <w:rStyle w:val="Hyperlink"/>
                  </w:rPr>
                  <w:t>Air Pollution</w:t>
                </w:r>
                <w:r>
                  <w:rPr>
                    <w:webHidden/>
                  </w:rPr>
                  <w:tab/>
                </w:r>
                <w:r>
                  <w:rPr>
                    <w:webHidden/>
                  </w:rPr>
                  <w:fldChar w:fldCharType="begin"/>
                </w:r>
                <w:r>
                  <w:rPr>
                    <w:webHidden/>
                  </w:rPr>
                  <w:instrText xml:space="preserve"> PAGEREF _Toc519499958 \h </w:instrText>
                </w:r>
                <w:r>
                  <w:rPr>
                    <w:webHidden/>
                  </w:rPr>
                </w:r>
                <w:r>
                  <w:rPr>
                    <w:webHidden/>
                  </w:rPr>
                  <w:fldChar w:fldCharType="separate"/>
                </w:r>
                <w:r>
                  <w:rPr>
                    <w:webHidden/>
                  </w:rPr>
                  <w:t>337</w:t>
                </w:r>
                <w:r>
                  <w:rPr>
                    <w:webHidden/>
                  </w:rPr>
                  <w:fldChar w:fldCharType="end"/>
                </w:r>
              </w:hyperlink>
            </w:p>
            <w:p w14:paraId="4227AFFF" w14:textId="5BFFDED8" w:rsidR="00DA6432" w:rsidRDefault="00DA6432">
              <w:pPr>
                <w:pStyle w:val="TOC3"/>
                <w:rPr>
                  <w:rFonts w:asciiTheme="minorHAnsi" w:eastAsiaTheme="minorEastAsia" w:hAnsiTheme="minorHAnsi" w:cstheme="minorBidi"/>
                  <w:noProof/>
                  <w:color w:val="auto"/>
                  <w:lang w:val="en-US" w:eastAsia="en-US"/>
                </w:rPr>
              </w:pPr>
              <w:hyperlink w:anchor="_Toc519499959" w:history="1">
                <w:r w:rsidRPr="004C4CA6">
                  <w:rPr>
                    <w:rStyle w:val="Hyperlink"/>
                    <w:rFonts w:cs="Times New Roman"/>
                    <w:noProof/>
                  </w:rPr>
                  <w:t>4.3.</w:t>
                </w:r>
                <w:r>
                  <w:rPr>
                    <w:rFonts w:asciiTheme="minorHAnsi" w:eastAsiaTheme="minorEastAsia" w:hAnsiTheme="minorHAnsi" w:cstheme="minorBidi"/>
                    <w:noProof/>
                    <w:color w:val="auto"/>
                    <w:lang w:val="en-US" w:eastAsia="en-US"/>
                  </w:rPr>
                  <w:tab/>
                </w:r>
                <w:r w:rsidRPr="004C4CA6">
                  <w:rPr>
                    <w:rStyle w:val="Hyperlink"/>
                    <w:rFonts w:cs="Times New Roman"/>
                    <w:noProof/>
                  </w:rPr>
                  <w:t>Link between natural and anthropogenic drivers</w:t>
                </w:r>
                <w:r>
                  <w:rPr>
                    <w:noProof/>
                    <w:webHidden/>
                  </w:rPr>
                  <w:tab/>
                </w:r>
                <w:r>
                  <w:rPr>
                    <w:noProof/>
                    <w:webHidden/>
                  </w:rPr>
                  <w:fldChar w:fldCharType="begin"/>
                </w:r>
                <w:r>
                  <w:rPr>
                    <w:noProof/>
                    <w:webHidden/>
                  </w:rPr>
                  <w:instrText xml:space="preserve"> PAGEREF _Toc519499959 \h </w:instrText>
                </w:r>
                <w:r>
                  <w:rPr>
                    <w:noProof/>
                    <w:webHidden/>
                  </w:rPr>
                </w:r>
                <w:r>
                  <w:rPr>
                    <w:noProof/>
                    <w:webHidden/>
                  </w:rPr>
                  <w:fldChar w:fldCharType="separate"/>
                </w:r>
                <w:r>
                  <w:rPr>
                    <w:noProof/>
                    <w:webHidden/>
                  </w:rPr>
                  <w:t>338</w:t>
                </w:r>
                <w:r>
                  <w:rPr>
                    <w:noProof/>
                    <w:webHidden/>
                  </w:rPr>
                  <w:fldChar w:fldCharType="end"/>
                </w:r>
              </w:hyperlink>
            </w:p>
            <w:p w14:paraId="0797A846" w14:textId="044057C7"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60" w:history="1">
                <w:r w:rsidRPr="004C4CA6">
                  <w:rPr>
                    <w:rStyle w:val="Hyperlink"/>
                  </w:rPr>
                  <w:t>4.3.1.</w:t>
                </w:r>
                <w:r>
                  <w:rPr>
                    <w:rFonts w:asciiTheme="minorHAnsi" w:eastAsiaTheme="minorEastAsia" w:hAnsiTheme="minorHAnsi" w:cstheme="minorBidi"/>
                    <w:sz w:val="22"/>
                    <w:szCs w:val="22"/>
                    <w:lang w:val="en-US" w:eastAsia="en-US"/>
                  </w:rPr>
                  <w:tab/>
                </w:r>
                <w:r w:rsidRPr="004C4CA6">
                  <w:rPr>
                    <w:rStyle w:val="Hyperlink"/>
                  </w:rPr>
                  <w:t>Link between anthropogenic and local drivers</w:t>
                </w:r>
                <w:r>
                  <w:rPr>
                    <w:webHidden/>
                  </w:rPr>
                  <w:tab/>
                </w:r>
                <w:r>
                  <w:rPr>
                    <w:webHidden/>
                  </w:rPr>
                  <w:fldChar w:fldCharType="begin"/>
                </w:r>
                <w:r>
                  <w:rPr>
                    <w:webHidden/>
                  </w:rPr>
                  <w:instrText xml:space="preserve"> PAGEREF _Toc519499960 \h </w:instrText>
                </w:r>
                <w:r>
                  <w:rPr>
                    <w:webHidden/>
                  </w:rPr>
                </w:r>
                <w:r>
                  <w:rPr>
                    <w:webHidden/>
                  </w:rPr>
                  <w:fldChar w:fldCharType="separate"/>
                </w:r>
                <w:r>
                  <w:rPr>
                    <w:webHidden/>
                  </w:rPr>
                  <w:t>338</w:t>
                </w:r>
                <w:r>
                  <w:rPr>
                    <w:webHidden/>
                  </w:rPr>
                  <w:fldChar w:fldCharType="end"/>
                </w:r>
              </w:hyperlink>
            </w:p>
            <w:p w14:paraId="601F48B7" w14:textId="1ABDF9C9"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61" w:history="1">
                <w:r w:rsidRPr="004C4CA6">
                  <w:rPr>
                    <w:rStyle w:val="Hyperlink"/>
                  </w:rPr>
                  <w:t>4.3.2.</w:t>
                </w:r>
                <w:r>
                  <w:rPr>
                    <w:rFonts w:asciiTheme="minorHAnsi" w:eastAsiaTheme="minorEastAsia" w:hAnsiTheme="minorHAnsi" w:cstheme="minorBidi"/>
                    <w:sz w:val="22"/>
                    <w:szCs w:val="22"/>
                    <w:lang w:val="en-US" w:eastAsia="en-US"/>
                  </w:rPr>
                  <w:tab/>
                </w:r>
                <w:r w:rsidRPr="004C4CA6">
                  <w:rPr>
                    <w:rStyle w:val="Hyperlink"/>
                  </w:rPr>
                  <w:t>Link between anthropogenic and national and regional drivers</w:t>
                </w:r>
                <w:r>
                  <w:rPr>
                    <w:webHidden/>
                  </w:rPr>
                  <w:tab/>
                </w:r>
                <w:r>
                  <w:rPr>
                    <w:webHidden/>
                  </w:rPr>
                  <w:fldChar w:fldCharType="begin"/>
                </w:r>
                <w:r>
                  <w:rPr>
                    <w:webHidden/>
                  </w:rPr>
                  <w:instrText xml:space="preserve"> PAGEREF _Toc519499961 \h </w:instrText>
                </w:r>
                <w:r>
                  <w:rPr>
                    <w:webHidden/>
                  </w:rPr>
                </w:r>
                <w:r>
                  <w:rPr>
                    <w:webHidden/>
                  </w:rPr>
                  <w:fldChar w:fldCharType="separate"/>
                </w:r>
                <w:r>
                  <w:rPr>
                    <w:webHidden/>
                  </w:rPr>
                  <w:t>340</w:t>
                </w:r>
                <w:r>
                  <w:rPr>
                    <w:webHidden/>
                  </w:rPr>
                  <w:fldChar w:fldCharType="end"/>
                </w:r>
              </w:hyperlink>
            </w:p>
            <w:p w14:paraId="2B3572AB" w14:textId="61A5BB4D"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62" w:history="1">
                <w:r w:rsidRPr="004C4CA6">
                  <w:rPr>
                    <w:rStyle w:val="Hyperlink"/>
                  </w:rPr>
                  <w:t>4.3.3.</w:t>
                </w:r>
                <w:r>
                  <w:rPr>
                    <w:rFonts w:asciiTheme="minorHAnsi" w:eastAsiaTheme="minorEastAsia" w:hAnsiTheme="minorHAnsi" w:cstheme="minorBidi"/>
                    <w:sz w:val="22"/>
                    <w:szCs w:val="22"/>
                    <w:lang w:val="en-US" w:eastAsia="en-US"/>
                  </w:rPr>
                  <w:tab/>
                </w:r>
                <w:r w:rsidRPr="004C4CA6">
                  <w:rPr>
                    <w:rStyle w:val="Hyperlink"/>
                  </w:rPr>
                  <w:t>Link between anthropogenic and global drivers</w:t>
                </w:r>
                <w:r>
                  <w:rPr>
                    <w:webHidden/>
                  </w:rPr>
                  <w:tab/>
                </w:r>
                <w:r>
                  <w:rPr>
                    <w:webHidden/>
                  </w:rPr>
                  <w:fldChar w:fldCharType="begin"/>
                </w:r>
                <w:r>
                  <w:rPr>
                    <w:webHidden/>
                  </w:rPr>
                  <w:instrText xml:space="preserve"> PAGEREF _Toc519499962 \h </w:instrText>
                </w:r>
                <w:r>
                  <w:rPr>
                    <w:webHidden/>
                  </w:rPr>
                </w:r>
                <w:r>
                  <w:rPr>
                    <w:webHidden/>
                  </w:rPr>
                  <w:fldChar w:fldCharType="separate"/>
                </w:r>
                <w:r>
                  <w:rPr>
                    <w:webHidden/>
                  </w:rPr>
                  <w:t>340</w:t>
                </w:r>
                <w:r>
                  <w:rPr>
                    <w:webHidden/>
                  </w:rPr>
                  <w:fldChar w:fldCharType="end"/>
                </w:r>
              </w:hyperlink>
            </w:p>
            <w:p w14:paraId="3C7CC9F6" w14:textId="3A00A874"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63" w:history="1">
                <w:r w:rsidRPr="004C4CA6">
                  <w:rPr>
                    <w:rStyle w:val="Hyperlink"/>
                  </w:rPr>
                  <w:t>4.3.4.</w:t>
                </w:r>
                <w:r>
                  <w:rPr>
                    <w:rFonts w:asciiTheme="minorHAnsi" w:eastAsiaTheme="minorEastAsia" w:hAnsiTheme="minorHAnsi" w:cstheme="minorBidi"/>
                    <w:sz w:val="22"/>
                    <w:szCs w:val="22"/>
                    <w:lang w:val="en-US" w:eastAsia="en-US"/>
                  </w:rPr>
                  <w:tab/>
                </w:r>
                <w:r w:rsidRPr="004C4CA6">
                  <w:rPr>
                    <w:rStyle w:val="Hyperlink"/>
                  </w:rPr>
                  <w:t>Link between anthropogenic and natural drivers</w:t>
                </w:r>
                <w:r>
                  <w:rPr>
                    <w:webHidden/>
                  </w:rPr>
                  <w:tab/>
                </w:r>
                <w:r>
                  <w:rPr>
                    <w:webHidden/>
                  </w:rPr>
                  <w:fldChar w:fldCharType="begin"/>
                </w:r>
                <w:r>
                  <w:rPr>
                    <w:webHidden/>
                  </w:rPr>
                  <w:instrText xml:space="preserve"> PAGEREF _Toc519499963 \h </w:instrText>
                </w:r>
                <w:r>
                  <w:rPr>
                    <w:webHidden/>
                  </w:rPr>
                </w:r>
                <w:r>
                  <w:rPr>
                    <w:webHidden/>
                  </w:rPr>
                  <w:fldChar w:fldCharType="separate"/>
                </w:r>
                <w:r>
                  <w:rPr>
                    <w:webHidden/>
                  </w:rPr>
                  <w:t>341</w:t>
                </w:r>
                <w:r>
                  <w:rPr>
                    <w:webHidden/>
                  </w:rPr>
                  <w:fldChar w:fldCharType="end"/>
                </w:r>
              </w:hyperlink>
            </w:p>
            <w:p w14:paraId="1A5CB2EB" w14:textId="69C0FB7C"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64" w:history="1">
                <w:r w:rsidRPr="004C4CA6">
                  <w:rPr>
                    <w:rStyle w:val="Hyperlink"/>
                  </w:rPr>
                  <w:t>4.3.5.</w:t>
                </w:r>
                <w:r>
                  <w:rPr>
                    <w:rFonts w:asciiTheme="minorHAnsi" w:eastAsiaTheme="minorEastAsia" w:hAnsiTheme="minorHAnsi" w:cstheme="minorBidi"/>
                    <w:sz w:val="22"/>
                    <w:szCs w:val="22"/>
                    <w:lang w:val="en-US" w:eastAsia="en-US"/>
                  </w:rPr>
                  <w:tab/>
                </w:r>
                <w:r w:rsidRPr="004C4CA6">
                  <w:rPr>
                    <w:rStyle w:val="Hyperlink"/>
                  </w:rPr>
                  <w:t>Link between anthropogenic drivers and climate change</w:t>
                </w:r>
                <w:r>
                  <w:rPr>
                    <w:webHidden/>
                  </w:rPr>
                  <w:tab/>
                </w:r>
                <w:r>
                  <w:rPr>
                    <w:webHidden/>
                  </w:rPr>
                  <w:fldChar w:fldCharType="begin"/>
                </w:r>
                <w:r>
                  <w:rPr>
                    <w:webHidden/>
                  </w:rPr>
                  <w:instrText xml:space="preserve"> PAGEREF _Toc519499964 \h </w:instrText>
                </w:r>
                <w:r>
                  <w:rPr>
                    <w:webHidden/>
                  </w:rPr>
                </w:r>
                <w:r>
                  <w:rPr>
                    <w:webHidden/>
                  </w:rPr>
                  <w:fldChar w:fldCharType="separate"/>
                </w:r>
                <w:r>
                  <w:rPr>
                    <w:webHidden/>
                  </w:rPr>
                  <w:t>341</w:t>
                </w:r>
                <w:r>
                  <w:rPr>
                    <w:webHidden/>
                  </w:rPr>
                  <w:fldChar w:fldCharType="end"/>
                </w:r>
              </w:hyperlink>
            </w:p>
            <w:p w14:paraId="71489EF6" w14:textId="02A3294D" w:rsidR="00DA6432" w:rsidRDefault="00DA6432">
              <w:pPr>
                <w:pStyle w:val="TOC3"/>
                <w:rPr>
                  <w:rFonts w:asciiTheme="minorHAnsi" w:eastAsiaTheme="minorEastAsia" w:hAnsiTheme="minorHAnsi" w:cstheme="minorBidi"/>
                  <w:noProof/>
                  <w:color w:val="auto"/>
                  <w:lang w:val="en-US" w:eastAsia="en-US"/>
                </w:rPr>
              </w:pPr>
              <w:hyperlink w:anchor="_Toc519499965" w:history="1">
                <w:r w:rsidRPr="004C4CA6">
                  <w:rPr>
                    <w:rStyle w:val="Hyperlink"/>
                    <w:rFonts w:cs="Times New Roman"/>
                    <w:noProof/>
                  </w:rPr>
                  <w:t>4.4.</w:t>
                </w:r>
                <w:r>
                  <w:rPr>
                    <w:rFonts w:asciiTheme="minorHAnsi" w:eastAsiaTheme="minorEastAsia" w:hAnsiTheme="minorHAnsi" w:cstheme="minorBidi"/>
                    <w:noProof/>
                    <w:color w:val="auto"/>
                    <w:lang w:val="en-US" w:eastAsia="en-US"/>
                  </w:rPr>
                  <w:tab/>
                </w:r>
                <w:r w:rsidRPr="004C4CA6">
                  <w:rPr>
                    <w:rStyle w:val="Hyperlink"/>
                    <w:rFonts w:cs="Times New Roman"/>
                    <w:noProof/>
                  </w:rPr>
                  <w:t>Indirect drivers of change</w:t>
                </w:r>
                <w:r>
                  <w:rPr>
                    <w:noProof/>
                    <w:webHidden/>
                  </w:rPr>
                  <w:tab/>
                </w:r>
                <w:r>
                  <w:rPr>
                    <w:noProof/>
                    <w:webHidden/>
                  </w:rPr>
                  <w:fldChar w:fldCharType="begin"/>
                </w:r>
                <w:r>
                  <w:rPr>
                    <w:noProof/>
                    <w:webHidden/>
                  </w:rPr>
                  <w:instrText xml:space="preserve"> PAGEREF _Toc519499965 \h </w:instrText>
                </w:r>
                <w:r>
                  <w:rPr>
                    <w:noProof/>
                    <w:webHidden/>
                  </w:rPr>
                </w:r>
                <w:r>
                  <w:rPr>
                    <w:noProof/>
                    <w:webHidden/>
                  </w:rPr>
                  <w:fldChar w:fldCharType="separate"/>
                </w:r>
                <w:r>
                  <w:rPr>
                    <w:noProof/>
                    <w:webHidden/>
                  </w:rPr>
                  <w:t>342</w:t>
                </w:r>
                <w:r>
                  <w:rPr>
                    <w:noProof/>
                    <w:webHidden/>
                  </w:rPr>
                  <w:fldChar w:fldCharType="end"/>
                </w:r>
              </w:hyperlink>
            </w:p>
            <w:p w14:paraId="0A07290C" w14:textId="7DEFF960"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66" w:history="1">
                <w:r w:rsidRPr="004C4CA6">
                  <w:rPr>
                    <w:rStyle w:val="Hyperlink"/>
                  </w:rPr>
                  <w:t>4.4.1.</w:t>
                </w:r>
                <w:r>
                  <w:rPr>
                    <w:rFonts w:asciiTheme="minorHAnsi" w:eastAsiaTheme="minorEastAsia" w:hAnsiTheme="minorHAnsi" w:cstheme="minorBidi"/>
                    <w:sz w:val="22"/>
                    <w:szCs w:val="22"/>
                    <w:lang w:val="en-US" w:eastAsia="en-US"/>
                  </w:rPr>
                  <w:tab/>
                </w:r>
                <w:r w:rsidRPr="004C4CA6">
                  <w:rPr>
                    <w:rStyle w:val="Hyperlink"/>
                  </w:rPr>
                  <w:t>Policy Changes</w:t>
                </w:r>
                <w:r>
                  <w:rPr>
                    <w:webHidden/>
                  </w:rPr>
                  <w:tab/>
                </w:r>
                <w:r>
                  <w:rPr>
                    <w:webHidden/>
                  </w:rPr>
                  <w:fldChar w:fldCharType="begin"/>
                </w:r>
                <w:r>
                  <w:rPr>
                    <w:webHidden/>
                  </w:rPr>
                  <w:instrText xml:space="preserve"> PAGEREF _Toc519499966 \h </w:instrText>
                </w:r>
                <w:r>
                  <w:rPr>
                    <w:webHidden/>
                  </w:rPr>
                </w:r>
                <w:r>
                  <w:rPr>
                    <w:webHidden/>
                  </w:rPr>
                  <w:fldChar w:fldCharType="separate"/>
                </w:r>
                <w:r>
                  <w:rPr>
                    <w:webHidden/>
                  </w:rPr>
                  <w:t>343</w:t>
                </w:r>
                <w:r>
                  <w:rPr>
                    <w:webHidden/>
                  </w:rPr>
                  <w:fldChar w:fldCharType="end"/>
                </w:r>
              </w:hyperlink>
            </w:p>
            <w:p w14:paraId="4FBE7791" w14:textId="3B72DC8A"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67" w:history="1">
                <w:r w:rsidRPr="004C4CA6">
                  <w:rPr>
                    <w:rStyle w:val="Hyperlink"/>
                  </w:rPr>
                  <w:t>4.4.1.1.</w:t>
                </w:r>
                <w:r>
                  <w:rPr>
                    <w:rFonts w:asciiTheme="minorHAnsi" w:eastAsiaTheme="minorEastAsia" w:hAnsiTheme="minorHAnsi" w:cstheme="minorBidi"/>
                    <w:sz w:val="22"/>
                    <w:szCs w:val="22"/>
                    <w:lang w:val="en-US" w:eastAsia="en-US"/>
                  </w:rPr>
                  <w:tab/>
                </w:r>
                <w:r w:rsidRPr="004C4CA6">
                  <w:rPr>
                    <w:rStyle w:val="Hyperlink"/>
                  </w:rPr>
                  <w:t>Economic policies</w:t>
                </w:r>
                <w:r>
                  <w:rPr>
                    <w:webHidden/>
                  </w:rPr>
                  <w:tab/>
                </w:r>
                <w:r>
                  <w:rPr>
                    <w:webHidden/>
                  </w:rPr>
                  <w:fldChar w:fldCharType="begin"/>
                </w:r>
                <w:r>
                  <w:rPr>
                    <w:webHidden/>
                  </w:rPr>
                  <w:instrText xml:space="preserve"> PAGEREF _Toc519499967 \h </w:instrText>
                </w:r>
                <w:r>
                  <w:rPr>
                    <w:webHidden/>
                  </w:rPr>
                </w:r>
                <w:r>
                  <w:rPr>
                    <w:webHidden/>
                  </w:rPr>
                  <w:fldChar w:fldCharType="separate"/>
                </w:r>
                <w:r>
                  <w:rPr>
                    <w:webHidden/>
                  </w:rPr>
                  <w:t>343</w:t>
                </w:r>
                <w:r>
                  <w:rPr>
                    <w:webHidden/>
                  </w:rPr>
                  <w:fldChar w:fldCharType="end"/>
                </w:r>
              </w:hyperlink>
            </w:p>
            <w:p w14:paraId="58FDD715" w14:textId="583884FA"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68" w:history="1">
                <w:r w:rsidRPr="004C4CA6">
                  <w:rPr>
                    <w:rStyle w:val="Hyperlink"/>
                  </w:rPr>
                  <w:t>4.4.1.2.</w:t>
                </w:r>
                <w:r>
                  <w:rPr>
                    <w:rFonts w:asciiTheme="minorHAnsi" w:eastAsiaTheme="minorEastAsia" w:hAnsiTheme="minorHAnsi" w:cstheme="minorBidi"/>
                    <w:sz w:val="22"/>
                    <w:szCs w:val="22"/>
                    <w:lang w:val="en-US" w:eastAsia="en-US"/>
                  </w:rPr>
                  <w:tab/>
                </w:r>
                <w:r w:rsidRPr="004C4CA6">
                  <w:rPr>
                    <w:rStyle w:val="Hyperlink"/>
                  </w:rPr>
                  <w:t>Environmental policies</w:t>
                </w:r>
                <w:r>
                  <w:rPr>
                    <w:webHidden/>
                  </w:rPr>
                  <w:tab/>
                </w:r>
                <w:r>
                  <w:rPr>
                    <w:webHidden/>
                  </w:rPr>
                  <w:fldChar w:fldCharType="begin"/>
                </w:r>
                <w:r>
                  <w:rPr>
                    <w:webHidden/>
                  </w:rPr>
                  <w:instrText xml:space="preserve"> PAGEREF _Toc519499968 \h </w:instrText>
                </w:r>
                <w:r>
                  <w:rPr>
                    <w:webHidden/>
                  </w:rPr>
                </w:r>
                <w:r>
                  <w:rPr>
                    <w:webHidden/>
                  </w:rPr>
                  <w:fldChar w:fldCharType="separate"/>
                </w:r>
                <w:r>
                  <w:rPr>
                    <w:webHidden/>
                  </w:rPr>
                  <w:t>343</w:t>
                </w:r>
                <w:r>
                  <w:rPr>
                    <w:webHidden/>
                  </w:rPr>
                  <w:fldChar w:fldCharType="end"/>
                </w:r>
              </w:hyperlink>
            </w:p>
            <w:p w14:paraId="1D311F91" w14:textId="3530682A"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69" w:history="1">
                <w:r w:rsidRPr="004C4CA6">
                  <w:rPr>
                    <w:rStyle w:val="Hyperlink"/>
                  </w:rPr>
                  <w:t>4.4.2.</w:t>
                </w:r>
                <w:r>
                  <w:rPr>
                    <w:rFonts w:asciiTheme="minorHAnsi" w:eastAsiaTheme="minorEastAsia" w:hAnsiTheme="minorHAnsi" w:cstheme="minorBidi"/>
                    <w:sz w:val="22"/>
                    <w:szCs w:val="22"/>
                    <w:lang w:val="en-US" w:eastAsia="en-US"/>
                  </w:rPr>
                  <w:tab/>
                </w:r>
                <w:r w:rsidRPr="004C4CA6">
                  <w:rPr>
                    <w:rStyle w:val="Hyperlink"/>
                  </w:rPr>
                  <w:t>Governance systems</w:t>
                </w:r>
                <w:r>
                  <w:rPr>
                    <w:webHidden/>
                  </w:rPr>
                  <w:tab/>
                </w:r>
                <w:r>
                  <w:rPr>
                    <w:webHidden/>
                  </w:rPr>
                  <w:fldChar w:fldCharType="begin"/>
                </w:r>
                <w:r>
                  <w:rPr>
                    <w:webHidden/>
                  </w:rPr>
                  <w:instrText xml:space="preserve"> PAGEREF _Toc519499969 \h </w:instrText>
                </w:r>
                <w:r>
                  <w:rPr>
                    <w:webHidden/>
                  </w:rPr>
                </w:r>
                <w:r>
                  <w:rPr>
                    <w:webHidden/>
                  </w:rPr>
                  <w:fldChar w:fldCharType="separate"/>
                </w:r>
                <w:r>
                  <w:rPr>
                    <w:webHidden/>
                  </w:rPr>
                  <w:t>344</w:t>
                </w:r>
                <w:r>
                  <w:rPr>
                    <w:webHidden/>
                  </w:rPr>
                  <w:fldChar w:fldCharType="end"/>
                </w:r>
              </w:hyperlink>
            </w:p>
            <w:p w14:paraId="0094B67A" w14:textId="4EF9F9D7"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70" w:history="1">
                <w:r w:rsidRPr="004C4CA6">
                  <w:rPr>
                    <w:rStyle w:val="Hyperlink"/>
                  </w:rPr>
                  <w:t>4.4.3.</w:t>
                </w:r>
                <w:r>
                  <w:rPr>
                    <w:rFonts w:asciiTheme="minorHAnsi" w:eastAsiaTheme="minorEastAsia" w:hAnsiTheme="minorHAnsi" w:cstheme="minorBidi"/>
                    <w:sz w:val="22"/>
                    <w:szCs w:val="22"/>
                    <w:lang w:val="en-US" w:eastAsia="en-US"/>
                  </w:rPr>
                  <w:tab/>
                </w:r>
                <w:r w:rsidRPr="004C4CA6">
                  <w:rPr>
                    <w:rStyle w:val="Hyperlink"/>
                  </w:rPr>
                  <w:t>Economic systems</w:t>
                </w:r>
                <w:r>
                  <w:rPr>
                    <w:webHidden/>
                  </w:rPr>
                  <w:tab/>
                </w:r>
                <w:r>
                  <w:rPr>
                    <w:webHidden/>
                  </w:rPr>
                  <w:fldChar w:fldCharType="begin"/>
                </w:r>
                <w:r>
                  <w:rPr>
                    <w:webHidden/>
                  </w:rPr>
                  <w:instrText xml:space="preserve"> PAGEREF _Toc519499970 \h </w:instrText>
                </w:r>
                <w:r>
                  <w:rPr>
                    <w:webHidden/>
                  </w:rPr>
                </w:r>
                <w:r>
                  <w:rPr>
                    <w:webHidden/>
                  </w:rPr>
                  <w:fldChar w:fldCharType="separate"/>
                </w:r>
                <w:r>
                  <w:rPr>
                    <w:webHidden/>
                  </w:rPr>
                  <w:t>346</w:t>
                </w:r>
                <w:r>
                  <w:rPr>
                    <w:webHidden/>
                  </w:rPr>
                  <w:fldChar w:fldCharType="end"/>
                </w:r>
              </w:hyperlink>
            </w:p>
            <w:p w14:paraId="64290DA8" w14:textId="287ED10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71" w:history="1">
                <w:r w:rsidRPr="004C4CA6">
                  <w:rPr>
                    <w:rStyle w:val="Hyperlink"/>
                  </w:rPr>
                  <w:t>4.4.3.1.</w:t>
                </w:r>
                <w:r>
                  <w:rPr>
                    <w:rFonts w:asciiTheme="minorHAnsi" w:eastAsiaTheme="minorEastAsia" w:hAnsiTheme="minorHAnsi" w:cstheme="minorBidi"/>
                    <w:sz w:val="22"/>
                    <w:szCs w:val="22"/>
                    <w:lang w:val="en-US" w:eastAsia="en-US"/>
                  </w:rPr>
                  <w:tab/>
                </w:r>
                <w:r w:rsidRPr="004C4CA6">
                  <w:rPr>
                    <w:rStyle w:val="Hyperlink"/>
                  </w:rPr>
                  <w:t>African Economic Community</w:t>
                </w:r>
                <w:r>
                  <w:rPr>
                    <w:webHidden/>
                  </w:rPr>
                  <w:tab/>
                </w:r>
                <w:r>
                  <w:rPr>
                    <w:webHidden/>
                  </w:rPr>
                  <w:fldChar w:fldCharType="begin"/>
                </w:r>
                <w:r>
                  <w:rPr>
                    <w:webHidden/>
                  </w:rPr>
                  <w:instrText xml:space="preserve"> PAGEREF _Toc519499971 \h </w:instrText>
                </w:r>
                <w:r>
                  <w:rPr>
                    <w:webHidden/>
                  </w:rPr>
                </w:r>
                <w:r>
                  <w:rPr>
                    <w:webHidden/>
                  </w:rPr>
                  <w:fldChar w:fldCharType="separate"/>
                </w:r>
                <w:r>
                  <w:rPr>
                    <w:webHidden/>
                  </w:rPr>
                  <w:t>350</w:t>
                </w:r>
                <w:r>
                  <w:rPr>
                    <w:webHidden/>
                  </w:rPr>
                  <w:fldChar w:fldCharType="end"/>
                </w:r>
              </w:hyperlink>
            </w:p>
            <w:p w14:paraId="15FDCDBC" w14:textId="227638E9"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72" w:history="1">
                <w:r w:rsidRPr="004C4CA6">
                  <w:rPr>
                    <w:rStyle w:val="Hyperlink"/>
                  </w:rPr>
                  <w:t>4.4.4.</w:t>
                </w:r>
                <w:r>
                  <w:rPr>
                    <w:rFonts w:asciiTheme="minorHAnsi" w:eastAsiaTheme="minorEastAsia" w:hAnsiTheme="minorHAnsi" w:cstheme="minorBidi"/>
                    <w:sz w:val="22"/>
                    <w:szCs w:val="22"/>
                    <w:lang w:val="en-US" w:eastAsia="en-US"/>
                  </w:rPr>
                  <w:tab/>
                </w:r>
                <w:r w:rsidRPr="004C4CA6">
                  <w:rPr>
                    <w:rStyle w:val="Hyperlink"/>
                  </w:rPr>
                  <w:t>Population growth, migration and urbanisation</w:t>
                </w:r>
                <w:r>
                  <w:rPr>
                    <w:webHidden/>
                  </w:rPr>
                  <w:tab/>
                </w:r>
                <w:r>
                  <w:rPr>
                    <w:webHidden/>
                  </w:rPr>
                  <w:fldChar w:fldCharType="begin"/>
                </w:r>
                <w:r>
                  <w:rPr>
                    <w:webHidden/>
                  </w:rPr>
                  <w:instrText xml:space="preserve"> PAGEREF _Toc519499972 \h </w:instrText>
                </w:r>
                <w:r>
                  <w:rPr>
                    <w:webHidden/>
                  </w:rPr>
                </w:r>
                <w:r>
                  <w:rPr>
                    <w:webHidden/>
                  </w:rPr>
                  <w:fldChar w:fldCharType="separate"/>
                </w:r>
                <w:r>
                  <w:rPr>
                    <w:webHidden/>
                  </w:rPr>
                  <w:t>350</w:t>
                </w:r>
                <w:r>
                  <w:rPr>
                    <w:webHidden/>
                  </w:rPr>
                  <w:fldChar w:fldCharType="end"/>
                </w:r>
              </w:hyperlink>
            </w:p>
            <w:p w14:paraId="44CA7339" w14:textId="0FD9975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73" w:history="1">
                <w:r w:rsidRPr="004C4CA6">
                  <w:rPr>
                    <w:rStyle w:val="Hyperlink"/>
                  </w:rPr>
                  <w:t>4.4.4.1.</w:t>
                </w:r>
                <w:r>
                  <w:rPr>
                    <w:rFonts w:asciiTheme="minorHAnsi" w:eastAsiaTheme="minorEastAsia" w:hAnsiTheme="minorHAnsi" w:cstheme="minorBidi"/>
                    <w:sz w:val="22"/>
                    <w:szCs w:val="22"/>
                    <w:lang w:val="en-US" w:eastAsia="en-US"/>
                  </w:rPr>
                  <w:tab/>
                </w:r>
                <w:r w:rsidRPr="004C4CA6">
                  <w:rPr>
                    <w:rStyle w:val="Hyperlink"/>
                  </w:rPr>
                  <w:t>Urbanisation trends</w:t>
                </w:r>
                <w:r>
                  <w:rPr>
                    <w:webHidden/>
                  </w:rPr>
                  <w:tab/>
                </w:r>
                <w:r>
                  <w:rPr>
                    <w:webHidden/>
                  </w:rPr>
                  <w:fldChar w:fldCharType="begin"/>
                </w:r>
                <w:r>
                  <w:rPr>
                    <w:webHidden/>
                  </w:rPr>
                  <w:instrText xml:space="preserve"> PAGEREF _Toc519499973 \h </w:instrText>
                </w:r>
                <w:r>
                  <w:rPr>
                    <w:webHidden/>
                  </w:rPr>
                </w:r>
                <w:r>
                  <w:rPr>
                    <w:webHidden/>
                  </w:rPr>
                  <w:fldChar w:fldCharType="separate"/>
                </w:r>
                <w:r>
                  <w:rPr>
                    <w:webHidden/>
                  </w:rPr>
                  <w:t>351</w:t>
                </w:r>
                <w:r>
                  <w:rPr>
                    <w:webHidden/>
                  </w:rPr>
                  <w:fldChar w:fldCharType="end"/>
                </w:r>
              </w:hyperlink>
            </w:p>
            <w:p w14:paraId="25B327F4" w14:textId="3B13A407"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74" w:history="1">
                <w:r w:rsidRPr="004C4CA6">
                  <w:rPr>
                    <w:rStyle w:val="Hyperlink"/>
                  </w:rPr>
                  <w:t>4.4.4.2.</w:t>
                </w:r>
                <w:r>
                  <w:rPr>
                    <w:rFonts w:asciiTheme="minorHAnsi" w:eastAsiaTheme="minorEastAsia" w:hAnsiTheme="minorHAnsi" w:cstheme="minorBidi"/>
                    <w:sz w:val="22"/>
                    <w:szCs w:val="22"/>
                    <w:lang w:val="en-US" w:eastAsia="en-US"/>
                  </w:rPr>
                  <w:tab/>
                </w:r>
                <w:r w:rsidRPr="004C4CA6">
                  <w:rPr>
                    <w:rStyle w:val="Hyperlink"/>
                  </w:rPr>
                  <w:t>Environmental outcomes of urbanisation</w:t>
                </w:r>
                <w:r>
                  <w:rPr>
                    <w:webHidden/>
                  </w:rPr>
                  <w:tab/>
                </w:r>
                <w:r>
                  <w:rPr>
                    <w:webHidden/>
                  </w:rPr>
                  <w:fldChar w:fldCharType="begin"/>
                </w:r>
                <w:r>
                  <w:rPr>
                    <w:webHidden/>
                  </w:rPr>
                  <w:instrText xml:space="preserve"> PAGEREF _Toc519499974 \h </w:instrText>
                </w:r>
                <w:r>
                  <w:rPr>
                    <w:webHidden/>
                  </w:rPr>
                </w:r>
                <w:r>
                  <w:rPr>
                    <w:webHidden/>
                  </w:rPr>
                  <w:fldChar w:fldCharType="separate"/>
                </w:r>
                <w:r>
                  <w:rPr>
                    <w:webHidden/>
                  </w:rPr>
                  <w:t>354</w:t>
                </w:r>
                <w:r>
                  <w:rPr>
                    <w:webHidden/>
                  </w:rPr>
                  <w:fldChar w:fldCharType="end"/>
                </w:r>
              </w:hyperlink>
            </w:p>
            <w:p w14:paraId="651071BD" w14:textId="2375EB37"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75" w:history="1">
                <w:r w:rsidRPr="004C4CA6">
                  <w:rPr>
                    <w:rStyle w:val="Hyperlink"/>
                  </w:rPr>
                  <w:t>4.4.4.2.1.</w:t>
                </w:r>
                <w:r>
                  <w:rPr>
                    <w:rFonts w:asciiTheme="minorHAnsi" w:eastAsiaTheme="minorEastAsia" w:hAnsiTheme="minorHAnsi" w:cstheme="minorBidi"/>
                    <w:sz w:val="22"/>
                    <w:szCs w:val="22"/>
                    <w:lang w:val="en-US" w:eastAsia="en-US"/>
                  </w:rPr>
                  <w:tab/>
                </w:r>
                <w:r w:rsidRPr="004C4CA6">
                  <w:rPr>
                    <w:rStyle w:val="Hyperlink"/>
                  </w:rPr>
                  <w:t>Land and wildlife habitats degradation</w:t>
                </w:r>
                <w:r>
                  <w:rPr>
                    <w:webHidden/>
                  </w:rPr>
                  <w:tab/>
                </w:r>
                <w:r>
                  <w:rPr>
                    <w:webHidden/>
                  </w:rPr>
                  <w:fldChar w:fldCharType="begin"/>
                </w:r>
                <w:r>
                  <w:rPr>
                    <w:webHidden/>
                  </w:rPr>
                  <w:instrText xml:space="preserve"> PAGEREF _Toc519499975 \h </w:instrText>
                </w:r>
                <w:r>
                  <w:rPr>
                    <w:webHidden/>
                  </w:rPr>
                </w:r>
                <w:r>
                  <w:rPr>
                    <w:webHidden/>
                  </w:rPr>
                  <w:fldChar w:fldCharType="separate"/>
                </w:r>
                <w:r>
                  <w:rPr>
                    <w:webHidden/>
                  </w:rPr>
                  <w:t>355</w:t>
                </w:r>
                <w:r>
                  <w:rPr>
                    <w:webHidden/>
                  </w:rPr>
                  <w:fldChar w:fldCharType="end"/>
                </w:r>
              </w:hyperlink>
            </w:p>
            <w:p w14:paraId="42E83F0B" w14:textId="20BE06EF"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76" w:history="1">
                <w:r w:rsidRPr="004C4CA6">
                  <w:rPr>
                    <w:rStyle w:val="Hyperlink"/>
                  </w:rPr>
                  <w:t>4.4.4.2.2.</w:t>
                </w:r>
                <w:r>
                  <w:rPr>
                    <w:rFonts w:asciiTheme="minorHAnsi" w:eastAsiaTheme="minorEastAsia" w:hAnsiTheme="minorHAnsi" w:cstheme="minorBidi"/>
                    <w:sz w:val="22"/>
                    <w:szCs w:val="22"/>
                    <w:lang w:val="en-US" w:eastAsia="en-US"/>
                  </w:rPr>
                  <w:tab/>
                </w:r>
                <w:r w:rsidRPr="004C4CA6">
                  <w:rPr>
                    <w:rStyle w:val="Hyperlink"/>
                  </w:rPr>
                  <w:t>Energy systems and climate change</w:t>
                </w:r>
                <w:r>
                  <w:rPr>
                    <w:webHidden/>
                  </w:rPr>
                  <w:tab/>
                </w:r>
                <w:r>
                  <w:rPr>
                    <w:webHidden/>
                  </w:rPr>
                  <w:fldChar w:fldCharType="begin"/>
                </w:r>
                <w:r>
                  <w:rPr>
                    <w:webHidden/>
                  </w:rPr>
                  <w:instrText xml:space="preserve"> PAGEREF _Toc519499976 \h </w:instrText>
                </w:r>
                <w:r>
                  <w:rPr>
                    <w:webHidden/>
                  </w:rPr>
                </w:r>
                <w:r>
                  <w:rPr>
                    <w:webHidden/>
                  </w:rPr>
                  <w:fldChar w:fldCharType="separate"/>
                </w:r>
                <w:r>
                  <w:rPr>
                    <w:webHidden/>
                  </w:rPr>
                  <w:t>355</w:t>
                </w:r>
                <w:r>
                  <w:rPr>
                    <w:webHidden/>
                  </w:rPr>
                  <w:fldChar w:fldCharType="end"/>
                </w:r>
              </w:hyperlink>
            </w:p>
            <w:p w14:paraId="62C76B9A" w14:textId="3682102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77" w:history="1">
                <w:r w:rsidRPr="004C4CA6">
                  <w:rPr>
                    <w:rStyle w:val="Hyperlink"/>
                  </w:rPr>
                  <w:t>4.4.4.3.</w:t>
                </w:r>
                <w:r>
                  <w:rPr>
                    <w:rFonts w:asciiTheme="minorHAnsi" w:eastAsiaTheme="minorEastAsia" w:hAnsiTheme="minorHAnsi" w:cstheme="minorBidi"/>
                    <w:sz w:val="22"/>
                    <w:szCs w:val="22"/>
                    <w:lang w:val="en-US" w:eastAsia="en-US"/>
                  </w:rPr>
                  <w:tab/>
                </w:r>
                <w:r w:rsidRPr="004C4CA6">
                  <w:rPr>
                    <w:rStyle w:val="Hyperlink"/>
                  </w:rPr>
                  <w:t>Vulnerability incomes</w:t>
                </w:r>
                <w:r>
                  <w:rPr>
                    <w:webHidden/>
                  </w:rPr>
                  <w:tab/>
                </w:r>
                <w:r>
                  <w:rPr>
                    <w:webHidden/>
                  </w:rPr>
                  <w:fldChar w:fldCharType="begin"/>
                </w:r>
                <w:r>
                  <w:rPr>
                    <w:webHidden/>
                  </w:rPr>
                  <w:instrText xml:space="preserve"> PAGEREF _Toc519499977 \h </w:instrText>
                </w:r>
                <w:r>
                  <w:rPr>
                    <w:webHidden/>
                  </w:rPr>
                </w:r>
                <w:r>
                  <w:rPr>
                    <w:webHidden/>
                  </w:rPr>
                  <w:fldChar w:fldCharType="separate"/>
                </w:r>
                <w:r>
                  <w:rPr>
                    <w:webHidden/>
                  </w:rPr>
                  <w:t>357</w:t>
                </w:r>
                <w:r>
                  <w:rPr>
                    <w:webHidden/>
                  </w:rPr>
                  <w:fldChar w:fldCharType="end"/>
                </w:r>
              </w:hyperlink>
            </w:p>
            <w:p w14:paraId="1777CE49" w14:textId="5BA4D051"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499978" w:history="1">
                <w:r w:rsidRPr="004C4CA6">
                  <w:rPr>
                    <w:rStyle w:val="Hyperlink"/>
                  </w:rPr>
                  <w:t>4.4.4.3.1.</w:t>
                </w:r>
                <w:r>
                  <w:rPr>
                    <w:rFonts w:asciiTheme="minorHAnsi" w:eastAsiaTheme="minorEastAsia" w:hAnsiTheme="minorHAnsi" w:cstheme="minorBidi"/>
                    <w:sz w:val="22"/>
                    <w:szCs w:val="22"/>
                    <w:lang w:val="en-US" w:eastAsia="en-US"/>
                  </w:rPr>
                  <w:tab/>
                </w:r>
                <w:r w:rsidRPr="004C4CA6">
                  <w:rPr>
                    <w:rStyle w:val="Hyperlink"/>
                  </w:rPr>
                  <w:t>Health issues</w:t>
                </w:r>
                <w:r>
                  <w:rPr>
                    <w:webHidden/>
                  </w:rPr>
                  <w:tab/>
                </w:r>
                <w:r>
                  <w:rPr>
                    <w:webHidden/>
                  </w:rPr>
                  <w:fldChar w:fldCharType="begin"/>
                </w:r>
                <w:r>
                  <w:rPr>
                    <w:webHidden/>
                  </w:rPr>
                  <w:instrText xml:space="preserve"> PAGEREF _Toc519499978 \h </w:instrText>
                </w:r>
                <w:r>
                  <w:rPr>
                    <w:webHidden/>
                  </w:rPr>
                </w:r>
                <w:r>
                  <w:rPr>
                    <w:webHidden/>
                  </w:rPr>
                  <w:fldChar w:fldCharType="separate"/>
                </w:r>
                <w:r>
                  <w:rPr>
                    <w:webHidden/>
                  </w:rPr>
                  <w:t>357</w:t>
                </w:r>
                <w:r>
                  <w:rPr>
                    <w:webHidden/>
                  </w:rPr>
                  <w:fldChar w:fldCharType="end"/>
                </w:r>
              </w:hyperlink>
            </w:p>
            <w:p w14:paraId="6A318A1A" w14:textId="3D9B9304"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79" w:history="1">
                <w:r w:rsidRPr="004C4CA6">
                  <w:rPr>
                    <w:rStyle w:val="Hyperlink"/>
                  </w:rPr>
                  <w:t>4.4.5.</w:t>
                </w:r>
                <w:r>
                  <w:rPr>
                    <w:rFonts w:asciiTheme="minorHAnsi" w:eastAsiaTheme="minorEastAsia" w:hAnsiTheme="minorHAnsi" w:cstheme="minorBidi"/>
                    <w:sz w:val="22"/>
                    <w:szCs w:val="22"/>
                    <w:lang w:val="en-US" w:eastAsia="en-US"/>
                  </w:rPr>
                  <w:tab/>
                </w:r>
                <w:r w:rsidRPr="004C4CA6">
                  <w:rPr>
                    <w:rStyle w:val="Hyperlink"/>
                  </w:rPr>
                  <w:t>Technology developments and application</w:t>
                </w:r>
                <w:r>
                  <w:rPr>
                    <w:webHidden/>
                  </w:rPr>
                  <w:tab/>
                </w:r>
                <w:r>
                  <w:rPr>
                    <w:webHidden/>
                  </w:rPr>
                  <w:fldChar w:fldCharType="begin"/>
                </w:r>
                <w:r>
                  <w:rPr>
                    <w:webHidden/>
                  </w:rPr>
                  <w:instrText xml:space="preserve"> PAGEREF _Toc519499979 \h </w:instrText>
                </w:r>
                <w:r>
                  <w:rPr>
                    <w:webHidden/>
                  </w:rPr>
                </w:r>
                <w:r>
                  <w:rPr>
                    <w:webHidden/>
                  </w:rPr>
                  <w:fldChar w:fldCharType="separate"/>
                </w:r>
                <w:r>
                  <w:rPr>
                    <w:webHidden/>
                  </w:rPr>
                  <w:t>357</w:t>
                </w:r>
                <w:r>
                  <w:rPr>
                    <w:webHidden/>
                  </w:rPr>
                  <w:fldChar w:fldCharType="end"/>
                </w:r>
              </w:hyperlink>
            </w:p>
            <w:p w14:paraId="098C0182" w14:textId="032F799B"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80" w:history="1">
                <w:r w:rsidRPr="004C4CA6">
                  <w:rPr>
                    <w:rStyle w:val="Hyperlink"/>
                  </w:rPr>
                  <w:t>4.4.6.</w:t>
                </w:r>
                <w:r>
                  <w:rPr>
                    <w:rFonts w:asciiTheme="minorHAnsi" w:eastAsiaTheme="minorEastAsia" w:hAnsiTheme="minorHAnsi" w:cstheme="minorBidi"/>
                    <w:sz w:val="22"/>
                    <w:szCs w:val="22"/>
                    <w:lang w:val="en-US" w:eastAsia="en-US"/>
                  </w:rPr>
                  <w:tab/>
                </w:r>
                <w:r w:rsidRPr="004C4CA6">
                  <w:rPr>
                    <w:rStyle w:val="Hyperlink"/>
                  </w:rPr>
                  <w:t>Insecurity</w:t>
                </w:r>
                <w:r>
                  <w:rPr>
                    <w:webHidden/>
                  </w:rPr>
                  <w:tab/>
                </w:r>
                <w:r>
                  <w:rPr>
                    <w:webHidden/>
                  </w:rPr>
                  <w:fldChar w:fldCharType="begin"/>
                </w:r>
                <w:r>
                  <w:rPr>
                    <w:webHidden/>
                  </w:rPr>
                  <w:instrText xml:space="preserve"> PAGEREF _Toc519499980 \h </w:instrText>
                </w:r>
                <w:r>
                  <w:rPr>
                    <w:webHidden/>
                  </w:rPr>
                </w:r>
                <w:r>
                  <w:rPr>
                    <w:webHidden/>
                  </w:rPr>
                  <w:fldChar w:fldCharType="separate"/>
                </w:r>
                <w:r>
                  <w:rPr>
                    <w:webHidden/>
                  </w:rPr>
                  <w:t>359</w:t>
                </w:r>
                <w:r>
                  <w:rPr>
                    <w:webHidden/>
                  </w:rPr>
                  <w:fldChar w:fldCharType="end"/>
                </w:r>
              </w:hyperlink>
            </w:p>
            <w:p w14:paraId="5B228794" w14:textId="473CFA7C"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81" w:history="1">
                <w:r w:rsidRPr="004C4CA6">
                  <w:rPr>
                    <w:rStyle w:val="Hyperlink"/>
                  </w:rPr>
                  <w:t>4.4.7.</w:t>
                </w:r>
                <w:r>
                  <w:rPr>
                    <w:rFonts w:asciiTheme="minorHAnsi" w:eastAsiaTheme="minorEastAsia" w:hAnsiTheme="minorHAnsi" w:cstheme="minorBidi"/>
                    <w:sz w:val="22"/>
                    <w:szCs w:val="22"/>
                    <w:lang w:val="en-US" w:eastAsia="en-US"/>
                  </w:rPr>
                  <w:tab/>
                </w:r>
                <w:r w:rsidRPr="004C4CA6">
                  <w:rPr>
                    <w:rStyle w:val="Hyperlink"/>
                  </w:rPr>
                  <w:t>Cultural practice and spirituality</w:t>
                </w:r>
                <w:r>
                  <w:rPr>
                    <w:webHidden/>
                  </w:rPr>
                  <w:tab/>
                </w:r>
                <w:r>
                  <w:rPr>
                    <w:webHidden/>
                  </w:rPr>
                  <w:fldChar w:fldCharType="begin"/>
                </w:r>
                <w:r>
                  <w:rPr>
                    <w:webHidden/>
                  </w:rPr>
                  <w:instrText xml:space="preserve"> PAGEREF _Toc519499981 \h </w:instrText>
                </w:r>
                <w:r>
                  <w:rPr>
                    <w:webHidden/>
                  </w:rPr>
                </w:r>
                <w:r>
                  <w:rPr>
                    <w:webHidden/>
                  </w:rPr>
                  <w:fldChar w:fldCharType="separate"/>
                </w:r>
                <w:r>
                  <w:rPr>
                    <w:webHidden/>
                  </w:rPr>
                  <w:t>360</w:t>
                </w:r>
                <w:r>
                  <w:rPr>
                    <w:webHidden/>
                  </w:rPr>
                  <w:fldChar w:fldCharType="end"/>
                </w:r>
              </w:hyperlink>
            </w:p>
            <w:p w14:paraId="56B8312D" w14:textId="1834EA4C" w:rsidR="00DA6432" w:rsidRDefault="00DA6432">
              <w:pPr>
                <w:pStyle w:val="TOC3"/>
                <w:rPr>
                  <w:rFonts w:asciiTheme="minorHAnsi" w:eastAsiaTheme="minorEastAsia" w:hAnsiTheme="minorHAnsi" w:cstheme="minorBidi"/>
                  <w:noProof/>
                  <w:color w:val="auto"/>
                  <w:lang w:val="en-US" w:eastAsia="en-US"/>
                </w:rPr>
              </w:pPr>
              <w:hyperlink w:anchor="_Toc519499982" w:history="1">
                <w:r w:rsidRPr="004C4CA6">
                  <w:rPr>
                    <w:rStyle w:val="Hyperlink"/>
                    <w:rFonts w:cs="Times New Roman"/>
                    <w:noProof/>
                  </w:rPr>
                  <w:t>4.5.</w:t>
                </w:r>
                <w:r>
                  <w:rPr>
                    <w:rFonts w:asciiTheme="minorHAnsi" w:eastAsiaTheme="minorEastAsia" w:hAnsiTheme="minorHAnsi" w:cstheme="minorBidi"/>
                    <w:noProof/>
                    <w:color w:val="auto"/>
                    <w:lang w:val="en-US" w:eastAsia="en-US"/>
                  </w:rPr>
                  <w:tab/>
                </w:r>
                <w:r w:rsidRPr="004C4CA6">
                  <w:rPr>
                    <w:rStyle w:val="Hyperlink"/>
                    <w:rFonts w:cs="Times New Roman"/>
                    <w:noProof/>
                  </w:rPr>
                  <w:t>Positive Drivers of Change</w:t>
                </w:r>
                <w:r>
                  <w:rPr>
                    <w:noProof/>
                    <w:webHidden/>
                  </w:rPr>
                  <w:tab/>
                </w:r>
                <w:r>
                  <w:rPr>
                    <w:noProof/>
                    <w:webHidden/>
                  </w:rPr>
                  <w:fldChar w:fldCharType="begin"/>
                </w:r>
                <w:r>
                  <w:rPr>
                    <w:noProof/>
                    <w:webHidden/>
                  </w:rPr>
                  <w:instrText xml:space="preserve"> PAGEREF _Toc519499982 \h </w:instrText>
                </w:r>
                <w:r>
                  <w:rPr>
                    <w:noProof/>
                    <w:webHidden/>
                  </w:rPr>
                </w:r>
                <w:r>
                  <w:rPr>
                    <w:noProof/>
                    <w:webHidden/>
                  </w:rPr>
                  <w:fldChar w:fldCharType="separate"/>
                </w:r>
                <w:r>
                  <w:rPr>
                    <w:noProof/>
                    <w:webHidden/>
                  </w:rPr>
                  <w:t>362</w:t>
                </w:r>
                <w:r>
                  <w:rPr>
                    <w:noProof/>
                    <w:webHidden/>
                  </w:rPr>
                  <w:fldChar w:fldCharType="end"/>
                </w:r>
              </w:hyperlink>
            </w:p>
            <w:p w14:paraId="73436136" w14:textId="7A385F9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83" w:history="1">
                <w:r w:rsidRPr="004C4CA6">
                  <w:rPr>
                    <w:rStyle w:val="Hyperlink"/>
                  </w:rPr>
                  <w:t>4.5.1.</w:t>
                </w:r>
                <w:r>
                  <w:rPr>
                    <w:rFonts w:asciiTheme="minorHAnsi" w:eastAsiaTheme="minorEastAsia" w:hAnsiTheme="minorHAnsi" w:cstheme="minorBidi"/>
                    <w:sz w:val="22"/>
                    <w:szCs w:val="22"/>
                    <w:lang w:val="en-US" w:eastAsia="en-US"/>
                  </w:rPr>
                  <w:tab/>
                </w:r>
                <w:r w:rsidRPr="004C4CA6">
                  <w:rPr>
                    <w:rStyle w:val="Hyperlink"/>
                  </w:rPr>
                  <w:t>Protected areas as a driver of positive change</w:t>
                </w:r>
                <w:r>
                  <w:rPr>
                    <w:webHidden/>
                  </w:rPr>
                  <w:tab/>
                </w:r>
                <w:r>
                  <w:rPr>
                    <w:webHidden/>
                  </w:rPr>
                  <w:fldChar w:fldCharType="begin"/>
                </w:r>
                <w:r>
                  <w:rPr>
                    <w:webHidden/>
                  </w:rPr>
                  <w:instrText xml:space="preserve"> PAGEREF _Toc519499983 \h </w:instrText>
                </w:r>
                <w:r>
                  <w:rPr>
                    <w:webHidden/>
                  </w:rPr>
                </w:r>
                <w:r>
                  <w:rPr>
                    <w:webHidden/>
                  </w:rPr>
                  <w:fldChar w:fldCharType="separate"/>
                </w:r>
                <w:r>
                  <w:rPr>
                    <w:webHidden/>
                  </w:rPr>
                  <w:t>362</w:t>
                </w:r>
                <w:r>
                  <w:rPr>
                    <w:webHidden/>
                  </w:rPr>
                  <w:fldChar w:fldCharType="end"/>
                </w:r>
              </w:hyperlink>
            </w:p>
            <w:p w14:paraId="7AF55AF6" w14:textId="74AEF06D"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84" w:history="1">
                <w:r w:rsidRPr="004C4CA6">
                  <w:rPr>
                    <w:rStyle w:val="Hyperlink"/>
                  </w:rPr>
                  <w:t>4.5.1.1.</w:t>
                </w:r>
                <w:r>
                  <w:rPr>
                    <w:rFonts w:asciiTheme="minorHAnsi" w:eastAsiaTheme="minorEastAsia" w:hAnsiTheme="minorHAnsi" w:cstheme="minorBidi"/>
                    <w:sz w:val="22"/>
                    <w:szCs w:val="22"/>
                    <w:lang w:val="en-US" w:eastAsia="en-US"/>
                  </w:rPr>
                  <w:tab/>
                </w:r>
                <w:r w:rsidRPr="004C4CA6">
                  <w:rPr>
                    <w:rStyle w:val="Hyperlink"/>
                  </w:rPr>
                  <w:t>Protected areas in terrestrial and inland waters</w:t>
                </w:r>
                <w:r>
                  <w:rPr>
                    <w:webHidden/>
                  </w:rPr>
                  <w:tab/>
                </w:r>
                <w:r>
                  <w:rPr>
                    <w:webHidden/>
                  </w:rPr>
                  <w:fldChar w:fldCharType="begin"/>
                </w:r>
                <w:r>
                  <w:rPr>
                    <w:webHidden/>
                  </w:rPr>
                  <w:instrText xml:space="preserve"> PAGEREF _Toc519499984 \h </w:instrText>
                </w:r>
                <w:r>
                  <w:rPr>
                    <w:webHidden/>
                  </w:rPr>
                </w:r>
                <w:r>
                  <w:rPr>
                    <w:webHidden/>
                  </w:rPr>
                  <w:fldChar w:fldCharType="separate"/>
                </w:r>
                <w:r>
                  <w:rPr>
                    <w:webHidden/>
                  </w:rPr>
                  <w:t>364</w:t>
                </w:r>
                <w:r>
                  <w:rPr>
                    <w:webHidden/>
                  </w:rPr>
                  <w:fldChar w:fldCharType="end"/>
                </w:r>
              </w:hyperlink>
            </w:p>
            <w:p w14:paraId="31AF836F" w14:textId="55F052B9"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85" w:history="1">
                <w:r w:rsidRPr="004C4CA6">
                  <w:rPr>
                    <w:rStyle w:val="Hyperlink"/>
                  </w:rPr>
                  <w:t>4.5.1.2.</w:t>
                </w:r>
                <w:r>
                  <w:rPr>
                    <w:rFonts w:asciiTheme="minorHAnsi" w:eastAsiaTheme="minorEastAsia" w:hAnsiTheme="minorHAnsi" w:cstheme="minorBidi"/>
                    <w:sz w:val="22"/>
                    <w:szCs w:val="22"/>
                    <w:lang w:val="en-US" w:eastAsia="en-US"/>
                  </w:rPr>
                  <w:tab/>
                </w:r>
                <w:r w:rsidRPr="004C4CA6">
                  <w:rPr>
                    <w:rStyle w:val="Hyperlink"/>
                  </w:rPr>
                  <w:t>Coastal and Marine protected areas</w:t>
                </w:r>
                <w:r>
                  <w:rPr>
                    <w:webHidden/>
                  </w:rPr>
                  <w:tab/>
                </w:r>
                <w:r>
                  <w:rPr>
                    <w:webHidden/>
                  </w:rPr>
                  <w:fldChar w:fldCharType="begin"/>
                </w:r>
                <w:r>
                  <w:rPr>
                    <w:webHidden/>
                  </w:rPr>
                  <w:instrText xml:space="preserve"> PAGEREF _Toc519499985 \h </w:instrText>
                </w:r>
                <w:r>
                  <w:rPr>
                    <w:webHidden/>
                  </w:rPr>
                </w:r>
                <w:r>
                  <w:rPr>
                    <w:webHidden/>
                  </w:rPr>
                  <w:fldChar w:fldCharType="separate"/>
                </w:r>
                <w:r>
                  <w:rPr>
                    <w:webHidden/>
                  </w:rPr>
                  <w:t>367</w:t>
                </w:r>
                <w:r>
                  <w:rPr>
                    <w:webHidden/>
                  </w:rPr>
                  <w:fldChar w:fldCharType="end"/>
                </w:r>
              </w:hyperlink>
            </w:p>
            <w:p w14:paraId="3551FABD" w14:textId="5606E09D"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86" w:history="1">
                <w:r w:rsidRPr="004C4CA6">
                  <w:rPr>
                    <w:rStyle w:val="Hyperlink"/>
                  </w:rPr>
                  <w:t>4.5.2.</w:t>
                </w:r>
                <w:r>
                  <w:rPr>
                    <w:rFonts w:asciiTheme="minorHAnsi" w:eastAsiaTheme="minorEastAsia" w:hAnsiTheme="minorHAnsi" w:cstheme="minorBidi"/>
                    <w:sz w:val="22"/>
                    <w:szCs w:val="22"/>
                    <w:lang w:val="en-US" w:eastAsia="en-US"/>
                  </w:rPr>
                  <w:tab/>
                </w:r>
                <w:r w:rsidRPr="004C4CA6">
                  <w:rPr>
                    <w:rStyle w:val="Hyperlink"/>
                  </w:rPr>
                  <w:t>Multilateral Environmental Agreements</w:t>
                </w:r>
                <w:r>
                  <w:rPr>
                    <w:webHidden/>
                  </w:rPr>
                  <w:tab/>
                </w:r>
                <w:r>
                  <w:rPr>
                    <w:webHidden/>
                  </w:rPr>
                  <w:fldChar w:fldCharType="begin"/>
                </w:r>
                <w:r>
                  <w:rPr>
                    <w:webHidden/>
                  </w:rPr>
                  <w:instrText xml:space="preserve"> PAGEREF _Toc519499986 \h </w:instrText>
                </w:r>
                <w:r>
                  <w:rPr>
                    <w:webHidden/>
                  </w:rPr>
                </w:r>
                <w:r>
                  <w:rPr>
                    <w:webHidden/>
                  </w:rPr>
                  <w:fldChar w:fldCharType="separate"/>
                </w:r>
                <w:r>
                  <w:rPr>
                    <w:webHidden/>
                  </w:rPr>
                  <w:t>367</w:t>
                </w:r>
                <w:r>
                  <w:rPr>
                    <w:webHidden/>
                  </w:rPr>
                  <w:fldChar w:fldCharType="end"/>
                </w:r>
              </w:hyperlink>
            </w:p>
            <w:p w14:paraId="250CEE18" w14:textId="6390706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87" w:history="1">
                <w:r w:rsidRPr="004C4CA6">
                  <w:rPr>
                    <w:rStyle w:val="Hyperlink"/>
                  </w:rPr>
                  <w:t>4.5.2.1.</w:t>
                </w:r>
                <w:r>
                  <w:rPr>
                    <w:rFonts w:asciiTheme="minorHAnsi" w:eastAsiaTheme="minorEastAsia" w:hAnsiTheme="minorHAnsi" w:cstheme="minorBidi"/>
                    <w:sz w:val="22"/>
                    <w:szCs w:val="22"/>
                    <w:lang w:val="en-US" w:eastAsia="en-US"/>
                  </w:rPr>
                  <w:tab/>
                </w:r>
                <w:r w:rsidRPr="004C4CA6">
                  <w:rPr>
                    <w:rStyle w:val="Hyperlink"/>
                  </w:rPr>
                  <w:t>African Union Agenda 2063</w:t>
                </w:r>
                <w:r>
                  <w:rPr>
                    <w:webHidden/>
                  </w:rPr>
                  <w:tab/>
                </w:r>
                <w:r>
                  <w:rPr>
                    <w:webHidden/>
                  </w:rPr>
                  <w:fldChar w:fldCharType="begin"/>
                </w:r>
                <w:r>
                  <w:rPr>
                    <w:webHidden/>
                  </w:rPr>
                  <w:instrText xml:space="preserve"> PAGEREF _Toc519499987 \h </w:instrText>
                </w:r>
                <w:r>
                  <w:rPr>
                    <w:webHidden/>
                  </w:rPr>
                </w:r>
                <w:r>
                  <w:rPr>
                    <w:webHidden/>
                  </w:rPr>
                  <w:fldChar w:fldCharType="separate"/>
                </w:r>
                <w:r>
                  <w:rPr>
                    <w:webHidden/>
                  </w:rPr>
                  <w:t>368</w:t>
                </w:r>
                <w:r>
                  <w:rPr>
                    <w:webHidden/>
                  </w:rPr>
                  <w:fldChar w:fldCharType="end"/>
                </w:r>
              </w:hyperlink>
            </w:p>
            <w:p w14:paraId="7C16C27E" w14:textId="4501B04C"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88" w:history="1">
                <w:r w:rsidRPr="004C4CA6">
                  <w:rPr>
                    <w:rStyle w:val="Hyperlink"/>
                  </w:rPr>
                  <w:t>4.5.3.</w:t>
                </w:r>
                <w:r>
                  <w:rPr>
                    <w:rFonts w:asciiTheme="minorHAnsi" w:eastAsiaTheme="minorEastAsia" w:hAnsiTheme="minorHAnsi" w:cstheme="minorBidi"/>
                    <w:sz w:val="22"/>
                    <w:szCs w:val="22"/>
                    <w:lang w:val="en-US" w:eastAsia="en-US"/>
                  </w:rPr>
                  <w:tab/>
                </w:r>
                <w:r w:rsidRPr="004C4CA6">
                  <w:rPr>
                    <w:rStyle w:val="Hyperlink"/>
                  </w:rPr>
                  <w:t>Sustainable land management</w:t>
                </w:r>
                <w:r>
                  <w:rPr>
                    <w:webHidden/>
                  </w:rPr>
                  <w:tab/>
                </w:r>
                <w:r>
                  <w:rPr>
                    <w:webHidden/>
                  </w:rPr>
                  <w:fldChar w:fldCharType="begin"/>
                </w:r>
                <w:r>
                  <w:rPr>
                    <w:webHidden/>
                  </w:rPr>
                  <w:instrText xml:space="preserve"> PAGEREF _Toc519499988 \h </w:instrText>
                </w:r>
                <w:r>
                  <w:rPr>
                    <w:webHidden/>
                  </w:rPr>
                </w:r>
                <w:r>
                  <w:rPr>
                    <w:webHidden/>
                  </w:rPr>
                  <w:fldChar w:fldCharType="separate"/>
                </w:r>
                <w:r>
                  <w:rPr>
                    <w:webHidden/>
                  </w:rPr>
                  <w:t>369</w:t>
                </w:r>
                <w:r>
                  <w:rPr>
                    <w:webHidden/>
                  </w:rPr>
                  <w:fldChar w:fldCharType="end"/>
                </w:r>
              </w:hyperlink>
            </w:p>
            <w:p w14:paraId="10304952" w14:textId="22268628" w:rsidR="00DA6432" w:rsidRDefault="00DA6432">
              <w:pPr>
                <w:pStyle w:val="TOC3"/>
                <w:rPr>
                  <w:rFonts w:asciiTheme="minorHAnsi" w:eastAsiaTheme="minorEastAsia" w:hAnsiTheme="minorHAnsi" w:cstheme="minorBidi"/>
                  <w:noProof/>
                  <w:color w:val="auto"/>
                  <w:lang w:val="en-US" w:eastAsia="en-US"/>
                </w:rPr>
              </w:pPr>
              <w:hyperlink w:anchor="_Toc519499989" w:history="1">
                <w:r w:rsidRPr="004C4CA6">
                  <w:rPr>
                    <w:rStyle w:val="Hyperlink"/>
                    <w:rFonts w:cs="Times New Roman"/>
                    <w:noProof/>
                  </w:rPr>
                  <w:t>4.6.</w:t>
                </w:r>
                <w:r>
                  <w:rPr>
                    <w:rFonts w:asciiTheme="minorHAnsi" w:eastAsiaTheme="minorEastAsia" w:hAnsiTheme="minorHAnsi" w:cstheme="minorBidi"/>
                    <w:noProof/>
                    <w:color w:val="auto"/>
                    <w:lang w:val="en-US" w:eastAsia="en-US"/>
                  </w:rPr>
                  <w:tab/>
                </w:r>
                <w:r w:rsidRPr="004C4CA6">
                  <w:rPr>
                    <w:rStyle w:val="Hyperlink"/>
                    <w:rFonts w:cs="Times New Roman"/>
                    <w:noProof/>
                  </w:rPr>
                  <w:t>Conclusion</w:t>
                </w:r>
                <w:r>
                  <w:rPr>
                    <w:noProof/>
                    <w:webHidden/>
                  </w:rPr>
                  <w:tab/>
                </w:r>
                <w:r>
                  <w:rPr>
                    <w:noProof/>
                    <w:webHidden/>
                  </w:rPr>
                  <w:fldChar w:fldCharType="begin"/>
                </w:r>
                <w:r>
                  <w:rPr>
                    <w:noProof/>
                    <w:webHidden/>
                  </w:rPr>
                  <w:instrText xml:space="preserve"> PAGEREF _Toc519499989 \h </w:instrText>
                </w:r>
                <w:r>
                  <w:rPr>
                    <w:noProof/>
                    <w:webHidden/>
                  </w:rPr>
                </w:r>
                <w:r>
                  <w:rPr>
                    <w:noProof/>
                    <w:webHidden/>
                  </w:rPr>
                  <w:fldChar w:fldCharType="separate"/>
                </w:r>
                <w:r>
                  <w:rPr>
                    <w:noProof/>
                    <w:webHidden/>
                  </w:rPr>
                  <w:t>370</w:t>
                </w:r>
                <w:r>
                  <w:rPr>
                    <w:noProof/>
                    <w:webHidden/>
                  </w:rPr>
                  <w:fldChar w:fldCharType="end"/>
                </w:r>
              </w:hyperlink>
            </w:p>
            <w:p w14:paraId="277997D9" w14:textId="12B84A7A" w:rsidR="00DA6432" w:rsidRDefault="00DA6432">
              <w:pPr>
                <w:pStyle w:val="TOC3"/>
                <w:rPr>
                  <w:rFonts w:asciiTheme="minorHAnsi" w:eastAsiaTheme="minorEastAsia" w:hAnsiTheme="minorHAnsi" w:cstheme="minorBidi"/>
                  <w:noProof/>
                  <w:color w:val="auto"/>
                  <w:lang w:val="en-US" w:eastAsia="en-US"/>
                </w:rPr>
              </w:pPr>
              <w:hyperlink w:anchor="_Toc519499990" w:history="1">
                <w:r w:rsidRPr="004C4CA6">
                  <w:rPr>
                    <w:rStyle w:val="Hyperlink"/>
                    <w:rFonts w:cs="Times New Roman"/>
                    <w:noProof/>
                  </w:rPr>
                  <w:t>4.7.</w:t>
                </w:r>
                <w:r>
                  <w:rPr>
                    <w:rFonts w:asciiTheme="minorHAnsi" w:eastAsiaTheme="minorEastAsia" w:hAnsiTheme="minorHAnsi" w:cstheme="minorBidi"/>
                    <w:noProof/>
                    <w:color w:val="auto"/>
                    <w:lang w:val="en-US" w:eastAsia="en-US"/>
                  </w:rPr>
                  <w:tab/>
                </w:r>
                <w:r w:rsidRPr="004C4CA6">
                  <w:rPr>
                    <w:rStyle w:val="Hyperlink"/>
                    <w:rFonts w:cs="Times New Roman"/>
                    <w:noProof/>
                  </w:rPr>
                  <w:t>References</w:t>
                </w:r>
                <w:r>
                  <w:rPr>
                    <w:noProof/>
                    <w:webHidden/>
                  </w:rPr>
                  <w:tab/>
                </w:r>
                <w:r>
                  <w:rPr>
                    <w:noProof/>
                    <w:webHidden/>
                  </w:rPr>
                  <w:fldChar w:fldCharType="begin"/>
                </w:r>
                <w:r>
                  <w:rPr>
                    <w:noProof/>
                    <w:webHidden/>
                  </w:rPr>
                  <w:instrText xml:space="preserve"> PAGEREF _Toc519499990 \h </w:instrText>
                </w:r>
                <w:r>
                  <w:rPr>
                    <w:noProof/>
                    <w:webHidden/>
                  </w:rPr>
                </w:r>
                <w:r>
                  <w:rPr>
                    <w:noProof/>
                    <w:webHidden/>
                  </w:rPr>
                  <w:fldChar w:fldCharType="separate"/>
                </w:r>
                <w:r>
                  <w:rPr>
                    <w:noProof/>
                    <w:webHidden/>
                  </w:rPr>
                  <w:t>372</w:t>
                </w:r>
                <w:r>
                  <w:rPr>
                    <w:noProof/>
                    <w:webHidden/>
                  </w:rPr>
                  <w:fldChar w:fldCharType="end"/>
                </w:r>
              </w:hyperlink>
            </w:p>
            <w:p w14:paraId="7EC31720" w14:textId="5597AF14" w:rsidR="00DA6432" w:rsidRDefault="00DA6432">
              <w:pPr>
                <w:pStyle w:val="TOC1"/>
                <w:rPr>
                  <w:rFonts w:asciiTheme="minorHAnsi" w:hAnsiTheme="minorHAnsi" w:cstheme="minorBidi"/>
                  <w:sz w:val="22"/>
                  <w:szCs w:val="22"/>
                </w:rPr>
              </w:pPr>
              <w:hyperlink w:anchor="_Toc519499991" w:history="1">
                <w:r w:rsidRPr="004C4CA6">
                  <w:rPr>
                    <w:rStyle w:val="Hyperlink"/>
                  </w:rPr>
                  <w:t>Chapter 5: Current and future interactions between nature and society</w:t>
                </w:r>
                <w:r>
                  <w:rPr>
                    <w:webHidden/>
                  </w:rPr>
                  <w:tab/>
                </w:r>
                <w:r>
                  <w:rPr>
                    <w:webHidden/>
                  </w:rPr>
                  <w:fldChar w:fldCharType="begin"/>
                </w:r>
                <w:r>
                  <w:rPr>
                    <w:webHidden/>
                  </w:rPr>
                  <w:instrText xml:space="preserve"> PAGEREF _Toc519499991 \h </w:instrText>
                </w:r>
                <w:r>
                  <w:rPr>
                    <w:webHidden/>
                  </w:rPr>
                </w:r>
                <w:r>
                  <w:rPr>
                    <w:webHidden/>
                  </w:rPr>
                  <w:fldChar w:fldCharType="separate"/>
                </w:r>
                <w:r>
                  <w:rPr>
                    <w:webHidden/>
                  </w:rPr>
                  <w:t>413</w:t>
                </w:r>
                <w:r>
                  <w:rPr>
                    <w:webHidden/>
                  </w:rPr>
                  <w:fldChar w:fldCharType="end"/>
                </w:r>
              </w:hyperlink>
            </w:p>
            <w:p w14:paraId="1D5B28C7" w14:textId="7E5392A0" w:rsidR="00DA6432" w:rsidRDefault="00DA6432">
              <w:pPr>
                <w:pStyle w:val="TOC3"/>
                <w:rPr>
                  <w:rFonts w:asciiTheme="minorHAnsi" w:eastAsiaTheme="minorEastAsia" w:hAnsiTheme="minorHAnsi" w:cstheme="minorBidi"/>
                  <w:noProof/>
                  <w:color w:val="auto"/>
                  <w:lang w:val="en-US" w:eastAsia="en-US"/>
                </w:rPr>
              </w:pPr>
              <w:hyperlink w:anchor="_Toc519499992" w:history="1">
                <w:r w:rsidRPr="004C4CA6">
                  <w:rPr>
                    <w:rStyle w:val="Hyperlink"/>
                    <w:rFonts w:cs="Times New Roman"/>
                    <w:noProof/>
                  </w:rPr>
                  <w:t>Executive Summary</w:t>
                </w:r>
                <w:r>
                  <w:rPr>
                    <w:noProof/>
                    <w:webHidden/>
                  </w:rPr>
                  <w:tab/>
                </w:r>
                <w:r>
                  <w:rPr>
                    <w:noProof/>
                    <w:webHidden/>
                  </w:rPr>
                  <w:fldChar w:fldCharType="begin"/>
                </w:r>
                <w:r>
                  <w:rPr>
                    <w:noProof/>
                    <w:webHidden/>
                  </w:rPr>
                  <w:instrText xml:space="preserve"> PAGEREF _Toc519499992 \h </w:instrText>
                </w:r>
                <w:r>
                  <w:rPr>
                    <w:noProof/>
                    <w:webHidden/>
                  </w:rPr>
                </w:r>
                <w:r>
                  <w:rPr>
                    <w:noProof/>
                    <w:webHidden/>
                  </w:rPr>
                  <w:fldChar w:fldCharType="separate"/>
                </w:r>
                <w:r>
                  <w:rPr>
                    <w:noProof/>
                    <w:webHidden/>
                  </w:rPr>
                  <w:t>414</w:t>
                </w:r>
                <w:r>
                  <w:rPr>
                    <w:noProof/>
                    <w:webHidden/>
                  </w:rPr>
                  <w:fldChar w:fldCharType="end"/>
                </w:r>
              </w:hyperlink>
            </w:p>
            <w:p w14:paraId="4D382166" w14:textId="53582892" w:rsidR="00DA6432" w:rsidRDefault="00DA6432">
              <w:pPr>
                <w:pStyle w:val="TOC3"/>
                <w:rPr>
                  <w:rFonts w:asciiTheme="minorHAnsi" w:eastAsiaTheme="minorEastAsia" w:hAnsiTheme="minorHAnsi" w:cstheme="minorBidi"/>
                  <w:noProof/>
                  <w:color w:val="auto"/>
                  <w:lang w:val="en-US" w:eastAsia="en-US"/>
                </w:rPr>
              </w:pPr>
              <w:hyperlink w:anchor="_Toc519499994" w:history="1">
                <w:r w:rsidRPr="004C4CA6">
                  <w:rPr>
                    <w:rStyle w:val="Hyperlink"/>
                    <w:rFonts w:cs="Times New Roman"/>
                    <w:noProof/>
                  </w:rPr>
                  <w:t>5.1.</w:t>
                </w:r>
                <w:r>
                  <w:rPr>
                    <w:rFonts w:asciiTheme="minorHAnsi" w:eastAsiaTheme="minorEastAsia" w:hAnsiTheme="minorHAnsi" w:cstheme="minorBidi"/>
                    <w:noProof/>
                    <w:color w:val="auto"/>
                    <w:lang w:val="en-US" w:eastAsia="en-US"/>
                  </w:rPr>
                  <w:tab/>
                </w:r>
                <w:r w:rsidRPr="004C4CA6">
                  <w:rPr>
                    <w:rStyle w:val="Hyperlink"/>
                    <w:rFonts w:cs="Times New Roman"/>
                    <w:noProof/>
                  </w:rPr>
                  <w:t>Introduction</w:t>
                </w:r>
                <w:r>
                  <w:rPr>
                    <w:noProof/>
                    <w:webHidden/>
                  </w:rPr>
                  <w:tab/>
                </w:r>
                <w:r>
                  <w:rPr>
                    <w:noProof/>
                    <w:webHidden/>
                  </w:rPr>
                  <w:fldChar w:fldCharType="begin"/>
                </w:r>
                <w:r>
                  <w:rPr>
                    <w:noProof/>
                    <w:webHidden/>
                  </w:rPr>
                  <w:instrText xml:space="preserve"> PAGEREF _Toc519499994 \h </w:instrText>
                </w:r>
                <w:r>
                  <w:rPr>
                    <w:noProof/>
                    <w:webHidden/>
                  </w:rPr>
                </w:r>
                <w:r>
                  <w:rPr>
                    <w:noProof/>
                    <w:webHidden/>
                  </w:rPr>
                  <w:fldChar w:fldCharType="separate"/>
                </w:r>
                <w:r>
                  <w:rPr>
                    <w:noProof/>
                    <w:webHidden/>
                  </w:rPr>
                  <w:t>417</w:t>
                </w:r>
                <w:r>
                  <w:rPr>
                    <w:noProof/>
                    <w:webHidden/>
                  </w:rPr>
                  <w:fldChar w:fldCharType="end"/>
                </w:r>
              </w:hyperlink>
            </w:p>
            <w:p w14:paraId="7D662E5A" w14:textId="67963B7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95" w:history="1">
                <w:r w:rsidRPr="004C4CA6">
                  <w:rPr>
                    <w:rStyle w:val="Hyperlink"/>
                  </w:rPr>
                  <w:t>5.1.1.</w:t>
                </w:r>
                <w:r>
                  <w:rPr>
                    <w:rFonts w:asciiTheme="minorHAnsi" w:eastAsiaTheme="minorEastAsia" w:hAnsiTheme="minorHAnsi" w:cstheme="minorBidi"/>
                    <w:sz w:val="22"/>
                    <w:szCs w:val="22"/>
                    <w:lang w:val="en-US" w:eastAsia="en-US"/>
                  </w:rPr>
                  <w:tab/>
                </w:r>
                <w:r w:rsidRPr="004C4CA6">
                  <w:rPr>
                    <w:rStyle w:val="Hyperlink"/>
                  </w:rPr>
                  <w:t>What are scenarios and how are they used in decision-making?</w:t>
                </w:r>
                <w:r>
                  <w:rPr>
                    <w:webHidden/>
                  </w:rPr>
                  <w:tab/>
                </w:r>
                <w:r>
                  <w:rPr>
                    <w:webHidden/>
                  </w:rPr>
                  <w:fldChar w:fldCharType="begin"/>
                </w:r>
                <w:r>
                  <w:rPr>
                    <w:webHidden/>
                  </w:rPr>
                  <w:instrText xml:space="preserve"> PAGEREF _Toc519499995 \h </w:instrText>
                </w:r>
                <w:r>
                  <w:rPr>
                    <w:webHidden/>
                  </w:rPr>
                </w:r>
                <w:r>
                  <w:rPr>
                    <w:webHidden/>
                  </w:rPr>
                  <w:fldChar w:fldCharType="separate"/>
                </w:r>
                <w:r>
                  <w:rPr>
                    <w:webHidden/>
                  </w:rPr>
                  <w:t>418</w:t>
                </w:r>
                <w:r>
                  <w:rPr>
                    <w:webHidden/>
                  </w:rPr>
                  <w:fldChar w:fldCharType="end"/>
                </w:r>
              </w:hyperlink>
            </w:p>
            <w:p w14:paraId="540D2CE7" w14:textId="3316443F"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96" w:history="1">
                <w:r w:rsidRPr="004C4CA6">
                  <w:rPr>
                    <w:rStyle w:val="Hyperlink"/>
                  </w:rPr>
                  <w:t>5.1.2.</w:t>
                </w:r>
                <w:r>
                  <w:rPr>
                    <w:rFonts w:asciiTheme="minorHAnsi" w:eastAsiaTheme="minorEastAsia" w:hAnsiTheme="minorHAnsi" w:cstheme="minorBidi"/>
                    <w:sz w:val="22"/>
                    <w:szCs w:val="22"/>
                    <w:lang w:val="en-US" w:eastAsia="en-US"/>
                  </w:rPr>
                  <w:tab/>
                </w:r>
                <w:r w:rsidRPr="004C4CA6">
                  <w:rPr>
                    <w:rStyle w:val="Hyperlink"/>
                  </w:rPr>
                  <w:t>What lies ahead?</w:t>
                </w:r>
                <w:r>
                  <w:rPr>
                    <w:webHidden/>
                  </w:rPr>
                  <w:tab/>
                </w:r>
                <w:r>
                  <w:rPr>
                    <w:webHidden/>
                  </w:rPr>
                  <w:fldChar w:fldCharType="begin"/>
                </w:r>
                <w:r>
                  <w:rPr>
                    <w:webHidden/>
                  </w:rPr>
                  <w:instrText xml:space="preserve"> PAGEREF _Toc519499996 \h </w:instrText>
                </w:r>
                <w:r>
                  <w:rPr>
                    <w:webHidden/>
                  </w:rPr>
                </w:r>
                <w:r>
                  <w:rPr>
                    <w:webHidden/>
                  </w:rPr>
                  <w:fldChar w:fldCharType="separate"/>
                </w:r>
                <w:r>
                  <w:rPr>
                    <w:webHidden/>
                  </w:rPr>
                  <w:t>420</w:t>
                </w:r>
                <w:r>
                  <w:rPr>
                    <w:webHidden/>
                  </w:rPr>
                  <w:fldChar w:fldCharType="end"/>
                </w:r>
              </w:hyperlink>
            </w:p>
            <w:p w14:paraId="18807DA6" w14:textId="4E2E3270" w:rsidR="00DA6432" w:rsidRDefault="00DA6432">
              <w:pPr>
                <w:pStyle w:val="TOC3"/>
                <w:rPr>
                  <w:rFonts w:asciiTheme="minorHAnsi" w:eastAsiaTheme="minorEastAsia" w:hAnsiTheme="minorHAnsi" w:cstheme="minorBidi"/>
                  <w:noProof/>
                  <w:color w:val="auto"/>
                  <w:lang w:val="en-US" w:eastAsia="en-US"/>
                </w:rPr>
              </w:pPr>
              <w:hyperlink w:anchor="_Toc519499997" w:history="1">
                <w:r w:rsidRPr="004C4CA6">
                  <w:rPr>
                    <w:rStyle w:val="Hyperlink"/>
                    <w:rFonts w:cs="Times New Roman"/>
                    <w:noProof/>
                  </w:rPr>
                  <w:t>5.2.</w:t>
                </w:r>
                <w:r>
                  <w:rPr>
                    <w:rFonts w:asciiTheme="minorHAnsi" w:eastAsiaTheme="minorEastAsia" w:hAnsiTheme="minorHAnsi" w:cstheme="minorBidi"/>
                    <w:noProof/>
                    <w:color w:val="auto"/>
                    <w:lang w:val="en-US" w:eastAsia="en-US"/>
                  </w:rPr>
                  <w:tab/>
                </w:r>
                <w:r w:rsidRPr="004C4CA6">
                  <w:rPr>
                    <w:rStyle w:val="Hyperlink"/>
                    <w:rFonts w:cs="Times New Roman"/>
                    <w:noProof/>
                  </w:rPr>
                  <w:t>Systematic review of scenario studies in Africa</w:t>
                </w:r>
                <w:r>
                  <w:rPr>
                    <w:noProof/>
                    <w:webHidden/>
                  </w:rPr>
                  <w:tab/>
                </w:r>
                <w:r>
                  <w:rPr>
                    <w:noProof/>
                    <w:webHidden/>
                  </w:rPr>
                  <w:fldChar w:fldCharType="begin"/>
                </w:r>
                <w:r>
                  <w:rPr>
                    <w:noProof/>
                    <w:webHidden/>
                  </w:rPr>
                  <w:instrText xml:space="preserve"> PAGEREF _Toc519499997 \h </w:instrText>
                </w:r>
                <w:r>
                  <w:rPr>
                    <w:noProof/>
                    <w:webHidden/>
                  </w:rPr>
                </w:r>
                <w:r>
                  <w:rPr>
                    <w:noProof/>
                    <w:webHidden/>
                  </w:rPr>
                  <w:fldChar w:fldCharType="separate"/>
                </w:r>
                <w:r>
                  <w:rPr>
                    <w:noProof/>
                    <w:webHidden/>
                  </w:rPr>
                  <w:t>421</w:t>
                </w:r>
                <w:r>
                  <w:rPr>
                    <w:noProof/>
                    <w:webHidden/>
                  </w:rPr>
                  <w:fldChar w:fldCharType="end"/>
                </w:r>
              </w:hyperlink>
            </w:p>
            <w:p w14:paraId="14611A15" w14:textId="600C7584"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98" w:history="1">
                <w:r w:rsidRPr="004C4CA6">
                  <w:rPr>
                    <w:rStyle w:val="Hyperlink"/>
                  </w:rPr>
                  <w:t>5.2.1.</w:t>
                </w:r>
                <w:r>
                  <w:rPr>
                    <w:rFonts w:asciiTheme="minorHAnsi" w:eastAsiaTheme="minorEastAsia" w:hAnsiTheme="minorHAnsi" w:cstheme="minorBidi"/>
                    <w:sz w:val="22"/>
                    <w:szCs w:val="22"/>
                    <w:lang w:val="en-US" w:eastAsia="en-US"/>
                  </w:rPr>
                  <w:tab/>
                </w:r>
                <w:r w:rsidRPr="004C4CA6">
                  <w:rPr>
                    <w:rStyle w:val="Hyperlink"/>
                  </w:rPr>
                  <w:t>Approach</w:t>
                </w:r>
                <w:r>
                  <w:rPr>
                    <w:webHidden/>
                  </w:rPr>
                  <w:tab/>
                </w:r>
                <w:r>
                  <w:rPr>
                    <w:webHidden/>
                  </w:rPr>
                  <w:fldChar w:fldCharType="begin"/>
                </w:r>
                <w:r>
                  <w:rPr>
                    <w:webHidden/>
                  </w:rPr>
                  <w:instrText xml:space="preserve"> PAGEREF _Toc519499998 \h </w:instrText>
                </w:r>
                <w:r>
                  <w:rPr>
                    <w:webHidden/>
                  </w:rPr>
                </w:r>
                <w:r>
                  <w:rPr>
                    <w:webHidden/>
                  </w:rPr>
                  <w:fldChar w:fldCharType="separate"/>
                </w:r>
                <w:r>
                  <w:rPr>
                    <w:webHidden/>
                  </w:rPr>
                  <w:t>421</w:t>
                </w:r>
                <w:r>
                  <w:rPr>
                    <w:webHidden/>
                  </w:rPr>
                  <w:fldChar w:fldCharType="end"/>
                </w:r>
              </w:hyperlink>
            </w:p>
            <w:p w14:paraId="6C3243C2" w14:textId="5C2F4BFC"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499999" w:history="1">
                <w:r w:rsidRPr="004C4CA6">
                  <w:rPr>
                    <w:rStyle w:val="Hyperlink"/>
                  </w:rPr>
                  <w:t>5.2.2.</w:t>
                </w:r>
                <w:r>
                  <w:rPr>
                    <w:rFonts w:asciiTheme="minorHAnsi" w:eastAsiaTheme="minorEastAsia" w:hAnsiTheme="minorHAnsi" w:cstheme="minorBidi"/>
                    <w:sz w:val="22"/>
                    <w:szCs w:val="22"/>
                    <w:lang w:val="en-US" w:eastAsia="en-US"/>
                  </w:rPr>
                  <w:tab/>
                </w:r>
                <w:r w:rsidRPr="004C4CA6">
                  <w:rPr>
                    <w:rStyle w:val="Hyperlink"/>
                  </w:rPr>
                  <w:t>Key findings</w:t>
                </w:r>
                <w:r>
                  <w:rPr>
                    <w:webHidden/>
                  </w:rPr>
                  <w:tab/>
                </w:r>
                <w:r>
                  <w:rPr>
                    <w:webHidden/>
                  </w:rPr>
                  <w:fldChar w:fldCharType="begin"/>
                </w:r>
                <w:r>
                  <w:rPr>
                    <w:webHidden/>
                  </w:rPr>
                  <w:instrText xml:space="preserve"> PAGEREF _Toc519499999 \h </w:instrText>
                </w:r>
                <w:r>
                  <w:rPr>
                    <w:webHidden/>
                  </w:rPr>
                </w:r>
                <w:r>
                  <w:rPr>
                    <w:webHidden/>
                  </w:rPr>
                  <w:fldChar w:fldCharType="separate"/>
                </w:r>
                <w:r>
                  <w:rPr>
                    <w:webHidden/>
                  </w:rPr>
                  <w:t>422</w:t>
                </w:r>
                <w:r>
                  <w:rPr>
                    <w:webHidden/>
                  </w:rPr>
                  <w:fldChar w:fldCharType="end"/>
                </w:r>
              </w:hyperlink>
            </w:p>
            <w:p w14:paraId="5F5E6927" w14:textId="1A518BE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00" w:history="1">
                <w:r w:rsidRPr="004C4CA6">
                  <w:rPr>
                    <w:rStyle w:val="Hyperlink"/>
                  </w:rPr>
                  <w:t>5.2.2.1.</w:t>
                </w:r>
                <w:r>
                  <w:rPr>
                    <w:rFonts w:asciiTheme="minorHAnsi" w:eastAsiaTheme="minorEastAsia" w:hAnsiTheme="minorHAnsi" w:cstheme="minorBidi"/>
                    <w:sz w:val="22"/>
                    <w:szCs w:val="22"/>
                    <w:lang w:val="en-US" w:eastAsia="en-US"/>
                  </w:rPr>
                  <w:tab/>
                </w:r>
                <w:r w:rsidRPr="004C4CA6">
                  <w:rPr>
                    <w:rStyle w:val="Hyperlink"/>
                  </w:rPr>
                  <w:t>Types of scenario studies</w:t>
                </w:r>
                <w:r>
                  <w:rPr>
                    <w:webHidden/>
                  </w:rPr>
                  <w:tab/>
                </w:r>
                <w:r>
                  <w:rPr>
                    <w:webHidden/>
                  </w:rPr>
                  <w:fldChar w:fldCharType="begin"/>
                </w:r>
                <w:r>
                  <w:rPr>
                    <w:webHidden/>
                  </w:rPr>
                  <w:instrText xml:space="preserve"> PAGEREF _Toc519500000 \h </w:instrText>
                </w:r>
                <w:r>
                  <w:rPr>
                    <w:webHidden/>
                  </w:rPr>
                </w:r>
                <w:r>
                  <w:rPr>
                    <w:webHidden/>
                  </w:rPr>
                  <w:fldChar w:fldCharType="separate"/>
                </w:r>
                <w:r>
                  <w:rPr>
                    <w:webHidden/>
                  </w:rPr>
                  <w:t>422</w:t>
                </w:r>
                <w:r>
                  <w:rPr>
                    <w:webHidden/>
                  </w:rPr>
                  <w:fldChar w:fldCharType="end"/>
                </w:r>
              </w:hyperlink>
            </w:p>
            <w:p w14:paraId="43F4EACA" w14:textId="1E583F4C"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01" w:history="1">
                <w:r w:rsidRPr="004C4CA6">
                  <w:rPr>
                    <w:rStyle w:val="Hyperlink"/>
                  </w:rPr>
                  <w:t>5.2.2.2.</w:t>
                </w:r>
                <w:r>
                  <w:rPr>
                    <w:rFonts w:asciiTheme="minorHAnsi" w:eastAsiaTheme="minorEastAsia" w:hAnsiTheme="minorHAnsi" w:cstheme="minorBidi"/>
                    <w:sz w:val="22"/>
                    <w:szCs w:val="22"/>
                    <w:lang w:val="en-US" w:eastAsia="en-US"/>
                  </w:rPr>
                  <w:tab/>
                </w:r>
                <w:r w:rsidRPr="004C4CA6">
                  <w:rPr>
                    <w:rStyle w:val="Hyperlink"/>
                  </w:rPr>
                  <w:t>Scale and geographic area</w:t>
                </w:r>
                <w:r>
                  <w:rPr>
                    <w:webHidden/>
                  </w:rPr>
                  <w:tab/>
                </w:r>
                <w:r>
                  <w:rPr>
                    <w:webHidden/>
                  </w:rPr>
                  <w:fldChar w:fldCharType="begin"/>
                </w:r>
                <w:r>
                  <w:rPr>
                    <w:webHidden/>
                  </w:rPr>
                  <w:instrText xml:space="preserve"> PAGEREF _Toc519500001 \h </w:instrText>
                </w:r>
                <w:r>
                  <w:rPr>
                    <w:webHidden/>
                  </w:rPr>
                </w:r>
                <w:r>
                  <w:rPr>
                    <w:webHidden/>
                  </w:rPr>
                  <w:fldChar w:fldCharType="separate"/>
                </w:r>
                <w:r>
                  <w:rPr>
                    <w:webHidden/>
                  </w:rPr>
                  <w:t>422</w:t>
                </w:r>
                <w:r>
                  <w:rPr>
                    <w:webHidden/>
                  </w:rPr>
                  <w:fldChar w:fldCharType="end"/>
                </w:r>
              </w:hyperlink>
            </w:p>
            <w:p w14:paraId="25E01742" w14:textId="0F4F28C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02" w:history="1">
                <w:r w:rsidRPr="004C4CA6">
                  <w:rPr>
                    <w:rStyle w:val="Hyperlink"/>
                  </w:rPr>
                  <w:t>5.2.2.3.</w:t>
                </w:r>
                <w:r>
                  <w:rPr>
                    <w:rFonts w:asciiTheme="minorHAnsi" w:eastAsiaTheme="minorEastAsia" w:hAnsiTheme="minorHAnsi" w:cstheme="minorBidi"/>
                    <w:sz w:val="22"/>
                    <w:szCs w:val="22"/>
                    <w:lang w:val="en-US" w:eastAsia="en-US"/>
                  </w:rPr>
                  <w:tab/>
                </w:r>
                <w:r w:rsidRPr="004C4CA6">
                  <w:rPr>
                    <w:rStyle w:val="Hyperlink"/>
                  </w:rPr>
                  <w:t>Key issues addressed</w:t>
                </w:r>
                <w:r>
                  <w:rPr>
                    <w:webHidden/>
                  </w:rPr>
                  <w:tab/>
                </w:r>
                <w:r>
                  <w:rPr>
                    <w:webHidden/>
                  </w:rPr>
                  <w:fldChar w:fldCharType="begin"/>
                </w:r>
                <w:r>
                  <w:rPr>
                    <w:webHidden/>
                  </w:rPr>
                  <w:instrText xml:space="preserve"> PAGEREF _Toc519500002 \h </w:instrText>
                </w:r>
                <w:r>
                  <w:rPr>
                    <w:webHidden/>
                  </w:rPr>
                </w:r>
                <w:r>
                  <w:rPr>
                    <w:webHidden/>
                  </w:rPr>
                  <w:fldChar w:fldCharType="separate"/>
                </w:r>
                <w:r>
                  <w:rPr>
                    <w:webHidden/>
                  </w:rPr>
                  <w:t>423</w:t>
                </w:r>
                <w:r>
                  <w:rPr>
                    <w:webHidden/>
                  </w:rPr>
                  <w:fldChar w:fldCharType="end"/>
                </w:r>
              </w:hyperlink>
            </w:p>
            <w:p w14:paraId="20E90A95" w14:textId="2C064490"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03" w:history="1">
                <w:r w:rsidRPr="004C4CA6">
                  <w:rPr>
                    <w:rStyle w:val="Hyperlink"/>
                  </w:rPr>
                  <w:t>5.2.2.4.</w:t>
                </w:r>
                <w:r>
                  <w:rPr>
                    <w:rFonts w:asciiTheme="minorHAnsi" w:eastAsiaTheme="minorEastAsia" w:hAnsiTheme="minorHAnsi" w:cstheme="minorBidi"/>
                    <w:sz w:val="22"/>
                    <w:szCs w:val="22"/>
                    <w:lang w:val="en-US" w:eastAsia="en-US"/>
                  </w:rPr>
                  <w:tab/>
                </w:r>
                <w:r w:rsidRPr="004C4CA6">
                  <w:rPr>
                    <w:rStyle w:val="Hyperlink"/>
                  </w:rPr>
                  <w:t>Participatory and modelling approaches</w:t>
                </w:r>
                <w:r>
                  <w:rPr>
                    <w:webHidden/>
                  </w:rPr>
                  <w:tab/>
                </w:r>
                <w:r>
                  <w:rPr>
                    <w:webHidden/>
                  </w:rPr>
                  <w:fldChar w:fldCharType="begin"/>
                </w:r>
                <w:r>
                  <w:rPr>
                    <w:webHidden/>
                  </w:rPr>
                  <w:instrText xml:space="preserve"> PAGEREF _Toc519500003 \h </w:instrText>
                </w:r>
                <w:r>
                  <w:rPr>
                    <w:webHidden/>
                  </w:rPr>
                </w:r>
                <w:r>
                  <w:rPr>
                    <w:webHidden/>
                  </w:rPr>
                  <w:fldChar w:fldCharType="separate"/>
                </w:r>
                <w:r>
                  <w:rPr>
                    <w:webHidden/>
                  </w:rPr>
                  <w:t>423</w:t>
                </w:r>
                <w:r>
                  <w:rPr>
                    <w:webHidden/>
                  </w:rPr>
                  <w:fldChar w:fldCharType="end"/>
                </w:r>
              </w:hyperlink>
            </w:p>
            <w:p w14:paraId="2747B42C" w14:textId="0DFBA00C"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04" w:history="1">
                <w:r w:rsidRPr="004C4CA6">
                  <w:rPr>
                    <w:rStyle w:val="Hyperlink"/>
                  </w:rPr>
                  <w:t>5.2.2.5.</w:t>
                </w:r>
                <w:r>
                  <w:rPr>
                    <w:rFonts w:asciiTheme="minorHAnsi" w:eastAsiaTheme="minorEastAsia" w:hAnsiTheme="minorHAnsi" w:cstheme="minorBidi"/>
                    <w:sz w:val="22"/>
                    <w:szCs w:val="22"/>
                    <w:lang w:val="en-US" w:eastAsia="en-US"/>
                  </w:rPr>
                  <w:tab/>
                </w:r>
                <w:r w:rsidRPr="004C4CA6">
                  <w:rPr>
                    <w:rStyle w:val="Hyperlink"/>
                  </w:rPr>
                  <w:t>Inclusion of Indigenous and Local Knowledge (ILK)</w:t>
                </w:r>
                <w:r>
                  <w:rPr>
                    <w:webHidden/>
                  </w:rPr>
                  <w:tab/>
                </w:r>
                <w:r>
                  <w:rPr>
                    <w:webHidden/>
                  </w:rPr>
                  <w:fldChar w:fldCharType="begin"/>
                </w:r>
                <w:r>
                  <w:rPr>
                    <w:webHidden/>
                  </w:rPr>
                  <w:instrText xml:space="preserve"> PAGEREF _Toc519500004 \h </w:instrText>
                </w:r>
                <w:r>
                  <w:rPr>
                    <w:webHidden/>
                  </w:rPr>
                </w:r>
                <w:r>
                  <w:rPr>
                    <w:webHidden/>
                  </w:rPr>
                  <w:fldChar w:fldCharType="separate"/>
                </w:r>
                <w:r>
                  <w:rPr>
                    <w:webHidden/>
                  </w:rPr>
                  <w:t>424</w:t>
                </w:r>
                <w:r>
                  <w:rPr>
                    <w:webHidden/>
                  </w:rPr>
                  <w:fldChar w:fldCharType="end"/>
                </w:r>
              </w:hyperlink>
            </w:p>
            <w:p w14:paraId="04D7BEC0" w14:textId="1F151047"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05" w:history="1">
                <w:r w:rsidRPr="004C4CA6">
                  <w:rPr>
                    <w:rStyle w:val="Hyperlink"/>
                  </w:rPr>
                  <w:t>5.2.2.6.</w:t>
                </w:r>
                <w:r>
                  <w:rPr>
                    <w:rFonts w:asciiTheme="minorHAnsi" w:eastAsiaTheme="minorEastAsia" w:hAnsiTheme="minorHAnsi" w:cstheme="minorBidi"/>
                    <w:sz w:val="22"/>
                    <w:szCs w:val="22"/>
                    <w:lang w:val="en-US" w:eastAsia="en-US"/>
                  </w:rPr>
                  <w:tab/>
                </w:r>
                <w:r w:rsidRPr="004C4CA6">
                  <w:rPr>
                    <w:rStyle w:val="Hyperlink"/>
                  </w:rPr>
                  <w:t>Capacity to undertake scenario studies</w:t>
                </w:r>
                <w:r>
                  <w:rPr>
                    <w:webHidden/>
                  </w:rPr>
                  <w:tab/>
                </w:r>
                <w:r>
                  <w:rPr>
                    <w:webHidden/>
                  </w:rPr>
                  <w:fldChar w:fldCharType="begin"/>
                </w:r>
                <w:r>
                  <w:rPr>
                    <w:webHidden/>
                  </w:rPr>
                  <w:instrText xml:space="preserve"> PAGEREF _Toc519500005 \h </w:instrText>
                </w:r>
                <w:r>
                  <w:rPr>
                    <w:webHidden/>
                  </w:rPr>
                </w:r>
                <w:r>
                  <w:rPr>
                    <w:webHidden/>
                  </w:rPr>
                  <w:fldChar w:fldCharType="separate"/>
                </w:r>
                <w:r>
                  <w:rPr>
                    <w:webHidden/>
                  </w:rPr>
                  <w:t>424</w:t>
                </w:r>
                <w:r>
                  <w:rPr>
                    <w:webHidden/>
                  </w:rPr>
                  <w:fldChar w:fldCharType="end"/>
                </w:r>
              </w:hyperlink>
            </w:p>
            <w:p w14:paraId="63BD7928" w14:textId="15793D73" w:rsidR="00DA6432" w:rsidRDefault="00DA6432">
              <w:pPr>
                <w:pStyle w:val="TOC3"/>
                <w:rPr>
                  <w:rFonts w:asciiTheme="minorHAnsi" w:eastAsiaTheme="minorEastAsia" w:hAnsiTheme="minorHAnsi" w:cstheme="minorBidi"/>
                  <w:noProof/>
                  <w:color w:val="auto"/>
                  <w:lang w:val="en-US" w:eastAsia="en-US"/>
                </w:rPr>
              </w:pPr>
              <w:hyperlink w:anchor="_Toc519500006" w:history="1">
                <w:r w:rsidRPr="004C4CA6">
                  <w:rPr>
                    <w:rStyle w:val="Hyperlink"/>
                    <w:rFonts w:cs="Times New Roman"/>
                    <w:noProof/>
                  </w:rPr>
                  <w:t>5.3.</w:t>
                </w:r>
                <w:r>
                  <w:rPr>
                    <w:rFonts w:asciiTheme="minorHAnsi" w:eastAsiaTheme="minorEastAsia" w:hAnsiTheme="minorHAnsi" w:cstheme="minorBidi"/>
                    <w:noProof/>
                    <w:color w:val="auto"/>
                    <w:lang w:val="en-US" w:eastAsia="en-US"/>
                  </w:rPr>
                  <w:tab/>
                </w:r>
                <w:r w:rsidRPr="004C4CA6">
                  <w:rPr>
                    <w:rStyle w:val="Hyperlink"/>
                    <w:rFonts w:cs="Times New Roman"/>
                    <w:noProof/>
                  </w:rPr>
                  <w:t>Classifying scenario studies into archetypes</w:t>
                </w:r>
                <w:r>
                  <w:rPr>
                    <w:noProof/>
                    <w:webHidden/>
                  </w:rPr>
                  <w:tab/>
                </w:r>
                <w:r>
                  <w:rPr>
                    <w:noProof/>
                    <w:webHidden/>
                  </w:rPr>
                  <w:fldChar w:fldCharType="begin"/>
                </w:r>
                <w:r>
                  <w:rPr>
                    <w:noProof/>
                    <w:webHidden/>
                  </w:rPr>
                  <w:instrText xml:space="preserve"> PAGEREF _Toc519500006 \h </w:instrText>
                </w:r>
                <w:r>
                  <w:rPr>
                    <w:noProof/>
                    <w:webHidden/>
                  </w:rPr>
                </w:r>
                <w:r>
                  <w:rPr>
                    <w:noProof/>
                    <w:webHidden/>
                  </w:rPr>
                  <w:fldChar w:fldCharType="separate"/>
                </w:r>
                <w:r>
                  <w:rPr>
                    <w:noProof/>
                    <w:webHidden/>
                  </w:rPr>
                  <w:t>426</w:t>
                </w:r>
                <w:r>
                  <w:rPr>
                    <w:noProof/>
                    <w:webHidden/>
                  </w:rPr>
                  <w:fldChar w:fldCharType="end"/>
                </w:r>
              </w:hyperlink>
            </w:p>
            <w:p w14:paraId="76DDD037" w14:textId="17DCE20B" w:rsidR="00DA6432" w:rsidRDefault="00DA6432">
              <w:pPr>
                <w:pStyle w:val="TOC3"/>
                <w:rPr>
                  <w:rFonts w:asciiTheme="minorHAnsi" w:eastAsiaTheme="minorEastAsia" w:hAnsiTheme="minorHAnsi" w:cstheme="minorBidi"/>
                  <w:noProof/>
                  <w:color w:val="auto"/>
                  <w:lang w:val="en-US" w:eastAsia="en-US"/>
                </w:rPr>
              </w:pPr>
              <w:hyperlink w:anchor="_Toc519500007" w:history="1">
                <w:r w:rsidRPr="004C4CA6">
                  <w:rPr>
                    <w:rStyle w:val="Hyperlink"/>
                    <w:rFonts w:cs="Times New Roman"/>
                    <w:noProof/>
                  </w:rPr>
                  <w:t>5.4.</w:t>
                </w:r>
                <w:r>
                  <w:rPr>
                    <w:rFonts w:asciiTheme="minorHAnsi" w:eastAsiaTheme="minorEastAsia" w:hAnsiTheme="minorHAnsi" w:cstheme="minorBidi"/>
                    <w:noProof/>
                    <w:color w:val="auto"/>
                    <w:lang w:val="en-US" w:eastAsia="en-US"/>
                  </w:rPr>
                  <w:tab/>
                </w:r>
                <w:r w:rsidRPr="004C4CA6">
                  <w:rPr>
                    <w:rStyle w:val="Hyperlink"/>
                    <w:rFonts w:cs="Times New Roman"/>
                    <w:noProof/>
                  </w:rPr>
                  <w:t>Drivers of change</w:t>
                </w:r>
                <w:r>
                  <w:rPr>
                    <w:noProof/>
                    <w:webHidden/>
                  </w:rPr>
                  <w:tab/>
                </w:r>
                <w:r>
                  <w:rPr>
                    <w:noProof/>
                    <w:webHidden/>
                  </w:rPr>
                  <w:fldChar w:fldCharType="begin"/>
                </w:r>
                <w:r>
                  <w:rPr>
                    <w:noProof/>
                    <w:webHidden/>
                  </w:rPr>
                  <w:instrText xml:space="preserve"> PAGEREF _Toc519500007 \h </w:instrText>
                </w:r>
                <w:r>
                  <w:rPr>
                    <w:noProof/>
                    <w:webHidden/>
                  </w:rPr>
                </w:r>
                <w:r>
                  <w:rPr>
                    <w:noProof/>
                    <w:webHidden/>
                  </w:rPr>
                  <w:fldChar w:fldCharType="separate"/>
                </w:r>
                <w:r>
                  <w:rPr>
                    <w:noProof/>
                    <w:webHidden/>
                  </w:rPr>
                  <w:t>429</w:t>
                </w:r>
                <w:r>
                  <w:rPr>
                    <w:noProof/>
                    <w:webHidden/>
                  </w:rPr>
                  <w:fldChar w:fldCharType="end"/>
                </w:r>
              </w:hyperlink>
            </w:p>
            <w:p w14:paraId="3689C245" w14:textId="121DB567"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08" w:history="1">
                <w:r w:rsidRPr="004C4CA6">
                  <w:rPr>
                    <w:rStyle w:val="Hyperlink"/>
                  </w:rPr>
                  <w:t>5.4.1.</w:t>
                </w:r>
                <w:r>
                  <w:rPr>
                    <w:rFonts w:asciiTheme="minorHAnsi" w:eastAsiaTheme="minorEastAsia" w:hAnsiTheme="minorHAnsi" w:cstheme="minorBidi"/>
                    <w:sz w:val="22"/>
                    <w:szCs w:val="22"/>
                    <w:lang w:val="en-US" w:eastAsia="en-US"/>
                  </w:rPr>
                  <w:tab/>
                </w:r>
                <w:r w:rsidRPr="004C4CA6">
                  <w:rPr>
                    <w:rStyle w:val="Hyperlink"/>
                  </w:rPr>
                  <w:t>Population</w:t>
                </w:r>
                <w:r>
                  <w:rPr>
                    <w:webHidden/>
                  </w:rPr>
                  <w:tab/>
                </w:r>
                <w:r>
                  <w:rPr>
                    <w:webHidden/>
                  </w:rPr>
                  <w:fldChar w:fldCharType="begin"/>
                </w:r>
                <w:r>
                  <w:rPr>
                    <w:webHidden/>
                  </w:rPr>
                  <w:instrText xml:space="preserve"> PAGEREF _Toc519500008 \h </w:instrText>
                </w:r>
                <w:r>
                  <w:rPr>
                    <w:webHidden/>
                  </w:rPr>
                </w:r>
                <w:r>
                  <w:rPr>
                    <w:webHidden/>
                  </w:rPr>
                  <w:fldChar w:fldCharType="separate"/>
                </w:r>
                <w:r>
                  <w:rPr>
                    <w:webHidden/>
                  </w:rPr>
                  <w:t>430</w:t>
                </w:r>
                <w:r>
                  <w:rPr>
                    <w:webHidden/>
                  </w:rPr>
                  <w:fldChar w:fldCharType="end"/>
                </w:r>
              </w:hyperlink>
            </w:p>
            <w:p w14:paraId="5DEEA74F" w14:textId="585E8365"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09" w:history="1">
                <w:r w:rsidRPr="004C4CA6">
                  <w:rPr>
                    <w:rStyle w:val="Hyperlink"/>
                  </w:rPr>
                  <w:t>5.4.2.</w:t>
                </w:r>
                <w:r>
                  <w:rPr>
                    <w:rFonts w:asciiTheme="minorHAnsi" w:eastAsiaTheme="minorEastAsia" w:hAnsiTheme="minorHAnsi" w:cstheme="minorBidi"/>
                    <w:sz w:val="22"/>
                    <w:szCs w:val="22"/>
                    <w:lang w:val="en-US" w:eastAsia="en-US"/>
                  </w:rPr>
                  <w:tab/>
                </w:r>
                <w:r w:rsidRPr="004C4CA6">
                  <w:rPr>
                    <w:rStyle w:val="Hyperlink"/>
                  </w:rPr>
                  <w:t>Urbanisation</w:t>
                </w:r>
                <w:r>
                  <w:rPr>
                    <w:webHidden/>
                  </w:rPr>
                  <w:tab/>
                </w:r>
                <w:r>
                  <w:rPr>
                    <w:webHidden/>
                  </w:rPr>
                  <w:fldChar w:fldCharType="begin"/>
                </w:r>
                <w:r>
                  <w:rPr>
                    <w:webHidden/>
                  </w:rPr>
                  <w:instrText xml:space="preserve"> PAGEREF _Toc519500009 \h </w:instrText>
                </w:r>
                <w:r>
                  <w:rPr>
                    <w:webHidden/>
                  </w:rPr>
                </w:r>
                <w:r>
                  <w:rPr>
                    <w:webHidden/>
                  </w:rPr>
                  <w:fldChar w:fldCharType="separate"/>
                </w:r>
                <w:r>
                  <w:rPr>
                    <w:webHidden/>
                  </w:rPr>
                  <w:t>431</w:t>
                </w:r>
                <w:r>
                  <w:rPr>
                    <w:webHidden/>
                  </w:rPr>
                  <w:fldChar w:fldCharType="end"/>
                </w:r>
              </w:hyperlink>
            </w:p>
            <w:p w14:paraId="27955E2A" w14:textId="64C11482"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10" w:history="1">
                <w:r w:rsidRPr="004C4CA6">
                  <w:rPr>
                    <w:rStyle w:val="Hyperlink"/>
                  </w:rPr>
                  <w:t>5.4.3.</w:t>
                </w:r>
                <w:r>
                  <w:rPr>
                    <w:rFonts w:asciiTheme="minorHAnsi" w:eastAsiaTheme="minorEastAsia" w:hAnsiTheme="minorHAnsi" w:cstheme="minorBidi"/>
                    <w:sz w:val="22"/>
                    <w:szCs w:val="22"/>
                    <w:lang w:val="en-US" w:eastAsia="en-US"/>
                  </w:rPr>
                  <w:tab/>
                </w:r>
                <w:r w:rsidRPr="004C4CA6">
                  <w:rPr>
                    <w:rStyle w:val="Hyperlink"/>
                  </w:rPr>
                  <w:t>Consumption and natural resource use</w:t>
                </w:r>
                <w:r>
                  <w:rPr>
                    <w:webHidden/>
                  </w:rPr>
                  <w:tab/>
                </w:r>
                <w:r>
                  <w:rPr>
                    <w:webHidden/>
                  </w:rPr>
                  <w:fldChar w:fldCharType="begin"/>
                </w:r>
                <w:r>
                  <w:rPr>
                    <w:webHidden/>
                  </w:rPr>
                  <w:instrText xml:space="preserve"> PAGEREF _Toc519500010 \h </w:instrText>
                </w:r>
                <w:r>
                  <w:rPr>
                    <w:webHidden/>
                  </w:rPr>
                </w:r>
                <w:r>
                  <w:rPr>
                    <w:webHidden/>
                  </w:rPr>
                  <w:fldChar w:fldCharType="separate"/>
                </w:r>
                <w:r>
                  <w:rPr>
                    <w:webHidden/>
                  </w:rPr>
                  <w:t>431</w:t>
                </w:r>
                <w:r>
                  <w:rPr>
                    <w:webHidden/>
                  </w:rPr>
                  <w:fldChar w:fldCharType="end"/>
                </w:r>
              </w:hyperlink>
            </w:p>
            <w:p w14:paraId="284A2A48" w14:textId="3053E000"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11" w:history="1">
                <w:r w:rsidRPr="004C4CA6">
                  <w:rPr>
                    <w:rStyle w:val="Hyperlink"/>
                  </w:rPr>
                  <w:t>5.4.4.</w:t>
                </w:r>
                <w:r>
                  <w:rPr>
                    <w:rFonts w:asciiTheme="minorHAnsi" w:eastAsiaTheme="minorEastAsia" w:hAnsiTheme="minorHAnsi" w:cstheme="minorBidi"/>
                    <w:sz w:val="22"/>
                    <w:szCs w:val="22"/>
                    <w:lang w:val="en-US" w:eastAsia="en-US"/>
                  </w:rPr>
                  <w:tab/>
                </w:r>
                <w:r w:rsidRPr="004C4CA6">
                  <w:rPr>
                    <w:rStyle w:val="Hyperlink"/>
                  </w:rPr>
                  <w:t>Global trade and resource demand</w:t>
                </w:r>
                <w:r>
                  <w:rPr>
                    <w:webHidden/>
                  </w:rPr>
                  <w:tab/>
                </w:r>
                <w:r>
                  <w:rPr>
                    <w:webHidden/>
                  </w:rPr>
                  <w:fldChar w:fldCharType="begin"/>
                </w:r>
                <w:r>
                  <w:rPr>
                    <w:webHidden/>
                  </w:rPr>
                  <w:instrText xml:space="preserve"> PAGEREF _Toc519500011 \h </w:instrText>
                </w:r>
                <w:r>
                  <w:rPr>
                    <w:webHidden/>
                  </w:rPr>
                </w:r>
                <w:r>
                  <w:rPr>
                    <w:webHidden/>
                  </w:rPr>
                  <w:fldChar w:fldCharType="separate"/>
                </w:r>
                <w:r>
                  <w:rPr>
                    <w:webHidden/>
                  </w:rPr>
                  <w:t>433</w:t>
                </w:r>
                <w:r>
                  <w:rPr>
                    <w:webHidden/>
                  </w:rPr>
                  <w:fldChar w:fldCharType="end"/>
                </w:r>
              </w:hyperlink>
            </w:p>
            <w:p w14:paraId="4044C866" w14:textId="487ED79E"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12" w:history="1">
                <w:r w:rsidRPr="004C4CA6">
                  <w:rPr>
                    <w:rStyle w:val="Hyperlink"/>
                  </w:rPr>
                  <w:t>5.4.5.</w:t>
                </w:r>
                <w:r>
                  <w:rPr>
                    <w:rFonts w:asciiTheme="minorHAnsi" w:eastAsiaTheme="minorEastAsia" w:hAnsiTheme="minorHAnsi" w:cstheme="minorBidi"/>
                    <w:sz w:val="22"/>
                    <w:szCs w:val="22"/>
                    <w:lang w:val="en-US" w:eastAsia="en-US"/>
                  </w:rPr>
                  <w:tab/>
                </w:r>
                <w:r w:rsidRPr="004C4CA6">
                  <w:rPr>
                    <w:rStyle w:val="Hyperlink"/>
                  </w:rPr>
                  <w:t>Climate change</w:t>
                </w:r>
                <w:r>
                  <w:rPr>
                    <w:webHidden/>
                  </w:rPr>
                  <w:tab/>
                </w:r>
                <w:r>
                  <w:rPr>
                    <w:webHidden/>
                  </w:rPr>
                  <w:fldChar w:fldCharType="begin"/>
                </w:r>
                <w:r>
                  <w:rPr>
                    <w:webHidden/>
                  </w:rPr>
                  <w:instrText xml:space="preserve"> PAGEREF _Toc519500012 \h </w:instrText>
                </w:r>
                <w:r>
                  <w:rPr>
                    <w:webHidden/>
                  </w:rPr>
                </w:r>
                <w:r>
                  <w:rPr>
                    <w:webHidden/>
                  </w:rPr>
                  <w:fldChar w:fldCharType="separate"/>
                </w:r>
                <w:r>
                  <w:rPr>
                    <w:webHidden/>
                  </w:rPr>
                  <w:t>434</w:t>
                </w:r>
                <w:r>
                  <w:rPr>
                    <w:webHidden/>
                  </w:rPr>
                  <w:fldChar w:fldCharType="end"/>
                </w:r>
              </w:hyperlink>
            </w:p>
            <w:p w14:paraId="29C8CC65" w14:textId="07BC6133"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13" w:history="1">
                <w:r w:rsidRPr="004C4CA6">
                  <w:rPr>
                    <w:rStyle w:val="Hyperlink"/>
                  </w:rPr>
                  <w:t>5.4.6.</w:t>
                </w:r>
                <w:r>
                  <w:rPr>
                    <w:rFonts w:asciiTheme="minorHAnsi" w:eastAsiaTheme="minorEastAsia" w:hAnsiTheme="minorHAnsi" w:cstheme="minorBidi"/>
                    <w:sz w:val="22"/>
                    <w:szCs w:val="22"/>
                    <w:lang w:val="en-US" w:eastAsia="en-US"/>
                  </w:rPr>
                  <w:tab/>
                </w:r>
                <w:r w:rsidRPr="004C4CA6">
                  <w:rPr>
                    <w:rStyle w:val="Hyperlink"/>
                  </w:rPr>
                  <w:t>Uncertainties, gaps and key research needs</w:t>
                </w:r>
                <w:r>
                  <w:rPr>
                    <w:webHidden/>
                  </w:rPr>
                  <w:tab/>
                </w:r>
                <w:r>
                  <w:rPr>
                    <w:webHidden/>
                  </w:rPr>
                  <w:fldChar w:fldCharType="begin"/>
                </w:r>
                <w:r>
                  <w:rPr>
                    <w:webHidden/>
                  </w:rPr>
                  <w:instrText xml:space="preserve"> PAGEREF _Toc519500013 \h </w:instrText>
                </w:r>
                <w:r>
                  <w:rPr>
                    <w:webHidden/>
                  </w:rPr>
                </w:r>
                <w:r>
                  <w:rPr>
                    <w:webHidden/>
                  </w:rPr>
                  <w:fldChar w:fldCharType="separate"/>
                </w:r>
                <w:r>
                  <w:rPr>
                    <w:webHidden/>
                  </w:rPr>
                  <w:t>434</w:t>
                </w:r>
                <w:r>
                  <w:rPr>
                    <w:webHidden/>
                  </w:rPr>
                  <w:fldChar w:fldCharType="end"/>
                </w:r>
              </w:hyperlink>
            </w:p>
            <w:p w14:paraId="17560248" w14:textId="1A185117" w:rsidR="00DA6432" w:rsidRDefault="00DA6432">
              <w:pPr>
                <w:pStyle w:val="TOC3"/>
                <w:rPr>
                  <w:rFonts w:asciiTheme="minorHAnsi" w:eastAsiaTheme="minorEastAsia" w:hAnsiTheme="minorHAnsi" w:cstheme="minorBidi"/>
                  <w:noProof/>
                  <w:color w:val="auto"/>
                  <w:lang w:val="en-US" w:eastAsia="en-US"/>
                </w:rPr>
              </w:pPr>
              <w:hyperlink w:anchor="_Toc519500014" w:history="1">
                <w:r w:rsidRPr="004C4CA6">
                  <w:rPr>
                    <w:rStyle w:val="Hyperlink"/>
                    <w:rFonts w:cs="Times New Roman"/>
                    <w:noProof/>
                  </w:rPr>
                  <w:t>5.5.</w:t>
                </w:r>
                <w:r>
                  <w:rPr>
                    <w:rFonts w:asciiTheme="minorHAnsi" w:eastAsiaTheme="minorEastAsia" w:hAnsiTheme="minorHAnsi" w:cstheme="minorBidi"/>
                    <w:noProof/>
                    <w:color w:val="auto"/>
                    <w:lang w:val="en-US" w:eastAsia="en-US"/>
                  </w:rPr>
                  <w:tab/>
                </w:r>
                <w:r w:rsidRPr="004C4CA6">
                  <w:rPr>
                    <w:rStyle w:val="Hyperlink"/>
                    <w:rFonts w:cs="Times New Roman"/>
                    <w:noProof/>
                  </w:rPr>
                  <w:t>Biodiversity and nature’s contributions to people</w:t>
                </w:r>
                <w:r>
                  <w:rPr>
                    <w:noProof/>
                    <w:webHidden/>
                  </w:rPr>
                  <w:tab/>
                </w:r>
                <w:r>
                  <w:rPr>
                    <w:noProof/>
                    <w:webHidden/>
                  </w:rPr>
                  <w:fldChar w:fldCharType="begin"/>
                </w:r>
                <w:r>
                  <w:rPr>
                    <w:noProof/>
                    <w:webHidden/>
                  </w:rPr>
                  <w:instrText xml:space="preserve"> PAGEREF _Toc519500014 \h </w:instrText>
                </w:r>
                <w:r>
                  <w:rPr>
                    <w:noProof/>
                    <w:webHidden/>
                  </w:rPr>
                </w:r>
                <w:r>
                  <w:rPr>
                    <w:noProof/>
                    <w:webHidden/>
                  </w:rPr>
                  <w:fldChar w:fldCharType="separate"/>
                </w:r>
                <w:r>
                  <w:rPr>
                    <w:noProof/>
                    <w:webHidden/>
                  </w:rPr>
                  <w:t>435</w:t>
                </w:r>
                <w:r>
                  <w:rPr>
                    <w:noProof/>
                    <w:webHidden/>
                  </w:rPr>
                  <w:fldChar w:fldCharType="end"/>
                </w:r>
              </w:hyperlink>
            </w:p>
            <w:p w14:paraId="59A2317D" w14:textId="074174CF"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15" w:history="1">
                <w:r w:rsidRPr="004C4CA6">
                  <w:rPr>
                    <w:rStyle w:val="Hyperlink"/>
                  </w:rPr>
                  <w:t>5.5.1.</w:t>
                </w:r>
                <w:r>
                  <w:rPr>
                    <w:rFonts w:asciiTheme="minorHAnsi" w:eastAsiaTheme="minorEastAsia" w:hAnsiTheme="minorHAnsi" w:cstheme="minorBidi"/>
                    <w:sz w:val="22"/>
                    <w:szCs w:val="22"/>
                    <w:lang w:val="en-US" w:eastAsia="en-US"/>
                  </w:rPr>
                  <w:tab/>
                </w:r>
                <w:r w:rsidRPr="004C4CA6">
                  <w:rPr>
                    <w:rStyle w:val="Hyperlink"/>
                  </w:rPr>
                  <w:t>Biodiversity: Habitat Loss</w:t>
                </w:r>
                <w:r>
                  <w:rPr>
                    <w:webHidden/>
                  </w:rPr>
                  <w:tab/>
                </w:r>
                <w:r>
                  <w:rPr>
                    <w:webHidden/>
                  </w:rPr>
                  <w:fldChar w:fldCharType="begin"/>
                </w:r>
                <w:r>
                  <w:rPr>
                    <w:webHidden/>
                  </w:rPr>
                  <w:instrText xml:space="preserve"> PAGEREF _Toc519500015 \h </w:instrText>
                </w:r>
                <w:r>
                  <w:rPr>
                    <w:webHidden/>
                  </w:rPr>
                </w:r>
                <w:r>
                  <w:rPr>
                    <w:webHidden/>
                  </w:rPr>
                  <w:fldChar w:fldCharType="separate"/>
                </w:r>
                <w:r>
                  <w:rPr>
                    <w:webHidden/>
                  </w:rPr>
                  <w:t>435</w:t>
                </w:r>
                <w:r>
                  <w:rPr>
                    <w:webHidden/>
                  </w:rPr>
                  <w:fldChar w:fldCharType="end"/>
                </w:r>
              </w:hyperlink>
            </w:p>
            <w:p w14:paraId="3E515E21" w14:textId="044D9485"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16" w:history="1">
                <w:r w:rsidRPr="004C4CA6">
                  <w:rPr>
                    <w:rStyle w:val="Hyperlink"/>
                  </w:rPr>
                  <w:t>5.5.2.</w:t>
                </w:r>
                <w:r>
                  <w:rPr>
                    <w:rFonts w:asciiTheme="minorHAnsi" w:eastAsiaTheme="minorEastAsia" w:hAnsiTheme="minorHAnsi" w:cstheme="minorBidi"/>
                    <w:sz w:val="22"/>
                    <w:szCs w:val="22"/>
                    <w:lang w:val="en-US" w:eastAsia="en-US"/>
                  </w:rPr>
                  <w:tab/>
                </w:r>
                <w:r w:rsidRPr="004C4CA6">
                  <w:rPr>
                    <w:rStyle w:val="Hyperlink"/>
                  </w:rPr>
                  <w:t>Biodiversity: Species range shifts</w:t>
                </w:r>
                <w:r>
                  <w:rPr>
                    <w:webHidden/>
                  </w:rPr>
                  <w:tab/>
                </w:r>
                <w:r>
                  <w:rPr>
                    <w:webHidden/>
                  </w:rPr>
                  <w:fldChar w:fldCharType="begin"/>
                </w:r>
                <w:r>
                  <w:rPr>
                    <w:webHidden/>
                  </w:rPr>
                  <w:instrText xml:space="preserve"> PAGEREF _Toc519500016 \h </w:instrText>
                </w:r>
                <w:r>
                  <w:rPr>
                    <w:webHidden/>
                  </w:rPr>
                </w:r>
                <w:r>
                  <w:rPr>
                    <w:webHidden/>
                  </w:rPr>
                  <w:fldChar w:fldCharType="separate"/>
                </w:r>
                <w:r>
                  <w:rPr>
                    <w:webHidden/>
                  </w:rPr>
                  <w:t>437</w:t>
                </w:r>
                <w:r>
                  <w:rPr>
                    <w:webHidden/>
                  </w:rPr>
                  <w:fldChar w:fldCharType="end"/>
                </w:r>
              </w:hyperlink>
            </w:p>
            <w:p w14:paraId="5294EA09" w14:textId="595919EC"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17" w:history="1">
                <w:r w:rsidRPr="004C4CA6">
                  <w:rPr>
                    <w:rStyle w:val="Hyperlink"/>
                  </w:rPr>
                  <w:t>5.5.3.</w:t>
                </w:r>
                <w:r>
                  <w:rPr>
                    <w:rFonts w:asciiTheme="minorHAnsi" w:eastAsiaTheme="minorEastAsia" w:hAnsiTheme="minorHAnsi" w:cstheme="minorBidi"/>
                    <w:sz w:val="22"/>
                    <w:szCs w:val="22"/>
                    <w:lang w:val="en-US" w:eastAsia="en-US"/>
                  </w:rPr>
                  <w:tab/>
                </w:r>
                <w:r w:rsidRPr="004C4CA6">
                  <w:rPr>
                    <w:rStyle w:val="Hyperlink"/>
                  </w:rPr>
                  <w:t>Provisioning services</w:t>
                </w:r>
                <w:r>
                  <w:rPr>
                    <w:webHidden/>
                  </w:rPr>
                  <w:tab/>
                </w:r>
                <w:r>
                  <w:rPr>
                    <w:webHidden/>
                  </w:rPr>
                  <w:fldChar w:fldCharType="begin"/>
                </w:r>
                <w:r>
                  <w:rPr>
                    <w:webHidden/>
                  </w:rPr>
                  <w:instrText xml:space="preserve"> PAGEREF _Toc519500017 \h </w:instrText>
                </w:r>
                <w:r>
                  <w:rPr>
                    <w:webHidden/>
                  </w:rPr>
                </w:r>
                <w:r>
                  <w:rPr>
                    <w:webHidden/>
                  </w:rPr>
                  <w:fldChar w:fldCharType="separate"/>
                </w:r>
                <w:r>
                  <w:rPr>
                    <w:webHidden/>
                  </w:rPr>
                  <w:t>440</w:t>
                </w:r>
                <w:r>
                  <w:rPr>
                    <w:webHidden/>
                  </w:rPr>
                  <w:fldChar w:fldCharType="end"/>
                </w:r>
              </w:hyperlink>
            </w:p>
            <w:p w14:paraId="35E33123" w14:textId="43E5BFDD"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18" w:history="1">
                <w:r w:rsidRPr="004C4CA6">
                  <w:rPr>
                    <w:rStyle w:val="Hyperlink"/>
                  </w:rPr>
                  <w:t>5.5.4.</w:t>
                </w:r>
                <w:r>
                  <w:rPr>
                    <w:rFonts w:asciiTheme="minorHAnsi" w:eastAsiaTheme="minorEastAsia" w:hAnsiTheme="minorHAnsi" w:cstheme="minorBidi"/>
                    <w:sz w:val="22"/>
                    <w:szCs w:val="22"/>
                    <w:lang w:val="en-US" w:eastAsia="en-US"/>
                  </w:rPr>
                  <w:tab/>
                </w:r>
                <w:r w:rsidRPr="004C4CA6">
                  <w:rPr>
                    <w:rStyle w:val="Hyperlink"/>
                  </w:rPr>
                  <w:t>Regulating Services</w:t>
                </w:r>
                <w:r>
                  <w:rPr>
                    <w:webHidden/>
                  </w:rPr>
                  <w:tab/>
                </w:r>
                <w:r>
                  <w:rPr>
                    <w:webHidden/>
                  </w:rPr>
                  <w:fldChar w:fldCharType="begin"/>
                </w:r>
                <w:r>
                  <w:rPr>
                    <w:webHidden/>
                  </w:rPr>
                  <w:instrText xml:space="preserve"> PAGEREF _Toc519500018 \h </w:instrText>
                </w:r>
                <w:r>
                  <w:rPr>
                    <w:webHidden/>
                  </w:rPr>
                </w:r>
                <w:r>
                  <w:rPr>
                    <w:webHidden/>
                  </w:rPr>
                  <w:fldChar w:fldCharType="separate"/>
                </w:r>
                <w:r>
                  <w:rPr>
                    <w:webHidden/>
                  </w:rPr>
                  <w:t>443</w:t>
                </w:r>
                <w:r>
                  <w:rPr>
                    <w:webHidden/>
                  </w:rPr>
                  <w:fldChar w:fldCharType="end"/>
                </w:r>
              </w:hyperlink>
            </w:p>
            <w:p w14:paraId="67E0EBB2" w14:textId="34E276EA"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19" w:history="1">
                <w:r w:rsidRPr="004C4CA6">
                  <w:rPr>
                    <w:rStyle w:val="Hyperlink"/>
                  </w:rPr>
                  <w:t>5.5.5.</w:t>
                </w:r>
                <w:r>
                  <w:rPr>
                    <w:rFonts w:asciiTheme="minorHAnsi" w:eastAsiaTheme="minorEastAsia" w:hAnsiTheme="minorHAnsi" w:cstheme="minorBidi"/>
                    <w:sz w:val="22"/>
                    <w:szCs w:val="22"/>
                    <w:lang w:val="en-US" w:eastAsia="en-US"/>
                  </w:rPr>
                  <w:tab/>
                </w:r>
                <w:r w:rsidRPr="004C4CA6">
                  <w:rPr>
                    <w:rStyle w:val="Hyperlink"/>
                  </w:rPr>
                  <w:t>Uncertainties, gaps and research needs</w:t>
                </w:r>
                <w:r>
                  <w:rPr>
                    <w:webHidden/>
                  </w:rPr>
                  <w:tab/>
                </w:r>
                <w:r>
                  <w:rPr>
                    <w:webHidden/>
                  </w:rPr>
                  <w:fldChar w:fldCharType="begin"/>
                </w:r>
                <w:r>
                  <w:rPr>
                    <w:webHidden/>
                  </w:rPr>
                  <w:instrText xml:space="preserve"> PAGEREF _Toc519500019 \h </w:instrText>
                </w:r>
                <w:r>
                  <w:rPr>
                    <w:webHidden/>
                  </w:rPr>
                </w:r>
                <w:r>
                  <w:rPr>
                    <w:webHidden/>
                  </w:rPr>
                  <w:fldChar w:fldCharType="separate"/>
                </w:r>
                <w:r>
                  <w:rPr>
                    <w:webHidden/>
                  </w:rPr>
                  <w:t>444</w:t>
                </w:r>
                <w:r>
                  <w:rPr>
                    <w:webHidden/>
                  </w:rPr>
                  <w:fldChar w:fldCharType="end"/>
                </w:r>
              </w:hyperlink>
            </w:p>
            <w:p w14:paraId="3ABEFFA7" w14:textId="2068C171" w:rsidR="00DA6432" w:rsidRDefault="00DA6432">
              <w:pPr>
                <w:pStyle w:val="TOC3"/>
                <w:rPr>
                  <w:rFonts w:asciiTheme="minorHAnsi" w:eastAsiaTheme="minorEastAsia" w:hAnsiTheme="minorHAnsi" w:cstheme="minorBidi"/>
                  <w:noProof/>
                  <w:color w:val="auto"/>
                  <w:lang w:val="en-US" w:eastAsia="en-US"/>
                </w:rPr>
              </w:pPr>
              <w:hyperlink w:anchor="_Toc519500020" w:history="1">
                <w:r w:rsidRPr="004C4CA6">
                  <w:rPr>
                    <w:rStyle w:val="Hyperlink"/>
                    <w:rFonts w:cs="Times New Roman"/>
                    <w:noProof/>
                  </w:rPr>
                  <w:t>5.6.</w:t>
                </w:r>
                <w:r>
                  <w:rPr>
                    <w:rFonts w:asciiTheme="minorHAnsi" w:eastAsiaTheme="minorEastAsia" w:hAnsiTheme="minorHAnsi" w:cstheme="minorBidi"/>
                    <w:noProof/>
                    <w:color w:val="auto"/>
                    <w:lang w:val="en-US" w:eastAsia="en-US"/>
                  </w:rPr>
                  <w:tab/>
                </w:r>
                <w:r w:rsidRPr="004C4CA6">
                  <w:rPr>
                    <w:rStyle w:val="Hyperlink"/>
                    <w:rFonts w:cs="Times New Roman"/>
                    <w:noProof/>
                  </w:rPr>
                  <w:t>Human well-being, poverty and inequality</w:t>
                </w:r>
                <w:r>
                  <w:rPr>
                    <w:noProof/>
                    <w:webHidden/>
                  </w:rPr>
                  <w:tab/>
                </w:r>
                <w:r>
                  <w:rPr>
                    <w:noProof/>
                    <w:webHidden/>
                  </w:rPr>
                  <w:fldChar w:fldCharType="begin"/>
                </w:r>
                <w:r>
                  <w:rPr>
                    <w:noProof/>
                    <w:webHidden/>
                  </w:rPr>
                  <w:instrText xml:space="preserve"> PAGEREF _Toc519500020 \h </w:instrText>
                </w:r>
                <w:r>
                  <w:rPr>
                    <w:noProof/>
                    <w:webHidden/>
                  </w:rPr>
                </w:r>
                <w:r>
                  <w:rPr>
                    <w:noProof/>
                    <w:webHidden/>
                  </w:rPr>
                  <w:fldChar w:fldCharType="separate"/>
                </w:r>
                <w:r>
                  <w:rPr>
                    <w:noProof/>
                    <w:webHidden/>
                  </w:rPr>
                  <w:t>445</w:t>
                </w:r>
                <w:r>
                  <w:rPr>
                    <w:noProof/>
                    <w:webHidden/>
                  </w:rPr>
                  <w:fldChar w:fldCharType="end"/>
                </w:r>
              </w:hyperlink>
            </w:p>
            <w:p w14:paraId="4C628A66" w14:textId="043C3F50"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21" w:history="1">
                <w:r w:rsidRPr="004C4CA6">
                  <w:rPr>
                    <w:rStyle w:val="Hyperlink"/>
                  </w:rPr>
                  <w:t>5.6.1.</w:t>
                </w:r>
                <w:r>
                  <w:rPr>
                    <w:rFonts w:asciiTheme="minorHAnsi" w:eastAsiaTheme="minorEastAsia" w:hAnsiTheme="minorHAnsi" w:cstheme="minorBidi"/>
                    <w:sz w:val="22"/>
                    <w:szCs w:val="22"/>
                    <w:lang w:val="en-US" w:eastAsia="en-US"/>
                  </w:rPr>
                  <w:tab/>
                </w:r>
                <w:r w:rsidRPr="004C4CA6">
                  <w:rPr>
                    <w:rStyle w:val="Hyperlink"/>
                  </w:rPr>
                  <w:t>Material well-being and poverty reduction</w:t>
                </w:r>
                <w:r>
                  <w:rPr>
                    <w:webHidden/>
                  </w:rPr>
                  <w:tab/>
                </w:r>
                <w:r>
                  <w:rPr>
                    <w:webHidden/>
                  </w:rPr>
                  <w:fldChar w:fldCharType="begin"/>
                </w:r>
                <w:r>
                  <w:rPr>
                    <w:webHidden/>
                  </w:rPr>
                  <w:instrText xml:space="preserve"> PAGEREF _Toc519500021 \h </w:instrText>
                </w:r>
                <w:r>
                  <w:rPr>
                    <w:webHidden/>
                  </w:rPr>
                </w:r>
                <w:r>
                  <w:rPr>
                    <w:webHidden/>
                  </w:rPr>
                  <w:fldChar w:fldCharType="separate"/>
                </w:r>
                <w:r>
                  <w:rPr>
                    <w:webHidden/>
                  </w:rPr>
                  <w:t>446</w:t>
                </w:r>
                <w:r>
                  <w:rPr>
                    <w:webHidden/>
                  </w:rPr>
                  <w:fldChar w:fldCharType="end"/>
                </w:r>
              </w:hyperlink>
            </w:p>
            <w:p w14:paraId="7B6457FF" w14:textId="126348B0"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22" w:history="1">
                <w:r w:rsidRPr="004C4CA6">
                  <w:rPr>
                    <w:rStyle w:val="Hyperlink"/>
                  </w:rPr>
                  <w:t>5.6.2.</w:t>
                </w:r>
                <w:r>
                  <w:rPr>
                    <w:rFonts w:asciiTheme="minorHAnsi" w:eastAsiaTheme="minorEastAsia" w:hAnsiTheme="minorHAnsi" w:cstheme="minorBidi"/>
                    <w:sz w:val="22"/>
                    <w:szCs w:val="22"/>
                    <w:lang w:val="en-US" w:eastAsia="en-US"/>
                  </w:rPr>
                  <w:tab/>
                </w:r>
                <w:r w:rsidRPr="004C4CA6">
                  <w:rPr>
                    <w:rStyle w:val="Hyperlink"/>
                  </w:rPr>
                  <w:t>Equity</w:t>
                </w:r>
                <w:r>
                  <w:rPr>
                    <w:webHidden/>
                  </w:rPr>
                  <w:tab/>
                </w:r>
                <w:r>
                  <w:rPr>
                    <w:webHidden/>
                  </w:rPr>
                  <w:fldChar w:fldCharType="begin"/>
                </w:r>
                <w:r>
                  <w:rPr>
                    <w:webHidden/>
                  </w:rPr>
                  <w:instrText xml:space="preserve"> PAGEREF _Toc519500022 \h </w:instrText>
                </w:r>
                <w:r>
                  <w:rPr>
                    <w:webHidden/>
                  </w:rPr>
                </w:r>
                <w:r>
                  <w:rPr>
                    <w:webHidden/>
                  </w:rPr>
                  <w:fldChar w:fldCharType="separate"/>
                </w:r>
                <w:r>
                  <w:rPr>
                    <w:webHidden/>
                  </w:rPr>
                  <w:t>446</w:t>
                </w:r>
                <w:r>
                  <w:rPr>
                    <w:webHidden/>
                  </w:rPr>
                  <w:fldChar w:fldCharType="end"/>
                </w:r>
              </w:hyperlink>
            </w:p>
            <w:p w14:paraId="5390D5E2" w14:textId="396CE3FE"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23" w:history="1">
                <w:r w:rsidRPr="004C4CA6">
                  <w:rPr>
                    <w:rStyle w:val="Hyperlink"/>
                  </w:rPr>
                  <w:t>5.6.3.</w:t>
                </w:r>
                <w:r>
                  <w:rPr>
                    <w:rFonts w:asciiTheme="minorHAnsi" w:eastAsiaTheme="minorEastAsia" w:hAnsiTheme="minorHAnsi" w:cstheme="minorBidi"/>
                    <w:sz w:val="22"/>
                    <w:szCs w:val="22"/>
                    <w:lang w:val="en-US" w:eastAsia="en-US"/>
                  </w:rPr>
                  <w:tab/>
                </w:r>
                <w:r w:rsidRPr="004C4CA6">
                  <w:rPr>
                    <w:rStyle w:val="Hyperlink"/>
                  </w:rPr>
                  <w:t>Health</w:t>
                </w:r>
                <w:r>
                  <w:rPr>
                    <w:webHidden/>
                  </w:rPr>
                  <w:tab/>
                </w:r>
                <w:r>
                  <w:rPr>
                    <w:webHidden/>
                  </w:rPr>
                  <w:fldChar w:fldCharType="begin"/>
                </w:r>
                <w:r>
                  <w:rPr>
                    <w:webHidden/>
                  </w:rPr>
                  <w:instrText xml:space="preserve"> PAGEREF _Toc519500023 \h </w:instrText>
                </w:r>
                <w:r>
                  <w:rPr>
                    <w:webHidden/>
                  </w:rPr>
                </w:r>
                <w:r>
                  <w:rPr>
                    <w:webHidden/>
                  </w:rPr>
                  <w:fldChar w:fldCharType="separate"/>
                </w:r>
                <w:r>
                  <w:rPr>
                    <w:webHidden/>
                  </w:rPr>
                  <w:t>447</w:t>
                </w:r>
                <w:r>
                  <w:rPr>
                    <w:webHidden/>
                  </w:rPr>
                  <w:fldChar w:fldCharType="end"/>
                </w:r>
              </w:hyperlink>
            </w:p>
            <w:p w14:paraId="766A2FDE" w14:textId="30845A10"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24" w:history="1">
                <w:r w:rsidRPr="004C4CA6">
                  <w:rPr>
                    <w:rStyle w:val="Hyperlink"/>
                  </w:rPr>
                  <w:t>5.6.4.</w:t>
                </w:r>
                <w:r>
                  <w:rPr>
                    <w:rFonts w:asciiTheme="minorHAnsi" w:eastAsiaTheme="minorEastAsia" w:hAnsiTheme="minorHAnsi" w:cstheme="minorBidi"/>
                    <w:sz w:val="22"/>
                    <w:szCs w:val="22"/>
                    <w:lang w:val="en-US" w:eastAsia="en-US"/>
                  </w:rPr>
                  <w:tab/>
                </w:r>
                <w:r w:rsidRPr="004C4CA6">
                  <w:rPr>
                    <w:rStyle w:val="Hyperlink"/>
                  </w:rPr>
                  <w:t>Security and social relations</w:t>
                </w:r>
                <w:r>
                  <w:rPr>
                    <w:webHidden/>
                  </w:rPr>
                  <w:tab/>
                </w:r>
                <w:r>
                  <w:rPr>
                    <w:webHidden/>
                  </w:rPr>
                  <w:fldChar w:fldCharType="begin"/>
                </w:r>
                <w:r>
                  <w:rPr>
                    <w:webHidden/>
                  </w:rPr>
                  <w:instrText xml:space="preserve"> PAGEREF _Toc519500024 \h </w:instrText>
                </w:r>
                <w:r>
                  <w:rPr>
                    <w:webHidden/>
                  </w:rPr>
                </w:r>
                <w:r>
                  <w:rPr>
                    <w:webHidden/>
                  </w:rPr>
                  <w:fldChar w:fldCharType="separate"/>
                </w:r>
                <w:r>
                  <w:rPr>
                    <w:webHidden/>
                  </w:rPr>
                  <w:t>448</w:t>
                </w:r>
                <w:r>
                  <w:rPr>
                    <w:webHidden/>
                  </w:rPr>
                  <w:fldChar w:fldCharType="end"/>
                </w:r>
              </w:hyperlink>
            </w:p>
            <w:p w14:paraId="62BB3FA6" w14:textId="312497B1"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25" w:history="1">
                <w:r w:rsidRPr="004C4CA6">
                  <w:rPr>
                    <w:rStyle w:val="Hyperlink"/>
                  </w:rPr>
                  <w:t>5.6.5.</w:t>
                </w:r>
                <w:r>
                  <w:rPr>
                    <w:rFonts w:asciiTheme="minorHAnsi" w:eastAsiaTheme="minorEastAsia" w:hAnsiTheme="minorHAnsi" w:cstheme="minorBidi"/>
                    <w:sz w:val="22"/>
                    <w:szCs w:val="22"/>
                    <w:lang w:val="en-US" w:eastAsia="en-US"/>
                  </w:rPr>
                  <w:tab/>
                </w:r>
                <w:r w:rsidRPr="004C4CA6">
                  <w:rPr>
                    <w:rStyle w:val="Hyperlink"/>
                  </w:rPr>
                  <w:t>Freedom and choice</w:t>
                </w:r>
                <w:r>
                  <w:rPr>
                    <w:webHidden/>
                  </w:rPr>
                  <w:tab/>
                </w:r>
                <w:r>
                  <w:rPr>
                    <w:webHidden/>
                  </w:rPr>
                  <w:fldChar w:fldCharType="begin"/>
                </w:r>
                <w:r>
                  <w:rPr>
                    <w:webHidden/>
                  </w:rPr>
                  <w:instrText xml:space="preserve"> PAGEREF _Toc519500025 \h </w:instrText>
                </w:r>
                <w:r>
                  <w:rPr>
                    <w:webHidden/>
                  </w:rPr>
                </w:r>
                <w:r>
                  <w:rPr>
                    <w:webHidden/>
                  </w:rPr>
                  <w:fldChar w:fldCharType="separate"/>
                </w:r>
                <w:r>
                  <w:rPr>
                    <w:webHidden/>
                  </w:rPr>
                  <w:t>449</w:t>
                </w:r>
                <w:r>
                  <w:rPr>
                    <w:webHidden/>
                  </w:rPr>
                  <w:fldChar w:fldCharType="end"/>
                </w:r>
              </w:hyperlink>
            </w:p>
            <w:p w14:paraId="4485A1A4" w14:textId="05D6635E"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26" w:history="1">
                <w:r w:rsidRPr="004C4CA6">
                  <w:rPr>
                    <w:rStyle w:val="Hyperlink"/>
                  </w:rPr>
                  <w:t>5.6.6.</w:t>
                </w:r>
                <w:r>
                  <w:rPr>
                    <w:rFonts w:asciiTheme="minorHAnsi" w:eastAsiaTheme="minorEastAsia" w:hAnsiTheme="minorHAnsi" w:cstheme="minorBidi"/>
                    <w:sz w:val="22"/>
                    <w:szCs w:val="22"/>
                    <w:lang w:val="en-US" w:eastAsia="en-US"/>
                  </w:rPr>
                  <w:tab/>
                </w:r>
                <w:r w:rsidRPr="004C4CA6">
                  <w:rPr>
                    <w:rStyle w:val="Hyperlink"/>
                  </w:rPr>
                  <w:t>Uncertainties, gaps and research needs</w:t>
                </w:r>
                <w:r>
                  <w:rPr>
                    <w:webHidden/>
                  </w:rPr>
                  <w:tab/>
                </w:r>
                <w:r>
                  <w:rPr>
                    <w:webHidden/>
                  </w:rPr>
                  <w:fldChar w:fldCharType="begin"/>
                </w:r>
                <w:r>
                  <w:rPr>
                    <w:webHidden/>
                  </w:rPr>
                  <w:instrText xml:space="preserve"> PAGEREF _Toc519500026 \h </w:instrText>
                </w:r>
                <w:r>
                  <w:rPr>
                    <w:webHidden/>
                  </w:rPr>
                </w:r>
                <w:r>
                  <w:rPr>
                    <w:webHidden/>
                  </w:rPr>
                  <w:fldChar w:fldCharType="separate"/>
                </w:r>
                <w:r>
                  <w:rPr>
                    <w:webHidden/>
                  </w:rPr>
                  <w:t>449</w:t>
                </w:r>
                <w:r>
                  <w:rPr>
                    <w:webHidden/>
                  </w:rPr>
                  <w:fldChar w:fldCharType="end"/>
                </w:r>
              </w:hyperlink>
            </w:p>
            <w:p w14:paraId="5596DE5A" w14:textId="622E2532" w:rsidR="00DA6432" w:rsidRDefault="00DA6432">
              <w:pPr>
                <w:pStyle w:val="TOC3"/>
                <w:rPr>
                  <w:rFonts w:asciiTheme="minorHAnsi" w:eastAsiaTheme="minorEastAsia" w:hAnsiTheme="minorHAnsi" w:cstheme="minorBidi"/>
                  <w:noProof/>
                  <w:color w:val="auto"/>
                  <w:lang w:val="en-US" w:eastAsia="en-US"/>
                </w:rPr>
              </w:pPr>
              <w:hyperlink w:anchor="_Toc519500027" w:history="1">
                <w:r w:rsidRPr="004C4CA6">
                  <w:rPr>
                    <w:rStyle w:val="Hyperlink"/>
                    <w:rFonts w:cs="Times New Roman"/>
                    <w:noProof/>
                  </w:rPr>
                  <w:t>5.7.</w:t>
                </w:r>
                <w:r>
                  <w:rPr>
                    <w:rFonts w:asciiTheme="minorHAnsi" w:eastAsiaTheme="minorEastAsia" w:hAnsiTheme="minorHAnsi" w:cstheme="minorBidi"/>
                    <w:noProof/>
                    <w:color w:val="auto"/>
                    <w:lang w:val="en-US" w:eastAsia="en-US"/>
                  </w:rPr>
                  <w:tab/>
                </w:r>
                <w:r w:rsidRPr="004C4CA6">
                  <w:rPr>
                    <w:rStyle w:val="Hyperlink"/>
                    <w:rFonts w:cs="Times New Roman"/>
                    <w:noProof/>
                  </w:rPr>
                  <w:t>Policy implications and options</w:t>
                </w:r>
                <w:r>
                  <w:rPr>
                    <w:noProof/>
                    <w:webHidden/>
                  </w:rPr>
                  <w:tab/>
                </w:r>
                <w:r>
                  <w:rPr>
                    <w:noProof/>
                    <w:webHidden/>
                  </w:rPr>
                  <w:fldChar w:fldCharType="begin"/>
                </w:r>
                <w:r>
                  <w:rPr>
                    <w:noProof/>
                    <w:webHidden/>
                  </w:rPr>
                  <w:instrText xml:space="preserve"> PAGEREF _Toc519500027 \h </w:instrText>
                </w:r>
                <w:r>
                  <w:rPr>
                    <w:noProof/>
                    <w:webHidden/>
                  </w:rPr>
                </w:r>
                <w:r>
                  <w:rPr>
                    <w:noProof/>
                    <w:webHidden/>
                  </w:rPr>
                  <w:fldChar w:fldCharType="separate"/>
                </w:r>
                <w:r>
                  <w:rPr>
                    <w:noProof/>
                    <w:webHidden/>
                  </w:rPr>
                  <w:t>452</w:t>
                </w:r>
                <w:r>
                  <w:rPr>
                    <w:noProof/>
                    <w:webHidden/>
                  </w:rPr>
                  <w:fldChar w:fldCharType="end"/>
                </w:r>
              </w:hyperlink>
            </w:p>
            <w:p w14:paraId="17DD115E" w14:textId="45AAE4F1"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28" w:history="1">
                <w:r w:rsidRPr="004C4CA6">
                  <w:rPr>
                    <w:rStyle w:val="Hyperlink"/>
                  </w:rPr>
                  <w:t>5.7.1.</w:t>
                </w:r>
                <w:r>
                  <w:rPr>
                    <w:rFonts w:asciiTheme="minorHAnsi" w:eastAsiaTheme="minorEastAsia" w:hAnsiTheme="minorHAnsi" w:cstheme="minorBidi"/>
                    <w:sz w:val="22"/>
                    <w:szCs w:val="22"/>
                    <w:lang w:val="en-US" w:eastAsia="en-US"/>
                  </w:rPr>
                  <w:tab/>
                </w:r>
                <w:r w:rsidRPr="004C4CA6">
                  <w:rPr>
                    <w:rStyle w:val="Hyperlink"/>
                  </w:rPr>
                  <w:t>Food-water-energy nexus (SDGs 2, 6, 7, 12; ABTs 6, 7; Agenda 2063 10, 17)</w:t>
                </w:r>
                <w:r>
                  <w:rPr>
                    <w:webHidden/>
                  </w:rPr>
                  <w:tab/>
                </w:r>
                <w:r>
                  <w:rPr>
                    <w:webHidden/>
                  </w:rPr>
                  <w:fldChar w:fldCharType="begin"/>
                </w:r>
                <w:r>
                  <w:rPr>
                    <w:webHidden/>
                  </w:rPr>
                  <w:instrText xml:space="preserve"> PAGEREF _Toc519500028 \h </w:instrText>
                </w:r>
                <w:r>
                  <w:rPr>
                    <w:webHidden/>
                  </w:rPr>
                </w:r>
                <w:r>
                  <w:rPr>
                    <w:webHidden/>
                  </w:rPr>
                  <w:fldChar w:fldCharType="separate"/>
                </w:r>
                <w:r>
                  <w:rPr>
                    <w:webHidden/>
                  </w:rPr>
                  <w:t>454</w:t>
                </w:r>
                <w:r>
                  <w:rPr>
                    <w:webHidden/>
                  </w:rPr>
                  <w:fldChar w:fldCharType="end"/>
                </w:r>
              </w:hyperlink>
            </w:p>
            <w:p w14:paraId="16F0017E" w14:textId="2B201CB5"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29" w:history="1">
                <w:r w:rsidRPr="004C4CA6">
                  <w:rPr>
                    <w:rStyle w:val="Hyperlink"/>
                  </w:rPr>
                  <w:t>5.7.2.</w:t>
                </w:r>
                <w:r>
                  <w:rPr>
                    <w:rFonts w:asciiTheme="minorHAnsi" w:eastAsiaTheme="minorEastAsia" w:hAnsiTheme="minorHAnsi" w:cstheme="minorBidi"/>
                    <w:sz w:val="22"/>
                    <w:szCs w:val="22"/>
                    <w:lang w:val="en-US" w:eastAsia="en-US"/>
                  </w:rPr>
                  <w:tab/>
                </w:r>
                <w:r w:rsidRPr="004C4CA6">
                  <w:rPr>
                    <w:rStyle w:val="Hyperlink"/>
                  </w:rPr>
                  <w:t>Land degradation (SDGs 12, 15; ABTs 5, 7, 11, 14; Agenda 2063 17)</w:t>
                </w:r>
                <w:r>
                  <w:rPr>
                    <w:webHidden/>
                  </w:rPr>
                  <w:tab/>
                </w:r>
                <w:r>
                  <w:rPr>
                    <w:webHidden/>
                  </w:rPr>
                  <w:fldChar w:fldCharType="begin"/>
                </w:r>
                <w:r>
                  <w:rPr>
                    <w:webHidden/>
                  </w:rPr>
                  <w:instrText xml:space="preserve"> PAGEREF _Toc519500029 \h </w:instrText>
                </w:r>
                <w:r>
                  <w:rPr>
                    <w:webHidden/>
                  </w:rPr>
                </w:r>
                <w:r>
                  <w:rPr>
                    <w:webHidden/>
                  </w:rPr>
                  <w:fldChar w:fldCharType="separate"/>
                </w:r>
                <w:r>
                  <w:rPr>
                    <w:webHidden/>
                  </w:rPr>
                  <w:t>455</w:t>
                </w:r>
                <w:r>
                  <w:rPr>
                    <w:webHidden/>
                  </w:rPr>
                  <w:fldChar w:fldCharType="end"/>
                </w:r>
              </w:hyperlink>
            </w:p>
            <w:p w14:paraId="1075F70C" w14:textId="1AA84B73"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30" w:history="1">
                <w:r w:rsidRPr="004C4CA6">
                  <w:rPr>
                    <w:rStyle w:val="Hyperlink"/>
                  </w:rPr>
                  <w:t>5.7.3.</w:t>
                </w:r>
                <w:r>
                  <w:rPr>
                    <w:rFonts w:asciiTheme="minorHAnsi" w:eastAsiaTheme="minorEastAsia" w:hAnsiTheme="minorHAnsi" w:cstheme="minorBidi"/>
                    <w:sz w:val="22"/>
                    <w:szCs w:val="22"/>
                    <w:lang w:val="en-US" w:eastAsia="en-US"/>
                  </w:rPr>
                  <w:tab/>
                </w:r>
                <w:r w:rsidRPr="004C4CA6">
                  <w:rPr>
                    <w:rStyle w:val="Hyperlink"/>
                  </w:rPr>
                  <w:t>Invasive species (SDGs 15; ABTs 5, 9, 14)</w:t>
                </w:r>
                <w:r>
                  <w:rPr>
                    <w:webHidden/>
                  </w:rPr>
                  <w:tab/>
                </w:r>
                <w:r>
                  <w:rPr>
                    <w:webHidden/>
                  </w:rPr>
                  <w:fldChar w:fldCharType="begin"/>
                </w:r>
                <w:r>
                  <w:rPr>
                    <w:webHidden/>
                  </w:rPr>
                  <w:instrText xml:space="preserve"> PAGEREF _Toc519500030 \h </w:instrText>
                </w:r>
                <w:r>
                  <w:rPr>
                    <w:webHidden/>
                  </w:rPr>
                </w:r>
                <w:r>
                  <w:rPr>
                    <w:webHidden/>
                  </w:rPr>
                  <w:fldChar w:fldCharType="separate"/>
                </w:r>
                <w:r>
                  <w:rPr>
                    <w:webHidden/>
                  </w:rPr>
                  <w:t>455</w:t>
                </w:r>
                <w:r>
                  <w:rPr>
                    <w:webHidden/>
                  </w:rPr>
                  <w:fldChar w:fldCharType="end"/>
                </w:r>
              </w:hyperlink>
            </w:p>
            <w:p w14:paraId="18934AA6" w14:textId="743408A5"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31" w:history="1">
                <w:r w:rsidRPr="004C4CA6">
                  <w:rPr>
                    <w:rStyle w:val="Hyperlink"/>
                  </w:rPr>
                  <w:t>5.7.4.</w:t>
                </w:r>
                <w:r>
                  <w:rPr>
                    <w:rFonts w:asciiTheme="minorHAnsi" w:eastAsiaTheme="minorEastAsia" w:hAnsiTheme="minorHAnsi" w:cstheme="minorBidi"/>
                    <w:sz w:val="22"/>
                    <w:szCs w:val="22"/>
                    <w:lang w:val="en-US" w:eastAsia="en-US"/>
                  </w:rPr>
                  <w:tab/>
                </w:r>
                <w:r w:rsidRPr="004C4CA6">
                  <w:rPr>
                    <w:rStyle w:val="Hyperlink"/>
                  </w:rPr>
                  <w:t>Catchment to coast (SDGs 6, 14)</w:t>
                </w:r>
                <w:r>
                  <w:rPr>
                    <w:webHidden/>
                  </w:rPr>
                  <w:tab/>
                </w:r>
                <w:r>
                  <w:rPr>
                    <w:webHidden/>
                  </w:rPr>
                  <w:fldChar w:fldCharType="begin"/>
                </w:r>
                <w:r>
                  <w:rPr>
                    <w:webHidden/>
                  </w:rPr>
                  <w:instrText xml:space="preserve"> PAGEREF _Toc519500031 \h </w:instrText>
                </w:r>
                <w:r>
                  <w:rPr>
                    <w:webHidden/>
                  </w:rPr>
                </w:r>
                <w:r>
                  <w:rPr>
                    <w:webHidden/>
                  </w:rPr>
                  <w:fldChar w:fldCharType="separate"/>
                </w:r>
                <w:r>
                  <w:rPr>
                    <w:webHidden/>
                  </w:rPr>
                  <w:t>455</w:t>
                </w:r>
                <w:r>
                  <w:rPr>
                    <w:webHidden/>
                  </w:rPr>
                  <w:fldChar w:fldCharType="end"/>
                </w:r>
              </w:hyperlink>
            </w:p>
            <w:p w14:paraId="65A37A20" w14:textId="39849D0F"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32" w:history="1">
                <w:r w:rsidRPr="004C4CA6">
                  <w:rPr>
                    <w:rStyle w:val="Hyperlink"/>
                  </w:rPr>
                  <w:t>5.7.5.</w:t>
                </w:r>
                <w:r>
                  <w:rPr>
                    <w:rFonts w:asciiTheme="minorHAnsi" w:eastAsiaTheme="minorEastAsia" w:hAnsiTheme="minorHAnsi" w:cstheme="minorBidi"/>
                    <w:sz w:val="22"/>
                    <w:szCs w:val="22"/>
                    <w:lang w:val="en-US" w:eastAsia="en-US"/>
                  </w:rPr>
                  <w:tab/>
                </w:r>
                <w:r w:rsidRPr="004C4CA6">
                  <w:rPr>
                    <w:rStyle w:val="Hyperlink"/>
                  </w:rPr>
                  <w:t>Conservation and sustainable use (SDGs 14–15; ABTs 5–7, 11–12)</w:t>
                </w:r>
                <w:r>
                  <w:rPr>
                    <w:webHidden/>
                  </w:rPr>
                  <w:tab/>
                </w:r>
                <w:r>
                  <w:rPr>
                    <w:webHidden/>
                  </w:rPr>
                  <w:fldChar w:fldCharType="begin"/>
                </w:r>
                <w:r>
                  <w:rPr>
                    <w:webHidden/>
                  </w:rPr>
                  <w:instrText xml:space="preserve"> PAGEREF _Toc519500032 \h </w:instrText>
                </w:r>
                <w:r>
                  <w:rPr>
                    <w:webHidden/>
                  </w:rPr>
                </w:r>
                <w:r>
                  <w:rPr>
                    <w:webHidden/>
                  </w:rPr>
                  <w:fldChar w:fldCharType="separate"/>
                </w:r>
                <w:r>
                  <w:rPr>
                    <w:webHidden/>
                  </w:rPr>
                  <w:t>455</w:t>
                </w:r>
                <w:r>
                  <w:rPr>
                    <w:webHidden/>
                  </w:rPr>
                  <w:fldChar w:fldCharType="end"/>
                </w:r>
              </w:hyperlink>
            </w:p>
            <w:p w14:paraId="4B9103D4" w14:textId="3291C25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33" w:history="1">
                <w:r w:rsidRPr="004C4CA6">
                  <w:rPr>
                    <w:rStyle w:val="Hyperlink"/>
                  </w:rPr>
                  <w:t>5.7.6.</w:t>
                </w:r>
                <w:r>
                  <w:rPr>
                    <w:rFonts w:asciiTheme="minorHAnsi" w:eastAsiaTheme="minorEastAsia" w:hAnsiTheme="minorHAnsi" w:cstheme="minorBidi"/>
                    <w:sz w:val="22"/>
                    <w:szCs w:val="22"/>
                    <w:lang w:val="en-US" w:eastAsia="en-US"/>
                  </w:rPr>
                  <w:tab/>
                </w:r>
                <w:r w:rsidRPr="004C4CA6">
                  <w:rPr>
                    <w:rStyle w:val="Hyperlink"/>
                  </w:rPr>
                  <w:t>Resilience in a changing world (SDGs 11, 13, 15; ABT 15; Agenda 2063 7.5)</w:t>
                </w:r>
                <w:r>
                  <w:rPr>
                    <w:webHidden/>
                  </w:rPr>
                  <w:tab/>
                </w:r>
                <w:r>
                  <w:rPr>
                    <w:webHidden/>
                  </w:rPr>
                  <w:fldChar w:fldCharType="begin"/>
                </w:r>
                <w:r>
                  <w:rPr>
                    <w:webHidden/>
                  </w:rPr>
                  <w:instrText xml:space="preserve"> PAGEREF _Toc519500033 \h </w:instrText>
                </w:r>
                <w:r>
                  <w:rPr>
                    <w:webHidden/>
                  </w:rPr>
                </w:r>
                <w:r>
                  <w:rPr>
                    <w:webHidden/>
                  </w:rPr>
                  <w:fldChar w:fldCharType="separate"/>
                </w:r>
                <w:r>
                  <w:rPr>
                    <w:webHidden/>
                  </w:rPr>
                  <w:t>455</w:t>
                </w:r>
                <w:r>
                  <w:rPr>
                    <w:webHidden/>
                  </w:rPr>
                  <w:fldChar w:fldCharType="end"/>
                </w:r>
              </w:hyperlink>
            </w:p>
            <w:p w14:paraId="154CAC91" w14:textId="01813FAA"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34" w:history="1">
                <w:r w:rsidRPr="004C4CA6">
                  <w:rPr>
                    <w:rStyle w:val="Hyperlink"/>
                  </w:rPr>
                  <w:t>5.7.7.</w:t>
                </w:r>
                <w:r>
                  <w:rPr>
                    <w:rFonts w:asciiTheme="minorHAnsi" w:eastAsiaTheme="minorEastAsia" w:hAnsiTheme="minorHAnsi" w:cstheme="minorBidi"/>
                    <w:sz w:val="22"/>
                    <w:szCs w:val="22"/>
                    <w:lang w:val="en-US" w:eastAsia="en-US"/>
                  </w:rPr>
                  <w:tab/>
                </w:r>
                <w:r w:rsidRPr="004C4CA6">
                  <w:rPr>
                    <w:rStyle w:val="Hyperlink"/>
                  </w:rPr>
                  <w:t>Governance and institutions (SDG 16; ABTs 2, 3; Agenda 2063 17)</w:t>
                </w:r>
                <w:r>
                  <w:rPr>
                    <w:webHidden/>
                  </w:rPr>
                  <w:tab/>
                </w:r>
                <w:r>
                  <w:rPr>
                    <w:webHidden/>
                  </w:rPr>
                  <w:fldChar w:fldCharType="begin"/>
                </w:r>
                <w:r>
                  <w:rPr>
                    <w:webHidden/>
                  </w:rPr>
                  <w:instrText xml:space="preserve"> PAGEREF _Toc519500034 \h </w:instrText>
                </w:r>
                <w:r>
                  <w:rPr>
                    <w:webHidden/>
                  </w:rPr>
                </w:r>
                <w:r>
                  <w:rPr>
                    <w:webHidden/>
                  </w:rPr>
                  <w:fldChar w:fldCharType="separate"/>
                </w:r>
                <w:r>
                  <w:rPr>
                    <w:webHidden/>
                  </w:rPr>
                  <w:t>456</w:t>
                </w:r>
                <w:r>
                  <w:rPr>
                    <w:webHidden/>
                  </w:rPr>
                  <w:fldChar w:fldCharType="end"/>
                </w:r>
              </w:hyperlink>
            </w:p>
            <w:p w14:paraId="3984F444" w14:textId="002209AA" w:rsidR="00DA6432" w:rsidRDefault="00DA6432">
              <w:pPr>
                <w:pStyle w:val="TOC3"/>
                <w:rPr>
                  <w:rFonts w:asciiTheme="minorHAnsi" w:eastAsiaTheme="minorEastAsia" w:hAnsiTheme="minorHAnsi" w:cstheme="minorBidi"/>
                  <w:noProof/>
                  <w:color w:val="auto"/>
                  <w:lang w:val="en-US" w:eastAsia="en-US"/>
                </w:rPr>
              </w:pPr>
              <w:hyperlink w:anchor="_Toc519500035" w:history="1">
                <w:r w:rsidRPr="004C4CA6">
                  <w:rPr>
                    <w:rStyle w:val="Hyperlink"/>
                    <w:rFonts w:cs="Times New Roman"/>
                    <w:noProof/>
                  </w:rPr>
                  <w:t>5.8.</w:t>
                </w:r>
                <w:r>
                  <w:rPr>
                    <w:rFonts w:asciiTheme="minorHAnsi" w:eastAsiaTheme="minorEastAsia" w:hAnsiTheme="minorHAnsi" w:cstheme="minorBidi"/>
                    <w:noProof/>
                    <w:color w:val="auto"/>
                    <w:lang w:val="en-US" w:eastAsia="en-US"/>
                  </w:rPr>
                  <w:tab/>
                </w:r>
                <w:r w:rsidRPr="004C4CA6">
                  <w:rPr>
                    <w:rStyle w:val="Hyperlink"/>
                    <w:rFonts w:cs="Times New Roman"/>
                    <w:noProof/>
                  </w:rPr>
                  <w:t>Trade-offs, Tipping Points and Tele-coupling</w:t>
                </w:r>
                <w:r>
                  <w:rPr>
                    <w:noProof/>
                    <w:webHidden/>
                  </w:rPr>
                  <w:tab/>
                </w:r>
                <w:r>
                  <w:rPr>
                    <w:noProof/>
                    <w:webHidden/>
                  </w:rPr>
                  <w:fldChar w:fldCharType="begin"/>
                </w:r>
                <w:r>
                  <w:rPr>
                    <w:noProof/>
                    <w:webHidden/>
                  </w:rPr>
                  <w:instrText xml:space="preserve"> PAGEREF _Toc519500035 \h </w:instrText>
                </w:r>
                <w:r>
                  <w:rPr>
                    <w:noProof/>
                    <w:webHidden/>
                  </w:rPr>
                </w:r>
                <w:r>
                  <w:rPr>
                    <w:noProof/>
                    <w:webHidden/>
                  </w:rPr>
                  <w:fldChar w:fldCharType="separate"/>
                </w:r>
                <w:r>
                  <w:rPr>
                    <w:noProof/>
                    <w:webHidden/>
                  </w:rPr>
                  <w:t>460</w:t>
                </w:r>
                <w:r>
                  <w:rPr>
                    <w:noProof/>
                    <w:webHidden/>
                  </w:rPr>
                  <w:fldChar w:fldCharType="end"/>
                </w:r>
              </w:hyperlink>
            </w:p>
            <w:p w14:paraId="3C9BBA62" w14:textId="188514F9"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36" w:history="1">
                <w:r w:rsidRPr="004C4CA6">
                  <w:rPr>
                    <w:rStyle w:val="Hyperlink"/>
                  </w:rPr>
                  <w:t>5.8.1.</w:t>
                </w:r>
                <w:r>
                  <w:rPr>
                    <w:rFonts w:asciiTheme="minorHAnsi" w:eastAsiaTheme="minorEastAsia" w:hAnsiTheme="minorHAnsi" w:cstheme="minorBidi"/>
                    <w:sz w:val="22"/>
                    <w:szCs w:val="22"/>
                    <w:lang w:val="en-US" w:eastAsia="en-US"/>
                  </w:rPr>
                  <w:tab/>
                </w:r>
                <w:r w:rsidRPr="004C4CA6">
                  <w:rPr>
                    <w:rStyle w:val="Hyperlink"/>
                  </w:rPr>
                  <w:t>Trade-offs</w:t>
                </w:r>
                <w:r>
                  <w:rPr>
                    <w:webHidden/>
                  </w:rPr>
                  <w:tab/>
                </w:r>
                <w:r>
                  <w:rPr>
                    <w:webHidden/>
                  </w:rPr>
                  <w:fldChar w:fldCharType="begin"/>
                </w:r>
                <w:r>
                  <w:rPr>
                    <w:webHidden/>
                  </w:rPr>
                  <w:instrText xml:space="preserve"> PAGEREF _Toc519500036 \h </w:instrText>
                </w:r>
                <w:r>
                  <w:rPr>
                    <w:webHidden/>
                  </w:rPr>
                </w:r>
                <w:r>
                  <w:rPr>
                    <w:webHidden/>
                  </w:rPr>
                  <w:fldChar w:fldCharType="separate"/>
                </w:r>
                <w:r>
                  <w:rPr>
                    <w:webHidden/>
                  </w:rPr>
                  <w:t>460</w:t>
                </w:r>
                <w:r>
                  <w:rPr>
                    <w:webHidden/>
                  </w:rPr>
                  <w:fldChar w:fldCharType="end"/>
                </w:r>
              </w:hyperlink>
            </w:p>
            <w:p w14:paraId="3D4A07BC" w14:textId="247C4643"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37" w:history="1">
                <w:r w:rsidRPr="004C4CA6">
                  <w:rPr>
                    <w:rStyle w:val="Hyperlink"/>
                  </w:rPr>
                  <w:t>5.8.2.</w:t>
                </w:r>
                <w:r>
                  <w:rPr>
                    <w:rFonts w:asciiTheme="minorHAnsi" w:eastAsiaTheme="minorEastAsia" w:hAnsiTheme="minorHAnsi" w:cstheme="minorBidi"/>
                    <w:sz w:val="22"/>
                    <w:szCs w:val="22"/>
                    <w:lang w:val="en-US" w:eastAsia="en-US"/>
                  </w:rPr>
                  <w:tab/>
                </w:r>
                <w:r w:rsidRPr="004C4CA6">
                  <w:rPr>
                    <w:rStyle w:val="Hyperlink"/>
                  </w:rPr>
                  <w:t>Tipping points</w:t>
                </w:r>
                <w:r>
                  <w:rPr>
                    <w:webHidden/>
                  </w:rPr>
                  <w:tab/>
                </w:r>
                <w:r>
                  <w:rPr>
                    <w:webHidden/>
                  </w:rPr>
                  <w:fldChar w:fldCharType="begin"/>
                </w:r>
                <w:r>
                  <w:rPr>
                    <w:webHidden/>
                  </w:rPr>
                  <w:instrText xml:space="preserve"> PAGEREF _Toc519500037 \h </w:instrText>
                </w:r>
                <w:r>
                  <w:rPr>
                    <w:webHidden/>
                  </w:rPr>
                </w:r>
                <w:r>
                  <w:rPr>
                    <w:webHidden/>
                  </w:rPr>
                  <w:fldChar w:fldCharType="separate"/>
                </w:r>
                <w:r>
                  <w:rPr>
                    <w:webHidden/>
                  </w:rPr>
                  <w:t>461</w:t>
                </w:r>
                <w:r>
                  <w:rPr>
                    <w:webHidden/>
                  </w:rPr>
                  <w:fldChar w:fldCharType="end"/>
                </w:r>
              </w:hyperlink>
            </w:p>
            <w:p w14:paraId="5C1791BC" w14:textId="4BF01C24"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38" w:history="1">
                <w:r w:rsidRPr="004C4CA6">
                  <w:rPr>
                    <w:rStyle w:val="Hyperlink"/>
                  </w:rPr>
                  <w:t>5.8.3.</w:t>
                </w:r>
                <w:r>
                  <w:rPr>
                    <w:rFonts w:asciiTheme="minorHAnsi" w:eastAsiaTheme="minorEastAsia" w:hAnsiTheme="minorHAnsi" w:cstheme="minorBidi"/>
                    <w:sz w:val="22"/>
                    <w:szCs w:val="22"/>
                    <w:lang w:val="en-US" w:eastAsia="en-US"/>
                  </w:rPr>
                  <w:tab/>
                </w:r>
                <w:r w:rsidRPr="004C4CA6">
                  <w:rPr>
                    <w:rStyle w:val="Hyperlink"/>
                  </w:rPr>
                  <w:t>Tele-coupling</w:t>
                </w:r>
                <w:r>
                  <w:rPr>
                    <w:webHidden/>
                  </w:rPr>
                  <w:tab/>
                </w:r>
                <w:r>
                  <w:rPr>
                    <w:webHidden/>
                  </w:rPr>
                  <w:fldChar w:fldCharType="begin"/>
                </w:r>
                <w:r>
                  <w:rPr>
                    <w:webHidden/>
                  </w:rPr>
                  <w:instrText xml:space="preserve"> PAGEREF _Toc519500038 \h </w:instrText>
                </w:r>
                <w:r>
                  <w:rPr>
                    <w:webHidden/>
                  </w:rPr>
                </w:r>
                <w:r>
                  <w:rPr>
                    <w:webHidden/>
                  </w:rPr>
                  <w:fldChar w:fldCharType="separate"/>
                </w:r>
                <w:r>
                  <w:rPr>
                    <w:webHidden/>
                  </w:rPr>
                  <w:t>463</w:t>
                </w:r>
                <w:r>
                  <w:rPr>
                    <w:webHidden/>
                  </w:rPr>
                  <w:fldChar w:fldCharType="end"/>
                </w:r>
              </w:hyperlink>
            </w:p>
            <w:p w14:paraId="0F3EBC5B" w14:textId="1647056D" w:rsidR="00DA6432" w:rsidRDefault="00DA6432">
              <w:pPr>
                <w:pStyle w:val="TOC3"/>
                <w:rPr>
                  <w:rFonts w:asciiTheme="minorHAnsi" w:eastAsiaTheme="minorEastAsia" w:hAnsiTheme="minorHAnsi" w:cstheme="minorBidi"/>
                  <w:noProof/>
                  <w:color w:val="auto"/>
                  <w:lang w:val="en-US" w:eastAsia="en-US"/>
                </w:rPr>
              </w:pPr>
              <w:hyperlink w:anchor="_Toc519500039" w:history="1">
                <w:r w:rsidRPr="004C4CA6">
                  <w:rPr>
                    <w:rStyle w:val="Hyperlink"/>
                    <w:rFonts w:cs="Times New Roman"/>
                    <w:noProof/>
                  </w:rPr>
                  <w:t>5.9.</w:t>
                </w:r>
                <w:r>
                  <w:rPr>
                    <w:rFonts w:asciiTheme="minorHAnsi" w:eastAsiaTheme="minorEastAsia" w:hAnsiTheme="minorHAnsi" w:cstheme="minorBidi"/>
                    <w:noProof/>
                    <w:color w:val="auto"/>
                    <w:lang w:val="en-US" w:eastAsia="en-US"/>
                  </w:rPr>
                  <w:tab/>
                </w:r>
                <w:r w:rsidRPr="004C4CA6">
                  <w:rPr>
                    <w:rStyle w:val="Hyperlink"/>
                    <w:rFonts w:cs="Times New Roman"/>
                    <w:noProof/>
                  </w:rPr>
                  <w:t>Conclusion</w:t>
                </w:r>
                <w:r>
                  <w:rPr>
                    <w:noProof/>
                    <w:webHidden/>
                  </w:rPr>
                  <w:tab/>
                </w:r>
                <w:r>
                  <w:rPr>
                    <w:noProof/>
                    <w:webHidden/>
                  </w:rPr>
                  <w:fldChar w:fldCharType="begin"/>
                </w:r>
                <w:r>
                  <w:rPr>
                    <w:noProof/>
                    <w:webHidden/>
                  </w:rPr>
                  <w:instrText xml:space="preserve"> PAGEREF _Toc519500039 \h </w:instrText>
                </w:r>
                <w:r>
                  <w:rPr>
                    <w:noProof/>
                    <w:webHidden/>
                  </w:rPr>
                </w:r>
                <w:r>
                  <w:rPr>
                    <w:noProof/>
                    <w:webHidden/>
                  </w:rPr>
                  <w:fldChar w:fldCharType="separate"/>
                </w:r>
                <w:r>
                  <w:rPr>
                    <w:noProof/>
                    <w:webHidden/>
                  </w:rPr>
                  <w:t>463</w:t>
                </w:r>
                <w:r>
                  <w:rPr>
                    <w:noProof/>
                    <w:webHidden/>
                  </w:rPr>
                  <w:fldChar w:fldCharType="end"/>
                </w:r>
              </w:hyperlink>
            </w:p>
            <w:p w14:paraId="74CCA77A" w14:textId="1DE2B173" w:rsidR="00DA6432" w:rsidRDefault="00DA6432">
              <w:pPr>
                <w:pStyle w:val="TOC3"/>
                <w:rPr>
                  <w:rFonts w:asciiTheme="minorHAnsi" w:eastAsiaTheme="minorEastAsia" w:hAnsiTheme="minorHAnsi" w:cstheme="minorBidi"/>
                  <w:noProof/>
                  <w:color w:val="auto"/>
                  <w:lang w:val="en-US" w:eastAsia="en-US"/>
                </w:rPr>
              </w:pPr>
              <w:hyperlink w:anchor="_Toc519500040" w:history="1">
                <w:r w:rsidRPr="004C4CA6">
                  <w:rPr>
                    <w:rStyle w:val="Hyperlink"/>
                    <w:rFonts w:cs="Times New Roman"/>
                    <w:noProof/>
                  </w:rPr>
                  <w:t>5.10.</w:t>
                </w:r>
                <w:r>
                  <w:rPr>
                    <w:rFonts w:asciiTheme="minorHAnsi" w:eastAsiaTheme="minorEastAsia" w:hAnsiTheme="minorHAnsi" w:cstheme="minorBidi"/>
                    <w:noProof/>
                    <w:color w:val="auto"/>
                    <w:lang w:val="en-US" w:eastAsia="en-US"/>
                  </w:rPr>
                  <w:tab/>
                </w:r>
                <w:r w:rsidRPr="004C4CA6">
                  <w:rPr>
                    <w:rStyle w:val="Hyperlink"/>
                    <w:rFonts w:cs="Times New Roman"/>
                    <w:noProof/>
                  </w:rPr>
                  <w:t>References</w:t>
                </w:r>
                <w:r>
                  <w:rPr>
                    <w:noProof/>
                    <w:webHidden/>
                  </w:rPr>
                  <w:tab/>
                </w:r>
                <w:r>
                  <w:rPr>
                    <w:noProof/>
                    <w:webHidden/>
                  </w:rPr>
                  <w:fldChar w:fldCharType="begin"/>
                </w:r>
                <w:r>
                  <w:rPr>
                    <w:noProof/>
                    <w:webHidden/>
                  </w:rPr>
                  <w:instrText xml:space="preserve"> PAGEREF _Toc519500040 \h </w:instrText>
                </w:r>
                <w:r>
                  <w:rPr>
                    <w:noProof/>
                    <w:webHidden/>
                  </w:rPr>
                </w:r>
                <w:r>
                  <w:rPr>
                    <w:noProof/>
                    <w:webHidden/>
                  </w:rPr>
                  <w:fldChar w:fldCharType="separate"/>
                </w:r>
                <w:r>
                  <w:rPr>
                    <w:noProof/>
                    <w:webHidden/>
                  </w:rPr>
                  <w:t>465</w:t>
                </w:r>
                <w:r>
                  <w:rPr>
                    <w:noProof/>
                    <w:webHidden/>
                  </w:rPr>
                  <w:fldChar w:fldCharType="end"/>
                </w:r>
              </w:hyperlink>
            </w:p>
            <w:p w14:paraId="6A41EAE7" w14:textId="2F3E196C" w:rsidR="00DA6432" w:rsidRDefault="00DA6432">
              <w:pPr>
                <w:pStyle w:val="TOC3"/>
                <w:rPr>
                  <w:rFonts w:asciiTheme="minorHAnsi" w:eastAsiaTheme="minorEastAsia" w:hAnsiTheme="minorHAnsi" w:cstheme="minorBidi"/>
                  <w:noProof/>
                  <w:color w:val="auto"/>
                  <w:lang w:val="en-US" w:eastAsia="en-US"/>
                </w:rPr>
              </w:pPr>
              <w:hyperlink w:anchor="_Toc519500041" w:history="1">
                <w:r w:rsidRPr="004C4CA6">
                  <w:rPr>
                    <w:rStyle w:val="Hyperlink"/>
                    <w:rFonts w:cs="Times New Roman"/>
                    <w:noProof/>
                  </w:rPr>
                  <w:t>Appendix 5.1: Detailed analysis of the likelihood for achieving different policy targets under the five archetypes assessed in this chapter.</w:t>
                </w:r>
                <w:r>
                  <w:rPr>
                    <w:noProof/>
                    <w:webHidden/>
                  </w:rPr>
                  <w:tab/>
                </w:r>
                <w:r>
                  <w:rPr>
                    <w:noProof/>
                    <w:webHidden/>
                  </w:rPr>
                  <w:fldChar w:fldCharType="begin"/>
                </w:r>
                <w:r>
                  <w:rPr>
                    <w:noProof/>
                    <w:webHidden/>
                  </w:rPr>
                  <w:instrText xml:space="preserve"> PAGEREF _Toc519500041 \h </w:instrText>
                </w:r>
                <w:r>
                  <w:rPr>
                    <w:noProof/>
                    <w:webHidden/>
                  </w:rPr>
                </w:r>
                <w:r>
                  <w:rPr>
                    <w:noProof/>
                    <w:webHidden/>
                  </w:rPr>
                  <w:fldChar w:fldCharType="separate"/>
                </w:r>
                <w:r>
                  <w:rPr>
                    <w:noProof/>
                    <w:webHidden/>
                  </w:rPr>
                  <w:t>479</w:t>
                </w:r>
                <w:r>
                  <w:rPr>
                    <w:noProof/>
                    <w:webHidden/>
                  </w:rPr>
                  <w:fldChar w:fldCharType="end"/>
                </w:r>
              </w:hyperlink>
            </w:p>
            <w:p w14:paraId="7DDD9C38" w14:textId="39ECACCC" w:rsidR="00DA6432" w:rsidRDefault="00DA6432">
              <w:pPr>
                <w:pStyle w:val="TOC1"/>
                <w:rPr>
                  <w:rFonts w:asciiTheme="minorHAnsi" w:hAnsiTheme="minorHAnsi" w:cstheme="minorBidi"/>
                  <w:sz w:val="22"/>
                  <w:szCs w:val="22"/>
                </w:rPr>
              </w:pPr>
              <w:hyperlink w:anchor="_Toc519500042" w:history="1">
                <w:r w:rsidRPr="004C4CA6">
                  <w:rPr>
                    <w:rStyle w:val="Hyperlink"/>
                  </w:rPr>
                  <w:t>Chapter 6: Options for governance and decision-making across scales and sectors</w:t>
                </w:r>
                <w:r>
                  <w:rPr>
                    <w:webHidden/>
                  </w:rPr>
                  <w:tab/>
                </w:r>
                <w:r>
                  <w:rPr>
                    <w:webHidden/>
                  </w:rPr>
                  <w:fldChar w:fldCharType="begin"/>
                </w:r>
                <w:r>
                  <w:rPr>
                    <w:webHidden/>
                  </w:rPr>
                  <w:instrText xml:space="preserve"> PAGEREF _Toc519500042 \h </w:instrText>
                </w:r>
                <w:r>
                  <w:rPr>
                    <w:webHidden/>
                  </w:rPr>
                </w:r>
                <w:r>
                  <w:rPr>
                    <w:webHidden/>
                  </w:rPr>
                  <w:fldChar w:fldCharType="separate"/>
                </w:r>
                <w:r>
                  <w:rPr>
                    <w:webHidden/>
                  </w:rPr>
                  <w:t>480</w:t>
                </w:r>
                <w:r>
                  <w:rPr>
                    <w:webHidden/>
                  </w:rPr>
                  <w:fldChar w:fldCharType="end"/>
                </w:r>
              </w:hyperlink>
            </w:p>
            <w:p w14:paraId="39BF1DA9" w14:textId="37CC68DC" w:rsidR="00DA6432" w:rsidRDefault="00DA6432">
              <w:pPr>
                <w:pStyle w:val="TOC3"/>
                <w:rPr>
                  <w:rFonts w:asciiTheme="minorHAnsi" w:eastAsiaTheme="minorEastAsia" w:hAnsiTheme="minorHAnsi" w:cstheme="minorBidi"/>
                  <w:noProof/>
                  <w:color w:val="auto"/>
                  <w:lang w:val="en-US" w:eastAsia="en-US"/>
                </w:rPr>
              </w:pPr>
              <w:hyperlink w:anchor="_Toc519500043" w:history="1">
                <w:r w:rsidRPr="004C4CA6">
                  <w:rPr>
                    <w:rStyle w:val="Hyperlink"/>
                    <w:rFonts w:cs="Times New Roman"/>
                    <w:noProof/>
                  </w:rPr>
                  <w:t>Executive summary</w:t>
                </w:r>
                <w:r>
                  <w:rPr>
                    <w:noProof/>
                    <w:webHidden/>
                  </w:rPr>
                  <w:tab/>
                </w:r>
                <w:r>
                  <w:rPr>
                    <w:noProof/>
                    <w:webHidden/>
                  </w:rPr>
                  <w:fldChar w:fldCharType="begin"/>
                </w:r>
                <w:r>
                  <w:rPr>
                    <w:noProof/>
                    <w:webHidden/>
                  </w:rPr>
                  <w:instrText xml:space="preserve"> PAGEREF _Toc519500043 \h </w:instrText>
                </w:r>
                <w:r>
                  <w:rPr>
                    <w:noProof/>
                    <w:webHidden/>
                  </w:rPr>
                </w:r>
                <w:r>
                  <w:rPr>
                    <w:noProof/>
                    <w:webHidden/>
                  </w:rPr>
                  <w:fldChar w:fldCharType="separate"/>
                </w:r>
                <w:r>
                  <w:rPr>
                    <w:noProof/>
                    <w:webHidden/>
                  </w:rPr>
                  <w:t>481</w:t>
                </w:r>
                <w:r>
                  <w:rPr>
                    <w:noProof/>
                    <w:webHidden/>
                  </w:rPr>
                  <w:fldChar w:fldCharType="end"/>
                </w:r>
              </w:hyperlink>
            </w:p>
            <w:p w14:paraId="73E1A60C" w14:textId="77FAE697" w:rsidR="00DA6432" w:rsidRDefault="00DA6432">
              <w:pPr>
                <w:pStyle w:val="TOC3"/>
                <w:rPr>
                  <w:rFonts w:asciiTheme="minorHAnsi" w:eastAsiaTheme="minorEastAsia" w:hAnsiTheme="minorHAnsi" w:cstheme="minorBidi"/>
                  <w:noProof/>
                  <w:color w:val="auto"/>
                  <w:lang w:val="en-US" w:eastAsia="en-US"/>
                </w:rPr>
              </w:pPr>
              <w:hyperlink w:anchor="_Toc519500045" w:history="1">
                <w:r w:rsidRPr="004C4CA6">
                  <w:rPr>
                    <w:rStyle w:val="Hyperlink"/>
                    <w:rFonts w:cs="Times New Roman"/>
                    <w:noProof/>
                  </w:rPr>
                  <w:t>6.1.</w:t>
                </w:r>
                <w:r>
                  <w:rPr>
                    <w:rFonts w:asciiTheme="minorHAnsi" w:eastAsiaTheme="minorEastAsia" w:hAnsiTheme="minorHAnsi" w:cstheme="minorBidi"/>
                    <w:noProof/>
                    <w:color w:val="auto"/>
                    <w:lang w:val="en-US" w:eastAsia="en-US"/>
                  </w:rPr>
                  <w:tab/>
                </w:r>
                <w:r w:rsidRPr="004C4CA6">
                  <w:rPr>
                    <w:rStyle w:val="Hyperlink"/>
                    <w:rFonts w:cs="Times New Roman"/>
                    <w:noProof/>
                  </w:rPr>
                  <w:t>Introduction</w:t>
                </w:r>
                <w:r>
                  <w:rPr>
                    <w:noProof/>
                    <w:webHidden/>
                  </w:rPr>
                  <w:tab/>
                </w:r>
                <w:r>
                  <w:rPr>
                    <w:noProof/>
                    <w:webHidden/>
                  </w:rPr>
                  <w:fldChar w:fldCharType="begin"/>
                </w:r>
                <w:r>
                  <w:rPr>
                    <w:noProof/>
                    <w:webHidden/>
                  </w:rPr>
                  <w:instrText xml:space="preserve"> PAGEREF _Toc519500045 \h </w:instrText>
                </w:r>
                <w:r>
                  <w:rPr>
                    <w:noProof/>
                    <w:webHidden/>
                  </w:rPr>
                </w:r>
                <w:r>
                  <w:rPr>
                    <w:noProof/>
                    <w:webHidden/>
                  </w:rPr>
                  <w:fldChar w:fldCharType="separate"/>
                </w:r>
                <w:r>
                  <w:rPr>
                    <w:noProof/>
                    <w:webHidden/>
                  </w:rPr>
                  <w:t>484</w:t>
                </w:r>
                <w:r>
                  <w:rPr>
                    <w:noProof/>
                    <w:webHidden/>
                  </w:rPr>
                  <w:fldChar w:fldCharType="end"/>
                </w:r>
              </w:hyperlink>
            </w:p>
            <w:p w14:paraId="32AC0967" w14:textId="5E6A707A" w:rsidR="00DA6432" w:rsidRDefault="00DA6432">
              <w:pPr>
                <w:pStyle w:val="TOC3"/>
                <w:rPr>
                  <w:rFonts w:asciiTheme="minorHAnsi" w:eastAsiaTheme="minorEastAsia" w:hAnsiTheme="minorHAnsi" w:cstheme="minorBidi"/>
                  <w:noProof/>
                  <w:color w:val="auto"/>
                  <w:lang w:val="en-US" w:eastAsia="en-US"/>
                </w:rPr>
              </w:pPr>
              <w:hyperlink w:anchor="_Toc519500046" w:history="1">
                <w:r w:rsidRPr="004C4CA6">
                  <w:rPr>
                    <w:rStyle w:val="Hyperlink"/>
                    <w:rFonts w:cs="Times New Roman"/>
                    <w:noProof/>
                  </w:rPr>
                  <w:t>6.2.</w:t>
                </w:r>
                <w:r>
                  <w:rPr>
                    <w:rFonts w:asciiTheme="minorHAnsi" w:eastAsiaTheme="minorEastAsia" w:hAnsiTheme="minorHAnsi" w:cstheme="minorBidi"/>
                    <w:noProof/>
                    <w:color w:val="auto"/>
                    <w:lang w:val="en-US" w:eastAsia="en-US"/>
                  </w:rPr>
                  <w:tab/>
                </w:r>
                <w:r w:rsidRPr="004C4CA6">
                  <w:rPr>
                    <w:rStyle w:val="Hyperlink"/>
                    <w:rFonts w:cs="Times New Roman"/>
                    <w:noProof/>
                  </w:rPr>
                  <w:t>Governance of biodiversity and ecosystem services in Africa</w:t>
                </w:r>
                <w:r>
                  <w:rPr>
                    <w:noProof/>
                    <w:webHidden/>
                  </w:rPr>
                  <w:tab/>
                </w:r>
                <w:r>
                  <w:rPr>
                    <w:noProof/>
                    <w:webHidden/>
                  </w:rPr>
                  <w:fldChar w:fldCharType="begin"/>
                </w:r>
                <w:r>
                  <w:rPr>
                    <w:noProof/>
                    <w:webHidden/>
                  </w:rPr>
                  <w:instrText xml:space="preserve"> PAGEREF _Toc519500046 \h </w:instrText>
                </w:r>
                <w:r>
                  <w:rPr>
                    <w:noProof/>
                    <w:webHidden/>
                  </w:rPr>
                </w:r>
                <w:r>
                  <w:rPr>
                    <w:noProof/>
                    <w:webHidden/>
                  </w:rPr>
                  <w:fldChar w:fldCharType="separate"/>
                </w:r>
                <w:r>
                  <w:rPr>
                    <w:noProof/>
                    <w:webHidden/>
                  </w:rPr>
                  <w:t>486</w:t>
                </w:r>
                <w:r>
                  <w:rPr>
                    <w:noProof/>
                    <w:webHidden/>
                  </w:rPr>
                  <w:fldChar w:fldCharType="end"/>
                </w:r>
              </w:hyperlink>
            </w:p>
            <w:p w14:paraId="0CF195C1" w14:textId="0927E0C9" w:rsidR="00DA6432" w:rsidRDefault="00DA6432">
              <w:pPr>
                <w:pStyle w:val="TOC3"/>
                <w:rPr>
                  <w:rFonts w:asciiTheme="minorHAnsi" w:eastAsiaTheme="minorEastAsia" w:hAnsiTheme="minorHAnsi" w:cstheme="minorBidi"/>
                  <w:noProof/>
                  <w:color w:val="auto"/>
                  <w:lang w:val="en-US" w:eastAsia="en-US"/>
                </w:rPr>
              </w:pPr>
              <w:hyperlink w:anchor="_Toc519500047" w:history="1">
                <w:r w:rsidRPr="004C4CA6">
                  <w:rPr>
                    <w:rStyle w:val="Hyperlink"/>
                    <w:rFonts w:cs="Times New Roman"/>
                    <w:noProof/>
                  </w:rPr>
                  <w:t>6.3.</w:t>
                </w:r>
                <w:r>
                  <w:rPr>
                    <w:rFonts w:asciiTheme="minorHAnsi" w:eastAsiaTheme="minorEastAsia" w:hAnsiTheme="minorHAnsi" w:cstheme="minorBidi"/>
                    <w:noProof/>
                    <w:color w:val="auto"/>
                    <w:lang w:val="en-US" w:eastAsia="en-US"/>
                  </w:rPr>
                  <w:tab/>
                </w:r>
                <w:r w:rsidRPr="004C4CA6">
                  <w:rPr>
                    <w:rStyle w:val="Hyperlink"/>
                    <w:rFonts w:cs="Times New Roman"/>
                    <w:noProof/>
                  </w:rPr>
                  <w:t>Assessing the existing multi-level policy context for the governance of Africa’s biodiversity and ecosystem services</w:t>
                </w:r>
                <w:r>
                  <w:rPr>
                    <w:noProof/>
                    <w:webHidden/>
                  </w:rPr>
                  <w:tab/>
                </w:r>
                <w:r>
                  <w:rPr>
                    <w:noProof/>
                    <w:webHidden/>
                  </w:rPr>
                  <w:fldChar w:fldCharType="begin"/>
                </w:r>
                <w:r>
                  <w:rPr>
                    <w:noProof/>
                    <w:webHidden/>
                  </w:rPr>
                  <w:instrText xml:space="preserve"> PAGEREF _Toc519500047 \h </w:instrText>
                </w:r>
                <w:r>
                  <w:rPr>
                    <w:noProof/>
                    <w:webHidden/>
                  </w:rPr>
                </w:r>
                <w:r>
                  <w:rPr>
                    <w:noProof/>
                    <w:webHidden/>
                  </w:rPr>
                  <w:fldChar w:fldCharType="separate"/>
                </w:r>
                <w:r>
                  <w:rPr>
                    <w:noProof/>
                    <w:webHidden/>
                  </w:rPr>
                  <w:t>488</w:t>
                </w:r>
                <w:r>
                  <w:rPr>
                    <w:noProof/>
                    <w:webHidden/>
                  </w:rPr>
                  <w:fldChar w:fldCharType="end"/>
                </w:r>
              </w:hyperlink>
            </w:p>
            <w:p w14:paraId="2B0ABEB8" w14:textId="12D4F5E5"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48" w:history="1">
                <w:r w:rsidRPr="004C4CA6">
                  <w:rPr>
                    <w:rStyle w:val="Hyperlink"/>
                  </w:rPr>
                  <w:t>6.3.1.</w:t>
                </w:r>
                <w:r>
                  <w:rPr>
                    <w:rFonts w:asciiTheme="minorHAnsi" w:eastAsiaTheme="minorEastAsia" w:hAnsiTheme="minorHAnsi" w:cstheme="minorBidi"/>
                    <w:sz w:val="22"/>
                    <w:szCs w:val="22"/>
                    <w:lang w:val="en-US" w:eastAsia="en-US"/>
                  </w:rPr>
                  <w:tab/>
                </w:r>
                <w:r w:rsidRPr="004C4CA6">
                  <w:rPr>
                    <w:rStyle w:val="Hyperlink"/>
                  </w:rPr>
                  <w:t>The international policy context</w:t>
                </w:r>
                <w:r>
                  <w:rPr>
                    <w:webHidden/>
                  </w:rPr>
                  <w:tab/>
                </w:r>
                <w:r>
                  <w:rPr>
                    <w:webHidden/>
                  </w:rPr>
                  <w:fldChar w:fldCharType="begin"/>
                </w:r>
                <w:r>
                  <w:rPr>
                    <w:webHidden/>
                  </w:rPr>
                  <w:instrText xml:space="preserve"> PAGEREF _Toc519500048 \h </w:instrText>
                </w:r>
                <w:r>
                  <w:rPr>
                    <w:webHidden/>
                  </w:rPr>
                </w:r>
                <w:r>
                  <w:rPr>
                    <w:webHidden/>
                  </w:rPr>
                  <w:fldChar w:fldCharType="separate"/>
                </w:r>
                <w:r>
                  <w:rPr>
                    <w:webHidden/>
                  </w:rPr>
                  <w:t>488</w:t>
                </w:r>
                <w:r>
                  <w:rPr>
                    <w:webHidden/>
                  </w:rPr>
                  <w:fldChar w:fldCharType="end"/>
                </w:r>
              </w:hyperlink>
            </w:p>
            <w:p w14:paraId="564355C2" w14:textId="4164A8DA"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49" w:history="1">
                <w:r w:rsidRPr="004C4CA6">
                  <w:rPr>
                    <w:rStyle w:val="Hyperlink"/>
                  </w:rPr>
                  <w:t>6.3.2.</w:t>
                </w:r>
                <w:r>
                  <w:rPr>
                    <w:rFonts w:asciiTheme="minorHAnsi" w:eastAsiaTheme="minorEastAsia" w:hAnsiTheme="minorHAnsi" w:cstheme="minorBidi"/>
                    <w:sz w:val="22"/>
                    <w:szCs w:val="22"/>
                    <w:lang w:val="en-US" w:eastAsia="en-US"/>
                  </w:rPr>
                  <w:tab/>
                </w:r>
                <w:r w:rsidRPr="004C4CA6">
                  <w:rPr>
                    <w:rStyle w:val="Hyperlink"/>
                  </w:rPr>
                  <w:t>Africa’s regional and subregional policy context</w:t>
                </w:r>
                <w:r>
                  <w:rPr>
                    <w:webHidden/>
                  </w:rPr>
                  <w:tab/>
                </w:r>
                <w:r>
                  <w:rPr>
                    <w:webHidden/>
                  </w:rPr>
                  <w:fldChar w:fldCharType="begin"/>
                </w:r>
                <w:r>
                  <w:rPr>
                    <w:webHidden/>
                  </w:rPr>
                  <w:instrText xml:space="preserve"> PAGEREF _Toc519500049 \h </w:instrText>
                </w:r>
                <w:r>
                  <w:rPr>
                    <w:webHidden/>
                  </w:rPr>
                </w:r>
                <w:r>
                  <w:rPr>
                    <w:webHidden/>
                  </w:rPr>
                  <w:fldChar w:fldCharType="separate"/>
                </w:r>
                <w:r>
                  <w:rPr>
                    <w:webHidden/>
                  </w:rPr>
                  <w:t>496</w:t>
                </w:r>
                <w:r>
                  <w:rPr>
                    <w:webHidden/>
                  </w:rPr>
                  <w:fldChar w:fldCharType="end"/>
                </w:r>
              </w:hyperlink>
            </w:p>
            <w:p w14:paraId="703DE72A" w14:textId="7019263C"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50" w:history="1">
                <w:r w:rsidRPr="004C4CA6">
                  <w:rPr>
                    <w:rStyle w:val="Hyperlink"/>
                  </w:rPr>
                  <w:t>6.3.3.</w:t>
                </w:r>
                <w:r>
                  <w:rPr>
                    <w:rFonts w:asciiTheme="minorHAnsi" w:eastAsiaTheme="minorEastAsia" w:hAnsiTheme="minorHAnsi" w:cstheme="minorBidi"/>
                    <w:sz w:val="22"/>
                    <w:szCs w:val="22"/>
                    <w:lang w:val="en-US" w:eastAsia="en-US"/>
                  </w:rPr>
                  <w:tab/>
                </w:r>
                <w:r w:rsidRPr="004C4CA6">
                  <w:rPr>
                    <w:rStyle w:val="Hyperlink"/>
                  </w:rPr>
                  <w:t>National level strategies and action plans</w:t>
                </w:r>
                <w:r>
                  <w:rPr>
                    <w:webHidden/>
                  </w:rPr>
                  <w:tab/>
                </w:r>
                <w:r>
                  <w:rPr>
                    <w:webHidden/>
                  </w:rPr>
                  <w:fldChar w:fldCharType="begin"/>
                </w:r>
                <w:r>
                  <w:rPr>
                    <w:webHidden/>
                  </w:rPr>
                  <w:instrText xml:space="preserve"> PAGEREF _Toc519500050 \h </w:instrText>
                </w:r>
                <w:r>
                  <w:rPr>
                    <w:webHidden/>
                  </w:rPr>
                </w:r>
                <w:r>
                  <w:rPr>
                    <w:webHidden/>
                  </w:rPr>
                  <w:fldChar w:fldCharType="separate"/>
                </w:r>
                <w:r>
                  <w:rPr>
                    <w:webHidden/>
                  </w:rPr>
                  <w:t>498</w:t>
                </w:r>
                <w:r>
                  <w:rPr>
                    <w:webHidden/>
                  </w:rPr>
                  <w:fldChar w:fldCharType="end"/>
                </w:r>
              </w:hyperlink>
            </w:p>
            <w:p w14:paraId="11DA217C" w14:textId="25AD226E" w:rsidR="00DA6432" w:rsidRDefault="00DA6432">
              <w:pPr>
                <w:pStyle w:val="TOC3"/>
                <w:rPr>
                  <w:rFonts w:asciiTheme="minorHAnsi" w:eastAsiaTheme="minorEastAsia" w:hAnsiTheme="minorHAnsi" w:cstheme="minorBidi"/>
                  <w:noProof/>
                  <w:color w:val="auto"/>
                  <w:lang w:val="en-US" w:eastAsia="en-US"/>
                </w:rPr>
              </w:pPr>
              <w:hyperlink w:anchor="_Toc519500051" w:history="1">
                <w:r w:rsidRPr="004C4CA6">
                  <w:rPr>
                    <w:rStyle w:val="Hyperlink"/>
                    <w:rFonts w:cs="Times New Roman"/>
                    <w:noProof/>
                  </w:rPr>
                  <w:t>6.4.</w:t>
                </w:r>
                <w:r>
                  <w:rPr>
                    <w:rFonts w:asciiTheme="minorHAnsi" w:eastAsiaTheme="minorEastAsia" w:hAnsiTheme="minorHAnsi" w:cstheme="minorBidi"/>
                    <w:noProof/>
                    <w:color w:val="auto"/>
                    <w:lang w:val="en-US" w:eastAsia="en-US"/>
                  </w:rPr>
                  <w:tab/>
                </w:r>
                <w:r w:rsidRPr="004C4CA6">
                  <w:rPr>
                    <w:rStyle w:val="Hyperlink"/>
                    <w:rFonts w:cs="Times New Roman"/>
                    <w:noProof/>
                  </w:rPr>
                  <w:t>Mainstreaming biodiversity and ecosystem services</w:t>
                </w:r>
                <w:r>
                  <w:rPr>
                    <w:noProof/>
                    <w:webHidden/>
                  </w:rPr>
                  <w:tab/>
                </w:r>
                <w:r>
                  <w:rPr>
                    <w:noProof/>
                    <w:webHidden/>
                  </w:rPr>
                  <w:fldChar w:fldCharType="begin"/>
                </w:r>
                <w:r>
                  <w:rPr>
                    <w:noProof/>
                    <w:webHidden/>
                  </w:rPr>
                  <w:instrText xml:space="preserve"> PAGEREF _Toc519500051 \h </w:instrText>
                </w:r>
                <w:r>
                  <w:rPr>
                    <w:noProof/>
                    <w:webHidden/>
                  </w:rPr>
                </w:r>
                <w:r>
                  <w:rPr>
                    <w:noProof/>
                    <w:webHidden/>
                  </w:rPr>
                  <w:fldChar w:fldCharType="separate"/>
                </w:r>
                <w:r>
                  <w:rPr>
                    <w:noProof/>
                    <w:webHidden/>
                  </w:rPr>
                  <w:t>499</w:t>
                </w:r>
                <w:r>
                  <w:rPr>
                    <w:noProof/>
                    <w:webHidden/>
                  </w:rPr>
                  <w:fldChar w:fldCharType="end"/>
                </w:r>
              </w:hyperlink>
            </w:p>
            <w:p w14:paraId="784342D2" w14:textId="6B696091"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52" w:history="1">
                <w:r w:rsidRPr="004C4CA6">
                  <w:rPr>
                    <w:rStyle w:val="Hyperlink"/>
                  </w:rPr>
                  <w:t>6.4.1.</w:t>
                </w:r>
                <w:r>
                  <w:rPr>
                    <w:rFonts w:asciiTheme="minorHAnsi" w:eastAsiaTheme="minorEastAsia" w:hAnsiTheme="minorHAnsi" w:cstheme="minorBidi"/>
                    <w:sz w:val="22"/>
                    <w:szCs w:val="22"/>
                    <w:lang w:val="en-US" w:eastAsia="en-US"/>
                  </w:rPr>
                  <w:tab/>
                </w:r>
                <w:r w:rsidRPr="004C4CA6">
                  <w:rPr>
                    <w:rStyle w:val="Hyperlink"/>
                  </w:rPr>
                  <w:t>National development processes</w:t>
                </w:r>
                <w:r>
                  <w:rPr>
                    <w:webHidden/>
                  </w:rPr>
                  <w:tab/>
                </w:r>
                <w:r>
                  <w:rPr>
                    <w:webHidden/>
                  </w:rPr>
                  <w:fldChar w:fldCharType="begin"/>
                </w:r>
                <w:r>
                  <w:rPr>
                    <w:webHidden/>
                  </w:rPr>
                  <w:instrText xml:space="preserve"> PAGEREF _Toc519500052 \h </w:instrText>
                </w:r>
                <w:r>
                  <w:rPr>
                    <w:webHidden/>
                  </w:rPr>
                </w:r>
                <w:r>
                  <w:rPr>
                    <w:webHidden/>
                  </w:rPr>
                  <w:fldChar w:fldCharType="separate"/>
                </w:r>
                <w:r>
                  <w:rPr>
                    <w:webHidden/>
                  </w:rPr>
                  <w:t>500</w:t>
                </w:r>
                <w:r>
                  <w:rPr>
                    <w:webHidden/>
                  </w:rPr>
                  <w:fldChar w:fldCharType="end"/>
                </w:r>
              </w:hyperlink>
            </w:p>
            <w:p w14:paraId="47677C02" w14:textId="3B52B633"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53" w:history="1">
                <w:r w:rsidRPr="004C4CA6">
                  <w:rPr>
                    <w:rStyle w:val="Hyperlink"/>
                  </w:rPr>
                  <w:t>6.4.2.</w:t>
                </w:r>
                <w:r>
                  <w:rPr>
                    <w:rFonts w:asciiTheme="minorHAnsi" w:eastAsiaTheme="minorEastAsia" w:hAnsiTheme="minorHAnsi" w:cstheme="minorBidi"/>
                    <w:sz w:val="22"/>
                    <w:szCs w:val="22"/>
                    <w:lang w:val="en-US" w:eastAsia="en-US"/>
                  </w:rPr>
                  <w:tab/>
                </w:r>
                <w:r w:rsidRPr="004C4CA6">
                  <w:rPr>
                    <w:rStyle w:val="Hyperlink"/>
                  </w:rPr>
                  <w:t>Strategic Environmental Assessments and Environmental Impact Assessment</w:t>
                </w:r>
                <w:r>
                  <w:rPr>
                    <w:webHidden/>
                  </w:rPr>
                  <w:tab/>
                </w:r>
                <w:r>
                  <w:rPr>
                    <w:webHidden/>
                  </w:rPr>
                  <w:fldChar w:fldCharType="begin"/>
                </w:r>
                <w:r>
                  <w:rPr>
                    <w:webHidden/>
                  </w:rPr>
                  <w:instrText xml:space="preserve"> PAGEREF _Toc519500053 \h </w:instrText>
                </w:r>
                <w:r>
                  <w:rPr>
                    <w:webHidden/>
                  </w:rPr>
                </w:r>
                <w:r>
                  <w:rPr>
                    <w:webHidden/>
                  </w:rPr>
                  <w:fldChar w:fldCharType="separate"/>
                </w:r>
                <w:r>
                  <w:rPr>
                    <w:webHidden/>
                  </w:rPr>
                  <w:t>503</w:t>
                </w:r>
                <w:r>
                  <w:rPr>
                    <w:webHidden/>
                  </w:rPr>
                  <w:fldChar w:fldCharType="end"/>
                </w:r>
              </w:hyperlink>
            </w:p>
            <w:p w14:paraId="680D2D2B" w14:textId="22320AA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54" w:history="1">
                <w:r w:rsidRPr="004C4CA6">
                  <w:rPr>
                    <w:rStyle w:val="Hyperlink"/>
                  </w:rPr>
                  <w:t>6.4.3.</w:t>
                </w:r>
                <w:r>
                  <w:rPr>
                    <w:rFonts w:asciiTheme="minorHAnsi" w:eastAsiaTheme="minorEastAsia" w:hAnsiTheme="minorHAnsi" w:cstheme="minorBidi"/>
                    <w:sz w:val="22"/>
                    <w:szCs w:val="22"/>
                    <w:lang w:val="en-US" w:eastAsia="en-US"/>
                  </w:rPr>
                  <w:tab/>
                </w:r>
                <w:r w:rsidRPr="004C4CA6">
                  <w:rPr>
                    <w:rStyle w:val="Hyperlink"/>
                  </w:rPr>
                  <w:t>Benefits of mainstreaming biodiversity and ecosystem services</w:t>
                </w:r>
                <w:r>
                  <w:rPr>
                    <w:webHidden/>
                  </w:rPr>
                  <w:tab/>
                </w:r>
                <w:r>
                  <w:rPr>
                    <w:webHidden/>
                  </w:rPr>
                  <w:fldChar w:fldCharType="begin"/>
                </w:r>
                <w:r>
                  <w:rPr>
                    <w:webHidden/>
                  </w:rPr>
                  <w:instrText xml:space="preserve"> PAGEREF _Toc519500054 \h </w:instrText>
                </w:r>
                <w:r>
                  <w:rPr>
                    <w:webHidden/>
                  </w:rPr>
                </w:r>
                <w:r>
                  <w:rPr>
                    <w:webHidden/>
                  </w:rPr>
                  <w:fldChar w:fldCharType="separate"/>
                </w:r>
                <w:r>
                  <w:rPr>
                    <w:webHidden/>
                  </w:rPr>
                  <w:t>503</w:t>
                </w:r>
                <w:r>
                  <w:rPr>
                    <w:webHidden/>
                  </w:rPr>
                  <w:fldChar w:fldCharType="end"/>
                </w:r>
              </w:hyperlink>
            </w:p>
            <w:p w14:paraId="5C8ABFA8" w14:textId="234F2D90" w:rsidR="00DA6432" w:rsidRDefault="00DA6432">
              <w:pPr>
                <w:pStyle w:val="TOC3"/>
                <w:rPr>
                  <w:rFonts w:asciiTheme="minorHAnsi" w:eastAsiaTheme="minorEastAsia" w:hAnsiTheme="minorHAnsi" w:cstheme="minorBidi"/>
                  <w:noProof/>
                  <w:color w:val="auto"/>
                  <w:lang w:val="en-US" w:eastAsia="en-US"/>
                </w:rPr>
              </w:pPr>
              <w:hyperlink w:anchor="_Toc519500055" w:history="1">
                <w:r w:rsidRPr="004C4CA6">
                  <w:rPr>
                    <w:rStyle w:val="Hyperlink"/>
                    <w:rFonts w:cs="Times New Roman"/>
                    <w:noProof/>
                  </w:rPr>
                  <w:t>6.5.</w:t>
                </w:r>
                <w:r>
                  <w:rPr>
                    <w:rFonts w:asciiTheme="minorHAnsi" w:eastAsiaTheme="minorEastAsia" w:hAnsiTheme="minorHAnsi" w:cstheme="minorBidi"/>
                    <w:noProof/>
                    <w:color w:val="auto"/>
                    <w:lang w:val="en-US" w:eastAsia="en-US"/>
                  </w:rPr>
                  <w:tab/>
                </w:r>
                <w:r w:rsidRPr="004C4CA6">
                  <w:rPr>
                    <w:rStyle w:val="Hyperlink"/>
                    <w:rFonts w:cs="Times New Roman"/>
                    <w:noProof/>
                  </w:rPr>
                  <w:t>Policy instruments</w:t>
                </w:r>
                <w:r>
                  <w:rPr>
                    <w:noProof/>
                    <w:webHidden/>
                  </w:rPr>
                  <w:tab/>
                </w:r>
                <w:r>
                  <w:rPr>
                    <w:noProof/>
                    <w:webHidden/>
                  </w:rPr>
                  <w:fldChar w:fldCharType="begin"/>
                </w:r>
                <w:r>
                  <w:rPr>
                    <w:noProof/>
                    <w:webHidden/>
                  </w:rPr>
                  <w:instrText xml:space="preserve"> PAGEREF _Toc519500055 \h </w:instrText>
                </w:r>
                <w:r>
                  <w:rPr>
                    <w:noProof/>
                    <w:webHidden/>
                  </w:rPr>
                </w:r>
                <w:r>
                  <w:rPr>
                    <w:noProof/>
                    <w:webHidden/>
                  </w:rPr>
                  <w:fldChar w:fldCharType="separate"/>
                </w:r>
                <w:r>
                  <w:rPr>
                    <w:noProof/>
                    <w:webHidden/>
                  </w:rPr>
                  <w:t>504</w:t>
                </w:r>
                <w:r>
                  <w:rPr>
                    <w:noProof/>
                    <w:webHidden/>
                  </w:rPr>
                  <w:fldChar w:fldCharType="end"/>
                </w:r>
              </w:hyperlink>
            </w:p>
            <w:p w14:paraId="51E78598" w14:textId="2BFA06F9"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56" w:history="1">
                <w:r w:rsidRPr="004C4CA6">
                  <w:rPr>
                    <w:rStyle w:val="Hyperlink"/>
                  </w:rPr>
                  <w:t>6.5.1.</w:t>
                </w:r>
                <w:r>
                  <w:rPr>
                    <w:rFonts w:asciiTheme="minorHAnsi" w:eastAsiaTheme="minorEastAsia" w:hAnsiTheme="minorHAnsi" w:cstheme="minorBidi"/>
                    <w:sz w:val="22"/>
                    <w:szCs w:val="22"/>
                    <w:lang w:val="en-US" w:eastAsia="en-US"/>
                  </w:rPr>
                  <w:tab/>
                </w:r>
                <w:r w:rsidRPr="004C4CA6">
                  <w:rPr>
                    <w:rStyle w:val="Hyperlink"/>
                  </w:rPr>
                  <w:t>Economic and financial instruments</w:t>
                </w:r>
                <w:r>
                  <w:rPr>
                    <w:webHidden/>
                  </w:rPr>
                  <w:tab/>
                </w:r>
                <w:r>
                  <w:rPr>
                    <w:webHidden/>
                  </w:rPr>
                  <w:fldChar w:fldCharType="begin"/>
                </w:r>
                <w:r>
                  <w:rPr>
                    <w:webHidden/>
                  </w:rPr>
                  <w:instrText xml:space="preserve"> PAGEREF _Toc519500056 \h </w:instrText>
                </w:r>
                <w:r>
                  <w:rPr>
                    <w:webHidden/>
                  </w:rPr>
                </w:r>
                <w:r>
                  <w:rPr>
                    <w:webHidden/>
                  </w:rPr>
                  <w:fldChar w:fldCharType="separate"/>
                </w:r>
                <w:r>
                  <w:rPr>
                    <w:webHidden/>
                  </w:rPr>
                  <w:t>504</w:t>
                </w:r>
                <w:r>
                  <w:rPr>
                    <w:webHidden/>
                  </w:rPr>
                  <w:fldChar w:fldCharType="end"/>
                </w:r>
              </w:hyperlink>
            </w:p>
            <w:p w14:paraId="39FCF1D5" w14:textId="36F3C3A7"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57" w:history="1">
                <w:r w:rsidRPr="004C4CA6">
                  <w:rPr>
                    <w:rStyle w:val="Hyperlink"/>
                  </w:rPr>
                  <w:t>6.5.2.</w:t>
                </w:r>
                <w:r>
                  <w:rPr>
                    <w:rFonts w:asciiTheme="minorHAnsi" w:eastAsiaTheme="minorEastAsia" w:hAnsiTheme="minorHAnsi" w:cstheme="minorBidi"/>
                    <w:sz w:val="22"/>
                    <w:szCs w:val="22"/>
                    <w:lang w:val="en-US" w:eastAsia="en-US"/>
                  </w:rPr>
                  <w:tab/>
                </w:r>
                <w:r w:rsidRPr="004C4CA6">
                  <w:rPr>
                    <w:rStyle w:val="Hyperlink"/>
                  </w:rPr>
                  <w:t>Legal, regulatory and rights-based instruments</w:t>
                </w:r>
                <w:r>
                  <w:rPr>
                    <w:webHidden/>
                  </w:rPr>
                  <w:tab/>
                </w:r>
                <w:r>
                  <w:rPr>
                    <w:webHidden/>
                  </w:rPr>
                  <w:fldChar w:fldCharType="begin"/>
                </w:r>
                <w:r>
                  <w:rPr>
                    <w:webHidden/>
                  </w:rPr>
                  <w:instrText xml:space="preserve"> PAGEREF _Toc519500057 \h </w:instrText>
                </w:r>
                <w:r>
                  <w:rPr>
                    <w:webHidden/>
                  </w:rPr>
                </w:r>
                <w:r>
                  <w:rPr>
                    <w:webHidden/>
                  </w:rPr>
                  <w:fldChar w:fldCharType="separate"/>
                </w:r>
                <w:r>
                  <w:rPr>
                    <w:webHidden/>
                  </w:rPr>
                  <w:t>511</w:t>
                </w:r>
                <w:r>
                  <w:rPr>
                    <w:webHidden/>
                  </w:rPr>
                  <w:fldChar w:fldCharType="end"/>
                </w:r>
              </w:hyperlink>
            </w:p>
            <w:p w14:paraId="37D65B83" w14:textId="1BDA417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58" w:history="1">
                <w:r w:rsidRPr="004C4CA6">
                  <w:rPr>
                    <w:rStyle w:val="Hyperlink"/>
                  </w:rPr>
                  <w:t>6.5.3.</w:t>
                </w:r>
                <w:r>
                  <w:rPr>
                    <w:rFonts w:asciiTheme="minorHAnsi" w:eastAsiaTheme="minorEastAsia" w:hAnsiTheme="minorHAnsi" w:cstheme="minorBidi"/>
                    <w:sz w:val="22"/>
                    <w:szCs w:val="22"/>
                    <w:lang w:val="en-US" w:eastAsia="en-US"/>
                  </w:rPr>
                  <w:tab/>
                </w:r>
                <w:r w:rsidRPr="004C4CA6">
                  <w:rPr>
                    <w:rStyle w:val="Hyperlink"/>
                  </w:rPr>
                  <w:t>Institutional aspects and social and cultural conditions</w:t>
                </w:r>
                <w:r>
                  <w:rPr>
                    <w:webHidden/>
                  </w:rPr>
                  <w:tab/>
                </w:r>
                <w:r>
                  <w:rPr>
                    <w:webHidden/>
                  </w:rPr>
                  <w:fldChar w:fldCharType="begin"/>
                </w:r>
                <w:r>
                  <w:rPr>
                    <w:webHidden/>
                  </w:rPr>
                  <w:instrText xml:space="preserve"> PAGEREF _Toc519500058 \h </w:instrText>
                </w:r>
                <w:r>
                  <w:rPr>
                    <w:webHidden/>
                  </w:rPr>
                </w:r>
                <w:r>
                  <w:rPr>
                    <w:webHidden/>
                  </w:rPr>
                  <w:fldChar w:fldCharType="separate"/>
                </w:r>
                <w:r>
                  <w:rPr>
                    <w:webHidden/>
                  </w:rPr>
                  <w:t>513</w:t>
                </w:r>
                <w:r>
                  <w:rPr>
                    <w:webHidden/>
                  </w:rPr>
                  <w:fldChar w:fldCharType="end"/>
                </w:r>
              </w:hyperlink>
            </w:p>
            <w:p w14:paraId="35816FFB" w14:textId="479BF938"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59" w:history="1">
                <w:r w:rsidRPr="004C4CA6">
                  <w:rPr>
                    <w:rStyle w:val="Hyperlink"/>
                  </w:rPr>
                  <w:t>6.5.3.1.</w:t>
                </w:r>
                <w:r>
                  <w:rPr>
                    <w:rFonts w:asciiTheme="minorHAnsi" w:eastAsiaTheme="minorEastAsia" w:hAnsiTheme="minorHAnsi" w:cstheme="minorBidi"/>
                    <w:sz w:val="22"/>
                    <w:szCs w:val="22"/>
                    <w:lang w:val="en-US" w:eastAsia="en-US"/>
                  </w:rPr>
                  <w:tab/>
                </w:r>
                <w:r w:rsidRPr="004C4CA6">
                  <w:rPr>
                    <w:rStyle w:val="Hyperlink"/>
                  </w:rPr>
                  <w:t>Multi-stakeholder governance approaches</w:t>
                </w:r>
                <w:r>
                  <w:rPr>
                    <w:webHidden/>
                  </w:rPr>
                  <w:tab/>
                </w:r>
                <w:r>
                  <w:rPr>
                    <w:webHidden/>
                  </w:rPr>
                  <w:fldChar w:fldCharType="begin"/>
                </w:r>
                <w:r>
                  <w:rPr>
                    <w:webHidden/>
                  </w:rPr>
                  <w:instrText xml:space="preserve"> PAGEREF _Toc519500059 \h </w:instrText>
                </w:r>
                <w:r>
                  <w:rPr>
                    <w:webHidden/>
                  </w:rPr>
                </w:r>
                <w:r>
                  <w:rPr>
                    <w:webHidden/>
                  </w:rPr>
                  <w:fldChar w:fldCharType="separate"/>
                </w:r>
                <w:r>
                  <w:rPr>
                    <w:webHidden/>
                  </w:rPr>
                  <w:t>519</w:t>
                </w:r>
                <w:r>
                  <w:rPr>
                    <w:webHidden/>
                  </w:rPr>
                  <w:fldChar w:fldCharType="end"/>
                </w:r>
              </w:hyperlink>
            </w:p>
            <w:p w14:paraId="41B1BD49" w14:textId="30E69203"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500060" w:history="1">
                <w:r w:rsidRPr="004C4CA6">
                  <w:rPr>
                    <w:rStyle w:val="Hyperlink"/>
                  </w:rPr>
                  <w:t>6.5.3.1.1.</w:t>
                </w:r>
                <w:r>
                  <w:rPr>
                    <w:rFonts w:asciiTheme="minorHAnsi" w:eastAsiaTheme="minorEastAsia" w:hAnsiTheme="minorHAnsi" w:cstheme="minorBidi"/>
                    <w:sz w:val="22"/>
                    <w:szCs w:val="22"/>
                    <w:lang w:val="en-US" w:eastAsia="en-US"/>
                  </w:rPr>
                  <w:tab/>
                </w:r>
                <w:r w:rsidRPr="004C4CA6">
                  <w:rPr>
                    <w:rStyle w:val="Hyperlink"/>
                  </w:rPr>
                  <w:t>Co-management</w:t>
                </w:r>
                <w:r>
                  <w:rPr>
                    <w:webHidden/>
                  </w:rPr>
                  <w:tab/>
                </w:r>
                <w:r>
                  <w:rPr>
                    <w:webHidden/>
                  </w:rPr>
                  <w:fldChar w:fldCharType="begin"/>
                </w:r>
                <w:r>
                  <w:rPr>
                    <w:webHidden/>
                  </w:rPr>
                  <w:instrText xml:space="preserve"> PAGEREF _Toc519500060 \h </w:instrText>
                </w:r>
                <w:r>
                  <w:rPr>
                    <w:webHidden/>
                  </w:rPr>
                </w:r>
                <w:r>
                  <w:rPr>
                    <w:webHidden/>
                  </w:rPr>
                  <w:fldChar w:fldCharType="separate"/>
                </w:r>
                <w:r>
                  <w:rPr>
                    <w:webHidden/>
                  </w:rPr>
                  <w:t>519</w:t>
                </w:r>
                <w:r>
                  <w:rPr>
                    <w:webHidden/>
                  </w:rPr>
                  <w:fldChar w:fldCharType="end"/>
                </w:r>
              </w:hyperlink>
            </w:p>
            <w:p w14:paraId="5AB76FD6" w14:textId="361F4E4C"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500061" w:history="1">
                <w:r w:rsidRPr="004C4CA6">
                  <w:rPr>
                    <w:rStyle w:val="Hyperlink"/>
                  </w:rPr>
                  <w:t>6.5.3.1.2.</w:t>
                </w:r>
                <w:r>
                  <w:rPr>
                    <w:rFonts w:asciiTheme="minorHAnsi" w:eastAsiaTheme="minorEastAsia" w:hAnsiTheme="minorHAnsi" w:cstheme="minorBidi"/>
                    <w:sz w:val="22"/>
                    <w:szCs w:val="22"/>
                    <w:lang w:val="en-US" w:eastAsia="en-US"/>
                  </w:rPr>
                  <w:tab/>
                </w:r>
                <w:r w:rsidRPr="004C4CA6">
                  <w:rPr>
                    <w:rStyle w:val="Hyperlink"/>
                  </w:rPr>
                  <w:t>Public-private partnerships</w:t>
                </w:r>
                <w:r>
                  <w:rPr>
                    <w:webHidden/>
                  </w:rPr>
                  <w:tab/>
                </w:r>
                <w:r>
                  <w:rPr>
                    <w:webHidden/>
                  </w:rPr>
                  <w:fldChar w:fldCharType="begin"/>
                </w:r>
                <w:r>
                  <w:rPr>
                    <w:webHidden/>
                  </w:rPr>
                  <w:instrText xml:space="preserve"> PAGEREF _Toc519500061 \h </w:instrText>
                </w:r>
                <w:r>
                  <w:rPr>
                    <w:webHidden/>
                  </w:rPr>
                </w:r>
                <w:r>
                  <w:rPr>
                    <w:webHidden/>
                  </w:rPr>
                  <w:fldChar w:fldCharType="separate"/>
                </w:r>
                <w:r>
                  <w:rPr>
                    <w:webHidden/>
                  </w:rPr>
                  <w:t>519</w:t>
                </w:r>
                <w:r>
                  <w:rPr>
                    <w:webHidden/>
                  </w:rPr>
                  <w:fldChar w:fldCharType="end"/>
                </w:r>
              </w:hyperlink>
            </w:p>
            <w:p w14:paraId="4A4A482C" w14:textId="24A6B3C6" w:rsidR="00DA6432" w:rsidRDefault="00DA6432">
              <w:pPr>
                <w:pStyle w:val="TOC2"/>
                <w:tabs>
                  <w:tab w:val="left" w:pos="1760"/>
                </w:tabs>
                <w:rPr>
                  <w:rFonts w:asciiTheme="minorHAnsi" w:eastAsiaTheme="minorEastAsia" w:hAnsiTheme="minorHAnsi" w:cstheme="minorBidi"/>
                  <w:sz w:val="22"/>
                  <w:szCs w:val="22"/>
                  <w:lang w:val="en-US" w:eastAsia="en-US"/>
                </w:rPr>
              </w:pPr>
              <w:hyperlink w:anchor="_Toc519500062" w:history="1">
                <w:r w:rsidRPr="004C4CA6">
                  <w:rPr>
                    <w:rStyle w:val="Hyperlink"/>
                  </w:rPr>
                  <w:t>6.5.3.1.3.</w:t>
                </w:r>
                <w:r>
                  <w:rPr>
                    <w:rFonts w:asciiTheme="minorHAnsi" w:eastAsiaTheme="minorEastAsia" w:hAnsiTheme="minorHAnsi" w:cstheme="minorBidi"/>
                    <w:sz w:val="22"/>
                    <w:szCs w:val="22"/>
                    <w:lang w:val="en-US" w:eastAsia="en-US"/>
                  </w:rPr>
                  <w:tab/>
                </w:r>
                <w:r w:rsidRPr="004C4CA6">
                  <w:rPr>
                    <w:rStyle w:val="Hyperlink"/>
                  </w:rPr>
                  <w:t>Community-Based Natural Resource Management</w:t>
                </w:r>
                <w:r>
                  <w:rPr>
                    <w:webHidden/>
                  </w:rPr>
                  <w:tab/>
                </w:r>
                <w:r>
                  <w:rPr>
                    <w:webHidden/>
                  </w:rPr>
                  <w:fldChar w:fldCharType="begin"/>
                </w:r>
                <w:r>
                  <w:rPr>
                    <w:webHidden/>
                  </w:rPr>
                  <w:instrText xml:space="preserve"> PAGEREF _Toc519500062 \h </w:instrText>
                </w:r>
                <w:r>
                  <w:rPr>
                    <w:webHidden/>
                  </w:rPr>
                </w:r>
                <w:r>
                  <w:rPr>
                    <w:webHidden/>
                  </w:rPr>
                  <w:fldChar w:fldCharType="separate"/>
                </w:r>
                <w:r>
                  <w:rPr>
                    <w:webHidden/>
                  </w:rPr>
                  <w:t>520</w:t>
                </w:r>
                <w:r>
                  <w:rPr>
                    <w:webHidden/>
                  </w:rPr>
                  <w:fldChar w:fldCharType="end"/>
                </w:r>
              </w:hyperlink>
            </w:p>
            <w:p w14:paraId="1EBF9B40" w14:textId="2528248E" w:rsidR="00DA6432" w:rsidRDefault="00DA6432">
              <w:pPr>
                <w:pStyle w:val="TOC3"/>
                <w:rPr>
                  <w:rFonts w:asciiTheme="minorHAnsi" w:eastAsiaTheme="minorEastAsia" w:hAnsiTheme="minorHAnsi" w:cstheme="minorBidi"/>
                  <w:noProof/>
                  <w:color w:val="auto"/>
                  <w:lang w:val="en-US" w:eastAsia="en-US"/>
                </w:rPr>
              </w:pPr>
              <w:hyperlink w:anchor="_Toc519500063" w:history="1">
                <w:r w:rsidRPr="004C4CA6">
                  <w:rPr>
                    <w:rStyle w:val="Hyperlink"/>
                    <w:rFonts w:cs="Times New Roman"/>
                    <w:noProof/>
                  </w:rPr>
                  <w:t>6.6.</w:t>
                </w:r>
                <w:r>
                  <w:rPr>
                    <w:rFonts w:asciiTheme="minorHAnsi" w:eastAsiaTheme="minorEastAsia" w:hAnsiTheme="minorHAnsi" w:cstheme="minorBidi"/>
                    <w:noProof/>
                    <w:color w:val="auto"/>
                    <w:lang w:val="en-US" w:eastAsia="en-US"/>
                  </w:rPr>
                  <w:tab/>
                </w:r>
                <w:r w:rsidRPr="004C4CA6">
                  <w:rPr>
                    <w:rStyle w:val="Hyperlink"/>
                    <w:rFonts w:cs="Times New Roman"/>
                    <w:noProof/>
                  </w:rPr>
                  <w:t>Creating an enabling environment for the governance of ecosystem services and biodiversity</w:t>
                </w:r>
                <w:r>
                  <w:rPr>
                    <w:noProof/>
                    <w:webHidden/>
                  </w:rPr>
                  <w:tab/>
                </w:r>
                <w:r>
                  <w:rPr>
                    <w:noProof/>
                    <w:webHidden/>
                  </w:rPr>
                  <w:fldChar w:fldCharType="begin"/>
                </w:r>
                <w:r>
                  <w:rPr>
                    <w:noProof/>
                    <w:webHidden/>
                  </w:rPr>
                  <w:instrText xml:space="preserve"> PAGEREF _Toc519500063 \h </w:instrText>
                </w:r>
                <w:r>
                  <w:rPr>
                    <w:noProof/>
                    <w:webHidden/>
                  </w:rPr>
                </w:r>
                <w:r>
                  <w:rPr>
                    <w:noProof/>
                    <w:webHidden/>
                  </w:rPr>
                  <w:fldChar w:fldCharType="separate"/>
                </w:r>
                <w:r>
                  <w:rPr>
                    <w:noProof/>
                    <w:webHidden/>
                  </w:rPr>
                  <w:t>523</w:t>
                </w:r>
                <w:r>
                  <w:rPr>
                    <w:noProof/>
                    <w:webHidden/>
                  </w:rPr>
                  <w:fldChar w:fldCharType="end"/>
                </w:r>
              </w:hyperlink>
            </w:p>
            <w:p w14:paraId="37B3A2DE" w14:textId="3157BB6B"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64" w:history="1">
                <w:r w:rsidRPr="004C4CA6">
                  <w:rPr>
                    <w:rStyle w:val="Hyperlink"/>
                  </w:rPr>
                  <w:t>6.6.1.</w:t>
                </w:r>
                <w:r>
                  <w:rPr>
                    <w:rFonts w:asciiTheme="minorHAnsi" w:eastAsiaTheme="minorEastAsia" w:hAnsiTheme="minorHAnsi" w:cstheme="minorBidi"/>
                    <w:sz w:val="22"/>
                    <w:szCs w:val="22"/>
                    <w:lang w:val="en-US" w:eastAsia="en-US"/>
                  </w:rPr>
                  <w:tab/>
                </w:r>
                <w:r w:rsidRPr="004C4CA6">
                  <w:rPr>
                    <w:rStyle w:val="Hyperlink"/>
                  </w:rPr>
                  <w:t>Tools and methodologies supporting policy design</w:t>
                </w:r>
                <w:r>
                  <w:rPr>
                    <w:webHidden/>
                  </w:rPr>
                  <w:tab/>
                </w:r>
                <w:r>
                  <w:rPr>
                    <w:webHidden/>
                  </w:rPr>
                  <w:fldChar w:fldCharType="begin"/>
                </w:r>
                <w:r>
                  <w:rPr>
                    <w:webHidden/>
                  </w:rPr>
                  <w:instrText xml:space="preserve"> PAGEREF _Toc519500064 \h </w:instrText>
                </w:r>
                <w:r>
                  <w:rPr>
                    <w:webHidden/>
                  </w:rPr>
                </w:r>
                <w:r>
                  <w:rPr>
                    <w:webHidden/>
                  </w:rPr>
                  <w:fldChar w:fldCharType="separate"/>
                </w:r>
                <w:r>
                  <w:rPr>
                    <w:webHidden/>
                  </w:rPr>
                  <w:t>523</w:t>
                </w:r>
                <w:r>
                  <w:rPr>
                    <w:webHidden/>
                  </w:rPr>
                  <w:fldChar w:fldCharType="end"/>
                </w:r>
              </w:hyperlink>
            </w:p>
            <w:p w14:paraId="017BF678" w14:textId="57494FD9"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65" w:history="1">
                <w:r w:rsidRPr="004C4CA6">
                  <w:rPr>
                    <w:rStyle w:val="Hyperlink"/>
                  </w:rPr>
                  <w:t>6.6.1.1.</w:t>
                </w:r>
                <w:r>
                  <w:rPr>
                    <w:rFonts w:asciiTheme="minorHAnsi" w:eastAsiaTheme="minorEastAsia" w:hAnsiTheme="minorHAnsi" w:cstheme="minorBidi"/>
                    <w:sz w:val="22"/>
                    <w:szCs w:val="22"/>
                    <w:lang w:val="en-US" w:eastAsia="en-US"/>
                  </w:rPr>
                  <w:tab/>
                </w:r>
                <w:r w:rsidRPr="004C4CA6">
                  <w:rPr>
                    <w:rStyle w:val="Hyperlink"/>
                  </w:rPr>
                  <w:t>Problem identification</w:t>
                </w:r>
                <w:r>
                  <w:rPr>
                    <w:webHidden/>
                  </w:rPr>
                  <w:tab/>
                </w:r>
                <w:r>
                  <w:rPr>
                    <w:webHidden/>
                  </w:rPr>
                  <w:fldChar w:fldCharType="begin"/>
                </w:r>
                <w:r>
                  <w:rPr>
                    <w:webHidden/>
                  </w:rPr>
                  <w:instrText xml:space="preserve"> PAGEREF _Toc519500065 \h </w:instrText>
                </w:r>
                <w:r>
                  <w:rPr>
                    <w:webHidden/>
                  </w:rPr>
                </w:r>
                <w:r>
                  <w:rPr>
                    <w:webHidden/>
                  </w:rPr>
                  <w:fldChar w:fldCharType="separate"/>
                </w:r>
                <w:r>
                  <w:rPr>
                    <w:webHidden/>
                  </w:rPr>
                  <w:t>524</w:t>
                </w:r>
                <w:r>
                  <w:rPr>
                    <w:webHidden/>
                  </w:rPr>
                  <w:fldChar w:fldCharType="end"/>
                </w:r>
              </w:hyperlink>
            </w:p>
            <w:p w14:paraId="0BAB0894" w14:textId="7142B00C"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66" w:history="1">
                <w:r w:rsidRPr="004C4CA6">
                  <w:rPr>
                    <w:rStyle w:val="Hyperlink"/>
                  </w:rPr>
                  <w:t>6.6.1.2.</w:t>
                </w:r>
                <w:r>
                  <w:rPr>
                    <w:rFonts w:asciiTheme="minorHAnsi" w:eastAsiaTheme="minorEastAsia" w:hAnsiTheme="minorHAnsi" w:cstheme="minorBidi"/>
                    <w:sz w:val="22"/>
                    <w:szCs w:val="22"/>
                    <w:lang w:val="en-US" w:eastAsia="en-US"/>
                  </w:rPr>
                  <w:tab/>
                </w:r>
                <w:r w:rsidRPr="004C4CA6">
                  <w:rPr>
                    <w:rStyle w:val="Hyperlink"/>
                  </w:rPr>
                  <w:t>Policy formulation</w:t>
                </w:r>
                <w:r>
                  <w:rPr>
                    <w:webHidden/>
                  </w:rPr>
                  <w:tab/>
                </w:r>
                <w:r>
                  <w:rPr>
                    <w:webHidden/>
                  </w:rPr>
                  <w:fldChar w:fldCharType="begin"/>
                </w:r>
                <w:r>
                  <w:rPr>
                    <w:webHidden/>
                  </w:rPr>
                  <w:instrText xml:space="preserve"> PAGEREF _Toc519500066 \h </w:instrText>
                </w:r>
                <w:r>
                  <w:rPr>
                    <w:webHidden/>
                  </w:rPr>
                </w:r>
                <w:r>
                  <w:rPr>
                    <w:webHidden/>
                  </w:rPr>
                  <w:fldChar w:fldCharType="separate"/>
                </w:r>
                <w:r>
                  <w:rPr>
                    <w:webHidden/>
                  </w:rPr>
                  <w:t>525</w:t>
                </w:r>
                <w:r>
                  <w:rPr>
                    <w:webHidden/>
                  </w:rPr>
                  <w:fldChar w:fldCharType="end"/>
                </w:r>
              </w:hyperlink>
            </w:p>
            <w:p w14:paraId="3B74C4F9" w14:textId="5225E470"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67" w:history="1">
                <w:r w:rsidRPr="004C4CA6">
                  <w:rPr>
                    <w:rStyle w:val="Hyperlink"/>
                  </w:rPr>
                  <w:t>6.6.1.3.</w:t>
                </w:r>
                <w:r>
                  <w:rPr>
                    <w:rFonts w:asciiTheme="minorHAnsi" w:eastAsiaTheme="minorEastAsia" w:hAnsiTheme="minorHAnsi" w:cstheme="minorBidi"/>
                    <w:sz w:val="22"/>
                    <w:szCs w:val="22"/>
                    <w:lang w:val="en-US" w:eastAsia="en-US"/>
                  </w:rPr>
                  <w:tab/>
                </w:r>
                <w:r w:rsidRPr="004C4CA6">
                  <w:rPr>
                    <w:rStyle w:val="Hyperlink"/>
                  </w:rPr>
                  <w:t>Decision-making</w:t>
                </w:r>
                <w:r>
                  <w:rPr>
                    <w:webHidden/>
                  </w:rPr>
                  <w:tab/>
                </w:r>
                <w:r>
                  <w:rPr>
                    <w:webHidden/>
                  </w:rPr>
                  <w:fldChar w:fldCharType="begin"/>
                </w:r>
                <w:r>
                  <w:rPr>
                    <w:webHidden/>
                  </w:rPr>
                  <w:instrText xml:space="preserve"> PAGEREF _Toc519500067 \h </w:instrText>
                </w:r>
                <w:r>
                  <w:rPr>
                    <w:webHidden/>
                  </w:rPr>
                </w:r>
                <w:r>
                  <w:rPr>
                    <w:webHidden/>
                  </w:rPr>
                  <w:fldChar w:fldCharType="separate"/>
                </w:r>
                <w:r>
                  <w:rPr>
                    <w:webHidden/>
                  </w:rPr>
                  <w:t>525</w:t>
                </w:r>
                <w:r>
                  <w:rPr>
                    <w:webHidden/>
                  </w:rPr>
                  <w:fldChar w:fldCharType="end"/>
                </w:r>
              </w:hyperlink>
            </w:p>
            <w:p w14:paraId="09B55412" w14:textId="180A98CA"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68" w:history="1">
                <w:r w:rsidRPr="004C4CA6">
                  <w:rPr>
                    <w:rStyle w:val="Hyperlink"/>
                  </w:rPr>
                  <w:t>6.6.1.4.</w:t>
                </w:r>
                <w:r>
                  <w:rPr>
                    <w:rFonts w:asciiTheme="minorHAnsi" w:eastAsiaTheme="minorEastAsia" w:hAnsiTheme="minorHAnsi" w:cstheme="minorBidi"/>
                    <w:sz w:val="22"/>
                    <w:szCs w:val="22"/>
                    <w:lang w:val="en-US" w:eastAsia="en-US"/>
                  </w:rPr>
                  <w:tab/>
                </w:r>
                <w:r w:rsidRPr="004C4CA6">
                  <w:rPr>
                    <w:rStyle w:val="Hyperlink"/>
                  </w:rPr>
                  <w:t>Policy implementation</w:t>
                </w:r>
                <w:r>
                  <w:rPr>
                    <w:webHidden/>
                  </w:rPr>
                  <w:tab/>
                </w:r>
                <w:r>
                  <w:rPr>
                    <w:webHidden/>
                  </w:rPr>
                  <w:fldChar w:fldCharType="begin"/>
                </w:r>
                <w:r>
                  <w:rPr>
                    <w:webHidden/>
                  </w:rPr>
                  <w:instrText xml:space="preserve"> PAGEREF _Toc519500068 \h </w:instrText>
                </w:r>
                <w:r>
                  <w:rPr>
                    <w:webHidden/>
                  </w:rPr>
                </w:r>
                <w:r>
                  <w:rPr>
                    <w:webHidden/>
                  </w:rPr>
                  <w:fldChar w:fldCharType="separate"/>
                </w:r>
                <w:r>
                  <w:rPr>
                    <w:webHidden/>
                  </w:rPr>
                  <w:t>525</w:t>
                </w:r>
                <w:r>
                  <w:rPr>
                    <w:webHidden/>
                  </w:rPr>
                  <w:fldChar w:fldCharType="end"/>
                </w:r>
              </w:hyperlink>
            </w:p>
            <w:p w14:paraId="0C66FCFA" w14:textId="3412E4AF"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69" w:history="1">
                <w:r w:rsidRPr="004C4CA6">
                  <w:rPr>
                    <w:rStyle w:val="Hyperlink"/>
                  </w:rPr>
                  <w:t>6.6.1.5.</w:t>
                </w:r>
                <w:r>
                  <w:rPr>
                    <w:rFonts w:asciiTheme="minorHAnsi" w:eastAsiaTheme="minorEastAsia" w:hAnsiTheme="minorHAnsi" w:cstheme="minorBidi"/>
                    <w:sz w:val="22"/>
                    <w:szCs w:val="22"/>
                    <w:lang w:val="en-US" w:eastAsia="en-US"/>
                  </w:rPr>
                  <w:tab/>
                </w:r>
                <w:r w:rsidRPr="004C4CA6">
                  <w:rPr>
                    <w:rStyle w:val="Hyperlink"/>
                  </w:rPr>
                  <w:t>Policy monitoring and evaluation</w:t>
                </w:r>
                <w:r>
                  <w:rPr>
                    <w:webHidden/>
                  </w:rPr>
                  <w:tab/>
                </w:r>
                <w:r>
                  <w:rPr>
                    <w:webHidden/>
                  </w:rPr>
                  <w:fldChar w:fldCharType="begin"/>
                </w:r>
                <w:r>
                  <w:rPr>
                    <w:webHidden/>
                  </w:rPr>
                  <w:instrText xml:space="preserve"> PAGEREF _Toc519500069 \h </w:instrText>
                </w:r>
                <w:r>
                  <w:rPr>
                    <w:webHidden/>
                  </w:rPr>
                </w:r>
                <w:r>
                  <w:rPr>
                    <w:webHidden/>
                  </w:rPr>
                  <w:fldChar w:fldCharType="separate"/>
                </w:r>
                <w:r>
                  <w:rPr>
                    <w:webHidden/>
                  </w:rPr>
                  <w:t>526</w:t>
                </w:r>
                <w:r>
                  <w:rPr>
                    <w:webHidden/>
                  </w:rPr>
                  <w:fldChar w:fldCharType="end"/>
                </w:r>
              </w:hyperlink>
            </w:p>
            <w:p w14:paraId="6603AC67" w14:textId="6F12BE1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70" w:history="1">
                <w:r w:rsidRPr="004C4CA6">
                  <w:rPr>
                    <w:rStyle w:val="Hyperlink"/>
                  </w:rPr>
                  <w:t>6.6.2.</w:t>
                </w:r>
                <w:r>
                  <w:rPr>
                    <w:rFonts w:asciiTheme="minorHAnsi" w:eastAsiaTheme="minorEastAsia" w:hAnsiTheme="minorHAnsi" w:cstheme="minorBidi"/>
                    <w:sz w:val="22"/>
                    <w:szCs w:val="22"/>
                    <w:lang w:val="en-US" w:eastAsia="en-US"/>
                  </w:rPr>
                  <w:tab/>
                </w:r>
                <w:r w:rsidRPr="004C4CA6">
                  <w:rPr>
                    <w:rStyle w:val="Hyperlink"/>
                  </w:rPr>
                  <w:t>Capacity and resources</w:t>
                </w:r>
                <w:r>
                  <w:rPr>
                    <w:webHidden/>
                  </w:rPr>
                  <w:tab/>
                </w:r>
                <w:r>
                  <w:rPr>
                    <w:webHidden/>
                  </w:rPr>
                  <w:fldChar w:fldCharType="begin"/>
                </w:r>
                <w:r>
                  <w:rPr>
                    <w:webHidden/>
                  </w:rPr>
                  <w:instrText xml:space="preserve"> PAGEREF _Toc519500070 \h </w:instrText>
                </w:r>
                <w:r>
                  <w:rPr>
                    <w:webHidden/>
                  </w:rPr>
                </w:r>
                <w:r>
                  <w:rPr>
                    <w:webHidden/>
                  </w:rPr>
                  <w:fldChar w:fldCharType="separate"/>
                </w:r>
                <w:r>
                  <w:rPr>
                    <w:webHidden/>
                  </w:rPr>
                  <w:t>526</w:t>
                </w:r>
                <w:r>
                  <w:rPr>
                    <w:webHidden/>
                  </w:rPr>
                  <w:fldChar w:fldCharType="end"/>
                </w:r>
              </w:hyperlink>
            </w:p>
            <w:p w14:paraId="35F9E45A" w14:textId="74462741" w:rsidR="00DA6432" w:rsidRDefault="00DA6432">
              <w:pPr>
                <w:pStyle w:val="TOC3"/>
                <w:rPr>
                  <w:rFonts w:asciiTheme="minorHAnsi" w:eastAsiaTheme="minorEastAsia" w:hAnsiTheme="minorHAnsi" w:cstheme="minorBidi"/>
                  <w:noProof/>
                  <w:color w:val="auto"/>
                  <w:lang w:val="en-US" w:eastAsia="en-US"/>
                </w:rPr>
              </w:pPr>
              <w:hyperlink w:anchor="_Toc519500071" w:history="1">
                <w:r w:rsidRPr="004C4CA6">
                  <w:rPr>
                    <w:rStyle w:val="Hyperlink"/>
                    <w:rFonts w:cs="Times New Roman"/>
                    <w:noProof/>
                  </w:rPr>
                  <w:t>6.7.</w:t>
                </w:r>
                <w:r>
                  <w:rPr>
                    <w:rFonts w:asciiTheme="minorHAnsi" w:eastAsiaTheme="minorEastAsia" w:hAnsiTheme="minorHAnsi" w:cstheme="minorBidi"/>
                    <w:noProof/>
                    <w:color w:val="auto"/>
                    <w:lang w:val="en-US" w:eastAsia="en-US"/>
                  </w:rPr>
                  <w:tab/>
                </w:r>
                <w:r w:rsidRPr="004C4CA6">
                  <w:rPr>
                    <w:rStyle w:val="Hyperlink"/>
                    <w:rFonts w:cs="Times New Roman"/>
                    <w:noProof/>
                  </w:rPr>
                  <w:t>Scenarios as tools for decision-making</w:t>
                </w:r>
                <w:r>
                  <w:rPr>
                    <w:noProof/>
                    <w:webHidden/>
                  </w:rPr>
                  <w:tab/>
                </w:r>
                <w:r>
                  <w:rPr>
                    <w:noProof/>
                    <w:webHidden/>
                  </w:rPr>
                  <w:fldChar w:fldCharType="begin"/>
                </w:r>
                <w:r>
                  <w:rPr>
                    <w:noProof/>
                    <w:webHidden/>
                  </w:rPr>
                  <w:instrText xml:space="preserve"> PAGEREF _Toc519500071 \h </w:instrText>
                </w:r>
                <w:r>
                  <w:rPr>
                    <w:noProof/>
                    <w:webHidden/>
                  </w:rPr>
                </w:r>
                <w:r>
                  <w:rPr>
                    <w:noProof/>
                    <w:webHidden/>
                  </w:rPr>
                  <w:fldChar w:fldCharType="separate"/>
                </w:r>
                <w:r>
                  <w:rPr>
                    <w:noProof/>
                    <w:webHidden/>
                  </w:rPr>
                  <w:t>527</w:t>
                </w:r>
                <w:r>
                  <w:rPr>
                    <w:noProof/>
                    <w:webHidden/>
                  </w:rPr>
                  <w:fldChar w:fldCharType="end"/>
                </w:r>
              </w:hyperlink>
            </w:p>
            <w:p w14:paraId="4EBA30FA" w14:textId="48DB56BE"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72" w:history="1">
                <w:r w:rsidRPr="004C4CA6">
                  <w:rPr>
                    <w:rStyle w:val="Hyperlink"/>
                  </w:rPr>
                  <w:t>6.7.1.</w:t>
                </w:r>
                <w:r>
                  <w:rPr>
                    <w:rFonts w:asciiTheme="minorHAnsi" w:eastAsiaTheme="minorEastAsia" w:hAnsiTheme="minorHAnsi" w:cstheme="minorBidi"/>
                    <w:sz w:val="22"/>
                    <w:szCs w:val="22"/>
                    <w:lang w:val="en-US" w:eastAsia="en-US"/>
                  </w:rPr>
                  <w:tab/>
                </w:r>
                <w:r w:rsidRPr="004C4CA6">
                  <w:rPr>
                    <w:rStyle w:val="Hyperlink"/>
                  </w:rPr>
                  <w:t>Policy implications under the different scenario archetypes</w:t>
                </w:r>
                <w:r>
                  <w:rPr>
                    <w:webHidden/>
                  </w:rPr>
                  <w:tab/>
                </w:r>
                <w:r>
                  <w:rPr>
                    <w:webHidden/>
                  </w:rPr>
                  <w:fldChar w:fldCharType="begin"/>
                </w:r>
                <w:r>
                  <w:rPr>
                    <w:webHidden/>
                  </w:rPr>
                  <w:instrText xml:space="preserve"> PAGEREF _Toc519500072 \h </w:instrText>
                </w:r>
                <w:r>
                  <w:rPr>
                    <w:webHidden/>
                  </w:rPr>
                </w:r>
                <w:r>
                  <w:rPr>
                    <w:webHidden/>
                  </w:rPr>
                  <w:fldChar w:fldCharType="separate"/>
                </w:r>
                <w:r>
                  <w:rPr>
                    <w:webHidden/>
                  </w:rPr>
                  <w:t>528</w:t>
                </w:r>
                <w:r>
                  <w:rPr>
                    <w:webHidden/>
                  </w:rPr>
                  <w:fldChar w:fldCharType="end"/>
                </w:r>
              </w:hyperlink>
            </w:p>
            <w:p w14:paraId="57F5D051" w14:textId="0231D79D"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73" w:history="1">
                <w:r w:rsidRPr="004C4CA6">
                  <w:rPr>
                    <w:rStyle w:val="Hyperlink"/>
                  </w:rPr>
                  <w:t>6.7.1.1.</w:t>
                </w:r>
                <w:r>
                  <w:rPr>
                    <w:rFonts w:asciiTheme="minorHAnsi" w:eastAsiaTheme="minorEastAsia" w:hAnsiTheme="minorHAnsi" w:cstheme="minorBidi"/>
                    <w:sz w:val="22"/>
                    <w:szCs w:val="22"/>
                    <w:lang w:val="en-US" w:eastAsia="en-US"/>
                  </w:rPr>
                  <w:tab/>
                </w:r>
                <w:r w:rsidRPr="004C4CA6">
                  <w:rPr>
                    <w:rStyle w:val="Hyperlink"/>
                  </w:rPr>
                  <w:t>Policy reform</w:t>
                </w:r>
                <w:r>
                  <w:rPr>
                    <w:webHidden/>
                  </w:rPr>
                  <w:tab/>
                </w:r>
                <w:r>
                  <w:rPr>
                    <w:webHidden/>
                  </w:rPr>
                  <w:fldChar w:fldCharType="begin"/>
                </w:r>
                <w:r>
                  <w:rPr>
                    <w:webHidden/>
                  </w:rPr>
                  <w:instrText xml:space="preserve"> PAGEREF _Toc519500073 \h </w:instrText>
                </w:r>
                <w:r>
                  <w:rPr>
                    <w:webHidden/>
                  </w:rPr>
                </w:r>
                <w:r>
                  <w:rPr>
                    <w:webHidden/>
                  </w:rPr>
                  <w:fldChar w:fldCharType="separate"/>
                </w:r>
                <w:r>
                  <w:rPr>
                    <w:webHidden/>
                  </w:rPr>
                  <w:t>528</w:t>
                </w:r>
                <w:r>
                  <w:rPr>
                    <w:webHidden/>
                  </w:rPr>
                  <w:fldChar w:fldCharType="end"/>
                </w:r>
              </w:hyperlink>
            </w:p>
            <w:p w14:paraId="0C45AA0A" w14:textId="0086A3F5"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74" w:history="1">
                <w:r w:rsidRPr="004C4CA6">
                  <w:rPr>
                    <w:rStyle w:val="Hyperlink"/>
                  </w:rPr>
                  <w:t>6.7.1.2.</w:t>
                </w:r>
                <w:r>
                  <w:rPr>
                    <w:rFonts w:asciiTheme="minorHAnsi" w:eastAsiaTheme="minorEastAsia" w:hAnsiTheme="minorHAnsi" w:cstheme="minorBidi"/>
                    <w:sz w:val="22"/>
                    <w:szCs w:val="22"/>
                    <w:lang w:val="en-US" w:eastAsia="en-US"/>
                  </w:rPr>
                  <w:tab/>
                </w:r>
                <w:r w:rsidRPr="004C4CA6">
                  <w:rPr>
                    <w:rStyle w:val="Hyperlink"/>
                  </w:rPr>
                  <w:t>Market forces</w:t>
                </w:r>
                <w:r>
                  <w:rPr>
                    <w:webHidden/>
                  </w:rPr>
                  <w:tab/>
                </w:r>
                <w:r>
                  <w:rPr>
                    <w:webHidden/>
                  </w:rPr>
                  <w:fldChar w:fldCharType="begin"/>
                </w:r>
                <w:r>
                  <w:rPr>
                    <w:webHidden/>
                  </w:rPr>
                  <w:instrText xml:space="preserve"> PAGEREF _Toc519500074 \h </w:instrText>
                </w:r>
                <w:r>
                  <w:rPr>
                    <w:webHidden/>
                  </w:rPr>
                </w:r>
                <w:r>
                  <w:rPr>
                    <w:webHidden/>
                  </w:rPr>
                  <w:fldChar w:fldCharType="separate"/>
                </w:r>
                <w:r>
                  <w:rPr>
                    <w:webHidden/>
                  </w:rPr>
                  <w:t>529</w:t>
                </w:r>
                <w:r>
                  <w:rPr>
                    <w:webHidden/>
                  </w:rPr>
                  <w:fldChar w:fldCharType="end"/>
                </w:r>
              </w:hyperlink>
            </w:p>
            <w:p w14:paraId="679909B6" w14:textId="3F3023B7"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75" w:history="1">
                <w:r w:rsidRPr="004C4CA6">
                  <w:rPr>
                    <w:rStyle w:val="Hyperlink"/>
                  </w:rPr>
                  <w:t>6.7.1.3.</w:t>
                </w:r>
                <w:r>
                  <w:rPr>
                    <w:rFonts w:asciiTheme="minorHAnsi" w:eastAsiaTheme="minorEastAsia" w:hAnsiTheme="minorHAnsi" w:cstheme="minorBidi"/>
                    <w:sz w:val="22"/>
                    <w:szCs w:val="22"/>
                    <w:lang w:val="en-US" w:eastAsia="en-US"/>
                  </w:rPr>
                  <w:tab/>
                </w:r>
                <w:r w:rsidRPr="004C4CA6">
                  <w:rPr>
                    <w:rStyle w:val="Hyperlink"/>
                  </w:rPr>
                  <w:t>Local Sustainability</w:t>
                </w:r>
                <w:r>
                  <w:rPr>
                    <w:webHidden/>
                  </w:rPr>
                  <w:tab/>
                </w:r>
                <w:r>
                  <w:rPr>
                    <w:webHidden/>
                  </w:rPr>
                  <w:fldChar w:fldCharType="begin"/>
                </w:r>
                <w:r>
                  <w:rPr>
                    <w:webHidden/>
                  </w:rPr>
                  <w:instrText xml:space="preserve"> PAGEREF _Toc519500075 \h </w:instrText>
                </w:r>
                <w:r>
                  <w:rPr>
                    <w:webHidden/>
                  </w:rPr>
                </w:r>
                <w:r>
                  <w:rPr>
                    <w:webHidden/>
                  </w:rPr>
                  <w:fldChar w:fldCharType="separate"/>
                </w:r>
                <w:r>
                  <w:rPr>
                    <w:webHidden/>
                  </w:rPr>
                  <w:t>530</w:t>
                </w:r>
                <w:r>
                  <w:rPr>
                    <w:webHidden/>
                  </w:rPr>
                  <w:fldChar w:fldCharType="end"/>
                </w:r>
              </w:hyperlink>
            </w:p>
            <w:p w14:paraId="75168147" w14:textId="777B0436"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76" w:history="1">
                <w:r w:rsidRPr="004C4CA6">
                  <w:rPr>
                    <w:rStyle w:val="Hyperlink"/>
                  </w:rPr>
                  <w:t>6.7.1.4.</w:t>
                </w:r>
                <w:r>
                  <w:rPr>
                    <w:rFonts w:asciiTheme="minorHAnsi" w:eastAsiaTheme="minorEastAsia" w:hAnsiTheme="minorHAnsi" w:cstheme="minorBidi"/>
                    <w:sz w:val="22"/>
                    <w:szCs w:val="22"/>
                    <w:lang w:val="en-US" w:eastAsia="en-US"/>
                  </w:rPr>
                  <w:tab/>
                </w:r>
                <w:r w:rsidRPr="004C4CA6">
                  <w:rPr>
                    <w:rStyle w:val="Hyperlink"/>
                  </w:rPr>
                  <w:t>Fortress world</w:t>
                </w:r>
                <w:r>
                  <w:rPr>
                    <w:webHidden/>
                  </w:rPr>
                  <w:tab/>
                </w:r>
                <w:r>
                  <w:rPr>
                    <w:webHidden/>
                  </w:rPr>
                  <w:fldChar w:fldCharType="begin"/>
                </w:r>
                <w:r>
                  <w:rPr>
                    <w:webHidden/>
                  </w:rPr>
                  <w:instrText xml:space="preserve"> PAGEREF _Toc519500076 \h </w:instrText>
                </w:r>
                <w:r>
                  <w:rPr>
                    <w:webHidden/>
                  </w:rPr>
                </w:r>
                <w:r>
                  <w:rPr>
                    <w:webHidden/>
                  </w:rPr>
                  <w:fldChar w:fldCharType="separate"/>
                </w:r>
                <w:r>
                  <w:rPr>
                    <w:webHidden/>
                  </w:rPr>
                  <w:t>531</w:t>
                </w:r>
                <w:r>
                  <w:rPr>
                    <w:webHidden/>
                  </w:rPr>
                  <w:fldChar w:fldCharType="end"/>
                </w:r>
              </w:hyperlink>
            </w:p>
            <w:p w14:paraId="7B6A6BCA" w14:textId="1BD1C06B"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77" w:history="1">
                <w:r w:rsidRPr="004C4CA6">
                  <w:rPr>
                    <w:rStyle w:val="Hyperlink"/>
                  </w:rPr>
                  <w:t>6.7.1.5.</w:t>
                </w:r>
                <w:r>
                  <w:rPr>
                    <w:rFonts w:asciiTheme="minorHAnsi" w:eastAsiaTheme="minorEastAsia" w:hAnsiTheme="minorHAnsi" w:cstheme="minorBidi"/>
                    <w:sz w:val="22"/>
                    <w:szCs w:val="22"/>
                    <w:lang w:val="en-US" w:eastAsia="en-US"/>
                  </w:rPr>
                  <w:tab/>
                </w:r>
                <w:r w:rsidRPr="004C4CA6">
                  <w:rPr>
                    <w:rStyle w:val="Hyperlink"/>
                  </w:rPr>
                  <w:t>Regional Sustainability</w:t>
                </w:r>
                <w:r>
                  <w:rPr>
                    <w:webHidden/>
                  </w:rPr>
                  <w:tab/>
                </w:r>
                <w:r>
                  <w:rPr>
                    <w:webHidden/>
                  </w:rPr>
                  <w:fldChar w:fldCharType="begin"/>
                </w:r>
                <w:r>
                  <w:rPr>
                    <w:webHidden/>
                  </w:rPr>
                  <w:instrText xml:space="preserve"> PAGEREF _Toc519500077 \h </w:instrText>
                </w:r>
                <w:r>
                  <w:rPr>
                    <w:webHidden/>
                  </w:rPr>
                </w:r>
                <w:r>
                  <w:rPr>
                    <w:webHidden/>
                  </w:rPr>
                  <w:fldChar w:fldCharType="separate"/>
                </w:r>
                <w:r>
                  <w:rPr>
                    <w:webHidden/>
                  </w:rPr>
                  <w:t>531</w:t>
                </w:r>
                <w:r>
                  <w:rPr>
                    <w:webHidden/>
                  </w:rPr>
                  <w:fldChar w:fldCharType="end"/>
                </w:r>
              </w:hyperlink>
            </w:p>
            <w:p w14:paraId="3CB60CE9" w14:textId="6FFB6E40" w:rsidR="00DA6432" w:rsidRDefault="00DA6432">
              <w:pPr>
                <w:pStyle w:val="TOC2"/>
                <w:tabs>
                  <w:tab w:val="left" w:pos="1540"/>
                </w:tabs>
                <w:rPr>
                  <w:rFonts w:asciiTheme="minorHAnsi" w:eastAsiaTheme="minorEastAsia" w:hAnsiTheme="minorHAnsi" w:cstheme="minorBidi"/>
                  <w:sz w:val="22"/>
                  <w:szCs w:val="22"/>
                  <w:lang w:val="en-US" w:eastAsia="en-US"/>
                </w:rPr>
              </w:pPr>
              <w:hyperlink w:anchor="_Toc519500078" w:history="1">
                <w:r w:rsidRPr="004C4CA6">
                  <w:rPr>
                    <w:rStyle w:val="Hyperlink"/>
                  </w:rPr>
                  <w:t>6.7.2.</w:t>
                </w:r>
                <w:r>
                  <w:rPr>
                    <w:rFonts w:asciiTheme="minorHAnsi" w:eastAsiaTheme="minorEastAsia" w:hAnsiTheme="minorHAnsi" w:cstheme="minorBidi"/>
                    <w:sz w:val="22"/>
                    <w:szCs w:val="22"/>
                    <w:lang w:val="en-US" w:eastAsia="en-US"/>
                  </w:rPr>
                  <w:tab/>
                </w:r>
                <w:r w:rsidRPr="004C4CA6">
                  <w:rPr>
                    <w:rStyle w:val="Hyperlink"/>
                  </w:rPr>
                  <w:t>Governance responses under uncertain futures</w:t>
                </w:r>
                <w:r>
                  <w:rPr>
                    <w:webHidden/>
                  </w:rPr>
                  <w:tab/>
                </w:r>
                <w:r>
                  <w:rPr>
                    <w:webHidden/>
                  </w:rPr>
                  <w:fldChar w:fldCharType="begin"/>
                </w:r>
                <w:r>
                  <w:rPr>
                    <w:webHidden/>
                  </w:rPr>
                  <w:instrText xml:space="preserve"> PAGEREF _Toc519500078 \h </w:instrText>
                </w:r>
                <w:r>
                  <w:rPr>
                    <w:webHidden/>
                  </w:rPr>
                </w:r>
                <w:r>
                  <w:rPr>
                    <w:webHidden/>
                  </w:rPr>
                  <w:fldChar w:fldCharType="separate"/>
                </w:r>
                <w:r>
                  <w:rPr>
                    <w:webHidden/>
                  </w:rPr>
                  <w:t>531</w:t>
                </w:r>
                <w:r>
                  <w:rPr>
                    <w:webHidden/>
                  </w:rPr>
                  <w:fldChar w:fldCharType="end"/>
                </w:r>
              </w:hyperlink>
            </w:p>
            <w:p w14:paraId="2F1A091B" w14:textId="75697C03" w:rsidR="00DA6432" w:rsidRDefault="00DA6432">
              <w:pPr>
                <w:pStyle w:val="TOC3"/>
                <w:rPr>
                  <w:rFonts w:asciiTheme="minorHAnsi" w:eastAsiaTheme="minorEastAsia" w:hAnsiTheme="minorHAnsi" w:cstheme="minorBidi"/>
                  <w:noProof/>
                  <w:color w:val="auto"/>
                  <w:lang w:val="en-US" w:eastAsia="en-US"/>
                </w:rPr>
              </w:pPr>
              <w:hyperlink w:anchor="_Toc519500079" w:history="1">
                <w:r w:rsidRPr="004C4CA6">
                  <w:rPr>
                    <w:rStyle w:val="Hyperlink"/>
                    <w:rFonts w:cs="Times New Roman"/>
                    <w:noProof/>
                  </w:rPr>
                  <w:t>6.8.</w:t>
                </w:r>
                <w:r>
                  <w:rPr>
                    <w:rFonts w:asciiTheme="minorHAnsi" w:eastAsiaTheme="minorEastAsia" w:hAnsiTheme="minorHAnsi" w:cstheme="minorBidi"/>
                    <w:noProof/>
                    <w:color w:val="auto"/>
                    <w:lang w:val="en-US" w:eastAsia="en-US"/>
                  </w:rPr>
                  <w:tab/>
                </w:r>
                <w:r w:rsidRPr="004C4CA6">
                  <w:rPr>
                    <w:rStyle w:val="Hyperlink"/>
                    <w:rFonts w:cs="Times New Roman"/>
                    <w:noProof/>
                  </w:rPr>
                  <w:t>Conclusion</w:t>
                </w:r>
                <w:r>
                  <w:rPr>
                    <w:noProof/>
                    <w:webHidden/>
                  </w:rPr>
                  <w:tab/>
                </w:r>
                <w:r>
                  <w:rPr>
                    <w:noProof/>
                    <w:webHidden/>
                  </w:rPr>
                  <w:fldChar w:fldCharType="begin"/>
                </w:r>
                <w:r>
                  <w:rPr>
                    <w:noProof/>
                    <w:webHidden/>
                  </w:rPr>
                  <w:instrText xml:space="preserve"> PAGEREF _Toc519500079 \h </w:instrText>
                </w:r>
                <w:r>
                  <w:rPr>
                    <w:noProof/>
                    <w:webHidden/>
                  </w:rPr>
                </w:r>
                <w:r>
                  <w:rPr>
                    <w:noProof/>
                    <w:webHidden/>
                  </w:rPr>
                  <w:fldChar w:fldCharType="separate"/>
                </w:r>
                <w:r>
                  <w:rPr>
                    <w:noProof/>
                    <w:webHidden/>
                  </w:rPr>
                  <w:t>535</w:t>
                </w:r>
                <w:r>
                  <w:rPr>
                    <w:noProof/>
                    <w:webHidden/>
                  </w:rPr>
                  <w:fldChar w:fldCharType="end"/>
                </w:r>
              </w:hyperlink>
            </w:p>
            <w:p w14:paraId="14DC2F12" w14:textId="32A031C3" w:rsidR="00DA6432" w:rsidRDefault="00DA6432">
              <w:pPr>
                <w:pStyle w:val="TOC3"/>
                <w:rPr>
                  <w:rFonts w:asciiTheme="minorHAnsi" w:eastAsiaTheme="minorEastAsia" w:hAnsiTheme="minorHAnsi" w:cstheme="minorBidi"/>
                  <w:noProof/>
                  <w:color w:val="auto"/>
                  <w:lang w:val="en-US" w:eastAsia="en-US"/>
                </w:rPr>
              </w:pPr>
              <w:hyperlink w:anchor="_Toc519500080" w:history="1">
                <w:r w:rsidRPr="004C4CA6">
                  <w:rPr>
                    <w:rStyle w:val="Hyperlink"/>
                    <w:rFonts w:cs="Times New Roman"/>
                    <w:noProof/>
                  </w:rPr>
                  <w:t>6.9.</w:t>
                </w:r>
                <w:r>
                  <w:rPr>
                    <w:rFonts w:asciiTheme="minorHAnsi" w:eastAsiaTheme="minorEastAsia" w:hAnsiTheme="minorHAnsi" w:cstheme="minorBidi"/>
                    <w:noProof/>
                    <w:color w:val="auto"/>
                    <w:lang w:val="en-US" w:eastAsia="en-US"/>
                  </w:rPr>
                  <w:tab/>
                </w:r>
                <w:r w:rsidRPr="004C4CA6">
                  <w:rPr>
                    <w:rStyle w:val="Hyperlink"/>
                    <w:rFonts w:cs="Times New Roman"/>
                    <w:noProof/>
                  </w:rPr>
                  <w:t>References</w:t>
                </w:r>
                <w:r>
                  <w:rPr>
                    <w:noProof/>
                    <w:webHidden/>
                  </w:rPr>
                  <w:tab/>
                </w:r>
                <w:r>
                  <w:rPr>
                    <w:noProof/>
                    <w:webHidden/>
                  </w:rPr>
                  <w:fldChar w:fldCharType="begin"/>
                </w:r>
                <w:r>
                  <w:rPr>
                    <w:noProof/>
                    <w:webHidden/>
                  </w:rPr>
                  <w:instrText xml:space="preserve"> PAGEREF _Toc519500080 \h </w:instrText>
                </w:r>
                <w:r>
                  <w:rPr>
                    <w:noProof/>
                    <w:webHidden/>
                  </w:rPr>
                </w:r>
                <w:r>
                  <w:rPr>
                    <w:noProof/>
                    <w:webHidden/>
                  </w:rPr>
                  <w:fldChar w:fldCharType="separate"/>
                </w:r>
                <w:r>
                  <w:rPr>
                    <w:noProof/>
                    <w:webHidden/>
                  </w:rPr>
                  <w:t>538</w:t>
                </w:r>
                <w:r>
                  <w:rPr>
                    <w:noProof/>
                    <w:webHidden/>
                  </w:rPr>
                  <w:fldChar w:fldCharType="end"/>
                </w:r>
              </w:hyperlink>
            </w:p>
            <w:p w14:paraId="5E068C58" w14:textId="57543AC7" w:rsidR="00DA6432" w:rsidRDefault="00DA6432">
              <w:pPr>
                <w:pStyle w:val="TOC3"/>
                <w:rPr>
                  <w:rFonts w:asciiTheme="minorHAnsi" w:eastAsiaTheme="minorEastAsia" w:hAnsiTheme="minorHAnsi" w:cstheme="minorBidi"/>
                  <w:noProof/>
                  <w:color w:val="auto"/>
                  <w:lang w:val="en-US" w:eastAsia="en-US"/>
                </w:rPr>
              </w:pPr>
              <w:hyperlink w:anchor="_Toc519500081" w:history="1">
                <w:r w:rsidRPr="004C4CA6">
                  <w:rPr>
                    <w:rStyle w:val="Hyperlink"/>
                    <w:rFonts w:cs="Times New Roman"/>
                    <w:noProof/>
                  </w:rPr>
                  <w:t>Appendix 6.1: Africa’s progress in relation to the Aichi biodiversity targets.</w:t>
                </w:r>
                <w:r>
                  <w:rPr>
                    <w:noProof/>
                    <w:webHidden/>
                  </w:rPr>
                  <w:tab/>
                </w:r>
                <w:r>
                  <w:rPr>
                    <w:noProof/>
                    <w:webHidden/>
                  </w:rPr>
                  <w:fldChar w:fldCharType="begin"/>
                </w:r>
                <w:r>
                  <w:rPr>
                    <w:noProof/>
                    <w:webHidden/>
                  </w:rPr>
                  <w:instrText xml:space="preserve"> PAGEREF _Toc519500081 \h </w:instrText>
                </w:r>
                <w:r>
                  <w:rPr>
                    <w:noProof/>
                    <w:webHidden/>
                  </w:rPr>
                </w:r>
                <w:r>
                  <w:rPr>
                    <w:noProof/>
                    <w:webHidden/>
                  </w:rPr>
                  <w:fldChar w:fldCharType="separate"/>
                </w:r>
                <w:r>
                  <w:rPr>
                    <w:noProof/>
                    <w:webHidden/>
                  </w:rPr>
                  <w:t>560</w:t>
                </w:r>
                <w:r>
                  <w:rPr>
                    <w:noProof/>
                    <w:webHidden/>
                  </w:rPr>
                  <w:fldChar w:fldCharType="end"/>
                </w:r>
              </w:hyperlink>
            </w:p>
            <w:p w14:paraId="3C42FEC2" w14:textId="73731EC4" w:rsidR="00DA6432" w:rsidRDefault="00DA6432">
              <w:pPr>
                <w:pStyle w:val="TOC3"/>
                <w:rPr>
                  <w:rFonts w:asciiTheme="minorHAnsi" w:eastAsiaTheme="minorEastAsia" w:hAnsiTheme="minorHAnsi" w:cstheme="minorBidi"/>
                  <w:noProof/>
                  <w:color w:val="auto"/>
                  <w:lang w:val="en-US" w:eastAsia="en-US"/>
                </w:rPr>
              </w:pPr>
              <w:hyperlink w:anchor="_Toc519500082" w:history="1">
                <w:r w:rsidRPr="004C4CA6">
                  <w:rPr>
                    <w:rStyle w:val="Hyperlink"/>
                    <w:rFonts w:cs="Times New Roman"/>
                    <w:noProof/>
                  </w:rPr>
                  <w:t>Appendix 6.2: Policies and initiatives in Africa to support transboundary ecosystem governance.</w:t>
                </w:r>
                <w:r>
                  <w:rPr>
                    <w:noProof/>
                    <w:webHidden/>
                  </w:rPr>
                  <w:tab/>
                </w:r>
                <w:r>
                  <w:rPr>
                    <w:noProof/>
                    <w:webHidden/>
                  </w:rPr>
                  <w:fldChar w:fldCharType="begin"/>
                </w:r>
                <w:r>
                  <w:rPr>
                    <w:noProof/>
                    <w:webHidden/>
                  </w:rPr>
                  <w:instrText xml:space="preserve"> PAGEREF _Toc519500082 \h </w:instrText>
                </w:r>
                <w:r>
                  <w:rPr>
                    <w:noProof/>
                    <w:webHidden/>
                  </w:rPr>
                </w:r>
                <w:r>
                  <w:rPr>
                    <w:noProof/>
                    <w:webHidden/>
                  </w:rPr>
                  <w:fldChar w:fldCharType="separate"/>
                </w:r>
                <w:r>
                  <w:rPr>
                    <w:noProof/>
                    <w:webHidden/>
                  </w:rPr>
                  <w:t>566</w:t>
                </w:r>
                <w:r>
                  <w:rPr>
                    <w:noProof/>
                    <w:webHidden/>
                  </w:rPr>
                  <w:fldChar w:fldCharType="end"/>
                </w:r>
              </w:hyperlink>
            </w:p>
            <w:p w14:paraId="71343CCE" w14:textId="5BFD0BA0" w:rsidR="00DA6432" w:rsidRDefault="00DA6432">
              <w:pPr>
                <w:pStyle w:val="TOC3"/>
                <w:rPr>
                  <w:rFonts w:asciiTheme="minorHAnsi" w:eastAsiaTheme="minorEastAsia" w:hAnsiTheme="minorHAnsi" w:cstheme="minorBidi"/>
                  <w:noProof/>
                  <w:color w:val="auto"/>
                  <w:lang w:val="en-US" w:eastAsia="en-US"/>
                </w:rPr>
              </w:pPr>
              <w:hyperlink w:anchor="_Toc519500083" w:history="1">
                <w:r w:rsidRPr="004C4CA6">
                  <w:rPr>
                    <w:rStyle w:val="Hyperlink"/>
                    <w:rFonts w:cs="Times New Roman"/>
                    <w:noProof/>
                  </w:rPr>
                  <w:t>Appendix 6.3: Examples of economic incentives and financial instruments and their application in Africa.</w:t>
                </w:r>
                <w:r>
                  <w:rPr>
                    <w:noProof/>
                    <w:webHidden/>
                  </w:rPr>
                  <w:tab/>
                </w:r>
                <w:r>
                  <w:rPr>
                    <w:noProof/>
                    <w:webHidden/>
                  </w:rPr>
                  <w:fldChar w:fldCharType="begin"/>
                </w:r>
                <w:r>
                  <w:rPr>
                    <w:noProof/>
                    <w:webHidden/>
                  </w:rPr>
                  <w:instrText xml:space="preserve"> PAGEREF _Toc519500083 \h </w:instrText>
                </w:r>
                <w:r>
                  <w:rPr>
                    <w:noProof/>
                    <w:webHidden/>
                  </w:rPr>
                </w:r>
                <w:r>
                  <w:rPr>
                    <w:noProof/>
                    <w:webHidden/>
                  </w:rPr>
                  <w:fldChar w:fldCharType="separate"/>
                </w:r>
                <w:r>
                  <w:rPr>
                    <w:noProof/>
                    <w:webHidden/>
                  </w:rPr>
                  <w:t>567</w:t>
                </w:r>
                <w:r>
                  <w:rPr>
                    <w:noProof/>
                    <w:webHidden/>
                  </w:rPr>
                  <w:fldChar w:fldCharType="end"/>
                </w:r>
              </w:hyperlink>
            </w:p>
            <w:p w14:paraId="7C0D8CFD" w14:textId="211725AB" w:rsidR="00DA6432" w:rsidRDefault="00DA6432">
              <w:pPr>
                <w:pStyle w:val="TOC1"/>
                <w:rPr>
                  <w:rFonts w:asciiTheme="minorHAnsi" w:hAnsiTheme="minorHAnsi" w:cstheme="minorBidi"/>
                  <w:sz w:val="22"/>
                  <w:szCs w:val="22"/>
                </w:rPr>
              </w:pPr>
              <w:hyperlink w:anchor="_Toc519500084" w:history="1">
                <w:r w:rsidRPr="004C4CA6">
                  <w:rPr>
                    <w:rStyle w:val="Hyperlink"/>
                  </w:rPr>
                  <w:t>Glossary of terms</w:t>
                </w:r>
                <w:r>
                  <w:rPr>
                    <w:webHidden/>
                  </w:rPr>
                  <w:tab/>
                </w:r>
                <w:r>
                  <w:rPr>
                    <w:webHidden/>
                  </w:rPr>
                  <w:fldChar w:fldCharType="begin"/>
                </w:r>
                <w:r>
                  <w:rPr>
                    <w:webHidden/>
                  </w:rPr>
                  <w:instrText xml:space="preserve"> PAGEREF _Toc519500084 \h </w:instrText>
                </w:r>
                <w:r>
                  <w:rPr>
                    <w:webHidden/>
                  </w:rPr>
                </w:r>
                <w:r>
                  <w:rPr>
                    <w:webHidden/>
                  </w:rPr>
                  <w:fldChar w:fldCharType="separate"/>
                </w:r>
                <w:r>
                  <w:rPr>
                    <w:webHidden/>
                  </w:rPr>
                  <w:t>572</w:t>
                </w:r>
                <w:r>
                  <w:rPr>
                    <w:webHidden/>
                  </w:rPr>
                  <w:fldChar w:fldCharType="end"/>
                </w:r>
              </w:hyperlink>
            </w:p>
            <w:p w14:paraId="2EE6C451" w14:textId="5192BC54" w:rsidR="00DA6432" w:rsidRDefault="00DA6432">
              <w:pPr>
                <w:pStyle w:val="TOC1"/>
                <w:rPr>
                  <w:rFonts w:asciiTheme="minorHAnsi" w:hAnsiTheme="minorHAnsi" w:cstheme="minorBidi"/>
                  <w:sz w:val="22"/>
                  <w:szCs w:val="22"/>
                </w:rPr>
              </w:pPr>
              <w:hyperlink w:anchor="_Toc519500085" w:history="1">
                <w:r w:rsidRPr="004C4CA6">
                  <w:rPr>
                    <w:rStyle w:val="Hyperlink"/>
                  </w:rPr>
                  <w:t>Accronyms</w:t>
                </w:r>
                <w:r>
                  <w:rPr>
                    <w:webHidden/>
                  </w:rPr>
                  <w:tab/>
                </w:r>
                <w:r>
                  <w:rPr>
                    <w:webHidden/>
                  </w:rPr>
                  <w:fldChar w:fldCharType="begin"/>
                </w:r>
                <w:r>
                  <w:rPr>
                    <w:webHidden/>
                  </w:rPr>
                  <w:instrText xml:space="preserve"> PAGEREF _Toc519500085 \h </w:instrText>
                </w:r>
                <w:r>
                  <w:rPr>
                    <w:webHidden/>
                  </w:rPr>
                </w:r>
                <w:r>
                  <w:rPr>
                    <w:webHidden/>
                  </w:rPr>
                  <w:fldChar w:fldCharType="separate"/>
                </w:r>
                <w:r>
                  <w:rPr>
                    <w:webHidden/>
                  </w:rPr>
                  <w:t>583</w:t>
                </w:r>
                <w:r>
                  <w:rPr>
                    <w:webHidden/>
                  </w:rPr>
                  <w:fldChar w:fldCharType="end"/>
                </w:r>
              </w:hyperlink>
            </w:p>
            <w:p w14:paraId="065A1A35" w14:textId="5EF49E28" w:rsidR="00146914" w:rsidRPr="009B0448" w:rsidRDefault="00146914" w:rsidP="00E54335">
              <w:pPr>
                <w:pStyle w:val="TOC1"/>
                <w:rPr>
                  <w:b/>
                  <w:bCs/>
                  <w:sz w:val="20"/>
                  <w:szCs w:val="20"/>
                </w:rPr>
              </w:pPr>
              <w:r w:rsidRPr="00E54335">
                <w:rPr>
                  <w:b/>
                  <w:bCs/>
                  <w:sz w:val="20"/>
                  <w:szCs w:val="20"/>
                </w:rPr>
                <w:fldChar w:fldCharType="end"/>
              </w:r>
            </w:p>
          </w:sdtContent>
        </w:sdt>
        <w:p w14:paraId="25684E30" w14:textId="34709832" w:rsidR="00D45143" w:rsidRPr="009B0448" w:rsidRDefault="00DA6432" w:rsidP="00F10670">
          <w:pPr>
            <w:pStyle w:val="Normalnumber"/>
          </w:pPr>
        </w:p>
      </w:sdtContent>
    </w:sdt>
    <w:p w14:paraId="414CD359" w14:textId="77777777" w:rsidR="00D45143" w:rsidRPr="009B0448" w:rsidRDefault="00D45143">
      <w:pPr>
        <w:rPr>
          <w:rFonts w:ascii="Times New Roman" w:hAnsi="Times New Roman" w:cs="Times New Roman"/>
          <w:color w:val="auto"/>
          <w:sz w:val="20"/>
          <w:szCs w:val="20"/>
        </w:rPr>
      </w:pPr>
    </w:p>
    <w:p w14:paraId="5E6275E6" w14:textId="7BB62AB7" w:rsidR="001D6815" w:rsidRPr="00655E1C" w:rsidRDefault="00A8466E" w:rsidP="00655E1C">
      <w:pPr>
        <w:pStyle w:val="IPBES1"/>
        <w:spacing w:before="240"/>
      </w:pPr>
      <w:bookmarkStart w:id="1" w:name="_GoBack"/>
      <w:bookmarkEnd w:id="1"/>
      <w:r w:rsidRPr="00655E1C">
        <w:rPr>
          <w:b w:val="0"/>
          <w:szCs w:val="28"/>
        </w:rPr>
        <w:br w:type="page"/>
      </w:r>
      <w:bookmarkStart w:id="2" w:name="_Toc519499755"/>
      <w:r w:rsidR="00A86954" w:rsidRPr="00655E1C">
        <w:lastRenderedPageBreak/>
        <w:t xml:space="preserve">Chapter 1: </w:t>
      </w:r>
      <w:r w:rsidR="001D6815" w:rsidRPr="00655E1C">
        <w:t>Setting the scene</w:t>
      </w:r>
      <w:bookmarkEnd w:id="2"/>
    </w:p>
    <w:p w14:paraId="11E77F24" w14:textId="77777777" w:rsidR="00655E1C" w:rsidRDefault="00655E1C" w:rsidP="0072755B">
      <w:pPr>
        <w:spacing w:line="276" w:lineRule="auto"/>
        <w:jc w:val="both"/>
        <w:rPr>
          <w:rFonts w:ascii="Times New Roman" w:eastAsia="Times New Roman" w:hAnsi="Times New Roman" w:cs="Times New Roman"/>
          <w:b/>
        </w:rPr>
      </w:pPr>
    </w:p>
    <w:p w14:paraId="18ECF3C3" w14:textId="77777777" w:rsidR="001D6815" w:rsidRPr="009B0448" w:rsidRDefault="001D6815" w:rsidP="0072755B">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b/>
        </w:rPr>
        <w:t>Coordinating Lead Authors:</w:t>
      </w:r>
    </w:p>
    <w:p w14:paraId="55503A36" w14:textId="25C6ACAB" w:rsidR="001D6815" w:rsidRPr="009B0448" w:rsidRDefault="001D6815" w:rsidP="0072755B">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Mariteuw Chim</w:t>
      </w:r>
      <w:r w:rsidR="00AB7E46">
        <w:rPr>
          <w:rFonts w:ascii="Times New Roman" w:eastAsia="Times New Roman" w:hAnsi="Times New Roman" w:cs="Times New Roman"/>
        </w:rPr>
        <w:t>è</w:t>
      </w:r>
      <w:r w:rsidRPr="009B0448">
        <w:rPr>
          <w:rFonts w:ascii="Times New Roman" w:eastAsia="Times New Roman" w:hAnsi="Times New Roman" w:cs="Times New Roman"/>
        </w:rPr>
        <w:t>re Diaw (Senegal/Cameroon), Luis Tito de Morais (France), Khaled Allam Harhash (Egypt)</w:t>
      </w:r>
    </w:p>
    <w:p w14:paraId="01D60735" w14:textId="77777777" w:rsidR="001D6815" w:rsidRPr="009B0448" w:rsidRDefault="001D6815" w:rsidP="0072755B">
      <w:pPr>
        <w:spacing w:line="276" w:lineRule="auto"/>
        <w:ind w:firstLine="720"/>
        <w:jc w:val="both"/>
        <w:rPr>
          <w:rFonts w:ascii="Times New Roman" w:eastAsia="Times New Roman" w:hAnsi="Times New Roman" w:cs="Times New Roman"/>
        </w:rPr>
      </w:pPr>
    </w:p>
    <w:p w14:paraId="0ADF2AB7" w14:textId="77777777" w:rsidR="001D6815" w:rsidRPr="009B0448" w:rsidRDefault="001D6815" w:rsidP="0072755B">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b/>
        </w:rPr>
        <w:t>Lead Authors:</w:t>
      </w:r>
    </w:p>
    <w:p w14:paraId="2E765346" w14:textId="145F8D7A" w:rsidR="001D6815" w:rsidRPr="009B0448" w:rsidRDefault="001D6815" w:rsidP="0072755B">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Luciano Andriamaro (Madagascar), </w:t>
      </w:r>
      <w:r w:rsidR="00D938C0" w:rsidRPr="009B0448">
        <w:rPr>
          <w:rFonts w:ascii="Times New Roman" w:eastAsia="Times New Roman" w:hAnsi="Times New Roman" w:cs="Times New Roman"/>
        </w:rPr>
        <w:t xml:space="preserve">Emma Archer (South Africa), Nnyaladzi Batisani (Botswana), Thomas Bornman (South Africa), </w:t>
      </w:r>
      <w:r w:rsidRPr="009B0448">
        <w:rPr>
          <w:rFonts w:ascii="Times New Roman" w:eastAsia="Times New Roman" w:hAnsi="Times New Roman" w:cs="Times New Roman"/>
        </w:rPr>
        <w:t xml:space="preserve">Nkwatoh Athanasius Fuashi (Cameroon), </w:t>
      </w:r>
      <w:r w:rsidR="006756DF" w:rsidRPr="009B0448">
        <w:rPr>
          <w:rFonts w:ascii="Times New Roman" w:eastAsia="Times New Roman" w:hAnsi="Times New Roman" w:cs="Times New Roman"/>
        </w:rPr>
        <w:t xml:space="preserve">Christopher Golden (United States of America), </w:t>
      </w:r>
      <w:r w:rsidR="00D938C0" w:rsidRPr="009B0448">
        <w:rPr>
          <w:rFonts w:ascii="Times New Roman" w:eastAsia="Times New Roman" w:hAnsi="Times New Roman" w:cs="Times New Roman"/>
        </w:rPr>
        <w:t xml:space="preserve">Yousria Hamed (Egypt), </w:t>
      </w:r>
      <w:r w:rsidRPr="009B0448">
        <w:rPr>
          <w:rFonts w:ascii="Times New Roman" w:eastAsia="Times New Roman" w:hAnsi="Times New Roman" w:cs="Times New Roman"/>
        </w:rPr>
        <w:t xml:space="preserve">Philip Ivey (South Africa), Sarah Lindley (United Kingdom), </w:t>
      </w:r>
      <w:r w:rsidR="00D938C0" w:rsidRPr="009B0448">
        <w:rPr>
          <w:rFonts w:ascii="Times New Roman" w:eastAsia="Times New Roman" w:hAnsi="Times New Roman" w:cs="Times New Roman"/>
        </w:rPr>
        <w:t xml:space="preserve">Kalemani Jo Mulongoy (Democratic Republic of Congo), </w:t>
      </w:r>
      <w:r w:rsidR="006756DF" w:rsidRPr="009B0448">
        <w:rPr>
          <w:rFonts w:ascii="Times New Roman" w:eastAsia="Times New Roman" w:hAnsi="Times New Roman" w:cs="Times New Roman"/>
        </w:rPr>
        <w:t>Chioma Daisy Onyige (Nigeria)</w:t>
      </w:r>
    </w:p>
    <w:p w14:paraId="0C657605" w14:textId="77777777" w:rsidR="001D6815" w:rsidRPr="009B0448" w:rsidRDefault="001D6815" w:rsidP="0072755B">
      <w:pPr>
        <w:spacing w:line="276" w:lineRule="auto"/>
        <w:jc w:val="both"/>
        <w:rPr>
          <w:rFonts w:ascii="Times New Roman" w:eastAsia="Times New Roman" w:hAnsi="Times New Roman" w:cs="Times New Roman"/>
          <w:b/>
        </w:rPr>
      </w:pPr>
    </w:p>
    <w:p w14:paraId="2B6D60FE" w14:textId="77777777" w:rsidR="001D6815" w:rsidRPr="009B0448" w:rsidRDefault="001D6815" w:rsidP="0072755B">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b/>
        </w:rPr>
        <w:t>Fellow:</w:t>
      </w:r>
    </w:p>
    <w:p w14:paraId="1E2EB0D4" w14:textId="77777777" w:rsidR="001D6815" w:rsidRPr="009B0448" w:rsidRDefault="001D6815" w:rsidP="0072755B">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Dimpho Malebogo Matlhola (Botswana)</w:t>
      </w:r>
    </w:p>
    <w:p w14:paraId="004267DC" w14:textId="77777777" w:rsidR="001D6815" w:rsidRPr="009B0448" w:rsidRDefault="001D6815" w:rsidP="0072755B">
      <w:pPr>
        <w:spacing w:line="276" w:lineRule="auto"/>
        <w:jc w:val="both"/>
        <w:rPr>
          <w:rFonts w:ascii="Times New Roman" w:eastAsia="Times New Roman" w:hAnsi="Times New Roman" w:cs="Times New Roman"/>
        </w:rPr>
      </w:pPr>
    </w:p>
    <w:p w14:paraId="0E970C8C" w14:textId="77777777" w:rsidR="001D6815" w:rsidRPr="009B0448" w:rsidRDefault="001D6815" w:rsidP="0072755B">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b/>
        </w:rPr>
        <w:t>Contributing Authors:</w:t>
      </w:r>
    </w:p>
    <w:p w14:paraId="53C919BC" w14:textId="77777777" w:rsidR="001D6815" w:rsidRPr="009B0448" w:rsidRDefault="001D6815" w:rsidP="0072755B">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Dyhia Belhabib (Canada)</w:t>
      </w:r>
    </w:p>
    <w:p w14:paraId="64ED1AB4" w14:textId="77777777" w:rsidR="001D6815" w:rsidRPr="009B0448" w:rsidRDefault="001D6815" w:rsidP="0072755B">
      <w:pPr>
        <w:spacing w:line="276" w:lineRule="auto"/>
        <w:jc w:val="both"/>
        <w:rPr>
          <w:rFonts w:ascii="Times New Roman" w:eastAsia="Times New Roman" w:hAnsi="Times New Roman" w:cs="Times New Roman"/>
        </w:rPr>
      </w:pPr>
    </w:p>
    <w:p w14:paraId="7726581C" w14:textId="77777777" w:rsidR="001D6815" w:rsidRPr="009B0448" w:rsidRDefault="001D6815" w:rsidP="0072755B">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b/>
        </w:rPr>
        <w:t>Review Editors:</w:t>
      </w:r>
    </w:p>
    <w:p w14:paraId="4F0F7AB1" w14:textId="77777777" w:rsidR="00E9484D" w:rsidRDefault="00D938C0" w:rsidP="0072755B">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Betsy Beymer-Farris (United States of America), </w:t>
      </w:r>
      <w:r w:rsidR="00901B6E" w:rsidRPr="009B0448">
        <w:rPr>
          <w:rFonts w:ascii="Times New Roman" w:eastAsia="Times New Roman" w:hAnsi="Times New Roman" w:cs="Times New Roman"/>
        </w:rPr>
        <w:t>Phil René Oyono (Cameroon)</w:t>
      </w:r>
    </w:p>
    <w:p w14:paraId="556051B1" w14:textId="77777777" w:rsidR="00E9484D" w:rsidRDefault="00E9484D" w:rsidP="0072755B">
      <w:pPr>
        <w:spacing w:line="276" w:lineRule="auto"/>
        <w:jc w:val="both"/>
        <w:rPr>
          <w:rFonts w:ascii="Times New Roman" w:eastAsia="Times New Roman" w:hAnsi="Times New Roman" w:cs="Times New Roman"/>
        </w:rPr>
      </w:pPr>
    </w:p>
    <w:p w14:paraId="6B2ACF76" w14:textId="77777777" w:rsidR="00E9484D" w:rsidRDefault="00E9484D" w:rsidP="0072755B">
      <w:pPr>
        <w:spacing w:line="276" w:lineRule="auto"/>
        <w:jc w:val="both"/>
        <w:rPr>
          <w:rFonts w:ascii="Times New Roman" w:eastAsia="Times New Roman" w:hAnsi="Times New Roman" w:cs="Times New Roman"/>
        </w:rPr>
      </w:pPr>
    </w:p>
    <w:p w14:paraId="6465CBBD" w14:textId="77777777" w:rsidR="00E9484D" w:rsidRDefault="00E9484D" w:rsidP="0072755B">
      <w:pPr>
        <w:spacing w:line="276" w:lineRule="auto"/>
        <w:jc w:val="both"/>
        <w:rPr>
          <w:rFonts w:ascii="Times New Roman" w:eastAsia="Times New Roman" w:hAnsi="Times New Roman" w:cs="Times New Roman"/>
        </w:rPr>
      </w:pPr>
    </w:p>
    <w:p w14:paraId="304604D4" w14:textId="77777777" w:rsidR="00E9484D" w:rsidRDefault="00E9484D" w:rsidP="0072755B">
      <w:pPr>
        <w:spacing w:line="276" w:lineRule="auto"/>
        <w:jc w:val="both"/>
        <w:rPr>
          <w:rFonts w:ascii="Times New Roman" w:eastAsia="Times New Roman" w:hAnsi="Times New Roman" w:cs="Times New Roman"/>
        </w:rPr>
      </w:pPr>
    </w:p>
    <w:p w14:paraId="0933F377" w14:textId="77777777" w:rsidR="00E9484D" w:rsidRPr="00E9484D" w:rsidRDefault="00E9484D" w:rsidP="0072755B">
      <w:pPr>
        <w:spacing w:line="276" w:lineRule="auto"/>
        <w:jc w:val="both"/>
        <w:rPr>
          <w:rFonts w:ascii="Times New Roman" w:eastAsia="Times New Roman" w:hAnsi="Times New Roman" w:cs="Times New Roman"/>
        </w:rPr>
      </w:pPr>
    </w:p>
    <w:p w14:paraId="4FDB4611" w14:textId="77777777" w:rsidR="00E9484D" w:rsidRPr="0020100B" w:rsidRDefault="00E9484D" w:rsidP="0072755B">
      <w:pPr>
        <w:spacing w:line="276" w:lineRule="auto"/>
        <w:jc w:val="both"/>
        <w:rPr>
          <w:rFonts w:ascii="Times New Roman" w:eastAsia="Times New Roman" w:hAnsi="Times New Roman" w:cs="Times New Roman"/>
        </w:rPr>
      </w:pPr>
      <w:r w:rsidRPr="0020100B">
        <w:rPr>
          <w:rFonts w:ascii="Times New Roman" w:eastAsia="Times New Roman" w:hAnsi="Times New Roman" w:cs="Times New Roman"/>
        </w:rPr>
        <w:t xml:space="preserve">This chapter should be cited as: </w:t>
      </w:r>
    </w:p>
    <w:p w14:paraId="150F1985" w14:textId="6B5B2756" w:rsidR="001D6815" w:rsidRPr="009B0448" w:rsidRDefault="003E3A9C" w:rsidP="0072755B">
      <w:pPr>
        <w:spacing w:line="276" w:lineRule="auto"/>
        <w:jc w:val="both"/>
        <w:rPr>
          <w:rFonts w:ascii="Times New Roman" w:hAnsi="Times New Roman" w:cs="Times New Roman"/>
          <w:sz w:val="20"/>
          <w:szCs w:val="20"/>
        </w:rPr>
      </w:pPr>
      <w:r w:rsidRPr="009B0448">
        <w:rPr>
          <w:rFonts w:ascii="Times New Roman" w:eastAsia="Times New Roman" w:hAnsi="Times New Roman" w:cs="Times New Roman"/>
        </w:rPr>
        <w:t>Diaw</w:t>
      </w:r>
      <w:r w:rsidR="00E9484D" w:rsidRPr="0020100B">
        <w:rPr>
          <w:rFonts w:ascii="Times New Roman" w:eastAsia="Times New Roman" w:hAnsi="Times New Roman" w:cs="Times New Roman"/>
        </w:rPr>
        <w:t>, M.</w:t>
      </w:r>
      <w:r w:rsidRPr="0020100B">
        <w:rPr>
          <w:rFonts w:ascii="Times New Roman" w:eastAsia="Times New Roman" w:hAnsi="Times New Roman" w:cs="Times New Roman"/>
        </w:rPr>
        <w:t xml:space="preserve"> C.</w:t>
      </w:r>
      <w:r w:rsidR="00E9484D" w:rsidRPr="0020100B">
        <w:rPr>
          <w:rFonts w:ascii="Times New Roman" w:eastAsia="Times New Roman" w:hAnsi="Times New Roman" w:cs="Times New Roman"/>
        </w:rPr>
        <w:t xml:space="preserve">, </w:t>
      </w:r>
      <w:r w:rsidRPr="009B0448">
        <w:rPr>
          <w:rFonts w:ascii="Times New Roman" w:eastAsia="Times New Roman" w:hAnsi="Times New Roman" w:cs="Times New Roman"/>
        </w:rPr>
        <w:t>Tito de Morais</w:t>
      </w:r>
      <w:r w:rsidR="00E9484D" w:rsidRPr="0020100B">
        <w:rPr>
          <w:rFonts w:ascii="Times New Roman" w:eastAsia="Times New Roman" w:hAnsi="Times New Roman" w:cs="Times New Roman"/>
        </w:rPr>
        <w:t xml:space="preserve">, </w:t>
      </w:r>
      <w:r w:rsidRPr="0020100B">
        <w:rPr>
          <w:rFonts w:ascii="Times New Roman" w:eastAsia="Times New Roman" w:hAnsi="Times New Roman" w:cs="Times New Roman"/>
        </w:rPr>
        <w:t>L</w:t>
      </w:r>
      <w:r w:rsidR="00E9484D" w:rsidRPr="0020100B">
        <w:rPr>
          <w:rFonts w:ascii="Times New Roman" w:eastAsia="Times New Roman" w:hAnsi="Times New Roman" w:cs="Times New Roman"/>
        </w:rPr>
        <w:t xml:space="preserve">., </w:t>
      </w:r>
      <w:r w:rsidRPr="009B0448">
        <w:rPr>
          <w:rFonts w:ascii="Times New Roman" w:eastAsia="Times New Roman" w:hAnsi="Times New Roman" w:cs="Times New Roman"/>
        </w:rPr>
        <w:t>Harhash</w:t>
      </w:r>
      <w:r w:rsidR="00E9484D" w:rsidRPr="0020100B">
        <w:rPr>
          <w:rFonts w:ascii="Times New Roman" w:eastAsia="Times New Roman" w:hAnsi="Times New Roman" w:cs="Times New Roman"/>
        </w:rPr>
        <w:t xml:space="preserve">, </w:t>
      </w:r>
      <w:r w:rsidRPr="0020100B">
        <w:rPr>
          <w:rFonts w:ascii="Times New Roman" w:eastAsia="Times New Roman" w:hAnsi="Times New Roman" w:cs="Times New Roman"/>
        </w:rPr>
        <w:t>K. A</w:t>
      </w:r>
      <w:r w:rsidR="00E9484D" w:rsidRPr="0020100B">
        <w:rPr>
          <w:rFonts w:ascii="Times New Roman" w:eastAsia="Times New Roman" w:hAnsi="Times New Roman" w:cs="Times New Roman"/>
        </w:rPr>
        <w:t xml:space="preserve">., </w:t>
      </w:r>
      <w:r w:rsidRPr="009B0448">
        <w:rPr>
          <w:rFonts w:ascii="Times New Roman" w:eastAsia="Times New Roman" w:hAnsi="Times New Roman" w:cs="Times New Roman"/>
        </w:rPr>
        <w:t>Andriamaro</w:t>
      </w:r>
      <w:r w:rsidR="00E9484D" w:rsidRPr="0020100B">
        <w:rPr>
          <w:rFonts w:ascii="Times New Roman" w:eastAsia="Times New Roman" w:hAnsi="Times New Roman" w:cs="Times New Roman"/>
        </w:rPr>
        <w:t xml:space="preserve">, </w:t>
      </w:r>
      <w:r w:rsidRPr="0020100B">
        <w:rPr>
          <w:rFonts w:ascii="Times New Roman" w:eastAsia="Times New Roman" w:hAnsi="Times New Roman" w:cs="Times New Roman"/>
        </w:rPr>
        <w:t>L</w:t>
      </w:r>
      <w:r w:rsidR="00E9484D" w:rsidRPr="0020100B">
        <w:rPr>
          <w:rFonts w:ascii="Times New Roman" w:eastAsia="Times New Roman" w:hAnsi="Times New Roman" w:cs="Times New Roman"/>
        </w:rPr>
        <w:t xml:space="preserve">., </w:t>
      </w:r>
      <w:r w:rsidRPr="009B0448">
        <w:rPr>
          <w:rFonts w:ascii="Times New Roman" w:eastAsia="Times New Roman" w:hAnsi="Times New Roman" w:cs="Times New Roman"/>
        </w:rPr>
        <w:t>Archer</w:t>
      </w:r>
      <w:r w:rsidR="00E9484D" w:rsidRPr="0020100B">
        <w:rPr>
          <w:rFonts w:ascii="Times New Roman" w:eastAsia="Times New Roman" w:hAnsi="Times New Roman" w:cs="Times New Roman"/>
        </w:rPr>
        <w:t xml:space="preserve">, </w:t>
      </w:r>
      <w:r w:rsidRPr="0020100B">
        <w:rPr>
          <w:rFonts w:ascii="Times New Roman" w:eastAsia="Times New Roman" w:hAnsi="Times New Roman" w:cs="Times New Roman"/>
        </w:rPr>
        <w:t>E</w:t>
      </w:r>
      <w:r w:rsidR="00E9484D" w:rsidRPr="0020100B">
        <w:rPr>
          <w:rFonts w:ascii="Times New Roman" w:eastAsia="Times New Roman" w:hAnsi="Times New Roman" w:cs="Times New Roman"/>
        </w:rPr>
        <w:t xml:space="preserve">., </w:t>
      </w:r>
      <w:r w:rsidRPr="009B0448">
        <w:rPr>
          <w:rFonts w:ascii="Times New Roman" w:eastAsia="Times New Roman" w:hAnsi="Times New Roman" w:cs="Times New Roman"/>
        </w:rPr>
        <w:t>Batisani</w:t>
      </w:r>
      <w:r w:rsidR="00E9484D" w:rsidRPr="0020100B">
        <w:rPr>
          <w:rFonts w:ascii="Times New Roman" w:eastAsia="Times New Roman" w:hAnsi="Times New Roman" w:cs="Times New Roman"/>
        </w:rPr>
        <w:t xml:space="preserve">, </w:t>
      </w:r>
      <w:r w:rsidRPr="0020100B">
        <w:rPr>
          <w:rFonts w:ascii="Times New Roman" w:eastAsia="Times New Roman" w:hAnsi="Times New Roman" w:cs="Times New Roman"/>
        </w:rPr>
        <w:t>N</w:t>
      </w:r>
      <w:r w:rsidR="00E9484D" w:rsidRPr="0020100B">
        <w:rPr>
          <w:rFonts w:ascii="Times New Roman" w:eastAsia="Times New Roman" w:hAnsi="Times New Roman" w:cs="Times New Roman"/>
        </w:rPr>
        <w:t xml:space="preserve">., </w:t>
      </w:r>
      <w:r w:rsidRPr="009B0448">
        <w:rPr>
          <w:rFonts w:ascii="Times New Roman" w:eastAsia="Times New Roman" w:hAnsi="Times New Roman" w:cs="Times New Roman"/>
        </w:rPr>
        <w:t>Bornman</w:t>
      </w:r>
      <w:r w:rsidR="00E9484D" w:rsidRPr="0020100B">
        <w:rPr>
          <w:rFonts w:ascii="Times New Roman" w:eastAsia="Times New Roman" w:hAnsi="Times New Roman" w:cs="Times New Roman"/>
        </w:rPr>
        <w:t xml:space="preserve">, </w:t>
      </w:r>
      <w:r w:rsidRPr="0020100B">
        <w:rPr>
          <w:rFonts w:ascii="Times New Roman" w:eastAsia="Times New Roman" w:hAnsi="Times New Roman" w:cs="Times New Roman"/>
        </w:rPr>
        <w:t>T</w:t>
      </w:r>
      <w:r w:rsidR="00E9484D" w:rsidRPr="0020100B">
        <w:rPr>
          <w:rFonts w:ascii="Times New Roman" w:eastAsia="Times New Roman" w:hAnsi="Times New Roman" w:cs="Times New Roman"/>
        </w:rPr>
        <w:t xml:space="preserve">., </w:t>
      </w:r>
      <w:r w:rsidRPr="009B0448">
        <w:rPr>
          <w:rFonts w:ascii="Times New Roman" w:eastAsia="Times New Roman" w:hAnsi="Times New Roman" w:cs="Times New Roman"/>
        </w:rPr>
        <w:t>Fuashi</w:t>
      </w:r>
      <w:r w:rsidR="00E9484D" w:rsidRPr="0020100B">
        <w:rPr>
          <w:rFonts w:ascii="Times New Roman" w:eastAsia="Times New Roman" w:hAnsi="Times New Roman" w:cs="Times New Roman"/>
        </w:rPr>
        <w:t xml:space="preserve">, </w:t>
      </w:r>
      <w:r w:rsidRPr="0020100B">
        <w:rPr>
          <w:rFonts w:ascii="Times New Roman" w:eastAsia="Times New Roman" w:hAnsi="Times New Roman" w:cs="Times New Roman"/>
        </w:rPr>
        <w:t>N. A.</w:t>
      </w:r>
      <w:r w:rsidR="00E9484D" w:rsidRPr="0020100B">
        <w:rPr>
          <w:rFonts w:ascii="Times New Roman" w:eastAsia="Times New Roman" w:hAnsi="Times New Roman" w:cs="Times New Roman"/>
        </w:rPr>
        <w:t xml:space="preserve">, </w:t>
      </w:r>
      <w:r w:rsidRPr="009B0448">
        <w:rPr>
          <w:rFonts w:ascii="Times New Roman" w:eastAsia="Times New Roman" w:hAnsi="Times New Roman" w:cs="Times New Roman"/>
        </w:rPr>
        <w:t>Golden</w:t>
      </w:r>
      <w:r w:rsidR="00E9484D" w:rsidRPr="0020100B">
        <w:rPr>
          <w:rFonts w:ascii="Times New Roman" w:eastAsia="Times New Roman" w:hAnsi="Times New Roman" w:cs="Times New Roman"/>
        </w:rPr>
        <w:t xml:space="preserve">, </w:t>
      </w:r>
      <w:r w:rsidRPr="0020100B">
        <w:rPr>
          <w:rFonts w:ascii="Times New Roman" w:eastAsia="Times New Roman" w:hAnsi="Times New Roman" w:cs="Times New Roman"/>
        </w:rPr>
        <w:t>C</w:t>
      </w:r>
      <w:r w:rsidR="00E9484D" w:rsidRPr="0020100B">
        <w:rPr>
          <w:rFonts w:ascii="Times New Roman" w:eastAsia="Times New Roman" w:hAnsi="Times New Roman" w:cs="Times New Roman"/>
        </w:rPr>
        <w:t xml:space="preserve">., </w:t>
      </w:r>
      <w:r w:rsidRPr="009B0448">
        <w:rPr>
          <w:rFonts w:ascii="Times New Roman" w:eastAsia="Times New Roman" w:hAnsi="Times New Roman" w:cs="Times New Roman"/>
        </w:rPr>
        <w:t>Hamed</w:t>
      </w:r>
      <w:r w:rsidR="00E9484D" w:rsidRPr="0020100B">
        <w:rPr>
          <w:rFonts w:ascii="Times New Roman" w:eastAsia="Times New Roman" w:hAnsi="Times New Roman" w:cs="Times New Roman"/>
        </w:rPr>
        <w:t xml:space="preserve">, </w:t>
      </w:r>
      <w:r w:rsidRPr="0020100B">
        <w:rPr>
          <w:rFonts w:ascii="Times New Roman" w:eastAsia="Times New Roman" w:hAnsi="Times New Roman" w:cs="Times New Roman"/>
        </w:rPr>
        <w:t>Y</w:t>
      </w:r>
      <w:r w:rsidR="00E9484D" w:rsidRPr="0020100B">
        <w:rPr>
          <w:rFonts w:ascii="Times New Roman" w:eastAsia="Times New Roman" w:hAnsi="Times New Roman" w:cs="Times New Roman"/>
        </w:rPr>
        <w:t>.</w:t>
      </w:r>
      <w:r w:rsidRPr="0020100B">
        <w:rPr>
          <w:rFonts w:ascii="Times New Roman" w:eastAsia="Times New Roman" w:hAnsi="Times New Roman" w:cs="Times New Roman"/>
        </w:rPr>
        <w:t>,</w:t>
      </w:r>
      <w:r w:rsidR="00E9484D" w:rsidRPr="0020100B">
        <w:rPr>
          <w:rFonts w:ascii="Times New Roman" w:eastAsia="Times New Roman" w:hAnsi="Times New Roman" w:cs="Times New Roman"/>
        </w:rPr>
        <w:t xml:space="preserve"> </w:t>
      </w:r>
      <w:r w:rsidRPr="0020100B">
        <w:rPr>
          <w:rFonts w:ascii="Times New Roman" w:eastAsia="Times New Roman" w:hAnsi="Times New Roman" w:cs="Times New Roman"/>
        </w:rPr>
        <w:t xml:space="preserve">Ivey, P., Lindley, S., </w:t>
      </w:r>
      <w:r w:rsidRPr="009B0448">
        <w:rPr>
          <w:rFonts w:ascii="Times New Roman" w:eastAsia="Times New Roman" w:hAnsi="Times New Roman" w:cs="Times New Roman"/>
        </w:rPr>
        <w:t>Mulongoy</w:t>
      </w:r>
      <w:r w:rsidRPr="0020100B">
        <w:rPr>
          <w:rFonts w:ascii="Times New Roman" w:eastAsia="Times New Roman" w:hAnsi="Times New Roman" w:cs="Times New Roman"/>
        </w:rPr>
        <w:t xml:space="preserve">, K. J., Onyige, C. D., </w:t>
      </w:r>
      <w:r w:rsidRPr="009B0448">
        <w:rPr>
          <w:rFonts w:ascii="Times New Roman" w:eastAsia="Times New Roman" w:hAnsi="Times New Roman" w:cs="Times New Roman"/>
        </w:rPr>
        <w:t>Matlhola</w:t>
      </w:r>
      <w:r>
        <w:rPr>
          <w:rFonts w:ascii="Times New Roman" w:eastAsia="Times New Roman" w:hAnsi="Times New Roman" w:cs="Times New Roman"/>
        </w:rPr>
        <w:t xml:space="preserve">, D. M., and Belhabib, D. </w:t>
      </w:r>
      <w:r w:rsidR="00E9484D" w:rsidRPr="0020100B">
        <w:rPr>
          <w:rFonts w:ascii="Times New Roman" w:eastAsia="Times New Roman" w:hAnsi="Times New Roman" w:cs="Times New Roman"/>
        </w:rPr>
        <w:t xml:space="preserve">Chapter 1: Setting the scene. In IPBES (2018): The IPBES regional assessment report on biodiversity and ecosystem services for Africa. Archer, </w:t>
      </w:r>
      <w:r w:rsidR="00145965" w:rsidRPr="0020100B">
        <w:rPr>
          <w:rFonts w:ascii="Times New Roman" w:eastAsia="Times New Roman" w:hAnsi="Times New Roman" w:cs="Times New Roman"/>
        </w:rPr>
        <w:t xml:space="preserve">E. </w:t>
      </w:r>
      <w:r w:rsidR="00E9484D" w:rsidRPr="0020100B">
        <w:rPr>
          <w:rFonts w:ascii="Times New Roman" w:eastAsia="Times New Roman" w:hAnsi="Times New Roman" w:cs="Times New Roman"/>
        </w:rPr>
        <w:t xml:space="preserve">Dziba, </w:t>
      </w:r>
      <w:r w:rsidR="00145965" w:rsidRPr="0020100B">
        <w:rPr>
          <w:rFonts w:ascii="Times New Roman" w:eastAsia="Times New Roman" w:hAnsi="Times New Roman" w:cs="Times New Roman"/>
        </w:rPr>
        <w:t xml:space="preserve">L., </w:t>
      </w:r>
      <w:r w:rsidR="00E9484D" w:rsidRPr="009B0448">
        <w:rPr>
          <w:rFonts w:ascii="Times New Roman" w:eastAsia="Times New Roman" w:hAnsi="Times New Roman" w:cs="Times New Roman"/>
        </w:rPr>
        <w:t>Mulongoy</w:t>
      </w:r>
      <w:r w:rsidR="00E9484D" w:rsidRPr="0020100B">
        <w:rPr>
          <w:rFonts w:ascii="Times New Roman" w:eastAsia="Times New Roman" w:hAnsi="Times New Roman" w:cs="Times New Roman"/>
        </w:rPr>
        <w:t xml:space="preserve">, </w:t>
      </w:r>
      <w:r w:rsidR="00145965" w:rsidRPr="0020100B">
        <w:rPr>
          <w:rFonts w:ascii="Times New Roman" w:eastAsia="Times New Roman" w:hAnsi="Times New Roman" w:cs="Times New Roman"/>
        </w:rPr>
        <w:t xml:space="preserve">K. J., </w:t>
      </w:r>
      <w:r w:rsidRPr="0020100B">
        <w:rPr>
          <w:rFonts w:ascii="Times New Roman" w:eastAsia="Times New Roman" w:hAnsi="Times New Roman" w:cs="Times New Roman"/>
        </w:rPr>
        <w:t>Maoela</w:t>
      </w:r>
      <w:r w:rsidR="00E9484D" w:rsidRPr="0020100B">
        <w:rPr>
          <w:rFonts w:ascii="Times New Roman" w:eastAsia="Times New Roman" w:hAnsi="Times New Roman" w:cs="Times New Roman"/>
        </w:rPr>
        <w:t xml:space="preserve">, </w:t>
      </w:r>
      <w:r w:rsidR="00145965" w:rsidRPr="0020100B">
        <w:rPr>
          <w:rFonts w:ascii="Times New Roman" w:eastAsia="Times New Roman" w:hAnsi="Times New Roman" w:cs="Times New Roman"/>
        </w:rPr>
        <w:t>M. A.,</w:t>
      </w:r>
      <w:r w:rsidR="00E9484D" w:rsidRPr="0020100B">
        <w:rPr>
          <w:rFonts w:ascii="Times New Roman" w:eastAsia="Times New Roman" w:hAnsi="Times New Roman" w:cs="Times New Roman"/>
        </w:rPr>
        <w:t xml:space="preserve"> and Walters</w:t>
      </w:r>
      <w:r w:rsidR="00145965" w:rsidRPr="0020100B">
        <w:rPr>
          <w:rFonts w:ascii="Times New Roman" w:eastAsia="Times New Roman" w:hAnsi="Times New Roman" w:cs="Times New Roman"/>
        </w:rPr>
        <w:t>, M.</w:t>
      </w:r>
      <w:r w:rsidRPr="0020100B">
        <w:rPr>
          <w:rFonts w:ascii="Times New Roman" w:eastAsia="Times New Roman" w:hAnsi="Times New Roman" w:cs="Times New Roman"/>
        </w:rPr>
        <w:t xml:space="preserve"> (E</w:t>
      </w:r>
      <w:r w:rsidR="00E9484D" w:rsidRPr="0020100B">
        <w:rPr>
          <w:rFonts w:ascii="Times New Roman" w:eastAsia="Times New Roman" w:hAnsi="Times New Roman" w:cs="Times New Roman"/>
        </w:rPr>
        <w:t xml:space="preserve">ds.). Secretariat of the Intergovernmental Science-Policy Platform on Biodiversity and Ecosystem </w:t>
      </w:r>
      <w:r w:rsidRPr="0020100B">
        <w:rPr>
          <w:rFonts w:ascii="Times New Roman" w:eastAsia="Times New Roman" w:hAnsi="Times New Roman" w:cs="Times New Roman"/>
        </w:rPr>
        <w:t>services, Bonn, Germany, pp. xx–</w:t>
      </w:r>
      <w:r w:rsidR="00E9484D" w:rsidRPr="0020100B">
        <w:rPr>
          <w:rFonts w:ascii="Times New Roman" w:eastAsia="Times New Roman" w:hAnsi="Times New Roman" w:cs="Times New Roman"/>
        </w:rPr>
        <w:t>xx.</w:t>
      </w:r>
      <w:r w:rsidR="001D6815" w:rsidRPr="009B0448">
        <w:rPr>
          <w:rFonts w:ascii="Times New Roman" w:hAnsi="Times New Roman" w:cs="Times New Roman"/>
          <w:sz w:val="20"/>
          <w:szCs w:val="20"/>
        </w:rPr>
        <w:br w:type="page"/>
      </w:r>
    </w:p>
    <w:p w14:paraId="639C3E24" w14:textId="77777777" w:rsidR="0072755B" w:rsidRPr="009B0448" w:rsidRDefault="0072755B" w:rsidP="00624DCE">
      <w:pPr>
        <w:pStyle w:val="Heading3"/>
        <w:widowControl w:val="0"/>
        <w:spacing w:before="240" w:after="240"/>
        <w:ind w:left="-11" w:firstLine="0"/>
        <w:rPr>
          <w:rFonts w:eastAsia="Calibri" w:cs="Times New Roman"/>
          <w:szCs w:val="24"/>
        </w:rPr>
      </w:pPr>
      <w:bookmarkStart w:id="3" w:name="_Toc519499756"/>
      <w:r w:rsidRPr="009B0448">
        <w:rPr>
          <w:rFonts w:eastAsia="Calibri" w:cs="Times New Roman"/>
          <w:szCs w:val="24"/>
        </w:rPr>
        <w:lastRenderedPageBreak/>
        <w:t>Executive Summary</w:t>
      </w:r>
      <w:bookmarkEnd w:id="3"/>
    </w:p>
    <w:p w14:paraId="6531110D" w14:textId="1806DD88" w:rsidR="0072755B" w:rsidRPr="009B0448" w:rsidRDefault="0072755B" w:rsidP="00624DCE">
      <w:pPr>
        <w:pStyle w:val="NormalPlain"/>
        <w:spacing w:line="276" w:lineRule="auto"/>
        <w:ind w:left="0"/>
        <w:mirrorIndents/>
        <w:jc w:val="both"/>
        <w:rPr>
          <w:sz w:val="22"/>
          <w:szCs w:val="22"/>
        </w:rPr>
      </w:pPr>
      <w:r w:rsidRPr="009B0448">
        <w:rPr>
          <w:b/>
          <w:sz w:val="22"/>
          <w:szCs w:val="22"/>
        </w:rPr>
        <w:t>Africa’s extraordinary richness in biodiversity and ecosystem services, and wealth of indigenous and local knowledge, comprises a strategic asset for sustainable development in the region</w:t>
      </w:r>
      <w:r w:rsidR="001D50F0" w:rsidRPr="009B0448">
        <w:rPr>
          <w:b/>
          <w:sz w:val="22"/>
          <w:szCs w:val="22"/>
        </w:rPr>
        <w:t xml:space="preserve"> </w:t>
      </w:r>
      <w:r w:rsidR="001D50F0" w:rsidRPr="009B0448">
        <w:rPr>
          <w:b/>
          <w:i/>
          <w:sz w:val="22"/>
          <w:szCs w:val="22"/>
        </w:rPr>
        <w:t>(well-established)</w:t>
      </w:r>
      <w:r w:rsidRPr="009B0448">
        <w:rPr>
          <w:b/>
          <w:sz w:val="22"/>
          <w:szCs w:val="22"/>
        </w:rPr>
        <w:t>.</w:t>
      </w:r>
      <w:r w:rsidRPr="009B0448">
        <w:rPr>
          <w:sz w:val="22"/>
          <w:szCs w:val="22"/>
        </w:rPr>
        <w:t xml:space="preserve"> Africa is the last place on Earth with a broadly intact assemblage of mammalian megafauna. Africa has significant regional, </w:t>
      </w:r>
      <w:r w:rsidR="00B22D81">
        <w:rPr>
          <w:sz w:val="22"/>
          <w:szCs w:val="22"/>
        </w:rPr>
        <w:t>subregion</w:t>
      </w:r>
      <w:r w:rsidRPr="009B0448">
        <w:rPr>
          <w:sz w:val="22"/>
          <w:szCs w:val="22"/>
        </w:rPr>
        <w:t>al and national variations in biodiversity that reflect climatic and physical differences, as well as the continent’s long and varied history of human interactions with the environment. This natural richness, accumulated over millions of years, coupled with the wealth of indigenous and local knowledge on the continent, is central to, and constitutes a strategic asset for, the pursuit of sustaina</w:t>
      </w:r>
      <w:r w:rsidR="007005CF" w:rsidRPr="009B0448">
        <w:rPr>
          <w:sz w:val="22"/>
          <w:szCs w:val="22"/>
        </w:rPr>
        <w:t>ble development in the region</w:t>
      </w:r>
      <w:r w:rsidR="00125DEE" w:rsidRPr="009B0448">
        <w:rPr>
          <w:sz w:val="22"/>
          <w:szCs w:val="22"/>
        </w:rPr>
        <w:t xml:space="preserve"> {1.1, 1.3.2, 1.3.9}</w:t>
      </w:r>
      <w:r w:rsidR="007005CF" w:rsidRPr="009B0448">
        <w:rPr>
          <w:sz w:val="22"/>
          <w:szCs w:val="22"/>
        </w:rPr>
        <w:t xml:space="preserve">. </w:t>
      </w:r>
    </w:p>
    <w:p w14:paraId="4993292B" w14:textId="77777777" w:rsidR="00624DCE" w:rsidRPr="009B0448" w:rsidRDefault="00624DCE" w:rsidP="00624DCE">
      <w:pPr>
        <w:pStyle w:val="NormalPlain"/>
        <w:spacing w:line="276" w:lineRule="auto"/>
        <w:ind w:left="0"/>
        <w:mirrorIndents/>
        <w:jc w:val="both"/>
        <w:rPr>
          <w:sz w:val="22"/>
          <w:szCs w:val="22"/>
        </w:rPr>
      </w:pPr>
    </w:p>
    <w:p w14:paraId="7EACD1AB" w14:textId="45B7EA39" w:rsidR="0072755B" w:rsidRPr="009B0448" w:rsidRDefault="0072755B" w:rsidP="00624DCE">
      <w:pPr>
        <w:spacing w:line="276" w:lineRule="auto"/>
        <w:jc w:val="both"/>
        <w:rPr>
          <w:rFonts w:ascii="Times New Roman" w:hAnsi="Times New Roman" w:cs="Times New Roman"/>
          <w:lang w:eastAsia="ko-KR"/>
        </w:rPr>
      </w:pPr>
      <w:r w:rsidRPr="009B0448">
        <w:rPr>
          <w:rFonts w:ascii="Times New Roman" w:hAnsi="Times New Roman" w:cs="Times New Roman"/>
          <w:b/>
          <w:lang w:eastAsia="ko-KR"/>
        </w:rPr>
        <w:t>Africa’s rich and diverse ecosystems generate flows of goods and services that are essential in providing for the continent’s food-, water-, energy-, health- and secure livelihood- needs</w:t>
      </w:r>
      <w:r w:rsidR="001D50F0" w:rsidRPr="009B0448">
        <w:rPr>
          <w:rFonts w:ascii="Times New Roman" w:hAnsi="Times New Roman" w:cs="Times New Roman"/>
          <w:b/>
          <w:lang w:eastAsia="ko-KR"/>
        </w:rPr>
        <w:t xml:space="preserve"> </w:t>
      </w:r>
      <w:r w:rsidR="001D50F0" w:rsidRPr="009B0448">
        <w:rPr>
          <w:rFonts w:ascii="Times New Roman" w:hAnsi="Times New Roman" w:cs="Times New Roman"/>
          <w:b/>
          <w:i/>
          <w:lang w:eastAsia="ko-KR"/>
        </w:rPr>
        <w:t>(well-established)</w:t>
      </w:r>
      <w:r w:rsidRPr="009B0448">
        <w:rPr>
          <w:rFonts w:ascii="Times New Roman" w:hAnsi="Times New Roman" w:cs="Times New Roman"/>
          <w:b/>
          <w:lang w:eastAsia="ko-KR"/>
        </w:rPr>
        <w:t>.</w:t>
      </w:r>
      <w:r w:rsidRPr="009B0448">
        <w:rPr>
          <w:rFonts w:ascii="Times New Roman" w:hAnsi="Times New Roman" w:cs="Times New Roman"/>
          <w:lang w:eastAsia="ko-KR"/>
        </w:rPr>
        <w:t xml:space="preserve"> Tangible assets such as food, water and medicinal plants, and intangible assets such as sacred sites and religious spaces underpin nature’s contribution to the economy and are central to a multitude of other livelihood strategies. Nature’s contributions to people are generally of immense benefit to the inhabitants of the continent and others across the globe, but can occasionally be detrimental as a result of losses or of conflicts over their uses</w:t>
      </w:r>
      <w:r w:rsidR="00125DEE" w:rsidRPr="009B0448">
        <w:rPr>
          <w:rFonts w:ascii="Times New Roman" w:hAnsi="Times New Roman" w:cs="Times New Roman"/>
          <w:lang w:eastAsia="ko-KR"/>
        </w:rPr>
        <w:t xml:space="preserve"> {1.1.4, 1.3.1, 1.3.8.4}</w:t>
      </w:r>
      <w:r w:rsidRPr="009B0448">
        <w:rPr>
          <w:rFonts w:ascii="Times New Roman" w:hAnsi="Times New Roman" w:cs="Times New Roman"/>
          <w:lang w:eastAsia="ko-KR"/>
        </w:rPr>
        <w:t xml:space="preserve">. </w:t>
      </w:r>
    </w:p>
    <w:p w14:paraId="09D2717F" w14:textId="77777777" w:rsidR="00624DCE" w:rsidRPr="009B0448" w:rsidRDefault="00624DCE" w:rsidP="00624DCE">
      <w:pPr>
        <w:spacing w:line="276" w:lineRule="auto"/>
        <w:jc w:val="both"/>
        <w:rPr>
          <w:rFonts w:ascii="Times New Roman" w:hAnsi="Times New Roman" w:cs="Times New Roman"/>
          <w:lang w:eastAsia="ko-KR"/>
        </w:rPr>
      </w:pPr>
    </w:p>
    <w:p w14:paraId="30542A17" w14:textId="39400709" w:rsidR="0072755B" w:rsidRPr="009B0448" w:rsidRDefault="0072755B" w:rsidP="00624DCE">
      <w:pPr>
        <w:spacing w:line="276" w:lineRule="auto"/>
        <w:jc w:val="both"/>
        <w:rPr>
          <w:rFonts w:ascii="Times New Roman" w:hAnsi="Times New Roman" w:cs="Times New Roman"/>
          <w:lang w:eastAsia="ko-KR"/>
        </w:rPr>
      </w:pPr>
      <w:r w:rsidRPr="009B0448">
        <w:rPr>
          <w:rFonts w:ascii="Times New Roman" w:hAnsi="Times New Roman" w:cs="Times New Roman"/>
          <w:b/>
          <w:lang w:eastAsia="ko-KR"/>
        </w:rPr>
        <w:t>Africa has opportunities to fully realise the benefits of having such rich biodiversity and to explore ways of using it in a sustainable way to contribute to its economic and technological development</w:t>
      </w:r>
      <w:r w:rsidR="001D50F0" w:rsidRPr="009B0448">
        <w:rPr>
          <w:rFonts w:ascii="Times New Roman" w:hAnsi="Times New Roman" w:cs="Times New Roman"/>
          <w:b/>
          <w:lang w:eastAsia="ko-KR"/>
        </w:rPr>
        <w:t xml:space="preserve"> </w:t>
      </w:r>
      <w:r w:rsidR="001D50F0" w:rsidRPr="009B0448">
        <w:rPr>
          <w:rFonts w:ascii="Times New Roman" w:hAnsi="Times New Roman" w:cs="Times New Roman"/>
          <w:b/>
          <w:i/>
          <w:lang w:eastAsia="ko-KR"/>
        </w:rPr>
        <w:t>(established)</w:t>
      </w:r>
      <w:r w:rsidRPr="009B0448">
        <w:rPr>
          <w:rFonts w:ascii="Times New Roman" w:hAnsi="Times New Roman" w:cs="Times New Roman"/>
          <w:b/>
          <w:i/>
          <w:lang w:eastAsia="ko-KR"/>
        </w:rPr>
        <w:t>.</w:t>
      </w:r>
      <w:r w:rsidRPr="009B0448">
        <w:rPr>
          <w:rFonts w:ascii="Times New Roman" w:hAnsi="Times New Roman" w:cs="Times New Roman"/>
          <w:b/>
          <w:lang w:eastAsia="ko-KR"/>
        </w:rPr>
        <w:t xml:space="preserve"> </w:t>
      </w:r>
      <w:r w:rsidRPr="009B0448">
        <w:rPr>
          <w:rFonts w:ascii="Times New Roman" w:hAnsi="Times New Roman" w:cs="Times New Roman"/>
          <w:lang w:eastAsia="ko-KR"/>
        </w:rPr>
        <w:t>Existing indigenous and local knowledge on management of biodiversity and nature’s contributions to people appears to be declining in parts of the continent. It is important that the people of Africa do not lose both the rich natural resources and the indigenous and local knowledge to manage these resources, especially at a time when knowledge is increasingly recognised as vital to the development of a low carbon, ecological, knowledge-based economy</w:t>
      </w:r>
      <w:r w:rsidR="00450FF7" w:rsidRPr="009B0448">
        <w:rPr>
          <w:rFonts w:ascii="Times New Roman" w:hAnsi="Times New Roman" w:cs="Times New Roman"/>
          <w:lang w:eastAsia="ko-KR"/>
        </w:rPr>
        <w:t xml:space="preserve"> {1.3.7, 1.3.9}</w:t>
      </w:r>
      <w:r w:rsidRPr="009B0448">
        <w:rPr>
          <w:rFonts w:ascii="Times New Roman" w:hAnsi="Times New Roman" w:cs="Times New Roman"/>
          <w:lang w:eastAsia="ko-KR"/>
        </w:rPr>
        <w:t xml:space="preserve">. </w:t>
      </w:r>
    </w:p>
    <w:p w14:paraId="1FEB9D44" w14:textId="77777777" w:rsidR="00624DCE" w:rsidRPr="009B0448" w:rsidRDefault="00624DCE" w:rsidP="00624DCE">
      <w:pPr>
        <w:spacing w:line="276" w:lineRule="auto"/>
        <w:jc w:val="both"/>
        <w:rPr>
          <w:rFonts w:ascii="Times New Roman" w:hAnsi="Times New Roman" w:cs="Times New Roman"/>
          <w:b/>
          <w:lang w:eastAsia="ko-KR"/>
        </w:rPr>
      </w:pPr>
    </w:p>
    <w:p w14:paraId="41CCFA79" w14:textId="5C632A8B" w:rsidR="0072755B" w:rsidRPr="009B0448" w:rsidRDefault="0072755B" w:rsidP="00624DCE">
      <w:pPr>
        <w:spacing w:line="276" w:lineRule="auto"/>
        <w:jc w:val="both"/>
        <w:rPr>
          <w:rFonts w:ascii="Times New Roman" w:hAnsi="Times New Roman" w:cs="Times New Roman"/>
        </w:rPr>
      </w:pPr>
      <w:r w:rsidRPr="009B0448">
        <w:rPr>
          <w:rFonts w:ascii="Times New Roman" w:hAnsi="Times New Roman" w:cs="Times New Roman"/>
          <w:b/>
        </w:rPr>
        <w:t>Certain ecosystems found in Africa are of great ecological, biological and cultural importance at regional and global levels</w:t>
      </w:r>
      <w:r w:rsidR="001D50F0" w:rsidRPr="009B0448">
        <w:rPr>
          <w:rFonts w:ascii="Times New Roman" w:hAnsi="Times New Roman" w:cs="Times New Roman"/>
          <w:b/>
        </w:rPr>
        <w:t xml:space="preserve"> </w:t>
      </w:r>
      <w:r w:rsidR="001D50F0" w:rsidRPr="009B0448">
        <w:rPr>
          <w:rFonts w:ascii="Times New Roman" w:hAnsi="Times New Roman" w:cs="Times New Roman"/>
          <w:b/>
          <w:i/>
        </w:rPr>
        <w:t>(established but incomplete)</w:t>
      </w:r>
      <w:r w:rsidRPr="009B0448">
        <w:rPr>
          <w:rFonts w:ascii="Times New Roman" w:hAnsi="Times New Roman" w:cs="Times New Roman"/>
          <w:b/>
        </w:rPr>
        <w:t xml:space="preserve">. </w:t>
      </w:r>
      <w:r w:rsidRPr="009B0448">
        <w:rPr>
          <w:rFonts w:ascii="Times New Roman" w:hAnsi="Times New Roman" w:cs="Times New Roman"/>
        </w:rPr>
        <w:t>As a strategic measure to protect them, as well as the species, knowledge and genetic resources they harbour, countries have declared 14% of the continent’s land and 2.5% of the seas as protected areas, while some sites have been designated as wetlands of international importance; Important Bird and Biodiversity Areas; Alliance for Zero Extinction sites, where endangered or critically endangered species occur; ecologically and biologically significant marine areas; community conserved areas; United Nations Educational, Scientific and Cultural Organization World Heritage Sites; and Biosphere reserves</w:t>
      </w:r>
      <w:r w:rsidR="00450FF7" w:rsidRPr="009B0448">
        <w:rPr>
          <w:rFonts w:ascii="Times New Roman" w:hAnsi="Times New Roman" w:cs="Times New Roman"/>
        </w:rPr>
        <w:t xml:space="preserve"> {1.1.3, 1.3.6}</w:t>
      </w:r>
      <w:r w:rsidRPr="009B0448">
        <w:rPr>
          <w:rFonts w:ascii="Times New Roman" w:hAnsi="Times New Roman" w:cs="Times New Roman"/>
        </w:rPr>
        <w:t>.</w:t>
      </w:r>
    </w:p>
    <w:p w14:paraId="7FF91706" w14:textId="77777777" w:rsidR="00624DCE" w:rsidRPr="009B0448" w:rsidRDefault="00624DCE" w:rsidP="00624DCE">
      <w:pPr>
        <w:spacing w:line="276" w:lineRule="auto"/>
        <w:jc w:val="both"/>
        <w:rPr>
          <w:rFonts w:ascii="Times New Roman" w:hAnsi="Times New Roman" w:cs="Times New Roman"/>
        </w:rPr>
      </w:pPr>
    </w:p>
    <w:p w14:paraId="724CF3DC" w14:textId="1394790E" w:rsidR="0072755B" w:rsidRPr="009B0448" w:rsidRDefault="0072755B" w:rsidP="00624DCE">
      <w:pPr>
        <w:spacing w:line="276" w:lineRule="auto"/>
        <w:jc w:val="both"/>
        <w:rPr>
          <w:rFonts w:ascii="Times New Roman" w:hAnsi="Times New Roman" w:cs="Times New Roman"/>
        </w:rPr>
      </w:pPr>
      <w:r w:rsidRPr="009B0448">
        <w:rPr>
          <w:rFonts w:ascii="Times New Roman" w:hAnsi="Times New Roman" w:cs="Times New Roman"/>
          <w:b/>
        </w:rPr>
        <w:t>Africa still does not know the full potential of biodiversity and of nature’s contributions to its economic and technological development, and it continues to lose a large part of these resources and knowledge</w:t>
      </w:r>
      <w:r w:rsidR="001D50F0" w:rsidRPr="009B0448">
        <w:rPr>
          <w:rFonts w:ascii="Times New Roman" w:hAnsi="Times New Roman" w:cs="Times New Roman"/>
          <w:b/>
        </w:rPr>
        <w:t xml:space="preserve"> </w:t>
      </w:r>
      <w:r w:rsidR="001D50F0" w:rsidRPr="009B0448">
        <w:rPr>
          <w:rFonts w:ascii="Times New Roman" w:hAnsi="Times New Roman" w:cs="Times New Roman"/>
          <w:b/>
          <w:i/>
        </w:rPr>
        <w:t>(well-established)</w:t>
      </w:r>
      <w:r w:rsidRPr="009B0448">
        <w:rPr>
          <w:rFonts w:ascii="Times New Roman" w:hAnsi="Times New Roman" w:cs="Times New Roman"/>
          <w:b/>
        </w:rPr>
        <w:t>.</w:t>
      </w:r>
      <w:r w:rsidRPr="009B0448">
        <w:rPr>
          <w:rFonts w:ascii="Times New Roman" w:hAnsi="Times New Roman" w:cs="Times New Roman"/>
        </w:rPr>
        <w:t xml:space="preserve"> Addressing these gaps and losses is critical at a time when the value of knowledge is </w:t>
      </w:r>
      <w:r w:rsidR="00264EBF" w:rsidRPr="009B0448">
        <w:rPr>
          <w:rFonts w:ascii="Times New Roman" w:hAnsi="Times New Roman" w:cs="Times New Roman"/>
        </w:rPr>
        <w:t>recognis</w:t>
      </w:r>
      <w:r w:rsidRPr="009B0448">
        <w:rPr>
          <w:rFonts w:ascii="Times New Roman" w:hAnsi="Times New Roman" w:cs="Times New Roman"/>
        </w:rPr>
        <w:t xml:space="preserve">ed as vital to the development of a low carbon, ecological, knowledge-based economy. Value of </w:t>
      </w:r>
      <w:r w:rsidR="00901B6E" w:rsidRPr="009B0448">
        <w:rPr>
          <w:rFonts w:ascii="Times New Roman" w:hAnsi="Times New Roman" w:cs="Times New Roman"/>
        </w:rPr>
        <w:t>biodiversity and ecosystem services</w:t>
      </w:r>
      <w:r w:rsidRPr="009B0448">
        <w:rPr>
          <w:rFonts w:ascii="Times New Roman" w:hAnsi="Times New Roman" w:cs="Times New Roman"/>
        </w:rPr>
        <w:t xml:space="preserve"> in itself, but also in its supporting function Africa’s wealth in natural resources is increasingly needed to be understood. Further, existing knowledge around </w:t>
      </w:r>
      <w:r w:rsidR="00901B6E" w:rsidRPr="009B0448">
        <w:rPr>
          <w:rFonts w:ascii="Times New Roman" w:hAnsi="Times New Roman" w:cs="Times New Roman"/>
        </w:rPr>
        <w:t>biodiversity and ecosystem services</w:t>
      </w:r>
      <w:r w:rsidRPr="009B0448">
        <w:rPr>
          <w:rFonts w:ascii="Times New Roman" w:hAnsi="Times New Roman" w:cs="Times New Roman"/>
        </w:rPr>
        <w:t xml:space="preserve"> and indigenous resources appears to be on the decline in parts of the continent</w:t>
      </w:r>
      <w:r w:rsidR="00450FF7" w:rsidRPr="009B0448">
        <w:rPr>
          <w:rFonts w:ascii="Times New Roman" w:hAnsi="Times New Roman" w:cs="Times New Roman"/>
        </w:rPr>
        <w:t xml:space="preserve"> {1.3.4, 1.3.7, 1.3.9}</w:t>
      </w:r>
      <w:r w:rsidRPr="009B0448">
        <w:rPr>
          <w:rFonts w:ascii="Times New Roman" w:hAnsi="Times New Roman" w:cs="Times New Roman"/>
        </w:rPr>
        <w:t>.</w:t>
      </w:r>
      <w:r w:rsidR="00ED1A0F" w:rsidRPr="009B0448">
        <w:rPr>
          <w:rFonts w:ascii="Times New Roman" w:hAnsi="Times New Roman" w:cs="Times New Roman"/>
        </w:rPr>
        <w:t xml:space="preserve"> </w:t>
      </w:r>
    </w:p>
    <w:p w14:paraId="6EEDDE0D" w14:textId="77777777" w:rsidR="0072755B" w:rsidRPr="009B0448" w:rsidRDefault="0072755B">
      <w:pPr>
        <w:rPr>
          <w:rFonts w:ascii="Times New Roman" w:hAnsi="Times New Roman" w:cs="Times New Roman"/>
        </w:rPr>
      </w:pPr>
      <w:r w:rsidRPr="009B0448">
        <w:rPr>
          <w:rFonts w:ascii="Times New Roman" w:hAnsi="Times New Roman" w:cs="Times New Roman"/>
        </w:rPr>
        <w:br w:type="page"/>
      </w:r>
    </w:p>
    <w:p w14:paraId="1CDAC893" w14:textId="3AC31E68" w:rsidR="006B7655" w:rsidRPr="009B0448" w:rsidRDefault="00A8466E" w:rsidP="00FA7185">
      <w:pPr>
        <w:pStyle w:val="Heading3"/>
        <w:widowControl w:val="0"/>
        <w:numPr>
          <w:ilvl w:val="1"/>
          <w:numId w:val="10"/>
        </w:numPr>
        <w:spacing w:before="240" w:after="240"/>
        <w:ind w:left="709"/>
        <w:rPr>
          <w:rFonts w:eastAsia="Calibri" w:cs="Times New Roman"/>
          <w:szCs w:val="24"/>
        </w:rPr>
      </w:pPr>
      <w:bookmarkStart w:id="4" w:name="_Toc519499757"/>
      <w:r w:rsidRPr="009B0448">
        <w:rPr>
          <w:rFonts w:eastAsia="Calibri" w:cs="Times New Roman"/>
          <w:szCs w:val="24"/>
        </w:rPr>
        <w:lastRenderedPageBreak/>
        <w:t>Introduction</w:t>
      </w:r>
      <w:bookmarkEnd w:id="4"/>
    </w:p>
    <w:p w14:paraId="032AAB2C" w14:textId="0233D031" w:rsidR="006B7655" w:rsidRPr="009B0448" w:rsidRDefault="00A8466E" w:rsidP="00624DC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importance of interconnections between nature and people for human livelihoods, food security, and a good quality of life cannot be overstated. Yet, all too frequently, concerns around biodiversity and ecosystem services take a secondary role to other political, economic and social considerations. This state of affairs is unsustainable. It leads to the erosion of resources</w:t>
      </w:r>
      <w:r w:rsidR="00ED1A0F" w:rsidRPr="009B0448">
        <w:rPr>
          <w:rFonts w:ascii="Times New Roman" w:eastAsia="Times New Roman" w:hAnsi="Times New Roman" w:cs="Times New Roman"/>
        </w:rPr>
        <w:t xml:space="preserve"> and critical knowledge </w:t>
      </w:r>
      <w:r w:rsidRPr="009B0448">
        <w:rPr>
          <w:rFonts w:ascii="Times New Roman" w:eastAsia="Times New Roman" w:hAnsi="Times New Roman" w:cs="Times New Roman"/>
        </w:rPr>
        <w:t xml:space="preserve">that are the foundation for a good quality of life, both now and into the future. The Intergovernmental Platform on Biodiversity and Ecosystem Services (IPBES) was established in 2012 as a global response to the problem of declining biodiversity and ecosystem services, and the need for a credible evidence base to support </w:t>
      </w:r>
      <w:r w:rsidR="00917FB2">
        <w:rPr>
          <w:rFonts w:ascii="Times New Roman" w:eastAsia="Times New Roman" w:hAnsi="Times New Roman" w:cs="Times New Roman"/>
        </w:rPr>
        <w:t>policy making</w:t>
      </w:r>
      <w:r w:rsidRPr="009B0448">
        <w:rPr>
          <w:rFonts w:ascii="Times New Roman" w:eastAsia="Times New Roman" w:hAnsi="Times New Roman" w:cs="Times New Roman"/>
        </w:rPr>
        <w:t>. Building on the previous work of the M</w:t>
      </w:r>
      <w:r w:rsidR="003536F0" w:rsidRPr="009B0448">
        <w:rPr>
          <w:rFonts w:ascii="Times New Roman" w:eastAsia="Times New Roman" w:hAnsi="Times New Roman" w:cs="Times New Roman"/>
        </w:rPr>
        <w:t>illennium Ecosystem Assessment</w:t>
      </w:r>
      <w:r w:rsidRPr="009B0448">
        <w:rPr>
          <w:rFonts w:ascii="Times New Roman" w:eastAsia="Times New Roman" w:hAnsi="Times New Roman" w:cs="Times New Roman"/>
        </w:rPr>
        <w:t xml:space="preserve"> and the Intergovern</w:t>
      </w:r>
      <w:r w:rsidR="003536F0" w:rsidRPr="009B0448">
        <w:rPr>
          <w:rFonts w:ascii="Times New Roman" w:eastAsia="Times New Roman" w:hAnsi="Times New Roman" w:cs="Times New Roman"/>
        </w:rPr>
        <w:t>mental Panel on Climate Change</w:t>
      </w:r>
      <w:r w:rsidRPr="009B0448">
        <w:rPr>
          <w:rFonts w:ascii="Times New Roman" w:eastAsia="Times New Roman" w:hAnsi="Times New Roman" w:cs="Times New Roman"/>
        </w:rPr>
        <w:t>, IPBES specifically aims to strengthen knowledge foundations for better policy through science, for the conservation and sustainable use of biodiversity, long-term human well-being and sustainable development. One component of the IPBES work programme is the development of four policy-focussed regional assessments, including this one for Africa (Decision IPBES-3/1).</w:t>
      </w:r>
    </w:p>
    <w:p w14:paraId="54DEA745" w14:textId="77777777" w:rsidR="00624DCE" w:rsidRPr="009B0448" w:rsidRDefault="00624DCE" w:rsidP="00624DCE">
      <w:pPr>
        <w:spacing w:line="276" w:lineRule="auto"/>
        <w:jc w:val="both"/>
        <w:rPr>
          <w:rFonts w:ascii="Times New Roman" w:eastAsia="Times New Roman" w:hAnsi="Times New Roman" w:cs="Times New Roman"/>
        </w:rPr>
      </w:pPr>
    </w:p>
    <w:p w14:paraId="628025D4" w14:textId="0386FA24" w:rsidR="006B7655" w:rsidRPr="009B0448" w:rsidRDefault="00AB7E46" w:rsidP="00624DCE">
      <w:pPr>
        <w:spacing w:line="276" w:lineRule="auto"/>
        <w:jc w:val="both"/>
        <w:rPr>
          <w:rFonts w:ascii="Times New Roman" w:eastAsia="Times New Roman" w:hAnsi="Times New Roman" w:cs="Times New Roman"/>
        </w:rPr>
      </w:pPr>
      <w:r>
        <w:rPr>
          <w:rFonts w:ascii="Times New Roman" w:eastAsia="Times New Roman" w:hAnsi="Times New Roman" w:cs="Times New Roman"/>
        </w:rPr>
        <w:t>The Africa A</w:t>
      </w:r>
      <w:r w:rsidR="00A8466E" w:rsidRPr="009B0448">
        <w:rPr>
          <w:rFonts w:ascii="Times New Roman" w:eastAsia="Times New Roman" w:hAnsi="Times New Roman" w:cs="Times New Roman"/>
        </w:rPr>
        <w:t xml:space="preserve">ssessment </w:t>
      </w:r>
      <w:r>
        <w:rPr>
          <w:rFonts w:ascii="Times New Roman" w:eastAsia="Times New Roman" w:hAnsi="Times New Roman" w:cs="Times New Roman"/>
        </w:rPr>
        <w:t xml:space="preserve">Report </w:t>
      </w:r>
      <w:r w:rsidR="00A8466E" w:rsidRPr="009B0448">
        <w:rPr>
          <w:rFonts w:ascii="Times New Roman" w:eastAsia="Times New Roman" w:hAnsi="Times New Roman" w:cs="Times New Roman"/>
        </w:rPr>
        <w:t>recognises the continent’s global importance in terms of biodiversity and diversity in it</w:t>
      </w:r>
      <w:r w:rsidR="0072755B" w:rsidRPr="009B0448">
        <w:rPr>
          <w:rFonts w:ascii="Times New Roman" w:eastAsia="Times New Roman" w:hAnsi="Times New Roman" w:cs="Times New Roman"/>
        </w:rPr>
        <w:t>s peoples. As the cradle of humankind,</w:t>
      </w:r>
      <w:r w:rsidR="00A8466E" w:rsidRPr="009B0448">
        <w:rPr>
          <w:rFonts w:ascii="Times New Roman" w:eastAsia="Times New Roman" w:hAnsi="Times New Roman" w:cs="Times New Roman"/>
        </w:rPr>
        <w:t xml:space="preserve"> Africa is where human-environment interactions have the longest history (Diop, 1981; Cann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1987; Malaspinas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2016; Mallick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2016; Pagani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2016) and where</w:t>
      </w:r>
      <w:r w:rsidR="00ED1A0F" w:rsidRPr="009B0448">
        <w:rPr>
          <w:rFonts w:ascii="Times New Roman" w:eastAsia="Times New Roman" w:hAnsi="Times New Roman" w:cs="Times New Roman"/>
        </w:rPr>
        <w:t xml:space="preserve"> hundreds of millions of</w:t>
      </w:r>
      <w:r w:rsidR="00A8466E" w:rsidRPr="009B0448">
        <w:rPr>
          <w:rFonts w:ascii="Times New Roman" w:eastAsia="Times New Roman" w:hAnsi="Times New Roman" w:cs="Times New Roman"/>
        </w:rPr>
        <w:t xml:space="preserve"> </w:t>
      </w:r>
      <w:r w:rsidR="009B180B" w:rsidRPr="009B0448">
        <w:rPr>
          <w:rFonts w:ascii="Times New Roman" w:eastAsia="Times New Roman" w:hAnsi="Times New Roman" w:cs="Times New Roman"/>
        </w:rPr>
        <w:t>people</w:t>
      </w:r>
      <w:r w:rsidR="00A8466E" w:rsidRPr="009B0448">
        <w:rPr>
          <w:rFonts w:ascii="Times New Roman" w:eastAsia="Times New Roman" w:hAnsi="Times New Roman" w:cs="Times New Roman"/>
        </w:rPr>
        <w:t xml:space="preserve"> still have a strong connection to nature and its multiple influences. Environmental factors</w:t>
      </w:r>
      <w:r w:rsidR="004A5BB6" w:rsidRPr="009B0448">
        <w:rPr>
          <w:rFonts w:ascii="Times New Roman" w:eastAsia="Times New Roman" w:hAnsi="Times New Roman" w:cs="Times New Roman"/>
        </w:rPr>
        <w:t>—</w:t>
      </w:r>
      <w:r w:rsidR="00A8466E" w:rsidRPr="009B0448">
        <w:rPr>
          <w:rFonts w:ascii="Times New Roman" w:eastAsia="Times New Roman" w:hAnsi="Times New Roman" w:cs="Times New Roman"/>
        </w:rPr>
        <w:t>mainly those related to rainfall and net primary productivity</w:t>
      </w:r>
      <w:r w:rsidR="004A5BB6" w:rsidRPr="009B0448">
        <w:rPr>
          <w:rFonts w:ascii="Times New Roman" w:eastAsia="Times New Roman" w:hAnsi="Times New Roman" w:cs="Times New Roman"/>
        </w:rPr>
        <w:t>—</w:t>
      </w:r>
      <w:r w:rsidR="00A8466E" w:rsidRPr="009B0448">
        <w:rPr>
          <w:rFonts w:ascii="Times New Roman" w:eastAsia="Times New Roman" w:hAnsi="Times New Roman" w:cs="Times New Roman"/>
        </w:rPr>
        <w:t xml:space="preserve">have been quantitatively associated with species variation and language richness (Moore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2002). In turn, population density in </w:t>
      </w:r>
      <w:r w:rsidR="00605961" w:rsidRPr="009B0448">
        <w:rPr>
          <w:rFonts w:ascii="Times New Roman" w:eastAsia="Times New Roman" w:hAnsi="Times New Roman" w:cs="Times New Roman"/>
        </w:rPr>
        <w:t>s</w:t>
      </w:r>
      <w:r w:rsidR="00A8466E" w:rsidRPr="009B0448">
        <w:rPr>
          <w:rFonts w:ascii="Times New Roman" w:eastAsia="Times New Roman" w:hAnsi="Times New Roman" w:cs="Times New Roman"/>
        </w:rPr>
        <w:t xml:space="preserve">ub-Saharan Africa correlates with species richness for some taxa (Balmford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2001). This assessment illustrates, through a range of examples, the mutually beneficial interactions between nature and people, often supported by indigenous knowledge developed through generations (for example, Hammi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2010; Agidie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2014; Anderson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2014; Chibememe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2014; Blanco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2016). The value of interactions is already recognised through measures taken to respond to the well-established evidence of biodiversity loss and also to increase n</w:t>
      </w:r>
      <w:r w:rsidR="003536F0" w:rsidRPr="009B0448">
        <w:rPr>
          <w:rFonts w:ascii="Times New Roman" w:eastAsia="Times New Roman" w:hAnsi="Times New Roman" w:cs="Times New Roman"/>
        </w:rPr>
        <w:t>ature’s contribution to people</w:t>
      </w:r>
      <w:r w:rsidR="00A8466E" w:rsidRPr="009B0448">
        <w:rPr>
          <w:rFonts w:ascii="Times New Roman" w:eastAsia="Times New Roman" w:hAnsi="Times New Roman" w:cs="Times New Roman"/>
        </w:rPr>
        <w:t xml:space="preserve"> for a good quality of life for all. There are, nevertheless, also considerable threats and challenges from intricately woven and, often, mutually reinforcing drivers of land-use change, biodiversity loss and ecosystem degradation. The ultimate objective of the Africa regional assessment is to draw together what is currently known about the state and dynamics of African biodiversity and ecosystem services. This serves to help </w:t>
      </w:r>
      <w:r w:rsidR="00917FB2">
        <w:rPr>
          <w:rFonts w:ascii="Times New Roman" w:eastAsia="Times New Roman" w:hAnsi="Times New Roman" w:cs="Times New Roman"/>
        </w:rPr>
        <w:t>policymaker</w:t>
      </w:r>
      <w:r w:rsidR="00A8466E" w:rsidRPr="009B0448">
        <w:rPr>
          <w:rFonts w:ascii="Times New Roman" w:eastAsia="Times New Roman" w:hAnsi="Times New Roman" w:cs="Times New Roman"/>
        </w:rPr>
        <w:t>s and practitioners to better recognise, value, protect and enhance nature and its benefits to Africans as we endeavour to eliminate poverty and emerge as a new economic and social force. Achieving better responses will require new perspectives and collaborations. This assessment marks an important step in the process of achieving these goals.</w:t>
      </w:r>
    </w:p>
    <w:p w14:paraId="69382C40" w14:textId="764CD447" w:rsidR="006B7655" w:rsidRPr="009B0448" w:rsidRDefault="00A8466E" w:rsidP="00FA7185">
      <w:pPr>
        <w:pStyle w:val="111"/>
        <w:numPr>
          <w:ilvl w:val="2"/>
          <w:numId w:val="10"/>
        </w:numPr>
        <w:spacing w:before="240" w:after="240"/>
        <w:ind w:left="709"/>
        <w:rPr>
          <w:rFonts w:cs="Times New Roman"/>
          <w:i w:val="0"/>
          <w:sz w:val="22"/>
          <w:szCs w:val="22"/>
        </w:rPr>
      </w:pPr>
      <w:bookmarkStart w:id="5" w:name="_Toc519499758"/>
      <w:r w:rsidRPr="009B0448">
        <w:rPr>
          <w:rFonts w:cs="Times New Roman"/>
          <w:i w:val="0"/>
          <w:sz w:val="22"/>
          <w:szCs w:val="22"/>
        </w:rPr>
        <w:t>Purpose and scope of this assessment</w:t>
      </w:r>
      <w:bookmarkEnd w:id="5"/>
    </w:p>
    <w:p w14:paraId="2B068538" w14:textId="305E5CC9" w:rsidR="006B7655" w:rsidRPr="009B0448" w:rsidRDefault="00A8466E" w:rsidP="00624DCE">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The Africa regional assessment is one of the regional assessments being conducted under the umbrella of IPBES. The assessment is a critical evaluation of the state of knowledge of biodiversity and ecosystem services, as requested by governments and relevant stakeholders. Its purpose is to identify key priorities that will help </w:t>
      </w:r>
      <w:r w:rsidR="00917FB2">
        <w:rPr>
          <w:rFonts w:ascii="Times New Roman" w:eastAsia="Times New Roman" w:hAnsi="Times New Roman" w:cs="Times New Roman"/>
          <w:color w:val="auto"/>
        </w:rPr>
        <w:t>policymaker</w:t>
      </w:r>
      <w:r w:rsidRPr="009B0448">
        <w:rPr>
          <w:rFonts w:ascii="Times New Roman" w:eastAsia="Times New Roman" w:hAnsi="Times New Roman" w:cs="Times New Roman"/>
          <w:color w:val="auto"/>
        </w:rPr>
        <w:t xml:space="preserve">s develop policy solutions which meet the needs of the Africa region as a whole, as well as those of its five </w:t>
      </w:r>
      <w:r w:rsidR="00B22D81">
        <w:rPr>
          <w:rFonts w:ascii="Times New Roman" w:eastAsia="Times New Roman" w:hAnsi="Times New Roman" w:cs="Times New Roman"/>
          <w:color w:val="auto"/>
        </w:rPr>
        <w:t>subregion</w:t>
      </w:r>
      <w:r w:rsidRPr="009B0448">
        <w:rPr>
          <w:rFonts w:ascii="Times New Roman" w:eastAsia="Times New Roman" w:hAnsi="Times New Roman" w:cs="Times New Roman"/>
          <w:color w:val="auto"/>
        </w:rPr>
        <w:t xml:space="preserve">s and their national constituents. The assessment and the policy options that it outlines will help African Governments and institutions develop strategies to meet sustainability and conservation goals. Some of the most important of these are the Strategic Plan for Biodiversity 2011–2020 and its Aichi Biodiversity Targets, the national biodiversity strategies </w:t>
      </w:r>
      <w:r w:rsidRPr="009B0448">
        <w:rPr>
          <w:rFonts w:ascii="Times New Roman" w:eastAsia="Times New Roman" w:hAnsi="Times New Roman" w:cs="Times New Roman"/>
          <w:color w:val="auto"/>
        </w:rPr>
        <w:lastRenderedPageBreak/>
        <w:t>and action plans developed under the Convention on Biological Diversity</w:t>
      </w:r>
      <w:r w:rsidR="009957A0" w:rsidRPr="009B0448">
        <w:rPr>
          <w:rFonts w:ascii="Times New Roman" w:eastAsia="Times New Roman" w:hAnsi="Times New Roman" w:cs="Times New Roman"/>
          <w:color w:val="auto"/>
        </w:rPr>
        <w:t xml:space="preserve"> (CBD)</w:t>
      </w:r>
      <w:r w:rsidRPr="009B0448">
        <w:rPr>
          <w:rFonts w:ascii="Times New Roman" w:eastAsia="Times New Roman" w:hAnsi="Times New Roman" w:cs="Times New Roman"/>
          <w:color w:val="auto"/>
        </w:rPr>
        <w:t>, the African Aspirations for 2063, and the 2015</w:t>
      </w:r>
      <w:r w:rsidR="006756DF" w:rsidRPr="009B0448">
        <w:rPr>
          <w:rFonts w:ascii="Times New Roman" w:eastAsia="Times New Roman" w:hAnsi="Times New Roman" w:cs="Times New Roman"/>
          <w:color w:val="auto"/>
        </w:rPr>
        <w:t>–</w:t>
      </w:r>
      <w:r w:rsidR="009B180B" w:rsidRPr="009B0448">
        <w:rPr>
          <w:rFonts w:ascii="Times New Roman" w:eastAsia="Times New Roman" w:hAnsi="Times New Roman" w:cs="Times New Roman"/>
          <w:color w:val="auto"/>
        </w:rPr>
        <w:t>2030</w:t>
      </w:r>
      <w:r w:rsidRPr="009B0448">
        <w:rPr>
          <w:rFonts w:ascii="Times New Roman" w:eastAsia="Times New Roman" w:hAnsi="Times New Roman" w:cs="Times New Roman"/>
          <w:color w:val="auto"/>
        </w:rPr>
        <w:t xml:space="preserve"> Sustainable Development Goals</w:t>
      </w:r>
      <w:r w:rsidR="009957A0" w:rsidRPr="009B0448">
        <w:rPr>
          <w:rFonts w:ascii="Times New Roman" w:eastAsia="Times New Roman" w:hAnsi="Times New Roman" w:cs="Times New Roman"/>
          <w:color w:val="auto"/>
        </w:rPr>
        <w:t xml:space="preserve"> (SDGs)</w:t>
      </w:r>
      <w:r w:rsidRPr="009B0448">
        <w:rPr>
          <w:rFonts w:ascii="Times New Roman" w:eastAsia="Times New Roman" w:hAnsi="Times New Roman" w:cs="Times New Roman"/>
          <w:color w:val="auto"/>
        </w:rPr>
        <w:t>. The chapters in this assessment</w:t>
      </w:r>
      <w:r w:rsidR="008E27FF">
        <w:rPr>
          <w:rFonts w:ascii="Times New Roman" w:eastAsia="Times New Roman" w:hAnsi="Times New Roman" w:cs="Times New Roman"/>
          <w:color w:val="auto"/>
        </w:rPr>
        <w:t>,</w:t>
      </w:r>
      <w:r w:rsidRPr="009B0448">
        <w:rPr>
          <w:rFonts w:ascii="Times New Roman" w:eastAsia="Times New Roman" w:hAnsi="Times New Roman" w:cs="Times New Roman"/>
          <w:color w:val="auto"/>
        </w:rPr>
        <w:t xml:space="preserve"> therefore</w:t>
      </w:r>
      <w:r w:rsidR="008E27FF">
        <w:rPr>
          <w:rFonts w:ascii="Times New Roman" w:eastAsia="Times New Roman" w:hAnsi="Times New Roman" w:cs="Times New Roman"/>
          <w:color w:val="auto"/>
        </w:rPr>
        <w:t>,</w:t>
      </w:r>
      <w:r w:rsidRPr="009B0448">
        <w:rPr>
          <w:rFonts w:ascii="Times New Roman" w:eastAsia="Times New Roman" w:hAnsi="Times New Roman" w:cs="Times New Roman"/>
          <w:color w:val="auto"/>
        </w:rPr>
        <w:t xml:space="preserve"> make explicit reference to each of these strategies, targets and goals.</w:t>
      </w:r>
    </w:p>
    <w:p w14:paraId="3E72A7C3" w14:textId="77777777" w:rsidR="00624DCE" w:rsidRPr="009B0448" w:rsidRDefault="00624DCE" w:rsidP="00624DCE">
      <w:pPr>
        <w:spacing w:line="276" w:lineRule="auto"/>
        <w:jc w:val="both"/>
        <w:rPr>
          <w:rFonts w:ascii="Times New Roman" w:eastAsia="Times New Roman" w:hAnsi="Times New Roman" w:cs="Times New Roman"/>
          <w:color w:val="auto"/>
        </w:rPr>
      </w:pPr>
    </w:p>
    <w:p w14:paraId="3C34453A" w14:textId="1EB0EABB" w:rsidR="0072755B" w:rsidRPr="009B0448" w:rsidRDefault="00A8466E" w:rsidP="00624DCE">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The overall scope of the regional and </w:t>
      </w:r>
      <w:r w:rsidR="00B22D81">
        <w:rPr>
          <w:rFonts w:ascii="Times New Roman" w:eastAsia="Times New Roman" w:hAnsi="Times New Roman" w:cs="Times New Roman"/>
          <w:color w:val="auto"/>
        </w:rPr>
        <w:t>subregion</w:t>
      </w:r>
      <w:r w:rsidRPr="009B0448">
        <w:rPr>
          <w:rFonts w:ascii="Times New Roman" w:eastAsia="Times New Roman" w:hAnsi="Times New Roman" w:cs="Times New Roman"/>
          <w:color w:val="auto"/>
        </w:rPr>
        <w:t xml:space="preserve">al assessments is to assess the status and trends of terrestrial, freshwater, coastal and marine biodiversity, ecosystem functions and ecosystem services together with their inter-linkages. The assessment also considers the impact of biodiversity, ecosystem functions and ecosystem services on quality of life and the effectiveness of responses to date. To this end, </w:t>
      </w:r>
      <w:r w:rsidR="00AB7E46">
        <w:rPr>
          <w:rFonts w:ascii="Times New Roman" w:eastAsia="Times New Roman" w:hAnsi="Times New Roman" w:cs="Times New Roman"/>
          <w:color w:val="auto"/>
        </w:rPr>
        <w:t>the contributors to the Africa A</w:t>
      </w:r>
      <w:r w:rsidRPr="009B0448">
        <w:rPr>
          <w:rFonts w:ascii="Times New Roman" w:eastAsia="Times New Roman" w:hAnsi="Times New Roman" w:cs="Times New Roman"/>
          <w:color w:val="auto"/>
        </w:rPr>
        <w:t xml:space="preserve">ssessment </w:t>
      </w:r>
      <w:r w:rsidR="00AB7E46">
        <w:rPr>
          <w:rFonts w:ascii="Times New Roman" w:eastAsia="Times New Roman" w:hAnsi="Times New Roman" w:cs="Times New Roman"/>
          <w:color w:val="auto"/>
        </w:rPr>
        <w:t xml:space="preserve">Report </w:t>
      </w:r>
      <w:r w:rsidRPr="009B0448">
        <w:rPr>
          <w:rFonts w:ascii="Times New Roman" w:eastAsia="Times New Roman" w:hAnsi="Times New Roman" w:cs="Times New Roman"/>
          <w:color w:val="auto"/>
        </w:rPr>
        <w:t xml:space="preserve">have synthesized and critically judged existing knowledge. It is important to note that the Africa </w:t>
      </w:r>
      <w:r w:rsidR="00AB7E46">
        <w:rPr>
          <w:rFonts w:ascii="Times New Roman" w:eastAsia="Times New Roman" w:hAnsi="Times New Roman" w:cs="Times New Roman"/>
          <w:color w:val="auto"/>
        </w:rPr>
        <w:t>A</w:t>
      </w:r>
      <w:r w:rsidRPr="009B0448">
        <w:rPr>
          <w:rFonts w:ascii="Times New Roman" w:eastAsia="Times New Roman" w:hAnsi="Times New Roman" w:cs="Times New Roman"/>
          <w:color w:val="auto"/>
        </w:rPr>
        <w:t xml:space="preserve">ssessment did not undertake original research. In accordance with the function of an assessment, it uses reliable sources of knowledge and information drawn from peer-reviewed literature and important grey literature, as well as indigenous and local knowledge (ILK) sources. The process of evaluating the state of knowledge helps to further identify key knowledge gaps and uncertainties, the associated implications for effective </w:t>
      </w:r>
      <w:r w:rsidR="00917FB2">
        <w:rPr>
          <w:rFonts w:ascii="Times New Roman" w:eastAsia="Times New Roman" w:hAnsi="Times New Roman" w:cs="Times New Roman"/>
          <w:color w:val="auto"/>
        </w:rPr>
        <w:t>policy making</w:t>
      </w:r>
      <w:r w:rsidRPr="009B0448">
        <w:rPr>
          <w:rFonts w:ascii="Times New Roman" w:eastAsia="Times New Roman" w:hAnsi="Times New Roman" w:cs="Times New Roman"/>
          <w:color w:val="auto"/>
        </w:rPr>
        <w:t>, and the steps required to address them. The assessment consequently aims to achieve a broad readership and to provide the foundation for a meaningful dialogue across the full range of actors involved in African development.</w:t>
      </w:r>
    </w:p>
    <w:p w14:paraId="39838601" w14:textId="77777777" w:rsidR="00624DCE" w:rsidRPr="009B0448" w:rsidRDefault="00624DCE" w:rsidP="00624DCE">
      <w:pPr>
        <w:spacing w:line="276" w:lineRule="auto"/>
        <w:jc w:val="both"/>
        <w:rPr>
          <w:rFonts w:ascii="Times New Roman" w:eastAsia="Times New Roman" w:hAnsi="Times New Roman" w:cs="Times New Roman"/>
          <w:color w:val="auto"/>
        </w:rPr>
      </w:pPr>
    </w:p>
    <w:p w14:paraId="77ADFF2B" w14:textId="144E5E1E" w:rsidR="006B7655" w:rsidRPr="009B0448" w:rsidRDefault="00A8466E" w:rsidP="00624DCE">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color w:val="auto"/>
        </w:rPr>
        <w:t>Key policy-relevant que</w:t>
      </w:r>
      <w:r w:rsidR="00AB7E46">
        <w:rPr>
          <w:rFonts w:ascii="Times New Roman" w:eastAsia="Times New Roman" w:hAnsi="Times New Roman" w:cs="Times New Roman"/>
          <w:color w:val="auto"/>
        </w:rPr>
        <w:t>stions underpinning the Africa A</w:t>
      </w:r>
      <w:r w:rsidRPr="009B0448">
        <w:rPr>
          <w:rFonts w:ascii="Times New Roman" w:eastAsia="Times New Roman" w:hAnsi="Times New Roman" w:cs="Times New Roman"/>
          <w:color w:val="auto"/>
        </w:rPr>
        <w:t>ssessment are as follows:</w:t>
      </w:r>
    </w:p>
    <w:p w14:paraId="6923113A" w14:textId="01E43F01" w:rsidR="006B7655" w:rsidRPr="009B0448" w:rsidRDefault="00A8466E" w:rsidP="00624DCE">
      <w:pPr>
        <w:widowControl w:val="0"/>
        <w:numPr>
          <w:ilvl w:val="0"/>
          <w:numId w:val="2"/>
        </w:numPr>
        <w:spacing w:line="276" w:lineRule="auto"/>
        <w:contextualSpacing/>
        <w:jc w:val="both"/>
        <w:rPr>
          <w:rFonts w:ascii="Times New Roman" w:hAnsi="Times New Roman" w:cs="Times New Roman"/>
        </w:rPr>
      </w:pPr>
      <w:r w:rsidRPr="009B0448">
        <w:rPr>
          <w:rFonts w:ascii="Times New Roman" w:hAnsi="Times New Roman" w:cs="Times New Roman"/>
        </w:rPr>
        <w:t>How do biodiversity and ecosystem functions and services contribute to the economy, livelihoods, food security, and good quality of life in the region, and what are the</w:t>
      </w:r>
      <w:r w:rsidR="00D245B4" w:rsidRPr="009B0448">
        <w:rPr>
          <w:rFonts w:ascii="Times New Roman" w:hAnsi="Times New Roman" w:cs="Times New Roman"/>
        </w:rPr>
        <w:t xml:space="preserve"> interdependencies among them? </w:t>
      </w:r>
    </w:p>
    <w:p w14:paraId="0158D18A" w14:textId="23675D45" w:rsidR="006B7655" w:rsidRPr="009B0448" w:rsidRDefault="00A8466E" w:rsidP="00624DCE">
      <w:pPr>
        <w:widowControl w:val="0"/>
        <w:numPr>
          <w:ilvl w:val="0"/>
          <w:numId w:val="2"/>
        </w:numPr>
        <w:spacing w:line="276" w:lineRule="auto"/>
        <w:contextualSpacing/>
        <w:jc w:val="both"/>
        <w:rPr>
          <w:rFonts w:ascii="Times New Roman" w:hAnsi="Times New Roman" w:cs="Times New Roman"/>
        </w:rPr>
      </w:pPr>
      <w:r w:rsidRPr="009B0448">
        <w:rPr>
          <w:rFonts w:ascii="Times New Roman" w:hAnsi="Times New Roman" w:cs="Times New Roman"/>
        </w:rPr>
        <w:t>What are the status, trends and potential future dynamics of biodiversity components (i.e.</w:t>
      </w:r>
      <w:r w:rsidR="00E24BC5">
        <w:rPr>
          <w:rFonts w:ascii="Times New Roman" w:hAnsi="Times New Roman" w:cs="Times New Roman"/>
        </w:rPr>
        <w:t>,</w:t>
      </w:r>
      <w:r w:rsidRPr="009B0448">
        <w:rPr>
          <w:rFonts w:ascii="Times New Roman" w:hAnsi="Times New Roman" w:cs="Times New Roman"/>
        </w:rPr>
        <w:t xml:space="preserve"> plants, animals, microorganisms and ecosystems) that affect nature's contributions to people in the different regions of Africa, </w:t>
      </w:r>
      <w:r w:rsidR="00241E71" w:rsidRPr="009B0448">
        <w:rPr>
          <w:rFonts w:ascii="Times New Roman" w:hAnsi="Times New Roman" w:cs="Times New Roman"/>
        </w:rPr>
        <w:t xml:space="preserve">(such as </w:t>
      </w:r>
      <w:r w:rsidRPr="009B0448">
        <w:rPr>
          <w:rFonts w:ascii="Times New Roman" w:hAnsi="Times New Roman" w:cs="Times New Roman"/>
        </w:rPr>
        <w:t>ecosystem functions and services</w:t>
      </w:r>
      <w:r w:rsidR="00241E71" w:rsidRPr="009B0448">
        <w:rPr>
          <w:rFonts w:ascii="Times New Roman" w:hAnsi="Times New Roman" w:cs="Times New Roman"/>
        </w:rPr>
        <w:t>)</w:t>
      </w:r>
      <w:r w:rsidRPr="009B0448">
        <w:rPr>
          <w:rFonts w:ascii="Times New Roman" w:hAnsi="Times New Roman" w:cs="Times New Roman"/>
        </w:rPr>
        <w:t xml:space="preserve"> that affect their contribution to the economy, livelihoods and well-being in the region?</w:t>
      </w:r>
    </w:p>
    <w:p w14:paraId="476B4B16" w14:textId="76AED749" w:rsidR="006B7655" w:rsidRPr="009B0448" w:rsidRDefault="00A8466E" w:rsidP="00624DCE">
      <w:pPr>
        <w:widowControl w:val="0"/>
        <w:numPr>
          <w:ilvl w:val="0"/>
          <w:numId w:val="2"/>
        </w:numPr>
        <w:spacing w:line="276" w:lineRule="auto"/>
        <w:contextualSpacing/>
        <w:jc w:val="both"/>
        <w:rPr>
          <w:rFonts w:ascii="Times New Roman" w:hAnsi="Times New Roman" w:cs="Times New Roman"/>
        </w:rPr>
      </w:pPr>
      <w:r w:rsidRPr="009B0448">
        <w:rPr>
          <w:rFonts w:ascii="Times New Roman" w:hAnsi="Times New Roman" w:cs="Times New Roman"/>
        </w:rPr>
        <w:t>What are the pressures driving the change in the status and trends of biodiversity, ecosystem functions, ecosystem services and good quality of life in t</w:t>
      </w:r>
      <w:r w:rsidR="0058286A" w:rsidRPr="009B0448">
        <w:rPr>
          <w:rFonts w:ascii="Times New Roman" w:hAnsi="Times New Roman" w:cs="Times New Roman"/>
        </w:rPr>
        <w:t xml:space="preserve">he region? </w:t>
      </w:r>
    </w:p>
    <w:p w14:paraId="7A2C6E6C" w14:textId="77777777" w:rsidR="006B7655" w:rsidRPr="009B0448" w:rsidRDefault="00A8466E" w:rsidP="00624DCE">
      <w:pPr>
        <w:widowControl w:val="0"/>
        <w:numPr>
          <w:ilvl w:val="0"/>
          <w:numId w:val="2"/>
        </w:numPr>
        <w:spacing w:line="276" w:lineRule="auto"/>
        <w:contextualSpacing/>
        <w:jc w:val="both"/>
        <w:rPr>
          <w:rFonts w:ascii="Times New Roman" w:hAnsi="Times New Roman" w:cs="Times New Roman"/>
        </w:rPr>
      </w:pPr>
      <w:r w:rsidRPr="009B0448">
        <w:rPr>
          <w:rFonts w:ascii="Times New Roman" w:hAnsi="Times New Roman" w:cs="Times New Roman"/>
        </w:rPr>
        <w:t>What gaps in knowledge need to be addressed in order to better understand and assess drivers, impacts and responses of biodiversity, ecosystem functions and services at the regional level?</w:t>
      </w:r>
    </w:p>
    <w:p w14:paraId="15950BF7" w14:textId="52C7BD21" w:rsidR="006B7655" w:rsidRPr="009B0448" w:rsidRDefault="00A8466E" w:rsidP="00624DCE">
      <w:pPr>
        <w:widowControl w:val="0"/>
        <w:numPr>
          <w:ilvl w:val="0"/>
          <w:numId w:val="2"/>
        </w:numPr>
        <w:spacing w:line="276" w:lineRule="auto"/>
        <w:contextualSpacing/>
        <w:jc w:val="both"/>
        <w:rPr>
          <w:rFonts w:ascii="Times New Roman" w:hAnsi="Times New Roman" w:cs="Times New Roman"/>
        </w:rPr>
      </w:pPr>
      <w:r w:rsidRPr="009B0448">
        <w:rPr>
          <w:rFonts w:ascii="Times New Roman" w:hAnsi="Times New Roman" w:cs="Times New Roman"/>
        </w:rPr>
        <w:t xml:space="preserve">What are the </w:t>
      </w:r>
      <w:r w:rsidR="00025B45" w:rsidRPr="009B0448">
        <w:rPr>
          <w:rFonts w:ascii="Times New Roman" w:hAnsi="Times New Roman" w:cs="Times New Roman"/>
        </w:rPr>
        <w:t xml:space="preserve">scenarios and related </w:t>
      </w:r>
      <w:r w:rsidRPr="009B0448">
        <w:rPr>
          <w:rFonts w:ascii="Times New Roman" w:hAnsi="Times New Roman" w:cs="Times New Roman"/>
        </w:rPr>
        <w:t xml:space="preserve">policy ideas and options for decision-makers at the regional and </w:t>
      </w:r>
      <w:r w:rsidR="00B22D81">
        <w:rPr>
          <w:rFonts w:ascii="Times New Roman" w:hAnsi="Times New Roman" w:cs="Times New Roman"/>
        </w:rPr>
        <w:t>subregion</w:t>
      </w:r>
      <w:r w:rsidRPr="009B0448">
        <w:rPr>
          <w:rFonts w:ascii="Times New Roman" w:hAnsi="Times New Roman" w:cs="Times New Roman"/>
        </w:rPr>
        <w:t>al levels</w:t>
      </w:r>
      <w:r w:rsidR="00025B45" w:rsidRPr="009B0448">
        <w:rPr>
          <w:rFonts w:ascii="Times New Roman" w:hAnsi="Times New Roman" w:cs="Times New Roman"/>
        </w:rPr>
        <w:t>; how effective are they and what policy</w:t>
      </w:r>
      <w:r w:rsidRPr="009B0448">
        <w:rPr>
          <w:rFonts w:ascii="Times New Roman" w:hAnsi="Times New Roman" w:cs="Times New Roman"/>
        </w:rPr>
        <w:t xml:space="preserve"> environment </w:t>
      </w:r>
      <w:r w:rsidR="00025B45" w:rsidRPr="009B0448">
        <w:rPr>
          <w:rFonts w:ascii="Times New Roman" w:hAnsi="Times New Roman" w:cs="Times New Roman"/>
        </w:rPr>
        <w:t>would</w:t>
      </w:r>
      <w:r w:rsidRPr="009B0448">
        <w:rPr>
          <w:rFonts w:ascii="Times New Roman" w:hAnsi="Times New Roman" w:cs="Times New Roman"/>
        </w:rPr>
        <w:t xml:space="preserve"> </w:t>
      </w:r>
      <w:r w:rsidR="00025B45" w:rsidRPr="009B0448">
        <w:rPr>
          <w:rFonts w:ascii="Times New Roman" w:hAnsi="Times New Roman" w:cs="Times New Roman"/>
        </w:rPr>
        <w:t xml:space="preserve">best </w:t>
      </w:r>
      <w:r w:rsidRPr="009B0448">
        <w:rPr>
          <w:rFonts w:ascii="Times New Roman" w:hAnsi="Times New Roman" w:cs="Times New Roman"/>
        </w:rPr>
        <w:t>ensure success of these options?</w:t>
      </w:r>
    </w:p>
    <w:p w14:paraId="11F8B768" w14:textId="4D050323" w:rsidR="006B7655" w:rsidRPr="009B0448" w:rsidRDefault="00A8466E" w:rsidP="00624DCE">
      <w:pPr>
        <w:widowControl w:val="0"/>
        <w:numPr>
          <w:ilvl w:val="0"/>
          <w:numId w:val="2"/>
        </w:numPr>
        <w:spacing w:line="276" w:lineRule="auto"/>
        <w:contextualSpacing/>
        <w:jc w:val="both"/>
        <w:rPr>
          <w:rFonts w:ascii="Times New Roman" w:hAnsi="Times New Roman" w:cs="Times New Roman"/>
        </w:rPr>
      </w:pPr>
      <w:r w:rsidRPr="009B0448">
        <w:rPr>
          <w:rFonts w:ascii="Times New Roman" w:hAnsi="Times New Roman" w:cs="Times New Roman"/>
        </w:rPr>
        <w:t xml:space="preserve">What are the actual impacts of, and potential pathways for policies and interventions </w:t>
      </w:r>
      <w:r w:rsidR="00025B45" w:rsidRPr="009B0448">
        <w:rPr>
          <w:rFonts w:ascii="Times New Roman" w:hAnsi="Times New Roman" w:cs="Times New Roman"/>
        </w:rPr>
        <w:t xml:space="preserve">regarding </w:t>
      </w:r>
      <w:r w:rsidRPr="009B0448">
        <w:rPr>
          <w:rFonts w:ascii="Times New Roman" w:hAnsi="Times New Roman" w:cs="Times New Roman"/>
        </w:rPr>
        <w:t>the contribution of biodiversity</w:t>
      </w:r>
      <w:r w:rsidR="00025B45" w:rsidRPr="009B0448">
        <w:rPr>
          <w:rFonts w:ascii="Times New Roman" w:hAnsi="Times New Roman" w:cs="Times New Roman"/>
        </w:rPr>
        <w:t xml:space="preserve"> and</w:t>
      </w:r>
      <w:r w:rsidRPr="009B0448">
        <w:rPr>
          <w:rFonts w:ascii="Times New Roman" w:hAnsi="Times New Roman" w:cs="Times New Roman"/>
        </w:rPr>
        <w:t xml:space="preserve"> ecosystem services to the sustainability of the economy, livelihoods, food security and good quality of life in the region?</w:t>
      </w:r>
    </w:p>
    <w:p w14:paraId="6F925BBC" w14:textId="361C790F" w:rsidR="006B7655" w:rsidRPr="009B0448" w:rsidRDefault="00A8466E" w:rsidP="00624DCE">
      <w:pPr>
        <w:widowControl w:val="0"/>
        <w:numPr>
          <w:ilvl w:val="0"/>
          <w:numId w:val="2"/>
        </w:numPr>
        <w:spacing w:line="276" w:lineRule="auto"/>
        <w:jc w:val="both"/>
        <w:rPr>
          <w:rFonts w:ascii="Times New Roman" w:hAnsi="Times New Roman" w:cs="Times New Roman"/>
        </w:rPr>
      </w:pPr>
      <w:r w:rsidRPr="009B0448">
        <w:rPr>
          <w:rFonts w:ascii="Times New Roman" w:hAnsi="Times New Roman" w:cs="Times New Roman"/>
        </w:rPr>
        <w:t>What role do government, bureaucratic and political institutions play in advancing public policies to improve the quantity and quality of biological resources alongside other national priorities through mainstreaming biodiversity and ecosystem services?</w:t>
      </w:r>
    </w:p>
    <w:p w14:paraId="6147EC84" w14:textId="77777777" w:rsidR="00624DCE" w:rsidRPr="009B0448" w:rsidRDefault="00624DCE" w:rsidP="00624DCE">
      <w:pPr>
        <w:spacing w:line="276" w:lineRule="auto"/>
        <w:jc w:val="both"/>
        <w:rPr>
          <w:rFonts w:ascii="Times New Roman" w:eastAsia="Times New Roman" w:hAnsi="Times New Roman" w:cs="Times New Roman"/>
          <w:color w:val="auto"/>
        </w:rPr>
      </w:pPr>
    </w:p>
    <w:p w14:paraId="5CD635E1" w14:textId="6DFBDDCD" w:rsidR="006B7655" w:rsidRPr="009B0448" w:rsidRDefault="00A8466E" w:rsidP="00624DCE">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color w:val="auto"/>
        </w:rPr>
        <w:t>In addition to these questions, the Africa Assessment considers a number of key thematic challenges including (but not limited to) the food-energy-water-livelihood nexus; health; climate change; land degradation; sustainable use and conservation; and invasive species. The assessment pays particular attention to questions of equity, rights, social relationships, spirituality and cultural identity/diversity in its investigation of biodiversity, ecosystem functions and nature’s contributions to people. Given the critical backdrop of e</w:t>
      </w:r>
      <w:r w:rsidR="00AB7E46">
        <w:rPr>
          <w:rFonts w:ascii="Times New Roman" w:eastAsia="Times New Roman" w:hAnsi="Times New Roman" w:cs="Times New Roman"/>
          <w:color w:val="auto"/>
        </w:rPr>
        <w:t>conomic transition, the Africa A</w:t>
      </w:r>
      <w:r w:rsidRPr="009B0448">
        <w:rPr>
          <w:rFonts w:ascii="Times New Roman" w:eastAsia="Times New Roman" w:hAnsi="Times New Roman" w:cs="Times New Roman"/>
          <w:color w:val="auto"/>
        </w:rPr>
        <w:t xml:space="preserve">ssessment further considers the impacts of trade and investment, as well as carbon smart prospects for green-blue transformations in the economy. By green-blue transformations, we refer to productivity gains and industrial innovations using renewable </w:t>
      </w:r>
      <w:r w:rsidRPr="009B0448">
        <w:rPr>
          <w:rFonts w:ascii="Times New Roman" w:eastAsia="Times New Roman" w:hAnsi="Times New Roman" w:cs="Times New Roman"/>
          <w:color w:val="auto"/>
        </w:rPr>
        <w:lastRenderedPageBreak/>
        <w:t>resources and energies, as well as l</w:t>
      </w:r>
      <w:r w:rsidR="00D245B4" w:rsidRPr="009B0448">
        <w:rPr>
          <w:rFonts w:ascii="Times New Roman" w:eastAsia="Times New Roman" w:hAnsi="Times New Roman" w:cs="Times New Roman"/>
          <w:color w:val="auto"/>
        </w:rPr>
        <w:t>ocal competencies and solutions—</w:t>
      </w:r>
      <w:r w:rsidR="00591F7A" w:rsidRPr="009B0448">
        <w:rPr>
          <w:rFonts w:ascii="Times New Roman" w:eastAsia="Times New Roman" w:hAnsi="Times New Roman" w:cs="Times New Roman"/>
          <w:color w:val="auto"/>
        </w:rPr>
        <w:t>particularly</w:t>
      </w:r>
      <w:r w:rsidRPr="009B0448">
        <w:rPr>
          <w:rFonts w:ascii="Times New Roman" w:eastAsia="Times New Roman" w:hAnsi="Times New Roman" w:cs="Times New Roman"/>
          <w:color w:val="auto"/>
        </w:rPr>
        <w:t xml:space="preserve"> those based on the untapped wealth of terrestrial and marine ecosystems. For green-blue transformations to succeed, they must protect the rights and livelihoods of those living in and dependant on terrestrial and marine ecosystems in Africa. Equally, a future vision for Africa cannot omit consideration of human and environmental health. Careful consideration is thus given to the connection between human health and nature, as determined through biodiversity and critical ecosystem functions. Finally, this assessment acknowledges that baseline evidence and knowledge of what needs to happen is seldom enough to affect real change. Therefore, we also assess institutional capacity to lead and bring about desired conservation outcomes. As part of this, we seek to understand the degree of independence that decision-makers have over internal impacts on biodiversity and ecosystem services within the region as one of the key factors that determines capacities to develop effective responses.</w:t>
      </w:r>
    </w:p>
    <w:p w14:paraId="11A9396F" w14:textId="77777777" w:rsidR="00624DCE" w:rsidRPr="009B0448" w:rsidRDefault="00624DCE" w:rsidP="00624DCE">
      <w:pPr>
        <w:spacing w:line="276" w:lineRule="auto"/>
        <w:jc w:val="both"/>
        <w:rPr>
          <w:rFonts w:ascii="Times New Roman" w:eastAsia="Times New Roman" w:hAnsi="Times New Roman" w:cs="Times New Roman"/>
          <w:color w:val="auto"/>
        </w:rPr>
      </w:pPr>
    </w:p>
    <w:p w14:paraId="79D5BE92" w14:textId="7FA43D09" w:rsidR="006B7655" w:rsidRPr="009B0448" w:rsidRDefault="00A8466E" w:rsidP="00624DCE">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color w:val="auto"/>
        </w:rPr>
        <w:t>Due to IPBES being an interdisciplinary collaboration, it has been necessary to develop a standardised framework (Figure 1.1) to guide and structure its assessments. The framework identifies and links the people and nature components of the system being assessed. It also provides common terminology for use across IPBES assessments and proposes assumptions about key relationships in the system. Figure 1.1 is a simplified version of the figure adopted by the second session of the Plenary of IPBES (UNEP, 2014), and modified by the fifth session of the Plenary (UNEP, 2017). A more complete description of all elements and linkages, together with examples, is presented in D</w:t>
      </w:r>
      <w:r w:rsidR="00ED50B2" w:rsidRPr="009B0448">
        <w:rPr>
          <w:rFonts w:ascii="Times New Roman" w:eastAsia="Times New Roman" w:hAnsi="Times New Roman" w:cs="Times New Roman"/>
        </w:rPr>
        <w:t>í</w:t>
      </w:r>
      <w:r w:rsidRPr="009B0448">
        <w:rPr>
          <w:rFonts w:ascii="Times New Roman" w:eastAsia="Times New Roman" w:hAnsi="Times New Roman" w:cs="Times New Roman"/>
          <w:color w:val="auto"/>
        </w:rPr>
        <w:t xml:space="preserve">az </w:t>
      </w:r>
      <w:r w:rsidR="000429F8"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(2015).</w:t>
      </w:r>
    </w:p>
    <w:p w14:paraId="15C8F60E" w14:textId="0D192BF0" w:rsidR="006B7655" w:rsidRPr="009B0448" w:rsidRDefault="00A8466E" w:rsidP="00FA7185">
      <w:pPr>
        <w:pStyle w:val="111"/>
        <w:numPr>
          <w:ilvl w:val="2"/>
          <w:numId w:val="10"/>
        </w:numPr>
        <w:spacing w:before="240" w:after="240"/>
        <w:ind w:left="709"/>
        <w:rPr>
          <w:rFonts w:cs="Times New Roman"/>
          <w:i w:val="0"/>
          <w:sz w:val="22"/>
          <w:szCs w:val="22"/>
        </w:rPr>
      </w:pPr>
      <w:bookmarkStart w:id="6" w:name="_Toc519499759"/>
      <w:r w:rsidRPr="009B0448">
        <w:rPr>
          <w:rFonts w:cs="Times New Roman"/>
          <w:i w:val="0"/>
          <w:sz w:val="22"/>
          <w:szCs w:val="22"/>
        </w:rPr>
        <w:t>Background on Biod</w:t>
      </w:r>
      <w:r w:rsidR="00DD419E" w:rsidRPr="009B0448">
        <w:rPr>
          <w:rFonts w:cs="Times New Roman"/>
          <w:i w:val="0"/>
          <w:sz w:val="22"/>
          <w:szCs w:val="22"/>
        </w:rPr>
        <w:t>iversity and Ecosystem Services</w:t>
      </w:r>
      <w:bookmarkEnd w:id="6"/>
    </w:p>
    <w:p w14:paraId="25E3B475" w14:textId="735D7317" w:rsidR="006B7655" w:rsidRPr="009B0448" w:rsidRDefault="00A8466E" w:rsidP="00624DC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authors in the assessment use the </w:t>
      </w:r>
      <w:r w:rsidR="00DD419E" w:rsidRPr="009B0448">
        <w:rPr>
          <w:rFonts w:ascii="Times New Roman" w:eastAsia="Times New Roman" w:hAnsi="Times New Roman" w:cs="Times New Roman"/>
        </w:rPr>
        <w:t>term</w:t>
      </w:r>
      <w:r w:rsidR="00D01115" w:rsidRPr="009B0448">
        <w:rPr>
          <w:rFonts w:ascii="Times New Roman" w:eastAsia="Times New Roman" w:hAnsi="Times New Roman" w:cs="Times New Roman"/>
        </w:rPr>
        <w:t>s</w:t>
      </w:r>
      <w:r w:rsidR="00DD419E" w:rsidRPr="009B0448">
        <w:rPr>
          <w:rFonts w:ascii="Times New Roman" w:eastAsia="Times New Roman" w:hAnsi="Times New Roman" w:cs="Times New Roman"/>
        </w:rPr>
        <w:t xml:space="preserve"> </w:t>
      </w:r>
      <w:r w:rsidR="009B180B" w:rsidRPr="009B0448">
        <w:rPr>
          <w:rFonts w:ascii="Times New Roman" w:eastAsia="Times New Roman" w:hAnsi="Times New Roman" w:cs="Times New Roman"/>
        </w:rPr>
        <w:t>“</w:t>
      </w:r>
      <w:r w:rsidR="00C21383" w:rsidRPr="009B0448">
        <w:rPr>
          <w:rFonts w:ascii="Times New Roman" w:eastAsia="Times New Roman" w:hAnsi="Times New Roman" w:cs="Times New Roman"/>
        </w:rPr>
        <w:t xml:space="preserve">Nature’s Contributions to People” (NCP) (Pascual </w:t>
      </w:r>
      <w:r w:rsidR="000429F8" w:rsidRPr="009B0448">
        <w:rPr>
          <w:rFonts w:ascii="Times New Roman" w:eastAsia="Times New Roman" w:hAnsi="Times New Roman" w:cs="Times New Roman"/>
          <w:i/>
        </w:rPr>
        <w:t>et al.</w:t>
      </w:r>
      <w:r w:rsidR="00C21383" w:rsidRPr="009B0448">
        <w:rPr>
          <w:rFonts w:ascii="Times New Roman" w:eastAsia="Times New Roman" w:hAnsi="Times New Roman" w:cs="Times New Roman"/>
        </w:rPr>
        <w:t>, 2017) and “</w:t>
      </w:r>
      <w:r w:rsidR="009B180B" w:rsidRPr="009B0448">
        <w:rPr>
          <w:rFonts w:ascii="Times New Roman" w:eastAsia="Times New Roman" w:hAnsi="Times New Roman" w:cs="Times New Roman"/>
        </w:rPr>
        <w:t>Biodiversity and Ecosystem Services”</w:t>
      </w:r>
      <w:r w:rsidR="00C21383" w:rsidRPr="009B0448">
        <w:rPr>
          <w:rFonts w:ascii="Times New Roman" w:eastAsia="Times New Roman" w:hAnsi="Times New Roman" w:cs="Times New Roman"/>
        </w:rPr>
        <w:t xml:space="preserve"> (Díaz </w:t>
      </w:r>
      <w:r w:rsidR="000429F8" w:rsidRPr="009B0448">
        <w:rPr>
          <w:rFonts w:ascii="Times New Roman" w:eastAsia="Times New Roman" w:hAnsi="Times New Roman" w:cs="Times New Roman"/>
          <w:i/>
        </w:rPr>
        <w:t>et al.</w:t>
      </w:r>
      <w:r w:rsidR="00C21383" w:rsidRPr="009B0448">
        <w:rPr>
          <w:rFonts w:ascii="Times New Roman" w:eastAsia="Times New Roman" w:hAnsi="Times New Roman" w:cs="Times New Roman"/>
        </w:rPr>
        <w:t>, 2015)</w:t>
      </w:r>
      <w:r w:rsidR="009B180B" w:rsidRPr="009B0448">
        <w:rPr>
          <w:rFonts w:ascii="Times New Roman" w:eastAsia="Times New Roman" w:hAnsi="Times New Roman" w:cs="Times New Roman"/>
        </w:rPr>
        <w:t xml:space="preserve"> </w:t>
      </w:r>
      <w:r w:rsidRPr="009B0448">
        <w:rPr>
          <w:rFonts w:ascii="Times New Roman" w:eastAsia="Times New Roman" w:hAnsi="Times New Roman" w:cs="Times New Roman"/>
        </w:rPr>
        <w:t xml:space="preserve">throughout the report. </w:t>
      </w:r>
      <w:r w:rsidR="00C21383" w:rsidRPr="009B0448">
        <w:rPr>
          <w:rFonts w:ascii="Times New Roman" w:eastAsia="Times New Roman" w:hAnsi="Times New Roman" w:cs="Times New Roman"/>
        </w:rPr>
        <w:t xml:space="preserve">The latter </w:t>
      </w:r>
      <w:r w:rsidR="00DD419E" w:rsidRPr="009B0448">
        <w:rPr>
          <w:rFonts w:ascii="Times New Roman" w:eastAsia="Times New Roman" w:hAnsi="Times New Roman" w:cs="Times New Roman"/>
        </w:rPr>
        <w:t>is</w:t>
      </w:r>
      <w:r w:rsidRPr="009B0448">
        <w:rPr>
          <w:rFonts w:ascii="Times New Roman" w:eastAsia="Times New Roman" w:hAnsi="Times New Roman" w:cs="Times New Roman"/>
        </w:rPr>
        <w:t xml:space="preserve"> defined </w:t>
      </w:r>
      <w:r w:rsidR="00C21383" w:rsidRPr="009B0448">
        <w:rPr>
          <w:rFonts w:ascii="Times New Roman" w:eastAsia="Times New Roman" w:hAnsi="Times New Roman" w:cs="Times New Roman"/>
        </w:rPr>
        <w:t xml:space="preserve">by Díaz </w:t>
      </w:r>
      <w:r w:rsidR="000429F8" w:rsidRPr="009B0448">
        <w:rPr>
          <w:rFonts w:ascii="Times New Roman" w:eastAsia="Times New Roman" w:hAnsi="Times New Roman" w:cs="Times New Roman"/>
          <w:i/>
        </w:rPr>
        <w:t>et al.</w:t>
      </w:r>
      <w:r w:rsidR="00C21383" w:rsidRPr="009B0448">
        <w:rPr>
          <w:rFonts w:ascii="Times New Roman" w:eastAsia="Times New Roman" w:hAnsi="Times New Roman" w:cs="Times New Roman"/>
        </w:rPr>
        <w:t xml:space="preserve"> (2015) </w:t>
      </w:r>
      <w:r w:rsidRPr="009B0448">
        <w:rPr>
          <w:rFonts w:ascii="Times New Roman" w:eastAsia="Times New Roman" w:hAnsi="Times New Roman" w:cs="Times New Roman"/>
        </w:rPr>
        <w:t>as follows (</w:t>
      </w:r>
      <w:r w:rsidR="00C21383" w:rsidRPr="009B0448">
        <w:rPr>
          <w:rFonts w:ascii="Times New Roman" w:eastAsia="Times New Roman" w:hAnsi="Times New Roman" w:cs="Times New Roman"/>
        </w:rPr>
        <w:t>more on NCP later in this section</w:t>
      </w:r>
      <w:r w:rsidRPr="009B0448">
        <w:rPr>
          <w:rFonts w:ascii="Times New Roman" w:eastAsia="Times New Roman" w:hAnsi="Times New Roman" w:cs="Times New Roman"/>
        </w:rPr>
        <w:t xml:space="preserve">): </w:t>
      </w:r>
    </w:p>
    <w:p w14:paraId="2B8EBD6E" w14:textId="261229E0" w:rsidR="006B7655" w:rsidRPr="009B0448" w:rsidRDefault="00A8466E" w:rsidP="00624DCE">
      <w:pPr>
        <w:numPr>
          <w:ilvl w:val="0"/>
          <w:numId w:val="1"/>
        </w:numPr>
        <w:spacing w:line="276" w:lineRule="auto"/>
        <w:ind w:hanging="360"/>
        <w:contextualSpacing/>
        <w:jc w:val="both"/>
        <w:rPr>
          <w:rFonts w:ascii="Times New Roman" w:hAnsi="Times New Roman" w:cs="Times New Roman"/>
        </w:rPr>
      </w:pPr>
      <w:r w:rsidRPr="009B0448">
        <w:rPr>
          <w:rFonts w:ascii="Times New Roman" w:eastAsia="Times New Roman" w:hAnsi="Times New Roman" w:cs="Times New Roman"/>
        </w:rPr>
        <w:t xml:space="preserve">Biodiversity is shorthand for biological diversity. The Convention on Biological Diversity defines biodiversity as: “The variability among living organisms from all sources including, </w:t>
      </w:r>
      <w:r w:rsidRPr="009B0448">
        <w:rPr>
          <w:rFonts w:ascii="Times New Roman" w:eastAsia="Times New Roman" w:hAnsi="Times New Roman" w:cs="Times New Roman"/>
          <w:i/>
        </w:rPr>
        <w:t>inter alia</w:t>
      </w:r>
      <w:r w:rsidRPr="009B0448">
        <w:rPr>
          <w:rFonts w:ascii="Times New Roman" w:eastAsia="Times New Roman" w:hAnsi="Times New Roman" w:cs="Times New Roman"/>
        </w:rPr>
        <w:t xml:space="preserve">, terrestrial, marine and other aquatic ecosystems and the ecological complexes of which they are part; this includes diversity within species (“genetic diversity”), between species and ecosystems.” </w:t>
      </w:r>
    </w:p>
    <w:p w14:paraId="1E05DF08" w14:textId="7A6C414D" w:rsidR="006B7655" w:rsidRPr="009B0448" w:rsidRDefault="00A8466E" w:rsidP="00624DCE">
      <w:pPr>
        <w:numPr>
          <w:ilvl w:val="0"/>
          <w:numId w:val="1"/>
        </w:numPr>
        <w:spacing w:line="276" w:lineRule="auto"/>
        <w:ind w:hanging="360"/>
        <w:contextualSpacing/>
        <w:jc w:val="both"/>
        <w:rPr>
          <w:rFonts w:ascii="Times New Roman" w:hAnsi="Times New Roman" w:cs="Times New Roman"/>
        </w:rPr>
      </w:pPr>
      <w:r w:rsidRPr="009B0448">
        <w:rPr>
          <w:rFonts w:ascii="Times New Roman" w:eastAsia="Times New Roman" w:hAnsi="Times New Roman" w:cs="Times New Roman"/>
        </w:rPr>
        <w:t xml:space="preserve">Biodiversity underpins the functioning of ecosystems. The </w:t>
      </w:r>
      <w:r w:rsidR="00DD419E" w:rsidRPr="009B0448">
        <w:rPr>
          <w:rFonts w:ascii="Times New Roman" w:eastAsia="Times New Roman" w:hAnsi="Times New Roman" w:cs="Times New Roman"/>
        </w:rPr>
        <w:t xml:space="preserve">Convention on Biological Diversity </w:t>
      </w:r>
      <w:r w:rsidRPr="009B0448">
        <w:rPr>
          <w:rFonts w:ascii="Times New Roman" w:eastAsia="Times New Roman" w:hAnsi="Times New Roman" w:cs="Times New Roman"/>
        </w:rPr>
        <w:t xml:space="preserve">in its article 2 identifies an ecosystem as “a dynamic complex of plant, animal and micro-organism communities and the non-living environment interacting as a functional unit”. </w:t>
      </w:r>
    </w:p>
    <w:p w14:paraId="624A06FA" w14:textId="56D0BA4F" w:rsidR="006B7655" w:rsidRPr="009B0448" w:rsidRDefault="00A8466E" w:rsidP="00624DCE">
      <w:pPr>
        <w:numPr>
          <w:ilvl w:val="0"/>
          <w:numId w:val="1"/>
        </w:numPr>
        <w:spacing w:line="276" w:lineRule="auto"/>
        <w:ind w:left="709" w:hanging="349"/>
        <w:contextualSpacing/>
        <w:jc w:val="both"/>
        <w:rPr>
          <w:rFonts w:ascii="Times New Roman" w:hAnsi="Times New Roman" w:cs="Times New Roman"/>
        </w:rPr>
      </w:pPr>
      <w:r w:rsidRPr="009B0448">
        <w:rPr>
          <w:rFonts w:ascii="Times New Roman" w:eastAsia="Times New Roman" w:hAnsi="Times New Roman" w:cs="Times New Roman"/>
        </w:rPr>
        <w:t>Ecosystem</w:t>
      </w:r>
      <w:r w:rsidR="004A5BB6" w:rsidRPr="009B0448">
        <w:rPr>
          <w:rFonts w:ascii="Times New Roman" w:eastAsia="Times New Roman" w:hAnsi="Times New Roman" w:cs="Times New Roman"/>
        </w:rPr>
        <w:t xml:space="preserve">s provide a range of services </w:t>
      </w:r>
      <w:r w:rsidRPr="009B0448">
        <w:rPr>
          <w:rFonts w:ascii="Times New Roman" w:eastAsia="Times New Roman" w:hAnsi="Times New Roman" w:cs="Times New Roman"/>
        </w:rPr>
        <w:t xml:space="preserve">as part of the wider contributions people receive from nature. The Millennium Ecosystem Assessment (MA, 2005) divided ecosystem services into four broad areas (see examples in Table 1.1): </w:t>
      </w:r>
    </w:p>
    <w:p w14:paraId="4CFA9330" w14:textId="1C50D8D8" w:rsidR="006B7655" w:rsidRPr="009B0448" w:rsidRDefault="00A8466E" w:rsidP="00624DCE">
      <w:pPr>
        <w:numPr>
          <w:ilvl w:val="1"/>
          <w:numId w:val="1"/>
        </w:numPr>
        <w:spacing w:line="276" w:lineRule="auto"/>
        <w:ind w:hanging="360"/>
        <w:contextualSpacing/>
        <w:jc w:val="both"/>
        <w:rPr>
          <w:rFonts w:ascii="Times New Roman" w:hAnsi="Times New Roman" w:cs="Times New Roman"/>
        </w:rPr>
      </w:pPr>
      <w:r w:rsidRPr="009B0448">
        <w:rPr>
          <w:rFonts w:ascii="Times New Roman" w:eastAsia="Times New Roman" w:hAnsi="Times New Roman" w:cs="Times New Roman"/>
        </w:rPr>
        <w:t>Provisioning services (e.g.</w:t>
      </w:r>
      <w:r w:rsidR="00E84BEA">
        <w:rPr>
          <w:rFonts w:ascii="Times New Roman" w:eastAsia="Times New Roman" w:hAnsi="Times New Roman" w:cs="Times New Roman"/>
        </w:rPr>
        <w:t>,</w:t>
      </w:r>
      <w:r w:rsidRPr="009B0448">
        <w:rPr>
          <w:rFonts w:ascii="Times New Roman" w:eastAsia="Times New Roman" w:hAnsi="Times New Roman" w:cs="Times New Roman"/>
        </w:rPr>
        <w:t xml:space="preserve"> food, freshwater, timber), </w:t>
      </w:r>
    </w:p>
    <w:p w14:paraId="43ED87A2" w14:textId="649B94E2" w:rsidR="006B7655" w:rsidRPr="009B0448" w:rsidRDefault="00A8466E" w:rsidP="00624DCE">
      <w:pPr>
        <w:numPr>
          <w:ilvl w:val="1"/>
          <w:numId w:val="1"/>
        </w:numPr>
        <w:spacing w:line="276" w:lineRule="auto"/>
        <w:ind w:hanging="360"/>
        <w:contextualSpacing/>
        <w:jc w:val="both"/>
        <w:rPr>
          <w:rFonts w:ascii="Times New Roman" w:hAnsi="Times New Roman" w:cs="Times New Roman"/>
        </w:rPr>
      </w:pPr>
      <w:r w:rsidRPr="009B0448">
        <w:rPr>
          <w:rFonts w:ascii="Times New Roman" w:eastAsia="Times New Roman" w:hAnsi="Times New Roman" w:cs="Times New Roman"/>
        </w:rPr>
        <w:t>Regulating services (e.g.</w:t>
      </w:r>
      <w:r w:rsidR="00E84BEA">
        <w:rPr>
          <w:rFonts w:ascii="Times New Roman" w:eastAsia="Times New Roman" w:hAnsi="Times New Roman" w:cs="Times New Roman"/>
        </w:rPr>
        <w:t>,</w:t>
      </w:r>
      <w:r w:rsidRPr="009B0448">
        <w:rPr>
          <w:rFonts w:ascii="Times New Roman" w:eastAsia="Times New Roman" w:hAnsi="Times New Roman" w:cs="Times New Roman"/>
        </w:rPr>
        <w:t xml:space="preserve"> climate regulation, pollination), </w:t>
      </w:r>
    </w:p>
    <w:p w14:paraId="0A791A9C" w14:textId="3FAB87B4" w:rsidR="006B7655" w:rsidRPr="009B0448" w:rsidRDefault="00A8466E" w:rsidP="00624DCE">
      <w:pPr>
        <w:numPr>
          <w:ilvl w:val="1"/>
          <w:numId w:val="1"/>
        </w:numPr>
        <w:spacing w:line="276" w:lineRule="auto"/>
        <w:ind w:hanging="360"/>
        <w:contextualSpacing/>
        <w:jc w:val="both"/>
        <w:rPr>
          <w:rFonts w:ascii="Times New Roman" w:hAnsi="Times New Roman" w:cs="Times New Roman"/>
        </w:rPr>
      </w:pPr>
      <w:r w:rsidRPr="009B0448">
        <w:rPr>
          <w:rFonts w:ascii="Times New Roman" w:eastAsia="Times New Roman" w:hAnsi="Times New Roman" w:cs="Times New Roman"/>
        </w:rPr>
        <w:t>Cultural services (e.g</w:t>
      </w:r>
      <w:r w:rsidR="00DD419E" w:rsidRPr="009B0448">
        <w:rPr>
          <w:rFonts w:ascii="Times New Roman" w:eastAsia="Times New Roman" w:hAnsi="Times New Roman" w:cs="Times New Roman"/>
        </w:rPr>
        <w:t>.</w:t>
      </w:r>
      <w:r w:rsidR="00E84BEA">
        <w:rPr>
          <w:rFonts w:ascii="Times New Roman" w:eastAsia="Times New Roman" w:hAnsi="Times New Roman" w:cs="Times New Roman"/>
        </w:rPr>
        <w:t>,</w:t>
      </w:r>
      <w:r w:rsidR="00DD419E" w:rsidRPr="009B0448">
        <w:rPr>
          <w:rFonts w:ascii="Times New Roman" w:eastAsia="Times New Roman" w:hAnsi="Times New Roman" w:cs="Times New Roman"/>
        </w:rPr>
        <w:t xml:space="preserve"> recreation, spiritual values), and</w:t>
      </w:r>
    </w:p>
    <w:p w14:paraId="62FE9475" w14:textId="77777777" w:rsidR="006B7655" w:rsidRPr="009B0448" w:rsidRDefault="00A8466E" w:rsidP="00624DCE">
      <w:pPr>
        <w:numPr>
          <w:ilvl w:val="1"/>
          <w:numId w:val="1"/>
        </w:numPr>
        <w:spacing w:line="276" w:lineRule="auto"/>
        <w:ind w:hanging="360"/>
        <w:contextualSpacing/>
        <w:jc w:val="both"/>
        <w:rPr>
          <w:rFonts w:ascii="Times New Roman" w:hAnsi="Times New Roman" w:cs="Times New Roman"/>
        </w:rPr>
      </w:pPr>
      <w:r w:rsidRPr="009B0448">
        <w:rPr>
          <w:rFonts w:ascii="Times New Roman" w:eastAsia="Times New Roman" w:hAnsi="Times New Roman" w:cs="Times New Roman"/>
        </w:rPr>
        <w:t>Supporting services that underpin these other three types.</w:t>
      </w:r>
    </w:p>
    <w:p w14:paraId="3CD8120E" w14:textId="77777777" w:rsidR="00CC0499" w:rsidRDefault="00CC0499" w:rsidP="00CC0499">
      <w:pPr>
        <w:spacing w:line="276" w:lineRule="auto"/>
        <w:jc w:val="both"/>
        <w:rPr>
          <w:rFonts w:ascii="Times New Roman" w:eastAsia="Times New Roman" w:hAnsi="Times New Roman" w:cs="Times New Roman"/>
        </w:rPr>
      </w:pPr>
    </w:p>
    <w:p w14:paraId="1398EFD4" w14:textId="48398A56" w:rsidR="006B7655" w:rsidRPr="009B0448" w:rsidRDefault="00CC0499" w:rsidP="00CC0499">
      <w:pPr>
        <w:spacing w:line="276" w:lineRule="auto"/>
        <w:jc w:val="both"/>
        <w:rPr>
          <w:rFonts w:ascii="Times New Roman" w:eastAsia="Times New Roman" w:hAnsi="Times New Roman" w:cs="Times New Roman"/>
          <w:sz w:val="20"/>
          <w:szCs w:val="20"/>
        </w:rPr>
      </w:pPr>
      <w:r w:rsidRPr="00CC0499">
        <w:rPr>
          <w:rFonts w:ascii="Times New Roman" w:eastAsia="Times New Roman" w:hAnsi="Times New Roman" w:cs="Times New Roman"/>
        </w:rPr>
        <w:t xml:space="preserve">Scientists have attempted to construct typologies of ecosystem services that assign different types of service to different categories. The Millennium Ecosystem Assessment (MA, 2005) recognised four categories of ecosystem services (Figure 1.2). With debates over the years, these categories have been reduced to three broad areas with various explanations. For instance, Haines-Young </w:t>
      </w:r>
      <w:r w:rsidRPr="00CC0499">
        <w:rPr>
          <w:rFonts w:ascii="Times New Roman" w:eastAsia="Times New Roman" w:hAnsi="Times New Roman" w:cs="Times New Roman"/>
          <w:i/>
        </w:rPr>
        <w:t>et al.</w:t>
      </w:r>
      <w:r w:rsidRPr="00CC0499">
        <w:rPr>
          <w:rFonts w:ascii="Times New Roman" w:eastAsia="Times New Roman" w:hAnsi="Times New Roman" w:cs="Times New Roman"/>
        </w:rPr>
        <w:t xml:space="preserve"> (2010) contend that ‘supporting services’ are “structures, processes and functions characterising ecosystems”, therefore should be excluded from the categories of ecosystem services. </w:t>
      </w:r>
    </w:p>
    <w:p w14:paraId="3AAA7B3D" w14:textId="3946AB94" w:rsidR="004C12DE" w:rsidRPr="009B0448" w:rsidRDefault="004C12DE" w:rsidP="00C9609C">
      <w:pPr>
        <w:rPr>
          <w:rFonts w:ascii="Times New Roman" w:eastAsia="Times New Roman" w:hAnsi="Times New Roman" w:cs="Times New Roman"/>
          <w:sz w:val="20"/>
          <w:szCs w:val="20"/>
        </w:rPr>
      </w:pPr>
      <w:r w:rsidRPr="009B0448">
        <w:rPr>
          <w:rFonts w:ascii="Times New Roman" w:eastAsia="Times New Roman" w:hAnsi="Times New Roman" w:cs="Times New Roman"/>
          <w:b/>
          <w:noProof/>
          <w:sz w:val="20"/>
          <w:szCs w:val="20"/>
          <w:lang w:eastAsia="en-GB"/>
        </w:rPr>
        <w:lastRenderedPageBreak/>
        <w:drawing>
          <wp:inline distT="0" distB="0" distL="0" distR="0" wp14:anchorId="67310D21" wp14:editId="7A663615">
            <wp:extent cx="5687111" cy="5659638"/>
            <wp:effectExtent l="0" t="0" r="889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Figure 1.1.png"/>
                    <pic:cNvPicPr/>
                  </pic:nvPicPr>
                  <pic:blipFill>
                    <a:blip r:embed="rId22">
                      <a:extLst>
                        <a:ext uri="{28A0092B-C50C-407E-A947-70E740481C1C}">
                          <a14:useLocalDpi xmlns:a14="http://schemas.microsoft.com/office/drawing/2010/main" val="0"/>
                        </a:ext>
                      </a:extLst>
                    </a:blip>
                    <a:stretch>
                      <a:fillRect/>
                    </a:stretch>
                  </pic:blipFill>
                  <pic:spPr>
                    <a:xfrm>
                      <a:off x="0" y="0"/>
                      <a:ext cx="5687111" cy="5659638"/>
                    </a:xfrm>
                    <a:prstGeom prst="rect">
                      <a:avLst/>
                    </a:prstGeom>
                  </pic:spPr>
                </pic:pic>
              </a:graphicData>
            </a:graphic>
          </wp:inline>
        </w:drawing>
      </w:r>
    </w:p>
    <w:p w14:paraId="054C88EB" w14:textId="5218D8CD" w:rsidR="004C12DE" w:rsidRPr="009B0448" w:rsidRDefault="004C12DE" w:rsidP="00624DC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1.1:</w:t>
      </w:r>
      <w:r w:rsidRPr="009B0448">
        <w:rPr>
          <w:rFonts w:ascii="Times New Roman" w:eastAsia="Times New Roman" w:hAnsi="Times New Roman" w:cs="Times New Roman"/>
        </w:rPr>
        <w:t xml:space="preserve"> The IPBES Conceptual Framework. </w:t>
      </w:r>
      <w:r w:rsidR="00900615" w:rsidRPr="009B0448">
        <w:rPr>
          <w:rFonts w:ascii="Times New Roman" w:eastAsia="Times New Roman" w:hAnsi="Times New Roman" w:cs="Times New Roman"/>
        </w:rPr>
        <w:t xml:space="preserve">The boxes and arrows denote the elements of nature and society. Headlines in black within each box are inclusive categories relevant to all IPBES stakeholders and embrace the categories of science (in green) and comparable or similar categories according to other knowledge systems (in purple). Solid arrows denote influence between elements included in IPBES (the dotted arrows denote links that are acknowledged as important, but are not the main focus of IPBES). Interactions between the elements change over time (horizontal broad orange arrow) and occur at various spatial scales (vertical broad orange arrow). Orange numbers refer to chapters where more information on the topic can be found. Source: Díaz </w:t>
      </w:r>
      <w:r w:rsidR="00900615" w:rsidRPr="009B0448">
        <w:rPr>
          <w:rFonts w:ascii="Times New Roman" w:eastAsia="Times New Roman" w:hAnsi="Times New Roman" w:cs="Times New Roman"/>
          <w:i/>
        </w:rPr>
        <w:t>et al.</w:t>
      </w:r>
      <w:r w:rsidR="00900615" w:rsidRPr="009B0448">
        <w:rPr>
          <w:rFonts w:ascii="Times New Roman" w:eastAsia="Times New Roman" w:hAnsi="Times New Roman" w:cs="Times New Roman"/>
        </w:rPr>
        <w:t xml:space="preserve"> (2015).</w:t>
      </w:r>
    </w:p>
    <w:p w14:paraId="2234F183" w14:textId="77777777" w:rsidR="00624DCE" w:rsidRPr="009B0448" w:rsidRDefault="00624DCE" w:rsidP="00624DCE">
      <w:pPr>
        <w:spacing w:line="276" w:lineRule="auto"/>
        <w:jc w:val="both"/>
        <w:rPr>
          <w:rFonts w:ascii="Times New Roman" w:eastAsia="Times New Roman" w:hAnsi="Times New Roman" w:cs="Times New Roman"/>
        </w:rPr>
      </w:pPr>
    </w:p>
    <w:p w14:paraId="59D7A92D" w14:textId="4219A90F" w:rsidR="00C9609C" w:rsidRPr="009B0448" w:rsidRDefault="00C9609C" w:rsidP="00624DC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IPBES </w:t>
      </w:r>
      <w:r w:rsidR="009B180B" w:rsidRPr="009B0448">
        <w:rPr>
          <w:rFonts w:ascii="Times New Roman" w:eastAsia="Times New Roman" w:hAnsi="Times New Roman" w:cs="Times New Roman"/>
        </w:rPr>
        <w:t>now distinguishes three broad groups of NCP</w:t>
      </w:r>
      <w:r w:rsidR="00C21383" w:rsidRPr="009B0448">
        <w:rPr>
          <w:rFonts w:ascii="Times New Roman" w:eastAsia="Times New Roman" w:hAnsi="Times New Roman" w:cs="Times New Roman"/>
        </w:rPr>
        <w:t xml:space="preserve"> (Figure 1.2</w:t>
      </w:r>
      <w:r w:rsidR="009B180B" w:rsidRPr="009B0448">
        <w:rPr>
          <w:rFonts w:ascii="Times New Roman" w:eastAsia="Times New Roman" w:hAnsi="Times New Roman" w:cs="Times New Roman"/>
        </w:rPr>
        <w:t xml:space="preserve">): regulating, material and non-material. </w:t>
      </w:r>
      <w:r w:rsidRPr="009B0448">
        <w:rPr>
          <w:rFonts w:ascii="Times New Roman" w:eastAsia="Times New Roman" w:hAnsi="Times New Roman" w:cs="Times New Roman"/>
        </w:rPr>
        <w:t>These represent different facets of the complex flow from nature to a good quality of life ranging from indispensable direct biological connections, such as oxygen, water, calories and vitamins without which the physical existence of humans is not possible, all the way to the anchoring of the symbolic components that give meaning to the identity of different social groups and their relationships with nature. Rather than an abrupt departure from previous classificati</w:t>
      </w:r>
      <w:r w:rsidR="00C813C5">
        <w:rPr>
          <w:rFonts w:ascii="Times New Roman" w:eastAsia="Times New Roman" w:hAnsi="Times New Roman" w:cs="Times New Roman"/>
        </w:rPr>
        <w:t>ons, the present broad categoris</w:t>
      </w:r>
      <w:r w:rsidRPr="009B0448">
        <w:rPr>
          <w:rFonts w:ascii="Times New Roman" w:eastAsia="Times New Roman" w:hAnsi="Times New Roman" w:cs="Times New Roman"/>
        </w:rPr>
        <w:t xml:space="preserve">ation of NCP is an evolution, still strongly rooted in the </w:t>
      </w:r>
      <w:r w:rsidR="006010DD" w:rsidRPr="009B0448">
        <w:rPr>
          <w:rFonts w:ascii="Times New Roman" w:eastAsia="Times New Roman" w:hAnsi="Times New Roman" w:cs="Times New Roman"/>
        </w:rPr>
        <w:t>Millennium Ecosystem Assessment</w:t>
      </w:r>
      <w:r w:rsidR="00C813C5">
        <w:rPr>
          <w:rFonts w:ascii="Times New Roman" w:eastAsia="Times New Roman" w:hAnsi="Times New Roman" w:cs="Times New Roman"/>
        </w:rPr>
        <w:t xml:space="preserve"> and its system of categoris</w:t>
      </w:r>
      <w:r w:rsidRPr="009B0448">
        <w:rPr>
          <w:rFonts w:ascii="Times New Roman" w:eastAsia="Times New Roman" w:hAnsi="Times New Roman" w:cs="Times New Roman"/>
        </w:rPr>
        <w:t>ation of ecosyste</w:t>
      </w:r>
      <w:r w:rsidR="00FD357D" w:rsidRPr="009B0448">
        <w:rPr>
          <w:rFonts w:ascii="Times New Roman" w:eastAsia="Times New Roman" w:hAnsi="Times New Roman" w:cs="Times New Roman"/>
        </w:rPr>
        <w:t>m services (MA, 2003; MA, 2005).</w:t>
      </w:r>
      <w:r w:rsidRPr="009B0448">
        <w:rPr>
          <w:rFonts w:ascii="Times New Roman" w:eastAsia="Times New Roman" w:hAnsi="Times New Roman" w:cs="Times New Roman"/>
        </w:rPr>
        <w:t xml:space="preserve"> It reflects some key </w:t>
      </w:r>
      <w:r w:rsidRPr="009B0448">
        <w:rPr>
          <w:rFonts w:ascii="Times New Roman" w:eastAsia="Times New Roman" w:hAnsi="Times New Roman" w:cs="Times New Roman"/>
        </w:rPr>
        <w:lastRenderedPageBreak/>
        <w:t xml:space="preserve">improvements to the original </w:t>
      </w:r>
      <w:r w:rsidR="006010DD" w:rsidRPr="009B0448">
        <w:rPr>
          <w:rFonts w:ascii="Times New Roman" w:eastAsia="Times New Roman" w:hAnsi="Times New Roman" w:cs="Times New Roman"/>
        </w:rPr>
        <w:t>Millennium Ecosystem Assessment</w:t>
      </w:r>
      <w:r w:rsidRPr="009B0448">
        <w:rPr>
          <w:rFonts w:ascii="Times New Roman" w:eastAsia="Times New Roman" w:hAnsi="Times New Roman" w:cs="Times New Roman"/>
        </w:rPr>
        <w:t xml:space="preserve"> classification, based on more than a decade of progress in interdisciplinary thinking, with increasing involvement from the social sciences and humanities (including law, economics and policy).</w:t>
      </w:r>
    </w:p>
    <w:p w14:paraId="2F496B75" w14:textId="77777777" w:rsidR="00901B6E" w:rsidRPr="009B0448" w:rsidRDefault="00901B6E" w:rsidP="00624DCE">
      <w:pPr>
        <w:spacing w:line="276" w:lineRule="auto"/>
        <w:jc w:val="both"/>
        <w:rPr>
          <w:rFonts w:ascii="Times New Roman" w:eastAsia="Times New Roman" w:hAnsi="Times New Roman" w:cs="Times New Roman"/>
        </w:rPr>
      </w:pPr>
    </w:p>
    <w:p w14:paraId="0903B86A" w14:textId="4D07DF00" w:rsidR="00901B6E" w:rsidRPr="009B0448" w:rsidRDefault="00901B6E" w:rsidP="00624DC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 xml:space="preserve">Table 1.1: </w:t>
      </w:r>
      <w:r w:rsidR="00900615" w:rsidRPr="009B0448">
        <w:rPr>
          <w:rFonts w:ascii="Times New Roman" w:eastAsia="Times New Roman" w:hAnsi="Times New Roman" w:cs="Times New Roman"/>
        </w:rPr>
        <w:t>A typology of nature’s contributions to people and their ecological characteristics. Source: adapted from Kremen (2005).</w:t>
      </w:r>
    </w:p>
    <w:p w14:paraId="28F3FEED" w14:textId="5A2966B1" w:rsidR="00901B6E" w:rsidRPr="009B0448" w:rsidRDefault="00E201B5" w:rsidP="00DD419E">
      <w:pPr>
        <w:rPr>
          <w:rFonts w:ascii="Times New Roman" w:eastAsia="Times New Roman" w:hAnsi="Times New Roman" w:cs="Times New Roman"/>
          <w:sz w:val="20"/>
          <w:szCs w:val="20"/>
        </w:rPr>
      </w:pPr>
      <w:r w:rsidRPr="009B0448">
        <w:rPr>
          <w:rFonts w:ascii="Times New Roman" w:eastAsia="Times New Roman" w:hAnsi="Times New Roman" w:cs="Times New Roman"/>
          <w:noProof/>
          <w:sz w:val="20"/>
          <w:szCs w:val="20"/>
          <w:lang w:eastAsia="en-GB"/>
        </w:rPr>
        <w:drawing>
          <wp:inline distT="0" distB="0" distL="0" distR="0" wp14:anchorId="01557D0E" wp14:editId="2C192D0D">
            <wp:extent cx="5732145" cy="5732145"/>
            <wp:effectExtent l="0" t="0" r="1905" b="190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Table 1.1.JPG"/>
                    <pic:cNvPicPr/>
                  </pic:nvPicPr>
                  <pic:blipFill>
                    <a:blip r:embed="rId23">
                      <a:extLst>
                        <a:ext uri="{28A0092B-C50C-407E-A947-70E740481C1C}">
                          <a14:useLocalDpi xmlns:a14="http://schemas.microsoft.com/office/drawing/2010/main" val="0"/>
                        </a:ext>
                      </a:extLst>
                    </a:blip>
                    <a:stretch>
                      <a:fillRect/>
                    </a:stretch>
                  </pic:blipFill>
                  <pic:spPr>
                    <a:xfrm>
                      <a:off x="0" y="0"/>
                      <a:ext cx="5732145" cy="5732145"/>
                    </a:xfrm>
                    <a:prstGeom prst="rect">
                      <a:avLst/>
                    </a:prstGeom>
                  </pic:spPr>
                </pic:pic>
              </a:graphicData>
            </a:graphic>
          </wp:inline>
        </w:drawing>
      </w:r>
    </w:p>
    <w:p w14:paraId="6EF6C948" w14:textId="77777777" w:rsidR="00CC0499" w:rsidRPr="009B0448" w:rsidRDefault="00CC0499" w:rsidP="00CC0499">
      <w:pPr>
        <w:pStyle w:val="111"/>
        <w:numPr>
          <w:ilvl w:val="2"/>
          <w:numId w:val="10"/>
        </w:numPr>
        <w:spacing w:before="240" w:after="240"/>
        <w:ind w:left="709"/>
        <w:rPr>
          <w:rFonts w:cs="Times New Roman"/>
          <w:i w:val="0"/>
          <w:sz w:val="22"/>
          <w:szCs w:val="22"/>
        </w:rPr>
      </w:pPr>
      <w:bookmarkStart w:id="7" w:name="_Toc519499760"/>
      <w:r w:rsidRPr="009B0448">
        <w:rPr>
          <w:rFonts w:cs="Times New Roman"/>
          <w:i w:val="0"/>
          <w:sz w:val="22"/>
          <w:szCs w:val="22"/>
        </w:rPr>
        <w:t>Global importance and uniqueness of biodiversity in Africa</w:t>
      </w:r>
      <w:bookmarkEnd w:id="7"/>
    </w:p>
    <w:p w14:paraId="4A0A2489" w14:textId="41CBD12B" w:rsidR="00CC0499" w:rsidRDefault="00CC0499" w:rsidP="00900615">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rPr>
        <w:t>Africa has many biodiversity hotspots and globally important ecoregions (Box 1.1), but it is important to note that biodiversity is unevenly distributed across the continent (Linder, 2014). Designated biodiversity hotspots are distributed all over Africa, from the Cape Floristic Region, the Maputaland-Pondoland-Albany area and the Succulent Karoo in South Africa to the Mediterranean Basin, the Coastal Forests and Afromontane regions of Eastern Africa, the Guinean Forests in West Africa, the</w:t>
      </w:r>
      <w:r>
        <w:rPr>
          <w:rFonts w:ascii="Times New Roman" w:eastAsia="Times New Roman" w:hAnsi="Times New Roman" w:cs="Times New Roman"/>
        </w:rPr>
        <w:t xml:space="preserve"> </w:t>
      </w:r>
      <w:r w:rsidRPr="009B0448">
        <w:rPr>
          <w:rFonts w:ascii="Times New Roman" w:eastAsia="Times New Roman" w:hAnsi="Times New Roman" w:cs="Times New Roman"/>
        </w:rPr>
        <w:t xml:space="preserve">Horn of Africa, as well as Madagascar and the Indian Ocean Islands (Mittermeier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2004; Taylor, 2015).</w:t>
      </w:r>
    </w:p>
    <w:p w14:paraId="02288666" w14:textId="46C00A37" w:rsidR="00CC0499" w:rsidRDefault="00CC0499" w:rsidP="00900615">
      <w:pPr>
        <w:spacing w:line="276" w:lineRule="auto"/>
        <w:jc w:val="both"/>
        <w:rPr>
          <w:rFonts w:ascii="Times New Roman" w:eastAsia="Times New Roman" w:hAnsi="Times New Roman" w:cs="Times New Roman"/>
          <w:b/>
        </w:rPr>
      </w:pPr>
      <w:r w:rsidRPr="009B0448">
        <w:rPr>
          <w:rFonts w:ascii="Times New Roman" w:hAnsi="Times New Roman" w:cs="Times New Roman"/>
          <w:noProof/>
          <w:lang w:eastAsia="en-GB"/>
        </w:rPr>
        <w:lastRenderedPageBreak/>
        <w:drawing>
          <wp:inline distT="0" distB="0" distL="0" distR="0" wp14:anchorId="5054CA01" wp14:editId="5FD66306">
            <wp:extent cx="5731510" cy="5262263"/>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2.JPG"/>
                    <pic:cNvPicPr/>
                  </pic:nvPicPr>
                  <pic:blipFill>
                    <a:blip r:embed="rId24">
                      <a:extLst>
                        <a:ext uri="{28A0092B-C50C-407E-A947-70E740481C1C}">
                          <a14:useLocalDpi xmlns:a14="http://schemas.microsoft.com/office/drawing/2010/main" val="0"/>
                        </a:ext>
                      </a:extLst>
                    </a:blip>
                    <a:stretch>
                      <a:fillRect/>
                    </a:stretch>
                  </pic:blipFill>
                  <pic:spPr>
                    <a:xfrm>
                      <a:off x="0" y="0"/>
                      <a:ext cx="5731510" cy="5262263"/>
                    </a:xfrm>
                    <a:prstGeom prst="rect">
                      <a:avLst/>
                    </a:prstGeom>
                  </pic:spPr>
                </pic:pic>
              </a:graphicData>
            </a:graphic>
          </wp:inline>
        </w:drawing>
      </w:r>
    </w:p>
    <w:p w14:paraId="5B0F39C3" w14:textId="52076A4D" w:rsidR="00B552D0" w:rsidRDefault="00B552D0" w:rsidP="0090061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1.2:</w:t>
      </w:r>
      <w:r w:rsidRPr="009B0448">
        <w:rPr>
          <w:rFonts w:ascii="Times New Roman" w:eastAsia="Times New Roman" w:hAnsi="Times New Roman" w:cs="Times New Roman"/>
        </w:rPr>
        <w:t xml:space="preserve"> </w:t>
      </w:r>
      <w:r w:rsidR="00900615" w:rsidRPr="009B0448">
        <w:rPr>
          <w:rFonts w:ascii="Times New Roman" w:eastAsia="Times New Roman" w:hAnsi="Times New Roman" w:cs="Times New Roman"/>
        </w:rPr>
        <w:t xml:space="preserve">Evolution of nature’s contributions to people (NCP) and other major categories in the IPBES conceptual framework with respect to the concepts of ecosystem services and human well-being as defined in the Millennium Ecosystem Assessment. The element “nature’s benefit to people” was adopted by IPBES Second Plenary, and further developed into NCP by IPBES Fifth Plenary in order to fully capture the fact that the concept includes all contributions to people, both positive (benefits) and negative (detriments). Concepts pointed by arrow heads replace or include concepts near arrow tails. Concepts in dotted-line boxes are no longer used: following the present view of the MA community, supporting ecosystem services are now components of nature or (to a lesser extent) regulating NCP. Cultural ecosystem services was defined as a separate ecosystem service category in the MA; IPBES instead </w:t>
      </w:r>
      <w:r w:rsidR="00264EBF" w:rsidRPr="009B0448">
        <w:rPr>
          <w:rFonts w:ascii="Times New Roman" w:eastAsia="Times New Roman" w:hAnsi="Times New Roman" w:cs="Times New Roman"/>
        </w:rPr>
        <w:t>recognis</w:t>
      </w:r>
      <w:r w:rsidR="00900615" w:rsidRPr="009B0448">
        <w:rPr>
          <w:rFonts w:ascii="Times New Roman" w:eastAsia="Times New Roman" w:hAnsi="Times New Roman" w:cs="Times New Roman"/>
        </w:rPr>
        <w:t xml:space="preserve">es that culture mediates the relationship between people and all NCP. Source: Díaz </w:t>
      </w:r>
      <w:r w:rsidR="00900615" w:rsidRPr="009B0448">
        <w:rPr>
          <w:rFonts w:ascii="Times New Roman" w:eastAsia="Times New Roman" w:hAnsi="Times New Roman" w:cs="Times New Roman"/>
          <w:i/>
        </w:rPr>
        <w:t>et al.</w:t>
      </w:r>
      <w:r w:rsidR="00900615" w:rsidRPr="009B0448">
        <w:rPr>
          <w:rFonts w:ascii="Times New Roman" w:eastAsia="Times New Roman" w:hAnsi="Times New Roman" w:cs="Times New Roman"/>
        </w:rPr>
        <w:t xml:space="preserve"> (2018).</w:t>
      </w:r>
    </w:p>
    <w:p w14:paraId="43242B1F" w14:textId="77777777" w:rsidR="00CC0499" w:rsidRDefault="00CC0499" w:rsidP="00900615">
      <w:pPr>
        <w:spacing w:line="276" w:lineRule="auto"/>
        <w:jc w:val="both"/>
        <w:rPr>
          <w:rFonts w:ascii="Times New Roman" w:eastAsia="Times New Roman" w:hAnsi="Times New Roman" w:cs="Times New Roman"/>
        </w:rPr>
      </w:pPr>
    </w:p>
    <w:p w14:paraId="5356C062" w14:textId="77777777" w:rsidR="004333DA" w:rsidRDefault="004333DA" w:rsidP="0090061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Burgess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further identified five classes of ecoregion priorities on land and across the 113 ecoregions in Africa. Based on freshwater biodiversity (mostly fish), Abell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highlighted 830 ecoregions worldwide, among which 87 are in Africa. Beaumont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showed that the Guinean moist forests and several other tropical and subtropical terrestrial ecoregions in Central, Southern and Eastern Africa ranked among areas of “exceptional biodiversity”. This is true also for deserts, Succulent Karoo, Fynbos, </w:t>
      </w:r>
      <w:r w:rsidRPr="009B0448">
        <w:rPr>
          <w:rFonts w:ascii="Times New Roman" w:eastAsia="Times New Roman" w:hAnsi="Times New Roman" w:cs="Times New Roman"/>
          <w:color w:val="333333"/>
        </w:rPr>
        <w:t xml:space="preserve">lakes, great rivers, wetlands, coastal and mineral-rich areas, all exhibiting great biological diversity and playing important roles in food security. </w:t>
      </w:r>
      <w:r w:rsidRPr="009B0448">
        <w:rPr>
          <w:rFonts w:ascii="Times New Roman" w:eastAsia="Times New Roman" w:hAnsi="Times New Roman" w:cs="Times New Roman"/>
        </w:rPr>
        <w:t xml:space="preserve">Important biodiversity </w:t>
      </w:r>
    </w:p>
    <w:p w14:paraId="47063211" w14:textId="28145981" w:rsidR="004333DA" w:rsidRDefault="004333DA" w:rsidP="0090061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lastRenderedPageBreak/>
        <w:drawing>
          <wp:inline distT="0" distB="0" distL="0" distR="0" wp14:anchorId="2FBA6E6D" wp14:editId="47205FB5">
            <wp:extent cx="8247283" cy="5797525"/>
            <wp:effectExtent l="5715" t="0" r="7620" b="762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Clipped\Box 1.1.JPG"/>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rot="16200000">
                      <a:off x="0" y="0"/>
                      <a:ext cx="8269315" cy="5813013"/>
                    </a:xfrm>
                    <a:prstGeom prst="rect">
                      <a:avLst/>
                    </a:prstGeom>
                    <a:noFill/>
                    <a:ln>
                      <a:noFill/>
                    </a:ln>
                  </pic:spPr>
                </pic:pic>
              </a:graphicData>
            </a:graphic>
          </wp:inline>
        </w:drawing>
      </w:r>
    </w:p>
    <w:p w14:paraId="5D972F8F" w14:textId="421F54D4" w:rsidR="00CC0499" w:rsidRPr="009B0448" w:rsidRDefault="004333DA" w:rsidP="0090061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areas in Africa encompass a wide range of biomes and landscape features. These areas are generally diverse in endemic animal species of global importance (for example, chimpanzee and gorilla species), but are also extremely rich in plants, reptiles, amphibians, birds and invertebrates. The biodiversity </w:t>
      </w:r>
      <w:r w:rsidRPr="009B0448">
        <w:rPr>
          <w:rFonts w:ascii="Times New Roman" w:eastAsia="Times New Roman" w:hAnsi="Times New Roman" w:cs="Times New Roman"/>
        </w:rPr>
        <w:lastRenderedPageBreak/>
        <w:t>hotspots contain important ecosystems that are repositories of biodiversity and ecosystem services, notably the provision of water to lowland communities and the maintenance of lake systems.</w:t>
      </w:r>
    </w:p>
    <w:p w14:paraId="0D299DBD" w14:textId="77777777" w:rsidR="0099374F" w:rsidRPr="009B0448" w:rsidRDefault="0099374F" w:rsidP="00624DCE">
      <w:pPr>
        <w:spacing w:line="276" w:lineRule="auto"/>
        <w:jc w:val="both"/>
        <w:rPr>
          <w:rFonts w:ascii="Times New Roman" w:eastAsia="Times New Roman" w:hAnsi="Times New Roman" w:cs="Times New Roman"/>
        </w:rPr>
      </w:pPr>
    </w:p>
    <w:p w14:paraId="12E4050D" w14:textId="13A5C874" w:rsidR="00F32B59" w:rsidRDefault="0099374F" w:rsidP="0099374F">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There are 75 United Nations Educational, Scientific and Cultural Organization Man and Biosphere reserves in 28 countries in Africa (UNESCO, 2017). As for biodiversity hotspots</w:t>
      </w:r>
      <w:r w:rsidR="00900615" w:rsidRPr="009B0448">
        <w:rPr>
          <w:rFonts w:ascii="Times New Roman" w:eastAsia="Times New Roman" w:hAnsi="Times New Roman" w:cs="Times New Roman"/>
        </w:rPr>
        <w:t>,</w:t>
      </w:r>
      <w:r w:rsidRPr="009B0448">
        <w:rPr>
          <w:rFonts w:ascii="Times New Roman" w:eastAsia="Times New Roman" w:hAnsi="Times New Roman" w:cs="Times New Roman"/>
        </w:rPr>
        <w:t xml:space="preserve"> examples include the northern margin of Africa which is part of the Mediterranean Basin biodiversity hotspot, comprising the second largest hotspot in the world and the largest of the world’s five Mediterranean-climate regions covering more than 2 million km</w:t>
      </w:r>
      <w:r w:rsidRPr="009B0448">
        <w:rPr>
          <w:rFonts w:ascii="Times New Roman" w:eastAsia="Times New Roman" w:hAnsi="Times New Roman" w:cs="Times New Roman"/>
          <w:vertAlign w:val="superscript"/>
        </w:rPr>
        <w:t>2</w:t>
      </w:r>
      <w:r w:rsidRPr="009B0448">
        <w:rPr>
          <w:rFonts w:ascii="Times New Roman" w:eastAsia="Times New Roman" w:hAnsi="Times New Roman" w:cs="Times New Roman"/>
        </w:rPr>
        <w:t xml:space="preserve"> (CEPF, 2015). The Mediterranean Basin Forest that constitutes just 1.5% of the world’s forests, yet is home to 25,000 plant species and 14 endemic genera (Quézel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1999). According to </w:t>
      </w:r>
      <w:r w:rsidR="00136147" w:rsidRPr="009B0448">
        <w:rPr>
          <w:rFonts w:ascii="Times New Roman" w:eastAsia="Times New Roman" w:hAnsi="Times New Roman" w:cs="Times New Roman"/>
        </w:rPr>
        <w:t xml:space="preserve">Harrison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w:t>
      </w:r>
      <w:r w:rsidR="00136147" w:rsidRPr="009B0448">
        <w:rPr>
          <w:rFonts w:ascii="Times New Roman" w:eastAsia="Times New Roman" w:hAnsi="Times New Roman" w:cs="Times New Roman"/>
        </w:rPr>
        <w:t>(</w:t>
      </w:r>
      <w:r w:rsidRPr="009B0448">
        <w:rPr>
          <w:rFonts w:ascii="Times New Roman" w:eastAsia="Times New Roman" w:hAnsi="Times New Roman" w:cs="Times New Roman"/>
        </w:rPr>
        <w:t>2016), the Congo Basin, the second largest humid forests ecosystem after the Amazon Basin covers 4 million km</w:t>
      </w:r>
      <w:r w:rsidRPr="009B0448">
        <w:rPr>
          <w:rFonts w:ascii="Times New Roman" w:eastAsia="Times New Roman" w:hAnsi="Times New Roman" w:cs="Times New Roman"/>
          <w:vertAlign w:val="superscript"/>
        </w:rPr>
        <w:t>2</w:t>
      </w:r>
      <w:r w:rsidRPr="009B0448">
        <w:rPr>
          <w:rFonts w:ascii="Times New Roman" w:eastAsia="Times New Roman" w:hAnsi="Times New Roman" w:cs="Times New Roman"/>
        </w:rPr>
        <w:t>. It is home to over 1,200 fish</w:t>
      </w:r>
      <w:r w:rsidR="00E33179" w:rsidRPr="009B0448">
        <w:rPr>
          <w:rFonts w:ascii="Times New Roman" w:eastAsia="Times New Roman" w:hAnsi="Times New Roman" w:cs="Times New Roman"/>
        </w:rPr>
        <w:t xml:space="preserve"> species, 400 mammal species, 1,</w:t>
      </w:r>
      <w:r w:rsidRPr="009B0448">
        <w:rPr>
          <w:rFonts w:ascii="Times New Roman" w:eastAsia="Times New Roman" w:hAnsi="Times New Roman" w:cs="Times New Roman"/>
        </w:rPr>
        <w:t>000 bird species</w:t>
      </w:r>
      <w:r w:rsidR="00E33179" w:rsidRPr="009B0448">
        <w:rPr>
          <w:rFonts w:ascii="Times New Roman" w:eastAsia="Times New Roman" w:hAnsi="Times New Roman" w:cs="Times New Roman"/>
        </w:rPr>
        <w:t>,</w:t>
      </w:r>
      <w:r w:rsidRPr="009B0448">
        <w:rPr>
          <w:rFonts w:ascii="Times New Roman" w:eastAsia="Times New Roman" w:hAnsi="Times New Roman" w:cs="Times New Roman"/>
        </w:rPr>
        <w:t xml:space="preserve"> and over 10,000 vascular plant species, as well as providing about 30% of Africa’s freshwater resources, with an estimated 77 million people in the Congo basin relying on these natural resources.</w:t>
      </w:r>
    </w:p>
    <w:p w14:paraId="55AFF49C" w14:textId="77777777" w:rsidR="00F32B59" w:rsidRPr="009B0448" w:rsidRDefault="00F32B59" w:rsidP="00F32B59">
      <w:pPr>
        <w:pStyle w:val="111"/>
        <w:numPr>
          <w:ilvl w:val="2"/>
          <w:numId w:val="10"/>
        </w:numPr>
        <w:spacing w:before="240" w:after="240"/>
        <w:ind w:left="709"/>
        <w:rPr>
          <w:rFonts w:cs="Times New Roman"/>
          <w:i w:val="0"/>
          <w:sz w:val="22"/>
          <w:szCs w:val="22"/>
        </w:rPr>
      </w:pPr>
      <w:bookmarkStart w:id="8" w:name="_Toc519499761"/>
      <w:r w:rsidRPr="009B0448">
        <w:rPr>
          <w:rFonts w:cs="Times New Roman"/>
          <w:i w:val="0"/>
          <w:sz w:val="22"/>
          <w:szCs w:val="22"/>
        </w:rPr>
        <w:t>Links between biodiversity and ecosystem services, and human well-being in Africa</w:t>
      </w:r>
      <w:bookmarkEnd w:id="8"/>
    </w:p>
    <w:p w14:paraId="50A287D5" w14:textId="73A41013" w:rsidR="00F32B59" w:rsidRPr="009B0448" w:rsidRDefault="00F32B59" w:rsidP="0099374F">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No matter who we are, or where we live, our well-being depends on functioning ecosystems. Most obviously, ecosystems can provide us with material objects that are essential for, and improve, our daily lives; such as food, beverages, housing, furniture, cosmetics, and medicines. Although the other types of ecosystem contributions are easily overlooked, they play an important role in shaping human cultures and regulating the environments in which we live. They help ensure the flow of clean water and protect people from flooding and other hazards like soil erosion, landslides and tsunamis. These ecosystems often have deep cultural or religious significance and are of paramount importance in the spiritual well-being of Africans. In addition, they provide the opportunities for recreation or the enjoyment of nature (Haines-Young et al, 2010). Well-conserved ecosystems also have the potential to significantly improve human health and well-being (Myers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Finlayson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p>
    <w:p w14:paraId="054A1BC0" w14:textId="77777777" w:rsidR="0072755B" w:rsidRPr="009B0448" w:rsidRDefault="0072755B" w:rsidP="00FA7185">
      <w:pPr>
        <w:pStyle w:val="Heading3"/>
        <w:widowControl w:val="0"/>
        <w:numPr>
          <w:ilvl w:val="1"/>
          <w:numId w:val="10"/>
        </w:numPr>
        <w:spacing w:before="240" w:after="240"/>
        <w:ind w:left="709"/>
        <w:rPr>
          <w:rFonts w:eastAsia="Calibri" w:cs="Times New Roman"/>
          <w:szCs w:val="24"/>
        </w:rPr>
      </w:pPr>
      <w:bookmarkStart w:id="9" w:name="_Toc519499762"/>
      <w:r w:rsidRPr="009B0448">
        <w:rPr>
          <w:rFonts w:eastAsia="Calibri" w:cs="Times New Roman"/>
          <w:szCs w:val="24"/>
        </w:rPr>
        <w:t>Methodology</w:t>
      </w:r>
      <w:bookmarkEnd w:id="9"/>
    </w:p>
    <w:p w14:paraId="6A990F6A" w14:textId="133DBD5D" w:rsidR="006B7655" w:rsidRPr="009B0448" w:rsidRDefault="00A8466E" w:rsidP="00FA7185">
      <w:pPr>
        <w:pStyle w:val="111"/>
        <w:numPr>
          <w:ilvl w:val="2"/>
          <w:numId w:val="10"/>
        </w:numPr>
        <w:spacing w:before="240" w:after="240"/>
        <w:ind w:left="709"/>
        <w:rPr>
          <w:rFonts w:cs="Times New Roman"/>
          <w:i w:val="0"/>
          <w:sz w:val="22"/>
          <w:szCs w:val="22"/>
        </w:rPr>
      </w:pPr>
      <w:bookmarkStart w:id="10" w:name="_Toc519499763"/>
      <w:r w:rsidRPr="009B0448">
        <w:rPr>
          <w:rFonts w:cs="Times New Roman"/>
          <w:i w:val="0"/>
          <w:sz w:val="22"/>
          <w:szCs w:val="22"/>
        </w:rPr>
        <w:t>Basic methods and approaches used in the assessment</w:t>
      </w:r>
      <w:bookmarkEnd w:id="10"/>
    </w:p>
    <w:p w14:paraId="0CF13904" w14:textId="77777777" w:rsidR="006B7655" w:rsidRPr="009B0448" w:rsidRDefault="00A8466E" w:rsidP="00624DC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accordance with IPBES prescriptions as stated in IPBES deliverables (Box 1.2), all IPBES assessments must be based on data and knowledge resources that are:</w:t>
      </w:r>
    </w:p>
    <w:p w14:paraId="1D250A53" w14:textId="08EDCCD1" w:rsidR="006B7655" w:rsidRPr="009B0448" w:rsidRDefault="00A8466E" w:rsidP="00624DCE">
      <w:pPr>
        <w:widowControl w:val="0"/>
        <w:numPr>
          <w:ilvl w:val="0"/>
          <w:numId w:val="1"/>
        </w:numPr>
        <w:spacing w:line="276" w:lineRule="auto"/>
        <w:ind w:hanging="360"/>
        <w:contextualSpacing/>
        <w:jc w:val="both"/>
        <w:rPr>
          <w:rFonts w:ascii="Times New Roman" w:hAnsi="Times New Roman" w:cs="Times New Roman"/>
        </w:rPr>
      </w:pPr>
      <w:r w:rsidRPr="009B0448">
        <w:rPr>
          <w:rFonts w:ascii="Times New Roman" w:hAnsi="Times New Roman" w:cs="Times New Roman"/>
        </w:rPr>
        <w:t xml:space="preserve">Fully referenced and for which all contributions are appropriately attributed and </w:t>
      </w:r>
      <w:r w:rsidR="00264EBF" w:rsidRPr="009B0448">
        <w:rPr>
          <w:rFonts w:ascii="Times New Roman" w:hAnsi="Times New Roman" w:cs="Times New Roman"/>
        </w:rPr>
        <w:t>recognis</w:t>
      </w:r>
      <w:r w:rsidRPr="009B0448">
        <w:rPr>
          <w:rFonts w:ascii="Times New Roman" w:hAnsi="Times New Roman" w:cs="Times New Roman"/>
        </w:rPr>
        <w:t>ed;</w:t>
      </w:r>
    </w:p>
    <w:p w14:paraId="3109CAA6" w14:textId="77777777" w:rsidR="006B7655" w:rsidRPr="009B0448" w:rsidRDefault="00A8466E" w:rsidP="00624DCE">
      <w:pPr>
        <w:widowControl w:val="0"/>
        <w:numPr>
          <w:ilvl w:val="0"/>
          <w:numId w:val="1"/>
        </w:numPr>
        <w:spacing w:line="276" w:lineRule="auto"/>
        <w:ind w:hanging="360"/>
        <w:contextualSpacing/>
        <w:jc w:val="both"/>
        <w:rPr>
          <w:rFonts w:ascii="Times New Roman" w:hAnsi="Times New Roman" w:cs="Times New Roman"/>
        </w:rPr>
      </w:pPr>
      <w:r w:rsidRPr="009B0448">
        <w:rPr>
          <w:rFonts w:ascii="Times New Roman" w:hAnsi="Times New Roman" w:cs="Times New Roman"/>
        </w:rPr>
        <w:t>Comprehensively documented in underlying sources and methodologies and that adhere to domain-specific meta-data standards; and</w:t>
      </w:r>
    </w:p>
    <w:p w14:paraId="5FB01A7E" w14:textId="77777777" w:rsidR="006B7655" w:rsidRPr="009B0448" w:rsidRDefault="00A8466E" w:rsidP="00624DCE">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Archived and accessible to IPBES experts and, wherever possible, the public.</w:t>
      </w:r>
    </w:p>
    <w:p w14:paraId="549ED30F" w14:textId="77777777" w:rsidR="00624DCE" w:rsidRPr="009B0448" w:rsidRDefault="00624DCE" w:rsidP="00624DCE">
      <w:pPr>
        <w:spacing w:line="276" w:lineRule="auto"/>
        <w:jc w:val="both"/>
        <w:rPr>
          <w:rFonts w:ascii="Times New Roman" w:eastAsia="Times New Roman" w:hAnsi="Times New Roman" w:cs="Times New Roman"/>
        </w:rPr>
      </w:pPr>
    </w:p>
    <w:p w14:paraId="499C6E81" w14:textId="5A5A5FC1" w:rsidR="00BB2416" w:rsidRPr="009B0448" w:rsidRDefault="00520BF5" w:rsidP="00624DC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methodologies and approaches used in the regional assessment for Africa have followed these rules to ensure that the assessment incorporates accessible, reliable and diverse information sources, from life sciences to indigenous and local knowledge. Though indigenous and local knowledge refers to forms of knowledge that make </w:t>
      </w:r>
      <w:r w:rsidR="00D83F47">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best sense in relation to the social and cultural systems in which they are embedded (Agrawal, 1995), it is also sought out as a source of knowledge that has validity and wide applicability in the world. There are controversies on whether validation by science (Nakashima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2002; Roué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2002; Tsui, 2004; Gratani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is relevant since indigenous and local knowledge and scientific knowledge are based on different philosophies and both make sense in their own systems of reference. However, both systems are to be valued and can be complementary and inform each other. Indigenous and local knowledge is now widely cited in the mainstream scientific </w:t>
      </w:r>
      <w:r w:rsidRPr="009B0448">
        <w:rPr>
          <w:rFonts w:ascii="Times New Roman" w:eastAsia="Times New Roman" w:hAnsi="Times New Roman" w:cs="Times New Roman"/>
        </w:rPr>
        <w:lastRenderedPageBreak/>
        <w:t xml:space="preserve">literature today and examples abound, in particular regarding vegetation state and dynamics (Lykke, 2000; Wezel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2000; Lykke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Thomas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and deforestation and carbon reduction emissions (Mistry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2016). By highlighting data gaps in both mainstream science and ILK, IPBES will provide opportunities for countries to define appropriate actions and corresponding data and research needs, with links from local to glob</w:t>
      </w:r>
      <w:r w:rsidR="00AA0E73" w:rsidRPr="009B0448">
        <w:rPr>
          <w:rFonts w:ascii="Times New Roman" w:eastAsia="Times New Roman" w:hAnsi="Times New Roman" w:cs="Times New Roman"/>
        </w:rPr>
        <w:t xml:space="preserve">al scales (Faith </w:t>
      </w:r>
      <w:r w:rsidR="000429F8" w:rsidRPr="009B0448">
        <w:rPr>
          <w:rFonts w:ascii="Times New Roman" w:eastAsia="Times New Roman" w:hAnsi="Times New Roman" w:cs="Times New Roman"/>
          <w:i/>
        </w:rPr>
        <w:t>et al.</w:t>
      </w:r>
      <w:r w:rsidR="00AA0E73" w:rsidRPr="009B0448">
        <w:rPr>
          <w:rFonts w:ascii="Times New Roman" w:eastAsia="Times New Roman" w:hAnsi="Times New Roman" w:cs="Times New Roman"/>
        </w:rPr>
        <w:t>, 2013).</w:t>
      </w:r>
    </w:p>
    <w:p w14:paraId="58CC86FC" w14:textId="77777777" w:rsidR="00BB2416" w:rsidRPr="009B0448" w:rsidRDefault="00BB2416" w:rsidP="00624DCE">
      <w:pPr>
        <w:spacing w:line="276" w:lineRule="auto"/>
        <w:jc w:val="both"/>
        <w:rPr>
          <w:rFonts w:ascii="Times New Roman" w:eastAsia="Times New Roman" w:hAnsi="Times New Roman" w:cs="Times New Roman"/>
        </w:rPr>
      </w:pPr>
    </w:p>
    <w:p w14:paraId="7721086E" w14:textId="11483531" w:rsidR="00D234A9" w:rsidRPr="009B0448" w:rsidRDefault="00D234A9" w:rsidP="00624DC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Africa Regional Assessment makes use of prescribed IPBES methodologies together with a range of bespoke analyses. Results are reported with maps and infographics to aid in the appreciation of complex messages and inter-related data. Each chapter has been developed as a collaborative effort coordinated by the coordinating lead authors and assessment co-chairs, involving lead authors, fellows and invited external contributors. Chapters follow structures agreed at IPBES Plenary sessions and were developed in several iterations to take account of contributions from government and expert independent reviewers, guided by review editors.</w:t>
      </w:r>
    </w:p>
    <w:p w14:paraId="0BFA09EE" w14:textId="77777777" w:rsidR="00D234A9" w:rsidRPr="009B0448" w:rsidRDefault="00D234A9" w:rsidP="0072755B">
      <w:pPr>
        <w:spacing w:line="276" w:lineRule="auto"/>
        <w:jc w:val="both"/>
        <w:rPr>
          <w:rFonts w:ascii="Times New Roman" w:eastAsia="Times New Roman" w:hAnsi="Times New Roman" w:cs="Times New Roman"/>
        </w:rPr>
      </w:pPr>
    </w:p>
    <w:p w14:paraId="3A6FDD55" w14:textId="77777777" w:rsidR="006B7655" w:rsidRPr="009B0448" w:rsidRDefault="00A8466E" w:rsidP="0072755B">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mc:AlternateContent>
          <mc:Choice Requires="wps">
            <w:drawing>
              <wp:inline distT="0" distB="0" distL="114300" distR="114300" wp14:anchorId="1F6DFD37" wp14:editId="01D896D0">
                <wp:extent cx="5932800" cy="3451860"/>
                <wp:effectExtent l="0" t="0" r="11430" b="15240"/>
                <wp:docPr id="27" name="Rectangle 27"/>
                <wp:cNvGraphicFramePr/>
                <a:graphic xmlns:a="http://schemas.openxmlformats.org/drawingml/2006/main">
                  <a:graphicData uri="http://schemas.microsoft.com/office/word/2010/wordprocessingShape">
                    <wps:wsp>
                      <wps:cNvSpPr/>
                      <wps:spPr>
                        <a:xfrm>
                          <a:off x="0" y="0"/>
                          <a:ext cx="5932800" cy="3451860"/>
                        </a:xfrm>
                        <a:prstGeom prst="rect">
                          <a:avLst/>
                        </a:prstGeom>
                        <a:solidFill>
                          <a:schemeClr val="bg1">
                            <a:lumMod val="95000"/>
                          </a:schemeClr>
                        </a:solidFill>
                        <a:ln w="9525" cap="flat" cmpd="sng">
                          <a:solidFill>
                            <a:schemeClr val="tx1"/>
                          </a:solidFill>
                          <a:prstDash val="solid"/>
                          <a:round/>
                          <a:headEnd type="none" w="med" len="med"/>
                          <a:tailEnd type="none" w="med" len="med"/>
                        </a:ln>
                      </wps:spPr>
                      <wps:txbx>
                        <w:txbxContent>
                          <w:p w14:paraId="58A11FB7" w14:textId="60CCF82B" w:rsidR="00BC0CFA" w:rsidRPr="009D085F" w:rsidRDefault="00BC0CFA" w:rsidP="002E074D">
                            <w:pPr>
                              <w:spacing w:after="120"/>
                              <w:textDirection w:val="btLr"/>
                            </w:pPr>
                            <w:r w:rsidRPr="000233FD">
                              <w:rPr>
                                <w:rFonts w:ascii="Times New Roman" w:eastAsia="Times New Roman" w:hAnsi="Times New Roman" w:cs="Times New Roman"/>
                                <w:b/>
                              </w:rPr>
                              <w:t xml:space="preserve">Box 1.2: </w:t>
                            </w:r>
                            <w:r w:rsidRPr="009D085F">
                              <w:rPr>
                                <w:rFonts w:ascii="Times New Roman" w:eastAsia="Times New Roman" w:hAnsi="Times New Roman" w:cs="Times New Roman"/>
                                <w:b/>
                              </w:rPr>
                              <w:t xml:space="preserve">The knowledge, information, and data checklist for IPBES assessments. </w:t>
                            </w:r>
                            <w:r w:rsidRPr="009D085F">
                              <w:rPr>
                                <w:rFonts w:ascii="Times New Roman" w:eastAsia="Times New Roman" w:hAnsi="Times New Roman" w:cs="Times New Roman"/>
                              </w:rPr>
                              <w:t>Source: IPBES (2016a).</w:t>
                            </w:r>
                          </w:p>
                          <w:p w14:paraId="384A8A98" w14:textId="06EC5ED8" w:rsidR="00BC0CFA" w:rsidRPr="000233FD" w:rsidRDefault="00BC0CFA" w:rsidP="002E074D">
                            <w:pPr>
                              <w:jc w:val="both"/>
                              <w:textDirection w:val="btLr"/>
                            </w:pPr>
                            <w:r w:rsidRPr="000233FD">
                              <w:rPr>
                                <w:rFonts w:ascii="Times New Roman" w:eastAsia="Times New Roman" w:hAnsi="Times New Roman" w:cs="Times New Roman"/>
                              </w:rPr>
                              <w:t>1. Consider all sources of knowledge, information, and data (global, regional, and local) – noting that:</w:t>
                            </w:r>
                          </w:p>
                          <w:p w14:paraId="1EB3BE44" w14:textId="77777777" w:rsidR="00BC0CFA" w:rsidRPr="000233FD" w:rsidRDefault="00BC0CFA" w:rsidP="00216207">
                            <w:pPr>
                              <w:pStyle w:val="ListParagraph"/>
                              <w:numPr>
                                <w:ilvl w:val="0"/>
                                <w:numId w:val="4"/>
                              </w:numPr>
                              <w:ind w:left="1134"/>
                              <w:textDirection w:val="btLr"/>
                            </w:pPr>
                            <w:r w:rsidRPr="000233FD">
                              <w:rPr>
                                <w:rFonts w:ascii="Times New Roman" w:eastAsia="Times New Roman" w:hAnsi="Times New Roman" w:cs="Times New Roman"/>
                              </w:rPr>
                              <w:t>key global datasets and knowledge products serve a significant role for allowing (sub) regional assessments to replicate and standardize efforts, simplify documentation requirements, and facilitate global synthesis; and</w:t>
                            </w:r>
                          </w:p>
                          <w:p w14:paraId="7096F065" w14:textId="1324518D" w:rsidR="00BC0CFA" w:rsidRPr="000233FD" w:rsidRDefault="00BC0CFA" w:rsidP="00216207">
                            <w:pPr>
                              <w:pStyle w:val="ListParagraph"/>
                              <w:numPr>
                                <w:ilvl w:val="0"/>
                                <w:numId w:val="4"/>
                              </w:numPr>
                              <w:ind w:left="1134"/>
                              <w:textDirection w:val="btLr"/>
                            </w:pPr>
                            <w:r w:rsidRPr="000233FD">
                              <w:rPr>
                                <w:rFonts w:ascii="Times New Roman" w:eastAsia="Times New Roman" w:hAnsi="Times New Roman" w:cs="Times New Roman"/>
                              </w:rPr>
                              <w:t xml:space="preserve">regional and </w:t>
                            </w:r>
                            <w:r>
                              <w:rPr>
                                <w:rFonts w:ascii="Times New Roman" w:eastAsia="Times New Roman" w:hAnsi="Times New Roman" w:cs="Times New Roman"/>
                              </w:rPr>
                              <w:t>subregion</w:t>
                            </w:r>
                            <w:r w:rsidRPr="000233FD">
                              <w:rPr>
                                <w:rFonts w:ascii="Times New Roman" w:eastAsia="Times New Roman" w:hAnsi="Times New Roman" w:cs="Times New Roman"/>
                              </w:rPr>
                              <w:t>al assessments may be able to tap into geographically restricted data, information and knowledge products of greater relevance, quality, spatial resolution, accessibility, taxonomic or temporal scope than are available globally.</w:t>
                            </w:r>
                          </w:p>
                          <w:p w14:paraId="69914DA6" w14:textId="11364E81" w:rsidR="00BC0CFA" w:rsidRPr="000233FD" w:rsidRDefault="00BC0CFA" w:rsidP="002E074D">
                            <w:pPr>
                              <w:jc w:val="both"/>
                              <w:textDirection w:val="btLr"/>
                            </w:pPr>
                            <w:r w:rsidRPr="000233FD">
                              <w:rPr>
                                <w:rFonts w:ascii="Times New Roman" w:eastAsia="Times New Roman" w:hAnsi="Times New Roman" w:cs="Times New Roman"/>
                              </w:rPr>
                              <w:t>2. Fully document methodology for selecting knowledge, information, and data to be used in the assessment.</w:t>
                            </w:r>
                          </w:p>
                          <w:p w14:paraId="065CB5FF" w14:textId="04CCB9C8" w:rsidR="00BC0CFA" w:rsidRPr="000233FD" w:rsidRDefault="00BC0CFA" w:rsidP="002E074D">
                            <w:pPr>
                              <w:jc w:val="both"/>
                              <w:textDirection w:val="btLr"/>
                            </w:pPr>
                            <w:r w:rsidRPr="000233FD">
                              <w:rPr>
                                <w:rFonts w:ascii="Times New Roman" w:eastAsia="Times New Roman" w:hAnsi="Times New Roman" w:cs="Times New Roman"/>
                              </w:rPr>
                              <w:t>3. All assessments and associated products should be based on knowledge, information, and data that is:</w:t>
                            </w:r>
                          </w:p>
                          <w:p w14:paraId="2DBE9F33" w14:textId="77777777" w:rsidR="00BC0CFA" w:rsidRPr="000233FD" w:rsidRDefault="00BC0CFA" w:rsidP="00216207">
                            <w:pPr>
                              <w:pStyle w:val="ListParagraph"/>
                              <w:numPr>
                                <w:ilvl w:val="0"/>
                                <w:numId w:val="5"/>
                              </w:numPr>
                              <w:ind w:left="1134"/>
                              <w:textDirection w:val="btLr"/>
                            </w:pPr>
                            <w:r w:rsidRPr="000233FD">
                              <w:rPr>
                                <w:rFonts w:ascii="Times New Roman" w:eastAsia="Times New Roman" w:hAnsi="Times New Roman" w:cs="Times New Roman"/>
                              </w:rPr>
                              <w:t>fully referenced;</w:t>
                            </w:r>
                          </w:p>
                          <w:p w14:paraId="04EE3DC6" w14:textId="77777777" w:rsidR="00BC0CFA" w:rsidRPr="000233FD" w:rsidRDefault="00BC0CFA" w:rsidP="00216207">
                            <w:pPr>
                              <w:pStyle w:val="ListParagraph"/>
                              <w:numPr>
                                <w:ilvl w:val="0"/>
                                <w:numId w:val="5"/>
                              </w:numPr>
                              <w:ind w:left="1134"/>
                              <w:textDirection w:val="btLr"/>
                            </w:pPr>
                            <w:r w:rsidRPr="000233FD">
                              <w:rPr>
                                <w:rFonts w:ascii="Times New Roman" w:eastAsia="Times New Roman" w:hAnsi="Times New Roman" w:cs="Times New Roman"/>
                              </w:rPr>
                              <w:t>sufficiently documented and that adhere to domain-specific meta-data standards; and</w:t>
                            </w:r>
                          </w:p>
                          <w:p w14:paraId="42C48B07" w14:textId="77777777" w:rsidR="00BC0CFA" w:rsidRPr="000233FD" w:rsidRDefault="00BC0CFA" w:rsidP="00216207">
                            <w:pPr>
                              <w:pStyle w:val="ListParagraph"/>
                              <w:numPr>
                                <w:ilvl w:val="0"/>
                                <w:numId w:val="5"/>
                              </w:numPr>
                              <w:ind w:left="1134"/>
                              <w:textDirection w:val="btLr"/>
                            </w:pPr>
                            <w:r w:rsidRPr="000233FD">
                              <w:rPr>
                                <w:rFonts w:ascii="Times New Roman" w:eastAsia="Times New Roman" w:hAnsi="Times New Roman" w:cs="Times New Roman"/>
                              </w:rPr>
                              <w:t>archived and accessible.</w:t>
                            </w:r>
                          </w:p>
                          <w:p w14:paraId="09166AEE" w14:textId="3E08370F" w:rsidR="00BC0CFA" w:rsidRPr="000233FD" w:rsidRDefault="00BC0CFA" w:rsidP="002E074D">
                            <w:pPr>
                              <w:jc w:val="both"/>
                              <w:textDirection w:val="btLr"/>
                            </w:pPr>
                            <w:r w:rsidRPr="000233FD">
                              <w:rPr>
                                <w:rFonts w:ascii="Times New Roman" w:eastAsia="Times New Roman" w:hAnsi="Times New Roman" w:cs="Times New Roman"/>
                              </w:rPr>
                              <w:t>4. Adopt existing knowledge, information, and data and meta-data standards.</w:t>
                            </w:r>
                          </w:p>
                          <w:p w14:paraId="3C10E8B4" w14:textId="2D821B18" w:rsidR="00BC0CFA" w:rsidRPr="000233FD" w:rsidRDefault="00BC0CFA" w:rsidP="002E074D">
                            <w:pPr>
                              <w:jc w:val="both"/>
                              <w:textDirection w:val="btLr"/>
                            </w:pPr>
                            <w:r w:rsidRPr="000233FD">
                              <w:rPr>
                                <w:rFonts w:ascii="Times New Roman" w:eastAsia="Times New Roman" w:hAnsi="Times New Roman" w:cs="Times New Roman"/>
                              </w:rPr>
                              <w:t>5. Knowledge, information, and data quality and confidence should be assessed and reported.</w:t>
                            </w:r>
                          </w:p>
                          <w:p w14:paraId="099DB988" w14:textId="3E3DB8D4" w:rsidR="00BC0CFA" w:rsidRPr="000233FD" w:rsidRDefault="00BC0CFA">
                            <w:pPr>
                              <w:jc w:val="both"/>
                              <w:textDirection w:val="btLr"/>
                            </w:pPr>
                            <w:r w:rsidRPr="000233FD">
                              <w:rPr>
                                <w:rFonts w:ascii="Times New Roman" w:eastAsia="Times New Roman" w:hAnsi="Times New Roman" w:cs="Times New Roman"/>
                              </w:rPr>
                              <w:t>6. Ensure long</w:t>
                            </w:r>
                            <w:r>
                              <w:rPr>
                                <w:rFonts w:ascii="Times New Roman" w:eastAsia="Times New Roman" w:hAnsi="Times New Roman" w:cs="Times New Roman"/>
                              </w:rPr>
                              <w:t>-</w:t>
                            </w:r>
                            <w:r w:rsidRPr="000233FD">
                              <w:rPr>
                                <w:rFonts w:ascii="Times New Roman" w:eastAsia="Times New Roman" w:hAnsi="Times New Roman" w:cs="Times New Roman"/>
                              </w:rPr>
                              <w:t>term storage and archiving of knowledge, information, and data versions used in the assessment to ensure transparency.</w:t>
                            </w:r>
                          </w:p>
                        </w:txbxContent>
                      </wps:txbx>
                      <wps:bodyPr wrap="square" lIns="91425" tIns="45700" rIns="91425" bIns="45700" anchor="t" anchorCtr="0"/>
                    </wps:wsp>
                  </a:graphicData>
                </a:graphic>
              </wp:inline>
            </w:drawing>
          </mc:Choice>
          <mc:Fallback>
            <w:pict>
              <v:rect w14:anchorId="1F6DFD37" id="Rectangle 27" o:spid="_x0000_s1026" style="width:467.15pt;height:27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" fillcolor="#f2f2f2 [3052]" strokecolor="black [3213]">
                <v:stroke joinstyle="round"/>
                <v:textbox inset="2.53958mm,1.2694mm,2.53958mm,1.2694mm">
                  <w:txbxContent>
                    <w:p w14:paraId="58A11FB7" w14:textId="60CCF82B" w:rsidR="00BC0CFA" w:rsidRPr="009D085F" w:rsidRDefault="00BC0CFA" w:rsidP="002E074D">
                      <w:pPr>
                        <w:spacing w:after="120"/>
                        <w:textDirection w:val="btLr"/>
                      </w:pPr>
                      <w:r w:rsidRPr="000233FD">
                        <w:rPr>
                          <w:rFonts w:ascii="Times New Roman" w:eastAsia="Times New Roman" w:hAnsi="Times New Roman" w:cs="Times New Roman"/>
                          <w:b/>
                        </w:rPr>
                        <w:t xml:space="preserve">Box 1.2: </w:t>
                      </w:r>
                      <w:r w:rsidRPr="009D085F">
                        <w:rPr>
                          <w:rFonts w:ascii="Times New Roman" w:eastAsia="Times New Roman" w:hAnsi="Times New Roman" w:cs="Times New Roman"/>
                          <w:b/>
                        </w:rPr>
                        <w:t xml:space="preserve">The knowledge, information, and data checklist for IPBES assessments. </w:t>
                      </w:r>
                      <w:r w:rsidRPr="009D085F">
                        <w:rPr>
                          <w:rFonts w:ascii="Times New Roman" w:eastAsia="Times New Roman" w:hAnsi="Times New Roman" w:cs="Times New Roman"/>
                        </w:rPr>
                        <w:t>Source: IPBES (2016a).</w:t>
                      </w:r>
                    </w:p>
                    <w:p w14:paraId="384A8A98" w14:textId="06EC5ED8" w:rsidR="00BC0CFA" w:rsidRPr="000233FD" w:rsidRDefault="00BC0CFA" w:rsidP="002E074D">
                      <w:pPr>
                        <w:jc w:val="both"/>
                        <w:textDirection w:val="btLr"/>
                      </w:pPr>
                      <w:r w:rsidRPr="000233FD">
                        <w:rPr>
                          <w:rFonts w:ascii="Times New Roman" w:eastAsia="Times New Roman" w:hAnsi="Times New Roman" w:cs="Times New Roman"/>
                        </w:rPr>
                        <w:t>1. Consider all sources of knowledge, information, and data (global, regional, and local) – noting that:</w:t>
                      </w:r>
                    </w:p>
                    <w:p w14:paraId="1EB3BE44" w14:textId="77777777" w:rsidR="00BC0CFA" w:rsidRPr="000233FD" w:rsidRDefault="00BC0CFA" w:rsidP="00216207">
                      <w:pPr>
                        <w:pStyle w:val="ListParagraph"/>
                        <w:numPr>
                          <w:ilvl w:val="0"/>
                          <w:numId w:val="4"/>
                        </w:numPr>
                        <w:ind w:left="1134"/>
                        <w:textDirection w:val="btLr"/>
                      </w:pPr>
                      <w:r w:rsidRPr="000233FD">
                        <w:rPr>
                          <w:rFonts w:ascii="Times New Roman" w:eastAsia="Times New Roman" w:hAnsi="Times New Roman" w:cs="Times New Roman"/>
                        </w:rPr>
                        <w:t>key global datasets and knowledge products serve a significant role for allowing (sub) regional assessments to replicate and standardize efforts, simplify documentation requirements, and facilitate global synthesis; and</w:t>
                      </w:r>
                    </w:p>
                    <w:p w14:paraId="7096F065" w14:textId="1324518D" w:rsidR="00BC0CFA" w:rsidRPr="000233FD" w:rsidRDefault="00BC0CFA" w:rsidP="00216207">
                      <w:pPr>
                        <w:pStyle w:val="ListParagraph"/>
                        <w:numPr>
                          <w:ilvl w:val="0"/>
                          <w:numId w:val="4"/>
                        </w:numPr>
                        <w:ind w:left="1134"/>
                        <w:textDirection w:val="btLr"/>
                      </w:pPr>
                      <w:r w:rsidRPr="000233FD">
                        <w:rPr>
                          <w:rFonts w:ascii="Times New Roman" w:eastAsia="Times New Roman" w:hAnsi="Times New Roman" w:cs="Times New Roman"/>
                        </w:rPr>
                        <w:t xml:space="preserve">regional and </w:t>
                      </w:r>
                      <w:r>
                        <w:rPr>
                          <w:rFonts w:ascii="Times New Roman" w:eastAsia="Times New Roman" w:hAnsi="Times New Roman" w:cs="Times New Roman"/>
                        </w:rPr>
                        <w:t>subregion</w:t>
                      </w:r>
                      <w:r w:rsidRPr="000233FD">
                        <w:rPr>
                          <w:rFonts w:ascii="Times New Roman" w:eastAsia="Times New Roman" w:hAnsi="Times New Roman" w:cs="Times New Roman"/>
                        </w:rPr>
                        <w:t>al assessments may be able to tap into geographically restricted data, information and knowledge products of greater relevance, quality, spatial resolution, accessibility, taxonomic or temporal scope than are available globally.</w:t>
                      </w:r>
                    </w:p>
                    <w:p w14:paraId="69914DA6" w14:textId="11364E81" w:rsidR="00BC0CFA" w:rsidRPr="000233FD" w:rsidRDefault="00BC0CFA" w:rsidP="002E074D">
                      <w:pPr>
                        <w:jc w:val="both"/>
                        <w:textDirection w:val="btLr"/>
                      </w:pPr>
                      <w:r w:rsidRPr="000233FD">
                        <w:rPr>
                          <w:rFonts w:ascii="Times New Roman" w:eastAsia="Times New Roman" w:hAnsi="Times New Roman" w:cs="Times New Roman"/>
                        </w:rPr>
                        <w:t>2. Fully document methodology for selecting knowledge, information, and data to be used in the assessment.</w:t>
                      </w:r>
                    </w:p>
                    <w:p w14:paraId="065CB5FF" w14:textId="04CCB9C8" w:rsidR="00BC0CFA" w:rsidRPr="000233FD" w:rsidRDefault="00BC0CFA" w:rsidP="002E074D">
                      <w:pPr>
                        <w:jc w:val="both"/>
                        <w:textDirection w:val="btLr"/>
                      </w:pPr>
                      <w:r w:rsidRPr="000233FD">
                        <w:rPr>
                          <w:rFonts w:ascii="Times New Roman" w:eastAsia="Times New Roman" w:hAnsi="Times New Roman" w:cs="Times New Roman"/>
                        </w:rPr>
                        <w:t>3. All assessments and associated products should be based on knowledge, information, and data that is:</w:t>
                      </w:r>
                    </w:p>
                    <w:p w14:paraId="2DBE9F33" w14:textId="77777777" w:rsidR="00BC0CFA" w:rsidRPr="000233FD" w:rsidRDefault="00BC0CFA" w:rsidP="00216207">
                      <w:pPr>
                        <w:pStyle w:val="ListParagraph"/>
                        <w:numPr>
                          <w:ilvl w:val="0"/>
                          <w:numId w:val="5"/>
                        </w:numPr>
                        <w:ind w:left="1134"/>
                        <w:textDirection w:val="btLr"/>
                      </w:pPr>
                      <w:r w:rsidRPr="000233FD">
                        <w:rPr>
                          <w:rFonts w:ascii="Times New Roman" w:eastAsia="Times New Roman" w:hAnsi="Times New Roman" w:cs="Times New Roman"/>
                        </w:rPr>
                        <w:t>fully referenced;</w:t>
                      </w:r>
                    </w:p>
                    <w:p w14:paraId="04EE3DC6" w14:textId="77777777" w:rsidR="00BC0CFA" w:rsidRPr="000233FD" w:rsidRDefault="00BC0CFA" w:rsidP="00216207">
                      <w:pPr>
                        <w:pStyle w:val="ListParagraph"/>
                        <w:numPr>
                          <w:ilvl w:val="0"/>
                          <w:numId w:val="5"/>
                        </w:numPr>
                        <w:ind w:left="1134"/>
                        <w:textDirection w:val="btLr"/>
                      </w:pPr>
                      <w:r w:rsidRPr="000233FD">
                        <w:rPr>
                          <w:rFonts w:ascii="Times New Roman" w:eastAsia="Times New Roman" w:hAnsi="Times New Roman" w:cs="Times New Roman"/>
                        </w:rPr>
                        <w:t>sufficiently documented and that adhere to domain-specific meta-data standards; and</w:t>
                      </w:r>
                    </w:p>
                    <w:p w14:paraId="42C48B07" w14:textId="77777777" w:rsidR="00BC0CFA" w:rsidRPr="000233FD" w:rsidRDefault="00BC0CFA" w:rsidP="00216207">
                      <w:pPr>
                        <w:pStyle w:val="ListParagraph"/>
                        <w:numPr>
                          <w:ilvl w:val="0"/>
                          <w:numId w:val="5"/>
                        </w:numPr>
                        <w:ind w:left="1134"/>
                        <w:textDirection w:val="btLr"/>
                      </w:pPr>
                      <w:r w:rsidRPr="000233FD">
                        <w:rPr>
                          <w:rFonts w:ascii="Times New Roman" w:eastAsia="Times New Roman" w:hAnsi="Times New Roman" w:cs="Times New Roman"/>
                        </w:rPr>
                        <w:t>archived and accessible.</w:t>
                      </w:r>
                    </w:p>
                    <w:p w14:paraId="09166AEE" w14:textId="3E08370F" w:rsidR="00BC0CFA" w:rsidRPr="000233FD" w:rsidRDefault="00BC0CFA" w:rsidP="002E074D">
                      <w:pPr>
                        <w:jc w:val="both"/>
                        <w:textDirection w:val="btLr"/>
                      </w:pPr>
                      <w:r w:rsidRPr="000233FD">
                        <w:rPr>
                          <w:rFonts w:ascii="Times New Roman" w:eastAsia="Times New Roman" w:hAnsi="Times New Roman" w:cs="Times New Roman"/>
                        </w:rPr>
                        <w:t>4. Adopt existing knowledge, information, and data and meta-data standards.</w:t>
                      </w:r>
                    </w:p>
                    <w:p w14:paraId="3C10E8B4" w14:textId="2D821B18" w:rsidR="00BC0CFA" w:rsidRPr="000233FD" w:rsidRDefault="00BC0CFA" w:rsidP="002E074D">
                      <w:pPr>
                        <w:jc w:val="both"/>
                        <w:textDirection w:val="btLr"/>
                      </w:pPr>
                      <w:r w:rsidRPr="000233FD">
                        <w:rPr>
                          <w:rFonts w:ascii="Times New Roman" w:eastAsia="Times New Roman" w:hAnsi="Times New Roman" w:cs="Times New Roman"/>
                        </w:rPr>
                        <w:t>5. Knowledge, information, and data quality and confidence should be assessed and reported.</w:t>
                      </w:r>
                    </w:p>
                    <w:p w14:paraId="099DB988" w14:textId="3E3DB8D4" w:rsidR="00BC0CFA" w:rsidRPr="000233FD" w:rsidRDefault="00BC0CFA">
                      <w:pPr>
                        <w:jc w:val="both"/>
                        <w:textDirection w:val="btLr"/>
                      </w:pPr>
                      <w:r w:rsidRPr="000233FD">
                        <w:rPr>
                          <w:rFonts w:ascii="Times New Roman" w:eastAsia="Times New Roman" w:hAnsi="Times New Roman" w:cs="Times New Roman"/>
                        </w:rPr>
                        <w:t>6. Ensure long</w:t>
                      </w:r>
                      <w:r>
                        <w:rPr>
                          <w:rFonts w:ascii="Times New Roman" w:eastAsia="Times New Roman" w:hAnsi="Times New Roman" w:cs="Times New Roman"/>
                        </w:rPr>
                        <w:t>-</w:t>
                      </w:r>
                      <w:r w:rsidRPr="000233FD">
                        <w:rPr>
                          <w:rFonts w:ascii="Times New Roman" w:eastAsia="Times New Roman" w:hAnsi="Times New Roman" w:cs="Times New Roman"/>
                        </w:rPr>
                        <w:t>term storage and archiving of knowledge, information, and data versions used in the assessment to ensure transparency.</w:t>
                      </w:r>
                    </w:p>
                  </w:txbxContent>
                </v:textbox>
                <w10:anchorlock/>
              </v:rect>
            </w:pict>
          </mc:Fallback>
        </mc:AlternateContent>
      </w:r>
    </w:p>
    <w:p w14:paraId="0CBD3963" w14:textId="38E4CC6F" w:rsidR="006B7655" w:rsidRPr="009B0448" w:rsidRDefault="00A8466E" w:rsidP="00FA7185">
      <w:pPr>
        <w:pStyle w:val="111"/>
        <w:numPr>
          <w:ilvl w:val="2"/>
          <w:numId w:val="10"/>
        </w:numPr>
        <w:spacing w:before="240" w:after="240"/>
        <w:ind w:left="709"/>
        <w:rPr>
          <w:rFonts w:cs="Times New Roman"/>
          <w:i w:val="0"/>
          <w:sz w:val="22"/>
          <w:szCs w:val="22"/>
        </w:rPr>
      </w:pPr>
      <w:bookmarkStart w:id="11" w:name="_Toc519499764"/>
      <w:r w:rsidRPr="009B0448">
        <w:rPr>
          <w:rFonts w:cs="Times New Roman"/>
          <w:i w:val="0"/>
          <w:sz w:val="22"/>
          <w:szCs w:val="22"/>
        </w:rPr>
        <w:t>Indicators</w:t>
      </w:r>
      <w:bookmarkEnd w:id="11"/>
    </w:p>
    <w:p w14:paraId="524F366C" w14:textId="5818649A" w:rsidR="006B7655" w:rsidRPr="009B0448" w:rsidRDefault="00A8466E" w:rsidP="00624DC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IPBES has consulted widely in arriving at a list of 81 indicators for its assessments, including a core l</w:t>
      </w:r>
      <w:r w:rsidR="004A5BB6" w:rsidRPr="009B0448">
        <w:rPr>
          <w:rFonts w:ascii="Times New Roman" w:eastAsia="Times New Roman" w:hAnsi="Times New Roman" w:cs="Times New Roman"/>
        </w:rPr>
        <w:t>ist of 30 indicators, of which nine</w:t>
      </w:r>
      <w:r w:rsidRPr="009B0448">
        <w:rPr>
          <w:rFonts w:ascii="Times New Roman" w:eastAsia="Times New Roman" w:hAnsi="Times New Roman" w:cs="Times New Roman"/>
        </w:rPr>
        <w:t xml:space="preserve"> are intended to assess socio-ecological status and trends. Indicators h</w:t>
      </w:r>
      <w:r w:rsidR="004A5BB6" w:rsidRPr="009B0448">
        <w:rPr>
          <w:rFonts w:ascii="Times New Roman" w:eastAsia="Times New Roman" w:hAnsi="Times New Roman" w:cs="Times New Roman"/>
        </w:rPr>
        <w:t>ave been selected to cover the conceptual f</w:t>
      </w:r>
      <w:r w:rsidRPr="009B0448">
        <w:rPr>
          <w:rFonts w:ascii="Times New Roman" w:eastAsia="Times New Roman" w:hAnsi="Times New Roman" w:cs="Times New Roman"/>
        </w:rPr>
        <w:t xml:space="preserve">ramework comprehensively. Indicators are here defined as data aggregated in a particular manner (quantitative or qualitative) that reflect the status, cause or outcome of an object or process, especially towards targets such as the Aichi </w:t>
      </w:r>
      <w:r w:rsidR="002E074D" w:rsidRPr="009B0448">
        <w:rPr>
          <w:rFonts w:ascii="Times New Roman" w:eastAsia="Times New Roman" w:hAnsi="Times New Roman" w:cs="Times New Roman"/>
        </w:rPr>
        <w:t xml:space="preserve">Biodiversity </w:t>
      </w:r>
      <w:r w:rsidRPr="009B0448">
        <w:rPr>
          <w:rFonts w:ascii="Times New Roman" w:eastAsia="Times New Roman" w:hAnsi="Times New Roman" w:cs="Times New Roman"/>
        </w:rPr>
        <w:t>Targets or those set by the S</w:t>
      </w:r>
      <w:r w:rsidR="002E074D" w:rsidRPr="009B0448">
        <w:rPr>
          <w:rFonts w:ascii="Times New Roman" w:eastAsia="Times New Roman" w:hAnsi="Times New Roman" w:cs="Times New Roman"/>
        </w:rPr>
        <w:t>ustainable Development Goals</w:t>
      </w:r>
      <w:r w:rsidRPr="009B0448">
        <w:rPr>
          <w:rFonts w:ascii="Times New Roman" w:eastAsia="Times New Roman" w:hAnsi="Times New Roman" w:cs="Times New Roman"/>
        </w:rPr>
        <w:t xml:space="preserve"> (</w:t>
      </w:r>
      <w:r w:rsidR="002E074D" w:rsidRPr="009B0448">
        <w:rPr>
          <w:rFonts w:ascii="Times New Roman" w:eastAsia="Times New Roman" w:hAnsi="Times New Roman" w:cs="Times New Roman"/>
        </w:rPr>
        <w:t xml:space="preserve">CBD </w:t>
      </w:r>
      <w:r w:rsidRPr="009B0448">
        <w:rPr>
          <w:rFonts w:ascii="Times New Roman" w:eastAsia="Times New Roman" w:hAnsi="Times New Roman" w:cs="Times New Roman"/>
        </w:rPr>
        <w:t xml:space="preserve">Secretariat, 2014). Indicators can help simplify the enormous complexity of datasets, variables, frameworks and approaches available to IPBES assessments (Müller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2012). They also serve as</w:t>
      </w:r>
      <w:r w:rsidR="002E074D" w:rsidRPr="009B0448">
        <w:rPr>
          <w:rFonts w:ascii="Times New Roman" w:eastAsia="Times New Roman" w:hAnsi="Times New Roman" w:cs="Times New Roman"/>
        </w:rPr>
        <w:t xml:space="preserve"> </w:t>
      </w:r>
      <w:r w:rsidRPr="009B0448">
        <w:rPr>
          <w:rFonts w:ascii="Times New Roman" w:eastAsia="Times New Roman" w:hAnsi="Times New Roman" w:cs="Times New Roman"/>
        </w:rPr>
        <w:t>useful tools for communicating the results of assessments. It is</w:t>
      </w:r>
      <w:r w:rsidR="00D83F47">
        <w:rPr>
          <w:rFonts w:ascii="Times New Roman" w:eastAsia="Times New Roman" w:hAnsi="Times New Roman" w:cs="Times New Roman"/>
        </w:rPr>
        <w:t>,</w:t>
      </w:r>
      <w:r w:rsidRPr="009B0448">
        <w:rPr>
          <w:rFonts w:ascii="Times New Roman" w:eastAsia="Times New Roman" w:hAnsi="Times New Roman" w:cs="Times New Roman"/>
        </w:rPr>
        <w:t xml:space="preserve"> however, important to </w:t>
      </w:r>
      <w:r w:rsidR="00264EBF" w:rsidRPr="009B0448">
        <w:rPr>
          <w:rFonts w:ascii="Times New Roman" w:eastAsia="Times New Roman" w:hAnsi="Times New Roman" w:cs="Times New Roman"/>
        </w:rPr>
        <w:t>recognis</w:t>
      </w:r>
      <w:r w:rsidRPr="009B0448">
        <w:rPr>
          <w:rFonts w:ascii="Times New Roman" w:eastAsia="Times New Roman" w:hAnsi="Times New Roman" w:cs="Times New Roman"/>
        </w:rPr>
        <w:t xml:space="preserve">e the limitations of a given set of indicators in capturing the complexities of the ‘real world’, since indicators are restricted to what can be measured and for which there are available data. Notably, these limitations are especially significant when it comes to assessing nature’s non-material contributions to people and to their quality of life. Indicators </w:t>
      </w:r>
      <w:r w:rsidRPr="009B0448">
        <w:rPr>
          <w:rFonts w:ascii="Times New Roman" w:eastAsia="Times New Roman" w:hAnsi="Times New Roman" w:cs="Times New Roman"/>
        </w:rPr>
        <w:lastRenderedPageBreak/>
        <w:t>are not independent of one another, and relationships between them are non-linear. Moreover, the choices of indicators are related to diverse cultural perspectives. Hence, in IPBES assessments, indicators are subjected to critical analysis and review from a diversi</w:t>
      </w:r>
      <w:r w:rsidR="002E074D" w:rsidRPr="009B0448">
        <w:rPr>
          <w:rFonts w:ascii="Times New Roman" w:eastAsia="Times New Roman" w:hAnsi="Times New Roman" w:cs="Times New Roman"/>
        </w:rPr>
        <w:t>ty of stakeholders and experts.</w:t>
      </w:r>
    </w:p>
    <w:p w14:paraId="43E7B490" w14:textId="00693D65" w:rsidR="006B7655" w:rsidRPr="009B0448" w:rsidRDefault="00A8466E" w:rsidP="00FA7185">
      <w:pPr>
        <w:pStyle w:val="111"/>
        <w:numPr>
          <w:ilvl w:val="2"/>
          <w:numId w:val="10"/>
        </w:numPr>
        <w:spacing w:before="240" w:after="240"/>
        <w:ind w:left="709"/>
        <w:rPr>
          <w:rFonts w:cs="Times New Roman"/>
          <w:i w:val="0"/>
          <w:sz w:val="22"/>
          <w:szCs w:val="22"/>
        </w:rPr>
      </w:pPr>
      <w:bookmarkStart w:id="12" w:name="_Toc519499765"/>
      <w:r w:rsidRPr="009B0448">
        <w:rPr>
          <w:rFonts w:cs="Times New Roman"/>
          <w:i w:val="0"/>
          <w:sz w:val="22"/>
          <w:szCs w:val="22"/>
        </w:rPr>
        <w:t>Scenarios</w:t>
      </w:r>
      <w:bookmarkEnd w:id="12"/>
    </w:p>
    <w:p w14:paraId="2B06BE4C" w14:textId="1D7169CD" w:rsidR="006B7655" w:rsidRPr="009B0448" w:rsidRDefault="00A8466E" w:rsidP="00624DC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Scenarios and models play complementary roles, with scenarios describing possible futures for drivers of change or policy interventions, and models translating those scenarios into projected consequences for nature and na</w:t>
      </w:r>
      <w:r w:rsidR="002E074D" w:rsidRPr="009B0448">
        <w:rPr>
          <w:rFonts w:ascii="Times New Roman" w:eastAsia="Times New Roman" w:hAnsi="Times New Roman" w:cs="Times New Roman"/>
        </w:rPr>
        <w:t>ture’s contributions to people</w:t>
      </w:r>
      <w:r w:rsidRPr="009B0448">
        <w:rPr>
          <w:rFonts w:ascii="Times New Roman" w:eastAsia="Times New Roman" w:hAnsi="Times New Roman" w:cs="Times New Roman"/>
        </w:rPr>
        <w:t>. In brief, the goals of using scenarios and models are:</w:t>
      </w:r>
    </w:p>
    <w:p w14:paraId="3CBF361D" w14:textId="77777777" w:rsidR="006B7655" w:rsidRPr="009B0448" w:rsidRDefault="00A8466E" w:rsidP="00624DCE">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 xml:space="preserve">to better understand and synthesize a broad range of observations, </w:t>
      </w:r>
    </w:p>
    <w:p w14:paraId="0E8BBB79" w14:textId="0B021C4A" w:rsidR="006B7655" w:rsidRPr="009B0448" w:rsidRDefault="00A8466E" w:rsidP="00624DCE">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 xml:space="preserve">to alert </w:t>
      </w:r>
      <w:r w:rsidR="00574E50" w:rsidRPr="009B0448">
        <w:rPr>
          <w:rFonts w:ascii="Times New Roman" w:hAnsi="Times New Roman" w:cs="Times New Roman"/>
        </w:rPr>
        <w:t>decision-mak</w:t>
      </w:r>
      <w:r w:rsidRPr="009B0448">
        <w:rPr>
          <w:rFonts w:ascii="Times New Roman" w:hAnsi="Times New Roman" w:cs="Times New Roman"/>
        </w:rPr>
        <w:t>ers to future impacts</w:t>
      </w:r>
      <w:r w:rsidR="002E074D" w:rsidRPr="009B0448">
        <w:rPr>
          <w:rFonts w:ascii="Times New Roman" w:hAnsi="Times New Roman" w:cs="Times New Roman"/>
        </w:rPr>
        <w:t>,</w:t>
      </w:r>
      <w:r w:rsidRPr="009B0448">
        <w:rPr>
          <w:rFonts w:ascii="Times New Roman" w:hAnsi="Times New Roman" w:cs="Times New Roman"/>
        </w:rPr>
        <w:t xml:space="preserve"> </w:t>
      </w:r>
    </w:p>
    <w:p w14:paraId="21A3C8A2" w14:textId="77777777" w:rsidR="006B7655" w:rsidRPr="009B0448" w:rsidRDefault="00A8466E" w:rsidP="00624DCE">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to provide decision support for developing adaptive management strategies, and</w:t>
      </w:r>
    </w:p>
    <w:p w14:paraId="00A7E4E8" w14:textId="0BEC03EF" w:rsidR="006B7655" w:rsidRPr="009B0448" w:rsidRDefault="00A8466E" w:rsidP="00624DCE">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 xml:space="preserve">to explore the implications of alternative social-ecological development pathways, governance and policy options (Source: </w:t>
      </w:r>
      <w:r w:rsidR="002E074D" w:rsidRPr="009B0448">
        <w:rPr>
          <w:rFonts w:ascii="Times New Roman" w:hAnsi="Times New Roman" w:cs="Times New Roman"/>
        </w:rPr>
        <w:t>IPBES, 2016</w:t>
      </w:r>
      <w:r w:rsidR="002178E0" w:rsidRPr="009B0448">
        <w:rPr>
          <w:rFonts w:ascii="Times New Roman" w:hAnsi="Times New Roman" w:cs="Times New Roman"/>
        </w:rPr>
        <w:t>b</w:t>
      </w:r>
      <w:r w:rsidRPr="009B0448">
        <w:rPr>
          <w:rFonts w:ascii="Times New Roman" w:hAnsi="Times New Roman" w:cs="Times New Roman"/>
        </w:rPr>
        <w:t>)</w:t>
      </w:r>
      <w:r w:rsidR="005142DD" w:rsidRPr="009B0448">
        <w:rPr>
          <w:rFonts w:ascii="Times New Roman" w:hAnsi="Times New Roman" w:cs="Times New Roman"/>
        </w:rPr>
        <w:t>.</w:t>
      </w:r>
    </w:p>
    <w:p w14:paraId="50D8DC97" w14:textId="77777777" w:rsidR="00624DCE" w:rsidRPr="009B0448" w:rsidRDefault="00624DCE" w:rsidP="00624DCE">
      <w:pPr>
        <w:widowControl w:val="0"/>
        <w:spacing w:line="276" w:lineRule="auto"/>
        <w:jc w:val="both"/>
        <w:rPr>
          <w:rFonts w:ascii="Times New Roman" w:hAnsi="Times New Roman" w:cs="Times New Roman"/>
        </w:rPr>
      </w:pPr>
    </w:p>
    <w:p w14:paraId="44055520" w14:textId="460D9921" w:rsidR="006B7655" w:rsidRPr="009B0448" w:rsidRDefault="00A8466E" w:rsidP="00624DC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There are a number of methods and models commonly used for constructing biodiversity scenarios (Pereira </w:t>
      </w:r>
      <w:r w:rsidR="000429F8" w:rsidRPr="009B0448">
        <w:rPr>
          <w:rFonts w:ascii="Times New Roman" w:eastAsia="Times New Roman" w:hAnsi="Times New Roman" w:cs="Times New Roman"/>
          <w:i/>
        </w:rPr>
        <w:t>et al.</w:t>
      </w:r>
      <w:r w:rsidR="005142DD" w:rsidRPr="009B0448">
        <w:rPr>
          <w:rFonts w:ascii="Times New Roman" w:eastAsia="Times New Roman" w:hAnsi="Times New Roman" w:cs="Times New Roman"/>
        </w:rPr>
        <w:t>,</w:t>
      </w:r>
      <w:r w:rsidR="00520BF5" w:rsidRPr="009B0448">
        <w:rPr>
          <w:rFonts w:ascii="Times New Roman" w:eastAsia="Times New Roman" w:hAnsi="Times New Roman" w:cs="Times New Roman"/>
        </w:rPr>
        <w:t xml:space="preserve"> 2010</w:t>
      </w:r>
      <w:r w:rsidR="005142DD" w:rsidRPr="009B0448">
        <w:rPr>
          <w:rFonts w:ascii="Times New Roman" w:eastAsia="Times New Roman" w:hAnsi="Times New Roman" w:cs="Times New Roman"/>
        </w:rPr>
        <w:t>;</w:t>
      </w:r>
      <w:r w:rsidR="00520BF5" w:rsidRPr="009B0448">
        <w:rPr>
          <w:rFonts w:ascii="Times New Roman" w:eastAsia="Times New Roman" w:hAnsi="Times New Roman" w:cs="Times New Roman"/>
        </w:rPr>
        <w:t xml:space="preserve"> Figure 1.</w:t>
      </w:r>
      <w:r w:rsidR="009F4956" w:rsidRPr="009B0448">
        <w:rPr>
          <w:rFonts w:ascii="Times New Roman" w:eastAsia="Times New Roman" w:hAnsi="Times New Roman" w:cs="Times New Roman"/>
        </w:rPr>
        <w:t>3</w:t>
      </w:r>
      <w:r w:rsidR="00520BF5" w:rsidRPr="009B0448">
        <w:rPr>
          <w:rFonts w:ascii="Times New Roman" w:eastAsia="Times New Roman" w:hAnsi="Times New Roman" w:cs="Times New Roman"/>
        </w:rPr>
        <w:t>) and ‘</w:t>
      </w:r>
      <w:r w:rsidRPr="009B0448">
        <w:rPr>
          <w:rFonts w:ascii="Times New Roman" w:eastAsia="Times New Roman" w:hAnsi="Times New Roman" w:cs="Times New Roman"/>
        </w:rPr>
        <w:t>forward-looking</w:t>
      </w:r>
      <w:r w:rsidR="00520BF5" w:rsidRPr="009B0448">
        <w:rPr>
          <w:rFonts w:ascii="Times New Roman" w:eastAsia="Times New Roman" w:hAnsi="Times New Roman" w:cs="Times New Roman"/>
        </w:rPr>
        <w:t>’</w:t>
      </w:r>
      <w:r w:rsidRPr="009B0448">
        <w:rPr>
          <w:rFonts w:ascii="Times New Roman" w:eastAsia="Times New Roman" w:hAnsi="Times New Roman" w:cs="Times New Roman"/>
        </w:rPr>
        <w:t xml:space="preserve"> approaches (Leadley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 These include:</w:t>
      </w:r>
    </w:p>
    <w:p w14:paraId="1B9F72FD" w14:textId="4BE11D16" w:rsidR="006B7655" w:rsidRPr="009B0448" w:rsidRDefault="00A8466E" w:rsidP="00624DCE">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Expectation (revealing plausible futures) vers</w:t>
      </w:r>
      <w:r w:rsidR="009D5879" w:rsidRPr="009B0448">
        <w:rPr>
          <w:rFonts w:ascii="Times New Roman" w:hAnsi="Times New Roman" w:cs="Times New Roman"/>
        </w:rPr>
        <w:t>us d</w:t>
      </w:r>
      <w:r w:rsidRPr="009B0448">
        <w:rPr>
          <w:rFonts w:ascii="Times New Roman" w:hAnsi="Times New Roman" w:cs="Times New Roman"/>
        </w:rPr>
        <w:t>esire (defining targets);</w:t>
      </w:r>
    </w:p>
    <w:p w14:paraId="4F0B01FE" w14:textId="3CE72767" w:rsidR="006B7655" w:rsidRPr="009B0448" w:rsidRDefault="00A8466E" w:rsidP="00624DCE">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Outlining the future (</w:t>
      </w:r>
      <w:r w:rsidR="00917FB2">
        <w:rPr>
          <w:rFonts w:ascii="Times New Roman" w:hAnsi="Times New Roman" w:cs="Times New Roman"/>
        </w:rPr>
        <w:t>policymaker</w:t>
      </w:r>
      <w:r w:rsidRPr="009B0448">
        <w:rPr>
          <w:rFonts w:ascii="Times New Roman" w:hAnsi="Times New Roman" w:cs="Times New Roman"/>
        </w:rPr>
        <w:t>s) versus fostering anticipatory learning to enable adaptive co-management (local community).</w:t>
      </w:r>
    </w:p>
    <w:p w14:paraId="4E8BFA6D" w14:textId="77777777" w:rsidR="00624DCE" w:rsidRPr="009B0448" w:rsidRDefault="00624DCE" w:rsidP="00624DCE">
      <w:pPr>
        <w:widowControl w:val="0"/>
        <w:spacing w:line="276" w:lineRule="auto"/>
        <w:jc w:val="both"/>
        <w:rPr>
          <w:rFonts w:ascii="Times New Roman" w:hAnsi="Times New Roman" w:cs="Times New Roman"/>
        </w:rPr>
      </w:pPr>
    </w:p>
    <w:p w14:paraId="0FCA7ED9" w14:textId="736DDC9C" w:rsidR="00624DCE" w:rsidRPr="009B0448" w:rsidRDefault="00A8466E" w:rsidP="00624DC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Assessments of status and trends are typically well understood by policymakers and stakeholders because they rely heavily on the analysis of observations. Looking into the future, however, is more complex because it relies on coupling scenarios of future socioeconomic development pathways with models of the impacts of future states of various direct and indirect drivers on biodiversity and ecosystem function and, in turn, nature’s contributions to people underpinning human well-being. Assessments of the future of nature and </w:t>
      </w:r>
      <w:r w:rsidR="002E074D" w:rsidRPr="009B0448">
        <w:rPr>
          <w:rFonts w:ascii="Times New Roman" w:hAnsi="Times New Roman" w:cs="Times New Roman"/>
        </w:rPr>
        <w:t>nature’s contributions to people</w:t>
      </w:r>
      <w:r w:rsidRPr="009B0448">
        <w:rPr>
          <w:rFonts w:ascii="Times New Roman" w:eastAsia="Times New Roman" w:hAnsi="Times New Roman" w:cs="Times New Roman"/>
        </w:rPr>
        <w:t xml:space="preserve"> are typically explicitly or implicitly built on three main components:</w:t>
      </w:r>
    </w:p>
    <w:p w14:paraId="4C4C2A02" w14:textId="3CF7BAEE" w:rsidR="006B7655" w:rsidRPr="009B0448" w:rsidRDefault="00A8466E" w:rsidP="00624DCE">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Scenarios of socio-economic development (e.g.</w:t>
      </w:r>
      <w:r w:rsidR="00E84BEA">
        <w:rPr>
          <w:rFonts w:ascii="Times New Roman" w:hAnsi="Times New Roman" w:cs="Times New Roman"/>
        </w:rPr>
        <w:t>,</w:t>
      </w:r>
      <w:r w:rsidRPr="009B0448">
        <w:rPr>
          <w:rFonts w:ascii="Times New Roman" w:hAnsi="Times New Roman" w:cs="Times New Roman"/>
        </w:rPr>
        <w:t xml:space="preserve"> population growth, economic growth, per capita food consumption, greenhouse gas emissions) and policy options (e.g.</w:t>
      </w:r>
      <w:r w:rsidR="00E84BEA">
        <w:rPr>
          <w:rFonts w:ascii="Times New Roman" w:hAnsi="Times New Roman" w:cs="Times New Roman"/>
        </w:rPr>
        <w:t>,</w:t>
      </w:r>
      <w:r w:rsidRPr="009B0448">
        <w:rPr>
          <w:rFonts w:ascii="Times New Roman" w:hAnsi="Times New Roman" w:cs="Times New Roman"/>
        </w:rPr>
        <w:t xml:space="preserve"> reducing carbon emissions from deforestation and forest degradation, subsidies for bioenergy, etc.);</w:t>
      </w:r>
    </w:p>
    <w:p w14:paraId="20F478E7" w14:textId="3C9E24CF" w:rsidR="006B7655" w:rsidRPr="009B0448" w:rsidRDefault="00A8466E" w:rsidP="00624DCE">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Models projecting changes in direct drivers of biodiversi</w:t>
      </w:r>
      <w:r w:rsidR="002E074D" w:rsidRPr="009B0448">
        <w:rPr>
          <w:rFonts w:ascii="Times New Roman" w:hAnsi="Times New Roman" w:cs="Times New Roman"/>
        </w:rPr>
        <w:t>ty and ecosystem function (e.g.</w:t>
      </w:r>
      <w:r w:rsidR="00E84BEA">
        <w:rPr>
          <w:rFonts w:ascii="Times New Roman" w:hAnsi="Times New Roman" w:cs="Times New Roman"/>
        </w:rPr>
        <w:t>,</w:t>
      </w:r>
      <w:r w:rsidRPr="009B0448">
        <w:rPr>
          <w:rFonts w:ascii="Times New Roman" w:hAnsi="Times New Roman" w:cs="Times New Roman"/>
        </w:rPr>
        <w:t xml:space="preserve"> </w:t>
      </w:r>
      <w:r w:rsidR="00917FB2">
        <w:rPr>
          <w:rFonts w:ascii="Times New Roman" w:hAnsi="Times New Roman" w:cs="Times New Roman"/>
        </w:rPr>
        <w:t>land-use</w:t>
      </w:r>
      <w:r w:rsidRPr="009B0448">
        <w:rPr>
          <w:rFonts w:ascii="Times New Roman" w:hAnsi="Times New Roman" w:cs="Times New Roman"/>
        </w:rPr>
        <w:t xml:space="preserve"> change, fishing pressure, climate change, invasive alien species, nitrogen deposition, etc.);</w:t>
      </w:r>
    </w:p>
    <w:p w14:paraId="20BBBB7D" w14:textId="39768A63" w:rsidR="00AA0E73" w:rsidRPr="009B0448" w:rsidRDefault="00A8466E" w:rsidP="00624DCE">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 xml:space="preserve">Models assessing the impacts of drivers and changes in biodiversity and ecosystem function on </w:t>
      </w:r>
      <w:r w:rsidR="002E074D" w:rsidRPr="009B0448">
        <w:rPr>
          <w:rFonts w:ascii="Times New Roman" w:hAnsi="Times New Roman" w:cs="Times New Roman"/>
        </w:rPr>
        <w:t>nature’s contributions to people (e.g.</w:t>
      </w:r>
      <w:r w:rsidR="00E84BEA">
        <w:rPr>
          <w:rFonts w:ascii="Times New Roman" w:hAnsi="Times New Roman" w:cs="Times New Roman"/>
        </w:rPr>
        <w:t>,</w:t>
      </w:r>
      <w:r w:rsidRPr="009B0448">
        <w:rPr>
          <w:rFonts w:ascii="Times New Roman" w:hAnsi="Times New Roman" w:cs="Times New Roman"/>
        </w:rPr>
        <w:t xml:space="preserve"> ecosystem productivity, control of water quantity and quality, carbon storage, cultural values, etc.).</w:t>
      </w:r>
    </w:p>
    <w:p w14:paraId="3DD37A29" w14:textId="77777777" w:rsidR="00624DCE" w:rsidRPr="009B0448" w:rsidRDefault="00624DCE" w:rsidP="00292D18">
      <w:pPr>
        <w:spacing w:line="276" w:lineRule="auto"/>
        <w:jc w:val="both"/>
        <w:rPr>
          <w:rFonts w:ascii="Times New Roman" w:eastAsia="Times New Roman" w:hAnsi="Times New Roman" w:cs="Times New Roman"/>
        </w:rPr>
      </w:pPr>
    </w:p>
    <w:p w14:paraId="3723DAA3" w14:textId="2434CB08"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IPBES aims to match its scenarios carefully to the needs of particular policy or decision contexts, paying particular attention to (i) the choice of drivers or policy options that determine the appropriate types of scenarios (e.g.</w:t>
      </w:r>
      <w:r w:rsidR="00E84BEA">
        <w:rPr>
          <w:rFonts w:ascii="Times New Roman" w:eastAsia="Times New Roman" w:hAnsi="Times New Roman" w:cs="Times New Roman"/>
        </w:rPr>
        <w:t>,</w:t>
      </w:r>
      <w:r w:rsidRPr="009B0448">
        <w:rPr>
          <w:rFonts w:ascii="Times New Roman" w:eastAsia="Times New Roman" w:hAnsi="Times New Roman" w:cs="Times New Roman"/>
        </w:rPr>
        <w:t xml:space="preserve"> exploratory, target-seeking or policy screening); (ii) the impacts on nature and </w:t>
      </w:r>
      <w:r w:rsidR="009A117B" w:rsidRPr="009B0448">
        <w:rPr>
          <w:rFonts w:ascii="Times New Roman" w:eastAsia="Times New Roman" w:hAnsi="Times New Roman" w:cs="Times New Roman"/>
        </w:rPr>
        <w:t>its contributions to people nature's t</w:t>
      </w:r>
      <w:r w:rsidRPr="009B0448">
        <w:rPr>
          <w:rFonts w:ascii="Times New Roman" w:eastAsia="Times New Roman" w:hAnsi="Times New Roman" w:cs="Times New Roman"/>
        </w:rPr>
        <w:t xml:space="preserve">hat are of interest and that determine the types of models of impacts that should be </w:t>
      </w:r>
      <w:r w:rsidR="00264EBF" w:rsidRPr="009B0448">
        <w:rPr>
          <w:rFonts w:ascii="Times New Roman" w:eastAsia="Times New Roman" w:hAnsi="Times New Roman" w:cs="Times New Roman"/>
        </w:rPr>
        <w:t>mobilis</w:t>
      </w:r>
      <w:r w:rsidRPr="009B0448">
        <w:rPr>
          <w:rFonts w:ascii="Times New Roman" w:eastAsia="Times New Roman" w:hAnsi="Times New Roman" w:cs="Times New Roman"/>
        </w:rPr>
        <w:t xml:space="preserve">ed; (iii) the diverse values that need to be addressed and that determine the appropriate methods for assessing those values; and (iv) the type of policy or decision-making processes that are being supported and that determine the suitability of different assessment </w:t>
      </w:r>
      <w:r w:rsidR="002E074D" w:rsidRPr="009B0448">
        <w:rPr>
          <w:rFonts w:ascii="Times New Roman" w:eastAsia="Times New Roman" w:hAnsi="Times New Roman" w:cs="Times New Roman"/>
        </w:rPr>
        <w:t>or decision-support tools (e.g.</w:t>
      </w:r>
      <w:r w:rsidR="00E84BEA">
        <w:rPr>
          <w:rFonts w:ascii="Times New Roman" w:eastAsia="Times New Roman" w:hAnsi="Times New Roman" w:cs="Times New Roman"/>
        </w:rPr>
        <w:t>,</w:t>
      </w:r>
      <w:r w:rsidRPr="009B0448">
        <w:rPr>
          <w:rFonts w:ascii="Times New Roman" w:eastAsia="Times New Roman" w:hAnsi="Times New Roman" w:cs="Times New Roman"/>
        </w:rPr>
        <w:t xml:space="preserve"> multi-criteria analysis and management strategy evaluation).</w:t>
      </w:r>
    </w:p>
    <w:p w14:paraId="014DE75E" w14:textId="77777777" w:rsidR="00624DCE" w:rsidRPr="009B0448" w:rsidRDefault="00624DCE" w:rsidP="00292D18">
      <w:pPr>
        <w:spacing w:line="276" w:lineRule="auto"/>
        <w:jc w:val="both"/>
        <w:rPr>
          <w:rFonts w:ascii="Times New Roman" w:eastAsia="Times New Roman" w:hAnsi="Times New Roman" w:cs="Times New Roman"/>
        </w:rPr>
      </w:pPr>
    </w:p>
    <w:p w14:paraId="75876A84" w14:textId="4F71DDBB"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lastRenderedPageBreak/>
        <w:t>The regional assessments ma</w:t>
      </w:r>
      <w:r w:rsidR="00520BF5" w:rsidRPr="009B0448">
        <w:rPr>
          <w:rFonts w:ascii="Times New Roman" w:eastAsia="Times New Roman" w:hAnsi="Times New Roman" w:cs="Times New Roman"/>
        </w:rPr>
        <w:t>ke use of scenario archetypes—</w:t>
      </w:r>
      <w:r w:rsidRPr="009B0448">
        <w:rPr>
          <w:rFonts w:ascii="Times New Roman" w:eastAsia="Times New Roman" w:hAnsi="Times New Roman" w:cs="Times New Roman"/>
        </w:rPr>
        <w:t>i.e.</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groups of futures which are deemed ‘similar’ </w:t>
      </w:r>
      <w:r w:rsidR="009D5879" w:rsidRPr="009B0448">
        <w:rPr>
          <w:rFonts w:ascii="Times New Roman" w:eastAsia="Times New Roman" w:hAnsi="Times New Roman" w:cs="Times New Roman"/>
        </w:rPr>
        <w:t>for</w:t>
      </w:r>
      <w:r w:rsidRPr="009B0448">
        <w:rPr>
          <w:rFonts w:ascii="Times New Roman" w:eastAsia="Times New Roman" w:hAnsi="Times New Roman" w:cs="Times New Roman"/>
        </w:rPr>
        <w:t xml:space="preserve"> the purpose of a specific analysis (Boschetti </w:t>
      </w:r>
      <w:r w:rsidR="000429F8" w:rsidRPr="009B0448">
        <w:rPr>
          <w:rFonts w:ascii="Times New Roman" w:eastAsia="Times New Roman" w:hAnsi="Times New Roman" w:cs="Times New Roman"/>
          <w:i/>
        </w:rPr>
        <w:t>et al.</w:t>
      </w:r>
      <w:r w:rsidR="002E074D" w:rsidRPr="009B0448">
        <w:rPr>
          <w:rFonts w:ascii="Times New Roman" w:eastAsia="Times New Roman" w:hAnsi="Times New Roman" w:cs="Times New Roman"/>
        </w:rPr>
        <w:t>,</w:t>
      </w:r>
      <w:r w:rsidRPr="009B0448">
        <w:rPr>
          <w:rFonts w:ascii="Times New Roman" w:eastAsia="Times New Roman" w:hAnsi="Times New Roman" w:cs="Times New Roman"/>
        </w:rPr>
        <w:t xml:space="preserve"> 2016).</w:t>
      </w:r>
    </w:p>
    <w:p w14:paraId="20B29B1E" w14:textId="77777777" w:rsidR="006B7655" w:rsidRPr="009B0448" w:rsidRDefault="006B7655" w:rsidP="0072755B">
      <w:pPr>
        <w:spacing w:line="276" w:lineRule="auto"/>
        <w:jc w:val="both"/>
        <w:rPr>
          <w:rFonts w:ascii="Times New Roman" w:eastAsia="Times New Roman" w:hAnsi="Times New Roman" w:cs="Times New Roman"/>
        </w:rPr>
      </w:pPr>
    </w:p>
    <w:p w14:paraId="11C9BB32" w14:textId="47085AE7" w:rsidR="00E8502A" w:rsidRPr="009B0448" w:rsidRDefault="00E8502A" w:rsidP="00527EA8">
      <w:pPr>
        <w:rPr>
          <w:rFonts w:ascii="Times New Roman" w:eastAsia="Times New Roman" w:hAnsi="Times New Roman" w:cs="Times New Roman"/>
          <w:sz w:val="20"/>
          <w:szCs w:val="20"/>
        </w:rPr>
      </w:pPr>
      <w:r w:rsidRPr="009B0448">
        <w:rPr>
          <w:rFonts w:ascii="Times New Roman" w:hAnsi="Times New Roman" w:cs="Times New Roman"/>
          <w:noProof/>
          <w:sz w:val="20"/>
          <w:szCs w:val="20"/>
          <w:lang w:eastAsia="en-GB"/>
        </w:rPr>
        <w:drawing>
          <wp:inline distT="0" distB="0" distL="0" distR="8890" wp14:anchorId="2694329A" wp14:editId="1FE9EDE7">
            <wp:extent cx="5707672" cy="4198620"/>
            <wp:effectExtent l="0" t="0" r="7620" 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
                      <a:extLst>
                        <a:ext uri="{28A0092B-C50C-407E-A947-70E740481C1C}">
                          <a14:useLocalDpi xmlns:a14="http://schemas.microsoft.com/office/drawing/2010/main" val="0"/>
                        </a:ext>
                      </a:extLst>
                    </a:blip>
                    <a:stretch>
                      <a:fillRect/>
                    </a:stretch>
                  </pic:blipFill>
                  <pic:spPr>
                    <a:xfrm>
                      <a:off x="0" y="0"/>
                      <a:ext cx="5709924" cy="4200277"/>
                    </a:xfrm>
                    <a:prstGeom prst="rect">
                      <a:avLst/>
                    </a:prstGeom>
                    <a:ln/>
                  </pic:spPr>
                </pic:pic>
              </a:graphicData>
            </a:graphic>
          </wp:inline>
        </w:drawing>
      </w:r>
    </w:p>
    <w:p w14:paraId="031F2570" w14:textId="1B1A4028" w:rsidR="00E8502A" w:rsidRPr="009B0448" w:rsidRDefault="009F4956"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1.3</w:t>
      </w:r>
      <w:r w:rsidR="00E8502A" w:rsidRPr="009B0448">
        <w:rPr>
          <w:rFonts w:ascii="Times New Roman" w:eastAsia="Times New Roman" w:hAnsi="Times New Roman" w:cs="Times New Roman"/>
          <w:b/>
        </w:rPr>
        <w:t>:</w:t>
      </w:r>
      <w:r w:rsidR="00E8502A" w:rsidRPr="009B0448">
        <w:rPr>
          <w:rFonts w:ascii="Times New Roman" w:eastAsia="Times New Roman" w:hAnsi="Times New Roman" w:cs="Times New Roman"/>
        </w:rPr>
        <w:t xml:space="preserve"> </w:t>
      </w:r>
      <w:r w:rsidR="00900615" w:rsidRPr="009B0448">
        <w:rPr>
          <w:rFonts w:ascii="Times New Roman" w:eastAsia="Times New Roman" w:hAnsi="Times New Roman" w:cs="Times New Roman"/>
        </w:rPr>
        <w:t xml:space="preserve">Overview of methods and models commonly used for constructing biodiversity scenarios. Source: Pereira </w:t>
      </w:r>
      <w:r w:rsidR="00900615" w:rsidRPr="009B0448">
        <w:rPr>
          <w:rFonts w:ascii="Times New Roman" w:eastAsia="Times New Roman" w:hAnsi="Times New Roman" w:cs="Times New Roman"/>
          <w:i/>
        </w:rPr>
        <w:t>et al.</w:t>
      </w:r>
      <w:r w:rsidR="00900615" w:rsidRPr="009B0448">
        <w:rPr>
          <w:rFonts w:ascii="Times New Roman" w:eastAsia="Times New Roman" w:hAnsi="Times New Roman" w:cs="Times New Roman"/>
        </w:rPr>
        <w:t xml:space="preserve"> (2010).</w:t>
      </w:r>
    </w:p>
    <w:p w14:paraId="007FADF7" w14:textId="77777777" w:rsidR="00292D18" w:rsidRPr="009B0448" w:rsidRDefault="00292D18" w:rsidP="00D83F47">
      <w:pPr>
        <w:spacing w:line="276" w:lineRule="auto"/>
        <w:ind w:firstLine="720"/>
        <w:jc w:val="both"/>
        <w:rPr>
          <w:rFonts w:ascii="Times New Roman" w:eastAsia="Times New Roman" w:hAnsi="Times New Roman" w:cs="Times New Roman"/>
        </w:rPr>
      </w:pPr>
    </w:p>
    <w:p w14:paraId="7EF59CA5" w14:textId="49BC1E2E" w:rsidR="006B7655" w:rsidRPr="009B0448" w:rsidRDefault="00D83F47" w:rsidP="00292D18">
      <w:pPr>
        <w:spacing w:line="276" w:lineRule="auto"/>
        <w:jc w:val="both"/>
        <w:rPr>
          <w:rFonts w:ascii="Times New Roman" w:eastAsia="Times New Roman" w:hAnsi="Times New Roman" w:cs="Times New Roman"/>
        </w:rPr>
      </w:pPr>
      <w:r>
        <w:rPr>
          <w:rFonts w:ascii="Times New Roman" w:eastAsia="Times New Roman" w:hAnsi="Times New Roman" w:cs="Times New Roman"/>
        </w:rPr>
        <w:t>According to current large-</w:t>
      </w:r>
      <w:r w:rsidR="00A8466E" w:rsidRPr="009B0448">
        <w:rPr>
          <w:rFonts w:ascii="Times New Roman" w:eastAsia="Times New Roman" w:hAnsi="Times New Roman" w:cs="Times New Roman"/>
        </w:rPr>
        <w:t xml:space="preserve">scale models and scenarios, in both marine (Cheung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2009; Kaimuddin </w:t>
      </w:r>
      <w:r w:rsidR="000429F8" w:rsidRPr="009B0448">
        <w:rPr>
          <w:rFonts w:ascii="Times New Roman" w:eastAsia="Times New Roman" w:hAnsi="Times New Roman" w:cs="Times New Roman"/>
          <w:i/>
        </w:rPr>
        <w:t>et al.</w:t>
      </w:r>
      <w:r w:rsidR="00520BF5" w:rsidRPr="009B0448">
        <w:rPr>
          <w:rFonts w:ascii="Times New Roman" w:eastAsia="Times New Roman" w:hAnsi="Times New Roman" w:cs="Times New Roman"/>
        </w:rPr>
        <w:t>,</w:t>
      </w:r>
      <w:r w:rsidR="005142DD" w:rsidRPr="009B0448">
        <w:rPr>
          <w:rFonts w:ascii="Times New Roman" w:eastAsia="Times New Roman" w:hAnsi="Times New Roman" w:cs="Times New Roman"/>
        </w:rPr>
        <w:t xml:space="preserve"> </w:t>
      </w:r>
      <w:r w:rsidR="00A8466E" w:rsidRPr="009B0448">
        <w:rPr>
          <w:rFonts w:ascii="Times New Roman" w:eastAsia="Times New Roman" w:hAnsi="Times New Roman" w:cs="Times New Roman"/>
        </w:rPr>
        <w:t xml:space="preserve">2016) and terrestrial (Sekercioglu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2008) realms, climate change has already caused species and biomes </w:t>
      </w:r>
      <w:r w:rsidR="00D13B6E" w:rsidRPr="009B0448">
        <w:rPr>
          <w:rFonts w:ascii="Times New Roman" w:eastAsia="Times New Roman" w:hAnsi="Times New Roman" w:cs="Times New Roman"/>
        </w:rPr>
        <w:t>poleward</w:t>
      </w:r>
      <w:r w:rsidR="00FA04AE" w:rsidRPr="009B0448">
        <w:rPr>
          <w:rFonts w:ascii="Times New Roman" w:eastAsia="Times New Roman" w:hAnsi="Times New Roman" w:cs="Times New Roman"/>
        </w:rPr>
        <w:t>/upward/deepward</w:t>
      </w:r>
      <w:r w:rsidR="00D13B6E" w:rsidRPr="009B0448">
        <w:rPr>
          <w:rFonts w:ascii="Times New Roman" w:eastAsia="Times New Roman" w:hAnsi="Times New Roman" w:cs="Times New Roman"/>
        </w:rPr>
        <w:t xml:space="preserve"> range shifts</w:t>
      </w:r>
      <w:r w:rsidR="00A8466E" w:rsidRPr="009B0448">
        <w:rPr>
          <w:rFonts w:ascii="Times New Roman" w:eastAsia="Times New Roman" w:hAnsi="Times New Roman" w:cs="Times New Roman"/>
        </w:rPr>
        <w:t xml:space="preserve">. This trend is projected to continue and increase throughout the 21st century (Loarie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2009). Extinction rates are also expected to increase (Pimm </w:t>
      </w:r>
      <w:r w:rsidR="000429F8" w:rsidRPr="009B0448">
        <w:rPr>
          <w:rFonts w:ascii="Times New Roman" w:eastAsia="Times New Roman" w:hAnsi="Times New Roman" w:cs="Times New Roman"/>
          <w:i/>
        </w:rPr>
        <w:t>et al.</w:t>
      </w:r>
      <w:r w:rsidR="00520BF5" w:rsidRPr="009B0448">
        <w:rPr>
          <w:rFonts w:ascii="Times New Roman" w:eastAsia="Times New Roman" w:hAnsi="Times New Roman" w:cs="Times New Roman"/>
        </w:rPr>
        <w:t>,</w:t>
      </w:r>
      <w:r w:rsidR="00A8466E" w:rsidRPr="009B0448">
        <w:rPr>
          <w:rFonts w:ascii="Times New Roman" w:eastAsia="Times New Roman" w:hAnsi="Times New Roman" w:cs="Times New Roman"/>
        </w:rPr>
        <w:t xml:space="preserve"> 1995; Pimm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2014). Modelled projected shifts in the distributions of sub-Saharan Africa’s entire breeding avifauna by Hole </w:t>
      </w:r>
      <w:r w:rsidR="000429F8" w:rsidRPr="009B0448">
        <w:rPr>
          <w:rFonts w:ascii="Times New Roman" w:eastAsia="Times New Roman" w:hAnsi="Times New Roman" w:cs="Times New Roman"/>
          <w:i/>
        </w:rPr>
        <w:t>et al.</w:t>
      </w:r>
      <w:r w:rsidR="009D5879" w:rsidRPr="009B0448">
        <w:rPr>
          <w:rFonts w:ascii="Times New Roman" w:eastAsia="Times New Roman" w:hAnsi="Times New Roman" w:cs="Times New Roman"/>
        </w:rPr>
        <w:t xml:space="preserve"> (2009), showed, however,</w:t>
      </w:r>
      <w:r w:rsidR="00A8466E" w:rsidRPr="009B0448">
        <w:rPr>
          <w:rFonts w:ascii="Times New Roman" w:eastAsia="Times New Roman" w:hAnsi="Times New Roman" w:cs="Times New Roman"/>
        </w:rPr>
        <w:t xml:space="preserve"> that species turnover across the cont</w:t>
      </w:r>
      <w:r w:rsidR="009D5879" w:rsidRPr="009B0448">
        <w:rPr>
          <w:rFonts w:ascii="Times New Roman" w:eastAsia="Times New Roman" w:hAnsi="Times New Roman" w:cs="Times New Roman"/>
        </w:rPr>
        <w:t xml:space="preserve">inent’s Important </w:t>
      </w:r>
      <w:r w:rsidR="005142DD" w:rsidRPr="009B0448">
        <w:rPr>
          <w:rFonts w:ascii="Times New Roman" w:eastAsia="Times New Roman" w:hAnsi="Times New Roman" w:cs="Times New Roman"/>
        </w:rPr>
        <w:t>b</w:t>
      </w:r>
      <w:r w:rsidR="009D5879" w:rsidRPr="009B0448">
        <w:rPr>
          <w:rFonts w:ascii="Times New Roman" w:eastAsia="Times New Roman" w:hAnsi="Times New Roman" w:cs="Times New Roman"/>
        </w:rPr>
        <w:t xml:space="preserve">ird </w:t>
      </w:r>
      <w:r w:rsidR="005142DD" w:rsidRPr="009B0448">
        <w:rPr>
          <w:rFonts w:ascii="Times New Roman" w:eastAsia="Times New Roman" w:hAnsi="Times New Roman" w:cs="Times New Roman"/>
        </w:rPr>
        <w:t>a</w:t>
      </w:r>
      <w:r w:rsidR="009D5879" w:rsidRPr="009B0448">
        <w:rPr>
          <w:rFonts w:ascii="Times New Roman" w:eastAsia="Times New Roman" w:hAnsi="Times New Roman" w:cs="Times New Roman"/>
        </w:rPr>
        <w:t xml:space="preserve">rea </w:t>
      </w:r>
      <w:r w:rsidR="00A8466E" w:rsidRPr="009B0448">
        <w:rPr>
          <w:rFonts w:ascii="Times New Roman" w:eastAsia="Times New Roman" w:hAnsi="Times New Roman" w:cs="Times New Roman"/>
        </w:rPr>
        <w:t xml:space="preserve">network is likely to vary regionally and will be substantial at many sites. Identifying and protecting these important natural resources under threat from the effects of global climate change will play a key role in mitigating the worst impacts of climate change on biodiversity, as well as helping support human adaptation. The authors of this report </w:t>
      </w:r>
      <w:r w:rsidR="00264EBF" w:rsidRPr="009B0448">
        <w:rPr>
          <w:rFonts w:ascii="Times New Roman" w:eastAsia="Times New Roman" w:hAnsi="Times New Roman" w:cs="Times New Roman"/>
        </w:rPr>
        <w:t>emphasis</w:t>
      </w:r>
      <w:r w:rsidR="00A8466E" w:rsidRPr="009B0448">
        <w:rPr>
          <w:rFonts w:ascii="Times New Roman" w:eastAsia="Times New Roman" w:hAnsi="Times New Roman" w:cs="Times New Roman"/>
        </w:rPr>
        <w:t>e, however, that the protection of these resources will only be achieved if those who live in and depend on these resources are given the power to decide how these resources are managed. Chapter 5 explore</w:t>
      </w:r>
      <w:r w:rsidR="00520BF5" w:rsidRPr="009B0448">
        <w:rPr>
          <w:rFonts w:ascii="Times New Roman" w:eastAsia="Times New Roman" w:hAnsi="Times New Roman" w:cs="Times New Roman"/>
        </w:rPr>
        <w:t>s</w:t>
      </w:r>
      <w:r w:rsidR="00A8466E" w:rsidRPr="009B0448">
        <w:rPr>
          <w:rFonts w:ascii="Times New Roman" w:eastAsia="Times New Roman" w:hAnsi="Times New Roman" w:cs="Times New Roman"/>
        </w:rPr>
        <w:t xml:space="preserve"> this issue further as well as issues related to other drivers and to </w:t>
      </w:r>
      <w:r w:rsidR="005142DD" w:rsidRPr="009B0448">
        <w:rPr>
          <w:rFonts w:ascii="Times New Roman" w:eastAsia="Times New Roman" w:hAnsi="Times New Roman" w:cs="Times New Roman"/>
        </w:rPr>
        <w:t>e</w:t>
      </w:r>
      <w:r w:rsidR="00A8466E" w:rsidRPr="009B0448">
        <w:rPr>
          <w:rFonts w:ascii="Times New Roman" w:eastAsia="Times New Roman" w:hAnsi="Times New Roman" w:cs="Times New Roman"/>
        </w:rPr>
        <w:t xml:space="preserve">cosystem </w:t>
      </w:r>
      <w:r w:rsidR="005142DD" w:rsidRPr="009B0448">
        <w:rPr>
          <w:rFonts w:ascii="Times New Roman" w:eastAsia="Times New Roman" w:hAnsi="Times New Roman" w:cs="Times New Roman"/>
        </w:rPr>
        <w:t>s</w:t>
      </w:r>
      <w:r w:rsidR="00A8466E" w:rsidRPr="009B0448">
        <w:rPr>
          <w:rFonts w:ascii="Times New Roman" w:eastAsia="Times New Roman" w:hAnsi="Times New Roman" w:cs="Times New Roman"/>
        </w:rPr>
        <w:t>ervices scenarios (</w:t>
      </w:r>
      <w:r w:rsidR="00A8466E" w:rsidRPr="002766BC">
        <w:rPr>
          <w:rFonts w:ascii="Times New Roman" w:eastAsia="Times New Roman" w:hAnsi="Times New Roman" w:cs="Times New Roman"/>
        </w:rPr>
        <w:t xml:space="preserve">see </w:t>
      </w:r>
      <w:r w:rsidR="009A2D88" w:rsidRPr="002766BC">
        <w:rPr>
          <w:rFonts w:ascii="Times New Roman" w:eastAsia="Times New Roman" w:hAnsi="Times New Roman" w:cs="Times New Roman"/>
        </w:rPr>
        <w:t>MA</w:t>
      </w:r>
      <w:r w:rsidR="009D5879" w:rsidRPr="002766BC">
        <w:rPr>
          <w:rFonts w:ascii="Times New Roman" w:eastAsia="Times New Roman" w:hAnsi="Times New Roman" w:cs="Times New Roman"/>
        </w:rPr>
        <w:t>,</w:t>
      </w:r>
      <w:r w:rsidR="00A8466E" w:rsidRPr="002766BC">
        <w:rPr>
          <w:rFonts w:ascii="Times New Roman" w:eastAsia="Times New Roman" w:hAnsi="Times New Roman" w:cs="Times New Roman"/>
        </w:rPr>
        <w:t xml:space="preserve"> 2</w:t>
      </w:r>
      <w:r w:rsidR="009A2D88" w:rsidRPr="002766BC">
        <w:rPr>
          <w:rFonts w:ascii="Times New Roman" w:eastAsia="Times New Roman" w:hAnsi="Times New Roman" w:cs="Times New Roman"/>
        </w:rPr>
        <w:t>005</w:t>
      </w:r>
      <w:r w:rsidR="009D5879" w:rsidRPr="009B0448">
        <w:rPr>
          <w:rFonts w:ascii="Times New Roman" w:eastAsia="Times New Roman" w:hAnsi="Times New Roman" w:cs="Times New Roman"/>
        </w:rPr>
        <w:t>)</w:t>
      </w:r>
      <w:r w:rsidR="00A8466E" w:rsidRPr="009B0448">
        <w:rPr>
          <w:rFonts w:ascii="Times New Roman" w:eastAsia="Times New Roman" w:hAnsi="Times New Roman" w:cs="Times New Roman"/>
        </w:rPr>
        <w:t xml:space="preserve"> for an overview of </w:t>
      </w:r>
      <w:r w:rsidR="009D5879" w:rsidRPr="009B0448">
        <w:rPr>
          <w:rFonts w:ascii="Times New Roman" w:eastAsia="Times New Roman" w:hAnsi="Times New Roman" w:cs="Times New Roman"/>
        </w:rPr>
        <w:t>ecosystem services</w:t>
      </w:r>
      <w:r w:rsidR="00A8466E" w:rsidRPr="009B0448">
        <w:rPr>
          <w:rFonts w:ascii="Times New Roman" w:eastAsia="Times New Roman" w:hAnsi="Times New Roman" w:cs="Times New Roman"/>
        </w:rPr>
        <w:t>). Chapter 5 focus</w:t>
      </w:r>
      <w:r w:rsidR="00520BF5" w:rsidRPr="009B0448">
        <w:rPr>
          <w:rFonts w:ascii="Times New Roman" w:eastAsia="Times New Roman" w:hAnsi="Times New Roman" w:cs="Times New Roman"/>
        </w:rPr>
        <w:t>ses</w:t>
      </w:r>
      <w:r w:rsidR="00A8466E" w:rsidRPr="009B0448">
        <w:rPr>
          <w:rFonts w:ascii="Times New Roman" w:eastAsia="Times New Roman" w:hAnsi="Times New Roman" w:cs="Times New Roman"/>
        </w:rPr>
        <w:t xml:space="preserve"> on studies in Africa, and on their implications for human well-being and society, or for future interactions between nature and society using a range of scenario types.</w:t>
      </w:r>
    </w:p>
    <w:p w14:paraId="2F876279" w14:textId="4C3689AB" w:rsidR="006B7655" w:rsidRPr="009B0448" w:rsidRDefault="00A8466E" w:rsidP="00FA7185">
      <w:pPr>
        <w:pStyle w:val="111"/>
        <w:numPr>
          <w:ilvl w:val="2"/>
          <w:numId w:val="10"/>
        </w:numPr>
        <w:spacing w:before="240" w:after="240"/>
        <w:ind w:left="709"/>
        <w:rPr>
          <w:rFonts w:cs="Times New Roman"/>
          <w:i w:val="0"/>
          <w:sz w:val="22"/>
          <w:szCs w:val="22"/>
        </w:rPr>
      </w:pPr>
      <w:bookmarkStart w:id="13" w:name="_Toc519499766"/>
      <w:r w:rsidRPr="009B0448">
        <w:rPr>
          <w:rFonts w:cs="Times New Roman"/>
          <w:i w:val="0"/>
          <w:sz w:val="22"/>
          <w:szCs w:val="22"/>
        </w:rPr>
        <w:lastRenderedPageBreak/>
        <w:t>IPBES terrestrial and aquatic units of analysis</w:t>
      </w:r>
      <w:bookmarkEnd w:id="13"/>
    </w:p>
    <w:p w14:paraId="391D6BD1" w14:textId="4F88B19F" w:rsidR="005142DD"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subdivision of the Earth’s surface into units for the purpose of analysis is notoriously controversial and there is no single agreed perfect system that IPBES can adopt as its standard. IPBES has consulted widely among the MEP and the experts contributing to the IPBES assessments to arrive at the classification below. This system serves as a framework for comparisons within and between assessments and represents a pragmatic solution, which may evolve as the work of IPBES develops. Note</w:t>
      </w:r>
      <w:r w:rsidR="009D5879" w:rsidRPr="009B0448">
        <w:rPr>
          <w:rFonts w:ascii="Times New Roman" w:eastAsia="Times New Roman" w:hAnsi="Times New Roman" w:cs="Times New Roman"/>
        </w:rPr>
        <w:t xml:space="preserve"> that we describe these as the ‘</w:t>
      </w:r>
      <w:r w:rsidRPr="009B0448">
        <w:rPr>
          <w:rFonts w:ascii="Times New Roman" w:eastAsia="Times New Roman" w:hAnsi="Times New Roman" w:cs="Times New Roman"/>
        </w:rPr>
        <w:t>IPBES terrestrial and aquatic units of analysis</w:t>
      </w:r>
      <w:r w:rsidR="00B82D4A" w:rsidRPr="009B0448">
        <w:rPr>
          <w:rFonts w:ascii="Times New Roman" w:eastAsia="Times New Roman" w:hAnsi="Times New Roman" w:cs="Times New Roman"/>
        </w:rPr>
        <w:t>.</w:t>
      </w:r>
      <w:r w:rsidR="009D5879" w:rsidRPr="009B0448">
        <w:rPr>
          <w:rFonts w:ascii="Times New Roman" w:eastAsia="Times New Roman" w:hAnsi="Times New Roman" w:cs="Times New Roman"/>
        </w:rPr>
        <w:t>’</w:t>
      </w:r>
      <w:r w:rsidRPr="009B0448">
        <w:rPr>
          <w:rFonts w:ascii="Times New Roman" w:eastAsia="Times New Roman" w:hAnsi="Times New Roman" w:cs="Times New Roman"/>
        </w:rPr>
        <w:t xml:space="preserve"> They serve the purposes of IPBES, and are not intended to be prescriptive for other pur</w:t>
      </w:r>
      <w:r w:rsidR="009D5879" w:rsidRPr="009B0448">
        <w:rPr>
          <w:rFonts w:ascii="Times New Roman" w:eastAsia="Times New Roman" w:hAnsi="Times New Roman" w:cs="Times New Roman"/>
        </w:rPr>
        <w:t>poses. Note also that the word ‘</w:t>
      </w:r>
      <w:r w:rsidRPr="009B0448">
        <w:rPr>
          <w:rFonts w:ascii="Times New Roman" w:eastAsia="Times New Roman" w:hAnsi="Times New Roman" w:cs="Times New Roman"/>
        </w:rPr>
        <w:t>aquatic</w:t>
      </w:r>
      <w:r w:rsidR="009D5879" w:rsidRPr="009B0448">
        <w:rPr>
          <w:rFonts w:ascii="Times New Roman" w:eastAsia="Times New Roman" w:hAnsi="Times New Roman" w:cs="Times New Roman"/>
        </w:rPr>
        <w:t>’</w:t>
      </w:r>
      <w:r w:rsidRPr="009B0448">
        <w:rPr>
          <w:rFonts w:ascii="Times New Roman" w:eastAsia="Times New Roman" w:hAnsi="Times New Roman" w:cs="Times New Roman"/>
        </w:rPr>
        <w:t xml:space="preserve"> is used here to include both marine and freshwater units</w:t>
      </w:r>
      <w:r w:rsidR="00BC63CA" w:rsidRPr="009B0448">
        <w:rPr>
          <w:rFonts w:ascii="Times New Roman" w:eastAsia="Times New Roman" w:hAnsi="Times New Roman" w:cs="Times New Roman"/>
        </w:rPr>
        <w:t xml:space="preserve"> (Table 1.2)</w:t>
      </w:r>
      <w:r w:rsidRPr="009B0448">
        <w:rPr>
          <w:rFonts w:ascii="Times New Roman" w:eastAsia="Times New Roman" w:hAnsi="Times New Roman" w:cs="Times New Roman"/>
        </w:rPr>
        <w:t>.</w:t>
      </w:r>
    </w:p>
    <w:p w14:paraId="375E7430" w14:textId="77777777" w:rsidR="00292D18" w:rsidRPr="009B0448" w:rsidRDefault="00292D18" w:rsidP="00292D18">
      <w:pPr>
        <w:spacing w:line="276" w:lineRule="auto"/>
        <w:jc w:val="both"/>
        <w:rPr>
          <w:rFonts w:ascii="Times New Roman" w:eastAsia="Times New Roman" w:hAnsi="Times New Roman" w:cs="Times New Roman"/>
        </w:rPr>
      </w:pPr>
    </w:p>
    <w:p w14:paraId="38BDFA0E" w14:textId="4B6C11AC" w:rsidR="005142DD" w:rsidRPr="009B0448" w:rsidRDefault="00E8502A" w:rsidP="00292D18">
      <w:pPr>
        <w:jc w:val="both"/>
        <w:rPr>
          <w:rFonts w:ascii="Times New Roman" w:eastAsia="Times New Roman" w:hAnsi="Times New Roman" w:cs="Times New Roman"/>
        </w:rPr>
      </w:pPr>
      <w:r w:rsidRPr="009B0448">
        <w:rPr>
          <w:rFonts w:ascii="Times New Roman" w:eastAsia="Times New Roman" w:hAnsi="Times New Roman" w:cs="Times New Roman"/>
          <w:b/>
        </w:rPr>
        <w:t>Table 1.2:</w:t>
      </w:r>
      <w:r w:rsidRPr="009B0448">
        <w:rPr>
          <w:rFonts w:ascii="Times New Roman" w:eastAsia="Times New Roman" w:hAnsi="Times New Roman" w:cs="Times New Roman"/>
        </w:rPr>
        <w:t xml:space="preserve"> The IPBES terrestrial and aquatic units of analysis including some examples for Africa</w:t>
      </w:r>
      <w:r w:rsidR="006F56BC" w:rsidRPr="009B0448">
        <w:rPr>
          <w:rFonts w:ascii="Times New Roman" w:eastAsia="Times New Roman" w:hAnsi="Times New Roman" w:cs="Times New Roman"/>
        </w:rPr>
        <w:t>.</w:t>
      </w:r>
    </w:p>
    <w:p w14:paraId="182A4CED" w14:textId="578349A6" w:rsidR="00527EA8" w:rsidRPr="009B0448" w:rsidRDefault="00527EA8" w:rsidP="00292D18">
      <w:pPr>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drawing>
          <wp:inline distT="0" distB="0" distL="0" distR="0" wp14:anchorId="774C44A9" wp14:editId="5AC81733">
            <wp:extent cx="6145491" cy="5688731"/>
            <wp:effectExtent l="0" t="317" r="7937" b="7938"/>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Clipped\Table 1.2a.JP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rot="16200000">
                      <a:off x="0" y="0"/>
                      <a:ext cx="6145491" cy="5688731"/>
                    </a:xfrm>
                    <a:prstGeom prst="rect">
                      <a:avLst/>
                    </a:prstGeom>
                    <a:noFill/>
                    <a:ln>
                      <a:noFill/>
                    </a:ln>
                  </pic:spPr>
                </pic:pic>
              </a:graphicData>
            </a:graphic>
          </wp:inline>
        </w:drawing>
      </w:r>
    </w:p>
    <w:p w14:paraId="62AD37CD" w14:textId="42563BC4" w:rsidR="00527EA8" w:rsidRPr="009B0448" w:rsidRDefault="00527EA8">
      <w:pPr>
        <w:rPr>
          <w:rFonts w:ascii="Times New Roman" w:eastAsia="Times New Roman" w:hAnsi="Times New Roman" w:cs="Times New Roman"/>
        </w:rPr>
      </w:pPr>
      <w:r w:rsidRPr="009B0448">
        <w:rPr>
          <w:rFonts w:ascii="Times New Roman" w:eastAsia="Times New Roman" w:hAnsi="Times New Roman" w:cs="Times New Roman"/>
        </w:rPr>
        <w:br w:type="page"/>
      </w:r>
    </w:p>
    <w:p w14:paraId="013FB0E3" w14:textId="70214E5A" w:rsidR="00527EA8" w:rsidRPr="009B0448" w:rsidRDefault="00527EA8" w:rsidP="00292D18">
      <w:pPr>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lastRenderedPageBreak/>
        <w:drawing>
          <wp:inline distT="0" distB="0" distL="0" distR="0" wp14:anchorId="455E46C0" wp14:editId="6352B99D">
            <wp:extent cx="4465746" cy="5755694"/>
            <wp:effectExtent l="254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Clipped\Table 1.2b.JP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rot="16200000">
                      <a:off x="0" y="0"/>
                      <a:ext cx="4465746" cy="5755694"/>
                    </a:xfrm>
                    <a:prstGeom prst="rect">
                      <a:avLst/>
                    </a:prstGeom>
                    <a:noFill/>
                    <a:ln>
                      <a:noFill/>
                    </a:ln>
                  </pic:spPr>
                </pic:pic>
              </a:graphicData>
            </a:graphic>
          </wp:inline>
        </w:drawing>
      </w:r>
    </w:p>
    <w:p w14:paraId="376DC500" w14:textId="49665151" w:rsidR="006B7655" w:rsidRPr="009B0448" w:rsidRDefault="00A8466E" w:rsidP="00FA7185">
      <w:pPr>
        <w:pStyle w:val="111"/>
        <w:numPr>
          <w:ilvl w:val="2"/>
          <w:numId w:val="10"/>
        </w:numPr>
        <w:spacing w:before="240" w:after="240"/>
        <w:ind w:left="709"/>
        <w:rPr>
          <w:rFonts w:cs="Times New Roman"/>
          <w:i w:val="0"/>
          <w:sz w:val="22"/>
          <w:szCs w:val="22"/>
        </w:rPr>
      </w:pPr>
      <w:bookmarkStart w:id="14" w:name="_Toc519499767"/>
      <w:r w:rsidRPr="009B0448">
        <w:rPr>
          <w:rFonts w:cs="Times New Roman"/>
          <w:i w:val="0"/>
          <w:sz w:val="22"/>
          <w:szCs w:val="22"/>
        </w:rPr>
        <w:t>Addressing data gaps and uncertainties</w:t>
      </w:r>
      <w:bookmarkEnd w:id="14"/>
    </w:p>
    <w:p w14:paraId="6132F156" w14:textId="6A54C02A"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 range of factors explains why gaps exist in knowledge, information and data (Geijzendorffer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w:t>
      </w:r>
      <w:r w:rsidR="0045558B" w:rsidRPr="009B0448">
        <w:rPr>
          <w:rFonts w:ascii="Times New Roman" w:eastAsia="Times New Roman" w:hAnsi="Times New Roman" w:cs="Times New Roman"/>
        </w:rPr>
        <w:t>6</w:t>
      </w:r>
      <w:r w:rsidRPr="009B0448">
        <w:rPr>
          <w:rFonts w:ascii="Times New Roman" w:eastAsia="Times New Roman" w:hAnsi="Times New Roman" w:cs="Times New Roman"/>
        </w:rPr>
        <w:t xml:space="preserve">; Meyer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In the Africa assessment, data and knowledge gaps are particularly critical due to the considerable size of the informal economy and the weak statistical basis in a number of countries. A few years ago, the World Bank’s chief economist for Africa referred to this as “Africa’s statistical tragedy” (Devarajan, 2013). </w:t>
      </w:r>
    </w:p>
    <w:p w14:paraId="12B23873" w14:textId="77777777" w:rsidR="00292D18" w:rsidRPr="009B0448" w:rsidRDefault="00292D18" w:rsidP="00292D18">
      <w:pPr>
        <w:spacing w:line="276" w:lineRule="auto"/>
        <w:jc w:val="both"/>
        <w:rPr>
          <w:rFonts w:ascii="Times New Roman" w:eastAsia="Times New Roman" w:hAnsi="Times New Roman" w:cs="Times New Roman"/>
        </w:rPr>
      </w:pPr>
    </w:p>
    <w:p w14:paraId="04E1D116" w14:textId="2065E5B8"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 number of factors have been identified that may provide proxy indicators about the completeness of biodiversity datasets. However, proxies only provide rough approximations, and the completeness of information about biodiversity at different spatial scales must be considered (Soberón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Although there is a strong emphasis on and promotion of peer-reviewed biodiversity data (Costello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to overcome concerns on data quality, there is also a serious limit on the quantity of such published resources for this particular region. In addition, </w:t>
      </w:r>
      <w:r w:rsidR="002D05E4" w:rsidRPr="009B0448">
        <w:rPr>
          <w:rFonts w:ascii="Times New Roman" w:eastAsia="Times New Roman" w:hAnsi="Times New Roman" w:cs="Times New Roman"/>
        </w:rPr>
        <w:t>biodiversity and ecosystem services</w:t>
      </w:r>
      <w:r w:rsidRPr="009B0448">
        <w:rPr>
          <w:rFonts w:ascii="Times New Roman" w:eastAsia="Times New Roman" w:hAnsi="Times New Roman" w:cs="Times New Roman"/>
        </w:rPr>
        <w:t xml:space="preserve"> relevant data go well beyond biodiversity data to address a whole range of thematic domains with their own data issues. This serves as a source of uncertainty regarding the data on which to act upon, adding to the inherent uncertainty of complex social-ecological systems in Africa. </w:t>
      </w:r>
    </w:p>
    <w:p w14:paraId="5A4A9E69" w14:textId="77777777" w:rsidR="00292D18" w:rsidRPr="009B0448" w:rsidRDefault="00292D18" w:rsidP="00292D18">
      <w:pPr>
        <w:spacing w:line="276" w:lineRule="auto"/>
        <w:jc w:val="both"/>
        <w:rPr>
          <w:rFonts w:ascii="Times New Roman" w:eastAsia="Times New Roman" w:hAnsi="Times New Roman" w:cs="Times New Roman"/>
        </w:rPr>
      </w:pPr>
    </w:p>
    <w:p w14:paraId="48FB64F1" w14:textId="78464579"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use of rigorous quantitative methods to estimate uncertainty is rarely possible; but, whenever possible, authors have sought to assign confidence terms reflecting the degree of estimated scientific consensus on a particular question. The predictions made in this assessment are based upon a range of different scenarios and wherever possible, outcomes are expressed in terms of ranges, rather than giving precise figures, so that uncertainty may be reflected in an appropriate manner. This should not, however, </w:t>
      </w:r>
      <w:r w:rsidRPr="009B0448">
        <w:rPr>
          <w:rFonts w:ascii="Times New Roman" w:eastAsia="Times New Roman" w:hAnsi="Times New Roman" w:cs="Times New Roman"/>
        </w:rPr>
        <w:lastRenderedPageBreak/>
        <w:t xml:space="preserve">prevent early action, particularly </w:t>
      </w:r>
      <w:r w:rsidR="005C010D" w:rsidRPr="009B0448">
        <w:rPr>
          <w:rFonts w:ascii="Times New Roman" w:eastAsia="Times New Roman" w:hAnsi="Times New Roman" w:cs="Times New Roman"/>
        </w:rPr>
        <w:t xml:space="preserve">when </w:t>
      </w:r>
      <w:r w:rsidRPr="009B0448">
        <w:rPr>
          <w:rFonts w:ascii="Times New Roman" w:eastAsia="Times New Roman" w:hAnsi="Times New Roman" w:cs="Times New Roman"/>
        </w:rPr>
        <w:t xml:space="preserve">different </w:t>
      </w:r>
      <w:r w:rsidR="005C010D" w:rsidRPr="009B0448">
        <w:rPr>
          <w:rFonts w:ascii="Times New Roman" w:eastAsia="Times New Roman" w:hAnsi="Times New Roman" w:cs="Times New Roman"/>
        </w:rPr>
        <w:t>thresholds</w:t>
      </w:r>
      <w:r w:rsidR="005C010D" w:rsidRPr="009B0448" w:rsidDel="005C010D">
        <w:rPr>
          <w:rFonts w:ascii="Times New Roman" w:eastAsia="Times New Roman" w:hAnsi="Times New Roman" w:cs="Times New Roman"/>
        </w:rPr>
        <w:t xml:space="preserve"> </w:t>
      </w:r>
      <w:r w:rsidR="005C010D" w:rsidRPr="009B0448">
        <w:rPr>
          <w:rFonts w:ascii="Times New Roman" w:eastAsia="Times New Roman" w:hAnsi="Times New Roman" w:cs="Times New Roman"/>
        </w:rPr>
        <w:t xml:space="preserve">for </w:t>
      </w:r>
      <w:r w:rsidRPr="009B0448">
        <w:rPr>
          <w:rFonts w:ascii="Times New Roman" w:eastAsia="Times New Roman" w:hAnsi="Times New Roman" w:cs="Times New Roman"/>
        </w:rPr>
        <w:t xml:space="preserve">critical tipping points have been identified. </w:t>
      </w:r>
    </w:p>
    <w:p w14:paraId="495A32F0" w14:textId="77777777" w:rsidR="00292D18" w:rsidRPr="009B0448" w:rsidRDefault="00292D18" w:rsidP="00292D18">
      <w:pPr>
        <w:spacing w:line="276" w:lineRule="auto"/>
        <w:jc w:val="both"/>
        <w:rPr>
          <w:rFonts w:ascii="Times New Roman" w:eastAsia="Times New Roman" w:hAnsi="Times New Roman" w:cs="Times New Roman"/>
        </w:rPr>
      </w:pPr>
    </w:p>
    <w:p w14:paraId="6F5C4A7D" w14:textId="336A59CA"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Facing the uneven distribution of data and information, this report provides an assessment of gaps and systematically prioritises research to address the gaps associated with each element of the IPBES assessment framework. These are elaborated in the individual chapters and summarised in the executive summary. The knowledge gaps will then help to inform strategic planning of future research activities, including identifying appropriate funding mechanisms and support programmes. From a long-term perspective, an important product of the assessment would be the establishment of an Africa region research agenda that clearly articulates gaps and set priorities for addressing them. This would allow governments, in linkage with the IPBES platform and the wider scientific community to strategically decide where to put more efforts to generate the knowledge base needed for evidence-based development policies fully integrating nature’s benefi</w:t>
      </w:r>
      <w:r w:rsidR="00EF72D8" w:rsidRPr="009B0448">
        <w:rPr>
          <w:rFonts w:ascii="Times New Roman" w:eastAsia="Times New Roman" w:hAnsi="Times New Roman" w:cs="Times New Roman"/>
        </w:rPr>
        <w:t xml:space="preserve">cial contributions to society. </w:t>
      </w:r>
    </w:p>
    <w:p w14:paraId="42A28E8D" w14:textId="1A17FB0B" w:rsidR="006B7655" w:rsidRPr="009B0448" w:rsidRDefault="00A8466E" w:rsidP="00FA7185">
      <w:pPr>
        <w:pStyle w:val="111"/>
        <w:numPr>
          <w:ilvl w:val="2"/>
          <w:numId w:val="10"/>
        </w:numPr>
        <w:spacing w:before="240" w:after="240"/>
        <w:ind w:left="709"/>
        <w:rPr>
          <w:rFonts w:cs="Times New Roman"/>
          <w:i w:val="0"/>
          <w:sz w:val="22"/>
          <w:szCs w:val="22"/>
        </w:rPr>
      </w:pPr>
      <w:bookmarkStart w:id="15" w:name="_Toc519499768"/>
      <w:r w:rsidRPr="009B0448">
        <w:rPr>
          <w:rFonts w:cs="Times New Roman"/>
          <w:i w:val="0"/>
          <w:sz w:val="22"/>
          <w:szCs w:val="22"/>
        </w:rPr>
        <w:t>Stakeholder linkages: who will benefit?</w:t>
      </w:r>
      <w:bookmarkEnd w:id="15"/>
    </w:p>
    <w:p w14:paraId="49BED1DC" w14:textId="29F5FBBA"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Societies, as IPBES guidelines indicate, are faced with threats to long-term human well</w:t>
      </w:r>
      <w:r w:rsidR="00FD3265" w:rsidRPr="009B0448">
        <w:rPr>
          <w:rFonts w:ascii="Times New Roman" w:eastAsia="Times New Roman" w:hAnsi="Times New Roman" w:cs="Times New Roman"/>
        </w:rPr>
        <w:t>-</w:t>
      </w:r>
      <w:r w:rsidRPr="009B0448">
        <w:rPr>
          <w:rFonts w:ascii="Times New Roman" w:eastAsia="Times New Roman" w:hAnsi="Times New Roman" w:cs="Times New Roman"/>
        </w:rPr>
        <w:t>being from the loss of biodiversity and degradation of ecosystem services. The global community</w:t>
      </w:r>
      <w:r w:rsidR="00930BF8">
        <w:rPr>
          <w:rFonts w:ascii="Times New Roman" w:eastAsia="Times New Roman" w:hAnsi="Times New Roman" w:cs="Times New Roman"/>
        </w:rPr>
        <w:t>,</w:t>
      </w:r>
      <w:r w:rsidRPr="009B0448">
        <w:rPr>
          <w:rFonts w:ascii="Times New Roman" w:eastAsia="Times New Roman" w:hAnsi="Times New Roman" w:cs="Times New Roman"/>
        </w:rPr>
        <w:t xml:space="preserve"> in its effort to reverse this trend</w:t>
      </w:r>
      <w:r w:rsidR="00930BF8">
        <w:rPr>
          <w:rFonts w:ascii="Times New Roman" w:eastAsia="Times New Roman" w:hAnsi="Times New Roman" w:cs="Times New Roman"/>
        </w:rPr>
        <w:t>,</w:t>
      </w:r>
      <w:r w:rsidRPr="009B0448">
        <w:rPr>
          <w:rFonts w:ascii="Times New Roman" w:eastAsia="Times New Roman" w:hAnsi="Times New Roman" w:cs="Times New Roman"/>
        </w:rPr>
        <w:t xml:space="preserve"> has developed a number of conservation and sustainable use strategies of biodiversity commonly referred to as blueprints. Outcomes from the implementa</w:t>
      </w:r>
      <w:r w:rsidR="00EF72D8" w:rsidRPr="009B0448">
        <w:rPr>
          <w:rFonts w:ascii="Times New Roman" w:eastAsia="Times New Roman" w:hAnsi="Times New Roman" w:cs="Times New Roman"/>
        </w:rPr>
        <w:t xml:space="preserve">tion of these blueprints have, </w:t>
      </w:r>
      <w:r w:rsidRPr="009B0448">
        <w:rPr>
          <w:rFonts w:ascii="Times New Roman" w:eastAsia="Times New Roman" w:hAnsi="Times New Roman" w:cs="Times New Roman"/>
        </w:rPr>
        <w:t>in some cases, fallen short of expectations (see Box 1.</w:t>
      </w:r>
      <w:r w:rsidR="002D05E4" w:rsidRPr="009B0448">
        <w:rPr>
          <w:rFonts w:ascii="Times New Roman" w:eastAsia="Times New Roman" w:hAnsi="Times New Roman" w:cs="Times New Roman"/>
        </w:rPr>
        <w:t>3</w:t>
      </w:r>
      <w:r w:rsidRPr="009B0448">
        <w:rPr>
          <w:rFonts w:ascii="Times New Roman" w:eastAsia="Times New Roman" w:hAnsi="Times New Roman" w:cs="Times New Roman"/>
        </w:rPr>
        <w:t xml:space="preserve"> for examples of blueprints).</w:t>
      </w:r>
    </w:p>
    <w:p w14:paraId="0B884BB4" w14:textId="77777777" w:rsidR="00292D18" w:rsidRPr="009B0448" w:rsidRDefault="00292D18" w:rsidP="00292D18">
      <w:pPr>
        <w:spacing w:line="276" w:lineRule="auto"/>
        <w:jc w:val="both"/>
        <w:rPr>
          <w:rFonts w:ascii="Times New Roman" w:eastAsia="Times New Roman" w:hAnsi="Times New Roman" w:cs="Times New Roman"/>
        </w:rPr>
      </w:pPr>
    </w:p>
    <w:p w14:paraId="25F4954F" w14:textId="66345792" w:rsidR="002D05E4" w:rsidRPr="009B0448" w:rsidRDefault="002D05E4" w:rsidP="003E20BD">
      <w:pPr>
        <w:spacing w:after="100" w:afterAutospacing="1"/>
        <w:rPr>
          <w:rFonts w:ascii="Times New Roman" w:eastAsia="Times New Roman" w:hAnsi="Times New Roman" w:cs="Times New Roman"/>
          <w:sz w:val="20"/>
          <w:szCs w:val="20"/>
        </w:rPr>
      </w:pPr>
      <w:r w:rsidRPr="009B0448">
        <w:rPr>
          <w:rFonts w:ascii="Times New Roman" w:hAnsi="Times New Roman" w:cs="Times New Roman"/>
          <w:noProof/>
          <w:lang w:eastAsia="en-GB"/>
        </w:rPr>
        <mc:AlternateContent>
          <mc:Choice Requires="wps">
            <w:drawing>
              <wp:inline distT="0" distB="0" distL="114300" distR="114300" wp14:anchorId="011073DB" wp14:editId="34905066">
                <wp:extent cx="5814060" cy="2993457"/>
                <wp:effectExtent l="0" t="0" r="15240" b="16510"/>
                <wp:docPr id="33" name="Rectangle 33"/>
                <wp:cNvGraphicFramePr/>
                <a:graphic xmlns:a="http://schemas.openxmlformats.org/drawingml/2006/main">
                  <a:graphicData uri="http://schemas.microsoft.com/office/word/2010/wordprocessingShape">
                    <wps:wsp>
                      <wps:cNvSpPr/>
                      <wps:spPr>
                        <a:xfrm>
                          <a:off x="0" y="0"/>
                          <a:ext cx="5814060" cy="2993457"/>
                        </a:xfrm>
                        <a:prstGeom prst="rect">
                          <a:avLst/>
                        </a:prstGeom>
                        <a:solidFill>
                          <a:schemeClr val="bg1">
                            <a:lumMod val="95000"/>
                          </a:schemeClr>
                        </a:solidFill>
                        <a:ln w="9525" cap="flat" cmpd="sng">
                          <a:solidFill>
                            <a:schemeClr val="tx1"/>
                          </a:solidFill>
                          <a:prstDash val="solid"/>
                          <a:round/>
                          <a:headEnd type="none" w="med" len="med"/>
                          <a:tailEnd type="none" w="med" len="med"/>
                        </a:ln>
                      </wps:spPr>
                      <wps:txbx>
                        <w:txbxContent>
                          <w:p w14:paraId="0891A98F" w14:textId="77777777" w:rsidR="00BC0CFA" w:rsidRPr="002A3383" w:rsidRDefault="00BC0CFA" w:rsidP="002A3383">
                            <w:pPr>
                              <w:spacing w:after="120" w:line="276" w:lineRule="auto"/>
                              <w:jc w:val="both"/>
                              <w:textDirection w:val="btLr"/>
                            </w:pPr>
                            <w:r w:rsidRPr="002A3383">
                              <w:rPr>
                                <w:rFonts w:ascii="Times New Roman" w:eastAsia="Times New Roman" w:hAnsi="Times New Roman" w:cs="Times New Roman"/>
                                <w:b/>
                              </w:rPr>
                              <w:t>Box 1.3: Examples of blueprints</w:t>
                            </w:r>
                          </w:p>
                          <w:p w14:paraId="57229449" w14:textId="2198411C" w:rsidR="00BC0CFA" w:rsidRPr="002A3383" w:rsidRDefault="00BC0CFA" w:rsidP="002A3383">
                            <w:pPr>
                              <w:spacing w:line="276" w:lineRule="auto"/>
                              <w:jc w:val="both"/>
                              <w:textDirection w:val="btLr"/>
                              <w:rPr>
                                <w:rFonts w:ascii="Times New Roman" w:eastAsia="Times New Roman" w:hAnsi="Times New Roman" w:cs="Times New Roman"/>
                              </w:rPr>
                            </w:pPr>
                            <w:r w:rsidRPr="002A3383">
                              <w:rPr>
                                <w:rFonts w:ascii="Times New Roman" w:eastAsia="Times New Roman" w:hAnsi="Times New Roman" w:cs="Times New Roman"/>
                                <w:i/>
                              </w:rPr>
                              <w:t>Examples at</w:t>
                            </w:r>
                            <w:r>
                              <w:rPr>
                                <w:rFonts w:ascii="Times New Roman" w:eastAsia="Times New Roman" w:hAnsi="Times New Roman" w:cs="Times New Roman"/>
                                <w:i/>
                              </w:rPr>
                              <w:t xml:space="preserve"> the</w:t>
                            </w:r>
                            <w:r w:rsidRPr="002A3383">
                              <w:rPr>
                                <w:rFonts w:ascii="Times New Roman" w:eastAsia="Times New Roman" w:hAnsi="Times New Roman" w:cs="Times New Roman"/>
                                <w:i/>
                              </w:rPr>
                              <w:t xml:space="preserve"> international level include</w:t>
                            </w:r>
                            <w:r w:rsidRPr="002A3383">
                              <w:rPr>
                                <w:rFonts w:ascii="Times New Roman" w:eastAsia="Times New Roman" w:hAnsi="Times New Roman" w:cs="Times New Roman"/>
                              </w:rPr>
                              <w:t xml:space="preserve">: </w:t>
                            </w:r>
                          </w:p>
                          <w:p w14:paraId="649F9D58" w14:textId="77777777" w:rsidR="00BC0CFA" w:rsidRPr="002A3383" w:rsidRDefault="00BC0CFA" w:rsidP="002A3383">
                            <w:pPr>
                              <w:spacing w:line="276" w:lineRule="auto"/>
                              <w:ind w:left="720"/>
                              <w:jc w:val="both"/>
                              <w:textDirection w:val="btLr"/>
                            </w:pPr>
                            <w:r w:rsidRPr="002A3383">
                              <w:rPr>
                                <w:rFonts w:ascii="Times New Roman" w:eastAsia="Times New Roman" w:hAnsi="Times New Roman" w:cs="Times New Roman"/>
                              </w:rPr>
                              <w:t xml:space="preserve">The Strategic Plan for Biodiversity 2011–2020 and its Aichi Targets prepared under the auspices of the Convention on Biological Diversity, the 10-year strategic plan and framework (2008–2018) of the United Nations Convention to Combat Desertification (UNCCD), and the development by the UN General Assembly of the post-2015 Development Agenda and a set of sustainable development goals (SDGs). </w:t>
                            </w:r>
                          </w:p>
                          <w:p w14:paraId="5A64173A" w14:textId="44ACF102" w:rsidR="00BC0CFA" w:rsidRPr="002A3383" w:rsidRDefault="00BC0CFA" w:rsidP="002A3383">
                            <w:pPr>
                              <w:spacing w:line="276" w:lineRule="auto"/>
                              <w:jc w:val="both"/>
                              <w:textDirection w:val="btLr"/>
                              <w:rPr>
                                <w:rFonts w:ascii="Times New Roman" w:eastAsia="Times New Roman" w:hAnsi="Times New Roman" w:cs="Times New Roman"/>
                              </w:rPr>
                            </w:pPr>
                            <w:r w:rsidRPr="002A3383">
                              <w:rPr>
                                <w:rFonts w:ascii="Times New Roman" w:eastAsia="Times New Roman" w:hAnsi="Times New Roman" w:cs="Times New Roman"/>
                                <w:i/>
                              </w:rPr>
                              <w:t xml:space="preserve">Examples at regional and </w:t>
                            </w:r>
                            <w:r>
                              <w:rPr>
                                <w:rFonts w:ascii="Times New Roman" w:eastAsia="Times New Roman" w:hAnsi="Times New Roman" w:cs="Times New Roman"/>
                                <w:i/>
                              </w:rPr>
                              <w:t>subregion</w:t>
                            </w:r>
                            <w:r w:rsidRPr="002A3383">
                              <w:rPr>
                                <w:rFonts w:ascii="Times New Roman" w:eastAsia="Times New Roman" w:hAnsi="Times New Roman" w:cs="Times New Roman"/>
                                <w:i/>
                              </w:rPr>
                              <w:t>al levels include:</w:t>
                            </w:r>
                            <w:r w:rsidRPr="002A3383">
                              <w:rPr>
                                <w:rFonts w:ascii="Times New Roman" w:eastAsia="Times New Roman" w:hAnsi="Times New Roman" w:cs="Times New Roman"/>
                              </w:rPr>
                              <w:t xml:space="preserve"> </w:t>
                            </w:r>
                          </w:p>
                          <w:p w14:paraId="4CDBF93E" w14:textId="77777777" w:rsidR="00BC0CFA" w:rsidRPr="002A3383" w:rsidRDefault="00BC0CFA" w:rsidP="002A3383">
                            <w:pPr>
                              <w:spacing w:line="276" w:lineRule="auto"/>
                              <w:ind w:left="720"/>
                              <w:jc w:val="both"/>
                              <w:textDirection w:val="btLr"/>
                            </w:pPr>
                            <w:r w:rsidRPr="002A3383">
                              <w:rPr>
                                <w:rFonts w:ascii="Times New Roman" w:eastAsia="Times New Roman" w:hAnsi="Times New Roman" w:cs="Times New Roman"/>
                              </w:rPr>
                              <w:t xml:space="preserve">The Lake Chad Basin Commission, the Nile Basin Commission, the Central Africa Forest Commission (COMIFAC), etc. </w:t>
                            </w:r>
                          </w:p>
                          <w:p w14:paraId="2DF58BF4" w14:textId="77777777" w:rsidR="00BC0CFA" w:rsidRPr="002A3383" w:rsidRDefault="00BC0CFA" w:rsidP="002A3383">
                            <w:pPr>
                              <w:spacing w:line="276" w:lineRule="auto"/>
                              <w:jc w:val="both"/>
                              <w:textDirection w:val="btLr"/>
                              <w:rPr>
                                <w:rFonts w:ascii="Times New Roman" w:eastAsia="Times New Roman" w:hAnsi="Times New Roman" w:cs="Times New Roman"/>
                              </w:rPr>
                            </w:pPr>
                            <w:r w:rsidRPr="002A3383">
                              <w:rPr>
                                <w:rFonts w:ascii="Times New Roman" w:eastAsia="Times New Roman" w:hAnsi="Times New Roman" w:cs="Times New Roman"/>
                                <w:i/>
                              </w:rPr>
                              <w:t>Examples at the national level include:</w:t>
                            </w:r>
                            <w:r w:rsidRPr="002A3383">
                              <w:rPr>
                                <w:rFonts w:ascii="Times New Roman" w:eastAsia="Times New Roman" w:hAnsi="Times New Roman" w:cs="Times New Roman"/>
                              </w:rPr>
                              <w:t xml:space="preserve"> </w:t>
                            </w:r>
                          </w:p>
                          <w:p w14:paraId="4006CD9B" w14:textId="77777777" w:rsidR="00BC0CFA" w:rsidRPr="002A3383" w:rsidRDefault="00BC0CFA" w:rsidP="002A3383">
                            <w:pPr>
                              <w:spacing w:line="276" w:lineRule="auto"/>
                              <w:ind w:left="720"/>
                              <w:jc w:val="both"/>
                              <w:textDirection w:val="btLr"/>
                            </w:pPr>
                            <w:r w:rsidRPr="002A3383">
                              <w:rPr>
                                <w:rFonts w:ascii="Times New Roman" w:eastAsia="Times New Roman" w:hAnsi="Times New Roman" w:cs="Times New Roman"/>
                              </w:rPr>
                              <w:t xml:space="preserve">Forest and environmental management policies and their decrees of application in many countries around Africa. </w:t>
                            </w:r>
                          </w:p>
                          <w:p w14:paraId="600A9577" w14:textId="77777777" w:rsidR="00BC0CFA" w:rsidRPr="002A3383" w:rsidRDefault="00BC0CFA" w:rsidP="002A3383">
                            <w:pPr>
                              <w:spacing w:line="276" w:lineRule="auto"/>
                              <w:jc w:val="both"/>
                              <w:textDirection w:val="btLr"/>
                              <w:rPr>
                                <w:rFonts w:ascii="Times New Roman" w:eastAsia="Times New Roman" w:hAnsi="Times New Roman" w:cs="Times New Roman"/>
                                <w:i/>
                              </w:rPr>
                            </w:pPr>
                            <w:r w:rsidRPr="002A3383">
                              <w:rPr>
                                <w:rFonts w:ascii="Times New Roman" w:eastAsia="Times New Roman" w:hAnsi="Times New Roman" w:cs="Times New Roman"/>
                                <w:i/>
                              </w:rPr>
                              <w:t>Examples at the local and community levels:</w:t>
                            </w:r>
                          </w:p>
                          <w:p w14:paraId="1114CE20" w14:textId="77777777" w:rsidR="00BC0CFA" w:rsidRPr="002A3383" w:rsidRDefault="00BC0CFA" w:rsidP="002A3383">
                            <w:pPr>
                              <w:spacing w:line="276" w:lineRule="auto"/>
                              <w:ind w:left="720"/>
                              <w:jc w:val="both"/>
                              <w:textDirection w:val="btLr"/>
                            </w:pPr>
                            <w:r w:rsidRPr="002A3383">
                              <w:rPr>
                                <w:rFonts w:ascii="Times New Roman" w:eastAsia="Times New Roman" w:hAnsi="Times New Roman" w:cs="Times New Roman"/>
                              </w:rPr>
                              <w:t>Not evident</w:t>
                            </w:r>
                          </w:p>
                        </w:txbxContent>
                      </wps:txbx>
                      <wps:bodyPr wrap="square" lIns="91425" tIns="45700" rIns="91425" bIns="45700" anchor="t" anchorCtr="0"/>
                    </wps:wsp>
                  </a:graphicData>
                </a:graphic>
              </wp:inline>
            </w:drawing>
          </mc:Choice>
          <mc:Fallback>
            <w:pict>
              <v:rect w14:anchorId="011073DB" id="Rectangle 33" o:spid="_x0000_s1027" style="width:457.8pt;height:23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" fillcolor="#f2f2f2 [3052]" strokecolor="black [3213]">
                <v:stroke joinstyle="round"/>
                <v:textbox inset="2.53958mm,1.2694mm,2.53958mm,1.2694mm">
                  <w:txbxContent>
                    <w:p w14:paraId="0891A98F" w14:textId="77777777" w:rsidR="00BC0CFA" w:rsidRPr="002A3383" w:rsidRDefault="00BC0CFA" w:rsidP="002A3383">
                      <w:pPr>
                        <w:spacing w:after="120" w:line="276" w:lineRule="auto"/>
                        <w:jc w:val="both"/>
                        <w:textDirection w:val="btLr"/>
                      </w:pPr>
                      <w:r w:rsidRPr="002A3383">
                        <w:rPr>
                          <w:rFonts w:ascii="Times New Roman" w:eastAsia="Times New Roman" w:hAnsi="Times New Roman" w:cs="Times New Roman"/>
                          <w:b/>
                        </w:rPr>
                        <w:t>Box 1.3: Examples of blueprints</w:t>
                      </w:r>
                    </w:p>
                    <w:p w14:paraId="57229449" w14:textId="2198411C" w:rsidR="00BC0CFA" w:rsidRPr="002A3383" w:rsidRDefault="00BC0CFA" w:rsidP="002A3383">
                      <w:pPr>
                        <w:spacing w:line="276" w:lineRule="auto"/>
                        <w:jc w:val="both"/>
                        <w:textDirection w:val="btLr"/>
                        <w:rPr>
                          <w:rFonts w:ascii="Times New Roman" w:eastAsia="Times New Roman" w:hAnsi="Times New Roman" w:cs="Times New Roman"/>
                        </w:rPr>
                      </w:pPr>
                      <w:r w:rsidRPr="002A3383">
                        <w:rPr>
                          <w:rFonts w:ascii="Times New Roman" w:eastAsia="Times New Roman" w:hAnsi="Times New Roman" w:cs="Times New Roman"/>
                          <w:i/>
                        </w:rPr>
                        <w:t>Examples at</w:t>
                      </w:r>
                      <w:r>
                        <w:rPr>
                          <w:rFonts w:ascii="Times New Roman" w:eastAsia="Times New Roman" w:hAnsi="Times New Roman" w:cs="Times New Roman"/>
                          <w:i/>
                        </w:rPr>
                        <w:t xml:space="preserve"> the</w:t>
                      </w:r>
                      <w:r w:rsidRPr="002A3383">
                        <w:rPr>
                          <w:rFonts w:ascii="Times New Roman" w:eastAsia="Times New Roman" w:hAnsi="Times New Roman" w:cs="Times New Roman"/>
                          <w:i/>
                        </w:rPr>
                        <w:t xml:space="preserve"> international level include</w:t>
                      </w:r>
                      <w:r w:rsidRPr="002A3383">
                        <w:rPr>
                          <w:rFonts w:ascii="Times New Roman" w:eastAsia="Times New Roman" w:hAnsi="Times New Roman" w:cs="Times New Roman"/>
                        </w:rPr>
                        <w:t xml:space="preserve">: </w:t>
                      </w:r>
                    </w:p>
                    <w:p w14:paraId="649F9D58" w14:textId="77777777" w:rsidR="00BC0CFA" w:rsidRPr="002A3383" w:rsidRDefault="00BC0CFA" w:rsidP="002A3383">
                      <w:pPr>
                        <w:spacing w:line="276" w:lineRule="auto"/>
                        <w:ind w:left="720"/>
                        <w:jc w:val="both"/>
                        <w:textDirection w:val="btLr"/>
                      </w:pPr>
                      <w:r w:rsidRPr="002A3383">
                        <w:rPr>
                          <w:rFonts w:ascii="Times New Roman" w:eastAsia="Times New Roman" w:hAnsi="Times New Roman" w:cs="Times New Roman"/>
                        </w:rPr>
                        <w:t xml:space="preserve">The Strategic Plan for Biodiversity 2011–2020 and its Aichi Targets prepared under the auspices of the Convention on Biological Diversity, the 10-year strategic plan and framework (2008–2018) of the United Nations Convention to Combat Desertification (UNCCD), and the development by the UN General Assembly of the post-2015 Development Agenda and a set of sustainable development goals (SDGs). </w:t>
                      </w:r>
                    </w:p>
                    <w:p w14:paraId="5A64173A" w14:textId="44ACF102" w:rsidR="00BC0CFA" w:rsidRPr="002A3383" w:rsidRDefault="00BC0CFA" w:rsidP="002A3383">
                      <w:pPr>
                        <w:spacing w:line="276" w:lineRule="auto"/>
                        <w:jc w:val="both"/>
                        <w:textDirection w:val="btLr"/>
                        <w:rPr>
                          <w:rFonts w:ascii="Times New Roman" w:eastAsia="Times New Roman" w:hAnsi="Times New Roman" w:cs="Times New Roman"/>
                        </w:rPr>
                      </w:pPr>
                      <w:r w:rsidRPr="002A3383">
                        <w:rPr>
                          <w:rFonts w:ascii="Times New Roman" w:eastAsia="Times New Roman" w:hAnsi="Times New Roman" w:cs="Times New Roman"/>
                          <w:i/>
                        </w:rPr>
                        <w:t xml:space="preserve">Examples at regional and </w:t>
                      </w:r>
                      <w:r>
                        <w:rPr>
                          <w:rFonts w:ascii="Times New Roman" w:eastAsia="Times New Roman" w:hAnsi="Times New Roman" w:cs="Times New Roman"/>
                          <w:i/>
                        </w:rPr>
                        <w:t>subregion</w:t>
                      </w:r>
                      <w:r w:rsidRPr="002A3383">
                        <w:rPr>
                          <w:rFonts w:ascii="Times New Roman" w:eastAsia="Times New Roman" w:hAnsi="Times New Roman" w:cs="Times New Roman"/>
                          <w:i/>
                        </w:rPr>
                        <w:t>al levels include:</w:t>
                      </w:r>
                      <w:r w:rsidRPr="002A3383">
                        <w:rPr>
                          <w:rFonts w:ascii="Times New Roman" w:eastAsia="Times New Roman" w:hAnsi="Times New Roman" w:cs="Times New Roman"/>
                        </w:rPr>
                        <w:t xml:space="preserve"> </w:t>
                      </w:r>
                    </w:p>
                    <w:p w14:paraId="4CDBF93E" w14:textId="77777777" w:rsidR="00BC0CFA" w:rsidRPr="002A3383" w:rsidRDefault="00BC0CFA" w:rsidP="002A3383">
                      <w:pPr>
                        <w:spacing w:line="276" w:lineRule="auto"/>
                        <w:ind w:left="720"/>
                        <w:jc w:val="both"/>
                        <w:textDirection w:val="btLr"/>
                      </w:pPr>
                      <w:r w:rsidRPr="002A3383">
                        <w:rPr>
                          <w:rFonts w:ascii="Times New Roman" w:eastAsia="Times New Roman" w:hAnsi="Times New Roman" w:cs="Times New Roman"/>
                        </w:rPr>
                        <w:t xml:space="preserve">The Lake Chad Basin Commission, the Nile Basin Commission, the Central Africa Forest Commission (COMIFAC), etc. </w:t>
                      </w:r>
                    </w:p>
                    <w:p w14:paraId="2DF58BF4" w14:textId="77777777" w:rsidR="00BC0CFA" w:rsidRPr="002A3383" w:rsidRDefault="00BC0CFA" w:rsidP="002A3383">
                      <w:pPr>
                        <w:spacing w:line="276" w:lineRule="auto"/>
                        <w:jc w:val="both"/>
                        <w:textDirection w:val="btLr"/>
                        <w:rPr>
                          <w:rFonts w:ascii="Times New Roman" w:eastAsia="Times New Roman" w:hAnsi="Times New Roman" w:cs="Times New Roman"/>
                        </w:rPr>
                      </w:pPr>
                      <w:r w:rsidRPr="002A3383">
                        <w:rPr>
                          <w:rFonts w:ascii="Times New Roman" w:eastAsia="Times New Roman" w:hAnsi="Times New Roman" w:cs="Times New Roman"/>
                          <w:i/>
                        </w:rPr>
                        <w:t>Examples at the national level include:</w:t>
                      </w:r>
                      <w:r w:rsidRPr="002A3383">
                        <w:rPr>
                          <w:rFonts w:ascii="Times New Roman" w:eastAsia="Times New Roman" w:hAnsi="Times New Roman" w:cs="Times New Roman"/>
                        </w:rPr>
                        <w:t xml:space="preserve"> </w:t>
                      </w:r>
                    </w:p>
                    <w:p w14:paraId="4006CD9B" w14:textId="77777777" w:rsidR="00BC0CFA" w:rsidRPr="002A3383" w:rsidRDefault="00BC0CFA" w:rsidP="002A3383">
                      <w:pPr>
                        <w:spacing w:line="276" w:lineRule="auto"/>
                        <w:ind w:left="720"/>
                        <w:jc w:val="both"/>
                        <w:textDirection w:val="btLr"/>
                      </w:pPr>
                      <w:r w:rsidRPr="002A3383">
                        <w:rPr>
                          <w:rFonts w:ascii="Times New Roman" w:eastAsia="Times New Roman" w:hAnsi="Times New Roman" w:cs="Times New Roman"/>
                        </w:rPr>
                        <w:t xml:space="preserve">Forest and environmental management policies and their decrees of application in many countries around Africa. </w:t>
                      </w:r>
                    </w:p>
                    <w:p w14:paraId="600A9577" w14:textId="77777777" w:rsidR="00BC0CFA" w:rsidRPr="002A3383" w:rsidRDefault="00BC0CFA" w:rsidP="002A3383">
                      <w:pPr>
                        <w:spacing w:line="276" w:lineRule="auto"/>
                        <w:jc w:val="both"/>
                        <w:textDirection w:val="btLr"/>
                        <w:rPr>
                          <w:rFonts w:ascii="Times New Roman" w:eastAsia="Times New Roman" w:hAnsi="Times New Roman" w:cs="Times New Roman"/>
                          <w:i/>
                        </w:rPr>
                      </w:pPr>
                      <w:r w:rsidRPr="002A3383">
                        <w:rPr>
                          <w:rFonts w:ascii="Times New Roman" w:eastAsia="Times New Roman" w:hAnsi="Times New Roman" w:cs="Times New Roman"/>
                          <w:i/>
                        </w:rPr>
                        <w:t>Examples at the local and community levels:</w:t>
                      </w:r>
                    </w:p>
                    <w:p w14:paraId="1114CE20" w14:textId="77777777" w:rsidR="00BC0CFA" w:rsidRPr="002A3383" w:rsidRDefault="00BC0CFA" w:rsidP="002A3383">
                      <w:pPr>
                        <w:spacing w:line="276" w:lineRule="auto"/>
                        <w:ind w:left="720"/>
                        <w:jc w:val="both"/>
                        <w:textDirection w:val="btLr"/>
                      </w:pPr>
                      <w:r w:rsidRPr="002A3383">
                        <w:rPr>
                          <w:rFonts w:ascii="Times New Roman" w:eastAsia="Times New Roman" w:hAnsi="Times New Roman" w:cs="Times New Roman"/>
                        </w:rPr>
                        <w:t>Not evident</w:t>
                      </w:r>
                    </w:p>
                  </w:txbxContent>
                </v:textbox>
                <w10:anchorlock/>
              </v:rect>
            </w:pict>
          </mc:Fallback>
        </mc:AlternateContent>
      </w:r>
    </w:p>
    <w:p w14:paraId="00F66DDB" w14:textId="6F8765D0"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One of the hidden pitfalls of blueprints is their inability to address the uncertainty and surprise that </w:t>
      </w:r>
      <w:r w:rsidR="00264EBF" w:rsidRPr="009B0448">
        <w:rPr>
          <w:rFonts w:ascii="Times New Roman" w:eastAsia="Times New Roman" w:hAnsi="Times New Roman" w:cs="Times New Roman"/>
        </w:rPr>
        <w:t>characteris</w:t>
      </w:r>
      <w:r w:rsidRPr="009B0448">
        <w:rPr>
          <w:rFonts w:ascii="Times New Roman" w:eastAsia="Times New Roman" w:hAnsi="Times New Roman" w:cs="Times New Roman"/>
        </w:rPr>
        <w:t xml:space="preserve">es complex social-ecological systems (Gunderson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2002). They cannot, in themselves, fully integrate the interests and dynamic interplay of diverse actors and stakeholders at various scales of significance. A range of participatory approaches and platforms developed over the years need to be </w:t>
      </w:r>
      <w:r w:rsidR="00264EBF" w:rsidRPr="009B0448">
        <w:rPr>
          <w:rFonts w:ascii="Times New Roman" w:eastAsia="Times New Roman" w:hAnsi="Times New Roman" w:cs="Times New Roman"/>
        </w:rPr>
        <w:t>mobilis</w:t>
      </w:r>
      <w:r w:rsidRPr="009B0448">
        <w:rPr>
          <w:rFonts w:ascii="Times New Roman" w:eastAsia="Times New Roman" w:hAnsi="Times New Roman" w:cs="Times New Roman"/>
        </w:rPr>
        <w:t xml:space="preserve">ed so as to fully involve </w:t>
      </w:r>
      <w:r w:rsidR="002D05E4" w:rsidRPr="009B0448">
        <w:rPr>
          <w:rFonts w:ascii="Times New Roman" w:eastAsia="Times New Roman" w:hAnsi="Times New Roman" w:cs="Times New Roman"/>
        </w:rPr>
        <w:t>biodiversity and ecosystem services</w:t>
      </w:r>
      <w:r w:rsidRPr="009B0448">
        <w:rPr>
          <w:rFonts w:ascii="Times New Roman" w:eastAsia="Times New Roman" w:hAnsi="Times New Roman" w:cs="Times New Roman"/>
        </w:rPr>
        <w:t xml:space="preserve"> stakeholders in the design and adaptive implementation of these blueprints. Secondly, to effectively play their roles, some of these stakeholders must be empowered and their capacities strengthened. This will help knowledge flow and co-creation of solutions on the basis of shared understandings. Thirdly, there is a need to </w:t>
      </w:r>
      <w:r w:rsidR="00264EBF" w:rsidRPr="009B0448">
        <w:rPr>
          <w:rFonts w:ascii="Times New Roman" w:eastAsia="Times New Roman" w:hAnsi="Times New Roman" w:cs="Times New Roman"/>
        </w:rPr>
        <w:t>recognis</w:t>
      </w:r>
      <w:r w:rsidRPr="009B0448">
        <w:rPr>
          <w:rFonts w:ascii="Times New Roman" w:eastAsia="Times New Roman" w:hAnsi="Times New Roman" w:cs="Times New Roman"/>
        </w:rPr>
        <w:t xml:space="preserve">e where stakeholders might be </w:t>
      </w:r>
      <w:r w:rsidR="00F13B9C" w:rsidRPr="009B0448">
        <w:rPr>
          <w:rFonts w:ascii="Times New Roman" w:eastAsia="Times New Roman" w:hAnsi="Times New Roman" w:cs="Times New Roman"/>
        </w:rPr>
        <w:t>marginalis</w:t>
      </w:r>
      <w:r w:rsidRPr="009B0448">
        <w:rPr>
          <w:rFonts w:ascii="Times New Roman" w:eastAsia="Times New Roman" w:hAnsi="Times New Roman" w:cs="Times New Roman"/>
        </w:rPr>
        <w:t xml:space="preserve">ed and left out of planning and decision-making due to their </w:t>
      </w:r>
      <w:r w:rsidRPr="009B0448">
        <w:rPr>
          <w:rFonts w:ascii="Times New Roman" w:eastAsia="Times New Roman" w:hAnsi="Times New Roman" w:cs="Times New Roman"/>
        </w:rPr>
        <w:lastRenderedPageBreak/>
        <w:t xml:space="preserve">political leanings, cultural characteristics and levels of education. This is important because stakeholders could be left out of planning and decision-making but not of the actual use or abuse of resources. Fourthly, some of the stakeholder’s indigenous and local knowledge systems, particularly in Africa, have large, untapped potential for new ideas and solutions, not only in planning and decision-making but also in the actual process of creating a sustainable, ecologically grounded future. </w:t>
      </w:r>
    </w:p>
    <w:p w14:paraId="6C8F2CB7" w14:textId="77777777" w:rsidR="00292D18" w:rsidRPr="009B0448" w:rsidRDefault="00292D18" w:rsidP="00292D18">
      <w:pPr>
        <w:spacing w:line="276" w:lineRule="auto"/>
        <w:jc w:val="both"/>
        <w:rPr>
          <w:rFonts w:ascii="Times New Roman" w:eastAsia="Times New Roman" w:hAnsi="Times New Roman" w:cs="Times New Roman"/>
        </w:rPr>
      </w:pPr>
    </w:p>
    <w:p w14:paraId="272856AB" w14:textId="77777777" w:rsidR="003E20BD"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Given IPBES’s commitment to stakeholder engagement, each chapter in this assessment has given due consideration to stakeholder identification, analysis, linkages, mapping and engagement. Such thinking has afforded answers to the questions identified in Box 1.</w:t>
      </w:r>
      <w:r w:rsidR="002D05E4" w:rsidRPr="009B0448">
        <w:rPr>
          <w:rFonts w:ascii="Times New Roman" w:eastAsia="Times New Roman" w:hAnsi="Times New Roman" w:cs="Times New Roman"/>
        </w:rPr>
        <w:t>4</w:t>
      </w:r>
      <w:r w:rsidRPr="009B0448">
        <w:rPr>
          <w:rFonts w:ascii="Times New Roman" w:eastAsia="Times New Roman" w:hAnsi="Times New Roman" w:cs="Times New Roman"/>
        </w:rPr>
        <w:t xml:space="preserve">. </w:t>
      </w:r>
    </w:p>
    <w:p w14:paraId="73B28C44" w14:textId="77777777" w:rsidR="00D04ED9" w:rsidRPr="009B0448" w:rsidRDefault="00D04ED9" w:rsidP="00292D18">
      <w:pPr>
        <w:spacing w:line="276" w:lineRule="auto"/>
        <w:jc w:val="both"/>
        <w:rPr>
          <w:rFonts w:ascii="Times New Roman" w:eastAsia="Times New Roman" w:hAnsi="Times New Roman" w:cs="Times New Roman"/>
        </w:rPr>
      </w:pPr>
    </w:p>
    <w:p w14:paraId="08146080" w14:textId="588DB2BA" w:rsidR="00D04ED9" w:rsidRDefault="00D04ED9" w:rsidP="00D04ED9">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mc:AlternateContent>
          <mc:Choice Requires="wps">
            <w:drawing>
              <wp:inline distT="0" distB="0" distL="114300" distR="114300" wp14:anchorId="5768D6C8" wp14:editId="7E8FF4E2">
                <wp:extent cx="6075336" cy="6865749"/>
                <wp:effectExtent l="0" t="0" r="20955" b="11430"/>
                <wp:docPr id="34" name="Rectangle 34"/>
                <wp:cNvGraphicFramePr/>
                <a:graphic xmlns:a="http://schemas.openxmlformats.org/drawingml/2006/main">
                  <a:graphicData uri="http://schemas.microsoft.com/office/word/2010/wordprocessingShape">
                    <wps:wsp>
                      <wps:cNvSpPr/>
                      <wps:spPr>
                        <a:xfrm>
                          <a:off x="0" y="0"/>
                          <a:ext cx="6075336" cy="6865749"/>
                        </a:xfrm>
                        <a:prstGeom prst="rect">
                          <a:avLst/>
                        </a:prstGeom>
                        <a:solidFill>
                          <a:schemeClr val="bg1">
                            <a:lumMod val="95000"/>
                          </a:schemeClr>
                        </a:solidFill>
                        <a:ln w="9525" cap="flat" cmpd="sng">
                          <a:solidFill>
                            <a:schemeClr val="tx1"/>
                          </a:solidFill>
                          <a:prstDash val="solid"/>
                          <a:round/>
                          <a:headEnd type="none" w="med" len="med"/>
                          <a:tailEnd type="none" w="med" len="med"/>
                        </a:ln>
                      </wps:spPr>
                      <wps:txbx>
                        <w:txbxContent>
                          <w:p w14:paraId="1DC04B8F" w14:textId="77777777" w:rsidR="00BC0CFA" w:rsidRPr="002A3383" w:rsidRDefault="00BC0CFA" w:rsidP="00D04ED9">
                            <w:pPr>
                              <w:spacing w:after="120" w:line="276" w:lineRule="auto"/>
                              <w:textDirection w:val="btLr"/>
                            </w:pPr>
                            <w:r w:rsidRPr="002A3383">
                              <w:rPr>
                                <w:rFonts w:ascii="Times New Roman" w:eastAsia="Times New Roman" w:hAnsi="Times New Roman" w:cs="Times New Roman"/>
                                <w:b/>
                              </w:rPr>
                              <w:t>Box 1.4: Consideration of stakeholders in the IPBES Africa regional assessment</w:t>
                            </w:r>
                          </w:p>
                          <w:p w14:paraId="751F6C7C" w14:textId="77777777" w:rsidR="00BC0CFA" w:rsidRPr="002A3383" w:rsidRDefault="00BC0CFA" w:rsidP="00D04ED9">
                            <w:pPr>
                              <w:spacing w:line="276" w:lineRule="auto"/>
                              <w:jc w:val="both"/>
                              <w:textDirection w:val="btLr"/>
                            </w:pPr>
                            <w:r w:rsidRPr="002A3383">
                              <w:rPr>
                                <w:rFonts w:ascii="Times New Roman" w:eastAsia="Times New Roman" w:hAnsi="Times New Roman" w:cs="Times New Roman"/>
                                <w:i/>
                              </w:rPr>
                              <w:t>Who is a stakeholder</w:t>
                            </w:r>
                            <w:r w:rsidRPr="002A3383">
                              <w:rPr>
                                <w:rFonts w:ascii="Times New Roman" w:eastAsia="Times New Roman" w:hAnsi="Times New Roman" w:cs="Times New Roman"/>
                              </w:rPr>
                              <w:t>?</w:t>
                            </w:r>
                          </w:p>
                          <w:p w14:paraId="5191D273" w14:textId="77777777" w:rsidR="00BC0CFA" w:rsidRPr="002A3383" w:rsidRDefault="00BC0CFA" w:rsidP="00D04ED9">
                            <w:pPr>
                              <w:spacing w:line="276" w:lineRule="auto"/>
                              <w:ind w:left="560"/>
                              <w:jc w:val="both"/>
                              <w:textDirection w:val="btLr"/>
                            </w:pPr>
                            <w:r w:rsidRPr="002A3383">
                              <w:rPr>
                                <w:rFonts w:ascii="Times New Roman" w:eastAsia="Times New Roman" w:hAnsi="Times New Roman" w:cs="Times New Roman"/>
                              </w:rPr>
                              <w:t>They are actors, key players (persons or organisations) who have a vested interest in the formulation of policies and the use of biodiversity and ecosystem services for their well</w:t>
                            </w:r>
                            <w:r>
                              <w:rPr>
                                <w:rFonts w:ascii="Times New Roman" w:eastAsia="Times New Roman" w:hAnsi="Times New Roman" w:cs="Times New Roman"/>
                              </w:rPr>
                              <w:t>-</w:t>
                            </w:r>
                            <w:r w:rsidRPr="002A3383">
                              <w:rPr>
                                <w:rFonts w:ascii="Times New Roman" w:eastAsia="Times New Roman" w:hAnsi="Times New Roman" w:cs="Times New Roman"/>
                              </w:rPr>
                              <w:t xml:space="preserve">being. These stakeholders or “interested parties” can be grouped into the following categories: international, public, national political, commercial/private, nongovernmental organization /civil society, labour, and users/ consumers just to name a few. On one level, the remit of IPBES means that everyone is a stakeholder, including future generations. </w:t>
                            </w:r>
                          </w:p>
                          <w:p w14:paraId="624353ED" w14:textId="77777777" w:rsidR="00BC0CFA" w:rsidRPr="002A3383" w:rsidRDefault="00BC0CFA" w:rsidP="00D04ED9">
                            <w:pPr>
                              <w:spacing w:line="276" w:lineRule="auto"/>
                              <w:jc w:val="both"/>
                              <w:textDirection w:val="btLr"/>
                            </w:pPr>
                            <w:r w:rsidRPr="002A3383">
                              <w:rPr>
                                <w:rFonts w:ascii="Times New Roman" w:eastAsia="Times New Roman" w:hAnsi="Times New Roman" w:cs="Times New Roman"/>
                                <w:i/>
                              </w:rPr>
                              <w:t>What forms of stakeholder analysis are used?</w:t>
                            </w:r>
                          </w:p>
                          <w:p w14:paraId="4BF7963F" w14:textId="77777777" w:rsidR="00BC0CFA" w:rsidRPr="002A3383" w:rsidRDefault="00BC0CFA" w:rsidP="00D04ED9">
                            <w:pPr>
                              <w:spacing w:line="276" w:lineRule="auto"/>
                              <w:ind w:left="560"/>
                              <w:jc w:val="both"/>
                              <w:textDirection w:val="btLr"/>
                            </w:pPr>
                            <w:r w:rsidRPr="002A3383">
                              <w:rPr>
                                <w:rFonts w:ascii="Times New Roman" w:eastAsia="Times New Roman" w:hAnsi="Times New Roman" w:cs="Times New Roman"/>
                              </w:rPr>
                              <w:t>Stakeholder analysis refers to the systematically gathering and analysing of qualitative information to determine whose interests should be taken into account when developing and/or implementing a policy or program on biodiversity and sustainable use of biodiversity and ecosystem services.</w:t>
                            </w:r>
                          </w:p>
                          <w:p w14:paraId="744BBEFB" w14:textId="77777777" w:rsidR="00BC0CFA" w:rsidRPr="002A3383" w:rsidRDefault="00BC0CFA" w:rsidP="00D04ED9">
                            <w:pPr>
                              <w:spacing w:line="276" w:lineRule="auto"/>
                              <w:jc w:val="both"/>
                              <w:textDirection w:val="btLr"/>
                            </w:pPr>
                            <w:r w:rsidRPr="002A3383">
                              <w:rPr>
                                <w:rFonts w:ascii="Times New Roman" w:eastAsia="Times New Roman" w:hAnsi="Times New Roman" w:cs="Times New Roman"/>
                                <w:i/>
                              </w:rPr>
                              <w:t xml:space="preserve">Which stakeholder characteristics need to be analysed? </w:t>
                            </w:r>
                          </w:p>
                          <w:p w14:paraId="18EAAA0F" w14:textId="77777777" w:rsidR="00BC0CFA" w:rsidRPr="002A3383" w:rsidRDefault="00BC0CFA" w:rsidP="00D04ED9">
                            <w:pPr>
                              <w:spacing w:line="276" w:lineRule="auto"/>
                              <w:ind w:left="560"/>
                              <w:jc w:val="both"/>
                              <w:textDirection w:val="btLr"/>
                            </w:pPr>
                            <w:r w:rsidRPr="002A3383">
                              <w:rPr>
                                <w:rFonts w:ascii="Times New Roman" w:eastAsia="Times New Roman" w:hAnsi="Times New Roman" w:cs="Times New Roman"/>
                              </w:rPr>
                              <w:t>Characteristics such as knowledge of policies on biodiversity and ecosystem services, interests related to the policy on biodiversity use and well</w:t>
                            </w:r>
                            <w:r>
                              <w:rPr>
                                <w:rFonts w:ascii="Times New Roman" w:eastAsia="Times New Roman" w:hAnsi="Times New Roman" w:cs="Times New Roman"/>
                              </w:rPr>
                              <w:t>-</w:t>
                            </w:r>
                            <w:r w:rsidRPr="002A3383">
                              <w:rPr>
                                <w:rFonts w:ascii="Times New Roman" w:eastAsia="Times New Roman" w:hAnsi="Times New Roman" w:cs="Times New Roman"/>
                              </w:rPr>
                              <w:t xml:space="preserve">being, position for or against the policy on sustainable use and biodiversity conservation, potential alliances with other stakeholders, and ability to affect the policy implementation process (through their power and leadership) are analysed. </w:t>
                            </w:r>
                          </w:p>
                          <w:p w14:paraId="7D8AB320" w14:textId="77777777" w:rsidR="00BC0CFA" w:rsidRPr="002A3383" w:rsidRDefault="00BC0CFA" w:rsidP="00D04ED9">
                            <w:pPr>
                              <w:spacing w:line="276" w:lineRule="auto"/>
                              <w:jc w:val="both"/>
                              <w:textDirection w:val="btLr"/>
                            </w:pPr>
                            <w:r w:rsidRPr="002A3383">
                              <w:rPr>
                                <w:rFonts w:ascii="Times New Roman" w:eastAsia="Times New Roman" w:hAnsi="Times New Roman" w:cs="Times New Roman"/>
                                <w:i/>
                              </w:rPr>
                              <w:t>What are the steps in stakeholder analysis?</w:t>
                            </w:r>
                          </w:p>
                          <w:p w14:paraId="4D06BCDF" w14:textId="77777777" w:rsidR="00BC0CFA" w:rsidRPr="002A3383" w:rsidRDefault="00BC0CFA" w:rsidP="00D04ED9">
                            <w:pPr>
                              <w:spacing w:line="276" w:lineRule="auto"/>
                              <w:ind w:left="560"/>
                              <w:jc w:val="both"/>
                              <w:textDirection w:val="btLr"/>
                            </w:pPr>
                            <w:r w:rsidRPr="002A3383">
                              <w:rPr>
                                <w:rFonts w:ascii="Times New Roman" w:eastAsia="Times New Roman" w:hAnsi="Times New Roman" w:cs="Times New Roman"/>
                              </w:rPr>
                              <w:t xml:space="preserve">The following are the major steps in the process: Planning the process, Selecting and defining a policy, Identifying key stakeholders, adapting the tools, collecting and recording the information, filling in the stakeholder table, analysing the stakeholder table, using the information. </w:t>
                            </w:r>
                          </w:p>
                          <w:p w14:paraId="1688A6BC" w14:textId="77777777" w:rsidR="00BC0CFA" w:rsidRPr="002A3383" w:rsidRDefault="00BC0CFA" w:rsidP="00D04ED9">
                            <w:pPr>
                              <w:spacing w:line="276" w:lineRule="auto"/>
                              <w:jc w:val="both"/>
                              <w:textDirection w:val="btLr"/>
                            </w:pPr>
                            <w:r w:rsidRPr="002A3383">
                              <w:rPr>
                                <w:rFonts w:ascii="Times New Roman" w:eastAsia="Times New Roman" w:hAnsi="Times New Roman" w:cs="Times New Roman"/>
                                <w:i/>
                              </w:rPr>
                              <w:t xml:space="preserve">Why is this analysis useful to IPBES? </w:t>
                            </w:r>
                          </w:p>
                          <w:p w14:paraId="1371271B" w14:textId="77777777" w:rsidR="00BC0CFA" w:rsidRPr="002A3383" w:rsidRDefault="00BC0CFA" w:rsidP="00D04ED9">
                            <w:pPr>
                              <w:spacing w:line="276" w:lineRule="auto"/>
                              <w:ind w:left="560"/>
                              <w:jc w:val="both"/>
                              <w:textDirection w:val="btLr"/>
                            </w:pPr>
                            <w:r w:rsidRPr="002A3383">
                              <w:rPr>
                                <w:rFonts w:ascii="Times New Roman" w:eastAsia="Times New Roman" w:hAnsi="Times New Roman" w:cs="Times New Roman"/>
                              </w:rPr>
                              <w:t>Knowing who the key actors are, their knowledge, interests, positions, alliances, and importance related to the policy on biodiversity, ecosystem services and sustainable use, allows IPBES to interact more effectively with policy makers, key stakeholders and increase their support for the implementation of given policy options on biodiversity and ecosystem services.</w:t>
                            </w:r>
                          </w:p>
                          <w:p w14:paraId="76F6021C" w14:textId="77777777" w:rsidR="00BC0CFA" w:rsidRPr="002A3383" w:rsidRDefault="00BC0CFA" w:rsidP="00D04ED9">
                            <w:pPr>
                              <w:spacing w:line="276" w:lineRule="auto"/>
                              <w:jc w:val="both"/>
                              <w:textDirection w:val="btLr"/>
                            </w:pPr>
                            <w:r w:rsidRPr="002A3383">
                              <w:rPr>
                                <w:rFonts w:ascii="Times New Roman" w:eastAsia="Times New Roman" w:hAnsi="Times New Roman" w:cs="Times New Roman"/>
                                <w:i/>
                              </w:rPr>
                              <w:t xml:space="preserve">What is stakeholder mapping? </w:t>
                            </w:r>
                          </w:p>
                          <w:p w14:paraId="56BBDB11" w14:textId="77777777" w:rsidR="00BC0CFA" w:rsidRPr="002A3383" w:rsidRDefault="00BC0CFA" w:rsidP="00D04ED9">
                            <w:pPr>
                              <w:spacing w:line="276" w:lineRule="auto"/>
                              <w:ind w:left="567"/>
                              <w:jc w:val="both"/>
                              <w:textDirection w:val="btLr"/>
                              <w:rPr>
                                <w:rFonts w:ascii="Times New Roman" w:eastAsia="Times New Roman" w:hAnsi="Times New Roman" w:cs="Times New Roman"/>
                              </w:rPr>
                            </w:pPr>
                            <w:r w:rsidRPr="002A3383">
                              <w:rPr>
                                <w:rFonts w:ascii="Times New Roman" w:eastAsia="Times New Roman" w:hAnsi="Times New Roman" w:cs="Times New Roman"/>
                              </w:rPr>
                              <w:t xml:space="preserve">Stakeholder mapping is a collaborative process of research, debate, and discussion that draws from multiple perspectives to determine a key list of stakeholders across the entire stakeholder spectrum. Mapping can be broken down into four phases. </w:t>
                            </w:r>
                          </w:p>
                          <w:p w14:paraId="7FCFEE6B" w14:textId="77777777" w:rsidR="00BC0CFA" w:rsidRPr="002A3383" w:rsidRDefault="00BC0CFA" w:rsidP="00D04ED9">
                            <w:pPr>
                              <w:spacing w:line="276" w:lineRule="auto"/>
                              <w:ind w:left="720"/>
                              <w:jc w:val="both"/>
                              <w:textDirection w:val="btLr"/>
                              <w:rPr>
                                <w:rFonts w:ascii="Times New Roman" w:eastAsia="Times New Roman" w:hAnsi="Times New Roman" w:cs="Times New Roman"/>
                              </w:rPr>
                            </w:pPr>
                            <w:r w:rsidRPr="002A3383">
                              <w:rPr>
                                <w:rFonts w:ascii="Times New Roman" w:eastAsia="Times New Roman" w:hAnsi="Times New Roman" w:cs="Times New Roman"/>
                              </w:rPr>
                              <w:t xml:space="preserve">1. </w:t>
                            </w:r>
                            <w:r w:rsidRPr="002A3383">
                              <w:rPr>
                                <w:rFonts w:ascii="Times New Roman" w:eastAsia="Times New Roman" w:hAnsi="Times New Roman" w:cs="Times New Roman"/>
                                <w:u w:val="single"/>
                              </w:rPr>
                              <w:t>Identifying</w:t>
                            </w:r>
                            <w:r w:rsidRPr="002A3383">
                              <w:rPr>
                                <w:rFonts w:ascii="Times New Roman" w:eastAsia="Times New Roman" w:hAnsi="Times New Roman" w:cs="Times New Roman"/>
                              </w:rPr>
                              <w:t xml:space="preserve">: listing to relevant groups, organizations, and people; </w:t>
                            </w:r>
                          </w:p>
                          <w:p w14:paraId="66FA7781" w14:textId="77777777" w:rsidR="00BC0CFA" w:rsidRPr="002A3383" w:rsidRDefault="00BC0CFA" w:rsidP="00D04ED9">
                            <w:pPr>
                              <w:spacing w:line="276" w:lineRule="auto"/>
                              <w:ind w:left="720"/>
                              <w:jc w:val="both"/>
                              <w:textDirection w:val="btLr"/>
                              <w:rPr>
                                <w:rFonts w:ascii="Times New Roman" w:eastAsia="Times New Roman" w:hAnsi="Times New Roman" w:cs="Times New Roman"/>
                              </w:rPr>
                            </w:pPr>
                            <w:r w:rsidRPr="002A3383">
                              <w:rPr>
                                <w:rFonts w:ascii="Times New Roman" w:eastAsia="Times New Roman" w:hAnsi="Times New Roman" w:cs="Times New Roman"/>
                              </w:rPr>
                              <w:t xml:space="preserve">2. </w:t>
                            </w:r>
                            <w:r w:rsidRPr="002A3383">
                              <w:rPr>
                                <w:rFonts w:ascii="Times New Roman" w:eastAsia="Times New Roman" w:hAnsi="Times New Roman" w:cs="Times New Roman"/>
                                <w:u w:val="single"/>
                              </w:rPr>
                              <w:t>Analysing</w:t>
                            </w:r>
                            <w:r w:rsidRPr="002A3383">
                              <w:rPr>
                                <w:rFonts w:ascii="Times New Roman" w:eastAsia="Times New Roman" w:hAnsi="Times New Roman" w:cs="Times New Roman"/>
                              </w:rPr>
                              <w:t xml:space="preserve">: understanding stakeholder perspectives and interests; </w:t>
                            </w:r>
                          </w:p>
                          <w:p w14:paraId="31C77ACA" w14:textId="77777777" w:rsidR="00BC0CFA" w:rsidRPr="002A3383" w:rsidRDefault="00BC0CFA" w:rsidP="00D04ED9">
                            <w:pPr>
                              <w:spacing w:line="276" w:lineRule="auto"/>
                              <w:ind w:left="720"/>
                              <w:jc w:val="both"/>
                              <w:textDirection w:val="btLr"/>
                              <w:rPr>
                                <w:rFonts w:ascii="Times New Roman" w:eastAsia="Times New Roman" w:hAnsi="Times New Roman" w:cs="Times New Roman"/>
                              </w:rPr>
                            </w:pPr>
                            <w:r w:rsidRPr="002A3383">
                              <w:rPr>
                                <w:rFonts w:ascii="Times New Roman" w:eastAsia="Times New Roman" w:hAnsi="Times New Roman" w:cs="Times New Roman"/>
                              </w:rPr>
                              <w:t xml:space="preserve">3. </w:t>
                            </w:r>
                            <w:r w:rsidRPr="002A3383">
                              <w:rPr>
                                <w:rFonts w:ascii="Times New Roman" w:eastAsia="Times New Roman" w:hAnsi="Times New Roman" w:cs="Times New Roman"/>
                                <w:u w:val="single"/>
                              </w:rPr>
                              <w:t>Mapping</w:t>
                            </w:r>
                            <w:r w:rsidRPr="002A3383">
                              <w:rPr>
                                <w:rFonts w:ascii="Times New Roman" w:eastAsia="Times New Roman" w:hAnsi="Times New Roman" w:cs="Times New Roman"/>
                              </w:rPr>
                              <w:t xml:space="preserve">: visualizing relationships and links to objectives and other stakeholders; and </w:t>
                            </w:r>
                          </w:p>
                          <w:p w14:paraId="4CBE5293" w14:textId="77777777" w:rsidR="00BC0CFA" w:rsidRPr="002A3383" w:rsidRDefault="00BC0CFA" w:rsidP="00D04ED9">
                            <w:pPr>
                              <w:spacing w:line="276" w:lineRule="auto"/>
                              <w:ind w:left="720"/>
                              <w:textDirection w:val="btLr"/>
                              <w:rPr>
                                <w:rFonts w:ascii="Times New Roman" w:eastAsia="Times New Roman" w:hAnsi="Times New Roman" w:cs="Times New Roman"/>
                              </w:rPr>
                            </w:pPr>
                            <w:r w:rsidRPr="002A3383">
                              <w:rPr>
                                <w:rFonts w:ascii="Times New Roman" w:eastAsia="Times New Roman" w:hAnsi="Times New Roman" w:cs="Times New Roman"/>
                              </w:rPr>
                              <w:t xml:space="preserve">4. </w:t>
                            </w:r>
                            <w:r>
                              <w:rPr>
                                <w:rFonts w:ascii="Times New Roman" w:eastAsia="Times New Roman" w:hAnsi="Times New Roman" w:cs="Times New Roman"/>
                                <w:u w:val="single"/>
                              </w:rPr>
                              <w:t>Prioritis</w:t>
                            </w:r>
                            <w:r w:rsidRPr="002A3383">
                              <w:rPr>
                                <w:rFonts w:ascii="Times New Roman" w:eastAsia="Times New Roman" w:hAnsi="Times New Roman" w:cs="Times New Roman"/>
                                <w:u w:val="single"/>
                              </w:rPr>
                              <w:t>ing</w:t>
                            </w:r>
                            <w:r w:rsidRPr="002A3383">
                              <w:rPr>
                                <w:rFonts w:ascii="Times New Roman" w:eastAsia="Times New Roman" w:hAnsi="Times New Roman" w:cs="Times New Roman"/>
                              </w:rPr>
                              <w:t xml:space="preserve">: ranking stakeholder relevance and identifying issues. </w:t>
                            </w:r>
                          </w:p>
                          <w:p w14:paraId="3C72BE46" w14:textId="77777777" w:rsidR="00BC0CFA" w:rsidRPr="002A3383" w:rsidRDefault="00BC0CFA" w:rsidP="00D04ED9">
                            <w:pPr>
                              <w:spacing w:line="276" w:lineRule="auto"/>
                              <w:ind w:left="567"/>
                              <w:textDirection w:val="btLr"/>
                            </w:pPr>
                            <w:r w:rsidRPr="002A3383">
                              <w:rPr>
                                <w:rFonts w:ascii="Times New Roman" w:eastAsia="Times New Roman" w:hAnsi="Times New Roman" w:cs="Times New Roman"/>
                              </w:rPr>
                              <w:t>Stakeholder mapping and analysis involves an understanding of key actors and agencies, their networks and capacities, information flows and barriers to action.</w:t>
                            </w:r>
                          </w:p>
                        </w:txbxContent>
                      </wps:txbx>
                      <wps:bodyPr wrap="square" lIns="91425" tIns="45700" rIns="91425" bIns="45700" anchor="t" anchorCtr="0"/>
                    </wps:wsp>
                  </a:graphicData>
                </a:graphic>
              </wp:inline>
            </w:drawing>
          </mc:Choice>
          <mc:Fallback>
            <w:pict>
              <v:rect w14:anchorId="5768D6C8" id="Rectangle 34" o:spid="_x0000_s1028" style="width:478.35pt;height:54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" fillcolor="#f2f2f2 [3052]" strokecolor="black [3213]">
                <v:stroke joinstyle="round"/>
                <v:textbox inset="2.53958mm,1.2694mm,2.53958mm,1.2694mm">
                  <w:txbxContent>
                    <w:p w14:paraId="1DC04B8F" w14:textId="77777777" w:rsidR="00BC0CFA" w:rsidRPr="002A3383" w:rsidRDefault="00BC0CFA" w:rsidP="00D04ED9">
                      <w:pPr>
                        <w:spacing w:after="120" w:line="276" w:lineRule="auto"/>
                        <w:textDirection w:val="btLr"/>
                      </w:pPr>
                      <w:r w:rsidRPr="002A3383">
                        <w:rPr>
                          <w:rFonts w:ascii="Times New Roman" w:eastAsia="Times New Roman" w:hAnsi="Times New Roman" w:cs="Times New Roman"/>
                          <w:b/>
                        </w:rPr>
                        <w:t>Box 1.4: Consideration of stakeholders in the IPBES Africa regional assessment</w:t>
                      </w:r>
                    </w:p>
                    <w:p w14:paraId="751F6C7C" w14:textId="77777777" w:rsidR="00BC0CFA" w:rsidRPr="002A3383" w:rsidRDefault="00BC0CFA" w:rsidP="00D04ED9">
                      <w:pPr>
                        <w:spacing w:line="276" w:lineRule="auto"/>
                        <w:jc w:val="both"/>
                        <w:textDirection w:val="btLr"/>
                      </w:pPr>
                      <w:r w:rsidRPr="002A3383">
                        <w:rPr>
                          <w:rFonts w:ascii="Times New Roman" w:eastAsia="Times New Roman" w:hAnsi="Times New Roman" w:cs="Times New Roman"/>
                          <w:i/>
                        </w:rPr>
                        <w:t>Who is a stakeholder</w:t>
                      </w:r>
                      <w:r w:rsidRPr="002A3383">
                        <w:rPr>
                          <w:rFonts w:ascii="Times New Roman" w:eastAsia="Times New Roman" w:hAnsi="Times New Roman" w:cs="Times New Roman"/>
                        </w:rPr>
                        <w:t>?</w:t>
                      </w:r>
                    </w:p>
                    <w:p w14:paraId="5191D273" w14:textId="77777777" w:rsidR="00BC0CFA" w:rsidRPr="002A3383" w:rsidRDefault="00BC0CFA" w:rsidP="00D04ED9">
                      <w:pPr>
                        <w:spacing w:line="276" w:lineRule="auto"/>
                        <w:ind w:left="560"/>
                        <w:jc w:val="both"/>
                        <w:textDirection w:val="btLr"/>
                      </w:pPr>
                      <w:r w:rsidRPr="002A3383">
                        <w:rPr>
                          <w:rFonts w:ascii="Times New Roman" w:eastAsia="Times New Roman" w:hAnsi="Times New Roman" w:cs="Times New Roman"/>
                        </w:rPr>
                        <w:t>They are actors, key players (persons or organisations) who have a vested interest in the formulation of policies and the use of biodiversity and ecosystem services for their well</w:t>
                      </w:r>
                      <w:r>
                        <w:rPr>
                          <w:rFonts w:ascii="Times New Roman" w:eastAsia="Times New Roman" w:hAnsi="Times New Roman" w:cs="Times New Roman"/>
                        </w:rPr>
                        <w:t>-</w:t>
                      </w:r>
                      <w:r w:rsidRPr="002A3383">
                        <w:rPr>
                          <w:rFonts w:ascii="Times New Roman" w:eastAsia="Times New Roman" w:hAnsi="Times New Roman" w:cs="Times New Roman"/>
                        </w:rPr>
                        <w:t xml:space="preserve">being. These stakeholders or “interested parties” can be grouped into the following categories: international, public, national political, commercial/private, nongovernmental organization /civil society, labour, and users/ consumers just to name a few. On one level, the remit of IPBES means that everyone is a stakeholder, including future generations. </w:t>
                      </w:r>
                    </w:p>
                    <w:p w14:paraId="624353ED" w14:textId="77777777" w:rsidR="00BC0CFA" w:rsidRPr="002A3383" w:rsidRDefault="00BC0CFA" w:rsidP="00D04ED9">
                      <w:pPr>
                        <w:spacing w:line="276" w:lineRule="auto"/>
                        <w:jc w:val="both"/>
                        <w:textDirection w:val="btLr"/>
                      </w:pPr>
                      <w:r w:rsidRPr="002A3383">
                        <w:rPr>
                          <w:rFonts w:ascii="Times New Roman" w:eastAsia="Times New Roman" w:hAnsi="Times New Roman" w:cs="Times New Roman"/>
                          <w:i/>
                        </w:rPr>
                        <w:t>What forms of stakeholder analysis are used?</w:t>
                      </w:r>
                    </w:p>
                    <w:p w14:paraId="4BF7963F" w14:textId="77777777" w:rsidR="00BC0CFA" w:rsidRPr="002A3383" w:rsidRDefault="00BC0CFA" w:rsidP="00D04ED9">
                      <w:pPr>
                        <w:spacing w:line="276" w:lineRule="auto"/>
                        <w:ind w:left="560"/>
                        <w:jc w:val="both"/>
                        <w:textDirection w:val="btLr"/>
                      </w:pPr>
                      <w:r w:rsidRPr="002A3383">
                        <w:rPr>
                          <w:rFonts w:ascii="Times New Roman" w:eastAsia="Times New Roman" w:hAnsi="Times New Roman" w:cs="Times New Roman"/>
                        </w:rPr>
                        <w:t>Stakeholder analysis refers to the systematically gathering and analysing of qualitative information to determine whose interests should be taken into account when developing and/or implementing a policy or program on biodiversity and sustainable use of biodiversity and ecosystem services.</w:t>
                      </w:r>
                    </w:p>
                    <w:p w14:paraId="744BBEFB" w14:textId="77777777" w:rsidR="00BC0CFA" w:rsidRPr="002A3383" w:rsidRDefault="00BC0CFA" w:rsidP="00D04ED9">
                      <w:pPr>
                        <w:spacing w:line="276" w:lineRule="auto"/>
                        <w:jc w:val="both"/>
                        <w:textDirection w:val="btLr"/>
                      </w:pPr>
                      <w:r w:rsidRPr="002A3383">
                        <w:rPr>
                          <w:rFonts w:ascii="Times New Roman" w:eastAsia="Times New Roman" w:hAnsi="Times New Roman" w:cs="Times New Roman"/>
                          <w:i/>
                        </w:rPr>
                        <w:t xml:space="preserve">Which stakeholder characteristics need to be analysed? </w:t>
                      </w:r>
                    </w:p>
                    <w:p w14:paraId="18EAAA0F" w14:textId="77777777" w:rsidR="00BC0CFA" w:rsidRPr="002A3383" w:rsidRDefault="00BC0CFA" w:rsidP="00D04ED9">
                      <w:pPr>
                        <w:spacing w:line="276" w:lineRule="auto"/>
                        <w:ind w:left="560"/>
                        <w:jc w:val="both"/>
                        <w:textDirection w:val="btLr"/>
                      </w:pPr>
                      <w:r w:rsidRPr="002A3383">
                        <w:rPr>
                          <w:rFonts w:ascii="Times New Roman" w:eastAsia="Times New Roman" w:hAnsi="Times New Roman" w:cs="Times New Roman"/>
                        </w:rPr>
                        <w:t>Characteristics such as knowledge of policies on biodiversity and ecosystem services, interests related to the policy on biodiversity use and well</w:t>
                      </w:r>
                      <w:r>
                        <w:rPr>
                          <w:rFonts w:ascii="Times New Roman" w:eastAsia="Times New Roman" w:hAnsi="Times New Roman" w:cs="Times New Roman"/>
                        </w:rPr>
                        <w:t>-</w:t>
                      </w:r>
                      <w:r w:rsidRPr="002A3383">
                        <w:rPr>
                          <w:rFonts w:ascii="Times New Roman" w:eastAsia="Times New Roman" w:hAnsi="Times New Roman" w:cs="Times New Roman"/>
                        </w:rPr>
                        <w:t xml:space="preserve">being, position for or against the policy on sustainable use and biodiversity conservation, potential alliances with other stakeholders, and ability to affect the policy implementation process (through their power and leadership) are analysed. </w:t>
                      </w:r>
                    </w:p>
                    <w:p w14:paraId="7D8AB320" w14:textId="77777777" w:rsidR="00BC0CFA" w:rsidRPr="002A3383" w:rsidRDefault="00BC0CFA" w:rsidP="00D04ED9">
                      <w:pPr>
                        <w:spacing w:line="276" w:lineRule="auto"/>
                        <w:jc w:val="both"/>
                        <w:textDirection w:val="btLr"/>
                      </w:pPr>
                      <w:r w:rsidRPr="002A3383">
                        <w:rPr>
                          <w:rFonts w:ascii="Times New Roman" w:eastAsia="Times New Roman" w:hAnsi="Times New Roman" w:cs="Times New Roman"/>
                          <w:i/>
                        </w:rPr>
                        <w:t>What are the steps in stakeholder analysis?</w:t>
                      </w:r>
                    </w:p>
                    <w:p w14:paraId="4D06BCDF" w14:textId="77777777" w:rsidR="00BC0CFA" w:rsidRPr="002A3383" w:rsidRDefault="00BC0CFA" w:rsidP="00D04ED9">
                      <w:pPr>
                        <w:spacing w:line="276" w:lineRule="auto"/>
                        <w:ind w:left="560"/>
                        <w:jc w:val="both"/>
                        <w:textDirection w:val="btLr"/>
                      </w:pPr>
                      <w:r w:rsidRPr="002A3383">
                        <w:rPr>
                          <w:rFonts w:ascii="Times New Roman" w:eastAsia="Times New Roman" w:hAnsi="Times New Roman" w:cs="Times New Roman"/>
                        </w:rPr>
                        <w:t xml:space="preserve">The following are the major steps in the process: Planning the process, Selecting and defining a policy, Identifying key stakeholders, adapting the tools, collecting and recording the information, filling in the stakeholder table, analysing the stakeholder table, using the information. </w:t>
                      </w:r>
                    </w:p>
                    <w:p w14:paraId="1688A6BC" w14:textId="77777777" w:rsidR="00BC0CFA" w:rsidRPr="002A3383" w:rsidRDefault="00BC0CFA" w:rsidP="00D04ED9">
                      <w:pPr>
                        <w:spacing w:line="276" w:lineRule="auto"/>
                        <w:jc w:val="both"/>
                        <w:textDirection w:val="btLr"/>
                      </w:pPr>
                      <w:r w:rsidRPr="002A3383">
                        <w:rPr>
                          <w:rFonts w:ascii="Times New Roman" w:eastAsia="Times New Roman" w:hAnsi="Times New Roman" w:cs="Times New Roman"/>
                          <w:i/>
                        </w:rPr>
                        <w:t xml:space="preserve">Why is this analysis useful to IPBES? </w:t>
                      </w:r>
                    </w:p>
                    <w:p w14:paraId="1371271B" w14:textId="77777777" w:rsidR="00BC0CFA" w:rsidRPr="002A3383" w:rsidRDefault="00BC0CFA" w:rsidP="00D04ED9">
                      <w:pPr>
                        <w:spacing w:line="276" w:lineRule="auto"/>
                        <w:ind w:left="560"/>
                        <w:jc w:val="both"/>
                        <w:textDirection w:val="btLr"/>
                      </w:pPr>
                      <w:r w:rsidRPr="002A3383">
                        <w:rPr>
                          <w:rFonts w:ascii="Times New Roman" w:eastAsia="Times New Roman" w:hAnsi="Times New Roman" w:cs="Times New Roman"/>
                        </w:rPr>
                        <w:t>Knowing who the key actors are, their knowledge, interests, positions, alliances, and importance related to the policy on biodiversity, ecosystem services and sustainable use, allows IPBES to interact more effectively with policy makers, key stakeholders and increase their support for the implementation of given policy options on biodiversity and ecosystem services.</w:t>
                      </w:r>
                    </w:p>
                    <w:p w14:paraId="76F6021C" w14:textId="77777777" w:rsidR="00BC0CFA" w:rsidRPr="002A3383" w:rsidRDefault="00BC0CFA" w:rsidP="00D04ED9">
                      <w:pPr>
                        <w:spacing w:line="276" w:lineRule="auto"/>
                        <w:jc w:val="both"/>
                        <w:textDirection w:val="btLr"/>
                      </w:pPr>
                      <w:r w:rsidRPr="002A3383">
                        <w:rPr>
                          <w:rFonts w:ascii="Times New Roman" w:eastAsia="Times New Roman" w:hAnsi="Times New Roman" w:cs="Times New Roman"/>
                          <w:i/>
                        </w:rPr>
                        <w:t xml:space="preserve">What is stakeholder mapping? </w:t>
                      </w:r>
                    </w:p>
                    <w:p w14:paraId="56BBDB11" w14:textId="77777777" w:rsidR="00BC0CFA" w:rsidRPr="002A3383" w:rsidRDefault="00BC0CFA" w:rsidP="00D04ED9">
                      <w:pPr>
                        <w:spacing w:line="276" w:lineRule="auto"/>
                        <w:ind w:left="567"/>
                        <w:jc w:val="both"/>
                        <w:textDirection w:val="btLr"/>
                        <w:rPr>
                          <w:rFonts w:ascii="Times New Roman" w:eastAsia="Times New Roman" w:hAnsi="Times New Roman" w:cs="Times New Roman"/>
                        </w:rPr>
                      </w:pPr>
                      <w:r w:rsidRPr="002A3383">
                        <w:rPr>
                          <w:rFonts w:ascii="Times New Roman" w:eastAsia="Times New Roman" w:hAnsi="Times New Roman" w:cs="Times New Roman"/>
                        </w:rPr>
                        <w:t xml:space="preserve">Stakeholder mapping is a collaborative process of research, debate, and discussion that draws from multiple perspectives to determine a key list of stakeholders across the entire stakeholder spectrum. Mapping can be broken down into four phases. </w:t>
                      </w:r>
                    </w:p>
                    <w:p w14:paraId="7FCFEE6B" w14:textId="77777777" w:rsidR="00BC0CFA" w:rsidRPr="002A3383" w:rsidRDefault="00BC0CFA" w:rsidP="00D04ED9">
                      <w:pPr>
                        <w:spacing w:line="276" w:lineRule="auto"/>
                        <w:ind w:left="720"/>
                        <w:jc w:val="both"/>
                        <w:textDirection w:val="btLr"/>
                        <w:rPr>
                          <w:rFonts w:ascii="Times New Roman" w:eastAsia="Times New Roman" w:hAnsi="Times New Roman" w:cs="Times New Roman"/>
                        </w:rPr>
                      </w:pPr>
                      <w:r w:rsidRPr="002A3383">
                        <w:rPr>
                          <w:rFonts w:ascii="Times New Roman" w:eastAsia="Times New Roman" w:hAnsi="Times New Roman" w:cs="Times New Roman"/>
                        </w:rPr>
                        <w:t xml:space="preserve">1. </w:t>
                      </w:r>
                      <w:r w:rsidRPr="002A3383">
                        <w:rPr>
                          <w:rFonts w:ascii="Times New Roman" w:eastAsia="Times New Roman" w:hAnsi="Times New Roman" w:cs="Times New Roman"/>
                          <w:u w:val="single"/>
                        </w:rPr>
                        <w:t>Identifying</w:t>
                      </w:r>
                      <w:r w:rsidRPr="002A3383">
                        <w:rPr>
                          <w:rFonts w:ascii="Times New Roman" w:eastAsia="Times New Roman" w:hAnsi="Times New Roman" w:cs="Times New Roman"/>
                        </w:rPr>
                        <w:t xml:space="preserve">: listing to relevant groups, organizations, and people; </w:t>
                      </w:r>
                    </w:p>
                    <w:p w14:paraId="66FA7781" w14:textId="77777777" w:rsidR="00BC0CFA" w:rsidRPr="002A3383" w:rsidRDefault="00BC0CFA" w:rsidP="00D04ED9">
                      <w:pPr>
                        <w:spacing w:line="276" w:lineRule="auto"/>
                        <w:ind w:left="720"/>
                        <w:jc w:val="both"/>
                        <w:textDirection w:val="btLr"/>
                        <w:rPr>
                          <w:rFonts w:ascii="Times New Roman" w:eastAsia="Times New Roman" w:hAnsi="Times New Roman" w:cs="Times New Roman"/>
                        </w:rPr>
                      </w:pPr>
                      <w:r w:rsidRPr="002A3383">
                        <w:rPr>
                          <w:rFonts w:ascii="Times New Roman" w:eastAsia="Times New Roman" w:hAnsi="Times New Roman" w:cs="Times New Roman"/>
                        </w:rPr>
                        <w:t xml:space="preserve">2. </w:t>
                      </w:r>
                      <w:r w:rsidRPr="002A3383">
                        <w:rPr>
                          <w:rFonts w:ascii="Times New Roman" w:eastAsia="Times New Roman" w:hAnsi="Times New Roman" w:cs="Times New Roman"/>
                          <w:u w:val="single"/>
                        </w:rPr>
                        <w:t>Analysing</w:t>
                      </w:r>
                      <w:r w:rsidRPr="002A3383">
                        <w:rPr>
                          <w:rFonts w:ascii="Times New Roman" w:eastAsia="Times New Roman" w:hAnsi="Times New Roman" w:cs="Times New Roman"/>
                        </w:rPr>
                        <w:t xml:space="preserve">: understanding stakeholder perspectives and interests; </w:t>
                      </w:r>
                    </w:p>
                    <w:p w14:paraId="31C77ACA" w14:textId="77777777" w:rsidR="00BC0CFA" w:rsidRPr="002A3383" w:rsidRDefault="00BC0CFA" w:rsidP="00D04ED9">
                      <w:pPr>
                        <w:spacing w:line="276" w:lineRule="auto"/>
                        <w:ind w:left="720"/>
                        <w:jc w:val="both"/>
                        <w:textDirection w:val="btLr"/>
                        <w:rPr>
                          <w:rFonts w:ascii="Times New Roman" w:eastAsia="Times New Roman" w:hAnsi="Times New Roman" w:cs="Times New Roman"/>
                        </w:rPr>
                      </w:pPr>
                      <w:r w:rsidRPr="002A3383">
                        <w:rPr>
                          <w:rFonts w:ascii="Times New Roman" w:eastAsia="Times New Roman" w:hAnsi="Times New Roman" w:cs="Times New Roman"/>
                        </w:rPr>
                        <w:t xml:space="preserve">3. </w:t>
                      </w:r>
                      <w:r w:rsidRPr="002A3383">
                        <w:rPr>
                          <w:rFonts w:ascii="Times New Roman" w:eastAsia="Times New Roman" w:hAnsi="Times New Roman" w:cs="Times New Roman"/>
                          <w:u w:val="single"/>
                        </w:rPr>
                        <w:t>Mapping</w:t>
                      </w:r>
                      <w:r w:rsidRPr="002A3383">
                        <w:rPr>
                          <w:rFonts w:ascii="Times New Roman" w:eastAsia="Times New Roman" w:hAnsi="Times New Roman" w:cs="Times New Roman"/>
                        </w:rPr>
                        <w:t xml:space="preserve">: visualizing relationships and links to objectives and other stakeholders; and </w:t>
                      </w:r>
                    </w:p>
                    <w:p w14:paraId="4CBE5293" w14:textId="77777777" w:rsidR="00BC0CFA" w:rsidRPr="002A3383" w:rsidRDefault="00BC0CFA" w:rsidP="00D04ED9">
                      <w:pPr>
                        <w:spacing w:line="276" w:lineRule="auto"/>
                        <w:ind w:left="720"/>
                        <w:textDirection w:val="btLr"/>
                        <w:rPr>
                          <w:rFonts w:ascii="Times New Roman" w:eastAsia="Times New Roman" w:hAnsi="Times New Roman" w:cs="Times New Roman"/>
                        </w:rPr>
                      </w:pPr>
                      <w:r w:rsidRPr="002A3383">
                        <w:rPr>
                          <w:rFonts w:ascii="Times New Roman" w:eastAsia="Times New Roman" w:hAnsi="Times New Roman" w:cs="Times New Roman"/>
                        </w:rPr>
                        <w:t xml:space="preserve">4. </w:t>
                      </w:r>
                      <w:r>
                        <w:rPr>
                          <w:rFonts w:ascii="Times New Roman" w:eastAsia="Times New Roman" w:hAnsi="Times New Roman" w:cs="Times New Roman"/>
                          <w:u w:val="single"/>
                        </w:rPr>
                        <w:t>Prioritis</w:t>
                      </w:r>
                      <w:r w:rsidRPr="002A3383">
                        <w:rPr>
                          <w:rFonts w:ascii="Times New Roman" w:eastAsia="Times New Roman" w:hAnsi="Times New Roman" w:cs="Times New Roman"/>
                          <w:u w:val="single"/>
                        </w:rPr>
                        <w:t>ing</w:t>
                      </w:r>
                      <w:r w:rsidRPr="002A3383">
                        <w:rPr>
                          <w:rFonts w:ascii="Times New Roman" w:eastAsia="Times New Roman" w:hAnsi="Times New Roman" w:cs="Times New Roman"/>
                        </w:rPr>
                        <w:t xml:space="preserve">: ranking stakeholder relevance and identifying issues. </w:t>
                      </w:r>
                    </w:p>
                    <w:p w14:paraId="3C72BE46" w14:textId="77777777" w:rsidR="00BC0CFA" w:rsidRPr="002A3383" w:rsidRDefault="00BC0CFA" w:rsidP="00D04ED9">
                      <w:pPr>
                        <w:spacing w:line="276" w:lineRule="auto"/>
                        <w:ind w:left="567"/>
                        <w:textDirection w:val="btLr"/>
                      </w:pPr>
                      <w:r w:rsidRPr="002A3383">
                        <w:rPr>
                          <w:rFonts w:ascii="Times New Roman" w:eastAsia="Times New Roman" w:hAnsi="Times New Roman" w:cs="Times New Roman"/>
                        </w:rPr>
                        <w:t>Stakeholder mapping and analysis involves an understanding of key actors and agencies, their networks and capacities, information flows and barriers to action.</w:t>
                      </w:r>
                    </w:p>
                  </w:txbxContent>
                </v:textbox>
                <w10:anchorlock/>
              </v:rect>
            </w:pict>
          </mc:Fallback>
        </mc:AlternateContent>
      </w:r>
      <w:r>
        <w:rPr>
          <w:rFonts w:ascii="Times New Roman" w:eastAsia="Times New Roman" w:hAnsi="Times New Roman" w:cs="Times New Roman"/>
        </w:rPr>
        <w:br w:type="page"/>
      </w:r>
    </w:p>
    <w:p w14:paraId="2220DBFB" w14:textId="211E0B3B" w:rsidR="00D04ED9" w:rsidRPr="009B0448" w:rsidRDefault="002766BC" w:rsidP="00D04ED9">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lastRenderedPageBreak/>
        <w:t xml:space="preserve">The IPBES Africa regional assessment is the first of its kind in Africa. Previously, a </w:t>
      </w:r>
      <w:r w:rsidR="00B22D81">
        <w:rPr>
          <w:rFonts w:ascii="Times New Roman" w:eastAsia="Times New Roman" w:hAnsi="Times New Roman" w:cs="Times New Roman"/>
        </w:rPr>
        <w:t>subregion</w:t>
      </w:r>
      <w:r w:rsidRPr="009B0448">
        <w:rPr>
          <w:rFonts w:ascii="Times New Roman" w:eastAsia="Times New Roman" w:hAnsi="Times New Roman" w:cs="Times New Roman"/>
        </w:rPr>
        <w:t xml:space="preserve">al assessment was undertaken for southern Africa in the context of the Millennium Ecosystem Assessment. There have, however, been several publications focusing on Africa’s biodiversity from the United Nations Environment Programme (UNEP) and a range of other </w:t>
      </w:r>
      <w:r w:rsidR="00150166">
        <w:rPr>
          <w:rFonts w:ascii="Times New Roman" w:eastAsia="Times New Roman" w:hAnsi="Times New Roman" w:cs="Times New Roman"/>
        </w:rPr>
        <w:t>organis</w:t>
      </w:r>
      <w:r w:rsidRPr="009B0448">
        <w:rPr>
          <w:rFonts w:ascii="Times New Roman" w:eastAsia="Times New Roman" w:hAnsi="Times New Roman" w:cs="Times New Roman"/>
        </w:rPr>
        <w:t xml:space="preserve">ations, as well as a report on the State of Biodiversity in Africa, which documents progress on implementation of the Aichi Biodiversity Targets. This assessment will identify key priorities that will help African governments and institutions to develop responses and policy solutions that meet the specific needs of the Africa region as a whole, as well as the five </w:t>
      </w:r>
      <w:r w:rsidR="00B22D81">
        <w:rPr>
          <w:rFonts w:ascii="Times New Roman" w:eastAsia="Times New Roman" w:hAnsi="Times New Roman" w:cs="Times New Roman"/>
        </w:rPr>
        <w:t>subregion</w:t>
      </w:r>
      <w:r w:rsidRPr="009B0448">
        <w:rPr>
          <w:rFonts w:ascii="Times New Roman" w:eastAsia="Times New Roman" w:hAnsi="Times New Roman" w:cs="Times New Roman"/>
        </w:rPr>
        <w:t xml:space="preserve">s and their national constituents. The knowledge produced has policy implications to assist African efforts to meet the conservation goals set out in the Aichi Biodiversity Targets as well as the Sustainable Development Goals and the </w:t>
      </w:r>
      <w:r w:rsidRPr="009B0448">
        <w:rPr>
          <w:rFonts w:ascii="Times New Roman" w:eastAsia="Times New Roman" w:hAnsi="Times New Roman" w:cs="Times New Roman"/>
          <w:color w:val="auto"/>
        </w:rPr>
        <w:t>African Aspirations for 2063</w:t>
      </w:r>
      <w:r w:rsidRPr="009B0448">
        <w:rPr>
          <w:rFonts w:ascii="Times New Roman" w:eastAsia="Times New Roman" w:hAnsi="Times New Roman" w:cs="Times New Roman"/>
        </w:rPr>
        <w:t xml:space="preserve">. The knowledge and recommendations produced in this assessment will also be important sources of information for other stakeholders, including the private sector, concerned with the state of biodiversity in Africa and its sustainable future. Interested civil society </w:t>
      </w:r>
      <w:r w:rsidR="00150166">
        <w:rPr>
          <w:rFonts w:ascii="Times New Roman" w:eastAsia="Times New Roman" w:hAnsi="Times New Roman" w:cs="Times New Roman"/>
        </w:rPr>
        <w:t>organis</w:t>
      </w:r>
      <w:r w:rsidRPr="009B0448">
        <w:rPr>
          <w:rFonts w:ascii="Times New Roman" w:eastAsia="Times New Roman" w:hAnsi="Times New Roman" w:cs="Times New Roman"/>
        </w:rPr>
        <w:t xml:space="preserve">ations, such as non-governmental </w:t>
      </w:r>
      <w:r w:rsidR="00150166">
        <w:rPr>
          <w:rFonts w:ascii="Times New Roman" w:eastAsia="Times New Roman" w:hAnsi="Times New Roman" w:cs="Times New Roman"/>
        </w:rPr>
        <w:t>organis</w:t>
      </w:r>
      <w:r w:rsidRPr="009B0448">
        <w:rPr>
          <w:rFonts w:ascii="Times New Roman" w:eastAsia="Times New Roman" w:hAnsi="Times New Roman" w:cs="Times New Roman"/>
        </w:rPr>
        <w:t>ations, the media and individuals, may also find the document a useful source of information linking Africa’s biodiversity and ecosystem services to human well-being.</w:t>
      </w:r>
    </w:p>
    <w:p w14:paraId="61A3E31B" w14:textId="77777777" w:rsidR="00D04ED9" w:rsidRPr="009B0448" w:rsidRDefault="00D04ED9" w:rsidP="00D04ED9">
      <w:pPr>
        <w:pStyle w:val="Heading3"/>
        <w:widowControl w:val="0"/>
        <w:numPr>
          <w:ilvl w:val="1"/>
          <w:numId w:val="10"/>
        </w:numPr>
        <w:spacing w:before="240" w:after="240"/>
        <w:ind w:left="709"/>
        <w:rPr>
          <w:rFonts w:eastAsia="Calibri" w:cs="Times New Roman"/>
          <w:szCs w:val="24"/>
        </w:rPr>
      </w:pPr>
      <w:bookmarkStart w:id="16" w:name="_Toc519499769"/>
      <w:r w:rsidRPr="009B0448">
        <w:rPr>
          <w:rFonts w:eastAsia="Calibri" w:cs="Times New Roman"/>
          <w:szCs w:val="24"/>
        </w:rPr>
        <w:t>Priority issues in biodiversity and ecosystem services policy and management interventions in Africa</w:t>
      </w:r>
      <w:bookmarkEnd w:id="16"/>
    </w:p>
    <w:p w14:paraId="674C621E" w14:textId="77777777" w:rsidR="00D04ED9" w:rsidRPr="009B0448" w:rsidRDefault="00D04ED9" w:rsidP="00D04ED9">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This first assessment of biodiversity and ecosystem services in Africa is taking place at a critical juncture in Africa’s history. From a remarkably desolate state at the beginning of the 1990s, Africa began an economic recovery at the end of that decade. By 2010, albeit with important differences between countries, it had become the second fastest growing economy and a prime destination for Foreign Direct Investments and other financial flows. The latter include remittances that now surpass foreign aid to the region (Bodomo, 2013). Such growth has been widespread across sectors, including in services, natural resources, and agriculture (Roxburgh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At the same time, Africa was considered the only region that emerged from the Millennium Development Goals with increasing extreme poverty (Asongu, 2015; World Bank, 2016). In 2010, half of its population was living under the extreme poverty line of $1.25 per day (UN, 2013). The related conclusions are, however, contested by certain recent studies. These studies estimate that during the Millennium Development Goals period, Africa actually reduced its income inequality and its poverty (Pinkovskiy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and outperformed the world average of 39% with respect to reducing the proportion of the population with incomes below $1 a day (Fukuda-Parr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2013). This controversy and related observations underscore Africa’s current scientific and development challenges, including the critical role that dynamic knowledge of biodiversity and ecosystem services must play in overcoming them.</w:t>
      </w:r>
    </w:p>
    <w:p w14:paraId="10262332" w14:textId="77777777" w:rsidR="00D04ED9" w:rsidRPr="009B0448" w:rsidRDefault="00D04ED9" w:rsidP="00292D18">
      <w:pPr>
        <w:spacing w:line="276" w:lineRule="auto"/>
        <w:jc w:val="both"/>
        <w:rPr>
          <w:rFonts w:ascii="Times New Roman" w:eastAsia="Times New Roman" w:hAnsi="Times New Roman" w:cs="Times New Roman"/>
        </w:rPr>
      </w:pPr>
    </w:p>
    <w:p w14:paraId="490C1F14" w14:textId="5E543B94"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As mentioned earlier, Africa has abundant biodiversity, arable land, and richly diversified ecosystems. These serve as essential building blocks of sustainable development. African countries are, in general, matching the global trends in achieving Aichi Biodiversity Targets</w:t>
      </w:r>
      <w:r w:rsidR="003C16B7" w:rsidRPr="009B0448">
        <w:rPr>
          <w:rFonts w:ascii="Times New Roman" w:eastAsia="Times New Roman" w:hAnsi="Times New Roman" w:cs="Times New Roman"/>
        </w:rPr>
        <w:t xml:space="preserve"> (</w:t>
      </w:r>
      <w:r w:rsidR="003C16B7" w:rsidRPr="009B0448">
        <w:rPr>
          <w:rFonts w:ascii="Times New Roman" w:eastAsia="Times New Roman" w:hAnsi="Times New Roman" w:cs="Times New Roman"/>
          <w:color w:val="00000A"/>
        </w:rPr>
        <w:t>UNEP-WCMC, 2016)</w:t>
      </w:r>
      <w:r w:rsidRPr="009B0448">
        <w:rPr>
          <w:rFonts w:ascii="Times New Roman" w:eastAsia="Times New Roman" w:hAnsi="Times New Roman" w:cs="Times New Roman"/>
        </w:rPr>
        <w:t xml:space="preserve">. This is despite the fact that there is an ongoing loss of biodiversity in Africa due to anthropogenic factors in addition to the negative impact of climate change that intensifies the impact of pressures. It is reported to </w:t>
      </w:r>
      <w:r w:rsidR="00B82D4A" w:rsidRPr="009B0448">
        <w:rPr>
          <w:rFonts w:ascii="Times New Roman" w:eastAsia="Times New Roman" w:hAnsi="Times New Roman" w:cs="Times New Roman"/>
        </w:rPr>
        <w:t xml:space="preserve">the </w:t>
      </w:r>
      <w:r w:rsidR="001755A2" w:rsidRPr="009B0448">
        <w:rPr>
          <w:rFonts w:ascii="Times New Roman" w:eastAsia="Times New Roman" w:hAnsi="Times New Roman" w:cs="Times New Roman"/>
        </w:rPr>
        <w:t>Convention on Biological Diversity</w:t>
      </w:r>
      <w:r w:rsidRPr="009B0448">
        <w:rPr>
          <w:rFonts w:ascii="Times New Roman" w:eastAsia="Times New Roman" w:hAnsi="Times New Roman" w:cs="Times New Roman"/>
        </w:rPr>
        <w:t xml:space="preserve"> that over 80</w:t>
      </w:r>
      <w:r w:rsidR="001755A2" w:rsidRPr="009B0448">
        <w:rPr>
          <w:rFonts w:ascii="Times New Roman" w:eastAsia="Times New Roman" w:hAnsi="Times New Roman" w:cs="Times New Roman"/>
        </w:rPr>
        <w:t>%</w:t>
      </w:r>
      <w:r w:rsidRPr="009B0448">
        <w:rPr>
          <w:rFonts w:ascii="Times New Roman" w:eastAsia="Times New Roman" w:hAnsi="Times New Roman" w:cs="Times New Roman"/>
        </w:rPr>
        <w:t xml:space="preserve"> of African countries have made progress towards</w:t>
      </w:r>
      <w:r w:rsidR="00B82D4A" w:rsidRPr="009B0448">
        <w:rPr>
          <w:rFonts w:ascii="Times New Roman" w:eastAsia="Times New Roman" w:hAnsi="Times New Roman" w:cs="Times New Roman"/>
        </w:rPr>
        <w:t xml:space="preserve"> Aichi Biodiversity</w:t>
      </w:r>
      <w:r w:rsidRPr="009B0448">
        <w:rPr>
          <w:rFonts w:ascii="Times New Roman" w:eastAsia="Times New Roman" w:hAnsi="Times New Roman" w:cs="Times New Roman"/>
        </w:rPr>
        <w:t xml:space="preserve"> Target 17, i.e.</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updating the</w:t>
      </w:r>
      <w:r w:rsidR="00B82D4A" w:rsidRPr="009B0448">
        <w:rPr>
          <w:rFonts w:ascii="Times New Roman" w:eastAsia="Times New Roman" w:hAnsi="Times New Roman" w:cs="Times New Roman"/>
        </w:rPr>
        <w:t>ir</w:t>
      </w:r>
      <w:r w:rsidRPr="009B0448">
        <w:rPr>
          <w:rFonts w:ascii="Times New Roman" w:eastAsia="Times New Roman" w:hAnsi="Times New Roman" w:cs="Times New Roman"/>
        </w:rPr>
        <w:t xml:space="preserve"> National Biodivers</w:t>
      </w:r>
      <w:r w:rsidR="001755A2" w:rsidRPr="009B0448">
        <w:rPr>
          <w:rFonts w:ascii="Times New Roman" w:eastAsia="Times New Roman" w:hAnsi="Times New Roman" w:cs="Times New Roman"/>
        </w:rPr>
        <w:t>ity and Strategic Action Plans</w:t>
      </w:r>
      <w:r w:rsidRPr="009B0448">
        <w:rPr>
          <w:rFonts w:ascii="Times New Roman" w:eastAsia="Times New Roman" w:hAnsi="Times New Roman" w:cs="Times New Roman"/>
        </w:rPr>
        <w:t xml:space="preserve">. There is, however, a need to transfer the </w:t>
      </w:r>
      <w:r w:rsidR="00194803" w:rsidRPr="009B0448">
        <w:rPr>
          <w:rFonts w:ascii="Times New Roman" w:hAnsi="Times New Roman" w:cs="Times New Roman"/>
        </w:rPr>
        <w:t>National Biodiversity Strategies and Action Plans</w:t>
      </w:r>
      <w:r w:rsidR="00194803" w:rsidRPr="009B0448">
        <w:rPr>
          <w:rFonts w:ascii="Times New Roman" w:eastAsia="Times New Roman" w:hAnsi="Times New Roman" w:cs="Times New Roman"/>
        </w:rPr>
        <w:t xml:space="preserve"> </w:t>
      </w:r>
      <w:r w:rsidRPr="009B0448">
        <w:rPr>
          <w:rFonts w:ascii="Times New Roman" w:eastAsia="Times New Roman" w:hAnsi="Times New Roman" w:cs="Times New Roman"/>
        </w:rPr>
        <w:t>into actions and use them as policy instruments</w:t>
      </w:r>
      <w:r w:rsidR="005B5AF7" w:rsidRPr="009B0448">
        <w:rPr>
          <w:rFonts w:ascii="Times New Roman" w:eastAsia="Times New Roman" w:hAnsi="Times New Roman" w:cs="Times New Roman"/>
        </w:rPr>
        <w:t xml:space="preserve"> (see Chapter 6)</w:t>
      </w:r>
      <w:r w:rsidRPr="009B0448">
        <w:rPr>
          <w:rFonts w:ascii="Times New Roman" w:eastAsia="Times New Roman" w:hAnsi="Times New Roman" w:cs="Times New Roman"/>
        </w:rPr>
        <w:t xml:space="preserve">. There is also a lack of consistent biodiversity indicators to evaluate conservation requirements and </w:t>
      </w:r>
      <w:r w:rsidR="00194803" w:rsidRPr="009B0448">
        <w:rPr>
          <w:rFonts w:ascii="Times New Roman" w:eastAsia="Times New Roman" w:hAnsi="Times New Roman" w:cs="Times New Roman"/>
        </w:rPr>
        <w:t xml:space="preserve">progress in </w:t>
      </w:r>
      <w:r w:rsidR="00194803" w:rsidRPr="009B0448">
        <w:rPr>
          <w:rFonts w:ascii="Times New Roman" w:hAnsi="Times New Roman" w:cs="Times New Roman"/>
        </w:rPr>
        <w:t>National Biodiversity Strategies and Action Plans</w:t>
      </w:r>
      <w:r w:rsidRPr="009B0448">
        <w:rPr>
          <w:rFonts w:ascii="Times New Roman" w:eastAsia="Times New Roman" w:hAnsi="Times New Roman" w:cs="Times New Roman"/>
        </w:rPr>
        <w:t>, a situation which is</w:t>
      </w:r>
      <w:r w:rsidR="00194803" w:rsidRPr="009B0448">
        <w:rPr>
          <w:rFonts w:ascii="Times New Roman" w:eastAsia="Times New Roman" w:hAnsi="Times New Roman" w:cs="Times New Roman"/>
        </w:rPr>
        <w:t>,</w:t>
      </w:r>
      <w:r w:rsidRPr="009B0448">
        <w:rPr>
          <w:rFonts w:ascii="Times New Roman" w:eastAsia="Times New Roman" w:hAnsi="Times New Roman" w:cs="Times New Roman"/>
        </w:rPr>
        <w:t xml:space="preserve"> in part</w:t>
      </w:r>
      <w:r w:rsidR="00194803" w:rsidRPr="009B0448">
        <w:rPr>
          <w:rFonts w:ascii="Times New Roman" w:eastAsia="Times New Roman" w:hAnsi="Times New Roman" w:cs="Times New Roman"/>
        </w:rPr>
        <w:t>,</w:t>
      </w:r>
      <w:r w:rsidRPr="009B0448">
        <w:rPr>
          <w:rFonts w:ascii="Times New Roman" w:eastAsia="Times New Roman" w:hAnsi="Times New Roman" w:cs="Times New Roman"/>
        </w:rPr>
        <w:t xml:space="preserve"> related to financial constraints.</w:t>
      </w:r>
    </w:p>
    <w:p w14:paraId="58AD6141" w14:textId="77777777" w:rsidR="00292D18" w:rsidRPr="009B0448" w:rsidRDefault="00292D18" w:rsidP="00292D18">
      <w:pPr>
        <w:spacing w:line="276" w:lineRule="auto"/>
        <w:jc w:val="both"/>
        <w:rPr>
          <w:rFonts w:ascii="Times New Roman" w:eastAsia="Times New Roman" w:hAnsi="Times New Roman" w:cs="Times New Roman"/>
        </w:rPr>
      </w:pPr>
    </w:p>
    <w:p w14:paraId="36FA5A4B" w14:textId="31065090"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lastRenderedPageBreak/>
        <w:t>Looking forward, this assessment thus takes into account the es</w:t>
      </w:r>
      <w:r w:rsidR="00B82D4A" w:rsidRPr="009B0448">
        <w:rPr>
          <w:rFonts w:ascii="Times New Roman" w:eastAsia="Times New Roman" w:hAnsi="Times New Roman" w:cs="Times New Roman"/>
        </w:rPr>
        <w:t>sential need for African policy</w:t>
      </w:r>
      <w:r w:rsidRPr="009B0448">
        <w:rPr>
          <w:rFonts w:ascii="Times New Roman" w:eastAsia="Times New Roman" w:hAnsi="Times New Roman" w:cs="Times New Roman"/>
        </w:rPr>
        <w:t>makers to gain first-rate understanding of biodiversity and ecosystem services and, thus, to fully integrate them as assets into Africa’s growth and transformation plans. B</w:t>
      </w:r>
      <w:r w:rsidR="00B82D4A" w:rsidRPr="009B0448">
        <w:rPr>
          <w:rFonts w:ascii="Times New Roman" w:eastAsia="Times New Roman" w:hAnsi="Times New Roman" w:cs="Times New Roman"/>
        </w:rPr>
        <w:t xml:space="preserve">iodiversity and ecosystem services </w:t>
      </w:r>
      <w:r w:rsidRPr="009B0448">
        <w:rPr>
          <w:rFonts w:ascii="Times New Roman" w:eastAsia="Times New Roman" w:hAnsi="Times New Roman" w:cs="Times New Roman"/>
        </w:rPr>
        <w:t xml:space="preserve">and policies should thus mutually affect each other in a way that ensures the creation of more benefits and fewer losses now and for future generations. To sustain its growth under conditions of climate change and increased pressure on natural resources, the continent needs to better understand and harness its </w:t>
      </w:r>
      <w:r w:rsidR="00B82D4A" w:rsidRPr="009B0448">
        <w:rPr>
          <w:rFonts w:ascii="Times New Roman" w:eastAsia="Times New Roman" w:hAnsi="Times New Roman" w:cs="Times New Roman"/>
        </w:rPr>
        <w:t xml:space="preserve">biodiversity and ecosystem services </w:t>
      </w:r>
      <w:r w:rsidRPr="009B0448">
        <w:rPr>
          <w:rFonts w:ascii="Times New Roman" w:eastAsia="Times New Roman" w:hAnsi="Times New Roman" w:cs="Times New Roman"/>
        </w:rPr>
        <w:t xml:space="preserve">potential in order to innovatively meet the demand of its population and nascent industries. In turn, the growth and transformation paths that it chooses will affect </w:t>
      </w:r>
      <w:r w:rsidR="00B82D4A" w:rsidRPr="009B0448">
        <w:rPr>
          <w:rFonts w:ascii="Times New Roman" w:eastAsia="Times New Roman" w:hAnsi="Times New Roman" w:cs="Times New Roman"/>
        </w:rPr>
        <w:t xml:space="preserve">biodiversity and ecosystem services </w:t>
      </w:r>
      <w:r w:rsidRPr="009B0448">
        <w:rPr>
          <w:rFonts w:ascii="Times New Roman" w:eastAsia="Times New Roman" w:hAnsi="Times New Roman" w:cs="Times New Roman"/>
        </w:rPr>
        <w:t xml:space="preserve">trends under different future scenarios, which will be discussed in Chapters 4 and 5 (see also SPM sections B and D). Africa has not yet achieved its structural transformation; thus, the direction and forms of this impact remain uncertain due to sharply contrasting predictions of future economic development. Important differences are also emerging within countries, between countries, groups of countries and regional blocs (Diaw, 2014), which may lead to diverse configurations of </w:t>
      </w:r>
      <w:r w:rsidR="00B82D4A" w:rsidRPr="009B0448">
        <w:rPr>
          <w:rFonts w:ascii="Times New Roman" w:eastAsia="Times New Roman" w:hAnsi="Times New Roman" w:cs="Times New Roman"/>
        </w:rPr>
        <w:t xml:space="preserve">biodiversity and ecosystem services </w:t>
      </w:r>
      <w:r w:rsidRPr="009B0448">
        <w:rPr>
          <w:rFonts w:ascii="Times New Roman" w:eastAsia="Times New Roman" w:hAnsi="Times New Roman" w:cs="Times New Roman"/>
        </w:rPr>
        <w:t>and economic development across the continent.</w:t>
      </w:r>
    </w:p>
    <w:p w14:paraId="25A2C2C9" w14:textId="77777777" w:rsidR="00292D18" w:rsidRPr="009B0448" w:rsidRDefault="00292D18" w:rsidP="00292D18">
      <w:pPr>
        <w:spacing w:line="276" w:lineRule="auto"/>
        <w:jc w:val="both"/>
        <w:rPr>
          <w:rFonts w:ascii="Times New Roman" w:eastAsia="Times New Roman" w:hAnsi="Times New Roman" w:cs="Times New Roman"/>
        </w:rPr>
      </w:pPr>
    </w:p>
    <w:p w14:paraId="3D66C74A" w14:textId="3703E300"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This section presents an overarching description and an initial assessment of the priority issues concerning </w:t>
      </w:r>
      <w:r w:rsidR="00B82D4A" w:rsidRPr="009B0448">
        <w:rPr>
          <w:rFonts w:ascii="Times New Roman" w:eastAsia="Times New Roman" w:hAnsi="Times New Roman" w:cs="Times New Roman"/>
        </w:rPr>
        <w:t xml:space="preserve">biodiversity and ecosystem services </w:t>
      </w:r>
      <w:r w:rsidRPr="009B0448">
        <w:rPr>
          <w:rFonts w:ascii="Times New Roman" w:eastAsia="Times New Roman" w:hAnsi="Times New Roman" w:cs="Times New Roman"/>
        </w:rPr>
        <w:t xml:space="preserve">in Africa. They are </w:t>
      </w:r>
      <w:r w:rsidR="00264EBF" w:rsidRPr="009B0448">
        <w:rPr>
          <w:rFonts w:ascii="Times New Roman" w:eastAsia="Times New Roman" w:hAnsi="Times New Roman" w:cs="Times New Roman"/>
        </w:rPr>
        <w:t>organise</w:t>
      </w:r>
      <w:r w:rsidRPr="009B0448">
        <w:rPr>
          <w:rFonts w:ascii="Times New Roman" w:eastAsia="Times New Roman" w:hAnsi="Times New Roman" w:cs="Times New Roman"/>
        </w:rPr>
        <w:t xml:space="preserve">d into nine clusters of thematic foci previously outlined by the scoping document for the Africa Regional Assessment (IPBES_3_6_Add.2): </w:t>
      </w:r>
    </w:p>
    <w:p w14:paraId="035B5CA4" w14:textId="77777777" w:rsidR="00292D18" w:rsidRPr="009B0448" w:rsidRDefault="00292D18" w:rsidP="00292D18">
      <w:pPr>
        <w:spacing w:line="276" w:lineRule="auto"/>
        <w:jc w:val="both"/>
        <w:rPr>
          <w:rFonts w:ascii="Times New Roman" w:eastAsia="Times New Roman" w:hAnsi="Times New Roman" w:cs="Times New Roman"/>
        </w:rPr>
      </w:pPr>
    </w:p>
    <w:p w14:paraId="2AF825C5" w14:textId="535C52EB" w:rsidR="006B7655" w:rsidRPr="009B0448" w:rsidRDefault="00A8466E" w:rsidP="00292D18">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The first three</w:t>
      </w:r>
      <w:r w:rsidR="009957A0" w:rsidRPr="009B0448">
        <w:rPr>
          <w:rFonts w:ascii="Times New Roman" w:hAnsi="Times New Roman" w:cs="Times New Roman"/>
        </w:rPr>
        <w:t>—</w:t>
      </w:r>
      <w:r w:rsidRPr="009B0448">
        <w:rPr>
          <w:rFonts w:ascii="Times New Roman" w:hAnsi="Times New Roman" w:cs="Times New Roman"/>
        </w:rPr>
        <w:t>gender, indigenous and local knowledge, and climate change (1.3.1 to 1.3.3)</w:t>
      </w:r>
      <w:r w:rsidR="009957A0" w:rsidRPr="009B0448">
        <w:rPr>
          <w:rFonts w:ascii="Times New Roman" w:hAnsi="Times New Roman" w:cs="Times New Roman"/>
        </w:rPr>
        <w:t>—</w:t>
      </w:r>
      <w:r w:rsidRPr="009B0448">
        <w:rPr>
          <w:rFonts w:ascii="Times New Roman" w:hAnsi="Times New Roman" w:cs="Times New Roman"/>
        </w:rPr>
        <w:t xml:space="preserve">are cross-cutting themes that are relevant to most, if not all, the other themes discussed in the section. </w:t>
      </w:r>
    </w:p>
    <w:p w14:paraId="0CCDBFC6" w14:textId="275711EA" w:rsidR="006B7655" w:rsidRPr="009B0448" w:rsidRDefault="00A8466E" w:rsidP="00292D18">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 xml:space="preserve">This is followed (in 1.3.4) by a presentation on food, water and energy as a nexus of interrelated </w:t>
      </w:r>
      <w:r w:rsidR="00B82D4A" w:rsidRPr="009B0448">
        <w:rPr>
          <w:rFonts w:ascii="Times New Roman" w:eastAsia="Times New Roman" w:hAnsi="Times New Roman" w:cs="Times New Roman"/>
        </w:rPr>
        <w:t xml:space="preserve">biodiversity and ecosystem services </w:t>
      </w:r>
      <w:r w:rsidRPr="009B0448">
        <w:rPr>
          <w:rFonts w:ascii="Times New Roman" w:hAnsi="Times New Roman" w:cs="Times New Roman"/>
        </w:rPr>
        <w:t>issues. All are tightly linked to agriculture, as well as agro-pastoral and renewable natural resource domains, such as forestry, agroforestry and fisheries. All are critically important to biodiversity and ecosystem services. Key thematic foci concerning invasive species (1.3.5) and marine and terrestrial habitats degradation and restoration (1.3.6) complete the presentation of this central node of questions for livelihoods and environmental health in Africa.</w:t>
      </w:r>
    </w:p>
    <w:p w14:paraId="4C42D42A" w14:textId="02C61CFC" w:rsidR="006B7655" w:rsidRPr="009B0448" w:rsidRDefault="00A8466E" w:rsidP="00292D18">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 xml:space="preserve">Population, poverty and health (in 1.3.7) is the fourth major cluster of issues that the section addresses in a way that </w:t>
      </w:r>
      <w:r w:rsidR="00264EBF" w:rsidRPr="009B0448">
        <w:rPr>
          <w:rFonts w:ascii="Times New Roman" w:hAnsi="Times New Roman" w:cs="Times New Roman"/>
        </w:rPr>
        <w:t>emphasis</w:t>
      </w:r>
      <w:r w:rsidRPr="009B0448">
        <w:rPr>
          <w:rFonts w:ascii="Times New Roman" w:hAnsi="Times New Roman" w:cs="Times New Roman"/>
        </w:rPr>
        <w:t xml:space="preserve">es their interrelations both as causal factors and partial outcomes of environmental health and environmental processes. </w:t>
      </w:r>
    </w:p>
    <w:p w14:paraId="3AD222CE" w14:textId="56EBDCAA" w:rsidR="006B7655" w:rsidRPr="009B0448" w:rsidRDefault="00A8466E" w:rsidP="00292D18">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 xml:space="preserve">Essential to the present state and to the future of </w:t>
      </w:r>
      <w:r w:rsidR="00B82D4A" w:rsidRPr="009B0448">
        <w:rPr>
          <w:rFonts w:ascii="Times New Roman" w:eastAsia="Times New Roman" w:hAnsi="Times New Roman" w:cs="Times New Roman"/>
        </w:rPr>
        <w:t>biodiversity and ecosystem services</w:t>
      </w:r>
      <w:r w:rsidRPr="009B0448">
        <w:rPr>
          <w:rFonts w:ascii="Times New Roman" w:hAnsi="Times New Roman" w:cs="Times New Roman"/>
        </w:rPr>
        <w:t>, tenure and governance are then presented, in order to provide preliminary insights into the policy and management interventions that will be required in the context of this assessment and in relation to issues of peace, security and trade (1.3.8)</w:t>
      </w:r>
    </w:p>
    <w:p w14:paraId="2A8E009E" w14:textId="77777777" w:rsidR="006B7655" w:rsidRPr="009B0448" w:rsidRDefault="00A8466E" w:rsidP="00292D18">
      <w:pPr>
        <w:widowControl w:val="0"/>
        <w:numPr>
          <w:ilvl w:val="0"/>
          <w:numId w:val="1"/>
        </w:numPr>
        <w:spacing w:line="276" w:lineRule="auto"/>
        <w:ind w:hanging="360"/>
        <w:jc w:val="both"/>
        <w:rPr>
          <w:rFonts w:ascii="Times New Roman" w:hAnsi="Times New Roman" w:cs="Times New Roman"/>
        </w:rPr>
      </w:pPr>
      <w:r w:rsidRPr="009B0448">
        <w:rPr>
          <w:rFonts w:ascii="Times New Roman" w:hAnsi="Times New Roman" w:cs="Times New Roman"/>
        </w:rPr>
        <w:t>This review of issues ends (1.3.9) with an overview of sustainable use challenges in a context of transition toward green-blue models of economic development more reliant on nature and on the many goods, services and wider beneficial contributions that can be drawn from it.</w:t>
      </w:r>
    </w:p>
    <w:p w14:paraId="24BA87B0" w14:textId="77777777" w:rsidR="006B7655" w:rsidRPr="009B0448" w:rsidRDefault="006B7655" w:rsidP="00292D18">
      <w:pPr>
        <w:spacing w:line="276" w:lineRule="auto"/>
        <w:ind w:left="720" w:hanging="360"/>
        <w:jc w:val="both"/>
        <w:rPr>
          <w:rFonts w:ascii="Times New Roman" w:eastAsia="Times New Roman" w:hAnsi="Times New Roman" w:cs="Times New Roman"/>
        </w:rPr>
      </w:pPr>
    </w:p>
    <w:p w14:paraId="22F4400F" w14:textId="735CFD7C" w:rsidR="006B7655" w:rsidRPr="009B0448" w:rsidRDefault="00FD357D"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Figure 1.4</w:t>
      </w:r>
      <w:r w:rsidR="00A8466E" w:rsidRPr="009B0448">
        <w:rPr>
          <w:rFonts w:ascii="Times New Roman" w:eastAsia="Times New Roman" w:hAnsi="Times New Roman" w:cs="Times New Roman"/>
        </w:rPr>
        <w:t>, below, graphically illustrates this broad articulation of thematic issues. It is an indicative rather than exhaustive figure, solely meant to set the scene and guide the reader through the complex set of themes and interactions addressed in the section. These elements should be viewed separately with their interrelations and cross-sector connections. They are addressed in more detail from Chapter 2 through to Chapter 6, in this assessment.</w:t>
      </w:r>
    </w:p>
    <w:p w14:paraId="0F4A401E" w14:textId="0E787FF2" w:rsidR="006B7655" w:rsidRPr="009B0448" w:rsidRDefault="006B7655" w:rsidP="00591F7A">
      <w:pPr>
        <w:jc w:val="both"/>
        <w:rPr>
          <w:rFonts w:ascii="Times New Roman" w:eastAsia="Times New Roman" w:hAnsi="Times New Roman" w:cs="Times New Roman"/>
          <w:sz w:val="20"/>
          <w:szCs w:val="20"/>
        </w:rPr>
      </w:pPr>
    </w:p>
    <w:p w14:paraId="156BC4A3" w14:textId="1850E652" w:rsidR="0041748C" w:rsidRPr="009B0448" w:rsidRDefault="0041748C" w:rsidP="00527EA8">
      <w:pPr>
        <w:rPr>
          <w:rFonts w:ascii="Times New Roman" w:eastAsia="Times New Roman" w:hAnsi="Times New Roman" w:cs="Times New Roman"/>
          <w:sz w:val="20"/>
          <w:szCs w:val="20"/>
        </w:rPr>
      </w:pPr>
      <w:r w:rsidRPr="009B0448">
        <w:rPr>
          <w:rFonts w:ascii="Times New Roman" w:eastAsia="Times New Roman" w:hAnsi="Times New Roman" w:cs="Times New Roman"/>
          <w:noProof/>
          <w:sz w:val="20"/>
          <w:szCs w:val="20"/>
          <w:lang w:eastAsia="en-GB"/>
        </w:rPr>
        <w:lastRenderedPageBreak/>
        <w:drawing>
          <wp:inline distT="0" distB="0" distL="0" distR="0" wp14:anchorId="72A09F0B" wp14:editId="6B8BE306">
            <wp:extent cx="5719937" cy="4819251"/>
            <wp:effectExtent l="0" t="0" r="0"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fig 1.4 clip.JPG"/>
                    <pic:cNvPicPr/>
                  </pic:nvPicPr>
                  <pic:blipFill>
                    <a:blip r:embed="rId29">
                      <a:extLst>
                        <a:ext uri="{28A0092B-C50C-407E-A947-70E740481C1C}">
                          <a14:useLocalDpi xmlns:a14="http://schemas.microsoft.com/office/drawing/2010/main" val="0"/>
                        </a:ext>
                      </a:extLst>
                    </a:blip>
                    <a:stretch>
                      <a:fillRect/>
                    </a:stretch>
                  </pic:blipFill>
                  <pic:spPr>
                    <a:xfrm>
                      <a:off x="0" y="0"/>
                      <a:ext cx="5719937" cy="4819251"/>
                    </a:xfrm>
                    <a:prstGeom prst="rect">
                      <a:avLst/>
                    </a:prstGeom>
                  </pic:spPr>
                </pic:pic>
              </a:graphicData>
            </a:graphic>
          </wp:inline>
        </w:drawing>
      </w:r>
    </w:p>
    <w:p w14:paraId="62636CAA" w14:textId="602F4195" w:rsidR="0041748C" w:rsidRPr="009B0448" w:rsidRDefault="0041748C" w:rsidP="00292D18">
      <w:pPr>
        <w:spacing w:line="276" w:lineRule="auto"/>
        <w:jc w:val="both"/>
        <w:rPr>
          <w:rFonts w:ascii="Times New Roman" w:eastAsia="Times New Roman" w:hAnsi="Times New Roman" w:cs="Times New Roman"/>
        </w:rPr>
      </w:pPr>
      <w:r w:rsidRPr="009B0448">
        <w:rPr>
          <w:rFonts w:ascii="Times New Roman" w:hAnsi="Times New Roman" w:cs="Times New Roman"/>
          <w:b/>
        </w:rPr>
        <w:t>Figure 1.4:</w:t>
      </w:r>
      <w:r w:rsidRPr="009B0448">
        <w:rPr>
          <w:rFonts w:ascii="Times New Roman" w:hAnsi="Times New Roman" w:cs="Times New Roman"/>
        </w:rPr>
        <w:t xml:space="preserve"> </w:t>
      </w:r>
      <w:r w:rsidR="009D085F" w:rsidRPr="009B0448">
        <w:rPr>
          <w:rFonts w:ascii="Times New Roman" w:hAnsi="Times New Roman" w:cs="Times New Roman"/>
        </w:rPr>
        <w:t>Nature’s contributions to people in Africa is related to complex social-ecological, economic and political challenges that are interrelated and, at times, nested into each other. Things happening in one area of policy have repercussions on, or implications for, other areas. This is why each of the illustrated issues can potentially be considered both as entry points for, and outcomes of public policies. For instance, interrelated water, food and energy issues are influenced by, and impact on, population, poverty, and health, which in turn show mutual influences with governance, trade and tenure. In part of Africa, problems related for instance, to land tenure and access to natural resources are known to have spilled into grave problems of peace and security, severely affecting biodiversity and ecosystem services to people. This is amplified by climate change that impacts all of these factors and future economic options. Indigenous and local knowledge and the role of women and gender relations have proved to be essential to understanding these interrelated challenges and to addressing them positively. These roles and mutual influences will be essential to the development of sustainable trajectories for livelihoods and ecosystems and to ecological gains in the social transformation of the African economy, an underlying goal of Africa’s major international commitments, including Agenda 2063, the SDGs and the Aichi biodiversity targets.</w:t>
      </w:r>
    </w:p>
    <w:p w14:paraId="0EEB4EB7" w14:textId="53D818E3" w:rsidR="006B7655" w:rsidRPr="009B0448" w:rsidRDefault="00A8466E" w:rsidP="00FA7185">
      <w:pPr>
        <w:pStyle w:val="111"/>
        <w:numPr>
          <w:ilvl w:val="2"/>
          <w:numId w:val="10"/>
        </w:numPr>
        <w:spacing w:before="240" w:after="240"/>
        <w:ind w:left="709"/>
        <w:rPr>
          <w:rFonts w:cs="Times New Roman"/>
          <w:i w:val="0"/>
          <w:sz w:val="22"/>
          <w:szCs w:val="22"/>
        </w:rPr>
      </w:pPr>
      <w:bookmarkStart w:id="17" w:name="_44sinio" w:colFirst="0" w:colLast="0"/>
      <w:bookmarkStart w:id="18" w:name="_Toc519499770"/>
      <w:bookmarkEnd w:id="17"/>
      <w:r w:rsidRPr="009B0448">
        <w:rPr>
          <w:rFonts w:cs="Times New Roman"/>
          <w:i w:val="0"/>
          <w:sz w:val="22"/>
          <w:szCs w:val="22"/>
        </w:rPr>
        <w:t xml:space="preserve">Gender and </w:t>
      </w:r>
      <w:r w:rsidR="004D219E" w:rsidRPr="009B0448">
        <w:rPr>
          <w:rFonts w:cs="Times New Roman"/>
          <w:i w:val="0"/>
          <w:sz w:val="22"/>
          <w:szCs w:val="22"/>
        </w:rPr>
        <w:t>b</w:t>
      </w:r>
      <w:r w:rsidRPr="009B0448">
        <w:rPr>
          <w:rFonts w:cs="Times New Roman"/>
          <w:i w:val="0"/>
          <w:sz w:val="22"/>
          <w:szCs w:val="22"/>
        </w:rPr>
        <w:t>iodiversity</w:t>
      </w:r>
      <w:bookmarkEnd w:id="18"/>
    </w:p>
    <w:p w14:paraId="743785EA" w14:textId="2127565A"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Biodi</w:t>
      </w:r>
      <w:r w:rsidR="00EF72D8" w:rsidRPr="009B0448">
        <w:rPr>
          <w:rFonts w:ascii="Times New Roman" w:eastAsia="Times New Roman" w:hAnsi="Times New Roman" w:cs="Times New Roman"/>
        </w:rPr>
        <w:t xml:space="preserve">versity, as indicated earlier, </w:t>
      </w:r>
      <w:r w:rsidRPr="009B0448">
        <w:rPr>
          <w:rFonts w:ascii="Times New Roman" w:eastAsia="Times New Roman" w:hAnsi="Times New Roman" w:cs="Times New Roman"/>
        </w:rPr>
        <w:t>represents a cornerstone for many indigenous and local communities, in particular women and vulnerable groups. It can provide them with multiple benefits, can support their needs, work, value sys</w:t>
      </w:r>
      <w:r w:rsidR="007D585B" w:rsidRPr="009B0448">
        <w:rPr>
          <w:rFonts w:ascii="Times New Roman" w:eastAsia="Times New Roman" w:hAnsi="Times New Roman" w:cs="Times New Roman"/>
        </w:rPr>
        <w:t xml:space="preserve">tems, and is a potential asset </w:t>
      </w:r>
      <w:r w:rsidRPr="009B0448">
        <w:rPr>
          <w:rFonts w:ascii="Times New Roman" w:eastAsia="Times New Roman" w:hAnsi="Times New Roman" w:cs="Times New Roman"/>
        </w:rPr>
        <w:t xml:space="preserve">in their economic future. Direct connection with land is an essential concern for indigenous and local communities who, for centuries, have collected </w:t>
      </w:r>
      <w:r w:rsidRPr="009B0448">
        <w:rPr>
          <w:rFonts w:ascii="Times New Roman" w:eastAsia="Times New Roman" w:hAnsi="Times New Roman" w:cs="Times New Roman"/>
        </w:rPr>
        <w:lastRenderedPageBreak/>
        <w:t>firewood and other bush products for food, medicine, cosmetic use and building material. Natural resources play a key role in enhancing many communities’ livelihood and subsistence (UNEP, 1999).</w:t>
      </w:r>
    </w:p>
    <w:p w14:paraId="11194E22" w14:textId="77777777" w:rsidR="006B7655" w:rsidRPr="009B0448" w:rsidRDefault="006B7655" w:rsidP="00292D18">
      <w:pPr>
        <w:spacing w:line="276" w:lineRule="auto"/>
        <w:jc w:val="both"/>
        <w:rPr>
          <w:rFonts w:ascii="Times New Roman" w:eastAsia="Times New Roman" w:hAnsi="Times New Roman" w:cs="Times New Roman"/>
        </w:rPr>
      </w:pPr>
      <w:bookmarkStart w:id="19" w:name="_2jxsxqh" w:colFirst="0" w:colLast="0"/>
      <w:bookmarkEnd w:id="19"/>
    </w:p>
    <w:p w14:paraId="62DA8C72" w14:textId="668AF3E5"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order to fully understand the interactions of people with biodiversity and ecosystems services in Africa, these must be seen through the lens of gender, culture and social relations, while at the same time considering the social roles and power relations between both men and women. Gender analysts have reiterated the fact that men and women often manage, </w:t>
      </w:r>
      <w:r w:rsidR="00264EBF" w:rsidRPr="009B0448">
        <w:rPr>
          <w:rFonts w:ascii="Times New Roman" w:eastAsia="Times New Roman" w:hAnsi="Times New Roman" w:cs="Times New Roman"/>
        </w:rPr>
        <w:t>utilis</w:t>
      </w:r>
      <w:r w:rsidRPr="009B0448">
        <w:rPr>
          <w:rFonts w:ascii="Times New Roman" w:eastAsia="Times New Roman" w:hAnsi="Times New Roman" w:cs="Times New Roman"/>
        </w:rPr>
        <w:t xml:space="preserve">e and </w:t>
      </w:r>
      <w:r w:rsidR="00264EBF" w:rsidRPr="009B0448">
        <w:rPr>
          <w:rFonts w:ascii="Times New Roman" w:eastAsia="Times New Roman" w:hAnsi="Times New Roman" w:cs="Times New Roman"/>
        </w:rPr>
        <w:t>organise</w:t>
      </w:r>
      <w:r w:rsidRPr="009B0448">
        <w:rPr>
          <w:rFonts w:ascii="Times New Roman" w:eastAsia="Times New Roman" w:hAnsi="Times New Roman" w:cs="Times New Roman"/>
        </w:rPr>
        <w:t xml:space="preserve"> natural and agricultural resources differently, with consequent impacts on biodiversity and ecosystem services and the management thereof in Africa.</w:t>
      </w:r>
      <w:bookmarkStart w:id="20" w:name="_z337ya" w:colFirst="0" w:colLast="0"/>
      <w:bookmarkEnd w:id="20"/>
    </w:p>
    <w:p w14:paraId="350A25DE" w14:textId="77777777" w:rsidR="00292D18" w:rsidRPr="009B0448" w:rsidRDefault="00292D18" w:rsidP="00292D18">
      <w:pPr>
        <w:spacing w:line="276" w:lineRule="auto"/>
        <w:jc w:val="both"/>
        <w:rPr>
          <w:rFonts w:ascii="Times New Roman" w:eastAsia="Times New Roman" w:hAnsi="Times New Roman" w:cs="Times New Roman"/>
        </w:rPr>
      </w:pPr>
    </w:p>
    <w:p w14:paraId="754ACA33" w14:textId="3122C62F"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Women have developed a distinctive relationship with biodiversity and they often play the predominant role as users </w:t>
      </w:r>
      <w:r w:rsidR="009957A0" w:rsidRPr="009B0448">
        <w:rPr>
          <w:rFonts w:ascii="Times New Roman" w:eastAsia="Times New Roman" w:hAnsi="Times New Roman" w:cs="Times New Roman"/>
        </w:rPr>
        <w:t>and guardians of biodiversity—</w:t>
      </w:r>
      <w:r w:rsidRPr="009B0448">
        <w:rPr>
          <w:rFonts w:ascii="Times New Roman" w:eastAsia="Times New Roman" w:hAnsi="Times New Roman" w:cs="Times New Roman"/>
        </w:rPr>
        <w:t xml:space="preserve">as plant collectors, family gardeners, plant domesticators, herbalists and seed guardians. For example, in Sierra Leone, women were found to be able to name nearly four times as many uses of trees compared to men (Sasvari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w:t>
      </w:r>
    </w:p>
    <w:p w14:paraId="08425572" w14:textId="77777777" w:rsidR="006B7655" w:rsidRPr="009B0448" w:rsidRDefault="00A8466E" w:rsidP="00FA7185">
      <w:pPr>
        <w:pStyle w:val="111"/>
        <w:numPr>
          <w:ilvl w:val="2"/>
          <w:numId w:val="10"/>
        </w:numPr>
        <w:spacing w:before="240" w:after="240"/>
        <w:ind w:left="709"/>
        <w:rPr>
          <w:rFonts w:cs="Times New Roman"/>
          <w:i w:val="0"/>
          <w:sz w:val="22"/>
          <w:szCs w:val="22"/>
        </w:rPr>
      </w:pPr>
      <w:bookmarkStart w:id="21" w:name="_Toc519499771"/>
      <w:r w:rsidRPr="009B0448">
        <w:rPr>
          <w:rFonts w:cs="Times New Roman"/>
          <w:i w:val="0"/>
          <w:sz w:val="22"/>
          <w:szCs w:val="22"/>
        </w:rPr>
        <w:t>Indigenous and Local Knowledge (ILK)</w:t>
      </w:r>
      <w:bookmarkEnd w:id="21"/>
    </w:p>
    <w:p w14:paraId="3DFF9E99" w14:textId="7689E0AD"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Indigenous and local knowledge and practices (ILKP) systems are considered by IPBES to be dynamic bodies of social-ecological knowledge, practices and beliefs about the relationship of living beings, including humans, with one another and with their environment. ILKP is highly diverse, produced in a collective manner and reproduced at the interface between the diversity of ecosystems and human cultural systems. It is continuously evolving through the interaction of experiences and different types of knowledge (written, oral, tacit, practical, and scientific) among indigenous peoples and local communities. IPBES is developing guidance for the integration of ILKP into its assessments that respects not only the diversity and value of ILKP, but also the rights of indigenous and local communities to share in the benefits of knowledge gained from the assessments. IPBES integrates ILKP into its assessments through the appointment of experts to conduct and review assessments (Annex to IPBES/4/7).</w:t>
      </w:r>
    </w:p>
    <w:p w14:paraId="4F2D7181" w14:textId="77777777" w:rsidR="00292D18" w:rsidRPr="009B0448" w:rsidRDefault="00292D18" w:rsidP="00292D18">
      <w:pPr>
        <w:spacing w:line="276" w:lineRule="auto"/>
        <w:jc w:val="both"/>
        <w:rPr>
          <w:rFonts w:ascii="Times New Roman" w:eastAsia="Times New Roman" w:hAnsi="Times New Roman" w:cs="Times New Roman"/>
        </w:rPr>
      </w:pPr>
    </w:p>
    <w:p w14:paraId="0EEB0F4E" w14:textId="4B183F35" w:rsidR="006B7655" w:rsidRPr="009B0448" w:rsidRDefault="00F83B61"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value of ILK is</w:t>
      </w:r>
      <w:r w:rsidR="00A8466E" w:rsidRPr="009B0448">
        <w:rPr>
          <w:rFonts w:ascii="Times New Roman" w:eastAsia="Times New Roman" w:hAnsi="Times New Roman" w:cs="Times New Roman"/>
        </w:rPr>
        <w:t xml:space="preserve"> becoming </w:t>
      </w:r>
      <w:r w:rsidR="00264EBF" w:rsidRPr="009B0448">
        <w:rPr>
          <w:rFonts w:ascii="Times New Roman" w:eastAsia="Times New Roman" w:hAnsi="Times New Roman" w:cs="Times New Roman"/>
        </w:rPr>
        <w:t>recognis</w:t>
      </w:r>
      <w:r w:rsidR="009957A0" w:rsidRPr="009B0448">
        <w:rPr>
          <w:rFonts w:ascii="Times New Roman" w:eastAsia="Times New Roman" w:hAnsi="Times New Roman" w:cs="Times New Roman"/>
        </w:rPr>
        <w:t>ed by scientists and policy</w:t>
      </w:r>
      <w:r w:rsidR="00A8466E" w:rsidRPr="009B0448">
        <w:rPr>
          <w:rFonts w:ascii="Times New Roman" w:eastAsia="Times New Roman" w:hAnsi="Times New Roman" w:cs="Times New Roman"/>
        </w:rPr>
        <w:t>makers, and is an evolving subject in national and international law (Mauro</w:t>
      </w:r>
      <w:r w:rsidR="0041748C" w:rsidRPr="009B0448">
        <w:rPr>
          <w:rFonts w:ascii="Times New Roman" w:eastAsia="Times New Roman" w:hAnsi="Times New Roman" w:cs="Times New Roman"/>
        </w:rPr>
        <w:t xml:space="preserve">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2000 in Abdel Rahman, 2009). The UN and similar agencies have acknowledged the rights of indigenous people to be recognised and the right of their knowledge to be respected as any other form of knowledge, including scientific knowledge (Abdel Rahman, 2009). The potential contribution of ILK in </w:t>
      </w:r>
      <w:r w:rsidR="00CA0977" w:rsidRPr="009B0448">
        <w:rPr>
          <w:rFonts w:ascii="Times New Roman" w:eastAsia="Times New Roman" w:hAnsi="Times New Roman" w:cs="Times New Roman"/>
        </w:rPr>
        <w:t>t</w:t>
      </w:r>
      <w:r w:rsidR="00A8466E" w:rsidRPr="009B0448">
        <w:rPr>
          <w:rFonts w:ascii="Times New Roman" w:eastAsia="Times New Roman" w:hAnsi="Times New Roman" w:cs="Times New Roman"/>
        </w:rPr>
        <w:t xml:space="preserve">raditional </w:t>
      </w:r>
      <w:r w:rsidR="00CA0977" w:rsidRPr="009B0448">
        <w:rPr>
          <w:rFonts w:ascii="Times New Roman" w:eastAsia="Times New Roman" w:hAnsi="Times New Roman" w:cs="Times New Roman"/>
        </w:rPr>
        <w:t>e</w:t>
      </w:r>
      <w:r w:rsidR="00A8466E" w:rsidRPr="009B0448">
        <w:rPr>
          <w:rFonts w:ascii="Times New Roman" w:eastAsia="Times New Roman" w:hAnsi="Times New Roman" w:cs="Times New Roman"/>
        </w:rPr>
        <w:t xml:space="preserve">cological </w:t>
      </w:r>
      <w:r w:rsidR="00CA0977" w:rsidRPr="009B0448">
        <w:rPr>
          <w:rFonts w:ascii="Times New Roman" w:eastAsia="Times New Roman" w:hAnsi="Times New Roman" w:cs="Times New Roman"/>
        </w:rPr>
        <w:t>k</w:t>
      </w:r>
      <w:r w:rsidR="00A8466E" w:rsidRPr="009B0448">
        <w:rPr>
          <w:rFonts w:ascii="Times New Roman" w:eastAsia="Times New Roman" w:hAnsi="Times New Roman" w:cs="Times New Roman"/>
        </w:rPr>
        <w:t>nowledge and social-ecological studies has gained growing attention in the context of accelerated global change and generalized ecosystem service decline. Scholars assert that indigenous and local cultures</w:t>
      </w:r>
      <w:r w:rsidR="009957A0" w:rsidRPr="009B0448">
        <w:rPr>
          <w:rFonts w:ascii="Times New Roman" w:eastAsia="Times New Roman" w:hAnsi="Times New Roman" w:cs="Times New Roman"/>
        </w:rPr>
        <w:t xml:space="preserve"> are not adequately </w:t>
      </w:r>
      <w:r w:rsidR="00756658" w:rsidRPr="009B0448">
        <w:rPr>
          <w:rFonts w:ascii="Times New Roman" w:eastAsia="Times New Roman" w:hAnsi="Times New Roman" w:cs="Times New Roman"/>
        </w:rPr>
        <w:t>analysed</w:t>
      </w:r>
      <w:r w:rsidR="009957A0" w:rsidRPr="009B0448">
        <w:rPr>
          <w:rFonts w:ascii="Times New Roman" w:eastAsia="Times New Roman" w:hAnsi="Times New Roman" w:cs="Times New Roman"/>
        </w:rPr>
        <w:t xml:space="preserve">, </w:t>
      </w:r>
      <w:r w:rsidR="00A8466E" w:rsidRPr="009B0448">
        <w:rPr>
          <w:rFonts w:ascii="Times New Roman" w:eastAsia="Times New Roman" w:hAnsi="Times New Roman" w:cs="Times New Roman"/>
        </w:rPr>
        <w:t>and yet they are more environmentally embedded than knowledge in modern society (Gómez-Baggethun</w:t>
      </w:r>
      <w:r w:rsidR="00F60A2D" w:rsidRPr="009B0448">
        <w:rPr>
          <w:rFonts w:ascii="Times New Roman" w:eastAsia="Times New Roman" w:hAnsi="Times New Roman" w:cs="Times New Roman"/>
        </w:rPr>
        <w:t xml:space="preserve"> </w:t>
      </w:r>
      <w:r w:rsidR="000429F8" w:rsidRPr="009B0448">
        <w:rPr>
          <w:rFonts w:ascii="Times New Roman" w:eastAsia="Times New Roman" w:hAnsi="Times New Roman" w:cs="Times New Roman"/>
          <w:i/>
        </w:rPr>
        <w:t>et al.</w:t>
      </w:r>
      <w:r w:rsidR="00A8466E" w:rsidRPr="009B0448">
        <w:rPr>
          <w:rFonts w:ascii="Times New Roman" w:eastAsia="Times New Roman" w:hAnsi="Times New Roman" w:cs="Times New Roman"/>
        </w:rPr>
        <w:t xml:space="preserve">, 2013). ILK’s role has been highlighted by </w:t>
      </w:r>
      <w:r w:rsidR="009957A0" w:rsidRPr="009B0448">
        <w:rPr>
          <w:rFonts w:ascii="Times New Roman" w:eastAsia="Times New Roman" w:hAnsi="Times New Roman" w:cs="Times New Roman"/>
        </w:rPr>
        <w:t xml:space="preserve">the </w:t>
      </w:r>
      <w:r w:rsidR="00A8466E" w:rsidRPr="009B0448">
        <w:rPr>
          <w:rFonts w:ascii="Times New Roman" w:eastAsia="Times New Roman" w:hAnsi="Times New Roman" w:cs="Times New Roman"/>
        </w:rPr>
        <w:t>CBD in article 8(j), section 1.3.5. "</w:t>
      </w:r>
      <w:r w:rsidR="00A8466E" w:rsidRPr="009B0448">
        <w:rPr>
          <w:rFonts w:ascii="Times New Roman" w:eastAsia="Times New Roman" w:hAnsi="Times New Roman" w:cs="Times New Roman"/>
          <w:i/>
        </w:rPr>
        <w:t>where it states that all parties subject to national legislation, shall respect, preserve and maintain knowledge, innovations and practices of indigenous and local communities embodying traditional lifestyles relevant for the conservation and sustainable use of biological diversity, all relevant parties shall promote ILK’s wider application with the approval and involvement of the holders of such knowledge, innovations and practices and encourage the equitable sharing of the benefits arising from the utilization of such knowledge innovations and practices</w:t>
      </w:r>
      <w:r w:rsidR="00AB3F9B" w:rsidRPr="009B0448">
        <w:rPr>
          <w:rFonts w:ascii="Times New Roman" w:eastAsia="Times New Roman" w:hAnsi="Times New Roman" w:cs="Times New Roman"/>
        </w:rPr>
        <w:t>" (UN</w:t>
      </w:r>
      <w:r w:rsidR="00A8466E" w:rsidRPr="009B0448">
        <w:rPr>
          <w:rFonts w:ascii="Times New Roman" w:eastAsia="Times New Roman" w:hAnsi="Times New Roman" w:cs="Times New Roman"/>
        </w:rPr>
        <w:t>, 1992). Indigenous knowledge systems are based on cognitive understandings and interpretations of the social and physical/spiritual world (Dei, 2000).</w:t>
      </w:r>
    </w:p>
    <w:p w14:paraId="61D54737" w14:textId="77777777" w:rsidR="00292D18" w:rsidRPr="009B0448" w:rsidRDefault="00292D18" w:rsidP="00292D18">
      <w:pPr>
        <w:spacing w:line="276" w:lineRule="auto"/>
        <w:jc w:val="both"/>
        <w:rPr>
          <w:rFonts w:ascii="Times New Roman" w:eastAsia="Times New Roman" w:hAnsi="Times New Roman" w:cs="Times New Roman"/>
        </w:rPr>
      </w:pPr>
    </w:p>
    <w:p w14:paraId="04642F57" w14:textId="222C051E" w:rsidR="006B7655" w:rsidRPr="009B0448" w:rsidRDefault="00A8466E" w:rsidP="00292D1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i/>
        </w:rPr>
        <w:lastRenderedPageBreak/>
        <w:t>“Indigenous people and their communities represent a significant percentage of the global population. They have developed over many generations a holistic traditional scientific knowledge of their land, natural resources and environments”</w:t>
      </w:r>
      <w:r w:rsidRPr="009B0448">
        <w:rPr>
          <w:rFonts w:ascii="Times New Roman" w:eastAsia="Times New Roman" w:hAnsi="Times New Roman" w:cs="Times New Roman"/>
          <w:i/>
        </w:rPr>
        <w:br/>
      </w:r>
      <w:r w:rsidRPr="009B0448">
        <w:rPr>
          <w:rFonts w:ascii="Times New Roman" w:eastAsia="Times New Roman" w:hAnsi="Times New Roman" w:cs="Times New Roman"/>
        </w:rPr>
        <w:t>(UNCED, 1992)</w:t>
      </w:r>
    </w:p>
    <w:p w14:paraId="1278D421" w14:textId="77777777"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Despite the fact that ILK is</w:t>
      </w:r>
      <w:r w:rsidR="00C06CE0" w:rsidRPr="009B0448">
        <w:rPr>
          <w:rFonts w:ascii="Times New Roman" w:eastAsia="Times New Roman" w:hAnsi="Times New Roman" w:cs="Times New Roman"/>
        </w:rPr>
        <w:t xml:space="preserve"> relatively</w:t>
      </w:r>
      <w:r w:rsidRPr="009B0448">
        <w:rPr>
          <w:rFonts w:ascii="Times New Roman" w:eastAsia="Times New Roman" w:hAnsi="Times New Roman" w:cs="Times New Roman"/>
        </w:rPr>
        <w:t xml:space="preserve"> new to climate science, it has long been known as a major basis of perception and information in various fields such as agroforestry, traditional medicine, biodiversity conservation, customary resource management, impact assessment and natural disaster preparedness and response (Raygorodetsky, 2011). Indigenous/local people, who have developed rich knowledge over the centuries, could be negatively influenced by other modern cultures if this traditional knowledge disappears (World Bank, 1998). This will also negatively affect sustainable development prospects in Africa.</w:t>
      </w:r>
    </w:p>
    <w:p w14:paraId="406EC051" w14:textId="53590FB4" w:rsidR="006B7655" w:rsidRPr="009B0448" w:rsidRDefault="00A8466E" w:rsidP="00FA7185">
      <w:pPr>
        <w:pStyle w:val="111"/>
        <w:numPr>
          <w:ilvl w:val="2"/>
          <w:numId w:val="10"/>
        </w:numPr>
        <w:spacing w:before="240" w:after="240"/>
        <w:ind w:left="709"/>
        <w:rPr>
          <w:rFonts w:cs="Times New Roman"/>
          <w:i w:val="0"/>
          <w:sz w:val="22"/>
          <w:szCs w:val="22"/>
        </w:rPr>
      </w:pPr>
      <w:bookmarkStart w:id="22" w:name="_Toc519499772"/>
      <w:r w:rsidRPr="009B0448">
        <w:rPr>
          <w:rFonts w:cs="Times New Roman"/>
          <w:i w:val="0"/>
          <w:sz w:val="22"/>
          <w:szCs w:val="22"/>
        </w:rPr>
        <w:t>Climate change</w:t>
      </w:r>
      <w:bookmarkEnd w:id="22"/>
    </w:p>
    <w:p w14:paraId="44819EF6" w14:textId="6850B95E"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his foreword to the “Guidebook - Addressing Climate Change Challenges in Africa: A Practical Guide towards Sustainable Development” (AMCEN, 2011), Sangare, highlighted that </w:t>
      </w:r>
      <w:r w:rsidRPr="009B0448">
        <w:rPr>
          <w:rFonts w:ascii="Times New Roman" w:eastAsia="Times New Roman" w:hAnsi="Times New Roman" w:cs="Times New Roman"/>
          <w:i/>
        </w:rPr>
        <w:t>“There is a consensus among scientists, policy makers and development practitioners that climate change poses complex challenges to the development of countries in Africa”</w:t>
      </w:r>
      <w:r w:rsidRPr="009B0448">
        <w:rPr>
          <w:rFonts w:ascii="Times New Roman" w:eastAsia="Times New Roman" w:hAnsi="Times New Roman" w:cs="Times New Roman"/>
        </w:rPr>
        <w:t>. Recent scientific information published since the Intergovernmental Panel on Climate Change (IPCC) 4</w:t>
      </w:r>
      <w:r w:rsidRPr="009B0448">
        <w:rPr>
          <w:rFonts w:ascii="Times New Roman" w:eastAsia="Times New Roman" w:hAnsi="Times New Roman" w:cs="Times New Roman"/>
          <w:vertAlign w:val="superscript"/>
        </w:rPr>
        <w:t>th</w:t>
      </w:r>
      <w:r w:rsidRPr="009B0448">
        <w:rPr>
          <w:rFonts w:ascii="Times New Roman" w:eastAsia="Times New Roman" w:hAnsi="Times New Roman" w:cs="Times New Roman"/>
        </w:rPr>
        <w:t xml:space="preserve"> Assessment Report confirms that the world is on course for levels of warming that will be catastrophic, especially for Africa, where these impacts are combined with “poverty, poor policy and institutional framework”. West Africa, and particularly Sahel and the Horn of Africa would be particularly affected by desertification and droughts linked to climate change (Beg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2002; Gan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despite the overall re-greening of the Sahel that was observed by remote sensing since the drought of the 1980s (Hiernaux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Along the </w:t>
      </w:r>
      <w:r w:rsidR="00930BF8">
        <w:rPr>
          <w:rFonts w:ascii="Times New Roman" w:eastAsia="Times New Roman" w:hAnsi="Times New Roman" w:cs="Times New Roman"/>
        </w:rPr>
        <w:t>northern</w:t>
      </w:r>
      <w:r w:rsidRPr="009B0448">
        <w:rPr>
          <w:rFonts w:ascii="Times New Roman" w:eastAsia="Times New Roman" w:hAnsi="Times New Roman" w:cs="Times New Roman"/>
        </w:rPr>
        <w:t xml:space="preserve"> coast of Africa, changing climate conditions and accelerating sea level rise will intensify the stress on many coastal zones, coastal cities, lagoons, wetlands and deltas (El-Nahry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Kilroy, 2015) (see </w:t>
      </w:r>
      <w:r w:rsidR="0073037A" w:rsidRPr="009B0448">
        <w:rPr>
          <w:rFonts w:ascii="Times New Roman" w:eastAsia="Times New Roman" w:hAnsi="Times New Roman" w:cs="Times New Roman"/>
        </w:rPr>
        <w:t xml:space="preserve">Chapter 4, section </w:t>
      </w:r>
      <w:r w:rsidRPr="009B0448">
        <w:rPr>
          <w:rFonts w:ascii="Times New Roman" w:eastAsia="Times New Roman" w:hAnsi="Times New Roman" w:cs="Times New Roman"/>
        </w:rPr>
        <w:t>4.2.</w:t>
      </w:r>
      <w:r w:rsidR="002363B6" w:rsidRPr="009B0448">
        <w:rPr>
          <w:rFonts w:ascii="Times New Roman" w:eastAsia="Times New Roman" w:hAnsi="Times New Roman" w:cs="Times New Roman"/>
        </w:rPr>
        <w:t>2</w:t>
      </w:r>
      <w:r w:rsidRPr="009B0448">
        <w:rPr>
          <w:rFonts w:ascii="Times New Roman" w:eastAsia="Times New Roman" w:hAnsi="Times New Roman" w:cs="Times New Roman"/>
        </w:rPr>
        <w:t>.2).</w:t>
      </w:r>
    </w:p>
    <w:p w14:paraId="28B4DFDF" w14:textId="77777777" w:rsidR="00914228" w:rsidRPr="009B0448" w:rsidRDefault="00914228" w:rsidP="00292D18">
      <w:pPr>
        <w:spacing w:line="276" w:lineRule="auto"/>
        <w:jc w:val="both"/>
        <w:rPr>
          <w:rFonts w:ascii="Times New Roman" w:eastAsia="Times New Roman" w:hAnsi="Times New Roman" w:cs="Times New Roman"/>
        </w:rPr>
      </w:pPr>
    </w:p>
    <w:p w14:paraId="38E1E123" w14:textId="42C0E16B"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IPCC 5</w:t>
      </w:r>
      <w:r w:rsidRPr="009B0448">
        <w:rPr>
          <w:rFonts w:ascii="Times New Roman" w:eastAsia="Times New Roman" w:hAnsi="Times New Roman" w:cs="Times New Roman"/>
          <w:vertAlign w:val="superscript"/>
        </w:rPr>
        <w:t>th</w:t>
      </w:r>
      <w:r w:rsidRPr="009B0448">
        <w:rPr>
          <w:rFonts w:ascii="Times New Roman" w:eastAsia="Times New Roman" w:hAnsi="Times New Roman" w:cs="Times New Roman"/>
        </w:rPr>
        <w:t xml:space="preserve"> Assessment report confirmed that climate change serves as</w:t>
      </w:r>
      <w:r w:rsidR="00F83B61" w:rsidRPr="009B0448">
        <w:rPr>
          <w:rFonts w:ascii="Times New Roman" w:eastAsia="Times New Roman" w:hAnsi="Times New Roman" w:cs="Times New Roman"/>
        </w:rPr>
        <w:t xml:space="preserve"> </w:t>
      </w:r>
      <w:r w:rsidRPr="009B0448">
        <w:rPr>
          <w:rFonts w:ascii="Times New Roman" w:eastAsia="Times New Roman" w:hAnsi="Times New Roman" w:cs="Times New Roman"/>
        </w:rPr>
        <w:t xml:space="preserve">the ultimate threat multiplier to the pressures already experienced by various sectors, and is likely to have widespread impacts on human and natural systems (IPCC, 2014). Major challenges affecting ecosystems on the African continent, based upon the IPCC report, were </w:t>
      </w:r>
      <w:r w:rsidR="000B06FE" w:rsidRPr="009B0448">
        <w:rPr>
          <w:rFonts w:ascii="Times New Roman" w:eastAsia="Times New Roman" w:hAnsi="Times New Roman" w:cs="Times New Roman"/>
        </w:rPr>
        <w:t>summarise</w:t>
      </w:r>
      <w:r w:rsidRPr="009B0448">
        <w:rPr>
          <w:rFonts w:ascii="Times New Roman" w:eastAsia="Times New Roman" w:hAnsi="Times New Roman" w:cs="Times New Roman"/>
        </w:rPr>
        <w:t>d by the Climate and Development Knowledge Network (CDKN, 2014), an</w:t>
      </w:r>
      <w:r w:rsidR="009F4956" w:rsidRPr="009B0448">
        <w:rPr>
          <w:rFonts w:ascii="Times New Roman" w:eastAsia="Times New Roman" w:hAnsi="Times New Roman" w:cs="Times New Roman"/>
        </w:rPr>
        <w:t>d are illustrated in Figures 1.5 and 1.6</w:t>
      </w:r>
      <w:r w:rsidRPr="009B0448">
        <w:rPr>
          <w:rFonts w:ascii="Times New Roman" w:eastAsia="Times New Roman" w:hAnsi="Times New Roman" w:cs="Times New Roman"/>
        </w:rPr>
        <w:t xml:space="preserve">. </w:t>
      </w:r>
    </w:p>
    <w:p w14:paraId="7F8C01D4" w14:textId="77777777" w:rsidR="00292D18" w:rsidRPr="009B0448" w:rsidRDefault="00292D18" w:rsidP="00292D18">
      <w:pPr>
        <w:spacing w:line="276" w:lineRule="auto"/>
        <w:jc w:val="both"/>
        <w:rPr>
          <w:rFonts w:ascii="Times New Roman" w:eastAsia="Times New Roman" w:hAnsi="Times New Roman" w:cs="Times New Roman"/>
        </w:rPr>
      </w:pPr>
    </w:p>
    <w:p w14:paraId="6976D461" w14:textId="51D92123"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Climate change affects virtually all the priority issues addressed in this section (see also Chapter 4, section 4.2.</w:t>
      </w:r>
      <w:r w:rsidR="002363B6" w:rsidRPr="009B0448">
        <w:rPr>
          <w:rFonts w:ascii="Times New Roman" w:eastAsia="Times New Roman" w:hAnsi="Times New Roman" w:cs="Times New Roman"/>
        </w:rPr>
        <w:t>2</w:t>
      </w:r>
      <w:r w:rsidRPr="009B0448">
        <w:rPr>
          <w:rFonts w:ascii="Times New Roman" w:eastAsia="Times New Roman" w:hAnsi="Times New Roman" w:cs="Times New Roman"/>
        </w:rPr>
        <w:t>.2). This, of course, includes the critical sector of water. For example, as mentioned with regard to the Nile river basin in the following subsection, the struggle to control dwindling water resources can lead to conflict. The challenge will be to provide water resources for future populations and manage climate and water-related diseases, land degradation, crop failures and diminished yields and their impact on food security, energy and live</w:t>
      </w:r>
      <w:r w:rsidR="00233445" w:rsidRPr="009B0448">
        <w:rPr>
          <w:rFonts w:ascii="Times New Roman" w:eastAsia="Times New Roman" w:hAnsi="Times New Roman" w:cs="Times New Roman"/>
        </w:rPr>
        <w:t>lihoods. Poverty and human well-</w:t>
      </w:r>
      <w:r w:rsidRPr="009B0448">
        <w:rPr>
          <w:rFonts w:ascii="Times New Roman" w:eastAsia="Times New Roman" w:hAnsi="Times New Roman" w:cs="Times New Roman"/>
        </w:rPr>
        <w:t xml:space="preserve">being may be substantially affected. Poverty is, of course, a central issue in terms of how climate change affects both people and ecosystems by restricting adaptive capacity and enhancing vulnerability over the longer term. Humans, animals and plants may be pushed out of water-stressed areas and thus become displaced (see Chapter 4). Where people cannot move, they are forced to cope however they can. The adverse effects of climate change in Africa may include (but are not limited to) reduced crop production and diversity, regime shifts in the African ecosystem, worsening of food security, the increased incidence of flooding and droughts, spreading disease and an increased risk of conflict over scarce land and water resources (World Bank, 2012a). Climate change impacts are transmitted through a complex array of </w:t>
      </w:r>
      <w:r w:rsidRPr="009B0448">
        <w:rPr>
          <w:rFonts w:ascii="Times New Roman" w:eastAsia="Times New Roman" w:hAnsi="Times New Roman" w:cs="Times New Roman"/>
        </w:rPr>
        <w:lastRenderedPageBreak/>
        <w:t xml:space="preserve">mechanisms. The effects on individual countries and cross-countries ecological zones are mediated by specific social, economic and environmental circumstances. </w:t>
      </w:r>
    </w:p>
    <w:p w14:paraId="3B0A9AC2" w14:textId="77777777" w:rsidR="00292D18" w:rsidRPr="009B0448" w:rsidRDefault="00292D18" w:rsidP="00292D18">
      <w:pPr>
        <w:spacing w:line="276" w:lineRule="auto"/>
        <w:jc w:val="both"/>
        <w:rPr>
          <w:rFonts w:ascii="Times New Roman" w:eastAsia="Times New Roman" w:hAnsi="Times New Roman" w:cs="Times New Roman"/>
        </w:rPr>
      </w:pPr>
    </w:p>
    <w:p w14:paraId="0EBE8175" w14:textId="7BE4407C"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It is important to note, however, that there are also indigenous strategies for resource </w:t>
      </w:r>
      <w:r w:rsidR="00233445" w:rsidRPr="009B0448">
        <w:rPr>
          <w:rFonts w:ascii="Times New Roman" w:eastAsia="Times New Roman" w:hAnsi="Times New Roman" w:cs="Times New Roman"/>
        </w:rPr>
        <w:t>management, which</w:t>
      </w:r>
      <w:r w:rsidRPr="009B0448">
        <w:rPr>
          <w:rFonts w:ascii="Times New Roman" w:eastAsia="Times New Roman" w:hAnsi="Times New Roman" w:cs="Times New Roman"/>
        </w:rPr>
        <w:t xml:space="preserve"> should, with the right support, play an important role in adaptati</w:t>
      </w:r>
      <w:r w:rsidR="00AB7E46">
        <w:rPr>
          <w:rFonts w:ascii="Times New Roman" w:eastAsia="Times New Roman" w:hAnsi="Times New Roman" w:cs="Times New Roman"/>
        </w:rPr>
        <w:t>on. A critical role for this A</w:t>
      </w:r>
      <w:r w:rsidRPr="009B0448">
        <w:rPr>
          <w:rFonts w:ascii="Times New Roman" w:eastAsia="Times New Roman" w:hAnsi="Times New Roman" w:cs="Times New Roman"/>
        </w:rPr>
        <w:t>ssessment, as well as the IPBES process, is to help identify such strategies and to enable knowledge exchanges between different communities; and well as considering circumstances under which such strategies may be best enabled and supported. People’s adaptive practices may also be informative as to what changes are taking place and how biodiversity and ecosystem services are affected (see, for example</w:t>
      </w:r>
      <w:r w:rsidR="00930BF8">
        <w:rPr>
          <w:rFonts w:ascii="Times New Roman" w:eastAsia="Times New Roman" w:hAnsi="Times New Roman" w:cs="Times New Roman"/>
        </w:rPr>
        <w:t>,</w:t>
      </w:r>
      <w:r w:rsidRPr="009B0448">
        <w:rPr>
          <w:rFonts w:ascii="Times New Roman" w:eastAsia="Times New Roman" w:hAnsi="Times New Roman" w:cs="Times New Roman"/>
        </w:rPr>
        <w:t xml:space="preserve"> the </w:t>
      </w:r>
      <w:r w:rsidR="00446273" w:rsidRPr="009B0448">
        <w:rPr>
          <w:rFonts w:ascii="Times New Roman" w:eastAsia="Times New Roman" w:hAnsi="Times New Roman" w:cs="Times New Roman"/>
        </w:rPr>
        <w:t xml:space="preserve">IPBES Assessment Report </w:t>
      </w:r>
      <w:r w:rsidRPr="009B0448">
        <w:rPr>
          <w:rFonts w:ascii="Times New Roman" w:eastAsia="Times New Roman" w:hAnsi="Times New Roman" w:cs="Times New Roman"/>
        </w:rPr>
        <w:t>on Pollinat</w:t>
      </w:r>
      <w:r w:rsidR="00446273" w:rsidRPr="009B0448">
        <w:rPr>
          <w:rFonts w:ascii="Times New Roman" w:eastAsia="Times New Roman" w:hAnsi="Times New Roman" w:cs="Times New Roman"/>
        </w:rPr>
        <w:t>ors, Pollination and Food Production;</w:t>
      </w:r>
      <w:r w:rsidRPr="009B0448">
        <w:rPr>
          <w:rFonts w:ascii="Times New Roman" w:eastAsia="Times New Roman" w:hAnsi="Times New Roman" w:cs="Times New Roman"/>
        </w:rPr>
        <w:t xml:space="preserve"> IPBES, 2016</w:t>
      </w:r>
      <w:r w:rsidR="002178E0" w:rsidRPr="009B0448">
        <w:rPr>
          <w:rFonts w:ascii="Times New Roman" w:eastAsia="Times New Roman" w:hAnsi="Times New Roman" w:cs="Times New Roman"/>
        </w:rPr>
        <w:t>c</w:t>
      </w:r>
      <w:r w:rsidRPr="009B0448">
        <w:rPr>
          <w:rFonts w:ascii="Times New Roman" w:eastAsia="Times New Roman" w:hAnsi="Times New Roman" w:cs="Times New Roman"/>
        </w:rPr>
        <w:t>). Climate change may also, under certain circumstances, be beneficial and present opportunities</w:t>
      </w:r>
      <w:r w:rsidR="00F83B61" w:rsidRPr="009B0448">
        <w:rPr>
          <w:rFonts w:ascii="Times New Roman" w:eastAsia="Times New Roman" w:hAnsi="Times New Roman" w:cs="Times New Roman"/>
        </w:rPr>
        <w:t>—</w:t>
      </w:r>
      <w:r w:rsidRPr="009B0448">
        <w:rPr>
          <w:rFonts w:ascii="Times New Roman" w:eastAsia="Times New Roman" w:hAnsi="Times New Roman" w:cs="Times New Roman"/>
        </w:rPr>
        <w:t xml:space="preserve">and such opportunities require identification. Indigenous and local communities, whose livelihoods highly depend on environmental conditions, have developed detailed knowledge of climate phenomena and influences through repeated observations transmitted over generations. This allowed them to develop adaptive strategies to deal with climate variation and risk (Gemedo-Dalle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Many </w:t>
      </w:r>
      <w:r w:rsidR="00017502" w:rsidRPr="009B0448">
        <w:rPr>
          <w:rFonts w:ascii="Times New Roman" w:eastAsia="Times New Roman" w:hAnsi="Times New Roman" w:cs="Times New Roman"/>
        </w:rPr>
        <w:t xml:space="preserve">communities </w:t>
      </w:r>
      <w:r w:rsidRPr="009B0448">
        <w:rPr>
          <w:rFonts w:ascii="Times New Roman" w:eastAsia="Times New Roman" w:hAnsi="Times New Roman" w:cs="Times New Roman"/>
        </w:rPr>
        <w:t xml:space="preserve">have already recognised the effects of climate change and their current livelihood strategies are increasingly climate independent (Nielsen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2010a, 2010b). </w:t>
      </w:r>
      <w:r w:rsidR="00D27FBB" w:rsidRPr="009B0448">
        <w:rPr>
          <w:rFonts w:ascii="Times New Roman" w:eastAsia="Times New Roman" w:hAnsi="Times New Roman" w:cs="Times New Roman"/>
        </w:rPr>
        <w:t xml:space="preserve">For thousands of African farmers, who </w:t>
      </w:r>
      <w:r w:rsidRPr="009B0448">
        <w:rPr>
          <w:rFonts w:ascii="Times New Roman" w:eastAsia="Times New Roman" w:hAnsi="Times New Roman" w:cs="Times New Roman"/>
        </w:rPr>
        <w:t>are abandoning farming</w:t>
      </w:r>
      <w:r w:rsidR="00D27FBB" w:rsidRPr="009B0448">
        <w:rPr>
          <w:rFonts w:ascii="Times New Roman" w:eastAsia="Times New Roman" w:hAnsi="Times New Roman" w:cs="Times New Roman"/>
        </w:rPr>
        <w:t xml:space="preserve"> and leaving rural areas</w:t>
      </w:r>
      <w:r w:rsidRPr="009B0448">
        <w:rPr>
          <w:rFonts w:ascii="Times New Roman" w:eastAsia="Times New Roman" w:hAnsi="Times New Roman" w:cs="Times New Roman"/>
        </w:rPr>
        <w:t xml:space="preserve"> because of low yields due to increasing droughts, the </w:t>
      </w:r>
      <w:r w:rsidR="00D27FBB" w:rsidRPr="009B0448">
        <w:rPr>
          <w:rFonts w:ascii="Times New Roman" w:eastAsia="Times New Roman" w:hAnsi="Times New Roman" w:cs="Times New Roman"/>
        </w:rPr>
        <w:t xml:space="preserve">tipping </w:t>
      </w:r>
      <w:r w:rsidRPr="009B0448">
        <w:rPr>
          <w:rFonts w:ascii="Times New Roman" w:eastAsia="Times New Roman" w:hAnsi="Times New Roman" w:cs="Times New Roman"/>
        </w:rPr>
        <w:t xml:space="preserve">point </w:t>
      </w:r>
      <w:r w:rsidR="00233445" w:rsidRPr="009B0448">
        <w:rPr>
          <w:rFonts w:ascii="Times New Roman" w:eastAsia="Times New Roman" w:hAnsi="Times New Roman" w:cs="Times New Roman"/>
        </w:rPr>
        <w:t>for</w:t>
      </w:r>
      <w:r w:rsidRPr="009B0448">
        <w:rPr>
          <w:rFonts w:ascii="Times New Roman" w:eastAsia="Times New Roman" w:hAnsi="Times New Roman" w:cs="Times New Roman"/>
        </w:rPr>
        <w:t xml:space="preserve"> climate change adaptation</w:t>
      </w:r>
      <w:r w:rsidR="00D27FBB" w:rsidRPr="009B0448">
        <w:rPr>
          <w:rFonts w:ascii="Times New Roman" w:eastAsia="Times New Roman" w:hAnsi="Times New Roman" w:cs="Times New Roman"/>
        </w:rPr>
        <w:t xml:space="preserve"> may already </w:t>
      </w:r>
      <w:r w:rsidR="00233445" w:rsidRPr="009B0448">
        <w:rPr>
          <w:rFonts w:ascii="Times New Roman" w:eastAsia="Times New Roman" w:hAnsi="Times New Roman" w:cs="Times New Roman"/>
        </w:rPr>
        <w:t>have</w:t>
      </w:r>
      <w:r w:rsidR="00D27FBB" w:rsidRPr="009B0448">
        <w:rPr>
          <w:rFonts w:ascii="Times New Roman" w:eastAsia="Times New Roman" w:hAnsi="Times New Roman" w:cs="Times New Roman"/>
        </w:rPr>
        <w:t xml:space="preserve"> passed</w:t>
      </w:r>
      <w:r w:rsidRPr="009B0448">
        <w:rPr>
          <w:rFonts w:ascii="Times New Roman" w:eastAsia="Times New Roman" w:hAnsi="Times New Roman" w:cs="Times New Roman"/>
        </w:rPr>
        <w:t xml:space="preserve">. </w:t>
      </w:r>
    </w:p>
    <w:p w14:paraId="2CD60120" w14:textId="77777777" w:rsidR="009957A0" w:rsidRPr="009B0448" w:rsidRDefault="009957A0" w:rsidP="002A3383">
      <w:pPr>
        <w:spacing w:line="276" w:lineRule="auto"/>
        <w:jc w:val="both"/>
        <w:rPr>
          <w:rFonts w:ascii="Times New Roman" w:eastAsia="Times New Roman" w:hAnsi="Times New Roman" w:cs="Times New Roman"/>
        </w:rPr>
      </w:pPr>
    </w:p>
    <w:p w14:paraId="2EF74C91" w14:textId="604126FF" w:rsidR="00F60A2D" w:rsidRPr="009B0448" w:rsidRDefault="00F60A2D" w:rsidP="002A3383">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noProof/>
          <w:lang w:eastAsia="en-GB"/>
        </w:rPr>
        <w:lastRenderedPageBreak/>
        <w:drawing>
          <wp:inline distT="0" distB="0" distL="0" distR="0" wp14:anchorId="3E81FA0D" wp14:editId="305B1F1C">
            <wp:extent cx="5709975" cy="6751941"/>
            <wp:effectExtent l="0" t="0" r="508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709975" cy="6751941"/>
                    </a:xfrm>
                    <a:prstGeom prst="rect">
                      <a:avLst/>
                    </a:prstGeom>
                    <a:noFill/>
                    <a:ln>
                      <a:noFill/>
                    </a:ln>
                    <a:extLst>
                      <a:ext uri="{53640926-AAD7-44D8-BBD7-CCE9431645EC}">
                        <a14:shadowObscured xmlns:a14="http://schemas.microsoft.com/office/drawing/2010/main"/>
                      </a:ext>
                    </a:extLst>
                  </pic:spPr>
                </pic:pic>
              </a:graphicData>
            </a:graphic>
          </wp:inline>
        </w:drawing>
      </w:r>
    </w:p>
    <w:p w14:paraId="3D790E6A" w14:textId="3271525A" w:rsidR="006B7655" w:rsidRPr="009B0448" w:rsidRDefault="00F60A2D"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1.5:</w:t>
      </w:r>
      <w:r w:rsidRPr="009B0448">
        <w:rPr>
          <w:rFonts w:ascii="Times New Roman" w:eastAsia="Times New Roman" w:hAnsi="Times New Roman" w:cs="Times New Roman"/>
        </w:rPr>
        <w:t xml:space="preserve"> </w:t>
      </w:r>
      <w:r w:rsidR="009D085F" w:rsidRPr="009B0448">
        <w:rPr>
          <w:rFonts w:ascii="Times New Roman" w:eastAsia="Times New Roman" w:hAnsi="Times New Roman" w:cs="Times New Roman"/>
        </w:rPr>
        <w:t>The IPCC 5th Assessment Report summary of impacts of climate change in Africa. Sources: CDKN (2014); IPCC (2014).</w:t>
      </w:r>
    </w:p>
    <w:p w14:paraId="42A67AE0" w14:textId="77777777" w:rsidR="00F60A2D" w:rsidRPr="009B0448" w:rsidRDefault="00F60A2D" w:rsidP="002A3383">
      <w:pPr>
        <w:spacing w:line="276" w:lineRule="auto"/>
        <w:jc w:val="both"/>
        <w:rPr>
          <w:rFonts w:ascii="Times New Roman" w:eastAsia="Times New Roman" w:hAnsi="Times New Roman" w:cs="Times New Roman"/>
        </w:rPr>
      </w:pPr>
    </w:p>
    <w:p w14:paraId="69FCD3A0" w14:textId="234F8575" w:rsidR="00F60A2D" w:rsidRPr="009B0448" w:rsidRDefault="00F60A2D" w:rsidP="00527EA8">
      <w:pPr>
        <w:spacing w:line="276" w:lineRule="auto"/>
        <w:rPr>
          <w:rFonts w:ascii="Times New Roman" w:eastAsia="Times New Roman" w:hAnsi="Times New Roman" w:cs="Times New Roman"/>
          <w:b/>
        </w:rPr>
      </w:pPr>
      <w:r w:rsidRPr="009B0448">
        <w:rPr>
          <w:rFonts w:ascii="Times New Roman" w:eastAsia="Times New Roman" w:hAnsi="Times New Roman" w:cs="Times New Roman"/>
          <w:noProof/>
          <w:lang w:eastAsia="en-GB"/>
        </w:rPr>
        <w:lastRenderedPageBreak/>
        <w:drawing>
          <wp:inline distT="0" distB="0" distL="0" distR="0" wp14:anchorId="3CBF954C" wp14:editId="4109C076">
            <wp:extent cx="5653917" cy="8084963"/>
            <wp:effectExtent l="0" t="0" r="444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AF_Figure 1.6.jpg"/>
                    <pic:cNvPicPr/>
                  </pic:nvPicPr>
                  <pic:blipFill>
                    <a:blip r:embed="rId31">
                      <a:extLst>
                        <a:ext uri="{28A0092B-C50C-407E-A947-70E740481C1C}">
                          <a14:useLocalDpi xmlns:a14="http://schemas.microsoft.com/office/drawing/2010/main" val="0"/>
                        </a:ext>
                      </a:extLst>
                    </a:blip>
                    <a:stretch>
                      <a:fillRect/>
                    </a:stretch>
                  </pic:blipFill>
                  <pic:spPr bwMode="auto">
                    <a:xfrm>
                      <a:off x="0" y="0"/>
                      <a:ext cx="5653917" cy="8084963"/>
                    </a:xfrm>
                    <a:prstGeom prst="rect">
                      <a:avLst/>
                    </a:prstGeom>
                    <a:ln>
                      <a:noFill/>
                    </a:ln>
                    <a:extLst>
                      <a:ext uri="{53640926-AAD7-44D8-BBD7-CCE9431645EC}">
                        <a14:shadowObscured xmlns:a14="http://schemas.microsoft.com/office/drawing/2010/main"/>
                      </a:ext>
                    </a:extLst>
                  </pic:spPr>
                </pic:pic>
              </a:graphicData>
            </a:graphic>
          </wp:inline>
        </w:drawing>
      </w:r>
    </w:p>
    <w:p w14:paraId="2EE7A3EA" w14:textId="727C256B" w:rsidR="006B7655" w:rsidRPr="009B0448" w:rsidRDefault="00F60A2D"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1.6:</w:t>
      </w:r>
      <w:r w:rsidRPr="009B0448">
        <w:rPr>
          <w:rFonts w:ascii="Times New Roman" w:eastAsia="Times New Roman" w:hAnsi="Times New Roman" w:cs="Times New Roman"/>
        </w:rPr>
        <w:t xml:space="preserve"> </w:t>
      </w:r>
      <w:r w:rsidR="009D085F" w:rsidRPr="009B0448">
        <w:rPr>
          <w:rFonts w:ascii="Times New Roman" w:eastAsia="Times New Roman" w:hAnsi="Times New Roman" w:cs="Times New Roman"/>
        </w:rPr>
        <w:t>The IPCC 5th Assessment Report summary of future climate trends for Africa. Sources: CDKN (2014); IPCC (2014).</w:t>
      </w:r>
    </w:p>
    <w:p w14:paraId="0A178F92" w14:textId="2C2CEABC" w:rsidR="006B7655" w:rsidRPr="009B0448" w:rsidRDefault="00A8466E" w:rsidP="00FA7185">
      <w:pPr>
        <w:pStyle w:val="111"/>
        <w:numPr>
          <w:ilvl w:val="2"/>
          <w:numId w:val="10"/>
        </w:numPr>
        <w:spacing w:before="240" w:after="240"/>
        <w:ind w:left="709"/>
        <w:rPr>
          <w:rFonts w:cs="Times New Roman"/>
          <w:i w:val="0"/>
          <w:sz w:val="22"/>
          <w:szCs w:val="22"/>
        </w:rPr>
      </w:pPr>
      <w:bookmarkStart w:id="23" w:name="_Toc519499773"/>
      <w:r w:rsidRPr="009B0448">
        <w:rPr>
          <w:rFonts w:cs="Times New Roman"/>
          <w:i w:val="0"/>
          <w:sz w:val="22"/>
          <w:szCs w:val="22"/>
        </w:rPr>
        <w:lastRenderedPageBreak/>
        <w:t>The Food, Water and Energy Nexus</w:t>
      </w:r>
      <w:bookmarkEnd w:id="23"/>
    </w:p>
    <w:p w14:paraId="44EB92FB" w14:textId="33690633"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Africa’s increasing population (see 1.3.7) is leading to a growing demand for, and consumption of natural resources, collectively resulting in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change as agricultural expansion into natural habitats takes place. What makes the situation all the more paradoxical is that Africa is also a major supplier of food to the rest of the world. While the demand for food, water and energy is steadily growing, the resources required to meet it are, in a number of cases, dwindling (Rockström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2009; State of the Planet Declaration, 2012). The interdependencies</w:t>
      </w:r>
      <w:r w:rsidR="00F60A2D" w:rsidRPr="009B0448">
        <w:rPr>
          <w:rFonts w:ascii="Times New Roman" w:eastAsia="Times New Roman" w:hAnsi="Times New Roman" w:cs="Times New Roman"/>
        </w:rPr>
        <w:t xml:space="preserve"> amongst water, food and energy—</w:t>
      </w:r>
      <w:r w:rsidRPr="009B0448">
        <w:rPr>
          <w:rFonts w:ascii="Times New Roman" w:eastAsia="Times New Roman" w:hAnsi="Times New Roman" w:cs="Times New Roman"/>
        </w:rPr>
        <w:t xml:space="preserve">represented by the food-water-energy nexus concept (Hoff, 2011; Hussey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Marsh </w:t>
      </w:r>
      <w:r w:rsidR="000429F8" w:rsidRPr="009B0448">
        <w:rPr>
          <w:rFonts w:ascii="Times New Roman" w:eastAsia="Times New Roman" w:hAnsi="Times New Roman" w:cs="Times New Roman"/>
          <w:i/>
        </w:rPr>
        <w:t>et al.</w:t>
      </w:r>
      <w:r w:rsidR="00F60A2D" w:rsidRPr="009B0448">
        <w:rPr>
          <w:rFonts w:ascii="Times New Roman" w:eastAsia="Times New Roman" w:hAnsi="Times New Roman" w:cs="Times New Roman"/>
        </w:rPr>
        <w:t>, 2007)—</w:t>
      </w:r>
      <w:r w:rsidRPr="009B0448">
        <w:rPr>
          <w:rFonts w:ascii="Times New Roman" w:eastAsia="Times New Roman" w:hAnsi="Times New Roman" w:cs="Times New Roman"/>
        </w:rPr>
        <w:t>are numerous and complex. The following sections provide an overview of some of these in terms of how they affect biodiversity and ecosystem contributions in the context of Africa.</w:t>
      </w:r>
    </w:p>
    <w:p w14:paraId="1C7270D7" w14:textId="2061DCEE" w:rsidR="006B7655" w:rsidRPr="009B0448" w:rsidRDefault="00A8466E" w:rsidP="00FA7185">
      <w:pPr>
        <w:pStyle w:val="111"/>
        <w:numPr>
          <w:ilvl w:val="3"/>
          <w:numId w:val="10"/>
        </w:numPr>
        <w:spacing w:before="240" w:after="240"/>
        <w:ind w:left="851" w:hanging="862"/>
        <w:rPr>
          <w:rFonts w:cs="Times New Roman"/>
          <w:sz w:val="22"/>
          <w:szCs w:val="22"/>
        </w:rPr>
      </w:pPr>
      <w:bookmarkStart w:id="24" w:name="_Toc519499774"/>
      <w:r w:rsidRPr="009B0448">
        <w:rPr>
          <w:rFonts w:cs="Times New Roman"/>
          <w:sz w:val="22"/>
          <w:szCs w:val="22"/>
        </w:rPr>
        <w:t>Meeting Africa’s demand for food: Agriculture and African food systems</w:t>
      </w:r>
      <w:bookmarkEnd w:id="24"/>
    </w:p>
    <w:p w14:paraId="0B0DF035" w14:textId="5A5D6CCD" w:rsidR="006B7655" w:rsidRPr="009B0448" w:rsidRDefault="00A5665F" w:rsidP="00292D18">
      <w:pPr>
        <w:spacing w:line="276" w:lineRule="auto"/>
        <w:jc w:val="both"/>
        <w:rPr>
          <w:rFonts w:ascii="Times New Roman" w:eastAsia="Times New Roman" w:hAnsi="Times New Roman" w:cs="Times New Roman"/>
        </w:rPr>
      </w:pPr>
      <w:r w:rsidRPr="00A5665F">
        <w:rPr>
          <w:rFonts w:ascii="Times New Roman" w:eastAsia="Times New Roman" w:hAnsi="Times New Roman" w:cs="Times New Roman"/>
        </w:rPr>
        <w:t xml:space="preserve">Africa arable land is estimated at 8.07 million </w:t>
      </w:r>
      <w:r>
        <w:rPr>
          <w:rFonts w:ascii="Times New Roman" w:eastAsia="Times New Roman" w:hAnsi="Times New Roman" w:cs="Times New Roman"/>
        </w:rPr>
        <w:t>km</w:t>
      </w:r>
      <w:r w:rsidRPr="00A5665F">
        <w:rPr>
          <w:rFonts w:ascii="Times New Roman" w:eastAsia="Times New Roman" w:hAnsi="Times New Roman" w:cs="Times New Roman"/>
          <w:vertAlign w:val="superscript"/>
        </w:rPr>
        <w:t>2</w:t>
      </w:r>
      <w:r w:rsidRPr="00A5665F">
        <w:rPr>
          <w:rFonts w:ascii="Times New Roman" w:eastAsia="Times New Roman" w:hAnsi="Times New Roman" w:cs="Times New Roman"/>
        </w:rPr>
        <w:t xml:space="preserve"> (27% of Africa’s landmass), of which only about 1.97 million </w:t>
      </w:r>
      <w:r>
        <w:rPr>
          <w:rFonts w:ascii="Times New Roman" w:eastAsia="Times New Roman" w:hAnsi="Times New Roman" w:cs="Times New Roman"/>
        </w:rPr>
        <w:t>km</w:t>
      </w:r>
      <w:r w:rsidRPr="00A5665F">
        <w:rPr>
          <w:rFonts w:ascii="Times New Roman" w:eastAsia="Times New Roman" w:hAnsi="Times New Roman" w:cs="Times New Roman"/>
          <w:vertAlign w:val="superscript"/>
        </w:rPr>
        <w:t>2</w:t>
      </w:r>
      <w:r w:rsidRPr="00A5665F">
        <w:rPr>
          <w:rFonts w:ascii="Times New Roman" w:eastAsia="Times New Roman" w:hAnsi="Times New Roman" w:cs="Times New Roman"/>
        </w:rPr>
        <w:t xml:space="preserve"> is under cultivation (UNEP, 2016). This amounts to around 60% of the world’s uncultivated arable land (Roxburgh et al., 2010; APP, 2014)</w:t>
      </w:r>
      <w:r>
        <w:rPr>
          <w:rFonts w:ascii="Times New Roman" w:eastAsia="Times New Roman" w:hAnsi="Times New Roman" w:cs="Times New Roman"/>
        </w:rPr>
        <w:t xml:space="preserve">. </w:t>
      </w:r>
      <w:r w:rsidR="00A8466E" w:rsidRPr="009B0448">
        <w:rPr>
          <w:rFonts w:ascii="Times New Roman" w:eastAsia="Times New Roman" w:hAnsi="Times New Roman" w:cs="Times New Roman"/>
        </w:rPr>
        <w:t xml:space="preserve">Yet, its agriculture </w:t>
      </w:r>
      <w:r w:rsidR="00583AAD" w:rsidRPr="009B0448">
        <w:rPr>
          <w:rFonts w:ascii="Times New Roman" w:eastAsia="Times New Roman" w:hAnsi="Times New Roman" w:cs="Times New Roman"/>
        </w:rPr>
        <w:t xml:space="preserve">does not presently </w:t>
      </w:r>
      <w:r w:rsidR="00A8466E" w:rsidRPr="009B0448">
        <w:rPr>
          <w:rFonts w:ascii="Times New Roman" w:eastAsia="Times New Roman" w:hAnsi="Times New Roman" w:cs="Times New Roman"/>
        </w:rPr>
        <w:t xml:space="preserve">feed </w:t>
      </w:r>
      <w:r w:rsidR="00583AAD" w:rsidRPr="009B0448">
        <w:rPr>
          <w:rFonts w:ascii="Times New Roman" w:eastAsia="Times New Roman" w:hAnsi="Times New Roman" w:cs="Times New Roman"/>
        </w:rPr>
        <w:t xml:space="preserve">all </w:t>
      </w:r>
      <w:r w:rsidR="00A8466E" w:rsidRPr="009B0448">
        <w:rPr>
          <w:rFonts w:ascii="Times New Roman" w:eastAsia="Times New Roman" w:hAnsi="Times New Roman" w:cs="Times New Roman"/>
        </w:rPr>
        <w:t xml:space="preserve">the </w:t>
      </w:r>
      <w:r w:rsidR="009B180B" w:rsidRPr="009B0448">
        <w:rPr>
          <w:rFonts w:ascii="Times New Roman" w:eastAsia="Times New Roman" w:hAnsi="Times New Roman" w:cs="Times New Roman"/>
        </w:rPr>
        <w:t>population and it has to resort to increasing food imports. According to the Africa Progress Report (AP</w:t>
      </w:r>
      <w:r w:rsidR="00B41B04" w:rsidRPr="009B0448">
        <w:rPr>
          <w:rFonts w:ascii="Times New Roman" w:eastAsia="Times New Roman" w:hAnsi="Times New Roman" w:cs="Times New Roman"/>
        </w:rPr>
        <w:t>P</w:t>
      </w:r>
      <w:r w:rsidR="009B180B" w:rsidRPr="009B0448">
        <w:rPr>
          <w:rFonts w:ascii="Times New Roman" w:eastAsia="Times New Roman" w:hAnsi="Times New Roman" w:cs="Times New Roman"/>
        </w:rPr>
        <w:t xml:space="preserve">, 2014), the region, which used to be a net exporter of food in the 1990s, now foots an import bill worth $35 billion per year for rice alone. As a whole, </w:t>
      </w:r>
      <w:r w:rsidR="002C7A03" w:rsidRPr="009B0448">
        <w:rPr>
          <w:rFonts w:ascii="Times New Roman" w:eastAsia="Times New Roman" w:hAnsi="Times New Roman" w:cs="Times New Roman"/>
        </w:rPr>
        <w:t>s</w:t>
      </w:r>
      <w:r w:rsidR="00574F87">
        <w:rPr>
          <w:rFonts w:ascii="Times New Roman" w:eastAsia="Times New Roman" w:hAnsi="Times New Roman" w:cs="Times New Roman"/>
        </w:rPr>
        <w:t>ub-S</w:t>
      </w:r>
      <w:r w:rsidR="009B180B" w:rsidRPr="009B0448">
        <w:rPr>
          <w:rFonts w:ascii="Times New Roman" w:eastAsia="Times New Roman" w:hAnsi="Times New Roman" w:cs="Times New Roman"/>
        </w:rPr>
        <w:t>aharan Africa today exports less than Thailand, and the continent exploits less than 1.5% of the 240 million h</w:t>
      </w:r>
      <w:r w:rsidR="002C7A03" w:rsidRPr="009B0448">
        <w:rPr>
          <w:rFonts w:ascii="Times New Roman" w:eastAsia="Times New Roman" w:hAnsi="Times New Roman" w:cs="Times New Roman"/>
        </w:rPr>
        <w:t>ectares</w:t>
      </w:r>
      <w:r w:rsidR="009B180B" w:rsidRPr="009B0448">
        <w:rPr>
          <w:rFonts w:ascii="Times New Roman" w:eastAsia="Times New Roman" w:hAnsi="Times New Roman" w:cs="Times New Roman"/>
        </w:rPr>
        <w:t xml:space="preserve"> suitable for rice cultivation. In addition, Africa makes less use of improved seeds and </w:t>
      </w:r>
      <w:r w:rsidR="00F13B9C" w:rsidRPr="009B0448">
        <w:rPr>
          <w:rFonts w:ascii="Times New Roman" w:eastAsia="Times New Roman" w:hAnsi="Times New Roman" w:cs="Times New Roman"/>
        </w:rPr>
        <w:t>fertilis</w:t>
      </w:r>
      <w:r w:rsidR="009B180B" w:rsidRPr="009B0448">
        <w:rPr>
          <w:rFonts w:ascii="Times New Roman" w:eastAsia="Times New Roman" w:hAnsi="Times New Roman" w:cs="Times New Roman"/>
        </w:rPr>
        <w:t>ers than any other region, and its soils are literally mined as a result: “An estimated 8 million tons of nutrients are depleted every year in Africa” (AP</w:t>
      </w:r>
      <w:r w:rsidR="00B41B04" w:rsidRPr="009B0448">
        <w:rPr>
          <w:rFonts w:ascii="Times New Roman" w:eastAsia="Times New Roman" w:hAnsi="Times New Roman" w:cs="Times New Roman"/>
        </w:rPr>
        <w:t>P</w:t>
      </w:r>
      <w:r w:rsidR="009B180B" w:rsidRPr="009B0448">
        <w:rPr>
          <w:rFonts w:ascii="Times New Roman" w:eastAsia="Times New Roman" w:hAnsi="Times New Roman" w:cs="Times New Roman"/>
        </w:rPr>
        <w:t xml:space="preserve">, 2014). As indicated earlier, African agriculture has faced multiple challenges, ranging from low productivity to poor or non-existent markets and infrastructure. There has been a decline in the production of major cereal crops over the past four years, which has been attributed to low input usage, declining soil fertility, erratic climatic conditions and low government funding of development efforts in the sector. A key question, therefore (amongst others), is how Africa </w:t>
      </w:r>
      <w:r w:rsidR="00A8466E" w:rsidRPr="009B0448">
        <w:rPr>
          <w:rFonts w:ascii="Times New Roman" w:eastAsia="Times New Roman" w:hAnsi="Times New Roman" w:cs="Times New Roman"/>
        </w:rPr>
        <w:t>is going to address these issues of soil fertility and productivity of its agriculture in the coming years (the timeframe of the Sustainable Development Goals).</w:t>
      </w:r>
    </w:p>
    <w:p w14:paraId="30F8EBC0" w14:textId="77777777" w:rsidR="00292D18" w:rsidRPr="009B0448" w:rsidRDefault="00292D18" w:rsidP="00292D18">
      <w:pPr>
        <w:spacing w:line="276" w:lineRule="auto"/>
        <w:jc w:val="both"/>
        <w:rPr>
          <w:rFonts w:ascii="Times New Roman" w:eastAsia="Times New Roman" w:hAnsi="Times New Roman" w:cs="Times New Roman"/>
        </w:rPr>
      </w:pPr>
    </w:p>
    <w:p w14:paraId="07C636C5" w14:textId="2D1F0DC1"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Biotechnology, in the form of </w:t>
      </w:r>
      <w:r w:rsidR="00F83B61" w:rsidRPr="009B0448">
        <w:rPr>
          <w:rFonts w:ascii="Times New Roman" w:eastAsia="Times New Roman" w:hAnsi="Times New Roman" w:cs="Times New Roman"/>
        </w:rPr>
        <w:t>genetically modified</w:t>
      </w:r>
      <w:r w:rsidRPr="009B0448">
        <w:rPr>
          <w:rFonts w:ascii="Times New Roman" w:eastAsia="Times New Roman" w:hAnsi="Times New Roman" w:cs="Times New Roman"/>
        </w:rPr>
        <w:t xml:space="preserve"> crops, was advanced for years as a possible response to low agricultural productivity in Africa. It is claimed, for instance, that since Bt-maize was introduced into South Africa in 2003, it has reduced losses of maize incurred through damage by stem borers. Bt-maize is corn </w:t>
      </w:r>
      <w:r w:rsidR="00E8502A" w:rsidRPr="009B0448">
        <w:rPr>
          <w:rFonts w:ascii="Times New Roman" w:eastAsia="Times New Roman" w:hAnsi="Times New Roman" w:cs="Times New Roman"/>
        </w:rPr>
        <w:t xml:space="preserve">that is </w:t>
      </w:r>
      <w:r w:rsidRPr="009B0448">
        <w:rPr>
          <w:rFonts w:ascii="Times New Roman" w:eastAsia="Times New Roman" w:hAnsi="Times New Roman" w:cs="Times New Roman"/>
        </w:rPr>
        <w:t xml:space="preserve">genetically modified to express one or more proteins from </w:t>
      </w:r>
      <w:r w:rsidRPr="009B0448">
        <w:rPr>
          <w:rFonts w:ascii="Times New Roman" w:eastAsia="Times New Roman" w:hAnsi="Times New Roman" w:cs="Times New Roman"/>
          <w:i/>
        </w:rPr>
        <w:t>Bacillus thuringiensis</w:t>
      </w:r>
      <w:r w:rsidRPr="009B0448">
        <w:rPr>
          <w:rFonts w:ascii="Times New Roman" w:eastAsia="Times New Roman" w:hAnsi="Times New Roman" w:cs="Times New Roman"/>
        </w:rPr>
        <w:t>, a soil bacterium</w:t>
      </w:r>
      <w:r w:rsidR="00E8502A" w:rsidRPr="009B0448">
        <w:rPr>
          <w:rFonts w:ascii="Times New Roman" w:eastAsia="Times New Roman" w:hAnsi="Times New Roman" w:cs="Times New Roman"/>
        </w:rPr>
        <w:t>;</w:t>
      </w:r>
      <w:r w:rsidRPr="009B0448">
        <w:rPr>
          <w:rFonts w:ascii="Times New Roman" w:eastAsia="Times New Roman" w:hAnsi="Times New Roman" w:cs="Times New Roman"/>
        </w:rPr>
        <w:t xml:space="preserve"> protein poisonous to certain insect pests. G</w:t>
      </w:r>
      <w:r w:rsidR="00F83B61" w:rsidRPr="009B0448">
        <w:rPr>
          <w:rFonts w:ascii="Times New Roman" w:eastAsia="Times New Roman" w:hAnsi="Times New Roman" w:cs="Times New Roman"/>
        </w:rPr>
        <w:t>enetically modified organisms</w:t>
      </w:r>
      <w:r w:rsidRPr="009B0448">
        <w:rPr>
          <w:rFonts w:ascii="Times New Roman" w:eastAsia="Times New Roman" w:hAnsi="Times New Roman" w:cs="Times New Roman"/>
        </w:rPr>
        <w:t>, however, face much opposition. Key among the perceived threats are the incomplete local knowledge and control of the technology, the loss of food sovereignty through proprietary technology of multinational corporations, and the potential for irreparable damage to African indigenous seeds (A</w:t>
      </w:r>
      <w:r w:rsidR="002C7A03" w:rsidRPr="009B0448">
        <w:rPr>
          <w:rFonts w:ascii="Times New Roman" w:eastAsia="Times New Roman" w:hAnsi="Times New Roman" w:cs="Times New Roman"/>
        </w:rPr>
        <w:t>frican Centre for Biodiversity,</w:t>
      </w:r>
      <w:r w:rsidRPr="009B0448">
        <w:rPr>
          <w:rFonts w:ascii="Times New Roman" w:eastAsia="Times New Roman" w:hAnsi="Times New Roman" w:cs="Times New Roman"/>
        </w:rPr>
        <w:t xml:space="preserve"> 2017). For example, </w:t>
      </w:r>
      <w:r w:rsidR="009B180B" w:rsidRPr="009B0448">
        <w:rPr>
          <w:rFonts w:ascii="Times New Roman" w:eastAsia="Times New Roman" w:hAnsi="Times New Roman" w:cs="Times New Roman"/>
        </w:rPr>
        <w:t>Burkina Faso’s recent decision in early 2016 to completely phase out production of Monsanto’s genetically modified Bt cotton was caused by the deterioration of the quality of its cotton and is likely to become a case study in the genetic modification policy debate in Africa. Burkina Faso w</w:t>
      </w:r>
      <w:r w:rsidR="008F5B30">
        <w:rPr>
          <w:rFonts w:ascii="Times New Roman" w:eastAsia="Times New Roman" w:hAnsi="Times New Roman" w:cs="Times New Roman"/>
        </w:rPr>
        <w:t>as a top world producer of high-</w:t>
      </w:r>
      <w:r w:rsidR="009B180B" w:rsidRPr="009B0448">
        <w:rPr>
          <w:rFonts w:ascii="Times New Roman" w:eastAsia="Times New Roman" w:hAnsi="Times New Roman" w:cs="Times New Roman"/>
        </w:rPr>
        <w:t>quality cotton in 2003, when it started experimenting with Bt cotton. Monsanto's genetically modified cotton seed was producing higher yields and had passed all field trials. The transgenic seed was launched on a large scale in 2007 and, within two years, had taken over 80</w:t>
      </w:r>
      <w:r w:rsidR="008F5B30">
        <w:rPr>
          <w:rFonts w:ascii="Times New Roman" w:eastAsia="Times New Roman" w:hAnsi="Times New Roman" w:cs="Times New Roman"/>
        </w:rPr>
        <w:t>%</w:t>
      </w:r>
      <w:r w:rsidR="009B180B" w:rsidRPr="009B0448">
        <w:rPr>
          <w:rFonts w:ascii="Times New Roman" w:eastAsia="Times New Roman" w:hAnsi="Times New Roman" w:cs="Times New Roman"/>
        </w:rPr>
        <w:t xml:space="preserve"> of the country's cotton crop, with tens of </w:t>
      </w:r>
      <w:r w:rsidR="00636EC6" w:rsidRPr="009B0448">
        <w:rPr>
          <w:rFonts w:ascii="Times New Roman" w:eastAsia="Times New Roman" w:hAnsi="Times New Roman" w:cs="Times New Roman"/>
        </w:rPr>
        <w:t>thousands of</w:t>
      </w:r>
      <w:r w:rsidR="009B180B" w:rsidRPr="009B0448">
        <w:rPr>
          <w:rFonts w:ascii="Times New Roman" w:eastAsia="Times New Roman" w:hAnsi="Times New Roman" w:cs="Times New Roman"/>
        </w:rPr>
        <w:t xml:space="preserve"> people economically dependent on its production. The economic boom was, however, short</w:t>
      </w:r>
      <w:r w:rsidR="008F5B30">
        <w:rPr>
          <w:rFonts w:ascii="Times New Roman" w:eastAsia="Times New Roman" w:hAnsi="Times New Roman" w:cs="Times New Roman"/>
        </w:rPr>
        <w:t>-</w:t>
      </w:r>
      <w:r w:rsidR="009B180B" w:rsidRPr="009B0448">
        <w:rPr>
          <w:rFonts w:ascii="Times New Roman" w:eastAsia="Times New Roman" w:hAnsi="Times New Roman" w:cs="Times New Roman"/>
        </w:rPr>
        <w:t xml:space="preserve">lived. With a deteriorating </w:t>
      </w:r>
      <w:r w:rsidR="009B180B" w:rsidRPr="009B0448">
        <w:rPr>
          <w:rFonts w:ascii="Times New Roman" w:eastAsia="Times New Roman" w:hAnsi="Times New Roman" w:cs="Times New Roman"/>
        </w:rPr>
        <w:lastRenderedPageBreak/>
        <w:t xml:space="preserve">quality, the country’s cotton ceased to be economically </w:t>
      </w:r>
      <w:r w:rsidR="008F5B30">
        <w:rPr>
          <w:rFonts w:ascii="Times New Roman" w:eastAsia="Times New Roman" w:hAnsi="Times New Roman" w:cs="Times New Roman"/>
        </w:rPr>
        <w:t>viable in the market</w:t>
      </w:r>
      <w:r w:rsidRPr="009B0448">
        <w:rPr>
          <w:rFonts w:ascii="Times New Roman" w:eastAsia="Times New Roman" w:hAnsi="Times New Roman" w:cs="Times New Roman"/>
        </w:rPr>
        <w:t xml:space="preserve">place, which led to the reversal of Burkina Faso’s </w:t>
      </w:r>
      <w:r w:rsidR="00F83B61" w:rsidRPr="009B0448">
        <w:rPr>
          <w:rFonts w:ascii="Times New Roman" w:eastAsia="Times New Roman" w:hAnsi="Times New Roman" w:cs="Times New Roman"/>
        </w:rPr>
        <w:t xml:space="preserve">genetically modified </w:t>
      </w:r>
      <w:r w:rsidR="00636EC6" w:rsidRPr="009B0448">
        <w:rPr>
          <w:rFonts w:ascii="Times New Roman" w:eastAsia="Times New Roman" w:hAnsi="Times New Roman" w:cs="Times New Roman"/>
        </w:rPr>
        <w:t>organisms’</w:t>
      </w:r>
      <w:r w:rsidRPr="009B0448">
        <w:rPr>
          <w:rFonts w:ascii="Times New Roman" w:eastAsia="Times New Roman" w:hAnsi="Times New Roman" w:cs="Times New Roman"/>
        </w:rPr>
        <w:t xml:space="preserve"> policy. </w:t>
      </w:r>
    </w:p>
    <w:p w14:paraId="381832AD" w14:textId="77777777" w:rsidR="00292D18" w:rsidRPr="009B0448" w:rsidRDefault="00292D18" w:rsidP="00292D18">
      <w:pPr>
        <w:spacing w:line="276" w:lineRule="auto"/>
        <w:jc w:val="both"/>
        <w:rPr>
          <w:rFonts w:ascii="Times New Roman" w:eastAsia="Times New Roman" w:hAnsi="Times New Roman" w:cs="Times New Roman"/>
        </w:rPr>
      </w:pPr>
    </w:p>
    <w:p w14:paraId="75BEB0AB" w14:textId="1B5F7A29"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Other approaches do exist and can help tackle </w:t>
      </w:r>
      <w:r w:rsidR="009A2076" w:rsidRPr="009B0448">
        <w:rPr>
          <w:rFonts w:ascii="Times New Roman" w:eastAsia="Times New Roman" w:hAnsi="Times New Roman" w:cs="Times New Roman"/>
        </w:rPr>
        <w:t>the dual challenge of</w:t>
      </w:r>
      <w:r w:rsidRPr="009B0448">
        <w:rPr>
          <w:rFonts w:ascii="Times New Roman" w:eastAsia="Times New Roman" w:hAnsi="Times New Roman" w:cs="Times New Roman"/>
        </w:rPr>
        <w:t xml:space="preserve"> productivity and </w:t>
      </w:r>
      <w:r w:rsidR="009A2076" w:rsidRPr="009B0448">
        <w:rPr>
          <w:rFonts w:ascii="Times New Roman" w:eastAsia="Times New Roman" w:hAnsi="Times New Roman" w:cs="Times New Roman"/>
        </w:rPr>
        <w:t>ecology in Africa</w:t>
      </w:r>
      <w:r w:rsidRPr="009B0448">
        <w:rPr>
          <w:rFonts w:ascii="Times New Roman" w:eastAsia="Times New Roman" w:hAnsi="Times New Roman" w:cs="Times New Roman"/>
        </w:rPr>
        <w:t xml:space="preserve">. Agriculture captures more than 70% of all water used globally (WWAP, 2016) and further affects the water sector through land degradation, changes in runoff, and disruption of groundwater discharge (Alauddin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Sustainable agricultural management based on </w:t>
      </w:r>
      <w:r w:rsidR="00EB3AD2" w:rsidRPr="009B0448">
        <w:rPr>
          <w:rFonts w:ascii="Times New Roman" w:eastAsia="Times New Roman" w:hAnsi="Times New Roman" w:cs="Times New Roman"/>
        </w:rPr>
        <w:t xml:space="preserve">indigenous local knowledge </w:t>
      </w:r>
      <w:r w:rsidR="004C733D" w:rsidRPr="009B0448">
        <w:rPr>
          <w:rFonts w:ascii="Times New Roman" w:eastAsia="Times New Roman" w:hAnsi="Times New Roman" w:cs="Times New Roman"/>
        </w:rPr>
        <w:t xml:space="preserve">(ILK) </w:t>
      </w:r>
      <w:r w:rsidRPr="009B0448">
        <w:rPr>
          <w:rFonts w:ascii="Times New Roman" w:eastAsia="Times New Roman" w:hAnsi="Times New Roman" w:cs="Times New Roman"/>
        </w:rPr>
        <w:t xml:space="preserve">and local practices, and interventions designed to prevent land degradation and to save water and energy are thus particularly important. These can help increase groundwater recharge and water storage in the soil, as well as reduce </w:t>
      </w:r>
      <w:r w:rsidR="008F5B30">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use of energy-intensive </w:t>
      </w:r>
      <w:r w:rsidR="00F13B9C" w:rsidRPr="009B0448">
        <w:rPr>
          <w:rFonts w:ascii="Times New Roman" w:eastAsia="Times New Roman" w:hAnsi="Times New Roman" w:cs="Times New Roman"/>
        </w:rPr>
        <w:t>fertilis</w:t>
      </w:r>
      <w:r w:rsidRPr="009B0448">
        <w:rPr>
          <w:rFonts w:ascii="Times New Roman" w:eastAsia="Times New Roman" w:hAnsi="Times New Roman" w:cs="Times New Roman"/>
        </w:rPr>
        <w:t xml:space="preserve">ers. Ecological intensification of agriculture, which relies solely on natural processes, including biomass, indigenous microorganisms and symbiotic microorganisms, is </w:t>
      </w:r>
      <w:r w:rsidR="00E8502A" w:rsidRPr="009B0448">
        <w:rPr>
          <w:rFonts w:ascii="Times New Roman" w:eastAsia="Times New Roman" w:hAnsi="Times New Roman" w:cs="Times New Roman"/>
        </w:rPr>
        <w:t xml:space="preserve">another alternative to chemical </w:t>
      </w:r>
      <w:r w:rsidRPr="009B0448">
        <w:rPr>
          <w:rFonts w:ascii="Times New Roman" w:eastAsia="Times New Roman" w:hAnsi="Times New Roman" w:cs="Times New Roman"/>
        </w:rPr>
        <w:t>fertil</w:t>
      </w:r>
      <w:r w:rsidR="00E8502A" w:rsidRPr="009B0448">
        <w:rPr>
          <w:rFonts w:ascii="Times New Roman" w:eastAsia="Times New Roman" w:hAnsi="Times New Roman" w:cs="Times New Roman"/>
        </w:rPr>
        <w:t xml:space="preserve">isers </w:t>
      </w:r>
      <w:r w:rsidR="00F60A2D" w:rsidRPr="009B0448">
        <w:rPr>
          <w:rFonts w:ascii="Times New Roman" w:eastAsia="Times New Roman" w:hAnsi="Times New Roman" w:cs="Times New Roman"/>
        </w:rPr>
        <w:t xml:space="preserve">and pesticides, which are </w:t>
      </w:r>
      <w:r w:rsidRPr="009B0448">
        <w:rPr>
          <w:rFonts w:ascii="Times New Roman" w:eastAsia="Times New Roman" w:hAnsi="Times New Roman" w:cs="Times New Roman"/>
        </w:rPr>
        <w:t xml:space="preserve">known for their </w:t>
      </w:r>
      <w:r w:rsidR="000B06FE" w:rsidRPr="009B0448">
        <w:rPr>
          <w:rFonts w:ascii="Times New Roman" w:eastAsia="Times New Roman" w:hAnsi="Times New Roman" w:cs="Times New Roman"/>
        </w:rPr>
        <w:t>long-term</w:t>
      </w:r>
      <w:r w:rsidRPr="009B0448">
        <w:rPr>
          <w:rFonts w:ascii="Times New Roman" w:eastAsia="Times New Roman" w:hAnsi="Times New Roman" w:cs="Times New Roman"/>
        </w:rPr>
        <w:t xml:space="preserve"> negative impacts on soil biodiversity, environment, and human health (Matson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1997; FAO, 2007a; Barreiro-Hurlé, 2012). </w:t>
      </w:r>
    </w:p>
    <w:p w14:paraId="3CC56367" w14:textId="77777777" w:rsidR="00292D18" w:rsidRPr="009B0448" w:rsidRDefault="00292D18" w:rsidP="00292D18">
      <w:pPr>
        <w:spacing w:line="276" w:lineRule="auto"/>
        <w:jc w:val="both"/>
        <w:rPr>
          <w:rFonts w:ascii="Times New Roman" w:eastAsia="Times New Roman" w:hAnsi="Times New Roman" w:cs="Times New Roman"/>
        </w:rPr>
      </w:pPr>
    </w:p>
    <w:p w14:paraId="3E0557D9" w14:textId="4D23E8C3"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Bio</w:t>
      </w:r>
      <w:r w:rsidR="00574F87">
        <w:rPr>
          <w:rFonts w:ascii="Times New Roman" w:eastAsia="Times New Roman" w:hAnsi="Times New Roman" w:cs="Times New Roman"/>
        </w:rPr>
        <w:t>-</w:t>
      </w:r>
      <w:r w:rsidR="00F13B9C" w:rsidRPr="009B0448">
        <w:rPr>
          <w:rFonts w:ascii="Times New Roman" w:eastAsia="Times New Roman" w:hAnsi="Times New Roman" w:cs="Times New Roman"/>
        </w:rPr>
        <w:t>fertilis</w:t>
      </w:r>
      <w:r w:rsidRPr="009B0448">
        <w:rPr>
          <w:rFonts w:ascii="Times New Roman" w:eastAsia="Times New Roman" w:hAnsi="Times New Roman" w:cs="Times New Roman"/>
        </w:rPr>
        <w:t>ers based</w:t>
      </w:r>
      <w:r w:rsidR="004D219E" w:rsidRPr="009B0448">
        <w:rPr>
          <w:rFonts w:ascii="Times New Roman" w:eastAsia="Times New Roman" w:hAnsi="Times New Roman" w:cs="Times New Roman"/>
        </w:rPr>
        <w:t xml:space="preserve"> on such natural processes have </w:t>
      </w:r>
      <w:r w:rsidRPr="009B0448">
        <w:rPr>
          <w:rFonts w:ascii="Times New Roman" w:eastAsia="Times New Roman" w:hAnsi="Times New Roman" w:cs="Times New Roman"/>
        </w:rPr>
        <w:t>been successfully tested in West and Centr</w:t>
      </w:r>
      <w:r w:rsidR="00F60A2D" w:rsidRPr="009B0448">
        <w:rPr>
          <w:rFonts w:ascii="Times New Roman" w:eastAsia="Times New Roman" w:hAnsi="Times New Roman" w:cs="Times New Roman"/>
        </w:rPr>
        <w:t>al Africa (</w:t>
      </w:r>
      <w:r w:rsidR="00E8502A" w:rsidRPr="009B0448">
        <w:rPr>
          <w:rFonts w:ascii="Times New Roman" w:eastAsia="Times New Roman" w:hAnsi="Times New Roman" w:cs="Times New Roman"/>
        </w:rPr>
        <w:t xml:space="preserve">Sene </w:t>
      </w:r>
      <w:r w:rsidR="000429F8" w:rsidRPr="009B0448">
        <w:rPr>
          <w:rFonts w:ascii="Times New Roman" w:eastAsia="Times New Roman" w:hAnsi="Times New Roman" w:cs="Times New Roman"/>
          <w:i/>
        </w:rPr>
        <w:t>et al.</w:t>
      </w:r>
      <w:r w:rsidR="00E8502A" w:rsidRPr="009B0448">
        <w:rPr>
          <w:rFonts w:ascii="Times New Roman" w:eastAsia="Times New Roman" w:hAnsi="Times New Roman" w:cs="Times New Roman"/>
        </w:rPr>
        <w:t xml:space="preserve">, 2012; </w:t>
      </w:r>
      <w:r w:rsidR="00F60A2D" w:rsidRPr="009B0448">
        <w:rPr>
          <w:rFonts w:ascii="Times New Roman" w:eastAsia="Times New Roman" w:hAnsi="Times New Roman" w:cs="Times New Roman"/>
        </w:rPr>
        <w:t xml:space="preserve">Ngonkeu </w:t>
      </w:r>
      <w:r w:rsidR="000429F8" w:rsidRPr="009B0448">
        <w:rPr>
          <w:rFonts w:ascii="Times New Roman" w:eastAsia="Times New Roman" w:hAnsi="Times New Roman" w:cs="Times New Roman"/>
          <w:i/>
        </w:rPr>
        <w:t>et al.</w:t>
      </w:r>
      <w:r w:rsidR="00F60A2D" w:rsidRPr="009B0448">
        <w:rPr>
          <w:rFonts w:ascii="Times New Roman" w:eastAsia="Times New Roman" w:hAnsi="Times New Roman" w:cs="Times New Roman"/>
        </w:rPr>
        <w:t>, 2013</w:t>
      </w:r>
      <w:r w:rsidRPr="009B0448">
        <w:rPr>
          <w:rFonts w:ascii="Times New Roman" w:eastAsia="Times New Roman" w:hAnsi="Times New Roman" w:cs="Times New Roman"/>
        </w:rPr>
        <w:t xml:space="preserve">), although their considerable market potential is still largely unknown and underdeveloped on the continent. This ecological smart agriculture has been associated with eco-agriculture and large-scale approaches such as Integrated Landscape Management (ILM). ILM is an increasingly popular set of approaches that seek to address complex people-food-climate-biodiversity and ecosystem issues in an integrated manner and through long-term cooperation of land managers and stakeholders </w:t>
      </w:r>
      <w:r w:rsidRPr="009B0448">
        <w:rPr>
          <w:rFonts w:ascii="Times New Roman" w:hAnsi="Times New Roman" w:cs="Times New Roman"/>
        </w:rPr>
        <w:t>(LPFN, 2015)</w:t>
      </w:r>
      <w:r w:rsidRPr="009B0448">
        <w:rPr>
          <w:rFonts w:ascii="Times New Roman" w:eastAsia="Times New Roman" w:hAnsi="Times New Roman" w:cs="Times New Roman"/>
        </w:rPr>
        <w:t>.</w:t>
      </w:r>
    </w:p>
    <w:p w14:paraId="67420162" w14:textId="77777777" w:rsidR="00292D18" w:rsidRPr="009B0448" w:rsidRDefault="00292D18" w:rsidP="00292D18">
      <w:pPr>
        <w:spacing w:line="276" w:lineRule="auto"/>
        <w:jc w:val="both"/>
        <w:rPr>
          <w:rFonts w:ascii="Times New Roman" w:eastAsia="Times New Roman" w:hAnsi="Times New Roman" w:cs="Times New Roman"/>
        </w:rPr>
      </w:pPr>
    </w:p>
    <w:p w14:paraId="43A5E5C9" w14:textId="7A46F2E1"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Closely linked to, and sometimes in competition with agriculture, extensive pastoral production is practised on 25</w:t>
      </w:r>
      <w:r w:rsidR="00E8502A" w:rsidRPr="009B0448">
        <w:rPr>
          <w:rFonts w:ascii="Times New Roman" w:eastAsia="Times New Roman" w:hAnsi="Times New Roman" w:cs="Times New Roman"/>
        </w:rPr>
        <w:t>%</w:t>
      </w:r>
      <w:r w:rsidRPr="009B0448">
        <w:rPr>
          <w:rFonts w:ascii="Times New Roman" w:eastAsia="Times New Roman" w:hAnsi="Times New Roman" w:cs="Times New Roman"/>
        </w:rPr>
        <w:t xml:space="preserve"> of the global land area, </w:t>
      </w:r>
      <w:r w:rsidR="00E8502A" w:rsidRPr="009B0448">
        <w:rPr>
          <w:rFonts w:ascii="Times New Roman" w:eastAsia="Times New Roman" w:hAnsi="Times New Roman" w:cs="Times New Roman"/>
        </w:rPr>
        <w:t xml:space="preserve">from the drylands of Africa (66% </w:t>
      </w:r>
      <w:r w:rsidRPr="009B0448">
        <w:rPr>
          <w:rFonts w:ascii="Times New Roman" w:eastAsia="Times New Roman" w:hAnsi="Times New Roman" w:cs="Times New Roman"/>
        </w:rPr>
        <w:t>of the total continent</w:t>
      </w:r>
      <w:r w:rsidR="008F5B30">
        <w:rPr>
          <w:rFonts w:ascii="Times New Roman" w:eastAsia="Times New Roman" w:hAnsi="Times New Roman" w:cs="Times New Roman"/>
        </w:rPr>
        <w:t>al</w:t>
      </w:r>
      <w:r w:rsidRPr="009B0448">
        <w:rPr>
          <w:rFonts w:ascii="Times New Roman" w:eastAsia="Times New Roman" w:hAnsi="Times New Roman" w:cs="Times New Roman"/>
        </w:rPr>
        <w:t xml:space="preserve"> land </w:t>
      </w:r>
      <w:r w:rsidR="008F5B30">
        <w:rPr>
          <w:rFonts w:ascii="Times New Roman" w:eastAsia="Times New Roman" w:hAnsi="Times New Roman" w:cs="Times New Roman"/>
        </w:rPr>
        <w:t>area) and the Arabian Peninsula</w:t>
      </w:r>
      <w:r w:rsidRPr="009B0448">
        <w:rPr>
          <w:rFonts w:ascii="Times New Roman" w:eastAsia="Times New Roman" w:hAnsi="Times New Roman" w:cs="Times New Roman"/>
        </w:rPr>
        <w:t xml:space="preserve"> to the highlands of Asia and Latin America. It provides 10</w:t>
      </w:r>
      <w:r w:rsidR="00E8502A" w:rsidRPr="009B0448">
        <w:rPr>
          <w:rFonts w:ascii="Times New Roman" w:eastAsia="Times New Roman" w:hAnsi="Times New Roman" w:cs="Times New Roman"/>
        </w:rPr>
        <w:t>%</w:t>
      </w:r>
      <w:r w:rsidRPr="009B0448">
        <w:rPr>
          <w:rFonts w:ascii="Times New Roman" w:eastAsia="Times New Roman" w:hAnsi="Times New Roman" w:cs="Times New Roman"/>
        </w:rPr>
        <w:t xml:space="preserve"> of the world’s meat p</w:t>
      </w:r>
      <w:r w:rsidR="008F5B30">
        <w:rPr>
          <w:rFonts w:ascii="Times New Roman" w:eastAsia="Times New Roman" w:hAnsi="Times New Roman" w:cs="Times New Roman"/>
        </w:rPr>
        <w:t>roduction</w:t>
      </w:r>
      <w:r w:rsidRPr="009B0448">
        <w:rPr>
          <w:rFonts w:ascii="Times New Roman" w:eastAsia="Times New Roman" w:hAnsi="Times New Roman" w:cs="Times New Roman"/>
        </w:rPr>
        <w:t xml:space="preserve"> and supports some 200 million pastoral households who raise nearly 1 billion head of camel, cattle and smaller livestock, about a third of which are found in sub-Saharan Africa.</w:t>
      </w:r>
    </w:p>
    <w:p w14:paraId="3FF7FE12" w14:textId="77777777" w:rsidR="00292D18" w:rsidRPr="009B0448" w:rsidRDefault="00292D18" w:rsidP="00292D18">
      <w:pPr>
        <w:spacing w:line="276" w:lineRule="auto"/>
        <w:jc w:val="both"/>
        <w:rPr>
          <w:rFonts w:ascii="Times New Roman" w:eastAsia="Times New Roman" w:hAnsi="Times New Roman" w:cs="Times New Roman"/>
        </w:rPr>
      </w:pPr>
    </w:p>
    <w:p w14:paraId="4E6D24C3" w14:textId="5B0D6828" w:rsidR="006B7655" w:rsidRPr="009B0448" w:rsidRDefault="00A8466E" w:rsidP="00292D1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Statistics from the African Union’s policy framework for pastoralism show that there are 268 million pastoralists. They live and move on 43</w:t>
      </w:r>
      <w:r w:rsidR="00E8502A" w:rsidRPr="009B0448">
        <w:rPr>
          <w:rFonts w:ascii="Times New Roman" w:eastAsia="Times New Roman" w:hAnsi="Times New Roman" w:cs="Times New Roman"/>
        </w:rPr>
        <w:t>%</w:t>
      </w:r>
      <w:r w:rsidRPr="009B0448">
        <w:rPr>
          <w:rFonts w:ascii="Times New Roman" w:eastAsia="Times New Roman" w:hAnsi="Times New Roman" w:cs="Times New Roman"/>
        </w:rPr>
        <w:t xml:space="preserve"> of Africa’s landmass, and contribute between 10 </w:t>
      </w:r>
      <w:r w:rsidR="004D219E" w:rsidRPr="009B0448">
        <w:rPr>
          <w:rFonts w:ascii="Times New Roman" w:eastAsia="Times New Roman" w:hAnsi="Times New Roman" w:cs="Times New Roman"/>
        </w:rPr>
        <w:t>and</w:t>
      </w:r>
      <w:r w:rsidRPr="009B0448">
        <w:rPr>
          <w:rFonts w:ascii="Times New Roman" w:eastAsia="Times New Roman" w:hAnsi="Times New Roman" w:cs="Times New Roman"/>
        </w:rPr>
        <w:t xml:space="preserve"> 44 % of the GDP in the countries where they reside (</w:t>
      </w:r>
      <w:r w:rsidR="00C42FBA" w:rsidRPr="009B0448">
        <w:rPr>
          <w:rFonts w:ascii="Times New Roman" w:eastAsia="Times New Roman" w:hAnsi="Times New Roman" w:cs="Times New Roman"/>
        </w:rPr>
        <w:t>AU</w:t>
      </w:r>
      <w:r w:rsidRPr="009B0448">
        <w:rPr>
          <w:rFonts w:ascii="Times New Roman" w:eastAsia="Times New Roman" w:hAnsi="Times New Roman" w:cs="Times New Roman"/>
        </w:rPr>
        <w:t>, 2010). Pastoralism is faced with important challenges related to population growth and the resulting shri</w:t>
      </w:r>
      <w:r w:rsidR="00F60A2D" w:rsidRPr="009B0448">
        <w:rPr>
          <w:rFonts w:ascii="Times New Roman" w:eastAsia="Times New Roman" w:hAnsi="Times New Roman" w:cs="Times New Roman"/>
        </w:rPr>
        <w:t>nking and fragmentation of land;</w:t>
      </w:r>
      <w:r w:rsidRPr="009B0448">
        <w:rPr>
          <w:rFonts w:ascii="Times New Roman" w:eastAsia="Times New Roman" w:hAnsi="Times New Roman" w:cs="Times New Roman"/>
        </w:rPr>
        <w:t xml:space="preserve"> r</w:t>
      </w:r>
      <w:r w:rsidR="00F60A2D" w:rsidRPr="009B0448">
        <w:rPr>
          <w:rFonts w:ascii="Times New Roman" w:eastAsia="Times New Roman" w:hAnsi="Times New Roman" w:cs="Times New Roman"/>
        </w:rPr>
        <w:t>elated conflicts over resources;</w:t>
      </w:r>
      <w:r w:rsidRPr="009B0448">
        <w:rPr>
          <w:rFonts w:ascii="Times New Roman" w:eastAsia="Times New Roman" w:hAnsi="Times New Roman" w:cs="Times New Roman"/>
        </w:rPr>
        <w:t xml:space="preserve"> securi</w:t>
      </w:r>
      <w:r w:rsidR="00F60A2D" w:rsidRPr="009B0448">
        <w:rPr>
          <w:rFonts w:ascii="Times New Roman" w:eastAsia="Times New Roman" w:hAnsi="Times New Roman" w:cs="Times New Roman"/>
        </w:rPr>
        <w:t>ty of pastoral livestock assets; climate change;</w:t>
      </w:r>
      <w:r w:rsidRPr="009B0448">
        <w:rPr>
          <w:rFonts w:ascii="Times New Roman" w:eastAsia="Times New Roman" w:hAnsi="Times New Roman" w:cs="Times New Roman"/>
        </w:rPr>
        <w:t xml:space="preserve"> as well as food price increases and financial crises. However, its</w:t>
      </w:r>
      <w:r w:rsidR="00F60A2D" w:rsidRPr="009B0448">
        <w:rPr>
          <w:rFonts w:ascii="Times New Roman" w:eastAsia="Times New Roman" w:hAnsi="Times New Roman" w:cs="Times New Roman"/>
        </w:rPr>
        <w:t xml:space="preserve"> potential for reducing poverty; generating economic growth;</w:t>
      </w:r>
      <w:r w:rsidRPr="009B0448">
        <w:rPr>
          <w:rFonts w:ascii="Times New Roman" w:eastAsia="Times New Roman" w:hAnsi="Times New Roman" w:cs="Times New Roman"/>
        </w:rPr>
        <w:t xml:space="preserve"> managing the environment</w:t>
      </w:r>
      <w:r w:rsidR="00F60A2D" w:rsidRPr="009B0448">
        <w:rPr>
          <w:rFonts w:ascii="Times New Roman" w:eastAsia="Times New Roman" w:hAnsi="Times New Roman" w:cs="Times New Roman"/>
        </w:rPr>
        <w:t>;</w:t>
      </w:r>
      <w:r w:rsidRPr="009B0448">
        <w:rPr>
          <w:rFonts w:ascii="Times New Roman" w:eastAsia="Times New Roman" w:hAnsi="Times New Roman" w:cs="Times New Roman"/>
        </w:rPr>
        <w:t xml:space="preserve"> pr</w:t>
      </w:r>
      <w:r w:rsidR="00F60A2D" w:rsidRPr="009B0448">
        <w:rPr>
          <w:rFonts w:ascii="Times New Roman" w:eastAsia="Times New Roman" w:hAnsi="Times New Roman" w:cs="Times New Roman"/>
        </w:rPr>
        <w:t>omoting sustainable development;</w:t>
      </w:r>
      <w:r w:rsidRPr="009B0448">
        <w:rPr>
          <w:rFonts w:ascii="Times New Roman" w:eastAsia="Times New Roman" w:hAnsi="Times New Roman" w:cs="Times New Roman"/>
        </w:rPr>
        <w:t xml:space="preserve"> and building climate resilience</w:t>
      </w:r>
      <w:r w:rsidR="00F60A2D" w:rsidRPr="009B0448">
        <w:rPr>
          <w:rFonts w:ascii="Times New Roman" w:eastAsia="Times New Roman" w:hAnsi="Times New Roman" w:cs="Times New Roman"/>
        </w:rPr>
        <w:t>,</w:t>
      </w:r>
      <w:r w:rsidRPr="009B0448">
        <w:rPr>
          <w:rFonts w:ascii="Times New Roman" w:eastAsia="Times New Roman" w:hAnsi="Times New Roman" w:cs="Times New Roman"/>
        </w:rPr>
        <w:t xml:space="preserve"> is considerable. A study by the International Institute for Environment and Development (Hesse, 2014) shows that pastoralists who feed their animals solely on natural dryland pastures can achieve rates of productivity as high as on modern farms. Pastoralism has such potential because it relies on ILK built through generations of practice and living in specific environments. Pastoralism has been a livelihood in many areas for millennia and, through these practices, has contribute</w:t>
      </w:r>
      <w:r w:rsidR="00636EC6" w:rsidRPr="009B0448">
        <w:rPr>
          <w:rFonts w:ascii="Times New Roman" w:eastAsia="Times New Roman" w:hAnsi="Times New Roman" w:cs="Times New Roman"/>
        </w:rPr>
        <w:t>d to shap</w:t>
      </w:r>
      <w:r w:rsidR="008F5B30">
        <w:rPr>
          <w:rFonts w:ascii="Times New Roman" w:eastAsia="Times New Roman" w:hAnsi="Times New Roman" w:cs="Times New Roman"/>
        </w:rPr>
        <w:t>ing</w:t>
      </w:r>
      <w:r w:rsidR="00636EC6" w:rsidRPr="009B0448">
        <w:rPr>
          <w:rFonts w:ascii="Times New Roman" w:eastAsia="Times New Roman" w:hAnsi="Times New Roman" w:cs="Times New Roman"/>
        </w:rPr>
        <w:t xml:space="preserve"> present ecosystems (s</w:t>
      </w:r>
      <w:r w:rsidRPr="009B0448">
        <w:rPr>
          <w:rFonts w:ascii="Times New Roman" w:eastAsia="Times New Roman" w:hAnsi="Times New Roman" w:cs="Times New Roman"/>
        </w:rPr>
        <w:t xml:space="preserve">ee for example </w:t>
      </w:r>
      <w:r w:rsidR="00AF7538" w:rsidRPr="009B0448">
        <w:rPr>
          <w:rFonts w:ascii="Times New Roman" w:eastAsia="Times New Roman" w:hAnsi="Times New Roman" w:cs="Times New Roman"/>
        </w:rPr>
        <w:t>Gemedo-</w:t>
      </w:r>
      <w:r w:rsidRPr="009B0448">
        <w:rPr>
          <w:rFonts w:ascii="Times New Roman" w:eastAsia="Times New Roman" w:hAnsi="Times New Roman" w:cs="Times New Roman"/>
        </w:rPr>
        <w:t xml:space="preserve">Dalle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2005, on Borana pastoralists).</w:t>
      </w:r>
    </w:p>
    <w:p w14:paraId="3DE1B60B" w14:textId="77777777" w:rsidR="006B7655" w:rsidRPr="009B0448" w:rsidRDefault="00A8466E" w:rsidP="00FA7185">
      <w:pPr>
        <w:pStyle w:val="111"/>
        <w:numPr>
          <w:ilvl w:val="4"/>
          <w:numId w:val="10"/>
        </w:numPr>
        <w:spacing w:before="240" w:after="240"/>
        <w:ind w:left="851" w:hanging="862"/>
        <w:rPr>
          <w:rFonts w:cs="Times New Roman"/>
          <w:b w:val="0"/>
          <w:sz w:val="22"/>
          <w:szCs w:val="22"/>
        </w:rPr>
      </w:pPr>
      <w:bookmarkStart w:id="25" w:name="_Toc519499775"/>
      <w:r w:rsidRPr="009B0448">
        <w:rPr>
          <w:rFonts w:cs="Times New Roman"/>
          <w:b w:val="0"/>
          <w:sz w:val="22"/>
          <w:szCs w:val="22"/>
        </w:rPr>
        <w:t>Forest and agroforestry systems</w:t>
      </w:r>
      <w:bookmarkEnd w:id="25"/>
    </w:p>
    <w:p w14:paraId="1A11CA38" w14:textId="7076117E" w:rsidR="006B7655"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Forests in Africa are major providers of food and energy on the continent, and they play a crucial role in conserving biodiversity, mitigating climate and maintaining functional ecosystems. Africa is home to 17% of the world’s natural forests (675 million h</w:t>
      </w:r>
      <w:r w:rsidR="00EB3AD2" w:rsidRPr="009B0448">
        <w:rPr>
          <w:rFonts w:ascii="Times New Roman" w:eastAsia="Times New Roman" w:hAnsi="Times New Roman" w:cs="Times New Roman"/>
        </w:rPr>
        <w:t>ectares</w:t>
      </w:r>
      <w:r w:rsidRPr="009B0448">
        <w:rPr>
          <w:rFonts w:ascii="Times New Roman" w:eastAsia="Times New Roman" w:hAnsi="Times New Roman" w:cs="Times New Roman"/>
        </w:rPr>
        <w:t xml:space="preserve">), yet, it makes only contributes 2.8% of the </w:t>
      </w:r>
      <w:r w:rsidRPr="009B0448">
        <w:rPr>
          <w:rFonts w:ascii="Times New Roman" w:eastAsia="Times New Roman" w:hAnsi="Times New Roman" w:cs="Times New Roman"/>
        </w:rPr>
        <w:lastRenderedPageBreak/>
        <w:t>value</w:t>
      </w:r>
      <w:r w:rsidR="008F5B30">
        <w:rPr>
          <w:rFonts w:ascii="Times New Roman" w:eastAsia="Times New Roman" w:hAnsi="Times New Roman" w:cs="Times New Roman"/>
        </w:rPr>
        <w:t>-</w:t>
      </w:r>
      <w:r w:rsidRPr="009B0448">
        <w:rPr>
          <w:rFonts w:ascii="Times New Roman" w:eastAsia="Times New Roman" w:hAnsi="Times New Roman" w:cs="Times New Roman"/>
        </w:rPr>
        <w:t xml:space="preserve">add of forests globally (FAO, 2014a). The Congo Basin, the second largest </w:t>
      </w:r>
      <w:r w:rsidR="008F5B30">
        <w:rPr>
          <w:rFonts w:ascii="Times New Roman" w:eastAsia="Times New Roman" w:hAnsi="Times New Roman" w:cs="Times New Roman"/>
        </w:rPr>
        <w:t xml:space="preserve">contiguous </w:t>
      </w:r>
      <w:r w:rsidRPr="009B0448">
        <w:rPr>
          <w:rFonts w:ascii="Times New Roman" w:eastAsia="Times New Roman" w:hAnsi="Times New Roman" w:cs="Times New Roman"/>
        </w:rPr>
        <w:t>block of tropical rainforest, also contains tropical dry forests, representing nearly a third of Africa’s natural forest areas. In addition, the continent contains 31% of the world’s ‘other wooded lands’. This represents a combined area of 350 million ha of savan</w:t>
      </w:r>
      <w:r w:rsidR="0055424C" w:rsidRPr="009B0448">
        <w:rPr>
          <w:rFonts w:ascii="Times New Roman" w:eastAsia="Times New Roman" w:hAnsi="Times New Roman" w:cs="Times New Roman"/>
        </w:rPr>
        <w:t>na where “scattered tree growth</w:t>
      </w:r>
      <w:r w:rsidRPr="009B0448">
        <w:rPr>
          <w:rFonts w:ascii="Times New Roman" w:eastAsia="Times New Roman" w:hAnsi="Times New Roman" w:cs="Times New Roman"/>
        </w:rPr>
        <w:t xml:space="preserve"> </w:t>
      </w:r>
      <w:r w:rsidR="00F60A2D" w:rsidRPr="009B0448">
        <w:rPr>
          <w:rFonts w:ascii="Times New Roman" w:eastAsia="Times New Roman" w:hAnsi="Times New Roman" w:cs="Times New Roman"/>
        </w:rPr>
        <w:t xml:space="preserve">is </w:t>
      </w:r>
      <w:r w:rsidRPr="009B0448">
        <w:rPr>
          <w:rFonts w:ascii="Times New Roman" w:eastAsia="Times New Roman" w:hAnsi="Times New Roman" w:cs="Times New Roman"/>
        </w:rPr>
        <w:t xml:space="preserve">too sparse to be defined as forest but where the ecological and socioeconomic functions of trees are nonetheless important” (FAO, 2011). </w:t>
      </w:r>
    </w:p>
    <w:p w14:paraId="74D481E4" w14:textId="77777777" w:rsidR="00BB2416" w:rsidRPr="009B0448" w:rsidRDefault="00BB2416" w:rsidP="00BB2416">
      <w:pPr>
        <w:spacing w:line="276" w:lineRule="auto"/>
        <w:jc w:val="both"/>
        <w:rPr>
          <w:rFonts w:ascii="Times New Roman" w:eastAsia="Times New Roman" w:hAnsi="Times New Roman" w:cs="Times New Roman"/>
        </w:rPr>
      </w:pPr>
    </w:p>
    <w:p w14:paraId="3787800A" w14:textId="5CD9A72E" w:rsidR="006B7655" w:rsidRPr="009B0448" w:rsidRDefault="00A8466E" w:rsidP="00BB2416">
      <w:pPr>
        <w:spacing w:line="276" w:lineRule="auto"/>
        <w:jc w:val="both"/>
        <w:rPr>
          <w:rFonts w:ascii="Times New Roman" w:eastAsia="Times New Roman" w:hAnsi="Times New Roman" w:cs="Times New Roman"/>
          <w:color w:val="00000A"/>
        </w:rPr>
      </w:pPr>
      <w:r w:rsidRPr="009B0448">
        <w:rPr>
          <w:rFonts w:ascii="Times New Roman" w:eastAsia="Times New Roman" w:hAnsi="Times New Roman" w:cs="Times New Roman"/>
          <w:color w:val="00000A"/>
        </w:rPr>
        <w:t>Within these forested landscapes are also found agroforestry systems</w:t>
      </w:r>
      <w:r w:rsidR="0055424C"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 xml:space="preserve">that is, </w:t>
      </w:r>
      <w:r w:rsidR="00917FB2">
        <w:rPr>
          <w:rFonts w:ascii="Times New Roman" w:eastAsia="Times New Roman" w:hAnsi="Times New Roman" w:cs="Times New Roman"/>
          <w:color w:val="00000A"/>
        </w:rPr>
        <w:t>land-use</w:t>
      </w:r>
      <w:r w:rsidRPr="009B0448">
        <w:rPr>
          <w:rFonts w:ascii="Times New Roman" w:eastAsia="Times New Roman" w:hAnsi="Times New Roman" w:cs="Times New Roman"/>
          <w:color w:val="00000A"/>
        </w:rPr>
        <w:t xml:space="preserve"> management systems in which trees or shrubs are grown around or among crops or pastureland. Agroforestry lands are the most widespread agricultural system in sub-Saharan Africa (Boffa</w:t>
      </w:r>
      <w:r w:rsidR="00136147"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 xml:space="preserve"> 2000; Garrity 2010). They include semi-domestic woody species of trees and shrubs that are neither planted nor cultivated but are vitally important. A remarkable example is the commonly known shea tree (karité in French), </w:t>
      </w:r>
      <w:r w:rsidRPr="009B0448">
        <w:rPr>
          <w:rFonts w:ascii="Times New Roman" w:eastAsia="Times New Roman" w:hAnsi="Times New Roman" w:cs="Times New Roman"/>
          <w:i/>
          <w:color w:val="00000A"/>
        </w:rPr>
        <w:t>Vitellaria paradoxa</w:t>
      </w:r>
      <w:r w:rsidRPr="009B0448">
        <w:rPr>
          <w:rFonts w:ascii="Times New Roman" w:eastAsia="Times New Roman" w:hAnsi="Times New Roman" w:cs="Times New Roman"/>
          <w:color w:val="00000A"/>
        </w:rPr>
        <w:t>, probably the most economically and culturally important tree species in all the Sudanian belt (Boffa, 2015). That region is the sole supplier of shea to the growing international market fuelled by the chocolate and cosmetic industries</w:t>
      </w:r>
      <w:r w:rsidR="005D27D8"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 xml:space="preserve"> although </w:t>
      </w:r>
      <w:r w:rsidR="002637DE" w:rsidRPr="009B0448">
        <w:rPr>
          <w:rFonts w:ascii="Times New Roman" w:eastAsia="Times New Roman" w:hAnsi="Times New Roman" w:cs="Times New Roman"/>
          <w:color w:val="00000A"/>
        </w:rPr>
        <w:t xml:space="preserve">shea </w:t>
      </w:r>
      <w:r w:rsidRPr="009B0448">
        <w:rPr>
          <w:rFonts w:ascii="Times New Roman" w:eastAsia="Times New Roman" w:hAnsi="Times New Roman" w:cs="Times New Roman"/>
          <w:color w:val="00000A"/>
        </w:rPr>
        <w:t xml:space="preserve">is still </w:t>
      </w:r>
      <w:r w:rsidR="005D27D8" w:rsidRPr="009B0448">
        <w:rPr>
          <w:rFonts w:ascii="Times New Roman" w:eastAsia="Times New Roman" w:hAnsi="Times New Roman" w:cs="Times New Roman"/>
          <w:color w:val="00000A"/>
        </w:rPr>
        <w:t>produced and processed by smallholder farmers and entrepreneurs, many of them women</w:t>
      </w:r>
      <w:r w:rsidRPr="009B0448">
        <w:rPr>
          <w:rFonts w:ascii="Times New Roman" w:eastAsia="Times New Roman" w:hAnsi="Times New Roman" w:cs="Times New Roman"/>
          <w:color w:val="00000A"/>
        </w:rPr>
        <w:t xml:space="preserve">. </w:t>
      </w:r>
    </w:p>
    <w:p w14:paraId="6447D43A" w14:textId="77777777" w:rsidR="006B7655" w:rsidRPr="009B0448" w:rsidRDefault="006B7655" w:rsidP="00BB2416">
      <w:pPr>
        <w:spacing w:line="276" w:lineRule="auto"/>
        <w:jc w:val="both"/>
        <w:rPr>
          <w:rFonts w:ascii="Times New Roman" w:eastAsia="Times New Roman" w:hAnsi="Times New Roman" w:cs="Times New Roman"/>
          <w:color w:val="00000A"/>
        </w:rPr>
      </w:pPr>
    </w:p>
    <w:p w14:paraId="14D2AD89" w14:textId="23D4B7FB" w:rsidR="006B7655" w:rsidRPr="009B0448" w:rsidRDefault="00A8466E" w:rsidP="00BB2416">
      <w:pPr>
        <w:spacing w:line="276" w:lineRule="auto"/>
        <w:jc w:val="both"/>
        <w:rPr>
          <w:rFonts w:ascii="Times New Roman" w:eastAsia="Times New Roman" w:hAnsi="Times New Roman" w:cs="Times New Roman"/>
          <w:color w:val="212121"/>
        </w:rPr>
      </w:pPr>
      <w:r w:rsidRPr="009B0448">
        <w:rPr>
          <w:rFonts w:ascii="Times New Roman" w:eastAsia="Times New Roman" w:hAnsi="Times New Roman" w:cs="Times New Roman"/>
          <w:color w:val="00000A"/>
        </w:rPr>
        <w:t>The International Standard Industrial Classification of All Economic activities, revised and published by the UN Statistics Division, subsume forestry and fishing under agr</w:t>
      </w:r>
      <w:r w:rsidR="00F60A2D" w:rsidRPr="009B0448">
        <w:rPr>
          <w:rFonts w:ascii="Times New Roman" w:eastAsia="Times New Roman" w:hAnsi="Times New Roman" w:cs="Times New Roman"/>
          <w:color w:val="00000A"/>
        </w:rPr>
        <w:t>iculture and considers natural ‘</w:t>
      </w:r>
      <w:r w:rsidRPr="009B0448">
        <w:rPr>
          <w:rFonts w:ascii="Times New Roman" w:eastAsia="Times New Roman" w:hAnsi="Times New Roman" w:cs="Times New Roman"/>
          <w:color w:val="00000A"/>
        </w:rPr>
        <w:t>resources</w:t>
      </w:r>
      <w:r w:rsidR="00F60A2D"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 xml:space="preserve"> only within the f</w:t>
      </w:r>
      <w:r w:rsidR="00F60A2D" w:rsidRPr="009B0448">
        <w:rPr>
          <w:rFonts w:ascii="Times New Roman" w:eastAsia="Times New Roman" w:hAnsi="Times New Roman" w:cs="Times New Roman"/>
          <w:color w:val="00000A"/>
        </w:rPr>
        <w:t>rame of extractive industries (</w:t>
      </w:r>
      <w:r w:rsidRPr="009B0448">
        <w:rPr>
          <w:rFonts w:ascii="Times New Roman" w:eastAsia="Times New Roman" w:hAnsi="Times New Roman" w:cs="Times New Roman"/>
          <w:color w:val="00000A"/>
        </w:rPr>
        <w:t>mining and quarrying). That standard classification has sometimes hidden the potential and structural transformation needs of African forests. Currently, Africa is gaining limited economic benefits from its forests</w:t>
      </w:r>
      <w:r w:rsidR="000239D6" w:rsidRPr="009B0448">
        <w:rPr>
          <w:rFonts w:ascii="Times New Roman" w:eastAsia="Times New Roman" w:hAnsi="Times New Roman" w:cs="Times New Roman"/>
          <w:color w:val="00000A"/>
        </w:rPr>
        <w:t>, while, this</w:t>
      </w:r>
      <w:r w:rsidRPr="009B0448">
        <w:rPr>
          <w:rFonts w:ascii="Times New Roman" w:eastAsia="Times New Roman" w:hAnsi="Times New Roman" w:cs="Times New Roman"/>
          <w:color w:val="00000A"/>
        </w:rPr>
        <w:t xml:space="preserve"> natural capital </w:t>
      </w:r>
      <w:r w:rsidR="000239D6" w:rsidRPr="009B0448">
        <w:rPr>
          <w:rFonts w:ascii="Times New Roman" w:eastAsia="Times New Roman" w:hAnsi="Times New Roman" w:cs="Times New Roman"/>
          <w:color w:val="00000A"/>
        </w:rPr>
        <w:t xml:space="preserve">is </w:t>
      </w:r>
      <w:r w:rsidRPr="009B0448">
        <w:rPr>
          <w:rFonts w:ascii="Times New Roman" w:eastAsia="Times New Roman" w:hAnsi="Times New Roman" w:cs="Times New Roman"/>
          <w:color w:val="00000A"/>
        </w:rPr>
        <w:t xml:space="preserve">being depleted by </w:t>
      </w:r>
      <w:r w:rsidRPr="009B0448">
        <w:rPr>
          <w:rFonts w:ascii="Times New Roman" w:eastAsia="Times New Roman" w:hAnsi="Times New Roman" w:cs="Times New Roman"/>
          <w:color w:val="212121"/>
        </w:rPr>
        <w:t xml:space="preserve">deforestation, large-scale land acquisitions and extensive infrastructure developments (Nelson </w:t>
      </w:r>
      <w:r w:rsidR="000429F8" w:rsidRPr="009B0448">
        <w:rPr>
          <w:rFonts w:ascii="Times New Roman" w:eastAsia="Times New Roman" w:hAnsi="Times New Roman" w:cs="Times New Roman"/>
          <w:i/>
          <w:color w:val="212121"/>
        </w:rPr>
        <w:t>et al.</w:t>
      </w:r>
      <w:r w:rsidRPr="009B0448">
        <w:rPr>
          <w:rFonts w:ascii="Times New Roman" w:eastAsia="Times New Roman" w:hAnsi="Times New Roman" w:cs="Times New Roman"/>
          <w:color w:val="212121"/>
        </w:rPr>
        <w:t xml:space="preserve">, 2006). </w:t>
      </w:r>
    </w:p>
    <w:p w14:paraId="70AE3384" w14:textId="77777777" w:rsidR="00BB2416" w:rsidRPr="009B0448" w:rsidRDefault="00BB2416" w:rsidP="00BB2416">
      <w:pPr>
        <w:spacing w:line="276" w:lineRule="auto"/>
        <w:jc w:val="both"/>
        <w:rPr>
          <w:rFonts w:ascii="Times New Roman" w:eastAsia="Times New Roman" w:hAnsi="Times New Roman" w:cs="Times New Roman"/>
          <w:color w:val="212121"/>
        </w:rPr>
      </w:pPr>
    </w:p>
    <w:p w14:paraId="5B21A5A7" w14:textId="05DECEFE" w:rsidR="006B7655"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majority of African populations (62.7</w:t>
      </w:r>
      <w:r w:rsidR="004D219E" w:rsidRPr="009B0448">
        <w:rPr>
          <w:rFonts w:ascii="Times New Roman" w:eastAsia="Times New Roman" w:hAnsi="Times New Roman" w:cs="Times New Roman"/>
        </w:rPr>
        <w:t>% in sub-Saharan Africa, and 46.</w:t>
      </w:r>
      <w:r w:rsidRPr="009B0448">
        <w:rPr>
          <w:rFonts w:ascii="Times New Roman" w:eastAsia="Times New Roman" w:hAnsi="Times New Roman" w:cs="Times New Roman"/>
        </w:rPr>
        <w:t xml:space="preserve">3% in North Africa in 2010) still live in rural areas (World Bank, </w:t>
      </w:r>
      <w:r w:rsidR="005869A8" w:rsidRPr="009B0448">
        <w:rPr>
          <w:rFonts w:ascii="Times New Roman" w:eastAsia="Times New Roman" w:hAnsi="Times New Roman" w:cs="Times New Roman"/>
        </w:rPr>
        <w:t>2012a</w:t>
      </w:r>
      <w:r w:rsidRPr="009B0448">
        <w:rPr>
          <w:rFonts w:ascii="Times New Roman" w:eastAsia="Times New Roman" w:hAnsi="Times New Roman" w:cs="Times New Roman"/>
        </w:rPr>
        <w:t>)</w:t>
      </w:r>
      <w:r w:rsidR="00F555AE" w:rsidRPr="009B0448">
        <w:rPr>
          <w:rFonts w:ascii="Times New Roman" w:eastAsia="Times New Roman" w:hAnsi="Times New Roman" w:cs="Times New Roman"/>
        </w:rPr>
        <w:t>.</w:t>
      </w:r>
      <w:r w:rsidRPr="009B0448">
        <w:rPr>
          <w:rFonts w:ascii="Times New Roman" w:eastAsia="Times New Roman" w:hAnsi="Times New Roman" w:cs="Times New Roman"/>
        </w:rPr>
        <w:t xml:space="preserve"> </w:t>
      </w:r>
      <w:r w:rsidR="00F555AE" w:rsidRPr="009B0448">
        <w:rPr>
          <w:rFonts w:ascii="Times New Roman" w:eastAsia="Times New Roman" w:hAnsi="Times New Roman" w:cs="Times New Roman"/>
        </w:rPr>
        <w:t xml:space="preserve">They are </w:t>
      </w:r>
      <w:r w:rsidRPr="009B0448">
        <w:rPr>
          <w:rFonts w:ascii="Times New Roman" w:eastAsia="Times New Roman" w:hAnsi="Times New Roman" w:cs="Times New Roman"/>
        </w:rPr>
        <w:t>highly dependent on natural resources including fish, agroforestry, and forest products for their livelihoods. There are many cases across Africa that have demonstrated the role these resources play in providing various economic and social benefits, including improved dietary nutrition outcomes and economic and nutritional well</w:t>
      </w:r>
      <w:r w:rsidR="00FD3265" w:rsidRPr="009B0448">
        <w:rPr>
          <w:rFonts w:ascii="Times New Roman" w:eastAsia="Times New Roman" w:hAnsi="Times New Roman" w:cs="Times New Roman"/>
        </w:rPr>
        <w:t>-</w:t>
      </w:r>
      <w:r w:rsidRPr="009B0448">
        <w:rPr>
          <w:rFonts w:ascii="Times New Roman" w:eastAsia="Times New Roman" w:hAnsi="Times New Roman" w:cs="Times New Roman"/>
        </w:rPr>
        <w:t>being (</w:t>
      </w:r>
      <w:r w:rsidR="00F555AE" w:rsidRPr="009B0448">
        <w:rPr>
          <w:rFonts w:ascii="Times New Roman" w:eastAsia="Times New Roman" w:hAnsi="Times New Roman" w:cs="Times New Roman"/>
        </w:rPr>
        <w:t xml:space="preserve">Brashares </w:t>
      </w:r>
      <w:r w:rsidR="000429F8" w:rsidRPr="009B0448">
        <w:rPr>
          <w:rFonts w:ascii="Times New Roman" w:eastAsia="Times New Roman" w:hAnsi="Times New Roman" w:cs="Times New Roman"/>
          <w:i/>
        </w:rPr>
        <w:t>et al.</w:t>
      </w:r>
      <w:r w:rsidR="00F555AE" w:rsidRPr="009B0448">
        <w:rPr>
          <w:rFonts w:ascii="Times New Roman" w:eastAsia="Times New Roman" w:hAnsi="Times New Roman" w:cs="Times New Roman"/>
        </w:rPr>
        <w:t xml:space="preserve">, 2011; </w:t>
      </w:r>
      <w:r w:rsidRPr="009B0448">
        <w:rPr>
          <w:rFonts w:ascii="Times New Roman" w:eastAsia="Times New Roman" w:hAnsi="Times New Roman" w:cs="Times New Roman"/>
        </w:rPr>
        <w:t xml:space="preserve">Golden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w:t>
      </w:r>
      <w:r w:rsidR="00F555AE" w:rsidRPr="009B0448">
        <w:rPr>
          <w:rFonts w:ascii="Times New Roman" w:eastAsia="Times New Roman" w:hAnsi="Times New Roman" w:cs="Times New Roman"/>
        </w:rPr>
        <w:t xml:space="preserve">Johnson </w:t>
      </w:r>
      <w:r w:rsidR="000429F8" w:rsidRPr="009B0448">
        <w:rPr>
          <w:rFonts w:ascii="Times New Roman" w:eastAsia="Times New Roman" w:hAnsi="Times New Roman" w:cs="Times New Roman"/>
          <w:i/>
        </w:rPr>
        <w:t>et al.</w:t>
      </w:r>
      <w:r w:rsidR="00F555AE" w:rsidRPr="009B0448">
        <w:rPr>
          <w:rFonts w:ascii="Times New Roman" w:eastAsia="Times New Roman" w:hAnsi="Times New Roman" w:cs="Times New Roman"/>
        </w:rPr>
        <w:t xml:space="preserve">, 2013; Ickowitz </w:t>
      </w:r>
      <w:r w:rsidR="000429F8" w:rsidRPr="009B0448">
        <w:rPr>
          <w:rFonts w:ascii="Times New Roman" w:eastAsia="Times New Roman" w:hAnsi="Times New Roman" w:cs="Times New Roman"/>
          <w:i/>
        </w:rPr>
        <w:t>et al.</w:t>
      </w:r>
      <w:r w:rsidR="00F555AE" w:rsidRPr="009B0448">
        <w:rPr>
          <w:rFonts w:ascii="Times New Roman" w:eastAsia="Times New Roman" w:hAnsi="Times New Roman" w:cs="Times New Roman"/>
        </w:rPr>
        <w:t xml:space="preserve">, 2014; </w:t>
      </w:r>
      <w:r w:rsidRPr="009B0448">
        <w:rPr>
          <w:rFonts w:ascii="Times New Roman" w:eastAsia="Times New Roman" w:hAnsi="Times New Roman" w:cs="Times New Roman"/>
        </w:rPr>
        <w:t xml:space="preserve">Fa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Rowland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Promoting and restoring agro-forest landscapes and increasing forest cover (and the wild foods stored within) should be </w:t>
      </w:r>
      <w:r w:rsidR="00264EBF" w:rsidRPr="009B0448">
        <w:rPr>
          <w:rFonts w:ascii="Times New Roman" w:eastAsia="Times New Roman" w:hAnsi="Times New Roman" w:cs="Times New Roman"/>
        </w:rPr>
        <w:t>emphasis</w:t>
      </w:r>
      <w:r w:rsidRPr="009B0448">
        <w:rPr>
          <w:rFonts w:ascii="Times New Roman" w:eastAsia="Times New Roman" w:hAnsi="Times New Roman" w:cs="Times New Roman"/>
        </w:rPr>
        <w:t>ed for the protection of biodiversity as well as livelihood security.</w:t>
      </w:r>
    </w:p>
    <w:p w14:paraId="2BEDD2CD" w14:textId="77777777" w:rsidR="00BB2416" w:rsidRPr="009B0448" w:rsidRDefault="00BB2416" w:rsidP="00BB2416">
      <w:pPr>
        <w:spacing w:line="276" w:lineRule="auto"/>
        <w:jc w:val="both"/>
        <w:rPr>
          <w:rFonts w:ascii="Times New Roman" w:eastAsia="Times New Roman" w:hAnsi="Times New Roman" w:cs="Times New Roman"/>
        </w:rPr>
      </w:pPr>
    </w:p>
    <w:p w14:paraId="34DCDAA6" w14:textId="1F469568" w:rsidR="006B7655" w:rsidRPr="009B0448" w:rsidRDefault="00A8466E" w:rsidP="00BB2416">
      <w:pPr>
        <w:spacing w:line="276" w:lineRule="auto"/>
        <w:jc w:val="both"/>
        <w:rPr>
          <w:rFonts w:ascii="Times New Roman" w:eastAsia="Times New Roman" w:hAnsi="Times New Roman" w:cs="Times New Roman"/>
          <w:color w:val="00000A"/>
        </w:rPr>
      </w:pPr>
      <w:r w:rsidRPr="009B0448">
        <w:rPr>
          <w:rFonts w:ascii="Times New Roman" w:eastAsia="Times New Roman" w:hAnsi="Times New Roman" w:cs="Times New Roman"/>
          <w:color w:val="00000A"/>
        </w:rPr>
        <w:t>Most importantly, Africa is the only region that derives most of its forest timber value (65%) from primary forestry activities, such as logging and fuelwood collection. Other regions contribute 75% or more of their ec</w:t>
      </w:r>
      <w:r w:rsidR="00DD573E">
        <w:rPr>
          <w:rFonts w:ascii="Times New Roman" w:eastAsia="Times New Roman" w:hAnsi="Times New Roman" w:cs="Times New Roman"/>
          <w:color w:val="00000A"/>
        </w:rPr>
        <w:t>onomic forestry value from high-</w:t>
      </w:r>
      <w:r w:rsidRPr="009B0448">
        <w:rPr>
          <w:rFonts w:ascii="Times New Roman" w:eastAsia="Times New Roman" w:hAnsi="Times New Roman" w:cs="Times New Roman"/>
          <w:color w:val="00000A"/>
        </w:rPr>
        <w:t>value processing activities (</w:t>
      </w:r>
      <w:r w:rsidR="00F555AE" w:rsidRPr="009B0448">
        <w:rPr>
          <w:rFonts w:ascii="Times New Roman" w:eastAsia="Times New Roman" w:hAnsi="Times New Roman" w:cs="Times New Roman"/>
          <w:color w:val="00000A"/>
        </w:rPr>
        <w:t xml:space="preserve">Diaw, 2014; </w:t>
      </w:r>
      <w:r w:rsidRPr="009B0448">
        <w:rPr>
          <w:rFonts w:ascii="Times New Roman" w:eastAsia="Times New Roman" w:hAnsi="Times New Roman" w:cs="Times New Roman"/>
          <w:color w:val="00000A"/>
        </w:rPr>
        <w:t xml:space="preserve">FAO, 2014a). In addition, Africa has a large and extraordinarily diversified pool of non-timber forest products (NTFPs). Unfortunately, African NTFPs value chains, though essential to the income and livelihood of millions of Africans and, indeed, to their very history and culture, are still vastly underreported and misunderstood (Diaw, 2015). Currently, the global income from NTFPs is estimated to be around </w:t>
      </w:r>
      <w:r w:rsidR="008C0F38"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88 billion (FAO, 2014a), with Africa representing just 6% of the total. But those estimates are not only underestimated, they are also uniquely based o</w:t>
      </w:r>
      <w:r w:rsidR="0034758B" w:rsidRPr="009B0448">
        <w:rPr>
          <w:rFonts w:ascii="Times New Roman" w:eastAsia="Times New Roman" w:hAnsi="Times New Roman" w:cs="Times New Roman"/>
          <w:color w:val="00000A"/>
        </w:rPr>
        <w:t>n</w:t>
      </w:r>
      <w:r w:rsidRPr="009B0448">
        <w:rPr>
          <w:rFonts w:ascii="Times New Roman" w:eastAsia="Times New Roman" w:hAnsi="Times New Roman" w:cs="Times New Roman"/>
          <w:color w:val="00000A"/>
        </w:rPr>
        <w:t xml:space="preserve"> primary NTFPs production, ignoring the considerable potential for downstream NTFPs processing and value addition in food, beverage, additives, nutraceutical, cosmetic and aromatic value chains. Paradoxically, this also reduces the agriculture and market diversification possibilities that would come with domestication and commercialisation of agroforest species taken from the wild to sustain the new industries. </w:t>
      </w:r>
    </w:p>
    <w:p w14:paraId="456E7C9B" w14:textId="77777777" w:rsidR="006B7655" w:rsidRPr="009B0448" w:rsidRDefault="00A8466E" w:rsidP="00FA7185">
      <w:pPr>
        <w:pStyle w:val="111"/>
        <w:numPr>
          <w:ilvl w:val="4"/>
          <w:numId w:val="10"/>
        </w:numPr>
        <w:spacing w:before="240" w:after="240"/>
        <w:ind w:left="851" w:hanging="862"/>
        <w:rPr>
          <w:rFonts w:cs="Times New Roman"/>
          <w:b w:val="0"/>
          <w:sz w:val="22"/>
          <w:szCs w:val="22"/>
        </w:rPr>
      </w:pPr>
      <w:bookmarkStart w:id="26" w:name="_Toc519499776"/>
      <w:r w:rsidRPr="009B0448">
        <w:rPr>
          <w:rFonts w:cs="Times New Roman"/>
          <w:b w:val="0"/>
          <w:sz w:val="22"/>
          <w:szCs w:val="22"/>
        </w:rPr>
        <w:lastRenderedPageBreak/>
        <w:t>Marine fisheries</w:t>
      </w:r>
      <w:bookmarkEnd w:id="26"/>
    </w:p>
    <w:p w14:paraId="6ACD4AD9" w14:textId="7C519B23" w:rsidR="006B7655"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African waters are reputed for the abundance of their fishery resources. The different sectors operating throughout Africa target 643 taxonomic groups. Over 280 taxa are exploited in the Mediterranean coast of Africa alone, with a clear dominance of small pelagic species such as sardines (</w:t>
      </w:r>
      <w:r w:rsidRPr="009B0448">
        <w:rPr>
          <w:rFonts w:ascii="Times New Roman" w:eastAsia="Times New Roman" w:hAnsi="Times New Roman" w:cs="Times New Roman"/>
          <w:i/>
        </w:rPr>
        <w:t>Sardina pilchardus</w:t>
      </w:r>
      <w:r w:rsidR="00EB3AD2" w:rsidRPr="009B0448">
        <w:rPr>
          <w:rFonts w:ascii="Times New Roman" w:eastAsia="Times New Roman" w:hAnsi="Times New Roman" w:cs="Times New Roman"/>
        </w:rPr>
        <w:t>, Least Concern</w:t>
      </w:r>
      <w:r w:rsidRPr="009B0448">
        <w:rPr>
          <w:rFonts w:ascii="Times New Roman" w:eastAsia="Times New Roman" w:hAnsi="Times New Roman" w:cs="Times New Roman"/>
        </w:rPr>
        <w:t>), sardinellas (</w:t>
      </w:r>
      <w:r w:rsidRPr="009B0448">
        <w:rPr>
          <w:rFonts w:ascii="Times New Roman" w:eastAsia="Times New Roman" w:hAnsi="Times New Roman" w:cs="Times New Roman"/>
          <w:i/>
        </w:rPr>
        <w:t>Sardinella</w:t>
      </w:r>
      <w:r w:rsidRPr="009B0448">
        <w:rPr>
          <w:rFonts w:ascii="Times New Roman" w:eastAsia="Times New Roman" w:hAnsi="Times New Roman" w:cs="Times New Roman"/>
        </w:rPr>
        <w:t xml:space="preserve"> spp.) and anchovies (</w:t>
      </w:r>
      <w:r w:rsidRPr="009B0448">
        <w:rPr>
          <w:rFonts w:ascii="Times New Roman" w:eastAsia="Times New Roman" w:hAnsi="Times New Roman" w:cs="Times New Roman"/>
          <w:i/>
        </w:rPr>
        <w:t>Engraulis encrasicolus</w:t>
      </w:r>
      <w:r w:rsidR="00EB3AD2" w:rsidRPr="009B0448">
        <w:rPr>
          <w:rFonts w:ascii="Times New Roman" w:eastAsia="Times New Roman" w:hAnsi="Times New Roman" w:cs="Times New Roman"/>
        </w:rPr>
        <w:t>, Least Concern</w:t>
      </w:r>
      <w:r w:rsidRPr="009B0448">
        <w:rPr>
          <w:rFonts w:ascii="Times New Roman" w:eastAsia="Times New Roman" w:hAnsi="Times New Roman" w:cs="Times New Roman"/>
        </w:rPr>
        <w:t xml:space="preserve">) (37%) (Belhabib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Three of the 6 large marine ecosystems (LMEs) of Africa rank within the first four most productive LMEs in the world, with the Canary Current, the Benguela Current and the Somali Coastal current ranking 2nd, 3rd and 4th globally (Rosenberg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 Not surprisingly, the fisheries of Africa provide a source of livelihood for 8 million active fishers and their families (</w:t>
      </w:r>
      <w:r w:rsidR="00E67FC2" w:rsidRPr="009B0448">
        <w:rPr>
          <w:rFonts w:ascii="Times New Roman" w:eastAsia="Times New Roman" w:hAnsi="Times New Roman" w:cs="Times New Roman"/>
        </w:rPr>
        <w:t xml:space="preserve">Teh </w:t>
      </w:r>
      <w:r w:rsidR="000429F8" w:rsidRPr="009B0448">
        <w:rPr>
          <w:rFonts w:ascii="Times New Roman" w:eastAsia="Times New Roman" w:hAnsi="Times New Roman" w:cs="Times New Roman"/>
          <w:i/>
        </w:rPr>
        <w:t>et al.</w:t>
      </w:r>
      <w:r w:rsidR="00E67FC2" w:rsidRPr="009B0448">
        <w:rPr>
          <w:rFonts w:ascii="Times New Roman" w:eastAsia="Times New Roman" w:hAnsi="Times New Roman" w:cs="Times New Roman"/>
        </w:rPr>
        <w:t xml:space="preserve">, 2013; </w:t>
      </w:r>
      <w:r w:rsidRPr="009B0448">
        <w:rPr>
          <w:rFonts w:ascii="Times New Roman" w:eastAsia="Times New Roman" w:hAnsi="Times New Roman" w:cs="Times New Roman"/>
        </w:rPr>
        <w:t xml:space="preserve">Belhabib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r w:rsidR="00F555AE" w:rsidRPr="009B0448">
        <w:rPr>
          <w:rFonts w:ascii="Times New Roman" w:eastAsia="Times New Roman" w:hAnsi="Times New Roman" w:cs="Times New Roman"/>
        </w:rPr>
        <w:t>a</w:t>
      </w:r>
      <w:r w:rsidRPr="009B0448">
        <w:rPr>
          <w:rFonts w:ascii="Times New Roman" w:eastAsia="Times New Roman" w:hAnsi="Times New Roman" w:cs="Times New Roman"/>
        </w:rPr>
        <w:t xml:space="preserve">). If all catches were landed in Africa, African fisheries could contribute a landed value of $20 billion to national economies (Belhabib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with an additional $3.6 billion injected by the small-scale fishing sectors across the value chain (Dyck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Overall, in Africa, industrial fisheries are almost exclusively operated and controlled by foreign interests and their catches are rarely recorded. Monitoring efforts for the artisanal sector vary from good (based on comprehensive surveys) to non-existent. Subsistence and recreational fisheries are not monitored and in many cases, are simply assumed to be marginal. The artisanal sector, whose landed value reached $4 billion in 2010, is in decline since 2004 along with the industrial sector’s catch, despite an increasing fishing effort. Illegal fishing and intense under-reporting (52%) of the total catch are exacerbated by the lack of governance, high corruption, and little transparency on fishing agreements (Belhabib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r w:rsidR="00F555AE" w:rsidRPr="009B0448">
        <w:rPr>
          <w:rFonts w:ascii="Times New Roman" w:eastAsia="Times New Roman" w:hAnsi="Times New Roman" w:cs="Times New Roman"/>
        </w:rPr>
        <w:t>b</w:t>
      </w:r>
      <w:r w:rsidRPr="009B0448">
        <w:rPr>
          <w:rFonts w:ascii="Times New Roman" w:eastAsia="Times New Roman" w:hAnsi="Times New Roman" w:cs="Times New Roman"/>
        </w:rPr>
        <w:t>). However, positive patterns can be observed in community</w:t>
      </w:r>
      <w:r w:rsidR="00DD573E">
        <w:rPr>
          <w:rFonts w:ascii="Times New Roman" w:eastAsia="Times New Roman" w:hAnsi="Times New Roman" w:cs="Times New Roman"/>
        </w:rPr>
        <w:t>-</w:t>
      </w:r>
      <w:r w:rsidRPr="009B0448">
        <w:rPr>
          <w:rFonts w:ascii="Times New Roman" w:eastAsia="Times New Roman" w:hAnsi="Times New Roman" w:cs="Times New Roman"/>
        </w:rPr>
        <w:t>based management successes, particularly through an increasing network of Marine Protected Areas, which currently covers 22% of Africa’s inshore areas, as well as initiatives to combat illegal fishing such as Fish-i Africa</w:t>
      </w:r>
      <w:r w:rsidR="00292D18" w:rsidRPr="009B0448">
        <w:rPr>
          <w:rFonts w:ascii="Times New Roman" w:eastAsia="Times New Roman" w:hAnsi="Times New Roman" w:cs="Times New Roman"/>
        </w:rPr>
        <w:t xml:space="preserve"> (</w:t>
      </w:r>
      <w:hyperlink r:id="rId32" w:history="1">
        <w:r w:rsidR="00292D18" w:rsidRPr="009B0448">
          <w:rPr>
            <w:rStyle w:val="Hyperlink"/>
            <w:rFonts w:ascii="Times New Roman" w:eastAsia="Times New Roman" w:hAnsi="Times New Roman" w:cs="Times New Roman"/>
          </w:rPr>
          <w:t>https://nfds.info/experience/fish-i-africa/</w:t>
        </w:r>
      </w:hyperlink>
      <w:r w:rsidR="00292D18" w:rsidRPr="009B0448">
        <w:rPr>
          <w:rFonts w:ascii="Times New Roman" w:eastAsia="Times New Roman" w:hAnsi="Times New Roman" w:cs="Times New Roman"/>
        </w:rPr>
        <w:t>)</w:t>
      </w:r>
      <w:r w:rsidRPr="009B0448">
        <w:rPr>
          <w:rFonts w:ascii="Times New Roman" w:eastAsia="Times New Roman" w:hAnsi="Times New Roman" w:cs="Times New Roman"/>
        </w:rPr>
        <w:t xml:space="preserve"> and Oceans Beyond Piracy</w:t>
      </w:r>
      <w:r w:rsidR="00292D18" w:rsidRPr="009B0448">
        <w:rPr>
          <w:rFonts w:ascii="Times New Roman" w:eastAsia="Times New Roman" w:hAnsi="Times New Roman" w:cs="Times New Roman"/>
        </w:rPr>
        <w:t xml:space="preserve"> (</w:t>
      </w:r>
      <w:hyperlink r:id="rId33" w:history="1">
        <w:r w:rsidR="00292D18" w:rsidRPr="009B0448">
          <w:rPr>
            <w:rStyle w:val="Hyperlink"/>
            <w:rFonts w:ascii="Times New Roman" w:eastAsia="Times New Roman" w:hAnsi="Times New Roman" w:cs="Times New Roman"/>
          </w:rPr>
          <w:t>https://oceansbeyondpiracy.org/</w:t>
        </w:r>
      </w:hyperlink>
      <w:r w:rsidR="00292D18" w:rsidRPr="009B0448">
        <w:rPr>
          <w:rFonts w:ascii="Times New Roman" w:eastAsia="Times New Roman" w:hAnsi="Times New Roman" w:cs="Times New Roman"/>
        </w:rPr>
        <w:t>)</w:t>
      </w:r>
      <w:r w:rsidRPr="009B0448">
        <w:rPr>
          <w:rFonts w:ascii="Times New Roman" w:eastAsia="Times New Roman" w:hAnsi="Times New Roman" w:cs="Times New Roman"/>
        </w:rPr>
        <w:t xml:space="preserve">. In addition, aid that focuses on policy development should work hand in hand with communities to integrate all dimensions of traditional knowledge and management techniques. The </w:t>
      </w:r>
      <w:r w:rsidR="009C5B85" w:rsidRPr="009B0448">
        <w:rPr>
          <w:rFonts w:ascii="Times New Roman" w:eastAsia="Times New Roman" w:hAnsi="Times New Roman" w:cs="Times New Roman"/>
        </w:rPr>
        <w:t>‘South West Indian Ocean Fisheries Governance and Shared Growth Project’</w:t>
      </w:r>
      <w:r w:rsidRPr="009B0448">
        <w:rPr>
          <w:rFonts w:ascii="Times New Roman" w:eastAsia="Times New Roman" w:hAnsi="Times New Roman" w:cs="Times New Roman"/>
        </w:rPr>
        <w:t xml:space="preserve"> is implementing this strategy in several African countries (Tanzania, Zanzibar, Mauritius, Madagascar, Seychelles) in the South Western Indian Ocean, supported by the World Bank with $150 million based on the economy of high value local fisheries (World Bank, 2015b). </w:t>
      </w:r>
    </w:p>
    <w:p w14:paraId="4065DD69" w14:textId="77777777" w:rsidR="00BB2416" w:rsidRPr="009B0448" w:rsidRDefault="00BB2416" w:rsidP="00BB2416">
      <w:pPr>
        <w:spacing w:line="276" w:lineRule="auto"/>
        <w:jc w:val="both"/>
        <w:rPr>
          <w:rFonts w:ascii="Times New Roman" w:hAnsi="Times New Roman" w:cs="Times New Roman"/>
        </w:rPr>
      </w:pPr>
    </w:p>
    <w:p w14:paraId="580AB0C9" w14:textId="73137D3E" w:rsidR="006B7655"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Unsustainable practices such as by-catch discarding are responsible for around 20% of catch loss. Catch rate declines (Belhabib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indicate unsustainable levels of fishing. Indeed, of the 14 most targeted fish stocks, 10 are fully or overfished, including stocks of sardines, anchovies and other small pelagics (FAO, 2015). Increasing fishing subsidies and the effects of the Arab spring have impacted on fisheries as illegal fishing increased, particularly by boats from the EU and Korea targeting tunas and billfishes (Belhabib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Many countries have also been affected by coup d’états, civil wars, and, more recently, epidemic outbreaks, which leaves the region highly exposed to illegal fishing, and constrains small-scale fisheries to grow in size and expand their geographic and time ranges (Belhabib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r w:rsidR="00F555AE" w:rsidRPr="009B0448">
        <w:rPr>
          <w:rFonts w:ascii="Times New Roman" w:eastAsia="Times New Roman" w:hAnsi="Times New Roman" w:cs="Times New Roman"/>
        </w:rPr>
        <w:t>c</w:t>
      </w:r>
      <w:r w:rsidRPr="009B0448">
        <w:rPr>
          <w:rFonts w:ascii="Times New Roman" w:eastAsia="Times New Roman" w:hAnsi="Times New Roman" w:cs="Times New Roman"/>
        </w:rPr>
        <w:t xml:space="preserve">). Increasing fishing range, and hence fuel usage has contributed to increasing fishing costs and deepening the poverty trench. For instance, 143,000 artisanal fishers in the Canary Current LME find themselves with an average daily income of </w:t>
      </w:r>
      <w:r w:rsidR="008C0F38" w:rsidRPr="009B0448">
        <w:rPr>
          <w:rFonts w:ascii="Times New Roman" w:eastAsia="Times New Roman" w:hAnsi="Times New Roman" w:cs="Times New Roman"/>
        </w:rPr>
        <w:t>$</w:t>
      </w:r>
      <w:r w:rsidRPr="009B0448">
        <w:rPr>
          <w:rFonts w:ascii="Times New Roman" w:eastAsia="Times New Roman" w:hAnsi="Times New Roman" w:cs="Times New Roman"/>
        </w:rPr>
        <w:t xml:space="preserve">13 (Belhabib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r w:rsidR="00F555AE" w:rsidRPr="009B0448">
        <w:rPr>
          <w:rFonts w:ascii="Times New Roman" w:eastAsia="Times New Roman" w:hAnsi="Times New Roman" w:cs="Times New Roman"/>
        </w:rPr>
        <w:t>b</w:t>
      </w:r>
      <w:r w:rsidRPr="009B0448">
        <w:rPr>
          <w:rFonts w:ascii="Times New Roman" w:eastAsia="Times New Roman" w:hAnsi="Times New Roman" w:cs="Times New Roman"/>
        </w:rPr>
        <w:t>). The same pattern is observed in the Guinea Current L</w:t>
      </w:r>
      <w:r w:rsidR="00F555AE" w:rsidRPr="009B0448">
        <w:rPr>
          <w:rFonts w:ascii="Times New Roman" w:eastAsia="Times New Roman" w:hAnsi="Times New Roman" w:cs="Times New Roman"/>
        </w:rPr>
        <w:t>arge Marine Ecosystem</w:t>
      </w:r>
      <w:r w:rsidRPr="009B0448">
        <w:rPr>
          <w:rFonts w:ascii="Times New Roman" w:eastAsia="Times New Roman" w:hAnsi="Times New Roman" w:cs="Times New Roman"/>
        </w:rPr>
        <w:t xml:space="preserve"> with an even higher poverty rate within fishing communities and a daily income of $6.1 on average for over 610,000 artisanal fishers (Belhabib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r w:rsidR="00F555AE" w:rsidRPr="009B0448">
        <w:rPr>
          <w:rFonts w:ascii="Times New Roman" w:eastAsia="Times New Roman" w:hAnsi="Times New Roman" w:cs="Times New Roman"/>
        </w:rPr>
        <w:t>b</w:t>
      </w:r>
      <w:r w:rsidRPr="009B0448">
        <w:rPr>
          <w:rFonts w:ascii="Times New Roman" w:eastAsia="Times New Roman" w:hAnsi="Times New Roman" w:cs="Times New Roman"/>
        </w:rPr>
        <w:t>). In South Africa alone, some 700,000 recreational fishers target over 200 species and caught 5,200 t</w:t>
      </w:r>
      <w:r w:rsidR="004D219E" w:rsidRPr="009B0448">
        <w:rPr>
          <w:rFonts w:ascii="Times New Roman" w:eastAsia="Times New Roman" w:hAnsi="Times New Roman" w:cs="Times New Roman"/>
        </w:rPr>
        <w:t>ons</w:t>
      </w:r>
      <w:r w:rsidRPr="009B0448">
        <w:rPr>
          <w:rFonts w:ascii="Times New Roman" w:eastAsia="Times New Roman" w:hAnsi="Times New Roman" w:cs="Times New Roman"/>
        </w:rPr>
        <w:t xml:space="preserve"> in 2010 (Le Manach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 which i</w:t>
      </w:r>
      <w:r w:rsidR="009C5B85" w:rsidRPr="009B0448">
        <w:rPr>
          <w:rFonts w:ascii="Times New Roman" w:eastAsia="Times New Roman" w:hAnsi="Times New Roman" w:cs="Times New Roman"/>
        </w:rPr>
        <w:t>s the equivalent of $79 million</w:t>
      </w:r>
      <w:r w:rsidRPr="009B0448">
        <w:rPr>
          <w:rFonts w:ascii="Times New Roman" w:eastAsia="Times New Roman" w:hAnsi="Times New Roman" w:cs="Times New Roman"/>
        </w:rPr>
        <w:t>. Despite improved reporting in Madagascar, over-exploitation and illegal fishing fleets that catch over 70,000 t</w:t>
      </w:r>
      <w:r w:rsidR="00E67FC2" w:rsidRPr="009B0448">
        <w:rPr>
          <w:rFonts w:ascii="Times New Roman" w:eastAsia="Times New Roman" w:hAnsi="Times New Roman" w:cs="Times New Roman"/>
        </w:rPr>
        <w:t>ons</w:t>
      </w:r>
      <w:r w:rsidRPr="009B0448">
        <w:rPr>
          <w:rFonts w:ascii="Times New Roman" w:eastAsia="Times New Roman" w:hAnsi="Times New Roman" w:cs="Times New Roman"/>
        </w:rPr>
        <w:t xml:space="preserve"> per year threaten the livelihood of some 120,000 Malagasy small-scale fishers (Le Manach,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a trend </w:t>
      </w:r>
      <w:r w:rsidRPr="009B0448">
        <w:rPr>
          <w:rFonts w:ascii="Times New Roman" w:eastAsia="Times New Roman" w:hAnsi="Times New Roman" w:cs="Times New Roman"/>
        </w:rPr>
        <w:lastRenderedPageBreak/>
        <w:t xml:space="preserve">that is similar to their counterparts in West Africa (Belhabib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r w:rsidR="00F555AE" w:rsidRPr="009B0448">
        <w:rPr>
          <w:rFonts w:ascii="Times New Roman" w:eastAsia="Times New Roman" w:hAnsi="Times New Roman" w:cs="Times New Roman"/>
        </w:rPr>
        <w:t>b</w:t>
      </w:r>
      <w:r w:rsidRPr="009B0448">
        <w:rPr>
          <w:rFonts w:ascii="Times New Roman" w:eastAsia="Times New Roman" w:hAnsi="Times New Roman" w:cs="Times New Roman"/>
        </w:rPr>
        <w:t xml:space="preserve">). Similarly, small-scale artisanal and subsistence fisheries in Comoros (80% of the total catch), also noted a major decline in fish abundance and size (Le Manach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p>
    <w:p w14:paraId="7DA1D5CD" w14:textId="77777777" w:rsidR="00BB2416" w:rsidRPr="009B0448" w:rsidRDefault="00BB2416" w:rsidP="00BB2416">
      <w:pPr>
        <w:spacing w:line="276" w:lineRule="auto"/>
        <w:jc w:val="both"/>
        <w:rPr>
          <w:rFonts w:ascii="Times New Roman" w:eastAsia="Times New Roman" w:hAnsi="Times New Roman" w:cs="Times New Roman"/>
        </w:rPr>
      </w:pPr>
    </w:p>
    <w:p w14:paraId="49597D11" w14:textId="69B807A4" w:rsidR="009C5B85"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2011, the contribution of inland and marine fisheries to national and agriculture Gross Domestic Products (GDPs) and the employment generated was estimated at more than </w:t>
      </w:r>
      <w:r w:rsidR="008C0F38" w:rsidRPr="009B0448">
        <w:rPr>
          <w:rFonts w:ascii="Times New Roman" w:eastAsia="Times New Roman" w:hAnsi="Times New Roman" w:cs="Times New Roman"/>
        </w:rPr>
        <w:t>$</w:t>
      </w:r>
      <w:r w:rsidRPr="009B0448">
        <w:rPr>
          <w:rFonts w:ascii="Times New Roman" w:eastAsia="Times New Roman" w:hAnsi="Times New Roman" w:cs="Times New Roman"/>
        </w:rPr>
        <w:t xml:space="preserve">24 billion, 1.26% of the GDP of all African countries. It includes marine capture fisheries, post-harvest, licensing of local fleets, and aquaculture. (De Graaf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 According to data presented in The State of World Aquaculture and Fisheries 2014 (FAO, 2014b), in 201</w:t>
      </w:r>
      <w:r w:rsidR="00F05BF3" w:rsidRPr="009B0448">
        <w:rPr>
          <w:rFonts w:ascii="Times New Roman" w:eastAsia="Times New Roman" w:hAnsi="Times New Roman" w:cs="Times New Roman"/>
        </w:rPr>
        <w:t>4</w:t>
      </w:r>
      <w:r w:rsidRPr="009B0448">
        <w:rPr>
          <w:rFonts w:ascii="Times New Roman" w:eastAsia="Times New Roman" w:hAnsi="Times New Roman" w:cs="Times New Roman"/>
        </w:rPr>
        <w:t xml:space="preserve"> there were about 5.9 million fishers and f</w:t>
      </w:r>
      <w:r w:rsidR="00F555AE" w:rsidRPr="009B0448">
        <w:rPr>
          <w:rFonts w:ascii="Times New Roman" w:eastAsia="Times New Roman" w:hAnsi="Times New Roman" w:cs="Times New Roman"/>
        </w:rPr>
        <w:t>ish farmers in Africa (Table 1.3</w:t>
      </w:r>
      <w:r w:rsidRPr="009B0448">
        <w:rPr>
          <w:rFonts w:ascii="Times New Roman" w:eastAsia="Times New Roman" w:hAnsi="Times New Roman" w:cs="Times New Roman"/>
        </w:rPr>
        <w:t xml:space="preserve">) but this figure does not include employment in post-harvest activities. </w:t>
      </w:r>
    </w:p>
    <w:p w14:paraId="58397904" w14:textId="77777777" w:rsidR="009C5B85" w:rsidRPr="009B0448" w:rsidRDefault="009C5B85" w:rsidP="00BB2416">
      <w:pPr>
        <w:spacing w:line="276" w:lineRule="auto"/>
        <w:jc w:val="both"/>
        <w:rPr>
          <w:rFonts w:ascii="Times New Roman" w:eastAsia="Times New Roman" w:hAnsi="Times New Roman" w:cs="Times New Roman"/>
        </w:rPr>
      </w:pPr>
    </w:p>
    <w:p w14:paraId="452B4327" w14:textId="106C230F" w:rsidR="006B7655" w:rsidRPr="009B0448" w:rsidRDefault="00A8466E" w:rsidP="002A3383">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Table 1.</w:t>
      </w:r>
      <w:r w:rsidR="00A74555" w:rsidRPr="009B0448">
        <w:rPr>
          <w:rFonts w:ascii="Times New Roman" w:eastAsia="Times New Roman" w:hAnsi="Times New Roman" w:cs="Times New Roman"/>
          <w:b/>
        </w:rPr>
        <w:t>3</w:t>
      </w:r>
      <w:r w:rsidRPr="009B0448">
        <w:rPr>
          <w:rFonts w:ascii="Times New Roman" w:eastAsia="Times New Roman" w:hAnsi="Times New Roman" w:cs="Times New Roman"/>
          <w:b/>
        </w:rPr>
        <w:t>:</w:t>
      </w:r>
      <w:r w:rsidRPr="009B0448">
        <w:rPr>
          <w:rFonts w:ascii="Times New Roman" w:eastAsia="Times New Roman" w:hAnsi="Times New Roman" w:cs="Times New Roman"/>
        </w:rPr>
        <w:t xml:space="preserve"> </w:t>
      </w:r>
      <w:r w:rsidR="009D085F" w:rsidRPr="009B0448">
        <w:rPr>
          <w:rFonts w:ascii="Times New Roman" w:eastAsia="Times New Roman" w:hAnsi="Times New Roman" w:cs="Times New Roman"/>
        </w:rPr>
        <w:t>Number of fishers and fish farms in Africa (in thousands). Sources: FAO (2014b, 2016).</w:t>
      </w:r>
    </w:p>
    <w:tbl>
      <w:tblPr>
        <w:tblStyle w:val="GridTable4-Accent31"/>
        <w:tblW w:w="9072" w:type="dxa"/>
        <w:tblLook w:val="04A0" w:firstRow="1" w:lastRow="0" w:firstColumn="1" w:lastColumn="0" w:noHBand="0" w:noVBand="1"/>
      </w:tblPr>
      <w:tblGrid>
        <w:gridCol w:w="1560"/>
        <w:gridCol w:w="1073"/>
        <w:gridCol w:w="1073"/>
        <w:gridCol w:w="1073"/>
        <w:gridCol w:w="1073"/>
        <w:gridCol w:w="1073"/>
        <w:gridCol w:w="1073"/>
        <w:gridCol w:w="1074"/>
      </w:tblGrid>
      <w:tr w:rsidR="00F05BF3" w:rsidRPr="009B0448" w14:paraId="103C7DA3" w14:textId="77777777" w:rsidTr="007A3CF0">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60" w:type="dxa"/>
            <w:hideMark/>
          </w:tcPr>
          <w:p w14:paraId="60516B8C" w14:textId="74248F89" w:rsidR="00F05BF3" w:rsidRPr="009B0448" w:rsidRDefault="00F05BF3" w:rsidP="00F83B61">
            <w:pPr>
              <w:jc w:val="both"/>
              <w:rPr>
                <w:rFonts w:ascii="Times New Roman" w:eastAsia="Times New Roman" w:hAnsi="Times New Roman" w:cs="Times New Roman"/>
                <w:color w:val="76923C"/>
                <w:lang w:val="en-ZA"/>
              </w:rPr>
            </w:pPr>
          </w:p>
        </w:tc>
        <w:tc>
          <w:tcPr>
            <w:tcW w:w="1073" w:type="dxa"/>
            <w:hideMark/>
          </w:tcPr>
          <w:p w14:paraId="2E97C4B5" w14:textId="77777777" w:rsidR="00F05BF3" w:rsidRPr="009B0448" w:rsidRDefault="00F05BF3" w:rsidP="00F83B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A"/>
              </w:rPr>
            </w:pPr>
            <w:r w:rsidRPr="009B0448">
              <w:rPr>
                <w:rFonts w:ascii="Times New Roman" w:hAnsi="Times New Roman" w:cs="Times New Roman"/>
                <w:b w:val="0"/>
                <w:bCs w:val="0"/>
                <w:color w:val="00000A"/>
              </w:rPr>
              <w:t>2000</w:t>
            </w:r>
          </w:p>
        </w:tc>
        <w:tc>
          <w:tcPr>
            <w:tcW w:w="1073" w:type="dxa"/>
            <w:hideMark/>
          </w:tcPr>
          <w:p w14:paraId="0F622E58" w14:textId="77777777" w:rsidR="00F05BF3" w:rsidRPr="009B0448" w:rsidRDefault="00F05BF3" w:rsidP="00F83B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A"/>
              </w:rPr>
            </w:pPr>
            <w:r w:rsidRPr="009B0448">
              <w:rPr>
                <w:rFonts w:ascii="Times New Roman" w:hAnsi="Times New Roman" w:cs="Times New Roman"/>
                <w:b w:val="0"/>
                <w:bCs w:val="0"/>
                <w:color w:val="00000A"/>
              </w:rPr>
              <w:t>2005</w:t>
            </w:r>
          </w:p>
        </w:tc>
        <w:tc>
          <w:tcPr>
            <w:tcW w:w="1073" w:type="dxa"/>
            <w:hideMark/>
          </w:tcPr>
          <w:p w14:paraId="4498B099" w14:textId="77777777" w:rsidR="00F05BF3" w:rsidRPr="009B0448" w:rsidRDefault="00F05BF3" w:rsidP="00F83B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A"/>
              </w:rPr>
            </w:pPr>
            <w:r w:rsidRPr="009B0448">
              <w:rPr>
                <w:rFonts w:ascii="Times New Roman" w:hAnsi="Times New Roman" w:cs="Times New Roman"/>
                <w:b w:val="0"/>
                <w:bCs w:val="0"/>
                <w:color w:val="00000A"/>
              </w:rPr>
              <w:t>2010</w:t>
            </w:r>
          </w:p>
        </w:tc>
        <w:tc>
          <w:tcPr>
            <w:tcW w:w="1073" w:type="dxa"/>
            <w:hideMark/>
          </w:tcPr>
          <w:p w14:paraId="30BBB420" w14:textId="77777777" w:rsidR="00F05BF3" w:rsidRPr="009B0448" w:rsidRDefault="00F05BF3" w:rsidP="00F83B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A"/>
              </w:rPr>
            </w:pPr>
            <w:r w:rsidRPr="009B0448">
              <w:rPr>
                <w:rFonts w:ascii="Times New Roman" w:hAnsi="Times New Roman" w:cs="Times New Roman"/>
                <w:b w:val="0"/>
                <w:bCs w:val="0"/>
                <w:color w:val="00000A"/>
              </w:rPr>
              <w:t>2011</w:t>
            </w:r>
          </w:p>
        </w:tc>
        <w:tc>
          <w:tcPr>
            <w:tcW w:w="1073" w:type="dxa"/>
            <w:hideMark/>
          </w:tcPr>
          <w:p w14:paraId="2BFA0199" w14:textId="77777777" w:rsidR="00F05BF3" w:rsidRPr="009B0448" w:rsidRDefault="00F05BF3" w:rsidP="00F83B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A"/>
              </w:rPr>
            </w:pPr>
            <w:r w:rsidRPr="009B0448">
              <w:rPr>
                <w:rFonts w:ascii="Times New Roman" w:hAnsi="Times New Roman" w:cs="Times New Roman"/>
                <w:b w:val="0"/>
                <w:bCs w:val="0"/>
                <w:color w:val="00000A"/>
              </w:rPr>
              <w:t>2012</w:t>
            </w:r>
          </w:p>
        </w:tc>
        <w:tc>
          <w:tcPr>
            <w:tcW w:w="1073" w:type="dxa"/>
            <w:hideMark/>
          </w:tcPr>
          <w:p w14:paraId="311C197C" w14:textId="77777777" w:rsidR="00F05BF3" w:rsidRPr="009B0448" w:rsidRDefault="00F05BF3" w:rsidP="00F83B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A"/>
              </w:rPr>
            </w:pPr>
            <w:r w:rsidRPr="009B0448">
              <w:rPr>
                <w:rFonts w:ascii="Times New Roman" w:hAnsi="Times New Roman" w:cs="Times New Roman"/>
                <w:b w:val="0"/>
                <w:bCs w:val="0"/>
                <w:color w:val="00000A"/>
              </w:rPr>
              <w:t>2013</w:t>
            </w:r>
          </w:p>
        </w:tc>
        <w:tc>
          <w:tcPr>
            <w:tcW w:w="1074" w:type="dxa"/>
            <w:hideMark/>
          </w:tcPr>
          <w:p w14:paraId="1E0A67CA" w14:textId="77777777" w:rsidR="00F05BF3" w:rsidRPr="009B0448" w:rsidRDefault="00F05BF3" w:rsidP="00F83B6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A"/>
              </w:rPr>
            </w:pPr>
            <w:r w:rsidRPr="009B0448">
              <w:rPr>
                <w:rFonts w:ascii="Times New Roman" w:hAnsi="Times New Roman" w:cs="Times New Roman"/>
                <w:b w:val="0"/>
                <w:bCs w:val="0"/>
                <w:color w:val="00000A"/>
              </w:rPr>
              <w:t>2014</w:t>
            </w:r>
          </w:p>
        </w:tc>
      </w:tr>
      <w:tr w:rsidR="00F05BF3" w:rsidRPr="009B0448" w14:paraId="4CCC1AAA" w14:textId="77777777" w:rsidTr="007A3CF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60" w:type="dxa"/>
            <w:hideMark/>
          </w:tcPr>
          <w:p w14:paraId="7BAC941A" w14:textId="77777777" w:rsidR="00F05BF3" w:rsidRPr="009B0448" w:rsidRDefault="00F05BF3" w:rsidP="00F83B61">
            <w:pPr>
              <w:jc w:val="both"/>
              <w:rPr>
                <w:rFonts w:ascii="Times New Roman" w:hAnsi="Times New Roman" w:cs="Times New Roman"/>
                <w:b w:val="0"/>
                <w:bCs w:val="0"/>
                <w:color w:val="00000A"/>
              </w:rPr>
            </w:pPr>
            <w:r w:rsidRPr="009B0448">
              <w:rPr>
                <w:rFonts w:ascii="Times New Roman" w:hAnsi="Times New Roman" w:cs="Times New Roman"/>
                <w:b w:val="0"/>
                <w:bCs w:val="0"/>
                <w:color w:val="00000A"/>
              </w:rPr>
              <w:t>Fishers</w:t>
            </w:r>
          </w:p>
        </w:tc>
        <w:tc>
          <w:tcPr>
            <w:tcW w:w="1073" w:type="dxa"/>
            <w:hideMark/>
          </w:tcPr>
          <w:p w14:paraId="26BAAB00"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4084</w:t>
            </w:r>
          </w:p>
        </w:tc>
        <w:tc>
          <w:tcPr>
            <w:tcW w:w="1073" w:type="dxa"/>
            <w:hideMark/>
          </w:tcPr>
          <w:p w14:paraId="623ED4B9"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4290</w:t>
            </w:r>
          </w:p>
        </w:tc>
        <w:tc>
          <w:tcPr>
            <w:tcW w:w="1073" w:type="dxa"/>
            <w:hideMark/>
          </w:tcPr>
          <w:p w14:paraId="1F73A01D"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4796</w:t>
            </w:r>
          </w:p>
        </w:tc>
        <w:tc>
          <w:tcPr>
            <w:tcW w:w="1073" w:type="dxa"/>
            <w:hideMark/>
          </w:tcPr>
          <w:p w14:paraId="31D24962"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4993</w:t>
            </w:r>
          </w:p>
        </w:tc>
        <w:tc>
          <w:tcPr>
            <w:tcW w:w="1073" w:type="dxa"/>
            <w:hideMark/>
          </w:tcPr>
          <w:p w14:paraId="6B560E10"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5587</w:t>
            </w:r>
          </w:p>
        </w:tc>
        <w:tc>
          <w:tcPr>
            <w:tcW w:w="1073" w:type="dxa"/>
            <w:hideMark/>
          </w:tcPr>
          <w:p w14:paraId="5F66775E"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6009</w:t>
            </w:r>
          </w:p>
        </w:tc>
        <w:tc>
          <w:tcPr>
            <w:tcW w:w="1074" w:type="dxa"/>
            <w:hideMark/>
          </w:tcPr>
          <w:p w14:paraId="78FE3F37"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5674</w:t>
            </w:r>
          </w:p>
        </w:tc>
      </w:tr>
      <w:tr w:rsidR="00F05BF3" w:rsidRPr="009B0448" w14:paraId="7910F343" w14:textId="77777777" w:rsidTr="007A3CF0">
        <w:trPr>
          <w:trHeight w:val="276"/>
        </w:trPr>
        <w:tc>
          <w:tcPr>
            <w:cnfStyle w:val="001000000000" w:firstRow="0" w:lastRow="0" w:firstColumn="1" w:lastColumn="0" w:oddVBand="0" w:evenVBand="0" w:oddHBand="0" w:evenHBand="0" w:firstRowFirstColumn="0" w:firstRowLastColumn="0" w:lastRowFirstColumn="0" w:lastRowLastColumn="0"/>
            <w:tcW w:w="1560" w:type="dxa"/>
            <w:hideMark/>
          </w:tcPr>
          <w:p w14:paraId="4D27C4FF" w14:textId="77777777" w:rsidR="00F05BF3" w:rsidRPr="009B0448" w:rsidRDefault="00F05BF3" w:rsidP="00F83B61">
            <w:pPr>
              <w:jc w:val="both"/>
              <w:rPr>
                <w:rFonts w:ascii="Times New Roman" w:hAnsi="Times New Roman" w:cs="Times New Roman"/>
                <w:b w:val="0"/>
                <w:bCs w:val="0"/>
                <w:color w:val="00000A"/>
              </w:rPr>
            </w:pPr>
            <w:r w:rsidRPr="009B0448">
              <w:rPr>
                <w:rFonts w:ascii="Times New Roman" w:hAnsi="Times New Roman" w:cs="Times New Roman"/>
                <w:b w:val="0"/>
                <w:bCs w:val="0"/>
                <w:color w:val="00000A"/>
              </w:rPr>
              <w:t>Fish Farmers</w:t>
            </w:r>
          </w:p>
        </w:tc>
        <w:tc>
          <w:tcPr>
            <w:tcW w:w="1073" w:type="dxa"/>
            <w:hideMark/>
          </w:tcPr>
          <w:p w14:paraId="09BD514B" w14:textId="77777777" w:rsidR="00F05BF3" w:rsidRPr="009B0448" w:rsidRDefault="00F05BF3" w:rsidP="00F83B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91</w:t>
            </w:r>
          </w:p>
        </w:tc>
        <w:tc>
          <w:tcPr>
            <w:tcW w:w="1073" w:type="dxa"/>
            <w:hideMark/>
          </w:tcPr>
          <w:p w14:paraId="3EE457E1" w14:textId="77777777" w:rsidR="00F05BF3" w:rsidRPr="009B0448" w:rsidRDefault="00F05BF3" w:rsidP="00F83B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140</w:t>
            </w:r>
          </w:p>
        </w:tc>
        <w:tc>
          <w:tcPr>
            <w:tcW w:w="1073" w:type="dxa"/>
            <w:hideMark/>
          </w:tcPr>
          <w:p w14:paraId="590C1DF7" w14:textId="77777777" w:rsidR="00F05BF3" w:rsidRPr="009B0448" w:rsidRDefault="00F05BF3" w:rsidP="00F83B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231</w:t>
            </w:r>
          </w:p>
        </w:tc>
        <w:tc>
          <w:tcPr>
            <w:tcW w:w="1073" w:type="dxa"/>
            <w:hideMark/>
          </w:tcPr>
          <w:p w14:paraId="40E674A8" w14:textId="77777777" w:rsidR="00F05BF3" w:rsidRPr="009B0448" w:rsidRDefault="00F05BF3" w:rsidP="00F83B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257</w:t>
            </w:r>
          </w:p>
        </w:tc>
        <w:tc>
          <w:tcPr>
            <w:tcW w:w="1073" w:type="dxa"/>
            <w:hideMark/>
          </w:tcPr>
          <w:p w14:paraId="64162865" w14:textId="77777777" w:rsidR="00F05BF3" w:rsidRPr="009B0448" w:rsidRDefault="00F05BF3" w:rsidP="00F83B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298</w:t>
            </w:r>
          </w:p>
        </w:tc>
        <w:tc>
          <w:tcPr>
            <w:tcW w:w="1073" w:type="dxa"/>
            <w:hideMark/>
          </w:tcPr>
          <w:p w14:paraId="4118A2F4" w14:textId="77777777" w:rsidR="00F05BF3" w:rsidRPr="009B0448" w:rsidRDefault="00F05BF3" w:rsidP="00F83B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279</w:t>
            </w:r>
          </w:p>
        </w:tc>
        <w:tc>
          <w:tcPr>
            <w:tcW w:w="1074" w:type="dxa"/>
            <w:hideMark/>
          </w:tcPr>
          <w:p w14:paraId="69303292" w14:textId="77777777" w:rsidR="00F05BF3" w:rsidRPr="009B0448" w:rsidRDefault="00F05BF3" w:rsidP="00F83B6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284</w:t>
            </w:r>
          </w:p>
        </w:tc>
      </w:tr>
      <w:tr w:rsidR="00F05BF3" w:rsidRPr="009B0448" w14:paraId="65A763AA" w14:textId="77777777" w:rsidTr="007A3CF0">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60" w:type="dxa"/>
            <w:hideMark/>
          </w:tcPr>
          <w:p w14:paraId="1A514495" w14:textId="77777777" w:rsidR="00F05BF3" w:rsidRPr="009B0448" w:rsidRDefault="00F05BF3" w:rsidP="00F83B61">
            <w:pPr>
              <w:jc w:val="both"/>
              <w:rPr>
                <w:rFonts w:ascii="Times New Roman" w:hAnsi="Times New Roman" w:cs="Times New Roman"/>
                <w:b w:val="0"/>
                <w:bCs w:val="0"/>
                <w:color w:val="00000A"/>
              </w:rPr>
            </w:pPr>
            <w:r w:rsidRPr="009B0448">
              <w:rPr>
                <w:rFonts w:ascii="Times New Roman" w:hAnsi="Times New Roman" w:cs="Times New Roman"/>
                <w:b w:val="0"/>
                <w:bCs w:val="0"/>
                <w:color w:val="00000A"/>
              </w:rPr>
              <w:t>Total</w:t>
            </w:r>
          </w:p>
        </w:tc>
        <w:tc>
          <w:tcPr>
            <w:tcW w:w="1073" w:type="dxa"/>
            <w:hideMark/>
          </w:tcPr>
          <w:p w14:paraId="3AC0C9B1"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4175</w:t>
            </w:r>
          </w:p>
        </w:tc>
        <w:tc>
          <w:tcPr>
            <w:tcW w:w="1073" w:type="dxa"/>
            <w:hideMark/>
          </w:tcPr>
          <w:p w14:paraId="110662AC"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4430</w:t>
            </w:r>
          </w:p>
        </w:tc>
        <w:tc>
          <w:tcPr>
            <w:tcW w:w="1073" w:type="dxa"/>
            <w:hideMark/>
          </w:tcPr>
          <w:p w14:paraId="3D040C05"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5027</w:t>
            </w:r>
          </w:p>
        </w:tc>
        <w:tc>
          <w:tcPr>
            <w:tcW w:w="1073" w:type="dxa"/>
            <w:hideMark/>
          </w:tcPr>
          <w:p w14:paraId="5F4DE3BF"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5250</w:t>
            </w:r>
          </w:p>
        </w:tc>
        <w:tc>
          <w:tcPr>
            <w:tcW w:w="1073" w:type="dxa"/>
            <w:hideMark/>
          </w:tcPr>
          <w:p w14:paraId="4A26FE9D"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5885</w:t>
            </w:r>
          </w:p>
        </w:tc>
        <w:tc>
          <w:tcPr>
            <w:tcW w:w="1073" w:type="dxa"/>
            <w:hideMark/>
          </w:tcPr>
          <w:p w14:paraId="550299E9"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6288</w:t>
            </w:r>
          </w:p>
        </w:tc>
        <w:tc>
          <w:tcPr>
            <w:tcW w:w="1074" w:type="dxa"/>
            <w:hideMark/>
          </w:tcPr>
          <w:p w14:paraId="5FD7676B" w14:textId="77777777" w:rsidR="00F05BF3" w:rsidRPr="009B0448" w:rsidRDefault="00F05BF3" w:rsidP="00F83B6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A"/>
              </w:rPr>
            </w:pPr>
            <w:r w:rsidRPr="009B0448">
              <w:rPr>
                <w:rFonts w:ascii="Times New Roman" w:hAnsi="Times New Roman" w:cs="Times New Roman"/>
                <w:color w:val="00000A"/>
              </w:rPr>
              <w:t>5958</w:t>
            </w:r>
          </w:p>
        </w:tc>
      </w:tr>
    </w:tbl>
    <w:p w14:paraId="1CC284EE" w14:textId="77777777" w:rsidR="006B7655" w:rsidRPr="009B0448" w:rsidRDefault="00A8466E" w:rsidP="00FA7185">
      <w:pPr>
        <w:pStyle w:val="111"/>
        <w:numPr>
          <w:ilvl w:val="4"/>
          <w:numId w:val="10"/>
        </w:numPr>
        <w:spacing w:before="240" w:after="240"/>
        <w:ind w:left="851" w:hanging="862"/>
        <w:rPr>
          <w:rFonts w:cs="Times New Roman"/>
          <w:b w:val="0"/>
          <w:sz w:val="22"/>
          <w:szCs w:val="22"/>
        </w:rPr>
      </w:pPr>
      <w:bookmarkStart w:id="27" w:name="_Toc519499777"/>
      <w:r w:rsidRPr="009B0448">
        <w:rPr>
          <w:rFonts w:cs="Times New Roman"/>
          <w:b w:val="0"/>
          <w:sz w:val="22"/>
          <w:szCs w:val="22"/>
        </w:rPr>
        <w:t>Freshwater fisheries</w:t>
      </w:r>
      <w:bookmarkEnd w:id="27"/>
    </w:p>
    <w:p w14:paraId="57DA9D8C" w14:textId="35F17534" w:rsidR="006B7655"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People living in rural inland fishing communities are often among the most vulnerable in developing countries. The classic view of a </w:t>
      </w:r>
      <w:r w:rsidRPr="009B0448">
        <w:rPr>
          <w:rFonts w:ascii="Times New Roman" w:eastAsia="Times New Roman" w:hAnsi="Times New Roman" w:cs="Times New Roman"/>
          <w:color w:val="auto"/>
        </w:rPr>
        <w:t>fishery</w:t>
      </w:r>
      <w:r w:rsidR="00DD573E">
        <w:rPr>
          <w:rFonts w:ascii="Times New Roman" w:eastAsia="Times New Roman" w:hAnsi="Times New Roman" w:cs="Times New Roman"/>
        </w:rPr>
        <w:t>—</w:t>
      </w:r>
      <w:r w:rsidRPr="009B0448">
        <w:rPr>
          <w:rFonts w:ascii="Times New Roman" w:eastAsia="Times New Roman" w:hAnsi="Times New Roman" w:cs="Times New Roman"/>
        </w:rPr>
        <w:t>including the fish resource and harvest systems</w:t>
      </w:r>
      <w:r w:rsidR="00DD573E">
        <w:rPr>
          <w:rFonts w:ascii="Times New Roman" w:eastAsia="Times New Roman" w:hAnsi="Times New Roman" w:cs="Times New Roman"/>
        </w:rPr>
        <w:t>—</w:t>
      </w:r>
      <w:r w:rsidRPr="009B0448">
        <w:rPr>
          <w:rFonts w:ascii="Times New Roman" w:eastAsia="Times New Roman" w:hAnsi="Times New Roman" w:cs="Times New Roman"/>
        </w:rPr>
        <w:t>brings discussion about improving well</w:t>
      </w:r>
      <w:r w:rsidR="00FD3265" w:rsidRPr="009B0448">
        <w:rPr>
          <w:rFonts w:ascii="Times New Roman" w:eastAsia="Times New Roman" w:hAnsi="Times New Roman" w:cs="Times New Roman"/>
        </w:rPr>
        <w:t>-</w:t>
      </w:r>
      <w:r w:rsidRPr="009B0448">
        <w:rPr>
          <w:rFonts w:ascii="Times New Roman" w:eastAsia="Times New Roman" w:hAnsi="Times New Roman" w:cs="Times New Roman"/>
        </w:rPr>
        <w:t xml:space="preserve">being in these communities directly to issues of reducing fishing pressure or harmful fishing practices, </w:t>
      </w:r>
      <w:r w:rsidR="00DD573E">
        <w:rPr>
          <w:rFonts w:ascii="Times New Roman" w:eastAsia="Times New Roman" w:hAnsi="Times New Roman" w:cs="Times New Roman"/>
        </w:rPr>
        <w:t>to</w:t>
      </w:r>
      <w:r w:rsidRPr="009B0448">
        <w:rPr>
          <w:rFonts w:ascii="Times New Roman" w:eastAsia="Times New Roman" w:hAnsi="Times New Roman" w:cs="Times New Roman"/>
        </w:rPr>
        <w:t xml:space="preserve"> managing resources in a way that </w:t>
      </w:r>
      <w:r w:rsidR="00E97437" w:rsidRPr="009B0448">
        <w:rPr>
          <w:rFonts w:ascii="Times New Roman" w:eastAsia="Times New Roman" w:hAnsi="Times New Roman" w:cs="Times New Roman"/>
        </w:rPr>
        <w:t>promotes sustainable use (WorldF</w:t>
      </w:r>
      <w:r w:rsidRPr="009B0448">
        <w:rPr>
          <w:rFonts w:ascii="Times New Roman" w:eastAsia="Times New Roman" w:hAnsi="Times New Roman" w:cs="Times New Roman"/>
        </w:rPr>
        <w:t>ish Center, 2010). Household vulnerability analysis in fishing communities in Nigeria and Mali revealed that, despite fishing being the primary livelihood, vulnerabilities related directly to the state of the fishery resource were ranked lower than those related to basic human needs, predominantly food insecurity and lack of access to health, education and credit services (World</w:t>
      </w:r>
      <w:r w:rsidR="00E97437" w:rsidRPr="009B0448">
        <w:rPr>
          <w:rFonts w:ascii="Times New Roman" w:eastAsia="Times New Roman" w:hAnsi="Times New Roman" w:cs="Times New Roman"/>
        </w:rPr>
        <w:t>F</w:t>
      </w:r>
      <w:r w:rsidRPr="009B0448">
        <w:rPr>
          <w:rFonts w:ascii="Times New Roman" w:eastAsia="Times New Roman" w:hAnsi="Times New Roman" w:cs="Times New Roman"/>
        </w:rPr>
        <w:t>ish Center, 2010).</w:t>
      </w:r>
    </w:p>
    <w:p w14:paraId="6B74F197" w14:textId="77777777" w:rsidR="00BB2416" w:rsidRPr="009B0448" w:rsidRDefault="00BB2416" w:rsidP="00BB2416">
      <w:pPr>
        <w:spacing w:line="276" w:lineRule="auto"/>
        <w:jc w:val="both"/>
        <w:rPr>
          <w:rFonts w:ascii="Times New Roman" w:eastAsia="Times New Roman" w:hAnsi="Times New Roman" w:cs="Times New Roman"/>
        </w:rPr>
      </w:pPr>
    </w:p>
    <w:p w14:paraId="78DAD5E7" w14:textId="3E97FAEE" w:rsidR="006B7655"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inland fisheries of the East Africa Community (EAC) Partner States of Kenya, Tanzania and Uganda are based predominantly on its major freshwater lakes, the most notable being Lake Victoria, the world’s second largest freshwater lake with an area of 68,800 km</w:t>
      </w:r>
      <w:r w:rsidRPr="009B0448">
        <w:rPr>
          <w:rFonts w:ascii="Times New Roman" w:eastAsia="Times New Roman" w:hAnsi="Times New Roman" w:cs="Times New Roman"/>
          <w:vertAlign w:val="superscript"/>
        </w:rPr>
        <w:t>2</w:t>
      </w:r>
      <w:r w:rsidRPr="009B0448">
        <w:rPr>
          <w:rFonts w:ascii="Times New Roman" w:eastAsia="Times New Roman" w:hAnsi="Times New Roman" w:cs="Times New Roman"/>
        </w:rPr>
        <w:t xml:space="preserve"> (Scullion, 2007). Inland fisheries contribute between 2</w:t>
      </w:r>
      <w:r w:rsidR="00F555AE" w:rsidRPr="009B0448">
        <w:rPr>
          <w:rFonts w:ascii="Times New Roman" w:eastAsia="Times New Roman" w:hAnsi="Times New Roman" w:cs="Times New Roman"/>
        </w:rPr>
        <w:t>–</w:t>
      </w:r>
      <w:r w:rsidRPr="009B0448">
        <w:rPr>
          <w:rFonts w:ascii="Times New Roman" w:eastAsia="Times New Roman" w:hAnsi="Times New Roman" w:cs="Times New Roman"/>
        </w:rPr>
        <w:t>12</w:t>
      </w:r>
      <w:r w:rsidRPr="00917FB2">
        <w:rPr>
          <w:rFonts w:ascii="Times New Roman" w:eastAsia="Times New Roman" w:hAnsi="Times New Roman" w:cs="Times New Roman"/>
        </w:rPr>
        <w:t>% o</w:t>
      </w:r>
      <w:r w:rsidRPr="009B0448">
        <w:rPr>
          <w:rFonts w:ascii="Times New Roman" w:eastAsia="Times New Roman" w:hAnsi="Times New Roman" w:cs="Times New Roman"/>
        </w:rPr>
        <w:t>f the GDP in each country and produce fish for domestic and export markets (Scullion, 2007). The value of the catch from Lake Victoria alone is estimated at $350 million at landing sites with a further $250 million generated by the export of Nile perch (Scullion, 2007). Other dominant fish species include Nile tilapia, a small indigenous cyprinid (</w:t>
      </w:r>
      <w:r w:rsidRPr="009B0448">
        <w:rPr>
          <w:rFonts w:ascii="Times New Roman" w:eastAsia="Times New Roman" w:hAnsi="Times New Roman" w:cs="Times New Roman"/>
          <w:i/>
        </w:rPr>
        <w:t>Rastrineobola argentea</w:t>
      </w:r>
      <w:r w:rsidR="00BC5A41" w:rsidRPr="009B0448">
        <w:rPr>
          <w:rFonts w:ascii="Times New Roman" w:eastAsia="Times New Roman" w:hAnsi="Times New Roman" w:cs="Times New Roman"/>
        </w:rPr>
        <w:t>, Least Concern</w:t>
      </w:r>
      <w:r w:rsidRPr="009B0448">
        <w:rPr>
          <w:rFonts w:ascii="Times New Roman" w:eastAsia="Times New Roman" w:hAnsi="Times New Roman" w:cs="Times New Roman"/>
        </w:rPr>
        <w:t>), as well as various types of catfish. These lake fisheries support the liveliho</w:t>
      </w:r>
      <w:r w:rsidR="003D3854">
        <w:rPr>
          <w:rFonts w:ascii="Times New Roman" w:eastAsia="Times New Roman" w:hAnsi="Times New Roman" w:cs="Times New Roman"/>
        </w:rPr>
        <w:t xml:space="preserve">ods of over 3 million people in </w:t>
      </w:r>
      <w:r w:rsidRPr="009B0448">
        <w:rPr>
          <w:rFonts w:ascii="Times New Roman" w:eastAsia="Times New Roman" w:hAnsi="Times New Roman" w:cs="Times New Roman"/>
        </w:rPr>
        <w:t>directly dependent households by provid</w:t>
      </w:r>
      <w:r w:rsidR="003D3854">
        <w:rPr>
          <w:rFonts w:ascii="Times New Roman" w:eastAsia="Times New Roman" w:hAnsi="Times New Roman" w:cs="Times New Roman"/>
        </w:rPr>
        <w:t>ing employment, income and high-</w:t>
      </w:r>
      <w:r w:rsidRPr="009B0448">
        <w:rPr>
          <w:rFonts w:ascii="Times New Roman" w:eastAsia="Times New Roman" w:hAnsi="Times New Roman" w:cs="Times New Roman"/>
        </w:rPr>
        <w:t xml:space="preserve">quality food in the form of nutrients and animal protein for millions of consumers in the region (Scullion, 2007). The transition from a centralised to participatory management approach has involved many different initiatives in East Africa in recent years, most of which have been small-scale and a few large-scale. The implementation of a system of co-management for inland fisheries in the </w:t>
      </w:r>
      <w:r w:rsidR="00F555AE" w:rsidRPr="009B0448">
        <w:rPr>
          <w:rFonts w:ascii="Times New Roman" w:eastAsia="Times New Roman" w:hAnsi="Times New Roman" w:cs="Times New Roman"/>
        </w:rPr>
        <w:t>East Africa Community</w:t>
      </w:r>
      <w:r w:rsidRPr="009B0448">
        <w:rPr>
          <w:rFonts w:ascii="Times New Roman" w:eastAsia="Times New Roman" w:hAnsi="Times New Roman" w:cs="Times New Roman"/>
        </w:rPr>
        <w:t xml:space="preserve"> aims to provide direct benefits for men and women fisheries resource users and their families who are dependent on fisheries for their livelihoods. </w:t>
      </w:r>
    </w:p>
    <w:p w14:paraId="7E4CFB25" w14:textId="2895C65B" w:rsidR="006B7655" w:rsidRPr="009B0448" w:rsidRDefault="00A8466E" w:rsidP="00FA7185">
      <w:pPr>
        <w:pStyle w:val="111"/>
        <w:numPr>
          <w:ilvl w:val="3"/>
          <w:numId w:val="10"/>
        </w:numPr>
        <w:spacing w:before="240" w:after="240"/>
        <w:ind w:left="851" w:hanging="862"/>
        <w:rPr>
          <w:rFonts w:cs="Times New Roman"/>
          <w:sz w:val="22"/>
          <w:szCs w:val="22"/>
        </w:rPr>
      </w:pPr>
      <w:bookmarkStart w:id="28" w:name="_Toc519499778"/>
      <w:r w:rsidRPr="009B0448">
        <w:rPr>
          <w:rFonts w:cs="Times New Roman"/>
          <w:sz w:val="22"/>
          <w:szCs w:val="22"/>
        </w:rPr>
        <w:t>Water in Africa</w:t>
      </w:r>
      <w:bookmarkEnd w:id="28"/>
    </w:p>
    <w:p w14:paraId="773592D2" w14:textId="630A9D17" w:rsidR="006B7655"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Water is vital for all life on Earth and therefore is one of nature's most important contributions to people. It is connected to the major sectors driving African economies</w:t>
      </w:r>
      <w:r w:rsidR="004D219E" w:rsidRPr="009B0448">
        <w:rPr>
          <w:rFonts w:ascii="Times New Roman" w:eastAsia="Times New Roman" w:hAnsi="Times New Roman" w:cs="Times New Roman"/>
        </w:rPr>
        <w:t>,</w:t>
      </w:r>
      <w:r w:rsidRPr="009B0448">
        <w:rPr>
          <w:rFonts w:ascii="Times New Roman" w:eastAsia="Times New Roman" w:hAnsi="Times New Roman" w:cs="Times New Roman"/>
        </w:rPr>
        <w:t xml:space="preserve"> </w:t>
      </w:r>
      <w:r w:rsidR="004D219E" w:rsidRPr="009B0448">
        <w:rPr>
          <w:rFonts w:ascii="Times New Roman" w:eastAsia="Times New Roman" w:hAnsi="Times New Roman" w:cs="Times New Roman"/>
        </w:rPr>
        <w:t>e.g.</w:t>
      </w:r>
      <w:r w:rsidR="00E84BEA">
        <w:rPr>
          <w:rFonts w:ascii="Times New Roman" w:eastAsia="Times New Roman" w:hAnsi="Times New Roman" w:cs="Times New Roman"/>
        </w:rPr>
        <w:t>,</w:t>
      </w:r>
      <w:r w:rsidR="004D219E" w:rsidRPr="009B0448">
        <w:rPr>
          <w:rFonts w:ascii="Times New Roman" w:eastAsia="Times New Roman" w:hAnsi="Times New Roman" w:cs="Times New Roman"/>
        </w:rPr>
        <w:t xml:space="preserve"> </w:t>
      </w:r>
      <w:r w:rsidRPr="009B0448">
        <w:rPr>
          <w:rFonts w:ascii="Times New Roman" w:eastAsia="Times New Roman" w:hAnsi="Times New Roman" w:cs="Times New Roman"/>
        </w:rPr>
        <w:t>the urban, industrial and service sectors, and particularly agriculture and energy (see 1.3.4.1, 1.3.4.3</w:t>
      </w:r>
      <w:r w:rsidR="009C5B85" w:rsidRPr="009B0448">
        <w:rPr>
          <w:rFonts w:ascii="Times New Roman" w:eastAsia="Times New Roman" w:hAnsi="Times New Roman" w:cs="Times New Roman"/>
        </w:rPr>
        <w:t>;</w:t>
      </w:r>
      <w:r w:rsidRPr="009B0448">
        <w:rPr>
          <w:rFonts w:ascii="Times New Roman" w:eastAsia="Times New Roman" w:hAnsi="Times New Roman" w:cs="Times New Roman"/>
        </w:rPr>
        <w:t xml:space="preserve"> Molden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2007</w:t>
      </w:r>
      <w:r w:rsidR="00E67FC2" w:rsidRPr="009B0448">
        <w:rPr>
          <w:rFonts w:ascii="Times New Roman" w:eastAsia="Times New Roman" w:hAnsi="Times New Roman" w:cs="Times New Roman"/>
        </w:rPr>
        <w:t xml:space="preserve">; Hellegers </w:t>
      </w:r>
      <w:r w:rsidR="000429F8" w:rsidRPr="009B0448">
        <w:rPr>
          <w:rFonts w:ascii="Times New Roman" w:eastAsia="Times New Roman" w:hAnsi="Times New Roman" w:cs="Times New Roman"/>
          <w:i/>
        </w:rPr>
        <w:t xml:space="preserve">et </w:t>
      </w:r>
      <w:r w:rsidR="000429F8" w:rsidRPr="009B0448">
        <w:rPr>
          <w:rFonts w:ascii="Times New Roman" w:eastAsia="Times New Roman" w:hAnsi="Times New Roman" w:cs="Times New Roman"/>
          <w:i/>
        </w:rPr>
        <w:lastRenderedPageBreak/>
        <w:t>al.</w:t>
      </w:r>
      <w:r w:rsidR="00E67FC2" w:rsidRPr="009B0448">
        <w:rPr>
          <w:rFonts w:ascii="Times New Roman" w:eastAsia="Times New Roman" w:hAnsi="Times New Roman" w:cs="Times New Roman"/>
        </w:rPr>
        <w:t>, 2008</w:t>
      </w:r>
      <w:r w:rsidRPr="009B0448">
        <w:rPr>
          <w:rFonts w:ascii="Times New Roman" w:eastAsia="Times New Roman" w:hAnsi="Times New Roman" w:cs="Times New Roman"/>
        </w:rPr>
        <w:t>). It is also critical to population, health and poverty, as discus</w:t>
      </w:r>
      <w:r w:rsidR="00574F87">
        <w:rPr>
          <w:rFonts w:ascii="Times New Roman" w:eastAsia="Times New Roman" w:hAnsi="Times New Roman" w:cs="Times New Roman"/>
        </w:rPr>
        <w:t>sed in 1.3.7 and in Chapter 4. S</w:t>
      </w:r>
      <w:r w:rsidRPr="009B0448">
        <w:rPr>
          <w:rFonts w:ascii="Times New Roman" w:eastAsia="Times New Roman" w:hAnsi="Times New Roman" w:cs="Times New Roman"/>
        </w:rPr>
        <w:t xml:space="preserve">ub-Saharan Africa is a region with </w:t>
      </w:r>
      <w:r w:rsidR="00F30869" w:rsidRPr="009B0448">
        <w:rPr>
          <w:rFonts w:ascii="Times New Roman" w:eastAsia="Times New Roman" w:hAnsi="Times New Roman" w:cs="Times New Roman"/>
        </w:rPr>
        <w:t>a high</w:t>
      </w:r>
      <w:r w:rsidRPr="009B0448">
        <w:rPr>
          <w:rFonts w:ascii="Times New Roman" w:eastAsia="Times New Roman" w:hAnsi="Times New Roman" w:cs="Times New Roman"/>
        </w:rPr>
        <w:t xml:space="preserve"> number of transboundary river basins. Sixty-three of the world's 261 international river basins are located on the African continent. But, as a whole, Africa is also the driest continent after Australia (Naik, 2017). This has significant economic, environmental and policy implications.</w:t>
      </w:r>
    </w:p>
    <w:p w14:paraId="22200CBD" w14:textId="77777777" w:rsidR="00BB2416" w:rsidRPr="009B0448" w:rsidRDefault="00BB2416" w:rsidP="00BB2416">
      <w:pPr>
        <w:spacing w:line="276" w:lineRule="auto"/>
        <w:jc w:val="both"/>
        <w:rPr>
          <w:rFonts w:ascii="Times New Roman" w:eastAsia="Times New Roman" w:hAnsi="Times New Roman" w:cs="Times New Roman"/>
        </w:rPr>
      </w:pPr>
    </w:p>
    <w:p w14:paraId="28C883E6" w14:textId="101883EC" w:rsidR="006B7655"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As pointed out by the Africa Water Vision 2025 (UN-Water/Africa,</w:t>
      </w:r>
      <w:r w:rsidR="008C0F38" w:rsidRPr="009B0448">
        <w:rPr>
          <w:rFonts w:ascii="Times New Roman" w:eastAsia="Times New Roman" w:hAnsi="Times New Roman" w:cs="Times New Roman"/>
        </w:rPr>
        <w:t xml:space="preserve"> 2004), Africa has “</w:t>
      </w:r>
      <w:r w:rsidRPr="009B0448">
        <w:rPr>
          <w:rFonts w:ascii="Times New Roman" w:eastAsia="Times New Roman" w:hAnsi="Times New Roman" w:cs="Times New Roman"/>
        </w:rPr>
        <w:t>highly inadequate access to basic water supply and sanitation services in Africa</w:t>
      </w:r>
      <w:r w:rsidR="008C0F38" w:rsidRPr="009B0448">
        <w:rPr>
          <w:rFonts w:ascii="Times New Roman" w:eastAsia="Times New Roman" w:hAnsi="Times New Roman" w:cs="Times New Roman"/>
        </w:rPr>
        <w:t>”</w:t>
      </w:r>
      <w:r w:rsidRPr="009B0448">
        <w:rPr>
          <w:rFonts w:ascii="Times New Roman" w:eastAsia="Times New Roman" w:hAnsi="Times New Roman" w:cs="Times New Roman"/>
        </w:rPr>
        <w:t xml:space="preserve">. About 65% of the population in rural Africa did not have access to an adequate supply of water and 73% were without access to adequate sanitation in the early 2000’s. Despite the global progress made during the </w:t>
      </w:r>
      <w:r w:rsidR="00574F87" w:rsidRPr="009B0448">
        <w:rPr>
          <w:rFonts w:ascii="Times New Roman" w:eastAsia="Times New Roman" w:hAnsi="Times New Roman" w:cs="Times New Roman"/>
        </w:rPr>
        <w:t>Millennium</w:t>
      </w:r>
      <w:r w:rsidR="009C5B85" w:rsidRPr="009B0448">
        <w:rPr>
          <w:rFonts w:ascii="Times New Roman" w:eastAsia="Times New Roman" w:hAnsi="Times New Roman" w:cs="Times New Roman"/>
        </w:rPr>
        <w:t xml:space="preserve"> Development Goals</w:t>
      </w:r>
      <w:r w:rsidRPr="009B0448">
        <w:rPr>
          <w:rFonts w:ascii="Times New Roman" w:eastAsia="Times New Roman" w:hAnsi="Times New Roman" w:cs="Times New Roman"/>
        </w:rPr>
        <w:t>, Africa, with the exception of North Africa, still faces uniquely severe water and sanitary conditions as maps in figures 1.</w:t>
      </w:r>
      <w:r w:rsidR="00E00317" w:rsidRPr="009B0448">
        <w:rPr>
          <w:rFonts w:ascii="Times New Roman" w:eastAsia="Times New Roman" w:hAnsi="Times New Roman" w:cs="Times New Roman"/>
        </w:rPr>
        <w:t>7</w:t>
      </w:r>
      <w:r w:rsidRPr="009B0448">
        <w:rPr>
          <w:rFonts w:ascii="Times New Roman" w:eastAsia="Times New Roman" w:hAnsi="Times New Roman" w:cs="Times New Roman"/>
        </w:rPr>
        <w:t xml:space="preserve"> and 1.</w:t>
      </w:r>
      <w:r w:rsidR="00E00317" w:rsidRPr="009B0448">
        <w:rPr>
          <w:rFonts w:ascii="Times New Roman" w:eastAsia="Times New Roman" w:hAnsi="Times New Roman" w:cs="Times New Roman"/>
        </w:rPr>
        <w:t>8</w:t>
      </w:r>
      <w:r w:rsidRPr="009B0448">
        <w:rPr>
          <w:rFonts w:ascii="Times New Roman" w:eastAsia="Times New Roman" w:hAnsi="Times New Roman" w:cs="Times New Roman"/>
        </w:rPr>
        <w:t xml:space="preserve"> illustrate. Only 28% of the </w:t>
      </w:r>
      <w:r w:rsidR="00E67FC2" w:rsidRPr="009B0448">
        <w:rPr>
          <w:rFonts w:ascii="Times New Roman" w:eastAsia="Times New Roman" w:hAnsi="Times New Roman" w:cs="Times New Roman"/>
        </w:rPr>
        <w:t>s</w:t>
      </w:r>
      <w:r w:rsidR="003D3854">
        <w:rPr>
          <w:rFonts w:ascii="Times New Roman" w:eastAsia="Times New Roman" w:hAnsi="Times New Roman" w:cs="Times New Roman"/>
        </w:rPr>
        <w:t>ub-</w:t>
      </w:r>
      <w:r w:rsidRPr="009B0448">
        <w:rPr>
          <w:rFonts w:ascii="Times New Roman" w:eastAsia="Times New Roman" w:hAnsi="Times New Roman" w:cs="Times New Roman"/>
        </w:rPr>
        <w:t>Saharan population had access to basic sanitary conditions in 2015, and more than 40% did not have access to safe drinking water.</w:t>
      </w:r>
    </w:p>
    <w:p w14:paraId="0C6173CB" w14:textId="77777777" w:rsidR="00BB2416" w:rsidRPr="009B0448" w:rsidRDefault="00BB2416" w:rsidP="00BB2416">
      <w:pPr>
        <w:spacing w:line="276" w:lineRule="auto"/>
        <w:jc w:val="both"/>
        <w:rPr>
          <w:rFonts w:ascii="Times New Roman" w:eastAsia="Times New Roman" w:hAnsi="Times New Roman" w:cs="Times New Roman"/>
          <w:sz w:val="20"/>
          <w:szCs w:val="20"/>
        </w:rPr>
      </w:pPr>
    </w:p>
    <w:p w14:paraId="420668DE" w14:textId="342EF131" w:rsidR="00E67FC2" w:rsidRPr="009B0448" w:rsidRDefault="00A8466E" w:rsidP="00527EA8">
      <w:pPr>
        <w:spacing w:line="276" w:lineRule="auto"/>
        <w:rPr>
          <w:rFonts w:ascii="Times New Roman" w:eastAsia="Times New Roman" w:hAnsi="Times New Roman" w:cs="Times New Roman"/>
        </w:rPr>
      </w:pPr>
      <w:r w:rsidRPr="009B0448">
        <w:rPr>
          <w:rFonts w:ascii="Times New Roman" w:eastAsia="Times New Roman" w:hAnsi="Times New Roman" w:cs="Times New Roman"/>
          <w:noProof/>
          <w:lang w:eastAsia="en-GB"/>
        </w:rPr>
        <w:drawing>
          <wp:inline distT="114300" distB="114300" distL="114300" distR="114300" wp14:anchorId="27607BB1" wp14:editId="354607F0">
            <wp:extent cx="5715121" cy="5122215"/>
            <wp:effectExtent l="0" t="0" r="0" b="2540"/>
            <wp:docPr id="12"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5715121" cy="5122215"/>
                    </a:xfrm>
                    <a:prstGeom prst="rect">
                      <a:avLst/>
                    </a:prstGeom>
                    <a:ln/>
                  </pic:spPr>
                </pic:pic>
              </a:graphicData>
            </a:graphic>
          </wp:inline>
        </w:drawing>
      </w:r>
    </w:p>
    <w:p w14:paraId="486A8B0D" w14:textId="08D1B78E" w:rsidR="006B7655"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w:t>
      </w:r>
      <w:r w:rsidR="00E00317" w:rsidRPr="009B0448">
        <w:rPr>
          <w:rFonts w:ascii="Times New Roman" w:eastAsia="Times New Roman" w:hAnsi="Times New Roman" w:cs="Times New Roman"/>
          <w:b/>
        </w:rPr>
        <w:t>7:</w:t>
      </w:r>
      <w:r w:rsidRPr="009B0448">
        <w:rPr>
          <w:rFonts w:ascii="Times New Roman" w:eastAsia="Times New Roman" w:hAnsi="Times New Roman" w:cs="Times New Roman"/>
        </w:rPr>
        <w:t xml:space="preserve"> </w:t>
      </w:r>
      <w:r w:rsidR="009D085F" w:rsidRPr="009B0448">
        <w:rPr>
          <w:rFonts w:ascii="Times New Roman" w:eastAsia="Times New Roman" w:hAnsi="Times New Roman" w:cs="Times New Roman"/>
        </w:rPr>
        <w:t>Proportion of the population in 2015 using basic drinking water services. Source: WHO-UNICEF (2017).</w:t>
      </w:r>
    </w:p>
    <w:p w14:paraId="54169F5B" w14:textId="77777777" w:rsidR="00BB2416" w:rsidRPr="009B0448" w:rsidRDefault="00BB2416" w:rsidP="00BB2416">
      <w:pPr>
        <w:spacing w:line="276" w:lineRule="auto"/>
        <w:jc w:val="both"/>
        <w:rPr>
          <w:rFonts w:ascii="Times New Roman" w:eastAsia="Times New Roman" w:hAnsi="Times New Roman" w:cs="Times New Roman"/>
        </w:rPr>
      </w:pPr>
    </w:p>
    <w:p w14:paraId="3A6542A5" w14:textId="550AFDAD" w:rsidR="006B7655"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Growing water scarcity, a central issue addressed by the Africa Water Vision and a global priority expressed through SDG6, is not entirely due to natural phenomena. It is also related to water </w:t>
      </w:r>
      <w:r w:rsidRPr="009B0448">
        <w:rPr>
          <w:rFonts w:ascii="Times New Roman" w:eastAsia="Times New Roman" w:hAnsi="Times New Roman" w:cs="Times New Roman"/>
        </w:rPr>
        <w:lastRenderedPageBreak/>
        <w:t>governance, investments and low levels of development and exploitation of water resources. According to the Water Vision, too much water is allowed to go to waste in Africa. “For example, the average level of unaccounted-for water is about 50% in urban areas, and as much as 70% of the water used for irrigation is lost and not used by plants.” Most countries also “have substantial under</w:t>
      </w:r>
      <w:r w:rsidR="00264EBF" w:rsidRPr="009B0448">
        <w:rPr>
          <w:rFonts w:ascii="Times New Roman" w:eastAsia="Times New Roman" w:hAnsi="Times New Roman" w:cs="Times New Roman"/>
        </w:rPr>
        <w:t>utilis</w:t>
      </w:r>
      <w:r w:rsidRPr="009B0448">
        <w:rPr>
          <w:rFonts w:ascii="Times New Roman" w:eastAsia="Times New Roman" w:hAnsi="Times New Roman" w:cs="Times New Roman"/>
        </w:rPr>
        <w:t>ed potential for irrigation expansion (about 45 million hectares, according to an FAO estimate). In fact, two-thirds of African countries have developed less than 20% of their potential. In the whole of Africa</w:t>
      </w:r>
      <w:r w:rsidR="007B732A">
        <w:rPr>
          <w:rFonts w:ascii="Times New Roman" w:eastAsia="Times New Roman" w:hAnsi="Times New Roman" w:cs="Times New Roman"/>
        </w:rPr>
        <w:t>,</w:t>
      </w:r>
      <w:r w:rsidRPr="009B0448">
        <w:rPr>
          <w:rFonts w:ascii="Times New Roman" w:eastAsia="Times New Roman" w:hAnsi="Times New Roman" w:cs="Times New Roman"/>
        </w:rPr>
        <w:t xml:space="preserve"> about 6% of the cultivated area is irrigated</w:t>
      </w:r>
      <w:r w:rsidRPr="009B0448">
        <w:rPr>
          <w:rFonts w:ascii="Times New Roman" w:eastAsia="Times New Roman" w:hAnsi="Times New Roman" w:cs="Times New Roman"/>
          <w:sz w:val="20"/>
          <w:szCs w:val="20"/>
        </w:rPr>
        <w:t>…</w:t>
      </w:r>
      <w:r w:rsidRPr="009B0448">
        <w:rPr>
          <w:rFonts w:ascii="Times New Roman" w:eastAsia="Times New Roman" w:hAnsi="Times New Roman" w:cs="Times New Roman"/>
        </w:rPr>
        <w:t xml:space="preserve"> The scope for expanding irrigation is, therefore, considerable [and]</w:t>
      </w:r>
      <w:r w:rsidRPr="009B0448">
        <w:rPr>
          <w:rFonts w:ascii="Times New Roman" w:eastAsia="Times New Roman" w:hAnsi="Times New Roman" w:cs="Times New Roman"/>
          <w:sz w:val="20"/>
          <w:szCs w:val="20"/>
        </w:rPr>
        <w:t>…</w:t>
      </w:r>
      <w:r w:rsidRPr="009B0448">
        <w:rPr>
          <w:rFonts w:ascii="Times New Roman" w:eastAsia="Times New Roman" w:hAnsi="Times New Roman" w:cs="Times New Roman"/>
        </w:rPr>
        <w:t xml:space="preserve"> there is an even greater scope for expansion of rain</w:t>
      </w:r>
      <w:r w:rsidR="00574F87">
        <w:rPr>
          <w:rFonts w:ascii="Times New Roman" w:eastAsia="Times New Roman" w:hAnsi="Times New Roman" w:cs="Times New Roman"/>
        </w:rPr>
        <w:t>-</w:t>
      </w:r>
      <w:r w:rsidRPr="009B0448">
        <w:rPr>
          <w:rFonts w:ascii="Times New Roman" w:eastAsia="Times New Roman" w:hAnsi="Times New Roman" w:cs="Times New Roman"/>
        </w:rPr>
        <w:t>fed agriculture”.</w:t>
      </w:r>
    </w:p>
    <w:p w14:paraId="59BA945F" w14:textId="69493E73" w:rsidR="006B7655" w:rsidRPr="009B0448" w:rsidRDefault="006B7655" w:rsidP="00BB2416">
      <w:pPr>
        <w:spacing w:line="276" w:lineRule="auto"/>
        <w:jc w:val="both"/>
        <w:rPr>
          <w:rFonts w:ascii="Times New Roman" w:eastAsia="Times New Roman" w:hAnsi="Times New Roman" w:cs="Times New Roman"/>
          <w:sz w:val="20"/>
          <w:szCs w:val="20"/>
        </w:rPr>
      </w:pPr>
    </w:p>
    <w:p w14:paraId="65DAF7F2" w14:textId="1460B503" w:rsidR="006B7655" w:rsidRPr="009B0448" w:rsidRDefault="00527EA8" w:rsidP="00527EA8">
      <w:pPr>
        <w:spacing w:line="276" w:lineRule="auto"/>
        <w:rPr>
          <w:rFonts w:ascii="Times New Roman" w:eastAsia="Times New Roman" w:hAnsi="Times New Roman" w:cs="Times New Roman"/>
          <w:sz w:val="20"/>
          <w:szCs w:val="20"/>
        </w:rPr>
      </w:pPr>
      <w:r w:rsidRPr="009B0448">
        <w:rPr>
          <w:rFonts w:ascii="Times New Roman" w:eastAsia="Times New Roman" w:hAnsi="Times New Roman" w:cs="Times New Roman"/>
          <w:noProof/>
          <w:sz w:val="20"/>
          <w:szCs w:val="20"/>
          <w:lang w:eastAsia="en-GB"/>
        </w:rPr>
        <w:drawing>
          <wp:inline distT="0" distB="0" distL="0" distR="0" wp14:anchorId="520CAA8C" wp14:editId="08B0BA88">
            <wp:extent cx="5722620" cy="5146064"/>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Clipped\Fig 1.8.JPG"/>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722620" cy="5146064"/>
                    </a:xfrm>
                    <a:prstGeom prst="rect">
                      <a:avLst/>
                    </a:prstGeom>
                    <a:noFill/>
                    <a:ln>
                      <a:noFill/>
                    </a:ln>
                  </pic:spPr>
                </pic:pic>
              </a:graphicData>
            </a:graphic>
          </wp:inline>
        </w:drawing>
      </w:r>
    </w:p>
    <w:p w14:paraId="2A6E2836" w14:textId="31CD91BC" w:rsidR="007C7DAA"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w:t>
      </w:r>
      <w:r w:rsidR="00E00317" w:rsidRPr="009B0448">
        <w:rPr>
          <w:rFonts w:ascii="Times New Roman" w:eastAsia="Times New Roman" w:hAnsi="Times New Roman" w:cs="Times New Roman"/>
          <w:b/>
        </w:rPr>
        <w:t>8:</w:t>
      </w:r>
      <w:r w:rsidRPr="009B0448">
        <w:rPr>
          <w:rFonts w:ascii="Times New Roman" w:eastAsia="Times New Roman" w:hAnsi="Times New Roman" w:cs="Times New Roman"/>
        </w:rPr>
        <w:t xml:space="preserve"> </w:t>
      </w:r>
      <w:r w:rsidR="009D085F" w:rsidRPr="009B0448">
        <w:rPr>
          <w:rFonts w:ascii="Times New Roman" w:eastAsia="Times New Roman" w:hAnsi="Times New Roman" w:cs="Times New Roman"/>
        </w:rPr>
        <w:t>Proportion of the population in 2015 using basic sanitation services. Source: WHO-UNICEF (2017).</w:t>
      </w:r>
    </w:p>
    <w:p w14:paraId="1156F50F" w14:textId="77777777" w:rsidR="00BB2416" w:rsidRPr="009B0448" w:rsidRDefault="00BB2416" w:rsidP="00BB2416">
      <w:pPr>
        <w:spacing w:line="276" w:lineRule="auto"/>
        <w:jc w:val="both"/>
        <w:rPr>
          <w:rFonts w:ascii="Times New Roman" w:eastAsia="Times New Roman" w:hAnsi="Times New Roman" w:cs="Times New Roman"/>
        </w:rPr>
      </w:pPr>
    </w:p>
    <w:p w14:paraId="095CC4CB" w14:textId="77777777" w:rsidR="004729F4"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Water is an increasingly precious and coveted resource on the continent. As such, water management issues in Africa goes well beyond the production of food to involve complex governance and political issues from local to regional scales. It is necessary, therefore, to address the issue in the context of water security and in relation to the importance of water for food, energy, health and livelihood securities.</w:t>
      </w:r>
    </w:p>
    <w:p w14:paraId="3C3839CF" w14:textId="77777777" w:rsidR="00BB2416" w:rsidRPr="009B0448" w:rsidRDefault="00BB2416" w:rsidP="00BB2416">
      <w:pPr>
        <w:spacing w:line="276" w:lineRule="auto"/>
        <w:jc w:val="both"/>
        <w:rPr>
          <w:rFonts w:ascii="Times New Roman" w:eastAsia="Times New Roman" w:hAnsi="Times New Roman" w:cs="Times New Roman"/>
        </w:rPr>
      </w:pPr>
    </w:p>
    <w:p w14:paraId="011E2374" w14:textId="5BE742E2" w:rsidR="004729F4"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One feature typical of the hydro-geographic conditions found in Africa is the often markedly uneven distribution of water resources in the continent's basins. About 66% of Africa is arid or semi-arid, while most Africans rely on rain</w:t>
      </w:r>
      <w:r w:rsidR="00D47F8F">
        <w:rPr>
          <w:rFonts w:ascii="Times New Roman" w:eastAsia="Times New Roman" w:hAnsi="Times New Roman" w:cs="Times New Roman"/>
        </w:rPr>
        <w:t>-</w:t>
      </w:r>
      <w:r w:rsidRPr="009B0448">
        <w:rPr>
          <w:rFonts w:ascii="Times New Roman" w:eastAsia="Times New Roman" w:hAnsi="Times New Roman" w:cs="Times New Roman"/>
        </w:rPr>
        <w:t xml:space="preserve">fed agriculture and groundwater for domestic supply, particularly in rural </w:t>
      </w:r>
      <w:r w:rsidRPr="009B0448">
        <w:rPr>
          <w:rFonts w:ascii="Times New Roman" w:eastAsia="Times New Roman" w:hAnsi="Times New Roman" w:cs="Times New Roman"/>
        </w:rPr>
        <w:lastRenderedPageBreak/>
        <w:t xml:space="preserve">areas (Faurès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2008). In fact, more than 300 million people in sub-Saharan Africa, from North Africa and the Sahel to East and Southern Africa, live in water-scarce environments</w:t>
      </w:r>
      <w:r w:rsidR="008C0F38" w:rsidRPr="009B0448">
        <w:rPr>
          <w:rFonts w:ascii="Times New Roman" w:eastAsia="Times New Roman" w:hAnsi="Times New Roman" w:cs="Times New Roman"/>
        </w:rPr>
        <w:t>,</w:t>
      </w:r>
      <w:r w:rsidRPr="009B0448">
        <w:rPr>
          <w:rFonts w:ascii="Times New Roman" w:eastAsia="Times New Roman" w:hAnsi="Times New Roman" w:cs="Times New Roman"/>
        </w:rPr>
        <w:t xml:space="preserve"> meaning that they have less than 1,000 m</w:t>
      </w:r>
      <w:r w:rsidRPr="009B0448">
        <w:rPr>
          <w:rFonts w:ascii="Times New Roman" w:eastAsia="Times New Roman" w:hAnsi="Times New Roman" w:cs="Times New Roman"/>
          <w:vertAlign w:val="superscript"/>
        </w:rPr>
        <w:t>3</w:t>
      </w:r>
      <w:r w:rsidRPr="009B0448">
        <w:rPr>
          <w:rFonts w:ascii="Times New Roman" w:eastAsia="Times New Roman" w:hAnsi="Times New Roman" w:cs="Times New Roman"/>
        </w:rPr>
        <w:t xml:space="preserve"> per capita per year (UNEP, 2002).</w:t>
      </w:r>
    </w:p>
    <w:p w14:paraId="1F4DBCFC" w14:textId="77777777" w:rsidR="00BB2416" w:rsidRPr="009B0448" w:rsidRDefault="00BB2416" w:rsidP="00BB2416">
      <w:pPr>
        <w:spacing w:line="276" w:lineRule="auto"/>
        <w:jc w:val="both"/>
        <w:rPr>
          <w:rFonts w:ascii="Times New Roman" w:eastAsia="Times New Roman" w:hAnsi="Times New Roman" w:cs="Times New Roman"/>
        </w:rPr>
      </w:pPr>
    </w:p>
    <w:p w14:paraId="7AC97461" w14:textId="6DB2722D" w:rsidR="004729F4"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This has consequences for water accessibility and use within and between </w:t>
      </w:r>
      <w:r w:rsidR="00B22D81">
        <w:rPr>
          <w:rFonts w:ascii="Times New Roman" w:eastAsia="Times New Roman" w:hAnsi="Times New Roman" w:cs="Times New Roman"/>
        </w:rPr>
        <w:t>subregion</w:t>
      </w:r>
      <w:r w:rsidRPr="009B0448">
        <w:rPr>
          <w:rFonts w:ascii="Times New Roman" w:eastAsia="Times New Roman" w:hAnsi="Times New Roman" w:cs="Times New Roman"/>
        </w:rPr>
        <w:t>s. Water-rich countries, i.e.</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those with abundant precipitation, such as Liberia, São Tome and Principe, Gabon in the Gulf of Guinea and Central Africa, contribute significantly to the volume of available water resources. On the other hand, water-scarce areas in North Africa, the Sahel and in East and Southern Africa, add little to that overall volume and, yet, draw a substantial share of the water they use from high-precipitation regions. The classic case for this is the Nile, whose upstream riparians are located in high-precipitation regions, while Egypt, the downstream riparian, is located in an arid region. A similar situation is found in the Zambezi and other river basins in southern Africa. Here the riparians to the north (Angola, Zambia, DR Congo, Mozambique) have abundant water resources, while the riparians to the south (in particular South Africa, Botswana, and Namibia) typically lack sufficient water resources and are highly reliant on water resources generated outside their borders. For instance, South Africa consumes 80% of all the water resources used in the SADC region, while contributing only 8 % to the region's water resources (Scheumann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Such a situation necessarily holds potential for conflict. With the impact of climate change, precipitation changes could further limit water availability in some of these regions, though, in others, such as the Horn of Africa, greater rainfall could increase groundwater levels (Thangarajan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2016). The combination of changes in the flow of streams and rising temperatures is further expected to have broadly negative impacts on freshwater ecosystems and water quality (APP, 2015).</w:t>
      </w:r>
    </w:p>
    <w:p w14:paraId="53715A2B" w14:textId="77777777" w:rsidR="00BB2416" w:rsidRPr="009B0448" w:rsidRDefault="00BB2416" w:rsidP="00BB2416">
      <w:pPr>
        <w:spacing w:line="276" w:lineRule="auto"/>
        <w:jc w:val="both"/>
        <w:rPr>
          <w:rFonts w:ascii="Times New Roman" w:eastAsia="Times New Roman" w:hAnsi="Times New Roman" w:cs="Times New Roman"/>
        </w:rPr>
      </w:pPr>
    </w:p>
    <w:p w14:paraId="28BED9BD" w14:textId="4C62DF6C" w:rsidR="006B7655"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Africa must ensure the availability of water resources for the population’s growing needs, the protection of very fragile and vulnerable ecosystems and the preservation of economic prosperity, both within countries and across national boundaries. It must respond to the broader challenge in a way that takes into account national interest as well as transnational interdependencies and collective securities. The Africa </w:t>
      </w:r>
      <w:r w:rsidR="00917FB2">
        <w:rPr>
          <w:rFonts w:ascii="Times New Roman" w:eastAsia="Times New Roman" w:hAnsi="Times New Roman" w:cs="Times New Roman"/>
        </w:rPr>
        <w:t>Regional A</w:t>
      </w:r>
      <w:r w:rsidRPr="009B0448">
        <w:rPr>
          <w:rFonts w:ascii="Times New Roman" w:eastAsia="Times New Roman" w:hAnsi="Times New Roman" w:cs="Times New Roman"/>
        </w:rPr>
        <w:t xml:space="preserve">ssessment thus involves consideration of the water policies and water profiles of different </w:t>
      </w:r>
      <w:r w:rsidR="00B22D81">
        <w:rPr>
          <w:rFonts w:ascii="Times New Roman" w:eastAsia="Times New Roman" w:hAnsi="Times New Roman" w:cs="Times New Roman"/>
        </w:rPr>
        <w:t>subregion</w:t>
      </w:r>
      <w:r w:rsidRPr="009B0448">
        <w:rPr>
          <w:rFonts w:ascii="Times New Roman" w:eastAsia="Times New Roman" w:hAnsi="Times New Roman" w:cs="Times New Roman"/>
        </w:rPr>
        <w:t xml:space="preserve">s, while taking into account major political challenges and the effect of </w:t>
      </w:r>
      <w:r w:rsidR="000B06FE" w:rsidRPr="009B0448">
        <w:rPr>
          <w:rFonts w:ascii="Times New Roman" w:eastAsia="Times New Roman" w:hAnsi="Times New Roman" w:cs="Times New Roman"/>
        </w:rPr>
        <w:t>long-term</w:t>
      </w:r>
      <w:r w:rsidRPr="009B0448">
        <w:rPr>
          <w:rFonts w:ascii="Times New Roman" w:eastAsia="Times New Roman" w:hAnsi="Times New Roman" w:cs="Times New Roman"/>
        </w:rPr>
        <w:t xml:space="preserve"> climatic impacts on water resources. Lake Chad is a classic example of how some of these challenges can come together. Despite the desiccation of the Sahara leading to considerable shrinkage of its ancient coverage, Lake Chad still plays a vital strategic role in regional water provision, local livelihoods, and resistance to desertification. It is a meeting point of eight major African member countries of the Lake Chad Basin Commission (Chad, Cameroon, Niger, Nigeria, Algeria, C</w:t>
      </w:r>
      <w:r w:rsidR="008C0F38" w:rsidRPr="009B0448">
        <w:rPr>
          <w:rFonts w:ascii="Times New Roman" w:eastAsia="Times New Roman" w:hAnsi="Times New Roman" w:cs="Times New Roman"/>
        </w:rPr>
        <w:t>entral African Republic</w:t>
      </w:r>
      <w:r w:rsidRPr="009B0448">
        <w:rPr>
          <w:rFonts w:ascii="Times New Roman" w:eastAsia="Times New Roman" w:hAnsi="Times New Roman" w:cs="Times New Roman"/>
        </w:rPr>
        <w:t>, Libya and Sudan), supplemented by three additional countries (Congo, D</w:t>
      </w:r>
      <w:r w:rsidR="008C0F38" w:rsidRPr="009B0448">
        <w:rPr>
          <w:rFonts w:ascii="Times New Roman" w:eastAsia="Times New Roman" w:hAnsi="Times New Roman" w:cs="Times New Roman"/>
        </w:rPr>
        <w:t>emocratic Republic of</w:t>
      </w:r>
      <w:r w:rsidRPr="009B0448">
        <w:rPr>
          <w:rFonts w:ascii="Times New Roman" w:eastAsia="Times New Roman" w:hAnsi="Times New Roman" w:cs="Times New Roman"/>
        </w:rPr>
        <w:t xml:space="preserve"> Congo and Egypt), which have observer status in the Commission. It is also feeling the full impact of the insurgent terrorist movement of Boko Haram, which is causing a refugee crisis and serious water access and food supply challenges all around the Lake Chad area.</w:t>
      </w:r>
    </w:p>
    <w:p w14:paraId="71412520" w14:textId="77777777" w:rsidR="00BB2416" w:rsidRPr="009B0448" w:rsidRDefault="00BB2416" w:rsidP="00BB2416">
      <w:pPr>
        <w:spacing w:line="276" w:lineRule="auto"/>
        <w:jc w:val="both"/>
        <w:rPr>
          <w:rFonts w:ascii="Times New Roman" w:eastAsia="Times New Roman" w:hAnsi="Times New Roman" w:cs="Times New Roman"/>
        </w:rPr>
      </w:pPr>
    </w:p>
    <w:p w14:paraId="0D726A6E" w14:textId="5EC5C7B6" w:rsidR="004729F4"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a different but related case, Lake Malawi, also known as Lake Ny</w:t>
      </w:r>
      <w:r w:rsidR="007B732A">
        <w:rPr>
          <w:rFonts w:ascii="Times New Roman" w:eastAsia="Times New Roman" w:hAnsi="Times New Roman" w:cs="Times New Roman"/>
        </w:rPr>
        <w:t>a</w:t>
      </w:r>
      <w:r w:rsidRPr="009B0448">
        <w:rPr>
          <w:rFonts w:ascii="Times New Roman" w:eastAsia="Times New Roman" w:hAnsi="Times New Roman" w:cs="Times New Roman"/>
        </w:rPr>
        <w:t xml:space="preserve">sa, has been a point of contention between Malawi and Tanzania since at least 1967. While the boundary dispute </w:t>
      </w:r>
      <w:r w:rsidR="00D47F8F" w:rsidRPr="009B0448">
        <w:rPr>
          <w:rFonts w:ascii="Times New Roman" w:eastAsia="Times New Roman" w:hAnsi="Times New Roman" w:cs="Times New Roman"/>
        </w:rPr>
        <w:t>centred</w:t>
      </w:r>
      <w:r w:rsidRPr="009B0448">
        <w:rPr>
          <w:rFonts w:ascii="Times New Roman" w:eastAsia="Times New Roman" w:hAnsi="Times New Roman" w:cs="Times New Roman"/>
        </w:rPr>
        <w:t xml:space="preserve"> initially on issues of sovereignty and livelihoods and on the socio-environmental impacts (flooding) of the Kariba dam construction (Mayall, 1973), Malawi’s oil exploration initiative, started in 2012, has revived tensions between the two countries. Control of the Nile River waters, e.g., through dam construction, is another important case study that is presently placing Egypt, Sudan and Ethiopia in potential opposition. It is a classic case of common property resource and collective action, magnified by international and intergovernmental complications. </w:t>
      </w:r>
    </w:p>
    <w:p w14:paraId="4FAAA910" w14:textId="77777777" w:rsidR="00BB2416" w:rsidRPr="009B0448" w:rsidRDefault="00BB2416" w:rsidP="00BB2416">
      <w:pPr>
        <w:spacing w:line="276" w:lineRule="auto"/>
        <w:jc w:val="both"/>
        <w:rPr>
          <w:rFonts w:ascii="Times New Roman" w:eastAsia="Times New Roman" w:hAnsi="Times New Roman" w:cs="Times New Roman"/>
        </w:rPr>
      </w:pPr>
    </w:p>
    <w:p w14:paraId="7311A56F" w14:textId="6038FD40" w:rsidR="006B7655" w:rsidRPr="009B0448" w:rsidRDefault="00A8466E" w:rsidP="00BB241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lastRenderedPageBreak/>
        <w:t>The assessment will thus need to tread carefully in order to capture the critical connections that can turn into major disruptors of delicate mutual relationships between people, socio-political systems and ecosystems. Reference to existing transboundary water management initiatives and community-based water management schemes (e.g.</w:t>
      </w:r>
      <w:r w:rsidR="00E84BEA">
        <w:rPr>
          <w:rFonts w:ascii="Times New Roman" w:eastAsia="Times New Roman" w:hAnsi="Times New Roman" w:cs="Times New Roman"/>
        </w:rPr>
        <w:t>,</w:t>
      </w:r>
      <w:r w:rsidRPr="009B0448">
        <w:rPr>
          <w:rFonts w:ascii="Times New Roman" w:eastAsia="Times New Roman" w:hAnsi="Times New Roman" w:cs="Times New Roman"/>
        </w:rPr>
        <w:t xml:space="preserve"> Box 1.</w:t>
      </w:r>
      <w:r w:rsidR="00BC63CA" w:rsidRPr="009B0448">
        <w:rPr>
          <w:rFonts w:ascii="Times New Roman" w:eastAsia="Times New Roman" w:hAnsi="Times New Roman" w:cs="Times New Roman"/>
        </w:rPr>
        <w:t>8</w:t>
      </w:r>
      <w:r w:rsidRPr="009B0448">
        <w:rPr>
          <w:rFonts w:ascii="Times New Roman" w:eastAsia="Times New Roman" w:hAnsi="Times New Roman" w:cs="Times New Roman"/>
        </w:rPr>
        <w:t xml:space="preserve"> in 1.3.8.1</w:t>
      </w:r>
      <w:r w:rsidR="007A3CF0" w:rsidRPr="009B0448">
        <w:rPr>
          <w:rFonts w:ascii="Times New Roman" w:eastAsia="Times New Roman" w:hAnsi="Times New Roman" w:cs="Times New Roman"/>
        </w:rPr>
        <w:t>.1</w:t>
      </w:r>
      <w:r w:rsidRPr="009B0448">
        <w:rPr>
          <w:rFonts w:ascii="Times New Roman" w:eastAsia="Times New Roman" w:hAnsi="Times New Roman" w:cs="Times New Roman"/>
        </w:rPr>
        <w:t>) must be made to capture all the possibilities of developing a solution. Amidst economic challenges and political turmoil, there are many promising approaches to water governance and transboundary water resources management. Sub-Saharan Africa is, for this reason, especially well-suited to identify lessons learned in the implementation of transboundary water management schemes and to derive recommendations from successes as well as failures.</w:t>
      </w:r>
    </w:p>
    <w:p w14:paraId="07047D6D" w14:textId="39A61F95" w:rsidR="006B7655" w:rsidRPr="009B0448" w:rsidRDefault="00A8466E" w:rsidP="00FA7185">
      <w:pPr>
        <w:pStyle w:val="111"/>
        <w:numPr>
          <w:ilvl w:val="3"/>
          <w:numId w:val="10"/>
        </w:numPr>
        <w:spacing w:before="240" w:after="240"/>
        <w:ind w:left="851" w:hanging="862"/>
        <w:rPr>
          <w:rFonts w:cs="Times New Roman"/>
          <w:sz w:val="22"/>
          <w:szCs w:val="22"/>
        </w:rPr>
      </w:pPr>
      <w:bookmarkStart w:id="29" w:name="_Toc519499779"/>
      <w:r w:rsidRPr="009B0448">
        <w:rPr>
          <w:rFonts w:cs="Times New Roman"/>
          <w:sz w:val="22"/>
          <w:szCs w:val="22"/>
        </w:rPr>
        <w:t>Energy in Africa</w:t>
      </w:r>
      <w:bookmarkEnd w:id="29"/>
    </w:p>
    <w:p w14:paraId="524C79DD" w14:textId="2B81881B" w:rsidR="006B7655"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Energy comprises another critical component of the nexus. </w:t>
      </w:r>
      <w:r w:rsidR="0034758B" w:rsidRPr="009B0448">
        <w:rPr>
          <w:rFonts w:ascii="Times New Roman" w:eastAsia="Times New Roman" w:hAnsi="Times New Roman" w:cs="Times New Roman"/>
        </w:rPr>
        <w:t>Energy</w:t>
      </w:r>
      <w:r w:rsidRPr="009B0448">
        <w:rPr>
          <w:rFonts w:ascii="Times New Roman" w:eastAsia="Times New Roman" w:hAnsi="Times New Roman" w:cs="Times New Roman"/>
        </w:rPr>
        <w:t xml:space="preserve"> is required for</w:t>
      </w:r>
      <w:r w:rsidR="00C07FCA" w:rsidRPr="009B0448">
        <w:rPr>
          <w:rFonts w:ascii="Times New Roman" w:eastAsia="Times New Roman" w:hAnsi="Times New Roman" w:cs="Times New Roman"/>
        </w:rPr>
        <w:t xml:space="preserve"> </w:t>
      </w:r>
      <w:r w:rsidRPr="009B0448">
        <w:rPr>
          <w:rFonts w:ascii="Times New Roman" w:eastAsia="Times New Roman" w:hAnsi="Times New Roman" w:cs="Times New Roman"/>
        </w:rPr>
        <w:t xml:space="preserve">food production (especially irrigation) and for water supply, including the extraction, purification, and distribution of water (Bazilian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2011</w:t>
      </w:r>
      <w:r w:rsidR="00E67FC2" w:rsidRPr="009B0448">
        <w:rPr>
          <w:rFonts w:ascii="Times New Roman" w:eastAsia="Times New Roman" w:hAnsi="Times New Roman" w:cs="Times New Roman"/>
        </w:rPr>
        <w:t xml:space="preserve">; Bach </w:t>
      </w:r>
      <w:r w:rsidR="000429F8" w:rsidRPr="009B0448">
        <w:rPr>
          <w:rFonts w:ascii="Times New Roman" w:eastAsia="Times New Roman" w:hAnsi="Times New Roman" w:cs="Times New Roman"/>
          <w:i/>
        </w:rPr>
        <w:t>et al.</w:t>
      </w:r>
      <w:r w:rsidR="00E67FC2" w:rsidRPr="009B0448">
        <w:rPr>
          <w:rFonts w:ascii="Times New Roman" w:eastAsia="Times New Roman" w:hAnsi="Times New Roman" w:cs="Times New Roman"/>
        </w:rPr>
        <w:t>, 2012</w:t>
      </w:r>
      <w:r w:rsidRPr="009B0448">
        <w:rPr>
          <w:rFonts w:ascii="Times New Roman" w:eastAsia="Times New Roman" w:hAnsi="Times New Roman" w:cs="Times New Roman"/>
        </w:rPr>
        <w:t xml:space="preserve">). </w:t>
      </w:r>
      <w:r w:rsidR="00C07FCA" w:rsidRPr="009B0448">
        <w:rPr>
          <w:rFonts w:ascii="Times New Roman" w:eastAsia="Times New Roman" w:hAnsi="Times New Roman" w:cs="Times New Roman"/>
        </w:rPr>
        <w:t xml:space="preserve">Woodfuel accounts for more than 80% of primary energy supply, and more than 90% of the population rely on firewood and charcoal for energy, especially for cooking (see chapters 2 &amp; 4) </w:t>
      </w:r>
      <w:r w:rsidRPr="009B0448">
        <w:rPr>
          <w:rFonts w:ascii="Times New Roman" w:eastAsia="Times New Roman" w:hAnsi="Times New Roman" w:cs="Times New Roman"/>
        </w:rPr>
        <w:t xml:space="preserve">Access to modern energy services is critical for socio-economic development (WEC, 2005). Africa’s energy demand is expected to grow annually by 5% until 2040 and South Africa has nearly a third of the region’s installed capacity (40 GW out of the 125 GW) (Fakir, 2012). Outside of South Africa, renewable hydropower provides 70% of all electricity to sub-Saharan Africa, although less than 30% of the population is connected to the grid (Fakir, 2012). In Africa, oil and gas reserves are concentrated in North and West Africa, as well as recent discoveries in East Africa. Hydroelectric potential exists in Central and Eastern Africa, as well as coal extraction in Southern Africa, </w:t>
      </w:r>
      <w:r w:rsidR="00264EBF" w:rsidRPr="009B0448">
        <w:rPr>
          <w:rFonts w:ascii="Times New Roman" w:eastAsia="Times New Roman" w:hAnsi="Times New Roman" w:cs="Times New Roman"/>
        </w:rPr>
        <w:t>cognis</w:t>
      </w:r>
      <w:r w:rsidRPr="009B0448">
        <w:rPr>
          <w:rFonts w:ascii="Times New Roman" w:eastAsia="Times New Roman" w:hAnsi="Times New Roman" w:cs="Times New Roman"/>
        </w:rPr>
        <w:t xml:space="preserve">ant of debates in this regard, however (WEC, 2005). Reliance on traditional biomass, as the main source of energy, is particularly high in Africa, where biomass accounts in some countries for 80% of primary energy supply and up to 95% of total consumption (IAEA, 2002; WEC, 2005; UNECA, 2006). The considerable solar and other renewable energy potential of Africa is yet to be fully exploited. </w:t>
      </w:r>
    </w:p>
    <w:p w14:paraId="0985E198" w14:textId="77777777" w:rsidR="009E33C9" w:rsidRPr="009B0448" w:rsidRDefault="009E33C9" w:rsidP="00465FE8">
      <w:pPr>
        <w:spacing w:line="276" w:lineRule="auto"/>
        <w:jc w:val="both"/>
        <w:rPr>
          <w:rFonts w:ascii="Times New Roman" w:eastAsia="Times New Roman" w:hAnsi="Times New Roman" w:cs="Times New Roman"/>
        </w:rPr>
      </w:pPr>
    </w:p>
    <w:p w14:paraId="3BAB6D90" w14:textId="54DF6109" w:rsidR="009E33C9" w:rsidRDefault="009E33C9" w:rsidP="00465FE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All methods of energy production, including renewables, have impacts on </w:t>
      </w:r>
      <w:r w:rsidRPr="009B0448">
        <w:rPr>
          <w:rFonts w:ascii="Times New Roman" w:eastAsia="Times New Roman" w:hAnsi="Times New Roman" w:cs="Times New Roman"/>
        </w:rPr>
        <w:t>biodiversity and ecosystem services</w:t>
      </w:r>
      <w:r w:rsidRPr="009B0448">
        <w:rPr>
          <w:rFonts w:ascii="Times New Roman" w:eastAsia="Times New Roman" w:hAnsi="Times New Roman" w:cs="Times New Roman"/>
          <w:color w:val="auto"/>
        </w:rPr>
        <w:t xml:space="preserve">. However, the </w:t>
      </w:r>
      <w:r w:rsidR="00264EBF" w:rsidRPr="009B0448">
        <w:rPr>
          <w:rFonts w:ascii="Times New Roman" w:eastAsia="Times New Roman" w:hAnsi="Times New Roman" w:cs="Times New Roman"/>
          <w:color w:val="auto"/>
        </w:rPr>
        <w:t>utilis</w:t>
      </w:r>
      <w:r w:rsidRPr="009B0448">
        <w:rPr>
          <w:rFonts w:ascii="Times New Roman" w:eastAsia="Times New Roman" w:hAnsi="Times New Roman" w:cs="Times New Roman"/>
          <w:color w:val="auto"/>
        </w:rPr>
        <w:t>ation of new and renewable energies is an economically and environmentally attractive alternative to fossil fuels (Heinberg, 2016) (Box 1.5). These types of energy sources are renewed within a lifetime through natural processes comprising wind, wave, solar, biomass (wood fuel, agricultural residues, animal wastes, biofuel and other bioenergy), hydropower and geothermal energy (UNECA, 2006). Sustainable energy is defined as energy which is replenishable within a human lifetime and which causes no long-term damages to the environment (UNECA, 2006).</w:t>
      </w:r>
    </w:p>
    <w:p w14:paraId="7E7BFFCD" w14:textId="77777777" w:rsidR="00D04ED9" w:rsidRDefault="00D04ED9" w:rsidP="00465FE8">
      <w:pPr>
        <w:spacing w:line="276" w:lineRule="auto"/>
        <w:jc w:val="both"/>
        <w:rPr>
          <w:rFonts w:ascii="Times New Roman" w:eastAsia="Times New Roman" w:hAnsi="Times New Roman" w:cs="Times New Roman"/>
          <w:color w:val="auto"/>
        </w:rPr>
      </w:pPr>
    </w:p>
    <w:p w14:paraId="78480886" w14:textId="77777777" w:rsidR="00D04ED9" w:rsidRPr="009B0448" w:rsidRDefault="00D04ED9" w:rsidP="00D04ED9">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color w:val="auto"/>
        </w:rPr>
        <w:t xml:space="preserve">Renewable energy technologies are often considered the most appropriate technology choice for most of rural Africa and they could provide a reliable and ecologically sound long-term alternative for many countries, including current oil-exporting nations, as many of them have abundant and unexploited biomass, water, solar and wind resources. </w:t>
      </w:r>
      <w:r w:rsidRPr="003F2166">
        <w:rPr>
          <w:rFonts w:ascii="Times New Roman" w:eastAsia="Times New Roman" w:hAnsi="Times New Roman" w:cs="Times New Roman"/>
          <w:color w:val="auto"/>
        </w:rPr>
        <w:t xml:space="preserve">There is considerable potential for hydropower development in Africa (1.5 million GWh per year according to Zarfl </w:t>
      </w:r>
      <w:r w:rsidRPr="003F2166">
        <w:rPr>
          <w:rFonts w:ascii="Times New Roman" w:eastAsia="Times New Roman" w:hAnsi="Times New Roman" w:cs="Times New Roman"/>
          <w:i/>
          <w:color w:val="auto"/>
        </w:rPr>
        <w:t>et al.</w:t>
      </w:r>
      <w:r w:rsidRPr="003F2166">
        <w:rPr>
          <w:rFonts w:ascii="Times New Roman" w:eastAsia="Times New Roman" w:hAnsi="Times New Roman" w:cs="Times New Roman"/>
          <w:color w:val="auto"/>
        </w:rPr>
        <w:t>, 2015), yet to date</w:t>
      </w:r>
      <w:r>
        <w:rPr>
          <w:rFonts w:ascii="Times New Roman" w:eastAsia="Times New Roman" w:hAnsi="Times New Roman" w:cs="Times New Roman"/>
          <w:color w:val="auto"/>
        </w:rPr>
        <w:t>,</w:t>
      </w:r>
      <w:r w:rsidRPr="003F2166">
        <w:rPr>
          <w:rFonts w:ascii="Times New Roman" w:eastAsia="Times New Roman" w:hAnsi="Times New Roman" w:cs="Times New Roman"/>
          <w:color w:val="auto"/>
        </w:rPr>
        <w:t xml:space="preserve"> only 7% of that potential has been harnessed (Blomfield, 2008)</w:t>
      </w:r>
      <w:r w:rsidRPr="009B0448">
        <w:rPr>
          <w:rFonts w:ascii="Times New Roman" w:eastAsia="Times New Roman" w:hAnsi="Times New Roman" w:cs="Times New Roman"/>
          <w:color w:val="auto"/>
        </w:rPr>
        <w:t>. Unsustainable woodfuel (biomass) consumption practices have, however, locally led to deforestation (UNECA, 2006) and the planting of alien invasive trees for woodfuel has sometimes resulted in the loss of biodiversity in surrounding areas.</w:t>
      </w:r>
    </w:p>
    <w:p w14:paraId="77223824" w14:textId="77777777" w:rsidR="00D04ED9" w:rsidRPr="009B0448" w:rsidRDefault="00D04ED9" w:rsidP="00465FE8">
      <w:pPr>
        <w:spacing w:line="276" w:lineRule="auto"/>
        <w:jc w:val="both"/>
        <w:rPr>
          <w:rFonts w:ascii="Times New Roman" w:eastAsia="Times New Roman" w:hAnsi="Times New Roman" w:cs="Times New Roman"/>
          <w:color w:val="auto"/>
        </w:rPr>
      </w:pPr>
    </w:p>
    <w:p w14:paraId="2D789BB8" w14:textId="123ED5E0" w:rsidR="009E33C9" w:rsidRPr="009B0448" w:rsidRDefault="009E33C9" w:rsidP="00D04ED9">
      <w:pPr>
        <w:rPr>
          <w:rFonts w:ascii="Times New Roman" w:eastAsia="Times New Roman" w:hAnsi="Times New Roman" w:cs="Times New Roman"/>
          <w:color w:val="auto"/>
        </w:rPr>
      </w:pPr>
      <w:r w:rsidRPr="009B0448">
        <w:rPr>
          <w:rFonts w:ascii="Times New Roman" w:eastAsia="Times New Roman" w:hAnsi="Times New Roman" w:cs="Times New Roman"/>
          <w:color w:val="auto"/>
        </w:rPr>
        <w:br w:type="page"/>
      </w:r>
      <w:r w:rsidR="00527EA8" w:rsidRPr="009B0448">
        <w:rPr>
          <w:rFonts w:ascii="Times New Roman" w:eastAsia="Times New Roman" w:hAnsi="Times New Roman" w:cs="Times New Roman"/>
          <w:noProof/>
          <w:color w:val="auto"/>
          <w:lang w:eastAsia="en-GB"/>
        </w:rPr>
        <w:lastRenderedPageBreak/>
        <w:drawing>
          <wp:inline distT="0" distB="0" distL="0" distR="0" wp14:anchorId="622DF123" wp14:editId="12989B1B">
            <wp:extent cx="6164500" cy="5701990"/>
            <wp:effectExtent l="254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Clipped\Box 1.5.JPG"/>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rot="16200000">
                      <a:off x="0" y="0"/>
                      <a:ext cx="6174101" cy="5710871"/>
                    </a:xfrm>
                    <a:prstGeom prst="rect">
                      <a:avLst/>
                    </a:prstGeom>
                    <a:noFill/>
                    <a:ln>
                      <a:noFill/>
                    </a:ln>
                  </pic:spPr>
                </pic:pic>
              </a:graphicData>
            </a:graphic>
          </wp:inline>
        </w:drawing>
      </w:r>
    </w:p>
    <w:p w14:paraId="57DA9395" w14:textId="16BC32D5" w:rsidR="006B7655" w:rsidRPr="009B0448" w:rsidRDefault="00A8466E" w:rsidP="00FA7185">
      <w:pPr>
        <w:pStyle w:val="111"/>
        <w:numPr>
          <w:ilvl w:val="2"/>
          <w:numId w:val="10"/>
        </w:numPr>
        <w:spacing w:before="240" w:after="240"/>
        <w:ind w:left="709"/>
        <w:rPr>
          <w:rFonts w:cs="Times New Roman"/>
          <w:i w:val="0"/>
          <w:sz w:val="22"/>
          <w:szCs w:val="22"/>
        </w:rPr>
      </w:pPr>
      <w:bookmarkStart w:id="30" w:name="_Toc519499780"/>
      <w:r w:rsidRPr="009B0448">
        <w:rPr>
          <w:rFonts w:cs="Times New Roman"/>
          <w:i w:val="0"/>
          <w:sz w:val="22"/>
          <w:szCs w:val="22"/>
        </w:rPr>
        <w:t>Invasive species</w:t>
      </w:r>
      <w:bookmarkEnd w:id="30"/>
    </w:p>
    <w:p w14:paraId="3A498C09" w14:textId="195C9ED8" w:rsidR="006B7655"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Thousands of species have been introduced into Africa from around the globe and many are successfully cultivated for agriculture, forestry, fisheries and horticultural purposes. These species, </w:t>
      </w:r>
      <w:r w:rsidR="004A5BB6" w:rsidRPr="009B0448">
        <w:rPr>
          <w:rFonts w:ascii="Times New Roman" w:eastAsia="Times New Roman" w:hAnsi="Times New Roman" w:cs="Times New Roman"/>
        </w:rPr>
        <w:t>(</w:t>
      </w:r>
      <w:r w:rsidRPr="009B0448">
        <w:rPr>
          <w:rFonts w:ascii="Times New Roman" w:eastAsia="Times New Roman" w:hAnsi="Times New Roman" w:cs="Times New Roman"/>
        </w:rPr>
        <w:t>ani</w:t>
      </w:r>
      <w:r w:rsidR="004A5BB6" w:rsidRPr="009B0448">
        <w:rPr>
          <w:rFonts w:ascii="Times New Roman" w:eastAsia="Times New Roman" w:hAnsi="Times New Roman" w:cs="Times New Roman"/>
        </w:rPr>
        <w:t>mals, plants</w:t>
      </w:r>
      <w:r w:rsidRPr="009B0448">
        <w:rPr>
          <w:rFonts w:ascii="Times New Roman" w:eastAsia="Times New Roman" w:hAnsi="Times New Roman" w:cs="Times New Roman"/>
        </w:rPr>
        <w:t xml:space="preserve"> and micro-organisms</w:t>
      </w:r>
      <w:r w:rsidR="004A5BB6" w:rsidRPr="009B0448">
        <w:rPr>
          <w:rFonts w:ascii="Times New Roman" w:eastAsia="Times New Roman" w:hAnsi="Times New Roman" w:cs="Times New Roman"/>
        </w:rPr>
        <w:t>)</w:t>
      </w:r>
      <w:r w:rsidRPr="009B0448">
        <w:rPr>
          <w:rFonts w:ascii="Times New Roman" w:eastAsia="Times New Roman" w:hAnsi="Times New Roman" w:cs="Times New Roman"/>
        </w:rPr>
        <w:t>, sustain human populations and bring economic benefit to the continent. Unfortunately</w:t>
      </w:r>
      <w:r w:rsidR="007B732A">
        <w:rPr>
          <w:rFonts w:ascii="Times New Roman" w:eastAsia="Times New Roman" w:hAnsi="Times New Roman" w:cs="Times New Roman"/>
        </w:rPr>
        <w:t>,</w:t>
      </w:r>
      <w:r w:rsidRPr="009B0448">
        <w:rPr>
          <w:rFonts w:ascii="Times New Roman" w:eastAsia="Times New Roman" w:hAnsi="Times New Roman" w:cs="Times New Roman"/>
        </w:rPr>
        <w:t xml:space="preserve"> a small percentage of the thousands of species introduced are invasive. Invasive species can have serious negative impacts across all environments and many facets of life. The impact of invasive species in Africa has not been given adequate attention (Boy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and despite commitment to several international agreements and targets (such as: Aichi </w:t>
      </w:r>
      <w:r w:rsidR="008C0F38" w:rsidRPr="009B0448">
        <w:rPr>
          <w:rFonts w:ascii="Times New Roman" w:eastAsia="Times New Roman" w:hAnsi="Times New Roman" w:cs="Times New Roman"/>
        </w:rPr>
        <w:t xml:space="preserve">Biodiversity </w:t>
      </w:r>
      <w:r w:rsidRPr="009B0448">
        <w:rPr>
          <w:rFonts w:ascii="Times New Roman" w:eastAsia="Times New Roman" w:hAnsi="Times New Roman" w:cs="Times New Roman"/>
        </w:rPr>
        <w:t>Target 9, Article 8(h) of Convention of Biological Diversity, International Plant Protection Convention, Ballast Water Convention), little or no progress has been achieved to reverse the negative trends in invasive alien species (UNEP, 2012</w:t>
      </w:r>
      <w:r w:rsidR="00663335" w:rsidRPr="009B0448">
        <w:rPr>
          <w:rFonts w:ascii="Times New Roman" w:eastAsia="Times New Roman" w:hAnsi="Times New Roman" w:cs="Times New Roman"/>
        </w:rPr>
        <w:t>a</w:t>
      </w:r>
      <w:r w:rsidRPr="009B0448">
        <w:rPr>
          <w:rFonts w:ascii="Times New Roman" w:eastAsia="Times New Roman" w:hAnsi="Times New Roman" w:cs="Times New Roman"/>
        </w:rPr>
        <w:t xml:space="preserve">; Tittensor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w:t>
      </w:r>
    </w:p>
    <w:p w14:paraId="0FACBE76" w14:textId="77777777" w:rsidR="00465FE8" w:rsidRPr="009B0448" w:rsidRDefault="00465FE8" w:rsidP="00465FE8">
      <w:pPr>
        <w:spacing w:line="276" w:lineRule="auto"/>
        <w:jc w:val="both"/>
        <w:rPr>
          <w:rFonts w:ascii="Times New Roman" w:eastAsia="Times New Roman" w:hAnsi="Times New Roman" w:cs="Times New Roman"/>
        </w:rPr>
      </w:pPr>
    </w:p>
    <w:p w14:paraId="6BF3CA50" w14:textId="05672298" w:rsidR="004729F4"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lastRenderedPageBreak/>
        <w:t xml:space="preserve">Invasive alien species have an extremely harmful impact on African biodiversity and on Ecosystem Services (such as the sustainable, adequate supply of usable water, fertile soil for crop farming, natural pasturage for stock farming, loss of access to fisheries and beneficial insects for pollination and natural pest control) (see </w:t>
      </w:r>
      <w:r w:rsidR="00F31A4D" w:rsidRPr="009B0448">
        <w:rPr>
          <w:rFonts w:ascii="Times New Roman" w:eastAsia="Times New Roman" w:hAnsi="Times New Roman" w:cs="Times New Roman"/>
        </w:rPr>
        <w:t>Box</w:t>
      </w:r>
      <w:r w:rsidRPr="009B0448">
        <w:rPr>
          <w:rFonts w:ascii="Times New Roman" w:eastAsia="Times New Roman" w:hAnsi="Times New Roman" w:cs="Times New Roman"/>
        </w:rPr>
        <w:t xml:space="preserve"> 1.</w:t>
      </w:r>
      <w:r w:rsidR="00F31A4D" w:rsidRPr="009B0448">
        <w:rPr>
          <w:rFonts w:ascii="Times New Roman" w:eastAsia="Times New Roman" w:hAnsi="Times New Roman" w:cs="Times New Roman"/>
        </w:rPr>
        <w:t>6</w:t>
      </w:r>
      <w:r w:rsidRPr="009B0448">
        <w:rPr>
          <w:rFonts w:ascii="Times New Roman" w:eastAsia="Times New Roman" w:hAnsi="Times New Roman" w:cs="Times New Roman"/>
        </w:rPr>
        <w:t>).</w:t>
      </w:r>
    </w:p>
    <w:p w14:paraId="29DDE992" w14:textId="77777777" w:rsidR="00465FE8" w:rsidRPr="009B0448" w:rsidRDefault="00465FE8" w:rsidP="00465FE8">
      <w:pPr>
        <w:spacing w:line="276" w:lineRule="auto"/>
        <w:jc w:val="both"/>
        <w:rPr>
          <w:rFonts w:ascii="Times New Roman" w:eastAsia="Times New Roman" w:hAnsi="Times New Roman" w:cs="Times New Roman"/>
        </w:rPr>
      </w:pPr>
    </w:p>
    <w:p w14:paraId="3A692995" w14:textId="14297D45" w:rsidR="006B7655"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2001 the cost of managing invasive species worldwide was estimated at $1.4 trillion or 5% of global GDP (Pimentel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2001). This percentage GDP is likely to be much higher in Africa due to the relatively ad hoc and reactive management approaches to biological invasions in most African countries, where the lack of available information on the financial costs of conservation is frequent (Frazee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2003).</w:t>
      </w:r>
    </w:p>
    <w:p w14:paraId="6448A09D" w14:textId="77777777" w:rsidR="00465FE8" w:rsidRPr="009B0448" w:rsidRDefault="00465FE8" w:rsidP="00465FE8">
      <w:pPr>
        <w:spacing w:line="276" w:lineRule="auto"/>
        <w:jc w:val="both"/>
        <w:rPr>
          <w:rFonts w:ascii="Times New Roman" w:eastAsia="Times New Roman" w:hAnsi="Times New Roman" w:cs="Times New Roman"/>
        </w:rPr>
      </w:pPr>
    </w:p>
    <w:p w14:paraId="06675FAB" w14:textId="5754B202" w:rsidR="00390816"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Biological invasions may constitute a game changer, with unprecedented impacts that cost a great deal more to cure than prevent. Indeed, in many cases, complete “cure,” in the sense of returning to the pre-invasion state, is impossible. For example, the water hyacinth is one of the world’s most prevalent invasive aquatic plants and has invaded several freshwater systems in Africa and globally (Villamagna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Biological invasions present a problem for many human activities, </w:t>
      </w:r>
      <w:r w:rsidR="009459CB" w:rsidRPr="009B0448">
        <w:rPr>
          <w:rFonts w:ascii="Times New Roman" w:eastAsia="Times New Roman" w:hAnsi="Times New Roman" w:cs="Times New Roman"/>
        </w:rPr>
        <w:t xml:space="preserve">it is </w:t>
      </w:r>
      <w:r w:rsidRPr="009B0448">
        <w:rPr>
          <w:rFonts w:ascii="Times New Roman" w:eastAsia="Times New Roman" w:hAnsi="Times New Roman" w:cs="Times New Roman"/>
        </w:rPr>
        <w:t xml:space="preserve">a threat to biodiversity and involves high costs for their control (van Wyk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2002). It has been calculated that in the Working for Water programme in South Africa, over 3 billion Rand (~</w:t>
      </w:r>
      <w:r w:rsidR="008C0F38" w:rsidRPr="009B0448">
        <w:rPr>
          <w:rFonts w:ascii="Times New Roman" w:eastAsia="Times New Roman" w:hAnsi="Times New Roman" w:cs="Times New Roman"/>
        </w:rPr>
        <w:t>$</w:t>
      </w:r>
      <w:r w:rsidRPr="009B0448">
        <w:rPr>
          <w:rFonts w:ascii="Times New Roman" w:eastAsia="Times New Roman" w:hAnsi="Times New Roman" w:cs="Times New Roman"/>
        </w:rPr>
        <w:t xml:space="preserve">220 million) has been spent in dealing with the economic consequences of invasive plant species alone (Turpie, 2016). The Global Invasive Species Programme (GISP), CABI and IUCN developed a “toolkit” for the economic analysis of invasive species mostly focused on Africa (Emerton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One of the studies cited (Wise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assessed the economic impacts of five invasive alien species (one fish, one insect, the water hyacinth and two species of weeds) in different areas of Africa. Costs were significant at an individual level, ranging from 0.57 to over </w:t>
      </w:r>
      <w:r w:rsidR="008C0F38" w:rsidRPr="009B0448">
        <w:rPr>
          <w:rFonts w:ascii="Times New Roman" w:eastAsia="Times New Roman" w:hAnsi="Times New Roman" w:cs="Times New Roman"/>
        </w:rPr>
        <w:t>$</w:t>
      </w:r>
      <w:r w:rsidRPr="009B0448">
        <w:rPr>
          <w:rFonts w:ascii="Times New Roman" w:eastAsia="Times New Roman" w:hAnsi="Times New Roman" w:cs="Times New Roman"/>
        </w:rPr>
        <w:t xml:space="preserve">400 per capita per year, impacting poor and vulnerable communities of farmers and </w:t>
      </w:r>
      <w:r w:rsidR="007B732A">
        <w:rPr>
          <w:rFonts w:ascii="Times New Roman" w:eastAsia="Times New Roman" w:hAnsi="Times New Roman" w:cs="Times New Roman"/>
        </w:rPr>
        <w:t>fisher</w:t>
      </w:r>
      <w:r w:rsidR="00D47F8F" w:rsidRPr="009B0448">
        <w:rPr>
          <w:rFonts w:ascii="Times New Roman" w:eastAsia="Times New Roman" w:hAnsi="Times New Roman" w:cs="Times New Roman"/>
        </w:rPr>
        <w:t>folk</w:t>
      </w:r>
      <w:r w:rsidRPr="009B0448">
        <w:rPr>
          <w:rFonts w:ascii="Times New Roman" w:eastAsia="Times New Roman" w:hAnsi="Times New Roman" w:cs="Times New Roman"/>
        </w:rPr>
        <w:t>.</w:t>
      </w:r>
    </w:p>
    <w:p w14:paraId="5979A5B7" w14:textId="77777777" w:rsidR="00465FE8" w:rsidRPr="009B0448" w:rsidRDefault="00465FE8" w:rsidP="00465FE8">
      <w:pPr>
        <w:spacing w:line="276" w:lineRule="auto"/>
        <w:jc w:val="both"/>
        <w:rPr>
          <w:rFonts w:ascii="Times New Roman" w:eastAsia="Times New Roman" w:hAnsi="Times New Roman" w:cs="Times New Roman"/>
        </w:rPr>
      </w:pPr>
    </w:p>
    <w:p w14:paraId="1BD2ECC3" w14:textId="47416D16" w:rsidR="00C53E47"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most cost-effective, short-term actions called for are: firstly, prevention of introduction of known and potentially invasive species into each country, using screening at all points of entry, and secondly, their early detection and eradication where possible, using mechanical and chemical means (Preston</w:t>
      </w:r>
      <w:r w:rsidR="008C0F38" w:rsidRPr="009B0448">
        <w:rPr>
          <w:rFonts w:ascii="Times New Roman" w:eastAsia="Times New Roman" w:hAnsi="Times New Roman" w:cs="Times New Roman"/>
        </w:rPr>
        <w:t xml:space="preserv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2000).</w:t>
      </w:r>
    </w:p>
    <w:p w14:paraId="66AABA72" w14:textId="77777777" w:rsidR="003F49CC" w:rsidRPr="009B0448" w:rsidRDefault="003F49CC" w:rsidP="00465FE8">
      <w:pPr>
        <w:spacing w:line="276" w:lineRule="auto"/>
        <w:jc w:val="both"/>
        <w:rPr>
          <w:rFonts w:ascii="Times New Roman" w:eastAsia="Times New Roman" w:hAnsi="Times New Roman" w:cs="Times New Roman"/>
        </w:rPr>
      </w:pPr>
    </w:p>
    <w:p w14:paraId="67243050" w14:textId="5083F4AA" w:rsidR="00465FE8"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With increased international trade and transport, many more invasive species could still be introduced into Africa. Countries need to collaborate to manage the pathways of introduction to reduce the arrival of new potentially invasive species (international obligations to manage pathways covered in Chapter 4, section 4.2.2.</w:t>
      </w:r>
      <w:r w:rsidR="002363B6" w:rsidRPr="009B0448">
        <w:rPr>
          <w:rFonts w:ascii="Times New Roman" w:eastAsia="Times New Roman" w:hAnsi="Times New Roman" w:cs="Times New Roman"/>
        </w:rPr>
        <w:t>4</w:t>
      </w:r>
      <w:r w:rsidRPr="009B0448">
        <w:rPr>
          <w:rFonts w:ascii="Times New Roman" w:eastAsia="Times New Roman" w:hAnsi="Times New Roman" w:cs="Times New Roman"/>
        </w:rPr>
        <w:t>.1). Invasive species do not respect political boundaries and, thus, governments across the continent need to collaborate (see Chapter 4, section 4.2.2.</w:t>
      </w:r>
      <w:r w:rsidR="002363B6" w:rsidRPr="009B0448">
        <w:rPr>
          <w:rFonts w:ascii="Times New Roman" w:eastAsia="Times New Roman" w:hAnsi="Times New Roman" w:cs="Times New Roman"/>
        </w:rPr>
        <w:t>4</w:t>
      </w:r>
      <w:r w:rsidRPr="009B0448">
        <w:rPr>
          <w:rFonts w:ascii="Times New Roman" w:eastAsia="Times New Roman" w:hAnsi="Times New Roman" w:cs="Times New Roman"/>
        </w:rPr>
        <w:t>).</w:t>
      </w:r>
    </w:p>
    <w:p w14:paraId="17B34DCD" w14:textId="77777777" w:rsidR="00D04ED9" w:rsidRDefault="00D04ED9" w:rsidP="00D04ED9">
      <w:pPr>
        <w:spacing w:line="276" w:lineRule="auto"/>
        <w:jc w:val="both"/>
        <w:rPr>
          <w:rFonts w:ascii="Times New Roman" w:eastAsia="Times New Roman" w:hAnsi="Times New Roman" w:cs="Times New Roman"/>
        </w:rPr>
      </w:pPr>
    </w:p>
    <w:p w14:paraId="58ABAE71" w14:textId="77777777" w:rsidR="00D04ED9" w:rsidRDefault="00D04ED9" w:rsidP="00D04ED9">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Efforts to protect Africa’s rich natural resources, food production and human livelihoods from the impacts of invasive species will require investment from governments. Lack of taxonomic expertise and a dwindling number of trained taxonomists employed in Africa and around the world will negatively impact efforts to address the issue of invasive species (Pyšek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2013). Adequate information on presence and impact of invasive species is vital for planning, but not available in many countries. Clear national and regional management plans for hig</w:t>
      </w:r>
      <w:r>
        <w:rPr>
          <w:rFonts w:ascii="Times New Roman" w:eastAsia="Times New Roman" w:hAnsi="Times New Roman" w:cs="Times New Roman"/>
        </w:rPr>
        <w:t>h-</w:t>
      </w:r>
      <w:r w:rsidRPr="009B0448">
        <w:rPr>
          <w:rFonts w:ascii="Times New Roman" w:eastAsia="Times New Roman" w:hAnsi="Times New Roman" w:cs="Times New Roman"/>
        </w:rPr>
        <w:t xml:space="preserve">risk species need to be developed and implemented. The challenge is particularly acute for small island developing states (SIDS), and integrated coastal management is generally the recommended strategy that should help reduce the vulnerability and enhance </w:t>
      </w:r>
      <w:r>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resilience of SIDS facing invasive species (Cohen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Of particular interest are research initiatives and networks devoted to reducing the rates and impacts of biological invasions by furthering scientific understanding and predictive capability, and by developing research capacity </w:t>
      </w:r>
    </w:p>
    <w:p w14:paraId="1547D095" w14:textId="1FCAADEA" w:rsidR="00D04ED9" w:rsidRDefault="00D04ED9" w:rsidP="00D04ED9">
      <w:pPr>
        <w:spacing w:line="276" w:lineRule="auto"/>
        <w:jc w:val="both"/>
        <w:rPr>
          <w:rFonts w:ascii="Times New Roman" w:eastAsia="Times New Roman" w:hAnsi="Times New Roman" w:cs="Times New Roman"/>
        </w:rPr>
      </w:pPr>
      <w:r>
        <w:rPr>
          <w:rFonts w:ascii="Times New Roman" w:eastAsia="Times New Roman" w:hAnsi="Times New Roman" w:cs="Times New Roman"/>
          <w:noProof/>
          <w:lang w:eastAsia="en-GB"/>
        </w:rPr>
        <w:lastRenderedPageBreak/>
        <w:drawing>
          <wp:inline distT="0" distB="0" distL="0" distR="0" wp14:anchorId="3D7E9D56" wp14:editId="464E1632">
            <wp:extent cx="5732145" cy="7666355"/>
            <wp:effectExtent l="0" t="0" r="190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Box 1.6.JPG"/>
                    <pic:cNvPicPr/>
                  </pic:nvPicPr>
                  <pic:blipFill>
                    <a:blip r:embed="rId37">
                      <a:extLst>
                        <a:ext uri="{28A0092B-C50C-407E-A947-70E740481C1C}">
                          <a14:useLocalDpi xmlns:a14="http://schemas.microsoft.com/office/drawing/2010/main" val="0"/>
                        </a:ext>
                      </a:extLst>
                    </a:blip>
                    <a:stretch>
                      <a:fillRect/>
                    </a:stretch>
                  </pic:blipFill>
                  <pic:spPr>
                    <a:xfrm>
                      <a:off x="0" y="0"/>
                      <a:ext cx="5732145" cy="7666355"/>
                    </a:xfrm>
                    <a:prstGeom prst="rect">
                      <a:avLst/>
                    </a:prstGeom>
                  </pic:spPr>
                </pic:pic>
              </a:graphicData>
            </a:graphic>
          </wp:inline>
        </w:drawing>
      </w:r>
    </w:p>
    <w:p w14:paraId="3CB64AFD" w14:textId="77777777" w:rsidR="00D04ED9" w:rsidRDefault="00D04ED9" w:rsidP="00D04ED9">
      <w:pPr>
        <w:spacing w:line="276" w:lineRule="auto"/>
        <w:jc w:val="both"/>
        <w:rPr>
          <w:rFonts w:ascii="Times New Roman" w:eastAsia="Times New Roman" w:hAnsi="Times New Roman" w:cs="Times New Roman"/>
        </w:rPr>
      </w:pPr>
    </w:p>
    <w:p w14:paraId="54BC7C66" w14:textId="4D501BD0" w:rsidR="00D04ED9" w:rsidRPr="009B0448" w:rsidRDefault="00D04ED9" w:rsidP="00D04ED9">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(elaborated on in Chapter 4, section 4.2.2.4). South Africa, for example, has established scientific and participative networks (</w:t>
      </w:r>
      <w:hyperlink r:id="rId38" w:history="1">
        <w:r w:rsidRPr="009B0448">
          <w:rPr>
            <w:rStyle w:val="Hyperlink"/>
            <w:rFonts w:ascii="Times New Roman" w:eastAsia="Times New Roman" w:hAnsi="Times New Roman" w:cs="Times New Roman"/>
          </w:rPr>
          <w:t>http://academic.sun.ac.za/cib/</w:t>
        </w:r>
      </w:hyperlink>
      <w:r w:rsidRPr="009B0448">
        <w:rPr>
          <w:rFonts w:ascii="Times New Roman" w:eastAsia="Times New Roman" w:hAnsi="Times New Roman" w:cs="Times New Roman"/>
        </w:rPr>
        <w:t xml:space="preserve"> and </w:t>
      </w:r>
      <w:hyperlink r:id="rId39" w:history="1">
        <w:r w:rsidRPr="009B0448">
          <w:rPr>
            <w:rStyle w:val="Hyperlink"/>
            <w:rFonts w:ascii="Times New Roman" w:eastAsia="Times New Roman" w:hAnsi="Times New Roman" w:cs="Times New Roman"/>
          </w:rPr>
          <w:t>http://www.invasives.org.za</w:t>
        </w:r>
      </w:hyperlink>
      <w:r w:rsidRPr="009B0448">
        <w:rPr>
          <w:rFonts w:ascii="Times New Roman" w:eastAsia="Times New Roman" w:hAnsi="Times New Roman" w:cs="Times New Roman"/>
        </w:rPr>
        <w:t xml:space="preserve">) in order to tackle the country’s environmental and socio-economic issues associated with invasive species. Such initiatives have engaged citizens in national monitoring networks and scientific knowledge on invasive species (van Wilgen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2014), and should be promoted across the African continent.</w:t>
      </w:r>
    </w:p>
    <w:p w14:paraId="268E9515" w14:textId="3D46FEDB" w:rsidR="00BB6BDE" w:rsidRDefault="00BB6BDE" w:rsidP="00465FE8">
      <w:pPr>
        <w:spacing w:line="276" w:lineRule="auto"/>
        <w:jc w:val="both"/>
        <w:rPr>
          <w:rFonts w:ascii="Times New Roman" w:eastAsia="Times New Roman" w:hAnsi="Times New Roman" w:cs="Times New Roman"/>
        </w:rPr>
      </w:pPr>
    </w:p>
    <w:p w14:paraId="0B6154FD" w14:textId="77C5D812" w:rsidR="006B7655"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Protection of environmental services from invasion and management of invasions in these high biodiversity areas should be given priority. Intergovernmental sharing of information and collaboration to prevent </w:t>
      </w:r>
      <w:r w:rsidR="007B732A">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introduction of invasive species into Africa should be the primary approach to limit the threat of invasive species. </w:t>
      </w:r>
      <w:r w:rsidR="00422236" w:rsidRPr="009B0448">
        <w:rPr>
          <w:rFonts w:ascii="Times New Roman" w:eastAsia="Times New Roman" w:hAnsi="Times New Roman" w:cs="Times New Roman"/>
        </w:rPr>
        <w:t>Such sharing</w:t>
      </w:r>
      <w:r w:rsidRPr="009B0448">
        <w:rPr>
          <w:rFonts w:ascii="Times New Roman" w:eastAsia="Times New Roman" w:hAnsi="Times New Roman" w:cs="Times New Roman"/>
        </w:rPr>
        <w:t xml:space="preserve"> of expertise and joint funding would minimi</w:t>
      </w:r>
      <w:r w:rsidR="00E526DF" w:rsidRPr="009B0448">
        <w:rPr>
          <w:rFonts w:ascii="Times New Roman" w:eastAsia="Times New Roman" w:hAnsi="Times New Roman" w:cs="Times New Roman"/>
        </w:rPr>
        <w:t>s</w:t>
      </w:r>
      <w:r w:rsidR="00264EBF" w:rsidRPr="009B0448">
        <w:rPr>
          <w:rFonts w:ascii="Times New Roman" w:eastAsia="Times New Roman" w:hAnsi="Times New Roman" w:cs="Times New Roman"/>
        </w:rPr>
        <w:t>e the cost and maximis</w:t>
      </w:r>
      <w:r w:rsidRPr="009B0448">
        <w:rPr>
          <w:rFonts w:ascii="Times New Roman" w:eastAsia="Times New Roman" w:hAnsi="Times New Roman" w:cs="Times New Roman"/>
        </w:rPr>
        <w:t xml:space="preserve">e the </w:t>
      </w:r>
      <w:r w:rsidR="009459CB" w:rsidRPr="009B0448">
        <w:rPr>
          <w:rFonts w:ascii="Times New Roman" w:eastAsia="Times New Roman" w:hAnsi="Times New Roman" w:cs="Times New Roman"/>
        </w:rPr>
        <w:t xml:space="preserve">benefits of remedial </w:t>
      </w:r>
      <w:r w:rsidRPr="009B0448">
        <w:rPr>
          <w:rFonts w:ascii="Times New Roman" w:eastAsia="Times New Roman" w:hAnsi="Times New Roman" w:cs="Times New Roman"/>
        </w:rPr>
        <w:t xml:space="preserve">environmental and socio-economic </w:t>
      </w:r>
      <w:r w:rsidR="009459CB" w:rsidRPr="009B0448">
        <w:rPr>
          <w:rFonts w:ascii="Times New Roman" w:eastAsia="Times New Roman" w:hAnsi="Times New Roman" w:cs="Times New Roman"/>
        </w:rPr>
        <w:t xml:space="preserve">action </w:t>
      </w:r>
      <w:r w:rsidR="005A6AF4" w:rsidRPr="009B0448">
        <w:rPr>
          <w:rFonts w:ascii="Times New Roman" w:eastAsia="Times New Roman" w:hAnsi="Times New Roman" w:cs="Times New Roman"/>
        </w:rPr>
        <w:t xml:space="preserve">for individual countries </w:t>
      </w:r>
      <w:r w:rsidRPr="009B0448">
        <w:rPr>
          <w:rFonts w:ascii="Times New Roman" w:eastAsia="Times New Roman" w:hAnsi="Times New Roman" w:cs="Times New Roman"/>
        </w:rPr>
        <w:t xml:space="preserve">(Boy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 It is inefficient and ineffective to treat each invasion in isolation. It is, therefore, imperative that national governments and regional bodies adopt a biosecurity approach defined as “a strategic and integrated approach that encompasses the policy and regulatory frameworks (including instruments and activities) that analyse and manage risks in the sectors of food safety, animal life and health, and plant life and health, including associated environmental risk” (FAO, 2007b).</w:t>
      </w:r>
    </w:p>
    <w:p w14:paraId="426A0D3A" w14:textId="77777777" w:rsidR="00465FE8" w:rsidRPr="009B0448" w:rsidRDefault="00465FE8" w:rsidP="00465FE8">
      <w:pPr>
        <w:spacing w:line="276" w:lineRule="auto"/>
        <w:jc w:val="both"/>
        <w:rPr>
          <w:rFonts w:ascii="Times New Roman" w:eastAsia="Times New Roman" w:hAnsi="Times New Roman" w:cs="Times New Roman"/>
        </w:rPr>
      </w:pPr>
    </w:p>
    <w:p w14:paraId="79DD6144" w14:textId="3A2990CA" w:rsidR="004729F4"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Some of these impacts are the unintended consequences of well-meaning development initiatives. For example, </w:t>
      </w:r>
      <w:r w:rsidRPr="009B0448">
        <w:rPr>
          <w:rFonts w:ascii="Times New Roman" w:eastAsia="Times New Roman" w:hAnsi="Times New Roman" w:cs="Times New Roman"/>
          <w:i/>
        </w:rPr>
        <w:t>Prosopis juliflora</w:t>
      </w:r>
      <w:r w:rsidRPr="009B0448">
        <w:rPr>
          <w:rFonts w:ascii="Times New Roman" w:eastAsia="Times New Roman" w:hAnsi="Times New Roman" w:cs="Times New Roman"/>
        </w:rPr>
        <w:t xml:space="preserve"> (kn</w:t>
      </w:r>
      <w:r w:rsidR="008C0F38" w:rsidRPr="009B0448">
        <w:rPr>
          <w:rFonts w:ascii="Times New Roman" w:eastAsia="Times New Roman" w:hAnsi="Times New Roman" w:cs="Times New Roman"/>
        </w:rPr>
        <w:t xml:space="preserve">own by many in Ethiopia as the </w:t>
      </w:r>
      <w:r w:rsidRPr="009B0448">
        <w:rPr>
          <w:rFonts w:ascii="Times New Roman" w:eastAsia="Times New Roman" w:hAnsi="Times New Roman" w:cs="Times New Roman"/>
        </w:rPr>
        <w:t xml:space="preserve">Devil Tree) was introduced through agro-forestry initiatives to many semi-arid parts of Africa. The advantages and negative impacts of introduced </w:t>
      </w:r>
      <w:r w:rsidRPr="009B0448">
        <w:rPr>
          <w:rFonts w:ascii="Times New Roman" w:eastAsia="Times New Roman" w:hAnsi="Times New Roman" w:cs="Times New Roman"/>
          <w:i/>
        </w:rPr>
        <w:t xml:space="preserve">Prosopis </w:t>
      </w:r>
      <w:r w:rsidRPr="009B0448">
        <w:rPr>
          <w:rFonts w:ascii="Times New Roman" w:eastAsia="Times New Roman" w:hAnsi="Times New Roman" w:cs="Times New Roman"/>
        </w:rPr>
        <w:t>have been explored. The negative impacts include im</w:t>
      </w:r>
      <w:r w:rsidR="00203B47">
        <w:rPr>
          <w:rFonts w:ascii="Times New Roman" w:eastAsia="Times New Roman" w:hAnsi="Times New Roman" w:cs="Times New Roman"/>
        </w:rPr>
        <w:t>penetrable thickets along water</w:t>
      </w:r>
      <w:r w:rsidRPr="009B0448">
        <w:rPr>
          <w:rFonts w:ascii="Times New Roman" w:eastAsia="Times New Roman" w:hAnsi="Times New Roman" w:cs="Times New Roman"/>
        </w:rPr>
        <w:t>cou</w:t>
      </w:r>
      <w:r w:rsidR="007B732A">
        <w:rPr>
          <w:rFonts w:ascii="Times New Roman" w:eastAsia="Times New Roman" w:hAnsi="Times New Roman" w:cs="Times New Roman"/>
        </w:rPr>
        <w:t>rses;</w:t>
      </w:r>
      <w:r w:rsidR="008C0F38" w:rsidRPr="009B0448">
        <w:rPr>
          <w:rFonts w:ascii="Times New Roman" w:eastAsia="Times New Roman" w:hAnsi="Times New Roman" w:cs="Times New Roman"/>
        </w:rPr>
        <w:t xml:space="preserve"> invasion of pastureland</w:t>
      </w:r>
      <w:r w:rsidR="007B732A">
        <w:rPr>
          <w:rFonts w:ascii="Times New Roman" w:eastAsia="Times New Roman" w:hAnsi="Times New Roman" w:cs="Times New Roman"/>
        </w:rPr>
        <w:t>;</w:t>
      </w:r>
      <w:r w:rsidR="008C0F38" w:rsidRPr="009B0448">
        <w:rPr>
          <w:rFonts w:ascii="Times New Roman" w:eastAsia="Times New Roman" w:hAnsi="Times New Roman" w:cs="Times New Roman"/>
        </w:rPr>
        <w:t xml:space="preserve"> </w:t>
      </w:r>
      <w:r w:rsidRPr="009B0448">
        <w:rPr>
          <w:rFonts w:ascii="Times New Roman" w:eastAsia="Times New Roman" w:hAnsi="Times New Roman" w:cs="Times New Roman"/>
        </w:rPr>
        <w:t>harmful effect</w:t>
      </w:r>
      <w:r w:rsidR="008C0F38" w:rsidRPr="009B0448">
        <w:rPr>
          <w:rFonts w:ascii="Times New Roman" w:eastAsia="Times New Roman" w:hAnsi="Times New Roman" w:cs="Times New Roman"/>
        </w:rPr>
        <w:t>s</w:t>
      </w:r>
      <w:r w:rsidRPr="009B0448">
        <w:rPr>
          <w:rFonts w:ascii="Times New Roman" w:eastAsia="Times New Roman" w:hAnsi="Times New Roman" w:cs="Times New Roman"/>
        </w:rPr>
        <w:t xml:space="preserve"> of thorns</w:t>
      </w:r>
      <w:r w:rsidR="007B732A">
        <w:rPr>
          <w:rFonts w:ascii="Times New Roman" w:eastAsia="Times New Roman" w:hAnsi="Times New Roman" w:cs="Times New Roman"/>
        </w:rPr>
        <w:t>;</w:t>
      </w:r>
      <w:r w:rsidRPr="009B0448">
        <w:rPr>
          <w:rFonts w:ascii="Times New Roman" w:eastAsia="Times New Roman" w:hAnsi="Times New Roman" w:cs="Times New Roman"/>
        </w:rPr>
        <w:t xml:space="preserve"> and reduction of growth of indigenous plants (Mwangi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Maundu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w:t>
      </w:r>
      <w:r w:rsidR="007A3CF0" w:rsidRPr="009B0448">
        <w:rPr>
          <w:rFonts w:ascii="Times New Roman" w:eastAsia="Times New Roman" w:hAnsi="Times New Roman" w:cs="Times New Roman"/>
        </w:rPr>
        <w:t>09</w:t>
      </w:r>
      <w:r w:rsidRPr="009B0448">
        <w:rPr>
          <w:rFonts w:ascii="Times New Roman" w:eastAsia="Times New Roman" w:hAnsi="Times New Roman" w:cs="Times New Roman"/>
        </w:rPr>
        <w:t xml:space="preserve">). Through shifts in vegetation biomass and soil properties (Ilukor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2016) it</w:t>
      </w:r>
      <w:r w:rsidR="00203B47">
        <w:rPr>
          <w:rFonts w:ascii="Times New Roman" w:eastAsia="Times New Roman" w:hAnsi="Times New Roman" w:cs="Times New Roman"/>
        </w:rPr>
        <w:t>,</w:t>
      </w:r>
      <w:r w:rsidRPr="009B0448">
        <w:rPr>
          <w:rFonts w:ascii="Times New Roman" w:eastAsia="Times New Roman" w:hAnsi="Times New Roman" w:cs="Times New Roman"/>
        </w:rPr>
        <w:t xml:space="preserve"> directly and indirectly</w:t>
      </w:r>
      <w:r w:rsidR="00203B47">
        <w:rPr>
          <w:rFonts w:ascii="Times New Roman" w:eastAsia="Times New Roman" w:hAnsi="Times New Roman" w:cs="Times New Roman"/>
        </w:rPr>
        <w:t>,</w:t>
      </w:r>
      <w:r w:rsidRPr="009B0448">
        <w:rPr>
          <w:rFonts w:ascii="Times New Roman" w:eastAsia="Times New Roman" w:hAnsi="Times New Roman" w:cs="Times New Roman"/>
        </w:rPr>
        <w:t xml:space="preserve"> affects </w:t>
      </w:r>
      <w:r w:rsidR="00203B47">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food security of those in already economically and politically marginal situations (Maundu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Shackleton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 It is essential that development agencies adopt a thorough risk analysis process to minimise the chances of scoring disastrous “own goals” through well-intended species introductions.</w:t>
      </w:r>
    </w:p>
    <w:p w14:paraId="3D71F87E" w14:textId="77777777" w:rsidR="00465FE8" w:rsidRPr="009B0448" w:rsidRDefault="00465FE8" w:rsidP="00465FE8">
      <w:pPr>
        <w:spacing w:line="276" w:lineRule="auto"/>
        <w:jc w:val="both"/>
        <w:rPr>
          <w:rFonts w:ascii="Times New Roman" w:eastAsia="Times New Roman" w:hAnsi="Times New Roman" w:cs="Times New Roman"/>
        </w:rPr>
      </w:pPr>
    </w:p>
    <w:p w14:paraId="0C3DAF81" w14:textId="2B6562B5" w:rsidR="006B7655"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For over a hundred years, biological control, namely the introduction of host-specific natural enemies of the target invasive species, to permanently suppress the populations of invasive species to a tolerable lev</w:t>
      </w:r>
      <w:r w:rsidR="00203B47">
        <w:rPr>
          <w:rFonts w:ascii="Times New Roman" w:eastAsia="Times New Roman" w:hAnsi="Times New Roman" w:cs="Times New Roman"/>
        </w:rPr>
        <w:t>el has been successfully practis</w:t>
      </w:r>
      <w:r w:rsidRPr="009B0448">
        <w:rPr>
          <w:rFonts w:ascii="Times New Roman" w:eastAsia="Times New Roman" w:hAnsi="Times New Roman" w:cs="Times New Roman"/>
        </w:rPr>
        <w:t xml:space="preserve">ed in Africa. Despite the fact that some unintended consequences may have led to the concern that possible environmental benefits do not warrant risks (Simberloff, 2011), biological control is still considered the most cost-effective, long-term action to manage established invasive species even given costly research and investment in quarantine facilities (van Wilgen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2011). Yet, biological control requires flexibility in policy design and application to account for uncertainty and cost-benefit is</w:t>
      </w:r>
      <w:r w:rsidR="00AC4346" w:rsidRPr="009B0448">
        <w:rPr>
          <w:rFonts w:ascii="Times New Roman" w:eastAsia="Times New Roman" w:hAnsi="Times New Roman" w:cs="Times New Roman"/>
        </w:rPr>
        <w:t xml:space="preserve">sues (Keller </w:t>
      </w:r>
      <w:r w:rsidR="000429F8" w:rsidRPr="009B0448">
        <w:rPr>
          <w:rFonts w:ascii="Times New Roman" w:eastAsia="Times New Roman" w:hAnsi="Times New Roman" w:cs="Times New Roman"/>
          <w:i/>
        </w:rPr>
        <w:t>et al.</w:t>
      </w:r>
      <w:r w:rsidR="00AC4346" w:rsidRPr="009B0448">
        <w:rPr>
          <w:rFonts w:ascii="Times New Roman" w:eastAsia="Times New Roman" w:hAnsi="Times New Roman" w:cs="Times New Roman"/>
        </w:rPr>
        <w:t>, 2009; Sims</w:t>
      </w:r>
      <w:r w:rsidRPr="009B0448">
        <w:rPr>
          <w:rFonts w:ascii="Times New Roman" w:eastAsia="Times New Roman" w:hAnsi="Times New Roman" w:cs="Times New Roman"/>
        </w:rPr>
        <w:t xml:space="preserv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2016). It is mandatory to test the safety and potential effectiveness of the candidate biocontrol agents (namely whether or not they are host-specific to the target invasive species, and present no threat to indigenous or economically important species, and whether they are able, under laboratory conditions, to reduce the growth and reproduction of the invasive species). Human capital development in all fields of invasive species management is required in order for Africa to prevent new introductions and to reduce the impact of existing invasions.</w:t>
      </w:r>
    </w:p>
    <w:p w14:paraId="3582B1D2" w14:textId="3D6D14D4" w:rsidR="006B7655" w:rsidRPr="009B0448" w:rsidRDefault="00A8466E" w:rsidP="00FA7185">
      <w:pPr>
        <w:pStyle w:val="111"/>
        <w:numPr>
          <w:ilvl w:val="2"/>
          <w:numId w:val="10"/>
        </w:numPr>
        <w:spacing w:before="240" w:after="240"/>
        <w:ind w:left="709"/>
        <w:rPr>
          <w:rFonts w:cs="Times New Roman"/>
          <w:i w:val="0"/>
          <w:sz w:val="22"/>
          <w:szCs w:val="22"/>
        </w:rPr>
      </w:pPr>
      <w:bookmarkStart w:id="31" w:name="_Toc519499781"/>
      <w:r w:rsidRPr="009B0448">
        <w:rPr>
          <w:rFonts w:cs="Times New Roman"/>
          <w:i w:val="0"/>
          <w:sz w:val="22"/>
          <w:szCs w:val="22"/>
        </w:rPr>
        <w:t>Habitat degradation and restoration (marine and terrestrial)</w:t>
      </w:r>
      <w:bookmarkEnd w:id="31"/>
    </w:p>
    <w:p w14:paraId="197CD662" w14:textId="5169C1F8" w:rsidR="006B7655"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Land degradation is a scientific conception, based on the idea that ecosystems tend to reach a stable stage that can be disturbed by human use of resources. But the rise of the disequilibrium concept in ecology, combined with works of archaeologists and anthropologists who described the practices of local populations related to the environment, make it possible to consider some of these practices as part of the natural functioning of ecosystems, and factors that contributed to their present state.</w:t>
      </w:r>
    </w:p>
    <w:p w14:paraId="735CF87B" w14:textId="77777777" w:rsidR="00465FE8" w:rsidRPr="009B0448" w:rsidRDefault="00465FE8" w:rsidP="00465FE8">
      <w:pPr>
        <w:spacing w:line="276" w:lineRule="auto"/>
        <w:jc w:val="both"/>
        <w:rPr>
          <w:rFonts w:ascii="Times New Roman" w:eastAsia="Times New Roman" w:hAnsi="Times New Roman" w:cs="Times New Roman"/>
        </w:rPr>
      </w:pPr>
    </w:p>
    <w:p w14:paraId="5F54644B" w14:textId="142EE42B" w:rsidR="006B7655"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Land, freshwater, estuaries and the oceans are a finite, non-renewable natural capital, and the biological productivity generated is used by people for food production/harvesting and therefore the degradation </w:t>
      </w:r>
      <w:r w:rsidRPr="009B0448">
        <w:rPr>
          <w:rFonts w:ascii="Times New Roman" w:eastAsia="Times New Roman" w:hAnsi="Times New Roman" w:cs="Times New Roman"/>
        </w:rPr>
        <w:lastRenderedPageBreak/>
        <w:t xml:space="preserve">of the land and water has a direct impact on agricultural and fisheries productivity (Chasek </w:t>
      </w:r>
      <w:r w:rsidR="000429F8" w:rsidRPr="009B0448">
        <w:rPr>
          <w:rFonts w:ascii="Times New Roman" w:eastAsia="Times New Roman" w:hAnsi="Times New Roman" w:cs="Times New Roman"/>
          <w:i/>
        </w:rPr>
        <w:t>et al.</w:t>
      </w:r>
      <w:r w:rsidR="00917FB2">
        <w:rPr>
          <w:rFonts w:ascii="Times New Roman" w:eastAsia="Times New Roman" w:hAnsi="Times New Roman" w:cs="Times New Roman"/>
        </w:rPr>
        <w:t>, 2015). Land-</w:t>
      </w:r>
      <w:r w:rsidRPr="009B0448">
        <w:rPr>
          <w:rFonts w:ascii="Times New Roman" w:eastAsia="Times New Roman" w:hAnsi="Times New Roman" w:cs="Times New Roman"/>
        </w:rPr>
        <w:t>use changes in Africa have transformed land cover to farmlands, grazing lands, human settlements and urban centres at the expense of natural vegetation. These changes are often associated with deforestation, overgrazing and deteriorating rangelands, decreased access to potable water, erosion, pollution, overfishing, biodiversity loss and land degradation (</w:t>
      </w:r>
      <w:r w:rsidR="00AC4346" w:rsidRPr="009B0448">
        <w:rPr>
          <w:rFonts w:ascii="Times New Roman" w:eastAsia="Times New Roman" w:hAnsi="Times New Roman" w:cs="Times New Roman"/>
        </w:rPr>
        <w:t xml:space="preserve">Maitima </w:t>
      </w:r>
      <w:r w:rsidR="000429F8" w:rsidRPr="009B0448">
        <w:rPr>
          <w:rFonts w:ascii="Times New Roman" w:eastAsia="Times New Roman" w:hAnsi="Times New Roman" w:cs="Times New Roman"/>
          <w:i/>
        </w:rPr>
        <w:t>et al.</w:t>
      </w:r>
      <w:r w:rsidR="00AC4346" w:rsidRPr="009B0448">
        <w:rPr>
          <w:rFonts w:ascii="Times New Roman" w:eastAsia="Times New Roman" w:hAnsi="Times New Roman" w:cs="Times New Roman"/>
        </w:rPr>
        <w:t xml:space="preserve">, 2009; </w:t>
      </w:r>
      <w:r w:rsidRPr="009B0448">
        <w:rPr>
          <w:rFonts w:ascii="Times New Roman" w:eastAsia="Times New Roman" w:hAnsi="Times New Roman" w:cs="Times New Roman"/>
        </w:rPr>
        <w:t xml:space="preserve">Nachtergaele </w:t>
      </w:r>
      <w:r w:rsidR="000429F8" w:rsidRPr="009B0448">
        <w:rPr>
          <w:rFonts w:ascii="Times New Roman" w:eastAsia="Times New Roman" w:hAnsi="Times New Roman" w:cs="Times New Roman"/>
          <w:i/>
        </w:rPr>
        <w:t>et al.</w:t>
      </w:r>
      <w:r w:rsidR="00AC4346" w:rsidRPr="009B0448">
        <w:rPr>
          <w:rFonts w:ascii="Times New Roman" w:eastAsia="Times New Roman" w:hAnsi="Times New Roman" w:cs="Times New Roman"/>
        </w:rPr>
        <w:t>, 2011</w:t>
      </w:r>
      <w:r w:rsidRPr="009B0448">
        <w:rPr>
          <w:rFonts w:ascii="Times New Roman" w:eastAsia="Times New Roman" w:hAnsi="Times New Roman" w:cs="Times New Roman"/>
        </w:rPr>
        <w:t xml:space="preserve">) (see Chapters 4 and 5). Land degradation and desertification can be defined as a persistent reduction or loss of the biological and economic productivity resulting from climatic variations and human activities (Adeel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Bai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Vogt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w:t>
      </w:r>
      <w:r w:rsidR="002719E6" w:rsidRPr="009B0448">
        <w:rPr>
          <w:rFonts w:ascii="Times New Roman" w:eastAsia="Times New Roman" w:hAnsi="Times New Roman" w:cs="Times New Roman"/>
        </w:rPr>
        <w:t xml:space="preserve"> </w:t>
      </w:r>
      <w:r w:rsidRPr="009B0448">
        <w:rPr>
          <w:rFonts w:ascii="Times New Roman" w:eastAsia="Times New Roman" w:hAnsi="Times New Roman" w:cs="Times New Roman"/>
        </w:rPr>
        <w:t>2011), which is sufficiently broad to also be applicable to the marine and freshwater environment.</w:t>
      </w:r>
    </w:p>
    <w:p w14:paraId="57F52823" w14:textId="77777777" w:rsidR="00465FE8" w:rsidRPr="009B0448" w:rsidRDefault="00465FE8" w:rsidP="00465FE8">
      <w:pPr>
        <w:spacing w:line="276" w:lineRule="auto"/>
        <w:jc w:val="both"/>
        <w:rPr>
          <w:rFonts w:ascii="Times New Roman" w:eastAsia="Times New Roman" w:hAnsi="Times New Roman" w:cs="Times New Roman"/>
        </w:rPr>
      </w:pPr>
    </w:p>
    <w:p w14:paraId="4B9B6248" w14:textId="23772043" w:rsidR="006B7655"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Thirty-three terrestrial ecoregions with globally important biological values </w:t>
      </w:r>
      <w:r w:rsidR="00422236" w:rsidRPr="009B0448">
        <w:rPr>
          <w:rFonts w:ascii="Times New Roman" w:eastAsia="Times New Roman" w:hAnsi="Times New Roman" w:cs="Times New Roman"/>
        </w:rPr>
        <w:t xml:space="preserve">that are </w:t>
      </w:r>
      <w:r w:rsidRPr="009B0448">
        <w:rPr>
          <w:rFonts w:ascii="Times New Roman" w:eastAsia="Times New Roman" w:hAnsi="Times New Roman" w:cs="Times New Roman"/>
        </w:rPr>
        <w:t xml:space="preserve">highly threatened were distinguished by Burgess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most of which are on offshore islands (</w:t>
      </w:r>
      <w:r w:rsidR="00095190" w:rsidRPr="009B0448">
        <w:rPr>
          <w:rFonts w:ascii="Times New Roman" w:eastAsia="Times New Roman" w:hAnsi="Times New Roman" w:cs="Times New Roman"/>
        </w:rPr>
        <w:t>twelve</w:t>
      </w:r>
      <w:r w:rsidRPr="009B0448">
        <w:rPr>
          <w:rFonts w:ascii="Times New Roman" w:eastAsia="Times New Roman" w:hAnsi="Times New Roman" w:cs="Times New Roman"/>
        </w:rPr>
        <w:t>) or on mainland montane areas (</w:t>
      </w:r>
      <w:r w:rsidR="00095190" w:rsidRPr="009B0448">
        <w:rPr>
          <w:rFonts w:ascii="Times New Roman" w:eastAsia="Times New Roman" w:hAnsi="Times New Roman" w:cs="Times New Roman"/>
        </w:rPr>
        <w:t>fourteen</w:t>
      </w:r>
      <w:r w:rsidRPr="009B0448">
        <w:rPr>
          <w:rFonts w:ascii="Times New Roman" w:eastAsia="Times New Roman" w:hAnsi="Times New Roman" w:cs="Times New Roman"/>
        </w:rPr>
        <w:t xml:space="preserve">) and </w:t>
      </w:r>
      <w:r w:rsidR="00095190" w:rsidRPr="009B0448">
        <w:rPr>
          <w:rFonts w:ascii="Times New Roman" w:eastAsia="Times New Roman" w:hAnsi="Times New Roman" w:cs="Times New Roman"/>
        </w:rPr>
        <w:t>seven</w:t>
      </w:r>
      <w:r w:rsidRPr="009B0448">
        <w:rPr>
          <w:rFonts w:ascii="Times New Roman" w:eastAsia="Times New Roman" w:hAnsi="Times New Roman" w:cs="Times New Roman"/>
        </w:rPr>
        <w:t xml:space="preserve"> in the lowlands. Endangered ec</w:t>
      </w:r>
      <w:r w:rsidR="009F4956" w:rsidRPr="009B0448">
        <w:rPr>
          <w:rFonts w:ascii="Times New Roman" w:eastAsia="Times New Roman" w:hAnsi="Times New Roman" w:cs="Times New Roman"/>
        </w:rPr>
        <w:t>oregions are shown in Figure 1.9</w:t>
      </w:r>
      <w:r w:rsidRPr="009B0448">
        <w:rPr>
          <w:rFonts w:ascii="Times New Roman" w:eastAsia="Times New Roman" w:hAnsi="Times New Roman" w:cs="Times New Roman"/>
        </w:rPr>
        <w:t>. Six marine ecoregions with the highest biodiversity significance were distinguished by T</w:t>
      </w:r>
      <w:r w:rsidR="00E27B31" w:rsidRPr="009B0448">
        <w:rPr>
          <w:rFonts w:ascii="Times New Roman" w:eastAsia="Times New Roman" w:hAnsi="Times New Roman" w:cs="Times New Roman"/>
        </w:rPr>
        <w:t xml:space="preserve">ear </w:t>
      </w:r>
      <w:r w:rsidR="000429F8" w:rsidRPr="009B0448">
        <w:rPr>
          <w:rFonts w:ascii="Times New Roman" w:eastAsia="Times New Roman" w:hAnsi="Times New Roman" w:cs="Times New Roman"/>
          <w:i/>
        </w:rPr>
        <w:t>et al.</w:t>
      </w:r>
      <w:r w:rsidR="00E27B31" w:rsidRPr="009B0448">
        <w:rPr>
          <w:rFonts w:ascii="Times New Roman" w:eastAsia="Times New Roman" w:hAnsi="Times New Roman" w:cs="Times New Roman"/>
        </w:rPr>
        <w:t xml:space="preserve"> (2014) among which are</w:t>
      </w:r>
      <w:r w:rsidRPr="009B0448">
        <w:rPr>
          <w:rFonts w:ascii="Times New Roman" w:eastAsia="Times New Roman" w:hAnsi="Times New Roman" w:cs="Times New Roman"/>
        </w:rPr>
        <w:t xml:space="preserve"> the Mascarene </w:t>
      </w:r>
      <w:r w:rsidR="001F35EF" w:rsidRPr="009B0448">
        <w:rPr>
          <w:rFonts w:ascii="Times New Roman" w:eastAsia="Times New Roman" w:hAnsi="Times New Roman" w:cs="Times New Roman"/>
        </w:rPr>
        <w:t>Islands</w:t>
      </w:r>
      <w:r w:rsidRPr="009B0448">
        <w:rPr>
          <w:rFonts w:ascii="Times New Roman" w:eastAsia="Times New Roman" w:hAnsi="Times New Roman" w:cs="Times New Roman"/>
        </w:rPr>
        <w:t xml:space="preserve"> of the Indian Ocean bordered by the Kenya and Tanzania coastal region and the North-western Madagascar coastal region (Figure 1.1</w:t>
      </w:r>
      <w:r w:rsidR="009F4956" w:rsidRPr="009B0448">
        <w:rPr>
          <w:rFonts w:ascii="Times New Roman" w:eastAsia="Times New Roman" w:hAnsi="Times New Roman" w:cs="Times New Roman"/>
        </w:rPr>
        <w:t>0</w:t>
      </w:r>
      <w:r w:rsidRPr="009B0448">
        <w:rPr>
          <w:rFonts w:ascii="Times New Roman" w:eastAsia="Times New Roman" w:hAnsi="Times New Roman" w:cs="Times New Roman"/>
        </w:rPr>
        <w:t xml:space="preserve">). Selig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2014) developed an index based on a global assessment of the condition of marine biodiversity using publically available data to estimate the condition of species and habitats within 151 coastal countries. They also found a strong positive relationship between the Human Development Index and resilience measures that could promote greater sustainability by reducing pressures. This relationship suggests that countries lacking effective governance will further jeopardize their ability to maintain species and habitats in the future.</w:t>
      </w:r>
    </w:p>
    <w:p w14:paraId="548D83AC" w14:textId="77777777" w:rsidR="00465FE8" w:rsidRPr="009B0448" w:rsidRDefault="00465FE8" w:rsidP="00465FE8">
      <w:pPr>
        <w:spacing w:line="276" w:lineRule="auto"/>
        <w:jc w:val="both"/>
        <w:rPr>
          <w:rFonts w:ascii="Times New Roman" w:eastAsia="Times New Roman" w:hAnsi="Times New Roman" w:cs="Times New Roman"/>
        </w:rPr>
      </w:pPr>
    </w:p>
    <w:p w14:paraId="7868D8AB" w14:textId="745FBD74" w:rsidR="00D04ED9" w:rsidRDefault="00A8466E" w:rsidP="004E7D8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Causes of land and water degradation in Africa include, among others, rising consumption patterns, demographic growth, conflicts and wars with internal and external displacement, inappropriate soil management, pollution, insecurity in land tenure, variation of climatic conditions and the intrinsic characteristics of fragile soils in diverse agro-ecological zones (Thiombiano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(further information in Chapter 4, with </w:t>
      </w:r>
      <w:r w:rsidR="00AE49CC" w:rsidRPr="009B0448">
        <w:rPr>
          <w:rFonts w:ascii="Times New Roman" w:eastAsia="Times New Roman" w:hAnsi="Times New Roman" w:cs="Times New Roman"/>
        </w:rPr>
        <w:t>implications</w:t>
      </w:r>
      <w:r w:rsidRPr="009B0448">
        <w:rPr>
          <w:rFonts w:ascii="Times New Roman" w:eastAsia="Times New Roman" w:hAnsi="Times New Roman" w:cs="Times New Roman"/>
        </w:rPr>
        <w:t xml:space="preserve"> considered in Chapter 5). </w:t>
      </w:r>
      <w:r w:rsidR="004E7D8C" w:rsidRPr="009B0448">
        <w:rPr>
          <w:rFonts w:ascii="Times New Roman" w:eastAsia="Times New Roman" w:hAnsi="Times New Roman" w:cs="Times New Roman"/>
        </w:rPr>
        <w:t xml:space="preserve">Land degradation severity, extent and trend is variable in Africa and affects about 46% of the continent, and the semi-arid areas of Africa are particularly vulnerable, as most of the area is characterised by fragile soils, localised high population densities, and low-input agriculture (WMO 2006; Bai </w:t>
      </w:r>
      <w:r w:rsidR="000429F8" w:rsidRPr="009B0448">
        <w:rPr>
          <w:rFonts w:ascii="Times New Roman" w:eastAsia="Times New Roman" w:hAnsi="Times New Roman" w:cs="Times New Roman"/>
          <w:i/>
        </w:rPr>
        <w:t>et al.</w:t>
      </w:r>
      <w:r w:rsidR="004E7D8C" w:rsidRPr="009B0448">
        <w:rPr>
          <w:rFonts w:ascii="Times New Roman" w:eastAsia="Times New Roman" w:hAnsi="Times New Roman" w:cs="Times New Roman"/>
        </w:rPr>
        <w:t>, 2008).</w:t>
      </w:r>
    </w:p>
    <w:p w14:paraId="694D0C42" w14:textId="77777777" w:rsidR="00D04ED9" w:rsidRPr="009B0448" w:rsidRDefault="00D04ED9" w:rsidP="00D04ED9">
      <w:pPr>
        <w:spacing w:line="276" w:lineRule="auto"/>
        <w:jc w:val="both"/>
        <w:rPr>
          <w:rFonts w:ascii="Times New Roman" w:eastAsia="Times New Roman" w:hAnsi="Times New Roman" w:cs="Times New Roman"/>
        </w:rPr>
      </w:pPr>
    </w:p>
    <w:p w14:paraId="4BDC2ECC" w14:textId="77777777" w:rsidR="00D04ED9" w:rsidRPr="009B0448" w:rsidRDefault="00D04ED9" w:rsidP="00D04ED9">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Of the productive land area, up to two thirds are estimated to be affected by land degradation (Jones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UNCCD, 2013), and desertification affects 45% of Africa’s land area with 55% of this area at high or very high risk of further degradation (UNEP/ELD, 2015). At the same time, flora and fauna in desert areas suffer the effects of climate change (Durant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2014) and populations of megafauna</w:t>
      </w:r>
      <w:r>
        <w:rPr>
          <w:rFonts w:ascii="Times New Roman" w:eastAsia="Times New Roman" w:hAnsi="Times New Roman" w:cs="Times New Roman"/>
        </w:rPr>
        <w:t>,</w:t>
      </w:r>
      <w:r w:rsidRPr="009B0448">
        <w:rPr>
          <w:rFonts w:ascii="Times New Roman" w:eastAsia="Times New Roman" w:hAnsi="Times New Roman" w:cs="Times New Roman"/>
        </w:rPr>
        <w:t xml:space="preserve"> in particular</w:t>
      </w:r>
      <w:r>
        <w:rPr>
          <w:rFonts w:ascii="Times New Roman" w:eastAsia="Times New Roman" w:hAnsi="Times New Roman" w:cs="Times New Roman"/>
        </w:rPr>
        <w:t>,</w:t>
      </w:r>
      <w:r w:rsidRPr="009B0448">
        <w:rPr>
          <w:rFonts w:ascii="Times New Roman" w:eastAsia="Times New Roman" w:hAnsi="Times New Roman" w:cs="Times New Roman"/>
        </w:rPr>
        <w:t xml:space="preserve"> are collapsing.</w:t>
      </w:r>
    </w:p>
    <w:p w14:paraId="58FC1463" w14:textId="77777777" w:rsidR="00D04ED9" w:rsidRPr="009B0448" w:rsidRDefault="00D04ED9" w:rsidP="00D04ED9">
      <w:pPr>
        <w:spacing w:line="276" w:lineRule="auto"/>
        <w:jc w:val="both"/>
        <w:rPr>
          <w:rFonts w:ascii="Times New Roman" w:eastAsia="Times New Roman" w:hAnsi="Times New Roman" w:cs="Times New Roman"/>
        </w:rPr>
      </w:pPr>
    </w:p>
    <w:p w14:paraId="59A6F05B" w14:textId="77777777" w:rsidR="00D04ED9" w:rsidRPr="009B0448" w:rsidRDefault="00D04ED9" w:rsidP="00D04ED9">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It is expected that the interrelation between land degradation and climate change may lead to an expansion of land degradation in the future (Thiombiano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Vu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2014). A strategy against land degradation has been developed for Africa in support of the United Nations Convention to Combat Desertification (UNCCD) to prevent, control and reverse land and water degradation in areas with medium to high production potential that are critical for people’s livelihoods (MA, 2005; GEF, 2014; UNCCD, 2014; UNEP/ELD, 2015).</w:t>
      </w:r>
    </w:p>
    <w:p w14:paraId="27C26C65" w14:textId="27B8D24F" w:rsidR="004E7D8C" w:rsidRPr="009B0448" w:rsidRDefault="004E7D8C" w:rsidP="004E7D8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br w:type="page"/>
      </w:r>
    </w:p>
    <w:p w14:paraId="7E496565" w14:textId="5620F576" w:rsidR="006B7655" w:rsidRPr="009B0448" w:rsidRDefault="004E7D8C" w:rsidP="00527EA8">
      <w:pPr>
        <w:spacing w:line="276" w:lineRule="auto"/>
        <w:rPr>
          <w:rFonts w:ascii="Times New Roman" w:eastAsia="Times New Roman" w:hAnsi="Times New Roman" w:cs="Times New Roman"/>
        </w:rPr>
      </w:pPr>
      <w:r w:rsidRPr="009B0448">
        <w:rPr>
          <w:rFonts w:ascii="Times New Roman" w:hAnsi="Times New Roman" w:cs="Times New Roman"/>
          <w:noProof/>
          <w:lang w:eastAsia="en-GB"/>
        </w:rPr>
        <w:lastRenderedPageBreak/>
        <w:drawing>
          <wp:inline distT="0" distB="0" distL="0" distR="0" wp14:anchorId="0A2C2412" wp14:editId="37A52E7C">
            <wp:extent cx="5714542" cy="5154292"/>
            <wp:effectExtent l="0" t="0" r="635" b="8890"/>
            <wp:docPr id="1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0">
                      <a:extLst>
                        <a:ext uri="{28A0092B-C50C-407E-A947-70E740481C1C}">
                          <a14:useLocalDpi xmlns:a14="http://schemas.microsoft.com/office/drawing/2010/main" val="0"/>
                        </a:ext>
                      </a:extLst>
                    </a:blip>
                    <a:stretch>
                      <a:fillRect/>
                    </a:stretch>
                  </pic:blipFill>
                  <pic:spPr>
                    <a:xfrm>
                      <a:off x="0" y="0"/>
                      <a:ext cx="5714542" cy="5154292"/>
                    </a:xfrm>
                    <a:prstGeom prst="rect">
                      <a:avLst/>
                    </a:prstGeom>
                    <a:ln/>
                  </pic:spPr>
                </pic:pic>
              </a:graphicData>
            </a:graphic>
          </wp:inline>
        </w:drawing>
      </w:r>
    </w:p>
    <w:p w14:paraId="708C9148" w14:textId="65D4E521" w:rsidR="006B7655" w:rsidRPr="009B0448" w:rsidRDefault="009F4956"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1.9</w:t>
      </w:r>
      <w:r w:rsidR="00A8466E" w:rsidRPr="009B0448">
        <w:rPr>
          <w:rFonts w:ascii="Times New Roman" w:eastAsia="Times New Roman" w:hAnsi="Times New Roman" w:cs="Times New Roman"/>
        </w:rPr>
        <w:t xml:space="preserve">: </w:t>
      </w:r>
      <w:r w:rsidR="009D085F" w:rsidRPr="009B0448">
        <w:rPr>
          <w:rFonts w:ascii="Times New Roman" w:eastAsia="Times New Roman" w:hAnsi="Times New Roman" w:cs="Times New Roman"/>
        </w:rPr>
        <w:t xml:space="preserve">Conservation status of terrestrial ecoregions of Africa. Sources: Olson </w:t>
      </w:r>
      <w:r w:rsidR="009D085F" w:rsidRPr="009B0448">
        <w:rPr>
          <w:rFonts w:ascii="Times New Roman" w:eastAsia="Times New Roman" w:hAnsi="Times New Roman" w:cs="Times New Roman"/>
          <w:i/>
        </w:rPr>
        <w:t>et al.</w:t>
      </w:r>
      <w:r w:rsidR="009D085F" w:rsidRPr="009B0448">
        <w:rPr>
          <w:rFonts w:ascii="Times New Roman" w:eastAsia="Times New Roman" w:hAnsi="Times New Roman" w:cs="Times New Roman"/>
        </w:rPr>
        <w:t xml:space="preserve"> (2001); Burgess </w:t>
      </w:r>
      <w:r w:rsidR="009D085F" w:rsidRPr="009B0448">
        <w:rPr>
          <w:rFonts w:ascii="Times New Roman" w:eastAsia="Times New Roman" w:hAnsi="Times New Roman" w:cs="Times New Roman"/>
          <w:i/>
        </w:rPr>
        <w:t>et al.</w:t>
      </w:r>
      <w:r w:rsidR="009D085F" w:rsidRPr="009B0448">
        <w:rPr>
          <w:rFonts w:ascii="Times New Roman" w:eastAsia="Times New Roman" w:hAnsi="Times New Roman" w:cs="Times New Roman"/>
        </w:rPr>
        <w:t xml:space="preserve"> (2006).</w:t>
      </w:r>
    </w:p>
    <w:p w14:paraId="5BAE7CE7" w14:textId="10C725B4" w:rsidR="006B7655" w:rsidRPr="009B0448" w:rsidRDefault="006B7655" w:rsidP="00465FE8">
      <w:pPr>
        <w:spacing w:line="276" w:lineRule="auto"/>
        <w:jc w:val="both"/>
        <w:rPr>
          <w:rFonts w:ascii="Times New Roman" w:eastAsia="Times New Roman" w:hAnsi="Times New Roman" w:cs="Times New Roman"/>
        </w:rPr>
      </w:pPr>
    </w:p>
    <w:p w14:paraId="4FFA8C99" w14:textId="24DDBF70" w:rsidR="006B7655" w:rsidRPr="009B0448" w:rsidRDefault="00527EA8" w:rsidP="00527EA8">
      <w:pPr>
        <w:spacing w:line="276" w:lineRule="auto"/>
        <w:rPr>
          <w:rFonts w:ascii="Times New Roman" w:eastAsia="Times New Roman" w:hAnsi="Times New Roman" w:cs="Times New Roman"/>
        </w:rPr>
      </w:pPr>
      <w:r w:rsidRPr="009B0448">
        <w:rPr>
          <w:rFonts w:ascii="Times New Roman" w:eastAsia="Times New Roman" w:hAnsi="Times New Roman" w:cs="Times New Roman"/>
          <w:noProof/>
          <w:lang w:eastAsia="en-GB"/>
        </w:rPr>
        <w:lastRenderedPageBreak/>
        <w:drawing>
          <wp:inline distT="0" distB="0" distL="0" distR="0" wp14:anchorId="4CE0F700" wp14:editId="0B00360B">
            <wp:extent cx="5730240" cy="5049237"/>
            <wp:effectExtent l="0" t="0" r="381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Clipped\Fig 1.10.JPG"/>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730240" cy="5049237"/>
                    </a:xfrm>
                    <a:prstGeom prst="rect">
                      <a:avLst/>
                    </a:prstGeom>
                    <a:noFill/>
                    <a:ln>
                      <a:noFill/>
                    </a:ln>
                  </pic:spPr>
                </pic:pic>
              </a:graphicData>
            </a:graphic>
          </wp:inline>
        </w:drawing>
      </w:r>
    </w:p>
    <w:p w14:paraId="60ED1A15" w14:textId="59913119" w:rsidR="004E7D8C" w:rsidRPr="009B0448" w:rsidRDefault="00A8466E" w:rsidP="004E7D8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1.1</w:t>
      </w:r>
      <w:r w:rsidR="009F4956" w:rsidRPr="009B0448">
        <w:rPr>
          <w:rFonts w:ascii="Times New Roman" w:eastAsia="Times New Roman" w:hAnsi="Times New Roman" w:cs="Times New Roman"/>
          <w:b/>
        </w:rPr>
        <w:t>0</w:t>
      </w:r>
      <w:r w:rsidRPr="009B0448">
        <w:rPr>
          <w:rFonts w:ascii="Times New Roman" w:eastAsia="Times New Roman" w:hAnsi="Times New Roman" w:cs="Times New Roman"/>
        </w:rPr>
        <w:t xml:space="preserve">: </w:t>
      </w:r>
      <w:r w:rsidR="009D085F" w:rsidRPr="009B0448">
        <w:rPr>
          <w:rFonts w:ascii="Times New Roman" w:eastAsia="Times New Roman" w:hAnsi="Times New Roman" w:cs="Times New Roman"/>
        </w:rPr>
        <w:t xml:space="preserve">Marine and freshwater ecoregions in Africa with the highest biodiversity significance rating. Sources: Abell </w:t>
      </w:r>
      <w:r w:rsidR="009D085F" w:rsidRPr="009B0448">
        <w:rPr>
          <w:rFonts w:ascii="Times New Roman" w:eastAsia="Times New Roman" w:hAnsi="Times New Roman" w:cs="Times New Roman"/>
          <w:i/>
        </w:rPr>
        <w:t>et al.</w:t>
      </w:r>
      <w:r w:rsidR="009D085F" w:rsidRPr="009B0448">
        <w:rPr>
          <w:rFonts w:ascii="Times New Roman" w:eastAsia="Times New Roman" w:hAnsi="Times New Roman" w:cs="Times New Roman"/>
        </w:rPr>
        <w:t xml:space="preserve"> (2008); Tear </w:t>
      </w:r>
      <w:r w:rsidR="009D085F" w:rsidRPr="009B0448">
        <w:rPr>
          <w:rFonts w:ascii="Times New Roman" w:eastAsia="Times New Roman" w:hAnsi="Times New Roman" w:cs="Times New Roman"/>
          <w:i/>
        </w:rPr>
        <w:t>et al.</w:t>
      </w:r>
      <w:r w:rsidR="009D085F" w:rsidRPr="009B0448">
        <w:rPr>
          <w:rFonts w:ascii="Times New Roman" w:eastAsia="Times New Roman" w:hAnsi="Times New Roman" w:cs="Times New Roman"/>
        </w:rPr>
        <w:t xml:space="preserve"> (2014).</w:t>
      </w:r>
    </w:p>
    <w:p w14:paraId="4E40339F" w14:textId="41516E31" w:rsidR="006B7655" w:rsidRPr="009B0448" w:rsidRDefault="00A8466E" w:rsidP="00FA7185">
      <w:pPr>
        <w:pStyle w:val="111"/>
        <w:numPr>
          <w:ilvl w:val="2"/>
          <w:numId w:val="10"/>
        </w:numPr>
        <w:spacing w:before="240" w:after="240"/>
        <w:ind w:left="709"/>
        <w:rPr>
          <w:rFonts w:cs="Times New Roman"/>
          <w:i w:val="0"/>
          <w:sz w:val="22"/>
          <w:szCs w:val="22"/>
        </w:rPr>
      </w:pPr>
      <w:bookmarkStart w:id="32" w:name="_Toc519499782"/>
      <w:r w:rsidRPr="009B0448">
        <w:rPr>
          <w:rFonts w:cs="Times New Roman"/>
          <w:i w:val="0"/>
          <w:sz w:val="22"/>
          <w:szCs w:val="22"/>
        </w:rPr>
        <w:t>Population, poverty and health</w:t>
      </w:r>
      <w:bookmarkEnd w:id="32"/>
    </w:p>
    <w:p w14:paraId="10094A09" w14:textId="60BA1DDB" w:rsidR="006B7655" w:rsidRPr="009B0448" w:rsidRDefault="00A8466E" w:rsidP="00FA7185">
      <w:pPr>
        <w:pStyle w:val="111"/>
        <w:numPr>
          <w:ilvl w:val="3"/>
          <w:numId w:val="10"/>
        </w:numPr>
        <w:spacing w:before="240" w:after="240"/>
        <w:ind w:left="851" w:hanging="862"/>
        <w:rPr>
          <w:rFonts w:cs="Times New Roman"/>
          <w:sz w:val="22"/>
          <w:szCs w:val="22"/>
        </w:rPr>
      </w:pPr>
      <w:bookmarkStart w:id="33" w:name="_Toc519499783"/>
      <w:r w:rsidRPr="009B0448">
        <w:rPr>
          <w:rFonts w:cs="Times New Roman"/>
          <w:sz w:val="22"/>
          <w:szCs w:val="22"/>
        </w:rPr>
        <w:t>Population dynamics and their implications</w:t>
      </w:r>
      <w:bookmarkEnd w:id="33"/>
    </w:p>
    <w:p w14:paraId="2C74D885" w14:textId="74C28550" w:rsidR="006B7655"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2017, Africa’s population reached 1.25 billion</w:t>
      </w:r>
      <w:r w:rsidR="00AC4346" w:rsidRPr="009B0448">
        <w:rPr>
          <w:rStyle w:val="FootnoteReference"/>
          <w:rFonts w:ascii="Times New Roman" w:eastAsia="Times New Roman" w:hAnsi="Times New Roman" w:cs="Times New Roman"/>
        </w:rPr>
        <w:footnoteReference w:id="1"/>
      </w:r>
      <w:r w:rsidRPr="009B0448">
        <w:rPr>
          <w:rFonts w:ascii="Times New Roman" w:eastAsia="Times New Roman" w:hAnsi="Times New Roman" w:cs="Times New Roman"/>
        </w:rPr>
        <w:t>, representin</w:t>
      </w:r>
      <w:r w:rsidR="00E570EC" w:rsidRPr="009B0448">
        <w:rPr>
          <w:rFonts w:ascii="Times New Roman" w:eastAsia="Times New Roman" w:hAnsi="Times New Roman" w:cs="Times New Roman"/>
        </w:rPr>
        <w:t>g 16.4% of the world population</w:t>
      </w:r>
      <w:r w:rsidRPr="009B0448">
        <w:rPr>
          <w:rFonts w:ascii="Times New Roman" w:eastAsia="Times New Roman" w:hAnsi="Times New Roman" w:cs="Times New Roman"/>
        </w:rPr>
        <w:t>. The UN’s medium estimates suggest that population growth will remain strong in the coming decades so that by 2050, one in four people in the world will be African (26.2% of the world population). The accuracy and availability of population census data var</w:t>
      </w:r>
      <w:r w:rsidR="00017424">
        <w:rPr>
          <w:rFonts w:ascii="Times New Roman" w:eastAsia="Times New Roman" w:hAnsi="Times New Roman" w:cs="Times New Roman"/>
        </w:rPr>
        <w:t>y</w:t>
      </w:r>
      <w:r w:rsidRPr="009B0448">
        <w:rPr>
          <w:rFonts w:ascii="Times New Roman" w:eastAsia="Times New Roman" w:hAnsi="Times New Roman" w:cs="Times New Roman"/>
        </w:rPr>
        <w:t xml:space="preserve"> but the data that do exist suggest highly varied trends and prospect</w:t>
      </w:r>
      <w:r w:rsidR="009F4956" w:rsidRPr="009B0448">
        <w:rPr>
          <w:rFonts w:ascii="Times New Roman" w:eastAsia="Times New Roman" w:hAnsi="Times New Roman" w:cs="Times New Roman"/>
        </w:rPr>
        <w:t>s across the region (Figure 1.11</w:t>
      </w:r>
      <w:r w:rsidRPr="009B0448">
        <w:rPr>
          <w:rFonts w:ascii="Times New Roman" w:eastAsia="Times New Roman" w:hAnsi="Times New Roman" w:cs="Times New Roman"/>
        </w:rPr>
        <w:t>). Nevertheless, by 2100, 19 African nations are expected to reach populations of &gt;75 million people with the total population of the four most populous African countries anticipated to be approaching 1.7 billion, considerably more than the entire population of Africa in 2015 (</w:t>
      </w:r>
      <w:r w:rsidR="00E570EC" w:rsidRPr="009B0448">
        <w:rPr>
          <w:rFonts w:ascii="Times New Roman" w:eastAsia="Times New Roman" w:hAnsi="Times New Roman" w:cs="Times New Roman"/>
        </w:rPr>
        <w:t>UN</w:t>
      </w:r>
      <w:r w:rsidRPr="009B0448">
        <w:rPr>
          <w:rFonts w:ascii="Times New Roman" w:eastAsia="Times New Roman" w:hAnsi="Times New Roman" w:cs="Times New Roman"/>
        </w:rPr>
        <w:t>, 2015a). These estimates are highly dependent on fertility rates, but recognise that 19 of the world’s 22 ‘high fertility’ countries (where women have 5 or more children on average) are located in Africa. Africa also shows the world’s greatest increases in life expectancy and reductions in child mortality, though again there are distinct regional variations (</w:t>
      </w:r>
      <w:r w:rsidR="00E570EC" w:rsidRPr="009B0448">
        <w:rPr>
          <w:rFonts w:ascii="Times New Roman" w:eastAsia="Times New Roman" w:hAnsi="Times New Roman" w:cs="Times New Roman"/>
        </w:rPr>
        <w:t>UN</w:t>
      </w:r>
      <w:r w:rsidRPr="009B0448">
        <w:rPr>
          <w:rFonts w:ascii="Times New Roman" w:eastAsia="Times New Roman" w:hAnsi="Times New Roman" w:cs="Times New Roman"/>
        </w:rPr>
        <w:t>, 2015a).</w:t>
      </w:r>
    </w:p>
    <w:p w14:paraId="0E0F22E7" w14:textId="77777777" w:rsidR="00465FE8" w:rsidRPr="009B0448" w:rsidRDefault="00465FE8" w:rsidP="00465FE8">
      <w:pPr>
        <w:spacing w:line="276" w:lineRule="auto"/>
        <w:jc w:val="both"/>
        <w:rPr>
          <w:rFonts w:ascii="Times New Roman" w:eastAsia="Times New Roman" w:hAnsi="Times New Roman" w:cs="Times New Roman"/>
        </w:rPr>
      </w:pPr>
    </w:p>
    <w:p w14:paraId="6F898374" w14:textId="1D5A238F" w:rsidR="006B7655"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lastRenderedPageBreak/>
        <w:t xml:space="preserve">Strong population growth inevitably presents challenges which need to be effectively managed. However, it also presents opportunities. Africa’s population will </w:t>
      </w:r>
      <w:r w:rsidR="009F4956" w:rsidRPr="009B0448">
        <w:rPr>
          <w:rFonts w:ascii="Times New Roman" w:eastAsia="Times New Roman" w:hAnsi="Times New Roman" w:cs="Times New Roman"/>
        </w:rPr>
        <w:t>be relatively young (Figure 1.11</w:t>
      </w:r>
      <w:r w:rsidRPr="009B0448">
        <w:rPr>
          <w:rFonts w:ascii="Times New Roman" w:eastAsia="Times New Roman" w:hAnsi="Times New Roman" w:cs="Times New Roman"/>
        </w:rPr>
        <w:t xml:space="preserve">), with more favourable ratios between working and non-working aged people compared to </w:t>
      </w:r>
      <w:r w:rsidR="00E27B31" w:rsidRPr="009B0448">
        <w:rPr>
          <w:rFonts w:ascii="Times New Roman" w:eastAsia="Times New Roman" w:hAnsi="Times New Roman" w:cs="Times New Roman"/>
        </w:rPr>
        <w:t>certain other</w:t>
      </w:r>
      <w:r w:rsidRPr="009B0448">
        <w:rPr>
          <w:rFonts w:ascii="Times New Roman" w:eastAsia="Times New Roman" w:hAnsi="Times New Roman" w:cs="Times New Roman"/>
        </w:rPr>
        <w:t xml:space="preserve"> parts of the world – the so-called ‘demographic dividend’ (Canning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By 2040, the continent will be home to the largest working-age population in the world (Roxburgh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2010). Furthermore, the continent still retains important global resources in terms of commodities, untapped potential for food production and latent consumer demand (</w:t>
      </w:r>
      <w:r w:rsidR="00E570EC" w:rsidRPr="009B0448">
        <w:rPr>
          <w:rFonts w:ascii="Times New Roman" w:eastAsia="Times New Roman" w:hAnsi="Times New Roman" w:cs="Times New Roman"/>
        </w:rPr>
        <w:t>UN</w:t>
      </w:r>
      <w:r w:rsidRPr="009B0448">
        <w:rPr>
          <w:rFonts w:ascii="Times New Roman" w:eastAsia="Times New Roman" w:hAnsi="Times New Roman" w:cs="Times New Roman"/>
        </w:rPr>
        <w:t xml:space="preserve">, 2015a). These are some of the reasons why Africa has been termed the ‘sleeping giant of the world economy’ (Roxburgh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2010).</w:t>
      </w:r>
    </w:p>
    <w:p w14:paraId="6ECFE501" w14:textId="7AA5E8B4" w:rsidR="004B3B41" w:rsidRPr="009B0448" w:rsidRDefault="00D04ED9"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noProof/>
          <w:lang w:eastAsia="en-GB"/>
        </w:rPr>
        <w:drawing>
          <wp:inline distT="0" distB="0" distL="0" distR="0" wp14:anchorId="49DD2B90" wp14:editId="2D7E3D01">
            <wp:extent cx="5678902" cy="7237708"/>
            <wp:effectExtent l="0" t="0" r="0" b="190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Clipped\Fig 1.11.JPG"/>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687124" cy="7248187"/>
                    </a:xfrm>
                    <a:prstGeom prst="rect">
                      <a:avLst/>
                    </a:prstGeom>
                    <a:noFill/>
                    <a:ln>
                      <a:noFill/>
                    </a:ln>
                  </pic:spPr>
                </pic:pic>
              </a:graphicData>
            </a:graphic>
          </wp:inline>
        </w:drawing>
      </w:r>
    </w:p>
    <w:p w14:paraId="23E3863D" w14:textId="77777777" w:rsidR="00C10A68" w:rsidRDefault="00C10A68" w:rsidP="004E7D8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noProof/>
          <w:lang w:eastAsia="en-GB"/>
        </w:rPr>
        <w:lastRenderedPageBreak/>
        <w:drawing>
          <wp:inline distT="0" distB="0" distL="0" distR="0" wp14:anchorId="7D768D18" wp14:editId="480FDECF">
            <wp:extent cx="5730240" cy="3296850"/>
            <wp:effectExtent l="0" t="0" r="381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Clipped\Fig 1.11b.JPG"/>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730240" cy="3296850"/>
                    </a:xfrm>
                    <a:prstGeom prst="rect">
                      <a:avLst/>
                    </a:prstGeom>
                    <a:noFill/>
                    <a:ln>
                      <a:noFill/>
                    </a:ln>
                  </pic:spPr>
                </pic:pic>
              </a:graphicData>
            </a:graphic>
          </wp:inline>
        </w:drawing>
      </w:r>
    </w:p>
    <w:p w14:paraId="29E1A5C4" w14:textId="77777777" w:rsidR="00C10A68" w:rsidRPr="009B0448" w:rsidRDefault="00C10A68" w:rsidP="00C10A6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 xml:space="preserve">Figure 1.11: </w:t>
      </w:r>
      <w:r w:rsidRPr="009B0448">
        <w:rPr>
          <w:rFonts w:ascii="Times New Roman" w:eastAsia="Times New Roman" w:hAnsi="Times New Roman" w:cs="Times New Roman"/>
        </w:rPr>
        <w:t xml:space="preserve">Current and projected population characteristics for </w:t>
      </w:r>
      <w:r w:rsidRPr="00067A71">
        <w:rPr>
          <w:rFonts w:ascii="Times New Roman" w:eastAsia="Times New Roman" w:hAnsi="Times New Roman" w:cs="Times New Roman"/>
        </w:rPr>
        <w:t xml:space="preserve">Africa. Left top and centre: Population trends in Africa and per </w:t>
      </w:r>
      <w:r>
        <w:rPr>
          <w:rFonts w:ascii="Times New Roman" w:eastAsia="Times New Roman" w:hAnsi="Times New Roman" w:cs="Times New Roman"/>
        </w:rPr>
        <w:t>subregion</w:t>
      </w:r>
      <w:r w:rsidRPr="00067A71">
        <w:rPr>
          <w:rFonts w:ascii="Times New Roman" w:eastAsia="Times New Roman" w:hAnsi="Times New Roman" w:cs="Times New Roman"/>
        </w:rPr>
        <w:t>. Left bottom: Trends</w:t>
      </w:r>
      <w:r w:rsidRPr="009B0448">
        <w:rPr>
          <w:rFonts w:ascii="Times New Roman" w:eastAsia="Times New Roman" w:hAnsi="Times New Roman" w:cs="Times New Roman"/>
        </w:rPr>
        <w:t xml:space="preserve"> in the average rate of natural increase over time</w:t>
      </w:r>
      <w:r w:rsidRPr="00067A71">
        <w:rPr>
          <w:rFonts w:ascii="Times New Roman" w:eastAsia="Times New Roman" w:hAnsi="Times New Roman" w:cs="Times New Roman"/>
        </w:rPr>
        <w:t>. Right top: Proportion</w:t>
      </w:r>
      <w:r w:rsidRPr="009B0448">
        <w:rPr>
          <w:rFonts w:ascii="Times New Roman" w:eastAsia="Times New Roman" w:hAnsi="Times New Roman" w:cs="Times New Roman"/>
        </w:rPr>
        <w:t xml:space="preserve"> of the population dependent on working age population. Sources: UN (2017); data retrieved from </w:t>
      </w:r>
      <w:hyperlink r:id="rId44" w:history="1">
        <w:r w:rsidRPr="009B0448">
          <w:rPr>
            <w:rStyle w:val="Hyperlink"/>
            <w:rFonts w:ascii="Times New Roman" w:eastAsia="Times New Roman" w:hAnsi="Times New Roman" w:cs="Times New Roman"/>
          </w:rPr>
          <w:t>https://esa.un.org/unpd/wpp/Download/Standard/Population/</w:t>
        </w:r>
      </w:hyperlink>
      <w:r w:rsidRPr="009B0448">
        <w:rPr>
          <w:rFonts w:ascii="Times New Roman" w:eastAsia="Times New Roman" w:hAnsi="Times New Roman" w:cs="Times New Roman"/>
        </w:rPr>
        <w:t>.</w:t>
      </w:r>
    </w:p>
    <w:p w14:paraId="1D91A80B" w14:textId="77777777" w:rsidR="00C10A68" w:rsidRDefault="00C10A68" w:rsidP="004E7D8C">
      <w:pPr>
        <w:spacing w:line="276" w:lineRule="auto"/>
        <w:jc w:val="both"/>
        <w:rPr>
          <w:rFonts w:ascii="Times New Roman" w:eastAsia="Times New Roman" w:hAnsi="Times New Roman" w:cs="Times New Roman"/>
        </w:rPr>
      </w:pPr>
    </w:p>
    <w:p w14:paraId="7D9568C5" w14:textId="6AA1A03C" w:rsidR="00D04ED9" w:rsidRDefault="004B3B41" w:rsidP="004E7D8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These opportunities are exciting for the future of Africa, but the process of realising them comes with challenges and risks. Innovation and technological development have proved to be strongly positive counters to early ‘Malthusian’ concerns of population-environment pressures, but environmental degradation and biodiversity losses remain major concerns (Canning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Solutions need to be multi-faceted and take account of the lag between population control measures and their impact (Bradshaw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 Africa starts with the benefit of low ecological and carbon footprints compared with other parts of the world, but there are still likely to be challenges associated with balancing increasing economic growth, rising population and population densities with the need to protect, conserve and enhance biodiversity and ecosystem services (UNEP, 2016).</w:t>
      </w:r>
    </w:p>
    <w:p w14:paraId="4AD00089" w14:textId="6EB10FAB" w:rsidR="00D04ED9" w:rsidRPr="009B0448" w:rsidRDefault="00D04ED9" w:rsidP="00D04ED9">
      <w:pPr>
        <w:spacing w:line="276" w:lineRule="auto"/>
        <w:jc w:val="both"/>
        <w:rPr>
          <w:rFonts w:ascii="Times New Roman" w:eastAsia="Times New Roman" w:hAnsi="Times New Roman" w:cs="Times New Roman"/>
        </w:rPr>
      </w:pPr>
    </w:p>
    <w:p w14:paraId="28B16415" w14:textId="77777777" w:rsidR="00D04ED9" w:rsidRDefault="00D04ED9" w:rsidP="00D04ED9">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Chapter 4 provides an in-depth examination of anthropogenic drivers (see sections 4.2.2 and 4.3.4), their inter-connections with natural drivers and their impacts on land degradation, sustainable use, conservation and the food-energy-water-livelihood nexus. This includes consideration of uneven distributions in pressures, dependencies and outcomes. A few illustrative examples are helpful to introduce some of the complexities around population dynamics. For example, when considering population growth, trends are expected to be particularly strong in sub-Saharan Africa. Since this is also where people are most dependent on agriculture for their livelihood there is likely to be an associated pressure on material contributions from nature, both in terms of food and also water (Mutanga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2012). Looking at water stress more closely, it has been estimated, perhaps conservatively, that around 400 million people in Africa already live in water</w:t>
      </w:r>
      <w:r>
        <w:rPr>
          <w:rFonts w:ascii="Times New Roman" w:eastAsia="Times New Roman" w:hAnsi="Times New Roman" w:cs="Times New Roman"/>
        </w:rPr>
        <w:t>-</w:t>
      </w:r>
      <w:r w:rsidRPr="009B0448">
        <w:rPr>
          <w:rFonts w:ascii="Times New Roman" w:eastAsia="Times New Roman" w:hAnsi="Times New Roman" w:cs="Times New Roman"/>
        </w:rPr>
        <w:t xml:space="preserve">stressed countries and this could double by 2050 as a result of population growth and also climate change (Mutanga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and see Figure 1.12). Africa’s coastline is another location already being particularly affected by population dynamics and associated drivers. Here, population pressure and the strong reliance of local populations on mangrove ecosystems are just some of the reasons behind mangrove degradation and loss, with estimates from West and Central Africa suggesting losses of up to 30% over the last 25 years (Diop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In </w:t>
      </w:r>
      <w:r w:rsidRPr="009B0448">
        <w:rPr>
          <w:rFonts w:ascii="Times New Roman" w:eastAsia="Times New Roman" w:hAnsi="Times New Roman" w:cs="Times New Roman"/>
        </w:rPr>
        <w:lastRenderedPageBreak/>
        <w:t xml:space="preserve">turn, local populations lose the protection mangroves offer against storms and sea level rise (Bosire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The case of mangroves (see Chapter 2) also illustrates how local dynamics can have regional and global impacts, for example through the loss of nursery habitats for many fish species (Arthurton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In rangelands, too, population pressure is considered to be at the heart of biodiversity loss and degradation, though intricately linked with other factors such as poverty, development needs and related resource extraction, conflict in the wider region, climate change and the impacts of invasive species (Kideghesho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2013).</w:t>
      </w:r>
    </w:p>
    <w:p w14:paraId="5EF729A6" w14:textId="288D4E05" w:rsidR="00D04ED9" w:rsidRPr="009B0448" w:rsidRDefault="00D04ED9" w:rsidP="00D04ED9">
      <w:pPr>
        <w:spacing w:line="276" w:lineRule="auto"/>
        <w:jc w:val="both"/>
        <w:rPr>
          <w:rFonts w:ascii="Times New Roman" w:eastAsia="Times New Roman" w:hAnsi="Times New Roman" w:cs="Times New Roman"/>
        </w:rPr>
      </w:pPr>
    </w:p>
    <w:p w14:paraId="619FF57B" w14:textId="314415EF" w:rsidR="003549CF" w:rsidRPr="009B0448" w:rsidRDefault="00CC2DB5" w:rsidP="00067FA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noProof/>
          <w:lang w:eastAsia="en-GB"/>
        </w:rPr>
        <w:drawing>
          <wp:inline distT="0" distB="0" distL="0" distR="0" wp14:anchorId="7A01C436" wp14:editId="5DD95591">
            <wp:extent cx="5730240" cy="3484397"/>
            <wp:effectExtent l="0" t="0" r="3810" b="190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top\Clipped\Fig 1.12.JPG"/>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730240" cy="3484397"/>
                    </a:xfrm>
                    <a:prstGeom prst="rect">
                      <a:avLst/>
                    </a:prstGeom>
                    <a:noFill/>
                    <a:ln>
                      <a:noFill/>
                    </a:ln>
                  </pic:spPr>
                </pic:pic>
              </a:graphicData>
            </a:graphic>
          </wp:inline>
        </w:drawing>
      </w:r>
      <w:r w:rsidR="00BC63CA" w:rsidRPr="009B0448">
        <w:rPr>
          <w:rFonts w:ascii="Times New Roman" w:eastAsia="Times New Roman" w:hAnsi="Times New Roman" w:cs="Times New Roman"/>
          <w:b/>
        </w:rPr>
        <w:t>Figure 1.12</w:t>
      </w:r>
      <w:r w:rsidR="00A8466E" w:rsidRPr="009B0448">
        <w:rPr>
          <w:rFonts w:ascii="Times New Roman" w:eastAsia="Times New Roman" w:hAnsi="Times New Roman" w:cs="Times New Roman"/>
          <w:b/>
        </w:rPr>
        <w:t>:</w:t>
      </w:r>
      <w:r w:rsidR="00A8466E" w:rsidRPr="009B0448">
        <w:rPr>
          <w:rFonts w:ascii="Times New Roman" w:eastAsia="Times New Roman" w:hAnsi="Times New Roman" w:cs="Times New Roman"/>
        </w:rPr>
        <w:t xml:space="preserve"> </w:t>
      </w:r>
      <w:r w:rsidR="007321F5" w:rsidRPr="009B0448">
        <w:rPr>
          <w:rFonts w:ascii="Times New Roman" w:eastAsia="Times New Roman" w:hAnsi="Times New Roman" w:cs="Times New Roman"/>
        </w:rPr>
        <w:t>Past</w:t>
      </w:r>
      <w:r w:rsidR="00017424">
        <w:rPr>
          <w:rFonts w:ascii="Times New Roman" w:eastAsia="Times New Roman" w:hAnsi="Times New Roman" w:cs="Times New Roman"/>
        </w:rPr>
        <w:t xml:space="preserve"> (1995) and future (2025) water-</w:t>
      </w:r>
      <w:r w:rsidR="007321F5" w:rsidRPr="009B0448">
        <w:rPr>
          <w:rFonts w:ascii="Times New Roman" w:eastAsia="Times New Roman" w:hAnsi="Times New Roman" w:cs="Times New Roman"/>
        </w:rPr>
        <w:t xml:space="preserve">stressed countries (water withdrawal given as a percentage of the total available water). Source: </w:t>
      </w:r>
      <w:hyperlink r:id="rId46" w:history="1">
        <w:r w:rsidR="007321F5" w:rsidRPr="009B0448">
          <w:rPr>
            <w:rStyle w:val="Hyperlink"/>
            <w:rFonts w:ascii="Times New Roman" w:eastAsia="Times New Roman" w:hAnsi="Times New Roman" w:cs="Times New Roman"/>
          </w:rPr>
          <w:t>https://www.grida.no/resources/5625</w:t>
        </w:r>
      </w:hyperlink>
      <w:r w:rsidR="007321F5" w:rsidRPr="009B0448">
        <w:rPr>
          <w:rFonts w:ascii="Times New Roman" w:eastAsia="Times New Roman" w:hAnsi="Times New Roman" w:cs="Times New Roman"/>
        </w:rPr>
        <w:t>.</w:t>
      </w:r>
    </w:p>
    <w:p w14:paraId="0D4FA743" w14:textId="77777777" w:rsidR="00964054" w:rsidRPr="009B0448" w:rsidRDefault="00964054" w:rsidP="00067FA5">
      <w:pPr>
        <w:spacing w:line="276" w:lineRule="auto"/>
        <w:jc w:val="both"/>
        <w:rPr>
          <w:rFonts w:ascii="Times New Roman" w:eastAsia="Times New Roman" w:hAnsi="Times New Roman" w:cs="Times New Roman"/>
        </w:rPr>
      </w:pPr>
    </w:p>
    <w:p w14:paraId="4202EBFC" w14:textId="5BC4C476" w:rsidR="006B7655" w:rsidRPr="009B0448" w:rsidRDefault="00A8466E"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Population dynamics are strongly connected to those of land cover and </w:t>
      </w:r>
      <w:r w:rsidR="00917FB2">
        <w:rPr>
          <w:rFonts w:ascii="Times New Roman" w:eastAsia="Times New Roman" w:hAnsi="Times New Roman" w:cs="Times New Roman"/>
        </w:rPr>
        <w:t>land-use</w:t>
      </w:r>
      <w:r w:rsidR="00AE49CC" w:rsidRPr="009B0448">
        <w:rPr>
          <w:rFonts w:ascii="Times New Roman" w:eastAsia="Times New Roman" w:hAnsi="Times New Roman" w:cs="Times New Roman"/>
        </w:rPr>
        <w:t xml:space="preserve"> (also see Chapter 4</w:t>
      </w:r>
      <w:r w:rsidR="002363B6" w:rsidRPr="009B0448">
        <w:rPr>
          <w:rFonts w:ascii="Times New Roman" w:eastAsia="Times New Roman" w:hAnsi="Times New Roman" w:cs="Times New Roman"/>
        </w:rPr>
        <w:t>, section 4.2.2.1</w:t>
      </w:r>
      <w:r w:rsidR="00AE49CC" w:rsidRPr="009B0448">
        <w:rPr>
          <w:rFonts w:ascii="Times New Roman" w:eastAsia="Times New Roman" w:hAnsi="Times New Roman" w:cs="Times New Roman"/>
        </w:rPr>
        <w:t>)</w:t>
      </w:r>
      <w:r w:rsidRPr="009B0448">
        <w:rPr>
          <w:rFonts w:ascii="Times New Roman" w:eastAsia="Times New Roman" w:hAnsi="Times New Roman" w:cs="Times New Roman"/>
        </w:rPr>
        <w:t xml:space="preserve">, including conversion of land to agricultural uses, urban settlement and the development of transport and other infrastructure. Africa’s migration and </w:t>
      </w:r>
      <w:r w:rsidR="00574E50" w:rsidRPr="009B0448">
        <w:rPr>
          <w:rFonts w:ascii="Times New Roman" w:eastAsia="Times New Roman" w:hAnsi="Times New Roman" w:cs="Times New Roman"/>
        </w:rPr>
        <w:t>urbanis</w:t>
      </w:r>
      <w:r w:rsidRPr="009B0448">
        <w:rPr>
          <w:rFonts w:ascii="Times New Roman" w:eastAsia="Times New Roman" w:hAnsi="Times New Roman" w:cs="Times New Roman"/>
        </w:rPr>
        <w:t>ation processes are complex, varied and often inter-related, though detailed analysis is often hampered by a lack of data and inconsistent d</w:t>
      </w:r>
      <w:r w:rsidR="00136147" w:rsidRPr="009B0448">
        <w:rPr>
          <w:rFonts w:ascii="Times New Roman" w:eastAsia="Times New Roman" w:hAnsi="Times New Roman" w:cs="Times New Roman"/>
        </w:rPr>
        <w:t>efinitions (Potts, 2009, 2012; d</w:t>
      </w:r>
      <w:r w:rsidRPr="009B0448">
        <w:rPr>
          <w:rFonts w:ascii="Times New Roman" w:eastAsia="Times New Roman" w:hAnsi="Times New Roman" w:cs="Times New Roman"/>
        </w:rPr>
        <w:t>e Brauw</w:t>
      </w:r>
      <w:r w:rsidR="00E27B31" w:rsidRPr="009B0448">
        <w:rPr>
          <w:rFonts w:ascii="Times New Roman" w:eastAsia="Times New Roman" w:hAnsi="Times New Roman" w:cs="Times New Roman"/>
        </w:rPr>
        <w:t xml:space="preserv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 Nevertheless, by 2050 it is expected that more than half of all Africans will live in urban settlements of one form or another (</w:t>
      </w:r>
      <w:r w:rsidR="00E570EC" w:rsidRPr="009B0448">
        <w:rPr>
          <w:rFonts w:ascii="Times New Roman" w:eastAsia="Times New Roman" w:hAnsi="Times New Roman" w:cs="Times New Roman"/>
        </w:rPr>
        <w:t>UN</w:t>
      </w:r>
      <w:r w:rsidRPr="009B0448">
        <w:rPr>
          <w:rFonts w:ascii="Times New Roman" w:eastAsia="Times New Roman" w:hAnsi="Times New Roman" w:cs="Times New Roman"/>
        </w:rPr>
        <w:t>, 2015b). Some of the increase will be in emerging megacities, but also through the growth of secondary and smaller settlements (UN Habitat, 2014</w:t>
      </w:r>
      <w:r w:rsidR="00884170" w:rsidRPr="009B0448">
        <w:rPr>
          <w:rFonts w:ascii="Times New Roman" w:eastAsia="Times New Roman" w:hAnsi="Times New Roman" w:cs="Times New Roman"/>
        </w:rPr>
        <w:t xml:space="preserve">; </w:t>
      </w:r>
      <w:r w:rsidR="00BC63CA" w:rsidRPr="009B0448">
        <w:rPr>
          <w:rFonts w:ascii="Times New Roman" w:eastAsia="Times New Roman" w:hAnsi="Times New Roman" w:cs="Times New Roman"/>
        </w:rPr>
        <w:t>Figure 1.13</w:t>
      </w:r>
      <w:r w:rsidRPr="009B0448">
        <w:rPr>
          <w:rFonts w:ascii="Times New Roman" w:eastAsia="Times New Roman" w:hAnsi="Times New Roman" w:cs="Times New Roman"/>
        </w:rPr>
        <w:t xml:space="preserve">). Conventionally, rural-urban migration has been seen as a major driver of the growth of urban areas, with implications for social structures and land management in rural and urban areas (de Brauw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However, demographic factors are also important and </w:t>
      </w:r>
      <w:r w:rsidR="00574E50" w:rsidRPr="009B0448">
        <w:rPr>
          <w:rFonts w:ascii="Times New Roman" w:eastAsia="Times New Roman" w:hAnsi="Times New Roman" w:cs="Times New Roman"/>
        </w:rPr>
        <w:t>urbanis</w:t>
      </w:r>
      <w:r w:rsidR="00C76378" w:rsidRPr="009B0448">
        <w:rPr>
          <w:rFonts w:ascii="Times New Roman" w:eastAsia="Times New Roman" w:hAnsi="Times New Roman" w:cs="Times New Roman"/>
        </w:rPr>
        <w:t>ation</w:t>
      </w:r>
      <w:r w:rsidRPr="009B0448">
        <w:rPr>
          <w:rFonts w:ascii="Times New Roman" w:eastAsia="Times New Roman" w:hAnsi="Times New Roman" w:cs="Times New Roman"/>
        </w:rPr>
        <w:t xml:space="preserve"> trends are not uniform with increasing evidence of urban-rural migration, e.g.</w:t>
      </w:r>
      <w:r w:rsidR="00E84BEA">
        <w:rPr>
          <w:rFonts w:ascii="Times New Roman" w:eastAsia="Times New Roman" w:hAnsi="Times New Roman" w:cs="Times New Roman"/>
        </w:rPr>
        <w:t>,</w:t>
      </w:r>
      <w:r w:rsidRPr="009B0448">
        <w:rPr>
          <w:rFonts w:ascii="Times New Roman" w:eastAsia="Times New Roman" w:hAnsi="Times New Roman" w:cs="Times New Roman"/>
        </w:rPr>
        <w:t xml:space="preserve"> in parts of central, eastern and western Africa (UN Habitat, 2014) and evidence too of cyclical migration patterns (</w:t>
      </w:r>
      <w:r w:rsidR="00884170" w:rsidRPr="009B0448">
        <w:rPr>
          <w:rFonts w:ascii="Times New Roman" w:eastAsia="Times New Roman" w:hAnsi="Times New Roman" w:cs="Times New Roman"/>
        </w:rPr>
        <w:t xml:space="preserve">Potts, 2009; </w:t>
      </w:r>
      <w:r w:rsidRPr="009B0448">
        <w:rPr>
          <w:rFonts w:ascii="Times New Roman" w:eastAsia="Times New Roman" w:hAnsi="Times New Roman" w:cs="Times New Roman"/>
        </w:rPr>
        <w:t xml:space="preserve">Anderson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w:t>
      </w:r>
    </w:p>
    <w:p w14:paraId="682410D9" w14:textId="77777777" w:rsidR="00C10A68" w:rsidRPr="009B0448" w:rsidRDefault="00C10A68" w:rsidP="00C10A68">
      <w:pPr>
        <w:spacing w:line="276" w:lineRule="auto"/>
        <w:jc w:val="both"/>
        <w:rPr>
          <w:rFonts w:ascii="Times New Roman" w:eastAsia="Times New Roman" w:hAnsi="Times New Roman" w:cs="Times New Roman"/>
        </w:rPr>
      </w:pPr>
    </w:p>
    <w:p w14:paraId="4AA7368A" w14:textId="77777777" w:rsidR="00C10A68" w:rsidRPr="009B0448" w:rsidRDefault="00C10A68" w:rsidP="00C10A6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Models suggest a six-fold increase in urban land cover between 2000–2030 (Seto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2012; Figure 1.14). Despite still making up a very small proportion of overall land area, the implications are nevertheless far</w:t>
      </w:r>
      <w:r>
        <w:rPr>
          <w:rFonts w:ascii="Times New Roman" w:eastAsia="Times New Roman" w:hAnsi="Times New Roman" w:cs="Times New Roman"/>
        </w:rPr>
        <w:t>-</w:t>
      </w:r>
      <w:r w:rsidRPr="009B0448">
        <w:rPr>
          <w:rFonts w:ascii="Times New Roman" w:eastAsia="Times New Roman" w:hAnsi="Times New Roman" w:cs="Times New Roman"/>
        </w:rPr>
        <w:t xml:space="preserve">reaching. West Africa’s Guinean forests are expected to be among the five biodiversity </w:t>
      </w:r>
      <w:r w:rsidRPr="009B0448">
        <w:rPr>
          <w:rFonts w:ascii="Times New Roman" w:eastAsia="Times New Roman" w:hAnsi="Times New Roman" w:cs="Times New Roman"/>
        </w:rPr>
        <w:lastRenderedPageBreak/>
        <w:t xml:space="preserve">hotspots most threatened by urbanisation and 30% of Africa’s Alliance for Zero Extinction sites could be affected (Seto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w:t>
      </w:r>
    </w:p>
    <w:p w14:paraId="0BE42095" w14:textId="77777777" w:rsidR="00C10A68" w:rsidRPr="009B0448" w:rsidRDefault="00C10A68" w:rsidP="00C10A68">
      <w:pPr>
        <w:spacing w:line="276" w:lineRule="auto"/>
        <w:jc w:val="both"/>
        <w:rPr>
          <w:rFonts w:ascii="Times New Roman" w:eastAsia="Times New Roman" w:hAnsi="Times New Roman" w:cs="Times New Roman"/>
        </w:rPr>
      </w:pPr>
    </w:p>
    <w:p w14:paraId="16F12743" w14:textId="77777777" w:rsidR="00C10A68" w:rsidRPr="009B0448" w:rsidRDefault="00C10A68" w:rsidP="00C10A6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Other ecologically sensitive areas are also expected to be affected by 2040, including the Nile River region, the urban West African corridor between Abidjan and Lagos, the northern fringes of Lake Victoria and Lake Tanganyika in East Africa and Nigeria’s northern Kano region (Anderson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Population-related degradation and drainage is a growing problem for Africa’s important and internationally recognised wetlands (Arthurton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Since the wider impacts of activities are currently only poorly understood and monitored, the ecosystem contributions that wetlands provide are also poorly estimated (Barbier, 2016) and governance issues prevail (Feka, 2015). Chapter 4 (section 4.2.2) demonstrates how anthropogenic drivers affect biodiversity as a result of urbanisation, land cover changes and road incursion, amongst others. Habitat fragmentation is a well-recognised outcome and the viability of animal migration corridors can also be compromised (UNEP, 2015; Watson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2014). Urbanisation is thus inextricably linked to land degradation, biodiversity loss and habitat fragmentation alongside the development of transport routes and other development drivers.</w:t>
      </w:r>
    </w:p>
    <w:p w14:paraId="3C7C0271" w14:textId="77777777" w:rsidR="00C10A68" w:rsidRPr="009B0448" w:rsidRDefault="00C10A68" w:rsidP="00C10A68">
      <w:pPr>
        <w:spacing w:line="276" w:lineRule="auto"/>
        <w:jc w:val="both"/>
        <w:rPr>
          <w:rFonts w:ascii="Times New Roman" w:eastAsia="Times New Roman" w:hAnsi="Times New Roman" w:cs="Times New Roman"/>
        </w:rPr>
      </w:pPr>
    </w:p>
    <w:p w14:paraId="7C767F5D" w14:textId="77777777" w:rsidR="00C10A68" w:rsidRPr="009B0448" w:rsidRDefault="00C10A68" w:rsidP="00C10A6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As well as protecting biodiversity, there is a need to understand and account for the needs of urban dwellers. Their needs are not simply about ensuring that material requirements are met, but also that a good quality of life can be achieved as a result of other non-material and regulating functions of nature’s contribution (see Chapter 2). In other words, urban dwellers do not simply require food, fuel and shelter for survival. Rather they should have the opportunity for a good quality of life, allowing for the spiritual, recreational and restorative benefits from urban nature and the chance to benefit from cool breezes, quiet spaces and shade. This inevitably requires consideration of waste and waste disposal, water, air, soil and noise pollution, urban climate and hydro-meteorological hazards all of which can impact nature and its contributions to a good quality of life, as is explored in Chapter 4 (section 4.2.2.4). Since urban areas are still largely developing, there is an opportunity to build towns and cities on the principles of sustainable resource use, including considering catchment to coastal processes, as part of a ‘profound re-imagining’ of existing and future urban transitions and the development of “innovations towards greener, healthier and more sustainable urban societies” (UN Habitat, 2014). Such profound re-imagining can include harnessing contributions from nature through regulation of drivers of poor health and well-being and ensuring heritage, identity and social practices are supported. While taking advantage of the opportunities that urbanisation brings, this assessment also recognises that the major part of Africa’s population in 2050 will still live outside of urban areas in scattered settlements. The needs and aspirations of these people are also important, including indigenous and traditional peoples who choose to maintain their way of life (Abdel Rahman, 2009). Traditional and nomadic practices need to be recognised and supported, not least for their role in maintaining, conserving and supporting biodiversity. This is particularly important given that the peoples with these practices may be disconnected and marginalised from decision-making and their valuable and irreplaceable knowledge lost.</w:t>
      </w:r>
    </w:p>
    <w:p w14:paraId="6AB2351A" w14:textId="51AC1065" w:rsidR="00C10A68" w:rsidRPr="009B0448" w:rsidRDefault="00C10A68" w:rsidP="00C10A68">
      <w:pPr>
        <w:rPr>
          <w:rFonts w:ascii="Times New Roman" w:eastAsia="Times New Roman" w:hAnsi="Times New Roman" w:cs="Times New Roman"/>
        </w:rPr>
      </w:pPr>
      <w:r>
        <w:rPr>
          <w:rFonts w:ascii="Times New Roman" w:eastAsia="Times New Roman" w:hAnsi="Times New Roman" w:cs="Times New Roman"/>
        </w:rPr>
        <w:br w:type="page"/>
      </w:r>
    </w:p>
    <w:p w14:paraId="0523EF94" w14:textId="646B890B" w:rsidR="006B7655" w:rsidRPr="009B0448" w:rsidRDefault="006D4299" w:rsidP="00CC2DB5">
      <w:pPr>
        <w:spacing w:line="276" w:lineRule="auto"/>
        <w:rPr>
          <w:rFonts w:ascii="Times New Roman" w:eastAsia="Times New Roman" w:hAnsi="Times New Roman" w:cs="Times New Roman"/>
        </w:rPr>
      </w:pPr>
      <w:r w:rsidRPr="009B0448">
        <w:rPr>
          <w:rFonts w:ascii="Times New Roman" w:eastAsia="Times New Roman" w:hAnsi="Times New Roman" w:cs="Times New Roman"/>
          <w:noProof/>
          <w:lang w:eastAsia="en-GB"/>
        </w:rPr>
        <w:lastRenderedPageBreak/>
        <w:drawing>
          <wp:inline distT="0" distB="0" distL="0" distR="0" wp14:anchorId="2E779294" wp14:editId="2C933C4D">
            <wp:extent cx="5725584" cy="7115775"/>
            <wp:effectExtent l="0" t="0" r="889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Ch1\Flahaux &amp; De Haas graphic.JPG"/>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725584" cy="7115775"/>
                    </a:xfrm>
                    <a:prstGeom prst="rect">
                      <a:avLst/>
                    </a:prstGeom>
                    <a:noFill/>
                    <a:ln>
                      <a:noFill/>
                    </a:ln>
                  </pic:spPr>
                </pic:pic>
              </a:graphicData>
            </a:graphic>
          </wp:inline>
        </w:drawing>
      </w:r>
    </w:p>
    <w:p w14:paraId="043F124E" w14:textId="7DAFA8E9" w:rsidR="006B7655" w:rsidRPr="009B0448" w:rsidRDefault="00CC2DB5" w:rsidP="00465FE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noProof/>
          <w:lang w:eastAsia="en-GB"/>
        </w:rPr>
        <w:lastRenderedPageBreak/>
        <w:drawing>
          <wp:inline distT="0" distB="0" distL="0" distR="0" wp14:anchorId="06D03FD7" wp14:editId="3025FA4A">
            <wp:extent cx="5730240" cy="5642755"/>
            <wp:effectExtent l="0" t="0" r="381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top\Clipped\Fig 1.13b.JPG"/>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731514" cy="5644010"/>
                    </a:xfrm>
                    <a:prstGeom prst="rect">
                      <a:avLst/>
                    </a:prstGeom>
                    <a:noFill/>
                    <a:ln>
                      <a:noFill/>
                    </a:ln>
                  </pic:spPr>
                </pic:pic>
              </a:graphicData>
            </a:graphic>
          </wp:inline>
        </w:drawing>
      </w:r>
      <w:r w:rsidR="00BC63CA" w:rsidRPr="009B0448">
        <w:rPr>
          <w:rFonts w:ascii="Times New Roman" w:eastAsia="Times New Roman" w:hAnsi="Times New Roman" w:cs="Times New Roman"/>
          <w:b/>
        </w:rPr>
        <w:t>Figure 1.13</w:t>
      </w:r>
      <w:r w:rsidR="00A8466E" w:rsidRPr="009B0448">
        <w:rPr>
          <w:rFonts w:ascii="Times New Roman" w:eastAsia="Times New Roman" w:hAnsi="Times New Roman" w:cs="Times New Roman"/>
          <w:b/>
        </w:rPr>
        <w:t xml:space="preserve">: </w:t>
      </w:r>
      <w:r w:rsidR="007321F5" w:rsidRPr="009B0448">
        <w:rPr>
          <w:rFonts w:ascii="Times New Roman" w:eastAsia="Times New Roman" w:hAnsi="Times New Roman" w:cs="Times New Roman"/>
        </w:rPr>
        <w:t>African migration patterns</w:t>
      </w:r>
      <w:r w:rsidR="007321F5" w:rsidRPr="00067A71">
        <w:rPr>
          <w:rFonts w:ascii="Times New Roman" w:eastAsia="Times New Roman" w:hAnsi="Times New Roman" w:cs="Times New Roman"/>
        </w:rPr>
        <w:t>. Left: Evolution of immigration intensity from neighbouring, non-neighbouring and non-African countries (immigrants per 1000 inhabitants); Right:</w:t>
      </w:r>
      <w:r w:rsidR="007321F5" w:rsidRPr="009B0448">
        <w:rPr>
          <w:rFonts w:ascii="Times New Roman" w:eastAsia="Times New Roman" w:hAnsi="Times New Roman" w:cs="Times New Roman"/>
        </w:rPr>
        <w:t xml:space="preserve"> Circular plot of migration flows between and within world regions during 2005 to 2010. Tick marks show the number of migrants (inflows and outflows) in millions. Only flows containing at least 170,000 migrants are shown. Sources: Abel </w:t>
      </w:r>
      <w:r w:rsidR="007321F5" w:rsidRPr="009B0448">
        <w:rPr>
          <w:rFonts w:ascii="Times New Roman" w:eastAsia="Times New Roman" w:hAnsi="Times New Roman" w:cs="Times New Roman"/>
          <w:i/>
        </w:rPr>
        <w:t>et al.</w:t>
      </w:r>
      <w:r w:rsidR="007321F5" w:rsidRPr="009B0448">
        <w:rPr>
          <w:rFonts w:ascii="Times New Roman" w:eastAsia="Times New Roman" w:hAnsi="Times New Roman" w:cs="Times New Roman"/>
        </w:rPr>
        <w:t xml:space="preserve"> (2014); Flahaux </w:t>
      </w:r>
      <w:r w:rsidR="007321F5" w:rsidRPr="009B0448">
        <w:rPr>
          <w:rFonts w:ascii="Times New Roman" w:eastAsia="Times New Roman" w:hAnsi="Times New Roman" w:cs="Times New Roman"/>
          <w:i/>
        </w:rPr>
        <w:t>et al.</w:t>
      </w:r>
      <w:r w:rsidR="007321F5" w:rsidRPr="009B0448">
        <w:rPr>
          <w:rFonts w:ascii="Times New Roman" w:eastAsia="Times New Roman" w:hAnsi="Times New Roman" w:cs="Times New Roman"/>
        </w:rPr>
        <w:t xml:space="preserve"> (2016).</w:t>
      </w:r>
    </w:p>
    <w:p w14:paraId="65B1546C" w14:textId="7FB43566" w:rsidR="006B7655" w:rsidRPr="009B0448" w:rsidRDefault="004E7D8C" w:rsidP="00CC2DB5">
      <w:pPr>
        <w:spacing w:line="276" w:lineRule="auto"/>
        <w:rPr>
          <w:rFonts w:ascii="Times New Roman" w:eastAsia="Times New Roman" w:hAnsi="Times New Roman" w:cs="Times New Roman"/>
        </w:rPr>
      </w:pPr>
      <w:r w:rsidRPr="009B0448">
        <w:rPr>
          <w:rFonts w:ascii="Times New Roman" w:eastAsia="Times New Roman" w:hAnsi="Times New Roman" w:cs="Times New Roman"/>
          <w:noProof/>
          <w:lang w:eastAsia="en-GB"/>
        </w:rPr>
        <w:lastRenderedPageBreak/>
        <w:drawing>
          <wp:inline distT="0" distB="0" distL="0" distR="0" wp14:anchorId="028BF0A6" wp14:editId="2029CB06">
            <wp:extent cx="5722722" cy="7350797"/>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To pop in\Fig 1.14.JPG"/>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5722722" cy="7350797"/>
                    </a:xfrm>
                    <a:prstGeom prst="rect">
                      <a:avLst/>
                    </a:prstGeom>
                    <a:noFill/>
                    <a:ln>
                      <a:noFill/>
                    </a:ln>
                  </pic:spPr>
                </pic:pic>
              </a:graphicData>
            </a:graphic>
          </wp:inline>
        </w:drawing>
      </w:r>
    </w:p>
    <w:p w14:paraId="5F009FA8" w14:textId="76F21E99" w:rsidR="006B7655" w:rsidRPr="009B0448" w:rsidRDefault="00CC2DB5" w:rsidP="00CC2DB5">
      <w:pPr>
        <w:spacing w:line="276" w:lineRule="auto"/>
        <w:rPr>
          <w:rFonts w:ascii="Times New Roman" w:eastAsia="Times New Roman" w:hAnsi="Times New Roman" w:cs="Times New Roman"/>
        </w:rPr>
      </w:pPr>
      <w:r w:rsidRPr="009B0448">
        <w:rPr>
          <w:rFonts w:ascii="Times New Roman" w:eastAsia="Times New Roman" w:hAnsi="Times New Roman" w:cs="Times New Roman"/>
          <w:noProof/>
          <w:lang w:eastAsia="en-GB"/>
        </w:rPr>
        <w:lastRenderedPageBreak/>
        <w:drawing>
          <wp:inline distT="0" distB="0" distL="0" distR="0" wp14:anchorId="315CE24C" wp14:editId="630C115A">
            <wp:extent cx="5730240" cy="4402501"/>
            <wp:effectExtent l="0" t="0" r="381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esktop\Clipped\Fig 1.14b.JPG"/>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730240" cy="4402501"/>
                    </a:xfrm>
                    <a:prstGeom prst="rect">
                      <a:avLst/>
                    </a:prstGeom>
                    <a:noFill/>
                    <a:ln>
                      <a:noFill/>
                    </a:ln>
                  </pic:spPr>
                </pic:pic>
              </a:graphicData>
            </a:graphic>
          </wp:inline>
        </w:drawing>
      </w:r>
    </w:p>
    <w:p w14:paraId="33B8380E" w14:textId="1B1CDD4E" w:rsidR="004E7D8C" w:rsidRPr="009B0448" w:rsidRDefault="00A8466E" w:rsidP="00DF7C06">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1.1</w:t>
      </w:r>
      <w:r w:rsidR="004E7D8C" w:rsidRPr="009B0448">
        <w:rPr>
          <w:rFonts w:ascii="Times New Roman" w:eastAsia="Times New Roman" w:hAnsi="Times New Roman" w:cs="Times New Roman"/>
          <w:b/>
        </w:rPr>
        <w:t>4</w:t>
      </w:r>
      <w:r w:rsidRPr="009B0448">
        <w:rPr>
          <w:rFonts w:ascii="Times New Roman" w:eastAsia="Times New Roman" w:hAnsi="Times New Roman" w:cs="Times New Roman"/>
          <w:b/>
        </w:rPr>
        <w:t xml:space="preserve">: </w:t>
      </w:r>
      <w:r w:rsidR="007321F5" w:rsidRPr="009B0448">
        <w:rPr>
          <w:rFonts w:ascii="Times New Roman" w:eastAsia="Times New Roman" w:hAnsi="Times New Roman" w:cs="Times New Roman"/>
        </w:rPr>
        <w:t xml:space="preserve">Current and future </w:t>
      </w:r>
      <w:r w:rsidR="00574E50" w:rsidRPr="009B0448">
        <w:rPr>
          <w:rFonts w:ascii="Times New Roman" w:eastAsia="Times New Roman" w:hAnsi="Times New Roman" w:cs="Times New Roman"/>
        </w:rPr>
        <w:t>urbanis</w:t>
      </w:r>
      <w:r w:rsidR="007321F5" w:rsidRPr="009B0448">
        <w:rPr>
          <w:rFonts w:ascii="Times New Roman" w:eastAsia="Times New Roman" w:hAnsi="Times New Roman" w:cs="Times New Roman"/>
        </w:rPr>
        <w:t>ation in Africa</w:t>
      </w:r>
      <w:r w:rsidR="007321F5" w:rsidRPr="00067A71">
        <w:rPr>
          <w:rFonts w:ascii="Times New Roman" w:eastAsia="Times New Roman" w:hAnsi="Times New Roman" w:cs="Times New Roman"/>
        </w:rPr>
        <w:t xml:space="preserve">. Left: Probabilistic forecasts of urban expansion by 2030 in Africa. We estimate the probability for each location by calculating the percentage of 1000 spatially explicit simulations of urban growth, in which that location becomes urban. We generated the 1000 simulations using Monte Carlo techniques. Probabilities vary from 1% to 100% from yellow to red on the maps. High rates of urban expansion are expected along the Nigerian coast and within the Lake Victoria Basin. Even in relatively lower-fertility countries such as South Africa, major urban centres are expected to grow well beyond their current municipal boundaries. Top right: Percentage </w:t>
      </w:r>
      <w:r w:rsidR="00574E50" w:rsidRPr="00067A71">
        <w:rPr>
          <w:rFonts w:ascii="Times New Roman" w:eastAsia="Times New Roman" w:hAnsi="Times New Roman" w:cs="Times New Roman"/>
        </w:rPr>
        <w:t>urbanis</w:t>
      </w:r>
      <w:r w:rsidR="007321F5" w:rsidRPr="00067A71">
        <w:rPr>
          <w:rFonts w:ascii="Times New Roman" w:eastAsia="Times New Roman" w:hAnsi="Times New Roman" w:cs="Times New Roman"/>
        </w:rPr>
        <w:t>ation in the top 20 and bottom 10 countries and territories in Africa. Bottom right: Proportion</w:t>
      </w:r>
      <w:r w:rsidR="007321F5" w:rsidRPr="009B0448">
        <w:rPr>
          <w:rFonts w:ascii="Times New Roman" w:eastAsia="Times New Roman" w:hAnsi="Times New Roman" w:cs="Times New Roman"/>
        </w:rPr>
        <w:t xml:space="preserve"> of population in urban areas by region (2016). Sources: AU (2017); Güneralp </w:t>
      </w:r>
      <w:r w:rsidR="007321F5" w:rsidRPr="009B0448">
        <w:rPr>
          <w:rFonts w:ascii="Times New Roman" w:eastAsia="Times New Roman" w:hAnsi="Times New Roman" w:cs="Times New Roman"/>
          <w:i/>
        </w:rPr>
        <w:t>et al.</w:t>
      </w:r>
      <w:r w:rsidR="007321F5" w:rsidRPr="009B0448">
        <w:rPr>
          <w:rFonts w:ascii="Times New Roman" w:eastAsia="Times New Roman" w:hAnsi="Times New Roman" w:cs="Times New Roman"/>
        </w:rPr>
        <w:t xml:space="preserve"> (2017).</w:t>
      </w:r>
      <w:r w:rsidR="004E7D8C" w:rsidRPr="009B0448">
        <w:rPr>
          <w:rFonts w:ascii="Times New Roman" w:eastAsia="Times New Roman" w:hAnsi="Times New Roman" w:cs="Times New Roman"/>
        </w:rPr>
        <w:br w:type="page"/>
      </w:r>
    </w:p>
    <w:p w14:paraId="3CBEF1F8" w14:textId="547CF35A" w:rsidR="006B7655" w:rsidRPr="009B0448" w:rsidRDefault="00A8466E" w:rsidP="00FA7185">
      <w:pPr>
        <w:pStyle w:val="111"/>
        <w:numPr>
          <w:ilvl w:val="3"/>
          <w:numId w:val="10"/>
        </w:numPr>
        <w:spacing w:before="240" w:after="240"/>
        <w:ind w:left="851" w:hanging="862"/>
        <w:rPr>
          <w:rFonts w:cs="Times New Roman"/>
          <w:sz w:val="22"/>
          <w:szCs w:val="22"/>
        </w:rPr>
      </w:pPr>
      <w:bookmarkStart w:id="34" w:name="_Toc519499784"/>
      <w:r w:rsidRPr="009B0448">
        <w:rPr>
          <w:rFonts w:cs="Times New Roman"/>
          <w:sz w:val="22"/>
          <w:szCs w:val="22"/>
        </w:rPr>
        <w:lastRenderedPageBreak/>
        <w:t>Poverty and ecosystems</w:t>
      </w:r>
      <w:bookmarkEnd w:id="34"/>
    </w:p>
    <w:p w14:paraId="04559AAD" w14:textId="4752906D" w:rsidR="006B7655" w:rsidRPr="009B0448"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Information about population numbers, densities, distributions and flows in Africa is required for this assessment, but they only provide part of the picture of the human context of assessing biodiversity and ecosystem contributions in Africa. The relationships between people, nature and nature’s contributions are also strongly connected to poverty and poverty dynamics, as is explored in detail in Chapter 4 (Section 4.</w:t>
      </w:r>
      <w:r w:rsidR="002363B6" w:rsidRPr="009B0448">
        <w:rPr>
          <w:rFonts w:ascii="Times New Roman" w:eastAsia="Times New Roman" w:hAnsi="Times New Roman" w:cs="Times New Roman"/>
        </w:rPr>
        <w:t>3.1</w:t>
      </w:r>
      <w:r w:rsidRPr="009B0448">
        <w:rPr>
          <w:rFonts w:ascii="Times New Roman" w:eastAsia="Times New Roman" w:hAnsi="Times New Roman" w:cs="Times New Roman"/>
        </w:rPr>
        <w:t xml:space="preserve">). In some instances, great strides have been made in tackling poverty in Africa. For </w:t>
      </w:r>
      <w:r w:rsidR="000B1693">
        <w:rPr>
          <w:rFonts w:ascii="Times New Roman" w:eastAsia="Times New Roman" w:hAnsi="Times New Roman" w:cs="Times New Roman"/>
        </w:rPr>
        <w:t>example, during the period 1990–</w:t>
      </w:r>
      <w:r w:rsidRPr="009B0448">
        <w:rPr>
          <w:rFonts w:ascii="Times New Roman" w:eastAsia="Times New Roman" w:hAnsi="Times New Roman" w:cs="Times New Roman"/>
        </w:rPr>
        <w:t>2012</w:t>
      </w:r>
      <w:r w:rsidR="000B1693">
        <w:rPr>
          <w:rFonts w:ascii="Times New Roman" w:eastAsia="Times New Roman" w:hAnsi="Times New Roman" w:cs="Times New Roman"/>
        </w:rPr>
        <w:t>,</w:t>
      </w:r>
      <w:r w:rsidRPr="009B0448">
        <w:rPr>
          <w:rFonts w:ascii="Times New Roman" w:eastAsia="Times New Roman" w:hAnsi="Times New Roman" w:cs="Times New Roman"/>
        </w:rPr>
        <w:t xml:space="preserve"> there has been a reduction from 56% to 43%</w:t>
      </w:r>
      <w:r w:rsidR="00E570EC" w:rsidRPr="009B0448">
        <w:rPr>
          <w:rFonts w:ascii="Times New Roman" w:eastAsia="Times New Roman" w:hAnsi="Times New Roman" w:cs="Times New Roman"/>
        </w:rPr>
        <w:t xml:space="preserve"> </w:t>
      </w:r>
      <w:r w:rsidRPr="009B0448">
        <w:rPr>
          <w:rFonts w:ascii="Times New Roman" w:eastAsia="Times New Roman" w:hAnsi="Times New Roman" w:cs="Times New Roman"/>
        </w:rPr>
        <w:t xml:space="preserve">in the proportion of people in sub-Saharan Africa living on </w:t>
      </w:r>
      <w:r w:rsidR="008C0F38" w:rsidRPr="009B0448">
        <w:rPr>
          <w:rFonts w:ascii="Times New Roman" w:eastAsia="Times New Roman" w:hAnsi="Times New Roman" w:cs="Times New Roman"/>
        </w:rPr>
        <w:t>$</w:t>
      </w:r>
      <w:r w:rsidRPr="009B0448">
        <w:rPr>
          <w:rFonts w:ascii="Times New Roman" w:eastAsia="Times New Roman" w:hAnsi="Times New Roman" w:cs="Times New Roman"/>
        </w:rPr>
        <w:t>1.90</w:t>
      </w:r>
      <w:r w:rsidR="00884170" w:rsidRPr="009B0448">
        <w:rPr>
          <w:rFonts w:ascii="Times New Roman" w:eastAsia="Times New Roman" w:hAnsi="Times New Roman" w:cs="Times New Roman"/>
        </w:rPr>
        <w:t xml:space="preserve"> per </w:t>
      </w:r>
      <w:r w:rsidRPr="009B0448">
        <w:rPr>
          <w:rFonts w:ascii="Times New Roman" w:eastAsia="Times New Roman" w:hAnsi="Times New Roman" w:cs="Times New Roman"/>
        </w:rPr>
        <w:t>day, something which has been particularly marked since the turn of the n</w:t>
      </w:r>
      <w:r w:rsidR="00E570EC" w:rsidRPr="009B0448">
        <w:rPr>
          <w:rFonts w:ascii="Times New Roman" w:eastAsia="Times New Roman" w:hAnsi="Times New Roman" w:cs="Times New Roman"/>
        </w:rPr>
        <w:t>ew century (World Bank, 2015a).</w:t>
      </w:r>
      <w:r w:rsidRPr="009B0448">
        <w:rPr>
          <w:rFonts w:ascii="Times New Roman" w:eastAsia="Times New Roman" w:hAnsi="Times New Roman" w:cs="Times New Roman"/>
        </w:rPr>
        <w:t xml:space="preserve"> Rapid increases in population have, however, meant that despite these reductions in proportions, there are now more people experiencing extreme poverty than ever, especially in East and Southern Africa (IFAD, 2015; World Bank, 2015a). There are suggestions that reductions in the share of people in poverty are larger than estimated in official statistics, but Africa has still not reached the Millennium Development Goal to halve its 1990 extreme poverty rate by 2015 (taken as the proportion of people living on less than </w:t>
      </w:r>
      <w:r w:rsidR="008C0F38" w:rsidRPr="009B0448">
        <w:rPr>
          <w:rFonts w:ascii="Times New Roman" w:eastAsia="Times New Roman" w:hAnsi="Times New Roman" w:cs="Times New Roman"/>
        </w:rPr>
        <w:t>$</w:t>
      </w:r>
      <w:r w:rsidRPr="009B0448">
        <w:rPr>
          <w:rFonts w:ascii="Times New Roman" w:eastAsia="Times New Roman" w:hAnsi="Times New Roman" w:cs="Times New Roman"/>
        </w:rPr>
        <w:t xml:space="preserve">1/day) (Christiaensen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World Bank, 2016). Successes are inevitably affected by global as well as local drivers (Chuhan-Pole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Some commentators suggest that the world food, energy and financial crises have contributed to slowing progress in recent years in Africa (del Ninno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Chuhan-Pole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but there are also suggestions that the continent’s economies fared relatively well, were quick to rebound and retain strong growth in many areas (AfDB, 2010; Devarajan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 Nevertheless, poverty eradication and socio-economic development remain the number one priority for developing countries in Africa (</w:t>
      </w:r>
      <w:r w:rsidR="00663335" w:rsidRPr="009B0448">
        <w:rPr>
          <w:rFonts w:ascii="Times New Roman" w:eastAsia="Times New Roman" w:hAnsi="Times New Roman" w:cs="Times New Roman"/>
        </w:rPr>
        <w:t xml:space="preserve">McKay </w:t>
      </w:r>
      <w:r w:rsidR="000429F8" w:rsidRPr="009B0448">
        <w:rPr>
          <w:rFonts w:ascii="Times New Roman" w:eastAsia="Times New Roman" w:hAnsi="Times New Roman" w:cs="Times New Roman"/>
          <w:i/>
        </w:rPr>
        <w:t>et al.</w:t>
      </w:r>
      <w:r w:rsidR="00663335" w:rsidRPr="009B0448">
        <w:rPr>
          <w:rFonts w:ascii="Times New Roman" w:eastAsia="Times New Roman" w:hAnsi="Times New Roman" w:cs="Times New Roman"/>
        </w:rPr>
        <w:t xml:space="preserve">, 2015; Palmer, 2015; </w:t>
      </w:r>
      <w:r w:rsidR="00E570EC" w:rsidRPr="009B0448">
        <w:rPr>
          <w:rFonts w:ascii="Times New Roman" w:eastAsia="Times New Roman" w:hAnsi="Times New Roman" w:cs="Times New Roman"/>
        </w:rPr>
        <w:t>UN</w:t>
      </w:r>
      <w:r w:rsidRPr="009B0448">
        <w:rPr>
          <w:rFonts w:ascii="Times New Roman" w:eastAsia="Times New Roman" w:hAnsi="Times New Roman" w:cs="Times New Roman"/>
        </w:rPr>
        <w:t xml:space="preserve">, 2015c; Oldekop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2016).</w:t>
      </w:r>
    </w:p>
    <w:p w14:paraId="7CA941E8" w14:textId="77777777" w:rsidR="00FB4B8A" w:rsidRPr="009B0448" w:rsidRDefault="00FB4B8A" w:rsidP="00FB4B8A">
      <w:pPr>
        <w:spacing w:line="276" w:lineRule="auto"/>
        <w:jc w:val="both"/>
        <w:rPr>
          <w:rFonts w:ascii="Times New Roman" w:eastAsia="Times New Roman" w:hAnsi="Times New Roman" w:cs="Times New Roman"/>
        </w:rPr>
      </w:pPr>
    </w:p>
    <w:p w14:paraId="36169150" w14:textId="102B7FF1" w:rsidR="006B7655" w:rsidRPr="009B0448"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Income-based measures show only part of the true extent of poverty, deprivation and associated inequalities. So-called multidimensional poverty takes a wider view and includes related characteristics such as health, education, living conditions and social inclusion (</w:t>
      </w:r>
      <w:r w:rsidR="00DD25F7" w:rsidRPr="009B0448">
        <w:rPr>
          <w:rFonts w:ascii="Times New Roman" w:eastAsia="Times New Roman" w:hAnsi="Times New Roman" w:cs="Times New Roman"/>
        </w:rPr>
        <w:t>UNDP, 2016</w:t>
      </w:r>
      <w:r w:rsidRPr="009B0448">
        <w:rPr>
          <w:rFonts w:ascii="Times New Roman" w:eastAsia="Times New Roman" w:hAnsi="Times New Roman" w:cs="Times New Roman"/>
        </w:rPr>
        <w:t xml:space="preserve">). Here too, there are many positive trends. For example rates of literacy, life expectancy and chronic malnutrition have all improved, but thresholds are very low. </w:t>
      </w:r>
      <w:r w:rsidR="00A5665F" w:rsidRPr="00A5665F">
        <w:rPr>
          <w:rFonts w:ascii="Times New Roman" w:eastAsia="Times New Roman" w:hAnsi="Times New Roman" w:cs="Times New Roman"/>
        </w:rPr>
        <w:t>Indeed, according to the Millennium Development Goals report, during the period 2011–2013, sub-Saharan Africa was still the most food-deficie</w:t>
      </w:r>
      <w:r w:rsidR="002B12AA">
        <w:rPr>
          <w:rFonts w:ascii="Times New Roman" w:eastAsia="Times New Roman" w:hAnsi="Times New Roman" w:cs="Times New Roman"/>
        </w:rPr>
        <w:t xml:space="preserve">nt region in the world, with 25% </w:t>
      </w:r>
      <w:r w:rsidR="00A5665F" w:rsidRPr="00A5665F">
        <w:rPr>
          <w:rFonts w:ascii="Times New Roman" w:eastAsia="Times New Roman" w:hAnsi="Times New Roman" w:cs="Times New Roman"/>
        </w:rPr>
        <w:t>of the population having faced hunger and malnutrition (</w:t>
      </w:r>
      <w:r w:rsidR="00817A4B">
        <w:rPr>
          <w:rFonts w:ascii="Times New Roman" w:eastAsia="Times New Roman" w:hAnsi="Times New Roman" w:cs="Times New Roman"/>
        </w:rPr>
        <w:t>AU</w:t>
      </w:r>
      <w:r w:rsidR="00A5665F" w:rsidRPr="00A5665F">
        <w:rPr>
          <w:rFonts w:ascii="Times New Roman" w:eastAsia="Times New Roman" w:hAnsi="Times New Roman" w:cs="Times New Roman"/>
        </w:rPr>
        <w:t>, 2015</w:t>
      </w:r>
      <w:r w:rsidR="00817A4B">
        <w:rPr>
          <w:rFonts w:ascii="Times New Roman" w:eastAsia="Times New Roman" w:hAnsi="Times New Roman" w:cs="Times New Roman"/>
        </w:rPr>
        <w:t>a</w:t>
      </w:r>
      <w:r w:rsidR="00A5665F" w:rsidRPr="00A5665F">
        <w:rPr>
          <w:rFonts w:ascii="Times New Roman" w:eastAsia="Times New Roman" w:hAnsi="Times New Roman" w:cs="Times New Roman"/>
        </w:rPr>
        <w:t xml:space="preserve">). </w:t>
      </w:r>
      <w:r w:rsidRPr="009B0448">
        <w:rPr>
          <w:rFonts w:ascii="Times New Roman" w:eastAsia="Times New Roman" w:hAnsi="Times New Roman" w:cs="Times New Roman"/>
        </w:rPr>
        <w:t xml:space="preserve">One in five adults still cannot read and write (Christiaensen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 Assessment of status and trends is hampered by a lack of data, but the data which do exist show considerable variation across regions, countries and economy types, e.g.</w:t>
      </w:r>
      <w:r w:rsidR="00E84BEA">
        <w:rPr>
          <w:rFonts w:ascii="Times New Roman" w:eastAsia="Times New Roman" w:hAnsi="Times New Roman" w:cs="Times New Roman"/>
        </w:rPr>
        <w:t>,</w:t>
      </w:r>
      <w:r w:rsidRPr="009B0448">
        <w:rPr>
          <w:rFonts w:ascii="Times New Roman" w:eastAsia="Times New Roman" w:hAnsi="Times New Roman" w:cs="Times New Roman"/>
        </w:rPr>
        <w:t xml:space="preserve"> using the World Bank’s country profiling and metrics (Chuhan-Pole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HDRO, 2015; see </w:t>
      </w:r>
      <w:r w:rsidR="00BC63CA" w:rsidRPr="009B0448">
        <w:rPr>
          <w:rFonts w:ascii="Times New Roman" w:eastAsia="Times New Roman" w:hAnsi="Times New Roman" w:cs="Times New Roman"/>
        </w:rPr>
        <w:t>Figure 1.15</w:t>
      </w:r>
      <w:r w:rsidRPr="009B0448">
        <w:rPr>
          <w:rFonts w:ascii="Times New Roman" w:eastAsia="Times New Roman" w:hAnsi="Times New Roman" w:cs="Times New Roman"/>
        </w:rPr>
        <w:t>). Despite the data limitations, it is clear that tackling inequalities remains a considerable challenge for the future (World Bank, 2015a).</w:t>
      </w:r>
    </w:p>
    <w:p w14:paraId="77DC696A" w14:textId="77777777" w:rsidR="00FB4B8A" w:rsidRPr="009B0448" w:rsidRDefault="00FB4B8A" w:rsidP="00FB4B8A">
      <w:pPr>
        <w:spacing w:line="276" w:lineRule="auto"/>
        <w:jc w:val="both"/>
        <w:rPr>
          <w:rFonts w:ascii="Times New Roman" w:eastAsia="Times New Roman" w:hAnsi="Times New Roman" w:cs="Times New Roman"/>
        </w:rPr>
      </w:pPr>
    </w:p>
    <w:p w14:paraId="1CEDE766" w14:textId="3058A064" w:rsidR="00311FB4" w:rsidRPr="009B0448" w:rsidRDefault="00311FB4" w:rsidP="00311FB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As indicated earlier, Africa is still largely agrarian and people living in rural areas experience most of the continent’s poverty, both in terms of income and also through measures like the Multidimensional Poverty Index (MPI) (Christiaensen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UNDP, 2015; World Economic Forum, 2015). The MPI itself exhibits wide variation across the continent, for example being &gt;80% in Burkina Faso and Ethiopia and &lt;10% in Egypt and Tunisia (UNDP, 2010, 2015). In Ethiopia, around 54% of the population living in urban households are affected by multidimensional poverty, but this reaches 96% when considering rural households. This urban-rural pattern is also seen in many other countries. While problems are greatest in rural areas, </w:t>
      </w:r>
      <w:r w:rsidR="00574E50" w:rsidRPr="009B0448">
        <w:rPr>
          <w:rFonts w:ascii="Times New Roman" w:eastAsia="Times New Roman" w:hAnsi="Times New Roman" w:cs="Times New Roman"/>
        </w:rPr>
        <w:t>urbanis</w:t>
      </w:r>
      <w:r w:rsidRPr="009B0448">
        <w:rPr>
          <w:rFonts w:ascii="Times New Roman" w:eastAsia="Times New Roman" w:hAnsi="Times New Roman" w:cs="Times New Roman"/>
        </w:rPr>
        <w:t>ation itself certainly does not provide a route out of poverty for everyone, as is exemplified in cities all across Africa where the majority of urban settlements are associated wi</w:t>
      </w:r>
      <w:r w:rsidR="000B1693">
        <w:rPr>
          <w:rFonts w:ascii="Times New Roman" w:eastAsia="Times New Roman" w:hAnsi="Times New Roman" w:cs="Times New Roman"/>
        </w:rPr>
        <w:t>th at least some unplanned, low-</w:t>
      </w:r>
      <w:r w:rsidRPr="009B0448">
        <w:rPr>
          <w:rFonts w:ascii="Times New Roman" w:eastAsia="Times New Roman" w:hAnsi="Times New Roman" w:cs="Times New Roman"/>
        </w:rPr>
        <w:t>income settlements characterised by high rates of marginal economic activity (Arimah, 2011).</w:t>
      </w:r>
    </w:p>
    <w:p w14:paraId="6DD2EC40" w14:textId="77777777" w:rsidR="00311FB4" w:rsidRPr="009B0448" w:rsidRDefault="00311FB4" w:rsidP="00311FB4">
      <w:pPr>
        <w:spacing w:line="276" w:lineRule="auto"/>
        <w:jc w:val="both"/>
        <w:rPr>
          <w:rFonts w:ascii="Times New Roman" w:hAnsi="Times New Roman" w:cs="Times New Roman"/>
        </w:rPr>
      </w:pPr>
    </w:p>
    <w:p w14:paraId="4FBE35EE" w14:textId="593C6635" w:rsidR="00311FB4" w:rsidRPr="009B0448" w:rsidRDefault="00311FB4" w:rsidP="00311FB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lastRenderedPageBreak/>
        <w:t>Much urban development in sub-Saharan Africa is informal, often characterised by a lack of basic services, poor housing, insecure tenure and over</w:t>
      </w:r>
      <w:r w:rsidR="000B1693">
        <w:rPr>
          <w:rFonts w:ascii="Times New Roman" w:eastAsia="Times New Roman" w:hAnsi="Times New Roman" w:cs="Times New Roman"/>
        </w:rPr>
        <w:t>crowding (Tibaijuka, 2007). Low-</w:t>
      </w:r>
      <w:r w:rsidRPr="009B0448">
        <w:rPr>
          <w:rFonts w:ascii="Times New Roman" w:eastAsia="Times New Roman" w:hAnsi="Times New Roman" w:cs="Times New Roman"/>
        </w:rPr>
        <w:t xml:space="preserve">income urban settlements are likely to remain a core feature of urban Africa for some time to come and so the goals of conserving and enhancing biodiversity and ecosystem benefits must take this into account (UN Habitat 2014). Indeed, this makes the need for a serious consideration of urban ecosystem contributions all the greater, including how beneficial contributions can be yielded from informality, whether this is manifested in settlement forms or economic systems (Anderson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w:t>
      </w:r>
    </w:p>
    <w:p w14:paraId="29116F77" w14:textId="77777777" w:rsidR="00311FB4" w:rsidRPr="009B0448" w:rsidRDefault="00311FB4" w:rsidP="00FB4B8A">
      <w:pPr>
        <w:spacing w:line="276" w:lineRule="auto"/>
        <w:jc w:val="both"/>
        <w:rPr>
          <w:rFonts w:ascii="Times New Roman" w:eastAsia="Times New Roman" w:hAnsi="Times New Roman" w:cs="Times New Roman"/>
        </w:rPr>
      </w:pPr>
    </w:p>
    <w:p w14:paraId="2C62A01B" w14:textId="72AEF405" w:rsidR="006B7655" w:rsidRPr="009B0448" w:rsidRDefault="000C7330" w:rsidP="00FF79DA">
      <w:pPr>
        <w:spacing w:line="276" w:lineRule="auto"/>
        <w:rPr>
          <w:rFonts w:ascii="Times New Roman" w:eastAsia="Times New Roman" w:hAnsi="Times New Roman" w:cs="Times New Roman"/>
        </w:rPr>
      </w:pPr>
      <w:r w:rsidRPr="009B0448">
        <w:rPr>
          <w:rFonts w:ascii="Times New Roman" w:eastAsia="Times New Roman" w:hAnsi="Times New Roman" w:cs="Times New Roman"/>
          <w:noProof/>
          <w:lang w:eastAsia="en-GB"/>
        </w:rPr>
        <w:drawing>
          <wp:inline distT="0" distB="0" distL="0" distR="0" wp14:anchorId="3CD4484C" wp14:editId="239AFB8E">
            <wp:extent cx="5666674" cy="5617884"/>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PBES-poverty-04.jpg"/>
                    <pic:cNvPicPr/>
                  </pic:nvPicPr>
                  <pic:blipFill>
                    <a:blip r:embed="rId51">
                      <a:extLst>
                        <a:ext uri="{28A0092B-C50C-407E-A947-70E740481C1C}">
                          <a14:useLocalDpi xmlns:a14="http://schemas.microsoft.com/office/drawing/2010/main" val="0"/>
                        </a:ext>
                      </a:extLst>
                    </a:blip>
                    <a:stretch>
                      <a:fillRect/>
                    </a:stretch>
                  </pic:blipFill>
                  <pic:spPr bwMode="auto">
                    <a:xfrm>
                      <a:off x="0" y="0"/>
                      <a:ext cx="5666674" cy="5617884"/>
                    </a:xfrm>
                    <a:prstGeom prst="rect">
                      <a:avLst/>
                    </a:prstGeom>
                    <a:ln>
                      <a:noFill/>
                    </a:ln>
                    <a:extLst>
                      <a:ext uri="{53640926-AAD7-44D8-BBD7-CCE9431645EC}">
                        <a14:shadowObscured xmlns:a14="http://schemas.microsoft.com/office/drawing/2010/main"/>
                      </a:ext>
                    </a:extLst>
                  </pic:spPr>
                </pic:pic>
              </a:graphicData>
            </a:graphic>
          </wp:inline>
        </w:drawing>
      </w:r>
    </w:p>
    <w:p w14:paraId="4F27CDD7" w14:textId="77777777" w:rsidR="00311FB4" w:rsidRPr="009B0448" w:rsidRDefault="000C7330" w:rsidP="00C82E09">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1.1</w:t>
      </w:r>
      <w:r w:rsidR="00BC63CA" w:rsidRPr="009B0448">
        <w:rPr>
          <w:rFonts w:ascii="Times New Roman" w:eastAsia="Times New Roman" w:hAnsi="Times New Roman" w:cs="Times New Roman"/>
          <w:b/>
        </w:rPr>
        <w:t>5</w:t>
      </w:r>
      <w:r w:rsidRPr="009B0448">
        <w:rPr>
          <w:rFonts w:ascii="Times New Roman" w:eastAsia="Times New Roman" w:hAnsi="Times New Roman" w:cs="Times New Roman"/>
          <w:b/>
        </w:rPr>
        <w:t xml:space="preserve">: </w:t>
      </w:r>
      <w:r w:rsidR="00311FB4" w:rsidRPr="009B0448">
        <w:rPr>
          <w:rFonts w:ascii="Times New Roman" w:eastAsia="Times New Roman" w:hAnsi="Times New Roman" w:cs="Times New Roman"/>
        </w:rPr>
        <w:t xml:space="preserve">Levels of multidimensional poverty in Africa. Sources: methodology based on Alkire </w:t>
      </w:r>
      <w:r w:rsidR="00311FB4" w:rsidRPr="009B0448">
        <w:rPr>
          <w:rFonts w:ascii="Times New Roman" w:eastAsia="Times New Roman" w:hAnsi="Times New Roman" w:cs="Times New Roman"/>
          <w:i/>
        </w:rPr>
        <w:t xml:space="preserve">et al. </w:t>
      </w:r>
      <w:r w:rsidR="00311FB4" w:rsidRPr="009B0448">
        <w:rPr>
          <w:rFonts w:ascii="Times New Roman" w:eastAsia="Times New Roman" w:hAnsi="Times New Roman" w:cs="Times New Roman"/>
        </w:rPr>
        <w:t xml:space="preserve">(2010); Alkire </w:t>
      </w:r>
      <w:r w:rsidR="00311FB4" w:rsidRPr="009B0448">
        <w:rPr>
          <w:rFonts w:ascii="Times New Roman" w:eastAsia="Times New Roman" w:hAnsi="Times New Roman" w:cs="Times New Roman"/>
          <w:i/>
        </w:rPr>
        <w:t>et al.</w:t>
      </w:r>
      <w:r w:rsidR="00311FB4" w:rsidRPr="009B0448">
        <w:rPr>
          <w:rFonts w:ascii="Times New Roman" w:eastAsia="Times New Roman" w:hAnsi="Times New Roman" w:cs="Times New Roman"/>
        </w:rPr>
        <w:t xml:space="preserve"> (2016); Alkire </w:t>
      </w:r>
      <w:r w:rsidR="00311FB4" w:rsidRPr="009B0448">
        <w:rPr>
          <w:rFonts w:ascii="Times New Roman" w:eastAsia="Times New Roman" w:hAnsi="Times New Roman" w:cs="Times New Roman"/>
          <w:i/>
        </w:rPr>
        <w:t>et al.</w:t>
      </w:r>
      <w:r w:rsidR="00311FB4" w:rsidRPr="009B0448">
        <w:rPr>
          <w:rFonts w:ascii="Times New Roman" w:eastAsia="Times New Roman" w:hAnsi="Times New Roman" w:cs="Times New Roman"/>
        </w:rPr>
        <w:t xml:space="preserve"> (2017); data retrieved from </w:t>
      </w:r>
      <w:hyperlink r:id="rId52" w:history="1">
        <w:r w:rsidR="00311FB4" w:rsidRPr="009B0448">
          <w:rPr>
            <w:rStyle w:val="Hyperlink"/>
            <w:rFonts w:ascii="Times New Roman" w:eastAsia="Times New Roman" w:hAnsi="Times New Roman" w:cs="Times New Roman"/>
          </w:rPr>
          <w:t>http://hdr.undp.org/en/composite/MPI</w:t>
        </w:r>
      </w:hyperlink>
    </w:p>
    <w:p w14:paraId="298676DE" w14:textId="77777777" w:rsidR="00311FB4" w:rsidRPr="009B0448" w:rsidRDefault="00311FB4" w:rsidP="00C82E09">
      <w:pPr>
        <w:spacing w:line="276" w:lineRule="auto"/>
        <w:jc w:val="both"/>
        <w:rPr>
          <w:rFonts w:ascii="Times New Roman" w:eastAsia="Times New Roman" w:hAnsi="Times New Roman" w:cs="Times New Roman"/>
        </w:rPr>
      </w:pPr>
    </w:p>
    <w:p w14:paraId="3783C808" w14:textId="7D29DBC9" w:rsidR="006B7655" w:rsidRPr="009B0448"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Poverty dynamics matter to this a</w:t>
      </w:r>
      <w:r w:rsidR="00BB5B4B" w:rsidRPr="009B0448">
        <w:rPr>
          <w:rFonts w:ascii="Times New Roman" w:eastAsia="Times New Roman" w:hAnsi="Times New Roman" w:cs="Times New Roman"/>
        </w:rPr>
        <w:t xml:space="preserve">ssessment in a number of ways, </w:t>
      </w:r>
      <w:r w:rsidRPr="009B0448">
        <w:rPr>
          <w:rFonts w:ascii="Times New Roman" w:eastAsia="Times New Roman" w:hAnsi="Times New Roman" w:cs="Times New Roman"/>
        </w:rPr>
        <w:t xml:space="preserve">but there are two main ways in which poverty dynamics are connected to biodiversity and nature's contributions and therefore provide important context for this assessment. Firstly, people experiencing poverty are particularly reliant on nature’s contributions (Fisher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Given the geographical distribution of poverty, reliance can be expected to be particularly strong in rural areas, although there is also emerging evidence of increased </w:t>
      </w:r>
      <w:r w:rsidRPr="009B0448">
        <w:rPr>
          <w:rFonts w:ascii="Times New Roman" w:eastAsia="Times New Roman" w:hAnsi="Times New Roman" w:cs="Times New Roman"/>
        </w:rPr>
        <w:lastRenderedPageBreak/>
        <w:t xml:space="preserve">dependence in urban areas too (Fisher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Lindley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 In South Africa, for example</w:t>
      </w:r>
      <w:r w:rsidR="000B1693">
        <w:rPr>
          <w:rFonts w:ascii="Times New Roman" w:eastAsia="Times New Roman" w:hAnsi="Times New Roman" w:cs="Times New Roman"/>
        </w:rPr>
        <w:t>,</w:t>
      </w:r>
      <w:r w:rsidRPr="009B0448">
        <w:rPr>
          <w:rFonts w:ascii="Times New Roman" w:eastAsia="Times New Roman" w:hAnsi="Times New Roman" w:cs="Times New Roman"/>
        </w:rPr>
        <w:t xml:space="preserve"> it has been suggested that even in urban and peri-urban areas, poverty rates could be 5–10% higher without the ability for people to supplement incomes from ecosystem-based resources (Ward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Material contributions from ecosystems offer an important ‘safety net’ through which people can maintain a good quality of life during times of need. This can be the case for food and fuel, but also for medicinal purposes, as is further explained in the next section. As a result, material contributions from ecosystems tend to be particularly valued. There is, however, also evidence that regulating contributions play a particularly important role in helping to improve the quality of life for the poor, for example as a means of accessing fresh air, </w:t>
      </w:r>
      <w:r w:rsidR="00605961" w:rsidRPr="009B0448">
        <w:rPr>
          <w:rFonts w:ascii="Times New Roman" w:eastAsia="Times New Roman" w:hAnsi="Times New Roman" w:cs="Times New Roman"/>
        </w:rPr>
        <w:t>clean water, shade and tranquillity</w:t>
      </w:r>
      <w:r w:rsidRPr="009B0448">
        <w:rPr>
          <w:rFonts w:ascii="Times New Roman" w:eastAsia="Times New Roman" w:hAnsi="Times New Roman" w:cs="Times New Roman"/>
        </w:rPr>
        <w:t xml:space="preserve">. The impacts of meeting these needs, particularly when based on harvesting material contributions, can be felt in localised areas. This can result in over-exploitation, environmental degradation and the loss of biodiversity, even in critical biodiversity hotspots (Brown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 Sometimes degraded land is the only land which is available to the poor, leading to more marginal livelihoods and precarious living conditions, for example as a result of more extreme exposure to natural hazards (IPCC, 2012). This is a considerable issue given that as of 2010, some 22% of the entire population of sub-Saharan Africa was estimated to be living on land classed as degraded (</w:t>
      </w:r>
      <w:r w:rsidR="00DD25F7" w:rsidRPr="009B0448">
        <w:rPr>
          <w:rFonts w:ascii="Times New Roman" w:eastAsia="Times New Roman" w:hAnsi="Times New Roman" w:cs="Times New Roman"/>
        </w:rPr>
        <w:t>UNDP, 2016</w:t>
      </w:r>
      <w:r w:rsidRPr="009B0448">
        <w:rPr>
          <w:rFonts w:ascii="Times New Roman" w:eastAsia="Times New Roman" w:hAnsi="Times New Roman" w:cs="Times New Roman"/>
        </w:rPr>
        <w:t>).</w:t>
      </w:r>
    </w:p>
    <w:p w14:paraId="234ADBC1" w14:textId="77777777" w:rsidR="00FB4B8A" w:rsidRPr="009B0448" w:rsidRDefault="00FB4B8A" w:rsidP="00FB4B8A">
      <w:pPr>
        <w:spacing w:line="276" w:lineRule="auto"/>
        <w:jc w:val="both"/>
        <w:rPr>
          <w:rFonts w:ascii="Times New Roman" w:eastAsia="Times New Roman" w:hAnsi="Times New Roman" w:cs="Times New Roman"/>
        </w:rPr>
      </w:pPr>
    </w:p>
    <w:p w14:paraId="1B2697DA" w14:textId="00E4E830" w:rsidR="006B7655" w:rsidRPr="009B0448"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second way that poverty dynamics matter is that in order to lift people out of poverty, it is necessary to use material contributions from nature, i.e.</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to further tap into Africa’s tremendous resources in order to provide the necessary infrastructure and materials to support economic transition (World Economic Forum, 2</w:t>
      </w:r>
      <w:r w:rsidR="00BB5B4B" w:rsidRPr="009B0448">
        <w:rPr>
          <w:rFonts w:ascii="Times New Roman" w:eastAsia="Times New Roman" w:hAnsi="Times New Roman" w:cs="Times New Roman"/>
        </w:rPr>
        <w:t xml:space="preserve">015). In addition to </w:t>
      </w:r>
      <w:r w:rsidR="00E27B31" w:rsidRPr="009B0448">
        <w:rPr>
          <w:rFonts w:ascii="Times New Roman" w:eastAsia="Times New Roman" w:hAnsi="Times New Roman" w:cs="Times New Roman"/>
        </w:rPr>
        <w:t>catalysing</w:t>
      </w:r>
      <w:r w:rsidR="00685033">
        <w:rPr>
          <w:rFonts w:ascii="Times New Roman" w:eastAsia="Times New Roman" w:hAnsi="Times New Roman" w:cs="Times New Roman"/>
        </w:rPr>
        <w:t xml:space="preserve"> large-</w:t>
      </w:r>
      <w:r w:rsidRPr="009B0448">
        <w:rPr>
          <w:rFonts w:ascii="Times New Roman" w:eastAsia="Times New Roman" w:hAnsi="Times New Roman" w:cs="Times New Roman"/>
        </w:rPr>
        <w:t>scale overexploitation, this may also lead to indirect drivers on biodiversity losses, as is explored in Chapter 4. Poverty, both in its own right and due to its connection to poor health and education, is considered to be one of the impediments to realising Africa’s potential for future economic growth and security (World Economic Forum, 2015). In turn, economic transition—in a way which is mindful of the need for modes of production and consumption which protect ecosystems—is considered paramount to the ability to weather shocks and stresses on the continent and therefore to protect against poverty (</w:t>
      </w:r>
      <w:r w:rsidR="00DD25F7" w:rsidRPr="009B0448">
        <w:rPr>
          <w:rFonts w:ascii="Times New Roman" w:eastAsia="Times New Roman" w:hAnsi="Times New Roman" w:cs="Times New Roman"/>
        </w:rPr>
        <w:t>UNDP</w:t>
      </w:r>
      <w:r w:rsidRPr="009B0448">
        <w:rPr>
          <w:rFonts w:ascii="Times New Roman" w:eastAsia="Times New Roman" w:hAnsi="Times New Roman" w:cs="Times New Roman"/>
        </w:rPr>
        <w:t>, 201</w:t>
      </w:r>
      <w:r w:rsidR="00DD25F7" w:rsidRPr="009B0448">
        <w:rPr>
          <w:rFonts w:ascii="Times New Roman" w:eastAsia="Times New Roman" w:hAnsi="Times New Roman" w:cs="Times New Roman"/>
        </w:rPr>
        <w:t>6</w:t>
      </w:r>
      <w:r w:rsidRPr="009B0448">
        <w:rPr>
          <w:rFonts w:ascii="Times New Roman" w:eastAsia="Times New Roman" w:hAnsi="Times New Roman" w:cs="Times New Roman"/>
        </w:rPr>
        <w:t xml:space="preserve">). Poverty is also tied in with conflict and instability, acting as both a driver and outcome, but difficult to disentangle from other drivers, such as those associated with the political economy of natural resource exploitation. </w:t>
      </w:r>
    </w:p>
    <w:p w14:paraId="69C3CC3F" w14:textId="77777777" w:rsidR="00FB4B8A" w:rsidRPr="009B0448" w:rsidRDefault="00FB4B8A" w:rsidP="00FB4B8A">
      <w:pPr>
        <w:spacing w:line="276" w:lineRule="auto"/>
        <w:jc w:val="both"/>
        <w:rPr>
          <w:rFonts w:ascii="Times New Roman" w:eastAsia="Times New Roman" w:hAnsi="Times New Roman" w:cs="Times New Roman"/>
        </w:rPr>
      </w:pPr>
    </w:p>
    <w:p w14:paraId="1A9E0A8E" w14:textId="74590C9A" w:rsidR="00D76D07" w:rsidRPr="009B0448"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Central to understanding the value of nature and the drivers of change on biodiversity and ecosystem contributions is an appreciation of who is more likely to experience poverty, the characteristics of poverty dynamics and the impacts of measures put in place to prevent or reduce poverty (an area also further explored in Chapter 6). Although a complex picture, there is evidence of the feminisation of poverty and associated characteristics such as literacy, access to information, power and influence (Chant, 2007). This is especially marked for some sub-groups</w:t>
      </w:r>
      <w:r w:rsidR="00CA41D5">
        <w:rPr>
          <w:rFonts w:ascii="Times New Roman" w:eastAsia="Times New Roman" w:hAnsi="Times New Roman" w:cs="Times New Roman"/>
        </w:rPr>
        <w:t>—</w:t>
      </w:r>
      <w:r w:rsidRPr="009B0448">
        <w:rPr>
          <w:rFonts w:ascii="Times New Roman" w:eastAsia="Times New Roman" w:hAnsi="Times New Roman" w:cs="Times New Roman"/>
        </w:rPr>
        <w:t xml:space="preserve">for example, widows, given that evidence suggests that the poverty rate is generally lower when the head of household is female, this is due to </w:t>
      </w:r>
      <w:r w:rsidR="00685033">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high productivity of women in Africa. The only exception is found in Southern Africa since poverty rate amongst female-headed homes are higher (Christiaensen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Beegle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Older people are also disproportionately affected and, although there have been some improvements in intergenerational equality in Africa, this remains high. It is thus the social as well as </w:t>
      </w:r>
      <w:r w:rsidR="00685033">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geographical distribution of poverty, which has implications for patterns in the demand for beneficial contributions and the potential for pressure and degradation. Poverty dynamics can be particularly marked at the level of individuals and households. Evidence from Kenya demonstrates that the most important set of factors determining a decline into poverty relate to the direct and indirect impacts of poor health (Kristjanson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2010). Health dynamics, trends, status and prospects together with their connections to nature and nature’s contributions to a good quality of life are therefore integral to setting the scene for this assessment.</w:t>
      </w:r>
    </w:p>
    <w:p w14:paraId="2DB3B4CA" w14:textId="58909990" w:rsidR="006B7655" w:rsidRPr="009B0448" w:rsidRDefault="00A8466E" w:rsidP="00FA7185">
      <w:pPr>
        <w:pStyle w:val="111"/>
        <w:numPr>
          <w:ilvl w:val="3"/>
          <w:numId w:val="10"/>
        </w:numPr>
        <w:spacing w:before="240" w:after="240"/>
        <w:ind w:left="851" w:hanging="862"/>
        <w:rPr>
          <w:rFonts w:cs="Times New Roman"/>
          <w:sz w:val="22"/>
          <w:szCs w:val="22"/>
        </w:rPr>
      </w:pPr>
      <w:bookmarkStart w:id="35" w:name="_Toc519499785"/>
      <w:r w:rsidRPr="009B0448">
        <w:rPr>
          <w:rFonts w:cs="Times New Roman"/>
          <w:sz w:val="22"/>
          <w:szCs w:val="22"/>
        </w:rPr>
        <w:lastRenderedPageBreak/>
        <w:t>Human health and ecosystems</w:t>
      </w:r>
      <w:bookmarkEnd w:id="35"/>
    </w:p>
    <w:p w14:paraId="36763FFF" w14:textId="7573B0D0" w:rsidR="006B7655" w:rsidRPr="009B0448" w:rsidRDefault="00A8466E" w:rsidP="00E24BC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Good health is a central condition of a good quality of life and therefore the role of biodiversity and nature’s contributions to health and well</w:t>
      </w:r>
      <w:r w:rsidR="00FD3265" w:rsidRPr="009B0448">
        <w:rPr>
          <w:rFonts w:ascii="Times New Roman" w:eastAsia="Times New Roman" w:hAnsi="Times New Roman" w:cs="Times New Roman"/>
        </w:rPr>
        <w:t>-</w:t>
      </w:r>
      <w:r w:rsidRPr="009B0448">
        <w:rPr>
          <w:rFonts w:ascii="Times New Roman" w:eastAsia="Times New Roman" w:hAnsi="Times New Roman" w:cs="Times New Roman"/>
        </w:rPr>
        <w:t>being is critically important to understand. This is particularly so in Africa, where health challenges remain some of the most demanding in the world. The environment influences health through a range of physical, biological, social and psychosocial factors. Population health, the integrity of natural resources and development of a country are intertwined and interdependent. The final part of this section provides an outline of health issues in the African context and introduces some of the ways that nature and nature’s contributions influence a good quality of life through human health. This inevitably includes discussion of some of nature’s contributions to people, which require management in order to avoid having negative impacts.</w:t>
      </w:r>
    </w:p>
    <w:p w14:paraId="7854A9EA" w14:textId="77777777" w:rsidR="00FB4B8A" w:rsidRPr="009B0448" w:rsidRDefault="00FB4B8A" w:rsidP="00E24BC5">
      <w:pPr>
        <w:spacing w:line="276" w:lineRule="auto"/>
        <w:jc w:val="both"/>
        <w:rPr>
          <w:rFonts w:ascii="Times New Roman" w:eastAsia="Times New Roman" w:hAnsi="Times New Roman" w:cs="Times New Roman"/>
        </w:rPr>
      </w:pPr>
    </w:p>
    <w:p w14:paraId="7181F559" w14:textId="5F22A595" w:rsidR="006B7655" w:rsidRPr="009B0448" w:rsidRDefault="00A8466E" w:rsidP="00E24BC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Over the last decade, health outcomes in Africa have seen considerable improvement in many areas, including for some disease burdens and both childhood and adult mortality rates (WHO, 2014). This is in line with tremendous successes in global public health. For instance, there has been an estimated reduction in the incidence of malaria by 12.1% (9.7% low to 16.4% high) between 2000 and 2015, so that the Millennium Development Goal 6 “</w:t>
      </w:r>
      <w:r w:rsidRPr="009B0448">
        <w:rPr>
          <w:rFonts w:ascii="Times New Roman" w:eastAsia="Times New Roman" w:hAnsi="Times New Roman" w:cs="Times New Roman"/>
          <w:i/>
        </w:rPr>
        <w:t>to have halted and begun to reverse the incidence of malaria</w:t>
      </w:r>
      <w:r w:rsidRPr="009B0448">
        <w:rPr>
          <w:rFonts w:ascii="Times New Roman" w:eastAsia="Times New Roman" w:hAnsi="Times New Roman" w:cs="Times New Roman"/>
        </w:rPr>
        <w:t>” (Target 6C) has been achieved (WHO, 2016). There have also been improvements in responses to other important diseases, for example, through the Integrated Disease Surveillance and Response Strategy (WHO, 2014). Nevertheless, the lack of equal access to health and sanitary services is still a major threat for those affected by those epidemics which still, unfortunately, occur (e.g.</w:t>
      </w:r>
      <w:r w:rsidR="00E24BC5">
        <w:rPr>
          <w:rFonts w:ascii="Times New Roman" w:eastAsia="Times New Roman" w:hAnsi="Times New Roman" w:cs="Times New Roman"/>
        </w:rPr>
        <w:t>,</w:t>
      </w:r>
      <w:r w:rsidR="00CA41D5">
        <w:rPr>
          <w:rFonts w:ascii="Times New Roman" w:eastAsia="Times New Roman" w:hAnsi="Times New Roman" w:cs="Times New Roman"/>
        </w:rPr>
        <w:t xml:space="preserve"> e</w:t>
      </w:r>
      <w:r w:rsidRPr="009B0448">
        <w:rPr>
          <w:rFonts w:ascii="Times New Roman" w:eastAsia="Times New Roman" w:hAnsi="Times New Roman" w:cs="Times New Roman"/>
        </w:rPr>
        <w:t>bola, yellow fever and dengue fever).</w:t>
      </w:r>
    </w:p>
    <w:p w14:paraId="21AE3DC3" w14:textId="77777777" w:rsidR="006B7655" w:rsidRPr="009B0448" w:rsidRDefault="006B7655" w:rsidP="00E24BC5">
      <w:pPr>
        <w:spacing w:line="276" w:lineRule="auto"/>
        <w:jc w:val="both"/>
        <w:rPr>
          <w:rFonts w:ascii="Times New Roman" w:eastAsia="Times New Roman" w:hAnsi="Times New Roman" w:cs="Times New Roman"/>
        </w:rPr>
      </w:pPr>
    </w:p>
    <w:p w14:paraId="4BF301EC" w14:textId="200624F7" w:rsidR="006B7655" w:rsidRPr="009B0448" w:rsidRDefault="00A8466E" w:rsidP="00E24BC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Between 1990 and 2012, all-cause mortality rates in children under 5 years old have almost halved, and maternal death rates reduced by 41% between 1990 and 2010. Some of the drivers of these changes include measures to tackle malnutrition and improve access to safe drinking water, both of which are strongly related to ecosystem-derived contributions. Although clearly important on human development and humanitarian grounds, these health improvements are also important for economic development, given that annual economic growth rates are estimated to rise by 0.4% in response to each 10% increase in life expectancy at birth (WHO, 2014). However, the ‘ecological paradox’ of degrading environmental conditions and improved health outcomes points to some of these successes potentially coming at the expense of future generations (Whitmee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p>
    <w:p w14:paraId="7BF27F5C" w14:textId="77777777" w:rsidR="00FB4B8A" w:rsidRPr="009B0448" w:rsidRDefault="00FB4B8A" w:rsidP="00E24BC5">
      <w:pPr>
        <w:spacing w:line="276" w:lineRule="auto"/>
        <w:jc w:val="both"/>
        <w:rPr>
          <w:rFonts w:ascii="Times New Roman" w:eastAsia="Times New Roman" w:hAnsi="Times New Roman" w:cs="Times New Roman"/>
        </w:rPr>
      </w:pPr>
    </w:p>
    <w:p w14:paraId="6DACCDD0" w14:textId="77EFF04C" w:rsidR="006B7655" w:rsidRPr="009B0448" w:rsidRDefault="00A8466E" w:rsidP="00E24BC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There are a number of terms and conceptualisations, which are used to understand the factors which affect human health and well</w:t>
      </w:r>
      <w:r w:rsidR="00FD3265" w:rsidRPr="009B0448">
        <w:rPr>
          <w:rFonts w:ascii="Times New Roman" w:eastAsia="Times New Roman" w:hAnsi="Times New Roman" w:cs="Times New Roman"/>
        </w:rPr>
        <w:t>-</w:t>
      </w:r>
      <w:r w:rsidRPr="009B0448">
        <w:rPr>
          <w:rFonts w:ascii="Times New Roman" w:eastAsia="Times New Roman" w:hAnsi="Times New Roman" w:cs="Times New Roman"/>
        </w:rPr>
        <w:t xml:space="preserve">being. For example, public health security is defined as </w:t>
      </w:r>
      <w:r w:rsidRPr="009B0448">
        <w:rPr>
          <w:rFonts w:ascii="Times New Roman" w:eastAsia="Times New Roman" w:hAnsi="Times New Roman" w:cs="Times New Roman"/>
          <w:i/>
        </w:rPr>
        <w:t>“the activities required, both proactive and reactive, to minimize vulnerability to acute public health events that endanger the collective health of national populations”</w:t>
      </w:r>
      <w:r w:rsidRPr="009B0448">
        <w:rPr>
          <w:rFonts w:ascii="Times New Roman" w:eastAsia="Times New Roman" w:hAnsi="Times New Roman" w:cs="Times New Roman"/>
        </w:rPr>
        <w:t xml:space="preserve"> (WHO, 2007). This encompasses the emergence and spread of diseases caused by the contact between humans and nature (Eisenberg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2007). It also includes non-communicable disease, including the ways in which humans are subject to poor health as a result of exposure through air, water, soil and food pathways (see Chapter 4, section 4.2.2.</w:t>
      </w:r>
      <w:r w:rsidR="002363B6" w:rsidRPr="009B0448">
        <w:rPr>
          <w:rFonts w:ascii="Times New Roman" w:eastAsia="Times New Roman" w:hAnsi="Times New Roman" w:cs="Times New Roman"/>
        </w:rPr>
        <w:t>5</w:t>
      </w:r>
      <w:r w:rsidRPr="009B0448">
        <w:rPr>
          <w:rFonts w:ascii="Times New Roman" w:eastAsia="Times New Roman" w:hAnsi="Times New Roman" w:cs="Times New Roman"/>
        </w:rPr>
        <w:t>). Biodiversity and ecosystem contributions are also associated with other aspects of physical health like nutrition. Finally, emerging evidence strongly suggests that there are many wider influences with nature’s contributions including for psychological and social well</w:t>
      </w:r>
      <w:r w:rsidR="00FD3265" w:rsidRPr="009B0448">
        <w:rPr>
          <w:rFonts w:ascii="Times New Roman" w:eastAsia="Times New Roman" w:hAnsi="Times New Roman" w:cs="Times New Roman"/>
        </w:rPr>
        <w:t>-</w:t>
      </w:r>
      <w:r w:rsidRPr="009B0448">
        <w:rPr>
          <w:rFonts w:ascii="Times New Roman" w:eastAsia="Times New Roman" w:hAnsi="Times New Roman" w:cs="Times New Roman"/>
        </w:rPr>
        <w:t xml:space="preserve">being and for mental health. This is one of the areas in which synthesising </w:t>
      </w:r>
      <w:r w:rsidR="004C733D" w:rsidRPr="009B0448">
        <w:rPr>
          <w:rFonts w:ascii="Times New Roman" w:eastAsia="Times New Roman" w:hAnsi="Times New Roman" w:cs="Times New Roman"/>
        </w:rPr>
        <w:t xml:space="preserve">ILK </w:t>
      </w:r>
      <w:r w:rsidRPr="009B0448">
        <w:rPr>
          <w:rFonts w:ascii="Times New Roman" w:eastAsia="Times New Roman" w:hAnsi="Times New Roman" w:cs="Times New Roman"/>
        </w:rPr>
        <w:t>will be vital.</w:t>
      </w:r>
    </w:p>
    <w:p w14:paraId="7BD7A4E9" w14:textId="77777777" w:rsidR="00FB4B8A" w:rsidRPr="009B0448" w:rsidRDefault="00FB4B8A" w:rsidP="00E24BC5">
      <w:pPr>
        <w:spacing w:line="276" w:lineRule="auto"/>
        <w:jc w:val="both"/>
        <w:rPr>
          <w:rFonts w:ascii="Times New Roman" w:eastAsia="Times New Roman" w:hAnsi="Times New Roman" w:cs="Times New Roman"/>
        </w:rPr>
      </w:pPr>
    </w:p>
    <w:p w14:paraId="27A9F279" w14:textId="44177BA0" w:rsidR="006B7655" w:rsidRPr="009B0448" w:rsidRDefault="00A8466E" w:rsidP="00E24BC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There are many factors explaining the emergence of infectious diseases, a major contribution of nature requiring effective management. Factors include environmental changes that have a natural origin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variations in rainfall, climate change) human-induced factors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deforestation, </w:t>
      </w:r>
      <w:r w:rsidR="00574E50" w:rsidRPr="009B0448">
        <w:rPr>
          <w:rFonts w:ascii="Times New Roman" w:eastAsia="Times New Roman" w:hAnsi="Times New Roman" w:cs="Times New Roman"/>
        </w:rPr>
        <w:t>urbanis</w:t>
      </w:r>
      <w:r w:rsidRPr="009B0448">
        <w:rPr>
          <w:rFonts w:ascii="Times New Roman" w:eastAsia="Times New Roman" w:hAnsi="Times New Roman" w:cs="Times New Roman"/>
        </w:rPr>
        <w:t xml:space="preserve">ation, dam </w:t>
      </w:r>
      <w:r w:rsidRPr="009B0448">
        <w:rPr>
          <w:rFonts w:ascii="Times New Roman" w:eastAsia="Times New Roman" w:hAnsi="Times New Roman" w:cs="Times New Roman"/>
        </w:rPr>
        <w:lastRenderedPageBreak/>
        <w:t>construction, practical food agricultural practices, trade, armed conflicts) and also the degradation or lack of availability of public health services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infrastructure and associated lack of vaccination programs). Nature’s contributions are important for promoting and improving health. For example, there are many cases across Africa that demonstrate the role of forests in providing material contributions through subsistence benefits for human health. Increasing forest cover has been linked to improved dietary nutrition outcomes due to increased availability of material resources for sustenance (Johnson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Ickowitz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Rowland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Moreover, wildlife consumed for food, although hosting potential for zoonotic pathogen transmission (Murray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2016), has also been linked to protecting human food security, and economic and nutritional well</w:t>
      </w:r>
      <w:r w:rsidR="00FD3265" w:rsidRPr="009B0448">
        <w:rPr>
          <w:rFonts w:ascii="Times New Roman" w:eastAsia="Times New Roman" w:hAnsi="Times New Roman" w:cs="Times New Roman"/>
        </w:rPr>
        <w:t>-</w:t>
      </w:r>
      <w:r w:rsidRPr="009B0448">
        <w:rPr>
          <w:rFonts w:ascii="Times New Roman" w:eastAsia="Times New Roman" w:hAnsi="Times New Roman" w:cs="Times New Roman"/>
        </w:rPr>
        <w:t xml:space="preserve">being (Golden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Brashares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Fa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 The declines in fisheries, discussed in Section 1.3.4.</w:t>
      </w:r>
      <w:r w:rsidR="00C37A13" w:rsidRPr="009B0448">
        <w:rPr>
          <w:rFonts w:ascii="Times New Roman" w:eastAsia="Times New Roman" w:hAnsi="Times New Roman" w:cs="Times New Roman"/>
        </w:rPr>
        <w:t>1</w:t>
      </w:r>
      <w:r w:rsidRPr="009B0448">
        <w:rPr>
          <w:rFonts w:ascii="Times New Roman" w:eastAsia="Times New Roman" w:hAnsi="Times New Roman" w:cs="Times New Roman"/>
        </w:rPr>
        <w:t xml:space="preserve">, have major implications for micronutrient supply. Chapter 4 </w:t>
      </w:r>
      <w:r w:rsidR="002363B6" w:rsidRPr="009B0448">
        <w:rPr>
          <w:rFonts w:ascii="Times New Roman" w:eastAsia="Times New Roman" w:hAnsi="Times New Roman" w:cs="Times New Roman"/>
        </w:rPr>
        <w:t xml:space="preserve">(section 4.2.2.3.4) </w:t>
      </w:r>
      <w:r w:rsidRPr="009B0448">
        <w:rPr>
          <w:rFonts w:ascii="Times New Roman" w:eastAsia="Times New Roman" w:hAnsi="Times New Roman" w:cs="Times New Roman"/>
        </w:rPr>
        <w:t>explores the impacts and illustrates how reliance on fish for nutrition and livelihood has gender and social dimensions,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in the case of Senegal. At the same time that marine, freshwater and terrestrial ecosystems are coming under increasing pressure, many rural populations lack access to basic health, a situation that leads to poor health outcomes and restricts the population’s ability for productivity.</w:t>
      </w:r>
    </w:p>
    <w:p w14:paraId="300D620A" w14:textId="77777777" w:rsidR="00FB4B8A" w:rsidRPr="009B0448" w:rsidRDefault="00FB4B8A" w:rsidP="00E24BC5">
      <w:pPr>
        <w:spacing w:line="276" w:lineRule="auto"/>
        <w:jc w:val="both"/>
        <w:rPr>
          <w:rFonts w:ascii="Times New Roman" w:eastAsia="Times New Roman" w:hAnsi="Times New Roman" w:cs="Times New Roman"/>
        </w:rPr>
      </w:pPr>
    </w:p>
    <w:p w14:paraId="3DC7E51F" w14:textId="002087C4" w:rsidR="006B7655" w:rsidRPr="009B0448" w:rsidRDefault="000C7330" w:rsidP="00E24BC5">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mc:AlternateContent>
          <mc:Choice Requires="wps">
            <w:drawing>
              <wp:anchor distT="0" distB="0" distL="114300" distR="114300" simplePos="0" relativeHeight="251660288" behindDoc="1" locked="0" layoutInCell="1" hidden="0" allowOverlap="1" wp14:anchorId="3C3AF05D" wp14:editId="22A31299">
                <wp:simplePos x="0" y="0"/>
                <wp:positionH relativeFrom="margin">
                  <wp:posOffset>0</wp:posOffset>
                </wp:positionH>
                <wp:positionV relativeFrom="paragraph">
                  <wp:posOffset>365760</wp:posOffset>
                </wp:positionV>
                <wp:extent cx="3718560" cy="5013960"/>
                <wp:effectExtent l="0" t="0" r="15240" b="15240"/>
                <wp:wrapSquare wrapText="bothSides" distT="0" distB="0" distL="114300" distR="114300"/>
                <wp:docPr id="26" name="Rectangle 26"/>
                <wp:cNvGraphicFramePr/>
                <a:graphic xmlns:a="http://schemas.openxmlformats.org/drawingml/2006/main">
                  <a:graphicData uri="http://schemas.microsoft.com/office/word/2010/wordprocessingShape">
                    <wps:wsp>
                      <wps:cNvSpPr/>
                      <wps:spPr>
                        <a:xfrm>
                          <a:off x="0" y="0"/>
                          <a:ext cx="3718560" cy="5013960"/>
                        </a:xfrm>
                        <a:prstGeom prst="rect">
                          <a:avLst/>
                        </a:prstGeom>
                        <a:solidFill>
                          <a:schemeClr val="bg1">
                            <a:lumMod val="95000"/>
                          </a:schemeClr>
                        </a:solidFill>
                        <a:ln w="9525" cap="flat" cmpd="sng">
                          <a:solidFill>
                            <a:schemeClr val="tx1"/>
                          </a:solidFill>
                          <a:prstDash val="solid"/>
                          <a:round/>
                          <a:headEnd type="none" w="med" len="med"/>
                          <a:tailEnd type="none" w="med" len="med"/>
                        </a:ln>
                      </wps:spPr>
                      <wps:txbx>
                        <w:txbxContent>
                          <w:p w14:paraId="57D308EC" w14:textId="32766F05" w:rsidR="00BC0CFA" w:rsidRPr="000E68D2" w:rsidRDefault="00BC0CFA" w:rsidP="000E68D2">
                            <w:pPr>
                              <w:spacing w:after="120" w:line="276" w:lineRule="auto"/>
                              <w:jc w:val="both"/>
                              <w:textDirection w:val="btLr"/>
                            </w:pPr>
                            <w:r>
                              <w:rPr>
                                <w:rFonts w:ascii="Times New Roman" w:eastAsia="Times New Roman" w:hAnsi="Times New Roman" w:cs="Times New Roman"/>
                                <w:b/>
                              </w:rPr>
                              <w:t>Box 1.7</w:t>
                            </w:r>
                            <w:r w:rsidRPr="000E68D2">
                              <w:rPr>
                                <w:rFonts w:ascii="Times New Roman" w:eastAsia="Times New Roman" w:hAnsi="Times New Roman" w:cs="Times New Roman"/>
                                <w:b/>
                              </w:rPr>
                              <w:t xml:space="preserve">: </w:t>
                            </w:r>
                            <w:r w:rsidRPr="00311FB4">
                              <w:rPr>
                                <w:rFonts w:ascii="Times New Roman" w:eastAsia="Times New Roman" w:hAnsi="Times New Roman" w:cs="Times New Roman"/>
                                <w:b/>
                              </w:rPr>
                              <w:t>Bio-prospecting: the case of Madagascar.</w:t>
                            </w:r>
                          </w:p>
                          <w:p w14:paraId="560A1B60" w14:textId="5BBF481D" w:rsidR="00BC0CFA" w:rsidRPr="000E68D2" w:rsidRDefault="00BC0CFA" w:rsidP="000E68D2">
                            <w:pPr>
                              <w:spacing w:line="276" w:lineRule="auto"/>
                              <w:jc w:val="both"/>
                              <w:textDirection w:val="btLr"/>
                            </w:pPr>
                            <w:r w:rsidRPr="000E68D2">
                              <w:rPr>
                                <w:rFonts w:ascii="Times New Roman" w:eastAsia="Times New Roman" w:hAnsi="Times New Roman" w:cs="Times New Roman"/>
                              </w:rPr>
                              <w:t xml:space="preserve">The International Cooperative Biodiversity Groups (ICBG) Program was established in 1992. Madagascar ICBG program had as its focus the three major goals of drug and agrochemical discovery, biodiversity conservation, and training and economic development. The program aims to integrate improvement of human health through drug discovery mostly from plants, </w:t>
                            </w:r>
                            <w:r>
                              <w:rPr>
                                <w:rFonts w:ascii="Times New Roman" w:eastAsia="Times New Roman" w:hAnsi="Times New Roman" w:cs="Times New Roman"/>
                              </w:rPr>
                              <w:t xml:space="preserve">the </w:t>
                            </w:r>
                            <w:r w:rsidRPr="000E68D2">
                              <w:rPr>
                                <w:rFonts w:ascii="Times New Roman" w:eastAsia="Times New Roman" w:hAnsi="Times New Roman" w:cs="Times New Roman"/>
                              </w:rPr>
                              <w:t>creation of incentives for conservation of biodiversity, and promotion of scientific research and sustainable economic activity that focuses on environment, health, equity and democracy. Due to the unique climate, geological structure and biodiversity of Madagascar, it provides a promising site for bio-prospecting unique biological samples. Beneficiaries, mostly local communities, were infrastructure, livelihood activities, training and capacity building.</w:t>
                            </w:r>
                          </w:p>
                          <w:p w14:paraId="5CC92351" w14:textId="77777777" w:rsidR="00BC0CFA" w:rsidRPr="000E68D2" w:rsidRDefault="00BC0CFA" w:rsidP="000E68D2">
                            <w:pPr>
                              <w:spacing w:line="276" w:lineRule="auto"/>
                              <w:jc w:val="both"/>
                              <w:textDirection w:val="btLr"/>
                            </w:pPr>
                          </w:p>
                          <w:p w14:paraId="2B5CB46B" w14:textId="78099BF0" w:rsidR="00BC0CFA" w:rsidRPr="000E68D2" w:rsidRDefault="00BC0CFA" w:rsidP="000E68D2">
                            <w:pPr>
                              <w:spacing w:line="276" w:lineRule="auto"/>
                              <w:jc w:val="both"/>
                              <w:textDirection w:val="btLr"/>
                            </w:pPr>
                            <w:r w:rsidRPr="000E68D2">
                              <w:rPr>
                                <w:rFonts w:ascii="Times New Roman" w:eastAsia="Times New Roman" w:hAnsi="Times New Roman" w:cs="Times New Roman"/>
                              </w:rPr>
                              <w:t xml:space="preserve">Despite the signature in 2001 of the International Treaty on Plant Genetic Resource for </w:t>
                            </w:r>
                            <w:r>
                              <w:rPr>
                                <w:rFonts w:ascii="Times New Roman" w:eastAsia="Times New Roman" w:hAnsi="Times New Roman" w:cs="Times New Roman"/>
                              </w:rPr>
                              <w:t>F</w:t>
                            </w:r>
                            <w:r w:rsidRPr="000E68D2">
                              <w:rPr>
                                <w:rFonts w:ascii="Times New Roman" w:eastAsia="Times New Roman" w:hAnsi="Times New Roman" w:cs="Times New Roman"/>
                              </w:rPr>
                              <w:t xml:space="preserve">ood and Agriculture (ITPGRFA), backed by the FAO, implementation at the national level has been slow (Prip </w:t>
                            </w:r>
                            <w:r w:rsidRPr="000429F8">
                              <w:rPr>
                                <w:rFonts w:ascii="Times New Roman" w:eastAsia="Times New Roman" w:hAnsi="Times New Roman" w:cs="Times New Roman"/>
                                <w:i/>
                              </w:rPr>
                              <w:t>et al.</w:t>
                            </w:r>
                            <w:r w:rsidRPr="000E68D2">
                              <w:rPr>
                                <w:rFonts w:ascii="Times New Roman" w:eastAsia="Times New Roman" w:hAnsi="Times New Roman" w:cs="Times New Roman"/>
                              </w:rPr>
                              <w:t xml:space="preserve">, 2015). </w:t>
                            </w:r>
                            <w:r w:rsidRPr="00C82E09">
                              <w:rPr>
                                <w:rFonts w:ascii="Times New Roman" w:eastAsia="Times New Roman" w:hAnsi="Times New Roman" w:cs="Times New Roman"/>
                              </w:rPr>
                              <w:t>Madagascar, for instance, has ratified the treaty in 2006, has ratified the Nagoya Protocol on ABS in 2014 and both ITPGRFA and NP/ABS have</w:t>
                            </w:r>
                            <w:r w:rsidRPr="000E68D2">
                              <w:rPr>
                                <w:rFonts w:ascii="Times New Roman" w:eastAsia="Times New Roman" w:hAnsi="Times New Roman" w:cs="Times New Roman"/>
                              </w:rPr>
                              <w:t xml:space="preserve"> each drafted laws for the implementation of these international instruments at the national level. In June 2016, regulations were drafted as interim measures but there is still no formal policy on bio-prospecting or access and benefit-sharing (ABS).</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C3AF05D" id="Rectangle 26" o:spid="_x0000_s1029" style="position:absolute;left:0;text-align:left;margin-left:0;margin-top:28.8pt;width:292.8pt;height:394.8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" fillcolor="#f2f2f2 [3052]" strokecolor="black [3213]">
                <v:stroke joinstyle="round"/>
                <v:textbox inset="2.53958mm,1.2694mm,2.53958mm,1.2694mm">
                  <w:txbxContent>
                    <w:p w14:paraId="57D308EC" w14:textId="32766F05" w:rsidR="00BC0CFA" w:rsidRPr="000E68D2" w:rsidRDefault="00BC0CFA" w:rsidP="000E68D2">
                      <w:pPr>
                        <w:spacing w:after="120" w:line="276" w:lineRule="auto"/>
                        <w:jc w:val="both"/>
                        <w:textDirection w:val="btLr"/>
                      </w:pPr>
                      <w:r>
                        <w:rPr>
                          <w:rFonts w:ascii="Times New Roman" w:eastAsia="Times New Roman" w:hAnsi="Times New Roman" w:cs="Times New Roman"/>
                          <w:b/>
                        </w:rPr>
                        <w:t>Box 1.7</w:t>
                      </w:r>
                      <w:r w:rsidRPr="000E68D2">
                        <w:rPr>
                          <w:rFonts w:ascii="Times New Roman" w:eastAsia="Times New Roman" w:hAnsi="Times New Roman" w:cs="Times New Roman"/>
                          <w:b/>
                        </w:rPr>
                        <w:t xml:space="preserve">: </w:t>
                      </w:r>
                      <w:r w:rsidRPr="00311FB4">
                        <w:rPr>
                          <w:rFonts w:ascii="Times New Roman" w:eastAsia="Times New Roman" w:hAnsi="Times New Roman" w:cs="Times New Roman"/>
                          <w:b/>
                        </w:rPr>
                        <w:t>Bio-prospecting: the case of Madagascar.</w:t>
                      </w:r>
                    </w:p>
                    <w:p w14:paraId="560A1B60" w14:textId="5BBF481D" w:rsidR="00BC0CFA" w:rsidRPr="000E68D2" w:rsidRDefault="00BC0CFA" w:rsidP="000E68D2">
                      <w:pPr>
                        <w:spacing w:line="276" w:lineRule="auto"/>
                        <w:jc w:val="both"/>
                        <w:textDirection w:val="btLr"/>
                      </w:pPr>
                      <w:r w:rsidRPr="000E68D2">
                        <w:rPr>
                          <w:rFonts w:ascii="Times New Roman" w:eastAsia="Times New Roman" w:hAnsi="Times New Roman" w:cs="Times New Roman"/>
                        </w:rPr>
                        <w:t xml:space="preserve">The International Cooperative Biodiversity Groups (ICBG) Program was established in 1992. Madagascar ICBG program had as its focus the three major goals of drug and agrochemical discovery, biodiversity conservation, and training and economic development. The program aims to integrate improvement of human health through drug discovery mostly from plants, </w:t>
                      </w:r>
                      <w:r>
                        <w:rPr>
                          <w:rFonts w:ascii="Times New Roman" w:eastAsia="Times New Roman" w:hAnsi="Times New Roman" w:cs="Times New Roman"/>
                        </w:rPr>
                        <w:t xml:space="preserve">the </w:t>
                      </w:r>
                      <w:r w:rsidRPr="000E68D2">
                        <w:rPr>
                          <w:rFonts w:ascii="Times New Roman" w:eastAsia="Times New Roman" w:hAnsi="Times New Roman" w:cs="Times New Roman"/>
                        </w:rPr>
                        <w:t>creation of incentives for conservation of biodiversity, and promotion of scientific research and sustainable economic activity that focuses on environment, health, equity and democracy. Due to the unique climate, geological structure and biodiversity of Madagascar, it provides a promising site for bio-prospecting unique biological samples. Beneficiaries, mostly local communities, were infrastructure, livelihood activities, training and capacity building.</w:t>
                      </w:r>
                    </w:p>
                    <w:p w14:paraId="5CC92351" w14:textId="77777777" w:rsidR="00BC0CFA" w:rsidRPr="000E68D2" w:rsidRDefault="00BC0CFA" w:rsidP="000E68D2">
                      <w:pPr>
                        <w:spacing w:line="276" w:lineRule="auto"/>
                        <w:jc w:val="both"/>
                        <w:textDirection w:val="btLr"/>
                      </w:pPr>
                    </w:p>
                    <w:p w14:paraId="2B5CB46B" w14:textId="78099BF0" w:rsidR="00BC0CFA" w:rsidRPr="000E68D2" w:rsidRDefault="00BC0CFA" w:rsidP="000E68D2">
                      <w:pPr>
                        <w:spacing w:line="276" w:lineRule="auto"/>
                        <w:jc w:val="both"/>
                        <w:textDirection w:val="btLr"/>
                      </w:pPr>
                      <w:r w:rsidRPr="000E68D2">
                        <w:rPr>
                          <w:rFonts w:ascii="Times New Roman" w:eastAsia="Times New Roman" w:hAnsi="Times New Roman" w:cs="Times New Roman"/>
                        </w:rPr>
                        <w:t xml:space="preserve">Despite the signature in 2001 of the International Treaty on Plant Genetic Resource for </w:t>
                      </w:r>
                      <w:r>
                        <w:rPr>
                          <w:rFonts w:ascii="Times New Roman" w:eastAsia="Times New Roman" w:hAnsi="Times New Roman" w:cs="Times New Roman"/>
                        </w:rPr>
                        <w:t>F</w:t>
                      </w:r>
                      <w:r w:rsidRPr="000E68D2">
                        <w:rPr>
                          <w:rFonts w:ascii="Times New Roman" w:eastAsia="Times New Roman" w:hAnsi="Times New Roman" w:cs="Times New Roman"/>
                        </w:rPr>
                        <w:t xml:space="preserve">ood and Agriculture (ITPGRFA), backed by the FAO, implementation at the national level has been slow (Prip </w:t>
                      </w:r>
                      <w:r w:rsidRPr="000429F8">
                        <w:rPr>
                          <w:rFonts w:ascii="Times New Roman" w:eastAsia="Times New Roman" w:hAnsi="Times New Roman" w:cs="Times New Roman"/>
                          <w:i/>
                        </w:rPr>
                        <w:t>et al.</w:t>
                      </w:r>
                      <w:r w:rsidRPr="000E68D2">
                        <w:rPr>
                          <w:rFonts w:ascii="Times New Roman" w:eastAsia="Times New Roman" w:hAnsi="Times New Roman" w:cs="Times New Roman"/>
                        </w:rPr>
                        <w:t xml:space="preserve">, 2015). </w:t>
                      </w:r>
                      <w:r w:rsidRPr="00C82E09">
                        <w:rPr>
                          <w:rFonts w:ascii="Times New Roman" w:eastAsia="Times New Roman" w:hAnsi="Times New Roman" w:cs="Times New Roman"/>
                        </w:rPr>
                        <w:t>Madagascar, for instance, has ratified the treaty in 2006, has ratified the Nagoya Protocol on ABS in 2014 and both ITPGRFA and NP/ABS have</w:t>
                      </w:r>
                      <w:r w:rsidRPr="000E68D2">
                        <w:rPr>
                          <w:rFonts w:ascii="Times New Roman" w:eastAsia="Times New Roman" w:hAnsi="Times New Roman" w:cs="Times New Roman"/>
                        </w:rPr>
                        <w:t xml:space="preserve"> each drafted laws for the implementation of these international instruments at the national level. In June 2016, regulations were drafted as interim measures but there is still no formal policy on bio-prospecting or access and benefit-sharing (ABS).</w:t>
                      </w:r>
                    </w:p>
                  </w:txbxContent>
                </v:textbox>
                <w10:wrap type="square" anchorx="margin"/>
              </v:rect>
            </w:pict>
          </mc:Fallback>
        </mc:AlternateContent>
      </w:r>
      <w:r w:rsidR="00A8466E" w:rsidRPr="009B0448">
        <w:rPr>
          <w:rFonts w:ascii="Times New Roman" w:eastAsia="Times New Roman" w:hAnsi="Times New Roman" w:cs="Times New Roman"/>
        </w:rPr>
        <w:t>The Libreville Declaration on Health and Environment i</w:t>
      </w:r>
      <w:r w:rsidR="00524055" w:rsidRPr="009B0448">
        <w:rPr>
          <w:rFonts w:ascii="Times New Roman" w:eastAsia="Times New Roman" w:hAnsi="Times New Roman" w:cs="Times New Roman"/>
        </w:rPr>
        <w:t>n Africa (WHO-</w:t>
      </w:r>
      <w:r w:rsidR="00A8466E" w:rsidRPr="009B0448">
        <w:rPr>
          <w:rFonts w:ascii="Times New Roman" w:eastAsia="Times New Roman" w:hAnsi="Times New Roman" w:cs="Times New Roman"/>
        </w:rPr>
        <w:t>UNEP, 2008), signed by 52 African countries (</w:t>
      </w:r>
      <w:r w:rsidR="00264EBF" w:rsidRPr="009B0448">
        <w:rPr>
          <w:rFonts w:ascii="Times New Roman" w:eastAsia="Times New Roman" w:hAnsi="Times New Roman" w:cs="Times New Roman"/>
        </w:rPr>
        <w:t>organise</w:t>
      </w:r>
      <w:r w:rsidR="00A8466E" w:rsidRPr="009B0448">
        <w:rPr>
          <w:rFonts w:ascii="Times New Roman" w:eastAsia="Times New Roman" w:hAnsi="Times New Roman" w:cs="Times New Roman"/>
        </w:rPr>
        <w:t>d by WHO and UNEP), is a platform to address the link between human health, wildlife and environmental health. The Population-Health-Environment</w:t>
      </w:r>
      <w:r w:rsidR="00C00167" w:rsidRPr="009B0448">
        <w:rPr>
          <w:rFonts w:ascii="Times New Roman" w:eastAsia="Times New Roman" w:hAnsi="Times New Roman" w:cs="Times New Roman"/>
        </w:rPr>
        <w:t xml:space="preserve"> </w:t>
      </w:r>
      <w:r w:rsidR="00A8466E" w:rsidRPr="009B0448">
        <w:rPr>
          <w:rFonts w:ascii="Times New Roman" w:eastAsia="Times New Roman" w:hAnsi="Times New Roman" w:cs="Times New Roman"/>
        </w:rPr>
        <w:t>approach is implemented in many countries in Africa as the way to integrate improvement of human health and environmental conservation in remote, ecologically rich ecosystems with the most dynamic human-environment systems.</w:t>
      </w:r>
    </w:p>
    <w:p w14:paraId="38ADB5F2" w14:textId="77777777" w:rsidR="006B7655" w:rsidRPr="009B0448" w:rsidRDefault="006B7655" w:rsidP="00E24BC5">
      <w:pPr>
        <w:spacing w:line="276" w:lineRule="auto"/>
        <w:jc w:val="both"/>
        <w:rPr>
          <w:rFonts w:ascii="Times New Roman" w:eastAsia="Times New Roman" w:hAnsi="Times New Roman" w:cs="Times New Roman"/>
        </w:rPr>
      </w:pPr>
    </w:p>
    <w:p w14:paraId="101146C3" w14:textId="13F05C23" w:rsidR="006B7655" w:rsidRPr="009B0448" w:rsidRDefault="00A8466E" w:rsidP="00E24BC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Further, the emerging field of Planetary Health is also important to note here</w:t>
      </w:r>
      <w:r w:rsidR="00CA41D5">
        <w:rPr>
          <w:rFonts w:ascii="Times New Roman" w:eastAsia="Times New Roman" w:hAnsi="Times New Roman" w:cs="Times New Roman"/>
        </w:rPr>
        <w:t>—</w:t>
      </w:r>
      <w:r w:rsidRPr="009B0448">
        <w:rPr>
          <w:rFonts w:ascii="Times New Roman" w:eastAsia="Times New Roman" w:hAnsi="Times New Roman" w:cs="Times New Roman"/>
        </w:rPr>
        <w:t xml:space="preserve">a novel discipline within Global Health dedicated to understanding the ways in which human alteration of earth systems has led to significant human health impacts (Whitmee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Poverty remains an important cause of poor health in much of sub-Saharan Africa. Some of this can be linked to negative outcomes resulting from the direct use of nature’s material contributions to people. To give just one example, the use of charcoal and wood for domestic energy needs can lead to high pollution exposure burdens and </w:t>
      </w:r>
      <w:r w:rsidRPr="009B0448">
        <w:rPr>
          <w:rFonts w:ascii="Times New Roman" w:eastAsia="Times New Roman" w:hAnsi="Times New Roman" w:cs="Times New Roman"/>
        </w:rPr>
        <w:lastRenderedPageBreak/>
        <w:t>associated respiratory illness and mortality, espec</w:t>
      </w:r>
      <w:r w:rsidR="00C00167" w:rsidRPr="009B0448">
        <w:rPr>
          <w:rFonts w:ascii="Times New Roman" w:eastAsia="Times New Roman" w:hAnsi="Times New Roman" w:cs="Times New Roman"/>
        </w:rPr>
        <w:t>ially in young children (Bailis</w:t>
      </w:r>
      <w:r w:rsidRPr="009B0448">
        <w:rPr>
          <w:rFonts w:ascii="Times New Roman" w:eastAsia="Times New Roman" w:hAnsi="Times New Roman" w:cs="Times New Roman"/>
        </w:rPr>
        <w:t xml:space="preserv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Lim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Issues associated with air pollution are discussed in more detail in </w:t>
      </w:r>
      <w:r w:rsidR="00C82E09" w:rsidRPr="009B0448">
        <w:rPr>
          <w:rFonts w:ascii="Times New Roman" w:eastAsia="Times New Roman" w:hAnsi="Times New Roman" w:cs="Times New Roman"/>
        </w:rPr>
        <w:t>Chapter 4.</w:t>
      </w:r>
    </w:p>
    <w:p w14:paraId="3C7D35EF" w14:textId="77777777" w:rsidR="00FB4B8A" w:rsidRPr="009B0448" w:rsidRDefault="00FB4B8A" w:rsidP="00E24BC5">
      <w:pPr>
        <w:spacing w:line="276" w:lineRule="auto"/>
        <w:jc w:val="both"/>
        <w:rPr>
          <w:rFonts w:ascii="Times New Roman" w:eastAsia="Times New Roman" w:hAnsi="Times New Roman" w:cs="Times New Roman"/>
        </w:rPr>
      </w:pPr>
    </w:p>
    <w:p w14:paraId="4D400894" w14:textId="264DD41F" w:rsidR="006B7655" w:rsidRPr="009B0448" w:rsidRDefault="00A8466E" w:rsidP="00E24BC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Flooding and drought must also be considered, as well as their interrelation with uncontrolled </w:t>
      </w:r>
      <w:r w:rsidR="00574E50" w:rsidRPr="009B0448">
        <w:rPr>
          <w:rFonts w:ascii="Times New Roman" w:eastAsia="Times New Roman" w:hAnsi="Times New Roman" w:cs="Times New Roman"/>
        </w:rPr>
        <w:t>urbanis</w:t>
      </w:r>
      <w:r w:rsidRPr="009B0448">
        <w:rPr>
          <w:rFonts w:ascii="Times New Roman" w:eastAsia="Times New Roman" w:hAnsi="Times New Roman" w:cs="Times New Roman"/>
        </w:rPr>
        <w:t>ation and the related obstruction of previous flows in the ecology of urban and peri-urban systems. Ecosystem changes, including deforestation and climate-related changes</w:t>
      </w:r>
      <w:r w:rsidR="00685033">
        <w:rPr>
          <w:rFonts w:ascii="Times New Roman" w:eastAsia="Times New Roman" w:hAnsi="Times New Roman" w:cs="Times New Roman"/>
        </w:rPr>
        <w:t>,</w:t>
      </w:r>
      <w:r w:rsidRPr="009B0448">
        <w:rPr>
          <w:rFonts w:ascii="Times New Roman" w:eastAsia="Times New Roman" w:hAnsi="Times New Roman" w:cs="Times New Roman"/>
        </w:rPr>
        <w:t xml:space="preserve"> influence waterborne as well as vector-borne diseases. If not sufficiently addressed, these diseases can eventually result in pandemic crises. Many water-borne and vector-borne diseases belong to a group referred to as Neglected Tropical Diseases. As the last Ebola crisis showed, there are considerable international threats around </w:t>
      </w:r>
      <w:r w:rsidR="00C00167" w:rsidRPr="009B0448">
        <w:rPr>
          <w:rFonts w:ascii="Times New Roman" w:eastAsia="Times New Roman" w:hAnsi="Times New Roman" w:cs="Times New Roman"/>
        </w:rPr>
        <w:t xml:space="preserve">neglected tropical </w:t>
      </w:r>
      <w:r w:rsidR="00E27B31" w:rsidRPr="009B0448">
        <w:rPr>
          <w:rFonts w:ascii="Times New Roman" w:eastAsia="Times New Roman" w:hAnsi="Times New Roman" w:cs="Times New Roman"/>
        </w:rPr>
        <w:t>diseases</w:t>
      </w:r>
      <w:r w:rsidRPr="009B0448">
        <w:rPr>
          <w:rFonts w:ascii="Times New Roman" w:eastAsia="Times New Roman" w:hAnsi="Times New Roman" w:cs="Times New Roman"/>
        </w:rPr>
        <w:t>.</w:t>
      </w:r>
    </w:p>
    <w:p w14:paraId="7B0B2A0C" w14:textId="77777777" w:rsidR="00FB4B8A" w:rsidRPr="009B0448" w:rsidRDefault="00FB4B8A" w:rsidP="00E24BC5">
      <w:pPr>
        <w:spacing w:line="276" w:lineRule="auto"/>
        <w:jc w:val="both"/>
        <w:rPr>
          <w:rFonts w:ascii="Times New Roman" w:eastAsia="Times New Roman" w:hAnsi="Times New Roman" w:cs="Times New Roman"/>
        </w:rPr>
      </w:pPr>
    </w:p>
    <w:p w14:paraId="0CFF4E0B" w14:textId="3DB47051" w:rsidR="006B7655" w:rsidRPr="009B0448" w:rsidRDefault="00A8466E" w:rsidP="00E24BC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One specific example of how anthropogenic drivers acting on intact landscapes have driven a proliferation of emerging infectious diseases is the increasing demand for bushmeat for food. Further, global transportation of people, wildlife and livestock, as well as blood-to-blood contact during the hunting and butchering of bushmeat increase opportunities for cross-species disease transmission in Africa such as Severe Acute Respiratory Syndrome, monkeypo</w:t>
      </w:r>
      <w:r w:rsidR="00685033">
        <w:rPr>
          <w:rFonts w:ascii="Times New Roman" w:eastAsia="Times New Roman" w:hAnsi="Times New Roman" w:cs="Times New Roman"/>
        </w:rPr>
        <w:t>x, Ebola and HIV/AIDS. The Cost-</w:t>
      </w:r>
      <w:r w:rsidR="00884170" w:rsidRPr="009B0448">
        <w:rPr>
          <w:rFonts w:ascii="Times New Roman" w:eastAsia="Times New Roman" w:hAnsi="Times New Roman" w:cs="Times New Roman"/>
        </w:rPr>
        <w:t>e</w:t>
      </w:r>
      <w:r w:rsidRPr="009B0448">
        <w:rPr>
          <w:rFonts w:ascii="Times New Roman" w:eastAsia="Times New Roman" w:hAnsi="Times New Roman" w:cs="Times New Roman"/>
        </w:rPr>
        <w:t xml:space="preserve">ffectiveness </w:t>
      </w:r>
      <w:r w:rsidR="00884170" w:rsidRPr="009B0448">
        <w:rPr>
          <w:rFonts w:ascii="Times New Roman" w:eastAsia="Times New Roman" w:hAnsi="Times New Roman" w:cs="Times New Roman"/>
        </w:rPr>
        <w:t>a</w:t>
      </w:r>
      <w:r w:rsidRPr="009B0448">
        <w:rPr>
          <w:rFonts w:ascii="Times New Roman" w:eastAsia="Times New Roman" w:hAnsi="Times New Roman" w:cs="Times New Roman"/>
        </w:rPr>
        <w:t xml:space="preserve">nalysis conducted by WHO of environmental health interventions demonstrated that the impact of environmental health management is highly uncertain due to methodological difficulties, the lack of reliable data and the lack of data which connects to stakeholder needs (Edejer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2003).</w:t>
      </w:r>
    </w:p>
    <w:p w14:paraId="769F3CCC" w14:textId="77777777" w:rsidR="00FB4B8A" w:rsidRPr="009B0448" w:rsidRDefault="00FB4B8A" w:rsidP="00E24BC5">
      <w:pPr>
        <w:spacing w:line="276" w:lineRule="auto"/>
        <w:jc w:val="both"/>
        <w:rPr>
          <w:rFonts w:ascii="Times New Roman" w:eastAsia="Times New Roman" w:hAnsi="Times New Roman" w:cs="Times New Roman"/>
        </w:rPr>
      </w:pPr>
    </w:p>
    <w:p w14:paraId="720BB858" w14:textId="00241CE8" w:rsidR="006B7655" w:rsidRPr="009B0448" w:rsidRDefault="00A8466E" w:rsidP="00E24BC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Africa, the use of medicinal plants has always been a fundamental component of traditional healthcare systems, and it is perhaps the oldest and the most varied of all therapeutic systems. This knowledge has been validated through its transmission over many generations. In many developing countries, it is believed that traditional medicine is still the main source of health care for about 80% of the population due to its cultural acceptability, affordability and accessibility (Elujoba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2005). Prescription of medicinal plants by traditional healers in many parts of rural Africa is the most easily accessible and affordable health resource available to local communities and at times the only therapy that exists. Studies suggest that there are 5</w:t>
      </w:r>
      <w:r w:rsidR="00C00167" w:rsidRPr="009B0448">
        <w:rPr>
          <w:rFonts w:ascii="Times New Roman" w:eastAsia="Times New Roman" w:hAnsi="Times New Roman" w:cs="Times New Roman"/>
        </w:rPr>
        <w:t>,</w:t>
      </w:r>
      <w:r w:rsidRPr="009B0448">
        <w:rPr>
          <w:rFonts w:ascii="Times New Roman" w:eastAsia="Times New Roman" w:hAnsi="Times New Roman" w:cs="Times New Roman"/>
        </w:rPr>
        <w:t xml:space="preserve">400 documented medicinal plants in Africa (Moyo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 Nonetheless, there is still a paucity of up-to-date and comprehensive databases of plants with known and potential medicinal properties for the African continent. This is in part due to the highly localised nature of indigenous knowledge bases.</w:t>
      </w:r>
    </w:p>
    <w:p w14:paraId="5E8903DB" w14:textId="77777777" w:rsidR="00FB4B8A" w:rsidRPr="009B0448" w:rsidRDefault="00FB4B8A" w:rsidP="00E24BC5">
      <w:pPr>
        <w:spacing w:line="276" w:lineRule="auto"/>
        <w:jc w:val="both"/>
        <w:rPr>
          <w:rFonts w:ascii="Times New Roman" w:eastAsia="Times New Roman" w:hAnsi="Times New Roman" w:cs="Times New Roman"/>
        </w:rPr>
      </w:pPr>
    </w:p>
    <w:p w14:paraId="46ABFCDB" w14:textId="33B8FA8F" w:rsidR="006B7655" w:rsidRPr="009B0448" w:rsidRDefault="00A8466E" w:rsidP="00E24BC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Due to the importance of traditional health systems and related ecosystem contributions in Africa, Chapter 2 further extends the discussion introduced here. It is clear that sustainable management of traditional medicinal plant resources is important, not only due to their value as a potential source of new drugs, but also due to reliance on traditional medicinal plants for health and in some cases for income. Examples from Sahelian countries show how wild plants play important social, cultural, aesthetic and ethical roles for rural communities, as local people depend on them for food, traditional medicine, construction, handicrafts, cosmetics, forage and revenues (Dembélé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A recent IPBES report (Roué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shows that 72% of Egypt's desert systems species were used for medicinal purposes, and that they also provided an income for local communities. Their use is not only due to cost but also due to perceptions of their higher effectiveness and relative ease of access (from herbal shops and directly from the environment) (Roué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With few exceptions, traditional medicinal plants are collected from the wild as barks, roots and whole plants. Although reliance on </w:t>
      </w:r>
      <w:r w:rsidR="00C00167" w:rsidRPr="009B0448">
        <w:rPr>
          <w:rFonts w:ascii="Times New Roman" w:eastAsia="Times New Roman" w:hAnsi="Times New Roman" w:cs="Times New Roman"/>
        </w:rPr>
        <w:t>traditional medicinal plants</w:t>
      </w:r>
      <w:r w:rsidRPr="009B0448">
        <w:rPr>
          <w:rFonts w:ascii="Times New Roman" w:eastAsia="Times New Roman" w:hAnsi="Times New Roman" w:cs="Times New Roman"/>
        </w:rPr>
        <w:t xml:space="preserve"> may decline in the </w:t>
      </w:r>
      <w:r w:rsidR="000B06FE" w:rsidRPr="009B0448">
        <w:rPr>
          <w:rFonts w:ascii="Times New Roman" w:eastAsia="Times New Roman" w:hAnsi="Times New Roman" w:cs="Times New Roman"/>
        </w:rPr>
        <w:t>long-term</w:t>
      </w:r>
      <w:r w:rsidRPr="009B0448">
        <w:rPr>
          <w:rFonts w:ascii="Times New Roman" w:eastAsia="Times New Roman" w:hAnsi="Times New Roman" w:cs="Times New Roman"/>
        </w:rPr>
        <w:t xml:space="preserve"> as alternative healthcare facilities become available, increasing demand for popular herbal medicines is expected in the foreseeable future.</w:t>
      </w:r>
    </w:p>
    <w:p w14:paraId="4F10452F" w14:textId="69AB93B8" w:rsidR="006B7655" w:rsidRPr="009B0448" w:rsidRDefault="00A8466E" w:rsidP="00FA7185">
      <w:pPr>
        <w:pStyle w:val="111"/>
        <w:numPr>
          <w:ilvl w:val="2"/>
          <w:numId w:val="10"/>
        </w:numPr>
        <w:spacing w:before="240" w:after="240"/>
        <w:ind w:left="709"/>
        <w:rPr>
          <w:rFonts w:cs="Times New Roman"/>
          <w:i w:val="0"/>
          <w:sz w:val="22"/>
          <w:szCs w:val="22"/>
        </w:rPr>
      </w:pPr>
      <w:bookmarkStart w:id="36" w:name="_Toc519499786"/>
      <w:r w:rsidRPr="009B0448">
        <w:rPr>
          <w:rFonts w:cs="Times New Roman"/>
          <w:i w:val="0"/>
          <w:sz w:val="22"/>
          <w:szCs w:val="22"/>
        </w:rPr>
        <w:lastRenderedPageBreak/>
        <w:t>Governance, tenure, security and trade</w:t>
      </w:r>
      <w:bookmarkEnd w:id="36"/>
    </w:p>
    <w:p w14:paraId="3E3AFDEE" w14:textId="690F7FA6" w:rsidR="006B7655" w:rsidRDefault="00A8466E" w:rsidP="00FB4B8A">
      <w:pPr>
        <w:spacing w:line="276" w:lineRule="auto"/>
        <w:jc w:val="both"/>
        <w:rPr>
          <w:rFonts w:ascii="Times New Roman" w:eastAsia="Times New Roman" w:hAnsi="Times New Roman" w:cs="Times New Roman"/>
        </w:rPr>
      </w:pPr>
      <w:bookmarkStart w:id="37" w:name="_3as4poj" w:colFirst="0" w:colLast="0"/>
      <w:bookmarkEnd w:id="37"/>
      <w:r w:rsidRPr="009B0448">
        <w:rPr>
          <w:rFonts w:ascii="Times New Roman" w:eastAsia="Times New Roman" w:hAnsi="Times New Roman" w:cs="Times New Roman"/>
        </w:rPr>
        <w:t>The way people hold, use and manage their land and natural resources; the way they produce food, consume goods, and manage their wastes and knowledge systems; their health as well as their cultures, freedoms and security</w:t>
      </w:r>
      <w:r w:rsidR="00FB4B8A" w:rsidRPr="009B0448">
        <w:rPr>
          <w:rFonts w:ascii="Times New Roman" w:eastAsia="Times New Roman" w:hAnsi="Times New Roman" w:cs="Times New Roman"/>
        </w:rPr>
        <w:t>-</w:t>
      </w:r>
      <w:r w:rsidRPr="009B0448">
        <w:rPr>
          <w:rFonts w:ascii="Times New Roman" w:eastAsia="Times New Roman" w:hAnsi="Times New Roman" w:cs="Times New Roman"/>
        </w:rPr>
        <w:t>condition</w:t>
      </w:r>
      <w:r w:rsidR="00FB4B8A" w:rsidRPr="009B0448">
        <w:rPr>
          <w:rFonts w:ascii="Times New Roman" w:eastAsia="Times New Roman" w:hAnsi="Times New Roman" w:cs="Times New Roman"/>
        </w:rPr>
        <w:t>,</w:t>
      </w:r>
      <w:r w:rsidRPr="009B0448">
        <w:rPr>
          <w:rFonts w:ascii="Times New Roman" w:eastAsia="Times New Roman" w:hAnsi="Times New Roman" w:cs="Times New Roman"/>
        </w:rPr>
        <w:t xml:space="preserve"> and are conditioned by prevailing systems of governance. There are numerous and varied definitions of governance. In the context of this assessment, we define governance as the diverse and plural modes and processes of making decisions on society and the environment and acting upon them (see Chapter 6). </w:t>
      </w:r>
      <w:r w:rsidRPr="009B0448">
        <w:rPr>
          <w:rFonts w:ascii="Times New Roman" w:eastAsia="Times New Roman" w:hAnsi="Times New Roman" w:cs="Times New Roman"/>
          <w:color w:val="00000A"/>
        </w:rPr>
        <w:t xml:space="preserve">This highlights some of the factors and frame conditions through which natural endowments are used, food and goods produced, and diverse socio-environmental outcomes </w:t>
      </w:r>
      <w:r w:rsidR="00264EBF" w:rsidRPr="009B0448">
        <w:rPr>
          <w:rFonts w:ascii="Times New Roman" w:eastAsia="Times New Roman" w:hAnsi="Times New Roman" w:cs="Times New Roman"/>
          <w:color w:val="00000A"/>
        </w:rPr>
        <w:t>realis</w:t>
      </w:r>
      <w:r w:rsidRPr="009B0448">
        <w:rPr>
          <w:rFonts w:ascii="Times New Roman" w:eastAsia="Times New Roman" w:hAnsi="Times New Roman" w:cs="Times New Roman"/>
          <w:color w:val="00000A"/>
        </w:rPr>
        <w:t>ed (see Chapter 2).</w:t>
      </w:r>
      <w:r w:rsidRPr="009B0448">
        <w:rPr>
          <w:rFonts w:ascii="Times New Roman" w:eastAsia="Times New Roman" w:hAnsi="Times New Roman" w:cs="Times New Roman"/>
        </w:rPr>
        <w:t xml:space="preserve"> Governance is thus central to all </w:t>
      </w:r>
      <w:r w:rsidR="00C00167" w:rsidRPr="009B0448">
        <w:rPr>
          <w:rFonts w:ascii="Times New Roman" w:eastAsia="Times New Roman" w:hAnsi="Times New Roman" w:cs="Times New Roman"/>
        </w:rPr>
        <w:t>biodiversity and ecosystem services</w:t>
      </w:r>
      <w:r w:rsidRPr="009B0448">
        <w:rPr>
          <w:rFonts w:ascii="Times New Roman" w:eastAsia="Times New Roman" w:hAnsi="Times New Roman" w:cs="Times New Roman"/>
        </w:rPr>
        <w:t xml:space="preserve"> issues, and particularly to the issues discussed across this section. Its definitio</w:t>
      </w:r>
      <w:r w:rsidR="00685033">
        <w:rPr>
          <w:rFonts w:ascii="Times New Roman" w:eastAsia="Times New Roman" w:hAnsi="Times New Roman" w:cs="Times New Roman"/>
        </w:rPr>
        <w:t>n can be applied to broad cross-</w:t>
      </w:r>
      <w:r w:rsidRPr="009B0448">
        <w:rPr>
          <w:rFonts w:ascii="Times New Roman" w:eastAsia="Times New Roman" w:hAnsi="Times New Roman" w:cs="Times New Roman"/>
        </w:rPr>
        <w:t>sections of the human-ecological complex or to specific areas, as in biodiversity governance, landscape governance, tenure governance or climate governance.</w:t>
      </w:r>
    </w:p>
    <w:p w14:paraId="4E45A625" w14:textId="77777777" w:rsidR="00685033" w:rsidRPr="009B0448" w:rsidRDefault="00685033" w:rsidP="00FB4B8A">
      <w:pPr>
        <w:spacing w:line="276" w:lineRule="auto"/>
        <w:jc w:val="both"/>
        <w:rPr>
          <w:rFonts w:ascii="Times New Roman" w:eastAsia="Times New Roman" w:hAnsi="Times New Roman" w:cs="Times New Roman"/>
        </w:rPr>
      </w:pPr>
    </w:p>
    <w:p w14:paraId="5CB1A5E6" w14:textId="357C0800" w:rsidR="006B7655" w:rsidRPr="009B0448" w:rsidRDefault="00A8466E" w:rsidP="00FB4B8A">
      <w:pPr>
        <w:spacing w:line="276" w:lineRule="auto"/>
        <w:jc w:val="both"/>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Partly for editorial reasons, this subsection </w:t>
      </w:r>
      <w:r w:rsidR="00264EBF" w:rsidRPr="009B0448">
        <w:rPr>
          <w:rFonts w:ascii="Times New Roman" w:eastAsia="Times New Roman" w:hAnsi="Times New Roman" w:cs="Times New Roman"/>
          <w:color w:val="00000A"/>
        </w:rPr>
        <w:t>emphasis</w:t>
      </w:r>
      <w:r w:rsidRPr="009B0448">
        <w:rPr>
          <w:rFonts w:ascii="Times New Roman" w:eastAsia="Times New Roman" w:hAnsi="Times New Roman" w:cs="Times New Roman"/>
          <w:color w:val="00000A"/>
        </w:rPr>
        <w:t xml:space="preserve">es the specific interrelations linking governance to tenure, security and trade. This happens in extremely diverse and fundamental ways. The management of natural resources, the impacts of armed conflicts on biodiversity, and conflicts over disputed natural resources are some of the issues addressed here. </w:t>
      </w:r>
    </w:p>
    <w:p w14:paraId="26365EDE" w14:textId="639FFD34" w:rsidR="006B7655" w:rsidRPr="009B0448" w:rsidRDefault="00A8466E" w:rsidP="00FA7185">
      <w:pPr>
        <w:pStyle w:val="111"/>
        <w:numPr>
          <w:ilvl w:val="3"/>
          <w:numId w:val="10"/>
        </w:numPr>
        <w:spacing w:before="240" w:after="240"/>
        <w:ind w:left="851" w:hanging="862"/>
        <w:rPr>
          <w:rFonts w:cs="Times New Roman"/>
          <w:sz w:val="22"/>
          <w:szCs w:val="22"/>
        </w:rPr>
      </w:pPr>
      <w:bookmarkStart w:id="38" w:name="_Toc519499787"/>
      <w:r w:rsidRPr="009B0448">
        <w:rPr>
          <w:rFonts w:cs="Times New Roman"/>
          <w:sz w:val="22"/>
          <w:szCs w:val="22"/>
        </w:rPr>
        <w:t>Environmental governance in Africa</w:t>
      </w:r>
      <w:bookmarkEnd w:id="38"/>
    </w:p>
    <w:p w14:paraId="18536DA1" w14:textId="6A34C1F1" w:rsidR="006B7655" w:rsidRPr="009B0448"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There is a diversity of governance frameworks. Most </w:t>
      </w:r>
      <w:r w:rsidR="00264EBF" w:rsidRPr="009B0448">
        <w:rPr>
          <w:rFonts w:ascii="Times New Roman" w:eastAsia="Times New Roman" w:hAnsi="Times New Roman" w:cs="Times New Roman"/>
        </w:rPr>
        <w:t>emphasis</w:t>
      </w:r>
      <w:r w:rsidRPr="009B0448">
        <w:rPr>
          <w:rFonts w:ascii="Times New Roman" w:eastAsia="Times New Roman" w:hAnsi="Times New Roman" w:cs="Times New Roman"/>
        </w:rPr>
        <w:t>e one or both components of governance as a structure of normative and ethical principles (</w:t>
      </w:r>
      <w:r w:rsidR="00BC63CA" w:rsidRPr="009B0448">
        <w:rPr>
          <w:rFonts w:ascii="Times New Roman" w:eastAsia="Times New Roman" w:hAnsi="Times New Roman" w:cs="Times New Roman"/>
        </w:rPr>
        <w:t>Figure 1.16</w:t>
      </w:r>
      <w:r w:rsidRPr="009B0448">
        <w:rPr>
          <w:rFonts w:ascii="Times New Roman" w:eastAsia="Times New Roman" w:hAnsi="Times New Roman" w:cs="Times New Roman"/>
        </w:rPr>
        <w:t xml:space="preserve">). For instance, many UN agencies have adopted variants of UNDP’s five principles of “good” governance: (1) participation and voice, (2) accountability (including transparency), (3) equity (including rule of law), (4) direction (relating to strategic vision), and performance (including responsiveness, effectiveness </w:t>
      </w:r>
      <w:r w:rsidR="00136147" w:rsidRPr="009B0448">
        <w:rPr>
          <w:rFonts w:ascii="Times New Roman" w:eastAsia="Times New Roman" w:hAnsi="Times New Roman" w:cs="Times New Roman"/>
        </w:rPr>
        <w:t>and efficiency) (Buchanan-Smith</w:t>
      </w:r>
      <w:r w:rsidRPr="009B0448">
        <w:rPr>
          <w:rFonts w:ascii="Times New Roman" w:eastAsia="Times New Roman" w:hAnsi="Times New Roman" w:cs="Times New Roman"/>
        </w:rPr>
        <w:t xml:space="preserv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 However, there is a bias in the literature, which tends to reflect predominantly normative and hierarchical views of governance. For instance</w:t>
      </w:r>
      <w:r w:rsidR="00685033">
        <w:rPr>
          <w:rFonts w:ascii="Times New Roman" w:eastAsia="Times New Roman" w:hAnsi="Times New Roman" w:cs="Times New Roman"/>
        </w:rPr>
        <w:t>,</w:t>
      </w:r>
      <w:r w:rsidRPr="009B0448">
        <w:rPr>
          <w:rFonts w:ascii="Times New Roman" w:eastAsia="Times New Roman" w:hAnsi="Times New Roman" w:cs="Times New Roman"/>
        </w:rPr>
        <w:t xml:space="preserve"> UNESCO-IHE (Buchanan-Smith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w:t>
      </w:r>
      <w:r w:rsidR="00C37A13" w:rsidRPr="009B0448">
        <w:rPr>
          <w:rFonts w:ascii="Times New Roman" w:eastAsia="Times New Roman" w:hAnsi="Times New Roman" w:cs="Times New Roman"/>
        </w:rPr>
        <w:t>2013</w:t>
      </w:r>
      <w:r w:rsidRPr="009B0448">
        <w:rPr>
          <w:rFonts w:ascii="Times New Roman" w:eastAsia="Times New Roman" w:hAnsi="Times New Roman" w:cs="Times New Roman"/>
        </w:rPr>
        <w:t xml:space="preserve">) defines governance as the process of taking care of public interests through leading, ruling, planning and managing, controlling, and correcting (enforcing and sanctioning) </w:t>
      </w:r>
      <w:r w:rsidR="00150166">
        <w:rPr>
          <w:rFonts w:ascii="Times New Roman" w:eastAsia="Times New Roman" w:hAnsi="Times New Roman" w:cs="Times New Roman"/>
        </w:rPr>
        <w:t>organis</w:t>
      </w:r>
      <w:r w:rsidRPr="009B0448">
        <w:rPr>
          <w:rFonts w:ascii="Times New Roman" w:eastAsia="Times New Roman" w:hAnsi="Times New Roman" w:cs="Times New Roman"/>
        </w:rPr>
        <w:t>ational resources. This definition is more top-down and gives primacy to a leading, controlling agency. Other frameworks are more neutral in engaging the responsibility of a multiplicity of influential agents</w:t>
      </w:r>
      <w:r w:rsidR="000C7330" w:rsidRPr="009B0448">
        <w:rPr>
          <w:rFonts w:ascii="Times New Roman" w:eastAsia="Times New Roman" w:hAnsi="Times New Roman" w:cs="Times New Roman"/>
        </w:rPr>
        <w:t xml:space="preserve"> (see also Chapter 6)</w:t>
      </w:r>
      <w:r w:rsidRPr="009B0448">
        <w:rPr>
          <w:rFonts w:ascii="Times New Roman" w:eastAsia="Times New Roman" w:hAnsi="Times New Roman" w:cs="Times New Roman"/>
        </w:rPr>
        <w:t>.</w:t>
      </w:r>
    </w:p>
    <w:p w14:paraId="6B11CF35" w14:textId="77777777" w:rsidR="00FB4B8A" w:rsidRPr="009B0448" w:rsidRDefault="00FB4B8A" w:rsidP="00FB4B8A">
      <w:pPr>
        <w:spacing w:line="276" w:lineRule="auto"/>
        <w:jc w:val="both"/>
        <w:rPr>
          <w:rFonts w:ascii="Times New Roman" w:eastAsia="Times New Roman" w:hAnsi="Times New Roman" w:cs="Times New Roman"/>
        </w:rPr>
      </w:pPr>
    </w:p>
    <w:p w14:paraId="53A17CA0" w14:textId="34139D23" w:rsidR="006B7655" w:rsidRPr="009B0448"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This assessment is more in tune with that second trend. It considers that governance happens at multiple scales, involves multiple parties, not just governments, and integrate dimensions related to (i) social choices and strategic direction, (ii) norms and performance (capability, transparency, legality), and (iii) social justice (voice, equity, legitimacy). Though </w:t>
      </w:r>
      <w:r w:rsidR="00BC63CA" w:rsidRPr="009B0448">
        <w:rPr>
          <w:rFonts w:ascii="Times New Roman" w:eastAsia="Times New Roman" w:hAnsi="Times New Roman" w:cs="Times New Roman"/>
        </w:rPr>
        <w:t>Figure 1.16</w:t>
      </w:r>
      <w:r w:rsidRPr="009B0448">
        <w:rPr>
          <w:rFonts w:ascii="Times New Roman" w:eastAsia="Times New Roman" w:hAnsi="Times New Roman" w:cs="Times New Roman"/>
        </w:rPr>
        <w:t xml:space="preserve"> does not show it, each principle is clustered with functionally related indicators. For instance, transparency is functionally related to accountability and responsibility and is sometimes interchangeable with them. The same is true, for instance, of equity, fairness and natural justice; legality, rule of law and justice (judiciary); capabilities, performance and responsiveness. It can be useful to think of those clusters as bundles of governance principles or governance norms associated with sets of governance indicators. </w:t>
      </w:r>
    </w:p>
    <w:p w14:paraId="7536D65F" w14:textId="77777777" w:rsidR="006B7655" w:rsidRPr="009B0448" w:rsidRDefault="006B7655" w:rsidP="00FB4B8A">
      <w:pPr>
        <w:spacing w:line="276" w:lineRule="auto"/>
        <w:jc w:val="both"/>
        <w:rPr>
          <w:rFonts w:ascii="Times New Roman" w:eastAsia="Times New Roman" w:hAnsi="Times New Roman" w:cs="Times New Roman"/>
        </w:rPr>
      </w:pPr>
    </w:p>
    <w:p w14:paraId="53CAE8F5" w14:textId="77777777" w:rsidR="006B7655" w:rsidRPr="009B0448" w:rsidRDefault="00A8466E" w:rsidP="00FF79DA">
      <w:pPr>
        <w:spacing w:line="276" w:lineRule="auto"/>
        <w:rPr>
          <w:rFonts w:ascii="Times New Roman" w:eastAsia="Times New Roman" w:hAnsi="Times New Roman" w:cs="Times New Roman"/>
          <w:b/>
        </w:rPr>
      </w:pPr>
      <w:r w:rsidRPr="009B0448">
        <w:rPr>
          <w:rFonts w:ascii="Times New Roman" w:hAnsi="Times New Roman" w:cs="Times New Roman"/>
          <w:noProof/>
          <w:lang w:eastAsia="en-GB"/>
        </w:rPr>
        <w:lastRenderedPageBreak/>
        <w:drawing>
          <wp:inline distT="0" distB="0" distL="0" distR="0" wp14:anchorId="4C99505F" wp14:editId="0142FDA4">
            <wp:extent cx="5743926" cy="4895745"/>
            <wp:effectExtent l="0" t="0" r="0" b="635"/>
            <wp:docPr id="2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3">
                      <a:extLst>
                        <a:ext uri="{28A0092B-C50C-407E-A947-70E740481C1C}">
                          <a14:useLocalDpi xmlns:a14="http://schemas.microsoft.com/office/drawing/2010/main" val="0"/>
                        </a:ext>
                      </a:extLst>
                    </a:blip>
                    <a:stretch>
                      <a:fillRect/>
                    </a:stretch>
                  </pic:blipFill>
                  <pic:spPr bwMode="auto">
                    <a:xfrm>
                      <a:off x="0" y="0"/>
                      <a:ext cx="5743926" cy="4895745"/>
                    </a:xfrm>
                    <a:prstGeom prst="rect">
                      <a:avLst/>
                    </a:prstGeom>
                    <a:ln>
                      <a:noFill/>
                    </a:ln>
                    <a:extLst>
                      <a:ext uri="{53640926-AAD7-44D8-BBD7-CCE9431645EC}">
                        <a14:shadowObscured xmlns:a14="http://schemas.microsoft.com/office/drawing/2010/main"/>
                      </a:ext>
                    </a:extLst>
                  </pic:spPr>
                </pic:pic>
              </a:graphicData>
            </a:graphic>
          </wp:inline>
        </w:drawing>
      </w:r>
    </w:p>
    <w:p w14:paraId="2DBBE3BC" w14:textId="7AB10B64" w:rsidR="00FF79DA" w:rsidRPr="009B0448" w:rsidRDefault="00BC63CA" w:rsidP="00A953D3">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1.16</w:t>
      </w:r>
      <w:r w:rsidR="00A8466E" w:rsidRPr="009B0448">
        <w:rPr>
          <w:rFonts w:ascii="Times New Roman" w:eastAsia="Times New Roman" w:hAnsi="Times New Roman" w:cs="Times New Roman"/>
        </w:rPr>
        <w:t xml:space="preserve">: </w:t>
      </w:r>
      <w:r w:rsidR="00311FB4" w:rsidRPr="009B0448">
        <w:rPr>
          <w:rFonts w:ascii="Times New Roman" w:eastAsia="Times New Roman" w:hAnsi="Times New Roman" w:cs="Times New Roman"/>
        </w:rPr>
        <w:t xml:space="preserve">Structure of governance principles. The economy is a key domain out of which the constitutive values of governance cannot really be expressed in the society. Source: Diaw </w:t>
      </w:r>
      <w:r w:rsidR="00311FB4" w:rsidRPr="009B0448">
        <w:rPr>
          <w:rFonts w:ascii="Times New Roman" w:eastAsia="Times New Roman" w:hAnsi="Times New Roman" w:cs="Times New Roman"/>
          <w:i/>
        </w:rPr>
        <w:t>et al.</w:t>
      </w:r>
      <w:r w:rsidR="00311FB4" w:rsidRPr="009B0448">
        <w:rPr>
          <w:rFonts w:ascii="Times New Roman" w:eastAsia="Times New Roman" w:hAnsi="Times New Roman" w:cs="Times New Roman"/>
        </w:rPr>
        <w:t xml:space="preserve"> (2016).</w:t>
      </w:r>
    </w:p>
    <w:p w14:paraId="4935BABC" w14:textId="08EE7C70" w:rsidR="00A953D3" w:rsidRPr="009B0448" w:rsidRDefault="00A953D3" w:rsidP="00A953D3">
      <w:pPr>
        <w:spacing w:line="276" w:lineRule="auto"/>
        <w:jc w:val="both"/>
        <w:rPr>
          <w:rFonts w:ascii="Times New Roman" w:eastAsia="Times New Roman" w:hAnsi="Times New Roman" w:cs="Times New Roman"/>
        </w:rPr>
      </w:pPr>
    </w:p>
    <w:p w14:paraId="71FBDD0D" w14:textId="5899C173" w:rsidR="006B7655" w:rsidRPr="009B0448"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a recent paper on Earth System G</w:t>
      </w:r>
      <w:r w:rsidR="00C00167" w:rsidRPr="009B0448">
        <w:rPr>
          <w:rFonts w:ascii="Times New Roman" w:eastAsia="Times New Roman" w:hAnsi="Times New Roman" w:cs="Times New Roman"/>
        </w:rPr>
        <w:t>overnance</w:t>
      </w:r>
      <w:r w:rsidRPr="009B0448">
        <w:rPr>
          <w:rFonts w:ascii="Times New Roman" w:eastAsia="Times New Roman" w:hAnsi="Times New Roman" w:cs="Times New Roman"/>
        </w:rPr>
        <w:t xml:space="preserve"> for Africa (Habtezion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 13 scientists, mostly African, make the case that traditional environmental governance “do not adequa</w:t>
      </w:r>
      <w:r w:rsidR="00CA41D5">
        <w:rPr>
          <w:rFonts w:ascii="Times New Roman" w:eastAsia="Times New Roman" w:hAnsi="Times New Roman" w:cs="Times New Roman"/>
        </w:rPr>
        <w:t>tely address the gamut of human-</w:t>
      </w:r>
      <w:r w:rsidRPr="009B0448">
        <w:rPr>
          <w:rFonts w:ascii="Times New Roman" w:eastAsia="Times New Roman" w:hAnsi="Times New Roman" w:cs="Times New Roman"/>
        </w:rPr>
        <w:t>natural system interactions within the context of the complex bio</w:t>
      </w:r>
      <w:r w:rsidR="00EB597B" w:rsidRPr="009B0448">
        <w:rPr>
          <w:rFonts w:ascii="Times New Roman" w:eastAsia="Times New Roman" w:hAnsi="Times New Roman" w:cs="Times New Roman"/>
        </w:rPr>
        <w:t>-</w:t>
      </w:r>
      <w:r w:rsidRPr="009B0448">
        <w:rPr>
          <w:rFonts w:ascii="Times New Roman" w:eastAsia="Times New Roman" w:hAnsi="Times New Roman" w:cs="Times New Roman"/>
        </w:rPr>
        <w:t>geophysical cycles and processes of the planet”. They argue that modern and traditional governance systems in Africa have complex relations with global change dynamics and that attention must be paid to the resulting system drivers and teleconnections. Though, perhaps not at the scales and scopes of bio</w:t>
      </w:r>
      <w:r w:rsidR="00EB597B" w:rsidRPr="009B0448">
        <w:rPr>
          <w:rFonts w:ascii="Times New Roman" w:eastAsia="Times New Roman" w:hAnsi="Times New Roman" w:cs="Times New Roman"/>
        </w:rPr>
        <w:t>-</w:t>
      </w:r>
      <w:r w:rsidRPr="009B0448">
        <w:rPr>
          <w:rFonts w:ascii="Times New Roman" w:eastAsia="Times New Roman" w:hAnsi="Times New Roman" w:cs="Times New Roman"/>
        </w:rPr>
        <w:t xml:space="preserve">geophysical integration promoted by the </w:t>
      </w:r>
      <w:r w:rsidR="00C00167" w:rsidRPr="009B0448">
        <w:rPr>
          <w:rFonts w:ascii="Times New Roman" w:eastAsia="Times New Roman" w:hAnsi="Times New Roman" w:cs="Times New Roman"/>
        </w:rPr>
        <w:t>Earth System Governance</w:t>
      </w:r>
      <w:r w:rsidRPr="009B0448">
        <w:rPr>
          <w:rFonts w:ascii="Times New Roman" w:eastAsia="Times New Roman" w:hAnsi="Times New Roman" w:cs="Times New Roman"/>
        </w:rPr>
        <w:t xml:space="preserve"> framework, these questions have actually been extensive objects of research and policy analyses in Africa. A small cross-section is considered below in relation to the lessons that have been drawn from natural resources management de</w:t>
      </w:r>
      <w:r w:rsidR="00264EBF" w:rsidRPr="009B0448">
        <w:rPr>
          <w:rFonts w:ascii="Times New Roman" w:eastAsia="Times New Roman" w:hAnsi="Times New Roman" w:cs="Times New Roman"/>
        </w:rPr>
        <w:t>centralis</w:t>
      </w:r>
      <w:r w:rsidRPr="009B0448">
        <w:rPr>
          <w:rFonts w:ascii="Times New Roman" w:eastAsia="Times New Roman" w:hAnsi="Times New Roman" w:cs="Times New Roman"/>
        </w:rPr>
        <w:t>ation, participation, biodiversity governance, and integrated landscape management.</w:t>
      </w:r>
    </w:p>
    <w:p w14:paraId="7360D9AD" w14:textId="7429A43E" w:rsidR="00D76D07" w:rsidRPr="009B0448" w:rsidRDefault="00A8466E" w:rsidP="00FA7185">
      <w:pPr>
        <w:pStyle w:val="111"/>
        <w:numPr>
          <w:ilvl w:val="4"/>
          <w:numId w:val="10"/>
        </w:numPr>
        <w:spacing w:before="240" w:after="240"/>
        <w:ind w:left="851" w:hanging="862"/>
        <w:rPr>
          <w:rFonts w:cs="Times New Roman"/>
          <w:b w:val="0"/>
          <w:sz w:val="22"/>
          <w:szCs w:val="22"/>
        </w:rPr>
      </w:pPr>
      <w:bookmarkStart w:id="39" w:name="_Toc519499788"/>
      <w:r w:rsidRPr="009B0448">
        <w:rPr>
          <w:rFonts w:cs="Times New Roman"/>
          <w:b w:val="0"/>
          <w:sz w:val="22"/>
          <w:szCs w:val="22"/>
        </w:rPr>
        <w:t>The de</w:t>
      </w:r>
      <w:r w:rsidR="00264EBF" w:rsidRPr="009B0448">
        <w:rPr>
          <w:rFonts w:cs="Times New Roman"/>
          <w:b w:val="0"/>
          <w:sz w:val="22"/>
          <w:szCs w:val="22"/>
        </w:rPr>
        <w:t>centralis</w:t>
      </w:r>
      <w:r w:rsidRPr="009B0448">
        <w:rPr>
          <w:rFonts w:cs="Times New Roman"/>
          <w:b w:val="0"/>
          <w:sz w:val="22"/>
          <w:szCs w:val="22"/>
        </w:rPr>
        <w:t>ation of Natural Resource Management</w:t>
      </w:r>
      <w:bookmarkEnd w:id="39"/>
    </w:p>
    <w:p w14:paraId="001E80D3" w14:textId="23FF67B5" w:rsidR="006B7655" w:rsidRPr="009B0448"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Very little is known and has been written about pre-colonial conservation practices in the region. A rather misplaced belief is that low population densities, ‘unsophisticated’ agricultural and hunting practices, and ‘immobile populations’ meant that ecological conservation was built into the routine economic, social and religious activities of the era. Consequently, pre-colonial societies did not need to develop sophisticated conservation mechanisms. The reality is very different. Ample evidence exist</w:t>
      </w:r>
      <w:r w:rsidR="00685033">
        <w:rPr>
          <w:rFonts w:ascii="Times New Roman" w:eastAsia="Times New Roman" w:hAnsi="Times New Roman" w:cs="Times New Roman"/>
        </w:rPr>
        <w:t>s</w:t>
      </w:r>
      <w:r w:rsidRPr="009B0448">
        <w:rPr>
          <w:rFonts w:ascii="Times New Roman" w:eastAsia="Times New Roman" w:hAnsi="Times New Roman" w:cs="Times New Roman"/>
        </w:rPr>
        <w:t xml:space="preserve"> of </w:t>
      </w:r>
      <w:r w:rsidRPr="009B0448">
        <w:rPr>
          <w:rFonts w:ascii="Times New Roman" w:eastAsia="Times New Roman" w:hAnsi="Times New Roman" w:cs="Times New Roman"/>
        </w:rPr>
        <w:lastRenderedPageBreak/>
        <w:t>settlements consolidated with high population densities (Murombedzi, 2003), such as in the Niger Delta and Bambara City States, in Great Zimbabwe, Kanem Bornou and the earlier empires of Ghana, Mali and Songhaï, for instance</w:t>
      </w:r>
      <w:r w:rsidR="009D09EB" w:rsidRPr="009B0448">
        <w:rPr>
          <w:rFonts w:ascii="Times New Roman" w:eastAsia="Times New Roman" w:hAnsi="Times New Roman" w:cs="Times New Roman"/>
        </w:rPr>
        <w:t xml:space="preserve"> (D</w:t>
      </w:r>
      <w:r w:rsidR="00EB7500" w:rsidRPr="009B0448">
        <w:rPr>
          <w:rFonts w:ascii="Times New Roman" w:eastAsia="Times New Roman" w:hAnsi="Times New Roman" w:cs="Times New Roman"/>
        </w:rPr>
        <w:t>iaw, 1985)</w:t>
      </w:r>
      <w:r w:rsidRPr="009B0448">
        <w:rPr>
          <w:rFonts w:ascii="Times New Roman" w:eastAsia="Times New Roman" w:hAnsi="Times New Roman" w:cs="Times New Roman"/>
        </w:rPr>
        <w:t>. Agricultural and resource extraction activities were finely adapted to the requirements of specific resources and ecosystems, while the societies themselves developed sophisticated mechanisms to regulate resource use. However, much evidence of pre-colonial conservation practice has been displaced by colonial conservation practices. In Southern Africa, a significant number of contemporary protected areas were already protected under pre-colonial regimes. Examples of such pre-colonial conservation areas include Central Kalahari Game Reserve, Moremi Game Reserve and Chief's Island in Botswana; Mavhuradonha, Matopos, and Gonarezho</w:t>
      </w:r>
      <w:r w:rsidR="00CA41D5">
        <w:rPr>
          <w:rFonts w:ascii="Times New Roman" w:eastAsia="Times New Roman" w:hAnsi="Times New Roman" w:cs="Times New Roman"/>
        </w:rPr>
        <w:t>u National Parks in Zimbabwe;</w:t>
      </w:r>
      <w:r w:rsidRPr="009B0448">
        <w:rPr>
          <w:rFonts w:ascii="Times New Roman" w:eastAsia="Times New Roman" w:hAnsi="Times New Roman" w:cs="Times New Roman"/>
        </w:rPr>
        <w:t xml:space="preserve"> Tsidilo Hills, Mamili National Park, and Salambala in Namibia; </w:t>
      </w:r>
      <w:r w:rsidR="00CA41D5">
        <w:rPr>
          <w:rFonts w:ascii="Times New Roman" w:eastAsia="Times New Roman" w:hAnsi="Times New Roman" w:cs="Times New Roman"/>
        </w:rPr>
        <w:t xml:space="preserve">and </w:t>
      </w:r>
      <w:r w:rsidRPr="009B0448">
        <w:rPr>
          <w:rFonts w:ascii="Times New Roman" w:eastAsia="Times New Roman" w:hAnsi="Times New Roman" w:cs="Times New Roman"/>
        </w:rPr>
        <w:t xml:space="preserve">Hluhluwe-iMfolozi Park in South Africa. However, the imposition of colonial conservation regimes on these landscapes led to conscious efforts to obliterate these pre-existing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s and their </w:t>
      </w:r>
      <w:r w:rsidR="000B06FE" w:rsidRPr="009B0448">
        <w:rPr>
          <w:rFonts w:ascii="Times New Roman" w:eastAsia="Times New Roman" w:hAnsi="Times New Roman" w:cs="Times New Roman"/>
        </w:rPr>
        <w:t>long-term</w:t>
      </w:r>
      <w:r w:rsidRPr="009B0448">
        <w:rPr>
          <w:rFonts w:ascii="Times New Roman" w:eastAsia="Times New Roman" w:hAnsi="Times New Roman" w:cs="Times New Roman"/>
        </w:rPr>
        <w:t xml:space="preserve"> impacts (Murombedzi, 2003; Adams, 2003).</w:t>
      </w:r>
    </w:p>
    <w:p w14:paraId="3D5D3379" w14:textId="77777777" w:rsidR="00FB4B8A" w:rsidRPr="009B0448" w:rsidRDefault="00FB4B8A" w:rsidP="00FB4B8A">
      <w:pPr>
        <w:spacing w:line="276" w:lineRule="auto"/>
        <w:jc w:val="both"/>
        <w:rPr>
          <w:rFonts w:ascii="Times New Roman" w:eastAsia="Times New Roman" w:hAnsi="Times New Roman" w:cs="Times New Roman"/>
        </w:rPr>
      </w:pPr>
    </w:p>
    <w:p w14:paraId="2CC3F6E7" w14:textId="23C15A50" w:rsidR="006B7655"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De</w:t>
      </w:r>
      <w:r w:rsidR="00264EBF" w:rsidRPr="009B0448">
        <w:rPr>
          <w:rFonts w:ascii="Times New Roman" w:eastAsia="Times New Roman" w:hAnsi="Times New Roman" w:cs="Times New Roman"/>
        </w:rPr>
        <w:t>centralis</w:t>
      </w:r>
      <w:r w:rsidRPr="009B0448">
        <w:rPr>
          <w:rFonts w:ascii="Times New Roman" w:eastAsia="Times New Roman" w:hAnsi="Times New Roman" w:cs="Times New Roman"/>
        </w:rPr>
        <w:t>ation in Africa started in British colonies in the 1950s. Local bodies with limited powers were then created, although newly independent governments actively seeking to reinforce nationalism and allegiance to the central State</w:t>
      </w:r>
      <w:r w:rsidR="00CA41D5">
        <w:rPr>
          <w:rFonts w:ascii="Times New Roman" w:eastAsia="Times New Roman" w:hAnsi="Times New Roman" w:cs="Times New Roman"/>
        </w:rPr>
        <w:t>,</w:t>
      </w:r>
      <w:r w:rsidRPr="009B0448">
        <w:rPr>
          <w:rFonts w:ascii="Times New Roman" w:eastAsia="Times New Roman" w:hAnsi="Times New Roman" w:cs="Times New Roman"/>
        </w:rPr>
        <w:t xml:space="preserve"> later suppressed them in the 1960s. By contrast, Francophone countries such as Mali, Burkina Faso and Senegal started de</w:t>
      </w:r>
      <w:r w:rsidR="00264EBF" w:rsidRPr="009B0448">
        <w:rPr>
          <w:rFonts w:ascii="Times New Roman" w:eastAsia="Times New Roman" w:hAnsi="Times New Roman" w:cs="Times New Roman"/>
        </w:rPr>
        <w:t>centralis</w:t>
      </w:r>
      <w:r w:rsidRPr="009B0448">
        <w:rPr>
          <w:rFonts w:ascii="Times New Roman" w:eastAsia="Times New Roman" w:hAnsi="Times New Roman" w:cs="Times New Roman"/>
        </w:rPr>
        <w:t>ation after independence in 1960</w:t>
      </w:r>
      <w:r w:rsidR="00CA41D5">
        <w:rPr>
          <w:rFonts w:ascii="Times New Roman" w:eastAsia="Times New Roman" w:hAnsi="Times New Roman" w:cs="Times New Roman"/>
        </w:rPr>
        <w:t>.</w:t>
      </w:r>
      <w:r w:rsidRPr="009B0448">
        <w:rPr>
          <w:rFonts w:ascii="Times New Roman" w:eastAsia="Times New Roman" w:hAnsi="Times New Roman" w:cs="Times New Roman"/>
        </w:rPr>
        <w:t xml:space="preserve"> </w:t>
      </w:r>
      <w:r w:rsidR="00CA41D5" w:rsidRPr="009B0448">
        <w:rPr>
          <w:rFonts w:ascii="Times New Roman" w:eastAsia="Times New Roman" w:hAnsi="Times New Roman" w:cs="Times New Roman"/>
        </w:rPr>
        <w:t>They</w:t>
      </w:r>
      <w:r w:rsidR="00CA41D5">
        <w:rPr>
          <w:rFonts w:ascii="Times New Roman" w:eastAsia="Times New Roman" w:hAnsi="Times New Roman" w:cs="Times New Roman"/>
        </w:rPr>
        <w:t xml:space="preserve"> saw it</w:t>
      </w:r>
      <w:r w:rsidRPr="009B0448">
        <w:rPr>
          <w:rFonts w:ascii="Times New Roman" w:eastAsia="Times New Roman" w:hAnsi="Times New Roman" w:cs="Times New Roman"/>
        </w:rPr>
        <w:t xml:space="preserve"> in a different light, as a way to construct the nation-state by extending its reach through local governments (Diaw, 2010). Senegal went as far as establishing rural councils in 1972 (Jacob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1997). Overall, however, command and control approaches and forms of “de</w:t>
      </w:r>
      <w:r w:rsidR="00264EBF" w:rsidRPr="009B0448">
        <w:rPr>
          <w:rFonts w:ascii="Times New Roman" w:eastAsia="Times New Roman" w:hAnsi="Times New Roman" w:cs="Times New Roman"/>
        </w:rPr>
        <w:t>centralis</w:t>
      </w:r>
      <w:r w:rsidRPr="009B0448">
        <w:rPr>
          <w:rFonts w:ascii="Times New Roman" w:eastAsia="Times New Roman" w:hAnsi="Times New Roman" w:cs="Times New Roman"/>
        </w:rPr>
        <w:t>ed despotism” (Mamdani, 1996) dominated the governance field at the time (Manor, 1999). The 1990 Arusha Declaration and the African Charter for Popular Participation in Development and Transformation played a key role in raising African political awareness of this “over-</w:t>
      </w:r>
      <w:r w:rsidR="00264EBF" w:rsidRPr="009B0448">
        <w:rPr>
          <w:rFonts w:ascii="Times New Roman" w:eastAsia="Times New Roman" w:hAnsi="Times New Roman" w:cs="Times New Roman"/>
        </w:rPr>
        <w:t>centralis</w:t>
      </w:r>
      <w:r w:rsidRPr="009B0448">
        <w:rPr>
          <w:rFonts w:ascii="Times New Roman" w:eastAsia="Times New Roman" w:hAnsi="Times New Roman" w:cs="Times New Roman"/>
        </w:rPr>
        <w:t>ation of power” and its “impediment to the effective participation of the overwhelming majority” (UNECA, 2010). The full growth of de</w:t>
      </w:r>
      <w:r w:rsidR="00264EBF" w:rsidRPr="009B0448">
        <w:rPr>
          <w:rFonts w:ascii="Times New Roman" w:eastAsia="Times New Roman" w:hAnsi="Times New Roman" w:cs="Times New Roman"/>
        </w:rPr>
        <w:t>centralis</w:t>
      </w:r>
      <w:r w:rsidRPr="009B0448">
        <w:rPr>
          <w:rFonts w:ascii="Times New Roman" w:eastAsia="Times New Roman" w:hAnsi="Times New Roman" w:cs="Times New Roman"/>
        </w:rPr>
        <w:t>ation policies in Africa took place in the 1980s and 1990s. This was a global movement, closely associated with</w:t>
      </w:r>
      <w:r w:rsidR="00CA41D5">
        <w:rPr>
          <w:rFonts w:ascii="Times New Roman" w:eastAsia="Times New Roman" w:hAnsi="Times New Roman" w:cs="Times New Roman"/>
        </w:rPr>
        <w:t xml:space="preserve"> structural adjustment policies; land and fiscal reforms;</w:t>
      </w:r>
      <w:r w:rsidRPr="009B0448">
        <w:rPr>
          <w:rFonts w:ascii="Times New Roman" w:eastAsia="Times New Roman" w:hAnsi="Times New Roman" w:cs="Times New Roman"/>
        </w:rPr>
        <w:t xml:space="preserve"> and </w:t>
      </w:r>
      <w:r w:rsidR="00685033">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progression of electoral democratic frames; and it took many forms in Africa (Diaw, 2010). Devolution to rural councils and urban and rural municipalities started in countries such as Mali, Niger and Burkina </w:t>
      </w:r>
      <w:r w:rsidR="00F4723D">
        <w:rPr>
          <w:rFonts w:ascii="Times New Roman" w:eastAsia="Times New Roman" w:hAnsi="Times New Roman" w:cs="Times New Roman"/>
        </w:rPr>
        <w:t xml:space="preserve">Faso </w:t>
      </w:r>
      <w:r w:rsidRPr="009B0448">
        <w:rPr>
          <w:rFonts w:ascii="Times New Roman" w:eastAsia="Times New Roman" w:hAnsi="Times New Roman" w:cs="Times New Roman"/>
        </w:rPr>
        <w:t>in the aftermath of the democratic transitions of the 1990s. Mozambique, Ghana, Ethiopia, South Africa, Kenya, Uganda, DRC, and several other countries</w:t>
      </w:r>
      <w:r w:rsidR="00F4723D">
        <w:rPr>
          <w:rFonts w:ascii="Times New Roman" w:eastAsia="Times New Roman" w:hAnsi="Times New Roman" w:cs="Times New Roman"/>
        </w:rPr>
        <w:t>,</w:t>
      </w:r>
      <w:r w:rsidRPr="009B0448">
        <w:rPr>
          <w:rFonts w:ascii="Times New Roman" w:eastAsia="Times New Roman" w:hAnsi="Times New Roman" w:cs="Times New Roman"/>
        </w:rPr>
        <w:t xml:space="preserve"> now </w:t>
      </w:r>
      <w:r w:rsidR="00CA41D5">
        <w:rPr>
          <w:rFonts w:ascii="Times New Roman" w:eastAsia="Times New Roman" w:hAnsi="Times New Roman" w:cs="Times New Roman"/>
        </w:rPr>
        <w:t xml:space="preserve">have </w:t>
      </w:r>
      <w:r w:rsidRPr="009B0448">
        <w:rPr>
          <w:rFonts w:ascii="Times New Roman" w:eastAsia="Times New Roman" w:hAnsi="Times New Roman" w:cs="Times New Roman"/>
        </w:rPr>
        <w:t>de</w:t>
      </w:r>
      <w:r w:rsidR="00264EBF" w:rsidRPr="009B0448">
        <w:rPr>
          <w:rFonts w:ascii="Times New Roman" w:eastAsia="Times New Roman" w:hAnsi="Times New Roman" w:cs="Times New Roman"/>
        </w:rPr>
        <w:t>centralis</w:t>
      </w:r>
      <w:r w:rsidRPr="009B0448">
        <w:rPr>
          <w:rFonts w:ascii="Times New Roman" w:eastAsia="Times New Roman" w:hAnsi="Times New Roman" w:cs="Times New Roman"/>
        </w:rPr>
        <w:t>ation enshrined in their laws or constitutions, although often</w:t>
      </w:r>
      <w:r w:rsidR="00CA41D5">
        <w:rPr>
          <w:rFonts w:ascii="Times New Roman" w:eastAsia="Times New Roman" w:hAnsi="Times New Roman" w:cs="Times New Roman"/>
        </w:rPr>
        <w:t xml:space="preserve"> not</w:t>
      </w:r>
      <w:r w:rsidRPr="009B0448">
        <w:rPr>
          <w:rFonts w:ascii="Times New Roman" w:eastAsia="Times New Roman" w:hAnsi="Times New Roman" w:cs="Times New Roman"/>
        </w:rPr>
        <w:t xml:space="preserve"> fully effective.</w:t>
      </w:r>
    </w:p>
    <w:p w14:paraId="3C04A09F" w14:textId="77777777" w:rsidR="00C10A68" w:rsidRPr="009B0448" w:rsidRDefault="00C10A68" w:rsidP="00FB4B8A">
      <w:pPr>
        <w:spacing w:line="276" w:lineRule="auto"/>
        <w:jc w:val="both"/>
        <w:rPr>
          <w:rFonts w:ascii="Times New Roman" w:eastAsia="Times New Roman" w:hAnsi="Times New Roman" w:cs="Times New Roman"/>
        </w:rPr>
      </w:pPr>
    </w:p>
    <w:p w14:paraId="47C18A89" w14:textId="66EC7F8F" w:rsidR="00C10A68" w:rsidRDefault="00C10A68" w:rsidP="00C10A6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spite of diverse and elaborate typologies, a loose consensus had emerged by the late 1990s around two major forms of decentralisation: (1) deconcentration or administrative decentralisation, marked by the dispersal of state powers from higher to lower levels of administration; (2) devolution, when decision-making authority is transferred from central government to local groups and institutions. These concepts and a host of related variants where applied to dozens of reforms of the state and natural resource sectors in the developing world, particularly agriculture, forests, fisheries, water management, health, and biodiversity conservation. Natural resource management decentralisation was, in this way, the key channel by which citizens and communities became involved in the governance of biodiversity and ecosystem services in Africa. Participatory natural resource management started in Africa at the end of the 1980s in an effort to empower local resource users. Examples include ‘gestion de terroir’, local conventions, community-based natural resource management, community forestry, and participatory forest management (Hilhorst, 2010). This movement is still evolving today to include community wildlife management schemes, integrated conservation development projects, integrated water resource management, marine protected areas and </w:t>
      </w:r>
      <w:r w:rsidRPr="00CA41D5">
        <w:rPr>
          <w:rFonts w:ascii="Times New Roman" w:eastAsia="Times New Roman" w:hAnsi="Times New Roman" w:cs="Times New Roman"/>
        </w:rPr>
        <w:t>Integrated Landscape Management</w:t>
      </w:r>
      <w:r>
        <w:rPr>
          <w:rFonts w:ascii="Times New Roman" w:eastAsia="Times New Roman" w:hAnsi="Times New Roman" w:cs="Times New Roman"/>
        </w:rPr>
        <w:t xml:space="preserve"> (ILM)</w:t>
      </w:r>
      <w:r w:rsidRPr="009B0448">
        <w:rPr>
          <w:rFonts w:ascii="Times New Roman" w:eastAsia="Times New Roman" w:hAnsi="Times New Roman" w:cs="Times New Roman"/>
        </w:rPr>
        <w:t>, the most recent initiative.</w:t>
      </w:r>
      <w:r>
        <w:rPr>
          <w:rFonts w:ascii="Times New Roman" w:eastAsia="Times New Roman" w:hAnsi="Times New Roman" w:cs="Times New Roman"/>
        </w:rPr>
        <w:br w:type="page"/>
      </w:r>
    </w:p>
    <w:p w14:paraId="4254C9D8" w14:textId="0C0D0600" w:rsidR="00FB4B8A" w:rsidRPr="009B0448" w:rsidRDefault="00A953D3" w:rsidP="00FB4B8A">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lastRenderedPageBreak/>
        <mc:AlternateContent>
          <mc:Choice Requires="wps">
            <w:drawing>
              <wp:inline distT="0" distB="0" distL="114300" distR="114300" wp14:anchorId="6AABE91E" wp14:editId="601B09CD">
                <wp:extent cx="5728996" cy="6643396"/>
                <wp:effectExtent l="0" t="0" r="24130" b="24130"/>
                <wp:docPr id="29" name="Rectangle 29"/>
                <wp:cNvGraphicFramePr/>
                <a:graphic xmlns:a="http://schemas.openxmlformats.org/drawingml/2006/main">
                  <a:graphicData uri="http://schemas.microsoft.com/office/word/2010/wordprocessingShape">
                    <wps:wsp>
                      <wps:cNvSpPr/>
                      <wps:spPr>
                        <a:xfrm>
                          <a:off x="0" y="0"/>
                          <a:ext cx="5728996" cy="6643396"/>
                        </a:xfrm>
                        <a:prstGeom prst="rect">
                          <a:avLst/>
                        </a:prstGeom>
                        <a:solidFill>
                          <a:schemeClr val="bg1">
                            <a:lumMod val="95000"/>
                          </a:schemeClr>
                        </a:solidFill>
                        <a:ln w="9525" cap="flat" cmpd="sng">
                          <a:solidFill>
                            <a:schemeClr val="tx1"/>
                          </a:solidFill>
                          <a:prstDash val="solid"/>
                          <a:round/>
                          <a:headEnd type="none" w="med" len="med"/>
                          <a:tailEnd type="none" w="med" len="med"/>
                        </a:ln>
                      </wps:spPr>
                      <wps:txbx>
                        <w:txbxContent>
                          <w:p w14:paraId="1270D75A" w14:textId="21EF8AED" w:rsidR="00BC0CFA" w:rsidRPr="000E68D2" w:rsidRDefault="00BC0CFA" w:rsidP="00A953D3">
                            <w:pPr>
                              <w:spacing w:after="120" w:line="276" w:lineRule="auto"/>
                              <w:jc w:val="both"/>
                              <w:textDirection w:val="btLr"/>
                            </w:pPr>
                            <w:r>
                              <w:rPr>
                                <w:rFonts w:ascii="Times New Roman" w:eastAsia="Times New Roman" w:hAnsi="Times New Roman" w:cs="Times New Roman"/>
                                <w:b/>
                              </w:rPr>
                              <w:t>Box 1.8</w:t>
                            </w:r>
                            <w:r w:rsidRPr="000E68D2">
                              <w:rPr>
                                <w:rFonts w:ascii="Times New Roman" w:eastAsia="Times New Roman" w:hAnsi="Times New Roman" w:cs="Times New Roman"/>
                                <w:b/>
                              </w:rPr>
                              <w:t xml:space="preserve">: </w:t>
                            </w:r>
                            <w:r w:rsidRPr="00311FB4">
                              <w:rPr>
                                <w:rFonts w:ascii="Times New Roman" w:eastAsia="Times New Roman" w:hAnsi="Times New Roman" w:cs="Times New Roman"/>
                                <w:b/>
                              </w:rPr>
                              <w:t>Community-Based Natu</w:t>
                            </w:r>
                            <w:r>
                              <w:rPr>
                                <w:rFonts w:ascii="Times New Roman" w:eastAsia="Times New Roman" w:hAnsi="Times New Roman" w:cs="Times New Roman"/>
                                <w:b/>
                              </w:rPr>
                              <w:t>ral Resource Management (CBNRM)</w:t>
                            </w:r>
                          </w:p>
                          <w:p w14:paraId="0E025F41" w14:textId="248BED26" w:rsidR="00BC0CFA" w:rsidRPr="000E68D2" w:rsidRDefault="00BC0CFA" w:rsidP="00A953D3">
                            <w:pPr>
                              <w:spacing w:after="120" w:line="276" w:lineRule="auto"/>
                              <w:jc w:val="both"/>
                              <w:textDirection w:val="btLr"/>
                            </w:pPr>
                            <w:r w:rsidRPr="000E68D2">
                              <w:rPr>
                                <w:rFonts w:ascii="Times New Roman" w:eastAsia="Times New Roman" w:hAnsi="Times New Roman" w:cs="Times New Roman"/>
                              </w:rPr>
                              <w:t>CBNRM initiatives facilitated local agreements on regulating resource use in countries such as Mali and in Madagascar where they were known as GELOSE. In Tanzania, which is described as one of the most advanced community forestry jurisdictions in Africa (Wi</w:t>
                            </w:r>
                            <w:r>
                              <w:rPr>
                                <w:rFonts w:ascii="Times New Roman" w:eastAsia="Times New Roman" w:hAnsi="Times New Roman" w:cs="Times New Roman"/>
                              </w:rPr>
                              <w:t>ly, 1997,</w:t>
                            </w:r>
                            <w:r w:rsidRPr="000E68D2">
                              <w:rPr>
                                <w:rFonts w:ascii="Times New Roman" w:eastAsia="Times New Roman" w:hAnsi="Times New Roman" w:cs="Times New Roman"/>
                              </w:rPr>
                              <w:t xml:space="preserve"> 2000; Blomley, 2006), ‘village governments’ have significant powers to receive, raise and disburse funds based on local plans and to enact bylaws under the Village Land Act of 1999. In Niger and Ethiopia, local governments can also enact by-laws on </w:t>
                            </w:r>
                            <w:r>
                              <w:rPr>
                                <w:rFonts w:ascii="Times New Roman" w:eastAsia="Times New Roman" w:hAnsi="Times New Roman" w:cs="Times New Roman"/>
                              </w:rPr>
                              <w:t>land-use</w:t>
                            </w:r>
                            <w:r w:rsidRPr="000E68D2">
                              <w:rPr>
                                <w:rFonts w:ascii="Times New Roman" w:eastAsia="Times New Roman" w:hAnsi="Times New Roman" w:cs="Times New Roman"/>
                              </w:rPr>
                              <w:t xml:space="preserve"> and even register common pool resources in their name. In some countries (e.g.</w:t>
                            </w:r>
                            <w:r>
                              <w:rPr>
                                <w:rFonts w:ascii="Times New Roman" w:eastAsia="Times New Roman" w:hAnsi="Times New Roman" w:cs="Times New Roman"/>
                              </w:rPr>
                              <w:t>,</w:t>
                            </w:r>
                            <w:r w:rsidRPr="000E68D2">
                              <w:rPr>
                                <w:rFonts w:ascii="Times New Roman" w:eastAsia="Times New Roman" w:hAnsi="Times New Roman" w:cs="Times New Roman"/>
                              </w:rPr>
                              <w:t xml:space="preserve"> Rwanda, Burkina Faso, Benin), local government is responsible for the management of small-scale irrigation schemes and drained wetlands in valley bottoms (Hilhorst, 2010). The Gambia offers a rare case of self-initiated CBNRM, later co-opted, after eight years, by the official community forest program (Diaw</w:t>
                            </w:r>
                            <w:r>
                              <w:rPr>
                                <w:rFonts w:ascii="Times New Roman" w:eastAsia="Times New Roman" w:hAnsi="Times New Roman" w:cs="Times New Roman"/>
                              </w:rPr>
                              <w:t>,</w:t>
                            </w:r>
                            <w:r w:rsidRPr="000E68D2">
                              <w:rPr>
                                <w:rFonts w:ascii="Times New Roman" w:eastAsia="Times New Roman" w:hAnsi="Times New Roman" w:cs="Times New Roman"/>
                              </w:rPr>
                              <w:t xml:space="preserve"> 2009). In Central Africa this movement started in the mid-1990s with the 1994 forestry law in Cameroon, followed by most other Congo Basin countries within a decade. This included community forestry refor</w:t>
                            </w:r>
                            <w:r>
                              <w:rPr>
                                <w:rFonts w:ascii="Times New Roman" w:eastAsia="Times New Roman" w:hAnsi="Times New Roman" w:cs="Times New Roman"/>
                              </w:rPr>
                              <w:t>m, as well as fiscal decentralis</w:t>
                            </w:r>
                            <w:r w:rsidRPr="000E68D2">
                              <w:rPr>
                                <w:rFonts w:ascii="Times New Roman" w:eastAsia="Times New Roman" w:hAnsi="Times New Roman" w:cs="Times New Roman"/>
                              </w:rPr>
                              <w:t>ation of forest revenues and the establishment of municipal forests and community hunting zones and committees (e.g.</w:t>
                            </w:r>
                            <w:r>
                              <w:rPr>
                                <w:rFonts w:ascii="Times New Roman" w:eastAsia="Times New Roman" w:hAnsi="Times New Roman" w:cs="Times New Roman"/>
                              </w:rPr>
                              <w:t>,</w:t>
                            </w:r>
                            <w:r w:rsidRPr="000E68D2">
                              <w:rPr>
                                <w:rFonts w:ascii="Times New Roman" w:eastAsia="Times New Roman" w:hAnsi="Times New Roman" w:cs="Times New Roman"/>
                              </w:rPr>
                              <w:t xml:space="preserve"> Logo, 2003</w:t>
                            </w:r>
                            <w:r>
                              <w:rPr>
                                <w:rFonts w:ascii="Times New Roman" w:eastAsia="Times New Roman" w:hAnsi="Times New Roman" w:cs="Times New Roman"/>
                              </w:rPr>
                              <w:t xml:space="preserve">; </w:t>
                            </w:r>
                            <w:r w:rsidRPr="000E68D2">
                              <w:rPr>
                                <w:rFonts w:ascii="Times New Roman" w:eastAsia="Times New Roman" w:hAnsi="Times New Roman" w:cs="Times New Roman"/>
                              </w:rPr>
                              <w:t xml:space="preserve">Nelson </w:t>
                            </w:r>
                            <w:r w:rsidRPr="00E33179">
                              <w:rPr>
                                <w:rFonts w:ascii="Times New Roman" w:eastAsia="Times New Roman" w:hAnsi="Times New Roman" w:cs="Times New Roman"/>
                                <w:i/>
                              </w:rPr>
                              <w:t>et al.,</w:t>
                            </w:r>
                            <w:r w:rsidRPr="000E68D2">
                              <w:rPr>
                                <w:rFonts w:ascii="Times New Roman" w:eastAsia="Times New Roman" w:hAnsi="Times New Roman" w:cs="Times New Roman"/>
                              </w:rPr>
                              <w:t xml:space="preserve"> 2003; Oyono, 2005</w:t>
                            </w:r>
                            <w:r>
                              <w:rPr>
                                <w:rFonts w:ascii="Times New Roman" w:eastAsia="Times New Roman" w:hAnsi="Times New Roman" w:cs="Times New Roman"/>
                              </w:rPr>
                              <w:t xml:space="preserve">; </w:t>
                            </w:r>
                            <w:r w:rsidRPr="000E68D2">
                              <w:rPr>
                                <w:rFonts w:ascii="Times New Roman" w:eastAsia="Times New Roman" w:hAnsi="Times New Roman" w:cs="Times New Roman"/>
                              </w:rPr>
                              <w:t xml:space="preserve">Oyono </w:t>
                            </w:r>
                            <w:r w:rsidRPr="000429F8">
                              <w:rPr>
                                <w:rFonts w:ascii="Times New Roman" w:eastAsia="Times New Roman" w:hAnsi="Times New Roman" w:cs="Times New Roman"/>
                                <w:i/>
                              </w:rPr>
                              <w:t>et al.</w:t>
                            </w:r>
                            <w:r>
                              <w:rPr>
                                <w:rFonts w:ascii="Times New Roman" w:eastAsia="Times New Roman" w:hAnsi="Times New Roman" w:cs="Times New Roman"/>
                                <w:i/>
                              </w:rPr>
                              <w:t>,</w:t>
                            </w:r>
                            <w:r w:rsidRPr="000E68D2">
                              <w:rPr>
                                <w:rFonts w:ascii="Times New Roman" w:eastAsia="Times New Roman" w:hAnsi="Times New Roman" w:cs="Times New Roman"/>
                              </w:rPr>
                              <w:t xml:space="preserve"> 2007;). CAMPFIRE in Zimbabwe was actually the pioneer in 1989 of African community wildlife management schemes, which were later taken on by a number of other countries, including Cameroon, Rwanda and Uganda (Matos</w:t>
                            </w:r>
                            <w:r>
                              <w:rPr>
                                <w:rFonts w:ascii="Times New Roman" w:eastAsia="Times New Roman" w:hAnsi="Times New Roman" w:cs="Times New Roman"/>
                              </w:rPr>
                              <w:t>e, 1997; Mandondo, 2000; Prabhu</w:t>
                            </w:r>
                            <w:r w:rsidRPr="000E68D2">
                              <w:rPr>
                                <w:rFonts w:ascii="Times New Roman" w:eastAsia="Times New Roman" w:hAnsi="Times New Roman" w:cs="Times New Roman"/>
                              </w:rPr>
                              <w:t xml:space="preserve"> </w:t>
                            </w:r>
                            <w:r w:rsidRPr="000429F8">
                              <w:rPr>
                                <w:rFonts w:ascii="Times New Roman" w:eastAsia="Times New Roman" w:hAnsi="Times New Roman" w:cs="Times New Roman"/>
                                <w:i/>
                              </w:rPr>
                              <w:t>et al.</w:t>
                            </w:r>
                            <w:r w:rsidRPr="000E68D2">
                              <w:rPr>
                                <w:rFonts w:ascii="Times New Roman" w:eastAsia="Times New Roman" w:hAnsi="Times New Roman" w:cs="Times New Roman"/>
                              </w:rPr>
                              <w:t xml:space="preserve">, 2001). For their part, Burkina Faso, Ghana, Kenya, and Senegal developed advanced legislative and regulatory mechanisms for fiscal and financial decentralization. But it is noted that local governments have had limited capacity in practice due to the inadequacy of financial transfers from the central government and weak local revenue-raising capacity (Chambas </w:t>
                            </w:r>
                            <w:r w:rsidRPr="000429F8">
                              <w:rPr>
                                <w:rFonts w:ascii="Times New Roman" w:eastAsia="Times New Roman" w:hAnsi="Times New Roman" w:cs="Times New Roman"/>
                                <w:i/>
                              </w:rPr>
                              <w:t>et al.</w:t>
                            </w:r>
                            <w:r w:rsidRPr="000E68D2">
                              <w:rPr>
                                <w:rFonts w:ascii="Times New Roman" w:eastAsia="Times New Roman" w:hAnsi="Times New Roman" w:cs="Times New Roman"/>
                              </w:rPr>
                              <w:t>, 2012). Other natural resource management schemes also had problems, such as central retention of powers, weak local participation and accountability, conflicts with customary tenure and elite capture (Diaw, 2010). It was also noted that governments continue to appropriate valuable local commonage and lease these lands to investors for farming, logging, mining, ecotourism and carbon credits compensation s</w:t>
                            </w:r>
                            <w:r>
                              <w:rPr>
                                <w:rFonts w:ascii="Times New Roman" w:eastAsia="Times New Roman" w:hAnsi="Times New Roman" w:cs="Times New Roman"/>
                              </w:rPr>
                              <w:t>chemes (Wily, 2008). Decentralis</w:t>
                            </w:r>
                            <w:r w:rsidRPr="000E68D2">
                              <w:rPr>
                                <w:rFonts w:ascii="Times New Roman" w:eastAsia="Times New Roman" w:hAnsi="Times New Roman" w:cs="Times New Roman"/>
                              </w:rPr>
                              <w:t>ation of water management also took place in many countries, essentially under the form of integrated water resource management. Most Southern African countries have enacted or amended their water laws and policies and restructured their institutional and governance frameworks in that line over the last 20 years or so. But it is also noted that actual devolution to local institutions and local water stakeholders, which often have a better knowledge of the catchment functioning, has been unequal and wanting. In South Africa and Mozambique several years after the launch of the new water policy, the vast majority of catchment management agencies and water administration entities were not operational, while many water user associations were struggling to find their place in the water management schemes (Farolfi, 2010).</w:t>
                            </w:r>
                          </w:p>
                        </w:txbxContent>
                      </wps:txbx>
                      <wps:bodyPr wrap="square" lIns="91425" tIns="45700" rIns="91425" bIns="45700" anchor="t" anchorCtr="0"/>
                    </wps:wsp>
                  </a:graphicData>
                </a:graphic>
              </wp:inline>
            </w:drawing>
          </mc:Choice>
          <mc:Fallback>
            <w:pict>
              <v:rect w14:anchorId="6AABE91E" id="Rectangle 29" o:spid="_x0000_s1030" style="width:451.1pt;height:52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" fillcolor="#f2f2f2 [3052]" strokecolor="black [3213]">
                <v:stroke joinstyle="round"/>
                <v:textbox inset="2.53958mm,1.2694mm,2.53958mm,1.2694mm">
                  <w:txbxContent>
                    <w:p w14:paraId="1270D75A" w14:textId="21EF8AED" w:rsidR="00BC0CFA" w:rsidRPr="000E68D2" w:rsidRDefault="00BC0CFA" w:rsidP="00A953D3">
                      <w:pPr>
                        <w:spacing w:after="120" w:line="276" w:lineRule="auto"/>
                        <w:jc w:val="both"/>
                        <w:textDirection w:val="btLr"/>
                      </w:pPr>
                      <w:r>
                        <w:rPr>
                          <w:rFonts w:ascii="Times New Roman" w:eastAsia="Times New Roman" w:hAnsi="Times New Roman" w:cs="Times New Roman"/>
                          <w:b/>
                        </w:rPr>
                        <w:t>Box 1.8</w:t>
                      </w:r>
                      <w:r w:rsidRPr="000E68D2">
                        <w:rPr>
                          <w:rFonts w:ascii="Times New Roman" w:eastAsia="Times New Roman" w:hAnsi="Times New Roman" w:cs="Times New Roman"/>
                          <w:b/>
                        </w:rPr>
                        <w:t xml:space="preserve">: </w:t>
                      </w:r>
                      <w:r w:rsidRPr="00311FB4">
                        <w:rPr>
                          <w:rFonts w:ascii="Times New Roman" w:eastAsia="Times New Roman" w:hAnsi="Times New Roman" w:cs="Times New Roman"/>
                          <w:b/>
                        </w:rPr>
                        <w:t>Community-Based Natu</w:t>
                      </w:r>
                      <w:r>
                        <w:rPr>
                          <w:rFonts w:ascii="Times New Roman" w:eastAsia="Times New Roman" w:hAnsi="Times New Roman" w:cs="Times New Roman"/>
                          <w:b/>
                        </w:rPr>
                        <w:t>ral Resource Management (CBNRM)</w:t>
                      </w:r>
                    </w:p>
                    <w:p w14:paraId="0E025F41" w14:textId="248BED26" w:rsidR="00BC0CFA" w:rsidRPr="000E68D2" w:rsidRDefault="00BC0CFA" w:rsidP="00A953D3">
                      <w:pPr>
                        <w:spacing w:after="120" w:line="276" w:lineRule="auto"/>
                        <w:jc w:val="both"/>
                        <w:textDirection w:val="btLr"/>
                      </w:pPr>
                      <w:r w:rsidRPr="000E68D2">
                        <w:rPr>
                          <w:rFonts w:ascii="Times New Roman" w:eastAsia="Times New Roman" w:hAnsi="Times New Roman" w:cs="Times New Roman"/>
                        </w:rPr>
                        <w:t>CBNRM initiatives facilitated local agreements on regulating resource use in countries such as Mali and in Madagascar where they were known as GELOSE. In Tanzania, which is described as one of the most advanced community forestry jurisdictions in Africa (Wi</w:t>
                      </w:r>
                      <w:r>
                        <w:rPr>
                          <w:rFonts w:ascii="Times New Roman" w:eastAsia="Times New Roman" w:hAnsi="Times New Roman" w:cs="Times New Roman"/>
                        </w:rPr>
                        <w:t>ly, 1997,</w:t>
                      </w:r>
                      <w:r w:rsidRPr="000E68D2">
                        <w:rPr>
                          <w:rFonts w:ascii="Times New Roman" w:eastAsia="Times New Roman" w:hAnsi="Times New Roman" w:cs="Times New Roman"/>
                        </w:rPr>
                        <w:t xml:space="preserve"> 2000; Blomley, 2006), ‘village governments’ have significant powers to receive, raise and disburse funds based on local plans and to enact bylaws under the Village Land Act of 1999. In Niger and Ethiopia, local governments can also enact by-laws on </w:t>
                      </w:r>
                      <w:r>
                        <w:rPr>
                          <w:rFonts w:ascii="Times New Roman" w:eastAsia="Times New Roman" w:hAnsi="Times New Roman" w:cs="Times New Roman"/>
                        </w:rPr>
                        <w:t>land-use</w:t>
                      </w:r>
                      <w:r w:rsidRPr="000E68D2">
                        <w:rPr>
                          <w:rFonts w:ascii="Times New Roman" w:eastAsia="Times New Roman" w:hAnsi="Times New Roman" w:cs="Times New Roman"/>
                        </w:rPr>
                        <w:t xml:space="preserve"> and even register common pool resources in their name. In some countries (e.g.</w:t>
                      </w:r>
                      <w:r>
                        <w:rPr>
                          <w:rFonts w:ascii="Times New Roman" w:eastAsia="Times New Roman" w:hAnsi="Times New Roman" w:cs="Times New Roman"/>
                        </w:rPr>
                        <w:t>,</w:t>
                      </w:r>
                      <w:r w:rsidRPr="000E68D2">
                        <w:rPr>
                          <w:rFonts w:ascii="Times New Roman" w:eastAsia="Times New Roman" w:hAnsi="Times New Roman" w:cs="Times New Roman"/>
                        </w:rPr>
                        <w:t xml:space="preserve"> Rwanda, Burkina Faso, Benin), local government is responsible for the management of small-scale irrigation schemes and drained wetlands in valley bottoms (Hilhorst, 2010). The Gambia offers a rare case of self-initiated CBNRM, later co-opted, after eight years, by the official community forest program (Diaw</w:t>
                      </w:r>
                      <w:r>
                        <w:rPr>
                          <w:rFonts w:ascii="Times New Roman" w:eastAsia="Times New Roman" w:hAnsi="Times New Roman" w:cs="Times New Roman"/>
                        </w:rPr>
                        <w:t>,</w:t>
                      </w:r>
                      <w:r w:rsidRPr="000E68D2">
                        <w:rPr>
                          <w:rFonts w:ascii="Times New Roman" w:eastAsia="Times New Roman" w:hAnsi="Times New Roman" w:cs="Times New Roman"/>
                        </w:rPr>
                        <w:t xml:space="preserve"> 2009). In Central Africa this movement started in the mid-1990s with the 1994 forestry law in Cameroon, followed by most other Congo Basin countries within a decade. This included community forestry refor</w:t>
                      </w:r>
                      <w:r>
                        <w:rPr>
                          <w:rFonts w:ascii="Times New Roman" w:eastAsia="Times New Roman" w:hAnsi="Times New Roman" w:cs="Times New Roman"/>
                        </w:rPr>
                        <w:t>m, as well as fiscal decentralis</w:t>
                      </w:r>
                      <w:r w:rsidRPr="000E68D2">
                        <w:rPr>
                          <w:rFonts w:ascii="Times New Roman" w:eastAsia="Times New Roman" w:hAnsi="Times New Roman" w:cs="Times New Roman"/>
                        </w:rPr>
                        <w:t>ation of forest revenues and the establishment of municipal forests and community hunting zones and committees (e.g.</w:t>
                      </w:r>
                      <w:r>
                        <w:rPr>
                          <w:rFonts w:ascii="Times New Roman" w:eastAsia="Times New Roman" w:hAnsi="Times New Roman" w:cs="Times New Roman"/>
                        </w:rPr>
                        <w:t>,</w:t>
                      </w:r>
                      <w:r w:rsidRPr="000E68D2">
                        <w:rPr>
                          <w:rFonts w:ascii="Times New Roman" w:eastAsia="Times New Roman" w:hAnsi="Times New Roman" w:cs="Times New Roman"/>
                        </w:rPr>
                        <w:t xml:space="preserve"> Logo, 2003</w:t>
                      </w:r>
                      <w:r>
                        <w:rPr>
                          <w:rFonts w:ascii="Times New Roman" w:eastAsia="Times New Roman" w:hAnsi="Times New Roman" w:cs="Times New Roman"/>
                        </w:rPr>
                        <w:t xml:space="preserve">; </w:t>
                      </w:r>
                      <w:r w:rsidRPr="000E68D2">
                        <w:rPr>
                          <w:rFonts w:ascii="Times New Roman" w:eastAsia="Times New Roman" w:hAnsi="Times New Roman" w:cs="Times New Roman"/>
                        </w:rPr>
                        <w:t xml:space="preserve">Nelson </w:t>
                      </w:r>
                      <w:r w:rsidRPr="00E33179">
                        <w:rPr>
                          <w:rFonts w:ascii="Times New Roman" w:eastAsia="Times New Roman" w:hAnsi="Times New Roman" w:cs="Times New Roman"/>
                          <w:i/>
                        </w:rPr>
                        <w:t>et al.,</w:t>
                      </w:r>
                      <w:r w:rsidRPr="000E68D2">
                        <w:rPr>
                          <w:rFonts w:ascii="Times New Roman" w:eastAsia="Times New Roman" w:hAnsi="Times New Roman" w:cs="Times New Roman"/>
                        </w:rPr>
                        <w:t xml:space="preserve"> 2003; Oyono, 2005</w:t>
                      </w:r>
                      <w:r>
                        <w:rPr>
                          <w:rFonts w:ascii="Times New Roman" w:eastAsia="Times New Roman" w:hAnsi="Times New Roman" w:cs="Times New Roman"/>
                        </w:rPr>
                        <w:t xml:space="preserve">; </w:t>
                      </w:r>
                      <w:r w:rsidRPr="000E68D2">
                        <w:rPr>
                          <w:rFonts w:ascii="Times New Roman" w:eastAsia="Times New Roman" w:hAnsi="Times New Roman" w:cs="Times New Roman"/>
                        </w:rPr>
                        <w:t xml:space="preserve">Oyono </w:t>
                      </w:r>
                      <w:r w:rsidRPr="000429F8">
                        <w:rPr>
                          <w:rFonts w:ascii="Times New Roman" w:eastAsia="Times New Roman" w:hAnsi="Times New Roman" w:cs="Times New Roman"/>
                          <w:i/>
                        </w:rPr>
                        <w:t>et al.</w:t>
                      </w:r>
                      <w:r>
                        <w:rPr>
                          <w:rFonts w:ascii="Times New Roman" w:eastAsia="Times New Roman" w:hAnsi="Times New Roman" w:cs="Times New Roman"/>
                          <w:i/>
                        </w:rPr>
                        <w:t>,</w:t>
                      </w:r>
                      <w:r w:rsidRPr="000E68D2">
                        <w:rPr>
                          <w:rFonts w:ascii="Times New Roman" w:eastAsia="Times New Roman" w:hAnsi="Times New Roman" w:cs="Times New Roman"/>
                        </w:rPr>
                        <w:t xml:space="preserve"> 2007;). CAMPFIRE in Zimbabwe was actually the pioneer in 1989 of African community wildlife management schemes, which were later taken on by a number of other countries, including Cameroon, Rwanda and Uganda (Matos</w:t>
                      </w:r>
                      <w:r>
                        <w:rPr>
                          <w:rFonts w:ascii="Times New Roman" w:eastAsia="Times New Roman" w:hAnsi="Times New Roman" w:cs="Times New Roman"/>
                        </w:rPr>
                        <w:t>e, 1997; Mandondo, 2000; Prabhu</w:t>
                      </w:r>
                      <w:r w:rsidRPr="000E68D2">
                        <w:rPr>
                          <w:rFonts w:ascii="Times New Roman" w:eastAsia="Times New Roman" w:hAnsi="Times New Roman" w:cs="Times New Roman"/>
                        </w:rPr>
                        <w:t xml:space="preserve"> </w:t>
                      </w:r>
                      <w:r w:rsidRPr="000429F8">
                        <w:rPr>
                          <w:rFonts w:ascii="Times New Roman" w:eastAsia="Times New Roman" w:hAnsi="Times New Roman" w:cs="Times New Roman"/>
                          <w:i/>
                        </w:rPr>
                        <w:t>et al.</w:t>
                      </w:r>
                      <w:r w:rsidRPr="000E68D2">
                        <w:rPr>
                          <w:rFonts w:ascii="Times New Roman" w:eastAsia="Times New Roman" w:hAnsi="Times New Roman" w:cs="Times New Roman"/>
                        </w:rPr>
                        <w:t xml:space="preserve">, 2001). For their part, Burkina Faso, Ghana, Kenya, and Senegal developed advanced legislative and regulatory mechanisms for fiscal and financial decentralization. But it is noted that local governments have had limited capacity in practice due to the inadequacy of financial transfers from the central government and weak local revenue-raising capacity (Chambas </w:t>
                      </w:r>
                      <w:r w:rsidRPr="000429F8">
                        <w:rPr>
                          <w:rFonts w:ascii="Times New Roman" w:eastAsia="Times New Roman" w:hAnsi="Times New Roman" w:cs="Times New Roman"/>
                          <w:i/>
                        </w:rPr>
                        <w:t>et al.</w:t>
                      </w:r>
                      <w:r w:rsidRPr="000E68D2">
                        <w:rPr>
                          <w:rFonts w:ascii="Times New Roman" w:eastAsia="Times New Roman" w:hAnsi="Times New Roman" w:cs="Times New Roman"/>
                        </w:rPr>
                        <w:t>, 2012). Other natural resource management schemes also had problems, such as central retention of powers, weak local participation and accountability, conflicts with customary tenure and elite capture (Diaw, 2010). It was also noted that governments continue to appropriate valuable local commonage and lease these lands to investors for farming, logging, mining, ecotourism and carbon credits compensation s</w:t>
                      </w:r>
                      <w:r>
                        <w:rPr>
                          <w:rFonts w:ascii="Times New Roman" w:eastAsia="Times New Roman" w:hAnsi="Times New Roman" w:cs="Times New Roman"/>
                        </w:rPr>
                        <w:t>chemes (Wily, 2008). Decentralis</w:t>
                      </w:r>
                      <w:r w:rsidRPr="000E68D2">
                        <w:rPr>
                          <w:rFonts w:ascii="Times New Roman" w:eastAsia="Times New Roman" w:hAnsi="Times New Roman" w:cs="Times New Roman"/>
                        </w:rPr>
                        <w:t>ation of water management also took place in many countries, essentially under the form of integrated water resource management. Most Southern African countries have enacted or amended their water laws and policies and restructured their institutional and governance frameworks in that line over the last 20 years or so. But it is also noted that actual devolution to local institutions and local water stakeholders, which often have a better knowledge of the catchment functioning, has been unequal and wanting. In South Africa and Mozambique several years after the launch of the new water policy, the vast majority of catchment management agencies and water administration entities were not operational, while many water user associations were struggling to find their place in the water management schemes (Farolfi, 2010).</w:t>
                      </w:r>
                    </w:p>
                  </w:txbxContent>
                </v:textbox>
                <w10:anchorlock/>
              </v:rect>
            </w:pict>
          </mc:Fallback>
        </mc:AlternateContent>
      </w:r>
    </w:p>
    <w:p w14:paraId="5212A99D" w14:textId="19225546" w:rsidR="006B7655" w:rsidRPr="009B0448" w:rsidRDefault="00A8466E" w:rsidP="00FA7185">
      <w:pPr>
        <w:pStyle w:val="111"/>
        <w:numPr>
          <w:ilvl w:val="4"/>
          <w:numId w:val="10"/>
        </w:numPr>
        <w:spacing w:before="240" w:after="240"/>
        <w:ind w:left="851" w:hanging="862"/>
        <w:rPr>
          <w:rFonts w:cs="Times New Roman"/>
          <w:b w:val="0"/>
          <w:sz w:val="22"/>
          <w:szCs w:val="22"/>
        </w:rPr>
      </w:pPr>
      <w:bookmarkStart w:id="40" w:name="_Toc519499789"/>
      <w:r w:rsidRPr="009B0448">
        <w:rPr>
          <w:rFonts w:cs="Times New Roman"/>
          <w:b w:val="0"/>
          <w:sz w:val="22"/>
          <w:szCs w:val="22"/>
        </w:rPr>
        <w:t xml:space="preserve">The historicity and evolution of </w:t>
      </w:r>
      <w:r w:rsidR="00A87033" w:rsidRPr="009B0448">
        <w:rPr>
          <w:rFonts w:cs="Times New Roman"/>
          <w:b w:val="0"/>
          <w:sz w:val="22"/>
          <w:szCs w:val="22"/>
        </w:rPr>
        <w:t>protected a</w:t>
      </w:r>
      <w:r w:rsidRPr="009B0448">
        <w:rPr>
          <w:rFonts w:cs="Times New Roman"/>
          <w:b w:val="0"/>
          <w:sz w:val="22"/>
          <w:szCs w:val="22"/>
        </w:rPr>
        <w:t>reas</w:t>
      </w:r>
      <w:bookmarkEnd w:id="40"/>
    </w:p>
    <w:p w14:paraId="2F91CBB3" w14:textId="002B25F8" w:rsidR="006B7655" w:rsidRPr="009B0448"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Historically, protected areas have been the main sites of biodiversity conservation in Africa. Sabie (Kruger National Park) in South Africa and Amboseli in Kenya were established as early as 1892 and 1899 respectively. Other reserves were established in the 1920s and 1930s, often to be re</w:t>
      </w:r>
      <w:r w:rsidR="00D47F8F">
        <w:rPr>
          <w:rFonts w:ascii="Times New Roman" w:eastAsia="Times New Roman" w:hAnsi="Times New Roman" w:cs="Times New Roman"/>
        </w:rPr>
        <w:t>-</w:t>
      </w:r>
      <w:r w:rsidRPr="009B0448">
        <w:rPr>
          <w:rFonts w:ascii="Times New Roman" w:eastAsia="Times New Roman" w:hAnsi="Times New Roman" w:cs="Times New Roman"/>
        </w:rPr>
        <w:t xml:space="preserve">gazetted as national parks after the Second World War or after independence (Diaw, 2014). This fits the global post-war growth of </w:t>
      </w:r>
      <w:r w:rsidR="009C38D1" w:rsidRPr="009B0448">
        <w:rPr>
          <w:rFonts w:ascii="Times New Roman" w:eastAsia="Times New Roman" w:hAnsi="Times New Roman" w:cs="Times New Roman"/>
        </w:rPr>
        <w:t>protected areas</w:t>
      </w:r>
      <w:r w:rsidRPr="009B0448">
        <w:rPr>
          <w:rFonts w:ascii="Times New Roman" w:eastAsia="Times New Roman" w:hAnsi="Times New Roman" w:cs="Times New Roman"/>
        </w:rPr>
        <w:t xml:space="preserve">, particularly after 1960. By the time of the 2003 World Parks Congress in Durban, which was instrumental in identifying governance as “central to the conservation of protected areas” (WCPA, 2003; Borrini-Feyerabend </w:t>
      </w:r>
      <w:r w:rsidR="000429F8" w:rsidRPr="009B0448">
        <w:rPr>
          <w:rFonts w:ascii="Times New Roman" w:eastAsia="Times New Roman" w:hAnsi="Times New Roman" w:cs="Times New Roman"/>
          <w:i/>
        </w:rPr>
        <w:t>et al.</w:t>
      </w:r>
      <w:r w:rsidR="00177222" w:rsidRPr="009B0448">
        <w:rPr>
          <w:rFonts w:ascii="Times New Roman" w:eastAsia="Times New Roman" w:hAnsi="Times New Roman" w:cs="Times New Roman"/>
        </w:rPr>
        <w:t>, 2004</w:t>
      </w:r>
      <w:r w:rsidRPr="009B0448">
        <w:rPr>
          <w:rFonts w:ascii="Times New Roman" w:eastAsia="Times New Roman" w:hAnsi="Times New Roman" w:cs="Times New Roman"/>
        </w:rPr>
        <w:t xml:space="preserve">), </w:t>
      </w:r>
      <w:r w:rsidR="009C38D1" w:rsidRPr="009B0448">
        <w:rPr>
          <w:rFonts w:ascii="Times New Roman" w:eastAsia="Times New Roman" w:hAnsi="Times New Roman" w:cs="Times New Roman"/>
        </w:rPr>
        <w:t>Protected areas</w:t>
      </w:r>
      <w:r w:rsidRPr="009B0448">
        <w:rPr>
          <w:rFonts w:ascii="Times New Roman" w:eastAsia="Times New Roman" w:hAnsi="Times New Roman" w:cs="Times New Roman"/>
        </w:rPr>
        <w:t xml:space="preserve"> had grown from less than 10,000 in 1950 to more than 100,000 sites around the world (Diaw, 2010). They now cover over 15% of the world’s terrestrial areas and inland waters and 3% of the oceans (Belle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w:t>
      </w:r>
      <w:r w:rsidRPr="009B0448">
        <w:rPr>
          <w:rFonts w:ascii="Times New Roman" w:eastAsia="Times New Roman" w:hAnsi="Times New Roman" w:cs="Times New Roman"/>
        </w:rPr>
        <w:lastRenderedPageBreak/>
        <w:t>Through CBD Aichi Biodiversity Target 11, governments worldwide have pledged to protect at least 17% of terrestrial areas and inland water and 10% of coastal and marine areas by 2020.</w:t>
      </w:r>
    </w:p>
    <w:p w14:paraId="55D9FDED" w14:textId="77777777" w:rsidR="00FB4B8A" w:rsidRPr="009B0448" w:rsidRDefault="00FB4B8A" w:rsidP="00FB4B8A">
      <w:pPr>
        <w:spacing w:line="276" w:lineRule="auto"/>
        <w:jc w:val="both"/>
        <w:rPr>
          <w:rFonts w:ascii="Times New Roman" w:eastAsia="Times New Roman" w:hAnsi="Times New Roman" w:cs="Times New Roman"/>
        </w:rPr>
      </w:pPr>
    </w:p>
    <w:p w14:paraId="074057A4" w14:textId="31ED411D" w:rsidR="006B7655" w:rsidRPr="009B0448"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Using data from the World Database on Protected Areas, augmented by records from the Indigenous and Community Conserved Areas</w:t>
      </w:r>
      <w:r w:rsidR="00A87033" w:rsidRPr="009B0448">
        <w:rPr>
          <w:rFonts w:ascii="Times New Roman" w:eastAsia="Times New Roman" w:hAnsi="Times New Roman" w:cs="Times New Roman"/>
        </w:rPr>
        <w:t>, r</w:t>
      </w:r>
      <w:r w:rsidRPr="009B0448">
        <w:rPr>
          <w:rFonts w:ascii="Times New Roman" w:eastAsia="Times New Roman" w:hAnsi="Times New Roman" w:cs="Times New Roman"/>
        </w:rPr>
        <w:t xml:space="preserve">egistry and other additional data, Belle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(2015) found that protected areas</w:t>
      </w:r>
      <w:r w:rsidR="00EF276A">
        <w:rPr>
          <w:rFonts w:ascii="Times New Roman" w:eastAsia="Times New Roman" w:hAnsi="Times New Roman" w:cs="Times New Roman"/>
        </w:rPr>
        <w:t>,</w:t>
      </w:r>
      <w:r w:rsidRPr="009B0448">
        <w:rPr>
          <w:rFonts w:ascii="Times New Roman" w:eastAsia="Times New Roman" w:hAnsi="Times New Roman" w:cs="Times New Roman"/>
        </w:rPr>
        <w:t xml:space="preserve"> for which spatial data was available</w:t>
      </w:r>
      <w:r w:rsidR="00EF276A">
        <w:rPr>
          <w:rFonts w:ascii="Times New Roman" w:eastAsia="Times New Roman" w:hAnsi="Times New Roman" w:cs="Times New Roman"/>
        </w:rPr>
        <w:t>,</w:t>
      </w:r>
      <w:r w:rsidRPr="009B0448">
        <w:rPr>
          <w:rFonts w:ascii="Times New Roman" w:eastAsia="Times New Roman" w:hAnsi="Times New Roman" w:cs="Times New Roman"/>
        </w:rPr>
        <w:t xml:space="preserve"> cover 13</w:t>
      </w:r>
      <w:r w:rsidR="00A87033" w:rsidRPr="009B0448">
        <w:rPr>
          <w:rFonts w:ascii="Times New Roman" w:eastAsia="Times New Roman" w:hAnsi="Times New Roman" w:cs="Times New Roman"/>
        </w:rPr>
        <w:t xml:space="preserve">.4% of sub-Saharan Africa’s </w:t>
      </w:r>
      <w:r w:rsidRPr="009B0448">
        <w:rPr>
          <w:rFonts w:ascii="Times New Roman" w:eastAsia="Times New Roman" w:hAnsi="Times New Roman" w:cs="Times New Roman"/>
        </w:rPr>
        <w:t>land area and 2.6% of the marine area. Across the four IUCN governance categories, they found that state governance (1,273,123 km</w:t>
      </w:r>
      <w:r w:rsidRPr="009B0448">
        <w:rPr>
          <w:rFonts w:ascii="Times New Roman" w:eastAsia="Times New Roman" w:hAnsi="Times New Roman" w:cs="Times New Roman"/>
          <w:vertAlign w:val="superscript"/>
        </w:rPr>
        <w:t>2</w:t>
      </w:r>
      <w:r w:rsidRPr="009B0448">
        <w:rPr>
          <w:rFonts w:ascii="Times New Roman" w:eastAsia="Times New Roman" w:hAnsi="Times New Roman" w:cs="Times New Roman"/>
        </w:rPr>
        <w:t xml:space="preserve">) represents 35.6% of the total </w:t>
      </w:r>
      <w:r w:rsidR="00A87033" w:rsidRPr="009B0448">
        <w:rPr>
          <w:rFonts w:ascii="Times New Roman" w:eastAsia="Times New Roman" w:hAnsi="Times New Roman" w:cs="Times New Roman"/>
        </w:rPr>
        <w:t>protected area</w:t>
      </w:r>
      <w:r w:rsidRPr="009B0448">
        <w:rPr>
          <w:rFonts w:ascii="Times New Roman" w:eastAsia="Times New Roman" w:hAnsi="Times New Roman" w:cs="Times New Roman"/>
        </w:rPr>
        <w:t xml:space="preserve"> coverage (or 78% of the known governance types), community governance (232,277 km</w:t>
      </w:r>
      <w:r w:rsidRPr="009B0448">
        <w:rPr>
          <w:rFonts w:ascii="Times New Roman" w:eastAsia="Times New Roman" w:hAnsi="Times New Roman" w:cs="Times New Roman"/>
          <w:vertAlign w:val="superscript"/>
        </w:rPr>
        <w:t>2</w:t>
      </w:r>
      <w:r w:rsidRPr="009B0448">
        <w:rPr>
          <w:rFonts w:ascii="Times New Roman" w:eastAsia="Times New Roman" w:hAnsi="Times New Roman" w:cs="Times New Roman"/>
        </w:rPr>
        <w:t>) 6.5% of the total (or 14.2% of the known types), shared governance (117,452 km</w:t>
      </w:r>
      <w:r w:rsidRPr="009B0448">
        <w:rPr>
          <w:rFonts w:ascii="Times New Roman" w:eastAsia="Times New Roman" w:hAnsi="Times New Roman" w:cs="Times New Roman"/>
          <w:vertAlign w:val="superscript"/>
        </w:rPr>
        <w:t>2</w:t>
      </w:r>
      <w:r w:rsidRPr="009B0448">
        <w:rPr>
          <w:rFonts w:ascii="Times New Roman" w:eastAsia="Times New Roman" w:hAnsi="Times New Roman" w:cs="Times New Roman"/>
        </w:rPr>
        <w:t xml:space="preserve">) 3.3% (or 7.2%), and private governance 0.3% (or 0.7%). </w:t>
      </w:r>
      <w:r w:rsidR="007D7A1C" w:rsidRPr="009B0448">
        <w:rPr>
          <w:rFonts w:ascii="Times New Roman" w:eastAsia="Times New Roman" w:hAnsi="Times New Roman" w:cs="Times New Roman"/>
        </w:rPr>
        <w:t xml:space="preserve">Governance types were not recorded for 54.3% of the </w:t>
      </w:r>
      <w:r w:rsidR="00605961" w:rsidRPr="009B0448">
        <w:rPr>
          <w:rFonts w:ascii="Times New Roman" w:eastAsia="Times New Roman" w:hAnsi="Times New Roman" w:cs="Times New Roman"/>
        </w:rPr>
        <w:t>protected areas in sub-S</w:t>
      </w:r>
      <w:r w:rsidR="007D7A1C" w:rsidRPr="009B0448">
        <w:rPr>
          <w:rFonts w:ascii="Times New Roman" w:eastAsia="Times New Roman" w:hAnsi="Times New Roman" w:cs="Times New Roman"/>
        </w:rPr>
        <w:t>aharan Africa</w:t>
      </w:r>
      <w:r w:rsidR="003457B1" w:rsidRPr="009B0448">
        <w:rPr>
          <w:rFonts w:ascii="Times New Roman" w:eastAsia="Times New Roman" w:hAnsi="Times New Roman" w:cs="Times New Roman"/>
        </w:rPr>
        <w:t xml:space="preserve"> (see Figures 1.17 and 1.18</w:t>
      </w:r>
      <w:r w:rsidR="009E33C9" w:rsidRPr="009B0448">
        <w:rPr>
          <w:rFonts w:ascii="Times New Roman" w:eastAsia="Times New Roman" w:hAnsi="Times New Roman" w:cs="Times New Roman"/>
        </w:rPr>
        <w:t xml:space="preserve"> for representation of more recent WDPA data</w:t>
      </w:r>
      <w:r w:rsidRPr="009B0448">
        <w:rPr>
          <w:rFonts w:ascii="Times New Roman" w:eastAsia="Times New Roman" w:hAnsi="Times New Roman" w:cs="Times New Roman"/>
        </w:rPr>
        <w:t>).</w:t>
      </w:r>
    </w:p>
    <w:p w14:paraId="13584DDC" w14:textId="77777777" w:rsidR="003457B1" w:rsidRPr="009B0448" w:rsidRDefault="003457B1" w:rsidP="003457B1">
      <w:pPr>
        <w:spacing w:line="276" w:lineRule="auto"/>
        <w:jc w:val="both"/>
        <w:rPr>
          <w:rFonts w:ascii="Times New Roman" w:eastAsia="Times New Roman" w:hAnsi="Times New Roman" w:cs="Times New Roman"/>
        </w:rPr>
      </w:pPr>
    </w:p>
    <w:p w14:paraId="3DAFBF26" w14:textId="3EA1812D" w:rsidR="003457B1" w:rsidRPr="009B0448" w:rsidRDefault="003457B1" w:rsidP="003457B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From their origin and following a global pattern, protected areas in Africa were established under tight government control and in ways that excluded local people from their management and use. This reflected </w:t>
      </w:r>
      <w:r w:rsidR="00264EBF" w:rsidRPr="009B0448">
        <w:rPr>
          <w:rFonts w:ascii="Times New Roman" w:eastAsia="Times New Roman" w:hAnsi="Times New Roman" w:cs="Times New Roman"/>
        </w:rPr>
        <w:t>centralis</w:t>
      </w:r>
      <w:r w:rsidRPr="009B0448">
        <w:rPr>
          <w:rFonts w:ascii="Times New Roman" w:eastAsia="Times New Roman" w:hAnsi="Times New Roman" w:cs="Times New Roman"/>
        </w:rPr>
        <w:t xml:space="preserve">ed concepts of State as well as the perception that it was the only way to preserve critical habitats and species representing an exceptional national heritage. These restrictive policies had severe impacts on local people, including cases of forced displacements, and were a continuous source of tensions and conflicts around protected areas (Brockington, 2002; Cernea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2003; Schmidt-Soltau, 2003; Tiani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Diaw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2010).</w:t>
      </w:r>
    </w:p>
    <w:p w14:paraId="08178327" w14:textId="77777777" w:rsidR="003457B1" w:rsidRPr="009B0448" w:rsidRDefault="003457B1" w:rsidP="00FB4B8A">
      <w:pPr>
        <w:spacing w:line="276" w:lineRule="auto"/>
        <w:jc w:val="both"/>
        <w:rPr>
          <w:rFonts w:ascii="Times New Roman" w:eastAsia="Times New Roman" w:hAnsi="Times New Roman" w:cs="Times New Roman"/>
        </w:rPr>
      </w:pPr>
    </w:p>
    <w:p w14:paraId="65A3AE9C" w14:textId="1554BA1F" w:rsidR="003457B1" w:rsidRDefault="003457B1" w:rsidP="003457B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Beyond terrestrial biomes, such processes also occurred in marine environments. Belle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cite the case of the South African Hangberg marine protected area, established in 1934, where 70 years of dispossession of local fishing rights “resulted in an impoverished community, a thriving informal or illegal fishery and an eroded sense of legitimacy toward the state”. State-driven marine protected area planning in Mozambique is reported to have similarly harmed communities and provoked ambivalence towards marine protected areas.</w:t>
      </w:r>
    </w:p>
    <w:p w14:paraId="3CA5A35B" w14:textId="77777777" w:rsidR="00C10A68" w:rsidRPr="009B0448" w:rsidRDefault="00C10A68" w:rsidP="00C10A68">
      <w:pPr>
        <w:spacing w:line="276" w:lineRule="auto"/>
        <w:jc w:val="both"/>
        <w:rPr>
          <w:rFonts w:ascii="Times New Roman" w:eastAsia="Times New Roman" w:hAnsi="Times New Roman" w:cs="Times New Roman"/>
        </w:rPr>
      </w:pPr>
    </w:p>
    <w:p w14:paraId="1D861A24" w14:textId="6616162C" w:rsidR="00C10A68" w:rsidRPr="009B0448" w:rsidRDefault="00C10A68" w:rsidP="003457B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Privately protected areas were the first alternative governance type to emerge in the 1950s (Langholz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They most often take the form of private game ranches, private nature reserves and private conservancies, particularly in eastern- and southern Africa where many natural features and landscapes are favourable to developing markets for wildlife and where land tenure regimes and legislation favour private ownership of such lands. Only after </w:t>
      </w:r>
      <w:r>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1980s did non-state governed protected areas start to gain prominence, making up nearly half of protected areas gazetted after 2000 and the great majority after 2010. As illustrated </w:t>
      </w:r>
      <w:r>
        <w:rPr>
          <w:rFonts w:ascii="Times New Roman" w:eastAsia="Times New Roman" w:hAnsi="Times New Roman" w:cs="Times New Roman"/>
        </w:rPr>
        <w:t>in</w:t>
      </w:r>
      <w:r w:rsidRPr="009B0448">
        <w:rPr>
          <w:rFonts w:ascii="Times New Roman" w:eastAsia="Times New Roman" w:hAnsi="Times New Roman" w:cs="Times New Roman"/>
        </w:rPr>
        <w:t xml:space="preserve"> Figure 1.18, such governance is still very weakly represented in most of Africa. </w:t>
      </w:r>
    </w:p>
    <w:p w14:paraId="4A6ED83D" w14:textId="5BC21FF6" w:rsidR="003457B1" w:rsidRPr="009B0448" w:rsidRDefault="003457B1">
      <w:pPr>
        <w:rPr>
          <w:rFonts w:ascii="Times New Roman" w:eastAsia="Times New Roman" w:hAnsi="Times New Roman" w:cs="Times New Roman"/>
        </w:rPr>
      </w:pPr>
      <w:r w:rsidRPr="009B0448">
        <w:rPr>
          <w:rFonts w:ascii="Times New Roman" w:eastAsia="Times New Roman" w:hAnsi="Times New Roman" w:cs="Times New Roman"/>
        </w:rPr>
        <w:br w:type="page"/>
      </w:r>
    </w:p>
    <w:p w14:paraId="41510F09" w14:textId="1C2AAEC4" w:rsidR="006B7655" w:rsidRPr="009B0448" w:rsidRDefault="003457B1"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lastRenderedPageBreak/>
        <w:drawing>
          <wp:inline distT="0" distB="0" distL="0" distR="0" wp14:anchorId="531BEA9D" wp14:editId="499B8A07">
            <wp:extent cx="5696251" cy="610362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1.17.JPG"/>
                    <pic:cNvPicPr/>
                  </pic:nvPicPr>
                  <pic:blipFill>
                    <a:blip r:embed="rId54">
                      <a:extLst>
                        <a:ext uri="{28A0092B-C50C-407E-A947-70E740481C1C}">
                          <a14:useLocalDpi xmlns:a14="http://schemas.microsoft.com/office/drawing/2010/main" val="0"/>
                        </a:ext>
                      </a:extLst>
                    </a:blip>
                    <a:stretch>
                      <a:fillRect/>
                    </a:stretch>
                  </pic:blipFill>
                  <pic:spPr>
                    <a:xfrm>
                      <a:off x="0" y="0"/>
                      <a:ext cx="5700892" cy="6108593"/>
                    </a:xfrm>
                    <a:prstGeom prst="rect">
                      <a:avLst/>
                    </a:prstGeom>
                  </pic:spPr>
                </pic:pic>
              </a:graphicData>
            </a:graphic>
          </wp:inline>
        </w:drawing>
      </w:r>
    </w:p>
    <w:p w14:paraId="346F8B50" w14:textId="382BAEBC" w:rsidR="006B7655" w:rsidRPr="009B0448" w:rsidRDefault="00BC63CA"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1.17</w:t>
      </w:r>
      <w:r w:rsidR="00A8466E" w:rsidRPr="009B0448">
        <w:rPr>
          <w:rFonts w:ascii="Times New Roman" w:eastAsia="Times New Roman" w:hAnsi="Times New Roman" w:cs="Times New Roman"/>
          <w:b/>
        </w:rPr>
        <w:t>:</w:t>
      </w:r>
      <w:r w:rsidR="00A8466E" w:rsidRPr="009B0448">
        <w:rPr>
          <w:rFonts w:ascii="Times New Roman" w:eastAsia="Times New Roman" w:hAnsi="Times New Roman" w:cs="Times New Roman"/>
        </w:rPr>
        <w:t xml:space="preserve"> </w:t>
      </w:r>
      <w:r w:rsidR="00311FB4" w:rsidRPr="009B0448">
        <w:rPr>
          <w:rFonts w:ascii="Times New Roman" w:eastAsia="Times New Roman" w:hAnsi="Times New Roman" w:cs="Times New Roman"/>
        </w:rPr>
        <w:t xml:space="preserve">Protected areas by governance types in Africa. Source: data from UNEP-WCMC </w:t>
      </w:r>
      <w:r w:rsidR="00311FB4" w:rsidRPr="009B0448">
        <w:rPr>
          <w:rFonts w:ascii="Times New Roman" w:eastAsia="Times New Roman" w:hAnsi="Times New Roman" w:cs="Times New Roman"/>
          <w:i/>
        </w:rPr>
        <w:t>et al.</w:t>
      </w:r>
      <w:r w:rsidR="00311FB4" w:rsidRPr="009B0448">
        <w:rPr>
          <w:rFonts w:ascii="Times New Roman" w:eastAsia="Times New Roman" w:hAnsi="Times New Roman" w:cs="Times New Roman"/>
        </w:rPr>
        <w:t xml:space="preserve"> (2017).</w:t>
      </w:r>
    </w:p>
    <w:p w14:paraId="78404D99" w14:textId="77777777" w:rsidR="003457B1" w:rsidRPr="009B0448" w:rsidRDefault="003457B1" w:rsidP="00FB4B8A">
      <w:pPr>
        <w:spacing w:line="276" w:lineRule="auto"/>
        <w:jc w:val="both"/>
        <w:rPr>
          <w:rFonts w:ascii="Times New Roman" w:eastAsia="Times New Roman" w:hAnsi="Times New Roman" w:cs="Times New Roman"/>
        </w:rPr>
      </w:pPr>
    </w:p>
    <w:p w14:paraId="1D78B3A8" w14:textId="05DC3E90" w:rsidR="00FB4B8A" w:rsidRPr="009B0448" w:rsidRDefault="00FF79DA"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lastRenderedPageBreak/>
        <w:drawing>
          <wp:inline distT="0" distB="0" distL="0" distR="0" wp14:anchorId="3A9FCB51" wp14:editId="4E1DF612">
            <wp:extent cx="5692140" cy="3186917"/>
            <wp:effectExtent l="0" t="0" r="3810"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top\Clipped\Fig 1.18.JPG"/>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5706602" cy="3195014"/>
                    </a:xfrm>
                    <a:prstGeom prst="rect">
                      <a:avLst/>
                    </a:prstGeom>
                    <a:noFill/>
                    <a:ln>
                      <a:noFill/>
                    </a:ln>
                  </pic:spPr>
                </pic:pic>
              </a:graphicData>
            </a:graphic>
          </wp:inline>
        </w:drawing>
      </w:r>
    </w:p>
    <w:p w14:paraId="2EFB46CF" w14:textId="6E75F893" w:rsidR="003457B1" w:rsidRDefault="00BC63CA" w:rsidP="003457B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1.18</w:t>
      </w:r>
      <w:r w:rsidR="00A8466E" w:rsidRPr="009B0448">
        <w:rPr>
          <w:rFonts w:ascii="Times New Roman" w:eastAsia="Times New Roman" w:hAnsi="Times New Roman" w:cs="Times New Roman"/>
          <w:b/>
        </w:rPr>
        <w:t xml:space="preserve">: </w:t>
      </w:r>
      <w:r w:rsidR="00311FB4" w:rsidRPr="009B0448">
        <w:rPr>
          <w:rFonts w:ascii="Times New Roman" w:eastAsia="Times New Roman" w:hAnsi="Times New Roman" w:cs="Times New Roman"/>
        </w:rPr>
        <w:t xml:space="preserve">Percentage of protected areas under different governance types in Africa. Source: data from UNEP-WCMC </w:t>
      </w:r>
      <w:r w:rsidR="00311FB4" w:rsidRPr="009B0448">
        <w:rPr>
          <w:rFonts w:ascii="Times New Roman" w:eastAsia="Times New Roman" w:hAnsi="Times New Roman" w:cs="Times New Roman"/>
          <w:i/>
        </w:rPr>
        <w:t>et al.</w:t>
      </w:r>
      <w:r w:rsidR="00311FB4" w:rsidRPr="009B0448">
        <w:rPr>
          <w:rFonts w:ascii="Times New Roman" w:eastAsia="Times New Roman" w:hAnsi="Times New Roman" w:cs="Times New Roman"/>
        </w:rPr>
        <w:t xml:space="preserve"> (2017).</w:t>
      </w:r>
    </w:p>
    <w:p w14:paraId="03C99C16" w14:textId="655D4CD6" w:rsidR="006B7655" w:rsidRPr="009B0448" w:rsidRDefault="00A8466E" w:rsidP="00FA7185">
      <w:pPr>
        <w:pStyle w:val="111"/>
        <w:numPr>
          <w:ilvl w:val="4"/>
          <w:numId w:val="10"/>
        </w:numPr>
        <w:spacing w:before="240" w:after="240"/>
        <w:ind w:left="851" w:hanging="862"/>
        <w:rPr>
          <w:rFonts w:cs="Times New Roman"/>
          <w:b w:val="0"/>
          <w:sz w:val="22"/>
          <w:szCs w:val="22"/>
        </w:rPr>
      </w:pPr>
      <w:bookmarkStart w:id="41" w:name="_Toc519499790"/>
      <w:r w:rsidRPr="009B0448">
        <w:rPr>
          <w:rFonts w:cs="Times New Roman"/>
          <w:b w:val="0"/>
          <w:sz w:val="22"/>
          <w:szCs w:val="22"/>
        </w:rPr>
        <w:t>Integrated Landscape Management</w:t>
      </w:r>
      <w:r w:rsidR="00A87033" w:rsidRPr="009B0448">
        <w:rPr>
          <w:rFonts w:cs="Times New Roman"/>
          <w:b w:val="0"/>
          <w:sz w:val="22"/>
          <w:szCs w:val="22"/>
        </w:rPr>
        <w:t xml:space="preserve"> (ILM)</w:t>
      </w:r>
      <w:bookmarkEnd w:id="41"/>
    </w:p>
    <w:p w14:paraId="6875A745" w14:textId="4905C03A" w:rsidR="006B7655" w:rsidRPr="009B0448" w:rsidRDefault="00A8466E" w:rsidP="00FB4B8A">
      <w:pPr>
        <w:pBdr>
          <w:top w:val="none" w:sz="0" w:space="0" w:color="000000"/>
          <w:left w:val="none" w:sz="0" w:space="0" w:color="000000"/>
          <w:bottom w:val="none" w:sz="0" w:space="0" w:color="000000"/>
          <w:right w:val="none" w:sz="0" w:space="0" w:color="000000"/>
          <w:between w:val="none" w:sz="0" w:space="0" w:color="000000"/>
        </w:pBd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ILM has recently emerged as a rallying point for moving beyond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conflicts and single-sector policy silos to address the values and interests of stakeholders across </w:t>
      </w:r>
      <w:r w:rsidR="00917FB2">
        <w:rPr>
          <w:rFonts w:ascii="Times New Roman" w:eastAsia="Times New Roman" w:hAnsi="Times New Roman" w:cs="Times New Roman"/>
        </w:rPr>
        <w:t>land-use</w:t>
      </w:r>
      <w:r w:rsidRPr="009B0448">
        <w:rPr>
          <w:rFonts w:ascii="Times New Roman" w:eastAsia="Times New Roman" w:hAnsi="Times New Roman" w:cs="Times New Roman"/>
        </w:rPr>
        <w:t>s and policy domains. Landscape approaches have been around for several decades but the growing consensus that they now enjoy globally and in Africa is recent; there are now more than 500 ILM initiatives around the world, 87 of them in Africa (</w:t>
      </w:r>
      <w:r w:rsidR="00A87033" w:rsidRPr="009B0448">
        <w:rPr>
          <w:rFonts w:ascii="Times New Roman" w:eastAsia="Times New Roman" w:hAnsi="Times New Roman" w:cs="Times New Roman"/>
        </w:rPr>
        <w:t xml:space="preserve">Scherr </w:t>
      </w:r>
      <w:r w:rsidR="000429F8" w:rsidRPr="009B0448">
        <w:rPr>
          <w:rFonts w:ascii="Times New Roman" w:eastAsia="Times New Roman" w:hAnsi="Times New Roman" w:cs="Times New Roman"/>
          <w:i/>
        </w:rPr>
        <w:t>et al.</w:t>
      </w:r>
      <w:r w:rsidR="00A87033" w:rsidRPr="009B0448">
        <w:rPr>
          <w:rFonts w:ascii="Times New Roman" w:eastAsia="Times New Roman" w:hAnsi="Times New Roman" w:cs="Times New Roman"/>
        </w:rPr>
        <w:t xml:space="preserve">, 2013; Milder </w:t>
      </w:r>
      <w:r w:rsidR="000429F8" w:rsidRPr="009B0448">
        <w:rPr>
          <w:rFonts w:ascii="Times New Roman" w:eastAsia="Times New Roman" w:hAnsi="Times New Roman" w:cs="Times New Roman"/>
          <w:i/>
        </w:rPr>
        <w:t>et al.</w:t>
      </w:r>
      <w:r w:rsidR="00A87033" w:rsidRPr="009B0448">
        <w:rPr>
          <w:rFonts w:ascii="Times New Roman" w:eastAsia="Times New Roman" w:hAnsi="Times New Roman" w:cs="Times New Roman"/>
        </w:rPr>
        <w:t>, 2014; LPFN, 2015</w:t>
      </w:r>
      <w:r w:rsidRPr="009B0448">
        <w:rPr>
          <w:rFonts w:ascii="Times New Roman" w:eastAsia="Times New Roman" w:hAnsi="Times New Roman" w:cs="Times New Roman"/>
        </w:rPr>
        <w:t>). “Integrated landscape management encompasses agriculture, ecosystem services, biodiversity, aesthetic landscape value, cultural identity and recreational values as well as human settlements and resource extraction industries. Networks are emerging, such as International Landcare that support dozens of locally-organised landscape initiativ</w:t>
      </w:r>
      <w:r w:rsidR="00EF276A">
        <w:rPr>
          <w:rFonts w:ascii="Times New Roman" w:eastAsia="Times New Roman" w:hAnsi="Times New Roman" w:cs="Times New Roman"/>
        </w:rPr>
        <w:t>es in Asia and Africa, and the i</w:t>
      </w:r>
      <w:r w:rsidRPr="009B0448">
        <w:rPr>
          <w:rFonts w:ascii="Times New Roman" w:eastAsia="Times New Roman" w:hAnsi="Times New Roman" w:cs="Times New Roman"/>
        </w:rPr>
        <w:t xml:space="preserve">nternational Model Forest Network that supports </w:t>
      </w:r>
      <w:r w:rsidR="000B06FE" w:rsidRPr="009B0448">
        <w:rPr>
          <w:rFonts w:ascii="Times New Roman" w:eastAsia="Times New Roman" w:hAnsi="Times New Roman" w:cs="Times New Roman"/>
        </w:rPr>
        <w:t>long-term</w:t>
      </w:r>
      <w:r w:rsidRPr="009B0448">
        <w:rPr>
          <w:rFonts w:ascii="Times New Roman" w:eastAsia="Times New Roman" w:hAnsi="Times New Roman" w:cs="Times New Roman"/>
        </w:rPr>
        <w:t xml:space="preserve"> multi-stakeholder initiatives in 58 landscapes in the Americas, Africa, Asia and Europe” (Scherr, 2014). </w:t>
      </w:r>
    </w:p>
    <w:p w14:paraId="0FF49A57" w14:textId="77777777" w:rsidR="00FB4B8A" w:rsidRPr="009B0448" w:rsidRDefault="00FB4B8A" w:rsidP="00FB4B8A">
      <w:pPr>
        <w:pBdr>
          <w:top w:val="none" w:sz="0" w:space="0" w:color="000000"/>
          <w:left w:val="none" w:sz="0" w:space="0" w:color="000000"/>
          <w:bottom w:val="none" w:sz="0" w:space="0" w:color="000000"/>
          <w:right w:val="none" w:sz="0" w:space="0" w:color="000000"/>
          <w:between w:val="none" w:sz="0" w:space="0" w:color="000000"/>
        </w:pBdr>
        <w:spacing w:line="276" w:lineRule="auto"/>
        <w:jc w:val="both"/>
        <w:rPr>
          <w:rFonts w:ascii="Times New Roman" w:eastAsia="Times New Roman" w:hAnsi="Times New Roman" w:cs="Times New Roman"/>
        </w:rPr>
      </w:pPr>
    </w:p>
    <w:p w14:paraId="60F09C37" w14:textId="0C3EBE4F" w:rsidR="006B7655" w:rsidRPr="009B0448" w:rsidRDefault="00EF276A" w:rsidP="00FB4B8A">
      <w:pPr>
        <w:pBdr>
          <w:top w:val="none" w:sz="0" w:space="0" w:color="000000"/>
          <w:left w:val="none" w:sz="0" w:space="0" w:color="000000"/>
          <w:bottom w:val="none" w:sz="0" w:space="0" w:color="000000"/>
          <w:right w:val="none" w:sz="0" w:space="0" w:color="000000"/>
          <w:between w:val="none" w:sz="0" w:space="0" w:color="000000"/>
        </w:pBdr>
        <w:spacing w:line="276" w:lineRule="auto"/>
        <w:jc w:val="both"/>
        <w:rPr>
          <w:rFonts w:ascii="Times New Roman" w:eastAsia="Times New Roman" w:hAnsi="Times New Roman" w:cs="Times New Roman"/>
        </w:rPr>
      </w:pPr>
      <w:r>
        <w:rPr>
          <w:rFonts w:ascii="Times New Roman" w:eastAsia="Times New Roman" w:hAnsi="Times New Roman" w:cs="Times New Roman"/>
        </w:rPr>
        <w:t>Examples include multi-objective</w:t>
      </w:r>
      <w:r w:rsidR="00A8466E" w:rsidRPr="009B0448">
        <w:rPr>
          <w:rFonts w:ascii="Times New Roman" w:eastAsia="Times New Roman" w:hAnsi="Times New Roman" w:cs="Times New Roman"/>
        </w:rPr>
        <w:t xml:space="preserve"> landscape restoration in Rwanda, the Great Green Wall initiative in the Sahel, ILM</w:t>
      </w:r>
      <w:r w:rsidR="00D33F51">
        <w:rPr>
          <w:rFonts w:ascii="Times New Roman" w:eastAsia="Times New Roman" w:hAnsi="Times New Roman" w:cs="Times New Roman"/>
        </w:rPr>
        <w:t xml:space="preserve"> in Ethiopia and Kenya, climate-</w:t>
      </w:r>
      <w:r w:rsidR="00A8466E" w:rsidRPr="009B0448">
        <w:rPr>
          <w:rFonts w:ascii="Times New Roman" w:eastAsia="Times New Roman" w:hAnsi="Times New Roman" w:cs="Times New Roman"/>
        </w:rPr>
        <w:t>smart landscape for certified cocoa in Ghana, and Model Forest landscapes in Cameroon, DRC, C</w:t>
      </w:r>
      <w:r w:rsidR="009C38D1" w:rsidRPr="009B0448">
        <w:rPr>
          <w:rFonts w:ascii="Times New Roman" w:eastAsia="Times New Roman" w:hAnsi="Times New Roman" w:cs="Times New Roman"/>
        </w:rPr>
        <w:t xml:space="preserve">entral </w:t>
      </w:r>
      <w:r w:rsidR="00A8466E" w:rsidRPr="009B0448">
        <w:rPr>
          <w:rFonts w:ascii="Times New Roman" w:eastAsia="Times New Roman" w:hAnsi="Times New Roman" w:cs="Times New Roman"/>
        </w:rPr>
        <w:t>A</w:t>
      </w:r>
      <w:r w:rsidR="009C38D1" w:rsidRPr="009B0448">
        <w:rPr>
          <w:rFonts w:ascii="Times New Roman" w:eastAsia="Times New Roman" w:hAnsi="Times New Roman" w:cs="Times New Roman"/>
        </w:rPr>
        <w:t xml:space="preserve">frican </w:t>
      </w:r>
      <w:r w:rsidR="00A8466E" w:rsidRPr="009B0448">
        <w:rPr>
          <w:rFonts w:ascii="Times New Roman" w:eastAsia="Times New Roman" w:hAnsi="Times New Roman" w:cs="Times New Roman"/>
        </w:rPr>
        <w:t>R</w:t>
      </w:r>
      <w:r w:rsidR="009C38D1" w:rsidRPr="009B0448">
        <w:rPr>
          <w:rFonts w:ascii="Times New Roman" w:eastAsia="Times New Roman" w:hAnsi="Times New Roman" w:cs="Times New Roman"/>
        </w:rPr>
        <w:t>epublic</w:t>
      </w:r>
      <w:r w:rsidR="00A8466E" w:rsidRPr="009B0448">
        <w:rPr>
          <w:rFonts w:ascii="Times New Roman" w:eastAsia="Times New Roman" w:hAnsi="Times New Roman" w:cs="Times New Roman"/>
        </w:rPr>
        <w:t>, Congo, Rwanda, Morocco, Tunisia and Algeria (</w:t>
      </w:r>
      <w:r w:rsidR="005C3DFB" w:rsidRPr="009B0448">
        <w:rPr>
          <w:rFonts w:ascii="Times New Roman" w:eastAsia="Times New Roman" w:hAnsi="Times New Roman" w:cs="Times New Roman"/>
        </w:rPr>
        <w:t xml:space="preserve">Milder </w:t>
      </w:r>
      <w:r w:rsidR="000429F8" w:rsidRPr="009B0448">
        <w:rPr>
          <w:rFonts w:ascii="Times New Roman" w:eastAsia="Times New Roman" w:hAnsi="Times New Roman" w:cs="Times New Roman"/>
          <w:i/>
        </w:rPr>
        <w:t>et al.</w:t>
      </w:r>
      <w:r w:rsidR="005C3DFB" w:rsidRPr="009B0448">
        <w:rPr>
          <w:rFonts w:ascii="Times New Roman" w:eastAsia="Times New Roman" w:hAnsi="Times New Roman" w:cs="Times New Roman"/>
        </w:rPr>
        <w:t xml:space="preserve">, 2014; </w:t>
      </w:r>
      <w:r w:rsidR="00640AD3" w:rsidRPr="009B0448">
        <w:rPr>
          <w:rFonts w:ascii="Times New Roman" w:eastAsia="Times New Roman" w:hAnsi="Times New Roman" w:cs="Times New Roman"/>
        </w:rPr>
        <w:t>Diaw, 2015</w:t>
      </w:r>
      <w:r w:rsidR="00A8466E" w:rsidRPr="009B0448">
        <w:rPr>
          <w:rFonts w:ascii="Times New Roman" w:eastAsia="Times New Roman" w:hAnsi="Times New Roman" w:cs="Times New Roman"/>
        </w:rPr>
        <w:t xml:space="preserve">; Kusters, 2015). Inclusive global and regional platforms have been formed to support this process, particularly the Landscape for People, Food and Nature, the Global Partnership for Forest Landscape Restoration and the Global Landscape Forum, The African Landscape Restoration Initiative (AFR100), and the African Union’s Resilient Landscape Initiative. This trend is comforted by the African Landscape Action Plan, endorsed by the AU and several of its programs and </w:t>
      </w:r>
      <w:r w:rsidR="005C3DFB" w:rsidRPr="009B0448">
        <w:rPr>
          <w:rFonts w:ascii="Times New Roman" w:eastAsia="Times New Roman" w:hAnsi="Times New Roman" w:cs="Times New Roman"/>
        </w:rPr>
        <w:t xml:space="preserve">supported by Landscape for People, Food and Nature. </w:t>
      </w:r>
      <w:r w:rsidR="00A8466E" w:rsidRPr="009B0448">
        <w:rPr>
          <w:rFonts w:ascii="Times New Roman" w:eastAsia="Times New Roman" w:hAnsi="Times New Roman" w:cs="Times New Roman"/>
        </w:rPr>
        <w:t>All these development</w:t>
      </w:r>
      <w:r w:rsidR="005C3DFB" w:rsidRPr="009B0448">
        <w:rPr>
          <w:rFonts w:ascii="Times New Roman" w:eastAsia="Times New Roman" w:hAnsi="Times New Roman" w:cs="Times New Roman"/>
        </w:rPr>
        <w:t>s</w:t>
      </w:r>
      <w:r w:rsidR="00A8466E" w:rsidRPr="009B0448">
        <w:rPr>
          <w:rFonts w:ascii="Times New Roman" w:eastAsia="Times New Roman" w:hAnsi="Times New Roman" w:cs="Times New Roman"/>
        </w:rPr>
        <w:t xml:space="preserve"> suggest that landscapes will play an increasingly important role in African countries attempts to reconcile their conservation and restoration interests with the growing demand for demand for food, consumer goods and multiple ecosystem benefits in the region.</w:t>
      </w:r>
    </w:p>
    <w:p w14:paraId="09A5C998" w14:textId="0B9FFE03" w:rsidR="006B7655" w:rsidRPr="009B0448" w:rsidRDefault="00A8466E" w:rsidP="00FA7185">
      <w:pPr>
        <w:pStyle w:val="111"/>
        <w:numPr>
          <w:ilvl w:val="3"/>
          <w:numId w:val="10"/>
        </w:numPr>
        <w:spacing w:before="240" w:after="240"/>
        <w:ind w:left="851" w:hanging="862"/>
        <w:rPr>
          <w:rFonts w:cs="Times New Roman"/>
          <w:sz w:val="22"/>
          <w:szCs w:val="22"/>
        </w:rPr>
      </w:pPr>
      <w:bookmarkStart w:id="42" w:name="_Toc519499791"/>
      <w:r w:rsidRPr="009B0448">
        <w:rPr>
          <w:rFonts w:cs="Times New Roman"/>
          <w:sz w:val="22"/>
          <w:szCs w:val="22"/>
        </w:rPr>
        <w:lastRenderedPageBreak/>
        <w:t>Land tenure and tenure governance</w:t>
      </w:r>
      <w:bookmarkEnd w:id="42"/>
    </w:p>
    <w:p w14:paraId="38337701" w14:textId="3E9715A5" w:rsidR="006B7655" w:rsidRPr="009B0448"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Land tenure is an all-encompassing theme in environmental governance</w:t>
      </w:r>
      <w:r w:rsidR="00C053F2" w:rsidRPr="009B0448">
        <w:rPr>
          <w:rFonts w:ascii="Times New Roman" w:eastAsia="Times New Roman" w:hAnsi="Times New Roman" w:cs="Times New Roman"/>
        </w:rPr>
        <w:t xml:space="preserve"> (see also Chapter 6)</w:t>
      </w:r>
      <w:r w:rsidRPr="009B0448">
        <w:rPr>
          <w:rFonts w:ascii="Times New Roman" w:eastAsia="Times New Roman" w:hAnsi="Times New Roman" w:cs="Times New Roman"/>
        </w:rPr>
        <w:t>. Diaw (2009) makes the case that at the heart of land and governance issues in Africa is the coexistence of, and unresolved tension between blood rights (</w:t>
      </w:r>
      <w:r w:rsidRPr="009B0448">
        <w:rPr>
          <w:rFonts w:ascii="Times New Roman" w:eastAsia="Times New Roman" w:hAnsi="Times New Roman" w:cs="Times New Roman"/>
          <w:i/>
        </w:rPr>
        <w:t>jus sanguinis</w:t>
      </w:r>
      <w:r w:rsidRPr="009B0448">
        <w:rPr>
          <w:rFonts w:ascii="Times New Roman" w:eastAsia="Times New Roman" w:hAnsi="Times New Roman" w:cs="Times New Roman"/>
        </w:rPr>
        <w:t>) and territorially based civil rights (</w:t>
      </w:r>
      <w:r w:rsidRPr="009B0448">
        <w:rPr>
          <w:rFonts w:ascii="Times New Roman" w:eastAsia="Times New Roman" w:hAnsi="Times New Roman" w:cs="Times New Roman"/>
          <w:i/>
        </w:rPr>
        <w:t>jus soli</w:t>
      </w:r>
      <w:r w:rsidRPr="009B0448">
        <w:rPr>
          <w:rFonts w:ascii="Times New Roman" w:eastAsia="Times New Roman" w:hAnsi="Times New Roman" w:cs="Times New Roman"/>
        </w:rPr>
        <w:t>). These are the two predominant forms of government in history (Morgan, 1877). In blood rights, government is exerted through descent groups, while territorially based civil rights are founded on political citizenship and membership in a territory. Thus, community and citizenship continue to coexist in tension as distinct sources of popular legitimacy in Africa. Variants of this tension still exist in other regions, including in the definition of citizenship in the West. The fundamental characteristic of tenure, as an expression of this tension in Africa, is legal pluralism, the continued coexistence of customary tenure alongside statutory tenure regimes inherited from British, French, Portuguese and Spanish colonialism.</w:t>
      </w:r>
    </w:p>
    <w:p w14:paraId="43703E51" w14:textId="77777777" w:rsidR="006B7655" w:rsidRPr="009B0448" w:rsidRDefault="00A8466E" w:rsidP="00FA7185">
      <w:pPr>
        <w:pStyle w:val="111"/>
        <w:numPr>
          <w:ilvl w:val="4"/>
          <w:numId w:val="10"/>
        </w:numPr>
        <w:spacing w:before="240" w:after="240"/>
        <w:ind w:left="851" w:hanging="862"/>
        <w:rPr>
          <w:rFonts w:cs="Times New Roman"/>
          <w:b w:val="0"/>
          <w:sz w:val="22"/>
          <w:szCs w:val="22"/>
        </w:rPr>
      </w:pPr>
      <w:bookmarkStart w:id="43" w:name="_Toc519499792"/>
      <w:r w:rsidRPr="009B0448">
        <w:rPr>
          <w:rFonts w:cs="Times New Roman"/>
          <w:b w:val="0"/>
          <w:sz w:val="22"/>
          <w:szCs w:val="22"/>
        </w:rPr>
        <w:t>The persistence of customary tenure</w:t>
      </w:r>
      <w:bookmarkEnd w:id="43"/>
    </w:p>
    <w:p w14:paraId="391E9637" w14:textId="0DA09659" w:rsidR="006B7655" w:rsidRPr="009B0448"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Colonialism introduced new dimensions of land ownership that denied pre-existing communal land rights in order to impose the sovereignty of the colonial state and the essential supremacy of private property and title (Mamdani, 1996; Berry, 1993). According to Diaw </w:t>
      </w:r>
      <w:r w:rsidR="000429F8" w:rsidRPr="009B0448">
        <w:rPr>
          <w:rFonts w:ascii="Times New Roman" w:eastAsia="Times New Roman" w:hAnsi="Times New Roman" w:cs="Times New Roman"/>
          <w:i/>
        </w:rPr>
        <w:t>et al.</w:t>
      </w:r>
      <w:r w:rsidR="005C3DFB" w:rsidRPr="009B0448">
        <w:rPr>
          <w:rFonts w:ascii="Times New Roman" w:eastAsia="Times New Roman" w:hAnsi="Times New Roman" w:cs="Times New Roman"/>
        </w:rPr>
        <w:t>,</w:t>
      </w:r>
      <w:r w:rsidRPr="009B0448">
        <w:rPr>
          <w:rFonts w:ascii="Times New Roman" w:eastAsia="Times New Roman" w:hAnsi="Times New Roman" w:cs="Times New Roman"/>
        </w:rPr>
        <w:t xml:space="preserve"> (1998) a major paradox of the African land tenure nationalism in the 1960s and 1970s is its origin in colonial tenure policies. In Francophone Africa, the national domain laws made the state the manager or guardian (e.g.</w:t>
      </w:r>
      <w:r w:rsidR="00E24BC5">
        <w:rPr>
          <w:rFonts w:ascii="Times New Roman" w:eastAsia="Times New Roman" w:hAnsi="Times New Roman" w:cs="Times New Roman"/>
        </w:rPr>
        <w:t>,</w:t>
      </w:r>
      <w:r w:rsidR="00D47F8F">
        <w:rPr>
          <w:rFonts w:ascii="Times New Roman" w:eastAsia="Times New Roman" w:hAnsi="Times New Roman" w:cs="Times New Roman"/>
        </w:rPr>
        <w:t xml:space="preserve"> Côte d’Ivoire, Sene</w:t>
      </w:r>
      <w:r w:rsidRPr="009B0448">
        <w:rPr>
          <w:rFonts w:ascii="Times New Roman" w:eastAsia="Times New Roman" w:hAnsi="Times New Roman" w:cs="Times New Roman"/>
        </w:rPr>
        <w:t>gal, Mali, former Haute Volta, Madagascar, Cameroon) or the owner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Guinea, Mauritania, former Zaïre) of the national estate. They sought to reduce the communal bases of African tenure in order to “detribalize” the system (Melone, 1972) and build the nation-state. A few countries, such as Kenya, and to a lesser extent, Uganda, developed strong </w:t>
      </w:r>
      <w:r w:rsidR="00264EBF" w:rsidRPr="009B0448">
        <w:rPr>
          <w:rFonts w:ascii="Times New Roman" w:eastAsia="Times New Roman" w:hAnsi="Times New Roman" w:cs="Times New Roman"/>
        </w:rPr>
        <w:t>privatis</w:t>
      </w:r>
      <w:r w:rsidRPr="009B0448">
        <w:rPr>
          <w:rFonts w:ascii="Times New Roman" w:eastAsia="Times New Roman" w:hAnsi="Times New Roman" w:cs="Times New Roman"/>
        </w:rPr>
        <w:t xml:space="preserve">ation programs while others, such as Tanzania and Ethiopia, attempted to replace customary tenure with sweeping villagization and land-to-the-tiller reforms (Bruce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1998). Other countries, such as Ghana and Sierra Leone, did </w:t>
      </w:r>
      <w:r w:rsidR="00264EBF" w:rsidRPr="009B0448">
        <w:rPr>
          <w:rFonts w:ascii="Times New Roman" w:eastAsia="Times New Roman" w:hAnsi="Times New Roman" w:cs="Times New Roman"/>
        </w:rPr>
        <w:t>recognis</w:t>
      </w:r>
      <w:r w:rsidRPr="009B0448">
        <w:rPr>
          <w:rFonts w:ascii="Times New Roman" w:eastAsia="Times New Roman" w:hAnsi="Times New Roman" w:cs="Times New Roman"/>
        </w:rPr>
        <w:t xml:space="preserve">e customary authority through a dual system of land administration under state guardianship. Overall, a dual, unequal and hierarchical system of land tenure was inherited, with freehold and leasehold being treated as superior to customary land rights (Shivji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1998).</w:t>
      </w:r>
    </w:p>
    <w:p w14:paraId="18B3A475" w14:textId="77777777" w:rsidR="00FB4B8A" w:rsidRPr="009B0448" w:rsidRDefault="00FB4B8A" w:rsidP="00FB4B8A">
      <w:pPr>
        <w:spacing w:line="276" w:lineRule="auto"/>
        <w:jc w:val="both"/>
        <w:rPr>
          <w:rFonts w:ascii="Times New Roman" w:eastAsia="Times New Roman" w:hAnsi="Times New Roman" w:cs="Times New Roman"/>
        </w:rPr>
      </w:pPr>
    </w:p>
    <w:p w14:paraId="657593A5" w14:textId="622E7A53" w:rsidR="00B37440" w:rsidRDefault="00A8466E" w:rsidP="00FB4B8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As a whole, these policies failed to achieve the anticipated dissolution of customary tenure (Diaw, 2005). Rather, tenure tradition continues to coevolve with statutory laws, getting more complex as they intertwine over</w:t>
      </w:r>
      <w:r w:rsidR="00D33F51">
        <w:rPr>
          <w:rFonts w:ascii="Times New Roman" w:eastAsia="Times New Roman" w:hAnsi="Times New Roman" w:cs="Times New Roman"/>
        </w:rPr>
        <w:t xml:space="preserve"> </w:t>
      </w:r>
      <w:r w:rsidRPr="009B0448">
        <w:rPr>
          <w:rFonts w:ascii="Times New Roman" w:eastAsia="Times New Roman" w:hAnsi="Times New Roman" w:cs="Times New Roman"/>
        </w:rPr>
        <w:t>time, eroding in some places, emerging anew in others, and eluding both theoretical predictions and reform planners. Until the lat</w:t>
      </w:r>
      <w:r w:rsidR="00D33F51">
        <w:rPr>
          <w:rFonts w:ascii="Times New Roman" w:eastAsia="Times New Roman" w:hAnsi="Times New Roman" w:cs="Times New Roman"/>
        </w:rPr>
        <w:t>e 1990s, customary or community-</w:t>
      </w:r>
      <w:r w:rsidRPr="009B0448">
        <w:rPr>
          <w:rFonts w:ascii="Times New Roman" w:eastAsia="Times New Roman" w:hAnsi="Times New Roman" w:cs="Times New Roman"/>
        </w:rPr>
        <w:t xml:space="preserve">based tenure was found </w:t>
      </w:r>
      <w:r w:rsidR="00D33F51">
        <w:rPr>
          <w:rFonts w:ascii="Times New Roman" w:eastAsia="Times New Roman" w:hAnsi="Times New Roman" w:cs="Times New Roman"/>
        </w:rPr>
        <w:t>to be the ‘</w:t>
      </w:r>
      <w:r w:rsidRPr="009B0448">
        <w:rPr>
          <w:rFonts w:ascii="Times New Roman" w:eastAsia="Times New Roman" w:hAnsi="Times New Roman" w:cs="Times New Roman"/>
        </w:rPr>
        <w:t>de facto dominant tenure type</w:t>
      </w:r>
      <w:r w:rsidR="00D33F51">
        <w:rPr>
          <w:rFonts w:ascii="Times New Roman" w:eastAsia="Times New Roman" w:hAnsi="Times New Roman" w:cs="Times New Roman"/>
        </w:rPr>
        <w:t>’</w:t>
      </w:r>
      <w:r w:rsidRPr="009B0448">
        <w:rPr>
          <w:rFonts w:ascii="Times New Roman" w:eastAsia="Times New Roman" w:hAnsi="Times New Roman" w:cs="Times New Roman"/>
        </w:rPr>
        <w:t xml:space="preserve"> in virtually all of </w:t>
      </w:r>
      <w:r w:rsidR="009C38D1" w:rsidRPr="009B0448">
        <w:rPr>
          <w:rFonts w:ascii="Times New Roman" w:eastAsia="Times New Roman" w:hAnsi="Times New Roman" w:cs="Times New Roman"/>
        </w:rPr>
        <w:t>s</w:t>
      </w:r>
      <w:r w:rsidRPr="009B0448">
        <w:rPr>
          <w:rFonts w:ascii="Times New Roman" w:eastAsia="Times New Roman" w:hAnsi="Times New Roman" w:cs="Times New Roman"/>
        </w:rPr>
        <w:t xml:space="preserve">ub-Saharan Africa with the exception of Cape Verde, South Africa and Namibia (Bruce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1998). In Kenya, it was found to be co-dominant with private ownership, despite one of the most aggressive, long-standing </w:t>
      </w:r>
      <w:r w:rsidR="00264EBF" w:rsidRPr="009B0448">
        <w:rPr>
          <w:rFonts w:ascii="Times New Roman" w:eastAsia="Times New Roman" w:hAnsi="Times New Roman" w:cs="Times New Roman"/>
        </w:rPr>
        <w:t>privatis</w:t>
      </w:r>
      <w:r w:rsidRPr="009B0448">
        <w:rPr>
          <w:rFonts w:ascii="Times New Roman" w:eastAsia="Times New Roman" w:hAnsi="Times New Roman" w:cs="Times New Roman"/>
        </w:rPr>
        <w:t xml:space="preserve">ation program on the continent. The same was true of Senegal, whose </w:t>
      </w:r>
      <w:r w:rsidR="00264EBF" w:rsidRPr="009B0448">
        <w:rPr>
          <w:rFonts w:ascii="Times New Roman" w:eastAsia="Times New Roman" w:hAnsi="Times New Roman" w:cs="Times New Roman"/>
        </w:rPr>
        <w:t>privatis</w:t>
      </w:r>
      <w:r w:rsidRPr="009B0448">
        <w:rPr>
          <w:rFonts w:ascii="Times New Roman" w:eastAsia="Times New Roman" w:hAnsi="Times New Roman" w:cs="Times New Roman"/>
        </w:rPr>
        <w:t xml:space="preserve">ation scheme went as far back as the 1830s (Diaw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1998). The extraordinary resilience of customary tenure is a direct consequence of its “embedded” nature, that is, the way it nests private rights into the commons and collective property, and then into marriage and descent (Diaw, 1997, 2005; Agbosu, 2000). Failure to understand this blocked many attempts to change customary tenure, and the resulting legal pluralism—“the presence in a social field of more than one legal order” (Griffiths, 1986) still endures.</w:t>
      </w:r>
    </w:p>
    <w:p w14:paraId="314FEC71" w14:textId="21CAE54F" w:rsidR="006B7655" w:rsidRPr="009B0448" w:rsidRDefault="00B37440" w:rsidP="00B37440">
      <w:pPr>
        <w:rPr>
          <w:rFonts w:ascii="Times New Roman" w:eastAsia="Times New Roman" w:hAnsi="Times New Roman" w:cs="Times New Roman"/>
        </w:rPr>
      </w:pPr>
      <w:r>
        <w:rPr>
          <w:rFonts w:ascii="Times New Roman" w:eastAsia="Times New Roman" w:hAnsi="Times New Roman" w:cs="Times New Roman"/>
        </w:rPr>
        <w:br w:type="page"/>
      </w:r>
    </w:p>
    <w:p w14:paraId="327739EE" w14:textId="77777777" w:rsidR="006B7655" w:rsidRPr="009B0448" w:rsidRDefault="00A8466E" w:rsidP="00FA7185">
      <w:pPr>
        <w:pStyle w:val="111"/>
        <w:numPr>
          <w:ilvl w:val="4"/>
          <w:numId w:val="10"/>
        </w:numPr>
        <w:spacing w:before="240" w:after="240"/>
        <w:ind w:left="851" w:hanging="862"/>
        <w:rPr>
          <w:rFonts w:cs="Times New Roman"/>
          <w:b w:val="0"/>
          <w:sz w:val="22"/>
          <w:szCs w:val="22"/>
        </w:rPr>
      </w:pPr>
      <w:bookmarkStart w:id="44" w:name="_Toc519499793"/>
      <w:r w:rsidRPr="009B0448">
        <w:rPr>
          <w:rFonts w:cs="Times New Roman"/>
          <w:b w:val="0"/>
          <w:sz w:val="22"/>
          <w:szCs w:val="22"/>
        </w:rPr>
        <w:lastRenderedPageBreak/>
        <w:t>Africa’s adaptations to legal pluralism</w:t>
      </w:r>
      <w:bookmarkEnd w:id="44"/>
    </w:p>
    <w:p w14:paraId="57A2B771" w14:textId="62B91A30"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Replacement policies have now given way to “recognition that land policies and laws must build on local practice, and that there is no ‘blueprint’ approach that can be successfully applied to different contexts and cultures” (Buchanan-Smith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The African adaptation to legal pluralism took many forms, alongside continuous exercise by the State of its sovereignty over the national domain through the granting of land-related concessions, the facilitation of private land acquisition schemes or occasional expropriation of communal lands for purpose of public interest. Hilhorst, (2010) notes “a general shift towards some form of legal recognition of customary rights”, as countries review their land policies and legislation to secure smallholders’ rights, while making land available to investors and encouraging productive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Buchanan-Smith </w:t>
      </w:r>
      <w:r w:rsidR="000429F8" w:rsidRPr="009B0448">
        <w:rPr>
          <w:rFonts w:ascii="Times New Roman" w:eastAsia="Times New Roman" w:hAnsi="Times New Roman" w:cs="Times New Roman"/>
          <w:i/>
        </w:rPr>
        <w:t>et al.</w:t>
      </w:r>
      <w:r w:rsidR="00D33F51">
        <w:rPr>
          <w:rFonts w:ascii="Times New Roman" w:eastAsia="Times New Roman" w:hAnsi="Times New Roman" w:cs="Times New Roman"/>
        </w:rPr>
        <w:t xml:space="preserve"> (2013) cite</w:t>
      </w:r>
      <w:r w:rsidRPr="009B0448">
        <w:rPr>
          <w:rFonts w:ascii="Times New Roman" w:eastAsia="Times New Roman" w:hAnsi="Times New Roman" w:cs="Times New Roman"/>
        </w:rPr>
        <w:t xml:space="preserve"> the Kenya Land Policy of 2007 as an interesting example of how statutory frameworks and legislation can </w:t>
      </w:r>
      <w:r w:rsidR="00264EBF" w:rsidRPr="009B0448">
        <w:rPr>
          <w:rFonts w:ascii="Times New Roman" w:eastAsia="Times New Roman" w:hAnsi="Times New Roman" w:cs="Times New Roman"/>
        </w:rPr>
        <w:t>recognis</w:t>
      </w:r>
      <w:r w:rsidRPr="009B0448">
        <w:rPr>
          <w:rFonts w:ascii="Times New Roman" w:eastAsia="Times New Roman" w:hAnsi="Times New Roman" w:cs="Times New Roman"/>
        </w:rPr>
        <w:t>e and protect customary rights. The policy also makes unusual provision to secure pastoralist land rights and livelihoods.</w:t>
      </w:r>
    </w:p>
    <w:p w14:paraId="6656F5C9" w14:textId="77777777" w:rsidR="0033312D" w:rsidRPr="009B0448" w:rsidRDefault="0033312D" w:rsidP="0033312D">
      <w:pPr>
        <w:spacing w:line="276" w:lineRule="auto"/>
        <w:jc w:val="both"/>
        <w:rPr>
          <w:rFonts w:ascii="Times New Roman" w:eastAsia="Times New Roman" w:hAnsi="Times New Roman" w:cs="Times New Roman"/>
        </w:rPr>
      </w:pPr>
    </w:p>
    <w:p w14:paraId="18644C22" w14:textId="69D44A78"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order to deal with critical land administration issues, a number of countries have developed systems for the inventory and registration of local land rights. This is the case in Madagascar, as well as Ivory Coast, Benin and Burkina Faso with their ‘</w:t>
      </w:r>
      <w:r w:rsidRPr="009B0448">
        <w:rPr>
          <w:rFonts w:ascii="Times New Roman" w:eastAsia="Times New Roman" w:hAnsi="Times New Roman" w:cs="Times New Roman"/>
          <w:i/>
        </w:rPr>
        <w:t>plans fonciers ruraux</w:t>
      </w:r>
      <w:r w:rsidRPr="009B0448">
        <w:rPr>
          <w:rFonts w:ascii="Times New Roman" w:eastAsia="Times New Roman" w:hAnsi="Times New Roman" w:cs="Times New Roman"/>
        </w:rPr>
        <w:t>’ and Burundi with the ‘</w:t>
      </w:r>
      <w:r w:rsidRPr="009B0448">
        <w:rPr>
          <w:rFonts w:ascii="Times New Roman" w:eastAsia="Times New Roman" w:hAnsi="Times New Roman" w:cs="Times New Roman"/>
          <w:i/>
        </w:rPr>
        <w:t>guichet foncier</w:t>
      </w:r>
      <w:r w:rsidRPr="009B0448">
        <w:rPr>
          <w:rFonts w:ascii="Times New Roman" w:eastAsia="Times New Roman" w:hAnsi="Times New Roman" w:cs="Times New Roman"/>
        </w:rPr>
        <w:t xml:space="preserve">’. All countries established local committees for rights inventories and to mark boundaries, register land, record transactions, safeguard deeds and mediate land conflicts. In most countries, customary authorities are encouraged to become members or to collaborate with these committees. Examples of such committees are the Land Administration Committee (LAC) in Ethiopia at the </w:t>
      </w:r>
      <w:r w:rsidRPr="009B0448">
        <w:rPr>
          <w:rFonts w:ascii="Times New Roman" w:eastAsia="Times New Roman" w:hAnsi="Times New Roman" w:cs="Times New Roman"/>
          <w:i/>
        </w:rPr>
        <w:t>kebele</w:t>
      </w:r>
      <w:r w:rsidRPr="009B0448">
        <w:rPr>
          <w:rFonts w:ascii="Times New Roman" w:eastAsia="Times New Roman" w:hAnsi="Times New Roman" w:cs="Times New Roman"/>
        </w:rPr>
        <w:t xml:space="preserve"> (ward) level, the </w:t>
      </w:r>
      <w:r w:rsidRPr="009B0448">
        <w:rPr>
          <w:rFonts w:ascii="Times New Roman" w:eastAsia="Times New Roman" w:hAnsi="Times New Roman" w:cs="Times New Roman"/>
          <w:i/>
        </w:rPr>
        <w:t>commissions foncières</w:t>
      </w:r>
      <w:r w:rsidRPr="009B0448">
        <w:rPr>
          <w:rFonts w:ascii="Times New Roman" w:eastAsia="Times New Roman" w:hAnsi="Times New Roman" w:cs="Times New Roman"/>
        </w:rPr>
        <w:t xml:space="preserve"> at </w:t>
      </w:r>
      <w:r w:rsidR="00D33F51">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village level in Niger, the </w:t>
      </w:r>
      <w:r w:rsidRPr="009B0448">
        <w:rPr>
          <w:rFonts w:ascii="Times New Roman" w:eastAsia="Times New Roman" w:hAnsi="Times New Roman" w:cs="Times New Roman"/>
          <w:i/>
        </w:rPr>
        <w:t>commission de reconnaissance locale</w:t>
      </w:r>
      <w:r w:rsidRPr="009B0448">
        <w:rPr>
          <w:rFonts w:ascii="Times New Roman" w:eastAsia="Times New Roman" w:hAnsi="Times New Roman" w:cs="Times New Roman"/>
        </w:rPr>
        <w:t xml:space="preserve"> in Madagascar and the land adjudication committees (cell level land committees and sector level land committees) in Rwanda. Ensuring that women are part of these committees has proven to be important for equity in Ethiopia (Hilhorst, 2010). Land administration approaches also vary only slightly from one country to another. In Burkina Faso, there is an inventory of prevailing rights, followed by registration. Ethiopia and Niger follow registration with </w:t>
      </w:r>
      <w:r w:rsidR="00D33F51">
        <w:rPr>
          <w:rFonts w:ascii="Times New Roman" w:eastAsia="Times New Roman" w:hAnsi="Times New Roman" w:cs="Times New Roman"/>
        </w:rPr>
        <w:t xml:space="preserve">the </w:t>
      </w:r>
      <w:r w:rsidRPr="009B0448">
        <w:rPr>
          <w:rFonts w:ascii="Times New Roman" w:eastAsia="Times New Roman" w:hAnsi="Times New Roman" w:cs="Times New Roman"/>
        </w:rPr>
        <w:t>issuance of a certificate, while Rwanda adds a light form of surveying. Some countries only register at the request of individuals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Madagascar, Burundi), communities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Benin, Niger) or if suggested by local governments (Niger). Land information archives are kept locally at the village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Tanzania, Malawi), or local government level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Burkina Faso, Ethiopia) or may be fed into a nationwide database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Madagascar). Hilhorst (2010) notes, however, that the linkage “between these ‘new land policies’ and existing legislation concerning forests, grazing lands, fisheries and other natural resour</w:t>
      </w:r>
      <w:r w:rsidR="00D33F51">
        <w:rPr>
          <w:rFonts w:ascii="Times New Roman" w:eastAsia="Times New Roman" w:hAnsi="Times New Roman" w:cs="Times New Roman"/>
        </w:rPr>
        <w:t>ces, or legislation related to ‘</w:t>
      </w:r>
      <w:r w:rsidRPr="009B0448">
        <w:rPr>
          <w:rFonts w:ascii="Times New Roman" w:eastAsia="Times New Roman" w:hAnsi="Times New Roman" w:cs="Times New Roman"/>
        </w:rPr>
        <w:t>community</w:t>
      </w:r>
      <w:r w:rsidR="00D33F51">
        <w:rPr>
          <w:rFonts w:ascii="Times New Roman" w:eastAsia="Times New Roman" w:hAnsi="Times New Roman" w:cs="Times New Roman"/>
        </w:rPr>
        <w:t>-</w:t>
      </w:r>
      <w:r w:rsidRPr="009B0448">
        <w:rPr>
          <w:rFonts w:ascii="Times New Roman" w:eastAsia="Times New Roman" w:hAnsi="Times New Roman" w:cs="Times New Roman"/>
        </w:rPr>
        <w:t>based natural resource management</w:t>
      </w:r>
      <w:r w:rsidR="00D33F51">
        <w:rPr>
          <w:rFonts w:ascii="Times New Roman" w:eastAsia="Times New Roman" w:hAnsi="Times New Roman" w:cs="Times New Roman"/>
        </w:rPr>
        <w:t>’</w:t>
      </w:r>
      <w:r w:rsidRPr="009B0448">
        <w:rPr>
          <w:rFonts w:ascii="Times New Roman" w:eastAsia="Times New Roman" w:hAnsi="Times New Roman" w:cs="Times New Roman"/>
        </w:rPr>
        <w:t>, is often missing”. It may be up to local governments or integrated platforms such as the ones found in ILM to bring together these various strands of legislation, policy and practice.</w:t>
      </w:r>
    </w:p>
    <w:p w14:paraId="5AC98546" w14:textId="11C47002" w:rsidR="006B7655" w:rsidRPr="009B0448" w:rsidRDefault="00A8466E" w:rsidP="00FA7185">
      <w:pPr>
        <w:pStyle w:val="111"/>
        <w:numPr>
          <w:ilvl w:val="3"/>
          <w:numId w:val="10"/>
        </w:numPr>
        <w:spacing w:before="240" w:after="240"/>
        <w:ind w:left="851" w:hanging="862"/>
        <w:rPr>
          <w:rFonts w:cs="Times New Roman"/>
          <w:sz w:val="22"/>
          <w:szCs w:val="22"/>
        </w:rPr>
      </w:pPr>
      <w:bookmarkStart w:id="45" w:name="_Toc519499794"/>
      <w:r w:rsidRPr="009B0448">
        <w:rPr>
          <w:rFonts w:cs="Times New Roman"/>
          <w:sz w:val="22"/>
          <w:szCs w:val="22"/>
        </w:rPr>
        <w:t>Policy frameworks and guidelines on tenure governance</w:t>
      </w:r>
      <w:bookmarkEnd w:id="45"/>
    </w:p>
    <w:p w14:paraId="000AAEDE" w14:textId="5C190077"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Today, land tenure and land governance remain challenging areas of work throughout the continent. For instance, s</w:t>
      </w:r>
      <w:r w:rsidRPr="009B0448">
        <w:rPr>
          <w:rFonts w:ascii="Times New Roman" w:eastAsia="Times New Roman" w:hAnsi="Times New Roman" w:cs="Times New Roman"/>
          <w:color w:val="212121"/>
        </w:rPr>
        <w:t>ince the early 2000’s, Africa has been experiencing an unprecedented wave of large-scale land acquisitions, t</w:t>
      </w:r>
      <w:r w:rsidR="005C3DFB" w:rsidRPr="009B0448">
        <w:rPr>
          <w:rFonts w:ascii="Times New Roman" w:eastAsia="Times New Roman" w:hAnsi="Times New Roman" w:cs="Times New Roman"/>
          <w:color w:val="212121"/>
        </w:rPr>
        <w:t>he largest on the planet (Carmody, 2011; UNECA, 2013; Nolte</w:t>
      </w:r>
      <w:r w:rsidRPr="009B0448">
        <w:rPr>
          <w:rFonts w:ascii="Times New Roman" w:eastAsia="Times New Roman" w:hAnsi="Times New Roman" w:cs="Times New Roman"/>
          <w:color w:val="212121"/>
        </w:rPr>
        <w:t xml:space="preserve"> </w:t>
      </w:r>
      <w:r w:rsidR="000429F8" w:rsidRPr="009B0448">
        <w:rPr>
          <w:rFonts w:ascii="Times New Roman" w:eastAsia="Times New Roman" w:hAnsi="Times New Roman" w:cs="Times New Roman"/>
          <w:i/>
          <w:color w:val="212121"/>
        </w:rPr>
        <w:t>et al.</w:t>
      </w:r>
      <w:r w:rsidRPr="009B0448">
        <w:rPr>
          <w:rFonts w:ascii="Times New Roman" w:eastAsia="Times New Roman" w:hAnsi="Times New Roman" w:cs="Times New Roman"/>
          <w:color w:val="212121"/>
        </w:rPr>
        <w:t>, 2016). Countries such as South Sudan, Sudan, DR</w:t>
      </w:r>
      <w:r w:rsidR="009C38D1" w:rsidRPr="009B0448">
        <w:rPr>
          <w:rFonts w:ascii="Times New Roman" w:eastAsia="Times New Roman" w:hAnsi="Times New Roman" w:cs="Times New Roman"/>
          <w:color w:val="212121"/>
        </w:rPr>
        <w:t>C</w:t>
      </w:r>
      <w:r w:rsidRPr="009B0448">
        <w:rPr>
          <w:rFonts w:ascii="Times New Roman" w:eastAsia="Times New Roman" w:hAnsi="Times New Roman" w:cs="Times New Roman"/>
          <w:color w:val="212121"/>
        </w:rPr>
        <w:t>, Liberia and Guinea are at the forefront of these developments spurred largely by foreign investments. To date, Africa has a recorded a total of 422 operations, expected to cover some 35 million hectares for a range of purposes related to food and non-food agricultural commodities, such as biofuels and livestock. It has been pointed out that these developments could result in the destruction of vast natural habitats across Africa and the dep</w:t>
      </w:r>
      <w:r w:rsidR="00C053F2" w:rsidRPr="009B0448">
        <w:rPr>
          <w:rFonts w:ascii="Times New Roman" w:eastAsia="Times New Roman" w:hAnsi="Times New Roman" w:cs="Times New Roman"/>
          <w:color w:val="212121"/>
        </w:rPr>
        <w:t xml:space="preserve">letion of </w:t>
      </w:r>
      <w:r w:rsidR="00C053F2" w:rsidRPr="009B0448">
        <w:rPr>
          <w:rFonts w:ascii="Times New Roman" w:eastAsia="Times New Roman" w:hAnsi="Times New Roman" w:cs="Times New Roman"/>
          <w:color w:val="212121"/>
        </w:rPr>
        <w:lastRenderedPageBreak/>
        <w:t xml:space="preserve">biodiversity (Lee </w:t>
      </w:r>
      <w:r w:rsidR="000429F8" w:rsidRPr="009B0448">
        <w:rPr>
          <w:rFonts w:ascii="Times New Roman" w:eastAsia="Times New Roman" w:hAnsi="Times New Roman" w:cs="Times New Roman"/>
          <w:i/>
          <w:color w:val="212121"/>
        </w:rPr>
        <w:t>et al.</w:t>
      </w:r>
      <w:r w:rsidR="00C053F2" w:rsidRPr="009B0448">
        <w:rPr>
          <w:rFonts w:ascii="Times New Roman" w:eastAsia="Times New Roman" w:hAnsi="Times New Roman" w:cs="Times New Roman"/>
          <w:color w:val="212121"/>
        </w:rPr>
        <w:t>, 2011; Senelwa</w:t>
      </w:r>
      <w:r w:rsidRPr="009B0448">
        <w:rPr>
          <w:rFonts w:ascii="Times New Roman" w:eastAsia="Times New Roman" w:hAnsi="Times New Roman" w:cs="Times New Roman"/>
          <w:color w:val="212121"/>
        </w:rPr>
        <w:t xml:space="preserve"> </w:t>
      </w:r>
      <w:r w:rsidR="000429F8" w:rsidRPr="009B0448">
        <w:rPr>
          <w:rFonts w:ascii="Times New Roman" w:eastAsia="Times New Roman" w:hAnsi="Times New Roman" w:cs="Times New Roman"/>
          <w:i/>
          <w:color w:val="212121"/>
        </w:rPr>
        <w:t>et al.</w:t>
      </w:r>
      <w:r w:rsidRPr="009B0448">
        <w:rPr>
          <w:rFonts w:ascii="Times New Roman" w:eastAsia="Times New Roman" w:hAnsi="Times New Roman" w:cs="Times New Roman"/>
          <w:color w:val="212121"/>
        </w:rPr>
        <w:t xml:space="preserve">, 2012) as well as the dislocation of the rights of local communities (Oyono, 2013). </w:t>
      </w:r>
      <w:r w:rsidRPr="009B0448">
        <w:rPr>
          <w:rFonts w:ascii="Times New Roman" w:eastAsia="Times New Roman" w:hAnsi="Times New Roman" w:cs="Times New Roman"/>
        </w:rPr>
        <w:t>Thus, a number of regional and international frameworks and guidelines have emerged over</w:t>
      </w:r>
      <w:r w:rsidR="00D33F51">
        <w:rPr>
          <w:rFonts w:ascii="Times New Roman" w:eastAsia="Times New Roman" w:hAnsi="Times New Roman" w:cs="Times New Roman"/>
        </w:rPr>
        <w:t xml:space="preserve"> </w:t>
      </w:r>
      <w:r w:rsidRPr="009B0448">
        <w:rPr>
          <w:rFonts w:ascii="Times New Roman" w:eastAsia="Times New Roman" w:hAnsi="Times New Roman" w:cs="Times New Roman"/>
        </w:rPr>
        <w:t xml:space="preserve">time to help deal with issues such as state and foreign investments, land grabbing, agricultural growth model, or indigenous people and local communities’ rights. </w:t>
      </w:r>
    </w:p>
    <w:p w14:paraId="552EB2C2" w14:textId="77777777" w:rsidR="0033312D" w:rsidRPr="009B0448" w:rsidRDefault="0033312D" w:rsidP="0033312D">
      <w:pPr>
        <w:spacing w:line="276" w:lineRule="auto"/>
        <w:jc w:val="both"/>
        <w:rPr>
          <w:rFonts w:ascii="Times New Roman" w:eastAsia="Times New Roman" w:hAnsi="Times New Roman" w:cs="Times New Roman"/>
          <w:color w:val="212121"/>
        </w:rPr>
      </w:pPr>
    </w:p>
    <w:p w14:paraId="091D026F" w14:textId="34020175"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Land Policy Initiative, jointly established in 2006 by the AU Commission, the United Nations Economic Commission for Africa and the African Development Bank, has been instrumental in producing a Framework and Guidelines on Land Policy in Africa, which was adopted in 2009 by African Heads of State and Government through an AU Declaration on Land Issues and Challenges in Africa. In 2006, a process of consultation and negotiation involving 190 governments was also begun at Porto Alegre, Brazil, with civil society and private sector groups. This ultimately led, on 11 May 2012, to the adoption of the VGGT</w:t>
      </w:r>
      <w:r w:rsidR="005C3DFB" w:rsidRPr="009B0448">
        <w:rPr>
          <w:rFonts w:ascii="Times New Roman" w:eastAsia="Times New Roman" w:hAnsi="Times New Roman" w:cs="Times New Roman"/>
        </w:rPr>
        <w:t>—</w:t>
      </w:r>
      <w:r w:rsidRPr="009B0448">
        <w:rPr>
          <w:rFonts w:ascii="Times New Roman" w:eastAsia="Times New Roman" w:hAnsi="Times New Roman" w:cs="Times New Roman"/>
        </w:rPr>
        <w:t>t</w:t>
      </w:r>
      <w:r w:rsidR="00D33F51">
        <w:rPr>
          <w:rFonts w:ascii="Times New Roman" w:eastAsia="Times New Roman" w:hAnsi="Times New Roman" w:cs="Times New Roman"/>
        </w:rPr>
        <w:t>he Voluntary Guidelines on the R</w:t>
      </w:r>
      <w:r w:rsidRPr="009B0448">
        <w:rPr>
          <w:rFonts w:ascii="Times New Roman" w:eastAsia="Times New Roman" w:hAnsi="Times New Roman" w:cs="Times New Roman"/>
        </w:rPr>
        <w:t>esponsible Governance of Tenure for land, fisheries and forests in the context of national food security</w:t>
      </w:r>
      <w:r w:rsidR="005C3DFB" w:rsidRPr="009B0448">
        <w:rPr>
          <w:rFonts w:ascii="Times New Roman" w:eastAsia="Times New Roman" w:hAnsi="Times New Roman" w:cs="Times New Roman"/>
        </w:rPr>
        <w:t>—</w:t>
      </w:r>
      <w:r w:rsidRPr="009B0448">
        <w:rPr>
          <w:rFonts w:ascii="Times New Roman" w:eastAsia="Times New Roman" w:hAnsi="Times New Roman" w:cs="Times New Roman"/>
        </w:rPr>
        <w:t xml:space="preserve">by the Committee on World Food Security. These frameworks, supplemented by a host of other guidelines, </w:t>
      </w:r>
      <w:r w:rsidR="00FC4906" w:rsidRPr="009B0448">
        <w:rPr>
          <w:rFonts w:ascii="Times New Roman" w:eastAsia="Times New Roman" w:hAnsi="Times New Roman" w:cs="Times New Roman"/>
        </w:rPr>
        <w:t>for example,</w:t>
      </w:r>
      <w:r w:rsidRPr="009B0448">
        <w:rPr>
          <w:rFonts w:ascii="Times New Roman" w:eastAsia="Times New Roman" w:hAnsi="Times New Roman" w:cs="Times New Roman"/>
        </w:rPr>
        <w:t xml:space="preserve"> on the Right to Food, Responsible Agricultural Investments, Transparency and Disclosure, and Large-scale Land Acquisitions and Investments, hold much in common. They </w:t>
      </w:r>
      <w:r w:rsidR="00264EBF" w:rsidRPr="009B0448">
        <w:rPr>
          <w:rFonts w:ascii="Times New Roman" w:eastAsia="Times New Roman" w:hAnsi="Times New Roman" w:cs="Times New Roman"/>
        </w:rPr>
        <w:t>emphasis</w:t>
      </w:r>
      <w:r w:rsidRPr="009B0448">
        <w:rPr>
          <w:rFonts w:ascii="Times New Roman" w:eastAsia="Times New Roman" w:hAnsi="Times New Roman" w:cs="Times New Roman"/>
        </w:rPr>
        <w:t xml:space="preserve">e inclusiveness, participation and a multi-sector approach to land governance, reflecting lessons learnt from decades of work on land tenure and natural resources governance (Hall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2016).</w:t>
      </w:r>
    </w:p>
    <w:p w14:paraId="7C8F51B0" w14:textId="77777777" w:rsidR="0033312D" w:rsidRPr="009B0448" w:rsidRDefault="0033312D" w:rsidP="0033312D">
      <w:pPr>
        <w:spacing w:line="276" w:lineRule="auto"/>
        <w:jc w:val="both"/>
        <w:rPr>
          <w:rFonts w:ascii="Times New Roman" w:eastAsia="Times New Roman" w:hAnsi="Times New Roman" w:cs="Times New Roman"/>
        </w:rPr>
      </w:pPr>
    </w:p>
    <w:p w14:paraId="71CF47DF" w14:textId="4BFEB707" w:rsidR="005C3DFB"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w:t>
      </w:r>
      <w:r w:rsidR="004C733D" w:rsidRPr="009B0448">
        <w:rPr>
          <w:rFonts w:ascii="Times New Roman" w:eastAsia="Times New Roman" w:hAnsi="Times New Roman" w:cs="Times New Roman"/>
        </w:rPr>
        <w:t>UK Department for International Development’s</w:t>
      </w:r>
      <w:r w:rsidRPr="009B0448">
        <w:rPr>
          <w:rFonts w:ascii="Times New Roman" w:eastAsia="Times New Roman" w:hAnsi="Times New Roman" w:cs="Times New Roman"/>
        </w:rPr>
        <w:t xml:space="preserve"> </w:t>
      </w:r>
      <w:r w:rsidR="004C733D" w:rsidRPr="009B0448">
        <w:rPr>
          <w:rFonts w:ascii="Times New Roman" w:eastAsia="Times New Roman" w:hAnsi="Times New Roman" w:cs="Times New Roman"/>
        </w:rPr>
        <w:t>LEGEND (Land: Enhancing Governance for Economic Development)</w:t>
      </w:r>
      <w:r w:rsidRPr="009B0448">
        <w:rPr>
          <w:rFonts w:ascii="Times New Roman" w:eastAsia="Times New Roman" w:hAnsi="Times New Roman" w:cs="Times New Roman"/>
        </w:rPr>
        <w:t xml:space="preserve"> project very recently published a State of the Debate Report on </w:t>
      </w:r>
      <w:r w:rsidR="00D33F51">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implementation of the VGGT (Hall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The report notes the similarity of principles and complementarities between existing frameworks and the World Bank’s land governance analysis framework. It also identified several initiatives operating at pan African and country levels, including the </w:t>
      </w:r>
      <w:r w:rsidR="00370A6B" w:rsidRPr="009B0448">
        <w:rPr>
          <w:rFonts w:ascii="Times New Roman" w:eastAsia="Times New Roman" w:hAnsi="Times New Roman" w:cs="Times New Roman"/>
        </w:rPr>
        <w:t>New Partnership for Africa's Development (</w:t>
      </w:r>
      <w:r w:rsidRPr="009B0448">
        <w:rPr>
          <w:rFonts w:ascii="Times New Roman" w:eastAsia="Times New Roman" w:hAnsi="Times New Roman" w:cs="Times New Roman"/>
        </w:rPr>
        <w:t>NEPAD</w:t>
      </w:r>
      <w:r w:rsidR="00370A6B" w:rsidRPr="009B0448">
        <w:rPr>
          <w:rFonts w:ascii="Times New Roman" w:eastAsia="Times New Roman" w:hAnsi="Times New Roman" w:cs="Times New Roman"/>
        </w:rPr>
        <w:t>)</w:t>
      </w:r>
      <w:r w:rsidRPr="009B0448">
        <w:rPr>
          <w:rFonts w:ascii="Times New Roman" w:eastAsia="Times New Roman" w:hAnsi="Times New Roman" w:cs="Times New Roman"/>
        </w:rPr>
        <w:t>/</w:t>
      </w:r>
      <w:r w:rsidR="00370A6B" w:rsidRPr="009B0448">
        <w:rPr>
          <w:rFonts w:ascii="Times New Roman" w:eastAsia="Times New Roman" w:hAnsi="Times New Roman" w:cs="Times New Roman"/>
        </w:rPr>
        <w:t>Comprehensive Africa Agriculture Development Programme’s</w:t>
      </w:r>
      <w:r w:rsidRPr="009B0448">
        <w:rPr>
          <w:rFonts w:ascii="Times New Roman" w:eastAsia="Times New Roman" w:hAnsi="Times New Roman" w:cs="Times New Roman"/>
        </w:rPr>
        <w:t xml:space="preserve"> joint Land Governance Program supported by the EU and a few initiatives using the World Bank’s set of 27 land indicators to assess progress towards VGGT compliance. This framework “has now been implemented in 33 countries, with another 11 currently using it” (Hall </w:t>
      </w:r>
      <w:r w:rsidR="000429F8" w:rsidRPr="009B0448">
        <w:rPr>
          <w:rFonts w:ascii="Times New Roman" w:eastAsia="Times New Roman" w:hAnsi="Times New Roman" w:cs="Times New Roman"/>
          <w:i/>
        </w:rPr>
        <w:t>et al.</w:t>
      </w:r>
      <w:r w:rsidR="005C3DFB" w:rsidRPr="009B0448">
        <w:rPr>
          <w:rFonts w:ascii="Times New Roman" w:eastAsia="Times New Roman" w:hAnsi="Times New Roman" w:cs="Times New Roman"/>
        </w:rPr>
        <w:t xml:space="preserve">, </w:t>
      </w:r>
      <w:r w:rsidRPr="009B0448">
        <w:rPr>
          <w:rFonts w:ascii="Times New Roman" w:eastAsia="Times New Roman" w:hAnsi="Times New Roman" w:cs="Times New Roman"/>
        </w:rPr>
        <w:t xml:space="preserve">2016). The report also notes the land partnerships established in 2013 by G7 countries in Africa with the purpose of accelerating implementation of the VGGT in eight pilot countries: Burkina Faso, Ethiopia, Niger, Nigeria, Senegal, Sierra Leone, South Sudan and Tanzania. </w:t>
      </w:r>
    </w:p>
    <w:p w14:paraId="50DFBE72" w14:textId="77777777" w:rsidR="0033312D" w:rsidRPr="009B0448" w:rsidRDefault="0033312D" w:rsidP="0033312D">
      <w:pPr>
        <w:spacing w:line="276" w:lineRule="auto"/>
        <w:jc w:val="both"/>
        <w:rPr>
          <w:rFonts w:ascii="Times New Roman" w:eastAsia="Times New Roman" w:hAnsi="Times New Roman" w:cs="Times New Roman"/>
        </w:rPr>
      </w:pPr>
    </w:p>
    <w:p w14:paraId="67E8B0C0" w14:textId="3CE0F0A7"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Finally, a number of international and national NGOs are involved in separate campaigns for land rights and land justice. Some have built relationships with multinational companies and assist them in </w:t>
      </w:r>
      <w:r w:rsidR="00F13B9C" w:rsidRPr="009B0448">
        <w:rPr>
          <w:rFonts w:ascii="Times New Roman" w:eastAsia="Times New Roman" w:hAnsi="Times New Roman" w:cs="Times New Roman"/>
        </w:rPr>
        <w:t>operationalis</w:t>
      </w:r>
      <w:r w:rsidRPr="009B0448">
        <w:rPr>
          <w:rFonts w:ascii="Times New Roman" w:eastAsia="Times New Roman" w:hAnsi="Times New Roman" w:cs="Times New Roman"/>
        </w:rPr>
        <w:t>ing the VGGT in their business operations and supply chains. Others work with communities to protect and defend customary land rights, and cover topics such as mapping and boundary agreement, community land governance rules and protecting land in investment negotiations. For instance, Namati, a global movement of grassroots legal advocates,</w:t>
      </w:r>
      <w:r w:rsidRPr="009B0448">
        <w:rPr>
          <w:rFonts w:ascii="Times New Roman" w:eastAsia="Times New Roman" w:hAnsi="Times New Roman" w:cs="Times New Roman"/>
          <w:b/>
        </w:rPr>
        <w:t xml:space="preserve"> </w:t>
      </w:r>
      <w:r w:rsidRPr="009B0448">
        <w:rPr>
          <w:rFonts w:ascii="Times New Roman" w:eastAsia="Times New Roman" w:hAnsi="Times New Roman" w:cs="Times New Roman"/>
        </w:rPr>
        <w:t xml:space="preserve">with partners in Liberia, Mozambique and Uganda, works on the impacts of the registration of community land rights. As an alternative to individual titling, community registration of rights presents a model that is arguably more suited to forms of customary tenure (Hall </w:t>
      </w:r>
      <w:r w:rsidR="000429F8" w:rsidRPr="009B0448">
        <w:rPr>
          <w:rFonts w:ascii="Times New Roman" w:eastAsia="Times New Roman" w:hAnsi="Times New Roman" w:cs="Times New Roman"/>
          <w:i/>
        </w:rPr>
        <w:t>et al.</w:t>
      </w:r>
      <w:r w:rsidR="005C3DFB" w:rsidRPr="009B0448">
        <w:rPr>
          <w:rFonts w:ascii="Times New Roman" w:eastAsia="Times New Roman" w:hAnsi="Times New Roman" w:cs="Times New Roman"/>
        </w:rPr>
        <w:t>,</w:t>
      </w:r>
      <w:r w:rsidRPr="009B0448">
        <w:rPr>
          <w:rFonts w:ascii="Times New Roman" w:eastAsia="Times New Roman" w:hAnsi="Times New Roman" w:cs="Times New Roman"/>
        </w:rPr>
        <w:t xml:space="preserve"> 2016).</w:t>
      </w:r>
    </w:p>
    <w:p w14:paraId="64D1997A" w14:textId="72C9D2EE" w:rsidR="006B7655" w:rsidRPr="009B0448" w:rsidRDefault="00A8466E" w:rsidP="00FA7185">
      <w:pPr>
        <w:pStyle w:val="111"/>
        <w:numPr>
          <w:ilvl w:val="3"/>
          <w:numId w:val="10"/>
        </w:numPr>
        <w:spacing w:before="240" w:after="240"/>
        <w:ind w:left="851" w:hanging="862"/>
        <w:rPr>
          <w:rFonts w:cs="Times New Roman"/>
          <w:sz w:val="22"/>
          <w:szCs w:val="22"/>
        </w:rPr>
      </w:pPr>
      <w:bookmarkStart w:id="46" w:name="_Toc519499795"/>
      <w:r w:rsidRPr="009B0448">
        <w:rPr>
          <w:rFonts w:cs="Times New Roman"/>
          <w:sz w:val="22"/>
          <w:szCs w:val="22"/>
        </w:rPr>
        <w:t>Conflicts, peace and security</w:t>
      </w:r>
      <w:bookmarkEnd w:id="46"/>
    </w:p>
    <w:p w14:paraId="26585F00" w14:textId="20937887" w:rsidR="006B7655" w:rsidRPr="009B0448" w:rsidRDefault="00946AEF"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Allocation, distribution and access to ecosystems services have been shown to play a key role in a broad range of different types of conflicts in Africa. Tenure, governance and poverty have played key roles in conflicts that spil</w:t>
      </w:r>
      <w:r w:rsidR="00C03E3C">
        <w:rPr>
          <w:rFonts w:ascii="Times New Roman" w:eastAsia="Times New Roman" w:hAnsi="Times New Roman" w:cs="Times New Roman"/>
        </w:rPr>
        <w:t xml:space="preserve">t </w:t>
      </w:r>
      <w:r w:rsidRPr="009B0448">
        <w:rPr>
          <w:rFonts w:ascii="Times New Roman" w:eastAsia="Times New Roman" w:hAnsi="Times New Roman" w:cs="Times New Roman"/>
        </w:rPr>
        <w:t xml:space="preserve">into devastating civil wars and armed confrontations in many parts of the continent. </w:t>
      </w:r>
      <w:r w:rsidR="00A8466E" w:rsidRPr="009B0448">
        <w:rPr>
          <w:rFonts w:ascii="Times New Roman" w:eastAsia="Times New Roman" w:hAnsi="Times New Roman" w:cs="Times New Roman"/>
        </w:rPr>
        <w:t xml:space="preserve">Collier </w:t>
      </w:r>
      <w:r w:rsidR="000429F8" w:rsidRPr="009B0448">
        <w:rPr>
          <w:rFonts w:ascii="Times New Roman" w:eastAsia="Times New Roman" w:hAnsi="Times New Roman" w:cs="Times New Roman"/>
          <w:i/>
        </w:rPr>
        <w:t>et al.</w:t>
      </w:r>
      <w:r w:rsidR="00136147" w:rsidRPr="009B0448">
        <w:rPr>
          <w:rFonts w:ascii="Times New Roman" w:eastAsia="Times New Roman" w:hAnsi="Times New Roman" w:cs="Times New Roman"/>
        </w:rPr>
        <w:t>’s</w:t>
      </w:r>
      <w:r w:rsidR="00A8466E" w:rsidRPr="009B0448">
        <w:rPr>
          <w:rFonts w:ascii="Times New Roman" w:eastAsia="Times New Roman" w:hAnsi="Times New Roman" w:cs="Times New Roman"/>
        </w:rPr>
        <w:t xml:space="preserve"> (2000) econometric model of civil war identifies two possible motives for such an </w:t>
      </w:r>
      <w:r w:rsidR="00A8466E" w:rsidRPr="009B0448">
        <w:rPr>
          <w:rFonts w:ascii="Times New Roman" w:eastAsia="Times New Roman" w:hAnsi="Times New Roman" w:cs="Times New Roman"/>
        </w:rPr>
        <w:lastRenderedPageBreak/>
        <w:t xml:space="preserve">aforementioned occurrence: greed or </w:t>
      </w:r>
      <w:r w:rsidR="00C03E3C">
        <w:rPr>
          <w:rFonts w:ascii="Times New Roman" w:eastAsia="Times New Roman" w:hAnsi="Times New Roman" w:cs="Times New Roman"/>
          <w:i/>
        </w:rPr>
        <w:t>loot-</w:t>
      </w:r>
      <w:r w:rsidR="00A8466E" w:rsidRPr="009B0448">
        <w:rPr>
          <w:rFonts w:ascii="Times New Roman" w:eastAsia="Times New Roman" w:hAnsi="Times New Roman" w:cs="Times New Roman"/>
          <w:i/>
        </w:rPr>
        <w:t>seeking</w:t>
      </w:r>
      <w:r w:rsidR="00A8466E" w:rsidRPr="009B0448">
        <w:rPr>
          <w:rFonts w:ascii="Times New Roman" w:eastAsia="Times New Roman" w:hAnsi="Times New Roman" w:cs="Times New Roman"/>
        </w:rPr>
        <w:t xml:space="preserve">, and grievance or </w:t>
      </w:r>
      <w:r w:rsidR="00C03E3C">
        <w:rPr>
          <w:rFonts w:ascii="Times New Roman" w:eastAsia="Times New Roman" w:hAnsi="Times New Roman" w:cs="Times New Roman"/>
          <w:i/>
        </w:rPr>
        <w:t>justice-</w:t>
      </w:r>
      <w:r w:rsidR="00A8466E" w:rsidRPr="009B0448">
        <w:rPr>
          <w:rFonts w:ascii="Times New Roman" w:eastAsia="Times New Roman" w:hAnsi="Times New Roman" w:cs="Times New Roman"/>
          <w:i/>
        </w:rPr>
        <w:t>seeking</w:t>
      </w:r>
      <w:r w:rsidR="00A8466E" w:rsidRPr="009B0448">
        <w:rPr>
          <w:rFonts w:ascii="Times New Roman" w:eastAsia="Times New Roman" w:hAnsi="Times New Roman" w:cs="Times New Roman"/>
        </w:rPr>
        <w:t xml:space="preserve">. Applying it to the African situation, they found that, on average over the period 1965–99, Africa had an incidence of conflict similar to that in other developing regions. The continent had, however, a very different structure of risk, essentially because of deteriorating economic performances. Their analysis suggests that the rising trend of African conflicts was not due to deep problems in the African social structure but to an atypically poor economic performance. Other contributing factors included the historical context, the existence of grievances and of large groups willing to engage in rebellion, and the availability of finance to meet payroll and buy weapons. Although Collier’s greed-based theory has been </w:t>
      </w:r>
      <w:r w:rsidR="00F13B9C" w:rsidRPr="009B0448">
        <w:rPr>
          <w:rFonts w:ascii="Times New Roman" w:eastAsia="Times New Roman" w:hAnsi="Times New Roman" w:cs="Times New Roman"/>
        </w:rPr>
        <w:t>criticis</w:t>
      </w:r>
      <w:r w:rsidR="00A8466E" w:rsidRPr="009B0448">
        <w:rPr>
          <w:rFonts w:ascii="Times New Roman" w:eastAsia="Times New Roman" w:hAnsi="Times New Roman" w:cs="Times New Roman"/>
        </w:rPr>
        <w:t>ed for reductionism (Sambanis, 2004</w:t>
      </w:r>
      <w:r w:rsidR="00C37A13" w:rsidRPr="009B0448">
        <w:rPr>
          <w:rFonts w:ascii="Times New Roman" w:eastAsia="Times New Roman" w:hAnsi="Times New Roman" w:cs="Times New Roman"/>
        </w:rPr>
        <w:t>;</w:t>
      </w:r>
      <w:r w:rsidR="00A8466E" w:rsidRPr="009B0448">
        <w:rPr>
          <w:rFonts w:ascii="Times New Roman" w:eastAsia="Times New Roman" w:hAnsi="Times New Roman" w:cs="Times New Roman"/>
        </w:rPr>
        <w:t xml:space="preserve"> Bensted, 2011), such factors were indeed prominent, for instance, in the Sierra Leone rebellion and civil war. </w:t>
      </w:r>
    </w:p>
    <w:p w14:paraId="3196EDF4" w14:textId="77777777" w:rsidR="0033312D" w:rsidRPr="009B0448" w:rsidRDefault="0033312D" w:rsidP="0033312D">
      <w:pPr>
        <w:spacing w:line="276" w:lineRule="auto"/>
        <w:jc w:val="both"/>
        <w:rPr>
          <w:rFonts w:ascii="Times New Roman" w:eastAsia="Times New Roman" w:hAnsi="Times New Roman" w:cs="Times New Roman"/>
        </w:rPr>
      </w:pPr>
    </w:p>
    <w:p w14:paraId="27415C51" w14:textId="5539A913"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interrelationship between </w:t>
      </w:r>
      <w:r w:rsidR="005C3DFB" w:rsidRPr="009B0448">
        <w:rPr>
          <w:rFonts w:ascii="Times New Roman" w:eastAsia="Times New Roman" w:hAnsi="Times New Roman" w:cs="Times New Roman"/>
        </w:rPr>
        <w:t>biodiversity and ecosystem services</w:t>
      </w:r>
      <w:r w:rsidRPr="009B0448">
        <w:rPr>
          <w:rFonts w:ascii="Times New Roman" w:eastAsia="Times New Roman" w:hAnsi="Times New Roman" w:cs="Times New Roman"/>
        </w:rPr>
        <w:t xml:space="preserve">, natural resources and conflict is dynamic and multifaceted. Not all conflicts are violent and not all violent conflicts are carried out with weapons. Similarly, security does not necessarily require armed intervention. Therefore, in discussing conflict and security in the context of BES governance, this analysis takes into account three critical levels that need to be differentiated: (i) causal dynamics in the rise of conflicts that can spill over into violence and armed confrontation, including climate change; (ii) the impact of conflicts on </w:t>
      </w:r>
      <w:r w:rsidR="005C3DFB" w:rsidRPr="009B0448">
        <w:rPr>
          <w:rFonts w:ascii="Times New Roman" w:eastAsia="Times New Roman" w:hAnsi="Times New Roman" w:cs="Times New Roman"/>
        </w:rPr>
        <w:t>biodiversity and ecosystem services</w:t>
      </w:r>
      <w:r w:rsidRPr="009B0448">
        <w:rPr>
          <w:rFonts w:ascii="Times New Roman" w:eastAsia="Times New Roman" w:hAnsi="Times New Roman" w:cs="Times New Roman"/>
        </w:rPr>
        <w:t xml:space="preserve"> and socioeconomic conditions; (iii) the governance configurations needed to facilitate security and peace</w:t>
      </w:r>
      <w:r w:rsidR="00C03E3C">
        <w:rPr>
          <w:rFonts w:ascii="Times New Roman" w:eastAsia="Times New Roman" w:hAnsi="Times New Roman" w:cs="Times New Roman"/>
        </w:rPr>
        <w:t>-</w:t>
      </w:r>
      <w:r w:rsidRPr="009B0448">
        <w:rPr>
          <w:rFonts w:ascii="Times New Roman" w:eastAsia="Times New Roman" w:hAnsi="Times New Roman" w:cs="Times New Roman"/>
        </w:rPr>
        <w:t>building.</w:t>
      </w:r>
    </w:p>
    <w:p w14:paraId="5D2D4772" w14:textId="77777777" w:rsidR="006B7655" w:rsidRPr="009B0448" w:rsidRDefault="00A8466E" w:rsidP="00FA7185">
      <w:pPr>
        <w:pStyle w:val="111"/>
        <w:numPr>
          <w:ilvl w:val="4"/>
          <w:numId w:val="10"/>
        </w:numPr>
        <w:spacing w:before="240" w:after="240"/>
        <w:ind w:left="851" w:hanging="862"/>
        <w:rPr>
          <w:rFonts w:cs="Times New Roman"/>
          <w:b w:val="0"/>
          <w:sz w:val="22"/>
          <w:szCs w:val="22"/>
        </w:rPr>
      </w:pPr>
      <w:bookmarkStart w:id="47" w:name="_Toc519499796"/>
      <w:r w:rsidRPr="009B0448">
        <w:rPr>
          <w:rFonts w:cs="Times New Roman"/>
          <w:b w:val="0"/>
          <w:sz w:val="22"/>
          <w:szCs w:val="22"/>
        </w:rPr>
        <w:t>The rise of conflict and violent confrontation</w:t>
      </w:r>
      <w:bookmarkEnd w:id="47"/>
    </w:p>
    <w:p w14:paraId="7905B7A4" w14:textId="1671F5A0"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drive to access natural resources may be a major cause of direct conflict, and yet it is entwined with the complex interactions of other factors, such as ethnic identity, tensions, and other historical, social, economic, legal and political factors operating at local, national and international levels (Onyige, 2011</w:t>
      </w:r>
      <w:r w:rsidR="00A910F5" w:rsidRPr="009B0448">
        <w:rPr>
          <w:rFonts w:ascii="Times New Roman" w:eastAsia="Times New Roman" w:hAnsi="Times New Roman" w:cs="Times New Roman"/>
        </w:rPr>
        <w:t>; also see Chapter 4</w:t>
      </w:r>
      <w:r w:rsidRPr="009B0448">
        <w:rPr>
          <w:rFonts w:ascii="Times New Roman" w:eastAsia="Times New Roman" w:hAnsi="Times New Roman" w:cs="Times New Roman"/>
        </w:rPr>
        <w:t xml:space="preserve">). When not equally and evenly distributed, the allocation and distribution of, and access to ecosystems services and natural resources build up at multiple levels for a broad field of grievance and greed to gain sufficient ground to transition to armed confrontation. The new security risk driven by climate change further complicates the problem by bringing about environmental and human security variables not taken into account by Collier </w:t>
      </w:r>
      <w:r w:rsidR="000429F8" w:rsidRPr="009B0448">
        <w:rPr>
          <w:rFonts w:ascii="Times New Roman" w:eastAsia="Times New Roman" w:hAnsi="Times New Roman" w:cs="Times New Roman"/>
          <w:i/>
        </w:rPr>
        <w:t>et al.</w:t>
      </w:r>
      <w:r w:rsidR="005C3DFB" w:rsidRPr="009B0448">
        <w:rPr>
          <w:rFonts w:ascii="Times New Roman" w:eastAsia="Times New Roman" w:hAnsi="Times New Roman" w:cs="Times New Roman"/>
        </w:rPr>
        <w:t>’s</w:t>
      </w:r>
      <w:r w:rsidRPr="009B0448">
        <w:rPr>
          <w:rFonts w:ascii="Times New Roman" w:eastAsia="Times New Roman" w:hAnsi="Times New Roman" w:cs="Times New Roman"/>
        </w:rPr>
        <w:t xml:space="preserve"> (2000) model, which posits that armed conflicts are caused by combatants’ desire for self-enrichment. </w:t>
      </w:r>
    </w:p>
    <w:p w14:paraId="37C51800" w14:textId="77777777" w:rsidR="0033312D" w:rsidRPr="009B0448" w:rsidRDefault="0033312D" w:rsidP="0033312D">
      <w:pPr>
        <w:spacing w:line="276" w:lineRule="auto"/>
        <w:jc w:val="both"/>
        <w:rPr>
          <w:rFonts w:ascii="Times New Roman" w:eastAsia="Times New Roman" w:hAnsi="Times New Roman" w:cs="Times New Roman"/>
        </w:rPr>
      </w:pPr>
    </w:p>
    <w:p w14:paraId="4EC5883C" w14:textId="56C9ABE7"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 recent study (Larcom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2016) has shown that “local institutions inherited from the pre</w:t>
      </w:r>
      <w:r w:rsidR="00C03E3C">
        <w:rPr>
          <w:rFonts w:ascii="Times New Roman" w:eastAsia="Times New Roman" w:hAnsi="Times New Roman" w:cs="Times New Roman"/>
        </w:rPr>
        <w:t>-</w:t>
      </w:r>
      <w:r w:rsidRPr="009B0448">
        <w:rPr>
          <w:rFonts w:ascii="Times New Roman" w:eastAsia="Times New Roman" w:hAnsi="Times New Roman" w:cs="Times New Roman"/>
        </w:rPr>
        <w:t xml:space="preserve">colonial era continue to play an important role in natural resource governance in Africa”. Land disputes around customary land rights have been a causal factor in the majority of conflicts in Africa since the 1990s. Wily (2009) reports that only in three out of 30-plus conflicts were customary land rights disputes, not “a fundamental grievance driving people to war and emerging out of war as a concrete target of remedy”. Unruh (2008) shows that land issues were a significant source of the overall conflict in Sierra Leone. The debilitation of customary and formal land institutions, as mentioned earlier, was a major cause of rural </w:t>
      </w:r>
      <w:r w:rsidR="00F13B9C" w:rsidRPr="009B0448">
        <w:rPr>
          <w:rFonts w:ascii="Times New Roman" w:eastAsia="Times New Roman" w:hAnsi="Times New Roman" w:cs="Times New Roman"/>
        </w:rPr>
        <w:t>marginalis</w:t>
      </w:r>
      <w:r w:rsidRPr="009B0448">
        <w:rPr>
          <w:rFonts w:ascii="Times New Roman" w:eastAsia="Times New Roman" w:hAnsi="Times New Roman" w:cs="Times New Roman"/>
        </w:rPr>
        <w:t xml:space="preserve">ation, disenfranchisement, and poverty, all of which led to pronounced discontent. Large numbers of poor and unstable rural youth were ‘spun off’ from village society because of control exercised by village elders over land and marriage”. In some areas of the country, land problems were so acute that joining the rebels sometimes led to the opportunity to take lands by force. In fact, land problems contributed to the eruption or exacerbation of conflicts in all the Mano River countries (Sierra Leone, Guinea, </w:t>
      </w:r>
      <w:r w:rsidR="00370A6B" w:rsidRPr="009B0448">
        <w:rPr>
          <w:rFonts w:ascii="Times New Roman" w:eastAsia="Times New Roman" w:hAnsi="Times New Roman" w:cs="Times New Roman"/>
        </w:rPr>
        <w:t>and Liberia</w:t>
      </w:r>
      <w:r w:rsidRPr="009B0448">
        <w:rPr>
          <w:rFonts w:ascii="Times New Roman" w:eastAsia="Times New Roman" w:hAnsi="Times New Roman" w:cs="Times New Roman"/>
        </w:rPr>
        <w:t>) as well as in Côte d’Ivoire. “The chieftaincy system was one of the primary contributors to the war due to longstanding and common abuses</w:t>
      </w:r>
      <w:r w:rsidR="00C03E3C">
        <w:rPr>
          <w:rFonts w:ascii="Times New Roman" w:eastAsia="Times New Roman" w:hAnsi="Times New Roman" w:cs="Times New Roman"/>
        </w:rPr>
        <w:t>,</w:t>
      </w:r>
      <w:r w:rsidRPr="009B0448">
        <w:rPr>
          <w:rFonts w:ascii="Times New Roman" w:eastAsia="Times New Roman" w:hAnsi="Times New Roman" w:cs="Times New Roman"/>
        </w:rPr>
        <w:t xml:space="preserve"> particularly regarding land issues. As a result, some of the worst violence was focused on certain leadership </w:t>
      </w:r>
      <w:r w:rsidRPr="009B0448">
        <w:rPr>
          <w:rFonts w:ascii="Times New Roman" w:eastAsia="Times New Roman" w:hAnsi="Times New Roman" w:cs="Times New Roman"/>
        </w:rPr>
        <w:lastRenderedPageBreak/>
        <w:t>elements in the customary system, and many chiefs were targeted by the Revolutionary United Front and fled for the safety of Freetown, the capital, or abroad”.</w:t>
      </w:r>
    </w:p>
    <w:p w14:paraId="14A37999" w14:textId="77777777" w:rsidR="0033312D" w:rsidRPr="009B0448" w:rsidRDefault="0033312D" w:rsidP="0033312D">
      <w:pPr>
        <w:spacing w:line="276" w:lineRule="auto"/>
        <w:jc w:val="both"/>
        <w:rPr>
          <w:rFonts w:ascii="Times New Roman" w:eastAsia="Times New Roman" w:hAnsi="Times New Roman" w:cs="Times New Roman"/>
        </w:rPr>
      </w:pPr>
    </w:p>
    <w:p w14:paraId="57F990D1" w14:textId="77848916"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a 2012 paper (Adano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the Institute for Security Studies elaborates on a wide range of conditions that make climate change a major potential security threat for Africa. This owes in particular to a combination of severe climate-related impacts on economies that are highly climate-dependent and countries that currently have the least capacity to adapt. </w:t>
      </w:r>
      <w:r w:rsidR="005C3DFB" w:rsidRPr="009B0448">
        <w:rPr>
          <w:rFonts w:ascii="Times New Roman" w:eastAsia="Times New Roman" w:hAnsi="Times New Roman" w:cs="Times New Roman"/>
        </w:rPr>
        <w:t>The Institute for Security Studies</w:t>
      </w:r>
      <w:r w:rsidRPr="009B0448">
        <w:rPr>
          <w:rFonts w:ascii="Times New Roman" w:eastAsia="Times New Roman" w:hAnsi="Times New Roman" w:cs="Times New Roman"/>
        </w:rPr>
        <w:t xml:space="preserve"> notes that spatial and temporal changes in rainfall patterns and frequent droughts make the survivability of African pastoralists in arid environments, in certain areas, particularly difficult. This may be exacerbated by competition over access to pasture and water, livestock raiding and the widespread use of sophisticated firearms. This is</w:t>
      </w:r>
      <w:r w:rsidR="00EB597B" w:rsidRPr="009B0448">
        <w:rPr>
          <w:rFonts w:ascii="Times New Roman" w:eastAsia="Times New Roman" w:hAnsi="Times New Roman" w:cs="Times New Roman"/>
        </w:rPr>
        <w:t>, in part,</w:t>
      </w:r>
      <w:r w:rsidRPr="009B0448">
        <w:rPr>
          <w:rFonts w:ascii="Times New Roman" w:eastAsia="Times New Roman" w:hAnsi="Times New Roman" w:cs="Times New Roman"/>
        </w:rPr>
        <w:t xml:space="preserve"> exacerbating clashes between herders and farmers in the Sahel, fighting in the Oromia and Ogaden regions of Ethiopia and violent conflicts in northern Nigeria, Sudan and Kenya. Because security concerns are higher with the coming of the rains than during the drought, pastoral conflicts point at the strong role institutional governance can play in facilitating resource access and resource sharing to prevent and mitigate these factors of conflict.</w:t>
      </w:r>
    </w:p>
    <w:p w14:paraId="0F03682F" w14:textId="77777777" w:rsidR="0033312D" w:rsidRPr="009B0448" w:rsidRDefault="0033312D" w:rsidP="0033312D">
      <w:pPr>
        <w:spacing w:line="276" w:lineRule="auto"/>
        <w:jc w:val="both"/>
        <w:rPr>
          <w:rFonts w:ascii="Times New Roman" w:hAnsi="Times New Roman" w:cs="Times New Roman"/>
        </w:rPr>
      </w:pPr>
    </w:p>
    <w:p w14:paraId="1C35746D" w14:textId="07592BA6"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Outside arid regions, the Albertine Rift in the DRC, one of the most biodiverse, ecologically unique regions of Africa, is also in a constant struggle to end an on-going civil war. Its abundance in mineral resources has sadly contributed to this region being “the center of some of the world’s most devastating conflicts in recent history. This turbulent context can [thus] be both the seed of conflict and the foundation for peace-building and ensuing development”</w:t>
      </w:r>
      <w:r w:rsidR="00714902" w:rsidRPr="009B0448">
        <w:rPr>
          <w:rFonts w:ascii="Times New Roman" w:eastAsia="Times New Roman" w:hAnsi="Times New Roman" w:cs="Times New Roman"/>
        </w:rPr>
        <w:t xml:space="preserve"> (Adano </w:t>
      </w:r>
      <w:r w:rsidR="000429F8" w:rsidRPr="009B0448">
        <w:rPr>
          <w:rFonts w:ascii="Times New Roman" w:eastAsia="Times New Roman" w:hAnsi="Times New Roman" w:cs="Times New Roman"/>
          <w:i/>
        </w:rPr>
        <w:t>et al.</w:t>
      </w:r>
      <w:r w:rsidR="00714902" w:rsidRPr="009B0448">
        <w:rPr>
          <w:rFonts w:ascii="Times New Roman" w:eastAsia="Times New Roman" w:hAnsi="Times New Roman" w:cs="Times New Roman"/>
        </w:rPr>
        <w:t>, 2012</w:t>
      </w:r>
      <w:r w:rsidR="00EF2AC0" w:rsidRPr="009B0448">
        <w:rPr>
          <w:rFonts w:ascii="Times New Roman" w:eastAsia="Times New Roman" w:hAnsi="Times New Roman" w:cs="Times New Roman"/>
        </w:rPr>
        <w:t>, p3.</w:t>
      </w:r>
      <w:r w:rsidR="005C3DFB" w:rsidRPr="009B0448">
        <w:rPr>
          <w:rFonts w:ascii="Times New Roman" w:eastAsia="Times New Roman" w:hAnsi="Times New Roman" w:cs="Times New Roman"/>
        </w:rPr>
        <w:t>)</w:t>
      </w:r>
      <w:r w:rsidRPr="009B0448">
        <w:rPr>
          <w:rFonts w:ascii="Times New Roman" w:eastAsia="Times New Roman" w:hAnsi="Times New Roman" w:cs="Times New Roman"/>
        </w:rPr>
        <w:t xml:space="preserve">. Thus, Africa, with its history of ethnic, natural resource and interstate conflicts, is seen as being particularly vulnerable to the new climate-induced security threat. “Despite being the continent least responsible for the emission of global greenhouse gases, one of the principal contributors to climate change, it will suffer the consequences of a changing climate most severely. Climate change is today being recast as a security threat, rather than being just an environmental issue” (Adano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2012</w:t>
      </w:r>
      <w:r w:rsidR="00EF2AC0" w:rsidRPr="009B0448">
        <w:rPr>
          <w:rFonts w:ascii="Times New Roman" w:eastAsia="Times New Roman" w:hAnsi="Times New Roman" w:cs="Times New Roman"/>
        </w:rPr>
        <w:t>, p.1</w:t>
      </w:r>
      <w:r w:rsidRPr="009B0448">
        <w:rPr>
          <w:rFonts w:ascii="Times New Roman" w:eastAsia="Times New Roman" w:hAnsi="Times New Roman" w:cs="Times New Roman"/>
        </w:rPr>
        <w:t>).</w:t>
      </w:r>
    </w:p>
    <w:p w14:paraId="6C79E47A" w14:textId="77777777" w:rsidR="006B7655" w:rsidRPr="009B0448" w:rsidRDefault="00A8466E" w:rsidP="00FA7185">
      <w:pPr>
        <w:pStyle w:val="111"/>
        <w:numPr>
          <w:ilvl w:val="4"/>
          <w:numId w:val="10"/>
        </w:numPr>
        <w:spacing w:before="240" w:after="240"/>
        <w:ind w:left="851" w:hanging="862"/>
        <w:rPr>
          <w:rFonts w:cs="Times New Roman"/>
          <w:b w:val="0"/>
          <w:sz w:val="22"/>
          <w:szCs w:val="22"/>
        </w:rPr>
      </w:pPr>
      <w:bookmarkStart w:id="48" w:name="_Toc519499797"/>
      <w:r w:rsidRPr="009B0448">
        <w:rPr>
          <w:rFonts w:cs="Times New Roman"/>
          <w:b w:val="0"/>
          <w:sz w:val="22"/>
          <w:szCs w:val="22"/>
        </w:rPr>
        <w:t>The impact of violent conflicts and the reconstruction of society</w:t>
      </w:r>
      <w:bookmarkEnd w:id="48"/>
    </w:p>
    <w:p w14:paraId="5DB7C3B3" w14:textId="18D79D43"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effects of conflict are perverse and pervasive. The most direct, of course, are the loss of human life, the destruction of wildlife from poaching or land mines, over-exploitation and degradation of natural resources, and increases in land and water pollution. </w:t>
      </w:r>
      <w:r w:rsidR="004C7D33" w:rsidRPr="009B0448">
        <w:rPr>
          <w:rFonts w:ascii="Times New Roman" w:eastAsia="Times New Roman" w:hAnsi="Times New Roman" w:cs="Times New Roman"/>
        </w:rPr>
        <w:t xml:space="preserve">Daskin </w:t>
      </w:r>
      <w:r w:rsidR="000429F8" w:rsidRPr="009B0448">
        <w:rPr>
          <w:rFonts w:ascii="Times New Roman" w:eastAsia="Times New Roman" w:hAnsi="Times New Roman" w:cs="Times New Roman"/>
          <w:i/>
        </w:rPr>
        <w:t>et al.</w:t>
      </w:r>
      <w:r w:rsidR="004C7D33" w:rsidRPr="009B0448">
        <w:rPr>
          <w:rFonts w:ascii="Times New Roman" w:eastAsia="Times New Roman" w:hAnsi="Times New Roman" w:cs="Times New Roman"/>
        </w:rPr>
        <w:t xml:space="preserve"> (2018), for example, showed that the frequency of conflicts can predict the severity of population declines for large mammals in protected areas in Africa. </w:t>
      </w:r>
      <w:r w:rsidRPr="009B0448">
        <w:rPr>
          <w:rFonts w:ascii="Times New Roman" w:eastAsia="Times New Roman" w:hAnsi="Times New Roman" w:cs="Times New Roman"/>
        </w:rPr>
        <w:t xml:space="preserve">Habitats are destroyed and whole ecosystems degraded and fragmented. This has long-term implications for security, be it food security, health security, water security, or social security. In addition, a whole illegal economy tends to take root around the richest natural resources areas (with valuable, easy to move extractives), perpetuating the loot-seeking dimensions of the conflict. Buchanan-Smith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draw attention to the fact that the informal legal fields that develop during war will usually be stronger than old or new laws, which, adding to the problem of displaced populations and returnees, can complic</w:t>
      </w:r>
      <w:r w:rsidR="00C03E3C">
        <w:rPr>
          <w:rFonts w:ascii="Times New Roman" w:eastAsia="Times New Roman" w:hAnsi="Times New Roman" w:cs="Times New Roman"/>
        </w:rPr>
        <w:t>ate post-</w:t>
      </w:r>
      <w:r w:rsidRPr="009B0448">
        <w:rPr>
          <w:rFonts w:ascii="Times New Roman" w:eastAsia="Times New Roman" w:hAnsi="Times New Roman" w:cs="Times New Roman"/>
        </w:rPr>
        <w:t>co</w:t>
      </w:r>
      <w:r w:rsidR="00C03E3C">
        <w:rPr>
          <w:rFonts w:ascii="Times New Roman" w:eastAsia="Times New Roman" w:hAnsi="Times New Roman" w:cs="Times New Roman"/>
        </w:rPr>
        <w:t>nflict reconstruction and peace-</w:t>
      </w:r>
      <w:r w:rsidRPr="009B0448">
        <w:rPr>
          <w:rFonts w:ascii="Times New Roman" w:eastAsia="Times New Roman" w:hAnsi="Times New Roman" w:cs="Times New Roman"/>
        </w:rPr>
        <w:t>building.</w:t>
      </w:r>
    </w:p>
    <w:p w14:paraId="5BF25C72" w14:textId="77777777" w:rsidR="0033312D" w:rsidRPr="009B0448" w:rsidRDefault="0033312D" w:rsidP="0033312D">
      <w:pPr>
        <w:spacing w:line="276" w:lineRule="auto"/>
        <w:jc w:val="both"/>
        <w:rPr>
          <w:rFonts w:ascii="Times New Roman" w:eastAsia="Times New Roman" w:hAnsi="Times New Roman" w:cs="Times New Roman"/>
        </w:rPr>
      </w:pPr>
    </w:p>
    <w:p w14:paraId="6DDB9C5E" w14:textId="22B8E17E"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Land issues, as mentioned earlier, are fundamental to reconciliation and economic rehabilitation in countries emerging from protracted conflicts: governance of the tenure regime, access to land, security of tenure and distribution of land holdings provide the building blocks for sustainable security. However, in post-conflict situations</w:t>
      </w:r>
      <w:r w:rsidR="00C03E3C">
        <w:rPr>
          <w:rFonts w:ascii="Times New Roman" w:eastAsia="Times New Roman" w:hAnsi="Times New Roman" w:cs="Times New Roman"/>
        </w:rPr>
        <w:t>,</w:t>
      </w:r>
      <w:r w:rsidRPr="009B0448">
        <w:rPr>
          <w:rFonts w:ascii="Times New Roman" w:eastAsia="Times New Roman" w:hAnsi="Times New Roman" w:cs="Times New Roman"/>
        </w:rPr>
        <w:t xml:space="preserve"> they are also more fluid and open than perhaps at any other time and, thus, the post-conflict period poses many operational tensions (Clover,</w:t>
      </w:r>
      <w:r w:rsidR="00640AD3" w:rsidRPr="009B0448">
        <w:rPr>
          <w:rFonts w:ascii="Times New Roman" w:eastAsia="Times New Roman" w:hAnsi="Times New Roman" w:cs="Times New Roman"/>
        </w:rPr>
        <w:t xml:space="preserve"> 2007 in</w:t>
      </w:r>
      <w:r w:rsidRPr="009B0448">
        <w:rPr>
          <w:rFonts w:ascii="Times New Roman" w:eastAsia="Times New Roman" w:hAnsi="Times New Roman" w:cs="Times New Roman"/>
        </w:rPr>
        <w:t xml:space="preserve"> Buchanan-Smith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Wily (2009) makes the point that, if peace is to last, the focus must be on reforming property relations where these were at the heart of the conflict rather than focusing on post-conflict </w:t>
      </w:r>
      <w:r w:rsidRPr="009B0448">
        <w:rPr>
          <w:rFonts w:ascii="Times New Roman" w:eastAsia="Times New Roman" w:hAnsi="Times New Roman" w:cs="Times New Roman"/>
        </w:rPr>
        <w:lastRenderedPageBreak/>
        <w:t>restorative justice and on restituti</w:t>
      </w:r>
      <w:r w:rsidR="00487CA5" w:rsidRPr="009B0448">
        <w:rPr>
          <w:rFonts w:ascii="Times New Roman" w:eastAsia="Times New Roman" w:hAnsi="Times New Roman" w:cs="Times New Roman"/>
        </w:rPr>
        <w:t>on of property to the displaced</w:t>
      </w:r>
      <w:r w:rsidRPr="009B0448">
        <w:rPr>
          <w:rFonts w:ascii="Times New Roman" w:eastAsia="Times New Roman" w:hAnsi="Times New Roman" w:cs="Times New Roman"/>
        </w:rPr>
        <w:t xml:space="preserve">. Valuable lessons can, indeed, be learned from what has worked or failed in peace processes around the world. A review of seven peace agreements across the African continent since the early 1990s demonstrates how inadequately issues of land and natural resources are dealt with in peace agreements (Buchanan-Smith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 However, progressive initiatives are being put forward, as in Sudan wh</w:t>
      </w:r>
      <w:r w:rsidR="0033312D" w:rsidRPr="009B0448">
        <w:rPr>
          <w:rFonts w:ascii="Times New Roman" w:eastAsia="Times New Roman" w:hAnsi="Times New Roman" w:cs="Times New Roman"/>
        </w:rPr>
        <w:t>ere the Darfur Land Commission</w:t>
      </w:r>
      <w:r w:rsidRPr="009B0448">
        <w:rPr>
          <w:rFonts w:ascii="Times New Roman" w:eastAsia="Times New Roman" w:hAnsi="Times New Roman" w:cs="Times New Roman"/>
        </w:rPr>
        <w:t xml:space="preserve"> undertook a major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mapping exercise in order to </w:t>
      </w:r>
      <w:r w:rsidR="00917FB2">
        <w:rPr>
          <w:rFonts w:ascii="Times New Roman" w:eastAsia="Times New Roman" w:hAnsi="Times New Roman" w:cs="Times New Roman"/>
        </w:rPr>
        <w:t>produce the “Darfur States Land-</w:t>
      </w:r>
      <w:r w:rsidRPr="009B0448">
        <w:rPr>
          <w:rFonts w:ascii="Times New Roman" w:eastAsia="Times New Roman" w:hAnsi="Times New Roman" w:cs="Times New Roman"/>
        </w:rPr>
        <w:t xml:space="preserve">Use Mapping Database” submitted to the Darfur Regional Authority for approval and updated every five years. In addition, the </w:t>
      </w:r>
      <w:r w:rsidR="0033312D" w:rsidRPr="009B0448">
        <w:rPr>
          <w:rFonts w:ascii="Times New Roman" w:eastAsia="Times New Roman" w:hAnsi="Times New Roman" w:cs="Times New Roman"/>
        </w:rPr>
        <w:t>Darfur Land Commission</w:t>
      </w:r>
      <w:r w:rsidRPr="009B0448">
        <w:rPr>
          <w:rFonts w:ascii="Times New Roman" w:eastAsia="Times New Roman" w:hAnsi="Times New Roman" w:cs="Times New Roman"/>
        </w:rPr>
        <w:t xml:space="preserve"> has undertaken a major exercise in documenting customary land management mechanisms, while parties to land disputes were encouraged to exhaust traditional methods of dispute settlement, including arbitration, before going to court. Therefore a system of legal plurality was built into the management of land in Darfur (Buchanan-Smith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w:t>
      </w:r>
    </w:p>
    <w:p w14:paraId="1D0AA308" w14:textId="72F9BF7E" w:rsidR="006B7655" w:rsidRPr="009B0448" w:rsidRDefault="00A8466E" w:rsidP="00FA7185">
      <w:pPr>
        <w:pStyle w:val="111"/>
        <w:numPr>
          <w:ilvl w:val="3"/>
          <w:numId w:val="10"/>
        </w:numPr>
        <w:spacing w:before="240" w:after="240"/>
        <w:ind w:left="851" w:hanging="862"/>
        <w:rPr>
          <w:rFonts w:cs="Times New Roman"/>
          <w:sz w:val="22"/>
          <w:szCs w:val="22"/>
        </w:rPr>
      </w:pPr>
      <w:bookmarkStart w:id="49" w:name="_Toc519499798"/>
      <w:r w:rsidRPr="009B0448">
        <w:rPr>
          <w:rFonts w:cs="Times New Roman"/>
          <w:sz w:val="22"/>
          <w:szCs w:val="22"/>
        </w:rPr>
        <w:t>Trade issues in the governance of biodiversity and ecosystem services</w:t>
      </w:r>
      <w:bookmarkEnd w:id="49"/>
    </w:p>
    <w:p w14:paraId="7E5646FF" w14:textId="40879EDC" w:rsidR="0034758B"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 good deal of the literature on </w:t>
      </w:r>
      <w:r w:rsidR="00EF2AC0" w:rsidRPr="009B0448">
        <w:rPr>
          <w:rFonts w:ascii="Times New Roman" w:eastAsia="Times New Roman" w:hAnsi="Times New Roman" w:cs="Times New Roman"/>
        </w:rPr>
        <w:t>biodiversity and ecosystem services rela</w:t>
      </w:r>
      <w:r w:rsidRPr="009B0448">
        <w:rPr>
          <w:rFonts w:ascii="Times New Roman" w:eastAsia="Times New Roman" w:hAnsi="Times New Roman" w:cs="Times New Roman"/>
        </w:rPr>
        <w:t xml:space="preserve">ted trade focuses on issues related to the illegal trade of wildlife and plant species protected </w:t>
      </w:r>
      <w:r w:rsidR="0034758B" w:rsidRPr="009B0448">
        <w:rPr>
          <w:rFonts w:ascii="Times New Roman" w:eastAsia="Times New Roman" w:hAnsi="Times New Roman" w:cs="Times New Roman"/>
        </w:rPr>
        <w:t xml:space="preserve">under the Convention on International Trade in Endangered Species of Wild Fauna and Flora (CITES) (also see Chapter 4). This has been largely documented in relation to the illegal trade of ivory, rosewood or ebony, for example. </w:t>
      </w:r>
    </w:p>
    <w:p w14:paraId="320600E8" w14:textId="77777777" w:rsidR="0033312D" w:rsidRPr="009B0448" w:rsidRDefault="0033312D" w:rsidP="0033312D">
      <w:pPr>
        <w:spacing w:line="276" w:lineRule="auto"/>
        <w:jc w:val="both"/>
        <w:rPr>
          <w:rFonts w:ascii="Times New Roman" w:eastAsia="Times New Roman" w:hAnsi="Times New Roman" w:cs="Times New Roman"/>
        </w:rPr>
      </w:pPr>
    </w:p>
    <w:p w14:paraId="48F3911C" w14:textId="1F7EEDDF"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Payments for </w:t>
      </w:r>
      <w:r w:rsidR="004C5C4E" w:rsidRPr="009B0448">
        <w:rPr>
          <w:rFonts w:ascii="Times New Roman" w:eastAsia="Times New Roman" w:hAnsi="Times New Roman" w:cs="Times New Roman"/>
        </w:rPr>
        <w:t>Ecosystem Services</w:t>
      </w:r>
      <w:r w:rsidRPr="009B0448">
        <w:rPr>
          <w:rFonts w:ascii="Times New Roman" w:eastAsia="Times New Roman" w:hAnsi="Times New Roman" w:cs="Times New Roman"/>
        </w:rPr>
        <w:t xml:space="preserve"> are also a growing theme in science and policy. </w:t>
      </w:r>
      <w:r w:rsidR="00E514D7" w:rsidRPr="009B0448">
        <w:rPr>
          <w:rFonts w:ascii="Times New Roman" w:eastAsia="Times New Roman" w:hAnsi="Times New Roman" w:cs="Times New Roman"/>
        </w:rPr>
        <w:t>Reducing Emissions from Deforestation and Forest Degradation (</w:t>
      </w:r>
      <w:r w:rsidRPr="009B0448">
        <w:rPr>
          <w:rFonts w:ascii="Times New Roman" w:eastAsia="Times New Roman" w:hAnsi="Times New Roman" w:cs="Times New Roman"/>
        </w:rPr>
        <w:t>REDD+</w:t>
      </w:r>
      <w:r w:rsidR="00E514D7" w:rsidRPr="009B0448">
        <w:rPr>
          <w:rFonts w:ascii="Times New Roman" w:eastAsia="Times New Roman" w:hAnsi="Times New Roman" w:cs="Times New Roman"/>
        </w:rPr>
        <w:t>)</w:t>
      </w:r>
      <w:r w:rsidRPr="009B0448">
        <w:rPr>
          <w:rFonts w:ascii="Times New Roman" w:eastAsia="Times New Roman" w:hAnsi="Times New Roman" w:cs="Times New Roman"/>
        </w:rPr>
        <w:t xml:space="preserve">, for instance, a program to reduce emissions from deforestation and degradation of forests, is investing a few hundred million US dollars in a country such as DR Congo. One of the ultimate objectives of </w:t>
      </w:r>
      <w:r w:rsidR="00EB597B" w:rsidRPr="009B0448">
        <w:rPr>
          <w:rFonts w:ascii="Times New Roman" w:eastAsia="Times New Roman" w:hAnsi="Times New Roman" w:cs="Times New Roman"/>
        </w:rPr>
        <w:t>Payments for Ecosystem Services</w:t>
      </w:r>
      <w:r w:rsidRPr="009B0448">
        <w:rPr>
          <w:rFonts w:ascii="Times New Roman" w:eastAsia="Times New Roman" w:hAnsi="Times New Roman" w:cs="Times New Roman"/>
        </w:rPr>
        <w:t xml:space="preserve"> schemes, including carbon trading, is to develop an international market for environment</w:t>
      </w:r>
      <w:r w:rsidR="00C03E3C">
        <w:rPr>
          <w:rFonts w:ascii="Times New Roman" w:eastAsia="Times New Roman" w:hAnsi="Times New Roman" w:cs="Times New Roman"/>
        </w:rPr>
        <w:t>al</w:t>
      </w:r>
      <w:r w:rsidRPr="009B0448">
        <w:rPr>
          <w:rFonts w:ascii="Times New Roman" w:eastAsia="Times New Roman" w:hAnsi="Times New Roman" w:cs="Times New Roman"/>
        </w:rPr>
        <w:t xml:space="preserve"> services in which some conservation and development benefits would be traded against each other for overall mitigation of greenhouse gas emissions and/or environmental degradation. However, some of the hypotheses regarding (growing) carbon markets have not yet materialized, while </w:t>
      </w:r>
      <w:r w:rsidR="00CD2E23" w:rsidRPr="009B0448">
        <w:rPr>
          <w:rFonts w:ascii="Times New Roman" w:eastAsia="Times New Roman" w:hAnsi="Times New Roman" w:cs="Times New Roman"/>
        </w:rPr>
        <w:t>payment</w:t>
      </w:r>
      <w:r w:rsidR="004C12DE" w:rsidRPr="009B0448">
        <w:rPr>
          <w:rFonts w:ascii="Times New Roman" w:eastAsia="Times New Roman" w:hAnsi="Times New Roman" w:cs="Times New Roman"/>
        </w:rPr>
        <w:t>s</w:t>
      </w:r>
      <w:r w:rsidR="00CD2E23" w:rsidRPr="009B0448">
        <w:rPr>
          <w:rFonts w:ascii="Times New Roman" w:eastAsia="Times New Roman" w:hAnsi="Times New Roman" w:cs="Times New Roman"/>
        </w:rPr>
        <w:t xml:space="preserve"> for ecosystem services</w:t>
      </w:r>
      <w:r w:rsidR="00C03E3C">
        <w:rPr>
          <w:rFonts w:ascii="Times New Roman" w:eastAsia="Times New Roman" w:hAnsi="Times New Roman" w:cs="Times New Roman"/>
        </w:rPr>
        <w:t xml:space="preserve"> remain small globally, with</w:t>
      </w:r>
      <w:r w:rsidRPr="009B0448">
        <w:rPr>
          <w:rFonts w:ascii="Times New Roman" w:eastAsia="Times New Roman" w:hAnsi="Times New Roman" w:cs="Times New Roman"/>
        </w:rPr>
        <w:t xml:space="preserve"> global </w:t>
      </w:r>
      <w:r w:rsidR="004C12DE" w:rsidRPr="009B0448">
        <w:rPr>
          <w:rFonts w:ascii="Times New Roman" w:eastAsia="Times New Roman" w:hAnsi="Times New Roman" w:cs="Times New Roman"/>
        </w:rPr>
        <w:t>payments for ecosystem s</w:t>
      </w:r>
      <w:r w:rsidR="004C5C4E" w:rsidRPr="009B0448">
        <w:rPr>
          <w:rFonts w:ascii="Times New Roman" w:eastAsia="Times New Roman" w:hAnsi="Times New Roman" w:cs="Times New Roman"/>
        </w:rPr>
        <w:t>ervices</w:t>
      </w:r>
      <w:r w:rsidRPr="009B0448">
        <w:rPr>
          <w:rFonts w:ascii="Times New Roman" w:eastAsia="Times New Roman" w:hAnsi="Times New Roman" w:cs="Times New Roman"/>
        </w:rPr>
        <w:t xml:space="preserve"> </w:t>
      </w:r>
      <w:r w:rsidR="00EB597B" w:rsidRPr="009B0448">
        <w:rPr>
          <w:rFonts w:ascii="Times New Roman" w:eastAsia="Times New Roman" w:hAnsi="Times New Roman" w:cs="Times New Roman"/>
        </w:rPr>
        <w:t xml:space="preserve">income estimated at just over </w:t>
      </w:r>
      <w:r w:rsidRPr="009B0448">
        <w:rPr>
          <w:rFonts w:ascii="Times New Roman" w:eastAsia="Times New Roman" w:hAnsi="Times New Roman" w:cs="Times New Roman"/>
        </w:rPr>
        <w:t>$1.9 billion pe</w:t>
      </w:r>
      <w:r w:rsidR="00EB597B" w:rsidRPr="009B0448">
        <w:rPr>
          <w:rFonts w:ascii="Times New Roman" w:eastAsia="Times New Roman" w:hAnsi="Times New Roman" w:cs="Times New Roman"/>
        </w:rPr>
        <w:t xml:space="preserve">r year from 2005 to 2010, and </w:t>
      </w:r>
      <w:r w:rsidRPr="009B0448">
        <w:rPr>
          <w:rFonts w:ascii="Times New Roman" w:eastAsia="Times New Roman" w:hAnsi="Times New Roman" w:cs="Times New Roman"/>
        </w:rPr>
        <w:t>$2.5 billion in 2011 (FAO, 2014a). In addition, Africa, with only 0.9</w:t>
      </w:r>
      <w:r w:rsidR="00EB597B" w:rsidRPr="009B0448">
        <w:rPr>
          <w:rFonts w:ascii="Times New Roman" w:eastAsia="Times New Roman" w:hAnsi="Times New Roman" w:cs="Times New Roman"/>
        </w:rPr>
        <w:t>%</w:t>
      </w:r>
      <w:r w:rsidRPr="009B0448">
        <w:rPr>
          <w:rFonts w:ascii="Times New Roman" w:eastAsia="Times New Roman" w:hAnsi="Times New Roman" w:cs="Times New Roman"/>
        </w:rPr>
        <w:t xml:space="preserve"> of g</w:t>
      </w:r>
      <w:r w:rsidR="00EB597B" w:rsidRPr="009B0448">
        <w:rPr>
          <w:rFonts w:ascii="Times New Roman" w:eastAsia="Times New Roman" w:hAnsi="Times New Roman" w:cs="Times New Roman"/>
        </w:rPr>
        <w:t xml:space="preserve">lobal payments in 2011 (and 0.2% </w:t>
      </w:r>
      <w:r w:rsidRPr="009B0448">
        <w:rPr>
          <w:rFonts w:ascii="Times New Roman" w:eastAsia="Times New Roman" w:hAnsi="Times New Roman" w:cs="Times New Roman"/>
        </w:rPr>
        <w:t xml:space="preserve">in the five previous years), benefits the least from </w:t>
      </w:r>
      <w:r w:rsidR="004C12DE" w:rsidRPr="009B0448">
        <w:rPr>
          <w:rFonts w:ascii="Times New Roman" w:eastAsia="Times New Roman" w:hAnsi="Times New Roman" w:cs="Times New Roman"/>
        </w:rPr>
        <w:t>payments for e</w:t>
      </w:r>
      <w:r w:rsidR="00EB597B" w:rsidRPr="009B0448">
        <w:rPr>
          <w:rFonts w:ascii="Times New Roman" w:eastAsia="Times New Roman" w:hAnsi="Times New Roman" w:cs="Times New Roman"/>
        </w:rPr>
        <w:t xml:space="preserve">cosystem </w:t>
      </w:r>
      <w:r w:rsidR="004C12DE" w:rsidRPr="009B0448">
        <w:rPr>
          <w:rFonts w:ascii="Times New Roman" w:eastAsia="Times New Roman" w:hAnsi="Times New Roman" w:cs="Times New Roman"/>
        </w:rPr>
        <w:t>s</w:t>
      </w:r>
      <w:r w:rsidR="00EB597B" w:rsidRPr="009B0448">
        <w:rPr>
          <w:rFonts w:ascii="Times New Roman" w:eastAsia="Times New Roman" w:hAnsi="Times New Roman" w:cs="Times New Roman"/>
        </w:rPr>
        <w:t>ervices</w:t>
      </w:r>
      <w:r w:rsidRPr="009B0448">
        <w:rPr>
          <w:rFonts w:ascii="Times New Roman" w:eastAsia="Times New Roman" w:hAnsi="Times New Roman" w:cs="Times New Roman"/>
        </w:rPr>
        <w:t>. Other regions do on orders of magnitude better, with China and the United States accounting for the majority of global income (Diaw, 2014).</w:t>
      </w:r>
    </w:p>
    <w:p w14:paraId="15FD8DD1" w14:textId="77777777" w:rsidR="0033312D" w:rsidRPr="009B0448" w:rsidRDefault="0033312D" w:rsidP="0033312D">
      <w:pPr>
        <w:spacing w:line="276" w:lineRule="auto"/>
        <w:jc w:val="both"/>
        <w:rPr>
          <w:rFonts w:ascii="Times New Roman" w:eastAsia="Times New Roman" w:hAnsi="Times New Roman" w:cs="Times New Roman"/>
        </w:rPr>
      </w:pPr>
    </w:p>
    <w:p w14:paraId="433BD823" w14:textId="30D879A5"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Strategically, a number of critical questions must be considered in the assessment of BES trade issues for Africa. Currently, only 10–13% of Africa’s trade is done internally. By contrast, the proportion in Europe and Asia is close to 60%. This means that African trade is largely extroverted, including BES-related trade. The signing in early 2015 of the T</w:t>
      </w:r>
      <w:r w:rsidR="00AE29A2" w:rsidRPr="009B0448">
        <w:rPr>
          <w:rFonts w:ascii="Times New Roman" w:eastAsia="Times New Roman" w:hAnsi="Times New Roman" w:cs="Times New Roman"/>
        </w:rPr>
        <w:t>ripartite Free Trade Agreement</w:t>
      </w:r>
      <w:r w:rsidRPr="009B0448">
        <w:rPr>
          <w:rFonts w:ascii="Times New Roman" w:eastAsia="Times New Roman" w:hAnsi="Times New Roman" w:cs="Times New Roman"/>
        </w:rPr>
        <w:t xml:space="preserve"> by 16 of 26 prospective members is the boldest African initiative ever taken to change the situation. T</w:t>
      </w:r>
      <w:r w:rsidR="00AE29A2" w:rsidRPr="009B0448">
        <w:rPr>
          <w:rFonts w:ascii="Times New Roman" w:eastAsia="Times New Roman" w:hAnsi="Times New Roman" w:cs="Times New Roman"/>
        </w:rPr>
        <w:t xml:space="preserve">he Tripartite Free Trade Agreement </w:t>
      </w:r>
      <w:r w:rsidRPr="009B0448">
        <w:rPr>
          <w:rFonts w:ascii="Times New Roman" w:eastAsia="Times New Roman" w:hAnsi="Times New Roman" w:cs="Times New Roman"/>
        </w:rPr>
        <w:t xml:space="preserve">holds the prospect of an internal market of 26 countries and 625 million people with a combined GDP of over </w:t>
      </w:r>
      <w:r w:rsidR="008C0F38" w:rsidRPr="009B0448">
        <w:rPr>
          <w:rFonts w:ascii="Times New Roman" w:eastAsia="Times New Roman" w:hAnsi="Times New Roman" w:cs="Times New Roman"/>
        </w:rPr>
        <w:t>$</w:t>
      </w:r>
      <w:r w:rsidRPr="009B0448">
        <w:rPr>
          <w:rFonts w:ascii="Times New Roman" w:eastAsia="Times New Roman" w:hAnsi="Times New Roman" w:cs="Times New Roman"/>
        </w:rPr>
        <w:t>1 trillion. This is staggering for Africa, but many issues will need to be resolved before it becomes a reality. For instance, Africa’s most advanced and most diversified economies have significant infrastructure, manufacturing and services. Services accounted for 70% of the growth of Morocco, Tunisia, South Africa and Egypt in 2000–2010. These economies also tend, however, to have higher unit-labour and input costs than other African countries, which could require adjustments from some governments</w:t>
      </w:r>
      <w:r w:rsidRPr="009B0448">
        <w:rPr>
          <w:rFonts w:ascii="Times New Roman" w:eastAsia="Times New Roman" w:hAnsi="Times New Roman" w:cs="Times New Roman"/>
          <w:vertAlign w:val="superscript"/>
        </w:rPr>
        <w:footnoteReference w:id="2"/>
      </w:r>
      <w:r w:rsidRPr="009B0448">
        <w:rPr>
          <w:rFonts w:ascii="Times New Roman" w:eastAsia="Times New Roman" w:hAnsi="Times New Roman" w:cs="Times New Roman"/>
        </w:rPr>
        <w:t xml:space="preserve">. </w:t>
      </w:r>
      <w:r w:rsidR="00AE29A2" w:rsidRPr="009B0448">
        <w:rPr>
          <w:rFonts w:ascii="Times New Roman" w:eastAsia="Times New Roman" w:hAnsi="Times New Roman" w:cs="Times New Roman"/>
        </w:rPr>
        <w:t xml:space="preserve">The Tripartite Free Trade Agreement </w:t>
      </w:r>
      <w:r w:rsidRPr="009B0448">
        <w:rPr>
          <w:rFonts w:ascii="Times New Roman" w:eastAsia="Times New Roman" w:hAnsi="Times New Roman" w:cs="Times New Roman"/>
        </w:rPr>
        <w:t xml:space="preserve">is meant to be a first step in breaking the </w:t>
      </w:r>
      <w:r w:rsidRPr="009B0448">
        <w:rPr>
          <w:rFonts w:ascii="Times New Roman" w:eastAsia="Times New Roman" w:hAnsi="Times New Roman" w:cs="Times New Roman"/>
        </w:rPr>
        <w:lastRenderedPageBreak/>
        <w:t>continent’s notoriously disadvantageous terms of trade. It would also serve as</w:t>
      </w:r>
      <w:r w:rsidR="00C03E3C">
        <w:rPr>
          <w:rFonts w:ascii="Times New Roman" w:eastAsia="Times New Roman" w:hAnsi="Times New Roman" w:cs="Times New Roman"/>
        </w:rPr>
        <w:t xml:space="preserve"> a</w:t>
      </w:r>
      <w:r w:rsidRPr="009B0448">
        <w:rPr>
          <w:rFonts w:ascii="Times New Roman" w:eastAsia="Times New Roman" w:hAnsi="Times New Roman" w:cs="Times New Roman"/>
        </w:rPr>
        <w:t xml:space="preserve"> template </w:t>
      </w:r>
      <w:r w:rsidR="00C03E3C">
        <w:rPr>
          <w:rFonts w:ascii="Times New Roman" w:eastAsia="Times New Roman" w:hAnsi="Times New Roman" w:cs="Times New Roman"/>
        </w:rPr>
        <w:t>for the Continental Free Trade A</w:t>
      </w:r>
      <w:r w:rsidRPr="009B0448">
        <w:rPr>
          <w:rFonts w:ascii="Times New Roman" w:eastAsia="Times New Roman" w:hAnsi="Times New Roman" w:cs="Times New Roman"/>
        </w:rPr>
        <w:t>rea, which the summit of African Union leaders endorsed in January 2012 as a 2017 target. There are clearly significant hurdles ahead, including infrastructure, rules of market integration and political stability; but the potential is clear. In that perspective, it will be important to identify and map the specific nature and importance of the BES-related goods traded both internally and as foreign exports, and their importance in global value chains. This will help support calculated shifts in reinforcing inter-African trade and trade networks for both primary and processed BES-related food and consumer goods. A characteristic of most African countries is the dominance of resource/raw material exports with little processing and downstream value addition. Cross-country differences in that regard (for instance, between North &amp; South African industrial infrastructures and that of most other countries) have important free trade implications that, in addition to infrastructural and regulatory issues, will affect the pace of integration in the Tripartite and Continental Free Trade Areas.</w:t>
      </w:r>
    </w:p>
    <w:p w14:paraId="61A158FC" w14:textId="77777777" w:rsidR="0033312D" w:rsidRPr="009B0448" w:rsidRDefault="0033312D" w:rsidP="0033312D">
      <w:pPr>
        <w:spacing w:line="276" w:lineRule="auto"/>
        <w:jc w:val="both"/>
        <w:rPr>
          <w:rFonts w:ascii="Times New Roman" w:eastAsia="Times New Roman" w:hAnsi="Times New Roman" w:cs="Times New Roman"/>
        </w:rPr>
      </w:pPr>
    </w:p>
    <w:p w14:paraId="410FA561" w14:textId="7BBF742C"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 recent paper published in </w:t>
      </w:r>
      <w:r w:rsidRPr="009B0448">
        <w:rPr>
          <w:rFonts w:ascii="Times New Roman" w:eastAsia="Times New Roman" w:hAnsi="Times New Roman" w:cs="Times New Roman"/>
          <w:i/>
        </w:rPr>
        <w:t>Current Biology</w:t>
      </w:r>
      <w:r w:rsidRPr="009B0448">
        <w:rPr>
          <w:rFonts w:ascii="Times New Roman" w:eastAsia="Times New Roman" w:hAnsi="Times New Roman" w:cs="Times New Roman"/>
        </w:rPr>
        <w:t xml:space="preserve"> (Laurance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raises new issues. The </w:t>
      </w:r>
      <w:r w:rsidR="00AE29A2" w:rsidRPr="009B0448">
        <w:rPr>
          <w:rFonts w:ascii="Times New Roman" w:eastAsia="Times New Roman" w:hAnsi="Times New Roman" w:cs="Times New Roman"/>
        </w:rPr>
        <w:t>authors</w:t>
      </w:r>
      <w:r w:rsidRPr="009B0448">
        <w:rPr>
          <w:rFonts w:ascii="Times New Roman" w:eastAsia="Times New Roman" w:hAnsi="Times New Roman" w:cs="Times New Roman"/>
        </w:rPr>
        <w:t xml:space="preserve"> </w:t>
      </w:r>
      <w:r w:rsidR="00AE29A2" w:rsidRPr="009B0448">
        <w:rPr>
          <w:rFonts w:ascii="Times New Roman" w:eastAsia="Times New Roman" w:hAnsi="Times New Roman" w:cs="Times New Roman"/>
        </w:rPr>
        <w:t>claim</w:t>
      </w:r>
      <w:r w:rsidR="005344BD" w:rsidRPr="009B0448">
        <w:rPr>
          <w:rFonts w:ascii="Times New Roman" w:eastAsia="Times New Roman" w:hAnsi="Times New Roman" w:cs="Times New Roman"/>
        </w:rPr>
        <w:t xml:space="preserve"> </w:t>
      </w:r>
      <w:r w:rsidRPr="009B0448">
        <w:rPr>
          <w:rFonts w:ascii="Times New Roman" w:eastAsia="Times New Roman" w:hAnsi="Times New Roman" w:cs="Times New Roman"/>
        </w:rPr>
        <w:t>to have assessed the potential environmental impacts and agricultural potential of 33 planned or existing development corridors totalling over 53,000 km in length across much of the African continent. The corridors have been proposed</w:t>
      </w:r>
      <w:r w:rsidR="00AE29A2" w:rsidRPr="009B0448">
        <w:rPr>
          <w:rFonts w:ascii="Times New Roman" w:eastAsia="Times New Roman" w:hAnsi="Times New Roman" w:cs="Times New Roman"/>
        </w:rPr>
        <w:t>,</w:t>
      </w:r>
      <w:r w:rsidRPr="009B0448">
        <w:rPr>
          <w:rFonts w:ascii="Times New Roman" w:eastAsia="Times New Roman" w:hAnsi="Times New Roman" w:cs="Times New Roman"/>
        </w:rPr>
        <w:t xml:space="preserve"> or are being created</w:t>
      </w:r>
      <w:r w:rsidR="00AE29A2" w:rsidRPr="009B0448">
        <w:rPr>
          <w:rFonts w:ascii="Times New Roman" w:eastAsia="Times New Roman" w:hAnsi="Times New Roman" w:cs="Times New Roman"/>
        </w:rPr>
        <w:t>,</w:t>
      </w:r>
      <w:r w:rsidRPr="009B0448">
        <w:rPr>
          <w:rFonts w:ascii="Times New Roman" w:eastAsia="Times New Roman" w:hAnsi="Times New Roman" w:cs="Times New Roman"/>
        </w:rPr>
        <w:t xml:space="preserve"> to increase agricultural production as well as inter-African trade through large-scale expansion of infrastructure such as roads, railroads, pipelines, and port facilities. According to Laurance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the corridors would bisect over 400 existing protected areas and could degrade a further </w:t>
      </w:r>
      <w:r w:rsidRPr="009B0448">
        <w:rPr>
          <w:rFonts w:ascii="Cambria Math" w:eastAsia="Cambria Math" w:hAnsi="Cambria Math" w:cs="Cambria Math"/>
        </w:rPr>
        <w:t>∼</w:t>
      </w:r>
      <w:r w:rsidRPr="009B0448">
        <w:rPr>
          <w:rFonts w:ascii="Times New Roman" w:eastAsia="Times New Roman" w:hAnsi="Times New Roman" w:cs="Times New Roman"/>
        </w:rPr>
        <w:t xml:space="preserve">1,800 by promoting habitat disruption near or inside the reserves. The authors conclude that many of the development corridors will promote irreversible environmental changes and that some should be “cancelled altogether” and others linked “to rigorous mitigation and protection measures”. </w:t>
      </w:r>
      <w:r w:rsidR="002A4DE2" w:rsidRPr="009B0448">
        <w:rPr>
          <w:rFonts w:ascii="Times New Roman" w:eastAsia="Times New Roman" w:hAnsi="Times New Roman" w:cs="Times New Roman"/>
        </w:rPr>
        <w:t>However, A</w:t>
      </w:r>
      <w:r w:rsidRPr="009B0448">
        <w:rPr>
          <w:rFonts w:ascii="Times New Roman" w:eastAsia="Times New Roman" w:hAnsi="Times New Roman" w:cs="Times New Roman"/>
        </w:rPr>
        <w:t>frica</w:t>
      </w:r>
      <w:r w:rsidR="002A4DE2" w:rsidRPr="009B0448">
        <w:rPr>
          <w:rFonts w:ascii="Times New Roman" w:eastAsia="Times New Roman" w:hAnsi="Times New Roman" w:cs="Times New Roman"/>
        </w:rPr>
        <w:t>’s need</w:t>
      </w:r>
      <w:r w:rsidRPr="009B0448">
        <w:rPr>
          <w:rFonts w:ascii="Times New Roman" w:eastAsia="Times New Roman" w:hAnsi="Times New Roman" w:cs="Times New Roman"/>
        </w:rPr>
        <w:t xml:space="preserve"> to develop its infrastructure and internal market in ways that are balanced and smart and that protect</w:t>
      </w:r>
      <w:r w:rsidR="00C03E3C">
        <w:rPr>
          <w:rFonts w:ascii="Times New Roman" w:eastAsia="Times New Roman" w:hAnsi="Times New Roman" w:cs="Times New Roman"/>
        </w:rPr>
        <w:t>s</w:t>
      </w:r>
      <w:r w:rsidRPr="009B0448">
        <w:rPr>
          <w:rFonts w:ascii="Times New Roman" w:eastAsia="Times New Roman" w:hAnsi="Times New Roman" w:cs="Times New Roman"/>
        </w:rPr>
        <w:t xml:space="preserve"> its economic and environmental future</w:t>
      </w:r>
      <w:r w:rsidR="00AE29A2" w:rsidRPr="009B0448">
        <w:rPr>
          <w:rFonts w:ascii="Times New Roman" w:eastAsia="Times New Roman" w:hAnsi="Times New Roman" w:cs="Times New Roman"/>
        </w:rPr>
        <w:t>,</w:t>
      </w:r>
      <w:r w:rsidR="002A4DE2" w:rsidRPr="009B0448">
        <w:rPr>
          <w:rFonts w:ascii="Times New Roman" w:eastAsia="Times New Roman" w:hAnsi="Times New Roman" w:cs="Times New Roman"/>
        </w:rPr>
        <w:t xml:space="preserve"> </w:t>
      </w:r>
      <w:r w:rsidR="006E52A0" w:rsidRPr="009B0448">
        <w:rPr>
          <w:rFonts w:ascii="Times New Roman" w:eastAsia="Times New Roman" w:hAnsi="Times New Roman" w:cs="Times New Roman"/>
        </w:rPr>
        <w:t>remains a major policy consideration</w:t>
      </w:r>
      <w:r w:rsidRPr="009B0448">
        <w:rPr>
          <w:rFonts w:ascii="Times New Roman" w:eastAsia="Times New Roman" w:hAnsi="Times New Roman" w:cs="Times New Roman"/>
        </w:rPr>
        <w:t>.</w:t>
      </w:r>
    </w:p>
    <w:p w14:paraId="7DA387AA" w14:textId="77777777" w:rsidR="0033312D" w:rsidRPr="009B0448" w:rsidRDefault="0033312D" w:rsidP="0033312D">
      <w:pPr>
        <w:spacing w:line="276" w:lineRule="auto"/>
        <w:jc w:val="both"/>
        <w:rPr>
          <w:rFonts w:ascii="Times New Roman" w:eastAsia="Times New Roman" w:hAnsi="Times New Roman" w:cs="Times New Roman"/>
        </w:rPr>
      </w:pPr>
    </w:p>
    <w:p w14:paraId="071BF4D5" w14:textId="233A609E" w:rsidR="005A323E"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Approaching from a different angle, Youm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looks at the role of trade in introducing invasive pests and disease vectors that can cause environmental damage and economic losses and pose a serious risk to biodiversity. This is a two-way problem, with non-tariff b</w:t>
      </w:r>
      <w:r w:rsidR="00C03E3C">
        <w:rPr>
          <w:rFonts w:ascii="Times New Roman" w:eastAsia="Times New Roman" w:hAnsi="Times New Roman" w:cs="Times New Roman"/>
        </w:rPr>
        <w:t>arriers being imposed on</w:t>
      </w:r>
      <w:r w:rsidRPr="009B0448">
        <w:rPr>
          <w:rFonts w:ascii="Times New Roman" w:eastAsia="Times New Roman" w:hAnsi="Times New Roman" w:cs="Times New Roman"/>
        </w:rPr>
        <w:t xml:space="preserve"> African countries under the perception that they are a source of invasive pests to other countries via trade. Fruit flies, for instance, are among the pests that cause major trade losses and agriculture-related income losses to African countries. The paper considers </w:t>
      </w:r>
      <w:r w:rsidR="00C03E3C">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phytosanitary measures African countries have, therefore, to take to reduce losses in economic and trade opportunities. On the other hand, African countries lack the full capacity to reduce trade-related pest invasions from other countries and the impact of such invasions on African economies and the environment. Other issues to address relate to food quality and costs, international standards in product quality and labelling, inflated costs of transport, the price of goods and products, and hidden trade protectionism from northern economies through </w:t>
      </w:r>
      <w:r w:rsidR="00C03E3C">
        <w:rPr>
          <w:rFonts w:ascii="Times New Roman" w:eastAsia="Times New Roman" w:hAnsi="Times New Roman" w:cs="Times New Roman"/>
        </w:rPr>
        <w:t xml:space="preserve">the </w:t>
      </w:r>
      <w:r w:rsidRPr="009B0448">
        <w:rPr>
          <w:rFonts w:ascii="Times New Roman" w:eastAsia="Times New Roman" w:hAnsi="Times New Roman" w:cs="Times New Roman"/>
        </w:rPr>
        <w:t>imposition of standards higher than international standards. The question of the African internal market is tightly connected to issues such as this. African bio-products in an integrated African market should enjoy a better competitive advantage, but this will require significant effort in this area.</w:t>
      </w:r>
    </w:p>
    <w:p w14:paraId="40756475" w14:textId="3DC6179E" w:rsidR="006B7655" w:rsidRPr="009B0448" w:rsidRDefault="00A8466E" w:rsidP="00FA7185">
      <w:pPr>
        <w:pStyle w:val="111"/>
        <w:numPr>
          <w:ilvl w:val="2"/>
          <w:numId w:val="10"/>
        </w:numPr>
        <w:spacing w:before="240" w:after="240"/>
        <w:ind w:left="709"/>
        <w:rPr>
          <w:rFonts w:cs="Times New Roman"/>
          <w:i w:val="0"/>
          <w:sz w:val="22"/>
          <w:szCs w:val="22"/>
        </w:rPr>
      </w:pPr>
      <w:bookmarkStart w:id="50" w:name="_Toc519499799"/>
      <w:r w:rsidRPr="009B0448">
        <w:rPr>
          <w:rFonts w:cs="Times New Roman"/>
          <w:i w:val="0"/>
          <w:sz w:val="22"/>
          <w:szCs w:val="22"/>
        </w:rPr>
        <w:t>Sustainable use of ecosystems and green-blue economy</w:t>
      </w:r>
      <w:bookmarkEnd w:id="50"/>
    </w:p>
    <w:p w14:paraId="59FCE7A8" w14:textId="3B1E64E0" w:rsidR="006B7655" w:rsidRPr="009B0448" w:rsidRDefault="00A8466E" w:rsidP="0033312D">
      <w:pPr>
        <w:spacing w:line="276" w:lineRule="auto"/>
        <w:jc w:val="both"/>
        <w:rPr>
          <w:rFonts w:ascii="Times New Roman" w:eastAsia="Times New Roman" w:hAnsi="Times New Roman" w:cs="Times New Roman"/>
        </w:rPr>
      </w:pPr>
      <w:bookmarkStart w:id="51" w:name="_49x2ik5" w:colFirst="0" w:colLast="0"/>
      <w:bookmarkEnd w:id="51"/>
      <w:r w:rsidRPr="009B0448">
        <w:rPr>
          <w:rFonts w:ascii="Times New Roman" w:eastAsia="Times New Roman" w:hAnsi="Times New Roman" w:cs="Times New Roman"/>
        </w:rPr>
        <w:t>The M</w:t>
      </w:r>
      <w:r w:rsidR="006010DD" w:rsidRPr="009B0448">
        <w:rPr>
          <w:rFonts w:ascii="Times New Roman" w:eastAsia="Times New Roman" w:hAnsi="Times New Roman" w:cs="Times New Roman"/>
        </w:rPr>
        <w:t>illennium Ecosystem Assessment</w:t>
      </w:r>
      <w:r w:rsidRPr="009B0448">
        <w:rPr>
          <w:rFonts w:ascii="Times New Roman" w:eastAsia="Times New Roman" w:hAnsi="Times New Roman" w:cs="Times New Roman"/>
        </w:rPr>
        <w:t xml:space="preserve"> (MA, 2005) reported, as mentioned earlier, that over 60% of the world’s ecosystem goods and services were degraded or unsustainably utilised. Sustainable economies are comprised of economic capital, social capital and environmental capital. However, if increases in economic and social capital cannot keep pace with the dwindling environmental capital, then economies will decline (UNEP, 201</w:t>
      </w:r>
      <w:r w:rsidR="00663335" w:rsidRPr="009B0448">
        <w:rPr>
          <w:rFonts w:ascii="Times New Roman" w:eastAsia="Times New Roman" w:hAnsi="Times New Roman" w:cs="Times New Roman"/>
        </w:rPr>
        <w:t>2b</w:t>
      </w:r>
      <w:r w:rsidRPr="009B0448">
        <w:rPr>
          <w:rFonts w:ascii="Times New Roman" w:eastAsia="Times New Roman" w:hAnsi="Times New Roman" w:cs="Times New Roman"/>
        </w:rPr>
        <w:t xml:space="preserve">). Climate change and the demands of a growing population </w:t>
      </w:r>
      <w:r w:rsidRPr="009B0448">
        <w:rPr>
          <w:rFonts w:ascii="Times New Roman" w:eastAsia="Times New Roman" w:hAnsi="Times New Roman" w:cs="Times New Roman"/>
        </w:rPr>
        <w:lastRenderedPageBreak/>
        <w:t>only serve to make more crucial the role of ecosystems and environmental capital in sustaining economic and social well</w:t>
      </w:r>
      <w:r w:rsidR="00663335" w:rsidRPr="009B0448">
        <w:rPr>
          <w:rFonts w:ascii="Times New Roman" w:eastAsia="Times New Roman" w:hAnsi="Times New Roman" w:cs="Times New Roman"/>
        </w:rPr>
        <w:t>-</w:t>
      </w:r>
      <w:r w:rsidRPr="009B0448">
        <w:rPr>
          <w:rFonts w:ascii="Times New Roman" w:eastAsia="Times New Roman" w:hAnsi="Times New Roman" w:cs="Times New Roman"/>
        </w:rPr>
        <w:t>being (UNEP, 2012</w:t>
      </w:r>
      <w:r w:rsidR="00663335" w:rsidRPr="009B0448">
        <w:rPr>
          <w:rFonts w:ascii="Times New Roman" w:eastAsia="Times New Roman" w:hAnsi="Times New Roman" w:cs="Times New Roman"/>
        </w:rPr>
        <w:t>b</w:t>
      </w:r>
      <w:r w:rsidRPr="009B0448">
        <w:rPr>
          <w:rFonts w:ascii="Times New Roman" w:eastAsia="Times New Roman" w:hAnsi="Times New Roman" w:cs="Times New Roman"/>
        </w:rPr>
        <w:t>). According to a recent review on how SDGs may “p</w:t>
      </w:r>
      <w:r w:rsidR="0026271E" w:rsidRPr="009B0448">
        <w:rPr>
          <w:rFonts w:ascii="Times New Roman" w:eastAsia="Times New Roman" w:hAnsi="Times New Roman" w:cs="Times New Roman"/>
        </w:rPr>
        <w:t>lay out for Africa” (Nhamo, 2017</w:t>
      </w:r>
      <w:r w:rsidRPr="009B0448">
        <w:rPr>
          <w:rFonts w:ascii="Times New Roman" w:eastAsia="Times New Roman" w:hAnsi="Times New Roman" w:cs="Times New Roman"/>
        </w:rPr>
        <w:t xml:space="preserve">) states that “issues that include gender and women, education, desire to </w:t>
      </w:r>
      <w:r w:rsidR="00264EBF" w:rsidRPr="009B0448">
        <w:rPr>
          <w:rFonts w:ascii="Times New Roman" w:eastAsia="Times New Roman" w:hAnsi="Times New Roman" w:cs="Times New Roman"/>
        </w:rPr>
        <w:t>prioritis</w:t>
      </w:r>
      <w:r w:rsidRPr="009B0448">
        <w:rPr>
          <w:rFonts w:ascii="Times New Roman" w:eastAsia="Times New Roman" w:hAnsi="Times New Roman" w:cs="Times New Roman"/>
        </w:rPr>
        <w:t>e Africa and technolo</w:t>
      </w:r>
      <w:r w:rsidR="0026271E" w:rsidRPr="009B0448">
        <w:rPr>
          <w:rFonts w:ascii="Times New Roman" w:eastAsia="Times New Roman" w:hAnsi="Times New Roman" w:cs="Times New Roman"/>
        </w:rPr>
        <w:t>gy emerge strongly”. Nhamo (2017</w:t>
      </w:r>
      <w:r w:rsidRPr="009B0448">
        <w:rPr>
          <w:rFonts w:ascii="Times New Roman" w:eastAsia="Times New Roman" w:hAnsi="Times New Roman" w:cs="Times New Roman"/>
        </w:rPr>
        <w:t>) concludes that “if the SDGs are to be a vehicle for poverty eradication in Africa, the continent needs to do more by itself, including domestic mobilization of financial resources”.</w:t>
      </w:r>
    </w:p>
    <w:p w14:paraId="3C905194" w14:textId="77777777" w:rsidR="006756DF" w:rsidRPr="009B0448" w:rsidRDefault="006756DF" w:rsidP="0033312D">
      <w:pPr>
        <w:spacing w:line="276" w:lineRule="auto"/>
        <w:jc w:val="both"/>
        <w:rPr>
          <w:rFonts w:ascii="Times New Roman" w:eastAsia="Times New Roman" w:hAnsi="Times New Roman" w:cs="Times New Roman"/>
        </w:rPr>
      </w:pPr>
    </w:p>
    <w:p w14:paraId="57B91EBF" w14:textId="3EC795F3" w:rsidR="006B7655" w:rsidRPr="009B0448" w:rsidRDefault="00EF2AC0"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As mentioned, </w:t>
      </w:r>
      <w:r w:rsidR="00A8466E" w:rsidRPr="009B0448">
        <w:rPr>
          <w:rFonts w:ascii="Times New Roman" w:eastAsia="Times New Roman" w:hAnsi="Times New Roman" w:cs="Times New Roman"/>
        </w:rPr>
        <w:t xml:space="preserve">Africa is endowed with rich and diverse renewable and non-renewable natural resources, yet its people remain among the poorest in the world (World Bank, 2012b). Currently, national accounting and global economic models do not account for all essential contributions of nature to people, especially in the </w:t>
      </w:r>
      <w:r w:rsidR="000B06FE" w:rsidRPr="009B0448">
        <w:rPr>
          <w:rFonts w:ascii="Times New Roman" w:eastAsia="Times New Roman" w:hAnsi="Times New Roman" w:cs="Times New Roman"/>
        </w:rPr>
        <w:t>long-term</w:t>
      </w:r>
      <w:r w:rsidR="00A8466E" w:rsidRPr="009B0448">
        <w:rPr>
          <w:rFonts w:ascii="Times New Roman" w:eastAsia="Times New Roman" w:hAnsi="Times New Roman" w:cs="Times New Roman"/>
        </w:rPr>
        <w:t>, leading to the overuse or misuse of natural resources (UNEP, 2010). Without full valuation of less-tangible benefits from ecosystems, use is likely to remain unsustainable and degradation inevitable, leading to the potential collapse of important ecosystem functions and services. Care of ecosystems and the benefits they provide can serve as the underpinning foundation on which a sustainable economic model can be developed (UNEP, 2010). One such desired model is the Green Economy, a concept that balances natural resource values with other values, and takes into account the loss in value of ecosystem services due to environmental impacts (UNEP, 2010). The decline in the ecological health and economic productivity of the world’s oceans and terrestrial environments can be reversed by shifting to a greener, more sustainable economic paradigm in which human well</w:t>
      </w:r>
      <w:r w:rsidR="00663335" w:rsidRPr="009B0448">
        <w:rPr>
          <w:rFonts w:ascii="Times New Roman" w:eastAsia="Times New Roman" w:hAnsi="Times New Roman" w:cs="Times New Roman"/>
        </w:rPr>
        <w:t>-</w:t>
      </w:r>
      <w:r w:rsidR="00A8466E" w:rsidRPr="009B0448">
        <w:rPr>
          <w:rFonts w:ascii="Times New Roman" w:eastAsia="Times New Roman" w:hAnsi="Times New Roman" w:cs="Times New Roman"/>
        </w:rPr>
        <w:t>being and social equity are improved, while environmental risks and ecological scarcities are reduced (UNEP, 2012</w:t>
      </w:r>
      <w:r w:rsidR="00663335" w:rsidRPr="009B0448">
        <w:rPr>
          <w:rFonts w:ascii="Times New Roman" w:eastAsia="Times New Roman" w:hAnsi="Times New Roman" w:cs="Times New Roman"/>
        </w:rPr>
        <w:t>b</w:t>
      </w:r>
      <w:r w:rsidR="00A8466E" w:rsidRPr="009B0448">
        <w:rPr>
          <w:rFonts w:ascii="Times New Roman" w:eastAsia="Times New Roman" w:hAnsi="Times New Roman" w:cs="Times New Roman"/>
        </w:rPr>
        <w:t>).</w:t>
      </w:r>
    </w:p>
    <w:p w14:paraId="5FF0DE0D" w14:textId="77777777" w:rsidR="0033312D" w:rsidRPr="009B0448" w:rsidRDefault="0033312D" w:rsidP="0033312D">
      <w:pPr>
        <w:spacing w:line="276" w:lineRule="auto"/>
        <w:jc w:val="both"/>
        <w:rPr>
          <w:rFonts w:ascii="Times New Roman" w:eastAsia="Times New Roman" w:hAnsi="Times New Roman" w:cs="Times New Roman"/>
        </w:rPr>
      </w:pPr>
    </w:p>
    <w:p w14:paraId="10783047" w14:textId="62284F5C"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term Blue Economy appears in a </w:t>
      </w:r>
      <w:r w:rsidR="005A18E8">
        <w:rPr>
          <w:rFonts w:ascii="Times New Roman" w:eastAsia="Times New Roman" w:hAnsi="Times New Roman" w:cs="Times New Roman"/>
        </w:rPr>
        <w:t>book by Pauli (2010)</w:t>
      </w:r>
      <w:r w:rsidRPr="009B0448">
        <w:rPr>
          <w:rFonts w:ascii="Times New Roman" w:eastAsia="Times New Roman" w:hAnsi="Times New Roman" w:cs="Times New Roman"/>
        </w:rPr>
        <w:t xml:space="preserve"> and was developed as a concept to complement that of the green economy, </w:t>
      </w:r>
      <w:r w:rsidR="00264EBF" w:rsidRPr="009B0448">
        <w:rPr>
          <w:rFonts w:ascii="Times New Roman" w:eastAsia="Times New Roman" w:hAnsi="Times New Roman" w:cs="Times New Roman"/>
        </w:rPr>
        <w:t>recognis</w:t>
      </w:r>
      <w:r w:rsidRPr="009B0448">
        <w:rPr>
          <w:rFonts w:ascii="Times New Roman" w:eastAsia="Times New Roman" w:hAnsi="Times New Roman" w:cs="Times New Roman"/>
        </w:rPr>
        <w:t>ing that seas and oceans are a key part of the needed transformations towards a low-carbon economy (UNEP, 2012</w:t>
      </w:r>
      <w:r w:rsidR="00663335" w:rsidRPr="009B0448">
        <w:rPr>
          <w:rFonts w:ascii="Times New Roman" w:eastAsia="Times New Roman" w:hAnsi="Times New Roman" w:cs="Times New Roman"/>
        </w:rPr>
        <w:t>b</w:t>
      </w:r>
      <w:r w:rsidRPr="009B0448">
        <w:rPr>
          <w:rFonts w:ascii="Times New Roman" w:eastAsia="Times New Roman" w:hAnsi="Times New Roman" w:cs="Times New Roman"/>
        </w:rPr>
        <w:t>). The key aim for a transition to a green and blue economy is to enable economic growth and investment (characterised by reduced carbon emissions and pollution and improved energy efficiency) while increasing environmental quality (through reduced loss of biodiversity and ecosystem services) and social inclusiveness (UNEP, 2011). The concept of a green and blue economy does not replace sustainable development; since achieving sustainability depends on achieving such economic balance (UNEP, 2011). Such an approach requires including natural capital and biodiversity as</w:t>
      </w:r>
      <w:r w:rsidR="005A18E8">
        <w:rPr>
          <w:rFonts w:ascii="Times New Roman" w:eastAsia="Times New Roman" w:hAnsi="Times New Roman" w:cs="Times New Roman"/>
        </w:rPr>
        <w:t xml:space="preserve"> the</w:t>
      </w:r>
      <w:r w:rsidRPr="009B0448">
        <w:rPr>
          <w:rFonts w:ascii="Times New Roman" w:eastAsia="Times New Roman" w:hAnsi="Times New Roman" w:cs="Times New Roman"/>
        </w:rPr>
        <w:t xml:space="preserve"> competitive edge for Africa, transforming and adding value to the green wealth in regional accounting and having inclusive investments, scalable and viable over a long time.</w:t>
      </w:r>
    </w:p>
    <w:p w14:paraId="5240C6B1" w14:textId="77777777" w:rsidR="0033312D" w:rsidRPr="009B0448" w:rsidRDefault="0033312D" w:rsidP="0033312D">
      <w:pPr>
        <w:spacing w:line="276" w:lineRule="auto"/>
        <w:jc w:val="both"/>
        <w:rPr>
          <w:rFonts w:ascii="Times New Roman" w:eastAsia="Times New Roman" w:hAnsi="Times New Roman" w:cs="Times New Roman"/>
        </w:rPr>
      </w:pPr>
    </w:p>
    <w:p w14:paraId="642F6964" w14:textId="040EE6FD"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Government of Botswana co-hosted the Summit for Sustainability in Africa in 2012, which resulted in the Gaborone Declaration (GDSA, 2012), a concrete set of proposals related to </w:t>
      </w:r>
      <w:r w:rsidR="00264EBF" w:rsidRPr="009B0448">
        <w:rPr>
          <w:rFonts w:ascii="Times New Roman" w:eastAsia="Times New Roman" w:hAnsi="Times New Roman" w:cs="Times New Roman"/>
        </w:rPr>
        <w:t>recognis</w:t>
      </w:r>
      <w:r w:rsidRPr="009B0448">
        <w:rPr>
          <w:rFonts w:ascii="Times New Roman" w:eastAsia="Times New Roman" w:hAnsi="Times New Roman" w:cs="Times New Roman"/>
        </w:rPr>
        <w:t xml:space="preserve">ing the role of natural capital in development. In 2013, the 10 signatory countries reconvened to take stock and </w:t>
      </w:r>
      <w:r w:rsidR="00F13B9C" w:rsidRPr="009B0448">
        <w:rPr>
          <w:rFonts w:ascii="Times New Roman" w:eastAsia="Times New Roman" w:hAnsi="Times New Roman" w:cs="Times New Roman"/>
        </w:rPr>
        <w:t>operationalis</w:t>
      </w:r>
      <w:r w:rsidRPr="009B0448">
        <w:rPr>
          <w:rFonts w:ascii="Times New Roman" w:eastAsia="Times New Roman" w:hAnsi="Times New Roman" w:cs="Times New Roman"/>
        </w:rPr>
        <w:t>e how to bring natural capital from the periphery to the centre of all economic decision-making.</w:t>
      </w:r>
    </w:p>
    <w:p w14:paraId="72FE23EA" w14:textId="77777777" w:rsidR="0033312D" w:rsidRPr="009B0448" w:rsidRDefault="0033312D" w:rsidP="0033312D">
      <w:pPr>
        <w:spacing w:line="276" w:lineRule="auto"/>
        <w:jc w:val="both"/>
        <w:rPr>
          <w:rFonts w:ascii="Times New Roman" w:hAnsi="Times New Roman" w:cs="Times New Roman"/>
        </w:rPr>
      </w:pPr>
    </w:p>
    <w:p w14:paraId="18FCD7EA" w14:textId="5F6A19D1"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Following this declaration, the core </w:t>
      </w:r>
      <w:r w:rsidR="00FC4906" w:rsidRPr="009B0448">
        <w:rPr>
          <w:rFonts w:ascii="Times New Roman" w:eastAsia="Times New Roman" w:hAnsi="Times New Roman" w:cs="Times New Roman"/>
        </w:rPr>
        <w:t>Wealth Accounting for Valuation of Ecosystem Services (</w:t>
      </w:r>
      <w:r w:rsidRPr="009B0448">
        <w:rPr>
          <w:rFonts w:ascii="Times New Roman" w:eastAsia="Times New Roman" w:hAnsi="Times New Roman" w:cs="Times New Roman"/>
        </w:rPr>
        <w:t>WAVES</w:t>
      </w:r>
      <w:r w:rsidR="00FC4906" w:rsidRPr="009B0448">
        <w:rPr>
          <w:rFonts w:ascii="Times New Roman" w:eastAsia="Times New Roman" w:hAnsi="Times New Roman" w:cs="Times New Roman"/>
        </w:rPr>
        <w:t>)</w:t>
      </w:r>
      <w:r w:rsidRPr="009B0448">
        <w:rPr>
          <w:rFonts w:ascii="Times New Roman" w:eastAsia="Times New Roman" w:hAnsi="Times New Roman" w:cs="Times New Roman"/>
        </w:rPr>
        <w:t xml:space="preserve"> countries have begun implementing Natural Capital Accounting. Apart from Bo</w:t>
      </w:r>
      <w:r w:rsidR="005A18E8">
        <w:rPr>
          <w:rFonts w:ascii="Times New Roman" w:eastAsia="Times New Roman" w:hAnsi="Times New Roman" w:cs="Times New Roman"/>
        </w:rPr>
        <w:t>tswana, Madagascar and Rwanda are</w:t>
      </w:r>
      <w:r w:rsidRPr="009B0448">
        <w:rPr>
          <w:rFonts w:ascii="Times New Roman" w:eastAsia="Times New Roman" w:hAnsi="Times New Roman" w:cs="Times New Roman"/>
        </w:rPr>
        <w:t xml:space="preserve"> making progress in this program with the World Bank. The WAVES partnership include the UN</w:t>
      </w:r>
      <w:r w:rsidR="00EA5480">
        <w:rPr>
          <w:rFonts w:ascii="Times New Roman" w:eastAsia="Times New Roman" w:hAnsi="Times New Roman" w:cs="Times New Roman"/>
        </w:rPr>
        <w:t>EP</w:t>
      </w:r>
      <w:r w:rsidRPr="009B0448">
        <w:rPr>
          <w:rFonts w:ascii="Times New Roman" w:eastAsia="Times New Roman" w:hAnsi="Times New Roman" w:cs="Times New Roman"/>
        </w:rPr>
        <w:t>, the UN</w:t>
      </w:r>
      <w:r w:rsidR="00EA5480">
        <w:rPr>
          <w:rFonts w:ascii="Times New Roman" w:eastAsia="Times New Roman" w:hAnsi="Times New Roman" w:cs="Times New Roman"/>
        </w:rPr>
        <w:t>DP</w:t>
      </w:r>
      <w:r w:rsidRPr="009B0448">
        <w:rPr>
          <w:rFonts w:ascii="Times New Roman" w:eastAsia="Times New Roman" w:hAnsi="Times New Roman" w:cs="Times New Roman"/>
        </w:rPr>
        <w:t>, and the UN Statistical Commission (</w:t>
      </w:r>
      <w:hyperlink r:id="rId56" w:history="1">
        <w:r w:rsidRPr="009B0448">
          <w:rPr>
            <w:rStyle w:val="Hyperlink"/>
            <w:rFonts w:ascii="Times New Roman" w:eastAsia="Times New Roman" w:hAnsi="Times New Roman" w:cs="Times New Roman"/>
          </w:rPr>
          <w:t>http://unstats.un.org/unsd/statcom/commission.htm</w:t>
        </w:r>
      </w:hyperlink>
      <w:r w:rsidRPr="009B0448">
        <w:rPr>
          <w:rFonts w:ascii="Times New Roman" w:eastAsia="Times New Roman" w:hAnsi="Times New Roman" w:cs="Times New Roman"/>
        </w:rPr>
        <w:t>); the countries of Botswana, Colombia, Costa Rica, Madagascar and the Philippines (implementing programs); as well as financial or other support from Australia, Canada, France, Japan, Norway, the United Kingdom, and several NGOs (see more details in Chapter 6).</w:t>
      </w:r>
    </w:p>
    <w:p w14:paraId="4BFD0485" w14:textId="77777777" w:rsidR="0033312D" w:rsidRPr="009B0448" w:rsidRDefault="0033312D" w:rsidP="0033312D">
      <w:pPr>
        <w:spacing w:line="276" w:lineRule="auto"/>
        <w:jc w:val="both"/>
        <w:rPr>
          <w:rFonts w:ascii="Times New Roman" w:hAnsi="Times New Roman" w:cs="Times New Roman"/>
        </w:rPr>
      </w:pPr>
    </w:p>
    <w:p w14:paraId="453EA4CE" w14:textId="18A5E0CF"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Africa’s 2050 integrated marine strategy (</w:t>
      </w:r>
      <w:r w:rsidR="004C12DE" w:rsidRPr="009B0448">
        <w:rPr>
          <w:rFonts w:ascii="Times New Roman" w:eastAsia="Times New Roman" w:hAnsi="Times New Roman" w:cs="Times New Roman"/>
        </w:rPr>
        <w:t>AU</w:t>
      </w:r>
      <w:r w:rsidRPr="009B0448">
        <w:rPr>
          <w:rFonts w:ascii="Times New Roman" w:eastAsia="Times New Roman" w:hAnsi="Times New Roman" w:cs="Times New Roman"/>
        </w:rPr>
        <w:t xml:space="preserve">, 2013) </w:t>
      </w:r>
      <w:r w:rsidR="00264EBF" w:rsidRPr="009B0448">
        <w:rPr>
          <w:rFonts w:ascii="Times New Roman" w:eastAsia="Times New Roman" w:hAnsi="Times New Roman" w:cs="Times New Roman"/>
        </w:rPr>
        <w:t>recognis</w:t>
      </w:r>
      <w:r w:rsidRPr="009B0448">
        <w:rPr>
          <w:rFonts w:ascii="Times New Roman" w:eastAsia="Times New Roman" w:hAnsi="Times New Roman" w:cs="Times New Roman"/>
        </w:rPr>
        <w:t>ed that the African Marine Domain (AMD) has vast potential for wealth creation through the Blue Economy. The Strategy provides a broad framework for the protection and sustainable exploitation of the AMD and highlights that Member States have significant responsibilities for generating the desirable political will for implementing the strategy. This was later consolidated by the African Union 2063 Agenda, which marked the member countries’ political will and strategic decision to make Africa’s green and blue/ocean economy a major contributor of Africa’s growth and transformation (</w:t>
      </w:r>
      <w:r w:rsidR="000C41D1" w:rsidRPr="009B0448">
        <w:rPr>
          <w:rFonts w:ascii="Times New Roman" w:eastAsia="Times New Roman" w:hAnsi="Times New Roman" w:cs="Times New Roman"/>
        </w:rPr>
        <w:t>AU</w:t>
      </w:r>
      <w:r w:rsidRPr="009B0448">
        <w:rPr>
          <w:rFonts w:ascii="Times New Roman" w:eastAsia="Times New Roman" w:hAnsi="Times New Roman" w:cs="Times New Roman"/>
        </w:rPr>
        <w:t>, 2015</w:t>
      </w:r>
      <w:r w:rsidR="00817A4B">
        <w:rPr>
          <w:rFonts w:ascii="Times New Roman" w:eastAsia="Times New Roman" w:hAnsi="Times New Roman" w:cs="Times New Roman"/>
        </w:rPr>
        <w:t>b</w:t>
      </w:r>
      <w:r w:rsidRPr="009B0448">
        <w:rPr>
          <w:rFonts w:ascii="Times New Roman" w:eastAsia="Times New Roman" w:hAnsi="Times New Roman" w:cs="Times New Roman"/>
        </w:rPr>
        <w:t>).</w:t>
      </w:r>
    </w:p>
    <w:p w14:paraId="546AFD89" w14:textId="77777777" w:rsidR="0033312D" w:rsidRPr="009B0448" w:rsidRDefault="0033312D" w:rsidP="0033312D">
      <w:pPr>
        <w:spacing w:line="276" w:lineRule="auto"/>
        <w:jc w:val="both"/>
        <w:rPr>
          <w:rFonts w:ascii="Times New Roman" w:eastAsia="Times New Roman" w:hAnsi="Times New Roman" w:cs="Times New Roman"/>
        </w:rPr>
      </w:pPr>
    </w:p>
    <w:p w14:paraId="701160B9" w14:textId="37E44EAE" w:rsidR="006B7655" w:rsidRPr="009B0448"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transition towards a green economy raises several policy questions. Specific enabling conditions, such as national regulations, policies, subsidies and incentives, as well as international market and legal infrastructure, trade and technical assistance, sustainable development strategies, poverty eradication and skills develo</w:t>
      </w:r>
      <w:r w:rsidR="004C12DE" w:rsidRPr="009B0448">
        <w:rPr>
          <w:rFonts w:ascii="Times New Roman" w:eastAsia="Times New Roman" w:hAnsi="Times New Roman" w:cs="Times New Roman"/>
        </w:rPr>
        <w:t>pment, are required (UNEP, 2011;</w:t>
      </w:r>
      <w:r w:rsidRPr="009B0448">
        <w:rPr>
          <w:rFonts w:ascii="Times New Roman" w:eastAsia="Times New Roman" w:hAnsi="Times New Roman" w:cs="Times New Roman"/>
        </w:rPr>
        <w:t xml:space="preserve"> Nhamo, 2013). At the heart of the green economy is the need to address </w:t>
      </w:r>
      <w:r w:rsidR="005A18E8">
        <w:rPr>
          <w:rFonts w:ascii="Times New Roman" w:eastAsia="Times New Roman" w:hAnsi="Times New Roman" w:cs="Times New Roman"/>
        </w:rPr>
        <w:t xml:space="preserve">the </w:t>
      </w:r>
      <w:r w:rsidRPr="009B0448">
        <w:rPr>
          <w:rFonts w:ascii="Times New Roman" w:eastAsia="Times New Roman" w:hAnsi="Times New Roman" w:cs="Times New Roman"/>
        </w:rPr>
        <w:t>negative impacts associated with climate change (Nhamo, 2013), energy insecurity and ecological scarcity (UNEP, 2011). A green economy can meet this challenge by offering a development path that reduces carbon dependency, promotes resource and energy efficiency, lessens environmental degradation, improved equity and job creation, and adaptation to rather than mitigation of climate change (UNEP, 2011, 2012</w:t>
      </w:r>
      <w:r w:rsidR="00B41B04" w:rsidRPr="009B0448">
        <w:rPr>
          <w:rFonts w:ascii="Times New Roman" w:eastAsia="Times New Roman" w:hAnsi="Times New Roman" w:cs="Times New Roman"/>
        </w:rPr>
        <w:t>a</w:t>
      </w:r>
      <w:r w:rsidRPr="009B0448">
        <w:rPr>
          <w:rFonts w:ascii="Times New Roman" w:eastAsia="Times New Roman" w:hAnsi="Times New Roman" w:cs="Times New Roman"/>
        </w:rPr>
        <w:t>; Nhamo, 2013). A green economy recognises that the goal of sustainable development is improving the quality of human life within the constraints of the environment (UNEP, 2011).</w:t>
      </w:r>
    </w:p>
    <w:p w14:paraId="50FB0A2B" w14:textId="77777777" w:rsidR="0033312D" w:rsidRPr="009B0448" w:rsidRDefault="0033312D" w:rsidP="0033312D">
      <w:pPr>
        <w:spacing w:line="276" w:lineRule="auto"/>
        <w:jc w:val="both"/>
        <w:rPr>
          <w:rFonts w:ascii="Times New Roman" w:eastAsia="Times New Roman" w:hAnsi="Times New Roman" w:cs="Times New Roman"/>
        </w:rPr>
      </w:pPr>
    </w:p>
    <w:p w14:paraId="5100BC93" w14:textId="16C77C04" w:rsidR="006B7655" w:rsidRDefault="00A8466E" w:rsidP="0033312D">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Actions towards harnessing the Green-Blue Economy for Africa’s Development in order to exploit the abundant opportunities offered by lands, waters, seas and oceans to accelerate structural transformation in Africa also requires reconsidering several paradigms on sustainable use and poverty reduction. The paradigm shift is already being made by the governments who want to converge with the rest of the world, which means technology acquisition, innovation, investment, getting the finance and using internal means as much as possible to do so. Africa is in a unique position to undertake a more balanced approach here. Thus, instead of keeping the continent at the margin of poverty, with incredibly high interna</w:t>
      </w:r>
      <w:r w:rsidR="005A18E8">
        <w:rPr>
          <w:rFonts w:ascii="Times New Roman" w:eastAsia="Times New Roman" w:hAnsi="Times New Roman" w:cs="Times New Roman"/>
        </w:rPr>
        <w:t>tional trade deficits and quasi-</w:t>
      </w:r>
      <w:r w:rsidRPr="009B0448">
        <w:rPr>
          <w:rFonts w:ascii="Times New Roman" w:eastAsia="Times New Roman" w:hAnsi="Times New Roman" w:cs="Times New Roman"/>
        </w:rPr>
        <w:t xml:space="preserve">subsistence, low productivity, lowly competitive and weakly diversified economies, Africa can invest in structural transformation and </w:t>
      </w:r>
      <w:r w:rsidR="00F13B9C" w:rsidRPr="009B0448">
        <w:rPr>
          <w:rFonts w:ascii="Times New Roman" w:eastAsia="Times New Roman" w:hAnsi="Times New Roman" w:cs="Times New Roman"/>
        </w:rPr>
        <w:t>industrialis</w:t>
      </w:r>
      <w:r w:rsidRPr="009B0448">
        <w:rPr>
          <w:rFonts w:ascii="Times New Roman" w:eastAsia="Times New Roman" w:hAnsi="Times New Roman" w:cs="Times New Roman"/>
        </w:rPr>
        <w:t>ation and invest in approaches that support green and blue economies.</w:t>
      </w:r>
    </w:p>
    <w:p w14:paraId="7DED5208" w14:textId="6CC2EECF" w:rsidR="00DA6432" w:rsidRDefault="00DA6432" w:rsidP="0033312D">
      <w:pPr>
        <w:spacing w:line="276" w:lineRule="auto"/>
        <w:jc w:val="both"/>
        <w:rPr>
          <w:rFonts w:ascii="Times New Roman" w:eastAsia="Times New Roman" w:hAnsi="Times New Roman" w:cs="Times New Roman"/>
        </w:rPr>
      </w:pPr>
    </w:p>
    <w:p w14:paraId="0D50769C" w14:textId="2B544D4B" w:rsidR="00DA6432" w:rsidRDefault="00DA6432" w:rsidP="0033312D">
      <w:pPr>
        <w:spacing w:line="276" w:lineRule="auto"/>
        <w:jc w:val="both"/>
        <w:rPr>
          <w:rFonts w:ascii="Times New Roman" w:eastAsia="Times New Roman" w:hAnsi="Times New Roman" w:cs="Times New Roman"/>
        </w:rPr>
      </w:pPr>
    </w:p>
    <w:p w14:paraId="5C25F868" w14:textId="6FED9F68" w:rsidR="00DA6432" w:rsidRDefault="00DA6432" w:rsidP="0033312D">
      <w:pPr>
        <w:spacing w:line="276" w:lineRule="auto"/>
        <w:jc w:val="both"/>
        <w:rPr>
          <w:rFonts w:ascii="Times New Roman" w:eastAsia="Times New Roman" w:hAnsi="Times New Roman" w:cs="Times New Roman"/>
        </w:rPr>
      </w:pPr>
    </w:p>
    <w:p w14:paraId="0A093DDD" w14:textId="02E3AB2F" w:rsidR="00DA6432" w:rsidRDefault="00DA6432" w:rsidP="0033312D">
      <w:pPr>
        <w:spacing w:line="276" w:lineRule="auto"/>
        <w:jc w:val="both"/>
        <w:rPr>
          <w:rFonts w:ascii="Times New Roman" w:eastAsia="Times New Roman" w:hAnsi="Times New Roman" w:cs="Times New Roman"/>
        </w:rPr>
      </w:pPr>
    </w:p>
    <w:p w14:paraId="732AE44A" w14:textId="64EE86E4" w:rsidR="00DA6432" w:rsidRDefault="00DA6432" w:rsidP="0033312D">
      <w:pPr>
        <w:spacing w:line="276" w:lineRule="auto"/>
        <w:jc w:val="both"/>
        <w:rPr>
          <w:rFonts w:ascii="Times New Roman" w:eastAsia="Times New Roman" w:hAnsi="Times New Roman" w:cs="Times New Roman"/>
        </w:rPr>
      </w:pPr>
    </w:p>
    <w:p w14:paraId="2DB9B810" w14:textId="6AA8FD5A" w:rsidR="00DA6432" w:rsidRDefault="00DA6432" w:rsidP="0033312D">
      <w:pPr>
        <w:spacing w:line="276" w:lineRule="auto"/>
        <w:jc w:val="both"/>
        <w:rPr>
          <w:rFonts w:ascii="Times New Roman" w:eastAsia="Times New Roman" w:hAnsi="Times New Roman" w:cs="Times New Roman"/>
        </w:rPr>
      </w:pPr>
    </w:p>
    <w:p w14:paraId="700C65F8" w14:textId="50315D8A" w:rsidR="00DA6432" w:rsidRDefault="00DA6432" w:rsidP="0033312D">
      <w:pPr>
        <w:spacing w:line="276" w:lineRule="auto"/>
        <w:jc w:val="both"/>
        <w:rPr>
          <w:rFonts w:ascii="Times New Roman" w:eastAsia="Times New Roman" w:hAnsi="Times New Roman" w:cs="Times New Roman"/>
        </w:rPr>
      </w:pPr>
    </w:p>
    <w:p w14:paraId="10DE5A31" w14:textId="4B6EF594" w:rsidR="00DA6432" w:rsidRDefault="00DA6432" w:rsidP="0033312D">
      <w:pPr>
        <w:spacing w:line="276" w:lineRule="auto"/>
        <w:jc w:val="both"/>
        <w:rPr>
          <w:rFonts w:ascii="Times New Roman" w:eastAsia="Times New Roman" w:hAnsi="Times New Roman" w:cs="Times New Roman"/>
        </w:rPr>
      </w:pPr>
    </w:p>
    <w:p w14:paraId="7AD009F3" w14:textId="5866A833" w:rsidR="00DA6432" w:rsidRDefault="00DA6432" w:rsidP="0033312D">
      <w:pPr>
        <w:spacing w:line="276" w:lineRule="auto"/>
        <w:jc w:val="both"/>
        <w:rPr>
          <w:rFonts w:ascii="Times New Roman" w:eastAsia="Times New Roman" w:hAnsi="Times New Roman" w:cs="Times New Roman"/>
        </w:rPr>
      </w:pPr>
    </w:p>
    <w:p w14:paraId="754F91E7" w14:textId="7B66625A" w:rsidR="00DA6432" w:rsidRDefault="00DA6432" w:rsidP="0033312D">
      <w:pPr>
        <w:spacing w:line="276" w:lineRule="auto"/>
        <w:jc w:val="both"/>
        <w:rPr>
          <w:rFonts w:ascii="Times New Roman" w:eastAsia="Times New Roman" w:hAnsi="Times New Roman" w:cs="Times New Roman"/>
        </w:rPr>
      </w:pPr>
    </w:p>
    <w:p w14:paraId="21D815B3" w14:textId="60707A12" w:rsidR="00DA6432" w:rsidRDefault="00DA6432" w:rsidP="0033312D">
      <w:pPr>
        <w:spacing w:line="276" w:lineRule="auto"/>
        <w:jc w:val="both"/>
        <w:rPr>
          <w:rFonts w:ascii="Times New Roman" w:eastAsia="Times New Roman" w:hAnsi="Times New Roman" w:cs="Times New Roman"/>
        </w:rPr>
      </w:pPr>
    </w:p>
    <w:p w14:paraId="5607E798" w14:textId="3535590F" w:rsidR="00DA6432" w:rsidRDefault="00DA6432" w:rsidP="0033312D">
      <w:pPr>
        <w:spacing w:line="276" w:lineRule="auto"/>
        <w:jc w:val="both"/>
        <w:rPr>
          <w:rFonts w:ascii="Times New Roman" w:eastAsia="Times New Roman" w:hAnsi="Times New Roman" w:cs="Times New Roman"/>
        </w:rPr>
      </w:pPr>
    </w:p>
    <w:p w14:paraId="5AA66F09" w14:textId="19BB69CB" w:rsidR="00DA6432" w:rsidRDefault="00DA6432" w:rsidP="0033312D">
      <w:pPr>
        <w:spacing w:line="276" w:lineRule="auto"/>
        <w:jc w:val="both"/>
        <w:rPr>
          <w:rFonts w:ascii="Times New Roman" w:eastAsia="Times New Roman" w:hAnsi="Times New Roman" w:cs="Times New Roman"/>
        </w:rPr>
      </w:pPr>
    </w:p>
    <w:p w14:paraId="45D63FA7" w14:textId="77777777" w:rsidR="00DA6432" w:rsidRPr="009B0448" w:rsidRDefault="00DA6432" w:rsidP="0033312D">
      <w:pPr>
        <w:spacing w:line="276" w:lineRule="auto"/>
        <w:jc w:val="both"/>
        <w:rPr>
          <w:rFonts w:ascii="Times New Roman" w:eastAsia="Times New Roman" w:hAnsi="Times New Roman" w:cs="Times New Roman"/>
        </w:rPr>
      </w:pPr>
    </w:p>
    <w:p w14:paraId="76B6D951" w14:textId="1569FC92" w:rsidR="006B7655" w:rsidRPr="009B0448" w:rsidRDefault="00A8466E" w:rsidP="00FA7185">
      <w:pPr>
        <w:pStyle w:val="Heading3"/>
        <w:widowControl w:val="0"/>
        <w:numPr>
          <w:ilvl w:val="1"/>
          <w:numId w:val="10"/>
        </w:numPr>
        <w:spacing w:before="240" w:after="240"/>
        <w:ind w:left="709"/>
        <w:rPr>
          <w:rFonts w:eastAsia="Calibri" w:cs="Times New Roman"/>
          <w:szCs w:val="24"/>
        </w:rPr>
      </w:pPr>
      <w:bookmarkStart w:id="52" w:name="_Toc519499800"/>
      <w:r w:rsidRPr="009B0448">
        <w:rPr>
          <w:rFonts w:eastAsia="Calibri" w:cs="Times New Roman"/>
          <w:szCs w:val="24"/>
        </w:rPr>
        <w:lastRenderedPageBreak/>
        <w:t>References</w:t>
      </w:r>
      <w:bookmarkEnd w:id="52"/>
    </w:p>
    <w:p w14:paraId="2658C466"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Abdel Rahman, Y. (2009). The contribution of indigenous knowledge to an environmental education programme: A study in St Katherine Protectorate, South Sinai, Egypt. </w:t>
      </w:r>
      <w:r w:rsidRPr="009B0448">
        <w:rPr>
          <w:rFonts w:ascii="Times New Roman" w:eastAsia="Times New Roman" w:hAnsi="Times New Roman" w:cs="Times New Roman"/>
          <w:i/>
          <w:color w:val="00000A"/>
        </w:rPr>
        <w:t>The International Journal of Environmental, Cultural, Economic and Social Sustainability</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5</w:t>
      </w:r>
      <w:r w:rsidRPr="009B0448">
        <w:rPr>
          <w:rFonts w:ascii="Times New Roman" w:eastAsia="Times New Roman" w:hAnsi="Times New Roman" w:cs="Times New Roman"/>
          <w:color w:val="00000A"/>
        </w:rPr>
        <w:t xml:space="preserve">(3), 157–172. </w:t>
      </w:r>
      <w:hyperlink r:id="rId57" w:history="1">
        <w:r w:rsidRPr="009B0448">
          <w:rPr>
            <w:rStyle w:val="Hyperlink"/>
            <w:rFonts w:ascii="Times New Roman" w:eastAsia="Times New Roman" w:hAnsi="Times New Roman" w:cs="Times New Roman"/>
          </w:rPr>
          <w:t>https://doi.org/10.18848/1832-2077/CGP/v05i03/54619</w:t>
        </w:r>
      </w:hyperlink>
    </w:p>
    <w:p w14:paraId="367337B9"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Abel, G. J., &amp; Sander, N. (2014). Quantifying global international migration flows. </w:t>
      </w:r>
      <w:r w:rsidRPr="009B0448">
        <w:rPr>
          <w:rFonts w:ascii="Times New Roman" w:eastAsia="Times New Roman" w:hAnsi="Times New Roman" w:cs="Times New Roman"/>
          <w:i/>
          <w:color w:val="00000A"/>
        </w:rPr>
        <w:t>Science, 343</w:t>
      </w:r>
      <w:r w:rsidRPr="009B0448">
        <w:rPr>
          <w:rFonts w:ascii="Times New Roman" w:eastAsia="Times New Roman" w:hAnsi="Times New Roman" w:cs="Times New Roman"/>
          <w:color w:val="00000A"/>
        </w:rPr>
        <w:t xml:space="preserve">(6178), 1520–1522. </w:t>
      </w:r>
      <w:hyperlink r:id="rId58" w:history="1">
        <w:r w:rsidRPr="009B0448">
          <w:rPr>
            <w:rStyle w:val="Hyperlink"/>
            <w:rFonts w:ascii="Times New Roman" w:eastAsia="Times New Roman" w:hAnsi="Times New Roman" w:cs="Times New Roman"/>
          </w:rPr>
          <w:t>https://doi.org/10.1126/science.1248676</w:t>
        </w:r>
      </w:hyperlink>
    </w:p>
    <w:p w14:paraId="7D2D96A9"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Abell, R., Thieme, M. L., Revenga, C., Bryer, M., Kottelat, M., Bogutskaya, N., Coad, B., Mandrak, N., Balderas, S. C., Bussing, W., &amp; Stiassny, M. L. (2008). Freshwater ecoregions of the world: A new map of biogeographic units for freshwater biodiversity conservation. </w:t>
      </w:r>
      <w:r w:rsidRPr="009B0448">
        <w:rPr>
          <w:rFonts w:ascii="Times New Roman" w:eastAsia="Times New Roman" w:hAnsi="Times New Roman" w:cs="Times New Roman"/>
          <w:i/>
          <w:color w:val="00000A"/>
        </w:rPr>
        <w:t>BioScience, 58</w:t>
      </w:r>
      <w:r w:rsidRPr="009B0448">
        <w:rPr>
          <w:rFonts w:ascii="Times New Roman" w:eastAsia="Times New Roman" w:hAnsi="Times New Roman" w:cs="Times New Roman"/>
          <w:color w:val="00000A"/>
        </w:rPr>
        <w:t xml:space="preserve">(5), 403. </w:t>
      </w:r>
      <w:hyperlink r:id="rId59" w:history="1">
        <w:r w:rsidRPr="009B0448">
          <w:rPr>
            <w:rStyle w:val="Hyperlink"/>
            <w:rFonts w:ascii="Times New Roman" w:eastAsia="Times New Roman" w:hAnsi="Times New Roman" w:cs="Times New Roman"/>
          </w:rPr>
          <w:t>https://doi.org/10.1641/B580507</w:t>
        </w:r>
      </w:hyperlink>
    </w:p>
    <w:p w14:paraId="58F9C528"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Adams, W. M. (2003). Nature and the colonial mind. In W. M. Adams &amp; M. Mulligan (Eds.), </w:t>
      </w:r>
      <w:r w:rsidRPr="009B0448">
        <w:rPr>
          <w:rFonts w:ascii="Times New Roman" w:eastAsia="Times New Roman" w:hAnsi="Times New Roman" w:cs="Times New Roman"/>
          <w:i/>
          <w:color w:val="00000A"/>
        </w:rPr>
        <w:t>Decolonizing Nature: Strategies for conservation in a post colonial era</w:t>
      </w:r>
      <w:r w:rsidRPr="009B0448">
        <w:rPr>
          <w:rFonts w:ascii="Times New Roman" w:eastAsia="Times New Roman" w:hAnsi="Times New Roman" w:cs="Times New Roman"/>
          <w:color w:val="00000A"/>
        </w:rPr>
        <w:t xml:space="preserve"> (pp. 16–50). London, U.K.: Earthscan. ISBN 9781849770927</w:t>
      </w:r>
    </w:p>
    <w:p w14:paraId="010D81CD"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Adano, W. R., &amp; Daudi, F. (2012). Links between climate change, conflict and governance in Africa. </w:t>
      </w:r>
      <w:r w:rsidRPr="009B0448">
        <w:rPr>
          <w:rFonts w:ascii="Times New Roman" w:eastAsia="Times New Roman" w:hAnsi="Times New Roman" w:cs="Times New Roman"/>
          <w:i/>
          <w:color w:val="00000A"/>
        </w:rPr>
        <w:t>Institute for Security Studies Papers</w:t>
      </w:r>
      <w:r w:rsidRPr="009B0448">
        <w:rPr>
          <w:rFonts w:ascii="Times New Roman" w:eastAsia="Times New Roman" w:hAnsi="Times New Roman" w:cs="Times New Roman"/>
          <w:color w:val="00000A"/>
        </w:rPr>
        <w:t xml:space="preserve">, (234), 20. Retrieved from </w:t>
      </w:r>
      <w:hyperlink r:id="rId60" w:history="1">
        <w:r w:rsidRPr="009B0448">
          <w:rPr>
            <w:rStyle w:val="Hyperlink"/>
            <w:rFonts w:ascii="Times New Roman" w:eastAsia="Times New Roman" w:hAnsi="Times New Roman" w:cs="Times New Roman"/>
          </w:rPr>
          <w:t>https://issafrica.s3.amazonaws.com/site/uploads/Paper_234.pdf</w:t>
        </w:r>
      </w:hyperlink>
    </w:p>
    <w:p w14:paraId="7E394905"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Adeel, Z., Safriel, U., Niemeijer, D., White, R., de Kalbermatten, G., Glantz, M., Salem, B., Scholes, R. J., Niamir-Fuller, M., Ehui, S., &amp; </w:t>
      </w:r>
      <w:r w:rsidRPr="009B0448">
        <w:rPr>
          <w:rFonts w:ascii="Times New Roman" w:eastAsia="Times New Roman" w:hAnsi="Times New Roman" w:cs="Times New Roman"/>
          <w:color w:val="00000A"/>
        </w:rPr>
        <w:t xml:space="preserve">Yapi-Gnaore, V. (2005). </w:t>
      </w:r>
      <w:r w:rsidRPr="009B0448">
        <w:rPr>
          <w:rFonts w:ascii="Times New Roman" w:eastAsia="Times New Roman" w:hAnsi="Times New Roman" w:cs="Times New Roman"/>
          <w:i/>
          <w:color w:val="00000A"/>
        </w:rPr>
        <w:t>Ecosystems and human well-being: Desertification synthesis</w:t>
      </w:r>
      <w:r w:rsidRPr="009B0448">
        <w:rPr>
          <w:rFonts w:ascii="Times New Roman" w:eastAsia="Times New Roman" w:hAnsi="Times New Roman" w:cs="Times New Roman"/>
          <w:color w:val="00000A"/>
        </w:rPr>
        <w:t xml:space="preserve">. Washington, DC, USA: World Resources Institute. Retrieved from </w:t>
      </w:r>
      <w:hyperlink r:id="rId61" w:history="1">
        <w:r w:rsidRPr="009B0448">
          <w:rPr>
            <w:rStyle w:val="Hyperlink"/>
            <w:rFonts w:ascii="Times New Roman" w:eastAsia="Times New Roman" w:hAnsi="Times New Roman" w:cs="Times New Roman"/>
          </w:rPr>
          <w:t>http://www.millenniumassessment.org/documents/document.355.aspx.pdf</w:t>
        </w:r>
      </w:hyperlink>
    </w:p>
    <w:p w14:paraId="76B343D1"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AfDB (African Development Bank). (2010). </w:t>
      </w:r>
      <w:r w:rsidRPr="009B0448">
        <w:rPr>
          <w:rFonts w:ascii="Times New Roman" w:eastAsia="Times New Roman" w:hAnsi="Times New Roman" w:cs="Times New Roman"/>
          <w:i/>
          <w:color w:val="00000A"/>
        </w:rPr>
        <w:t>Africa in the post-crisis global economy: Turning the recovery into strong, sustained and shared growth.</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rPr>
        <w:t>African Development Bank</w:t>
      </w:r>
      <w:r w:rsidRPr="009B0448">
        <w:rPr>
          <w:rFonts w:ascii="Times New Roman" w:eastAsia="Times New Roman" w:hAnsi="Times New Roman" w:cs="Times New Roman"/>
          <w:color w:val="00000A"/>
        </w:rPr>
        <w:t xml:space="preserve">. Retrieved from </w:t>
      </w:r>
      <w:hyperlink r:id="rId62" w:history="1">
        <w:r w:rsidRPr="009B0448">
          <w:rPr>
            <w:rStyle w:val="Hyperlink"/>
            <w:rFonts w:ascii="Times New Roman" w:eastAsia="Times New Roman" w:hAnsi="Times New Roman" w:cs="Times New Roman"/>
          </w:rPr>
          <w:t>http://www.afdb.org/fileadmin/uploads/afdb/Documents/Publications/C-10%20Note%201%20English%20%28final%29_for%20posting.pdf</w:t>
        </w:r>
      </w:hyperlink>
    </w:p>
    <w:p w14:paraId="563DB02C" w14:textId="77777777" w:rsidR="001A3B0A" w:rsidRPr="009B0448" w:rsidRDefault="001A3B0A" w:rsidP="00E63B88">
      <w:pPr>
        <w:spacing w:after="120" w:line="276" w:lineRule="auto"/>
        <w:ind w:left="567" w:hanging="567"/>
        <w:rPr>
          <w:rFonts w:ascii="Times New Roman" w:hAnsi="Times New Roman" w:cs="Times New Roman"/>
        </w:rPr>
      </w:pPr>
      <w:r w:rsidRPr="009B0448">
        <w:rPr>
          <w:rFonts w:ascii="Times New Roman" w:eastAsia="Times New Roman" w:hAnsi="Times New Roman" w:cs="Times New Roman"/>
        </w:rPr>
        <w:t>African Centre for Biodiversity</w:t>
      </w:r>
      <w:r w:rsidRPr="009B0448">
        <w:rPr>
          <w:rFonts w:ascii="Times New Roman" w:eastAsia="Times New Roman" w:hAnsi="Times New Roman" w:cs="Times New Roman"/>
          <w:color w:val="00000A"/>
        </w:rPr>
        <w:t xml:space="preserve">. (2017). </w:t>
      </w:r>
      <w:r w:rsidRPr="009B0448">
        <w:rPr>
          <w:rFonts w:ascii="Times New Roman" w:eastAsia="Times New Roman" w:hAnsi="Times New Roman" w:cs="Times New Roman"/>
          <w:i/>
          <w:color w:val="00000A"/>
        </w:rPr>
        <w:t>Against the odds, smallholder farmers maintain agricultural biodiversity in South Africa</w:t>
      </w:r>
      <w:r w:rsidRPr="009B0448">
        <w:rPr>
          <w:rFonts w:ascii="Times New Roman" w:eastAsia="Times New Roman" w:hAnsi="Times New Roman" w:cs="Times New Roman"/>
          <w:color w:val="00000A"/>
        </w:rPr>
        <w:t xml:space="preserve"> (Field Work Report) (p. 49). Retrieved from </w:t>
      </w:r>
      <w:hyperlink r:id="rId63" w:history="1">
        <w:r w:rsidRPr="009B0448">
          <w:rPr>
            <w:rStyle w:val="Hyperlink"/>
            <w:rFonts w:ascii="Times New Roman" w:hAnsi="Times New Roman" w:cs="Times New Roman"/>
          </w:rPr>
          <w:t>http://acbio.org.za/sites/default/files/2017/02/South-Africa-Field-Report-2017.pdf</w:t>
        </w:r>
      </w:hyperlink>
    </w:p>
    <w:p w14:paraId="179C5C95"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Agbosu, L. K. (2000). </w:t>
      </w:r>
      <w:r w:rsidRPr="009B0448">
        <w:rPr>
          <w:rFonts w:ascii="Times New Roman" w:eastAsia="Times New Roman" w:hAnsi="Times New Roman" w:cs="Times New Roman"/>
          <w:i/>
          <w:color w:val="00000A"/>
        </w:rPr>
        <w:t xml:space="preserve">Land law in Ghana: Contradiction between Anglo-American and customary conceptions of tenure and practices </w:t>
      </w:r>
      <w:r w:rsidRPr="009B0448">
        <w:rPr>
          <w:rFonts w:ascii="Times New Roman" w:eastAsia="Times New Roman" w:hAnsi="Times New Roman" w:cs="Times New Roman"/>
          <w:color w:val="00000A"/>
        </w:rPr>
        <w:t xml:space="preserve">(Working Paper No. 33). Madison, USA: Land Tenure Centre, University of Wisconsin. Retrieved from </w:t>
      </w:r>
      <w:hyperlink r:id="rId64" w:history="1">
        <w:r w:rsidRPr="009B0448">
          <w:rPr>
            <w:rStyle w:val="Hyperlink"/>
            <w:rFonts w:ascii="Times New Roman" w:eastAsia="Times New Roman" w:hAnsi="Times New Roman" w:cs="Times New Roman"/>
          </w:rPr>
          <w:t>http://ageconsearch.tind.io//bitstream/12796/1/ltcwp33.pdf</w:t>
        </w:r>
      </w:hyperlink>
    </w:p>
    <w:p w14:paraId="64987660"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Agidie, A., Ayele, B., Wassie, A., Hadgu, K. M., Aynekulu, E., &amp; Mowo, J. (2014). Agroforestry practices and farmers’ perception in Koga watershed, upper Nile Basin, Ethiopia. </w:t>
      </w:r>
      <w:r w:rsidRPr="009B0448">
        <w:rPr>
          <w:rFonts w:ascii="Times New Roman" w:eastAsia="Times New Roman" w:hAnsi="Times New Roman" w:cs="Times New Roman"/>
          <w:i/>
          <w:color w:val="00000A"/>
        </w:rPr>
        <w:t>Agriculture and Forestry</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60</w:t>
      </w:r>
      <w:r w:rsidRPr="009B0448">
        <w:rPr>
          <w:rFonts w:ascii="Times New Roman" w:eastAsia="Times New Roman" w:hAnsi="Times New Roman" w:cs="Times New Roman"/>
          <w:color w:val="00000A"/>
        </w:rPr>
        <w:t xml:space="preserve">(2), 177. Retrieved from </w:t>
      </w:r>
      <w:hyperlink r:id="rId65" w:history="1">
        <w:r w:rsidRPr="009B0448">
          <w:rPr>
            <w:rStyle w:val="Hyperlink"/>
            <w:rFonts w:ascii="Times New Roman" w:eastAsia="Times New Roman" w:hAnsi="Times New Roman" w:cs="Times New Roman"/>
          </w:rPr>
          <w:t>http://89.188.43.75/agricultforest/20140628-16%20Agidie%20et%20al.pdf</w:t>
        </w:r>
      </w:hyperlink>
    </w:p>
    <w:p w14:paraId="48022E32"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Agrawal, A. (1995). Dismantling the divide between indigenous and scientific knowledge. </w:t>
      </w:r>
      <w:r w:rsidRPr="009B0448">
        <w:rPr>
          <w:rFonts w:ascii="Times New Roman" w:eastAsia="Times New Roman" w:hAnsi="Times New Roman" w:cs="Times New Roman"/>
          <w:i/>
          <w:color w:val="00000A"/>
        </w:rPr>
        <w:t>Development and Change, 26</w:t>
      </w:r>
      <w:r w:rsidRPr="009B0448">
        <w:rPr>
          <w:rFonts w:ascii="Times New Roman" w:eastAsia="Times New Roman" w:hAnsi="Times New Roman" w:cs="Times New Roman"/>
          <w:color w:val="00000A"/>
        </w:rPr>
        <w:t xml:space="preserve">(3), 413–439. </w:t>
      </w:r>
      <w:hyperlink r:id="rId66" w:history="1">
        <w:r w:rsidRPr="009B0448">
          <w:rPr>
            <w:rStyle w:val="Hyperlink"/>
            <w:rFonts w:ascii="Times New Roman" w:eastAsia="Times New Roman" w:hAnsi="Times New Roman" w:cs="Times New Roman"/>
          </w:rPr>
          <w:t>https://doi.org/10.1111/j.1467-7660.1995.tb00560.x</w:t>
        </w:r>
      </w:hyperlink>
    </w:p>
    <w:p w14:paraId="16B30E88"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Alauddin, M., &amp; Quiggin, J. (2008). Agricultural intensification, irrigation and the environment in South Asia: Issues and policy options. </w:t>
      </w:r>
      <w:r w:rsidRPr="009B0448">
        <w:rPr>
          <w:rFonts w:ascii="Times New Roman" w:eastAsia="Times New Roman" w:hAnsi="Times New Roman" w:cs="Times New Roman"/>
          <w:i/>
          <w:color w:val="00000A"/>
        </w:rPr>
        <w:t>Ecological Economics, 65</w:t>
      </w:r>
      <w:r w:rsidRPr="009B0448">
        <w:rPr>
          <w:rFonts w:ascii="Times New Roman" w:eastAsia="Times New Roman" w:hAnsi="Times New Roman" w:cs="Times New Roman"/>
          <w:color w:val="00000A"/>
        </w:rPr>
        <w:t xml:space="preserve">(1), 111–124. </w:t>
      </w:r>
      <w:hyperlink r:id="rId67" w:history="1">
        <w:r w:rsidRPr="009B0448">
          <w:rPr>
            <w:rStyle w:val="Hyperlink"/>
            <w:rFonts w:ascii="Times New Roman" w:eastAsia="Times New Roman" w:hAnsi="Times New Roman" w:cs="Times New Roman"/>
          </w:rPr>
          <w:t>https://doi.org/10.1016/j.ecolecon.2007.06.004x</w:t>
        </w:r>
      </w:hyperlink>
    </w:p>
    <w:p w14:paraId="6E412D21"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highlight w:val="yellow"/>
        </w:rPr>
      </w:pPr>
      <w:r w:rsidRPr="009B0448">
        <w:rPr>
          <w:rFonts w:ascii="Times New Roman" w:eastAsia="Times New Roman" w:hAnsi="Times New Roman" w:cs="Times New Roman"/>
          <w:color w:val="00000A"/>
        </w:rPr>
        <w:lastRenderedPageBreak/>
        <w:t xml:space="preserve">Alkire, S., &amp; Robles, G. (2016). Measuring multidimensional poverty: Dashboards, union identification, and the Multidimensional Poverty Index (MPI). </w:t>
      </w:r>
      <w:r w:rsidRPr="009B0448">
        <w:rPr>
          <w:rFonts w:ascii="Times New Roman" w:eastAsia="Times New Roman" w:hAnsi="Times New Roman" w:cs="Times New Roman"/>
          <w:i/>
          <w:color w:val="00000A"/>
        </w:rPr>
        <w:t>OPHI Research in Progress, 2</w:t>
      </w:r>
      <w:r w:rsidRPr="009B0448">
        <w:rPr>
          <w:rFonts w:ascii="Times New Roman" w:eastAsia="Times New Roman" w:hAnsi="Times New Roman" w:cs="Times New Roman"/>
          <w:color w:val="00000A"/>
        </w:rPr>
        <w:t xml:space="preserve">. Retrieved from </w:t>
      </w:r>
      <w:hyperlink r:id="rId68" w:history="1">
        <w:r w:rsidRPr="009B0448">
          <w:rPr>
            <w:rStyle w:val="Hyperlink"/>
            <w:rFonts w:ascii="Times New Roman" w:eastAsia="Times New Roman" w:hAnsi="Times New Roman" w:cs="Times New Roman"/>
          </w:rPr>
          <w:t>http://www.ophi.org.uk/wp-content/uploads/OPHIRP046a.pdf</w:t>
        </w:r>
      </w:hyperlink>
    </w:p>
    <w:p w14:paraId="556D2DE5"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Alkire, S., &amp; Santos, M. E. (2010). Acute multidimensional poverty: A new index for developing countries. </w:t>
      </w:r>
      <w:r w:rsidRPr="009B0448">
        <w:rPr>
          <w:rFonts w:ascii="Times New Roman" w:eastAsia="Times New Roman" w:hAnsi="Times New Roman" w:cs="Times New Roman"/>
          <w:i/>
          <w:color w:val="00000A"/>
        </w:rPr>
        <w:t>OPHI Working Paper, 38</w:t>
      </w:r>
      <w:r w:rsidRPr="009B0448">
        <w:rPr>
          <w:rFonts w:ascii="Times New Roman" w:eastAsia="Times New Roman" w:hAnsi="Times New Roman" w:cs="Times New Roman"/>
          <w:color w:val="00000A"/>
        </w:rPr>
        <w:t xml:space="preserve">, 1–139. Retrieved from </w:t>
      </w:r>
      <w:hyperlink r:id="rId69" w:history="1">
        <w:r w:rsidRPr="009B0448">
          <w:rPr>
            <w:rStyle w:val="Hyperlink"/>
            <w:rFonts w:ascii="Times New Roman" w:eastAsia="Times New Roman" w:hAnsi="Times New Roman" w:cs="Times New Roman"/>
          </w:rPr>
          <w:t>https://www.ophi.org.uk/wp-content/uploads/OPHI-wp38_with_note.pdf</w:t>
        </w:r>
      </w:hyperlink>
    </w:p>
    <w:p w14:paraId="58867B0A" w14:textId="77777777" w:rsidR="001A3B0A" w:rsidRPr="009B0448" w:rsidRDefault="001A3B0A" w:rsidP="00E63B88">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color w:val="00000A"/>
        </w:rPr>
        <w:t xml:space="preserve">Alkire, S., Jindra, C., Aguilar, G. R., &amp; Vaz, A. (2017). Multidimensional poverty reduction among countries in sub-Saharan Africa. </w:t>
      </w:r>
      <w:r w:rsidRPr="009B0448">
        <w:rPr>
          <w:rFonts w:ascii="Times New Roman" w:eastAsia="Times New Roman" w:hAnsi="Times New Roman" w:cs="Times New Roman"/>
          <w:i/>
          <w:color w:val="00000A"/>
        </w:rPr>
        <w:t>Forum for Social Economics, 46</w:t>
      </w:r>
      <w:r w:rsidRPr="009B0448">
        <w:rPr>
          <w:rFonts w:ascii="Times New Roman" w:eastAsia="Times New Roman" w:hAnsi="Times New Roman" w:cs="Times New Roman"/>
          <w:color w:val="00000A"/>
        </w:rPr>
        <w:t xml:space="preserve">(2), 178–191. </w:t>
      </w:r>
      <w:hyperlink r:id="rId70" w:history="1">
        <w:r w:rsidRPr="009B0448">
          <w:rPr>
            <w:rStyle w:val="Hyperlink"/>
            <w:rFonts w:ascii="Times New Roman" w:eastAsia="Times New Roman" w:hAnsi="Times New Roman" w:cs="Times New Roman"/>
          </w:rPr>
          <w:t>https://doi.org/10.1080/07360932.2017.1310123</w:t>
        </w:r>
      </w:hyperlink>
    </w:p>
    <w:p w14:paraId="3A2B0819"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AMCEN. (2011). </w:t>
      </w:r>
      <w:r w:rsidRPr="009B0448">
        <w:rPr>
          <w:rFonts w:ascii="Times New Roman" w:eastAsia="Times New Roman" w:hAnsi="Times New Roman" w:cs="Times New Roman"/>
          <w:i/>
          <w:color w:val="00000A"/>
        </w:rPr>
        <w:t>Addressing climate change challenges in Africa: A practical guide towards sustainable development.</w:t>
      </w:r>
      <w:r w:rsidRPr="009B0448">
        <w:rPr>
          <w:rFonts w:ascii="Times New Roman" w:eastAsia="Times New Roman" w:hAnsi="Times New Roman" w:cs="Times New Roman"/>
          <w:color w:val="00000A"/>
        </w:rPr>
        <w:t xml:space="preserve"> Addis Ababa, Ethiopia: AMCEN/African Union Commission. Retrieved from </w:t>
      </w:r>
      <w:hyperlink r:id="rId71" w:history="1">
        <w:r w:rsidRPr="009B0448">
          <w:rPr>
            <w:rStyle w:val="Hyperlink"/>
            <w:rFonts w:ascii="Times New Roman" w:eastAsia="Times New Roman" w:hAnsi="Times New Roman" w:cs="Times New Roman"/>
          </w:rPr>
          <w:t>http://www.mtnforum.org/sites/default/files/publication/files/guidebook_climatechange.pdf</w:t>
        </w:r>
      </w:hyperlink>
    </w:p>
    <w:p w14:paraId="1FE27C47" w14:textId="77777777" w:rsidR="001A3B0A" w:rsidRPr="009B0448" w:rsidRDefault="001A3B0A" w:rsidP="00E63B88">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color w:val="00000A"/>
        </w:rPr>
        <w:t xml:space="preserve">Anderson, P. M. L., Avlonitis, G., &amp; Ernstson, H. (2014). Ecological outcomes of civic and expert-led urban greening projects using indigenous plant species in Cape Town, South Africa. </w:t>
      </w:r>
      <w:r w:rsidRPr="009B0448">
        <w:rPr>
          <w:rFonts w:ascii="Times New Roman" w:eastAsia="Times New Roman" w:hAnsi="Times New Roman" w:cs="Times New Roman"/>
          <w:i/>
          <w:color w:val="00000A"/>
        </w:rPr>
        <w:t>Landscape and Urban Planning, 127</w:t>
      </w:r>
      <w:r w:rsidRPr="009B0448">
        <w:rPr>
          <w:rFonts w:ascii="Times New Roman" w:eastAsia="Times New Roman" w:hAnsi="Times New Roman" w:cs="Times New Roman"/>
          <w:color w:val="00000A"/>
        </w:rPr>
        <w:t xml:space="preserve">, 104–113. </w:t>
      </w:r>
      <w:hyperlink r:id="rId72" w:history="1">
        <w:r w:rsidRPr="009B0448">
          <w:rPr>
            <w:rStyle w:val="Hyperlink"/>
            <w:rFonts w:ascii="Times New Roman" w:eastAsia="Times New Roman" w:hAnsi="Times New Roman" w:cs="Times New Roman"/>
          </w:rPr>
          <w:t>https://doi.org/10.1016/j.landurbplan.2014.03.007</w:t>
        </w:r>
      </w:hyperlink>
    </w:p>
    <w:p w14:paraId="4EC6776D"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Anderson, P. M. L., Okereke, C., Rudd, A., &amp; Parnell, S. (2013). Regional Assessment of Africa. In T. Elmqvist, M. Fragkias, J. Goodness, B. Güneralp, P. J. Marcotullio, R. I. McDonald, S. Parnell, M. Schewenius, M. Sendstad, K. C. Seto, &amp; C. Wilkinson (Eds.), </w:t>
      </w:r>
      <w:r w:rsidRPr="009B0448">
        <w:rPr>
          <w:rFonts w:ascii="Times New Roman" w:eastAsia="Times New Roman" w:hAnsi="Times New Roman" w:cs="Times New Roman"/>
          <w:i/>
          <w:color w:val="00000A"/>
        </w:rPr>
        <w:t>Urbanization, biodiversity and ecosystem services: Challenges and opportunities</w:t>
      </w:r>
      <w:r w:rsidRPr="009B0448">
        <w:rPr>
          <w:rFonts w:ascii="Times New Roman" w:eastAsia="Times New Roman" w:hAnsi="Times New Roman" w:cs="Times New Roman"/>
          <w:color w:val="00000A"/>
        </w:rPr>
        <w:t xml:space="preserve"> (pp. 453–459). Netherlands: Springer. Retrieved from </w:t>
      </w:r>
      <w:hyperlink r:id="rId73" w:history="1">
        <w:r w:rsidRPr="009B0448">
          <w:rPr>
            <w:rStyle w:val="Hyperlink"/>
            <w:rFonts w:ascii="Times New Roman" w:hAnsi="Times New Roman" w:cs="Times New Roman"/>
          </w:rPr>
          <w:t>https://link.springer.com/content/pdf/10.1007%2F978-94-007-7088-1_23.pdf</w:t>
        </w:r>
      </w:hyperlink>
    </w:p>
    <w:p w14:paraId="2EE05CF3" w14:textId="77777777" w:rsidR="001A3B0A" w:rsidRPr="009B0448" w:rsidRDefault="001A3B0A" w:rsidP="00E63B8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APP (Africa Progress Panel). (2014). </w:t>
      </w:r>
      <w:r w:rsidRPr="009B0448">
        <w:rPr>
          <w:rFonts w:ascii="Times New Roman" w:eastAsia="Times New Roman" w:hAnsi="Times New Roman" w:cs="Times New Roman"/>
          <w:i/>
          <w:color w:val="00000A"/>
        </w:rPr>
        <w:t>Grain fish money: Financing Africa’s green and blue revolutions: Africa Progress Report 2014.</w:t>
      </w:r>
      <w:r w:rsidRPr="009B0448">
        <w:rPr>
          <w:rFonts w:ascii="Times New Roman" w:eastAsia="Times New Roman" w:hAnsi="Times New Roman" w:cs="Times New Roman"/>
          <w:color w:val="00000A"/>
        </w:rPr>
        <w:t xml:space="preserve"> Africa Progress Panel. Retrieved from </w:t>
      </w:r>
      <w:hyperlink r:id="rId74" w:history="1">
        <w:r w:rsidRPr="009B0448">
          <w:rPr>
            <w:rStyle w:val="Hyperlink"/>
            <w:rFonts w:ascii="Times New Roman" w:eastAsia="Times New Roman" w:hAnsi="Times New Roman" w:cs="Times New Roman"/>
          </w:rPr>
          <w:t>http://www.afdb.org/fileadmin/uploads/afdb/Documents/Project-and-Operations/Africa_Progress_Report_2014.PDF</w:t>
        </w:r>
      </w:hyperlink>
    </w:p>
    <w:p w14:paraId="705AB3A3" w14:textId="77777777" w:rsidR="001A3B0A" w:rsidRPr="009B0448" w:rsidRDefault="001A3B0A" w:rsidP="00E63B88">
      <w:pPr>
        <w:spacing w:after="120" w:line="276" w:lineRule="auto"/>
        <w:ind w:left="567" w:hanging="567"/>
        <w:rPr>
          <w:rFonts w:ascii="Times New Roman" w:hAnsi="Times New Roman" w:cs="Times New Roman"/>
        </w:rPr>
      </w:pPr>
      <w:r w:rsidRPr="009B0448">
        <w:rPr>
          <w:rFonts w:ascii="Times New Roman" w:eastAsia="Times New Roman" w:hAnsi="Times New Roman" w:cs="Times New Roman"/>
          <w:color w:val="00000A"/>
        </w:rPr>
        <w:t xml:space="preserve">APP (Africa Progress Panel). (2015). </w:t>
      </w:r>
      <w:r w:rsidRPr="009B0448">
        <w:rPr>
          <w:rFonts w:ascii="Times New Roman" w:eastAsia="Times New Roman" w:hAnsi="Times New Roman" w:cs="Times New Roman"/>
          <w:i/>
          <w:color w:val="00000A"/>
        </w:rPr>
        <w:t>Power, people, planet: seizing Africa’s energy and climate opportunities: Africa progress report 2015</w:t>
      </w:r>
      <w:r w:rsidRPr="009B0448">
        <w:rPr>
          <w:rFonts w:ascii="Times New Roman" w:eastAsia="Times New Roman" w:hAnsi="Times New Roman" w:cs="Times New Roman"/>
          <w:color w:val="00000A"/>
        </w:rPr>
        <w:t xml:space="preserve">. Africa Progress Panel. Retrieved from </w:t>
      </w:r>
      <w:hyperlink r:id="rId75" w:history="1">
        <w:r w:rsidRPr="009B0448">
          <w:rPr>
            <w:rStyle w:val="Hyperlink"/>
            <w:rFonts w:ascii="Times New Roman" w:hAnsi="Times New Roman" w:cs="Times New Roman"/>
          </w:rPr>
          <w:t>https://reliefweb.int/sites/reliefweb.int/files/resources/APP_REPORT_2015_FINAL_low1.pdf</w:t>
        </w:r>
      </w:hyperlink>
    </w:p>
    <w:p w14:paraId="62AA5A7D"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Arimah, B. C. (2011). </w:t>
      </w:r>
      <w:r w:rsidRPr="009B0448">
        <w:rPr>
          <w:rFonts w:ascii="Times New Roman" w:eastAsia="Times New Roman" w:hAnsi="Times New Roman" w:cs="Times New Roman"/>
          <w:i/>
          <w:color w:val="00000A"/>
        </w:rPr>
        <w:t>Slums as expressions of social exclusion: Explaining the prevalence of slums in African countries.</w:t>
      </w:r>
      <w:r w:rsidRPr="009B0448">
        <w:rPr>
          <w:rFonts w:ascii="Times New Roman" w:eastAsia="Times New Roman" w:hAnsi="Times New Roman" w:cs="Times New Roman"/>
          <w:color w:val="00000A"/>
        </w:rPr>
        <w:t xml:space="preserve"> Nairobi, Kenya: United Nations Human Settlements Programme. Retrieved from </w:t>
      </w:r>
      <w:hyperlink r:id="rId76" w:history="1">
        <w:r w:rsidRPr="009B0448">
          <w:rPr>
            <w:rStyle w:val="Hyperlink"/>
            <w:rFonts w:ascii="Times New Roman" w:eastAsia="Times New Roman" w:hAnsi="Times New Roman" w:cs="Times New Roman"/>
          </w:rPr>
          <w:t>www.oecd.org/dev/pgd/46837274.pdf</w:t>
        </w:r>
      </w:hyperlink>
    </w:p>
    <w:p w14:paraId="3C5E6B5D"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Arthurton, H., &amp; Koranteng, K. (2006). Coastal and Marine Environments. In J. C. Mohamed-Katerere, &amp; M. Sabet (Eds.), </w:t>
      </w:r>
      <w:r w:rsidRPr="009B0448">
        <w:rPr>
          <w:rFonts w:ascii="Times New Roman" w:eastAsia="Times New Roman" w:hAnsi="Times New Roman" w:cs="Times New Roman"/>
          <w:i/>
          <w:color w:val="00000A"/>
        </w:rPr>
        <w:t xml:space="preserve">Africa Environment Outlook 2: Our environment, our wealth </w:t>
      </w:r>
      <w:r w:rsidRPr="009B0448">
        <w:rPr>
          <w:rFonts w:ascii="Times New Roman" w:eastAsia="Times New Roman" w:hAnsi="Times New Roman" w:cs="Times New Roman"/>
          <w:color w:val="00000A"/>
        </w:rPr>
        <w:t xml:space="preserve">(pp. 155–195). Nairobi, Kenya: UNEP. Retrieved from </w:t>
      </w:r>
      <w:hyperlink r:id="rId77" w:history="1">
        <w:r w:rsidRPr="009B0448">
          <w:rPr>
            <w:rStyle w:val="Hyperlink"/>
            <w:rFonts w:ascii="Times New Roman" w:eastAsia="Times New Roman" w:hAnsi="Times New Roman" w:cs="Times New Roman"/>
          </w:rPr>
          <w:t>http://wedocs.unep.org/bitstream/handle/20.500.11822/9626/-Africa%20Environment%20Outlook%202_%20Our%20Environment%2c%20Our%20Wealth-2006688.pdf?sequence=3&amp;isAllowed=y</w:t>
        </w:r>
      </w:hyperlink>
    </w:p>
    <w:p w14:paraId="0D49B597"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Asongu, S. A. (2015). </w:t>
      </w:r>
      <w:r w:rsidRPr="009B0448">
        <w:rPr>
          <w:rFonts w:ascii="Times New Roman" w:eastAsia="Times New Roman" w:hAnsi="Times New Roman" w:cs="Times New Roman"/>
          <w:i/>
          <w:color w:val="00000A"/>
        </w:rPr>
        <w:t>Rational asymmetric development: Transfer mispricing and sub-Saharan Africa’s extreme poverty tragedy.</w:t>
      </w:r>
      <w:r w:rsidRPr="009B0448">
        <w:rPr>
          <w:rFonts w:ascii="Times New Roman" w:eastAsia="Times New Roman" w:hAnsi="Times New Roman" w:cs="Times New Roman"/>
          <w:color w:val="00000A"/>
        </w:rPr>
        <w:t xml:space="preserve"> Rochester, NY, USA: Social Science Research Network. Retrieved from </w:t>
      </w:r>
      <w:hyperlink r:id="rId78" w:history="1">
        <w:r w:rsidRPr="009B0448">
          <w:rPr>
            <w:rStyle w:val="Hyperlink"/>
            <w:rFonts w:ascii="Times New Roman" w:eastAsia="Times New Roman" w:hAnsi="Times New Roman" w:cs="Times New Roman"/>
          </w:rPr>
          <w:t>http://papers.ssrn.com/abstract=2752532</w:t>
        </w:r>
      </w:hyperlink>
    </w:p>
    <w:p w14:paraId="5FC81D6C" w14:textId="3BF20FD9" w:rsidR="001A3B0A" w:rsidRPr="009B0448" w:rsidRDefault="00247AD0" w:rsidP="00E63B88">
      <w:pPr>
        <w:spacing w:after="120" w:line="276" w:lineRule="auto"/>
        <w:ind w:left="567" w:hanging="567"/>
        <w:rPr>
          <w:rFonts w:ascii="Times New Roman" w:eastAsia="Times New Roman" w:hAnsi="Times New Roman" w:cs="Times New Roman"/>
          <w:color w:val="00000A"/>
        </w:rPr>
      </w:pPr>
      <w:r>
        <w:rPr>
          <w:rFonts w:ascii="Times New Roman" w:eastAsia="Times New Roman" w:hAnsi="Times New Roman" w:cs="Times New Roman"/>
          <w:color w:val="00000A"/>
        </w:rPr>
        <w:t>AU</w:t>
      </w:r>
      <w:r w:rsidR="001A3B0A" w:rsidRPr="009B0448">
        <w:rPr>
          <w:rFonts w:ascii="Times New Roman" w:eastAsia="Times New Roman" w:hAnsi="Times New Roman" w:cs="Times New Roman"/>
          <w:color w:val="00000A"/>
        </w:rPr>
        <w:t>. (2010).</w:t>
      </w:r>
      <w:r w:rsidR="001A3B0A" w:rsidRPr="009B0448">
        <w:rPr>
          <w:rFonts w:ascii="Times New Roman" w:eastAsia="Times New Roman" w:hAnsi="Times New Roman" w:cs="Times New Roman"/>
          <w:i/>
          <w:color w:val="00000A"/>
        </w:rPr>
        <w:t xml:space="preserve"> Policy framework for pastoralism in Africa: securing, protecting and improving the lives, livelihoods and rights of pastoralist communities.</w:t>
      </w:r>
      <w:r w:rsidR="001A3B0A" w:rsidRPr="009B0448">
        <w:rPr>
          <w:rFonts w:ascii="Times New Roman" w:eastAsia="Times New Roman" w:hAnsi="Times New Roman" w:cs="Times New Roman"/>
          <w:color w:val="00000A"/>
        </w:rPr>
        <w:t xml:space="preserve"> Addis Ababa, Ethiopia: Department of Rural </w:t>
      </w:r>
      <w:r w:rsidR="001A3B0A" w:rsidRPr="009B0448">
        <w:rPr>
          <w:rFonts w:ascii="Times New Roman" w:eastAsia="Times New Roman" w:hAnsi="Times New Roman" w:cs="Times New Roman"/>
          <w:color w:val="00000A"/>
        </w:rPr>
        <w:lastRenderedPageBreak/>
        <w:t xml:space="preserve">Economy and Agriculture, African Union Commission. Retrieved from </w:t>
      </w:r>
      <w:hyperlink r:id="rId79" w:history="1">
        <w:r w:rsidR="001A3B0A" w:rsidRPr="009B0448">
          <w:rPr>
            <w:rStyle w:val="Hyperlink"/>
            <w:rFonts w:ascii="Times New Roman" w:eastAsia="Times New Roman" w:hAnsi="Times New Roman" w:cs="Times New Roman"/>
          </w:rPr>
          <w:t>http://publications.cta.int/media/publications/downloads/1735_PDF.pdf</w:t>
        </w:r>
      </w:hyperlink>
    </w:p>
    <w:p w14:paraId="1B1DA196" w14:textId="0837AFD6" w:rsidR="001A3B0A" w:rsidRPr="009B0448" w:rsidRDefault="00247AD0" w:rsidP="00E63B88">
      <w:pPr>
        <w:spacing w:after="120" w:line="276" w:lineRule="auto"/>
        <w:ind w:left="567" w:hanging="567"/>
        <w:rPr>
          <w:rFonts w:ascii="Times New Roman" w:eastAsia="Times New Roman" w:hAnsi="Times New Roman" w:cs="Times New Roman"/>
          <w:color w:val="00000A"/>
        </w:rPr>
      </w:pPr>
      <w:r>
        <w:rPr>
          <w:rFonts w:ascii="Times New Roman" w:eastAsia="Times New Roman" w:hAnsi="Times New Roman" w:cs="Times New Roman"/>
          <w:color w:val="00000A"/>
        </w:rPr>
        <w:t>AU</w:t>
      </w:r>
      <w:r w:rsidR="001A3B0A" w:rsidRPr="009B0448">
        <w:rPr>
          <w:rFonts w:ascii="Times New Roman" w:eastAsia="Times New Roman" w:hAnsi="Times New Roman" w:cs="Times New Roman"/>
          <w:color w:val="00000A"/>
        </w:rPr>
        <w:t xml:space="preserve">. (2013). </w:t>
      </w:r>
      <w:r w:rsidR="001A3B0A" w:rsidRPr="009B0448">
        <w:rPr>
          <w:rFonts w:ascii="Times New Roman" w:eastAsia="Times New Roman" w:hAnsi="Times New Roman" w:cs="Times New Roman"/>
          <w:i/>
          <w:color w:val="00000A"/>
        </w:rPr>
        <w:t>2050 Africa’s integrated marine strategy (2050 AIM Strategy)</w:t>
      </w:r>
      <w:r w:rsidR="001A3B0A" w:rsidRPr="009B0448">
        <w:rPr>
          <w:rFonts w:ascii="Times New Roman" w:eastAsia="Times New Roman" w:hAnsi="Times New Roman" w:cs="Times New Roman"/>
          <w:color w:val="00000A"/>
        </w:rPr>
        <w:t xml:space="preserve">. Addis Ababa, Ethiopia: Department of Rural Economy and Agriculture, African Union Commission. Retrieved from </w:t>
      </w:r>
      <w:hyperlink r:id="rId80" w:history="1">
        <w:r w:rsidR="001A3B0A" w:rsidRPr="009B0448">
          <w:rPr>
            <w:rStyle w:val="Hyperlink"/>
            <w:rFonts w:ascii="Times New Roman" w:eastAsia="Times New Roman" w:hAnsi="Times New Roman" w:cs="Times New Roman"/>
          </w:rPr>
          <w:t>http://pages.au.int/sites/default/files/2050%20AIM%20Strategy%20%28Eng%29_0.pdf</w:t>
        </w:r>
      </w:hyperlink>
    </w:p>
    <w:p w14:paraId="3A675973" w14:textId="77777777" w:rsidR="00817A4B" w:rsidRDefault="00817A4B" w:rsidP="00E63B88">
      <w:pPr>
        <w:spacing w:after="120" w:line="276" w:lineRule="auto"/>
        <w:ind w:left="567" w:hanging="567"/>
        <w:rPr>
          <w:rFonts w:ascii="Times New Roman" w:eastAsia="Times New Roman" w:hAnsi="Times New Roman" w:cs="Times New Roman"/>
          <w:color w:val="00000A"/>
        </w:rPr>
      </w:pPr>
      <w:r>
        <w:rPr>
          <w:rFonts w:ascii="Times New Roman" w:eastAsia="Times New Roman" w:hAnsi="Times New Roman" w:cs="Times New Roman"/>
          <w:color w:val="00000A"/>
        </w:rPr>
        <w:t>AU</w:t>
      </w:r>
      <w:r w:rsidRPr="00817A4B">
        <w:rPr>
          <w:rFonts w:ascii="Times New Roman" w:eastAsia="Times New Roman" w:hAnsi="Times New Roman" w:cs="Times New Roman"/>
          <w:color w:val="00000A"/>
        </w:rPr>
        <w:t>. (2015</w:t>
      </w:r>
      <w:r>
        <w:rPr>
          <w:rFonts w:ascii="Times New Roman" w:eastAsia="Times New Roman" w:hAnsi="Times New Roman" w:cs="Times New Roman"/>
          <w:color w:val="00000A"/>
        </w:rPr>
        <w:t>a</w:t>
      </w:r>
      <w:r w:rsidRPr="00817A4B">
        <w:rPr>
          <w:rFonts w:ascii="Times New Roman" w:eastAsia="Times New Roman" w:hAnsi="Times New Roman" w:cs="Times New Roman"/>
          <w:color w:val="00000A"/>
        </w:rPr>
        <w:t xml:space="preserve">). </w:t>
      </w:r>
      <w:r w:rsidRPr="00817A4B">
        <w:rPr>
          <w:rFonts w:ascii="Times New Roman" w:eastAsia="Times New Roman" w:hAnsi="Times New Roman" w:cs="Times New Roman"/>
          <w:i/>
          <w:color w:val="00000A"/>
        </w:rPr>
        <w:t>MDG Report 2015: Assessing Progress in Africa toward the Millennium Development Goals.</w:t>
      </w:r>
      <w:r w:rsidRPr="00817A4B">
        <w:rPr>
          <w:rFonts w:ascii="Times New Roman" w:eastAsia="Times New Roman" w:hAnsi="Times New Roman" w:cs="Times New Roman"/>
          <w:color w:val="00000A"/>
        </w:rPr>
        <w:t xml:space="preserve"> Addis Ababa, Ethiopia: Economic Commission for Africa. Retrieved from </w:t>
      </w:r>
      <w:hyperlink r:id="rId81" w:history="1">
        <w:r w:rsidRPr="004059F1">
          <w:rPr>
            <w:rStyle w:val="Hyperlink"/>
            <w:rFonts w:ascii="Times New Roman" w:eastAsia="Times New Roman" w:hAnsi="Times New Roman" w:cs="Times New Roman"/>
          </w:rPr>
          <w:t>http://www.afdb.org/fileadmin/uploads/afdb/Documents/Publications/MDG_Report_2015.pdf</w:t>
        </w:r>
      </w:hyperlink>
    </w:p>
    <w:p w14:paraId="29DF745C" w14:textId="77777777" w:rsidR="00817A4B" w:rsidRPr="009B0448" w:rsidRDefault="00817A4B" w:rsidP="007663F3">
      <w:pPr>
        <w:widowControl w:val="0"/>
        <w:spacing w:before="120" w:after="120" w:line="276" w:lineRule="auto"/>
        <w:ind w:left="567" w:hanging="567"/>
        <w:rPr>
          <w:rFonts w:ascii="Times New Roman" w:eastAsia="Times New Roman" w:hAnsi="Times New Roman" w:cs="Times New Roman"/>
          <w:lang w:val="en-ZA" w:eastAsia="en-GB"/>
        </w:rPr>
      </w:pPr>
      <w:r>
        <w:rPr>
          <w:rFonts w:ascii="Times New Roman" w:eastAsia="Times New Roman" w:hAnsi="Times New Roman" w:cs="Times New Roman"/>
          <w:lang w:val="en-ZA" w:eastAsia="en-GB"/>
        </w:rPr>
        <w:t>AU</w:t>
      </w:r>
      <w:r w:rsidRPr="009B0448">
        <w:rPr>
          <w:rFonts w:ascii="Times New Roman" w:eastAsia="Times New Roman" w:hAnsi="Times New Roman" w:cs="Times New Roman"/>
          <w:lang w:val="en-ZA" w:eastAsia="en-GB"/>
        </w:rPr>
        <w:t>. (2015</w:t>
      </w:r>
      <w:r>
        <w:rPr>
          <w:rFonts w:ascii="Times New Roman" w:eastAsia="Times New Roman" w:hAnsi="Times New Roman" w:cs="Times New Roman"/>
          <w:lang w:val="en-ZA" w:eastAsia="en-GB"/>
        </w:rPr>
        <w:t>b</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Agenda 2063: The Africa we want</w:t>
      </w:r>
      <w:r w:rsidRPr="009B0448">
        <w:rPr>
          <w:rFonts w:ascii="Times New Roman" w:eastAsia="Times New Roman" w:hAnsi="Times New Roman" w:cs="Times New Roman"/>
          <w:lang w:val="en-ZA" w:eastAsia="en-GB"/>
        </w:rPr>
        <w:t xml:space="preserve">. </w:t>
      </w:r>
      <w:r w:rsidRPr="009B0448">
        <w:rPr>
          <w:rFonts w:ascii="Times New Roman" w:hAnsi="Times New Roman" w:cs="Times New Roman"/>
        </w:rPr>
        <w:t xml:space="preserve">Addis Ababa, Ethiopia: </w:t>
      </w:r>
      <w:r w:rsidRPr="009B0448">
        <w:rPr>
          <w:rFonts w:ascii="Times New Roman" w:eastAsia="Times New Roman" w:hAnsi="Times New Roman" w:cs="Times New Roman"/>
          <w:lang w:val="en-ZA" w:eastAsia="en-GB"/>
        </w:rPr>
        <w:t xml:space="preserve">African Union Commission. Retrieved from </w:t>
      </w:r>
      <w:hyperlink r:id="rId82" w:history="1">
        <w:r w:rsidRPr="009B0448">
          <w:rPr>
            <w:rStyle w:val="Hyperlink"/>
            <w:rFonts w:ascii="Times New Roman" w:hAnsi="Times New Roman" w:cs="Times New Roman"/>
            <w:lang w:val="en-ZA" w:eastAsia="en-GB"/>
          </w:rPr>
          <w:t>http://archive.au.int/assets/images/agenda2063.pdf</w:t>
        </w:r>
      </w:hyperlink>
    </w:p>
    <w:p w14:paraId="7B00E428" w14:textId="03CCD5B2" w:rsidR="001A3B0A" w:rsidRPr="009B0448" w:rsidRDefault="00247AD0" w:rsidP="00E63B88">
      <w:pPr>
        <w:spacing w:after="120" w:line="276" w:lineRule="auto"/>
        <w:ind w:left="567" w:hanging="567"/>
        <w:rPr>
          <w:rFonts w:ascii="Times New Roman" w:eastAsia="Times New Roman" w:hAnsi="Times New Roman" w:cs="Times New Roman"/>
          <w:color w:val="00000A"/>
        </w:rPr>
      </w:pPr>
      <w:r>
        <w:rPr>
          <w:rFonts w:ascii="Times New Roman" w:eastAsia="Times New Roman" w:hAnsi="Times New Roman" w:cs="Times New Roman"/>
          <w:color w:val="00000A"/>
        </w:rPr>
        <w:t>AU</w:t>
      </w:r>
      <w:r w:rsidR="001A3B0A" w:rsidRPr="009B0448">
        <w:rPr>
          <w:rFonts w:ascii="Times New Roman" w:eastAsia="Times New Roman" w:hAnsi="Times New Roman" w:cs="Times New Roman"/>
          <w:color w:val="00000A"/>
        </w:rPr>
        <w:t xml:space="preserve">. (2017). </w:t>
      </w:r>
      <w:r w:rsidR="001A3B0A" w:rsidRPr="009B0448">
        <w:rPr>
          <w:rFonts w:ascii="Times New Roman" w:eastAsia="Times New Roman" w:hAnsi="Times New Roman" w:cs="Times New Roman"/>
          <w:i/>
          <w:color w:val="00000A"/>
        </w:rPr>
        <w:t>State of Africa’s population 2017. Keeping rights of girls, adolescents and young women at the centre of Africa’s demographic dividend</w:t>
      </w:r>
      <w:r w:rsidR="001A3B0A" w:rsidRPr="009B0448">
        <w:rPr>
          <w:rFonts w:ascii="Times New Roman" w:eastAsia="Times New Roman" w:hAnsi="Times New Roman" w:cs="Times New Roman"/>
          <w:color w:val="00000A"/>
        </w:rPr>
        <w:t xml:space="preserve">. (I. Nyamongo K. &amp; D. K. Shilabukha, Eds.). Addis Ababa, Ethiopia: African Union Commission. Retrieved from </w:t>
      </w:r>
      <w:hyperlink r:id="rId83" w:history="1">
        <w:r w:rsidR="001A3B0A" w:rsidRPr="009B0448">
          <w:rPr>
            <w:rStyle w:val="Hyperlink"/>
            <w:rFonts w:ascii="Times New Roman" w:eastAsia="Times New Roman" w:hAnsi="Times New Roman" w:cs="Times New Roman"/>
          </w:rPr>
          <w:t>https://au.int/sites/default/files/newsevents/workingdocuments/32187-wd-state_of_africas_population_-_sa19093_-e.pdf</w:t>
        </w:r>
      </w:hyperlink>
    </w:p>
    <w:p w14:paraId="6C3DC7F1"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Bach, H., Bird, J., Clausen, T. J., Jensen, K. M., Lange, R. B., Taylor, R., Viriyasakultorn, V., &amp; </w:t>
      </w:r>
      <w:r w:rsidRPr="009B0448">
        <w:rPr>
          <w:rFonts w:ascii="Times New Roman" w:eastAsia="Times New Roman" w:hAnsi="Times New Roman" w:cs="Times New Roman"/>
          <w:color w:val="00000A"/>
        </w:rPr>
        <w:t xml:space="preserve">Wolf, A. (2012). </w:t>
      </w:r>
      <w:r w:rsidRPr="009B0448">
        <w:rPr>
          <w:rFonts w:ascii="Times New Roman" w:eastAsia="Times New Roman" w:hAnsi="Times New Roman" w:cs="Times New Roman"/>
          <w:i/>
          <w:color w:val="00000A"/>
        </w:rPr>
        <w:t>Transboundary river basin management: Addressing water, energy and food security</w:t>
      </w:r>
      <w:r w:rsidRPr="009B0448">
        <w:rPr>
          <w:rFonts w:ascii="Times New Roman" w:eastAsia="Times New Roman" w:hAnsi="Times New Roman" w:cs="Times New Roman"/>
          <w:color w:val="00000A"/>
        </w:rPr>
        <w:t xml:space="preserve">. Vientiane, Lao: Mekong River Commission. Retrieved from </w:t>
      </w:r>
      <w:hyperlink r:id="rId84" w:history="1">
        <w:r w:rsidRPr="009B0448">
          <w:rPr>
            <w:rStyle w:val="Hyperlink"/>
            <w:rFonts w:ascii="Times New Roman" w:eastAsia="Times New Roman" w:hAnsi="Times New Roman" w:cs="Times New Roman"/>
          </w:rPr>
          <w:t>http://www.mrcmekong.org/assets/Uploads/M2R-report-address-water-energy-food-security.pdf</w:t>
        </w:r>
      </w:hyperlink>
    </w:p>
    <w:p w14:paraId="192C5AAB"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Bai, Z. G., Dent, D. L., Olsson, L., &amp; Schaepman, M. E. (2008). Proxy global assessment of land degradation. </w:t>
      </w:r>
      <w:r w:rsidRPr="009B0448">
        <w:rPr>
          <w:rFonts w:ascii="Times New Roman" w:eastAsia="Times New Roman" w:hAnsi="Times New Roman" w:cs="Times New Roman"/>
          <w:i/>
          <w:color w:val="00000A"/>
        </w:rPr>
        <w:t>Soil Use and Management, 24</w:t>
      </w:r>
      <w:r w:rsidRPr="009B0448">
        <w:rPr>
          <w:rFonts w:ascii="Times New Roman" w:eastAsia="Times New Roman" w:hAnsi="Times New Roman" w:cs="Times New Roman"/>
          <w:color w:val="00000A"/>
        </w:rPr>
        <w:t xml:space="preserve">(3), 223–234. </w:t>
      </w:r>
      <w:hyperlink r:id="rId85" w:history="1">
        <w:r w:rsidRPr="009B0448">
          <w:rPr>
            <w:rStyle w:val="Hyperlink"/>
            <w:rFonts w:ascii="Times New Roman" w:eastAsia="Times New Roman" w:hAnsi="Times New Roman" w:cs="Times New Roman"/>
          </w:rPr>
          <w:t>https://doi.org/10.1111/j.1475-2743.2008.00169.x</w:t>
        </w:r>
      </w:hyperlink>
    </w:p>
    <w:p w14:paraId="559F1E2C"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Bailis, R., Ezzati, M., &amp; Kammen, D. M. (2005). Mortality and greenhouse gas impacts of biomass and petroleum energy futures in Africa. </w:t>
      </w:r>
      <w:r w:rsidRPr="009B0448">
        <w:rPr>
          <w:rFonts w:ascii="Times New Roman" w:eastAsia="Times New Roman" w:hAnsi="Times New Roman" w:cs="Times New Roman"/>
          <w:i/>
          <w:color w:val="00000A"/>
        </w:rPr>
        <w:t>Science,</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308</w:t>
      </w:r>
      <w:r w:rsidRPr="009B0448">
        <w:rPr>
          <w:rFonts w:ascii="Times New Roman" w:eastAsia="Times New Roman" w:hAnsi="Times New Roman" w:cs="Times New Roman"/>
          <w:color w:val="00000A"/>
        </w:rPr>
        <w:t xml:space="preserve">(5718), 98–103. </w:t>
      </w:r>
      <w:hyperlink r:id="rId86" w:history="1">
        <w:r w:rsidRPr="009B0448">
          <w:rPr>
            <w:rStyle w:val="Hyperlink"/>
            <w:rFonts w:ascii="Times New Roman" w:eastAsia="Times New Roman" w:hAnsi="Times New Roman" w:cs="Times New Roman"/>
          </w:rPr>
          <w:t>https://doi.org/10.1126/science.1106881</w:t>
        </w:r>
      </w:hyperlink>
    </w:p>
    <w:p w14:paraId="545565D6"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Balmford, A., Moore, J. L., Brooks, T., Burgess, N., Hansen, L. A., Williams, P., &amp; Rahbek, C. (2001). Conservation conflicts across Africa. </w:t>
      </w:r>
      <w:r w:rsidRPr="009B0448">
        <w:rPr>
          <w:rFonts w:ascii="Times New Roman" w:eastAsia="Times New Roman" w:hAnsi="Times New Roman" w:cs="Times New Roman"/>
          <w:i/>
          <w:color w:val="00000A"/>
        </w:rPr>
        <w:t>Science, 291</w:t>
      </w:r>
      <w:r w:rsidRPr="009B0448">
        <w:rPr>
          <w:rFonts w:ascii="Times New Roman" w:eastAsia="Times New Roman" w:hAnsi="Times New Roman" w:cs="Times New Roman"/>
          <w:color w:val="00000A"/>
        </w:rPr>
        <w:t xml:space="preserve">(5513), 2616–2619. </w:t>
      </w:r>
      <w:hyperlink r:id="rId87" w:history="1">
        <w:r w:rsidRPr="009B0448">
          <w:rPr>
            <w:rStyle w:val="Hyperlink"/>
            <w:rFonts w:ascii="Times New Roman" w:eastAsia="Times New Roman" w:hAnsi="Times New Roman" w:cs="Times New Roman"/>
          </w:rPr>
          <w:t>https://doi.org/10.1126/science.291.5513.2616</w:t>
        </w:r>
      </w:hyperlink>
    </w:p>
    <w:p w14:paraId="6B309323"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Barbier, E. B. (2016). The protective service of mangrove ecosystems: A review of valuation methods: Marine Pollution Bulletin special issue: Turning the tide on mangrove loss. </w:t>
      </w:r>
      <w:r w:rsidRPr="009B0448">
        <w:rPr>
          <w:rFonts w:ascii="Times New Roman" w:eastAsia="Times New Roman" w:hAnsi="Times New Roman" w:cs="Times New Roman"/>
          <w:i/>
          <w:color w:val="00000A"/>
        </w:rPr>
        <w:t>Marine Pollution Bulletin, 109</w:t>
      </w:r>
      <w:r w:rsidRPr="009B0448">
        <w:rPr>
          <w:rFonts w:ascii="Times New Roman" w:eastAsia="Times New Roman" w:hAnsi="Times New Roman" w:cs="Times New Roman"/>
          <w:color w:val="00000A"/>
        </w:rPr>
        <w:t xml:space="preserve">(2), 676–681. </w:t>
      </w:r>
      <w:hyperlink r:id="rId88" w:history="1">
        <w:r w:rsidRPr="009B0448">
          <w:rPr>
            <w:rStyle w:val="Hyperlink"/>
            <w:rFonts w:ascii="Times New Roman" w:eastAsia="Times New Roman" w:hAnsi="Times New Roman" w:cs="Times New Roman"/>
          </w:rPr>
          <w:t>https://doi.org/10.1016/j.marpolbul.2016.01.033</w:t>
        </w:r>
      </w:hyperlink>
    </w:p>
    <w:p w14:paraId="4189A219" w14:textId="77777777" w:rsidR="001A3B0A" w:rsidRPr="009B0448" w:rsidRDefault="001A3B0A" w:rsidP="0033312D">
      <w:pPr>
        <w:spacing w:after="120" w:line="276" w:lineRule="auto"/>
        <w:ind w:left="567" w:hanging="567"/>
        <w:rPr>
          <w:rFonts w:ascii="Times New Roman" w:hAnsi="Times New Roman" w:cs="Times New Roman"/>
        </w:rPr>
      </w:pPr>
      <w:r w:rsidRPr="009B0448">
        <w:rPr>
          <w:rFonts w:ascii="Times New Roman" w:eastAsia="Times New Roman" w:hAnsi="Times New Roman" w:cs="Times New Roman"/>
          <w:color w:val="00000A"/>
        </w:rPr>
        <w:t xml:space="preserve">Barreiro-Hurle, J. (2012). </w:t>
      </w:r>
      <w:r w:rsidRPr="009B0448">
        <w:rPr>
          <w:rFonts w:ascii="Times New Roman" w:eastAsia="Times New Roman" w:hAnsi="Times New Roman" w:cs="Times New Roman"/>
          <w:i/>
          <w:color w:val="00000A"/>
        </w:rPr>
        <w:t>Analysis of incentives and disincentives for maize in the United Republic of Tanzania</w:t>
      </w:r>
      <w:r w:rsidRPr="009B0448">
        <w:rPr>
          <w:rFonts w:ascii="Times New Roman" w:eastAsia="Times New Roman" w:hAnsi="Times New Roman" w:cs="Times New Roman"/>
          <w:color w:val="00000A"/>
        </w:rPr>
        <w:t xml:space="preserve"> (Technical notes series). Rome, Italy: MAFAP, </w:t>
      </w:r>
      <w:r w:rsidRPr="009B0448">
        <w:rPr>
          <w:rFonts w:ascii="Times New Roman" w:hAnsi="Times New Roman" w:cs="Times New Roman"/>
        </w:rPr>
        <w:t xml:space="preserve">Food and Agriculture Organization of the United Nations. Retrieved from </w:t>
      </w:r>
      <w:hyperlink r:id="rId89" w:history="1">
        <w:r w:rsidRPr="009B0448">
          <w:rPr>
            <w:rStyle w:val="Hyperlink"/>
            <w:rFonts w:ascii="Times New Roman" w:hAnsi="Times New Roman" w:cs="Times New Roman"/>
          </w:rPr>
          <w:t>http://www.fao.org/3/a-at481e.pdf</w:t>
        </w:r>
      </w:hyperlink>
    </w:p>
    <w:p w14:paraId="581C60A3"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Bazilian, M., Rogner, H., Howells, M., Hermann, S., Arent, D., Gielen, D., Steduto, P., Mueller, A., Komor, P., Tol, R. S., &amp; Yumkella, K. K. (2011). Considering the energy, water and food nexus: Towards an integrated modelling approach. </w:t>
      </w:r>
      <w:r w:rsidRPr="009B0448">
        <w:rPr>
          <w:rFonts w:ascii="Times New Roman" w:eastAsia="Times New Roman" w:hAnsi="Times New Roman" w:cs="Times New Roman"/>
          <w:i/>
          <w:color w:val="00000A"/>
        </w:rPr>
        <w:t>Energy Policy, 39</w:t>
      </w:r>
      <w:r w:rsidRPr="009B0448">
        <w:rPr>
          <w:rFonts w:ascii="Times New Roman" w:eastAsia="Times New Roman" w:hAnsi="Times New Roman" w:cs="Times New Roman"/>
          <w:color w:val="00000A"/>
        </w:rPr>
        <w:t xml:space="preserve">(12), 7896–7906. </w:t>
      </w:r>
      <w:hyperlink r:id="rId90" w:history="1">
        <w:r w:rsidRPr="009B0448">
          <w:rPr>
            <w:rStyle w:val="Hyperlink"/>
            <w:rFonts w:ascii="Times New Roman" w:eastAsia="Times New Roman" w:hAnsi="Times New Roman" w:cs="Times New Roman"/>
          </w:rPr>
          <w:t>https://doi.org/10.1016/j.enpol.2011.09.039</w:t>
        </w:r>
      </w:hyperlink>
    </w:p>
    <w:p w14:paraId="53B438F6"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Beaumont, L. J., Pitman, A., Perkins, S., Zimmermann, N. E., Yoccoz, N. G., &amp; Thuiller, W. (2011). Impacts of climate change on the world’s most exceptional ecoregions. </w:t>
      </w:r>
      <w:r w:rsidRPr="009B0448">
        <w:rPr>
          <w:rFonts w:ascii="Times New Roman" w:eastAsia="Times New Roman" w:hAnsi="Times New Roman" w:cs="Times New Roman"/>
          <w:i/>
          <w:lang w:val="en-ZA" w:eastAsia="en-GB"/>
        </w:rPr>
        <w:t>Proceedings of the National Academy of Sciences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of the United States of America,</w:t>
      </w:r>
      <w:r w:rsidRPr="009B0448">
        <w:rPr>
          <w:rFonts w:ascii="Times New Roman" w:eastAsia="Times New Roman" w:hAnsi="Times New Roman" w:cs="Times New Roman"/>
          <w:i/>
          <w:color w:val="00000A"/>
        </w:rPr>
        <w:t xml:space="preserve"> 108</w:t>
      </w:r>
      <w:r w:rsidRPr="009B0448">
        <w:rPr>
          <w:rFonts w:ascii="Times New Roman" w:eastAsia="Times New Roman" w:hAnsi="Times New Roman" w:cs="Times New Roman"/>
          <w:color w:val="00000A"/>
        </w:rPr>
        <w:t xml:space="preserve">(6), 2306–2311. Retrieved from </w:t>
      </w:r>
      <w:hyperlink r:id="rId91" w:history="1">
        <w:r w:rsidRPr="009B0448">
          <w:rPr>
            <w:rStyle w:val="Hyperlink"/>
            <w:rFonts w:ascii="Times New Roman" w:eastAsia="Times New Roman" w:hAnsi="Times New Roman" w:cs="Times New Roman"/>
          </w:rPr>
          <w:t>https://doi.org/10.1073/pnas.2007217108</w:t>
        </w:r>
      </w:hyperlink>
    </w:p>
    <w:p w14:paraId="43FA16D9"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Beegle, K., Christiaensen, L., Dabalen, A., &amp; Gaddis, I. (2016). Poverty in a rising Africa. Washington, DC, USA: The World Bank Group. Retrieved from </w:t>
      </w:r>
      <w:hyperlink r:id="rId92" w:history="1">
        <w:r w:rsidRPr="009B0448">
          <w:rPr>
            <w:rStyle w:val="Hyperlink"/>
            <w:rFonts w:ascii="Times New Roman" w:eastAsia="Times New Roman" w:hAnsi="Times New Roman" w:cs="Times New Roman"/>
          </w:rPr>
          <w:t>https://openknowledge.worldbank.org/bitstream/handle/10986/22575/9781464807237.pdf</w:t>
        </w:r>
      </w:hyperlink>
    </w:p>
    <w:p w14:paraId="6C4B68BB"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Beg, N., Morlot, J. C., Davidson, O., Afrane-Okesse, Y., Tyani, L., Denton, F., Sokona, Y., Thomas, J. P., La Rovere, E. L., Parikh, J. K., &amp; Parikh, K. (2002). Linkages between climate change and sustainable development. </w:t>
      </w:r>
      <w:r w:rsidRPr="009B0448">
        <w:rPr>
          <w:rFonts w:ascii="Times New Roman" w:eastAsia="Times New Roman" w:hAnsi="Times New Roman" w:cs="Times New Roman"/>
          <w:i/>
          <w:color w:val="00000A"/>
        </w:rPr>
        <w:t>Climate Policy, 2</w:t>
      </w:r>
      <w:r w:rsidRPr="009B0448">
        <w:rPr>
          <w:rFonts w:ascii="Times New Roman" w:eastAsia="Times New Roman" w:hAnsi="Times New Roman" w:cs="Times New Roman"/>
          <w:color w:val="00000A"/>
        </w:rPr>
        <w:t xml:space="preserve">(2–3), 129–144. Retrieved from </w:t>
      </w:r>
      <w:hyperlink r:id="rId93" w:history="1">
        <w:r w:rsidRPr="009B0448">
          <w:rPr>
            <w:rStyle w:val="Hyperlink"/>
            <w:rFonts w:ascii="Times New Roman" w:eastAsia="Times New Roman" w:hAnsi="Times New Roman" w:cs="Times New Roman"/>
          </w:rPr>
          <w:t>https://doi.org/10.3763/cpol.2002.0216</w:t>
        </w:r>
      </w:hyperlink>
    </w:p>
    <w:p w14:paraId="23FDCF56"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Belhabib, D., &amp; Pauly, D. (Eds.). (2015c). </w:t>
      </w:r>
      <w:r w:rsidRPr="009B0448">
        <w:rPr>
          <w:rFonts w:ascii="Times New Roman" w:eastAsia="Times New Roman" w:hAnsi="Times New Roman" w:cs="Times New Roman"/>
          <w:i/>
          <w:color w:val="00000A"/>
        </w:rPr>
        <w:t>Marine fisheries catches in West Africa, 1950–2010, Part II.</w:t>
      </w:r>
      <w:r w:rsidRPr="009B0448">
        <w:rPr>
          <w:rFonts w:ascii="Times New Roman" w:eastAsia="Times New Roman" w:hAnsi="Times New Roman" w:cs="Times New Roman"/>
          <w:color w:val="00000A"/>
        </w:rPr>
        <w:t xml:space="preserve"> Vancouver, B.C., Canada: Fisheries Centre, University of British Columbia. Retrieved from </w:t>
      </w:r>
      <w:hyperlink r:id="rId94" w:history="1">
        <w:r w:rsidRPr="009B0448">
          <w:rPr>
            <w:rStyle w:val="Hyperlink"/>
            <w:rFonts w:ascii="Times New Roman" w:eastAsia="Times New Roman" w:hAnsi="Times New Roman" w:cs="Times New Roman"/>
          </w:rPr>
          <w:t>https://open.library.ubc.ca/media/download/pdf/52383/1.0354314/5</w:t>
        </w:r>
      </w:hyperlink>
    </w:p>
    <w:p w14:paraId="5B07E464"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Belhabib, D., Mendy, A., Subah, Y., Broh, N. T., Jueseah, A. S., Nipey, N., </w:t>
      </w:r>
      <w:r w:rsidRPr="009B0448">
        <w:rPr>
          <w:rFonts w:ascii="Times New Roman" w:hAnsi="Times New Roman" w:cs="Times New Roman"/>
        </w:rPr>
        <w:t xml:space="preserve">Boeh, W. W., Willemse, N., Zeller, D., &amp; </w:t>
      </w:r>
      <w:r w:rsidRPr="009B0448">
        <w:rPr>
          <w:rFonts w:ascii="Times New Roman" w:eastAsia="Times New Roman" w:hAnsi="Times New Roman" w:cs="Times New Roman"/>
          <w:color w:val="00000A"/>
        </w:rPr>
        <w:t xml:space="preserve">Pauly, D. (2016). Fisheries catch under-reporting in The Gambia, Liberia and Namibia and the three large marine ecosystems which they represent. </w:t>
      </w:r>
      <w:r w:rsidRPr="009B0448">
        <w:rPr>
          <w:rFonts w:ascii="Times New Roman" w:eastAsia="Times New Roman" w:hAnsi="Times New Roman" w:cs="Times New Roman"/>
          <w:i/>
          <w:color w:val="00000A"/>
        </w:rPr>
        <w:t>Environmental Development, 17</w:t>
      </w:r>
      <w:r w:rsidRPr="009B0448">
        <w:rPr>
          <w:rFonts w:ascii="Times New Roman" w:eastAsia="Times New Roman" w:hAnsi="Times New Roman" w:cs="Times New Roman"/>
          <w:color w:val="00000A"/>
        </w:rPr>
        <w:t xml:space="preserve">, 157–174. </w:t>
      </w:r>
      <w:hyperlink r:id="rId95" w:history="1">
        <w:r w:rsidRPr="009B0448">
          <w:rPr>
            <w:rStyle w:val="Hyperlink"/>
            <w:rFonts w:ascii="Times New Roman" w:eastAsia="Times New Roman" w:hAnsi="Times New Roman" w:cs="Times New Roman"/>
          </w:rPr>
          <w:t>https://doi.org/10.1016/j.envdev.2015.08.004</w:t>
        </w:r>
      </w:hyperlink>
    </w:p>
    <w:p w14:paraId="58D1BB79"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Belhabib, D., Pauly, D., Harper, S., &amp; Zeller, D. (2012). Reconstruction of marine fisheries catches for Algeria, 1950–2010. In D. Belhabib, D. Zeller, S. Harper, &amp; D. Pauly (Eds.), </w:t>
      </w:r>
      <w:r w:rsidRPr="009B0448">
        <w:rPr>
          <w:rFonts w:ascii="Times New Roman" w:eastAsia="Times New Roman" w:hAnsi="Times New Roman" w:cs="Times New Roman"/>
          <w:i/>
          <w:color w:val="00000A"/>
        </w:rPr>
        <w:t>Marine fisheries catches in West Africa, 1950–2010, Part I</w:t>
      </w:r>
      <w:r w:rsidRPr="009B0448">
        <w:rPr>
          <w:rFonts w:ascii="Times New Roman" w:eastAsia="Times New Roman" w:hAnsi="Times New Roman" w:cs="Times New Roman"/>
          <w:color w:val="00000A"/>
        </w:rPr>
        <w:t xml:space="preserve"> (pp. 1–22). Vancouver, B.C., Canada: Fisheries Centre, University of British Columbia. Retrieved from </w:t>
      </w:r>
      <w:hyperlink r:id="rId96" w:history="1">
        <w:r w:rsidRPr="009B0448">
          <w:rPr>
            <w:rStyle w:val="Hyperlink"/>
            <w:rFonts w:ascii="Times New Roman" w:eastAsia="Times New Roman" w:hAnsi="Times New Roman" w:cs="Times New Roman"/>
          </w:rPr>
          <w:t>https://open.library.ubc.ca/media/download/pdf/52383/1.0354243/5</w:t>
        </w:r>
      </w:hyperlink>
    </w:p>
    <w:p w14:paraId="0112076C"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Belhabib, D., Sumaila, U. R., &amp; Pauly, D. (2015a). Feeding the poor: Contribution of West African fisheries to employment and food security. </w:t>
      </w:r>
      <w:r w:rsidRPr="009B0448">
        <w:rPr>
          <w:rFonts w:ascii="Times New Roman" w:eastAsia="Times New Roman" w:hAnsi="Times New Roman" w:cs="Times New Roman"/>
          <w:i/>
          <w:color w:val="00000A"/>
        </w:rPr>
        <w:t>Ocean &amp; Coastal Management, 111,</w:t>
      </w:r>
      <w:r w:rsidRPr="009B0448">
        <w:rPr>
          <w:rFonts w:ascii="Times New Roman" w:eastAsia="Times New Roman" w:hAnsi="Times New Roman" w:cs="Times New Roman"/>
          <w:color w:val="00000A"/>
        </w:rPr>
        <w:t xml:space="preserve"> 72–81. </w:t>
      </w:r>
      <w:hyperlink r:id="rId97" w:history="1">
        <w:r w:rsidRPr="009B0448">
          <w:rPr>
            <w:rStyle w:val="Hyperlink"/>
            <w:rFonts w:ascii="Times New Roman" w:eastAsia="Times New Roman" w:hAnsi="Times New Roman" w:cs="Times New Roman"/>
          </w:rPr>
          <w:t>https://doi.org/10.1016/j.ocecoaman.2015.04.010</w:t>
        </w:r>
      </w:hyperlink>
    </w:p>
    <w:p w14:paraId="2BB37461"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Belhabib, D., Sumaila, U. R., Lam, V. W. Y., Zeller, D., Le Billon, P., Abou Kane, E., &amp; Pauly, D. (2015b). Euros vs. Yuan: Comparing European and Chinese fishing access in West Africa. </w:t>
      </w:r>
      <w:r w:rsidRPr="009B0448">
        <w:rPr>
          <w:rFonts w:ascii="Times New Roman" w:eastAsia="Times New Roman" w:hAnsi="Times New Roman" w:cs="Times New Roman"/>
          <w:i/>
          <w:color w:val="00000A"/>
        </w:rPr>
        <w:t>PLoS ONE, 10</w:t>
      </w:r>
      <w:r w:rsidRPr="009B0448">
        <w:rPr>
          <w:rFonts w:ascii="Times New Roman" w:eastAsia="Times New Roman" w:hAnsi="Times New Roman" w:cs="Times New Roman"/>
          <w:color w:val="00000A"/>
        </w:rPr>
        <w:t xml:space="preserve">(3), e0118351. </w:t>
      </w:r>
      <w:hyperlink r:id="rId98" w:history="1">
        <w:r w:rsidRPr="009B0448">
          <w:rPr>
            <w:rStyle w:val="Hyperlink"/>
            <w:rFonts w:ascii="Times New Roman" w:eastAsia="Times New Roman" w:hAnsi="Times New Roman" w:cs="Times New Roman"/>
          </w:rPr>
          <w:t>https://doi.org/10.1371/journal.pone.0118351</w:t>
        </w:r>
      </w:hyperlink>
    </w:p>
    <w:p w14:paraId="1E848548"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Belle, E., Wicander, S., Bingham, H., &amp; Shi, Y. (2015).Governance of protected areas in Africa: A global review. Cambridge, UK: UNEP-WCMC. Retrieved from </w:t>
      </w:r>
      <w:hyperlink r:id="rId99" w:history="1">
        <w:r w:rsidRPr="009B0448">
          <w:rPr>
            <w:rStyle w:val="Hyperlink"/>
            <w:rFonts w:ascii="Times New Roman" w:eastAsia="Times New Roman" w:hAnsi="Times New Roman" w:cs="Times New Roman"/>
          </w:rPr>
          <w:t>http://papaco.org/wp-content/uploads/2015/04/PAPACO-study-17_GOVERNANCE-STUDY-0-FINAL_REPORT-CONTEXT.pdf</w:t>
        </w:r>
      </w:hyperlink>
    </w:p>
    <w:p w14:paraId="5CF9EA8B"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Bensted, R. (2011). A critique of Paul Collier’s ‘greed and grievance’ thesis of civil war. </w:t>
      </w:r>
      <w:r w:rsidRPr="009B0448">
        <w:rPr>
          <w:rFonts w:ascii="Times New Roman" w:eastAsia="Times New Roman" w:hAnsi="Times New Roman" w:cs="Times New Roman"/>
          <w:i/>
          <w:color w:val="00000A"/>
        </w:rPr>
        <w:t>African Security Review, 20</w:t>
      </w:r>
      <w:r w:rsidRPr="009B0448">
        <w:rPr>
          <w:rFonts w:ascii="Times New Roman" w:eastAsia="Times New Roman" w:hAnsi="Times New Roman" w:cs="Times New Roman"/>
          <w:color w:val="00000A"/>
        </w:rPr>
        <w:t xml:space="preserve">(3), 84–90. </w:t>
      </w:r>
      <w:hyperlink r:id="rId100" w:history="1">
        <w:r w:rsidRPr="009B0448">
          <w:rPr>
            <w:rStyle w:val="Hyperlink"/>
            <w:rFonts w:ascii="Times New Roman" w:eastAsia="Times New Roman" w:hAnsi="Times New Roman" w:cs="Times New Roman"/>
          </w:rPr>
          <w:t>https://doi.org/10.1080/10246029.2011.614065</w:t>
        </w:r>
      </w:hyperlink>
    </w:p>
    <w:p w14:paraId="7AA7AE59"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Berry, S. (1993). </w:t>
      </w:r>
      <w:r w:rsidRPr="009B0448">
        <w:rPr>
          <w:rFonts w:ascii="Times New Roman" w:eastAsia="Times New Roman" w:hAnsi="Times New Roman" w:cs="Times New Roman"/>
          <w:i/>
          <w:color w:val="00000A"/>
        </w:rPr>
        <w:t>No condition is permanent: The social dynamics of agrarian change in sub-Saharan Africa.</w:t>
      </w:r>
      <w:r w:rsidRPr="009B0448">
        <w:rPr>
          <w:rFonts w:ascii="Times New Roman" w:eastAsia="Times New Roman" w:hAnsi="Times New Roman" w:cs="Times New Roman"/>
          <w:color w:val="00000A"/>
        </w:rPr>
        <w:t xml:space="preserve"> Madison, USA: University of Wisconsin Press. ISBN 9780299139346.</w:t>
      </w:r>
    </w:p>
    <w:p w14:paraId="0DD87862"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Blanco, J., &amp; Carrière, S. M. (2016). Sharing local ecological knowledge as a human adaptation strategy to arid environments: Evidence from an ethnobotany survey in Morocco. </w:t>
      </w:r>
      <w:r w:rsidRPr="009B0448">
        <w:rPr>
          <w:rFonts w:ascii="Times New Roman" w:eastAsia="Times New Roman" w:hAnsi="Times New Roman" w:cs="Times New Roman"/>
          <w:i/>
          <w:color w:val="00000A"/>
        </w:rPr>
        <w:t>Journal of Arid Environments, 127</w:t>
      </w:r>
      <w:r w:rsidRPr="009B0448">
        <w:rPr>
          <w:rFonts w:ascii="Times New Roman" w:eastAsia="Times New Roman" w:hAnsi="Times New Roman" w:cs="Times New Roman"/>
          <w:color w:val="00000A"/>
        </w:rPr>
        <w:t xml:space="preserve">, 30–43. </w:t>
      </w:r>
      <w:hyperlink r:id="rId101" w:history="1">
        <w:r w:rsidRPr="009B0448">
          <w:rPr>
            <w:rStyle w:val="Hyperlink"/>
            <w:rFonts w:ascii="Times New Roman" w:eastAsia="Times New Roman" w:hAnsi="Times New Roman" w:cs="Times New Roman"/>
          </w:rPr>
          <w:t>https://doi.org/10.1016/j.jaridenv.2015.10.021</w:t>
        </w:r>
      </w:hyperlink>
    </w:p>
    <w:p w14:paraId="448EF861"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Blomfield, A. (2008). Realising Africa’s hydropower potential. </w:t>
      </w:r>
      <w:r w:rsidRPr="009B0448">
        <w:rPr>
          <w:rFonts w:ascii="Times New Roman" w:eastAsia="Times New Roman" w:hAnsi="Times New Roman" w:cs="Times New Roman"/>
          <w:i/>
          <w:color w:val="00000A"/>
        </w:rPr>
        <w:t>Infrastructure Journal</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6</w:t>
      </w:r>
      <w:r w:rsidRPr="009B0448">
        <w:rPr>
          <w:rFonts w:ascii="Times New Roman" w:eastAsia="Times New Roman" w:hAnsi="Times New Roman" w:cs="Times New Roman"/>
          <w:color w:val="00000A"/>
        </w:rPr>
        <w:t>.</w:t>
      </w:r>
    </w:p>
    <w:p w14:paraId="3BDB8498"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Blomley, T. (2006). </w:t>
      </w:r>
      <w:r w:rsidRPr="009B0448">
        <w:rPr>
          <w:rFonts w:ascii="Times New Roman" w:eastAsia="Times New Roman" w:hAnsi="Times New Roman" w:cs="Times New Roman"/>
          <w:i/>
          <w:color w:val="00000A"/>
        </w:rPr>
        <w:t xml:space="preserve">Mainstreaming participatory forestry within the local government reform process in Tanzania. </w:t>
      </w:r>
      <w:r w:rsidRPr="009B0448">
        <w:rPr>
          <w:rFonts w:ascii="Times New Roman" w:eastAsia="Times New Roman" w:hAnsi="Times New Roman" w:cs="Times New Roman"/>
          <w:color w:val="00000A"/>
        </w:rPr>
        <w:t xml:space="preserve">International Institute for Environment and Development. Retrieved from </w:t>
      </w:r>
      <w:hyperlink r:id="rId102" w:history="1">
        <w:r w:rsidRPr="009B0448">
          <w:rPr>
            <w:rStyle w:val="Hyperlink"/>
            <w:rFonts w:ascii="Times New Roman" w:eastAsia="Times New Roman" w:hAnsi="Times New Roman" w:cs="Times New Roman"/>
          </w:rPr>
          <w:t>http://pubs.iied.org/pdfs/14536IIED.pdf</w:t>
        </w:r>
      </w:hyperlink>
    </w:p>
    <w:p w14:paraId="6F7A8F83"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Bodomo, A. (2013). African diaspora remittances are better than foreign aid funds. </w:t>
      </w:r>
      <w:r w:rsidRPr="009B0448">
        <w:rPr>
          <w:rFonts w:ascii="Times New Roman" w:eastAsia="Times New Roman" w:hAnsi="Times New Roman" w:cs="Times New Roman"/>
          <w:i/>
          <w:color w:val="00000A"/>
        </w:rPr>
        <w:t>World Economics, 14</w:t>
      </w:r>
      <w:r w:rsidRPr="009B0448">
        <w:rPr>
          <w:rFonts w:ascii="Times New Roman" w:eastAsia="Times New Roman" w:hAnsi="Times New Roman" w:cs="Times New Roman"/>
          <w:color w:val="00000A"/>
        </w:rPr>
        <w:t xml:space="preserve">(4), 21–29. Retrieved from </w:t>
      </w:r>
      <w:hyperlink r:id="rId103" w:history="1">
        <w:r w:rsidRPr="009B0448">
          <w:rPr>
            <w:rStyle w:val="Hyperlink"/>
            <w:rFonts w:ascii="Times New Roman" w:eastAsia="Times New Roman" w:hAnsi="Times New Roman" w:cs="Times New Roman"/>
          </w:rPr>
          <w:t>https://www.worldeconomics.com/Journal/Papers/African%20Diaspora%20Remittances%20are%20Better%20than%20Foreign%20Aid%20Funds.details?ID=570</w:t>
        </w:r>
      </w:hyperlink>
    </w:p>
    <w:p w14:paraId="4BE07BB1"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Boffa, J. M. (2000). West African agroforestry parklands: Keys to conservation and sustainable management. </w:t>
      </w:r>
      <w:r w:rsidRPr="009B0448">
        <w:rPr>
          <w:rFonts w:ascii="Times New Roman" w:eastAsia="Times New Roman" w:hAnsi="Times New Roman" w:cs="Times New Roman"/>
          <w:i/>
          <w:color w:val="00000A"/>
        </w:rPr>
        <w:t>Unasylva, 51</w:t>
      </w:r>
      <w:r w:rsidRPr="009B0448">
        <w:rPr>
          <w:rFonts w:ascii="Times New Roman" w:eastAsia="Times New Roman" w:hAnsi="Times New Roman" w:cs="Times New Roman"/>
          <w:color w:val="00000A"/>
        </w:rPr>
        <w:t xml:space="preserve">, 11–17. Retrieved from </w:t>
      </w:r>
      <w:hyperlink r:id="rId104" w:history="1">
        <w:r w:rsidRPr="009B0448">
          <w:rPr>
            <w:rStyle w:val="Hyperlink"/>
            <w:rFonts w:ascii="Times New Roman" w:eastAsia="Times New Roman" w:hAnsi="Times New Roman" w:cs="Times New Roman"/>
          </w:rPr>
          <w:t>http://www.fao.org/docrep/x3989e/x3989e04.htm</w:t>
        </w:r>
      </w:hyperlink>
    </w:p>
    <w:p w14:paraId="7DF60CBD"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Boffa, J. M. (2015). </w:t>
      </w:r>
      <w:r w:rsidRPr="009B0448">
        <w:rPr>
          <w:rFonts w:ascii="Times New Roman" w:eastAsia="Times New Roman" w:hAnsi="Times New Roman" w:cs="Times New Roman"/>
          <w:i/>
          <w:color w:val="00000A"/>
        </w:rPr>
        <w:t xml:space="preserve">Opportunities and challenges in the improvement of the shea </w:t>
      </w:r>
      <w:r w:rsidRPr="009B0448">
        <w:rPr>
          <w:rFonts w:ascii="Times New Roman" w:eastAsia="Times New Roman" w:hAnsi="Times New Roman" w:cs="Times New Roman"/>
          <w:color w:val="00000A"/>
        </w:rPr>
        <w:t xml:space="preserve">(Vitellaria paradoxa) </w:t>
      </w:r>
      <w:r w:rsidRPr="009B0448">
        <w:rPr>
          <w:rFonts w:ascii="Times New Roman" w:eastAsia="Times New Roman" w:hAnsi="Times New Roman" w:cs="Times New Roman"/>
          <w:i/>
          <w:color w:val="00000A"/>
        </w:rPr>
        <w:t>resource and its management</w:t>
      </w:r>
      <w:r w:rsidRPr="009B0448">
        <w:rPr>
          <w:rFonts w:ascii="Times New Roman" w:eastAsia="Times New Roman" w:hAnsi="Times New Roman" w:cs="Times New Roman"/>
          <w:color w:val="00000A"/>
        </w:rPr>
        <w:t xml:space="preserve"> (Occasional Paper No. 24). Nairobi, Kenya: World Agroforestry Centre. Retrieved from </w:t>
      </w:r>
      <w:hyperlink r:id="rId105" w:history="1">
        <w:r w:rsidRPr="009B0448">
          <w:rPr>
            <w:rStyle w:val="Hyperlink"/>
            <w:rFonts w:ascii="Times New Roman" w:eastAsia="Times New Roman" w:hAnsi="Times New Roman" w:cs="Times New Roman"/>
          </w:rPr>
          <w:t>http://www.worldagroforestry.org/downloads/Publications/PDFS/B17800.pdf</w:t>
        </w:r>
      </w:hyperlink>
    </w:p>
    <w:p w14:paraId="6353ADE3"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Borrini-Feyerabend, G., Pimbert, M., Farvar, M. T., Kothari, A., &amp; Renard, Y. (2004). </w:t>
      </w:r>
      <w:r w:rsidRPr="009B0448">
        <w:rPr>
          <w:rFonts w:ascii="Times New Roman" w:eastAsia="Times New Roman" w:hAnsi="Times New Roman" w:cs="Times New Roman"/>
          <w:i/>
          <w:color w:val="00000A"/>
        </w:rPr>
        <w:t>Sharing power: Learning-by-doing in co-management of natural resources throughout the world.</w:t>
      </w:r>
      <w:r w:rsidRPr="009B0448">
        <w:rPr>
          <w:rFonts w:ascii="Times New Roman" w:eastAsia="Times New Roman" w:hAnsi="Times New Roman" w:cs="Times New Roman"/>
          <w:color w:val="00000A"/>
        </w:rPr>
        <w:t xml:space="preserve"> Cenesta, Tehran, Iran: IIED and IUCN/ CEESP/ CMWG. Retrieved from </w:t>
      </w:r>
      <w:hyperlink r:id="rId106" w:history="1">
        <w:r w:rsidRPr="009B0448">
          <w:rPr>
            <w:rStyle w:val="Hyperlink"/>
            <w:rFonts w:ascii="Times New Roman" w:eastAsia="Times New Roman" w:hAnsi="Times New Roman" w:cs="Times New Roman"/>
          </w:rPr>
          <w:t>http://pubs.iied.org/pdfs/G01089.pdf</w:t>
        </w:r>
      </w:hyperlink>
    </w:p>
    <w:p w14:paraId="1C42C7CA" w14:textId="77777777" w:rsidR="001A3B0A" w:rsidRPr="009B0448" w:rsidRDefault="001A3B0A" w:rsidP="0033312D">
      <w:pPr>
        <w:spacing w:after="120" w:line="276" w:lineRule="auto"/>
        <w:ind w:left="567" w:hanging="567"/>
        <w:rPr>
          <w:rFonts w:ascii="Times New Roman" w:hAnsi="Times New Roman" w:cs="Times New Roman"/>
        </w:rPr>
      </w:pPr>
      <w:r w:rsidRPr="009B0448">
        <w:rPr>
          <w:rFonts w:ascii="Times New Roman" w:eastAsia="Times New Roman" w:hAnsi="Times New Roman" w:cs="Times New Roman"/>
          <w:color w:val="00000A"/>
        </w:rPr>
        <w:t xml:space="preserve">Boschetti, F., Price, J., &amp; Walker, I. (2016). Myths of the future and scenario archetypes. </w:t>
      </w:r>
      <w:r w:rsidRPr="009B0448">
        <w:rPr>
          <w:rFonts w:ascii="Times New Roman" w:eastAsia="Times New Roman" w:hAnsi="Times New Roman" w:cs="Times New Roman"/>
          <w:i/>
          <w:color w:val="00000A"/>
        </w:rPr>
        <w:t>Technological Forecasting and Social Change, 111</w:t>
      </w:r>
      <w:r w:rsidRPr="009B0448">
        <w:rPr>
          <w:rFonts w:ascii="Times New Roman" w:eastAsia="Times New Roman" w:hAnsi="Times New Roman" w:cs="Times New Roman"/>
          <w:color w:val="00000A"/>
        </w:rPr>
        <w:t xml:space="preserve">, 76–85. </w:t>
      </w:r>
      <w:hyperlink r:id="rId107" w:history="1">
        <w:r w:rsidRPr="009B0448">
          <w:rPr>
            <w:rStyle w:val="Hyperlink"/>
            <w:rFonts w:ascii="Times New Roman" w:eastAsia="Times New Roman" w:hAnsi="Times New Roman" w:cs="Times New Roman"/>
          </w:rPr>
          <w:t>https://doi.org/</w:t>
        </w:r>
        <w:r w:rsidRPr="009B0448">
          <w:rPr>
            <w:rStyle w:val="Hyperlink"/>
            <w:rFonts w:ascii="Times New Roman" w:hAnsi="Times New Roman" w:cs="Times New Roman"/>
          </w:rPr>
          <w:t>10.1016/j.techfore.2016.06.009</w:t>
        </w:r>
      </w:hyperlink>
    </w:p>
    <w:p w14:paraId="48F7608E"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Bosire, J. O., Kaino, J. J., Olagoke, A. O., Mwihaki, L. M., Ogendi, G. M., Kairo, J. G., Berger, U., &amp; Macharia, D. (2014). Mangroves in peril: Unprecedented degradation rates of peri-urban mangroves in Kenya. </w:t>
      </w:r>
      <w:r w:rsidRPr="009B0448">
        <w:rPr>
          <w:rFonts w:ascii="Times New Roman" w:eastAsia="Times New Roman" w:hAnsi="Times New Roman" w:cs="Times New Roman"/>
          <w:i/>
          <w:color w:val="00000A"/>
        </w:rPr>
        <w:t>Biogeosciences, 11</w:t>
      </w:r>
      <w:r w:rsidRPr="009B0448">
        <w:rPr>
          <w:rFonts w:ascii="Times New Roman" w:eastAsia="Times New Roman" w:hAnsi="Times New Roman" w:cs="Times New Roman"/>
          <w:color w:val="00000A"/>
        </w:rPr>
        <w:t xml:space="preserve">(10), 2623–2634. </w:t>
      </w:r>
      <w:hyperlink r:id="rId108" w:history="1">
        <w:r w:rsidRPr="009B0448">
          <w:rPr>
            <w:rStyle w:val="Hyperlink"/>
            <w:rFonts w:ascii="Times New Roman" w:eastAsia="Times New Roman" w:hAnsi="Times New Roman" w:cs="Times New Roman"/>
          </w:rPr>
          <w:t>https://doi.org/10.5194/bg-11-2623-2014</w:t>
        </w:r>
      </w:hyperlink>
    </w:p>
    <w:p w14:paraId="55400F10"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Boy, G., &amp; Witt, A. (2013). </w:t>
      </w:r>
      <w:r w:rsidRPr="009B0448">
        <w:rPr>
          <w:rFonts w:ascii="Times New Roman" w:eastAsia="Times New Roman" w:hAnsi="Times New Roman" w:cs="Times New Roman"/>
          <w:i/>
          <w:color w:val="00000A"/>
        </w:rPr>
        <w:t>Invasive alien plants and their management in Africa</w:t>
      </w:r>
      <w:r w:rsidRPr="009B0448">
        <w:rPr>
          <w:rFonts w:ascii="Times New Roman" w:eastAsia="Times New Roman" w:hAnsi="Times New Roman" w:cs="Times New Roman"/>
          <w:color w:val="00000A"/>
        </w:rPr>
        <w:t xml:space="preserve">. Nairobi, Kenya: CABI Africa. Retrieved from </w:t>
      </w:r>
      <w:hyperlink r:id="rId109" w:history="1">
        <w:r w:rsidRPr="009B0448">
          <w:rPr>
            <w:rStyle w:val="Hyperlink"/>
            <w:rFonts w:ascii="Times New Roman" w:eastAsia="Times New Roman" w:hAnsi="Times New Roman" w:cs="Times New Roman"/>
          </w:rPr>
          <w:t>https://www.cabi.org/Uploads/CABI/publishing/promotional-materials/african-invasives-book.pdf</w:t>
        </w:r>
      </w:hyperlink>
    </w:p>
    <w:p w14:paraId="158EACBC"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Bradshaw, C. J. A., &amp; Brook, B. W. (2014). Human population reduction is not a quick fix for environmental problems. </w:t>
      </w:r>
      <w:r w:rsidRPr="009B0448">
        <w:rPr>
          <w:rFonts w:ascii="Times New Roman" w:eastAsia="Times New Roman" w:hAnsi="Times New Roman" w:cs="Times New Roman"/>
          <w:i/>
          <w:lang w:val="en-ZA" w:eastAsia="en-GB"/>
        </w:rPr>
        <w:t>Proceedings of the National Academy of Sciences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 xml:space="preserve">of the United States of America, </w:t>
      </w:r>
      <w:r w:rsidRPr="009B0448">
        <w:rPr>
          <w:rFonts w:ascii="Times New Roman" w:eastAsia="Times New Roman" w:hAnsi="Times New Roman" w:cs="Times New Roman"/>
          <w:i/>
          <w:color w:val="00000A"/>
        </w:rPr>
        <w:t>111</w:t>
      </w:r>
      <w:r w:rsidRPr="009B0448">
        <w:rPr>
          <w:rFonts w:ascii="Times New Roman" w:eastAsia="Times New Roman" w:hAnsi="Times New Roman" w:cs="Times New Roman"/>
          <w:color w:val="00000A"/>
        </w:rPr>
        <w:t xml:space="preserve">(46), 16610–16615. </w:t>
      </w:r>
      <w:hyperlink r:id="rId110" w:history="1">
        <w:r w:rsidRPr="009B0448">
          <w:rPr>
            <w:rStyle w:val="Hyperlink"/>
            <w:rFonts w:ascii="Times New Roman" w:eastAsia="Times New Roman" w:hAnsi="Times New Roman" w:cs="Times New Roman"/>
          </w:rPr>
          <w:t>https://doi.org/10.1073/pnas.1410465111</w:t>
        </w:r>
      </w:hyperlink>
    </w:p>
    <w:p w14:paraId="1D856C8F"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Brashares, J. S., Golden, C. D., Weinbaum, K. Z., Barrett, C. B., &amp; Okello, G. V. (2011). </w:t>
      </w:r>
      <w:r w:rsidRPr="009B0448">
        <w:rPr>
          <w:rFonts w:ascii="Times New Roman" w:eastAsia="Times New Roman" w:hAnsi="Times New Roman" w:cs="Times New Roman"/>
          <w:color w:val="00000A"/>
        </w:rPr>
        <w:t xml:space="preserve">Economic and geographic drivers of wildlife consumption in rural Africa. </w:t>
      </w:r>
      <w:r w:rsidRPr="009B0448">
        <w:rPr>
          <w:rFonts w:ascii="Times New Roman" w:eastAsia="Times New Roman" w:hAnsi="Times New Roman" w:cs="Times New Roman"/>
          <w:i/>
          <w:lang w:val="en-ZA" w:eastAsia="en-GB"/>
        </w:rPr>
        <w:t>Proceedings of the National Academy of Sciences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 xml:space="preserve">of the United States of America, </w:t>
      </w:r>
      <w:r w:rsidRPr="009B0448">
        <w:rPr>
          <w:rFonts w:ascii="Times New Roman" w:eastAsia="Times New Roman" w:hAnsi="Times New Roman" w:cs="Times New Roman"/>
          <w:i/>
          <w:color w:val="00000A"/>
        </w:rPr>
        <w:t>108</w:t>
      </w:r>
      <w:r w:rsidRPr="009B0448">
        <w:rPr>
          <w:rFonts w:ascii="Times New Roman" w:eastAsia="Times New Roman" w:hAnsi="Times New Roman" w:cs="Times New Roman"/>
          <w:color w:val="00000A"/>
        </w:rPr>
        <w:t xml:space="preserve">(34), 13931–13936. </w:t>
      </w:r>
      <w:hyperlink r:id="rId111" w:history="1">
        <w:r w:rsidRPr="009B0448">
          <w:rPr>
            <w:rStyle w:val="Hyperlink"/>
            <w:rFonts w:ascii="Times New Roman" w:eastAsia="Times New Roman" w:hAnsi="Times New Roman" w:cs="Times New Roman"/>
          </w:rPr>
          <w:t>https://doi.org/10.1073/pnas.1011526108</w:t>
        </w:r>
      </w:hyperlink>
    </w:p>
    <w:p w14:paraId="22A26FA2"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Brockington, D. (2002). </w:t>
      </w:r>
      <w:r w:rsidRPr="009B0448">
        <w:rPr>
          <w:rFonts w:ascii="Times New Roman" w:eastAsia="Times New Roman" w:hAnsi="Times New Roman" w:cs="Times New Roman"/>
          <w:i/>
          <w:color w:val="00000A"/>
        </w:rPr>
        <w:t xml:space="preserve">Fortress conservation: The preservation of the Mkomazi Game Reserve, Tanzania. </w:t>
      </w:r>
      <w:r w:rsidRPr="009B0448">
        <w:rPr>
          <w:rFonts w:ascii="Times New Roman" w:eastAsia="Times New Roman" w:hAnsi="Times New Roman" w:cs="Times New Roman"/>
          <w:color w:val="00000A"/>
        </w:rPr>
        <w:t>Bloomington, IN, USA: Indiana University Press. ISBN 9780852554173.</w:t>
      </w:r>
    </w:p>
    <w:p w14:paraId="4CA170D8"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Brooks, T. M., Mittermeier, R. A., da Fonseca, G. A., Gerlach, J., Hoffmann, M., Lamoreux, J. F., Mittermeier, C. G., Pilgrim, J. D.,&amp; Rodrigues, A. S. (2006). Global biodiversity conservation priorities. </w:t>
      </w:r>
      <w:r w:rsidRPr="009B0448">
        <w:rPr>
          <w:rFonts w:ascii="Times New Roman" w:eastAsia="Times New Roman" w:hAnsi="Times New Roman" w:cs="Times New Roman"/>
          <w:i/>
          <w:color w:val="00000A"/>
        </w:rPr>
        <w:t>Science, 313</w:t>
      </w:r>
      <w:r w:rsidRPr="009B0448">
        <w:rPr>
          <w:rFonts w:ascii="Times New Roman" w:eastAsia="Times New Roman" w:hAnsi="Times New Roman" w:cs="Times New Roman"/>
          <w:color w:val="00000A"/>
        </w:rPr>
        <w:t xml:space="preserve">(5783), 58-61. </w:t>
      </w:r>
      <w:hyperlink r:id="rId112" w:history="1">
        <w:r w:rsidRPr="009B0448">
          <w:rPr>
            <w:rStyle w:val="Hyperlink"/>
            <w:rFonts w:ascii="Times New Roman" w:eastAsia="Times New Roman" w:hAnsi="Times New Roman" w:cs="Times New Roman"/>
          </w:rPr>
          <w:t>https://doi.org/10.1126/science.1127609</w:t>
        </w:r>
      </w:hyperlink>
    </w:p>
    <w:p w14:paraId="6872E3E3"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Brown, K. A., Johnson, S. E., Parks, K. E., Holmes, S. M., Ivoandry, T., Abram, N. K.,</w:t>
      </w:r>
      <w:r w:rsidRPr="009B0448">
        <w:rPr>
          <w:rFonts w:ascii="Times New Roman" w:hAnsi="Times New Roman" w:cs="Times New Roman"/>
        </w:rPr>
        <w:t>Delmore K. E., Ludovic R., Andriamaharoa H. E., Wyman T. M.,</w:t>
      </w:r>
      <w:r w:rsidRPr="009B0448">
        <w:rPr>
          <w:rFonts w:ascii="Times New Roman" w:eastAsia="Times New Roman" w:hAnsi="Times New Roman" w:cs="Times New Roman"/>
          <w:color w:val="00000A"/>
        </w:rPr>
        <w:t xml:space="preserve"> &amp; Wright, P. C. (2013). Use of provisioning ecosystem services drives loss of functional traits across land use intensification gradients in tropical forests in Madagascar. </w:t>
      </w:r>
      <w:r w:rsidRPr="009B0448">
        <w:rPr>
          <w:rFonts w:ascii="Times New Roman" w:eastAsia="Times New Roman" w:hAnsi="Times New Roman" w:cs="Times New Roman"/>
          <w:i/>
          <w:color w:val="00000A"/>
        </w:rPr>
        <w:t>Biological Conservation, 161,</w:t>
      </w:r>
      <w:r w:rsidRPr="009B0448">
        <w:rPr>
          <w:rFonts w:ascii="Times New Roman" w:eastAsia="Times New Roman" w:hAnsi="Times New Roman" w:cs="Times New Roman"/>
          <w:color w:val="00000A"/>
        </w:rPr>
        <w:t xml:space="preserve"> 118–127. </w:t>
      </w:r>
      <w:hyperlink r:id="rId113" w:history="1">
        <w:r w:rsidRPr="009B0448">
          <w:rPr>
            <w:rStyle w:val="Hyperlink"/>
            <w:rFonts w:ascii="Times New Roman" w:eastAsia="Times New Roman" w:hAnsi="Times New Roman" w:cs="Times New Roman"/>
          </w:rPr>
          <w:t>https://doi.org/10.1016/j.biocon.2013.03.014</w:t>
        </w:r>
      </w:hyperlink>
    </w:p>
    <w:p w14:paraId="1A9D5801"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Bruce, J. W., Jensen, E., Kloeck-Jenson, S., Knox, A., Subramanian, J., &amp; Williams, M. (1998). Synthesis of trends and issues raised by land tenure country profiles of Southern African countries, 1996. In J. W. Bruce (Ed.), </w:t>
      </w:r>
      <w:r w:rsidRPr="009B0448">
        <w:rPr>
          <w:rFonts w:ascii="Times New Roman" w:eastAsia="Times New Roman" w:hAnsi="Times New Roman" w:cs="Times New Roman"/>
          <w:i/>
          <w:color w:val="00000A"/>
        </w:rPr>
        <w:t>Country Profiles of Land Tenure: Africa, 1996</w:t>
      </w:r>
      <w:r w:rsidRPr="009B0448">
        <w:rPr>
          <w:rFonts w:ascii="Times New Roman" w:eastAsia="Times New Roman" w:hAnsi="Times New Roman" w:cs="Times New Roman"/>
          <w:color w:val="00000A"/>
        </w:rPr>
        <w:t xml:space="preserve"> (pp. 201-</w:t>
      </w:r>
      <w:r w:rsidRPr="009B0448">
        <w:rPr>
          <w:rFonts w:ascii="Times New Roman" w:eastAsia="Times New Roman" w:hAnsi="Times New Roman" w:cs="Times New Roman"/>
          <w:color w:val="00000A"/>
        </w:rPr>
        <w:lastRenderedPageBreak/>
        <w:t xml:space="preserve">269). Madison, WI, USA: Land Tenure Center, University of Wisconsin. Retrieved from </w:t>
      </w:r>
      <w:hyperlink r:id="rId114" w:anchor="page=208" w:history="1">
        <w:r w:rsidRPr="009B0448">
          <w:rPr>
            <w:rStyle w:val="Hyperlink"/>
            <w:rFonts w:ascii="Times New Roman" w:eastAsia="Times New Roman" w:hAnsi="Times New Roman" w:cs="Times New Roman"/>
          </w:rPr>
          <w:t>http://pdf.wri.org/ref/elbow_98_synthesis.pdf#page=208</w:t>
        </w:r>
      </w:hyperlink>
    </w:p>
    <w:p w14:paraId="2145DE5B" w14:textId="77777777" w:rsidR="001A3B0A" w:rsidRPr="009B0448" w:rsidRDefault="001A3B0A" w:rsidP="0033312D">
      <w:pPr>
        <w:spacing w:after="120" w:line="276" w:lineRule="auto"/>
        <w:ind w:left="567" w:hanging="567"/>
        <w:rPr>
          <w:rFonts w:ascii="Times New Roman" w:hAnsi="Times New Roman" w:cs="Times New Roman"/>
        </w:rPr>
      </w:pPr>
      <w:r w:rsidRPr="009B0448">
        <w:rPr>
          <w:rFonts w:ascii="Times New Roman" w:eastAsia="Times New Roman" w:hAnsi="Times New Roman" w:cs="Times New Roman"/>
          <w:color w:val="00000A"/>
          <w:lang w:val="de-DE"/>
        </w:rPr>
        <w:t xml:space="preserve">Buchanan-Smith, M., Bromwich, B., &amp; Nassef, M. (2013). </w:t>
      </w:r>
      <w:r w:rsidRPr="009B0448">
        <w:rPr>
          <w:rFonts w:ascii="Times New Roman" w:eastAsia="Times New Roman" w:hAnsi="Times New Roman" w:cs="Times New Roman"/>
          <w:i/>
          <w:color w:val="00000A"/>
        </w:rPr>
        <w:t>Governance for Peace over Natural Resources. A review of transitions in environmental governance across Africa as a resource for peacebuilding and environmental management in Sudan.</w:t>
      </w:r>
      <w:r w:rsidRPr="009B0448">
        <w:rPr>
          <w:rFonts w:ascii="Times New Roman" w:eastAsia="Times New Roman" w:hAnsi="Times New Roman" w:cs="Times New Roman"/>
          <w:color w:val="00000A"/>
        </w:rPr>
        <w:t xml:space="preserve"> Nairobi, Kenya: UNEP. Retrieved from </w:t>
      </w:r>
      <w:hyperlink r:id="rId115" w:history="1">
        <w:r w:rsidRPr="009B0448">
          <w:rPr>
            <w:rStyle w:val="Hyperlink"/>
            <w:rFonts w:ascii="Times New Roman" w:hAnsi="Times New Roman" w:cs="Times New Roman"/>
          </w:rPr>
          <w:t>http://wedocs.unep.org/bitstream/handle/20.500.11822/22109/UNEP_Sudan_Governance_for_peace_2013</w:t>
        </w:r>
      </w:hyperlink>
    </w:p>
    <w:p w14:paraId="1070012F"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Burgess, N. D., Hales, J. D., Ricketts, T. H., &amp; Dinerstein, E. (2006). </w:t>
      </w:r>
      <w:r w:rsidRPr="009B0448">
        <w:rPr>
          <w:rFonts w:ascii="Times New Roman" w:eastAsia="Times New Roman" w:hAnsi="Times New Roman" w:cs="Times New Roman"/>
          <w:color w:val="00000A"/>
        </w:rPr>
        <w:t xml:space="preserve">Factoring species, non-species values and threats into biodiversity prioritisation across the ecoregions of Africa and its islands. </w:t>
      </w:r>
      <w:r w:rsidRPr="009B0448">
        <w:rPr>
          <w:rFonts w:ascii="Times New Roman" w:eastAsia="Times New Roman" w:hAnsi="Times New Roman" w:cs="Times New Roman"/>
          <w:i/>
          <w:color w:val="00000A"/>
        </w:rPr>
        <w:t>Biological Conservation, 127</w:t>
      </w:r>
      <w:r w:rsidRPr="009B0448">
        <w:rPr>
          <w:rFonts w:ascii="Times New Roman" w:eastAsia="Times New Roman" w:hAnsi="Times New Roman" w:cs="Times New Roman"/>
          <w:color w:val="00000A"/>
        </w:rPr>
        <w:t xml:space="preserve">(4), 383–401. Retrieved from </w:t>
      </w:r>
      <w:hyperlink r:id="rId116" w:history="1">
        <w:r w:rsidRPr="009B0448">
          <w:rPr>
            <w:rStyle w:val="Hyperlink"/>
            <w:rFonts w:ascii="Times New Roman" w:eastAsia="Times New Roman" w:hAnsi="Times New Roman" w:cs="Times New Roman"/>
          </w:rPr>
          <w:t>https://doi.org/10.1016/j.biocon.2005.08.018</w:t>
        </w:r>
      </w:hyperlink>
    </w:p>
    <w:p w14:paraId="33EA1D6D"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Cann, R. L., Stoneking, M., &amp; Wilson, A. C. (1987). Mitochondrial DNA and human evolution. </w:t>
      </w:r>
      <w:r w:rsidRPr="009B0448">
        <w:rPr>
          <w:rFonts w:ascii="Times New Roman" w:eastAsia="Times New Roman" w:hAnsi="Times New Roman" w:cs="Times New Roman"/>
          <w:i/>
          <w:color w:val="00000A"/>
        </w:rPr>
        <w:t>Nature, 325</w:t>
      </w:r>
      <w:r w:rsidRPr="009B0448">
        <w:rPr>
          <w:rFonts w:ascii="Times New Roman" w:eastAsia="Times New Roman" w:hAnsi="Times New Roman" w:cs="Times New Roman"/>
          <w:color w:val="00000A"/>
        </w:rPr>
        <w:t xml:space="preserve">(6099), 31–36. Retrieved from </w:t>
      </w:r>
      <w:hyperlink r:id="rId117" w:history="1">
        <w:r w:rsidRPr="009B0448">
          <w:rPr>
            <w:rStyle w:val="Hyperlink"/>
            <w:rFonts w:ascii="Times New Roman" w:eastAsia="Times New Roman" w:hAnsi="Times New Roman" w:cs="Times New Roman"/>
          </w:rPr>
          <w:t>https://doi.org/10.1038/325031a0</w:t>
        </w:r>
      </w:hyperlink>
    </w:p>
    <w:p w14:paraId="37779EAA"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Canning, D., Raja, S., &amp; Yazbeck, A. S. (2015). Africa’s demographic transition: Dividend or disaster? </w:t>
      </w:r>
      <w:r w:rsidRPr="009B0448">
        <w:rPr>
          <w:rFonts w:ascii="Times New Roman" w:hAnsi="Times New Roman" w:cs="Times New Roman"/>
        </w:rPr>
        <w:t>Washington, DC, USA: The World Bank Group</w:t>
      </w:r>
      <w:r w:rsidRPr="009B0448">
        <w:rPr>
          <w:rFonts w:ascii="Times New Roman" w:eastAsia="Times New Roman" w:hAnsi="Times New Roman" w:cs="Times New Roman"/>
          <w:color w:val="00000A"/>
        </w:rPr>
        <w:t xml:space="preserve">. </w:t>
      </w:r>
      <w:hyperlink r:id="rId118" w:history="1">
        <w:r w:rsidRPr="009B0448">
          <w:rPr>
            <w:rStyle w:val="Hyperlink"/>
            <w:rFonts w:ascii="Times New Roman" w:eastAsia="Times New Roman" w:hAnsi="Times New Roman" w:cs="Times New Roman"/>
          </w:rPr>
          <w:t>https://openknowledge.worldbank.org/bitstream/handle/10986/22036/9781464804892.pdf?sequence=3&amp;isAllowed=y</w:t>
        </w:r>
      </w:hyperlink>
    </w:p>
    <w:p w14:paraId="030E9EDA"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Carmody, P. (2011). </w:t>
      </w:r>
      <w:r w:rsidRPr="009B0448">
        <w:rPr>
          <w:rFonts w:ascii="Times New Roman" w:eastAsia="Times New Roman" w:hAnsi="Times New Roman" w:cs="Times New Roman"/>
          <w:i/>
          <w:color w:val="00000A"/>
        </w:rPr>
        <w:t>The new scramble for Africa.</w:t>
      </w:r>
      <w:r w:rsidRPr="009B0448">
        <w:rPr>
          <w:rFonts w:ascii="Times New Roman" w:eastAsia="Times New Roman" w:hAnsi="Times New Roman" w:cs="Times New Roman"/>
          <w:color w:val="00000A"/>
        </w:rPr>
        <w:t xml:space="preserve"> Cambridge, UK , Malden, MA, USA: Polity Press. ISBN </w:t>
      </w:r>
      <w:r w:rsidRPr="009B0448">
        <w:rPr>
          <w:rFonts w:ascii="Times New Roman" w:hAnsi="Times New Roman" w:cs="Times New Roman"/>
        </w:rPr>
        <w:t>9780745647845.</w:t>
      </w:r>
    </w:p>
    <w:p w14:paraId="62F0C26C" w14:textId="77777777" w:rsidR="001A3B0A" w:rsidRPr="009B0448" w:rsidRDefault="001A3B0A" w:rsidP="0033312D">
      <w:pPr>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CBD Secretariat. (2013). </w:t>
      </w:r>
      <w:r w:rsidRPr="009B0448">
        <w:rPr>
          <w:rFonts w:ascii="Times New Roman" w:eastAsia="Times New Roman" w:hAnsi="Times New Roman" w:cs="Times New Roman"/>
          <w:i/>
          <w:color w:val="auto"/>
        </w:rPr>
        <w:t>Report of the regional workshop on the interlinkages between human health and biodiversity for Africa.</w:t>
      </w:r>
      <w:r w:rsidRPr="009B0448">
        <w:rPr>
          <w:rFonts w:ascii="Times New Roman" w:eastAsia="Times New Roman" w:hAnsi="Times New Roman" w:cs="Times New Roman"/>
          <w:color w:val="auto"/>
        </w:rPr>
        <w:t xml:space="preserve"> Maputo, Mozambique: Secretariat of the Convention on Biological Diversity. Retrieved from </w:t>
      </w:r>
      <w:hyperlink r:id="rId119" w:history="1">
        <w:r w:rsidRPr="009B0448">
          <w:rPr>
            <w:rStyle w:val="Hyperlink"/>
            <w:rFonts w:ascii="Times New Roman" w:eastAsia="Times New Roman" w:hAnsi="Times New Roman" w:cs="Times New Roman"/>
          </w:rPr>
          <w:t>https://www.cbd.int/doc/meetings/health/wshb-afr-01/official/wshb-afr-01-02-en.pdf</w:t>
        </w:r>
      </w:hyperlink>
    </w:p>
    <w:p w14:paraId="495F900A"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CBD Secretariat. (2014). </w:t>
      </w:r>
      <w:r w:rsidRPr="009B0448">
        <w:rPr>
          <w:rFonts w:ascii="Times New Roman" w:eastAsia="Times New Roman" w:hAnsi="Times New Roman" w:cs="Times New Roman"/>
          <w:i/>
          <w:color w:val="00000A"/>
        </w:rPr>
        <w:t xml:space="preserve">Global Biodiversity Outlook 4. </w:t>
      </w:r>
      <w:r w:rsidRPr="009B0448">
        <w:rPr>
          <w:rFonts w:ascii="Times New Roman" w:eastAsia="Times New Roman" w:hAnsi="Times New Roman" w:cs="Times New Roman"/>
          <w:color w:val="00000A"/>
        </w:rPr>
        <w:t xml:space="preserve">Montréal, Canada: Secretariat of the Convention on Biological Diversity. Retrieved from </w:t>
      </w:r>
      <w:hyperlink r:id="rId120" w:history="1">
        <w:r w:rsidRPr="009B0448">
          <w:rPr>
            <w:rStyle w:val="Hyperlink"/>
            <w:rFonts w:ascii="Times New Roman" w:eastAsia="Times New Roman" w:hAnsi="Times New Roman" w:cs="Times New Roman"/>
          </w:rPr>
          <w:t>https://www.cbd.int/gbo/gbo4/publication/gbo4-en.pdf</w:t>
        </w:r>
      </w:hyperlink>
    </w:p>
    <w:p w14:paraId="7225A233"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CDKN. (2014). </w:t>
      </w:r>
      <w:r w:rsidRPr="009B0448">
        <w:rPr>
          <w:rFonts w:ascii="Times New Roman" w:eastAsia="Times New Roman" w:hAnsi="Times New Roman" w:cs="Times New Roman"/>
          <w:i/>
          <w:color w:val="00000A"/>
        </w:rPr>
        <w:t xml:space="preserve">The IPCC’s fifth assessment report: What’s in it for Africa? </w:t>
      </w:r>
      <w:r w:rsidRPr="009B0448">
        <w:rPr>
          <w:rFonts w:ascii="Times New Roman" w:eastAsia="Times New Roman" w:hAnsi="Times New Roman" w:cs="Times New Roman"/>
          <w:color w:val="00000A"/>
        </w:rPr>
        <w:t xml:space="preserve">Overseas development Institute and Climate &amp; Development Knowledge Network. Retrieved from </w:t>
      </w:r>
      <w:hyperlink r:id="rId121" w:history="1">
        <w:r w:rsidRPr="009B0448">
          <w:rPr>
            <w:rStyle w:val="Hyperlink"/>
            <w:rFonts w:ascii="Times New Roman" w:eastAsia="Times New Roman" w:hAnsi="Times New Roman" w:cs="Times New Roman"/>
          </w:rPr>
          <w:t>http://cdkn.org/resource/highlights-africa-ar5/</w:t>
        </w:r>
      </w:hyperlink>
    </w:p>
    <w:p w14:paraId="28CC852D"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CEPF. (2015). </w:t>
      </w:r>
      <w:r w:rsidRPr="009B0448">
        <w:rPr>
          <w:rFonts w:ascii="Times New Roman" w:eastAsia="Times New Roman" w:hAnsi="Times New Roman" w:cs="Times New Roman"/>
          <w:i/>
          <w:color w:val="00000A"/>
        </w:rPr>
        <w:t>The biodiversity hotspots.</w:t>
      </w:r>
      <w:r w:rsidRPr="009B0448">
        <w:rPr>
          <w:rFonts w:ascii="Times New Roman" w:eastAsia="Times New Roman" w:hAnsi="Times New Roman" w:cs="Times New Roman"/>
          <w:color w:val="00000A"/>
        </w:rPr>
        <w:t xml:space="preserve"> Critical Ecosystem Partnership Fund. Retrieved from </w:t>
      </w:r>
      <w:hyperlink r:id="rId122" w:history="1">
        <w:r w:rsidRPr="009B0448">
          <w:rPr>
            <w:rStyle w:val="Hyperlink"/>
            <w:rFonts w:ascii="Times New Roman" w:eastAsia="Times New Roman" w:hAnsi="Times New Roman" w:cs="Times New Roman"/>
          </w:rPr>
          <w:t>http://www.cepf.net/resources/hotspots/Pages/default.aspxCritical</w:t>
        </w:r>
      </w:hyperlink>
    </w:p>
    <w:p w14:paraId="491DD28F"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Cernea, M. M., &amp; Schmidt-Soltau, K. (2003). The end of forcible displacements? Conservation must not impoverish people. </w:t>
      </w:r>
      <w:r w:rsidRPr="009B0448">
        <w:rPr>
          <w:rFonts w:ascii="Times New Roman" w:eastAsia="Times New Roman" w:hAnsi="Times New Roman" w:cs="Times New Roman"/>
          <w:i/>
          <w:color w:val="00000A"/>
        </w:rPr>
        <w:t>Policy Matters, 1</w:t>
      </w:r>
      <w:r w:rsidRPr="009B0448">
        <w:rPr>
          <w:rFonts w:ascii="Times New Roman" w:eastAsia="Times New Roman" w:hAnsi="Times New Roman" w:cs="Times New Roman"/>
          <w:color w:val="00000A"/>
        </w:rPr>
        <w:t xml:space="preserve">2, 42–51. Retrieved from </w:t>
      </w:r>
      <w:hyperlink r:id="rId123" w:history="1">
        <w:r w:rsidRPr="009B0448">
          <w:rPr>
            <w:rStyle w:val="Hyperlink"/>
            <w:rFonts w:ascii="Times New Roman" w:eastAsia="Times New Roman" w:hAnsi="Times New Roman" w:cs="Times New Roman"/>
          </w:rPr>
          <w:t>https://www.iucn.org/downloads/pm12.pdf</w:t>
        </w:r>
      </w:hyperlink>
    </w:p>
    <w:p w14:paraId="18238F2B"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Chambas, G., &amp; Audras, F. (2012). Comments and concrete ways forward. In B. Dafflon, &amp; T. Madies (Eds), </w:t>
      </w:r>
      <w:r w:rsidRPr="009B0448">
        <w:rPr>
          <w:rFonts w:ascii="Times New Roman" w:eastAsia="Times New Roman" w:hAnsi="Times New Roman" w:cs="Times New Roman"/>
          <w:i/>
          <w:color w:val="00000A"/>
        </w:rPr>
        <w:t>The political economy of decentralization in sub-Saharan Africa</w:t>
      </w:r>
      <w:r w:rsidRPr="009B0448">
        <w:rPr>
          <w:rFonts w:ascii="Times New Roman" w:eastAsia="Times New Roman" w:hAnsi="Times New Roman" w:cs="Times New Roman"/>
          <w:color w:val="00000A"/>
        </w:rPr>
        <w:t xml:space="preserve"> (pp. 287–300). Washington, DC, USA: The World Bank Group. Retrieved from </w:t>
      </w:r>
      <w:hyperlink r:id="rId124" w:history="1">
        <w:r w:rsidRPr="009B0448">
          <w:rPr>
            <w:rStyle w:val="Hyperlink"/>
            <w:rFonts w:ascii="Times New Roman" w:eastAsia="Times New Roman" w:hAnsi="Times New Roman" w:cs="Times New Roman"/>
          </w:rPr>
          <w:t>http://elibrary.worldbank.org/doi/abs/10.1596/9780821396131_CH07</w:t>
        </w:r>
      </w:hyperlink>
    </w:p>
    <w:p w14:paraId="27382895"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Chant, S. H. (2007). </w:t>
      </w:r>
      <w:r w:rsidRPr="009B0448">
        <w:rPr>
          <w:rFonts w:ascii="Times New Roman" w:eastAsia="Times New Roman" w:hAnsi="Times New Roman" w:cs="Times New Roman"/>
          <w:i/>
          <w:color w:val="00000A"/>
        </w:rPr>
        <w:t>Gender, generation and poverty: Exploring the feminisation of poverty in Africa, Asia and Latin America.</w:t>
      </w:r>
      <w:r w:rsidRPr="009B0448">
        <w:rPr>
          <w:rFonts w:ascii="Times New Roman" w:eastAsia="Times New Roman" w:hAnsi="Times New Roman" w:cs="Times New Roman"/>
          <w:color w:val="00000A"/>
        </w:rPr>
        <w:t xml:space="preserve"> Cheltenham, UK: Edward Elgar Publishing. ISBN 9781847206886.</w:t>
      </w:r>
    </w:p>
    <w:p w14:paraId="3079AC4E"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Chasek, P., Safriel, U., Shikongo, S., &amp; Fuhrman, V. F. (2015). Operationalizing zero net land degradation: The next stage in international efforts to combat desertification? </w:t>
      </w:r>
      <w:r w:rsidRPr="009B0448">
        <w:rPr>
          <w:rFonts w:ascii="Times New Roman" w:eastAsia="Times New Roman" w:hAnsi="Times New Roman" w:cs="Times New Roman"/>
          <w:i/>
          <w:color w:val="00000A"/>
        </w:rPr>
        <w:t>Journal of Arid Environments, 112</w:t>
      </w:r>
      <w:r w:rsidRPr="009B0448">
        <w:rPr>
          <w:rFonts w:ascii="Times New Roman" w:eastAsia="Times New Roman" w:hAnsi="Times New Roman" w:cs="Times New Roman"/>
          <w:color w:val="00000A"/>
        </w:rPr>
        <w:t xml:space="preserve">, 5–13. </w:t>
      </w:r>
      <w:hyperlink r:id="rId125" w:history="1">
        <w:r w:rsidRPr="009B0448">
          <w:rPr>
            <w:rStyle w:val="Hyperlink"/>
            <w:rFonts w:ascii="Times New Roman" w:eastAsia="Times New Roman" w:hAnsi="Times New Roman" w:cs="Times New Roman"/>
          </w:rPr>
          <w:t>https://doi.org/10.1016/j.jaridenv.2014.05.020</w:t>
        </w:r>
      </w:hyperlink>
    </w:p>
    <w:p w14:paraId="46D3ED73"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Cheung, W. W. L., Lam, V. W. Y., Sarmiento, J. L., Kearney, K., Watson, R., &amp; Pauly, D. (2009). Projecting global marine biodiversity impacts under climate change scenarios. </w:t>
      </w:r>
      <w:r w:rsidRPr="009B0448">
        <w:rPr>
          <w:rFonts w:ascii="Times New Roman" w:eastAsia="Times New Roman" w:hAnsi="Times New Roman" w:cs="Times New Roman"/>
          <w:i/>
          <w:color w:val="00000A"/>
        </w:rPr>
        <w:t xml:space="preserve">Fish and Fisheries, 10, </w:t>
      </w:r>
      <w:r w:rsidRPr="009B0448">
        <w:rPr>
          <w:rFonts w:ascii="Times New Roman" w:eastAsia="Times New Roman" w:hAnsi="Times New Roman" w:cs="Times New Roman"/>
          <w:color w:val="00000A"/>
        </w:rPr>
        <w:t xml:space="preserve">235–251. Retrieved from </w:t>
      </w:r>
      <w:hyperlink r:id="rId126" w:history="1">
        <w:r w:rsidRPr="009B0448">
          <w:rPr>
            <w:rStyle w:val="Hyperlink"/>
            <w:rFonts w:ascii="Times New Roman" w:eastAsia="Times New Roman" w:hAnsi="Times New Roman" w:cs="Times New Roman"/>
          </w:rPr>
          <w:t>https://doi.org/10.1111/j.1467-2979.2008.00315.x</w:t>
        </w:r>
      </w:hyperlink>
    </w:p>
    <w:p w14:paraId="4B4928B2"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Chibememe, G., Muboko, N., Gandiwa, E., Kupika, O. L., Muposhi, V. K., &amp; Pwiti, G. (2014). Embracing indigenous knowledge systems in the management of dryland ecosystems in the Great Limpopo Transfrontier Conservation Area: The case of Chibememe and Tshovani communities, Chiredzi, Zimbabwe. </w:t>
      </w:r>
      <w:r w:rsidRPr="009B0448">
        <w:rPr>
          <w:rFonts w:ascii="Times New Roman" w:eastAsia="Times New Roman" w:hAnsi="Times New Roman" w:cs="Times New Roman"/>
          <w:i/>
          <w:color w:val="00000A"/>
        </w:rPr>
        <w:t>Biodiversity, 15</w:t>
      </w:r>
      <w:r w:rsidRPr="009B0448">
        <w:rPr>
          <w:rFonts w:ascii="Times New Roman" w:eastAsia="Times New Roman" w:hAnsi="Times New Roman" w:cs="Times New Roman"/>
          <w:color w:val="00000A"/>
        </w:rPr>
        <w:t xml:space="preserve">(2–3), 192–202. </w:t>
      </w:r>
      <w:hyperlink r:id="rId127" w:history="1">
        <w:r w:rsidRPr="009B0448">
          <w:rPr>
            <w:rStyle w:val="Hyperlink"/>
            <w:rFonts w:ascii="Times New Roman" w:eastAsia="Times New Roman" w:hAnsi="Times New Roman" w:cs="Times New Roman"/>
          </w:rPr>
          <w:t>https://doi.org/10.1080/14888386.2014.934715</w:t>
        </w:r>
      </w:hyperlink>
    </w:p>
    <w:p w14:paraId="50AB1F49"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Christiaensen, L., Gaddis, I., Beegle, K. G., &amp; Dabalen, A. L. (2015). </w:t>
      </w:r>
      <w:r w:rsidRPr="009B0448">
        <w:rPr>
          <w:rFonts w:ascii="Times New Roman" w:eastAsia="Times New Roman" w:hAnsi="Times New Roman" w:cs="Times New Roman"/>
          <w:i/>
          <w:color w:val="00000A"/>
        </w:rPr>
        <w:t>Poverty in a rising Africa : Overview.</w:t>
      </w:r>
      <w:r w:rsidRPr="009B0448">
        <w:rPr>
          <w:rFonts w:ascii="Times New Roman" w:eastAsia="Times New Roman" w:hAnsi="Times New Roman" w:cs="Times New Roman"/>
          <w:color w:val="00000A"/>
        </w:rPr>
        <w:t xml:space="preserve"> Washington, DC, USA: The World Bank Group. Retrieved from </w:t>
      </w:r>
      <w:hyperlink r:id="rId128" w:history="1">
        <w:r w:rsidRPr="009B0448">
          <w:rPr>
            <w:rStyle w:val="Hyperlink"/>
            <w:rFonts w:ascii="Times New Roman" w:eastAsia="Times New Roman" w:hAnsi="Times New Roman" w:cs="Times New Roman"/>
          </w:rPr>
          <w:t>http://documents.worldbank.org/curated/en/994551467989467774/Poverty-in-a-rising-Africa-overview</w:t>
        </w:r>
      </w:hyperlink>
    </w:p>
    <w:p w14:paraId="4FDC1F91"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Chuhan-Pole, P., Angwafo, M., Buitano, M., Dennis, A., Korman, V., &amp; Fox, M. L. (2013). </w:t>
      </w:r>
      <w:r w:rsidRPr="009B0448">
        <w:rPr>
          <w:rFonts w:ascii="Times New Roman" w:eastAsia="Times New Roman" w:hAnsi="Times New Roman" w:cs="Times New Roman"/>
          <w:i/>
          <w:color w:val="00000A"/>
        </w:rPr>
        <w:t>Africa’s Pulse: An analysis of issues shaping Africa’s economic future (Vol. 4)</w:t>
      </w:r>
      <w:r w:rsidRPr="009B0448">
        <w:rPr>
          <w:rFonts w:ascii="Times New Roman" w:eastAsia="Times New Roman" w:hAnsi="Times New Roman" w:cs="Times New Roman"/>
          <w:color w:val="00000A"/>
        </w:rPr>
        <w:t xml:space="preserve">. Washington, DC, USA: The World Bank Group. Retrieved from </w:t>
      </w:r>
      <w:hyperlink r:id="rId129" w:history="1">
        <w:r w:rsidRPr="009B0448">
          <w:rPr>
            <w:rStyle w:val="Hyperlink"/>
            <w:rFonts w:ascii="Times New Roman" w:eastAsia="Times New Roman" w:hAnsi="Times New Roman" w:cs="Times New Roman"/>
          </w:rPr>
          <w:t>https://openknowledge.worldbank.org/bitstream/handle/10986/20241/679950NEWS0no400Box367900B00PUBLIC0.pdf</w:t>
        </w:r>
      </w:hyperlink>
    </w:p>
    <w:p w14:paraId="4AB3D4AB"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Chuhan-Pole, P., Calderon, C., Kambou, G., Boreux, S., Buitano, M. M., Korman, V., &amp; Kubota, M. (2015). </w:t>
      </w:r>
      <w:r w:rsidRPr="009B0448">
        <w:rPr>
          <w:rFonts w:ascii="Times New Roman" w:eastAsia="Times New Roman" w:hAnsi="Times New Roman" w:cs="Times New Roman"/>
          <w:i/>
          <w:color w:val="00000A"/>
        </w:rPr>
        <w:t xml:space="preserve">Africa’s Pulse: An analysis of issues shaping Africa’s economic future (Vol. 12). </w:t>
      </w:r>
      <w:r w:rsidRPr="009B0448">
        <w:rPr>
          <w:rFonts w:ascii="Times New Roman" w:eastAsia="Times New Roman" w:hAnsi="Times New Roman" w:cs="Times New Roman"/>
          <w:color w:val="00000A"/>
        </w:rPr>
        <w:t xml:space="preserve">Washington, DC, USA: The World Bank Group. Retrieved from </w:t>
      </w:r>
      <w:hyperlink r:id="rId130" w:history="1">
        <w:r w:rsidRPr="009B0448">
          <w:rPr>
            <w:rStyle w:val="Hyperlink"/>
            <w:rFonts w:ascii="Times New Roman" w:eastAsia="Times New Roman" w:hAnsi="Times New Roman" w:cs="Times New Roman"/>
          </w:rPr>
          <w:t>https://openknowledge.worldbank.org/bitstream/handle/10986/22722/9781464807381.pdf</w:t>
        </w:r>
      </w:hyperlink>
    </w:p>
    <w:p w14:paraId="6FF27989" w14:textId="77777777" w:rsidR="001A3B0A" w:rsidRPr="009B0448" w:rsidRDefault="001A3B0A" w:rsidP="00345BE2">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Clover, J. L. (2007). </w:t>
      </w:r>
      <w:r w:rsidRPr="009B0448">
        <w:rPr>
          <w:rFonts w:ascii="Times New Roman" w:eastAsia="Times New Roman" w:hAnsi="Times New Roman" w:cs="Times New Roman"/>
          <w:i/>
          <w:color w:val="00000A"/>
        </w:rPr>
        <w:t xml:space="preserve">Framing issues of environmental security in Angola &amp; Mozambique: The nexus of land, conflicts and sustainable livelihoods in postconflict situations. </w:t>
      </w:r>
      <w:r w:rsidRPr="009B0448">
        <w:rPr>
          <w:rFonts w:ascii="Times New Roman" w:eastAsia="Times New Roman" w:hAnsi="Times New Roman" w:cs="Times New Roman"/>
          <w:color w:val="00000A"/>
        </w:rPr>
        <w:t>Ph.D Thesis. Johannesburg, South Africa: University of the Witwatersrand.</w:t>
      </w:r>
    </w:p>
    <w:p w14:paraId="442D7FAB" w14:textId="77777777" w:rsidR="001A3B0A" w:rsidRPr="009B0448" w:rsidRDefault="001A3B0A" w:rsidP="00602B78">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Cohen, J. E., Clarke-Harris, D. O., Khan, A., &amp; Isaac, W.-A. P. (2014). Sustainable management of invasive species for small island developing states under changing climates. In W. G. Ganpat, &amp;W.-A. P. Isaac (Eds.),</w:t>
      </w:r>
      <w:r w:rsidRPr="009B0448">
        <w:rPr>
          <w:rFonts w:ascii="Times New Roman" w:eastAsia="Times New Roman" w:hAnsi="Times New Roman" w:cs="Times New Roman"/>
          <w:i/>
          <w:color w:val="00000A"/>
        </w:rPr>
        <w:t xml:space="preserve"> Impacts of climate change on food security in small island developing states</w:t>
      </w:r>
      <w:r w:rsidRPr="009B0448">
        <w:rPr>
          <w:rFonts w:ascii="Times New Roman" w:eastAsia="Times New Roman" w:hAnsi="Times New Roman" w:cs="Times New Roman"/>
          <w:color w:val="00000A"/>
        </w:rPr>
        <w:t xml:space="preserve"> (pp. 312–360). IGI Global. Retrieved from </w:t>
      </w:r>
      <w:hyperlink r:id="rId131" w:history="1">
        <w:r w:rsidRPr="009B0448">
          <w:rPr>
            <w:rStyle w:val="Hyperlink"/>
            <w:rFonts w:ascii="Times New Roman" w:eastAsia="Times New Roman" w:hAnsi="Times New Roman" w:cs="Times New Roman"/>
          </w:rPr>
          <w:t>http://www.igi-global.com/chapter/sustainable-management-of-invasive-species-for-small-island-developing-states-under-changing-climates/118030</w:t>
        </w:r>
      </w:hyperlink>
    </w:p>
    <w:p w14:paraId="2087A98D"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Collier, P., &amp; Hoeffler, A. (2000). </w:t>
      </w:r>
      <w:r w:rsidRPr="009B0448">
        <w:rPr>
          <w:rFonts w:ascii="Times New Roman" w:eastAsia="Times New Roman" w:hAnsi="Times New Roman" w:cs="Times New Roman"/>
          <w:i/>
          <w:color w:val="00000A"/>
        </w:rPr>
        <w:t>Greed and grievance in civil war.</w:t>
      </w:r>
      <w:r w:rsidRPr="009B0448">
        <w:rPr>
          <w:rFonts w:ascii="Times New Roman" w:eastAsia="Times New Roman" w:hAnsi="Times New Roman" w:cs="Times New Roman"/>
          <w:color w:val="00000A"/>
        </w:rPr>
        <w:t xml:space="preserve"> </w:t>
      </w:r>
      <w:r w:rsidRPr="009B0448">
        <w:rPr>
          <w:rFonts w:ascii="Times New Roman" w:hAnsi="Times New Roman" w:cs="Times New Roman"/>
        </w:rPr>
        <w:t>Washington, DC, USA: The World Bank Group</w:t>
      </w:r>
      <w:r w:rsidRPr="009B0448">
        <w:rPr>
          <w:rFonts w:ascii="Times New Roman" w:eastAsia="Times New Roman" w:hAnsi="Times New Roman" w:cs="Times New Roman"/>
          <w:color w:val="00000A"/>
        </w:rPr>
        <w:t xml:space="preserve">. Retrieved from </w:t>
      </w:r>
      <w:hyperlink r:id="rId132" w:history="1">
        <w:r w:rsidRPr="009B0448">
          <w:rPr>
            <w:rStyle w:val="Hyperlink"/>
            <w:rFonts w:ascii="Times New Roman" w:eastAsia="Times New Roman" w:hAnsi="Times New Roman" w:cs="Times New Roman"/>
          </w:rPr>
          <w:t>https://openknowledge.worldbank.org/bitstream/handle/10986/18853/multi_page.pdf</w:t>
        </w:r>
      </w:hyperlink>
    </w:p>
    <w:p w14:paraId="0F804551" w14:textId="77777777" w:rsidR="001A3B0A" w:rsidRPr="009B0448" w:rsidRDefault="001A3B0A" w:rsidP="0033312D">
      <w:pPr>
        <w:spacing w:after="120" w:line="276" w:lineRule="auto"/>
        <w:ind w:left="567" w:hanging="567"/>
        <w:rPr>
          <w:rStyle w:val="Hyperlink"/>
          <w:rFonts w:ascii="Times New Roman" w:eastAsia="Times New Roman" w:hAnsi="Times New Roman" w:cs="Times New Roman"/>
        </w:rPr>
      </w:pPr>
      <w:r w:rsidRPr="009B0448">
        <w:rPr>
          <w:rFonts w:ascii="Times New Roman" w:eastAsia="Times New Roman" w:hAnsi="Times New Roman" w:cs="Times New Roman"/>
          <w:color w:val="00000A"/>
        </w:rPr>
        <w:t xml:space="preserve">Costello, M. J., Michener, W. K., Gahegan, M., Zhang, Z.-Q., &amp; Bourne, P. E. (2013). Biodiversity data should be published, cited, and peer reviewed. </w:t>
      </w:r>
      <w:r w:rsidRPr="009B0448">
        <w:rPr>
          <w:rFonts w:ascii="Times New Roman" w:eastAsia="Times New Roman" w:hAnsi="Times New Roman" w:cs="Times New Roman"/>
          <w:i/>
          <w:color w:val="00000A"/>
        </w:rPr>
        <w:t>Trends in Ecology &amp; Evolution, 28</w:t>
      </w:r>
      <w:r w:rsidRPr="009B0448">
        <w:rPr>
          <w:rFonts w:ascii="Times New Roman" w:eastAsia="Times New Roman" w:hAnsi="Times New Roman" w:cs="Times New Roman"/>
          <w:color w:val="00000A"/>
        </w:rPr>
        <w:t xml:space="preserve">(8), 454–461. </w:t>
      </w:r>
      <w:hyperlink r:id="rId133" w:history="1">
        <w:r w:rsidRPr="009B0448">
          <w:rPr>
            <w:rStyle w:val="Hyperlink"/>
            <w:rFonts w:ascii="Times New Roman" w:eastAsia="Times New Roman" w:hAnsi="Times New Roman" w:cs="Times New Roman"/>
          </w:rPr>
          <w:t>https://doi.org/10.1016/j.tree.2013.05.002</w:t>
        </w:r>
      </w:hyperlink>
    </w:p>
    <w:p w14:paraId="46EFE5A7"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Daskin, J. H., &amp; Pringle, R. M. (2018). Warfare and wildlife declines in Africa’s protected areas. </w:t>
      </w:r>
      <w:r w:rsidRPr="009B0448">
        <w:rPr>
          <w:rFonts w:ascii="Times New Roman" w:eastAsia="Times New Roman" w:hAnsi="Times New Roman" w:cs="Times New Roman"/>
          <w:i/>
          <w:color w:val="00000A"/>
        </w:rPr>
        <w:t>Nature, 553</w:t>
      </w:r>
      <w:r w:rsidRPr="009B0448">
        <w:rPr>
          <w:rFonts w:ascii="Times New Roman" w:eastAsia="Times New Roman" w:hAnsi="Times New Roman" w:cs="Times New Roman"/>
          <w:color w:val="00000A"/>
        </w:rPr>
        <w:t xml:space="preserve">, 328–332. </w:t>
      </w:r>
      <w:hyperlink r:id="rId134" w:history="1">
        <w:r w:rsidRPr="009B0448">
          <w:rPr>
            <w:rStyle w:val="Hyperlink"/>
            <w:rFonts w:ascii="Times New Roman" w:eastAsia="Times New Roman" w:hAnsi="Times New Roman" w:cs="Times New Roman"/>
          </w:rPr>
          <w:t>https://doi.org/10.1038/nature25194</w:t>
        </w:r>
      </w:hyperlink>
    </w:p>
    <w:p w14:paraId="7C4A1E77"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lastRenderedPageBreak/>
        <w:t xml:space="preserve">de Brauw, A., Mueller, V., &amp; Lee, H. L. (2014). </w:t>
      </w:r>
      <w:r w:rsidRPr="009B0448">
        <w:rPr>
          <w:rFonts w:ascii="Times New Roman" w:eastAsia="Times New Roman" w:hAnsi="Times New Roman" w:cs="Times New Roman"/>
          <w:color w:val="00000A"/>
        </w:rPr>
        <w:t xml:space="preserve">The role of rural-urban migration in the structural transformation of sub-Saharan Africa. </w:t>
      </w:r>
      <w:r w:rsidRPr="009B0448">
        <w:rPr>
          <w:rFonts w:ascii="Times New Roman" w:eastAsia="Times New Roman" w:hAnsi="Times New Roman" w:cs="Times New Roman"/>
          <w:i/>
          <w:color w:val="00000A"/>
        </w:rPr>
        <w:t>World Development, 63,</w:t>
      </w:r>
      <w:r w:rsidRPr="009B0448">
        <w:rPr>
          <w:rFonts w:ascii="Times New Roman" w:eastAsia="Times New Roman" w:hAnsi="Times New Roman" w:cs="Times New Roman"/>
          <w:color w:val="00000A"/>
        </w:rPr>
        <w:t xml:space="preserve"> 33–42. </w:t>
      </w:r>
      <w:hyperlink r:id="rId135" w:history="1">
        <w:r w:rsidRPr="009B0448">
          <w:rPr>
            <w:rStyle w:val="Hyperlink"/>
            <w:rFonts w:ascii="Times New Roman" w:eastAsia="Times New Roman" w:hAnsi="Times New Roman" w:cs="Times New Roman"/>
          </w:rPr>
          <w:t>https://doi.org/10.1016/j.worlddev.2013.10.013</w:t>
        </w:r>
      </w:hyperlink>
    </w:p>
    <w:p w14:paraId="427FC386"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De Graaf, G., &amp; Garibaldi, L. (2014).</w:t>
      </w:r>
      <w:r w:rsidRPr="009B0448">
        <w:rPr>
          <w:rFonts w:ascii="Times New Roman" w:eastAsia="Times New Roman" w:hAnsi="Times New Roman" w:cs="Times New Roman"/>
          <w:i/>
          <w:color w:val="00000A"/>
        </w:rPr>
        <w:t>The value of African fisheries.</w:t>
      </w:r>
      <w:r w:rsidRPr="009B0448">
        <w:rPr>
          <w:rFonts w:ascii="Times New Roman" w:eastAsia="Times New Roman" w:hAnsi="Times New Roman" w:cs="Times New Roman"/>
          <w:color w:val="00000A"/>
        </w:rPr>
        <w:t xml:space="preserve"> Rome, Italy: Food and Agriculture Organization of United Nations. Retrieved from </w:t>
      </w:r>
      <w:hyperlink r:id="rId136" w:history="1">
        <w:r w:rsidRPr="009B0448">
          <w:rPr>
            <w:rStyle w:val="Hyperlink"/>
            <w:rFonts w:ascii="Times New Roman" w:eastAsia="Times New Roman" w:hAnsi="Times New Roman" w:cs="Times New Roman"/>
          </w:rPr>
          <w:t>http://www.fao.org/3/a-i3917e.pdf</w:t>
        </w:r>
      </w:hyperlink>
    </w:p>
    <w:p w14:paraId="3A7CD51B"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Dei, G. J. S. (2000). African development: The relevance and implications of ‘indigenousness’. In G. J. S. Dei, B. L., Hall, &amp; D. G. Rosenberg (Eds.), </w:t>
      </w:r>
      <w:r w:rsidRPr="009B0448">
        <w:rPr>
          <w:rFonts w:ascii="Times New Roman" w:eastAsia="Times New Roman" w:hAnsi="Times New Roman" w:cs="Times New Roman"/>
          <w:i/>
          <w:color w:val="00000A"/>
        </w:rPr>
        <w:t xml:space="preserve">Indigenous knowledges in global contexts: Multiple readings of our world </w:t>
      </w:r>
      <w:r w:rsidRPr="009B0448">
        <w:rPr>
          <w:rFonts w:ascii="Times New Roman" w:eastAsia="Times New Roman" w:hAnsi="Times New Roman" w:cs="Times New Roman"/>
          <w:color w:val="00000A"/>
        </w:rPr>
        <w:t>(pp. 70–86). Toronto, Canada: OISE/UT Books &amp; University of Toronto Press. ISBN 9780802080592.</w:t>
      </w:r>
    </w:p>
    <w:p w14:paraId="62083616"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Del Ninno, C. &amp; Mills, B. (Eds.). (2015). </w:t>
      </w:r>
      <w:r w:rsidRPr="009B0448">
        <w:rPr>
          <w:rFonts w:ascii="Times New Roman" w:eastAsia="Times New Roman" w:hAnsi="Times New Roman" w:cs="Times New Roman"/>
          <w:i/>
          <w:color w:val="00000A"/>
        </w:rPr>
        <w:t xml:space="preserve">Safety nets in Africa : effective mechanisms to reach the poor and most vulnerable. </w:t>
      </w:r>
      <w:r w:rsidRPr="009B0448">
        <w:rPr>
          <w:rFonts w:ascii="Times New Roman" w:hAnsi="Times New Roman" w:cs="Times New Roman"/>
        </w:rPr>
        <w:t>Washington, DC, USA: The World Bank Group</w:t>
      </w:r>
      <w:r w:rsidRPr="009B0448">
        <w:rPr>
          <w:rFonts w:ascii="Times New Roman" w:eastAsia="Times New Roman" w:hAnsi="Times New Roman" w:cs="Times New Roman"/>
          <w:color w:val="00000A"/>
        </w:rPr>
        <w:t xml:space="preserve">. Retrieved from </w:t>
      </w:r>
      <w:hyperlink r:id="rId137" w:history="1">
        <w:r w:rsidRPr="009B0448">
          <w:rPr>
            <w:rStyle w:val="Hyperlink"/>
            <w:rFonts w:ascii="Times New Roman" w:eastAsia="Times New Roman" w:hAnsi="Times New Roman" w:cs="Times New Roman"/>
          </w:rPr>
          <w:t>http://documents.worldbank.org/curated/en/869311468009642720/pdf/941170PUB0Box300Forum09781464804359.pdf</w:t>
        </w:r>
      </w:hyperlink>
    </w:p>
    <w:p w14:paraId="700FDC8E"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Dembélé, U., Lykke, A. M., Koné, Y., Témé, B., &amp; Kouyaté, A. M. (2015). Use-value and importance of socio-cultural knowledge on </w:t>
      </w:r>
      <w:r w:rsidRPr="009B0448">
        <w:rPr>
          <w:rFonts w:ascii="Times New Roman" w:eastAsia="Times New Roman" w:hAnsi="Times New Roman" w:cs="Times New Roman"/>
          <w:i/>
          <w:color w:val="00000A"/>
        </w:rPr>
        <w:t>Carapa procera</w:t>
      </w:r>
      <w:r w:rsidRPr="009B0448">
        <w:rPr>
          <w:rFonts w:ascii="Times New Roman" w:eastAsia="Times New Roman" w:hAnsi="Times New Roman" w:cs="Times New Roman"/>
          <w:color w:val="00000A"/>
        </w:rPr>
        <w:t xml:space="preserve"> trees in the Sudanian zone in Mali. </w:t>
      </w:r>
      <w:r w:rsidRPr="009B0448">
        <w:rPr>
          <w:rFonts w:ascii="Times New Roman" w:eastAsia="Times New Roman" w:hAnsi="Times New Roman" w:cs="Times New Roman"/>
          <w:i/>
          <w:color w:val="00000A"/>
        </w:rPr>
        <w:t>Journal of Ethnobiology and Ethnomedicine, 11,</w:t>
      </w:r>
      <w:r w:rsidRPr="009B0448">
        <w:rPr>
          <w:rFonts w:ascii="Times New Roman" w:eastAsia="Times New Roman" w:hAnsi="Times New Roman" w:cs="Times New Roman"/>
          <w:color w:val="00000A"/>
        </w:rPr>
        <w:t xml:space="preserve"> 14. </w:t>
      </w:r>
      <w:hyperlink r:id="rId138" w:history="1">
        <w:r w:rsidRPr="009B0448">
          <w:rPr>
            <w:rStyle w:val="Hyperlink"/>
            <w:rFonts w:ascii="Times New Roman" w:eastAsia="Times New Roman" w:hAnsi="Times New Roman" w:cs="Times New Roman"/>
          </w:rPr>
          <w:t>https://doi.org/10.1186/1746-4269-11-14</w:t>
        </w:r>
      </w:hyperlink>
    </w:p>
    <w:p w14:paraId="2B8D2960"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Devarajan, S. (2013). Africa’s statistical tragedy. </w:t>
      </w:r>
      <w:r w:rsidRPr="009B0448">
        <w:rPr>
          <w:rFonts w:ascii="Times New Roman" w:eastAsia="Times New Roman" w:hAnsi="Times New Roman" w:cs="Times New Roman"/>
          <w:i/>
          <w:color w:val="00000A"/>
        </w:rPr>
        <w:t>The Review of Income and Wealth, 59</w:t>
      </w:r>
      <w:r w:rsidRPr="009B0448">
        <w:rPr>
          <w:rFonts w:ascii="Times New Roman" w:eastAsia="Times New Roman" w:hAnsi="Times New Roman" w:cs="Times New Roman"/>
          <w:color w:val="00000A"/>
        </w:rPr>
        <w:t xml:space="preserve">, S9–S15. </w:t>
      </w:r>
      <w:hyperlink r:id="rId139" w:history="1">
        <w:r w:rsidRPr="009B0448">
          <w:rPr>
            <w:rStyle w:val="Hyperlink"/>
            <w:rFonts w:ascii="Times New Roman" w:eastAsia="Times New Roman" w:hAnsi="Times New Roman" w:cs="Times New Roman"/>
          </w:rPr>
          <w:t>https://doi.org/10.1111/roiw.12013</w:t>
        </w:r>
      </w:hyperlink>
    </w:p>
    <w:p w14:paraId="61791007"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Devarajan, S., Go, D. S., Maliszewska, M., Osorio-Rodarte, I., &amp; Timmer, H. (2015). Stress-testing Africa’s recent growth and poverty performance. Journal of Policy Modeling, 37(4), 521-547. Retrieved from </w:t>
      </w:r>
      <w:hyperlink r:id="rId140" w:history="1">
        <w:r w:rsidRPr="009B0448">
          <w:rPr>
            <w:rStyle w:val="Hyperlink"/>
            <w:rFonts w:ascii="Times New Roman" w:eastAsia="Times New Roman" w:hAnsi="Times New Roman" w:cs="Times New Roman"/>
          </w:rPr>
          <w:t>https://doi.org/10.1016/j.jpolmod.2015.04.006</w:t>
        </w:r>
      </w:hyperlink>
    </w:p>
    <w:p w14:paraId="7C68D9AB"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Diaw, M. C. (1985). </w:t>
      </w:r>
      <w:r w:rsidRPr="009B0448">
        <w:rPr>
          <w:rFonts w:ascii="Times New Roman" w:eastAsia="Times New Roman" w:hAnsi="Times New Roman" w:cs="Times New Roman"/>
          <w:i/>
          <w:color w:val="00000A"/>
        </w:rPr>
        <w:t>La pêche piroguière dans l'économie politique de l'Afrique de l'Ouest. Les formations sociales et les systèmes de production dans l'histoire</w:t>
      </w:r>
      <w:r w:rsidRPr="009B0448">
        <w:rPr>
          <w:rFonts w:ascii="Times New Roman" w:eastAsia="Times New Roman" w:hAnsi="Times New Roman" w:cs="Times New Roman"/>
          <w:color w:val="00000A"/>
        </w:rPr>
        <w:t>. 45th Congress of the Americanists, Bogota, July, 38 p.</w:t>
      </w:r>
    </w:p>
    <w:p w14:paraId="5D73825C"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Diaw, M. C. (1997). </w:t>
      </w:r>
      <w:r w:rsidRPr="009B0448">
        <w:rPr>
          <w:rFonts w:ascii="Times New Roman" w:eastAsia="Times New Roman" w:hAnsi="Times New Roman" w:cs="Times New Roman"/>
          <w:i/>
          <w:color w:val="00000A"/>
        </w:rPr>
        <w:t>Si, Nda Bot and Ayong: Shifting cultivation, land use and property rights in Southern Cameroon</w:t>
      </w:r>
      <w:r w:rsidRPr="009B0448">
        <w:rPr>
          <w:rFonts w:ascii="Times New Roman" w:eastAsia="Times New Roman" w:hAnsi="Times New Roman" w:cs="Times New Roman"/>
          <w:color w:val="00000A"/>
        </w:rPr>
        <w:t xml:space="preserve"> (Network Paper No. 21e). London, UK: ODI. Retrieved from </w:t>
      </w:r>
      <w:hyperlink r:id="rId141" w:history="1">
        <w:r w:rsidRPr="009B0448">
          <w:rPr>
            <w:rStyle w:val="Hyperlink"/>
            <w:rFonts w:ascii="Times New Roman" w:eastAsia="Times New Roman" w:hAnsi="Times New Roman" w:cs="Times New Roman"/>
          </w:rPr>
          <w:t>https://www.odi.org/sites/odi.org.uk/files/odi-assets/publications-opinion-files/1156.pdf</w:t>
        </w:r>
      </w:hyperlink>
    </w:p>
    <w:p w14:paraId="335CEC66"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Diaw, M. C. (2005). Modern economic theory and the challenge of embedded tenure institutions: African attempts to reform local forest policies. In S. Kant, &amp; R. A. Berry (Eds.), </w:t>
      </w:r>
      <w:r w:rsidRPr="009B0448">
        <w:rPr>
          <w:rFonts w:ascii="Times New Roman" w:eastAsia="Times New Roman" w:hAnsi="Times New Roman" w:cs="Times New Roman"/>
          <w:i/>
          <w:color w:val="00000A"/>
        </w:rPr>
        <w:t xml:space="preserve">Institutions, Sustainability, and Natural Resources </w:t>
      </w:r>
      <w:r w:rsidRPr="009B0448">
        <w:rPr>
          <w:rFonts w:ascii="Times New Roman" w:eastAsia="Times New Roman" w:hAnsi="Times New Roman" w:cs="Times New Roman"/>
          <w:color w:val="00000A"/>
        </w:rPr>
        <w:t>(pp. 43–81). Netherlands: Springer. ISBN 9781402035197.</w:t>
      </w:r>
    </w:p>
    <w:p w14:paraId="0EE5CAE4"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Diaw, M. C. (2009). Introduction: Theory and practice of adaptive collaborative management. In M. C. Diaw, T. Aseh, &amp; R. Prabhu (Eds.), </w:t>
      </w:r>
      <w:r w:rsidRPr="009B0448">
        <w:rPr>
          <w:rFonts w:ascii="Times New Roman" w:eastAsia="Times New Roman" w:hAnsi="Times New Roman" w:cs="Times New Roman"/>
          <w:i/>
          <w:color w:val="00000A"/>
        </w:rPr>
        <w:t>In search of common ground: Adaptive collaborative management in Cameroon.</w:t>
      </w:r>
      <w:r w:rsidRPr="009B0448">
        <w:rPr>
          <w:rFonts w:ascii="Times New Roman" w:eastAsia="Times New Roman" w:hAnsi="Times New Roman" w:cs="Times New Roman"/>
          <w:color w:val="00000A"/>
        </w:rPr>
        <w:t xml:space="preserve"> Bogor, Indonesia: Center for International Forestry Research (CIFOR). Retrieved from </w:t>
      </w:r>
      <w:hyperlink r:id="rId142" w:history="1">
        <w:r w:rsidRPr="009B0448">
          <w:rPr>
            <w:rStyle w:val="Hyperlink"/>
            <w:rFonts w:ascii="Times New Roman" w:eastAsia="Times New Roman" w:hAnsi="Times New Roman" w:cs="Times New Roman"/>
          </w:rPr>
          <w:t>https://cgspace.cgiar.org/handle/10568/20089</w:t>
        </w:r>
      </w:hyperlink>
    </w:p>
    <w:p w14:paraId="20A54B65"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Diaw, M. C. (2010). Elusive meanings: decentralization, conservation and local democracy. In L. German, A. Karsenty, &amp; A. Tiani (Eds.), </w:t>
      </w:r>
      <w:r w:rsidRPr="009B0448">
        <w:rPr>
          <w:rFonts w:ascii="Times New Roman" w:eastAsia="Times New Roman" w:hAnsi="Times New Roman" w:cs="Times New Roman"/>
          <w:i/>
          <w:color w:val="00000A"/>
        </w:rPr>
        <w:t>Governing Africa’s forest in a globalized world</w:t>
      </w:r>
      <w:r w:rsidRPr="009B0448">
        <w:rPr>
          <w:rFonts w:ascii="Times New Roman" w:eastAsia="Times New Roman" w:hAnsi="Times New Roman" w:cs="Times New Roman"/>
          <w:color w:val="00000A"/>
        </w:rPr>
        <w:t xml:space="preserve"> (pp. 56–78). London, UK: Earthscan Publications. ISBN: 9781844077564.</w:t>
      </w:r>
    </w:p>
    <w:p w14:paraId="004A2EDF"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Diaw, M. C. (2014). </w:t>
      </w:r>
      <w:r w:rsidRPr="009B0448">
        <w:rPr>
          <w:rFonts w:ascii="Times New Roman" w:eastAsia="Times New Roman" w:hAnsi="Times New Roman" w:cs="Times New Roman"/>
          <w:i/>
          <w:color w:val="00000A"/>
        </w:rPr>
        <w:t>Sustainable development goals and forests: Prospects, integration, priorities and experience of Africa.</w:t>
      </w:r>
      <w:r w:rsidRPr="009B0448">
        <w:rPr>
          <w:rFonts w:ascii="Times New Roman" w:eastAsia="Times New Roman" w:hAnsi="Times New Roman" w:cs="Times New Roman"/>
          <w:color w:val="00000A"/>
        </w:rPr>
        <w:t xml:space="preserve"> London, UK: IIED. Retrieved from </w:t>
      </w:r>
      <w:hyperlink r:id="rId143" w:history="1">
        <w:r w:rsidRPr="009B0448">
          <w:rPr>
            <w:rStyle w:val="Hyperlink"/>
            <w:rFonts w:ascii="Times New Roman" w:eastAsia="Times New Roman" w:hAnsi="Times New Roman" w:cs="Times New Roman"/>
          </w:rPr>
          <w:t>http://pubs.iied.org/pdfs/G03874.pdf</w:t>
        </w:r>
      </w:hyperlink>
    </w:p>
    <w:p w14:paraId="38F4D7EF"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Diaw, M. C. (2015). </w:t>
      </w:r>
      <w:r w:rsidRPr="009B0448">
        <w:rPr>
          <w:rFonts w:ascii="Times New Roman" w:eastAsia="Times New Roman" w:hAnsi="Times New Roman" w:cs="Times New Roman"/>
          <w:i/>
          <w:color w:val="00000A"/>
        </w:rPr>
        <w:t>A whole-landscape approach to green development in Africa.</w:t>
      </w:r>
      <w:r w:rsidRPr="009B0448">
        <w:rPr>
          <w:rFonts w:ascii="Times New Roman" w:eastAsia="Times New Roman" w:hAnsi="Times New Roman" w:cs="Times New Roman"/>
          <w:color w:val="00000A"/>
        </w:rPr>
        <w:t xml:space="preserve"> IIED Briefing. London, UK: IIED. Retrieved from </w:t>
      </w:r>
      <w:hyperlink r:id="rId144" w:history="1">
        <w:r w:rsidRPr="009B0448">
          <w:rPr>
            <w:rStyle w:val="Hyperlink"/>
            <w:rFonts w:ascii="Times New Roman" w:eastAsia="Times New Roman" w:hAnsi="Times New Roman" w:cs="Times New Roman"/>
          </w:rPr>
          <w:t>http://pubs.iied.org/pdfs/17342IIED.pdf</w:t>
        </w:r>
      </w:hyperlink>
    </w:p>
    <w:p w14:paraId="40CD76E1" w14:textId="7473811A" w:rsidR="00062253" w:rsidRPr="009B0448" w:rsidRDefault="001A3B0A" w:rsidP="00062253">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Diaw, M. C., &amp; Njomkap, J.-C. S. (1998). </w:t>
      </w:r>
      <w:r w:rsidRPr="009B0448">
        <w:rPr>
          <w:rFonts w:ascii="Times New Roman" w:eastAsia="Times New Roman" w:hAnsi="Times New Roman" w:cs="Times New Roman"/>
          <w:i/>
          <w:color w:val="00000A"/>
        </w:rPr>
        <w:t>La terre et le droit: Une anthropology</w:t>
      </w:r>
      <w:r w:rsidRPr="009B0448">
        <w:rPr>
          <w:rFonts w:ascii="Times New Roman" w:hAnsi="Times New Roman" w:cs="Times New Roman"/>
        </w:rPr>
        <w:t xml:space="preserve"> </w:t>
      </w:r>
      <w:r w:rsidRPr="009B0448">
        <w:rPr>
          <w:rFonts w:ascii="Times New Roman" w:eastAsia="Times New Roman" w:hAnsi="Times New Roman" w:cs="Times New Roman"/>
          <w:i/>
          <w:color w:val="00000A"/>
        </w:rPr>
        <w:t xml:space="preserve">institutionnelle de la tenure </w:t>
      </w:r>
      <w:r w:rsidR="00C0487F" w:rsidRPr="009B0448">
        <w:rPr>
          <w:rFonts w:ascii="Times New Roman" w:eastAsia="Times New Roman" w:hAnsi="Times New Roman" w:cs="Times New Roman"/>
          <w:i/>
          <w:color w:val="00000A"/>
        </w:rPr>
        <w:t>tenure coutumière, de la jurisprudence et du droit forestier chez les peuples Bantou et Pygmée du Cameroun Méridional Forestier.</w:t>
      </w:r>
      <w:r w:rsidR="00C0487F" w:rsidRPr="009B0448">
        <w:rPr>
          <w:rFonts w:ascii="Times New Roman" w:eastAsia="Times New Roman" w:hAnsi="Times New Roman" w:cs="Times New Roman"/>
          <w:color w:val="00000A"/>
        </w:rPr>
        <w:t>Unpublished Consultancy Report.</w:t>
      </w:r>
      <w:r w:rsidRPr="009B0448">
        <w:rPr>
          <w:rFonts w:ascii="Times New Roman" w:eastAsia="Times New Roman" w:hAnsi="Times New Roman" w:cs="Times New Roman"/>
          <w:i/>
          <w:color w:val="00000A"/>
        </w:rPr>
        <w:t xml:space="preserve"> </w:t>
      </w:r>
      <w:r w:rsidR="00C0487F" w:rsidRPr="009B0448">
        <w:rPr>
          <w:rFonts w:ascii="Times New Roman" w:eastAsia="Times New Roman" w:hAnsi="Times New Roman" w:cs="Times New Roman"/>
          <w:color w:val="00000A"/>
        </w:rPr>
        <w:t>Unpublished Consultancy Report</w:t>
      </w:r>
      <w:r w:rsidRPr="009B0448">
        <w:rPr>
          <w:rFonts w:ascii="Times New Roman" w:eastAsia="Times New Roman" w:hAnsi="Times New Roman" w:cs="Times New Roman"/>
          <w:color w:val="00000A"/>
        </w:rPr>
        <w:t xml:space="preserve">. </w:t>
      </w:r>
    </w:p>
    <w:p w14:paraId="19D9C161"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Diaw, M. C., &amp; Tiani, A. M. (2010). Fences in our heads: A discourse analysis of the Korup resettlement stalemate. </w:t>
      </w:r>
      <w:r w:rsidRPr="009B0448">
        <w:rPr>
          <w:rFonts w:ascii="Times New Roman" w:eastAsia="Times New Roman" w:hAnsi="Times New Roman" w:cs="Times New Roman"/>
          <w:i/>
          <w:color w:val="00000A"/>
        </w:rPr>
        <w:t>Journal of Sustainable Forestry, 29</w:t>
      </w:r>
      <w:r w:rsidRPr="009B0448">
        <w:rPr>
          <w:rFonts w:ascii="Times New Roman" w:eastAsia="Times New Roman" w:hAnsi="Times New Roman" w:cs="Times New Roman"/>
          <w:color w:val="00000A"/>
        </w:rPr>
        <w:t xml:space="preserve">(2–4), 221–251. </w:t>
      </w:r>
      <w:hyperlink r:id="rId145" w:history="1">
        <w:r w:rsidRPr="009B0448">
          <w:rPr>
            <w:rStyle w:val="Hyperlink"/>
            <w:rFonts w:ascii="Times New Roman" w:eastAsia="Times New Roman" w:hAnsi="Times New Roman" w:cs="Times New Roman"/>
          </w:rPr>
          <w:t>https://doi.org/10.1080/10549810903548138</w:t>
        </w:r>
      </w:hyperlink>
    </w:p>
    <w:p w14:paraId="51DC5A8A"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Diaw, M., Nguiebouri, J.-C., Tchoko, J., Ngo Baneg, M.-F., Vambi, B., Nlend, E., &amp; Keugni, M.-C. (2016). Pour une inscription du paradigme participatif dans l’économie sociale et la transformation structurelle. Le cas des forêts modèles. In G. Buttoud &amp; J.-C. Nguinguiri (Eds.), </w:t>
      </w:r>
      <w:r w:rsidRPr="009B0448">
        <w:rPr>
          <w:rFonts w:ascii="Times New Roman" w:eastAsia="Times New Roman" w:hAnsi="Times New Roman" w:cs="Times New Roman"/>
          <w:i/>
          <w:color w:val="00000A"/>
        </w:rPr>
        <w:t>La gestion inclusive des forêts d’Afrique centrale. Passer de la participation au partage des pouvoirs</w:t>
      </w:r>
      <w:r w:rsidRPr="009B0448">
        <w:rPr>
          <w:rFonts w:ascii="Times New Roman" w:eastAsia="Times New Roman" w:hAnsi="Times New Roman" w:cs="Times New Roman"/>
          <w:color w:val="00000A"/>
        </w:rPr>
        <w:t xml:space="preserve"> (pp. 189–203). Libreville-Bogor: FAO-CIFOR. Retrieved from </w:t>
      </w:r>
      <w:hyperlink r:id="rId146" w:history="1">
        <w:r w:rsidRPr="009B0448">
          <w:rPr>
            <w:rStyle w:val="Hyperlink"/>
            <w:rFonts w:ascii="Times New Roman" w:eastAsia="Times New Roman" w:hAnsi="Times New Roman" w:cs="Times New Roman"/>
          </w:rPr>
          <w:t>http://www.cifor.org/publications/pdf_files/Books/FAO-CIFOR_Book-14.pdf</w:t>
        </w:r>
      </w:hyperlink>
    </w:p>
    <w:p w14:paraId="0D8A31BC"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Díaz, S., Demissew, S., Carabias, J., Joly, C., Lonsdale, M., Ash, N., Larigauderie, A., Adhikari, J. R., Arico, S., Baldi, A., Baetuska, A., Baste, I. A., Bilgin, A., Brondizio, E., Chan, K. M. A., Figueroa, V. E., Duraiappah, A., Fischer, M., Hill, R., Koetz, T., Leadley, P., Lyver, P., Mace, G. M., Martin-Lopez, B., Okumura, M., Pacheco, D., Pascual, U., Perez, E. S., Reyers, B., Roth, E., Saito, O., Scholes, R. J., Sharmer, N., Tallis, H., Thaman, R., Watson, R., Yahara, T., Hamid, Z. A., Akosim, C., Al–Hafedh, Allaherdiyev, R., Amankwah, E., Asah, S. T., Asfaw, Z., Bartus, G., Brooks, L. A., Cailaux, J., Dalle, G., Darmaedi, D., Drivers, A., Erpul, G., Escobar-Eyzaguirre, P., Failier, P., Fouda, A. M. M., Fu, .D., Gundimeda, H., Hashimoto, S., Homer, F., Lavorel, S., Lichtenstein, G., Mala, W. A., Mandivenyi, W., Matczak, P., Mbizvo, C., Mehrdadi, M., Metzger, J. P., Mikissa, J. B., Moller, H., Mooney, H. A., Mumby, P., Nagendra, H., Nesshover, C., Oteng–Yeboah, A. A., Pataki, G., Roue, M., Rubis, J., Schultz, M., Smith, P., Sumaila, R., Takeuchi, K., Thomas, S., Verma, M., Yeo–Chang, Y., &amp; Zlatanova, D. (2015). The IPBES conceptual framework-connecting nature to people. </w:t>
      </w:r>
      <w:r w:rsidRPr="009B0448">
        <w:rPr>
          <w:rFonts w:ascii="Times New Roman" w:eastAsia="Times New Roman" w:hAnsi="Times New Roman" w:cs="Times New Roman"/>
          <w:i/>
          <w:color w:val="00000A"/>
        </w:rPr>
        <w:t>Current Opinion in Environmental Sustainability, 14,</w:t>
      </w:r>
      <w:r w:rsidRPr="009B0448">
        <w:rPr>
          <w:rFonts w:ascii="Times New Roman" w:eastAsia="Times New Roman" w:hAnsi="Times New Roman" w:cs="Times New Roman"/>
          <w:color w:val="00000A"/>
        </w:rPr>
        <w:t xml:space="preserve"> 1–16. </w:t>
      </w:r>
      <w:hyperlink r:id="rId147" w:history="1">
        <w:r w:rsidRPr="009B0448">
          <w:rPr>
            <w:rStyle w:val="Hyperlink"/>
            <w:rFonts w:ascii="Times New Roman" w:eastAsia="Times New Roman" w:hAnsi="Times New Roman" w:cs="Times New Roman"/>
          </w:rPr>
          <w:t>https://doi.org/10.1016/j.cosust.2014.11.002</w:t>
        </w:r>
      </w:hyperlink>
    </w:p>
    <w:p w14:paraId="09A2A55C"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Díaz, S., Pascual, U., Stenseke, M., Martin-Lopez, B., Watson, R. T., Molnár, Z., Hill, R., Chan, K. M. A., Baste, I. A., Brauman, K. A., Polasky, S., Church, A., Lonsdale, M., Larigauderie, A., Leadley, P. A., van Oudenhoven, A. P. E., van der Plaat, F., Schröter, M., Lavorel, S., Aumeeruddy-Thomas, Y., Bukvareva, E., Davies, K., Demissew, S., Erpul, G., Failler, P., Guerra, C. A., Hewitt, C. L., Keune, H., Lindley, S., &amp; Shirayama, Y. (2018). Assessing nature’s contributions to people. </w:t>
      </w:r>
      <w:r w:rsidRPr="009B0448">
        <w:rPr>
          <w:rFonts w:ascii="Times New Roman" w:eastAsia="Times New Roman" w:hAnsi="Times New Roman" w:cs="Times New Roman"/>
          <w:i/>
          <w:color w:val="00000A"/>
        </w:rPr>
        <w:t>Science, 359</w:t>
      </w:r>
      <w:r w:rsidRPr="009B0448">
        <w:rPr>
          <w:rFonts w:ascii="Times New Roman" w:eastAsia="Times New Roman" w:hAnsi="Times New Roman" w:cs="Times New Roman"/>
          <w:color w:val="00000A"/>
        </w:rPr>
        <w:t xml:space="preserve">(6373), 270–272. </w:t>
      </w:r>
      <w:hyperlink r:id="rId148" w:history="1">
        <w:r w:rsidRPr="009B0448">
          <w:rPr>
            <w:rStyle w:val="Hyperlink"/>
            <w:rFonts w:ascii="Times New Roman" w:eastAsia="Times New Roman" w:hAnsi="Times New Roman" w:cs="Times New Roman"/>
          </w:rPr>
          <w:t>https://doi.org/10.1126/science.aap8826</w:t>
        </w:r>
      </w:hyperlink>
    </w:p>
    <w:p w14:paraId="3FAE6668"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Diop, C. A. (1981). </w:t>
      </w:r>
      <w:r w:rsidRPr="009B0448">
        <w:rPr>
          <w:rFonts w:ascii="Times New Roman" w:eastAsia="Times New Roman" w:hAnsi="Times New Roman" w:cs="Times New Roman"/>
          <w:i/>
          <w:color w:val="00000A"/>
        </w:rPr>
        <w:t>Civilisation ou barbarie.</w:t>
      </w:r>
      <w:r w:rsidRPr="009B0448">
        <w:rPr>
          <w:rFonts w:ascii="Times New Roman" w:eastAsia="Times New Roman" w:hAnsi="Times New Roman" w:cs="Times New Roman"/>
          <w:color w:val="00000A"/>
        </w:rPr>
        <w:t xml:space="preserve"> Paris, France: Présence Africaine. ISBN 2708703943.</w:t>
      </w:r>
    </w:p>
    <w:p w14:paraId="209B6F29"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Diop, S., &amp; Scheren, P. A. (2016). Sustainable oceans and coasts: Lessons learnt from Eastern and Western Africa. </w:t>
      </w:r>
      <w:r w:rsidRPr="009B0448">
        <w:rPr>
          <w:rFonts w:ascii="Times New Roman" w:eastAsia="Times New Roman" w:hAnsi="Times New Roman" w:cs="Times New Roman"/>
          <w:i/>
          <w:color w:val="00000A"/>
        </w:rPr>
        <w:t>Estuarine, Coastal and Shelf Science, 183</w:t>
      </w:r>
      <w:r w:rsidRPr="009B0448">
        <w:rPr>
          <w:rFonts w:ascii="Times New Roman" w:eastAsia="Times New Roman" w:hAnsi="Times New Roman" w:cs="Times New Roman"/>
          <w:color w:val="00000A"/>
        </w:rPr>
        <w:t xml:space="preserve">, 327–339. </w:t>
      </w:r>
      <w:hyperlink r:id="rId149" w:history="1">
        <w:r w:rsidRPr="009B0448">
          <w:rPr>
            <w:rStyle w:val="Hyperlink"/>
            <w:rFonts w:ascii="Times New Roman" w:eastAsia="Times New Roman" w:hAnsi="Times New Roman" w:cs="Times New Roman"/>
          </w:rPr>
          <w:t>https://doi.org/10.1016/j.ecss.2016.03.032</w:t>
        </w:r>
      </w:hyperlink>
    </w:p>
    <w:p w14:paraId="06044766"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Durant, S. M., Wacher, T., Bashir, S., Woodroffe, R., De Ornellas, P., Ransom, C., Newby, J., Abáigar, T., Abdelgadir, M., El Alqamy, H., Baillie, J., </w:t>
      </w:r>
      <w:r w:rsidRPr="009B0448">
        <w:rPr>
          <w:rFonts w:ascii="Times New Roman" w:eastAsia="Times New Roman" w:hAnsi="Times New Roman" w:cs="Times New Roman"/>
          <w:color w:val="00000A"/>
        </w:rPr>
        <w:t>Beddiaf, M., Belbachir, F., Belbachir</w:t>
      </w:r>
      <w:r w:rsidRPr="009B0448">
        <w:rPr>
          <w:rFonts w:ascii="Cambria Math" w:eastAsia="Times New Roman" w:hAnsi="Cambria Math" w:cs="Cambria Math"/>
          <w:color w:val="00000A"/>
        </w:rPr>
        <w:t>‐</w:t>
      </w:r>
      <w:r w:rsidRPr="009B0448">
        <w:rPr>
          <w:rFonts w:ascii="Times New Roman" w:eastAsia="Times New Roman" w:hAnsi="Times New Roman" w:cs="Times New Roman"/>
          <w:color w:val="00000A"/>
        </w:rPr>
        <w:t>Bazi, A., Berbash, A. A., Bemadjim, N. E., Beudels</w:t>
      </w:r>
      <w:r w:rsidRPr="009B0448">
        <w:rPr>
          <w:rFonts w:ascii="Cambria Math" w:eastAsia="Times New Roman" w:hAnsi="Cambria Math" w:cs="Cambria Math"/>
          <w:color w:val="00000A"/>
        </w:rPr>
        <w:t>‐</w:t>
      </w:r>
      <w:r w:rsidRPr="009B0448">
        <w:rPr>
          <w:rFonts w:ascii="Times New Roman" w:eastAsia="Times New Roman" w:hAnsi="Times New Roman" w:cs="Times New Roman"/>
          <w:color w:val="00000A"/>
        </w:rPr>
        <w:t>Jamar, R., Boitani, L., Breitenmoser, C., Cano, M., Chardonnet, P., Collen, B., Cornforth, W. A., Cuzin, F., Gerngross, P., Haddane, B., Hadjeloum, M., Jacobson, A., Jebali, A. Lamarque, F., Mallon, D., Minkowski, K., Monfort, S., Ndoassal, B., Niagate, B., Purchase, G., Samaïla, S., Samna, A. K., Sillero</w:t>
      </w:r>
      <w:r w:rsidRPr="009B0448">
        <w:rPr>
          <w:rFonts w:ascii="Cambria Math" w:eastAsia="Times New Roman" w:hAnsi="Cambria Math" w:cs="Cambria Math"/>
          <w:color w:val="00000A"/>
        </w:rPr>
        <w:t>‐</w:t>
      </w:r>
      <w:r w:rsidRPr="009B0448">
        <w:rPr>
          <w:rFonts w:ascii="Times New Roman" w:eastAsia="Times New Roman" w:hAnsi="Times New Roman" w:cs="Times New Roman"/>
          <w:color w:val="00000A"/>
        </w:rPr>
        <w:t xml:space="preserve">Zubiri, C., Soultan, </w:t>
      </w:r>
      <w:r w:rsidRPr="009B0448">
        <w:rPr>
          <w:rFonts w:ascii="Times New Roman" w:eastAsia="Times New Roman" w:hAnsi="Times New Roman" w:cs="Times New Roman"/>
          <w:color w:val="00000A"/>
        </w:rPr>
        <w:lastRenderedPageBreak/>
        <w:t xml:space="preserve">A. E., Stanley Price, M. R., Pettorelli, N. (2014). Fiddling in biodiversity hotspots while deserts burn? Collapse of the Sahara’s megafauna. </w:t>
      </w:r>
      <w:r w:rsidRPr="009B0448">
        <w:rPr>
          <w:rFonts w:ascii="Times New Roman" w:eastAsia="Times New Roman" w:hAnsi="Times New Roman" w:cs="Times New Roman"/>
          <w:i/>
          <w:color w:val="00000A"/>
        </w:rPr>
        <w:t>Diversity and Distributions, 20</w:t>
      </w:r>
      <w:r w:rsidRPr="009B0448">
        <w:rPr>
          <w:rFonts w:ascii="Times New Roman" w:eastAsia="Times New Roman" w:hAnsi="Times New Roman" w:cs="Times New Roman"/>
          <w:color w:val="00000A"/>
        </w:rPr>
        <w:t xml:space="preserve">(1), 114–122. </w:t>
      </w:r>
      <w:hyperlink r:id="rId150" w:history="1">
        <w:r w:rsidRPr="009B0448">
          <w:rPr>
            <w:rStyle w:val="Hyperlink"/>
            <w:rFonts w:ascii="Times New Roman" w:eastAsia="Times New Roman" w:hAnsi="Times New Roman" w:cs="Times New Roman"/>
          </w:rPr>
          <w:t>https://doi.org/10.1111/ddi.12157</w:t>
        </w:r>
      </w:hyperlink>
    </w:p>
    <w:p w14:paraId="6D33BCD0"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Dyck, A. J., &amp; Sumaila, U. R. (2010).Economic impact of ocean fish populations in the global fishery. </w:t>
      </w:r>
      <w:r w:rsidRPr="009B0448">
        <w:rPr>
          <w:rFonts w:ascii="Times New Roman" w:eastAsia="Times New Roman" w:hAnsi="Times New Roman" w:cs="Times New Roman"/>
          <w:i/>
          <w:color w:val="00000A"/>
        </w:rPr>
        <w:t>Journal of Bioeconomics, 12</w:t>
      </w:r>
      <w:r w:rsidRPr="009B0448">
        <w:rPr>
          <w:rFonts w:ascii="Times New Roman" w:eastAsia="Times New Roman" w:hAnsi="Times New Roman" w:cs="Times New Roman"/>
          <w:color w:val="00000A"/>
        </w:rPr>
        <w:t xml:space="preserve">(3), 227–243. </w:t>
      </w:r>
      <w:hyperlink r:id="rId151" w:history="1">
        <w:r w:rsidRPr="009B0448">
          <w:rPr>
            <w:rStyle w:val="Hyperlink"/>
            <w:rFonts w:ascii="Times New Roman" w:eastAsia="Times New Roman" w:hAnsi="Times New Roman" w:cs="Times New Roman"/>
          </w:rPr>
          <w:t>https://doi.org/10.1007/s10818-010-9088-3</w:t>
        </w:r>
      </w:hyperlink>
    </w:p>
    <w:p w14:paraId="74DF7092"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Edejer, T. T.-T., Baltussen, R., Adam, T., Hutubessy, R., Acharya, A., Evans, D. B., &amp; Murray, C. J. L. (Eds.). (2003). </w:t>
      </w:r>
      <w:r w:rsidRPr="009B0448">
        <w:rPr>
          <w:rFonts w:ascii="Times New Roman" w:eastAsia="Times New Roman" w:hAnsi="Times New Roman" w:cs="Times New Roman"/>
          <w:i/>
          <w:color w:val="00000A"/>
        </w:rPr>
        <w:t>Making choices in health: WHO guide to cost-effectiveness analysis</w:t>
      </w:r>
      <w:r w:rsidRPr="009B0448">
        <w:rPr>
          <w:rFonts w:ascii="Times New Roman" w:eastAsia="Times New Roman" w:hAnsi="Times New Roman" w:cs="Times New Roman"/>
          <w:color w:val="00000A"/>
        </w:rPr>
        <w:t xml:space="preserve">. Geneva, Switzerland: World Health Organization. Retrieved from </w:t>
      </w:r>
      <w:hyperlink r:id="rId152" w:history="1">
        <w:r w:rsidRPr="009B0448">
          <w:rPr>
            <w:rStyle w:val="Hyperlink"/>
            <w:rFonts w:ascii="Times New Roman" w:eastAsia="Times New Roman" w:hAnsi="Times New Roman" w:cs="Times New Roman"/>
          </w:rPr>
          <w:t>http://apps.who.int/iris/bitstream/10665/42699/1/9241546018.pdf</w:t>
        </w:r>
      </w:hyperlink>
    </w:p>
    <w:p w14:paraId="3AEE785E"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Eisenberg, J. N. S., Desai, M. A., Levy, K., Bates, S. J., Liang, S., Naumoff, K., &amp; Scott, J. C. (2007). Environmental determinants of infectious disease: A framework for tracking causal links and guiding public health research. </w:t>
      </w:r>
      <w:r w:rsidRPr="009B0448">
        <w:rPr>
          <w:rFonts w:ascii="Times New Roman" w:eastAsia="Times New Roman" w:hAnsi="Times New Roman" w:cs="Times New Roman"/>
          <w:i/>
          <w:color w:val="00000A"/>
        </w:rPr>
        <w:t>Environmental Health Perspectives, 115</w:t>
      </w:r>
      <w:r w:rsidRPr="009B0448">
        <w:rPr>
          <w:rFonts w:ascii="Times New Roman" w:eastAsia="Times New Roman" w:hAnsi="Times New Roman" w:cs="Times New Roman"/>
          <w:color w:val="00000A"/>
        </w:rPr>
        <w:t xml:space="preserve">(8), 1216–1223. </w:t>
      </w:r>
      <w:hyperlink r:id="rId153" w:history="1">
        <w:r w:rsidRPr="009B0448">
          <w:rPr>
            <w:rStyle w:val="Hyperlink"/>
            <w:rFonts w:ascii="Times New Roman" w:eastAsia="Times New Roman" w:hAnsi="Times New Roman" w:cs="Times New Roman"/>
          </w:rPr>
          <w:t>https://doi.org/10.1289/ehp.9806</w:t>
        </w:r>
      </w:hyperlink>
    </w:p>
    <w:p w14:paraId="698C7434"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El-Nahry, A. H., &amp; Doluschitz, R. (2009).Climate change and its impacts on the coastal zone of the Nile Delta, Egypt. </w:t>
      </w:r>
      <w:r w:rsidRPr="009B0448">
        <w:rPr>
          <w:rFonts w:ascii="Times New Roman" w:eastAsia="Times New Roman" w:hAnsi="Times New Roman" w:cs="Times New Roman"/>
          <w:i/>
          <w:color w:val="00000A"/>
        </w:rPr>
        <w:t>Environmental Earth Sciences, 59</w:t>
      </w:r>
      <w:r w:rsidRPr="009B0448">
        <w:rPr>
          <w:rFonts w:ascii="Times New Roman" w:eastAsia="Times New Roman" w:hAnsi="Times New Roman" w:cs="Times New Roman"/>
          <w:color w:val="00000A"/>
        </w:rPr>
        <w:t xml:space="preserve">(7), 1497–1506. </w:t>
      </w:r>
      <w:hyperlink r:id="rId154" w:history="1">
        <w:r w:rsidRPr="009B0448">
          <w:rPr>
            <w:rStyle w:val="Hyperlink"/>
            <w:rFonts w:ascii="Times New Roman" w:eastAsia="Times New Roman" w:hAnsi="Times New Roman" w:cs="Times New Roman"/>
          </w:rPr>
          <w:t>https://doi.org/10.1007/s12665-009-0135-0</w:t>
        </w:r>
      </w:hyperlink>
    </w:p>
    <w:p w14:paraId="4C52E8B9"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Elujoba, A. A., Odeleye, O. M., &amp; Ogunyemi, C. M. (2005). Traditional medicine development for medical and dental primary health care delivery system in Africa. </w:t>
      </w:r>
      <w:r w:rsidRPr="009B0448">
        <w:rPr>
          <w:rFonts w:ascii="Times New Roman" w:eastAsia="Times New Roman" w:hAnsi="Times New Roman" w:cs="Times New Roman"/>
          <w:i/>
          <w:color w:val="00000A"/>
        </w:rPr>
        <w:t>African Journal of Traditional, Complementary and Alternative Medicines, 2</w:t>
      </w:r>
      <w:r w:rsidRPr="009B0448">
        <w:rPr>
          <w:rFonts w:ascii="Times New Roman" w:eastAsia="Times New Roman" w:hAnsi="Times New Roman" w:cs="Times New Roman"/>
          <w:color w:val="00000A"/>
        </w:rPr>
        <w:t xml:space="preserve">(1), 46–61. </w:t>
      </w:r>
      <w:hyperlink r:id="rId155" w:history="1">
        <w:r w:rsidRPr="009B0448">
          <w:rPr>
            <w:rStyle w:val="Hyperlink"/>
            <w:rFonts w:ascii="Times New Roman" w:eastAsia="Times New Roman" w:hAnsi="Times New Roman" w:cs="Times New Roman"/>
          </w:rPr>
          <w:t>https://tspace.library.utoronto.ca/handle/1807/9189</w:t>
        </w:r>
      </w:hyperlink>
    </w:p>
    <w:p w14:paraId="23B6E863"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Emerton, L., &amp; Howard, G. (2008). </w:t>
      </w:r>
      <w:r w:rsidRPr="009B0448">
        <w:rPr>
          <w:rFonts w:ascii="Times New Roman" w:eastAsia="Times New Roman" w:hAnsi="Times New Roman" w:cs="Times New Roman"/>
          <w:i/>
          <w:color w:val="00000A"/>
        </w:rPr>
        <w:t>A toolkit for the economic analysis of invasive species</w:t>
      </w:r>
      <w:r w:rsidRPr="009B0448">
        <w:rPr>
          <w:rFonts w:ascii="Times New Roman" w:eastAsia="Times New Roman" w:hAnsi="Times New Roman" w:cs="Times New Roman"/>
          <w:color w:val="00000A"/>
        </w:rPr>
        <w:t xml:space="preserve">. Nairobi, Kenya: Global Invasive Species Programme. Retrieved from </w:t>
      </w:r>
      <w:hyperlink r:id="rId156" w:history="1">
        <w:r w:rsidRPr="009B0448">
          <w:rPr>
            <w:rStyle w:val="Hyperlink"/>
            <w:rFonts w:ascii="Times New Roman" w:eastAsia="Times New Roman" w:hAnsi="Times New Roman" w:cs="Times New Roman"/>
          </w:rPr>
          <w:t>http://www.issg.org/pdf/publications/GISP/Guidelines_Toolkits_BestPractice/Emerton%26Howard_2008_EN.pdf</w:t>
        </w:r>
      </w:hyperlink>
    </w:p>
    <w:p w14:paraId="3AFDD603"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Fa, J. E., Olivero, J., Farfán, M. Á., Márquez, A. L., Duarte, J., Nackoney, J., Hall, A., Dupain, J., Seymour, S., Johnson, P.J ., Macdonald, D. W., Real, R., &amp; Vargas, J. M. (2015). Correlates of bushmeat in markets and depletion of wildlife. </w:t>
      </w:r>
      <w:r w:rsidRPr="009B0448">
        <w:rPr>
          <w:rFonts w:ascii="Times New Roman" w:eastAsia="Times New Roman" w:hAnsi="Times New Roman" w:cs="Times New Roman"/>
          <w:i/>
          <w:color w:val="00000A"/>
        </w:rPr>
        <w:t>Conservation Biology, 29</w:t>
      </w:r>
      <w:r w:rsidRPr="009B0448">
        <w:rPr>
          <w:rFonts w:ascii="Times New Roman" w:eastAsia="Times New Roman" w:hAnsi="Times New Roman" w:cs="Times New Roman"/>
          <w:color w:val="00000A"/>
        </w:rPr>
        <w:t xml:space="preserve">(3), 805–815. </w:t>
      </w:r>
      <w:hyperlink r:id="rId157" w:history="1">
        <w:r w:rsidRPr="009B0448">
          <w:rPr>
            <w:rStyle w:val="Hyperlink"/>
            <w:rFonts w:ascii="Times New Roman" w:eastAsia="Times New Roman" w:hAnsi="Times New Roman" w:cs="Times New Roman"/>
          </w:rPr>
          <w:t>https://doi.org/10.1111/cobi.12441</w:t>
        </w:r>
      </w:hyperlink>
    </w:p>
    <w:p w14:paraId="370805D6"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Faith, D., Collen, B., Ariño, A., Koleff, P. K. P., Guinotte, J., Kerr, J., &amp; Chavan, V. (2013). Bridging the biodiversity data gaps: Recommendations to meet users’ data needs. </w:t>
      </w:r>
      <w:r w:rsidRPr="009B0448">
        <w:rPr>
          <w:rFonts w:ascii="Times New Roman" w:eastAsia="Times New Roman" w:hAnsi="Times New Roman" w:cs="Times New Roman"/>
          <w:i/>
          <w:color w:val="00000A"/>
        </w:rPr>
        <w:t>Biodiversity Informatics, 8</w:t>
      </w:r>
      <w:r w:rsidRPr="009B0448">
        <w:rPr>
          <w:rFonts w:ascii="Times New Roman" w:eastAsia="Times New Roman" w:hAnsi="Times New Roman" w:cs="Times New Roman"/>
          <w:color w:val="00000A"/>
        </w:rPr>
        <w:t xml:space="preserve">(2), 41–58. </w:t>
      </w:r>
      <w:hyperlink r:id="rId158" w:history="1">
        <w:r w:rsidRPr="009B0448">
          <w:rPr>
            <w:rStyle w:val="Hyperlink"/>
            <w:rFonts w:ascii="Times New Roman" w:eastAsia="Times New Roman" w:hAnsi="Times New Roman" w:cs="Times New Roman"/>
          </w:rPr>
          <w:t>https://doi.org/10.17161/bi.v8i2.4126</w:t>
        </w:r>
      </w:hyperlink>
    </w:p>
    <w:p w14:paraId="49D4A6ED"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Fakir, S. (2012). </w:t>
      </w:r>
      <w:r w:rsidRPr="009B0448">
        <w:rPr>
          <w:rFonts w:ascii="Times New Roman" w:eastAsia="Times New Roman" w:hAnsi="Times New Roman" w:cs="Times New Roman"/>
          <w:i/>
          <w:color w:val="00000A"/>
        </w:rPr>
        <w:t>The G20’s energy infrastructure plans for Africa: What is missing?</w:t>
      </w:r>
      <w:r w:rsidRPr="009B0448">
        <w:rPr>
          <w:rFonts w:ascii="Times New Roman" w:eastAsia="Times New Roman" w:hAnsi="Times New Roman" w:cs="Times New Roman"/>
          <w:color w:val="00000A"/>
        </w:rPr>
        <w:t xml:space="preserve"> Cape Town, South Africa: Heinrich Böll Stiftung Southern Africa. Retrieved from </w:t>
      </w:r>
      <w:hyperlink r:id="rId159" w:history="1">
        <w:r w:rsidRPr="009B0448">
          <w:rPr>
            <w:rStyle w:val="Hyperlink"/>
            <w:rFonts w:ascii="Times New Roman" w:eastAsia="Times New Roman" w:hAnsi="Times New Roman" w:cs="Times New Roman"/>
          </w:rPr>
          <w:t>https://za.boell.org/2014/02/12/g20s-energy-infrastructure-plans-africa-what-missing</w:t>
        </w:r>
      </w:hyperlink>
    </w:p>
    <w:p w14:paraId="7E14B72C" w14:textId="77777777" w:rsidR="001A3B0A" w:rsidRPr="009B0448" w:rsidRDefault="001A3B0A" w:rsidP="0033312D">
      <w:pPr>
        <w:spacing w:after="120" w:line="276" w:lineRule="auto"/>
        <w:ind w:left="567" w:hanging="567"/>
        <w:rPr>
          <w:rFonts w:ascii="Times New Roman" w:hAnsi="Times New Roman" w:cs="Times New Roman"/>
        </w:rPr>
      </w:pPr>
      <w:r w:rsidRPr="009B0448">
        <w:rPr>
          <w:rFonts w:ascii="Times New Roman" w:eastAsia="Times New Roman" w:hAnsi="Times New Roman" w:cs="Times New Roman"/>
          <w:color w:val="00000A"/>
        </w:rPr>
        <w:t xml:space="preserve">FAO. (2007a). </w:t>
      </w:r>
      <w:r w:rsidRPr="009B0448">
        <w:rPr>
          <w:rFonts w:ascii="Times New Roman" w:eastAsia="Times New Roman" w:hAnsi="Times New Roman" w:cs="Times New Roman"/>
          <w:i/>
          <w:color w:val="00000A"/>
        </w:rPr>
        <w:t>Biodiversity of microorganisms and insects for food and agriculture: Status and needs.</w:t>
      </w:r>
      <w:r w:rsidRPr="009B0448">
        <w:rPr>
          <w:rFonts w:ascii="Times New Roman" w:eastAsia="Times New Roman" w:hAnsi="Times New Roman" w:cs="Times New Roman"/>
          <w:color w:val="00000A"/>
        </w:rPr>
        <w:t xml:space="preserve"> Rome, Italy: Food and Agriculture Organization of United Nations. Retrieved from </w:t>
      </w:r>
      <w:hyperlink r:id="rId160" w:history="1">
        <w:r w:rsidRPr="009B0448">
          <w:rPr>
            <w:rStyle w:val="Hyperlink"/>
            <w:rFonts w:ascii="Times New Roman" w:hAnsi="Times New Roman" w:cs="Times New Roman"/>
          </w:rPr>
          <w:t>http://www.fao.org/tempref/docrep/fao/meeting/014/j9728e.pdf</w:t>
        </w:r>
      </w:hyperlink>
    </w:p>
    <w:p w14:paraId="7BC41475"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FAO. (2007b). </w:t>
      </w:r>
      <w:r w:rsidRPr="009B0448">
        <w:rPr>
          <w:rFonts w:ascii="Times New Roman" w:eastAsia="Times New Roman" w:hAnsi="Times New Roman" w:cs="Times New Roman"/>
          <w:i/>
          <w:color w:val="00000A"/>
        </w:rPr>
        <w:t>FAO Biosecurity toolkit.</w:t>
      </w:r>
      <w:r w:rsidRPr="009B0448">
        <w:rPr>
          <w:rFonts w:ascii="Times New Roman" w:eastAsia="Times New Roman" w:hAnsi="Times New Roman" w:cs="Times New Roman"/>
          <w:color w:val="00000A"/>
        </w:rPr>
        <w:t xml:space="preserve"> Rome, Italy: Food and agricultural organization of the United Nations. Retrieved from </w:t>
      </w:r>
      <w:hyperlink r:id="rId161" w:history="1">
        <w:r w:rsidRPr="009B0448">
          <w:rPr>
            <w:rStyle w:val="Hyperlink"/>
            <w:rFonts w:ascii="Times New Roman" w:eastAsia="Times New Roman" w:hAnsi="Times New Roman" w:cs="Times New Roman"/>
          </w:rPr>
          <w:t>http://www.fao.org/docrep/010/a1140e/a1140e00.htm</w:t>
        </w:r>
      </w:hyperlink>
    </w:p>
    <w:p w14:paraId="2C51C7EA"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FAO. (2011). </w:t>
      </w:r>
      <w:r w:rsidRPr="009B0448">
        <w:rPr>
          <w:rFonts w:ascii="Times New Roman" w:eastAsia="Times New Roman" w:hAnsi="Times New Roman" w:cs="Times New Roman"/>
          <w:i/>
          <w:color w:val="00000A"/>
        </w:rPr>
        <w:t>State of the world’s forests 2011</w:t>
      </w:r>
      <w:r w:rsidRPr="009B0448">
        <w:rPr>
          <w:rFonts w:ascii="Times New Roman" w:eastAsia="Times New Roman" w:hAnsi="Times New Roman" w:cs="Times New Roman"/>
          <w:color w:val="00000A"/>
        </w:rPr>
        <w:t xml:space="preserve">. Rome, Italy: Food and Agriculture Organization of the United Nations. Retrieved from </w:t>
      </w:r>
      <w:hyperlink r:id="rId162" w:history="1">
        <w:r w:rsidRPr="009B0448">
          <w:rPr>
            <w:rStyle w:val="Hyperlink"/>
            <w:rFonts w:ascii="Times New Roman" w:eastAsia="Times New Roman" w:hAnsi="Times New Roman" w:cs="Times New Roman"/>
          </w:rPr>
          <w:t>http://www.fao.org/docrep/013/i2000e/i2000e.pdf</w:t>
        </w:r>
      </w:hyperlink>
    </w:p>
    <w:p w14:paraId="586F15C7"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FAO. (2014a). </w:t>
      </w:r>
      <w:r w:rsidRPr="009B0448">
        <w:rPr>
          <w:rFonts w:ascii="Times New Roman" w:eastAsia="Times New Roman" w:hAnsi="Times New Roman" w:cs="Times New Roman"/>
          <w:i/>
          <w:color w:val="00000A"/>
        </w:rPr>
        <w:t>State of the world’s forests 2014: Enhancing the socioeconomic benefits from forests.</w:t>
      </w:r>
      <w:r w:rsidRPr="009B0448">
        <w:rPr>
          <w:rFonts w:ascii="Times New Roman" w:eastAsia="Times New Roman" w:hAnsi="Times New Roman" w:cs="Times New Roman"/>
          <w:color w:val="00000A"/>
        </w:rPr>
        <w:t xml:space="preserve"> Rome, Italy: Food &amp; Agriculture Organization of the United Nations. Retrieved from </w:t>
      </w:r>
      <w:hyperlink r:id="rId163" w:history="1">
        <w:r w:rsidRPr="009B0448">
          <w:rPr>
            <w:rStyle w:val="Hyperlink"/>
            <w:rFonts w:ascii="Times New Roman" w:eastAsia="Times New Roman" w:hAnsi="Times New Roman" w:cs="Times New Roman"/>
          </w:rPr>
          <w:t>http://www.fao.org/3/a-i3710e.pdf</w:t>
        </w:r>
      </w:hyperlink>
    </w:p>
    <w:p w14:paraId="38A34EDB"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FAO. (2014b). </w:t>
      </w:r>
      <w:r w:rsidRPr="009B0448">
        <w:rPr>
          <w:rFonts w:ascii="Times New Roman" w:eastAsia="Times New Roman" w:hAnsi="Times New Roman" w:cs="Times New Roman"/>
          <w:i/>
          <w:color w:val="00000A"/>
        </w:rPr>
        <w:t>The state of world fisheries and aquaculture 2014.</w:t>
      </w:r>
      <w:r w:rsidRPr="009B0448">
        <w:rPr>
          <w:rFonts w:ascii="Times New Roman" w:eastAsia="Times New Roman" w:hAnsi="Times New Roman" w:cs="Times New Roman"/>
          <w:color w:val="00000A"/>
        </w:rPr>
        <w:t xml:space="preserve"> Rome, Italy: FAO Fisheries and Aquaculture Department. Retrieveed from </w:t>
      </w:r>
      <w:hyperlink r:id="rId164" w:history="1">
        <w:r w:rsidRPr="009B0448">
          <w:rPr>
            <w:rStyle w:val="Hyperlink"/>
            <w:rFonts w:ascii="Times New Roman" w:eastAsia="Times New Roman" w:hAnsi="Times New Roman" w:cs="Times New Roman"/>
          </w:rPr>
          <w:t>http://www.fao.org/3/a-i3720e.pdf</w:t>
        </w:r>
      </w:hyperlink>
    </w:p>
    <w:p w14:paraId="6C15000C"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FAO. (2015). </w:t>
      </w:r>
      <w:r w:rsidRPr="009B0448">
        <w:rPr>
          <w:rFonts w:ascii="Times New Roman" w:eastAsia="Times New Roman" w:hAnsi="Times New Roman" w:cs="Times New Roman"/>
          <w:i/>
          <w:color w:val="00000A"/>
        </w:rPr>
        <w:t>Report of the FAO working group on the assessment of small pelagic fish off Northwest Africa.</w:t>
      </w:r>
      <w:r w:rsidRPr="009B0448">
        <w:rPr>
          <w:rFonts w:ascii="Times New Roman" w:eastAsia="Times New Roman" w:hAnsi="Times New Roman" w:cs="Times New Roman"/>
          <w:color w:val="00000A"/>
        </w:rPr>
        <w:t xml:space="preserve"> Rome, Italy: Food &amp; Agriculture Organization of the United Nations. Retrieved from </w:t>
      </w:r>
      <w:hyperlink r:id="rId165" w:history="1">
        <w:r w:rsidRPr="009B0448">
          <w:rPr>
            <w:rStyle w:val="Hyperlink"/>
            <w:rFonts w:ascii="Times New Roman" w:eastAsia="Times New Roman" w:hAnsi="Times New Roman" w:cs="Times New Roman"/>
          </w:rPr>
          <w:t>http://www.fao.org/docrep/017/i3135b/i3135b.pdf</w:t>
        </w:r>
      </w:hyperlink>
    </w:p>
    <w:p w14:paraId="7CAFBA0D" w14:textId="77777777" w:rsidR="001A3B0A" w:rsidRPr="009B0448" w:rsidRDefault="001A3B0A" w:rsidP="00AC55F7">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FAO. (2016). </w:t>
      </w:r>
      <w:r w:rsidRPr="009B0448">
        <w:rPr>
          <w:rFonts w:ascii="Times New Roman" w:eastAsia="Times New Roman" w:hAnsi="Times New Roman" w:cs="Times New Roman"/>
          <w:i/>
          <w:color w:val="00000A"/>
        </w:rPr>
        <w:t>The State of World Fisheries and Aquaculture 2016. Contributing to food security and nutrition for all.</w:t>
      </w:r>
      <w:r w:rsidRPr="009B0448">
        <w:rPr>
          <w:rFonts w:ascii="Times New Roman" w:eastAsia="Times New Roman" w:hAnsi="Times New Roman" w:cs="Times New Roman"/>
          <w:color w:val="00000A"/>
        </w:rPr>
        <w:t xml:space="preserve"> Rome, Italy: Food &amp; Agriculture Organization of the United Nations. Retrieved from </w:t>
      </w:r>
      <w:hyperlink r:id="rId166" w:history="1">
        <w:r w:rsidRPr="009B0448">
          <w:rPr>
            <w:rStyle w:val="Hyperlink"/>
            <w:rFonts w:ascii="Times New Roman" w:eastAsia="Times New Roman" w:hAnsi="Times New Roman" w:cs="Times New Roman"/>
          </w:rPr>
          <w:t>http://www.fao.org/3/a-i5555e.pdf</w:t>
        </w:r>
      </w:hyperlink>
    </w:p>
    <w:p w14:paraId="7C8181ED"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Farolfi, S. (2010, November 25). </w:t>
      </w:r>
      <w:r w:rsidRPr="009B0448">
        <w:rPr>
          <w:rFonts w:ascii="Times New Roman" w:eastAsia="Times New Roman" w:hAnsi="Times New Roman" w:cs="Times New Roman"/>
          <w:i/>
          <w:color w:val="00000A"/>
        </w:rPr>
        <w:t>Economic value of water for different uses in Southern Africa.</w:t>
      </w:r>
      <w:r w:rsidRPr="009B0448">
        <w:rPr>
          <w:rFonts w:ascii="Times New Roman" w:eastAsia="Times New Roman" w:hAnsi="Times New Roman" w:cs="Times New Roman"/>
          <w:color w:val="00000A"/>
        </w:rPr>
        <w:t xml:space="preserve"> Presented at the Seminar Presentation, UNESCO Chair in Water Economics. Retrieved from </w:t>
      </w:r>
      <w:hyperlink r:id="rId167" w:history="1">
        <w:r w:rsidRPr="009B0448">
          <w:rPr>
            <w:rStyle w:val="Hyperlink"/>
            <w:rFonts w:ascii="Times New Roman" w:eastAsia="Times New Roman" w:hAnsi="Times New Roman" w:cs="Times New Roman"/>
          </w:rPr>
          <w:t>http://www.water.anu.edu.au/UNESCOChair/20101125/slides/Stefano_Farolfi.pdf</w:t>
        </w:r>
      </w:hyperlink>
    </w:p>
    <w:p w14:paraId="0F624F05"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Faurès, J. M., &amp; Santini, G. (2008). </w:t>
      </w:r>
      <w:r w:rsidRPr="009B0448">
        <w:rPr>
          <w:rFonts w:ascii="Times New Roman" w:eastAsia="Times New Roman" w:hAnsi="Times New Roman" w:cs="Times New Roman"/>
          <w:i/>
          <w:color w:val="00000A"/>
        </w:rPr>
        <w:t>Water and the rural poor: interventions for improving livelihoods in sub-Saharan Africa.</w:t>
      </w:r>
      <w:r w:rsidRPr="009B0448">
        <w:rPr>
          <w:rFonts w:ascii="Times New Roman" w:eastAsia="Times New Roman" w:hAnsi="Times New Roman" w:cs="Times New Roman"/>
          <w:color w:val="00000A"/>
        </w:rPr>
        <w:t xml:space="preserve"> Rome, Italy: International Fund for Agricultural Development (IFAD). Retrieved from </w:t>
      </w:r>
      <w:hyperlink r:id="rId168" w:history="1">
        <w:r w:rsidRPr="009B0448">
          <w:rPr>
            <w:rStyle w:val="Hyperlink"/>
            <w:rFonts w:ascii="Times New Roman" w:eastAsia="Times New Roman" w:hAnsi="Times New Roman" w:cs="Times New Roman"/>
          </w:rPr>
          <w:t>https://www.cabdirect.org/cabdirect/abstract/20083156477</w:t>
        </w:r>
      </w:hyperlink>
    </w:p>
    <w:p w14:paraId="497E3846"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Feka, Z. N. (2015). Sustainable management of mangrove forests in West Africa: A new policy perspective? </w:t>
      </w:r>
      <w:r w:rsidRPr="009B0448">
        <w:rPr>
          <w:rFonts w:ascii="Times New Roman" w:eastAsia="Times New Roman" w:hAnsi="Times New Roman" w:cs="Times New Roman"/>
          <w:i/>
          <w:color w:val="00000A"/>
        </w:rPr>
        <w:t>Ocean &amp; Coastal Management, 116</w:t>
      </w:r>
      <w:r w:rsidRPr="009B0448">
        <w:rPr>
          <w:rFonts w:ascii="Times New Roman" w:eastAsia="Times New Roman" w:hAnsi="Times New Roman" w:cs="Times New Roman"/>
          <w:color w:val="00000A"/>
        </w:rPr>
        <w:t xml:space="preserve">, 341–352. </w:t>
      </w:r>
      <w:hyperlink r:id="rId169" w:history="1">
        <w:r w:rsidRPr="009B0448">
          <w:rPr>
            <w:rStyle w:val="Hyperlink"/>
            <w:rFonts w:ascii="Times New Roman" w:eastAsia="Times New Roman" w:hAnsi="Times New Roman" w:cs="Times New Roman"/>
          </w:rPr>
          <w:t>https://doi.org/10.1016/j.ocecoaman.2015.08.006</w:t>
        </w:r>
      </w:hyperlink>
    </w:p>
    <w:p w14:paraId="0A41BDE2"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Finlayson, C. M., Horwitz, P., &amp; Weinstein, P. (2015). </w:t>
      </w:r>
      <w:r w:rsidRPr="009B0448">
        <w:rPr>
          <w:rFonts w:ascii="Times New Roman" w:eastAsia="Times New Roman" w:hAnsi="Times New Roman" w:cs="Times New Roman"/>
          <w:color w:val="00000A"/>
        </w:rPr>
        <w:t xml:space="preserve">A synthesis: Wetlands as settings for human health. In C. M. Finlayson, P. Horwitz, &amp; P. Weinstein (Eds.), </w:t>
      </w:r>
      <w:r w:rsidRPr="009B0448">
        <w:rPr>
          <w:rFonts w:ascii="Times New Roman" w:eastAsia="Times New Roman" w:hAnsi="Times New Roman" w:cs="Times New Roman"/>
          <w:i/>
          <w:color w:val="00000A"/>
        </w:rPr>
        <w:t>Wetlands and human health</w:t>
      </w:r>
      <w:r w:rsidRPr="009B0448">
        <w:rPr>
          <w:rFonts w:ascii="Times New Roman" w:eastAsia="Times New Roman" w:hAnsi="Times New Roman" w:cs="Times New Roman"/>
          <w:color w:val="00000A"/>
        </w:rPr>
        <w:t xml:space="preserve"> (pp. 251–263). </w:t>
      </w:r>
      <w:r w:rsidRPr="009B0448">
        <w:rPr>
          <w:rStyle w:val="bibliographic-informationvalue"/>
          <w:rFonts w:ascii="Times New Roman" w:hAnsi="Times New Roman" w:cs="Times New Roman"/>
        </w:rPr>
        <w:t xml:space="preserve">Dordrecht, </w:t>
      </w:r>
      <w:r w:rsidRPr="009B0448">
        <w:rPr>
          <w:rFonts w:ascii="Times New Roman" w:eastAsia="Times New Roman" w:hAnsi="Times New Roman" w:cs="Times New Roman"/>
          <w:color w:val="00000A"/>
        </w:rPr>
        <w:t xml:space="preserve">Netherlands: Springer. Retrieved from </w:t>
      </w:r>
      <w:hyperlink r:id="rId170" w:history="1">
        <w:r w:rsidRPr="009B0448">
          <w:rPr>
            <w:rStyle w:val="Hyperlink"/>
            <w:rFonts w:ascii="Times New Roman" w:eastAsia="Times New Roman" w:hAnsi="Times New Roman" w:cs="Times New Roman"/>
          </w:rPr>
          <w:t>https://doi.org/10.1007/978-94-017-9609-5_12</w:t>
        </w:r>
      </w:hyperlink>
    </w:p>
    <w:p w14:paraId="171E4286" w14:textId="4881081B"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Fisher, J. A., Patenaude, G., Meir, P., Nightingale, A. J., Rounsevell, M. D. A., Williams, M., &amp; Woodhouse, I. H. (2013).</w:t>
      </w:r>
      <w:r w:rsidR="00E96F88"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Strengthening conceptual foundations: Analysing frameworks for ecosystem services and poverty alleviation research. </w:t>
      </w:r>
      <w:r w:rsidRPr="009B0448">
        <w:rPr>
          <w:rFonts w:ascii="Times New Roman" w:eastAsia="Times New Roman" w:hAnsi="Times New Roman" w:cs="Times New Roman"/>
          <w:i/>
          <w:color w:val="00000A"/>
        </w:rPr>
        <w:t>Global Environmental Change, 23</w:t>
      </w:r>
      <w:r w:rsidRPr="009B0448">
        <w:rPr>
          <w:rFonts w:ascii="Times New Roman" w:eastAsia="Times New Roman" w:hAnsi="Times New Roman" w:cs="Times New Roman"/>
          <w:color w:val="00000A"/>
        </w:rPr>
        <w:t xml:space="preserve">(5), 1098–1111. </w:t>
      </w:r>
      <w:hyperlink r:id="rId171" w:history="1">
        <w:r w:rsidRPr="009B0448">
          <w:rPr>
            <w:rStyle w:val="Hyperlink"/>
            <w:rFonts w:ascii="Times New Roman" w:eastAsia="Times New Roman" w:hAnsi="Times New Roman" w:cs="Times New Roman"/>
          </w:rPr>
          <w:t>https://doi.org/10.1016/j.gloenvcha.2013.04.002</w:t>
        </w:r>
      </w:hyperlink>
    </w:p>
    <w:p w14:paraId="7EEAC3BA"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Flahaux, M. L., &amp; De Haas, H. (2016). African migration: trends, patterns, drivers. </w:t>
      </w:r>
      <w:r w:rsidRPr="009B0448">
        <w:rPr>
          <w:rFonts w:ascii="Times New Roman" w:eastAsia="Times New Roman" w:hAnsi="Times New Roman" w:cs="Times New Roman"/>
          <w:i/>
          <w:color w:val="00000A"/>
        </w:rPr>
        <w:t>Comparative Migration Studies, 4</w:t>
      </w:r>
      <w:r w:rsidRPr="009B0448">
        <w:rPr>
          <w:rFonts w:ascii="Times New Roman" w:eastAsia="Times New Roman" w:hAnsi="Times New Roman" w:cs="Times New Roman"/>
          <w:color w:val="00000A"/>
        </w:rPr>
        <w:t xml:space="preserve">(1), 1. </w:t>
      </w:r>
      <w:hyperlink r:id="rId172" w:history="1">
        <w:r w:rsidRPr="009B0448">
          <w:rPr>
            <w:rStyle w:val="Hyperlink"/>
            <w:rFonts w:ascii="Times New Roman" w:eastAsia="Times New Roman" w:hAnsi="Times New Roman" w:cs="Times New Roman"/>
          </w:rPr>
          <w:t>https://doi.org/10.1186/s40878-015-0015-6</w:t>
        </w:r>
      </w:hyperlink>
    </w:p>
    <w:p w14:paraId="0F63A77E"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Frazee, S. R., Cowling, R. M., Pressey, R. L., Turpie, J. K., &amp; Lindenberg, N. (2003). Estimating the costs of conserving a biodiversity hotspot: a case-study of the Cape Floristic Region, South Africa. </w:t>
      </w:r>
      <w:r w:rsidRPr="009B0448">
        <w:rPr>
          <w:rFonts w:ascii="Times New Roman" w:eastAsia="Times New Roman" w:hAnsi="Times New Roman" w:cs="Times New Roman"/>
          <w:i/>
          <w:color w:val="00000A"/>
        </w:rPr>
        <w:t>Biological Conservation, 112</w:t>
      </w:r>
      <w:r w:rsidRPr="009B0448">
        <w:rPr>
          <w:rFonts w:ascii="Times New Roman" w:eastAsia="Times New Roman" w:hAnsi="Times New Roman" w:cs="Times New Roman"/>
          <w:color w:val="00000A"/>
        </w:rPr>
        <w:t xml:space="preserve">(1–2), 275–290. </w:t>
      </w:r>
      <w:hyperlink r:id="rId173" w:history="1">
        <w:r w:rsidRPr="009B0448">
          <w:rPr>
            <w:rStyle w:val="Hyperlink"/>
            <w:rFonts w:ascii="Times New Roman" w:eastAsia="Times New Roman" w:hAnsi="Times New Roman" w:cs="Times New Roman"/>
          </w:rPr>
          <w:t>https://doi.org/10.1016/S0006-3207(02)00400-7</w:t>
        </w:r>
      </w:hyperlink>
    </w:p>
    <w:p w14:paraId="7D1D360E"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Fukuda-Parr, S., Greenstein, J., &amp; Stewart, D. (2013). </w:t>
      </w:r>
      <w:r w:rsidRPr="009B0448">
        <w:rPr>
          <w:rFonts w:ascii="Times New Roman" w:eastAsia="Times New Roman" w:hAnsi="Times New Roman" w:cs="Times New Roman"/>
          <w:color w:val="00000A"/>
        </w:rPr>
        <w:t xml:space="preserve">How should MDG success and failure be judged: Faster progress or achieving the targets? </w:t>
      </w:r>
      <w:r w:rsidRPr="009B0448">
        <w:rPr>
          <w:rFonts w:ascii="Times New Roman" w:eastAsia="Times New Roman" w:hAnsi="Times New Roman" w:cs="Times New Roman"/>
          <w:i/>
          <w:color w:val="00000A"/>
        </w:rPr>
        <w:t>World Development, 41</w:t>
      </w:r>
      <w:r w:rsidRPr="009B0448">
        <w:rPr>
          <w:rFonts w:ascii="Times New Roman" w:eastAsia="Times New Roman" w:hAnsi="Times New Roman" w:cs="Times New Roman"/>
          <w:color w:val="00000A"/>
        </w:rPr>
        <w:t xml:space="preserve">, 19–30. </w:t>
      </w:r>
      <w:hyperlink r:id="rId174" w:history="1">
        <w:r w:rsidRPr="009B0448">
          <w:rPr>
            <w:rStyle w:val="Hyperlink"/>
            <w:rFonts w:ascii="Times New Roman" w:eastAsia="Times New Roman" w:hAnsi="Times New Roman" w:cs="Times New Roman"/>
          </w:rPr>
          <w:t>https://doi.org/10.1016/j.worlddev.2012.06.014</w:t>
        </w:r>
      </w:hyperlink>
    </w:p>
    <w:p w14:paraId="64AFBA82"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Gan, T. Y., Ito, M., Hülsmann, S., Qin, X., Lu, X. X., Liong, S. Y., </w:t>
      </w:r>
      <w:r w:rsidRPr="009B0448">
        <w:rPr>
          <w:rFonts w:ascii="Times New Roman" w:hAnsi="Times New Roman" w:cs="Times New Roman"/>
        </w:rPr>
        <w:t>Rutschman, P., Disse, M., &amp;</w:t>
      </w:r>
      <w:r w:rsidRPr="009B0448">
        <w:rPr>
          <w:rFonts w:ascii="Times New Roman" w:eastAsia="Times New Roman" w:hAnsi="Times New Roman" w:cs="Times New Roman"/>
          <w:color w:val="00000A"/>
        </w:rPr>
        <w:t xml:space="preserve"> Koivusalo, H. (2016). Possible climate change/variability and human impacts, vulnerability of drought-prone regions, water resources and capacity building for Africa</w:t>
      </w:r>
      <w:r w:rsidRPr="009B0448">
        <w:rPr>
          <w:rFonts w:ascii="Times New Roman" w:eastAsia="Times New Roman" w:hAnsi="Times New Roman" w:cs="Times New Roman"/>
          <w:i/>
          <w:color w:val="00000A"/>
        </w:rPr>
        <w:t>. Hydrological Sciences Journal, 61</w:t>
      </w:r>
      <w:r w:rsidRPr="009B0448">
        <w:rPr>
          <w:rFonts w:ascii="Times New Roman" w:eastAsia="Times New Roman" w:hAnsi="Times New Roman" w:cs="Times New Roman"/>
          <w:color w:val="00000A"/>
        </w:rPr>
        <w:t xml:space="preserve">(7), 1209–1226. </w:t>
      </w:r>
      <w:hyperlink r:id="rId175" w:history="1">
        <w:r w:rsidRPr="009B0448">
          <w:rPr>
            <w:rStyle w:val="Hyperlink"/>
            <w:rFonts w:ascii="Times New Roman" w:eastAsia="Times New Roman" w:hAnsi="Times New Roman" w:cs="Times New Roman"/>
          </w:rPr>
          <w:t>https://doi.org/10.1080/02626667.2015.1057143</w:t>
        </w:r>
      </w:hyperlink>
    </w:p>
    <w:p w14:paraId="4492FE25"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Garrity, D. P. (2010). Hope is evergreen. </w:t>
      </w:r>
      <w:r w:rsidRPr="009B0448">
        <w:rPr>
          <w:rFonts w:ascii="Times New Roman" w:eastAsia="Times New Roman" w:hAnsi="Times New Roman" w:cs="Times New Roman"/>
          <w:i/>
          <w:color w:val="00000A"/>
        </w:rPr>
        <w:t>Our Planet</w:t>
      </w:r>
      <w:r w:rsidRPr="009B0448">
        <w:rPr>
          <w:rFonts w:ascii="Times New Roman" w:eastAsia="Times New Roman" w:hAnsi="Times New Roman" w:cs="Times New Roman"/>
          <w:color w:val="00000A"/>
        </w:rPr>
        <w:t xml:space="preserve"> May: 28–30. Retrieved from </w:t>
      </w:r>
      <w:hyperlink r:id="rId176" w:history="1">
        <w:r w:rsidRPr="009B0448">
          <w:rPr>
            <w:rStyle w:val="Hyperlink"/>
            <w:rFonts w:ascii="Times New Roman" w:eastAsia="Times New Roman" w:hAnsi="Times New Roman" w:cs="Times New Roman"/>
          </w:rPr>
          <w:t>https://www.ourplanet.com/pdfs/OP-2010-05-EN-FULLVERSION.pdf</w:t>
        </w:r>
      </w:hyperlink>
    </w:p>
    <w:p w14:paraId="562CA104"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GDSA. (2012). </w:t>
      </w:r>
      <w:r w:rsidRPr="009B0448">
        <w:rPr>
          <w:rFonts w:ascii="Times New Roman" w:eastAsia="Times New Roman" w:hAnsi="Times New Roman" w:cs="Times New Roman"/>
          <w:i/>
          <w:color w:val="00000A"/>
        </w:rPr>
        <w:t>The Gaborone Declaration of the Summit for Sustainability in Africa</w:t>
      </w:r>
      <w:r w:rsidRPr="009B0448">
        <w:rPr>
          <w:rFonts w:ascii="Times New Roman" w:eastAsia="Times New Roman" w:hAnsi="Times New Roman" w:cs="Times New Roman"/>
          <w:color w:val="00000A"/>
        </w:rPr>
        <w:t xml:space="preserve">, 24 to 25 May 2012, Botswana (8 pp.). Adopted at the Summit for Sustainability in Africa, Gaborone, Botswana. Retrieved from </w:t>
      </w:r>
      <w:hyperlink r:id="rId177" w:history="1">
        <w:r w:rsidRPr="009B0448">
          <w:rPr>
            <w:rStyle w:val="Hyperlink"/>
            <w:rFonts w:ascii="Times New Roman" w:eastAsia="Times New Roman" w:hAnsi="Times New Roman" w:cs="Times New Roman"/>
          </w:rPr>
          <w:t>http://www.gaboronedeclaration.com/s/GDSA-Declaration-2012.pdf</w:t>
        </w:r>
      </w:hyperlink>
    </w:p>
    <w:p w14:paraId="0929EC8D"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GEF. (2014). </w:t>
      </w:r>
      <w:r w:rsidRPr="009B0448">
        <w:rPr>
          <w:rFonts w:ascii="Times New Roman" w:eastAsia="Times New Roman" w:hAnsi="Times New Roman" w:cs="Times New Roman"/>
          <w:i/>
          <w:color w:val="00000A"/>
        </w:rPr>
        <w:t>GEF-6 Programming Directions</w:t>
      </w:r>
      <w:r w:rsidRPr="009B0448">
        <w:rPr>
          <w:rFonts w:ascii="Times New Roman" w:eastAsia="Times New Roman" w:hAnsi="Times New Roman" w:cs="Times New Roman"/>
          <w:color w:val="00000A"/>
        </w:rPr>
        <w:t xml:space="preserve"> (GEF Assembly Document No. GEF/A.5/07/Rev.01) (p. 215). Global Environment Facility. Retrieved from </w:t>
      </w:r>
      <w:hyperlink r:id="rId178" w:history="1">
        <w:r w:rsidRPr="009B0448">
          <w:rPr>
            <w:rStyle w:val="Hyperlink"/>
            <w:rFonts w:ascii="Times New Roman" w:eastAsia="Times New Roman" w:hAnsi="Times New Roman" w:cs="Times New Roman"/>
          </w:rPr>
          <w:t>https://www.thegef.org/gef/sites/thegef.org/files/webpage_attached/GEF6_programming_directions_final_0.pdf</w:t>
        </w:r>
      </w:hyperlink>
    </w:p>
    <w:p w14:paraId="28648563" w14:textId="77777777" w:rsidR="001A3B0A" w:rsidRPr="009B0448" w:rsidRDefault="001A3B0A" w:rsidP="001A3B0A">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Geijzendorffer, I. R., Regan, E. C., Pereira, H. M., Brotons, L., Brummitt, N., Gavish, Y., Haase, P., Martin, C. S., Mihoub, J. B., Secades, C., Schmeller, D. S., Stoll, S., Wetzel, F. T., &amp; Walters, M. (2016). Bridging the gap between biodiversity data and policy reporting needs: An Essential Biodiversity Variables perspective. </w:t>
      </w:r>
      <w:r w:rsidRPr="009B0448">
        <w:rPr>
          <w:rFonts w:ascii="Times New Roman" w:eastAsia="Times New Roman" w:hAnsi="Times New Roman" w:cs="Times New Roman"/>
          <w:i/>
          <w:color w:val="00000A"/>
        </w:rPr>
        <w:t>Journal of Applied Ecology, 53</w:t>
      </w:r>
      <w:r w:rsidRPr="009B0448">
        <w:rPr>
          <w:rFonts w:ascii="Times New Roman" w:eastAsia="Times New Roman" w:hAnsi="Times New Roman" w:cs="Times New Roman"/>
          <w:color w:val="00000A"/>
        </w:rPr>
        <w:t xml:space="preserve">(5), 1341–1350. </w:t>
      </w:r>
      <w:hyperlink r:id="rId179" w:history="1">
        <w:r w:rsidRPr="009B0448">
          <w:rPr>
            <w:rStyle w:val="Hyperlink"/>
            <w:rFonts w:ascii="Times New Roman" w:eastAsia="Times New Roman" w:hAnsi="Times New Roman" w:cs="Times New Roman"/>
          </w:rPr>
          <w:t>https://doi.org/10.1111/1365-2664.12417</w:t>
        </w:r>
      </w:hyperlink>
    </w:p>
    <w:p w14:paraId="335DE83A" w14:textId="42CABF8E"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Gemedo-Dalle, Isselstein, J., &amp; Maass, B. L. (2006).Indigenous ecological knowledge of Borana pastoralists in southern Ethiopia and current challenges. </w:t>
      </w:r>
      <w:r w:rsidRPr="009B0448">
        <w:rPr>
          <w:rFonts w:ascii="Times New Roman" w:eastAsia="Times New Roman" w:hAnsi="Times New Roman" w:cs="Times New Roman"/>
          <w:i/>
          <w:color w:val="00000A"/>
        </w:rPr>
        <w:t>International Journal of Sustainable Development &amp; World Ecology, 13</w:t>
      </w:r>
      <w:r w:rsidRPr="009B0448">
        <w:rPr>
          <w:rFonts w:ascii="Times New Roman" w:eastAsia="Times New Roman" w:hAnsi="Times New Roman" w:cs="Times New Roman"/>
          <w:color w:val="00000A"/>
        </w:rPr>
        <w:t xml:space="preserve">(2), 113–130. Retrieved from </w:t>
      </w:r>
      <w:hyperlink r:id="rId180" w:history="1">
        <w:r w:rsidRPr="009B0448">
          <w:rPr>
            <w:rStyle w:val="Hyperlink"/>
            <w:rFonts w:ascii="Times New Roman" w:eastAsia="Times New Roman" w:hAnsi="Times New Roman" w:cs="Times New Roman"/>
          </w:rPr>
          <w:t>https://doi.org/10.1080/13504500609469666</w:t>
        </w:r>
      </w:hyperlink>
    </w:p>
    <w:p w14:paraId="34A2DAED"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Gemedo-Dalle, T., Maass, B. L., &amp; Isselstein, J. (2005). Plant biodiversity and ethnobotany of Borana pastoralists in southern Oromia, Ethiopia. </w:t>
      </w:r>
      <w:r w:rsidRPr="009B0448">
        <w:rPr>
          <w:rFonts w:ascii="Times New Roman" w:eastAsia="Times New Roman" w:hAnsi="Times New Roman" w:cs="Times New Roman"/>
          <w:i/>
          <w:color w:val="00000A"/>
        </w:rPr>
        <w:t>Economic Botany, 59</w:t>
      </w:r>
      <w:r w:rsidRPr="009B0448">
        <w:rPr>
          <w:rFonts w:ascii="Times New Roman" w:eastAsia="Times New Roman" w:hAnsi="Times New Roman" w:cs="Times New Roman"/>
          <w:color w:val="00000A"/>
        </w:rPr>
        <w:t xml:space="preserve">(1), 43–65. </w:t>
      </w:r>
      <w:hyperlink r:id="rId181" w:history="1">
        <w:r w:rsidRPr="009B0448">
          <w:rPr>
            <w:rStyle w:val="Hyperlink"/>
            <w:rFonts w:ascii="Times New Roman" w:eastAsia="Times New Roman" w:hAnsi="Times New Roman" w:cs="Times New Roman"/>
          </w:rPr>
          <w:t>https://doi.org/10.1663/0013-0001(2005)059[0043:PBAEOB]2.0.CO;2</w:t>
        </w:r>
      </w:hyperlink>
    </w:p>
    <w:p w14:paraId="66B5987A" w14:textId="6C5EFAC0"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Golden, C. D., Fernald, L. C. H., Brashares, J. S., Rasolofoniaina, B. J. R., &amp; Kremen, C. (2011). Benefits of wildlife consumption to child nutrition in a biodiversity hotspot. </w:t>
      </w:r>
      <w:r w:rsidRPr="009B0448">
        <w:rPr>
          <w:rFonts w:ascii="Times New Roman" w:eastAsia="Times New Roman" w:hAnsi="Times New Roman" w:cs="Times New Roman"/>
          <w:i/>
          <w:lang w:val="en-ZA" w:eastAsia="en-GB"/>
        </w:rPr>
        <w:t>Proceedings of the National Academy of Sciences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of the United States of America</w:t>
      </w:r>
      <w:r w:rsidRPr="009B0448">
        <w:rPr>
          <w:rFonts w:ascii="Times New Roman" w:eastAsia="Times New Roman" w:hAnsi="Times New Roman" w:cs="Times New Roman"/>
          <w:i/>
          <w:color w:val="00000A"/>
        </w:rPr>
        <w:t>, 108</w:t>
      </w:r>
      <w:r w:rsidRPr="009B0448">
        <w:rPr>
          <w:rFonts w:ascii="Times New Roman" w:eastAsia="Times New Roman" w:hAnsi="Times New Roman" w:cs="Times New Roman"/>
          <w:color w:val="00000A"/>
        </w:rPr>
        <w:t xml:space="preserve">(49), 19653–19656. Retrieved from </w:t>
      </w:r>
      <w:hyperlink r:id="rId182" w:history="1">
        <w:r w:rsidRPr="009B0448">
          <w:rPr>
            <w:rStyle w:val="Hyperlink"/>
            <w:rFonts w:ascii="Times New Roman" w:eastAsia="Times New Roman" w:hAnsi="Times New Roman" w:cs="Times New Roman"/>
          </w:rPr>
          <w:t>https://doi.org/10.1073/pnas.1112586108</w:t>
        </w:r>
      </w:hyperlink>
    </w:p>
    <w:p w14:paraId="5FA76D1D" w14:textId="0C8961C6"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Gómez-Baggethun, E., Corbera, E., &amp; Reyes-García, V. (2013). Traditional ecological knowledge and global environmental change: Research findings and policy implications. </w:t>
      </w:r>
      <w:r w:rsidRPr="009B0448">
        <w:rPr>
          <w:rFonts w:ascii="Times New Roman" w:eastAsia="Times New Roman" w:hAnsi="Times New Roman" w:cs="Times New Roman"/>
          <w:i/>
          <w:color w:val="00000A"/>
        </w:rPr>
        <w:t>Ecology and Society, 18</w:t>
      </w:r>
      <w:r w:rsidRPr="009B0448">
        <w:rPr>
          <w:rFonts w:ascii="Times New Roman" w:eastAsia="Times New Roman" w:hAnsi="Times New Roman" w:cs="Times New Roman"/>
          <w:color w:val="00000A"/>
        </w:rPr>
        <w:t xml:space="preserve">(4), 1–12. </w:t>
      </w:r>
      <w:hyperlink r:id="rId183" w:history="1">
        <w:r w:rsidRPr="009B0448">
          <w:rPr>
            <w:rStyle w:val="Hyperlink"/>
            <w:rFonts w:ascii="Times New Roman" w:eastAsia="Times New Roman" w:hAnsi="Times New Roman" w:cs="Times New Roman"/>
          </w:rPr>
          <w:t>https://doi.org/10.5751/ES-06288-180472</w:t>
        </w:r>
      </w:hyperlink>
    </w:p>
    <w:p w14:paraId="3511E7D9" w14:textId="231892D2"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Gratani, M., Butler, J. R. A., Royee, F., Valentine, P., Burrows, D., Canendo, W., &amp; Anderson, A. S. (2011). </w:t>
      </w:r>
      <w:r w:rsidRPr="009B0448">
        <w:rPr>
          <w:rFonts w:ascii="Times New Roman" w:eastAsia="Times New Roman" w:hAnsi="Times New Roman" w:cs="Times New Roman"/>
          <w:i/>
          <w:color w:val="00000A"/>
        </w:rPr>
        <w:t>Is validation of indigenous ecological knowledge a disrespectful process? A case study of traditional fishing poisons and invasive fish ma</w:t>
      </w:r>
      <w:r w:rsidR="004A2185" w:rsidRPr="009B0448">
        <w:rPr>
          <w:rFonts w:ascii="Times New Roman" w:eastAsia="Times New Roman" w:hAnsi="Times New Roman" w:cs="Times New Roman"/>
          <w:i/>
          <w:color w:val="00000A"/>
        </w:rPr>
        <w:t>nagement from the wet tropics, A</w:t>
      </w:r>
      <w:r w:rsidRPr="009B0448">
        <w:rPr>
          <w:rFonts w:ascii="Times New Roman" w:eastAsia="Times New Roman" w:hAnsi="Times New Roman" w:cs="Times New Roman"/>
          <w:i/>
          <w:color w:val="00000A"/>
        </w:rPr>
        <w:t>ustralia</w:t>
      </w:r>
      <w:r w:rsidR="004A2185" w:rsidRPr="009B0448">
        <w:rPr>
          <w:rFonts w:ascii="Times New Roman" w:eastAsia="Times New Roman" w:hAnsi="Times New Roman" w:cs="Times New Roman"/>
          <w:i/>
          <w:color w:val="00000A"/>
        </w:rPr>
        <w:t>.</w:t>
      </w:r>
      <w:r w:rsidRPr="009B0448">
        <w:rPr>
          <w:rFonts w:ascii="Times New Roman" w:eastAsia="Times New Roman" w:hAnsi="Times New Roman" w:cs="Times New Roman"/>
          <w:color w:val="00000A"/>
        </w:rPr>
        <w:t xml:space="preserve"> </w:t>
      </w:r>
      <w:r w:rsidR="004A2185" w:rsidRPr="009B0448">
        <w:rPr>
          <w:rFonts w:ascii="Times New Roman" w:eastAsia="Times New Roman" w:hAnsi="Times New Roman" w:cs="Times New Roman"/>
          <w:i/>
          <w:color w:val="00000A"/>
        </w:rPr>
        <w:t>Ecology and Society, 16</w:t>
      </w:r>
      <w:r w:rsidR="004A2185" w:rsidRPr="009B0448">
        <w:rPr>
          <w:rFonts w:ascii="Times New Roman" w:eastAsia="Times New Roman" w:hAnsi="Times New Roman" w:cs="Times New Roman"/>
          <w:color w:val="00000A"/>
        </w:rPr>
        <w:t xml:space="preserve">(3), 25. </w:t>
      </w:r>
      <w:hyperlink r:id="rId184" w:history="1">
        <w:r w:rsidR="004A2185" w:rsidRPr="009B0448">
          <w:rPr>
            <w:rStyle w:val="Hyperlink"/>
            <w:rFonts w:ascii="Times New Roman" w:eastAsia="Times New Roman" w:hAnsi="Times New Roman" w:cs="Times New Roman"/>
          </w:rPr>
          <w:t>https://doi.org/10.5751/ES-04249-160325</w:t>
        </w:r>
      </w:hyperlink>
    </w:p>
    <w:p w14:paraId="0AF84268" w14:textId="4030D69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Griffiths, J. (1986). What is </w:t>
      </w:r>
      <w:r w:rsidR="004A2185" w:rsidRPr="009B0448">
        <w:rPr>
          <w:rFonts w:ascii="Times New Roman" w:eastAsia="Times New Roman" w:hAnsi="Times New Roman" w:cs="Times New Roman"/>
          <w:color w:val="00000A"/>
        </w:rPr>
        <w:t>legal pluralis</w:t>
      </w:r>
      <w:r w:rsidRPr="009B0448">
        <w:rPr>
          <w:rFonts w:ascii="Times New Roman" w:eastAsia="Times New Roman" w:hAnsi="Times New Roman" w:cs="Times New Roman"/>
          <w:color w:val="00000A"/>
        </w:rPr>
        <w:t xml:space="preserve">m? </w:t>
      </w:r>
      <w:r w:rsidRPr="009B0448">
        <w:rPr>
          <w:rFonts w:ascii="Times New Roman" w:eastAsia="Times New Roman" w:hAnsi="Times New Roman" w:cs="Times New Roman"/>
          <w:i/>
          <w:color w:val="00000A"/>
        </w:rPr>
        <w:t>The Journal of Legal Pluralism and Unofficial Law, 18</w:t>
      </w:r>
      <w:r w:rsidRPr="009B0448">
        <w:rPr>
          <w:rFonts w:ascii="Times New Roman" w:eastAsia="Times New Roman" w:hAnsi="Times New Roman" w:cs="Times New Roman"/>
          <w:color w:val="00000A"/>
        </w:rPr>
        <w:t xml:space="preserve">(24), 1–55. </w:t>
      </w:r>
      <w:hyperlink r:id="rId185" w:history="1">
        <w:r w:rsidRPr="009B0448">
          <w:rPr>
            <w:rStyle w:val="Hyperlink"/>
            <w:rFonts w:ascii="Times New Roman" w:eastAsia="Times New Roman" w:hAnsi="Times New Roman" w:cs="Times New Roman"/>
          </w:rPr>
          <w:t>https://doi.org/10.1080/07329113.1986.10756387</w:t>
        </w:r>
      </w:hyperlink>
    </w:p>
    <w:p w14:paraId="711849B3" w14:textId="564BC568"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Gunderson, L. H., &amp; Holling, C. S. (Eds.). (2002). </w:t>
      </w:r>
      <w:r w:rsidRPr="009B0448">
        <w:rPr>
          <w:rFonts w:ascii="Times New Roman" w:eastAsia="Times New Roman" w:hAnsi="Times New Roman" w:cs="Times New Roman"/>
          <w:i/>
          <w:color w:val="00000A"/>
        </w:rPr>
        <w:t>Panarchy: understanding transformations in human and natural systems.</w:t>
      </w:r>
      <w:r w:rsidRPr="009B0448">
        <w:rPr>
          <w:rFonts w:ascii="Times New Roman" w:eastAsia="Times New Roman" w:hAnsi="Times New Roman" w:cs="Times New Roman"/>
          <w:color w:val="00000A"/>
        </w:rPr>
        <w:t xml:space="preserve"> </w:t>
      </w:r>
      <w:r w:rsidR="00D925AD" w:rsidRPr="009B0448">
        <w:rPr>
          <w:rFonts w:ascii="Times New Roman" w:eastAsia="Times New Roman" w:hAnsi="Times New Roman" w:cs="Times New Roman"/>
          <w:color w:val="00000A"/>
        </w:rPr>
        <w:t>Washington</w:t>
      </w:r>
      <w:r w:rsidR="00D925AD">
        <w:rPr>
          <w:rFonts w:ascii="Times New Roman" w:eastAsia="Times New Roman" w:hAnsi="Times New Roman" w:cs="Times New Roman"/>
          <w:color w:val="00000A"/>
        </w:rPr>
        <w:t>,</w:t>
      </w:r>
      <w:r w:rsidR="00D925AD" w:rsidRPr="009B0448">
        <w:rPr>
          <w:rFonts w:ascii="Times New Roman" w:eastAsia="Times New Roman" w:hAnsi="Times New Roman" w:cs="Times New Roman"/>
          <w:color w:val="00000A"/>
        </w:rPr>
        <w:t xml:space="preserve"> DC</w:t>
      </w:r>
      <w:r w:rsidR="00D925AD">
        <w:rPr>
          <w:rFonts w:ascii="Times New Roman" w:eastAsia="Times New Roman" w:hAnsi="Times New Roman" w:cs="Times New Roman"/>
          <w:color w:val="00000A"/>
        </w:rPr>
        <w:t>, USA:</w:t>
      </w:r>
      <w:r w:rsidR="00D925AD"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Island Press, </w:t>
      </w:r>
      <w:r w:rsidR="00DC4003" w:rsidRPr="009B0448">
        <w:rPr>
          <w:rFonts w:ascii="Times New Roman" w:eastAsia="Times New Roman" w:hAnsi="Times New Roman" w:cs="Times New Roman"/>
          <w:color w:val="00000A"/>
        </w:rPr>
        <w:t>ISBN 9781559638579.</w:t>
      </w:r>
    </w:p>
    <w:p w14:paraId="4BD04187"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Güneralp, B., Lwasa, S., Masundire, H., Parnell, S., &amp; Seto, K. C. (2017). Urbanization in Africa: challenges and opportunities for conservation. </w:t>
      </w:r>
      <w:r w:rsidRPr="009B0448">
        <w:rPr>
          <w:rFonts w:ascii="Times New Roman" w:eastAsia="Times New Roman" w:hAnsi="Times New Roman" w:cs="Times New Roman"/>
          <w:i/>
          <w:color w:val="00000A"/>
        </w:rPr>
        <w:t>Environmental Research Letters, 13</w:t>
      </w:r>
      <w:r w:rsidRPr="009B0448">
        <w:rPr>
          <w:rFonts w:ascii="Times New Roman" w:eastAsia="Times New Roman" w:hAnsi="Times New Roman" w:cs="Times New Roman"/>
          <w:color w:val="00000A"/>
        </w:rPr>
        <w:t xml:space="preserve">(1), 015002. </w:t>
      </w:r>
      <w:hyperlink r:id="rId186" w:history="1">
        <w:r w:rsidRPr="009B0448">
          <w:rPr>
            <w:rStyle w:val="Hyperlink"/>
            <w:rFonts w:ascii="Times New Roman" w:eastAsia="Times New Roman" w:hAnsi="Times New Roman" w:cs="Times New Roman"/>
          </w:rPr>
          <w:t>https://doi.org/10.1088/1748-9326/aa94fe</w:t>
        </w:r>
      </w:hyperlink>
    </w:p>
    <w:p w14:paraId="0F6EA84B" w14:textId="021869C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Habtezion, S., Adelekan, I., Aiyede, E., Biermann, F., Fubara, M., Gordon, C.,</w:t>
      </w:r>
      <w:r w:rsidR="00E800BC" w:rsidRPr="009B0448">
        <w:rPr>
          <w:rFonts w:ascii="Times New Roman" w:eastAsia="Times New Roman" w:hAnsi="Times New Roman" w:cs="Times New Roman"/>
          <w:color w:val="00000A"/>
          <w:lang w:val="de-DE"/>
        </w:rPr>
        <w:t xml:space="preserve"> Habtezion S, Adelekan I, Aiyede E, Biermann F, Fubara M, Gordon C, Gyekye K, Kasimbazi E, Kibugi R, Lawson E, Mensah A.</w:t>
      </w:r>
      <w:r w:rsidR="00E96F88" w:rsidRPr="009B0448">
        <w:rPr>
          <w:rFonts w:ascii="Times New Roman" w:eastAsia="Times New Roman" w:hAnsi="Times New Roman" w:cs="Times New Roman"/>
          <w:color w:val="00000A"/>
          <w:lang w:val="de-DE"/>
        </w:rPr>
        <w:t>, Mubaya, C., Olorunfemi, F., Paterson, A., Tadesse, D., Usman, R., &amp;</w:t>
      </w:r>
      <w:r w:rsidR="00E800BC" w:rsidRPr="009B0448">
        <w:rPr>
          <w:rFonts w:ascii="Times New Roman" w:eastAsia="Times New Roman" w:hAnsi="Times New Roman" w:cs="Times New Roman"/>
          <w:color w:val="00000A"/>
          <w:lang w:val="de-DE"/>
        </w:rPr>
        <w:t xml:space="preserve"> </w:t>
      </w:r>
      <w:r w:rsidRPr="009B0448">
        <w:rPr>
          <w:rFonts w:ascii="Times New Roman" w:eastAsia="Times New Roman" w:hAnsi="Times New Roman" w:cs="Times New Roman"/>
          <w:color w:val="00000A"/>
          <w:lang w:val="de-DE"/>
        </w:rPr>
        <w:t xml:space="preserve">Zondervan, </w:t>
      </w:r>
      <w:r w:rsidRPr="009B0448">
        <w:rPr>
          <w:rFonts w:ascii="Times New Roman" w:eastAsia="Times New Roman" w:hAnsi="Times New Roman" w:cs="Times New Roman"/>
          <w:color w:val="00000A"/>
          <w:lang w:val="de-DE"/>
        </w:rPr>
        <w:lastRenderedPageBreak/>
        <w:t xml:space="preserve">R. (2015). </w:t>
      </w:r>
      <w:r w:rsidRPr="009B0448">
        <w:rPr>
          <w:rFonts w:ascii="Times New Roman" w:eastAsia="Times New Roman" w:hAnsi="Times New Roman" w:cs="Times New Roman"/>
          <w:color w:val="00000A"/>
        </w:rPr>
        <w:t xml:space="preserve">Earth </w:t>
      </w:r>
      <w:r w:rsidR="00E800BC" w:rsidRPr="009B0448">
        <w:rPr>
          <w:rFonts w:ascii="Times New Roman" w:eastAsia="Times New Roman" w:hAnsi="Times New Roman" w:cs="Times New Roman"/>
          <w:color w:val="00000A"/>
        </w:rPr>
        <w:t>system governance in Africa: K</w:t>
      </w:r>
      <w:r w:rsidRPr="009B0448">
        <w:rPr>
          <w:rFonts w:ascii="Times New Roman" w:eastAsia="Times New Roman" w:hAnsi="Times New Roman" w:cs="Times New Roman"/>
          <w:color w:val="00000A"/>
        </w:rPr>
        <w:t xml:space="preserve">nowledge and capacity needs. </w:t>
      </w:r>
      <w:r w:rsidRPr="009B0448">
        <w:rPr>
          <w:rFonts w:ascii="Times New Roman" w:eastAsia="Times New Roman" w:hAnsi="Times New Roman" w:cs="Times New Roman"/>
          <w:i/>
          <w:color w:val="00000A"/>
        </w:rPr>
        <w:t>Current Opinion in Environmental Sustainability, 14</w:t>
      </w:r>
      <w:r w:rsidRPr="009B0448">
        <w:rPr>
          <w:rFonts w:ascii="Times New Roman" w:eastAsia="Times New Roman" w:hAnsi="Times New Roman" w:cs="Times New Roman"/>
          <w:color w:val="00000A"/>
        </w:rPr>
        <w:t xml:space="preserve">, 198–205. </w:t>
      </w:r>
      <w:hyperlink r:id="rId187" w:history="1">
        <w:r w:rsidRPr="009B0448">
          <w:rPr>
            <w:rStyle w:val="Hyperlink"/>
            <w:rFonts w:ascii="Times New Roman" w:eastAsia="Times New Roman" w:hAnsi="Times New Roman" w:cs="Times New Roman"/>
          </w:rPr>
          <w:t>https://doi.org/10.1016/j.cosust.2015.06.009</w:t>
        </w:r>
      </w:hyperlink>
    </w:p>
    <w:p w14:paraId="561EC2F5" w14:textId="3045FDAB" w:rsidR="00E800BC"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Haines-Young, R., &amp; Potschin, M. (2010).The links between biodiversity, ecosystem services and human well-being. In D. Raffaelli</w:t>
      </w:r>
      <w:r w:rsidR="00E800BC"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 xml:space="preserve"> &amp; C. L. J. Frid (Eds.), </w:t>
      </w:r>
      <w:r w:rsidR="00E96F88" w:rsidRPr="009B0448">
        <w:rPr>
          <w:rFonts w:ascii="Times New Roman" w:eastAsia="Times New Roman" w:hAnsi="Times New Roman" w:cs="Times New Roman"/>
          <w:i/>
          <w:color w:val="00000A"/>
        </w:rPr>
        <w:t>Ecosystem e</w:t>
      </w:r>
      <w:r w:rsidRPr="009B0448">
        <w:rPr>
          <w:rFonts w:ascii="Times New Roman" w:eastAsia="Times New Roman" w:hAnsi="Times New Roman" w:cs="Times New Roman"/>
          <w:i/>
          <w:color w:val="00000A"/>
        </w:rPr>
        <w:t>cology</w:t>
      </w:r>
      <w:r w:rsidR="00E96F88" w:rsidRPr="009B0448">
        <w:rPr>
          <w:rFonts w:ascii="Times New Roman" w:eastAsia="Times New Roman" w:hAnsi="Times New Roman" w:cs="Times New Roman"/>
          <w:i/>
          <w:color w:val="00000A"/>
        </w:rPr>
        <w:t>: A new synthesis</w:t>
      </w:r>
      <w:r w:rsidRPr="009B0448">
        <w:rPr>
          <w:rFonts w:ascii="Times New Roman" w:eastAsia="Times New Roman" w:hAnsi="Times New Roman" w:cs="Times New Roman"/>
          <w:color w:val="00000A"/>
        </w:rPr>
        <w:t xml:space="preserve"> (pp. 110–139). </w:t>
      </w:r>
      <w:r w:rsidR="00E96F88" w:rsidRPr="009B0448">
        <w:rPr>
          <w:rFonts w:ascii="Times New Roman" w:eastAsia="Times New Roman" w:hAnsi="Times New Roman" w:cs="Times New Roman"/>
          <w:color w:val="00000A"/>
        </w:rPr>
        <w:t xml:space="preserve">Cambridge, UK: </w:t>
      </w:r>
      <w:r w:rsidRPr="009B0448">
        <w:rPr>
          <w:rFonts w:ascii="Times New Roman" w:eastAsia="Times New Roman" w:hAnsi="Times New Roman" w:cs="Times New Roman"/>
          <w:color w:val="00000A"/>
        </w:rPr>
        <w:t xml:space="preserve">Cambridge University Press. Retrieved from </w:t>
      </w:r>
      <w:hyperlink r:id="rId188" w:history="1">
        <w:r w:rsidR="00E800BC" w:rsidRPr="009B0448">
          <w:rPr>
            <w:rStyle w:val="Hyperlink"/>
            <w:rFonts w:ascii="Times New Roman" w:eastAsia="Times New Roman" w:hAnsi="Times New Roman" w:cs="Times New Roman"/>
          </w:rPr>
          <w:t>https://doi.org/10.1017/CBO9780511750458.007</w:t>
        </w:r>
      </w:hyperlink>
    </w:p>
    <w:p w14:paraId="2B7B1F51" w14:textId="24E16BA9"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Hall, R., &amp; Scoones, I., with Henley, G. (2016). </w:t>
      </w:r>
      <w:r w:rsidRPr="009B0448">
        <w:rPr>
          <w:rFonts w:ascii="Times New Roman" w:eastAsia="Times New Roman" w:hAnsi="Times New Roman" w:cs="Times New Roman"/>
          <w:i/>
          <w:color w:val="00000A"/>
        </w:rPr>
        <w:t xml:space="preserve">Strengthening </w:t>
      </w:r>
      <w:r w:rsidR="00E800BC" w:rsidRPr="009B0448">
        <w:rPr>
          <w:rFonts w:ascii="Times New Roman" w:eastAsia="Times New Roman" w:hAnsi="Times New Roman" w:cs="Times New Roman"/>
          <w:i/>
          <w:color w:val="00000A"/>
        </w:rPr>
        <w:t>land governance</w:t>
      </w:r>
      <w:r w:rsidRPr="009B0448">
        <w:rPr>
          <w:rFonts w:ascii="Times New Roman" w:eastAsia="Times New Roman" w:hAnsi="Times New Roman" w:cs="Times New Roman"/>
          <w:i/>
          <w:color w:val="00000A"/>
        </w:rPr>
        <w:t xml:space="preserve">: Lessons from implementing the </w:t>
      </w:r>
      <w:r w:rsidR="00E800BC" w:rsidRPr="009B0448">
        <w:rPr>
          <w:rFonts w:ascii="Times New Roman" w:eastAsia="Times New Roman" w:hAnsi="Times New Roman" w:cs="Times New Roman"/>
          <w:i/>
          <w:color w:val="00000A"/>
        </w:rPr>
        <w:t>voluntary g</w:t>
      </w:r>
      <w:r w:rsidRPr="009B0448">
        <w:rPr>
          <w:rFonts w:ascii="Times New Roman" w:eastAsia="Times New Roman" w:hAnsi="Times New Roman" w:cs="Times New Roman"/>
          <w:i/>
          <w:color w:val="00000A"/>
        </w:rPr>
        <w:t>uidelines.</w:t>
      </w:r>
      <w:r w:rsidRPr="009B0448">
        <w:rPr>
          <w:rFonts w:ascii="Times New Roman" w:eastAsia="Times New Roman" w:hAnsi="Times New Roman" w:cs="Times New Roman"/>
          <w:color w:val="00000A"/>
        </w:rPr>
        <w:t xml:space="preserve"> London, </w:t>
      </w:r>
      <w:r w:rsidR="00E96F88" w:rsidRPr="009B0448">
        <w:rPr>
          <w:rFonts w:ascii="Times New Roman" w:eastAsia="Times New Roman" w:hAnsi="Times New Roman" w:cs="Times New Roman"/>
          <w:color w:val="00000A"/>
        </w:rPr>
        <w:t>UK</w:t>
      </w:r>
      <w:r w:rsidRPr="009B0448">
        <w:rPr>
          <w:rFonts w:ascii="Times New Roman" w:eastAsia="Times New Roman" w:hAnsi="Times New Roman" w:cs="Times New Roman"/>
          <w:color w:val="00000A"/>
        </w:rPr>
        <w:t>: LEGEND, DfID.</w:t>
      </w:r>
      <w:r w:rsidR="00E96F88" w:rsidRPr="009B0448">
        <w:rPr>
          <w:rFonts w:ascii="Times New Roman" w:eastAsia="Times New Roman" w:hAnsi="Times New Roman" w:cs="Times New Roman"/>
          <w:color w:val="00000A"/>
        </w:rPr>
        <w:t xml:space="preserve"> Retrieved from </w:t>
      </w:r>
      <w:hyperlink r:id="rId189" w:history="1">
        <w:r w:rsidR="00E96F88" w:rsidRPr="009B0448">
          <w:rPr>
            <w:rStyle w:val="Hyperlink"/>
            <w:rFonts w:ascii="Times New Roman" w:eastAsia="Times New Roman" w:hAnsi="Times New Roman" w:cs="Times New Roman"/>
          </w:rPr>
          <w:t>https://landportal.org/file/8699/download?token=vA4Xv42W</w:t>
        </w:r>
      </w:hyperlink>
    </w:p>
    <w:p w14:paraId="2D6D2B10" w14:textId="765CF4F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Hammi, S., Simonneaux, V., Cordier, J. B., Genin, D., Alifriqui, M., Montes, N., &amp; Auclair, L. (2010). Can traditional forest management buffer forest depletion? Dynamics of Moroccan High Atlas Mountain forests using remote sensing and vegetation analysis. </w:t>
      </w:r>
      <w:r w:rsidRPr="009B0448">
        <w:rPr>
          <w:rFonts w:ascii="Times New Roman" w:eastAsia="Times New Roman" w:hAnsi="Times New Roman" w:cs="Times New Roman"/>
          <w:i/>
          <w:color w:val="00000A"/>
        </w:rPr>
        <w:t>Forest Ecology and Management, 260</w:t>
      </w:r>
      <w:r w:rsidRPr="009B0448">
        <w:rPr>
          <w:rFonts w:ascii="Times New Roman" w:eastAsia="Times New Roman" w:hAnsi="Times New Roman" w:cs="Times New Roman"/>
          <w:color w:val="00000A"/>
        </w:rPr>
        <w:t xml:space="preserve">(10), 1861–1872. </w:t>
      </w:r>
      <w:hyperlink r:id="rId190" w:history="1">
        <w:r w:rsidRPr="009B0448">
          <w:rPr>
            <w:rStyle w:val="Hyperlink"/>
            <w:rFonts w:ascii="Times New Roman" w:eastAsia="Times New Roman" w:hAnsi="Times New Roman" w:cs="Times New Roman"/>
          </w:rPr>
          <w:t>https://doi.org/10.1016/j.foreco.2010.08.033</w:t>
        </w:r>
      </w:hyperlink>
    </w:p>
    <w:p w14:paraId="5019C6F9" w14:textId="2E77443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Harrison, I. J., Brummett, R., &amp; Stiassny, M. L. J. (2016). The Congo River Basin. In C. M. Finlayson, G. R. Milton, R. </w:t>
      </w:r>
      <w:r w:rsidR="00E96F88" w:rsidRPr="009B0448">
        <w:rPr>
          <w:rFonts w:ascii="Times New Roman" w:eastAsia="Times New Roman" w:hAnsi="Times New Roman" w:cs="Times New Roman"/>
          <w:color w:val="00000A"/>
        </w:rPr>
        <w:t>C. Prentice, &amp; N. C. Davidson (E</w:t>
      </w:r>
      <w:r w:rsidRPr="009B0448">
        <w:rPr>
          <w:rFonts w:ascii="Times New Roman" w:eastAsia="Times New Roman" w:hAnsi="Times New Roman" w:cs="Times New Roman"/>
          <w:color w:val="00000A"/>
        </w:rPr>
        <w:t>d</w:t>
      </w:r>
      <w:r w:rsidR="00E96F88" w:rsidRPr="009B0448">
        <w:rPr>
          <w:rFonts w:ascii="Times New Roman" w:eastAsia="Times New Roman" w:hAnsi="Times New Roman" w:cs="Times New Roman"/>
          <w:color w:val="00000A"/>
        </w:rPr>
        <w:t>s</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The Wetland Book</w:t>
      </w:r>
      <w:r w:rsidRPr="009B0448">
        <w:rPr>
          <w:rFonts w:ascii="Times New Roman" w:eastAsia="Times New Roman" w:hAnsi="Times New Roman" w:cs="Times New Roman"/>
          <w:color w:val="00000A"/>
        </w:rPr>
        <w:t xml:space="preserve"> (p. 1–18). </w:t>
      </w:r>
      <w:r w:rsidR="00E800BC" w:rsidRPr="009B0448">
        <w:rPr>
          <w:rFonts w:ascii="Times New Roman" w:eastAsia="Times New Roman" w:hAnsi="Times New Roman" w:cs="Times New Roman"/>
          <w:color w:val="00000A"/>
        </w:rPr>
        <w:t xml:space="preserve">Netherlands: </w:t>
      </w:r>
      <w:r w:rsidRPr="009B0448">
        <w:rPr>
          <w:rFonts w:ascii="Times New Roman" w:eastAsia="Times New Roman" w:hAnsi="Times New Roman" w:cs="Times New Roman"/>
          <w:color w:val="00000A"/>
        </w:rPr>
        <w:t xml:space="preserve">Springer. </w:t>
      </w:r>
      <w:hyperlink r:id="rId191" w:history="1">
        <w:r w:rsidRPr="009B0448">
          <w:rPr>
            <w:rStyle w:val="Hyperlink"/>
            <w:rFonts w:ascii="Times New Roman" w:eastAsia="Times New Roman" w:hAnsi="Times New Roman" w:cs="Times New Roman"/>
          </w:rPr>
          <w:t>https://doi.org/10.1007/978-94-007-6173-5_92-1</w:t>
        </w:r>
      </w:hyperlink>
    </w:p>
    <w:p w14:paraId="07F32736"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HDRO outreach. (2015). </w:t>
      </w:r>
      <w:r w:rsidRPr="009B0448">
        <w:rPr>
          <w:rFonts w:ascii="Times New Roman" w:eastAsia="Times New Roman" w:hAnsi="Times New Roman" w:cs="Times New Roman"/>
          <w:i/>
          <w:color w:val="00000A"/>
        </w:rPr>
        <w:t xml:space="preserve">What is human development? </w:t>
      </w:r>
      <w:r w:rsidRPr="009B0448">
        <w:rPr>
          <w:rFonts w:ascii="Times New Roman" w:eastAsia="Times New Roman" w:hAnsi="Times New Roman" w:cs="Times New Roman"/>
          <w:color w:val="00000A"/>
        </w:rPr>
        <w:t xml:space="preserve">Retrieved from </w:t>
      </w:r>
      <w:hyperlink r:id="rId192" w:history="1">
        <w:r w:rsidRPr="009B0448">
          <w:rPr>
            <w:rStyle w:val="Hyperlink"/>
            <w:rFonts w:ascii="Times New Roman" w:eastAsia="Times New Roman" w:hAnsi="Times New Roman" w:cs="Times New Roman"/>
          </w:rPr>
          <w:t>http://hdr.undp.org/en/content/what-human-development</w:t>
        </w:r>
      </w:hyperlink>
    </w:p>
    <w:p w14:paraId="1633F38C" w14:textId="76D450AA"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Heinb</w:t>
      </w:r>
      <w:r w:rsidR="00E800BC" w:rsidRPr="009B0448">
        <w:rPr>
          <w:rFonts w:ascii="Times New Roman" w:eastAsia="Times New Roman" w:hAnsi="Times New Roman" w:cs="Times New Roman"/>
          <w:color w:val="00000A"/>
        </w:rPr>
        <w:t>erg, R. (2016). 100% Renewable e</w:t>
      </w:r>
      <w:r w:rsidRPr="009B0448">
        <w:rPr>
          <w:rFonts w:ascii="Times New Roman" w:eastAsia="Times New Roman" w:hAnsi="Times New Roman" w:cs="Times New Roman"/>
          <w:color w:val="00000A"/>
        </w:rPr>
        <w:t xml:space="preserve">nergy: What </w:t>
      </w:r>
      <w:r w:rsidR="00E800BC" w:rsidRPr="009B0448">
        <w:rPr>
          <w:rFonts w:ascii="Times New Roman" w:eastAsia="Times New Roman" w:hAnsi="Times New Roman" w:cs="Times New Roman"/>
          <w:color w:val="00000A"/>
        </w:rPr>
        <w:t>we can do in 10 years</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 xml:space="preserve">YES! Magazine, Spring </w:t>
      </w:r>
      <w:r w:rsidR="00BA2BBD" w:rsidRPr="009B0448">
        <w:rPr>
          <w:rFonts w:ascii="Times New Roman" w:eastAsia="Times New Roman" w:hAnsi="Times New Roman" w:cs="Times New Roman"/>
          <w:i/>
          <w:color w:val="00000A"/>
        </w:rPr>
        <w:t xml:space="preserve">2016 </w:t>
      </w:r>
      <w:r w:rsidRPr="009B0448">
        <w:rPr>
          <w:rFonts w:ascii="Times New Roman" w:eastAsia="Times New Roman" w:hAnsi="Times New Roman" w:cs="Times New Roman"/>
          <w:i/>
          <w:color w:val="00000A"/>
        </w:rPr>
        <w:t>Issue.</w:t>
      </w:r>
      <w:r w:rsidRPr="009B0448">
        <w:rPr>
          <w:rFonts w:ascii="Times New Roman" w:eastAsia="Times New Roman" w:hAnsi="Times New Roman" w:cs="Times New Roman"/>
          <w:color w:val="00000A"/>
        </w:rPr>
        <w:t xml:space="preserve"> Retrieved from </w:t>
      </w:r>
      <w:hyperlink r:id="rId193" w:history="1">
        <w:r w:rsidRPr="009B0448">
          <w:rPr>
            <w:rStyle w:val="Hyperlink"/>
            <w:rFonts w:ascii="Times New Roman" w:eastAsia="Times New Roman" w:hAnsi="Times New Roman" w:cs="Times New Roman"/>
          </w:rPr>
          <w:t>http://www.yesmagazine.org/issues/life-after-oil/100-renewable-energy-what-we-can-do-in-10-years-20160222</w:t>
        </w:r>
      </w:hyperlink>
    </w:p>
    <w:p w14:paraId="62130CC9" w14:textId="662CFED8"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Hellegers, P., Zilberman, D., Steduto, P., &amp; McCornick, P. (2008). Interactions between water,</w:t>
      </w:r>
      <w:r w:rsidR="00BA2BBD" w:rsidRPr="009B0448">
        <w:rPr>
          <w:rFonts w:ascii="Times New Roman" w:eastAsia="Times New Roman" w:hAnsi="Times New Roman" w:cs="Times New Roman"/>
          <w:color w:val="00000A"/>
        </w:rPr>
        <w:t xml:space="preserve"> energy, food and environment: E</w:t>
      </w:r>
      <w:r w:rsidRPr="009B0448">
        <w:rPr>
          <w:rFonts w:ascii="Times New Roman" w:eastAsia="Times New Roman" w:hAnsi="Times New Roman" w:cs="Times New Roman"/>
          <w:color w:val="00000A"/>
        </w:rPr>
        <w:t xml:space="preserve">volving perspectives and policy issues. </w:t>
      </w:r>
      <w:r w:rsidRPr="009B0448">
        <w:rPr>
          <w:rFonts w:ascii="Times New Roman" w:eastAsia="Times New Roman" w:hAnsi="Times New Roman" w:cs="Times New Roman"/>
          <w:i/>
          <w:color w:val="00000A"/>
        </w:rPr>
        <w:t>Water Policy, 10</w:t>
      </w:r>
      <w:r w:rsidR="00E96F88" w:rsidRPr="009B0448">
        <w:rPr>
          <w:rFonts w:ascii="Times New Roman" w:eastAsia="Times New Roman" w:hAnsi="Times New Roman" w:cs="Times New Roman"/>
          <w:color w:val="00000A"/>
        </w:rPr>
        <w:t>(1), 1–</w:t>
      </w:r>
      <w:r w:rsidRPr="009B0448">
        <w:rPr>
          <w:rFonts w:ascii="Times New Roman" w:eastAsia="Times New Roman" w:hAnsi="Times New Roman" w:cs="Times New Roman"/>
          <w:color w:val="00000A"/>
        </w:rPr>
        <w:t xml:space="preserve">10. </w:t>
      </w:r>
      <w:hyperlink r:id="rId194" w:history="1">
        <w:r w:rsidRPr="009B0448">
          <w:rPr>
            <w:rStyle w:val="Hyperlink"/>
            <w:rFonts w:ascii="Times New Roman" w:eastAsia="Times New Roman" w:hAnsi="Times New Roman" w:cs="Times New Roman"/>
          </w:rPr>
          <w:t>https://doi.org/10.2166/wp.2008.048</w:t>
        </w:r>
      </w:hyperlink>
    </w:p>
    <w:p w14:paraId="0FDE6D70" w14:textId="0B73FA14"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Hesse, C. (2014). Valuing pastoralism: Adaptation plans must incorporate dryland communities’ knowledge and </w:t>
      </w:r>
      <w:r w:rsidR="00BA2BBD" w:rsidRPr="009B0448">
        <w:rPr>
          <w:rFonts w:ascii="Times New Roman" w:eastAsia="Times New Roman" w:hAnsi="Times New Roman" w:cs="Times New Roman"/>
          <w:color w:val="00000A"/>
        </w:rPr>
        <w:t xml:space="preserve">needs. </w:t>
      </w:r>
      <w:r w:rsidR="00BA2BBD" w:rsidRPr="009B0448">
        <w:rPr>
          <w:rFonts w:ascii="Times New Roman" w:eastAsia="Times New Roman" w:hAnsi="Times New Roman" w:cs="Times New Roman"/>
          <w:i/>
          <w:color w:val="00000A"/>
        </w:rPr>
        <w:t xml:space="preserve">Backgrounder, </w:t>
      </w:r>
      <w:r w:rsidR="00BA2BBD" w:rsidRPr="009B0448">
        <w:rPr>
          <w:rFonts w:ascii="Times New Roman" w:eastAsia="Times New Roman" w:hAnsi="Times New Roman" w:cs="Times New Roman"/>
          <w:color w:val="00000A"/>
        </w:rPr>
        <w:t>February 2014 Issue</w:t>
      </w:r>
      <w:r w:rsidR="00BA2BBD" w:rsidRPr="009B0448">
        <w:rPr>
          <w:rFonts w:ascii="Times New Roman" w:eastAsia="Times New Roman" w:hAnsi="Times New Roman" w:cs="Times New Roman"/>
          <w:i/>
          <w:color w:val="00000A"/>
        </w:rPr>
        <w:t xml:space="preserve">. </w:t>
      </w:r>
      <w:r w:rsidR="00BA2BBD" w:rsidRPr="009B0448">
        <w:rPr>
          <w:rFonts w:ascii="Times New Roman" w:eastAsia="Times New Roman" w:hAnsi="Times New Roman" w:cs="Times New Roman"/>
          <w:color w:val="00000A"/>
        </w:rPr>
        <w:t xml:space="preserve">London, UK: IIED, Retrieved from </w:t>
      </w:r>
      <w:hyperlink r:id="rId195" w:history="1">
        <w:r w:rsidR="00BA2BBD" w:rsidRPr="009B0448">
          <w:rPr>
            <w:rStyle w:val="Hyperlink"/>
            <w:rFonts w:ascii="Times New Roman" w:eastAsia="Times New Roman" w:hAnsi="Times New Roman" w:cs="Times New Roman"/>
          </w:rPr>
          <w:t>http://pubs.iied.org/pdfs/17235IIED.pdf</w:t>
        </w:r>
      </w:hyperlink>
    </w:p>
    <w:p w14:paraId="6319232C" w14:textId="2F67532B"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Hiernaux, P., Dardel, C., Kergoat, L., &amp; Mougin, E. (2016). </w:t>
      </w:r>
      <w:r w:rsidRPr="009B0448">
        <w:rPr>
          <w:rFonts w:ascii="Times New Roman" w:eastAsia="Times New Roman" w:hAnsi="Times New Roman" w:cs="Times New Roman"/>
          <w:color w:val="00000A"/>
        </w:rPr>
        <w:t xml:space="preserve">Desertification, </w:t>
      </w:r>
      <w:r w:rsidR="00BA2BBD" w:rsidRPr="009B0448">
        <w:rPr>
          <w:rFonts w:ascii="Times New Roman" w:eastAsia="Times New Roman" w:hAnsi="Times New Roman" w:cs="Times New Roman"/>
          <w:color w:val="00000A"/>
        </w:rPr>
        <w:t>adaptation and resilience in t</w:t>
      </w:r>
      <w:r w:rsidRPr="009B0448">
        <w:rPr>
          <w:rFonts w:ascii="Times New Roman" w:eastAsia="Times New Roman" w:hAnsi="Times New Roman" w:cs="Times New Roman"/>
          <w:color w:val="00000A"/>
        </w:rPr>
        <w:t xml:space="preserve">he Sahel: Lessons </w:t>
      </w:r>
      <w:r w:rsidR="00BA2BBD" w:rsidRPr="009B0448">
        <w:rPr>
          <w:rFonts w:ascii="Times New Roman" w:eastAsia="Times New Roman" w:hAnsi="Times New Roman" w:cs="Times New Roman"/>
          <w:color w:val="00000A"/>
        </w:rPr>
        <w:t>from long term monitoring of agro</w:t>
      </w:r>
      <w:r w:rsidRPr="009B0448">
        <w:rPr>
          <w:rFonts w:ascii="Times New Roman" w:eastAsia="Times New Roman" w:hAnsi="Times New Roman" w:cs="Times New Roman"/>
          <w:color w:val="00000A"/>
        </w:rPr>
        <w:t xml:space="preserve">-ecosystems. In R. Behnke &amp; M. Mortimore (Eds.), </w:t>
      </w:r>
      <w:r w:rsidR="001B4542" w:rsidRPr="009B0448">
        <w:rPr>
          <w:rFonts w:ascii="Times New Roman" w:eastAsia="Times New Roman" w:hAnsi="Times New Roman" w:cs="Times New Roman"/>
          <w:i/>
          <w:color w:val="00000A"/>
        </w:rPr>
        <w:t>The end of d</w:t>
      </w:r>
      <w:r w:rsidRPr="009B0448">
        <w:rPr>
          <w:rFonts w:ascii="Times New Roman" w:eastAsia="Times New Roman" w:hAnsi="Times New Roman" w:cs="Times New Roman"/>
          <w:i/>
          <w:color w:val="00000A"/>
        </w:rPr>
        <w:t>esertification?</w:t>
      </w:r>
      <w:r w:rsidR="00BA2BBD" w:rsidRPr="009B0448">
        <w:rPr>
          <w:rFonts w:ascii="Times New Roman" w:eastAsia="Times New Roman" w:hAnsi="Times New Roman" w:cs="Times New Roman"/>
          <w:color w:val="00000A"/>
        </w:rPr>
        <w:t xml:space="preserve"> (pp. 147–</w:t>
      </w:r>
      <w:r w:rsidRPr="009B0448">
        <w:rPr>
          <w:rFonts w:ascii="Times New Roman" w:eastAsia="Times New Roman" w:hAnsi="Times New Roman" w:cs="Times New Roman"/>
          <w:color w:val="00000A"/>
        </w:rPr>
        <w:t xml:space="preserve">178). </w:t>
      </w:r>
      <w:r w:rsidR="00BA2BBD" w:rsidRPr="009B0448">
        <w:rPr>
          <w:rFonts w:ascii="Times New Roman" w:eastAsia="Times New Roman" w:hAnsi="Times New Roman" w:cs="Times New Roman"/>
          <w:color w:val="00000A"/>
        </w:rPr>
        <w:t xml:space="preserve">Berlin, Germany: </w:t>
      </w:r>
      <w:r w:rsidRPr="009B0448">
        <w:rPr>
          <w:rFonts w:ascii="Times New Roman" w:eastAsia="Times New Roman" w:hAnsi="Times New Roman" w:cs="Times New Roman"/>
          <w:color w:val="00000A"/>
        </w:rPr>
        <w:t xml:space="preserve">Springer. Retrieved from </w:t>
      </w:r>
      <w:hyperlink r:id="rId196" w:history="1">
        <w:r w:rsidRPr="009B0448">
          <w:rPr>
            <w:rStyle w:val="Hyperlink"/>
            <w:rFonts w:ascii="Times New Roman" w:eastAsia="Times New Roman" w:hAnsi="Times New Roman" w:cs="Times New Roman"/>
          </w:rPr>
          <w:t>https://doi.org/10.1007/978-3-642-16014-1_6</w:t>
        </w:r>
      </w:hyperlink>
    </w:p>
    <w:p w14:paraId="566745BF" w14:textId="4456BF51"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Hilhorst, T. (2010). Decentralization, land tenure reforms and local institutional actors: building partnerships for equitable and sustainable land governance in Africa. </w:t>
      </w:r>
      <w:r w:rsidRPr="009B0448">
        <w:rPr>
          <w:rFonts w:ascii="Times New Roman" w:eastAsia="Times New Roman" w:hAnsi="Times New Roman" w:cs="Times New Roman"/>
          <w:i/>
          <w:color w:val="00000A"/>
        </w:rPr>
        <w:t>Land Tenure Journal</w:t>
      </w:r>
      <w:r w:rsidRPr="009B0448">
        <w:rPr>
          <w:rFonts w:ascii="Times New Roman" w:eastAsia="Times New Roman" w:hAnsi="Times New Roman" w:cs="Times New Roman"/>
          <w:color w:val="00000A"/>
        </w:rPr>
        <w:t>, (1), 35–59.</w:t>
      </w:r>
      <w:r w:rsidR="00C0487F" w:rsidRPr="009B0448">
        <w:rPr>
          <w:rFonts w:ascii="Times New Roman" w:eastAsia="Times New Roman" w:hAnsi="Times New Roman" w:cs="Times New Roman"/>
          <w:color w:val="00000A"/>
        </w:rPr>
        <w:t xml:space="preserve"> Retrieved from </w:t>
      </w:r>
      <w:hyperlink r:id="rId197" w:history="1">
        <w:r w:rsidR="00C0487F" w:rsidRPr="009B0448">
          <w:rPr>
            <w:rStyle w:val="Hyperlink"/>
            <w:rFonts w:ascii="Times New Roman" w:eastAsia="Times New Roman" w:hAnsi="Times New Roman" w:cs="Times New Roman"/>
          </w:rPr>
          <w:t>http://www.fao.org/nr/tenure/land-tenure-journal/index.php/LTJ/article/view/8/2</w:t>
        </w:r>
      </w:hyperlink>
    </w:p>
    <w:p w14:paraId="52EB8667" w14:textId="2ED2BA20"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Hoff, H. (2011). </w:t>
      </w:r>
      <w:r w:rsidR="001B4542" w:rsidRPr="009B0448">
        <w:rPr>
          <w:rFonts w:ascii="Times New Roman" w:eastAsia="Times New Roman" w:hAnsi="Times New Roman" w:cs="Times New Roman"/>
          <w:i/>
          <w:color w:val="00000A"/>
        </w:rPr>
        <w:t>Understanding the nexus: B</w:t>
      </w:r>
      <w:r w:rsidRPr="009B0448">
        <w:rPr>
          <w:rFonts w:ascii="Times New Roman" w:eastAsia="Times New Roman" w:hAnsi="Times New Roman" w:cs="Times New Roman"/>
          <w:i/>
          <w:color w:val="00000A"/>
        </w:rPr>
        <w:t>ackground pape</w:t>
      </w:r>
      <w:r w:rsidR="001B4542" w:rsidRPr="009B0448">
        <w:rPr>
          <w:rFonts w:ascii="Times New Roman" w:eastAsia="Times New Roman" w:hAnsi="Times New Roman" w:cs="Times New Roman"/>
          <w:i/>
          <w:color w:val="00000A"/>
        </w:rPr>
        <w:t>r for the Bonn2011 Conference: T</w:t>
      </w:r>
      <w:r w:rsidRPr="009B0448">
        <w:rPr>
          <w:rFonts w:ascii="Times New Roman" w:eastAsia="Times New Roman" w:hAnsi="Times New Roman" w:cs="Times New Roman"/>
          <w:i/>
          <w:color w:val="00000A"/>
        </w:rPr>
        <w:t xml:space="preserve">he water, energy and food security nexus. </w:t>
      </w:r>
      <w:r w:rsidR="001B4542" w:rsidRPr="009B0448">
        <w:rPr>
          <w:rFonts w:ascii="Times New Roman" w:eastAsia="Times New Roman" w:hAnsi="Times New Roman" w:cs="Times New Roman"/>
          <w:color w:val="00000A"/>
        </w:rPr>
        <w:t xml:space="preserve">Stockholm, Sweden: </w:t>
      </w:r>
      <w:r w:rsidRPr="009B0448">
        <w:rPr>
          <w:rFonts w:ascii="Times New Roman" w:eastAsia="Times New Roman" w:hAnsi="Times New Roman" w:cs="Times New Roman"/>
          <w:color w:val="00000A"/>
        </w:rPr>
        <w:t>Stockholm Environment Institute, Stockholm.</w:t>
      </w:r>
      <w:r w:rsidR="001B4542" w:rsidRPr="009B0448">
        <w:rPr>
          <w:rFonts w:ascii="Times New Roman" w:eastAsia="Times New Roman" w:hAnsi="Times New Roman" w:cs="Times New Roman"/>
          <w:color w:val="00000A"/>
        </w:rPr>
        <w:t xml:space="preserve"> Retrieved from </w:t>
      </w:r>
      <w:hyperlink r:id="rId198" w:history="1">
        <w:r w:rsidR="001B4542" w:rsidRPr="009B0448">
          <w:rPr>
            <w:rStyle w:val="Hyperlink"/>
            <w:rFonts w:ascii="Times New Roman" w:eastAsia="Times New Roman" w:hAnsi="Times New Roman" w:cs="Times New Roman"/>
          </w:rPr>
          <w:t>http://wef-conference.gwsp.org/fileadmin/documents_news/understanding_the_nexus.pdf</w:t>
        </w:r>
      </w:hyperlink>
    </w:p>
    <w:p w14:paraId="30900B57" w14:textId="6939122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Hole, D. G., Willis, S. G., Pain, D. J., Fishpool, L. D., Butchart, S. H. M., Collingham, Y. C., </w:t>
      </w:r>
      <w:r w:rsidR="001B4542" w:rsidRPr="009B0448">
        <w:rPr>
          <w:rFonts w:ascii="Times New Roman" w:eastAsia="Times New Roman" w:hAnsi="Times New Roman" w:cs="Times New Roman"/>
          <w:color w:val="00000A"/>
        </w:rPr>
        <w:t>Rahbek, C., &amp;</w:t>
      </w:r>
      <w:r w:rsidRPr="009B0448">
        <w:rPr>
          <w:rFonts w:ascii="Times New Roman" w:eastAsia="Times New Roman" w:hAnsi="Times New Roman" w:cs="Times New Roman"/>
          <w:color w:val="00000A"/>
        </w:rPr>
        <w:t xml:space="preserve"> Huntley, B. (2009). Projected impacts of climate change on a continent-wide protected area network. </w:t>
      </w:r>
      <w:r w:rsidRPr="009B0448">
        <w:rPr>
          <w:rFonts w:ascii="Times New Roman" w:eastAsia="Times New Roman" w:hAnsi="Times New Roman" w:cs="Times New Roman"/>
          <w:i/>
          <w:color w:val="00000A"/>
        </w:rPr>
        <w:t>Ecology Letters, 12</w:t>
      </w:r>
      <w:r w:rsidRPr="009B0448">
        <w:rPr>
          <w:rFonts w:ascii="Times New Roman" w:eastAsia="Times New Roman" w:hAnsi="Times New Roman" w:cs="Times New Roman"/>
          <w:color w:val="00000A"/>
        </w:rPr>
        <w:t xml:space="preserve">(5), 420–431. </w:t>
      </w:r>
      <w:hyperlink r:id="rId199" w:history="1">
        <w:r w:rsidRPr="009B0448">
          <w:rPr>
            <w:rStyle w:val="Hyperlink"/>
            <w:rFonts w:ascii="Times New Roman" w:eastAsia="Times New Roman" w:hAnsi="Times New Roman" w:cs="Times New Roman"/>
          </w:rPr>
          <w:t>https://doi.org/10.1111/j.1461-0248.2009.01297.x</w:t>
        </w:r>
      </w:hyperlink>
    </w:p>
    <w:p w14:paraId="651FE55C" w14:textId="71F815EC" w:rsidR="001B4542" w:rsidRPr="009B0448" w:rsidRDefault="001A3B0A" w:rsidP="0033312D">
      <w:pPr>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auto"/>
        </w:rPr>
        <w:lastRenderedPageBreak/>
        <w:t xml:space="preserve">Holland, R. A., Darwall, W. R. T., &amp; Smith, K. G. (2012). Conservation priorities for freshwater biodiversity: The Key Biodiversity Area approach refined and tested for continental Africa. </w:t>
      </w:r>
      <w:r w:rsidRPr="009B0448">
        <w:rPr>
          <w:rFonts w:ascii="Times New Roman" w:eastAsia="Times New Roman" w:hAnsi="Times New Roman" w:cs="Times New Roman"/>
          <w:i/>
          <w:color w:val="auto"/>
        </w:rPr>
        <w:t>Biological Conservation, 148</w:t>
      </w:r>
      <w:r w:rsidRPr="009B0448">
        <w:rPr>
          <w:rFonts w:ascii="Times New Roman" w:eastAsia="Times New Roman" w:hAnsi="Times New Roman" w:cs="Times New Roman"/>
          <w:color w:val="auto"/>
        </w:rPr>
        <w:t xml:space="preserve">(1), 167–179. </w:t>
      </w:r>
      <w:hyperlink r:id="rId200" w:history="1">
        <w:r w:rsidR="001B4542" w:rsidRPr="009B0448">
          <w:rPr>
            <w:rStyle w:val="Hyperlink"/>
            <w:rFonts w:ascii="Times New Roman" w:eastAsia="Times New Roman" w:hAnsi="Times New Roman" w:cs="Times New Roman"/>
          </w:rPr>
          <w:t>https://doi.org/10.1016/j.biocon.2012.01.016</w:t>
        </w:r>
      </w:hyperlink>
    </w:p>
    <w:p w14:paraId="765E4464" w14:textId="4B0AC56E"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Hussey, K., &amp;</w:t>
      </w:r>
      <w:r w:rsidR="00A02593" w:rsidRPr="009B0448">
        <w:rPr>
          <w:rFonts w:ascii="Times New Roman" w:eastAsia="Times New Roman" w:hAnsi="Times New Roman" w:cs="Times New Roman"/>
          <w:color w:val="00000A"/>
        </w:rPr>
        <w:t xml:space="preserve"> Pittock, J. (2012). The energy-water nexus</w:t>
      </w:r>
      <w:r w:rsidRPr="009B0448">
        <w:rPr>
          <w:rFonts w:ascii="Times New Roman" w:eastAsia="Times New Roman" w:hAnsi="Times New Roman" w:cs="Times New Roman"/>
          <w:color w:val="00000A"/>
        </w:rPr>
        <w:t xml:space="preserve">: Managing </w:t>
      </w:r>
      <w:r w:rsidR="00A02593" w:rsidRPr="009B0448">
        <w:rPr>
          <w:rFonts w:ascii="Times New Roman" w:eastAsia="Times New Roman" w:hAnsi="Times New Roman" w:cs="Times New Roman"/>
          <w:color w:val="00000A"/>
        </w:rPr>
        <w:t>the links between energy and water for a sustainable future</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Ecology and Society, 17</w:t>
      </w:r>
      <w:r w:rsidRPr="009B0448">
        <w:rPr>
          <w:rFonts w:ascii="Times New Roman" w:eastAsia="Times New Roman" w:hAnsi="Times New Roman" w:cs="Times New Roman"/>
          <w:color w:val="00000A"/>
        </w:rPr>
        <w:t xml:space="preserve">(1). </w:t>
      </w:r>
      <w:hyperlink r:id="rId201" w:history="1">
        <w:r w:rsidRPr="009B0448">
          <w:rPr>
            <w:rStyle w:val="Hyperlink"/>
            <w:rFonts w:ascii="Times New Roman" w:eastAsia="Times New Roman" w:hAnsi="Times New Roman" w:cs="Times New Roman"/>
          </w:rPr>
          <w:t>https://doi.org/10.5751/ES-04641-170131</w:t>
        </w:r>
      </w:hyperlink>
    </w:p>
    <w:p w14:paraId="1972963C" w14:textId="766C9751" w:rsidR="001A3B0A" w:rsidRPr="009B0448" w:rsidRDefault="00A02593" w:rsidP="00A02593">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IAEA. (2002). Energy &amp; poverty. </w:t>
      </w:r>
      <w:r w:rsidR="001A3B0A" w:rsidRPr="009B0448">
        <w:rPr>
          <w:rFonts w:ascii="Times New Roman" w:eastAsia="Times New Roman" w:hAnsi="Times New Roman" w:cs="Times New Roman"/>
          <w:i/>
          <w:color w:val="00000A"/>
        </w:rPr>
        <w:t>IAEA Bulletin, 44</w:t>
      </w:r>
      <w:r w:rsidR="001A3B0A" w:rsidRPr="009B0448">
        <w:rPr>
          <w:rFonts w:ascii="Times New Roman" w:eastAsia="Times New Roman" w:hAnsi="Times New Roman" w:cs="Times New Roman"/>
          <w:color w:val="00000A"/>
        </w:rPr>
        <w:t>(2), 24–29.</w:t>
      </w:r>
      <w:r w:rsidRPr="009B0448">
        <w:rPr>
          <w:rFonts w:ascii="Times New Roman" w:eastAsia="Times New Roman" w:hAnsi="Times New Roman" w:cs="Times New Roman"/>
          <w:color w:val="00000A"/>
        </w:rPr>
        <w:t xml:space="preserve"> Retrieved from </w:t>
      </w:r>
      <w:hyperlink r:id="rId202" w:history="1">
        <w:r w:rsidRPr="009B0448">
          <w:rPr>
            <w:rStyle w:val="Hyperlink"/>
            <w:rFonts w:ascii="Times New Roman" w:eastAsia="Times New Roman" w:hAnsi="Times New Roman" w:cs="Times New Roman"/>
          </w:rPr>
          <w:t>https://www.iaea.org/sites/default/files/publications/magazines/bulletin/bull44-2/44204002429.pdf</w:t>
        </w:r>
      </w:hyperlink>
    </w:p>
    <w:p w14:paraId="5BFA3078"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Ickowitz, A., Powell, B., Salim, M. A., &amp; Sunderland, T. C. H. (2014). Dietary quality and tree cover in Africa. </w:t>
      </w:r>
      <w:r w:rsidRPr="009B0448">
        <w:rPr>
          <w:rFonts w:ascii="Times New Roman" w:eastAsia="Times New Roman" w:hAnsi="Times New Roman" w:cs="Times New Roman"/>
          <w:i/>
          <w:color w:val="00000A"/>
        </w:rPr>
        <w:t>Global Environmental Change, 24</w:t>
      </w:r>
      <w:r w:rsidRPr="009B0448">
        <w:rPr>
          <w:rFonts w:ascii="Times New Roman" w:eastAsia="Times New Roman" w:hAnsi="Times New Roman" w:cs="Times New Roman"/>
          <w:color w:val="00000A"/>
        </w:rPr>
        <w:t xml:space="preserve">, 287–294. </w:t>
      </w:r>
      <w:hyperlink r:id="rId203" w:history="1">
        <w:r w:rsidRPr="009B0448">
          <w:rPr>
            <w:rStyle w:val="Hyperlink"/>
            <w:rFonts w:ascii="Times New Roman" w:eastAsia="Times New Roman" w:hAnsi="Times New Roman" w:cs="Times New Roman"/>
          </w:rPr>
          <w:t>https://doi.org/10.1016/j.gloenvcha.2013.12.001</w:t>
        </w:r>
      </w:hyperlink>
    </w:p>
    <w:p w14:paraId="49CAF716"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IFAD (International Fund for Agricultural Development). (2015). Rural Poverty Portal. Retrieved from </w:t>
      </w:r>
      <w:hyperlink r:id="rId204" w:history="1">
        <w:r w:rsidRPr="009B0448">
          <w:rPr>
            <w:rStyle w:val="Hyperlink"/>
            <w:rFonts w:ascii="Times New Roman" w:eastAsia="Times New Roman" w:hAnsi="Times New Roman" w:cs="Times New Roman"/>
          </w:rPr>
          <w:t>http://www.ruralpovertyportal.org/region/home/tags/africa</w:t>
        </w:r>
      </w:hyperlink>
    </w:p>
    <w:p w14:paraId="0A75DB37" w14:textId="75267F9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Ilukor, J., Rettberg, S., Treydte, A., &amp; Birner, R. (2016). </w:t>
      </w:r>
      <w:r w:rsidRPr="009B0448">
        <w:rPr>
          <w:rFonts w:ascii="Times New Roman" w:eastAsia="Times New Roman" w:hAnsi="Times New Roman" w:cs="Times New Roman"/>
          <w:color w:val="00000A"/>
        </w:rPr>
        <w:t xml:space="preserve">To eradicate or not to eradicate? Recommendations on </w:t>
      </w:r>
      <w:r w:rsidRPr="009B0448">
        <w:rPr>
          <w:rFonts w:ascii="Times New Roman" w:eastAsia="Times New Roman" w:hAnsi="Times New Roman" w:cs="Times New Roman"/>
          <w:i/>
          <w:color w:val="00000A"/>
        </w:rPr>
        <w:t>Prosopis juliflora</w:t>
      </w:r>
      <w:r w:rsidRPr="009B0448">
        <w:rPr>
          <w:rFonts w:ascii="Times New Roman" w:eastAsia="Times New Roman" w:hAnsi="Times New Roman" w:cs="Times New Roman"/>
          <w:color w:val="00000A"/>
        </w:rPr>
        <w:t xml:space="preserve"> management in Afar, Ethiopia, from an interdisciplinary perspective.</w:t>
      </w:r>
      <w:r w:rsidR="00F86A67"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Pastoralism, 6</w:t>
      </w:r>
      <w:r w:rsidRPr="009B0448">
        <w:rPr>
          <w:rFonts w:ascii="Times New Roman" w:eastAsia="Times New Roman" w:hAnsi="Times New Roman" w:cs="Times New Roman"/>
          <w:color w:val="00000A"/>
        </w:rPr>
        <w:t xml:space="preserve">(1), 14. </w:t>
      </w:r>
      <w:hyperlink r:id="rId205" w:history="1">
        <w:r w:rsidRPr="009B0448">
          <w:rPr>
            <w:rStyle w:val="Hyperlink"/>
            <w:rFonts w:ascii="Times New Roman" w:eastAsia="Times New Roman" w:hAnsi="Times New Roman" w:cs="Times New Roman"/>
          </w:rPr>
          <w:t>https://doi.org/10.1186/s13570-016-0061-1</w:t>
        </w:r>
      </w:hyperlink>
    </w:p>
    <w:p w14:paraId="77C70712" w14:textId="478319FD" w:rsidR="001D4070" w:rsidRPr="009B0448" w:rsidRDefault="001A3B0A" w:rsidP="00D80DF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IPBES. (2016a). </w:t>
      </w:r>
      <w:r w:rsidR="000831AF" w:rsidRPr="009B0448">
        <w:rPr>
          <w:rFonts w:ascii="Times New Roman" w:eastAsia="Times New Roman" w:hAnsi="Times New Roman" w:cs="Times New Roman"/>
          <w:i/>
          <w:color w:val="00000A"/>
        </w:rPr>
        <w:t xml:space="preserve">Guide on the production and integration of assessments from and across all scales. </w:t>
      </w:r>
      <w:r w:rsidR="000831AF" w:rsidRPr="009B0448">
        <w:rPr>
          <w:rFonts w:ascii="Times New Roman" w:eastAsia="Times New Roman" w:hAnsi="Times New Roman" w:cs="Times New Roman"/>
          <w:color w:val="00000A"/>
        </w:rPr>
        <w:t xml:space="preserve">Bonn, Germany: Secretariat of the Intergovernmental Science-Policy Platform on Biodiversity and Ecosystem Services. Retrieved from </w:t>
      </w:r>
      <w:hyperlink r:id="rId206" w:history="1">
        <w:r w:rsidR="000831AF" w:rsidRPr="009B0448">
          <w:rPr>
            <w:rStyle w:val="Hyperlink"/>
            <w:rFonts w:ascii="Times New Roman" w:eastAsia="Times New Roman" w:hAnsi="Times New Roman" w:cs="Times New Roman"/>
          </w:rPr>
          <w:t>http://www.ipbes.net/sites/default/files/downloads/IPBES-4-INF-9_EN_0.pdf</w:t>
        </w:r>
      </w:hyperlink>
    </w:p>
    <w:p w14:paraId="5A3B400D" w14:textId="44CB7555" w:rsidR="001D4070" w:rsidRPr="009B0448" w:rsidRDefault="001D4070" w:rsidP="001D4070">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IPBES</w:t>
      </w:r>
      <w:r w:rsidR="00815C9B"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 xml:space="preserve"> (2016b</w:t>
      </w:r>
      <w:r w:rsidR="00815C9B"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 xml:space="preserve">The methodological assessment report on scenarios and models of biodiversity and ecosystem services. </w:t>
      </w:r>
      <w:r w:rsidRPr="009B0448">
        <w:rPr>
          <w:rFonts w:ascii="Times New Roman" w:eastAsia="Times New Roman" w:hAnsi="Times New Roman" w:cs="Times New Roman"/>
          <w:color w:val="00000A"/>
        </w:rPr>
        <w:t xml:space="preserve">S. Ferrier, K. N. Ninan, P. Leadley, R. Alkemade, L. A. Acosta, H. R. Akçakaya, L. Brotons, W. W. L. Cheung, V. Christensen, K. A. Harhash, J. Kabubo-Mariara, C. Lundquist, M. Obersteiner, H. M. Pereira, G. Peterson, R. Pichs-Madruga, N. Ravindranath, C. Rondinini &amp; B. A. Wintle (Eds.). Bonn, Germany: Secretariat of the Intergovernmental Science-Policy Platform on Biodiversity and Ecosystem Services. Retrieved from </w:t>
      </w:r>
      <w:hyperlink r:id="rId207" w:history="1">
        <w:r w:rsidRPr="009B0448">
          <w:rPr>
            <w:rStyle w:val="Hyperlink"/>
            <w:rFonts w:ascii="Times New Roman" w:eastAsia="Times New Roman" w:hAnsi="Times New Roman" w:cs="Times New Roman"/>
          </w:rPr>
          <w:t>https://www.ipbes.net/system/tdf/downloads/pdf/2016.methodological_assessment_report_scenarios_models.pdf?file=1&amp;type=node&amp;id=15244</w:t>
        </w:r>
      </w:hyperlink>
    </w:p>
    <w:p w14:paraId="0B615EC8" w14:textId="025E2A06" w:rsidR="001D4070" w:rsidRPr="009B0448" w:rsidRDefault="001D4070" w:rsidP="001D4070">
      <w:pPr>
        <w:spacing w:after="120" w:line="276" w:lineRule="auto"/>
        <w:ind w:left="567" w:hanging="567"/>
        <w:rPr>
          <w:rFonts w:ascii="Times New Roman" w:eastAsia="Times New Roman" w:hAnsi="Times New Roman" w:cs="Times New Roman"/>
          <w:color w:val="00000A"/>
          <w:highlight w:val="yellow"/>
        </w:rPr>
      </w:pPr>
      <w:r w:rsidRPr="009B0448">
        <w:rPr>
          <w:rFonts w:ascii="Times New Roman" w:eastAsia="Times New Roman" w:hAnsi="Times New Roman" w:cs="Times New Roman"/>
          <w:color w:val="00000A"/>
        </w:rPr>
        <w:t xml:space="preserve">IPBES. (2016c). </w:t>
      </w:r>
      <w:r w:rsidRPr="009B0448">
        <w:rPr>
          <w:rFonts w:ascii="Times New Roman" w:eastAsia="Times New Roman" w:hAnsi="Times New Roman" w:cs="Times New Roman"/>
          <w:i/>
          <w:color w:val="00000A"/>
        </w:rPr>
        <w:t>The assessment report on pollinators, pollination and food production.</w:t>
      </w:r>
      <w:r w:rsidRPr="009B0448">
        <w:rPr>
          <w:rFonts w:ascii="Times New Roman" w:eastAsia="Times New Roman" w:hAnsi="Times New Roman" w:cs="Times New Roman"/>
          <w:color w:val="00000A"/>
        </w:rPr>
        <w:t xml:space="preserve"> S. G. Potts, V. Imperatriz-Fonseca, &amp; H. T. Ngo (Eds.). Bonn, Germany: Secretariat of the Intergovernmental Science-Policy Platform on Biodiversity and Ecosystem Services. Retrieved from </w:t>
      </w:r>
      <w:hyperlink r:id="rId208" w:history="1">
        <w:r w:rsidRPr="009B0448">
          <w:rPr>
            <w:rStyle w:val="Hyperlink"/>
            <w:rFonts w:ascii="Times New Roman" w:eastAsia="Times New Roman" w:hAnsi="Times New Roman" w:cs="Times New Roman"/>
          </w:rPr>
          <w:t>https://www.ipbes.net/sites/default/files/downloads/pdf/individual_chapters_pollination_20170305.pdf</w:t>
        </w:r>
      </w:hyperlink>
    </w:p>
    <w:p w14:paraId="4D69EC36" w14:textId="5780CAC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IPCC. (2012). </w:t>
      </w:r>
      <w:r w:rsidRPr="009B0448">
        <w:rPr>
          <w:rFonts w:ascii="Times New Roman" w:eastAsia="Times New Roman" w:hAnsi="Times New Roman" w:cs="Times New Roman"/>
          <w:i/>
          <w:color w:val="00000A"/>
        </w:rPr>
        <w:t>Managing the Risks of Extreme Events and Disasters to Advance Climate Change Adaptation: A Special Report of Working Groups I and II of the Intergovernmental Panel on Climate Change.</w:t>
      </w:r>
      <w:r w:rsidR="000831AF"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C. </w:t>
      </w:r>
      <w:r w:rsidR="00F86A67" w:rsidRPr="009B0448">
        <w:rPr>
          <w:rFonts w:ascii="Times New Roman" w:eastAsia="Times New Roman" w:hAnsi="Times New Roman" w:cs="Times New Roman"/>
          <w:color w:val="00000A"/>
        </w:rPr>
        <w:t xml:space="preserve">B. </w:t>
      </w:r>
      <w:r w:rsidRPr="009B0448">
        <w:rPr>
          <w:rFonts w:ascii="Times New Roman" w:eastAsia="Times New Roman" w:hAnsi="Times New Roman" w:cs="Times New Roman"/>
          <w:color w:val="00000A"/>
        </w:rPr>
        <w:t>Field, V. Barros, T.</w:t>
      </w:r>
      <w:r w:rsidR="00F86A67" w:rsidRPr="009B0448">
        <w:rPr>
          <w:rFonts w:ascii="Times New Roman" w:eastAsia="Times New Roman" w:hAnsi="Times New Roman" w:cs="Times New Roman"/>
          <w:color w:val="00000A"/>
        </w:rPr>
        <w:t xml:space="preserve"> F.</w:t>
      </w:r>
      <w:r w:rsidRPr="009B0448">
        <w:rPr>
          <w:rFonts w:ascii="Times New Roman" w:eastAsia="Times New Roman" w:hAnsi="Times New Roman" w:cs="Times New Roman"/>
          <w:color w:val="00000A"/>
        </w:rPr>
        <w:t xml:space="preserve"> Stocker, D. Qin, D.</w:t>
      </w:r>
      <w:r w:rsidR="00F86A67" w:rsidRPr="009B0448">
        <w:rPr>
          <w:rFonts w:ascii="Times New Roman" w:eastAsia="Times New Roman" w:hAnsi="Times New Roman" w:cs="Times New Roman"/>
          <w:color w:val="00000A"/>
        </w:rPr>
        <w:t xml:space="preserve"> J.</w:t>
      </w:r>
      <w:r w:rsidRPr="009B0448">
        <w:rPr>
          <w:rFonts w:ascii="Times New Roman" w:eastAsia="Times New Roman" w:hAnsi="Times New Roman" w:cs="Times New Roman"/>
          <w:color w:val="00000A"/>
        </w:rPr>
        <w:t xml:space="preserve"> Dokken, K. </w:t>
      </w:r>
      <w:r w:rsidR="00F86A67" w:rsidRPr="009B0448">
        <w:rPr>
          <w:rFonts w:ascii="Times New Roman" w:eastAsia="Times New Roman" w:hAnsi="Times New Roman" w:cs="Times New Roman"/>
          <w:color w:val="00000A"/>
        </w:rPr>
        <w:t xml:space="preserve">L. </w:t>
      </w:r>
      <w:r w:rsidRPr="009B0448">
        <w:rPr>
          <w:rFonts w:ascii="Times New Roman" w:eastAsia="Times New Roman" w:hAnsi="Times New Roman" w:cs="Times New Roman"/>
          <w:color w:val="00000A"/>
        </w:rPr>
        <w:t>E</w:t>
      </w:r>
      <w:r w:rsidR="00F86A67" w:rsidRPr="009B0448">
        <w:rPr>
          <w:rFonts w:ascii="Times New Roman" w:eastAsia="Times New Roman" w:hAnsi="Times New Roman" w:cs="Times New Roman"/>
          <w:color w:val="00000A"/>
        </w:rPr>
        <w:t>bi</w:t>
      </w:r>
      <w:r w:rsidRPr="009B0448">
        <w:rPr>
          <w:rFonts w:ascii="Times New Roman" w:eastAsia="Times New Roman" w:hAnsi="Times New Roman" w:cs="Times New Roman"/>
          <w:color w:val="00000A"/>
        </w:rPr>
        <w:t xml:space="preserve">, </w:t>
      </w:r>
      <w:r w:rsidR="00F86A67" w:rsidRPr="009B0448">
        <w:rPr>
          <w:rFonts w:ascii="Times New Roman" w:eastAsia="Times New Roman" w:hAnsi="Times New Roman" w:cs="Times New Roman"/>
          <w:color w:val="00000A"/>
        </w:rPr>
        <w:t xml:space="preserve">M. D. Mastrandrea, K. J. Mach, </w:t>
      </w:r>
      <w:r w:rsidR="000A1A9C" w:rsidRPr="009B0448">
        <w:rPr>
          <w:rFonts w:ascii="Times New Roman" w:eastAsia="Times New Roman" w:hAnsi="Times New Roman" w:cs="Times New Roman"/>
          <w:color w:val="00000A"/>
        </w:rPr>
        <w:t xml:space="preserve">G.-K. Plattner, S. K. Allen, M. Tignor, </w:t>
      </w:r>
      <w:r w:rsidR="00F86A67" w:rsidRPr="009B0448">
        <w:rPr>
          <w:rFonts w:ascii="Times New Roman" w:eastAsia="Times New Roman" w:hAnsi="Times New Roman" w:cs="Times New Roman"/>
          <w:color w:val="00000A"/>
        </w:rPr>
        <w:t>&amp;</w:t>
      </w:r>
      <w:r w:rsidRPr="009B0448">
        <w:rPr>
          <w:rFonts w:ascii="Times New Roman" w:eastAsia="Times New Roman" w:hAnsi="Times New Roman" w:cs="Times New Roman"/>
          <w:color w:val="00000A"/>
        </w:rPr>
        <w:t xml:space="preserve"> P. </w:t>
      </w:r>
      <w:r w:rsidR="00F86A67" w:rsidRPr="009B0448">
        <w:rPr>
          <w:rFonts w:ascii="Times New Roman" w:eastAsia="Times New Roman" w:hAnsi="Times New Roman" w:cs="Times New Roman"/>
          <w:color w:val="00000A"/>
        </w:rPr>
        <w:t xml:space="preserve">M. </w:t>
      </w:r>
      <w:r w:rsidRPr="009B0448">
        <w:rPr>
          <w:rFonts w:ascii="Times New Roman" w:eastAsia="Times New Roman" w:hAnsi="Times New Roman" w:cs="Times New Roman"/>
          <w:color w:val="00000A"/>
        </w:rPr>
        <w:t xml:space="preserve">Midgley </w:t>
      </w:r>
      <w:r w:rsidR="000831AF"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 xml:space="preserve">Eds.). </w:t>
      </w:r>
      <w:r w:rsidR="000A1A9C" w:rsidRPr="009B0448">
        <w:rPr>
          <w:rFonts w:ascii="Times New Roman" w:eastAsia="Times New Roman" w:hAnsi="Times New Roman" w:cs="Times New Roman"/>
          <w:color w:val="00000A"/>
        </w:rPr>
        <w:t xml:space="preserve">New York, NY, USA: </w:t>
      </w:r>
      <w:r w:rsidRPr="009B0448">
        <w:rPr>
          <w:rFonts w:ascii="Times New Roman" w:eastAsia="Times New Roman" w:hAnsi="Times New Roman" w:cs="Times New Roman"/>
          <w:color w:val="00000A"/>
        </w:rPr>
        <w:t>Cambridge University Press.</w:t>
      </w:r>
      <w:r w:rsidR="000A1A9C" w:rsidRPr="009B0448">
        <w:rPr>
          <w:rFonts w:ascii="Times New Roman" w:eastAsia="Times New Roman" w:hAnsi="Times New Roman" w:cs="Times New Roman"/>
          <w:color w:val="00000A"/>
        </w:rPr>
        <w:t xml:space="preserve"> Retrieved from </w:t>
      </w:r>
      <w:hyperlink r:id="rId209" w:history="1">
        <w:r w:rsidR="000A1A9C" w:rsidRPr="009B0448">
          <w:rPr>
            <w:rStyle w:val="Hyperlink"/>
            <w:rFonts w:ascii="Times New Roman" w:eastAsia="Times New Roman" w:hAnsi="Times New Roman" w:cs="Times New Roman"/>
          </w:rPr>
          <w:t>https://www.ipcc.ch/pdf/special-reports/srex/SREX_Full_Report.pdf</w:t>
        </w:r>
      </w:hyperlink>
    </w:p>
    <w:p w14:paraId="65A88DB0" w14:textId="43FD6F1F" w:rsidR="000831AF" w:rsidRPr="009B0448" w:rsidRDefault="001A3B0A" w:rsidP="0033312D">
      <w:pPr>
        <w:spacing w:after="120" w:line="276" w:lineRule="auto"/>
        <w:ind w:left="567" w:hanging="567"/>
        <w:rPr>
          <w:rFonts w:ascii="Times New Roman" w:hAnsi="Times New Roman" w:cs="Times New Roman"/>
        </w:rPr>
      </w:pPr>
      <w:r w:rsidRPr="009B0448">
        <w:rPr>
          <w:rFonts w:ascii="Times New Roman" w:eastAsia="Times New Roman" w:hAnsi="Times New Roman" w:cs="Times New Roman"/>
          <w:color w:val="00000A"/>
        </w:rPr>
        <w:t xml:space="preserve">IPCC. (2014). </w:t>
      </w:r>
      <w:r w:rsidRPr="009B0448">
        <w:rPr>
          <w:rFonts w:ascii="Times New Roman" w:eastAsia="Times New Roman" w:hAnsi="Times New Roman" w:cs="Times New Roman"/>
          <w:i/>
          <w:color w:val="00000A"/>
        </w:rPr>
        <w:t>Climate Change 2014: Synthesis Report. Summary for policymakers</w:t>
      </w:r>
      <w:r w:rsidRPr="009B0448">
        <w:rPr>
          <w:rFonts w:ascii="Times New Roman" w:eastAsia="Times New Roman" w:hAnsi="Times New Roman" w:cs="Times New Roman"/>
          <w:color w:val="00000A"/>
        </w:rPr>
        <w:t xml:space="preserve">. </w:t>
      </w:r>
      <w:r w:rsidR="000831AF" w:rsidRPr="009B0448">
        <w:rPr>
          <w:rFonts w:ascii="Times New Roman" w:eastAsia="Times New Roman" w:hAnsi="Times New Roman" w:cs="Times New Roman"/>
          <w:color w:val="00000A"/>
        </w:rPr>
        <w:t xml:space="preserve">Contribution of Working Groups I, II and III to the Fifth Assessment Report of the Intergovernmental Panel on </w:t>
      </w:r>
      <w:r w:rsidR="000831AF" w:rsidRPr="009B0448">
        <w:rPr>
          <w:rFonts w:ascii="Times New Roman" w:eastAsia="Times New Roman" w:hAnsi="Times New Roman" w:cs="Times New Roman"/>
          <w:color w:val="00000A"/>
        </w:rPr>
        <w:lastRenderedPageBreak/>
        <w:t>Climate Change [Core Writing Team,</w:t>
      </w:r>
      <w:r w:rsidR="002F6D2A" w:rsidRPr="009B0448">
        <w:rPr>
          <w:rFonts w:ascii="Times New Roman" w:eastAsia="Times New Roman" w:hAnsi="Times New Roman" w:cs="Times New Roman"/>
          <w:color w:val="00000A"/>
        </w:rPr>
        <w:t xml:space="preserve"> R.K. Pachauri and L.A. Meyer (E</w:t>
      </w:r>
      <w:r w:rsidR="000831AF" w:rsidRPr="009B0448">
        <w:rPr>
          <w:rFonts w:ascii="Times New Roman" w:eastAsia="Times New Roman" w:hAnsi="Times New Roman" w:cs="Times New Roman"/>
          <w:color w:val="00000A"/>
        </w:rPr>
        <w:t xml:space="preserve">ds.)]. </w:t>
      </w:r>
      <w:r w:rsidR="002F6D2A" w:rsidRPr="009B0448">
        <w:rPr>
          <w:rFonts w:ascii="Times New Roman" w:eastAsia="Times New Roman" w:hAnsi="Times New Roman" w:cs="Times New Roman"/>
          <w:color w:val="00000A"/>
        </w:rPr>
        <w:t xml:space="preserve">Geneva, Switzerland: </w:t>
      </w:r>
      <w:r w:rsidR="000831AF" w:rsidRPr="009B0448">
        <w:rPr>
          <w:rFonts w:ascii="Times New Roman" w:eastAsia="Times New Roman" w:hAnsi="Times New Roman" w:cs="Times New Roman"/>
          <w:color w:val="00000A"/>
        </w:rPr>
        <w:t>IPCC</w:t>
      </w:r>
      <w:r w:rsidR="002F6D2A" w:rsidRPr="009B0448">
        <w:rPr>
          <w:rFonts w:ascii="Times New Roman" w:eastAsia="Times New Roman" w:hAnsi="Times New Roman" w:cs="Times New Roman"/>
          <w:color w:val="00000A"/>
        </w:rPr>
        <w:t>.</w:t>
      </w:r>
      <w:r w:rsidR="000831AF"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Retrieved from </w:t>
      </w:r>
      <w:hyperlink r:id="rId210" w:history="1">
        <w:r w:rsidR="000831AF" w:rsidRPr="009B0448">
          <w:rPr>
            <w:rStyle w:val="Hyperlink"/>
            <w:rFonts w:ascii="Times New Roman" w:hAnsi="Times New Roman" w:cs="Times New Roman"/>
          </w:rPr>
          <w:t>http://www.ipcc.ch/pdf/assessment-report/ar5/syr/AR5_SYR_FINAL_SPM.pdf</w:t>
        </w:r>
      </w:hyperlink>
    </w:p>
    <w:p w14:paraId="1FE5B0A6" w14:textId="548A60B1"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Jacob, J. P., Blundo, G., Bako-Arifari, N., Børhaug, K., &amp; Laurent, P. J. (1997). Socio-anthropologie de la décentralisation en milieu rural Africa in (bibliographie sélective et commentée). </w:t>
      </w:r>
      <w:r w:rsidRPr="009B0448">
        <w:rPr>
          <w:rFonts w:ascii="Times New Roman" w:eastAsia="Times New Roman" w:hAnsi="Times New Roman" w:cs="Times New Roman"/>
          <w:i/>
          <w:color w:val="00000A"/>
        </w:rPr>
        <w:t>Itinéraires. Notes et Travaux, 49</w:t>
      </w:r>
      <w:r w:rsidRPr="009B0448">
        <w:rPr>
          <w:rFonts w:ascii="Times New Roman" w:eastAsia="Times New Roman" w:hAnsi="Times New Roman" w:cs="Times New Roman"/>
          <w:color w:val="00000A"/>
        </w:rPr>
        <w:t>(4), 119.</w:t>
      </w:r>
      <w:r w:rsidR="00C0487F" w:rsidRPr="009B0448">
        <w:rPr>
          <w:rFonts w:ascii="Times New Roman" w:eastAsia="Times New Roman" w:hAnsi="Times New Roman" w:cs="Times New Roman"/>
          <w:color w:val="00000A"/>
        </w:rPr>
        <w:t xml:space="preserve"> Retrieved from </w:t>
      </w:r>
      <w:hyperlink r:id="rId211" w:history="1">
        <w:r w:rsidR="00C0487F" w:rsidRPr="009B0448">
          <w:rPr>
            <w:rStyle w:val="Hyperlink"/>
            <w:rFonts w:ascii="Times New Roman" w:eastAsia="Times New Roman" w:hAnsi="Times New Roman" w:cs="Times New Roman"/>
          </w:rPr>
          <w:t>http://regards.in2p3.fr/fiche.php?id=4408</w:t>
        </w:r>
      </w:hyperlink>
    </w:p>
    <w:p w14:paraId="49B68F9E" w14:textId="5D2905CE"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Johnson, K. B., Jacob, A., &amp; Brown, M. E. (2013). Forest cover associated with improved child health and nutrition: evidence from the Malawi </w:t>
      </w:r>
      <w:r w:rsidR="000A1A9C" w:rsidRPr="009B0448">
        <w:rPr>
          <w:rFonts w:ascii="Times New Roman" w:eastAsia="Times New Roman" w:hAnsi="Times New Roman" w:cs="Times New Roman"/>
          <w:color w:val="00000A"/>
        </w:rPr>
        <w:t xml:space="preserve">demographic and health survey </w:t>
      </w:r>
      <w:r w:rsidRPr="009B0448">
        <w:rPr>
          <w:rFonts w:ascii="Times New Roman" w:eastAsia="Times New Roman" w:hAnsi="Times New Roman" w:cs="Times New Roman"/>
          <w:color w:val="00000A"/>
        </w:rPr>
        <w:t xml:space="preserve">and satellite data. </w:t>
      </w:r>
      <w:r w:rsidRPr="009B0448">
        <w:rPr>
          <w:rFonts w:ascii="Times New Roman" w:eastAsia="Times New Roman" w:hAnsi="Times New Roman" w:cs="Times New Roman"/>
          <w:i/>
          <w:color w:val="00000A"/>
        </w:rPr>
        <w:t>Global Health, Science and Practice, 1</w:t>
      </w:r>
      <w:r w:rsidRPr="009B0448">
        <w:rPr>
          <w:rFonts w:ascii="Times New Roman" w:eastAsia="Times New Roman" w:hAnsi="Times New Roman" w:cs="Times New Roman"/>
          <w:color w:val="00000A"/>
        </w:rPr>
        <w:t xml:space="preserve">(2), 237–248. </w:t>
      </w:r>
      <w:hyperlink r:id="rId212" w:history="1">
        <w:r w:rsidRPr="009B0448">
          <w:rPr>
            <w:rStyle w:val="Hyperlink"/>
            <w:rFonts w:ascii="Times New Roman" w:eastAsia="Times New Roman" w:hAnsi="Times New Roman" w:cs="Times New Roman"/>
          </w:rPr>
          <w:t>https://doi.org/10.9745/GHSP-D-13-00055</w:t>
        </w:r>
      </w:hyperlink>
    </w:p>
    <w:p w14:paraId="7BB08CE4" w14:textId="468B68A7" w:rsidR="001A3B0A" w:rsidRPr="009B0448" w:rsidRDefault="00C0487F" w:rsidP="00C0487F">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Jones, A., Breuning-Madsen, H., Brossard, M., Dampha, A., Deckers, J., Dewitte, O., Gallali, T., Hallett, S., Jones, R., Kilasara, M., Le Roux, P., Micheli, E., Montanarella, L., Spaargaren, O., Thiombiano, L., Van Ranst, E., Yemefack, M. , Zougmoré R. (Eds.). (2013). </w:t>
      </w:r>
      <w:r w:rsidRPr="009B0448">
        <w:rPr>
          <w:rFonts w:ascii="Times New Roman" w:eastAsia="Times New Roman" w:hAnsi="Times New Roman" w:cs="Times New Roman"/>
          <w:i/>
          <w:color w:val="00000A"/>
        </w:rPr>
        <w:t>Soil atlas of Africa.</w:t>
      </w:r>
      <w:r w:rsidRPr="009B0448">
        <w:rPr>
          <w:rFonts w:ascii="Times New Roman" w:eastAsia="Times New Roman" w:hAnsi="Times New Roman" w:cs="Times New Roman"/>
          <w:color w:val="00000A"/>
        </w:rPr>
        <w:t xml:space="preserve"> Luxembourg: European Commission, Publications Office of the European Union. Retrieved from </w:t>
      </w:r>
      <w:hyperlink r:id="rId213" w:history="1">
        <w:r w:rsidRPr="009B0448">
          <w:rPr>
            <w:rStyle w:val="Hyperlink"/>
            <w:rFonts w:ascii="Times New Roman" w:eastAsia="Times New Roman" w:hAnsi="Times New Roman" w:cs="Times New Roman"/>
          </w:rPr>
          <w:t>http://wedocs.unep.org/bitstream/handle/20.500.11822/18442/av020e00.pdf</w:t>
        </w:r>
      </w:hyperlink>
    </w:p>
    <w:p w14:paraId="3F1A07A1" w14:textId="6ED93FDB"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Kaimuddin, A. H., Laë, R., &amp; Tito De Morais, L. (2016). Fish </w:t>
      </w:r>
      <w:r w:rsidR="00C0487F" w:rsidRPr="009B0448">
        <w:rPr>
          <w:rFonts w:ascii="Times New Roman" w:eastAsia="Times New Roman" w:hAnsi="Times New Roman" w:cs="Times New Roman"/>
          <w:color w:val="00000A"/>
        </w:rPr>
        <w:t>species in a changing world</w:t>
      </w:r>
      <w:r w:rsidRPr="009B0448">
        <w:rPr>
          <w:rFonts w:ascii="Times New Roman" w:eastAsia="Times New Roman" w:hAnsi="Times New Roman" w:cs="Times New Roman"/>
          <w:color w:val="00000A"/>
        </w:rPr>
        <w:t xml:space="preserve">: The </w:t>
      </w:r>
      <w:r w:rsidR="00C0487F" w:rsidRPr="009B0448">
        <w:rPr>
          <w:rFonts w:ascii="Times New Roman" w:eastAsia="Times New Roman" w:hAnsi="Times New Roman" w:cs="Times New Roman"/>
          <w:color w:val="00000A"/>
        </w:rPr>
        <w:t xml:space="preserve">route and timing of species migration between tropical and temperate ecosystems </w:t>
      </w:r>
      <w:r w:rsidRPr="009B0448">
        <w:rPr>
          <w:rFonts w:ascii="Times New Roman" w:eastAsia="Times New Roman" w:hAnsi="Times New Roman" w:cs="Times New Roman"/>
          <w:color w:val="00000A"/>
        </w:rPr>
        <w:t xml:space="preserve">in Eastern Atlantic. </w:t>
      </w:r>
      <w:r w:rsidRPr="009B0448">
        <w:rPr>
          <w:rFonts w:ascii="Times New Roman" w:eastAsia="Times New Roman" w:hAnsi="Times New Roman" w:cs="Times New Roman"/>
          <w:i/>
          <w:color w:val="00000A"/>
        </w:rPr>
        <w:t>Marine Fisheries, Aquaculture and Living Resources, 162</w:t>
      </w:r>
      <w:r w:rsidRPr="009B0448">
        <w:rPr>
          <w:rFonts w:ascii="Times New Roman" w:eastAsia="Times New Roman" w:hAnsi="Times New Roman" w:cs="Times New Roman"/>
          <w:color w:val="00000A"/>
        </w:rPr>
        <w:t xml:space="preserve">. </w:t>
      </w:r>
      <w:hyperlink r:id="rId214" w:history="1">
        <w:r w:rsidRPr="009B0448">
          <w:rPr>
            <w:rStyle w:val="Hyperlink"/>
            <w:rFonts w:ascii="Times New Roman" w:eastAsia="Times New Roman" w:hAnsi="Times New Roman" w:cs="Times New Roman"/>
          </w:rPr>
          <w:t>https://doi.org/10.3389/fmars.2016.00162</w:t>
        </w:r>
      </w:hyperlink>
    </w:p>
    <w:p w14:paraId="64A38E9E" w14:textId="67510178"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Keller, R. P., Lodge, D. M., Lewis, M. A., &amp; Shogren, J. F. </w:t>
      </w:r>
      <w:r w:rsidR="00756240" w:rsidRPr="009B0448">
        <w:rPr>
          <w:rFonts w:ascii="Times New Roman" w:eastAsia="Times New Roman" w:hAnsi="Times New Roman" w:cs="Times New Roman"/>
          <w:color w:val="00000A"/>
        </w:rPr>
        <w:t xml:space="preserve">(Eds.). </w:t>
      </w:r>
      <w:r w:rsidRPr="009B0448">
        <w:rPr>
          <w:rFonts w:ascii="Times New Roman" w:eastAsia="Times New Roman" w:hAnsi="Times New Roman" w:cs="Times New Roman"/>
          <w:color w:val="00000A"/>
        </w:rPr>
        <w:t>(2009).</w:t>
      </w:r>
      <w:r w:rsidR="00756240"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Bioeconomics </w:t>
      </w:r>
      <w:r w:rsidR="00756240" w:rsidRPr="009B0448">
        <w:rPr>
          <w:rFonts w:ascii="Times New Roman" w:eastAsia="Times New Roman" w:hAnsi="Times New Roman" w:cs="Times New Roman"/>
          <w:color w:val="00000A"/>
        </w:rPr>
        <w:t>of invasive species: Integrating ecology, economics, policy, and management</w:t>
      </w:r>
      <w:r w:rsidRPr="009B0448">
        <w:rPr>
          <w:rFonts w:ascii="Times New Roman" w:eastAsia="Times New Roman" w:hAnsi="Times New Roman" w:cs="Times New Roman"/>
          <w:color w:val="00000A"/>
        </w:rPr>
        <w:t xml:space="preserve">. </w:t>
      </w:r>
      <w:r w:rsidR="00756240" w:rsidRPr="009B0448">
        <w:rPr>
          <w:rFonts w:ascii="Times New Roman" w:eastAsia="Times New Roman" w:hAnsi="Times New Roman" w:cs="Times New Roman"/>
          <w:color w:val="00000A"/>
        </w:rPr>
        <w:t xml:space="preserve">New York, NY, USA: </w:t>
      </w:r>
      <w:r w:rsidRPr="009B0448">
        <w:rPr>
          <w:rFonts w:ascii="Times New Roman" w:eastAsia="Times New Roman" w:hAnsi="Times New Roman" w:cs="Times New Roman"/>
          <w:color w:val="00000A"/>
        </w:rPr>
        <w:t>Oxford University Press.</w:t>
      </w:r>
      <w:r w:rsidR="00756240" w:rsidRPr="009B0448">
        <w:rPr>
          <w:rFonts w:ascii="Times New Roman" w:eastAsia="Times New Roman" w:hAnsi="Times New Roman" w:cs="Times New Roman"/>
          <w:color w:val="00000A"/>
        </w:rPr>
        <w:t xml:space="preserve"> </w:t>
      </w:r>
      <w:r w:rsidR="00756240" w:rsidRPr="009B0448">
        <w:rPr>
          <w:rFonts w:ascii="Times New Roman" w:hAnsi="Times New Roman" w:cs="Times New Roman"/>
        </w:rPr>
        <w:t>ISBN 9780195367980</w:t>
      </w:r>
    </w:p>
    <w:p w14:paraId="71A32926" w14:textId="22253A9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Kideghesho, J., Rija, A., Mwamende, K., &amp; Selemani, I. (2013). Emerging issues and challenges in conservation of biodiversity in the rangelands of Tanzania. </w:t>
      </w:r>
      <w:r w:rsidRPr="009B0448">
        <w:rPr>
          <w:rFonts w:ascii="Times New Roman" w:eastAsia="Times New Roman" w:hAnsi="Times New Roman" w:cs="Times New Roman"/>
          <w:i/>
          <w:color w:val="00000A"/>
        </w:rPr>
        <w:t>Nature Conservation, 6</w:t>
      </w:r>
      <w:r w:rsidRPr="009B0448">
        <w:rPr>
          <w:rFonts w:ascii="Times New Roman" w:eastAsia="Times New Roman" w:hAnsi="Times New Roman" w:cs="Times New Roman"/>
          <w:color w:val="00000A"/>
        </w:rPr>
        <w:t xml:space="preserve">, 1–29. </w:t>
      </w:r>
      <w:hyperlink r:id="rId215" w:history="1">
        <w:r w:rsidRPr="009B0448">
          <w:rPr>
            <w:rStyle w:val="Hyperlink"/>
            <w:rFonts w:ascii="Times New Roman" w:eastAsia="Times New Roman" w:hAnsi="Times New Roman" w:cs="Times New Roman"/>
          </w:rPr>
          <w:t>https://doi.org/10.3897/natureconservation.6.5407</w:t>
        </w:r>
      </w:hyperlink>
    </w:p>
    <w:p w14:paraId="1B6E8A46"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Kilroy, G. (2015). A review of the biophysical impacts of climate change in three hotspot regions in Africa and Asia. </w:t>
      </w:r>
      <w:r w:rsidRPr="009B0448">
        <w:rPr>
          <w:rFonts w:ascii="Times New Roman" w:eastAsia="Times New Roman" w:hAnsi="Times New Roman" w:cs="Times New Roman"/>
          <w:i/>
          <w:color w:val="00000A"/>
        </w:rPr>
        <w:t>Regional Environmental Change, 15</w:t>
      </w:r>
      <w:r w:rsidRPr="009B0448">
        <w:rPr>
          <w:rFonts w:ascii="Times New Roman" w:eastAsia="Times New Roman" w:hAnsi="Times New Roman" w:cs="Times New Roman"/>
          <w:color w:val="00000A"/>
        </w:rPr>
        <w:t xml:space="preserve">(5), 771–782. </w:t>
      </w:r>
      <w:hyperlink r:id="rId216" w:history="1">
        <w:r w:rsidRPr="009B0448">
          <w:rPr>
            <w:rStyle w:val="Hyperlink"/>
            <w:rFonts w:ascii="Times New Roman" w:eastAsia="Times New Roman" w:hAnsi="Times New Roman" w:cs="Times New Roman"/>
          </w:rPr>
          <w:t>https://doi.org/10.1007/s10113-014-0709-6</w:t>
        </w:r>
      </w:hyperlink>
    </w:p>
    <w:p w14:paraId="7ABB4F75" w14:textId="09451E41"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Kremen, C. (2005). Managing ecosystem services: what do we need to know about their ecology? </w:t>
      </w:r>
      <w:r w:rsidRPr="009B0448">
        <w:rPr>
          <w:rFonts w:ascii="Times New Roman" w:eastAsia="Times New Roman" w:hAnsi="Times New Roman" w:cs="Times New Roman"/>
          <w:i/>
          <w:color w:val="00000A"/>
        </w:rPr>
        <w:t>Ecology Letters, 8</w:t>
      </w:r>
      <w:r w:rsidRPr="009B0448">
        <w:rPr>
          <w:rFonts w:ascii="Times New Roman" w:eastAsia="Times New Roman" w:hAnsi="Times New Roman" w:cs="Times New Roman"/>
          <w:color w:val="00000A"/>
        </w:rPr>
        <w:t xml:space="preserve">(5), 468–479. </w:t>
      </w:r>
      <w:hyperlink r:id="rId217" w:history="1">
        <w:r w:rsidRPr="009B0448">
          <w:rPr>
            <w:rStyle w:val="Hyperlink"/>
            <w:rFonts w:ascii="Times New Roman" w:eastAsia="Times New Roman" w:hAnsi="Times New Roman" w:cs="Times New Roman"/>
          </w:rPr>
          <w:t>https://doi.org/10.1111/j.1461-0248.2005.00751.x</w:t>
        </w:r>
      </w:hyperlink>
    </w:p>
    <w:p w14:paraId="7EE425E6" w14:textId="77AFBBCB"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Kristjanson, P., Mango, N., Krishna, A., Radeny, M., &amp; Johnson, N. (2010).Understanding poverty dynamics in Kenya.</w:t>
      </w:r>
      <w:r w:rsidR="00607CCD"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Journal of International Development, 22</w:t>
      </w:r>
      <w:r w:rsidRPr="009B0448">
        <w:rPr>
          <w:rFonts w:ascii="Times New Roman" w:eastAsia="Times New Roman" w:hAnsi="Times New Roman" w:cs="Times New Roman"/>
          <w:color w:val="00000A"/>
        </w:rPr>
        <w:t xml:space="preserve">(7), 978–996. </w:t>
      </w:r>
      <w:hyperlink r:id="rId218" w:history="1">
        <w:r w:rsidRPr="009B0448">
          <w:rPr>
            <w:rStyle w:val="Hyperlink"/>
            <w:rFonts w:ascii="Times New Roman" w:eastAsia="Times New Roman" w:hAnsi="Times New Roman" w:cs="Times New Roman"/>
          </w:rPr>
          <w:t>https://doi.org/10.1002/jid.1598</w:t>
        </w:r>
      </w:hyperlink>
    </w:p>
    <w:p w14:paraId="118EE610"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Kusters, K. (2015). </w:t>
      </w:r>
      <w:r w:rsidRPr="009B0448">
        <w:rPr>
          <w:rFonts w:ascii="Times New Roman" w:eastAsia="Times New Roman" w:hAnsi="Times New Roman" w:cs="Times New Roman"/>
          <w:i/>
          <w:color w:val="00000A"/>
        </w:rPr>
        <w:t>Climate-smart landscapes and the landscape approach – An exploration of the concepts and their practical implications</w:t>
      </w:r>
      <w:r w:rsidRPr="009B0448">
        <w:rPr>
          <w:rFonts w:ascii="Times New Roman" w:eastAsia="Times New Roman" w:hAnsi="Times New Roman" w:cs="Times New Roman"/>
          <w:color w:val="00000A"/>
        </w:rPr>
        <w:t xml:space="preserve">. Wageningen, the Netherlands: Tropenbos International. Retrieved from </w:t>
      </w:r>
      <w:hyperlink r:id="rId219" w:history="1">
        <w:r w:rsidRPr="009B0448">
          <w:rPr>
            <w:rStyle w:val="Hyperlink"/>
            <w:rFonts w:ascii="Times New Roman" w:eastAsia="Times New Roman" w:hAnsi="Times New Roman" w:cs="Times New Roman"/>
          </w:rPr>
          <w:t>http://www.tropenbos.org/news/climate-smart+landscapes+and+the+landscape+approach+%E2%80%93+an+exploration+of+the+concepts+and+their+practical+implications</w:t>
        </w:r>
      </w:hyperlink>
    </w:p>
    <w:p w14:paraId="321CB0E1" w14:textId="35A2EE4F"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Langholz, J.</w:t>
      </w:r>
      <w:r w:rsidR="00F1078A" w:rsidRPr="009B0448">
        <w:rPr>
          <w:rFonts w:ascii="Times New Roman" w:eastAsia="Times New Roman" w:hAnsi="Times New Roman" w:cs="Times New Roman"/>
          <w:color w:val="00000A"/>
          <w:lang w:val="de-DE"/>
        </w:rPr>
        <w:t xml:space="preserve"> </w:t>
      </w:r>
      <w:r w:rsidRPr="009B0448">
        <w:rPr>
          <w:rFonts w:ascii="Times New Roman" w:eastAsia="Times New Roman" w:hAnsi="Times New Roman" w:cs="Times New Roman"/>
          <w:color w:val="00000A"/>
          <w:lang w:val="de-DE"/>
        </w:rPr>
        <w:t xml:space="preserve">A., &amp; Krug, W. (2004). </w:t>
      </w:r>
      <w:r w:rsidRPr="009B0448">
        <w:rPr>
          <w:rFonts w:ascii="Times New Roman" w:eastAsia="Times New Roman" w:hAnsi="Times New Roman" w:cs="Times New Roman"/>
          <w:color w:val="00000A"/>
        </w:rPr>
        <w:t xml:space="preserve">New forms of biodiversity governance: Non-state actors and the private protected area action plan. </w:t>
      </w:r>
      <w:r w:rsidRPr="009B0448">
        <w:rPr>
          <w:rFonts w:ascii="Times New Roman" w:eastAsia="Times New Roman" w:hAnsi="Times New Roman" w:cs="Times New Roman"/>
          <w:i/>
          <w:color w:val="00000A"/>
        </w:rPr>
        <w:t>Journal of International</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Wildlife Law &amp; Policy, 7</w:t>
      </w:r>
      <w:r w:rsidR="00F1078A" w:rsidRPr="009B0448">
        <w:rPr>
          <w:rFonts w:ascii="Times New Roman" w:eastAsia="Times New Roman" w:hAnsi="Times New Roman" w:cs="Times New Roman"/>
          <w:i/>
          <w:color w:val="00000A"/>
        </w:rPr>
        <w:t>,</w:t>
      </w:r>
      <w:r w:rsidRPr="009B0448">
        <w:rPr>
          <w:rFonts w:ascii="Times New Roman" w:eastAsia="Times New Roman" w:hAnsi="Times New Roman" w:cs="Times New Roman"/>
          <w:color w:val="00000A"/>
        </w:rPr>
        <w:t xml:space="preserve"> (1–2), 9–29.</w:t>
      </w:r>
      <w:r w:rsidR="00607CCD" w:rsidRPr="009B0448">
        <w:rPr>
          <w:rFonts w:ascii="Times New Roman" w:eastAsia="Times New Roman" w:hAnsi="Times New Roman" w:cs="Times New Roman"/>
          <w:color w:val="00000A"/>
        </w:rPr>
        <w:t xml:space="preserve"> </w:t>
      </w:r>
      <w:hyperlink r:id="rId220" w:history="1">
        <w:r w:rsidR="00607CCD" w:rsidRPr="009B0448">
          <w:rPr>
            <w:rStyle w:val="Hyperlink"/>
            <w:rFonts w:ascii="Times New Roman" w:eastAsia="Times New Roman" w:hAnsi="Times New Roman" w:cs="Times New Roman"/>
          </w:rPr>
          <w:t>https://doi.org/10.1080/13880290490480112</w:t>
        </w:r>
      </w:hyperlink>
    </w:p>
    <w:p w14:paraId="11BA8301" w14:textId="127DF49B"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Larcom, S., van Gevelt, T., &amp; Zabala, A. (2016). Pre-colonial institutions and deforestation in Africa.</w:t>
      </w:r>
      <w:r w:rsidR="00607CCD"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Land Use Policy, 51</w:t>
      </w:r>
      <w:r w:rsidRPr="009B0448">
        <w:rPr>
          <w:rFonts w:ascii="Times New Roman" w:eastAsia="Times New Roman" w:hAnsi="Times New Roman" w:cs="Times New Roman"/>
          <w:color w:val="00000A"/>
        </w:rPr>
        <w:t xml:space="preserve">, 150–161. </w:t>
      </w:r>
      <w:hyperlink r:id="rId221" w:history="1">
        <w:r w:rsidRPr="009B0448">
          <w:rPr>
            <w:rStyle w:val="Hyperlink"/>
            <w:rFonts w:ascii="Times New Roman" w:eastAsia="Times New Roman" w:hAnsi="Times New Roman" w:cs="Times New Roman"/>
          </w:rPr>
          <w:t>https://doi.org/10.1016/j.landusepol.2015.10.030</w:t>
        </w:r>
      </w:hyperlink>
    </w:p>
    <w:p w14:paraId="3B4079FB" w14:textId="7E8125DD"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Laurance, W. F., Sloan, S., Weng, L., &amp; Sayer, J. A. (2015).</w:t>
      </w:r>
      <w:r w:rsidR="00607CCD"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Estimating </w:t>
      </w:r>
      <w:r w:rsidR="00607CCD" w:rsidRPr="009B0448">
        <w:rPr>
          <w:rFonts w:ascii="Times New Roman" w:eastAsia="Times New Roman" w:hAnsi="Times New Roman" w:cs="Times New Roman"/>
          <w:color w:val="00000A"/>
        </w:rPr>
        <w:t>the environmental costs of Africa’s massive ‘development corridor</w:t>
      </w:r>
      <w:r w:rsidRPr="009B0448">
        <w:rPr>
          <w:rFonts w:ascii="Times New Roman" w:eastAsia="Times New Roman" w:hAnsi="Times New Roman" w:cs="Times New Roman"/>
          <w:color w:val="00000A"/>
        </w:rPr>
        <w:t>s’.</w:t>
      </w:r>
      <w:r w:rsidR="00607CCD"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Current Biology, 25</w:t>
      </w:r>
      <w:r w:rsidRPr="009B0448">
        <w:rPr>
          <w:rFonts w:ascii="Times New Roman" w:eastAsia="Times New Roman" w:hAnsi="Times New Roman" w:cs="Times New Roman"/>
          <w:color w:val="00000A"/>
        </w:rPr>
        <w:t xml:space="preserve">(24), 3202–3208. </w:t>
      </w:r>
      <w:hyperlink r:id="rId222" w:history="1">
        <w:r w:rsidRPr="009B0448">
          <w:rPr>
            <w:rStyle w:val="Hyperlink"/>
            <w:rFonts w:ascii="Times New Roman" w:eastAsia="Times New Roman" w:hAnsi="Times New Roman" w:cs="Times New Roman"/>
          </w:rPr>
          <w:t>https://doi.org/10.1016/j.cub.2015.10.046</w:t>
        </w:r>
      </w:hyperlink>
    </w:p>
    <w:p w14:paraId="33946A00" w14:textId="3EA5BAB4"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Le Manach, F., &amp; Pauly, D. (Eds.). (2015). </w:t>
      </w:r>
      <w:r w:rsidRPr="009B0448">
        <w:rPr>
          <w:rFonts w:ascii="Times New Roman" w:eastAsia="Times New Roman" w:hAnsi="Times New Roman" w:cs="Times New Roman"/>
          <w:i/>
          <w:color w:val="00000A"/>
        </w:rPr>
        <w:t xml:space="preserve">Fisheries </w:t>
      </w:r>
      <w:r w:rsidR="00607CCD" w:rsidRPr="009B0448">
        <w:rPr>
          <w:rFonts w:ascii="Times New Roman" w:eastAsia="Times New Roman" w:hAnsi="Times New Roman" w:cs="Times New Roman"/>
          <w:i/>
          <w:color w:val="00000A"/>
        </w:rPr>
        <w:t xml:space="preserve">catch reconstructions </w:t>
      </w:r>
      <w:r w:rsidRPr="009B0448">
        <w:rPr>
          <w:rFonts w:ascii="Times New Roman" w:eastAsia="Times New Roman" w:hAnsi="Times New Roman" w:cs="Times New Roman"/>
          <w:i/>
          <w:color w:val="00000A"/>
        </w:rPr>
        <w:t xml:space="preserve">in the Western Indian Ocean, 1950–2010. </w:t>
      </w:r>
      <w:r w:rsidRPr="009B0448">
        <w:rPr>
          <w:rFonts w:ascii="Times New Roman" w:eastAsia="Times New Roman" w:hAnsi="Times New Roman" w:cs="Times New Roman"/>
          <w:color w:val="00000A"/>
        </w:rPr>
        <w:t>Vancouver, B.C., Canada: Fisheries Centre, University of British Columbia.</w:t>
      </w:r>
      <w:r w:rsidR="00607CCD" w:rsidRPr="009B0448">
        <w:rPr>
          <w:rFonts w:ascii="Times New Roman" w:eastAsia="Times New Roman" w:hAnsi="Times New Roman" w:cs="Times New Roman"/>
          <w:color w:val="00000A"/>
        </w:rPr>
        <w:t xml:space="preserve"> Retrieved from </w:t>
      </w:r>
      <w:hyperlink r:id="rId223" w:history="1">
        <w:r w:rsidR="00607CCD" w:rsidRPr="009B0448">
          <w:rPr>
            <w:rStyle w:val="Hyperlink"/>
            <w:rFonts w:ascii="Times New Roman" w:eastAsia="Times New Roman" w:hAnsi="Times New Roman" w:cs="Times New Roman"/>
          </w:rPr>
          <w:t>https://open.library.ubc.ca/media/download/pdf/52383/1.0354315/5</w:t>
        </w:r>
      </w:hyperlink>
    </w:p>
    <w:p w14:paraId="5FB35757" w14:textId="76F86BE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Le Manach, F., Gough, C., Harris, A., Humber, F., Harper, S., &amp; Zeller, D. (2012). Unreported fishing, hungry people and political turmoil: the recipe for a food security crisis in Madagascar? </w:t>
      </w:r>
      <w:r w:rsidRPr="009B0448">
        <w:rPr>
          <w:rFonts w:ascii="Times New Roman" w:eastAsia="Times New Roman" w:hAnsi="Times New Roman" w:cs="Times New Roman"/>
          <w:i/>
          <w:color w:val="00000A"/>
        </w:rPr>
        <w:t>Marine Policy, 36</w:t>
      </w:r>
      <w:r w:rsidRPr="009B0448">
        <w:rPr>
          <w:rFonts w:ascii="Times New Roman" w:eastAsia="Times New Roman" w:hAnsi="Times New Roman" w:cs="Times New Roman"/>
          <w:color w:val="00000A"/>
        </w:rPr>
        <w:t xml:space="preserve">(1), 218–225. </w:t>
      </w:r>
      <w:hyperlink r:id="rId224" w:history="1">
        <w:r w:rsidRPr="009B0448">
          <w:rPr>
            <w:rStyle w:val="Hyperlink"/>
            <w:rFonts w:ascii="Times New Roman" w:eastAsia="Times New Roman" w:hAnsi="Times New Roman" w:cs="Times New Roman"/>
          </w:rPr>
          <w:t>https://doi.org/10.1016/j.marpol.2011.05.007</w:t>
        </w:r>
      </w:hyperlink>
    </w:p>
    <w:p w14:paraId="7E2AA089" w14:textId="33502E99"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Leadley, P., &amp; Le Page, C. (2013).</w:t>
      </w:r>
      <w:r w:rsidR="00607CCD"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 xml:space="preserve">Panorama de la recherche sur les scénarios de la biodiversité en Afrique. </w:t>
      </w:r>
      <w:r w:rsidRPr="009B0448">
        <w:rPr>
          <w:rFonts w:ascii="Times New Roman" w:eastAsia="Times New Roman" w:hAnsi="Times New Roman" w:cs="Times New Roman"/>
          <w:color w:val="00000A"/>
        </w:rPr>
        <w:t>Oral communication presented at the Atelier régional “Scénarios de la biodiversité africaine,” Libreville, Gabon.</w:t>
      </w:r>
    </w:p>
    <w:p w14:paraId="445D923E" w14:textId="08FAD61D"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Lee, J. S. H., Garcia-Ulloa, J., &amp; Koh, L. P. (2011). </w:t>
      </w:r>
      <w:r w:rsidRPr="009B0448">
        <w:rPr>
          <w:rFonts w:ascii="Times New Roman" w:eastAsia="Times New Roman" w:hAnsi="Times New Roman" w:cs="Times New Roman"/>
          <w:color w:val="00000A"/>
        </w:rPr>
        <w:t>Impacts of</w:t>
      </w:r>
      <w:r w:rsidR="00607CCD" w:rsidRPr="009B0448">
        <w:rPr>
          <w:rFonts w:ascii="Times New Roman" w:eastAsia="Times New Roman" w:hAnsi="Times New Roman" w:cs="Times New Roman"/>
          <w:color w:val="00000A"/>
        </w:rPr>
        <w:t xml:space="preserve"> biofuel expansion in biodiversity hotspo</w:t>
      </w:r>
      <w:r w:rsidRPr="009B0448">
        <w:rPr>
          <w:rFonts w:ascii="Times New Roman" w:eastAsia="Times New Roman" w:hAnsi="Times New Roman" w:cs="Times New Roman"/>
          <w:color w:val="00000A"/>
        </w:rPr>
        <w:t xml:space="preserve">ts. </w:t>
      </w:r>
      <w:r w:rsidRPr="009B0448">
        <w:rPr>
          <w:rFonts w:ascii="Times New Roman" w:eastAsia="Times New Roman" w:hAnsi="Times New Roman" w:cs="Times New Roman"/>
          <w:color w:val="00000A"/>
          <w:lang w:val="de-DE"/>
        </w:rPr>
        <w:t>In F. E. Zachos</w:t>
      </w:r>
      <w:r w:rsidR="00607CCD" w:rsidRPr="009B0448">
        <w:rPr>
          <w:rFonts w:ascii="Times New Roman" w:eastAsia="Times New Roman" w:hAnsi="Times New Roman" w:cs="Times New Roman"/>
          <w:color w:val="00000A"/>
          <w:lang w:val="de-DE"/>
        </w:rPr>
        <w:t>, &amp; J. C. Habel (E</w:t>
      </w:r>
      <w:r w:rsidRPr="009B0448">
        <w:rPr>
          <w:rFonts w:ascii="Times New Roman" w:eastAsia="Times New Roman" w:hAnsi="Times New Roman" w:cs="Times New Roman"/>
          <w:color w:val="00000A"/>
          <w:lang w:val="de-DE"/>
        </w:rPr>
        <w:t>d</w:t>
      </w:r>
      <w:r w:rsidR="00607CCD" w:rsidRPr="009B0448">
        <w:rPr>
          <w:rFonts w:ascii="Times New Roman" w:eastAsia="Times New Roman" w:hAnsi="Times New Roman" w:cs="Times New Roman"/>
          <w:color w:val="00000A"/>
          <w:lang w:val="de-DE"/>
        </w:rPr>
        <w:t>s</w:t>
      </w:r>
      <w:r w:rsidRPr="009B0448">
        <w:rPr>
          <w:rFonts w:ascii="Times New Roman" w:eastAsia="Times New Roman" w:hAnsi="Times New Roman" w:cs="Times New Roman"/>
          <w:color w:val="00000A"/>
          <w:lang w:val="de-DE"/>
        </w:rPr>
        <w:t xml:space="preserve">.), </w:t>
      </w:r>
      <w:r w:rsidRPr="009B0448">
        <w:rPr>
          <w:rFonts w:ascii="Times New Roman" w:eastAsia="Times New Roman" w:hAnsi="Times New Roman" w:cs="Times New Roman"/>
          <w:i/>
          <w:color w:val="00000A"/>
          <w:lang w:val="de-DE"/>
        </w:rPr>
        <w:t xml:space="preserve">Biodiversity Hotspots </w:t>
      </w:r>
      <w:r w:rsidRPr="009B0448">
        <w:rPr>
          <w:rFonts w:ascii="Times New Roman" w:eastAsia="Times New Roman" w:hAnsi="Times New Roman" w:cs="Times New Roman"/>
          <w:color w:val="00000A"/>
          <w:lang w:val="de-DE"/>
        </w:rPr>
        <w:t>(p. 277</w:t>
      </w:r>
      <w:r w:rsidRPr="009B0448">
        <w:rPr>
          <w:rFonts w:ascii="MS Mincho" w:eastAsia="MS Mincho" w:hAnsi="MS Mincho" w:cs="MS Mincho" w:hint="eastAsia"/>
          <w:color w:val="00000A"/>
          <w:lang w:val="de-DE"/>
        </w:rPr>
        <w:t>‑</w:t>
      </w:r>
      <w:r w:rsidRPr="009B0448">
        <w:rPr>
          <w:rFonts w:ascii="Times New Roman" w:eastAsia="Times New Roman" w:hAnsi="Times New Roman" w:cs="Times New Roman"/>
          <w:color w:val="00000A"/>
          <w:lang w:val="de-DE"/>
        </w:rPr>
        <w:t xml:space="preserve">293). </w:t>
      </w:r>
      <w:r w:rsidR="00607CCD" w:rsidRPr="009B0448">
        <w:rPr>
          <w:rFonts w:ascii="Times New Roman" w:eastAsia="Times New Roman" w:hAnsi="Times New Roman" w:cs="Times New Roman"/>
          <w:color w:val="00000A"/>
          <w:lang w:val="de-DE"/>
        </w:rPr>
        <w:t xml:space="preserve">Berlin Heidelberg, Germany: </w:t>
      </w:r>
      <w:r w:rsidRPr="009B0448">
        <w:rPr>
          <w:rFonts w:ascii="Times New Roman" w:eastAsia="Times New Roman" w:hAnsi="Times New Roman" w:cs="Times New Roman"/>
          <w:color w:val="00000A"/>
          <w:lang w:val="de-DE"/>
        </w:rPr>
        <w:t xml:space="preserve">Springer. </w:t>
      </w:r>
      <w:r w:rsidRPr="009B0448">
        <w:rPr>
          <w:rFonts w:ascii="Times New Roman" w:eastAsia="Times New Roman" w:hAnsi="Times New Roman" w:cs="Times New Roman"/>
          <w:color w:val="00000A"/>
        </w:rPr>
        <w:t xml:space="preserve">Retrieved from </w:t>
      </w:r>
      <w:hyperlink r:id="rId225" w:history="1">
        <w:r w:rsidRPr="009B0448">
          <w:rPr>
            <w:rStyle w:val="Hyperlink"/>
            <w:rFonts w:ascii="Times New Roman" w:eastAsia="Times New Roman" w:hAnsi="Times New Roman" w:cs="Times New Roman"/>
          </w:rPr>
          <w:t>http://link.springer.com/chapter/10.1007/978-3-642-20992-5_15</w:t>
        </w:r>
      </w:hyperlink>
    </w:p>
    <w:p w14:paraId="54C032B5" w14:textId="7C60B5AB"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Lim, S. S., Vos, T., Flaxman, A. D., Danaei, G., Shibuya, K., Adair-Rohani, H., </w:t>
      </w:r>
      <w:r w:rsidR="00134408" w:rsidRPr="009B0448">
        <w:rPr>
          <w:rFonts w:ascii="Times New Roman" w:eastAsia="Times New Roman" w:hAnsi="Times New Roman" w:cs="Times New Roman"/>
          <w:color w:val="00000A"/>
        </w:rPr>
        <w:t xml:space="preserve">Amann, M., Anderson, H. R., Andrews, K. G., Aryee, M., Atkinson, C., Bacchus, L. J., Bahalim, A. N., Balakrishnan, K., Balmes, J., Barker-Collo, S., Baxter, A., Bell, M. L., Blore, J. D., Blyth, F., Bonner, C., Borges, G., Bourne, R., Boussinesq, M., Brauer, M., Brooks, P., Bruce, N. G., Brunekreef, B., Bryan-Hancock, C., Bucello, C., Buchbinder, R., Bull F., Burnett, R. T., Byers, T. E., Calabria, B., Carapetis, J., Carnahan E., Chafe, Z., Charlson, F., Chen, H., Chen, J. S., Cheng, A. T., Child, J. C., Cohen, A., Colson, K. E., Cowie, B. C., Darby, S., Darling, S., Davis, A., Degenhardt, L., Dentener, F., Des Jarlais, D. C., Devries, K., Dherani, M., Ding, E. L., Dorsey, E. R., Driscoll, T., Edmond, K., Ali, S. E., Engell, R. E., Erwin, P. J., Fahimi, S., Falder G., Farzadfar, F., Ferrari, A., Finucane, M. M., Flaxman, S., Fowkes, F. G., Freedman, G., Freeman M. K., Gakidou, E., Ghosh, S., Giovannucci, E., Gmel, G., Graham, K., Grainger, R., Grant, B., Gunnell, D., Gutierrez, H. R., Hall, W., Hoek, H. W., Hogan, A., Hosgood 3rd, H. D., Hoy, D., Hu, H., Hubbell, B. J., Hutchings, S. J., Ibeanusi, S. E., Jacklyn, G. L., Jasrasaria, R., Jonas, J. B., Kan, H., Kanis, J. A., Kassebaum, N., Kawakami N., Khang, Y. H., Khatibzadeh, S., Khoo, J. P., Kok, C., Laden, F., Lalloo, R., Lan, Q., Lathlean, T., Leasher, J. L., Leigh, J, Li Y., Lin, J. K., Lipshultz, S. E., London S., Lozano, R., Lu, Y., Mak, J., Malekzadeh R., Mallinger, L., Marcenes, W., March, L., Marks, R., Martin, R., McGale, .P, McGrath, J., Mehta, S., Mensah, G. A., Merriman, T. R., Micha, R., Michaud, C., Mishra, V., Mohd Hanafiah, K., Mokdad, A. A., Morawska, L., Mozaffarian, D., Murphy, T., Naghavi, M., Neal, B., Nelson, P. K., Nolla, J. M., Norman, R., Olives, C., Omer, S. B., Orchard J., Osborne, R., Ostro, B., Page, A., Pandey, K. D., Parry, C. D., Passmore, E., Patra, J., Pearce, N., Pelizzari, P. M., Petzold, M., Phillips, M. R., Pope, D., Pope 3rd , C. A., Powles, J., Rao, M., Razavi, H., Rehfuess E. A., Rehm, J. T., Ritz, B., Rivara, F. P., Roberts, T., Robinson, C., Rodriguez-Portales, J. A., Romieu, I., Room, R., Rosenfeld, L. C., Roy, A., Rushton L., Salomon J. A., Sampson, U., Sanchez-Riera, L., Sanman, E., Sapkota, A., Seeda, S., Shi, P., Shield, K., Shivakoti, R., Singh, G. M., Sleet, D. A., Smith, E., Smith, K. R., Stapelberg, N .J., Steenland, K., Stöckl, H., Stovner, L. J., Straif, K., Straney, L., Thurston, G. D., Tran, J. H., </w:t>
      </w:r>
      <w:r w:rsidR="00134408" w:rsidRPr="009B0448">
        <w:rPr>
          <w:rFonts w:ascii="Times New Roman" w:eastAsia="Times New Roman" w:hAnsi="Times New Roman" w:cs="Times New Roman"/>
          <w:color w:val="00000A"/>
        </w:rPr>
        <w:lastRenderedPageBreak/>
        <w:t>Van Dingenen, R., van Donkelaar, A., Veerman, J. L., Vijayakumar, L., Weintraub, R., Weissman, M. M., White, R. A., Whiteford, H., Wiersma, S. T., Wilkinson, J. D., Williams, H. C., Williams, W., Wilson, N., Woolf, A. D., Yip, P., Zielinski, J. M., Lopez, A. D., Murray, C. J., Ezzati, M., Al</w:t>
      </w:r>
      <w:r w:rsidR="00DA31DC" w:rsidRPr="009B0448">
        <w:rPr>
          <w:rFonts w:ascii="Times New Roman" w:eastAsia="Times New Roman" w:hAnsi="Times New Roman" w:cs="Times New Roman"/>
          <w:color w:val="00000A"/>
        </w:rPr>
        <w:t xml:space="preserve"> </w:t>
      </w:r>
      <w:r w:rsidR="00134408" w:rsidRPr="009B0448">
        <w:rPr>
          <w:rFonts w:ascii="Times New Roman" w:eastAsia="Times New Roman" w:hAnsi="Times New Roman" w:cs="Times New Roman"/>
          <w:color w:val="00000A"/>
        </w:rPr>
        <w:t>Mazroa, M. A., Memish, Z. A</w:t>
      </w:r>
      <w:r w:rsidRPr="009B0448">
        <w:rPr>
          <w:rFonts w:ascii="Times New Roman" w:eastAsia="Times New Roman" w:hAnsi="Times New Roman" w:cs="Times New Roman"/>
          <w:color w:val="00000A"/>
        </w:rPr>
        <w:t xml:space="preserve">. (2012). A comparative risk assessment of burden of disease and injury attributable to 67 risk factors and risk factor clusters in 21 regions, 1990–2010: </w:t>
      </w:r>
      <w:r w:rsidR="00607CCD" w:rsidRPr="009B0448">
        <w:rPr>
          <w:rFonts w:ascii="Times New Roman" w:eastAsia="Times New Roman" w:hAnsi="Times New Roman" w:cs="Times New Roman"/>
          <w:color w:val="00000A"/>
        </w:rPr>
        <w:t>A</w:t>
      </w:r>
      <w:r w:rsidRPr="009B0448">
        <w:rPr>
          <w:rFonts w:ascii="Times New Roman" w:eastAsia="Times New Roman" w:hAnsi="Times New Roman" w:cs="Times New Roman"/>
          <w:color w:val="00000A"/>
        </w:rPr>
        <w:t xml:space="preserve"> systematic analysis for the Global Burden of Disease Study 2010. </w:t>
      </w:r>
      <w:r w:rsidRPr="009B0448">
        <w:rPr>
          <w:rFonts w:ascii="Times New Roman" w:eastAsia="Times New Roman" w:hAnsi="Times New Roman" w:cs="Times New Roman"/>
          <w:i/>
          <w:color w:val="00000A"/>
        </w:rPr>
        <w:t>The Lancet, 3</w:t>
      </w:r>
      <w:r w:rsidRPr="009B0448">
        <w:rPr>
          <w:rFonts w:ascii="Times New Roman" w:eastAsia="Times New Roman" w:hAnsi="Times New Roman" w:cs="Times New Roman"/>
          <w:color w:val="00000A"/>
        </w:rPr>
        <w:t xml:space="preserve">80(9859), 2224–2260. </w:t>
      </w:r>
      <w:hyperlink r:id="rId226" w:history="1">
        <w:r w:rsidRPr="009B0448">
          <w:rPr>
            <w:rStyle w:val="Hyperlink"/>
            <w:rFonts w:ascii="Times New Roman" w:eastAsia="Times New Roman" w:hAnsi="Times New Roman" w:cs="Times New Roman"/>
          </w:rPr>
          <w:t>https://doi.org/10.1016/S0140-6736(12)61766-8</w:t>
        </w:r>
      </w:hyperlink>
    </w:p>
    <w:p w14:paraId="6C662FF4" w14:textId="60D0F16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Linder, H. P. (2014). The evolution of African plant diversity. </w:t>
      </w:r>
      <w:r w:rsidRPr="009B0448">
        <w:rPr>
          <w:rFonts w:ascii="Times New Roman" w:eastAsia="Times New Roman" w:hAnsi="Times New Roman" w:cs="Times New Roman"/>
          <w:i/>
          <w:color w:val="00000A"/>
        </w:rPr>
        <w:t>Evolutionary and Population Genetics, 2</w:t>
      </w:r>
      <w:r w:rsidRPr="009B0448">
        <w:rPr>
          <w:rFonts w:ascii="Times New Roman" w:eastAsia="Times New Roman" w:hAnsi="Times New Roman" w:cs="Times New Roman"/>
          <w:color w:val="00000A"/>
        </w:rPr>
        <w:t xml:space="preserve">, 38. </w:t>
      </w:r>
      <w:hyperlink r:id="rId227" w:history="1">
        <w:r w:rsidRPr="009B0448">
          <w:rPr>
            <w:rStyle w:val="Hyperlink"/>
            <w:rFonts w:ascii="Times New Roman" w:eastAsia="Times New Roman" w:hAnsi="Times New Roman" w:cs="Times New Roman"/>
          </w:rPr>
          <w:t>https://doi.org/10.3389/fevo.2014.00038</w:t>
        </w:r>
      </w:hyperlink>
    </w:p>
    <w:p w14:paraId="274A9A8E" w14:textId="3E09A528"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Lindley, S. J., Gill, S. E., Cavan, G., Yeshitela, K., Nebebe, A., Woldegerima, T., </w:t>
      </w:r>
      <w:r w:rsidR="006E0F08" w:rsidRPr="009B0448">
        <w:rPr>
          <w:rFonts w:ascii="Times New Roman" w:eastAsia="Times New Roman" w:hAnsi="Times New Roman" w:cs="Times New Roman"/>
          <w:color w:val="00000A"/>
          <w:lang w:val="de-DE"/>
        </w:rPr>
        <w:t>Kibassa, D., Shemdoe, R., Renner, F., Buchta, K., Abo-El-Wafa, H., Printz, A., Sall, F., Coly, A., Ndour, N. M., Feumba, R. A., Zogning, M. O. M., Tonyé, E., Ouédraogo, Y., Samari, S. B., &amp;</w:t>
      </w:r>
      <w:r w:rsidRPr="009B0448">
        <w:rPr>
          <w:rFonts w:ascii="Times New Roman" w:eastAsia="Times New Roman" w:hAnsi="Times New Roman" w:cs="Times New Roman"/>
          <w:color w:val="00000A"/>
          <w:lang w:val="de-DE"/>
        </w:rPr>
        <w:t xml:space="preserve"> Sankara, B. T. (2015). </w:t>
      </w:r>
      <w:r w:rsidRPr="009B0448">
        <w:rPr>
          <w:rFonts w:ascii="Times New Roman" w:eastAsia="Times New Roman" w:hAnsi="Times New Roman" w:cs="Times New Roman"/>
          <w:color w:val="00000A"/>
        </w:rPr>
        <w:t xml:space="preserve">Green </w:t>
      </w:r>
      <w:r w:rsidR="006E0F08" w:rsidRPr="009B0448">
        <w:rPr>
          <w:rFonts w:ascii="Times New Roman" w:eastAsia="Times New Roman" w:hAnsi="Times New Roman" w:cs="Times New Roman"/>
          <w:color w:val="00000A"/>
        </w:rPr>
        <w:t xml:space="preserve">infrastructure for climate adaptation </w:t>
      </w:r>
      <w:r w:rsidRPr="009B0448">
        <w:rPr>
          <w:rFonts w:ascii="Times New Roman" w:eastAsia="Times New Roman" w:hAnsi="Times New Roman" w:cs="Times New Roman"/>
          <w:color w:val="00000A"/>
        </w:rPr>
        <w:t xml:space="preserve">in African </w:t>
      </w:r>
      <w:r w:rsidR="006E0F08" w:rsidRPr="009B0448">
        <w:rPr>
          <w:rFonts w:ascii="Times New Roman" w:eastAsia="Times New Roman" w:hAnsi="Times New Roman" w:cs="Times New Roman"/>
          <w:color w:val="00000A"/>
        </w:rPr>
        <w:t>citi</w:t>
      </w:r>
      <w:r w:rsidRPr="009B0448">
        <w:rPr>
          <w:rFonts w:ascii="Times New Roman" w:eastAsia="Times New Roman" w:hAnsi="Times New Roman" w:cs="Times New Roman"/>
          <w:color w:val="00000A"/>
        </w:rPr>
        <w:t xml:space="preserve">es. In S. Pauleit, A. Coly, S. Fohlmeister, P. Gasparini, G. Jørgensen, S. Kabisch, </w:t>
      </w:r>
      <w:r w:rsidR="006E0F08" w:rsidRPr="009B0448">
        <w:rPr>
          <w:rFonts w:ascii="Times New Roman" w:eastAsia="Times New Roman" w:hAnsi="Times New Roman" w:cs="Times New Roman"/>
          <w:color w:val="00000A"/>
        </w:rPr>
        <w:t xml:space="preserve">W. J. Kombe, S. Lindley, I. Simonis, &amp; </w:t>
      </w:r>
      <w:r w:rsidRPr="009B0448">
        <w:rPr>
          <w:rFonts w:ascii="Times New Roman" w:eastAsia="Times New Roman" w:hAnsi="Times New Roman" w:cs="Times New Roman"/>
          <w:color w:val="00000A"/>
        </w:rPr>
        <w:t xml:space="preserve">K. Yeshitela (Eds.), </w:t>
      </w:r>
      <w:r w:rsidRPr="009B0448">
        <w:rPr>
          <w:rFonts w:ascii="Times New Roman" w:eastAsia="Times New Roman" w:hAnsi="Times New Roman" w:cs="Times New Roman"/>
          <w:i/>
          <w:color w:val="00000A"/>
        </w:rPr>
        <w:t xml:space="preserve">Urban </w:t>
      </w:r>
      <w:r w:rsidR="006E0F08" w:rsidRPr="009B0448">
        <w:rPr>
          <w:rFonts w:ascii="Times New Roman" w:eastAsia="Times New Roman" w:hAnsi="Times New Roman" w:cs="Times New Roman"/>
          <w:i/>
          <w:color w:val="00000A"/>
        </w:rPr>
        <w:t xml:space="preserve">vulnerability and climate change </w:t>
      </w:r>
      <w:r w:rsidRPr="009B0448">
        <w:rPr>
          <w:rFonts w:ascii="Times New Roman" w:eastAsia="Times New Roman" w:hAnsi="Times New Roman" w:cs="Times New Roman"/>
          <w:i/>
          <w:color w:val="00000A"/>
        </w:rPr>
        <w:t xml:space="preserve">in Africa </w:t>
      </w:r>
      <w:r w:rsidRPr="009B0448">
        <w:rPr>
          <w:rFonts w:ascii="Times New Roman" w:eastAsia="Times New Roman" w:hAnsi="Times New Roman" w:cs="Times New Roman"/>
          <w:color w:val="00000A"/>
        </w:rPr>
        <w:t xml:space="preserve">(pp. 107–152). </w:t>
      </w:r>
      <w:r w:rsidR="00F52E82" w:rsidRPr="009B0448">
        <w:rPr>
          <w:rFonts w:ascii="Times New Roman" w:eastAsia="Times New Roman" w:hAnsi="Times New Roman" w:cs="Times New Roman"/>
          <w:color w:val="00000A"/>
        </w:rPr>
        <w:t xml:space="preserve">Cham, </w:t>
      </w:r>
      <w:r w:rsidR="00C32ECF" w:rsidRPr="009B0448">
        <w:rPr>
          <w:rFonts w:ascii="Times New Roman" w:eastAsia="Times New Roman" w:hAnsi="Times New Roman" w:cs="Times New Roman"/>
          <w:color w:val="00000A"/>
        </w:rPr>
        <w:t xml:space="preserve">Switzerland: </w:t>
      </w:r>
      <w:r w:rsidRPr="009B0448">
        <w:rPr>
          <w:rFonts w:ascii="Times New Roman" w:eastAsia="Times New Roman" w:hAnsi="Times New Roman" w:cs="Times New Roman"/>
          <w:color w:val="00000A"/>
        </w:rPr>
        <w:t xml:space="preserve">Springer. Retrieved from </w:t>
      </w:r>
      <w:hyperlink r:id="rId228" w:history="1">
        <w:r w:rsidRPr="009B0448">
          <w:rPr>
            <w:rStyle w:val="Hyperlink"/>
            <w:rFonts w:ascii="Times New Roman" w:eastAsia="Times New Roman" w:hAnsi="Times New Roman" w:cs="Times New Roman"/>
          </w:rPr>
          <w:t>https://doi.org/10.1007/978-3-319-03982-4_4</w:t>
        </w:r>
      </w:hyperlink>
    </w:p>
    <w:p w14:paraId="7417F740" w14:textId="743C5C09"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Loarie, S. R., Duffy, P. B., Hamilton, H., Asner, G. P., Field, C. B., &amp; Ackerly, D. D. (2009). The velocity of climate change. </w:t>
      </w:r>
      <w:r w:rsidRPr="009B0448">
        <w:rPr>
          <w:rFonts w:ascii="Times New Roman" w:eastAsia="Times New Roman" w:hAnsi="Times New Roman" w:cs="Times New Roman"/>
          <w:i/>
          <w:color w:val="00000A"/>
        </w:rPr>
        <w:t>Nature, 462</w:t>
      </w:r>
      <w:r w:rsidRPr="009B0448">
        <w:rPr>
          <w:rFonts w:ascii="Times New Roman" w:eastAsia="Times New Roman" w:hAnsi="Times New Roman" w:cs="Times New Roman"/>
          <w:color w:val="00000A"/>
        </w:rPr>
        <w:t xml:space="preserve">(7276), 1052–1055. </w:t>
      </w:r>
      <w:hyperlink r:id="rId229" w:history="1">
        <w:r w:rsidRPr="009B0448">
          <w:rPr>
            <w:rStyle w:val="Hyperlink"/>
            <w:rFonts w:ascii="Times New Roman" w:eastAsia="Times New Roman" w:hAnsi="Times New Roman" w:cs="Times New Roman"/>
          </w:rPr>
          <w:t>https://doi.org/10.1038/nature08649</w:t>
        </w:r>
      </w:hyperlink>
    </w:p>
    <w:p w14:paraId="56753EE5" w14:textId="439FF56B"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Logo, P. B. (2003).</w:t>
      </w:r>
      <w:r w:rsidRPr="009B0448">
        <w:rPr>
          <w:rFonts w:ascii="Times New Roman" w:eastAsia="Times New Roman" w:hAnsi="Times New Roman" w:cs="Times New Roman"/>
          <w:i/>
          <w:color w:val="00000A"/>
        </w:rPr>
        <w:t xml:space="preserve">The decentralized forestry taxation system in Cameroon: local management and state logic. </w:t>
      </w:r>
      <w:r w:rsidR="00C32ECF" w:rsidRPr="009B0448">
        <w:rPr>
          <w:rFonts w:ascii="Times New Roman" w:eastAsia="Times New Roman" w:hAnsi="Times New Roman" w:cs="Times New Roman"/>
          <w:color w:val="00000A"/>
        </w:rPr>
        <w:t>Environmental g</w:t>
      </w:r>
      <w:r w:rsidRPr="009B0448">
        <w:rPr>
          <w:rFonts w:ascii="Times New Roman" w:eastAsia="Times New Roman" w:hAnsi="Times New Roman" w:cs="Times New Roman"/>
          <w:color w:val="00000A"/>
        </w:rPr>
        <w:t xml:space="preserve">overnance in Africa </w:t>
      </w:r>
      <w:r w:rsidR="00C32ECF" w:rsidRPr="009B0448">
        <w:rPr>
          <w:rFonts w:ascii="Times New Roman" w:eastAsia="Times New Roman" w:hAnsi="Times New Roman" w:cs="Times New Roman"/>
          <w:color w:val="00000A"/>
        </w:rPr>
        <w:t xml:space="preserve">working paper series </w:t>
      </w:r>
      <w:r w:rsidRPr="009B0448">
        <w:rPr>
          <w:rFonts w:ascii="Times New Roman" w:eastAsia="Times New Roman" w:hAnsi="Times New Roman" w:cs="Times New Roman"/>
          <w:color w:val="00000A"/>
        </w:rPr>
        <w:t xml:space="preserve">(WRI). </w:t>
      </w:r>
      <w:r w:rsidR="00C32ECF" w:rsidRPr="009B0448">
        <w:rPr>
          <w:rFonts w:ascii="Times New Roman" w:eastAsia="Times New Roman" w:hAnsi="Times New Roman" w:cs="Times New Roman"/>
          <w:color w:val="00000A"/>
        </w:rPr>
        <w:t xml:space="preserve">Washington, DC, USA: </w:t>
      </w:r>
      <w:r w:rsidRPr="009B0448">
        <w:rPr>
          <w:rFonts w:ascii="Times New Roman" w:eastAsia="Times New Roman" w:hAnsi="Times New Roman" w:cs="Times New Roman"/>
          <w:color w:val="00000A"/>
        </w:rPr>
        <w:t>World Resources Institute.</w:t>
      </w:r>
      <w:r w:rsidR="00C32ECF" w:rsidRPr="009B0448">
        <w:rPr>
          <w:rFonts w:ascii="Times New Roman" w:eastAsia="Times New Roman" w:hAnsi="Times New Roman" w:cs="Times New Roman"/>
          <w:color w:val="00000A"/>
        </w:rPr>
        <w:t xml:space="preserve"> </w:t>
      </w:r>
      <w:hyperlink r:id="rId230" w:history="1">
        <w:r w:rsidR="00C32ECF" w:rsidRPr="009B0448">
          <w:rPr>
            <w:rStyle w:val="Hyperlink"/>
            <w:rFonts w:ascii="Times New Roman" w:eastAsia="Times New Roman" w:hAnsi="Times New Roman" w:cs="Times New Roman"/>
          </w:rPr>
          <w:t>http://www.cifor.org/nc/online-library/browse/view-publication/publication/1229.html</w:t>
        </w:r>
      </w:hyperlink>
    </w:p>
    <w:p w14:paraId="6AFABFB7" w14:textId="6152F2AF" w:rsidR="001A3B0A" w:rsidRPr="009B0448" w:rsidRDefault="001A3B0A" w:rsidP="0033312D">
      <w:pPr>
        <w:spacing w:after="120" w:line="276" w:lineRule="auto"/>
        <w:ind w:left="567" w:hanging="567"/>
        <w:rPr>
          <w:rFonts w:ascii="Times New Roman" w:hAnsi="Times New Roman" w:cs="Times New Roman"/>
        </w:rPr>
      </w:pPr>
      <w:r w:rsidRPr="009B0448">
        <w:rPr>
          <w:rFonts w:ascii="Times New Roman" w:eastAsia="Times New Roman" w:hAnsi="Times New Roman" w:cs="Times New Roman"/>
          <w:color w:val="00000A"/>
        </w:rPr>
        <w:t xml:space="preserve">LPFN (Landscape for People, Food and Nature). (2015). Integrated </w:t>
      </w:r>
      <w:r w:rsidR="00C32ECF" w:rsidRPr="009B0448">
        <w:rPr>
          <w:rFonts w:ascii="Times New Roman" w:eastAsia="Times New Roman" w:hAnsi="Times New Roman" w:cs="Times New Roman"/>
          <w:color w:val="00000A"/>
        </w:rPr>
        <w:t>landscape m</w:t>
      </w:r>
      <w:r w:rsidRPr="009B0448">
        <w:rPr>
          <w:rFonts w:ascii="Times New Roman" w:eastAsia="Times New Roman" w:hAnsi="Times New Roman" w:cs="Times New Roman"/>
          <w:color w:val="00000A"/>
        </w:rPr>
        <w:t xml:space="preserve">anagement: The </w:t>
      </w:r>
      <w:r w:rsidR="00C32ECF" w:rsidRPr="009B0448">
        <w:rPr>
          <w:rFonts w:ascii="Times New Roman" w:eastAsia="Times New Roman" w:hAnsi="Times New Roman" w:cs="Times New Roman"/>
          <w:color w:val="00000A"/>
        </w:rPr>
        <w:t>means of implementation for the sustainable development go</w:t>
      </w:r>
      <w:r w:rsidRPr="009B0448">
        <w:rPr>
          <w:rFonts w:ascii="Times New Roman" w:eastAsia="Times New Roman" w:hAnsi="Times New Roman" w:cs="Times New Roman"/>
          <w:color w:val="00000A"/>
        </w:rPr>
        <w:t xml:space="preserve">als. EcoAgriculture Partners. Retrieved from </w:t>
      </w:r>
      <w:hyperlink r:id="rId231" w:history="1">
        <w:r w:rsidR="00C32ECF" w:rsidRPr="009B0448">
          <w:rPr>
            <w:rStyle w:val="Hyperlink"/>
            <w:rFonts w:ascii="Times New Roman" w:hAnsi="Times New Roman" w:cs="Times New Roman"/>
          </w:rPr>
          <w:t>https://ecoagriculture.org/wp-content/uploads/2015/09/ILM-for-the-SDGs-Two-Page-Statement-Sept-21-2015-FINAL-FINAL.pdf</w:t>
        </w:r>
      </w:hyperlink>
    </w:p>
    <w:p w14:paraId="3099B83B" w14:textId="4EB0245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Lykke, A. M. (2000). Local perceptions of vegetation change and priorities for conservation of woody-savanna vegetation in Senegal. </w:t>
      </w:r>
      <w:r w:rsidRPr="009B0448">
        <w:rPr>
          <w:rFonts w:ascii="Times New Roman" w:eastAsia="Times New Roman" w:hAnsi="Times New Roman" w:cs="Times New Roman"/>
          <w:i/>
          <w:color w:val="00000A"/>
        </w:rPr>
        <w:t>Journal of Environmental Management, 59</w:t>
      </w:r>
      <w:r w:rsidRPr="009B0448">
        <w:rPr>
          <w:rFonts w:ascii="Times New Roman" w:eastAsia="Times New Roman" w:hAnsi="Times New Roman" w:cs="Times New Roman"/>
          <w:color w:val="00000A"/>
        </w:rPr>
        <w:t xml:space="preserve">(2), 107–120. </w:t>
      </w:r>
      <w:hyperlink r:id="rId232" w:history="1">
        <w:r w:rsidRPr="009B0448">
          <w:rPr>
            <w:rStyle w:val="Hyperlink"/>
            <w:rFonts w:ascii="Times New Roman" w:eastAsia="Times New Roman" w:hAnsi="Times New Roman" w:cs="Times New Roman"/>
          </w:rPr>
          <w:t>https://doi.org/10.1006/jema.2000.0336</w:t>
        </w:r>
      </w:hyperlink>
    </w:p>
    <w:p w14:paraId="143D86E1" w14:textId="566EBC8D"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Lykke, A. M., Kristensen, M. K., &amp; Ganaba, S. (2004). </w:t>
      </w:r>
      <w:r w:rsidRPr="009B0448">
        <w:rPr>
          <w:rFonts w:ascii="Times New Roman" w:eastAsia="Times New Roman" w:hAnsi="Times New Roman" w:cs="Times New Roman"/>
          <w:color w:val="00000A"/>
        </w:rPr>
        <w:t xml:space="preserve">Valuation of local use and dynamics of 56 woody species in the Sahel. </w:t>
      </w:r>
      <w:r w:rsidRPr="009B0448">
        <w:rPr>
          <w:rFonts w:ascii="Times New Roman" w:eastAsia="Times New Roman" w:hAnsi="Times New Roman" w:cs="Times New Roman"/>
          <w:i/>
          <w:color w:val="00000A"/>
        </w:rPr>
        <w:t>Biodiversity &amp; Conservation, 13</w:t>
      </w:r>
      <w:r w:rsidRPr="009B0448">
        <w:rPr>
          <w:rFonts w:ascii="Times New Roman" w:eastAsia="Times New Roman" w:hAnsi="Times New Roman" w:cs="Times New Roman"/>
          <w:color w:val="00000A"/>
        </w:rPr>
        <w:t xml:space="preserve">(10), 1961–1990. </w:t>
      </w:r>
      <w:hyperlink r:id="rId233" w:history="1">
        <w:r w:rsidRPr="009B0448">
          <w:rPr>
            <w:rStyle w:val="Hyperlink"/>
            <w:rFonts w:ascii="Times New Roman" w:eastAsia="Times New Roman" w:hAnsi="Times New Roman" w:cs="Times New Roman"/>
          </w:rPr>
          <w:t>https://doi.org/10.1023/B:BIOC.0000035876.39587.1a</w:t>
        </w:r>
      </w:hyperlink>
    </w:p>
    <w:p w14:paraId="176C183E" w14:textId="53EA51CA" w:rsidR="001A3B0A" w:rsidRPr="009B0448" w:rsidRDefault="001A3B0A" w:rsidP="00C129AA">
      <w:pPr>
        <w:spacing w:after="120" w:line="276" w:lineRule="auto"/>
        <w:ind w:left="567" w:hanging="567"/>
        <w:rPr>
          <w:rFonts w:ascii="Times New Roman" w:eastAsia="Times New Roman" w:hAnsi="Times New Roman" w:cs="Times New Roman"/>
          <w:color w:val="000000" w:themeColor="text1"/>
          <w:lang w:val="en-ZA" w:eastAsia="en-GB"/>
        </w:rPr>
      </w:pPr>
      <w:r w:rsidRPr="009B0448">
        <w:rPr>
          <w:rFonts w:ascii="Times New Roman" w:eastAsia="Times New Roman" w:hAnsi="Times New Roman" w:cs="Times New Roman"/>
          <w:color w:val="00000A"/>
        </w:rPr>
        <w:t xml:space="preserve">MA (Millennium Ecosystem Assessment). (2003). Ecosystems and human well-being. A framework for assessment. </w:t>
      </w:r>
      <w:r w:rsidR="00750821" w:rsidRPr="009B0448">
        <w:rPr>
          <w:rFonts w:ascii="Times New Roman" w:eastAsia="Times New Roman" w:hAnsi="Times New Roman" w:cs="Times New Roman"/>
          <w:color w:val="000000" w:themeColor="text1"/>
          <w:lang w:val="en-ZA" w:eastAsia="en-GB"/>
        </w:rPr>
        <w:t>Washington, DC, USA: Island Press. Retrieved from</w:t>
      </w:r>
      <w:r w:rsidR="00D92AD4" w:rsidRPr="009B0448">
        <w:rPr>
          <w:rFonts w:ascii="Times New Roman" w:eastAsia="Times New Roman" w:hAnsi="Times New Roman" w:cs="Times New Roman"/>
          <w:color w:val="000000" w:themeColor="text1"/>
          <w:lang w:val="en-ZA" w:eastAsia="en-GB"/>
        </w:rPr>
        <w:t xml:space="preserve"> </w:t>
      </w:r>
      <w:hyperlink r:id="rId234" w:history="1">
        <w:r w:rsidR="00D92AD4" w:rsidRPr="009B0448">
          <w:rPr>
            <w:rStyle w:val="Hyperlink"/>
            <w:rFonts w:ascii="Times New Roman" w:eastAsia="Times New Roman" w:hAnsi="Times New Roman" w:cs="Times New Roman"/>
            <w:lang w:val="en-ZA" w:eastAsia="en-GB"/>
          </w:rPr>
          <w:t>https://millenniumassessment.org/en/Framework.html</w:t>
        </w:r>
      </w:hyperlink>
    </w:p>
    <w:p w14:paraId="6CDE2E47" w14:textId="22A25906" w:rsidR="00750821" w:rsidRPr="009B0448" w:rsidRDefault="00750821" w:rsidP="00750821">
      <w:pPr>
        <w:widowControl w:val="0"/>
        <w:spacing w:before="120" w:after="120" w:line="276" w:lineRule="auto"/>
        <w:ind w:left="567" w:hanging="567"/>
        <w:rPr>
          <w:rFonts w:ascii="Times New Roman" w:eastAsia="Times New Roman" w:hAnsi="Times New Roman" w:cs="Times New Roman"/>
          <w:color w:val="000000" w:themeColor="text1"/>
          <w:lang w:val="en-ZA" w:eastAsia="en-GB"/>
        </w:rPr>
      </w:pPr>
      <w:r w:rsidRPr="009B0448">
        <w:rPr>
          <w:rFonts w:ascii="Times New Roman" w:eastAsia="Times New Roman" w:hAnsi="Times New Roman" w:cs="Times New Roman"/>
          <w:color w:val="000000" w:themeColor="text1"/>
          <w:lang w:val="en-ZA" w:eastAsia="en-GB"/>
        </w:rPr>
        <w:t xml:space="preserve">MA (Millennium Ecosystem Assessment). (2005). </w:t>
      </w:r>
      <w:r w:rsidRPr="009B0448">
        <w:rPr>
          <w:rFonts w:ascii="Times New Roman" w:eastAsia="Times New Roman" w:hAnsi="Times New Roman" w:cs="Times New Roman"/>
          <w:i/>
          <w:color w:val="000000" w:themeColor="text1"/>
          <w:lang w:val="en-ZA" w:eastAsia="en-GB"/>
        </w:rPr>
        <w:t>Ecosystems and human well-being: Synthesis</w:t>
      </w:r>
      <w:r w:rsidRPr="009B0448">
        <w:rPr>
          <w:rFonts w:ascii="Times New Roman" w:eastAsia="Times New Roman" w:hAnsi="Times New Roman" w:cs="Times New Roman"/>
          <w:color w:val="000000" w:themeColor="text1"/>
          <w:lang w:val="en-ZA" w:eastAsia="en-GB"/>
        </w:rPr>
        <w:t xml:space="preserve">. Washington, DC, USA: Island Press. Retrieved from </w:t>
      </w:r>
      <w:hyperlink r:id="rId235" w:history="1">
        <w:r w:rsidRPr="009B0448">
          <w:rPr>
            <w:rStyle w:val="Hyperlink"/>
            <w:rFonts w:ascii="Times New Roman" w:eastAsia="Times New Roman" w:hAnsi="Times New Roman" w:cs="Times New Roman"/>
            <w:lang w:val="en-ZA" w:eastAsia="en-GB"/>
          </w:rPr>
          <w:t>https://www.millenniumassessment.org/documents/document.356.aspx.pdf</w:t>
        </w:r>
      </w:hyperlink>
    </w:p>
    <w:p w14:paraId="51C7937A" w14:textId="2E83579F"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Maitima, J. M., Mugatha, S. M., Reid, R. S., Gachimbi, L. N., Majule, A., Lyaruu, H., </w:t>
      </w:r>
      <w:r w:rsidR="00D92AD4" w:rsidRPr="009B0448">
        <w:rPr>
          <w:rFonts w:ascii="Times New Roman" w:eastAsia="Times New Roman" w:hAnsi="Times New Roman" w:cs="Times New Roman"/>
          <w:color w:val="00000A"/>
        </w:rPr>
        <w:t xml:space="preserve">Pomery D., Mathai, S., &amp; </w:t>
      </w:r>
      <w:r w:rsidRPr="009B0448">
        <w:rPr>
          <w:rFonts w:ascii="Times New Roman" w:eastAsia="Times New Roman" w:hAnsi="Times New Roman" w:cs="Times New Roman"/>
          <w:color w:val="00000A"/>
        </w:rPr>
        <w:t xml:space="preserve">Mugisha, S. (2009). The linkages between land use change, land degradation and biodiversity across East Africa. </w:t>
      </w:r>
      <w:r w:rsidRPr="009B0448">
        <w:rPr>
          <w:rFonts w:ascii="Times New Roman" w:eastAsia="Times New Roman" w:hAnsi="Times New Roman" w:cs="Times New Roman"/>
          <w:i/>
          <w:color w:val="00000A"/>
        </w:rPr>
        <w:t>African Journal of Environmental Sci</w:t>
      </w:r>
      <w:r w:rsidR="00D92AD4" w:rsidRPr="009B0448">
        <w:rPr>
          <w:rFonts w:ascii="Times New Roman" w:eastAsia="Times New Roman" w:hAnsi="Times New Roman" w:cs="Times New Roman"/>
          <w:i/>
          <w:color w:val="00000A"/>
        </w:rPr>
        <w:t>ence and Technology, 3</w:t>
      </w:r>
      <w:r w:rsidR="00D92AD4" w:rsidRPr="009B0448">
        <w:rPr>
          <w:rFonts w:ascii="Times New Roman" w:eastAsia="Times New Roman" w:hAnsi="Times New Roman" w:cs="Times New Roman"/>
          <w:color w:val="00000A"/>
        </w:rPr>
        <w:t>(10), 310–</w:t>
      </w:r>
      <w:r w:rsidRPr="009B0448">
        <w:rPr>
          <w:rFonts w:ascii="Times New Roman" w:eastAsia="Times New Roman" w:hAnsi="Times New Roman" w:cs="Times New Roman"/>
          <w:color w:val="00000A"/>
        </w:rPr>
        <w:t xml:space="preserve">325. </w:t>
      </w:r>
      <w:hyperlink r:id="rId236" w:history="1">
        <w:r w:rsidRPr="009B0448">
          <w:rPr>
            <w:rStyle w:val="Hyperlink"/>
            <w:rFonts w:ascii="Times New Roman" w:eastAsia="Times New Roman" w:hAnsi="Times New Roman" w:cs="Times New Roman"/>
          </w:rPr>
          <w:t>https://doi.org/10.4314/ajest.v3i10.56259</w:t>
        </w:r>
      </w:hyperlink>
    </w:p>
    <w:p w14:paraId="70719F09" w14:textId="5C058972"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Malaspinas, A.-S., Westaway, M. C., Muller, C., Sousa, V. C., Lao, O., Alves, I., </w:t>
      </w:r>
      <w:r w:rsidR="0021529B" w:rsidRPr="009B0448">
        <w:rPr>
          <w:rFonts w:ascii="Times New Roman" w:eastAsia="Times New Roman" w:hAnsi="Times New Roman" w:cs="Times New Roman"/>
          <w:color w:val="00000A"/>
        </w:rPr>
        <w:t xml:space="preserve">Bergström, A., Athanasiadis, G., Cheng, J. Y.,Crawford, J. E., Heupink, T. H., Macholdt, E.,Peischl, S., Rasmussen, S., Schiffels, S., Subramanian, S., Wright, J. L., Albrechtsen, A., Barbieri, C., Dupanloup, I., Eriksson, A., Margaryan, A., Moltke, I., Pugach, I., Korneliussen, T. S., Levkivskyi, I. P., Moreno-Mayar, J. V., Ni, S., Racimo, F., Sikora, M., Xue, Y., Aghakhanian, F. A., Brucato, N., Søren Brunak, S., Campos, P. F., Clark, W., Ellingvåg, S., Fourmile, G., Gerbault, P., Injie, D., Koki, G., Leavesley, M., Logan, B., Lynch, A., Matisoo-Smith, E. A., McAllister, P. J., Mentzer, A. J., Metspalu, M., Migliano, A. B., Murgha, L., Phipps, M. E., Pomat, W., Reynolds, D., Ricaut, F-X., Siba, P., Thomas, M. G., Wales, T., Wall, C. M., Oppenheimer, S. J., Tyler-Smith, C., Durbin, R., Dortch, J., Manica, A., Schierup, M. H., Foley, R. A., Mirazón Lahr, M. M., Bowern, C., Wall, J. D., Mailund, T., Stoneking, M., Nielsen, R., Sandhu, M. S., Excoffier, L., Lambert, D. M., &amp; Eske Willerslev, E. </w:t>
      </w:r>
      <w:r w:rsidRPr="009B0448">
        <w:rPr>
          <w:rFonts w:ascii="Times New Roman" w:eastAsia="Times New Roman" w:hAnsi="Times New Roman" w:cs="Times New Roman"/>
          <w:color w:val="00000A"/>
        </w:rPr>
        <w:t xml:space="preserve">(2016). A genomic history of Aboriginal Australia. </w:t>
      </w:r>
      <w:r w:rsidRPr="009B0448">
        <w:rPr>
          <w:rFonts w:ascii="Times New Roman" w:eastAsia="Times New Roman" w:hAnsi="Times New Roman" w:cs="Times New Roman"/>
          <w:i/>
          <w:color w:val="00000A"/>
        </w:rPr>
        <w:t xml:space="preserve">Nature, </w:t>
      </w:r>
      <w:r w:rsidR="0021529B" w:rsidRPr="009B0448">
        <w:rPr>
          <w:rFonts w:ascii="Times New Roman" w:eastAsia="Times New Roman" w:hAnsi="Times New Roman" w:cs="Times New Roman"/>
          <w:i/>
          <w:color w:val="00000A"/>
        </w:rPr>
        <w:t>538</w:t>
      </w:r>
      <w:r w:rsidR="0021529B" w:rsidRPr="009B0448">
        <w:rPr>
          <w:rFonts w:ascii="Times New Roman" w:eastAsia="Times New Roman" w:hAnsi="Times New Roman" w:cs="Times New Roman"/>
          <w:color w:val="00000A"/>
        </w:rPr>
        <w:t xml:space="preserve">, 207–214 </w:t>
      </w:r>
      <w:hyperlink r:id="rId237" w:history="1">
        <w:r w:rsidRPr="009B0448">
          <w:rPr>
            <w:rStyle w:val="Hyperlink"/>
            <w:rFonts w:ascii="Times New Roman" w:eastAsia="Times New Roman" w:hAnsi="Times New Roman" w:cs="Times New Roman"/>
          </w:rPr>
          <w:t>https://doi.org/10.1038/nature18299</w:t>
        </w:r>
      </w:hyperlink>
    </w:p>
    <w:p w14:paraId="51EF15CD" w14:textId="52D34CD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Mallick, S., Li, H., Lipson, M., Mathieson, I., Gymrek, M., Racimo, F., </w:t>
      </w:r>
      <w:r w:rsidR="00FA50B2" w:rsidRPr="009B0448">
        <w:rPr>
          <w:rFonts w:ascii="Times New Roman" w:eastAsia="Times New Roman" w:hAnsi="Times New Roman" w:cs="Times New Roman"/>
          <w:color w:val="00000A"/>
        </w:rPr>
        <w:t>Zhao, M., Chennagiri, N., Nordenfelt, S., Tandon, A., Skoglund, P., Lazaridis, I., Sankararaman, S., Fu, O., Rohland, N., Renaud, G., Erlich, Y., Willems, T., Gallo, C., Spence, J. P., Song, Y. S., Poletti, G., Balloux, F., van Driem, G., de Knijff, P., Romero, IG., Jha, A. R., Behar, D. M., Bravi, C. M., Capelli, C., Hervig, T., Moreno-Estrada, A., Posukh, OL., Balanovska, E., Balanovsky, O., Karachanak-Yankova, S., Sahakyan, H., Toncheva, D., Yepiskoposyan, L., Tyler-Smith, C., Xue, Y., Abdullah, M. S., Ruiz-Linares, ., Beall, C. M., Rienzo, A. D., Jeong, C., Starikovskaya, E. B., Metspalu, E., Parik, J., Villems, R., Henn, B. M., Hodoglugil, U., Mahley, R., Sajantila, A., Stamatoyannopoulos, G., Wee, J. T S., Khusainova, R., Khusnutdinova, E., Litvinov, S., Ayodo, G., Comas, D., Hammer, M. F., Kivisild T., Klitz, W., Winkler, C. A., Labuda, D., Bamshad, M., Jorde, L. B., Tishkoff, S. A., Watkins, W. S., Metspalu, M., Dryomov, S., Sukernik, R., Singh, L., Thangaraj K., Pääbo, S., Kelso, J., Patterson, N., &amp; Reich, D</w:t>
      </w:r>
      <w:r w:rsidRPr="009B0448">
        <w:rPr>
          <w:rFonts w:ascii="Times New Roman" w:eastAsia="Times New Roman" w:hAnsi="Times New Roman" w:cs="Times New Roman"/>
          <w:color w:val="00000A"/>
        </w:rPr>
        <w:t xml:space="preserve">. (2016). The Simons Genome Diversity Project: 300 genomes from 142 diverse populations. </w:t>
      </w:r>
      <w:r w:rsidRPr="009B0448">
        <w:rPr>
          <w:rFonts w:ascii="Times New Roman" w:eastAsia="Times New Roman" w:hAnsi="Times New Roman" w:cs="Times New Roman"/>
          <w:i/>
          <w:color w:val="00000A"/>
        </w:rPr>
        <w:t xml:space="preserve">Nature, </w:t>
      </w:r>
      <w:r w:rsidR="0021529B" w:rsidRPr="009B0448">
        <w:rPr>
          <w:rFonts w:ascii="Times New Roman" w:eastAsia="Times New Roman" w:hAnsi="Times New Roman" w:cs="Times New Roman"/>
          <w:i/>
          <w:color w:val="00000A"/>
        </w:rPr>
        <w:t>538</w:t>
      </w:r>
      <w:r w:rsidR="0021529B" w:rsidRPr="009B0448">
        <w:rPr>
          <w:rFonts w:ascii="Times New Roman" w:eastAsia="Times New Roman" w:hAnsi="Times New Roman" w:cs="Times New Roman"/>
          <w:color w:val="00000A"/>
        </w:rPr>
        <w:t xml:space="preserve">, 201–206. </w:t>
      </w:r>
      <w:hyperlink r:id="rId238" w:history="1">
        <w:r w:rsidRPr="009B0448">
          <w:rPr>
            <w:rStyle w:val="Hyperlink"/>
            <w:rFonts w:ascii="Times New Roman" w:eastAsia="Times New Roman" w:hAnsi="Times New Roman" w:cs="Times New Roman"/>
          </w:rPr>
          <w:t>https://doi.org/10.1038/nature18964</w:t>
        </w:r>
      </w:hyperlink>
    </w:p>
    <w:p w14:paraId="5C244B4A" w14:textId="1E70E381" w:rsidR="001A3B0A" w:rsidRPr="009B0448" w:rsidRDefault="001A3B0A" w:rsidP="007040F3">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Mamdani, M. (1996).Citizen </w:t>
      </w:r>
      <w:r w:rsidR="007040F3" w:rsidRPr="009B0448">
        <w:rPr>
          <w:rFonts w:ascii="Times New Roman" w:eastAsia="Times New Roman" w:hAnsi="Times New Roman" w:cs="Times New Roman"/>
          <w:color w:val="00000A"/>
        </w:rPr>
        <w:t>and subject: Contemporary Africa and the legacy of late colonialism</w:t>
      </w:r>
      <w:r w:rsidRPr="009B0448">
        <w:rPr>
          <w:rFonts w:ascii="Times New Roman" w:eastAsia="Times New Roman" w:hAnsi="Times New Roman" w:cs="Times New Roman"/>
          <w:color w:val="00000A"/>
        </w:rPr>
        <w:t>. Princeton University Press.</w:t>
      </w:r>
      <w:r w:rsidR="007040F3" w:rsidRPr="009B0448">
        <w:rPr>
          <w:rFonts w:ascii="Times New Roman" w:eastAsia="Times New Roman" w:hAnsi="Times New Roman" w:cs="Times New Roman"/>
          <w:color w:val="00000A"/>
        </w:rPr>
        <w:t xml:space="preserve"> ISBN 9780691180427</w:t>
      </w:r>
    </w:p>
    <w:p w14:paraId="77692C59" w14:textId="2C0E49F6"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Mandondo, A. (2000). </w:t>
      </w:r>
      <w:r w:rsidRPr="009B0448">
        <w:rPr>
          <w:rFonts w:ascii="Times New Roman" w:eastAsia="Times New Roman" w:hAnsi="Times New Roman" w:cs="Times New Roman"/>
          <w:i/>
          <w:color w:val="00000A"/>
        </w:rPr>
        <w:t>Situating Zimbabwe’s natural resource governance systems in history</w:t>
      </w:r>
      <w:r w:rsidRPr="009B0448">
        <w:rPr>
          <w:rFonts w:ascii="Times New Roman" w:eastAsia="Times New Roman" w:hAnsi="Times New Roman" w:cs="Times New Roman"/>
          <w:color w:val="00000A"/>
        </w:rPr>
        <w:t xml:space="preserve">. CIFOR Occasional Paper, 32, 20 pp. </w:t>
      </w:r>
      <w:r w:rsidR="007040F3" w:rsidRPr="009B0448">
        <w:rPr>
          <w:rFonts w:ascii="Times New Roman" w:eastAsia="Times New Roman" w:hAnsi="Times New Roman" w:cs="Times New Roman"/>
          <w:color w:val="00000A"/>
        </w:rPr>
        <w:t xml:space="preserve">Center for International Forestry Research. </w:t>
      </w:r>
      <w:r w:rsidRPr="009B0448">
        <w:rPr>
          <w:rFonts w:ascii="Times New Roman" w:eastAsia="Times New Roman" w:hAnsi="Times New Roman" w:cs="Times New Roman"/>
          <w:color w:val="00000A"/>
        </w:rPr>
        <w:t xml:space="preserve">Retrieved from </w:t>
      </w:r>
      <w:hyperlink r:id="rId239" w:history="1">
        <w:r w:rsidRPr="009B0448">
          <w:rPr>
            <w:rStyle w:val="Hyperlink"/>
            <w:rFonts w:ascii="Times New Roman" w:eastAsia="Times New Roman" w:hAnsi="Times New Roman" w:cs="Times New Roman"/>
          </w:rPr>
          <w:t>https://doi.org/10.17528/cifor/000716</w:t>
        </w:r>
      </w:hyperlink>
    </w:p>
    <w:p w14:paraId="51C40D49" w14:textId="3D3F30F5" w:rsidR="00C3368C"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Manor, J. (1999).Civil society under</w:t>
      </w:r>
      <w:r w:rsidR="007040F3" w:rsidRPr="009B0448">
        <w:rPr>
          <w:rFonts w:ascii="Times New Roman" w:eastAsia="Times New Roman" w:hAnsi="Times New Roman" w:cs="Times New Roman"/>
          <w:color w:val="00000A"/>
        </w:rPr>
        <w:t xml:space="preserve"> different types of government </w:t>
      </w:r>
      <w:r w:rsidRPr="009B0448">
        <w:rPr>
          <w:rFonts w:ascii="Times New Roman" w:eastAsia="Times New Roman" w:hAnsi="Times New Roman" w:cs="Times New Roman"/>
          <w:i/>
          <w:color w:val="00000A"/>
        </w:rPr>
        <w:t>IDS Policy Brief</w:t>
      </w:r>
      <w:r w:rsidR="007040F3" w:rsidRPr="009B0448">
        <w:rPr>
          <w:rFonts w:ascii="Times New Roman" w:eastAsia="Times New Roman" w:hAnsi="Times New Roman" w:cs="Times New Roman"/>
          <w:i/>
          <w:color w:val="00000A"/>
        </w:rPr>
        <w:t xml:space="preserve">ing, 10. </w:t>
      </w:r>
      <w:r w:rsidR="00C3368C" w:rsidRPr="009B0448">
        <w:rPr>
          <w:rFonts w:ascii="Times New Roman" w:eastAsia="Times New Roman" w:hAnsi="Times New Roman" w:cs="Times New Roman"/>
          <w:color w:val="00000A"/>
        </w:rPr>
        <w:t xml:space="preserve">Retrieved from </w:t>
      </w:r>
      <w:hyperlink r:id="rId240" w:history="1">
        <w:r w:rsidR="00C3368C" w:rsidRPr="009B0448">
          <w:rPr>
            <w:rStyle w:val="Hyperlink"/>
            <w:rFonts w:ascii="Times New Roman" w:eastAsia="Times New Roman" w:hAnsi="Times New Roman" w:cs="Times New Roman"/>
          </w:rPr>
          <w:t>http://www.ids.ac.uk/publications/ids-series-titles/ids-policy-briefings</w:t>
        </w:r>
      </w:hyperlink>
    </w:p>
    <w:p w14:paraId="154CFD20" w14:textId="156400F9"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Marsh, D. M., &amp; Sharma, D. (2007). Energy-Water Nexus: An </w:t>
      </w:r>
      <w:r w:rsidR="007040F3" w:rsidRPr="009B0448">
        <w:rPr>
          <w:rFonts w:ascii="Times New Roman" w:eastAsia="Times New Roman" w:hAnsi="Times New Roman" w:cs="Times New Roman"/>
          <w:color w:val="00000A"/>
        </w:rPr>
        <w:t>integrated modeling approach</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International Energy Journal, 8</w:t>
      </w:r>
      <w:r w:rsidRPr="009B0448">
        <w:rPr>
          <w:rFonts w:ascii="Times New Roman" w:eastAsia="Times New Roman" w:hAnsi="Times New Roman" w:cs="Times New Roman"/>
          <w:color w:val="00000A"/>
        </w:rPr>
        <w:t xml:space="preserve">(4). Retrieved from </w:t>
      </w:r>
      <w:hyperlink r:id="rId241" w:history="1">
        <w:r w:rsidRPr="009B0448">
          <w:rPr>
            <w:rStyle w:val="Hyperlink"/>
            <w:rFonts w:ascii="Times New Roman" w:eastAsia="Times New Roman" w:hAnsi="Times New Roman" w:cs="Times New Roman"/>
          </w:rPr>
          <w:t>http://www.rericjournal.ait.ac.th/index.php/reric/article/view/334</w:t>
        </w:r>
      </w:hyperlink>
    </w:p>
    <w:p w14:paraId="459778F6" w14:textId="56995646"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Matose, F. (1997). Conflicts around forest reserves in Zimbabwe: What prospects for community management? </w:t>
      </w:r>
      <w:r w:rsidRPr="009B0448">
        <w:rPr>
          <w:rFonts w:ascii="Times New Roman" w:eastAsia="Times New Roman" w:hAnsi="Times New Roman" w:cs="Times New Roman"/>
          <w:i/>
          <w:color w:val="00000A"/>
        </w:rPr>
        <w:t>IDS Bulletin, 28</w:t>
      </w:r>
      <w:r w:rsidRPr="009B0448">
        <w:rPr>
          <w:rFonts w:ascii="Times New Roman" w:eastAsia="Times New Roman" w:hAnsi="Times New Roman" w:cs="Times New Roman"/>
          <w:color w:val="00000A"/>
        </w:rPr>
        <w:t xml:space="preserve">(4), 69–78. </w:t>
      </w:r>
      <w:hyperlink r:id="rId242" w:history="1">
        <w:r w:rsidRPr="009B0448">
          <w:rPr>
            <w:rStyle w:val="Hyperlink"/>
            <w:rFonts w:ascii="Times New Roman" w:eastAsia="Times New Roman" w:hAnsi="Times New Roman" w:cs="Times New Roman"/>
          </w:rPr>
          <w:t>https://doi.org/10.1111/j.1759-5436.1997.mp28004008.x</w:t>
        </w:r>
      </w:hyperlink>
    </w:p>
    <w:p w14:paraId="5F084204" w14:textId="45A65204"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Matson, P. A., Parton, W. J., Power, A. G., &amp; Swift, M. J. (1997).</w:t>
      </w:r>
      <w:r w:rsidR="007040F3"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Agricultural Intensification and Ecosystem Properties. </w:t>
      </w:r>
      <w:r w:rsidRPr="009B0448">
        <w:rPr>
          <w:rFonts w:ascii="Times New Roman" w:eastAsia="Times New Roman" w:hAnsi="Times New Roman" w:cs="Times New Roman"/>
          <w:i/>
          <w:color w:val="00000A"/>
        </w:rPr>
        <w:t>Science, 277</w:t>
      </w:r>
      <w:r w:rsidRPr="009B0448">
        <w:rPr>
          <w:rFonts w:ascii="Times New Roman" w:eastAsia="Times New Roman" w:hAnsi="Times New Roman" w:cs="Times New Roman"/>
          <w:color w:val="00000A"/>
        </w:rPr>
        <w:t xml:space="preserve">(5325), 504–509. </w:t>
      </w:r>
      <w:hyperlink r:id="rId243" w:history="1">
        <w:r w:rsidRPr="009B0448">
          <w:rPr>
            <w:rStyle w:val="Hyperlink"/>
            <w:rFonts w:ascii="Times New Roman" w:eastAsia="Times New Roman" w:hAnsi="Times New Roman" w:cs="Times New Roman"/>
          </w:rPr>
          <w:t>https://doi.org/10.1126/science.277.5325.504</w:t>
        </w:r>
      </w:hyperlink>
    </w:p>
    <w:p w14:paraId="5AD98CB0" w14:textId="64C66534"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Maundu, P., Kibet, S., Morimoto, Y., Imbumi, M., &amp; Adeka, R. (2009).</w:t>
      </w:r>
      <w:r w:rsidR="00C3368C"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Impact of </w:t>
      </w:r>
      <w:r w:rsidRPr="009B0448">
        <w:rPr>
          <w:rFonts w:ascii="Times New Roman" w:eastAsia="Times New Roman" w:hAnsi="Times New Roman" w:cs="Times New Roman"/>
          <w:i/>
          <w:color w:val="00000A"/>
        </w:rPr>
        <w:t>Prosopis juliflora</w:t>
      </w:r>
      <w:r w:rsidRPr="009B0448">
        <w:rPr>
          <w:rFonts w:ascii="Times New Roman" w:eastAsia="Times New Roman" w:hAnsi="Times New Roman" w:cs="Times New Roman"/>
          <w:color w:val="00000A"/>
        </w:rPr>
        <w:t xml:space="preserve"> on Kenya’s semi-arid and arid ecosystems and local livelihoods. </w:t>
      </w:r>
      <w:r w:rsidRPr="009B0448">
        <w:rPr>
          <w:rFonts w:ascii="Times New Roman" w:eastAsia="Times New Roman" w:hAnsi="Times New Roman" w:cs="Times New Roman"/>
          <w:i/>
          <w:color w:val="00000A"/>
        </w:rPr>
        <w:t>Biodiversity, 10</w:t>
      </w:r>
      <w:r w:rsidRPr="009B0448">
        <w:rPr>
          <w:rFonts w:ascii="Times New Roman" w:eastAsia="Times New Roman" w:hAnsi="Times New Roman" w:cs="Times New Roman"/>
          <w:color w:val="00000A"/>
        </w:rPr>
        <w:t xml:space="preserve">(2–3), 33–50. </w:t>
      </w:r>
      <w:hyperlink r:id="rId244" w:history="1">
        <w:r w:rsidRPr="009B0448">
          <w:rPr>
            <w:rStyle w:val="Hyperlink"/>
            <w:rFonts w:ascii="Times New Roman" w:eastAsia="Times New Roman" w:hAnsi="Times New Roman" w:cs="Times New Roman"/>
          </w:rPr>
          <w:t>https://doi.org/10.1080/14888386.2009.9712842</w:t>
        </w:r>
      </w:hyperlink>
    </w:p>
    <w:p w14:paraId="66F711BA" w14:textId="1D22F5BB"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Mauro, F., &amp; Hardison, P. D. (2000). Traditional knowledge of indigenous and local communities: international debate and policy initiatives. </w:t>
      </w:r>
      <w:r w:rsidRPr="009B0448">
        <w:rPr>
          <w:rFonts w:ascii="Times New Roman" w:eastAsia="Times New Roman" w:hAnsi="Times New Roman" w:cs="Times New Roman"/>
          <w:i/>
          <w:color w:val="00000A"/>
        </w:rPr>
        <w:t xml:space="preserve">Ecological </w:t>
      </w:r>
      <w:r w:rsidR="00C3368C" w:rsidRPr="009B0448">
        <w:rPr>
          <w:rFonts w:ascii="Times New Roman" w:eastAsia="Times New Roman" w:hAnsi="Times New Roman" w:cs="Times New Roman"/>
          <w:i/>
          <w:color w:val="00000A"/>
        </w:rPr>
        <w:t>A</w:t>
      </w:r>
      <w:r w:rsidRPr="009B0448">
        <w:rPr>
          <w:rFonts w:ascii="Times New Roman" w:eastAsia="Times New Roman" w:hAnsi="Times New Roman" w:cs="Times New Roman"/>
          <w:i/>
          <w:color w:val="00000A"/>
        </w:rPr>
        <w:t>pplications, 10</w:t>
      </w:r>
      <w:r w:rsidRPr="009B0448">
        <w:rPr>
          <w:rFonts w:ascii="Times New Roman" w:eastAsia="Times New Roman" w:hAnsi="Times New Roman" w:cs="Times New Roman"/>
          <w:color w:val="00000A"/>
        </w:rPr>
        <w:t>(5), 1263–1269.</w:t>
      </w:r>
      <w:r w:rsidR="00C3368C" w:rsidRPr="009B0448">
        <w:rPr>
          <w:rFonts w:ascii="Times New Roman" w:eastAsia="Times New Roman" w:hAnsi="Times New Roman" w:cs="Times New Roman"/>
          <w:color w:val="00000A"/>
        </w:rPr>
        <w:t xml:space="preserve"> </w:t>
      </w:r>
      <w:hyperlink r:id="rId245" w:history="1">
        <w:r w:rsidR="00C3368C" w:rsidRPr="009B0448">
          <w:rPr>
            <w:rStyle w:val="Hyperlink"/>
            <w:rFonts w:ascii="Times New Roman" w:eastAsia="Times New Roman" w:hAnsi="Times New Roman" w:cs="Times New Roman"/>
          </w:rPr>
          <w:t>https://doi.org/10.1890/1051-0761(2000)010[1263:TKOIAL]2.0.CO;2</w:t>
        </w:r>
      </w:hyperlink>
    </w:p>
    <w:p w14:paraId="2F700BF3" w14:textId="1FCB054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Mayall, J. (1973). The Malawi-Tanzania </w:t>
      </w:r>
      <w:r w:rsidR="00C3368C" w:rsidRPr="009B0448">
        <w:rPr>
          <w:rFonts w:ascii="Times New Roman" w:eastAsia="Times New Roman" w:hAnsi="Times New Roman" w:cs="Times New Roman"/>
          <w:color w:val="00000A"/>
        </w:rPr>
        <w:t>boundary dispute</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 xml:space="preserve">The </w:t>
      </w:r>
      <w:r w:rsidR="00C3368C" w:rsidRPr="009B0448">
        <w:rPr>
          <w:rFonts w:ascii="Times New Roman" w:eastAsia="Times New Roman" w:hAnsi="Times New Roman" w:cs="Times New Roman"/>
          <w:i/>
          <w:color w:val="00000A"/>
        </w:rPr>
        <w:t xml:space="preserve">Journal of Modern </w:t>
      </w:r>
      <w:r w:rsidR="00BC43A0" w:rsidRPr="009B0448">
        <w:rPr>
          <w:rFonts w:ascii="Times New Roman" w:eastAsia="Times New Roman" w:hAnsi="Times New Roman" w:cs="Times New Roman"/>
          <w:i/>
          <w:color w:val="00000A"/>
        </w:rPr>
        <w:t>African S</w:t>
      </w:r>
      <w:r w:rsidRPr="009B0448">
        <w:rPr>
          <w:rFonts w:ascii="Times New Roman" w:eastAsia="Times New Roman" w:hAnsi="Times New Roman" w:cs="Times New Roman"/>
          <w:i/>
          <w:color w:val="00000A"/>
        </w:rPr>
        <w:t>tudies, 11</w:t>
      </w:r>
      <w:r w:rsidRPr="009B0448">
        <w:rPr>
          <w:rFonts w:ascii="Times New Roman" w:eastAsia="Times New Roman" w:hAnsi="Times New Roman" w:cs="Times New Roman"/>
          <w:color w:val="00000A"/>
        </w:rPr>
        <w:t>(4), 611–628.</w:t>
      </w:r>
      <w:r w:rsidR="00C3368C" w:rsidRPr="009B0448">
        <w:rPr>
          <w:rFonts w:ascii="Times New Roman" w:eastAsia="Times New Roman" w:hAnsi="Times New Roman" w:cs="Times New Roman"/>
          <w:color w:val="00000A"/>
        </w:rPr>
        <w:t xml:space="preserve"> </w:t>
      </w:r>
      <w:r w:rsidR="00F53067" w:rsidRPr="009B0448">
        <w:rPr>
          <w:rFonts w:ascii="Times New Roman" w:eastAsia="Times New Roman" w:hAnsi="Times New Roman" w:cs="Times New Roman"/>
          <w:color w:val="00000A"/>
        </w:rPr>
        <w:t xml:space="preserve">Retrieved from </w:t>
      </w:r>
      <w:hyperlink r:id="rId246" w:history="1">
        <w:r w:rsidR="00F53067" w:rsidRPr="009B0448">
          <w:rPr>
            <w:rStyle w:val="Hyperlink"/>
            <w:rFonts w:ascii="Times New Roman" w:eastAsia="Times New Roman" w:hAnsi="Times New Roman" w:cs="Times New Roman"/>
          </w:rPr>
          <w:t>https://www.jstor.org/stable/161618</w:t>
        </w:r>
      </w:hyperlink>
    </w:p>
    <w:p w14:paraId="78873B05" w14:textId="7900DC3A"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McKay, A., &amp; Thorbecke, E. </w:t>
      </w:r>
      <w:r w:rsidR="00F53067" w:rsidRPr="009B0448">
        <w:rPr>
          <w:rFonts w:ascii="Times New Roman" w:eastAsia="Times New Roman" w:hAnsi="Times New Roman" w:cs="Times New Roman"/>
          <w:color w:val="00000A"/>
        </w:rPr>
        <w:t xml:space="preserve">(Eds.). </w:t>
      </w:r>
      <w:r w:rsidRPr="009B0448">
        <w:rPr>
          <w:rFonts w:ascii="Times New Roman" w:eastAsia="Times New Roman" w:hAnsi="Times New Roman" w:cs="Times New Roman"/>
          <w:color w:val="00000A"/>
        </w:rPr>
        <w:t>(2015).</w:t>
      </w:r>
      <w:r w:rsidR="00F53067"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 xml:space="preserve">Economic </w:t>
      </w:r>
      <w:r w:rsidR="00F53067" w:rsidRPr="009B0448">
        <w:rPr>
          <w:rFonts w:ascii="Times New Roman" w:eastAsia="Times New Roman" w:hAnsi="Times New Roman" w:cs="Times New Roman"/>
          <w:i/>
          <w:color w:val="00000A"/>
        </w:rPr>
        <w:t xml:space="preserve">growth and poverty reduction </w:t>
      </w:r>
      <w:r w:rsidRPr="009B0448">
        <w:rPr>
          <w:rFonts w:ascii="Times New Roman" w:eastAsia="Times New Roman" w:hAnsi="Times New Roman" w:cs="Times New Roman"/>
          <w:i/>
          <w:color w:val="00000A"/>
        </w:rPr>
        <w:t xml:space="preserve">in </w:t>
      </w:r>
      <w:r w:rsidR="00917FB2">
        <w:rPr>
          <w:rFonts w:ascii="Times New Roman" w:eastAsia="Times New Roman" w:hAnsi="Times New Roman" w:cs="Times New Roman"/>
          <w:i/>
          <w:color w:val="00000A"/>
        </w:rPr>
        <w:t>s</w:t>
      </w:r>
      <w:r w:rsidRPr="009B0448">
        <w:rPr>
          <w:rFonts w:ascii="Times New Roman" w:eastAsia="Times New Roman" w:hAnsi="Times New Roman" w:cs="Times New Roman"/>
          <w:i/>
          <w:color w:val="00000A"/>
        </w:rPr>
        <w:t xml:space="preserve">ub-Saharan Africa: Current </w:t>
      </w:r>
      <w:r w:rsidR="00F53067" w:rsidRPr="009B0448">
        <w:rPr>
          <w:rFonts w:ascii="Times New Roman" w:eastAsia="Times New Roman" w:hAnsi="Times New Roman" w:cs="Times New Roman"/>
          <w:i/>
          <w:color w:val="00000A"/>
        </w:rPr>
        <w:t>and emerging issues</w:t>
      </w:r>
      <w:r w:rsidRPr="009B0448">
        <w:rPr>
          <w:rFonts w:ascii="Times New Roman" w:eastAsia="Times New Roman" w:hAnsi="Times New Roman" w:cs="Times New Roman"/>
          <w:color w:val="00000A"/>
        </w:rPr>
        <w:t xml:space="preserve">. </w:t>
      </w:r>
      <w:r w:rsidR="00F53067" w:rsidRPr="009B0448">
        <w:rPr>
          <w:rFonts w:ascii="Times New Roman" w:eastAsia="Times New Roman" w:hAnsi="Times New Roman" w:cs="Times New Roman"/>
          <w:color w:val="00000A"/>
        </w:rPr>
        <w:t xml:space="preserve">Oxford, UK, </w:t>
      </w:r>
      <w:r w:rsidRPr="009B0448">
        <w:rPr>
          <w:rFonts w:ascii="Times New Roman" w:eastAsia="Times New Roman" w:hAnsi="Times New Roman" w:cs="Times New Roman"/>
          <w:color w:val="00000A"/>
        </w:rPr>
        <w:t>Oxford University Press.</w:t>
      </w:r>
      <w:r w:rsidR="00E112ED" w:rsidRPr="009B0448">
        <w:rPr>
          <w:rFonts w:ascii="Times New Roman" w:eastAsia="Times New Roman" w:hAnsi="Times New Roman" w:cs="Times New Roman"/>
          <w:color w:val="00000A"/>
        </w:rPr>
        <w:t xml:space="preserve"> ISBN 9780198728450</w:t>
      </w:r>
    </w:p>
    <w:p w14:paraId="76F03589" w14:textId="1B55125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Melone, S. (1972).</w:t>
      </w:r>
      <w:r w:rsidR="00E112ED"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La parenté et la terre dans la stratégie du développement: l’expérience camerounaise.</w:t>
      </w:r>
      <w:r w:rsidR="00E112ED" w:rsidRPr="009B0448">
        <w:rPr>
          <w:rFonts w:ascii="Times New Roman" w:eastAsia="Times New Roman" w:hAnsi="Times New Roman" w:cs="Times New Roman"/>
          <w:color w:val="00000A"/>
        </w:rPr>
        <w:t xml:space="preserve"> Cameroon:</w:t>
      </w:r>
      <w:r w:rsidRPr="009B0448">
        <w:rPr>
          <w:rFonts w:ascii="Times New Roman" w:eastAsia="Times New Roman" w:hAnsi="Times New Roman" w:cs="Times New Roman"/>
          <w:color w:val="00000A"/>
        </w:rPr>
        <w:t xml:space="preserve"> </w:t>
      </w:r>
      <w:r w:rsidR="00E112ED" w:rsidRPr="009B0448">
        <w:rPr>
          <w:rFonts w:ascii="Times New Roman" w:eastAsia="Times New Roman" w:hAnsi="Times New Roman" w:cs="Times New Roman"/>
          <w:color w:val="00000A"/>
        </w:rPr>
        <w:t>Université fédérale du Cameroun, Klincksieck.</w:t>
      </w:r>
    </w:p>
    <w:p w14:paraId="7842B962" w14:textId="441F1E00"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Meyer, C., Kreft, H., Guralnick, R. P., &amp; Jetz, W. (2015).</w:t>
      </w:r>
      <w:r w:rsidR="00E112ED"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Global priorities for an effective information basis of biodiversity distributions</w:t>
      </w:r>
      <w:r w:rsidR="00E112ED" w:rsidRPr="009B0448">
        <w:rPr>
          <w:rFonts w:ascii="Times New Roman" w:eastAsia="Times New Roman" w:hAnsi="Times New Roman" w:cs="Times New Roman"/>
          <w:color w:val="00000A"/>
        </w:rPr>
        <w:t xml:space="preserve">. </w:t>
      </w:r>
      <w:r w:rsidR="00E112ED" w:rsidRPr="009B0448">
        <w:rPr>
          <w:rFonts w:ascii="Times New Roman" w:eastAsia="Times New Roman" w:hAnsi="Times New Roman" w:cs="Times New Roman"/>
          <w:i/>
          <w:color w:val="00000A"/>
        </w:rPr>
        <w:t>Nature Communications, 6</w:t>
      </w:r>
      <w:r w:rsidR="00E112ED" w:rsidRPr="009B0448">
        <w:rPr>
          <w:rFonts w:ascii="Times New Roman" w:eastAsia="Times New Roman" w:hAnsi="Times New Roman" w:cs="Times New Roman"/>
          <w:color w:val="00000A"/>
        </w:rPr>
        <w:t>, 8221.</w:t>
      </w:r>
      <w:r w:rsidRPr="009B0448">
        <w:rPr>
          <w:rFonts w:ascii="Times New Roman" w:eastAsia="Times New Roman" w:hAnsi="Times New Roman" w:cs="Times New Roman"/>
          <w:color w:val="00000A"/>
        </w:rPr>
        <w:t xml:space="preserve"> </w:t>
      </w:r>
      <w:hyperlink r:id="rId247" w:history="1">
        <w:r w:rsidR="00E112ED" w:rsidRPr="009B0448">
          <w:rPr>
            <w:rStyle w:val="Hyperlink"/>
            <w:rFonts w:ascii="Times New Roman" w:eastAsia="Times New Roman" w:hAnsi="Times New Roman" w:cs="Times New Roman"/>
          </w:rPr>
          <w:t>https://doi.org/10.1038/ncomms9221</w:t>
        </w:r>
      </w:hyperlink>
    </w:p>
    <w:p w14:paraId="32CEE51B" w14:textId="6C0B57CF"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Milder, J. C., Hart, A. K., Dobie, P., Minai, J., &amp; Zaleski, C. (2014).</w:t>
      </w:r>
      <w:r w:rsidR="00BA0544" w:rsidRPr="009B0448">
        <w:rPr>
          <w:rFonts w:ascii="Times New Roman" w:eastAsia="Times New Roman" w:hAnsi="Times New Roman" w:cs="Times New Roman"/>
          <w:color w:val="00000A"/>
        </w:rPr>
        <w:t xml:space="preserve"> Integrated landscape initiatives for African agriculture, development, and conservation: A region-wide assessment</w:t>
      </w:r>
      <w:r w:rsidRPr="009B0448">
        <w:rPr>
          <w:rFonts w:ascii="Times New Roman" w:eastAsia="Times New Roman" w:hAnsi="Times New Roman" w:cs="Times New Roman"/>
          <w:color w:val="00000A"/>
        </w:rPr>
        <w:t>.</w:t>
      </w:r>
      <w:r w:rsidR="00BA0544"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World Development, 54</w:t>
      </w:r>
      <w:r w:rsidRPr="009B0448">
        <w:rPr>
          <w:rFonts w:ascii="Times New Roman" w:eastAsia="Times New Roman" w:hAnsi="Times New Roman" w:cs="Times New Roman"/>
          <w:color w:val="00000A"/>
        </w:rPr>
        <w:t xml:space="preserve">, 68–80. </w:t>
      </w:r>
      <w:hyperlink r:id="rId248" w:history="1">
        <w:r w:rsidRPr="009B0448">
          <w:rPr>
            <w:rStyle w:val="Hyperlink"/>
            <w:rFonts w:ascii="Times New Roman" w:eastAsia="Times New Roman" w:hAnsi="Times New Roman" w:cs="Times New Roman"/>
          </w:rPr>
          <w:t>https://doi.org/10.1016/j.worlddev.2013.07.006</w:t>
        </w:r>
      </w:hyperlink>
    </w:p>
    <w:p w14:paraId="46380411" w14:textId="1C964839" w:rsidR="001A3B0A" w:rsidRPr="009B0448" w:rsidRDefault="001A3B0A" w:rsidP="0033312D">
      <w:pPr>
        <w:spacing w:after="120" w:line="276" w:lineRule="auto"/>
        <w:ind w:left="567" w:hanging="567"/>
        <w:rPr>
          <w:rStyle w:val="Hyperlink"/>
          <w:rFonts w:ascii="Times New Roman" w:eastAsia="Times New Roman" w:hAnsi="Times New Roman" w:cs="Times New Roman"/>
        </w:rPr>
      </w:pPr>
      <w:r w:rsidRPr="009B0448">
        <w:rPr>
          <w:rFonts w:ascii="Times New Roman" w:eastAsia="Times New Roman" w:hAnsi="Times New Roman" w:cs="Times New Roman"/>
          <w:color w:val="00000A"/>
        </w:rPr>
        <w:t>Mistry, J., &amp; Berardi, A. (2016).</w:t>
      </w:r>
      <w:r w:rsidR="00BA0544"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Bridging indigenous and scientific knowledge. </w:t>
      </w:r>
      <w:r w:rsidRPr="009B0448">
        <w:rPr>
          <w:rFonts w:ascii="Times New Roman" w:eastAsia="Times New Roman" w:hAnsi="Times New Roman" w:cs="Times New Roman"/>
          <w:i/>
          <w:color w:val="00000A"/>
        </w:rPr>
        <w:t>Science, 352</w:t>
      </w:r>
      <w:r w:rsidRPr="009B0448">
        <w:rPr>
          <w:rFonts w:ascii="Times New Roman" w:eastAsia="Times New Roman" w:hAnsi="Times New Roman" w:cs="Times New Roman"/>
          <w:color w:val="00000A"/>
        </w:rPr>
        <w:t xml:space="preserve">(6291), 1274–1275. </w:t>
      </w:r>
      <w:hyperlink r:id="rId249" w:history="1">
        <w:r w:rsidRPr="009B0448">
          <w:rPr>
            <w:rStyle w:val="Hyperlink"/>
            <w:rFonts w:ascii="Times New Roman" w:eastAsia="Times New Roman" w:hAnsi="Times New Roman" w:cs="Times New Roman"/>
          </w:rPr>
          <w:t>https://doi.org/10.1126/science.aaf1160</w:t>
        </w:r>
      </w:hyperlink>
    </w:p>
    <w:p w14:paraId="6E00D00C" w14:textId="39A9A245" w:rsidR="001A3B0A" w:rsidRPr="009B0448" w:rsidRDefault="001A3B0A" w:rsidP="00D466D9">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Mittermeier, R. A., Gil, P. R., Hoffman, M., Pilgrim, J., Brooks, T., Mittermeier, C. G., lamoreux, J., &amp; Da Fonseca, G. A. B.</w:t>
      </w:r>
      <w:r w:rsidRPr="009B0448">
        <w:rPr>
          <w:rFonts w:ascii="Times New Roman" w:hAnsi="Times New Roman" w:cs="Times New Roman"/>
          <w:color w:val="auto"/>
        </w:rPr>
        <w:t xml:space="preserve"> (2004). </w:t>
      </w:r>
      <w:r w:rsidRPr="009B0448">
        <w:rPr>
          <w:rFonts w:ascii="Times New Roman" w:hAnsi="Times New Roman" w:cs="Times New Roman"/>
          <w:i/>
          <w:color w:val="auto"/>
        </w:rPr>
        <w:t>Hotspots revisited: Earth’s biologically richest and most endangered terrestrial ecoregions.</w:t>
      </w:r>
      <w:r w:rsidRPr="009B0448">
        <w:rPr>
          <w:rFonts w:ascii="Times New Roman" w:hAnsi="Times New Roman" w:cs="Times New Roman"/>
          <w:color w:val="auto"/>
        </w:rPr>
        <w:t xml:space="preserve"> Chicago</w:t>
      </w:r>
      <w:r w:rsidR="00BA0544" w:rsidRPr="009B0448">
        <w:rPr>
          <w:rFonts w:ascii="Times New Roman" w:hAnsi="Times New Roman" w:cs="Times New Roman"/>
          <w:color w:val="auto"/>
        </w:rPr>
        <w:t>, Il, USA</w:t>
      </w:r>
      <w:r w:rsidRPr="009B0448">
        <w:rPr>
          <w:rFonts w:ascii="Times New Roman" w:hAnsi="Times New Roman" w:cs="Times New Roman"/>
          <w:color w:val="auto"/>
        </w:rPr>
        <w:t>: University of Chicago Press for Conservation International.</w:t>
      </w:r>
      <w:r w:rsidRPr="009B0448">
        <w:rPr>
          <w:rFonts w:ascii="Times New Roman" w:hAnsi="Times New Roman" w:cs="Times New Roman"/>
        </w:rPr>
        <w:t xml:space="preserve"> </w:t>
      </w:r>
      <w:r w:rsidRPr="009B0448">
        <w:rPr>
          <w:rFonts w:ascii="Times New Roman" w:hAnsi="Times New Roman" w:cs="Times New Roman"/>
          <w:color w:val="auto"/>
        </w:rPr>
        <w:t>ISBN 9789686397772</w:t>
      </w:r>
    </w:p>
    <w:p w14:paraId="5893D9C5" w14:textId="532C8A62" w:rsidR="00364CA6"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Molden, D., Frenken, K., Barker, R., </w:t>
      </w:r>
      <w:r w:rsidR="00364CA6" w:rsidRPr="009B0448">
        <w:rPr>
          <w:rFonts w:ascii="Times New Roman" w:eastAsia="Times New Roman" w:hAnsi="Times New Roman" w:cs="Times New Roman"/>
          <w:color w:val="00000A"/>
          <w:lang w:val="de-DE"/>
        </w:rPr>
        <w:t>de Fraiture, C.</w:t>
      </w:r>
      <w:r w:rsidRPr="009B0448">
        <w:rPr>
          <w:rFonts w:ascii="Times New Roman" w:eastAsia="Times New Roman" w:hAnsi="Times New Roman" w:cs="Times New Roman"/>
          <w:color w:val="00000A"/>
          <w:lang w:val="de-DE"/>
        </w:rPr>
        <w:t xml:space="preserve">, Mati, B., Svendsen, M., </w:t>
      </w:r>
      <w:r w:rsidR="00364CA6" w:rsidRPr="009B0448">
        <w:rPr>
          <w:rFonts w:ascii="Times New Roman" w:eastAsia="Times New Roman" w:hAnsi="Times New Roman" w:cs="Times New Roman"/>
          <w:color w:val="00000A"/>
          <w:lang w:val="de-DE"/>
        </w:rPr>
        <w:t>Sadoff, C., Finlayson, C., &amp; M.</w:t>
      </w:r>
      <w:r w:rsidRPr="009B0448">
        <w:rPr>
          <w:rFonts w:ascii="Times New Roman" w:eastAsia="Times New Roman" w:hAnsi="Times New Roman" w:cs="Times New Roman"/>
          <w:color w:val="00000A"/>
        </w:rPr>
        <w:t xml:space="preserve">. (2007). Trends in water and agricultural development. In D. Molden (Ed.), </w:t>
      </w:r>
      <w:r w:rsidRPr="009B0448">
        <w:rPr>
          <w:rFonts w:ascii="Times New Roman" w:eastAsia="Times New Roman" w:hAnsi="Times New Roman" w:cs="Times New Roman"/>
          <w:i/>
          <w:color w:val="00000A"/>
        </w:rPr>
        <w:t>Wa</w:t>
      </w:r>
      <w:r w:rsidR="00BA0544" w:rsidRPr="009B0448">
        <w:rPr>
          <w:rFonts w:ascii="Times New Roman" w:eastAsia="Times New Roman" w:hAnsi="Times New Roman" w:cs="Times New Roman"/>
          <w:i/>
          <w:color w:val="00000A"/>
        </w:rPr>
        <w:t>ter for food, water for life : A</w:t>
      </w:r>
      <w:r w:rsidRPr="009B0448">
        <w:rPr>
          <w:rFonts w:ascii="Times New Roman" w:eastAsia="Times New Roman" w:hAnsi="Times New Roman" w:cs="Times New Roman"/>
          <w:i/>
          <w:color w:val="00000A"/>
        </w:rPr>
        <w:t xml:space="preserve"> comprehensive assessment of water management in agriculture</w:t>
      </w:r>
      <w:r w:rsidRPr="009B0448">
        <w:rPr>
          <w:rFonts w:ascii="Times New Roman" w:eastAsia="Times New Roman" w:hAnsi="Times New Roman" w:cs="Times New Roman"/>
          <w:color w:val="00000A"/>
        </w:rPr>
        <w:t xml:space="preserve"> (pp. 57–89). Lond</w:t>
      </w:r>
      <w:r w:rsidR="00BA0544" w:rsidRPr="009B0448">
        <w:rPr>
          <w:rFonts w:ascii="Times New Roman" w:eastAsia="Times New Roman" w:hAnsi="Times New Roman" w:cs="Times New Roman"/>
          <w:color w:val="00000A"/>
        </w:rPr>
        <w:t>on, UK</w:t>
      </w:r>
      <w:r w:rsidRPr="009B0448">
        <w:rPr>
          <w:rFonts w:ascii="Times New Roman" w:eastAsia="Times New Roman" w:hAnsi="Times New Roman" w:cs="Times New Roman"/>
          <w:color w:val="00000A"/>
        </w:rPr>
        <w:t xml:space="preserve">: Earthscan. Retrieved from </w:t>
      </w:r>
      <w:hyperlink r:id="rId250" w:history="1">
        <w:r w:rsidR="00364CA6" w:rsidRPr="009B0448">
          <w:rPr>
            <w:rStyle w:val="Hyperlink"/>
            <w:rFonts w:ascii="Times New Roman" w:eastAsia="Times New Roman" w:hAnsi="Times New Roman" w:cs="Times New Roman"/>
          </w:rPr>
          <w:t>http://www.iwmi.cgiar.org/assessment/Water%20for%20Food%20Water%20for%20Life/Chapters/Chapter%202%20Trends.pdf</w:t>
        </w:r>
      </w:hyperlink>
    </w:p>
    <w:p w14:paraId="47DBAAA2" w14:textId="5962BAF3" w:rsidR="001A3B0A" w:rsidRPr="009B0448" w:rsidRDefault="00364CA6"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Moore, J. L., Manne, L., Brooks, T., Burgess, N. D., Davies, R., Rahbek, C., Williams, P., &amp; Balmford, A.</w:t>
      </w:r>
      <w:r w:rsidR="001A3B0A" w:rsidRPr="009B0448">
        <w:rPr>
          <w:rFonts w:ascii="Times New Roman" w:eastAsia="Times New Roman" w:hAnsi="Times New Roman" w:cs="Times New Roman"/>
          <w:color w:val="00000A"/>
        </w:rPr>
        <w:t xml:space="preserve"> (2002)</w:t>
      </w:r>
      <w:r w:rsidRPr="009B0448">
        <w:rPr>
          <w:rFonts w:ascii="Times New Roman" w:eastAsia="Times New Roman" w:hAnsi="Times New Roman" w:cs="Times New Roman"/>
          <w:color w:val="00000A"/>
        </w:rPr>
        <w:t>.</w:t>
      </w:r>
      <w:r w:rsidR="001A3B0A" w:rsidRPr="009B0448">
        <w:rPr>
          <w:rFonts w:ascii="Times New Roman" w:eastAsia="Times New Roman" w:hAnsi="Times New Roman" w:cs="Times New Roman"/>
          <w:color w:val="00000A"/>
        </w:rPr>
        <w:t xml:space="preserve"> The distribution of cultural and biological diversity in Africa. </w:t>
      </w:r>
      <w:r w:rsidRPr="009B0448">
        <w:rPr>
          <w:rFonts w:ascii="Times New Roman" w:eastAsia="Times New Roman" w:hAnsi="Times New Roman" w:cs="Times New Roman"/>
          <w:i/>
          <w:color w:val="00000A"/>
        </w:rPr>
        <w:t>Proceedings of the Royal Society of London B: Biological Sciences,</w:t>
      </w:r>
      <w:r w:rsidR="001A3B0A"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269</w:t>
      </w:r>
      <w:r w:rsidRPr="009B0448">
        <w:rPr>
          <w:rFonts w:ascii="Times New Roman" w:eastAsia="Times New Roman" w:hAnsi="Times New Roman" w:cs="Times New Roman"/>
          <w:color w:val="00000A"/>
        </w:rPr>
        <w:t xml:space="preserve">(1501), </w:t>
      </w:r>
      <w:r w:rsidR="001A3B0A" w:rsidRPr="009B0448">
        <w:rPr>
          <w:rFonts w:ascii="Times New Roman" w:eastAsia="Times New Roman" w:hAnsi="Times New Roman" w:cs="Times New Roman"/>
          <w:color w:val="00000A"/>
        </w:rPr>
        <w:t>1645–1653</w:t>
      </w:r>
      <w:r w:rsidRPr="009B0448">
        <w:rPr>
          <w:rFonts w:ascii="Times New Roman" w:eastAsia="Times New Roman" w:hAnsi="Times New Roman" w:cs="Times New Roman"/>
          <w:color w:val="00000A"/>
        </w:rPr>
        <w:t xml:space="preserve">. </w:t>
      </w:r>
      <w:hyperlink r:id="rId251" w:history="1">
        <w:r w:rsidRPr="009B0448">
          <w:rPr>
            <w:rStyle w:val="Hyperlink"/>
            <w:rFonts w:ascii="Times New Roman" w:eastAsia="Times New Roman" w:hAnsi="Times New Roman" w:cs="Times New Roman"/>
          </w:rPr>
          <w:t>https://doi.org/10.1098/rspb.2002.2075</w:t>
        </w:r>
      </w:hyperlink>
    </w:p>
    <w:p w14:paraId="512DD295" w14:textId="408B0131"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Morgan, L. H</w:t>
      </w:r>
      <w:r w:rsidR="00F52E82" w:rsidRPr="009B0448">
        <w:rPr>
          <w:rFonts w:ascii="Times New Roman" w:eastAsia="Times New Roman" w:hAnsi="Times New Roman" w:cs="Times New Roman"/>
          <w:color w:val="00000A"/>
        </w:rPr>
        <w:t xml:space="preserve">. (1877). </w:t>
      </w:r>
      <w:r w:rsidR="00F52E82" w:rsidRPr="009B0448">
        <w:rPr>
          <w:rFonts w:ascii="Times New Roman" w:eastAsia="Times New Roman" w:hAnsi="Times New Roman" w:cs="Times New Roman"/>
          <w:i/>
          <w:color w:val="00000A"/>
        </w:rPr>
        <w:t xml:space="preserve">La société archaïque. </w:t>
      </w:r>
      <w:r w:rsidRPr="009B0448">
        <w:rPr>
          <w:rFonts w:ascii="Times New Roman" w:eastAsia="Times New Roman" w:hAnsi="Times New Roman" w:cs="Times New Roman"/>
          <w:i/>
          <w:color w:val="00000A"/>
        </w:rPr>
        <w:t>Anthropos.</w:t>
      </w:r>
      <w:r w:rsidRPr="009B0448">
        <w:rPr>
          <w:rFonts w:ascii="Times New Roman" w:eastAsia="Times New Roman" w:hAnsi="Times New Roman" w:cs="Times New Roman"/>
          <w:color w:val="00000A"/>
        </w:rPr>
        <w:t xml:space="preserve"> Retrieved from </w:t>
      </w:r>
      <w:hyperlink r:id="rId252" w:history="1">
        <w:r w:rsidRPr="009B0448">
          <w:rPr>
            <w:rStyle w:val="Hyperlink"/>
            <w:rFonts w:ascii="Times New Roman" w:eastAsia="Times New Roman" w:hAnsi="Times New Roman" w:cs="Times New Roman"/>
          </w:rPr>
          <w:t>http://classiques.uqac.ca/classiques/morgan_lewis_henry/societe_archaique/societe_archaique.html</w:t>
        </w:r>
      </w:hyperlink>
    </w:p>
    <w:p w14:paraId="65F46DC7" w14:textId="2FB9953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Moyo, M., Aremu, A. O., &amp; van Staden, J. (2015). </w:t>
      </w:r>
      <w:r w:rsidRPr="009B0448">
        <w:rPr>
          <w:rFonts w:ascii="Times New Roman" w:eastAsia="Times New Roman" w:hAnsi="Times New Roman" w:cs="Times New Roman"/>
          <w:color w:val="00000A"/>
        </w:rPr>
        <w:t xml:space="preserve">Medicinal plants: An invaluable, dwindling resource in sub-Saharan Africa. </w:t>
      </w:r>
      <w:r w:rsidRPr="009B0448">
        <w:rPr>
          <w:rFonts w:ascii="Times New Roman" w:eastAsia="Times New Roman" w:hAnsi="Times New Roman" w:cs="Times New Roman"/>
          <w:i/>
          <w:color w:val="00000A"/>
        </w:rPr>
        <w:t>Journal of Ethnopharmacology, 174</w:t>
      </w:r>
      <w:r w:rsidRPr="009B0448">
        <w:rPr>
          <w:rFonts w:ascii="Times New Roman" w:eastAsia="Times New Roman" w:hAnsi="Times New Roman" w:cs="Times New Roman"/>
          <w:color w:val="00000A"/>
        </w:rPr>
        <w:t xml:space="preserve">, 595–606. </w:t>
      </w:r>
      <w:hyperlink r:id="rId253" w:history="1">
        <w:r w:rsidRPr="009B0448">
          <w:rPr>
            <w:rStyle w:val="Hyperlink"/>
            <w:rFonts w:ascii="Times New Roman" w:eastAsia="Times New Roman" w:hAnsi="Times New Roman" w:cs="Times New Roman"/>
          </w:rPr>
          <w:t>https://doi.org/10.1016/j.jep.2015.04.034</w:t>
        </w:r>
      </w:hyperlink>
    </w:p>
    <w:p w14:paraId="6D24485A" w14:textId="146B2706"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Muller, F. and Burkhard, B. (2012). The indicator side of ecosystem services. </w:t>
      </w:r>
      <w:r w:rsidRPr="009B0448">
        <w:rPr>
          <w:rFonts w:ascii="Times New Roman" w:eastAsia="Times New Roman" w:hAnsi="Times New Roman" w:cs="Times New Roman"/>
          <w:i/>
          <w:color w:val="00000A"/>
        </w:rPr>
        <w:t>Ecosystem Services, 1</w:t>
      </w:r>
      <w:r w:rsidR="00F52E82"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 xml:space="preserve"> 26–30.</w:t>
      </w:r>
      <w:r w:rsidR="00F52E82" w:rsidRPr="009B0448">
        <w:rPr>
          <w:rFonts w:ascii="Times New Roman" w:eastAsia="Times New Roman" w:hAnsi="Times New Roman" w:cs="Times New Roman"/>
          <w:color w:val="00000A"/>
        </w:rPr>
        <w:t xml:space="preserve"> </w:t>
      </w:r>
      <w:hyperlink r:id="rId254" w:history="1">
        <w:r w:rsidR="00F52E82" w:rsidRPr="009B0448">
          <w:rPr>
            <w:rStyle w:val="Hyperlink"/>
            <w:rFonts w:ascii="Times New Roman" w:eastAsia="Times New Roman" w:hAnsi="Times New Roman" w:cs="Times New Roman"/>
          </w:rPr>
          <w:t>https://doi.org/10.1016/j.ecoser.2012.06.001</w:t>
        </w:r>
      </w:hyperlink>
    </w:p>
    <w:p w14:paraId="23F89577" w14:textId="2E5AB71E"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Murombedzi, J. (2003). Pre-colonial and colonial conservation practices in southern Africa and their legacy today. IUCN unpublished manus</w:t>
      </w:r>
      <w:r w:rsidR="00F52E82" w:rsidRPr="009B0448">
        <w:rPr>
          <w:rFonts w:ascii="Times New Roman" w:eastAsia="Times New Roman" w:hAnsi="Times New Roman" w:cs="Times New Roman"/>
          <w:color w:val="00000A"/>
        </w:rPr>
        <w:t>cript. Gland, Switzerland: IUCN</w:t>
      </w:r>
      <w:r w:rsidRPr="009B0448">
        <w:rPr>
          <w:rFonts w:ascii="Times New Roman" w:eastAsia="Times New Roman" w:hAnsi="Times New Roman" w:cs="Times New Roman"/>
          <w:color w:val="00000A"/>
        </w:rPr>
        <w:t xml:space="preserve">. Retrieved from </w:t>
      </w:r>
      <w:hyperlink r:id="rId255" w:history="1">
        <w:r w:rsidRPr="009B0448">
          <w:rPr>
            <w:rStyle w:val="Hyperlink"/>
            <w:rFonts w:ascii="Times New Roman" w:eastAsia="Times New Roman" w:hAnsi="Times New Roman" w:cs="Times New Roman"/>
          </w:rPr>
          <w:t>http://cmsdata.iucn.org/downloads/cca_jmurombedzi.pdf</w:t>
        </w:r>
      </w:hyperlink>
    </w:p>
    <w:p w14:paraId="128AB7F2" w14:textId="429179C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Murray, K. A., Allen, T., Loh, E., Machalaba, C., &amp; Daszak, P. (2016). Emerging </w:t>
      </w:r>
      <w:r w:rsidR="00F52E82" w:rsidRPr="009B0448">
        <w:rPr>
          <w:rFonts w:ascii="Times New Roman" w:eastAsia="Times New Roman" w:hAnsi="Times New Roman" w:cs="Times New Roman"/>
          <w:color w:val="00000A"/>
        </w:rPr>
        <w:t>viral zoonoses from wildlife associated with animal-based food systems: Risks and o</w:t>
      </w:r>
      <w:r w:rsidRPr="009B0448">
        <w:rPr>
          <w:rFonts w:ascii="Times New Roman" w:eastAsia="Times New Roman" w:hAnsi="Times New Roman" w:cs="Times New Roman"/>
          <w:color w:val="00000A"/>
        </w:rPr>
        <w:t xml:space="preserve">pportunities. In M. Jay-Russell &amp; M. P. Doyle (Eds.), </w:t>
      </w:r>
      <w:r w:rsidR="00F52E82" w:rsidRPr="009B0448">
        <w:rPr>
          <w:rFonts w:ascii="Times New Roman" w:eastAsia="Times New Roman" w:hAnsi="Times New Roman" w:cs="Times New Roman"/>
          <w:i/>
          <w:color w:val="00000A"/>
        </w:rPr>
        <w:t>Food safety risks from wildlife</w:t>
      </w:r>
      <w:r w:rsidR="00F52E82"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(pp. 31–57). </w:t>
      </w:r>
      <w:r w:rsidR="00F52E82" w:rsidRPr="009B0448">
        <w:rPr>
          <w:rFonts w:ascii="Times New Roman" w:eastAsia="Times New Roman" w:hAnsi="Times New Roman" w:cs="Times New Roman"/>
          <w:color w:val="00000A"/>
        </w:rPr>
        <w:t xml:space="preserve">Cham, Switzerland: </w:t>
      </w:r>
      <w:r w:rsidRPr="009B0448">
        <w:rPr>
          <w:rFonts w:ascii="Times New Roman" w:eastAsia="Times New Roman" w:hAnsi="Times New Roman" w:cs="Times New Roman"/>
          <w:color w:val="00000A"/>
        </w:rPr>
        <w:t xml:space="preserve">Springer. Retrieved from </w:t>
      </w:r>
      <w:hyperlink r:id="rId256" w:history="1">
        <w:r w:rsidRPr="009B0448">
          <w:rPr>
            <w:rStyle w:val="Hyperlink"/>
            <w:rFonts w:ascii="Times New Roman" w:eastAsia="Times New Roman" w:hAnsi="Times New Roman" w:cs="Times New Roman"/>
          </w:rPr>
          <w:t>https://doi.org/10.1007/978-3-319-24442-6_2</w:t>
        </w:r>
      </w:hyperlink>
    </w:p>
    <w:p w14:paraId="6EBF7DDA" w14:textId="41E0650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Mutanga, C., Zulu, E., &amp; de Souza, R. (2012).</w:t>
      </w:r>
      <w:r w:rsidR="007D10D2"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Population dynamics, climate change, and sustainable development in Africa.</w:t>
      </w:r>
      <w:r w:rsidRPr="009B0448">
        <w:rPr>
          <w:rFonts w:ascii="Times New Roman" w:eastAsia="Times New Roman" w:hAnsi="Times New Roman" w:cs="Times New Roman"/>
          <w:color w:val="00000A"/>
        </w:rPr>
        <w:t xml:space="preserve"> African Institute for Development Policy. Retrieved from </w:t>
      </w:r>
      <w:hyperlink r:id="rId257" w:history="1">
        <w:r w:rsidR="007D10D2" w:rsidRPr="009B0448">
          <w:rPr>
            <w:rStyle w:val="Hyperlink"/>
            <w:rFonts w:ascii="Times New Roman" w:eastAsia="Times New Roman" w:hAnsi="Times New Roman" w:cs="Times New Roman"/>
          </w:rPr>
          <w:t>https://www.afidep.org/download/Population-Dynamics-Climate-Change-and-Sustainable-Development-in-Africa</w:t>
        </w:r>
      </w:hyperlink>
    </w:p>
    <w:p w14:paraId="434C0437" w14:textId="2E162A30"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Mwangi, E., &amp; Swallow, B. (2005). Invasion of </w:t>
      </w:r>
      <w:r w:rsidRPr="009B0448">
        <w:rPr>
          <w:rFonts w:ascii="Times New Roman" w:eastAsia="Times New Roman" w:hAnsi="Times New Roman" w:cs="Times New Roman"/>
          <w:i/>
          <w:color w:val="00000A"/>
        </w:rPr>
        <w:t>Prosopis juliflora</w:t>
      </w:r>
      <w:r w:rsidRPr="009B0448">
        <w:rPr>
          <w:rFonts w:ascii="Times New Roman" w:eastAsia="Times New Roman" w:hAnsi="Times New Roman" w:cs="Times New Roman"/>
          <w:color w:val="00000A"/>
        </w:rPr>
        <w:t xml:space="preserve"> and local livelihoods: Case study from the lake Baringo area of Kenya. Nairobi, Kenya: World Agroforestry Centre.</w:t>
      </w:r>
      <w:r w:rsidR="007D10D2" w:rsidRPr="009B0448">
        <w:rPr>
          <w:rFonts w:ascii="Times New Roman" w:eastAsia="Times New Roman" w:hAnsi="Times New Roman" w:cs="Times New Roman"/>
          <w:color w:val="00000A"/>
        </w:rPr>
        <w:t xml:space="preserve"> Retrieved from </w:t>
      </w:r>
      <w:hyperlink r:id="rId258" w:history="1">
        <w:r w:rsidR="007D10D2" w:rsidRPr="009B0448">
          <w:rPr>
            <w:rStyle w:val="Hyperlink"/>
            <w:rFonts w:ascii="Times New Roman" w:eastAsia="Times New Roman" w:hAnsi="Times New Roman" w:cs="Times New Roman"/>
          </w:rPr>
          <w:t>http://www.worldagroforestry.org/downloads/Publications/PDFs/WP12051.PDF</w:t>
        </w:r>
      </w:hyperlink>
    </w:p>
    <w:p w14:paraId="564A7ABC" w14:textId="2A5E9E0A"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Myers, S. S., Gaffikin, L., Golden, C. D., Ostfeld, R. S., Redford, K. H., Ricketts, T. H., </w:t>
      </w:r>
      <w:r w:rsidR="007D10D2" w:rsidRPr="009B0448">
        <w:rPr>
          <w:rFonts w:ascii="Times New Roman" w:eastAsia="Times New Roman" w:hAnsi="Times New Roman" w:cs="Times New Roman"/>
          <w:color w:val="00000A"/>
        </w:rPr>
        <w:t>Turner, W. R., &amp;</w:t>
      </w:r>
      <w:r w:rsidRPr="009B0448">
        <w:rPr>
          <w:rFonts w:ascii="Times New Roman" w:eastAsia="Times New Roman" w:hAnsi="Times New Roman" w:cs="Times New Roman"/>
          <w:color w:val="00000A"/>
        </w:rPr>
        <w:t xml:space="preserve"> Osofsky, S. A. (2013). Human health impacts of ecosystem alteration. </w:t>
      </w:r>
      <w:r w:rsidR="00364CA6" w:rsidRPr="009B0448">
        <w:rPr>
          <w:rFonts w:ascii="Times New Roman" w:eastAsia="Times New Roman" w:hAnsi="Times New Roman" w:cs="Times New Roman"/>
          <w:i/>
          <w:lang w:val="en-ZA" w:eastAsia="en-GB"/>
        </w:rPr>
        <w:t>Proceedings of the National Academy of Sciences</w:t>
      </w:r>
      <w:r w:rsidR="00364CA6" w:rsidRPr="009B0448">
        <w:rPr>
          <w:rFonts w:ascii="Times New Roman" w:eastAsia="Times New Roman" w:hAnsi="Times New Roman" w:cs="Times New Roman"/>
          <w:lang w:val="en-ZA" w:eastAsia="en-GB"/>
        </w:rPr>
        <w:t xml:space="preserve"> </w:t>
      </w:r>
      <w:r w:rsidR="00364CA6" w:rsidRPr="009B0448">
        <w:rPr>
          <w:rFonts w:ascii="Times New Roman" w:eastAsia="Times New Roman" w:hAnsi="Times New Roman" w:cs="Times New Roman"/>
          <w:i/>
          <w:lang w:val="en-ZA" w:eastAsia="en-GB"/>
        </w:rPr>
        <w:t>of the United States of America</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110</w:t>
      </w:r>
      <w:r w:rsidRPr="009B0448">
        <w:rPr>
          <w:rFonts w:ascii="Times New Roman" w:eastAsia="Times New Roman" w:hAnsi="Times New Roman" w:cs="Times New Roman"/>
          <w:color w:val="00000A"/>
        </w:rPr>
        <w:t xml:space="preserve">(47), 18753–18760. </w:t>
      </w:r>
      <w:hyperlink r:id="rId259" w:history="1">
        <w:r w:rsidRPr="009B0448">
          <w:rPr>
            <w:rStyle w:val="Hyperlink"/>
            <w:rFonts w:ascii="Times New Roman" w:eastAsia="Times New Roman" w:hAnsi="Times New Roman" w:cs="Times New Roman"/>
          </w:rPr>
          <w:t>https://doi.org/10.1073/pnas.1218656110</w:t>
        </w:r>
      </w:hyperlink>
    </w:p>
    <w:p w14:paraId="02536674" w14:textId="0AE1BD14"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Nachtergaele, F., Biancalani, R., &amp; Petri, M. (2011). </w:t>
      </w:r>
      <w:r w:rsidRPr="009B0448">
        <w:rPr>
          <w:rFonts w:ascii="Times New Roman" w:eastAsia="Times New Roman" w:hAnsi="Times New Roman" w:cs="Times New Roman"/>
          <w:i/>
          <w:color w:val="00000A"/>
        </w:rPr>
        <w:t>Land degradation: SOLAW background thematic report (No. 3).</w:t>
      </w:r>
      <w:r w:rsidRPr="009B0448">
        <w:rPr>
          <w:rFonts w:ascii="Times New Roman" w:eastAsia="Times New Roman" w:hAnsi="Times New Roman" w:cs="Times New Roman"/>
          <w:color w:val="00000A"/>
        </w:rPr>
        <w:t xml:space="preserve"> Rome</w:t>
      </w:r>
      <w:r w:rsidR="007D10D2" w:rsidRPr="009B0448">
        <w:rPr>
          <w:rFonts w:ascii="Times New Roman" w:eastAsia="Times New Roman" w:hAnsi="Times New Roman" w:cs="Times New Roman"/>
          <w:color w:val="00000A"/>
        </w:rPr>
        <w:t>, Italy</w:t>
      </w:r>
      <w:r w:rsidRPr="009B0448">
        <w:rPr>
          <w:rFonts w:ascii="Times New Roman" w:eastAsia="Times New Roman" w:hAnsi="Times New Roman" w:cs="Times New Roman"/>
          <w:color w:val="00000A"/>
        </w:rPr>
        <w:t xml:space="preserve">: Food and Agriculture Organization of the United Nations. Retrieved from </w:t>
      </w:r>
      <w:hyperlink r:id="rId260" w:history="1">
        <w:r w:rsidRPr="009B0448">
          <w:rPr>
            <w:rStyle w:val="Hyperlink"/>
            <w:rFonts w:ascii="Times New Roman" w:eastAsia="Times New Roman" w:hAnsi="Times New Roman" w:cs="Times New Roman"/>
          </w:rPr>
          <w:t>www.fao.org/fileadmin/templates/solaw/files/thematic_reports/SOLAW_thematic_report_3_land_degradation.pdf</w:t>
        </w:r>
      </w:hyperlink>
    </w:p>
    <w:p w14:paraId="548E0FAF" w14:textId="7D5D7A79"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Naik, P. K. (</w:t>
      </w:r>
      <w:r w:rsidR="007D10D2" w:rsidRPr="009B0448">
        <w:rPr>
          <w:rFonts w:ascii="Times New Roman" w:eastAsia="Times New Roman" w:hAnsi="Times New Roman" w:cs="Times New Roman"/>
          <w:color w:val="00000A"/>
        </w:rPr>
        <w:t>2017). Water crisis in Africa: M</w:t>
      </w:r>
      <w:r w:rsidRPr="009B0448">
        <w:rPr>
          <w:rFonts w:ascii="Times New Roman" w:eastAsia="Times New Roman" w:hAnsi="Times New Roman" w:cs="Times New Roman"/>
          <w:color w:val="00000A"/>
        </w:rPr>
        <w:t xml:space="preserve">yth or reality? </w:t>
      </w:r>
      <w:r w:rsidRPr="009B0448">
        <w:rPr>
          <w:rFonts w:ascii="Times New Roman" w:eastAsia="Times New Roman" w:hAnsi="Times New Roman" w:cs="Times New Roman"/>
          <w:i/>
          <w:color w:val="00000A"/>
        </w:rPr>
        <w:t>International Journal of Water Resources Development, 33</w:t>
      </w:r>
      <w:r w:rsidRPr="009B0448">
        <w:rPr>
          <w:rFonts w:ascii="Times New Roman" w:eastAsia="Times New Roman" w:hAnsi="Times New Roman" w:cs="Times New Roman"/>
          <w:color w:val="00000A"/>
        </w:rPr>
        <w:t xml:space="preserve">(2), 326–339. </w:t>
      </w:r>
      <w:hyperlink r:id="rId261" w:history="1">
        <w:r w:rsidRPr="009B0448">
          <w:rPr>
            <w:rStyle w:val="Hyperlink"/>
            <w:rFonts w:ascii="Times New Roman" w:eastAsia="Times New Roman" w:hAnsi="Times New Roman" w:cs="Times New Roman"/>
          </w:rPr>
          <w:t>https://doi.org/10.1080/07900627.2016.1188266</w:t>
        </w:r>
      </w:hyperlink>
    </w:p>
    <w:p w14:paraId="68FC9879" w14:textId="3FDCB901"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Nakashima, D., &amp; Roué, M. (2002).</w:t>
      </w:r>
      <w:r w:rsidR="007D10D2" w:rsidRPr="009B0448">
        <w:rPr>
          <w:rFonts w:ascii="Times New Roman" w:eastAsia="Times New Roman" w:hAnsi="Times New Roman" w:cs="Times New Roman"/>
          <w:color w:val="00000A"/>
        </w:rPr>
        <w:t xml:space="preserve"> I</w:t>
      </w:r>
      <w:r w:rsidRPr="009B0448">
        <w:rPr>
          <w:rFonts w:ascii="Times New Roman" w:eastAsia="Times New Roman" w:hAnsi="Times New Roman" w:cs="Times New Roman"/>
          <w:color w:val="00000A"/>
        </w:rPr>
        <w:t xml:space="preserve">ndigenous knowledge, peoples and sustainable practice. In T. Munn (Ed.), </w:t>
      </w:r>
      <w:r w:rsidRPr="009B0448">
        <w:rPr>
          <w:rFonts w:ascii="Times New Roman" w:eastAsia="Times New Roman" w:hAnsi="Times New Roman" w:cs="Times New Roman"/>
          <w:i/>
          <w:color w:val="00000A"/>
        </w:rPr>
        <w:t>Encyclopedia of global environmental change</w:t>
      </w:r>
      <w:r w:rsidRPr="009B0448">
        <w:rPr>
          <w:rFonts w:ascii="Times New Roman" w:eastAsia="Times New Roman" w:hAnsi="Times New Roman" w:cs="Times New Roman"/>
          <w:color w:val="00000A"/>
        </w:rPr>
        <w:t xml:space="preserve"> (Vol. 5, pp. 314–324). New York, NY, USA: John Wiley &amp; Sons.</w:t>
      </w:r>
      <w:r w:rsidR="007D10D2" w:rsidRPr="009B0448">
        <w:rPr>
          <w:rFonts w:ascii="Times New Roman" w:eastAsia="Times New Roman" w:hAnsi="Times New Roman" w:cs="Times New Roman"/>
          <w:color w:val="00000A"/>
        </w:rPr>
        <w:t xml:space="preserve"> Retrieved from </w:t>
      </w:r>
      <w:hyperlink r:id="rId262" w:history="1">
        <w:r w:rsidR="007D10D2" w:rsidRPr="009B0448">
          <w:rPr>
            <w:rStyle w:val="Hyperlink"/>
            <w:rFonts w:ascii="Times New Roman" w:eastAsia="Times New Roman" w:hAnsi="Times New Roman" w:cs="Times New Roman"/>
          </w:rPr>
          <w:t>http://www.unesco.org/new/fileadmin/MULTIMEDIA/HQ/SC/pdf/sc_LINKS-art%20EGEC.pdf</w:t>
        </w:r>
      </w:hyperlink>
    </w:p>
    <w:p w14:paraId="3D723A04" w14:textId="7917B910" w:rsidR="001A3B0A" w:rsidRPr="009B0448" w:rsidRDefault="007D10D2"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Nelson, G. C., Bennett, E., Berhe, A. A., Cassman, K., DeFries, R., Dietz, T., Dobermann, A., Dobson, A, Janetos, A., Levy, M., Marco, D.</w:t>
      </w:r>
      <w:r w:rsidR="00DD1CB5" w:rsidRPr="009B0448">
        <w:rPr>
          <w:rFonts w:ascii="Times New Roman" w:eastAsia="Times New Roman" w:hAnsi="Times New Roman" w:cs="Times New Roman"/>
          <w:color w:val="00000A"/>
        </w:rPr>
        <w:t>,</w:t>
      </w:r>
      <w:r w:rsidR="001A3B0A" w:rsidRPr="009B0448">
        <w:rPr>
          <w:rFonts w:ascii="Times New Roman" w:eastAsia="Times New Roman" w:hAnsi="Times New Roman" w:cs="Times New Roman"/>
          <w:color w:val="00000A"/>
        </w:rPr>
        <w:t xml:space="preserve"> </w:t>
      </w:r>
      <w:r w:rsidR="00DD1CB5" w:rsidRPr="009B0448">
        <w:rPr>
          <w:rFonts w:ascii="Times New Roman" w:eastAsia="Times New Roman" w:hAnsi="Times New Roman" w:cs="Times New Roman"/>
          <w:color w:val="00000A"/>
        </w:rPr>
        <w:t xml:space="preserve">Nakicenovic, N., O'Neill, B., Norgaard, R., Petschel-Held, G., Ojima, D., Pingali, P., Watson, R., &amp; Zurek, M. </w:t>
      </w:r>
      <w:r w:rsidR="001A3B0A" w:rsidRPr="009B0448">
        <w:rPr>
          <w:rFonts w:ascii="Times New Roman" w:eastAsia="Times New Roman" w:hAnsi="Times New Roman" w:cs="Times New Roman"/>
          <w:color w:val="00000A"/>
        </w:rPr>
        <w:t>(2006). Anthropogeni</w:t>
      </w:r>
      <w:r w:rsidRPr="009B0448">
        <w:rPr>
          <w:rFonts w:ascii="Times New Roman" w:eastAsia="Times New Roman" w:hAnsi="Times New Roman" w:cs="Times New Roman"/>
          <w:color w:val="00000A"/>
        </w:rPr>
        <w:t>c drivers of ecosystem change: A</w:t>
      </w:r>
      <w:r w:rsidR="001A3B0A" w:rsidRPr="009B0448">
        <w:rPr>
          <w:rFonts w:ascii="Times New Roman" w:eastAsia="Times New Roman" w:hAnsi="Times New Roman" w:cs="Times New Roman"/>
          <w:color w:val="00000A"/>
        </w:rPr>
        <w:t xml:space="preserve">n overview. </w:t>
      </w:r>
      <w:r w:rsidR="001A3B0A" w:rsidRPr="009B0448">
        <w:rPr>
          <w:rFonts w:ascii="Times New Roman" w:eastAsia="Times New Roman" w:hAnsi="Times New Roman" w:cs="Times New Roman"/>
          <w:i/>
          <w:color w:val="00000A"/>
        </w:rPr>
        <w:t>Ecology and Society, 11</w:t>
      </w:r>
      <w:r w:rsidR="001A3B0A" w:rsidRPr="009B0448">
        <w:rPr>
          <w:rFonts w:ascii="Times New Roman" w:eastAsia="Times New Roman" w:hAnsi="Times New Roman" w:cs="Times New Roman"/>
          <w:color w:val="00000A"/>
        </w:rPr>
        <w:t>(2).</w:t>
      </w:r>
      <w:r w:rsidRPr="009B0448">
        <w:rPr>
          <w:rFonts w:ascii="Times New Roman" w:eastAsia="Times New Roman" w:hAnsi="Times New Roman" w:cs="Times New Roman"/>
          <w:color w:val="00000A"/>
        </w:rPr>
        <w:t xml:space="preserve"> Retrieved from </w:t>
      </w:r>
      <w:hyperlink r:id="rId263" w:history="1">
        <w:r w:rsidRPr="009B0448">
          <w:rPr>
            <w:rStyle w:val="Hyperlink"/>
            <w:rFonts w:ascii="Times New Roman" w:eastAsia="Times New Roman" w:hAnsi="Times New Roman" w:cs="Times New Roman"/>
          </w:rPr>
          <w:t>http://www.ecologyandsociety.org/vol11/iss2/art29/</w:t>
        </w:r>
      </w:hyperlink>
    </w:p>
    <w:p w14:paraId="6228800C" w14:textId="7660406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Nelson, J., &amp; Gami, N. (2003).</w:t>
      </w:r>
      <w:r w:rsidR="00DD1CB5"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 xml:space="preserve">Enhancing equity in the relationship between protected areas and indigenous and local communities in Central Africa, in the context of global change. </w:t>
      </w:r>
      <w:r w:rsidR="00830A8D" w:rsidRPr="009B0448">
        <w:rPr>
          <w:rFonts w:ascii="Times New Roman" w:eastAsia="Times New Roman" w:hAnsi="Times New Roman" w:cs="Times New Roman"/>
          <w:color w:val="00000A"/>
        </w:rPr>
        <w:t xml:space="preserve">TILPECA: IUCN/CEESP/WCPA theme on indigenous and local communities, equity and protected areas. </w:t>
      </w:r>
      <w:r w:rsidRPr="009B0448">
        <w:rPr>
          <w:rFonts w:ascii="Times New Roman" w:eastAsia="Times New Roman" w:hAnsi="Times New Roman" w:cs="Times New Roman"/>
          <w:color w:val="00000A"/>
        </w:rPr>
        <w:t>TILCEPA.</w:t>
      </w:r>
    </w:p>
    <w:p w14:paraId="46C528F8" w14:textId="54539C52" w:rsidR="001A3B0A" w:rsidRPr="009B0448" w:rsidRDefault="001A3B0A" w:rsidP="0033312D">
      <w:pPr>
        <w:spacing w:after="120" w:line="276" w:lineRule="auto"/>
        <w:ind w:left="567" w:hanging="567"/>
        <w:rPr>
          <w:rStyle w:val="notranslate"/>
          <w:rFonts w:ascii="Times New Roman" w:hAnsi="Times New Roman" w:cs="Times New Roman"/>
        </w:rPr>
      </w:pPr>
      <w:r w:rsidRPr="009B0448">
        <w:rPr>
          <w:rFonts w:ascii="Times New Roman" w:eastAsia="Times New Roman" w:hAnsi="Times New Roman" w:cs="Times New Roman"/>
          <w:color w:val="00000A"/>
        </w:rPr>
        <w:t>Ngonkeu, M. E. L., Nwaga, D., Adamou, S., Fokom, R., T</w:t>
      </w:r>
      <w:r w:rsidR="009C64E5" w:rsidRPr="009B0448">
        <w:rPr>
          <w:rFonts w:ascii="Times New Roman" w:eastAsia="Times New Roman" w:hAnsi="Times New Roman" w:cs="Times New Roman"/>
          <w:color w:val="00000A"/>
        </w:rPr>
        <w:t>chameni, N. S., Onguene, N. A., Nana, W. L., Chaintreuil, C., The, C., Amougou, A., Moulin, L., Prin, Y., Lebrun, M., &amp;</w:t>
      </w:r>
      <w:r w:rsidRPr="009B0448">
        <w:rPr>
          <w:rFonts w:ascii="Times New Roman" w:eastAsia="Times New Roman" w:hAnsi="Times New Roman" w:cs="Times New Roman"/>
          <w:color w:val="00000A"/>
        </w:rPr>
        <w:t xml:space="preserve"> Dreyfus, B. </w:t>
      </w:r>
      <w:r w:rsidRPr="009B0448">
        <w:rPr>
          <w:rFonts w:ascii="Times New Roman" w:eastAsia="Times New Roman" w:hAnsi="Times New Roman" w:cs="Times New Roman"/>
          <w:color w:val="00000A"/>
        </w:rPr>
        <w:lastRenderedPageBreak/>
        <w:t xml:space="preserve">(2013). Diversité des champignons mycorhiziens arbusculaires du Cameroun. In R. Duponnois, M. Hafidi, I. Ndoye, H. </w:t>
      </w:r>
      <w:r w:rsidR="009C64E5" w:rsidRPr="009B0448">
        <w:rPr>
          <w:rFonts w:ascii="Times New Roman" w:eastAsia="Times New Roman" w:hAnsi="Times New Roman" w:cs="Times New Roman"/>
          <w:color w:val="00000A"/>
        </w:rPr>
        <w:t xml:space="preserve">Ramanankierana, &amp; A.M. Ba </w:t>
      </w:r>
      <w:r w:rsidR="00830A8D" w:rsidRPr="009B0448">
        <w:rPr>
          <w:rFonts w:ascii="Times New Roman" w:eastAsia="Times New Roman" w:hAnsi="Times New Roman" w:cs="Times New Roman"/>
          <w:color w:val="00000A"/>
        </w:rPr>
        <w:t xml:space="preserve">(Eds.), </w:t>
      </w:r>
      <w:r w:rsidR="00830A8D" w:rsidRPr="009B0448">
        <w:rPr>
          <w:rFonts w:ascii="Times New Roman" w:eastAsia="Times New Roman" w:hAnsi="Times New Roman" w:cs="Times New Roman"/>
          <w:i/>
          <w:color w:val="00000A"/>
        </w:rPr>
        <w:t xml:space="preserve">Des Champignons Symbiotiques Contre La Desertification Ecosystemes Mediterraneens, Tropicaux Et Insulaires. </w:t>
      </w:r>
      <w:r w:rsidR="0026271E" w:rsidRPr="009B0448">
        <w:rPr>
          <w:rStyle w:val="notranslate"/>
          <w:rFonts w:ascii="Times New Roman" w:hAnsi="Times New Roman" w:cs="Times New Roman"/>
        </w:rPr>
        <w:t xml:space="preserve">Marseille, France: IRD. Retrieved from </w:t>
      </w:r>
      <w:hyperlink r:id="rId264" w:history="1">
        <w:r w:rsidR="0026271E" w:rsidRPr="009B0448">
          <w:rPr>
            <w:rStyle w:val="Hyperlink"/>
            <w:rFonts w:ascii="Times New Roman" w:hAnsi="Times New Roman" w:cs="Times New Roman"/>
          </w:rPr>
          <w:t>http://horizon.documentation.ird.fr/exl-doc/pleins_textes/divers15-04/010061528.pdf</w:t>
        </w:r>
      </w:hyperlink>
    </w:p>
    <w:p w14:paraId="14C19F6B" w14:textId="132F5B89"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Nhamo, G. (2013). Green economy readiness in South Africa: A focus on the national sphere of government. </w:t>
      </w:r>
      <w:r w:rsidRPr="009B0448">
        <w:rPr>
          <w:rFonts w:ascii="Times New Roman" w:eastAsia="Times New Roman" w:hAnsi="Times New Roman" w:cs="Times New Roman"/>
          <w:i/>
          <w:color w:val="00000A"/>
        </w:rPr>
        <w:t>International Journal of African Renaissance Studies</w:t>
      </w:r>
      <w:r w:rsidR="0026271E" w:rsidRPr="009B0448">
        <w:rPr>
          <w:rFonts w:ascii="Times New Roman" w:eastAsia="Times New Roman" w:hAnsi="Times New Roman" w:cs="Times New Roman"/>
          <w:i/>
          <w:color w:val="00000A"/>
        </w:rPr>
        <w:t xml:space="preserve"> </w:t>
      </w:r>
      <w:r w:rsidRPr="009B0448">
        <w:rPr>
          <w:rFonts w:ascii="Times New Roman" w:eastAsia="Times New Roman" w:hAnsi="Times New Roman" w:cs="Times New Roman"/>
          <w:i/>
          <w:color w:val="00000A"/>
        </w:rPr>
        <w:t>- Multi-, Inter- and Transdisciplinarity, 8</w:t>
      </w:r>
      <w:r w:rsidRPr="009B0448">
        <w:rPr>
          <w:rFonts w:ascii="Times New Roman" w:eastAsia="Times New Roman" w:hAnsi="Times New Roman" w:cs="Times New Roman"/>
          <w:color w:val="00000A"/>
        </w:rPr>
        <w:t xml:space="preserve">(1), 115–142. </w:t>
      </w:r>
      <w:hyperlink r:id="rId265" w:history="1">
        <w:r w:rsidRPr="009B0448">
          <w:rPr>
            <w:rStyle w:val="Hyperlink"/>
            <w:rFonts w:ascii="Times New Roman" w:eastAsia="Times New Roman" w:hAnsi="Times New Roman" w:cs="Times New Roman"/>
          </w:rPr>
          <w:t>https://doi.org/10.1080/18186874.2013.834628</w:t>
        </w:r>
      </w:hyperlink>
    </w:p>
    <w:p w14:paraId="630D7FDF" w14:textId="2B743C02"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Nhamo, G. (201</w:t>
      </w:r>
      <w:r w:rsidR="0026271E" w:rsidRPr="009B0448">
        <w:rPr>
          <w:rFonts w:ascii="Times New Roman" w:eastAsia="Times New Roman" w:hAnsi="Times New Roman" w:cs="Times New Roman"/>
          <w:color w:val="00000A"/>
        </w:rPr>
        <w:t>7</w:t>
      </w:r>
      <w:r w:rsidRPr="009B0448">
        <w:rPr>
          <w:rFonts w:ascii="Times New Roman" w:eastAsia="Times New Roman" w:hAnsi="Times New Roman" w:cs="Times New Roman"/>
          <w:color w:val="00000A"/>
        </w:rPr>
        <w:t xml:space="preserve">). New </w:t>
      </w:r>
      <w:r w:rsidR="0026271E" w:rsidRPr="009B0448">
        <w:rPr>
          <w:rFonts w:ascii="Times New Roman" w:eastAsia="Times New Roman" w:hAnsi="Times New Roman" w:cs="Times New Roman"/>
          <w:color w:val="00000A"/>
        </w:rPr>
        <w:t>global sustainable development agenda</w:t>
      </w:r>
      <w:r w:rsidRPr="009B0448">
        <w:rPr>
          <w:rFonts w:ascii="Times New Roman" w:eastAsia="Times New Roman" w:hAnsi="Times New Roman" w:cs="Times New Roman"/>
          <w:color w:val="00000A"/>
        </w:rPr>
        <w:t xml:space="preserve">: A </w:t>
      </w:r>
      <w:r w:rsidR="0026271E" w:rsidRPr="009B0448">
        <w:rPr>
          <w:rFonts w:ascii="Times New Roman" w:eastAsia="Times New Roman" w:hAnsi="Times New Roman" w:cs="Times New Roman"/>
          <w:color w:val="00000A"/>
        </w:rPr>
        <w:t>f</w:t>
      </w:r>
      <w:r w:rsidRPr="009B0448">
        <w:rPr>
          <w:rFonts w:ascii="Times New Roman" w:eastAsia="Times New Roman" w:hAnsi="Times New Roman" w:cs="Times New Roman"/>
          <w:color w:val="00000A"/>
        </w:rPr>
        <w:t xml:space="preserve">ocus on Africa. </w:t>
      </w:r>
      <w:r w:rsidRPr="009B0448">
        <w:rPr>
          <w:rFonts w:ascii="Times New Roman" w:eastAsia="Times New Roman" w:hAnsi="Times New Roman" w:cs="Times New Roman"/>
          <w:i/>
          <w:color w:val="00000A"/>
        </w:rPr>
        <w:t>Sustainable Development,</w:t>
      </w:r>
      <w:r w:rsidR="0026271E" w:rsidRPr="009B0448">
        <w:rPr>
          <w:rFonts w:ascii="Times New Roman" w:eastAsia="Times New Roman" w:hAnsi="Times New Roman" w:cs="Times New Roman"/>
          <w:i/>
          <w:color w:val="00000A"/>
        </w:rPr>
        <w:t xml:space="preserve"> 25, </w:t>
      </w:r>
      <w:r w:rsidR="0026271E" w:rsidRPr="009B0448">
        <w:rPr>
          <w:rFonts w:ascii="Times New Roman" w:eastAsia="Times New Roman" w:hAnsi="Times New Roman" w:cs="Times New Roman"/>
          <w:color w:val="00000A"/>
        </w:rPr>
        <w:t>227–241</w:t>
      </w:r>
      <w:r w:rsidR="0026271E" w:rsidRPr="009B0448">
        <w:rPr>
          <w:rFonts w:ascii="Times New Roman" w:eastAsia="Times New Roman" w:hAnsi="Times New Roman" w:cs="Times New Roman"/>
          <w:i/>
          <w:color w:val="00000A"/>
        </w:rPr>
        <w:t xml:space="preserve">. </w:t>
      </w:r>
      <w:hyperlink r:id="rId266" w:history="1">
        <w:r w:rsidRPr="009B0448">
          <w:rPr>
            <w:rStyle w:val="Hyperlink"/>
            <w:rFonts w:ascii="Times New Roman" w:eastAsia="Times New Roman" w:hAnsi="Times New Roman" w:cs="Times New Roman"/>
          </w:rPr>
          <w:t>https://doi.org/10.1002/sd.1648</w:t>
        </w:r>
      </w:hyperlink>
    </w:p>
    <w:p w14:paraId="17EF6A1A" w14:textId="1B95E20D"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Nielsen, J. Ø., &amp; Reenberg, A. (2010a). </w:t>
      </w:r>
      <w:r w:rsidRPr="009B0448">
        <w:rPr>
          <w:rFonts w:ascii="Times New Roman" w:eastAsia="Times New Roman" w:hAnsi="Times New Roman" w:cs="Times New Roman"/>
          <w:color w:val="00000A"/>
        </w:rPr>
        <w:t xml:space="preserve">Cultural barriers to climate change adaptation: A case study from Northern Burkina Faso. </w:t>
      </w:r>
      <w:r w:rsidRPr="009B0448">
        <w:rPr>
          <w:rFonts w:ascii="Times New Roman" w:eastAsia="Times New Roman" w:hAnsi="Times New Roman" w:cs="Times New Roman"/>
          <w:i/>
          <w:color w:val="00000A"/>
        </w:rPr>
        <w:t>Global Environmental Change, 20</w:t>
      </w:r>
      <w:r w:rsidRPr="009B0448">
        <w:rPr>
          <w:rFonts w:ascii="Times New Roman" w:eastAsia="Times New Roman" w:hAnsi="Times New Roman" w:cs="Times New Roman"/>
          <w:color w:val="00000A"/>
        </w:rPr>
        <w:t xml:space="preserve">(1), 142–152. </w:t>
      </w:r>
      <w:hyperlink r:id="rId267" w:history="1">
        <w:r w:rsidRPr="009B0448">
          <w:rPr>
            <w:rStyle w:val="Hyperlink"/>
            <w:rFonts w:ascii="Times New Roman" w:eastAsia="Times New Roman" w:hAnsi="Times New Roman" w:cs="Times New Roman"/>
          </w:rPr>
          <w:t>https://doi.org/10.1016/j.gloenvcha.2009.10.002</w:t>
        </w:r>
      </w:hyperlink>
    </w:p>
    <w:p w14:paraId="56C623FC" w14:textId="0F19A216"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Nielsen, J. Ø., &amp; Reenberg, A. (2010b). </w:t>
      </w:r>
      <w:r w:rsidRPr="009B0448">
        <w:rPr>
          <w:rFonts w:ascii="Times New Roman" w:eastAsia="Times New Roman" w:hAnsi="Times New Roman" w:cs="Times New Roman"/>
          <w:color w:val="00000A"/>
        </w:rPr>
        <w:t>Temporality and the problem with singling out climate as a current driver of change in a small West African village.</w:t>
      </w:r>
      <w:r w:rsidR="00EC365B"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Journal of Arid Environments, 74</w:t>
      </w:r>
      <w:r w:rsidRPr="009B0448">
        <w:rPr>
          <w:rFonts w:ascii="Times New Roman" w:eastAsia="Times New Roman" w:hAnsi="Times New Roman" w:cs="Times New Roman"/>
          <w:color w:val="00000A"/>
        </w:rPr>
        <w:t xml:space="preserve">(4), 464–474. </w:t>
      </w:r>
      <w:hyperlink r:id="rId268" w:history="1">
        <w:r w:rsidRPr="009B0448">
          <w:rPr>
            <w:rStyle w:val="Hyperlink"/>
            <w:rFonts w:ascii="Times New Roman" w:eastAsia="Times New Roman" w:hAnsi="Times New Roman" w:cs="Times New Roman"/>
          </w:rPr>
          <w:t>https://doi.org/10.1016/j.jaridenv.2009.09.019</w:t>
        </w:r>
      </w:hyperlink>
    </w:p>
    <w:p w14:paraId="0A5F71C3" w14:textId="4A27E409" w:rsidR="001A3B0A" w:rsidRPr="009B0448" w:rsidRDefault="001A3B0A" w:rsidP="00EC365B">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Nolte, K., Chamberlain, W., &amp; Giger, M. (2016). International </w:t>
      </w:r>
      <w:r w:rsidR="00EC365B" w:rsidRPr="009B0448">
        <w:rPr>
          <w:rFonts w:ascii="Times New Roman" w:eastAsia="Times New Roman" w:hAnsi="Times New Roman" w:cs="Times New Roman"/>
          <w:color w:val="00000A"/>
        </w:rPr>
        <w:t>land deals for agriculture</w:t>
      </w:r>
      <w:r w:rsidRPr="009B0448">
        <w:rPr>
          <w:rFonts w:ascii="Times New Roman" w:eastAsia="Times New Roman" w:hAnsi="Times New Roman" w:cs="Times New Roman"/>
          <w:color w:val="00000A"/>
        </w:rPr>
        <w:t>. Fresh insights from the Land Matrix: Analytical Report II.</w:t>
      </w:r>
      <w:r w:rsidR="00EC365B" w:rsidRPr="009B0448">
        <w:rPr>
          <w:rFonts w:ascii="Times New Roman" w:eastAsia="Times New Roman" w:hAnsi="Times New Roman" w:cs="Times New Roman"/>
          <w:color w:val="00000A"/>
        </w:rPr>
        <w:t xml:space="preserve"> Bern, Montpellier, Hamburg, Pretoria: Centre for Development and Environment, University of Bern; Centre de coopération internationale en recherche agronomique pour le développement; German Institute of Global and Area Studies; University of Pretoria: Bern Open Publishing. Retrieved from </w:t>
      </w:r>
      <w:hyperlink r:id="rId269" w:history="1">
        <w:r w:rsidR="00EC365B" w:rsidRPr="009B0448">
          <w:rPr>
            <w:rStyle w:val="Hyperlink"/>
            <w:rFonts w:ascii="Times New Roman" w:eastAsia="Times New Roman" w:hAnsi="Times New Roman" w:cs="Times New Roman"/>
          </w:rPr>
          <w:t>http://www.landcoalition.org/sites/default/files/documents/resources/land_matrix_2016_analytical_report_ii.pdf</w:t>
        </w:r>
      </w:hyperlink>
    </w:p>
    <w:p w14:paraId="0A9BF8F2" w14:textId="16B947E3" w:rsidR="001A3B0A" w:rsidRPr="009B0448" w:rsidRDefault="001A3B0A" w:rsidP="007478E6">
      <w:pPr>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00000A"/>
        </w:rPr>
        <w:t xml:space="preserve">Oldekop, J. A., Fontana, L. B., Grugel, J., Roughton, N., Adu-Ampong, E. A., Bird, G. K., </w:t>
      </w:r>
      <w:r w:rsidR="007478E6" w:rsidRPr="009B0448">
        <w:rPr>
          <w:rFonts w:ascii="Times New Roman" w:eastAsia="Times New Roman" w:hAnsi="Times New Roman" w:cs="Times New Roman"/>
          <w:color w:val="00000A"/>
        </w:rPr>
        <w:t xml:space="preserve">Dorgan, A., Espinoza, M. A. V., Wallin, S., Hammett, D., Agbarakwe, E., Agrawal, A., Asylbekova, N., Azkoul, C., Craig Bardsley, C., Bebbington, A. J., Carvalho, S., Chopra, D., Christopoulos, S., Crewe, E., Dop, M-C., Fischer, J., Gerretsen, D., Glennie, J., Gois, W., Gondwe, M., Harrison, L. A., Hujo, K., Keen, M., Laserna, R., Miggiano, L., Mistry, S., Morgan, R. J., Raftree, L., Rhind, D., Rodrigues, T., Roschnik, S., Senkubuge, F., Thornton, I., Trace, S., Ore, T., Valdés, RM., Vira, B., Yeates, N., &amp; </w:t>
      </w:r>
      <w:r w:rsidRPr="009B0448">
        <w:rPr>
          <w:rFonts w:ascii="Times New Roman" w:eastAsia="Times New Roman" w:hAnsi="Times New Roman" w:cs="Times New Roman"/>
          <w:color w:val="00000A"/>
        </w:rPr>
        <w:t xml:space="preserve">Sutherland, W. J. (2016). 100 key research questions for the post-2015 development agenda. </w:t>
      </w:r>
      <w:r w:rsidRPr="009B0448">
        <w:rPr>
          <w:rFonts w:ascii="Times New Roman" w:eastAsia="Times New Roman" w:hAnsi="Times New Roman" w:cs="Times New Roman"/>
          <w:i/>
          <w:color w:val="00000A"/>
        </w:rPr>
        <w:t>Development Policy Review, 34</w:t>
      </w:r>
      <w:r w:rsidRPr="009B0448">
        <w:rPr>
          <w:rFonts w:ascii="Times New Roman" w:eastAsia="Times New Roman" w:hAnsi="Times New Roman" w:cs="Times New Roman"/>
          <w:color w:val="00000A"/>
        </w:rPr>
        <w:t xml:space="preserve">(1), 55–82. </w:t>
      </w:r>
      <w:hyperlink r:id="rId270" w:history="1">
        <w:r w:rsidRPr="009B0448">
          <w:rPr>
            <w:rStyle w:val="Hyperlink"/>
            <w:rFonts w:ascii="Times New Roman" w:eastAsia="Times New Roman" w:hAnsi="Times New Roman" w:cs="Times New Roman"/>
          </w:rPr>
          <w:t>https://doi.org/10.1111/dpr.12147</w:t>
        </w:r>
      </w:hyperlink>
    </w:p>
    <w:p w14:paraId="1CAA0ABF" w14:textId="0C09F281" w:rsidR="001A3B0A" w:rsidRPr="009B0448" w:rsidRDefault="001A3B0A" w:rsidP="001F35EF">
      <w:pPr>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Olson, D. M., Dinerstein, E., Wikramanayake, E. D., Burgess, N. D., Powell, G. V. N., Underwood, E. C., D'Amico, J. A., Itoua, I., Strand, H. E., Morrison, J. C., Loucks, C. J., Allnutt, T. F., Ricketts, T. H., Kura, Y., Lamoreux, J. F., Wettengel, W. W., Hedao, P., &amp; Kassem, K. R. (2001). Terrestrial ecoregions of the world: a new map of life on Earth. </w:t>
      </w:r>
      <w:r w:rsidRPr="009B0448">
        <w:rPr>
          <w:rFonts w:ascii="Times New Roman" w:eastAsia="Times New Roman" w:hAnsi="Times New Roman" w:cs="Times New Roman"/>
          <w:i/>
          <w:color w:val="auto"/>
        </w:rPr>
        <w:t>BioScience, 51</w:t>
      </w:r>
      <w:r w:rsidRPr="009B0448">
        <w:rPr>
          <w:rFonts w:ascii="Times New Roman" w:eastAsia="Times New Roman" w:hAnsi="Times New Roman" w:cs="Times New Roman"/>
          <w:color w:val="auto"/>
        </w:rPr>
        <w:t>(11), 933–938.</w:t>
      </w:r>
      <w:r w:rsidR="007478E6" w:rsidRPr="009B0448">
        <w:rPr>
          <w:rFonts w:ascii="Times New Roman" w:eastAsia="Times New Roman" w:hAnsi="Times New Roman" w:cs="Times New Roman"/>
          <w:color w:val="auto"/>
        </w:rPr>
        <w:t xml:space="preserve"> </w:t>
      </w:r>
      <w:hyperlink r:id="rId271" w:history="1">
        <w:r w:rsidR="008E5265" w:rsidRPr="009B0448">
          <w:rPr>
            <w:rStyle w:val="Hyperlink"/>
            <w:rFonts w:ascii="Times New Roman" w:eastAsia="Times New Roman" w:hAnsi="Times New Roman" w:cs="Times New Roman"/>
          </w:rPr>
          <w:t>https://doi.org/10.1641/0006-3568(2001)051[0933:TEOTWA]2.0.CO;2</w:t>
        </w:r>
      </w:hyperlink>
    </w:p>
    <w:p w14:paraId="426B0905" w14:textId="33A8C58B"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Onyige, C. (2011). </w:t>
      </w:r>
      <w:r w:rsidR="008E5265" w:rsidRPr="009B0448">
        <w:rPr>
          <w:rFonts w:ascii="Times New Roman" w:eastAsia="Times New Roman" w:hAnsi="Times New Roman" w:cs="Times New Roman"/>
          <w:color w:val="00000A"/>
        </w:rPr>
        <w:t xml:space="preserve">Feminist theorising of the role of women in conflict and development </w:t>
      </w:r>
      <w:r w:rsidRPr="009B0448">
        <w:rPr>
          <w:rFonts w:ascii="Times New Roman" w:eastAsia="Times New Roman" w:hAnsi="Times New Roman" w:cs="Times New Roman"/>
          <w:color w:val="00000A"/>
        </w:rPr>
        <w:t xml:space="preserve">in the Niger Delta. </w:t>
      </w:r>
      <w:r w:rsidRPr="009B0448">
        <w:rPr>
          <w:rFonts w:ascii="Times New Roman" w:eastAsia="Times New Roman" w:hAnsi="Times New Roman" w:cs="Times New Roman"/>
          <w:i/>
          <w:color w:val="00000A"/>
        </w:rPr>
        <w:t>Pan African Social Science Review</w:t>
      </w:r>
      <w:r w:rsidR="008E5265" w:rsidRPr="009B0448">
        <w:rPr>
          <w:rFonts w:ascii="Times New Roman" w:eastAsia="Times New Roman" w:hAnsi="Times New Roman" w:cs="Times New Roman"/>
          <w:i/>
          <w:color w:val="00000A"/>
        </w:rPr>
        <w:t xml:space="preserve">, </w:t>
      </w:r>
      <w:r w:rsidRPr="009B0448">
        <w:rPr>
          <w:rFonts w:ascii="Times New Roman" w:eastAsia="Times New Roman" w:hAnsi="Times New Roman" w:cs="Times New Roman"/>
          <w:i/>
          <w:color w:val="00000A"/>
        </w:rPr>
        <w:t>12</w:t>
      </w:r>
      <w:r w:rsidRPr="009B0448">
        <w:rPr>
          <w:rFonts w:ascii="Times New Roman" w:eastAsia="Times New Roman" w:hAnsi="Times New Roman" w:cs="Times New Roman"/>
          <w:color w:val="00000A"/>
        </w:rPr>
        <w:t>.</w:t>
      </w:r>
      <w:r w:rsidR="008E5265" w:rsidRPr="009B0448">
        <w:rPr>
          <w:rFonts w:ascii="Times New Roman" w:eastAsia="Times New Roman" w:hAnsi="Times New Roman" w:cs="Times New Roman"/>
          <w:color w:val="00000A"/>
        </w:rPr>
        <w:t xml:space="preserve"> </w:t>
      </w:r>
      <w:r w:rsidR="002B5035" w:rsidRPr="009B0448">
        <w:rPr>
          <w:rFonts w:ascii="Times New Roman" w:eastAsia="Times New Roman" w:hAnsi="Times New Roman" w:cs="Times New Roman"/>
          <w:color w:val="00000A"/>
        </w:rPr>
        <w:t>ISSN 87557436.</w:t>
      </w:r>
    </w:p>
    <w:p w14:paraId="1F45D12C" w14:textId="1F6D549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Oyono, P. R. (2005). The </w:t>
      </w:r>
      <w:r w:rsidR="002B5035" w:rsidRPr="009B0448">
        <w:rPr>
          <w:rFonts w:ascii="Times New Roman" w:eastAsia="Times New Roman" w:hAnsi="Times New Roman" w:cs="Times New Roman"/>
          <w:color w:val="00000A"/>
        </w:rPr>
        <w:t>social and organisational roots of ecological uncertainties in cameroon’s forest management decentralisation mo</w:t>
      </w:r>
      <w:r w:rsidRPr="009B0448">
        <w:rPr>
          <w:rFonts w:ascii="Times New Roman" w:eastAsia="Times New Roman" w:hAnsi="Times New Roman" w:cs="Times New Roman"/>
          <w:color w:val="00000A"/>
        </w:rPr>
        <w:t>del. In J. C. Ribot</w:t>
      </w:r>
      <w:r w:rsidR="002B5035"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 xml:space="preserve"> &amp; A. M. Larson (Eds.), </w:t>
      </w:r>
      <w:r w:rsidRPr="009B0448">
        <w:rPr>
          <w:rFonts w:ascii="Times New Roman" w:eastAsia="Times New Roman" w:hAnsi="Times New Roman" w:cs="Times New Roman"/>
          <w:i/>
          <w:color w:val="00000A"/>
        </w:rPr>
        <w:t xml:space="preserve">Democratic decentralisation through a natural resource lens </w:t>
      </w:r>
      <w:r w:rsidRPr="009B0448">
        <w:rPr>
          <w:rFonts w:ascii="Times New Roman" w:eastAsia="Times New Roman" w:hAnsi="Times New Roman" w:cs="Times New Roman"/>
          <w:color w:val="00000A"/>
        </w:rPr>
        <w:t xml:space="preserve">(pp. 174–191). Oxon, UK: Routledge. Retrieved from </w:t>
      </w:r>
      <w:hyperlink r:id="rId272" w:history="1">
        <w:r w:rsidRPr="009B0448">
          <w:rPr>
            <w:rStyle w:val="Hyperlink"/>
            <w:rFonts w:ascii="Times New Roman" w:eastAsia="Times New Roman" w:hAnsi="Times New Roman" w:cs="Times New Roman"/>
          </w:rPr>
          <w:t>http://link.springer.com/article/10.1080/09578810410001688798</w:t>
        </w:r>
      </w:hyperlink>
    </w:p>
    <w:p w14:paraId="54763BFB" w14:textId="3ADF1E2E"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Oyono, P. R. (2013). The </w:t>
      </w:r>
      <w:r w:rsidR="002B5035" w:rsidRPr="009B0448">
        <w:rPr>
          <w:rFonts w:ascii="Times New Roman" w:eastAsia="Times New Roman" w:hAnsi="Times New Roman" w:cs="Times New Roman"/>
          <w:color w:val="00000A"/>
        </w:rPr>
        <w:t>narratives of capitalist land accumulation and recognition in coas</w:t>
      </w:r>
      <w:r w:rsidRPr="009B0448">
        <w:rPr>
          <w:rFonts w:ascii="Times New Roman" w:eastAsia="Times New Roman" w:hAnsi="Times New Roman" w:cs="Times New Roman"/>
          <w:color w:val="00000A"/>
        </w:rPr>
        <w:t xml:space="preserve">tal Cameroon. The Hague, The Netherlands: Land Deal Politics Initiative. Retrieved from </w:t>
      </w:r>
      <w:hyperlink r:id="rId273" w:history="1">
        <w:r w:rsidRPr="009B0448">
          <w:rPr>
            <w:rStyle w:val="Hyperlink"/>
            <w:rFonts w:ascii="Times New Roman" w:eastAsia="Times New Roman" w:hAnsi="Times New Roman" w:cs="Times New Roman"/>
          </w:rPr>
          <w:t>http://www.plaas.org.za/sites/default/files/publications-pdf/LDPI29Oyono.pdf</w:t>
        </w:r>
      </w:hyperlink>
    </w:p>
    <w:p w14:paraId="56E7F276" w14:textId="29DDE9AD"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Oyono, P. R., Ribot, J. C., Assembe Mvondo, S., &amp; Logo, P. B. (2007). Improving decentralized forest management in Cameroon: </w:t>
      </w:r>
      <w:r w:rsidR="002B5035" w:rsidRPr="009B0448">
        <w:rPr>
          <w:rFonts w:ascii="Times New Roman" w:eastAsia="Times New Roman" w:hAnsi="Times New Roman" w:cs="Times New Roman"/>
          <w:color w:val="00000A"/>
        </w:rPr>
        <w:t>O</w:t>
      </w:r>
      <w:r w:rsidRPr="009B0448">
        <w:rPr>
          <w:rFonts w:ascii="Times New Roman" w:eastAsia="Times New Roman" w:hAnsi="Times New Roman" w:cs="Times New Roman"/>
          <w:color w:val="00000A"/>
        </w:rPr>
        <w:t xml:space="preserve">ptions and opportunities from ten years of experience. </w:t>
      </w:r>
      <w:r w:rsidRPr="009B0448">
        <w:rPr>
          <w:rFonts w:ascii="Times New Roman" w:eastAsia="Times New Roman" w:hAnsi="Times New Roman" w:cs="Times New Roman"/>
          <w:i/>
          <w:color w:val="00000A"/>
        </w:rPr>
        <w:t>Center for International Forestry Research Policy Brief, 33</w:t>
      </w:r>
      <w:r w:rsidRPr="009B0448">
        <w:rPr>
          <w:rFonts w:ascii="Times New Roman" w:eastAsia="Times New Roman" w:hAnsi="Times New Roman" w:cs="Times New Roman"/>
          <w:color w:val="00000A"/>
        </w:rPr>
        <w:t xml:space="preserve">. </w:t>
      </w:r>
      <w:hyperlink r:id="rId274" w:history="1">
        <w:r w:rsidRPr="009B0448">
          <w:rPr>
            <w:rStyle w:val="Hyperlink"/>
            <w:rFonts w:ascii="Times New Roman" w:eastAsia="Times New Roman" w:hAnsi="Times New Roman" w:cs="Times New Roman"/>
          </w:rPr>
          <w:t>https://doi.org/10.17528/cifor/002190</w:t>
        </w:r>
      </w:hyperlink>
    </w:p>
    <w:p w14:paraId="1B8AD165" w14:textId="61A4285C" w:rsidR="00086A82" w:rsidRPr="009B0448" w:rsidRDefault="00086A82" w:rsidP="00086A82">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Pagani, L., Lawson, D. J., Jagoda, E., Mörseburg, A., Eriksson, A., Mitt, M., Clemente, F., Hudjashov, G., DeGiorgio, M., Saag, L., Wall, J. D., Cardona, A., Mägi, R., Wilson Sayres, M. A., Kaewert, S., Inchley, C., L. Scheib, C. L., Järve, M., Karmin, M., Jacobs, G. S., Antao T., Iliescu, F. M., Kushniarevich, A., Ayub, Q., Tyler-Smith, C., Xue, Y., Yunusbayev, B, Tambets, K, Mallick, C. B., Saag, L., Pocheshkhova, E., Andriadze, G., Muller, C., Westaway, M. C., Lambert, D. M., Zoraqi, G., Turdikulova, S., Dalimova, D., Sabitov, Z., Sultana, GNN., Lachance, J., Tishkoff, S., Momynaliev, K., Isakova, J., Damba, L. D., Gubina, M., Nymadawa, P., Evseeva, I., Atramentova, L., Utevska, O., Ricaut, F-X., Brucato, N., Sudoyo, H., Letellier, T., Cox, M. P., Barashkov, N. A., Škaro, V., Mulahasanović, L., Primorac, D., Sahakyan, H., Mormina, M., Eichstaedt, C. A., Daria V. Lichman, D. V., Abdullah, S., Chaubey, G., Wee, J. T. S., Mihailov, E., Karunas, A., Litvinov, S., Khusainova, R., Ekomasova, N., Akhmetova, V., Khidiyatova, I., Marjanović, D., Yepiskoposyan, L., Behar, D. M., Balanovska, E., Metspalu, A., Derenko M., Malyarchuk, B., </w:t>
      </w:r>
      <w:r w:rsidR="00D6539B">
        <w:rPr>
          <w:rFonts w:ascii="Times New Roman" w:eastAsia="Times New Roman" w:hAnsi="Times New Roman" w:cs="Times New Roman"/>
          <w:color w:val="00000A"/>
          <w:lang w:val="de-DE"/>
        </w:rPr>
        <w:t xml:space="preserve">Voevoda, M., Fedorova, S. A., </w:t>
      </w:r>
      <w:r w:rsidRPr="009B0448">
        <w:rPr>
          <w:rFonts w:ascii="Times New Roman" w:eastAsia="Times New Roman" w:hAnsi="Times New Roman" w:cs="Times New Roman"/>
          <w:color w:val="00000A"/>
          <w:lang w:val="de-DE"/>
        </w:rPr>
        <w:t xml:space="preserve">Osipova, L. P., Lahr, M. M., Gerbault, P., Leavesley, M., Migliano, AB., Petraglia, M., Balanovsky, O., Khusnutdinova, E. K., Metspalu, E., Thomas, M. G., Manica, A., Nielsen, R., Villems, R., Willerslev, E., Kivisild, T., &amp; </w:t>
      </w:r>
      <w:r w:rsidRPr="009B0448">
        <w:rPr>
          <w:rFonts w:ascii="Times New Roman" w:eastAsia="Times New Roman" w:hAnsi="Times New Roman" w:cs="Times New Roman"/>
          <w:color w:val="00000A"/>
        </w:rPr>
        <w:t xml:space="preserve">Metspalu, M. (2016). Genomic analyses inform on migration events during the peopling of Eurasia. </w:t>
      </w:r>
      <w:r w:rsidRPr="009B0448">
        <w:rPr>
          <w:rFonts w:ascii="Times New Roman" w:eastAsia="Times New Roman" w:hAnsi="Times New Roman" w:cs="Times New Roman"/>
          <w:i/>
          <w:color w:val="00000A"/>
        </w:rPr>
        <w:t>Nature,</w:t>
      </w:r>
      <w:r w:rsidRPr="009B0448">
        <w:rPr>
          <w:rFonts w:ascii="Times New Roman" w:hAnsi="Times New Roman" w:cs="Times New Roman"/>
          <w:i/>
        </w:rPr>
        <w:t xml:space="preserve"> </w:t>
      </w:r>
      <w:r w:rsidRPr="009B0448">
        <w:rPr>
          <w:rFonts w:ascii="Times New Roman" w:eastAsia="Times New Roman" w:hAnsi="Times New Roman" w:cs="Times New Roman"/>
          <w:i/>
          <w:color w:val="00000A"/>
        </w:rPr>
        <w:t>538</w:t>
      </w:r>
      <w:r w:rsidRPr="009B0448">
        <w:rPr>
          <w:rFonts w:ascii="Times New Roman" w:eastAsia="Times New Roman" w:hAnsi="Times New Roman" w:cs="Times New Roman"/>
          <w:color w:val="00000A"/>
        </w:rPr>
        <w:t xml:space="preserve">, 238–242. </w:t>
      </w:r>
      <w:hyperlink r:id="rId275" w:history="1">
        <w:r w:rsidRPr="009B0448">
          <w:rPr>
            <w:rFonts w:ascii="Times New Roman" w:eastAsia="Times New Roman" w:hAnsi="Times New Roman" w:cs="Times New Roman"/>
            <w:color w:val="0563C1" w:themeColor="hyperlink"/>
            <w:u w:val="single"/>
          </w:rPr>
          <w:t>https://doi.org/10.1038/nature19792</w:t>
        </w:r>
      </w:hyperlink>
    </w:p>
    <w:p w14:paraId="04DD3F70" w14:textId="139B7E8A"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Palmer, E. (2015). Introduction: The 2030 Agenda. </w:t>
      </w:r>
      <w:r w:rsidR="00086A82" w:rsidRPr="009B0448">
        <w:rPr>
          <w:rFonts w:ascii="Times New Roman" w:eastAsia="Times New Roman" w:hAnsi="Times New Roman" w:cs="Times New Roman"/>
          <w:i/>
          <w:color w:val="00000A"/>
        </w:rPr>
        <w:t>Journal of Global Ethics, 11</w:t>
      </w:r>
      <w:r w:rsidR="00086A82" w:rsidRPr="009B0448">
        <w:rPr>
          <w:rFonts w:ascii="Times New Roman" w:eastAsia="Times New Roman" w:hAnsi="Times New Roman" w:cs="Times New Roman"/>
          <w:color w:val="00000A"/>
        </w:rPr>
        <w:t>, (</w:t>
      </w:r>
      <w:r w:rsidRPr="009B0448">
        <w:rPr>
          <w:rFonts w:ascii="Times New Roman" w:eastAsia="Times New Roman" w:hAnsi="Times New Roman" w:cs="Times New Roman"/>
          <w:color w:val="00000A"/>
        </w:rPr>
        <w:t xml:space="preserve">3), 262–269. Retrieved from </w:t>
      </w:r>
      <w:hyperlink r:id="rId276" w:history="1">
        <w:r w:rsidRPr="009B0448">
          <w:rPr>
            <w:rStyle w:val="Hyperlink"/>
            <w:rFonts w:ascii="Times New Roman" w:eastAsia="Times New Roman" w:hAnsi="Times New Roman" w:cs="Times New Roman"/>
          </w:rPr>
          <w:t>https://doi.org/10.1080/17449626.2015.1119928</w:t>
        </w:r>
      </w:hyperlink>
    </w:p>
    <w:p w14:paraId="787E6A50" w14:textId="084A6FDE" w:rsidR="00A972BE" w:rsidRPr="009B0448" w:rsidRDefault="00A972BE" w:rsidP="00A972BE">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Pascual, U., Balvanera, P., D</w:t>
      </w:r>
      <w:r w:rsidRPr="009B0448">
        <w:rPr>
          <w:rFonts w:ascii="Times New Roman" w:eastAsia="Times New Roman" w:hAnsi="Times New Roman" w:cs="Times New Roman"/>
          <w:color w:val="00000A"/>
        </w:rPr>
        <w:t>í</w:t>
      </w:r>
      <w:r w:rsidRPr="009B0448">
        <w:rPr>
          <w:rFonts w:ascii="Times New Roman" w:hAnsi="Times New Roman" w:cs="Times New Roman"/>
          <w:color w:val="auto"/>
        </w:rPr>
        <w:t xml:space="preserve">az, S., Pataki, G., Roth, E., Stenseke, M., Watson, R. T., Dessane, E. B., Islar, M., Kelemen, E., Maris, V., Quaas, M., Subramanian, S. M., Wittmer, H., Adlan, A., Ahn, S., Al-Hafedh, Y. S., Amankwah, E., Asah, T. S., Bberry, P., Bilgin, A., Breslow, S. J., Bullock, C., Càceres, D., Daly-Hassen, H., Figueroa, E., Golden, D. C., Gòmez-Baggethum, E., Gonzàlez-Jiménez, D., Houdet, J., Keune, H., Kumar, R., Ma, K., May, P. H., Mead, A., Pichis-Madruga, D., Popa, F., Preston, S., Pacheso-Balanza, D., Saarikoski, H., Strassburg, B. B., vanden Belt, M., Verma, M., &amp; Maris, V. (2017). Valuing nature’s contributions to people: The IPBES approach. </w:t>
      </w:r>
      <w:r w:rsidRPr="009B0448">
        <w:rPr>
          <w:rFonts w:ascii="Times New Roman" w:hAnsi="Times New Roman" w:cs="Times New Roman"/>
          <w:i/>
          <w:color w:val="auto"/>
        </w:rPr>
        <w:t>Current Opinion in Environmental Sustainability, 26</w:t>
      </w:r>
      <w:r w:rsidRPr="009B0448">
        <w:rPr>
          <w:rFonts w:ascii="Times New Roman" w:hAnsi="Times New Roman" w:cs="Times New Roman"/>
          <w:color w:val="auto"/>
        </w:rPr>
        <w:t xml:space="preserve">, 7–16. </w:t>
      </w:r>
      <w:hyperlink r:id="rId277" w:history="1">
        <w:r w:rsidRPr="009B0448">
          <w:rPr>
            <w:rStyle w:val="Hyperlink"/>
            <w:rFonts w:ascii="Times New Roman" w:hAnsi="Times New Roman" w:cs="Times New Roman"/>
          </w:rPr>
          <w:t>https://doi.org/10.1016/j.cosust.2016.12.006</w:t>
        </w:r>
      </w:hyperlink>
    </w:p>
    <w:p w14:paraId="013F2ADB"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Pauli, G. A. (2010). The blue economy: 10 years, 100 innovations, 100 million jobs. Paradigm Publications.</w:t>
      </w:r>
    </w:p>
    <w:p w14:paraId="6F5BB307" w14:textId="3DA54882"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Pereira, H. M., Leadley, P. W., Proença, V., Alkemade, R., Scharlemann, J. P. W., Fernandez-Manjarrés, J. F., </w:t>
      </w:r>
      <w:r w:rsidR="00A972BE" w:rsidRPr="009B0448">
        <w:rPr>
          <w:rFonts w:ascii="Times New Roman" w:eastAsia="Times New Roman" w:hAnsi="Times New Roman" w:cs="Times New Roman"/>
          <w:color w:val="00000A"/>
        </w:rPr>
        <w:t xml:space="preserve">Araújo, M. B., Balvanera, B., Biggs, R., Cheung, W. W. L., Chini, L., Cooper, H. D., Gilman, E. L., Guénette, S., Hurtt, G. C., Huntington, H. P., Mace, G. M., Oberdorff, T., Revenga, C., Rodrigues, P., Scholes, R. J., Sumaila, U. R., &amp; </w:t>
      </w:r>
      <w:r w:rsidRPr="009B0448">
        <w:rPr>
          <w:rFonts w:ascii="Times New Roman" w:eastAsia="Times New Roman" w:hAnsi="Times New Roman" w:cs="Times New Roman"/>
          <w:color w:val="00000A"/>
        </w:rPr>
        <w:t xml:space="preserve">Walpole, M. (2010). Scenarios for </w:t>
      </w:r>
      <w:r w:rsidR="00A972BE" w:rsidRPr="009B0448">
        <w:rPr>
          <w:rFonts w:ascii="Times New Roman" w:eastAsia="Times New Roman" w:hAnsi="Times New Roman" w:cs="Times New Roman"/>
          <w:color w:val="00000A"/>
        </w:rPr>
        <w:t>global biodiversity in the 21st century</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Science, 330</w:t>
      </w:r>
      <w:r w:rsidRPr="009B0448">
        <w:rPr>
          <w:rFonts w:ascii="Times New Roman" w:eastAsia="Times New Roman" w:hAnsi="Times New Roman" w:cs="Times New Roman"/>
          <w:color w:val="00000A"/>
        </w:rPr>
        <w:t xml:space="preserve">(6010), 1496–1501. </w:t>
      </w:r>
      <w:hyperlink r:id="rId278" w:history="1">
        <w:r w:rsidRPr="009B0448">
          <w:rPr>
            <w:rStyle w:val="Hyperlink"/>
            <w:rFonts w:ascii="Times New Roman" w:eastAsia="Times New Roman" w:hAnsi="Times New Roman" w:cs="Times New Roman"/>
          </w:rPr>
          <w:t>https://doi.org/10.1126/science.1196624</w:t>
        </w:r>
      </w:hyperlink>
    </w:p>
    <w:p w14:paraId="2BEFF879" w14:textId="20FD9A3D"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Pimentel, D., McNair, S., Janecka, J., Wightman, J., Simmonds, C., O’Connell, C., </w:t>
      </w:r>
      <w:r w:rsidR="00101740" w:rsidRPr="009B0448">
        <w:rPr>
          <w:rFonts w:ascii="Times New Roman" w:eastAsia="Times New Roman" w:hAnsi="Times New Roman" w:cs="Times New Roman"/>
          <w:lang w:eastAsia="en-GB"/>
        </w:rPr>
        <w:t xml:space="preserve">Wong, E., Russel, L., Zern, J., Aquino, T., &amp; </w:t>
      </w:r>
      <w:r w:rsidRPr="009B0448">
        <w:rPr>
          <w:rFonts w:ascii="Times New Roman" w:eastAsia="Times New Roman" w:hAnsi="Times New Roman" w:cs="Times New Roman"/>
          <w:color w:val="00000A"/>
        </w:rPr>
        <w:t xml:space="preserve">Tsomondo, T. (2001). Economic and environmental threats of alien </w:t>
      </w:r>
      <w:r w:rsidRPr="009B0448">
        <w:rPr>
          <w:rFonts w:ascii="Times New Roman" w:eastAsia="Times New Roman" w:hAnsi="Times New Roman" w:cs="Times New Roman"/>
          <w:color w:val="00000A"/>
        </w:rPr>
        <w:lastRenderedPageBreak/>
        <w:t xml:space="preserve">plant, animal, and microbe invasions. </w:t>
      </w:r>
      <w:r w:rsidRPr="009B0448">
        <w:rPr>
          <w:rFonts w:ascii="Times New Roman" w:eastAsia="Times New Roman" w:hAnsi="Times New Roman" w:cs="Times New Roman"/>
          <w:i/>
          <w:color w:val="00000A"/>
        </w:rPr>
        <w:t>Agriculture, Ecosystems &amp; Environment, 84</w:t>
      </w:r>
      <w:r w:rsidRPr="009B0448">
        <w:rPr>
          <w:rFonts w:ascii="Times New Roman" w:eastAsia="Times New Roman" w:hAnsi="Times New Roman" w:cs="Times New Roman"/>
          <w:color w:val="00000A"/>
        </w:rPr>
        <w:t xml:space="preserve">(1), 1–20. </w:t>
      </w:r>
      <w:hyperlink r:id="rId279" w:history="1">
        <w:r w:rsidRPr="009B0448">
          <w:rPr>
            <w:rStyle w:val="Hyperlink"/>
            <w:rFonts w:ascii="Times New Roman" w:eastAsia="Times New Roman" w:hAnsi="Times New Roman" w:cs="Times New Roman"/>
          </w:rPr>
          <w:t>https://doi.org/10.1016/S0167-8809(00)00178-X</w:t>
        </w:r>
      </w:hyperlink>
    </w:p>
    <w:p w14:paraId="301C12C0" w14:textId="5A86930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Pimm, S. L., Jenkins, C. N., Abell, R., Brooks, T. M., Gittleman, J. L., Joppa, L. N., </w:t>
      </w:r>
      <w:r w:rsidR="00101740" w:rsidRPr="009B0448">
        <w:rPr>
          <w:rFonts w:ascii="Times New Roman" w:eastAsia="Times New Roman" w:hAnsi="Times New Roman" w:cs="Times New Roman"/>
          <w:color w:val="00000A"/>
        </w:rPr>
        <w:t xml:space="preserve">Raven, H., Roberts, C. M., &amp; </w:t>
      </w:r>
      <w:r w:rsidRPr="009B0448">
        <w:rPr>
          <w:rFonts w:ascii="Times New Roman" w:eastAsia="Times New Roman" w:hAnsi="Times New Roman" w:cs="Times New Roman"/>
          <w:color w:val="00000A"/>
        </w:rPr>
        <w:t xml:space="preserve">Sexton, J. O. (2014). The biodiversity of species and their rates of extinction, distribution, and protection. </w:t>
      </w:r>
      <w:r w:rsidRPr="009B0448">
        <w:rPr>
          <w:rFonts w:ascii="Times New Roman" w:eastAsia="Times New Roman" w:hAnsi="Times New Roman" w:cs="Times New Roman"/>
          <w:i/>
          <w:color w:val="00000A"/>
        </w:rPr>
        <w:t>Science, 344</w:t>
      </w:r>
      <w:r w:rsidRPr="009B0448">
        <w:rPr>
          <w:rFonts w:ascii="Times New Roman" w:eastAsia="Times New Roman" w:hAnsi="Times New Roman" w:cs="Times New Roman"/>
          <w:color w:val="00000A"/>
        </w:rPr>
        <w:t xml:space="preserve">(6187), 1246752. </w:t>
      </w:r>
      <w:hyperlink r:id="rId280" w:history="1">
        <w:r w:rsidRPr="009B0448">
          <w:rPr>
            <w:rStyle w:val="Hyperlink"/>
            <w:rFonts w:ascii="Times New Roman" w:eastAsia="Times New Roman" w:hAnsi="Times New Roman" w:cs="Times New Roman"/>
          </w:rPr>
          <w:t>https://doi.org/10.1126/science.1246752</w:t>
        </w:r>
      </w:hyperlink>
    </w:p>
    <w:p w14:paraId="40080C98" w14:textId="09D84E1B"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Pimm, S. L., Russell, G. J., Gittleman, J. L., &amp; Brooks, T. M. (1995).The </w:t>
      </w:r>
      <w:r w:rsidR="00101740" w:rsidRPr="009B0448">
        <w:rPr>
          <w:rFonts w:ascii="Times New Roman" w:eastAsia="Times New Roman" w:hAnsi="Times New Roman" w:cs="Times New Roman"/>
          <w:color w:val="00000A"/>
        </w:rPr>
        <w:t>future of biodiversity</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Science, 269</w:t>
      </w:r>
      <w:r w:rsidRPr="009B0448">
        <w:rPr>
          <w:rFonts w:ascii="Times New Roman" w:eastAsia="Times New Roman" w:hAnsi="Times New Roman" w:cs="Times New Roman"/>
          <w:color w:val="00000A"/>
        </w:rPr>
        <w:t xml:space="preserve">, 347–350. </w:t>
      </w:r>
      <w:hyperlink r:id="rId281" w:history="1">
        <w:r w:rsidRPr="009B0448">
          <w:rPr>
            <w:rStyle w:val="Hyperlink"/>
            <w:rFonts w:ascii="Times New Roman" w:eastAsia="Times New Roman" w:hAnsi="Times New Roman" w:cs="Times New Roman"/>
          </w:rPr>
          <w:t>https://doi.org/10.1126/science.269.5222.347</w:t>
        </w:r>
      </w:hyperlink>
    </w:p>
    <w:p w14:paraId="0FD7E994" w14:textId="4A3913C9"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Pinkovskiy, M., &amp; Sala-i-Martin, X. (2014). Africa is on time. </w:t>
      </w:r>
      <w:r w:rsidRPr="009B0448">
        <w:rPr>
          <w:rFonts w:ascii="Times New Roman" w:eastAsia="Times New Roman" w:hAnsi="Times New Roman" w:cs="Times New Roman"/>
          <w:i/>
          <w:color w:val="00000A"/>
        </w:rPr>
        <w:t>Journal of Economic Growth, 19</w:t>
      </w:r>
      <w:r w:rsidRPr="009B0448">
        <w:rPr>
          <w:rFonts w:ascii="Times New Roman" w:eastAsia="Times New Roman" w:hAnsi="Times New Roman" w:cs="Times New Roman"/>
          <w:color w:val="00000A"/>
        </w:rPr>
        <w:t xml:space="preserve">(3), 311–338. </w:t>
      </w:r>
      <w:hyperlink r:id="rId282" w:history="1">
        <w:r w:rsidRPr="009B0448">
          <w:rPr>
            <w:rStyle w:val="Hyperlink"/>
            <w:rFonts w:ascii="Times New Roman" w:eastAsia="Times New Roman" w:hAnsi="Times New Roman" w:cs="Times New Roman"/>
          </w:rPr>
          <w:t>https://doi.org/10.1007/s10887-014-9103-y</w:t>
        </w:r>
      </w:hyperlink>
    </w:p>
    <w:p w14:paraId="69289BBE" w14:textId="0AB8E5C8"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Potts, D. (2009). The slowing of sub-Saharan Africa’s urbanization: evidence and implications for urban livelihoods. </w:t>
      </w:r>
      <w:r w:rsidRPr="009B0448">
        <w:rPr>
          <w:rFonts w:ascii="Times New Roman" w:eastAsia="Times New Roman" w:hAnsi="Times New Roman" w:cs="Times New Roman"/>
          <w:i/>
          <w:color w:val="00000A"/>
        </w:rPr>
        <w:t>Environment and Urbanization, 21</w:t>
      </w:r>
      <w:r w:rsidRPr="009B0448">
        <w:rPr>
          <w:rFonts w:ascii="Times New Roman" w:eastAsia="Times New Roman" w:hAnsi="Times New Roman" w:cs="Times New Roman"/>
          <w:color w:val="00000A"/>
        </w:rPr>
        <w:t xml:space="preserve">(1), 253–259. </w:t>
      </w:r>
      <w:hyperlink r:id="rId283" w:history="1">
        <w:r w:rsidRPr="009B0448">
          <w:rPr>
            <w:rStyle w:val="Hyperlink"/>
            <w:rFonts w:ascii="Times New Roman" w:eastAsia="Times New Roman" w:hAnsi="Times New Roman" w:cs="Times New Roman"/>
          </w:rPr>
          <w:t>https://doi.org/10.1177/0956247809103026</w:t>
        </w:r>
      </w:hyperlink>
    </w:p>
    <w:p w14:paraId="55EBC514" w14:textId="1C05CB61"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Potts, D. (2012</w:t>
      </w:r>
      <w:r w:rsidR="00101740" w:rsidRPr="009B0448">
        <w:rPr>
          <w:rFonts w:ascii="Times New Roman" w:eastAsia="Times New Roman" w:hAnsi="Times New Roman" w:cs="Times New Roman"/>
          <w:color w:val="00000A"/>
        </w:rPr>
        <w:t>, February 15</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Whatever happened to Africa’s rapid urbanization?</w:t>
      </w:r>
      <w:r w:rsidRPr="009B0448">
        <w:rPr>
          <w:rFonts w:ascii="Times New Roman" w:eastAsia="Times New Roman" w:hAnsi="Times New Roman" w:cs="Times New Roman"/>
          <w:color w:val="00000A"/>
        </w:rPr>
        <w:t xml:space="preserve"> Africa Research Institute. Retrieved from </w:t>
      </w:r>
      <w:hyperlink r:id="rId284" w:history="1">
        <w:r w:rsidRPr="009B0448">
          <w:rPr>
            <w:rStyle w:val="Hyperlink"/>
            <w:rFonts w:ascii="Times New Roman" w:eastAsia="Times New Roman" w:hAnsi="Times New Roman" w:cs="Times New Roman"/>
          </w:rPr>
          <w:t>http://africaresearchinstitute.org/newsite/wp-content/uploads/2013/03/Whatever-happened-to-Africas-rapid-urbanization.pdf</w:t>
        </w:r>
      </w:hyperlink>
    </w:p>
    <w:p w14:paraId="50F4702C" w14:textId="4454B1BF"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Prabhu, R., Colfer, C. J. P., &amp; Diaw, C. (2001, September).</w:t>
      </w:r>
      <w:r w:rsidR="005E166C" w:rsidRPr="009B0448">
        <w:rPr>
          <w:rFonts w:ascii="Times New Roman" w:eastAsia="Times New Roman" w:hAnsi="Times New Roman" w:cs="Times New Roman"/>
          <w:color w:val="00000A"/>
        </w:rPr>
        <w:t xml:space="preserve"> </w:t>
      </w:r>
      <w:r w:rsidR="00A20810" w:rsidRPr="009B0448">
        <w:rPr>
          <w:rFonts w:ascii="Times New Roman" w:eastAsia="Times New Roman" w:hAnsi="Times New Roman" w:cs="Times New Roman"/>
          <w:i/>
          <w:color w:val="00000A"/>
        </w:rPr>
        <w:t>Sharing benefits from forest utilisation: Trojan horses, copy cats, blind mice and busy bees.</w:t>
      </w:r>
      <w:r w:rsidRPr="009B0448">
        <w:rPr>
          <w:rFonts w:ascii="Times New Roman" w:eastAsia="Times New Roman" w:hAnsi="Times New Roman" w:cs="Times New Roman"/>
          <w:color w:val="00000A"/>
        </w:rPr>
        <w:t xml:space="preserve"> Paper presented at the Conference on Public Policy, Natural Resources and Equity: Development as if Equity Mattered. , Georgetown, Guyana. Cropper Foundation, Iwokrama Centre, Woods Hole Research Center.</w:t>
      </w:r>
    </w:p>
    <w:p w14:paraId="4C803501" w14:textId="5324C99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Preston, G.,</w:t>
      </w:r>
      <w:r w:rsidR="00A20810" w:rsidRPr="009B0448">
        <w:rPr>
          <w:rFonts w:ascii="Times New Roman" w:eastAsia="Times New Roman" w:hAnsi="Times New Roman" w:cs="Times New Roman"/>
          <w:color w:val="00000A"/>
        </w:rPr>
        <w:t xml:space="preserve"> Brown, G., &amp; van Wyk, E. (2000</w:t>
      </w:r>
      <w:r w:rsidRPr="009B0448">
        <w:rPr>
          <w:rFonts w:ascii="Times New Roman" w:eastAsia="Times New Roman" w:hAnsi="Times New Roman" w:cs="Times New Roman"/>
          <w:color w:val="00000A"/>
        </w:rPr>
        <w:t>).</w:t>
      </w:r>
      <w:r w:rsidR="00A20810"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Best management practices for preventing and controlling invasive alien species.</w:t>
      </w:r>
      <w:r w:rsidRPr="009B0448">
        <w:rPr>
          <w:rFonts w:ascii="Times New Roman" w:eastAsia="Times New Roman" w:hAnsi="Times New Roman" w:cs="Times New Roman"/>
          <w:color w:val="00000A"/>
        </w:rPr>
        <w:t xml:space="preserve"> Proceedings of a Symposium of the South Africa : United States of America Bi-national Commission</w:t>
      </w:r>
      <w:r w:rsidR="00A20810"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 xml:space="preserve"> </w:t>
      </w:r>
      <w:r w:rsidR="00A20810" w:rsidRPr="009B0448">
        <w:rPr>
          <w:rFonts w:ascii="Times New Roman" w:eastAsia="Times New Roman" w:hAnsi="Times New Roman" w:cs="Times New Roman"/>
          <w:color w:val="00000A"/>
        </w:rPr>
        <w:t xml:space="preserve">Cape Town, South Africa: Working for Water Programme. </w:t>
      </w:r>
    </w:p>
    <w:p w14:paraId="6D7E4C37" w14:textId="2F968F8D"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Prip, C., &amp; Rosendal, K. (2015).</w:t>
      </w:r>
      <w:r w:rsidR="00A20810"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Access to genetic resources and benef</w:t>
      </w:r>
      <w:r w:rsidR="00A20810" w:rsidRPr="009B0448">
        <w:rPr>
          <w:rFonts w:ascii="Times New Roman" w:eastAsia="Times New Roman" w:hAnsi="Times New Roman" w:cs="Times New Roman"/>
          <w:i/>
          <w:color w:val="00000A"/>
        </w:rPr>
        <w:t>it-sharing from their use (ABS): S</w:t>
      </w:r>
      <w:r w:rsidRPr="009B0448">
        <w:rPr>
          <w:rFonts w:ascii="Times New Roman" w:eastAsia="Times New Roman" w:hAnsi="Times New Roman" w:cs="Times New Roman"/>
          <w:i/>
          <w:color w:val="00000A"/>
        </w:rPr>
        <w:t xml:space="preserve">tate </w:t>
      </w:r>
      <w:r w:rsidR="00A20810" w:rsidRPr="009B0448">
        <w:rPr>
          <w:rFonts w:ascii="Times New Roman" w:eastAsia="Times New Roman" w:hAnsi="Times New Roman" w:cs="Times New Roman"/>
          <w:i/>
          <w:color w:val="00000A"/>
        </w:rPr>
        <w:t>state of implementation and research gaps</w:t>
      </w:r>
      <w:r w:rsidRPr="009B0448">
        <w:rPr>
          <w:rFonts w:ascii="Times New Roman" w:eastAsia="Times New Roman" w:hAnsi="Times New Roman" w:cs="Times New Roman"/>
          <w:i/>
          <w:color w:val="00000A"/>
        </w:rPr>
        <w:t>.</w:t>
      </w:r>
      <w:r w:rsidRPr="009B0448">
        <w:rPr>
          <w:rFonts w:ascii="Times New Roman" w:eastAsia="Times New Roman" w:hAnsi="Times New Roman" w:cs="Times New Roman"/>
          <w:color w:val="00000A"/>
        </w:rPr>
        <w:t xml:space="preserve"> </w:t>
      </w:r>
      <w:r w:rsidR="00A20810" w:rsidRPr="009B0448">
        <w:rPr>
          <w:rFonts w:ascii="Times New Roman" w:eastAsia="Times New Roman" w:hAnsi="Times New Roman" w:cs="Times New Roman"/>
          <w:color w:val="00000A"/>
        </w:rPr>
        <w:t xml:space="preserve">Lysaker, Norway: </w:t>
      </w:r>
      <w:r w:rsidRPr="009B0448">
        <w:rPr>
          <w:rFonts w:ascii="Times New Roman" w:eastAsia="Times New Roman" w:hAnsi="Times New Roman" w:cs="Times New Roman"/>
          <w:color w:val="00000A"/>
        </w:rPr>
        <w:t xml:space="preserve">Fridtjof Nansen Institute. Retrieved from </w:t>
      </w:r>
      <w:hyperlink r:id="rId285" w:history="1">
        <w:r w:rsidRPr="009B0448">
          <w:rPr>
            <w:rStyle w:val="Hyperlink"/>
            <w:rFonts w:ascii="Times New Roman" w:eastAsia="Times New Roman" w:hAnsi="Times New Roman" w:cs="Times New Roman"/>
          </w:rPr>
          <w:t>http://www.fni.no/pdf/FNI-R0515.pdf</w:t>
        </w:r>
      </w:hyperlink>
    </w:p>
    <w:p w14:paraId="213EC68E" w14:textId="7E49038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Pyšek, P., Hulme, P. E., Meyerson, L. A., Smith, G. F., Boatwright, J. S., Crouch, N. R., </w:t>
      </w:r>
      <w:r w:rsidR="00A20810" w:rsidRPr="009B0448">
        <w:rPr>
          <w:rFonts w:ascii="Times New Roman" w:eastAsia="Times New Roman" w:hAnsi="Times New Roman" w:cs="Times New Roman"/>
          <w:color w:val="00000A"/>
        </w:rPr>
        <w:t>Figueiredo, E., Foxcroft, L. C., Jarošík, V., Richardson, D. M., Suda, J., &amp;</w:t>
      </w:r>
      <w:r w:rsidRPr="009B0448">
        <w:rPr>
          <w:rFonts w:ascii="Times New Roman" w:eastAsia="Times New Roman" w:hAnsi="Times New Roman" w:cs="Times New Roman"/>
          <w:color w:val="00000A"/>
        </w:rPr>
        <w:t xml:space="preserve"> Wilson, J. R. U. (20</w:t>
      </w:r>
      <w:r w:rsidR="00A20810" w:rsidRPr="009B0448">
        <w:rPr>
          <w:rFonts w:ascii="Times New Roman" w:eastAsia="Times New Roman" w:hAnsi="Times New Roman" w:cs="Times New Roman"/>
          <w:color w:val="00000A"/>
        </w:rPr>
        <w:t>13). Hitting the right target: T</w:t>
      </w:r>
      <w:r w:rsidRPr="009B0448">
        <w:rPr>
          <w:rFonts w:ascii="Times New Roman" w:eastAsia="Times New Roman" w:hAnsi="Times New Roman" w:cs="Times New Roman"/>
          <w:color w:val="00000A"/>
        </w:rPr>
        <w:t xml:space="preserve">axonomic challenges for, and of, plant invasions. </w:t>
      </w:r>
      <w:r w:rsidRPr="009B0448">
        <w:rPr>
          <w:rFonts w:ascii="Times New Roman" w:eastAsia="Times New Roman" w:hAnsi="Times New Roman" w:cs="Times New Roman"/>
          <w:i/>
          <w:color w:val="00000A"/>
        </w:rPr>
        <w:t>AoB Plants, 5</w:t>
      </w:r>
      <w:r w:rsidRPr="009B0448">
        <w:rPr>
          <w:rFonts w:ascii="Times New Roman" w:eastAsia="Times New Roman" w:hAnsi="Times New Roman" w:cs="Times New Roman"/>
          <w:color w:val="00000A"/>
        </w:rPr>
        <w:t xml:space="preserve">. </w:t>
      </w:r>
      <w:hyperlink r:id="rId286" w:history="1">
        <w:r w:rsidRPr="009B0448">
          <w:rPr>
            <w:rStyle w:val="Hyperlink"/>
            <w:rFonts w:ascii="Times New Roman" w:eastAsia="Times New Roman" w:hAnsi="Times New Roman" w:cs="Times New Roman"/>
          </w:rPr>
          <w:t>https://doi.org/10.1093/aobpla/plt042</w:t>
        </w:r>
      </w:hyperlink>
    </w:p>
    <w:p w14:paraId="0053F0B5" w14:textId="33EEEF0F"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Quézel, P., Médail, F., Loisel, R., &amp; Barbero, M. (1999).</w:t>
      </w:r>
      <w:r w:rsidR="00FD2580"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Biodiversity and conservation of forest species in the Mediterranean basin.</w:t>
      </w:r>
      <w:r w:rsidR="00FD2580"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Unasylva, 50</w:t>
      </w:r>
      <w:r w:rsidRPr="009B0448">
        <w:rPr>
          <w:rFonts w:ascii="Times New Roman" w:eastAsia="Times New Roman" w:hAnsi="Times New Roman" w:cs="Times New Roman"/>
          <w:color w:val="00000A"/>
        </w:rPr>
        <w:t>, 21–28.</w:t>
      </w:r>
      <w:r w:rsidR="00FD2580" w:rsidRPr="009B0448">
        <w:rPr>
          <w:rFonts w:ascii="Times New Roman" w:eastAsia="Times New Roman" w:hAnsi="Times New Roman" w:cs="Times New Roman"/>
          <w:color w:val="00000A"/>
        </w:rPr>
        <w:t xml:space="preserve"> Retrieved from </w:t>
      </w:r>
      <w:hyperlink r:id="rId287" w:history="1">
        <w:r w:rsidR="00FD2580" w:rsidRPr="009B0448">
          <w:rPr>
            <w:rStyle w:val="Hyperlink"/>
            <w:rFonts w:ascii="Times New Roman" w:eastAsia="Times New Roman" w:hAnsi="Times New Roman" w:cs="Times New Roman"/>
          </w:rPr>
          <w:t>http://www.fao.org/docrep/x1880e/x1880e05.htm</w:t>
        </w:r>
      </w:hyperlink>
    </w:p>
    <w:p w14:paraId="2F460F4B" w14:textId="75A3B82A"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Raygorodetsky, G. (2011</w:t>
      </w:r>
      <w:r w:rsidR="00FD2580" w:rsidRPr="009B0448">
        <w:rPr>
          <w:rFonts w:ascii="Times New Roman" w:eastAsia="Times New Roman" w:hAnsi="Times New Roman" w:cs="Times New Roman"/>
          <w:color w:val="00000A"/>
        </w:rPr>
        <w:t>, December 13</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 xml:space="preserve">Why </w:t>
      </w:r>
      <w:r w:rsidR="00FD2580" w:rsidRPr="009B0448">
        <w:rPr>
          <w:rFonts w:ascii="Times New Roman" w:eastAsia="Times New Roman" w:hAnsi="Times New Roman" w:cs="Times New Roman"/>
          <w:i/>
          <w:color w:val="00000A"/>
        </w:rPr>
        <w:t>traditional knowledge holds the key to climate cha</w:t>
      </w:r>
      <w:r w:rsidRPr="009B0448">
        <w:rPr>
          <w:rFonts w:ascii="Times New Roman" w:eastAsia="Times New Roman" w:hAnsi="Times New Roman" w:cs="Times New Roman"/>
          <w:i/>
          <w:color w:val="00000A"/>
        </w:rPr>
        <w:t>nge</w:t>
      </w:r>
      <w:r w:rsidR="00FD2580" w:rsidRPr="009B0448">
        <w:rPr>
          <w:rFonts w:ascii="Times New Roman" w:eastAsia="Times New Roman" w:hAnsi="Times New Roman" w:cs="Times New Roman"/>
          <w:i/>
          <w:color w:val="00000A"/>
        </w:rPr>
        <w:t>.</w:t>
      </w:r>
      <w:r w:rsidR="00FD2580"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United Nations University. Retrieved from </w:t>
      </w:r>
      <w:hyperlink r:id="rId288" w:history="1">
        <w:r w:rsidRPr="009B0448">
          <w:rPr>
            <w:rStyle w:val="Hyperlink"/>
            <w:rFonts w:ascii="Times New Roman" w:eastAsia="Times New Roman" w:hAnsi="Times New Roman" w:cs="Times New Roman"/>
          </w:rPr>
          <w:t>https://unu.edu/publications/articles/why-traditional-knowledge-holds-the-key-to-climate-change.html</w:t>
        </w:r>
      </w:hyperlink>
    </w:p>
    <w:p w14:paraId="2DC58B49" w14:textId="3DC72BE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Rockström, J., Steffen, W., Noone, K., Persson, Å., Chapin</w:t>
      </w:r>
      <w:r w:rsidR="006A2A67" w:rsidRPr="009B0448">
        <w:rPr>
          <w:rFonts w:ascii="Times New Roman" w:eastAsia="Times New Roman" w:hAnsi="Times New Roman" w:cs="Times New Roman"/>
          <w:color w:val="00000A"/>
        </w:rPr>
        <w:t xml:space="preserve"> III</w:t>
      </w:r>
      <w:r w:rsidRPr="009B0448">
        <w:rPr>
          <w:rFonts w:ascii="Times New Roman" w:eastAsia="Times New Roman" w:hAnsi="Times New Roman" w:cs="Times New Roman"/>
          <w:color w:val="00000A"/>
        </w:rPr>
        <w:t xml:space="preserve">, F. S., Lambin, E. F., </w:t>
      </w:r>
      <w:r w:rsidR="00FD2580" w:rsidRPr="009B0448">
        <w:rPr>
          <w:rFonts w:ascii="Times New Roman" w:eastAsia="Times New Roman" w:hAnsi="Times New Roman" w:cs="Times New Roman"/>
          <w:color w:val="00000A"/>
        </w:rPr>
        <w:t>Lenton, T. M., Scheffer, M., Folke, C., Schellnhuber, H. J., Nykvist, B., de Wit, C. A., Hughes, T., van der Leeuw, S., Rodhe, H., Sörlin, S., Snyder, P. K., Costanza, R., Svedin, U., Falkenmark, M., Karlberg, L., Corell, R. W., Fabry, V. J., Hansen, J., Walker, B., Liverman, D., Richardson, K., Crutzen, P., &amp;</w:t>
      </w:r>
      <w:r w:rsidRPr="009B0448">
        <w:rPr>
          <w:rFonts w:ascii="Times New Roman" w:eastAsia="Times New Roman" w:hAnsi="Times New Roman" w:cs="Times New Roman"/>
          <w:color w:val="00000A"/>
        </w:rPr>
        <w:t xml:space="preserve"> Foley, J. A. (2009). A safe operating space for humanity.</w:t>
      </w:r>
      <w:r w:rsidR="00FD2580"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Nature, 461</w:t>
      </w:r>
      <w:r w:rsidRPr="009B0448">
        <w:rPr>
          <w:rFonts w:ascii="Times New Roman" w:eastAsia="Times New Roman" w:hAnsi="Times New Roman" w:cs="Times New Roman"/>
          <w:color w:val="00000A"/>
        </w:rPr>
        <w:t xml:space="preserve">(7263), 472–475. </w:t>
      </w:r>
      <w:hyperlink r:id="rId289" w:history="1">
        <w:r w:rsidRPr="009B0448">
          <w:rPr>
            <w:rStyle w:val="Hyperlink"/>
            <w:rFonts w:ascii="Times New Roman" w:eastAsia="Times New Roman" w:hAnsi="Times New Roman" w:cs="Times New Roman"/>
          </w:rPr>
          <w:t>https://doi.org/10.1038/461472a</w:t>
        </w:r>
      </w:hyperlink>
    </w:p>
    <w:p w14:paraId="0E7D4BFC" w14:textId="76D746E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Rodríguez, J. P., Keith, D. A., Rodríguez-Clark, K. M., Murray, N. J., Nicholson, E., Regan, T. J., </w:t>
      </w:r>
      <w:r w:rsidR="006A2A67" w:rsidRPr="009B0448">
        <w:rPr>
          <w:rFonts w:ascii="Times New Roman" w:eastAsia="Times New Roman" w:hAnsi="Times New Roman" w:cs="Times New Roman"/>
          <w:lang w:eastAsia="en-GB"/>
        </w:rPr>
        <w:t xml:space="preserve">Miller, R. M., Barrow, E. G., Bland, L. M., Boe, K., Brooks, T. M., Oliveira-Miranda, M. A., Spalding, M., &amp; </w:t>
      </w:r>
      <w:r w:rsidRPr="009B0448">
        <w:rPr>
          <w:rFonts w:ascii="Times New Roman" w:eastAsia="Times New Roman" w:hAnsi="Times New Roman" w:cs="Times New Roman"/>
          <w:color w:val="00000A"/>
        </w:rPr>
        <w:t xml:space="preserve">Wit, P. (2015). A practical guide to the application of the IUCN Red List of Ecosystems criteria. </w:t>
      </w:r>
      <w:r w:rsidR="00FD2580" w:rsidRPr="009B0448">
        <w:rPr>
          <w:rFonts w:ascii="Times New Roman" w:eastAsia="Times New Roman" w:hAnsi="Times New Roman" w:cs="Times New Roman"/>
          <w:i/>
          <w:color w:val="auto"/>
          <w:highlight w:val="white"/>
          <w:lang w:val="en-ZA" w:eastAsia="en-GB"/>
        </w:rPr>
        <w:t>Philosophical Transactions of the Royal Society B: Biological Sciences</w:t>
      </w:r>
      <w:r w:rsidRPr="009B0448">
        <w:rPr>
          <w:rFonts w:ascii="Times New Roman" w:eastAsia="Times New Roman" w:hAnsi="Times New Roman" w:cs="Times New Roman"/>
          <w:i/>
          <w:color w:val="00000A"/>
        </w:rPr>
        <w:t>, 370</w:t>
      </w:r>
      <w:r w:rsidRPr="009B0448">
        <w:rPr>
          <w:rFonts w:ascii="Times New Roman" w:eastAsia="Times New Roman" w:hAnsi="Times New Roman" w:cs="Times New Roman"/>
          <w:color w:val="00000A"/>
        </w:rPr>
        <w:t xml:space="preserve">(1662), 20140003. </w:t>
      </w:r>
      <w:hyperlink r:id="rId290" w:history="1">
        <w:r w:rsidRPr="009B0448">
          <w:rPr>
            <w:rStyle w:val="Hyperlink"/>
            <w:rFonts w:ascii="Times New Roman" w:eastAsia="Times New Roman" w:hAnsi="Times New Roman" w:cs="Times New Roman"/>
          </w:rPr>
          <w:t>https://doi.org/10.1098/rstb.2014.0003</w:t>
        </w:r>
      </w:hyperlink>
    </w:p>
    <w:p w14:paraId="77D8BB90" w14:textId="0BFAD0FE" w:rsidR="001A3B0A" w:rsidRPr="009B0448" w:rsidRDefault="001A3B0A" w:rsidP="006A2A67">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Rosenberg, A. A., Fogarty, M. J., Cooper, A. B., Dickey-Collas, M., Fulton, E. A., Gutiérrez, N. L., </w:t>
      </w:r>
      <w:r w:rsidR="006A2A67" w:rsidRPr="009B0448">
        <w:rPr>
          <w:rFonts w:ascii="Times New Roman" w:eastAsia="Times New Roman" w:hAnsi="Times New Roman" w:cs="Times New Roman"/>
          <w:lang w:eastAsia="en-GB"/>
        </w:rPr>
        <w:t xml:space="preserve">Hyde, K. J. W., Kleisner, K. M., Kristiansen, T., Longo, C., Minte-Vera, C. V., Minto, C., Mosqueira, I., Chato-Osio, G., Ovando, D., Selig, E. R., Thorson, J. T., &amp; </w:t>
      </w:r>
      <w:r w:rsidRPr="009B0448">
        <w:rPr>
          <w:rFonts w:ascii="Times New Roman" w:eastAsia="Times New Roman" w:hAnsi="Times New Roman" w:cs="Times New Roman"/>
          <w:color w:val="00000A"/>
        </w:rPr>
        <w:t xml:space="preserve">Ye, Y. (2014). </w:t>
      </w:r>
      <w:r w:rsidRPr="009B0448">
        <w:rPr>
          <w:rFonts w:ascii="Times New Roman" w:eastAsia="Times New Roman" w:hAnsi="Times New Roman" w:cs="Times New Roman"/>
          <w:i/>
          <w:color w:val="00000A"/>
        </w:rPr>
        <w:t>Developing new approaches to global stock status assessment and fishery production potential of the seas.</w:t>
      </w:r>
      <w:r w:rsidRPr="009B0448">
        <w:rPr>
          <w:rFonts w:ascii="Times New Roman" w:eastAsia="Times New Roman" w:hAnsi="Times New Roman" w:cs="Times New Roman"/>
          <w:color w:val="00000A"/>
        </w:rPr>
        <w:t xml:space="preserve"> Rome, Italy: Food and Agriculture Organization of the United Nations. Retrieved from </w:t>
      </w:r>
      <w:hyperlink r:id="rId291" w:history="1">
        <w:r w:rsidRPr="009B0448">
          <w:rPr>
            <w:rStyle w:val="Hyperlink"/>
            <w:rFonts w:ascii="Times New Roman" w:eastAsia="Times New Roman" w:hAnsi="Times New Roman" w:cs="Times New Roman"/>
          </w:rPr>
          <w:t>http://www.fao.org/3/18c711a9-39e6-5e04-b72a-edfbcbd85777/i3491e.pdf</w:t>
        </w:r>
      </w:hyperlink>
    </w:p>
    <w:p w14:paraId="50A08C48" w14:textId="526BD9C3"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Roué, M., &amp; Nakashima, D. (2</w:t>
      </w:r>
      <w:r w:rsidR="006A2A67" w:rsidRPr="009B0448">
        <w:rPr>
          <w:rFonts w:ascii="Times New Roman" w:eastAsia="Times New Roman" w:hAnsi="Times New Roman" w:cs="Times New Roman"/>
          <w:color w:val="00000A"/>
        </w:rPr>
        <w:t>002). Knowledge and foresight: T</w:t>
      </w:r>
      <w:r w:rsidRPr="009B0448">
        <w:rPr>
          <w:rFonts w:ascii="Times New Roman" w:eastAsia="Times New Roman" w:hAnsi="Times New Roman" w:cs="Times New Roman"/>
          <w:color w:val="00000A"/>
        </w:rPr>
        <w:t xml:space="preserve">he predictive capacity of traditional knowledge applied to environmental assessment. </w:t>
      </w:r>
      <w:r w:rsidRPr="009B0448">
        <w:rPr>
          <w:rFonts w:ascii="Times New Roman" w:eastAsia="Times New Roman" w:hAnsi="Times New Roman" w:cs="Times New Roman"/>
          <w:i/>
          <w:color w:val="00000A"/>
        </w:rPr>
        <w:t>International Social Science Journal, 54</w:t>
      </w:r>
      <w:r w:rsidRPr="009B0448">
        <w:rPr>
          <w:rFonts w:ascii="Times New Roman" w:eastAsia="Times New Roman" w:hAnsi="Times New Roman" w:cs="Times New Roman"/>
          <w:color w:val="00000A"/>
        </w:rPr>
        <w:t xml:space="preserve">(173), 337–347. </w:t>
      </w:r>
      <w:hyperlink r:id="rId292" w:history="1">
        <w:r w:rsidRPr="009B0448">
          <w:rPr>
            <w:rStyle w:val="Hyperlink"/>
            <w:rFonts w:ascii="Times New Roman" w:eastAsia="Times New Roman" w:hAnsi="Times New Roman" w:cs="Times New Roman"/>
          </w:rPr>
          <w:t>https://doi.org/10.1111/1468-2451.00386</w:t>
        </w:r>
      </w:hyperlink>
    </w:p>
    <w:p w14:paraId="3A32817F" w14:textId="2C5419F9"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Roué, M., Césard, N., Adou Yao, Y. C., &amp; Oteng-Yeboah, A. (Ed</w:t>
      </w:r>
      <w:r w:rsidR="006A2A67" w:rsidRPr="009B0448">
        <w:rPr>
          <w:rFonts w:ascii="Times New Roman" w:eastAsia="Times New Roman" w:hAnsi="Times New Roman" w:cs="Times New Roman"/>
          <w:color w:val="00000A"/>
        </w:rPr>
        <w:t>s</w:t>
      </w:r>
      <w:r w:rsidRPr="009B0448">
        <w:rPr>
          <w:rFonts w:ascii="Times New Roman" w:eastAsia="Times New Roman" w:hAnsi="Times New Roman" w:cs="Times New Roman"/>
          <w:color w:val="00000A"/>
        </w:rPr>
        <w:t xml:space="preserve">.). (2016). Indigenous and local knowledge of biodiversity and ecosystem services in Africa. </w:t>
      </w:r>
      <w:r w:rsidR="006A2A67" w:rsidRPr="009B0448">
        <w:rPr>
          <w:rFonts w:ascii="Times New Roman" w:eastAsia="Times New Roman" w:hAnsi="Times New Roman" w:cs="Times New Roman"/>
          <w:color w:val="00000A"/>
        </w:rPr>
        <w:t xml:space="preserve">Paris, France: </w:t>
      </w:r>
      <w:r w:rsidRPr="009B0448">
        <w:rPr>
          <w:rFonts w:ascii="Times New Roman" w:eastAsia="Times New Roman" w:hAnsi="Times New Roman" w:cs="Times New Roman"/>
          <w:color w:val="00000A"/>
        </w:rPr>
        <w:t>UNESCO.</w:t>
      </w:r>
      <w:r w:rsidR="006A2A67" w:rsidRPr="009B0448">
        <w:rPr>
          <w:rFonts w:ascii="Times New Roman" w:eastAsia="Times New Roman" w:hAnsi="Times New Roman" w:cs="Times New Roman"/>
          <w:color w:val="00000A"/>
        </w:rPr>
        <w:t xml:space="preserve"> Retrieved from </w:t>
      </w:r>
      <w:hyperlink r:id="rId293" w:history="1">
        <w:r w:rsidR="006A2A67" w:rsidRPr="009B0448">
          <w:rPr>
            <w:rStyle w:val="Hyperlink"/>
            <w:rFonts w:ascii="Times New Roman" w:eastAsia="Times New Roman" w:hAnsi="Times New Roman" w:cs="Times New Roman"/>
          </w:rPr>
          <w:t>http://unesdoc.unesco.org/images/0024/002474/247461m.pdf</w:t>
        </w:r>
      </w:hyperlink>
    </w:p>
    <w:p w14:paraId="3E9EA8B9" w14:textId="0BDA695F" w:rsidR="001A3B0A" w:rsidRPr="009B0448" w:rsidRDefault="006A2A67"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Rowland, D., Blackie, R. R</w:t>
      </w:r>
      <w:r w:rsidR="001A3B0A" w:rsidRPr="009B0448">
        <w:rPr>
          <w:rFonts w:ascii="Times New Roman" w:eastAsia="Times New Roman" w:hAnsi="Times New Roman" w:cs="Times New Roman"/>
          <w:color w:val="00000A"/>
        </w:rPr>
        <w:t xml:space="preserve">., Powell, B., Djoudi, H., Vergles, E., Vinceti, B., &amp; Ickowitz, A. (2015). Direct </w:t>
      </w:r>
      <w:r w:rsidRPr="009B0448">
        <w:rPr>
          <w:rFonts w:ascii="Times New Roman" w:eastAsia="Times New Roman" w:hAnsi="Times New Roman" w:cs="Times New Roman"/>
          <w:color w:val="00000A"/>
        </w:rPr>
        <w:t>contributions of dry forests to nutrition</w:t>
      </w:r>
      <w:r w:rsidR="001A3B0A" w:rsidRPr="009B0448">
        <w:rPr>
          <w:rFonts w:ascii="Times New Roman" w:eastAsia="Times New Roman" w:hAnsi="Times New Roman" w:cs="Times New Roman"/>
          <w:color w:val="00000A"/>
        </w:rPr>
        <w:t xml:space="preserve">: A </w:t>
      </w:r>
      <w:r w:rsidRPr="009B0448">
        <w:rPr>
          <w:rFonts w:ascii="Times New Roman" w:eastAsia="Times New Roman" w:hAnsi="Times New Roman" w:cs="Times New Roman"/>
          <w:color w:val="00000A"/>
        </w:rPr>
        <w:t>r</w:t>
      </w:r>
      <w:r w:rsidR="001A3B0A" w:rsidRPr="009B0448">
        <w:rPr>
          <w:rFonts w:ascii="Times New Roman" w:eastAsia="Times New Roman" w:hAnsi="Times New Roman" w:cs="Times New Roman"/>
          <w:color w:val="00000A"/>
        </w:rPr>
        <w:t xml:space="preserve">eview. </w:t>
      </w:r>
      <w:r w:rsidR="001A3B0A" w:rsidRPr="009B0448">
        <w:rPr>
          <w:rFonts w:ascii="Times New Roman" w:eastAsia="Times New Roman" w:hAnsi="Times New Roman" w:cs="Times New Roman"/>
          <w:i/>
          <w:color w:val="00000A"/>
        </w:rPr>
        <w:t>International Forestry Review, 17</w:t>
      </w:r>
      <w:r w:rsidR="001A3B0A" w:rsidRPr="009B0448">
        <w:rPr>
          <w:rFonts w:ascii="Times New Roman" w:eastAsia="Times New Roman" w:hAnsi="Times New Roman" w:cs="Times New Roman"/>
          <w:color w:val="00000A"/>
        </w:rPr>
        <w:t xml:space="preserve">(S2), 4553. </w:t>
      </w:r>
      <w:hyperlink r:id="rId294" w:history="1">
        <w:r w:rsidR="001A3B0A" w:rsidRPr="009B0448">
          <w:rPr>
            <w:rStyle w:val="Hyperlink"/>
            <w:rFonts w:ascii="Times New Roman" w:eastAsia="Times New Roman" w:hAnsi="Times New Roman" w:cs="Times New Roman"/>
          </w:rPr>
          <w:t>https://doi.org/10.1505/146554815815834804</w:t>
        </w:r>
      </w:hyperlink>
    </w:p>
    <w:p w14:paraId="67BB94E6" w14:textId="03002DF8"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Roxburgh, C., Dörr, N., Leke, A., Tazi-Riffi, A., van Wamelen, A., Lund, S., </w:t>
      </w:r>
      <w:r w:rsidR="006A2A67" w:rsidRPr="009B0448">
        <w:rPr>
          <w:rFonts w:ascii="Times New Roman" w:eastAsia="Times New Roman" w:hAnsi="Times New Roman" w:cs="Times New Roman"/>
          <w:lang w:eastAsia="en-GB"/>
        </w:rPr>
        <w:t>Chironga, M., Alatovik, T., Atkins, C., Terfous, N., &amp;</w:t>
      </w:r>
      <w:r w:rsidRPr="009B0448">
        <w:rPr>
          <w:rFonts w:ascii="Times New Roman" w:eastAsia="Times New Roman" w:hAnsi="Times New Roman" w:cs="Times New Roman"/>
          <w:color w:val="00000A"/>
        </w:rPr>
        <w:t xml:space="preserve"> Zeino-Mahmalat, T. (2010). </w:t>
      </w:r>
      <w:r w:rsidRPr="009B0448">
        <w:rPr>
          <w:rFonts w:ascii="Times New Roman" w:eastAsia="Times New Roman" w:hAnsi="Times New Roman" w:cs="Times New Roman"/>
          <w:i/>
          <w:color w:val="00000A"/>
        </w:rPr>
        <w:t xml:space="preserve">Lions on the move: The progress and potential of African economies. </w:t>
      </w:r>
      <w:r w:rsidRPr="009B0448">
        <w:rPr>
          <w:rFonts w:ascii="Times New Roman" w:eastAsia="Times New Roman" w:hAnsi="Times New Roman" w:cs="Times New Roman"/>
          <w:color w:val="00000A"/>
        </w:rPr>
        <w:t xml:space="preserve">Washington, DC, </w:t>
      </w:r>
      <w:r w:rsidR="006A2A67" w:rsidRPr="009B0448">
        <w:rPr>
          <w:rFonts w:ascii="Times New Roman" w:eastAsia="Times New Roman" w:hAnsi="Times New Roman" w:cs="Times New Roman"/>
          <w:color w:val="00000A"/>
        </w:rPr>
        <w:t>USA</w:t>
      </w:r>
      <w:r w:rsidRPr="009B0448">
        <w:rPr>
          <w:rFonts w:ascii="Times New Roman" w:eastAsia="Times New Roman" w:hAnsi="Times New Roman" w:cs="Times New Roman"/>
          <w:color w:val="00000A"/>
        </w:rPr>
        <w:t xml:space="preserve">: McKinsey Global Institute. Retrieved from </w:t>
      </w:r>
      <w:hyperlink r:id="rId295" w:history="1">
        <w:r w:rsidRPr="009B0448">
          <w:rPr>
            <w:rStyle w:val="Hyperlink"/>
            <w:rFonts w:ascii="Times New Roman" w:eastAsia="Times New Roman" w:hAnsi="Times New Roman" w:cs="Times New Roman"/>
          </w:rPr>
          <w:t>https://www.mckinsey.com/~/media/McKinsey/dotcom/Insights%20and%20pubs/MGI/Research/Productivity%20Competitiveness%20and%20Growth/Lions%20on%20the%20move%20The%20progress%20of%20African%20economies/MGI_Lions_on_the_move_african_economies_full_report.ashx</w:t>
        </w:r>
      </w:hyperlink>
    </w:p>
    <w:p w14:paraId="224C37A3" w14:textId="0470281F"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Sambanis, N. (2004). Using studies to expand economic models of civil war. </w:t>
      </w:r>
      <w:r w:rsidRPr="009B0448">
        <w:rPr>
          <w:rFonts w:ascii="Times New Roman" w:eastAsia="Times New Roman" w:hAnsi="Times New Roman" w:cs="Times New Roman"/>
          <w:i/>
          <w:color w:val="00000A"/>
        </w:rPr>
        <w:t>Perspectives on Politics, 2</w:t>
      </w:r>
      <w:r w:rsidRPr="009B0448">
        <w:rPr>
          <w:rFonts w:ascii="Times New Roman" w:eastAsia="Times New Roman" w:hAnsi="Times New Roman" w:cs="Times New Roman"/>
          <w:color w:val="00000A"/>
        </w:rPr>
        <w:t xml:space="preserve">(2), 259–279. </w:t>
      </w:r>
      <w:hyperlink r:id="rId296" w:history="1">
        <w:r w:rsidR="006A2A67" w:rsidRPr="009B0448">
          <w:rPr>
            <w:rStyle w:val="Hyperlink"/>
            <w:rFonts w:ascii="Times New Roman" w:eastAsia="Times New Roman" w:hAnsi="Times New Roman" w:cs="Times New Roman"/>
          </w:rPr>
          <w:t>https://doi.org/10.1017/S1537592704040149</w:t>
        </w:r>
      </w:hyperlink>
    </w:p>
    <w:p w14:paraId="60FF3A42" w14:textId="1EB45858"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Sasvari, A., Aguilar, L., Khan, M., </w:t>
      </w:r>
      <w:r w:rsidR="006A2A67" w:rsidRPr="009B0448">
        <w:rPr>
          <w:rFonts w:ascii="Times New Roman" w:eastAsia="Times New Roman" w:hAnsi="Times New Roman" w:cs="Times New Roman"/>
          <w:color w:val="00000A"/>
        </w:rPr>
        <w:t xml:space="preserve">&amp; </w:t>
      </w:r>
      <w:r w:rsidRPr="009B0448">
        <w:rPr>
          <w:rFonts w:ascii="Times New Roman" w:eastAsia="Times New Roman" w:hAnsi="Times New Roman" w:cs="Times New Roman"/>
          <w:color w:val="00000A"/>
        </w:rPr>
        <w:t xml:space="preserve">Schmitt, F. (2010). </w:t>
      </w:r>
      <w:r w:rsidRPr="009B0448">
        <w:rPr>
          <w:rFonts w:ascii="Times New Roman" w:eastAsia="Times New Roman" w:hAnsi="Times New Roman" w:cs="Times New Roman"/>
          <w:i/>
          <w:color w:val="00000A"/>
        </w:rPr>
        <w:t xml:space="preserve">Guidelines for </w:t>
      </w:r>
      <w:r w:rsidR="006A2A67" w:rsidRPr="009B0448">
        <w:rPr>
          <w:rFonts w:ascii="Times New Roman" w:eastAsia="Times New Roman" w:hAnsi="Times New Roman" w:cs="Times New Roman"/>
          <w:i/>
          <w:color w:val="00000A"/>
        </w:rPr>
        <w:t>mainstreaming g</w:t>
      </w:r>
      <w:r w:rsidRPr="009B0448">
        <w:rPr>
          <w:rFonts w:ascii="Times New Roman" w:eastAsia="Times New Roman" w:hAnsi="Times New Roman" w:cs="Times New Roman"/>
          <w:i/>
          <w:color w:val="00000A"/>
        </w:rPr>
        <w:t>ender into National Biodiversity Strategies and Action Plans</w:t>
      </w:r>
      <w:r w:rsidRPr="009B0448">
        <w:rPr>
          <w:rFonts w:ascii="Times New Roman" w:eastAsia="Times New Roman" w:hAnsi="Times New Roman" w:cs="Times New Roman"/>
          <w:color w:val="00000A"/>
        </w:rPr>
        <w:t>. Gland, Switzerland: IUCN.</w:t>
      </w:r>
      <w:r w:rsidR="006A2A67" w:rsidRPr="009B0448">
        <w:rPr>
          <w:rFonts w:ascii="Times New Roman" w:eastAsia="Times New Roman" w:hAnsi="Times New Roman" w:cs="Times New Roman"/>
          <w:color w:val="00000A"/>
        </w:rPr>
        <w:t xml:space="preserve"> Retrieved from </w:t>
      </w:r>
      <w:hyperlink r:id="rId297" w:history="1">
        <w:r w:rsidR="006A2A67" w:rsidRPr="009B0448">
          <w:rPr>
            <w:rStyle w:val="Hyperlink"/>
            <w:rFonts w:ascii="Times New Roman" w:eastAsia="Times New Roman" w:hAnsi="Times New Roman" w:cs="Times New Roman"/>
          </w:rPr>
          <w:t>https://www.cbd.int/doc/publications/cbd-ts-49-en.pdf</w:t>
        </w:r>
      </w:hyperlink>
    </w:p>
    <w:p w14:paraId="3A6AF235" w14:textId="36AA7721"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Scherr, S. J. (2014). A decade of integrated landscape management. </w:t>
      </w:r>
      <w:r w:rsidRPr="009B0448">
        <w:rPr>
          <w:rFonts w:ascii="Times New Roman" w:eastAsia="Times New Roman" w:hAnsi="Times New Roman" w:cs="Times New Roman"/>
          <w:i/>
          <w:color w:val="00000A"/>
        </w:rPr>
        <w:t>Farming Matters, 30</w:t>
      </w:r>
      <w:r w:rsidRPr="009B0448">
        <w:rPr>
          <w:rFonts w:ascii="Times New Roman" w:eastAsia="Times New Roman" w:hAnsi="Times New Roman" w:cs="Times New Roman"/>
          <w:color w:val="00000A"/>
        </w:rPr>
        <w:t>(3), 38–40.</w:t>
      </w:r>
      <w:r w:rsidR="006916AB" w:rsidRPr="009B0448">
        <w:rPr>
          <w:rFonts w:ascii="Times New Roman" w:eastAsia="Times New Roman" w:hAnsi="Times New Roman" w:cs="Times New Roman"/>
          <w:color w:val="00000A"/>
        </w:rPr>
        <w:t xml:space="preserve"> Retrieved from </w:t>
      </w:r>
      <w:hyperlink r:id="rId298" w:history="1">
        <w:r w:rsidR="006916AB" w:rsidRPr="009B0448">
          <w:rPr>
            <w:rStyle w:val="Hyperlink"/>
            <w:rFonts w:ascii="Times New Roman" w:eastAsia="Times New Roman" w:hAnsi="Times New Roman" w:cs="Times New Roman"/>
          </w:rPr>
          <w:t>https://www.ileia.org/wp-content/uploads/2017/01/30_3_Landscapes.pdf</w:t>
        </w:r>
      </w:hyperlink>
    </w:p>
    <w:p w14:paraId="33DABB3D" w14:textId="45EA40A9"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Scherr, S. J., Shames, S., &amp; Friedman, R. (2013). Defining integrated landscape management for policy makers. </w:t>
      </w:r>
      <w:r w:rsidRPr="009B0448">
        <w:rPr>
          <w:rFonts w:ascii="Times New Roman" w:eastAsia="Times New Roman" w:hAnsi="Times New Roman" w:cs="Times New Roman"/>
          <w:i/>
          <w:color w:val="00000A"/>
        </w:rPr>
        <w:t>Ecoagriculture Policy Focus, 10</w:t>
      </w:r>
      <w:r w:rsidRPr="009B0448">
        <w:rPr>
          <w:rFonts w:ascii="Times New Roman" w:eastAsia="Times New Roman" w:hAnsi="Times New Roman" w:cs="Times New Roman"/>
          <w:color w:val="00000A"/>
        </w:rPr>
        <w:t>.</w:t>
      </w:r>
      <w:r w:rsidR="006916AB" w:rsidRPr="009B0448">
        <w:rPr>
          <w:rFonts w:ascii="Times New Roman" w:eastAsia="Times New Roman" w:hAnsi="Times New Roman" w:cs="Times New Roman"/>
          <w:color w:val="00000A"/>
        </w:rPr>
        <w:t xml:space="preserve"> Retrieved from </w:t>
      </w:r>
      <w:hyperlink r:id="rId299" w:history="1">
        <w:r w:rsidR="006916AB" w:rsidRPr="009B0448">
          <w:rPr>
            <w:rStyle w:val="Hyperlink"/>
            <w:rFonts w:ascii="Times New Roman" w:eastAsia="Times New Roman" w:hAnsi="Times New Roman" w:cs="Times New Roman"/>
          </w:rPr>
          <w:t>https://ecoagriculture.org/wp-content/uploads/2015/08/DefiningILMforPolicyMakers.pdf</w:t>
        </w:r>
      </w:hyperlink>
    </w:p>
    <w:p w14:paraId="694DE0C9" w14:textId="57BE281A"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Scheumann, W., &amp; Neubert, S. (Eds.). (2006). </w:t>
      </w:r>
      <w:r w:rsidRPr="009B0448">
        <w:rPr>
          <w:rFonts w:ascii="Times New Roman" w:eastAsia="Times New Roman" w:hAnsi="Times New Roman" w:cs="Times New Roman"/>
          <w:i/>
          <w:color w:val="00000A"/>
        </w:rPr>
        <w:t>Transboundary water management in Africa : challenges for development cooperation.</w:t>
      </w:r>
      <w:r w:rsidR="006916AB" w:rsidRPr="009B0448">
        <w:rPr>
          <w:rFonts w:ascii="Times New Roman" w:eastAsia="Times New Roman" w:hAnsi="Times New Roman" w:cs="Times New Roman"/>
          <w:color w:val="00000A"/>
        </w:rPr>
        <w:t xml:space="preserve"> Bonn, Germany: Ministry for Economic Cooperation and Development (BMZ)</w:t>
      </w:r>
      <w:r w:rsidRPr="009B0448">
        <w:rPr>
          <w:rFonts w:ascii="Times New Roman" w:eastAsia="Times New Roman" w:hAnsi="Times New Roman" w:cs="Times New Roman"/>
          <w:color w:val="00000A"/>
        </w:rPr>
        <w:t xml:space="preserve"> Retrieved from </w:t>
      </w:r>
      <w:hyperlink r:id="rId300" w:history="1">
        <w:r w:rsidRPr="009B0448">
          <w:rPr>
            <w:rStyle w:val="Hyperlink"/>
            <w:rFonts w:ascii="Times New Roman" w:eastAsia="Times New Roman" w:hAnsi="Times New Roman" w:cs="Times New Roman"/>
          </w:rPr>
          <w:t>http://nbn-resolving.de/urn:nbn:de:0168-ssoar-109930</w:t>
        </w:r>
      </w:hyperlink>
    </w:p>
    <w:p w14:paraId="6BB55FC0" w14:textId="2DF6DAB0"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Schmidt-Soltau, K. (2003). Conservation–related </w:t>
      </w:r>
      <w:r w:rsidR="006916AB" w:rsidRPr="009B0448">
        <w:rPr>
          <w:rFonts w:ascii="Times New Roman" w:eastAsia="Times New Roman" w:hAnsi="Times New Roman" w:cs="Times New Roman"/>
          <w:color w:val="00000A"/>
        </w:rPr>
        <w:t>r</w:t>
      </w:r>
      <w:r w:rsidRPr="009B0448">
        <w:rPr>
          <w:rFonts w:ascii="Times New Roman" w:eastAsia="Times New Roman" w:hAnsi="Times New Roman" w:cs="Times New Roman"/>
          <w:color w:val="00000A"/>
        </w:rPr>
        <w:t xml:space="preserve">esettlement in Central Africa: Environmental and </w:t>
      </w:r>
      <w:r w:rsidR="006916AB" w:rsidRPr="009B0448">
        <w:rPr>
          <w:rFonts w:ascii="Times New Roman" w:eastAsia="Times New Roman" w:hAnsi="Times New Roman" w:cs="Times New Roman"/>
          <w:color w:val="00000A"/>
        </w:rPr>
        <w:t>s</w:t>
      </w:r>
      <w:r w:rsidRPr="009B0448">
        <w:rPr>
          <w:rFonts w:ascii="Times New Roman" w:eastAsia="Times New Roman" w:hAnsi="Times New Roman" w:cs="Times New Roman"/>
          <w:color w:val="00000A"/>
        </w:rPr>
        <w:t xml:space="preserve">ocial </w:t>
      </w:r>
      <w:r w:rsidR="006916AB" w:rsidRPr="009B0448">
        <w:rPr>
          <w:rFonts w:ascii="Times New Roman" w:eastAsia="Times New Roman" w:hAnsi="Times New Roman" w:cs="Times New Roman"/>
          <w:color w:val="00000A"/>
        </w:rPr>
        <w:t>r</w:t>
      </w:r>
      <w:r w:rsidRPr="009B0448">
        <w:rPr>
          <w:rFonts w:ascii="Times New Roman" w:eastAsia="Times New Roman" w:hAnsi="Times New Roman" w:cs="Times New Roman"/>
          <w:color w:val="00000A"/>
        </w:rPr>
        <w:t xml:space="preserve">isks. </w:t>
      </w:r>
      <w:r w:rsidRPr="009B0448">
        <w:rPr>
          <w:rFonts w:ascii="Times New Roman" w:eastAsia="Times New Roman" w:hAnsi="Times New Roman" w:cs="Times New Roman"/>
          <w:i/>
          <w:color w:val="00000A"/>
        </w:rPr>
        <w:t>Development and Change, 34</w:t>
      </w:r>
      <w:r w:rsidRPr="009B0448">
        <w:rPr>
          <w:rFonts w:ascii="Times New Roman" w:eastAsia="Times New Roman" w:hAnsi="Times New Roman" w:cs="Times New Roman"/>
          <w:color w:val="00000A"/>
        </w:rPr>
        <w:t xml:space="preserve">(3), 525–551. </w:t>
      </w:r>
      <w:hyperlink r:id="rId301" w:history="1">
        <w:r w:rsidRPr="009B0448">
          <w:rPr>
            <w:rStyle w:val="Hyperlink"/>
            <w:rFonts w:ascii="Times New Roman" w:eastAsia="Times New Roman" w:hAnsi="Times New Roman" w:cs="Times New Roman"/>
          </w:rPr>
          <w:t>https://doi.org/10.1111/1467-7660.00317</w:t>
        </w:r>
      </w:hyperlink>
    </w:p>
    <w:p w14:paraId="282735B3"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Scullion, J. (2007). </w:t>
      </w:r>
      <w:r w:rsidRPr="009B0448">
        <w:rPr>
          <w:rFonts w:ascii="Times New Roman" w:eastAsia="Times New Roman" w:hAnsi="Times New Roman" w:cs="Times New Roman"/>
          <w:i/>
          <w:color w:val="00000A"/>
        </w:rPr>
        <w:t>Inland fisheries co-management in East Africa</w:t>
      </w:r>
      <w:r w:rsidRPr="009B0448">
        <w:rPr>
          <w:rFonts w:ascii="Times New Roman" w:eastAsia="Times New Roman" w:hAnsi="Times New Roman" w:cs="Times New Roman"/>
          <w:color w:val="00000A"/>
        </w:rPr>
        <w:t xml:space="preserve"> (Working Paper).The WorldFish Center. Retrieved from </w:t>
      </w:r>
      <w:hyperlink r:id="rId302" w:history="1">
        <w:r w:rsidRPr="009B0448">
          <w:rPr>
            <w:rStyle w:val="Hyperlink"/>
            <w:rFonts w:ascii="Times New Roman" w:eastAsia="Times New Roman" w:hAnsi="Times New Roman" w:cs="Times New Roman"/>
          </w:rPr>
          <w:t>https://ideas.repec.org/b/wfi/wfbook/37457.html</w:t>
        </w:r>
      </w:hyperlink>
    </w:p>
    <w:p w14:paraId="0343CBB4" w14:textId="5B5181C2"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Sekercioglu, C. H., Schneider, S. H., Fay, J. P., </w:t>
      </w:r>
      <w:r w:rsidR="006916AB" w:rsidRPr="009B0448">
        <w:rPr>
          <w:rFonts w:ascii="Times New Roman" w:eastAsia="Times New Roman" w:hAnsi="Times New Roman" w:cs="Times New Roman"/>
          <w:color w:val="00000A"/>
        </w:rPr>
        <w:t>&amp; Loarie, S. R. (2008).Climate c</w:t>
      </w:r>
      <w:r w:rsidRPr="009B0448">
        <w:rPr>
          <w:rFonts w:ascii="Times New Roman" w:eastAsia="Times New Roman" w:hAnsi="Times New Roman" w:cs="Times New Roman"/>
          <w:color w:val="00000A"/>
        </w:rPr>
        <w:t xml:space="preserve">hange, </w:t>
      </w:r>
      <w:r w:rsidR="006916AB" w:rsidRPr="009B0448">
        <w:rPr>
          <w:rFonts w:ascii="Times New Roman" w:eastAsia="Times New Roman" w:hAnsi="Times New Roman" w:cs="Times New Roman"/>
          <w:color w:val="00000A"/>
        </w:rPr>
        <w:t>elevational range shifts, and bird ext</w:t>
      </w:r>
      <w:r w:rsidRPr="009B0448">
        <w:rPr>
          <w:rFonts w:ascii="Times New Roman" w:eastAsia="Times New Roman" w:hAnsi="Times New Roman" w:cs="Times New Roman"/>
          <w:color w:val="00000A"/>
        </w:rPr>
        <w:t xml:space="preserve">inctions. </w:t>
      </w:r>
      <w:r w:rsidRPr="009B0448">
        <w:rPr>
          <w:rFonts w:ascii="Times New Roman" w:eastAsia="Times New Roman" w:hAnsi="Times New Roman" w:cs="Times New Roman"/>
          <w:i/>
          <w:color w:val="00000A"/>
        </w:rPr>
        <w:t>Conservation Biology, 22</w:t>
      </w:r>
      <w:r w:rsidRPr="009B0448">
        <w:rPr>
          <w:rFonts w:ascii="Times New Roman" w:eastAsia="Times New Roman" w:hAnsi="Times New Roman" w:cs="Times New Roman"/>
          <w:color w:val="00000A"/>
        </w:rPr>
        <w:t xml:space="preserve">(1), 140–150. </w:t>
      </w:r>
      <w:hyperlink r:id="rId303" w:history="1">
        <w:r w:rsidRPr="009B0448">
          <w:rPr>
            <w:rStyle w:val="Hyperlink"/>
            <w:rFonts w:ascii="Times New Roman" w:eastAsia="Times New Roman" w:hAnsi="Times New Roman" w:cs="Times New Roman"/>
          </w:rPr>
          <w:t>https://doi.org/10.1111/j.1523-1739.2007.00852.x</w:t>
        </w:r>
      </w:hyperlink>
    </w:p>
    <w:p w14:paraId="5AEA6A4B" w14:textId="6C2FBBE8"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Selig, E. R., Longo, C., Halpern, B. S., Best, B. D., Hardy, D., Elfes, C. T., </w:t>
      </w:r>
      <w:r w:rsidR="006916AB" w:rsidRPr="009B0448">
        <w:rPr>
          <w:rFonts w:ascii="Times New Roman" w:eastAsia="Times New Roman" w:hAnsi="Times New Roman" w:cs="Times New Roman"/>
          <w:lang w:eastAsia="en-GB"/>
        </w:rPr>
        <w:t xml:space="preserve">Scarborough, C., Kleisner, K. M., Katona, K. S., &amp; </w:t>
      </w:r>
      <w:r w:rsidRPr="009B0448">
        <w:rPr>
          <w:rFonts w:ascii="Times New Roman" w:eastAsia="Times New Roman" w:hAnsi="Times New Roman" w:cs="Times New Roman"/>
          <w:color w:val="00000A"/>
        </w:rPr>
        <w:t xml:space="preserve">Katona, S. K. (2013). </w:t>
      </w:r>
      <w:r w:rsidR="006916AB" w:rsidRPr="009B0448">
        <w:rPr>
          <w:rFonts w:ascii="Times New Roman" w:eastAsia="Times New Roman" w:hAnsi="Times New Roman" w:cs="Times New Roman"/>
          <w:color w:val="00000A"/>
        </w:rPr>
        <w:t>Assessing global marine biodiversity status within a coupled socio-ecological perspective</w:t>
      </w:r>
      <w:r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PLoS ONE, 8</w:t>
      </w:r>
      <w:r w:rsidRPr="009B0448">
        <w:rPr>
          <w:rFonts w:ascii="Times New Roman" w:eastAsia="Times New Roman" w:hAnsi="Times New Roman" w:cs="Times New Roman"/>
          <w:color w:val="00000A"/>
        </w:rPr>
        <w:t xml:space="preserve">(4), e60284. </w:t>
      </w:r>
      <w:hyperlink r:id="rId304" w:history="1">
        <w:r w:rsidRPr="009B0448">
          <w:rPr>
            <w:rStyle w:val="Hyperlink"/>
            <w:rFonts w:ascii="Times New Roman" w:eastAsia="Times New Roman" w:hAnsi="Times New Roman" w:cs="Times New Roman"/>
          </w:rPr>
          <w:t>https://doi.org/10.1371/journal.pone.0060284</w:t>
        </w:r>
      </w:hyperlink>
    </w:p>
    <w:p w14:paraId="6DFC9809" w14:textId="61A77893"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Selig, E. R., Turner, W. R., Troëng, S., Wallace, B. P., Halpern, B. S., Kaschner, K., </w:t>
      </w:r>
      <w:r w:rsidR="005D5B1D" w:rsidRPr="009B0448">
        <w:rPr>
          <w:rFonts w:ascii="Times New Roman" w:eastAsia="Times New Roman" w:hAnsi="Times New Roman" w:cs="Times New Roman"/>
          <w:lang w:eastAsia="en-GB"/>
        </w:rPr>
        <w:t xml:space="preserve">Lascelles, B. G., Carpenter, K. E., Mittermeier, R. A., &amp; </w:t>
      </w:r>
      <w:r w:rsidRPr="009B0448">
        <w:rPr>
          <w:rFonts w:ascii="Times New Roman" w:eastAsia="Times New Roman" w:hAnsi="Times New Roman" w:cs="Times New Roman"/>
          <w:color w:val="00000A"/>
        </w:rPr>
        <w:t xml:space="preserve">Mittermeier, R. A. (2014). Global priorities for marine biodiversity conservation. </w:t>
      </w:r>
      <w:r w:rsidRPr="009B0448">
        <w:rPr>
          <w:rFonts w:ascii="Times New Roman" w:eastAsia="Times New Roman" w:hAnsi="Times New Roman" w:cs="Times New Roman"/>
          <w:i/>
          <w:color w:val="00000A"/>
        </w:rPr>
        <w:t>PLoS ONE, 9</w:t>
      </w:r>
      <w:r w:rsidRPr="009B0448">
        <w:rPr>
          <w:rFonts w:ascii="Times New Roman" w:eastAsia="Times New Roman" w:hAnsi="Times New Roman" w:cs="Times New Roman"/>
          <w:color w:val="00000A"/>
        </w:rPr>
        <w:t xml:space="preserve">(1), e82898. </w:t>
      </w:r>
      <w:hyperlink r:id="rId305" w:history="1">
        <w:r w:rsidRPr="009B0448">
          <w:rPr>
            <w:rStyle w:val="Hyperlink"/>
            <w:rFonts w:ascii="Times New Roman" w:eastAsia="Times New Roman" w:hAnsi="Times New Roman" w:cs="Times New Roman"/>
          </w:rPr>
          <w:t>https://doi.org/10.1371/journal.pone.0082898</w:t>
        </w:r>
      </w:hyperlink>
    </w:p>
    <w:p w14:paraId="0E618B7B" w14:textId="25DE9620"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Sene, G., Thiao, M., Manga, A., Kane, A., Samba-Mbaye, R., Mbaye, M. S., </w:t>
      </w:r>
      <w:r w:rsidR="005D5B1D" w:rsidRPr="009B0448">
        <w:rPr>
          <w:rFonts w:ascii="Times New Roman" w:eastAsia="Times New Roman" w:hAnsi="Times New Roman" w:cs="Times New Roman"/>
          <w:color w:val="00000A"/>
        </w:rPr>
        <w:t>Khasa, D., &amp;</w:t>
      </w:r>
      <w:r w:rsidRPr="009B0448">
        <w:rPr>
          <w:rFonts w:ascii="Times New Roman" w:eastAsia="Times New Roman" w:hAnsi="Times New Roman" w:cs="Times New Roman"/>
          <w:color w:val="00000A"/>
        </w:rPr>
        <w:t xml:space="preserve"> Sylla, S. N. (2012). Arbuscular mycorrhizal soil infectivity and spores distribution across plantations of tropical, subtropical and exotic tree species: a case study from the forest reserve of Bandia, Senegal. </w:t>
      </w:r>
      <w:r w:rsidRPr="009B0448">
        <w:rPr>
          <w:rFonts w:ascii="Times New Roman" w:eastAsia="Times New Roman" w:hAnsi="Times New Roman" w:cs="Times New Roman"/>
          <w:i/>
          <w:color w:val="00000A"/>
        </w:rPr>
        <w:t>African Journal of Ecology, 50</w:t>
      </w:r>
      <w:r w:rsidRPr="009B0448">
        <w:rPr>
          <w:rFonts w:ascii="Times New Roman" w:eastAsia="Times New Roman" w:hAnsi="Times New Roman" w:cs="Times New Roman"/>
          <w:color w:val="00000A"/>
        </w:rPr>
        <w:t xml:space="preserve">(2), 218–232. </w:t>
      </w:r>
      <w:hyperlink r:id="rId306" w:history="1">
        <w:r w:rsidRPr="009B0448">
          <w:rPr>
            <w:rStyle w:val="Hyperlink"/>
            <w:rFonts w:ascii="Times New Roman" w:eastAsia="Times New Roman" w:hAnsi="Times New Roman" w:cs="Times New Roman"/>
          </w:rPr>
          <w:t>https://doi.org/10.1111/j.1365-2028.2011.01315.x</w:t>
        </w:r>
      </w:hyperlink>
    </w:p>
    <w:p w14:paraId="4F30AB0D" w14:textId="1F5A2EA6" w:rsidR="001A3B0A" w:rsidRPr="009B0448" w:rsidRDefault="001A3B0A" w:rsidP="005D5B1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Senelwa, K., Etiégni, L., Osano, O., Balozi, K., &amp; Imo, M. (2012). </w:t>
      </w:r>
      <w:r w:rsidR="005D5B1D" w:rsidRPr="009B0448">
        <w:rPr>
          <w:rFonts w:ascii="Times New Roman" w:eastAsia="Times New Roman" w:hAnsi="Times New Roman" w:cs="Times New Roman"/>
          <w:color w:val="00000A"/>
        </w:rPr>
        <w:t>Environmental impacts of biofuel production in</w:t>
      </w:r>
      <w:r w:rsidRPr="009B0448">
        <w:rPr>
          <w:rFonts w:ascii="Times New Roman" w:eastAsia="Times New Roman" w:hAnsi="Times New Roman" w:cs="Times New Roman"/>
          <w:color w:val="00000A"/>
        </w:rPr>
        <w:t xml:space="preserve"> Africa. In </w:t>
      </w:r>
      <w:r w:rsidR="005D5B1D" w:rsidRPr="009B0448">
        <w:rPr>
          <w:rFonts w:ascii="Times New Roman" w:eastAsia="Times New Roman" w:hAnsi="Times New Roman" w:cs="Times New Roman"/>
          <w:color w:val="00000A"/>
        </w:rPr>
        <w:t xml:space="preserve">R. Janssen, &amp; D. Rutz (Eds.), </w:t>
      </w:r>
      <w:r w:rsidR="005D5B1D" w:rsidRPr="009B0448">
        <w:rPr>
          <w:rFonts w:ascii="Times New Roman" w:eastAsia="Times New Roman" w:hAnsi="Times New Roman" w:cs="Times New Roman"/>
          <w:i/>
          <w:color w:val="00000A"/>
        </w:rPr>
        <w:t xml:space="preserve">Bioenergy for sustainable development </w:t>
      </w:r>
      <w:r w:rsidRPr="009B0448">
        <w:rPr>
          <w:rFonts w:ascii="Times New Roman" w:eastAsia="Times New Roman" w:hAnsi="Times New Roman" w:cs="Times New Roman"/>
          <w:i/>
          <w:color w:val="00000A"/>
        </w:rPr>
        <w:t>i</w:t>
      </w:r>
      <w:r w:rsidR="005D5B1D" w:rsidRPr="009B0448">
        <w:rPr>
          <w:rFonts w:ascii="Times New Roman" w:eastAsia="Times New Roman" w:hAnsi="Times New Roman" w:cs="Times New Roman"/>
          <w:i/>
          <w:color w:val="00000A"/>
        </w:rPr>
        <w:t>n Africa</w:t>
      </w:r>
      <w:r w:rsidR="005D5B1D" w:rsidRPr="009B0448">
        <w:rPr>
          <w:rFonts w:ascii="Times New Roman" w:eastAsia="Times New Roman" w:hAnsi="Times New Roman" w:cs="Times New Roman"/>
          <w:color w:val="00000A"/>
        </w:rPr>
        <w:t xml:space="preserve"> (p. 237–245). Dordrecht, Netherlands: Springer</w:t>
      </w:r>
      <w:r w:rsidRPr="009B0448">
        <w:rPr>
          <w:rFonts w:ascii="Times New Roman" w:eastAsia="Times New Roman" w:hAnsi="Times New Roman" w:cs="Times New Roman"/>
          <w:color w:val="00000A"/>
        </w:rPr>
        <w:t xml:space="preserve">. Retrieved from </w:t>
      </w:r>
      <w:hyperlink r:id="rId307" w:history="1">
        <w:r w:rsidRPr="009B0448">
          <w:rPr>
            <w:rStyle w:val="Hyperlink"/>
            <w:rFonts w:ascii="Times New Roman" w:eastAsia="Times New Roman" w:hAnsi="Times New Roman" w:cs="Times New Roman"/>
          </w:rPr>
          <w:t>https://doi.org/10.1007/978-94-007-2181-4_20</w:t>
        </w:r>
      </w:hyperlink>
    </w:p>
    <w:p w14:paraId="191EE280" w14:textId="10995BD8"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Seto, K. C., Güneralp, B., &amp; Hutyra, L. R. (2012).Global forecasts of urban expansion to 2030 and direct impacts on biodiversity and carbon pools.</w:t>
      </w:r>
      <w:r w:rsidR="00364CA6" w:rsidRPr="009B0448">
        <w:rPr>
          <w:rFonts w:ascii="Times New Roman" w:eastAsia="Times New Roman" w:hAnsi="Times New Roman" w:cs="Times New Roman"/>
          <w:i/>
          <w:lang w:val="en-ZA" w:eastAsia="en-GB"/>
        </w:rPr>
        <w:t xml:space="preserve"> Proceedings of the National Academy of Sciences</w:t>
      </w:r>
      <w:r w:rsidR="00364CA6" w:rsidRPr="009B0448">
        <w:rPr>
          <w:rFonts w:ascii="Times New Roman" w:eastAsia="Times New Roman" w:hAnsi="Times New Roman" w:cs="Times New Roman"/>
          <w:lang w:val="en-ZA" w:eastAsia="en-GB"/>
        </w:rPr>
        <w:t xml:space="preserve"> </w:t>
      </w:r>
      <w:r w:rsidR="00364CA6" w:rsidRPr="009B0448">
        <w:rPr>
          <w:rFonts w:ascii="Times New Roman" w:eastAsia="Times New Roman" w:hAnsi="Times New Roman" w:cs="Times New Roman"/>
          <w:i/>
          <w:lang w:val="en-ZA" w:eastAsia="en-GB"/>
        </w:rPr>
        <w:t>of the United States of America</w:t>
      </w:r>
      <w:r w:rsidRPr="009B0448">
        <w:rPr>
          <w:rFonts w:ascii="Times New Roman" w:eastAsia="Times New Roman" w:hAnsi="Times New Roman" w:cs="Times New Roman"/>
          <w:i/>
          <w:color w:val="00000A"/>
        </w:rPr>
        <w:t>, 109</w:t>
      </w:r>
      <w:r w:rsidRPr="009B0448">
        <w:rPr>
          <w:rFonts w:ascii="Times New Roman" w:eastAsia="Times New Roman" w:hAnsi="Times New Roman" w:cs="Times New Roman"/>
          <w:color w:val="00000A"/>
        </w:rPr>
        <w:t>(40), 16083</w:t>
      </w:r>
      <w:r w:rsidR="005D5B1D"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 xml:space="preserve">16088. </w:t>
      </w:r>
      <w:hyperlink r:id="rId308" w:history="1">
        <w:r w:rsidRPr="009B0448">
          <w:rPr>
            <w:rStyle w:val="Hyperlink"/>
            <w:rFonts w:ascii="Times New Roman" w:eastAsia="Times New Roman" w:hAnsi="Times New Roman" w:cs="Times New Roman"/>
          </w:rPr>
          <w:t>https://doi.org/10.1073/pnas.1211658109</w:t>
        </w:r>
      </w:hyperlink>
    </w:p>
    <w:p w14:paraId="50E3F4A2" w14:textId="4B0643D0" w:rsidR="001A3B0A" w:rsidRPr="009B0448" w:rsidRDefault="005D5B1D"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Shackleton, R. T., Le Maitre,</w:t>
      </w:r>
      <w:r w:rsidR="001A3B0A" w:rsidRPr="009B0448">
        <w:rPr>
          <w:rFonts w:ascii="Times New Roman" w:eastAsia="Times New Roman" w:hAnsi="Times New Roman" w:cs="Times New Roman"/>
          <w:color w:val="00000A"/>
        </w:rPr>
        <w:t xml:space="preserve"> C</w:t>
      </w:r>
      <w:r w:rsidRPr="009B0448">
        <w:rPr>
          <w:rFonts w:ascii="Times New Roman" w:eastAsia="Times New Roman" w:hAnsi="Times New Roman" w:cs="Times New Roman"/>
          <w:color w:val="00000A"/>
        </w:rPr>
        <w:t>.</w:t>
      </w:r>
      <w:r w:rsidR="001A3B0A" w:rsidRPr="009B0448">
        <w:rPr>
          <w:rFonts w:ascii="Times New Roman" w:eastAsia="Times New Roman" w:hAnsi="Times New Roman" w:cs="Times New Roman"/>
          <w:color w:val="00000A"/>
        </w:rPr>
        <w:t xml:space="preserve"> D., Pasiecznik, N. M., &amp; Richa</w:t>
      </w:r>
      <w:r w:rsidRPr="009B0448">
        <w:rPr>
          <w:rFonts w:ascii="Times New Roman" w:eastAsia="Times New Roman" w:hAnsi="Times New Roman" w:cs="Times New Roman"/>
          <w:color w:val="00000A"/>
        </w:rPr>
        <w:t>rdson, D. M. (2014). Prosopis: A</w:t>
      </w:r>
      <w:r w:rsidR="001A3B0A" w:rsidRPr="009B0448">
        <w:rPr>
          <w:rFonts w:ascii="Times New Roman" w:eastAsia="Times New Roman" w:hAnsi="Times New Roman" w:cs="Times New Roman"/>
          <w:color w:val="00000A"/>
        </w:rPr>
        <w:t xml:space="preserve"> global assessment of the biogeography, benefits, impacts and management of one of the world’s worst woody invasive plant taxa. </w:t>
      </w:r>
      <w:r w:rsidR="001A3B0A" w:rsidRPr="009B0448">
        <w:rPr>
          <w:rFonts w:ascii="Times New Roman" w:eastAsia="Times New Roman" w:hAnsi="Times New Roman" w:cs="Times New Roman"/>
          <w:i/>
          <w:color w:val="00000A"/>
        </w:rPr>
        <w:t>AoB PLANTS, 6</w:t>
      </w:r>
      <w:r w:rsidR="001A3B0A" w:rsidRPr="009B0448">
        <w:rPr>
          <w:rFonts w:ascii="Times New Roman" w:eastAsia="Times New Roman" w:hAnsi="Times New Roman" w:cs="Times New Roman"/>
          <w:color w:val="00000A"/>
        </w:rPr>
        <w:t xml:space="preserve">. </w:t>
      </w:r>
      <w:hyperlink r:id="rId309" w:history="1">
        <w:r w:rsidR="001A3B0A" w:rsidRPr="009B0448">
          <w:rPr>
            <w:rStyle w:val="Hyperlink"/>
            <w:rFonts w:ascii="Times New Roman" w:eastAsia="Times New Roman" w:hAnsi="Times New Roman" w:cs="Times New Roman"/>
          </w:rPr>
          <w:t>https://doi.org/10.1093/aobpla/plu027</w:t>
        </w:r>
      </w:hyperlink>
    </w:p>
    <w:p w14:paraId="542CC42A" w14:textId="5BF5403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Shivji, I. G., Moyo, S., Gunby, D., &amp; Ncube, W. (1998). </w:t>
      </w:r>
      <w:r w:rsidRPr="009B0448">
        <w:rPr>
          <w:rFonts w:ascii="Times New Roman" w:eastAsia="Times New Roman" w:hAnsi="Times New Roman" w:cs="Times New Roman"/>
          <w:i/>
          <w:color w:val="00000A"/>
        </w:rPr>
        <w:t xml:space="preserve">National </w:t>
      </w:r>
      <w:r w:rsidR="005D5B1D" w:rsidRPr="009B0448">
        <w:rPr>
          <w:rFonts w:ascii="Times New Roman" w:eastAsia="Times New Roman" w:hAnsi="Times New Roman" w:cs="Times New Roman"/>
          <w:i/>
          <w:color w:val="00000A"/>
        </w:rPr>
        <w:t>land policy framework. Draft discussion pap</w:t>
      </w:r>
      <w:r w:rsidRPr="009B0448">
        <w:rPr>
          <w:rFonts w:ascii="Times New Roman" w:eastAsia="Times New Roman" w:hAnsi="Times New Roman" w:cs="Times New Roman"/>
          <w:i/>
          <w:color w:val="00000A"/>
        </w:rPr>
        <w:t>er</w:t>
      </w:r>
      <w:r w:rsidR="005D5B1D" w:rsidRPr="009B0448">
        <w:rPr>
          <w:rFonts w:ascii="Times New Roman" w:eastAsia="Times New Roman" w:hAnsi="Times New Roman" w:cs="Times New Roman"/>
          <w:i/>
          <w:color w:val="00000A"/>
        </w:rPr>
        <w:t>.</w:t>
      </w:r>
      <w:r w:rsidRPr="009B0448">
        <w:rPr>
          <w:rFonts w:ascii="Times New Roman" w:eastAsia="Times New Roman" w:hAnsi="Times New Roman" w:cs="Times New Roman"/>
          <w:color w:val="00000A"/>
        </w:rPr>
        <w:t xml:space="preserve"> </w:t>
      </w:r>
      <w:r w:rsidR="005D5B1D" w:rsidRPr="009B0448">
        <w:rPr>
          <w:rFonts w:ascii="Times New Roman" w:eastAsia="Times New Roman" w:hAnsi="Times New Roman" w:cs="Times New Roman"/>
          <w:color w:val="00000A"/>
        </w:rPr>
        <w:t xml:space="preserve">Harare, Zimbabwe: </w:t>
      </w:r>
      <w:r w:rsidRPr="009B0448">
        <w:rPr>
          <w:rFonts w:ascii="Times New Roman" w:eastAsia="Times New Roman" w:hAnsi="Times New Roman" w:cs="Times New Roman"/>
          <w:color w:val="00000A"/>
        </w:rPr>
        <w:t>Mi</w:t>
      </w:r>
      <w:r w:rsidR="005D5B1D" w:rsidRPr="009B0448">
        <w:rPr>
          <w:rFonts w:ascii="Times New Roman" w:eastAsia="Times New Roman" w:hAnsi="Times New Roman" w:cs="Times New Roman"/>
          <w:color w:val="00000A"/>
        </w:rPr>
        <w:t>nistry of Lands and Agriculture</w:t>
      </w:r>
      <w:r w:rsidRPr="009B0448">
        <w:rPr>
          <w:rFonts w:ascii="Times New Roman" w:eastAsia="Times New Roman" w:hAnsi="Times New Roman" w:cs="Times New Roman"/>
          <w:color w:val="00000A"/>
        </w:rPr>
        <w:t>.</w:t>
      </w:r>
    </w:p>
    <w:p w14:paraId="546E6CE1" w14:textId="37FDC9A6"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Simberloff, D. (2011). Risks of biological control for conservation purposes. </w:t>
      </w:r>
      <w:r w:rsidRPr="009B0448">
        <w:rPr>
          <w:rFonts w:ascii="Times New Roman" w:eastAsia="Times New Roman" w:hAnsi="Times New Roman" w:cs="Times New Roman"/>
          <w:i/>
          <w:color w:val="00000A"/>
        </w:rPr>
        <w:t>BioControl, 57</w:t>
      </w:r>
      <w:r w:rsidRPr="009B0448">
        <w:rPr>
          <w:rFonts w:ascii="Times New Roman" w:eastAsia="Times New Roman" w:hAnsi="Times New Roman" w:cs="Times New Roman"/>
          <w:color w:val="00000A"/>
        </w:rPr>
        <w:t xml:space="preserve">(2), 263–276. </w:t>
      </w:r>
      <w:hyperlink r:id="rId310" w:history="1">
        <w:r w:rsidRPr="009B0448">
          <w:rPr>
            <w:rStyle w:val="Hyperlink"/>
            <w:rFonts w:ascii="Times New Roman" w:eastAsia="Times New Roman" w:hAnsi="Times New Roman" w:cs="Times New Roman"/>
          </w:rPr>
          <w:t>https://doi.org/10.1007/s10526-011-9392-4</w:t>
        </w:r>
      </w:hyperlink>
    </w:p>
    <w:p w14:paraId="2B53C39D" w14:textId="784820B0"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Sims, C., Finnoff, D., &amp; Shogren, J. F. (2016). Bioeconomics of invasive species: using real options theory to integrate ecology, economics, and risk management. </w:t>
      </w:r>
      <w:r w:rsidRPr="009B0448">
        <w:rPr>
          <w:rFonts w:ascii="Times New Roman" w:eastAsia="Times New Roman" w:hAnsi="Times New Roman" w:cs="Times New Roman"/>
          <w:i/>
          <w:color w:val="00000A"/>
        </w:rPr>
        <w:t xml:space="preserve">Food </w:t>
      </w:r>
      <w:r w:rsidRPr="009B0448">
        <w:rPr>
          <w:rFonts w:ascii="Times New Roman" w:eastAsia="Times New Roman" w:hAnsi="Times New Roman" w:cs="Times New Roman"/>
          <w:color w:val="00000A"/>
        </w:rPr>
        <w:t xml:space="preserve">Security, </w:t>
      </w:r>
      <w:r w:rsidR="005D5B1D" w:rsidRPr="009B0448">
        <w:rPr>
          <w:rFonts w:ascii="Times New Roman" w:eastAsia="Times New Roman" w:hAnsi="Times New Roman" w:cs="Times New Roman"/>
          <w:color w:val="00000A"/>
        </w:rPr>
        <w:t>8, 61–7</w:t>
      </w:r>
      <w:r w:rsidRPr="009B0448">
        <w:rPr>
          <w:rFonts w:ascii="Times New Roman" w:eastAsia="Times New Roman" w:hAnsi="Times New Roman" w:cs="Times New Roman"/>
          <w:color w:val="00000A"/>
        </w:rPr>
        <w:t xml:space="preserve">0. </w:t>
      </w:r>
      <w:hyperlink r:id="rId311" w:history="1">
        <w:r w:rsidRPr="009B0448">
          <w:rPr>
            <w:rStyle w:val="Hyperlink"/>
            <w:rFonts w:ascii="Times New Roman" w:eastAsia="Times New Roman" w:hAnsi="Times New Roman" w:cs="Times New Roman"/>
          </w:rPr>
          <w:t>https://doi.org/10.1007/s12571-015-0530-1</w:t>
        </w:r>
      </w:hyperlink>
    </w:p>
    <w:p w14:paraId="478429A3" w14:textId="339DDDEA"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Soberón, J., Jiménez, R., Golubov, J., &amp; Koleff, P. (2007). Assessing completeness of biodiversity databases at different spatial scales. </w:t>
      </w:r>
      <w:r w:rsidRPr="009B0448">
        <w:rPr>
          <w:rFonts w:ascii="Times New Roman" w:eastAsia="Times New Roman" w:hAnsi="Times New Roman" w:cs="Times New Roman"/>
          <w:i/>
          <w:color w:val="00000A"/>
        </w:rPr>
        <w:t>Ecography, 30</w:t>
      </w:r>
      <w:r w:rsidRPr="009B0448">
        <w:rPr>
          <w:rFonts w:ascii="Times New Roman" w:eastAsia="Times New Roman" w:hAnsi="Times New Roman" w:cs="Times New Roman"/>
          <w:color w:val="00000A"/>
        </w:rPr>
        <w:t>(1), 152–160.</w:t>
      </w:r>
      <w:r w:rsidR="00B65899" w:rsidRPr="009B0448">
        <w:rPr>
          <w:rFonts w:ascii="Times New Roman" w:eastAsia="Times New Roman" w:hAnsi="Times New Roman" w:cs="Times New Roman"/>
          <w:color w:val="00000A"/>
        </w:rPr>
        <w:t xml:space="preserve"> </w:t>
      </w:r>
      <w:hyperlink r:id="rId312" w:history="1">
        <w:r w:rsidR="00B65899" w:rsidRPr="009B0448">
          <w:rPr>
            <w:rStyle w:val="Hyperlink"/>
            <w:rFonts w:ascii="Times New Roman" w:eastAsia="Times New Roman" w:hAnsi="Times New Roman" w:cs="Times New Roman"/>
          </w:rPr>
          <w:t>https://doi.org/10.1111/j.0906-7590.2007.04627.x</w:t>
        </w:r>
      </w:hyperlink>
    </w:p>
    <w:p w14:paraId="706A3049" w14:textId="50D20D42" w:rsidR="00B65899"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State of the Planet Declaration. (2012). State of the planet declaration. Planet under pressure: New knowledge towards solutions. London, UK: UNESCO.</w:t>
      </w:r>
      <w:r w:rsidR="00B65899" w:rsidRPr="009B0448">
        <w:rPr>
          <w:rFonts w:ascii="Times New Roman" w:eastAsia="Times New Roman" w:hAnsi="Times New Roman" w:cs="Times New Roman"/>
          <w:color w:val="00000A"/>
        </w:rPr>
        <w:t xml:space="preserve"> Retrieved from </w:t>
      </w:r>
      <w:hyperlink r:id="rId313" w:history="1">
        <w:r w:rsidR="00B65899" w:rsidRPr="009B0448">
          <w:rPr>
            <w:rStyle w:val="Hyperlink"/>
            <w:rFonts w:ascii="Times New Roman" w:eastAsia="Times New Roman" w:hAnsi="Times New Roman" w:cs="Times New Roman"/>
          </w:rPr>
          <w:t>http://rio20.net/wp-content/uploads/2012/05/state_of_planet_declaration.pdf</w:t>
        </w:r>
      </w:hyperlink>
    </w:p>
    <w:p w14:paraId="51C23486" w14:textId="0D1C0BF2"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Taylor, S. (2015). African biodiversity hotspots and other important conservation designations for unique areas which may include mountains. </w:t>
      </w:r>
      <w:r w:rsidR="00B65899" w:rsidRPr="009B0448">
        <w:rPr>
          <w:rFonts w:ascii="Times New Roman" w:eastAsia="Times New Roman" w:hAnsi="Times New Roman" w:cs="Times New Roman"/>
          <w:color w:val="00000A"/>
        </w:rPr>
        <w:t xml:space="preserve">Pretoria, South Africa: </w:t>
      </w:r>
      <w:r w:rsidRPr="009B0448">
        <w:rPr>
          <w:rFonts w:ascii="Times New Roman" w:eastAsia="Times New Roman" w:hAnsi="Times New Roman" w:cs="Times New Roman"/>
          <w:color w:val="00000A"/>
        </w:rPr>
        <w:t xml:space="preserve">AFroMont, Centre for Environmental Studies, University of Pretoria. Retrieved from </w:t>
      </w:r>
      <w:hyperlink r:id="rId314" w:history="1">
        <w:r w:rsidRPr="009B0448">
          <w:rPr>
            <w:rStyle w:val="Hyperlink"/>
            <w:rFonts w:ascii="Times New Roman" w:eastAsia="Times New Roman" w:hAnsi="Times New Roman" w:cs="Times New Roman"/>
          </w:rPr>
          <w:t>http://mri.scnatweb.ch/en/afromontcontent/afromont-source-documents/2508-africa-mountains-hotspots/file</w:t>
        </w:r>
      </w:hyperlink>
    </w:p>
    <w:p w14:paraId="2265CC74" w14:textId="08030CB9"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Tear, T. H., Stratton, B. N., Game, E. T., Brown, M. A., Apse, C. D., &amp; Shirer, R. R. (2014). A return-on-investment framework to identify conservation priorities in Africa. </w:t>
      </w:r>
      <w:r w:rsidRPr="009B0448">
        <w:rPr>
          <w:rFonts w:ascii="Times New Roman" w:eastAsia="Times New Roman" w:hAnsi="Times New Roman" w:cs="Times New Roman"/>
          <w:i/>
          <w:color w:val="00000A"/>
        </w:rPr>
        <w:t>Biological Conservation, 173</w:t>
      </w:r>
      <w:r w:rsidRPr="009B0448">
        <w:rPr>
          <w:rFonts w:ascii="Times New Roman" w:eastAsia="Times New Roman" w:hAnsi="Times New Roman" w:cs="Times New Roman"/>
          <w:color w:val="00000A"/>
        </w:rPr>
        <w:t xml:space="preserve">, 42–52. </w:t>
      </w:r>
      <w:hyperlink r:id="rId315" w:history="1">
        <w:r w:rsidRPr="009B0448">
          <w:rPr>
            <w:rStyle w:val="Hyperlink"/>
            <w:rFonts w:ascii="Times New Roman" w:eastAsia="Times New Roman" w:hAnsi="Times New Roman" w:cs="Times New Roman"/>
          </w:rPr>
          <w:t>https://doi.org/10.1016/j.biocon.2014.01.028</w:t>
        </w:r>
      </w:hyperlink>
    </w:p>
    <w:p w14:paraId="36613477" w14:textId="76A318CE"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Teh, L. C. L., &amp; Sumaila, U. R. (2013).Contribution of marine fisheries to worldwide employment.</w:t>
      </w:r>
      <w:r w:rsidR="00B65899"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Fish and Fisheries, 14</w:t>
      </w:r>
      <w:r w:rsidRPr="009B0448">
        <w:rPr>
          <w:rFonts w:ascii="Times New Roman" w:eastAsia="Times New Roman" w:hAnsi="Times New Roman" w:cs="Times New Roman"/>
          <w:color w:val="00000A"/>
        </w:rPr>
        <w:t xml:space="preserve">(1), 77–88. </w:t>
      </w:r>
      <w:hyperlink r:id="rId316" w:history="1">
        <w:r w:rsidRPr="009B0448">
          <w:rPr>
            <w:rStyle w:val="Hyperlink"/>
            <w:rFonts w:ascii="Times New Roman" w:eastAsia="Times New Roman" w:hAnsi="Times New Roman" w:cs="Times New Roman"/>
          </w:rPr>
          <w:t>https://doi.org/10.1111/j.1467-2979.2011.00450.x</w:t>
        </w:r>
      </w:hyperlink>
    </w:p>
    <w:p w14:paraId="4A268728" w14:textId="1934ABFE"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Thangarajan, M., &amp; Singh, V. </w:t>
      </w:r>
      <w:r w:rsidR="00B65899" w:rsidRPr="009B0448">
        <w:rPr>
          <w:rFonts w:ascii="Times New Roman" w:eastAsia="Times New Roman" w:hAnsi="Times New Roman" w:cs="Times New Roman"/>
          <w:color w:val="00000A"/>
        </w:rPr>
        <w:t>P. (Eds.). (2016).</w:t>
      </w:r>
      <w:r w:rsidR="00B65899" w:rsidRPr="009B0448">
        <w:rPr>
          <w:rFonts w:ascii="Times New Roman" w:eastAsia="Times New Roman" w:hAnsi="Times New Roman" w:cs="Times New Roman"/>
          <w:i/>
          <w:color w:val="00000A"/>
        </w:rPr>
        <w:t xml:space="preserve"> Groundwater a</w:t>
      </w:r>
      <w:r w:rsidRPr="009B0448">
        <w:rPr>
          <w:rFonts w:ascii="Times New Roman" w:eastAsia="Times New Roman" w:hAnsi="Times New Roman" w:cs="Times New Roman"/>
          <w:i/>
          <w:color w:val="00000A"/>
        </w:rPr>
        <w:t xml:space="preserve">ssessment, </w:t>
      </w:r>
      <w:r w:rsidR="00B65899" w:rsidRPr="009B0448">
        <w:rPr>
          <w:rFonts w:ascii="Times New Roman" w:eastAsia="Times New Roman" w:hAnsi="Times New Roman" w:cs="Times New Roman"/>
          <w:i/>
          <w:color w:val="00000A"/>
        </w:rPr>
        <w:t>m</w:t>
      </w:r>
      <w:r w:rsidRPr="009B0448">
        <w:rPr>
          <w:rFonts w:ascii="Times New Roman" w:eastAsia="Times New Roman" w:hAnsi="Times New Roman" w:cs="Times New Roman"/>
          <w:i/>
          <w:color w:val="00000A"/>
        </w:rPr>
        <w:t xml:space="preserve">odeling, and </w:t>
      </w:r>
      <w:r w:rsidR="00B65899" w:rsidRPr="009B0448">
        <w:rPr>
          <w:rFonts w:ascii="Times New Roman" w:eastAsia="Times New Roman" w:hAnsi="Times New Roman" w:cs="Times New Roman"/>
          <w:i/>
          <w:color w:val="00000A"/>
        </w:rPr>
        <w:t>m</w:t>
      </w:r>
      <w:r w:rsidRPr="009B0448">
        <w:rPr>
          <w:rFonts w:ascii="Times New Roman" w:eastAsia="Times New Roman" w:hAnsi="Times New Roman" w:cs="Times New Roman"/>
          <w:i/>
          <w:color w:val="00000A"/>
        </w:rPr>
        <w:t>anagement.</w:t>
      </w:r>
      <w:r w:rsidR="00B65899" w:rsidRPr="009B0448">
        <w:rPr>
          <w:rFonts w:ascii="Times New Roman" w:eastAsia="Times New Roman" w:hAnsi="Times New Roman" w:cs="Times New Roman"/>
          <w:color w:val="00000A"/>
        </w:rPr>
        <w:t xml:space="preserve"> Boca Raton, FL, USA: </w:t>
      </w:r>
      <w:r w:rsidRPr="009B0448">
        <w:rPr>
          <w:rFonts w:ascii="Times New Roman" w:eastAsia="Times New Roman" w:hAnsi="Times New Roman" w:cs="Times New Roman"/>
          <w:color w:val="00000A"/>
        </w:rPr>
        <w:t xml:space="preserve">CRC Press. Retrieved from </w:t>
      </w:r>
      <w:hyperlink r:id="rId317" w:history="1">
        <w:r w:rsidRPr="009B0448">
          <w:rPr>
            <w:rStyle w:val="Hyperlink"/>
            <w:rFonts w:ascii="Times New Roman" w:eastAsia="Times New Roman" w:hAnsi="Times New Roman" w:cs="Times New Roman"/>
          </w:rPr>
          <w:t>https://www.crcpress.com/Groundwater-Assessment-Modeling-and-Management/Thangarajan-Singh/p/book/9781498742849</w:t>
        </w:r>
      </w:hyperlink>
    </w:p>
    <w:p w14:paraId="431BDFC6" w14:textId="5D074260"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Thiombiano, L., &amp; Tourino-Soto, I. (2007).</w:t>
      </w:r>
      <w:r w:rsidR="00B65899"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Status </w:t>
      </w:r>
      <w:r w:rsidR="00B65899" w:rsidRPr="009B0448">
        <w:rPr>
          <w:rFonts w:ascii="Times New Roman" w:eastAsia="Times New Roman" w:hAnsi="Times New Roman" w:cs="Times New Roman"/>
          <w:color w:val="00000A"/>
        </w:rPr>
        <w:t xml:space="preserve">and trends in land degradation in </w:t>
      </w:r>
      <w:r w:rsidRPr="009B0448">
        <w:rPr>
          <w:rFonts w:ascii="Times New Roman" w:eastAsia="Times New Roman" w:hAnsi="Times New Roman" w:cs="Times New Roman"/>
          <w:color w:val="00000A"/>
        </w:rPr>
        <w:t>Africa.</w:t>
      </w:r>
      <w:r w:rsidR="00B65899"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In M. V. K. Sivakumar &amp; N. Ndiang’ui (Eds.), </w:t>
      </w:r>
      <w:r w:rsidRPr="009B0448">
        <w:rPr>
          <w:rFonts w:ascii="Times New Roman" w:eastAsia="Times New Roman" w:hAnsi="Times New Roman" w:cs="Times New Roman"/>
          <w:i/>
          <w:color w:val="00000A"/>
        </w:rPr>
        <w:t xml:space="preserve">Climate </w:t>
      </w:r>
      <w:r w:rsidR="00B65899" w:rsidRPr="009B0448">
        <w:rPr>
          <w:rFonts w:ascii="Times New Roman" w:eastAsia="Times New Roman" w:hAnsi="Times New Roman" w:cs="Times New Roman"/>
          <w:i/>
          <w:color w:val="00000A"/>
        </w:rPr>
        <w:t>and land degradation</w:t>
      </w:r>
      <w:r w:rsidR="00B65899"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(pp. 39</w:t>
      </w:r>
      <w:r w:rsidR="00B65899"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53). Berlin</w:t>
      </w:r>
      <w:r w:rsidR="00B65899" w:rsidRPr="009B0448">
        <w:rPr>
          <w:rFonts w:ascii="Times New Roman" w:eastAsia="Times New Roman" w:hAnsi="Times New Roman" w:cs="Times New Roman"/>
          <w:color w:val="00000A"/>
        </w:rPr>
        <w:t>, Germany: Springer</w:t>
      </w:r>
      <w:r w:rsidRPr="009B0448">
        <w:rPr>
          <w:rFonts w:ascii="Times New Roman" w:eastAsia="Times New Roman" w:hAnsi="Times New Roman" w:cs="Times New Roman"/>
          <w:color w:val="00000A"/>
        </w:rPr>
        <w:t xml:space="preserve">. Retrieved from </w:t>
      </w:r>
      <w:hyperlink r:id="rId318" w:history="1">
        <w:r w:rsidRPr="009B0448">
          <w:rPr>
            <w:rStyle w:val="Hyperlink"/>
            <w:rFonts w:ascii="Times New Roman" w:eastAsia="Times New Roman" w:hAnsi="Times New Roman" w:cs="Times New Roman"/>
          </w:rPr>
          <w:t>https://doi.org/10.1007/978-3-540-72438-4_2</w:t>
        </w:r>
      </w:hyperlink>
    </w:p>
    <w:p w14:paraId="1F648B65" w14:textId="6A26C90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Thomas, D. S. G., &amp; Twyman, C. (2004). Good or bad rangeland? Hybrid knowledge, science, and local understandings of vegetation dynamics in the Kalahari.</w:t>
      </w:r>
      <w:r w:rsidR="005F6FF4"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Land Degradation &amp; Development, 15</w:t>
      </w:r>
      <w:r w:rsidRPr="009B0448">
        <w:rPr>
          <w:rFonts w:ascii="Times New Roman" w:eastAsia="Times New Roman" w:hAnsi="Times New Roman" w:cs="Times New Roman"/>
          <w:color w:val="00000A"/>
        </w:rPr>
        <w:t xml:space="preserve">(3), 215–231. </w:t>
      </w:r>
      <w:hyperlink r:id="rId319" w:history="1">
        <w:r w:rsidR="005F6FF4" w:rsidRPr="009B0448">
          <w:rPr>
            <w:rStyle w:val="Hyperlink"/>
            <w:rFonts w:ascii="Times New Roman" w:eastAsia="Times New Roman" w:hAnsi="Times New Roman" w:cs="Times New Roman"/>
          </w:rPr>
          <w:t>https://doi.org/10.1002/ldr.610</w:t>
        </w:r>
      </w:hyperlink>
    </w:p>
    <w:p w14:paraId="6F445AB6" w14:textId="3C838F9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Tiani, A. M., &amp; Diaw, C. (2006). Does resettlement contribute to conservation? The case of Ikundu-Kundu, Korup National Park, Cameroon. </w:t>
      </w:r>
      <w:r w:rsidRPr="009B0448">
        <w:rPr>
          <w:rFonts w:ascii="Times New Roman" w:eastAsia="Times New Roman" w:hAnsi="Times New Roman" w:cs="Times New Roman"/>
          <w:i/>
          <w:color w:val="00000A"/>
        </w:rPr>
        <w:t>Policy Matters, 14</w:t>
      </w:r>
      <w:r w:rsidRPr="009B0448">
        <w:rPr>
          <w:rFonts w:ascii="Times New Roman" w:eastAsia="Times New Roman" w:hAnsi="Times New Roman" w:cs="Times New Roman"/>
          <w:color w:val="00000A"/>
        </w:rPr>
        <w:t>, 113–127.</w:t>
      </w:r>
      <w:r w:rsidR="005F6FF4" w:rsidRPr="009B0448">
        <w:rPr>
          <w:rFonts w:ascii="Times New Roman" w:eastAsia="Times New Roman" w:hAnsi="Times New Roman" w:cs="Times New Roman"/>
          <w:color w:val="00000A"/>
        </w:rPr>
        <w:t xml:space="preserve"> Retrieved from </w:t>
      </w:r>
      <w:hyperlink r:id="rId320" w:history="1">
        <w:r w:rsidR="005F6FF4" w:rsidRPr="009B0448">
          <w:rPr>
            <w:rStyle w:val="Hyperlink"/>
            <w:rFonts w:ascii="Times New Roman" w:eastAsia="Times New Roman" w:hAnsi="Times New Roman" w:cs="Times New Roman"/>
          </w:rPr>
          <w:t>https://www.iucn.org/downloads/pm14.pdf</w:t>
        </w:r>
      </w:hyperlink>
    </w:p>
    <w:p w14:paraId="2C58DAB9" w14:textId="0D72D4F4"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Tibaijuka, A. (2007). Statement by Dr. Anna K. Tibaijuka, Under-Secretary-General and Executive Director of UN-HABITAT made at the first plenary session of the 21st Session of the Gover</w:t>
      </w:r>
      <w:r w:rsidR="005F6FF4" w:rsidRPr="009B0448">
        <w:rPr>
          <w:rFonts w:ascii="Times New Roman" w:eastAsia="Times New Roman" w:hAnsi="Times New Roman" w:cs="Times New Roman"/>
          <w:color w:val="00000A"/>
        </w:rPr>
        <w:t>ning Council for UN-HABITAT. UN-</w:t>
      </w:r>
      <w:r w:rsidRPr="009B0448">
        <w:rPr>
          <w:rFonts w:ascii="Times New Roman" w:eastAsia="Times New Roman" w:hAnsi="Times New Roman" w:cs="Times New Roman"/>
          <w:color w:val="00000A"/>
        </w:rPr>
        <w:t xml:space="preserve">HABITAT. Retrieved from </w:t>
      </w:r>
      <w:hyperlink r:id="rId321" w:history="1">
        <w:r w:rsidRPr="009B0448">
          <w:rPr>
            <w:rStyle w:val="Hyperlink"/>
            <w:rFonts w:ascii="Times New Roman" w:eastAsia="Times New Roman" w:hAnsi="Times New Roman" w:cs="Times New Roman"/>
          </w:rPr>
          <w:t>http://mirror.unhabitat.org/downloads/docs/4697_27825_ED-GC21-Policy%20Statement-finalApr21.pdf</w:t>
        </w:r>
      </w:hyperlink>
    </w:p>
    <w:p w14:paraId="67CBC68B" w14:textId="1EEDA72D"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Tittensor, D. P., Walpole, M., Hill, S. L. L., Boyce, D. G., Britten, G. L., Burgess, N. D., </w:t>
      </w:r>
      <w:r w:rsidR="00B46BBB" w:rsidRPr="009B0448">
        <w:rPr>
          <w:rFonts w:ascii="Times New Roman" w:eastAsia="Times New Roman" w:hAnsi="Times New Roman" w:cs="Times New Roman"/>
          <w:color w:val="00000A"/>
        </w:rPr>
        <w:t xml:space="preserve">Butchart, S. H. M., Leadley P. W., Regan, E. C., Alkemade, R., Baumung, R., Bellard, C., Bouwman, L., Bowles-Newark, N. J., Chenery, A. N., Cheung, W. W. L., Christensen, V., Cooper, H.D., Crowther, A. R., Dixon, M. J. R., Galli, A., Gaveau, V., Gregory, R. D., Gutierrez, N. L., Hirsch, T. L., Höft, R., Januchowski-Hartley, S. R., Karmann, M., Krug, C. B., Leverington, F. J., Loh, J., Lojenga, R. K., Malsch, K., Marques, A., Morgan, D. H. W., Mumby, P. J., Newbold, T., Noonan-Mooney, K., Pagad, S. N., </w:t>
      </w:r>
      <w:r w:rsidR="00EF77E2" w:rsidRPr="009B0448">
        <w:rPr>
          <w:rFonts w:ascii="Times New Roman" w:eastAsia="Times New Roman" w:hAnsi="Times New Roman" w:cs="Times New Roman"/>
          <w:lang w:eastAsia="en-GB"/>
        </w:rPr>
        <w:t xml:space="preserve">Parks, B. C., Pereira, H. M., Robertson, T., Rondinini, C., Santini, L., Scharlemann, J. P. W., Schindler, S., Sumaila, U. R., Teh, L. S. L., van Kolck, J., Visconti, P., &amp; </w:t>
      </w:r>
      <w:r w:rsidRPr="009B0448">
        <w:rPr>
          <w:rFonts w:ascii="Times New Roman" w:eastAsia="Times New Roman" w:hAnsi="Times New Roman" w:cs="Times New Roman"/>
          <w:color w:val="00000A"/>
        </w:rPr>
        <w:t xml:space="preserve">Ye, Y. (2014). A mid-term analysis of progress toward international biodiversity targets. </w:t>
      </w:r>
      <w:r w:rsidRPr="009B0448">
        <w:rPr>
          <w:rFonts w:ascii="Times New Roman" w:eastAsia="Times New Roman" w:hAnsi="Times New Roman" w:cs="Times New Roman"/>
          <w:i/>
          <w:color w:val="00000A"/>
        </w:rPr>
        <w:t>Science, 346</w:t>
      </w:r>
      <w:r w:rsidRPr="009B0448">
        <w:rPr>
          <w:rFonts w:ascii="Times New Roman" w:eastAsia="Times New Roman" w:hAnsi="Times New Roman" w:cs="Times New Roman"/>
          <w:color w:val="00000A"/>
        </w:rPr>
        <w:t xml:space="preserve">(6206), 241–244. </w:t>
      </w:r>
      <w:hyperlink r:id="rId322" w:history="1">
        <w:r w:rsidRPr="009B0448">
          <w:rPr>
            <w:rStyle w:val="Hyperlink"/>
            <w:rFonts w:ascii="Times New Roman" w:eastAsia="Times New Roman" w:hAnsi="Times New Roman" w:cs="Times New Roman"/>
          </w:rPr>
          <w:t>https://doi.org/10.1126/science.1257484</w:t>
        </w:r>
      </w:hyperlink>
    </w:p>
    <w:p w14:paraId="0F8CAC73" w14:textId="51D6387A"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Tsui, A. S. (2004). Contributing to </w:t>
      </w:r>
      <w:r w:rsidR="00BA6B41" w:rsidRPr="009B0448">
        <w:rPr>
          <w:rFonts w:ascii="Times New Roman" w:eastAsia="Times New Roman" w:hAnsi="Times New Roman" w:cs="Times New Roman"/>
          <w:color w:val="00000A"/>
        </w:rPr>
        <w:t>global management knowledge</w:t>
      </w:r>
      <w:r w:rsidRPr="009B0448">
        <w:rPr>
          <w:rFonts w:ascii="Times New Roman" w:eastAsia="Times New Roman" w:hAnsi="Times New Roman" w:cs="Times New Roman"/>
          <w:color w:val="00000A"/>
        </w:rPr>
        <w:t xml:space="preserve">: A </w:t>
      </w:r>
      <w:r w:rsidR="00BA6B41" w:rsidRPr="009B0448">
        <w:rPr>
          <w:rFonts w:ascii="Times New Roman" w:eastAsia="Times New Roman" w:hAnsi="Times New Roman" w:cs="Times New Roman"/>
          <w:color w:val="00000A"/>
        </w:rPr>
        <w:t>case for high quality indigenous research</w:t>
      </w:r>
      <w:r w:rsidRPr="009B0448">
        <w:rPr>
          <w:rFonts w:ascii="Times New Roman" w:eastAsia="Times New Roman" w:hAnsi="Times New Roman" w:cs="Times New Roman"/>
          <w:color w:val="00000A"/>
        </w:rPr>
        <w:t>.</w:t>
      </w:r>
      <w:r w:rsidR="00BA6B41"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Asia Pacific Journal of Management, 21</w:t>
      </w:r>
      <w:r w:rsidRPr="009B0448">
        <w:rPr>
          <w:rFonts w:ascii="Times New Roman" w:eastAsia="Times New Roman" w:hAnsi="Times New Roman" w:cs="Times New Roman"/>
          <w:color w:val="00000A"/>
        </w:rPr>
        <w:t xml:space="preserve">(4), 491–513. </w:t>
      </w:r>
      <w:hyperlink r:id="rId323" w:history="1">
        <w:r w:rsidRPr="009B0448">
          <w:rPr>
            <w:rStyle w:val="Hyperlink"/>
            <w:rFonts w:ascii="Times New Roman" w:eastAsia="Times New Roman" w:hAnsi="Times New Roman" w:cs="Times New Roman"/>
          </w:rPr>
          <w:t>https://doi.org/10.1023/B:APJM.0000048715.35108.a7</w:t>
        </w:r>
      </w:hyperlink>
    </w:p>
    <w:p w14:paraId="22C0651C" w14:textId="1E1849BD"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Turpie, J. (2016). The role of resource economics in the control of invasive alien plants in South Africa. </w:t>
      </w:r>
      <w:r w:rsidRPr="009B0448">
        <w:rPr>
          <w:rFonts w:ascii="Times New Roman" w:eastAsia="Times New Roman" w:hAnsi="Times New Roman" w:cs="Times New Roman"/>
          <w:i/>
          <w:color w:val="00000A"/>
        </w:rPr>
        <w:t>South African Journal of Science, 100</w:t>
      </w:r>
      <w:r w:rsidRPr="009B0448">
        <w:rPr>
          <w:rFonts w:ascii="Times New Roman" w:eastAsia="Times New Roman" w:hAnsi="Times New Roman" w:cs="Times New Roman"/>
          <w:color w:val="00000A"/>
        </w:rPr>
        <w:t>, 87–93.</w:t>
      </w:r>
      <w:r w:rsidR="00BA6B41" w:rsidRPr="009B0448">
        <w:rPr>
          <w:rFonts w:ascii="Times New Roman" w:eastAsia="Times New Roman" w:hAnsi="Times New Roman" w:cs="Times New Roman"/>
          <w:color w:val="00000A"/>
        </w:rPr>
        <w:t xml:space="preserve"> Retrieved from </w:t>
      </w:r>
      <w:hyperlink r:id="rId324" w:history="1">
        <w:r w:rsidR="00BA6B41" w:rsidRPr="009B0448">
          <w:rPr>
            <w:rStyle w:val="Hyperlink"/>
            <w:rFonts w:ascii="Times New Roman" w:eastAsia="Times New Roman" w:hAnsi="Times New Roman" w:cs="Times New Roman"/>
          </w:rPr>
          <w:t>http://hdl.handle.net/10520/EJC96207</w:t>
        </w:r>
      </w:hyperlink>
    </w:p>
    <w:p w14:paraId="49F3B8E4" w14:textId="77777777" w:rsidR="001A3B0A" w:rsidRPr="009B0448" w:rsidRDefault="001A3B0A" w:rsidP="004B6610">
      <w:pPr>
        <w:spacing w:after="120" w:line="276" w:lineRule="auto"/>
        <w:ind w:left="567" w:hanging="567"/>
        <w:rPr>
          <w:rStyle w:val="Hyperlink"/>
          <w:rFonts w:ascii="Times New Roman" w:eastAsia="Times New Roman" w:hAnsi="Times New Roman" w:cs="Times New Roman"/>
        </w:rPr>
      </w:pPr>
      <w:r w:rsidRPr="009B0448">
        <w:rPr>
          <w:rFonts w:ascii="Times New Roman" w:eastAsia="Times New Roman" w:hAnsi="Times New Roman" w:cs="Times New Roman"/>
          <w:color w:val="00000A"/>
        </w:rPr>
        <w:t xml:space="preserve">UN HABITAT. (2014). </w:t>
      </w:r>
      <w:r w:rsidRPr="009B0448">
        <w:rPr>
          <w:rFonts w:ascii="Times New Roman" w:eastAsia="Times New Roman" w:hAnsi="Times New Roman" w:cs="Times New Roman"/>
          <w:i/>
          <w:color w:val="00000A"/>
        </w:rPr>
        <w:t>The state of African cities 2014: Re-imagining sustainable urban transitions (The State of African Cities).</w:t>
      </w:r>
      <w:r w:rsidRPr="009B0448">
        <w:rPr>
          <w:rFonts w:ascii="Times New Roman" w:eastAsia="Times New Roman" w:hAnsi="Times New Roman" w:cs="Times New Roman"/>
          <w:color w:val="00000A"/>
        </w:rPr>
        <w:t xml:space="preserve"> Nairobi, Kenya: United Nations Human Settlements Programme. Retrieved from </w:t>
      </w:r>
      <w:hyperlink r:id="rId325" w:history="1">
        <w:r w:rsidRPr="009B0448">
          <w:rPr>
            <w:rStyle w:val="Hyperlink"/>
            <w:rFonts w:ascii="Times New Roman" w:eastAsia="Times New Roman" w:hAnsi="Times New Roman" w:cs="Times New Roman"/>
          </w:rPr>
          <w:t>http://unhabitat.org/wpdm-package/state-of-african-cities-2014-re-imagining-sustainable-urban-transitions/?wpdmdl=111948</w:t>
        </w:r>
      </w:hyperlink>
    </w:p>
    <w:p w14:paraId="2608D4E0" w14:textId="77777777" w:rsidR="001A3B0A" w:rsidRPr="009B0448" w:rsidRDefault="001A3B0A" w:rsidP="00AB3F9B">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 (United Nations). (1992). </w:t>
      </w:r>
      <w:r w:rsidRPr="009B0448">
        <w:rPr>
          <w:rFonts w:ascii="Times New Roman" w:eastAsia="Times New Roman" w:hAnsi="Times New Roman" w:cs="Times New Roman"/>
          <w:i/>
          <w:color w:val="00000A"/>
        </w:rPr>
        <w:t>Convention on biological diversity.</w:t>
      </w:r>
      <w:r w:rsidRPr="009B0448">
        <w:rPr>
          <w:rFonts w:ascii="Times New Roman" w:eastAsia="Times New Roman" w:hAnsi="Times New Roman" w:cs="Times New Roman"/>
          <w:color w:val="00000A"/>
        </w:rPr>
        <w:t xml:space="preserve"> United Nations. Retrieved from </w:t>
      </w:r>
      <w:hyperlink r:id="rId326" w:history="1">
        <w:r w:rsidRPr="009B0448">
          <w:rPr>
            <w:rStyle w:val="Hyperlink"/>
            <w:rFonts w:ascii="Times New Roman" w:eastAsia="Times New Roman" w:hAnsi="Times New Roman" w:cs="Times New Roman"/>
          </w:rPr>
          <w:t>https://www.cbd.int/doc/legal/cbd-en.pdf</w:t>
        </w:r>
      </w:hyperlink>
    </w:p>
    <w:p w14:paraId="3BDB6B3E" w14:textId="2A86E09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 (United Nations). (2013). </w:t>
      </w:r>
      <w:r w:rsidR="00547E7D" w:rsidRPr="009B0448">
        <w:rPr>
          <w:rFonts w:ascii="Times New Roman" w:eastAsia="Times New Roman" w:hAnsi="Times New Roman" w:cs="Times New Roman"/>
          <w:i/>
          <w:color w:val="00000A"/>
        </w:rPr>
        <w:t>The Millennium Development Goals Report 2013</w:t>
      </w:r>
      <w:r w:rsidR="00547E7D" w:rsidRPr="009B0448">
        <w:rPr>
          <w:rFonts w:ascii="Times New Roman" w:eastAsia="Times New Roman" w:hAnsi="Times New Roman" w:cs="Times New Roman"/>
          <w:color w:val="00000A"/>
        </w:rPr>
        <w:t xml:space="preserve">. New York, NY, USA: United Nations. Retrieved from </w:t>
      </w:r>
      <w:hyperlink r:id="rId327" w:history="1">
        <w:r w:rsidR="00547E7D" w:rsidRPr="009B0448">
          <w:rPr>
            <w:rStyle w:val="Hyperlink"/>
            <w:rFonts w:ascii="Times New Roman" w:eastAsia="Times New Roman" w:hAnsi="Times New Roman" w:cs="Times New Roman"/>
          </w:rPr>
          <w:t>http://www.un.org/millenniumgoals/pdf/report-2013/mdg-report-2013-english.pdf</w:t>
        </w:r>
      </w:hyperlink>
    </w:p>
    <w:p w14:paraId="6BAE0981" w14:textId="6F59EC09"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 (United Nations). (2015a). </w:t>
      </w:r>
      <w:r w:rsidRPr="009B0448">
        <w:rPr>
          <w:rFonts w:ascii="Times New Roman" w:eastAsia="Times New Roman" w:hAnsi="Times New Roman" w:cs="Times New Roman"/>
          <w:i/>
          <w:color w:val="00000A"/>
        </w:rPr>
        <w:t>Tr</w:t>
      </w:r>
      <w:r w:rsidR="00753A56" w:rsidRPr="009B0448">
        <w:rPr>
          <w:rFonts w:ascii="Times New Roman" w:eastAsia="Times New Roman" w:hAnsi="Times New Roman" w:cs="Times New Roman"/>
          <w:i/>
          <w:color w:val="00000A"/>
        </w:rPr>
        <w:t>ansforming our World: T</w:t>
      </w:r>
      <w:r w:rsidRPr="009B0448">
        <w:rPr>
          <w:rFonts w:ascii="Times New Roman" w:eastAsia="Times New Roman" w:hAnsi="Times New Roman" w:cs="Times New Roman"/>
          <w:i/>
          <w:color w:val="00000A"/>
        </w:rPr>
        <w:t>he 2030 agenda for sustainable development</w:t>
      </w:r>
      <w:r w:rsidR="003F199D" w:rsidRPr="009B0448">
        <w:rPr>
          <w:rFonts w:ascii="Times New Roman" w:eastAsia="Times New Roman" w:hAnsi="Times New Roman" w:cs="Times New Roman"/>
          <w:i/>
          <w:color w:val="00000A"/>
        </w:rPr>
        <w:t>.</w:t>
      </w:r>
      <w:r w:rsidRPr="009B0448">
        <w:rPr>
          <w:rFonts w:ascii="Times New Roman" w:eastAsia="Times New Roman" w:hAnsi="Times New Roman" w:cs="Times New Roman"/>
          <w:color w:val="00000A"/>
        </w:rPr>
        <w:t xml:space="preserve"> New York</w:t>
      </w:r>
      <w:r w:rsidR="003F199D" w:rsidRPr="009B0448">
        <w:rPr>
          <w:rFonts w:ascii="Times New Roman" w:eastAsia="Times New Roman" w:hAnsi="Times New Roman" w:cs="Times New Roman"/>
          <w:color w:val="00000A"/>
        </w:rPr>
        <w:t>, NY, USA: United Nations</w:t>
      </w:r>
      <w:r w:rsidRPr="009B0448">
        <w:rPr>
          <w:rFonts w:ascii="Times New Roman" w:eastAsia="Times New Roman" w:hAnsi="Times New Roman" w:cs="Times New Roman"/>
          <w:color w:val="00000A"/>
        </w:rPr>
        <w:t xml:space="preserve">. Retrieved from </w:t>
      </w:r>
      <w:hyperlink r:id="rId328" w:history="1">
        <w:r w:rsidRPr="009B0448">
          <w:rPr>
            <w:rStyle w:val="Hyperlink"/>
            <w:rFonts w:ascii="Times New Roman" w:eastAsia="Times New Roman" w:hAnsi="Times New Roman" w:cs="Times New Roman"/>
          </w:rPr>
          <w:t>https://sustainabledevelopment.un.org/post2015/transformingourworld</w:t>
        </w:r>
      </w:hyperlink>
    </w:p>
    <w:p w14:paraId="0EAF8DDB" w14:textId="6BC315D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 (United Nations). (2015b). </w:t>
      </w:r>
      <w:r w:rsidRPr="009B0448">
        <w:rPr>
          <w:rFonts w:ascii="Times New Roman" w:eastAsia="Times New Roman" w:hAnsi="Times New Roman" w:cs="Times New Roman"/>
          <w:i/>
          <w:color w:val="00000A"/>
        </w:rPr>
        <w:t xml:space="preserve">World </w:t>
      </w:r>
      <w:r w:rsidR="003F199D" w:rsidRPr="009B0448">
        <w:rPr>
          <w:rFonts w:ascii="Times New Roman" w:eastAsia="Times New Roman" w:hAnsi="Times New Roman" w:cs="Times New Roman"/>
          <w:i/>
          <w:color w:val="00000A"/>
        </w:rPr>
        <w:t>population p</w:t>
      </w:r>
      <w:r w:rsidRPr="009B0448">
        <w:rPr>
          <w:rFonts w:ascii="Times New Roman" w:eastAsia="Times New Roman" w:hAnsi="Times New Roman" w:cs="Times New Roman"/>
          <w:i/>
          <w:color w:val="00000A"/>
        </w:rPr>
        <w:t>rospects. Key f</w:t>
      </w:r>
      <w:r w:rsidR="003F199D" w:rsidRPr="009B0448">
        <w:rPr>
          <w:rFonts w:ascii="Times New Roman" w:eastAsia="Times New Roman" w:hAnsi="Times New Roman" w:cs="Times New Roman"/>
          <w:i/>
          <w:color w:val="00000A"/>
        </w:rPr>
        <w:t>indings &amp; advance tables. The 2015 r</w:t>
      </w:r>
      <w:r w:rsidRPr="009B0448">
        <w:rPr>
          <w:rFonts w:ascii="Times New Roman" w:eastAsia="Times New Roman" w:hAnsi="Times New Roman" w:cs="Times New Roman"/>
          <w:i/>
          <w:color w:val="00000A"/>
        </w:rPr>
        <w:t xml:space="preserve">evision. </w:t>
      </w:r>
      <w:r w:rsidR="003F199D" w:rsidRPr="009B0448">
        <w:rPr>
          <w:rFonts w:ascii="Times New Roman" w:eastAsia="Times New Roman" w:hAnsi="Times New Roman" w:cs="Times New Roman"/>
          <w:color w:val="00000A"/>
        </w:rPr>
        <w:t>New York, NY, USA: United Nations, Department of Economic and Social Affairs, Population Division. Retrieved from</w:t>
      </w:r>
      <w:r w:rsidR="00753A56" w:rsidRPr="009B0448">
        <w:rPr>
          <w:rFonts w:ascii="Times New Roman" w:eastAsia="Times New Roman" w:hAnsi="Times New Roman" w:cs="Times New Roman"/>
          <w:color w:val="00000A"/>
        </w:rPr>
        <w:t xml:space="preserve"> </w:t>
      </w:r>
      <w:hyperlink r:id="rId329" w:history="1">
        <w:r w:rsidR="00753A56" w:rsidRPr="009B0448">
          <w:rPr>
            <w:rStyle w:val="Hyperlink"/>
            <w:rFonts w:ascii="Times New Roman" w:eastAsia="Times New Roman" w:hAnsi="Times New Roman" w:cs="Times New Roman"/>
          </w:rPr>
          <w:t>http://wedocs.unep.org/bitstream/handle/20.500.11822/18246/Key_Findings_WPP_2015.pdf</w:t>
        </w:r>
      </w:hyperlink>
    </w:p>
    <w:p w14:paraId="7FE1C4ED" w14:textId="08AD32A4"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 (United Nations). (2015c). </w:t>
      </w:r>
      <w:r w:rsidRPr="009B0448">
        <w:rPr>
          <w:rFonts w:ascii="Times New Roman" w:eastAsia="Times New Roman" w:hAnsi="Times New Roman" w:cs="Times New Roman"/>
          <w:i/>
          <w:color w:val="00000A"/>
        </w:rPr>
        <w:t xml:space="preserve">World </w:t>
      </w:r>
      <w:r w:rsidR="003F199D" w:rsidRPr="009B0448">
        <w:rPr>
          <w:rFonts w:ascii="Times New Roman" w:eastAsia="Times New Roman" w:hAnsi="Times New Roman" w:cs="Times New Roman"/>
          <w:i/>
          <w:color w:val="00000A"/>
        </w:rPr>
        <w:t>urbanization prospects: The 2014 r</w:t>
      </w:r>
      <w:r w:rsidRPr="009B0448">
        <w:rPr>
          <w:rFonts w:ascii="Times New Roman" w:eastAsia="Times New Roman" w:hAnsi="Times New Roman" w:cs="Times New Roman"/>
          <w:i/>
          <w:color w:val="00000A"/>
        </w:rPr>
        <w:t>evision</w:t>
      </w:r>
      <w:r w:rsidR="003F199D" w:rsidRPr="009B0448">
        <w:rPr>
          <w:rFonts w:ascii="Times New Roman" w:eastAsia="Times New Roman" w:hAnsi="Times New Roman" w:cs="Times New Roman"/>
          <w:i/>
          <w:color w:val="00000A"/>
        </w:rPr>
        <w:t>.</w:t>
      </w:r>
      <w:r w:rsidRPr="009B0448">
        <w:rPr>
          <w:rFonts w:ascii="Times New Roman" w:eastAsia="Times New Roman" w:hAnsi="Times New Roman" w:cs="Times New Roman"/>
          <w:i/>
          <w:color w:val="00000A"/>
        </w:rPr>
        <w:t xml:space="preserve"> </w:t>
      </w:r>
      <w:r w:rsidRPr="009B0448">
        <w:rPr>
          <w:rFonts w:ascii="Times New Roman" w:eastAsia="Times New Roman" w:hAnsi="Times New Roman" w:cs="Times New Roman"/>
          <w:color w:val="00000A"/>
        </w:rPr>
        <w:t xml:space="preserve">New York, </w:t>
      </w:r>
      <w:r w:rsidR="003F199D" w:rsidRPr="009B0448">
        <w:rPr>
          <w:rFonts w:ascii="Times New Roman" w:eastAsia="Times New Roman" w:hAnsi="Times New Roman" w:cs="Times New Roman"/>
          <w:color w:val="00000A"/>
        </w:rPr>
        <w:t>NY, USA</w:t>
      </w:r>
      <w:r w:rsidRPr="009B0448">
        <w:rPr>
          <w:rFonts w:ascii="Times New Roman" w:eastAsia="Times New Roman" w:hAnsi="Times New Roman" w:cs="Times New Roman"/>
          <w:color w:val="00000A"/>
        </w:rPr>
        <w:t xml:space="preserve">: United Nations, Department of Economic and Social Affairs, Population Division. Retrieved from </w:t>
      </w:r>
      <w:hyperlink r:id="rId330" w:history="1">
        <w:r w:rsidRPr="009B0448">
          <w:rPr>
            <w:rStyle w:val="Hyperlink"/>
            <w:rFonts w:ascii="Times New Roman" w:eastAsia="Times New Roman" w:hAnsi="Times New Roman" w:cs="Times New Roman"/>
          </w:rPr>
          <w:t>http://esa.un.org/unpd/wup/FinalReport/WUP2014-Report.pdf</w:t>
        </w:r>
      </w:hyperlink>
    </w:p>
    <w:p w14:paraId="134CA50C" w14:textId="0A5D1908"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UN. (</w:t>
      </w:r>
      <w:r w:rsidR="00547E7D" w:rsidRPr="009B0448">
        <w:rPr>
          <w:rFonts w:ascii="Times New Roman" w:eastAsia="Times New Roman" w:hAnsi="Times New Roman" w:cs="Times New Roman"/>
          <w:color w:val="00000A"/>
        </w:rPr>
        <w:t xml:space="preserve">United Nations). (2017). </w:t>
      </w:r>
      <w:r w:rsidR="00547E7D" w:rsidRPr="009B0448">
        <w:rPr>
          <w:rFonts w:ascii="Times New Roman" w:eastAsia="Times New Roman" w:hAnsi="Times New Roman" w:cs="Times New Roman"/>
          <w:i/>
          <w:color w:val="00000A"/>
        </w:rPr>
        <w:t>World population p</w:t>
      </w:r>
      <w:r w:rsidRPr="009B0448">
        <w:rPr>
          <w:rFonts w:ascii="Times New Roman" w:eastAsia="Times New Roman" w:hAnsi="Times New Roman" w:cs="Times New Roman"/>
          <w:i/>
          <w:color w:val="00000A"/>
        </w:rPr>
        <w:t>rospects</w:t>
      </w:r>
      <w:r w:rsidR="00547E7D" w:rsidRPr="009B0448">
        <w:rPr>
          <w:rFonts w:ascii="Times New Roman" w:eastAsia="Times New Roman" w:hAnsi="Times New Roman" w:cs="Times New Roman"/>
          <w:i/>
          <w:color w:val="00000A"/>
        </w:rPr>
        <w:t>:</w:t>
      </w:r>
      <w:r w:rsidRPr="009B0448">
        <w:rPr>
          <w:rFonts w:ascii="Times New Roman" w:eastAsia="Times New Roman" w:hAnsi="Times New Roman" w:cs="Times New Roman"/>
          <w:i/>
          <w:color w:val="00000A"/>
        </w:rPr>
        <w:t xml:space="preserve"> Key findings &amp; advance tables.</w:t>
      </w:r>
      <w:r w:rsidRPr="009B0448">
        <w:rPr>
          <w:rFonts w:ascii="Times New Roman" w:eastAsia="Times New Roman" w:hAnsi="Times New Roman" w:cs="Times New Roman"/>
          <w:color w:val="00000A"/>
        </w:rPr>
        <w:t xml:space="preserve"> </w:t>
      </w:r>
      <w:r w:rsidR="00547E7D" w:rsidRPr="009B0448">
        <w:rPr>
          <w:rFonts w:ascii="Times New Roman" w:eastAsia="Times New Roman" w:hAnsi="Times New Roman" w:cs="Times New Roman"/>
          <w:i/>
          <w:color w:val="00000A"/>
        </w:rPr>
        <w:t xml:space="preserve">The </w:t>
      </w:r>
      <w:r w:rsidRPr="009B0448">
        <w:rPr>
          <w:rFonts w:ascii="Times New Roman" w:eastAsia="Times New Roman" w:hAnsi="Times New Roman" w:cs="Times New Roman"/>
          <w:i/>
          <w:color w:val="00000A"/>
        </w:rPr>
        <w:t>2017 revision.</w:t>
      </w:r>
      <w:r w:rsidRPr="009B0448">
        <w:rPr>
          <w:rFonts w:ascii="Times New Roman" w:eastAsia="Times New Roman" w:hAnsi="Times New Roman" w:cs="Times New Roman"/>
          <w:color w:val="00000A"/>
        </w:rPr>
        <w:t xml:space="preserve"> </w:t>
      </w:r>
      <w:r w:rsidR="00547E7D" w:rsidRPr="009B0448">
        <w:rPr>
          <w:rFonts w:ascii="Times New Roman" w:eastAsia="Times New Roman" w:hAnsi="Times New Roman" w:cs="Times New Roman"/>
          <w:color w:val="00000A"/>
        </w:rPr>
        <w:t xml:space="preserve">New York, NY, USA: United Nations, Department of Economic and Social Affairs, Population Division. </w:t>
      </w:r>
      <w:r w:rsidRPr="009B0448">
        <w:rPr>
          <w:rFonts w:ascii="Times New Roman" w:eastAsia="Times New Roman" w:hAnsi="Times New Roman" w:cs="Times New Roman"/>
          <w:color w:val="00000A"/>
        </w:rPr>
        <w:t xml:space="preserve">Retrieved from </w:t>
      </w:r>
      <w:hyperlink r:id="rId331" w:history="1">
        <w:r w:rsidRPr="009B0448">
          <w:rPr>
            <w:rStyle w:val="Hyperlink"/>
            <w:rFonts w:ascii="Times New Roman" w:eastAsia="Times New Roman" w:hAnsi="Times New Roman" w:cs="Times New Roman"/>
          </w:rPr>
          <w:t>https://esa.un.org/unpd/wpp/Publications/Files/WPP2017_KeyFindings.pdf</w:t>
        </w:r>
      </w:hyperlink>
    </w:p>
    <w:p w14:paraId="7E647507" w14:textId="23FD160F"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UNCCD. (2013). </w:t>
      </w:r>
      <w:r w:rsidR="00547E7D" w:rsidRPr="009B0448">
        <w:rPr>
          <w:rFonts w:ascii="Times New Roman" w:eastAsia="Times New Roman" w:hAnsi="Times New Roman" w:cs="Times New Roman"/>
          <w:i/>
          <w:color w:val="00000A"/>
        </w:rPr>
        <w:t>T</w:t>
      </w:r>
      <w:r w:rsidRPr="009B0448">
        <w:rPr>
          <w:rFonts w:ascii="Times New Roman" w:eastAsia="Times New Roman" w:hAnsi="Times New Roman" w:cs="Times New Roman"/>
          <w:i/>
          <w:color w:val="00000A"/>
        </w:rPr>
        <w:t xml:space="preserve">he economics of desertification, land degradation and drought: </w:t>
      </w:r>
      <w:r w:rsidR="00547E7D" w:rsidRPr="009B0448">
        <w:rPr>
          <w:rFonts w:ascii="Times New Roman" w:eastAsia="Times New Roman" w:hAnsi="Times New Roman" w:cs="Times New Roman"/>
          <w:i/>
          <w:color w:val="00000A"/>
        </w:rPr>
        <w:t>M</w:t>
      </w:r>
      <w:r w:rsidRPr="009B0448">
        <w:rPr>
          <w:rFonts w:ascii="Times New Roman" w:eastAsia="Times New Roman" w:hAnsi="Times New Roman" w:cs="Times New Roman"/>
          <w:i/>
          <w:color w:val="00000A"/>
        </w:rPr>
        <w:t>ethodologies and analysis for decision-making.</w:t>
      </w:r>
      <w:r w:rsidR="00547E7D"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W. Ammann </w:t>
      </w:r>
      <w:r w:rsidR="00547E7D"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Ed.). Davos</w:t>
      </w:r>
      <w:r w:rsidR="00547E7D" w:rsidRPr="009B0448">
        <w:rPr>
          <w:rFonts w:ascii="Times New Roman" w:eastAsia="Times New Roman" w:hAnsi="Times New Roman" w:cs="Times New Roman"/>
          <w:color w:val="00000A"/>
        </w:rPr>
        <w:t>, Switzerland</w:t>
      </w:r>
      <w:r w:rsidRPr="009B0448">
        <w:rPr>
          <w:rFonts w:ascii="Times New Roman" w:eastAsia="Times New Roman" w:hAnsi="Times New Roman" w:cs="Times New Roman"/>
          <w:color w:val="00000A"/>
        </w:rPr>
        <w:t>: Global Risk Forum </w:t>
      </w:r>
      <w:r w:rsidR="00547E7D" w:rsidRPr="009B0448">
        <w:rPr>
          <w:rFonts w:ascii="Times New Roman" w:eastAsia="Times New Roman" w:hAnsi="Times New Roman" w:cs="Times New Roman"/>
          <w:color w:val="00000A"/>
        </w:rPr>
        <w:t>,</w:t>
      </w:r>
      <w:r w:rsidRPr="009B0448">
        <w:rPr>
          <w:rFonts w:ascii="Times New Roman" w:eastAsia="Times New Roman" w:hAnsi="Times New Roman" w:cs="Times New Roman"/>
          <w:color w:val="00000A"/>
        </w:rPr>
        <w:t xml:space="preserve"> United Nations Convention to Combat Desertification.</w:t>
      </w:r>
      <w:r w:rsidR="00547E7D" w:rsidRPr="009B0448">
        <w:rPr>
          <w:rFonts w:ascii="Times New Roman" w:eastAsia="Times New Roman" w:hAnsi="Times New Roman" w:cs="Times New Roman"/>
          <w:color w:val="00000A"/>
        </w:rPr>
        <w:t xml:space="preserve"> Retrieved from </w:t>
      </w:r>
      <w:hyperlink r:id="rId332" w:history="1">
        <w:r w:rsidR="00547E7D" w:rsidRPr="009B0448">
          <w:rPr>
            <w:rStyle w:val="Hyperlink"/>
            <w:rFonts w:ascii="Times New Roman" w:eastAsia="Times New Roman" w:hAnsi="Times New Roman" w:cs="Times New Roman"/>
          </w:rPr>
          <w:t>http://citeseerx.ist.psu.edu/viewdoc/download?rep=rep1&amp;type=pdf&amp;doi=10.1.1.226.3778</w:t>
        </w:r>
      </w:hyperlink>
    </w:p>
    <w:p w14:paraId="6EEA8C2B" w14:textId="44384D79"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UNCCD. (2014). </w:t>
      </w:r>
      <w:r w:rsidRPr="009B0448">
        <w:rPr>
          <w:rFonts w:ascii="Times New Roman" w:eastAsia="Times New Roman" w:hAnsi="Times New Roman" w:cs="Times New Roman"/>
          <w:i/>
          <w:color w:val="00000A"/>
        </w:rPr>
        <w:t xml:space="preserve">Land </w:t>
      </w:r>
      <w:r w:rsidR="00766FF5" w:rsidRPr="009B0448">
        <w:rPr>
          <w:rFonts w:ascii="Times New Roman" w:eastAsia="Times New Roman" w:hAnsi="Times New Roman" w:cs="Times New Roman"/>
          <w:i/>
          <w:color w:val="00000A"/>
        </w:rPr>
        <w:t>degradation neutrality: Resilience at local, national and regional levels</w:t>
      </w:r>
      <w:r w:rsidRPr="009B0448">
        <w:rPr>
          <w:rFonts w:ascii="Times New Roman" w:eastAsia="Times New Roman" w:hAnsi="Times New Roman" w:cs="Times New Roman"/>
          <w:i/>
          <w:color w:val="00000A"/>
        </w:rPr>
        <w:t>.</w:t>
      </w:r>
      <w:r w:rsidRPr="009B0448">
        <w:rPr>
          <w:rFonts w:ascii="Times New Roman" w:eastAsia="Times New Roman" w:hAnsi="Times New Roman" w:cs="Times New Roman"/>
          <w:color w:val="00000A"/>
        </w:rPr>
        <w:t xml:space="preserve"> </w:t>
      </w:r>
      <w:r w:rsidR="00766FF5" w:rsidRPr="009B0448">
        <w:rPr>
          <w:rFonts w:ascii="Times New Roman" w:eastAsia="Times New Roman" w:hAnsi="Times New Roman" w:cs="Times New Roman"/>
          <w:color w:val="00000A"/>
        </w:rPr>
        <w:t xml:space="preserve">United Nations </w:t>
      </w:r>
      <w:r w:rsidRPr="009B0448">
        <w:rPr>
          <w:rFonts w:ascii="Times New Roman" w:eastAsia="Times New Roman" w:hAnsi="Times New Roman" w:cs="Times New Roman"/>
          <w:color w:val="00000A"/>
        </w:rPr>
        <w:t>Conven</w:t>
      </w:r>
      <w:r w:rsidR="00766FF5" w:rsidRPr="009B0448">
        <w:rPr>
          <w:rFonts w:ascii="Times New Roman" w:eastAsia="Times New Roman" w:hAnsi="Times New Roman" w:cs="Times New Roman"/>
          <w:color w:val="00000A"/>
        </w:rPr>
        <w:t>tion to Combat Desertification</w:t>
      </w:r>
      <w:r w:rsidRPr="009B0448">
        <w:rPr>
          <w:rFonts w:ascii="Times New Roman" w:eastAsia="Times New Roman" w:hAnsi="Times New Roman" w:cs="Times New Roman"/>
          <w:color w:val="00000A"/>
        </w:rPr>
        <w:t>.</w:t>
      </w:r>
      <w:r w:rsidR="00766FF5" w:rsidRPr="009B0448">
        <w:rPr>
          <w:rFonts w:ascii="Times New Roman" w:eastAsia="Times New Roman" w:hAnsi="Times New Roman" w:cs="Times New Roman"/>
          <w:color w:val="00000A"/>
        </w:rPr>
        <w:t xml:space="preserve"> Retrieved from </w:t>
      </w:r>
      <w:hyperlink r:id="rId333" w:history="1">
        <w:r w:rsidR="00766FF5" w:rsidRPr="009B0448">
          <w:rPr>
            <w:rStyle w:val="Hyperlink"/>
            <w:rFonts w:ascii="Times New Roman" w:eastAsia="Times New Roman" w:hAnsi="Times New Roman" w:cs="Times New Roman"/>
          </w:rPr>
          <w:t>http://catalogue.unccd.int/858_V2_UNCCD_BRO_.pdf</w:t>
        </w:r>
      </w:hyperlink>
    </w:p>
    <w:p w14:paraId="37104CED" w14:textId="5C984E56"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UNCED. (1992). </w:t>
      </w:r>
      <w:r w:rsidR="00766FF5" w:rsidRPr="009B0448">
        <w:rPr>
          <w:rFonts w:ascii="Times New Roman" w:eastAsia="Times New Roman" w:hAnsi="Times New Roman" w:cs="Times New Roman"/>
          <w:i/>
          <w:color w:val="00000A"/>
        </w:rPr>
        <w:t>Agenda 21.</w:t>
      </w:r>
      <w:r w:rsidR="00766FF5"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United Nations conference on </w:t>
      </w:r>
      <w:r w:rsidR="00766FF5" w:rsidRPr="009B0448">
        <w:rPr>
          <w:rFonts w:ascii="Times New Roman" w:eastAsia="Times New Roman" w:hAnsi="Times New Roman" w:cs="Times New Roman"/>
          <w:color w:val="00000A"/>
        </w:rPr>
        <w:t>e</w:t>
      </w:r>
      <w:r w:rsidRPr="009B0448">
        <w:rPr>
          <w:rFonts w:ascii="Times New Roman" w:eastAsia="Times New Roman" w:hAnsi="Times New Roman" w:cs="Times New Roman"/>
          <w:color w:val="00000A"/>
        </w:rPr>
        <w:t>nvironment &amp; development. Rio de Janerio, Brazil, 3 to 14 June 1992. Rio de Janerio, Brazil</w:t>
      </w:r>
      <w:r w:rsidR="00766FF5" w:rsidRPr="009B0448">
        <w:rPr>
          <w:rFonts w:ascii="Times New Roman" w:eastAsia="Times New Roman" w:hAnsi="Times New Roman" w:cs="Times New Roman"/>
          <w:color w:val="00000A"/>
        </w:rPr>
        <w:t>: UNCED</w:t>
      </w:r>
      <w:r w:rsidRPr="009B0448">
        <w:rPr>
          <w:rFonts w:ascii="Times New Roman" w:eastAsia="Times New Roman" w:hAnsi="Times New Roman" w:cs="Times New Roman"/>
          <w:color w:val="00000A"/>
        </w:rPr>
        <w:t xml:space="preserve">. Retrieved from </w:t>
      </w:r>
      <w:hyperlink r:id="rId334" w:history="1">
        <w:r w:rsidRPr="009B0448">
          <w:rPr>
            <w:rStyle w:val="Hyperlink"/>
            <w:rFonts w:ascii="Times New Roman" w:eastAsia="Times New Roman" w:hAnsi="Times New Roman" w:cs="Times New Roman"/>
          </w:rPr>
          <w:t>https://sustainabledevelopment.un.org/content/documents/Agenda21.pdf</w:t>
        </w:r>
      </w:hyperlink>
    </w:p>
    <w:p w14:paraId="0763EAF4" w14:textId="58125914" w:rsidR="001A3B0A" w:rsidRPr="009B0448" w:rsidRDefault="001A3B0A" w:rsidP="004B6610">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UNDP. (2010). </w:t>
      </w:r>
      <w:r w:rsidRPr="009B0448">
        <w:rPr>
          <w:rFonts w:ascii="Times New Roman" w:eastAsia="Times New Roman" w:hAnsi="Times New Roman" w:cs="Times New Roman"/>
          <w:i/>
          <w:color w:val="00000A"/>
        </w:rPr>
        <w:t>Human development report 2010: The real wealth of nations: Pathways to human development.</w:t>
      </w:r>
      <w:r w:rsidRPr="009B0448">
        <w:rPr>
          <w:rFonts w:ascii="Times New Roman" w:eastAsia="Times New Roman" w:hAnsi="Times New Roman" w:cs="Times New Roman"/>
          <w:color w:val="00000A"/>
        </w:rPr>
        <w:t xml:space="preserve"> New York, </w:t>
      </w:r>
      <w:r w:rsidR="00766FF5" w:rsidRPr="009B0448">
        <w:rPr>
          <w:rFonts w:ascii="Times New Roman" w:eastAsia="Times New Roman" w:hAnsi="Times New Roman" w:cs="Times New Roman"/>
          <w:color w:val="00000A"/>
        </w:rPr>
        <w:t xml:space="preserve">NY, </w:t>
      </w:r>
      <w:r w:rsidRPr="009B0448">
        <w:rPr>
          <w:rFonts w:ascii="Times New Roman" w:eastAsia="Times New Roman" w:hAnsi="Times New Roman" w:cs="Times New Roman"/>
          <w:color w:val="00000A"/>
        </w:rPr>
        <w:t>USA: United</w:t>
      </w:r>
      <w:r w:rsidR="00325B91" w:rsidRPr="009B0448">
        <w:rPr>
          <w:rFonts w:ascii="Times New Roman" w:eastAsia="Times New Roman" w:hAnsi="Times New Roman" w:cs="Times New Roman"/>
          <w:color w:val="00000A"/>
        </w:rPr>
        <w:t xml:space="preserve"> Nations Development Programme</w:t>
      </w:r>
      <w:r w:rsidRPr="009B0448">
        <w:rPr>
          <w:rFonts w:ascii="Times New Roman" w:eastAsia="Times New Roman" w:hAnsi="Times New Roman" w:cs="Times New Roman"/>
          <w:color w:val="00000A"/>
        </w:rPr>
        <w:t xml:space="preserve">. Retrieved from </w:t>
      </w:r>
      <w:hyperlink r:id="rId335" w:history="1">
        <w:r w:rsidRPr="009B0448">
          <w:rPr>
            <w:rStyle w:val="Hyperlink"/>
            <w:rFonts w:ascii="Times New Roman" w:hAnsi="Times New Roman" w:cs="Times New Roman"/>
          </w:rPr>
          <w:t>http://hdr.undp.org/sites/default/files/reports/270/hdr_2010_en_complete_reprint.pdf</w:t>
        </w:r>
      </w:hyperlink>
    </w:p>
    <w:p w14:paraId="1F3957BA" w14:textId="62791B3D"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UNDP. (2015). </w:t>
      </w:r>
      <w:r w:rsidRPr="009B0448">
        <w:rPr>
          <w:rFonts w:ascii="Times New Roman" w:eastAsia="Times New Roman" w:hAnsi="Times New Roman" w:cs="Times New Roman"/>
          <w:i/>
          <w:color w:val="00000A"/>
        </w:rPr>
        <w:t>Human development report 2015: Work for human development.</w:t>
      </w:r>
      <w:r w:rsidRPr="009B0448">
        <w:rPr>
          <w:rFonts w:ascii="Times New Roman" w:eastAsia="Times New Roman" w:hAnsi="Times New Roman" w:cs="Times New Roman"/>
          <w:color w:val="00000A"/>
        </w:rPr>
        <w:t xml:space="preserve"> New York, </w:t>
      </w:r>
      <w:r w:rsidR="00766FF5" w:rsidRPr="009B0448">
        <w:rPr>
          <w:rFonts w:ascii="Times New Roman" w:eastAsia="Times New Roman" w:hAnsi="Times New Roman" w:cs="Times New Roman"/>
          <w:color w:val="00000A"/>
        </w:rPr>
        <w:t xml:space="preserve">NY, </w:t>
      </w:r>
      <w:r w:rsidRPr="009B0448">
        <w:rPr>
          <w:rFonts w:ascii="Times New Roman" w:eastAsia="Times New Roman" w:hAnsi="Times New Roman" w:cs="Times New Roman"/>
          <w:color w:val="00000A"/>
        </w:rPr>
        <w:t xml:space="preserve">USA: United Nations Development Programme. Retrieved from </w:t>
      </w:r>
      <w:hyperlink r:id="rId336" w:history="1">
        <w:r w:rsidRPr="009B0448">
          <w:rPr>
            <w:rStyle w:val="Hyperlink"/>
            <w:rFonts w:ascii="Times New Roman" w:eastAsia="Times New Roman" w:hAnsi="Times New Roman" w:cs="Times New Roman"/>
          </w:rPr>
          <w:t>http://hdr.undp.org/sites/default/files/2015_human_development_report_0.pdf</w:t>
        </w:r>
      </w:hyperlink>
    </w:p>
    <w:p w14:paraId="75E7402D" w14:textId="17416DF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UNDP. (2016). </w:t>
      </w:r>
      <w:r w:rsidRPr="009B0448">
        <w:rPr>
          <w:rFonts w:ascii="Times New Roman" w:eastAsia="Times New Roman" w:hAnsi="Times New Roman" w:cs="Times New Roman"/>
          <w:i/>
          <w:color w:val="00000A"/>
        </w:rPr>
        <w:t>Human development report 2016: human development for everyone.</w:t>
      </w:r>
      <w:r w:rsidRPr="009B0448">
        <w:rPr>
          <w:rFonts w:ascii="Times New Roman" w:eastAsia="Times New Roman" w:hAnsi="Times New Roman" w:cs="Times New Roman"/>
          <w:color w:val="00000A"/>
        </w:rPr>
        <w:t xml:space="preserve"> New York, </w:t>
      </w:r>
      <w:r w:rsidR="00766FF5" w:rsidRPr="009B0448">
        <w:rPr>
          <w:rFonts w:ascii="Times New Roman" w:eastAsia="Times New Roman" w:hAnsi="Times New Roman" w:cs="Times New Roman"/>
          <w:color w:val="00000A"/>
        </w:rPr>
        <w:t xml:space="preserve">NY, </w:t>
      </w:r>
      <w:r w:rsidRPr="009B0448">
        <w:rPr>
          <w:rFonts w:ascii="Times New Roman" w:eastAsia="Times New Roman" w:hAnsi="Times New Roman" w:cs="Times New Roman"/>
          <w:color w:val="00000A"/>
        </w:rPr>
        <w:t xml:space="preserve">USA: United Nations Development Programme. Retrieved from </w:t>
      </w:r>
      <w:hyperlink r:id="rId337" w:history="1">
        <w:r w:rsidRPr="009B0448">
          <w:rPr>
            <w:rStyle w:val="Hyperlink"/>
            <w:rFonts w:ascii="Times New Roman" w:eastAsia="Times New Roman" w:hAnsi="Times New Roman" w:cs="Times New Roman"/>
          </w:rPr>
          <w:t>http://hdr.undp.org/sites/default/files/2016_human_development_report.pdf</w:t>
        </w:r>
      </w:hyperlink>
    </w:p>
    <w:p w14:paraId="4395F4BC"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UNECA. (2006). </w:t>
      </w:r>
      <w:r w:rsidRPr="009B0448">
        <w:rPr>
          <w:rFonts w:ascii="Times New Roman" w:eastAsia="Times New Roman" w:hAnsi="Times New Roman" w:cs="Times New Roman"/>
          <w:i/>
          <w:color w:val="00000A"/>
        </w:rPr>
        <w:t>Sustainable energy : A framework for new and renewable energy in Southern Africa</w:t>
      </w:r>
      <w:r w:rsidRPr="009B0448">
        <w:rPr>
          <w:rFonts w:ascii="Times New Roman" w:eastAsia="Times New Roman" w:hAnsi="Times New Roman" w:cs="Times New Roman"/>
          <w:color w:val="00000A"/>
        </w:rPr>
        <w:t xml:space="preserve">. Addis Ababa, Ethiopia: United Nations Economic Commission for Africa. Southern Africa Sub-Regional Development Centre (ECA/SA-SRDC). Retrieved from </w:t>
      </w:r>
      <w:hyperlink r:id="rId338" w:history="1">
        <w:r w:rsidRPr="009B0448">
          <w:rPr>
            <w:rStyle w:val="Hyperlink"/>
            <w:rFonts w:ascii="Times New Roman" w:eastAsia="Times New Roman" w:hAnsi="Times New Roman" w:cs="Times New Roman"/>
          </w:rPr>
          <w:t>http://repository.uneca.org/handle/10855/5650</w:t>
        </w:r>
      </w:hyperlink>
    </w:p>
    <w:p w14:paraId="6ADAA9D5" w14:textId="7A46F3EB"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UNECA. (2010). </w:t>
      </w:r>
      <w:r w:rsidRPr="009B0448">
        <w:rPr>
          <w:rFonts w:ascii="Times New Roman" w:eastAsia="Times New Roman" w:hAnsi="Times New Roman" w:cs="Times New Roman"/>
          <w:i/>
          <w:color w:val="00000A"/>
        </w:rPr>
        <w:t xml:space="preserve">Popular </w:t>
      </w:r>
      <w:r w:rsidR="00766FF5" w:rsidRPr="009B0448">
        <w:rPr>
          <w:rFonts w:ascii="Times New Roman" w:eastAsia="Times New Roman" w:hAnsi="Times New Roman" w:cs="Times New Roman"/>
          <w:i/>
          <w:color w:val="00000A"/>
        </w:rPr>
        <w:t xml:space="preserve">participation &amp; decentralization in </w:t>
      </w:r>
      <w:r w:rsidRPr="009B0448">
        <w:rPr>
          <w:rFonts w:ascii="Times New Roman" w:eastAsia="Times New Roman" w:hAnsi="Times New Roman" w:cs="Times New Roman"/>
          <w:i/>
          <w:color w:val="00000A"/>
        </w:rPr>
        <w:t>Africa</w:t>
      </w:r>
      <w:r w:rsidRPr="009B0448">
        <w:rPr>
          <w:rFonts w:ascii="Times New Roman" w:eastAsia="Times New Roman" w:hAnsi="Times New Roman" w:cs="Times New Roman"/>
          <w:color w:val="00000A"/>
        </w:rPr>
        <w:t xml:space="preserve">. Addis Ababa, Ethiopia: </w:t>
      </w:r>
      <w:r w:rsidR="00766FF5" w:rsidRPr="009B0448">
        <w:rPr>
          <w:rFonts w:ascii="Times New Roman" w:eastAsia="Times New Roman" w:hAnsi="Times New Roman" w:cs="Times New Roman"/>
          <w:color w:val="00000A"/>
        </w:rPr>
        <w:t>United Nations Economic Commission for Africa</w:t>
      </w:r>
      <w:r w:rsidRPr="009B0448">
        <w:rPr>
          <w:rFonts w:ascii="Times New Roman" w:eastAsia="Times New Roman" w:hAnsi="Times New Roman" w:cs="Times New Roman"/>
          <w:color w:val="00000A"/>
        </w:rPr>
        <w:t xml:space="preserve">. Retrieved from </w:t>
      </w:r>
      <w:hyperlink r:id="rId339" w:history="1">
        <w:r w:rsidRPr="009B0448">
          <w:rPr>
            <w:rStyle w:val="Hyperlink"/>
            <w:rFonts w:ascii="Times New Roman" w:eastAsia="Times New Roman" w:hAnsi="Times New Roman" w:cs="Times New Roman"/>
          </w:rPr>
          <w:t>http://www.uneca.org/sites/default/files/PublicationFiles/popular-participation-decentralization-in-africa.pdf</w:t>
        </w:r>
      </w:hyperlink>
    </w:p>
    <w:p w14:paraId="61B252E7" w14:textId="3B4C6995"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UNECA. (2013). </w:t>
      </w:r>
      <w:r w:rsidRPr="009B0448">
        <w:rPr>
          <w:rFonts w:ascii="Times New Roman" w:eastAsia="Times New Roman" w:hAnsi="Times New Roman" w:cs="Times New Roman"/>
          <w:i/>
          <w:color w:val="00000A"/>
        </w:rPr>
        <w:t xml:space="preserve">Large-scale land based investments in Africa : </w:t>
      </w:r>
      <w:r w:rsidR="00766FF5" w:rsidRPr="009B0448">
        <w:rPr>
          <w:rFonts w:ascii="Times New Roman" w:eastAsia="Times New Roman" w:hAnsi="Times New Roman" w:cs="Times New Roman"/>
          <w:i/>
          <w:color w:val="00000A"/>
        </w:rPr>
        <w:t>S</w:t>
      </w:r>
      <w:r w:rsidRPr="009B0448">
        <w:rPr>
          <w:rFonts w:ascii="Times New Roman" w:eastAsia="Times New Roman" w:hAnsi="Times New Roman" w:cs="Times New Roman"/>
          <w:i/>
          <w:color w:val="00000A"/>
        </w:rPr>
        <w:t>ynthesis report</w:t>
      </w:r>
      <w:r w:rsidRPr="009B0448">
        <w:rPr>
          <w:rFonts w:ascii="Times New Roman" w:eastAsia="Times New Roman" w:hAnsi="Times New Roman" w:cs="Times New Roman"/>
          <w:color w:val="00000A"/>
        </w:rPr>
        <w:t xml:space="preserve">. Addis </w:t>
      </w:r>
      <w:r w:rsidR="00766FF5" w:rsidRPr="009B0448">
        <w:rPr>
          <w:rFonts w:ascii="Times New Roman" w:eastAsia="Times New Roman" w:hAnsi="Times New Roman" w:cs="Times New Roman"/>
          <w:color w:val="00000A"/>
        </w:rPr>
        <w:t>Ababa, Ethiopia: United Nations</w:t>
      </w:r>
      <w:r w:rsidRPr="009B0448">
        <w:rPr>
          <w:rFonts w:ascii="Times New Roman" w:eastAsia="Times New Roman" w:hAnsi="Times New Roman" w:cs="Times New Roman"/>
          <w:color w:val="00000A"/>
        </w:rPr>
        <w:t xml:space="preserve"> Economic Commission for Africa. Retrieved from </w:t>
      </w:r>
      <w:hyperlink r:id="rId340" w:history="1">
        <w:r w:rsidRPr="009B0448">
          <w:rPr>
            <w:rStyle w:val="Hyperlink"/>
            <w:rFonts w:ascii="Times New Roman" w:eastAsia="Times New Roman" w:hAnsi="Times New Roman" w:cs="Times New Roman"/>
          </w:rPr>
          <w:t>http://repository.uneca.org/handle/10855/22923</w:t>
        </w:r>
      </w:hyperlink>
    </w:p>
    <w:p w14:paraId="112351F2"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UNEP. (1999). UNEP Annual Report 1998. Nairobi, Kenia: United Nations Environment Programme. Retrieved from </w:t>
      </w:r>
      <w:hyperlink r:id="rId341" w:history="1">
        <w:r w:rsidRPr="009B0448">
          <w:rPr>
            <w:rStyle w:val="Hyperlink"/>
            <w:rFonts w:ascii="Times New Roman" w:eastAsia="Times New Roman" w:hAnsi="Times New Roman" w:cs="Times New Roman"/>
          </w:rPr>
          <w:t>http://old.unep-wcmc.org/medialibrary/2010/09/24/f07ef06e/Annual_Report_1998.pdf</w:t>
        </w:r>
      </w:hyperlink>
    </w:p>
    <w:p w14:paraId="130B6538" w14:textId="6DA7F81A"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UNEP. (2002). </w:t>
      </w:r>
      <w:r w:rsidRPr="009B0448">
        <w:rPr>
          <w:rFonts w:ascii="Times New Roman" w:eastAsia="Times New Roman" w:hAnsi="Times New Roman" w:cs="Times New Roman"/>
          <w:i/>
          <w:color w:val="00000A"/>
        </w:rPr>
        <w:t xml:space="preserve">Vital </w:t>
      </w:r>
      <w:r w:rsidR="007E026B" w:rsidRPr="009B0448">
        <w:rPr>
          <w:rFonts w:ascii="Times New Roman" w:eastAsia="Times New Roman" w:hAnsi="Times New Roman" w:cs="Times New Roman"/>
          <w:i/>
          <w:color w:val="00000A"/>
        </w:rPr>
        <w:t>water g</w:t>
      </w:r>
      <w:r w:rsidRPr="009B0448">
        <w:rPr>
          <w:rFonts w:ascii="Times New Roman" w:eastAsia="Times New Roman" w:hAnsi="Times New Roman" w:cs="Times New Roman"/>
          <w:i/>
          <w:color w:val="00000A"/>
        </w:rPr>
        <w:t>raphics</w:t>
      </w:r>
      <w:r w:rsidR="007E026B" w:rsidRPr="009B0448">
        <w:rPr>
          <w:rFonts w:ascii="Times New Roman" w:eastAsia="Times New Roman" w:hAnsi="Times New Roman" w:cs="Times New Roman"/>
          <w:color w:val="00000A"/>
        </w:rPr>
        <w:t xml:space="preserve">: </w:t>
      </w:r>
      <w:r w:rsidR="007E026B" w:rsidRPr="009B0448">
        <w:rPr>
          <w:rFonts w:ascii="Times New Roman" w:eastAsia="Times New Roman" w:hAnsi="Times New Roman" w:cs="Times New Roman"/>
          <w:i/>
          <w:color w:val="00000A"/>
        </w:rPr>
        <w:t xml:space="preserve">An overview of the state of the world's fresh and marine waters. </w:t>
      </w:r>
      <w:r w:rsidR="007E026B" w:rsidRPr="009B0448">
        <w:rPr>
          <w:rFonts w:ascii="Times New Roman" w:eastAsia="Times New Roman" w:hAnsi="Times New Roman" w:cs="Times New Roman"/>
          <w:color w:val="00000A"/>
        </w:rPr>
        <w:t xml:space="preserve">Nairobi, Kenia: </w:t>
      </w:r>
      <w:r w:rsidRPr="009B0448">
        <w:rPr>
          <w:rFonts w:ascii="Times New Roman" w:eastAsia="Times New Roman" w:hAnsi="Times New Roman" w:cs="Times New Roman"/>
          <w:color w:val="00000A"/>
        </w:rPr>
        <w:t xml:space="preserve">United Nations Environment Programme. Retrieved from </w:t>
      </w:r>
      <w:hyperlink r:id="rId342" w:history="1">
        <w:r w:rsidR="007E026B" w:rsidRPr="009B0448">
          <w:rPr>
            <w:rStyle w:val="Hyperlink"/>
            <w:rFonts w:ascii="Times New Roman" w:eastAsia="Times New Roman" w:hAnsi="Times New Roman" w:cs="Times New Roman"/>
          </w:rPr>
          <w:t>http://wedocs.unep.org/bitstream/handle/20.500.11822/20624/Vital_water_graphics.pdf</w:t>
        </w:r>
      </w:hyperlink>
    </w:p>
    <w:p w14:paraId="3736C094" w14:textId="478AFCE3"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UNEP. (2010).</w:t>
      </w:r>
      <w:r w:rsidR="007E026B"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 xml:space="preserve">The role of </w:t>
      </w:r>
      <w:r w:rsidR="007E026B" w:rsidRPr="009B0448">
        <w:rPr>
          <w:rFonts w:ascii="Times New Roman" w:eastAsia="Times New Roman" w:hAnsi="Times New Roman" w:cs="Times New Roman"/>
          <w:i/>
          <w:color w:val="00000A"/>
        </w:rPr>
        <w:t>ecosystems in developing a sustainable green e</w:t>
      </w:r>
      <w:r w:rsidRPr="009B0448">
        <w:rPr>
          <w:rFonts w:ascii="Times New Roman" w:eastAsia="Times New Roman" w:hAnsi="Times New Roman" w:cs="Times New Roman"/>
          <w:i/>
          <w:color w:val="00000A"/>
        </w:rPr>
        <w:t>conomy.</w:t>
      </w:r>
      <w:r w:rsidR="007E026B"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United Nations </w:t>
      </w:r>
      <w:r w:rsidR="00325B91" w:rsidRPr="009B0448">
        <w:rPr>
          <w:rFonts w:ascii="Times New Roman" w:eastAsia="Times New Roman" w:hAnsi="Times New Roman" w:cs="Times New Roman"/>
          <w:color w:val="00000A"/>
        </w:rPr>
        <w:t>Environment Programme</w:t>
      </w:r>
      <w:r w:rsidRPr="009B0448">
        <w:rPr>
          <w:rFonts w:ascii="Times New Roman" w:eastAsia="Times New Roman" w:hAnsi="Times New Roman" w:cs="Times New Roman"/>
          <w:color w:val="00000A"/>
        </w:rPr>
        <w:t xml:space="preserve">. Retrieved from </w:t>
      </w:r>
      <w:hyperlink r:id="rId343" w:history="1">
        <w:r w:rsidRPr="009B0448">
          <w:rPr>
            <w:rStyle w:val="Hyperlink"/>
            <w:rFonts w:ascii="Times New Roman" w:eastAsia="Times New Roman" w:hAnsi="Times New Roman" w:cs="Times New Roman"/>
          </w:rPr>
          <w:t>http://chimalaya.org/2010/12/17/the-role-of-ecosystems-in-developing-a-sustainable-green-economy/</w:t>
        </w:r>
      </w:hyperlink>
    </w:p>
    <w:p w14:paraId="4A86C030" w14:textId="4E4D7CEF"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UNEP. (2011). </w:t>
      </w:r>
      <w:r w:rsidR="00325B91" w:rsidRPr="009B0448">
        <w:rPr>
          <w:rFonts w:ascii="Times New Roman" w:eastAsia="Times New Roman" w:hAnsi="Times New Roman" w:cs="Times New Roman"/>
          <w:i/>
          <w:color w:val="00000A"/>
        </w:rPr>
        <w:t>Towards a green economy: P</w:t>
      </w:r>
      <w:r w:rsidRPr="009B0448">
        <w:rPr>
          <w:rFonts w:ascii="Times New Roman" w:eastAsia="Times New Roman" w:hAnsi="Times New Roman" w:cs="Times New Roman"/>
          <w:i/>
          <w:color w:val="00000A"/>
        </w:rPr>
        <w:t>athways to sustainable development and poverty eradication.</w:t>
      </w:r>
      <w:r w:rsidRPr="009B0448">
        <w:rPr>
          <w:rFonts w:ascii="Times New Roman" w:eastAsia="Times New Roman" w:hAnsi="Times New Roman" w:cs="Times New Roman"/>
          <w:color w:val="00000A"/>
        </w:rPr>
        <w:t xml:space="preserve"> United Nations Environment Programme. Retrieved from </w:t>
      </w:r>
      <w:hyperlink r:id="rId344" w:history="1">
        <w:r w:rsidRPr="009B0448">
          <w:rPr>
            <w:rStyle w:val="Hyperlink"/>
            <w:rFonts w:ascii="Times New Roman" w:eastAsia="Times New Roman" w:hAnsi="Times New Roman" w:cs="Times New Roman"/>
          </w:rPr>
          <w:t>http://www.unep.org/greeneconomy</w:t>
        </w:r>
      </w:hyperlink>
    </w:p>
    <w:p w14:paraId="2E87C3C9" w14:textId="18672AC6"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UNEP. (2012a). </w:t>
      </w:r>
      <w:r w:rsidR="00325B91" w:rsidRPr="009B0448">
        <w:rPr>
          <w:rFonts w:ascii="Times New Roman" w:eastAsia="Times New Roman" w:hAnsi="Times New Roman" w:cs="Times New Roman"/>
          <w:i/>
          <w:color w:val="00000A"/>
        </w:rPr>
        <w:t>Green economy in a blue world: S</w:t>
      </w:r>
      <w:r w:rsidRPr="009B0448">
        <w:rPr>
          <w:rFonts w:ascii="Times New Roman" w:eastAsia="Times New Roman" w:hAnsi="Times New Roman" w:cs="Times New Roman"/>
          <w:i/>
          <w:color w:val="00000A"/>
        </w:rPr>
        <w:t>ynthesis report.</w:t>
      </w:r>
      <w:r w:rsidR="00325B91"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United Nations Environment Programme. Retrieved from </w:t>
      </w:r>
      <w:hyperlink r:id="rId345" w:history="1">
        <w:r w:rsidRPr="009B0448">
          <w:rPr>
            <w:rStyle w:val="Hyperlink"/>
            <w:rFonts w:ascii="Times New Roman" w:eastAsia="Times New Roman" w:hAnsi="Times New Roman" w:cs="Times New Roman"/>
          </w:rPr>
          <w:t>http://www.unep.org/pdf/green_economy_blue.pdf</w:t>
        </w:r>
      </w:hyperlink>
    </w:p>
    <w:p w14:paraId="296EC166" w14:textId="40F4C99D"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UNEP. (2012b). Measuring Progress: Environmental Goals &amp; Gaps. Nairobi, Kenya: United Nations Environment Programme. Retrieved from </w:t>
      </w:r>
      <w:hyperlink r:id="rId346" w:history="1">
        <w:r w:rsidRPr="009B0448">
          <w:rPr>
            <w:rStyle w:val="Hyperlink"/>
            <w:rFonts w:ascii="Times New Roman" w:eastAsia="Times New Roman" w:hAnsi="Times New Roman" w:cs="Times New Roman"/>
          </w:rPr>
          <w:t>http://staging.unep.org/geo/pdfs/geo5/Measuring_progress.pdf</w:t>
        </w:r>
      </w:hyperlink>
    </w:p>
    <w:p w14:paraId="18FE358E"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UNEP. (2014). UNEP annual report 2014. Nairobi, Kenya: United Nations Environment Programme. Retrieved from </w:t>
      </w:r>
      <w:hyperlink r:id="rId347" w:history="1">
        <w:r w:rsidRPr="009B0448">
          <w:rPr>
            <w:rStyle w:val="Hyperlink"/>
            <w:rFonts w:ascii="Times New Roman" w:eastAsia="Times New Roman" w:hAnsi="Times New Roman" w:cs="Times New Roman"/>
          </w:rPr>
          <w:t>https://www.uncclearn.org/sites/default/files/inventory/-unep_2014_annual_report-2015unep_annual_report_2014_production_lq.pdf.pdf</w:t>
        </w:r>
      </w:hyperlink>
    </w:p>
    <w:p w14:paraId="6B5957B5"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UNEP. (2015). UNEP Annual Report 2015. Nairobi, Kenya: United Nations Environment Programme. Retrieved from </w:t>
      </w:r>
      <w:hyperlink r:id="rId348" w:history="1">
        <w:r w:rsidRPr="009B0448">
          <w:rPr>
            <w:rStyle w:val="Hyperlink"/>
            <w:rFonts w:ascii="Times New Roman" w:eastAsia="Times New Roman" w:hAnsi="Times New Roman" w:cs="Times New Roman"/>
          </w:rPr>
          <w:t>https://reliefweb.int/sites/reliefweb.int/files/resources/-UNEP_2015_Annual_Report-2016UNEP-AnnualReport-2015-EN.pdf.pdf</w:t>
        </w:r>
      </w:hyperlink>
    </w:p>
    <w:p w14:paraId="5D86B3C3" w14:textId="4657346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UNEP. (2016). GEO-6 Regional Assessment for Africa. Nairobi, Kenya: United Nations Environment Programme.</w:t>
      </w:r>
      <w:r w:rsidR="001E6177" w:rsidRPr="009B0448">
        <w:rPr>
          <w:rFonts w:ascii="Times New Roman" w:eastAsia="Times New Roman" w:hAnsi="Times New Roman" w:cs="Times New Roman"/>
          <w:color w:val="00000A"/>
        </w:rPr>
        <w:t xml:space="preserve"> Retrieved from </w:t>
      </w:r>
      <w:hyperlink r:id="rId349" w:history="1">
        <w:r w:rsidR="001E6177" w:rsidRPr="009B0448">
          <w:rPr>
            <w:rStyle w:val="Hyperlink"/>
            <w:rFonts w:ascii="Times New Roman" w:eastAsia="Times New Roman" w:hAnsi="Times New Roman" w:cs="Times New Roman"/>
          </w:rPr>
          <w:t>http://wedocs.unep.org/bitstream/handle/20.500.11822/7595/GEO_Africa_201611.pdf</w:t>
        </w:r>
      </w:hyperlink>
    </w:p>
    <w:p w14:paraId="13AB272B" w14:textId="63A12880" w:rsidR="001A3B0A" w:rsidRPr="009B0448" w:rsidRDefault="001A3B0A" w:rsidP="0033312D">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color w:val="auto"/>
        </w:rPr>
        <w:t xml:space="preserve">UNEP. (2017). The </w:t>
      </w:r>
      <w:r w:rsidR="00325B91" w:rsidRPr="009B0448">
        <w:rPr>
          <w:rFonts w:ascii="Times New Roman" w:eastAsia="Times New Roman" w:hAnsi="Times New Roman" w:cs="Times New Roman"/>
          <w:color w:val="auto"/>
        </w:rPr>
        <w:t xml:space="preserve">emissions gap report </w:t>
      </w:r>
      <w:r w:rsidRPr="009B0448">
        <w:rPr>
          <w:rFonts w:ascii="Times New Roman" w:eastAsia="Times New Roman" w:hAnsi="Times New Roman" w:cs="Times New Roman"/>
          <w:color w:val="auto"/>
        </w:rPr>
        <w:t xml:space="preserve">2017. </w:t>
      </w:r>
      <w:r w:rsidR="00325B91" w:rsidRPr="009B0448">
        <w:rPr>
          <w:rFonts w:ascii="Times New Roman" w:eastAsia="Times New Roman" w:hAnsi="Times New Roman" w:cs="Times New Roman"/>
          <w:color w:val="00000A"/>
        </w:rPr>
        <w:t xml:space="preserve">Nairobi, Kenya: </w:t>
      </w:r>
      <w:r w:rsidRPr="009B0448">
        <w:rPr>
          <w:rFonts w:ascii="Times New Roman" w:eastAsia="Times New Roman" w:hAnsi="Times New Roman" w:cs="Times New Roman"/>
          <w:color w:val="auto"/>
        </w:rPr>
        <w:t xml:space="preserve">United Nations Environment Programme. Retrieved from </w:t>
      </w:r>
      <w:hyperlink r:id="rId350" w:history="1">
        <w:r w:rsidR="00325B91" w:rsidRPr="009B0448">
          <w:rPr>
            <w:rStyle w:val="Hyperlink"/>
            <w:rFonts w:ascii="Times New Roman" w:eastAsia="Times New Roman" w:hAnsi="Times New Roman" w:cs="Times New Roman"/>
          </w:rPr>
          <w:t>www.unenvironment.org/resources/emissions-gap-report</w:t>
        </w:r>
      </w:hyperlink>
    </w:p>
    <w:p w14:paraId="280A629B" w14:textId="6C34AC6E"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UNEP/ELD. (2015). The </w:t>
      </w:r>
      <w:r w:rsidR="001E6177" w:rsidRPr="009B0448">
        <w:rPr>
          <w:rFonts w:ascii="Times New Roman" w:eastAsia="Times New Roman" w:hAnsi="Times New Roman" w:cs="Times New Roman"/>
          <w:color w:val="00000A"/>
        </w:rPr>
        <w:t xml:space="preserve">economics of land degradation </w:t>
      </w:r>
      <w:r w:rsidRPr="009B0448">
        <w:rPr>
          <w:rFonts w:ascii="Times New Roman" w:eastAsia="Times New Roman" w:hAnsi="Times New Roman" w:cs="Times New Roman"/>
          <w:color w:val="00000A"/>
        </w:rPr>
        <w:t xml:space="preserve">in Africa: Benefits </w:t>
      </w:r>
      <w:r w:rsidR="001E6177" w:rsidRPr="009B0448">
        <w:rPr>
          <w:rFonts w:ascii="Times New Roman" w:eastAsia="Times New Roman" w:hAnsi="Times New Roman" w:cs="Times New Roman"/>
          <w:color w:val="00000A"/>
        </w:rPr>
        <w:t>of action outweigh the co</w:t>
      </w:r>
      <w:r w:rsidRPr="009B0448">
        <w:rPr>
          <w:rFonts w:ascii="Times New Roman" w:eastAsia="Times New Roman" w:hAnsi="Times New Roman" w:cs="Times New Roman"/>
          <w:color w:val="00000A"/>
        </w:rPr>
        <w:t xml:space="preserve">sts. Retrieved from </w:t>
      </w:r>
      <w:hyperlink r:id="rId351" w:history="1">
        <w:r w:rsidRPr="009B0448">
          <w:rPr>
            <w:rStyle w:val="Hyperlink"/>
            <w:rFonts w:ascii="Times New Roman" w:eastAsia="Times New Roman" w:hAnsi="Times New Roman" w:cs="Times New Roman"/>
          </w:rPr>
          <w:t>www.eld-initiative.org</w:t>
        </w:r>
      </w:hyperlink>
    </w:p>
    <w:p w14:paraId="3175A0D0" w14:textId="075C9DF3" w:rsidR="001A3B0A"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UNEP-WCMC, &amp; IUCN. (2017).</w:t>
      </w:r>
      <w:r w:rsidR="003677D9">
        <w:rPr>
          <w:rFonts w:ascii="Times New Roman" w:eastAsia="Times New Roman" w:hAnsi="Times New Roman" w:cs="Times New Roman"/>
          <w:color w:val="00000A"/>
        </w:rPr>
        <w:t xml:space="preserve"> </w:t>
      </w:r>
      <w:r w:rsidR="003677D9" w:rsidRPr="003677D9">
        <w:rPr>
          <w:rFonts w:ascii="Times New Roman" w:eastAsia="Times New Roman" w:hAnsi="Times New Roman" w:cs="Times New Roman"/>
          <w:i/>
          <w:color w:val="00000A"/>
        </w:rPr>
        <w:t>Protected Planet: The World Database on Protected Areas (WDPA)</w:t>
      </w:r>
      <w:r w:rsidR="003677D9" w:rsidRPr="003677D9">
        <w:rPr>
          <w:rFonts w:ascii="Times New Roman" w:eastAsia="Times New Roman" w:hAnsi="Times New Roman" w:cs="Times New Roman"/>
          <w:color w:val="00000A"/>
        </w:rPr>
        <w:t xml:space="preserve"> [On-line], [</w:t>
      </w:r>
      <w:r w:rsidR="003677D9">
        <w:rPr>
          <w:rFonts w:ascii="Times New Roman" w:eastAsia="Times New Roman" w:hAnsi="Times New Roman" w:cs="Times New Roman"/>
          <w:color w:val="00000A"/>
        </w:rPr>
        <w:t>Sept 2017].</w:t>
      </w:r>
      <w:r w:rsidR="003677D9" w:rsidRPr="003677D9">
        <w:rPr>
          <w:rFonts w:ascii="Times New Roman" w:eastAsia="Times New Roman" w:hAnsi="Times New Roman" w:cs="Times New Roman"/>
          <w:color w:val="00000A"/>
        </w:rPr>
        <w:t xml:space="preserve"> Cambridge, UK: UNEP-WCMC and IUCN. Retrieved from </w:t>
      </w:r>
      <w:hyperlink r:id="rId352" w:history="1">
        <w:r w:rsidR="003677D9" w:rsidRPr="00394D3D">
          <w:rPr>
            <w:rStyle w:val="Hyperlink"/>
            <w:rFonts w:ascii="Times New Roman" w:eastAsia="Times New Roman" w:hAnsi="Times New Roman" w:cs="Times New Roman"/>
          </w:rPr>
          <w:t>https://www.protectedplanet.net</w:t>
        </w:r>
      </w:hyperlink>
    </w:p>
    <w:p w14:paraId="6C85E818" w14:textId="274CD200" w:rsidR="001E6177" w:rsidRPr="009B0448" w:rsidRDefault="001E6177"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UNEP-WCMC. (2016). </w:t>
      </w:r>
      <w:r w:rsidRPr="009B0448">
        <w:rPr>
          <w:rFonts w:ascii="Times New Roman" w:eastAsia="Times New Roman" w:hAnsi="Times New Roman" w:cs="Times New Roman"/>
          <w:i/>
          <w:color w:val="00000A"/>
        </w:rPr>
        <w:t>The State of Biodiversity in Africa: A mid-term review of progress towards the Aichi Biodiversity Targets.</w:t>
      </w:r>
      <w:r w:rsidRPr="009B0448">
        <w:rPr>
          <w:rFonts w:ascii="Times New Roman" w:eastAsia="Times New Roman" w:hAnsi="Times New Roman" w:cs="Times New Roman"/>
          <w:color w:val="00000A"/>
        </w:rPr>
        <w:t xml:space="preserve"> Cambridge, UK: UNEP-WCMC. Retrieved from </w:t>
      </w:r>
      <w:hyperlink r:id="rId353" w:history="1">
        <w:r w:rsidRPr="009B0448">
          <w:rPr>
            <w:rStyle w:val="Hyperlink"/>
            <w:rFonts w:ascii="Times New Roman" w:eastAsia="Times New Roman" w:hAnsi="Times New Roman" w:cs="Times New Roman"/>
          </w:rPr>
          <w:t>https://wedocs.unep.org/rest/bitstreams/32269/retrieve</w:t>
        </w:r>
      </w:hyperlink>
    </w:p>
    <w:p w14:paraId="0C30B62D" w14:textId="1C385921"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UNESCO. (2017). </w:t>
      </w:r>
      <w:r w:rsidRPr="009B0448">
        <w:rPr>
          <w:rFonts w:ascii="Times New Roman" w:eastAsia="Times New Roman" w:hAnsi="Times New Roman" w:cs="Times New Roman"/>
          <w:i/>
          <w:color w:val="00000A"/>
        </w:rPr>
        <w:t>Africa</w:t>
      </w:r>
      <w:r w:rsidRPr="009B0448">
        <w:rPr>
          <w:rFonts w:ascii="Times New Roman" w:eastAsia="Times New Roman" w:hAnsi="Times New Roman" w:cs="Times New Roman"/>
          <w:color w:val="00000A"/>
        </w:rPr>
        <w:t xml:space="preserve">. United Nations Educational, Scientific and Cultural Organization. Retrieved </w:t>
      </w:r>
      <w:r w:rsidR="001E6177" w:rsidRPr="009B0448">
        <w:rPr>
          <w:rFonts w:ascii="Times New Roman" w:eastAsia="Times New Roman" w:hAnsi="Times New Roman" w:cs="Times New Roman"/>
          <w:color w:val="00000A"/>
        </w:rPr>
        <w:t xml:space="preserve">on 11 August 2017 </w:t>
      </w:r>
      <w:r w:rsidRPr="009B0448">
        <w:rPr>
          <w:rFonts w:ascii="Times New Roman" w:eastAsia="Times New Roman" w:hAnsi="Times New Roman" w:cs="Times New Roman"/>
          <w:color w:val="00000A"/>
        </w:rPr>
        <w:t xml:space="preserve">from </w:t>
      </w:r>
      <w:hyperlink r:id="rId354" w:history="1">
        <w:r w:rsidRPr="009B0448">
          <w:rPr>
            <w:rStyle w:val="Hyperlink"/>
            <w:rFonts w:ascii="Times New Roman" w:eastAsia="Times New Roman" w:hAnsi="Times New Roman" w:cs="Times New Roman"/>
          </w:rPr>
          <w:t>http://www.unesco.org/new/en/natural-sciences/environment/ecological-sciences/biosphere-reserves/africa/</w:t>
        </w:r>
      </w:hyperlink>
    </w:p>
    <w:p w14:paraId="43C98E40" w14:textId="259205B9"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Unruh, J. (2008). Land </w:t>
      </w:r>
      <w:r w:rsidR="001E6177" w:rsidRPr="009B0448">
        <w:rPr>
          <w:rFonts w:ascii="Times New Roman" w:eastAsia="Times New Roman" w:hAnsi="Times New Roman" w:cs="Times New Roman"/>
          <w:color w:val="00000A"/>
        </w:rPr>
        <w:t xml:space="preserve">policy reform, customary rule of law and the peace process </w:t>
      </w:r>
      <w:r w:rsidRPr="009B0448">
        <w:rPr>
          <w:rFonts w:ascii="Times New Roman" w:eastAsia="Times New Roman" w:hAnsi="Times New Roman" w:cs="Times New Roman"/>
          <w:color w:val="00000A"/>
        </w:rPr>
        <w:t xml:space="preserve">in Sierra Leone. </w:t>
      </w:r>
      <w:r w:rsidRPr="009B0448">
        <w:rPr>
          <w:rFonts w:ascii="Times New Roman" w:eastAsia="Times New Roman" w:hAnsi="Times New Roman" w:cs="Times New Roman"/>
          <w:i/>
          <w:color w:val="00000A"/>
        </w:rPr>
        <w:t>African Journal of Legal Studies, 2</w:t>
      </w:r>
      <w:r w:rsidRPr="009B0448">
        <w:rPr>
          <w:rFonts w:ascii="Times New Roman" w:eastAsia="Times New Roman" w:hAnsi="Times New Roman" w:cs="Times New Roman"/>
          <w:color w:val="00000A"/>
        </w:rPr>
        <w:t xml:space="preserve">(2), 94–117. </w:t>
      </w:r>
      <w:hyperlink r:id="rId355" w:history="1">
        <w:r w:rsidRPr="009B0448">
          <w:rPr>
            <w:rStyle w:val="Hyperlink"/>
            <w:rFonts w:ascii="Times New Roman" w:eastAsia="Times New Roman" w:hAnsi="Times New Roman" w:cs="Times New Roman"/>
          </w:rPr>
          <w:t>https://doi.org/10.1163/221097312X13397499736507</w:t>
        </w:r>
      </w:hyperlink>
    </w:p>
    <w:p w14:paraId="2663060B" w14:textId="72A1EA20"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UN-Water/Africa and AMCOW (African Ministers’ Council on Water). (2004). </w:t>
      </w:r>
      <w:r w:rsidRPr="009B0448">
        <w:rPr>
          <w:rFonts w:ascii="Times New Roman" w:eastAsia="Times New Roman" w:hAnsi="Times New Roman" w:cs="Times New Roman"/>
          <w:i/>
          <w:color w:val="00000A"/>
        </w:rPr>
        <w:t xml:space="preserve">Outcomes and </w:t>
      </w:r>
      <w:r w:rsidR="001E6177" w:rsidRPr="009B0448">
        <w:rPr>
          <w:rFonts w:ascii="Times New Roman" w:eastAsia="Times New Roman" w:hAnsi="Times New Roman" w:cs="Times New Roman"/>
          <w:i/>
          <w:color w:val="00000A"/>
        </w:rPr>
        <w:t>recommendations of the pan-African implementation and partnership c</w:t>
      </w:r>
      <w:r w:rsidRPr="009B0448">
        <w:rPr>
          <w:rFonts w:ascii="Times New Roman" w:eastAsia="Times New Roman" w:hAnsi="Times New Roman" w:cs="Times New Roman"/>
          <w:i/>
          <w:color w:val="00000A"/>
        </w:rPr>
        <w:t xml:space="preserve">onference on </w:t>
      </w:r>
      <w:r w:rsidR="001E6177" w:rsidRPr="009B0448">
        <w:rPr>
          <w:rFonts w:ascii="Times New Roman" w:eastAsia="Times New Roman" w:hAnsi="Times New Roman" w:cs="Times New Roman"/>
          <w:i/>
          <w:color w:val="00000A"/>
        </w:rPr>
        <w:t>w</w:t>
      </w:r>
      <w:r w:rsidRPr="009B0448">
        <w:rPr>
          <w:rFonts w:ascii="Times New Roman" w:eastAsia="Times New Roman" w:hAnsi="Times New Roman" w:cs="Times New Roman"/>
          <w:i/>
          <w:color w:val="00000A"/>
        </w:rPr>
        <w:t>ater</w:t>
      </w:r>
      <w:r w:rsidRPr="009B0448">
        <w:rPr>
          <w:rFonts w:ascii="Times New Roman" w:eastAsia="Times New Roman" w:hAnsi="Times New Roman" w:cs="Times New Roman"/>
          <w:color w:val="00000A"/>
        </w:rPr>
        <w:t xml:space="preserve"> (PANAFCON). Presented in Addis Ababa, 8–13 December 2003. Retrieved from </w:t>
      </w:r>
      <w:hyperlink r:id="rId356" w:history="1">
        <w:r w:rsidRPr="009B0448">
          <w:rPr>
            <w:rStyle w:val="Hyperlink"/>
            <w:rFonts w:ascii="Times New Roman" w:eastAsia="Times New Roman" w:hAnsi="Times New Roman" w:cs="Times New Roman"/>
          </w:rPr>
          <w:t>http://www.uneca.org/eca_resources/publications/sdd/ panafcon%20outcomes.pdf</w:t>
        </w:r>
      </w:hyperlink>
    </w:p>
    <w:p w14:paraId="3FEB90D7" w14:textId="718B33A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lang w:val="de-DE"/>
        </w:rPr>
        <w:t xml:space="preserve">van Wilgen, B. W., &amp; Lange, W. J. D. (2011). </w:t>
      </w:r>
      <w:r w:rsidRPr="009B0448">
        <w:rPr>
          <w:rFonts w:ascii="Times New Roman" w:eastAsia="Times New Roman" w:hAnsi="Times New Roman" w:cs="Times New Roman"/>
          <w:color w:val="00000A"/>
        </w:rPr>
        <w:t xml:space="preserve">The </w:t>
      </w:r>
      <w:r w:rsidR="001E6177" w:rsidRPr="009B0448">
        <w:rPr>
          <w:rFonts w:ascii="Times New Roman" w:eastAsia="Times New Roman" w:hAnsi="Times New Roman" w:cs="Times New Roman"/>
          <w:color w:val="00000A"/>
        </w:rPr>
        <w:t>costs and benefits of biological control of invasive alien plant</w:t>
      </w:r>
      <w:r w:rsidRPr="009B0448">
        <w:rPr>
          <w:rFonts w:ascii="Times New Roman" w:eastAsia="Times New Roman" w:hAnsi="Times New Roman" w:cs="Times New Roman"/>
          <w:color w:val="00000A"/>
        </w:rPr>
        <w:t>s in South Africa.</w:t>
      </w:r>
      <w:r w:rsidR="001E6177" w:rsidRPr="009B0448">
        <w:rPr>
          <w:rFonts w:ascii="Times New Roman" w:eastAsia="Times New Roman" w:hAnsi="Times New Roman" w:cs="Times New Roman"/>
          <w:color w:val="00000A"/>
        </w:rPr>
        <w:t xml:space="preserve"> </w:t>
      </w:r>
      <w:r w:rsidRPr="009B0448">
        <w:rPr>
          <w:rFonts w:ascii="Times New Roman" w:eastAsia="Times New Roman" w:hAnsi="Times New Roman" w:cs="Times New Roman"/>
          <w:i/>
          <w:color w:val="00000A"/>
        </w:rPr>
        <w:t>African Entomology, 19</w:t>
      </w:r>
      <w:r w:rsidRPr="009B0448">
        <w:rPr>
          <w:rFonts w:ascii="Times New Roman" w:eastAsia="Times New Roman" w:hAnsi="Times New Roman" w:cs="Times New Roman"/>
          <w:color w:val="00000A"/>
        </w:rPr>
        <w:t xml:space="preserve">, 504–514. </w:t>
      </w:r>
      <w:hyperlink r:id="rId357" w:history="1">
        <w:r w:rsidRPr="009B0448">
          <w:rPr>
            <w:rStyle w:val="Hyperlink"/>
            <w:rFonts w:ascii="Times New Roman" w:eastAsia="Times New Roman" w:hAnsi="Times New Roman" w:cs="Times New Roman"/>
          </w:rPr>
          <w:t>https://doi.org/10.4001/003.019.0228</w:t>
        </w:r>
      </w:hyperlink>
    </w:p>
    <w:p w14:paraId="4B204E76"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van Wilgen, B. W., Davies, S. J., &amp; Richardson, D. M. (2014). Invasion science for society: A decade of contributions from the Centre for Invasion Biology. </w:t>
      </w:r>
      <w:r w:rsidRPr="009B0448">
        <w:rPr>
          <w:rFonts w:ascii="Times New Roman" w:eastAsia="Times New Roman" w:hAnsi="Times New Roman" w:cs="Times New Roman"/>
          <w:i/>
          <w:color w:val="00000A"/>
        </w:rPr>
        <w:t>South African Journal of Science</w:t>
      </w:r>
      <w:r w:rsidRPr="00552EA7">
        <w:rPr>
          <w:rFonts w:ascii="Times New Roman" w:eastAsia="Times New Roman" w:hAnsi="Times New Roman" w:cs="Times New Roman"/>
          <w:i/>
          <w:color w:val="00000A"/>
        </w:rPr>
        <w:t>, 110</w:t>
      </w:r>
      <w:r w:rsidRPr="009B0448">
        <w:rPr>
          <w:rFonts w:ascii="Times New Roman" w:eastAsia="Times New Roman" w:hAnsi="Times New Roman" w:cs="Times New Roman"/>
          <w:color w:val="00000A"/>
        </w:rPr>
        <w:t xml:space="preserve">(7/8), 1–12. </w:t>
      </w:r>
      <w:hyperlink r:id="rId358" w:history="1">
        <w:r w:rsidRPr="009B0448">
          <w:rPr>
            <w:rStyle w:val="Hyperlink"/>
            <w:rFonts w:ascii="Times New Roman" w:eastAsia="Times New Roman" w:hAnsi="Times New Roman" w:cs="Times New Roman"/>
          </w:rPr>
          <w:t>https://doi.org/10.1590/sajs.2014/a0074</w:t>
        </w:r>
      </w:hyperlink>
    </w:p>
    <w:p w14:paraId="316EF436" w14:textId="2C12028A"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van Wyk, E., &amp; van Wilgen, B. W. (2002). The cost of water hyacinth control in South Africa: </w:t>
      </w:r>
      <w:r w:rsidR="001E6177" w:rsidRPr="009B0448">
        <w:rPr>
          <w:rFonts w:ascii="Times New Roman" w:eastAsia="Times New Roman" w:hAnsi="Times New Roman" w:cs="Times New Roman"/>
          <w:color w:val="00000A"/>
        </w:rPr>
        <w:t>A</w:t>
      </w:r>
      <w:r w:rsidRPr="009B0448">
        <w:rPr>
          <w:rFonts w:ascii="Times New Roman" w:eastAsia="Times New Roman" w:hAnsi="Times New Roman" w:cs="Times New Roman"/>
          <w:color w:val="00000A"/>
        </w:rPr>
        <w:t xml:space="preserve"> case study of three options. </w:t>
      </w:r>
      <w:r w:rsidRPr="009B0448">
        <w:rPr>
          <w:rFonts w:ascii="Times New Roman" w:eastAsia="Times New Roman" w:hAnsi="Times New Roman" w:cs="Times New Roman"/>
          <w:i/>
          <w:color w:val="00000A"/>
        </w:rPr>
        <w:t>African Journal of Aquatic Science, 27</w:t>
      </w:r>
      <w:r w:rsidRPr="009B0448">
        <w:rPr>
          <w:rFonts w:ascii="Times New Roman" w:eastAsia="Times New Roman" w:hAnsi="Times New Roman" w:cs="Times New Roman"/>
          <w:color w:val="00000A"/>
        </w:rPr>
        <w:t xml:space="preserve">(2), 141–149. </w:t>
      </w:r>
      <w:hyperlink r:id="rId359" w:history="1">
        <w:r w:rsidRPr="009B0448">
          <w:rPr>
            <w:rStyle w:val="Hyperlink"/>
            <w:rFonts w:ascii="Times New Roman" w:eastAsia="Times New Roman" w:hAnsi="Times New Roman" w:cs="Times New Roman"/>
          </w:rPr>
          <w:t>https://doi.org/10.2989/16085914.2002.9626585</w:t>
        </w:r>
      </w:hyperlink>
    </w:p>
    <w:p w14:paraId="089B9250" w14:textId="60460236"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Villamagna, A. M., &amp; Murphy, B. R. (2010). Ecological and socio-economic impacts of invasive water hy</w:t>
      </w:r>
      <w:r w:rsidR="001E6177" w:rsidRPr="009B0448">
        <w:rPr>
          <w:rFonts w:ascii="Times New Roman" w:eastAsia="Times New Roman" w:hAnsi="Times New Roman" w:cs="Times New Roman"/>
          <w:color w:val="00000A"/>
        </w:rPr>
        <w:t>acinth (</w:t>
      </w:r>
      <w:r w:rsidR="001E6177" w:rsidRPr="00552EA7">
        <w:rPr>
          <w:rFonts w:ascii="Times New Roman" w:eastAsia="Times New Roman" w:hAnsi="Times New Roman" w:cs="Times New Roman"/>
          <w:i/>
          <w:color w:val="00000A"/>
        </w:rPr>
        <w:t>Eichhornia crassipes</w:t>
      </w:r>
      <w:r w:rsidR="001E6177" w:rsidRPr="009B0448">
        <w:rPr>
          <w:rFonts w:ascii="Times New Roman" w:eastAsia="Times New Roman" w:hAnsi="Times New Roman" w:cs="Times New Roman"/>
          <w:color w:val="00000A"/>
        </w:rPr>
        <w:t>): A</w:t>
      </w:r>
      <w:r w:rsidRPr="009B0448">
        <w:rPr>
          <w:rFonts w:ascii="Times New Roman" w:eastAsia="Times New Roman" w:hAnsi="Times New Roman" w:cs="Times New Roman"/>
          <w:color w:val="00000A"/>
        </w:rPr>
        <w:t xml:space="preserve"> review. </w:t>
      </w:r>
      <w:r w:rsidRPr="009B0448">
        <w:rPr>
          <w:rFonts w:ascii="Times New Roman" w:eastAsia="Times New Roman" w:hAnsi="Times New Roman" w:cs="Times New Roman"/>
          <w:i/>
          <w:color w:val="00000A"/>
        </w:rPr>
        <w:t>Freshwater Biology, 55</w:t>
      </w:r>
      <w:r w:rsidRPr="009B0448">
        <w:rPr>
          <w:rFonts w:ascii="Times New Roman" w:eastAsia="Times New Roman" w:hAnsi="Times New Roman" w:cs="Times New Roman"/>
          <w:color w:val="00000A"/>
        </w:rPr>
        <w:t xml:space="preserve">(2), 282–298. </w:t>
      </w:r>
      <w:hyperlink r:id="rId360" w:history="1">
        <w:r w:rsidRPr="009B0448">
          <w:rPr>
            <w:rStyle w:val="Hyperlink"/>
            <w:rFonts w:ascii="Times New Roman" w:eastAsia="Times New Roman" w:hAnsi="Times New Roman" w:cs="Times New Roman"/>
          </w:rPr>
          <w:t>https://doi.org/10.1111/j.1365-2427.2009.02294.x</w:t>
        </w:r>
      </w:hyperlink>
    </w:p>
    <w:p w14:paraId="5348C09B" w14:textId="78CFC142"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Vogt, J. V., Safriel, U., Von Maltitz, G., Sokona, Y., Zougmore, R., Bastin, G., &amp; Hill, J. (2011). Monitoring and assessment of land degradation and desertification: Towards new conceptual and integrated approaches. </w:t>
      </w:r>
      <w:r w:rsidRPr="009B0448">
        <w:rPr>
          <w:rFonts w:ascii="Times New Roman" w:eastAsia="Times New Roman" w:hAnsi="Times New Roman" w:cs="Times New Roman"/>
          <w:i/>
          <w:color w:val="00000A"/>
        </w:rPr>
        <w:t>Land Degradation &amp; Development, 22</w:t>
      </w:r>
      <w:r w:rsidRPr="009B0448">
        <w:rPr>
          <w:rFonts w:ascii="Times New Roman" w:eastAsia="Times New Roman" w:hAnsi="Times New Roman" w:cs="Times New Roman"/>
          <w:color w:val="00000A"/>
        </w:rPr>
        <w:t xml:space="preserve">(2), 150–165. </w:t>
      </w:r>
      <w:hyperlink r:id="rId361" w:history="1">
        <w:r w:rsidRPr="009B0448">
          <w:rPr>
            <w:rStyle w:val="Hyperlink"/>
            <w:rFonts w:ascii="Times New Roman" w:eastAsia="Times New Roman" w:hAnsi="Times New Roman" w:cs="Times New Roman"/>
          </w:rPr>
          <w:t>https://doi.org/10.1002/ldr.1075</w:t>
        </w:r>
      </w:hyperlink>
    </w:p>
    <w:p w14:paraId="2911E755" w14:textId="11CCEB00"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Vu, Q. M., Le, Q. B., &amp; Vlek, P. L. G. (2014). Hotspots of human-induced biomass produc</w:t>
      </w:r>
      <w:r w:rsidR="001E6177" w:rsidRPr="009B0448">
        <w:rPr>
          <w:rFonts w:ascii="Times New Roman" w:eastAsia="Times New Roman" w:hAnsi="Times New Roman" w:cs="Times New Roman"/>
          <w:color w:val="00000A"/>
        </w:rPr>
        <w:t>tivity decline and their social-</w:t>
      </w:r>
      <w:r w:rsidRPr="009B0448">
        <w:rPr>
          <w:rFonts w:ascii="Times New Roman" w:eastAsia="Times New Roman" w:hAnsi="Times New Roman" w:cs="Times New Roman"/>
          <w:color w:val="00000A"/>
        </w:rPr>
        <w:t xml:space="preserve">ecological types toward supporting national policy and local studies on </w:t>
      </w:r>
      <w:r w:rsidRPr="009B0448">
        <w:rPr>
          <w:rFonts w:ascii="Times New Roman" w:eastAsia="Times New Roman" w:hAnsi="Times New Roman" w:cs="Times New Roman"/>
          <w:color w:val="00000A"/>
        </w:rPr>
        <w:lastRenderedPageBreak/>
        <w:t xml:space="preserve">combating land degradation. </w:t>
      </w:r>
      <w:r w:rsidRPr="009B0448">
        <w:rPr>
          <w:rFonts w:ascii="Times New Roman" w:eastAsia="Times New Roman" w:hAnsi="Times New Roman" w:cs="Times New Roman"/>
          <w:i/>
          <w:color w:val="00000A"/>
        </w:rPr>
        <w:t>Global and Planetary Change, 121</w:t>
      </w:r>
      <w:r w:rsidRPr="009B0448">
        <w:rPr>
          <w:rFonts w:ascii="Times New Roman" w:eastAsia="Times New Roman" w:hAnsi="Times New Roman" w:cs="Times New Roman"/>
          <w:color w:val="00000A"/>
        </w:rPr>
        <w:t xml:space="preserve">, 64–77. </w:t>
      </w:r>
      <w:hyperlink r:id="rId362" w:history="1">
        <w:r w:rsidRPr="009B0448">
          <w:rPr>
            <w:rStyle w:val="Hyperlink"/>
            <w:rFonts w:ascii="Times New Roman" w:eastAsia="Times New Roman" w:hAnsi="Times New Roman" w:cs="Times New Roman"/>
          </w:rPr>
          <w:t>https://doi.org/10.1016/j.gloplacha.2014.07.007</w:t>
        </w:r>
      </w:hyperlink>
    </w:p>
    <w:p w14:paraId="2EE4665F" w14:textId="7D6007C2"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Ward, C. D., &amp; Shackleton, C. M. (2016). Natural resource use, incomes, and poverty along the Rural–urban continuum of two medium-sized, South African towns. </w:t>
      </w:r>
      <w:r w:rsidRPr="009B0448">
        <w:rPr>
          <w:rFonts w:ascii="Times New Roman" w:eastAsia="Times New Roman" w:hAnsi="Times New Roman" w:cs="Times New Roman"/>
          <w:i/>
          <w:color w:val="00000A"/>
        </w:rPr>
        <w:t>World Development, 78</w:t>
      </w:r>
      <w:r w:rsidRPr="009B0448">
        <w:rPr>
          <w:rFonts w:ascii="Times New Roman" w:eastAsia="Times New Roman" w:hAnsi="Times New Roman" w:cs="Times New Roman"/>
          <w:color w:val="00000A"/>
        </w:rPr>
        <w:t xml:space="preserve">, 80–93. </w:t>
      </w:r>
      <w:hyperlink r:id="rId363" w:history="1">
        <w:r w:rsidRPr="009B0448">
          <w:rPr>
            <w:rStyle w:val="Hyperlink"/>
            <w:rFonts w:ascii="Times New Roman" w:eastAsia="Times New Roman" w:hAnsi="Times New Roman" w:cs="Times New Roman"/>
          </w:rPr>
          <w:t>https://doi.org/10.1016/j.worlddev.2015.10.025</w:t>
        </w:r>
      </w:hyperlink>
    </w:p>
    <w:p w14:paraId="0B3810B9" w14:textId="6816967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Watson, F. G. R., Becker, M. S., Milanzi, J., &amp; Nyirenda, M. (2014). Human encroachment into protected area networks in Zambia: implications for large carnivore conservation. </w:t>
      </w:r>
      <w:r w:rsidRPr="009B0448">
        <w:rPr>
          <w:rFonts w:ascii="Times New Roman" w:eastAsia="Times New Roman" w:hAnsi="Times New Roman" w:cs="Times New Roman"/>
          <w:i/>
          <w:color w:val="00000A"/>
        </w:rPr>
        <w:t>Regional Environmental Change, 15</w:t>
      </w:r>
      <w:r w:rsidRPr="009B0448">
        <w:rPr>
          <w:rFonts w:ascii="Times New Roman" w:eastAsia="Times New Roman" w:hAnsi="Times New Roman" w:cs="Times New Roman"/>
          <w:color w:val="00000A"/>
        </w:rPr>
        <w:t xml:space="preserve">(2), 415–429. </w:t>
      </w:r>
      <w:hyperlink r:id="rId364" w:history="1">
        <w:r w:rsidRPr="009B0448">
          <w:rPr>
            <w:rStyle w:val="Hyperlink"/>
            <w:rFonts w:ascii="Times New Roman" w:eastAsia="Times New Roman" w:hAnsi="Times New Roman" w:cs="Times New Roman"/>
          </w:rPr>
          <w:t>https://doi.org/10.1007/s10113-014-0629-5</w:t>
        </w:r>
      </w:hyperlink>
    </w:p>
    <w:p w14:paraId="00E64441" w14:textId="7EC05648" w:rsidR="001A3B0A" w:rsidRPr="009B0448" w:rsidRDefault="001A3B0A" w:rsidP="0033312D">
      <w:pPr>
        <w:spacing w:after="120" w:line="276" w:lineRule="auto"/>
        <w:ind w:left="567" w:hanging="567"/>
        <w:rPr>
          <w:rFonts w:ascii="Times New Roman" w:eastAsia="Times New Roman" w:hAnsi="Times New Roman" w:cs="Times New Roman"/>
          <w:color w:val="00000A"/>
          <w:lang w:val="de-DE"/>
        </w:rPr>
      </w:pPr>
      <w:r w:rsidRPr="009B0448">
        <w:rPr>
          <w:rFonts w:ascii="Times New Roman" w:eastAsia="Times New Roman" w:hAnsi="Times New Roman" w:cs="Times New Roman"/>
          <w:color w:val="00000A"/>
        </w:rPr>
        <w:t xml:space="preserve">WCPA. (2003). </w:t>
      </w:r>
      <w:r w:rsidRPr="009B0448">
        <w:rPr>
          <w:rFonts w:ascii="Times New Roman" w:eastAsia="Times New Roman" w:hAnsi="Times New Roman" w:cs="Times New Roman"/>
          <w:i/>
          <w:color w:val="00000A"/>
        </w:rPr>
        <w:t>Towards a strategy for hig</w:t>
      </w:r>
      <w:r w:rsidR="001E6177" w:rsidRPr="009B0448">
        <w:rPr>
          <w:rFonts w:ascii="Times New Roman" w:eastAsia="Times New Roman" w:hAnsi="Times New Roman" w:cs="Times New Roman"/>
          <w:i/>
          <w:color w:val="00000A"/>
        </w:rPr>
        <w:t>h seas marine protected areas: P</w:t>
      </w:r>
      <w:r w:rsidRPr="009B0448">
        <w:rPr>
          <w:rFonts w:ascii="Times New Roman" w:eastAsia="Times New Roman" w:hAnsi="Times New Roman" w:cs="Times New Roman"/>
          <w:i/>
          <w:color w:val="00000A"/>
        </w:rPr>
        <w:t>roceedings of the IUCN, WCPA and WWF Experts Workshop on High Seas Marine Protected Areas, Malaga, Spain.</w:t>
      </w:r>
      <w:r w:rsidRPr="009B0448">
        <w:rPr>
          <w:rFonts w:ascii="Times New Roman" w:eastAsia="Times New Roman" w:hAnsi="Times New Roman" w:cs="Times New Roman"/>
          <w:color w:val="00000A"/>
        </w:rPr>
        <w:t xml:space="preserve"> </w:t>
      </w:r>
      <w:r w:rsidR="001E6177" w:rsidRPr="009B0448">
        <w:rPr>
          <w:rFonts w:ascii="Times New Roman" w:eastAsia="Times New Roman" w:hAnsi="Times New Roman" w:cs="Times New Roman"/>
          <w:color w:val="00000A"/>
          <w:lang w:val="de-DE"/>
        </w:rPr>
        <w:t>K. M. Gjerde &amp; C. Breide</w:t>
      </w:r>
      <w:r w:rsidRPr="009B0448">
        <w:rPr>
          <w:rFonts w:ascii="Times New Roman" w:eastAsia="Times New Roman" w:hAnsi="Times New Roman" w:cs="Times New Roman"/>
          <w:color w:val="00000A"/>
          <w:lang w:val="de-DE"/>
        </w:rPr>
        <w:t xml:space="preserve"> </w:t>
      </w:r>
      <w:r w:rsidR="001E6177" w:rsidRPr="009B0448">
        <w:rPr>
          <w:rFonts w:ascii="Times New Roman" w:eastAsia="Times New Roman" w:hAnsi="Times New Roman" w:cs="Times New Roman"/>
          <w:color w:val="00000A"/>
          <w:lang w:val="de-DE"/>
        </w:rPr>
        <w:t>(</w:t>
      </w:r>
      <w:r w:rsidRPr="009B0448">
        <w:rPr>
          <w:rFonts w:ascii="Times New Roman" w:eastAsia="Times New Roman" w:hAnsi="Times New Roman" w:cs="Times New Roman"/>
          <w:color w:val="00000A"/>
          <w:lang w:val="de-DE"/>
        </w:rPr>
        <w:t>Eds.). Gland, Switzerland: IUCN.</w:t>
      </w:r>
      <w:r w:rsidR="001E6177" w:rsidRPr="009B0448">
        <w:rPr>
          <w:rFonts w:ascii="Times New Roman" w:eastAsia="Times New Roman" w:hAnsi="Times New Roman" w:cs="Times New Roman"/>
          <w:color w:val="00000A"/>
          <w:lang w:val="de-DE"/>
        </w:rPr>
        <w:t xml:space="preserve"> </w:t>
      </w:r>
      <w:r w:rsidR="00C34968" w:rsidRPr="009B0448">
        <w:rPr>
          <w:rFonts w:ascii="Times New Roman" w:eastAsia="Times New Roman" w:hAnsi="Times New Roman" w:cs="Times New Roman"/>
          <w:color w:val="00000A"/>
          <w:lang w:val="de-DE"/>
        </w:rPr>
        <w:t xml:space="preserve">Retrieved from </w:t>
      </w:r>
      <w:hyperlink r:id="rId365" w:history="1">
        <w:r w:rsidR="00C34968" w:rsidRPr="009B0448">
          <w:rPr>
            <w:rStyle w:val="Hyperlink"/>
            <w:rFonts w:ascii="Times New Roman" w:eastAsia="Times New Roman" w:hAnsi="Times New Roman" w:cs="Times New Roman"/>
            <w:lang w:val="de-DE"/>
          </w:rPr>
          <w:t>https://www.iucn.org/sites/dev/files/import/downloads/proceedingsgjerde.pdf</w:t>
        </w:r>
      </w:hyperlink>
    </w:p>
    <w:p w14:paraId="1CD52A30" w14:textId="3706F83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WEC. (2005). </w:t>
      </w:r>
      <w:r w:rsidRPr="009B0448">
        <w:rPr>
          <w:rFonts w:ascii="Times New Roman" w:eastAsia="Times New Roman" w:hAnsi="Times New Roman" w:cs="Times New Roman"/>
          <w:i/>
          <w:color w:val="00000A"/>
        </w:rPr>
        <w:t xml:space="preserve">Regional </w:t>
      </w:r>
      <w:r w:rsidR="00C34968" w:rsidRPr="009B0448">
        <w:rPr>
          <w:rFonts w:ascii="Times New Roman" w:eastAsia="Times New Roman" w:hAnsi="Times New Roman" w:cs="Times New Roman"/>
          <w:i/>
          <w:color w:val="00000A"/>
        </w:rPr>
        <w:t>energy integration in Africa</w:t>
      </w:r>
      <w:r w:rsidRPr="009B0448">
        <w:rPr>
          <w:rFonts w:ascii="Times New Roman" w:eastAsia="Times New Roman" w:hAnsi="Times New Roman" w:cs="Times New Roman"/>
          <w:i/>
          <w:color w:val="00000A"/>
        </w:rPr>
        <w:t>.</w:t>
      </w:r>
      <w:r w:rsidRPr="009B0448">
        <w:rPr>
          <w:rFonts w:ascii="Times New Roman" w:eastAsia="Times New Roman" w:hAnsi="Times New Roman" w:cs="Times New Roman"/>
          <w:color w:val="00000A"/>
        </w:rPr>
        <w:t xml:space="preserve"> World Energy Council. Retrieved from </w:t>
      </w:r>
      <w:hyperlink r:id="rId366" w:history="1">
        <w:r w:rsidRPr="009B0448">
          <w:rPr>
            <w:rStyle w:val="Hyperlink"/>
            <w:rFonts w:ascii="Times New Roman" w:eastAsia="Times New Roman" w:hAnsi="Times New Roman" w:cs="Times New Roman"/>
          </w:rPr>
          <w:t>https://www.worldenergy.org/publications/2005/regional-energy-integration-in-africa/</w:t>
        </w:r>
      </w:hyperlink>
    </w:p>
    <w:p w14:paraId="38C02C3C" w14:textId="216DDDF4"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Wezel, A., &amp; Haigis, J. (2000). Farmers’ perception of vegetation changes in semi-arid Niger. </w:t>
      </w:r>
      <w:r w:rsidRPr="009B0448">
        <w:rPr>
          <w:rFonts w:ascii="Times New Roman" w:eastAsia="Times New Roman" w:hAnsi="Times New Roman" w:cs="Times New Roman"/>
          <w:i/>
          <w:color w:val="00000A"/>
        </w:rPr>
        <w:t>Land Degradation &amp; Development, 11</w:t>
      </w:r>
      <w:r w:rsidRPr="009B0448">
        <w:rPr>
          <w:rFonts w:ascii="Times New Roman" w:eastAsia="Times New Roman" w:hAnsi="Times New Roman" w:cs="Times New Roman"/>
          <w:color w:val="00000A"/>
        </w:rPr>
        <w:t xml:space="preserve">(6), 523–534. </w:t>
      </w:r>
      <w:hyperlink r:id="rId367" w:history="1">
        <w:r w:rsidRPr="009B0448">
          <w:rPr>
            <w:rStyle w:val="Hyperlink"/>
            <w:rFonts w:ascii="Times New Roman" w:eastAsia="Times New Roman" w:hAnsi="Times New Roman" w:cs="Times New Roman"/>
          </w:rPr>
          <w:t>https://doi.org/10.1002/1099-145X(200011/12)11:6&lt;523::AID-LDR411&gt;3.0.CO;2-V</w:t>
        </w:r>
      </w:hyperlink>
    </w:p>
    <w:p w14:paraId="3F6DD300" w14:textId="2D42B744"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Whitmee, S., Haines, A., Beyrer, C., Boltz, F., Capon, A. G., de Souza Dias, B. F</w:t>
      </w:r>
      <w:r w:rsidR="00892335">
        <w:rPr>
          <w:rFonts w:ascii="Times New Roman" w:eastAsia="Times New Roman" w:hAnsi="Times New Roman" w:cs="Times New Roman"/>
          <w:color w:val="00000A"/>
        </w:rPr>
        <w:t xml:space="preserve">., </w:t>
      </w:r>
      <w:r w:rsidR="00892335" w:rsidRPr="00892335">
        <w:rPr>
          <w:rFonts w:ascii="Times New Roman" w:eastAsia="Times New Roman" w:hAnsi="Times New Roman" w:cs="Times New Roman"/>
          <w:color w:val="00000A"/>
        </w:rPr>
        <w:t>Ezeh, A., Frumkin, H., Gong, P., Head, P., Horton, R., Mace G. M., Marten R., Myers, S. S., Nishtar S., Osofsky, S. A., Pattanayak, S. K., Pongsiri, M. J., Romanelli, C., Soucat, A., Vega, J.,</w:t>
      </w:r>
      <w:r w:rsidR="00892335">
        <w:rPr>
          <w:rFonts w:ascii="Times New Roman" w:eastAsia="Times New Roman" w:hAnsi="Times New Roman" w:cs="Times New Roman"/>
          <w:color w:val="00000A"/>
        </w:rPr>
        <w:t xml:space="preserve"> &amp; </w:t>
      </w:r>
      <w:r w:rsidRPr="009B0448">
        <w:rPr>
          <w:rFonts w:ascii="Times New Roman" w:eastAsia="Times New Roman" w:hAnsi="Times New Roman" w:cs="Times New Roman"/>
          <w:color w:val="00000A"/>
        </w:rPr>
        <w:t xml:space="preserve">Yach, D. (2015). Safeguarding human health in the Anthropocene epoch: report of The Rockefeller Foundation–Lancet Commission on planetary health. </w:t>
      </w:r>
      <w:r w:rsidRPr="009B0448">
        <w:rPr>
          <w:rFonts w:ascii="Times New Roman" w:eastAsia="Times New Roman" w:hAnsi="Times New Roman" w:cs="Times New Roman"/>
          <w:i/>
          <w:color w:val="00000A"/>
        </w:rPr>
        <w:t>The Lancet, 386</w:t>
      </w:r>
      <w:r w:rsidRPr="009B0448">
        <w:rPr>
          <w:rFonts w:ascii="Times New Roman" w:eastAsia="Times New Roman" w:hAnsi="Times New Roman" w:cs="Times New Roman"/>
          <w:color w:val="00000A"/>
        </w:rPr>
        <w:t xml:space="preserve">(10007), 1973–2028. </w:t>
      </w:r>
      <w:hyperlink r:id="rId368" w:history="1">
        <w:r w:rsidR="00892335" w:rsidRPr="004059F1">
          <w:rPr>
            <w:rStyle w:val="Hyperlink"/>
            <w:rFonts w:ascii="Times New Roman" w:eastAsia="Times New Roman" w:hAnsi="Times New Roman" w:cs="Times New Roman"/>
          </w:rPr>
          <w:t>https://doi.org/10.1016/S0140-6736(15)60901-1</w:t>
        </w:r>
      </w:hyperlink>
    </w:p>
    <w:p w14:paraId="73447705" w14:textId="714168A2" w:rsidR="001A3B0A" w:rsidRPr="009B0448" w:rsidRDefault="00892335" w:rsidP="0033312D">
      <w:pPr>
        <w:spacing w:after="120" w:line="276" w:lineRule="auto"/>
        <w:ind w:left="567" w:hanging="567"/>
        <w:rPr>
          <w:rFonts w:ascii="Times New Roman" w:eastAsia="Times New Roman" w:hAnsi="Times New Roman" w:cs="Times New Roman"/>
          <w:color w:val="00000A"/>
        </w:rPr>
      </w:pPr>
      <w:r>
        <w:rPr>
          <w:rFonts w:ascii="Times New Roman" w:eastAsia="Times New Roman" w:hAnsi="Times New Roman" w:cs="Times New Roman"/>
          <w:color w:val="00000A"/>
        </w:rPr>
        <w:t xml:space="preserve">WHO. (2007). </w:t>
      </w:r>
      <w:r w:rsidRPr="00892335">
        <w:rPr>
          <w:rFonts w:ascii="Times New Roman" w:eastAsia="Times New Roman" w:hAnsi="Times New Roman" w:cs="Times New Roman"/>
          <w:i/>
          <w:color w:val="00000A"/>
        </w:rPr>
        <w:t>A safer future: g</w:t>
      </w:r>
      <w:r w:rsidR="001A3B0A" w:rsidRPr="00892335">
        <w:rPr>
          <w:rFonts w:ascii="Times New Roman" w:eastAsia="Times New Roman" w:hAnsi="Times New Roman" w:cs="Times New Roman"/>
          <w:i/>
          <w:color w:val="00000A"/>
        </w:rPr>
        <w:t>lobal public health security in the 21st century</w:t>
      </w:r>
      <w:r w:rsidR="001A3B0A" w:rsidRPr="009B0448">
        <w:rPr>
          <w:rFonts w:ascii="Times New Roman" w:eastAsia="Times New Roman" w:hAnsi="Times New Roman" w:cs="Times New Roman"/>
          <w:color w:val="00000A"/>
        </w:rPr>
        <w:t xml:space="preserve">. </w:t>
      </w:r>
      <w:r w:rsidRPr="00892335">
        <w:rPr>
          <w:rFonts w:ascii="Times New Roman" w:eastAsia="Times New Roman" w:hAnsi="Times New Roman" w:cs="Times New Roman"/>
          <w:color w:val="00000A"/>
        </w:rPr>
        <w:t>Geneva, Switzerland</w:t>
      </w:r>
      <w:r>
        <w:rPr>
          <w:rFonts w:ascii="Times New Roman" w:eastAsia="Times New Roman" w:hAnsi="Times New Roman" w:cs="Times New Roman"/>
          <w:color w:val="00000A"/>
        </w:rPr>
        <w:t xml:space="preserve">: </w:t>
      </w:r>
      <w:r w:rsidR="001A3B0A" w:rsidRPr="009B0448">
        <w:rPr>
          <w:rFonts w:ascii="Times New Roman" w:eastAsia="Times New Roman" w:hAnsi="Times New Roman" w:cs="Times New Roman"/>
          <w:color w:val="00000A"/>
        </w:rPr>
        <w:t xml:space="preserve">World Health Organization. Retrieved from </w:t>
      </w:r>
      <w:hyperlink r:id="rId369" w:history="1">
        <w:r w:rsidR="001A3B0A" w:rsidRPr="009B0448">
          <w:rPr>
            <w:rStyle w:val="Hyperlink"/>
            <w:rFonts w:ascii="Times New Roman" w:eastAsia="Times New Roman" w:hAnsi="Times New Roman" w:cs="Times New Roman"/>
          </w:rPr>
          <w:t>http://www.who.int/whr/2007/en/</w:t>
        </w:r>
      </w:hyperlink>
    </w:p>
    <w:p w14:paraId="2496FAB9" w14:textId="49FC4F3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WHO. (2014). </w:t>
      </w:r>
      <w:r w:rsidRPr="00892335">
        <w:rPr>
          <w:rFonts w:ascii="Times New Roman" w:eastAsia="Times New Roman" w:hAnsi="Times New Roman" w:cs="Times New Roman"/>
          <w:i/>
          <w:color w:val="00000A"/>
        </w:rPr>
        <w:t>Quantitative risk assessment of the effects of climate change on selected causes of death, 2030s and 2050s</w:t>
      </w:r>
      <w:r w:rsidRPr="009B0448">
        <w:rPr>
          <w:rFonts w:ascii="Times New Roman" w:eastAsia="Times New Roman" w:hAnsi="Times New Roman" w:cs="Times New Roman"/>
          <w:color w:val="00000A"/>
        </w:rPr>
        <w:t xml:space="preserve">. </w:t>
      </w:r>
      <w:r w:rsidR="00892335" w:rsidRPr="00892335">
        <w:rPr>
          <w:rFonts w:ascii="Times New Roman" w:eastAsia="Times New Roman" w:hAnsi="Times New Roman" w:cs="Times New Roman"/>
          <w:color w:val="00000A"/>
        </w:rPr>
        <w:t>Geneva, Switzerland</w:t>
      </w:r>
      <w:r w:rsidR="00892335">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 xml:space="preserve">World Health Organization. Retrieved from </w:t>
      </w:r>
      <w:hyperlink r:id="rId370" w:history="1">
        <w:r w:rsidRPr="009B0448">
          <w:rPr>
            <w:rStyle w:val="Hyperlink"/>
            <w:rFonts w:ascii="Times New Roman" w:eastAsia="Times New Roman" w:hAnsi="Times New Roman" w:cs="Times New Roman"/>
          </w:rPr>
          <w:t>http://www.who.int/globalchange/publications/quantitative-risk-assessment/en/</w:t>
        </w:r>
      </w:hyperlink>
    </w:p>
    <w:p w14:paraId="4F1D4114" w14:textId="21989644"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WHO. (2016). </w:t>
      </w:r>
      <w:r w:rsidRPr="00892335">
        <w:rPr>
          <w:rFonts w:ascii="Times New Roman" w:eastAsia="Times New Roman" w:hAnsi="Times New Roman" w:cs="Times New Roman"/>
          <w:i/>
          <w:color w:val="00000A"/>
        </w:rPr>
        <w:t>Global Health Observatory (GHO) data. Number of malaria cases</w:t>
      </w:r>
      <w:r w:rsidRPr="009B0448">
        <w:rPr>
          <w:rFonts w:ascii="Times New Roman" w:eastAsia="Times New Roman" w:hAnsi="Times New Roman" w:cs="Times New Roman"/>
          <w:color w:val="00000A"/>
        </w:rPr>
        <w:t xml:space="preserve">. </w:t>
      </w:r>
      <w:r w:rsidR="00892335" w:rsidRPr="00892335">
        <w:rPr>
          <w:rFonts w:ascii="Times New Roman" w:eastAsia="Times New Roman" w:hAnsi="Times New Roman" w:cs="Times New Roman"/>
          <w:color w:val="00000A"/>
        </w:rPr>
        <w:t>Geneva, Switzerland</w:t>
      </w:r>
      <w:r w:rsidR="00892335">
        <w:rPr>
          <w:rFonts w:ascii="Times New Roman" w:eastAsia="Times New Roman" w:hAnsi="Times New Roman" w:cs="Times New Roman"/>
          <w:color w:val="00000A"/>
        </w:rPr>
        <w:t xml:space="preserve">: </w:t>
      </w:r>
      <w:r w:rsidR="00892335" w:rsidRPr="009B0448">
        <w:rPr>
          <w:rFonts w:ascii="Times New Roman" w:eastAsia="Times New Roman" w:hAnsi="Times New Roman" w:cs="Times New Roman"/>
          <w:color w:val="00000A"/>
        </w:rPr>
        <w:t xml:space="preserve">World Health Organization. </w:t>
      </w:r>
      <w:r w:rsidRPr="009B0448">
        <w:rPr>
          <w:rFonts w:ascii="Times New Roman" w:eastAsia="Times New Roman" w:hAnsi="Times New Roman" w:cs="Times New Roman"/>
          <w:color w:val="00000A"/>
        </w:rPr>
        <w:t xml:space="preserve">Retrieved from </w:t>
      </w:r>
      <w:hyperlink r:id="rId371" w:history="1">
        <w:r w:rsidRPr="009B0448">
          <w:rPr>
            <w:rStyle w:val="Hyperlink"/>
            <w:rFonts w:ascii="Times New Roman" w:eastAsia="Times New Roman" w:hAnsi="Times New Roman" w:cs="Times New Roman"/>
          </w:rPr>
          <w:t>http://www.who.int/gho/malaria/epidemic/cases/en/</w:t>
        </w:r>
      </w:hyperlink>
    </w:p>
    <w:p w14:paraId="30568D1C"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WHO-UNEP. (2008).</w:t>
      </w:r>
      <w:r w:rsidRPr="009B0448">
        <w:rPr>
          <w:rFonts w:ascii="Times New Roman" w:eastAsia="Times New Roman" w:hAnsi="Times New Roman" w:cs="Times New Roman"/>
          <w:i/>
          <w:color w:val="00000A"/>
        </w:rPr>
        <w:t xml:space="preserve"> Libreville declaration on health and environment in Africa. </w:t>
      </w:r>
      <w:r w:rsidRPr="009B0448">
        <w:rPr>
          <w:rFonts w:ascii="Times New Roman" w:eastAsia="Times New Roman" w:hAnsi="Times New Roman" w:cs="Times New Roman"/>
          <w:color w:val="00000A"/>
        </w:rPr>
        <w:t xml:space="preserve">Libreville, Gabon: World Health Organization (WHO) and the United Nations Environment Programme (UNEP). Retrieved from </w:t>
      </w:r>
      <w:hyperlink r:id="rId372" w:history="1">
        <w:r w:rsidRPr="009B0448">
          <w:rPr>
            <w:rStyle w:val="Hyperlink"/>
            <w:rFonts w:ascii="Times New Roman" w:eastAsia="Times New Roman" w:hAnsi="Times New Roman" w:cs="Times New Roman"/>
          </w:rPr>
          <w:t>http://www.afro.who.int/sites/default/files/2017-06/decLibrevilleDeclaration.pdf</w:t>
        </w:r>
      </w:hyperlink>
    </w:p>
    <w:p w14:paraId="037033C8"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WHO-UNICEF. (2017). </w:t>
      </w:r>
      <w:r w:rsidRPr="00892335">
        <w:rPr>
          <w:rFonts w:ascii="Times New Roman" w:eastAsia="Times New Roman" w:hAnsi="Times New Roman" w:cs="Times New Roman"/>
          <w:i/>
          <w:color w:val="00000A"/>
        </w:rPr>
        <w:t>Progress on drinking water, sanitation and hygiene: 2017 update and SDG baselines.</w:t>
      </w:r>
      <w:r w:rsidRPr="009B0448">
        <w:rPr>
          <w:rFonts w:ascii="Times New Roman" w:eastAsia="Times New Roman" w:hAnsi="Times New Roman" w:cs="Times New Roman"/>
          <w:color w:val="00000A"/>
        </w:rPr>
        <w:t xml:space="preserve"> World Health Organization (WHO) and the United Nations Children’s Fund (UNICEF). Retrieved from </w:t>
      </w:r>
      <w:hyperlink r:id="rId373" w:history="1">
        <w:r w:rsidRPr="009B0448">
          <w:rPr>
            <w:rStyle w:val="Hyperlink"/>
            <w:rFonts w:ascii="Times New Roman" w:eastAsia="Times New Roman" w:hAnsi="Times New Roman" w:cs="Times New Roman"/>
          </w:rPr>
          <w:t>https://washdata.org/file/550/download</w:t>
        </w:r>
      </w:hyperlink>
    </w:p>
    <w:p w14:paraId="027F3383" w14:textId="4941B9BB"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Wily, L. A. (1997).</w:t>
      </w:r>
      <w:r w:rsidRPr="00892335">
        <w:rPr>
          <w:rFonts w:ascii="Times New Roman" w:eastAsia="Times New Roman" w:hAnsi="Times New Roman" w:cs="Times New Roman"/>
          <w:i/>
          <w:color w:val="00000A"/>
        </w:rPr>
        <w:t>Villagers as forest managers and governments: learning to let go-the case of Duru-Haitemba and Mgori Forests in Tanzania.</w:t>
      </w:r>
      <w:r w:rsidRPr="009B0448">
        <w:rPr>
          <w:rFonts w:ascii="Times New Roman" w:eastAsia="Times New Roman" w:hAnsi="Times New Roman" w:cs="Times New Roman"/>
          <w:color w:val="00000A"/>
        </w:rPr>
        <w:t xml:space="preserve"> United Kingdom: </w:t>
      </w:r>
      <w:r w:rsidR="00DB164F" w:rsidRPr="00DB164F">
        <w:rPr>
          <w:rFonts w:ascii="Times New Roman" w:eastAsia="Times New Roman" w:hAnsi="Times New Roman" w:cs="Times New Roman"/>
          <w:color w:val="00000A"/>
        </w:rPr>
        <w:t>Forestry and Land Use Programme</w:t>
      </w:r>
      <w:r w:rsidR="00DB164F">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International Institute for Environment and Development (IIED).</w:t>
      </w:r>
      <w:r w:rsidR="00DB164F">
        <w:rPr>
          <w:rFonts w:ascii="Times New Roman" w:eastAsia="Times New Roman" w:hAnsi="Times New Roman" w:cs="Times New Roman"/>
          <w:color w:val="00000A"/>
        </w:rPr>
        <w:t xml:space="preserve"> ISBN </w:t>
      </w:r>
      <w:r w:rsidR="00DB164F" w:rsidRPr="00DB164F">
        <w:rPr>
          <w:rFonts w:ascii="Times New Roman" w:eastAsia="Times New Roman" w:hAnsi="Times New Roman" w:cs="Times New Roman"/>
          <w:color w:val="00000A"/>
        </w:rPr>
        <w:t>9781843691136</w:t>
      </w:r>
      <w:r w:rsidR="00DB164F">
        <w:rPr>
          <w:rFonts w:ascii="Times New Roman" w:eastAsia="Times New Roman" w:hAnsi="Times New Roman" w:cs="Times New Roman"/>
          <w:color w:val="00000A"/>
        </w:rPr>
        <w:t>.</w:t>
      </w:r>
    </w:p>
    <w:p w14:paraId="64E7D060" w14:textId="516368FB" w:rsidR="001A3B0A"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Wily, L. A. (2000). Forest law in eastern and southern Africa: moving towards a community-based forest future? </w:t>
      </w:r>
      <w:r w:rsidRPr="009B0448">
        <w:rPr>
          <w:rFonts w:ascii="Times New Roman" w:eastAsia="Times New Roman" w:hAnsi="Times New Roman" w:cs="Times New Roman"/>
          <w:i/>
          <w:color w:val="00000A"/>
        </w:rPr>
        <w:t>Unasylva, 51</w:t>
      </w:r>
      <w:r w:rsidRPr="009B0448">
        <w:rPr>
          <w:rFonts w:ascii="Times New Roman" w:eastAsia="Times New Roman" w:hAnsi="Times New Roman" w:cs="Times New Roman"/>
          <w:color w:val="00000A"/>
        </w:rPr>
        <w:t>(203), 19–26.</w:t>
      </w:r>
      <w:r w:rsidR="00DB164F">
        <w:rPr>
          <w:rFonts w:ascii="Times New Roman" w:eastAsia="Times New Roman" w:hAnsi="Times New Roman" w:cs="Times New Roman"/>
          <w:color w:val="00000A"/>
        </w:rPr>
        <w:t xml:space="preserve"> Retrieved from </w:t>
      </w:r>
      <w:hyperlink r:id="rId374" w:history="1">
        <w:r w:rsidR="00DB164F" w:rsidRPr="004059F1">
          <w:rPr>
            <w:rStyle w:val="Hyperlink"/>
            <w:rFonts w:ascii="Times New Roman" w:eastAsia="Times New Roman" w:hAnsi="Times New Roman" w:cs="Times New Roman"/>
          </w:rPr>
          <w:t>http://www.fao.org/tempref/docrep/fao/x8080e/x8080e04.pdf</w:t>
        </w:r>
      </w:hyperlink>
    </w:p>
    <w:p w14:paraId="2C31DE07" w14:textId="454CF6A3"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Wily, L. A. (2008). Custom and commonage in Africa rethinking the orthodoxies. </w:t>
      </w:r>
      <w:r w:rsidRPr="00DB164F">
        <w:rPr>
          <w:rFonts w:ascii="Times New Roman" w:eastAsia="Times New Roman" w:hAnsi="Times New Roman" w:cs="Times New Roman"/>
          <w:i/>
          <w:color w:val="00000A"/>
        </w:rPr>
        <w:t>Land Use Policy, 25</w:t>
      </w:r>
      <w:r w:rsidRPr="009B0448">
        <w:rPr>
          <w:rFonts w:ascii="Times New Roman" w:eastAsia="Times New Roman" w:hAnsi="Times New Roman" w:cs="Times New Roman"/>
          <w:color w:val="00000A"/>
        </w:rPr>
        <w:t xml:space="preserve">(1), 43–52. </w:t>
      </w:r>
      <w:hyperlink r:id="rId375" w:history="1">
        <w:r w:rsidRPr="009B0448">
          <w:rPr>
            <w:rStyle w:val="Hyperlink"/>
            <w:rFonts w:ascii="Times New Roman" w:eastAsia="Times New Roman" w:hAnsi="Times New Roman" w:cs="Times New Roman"/>
          </w:rPr>
          <w:t>https://doi.org/10.1016/j.landusepol.2007.02.002</w:t>
        </w:r>
      </w:hyperlink>
    </w:p>
    <w:p w14:paraId="101F7349" w14:textId="21423174" w:rsidR="001A3B0A"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Wily, L. A. (2009).Tackling land tenure in the emergency to development transition in post-conflict states: From restitution to reform. In S. Pantuliano (Ed.), </w:t>
      </w:r>
      <w:r w:rsidRPr="00DB164F">
        <w:rPr>
          <w:rFonts w:ascii="Times New Roman" w:eastAsia="Times New Roman" w:hAnsi="Times New Roman" w:cs="Times New Roman"/>
          <w:i/>
          <w:color w:val="00000A"/>
        </w:rPr>
        <w:t>Uncharted territory</w:t>
      </w:r>
      <w:r w:rsidR="00DB164F">
        <w:rPr>
          <w:rFonts w:ascii="Times New Roman" w:eastAsia="Times New Roman" w:hAnsi="Times New Roman" w:cs="Times New Roman"/>
          <w:i/>
          <w:color w:val="00000A"/>
        </w:rPr>
        <w:t>: Land, conflict and humanitarian action</w:t>
      </w:r>
      <w:r w:rsidRPr="009B0448">
        <w:rPr>
          <w:rFonts w:ascii="Times New Roman" w:eastAsia="Times New Roman" w:hAnsi="Times New Roman" w:cs="Times New Roman"/>
          <w:color w:val="00000A"/>
        </w:rPr>
        <w:t xml:space="preserve"> (pp. 27–50). </w:t>
      </w:r>
      <w:r w:rsidR="00DB164F" w:rsidRPr="00DB164F">
        <w:rPr>
          <w:rFonts w:ascii="Times New Roman" w:eastAsia="Times New Roman" w:hAnsi="Times New Roman" w:cs="Times New Roman"/>
          <w:color w:val="00000A"/>
        </w:rPr>
        <w:t>Warwickshire</w:t>
      </w:r>
      <w:r w:rsidR="00DB164F">
        <w:rPr>
          <w:rFonts w:ascii="Times New Roman" w:eastAsia="Times New Roman" w:hAnsi="Times New Roman" w:cs="Times New Roman"/>
          <w:color w:val="00000A"/>
        </w:rPr>
        <w:t>, UK:</w:t>
      </w:r>
      <w:r w:rsidR="00DB164F" w:rsidRPr="00DB164F">
        <w:rPr>
          <w:rFonts w:ascii="Times New Roman" w:eastAsia="Times New Roman" w:hAnsi="Times New Roman" w:cs="Times New Roman"/>
          <w:color w:val="00000A"/>
        </w:rPr>
        <w:t xml:space="preserve"> </w:t>
      </w:r>
      <w:r w:rsidRPr="009B0448">
        <w:rPr>
          <w:rFonts w:ascii="Times New Roman" w:eastAsia="Times New Roman" w:hAnsi="Times New Roman" w:cs="Times New Roman"/>
          <w:color w:val="00000A"/>
        </w:rPr>
        <w:t>Practical Action Publishing.</w:t>
      </w:r>
      <w:r w:rsidR="00DB164F">
        <w:rPr>
          <w:rFonts w:ascii="Times New Roman" w:eastAsia="Times New Roman" w:hAnsi="Times New Roman" w:cs="Times New Roman"/>
          <w:color w:val="00000A"/>
        </w:rPr>
        <w:t xml:space="preserve"> Retrieved from </w:t>
      </w:r>
      <w:hyperlink r:id="rId376" w:history="1">
        <w:r w:rsidR="00DB164F" w:rsidRPr="004059F1">
          <w:rPr>
            <w:rStyle w:val="Hyperlink"/>
            <w:rFonts w:ascii="Times New Roman" w:eastAsia="Times New Roman" w:hAnsi="Times New Roman" w:cs="Times New Roman"/>
          </w:rPr>
          <w:t>https://doi.org/10.3362/9781780440408</w:t>
        </w:r>
      </w:hyperlink>
    </w:p>
    <w:p w14:paraId="2196689A" w14:textId="181B24F1"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E47DC">
        <w:rPr>
          <w:rFonts w:ascii="Times New Roman" w:eastAsia="Times New Roman" w:hAnsi="Times New Roman" w:cs="Times New Roman"/>
          <w:color w:val="00000A"/>
        </w:rPr>
        <w:t>Wise, R. M., van Wilgen, B. W., Hill, M. P., Schulthess, F., Tweddle, D., Chabi-Olay, A., &amp; Zimmermann, H. G. (2007).</w:t>
      </w:r>
      <w:r w:rsidRPr="009E47DC">
        <w:rPr>
          <w:rFonts w:ascii="Times New Roman" w:eastAsia="Times New Roman" w:hAnsi="Times New Roman" w:cs="Times New Roman"/>
          <w:i/>
          <w:color w:val="00000A"/>
        </w:rPr>
        <w:t>The economic impact and appropriate management of selected invasive alien species on the African continent</w:t>
      </w:r>
      <w:r w:rsidRPr="009E47DC">
        <w:rPr>
          <w:rFonts w:ascii="Times New Roman" w:eastAsia="Times New Roman" w:hAnsi="Times New Roman" w:cs="Times New Roman"/>
          <w:color w:val="00000A"/>
        </w:rPr>
        <w:t xml:space="preserve"> (Final Report).Global Invasive Species Programme. Retrieved from </w:t>
      </w:r>
      <w:hyperlink r:id="rId377" w:history="1">
        <w:r w:rsidRPr="009E47DC">
          <w:rPr>
            <w:rStyle w:val="Hyperlink"/>
            <w:rFonts w:ascii="Times New Roman" w:eastAsia="Times New Roman" w:hAnsi="Times New Roman" w:cs="Times New Roman"/>
          </w:rPr>
          <w:t>http://issg.org/pdf/publications/GISP/Resources/CSIRAISmanagement.pdf</w:t>
        </w:r>
      </w:hyperlink>
    </w:p>
    <w:p w14:paraId="22378E73" w14:textId="269A4545" w:rsidR="001A3B0A" w:rsidRPr="009B0448" w:rsidRDefault="009E47DC" w:rsidP="0033312D">
      <w:pPr>
        <w:spacing w:after="120" w:line="276" w:lineRule="auto"/>
        <w:ind w:left="567" w:hanging="567"/>
        <w:rPr>
          <w:rFonts w:ascii="Times New Roman" w:eastAsia="Times New Roman" w:hAnsi="Times New Roman" w:cs="Times New Roman"/>
          <w:color w:val="00000A"/>
        </w:rPr>
      </w:pPr>
      <w:r>
        <w:rPr>
          <w:rFonts w:ascii="Times New Roman" w:eastAsia="Times New Roman" w:hAnsi="Times New Roman" w:cs="Times New Roman"/>
          <w:color w:val="00000A"/>
        </w:rPr>
        <w:t xml:space="preserve">WMO. (2006). </w:t>
      </w:r>
      <w:r w:rsidRPr="009E47DC">
        <w:rPr>
          <w:rFonts w:ascii="Times New Roman" w:eastAsia="Times New Roman" w:hAnsi="Times New Roman" w:cs="Times New Roman"/>
          <w:i/>
          <w:color w:val="00000A"/>
        </w:rPr>
        <w:t>WMO s</w:t>
      </w:r>
      <w:r w:rsidR="001A3B0A" w:rsidRPr="009E47DC">
        <w:rPr>
          <w:rFonts w:ascii="Times New Roman" w:eastAsia="Times New Roman" w:hAnsi="Times New Roman" w:cs="Times New Roman"/>
          <w:i/>
          <w:color w:val="00000A"/>
        </w:rPr>
        <w:t xml:space="preserve">tatement on </w:t>
      </w:r>
      <w:r w:rsidRPr="009E47DC">
        <w:rPr>
          <w:rFonts w:ascii="Times New Roman" w:eastAsia="Times New Roman" w:hAnsi="Times New Roman" w:cs="Times New Roman"/>
          <w:i/>
          <w:color w:val="00000A"/>
        </w:rPr>
        <w:t xml:space="preserve">the status of the global climate </w:t>
      </w:r>
      <w:r w:rsidR="001A3B0A" w:rsidRPr="009E47DC">
        <w:rPr>
          <w:rFonts w:ascii="Times New Roman" w:eastAsia="Times New Roman" w:hAnsi="Times New Roman" w:cs="Times New Roman"/>
          <w:i/>
          <w:color w:val="00000A"/>
        </w:rPr>
        <w:t>in 2005.</w:t>
      </w:r>
      <w:r w:rsidR="001A3B0A" w:rsidRPr="009B0448">
        <w:rPr>
          <w:rFonts w:ascii="Times New Roman" w:eastAsia="Times New Roman" w:hAnsi="Times New Roman" w:cs="Times New Roman"/>
          <w:color w:val="00000A"/>
        </w:rPr>
        <w:t xml:space="preserve"> World Meteorological Organization.</w:t>
      </w:r>
      <w:r>
        <w:rPr>
          <w:rFonts w:ascii="Times New Roman" w:eastAsia="Times New Roman" w:hAnsi="Times New Roman" w:cs="Times New Roman"/>
          <w:color w:val="00000A"/>
        </w:rPr>
        <w:t xml:space="preserve"> </w:t>
      </w:r>
      <w:r w:rsidRPr="009E47DC">
        <w:rPr>
          <w:rFonts w:ascii="Times New Roman" w:eastAsia="Times New Roman" w:hAnsi="Times New Roman" w:cs="Times New Roman"/>
          <w:color w:val="00000A"/>
        </w:rPr>
        <w:t>ISBN 9789263109989</w:t>
      </w:r>
      <w:r>
        <w:rPr>
          <w:rFonts w:ascii="Times New Roman" w:eastAsia="Times New Roman" w:hAnsi="Times New Roman" w:cs="Times New Roman"/>
          <w:color w:val="00000A"/>
        </w:rPr>
        <w:t>.</w:t>
      </w:r>
    </w:p>
    <w:p w14:paraId="48609596" w14:textId="5BFAD100"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World Bank. (1998). </w:t>
      </w:r>
      <w:r w:rsidRPr="00D925AD">
        <w:rPr>
          <w:rFonts w:ascii="Times New Roman" w:eastAsia="Times New Roman" w:hAnsi="Times New Roman" w:cs="Times New Roman"/>
          <w:i/>
          <w:color w:val="00000A"/>
        </w:rPr>
        <w:t>Indigeno</w:t>
      </w:r>
      <w:r w:rsidR="00D925AD">
        <w:rPr>
          <w:rFonts w:ascii="Times New Roman" w:eastAsia="Times New Roman" w:hAnsi="Times New Roman" w:cs="Times New Roman"/>
          <w:i/>
          <w:color w:val="00000A"/>
        </w:rPr>
        <w:t>us knowledge for development : A</w:t>
      </w:r>
      <w:r w:rsidRPr="00D925AD">
        <w:rPr>
          <w:rFonts w:ascii="Times New Roman" w:eastAsia="Times New Roman" w:hAnsi="Times New Roman" w:cs="Times New Roman"/>
          <w:i/>
          <w:color w:val="00000A"/>
        </w:rPr>
        <w:t xml:space="preserve"> framework for action</w:t>
      </w:r>
      <w:r w:rsidRPr="009B0448">
        <w:rPr>
          <w:rFonts w:ascii="Times New Roman" w:eastAsia="Times New Roman" w:hAnsi="Times New Roman" w:cs="Times New Roman"/>
          <w:color w:val="00000A"/>
        </w:rPr>
        <w:t xml:space="preserve">. </w:t>
      </w:r>
      <w:r w:rsidRPr="009B0448">
        <w:rPr>
          <w:rFonts w:ascii="Times New Roman" w:hAnsi="Times New Roman" w:cs="Times New Roman"/>
        </w:rPr>
        <w:t xml:space="preserve">Washington, DC, USA: World Bank Group. </w:t>
      </w:r>
      <w:r w:rsidRPr="009B0448">
        <w:rPr>
          <w:rFonts w:ascii="Times New Roman" w:eastAsia="Times New Roman" w:hAnsi="Times New Roman" w:cs="Times New Roman"/>
          <w:color w:val="00000A"/>
        </w:rPr>
        <w:t xml:space="preserve">Retrieved from </w:t>
      </w:r>
      <w:hyperlink r:id="rId378" w:history="1">
        <w:r w:rsidRPr="009B0448">
          <w:rPr>
            <w:rStyle w:val="Hyperlink"/>
            <w:rFonts w:ascii="Times New Roman" w:eastAsia="Times New Roman" w:hAnsi="Times New Roman" w:cs="Times New Roman"/>
          </w:rPr>
          <w:t>http://documents.worldbank.org/curated/en/388381468741607213/Indigenous-knowledge-for-development-a-framework-for-action</w:t>
        </w:r>
      </w:hyperlink>
    </w:p>
    <w:p w14:paraId="3C578418" w14:textId="4B870B71" w:rsidR="001A3B0A"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World Bank. (2012a). </w:t>
      </w:r>
      <w:r w:rsidRPr="00D925AD">
        <w:rPr>
          <w:rFonts w:ascii="Times New Roman" w:eastAsia="Times New Roman" w:hAnsi="Times New Roman" w:cs="Times New Roman"/>
          <w:i/>
          <w:color w:val="00000A"/>
        </w:rPr>
        <w:t>Turn down the heat: Why a 4°C warmer world must be avoided</w:t>
      </w:r>
      <w:r w:rsidRPr="009B0448">
        <w:rPr>
          <w:rFonts w:ascii="Times New Roman" w:eastAsia="Times New Roman" w:hAnsi="Times New Roman" w:cs="Times New Roman"/>
          <w:color w:val="00000A"/>
        </w:rPr>
        <w:t xml:space="preserve">. </w:t>
      </w:r>
      <w:r w:rsidRPr="009B0448">
        <w:rPr>
          <w:rFonts w:ascii="Times New Roman" w:hAnsi="Times New Roman" w:cs="Times New Roman"/>
        </w:rPr>
        <w:t>Washington, DC, USA: World Bank Group</w:t>
      </w:r>
      <w:r w:rsidR="00D925AD">
        <w:rPr>
          <w:rFonts w:ascii="Times New Roman" w:eastAsia="Times New Roman" w:hAnsi="Times New Roman" w:cs="Times New Roman"/>
          <w:color w:val="00000A"/>
        </w:rPr>
        <w:t xml:space="preserve">. Retrieved from </w:t>
      </w:r>
      <w:hyperlink r:id="rId379" w:history="1">
        <w:r w:rsidR="00D925AD" w:rsidRPr="004059F1">
          <w:rPr>
            <w:rStyle w:val="Hyperlink"/>
            <w:rFonts w:ascii="Times New Roman" w:eastAsia="Times New Roman" w:hAnsi="Times New Roman" w:cs="Times New Roman"/>
          </w:rPr>
          <w:t>http://documents.worldbank.org/curated/en/865571468149107611/pdf/NonAsciiFileName0.pdf</w:t>
        </w:r>
      </w:hyperlink>
    </w:p>
    <w:p w14:paraId="04735614" w14:textId="08AB9BD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World Bank. (2012b). </w:t>
      </w:r>
      <w:r w:rsidRPr="009B0448">
        <w:rPr>
          <w:rFonts w:ascii="Times New Roman" w:eastAsia="Times New Roman" w:hAnsi="Times New Roman" w:cs="Times New Roman"/>
          <w:i/>
          <w:color w:val="00000A"/>
        </w:rPr>
        <w:t>World development indicators 2012.</w:t>
      </w:r>
      <w:r w:rsidRPr="009B0448">
        <w:rPr>
          <w:rFonts w:ascii="Times New Roman" w:eastAsia="Times New Roman" w:hAnsi="Times New Roman" w:cs="Times New Roman"/>
          <w:color w:val="00000A"/>
        </w:rPr>
        <w:t xml:space="preserve"> </w:t>
      </w:r>
      <w:r w:rsidR="00D925AD">
        <w:rPr>
          <w:rFonts w:ascii="Times New Roman" w:hAnsi="Times New Roman" w:cs="Times New Roman"/>
        </w:rPr>
        <w:t>Washington, D</w:t>
      </w:r>
      <w:r w:rsidRPr="009B0448">
        <w:rPr>
          <w:rFonts w:ascii="Times New Roman" w:hAnsi="Times New Roman" w:cs="Times New Roman"/>
        </w:rPr>
        <w:t xml:space="preserve">C, USA: World Bank Group. </w:t>
      </w:r>
      <w:r w:rsidRPr="009B0448">
        <w:rPr>
          <w:rFonts w:ascii="Times New Roman" w:eastAsia="Times New Roman" w:hAnsi="Times New Roman" w:cs="Times New Roman"/>
          <w:color w:val="00000A"/>
        </w:rPr>
        <w:t xml:space="preserve">Retrieved from </w:t>
      </w:r>
      <w:hyperlink r:id="rId380" w:history="1">
        <w:r w:rsidRPr="009B0448">
          <w:rPr>
            <w:rStyle w:val="Hyperlink"/>
            <w:rFonts w:ascii="Times New Roman" w:eastAsia="Times New Roman" w:hAnsi="Times New Roman" w:cs="Times New Roman"/>
          </w:rPr>
          <w:t>http://data.worldbank.org/sites/default/files/wdi-2012-ebook.pdf</w:t>
        </w:r>
      </w:hyperlink>
    </w:p>
    <w:p w14:paraId="57B9EA12" w14:textId="2CA9865C"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World Bank. (2015a). </w:t>
      </w:r>
      <w:r w:rsidRPr="009B0448">
        <w:rPr>
          <w:rFonts w:ascii="Times New Roman" w:eastAsia="Times New Roman" w:hAnsi="Times New Roman" w:cs="Times New Roman"/>
          <w:i/>
          <w:color w:val="00000A"/>
        </w:rPr>
        <w:t>World development indicators 2015</w:t>
      </w:r>
      <w:r w:rsidRPr="009B0448">
        <w:rPr>
          <w:rFonts w:ascii="Times New Roman" w:eastAsia="Times New Roman" w:hAnsi="Times New Roman" w:cs="Times New Roman"/>
          <w:color w:val="00000A"/>
        </w:rPr>
        <w:t>.</w:t>
      </w:r>
      <w:r w:rsidR="00D925AD">
        <w:rPr>
          <w:rFonts w:ascii="Times New Roman" w:hAnsi="Times New Roman" w:cs="Times New Roman"/>
        </w:rPr>
        <w:t xml:space="preserve"> Washington, D</w:t>
      </w:r>
      <w:r w:rsidRPr="009B0448">
        <w:rPr>
          <w:rFonts w:ascii="Times New Roman" w:hAnsi="Times New Roman" w:cs="Times New Roman"/>
        </w:rPr>
        <w:t xml:space="preserve">C, USA: World Bank Group. </w:t>
      </w:r>
      <w:r w:rsidRPr="009B0448">
        <w:rPr>
          <w:rFonts w:ascii="Times New Roman" w:eastAsia="Times New Roman" w:hAnsi="Times New Roman" w:cs="Times New Roman"/>
          <w:color w:val="00000A"/>
        </w:rPr>
        <w:t xml:space="preserve">Retrieved from </w:t>
      </w:r>
      <w:hyperlink r:id="rId381" w:history="1">
        <w:r w:rsidRPr="009B0448">
          <w:rPr>
            <w:rStyle w:val="Hyperlink"/>
            <w:rFonts w:ascii="Times New Roman" w:eastAsia="Times New Roman" w:hAnsi="Times New Roman" w:cs="Times New Roman"/>
          </w:rPr>
          <w:t>http://data.worldbank.org/sites/default/files/wdi-2012-ebook.pdf</w:t>
        </w:r>
      </w:hyperlink>
    </w:p>
    <w:p w14:paraId="66623806" w14:textId="1366FBDD" w:rsidR="00D925AD"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World Bank. (2015b). </w:t>
      </w:r>
      <w:r w:rsidR="00D925AD" w:rsidRPr="00D925AD">
        <w:rPr>
          <w:rFonts w:ascii="Times New Roman" w:eastAsia="Times New Roman" w:hAnsi="Times New Roman" w:cs="Times New Roman"/>
          <w:i/>
          <w:color w:val="00000A"/>
        </w:rPr>
        <w:t>Africa/AFRICA-P132123-AFCC2/RI-South West Indian Ocean fisheries governance and shared growth project 1 - Procurement Plan</w:t>
      </w:r>
      <w:r w:rsidRPr="009B0448">
        <w:rPr>
          <w:rFonts w:ascii="Times New Roman" w:eastAsia="Times New Roman" w:hAnsi="Times New Roman" w:cs="Times New Roman"/>
          <w:color w:val="00000A"/>
        </w:rPr>
        <w:t xml:space="preserve">. </w:t>
      </w:r>
      <w:r w:rsidR="00D925AD">
        <w:rPr>
          <w:rFonts w:ascii="Times New Roman" w:hAnsi="Times New Roman" w:cs="Times New Roman"/>
        </w:rPr>
        <w:t>Washington, D</w:t>
      </w:r>
      <w:r w:rsidRPr="009B0448">
        <w:rPr>
          <w:rFonts w:ascii="Times New Roman" w:hAnsi="Times New Roman" w:cs="Times New Roman"/>
        </w:rPr>
        <w:t xml:space="preserve">C, USA: World Bank Group. </w:t>
      </w:r>
      <w:r w:rsidRPr="009B0448">
        <w:rPr>
          <w:rFonts w:ascii="Times New Roman" w:eastAsia="Times New Roman" w:hAnsi="Times New Roman" w:cs="Times New Roman"/>
          <w:color w:val="00000A"/>
        </w:rPr>
        <w:t xml:space="preserve">Retrieved from </w:t>
      </w:r>
      <w:hyperlink r:id="rId382" w:history="1">
        <w:r w:rsidR="00D925AD" w:rsidRPr="004059F1">
          <w:rPr>
            <w:rStyle w:val="Hyperlink"/>
            <w:rFonts w:ascii="Times New Roman" w:eastAsia="Times New Roman" w:hAnsi="Times New Roman" w:cs="Times New Roman"/>
          </w:rPr>
          <w:t>http://documents.worldbank.org/curated/en/645751526965934674/pdf/Plan-Archive-9.pdf</w:t>
        </w:r>
      </w:hyperlink>
    </w:p>
    <w:p w14:paraId="7AD607C8" w14:textId="6062F812"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World Bank. (2016). </w:t>
      </w:r>
      <w:r w:rsidRPr="009B0448">
        <w:rPr>
          <w:rFonts w:ascii="Times New Roman" w:eastAsia="Times New Roman" w:hAnsi="Times New Roman" w:cs="Times New Roman"/>
          <w:i/>
          <w:color w:val="00000A"/>
        </w:rPr>
        <w:t>World development indicators 2016</w:t>
      </w:r>
      <w:r w:rsidRPr="009B0448">
        <w:rPr>
          <w:rFonts w:ascii="Times New Roman" w:eastAsia="Times New Roman" w:hAnsi="Times New Roman" w:cs="Times New Roman"/>
          <w:color w:val="00000A"/>
        </w:rPr>
        <w:t xml:space="preserve">. </w:t>
      </w:r>
      <w:r w:rsidR="00D925AD">
        <w:rPr>
          <w:rFonts w:ascii="Times New Roman" w:hAnsi="Times New Roman" w:cs="Times New Roman"/>
        </w:rPr>
        <w:t>Washington, DC</w:t>
      </w:r>
      <w:r w:rsidRPr="009B0448">
        <w:rPr>
          <w:rFonts w:ascii="Times New Roman" w:hAnsi="Times New Roman" w:cs="Times New Roman"/>
        </w:rPr>
        <w:t xml:space="preserve">, USA: World Bank Group. </w:t>
      </w:r>
      <w:r w:rsidRPr="009B0448">
        <w:rPr>
          <w:rFonts w:ascii="Times New Roman" w:eastAsia="Times New Roman" w:hAnsi="Times New Roman" w:cs="Times New Roman"/>
          <w:color w:val="00000A"/>
        </w:rPr>
        <w:t xml:space="preserve">Retrieved from </w:t>
      </w:r>
      <w:hyperlink r:id="rId383" w:history="1">
        <w:r w:rsidRPr="009B0448">
          <w:rPr>
            <w:rStyle w:val="Hyperlink"/>
            <w:rFonts w:ascii="Times New Roman" w:eastAsia="Times New Roman" w:hAnsi="Times New Roman" w:cs="Times New Roman"/>
          </w:rPr>
          <w:t>http://dx.doi.org/10.1596/978-1-4648-0683-4</w:t>
        </w:r>
      </w:hyperlink>
    </w:p>
    <w:p w14:paraId="7FF57D43"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World Economic Forum. (2015). </w:t>
      </w:r>
      <w:r w:rsidRPr="009B0448">
        <w:rPr>
          <w:rFonts w:ascii="Times New Roman" w:eastAsia="Times New Roman" w:hAnsi="Times New Roman" w:cs="Times New Roman"/>
          <w:i/>
          <w:color w:val="00000A"/>
        </w:rPr>
        <w:t>Africa competitiveness report 2015</w:t>
      </w:r>
      <w:r w:rsidRPr="009B0448">
        <w:rPr>
          <w:rFonts w:ascii="Times New Roman" w:eastAsia="Times New Roman" w:hAnsi="Times New Roman" w:cs="Times New Roman"/>
          <w:color w:val="00000A"/>
        </w:rPr>
        <w:t xml:space="preserve">. Geneva, Switzerland: World Economic Forum. Retrieved from </w:t>
      </w:r>
      <w:hyperlink r:id="rId384" w:history="1">
        <w:r w:rsidRPr="009B0448">
          <w:rPr>
            <w:rStyle w:val="Hyperlink"/>
            <w:rFonts w:ascii="Times New Roman" w:eastAsia="Times New Roman" w:hAnsi="Times New Roman" w:cs="Times New Roman"/>
          </w:rPr>
          <w:t>http://www3.weforum.org/docs/WEF_ACR_2015/Africa_Competitiveness_Report_2015.pdf</w:t>
        </w:r>
      </w:hyperlink>
    </w:p>
    <w:p w14:paraId="07D36C0E" w14:textId="77777777" w:rsidR="001A3B0A" w:rsidRPr="009B0448" w:rsidRDefault="001A3B0A" w:rsidP="00AA52D4">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WorldFish Center. (2010). </w:t>
      </w:r>
      <w:r w:rsidRPr="009B0448">
        <w:rPr>
          <w:rFonts w:ascii="Times New Roman" w:eastAsia="Times New Roman" w:hAnsi="Times New Roman" w:cs="Times New Roman"/>
          <w:i/>
          <w:color w:val="00000A"/>
        </w:rPr>
        <w:t>Vulnerability in inland fishing communities in Africa: Lessons learned.</w:t>
      </w:r>
      <w:r w:rsidRPr="009B0448">
        <w:rPr>
          <w:rFonts w:ascii="Times New Roman" w:eastAsia="Times New Roman" w:hAnsi="Times New Roman" w:cs="Times New Roman"/>
          <w:color w:val="00000A"/>
        </w:rPr>
        <w:t xml:space="preserve"> Penang, Malaysia: WorldFish Center. Retrieved from </w:t>
      </w:r>
      <w:hyperlink r:id="rId385" w:history="1">
        <w:r w:rsidRPr="009B0448">
          <w:rPr>
            <w:rStyle w:val="Hyperlink"/>
            <w:rFonts w:ascii="Times New Roman" w:eastAsia="Times New Roman" w:hAnsi="Times New Roman" w:cs="Times New Roman"/>
          </w:rPr>
          <w:t>http://www.worldfishcenter.org/resource_centre/WF_2592.pdf</w:t>
        </w:r>
      </w:hyperlink>
    </w:p>
    <w:p w14:paraId="54E4FA2D"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t xml:space="preserve">WWAP (United Nations World Water Assessment Programme). (2016). </w:t>
      </w:r>
      <w:r w:rsidRPr="009B0448">
        <w:rPr>
          <w:rFonts w:ascii="Times New Roman" w:eastAsia="Times New Roman" w:hAnsi="Times New Roman" w:cs="Times New Roman"/>
          <w:i/>
          <w:color w:val="00000A"/>
        </w:rPr>
        <w:t>The United Nations World water development report 2016: Water and jobs</w:t>
      </w:r>
      <w:r w:rsidRPr="009B0448">
        <w:rPr>
          <w:rFonts w:ascii="Times New Roman" w:eastAsia="Times New Roman" w:hAnsi="Times New Roman" w:cs="Times New Roman"/>
          <w:color w:val="00000A"/>
        </w:rPr>
        <w:t xml:space="preserve">. Paris, France: UNESCO. Retrieved from </w:t>
      </w:r>
      <w:hyperlink r:id="rId386" w:history="1">
        <w:r w:rsidRPr="009B0448">
          <w:rPr>
            <w:rStyle w:val="Hyperlink"/>
            <w:rFonts w:ascii="Times New Roman" w:eastAsia="Times New Roman" w:hAnsi="Times New Roman" w:cs="Times New Roman"/>
          </w:rPr>
          <w:t>http://unesdoc.unesco.org/images/0024/002439/243938e.pdf</w:t>
        </w:r>
      </w:hyperlink>
    </w:p>
    <w:p w14:paraId="6F5E66D0" w14:textId="77777777" w:rsidR="001A3B0A" w:rsidRPr="009B0448" w:rsidRDefault="001A3B0A" w:rsidP="0033312D">
      <w:pPr>
        <w:spacing w:after="120" w:line="276" w:lineRule="auto"/>
        <w:ind w:left="567" w:hanging="567"/>
        <w:rPr>
          <w:rFonts w:ascii="Times New Roman" w:eastAsia="Times New Roman" w:hAnsi="Times New Roman" w:cs="Times New Roman"/>
          <w:color w:val="00000A"/>
        </w:rPr>
      </w:pPr>
      <w:r w:rsidRPr="009B0448">
        <w:rPr>
          <w:rFonts w:ascii="Times New Roman" w:eastAsia="Times New Roman" w:hAnsi="Times New Roman" w:cs="Times New Roman"/>
          <w:color w:val="00000A"/>
        </w:rPr>
        <w:lastRenderedPageBreak/>
        <w:t xml:space="preserve">Youm, O., Vayssières, J. F., Togola, A., Robertson, S. P., &amp; Nwilene, F. E. (2011). International trade and exotic pests: the risks for biodiversity and African economies. </w:t>
      </w:r>
      <w:r w:rsidRPr="009B0448">
        <w:rPr>
          <w:rFonts w:ascii="Times New Roman" w:eastAsia="Times New Roman" w:hAnsi="Times New Roman" w:cs="Times New Roman"/>
          <w:i/>
          <w:color w:val="00000A"/>
        </w:rPr>
        <w:t>Outlook on Agriculture, 40</w:t>
      </w:r>
      <w:r w:rsidRPr="009B0448">
        <w:rPr>
          <w:rFonts w:ascii="Times New Roman" w:eastAsia="Times New Roman" w:hAnsi="Times New Roman" w:cs="Times New Roman"/>
          <w:color w:val="00000A"/>
        </w:rPr>
        <w:t xml:space="preserve">(1), 59–70. </w:t>
      </w:r>
      <w:hyperlink r:id="rId387" w:history="1">
        <w:r w:rsidRPr="009B0448">
          <w:rPr>
            <w:rStyle w:val="Hyperlink"/>
            <w:rFonts w:ascii="Times New Roman" w:eastAsia="Times New Roman" w:hAnsi="Times New Roman" w:cs="Times New Roman"/>
          </w:rPr>
          <w:t>https://doi.org/10.5367/oa.2011.0031</w:t>
        </w:r>
      </w:hyperlink>
      <w:r w:rsidRPr="009B0448">
        <w:rPr>
          <w:rFonts w:ascii="Times New Roman" w:eastAsia="Times New Roman" w:hAnsi="Times New Roman" w:cs="Times New Roman"/>
          <w:color w:val="00000A"/>
        </w:rPr>
        <w:br w:type="page"/>
      </w:r>
    </w:p>
    <w:p w14:paraId="519449B9" w14:textId="77777777" w:rsidR="009B0448" w:rsidRPr="009B0448" w:rsidRDefault="009B0448" w:rsidP="009B0448">
      <w:pPr>
        <w:spacing w:after="120" w:line="276" w:lineRule="auto"/>
        <w:ind w:left="567" w:hanging="567"/>
        <w:rPr>
          <w:rFonts w:ascii="Times New Roman" w:eastAsia="Times New Roman" w:hAnsi="Times New Roman" w:cs="Times New Roman"/>
          <w:color w:val="00000A"/>
          <w:sz w:val="20"/>
          <w:szCs w:val="20"/>
        </w:rPr>
      </w:pPr>
    </w:p>
    <w:p w14:paraId="40DD2C47" w14:textId="77777777" w:rsidR="009B0448" w:rsidRPr="009B0448" w:rsidRDefault="009B0448" w:rsidP="009B0448">
      <w:pPr>
        <w:pStyle w:val="IPBES1"/>
        <w:spacing w:before="240"/>
      </w:pPr>
      <w:bookmarkStart w:id="53" w:name="_Toc519499801"/>
      <w:r w:rsidRPr="009B0448">
        <w:t>Chapter 2: Nature’s contributions to people and quality of life</w:t>
      </w:r>
      <w:bookmarkEnd w:id="53"/>
    </w:p>
    <w:p w14:paraId="7FF8731C" w14:textId="77777777" w:rsidR="009B0448" w:rsidRPr="009B0448" w:rsidRDefault="009B0448" w:rsidP="009B0448">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b/>
        </w:rPr>
        <w:t xml:space="preserve">Coordinating Lead Authors: </w:t>
      </w:r>
    </w:p>
    <w:p w14:paraId="7964F8C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Robert Kasisi (Canada), Pierre Failler (</w:t>
      </w:r>
      <w:r w:rsidRPr="009B0448">
        <w:rPr>
          <w:rFonts w:ascii="Times New Roman" w:eastAsia="Times New Roman" w:hAnsi="Times New Roman" w:cs="Times New Roman"/>
        </w:rPr>
        <w:t>United Kingdom</w:t>
      </w:r>
      <w:r w:rsidRPr="009B0448">
        <w:rPr>
          <w:rFonts w:ascii="Times New Roman" w:hAnsi="Times New Roman" w:cs="Times New Roman"/>
        </w:rPr>
        <w:t>)</w:t>
      </w:r>
    </w:p>
    <w:p w14:paraId="31A8AAA8" w14:textId="77777777" w:rsidR="009B0448" w:rsidRPr="009B0448" w:rsidRDefault="009B0448" w:rsidP="009B0448">
      <w:pPr>
        <w:spacing w:line="276" w:lineRule="auto"/>
        <w:jc w:val="both"/>
        <w:rPr>
          <w:rFonts w:ascii="Times New Roman" w:hAnsi="Times New Roman" w:cs="Times New Roman"/>
          <w:b/>
        </w:rPr>
      </w:pPr>
    </w:p>
    <w:p w14:paraId="2EA7CA12" w14:textId="77777777" w:rsidR="009B0448" w:rsidRPr="009B0448" w:rsidRDefault="009B0448" w:rsidP="009B0448">
      <w:pPr>
        <w:spacing w:line="276" w:lineRule="auto"/>
        <w:jc w:val="both"/>
        <w:rPr>
          <w:rFonts w:ascii="Times New Roman" w:hAnsi="Times New Roman" w:cs="Times New Roman"/>
          <w:b/>
        </w:rPr>
      </w:pPr>
      <w:r w:rsidRPr="009B0448">
        <w:rPr>
          <w:rFonts w:ascii="Times New Roman" w:hAnsi="Times New Roman" w:cs="Times New Roman"/>
          <w:b/>
        </w:rPr>
        <w:t xml:space="preserve">Lead Authors: </w:t>
      </w:r>
    </w:p>
    <w:p w14:paraId="75FFE29D"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Caroline Akachuku (Nigeria), Achille Assogbadjo (Benin), Emily Boyd (</w:t>
      </w:r>
      <w:r w:rsidRPr="009B0448">
        <w:rPr>
          <w:rFonts w:ascii="Times New Roman" w:eastAsia="Times New Roman" w:hAnsi="Times New Roman" w:cs="Times New Roman"/>
        </w:rPr>
        <w:t>United Kingdom</w:t>
      </w:r>
      <w:r w:rsidRPr="009B0448">
        <w:rPr>
          <w:rFonts w:ascii="Times New Roman" w:hAnsi="Times New Roman" w:cs="Times New Roman"/>
        </w:rPr>
        <w:t xml:space="preserve">), Edu Effiom (Nigeria), Peter Elias (Nigeria), Marwa W. A. Halmy (Egypt), Katja Heubach (Germany), Asia Mohamed (Sudan), Claire Ntshane (South Africa), Gabrielle Rajoelison (Madagascar) </w:t>
      </w:r>
    </w:p>
    <w:p w14:paraId="74A58536" w14:textId="77777777" w:rsidR="009B0448" w:rsidRPr="009B0448" w:rsidRDefault="009B0448" w:rsidP="009B0448">
      <w:pPr>
        <w:spacing w:line="276" w:lineRule="auto"/>
        <w:jc w:val="both"/>
        <w:rPr>
          <w:rFonts w:ascii="Times New Roman" w:hAnsi="Times New Roman" w:cs="Times New Roman"/>
          <w:b/>
        </w:rPr>
      </w:pPr>
    </w:p>
    <w:p w14:paraId="0CF46347" w14:textId="77777777" w:rsidR="009B0448" w:rsidRPr="009B0448" w:rsidRDefault="009B0448" w:rsidP="009B0448">
      <w:pPr>
        <w:spacing w:line="276" w:lineRule="auto"/>
        <w:jc w:val="both"/>
        <w:rPr>
          <w:rFonts w:ascii="Times New Roman" w:hAnsi="Times New Roman" w:cs="Times New Roman"/>
          <w:b/>
        </w:rPr>
      </w:pPr>
      <w:r w:rsidRPr="009B0448">
        <w:rPr>
          <w:rFonts w:ascii="Times New Roman" w:hAnsi="Times New Roman" w:cs="Times New Roman"/>
          <w:b/>
        </w:rPr>
        <w:t>Fellow:</w:t>
      </w:r>
    </w:p>
    <w:p w14:paraId="16915B9C"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Cosmas Lambini (Ghana)</w:t>
      </w:r>
    </w:p>
    <w:p w14:paraId="617427B7" w14:textId="77777777" w:rsidR="009B0448" w:rsidRPr="009B0448" w:rsidRDefault="009B0448" w:rsidP="009B0448">
      <w:pPr>
        <w:spacing w:line="276" w:lineRule="auto"/>
        <w:rPr>
          <w:rFonts w:ascii="Times New Roman" w:hAnsi="Times New Roman" w:cs="Times New Roman"/>
        </w:rPr>
      </w:pPr>
    </w:p>
    <w:p w14:paraId="4024929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Contributing Authors:</w:t>
      </w:r>
    </w:p>
    <w:p w14:paraId="56186F0A" w14:textId="77777777" w:rsidR="009B0448" w:rsidRPr="009B0448" w:rsidRDefault="009B0448" w:rsidP="009B0448">
      <w:pPr>
        <w:spacing w:line="276" w:lineRule="auto"/>
        <w:jc w:val="both"/>
        <w:rPr>
          <w:rFonts w:ascii="Times New Roman" w:hAnsi="Times New Roman" w:cs="Times New Roman"/>
          <w:b/>
          <w:lang w:val="fr-CA"/>
        </w:rPr>
      </w:pPr>
      <w:r w:rsidRPr="009B0448">
        <w:rPr>
          <w:rFonts w:ascii="Times New Roman" w:hAnsi="Times New Roman" w:cs="Times New Roman"/>
          <w:lang w:val="fr-CA"/>
        </w:rPr>
        <w:t>Aventino Kasangaki (Uganda), Ali Mahamane (Niger)</w:t>
      </w:r>
    </w:p>
    <w:p w14:paraId="0268B7B7" w14:textId="77777777" w:rsidR="009B0448" w:rsidRPr="009B0448" w:rsidRDefault="009B0448" w:rsidP="009B0448">
      <w:pPr>
        <w:spacing w:line="276" w:lineRule="auto"/>
        <w:rPr>
          <w:rFonts w:ascii="Times New Roman" w:hAnsi="Times New Roman" w:cs="Times New Roman"/>
          <w:lang w:val="fr-CA"/>
        </w:rPr>
      </w:pPr>
    </w:p>
    <w:p w14:paraId="307B1F6D" w14:textId="7E7152AA" w:rsidR="0020100B" w:rsidRPr="0020100B" w:rsidRDefault="009B0448" w:rsidP="009B0448">
      <w:pPr>
        <w:spacing w:line="276" w:lineRule="auto"/>
        <w:jc w:val="both"/>
        <w:rPr>
          <w:rFonts w:ascii="Times New Roman" w:hAnsi="Times New Roman" w:cs="Times New Roman"/>
          <w:b/>
        </w:rPr>
      </w:pPr>
      <w:r w:rsidRPr="009B0448">
        <w:rPr>
          <w:rFonts w:ascii="Times New Roman" w:hAnsi="Times New Roman" w:cs="Times New Roman"/>
          <w:b/>
        </w:rPr>
        <w:t>Review Editors:</w:t>
      </w:r>
    </w:p>
    <w:p w14:paraId="212F22E5" w14:textId="77777777" w:rsidR="0020100B" w:rsidRDefault="009B0448" w:rsidP="009B0448">
      <w:pPr>
        <w:spacing w:line="276" w:lineRule="auto"/>
        <w:rPr>
          <w:rFonts w:ascii="Times New Roman" w:hAnsi="Times New Roman" w:cs="Times New Roman"/>
        </w:rPr>
      </w:pPr>
      <w:r w:rsidRPr="009B0448">
        <w:rPr>
          <w:rFonts w:ascii="Times New Roman" w:hAnsi="Times New Roman" w:cs="Times New Roman"/>
        </w:rPr>
        <w:t>Hambulo Ngoma (Zambia), Gregor Schwerhoff (Germany)</w:t>
      </w:r>
    </w:p>
    <w:p w14:paraId="2EF9EBC4" w14:textId="77777777" w:rsidR="0020100B" w:rsidRDefault="0020100B" w:rsidP="009B0448">
      <w:pPr>
        <w:spacing w:line="276" w:lineRule="auto"/>
        <w:rPr>
          <w:rFonts w:ascii="Times New Roman" w:hAnsi="Times New Roman" w:cs="Times New Roman"/>
        </w:rPr>
      </w:pPr>
    </w:p>
    <w:p w14:paraId="7E41A574" w14:textId="77777777" w:rsidR="0020100B" w:rsidRDefault="0020100B" w:rsidP="009B0448">
      <w:pPr>
        <w:spacing w:line="276" w:lineRule="auto"/>
        <w:rPr>
          <w:rFonts w:ascii="Times New Roman" w:hAnsi="Times New Roman" w:cs="Times New Roman"/>
        </w:rPr>
      </w:pPr>
    </w:p>
    <w:p w14:paraId="377560C2" w14:textId="77777777" w:rsidR="0020100B" w:rsidRDefault="0020100B" w:rsidP="009B0448">
      <w:pPr>
        <w:spacing w:line="276" w:lineRule="auto"/>
        <w:rPr>
          <w:rFonts w:ascii="Times New Roman" w:hAnsi="Times New Roman" w:cs="Times New Roman"/>
        </w:rPr>
      </w:pPr>
    </w:p>
    <w:p w14:paraId="2D0DB1A5" w14:textId="77777777" w:rsidR="0020100B" w:rsidRDefault="0020100B" w:rsidP="009B0448">
      <w:pPr>
        <w:spacing w:line="276" w:lineRule="auto"/>
        <w:rPr>
          <w:rFonts w:ascii="Times New Roman" w:hAnsi="Times New Roman" w:cs="Times New Roman"/>
        </w:rPr>
      </w:pPr>
    </w:p>
    <w:p w14:paraId="123FEA13" w14:textId="77777777" w:rsidR="0020100B" w:rsidRDefault="0020100B" w:rsidP="0020100B">
      <w:pPr>
        <w:spacing w:line="276" w:lineRule="auto"/>
        <w:jc w:val="both"/>
        <w:rPr>
          <w:rFonts w:ascii="Times New Roman" w:hAnsi="Times New Roman" w:cs="Times New Roman"/>
        </w:rPr>
      </w:pPr>
    </w:p>
    <w:p w14:paraId="6D4885BF" w14:textId="77777777" w:rsidR="0020100B" w:rsidRPr="00E9484D" w:rsidRDefault="0020100B" w:rsidP="0020100B">
      <w:pPr>
        <w:spacing w:line="276" w:lineRule="auto"/>
        <w:jc w:val="both"/>
        <w:rPr>
          <w:rFonts w:ascii="Times New Roman" w:hAnsi="Times New Roman" w:cs="Times New Roman"/>
        </w:rPr>
      </w:pPr>
      <w:r w:rsidRPr="00E9484D">
        <w:rPr>
          <w:rFonts w:ascii="Times New Roman" w:hAnsi="Times New Roman" w:cs="Times New Roman"/>
        </w:rPr>
        <w:t xml:space="preserve">This chapter should be cited as: </w:t>
      </w:r>
    </w:p>
    <w:p w14:paraId="29E2587B" w14:textId="2050B74B" w:rsidR="009B0448" w:rsidRPr="009B0448" w:rsidRDefault="0020100B" w:rsidP="0020100B">
      <w:pPr>
        <w:spacing w:line="276" w:lineRule="auto"/>
        <w:jc w:val="both"/>
        <w:rPr>
          <w:rFonts w:ascii="Times New Roman" w:hAnsi="Times New Roman" w:cs="Times New Roman"/>
        </w:rPr>
      </w:pPr>
      <w:r w:rsidRPr="0020100B">
        <w:rPr>
          <w:rFonts w:ascii="Times New Roman" w:hAnsi="Times New Roman" w:cs="Times New Roman"/>
        </w:rPr>
        <w:t>Failler, P., Kasisi, R., Akachuku, C., Assogbadjo, A., Boyd, E., Effiom, E., Elias, P., Halmy, M. W. A., Heubach, K., Mohamed, A., Ntshane, C., Rajoelison, G., Lambini, C., Kasangaki, A., and Mahamane, A. Chapter 1: Nature’s contributions to people and quality of life. In IPBES (2018): The IPBES regional assessment report on biodiversity and ecosystem services for Africa. Archer, E., Dziba, L., Mulongoy, K. J., Maoela, M. A., and Walters, M. (Eds.). Secretariat of the Intergovernmental Science-Policy Platform on Biodiversity and Ecosystem services, Bonn, Germany, pp. xx–xx.</w:t>
      </w:r>
      <w:r w:rsidR="009B0448" w:rsidRPr="009B0448">
        <w:rPr>
          <w:rFonts w:ascii="Times New Roman" w:hAnsi="Times New Roman" w:cs="Times New Roman"/>
        </w:rPr>
        <w:br w:type="page"/>
      </w:r>
    </w:p>
    <w:p w14:paraId="6B69375F" w14:textId="77777777" w:rsidR="009B0448" w:rsidRPr="009B0448" w:rsidRDefault="009B0448" w:rsidP="009B0448">
      <w:pPr>
        <w:pStyle w:val="Heading3"/>
        <w:widowControl w:val="0"/>
        <w:spacing w:before="240" w:after="240"/>
        <w:ind w:left="-11" w:firstLine="0"/>
        <w:rPr>
          <w:rFonts w:eastAsia="Calibri" w:cs="Times New Roman"/>
          <w:szCs w:val="24"/>
        </w:rPr>
      </w:pPr>
      <w:bookmarkStart w:id="54" w:name="_Toc519499802"/>
      <w:r w:rsidRPr="009B0448">
        <w:rPr>
          <w:rFonts w:eastAsia="Calibri" w:cs="Times New Roman"/>
          <w:szCs w:val="24"/>
        </w:rPr>
        <w:lastRenderedPageBreak/>
        <w:t>Executive summary</w:t>
      </w:r>
      <w:bookmarkEnd w:id="54"/>
    </w:p>
    <w:p w14:paraId="3E7E1A28"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b/>
          <w:bCs/>
          <w:color w:val="auto"/>
        </w:rPr>
        <w:t xml:space="preserve">Africa’s natural assets and associated contributions to people are underutilised in some </w:t>
      </w:r>
      <w:r w:rsidRPr="009B0448">
        <w:rPr>
          <w:rFonts w:ascii="Times New Roman" w:eastAsia="Times New Roman" w:hAnsi="Times New Roman" w:cs="Times New Roman"/>
          <w:b/>
          <w:bCs/>
          <w:noProof/>
          <w:color w:val="auto"/>
        </w:rPr>
        <w:t xml:space="preserve">areas, </w:t>
      </w:r>
      <w:r w:rsidRPr="009B0448">
        <w:rPr>
          <w:rFonts w:ascii="Times New Roman" w:eastAsia="Times New Roman" w:hAnsi="Times New Roman" w:cs="Times New Roman"/>
          <w:b/>
          <w:bCs/>
          <w:color w:val="auto"/>
        </w:rPr>
        <w:t xml:space="preserve">but are generally in decline due to a range of natural and human activities </w:t>
      </w:r>
      <w:r w:rsidRPr="009B0448">
        <w:rPr>
          <w:rFonts w:ascii="Times New Roman" w:eastAsia="Times New Roman" w:hAnsi="Times New Roman" w:cs="Times New Roman"/>
          <w:b/>
          <w:bCs/>
          <w:i/>
          <w:color w:val="auto"/>
        </w:rPr>
        <w:t>(well established)</w:t>
      </w:r>
      <w:r w:rsidRPr="009B0448">
        <w:rPr>
          <w:rFonts w:ascii="Times New Roman" w:eastAsia="Times New Roman" w:hAnsi="Times New Roman" w:cs="Times New Roman"/>
          <w:b/>
          <w:bCs/>
          <w:color w:val="auto"/>
        </w:rPr>
        <w:t xml:space="preserve">. </w:t>
      </w:r>
      <w:r w:rsidRPr="009B0448">
        <w:rPr>
          <w:rFonts w:ascii="Times New Roman" w:eastAsia="Times New Roman" w:hAnsi="Times New Roman" w:cs="Times New Roman"/>
          <w:color w:val="auto"/>
        </w:rPr>
        <w:t xml:space="preserve">Use and distribution of water resources </w:t>
      </w:r>
      <w:r w:rsidRPr="009B0448">
        <w:rPr>
          <w:rFonts w:ascii="Times New Roman" w:eastAsia="Times New Roman" w:hAnsi="Times New Roman" w:cs="Times New Roman"/>
          <w:noProof/>
          <w:color w:val="auto"/>
        </w:rPr>
        <w:t>are</w:t>
      </w:r>
      <w:r w:rsidRPr="009B0448">
        <w:rPr>
          <w:rFonts w:ascii="Times New Roman" w:eastAsia="Times New Roman" w:hAnsi="Times New Roman" w:cs="Times New Roman"/>
          <w:color w:val="auto"/>
        </w:rPr>
        <w:t xml:space="preserve"> uneven among both water-scarce and water-rich regions, countries </w:t>
      </w:r>
      <w:r w:rsidRPr="009B0448">
        <w:rPr>
          <w:rFonts w:ascii="Times New Roman" w:eastAsia="Times New Roman" w:hAnsi="Times New Roman" w:cs="Times New Roman"/>
          <w:noProof/>
          <w:color w:val="auto"/>
        </w:rPr>
        <w:t>and</w:t>
      </w:r>
      <w:r w:rsidRPr="009B0448">
        <w:rPr>
          <w:rFonts w:ascii="Times New Roman" w:eastAsia="Times New Roman" w:hAnsi="Times New Roman" w:cs="Times New Roman"/>
          <w:color w:val="auto"/>
        </w:rPr>
        <w:t xml:space="preserve"> communities, and remains, in certain areas, a source of conflict. Africa has abundant and diversified energy sources, including oil and gas and clean energy; but access remains uneven. Renewable energies could provide economically and environmentally attractive alternatives for many countries, while realisation of hydropower potential has remained limited. Despite the presence of a significant portion of the world’s arable uncultivated lands, both food production and access experience patterns of constraint in certain areas. Furthermore, little value is added to agriculture, forest, agroforest, livestock and fishery products through industrialisation and processing {2.4.1, 2.4.2}. </w:t>
      </w:r>
    </w:p>
    <w:p w14:paraId="06BE3C4A" w14:textId="77777777" w:rsidR="009B0448" w:rsidRPr="009B0448" w:rsidRDefault="009B0448" w:rsidP="009B0448">
      <w:pPr>
        <w:spacing w:line="276" w:lineRule="auto"/>
        <w:jc w:val="both"/>
        <w:rPr>
          <w:rFonts w:ascii="Times New Roman" w:eastAsia="Times New Roman" w:hAnsi="Times New Roman" w:cs="Times New Roman"/>
          <w:color w:val="auto"/>
        </w:rPr>
      </w:pPr>
    </w:p>
    <w:p w14:paraId="4B1B887F"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b/>
          <w:color w:val="auto"/>
        </w:rPr>
        <w:t xml:space="preserve">Africa’s waters are known for the abundance of their fishery resources, with the six Large Marine Ecosystems (LMEs) ranking within the first four most productive LMEs in the world </w:t>
      </w:r>
      <w:r w:rsidRPr="009B0448">
        <w:rPr>
          <w:rFonts w:ascii="Times New Roman" w:hAnsi="Times New Roman" w:cs="Times New Roman"/>
          <w:b/>
          <w:i/>
          <w:color w:val="auto"/>
        </w:rPr>
        <w:t>(inconclusive).</w:t>
      </w:r>
      <w:r w:rsidRPr="009B0448">
        <w:rPr>
          <w:rFonts w:ascii="Times New Roman" w:hAnsi="Times New Roman" w:cs="Times New Roman"/>
          <w:color w:val="auto"/>
        </w:rPr>
        <w:t xml:space="preserve"> The fisheries of Africa provide a source of livelihood for 8 million active fishers and their families. If all catches were landed in Africa, African fisheries could contribute a landed value of $20 billion to national economies, with an additional 3.6 billion injected by the small-scale fishing sectors across the value chain. Despite regional differences, current trends in fisheries catch data from LMEs in Africa reaffirm a need for equitable and sustainable use. Overall catches increased from 2.1 million tons in 1950 to 16.7 million tons in </w:t>
      </w:r>
      <w:r w:rsidRPr="009B0448">
        <w:rPr>
          <w:rFonts w:ascii="Times New Roman" w:hAnsi="Times New Roman" w:cs="Times New Roman"/>
          <w:noProof/>
          <w:color w:val="auto"/>
        </w:rPr>
        <w:t>1988</w:t>
      </w:r>
      <w:r w:rsidRPr="009B0448">
        <w:rPr>
          <w:rFonts w:ascii="Times New Roman" w:hAnsi="Times New Roman" w:cs="Times New Roman"/>
          <w:color w:val="auto"/>
        </w:rPr>
        <w:t xml:space="preserve"> and then decreased to 12.4 million tons in 2010. The artisanal sector, whose landed value reached $4 billion in 2010, is in decline since 2004 along with the industrial sector’s catch, despite an increasing fishing effort {1.3.4.1.2, 1.3.4.1.3, 2.2.1}.</w:t>
      </w:r>
    </w:p>
    <w:p w14:paraId="7A505104" w14:textId="77777777" w:rsidR="009B0448" w:rsidRPr="009B0448" w:rsidRDefault="009B0448" w:rsidP="009B0448">
      <w:pPr>
        <w:spacing w:line="276" w:lineRule="auto"/>
        <w:jc w:val="both"/>
        <w:rPr>
          <w:rFonts w:ascii="Times New Roman" w:hAnsi="Times New Roman" w:cs="Times New Roman"/>
          <w:color w:val="auto"/>
        </w:rPr>
      </w:pPr>
    </w:p>
    <w:p w14:paraId="76410155" w14:textId="77777777" w:rsidR="009B0448" w:rsidRPr="009B0448" w:rsidRDefault="009B0448" w:rsidP="009B0448">
      <w:pPr>
        <w:spacing w:line="276" w:lineRule="auto"/>
        <w:jc w:val="both"/>
        <w:rPr>
          <w:rFonts w:ascii="Times New Roman" w:eastAsia="Times New Roman" w:hAnsi="Times New Roman" w:cs="Times New Roman"/>
          <w:bCs/>
          <w:color w:val="auto"/>
          <w:shd w:val="clear" w:color="auto" w:fill="FFFFFF"/>
        </w:rPr>
      </w:pPr>
      <w:r w:rsidRPr="009B0448">
        <w:rPr>
          <w:rFonts w:ascii="Times New Roman" w:eastAsia="Times New Roman" w:hAnsi="Times New Roman" w:cs="Times New Roman"/>
          <w:b/>
          <w:bCs/>
          <w:color w:val="auto"/>
          <w:shd w:val="clear" w:color="auto" w:fill="FFFFFF"/>
        </w:rPr>
        <w:t xml:space="preserve">Non-Timber Forest Products (NTFPs) contribute significantly to maintain livelihoods of rural communities in Africa </w:t>
      </w:r>
      <w:r w:rsidRPr="009B0448">
        <w:rPr>
          <w:rFonts w:ascii="Times New Roman" w:eastAsia="Times New Roman" w:hAnsi="Times New Roman" w:cs="Times New Roman"/>
          <w:b/>
          <w:bCs/>
          <w:i/>
          <w:color w:val="auto"/>
          <w:shd w:val="clear" w:color="auto" w:fill="FFFFFF"/>
        </w:rPr>
        <w:t>(well-established).</w:t>
      </w:r>
      <w:r w:rsidRPr="009B0448">
        <w:rPr>
          <w:rFonts w:ascii="Times New Roman" w:eastAsia="Times New Roman" w:hAnsi="Times New Roman" w:cs="Times New Roman"/>
          <w:b/>
          <w:bCs/>
          <w:color w:val="auto"/>
          <w:shd w:val="clear" w:color="auto" w:fill="FFFFFF"/>
        </w:rPr>
        <w:t xml:space="preserve"> </w:t>
      </w:r>
      <w:r w:rsidRPr="009B0448">
        <w:rPr>
          <w:rFonts w:ascii="Times New Roman" w:eastAsia="Times New Roman" w:hAnsi="Times New Roman" w:cs="Times New Roman"/>
          <w:bCs/>
          <w:color w:val="auto"/>
          <w:shd w:val="clear" w:color="auto" w:fill="FFFFFF"/>
        </w:rPr>
        <w:t xml:space="preserve">There is a growing evidence that NTFPs are essential income source in </w:t>
      </w:r>
      <w:r w:rsidRPr="009B0448">
        <w:rPr>
          <w:rFonts w:ascii="Times New Roman" w:eastAsia="Times New Roman" w:hAnsi="Times New Roman" w:cs="Times New Roman"/>
          <w:bCs/>
          <w:noProof/>
          <w:color w:val="auto"/>
          <w:shd w:val="clear" w:color="auto" w:fill="FFFFFF"/>
        </w:rPr>
        <w:t>the total</w:t>
      </w:r>
      <w:r w:rsidRPr="009B0448">
        <w:rPr>
          <w:rFonts w:ascii="Times New Roman" w:eastAsia="Times New Roman" w:hAnsi="Times New Roman" w:cs="Times New Roman"/>
          <w:bCs/>
          <w:color w:val="auto"/>
          <w:shd w:val="clear" w:color="auto" w:fill="FFFFFF"/>
        </w:rPr>
        <w:t xml:space="preserve"> household economy in African rural communities in Africa. For example, wild and plants fruit trees on common land make up to 15%, 10% and 27 of total income (subsistence and cash income) in Malawi, DRC, and Ethiopia respectively. Due to growing demand for conversion of land for cultivation purposes, growing populations in certain areas, the availability of NTFPs is threatened {2.2.1.2}. </w:t>
      </w:r>
    </w:p>
    <w:p w14:paraId="36DD15E3" w14:textId="77777777" w:rsidR="009B0448" w:rsidRPr="009B0448" w:rsidRDefault="009B0448" w:rsidP="009B0448">
      <w:pPr>
        <w:spacing w:line="276" w:lineRule="auto"/>
        <w:jc w:val="both"/>
        <w:rPr>
          <w:rFonts w:ascii="Times New Roman" w:eastAsia="Times New Roman" w:hAnsi="Times New Roman" w:cs="Times New Roman"/>
          <w:bCs/>
          <w:color w:val="auto"/>
          <w:shd w:val="clear" w:color="auto" w:fill="FFFFFF"/>
        </w:rPr>
      </w:pPr>
    </w:p>
    <w:p w14:paraId="5A9D709E" w14:textId="77777777" w:rsidR="009B0448" w:rsidRPr="009B0448" w:rsidRDefault="009B0448" w:rsidP="009B0448">
      <w:pPr>
        <w:spacing w:line="276" w:lineRule="auto"/>
        <w:jc w:val="both"/>
        <w:rPr>
          <w:rFonts w:ascii="Times New Roman" w:eastAsia="Times New Roman" w:hAnsi="Times New Roman" w:cs="Times New Roman"/>
          <w:bCs/>
          <w:color w:val="auto"/>
          <w:shd w:val="clear" w:color="auto" w:fill="FFFFFF"/>
        </w:rPr>
      </w:pPr>
      <w:r w:rsidRPr="009B0448">
        <w:rPr>
          <w:rFonts w:ascii="Times New Roman" w:eastAsia="Times New Roman" w:hAnsi="Times New Roman" w:cs="Times New Roman"/>
          <w:b/>
          <w:bCs/>
          <w:color w:val="auto"/>
          <w:shd w:val="clear" w:color="auto" w:fill="FFFFFF"/>
        </w:rPr>
        <w:t xml:space="preserve">Woodfuel plays an important role in energy provision in Africa (in particular sub-Saharan Africa) and serves as a critical resource for physical and socio-economic development in both rural and urban communities, a trend that is likely to continue </w:t>
      </w:r>
      <w:r w:rsidRPr="009B0448">
        <w:rPr>
          <w:rFonts w:ascii="Times New Roman" w:eastAsia="Times New Roman" w:hAnsi="Times New Roman" w:cs="Times New Roman"/>
          <w:b/>
          <w:bCs/>
          <w:i/>
          <w:color w:val="auto"/>
          <w:shd w:val="clear" w:color="auto" w:fill="FFFFFF"/>
        </w:rPr>
        <w:t>(well-established)</w:t>
      </w:r>
      <w:r w:rsidRPr="009B0448">
        <w:rPr>
          <w:rFonts w:ascii="Times New Roman" w:eastAsia="Times New Roman" w:hAnsi="Times New Roman" w:cs="Times New Roman"/>
          <w:b/>
          <w:bCs/>
          <w:color w:val="auto"/>
          <w:shd w:val="clear" w:color="auto" w:fill="FFFFFF"/>
        </w:rPr>
        <w:t xml:space="preserve">. </w:t>
      </w:r>
      <w:r w:rsidRPr="009B0448">
        <w:rPr>
          <w:rFonts w:ascii="Times New Roman" w:eastAsia="Times New Roman" w:hAnsi="Times New Roman" w:cs="Times New Roman"/>
          <w:bCs/>
          <w:color w:val="auto"/>
          <w:shd w:val="clear" w:color="auto" w:fill="FFFFFF"/>
        </w:rPr>
        <w:t xml:space="preserve">Woodfuels account for &gt;80% of primary energy supply in sub-Saharan Africa, where &gt;90% of the population rely on firewood and charcoal for energy, especially for cooking. The demand for charcoal is </w:t>
      </w:r>
      <w:r w:rsidRPr="009B0448">
        <w:rPr>
          <w:rFonts w:ascii="Times New Roman" w:eastAsia="Times New Roman" w:hAnsi="Times New Roman" w:cs="Times New Roman"/>
          <w:bCs/>
          <w:noProof/>
          <w:color w:val="auto"/>
          <w:shd w:val="clear" w:color="auto" w:fill="FFFFFF"/>
        </w:rPr>
        <w:t>growing</w:t>
      </w:r>
      <w:r w:rsidRPr="009B0448">
        <w:rPr>
          <w:rFonts w:ascii="Times New Roman" w:eastAsia="Times New Roman" w:hAnsi="Times New Roman" w:cs="Times New Roman"/>
          <w:bCs/>
          <w:color w:val="auto"/>
          <w:shd w:val="clear" w:color="auto" w:fill="FFFFFF"/>
        </w:rPr>
        <w:t xml:space="preserve"> and is expected to increase further, with likely negative effects </w:t>
      </w:r>
      <w:r w:rsidRPr="009B0448">
        <w:rPr>
          <w:rFonts w:ascii="Times New Roman" w:eastAsia="Times New Roman" w:hAnsi="Times New Roman" w:cs="Times New Roman"/>
          <w:bCs/>
          <w:noProof/>
          <w:color w:val="auto"/>
          <w:shd w:val="clear" w:color="auto" w:fill="FFFFFF"/>
        </w:rPr>
        <w:t xml:space="preserve">on </w:t>
      </w:r>
      <w:r w:rsidRPr="009B0448">
        <w:rPr>
          <w:rFonts w:ascii="Times New Roman" w:eastAsia="Times New Roman" w:hAnsi="Times New Roman" w:cs="Times New Roman"/>
          <w:bCs/>
          <w:color w:val="auto"/>
          <w:shd w:val="clear" w:color="auto" w:fill="FFFFFF"/>
        </w:rPr>
        <w:t xml:space="preserve">health, socio-economic activities and environmental health under business-as-usual scenarios. Despite woodfuel values and increase in demand, the topic tends to be under-represented in policy, with emphasis instead on the need to gaining access to ‘modern energy’ sources such as electricity and kerosene. Africa sees a clear need to promote and guarantee renewable energy security, availability, </w:t>
      </w:r>
      <w:r w:rsidRPr="009B0448">
        <w:rPr>
          <w:rFonts w:ascii="Times New Roman" w:eastAsia="Times New Roman" w:hAnsi="Times New Roman" w:cs="Times New Roman"/>
          <w:bCs/>
          <w:noProof/>
          <w:color w:val="auto"/>
          <w:shd w:val="clear" w:color="auto" w:fill="FFFFFF"/>
        </w:rPr>
        <w:t>and</w:t>
      </w:r>
      <w:r w:rsidRPr="009B0448">
        <w:rPr>
          <w:rFonts w:ascii="Times New Roman" w:eastAsia="Times New Roman" w:hAnsi="Times New Roman" w:cs="Times New Roman"/>
          <w:bCs/>
          <w:color w:val="auto"/>
          <w:shd w:val="clear" w:color="auto" w:fill="FFFFFF"/>
        </w:rPr>
        <w:t xml:space="preserve"> reliability for human comfort {1.3.4, 2.2.1.2}. </w:t>
      </w:r>
    </w:p>
    <w:p w14:paraId="64F63E5B" w14:textId="77777777" w:rsidR="009B0448" w:rsidRPr="009B0448" w:rsidRDefault="009B0448" w:rsidP="009B0448">
      <w:pPr>
        <w:spacing w:line="276" w:lineRule="auto"/>
        <w:jc w:val="both"/>
        <w:rPr>
          <w:rFonts w:ascii="Times New Roman" w:eastAsia="Times New Roman" w:hAnsi="Times New Roman" w:cs="Times New Roman"/>
          <w:bCs/>
          <w:color w:val="auto"/>
          <w:shd w:val="clear" w:color="auto" w:fill="FFFFFF"/>
        </w:rPr>
      </w:pPr>
    </w:p>
    <w:p w14:paraId="55C3048C"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b/>
          <w:bCs/>
          <w:color w:val="auto"/>
          <w:shd w:val="clear" w:color="auto" w:fill="FFFFFF"/>
        </w:rPr>
        <w:t xml:space="preserve">Africa has a significant amount of undocumented indigenous local knowledge that would enhance our understanding of biodiversity and ecosystem services status and trends </w:t>
      </w:r>
      <w:r w:rsidRPr="009B0448">
        <w:rPr>
          <w:rFonts w:ascii="Times New Roman" w:eastAsia="Times New Roman" w:hAnsi="Times New Roman" w:cs="Times New Roman"/>
          <w:b/>
          <w:bCs/>
          <w:i/>
          <w:color w:val="auto"/>
          <w:shd w:val="clear" w:color="auto" w:fill="FFFFFF"/>
        </w:rPr>
        <w:t>(inconclusive).</w:t>
      </w:r>
      <w:r w:rsidRPr="009B0448">
        <w:rPr>
          <w:rFonts w:ascii="Times New Roman" w:eastAsia="Times New Roman" w:hAnsi="Times New Roman" w:cs="Times New Roman"/>
          <w:color w:val="auto"/>
        </w:rPr>
        <w:t xml:space="preserve"> </w:t>
      </w:r>
      <w:r w:rsidRPr="009B0448">
        <w:rPr>
          <w:rFonts w:ascii="Times New Roman" w:hAnsi="Times New Roman" w:cs="Times New Roman"/>
          <w:color w:val="auto"/>
          <w:shd w:val="clear" w:color="auto" w:fill="FFFFFF"/>
        </w:rPr>
        <w:t xml:space="preserve">Indigenous local knowledge of the status and trends of biodiversity may be particularly critical in Africa, due to the relative dearth of scientific biodiversity studies relative to other regions (Chapter 3). </w:t>
      </w:r>
      <w:r w:rsidRPr="009B0448">
        <w:rPr>
          <w:rFonts w:ascii="Times New Roman" w:hAnsi="Times New Roman" w:cs="Times New Roman"/>
          <w:color w:val="auto"/>
          <w:shd w:val="clear" w:color="auto" w:fill="FFFFFF"/>
        </w:rPr>
        <w:lastRenderedPageBreak/>
        <w:t xml:space="preserve">Indigenous and local knowledge is critical to the management and sustainable use of biodiversity and ecosystem services in Africa because of the strong but poorly understood links between biodiversity, ecosystem services, spirituality, culture, </w:t>
      </w:r>
      <w:r w:rsidRPr="009B0448">
        <w:rPr>
          <w:rFonts w:ascii="Times New Roman" w:hAnsi="Times New Roman" w:cs="Times New Roman"/>
          <w:noProof/>
          <w:color w:val="auto"/>
          <w:shd w:val="clear" w:color="auto" w:fill="FFFFFF"/>
        </w:rPr>
        <w:t>and</w:t>
      </w:r>
      <w:r w:rsidRPr="009B0448">
        <w:rPr>
          <w:rFonts w:ascii="Times New Roman" w:hAnsi="Times New Roman" w:cs="Times New Roman"/>
          <w:color w:val="auto"/>
          <w:shd w:val="clear" w:color="auto" w:fill="FFFFFF"/>
        </w:rPr>
        <w:t xml:space="preserve"> identity. Africa’s high cultural diversity with </w:t>
      </w:r>
      <w:r w:rsidRPr="009B0448">
        <w:rPr>
          <w:rFonts w:ascii="Times New Roman" w:hAnsi="Times New Roman" w:cs="Times New Roman"/>
          <w:noProof/>
          <w:color w:val="auto"/>
          <w:shd w:val="clear" w:color="auto" w:fill="FFFFFF"/>
        </w:rPr>
        <w:t>a multitude</w:t>
      </w:r>
      <w:r w:rsidRPr="009B0448">
        <w:rPr>
          <w:rFonts w:ascii="Times New Roman" w:hAnsi="Times New Roman" w:cs="Times New Roman"/>
          <w:color w:val="auto"/>
          <w:shd w:val="clear" w:color="auto" w:fill="FFFFFF"/>
        </w:rPr>
        <w:t xml:space="preserve"> of unique ethnicities and social groups shows specificity with regards to resource use and management of selected material and non-material nature’s contributions. This diversity also results in </w:t>
      </w:r>
      <w:r w:rsidRPr="009B0448">
        <w:rPr>
          <w:rFonts w:ascii="Times New Roman" w:hAnsi="Times New Roman" w:cs="Times New Roman"/>
          <w:noProof/>
          <w:color w:val="auto"/>
          <w:shd w:val="clear" w:color="auto" w:fill="FFFFFF"/>
        </w:rPr>
        <w:t>different</w:t>
      </w:r>
      <w:r w:rsidRPr="009B0448">
        <w:rPr>
          <w:rFonts w:ascii="Times New Roman" w:hAnsi="Times New Roman" w:cs="Times New Roman"/>
          <w:color w:val="auto"/>
          <w:shd w:val="clear" w:color="auto" w:fill="FFFFFF"/>
        </w:rPr>
        <w:t xml:space="preserve"> perception of nature and interaction with natural ecosystems, thus building unique indigenous and local knowledge for the various countries and localities in the continent over millions of years of interaction between indigenous and local people and nature {2.2.3.3, 4.4.7}.</w:t>
      </w:r>
    </w:p>
    <w:p w14:paraId="35924062" w14:textId="77777777" w:rsidR="009B0448" w:rsidRPr="009B0448" w:rsidRDefault="009B0448" w:rsidP="009B0448">
      <w:pPr>
        <w:spacing w:line="276" w:lineRule="auto"/>
        <w:rPr>
          <w:rFonts w:ascii="Times New Roman" w:hAnsi="Times New Roman" w:cs="Times New Roman"/>
          <w:color w:val="auto"/>
          <w:shd w:val="clear" w:color="auto" w:fill="FFFFFF"/>
        </w:rPr>
      </w:pPr>
      <w:r w:rsidRPr="009B0448">
        <w:rPr>
          <w:rFonts w:ascii="Times New Roman" w:hAnsi="Times New Roman" w:cs="Times New Roman"/>
          <w:color w:val="FF0000"/>
          <w:shd w:val="clear" w:color="auto" w:fill="FFFFFF"/>
        </w:rPr>
        <w:br w:type="page"/>
      </w:r>
    </w:p>
    <w:p w14:paraId="46BCBB0E" w14:textId="77777777" w:rsidR="009B0448" w:rsidRPr="009B0448" w:rsidRDefault="009B0448" w:rsidP="00FA7185">
      <w:pPr>
        <w:pStyle w:val="Heading3"/>
        <w:widowControl w:val="0"/>
        <w:numPr>
          <w:ilvl w:val="1"/>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55" w:name="_Toc501997876"/>
      <w:bookmarkStart w:id="56" w:name="_Toc519499803"/>
      <w:r w:rsidRPr="009B0448">
        <w:rPr>
          <w:rFonts w:eastAsia="Calibri" w:cs="Times New Roman"/>
          <w:szCs w:val="24"/>
        </w:rPr>
        <w:lastRenderedPageBreak/>
        <w:t>Introduction</w:t>
      </w:r>
      <w:bookmarkEnd w:id="55"/>
      <w:bookmarkEnd w:id="56"/>
    </w:p>
    <w:p w14:paraId="5160DE8D"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Millennium Ecosystem Assessment (MA) contextualized, in 2003, the linkages between nature and human well-being with the concept of Ecosystem Services (Beaumont </w:t>
      </w:r>
      <w:r w:rsidRPr="009B0448">
        <w:rPr>
          <w:rFonts w:ascii="Times New Roman" w:hAnsi="Times New Roman" w:cs="Times New Roman"/>
          <w:i/>
        </w:rPr>
        <w:t>et al.</w:t>
      </w:r>
      <w:r w:rsidRPr="009B0448">
        <w:rPr>
          <w:rFonts w:ascii="Times New Roman" w:hAnsi="Times New Roman" w:cs="Times New Roman"/>
        </w:rPr>
        <w:t xml:space="preserve">, 2007; Balvanera </w:t>
      </w:r>
      <w:r w:rsidRPr="009B0448">
        <w:rPr>
          <w:rFonts w:ascii="Times New Roman" w:hAnsi="Times New Roman" w:cs="Times New Roman"/>
          <w:i/>
        </w:rPr>
        <w:t>et al.</w:t>
      </w:r>
      <w:r w:rsidRPr="009B0448">
        <w:rPr>
          <w:rFonts w:ascii="Times New Roman" w:hAnsi="Times New Roman" w:cs="Times New Roman"/>
        </w:rPr>
        <w:t xml:space="preserve">, 2006; Akachuku, 2008; Nelson </w:t>
      </w:r>
      <w:r w:rsidRPr="009B0448">
        <w:rPr>
          <w:rFonts w:ascii="Times New Roman" w:hAnsi="Times New Roman" w:cs="Times New Roman"/>
          <w:i/>
        </w:rPr>
        <w:t>et al.</w:t>
      </w:r>
      <w:r w:rsidRPr="009B0448">
        <w:rPr>
          <w:rFonts w:ascii="Times New Roman" w:hAnsi="Times New Roman" w:cs="Times New Roman"/>
        </w:rPr>
        <w:t>, 2009). More recently, in 2015, the Intergovernmental Platform on Biodiversity and Ecosystem Services (IPBES) conceptualised nature’s benefits (ecosystem goods and services) to people, their contribution to good quality of life, including the drivers of change and the impacts they have on human well-being as the nature’s contributions to people, arranged into three main categories (Table 2.1; Figure 2.1): material contributions, non-material contributions and regulating contributions (</w:t>
      </w:r>
      <w:r w:rsidRPr="009B0448">
        <w:rPr>
          <w:rFonts w:ascii="Times New Roman" w:eastAsia="Times New Roman" w:hAnsi="Times New Roman" w:cs="Times New Roman"/>
        </w:rPr>
        <w:t>Díaz</w:t>
      </w:r>
      <w:r w:rsidRPr="009B0448">
        <w:rPr>
          <w:rFonts w:ascii="Times New Roman" w:hAnsi="Times New Roman" w:cs="Times New Roman"/>
        </w:rPr>
        <w:t xml:space="preserve"> </w:t>
      </w:r>
      <w:r w:rsidRPr="009B0448">
        <w:rPr>
          <w:rFonts w:ascii="Times New Roman" w:hAnsi="Times New Roman" w:cs="Times New Roman"/>
          <w:i/>
        </w:rPr>
        <w:t>et al.</w:t>
      </w:r>
      <w:r w:rsidRPr="009B0448">
        <w:rPr>
          <w:rFonts w:ascii="Times New Roman" w:hAnsi="Times New Roman" w:cs="Times New Roman"/>
        </w:rPr>
        <w:t xml:space="preserve">, 2015). Since the adoption of the 2011–2020 Strategic Plan for Biodiversity, the focus has been as to how to mainstream the concept of natural assets and ecosystem services into policies and decision-making processes. As indicated in Chapter 1, integrating ecosystem services into policy is critical for the African continent, as ecosystem services have not yet been regarded as a crucial element of the human systems. </w:t>
      </w:r>
    </w:p>
    <w:p w14:paraId="0C46B898" w14:textId="77777777" w:rsidR="009B0448" w:rsidRPr="009B0448" w:rsidRDefault="009B0448" w:rsidP="009B0448">
      <w:pPr>
        <w:spacing w:line="276" w:lineRule="auto"/>
        <w:jc w:val="both"/>
        <w:rPr>
          <w:rFonts w:ascii="Times New Roman" w:hAnsi="Times New Roman" w:cs="Times New Roman"/>
        </w:rPr>
      </w:pPr>
    </w:p>
    <w:p w14:paraId="10244BE1"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Chapter 2 reflects on the IPBES conceptual framework boxes “Nature’s contributions to people” and “Good quality of life”, as well as </w:t>
      </w:r>
      <w:r w:rsidRPr="009B0448">
        <w:rPr>
          <w:rFonts w:ascii="Times New Roman" w:hAnsi="Times New Roman" w:cs="Times New Roman"/>
          <w:noProof/>
        </w:rPr>
        <w:t>the valuation</w:t>
      </w:r>
      <w:r w:rsidRPr="009B0448">
        <w:rPr>
          <w:rFonts w:ascii="Times New Roman" w:hAnsi="Times New Roman" w:cs="Times New Roman"/>
        </w:rPr>
        <w:t xml:space="preserve"> of NCP and ecosystem services values when available. The chapter reflects Goal D of the Strategic Plan for Biodiversity, which is to enhance the benefits to all from biodiversity and ecosystem services. It further addresses issues related to the Aichi Biodiversity Targets, the Sustainable Development Goals (SDGs) and the Intergovernmental Platform for Climate Change (IPCC). It assesses the values and status of nature’s contributions to people, </w:t>
      </w:r>
      <w:r w:rsidRPr="009B0448">
        <w:rPr>
          <w:rFonts w:ascii="Times New Roman" w:hAnsi="Times New Roman" w:cs="Times New Roman"/>
          <w:noProof/>
        </w:rPr>
        <w:t>including</w:t>
      </w:r>
      <w:r w:rsidRPr="009B0448">
        <w:rPr>
          <w:rFonts w:ascii="Times New Roman" w:hAnsi="Times New Roman" w:cs="Times New Roman"/>
        </w:rPr>
        <w:t xml:space="preserve"> the interrelationship between biodiversity; ecosystem functions and society; the geographical differences between production and use of ecosystem services; and trends and future dynamics of ecosystem goods and services. </w:t>
      </w:r>
    </w:p>
    <w:p w14:paraId="5B7FB41A" w14:textId="77777777" w:rsidR="009B0448" w:rsidRPr="009B0448" w:rsidRDefault="009B0448" w:rsidP="009B0448">
      <w:pPr>
        <w:spacing w:line="276" w:lineRule="auto"/>
        <w:jc w:val="both"/>
        <w:rPr>
          <w:rFonts w:ascii="Times New Roman" w:hAnsi="Times New Roman" w:cs="Times New Roman"/>
        </w:rPr>
      </w:pPr>
    </w:p>
    <w:p w14:paraId="4D2D4095"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Overall, NCPs </w:t>
      </w:r>
      <w:r w:rsidRPr="009B0448">
        <w:rPr>
          <w:rFonts w:ascii="Times New Roman" w:hAnsi="Times New Roman" w:cs="Times New Roman"/>
          <w:noProof/>
        </w:rPr>
        <w:t>are</w:t>
      </w:r>
      <w:r w:rsidRPr="009B0448">
        <w:rPr>
          <w:rFonts w:ascii="Times New Roman" w:hAnsi="Times New Roman" w:cs="Times New Roman"/>
        </w:rPr>
        <w:t xml:space="preserve"> particularly important in Africa since a large proportion of the population live in rural areas, and rely quasi-exclusively on material ecosystem services for their livelihoods and, to a significant extent, for their health. Nevertheless, quantity and quality of NCPs tend to decrease due to the overuse of resources, degradation of natural habitats and biodiversity, the increase of all kinds of pollution alongside with the current and future changes incurred by climate change (Chapters 1, 3, &amp; 4). Valuation of ecosystem services is recent in Africa and limited to the provisioning services for food (fish), raw material (wood), medicinal uses (plants, etc.) and regulating ones (water). In this regard, limited monetary values have been produced for a limited number of services. Valuation of NCP has proven to be a useful method to define baselines as well as indicating changes in food, energy, livelihood and health security; and their linkages to biodiversity and ecosystem functions and services that are also critical to social relationships, spirituality and cultural identity.</w:t>
      </w:r>
    </w:p>
    <w:p w14:paraId="5C1366A0" w14:textId="77777777" w:rsidR="009B0448" w:rsidRPr="009B0448" w:rsidRDefault="009B0448" w:rsidP="009B0448">
      <w:pPr>
        <w:spacing w:line="276" w:lineRule="auto"/>
        <w:jc w:val="both"/>
        <w:rPr>
          <w:rFonts w:ascii="Times New Roman" w:hAnsi="Times New Roman" w:cs="Times New Roman"/>
        </w:rPr>
      </w:pPr>
    </w:p>
    <w:p w14:paraId="6F54E170" w14:textId="49C73604"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objective of this chapter is to present an assessment, at the scale of Africa, of two components of the IPBES conceptual framework: NCP in terms of goods and services and to </w:t>
      </w:r>
      <w:r w:rsidRPr="009B0448">
        <w:rPr>
          <w:rFonts w:ascii="Times New Roman" w:hAnsi="Times New Roman" w:cs="Times New Roman"/>
          <w:noProof/>
        </w:rPr>
        <w:t>a good</w:t>
      </w:r>
      <w:r w:rsidRPr="009B0448">
        <w:rPr>
          <w:rFonts w:ascii="Times New Roman" w:hAnsi="Times New Roman" w:cs="Times New Roman"/>
        </w:rPr>
        <w:t xml:space="preserve"> quality of life. The Assessment focuses on NCP in the Africa continent in terms of their geographical differences, their values, status, trends and future dynamics, as well as their impact on human well-being. The approach is based on geographical setting according to the five </w:t>
      </w:r>
      <w:r w:rsidR="00B22D81">
        <w:rPr>
          <w:rFonts w:ascii="Times New Roman" w:hAnsi="Times New Roman" w:cs="Times New Roman"/>
        </w:rPr>
        <w:t>subregion</w:t>
      </w:r>
      <w:r w:rsidRPr="009B0448">
        <w:rPr>
          <w:rFonts w:ascii="Times New Roman" w:hAnsi="Times New Roman" w:cs="Times New Roman"/>
        </w:rPr>
        <w:t xml:space="preserve">s of Africa (North, South, West, East, </w:t>
      </w:r>
      <w:r w:rsidRPr="009B0448">
        <w:rPr>
          <w:rFonts w:ascii="Times New Roman" w:hAnsi="Times New Roman" w:cs="Times New Roman"/>
          <w:noProof/>
        </w:rPr>
        <w:t>and</w:t>
      </w:r>
      <w:r w:rsidRPr="009B0448">
        <w:rPr>
          <w:rFonts w:ascii="Times New Roman" w:hAnsi="Times New Roman" w:cs="Times New Roman"/>
        </w:rPr>
        <w:t xml:space="preserve"> Central), and different units of analysis: tropical and subtropical dry and humid forests; Mediterranean forests, woodlands and shrubs; tundra and high mountain habitats; tropical and subtropical savannas and grasslands; dry lands and desserts; wetlands (peat lands, mires and bogs); urban and semi urban areas; cultivated areas; freshwater (brackish and marine); Inland surface waters and freshwater bodies; shelf ecosystems (neritic and intertidal/littoral zone); open ocean pelagic systems as well as deep sea and coastal areas. The review focuses on NCP in terms of their production and </w:t>
      </w:r>
      <w:r w:rsidRPr="009B0448">
        <w:rPr>
          <w:rFonts w:ascii="Times New Roman" w:hAnsi="Times New Roman" w:cs="Times New Roman"/>
        </w:rPr>
        <w:lastRenderedPageBreak/>
        <w:t>contribution, their use and non-use values by means of different valuation methodologies (biophysical, social, cultural, and economic); their impact on human well</w:t>
      </w:r>
      <w:r w:rsidR="00247AD0">
        <w:rPr>
          <w:rFonts w:ascii="Times New Roman" w:hAnsi="Times New Roman" w:cs="Times New Roman"/>
        </w:rPr>
        <w:t>-</w:t>
      </w:r>
      <w:r w:rsidRPr="009B0448">
        <w:rPr>
          <w:rFonts w:ascii="Times New Roman" w:hAnsi="Times New Roman" w:cs="Times New Roman"/>
        </w:rPr>
        <w:t xml:space="preserve">being in relation to basic material for good life, health, livelihood security and on freedom. It further highlights status and trends of some of the continent`s representative NCP. Approaches pertaining to future dynamics of NCP involve reviewing some of the key projects that are undertaken in the region related to reforestation/afforestation; avoided deforestation; sustainable forest management; agroforestry and energy efficiency, amongst others. </w:t>
      </w:r>
    </w:p>
    <w:p w14:paraId="2659734F" w14:textId="77777777" w:rsidR="009B0448" w:rsidRPr="009B0448" w:rsidRDefault="009B0448" w:rsidP="009B0448">
      <w:pPr>
        <w:spacing w:line="276" w:lineRule="auto"/>
        <w:jc w:val="both"/>
        <w:rPr>
          <w:rFonts w:ascii="Times New Roman" w:hAnsi="Times New Roman" w:cs="Times New Roman"/>
        </w:rPr>
      </w:pPr>
    </w:p>
    <w:p w14:paraId="50A96DA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chapter is structured </w:t>
      </w:r>
      <w:r w:rsidRPr="009B0448">
        <w:rPr>
          <w:rFonts w:ascii="Times New Roman" w:hAnsi="Times New Roman" w:cs="Times New Roman"/>
          <w:noProof/>
        </w:rPr>
        <w:t>into</w:t>
      </w:r>
      <w:r w:rsidRPr="009B0448">
        <w:rPr>
          <w:rFonts w:ascii="Times New Roman" w:hAnsi="Times New Roman" w:cs="Times New Roman"/>
        </w:rPr>
        <w:t xml:space="preserve"> 4 sections. In the first section, values and valuation of NCP for material and regulating contributions are presented. In the second section, the geographical differences in production and contribution of ES are reported, while in the following section, the status, trend and future dynamics of NCP are described. In the fourth section, the impacts of NCP changes on human well-being are introduced. The conclusion recalls the main elements of the Assessment review. </w:t>
      </w:r>
    </w:p>
    <w:p w14:paraId="0EE04BE1" w14:textId="77777777" w:rsidR="009B0448" w:rsidRPr="009B0448" w:rsidRDefault="009B0448" w:rsidP="009B0448">
      <w:pPr>
        <w:spacing w:line="276" w:lineRule="auto"/>
        <w:jc w:val="both"/>
        <w:rPr>
          <w:rFonts w:ascii="Times New Roman" w:hAnsi="Times New Roman" w:cs="Times New Roman"/>
          <w:sz w:val="20"/>
          <w:szCs w:val="20"/>
        </w:rPr>
      </w:pPr>
    </w:p>
    <w:p w14:paraId="4DCBB0A8" w14:textId="42DFB3BC" w:rsidR="009B0448" w:rsidRPr="009B0448" w:rsidRDefault="009B0448" w:rsidP="00730577">
      <w:pPr>
        <w:pStyle w:val="ListParagraph"/>
        <w:spacing w:line="276" w:lineRule="auto"/>
        <w:ind w:left="0"/>
        <w:rPr>
          <w:rFonts w:ascii="Times New Roman" w:hAnsi="Times New Roman" w:cs="Times New Roman"/>
          <w:sz w:val="20"/>
          <w:szCs w:val="20"/>
        </w:rPr>
      </w:pPr>
      <w:r w:rsidRPr="009B0448">
        <w:rPr>
          <w:rFonts w:ascii="Times New Roman" w:hAnsi="Times New Roman" w:cs="Times New Roman"/>
          <w:noProof/>
          <w:lang w:eastAsia="en-GB"/>
        </w:rPr>
        <w:drawing>
          <wp:inline distT="0" distB="0" distL="0" distR="0" wp14:anchorId="2BA908DD" wp14:editId="7EB9FCDE">
            <wp:extent cx="5780868" cy="6126732"/>
            <wp:effectExtent l="0" t="0" r="0" b="762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8">
                      <a:extLst>
                        <a:ext uri="{28A0092B-C50C-407E-A947-70E740481C1C}">
                          <a14:useLocalDpi xmlns:a14="http://schemas.microsoft.com/office/drawing/2010/main" val="0"/>
                        </a:ext>
                      </a:extLst>
                    </a:blip>
                    <a:stretch>
                      <a:fillRect/>
                    </a:stretch>
                  </pic:blipFill>
                  <pic:spPr bwMode="auto">
                    <a:xfrm>
                      <a:off x="0" y="0"/>
                      <a:ext cx="5801064" cy="6148136"/>
                    </a:xfrm>
                    <a:prstGeom prst="rect">
                      <a:avLst/>
                    </a:prstGeom>
                    <a:noFill/>
                    <a:ln>
                      <a:noFill/>
                    </a:ln>
                  </pic:spPr>
                </pic:pic>
              </a:graphicData>
            </a:graphic>
          </wp:inline>
        </w:drawing>
      </w:r>
    </w:p>
    <w:p w14:paraId="4026CDA1" w14:textId="77777777" w:rsidR="00730577" w:rsidRDefault="00730577" w:rsidP="009B0448">
      <w:pPr>
        <w:spacing w:line="276" w:lineRule="auto"/>
        <w:jc w:val="both"/>
        <w:rPr>
          <w:rFonts w:ascii="Times New Roman" w:hAnsi="Times New Roman" w:cs="Times New Roman"/>
          <w:b/>
        </w:rPr>
      </w:pPr>
    </w:p>
    <w:p w14:paraId="2BAB726E" w14:textId="37F62724" w:rsidR="00730577" w:rsidRDefault="00730577" w:rsidP="009B0448">
      <w:pPr>
        <w:spacing w:line="276" w:lineRule="auto"/>
        <w:jc w:val="both"/>
        <w:rPr>
          <w:rFonts w:ascii="Times New Roman" w:hAnsi="Times New Roman" w:cs="Times New Roman"/>
          <w:b/>
        </w:rPr>
      </w:pPr>
      <w:r>
        <w:rPr>
          <w:rFonts w:ascii="Times New Roman" w:hAnsi="Times New Roman" w:cs="Times New Roman"/>
          <w:b/>
          <w:noProof/>
          <w:lang w:eastAsia="en-GB"/>
        </w:rPr>
        <w:lastRenderedPageBreak/>
        <w:drawing>
          <wp:inline distT="0" distB="0" distL="0" distR="0" wp14:anchorId="794859E1" wp14:editId="777C4BBC">
            <wp:extent cx="5732145" cy="4540885"/>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_FIG_2.1B.JPG"/>
                    <pic:cNvPicPr/>
                  </pic:nvPicPr>
                  <pic:blipFill>
                    <a:blip r:embed="rId389">
                      <a:extLst>
                        <a:ext uri="{28A0092B-C50C-407E-A947-70E740481C1C}">
                          <a14:useLocalDpi xmlns:a14="http://schemas.microsoft.com/office/drawing/2010/main" val="0"/>
                        </a:ext>
                      </a:extLst>
                    </a:blip>
                    <a:stretch>
                      <a:fillRect/>
                    </a:stretch>
                  </pic:blipFill>
                  <pic:spPr>
                    <a:xfrm>
                      <a:off x="0" y="0"/>
                      <a:ext cx="5732145" cy="4540885"/>
                    </a:xfrm>
                    <a:prstGeom prst="rect">
                      <a:avLst/>
                    </a:prstGeom>
                  </pic:spPr>
                </pic:pic>
              </a:graphicData>
            </a:graphic>
          </wp:inline>
        </w:drawing>
      </w:r>
    </w:p>
    <w:p w14:paraId="1A450688" w14:textId="77777777" w:rsidR="009B0448" w:rsidRPr="009B0448" w:rsidRDefault="009B0448" w:rsidP="009B0448">
      <w:pPr>
        <w:spacing w:line="276" w:lineRule="auto"/>
        <w:jc w:val="both"/>
        <w:rPr>
          <w:rFonts w:ascii="Times New Roman" w:hAnsi="Times New Roman" w:cs="Times New Roman"/>
          <w:sz w:val="20"/>
          <w:szCs w:val="20"/>
        </w:rPr>
      </w:pPr>
      <w:r w:rsidRPr="009B0448">
        <w:rPr>
          <w:rFonts w:ascii="Times New Roman" w:hAnsi="Times New Roman" w:cs="Times New Roman"/>
          <w:b/>
        </w:rPr>
        <w:t xml:space="preserve">Figure 2.1: Examples of nature’s contributions to people: </w:t>
      </w:r>
      <w:r w:rsidRPr="009B0448">
        <w:rPr>
          <w:rFonts w:ascii="Times New Roman" w:hAnsi="Times New Roman" w:cs="Times New Roman"/>
        </w:rPr>
        <w:t xml:space="preserve">(a) Nature’s material contributions: More than 400 million Africans rely on fish as a source of animal protein, and several hundred million people depend on fish as their main source of income. Better processing and marketing technologies can slash post-harvest losses by more than half, generating $350 million and ensuring that 350,000 tons of additional fish will reach the poor. The continent is projected to need an additional 1.6 million tons of fish a year by 2030 just to maintain current consumption. This demand will increase by a further 2.6 million tons a year by 2050. (b) Nature’s non-material contributions: Both land- and seascapes provide important areas for recreation, relaxation, healing, nature-based tourism and aesthetic enjoyment, religious and spiritual fulfilment, cognitive development, as well as the promotion of social cohesion and a sense of identity. Tourism is well developed and an important source of income in the northern, southern, and eastern parts of Africa, as well as the oceanic Islands. Many sites in Africa have been classified as protected or heritage sites for their non-material contributions. Many forest locations have been earmarked as sacred sites. In Tanzania, for example, more than 600 sacred groves exist in the North Pare Mountains. (c) Regulating contributions: These contributions from nature are increasingly being appreciated and valued higher in national accounting systems. Highly valued services are mainly linked to agricultural production, including climate, air and water regulation, disease and pest control, and pollination. Other services include nesting, feeding and mating sites for birds and mammals, such as the Key Biodiversity Areas. Key Biodiversity Areas are more and more integrated </w:t>
      </w:r>
      <w:r w:rsidRPr="009B0448">
        <w:rPr>
          <w:rFonts w:ascii="Times New Roman" w:hAnsi="Times New Roman" w:cs="Times New Roman"/>
          <w:noProof/>
        </w:rPr>
        <w:t>into</w:t>
      </w:r>
      <w:r w:rsidRPr="009B0448">
        <w:rPr>
          <w:rFonts w:ascii="Times New Roman" w:hAnsi="Times New Roman" w:cs="Times New Roman"/>
        </w:rPr>
        <w:t xml:space="preserve"> national protected systems (Figure SPM 7).</w:t>
      </w:r>
    </w:p>
    <w:p w14:paraId="65185FA7" w14:textId="77777777" w:rsidR="009B0448" w:rsidRPr="009B0448" w:rsidRDefault="009B0448" w:rsidP="009B0448">
      <w:pPr>
        <w:spacing w:line="276" w:lineRule="auto"/>
        <w:rPr>
          <w:rFonts w:ascii="Times New Roman" w:hAnsi="Times New Roman" w:cs="Times New Roman"/>
          <w:b/>
        </w:rPr>
      </w:pPr>
    </w:p>
    <w:p w14:paraId="1E3F8313" w14:textId="77777777" w:rsidR="00730577" w:rsidRDefault="00730577">
      <w:pPr>
        <w:rPr>
          <w:rFonts w:ascii="Times New Roman" w:hAnsi="Times New Roman" w:cs="Times New Roman"/>
          <w:b/>
        </w:rPr>
      </w:pPr>
      <w:bookmarkStart w:id="57" w:name="_Toc501997877"/>
      <w:r>
        <w:rPr>
          <w:rFonts w:ascii="Times New Roman" w:hAnsi="Times New Roman" w:cs="Times New Roman"/>
          <w:b/>
        </w:rPr>
        <w:br w:type="page"/>
      </w:r>
    </w:p>
    <w:p w14:paraId="731A781C" w14:textId="76726953" w:rsidR="009B0448" w:rsidRPr="009B0448" w:rsidRDefault="009B0448" w:rsidP="009B0448">
      <w:pPr>
        <w:spacing w:line="276" w:lineRule="auto"/>
        <w:rPr>
          <w:rFonts w:ascii="Times New Roman" w:hAnsi="Times New Roman" w:cs="Times New Roman"/>
        </w:rPr>
      </w:pPr>
      <w:r w:rsidRPr="009B0448">
        <w:rPr>
          <w:rFonts w:ascii="Times New Roman" w:hAnsi="Times New Roman" w:cs="Times New Roman"/>
          <w:b/>
        </w:rPr>
        <w:lastRenderedPageBreak/>
        <w:t>Table 2.1:</w:t>
      </w:r>
      <w:r w:rsidRPr="009B0448">
        <w:rPr>
          <w:rFonts w:ascii="Times New Roman" w:hAnsi="Times New Roman" w:cs="Times New Roman"/>
        </w:rPr>
        <w:t xml:space="preserve"> The 18 categories of nature’s contributions to people used in IPBES assessments with regional case studies of relevant key references that refer to these categories.</w:t>
      </w:r>
    </w:p>
    <w:tbl>
      <w:tblPr>
        <w:tblW w:w="5100" w:type="pct"/>
        <w:tblLayout w:type="fixed"/>
        <w:tblLook w:val="04A0" w:firstRow="1" w:lastRow="0" w:firstColumn="1" w:lastColumn="0" w:noHBand="0" w:noVBand="1"/>
      </w:tblPr>
      <w:tblGrid>
        <w:gridCol w:w="1309"/>
        <w:gridCol w:w="4091"/>
        <w:gridCol w:w="1382"/>
        <w:gridCol w:w="1032"/>
        <w:gridCol w:w="1373"/>
      </w:tblGrid>
      <w:tr w:rsidR="009B0448" w:rsidRPr="009B0448" w14:paraId="6EA567F3" w14:textId="77777777" w:rsidTr="009B0448">
        <w:trPr>
          <w:trHeight w:val="1728"/>
        </w:trPr>
        <w:tc>
          <w:tcPr>
            <w:tcW w:w="9203" w:type="dxa"/>
            <w:gridSpan w:val="5"/>
            <w:tcBorders>
              <w:top w:val="single" w:sz="8" w:space="0" w:color="auto"/>
              <w:left w:val="single" w:sz="8" w:space="0" w:color="auto"/>
              <w:bottom w:val="single" w:sz="8" w:space="0" w:color="auto"/>
              <w:right w:val="single" w:sz="8" w:space="0" w:color="000000"/>
            </w:tcBorders>
            <w:shd w:val="clear" w:color="auto" w:fill="C0D886"/>
            <w:vAlign w:val="center"/>
            <w:hideMark/>
          </w:tcPr>
          <w:p w14:paraId="597EC055" w14:textId="77777777" w:rsidR="009B0448" w:rsidRPr="009B0448" w:rsidRDefault="009B0448">
            <w:pPr>
              <w:spacing w:line="254" w:lineRule="auto"/>
              <w:jc w:val="both"/>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Regulating contributions–Functional and structural aspects of organisms and ecosystems that modify environmental conditions experienced by people, and/or sustain and/or regulate the generation of material and non-material benefits. In many cases, these NCP are not experienced directly, for example, many people directly enjoy useful, beautiful or otherwise meaningful plants, soil organisms that are essential for the supply of nutrients that underpin growth and long-term survival of such plant species. Sometimes regulating contributions impact people’s quality of life directly; for example, avalanches have a direct negative effect on people who live in avalanche-prone areas, and therefore their prevention or favouring by different kinds of vegetation directly affect people’s quality of life.</w:t>
            </w:r>
          </w:p>
        </w:tc>
      </w:tr>
      <w:tr w:rsidR="009B0448" w:rsidRPr="009B0448" w14:paraId="12AAA3BE" w14:textId="77777777" w:rsidTr="009B0448">
        <w:trPr>
          <w:trHeight w:val="804"/>
        </w:trPr>
        <w:tc>
          <w:tcPr>
            <w:tcW w:w="1311" w:type="dxa"/>
            <w:tcBorders>
              <w:top w:val="single" w:sz="8" w:space="0" w:color="auto"/>
              <w:left w:val="single" w:sz="8" w:space="0" w:color="auto"/>
              <w:bottom w:val="single" w:sz="8" w:space="0" w:color="auto"/>
              <w:right w:val="single" w:sz="4" w:space="0" w:color="auto"/>
            </w:tcBorders>
            <w:shd w:val="clear" w:color="auto" w:fill="D9D9D9"/>
            <w:vAlign w:val="center"/>
            <w:hideMark/>
          </w:tcPr>
          <w:p w14:paraId="5A91C4C5" w14:textId="77777777" w:rsidR="009B0448" w:rsidRPr="009B0448" w:rsidRDefault="009B0448">
            <w:pPr>
              <w:spacing w:line="254" w:lineRule="auto"/>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Categories of NCP</w:t>
            </w:r>
          </w:p>
        </w:tc>
        <w:tc>
          <w:tcPr>
            <w:tcW w:w="4099" w:type="dxa"/>
            <w:tcBorders>
              <w:top w:val="single" w:sz="8" w:space="0" w:color="auto"/>
              <w:left w:val="nil"/>
              <w:bottom w:val="single" w:sz="8" w:space="0" w:color="auto"/>
              <w:right w:val="single" w:sz="4" w:space="0" w:color="auto"/>
            </w:tcBorders>
            <w:shd w:val="clear" w:color="auto" w:fill="D9D9D9"/>
            <w:vAlign w:val="center"/>
            <w:hideMark/>
          </w:tcPr>
          <w:p w14:paraId="25369E32" w14:textId="77777777" w:rsidR="009B0448" w:rsidRPr="009B0448" w:rsidRDefault="009B0448">
            <w:pPr>
              <w:spacing w:line="254" w:lineRule="auto"/>
              <w:rPr>
                <w:rFonts w:ascii="Times New Roman" w:eastAsia="Times New Roman" w:hAnsi="Times New Roman" w:cs="Times New Roman"/>
                <w:b/>
                <w:bCs/>
                <w:rtl/>
                <w:lang w:val="en-ZA" w:eastAsia="en-US"/>
              </w:rPr>
            </w:pPr>
            <w:r w:rsidRPr="009B0448">
              <w:rPr>
                <w:rFonts w:ascii="Times New Roman" w:eastAsia="Times New Roman" w:hAnsi="Times New Roman" w:cs="Times New Roman"/>
                <w:b/>
                <w:bCs/>
                <w:noProof/>
                <w:lang w:eastAsia="en-US"/>
              </w:rPr>
              <w:t>A brief</w:t>
            </w:r>
            <w:r w:rsidRPr="009B0448">
              <w:rPr>
                <w:rFonts w:ascii="Times New Roman" w:eastAsia="Times New Roman" w:hAnsi="Times New Roman" w:cs="Times New Roman"/>
                <w:b/>
                <w:bCs/>
                <w:lang w:eastAsia="en-US"/>
              </w:rPr>
              <w:t xml:space="preserve"> explanation and some examples </w:t>
            </w:r>
          </w:p>
        </w:tc>
        <w:tc>
          <w:tcPr>
            <w:tcW w:w="1384" w:type="dxa"/>
            <w:tcBorders>
              <w:top w:val="single" w:sz="8" w:space="0" w:color="auto"/>
              <w:left w:val="nil"/>
              <w:bottom w:val="single" w:sz="8" w:space="0" w:color="auto"/>
              <w:right w:val="single" w:sz="4" w:space="0" w:color="auto"/>
            </w:tcBorders>
            <w:shd w:val="clear" w:color="auto" w:fill="D9D9D9"/>
            <w:vAlign w:val="center"/>
            <w:hideMark/>
          </w:tcPr>
          <w:p w14:paraId="3B5FBBD5" w14:textId="77777777" w:rsidR="009B0448" w:rsidRPr="009B0448" w:rsidRDefault="009B0448">
            <w:pPr>
              <w:spacing w:line="254" w:lineRule="auto"/>
              <w:jc w:val="center"/>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Values type</w:t>
            </w:r>
          </w:p>
        </w:tc>
        <w:tc>
          <w:tcPr>
            <w:tcW w:w="1034" w:type="dxa"/>
            <w:tcBorders>
              <w:top w:val="single" w:sz="8" w:space="0" w:color="auto"/>
              <w:left w:val="nil"/>
              <w:bottom w:val="single" w:sz="8" w:space="0" w:color="auto"/>
              <w:right w:val="single" w:sz="4" w:space="0" w:color="auto"/>
            </w:tcBorders>
            <w:shd w:val="clear" w:color="auto" w:fill="D9D9D9"/>
            <w:vAlign w:val="center"/>
            <w:hideMark/>
          </w:tcPr>
          <w:p w14:paraId="62B5A1C9" w14:textId="77777777" w:rsidR="009B0448" w:rsidRPr="009B0448" w:rsidRDefault="009B0448">
            <w:pPr>
              <w:spacing w:line="254" w:lineRule="auto"/>
              <w:jc w:val="center"/>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 xml:space="preserve">Study region </w:t>
            </w:r>
          </w:p>
        </w:tc>
        <w:tc>
          <w:tcPr>
            <w:tcW w:w="1375" w:type="dxa"/>
            <w:tcBorders>
              <w:top w:val="single" w:sz="8" w:space="0" w:color="auto"/>
              <w:left w:val="nil"/>
              <w:bottom w:val="single" w:sz="8" w:space="0" w:color="auto"/>
              <w:right w:val="single" w:sz="8" w:space="0" w:color="auto"/>
            </w:tcBorders>
            <w:shd w:val="clear" w:color="auto" w:fill="D9D9D9"/>
            <w:vAlign w:val="center"/>
            <w:hideMark/>
          </w:tcPr>
          <w:p w14:paraId="6D0C79D4" w14:textId="77777777" w:rsidR="009B0448" w:rsidRPr="009B0448" w:rsidRDefault="009B0448">
            <w:pPr>
              <w:bidi/>
              <w:spacing w:line="254" w:lineRule="auto"/>
              <w:jc w:val="center"/>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Source</w:t>
            </w:r>
          </w:p>
        </w:tc>
      </w:tr>
      <w:tr w:rsidR="009B0448" w:rsidRPr="009B0448" w14:paraId="20F9CC5C" w14:textId="77777777" w:rsidTr="009B0448">
        <w:trPr>
          <w:trHeight w:val="1596"/>
        </w:trPr>
        <w:tc>
          <w:tcPr>
            <w:tcW w:w="1311" w:type="dxa"/>
            <w:tcBorders>
              <w:top w:val="nil"/>
              <w:left w:val="single" w:sz="4" w:space="0" w:color="auto"/>
              <w:bottom w:val="nil"/>
              <w:right w:val="single" w:sz="4" w:space="0" w:color="auto"/>
            </w:tcBorders>
            <w:hideMark/>
          </w:tcPr>
          <w:p w14:paraId="37586EE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Habitat creation and maintenance</w:t>
            </w:r>
          </w:p>
        </w:tc>
        <w:tc>
          <w:tcPr>
            <w:tcW w:w="4099" w:type="dxa"/>
            <w:tcBorders>
              <w:top w:val="nil"/>
              <w:left w:val="nil"/>
              <w:bottom w:val="nil"/>
              <w:right w:val="single" w:sz="4" w:space="0" w:color="auto"/>
            </w:tcBorders>
            <w:hideMark/>
          </w:tcPr>
          <w:p w14:paraId="56A2E383"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The formation and continued production, by ecosystems or organisms within them, of ecological conditions necessary or favourable for organisms important to humans (e.g., nesting, feeding, and mating sites for birds and mammals, resting and overwintering areas for migratory mammals, birds, </w:t>
            </w:r>
            <w:r w:rsidRPr="009B0448">
              <w:rPr>
                <w:rFonts w:ascii="Times New Roman" w:eastAsia="Times New Roman" w:hAnsi="Times New Roman" w:cs="Times New Roman"/>
                <w:noProof/>
                <w:lang w:eastAsia="en-US"/>
              </w:rPr>
              <w:t>and</w:t>
            </w:r>
            <w:r w:rsidRPr="009B0448">
              <w:rPr>
                <w:rFonts w:ascii="Times New Roman" w:eastAsia="Times New Roman" w:hAnsi="Times New Roman" w:cs="Times New Roman"/>
                <w:lang w:eastAsia="en-US"/>
              </w:rPr>
              <w:t xml:space="preserve"> butterflies, nurseries for juvenile stages of fish)</w:t>
            </w:r>
          </w:p>
        </w:tc>
        <w:tc>
          <w:tcPr>
            <w:tcW w:w="1384" w:type="dxa"/>
            <w:tcBorders>
              <w:top w:val="nil"/>
              <w:left w:val="nil"/>
              <w:bottom w:val="nil"/>
              <w:right w:val="single" w:sz="4" w:space="0" w:color="auto"/>
            </w:tcBorders>
            <w:hideMark/>
          </w:tcPr>
          <w:p w14:paraId="41FF0BC1"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w:t>
            </w:r>
          </w:p>
        </w:tc>
        <w:tc>
          <w:tcPr>
            <w:tcW w:w="1034" w:type="dxa"/>
            <w:tcBorders>
              <w:top w:val="nil"/>
              <w:left w:val="nil"/>
              <w:bottom w:val="nil"/>
              <w:right w:val="single" w:sz="4" w:space="0" w:color="auto"/>
            </w:tcBorders>
            <w:hideMark/>
          </w:tcPr>
          <w:p w14:paraId="7072CBEB"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East Africa and adjacent islands and Southern Africa</w:t>
            </w:r>
          </w:p>
        </w:tc>
        <w:tc>
          <w:tcPr>
            <w:tcW w:w="1375" w:type="dxa"/>
            <w:tcBorders>
              <w:top w:val="nil"/>
              <w:left w:val="nil"/>
              <w:bottom w:val="nil"/>
              <w:right w:val="single" w:sz="4" w:space="0" w:color="auto"/>
            </w:tcBorders>
            <w:hideMark/>
          </w:tcPr>
          <w:p w14:paraId="7F05EA48" w14:textId="77777777" w:rsidR="009B0448" w:rsidRPr="009B0448" w:rsidRDefault="009B0448">
            <w:pPr>
              <w:spacing w:line="254" w:lineRule="auto"/>
              <w:rPr>
                <w:rFonts w:ascii="Times New Roman" w:eastAsia="Times New Roman" w:hAnsi="Times New Roman" w:cs="Times New Roman"/>
                <w:lang w:val="de-DE" w:eastAsia="en-US"/>
              </w:rPr>
            </w:pPr>
            <w:r w:rsidRPr="009B0448">
              <w:rPr>
                <w:rFonts w:ascii="Times New Roman" w:eastAsia="Times New Roman" w:hAnsi="Times New Roman" w:cs="Times New Roman"/>
                <w:lang w:val="de-DE" w:eastAsia="en-US"/>
              </w:rPr>
              <w:t xml:space="preserve">Reynolds </w:t>
            </w:r>
            <w:r w:rsidRPr="009B0448">
              <w:rPr>
                <w:rFonts w:ascii="Times New Roman" w:eastAsia="Times New Roman" w:hAnsi="Times New Roman" w:cs="Times New Roman"/>
                <w:i/>
                <w:lang w:val="de-DE" w:eastAsia="en-US"/>
              </w:rPr>
              <w:t>et al.</w:t>
            </w:r>
            <w:r w:rsidRPr="009B0448">
              <w:rPr>
                <w:rFonts w:ascii="Times New Roman" w:eastAsia="Times New Roman" w:hAnsi="Times New Roman" w:cs="Times New Roman"/>
                <w:lang w:val="de-DE" w:eastAsia="en-US"/>
              </w:rPr>
              <w:t xml:space="preserve">, 2011; Wangai, </w:t>
            </w:r>
            <w:r w:rsidRPr="009B0448">
              <w:rPr>
                <w:rFonts w:ascii="Times New Roman" w:eastAsia="Times New Roman" w:hAnsi="Times New Roman" w:cs="Times New Roman"/>
                <w:i/>
                <w:lang w:val="de-DE" w:eastAsia="en-US"/>
              </w:rPr>
              <w:t>et al</w:t>
            </w:r>
            <w:r w:rsidRPr="009B0448">
              <w:rPr>
                <w:rFonts w:ascii="Times New Roman" w:eastAsia="Times New Roman" w:hAnsi="Times New Roman" w:cs="Times New Roman"/>
                <w:lang w:val="de-DE" w:eastAsia="en-US"/>
              </w:rPr>
              <w:t xml:space="preserve">., 2017 </w:t>
            </w:r>
          </w:p>
        </w:tc>
      </w:tr>
      <w:tr w:rsidR="009B0448" w:rsidRPr="009B0448" w14:paraId="1E750024" w14:textId="77777777" w:rsidTr="009B0448">
        <w:trPr>
          <w:trHeight w:val="804"/>
        </w:trPr>
        <w:tc>
          <w:tcPr>
            <w:tcW w:w="1311" w:type="dxa"/>
            <w:tcBorders>
              <w:top w:val="single" w:sz="8" w:space="0" w:color="auto"/>
              <w:left w:val="single" w:sz="8" w:space="0" w:color="auto"/>
              <w:bottom w:val="single" w:sz="8" w:space="0" w:color="auto"/>
              <w:right w:val="single" w:sz="4" w:space="0" w:color="auto"/>
            </w:tcBorders>
            <w:hideMark/>
          </w:tcPr>
          <w:p w14:paraId="2A21B72C"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Pollination and dispersal of seeds and other propagules</w:t>
            </w:r>
          </w:p>
        </w:tc>
        <w:tc>
          <w:tcPr>
            <w:tcW w:w="4099" w:type="dxa"/>
            <w:tcBorders>
              <w:top w:val="single" w:sz="8" w:space="0" w:color="auto"/>
              <w:left w:val="nil"/>
              <w:bottom w:val="single" w:sz="8" w:space="0" w:color="auto"/>
              <w:right w:val="single" w:sz="4" w:space="0" w:color="auto"/>
            </w:tcBorders>
            <w:hideMark/>
          </w:tcPr>
          <w:p w14:paraId="6A7CCCFA"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Facilitation by animals of movement of pollen among flowers, and dispersal of seeds, larvae or spores of organisms important to humans </w:t>
            </w:r>
          </w:p>
        </w:tc>
        <w:tc>
          <w:tcPr>
            <w:tcW w:w="1384" w:type="dxa"/>
            <w:tcBorders>
              <w:top w:val="single" w:sz="8" w:space="0" w:color="auto"/>
              <w:left w:val="nil"/>
              <w:bottom w:val="single" w:sz="8" w:space="0" w:color="auto"/>
              <w:right w:val="single" w:sz="4" w:space="0" w:color="auto"/>
            </w:tcBorders>
            <w:hideMark/>
          </w:tcPr>
          <w:p w14:paraId="50D08349"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w:t>
            </w:r>
          </w:p>
        </w:tc>
        <w:tc>
          <w:tcPr>
            <w:tcW w:w="1034" w:type="dxa"/>
            <w:tcBorders>
              <w:top w:val="single" w:sz="8" w:space="0" w:color="auto"/>
              <w:left w:val="nil"/>
              <w:bottom w:val="single" w:sz="8" w:space="0" w:color="auto"/>
              <w:right w:val="single" w:sz="4" w:space="0" w:color="auto"/>
            </w:tcBorders>
            <w:hideMark/>
          </w:tcPr>
          <w:p w14:paraId="6A497A02"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Africa</w:t>
            </w:r>
          </w:p>
        </w:tc>
        <w:tc>
          <w:tcPr>
            <w:tcW w:w="1375" w:type="dxa"/>
            <w:tcBorders>
              <w:top w:val="single" w:sz="8" w:space="0" w:color="auto"/>
              <w:left w:val="nil"/>
              <w:bottom w:val="single" w:sz="8" w:space="0" w:color="auto"/>
              <w:right w:val="single" w:sz="8" w:space="0" w:color="auto"/>
            </w:tcBorders>
            <w:hideMark/>
          </w:tcPr>
          <w:p w14:paraId="1FDA8D8C"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Gemmill-Herren, 2014</w:t>
            </w:r>
          </w:p>
        </w:tc>
      </w:tr>
      <w:tr w:rsidR="009B0448" w:rsidRPr="009B0448" w14:paraId="7CB5F2C4" w14:textId="77777777" w:rsidTr="009B0448">
        <w:trPr>
          <w:trHeight w:val="1056"/>
        </w:trPr>
        <w:tc>
          <w:tcPr>
            <w:tcW w:w="1311" w:type="dxa"/>
            <w:vMerge w:val="restart"/>
            <w:tcBorders>
              <w:top w:val="nil"/>
              <w:left w:val="single" w:sz="8" w:space="0" w:color="auto"/>
              <w:bottom w:val="single" w:sz="8" w:space="0" w:color="000000"/>
              <w:right w:val="single" w:sz="4" w:space="0" w:color="auto"/>
            </w:tcBorders>
            <w:hideMark/>
          </w:tcPr>
          <w:p w14:paraId="0993151C"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Regulation of air quality</w:t>
            </w:r>
          </w:p>
        </w:tc>
        <w:tc>
          <w:tcPr>
            <w:tcW w:w="4099" w:type="dxa"/>
            <w:tcBorders>
              <w:top w:val="nil"/>
              <w:left w:val="nil"/>
              <w:bottom w:val="single" w:sz="4" w:space="0" w:color="auto"/>
              <w:right w:val="single" w:sz="4" w:space="0" w:color="auto"/>
            </w:tcBorders>
            <w:hideMark/>
          </w:tcPr>
          <w:p w14:paraId="6A9D973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Regulation (by impediment or facilitation) by ecosystems, of CO</w:t>
            </w:r>
            <w:r w:rsidRPr="009B0448">
              <w:rPr>
                <w:rFonts w:ascii="Times New Roman" w:eastAsia="Times New Roman" w:hAnsi="Times New Roman" w:cs="Times New Roman"/>
                <w:vertAlign w:val="subscript"/>
                <w:lang w:eastAsia="en-US"/>
              </w:rPr>
              <w:t>2</w:t>
            </w:r>
            <w:r w:rsidRPr="009B0448">
              <w:rPr>
                <w:rFonts w:ascii="Times New Roman" w:eastAsia="Times New Roman" w:hAnsi="Times New Roman" w:cs="Times New Roman"/>
                <w:lang w:eastAsia="en-US"/>
              </w:rPr>
              <w:t>/O</w:t>
            </w:r>
            <w:r w:rsidRPr="009B0448">
              <w:rPr>
                <w:rFonts w:ascii="Times New Roman" w:eastAsia="Times New Roman" w:hAnsi="Times New Roman" w:cs="Times New Roman"/>
                <w:vertAlign w:val="subscript"/>
                <w:lang w:eastAsia="en-US"/>
              </w:rPr>
              <w:t>2</w:t>
            </w:r>
            <w:r w:rsidRPr="009B0448">
              <w:rPr>
                <w:rFonts w:ascii="Times New Roman" w:eastAsia="Times New Roman" w:hAnsi="Times New Roman" w:cs="Times New Roman"/>
                <w:lang w:eastAsia="en-US"/>
              </w:rPr>
              <w:t xml:space="preserve"> balance, O</w:t>
            </w:r>
            <w:r w:rsidRPr="009B0448">
              <w:rPr>
                <w:rFonts w:ascii="Times New Roman" w:eastAsia="Times New Roman" w:hAnsi="Times New Roman" w:cs="Times New Roman"/>
                <w:vertAlign w:val="subscript"/>
                <w:lang w:eastAsia="en-US"/>
              </w:rPr>
              <w:t>3</w:t>
            </w:r>
            <w:r w:rsidRPr="009B0448">
              <w:rPr>
                <w:rFonts w:ascii="Times New Roman" w:eastAsia="Times New Roman" w:hAnsi="Times New Roman" w:cs="Times New Roman"/>
                <w:lang w:eastAsia="en-US"/>
              </w:rPr>
              <w:t xml:space="preserve"> for Ultraviolet-B absorption, levels of sulphur oxide, nitrogen oxides, volatile organic compounds, particulates, and aerosols </w:t>
            </w:r>
          </w:p>
        </w:tc>
        <w:tc>
          <w:tcPr>
            <w:tcW w:w="1384" w:type="dxa"/>
            <w:vMerge w:val="restart"/>
            <w:tcBorders>
              <w:top w:val="nil"/>
              <w:left w:val="single" w:sz="4" w:space="0" w:color="auto"/>
              <w:bottom w:val="single" w:sz="8" w:space="0" w:color="000000"/>
              <w:right w:val="single" w:sz="4" w:space="0" w:color="auto"/>
            </w:tcBorders>
            <w:hideMark/>
          </w:tcPr>
          <w:p w14:paraId="3ABEA365"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w:t>
            </w:r>
          </w:p>
        </w:tc>
        <w:tc>
          <w:tcPr>
            <w:tcW w:w="1034" w:type="dxa"/>
            <w:vMerge w:val="restart"/>
            <w:tcBorders>
              <w:top w:val="nil"/>
              <w:left w:val="single" w:sz="4" w:space="0" w:color="auto"/>
              <w:bottom w:val="single" w:sz="8" w:space="0" w:color="000000"/>
              <w:right w:val="single" w:sz="4" w:space="0" w:color="auto"/>
            </w:tcBorders>
            <w:hideMark/>
          </w:tcPr>
          <w:p w14:paraId="3E8F3D0C"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Africa</w:t>
            </w:r>
          </w:p>
        </w:tc>
        <w:tc>
          <w:tcPr>
            <w:tcW w:w="1375" w:type="dxa"/>
            <w:vMerge w:val="restart"/>
            <w:tcBorders>
              <w:top w:val="nil"/>
              <w:left w:val="single" w:sz="4" w:space="0" w:color="auto"/>
              <w:bottom w:val="single" w:sz="8" w:space="0" w:color="000000"/>
              <w:right w:val="single" w:sz="8" w:space="0" w:color="auto"/>
            </w:tcBorders>
            <w:hideMark/>
          </w:tcPr>
          <w:p w14:paraId="1825C9A8"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Chianu </w:t>
            </w:r>
            <w:r w:rsidRPr="009B0448">
              <w:rPr>
                <w:rFonts w:ascii="Times New Roman" w:eastAsia="Times New Roman" w:hAnsi="Times New Roman" w:cs="Times New Roman"/>
                <w:i/>
                <w:lang w:eastAsia="en-US"/>
              </w:rPr>
              <w:t>et al.</w:t>
            </w:r>
            <w:r w:rsidRPr="009B0448">
              <w:rPr>
                <w:rFonts w:ascii="Times New Roman" w:eastAsia="Times New Roman" w:hAnsi="Times New Roman" w:cs="Times New Roman"/>
                <w:lang w:eastAsia="en-US"/>
              </w:rPr>
              <w:t>, 2011</w:t>
            </w:r>
          </w:p>
        </w:tc>
      </w:tr>
      <w:tr w:rsidR="009B0448" w:rsidRPr="009B0448" w14:paraId="1BE5D498" w14:textId="77777777" w:rsidTr="009B0448">
        <w:trPr>
          <w:trHeight w:val="540"/>
        </w:trPr>
        <w:tc>
          <w:tcPr>
            <w:tcW w:w="9203" w:type="dxa"/>
            <w:vMerge/>
            <w:tcBorders>
              <w:top w:val="nil"/>
              <w:left w:val="single" w:sz="8" w:space="0" w:color="auto"/>
              <w:bottom w:val="single" w:sz="8" w:space="0" w:color="000000"/>
              <w:right w:val="single" w:sz="4" w:space="0" w:color="auto"/>
            </w:tcBorders>
            <w:vAlign w:val="center"/>
            <w:hideMark/>
          </w:tcPr>
          <w:p w14:paraId="6B2F4701"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8" w:space="0" w:color="auto"/>
              <w:right w:val="single" w:sz="4" w:space="0" w:color="auto"/>
            </w:tcBorders>
            <w:hideMark/>
          </w:tcPr>
          <w:p w14:paraId="0FC3F0AB"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Filtration, fixation, degradation or storage of pollutants that directly affect human health or infrastructure </w:t>
            </w:r>
          </w:p>
        </w:tc>
        <w:tc>
          <w:tcPr>
            <w:tcW w:w="1384" w:type="dxa"/>
            <w:vMerge/>
            <w:tcBorders>
              <w:top w:val="nil"/>
              <w:left w:val="single" w:sz="4" w:space="0" w:color="auto"/>
              <w:bottom w:val="single" w:sz="8" w:space="0" w:color="000000"/>
              <w:right w:val="single" w:sz="4" w:space="0" w:color="auto"/>
            </w:tcBorders>
            <w:vAlign w:val="center"/>
            <w:hideMark/>
          </w:tcPr>
          <w:p w14:paraId="6AF49AF9"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44EA2DE7"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8" w:space="0" w:color="000000"/>
              <w:right w:val="single" w:sz="8" w:space="0" w:color="auto"/>
            </w:tcBorders>
            <w:vAlign w:val="center"/>
            <w:hideMark/>
          </w:tcPr>
          <w:p w14:paraId="66EFE30A" w14:textId="77777777" w:rsidR="009B0448" w:rsidRPr="009B0448" w:rsidRDefault="009B0448">
            <w:pPr>
              <w:rPr>
                <w:rFonts w:ascii="Times New Roman" w:eastAsia="Times New Roman" w:hAnsi="Times New Roman" w:cs="Times New Roman"/>
                <w:lang w:val="en-ZA" w:eastAsia="en-US"/>
              </w:rPr>
            </w:pPr>
          </w:p>
        </w:tc>
      </w:tr>
      <w:tr w:rsidR="009B0448" w:rsidRPr="009B0448" w14:paraId="4CB238D1" w14:textId="77777777" w:rsidTr="009B0448">
        <w:trPr>
          <w:trHeight w:val="792"/>
        </w:trPr>
        <w:tc>
          <w:tcPr>
            <w:tcW w:w="1311" w:type="dxa"/>
            <w:vMerge w:val="restart"/>
            <w:tcBorders>
              <w:top w:val="nil"/>
              <w:left w:val="single" w:sz="8" w:space="0" w:color="auto"/>
              <w:bottom w:val="single" w:sz="8" w:space="0" w:color="000000"/>
              <w:right w:val="single" w:sz="4" w:space="0" w:color="auto"/>
            </w:tcBorders>
            <w:hideMark/>
          </w:tcPr>
          <w:p w14:paraId="5B199C8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Regulation of climate: Climate regulation by ecosystems (including regulation of global warming)</w:t>
            </w:r>
          </w:p>
        </w:tc>
        <w:tc>
          <w:tcPr>
            <w:tcW w:w="4099" w:type="dxa"/>
            <w:tcBorders>
              <w:top w:val="nil"/>
              <w:left w:val="nil"/>
              <w:bottom w:val="single" w:sz="4" w:space="0" w:color="auto"/>
              <w:right w:val="single" w:sz="4" w:space="0" w:color="auto"/>
            </w:tcBorders>
            <w:hideMark/>
          </w:tcPr>
          <w:p w14:paraId="009650DE" w14:textId="26CC1406"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Positive or negative effects on emissions of greenhouse gases (e.g.</w:t>
            </w:r>
            <w:r w:rsidR="00E24BC5">
              <w:rPr>
                <w:rFonts w:ascii="Times New Roman" w:eastAsia="Times New Roman" w:hAnsi="Times New Roman" w:cs="Times New Roman"/>
                <w:lang w:eastAsia="en-US"/>
              </w:rPr>
              <w:t>,</w:t>
            </w:r>
            <w:r w:rsidRPr="009B0448">
              <w:rPr>
                <w:rFonts w:ascii="Times New Roman" w:eastAsia="Times New Roman" w:hAnsi="Times New Roman" w:cs="Times New Roman"/>
                <w:lang w:eastAsia="en-US"/>
              </w:rPr>
              <w:t xml:space="preserve"> biological carbon storage and sequestration; methane emissions from wetlands) </w:t>
            </w:r>
          </w:p>
        </w:tc>
        <w:tc>
          <w:tcPr>
            <w:tcW w:w="1384" w:type="dxa"/>
            <w:tcBorders>
              <w:top w:val="nil"/>
              <w:left w:val="single" w:sz="4" w:space="0" w:color="auto"/>
              <w:bottom w:val="single" w:sz="8" w:space="0" w:color="000000"/>
              <w:right w:val="single" w:sz="4" w:space="0" w:color="auto"/>
            </w:tcBorders>
            <w:hideMark/>
          </w:tcPr>
          <w:p w14:paraId="21A9111E"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w:t>
            </w:r>
          </w:p>
        </w:tc>
        <w:tc>
          <w:tcPr>
            <w:tcW w:w="1034" w:type="dxa"/>
            <w:tcBorders>
              <w:top w:val="nil"/>
              <w:left w:val="single" w:sz="4" w:space="0" w:color="auto"/>
              <w:bottom w:val="single" w:sz="8" w:space="0" w:color="000000"/>
              <w:right w:val="single" w:sz="4" w:space="0" w:color="auto"/>
            </w:tcBorders>
            <w:hideMark/>
          </w:tcPr>
          <w:p w14:paraId="6E0275C7"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Mauritius</w:t>
            </w:r>
          </w:p>
        </w:tc>
        <w:tc>
          <w:tcPr>
            <w:tcW w:w="1375" w:type="dxa"/>
            <w:tcBorders>
              <w:top w:val="nil"/>
              <w:left w:val="single" w:sz="4" w:space="0" w:color="auto"/>
              <w:bottom w:val="single" w:sz="8" w:space="0" w:color="000000"/>
              <w:right w:val="single" w:sz="8" w:space="0" w:color="auto"/>
            </w:tcBorders>
            <w:hideMark/>
          </w:tcPr>
          <w:p w14:paraId="6F6D3C61"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val="fr-CA" w:eastAsia="en-US"/>
              </w:rPr>
              <w:t xml:space="preserve">Munang </w:t>
            </w:r>
            <w:r w:rsidRPr="009B0448">
              <w:rPr>
                <w:rFonts w:ascii="Times New Roman" w:eastAsia="Times New Roman" w:hAnsi="Times New Roman" w:cs="Times New Roman"/>
                <w:i/>
                <w:lang w:val="fr-CA" w:eastAsia="en-US"/>
              </w:rPr>
              <w:t>et al.</w:t>
            </w:r>
            <w:r w:rsidRPr="009B0448">
              <w:rPr>
                <w:rFonts w:ascii="Times New Roman" w:eastAsia="Times New Roman" w:hAnsi="Times New Roman" w:cs="Times New Roman"/>
                <w:lang w:val="fr-CA" w:eastAsia="en-US"/>
              </w:rPr>
              <w:t xml:space="preserve">, 2013; Mbow </w:t>
            </w:r>
            <w:r w:rsidRPr="009B0448">
              <w:rPr>
                <w:rFonts w:ascii="Times New Roman" w:eastAsia="Times New Roman" w:hAnsi="Times New Roman" w:cs="Times New Roman"/>
                <w:i/>
                <w:lang w:val="fr-CA" w:eastAsia="en-US"/>
              </w:rPr>
              <w:t>et al.</w:t>
            </w:r>
            <w:r w:rsidRPr="009B0448">
              <w:rPr>
                <w:rFonts w:ascii="Times New Roman" w:eastAsia="Times New Roman" w:hAnsi="Times New Roman" w:cs="Times New Roman"/>
                <w:lang w:val="fr-CA" w:eastAsia="en-US"/>
              </w:rPr>
              <w:t>, 2014</w:t>
            </w:r>
          </w:p>
        </w:tc>
      </w:tr>
      <w:tr w:rsidR="009B0448" w:rsidRPr="009B0448" w14:paraId="1DCDB830" w14:textId="77777777" w:rsidTr="009B0448">
        <w:trPr>
          <w:trHeight w:val="1056"/>
        </w:trPr>
        <w:tc>
          <w:tcPr>
            <w:tcW w:w="9203" w:type="dxa"/>
            <w:vMerge/>
            <w:tcBorders>
              <w:top w:val="nil"/>
              <w:left w:val="single" w:sz="8" w:space="0" w:color="auto"/>
              <w:bottom w:val="single" w:sz="8" w:space="0" w:color="000000"/>
              <w:right w:val="single" w:sz="4" w:space="0" w:color="auto"/>
            </w:tcBorders>
            <w:vAlign w:val="center"/>
            <w:hideMark/>
          </w:tcPr>
          <w:p w14:paraId="6C3A9333"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4" w:space="0" w:color="auto"/>
              <w:right w:val="single" w:sz="4" w:space="0" w:color="auto"/>
            </w:tcBorders>
            <w:hideMark/>
          </w:tcPr>
          <w:p w14:paraId="1E2DED3C"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Positive or negative effects on biophysical feedbacks from vegetation cover to atmosphere, such as those involving albedo, surface roughness, long-wave radiation, evapotranspiration (including moisture-recycling) </w:t>
            </w:r>
          </w:p>
        </w:tc>
        <w:tc>
          <w:tcPr>
            <w:tcW w:w="1384" w:type="dxa"/>
            <w:vMerge w:val="restart"/>
            <w:tcBorders>
              <w:top w:val="nil"/>
              <w:left w:val="single" w:sz="4" w:space="0" w:color="auto"/>
              <w:bottom w:val="single" w:sz="8" w:space="0" w:color="000000"/>
              <w:right w:val="single" w:sz="4" w:space="0" w:color="auto"/>
            </w:tcBorders>
            <w:vAlign w:val="center"/>
            <w:hideMark/>
          </w:tcPr>
          <w:p w14:paraId="62F2EB3D" w14:textId="77777777" w:rsidR="009B0448" w:rsidRPr="009B0448" w:rsidRDefault="009B0448">
            <w:pPr>
              <w:rPr>
                <w:rFonts w:ascii="Times New Roman" w:eastAsia="Times New Roman" w:hAnsi="Times New Roman" w:cs="Times New Roman"/>
                <w:lang w:val="en-ZA" w:eastAsia="en-US"/>
              </w:rPr>
            </w:pPr>
          </w:p>
        </w:tc>
        <w:tc>
          <w:tcPr>
            <w:tcW w:w="1034" w:type="dxa"/>
            <w:vMerge w:val="restart"/>
            <w:tcBorders>
              <w:top w:val="nil"/>
              <w:left w:val="single" w:sz="4" w:space="0" w:color="auto"/>
              <w:bottom w:val="single" w:sz="8" w:space="0" w:color="000000"/>
              <w:right w:val="single" w:sz="4" w:space="0" w:color="auto"/>
            </w:tcBorders>
            <w:vAlign w:val="center"/>
            <w:hideMark/>
          </w:tcPr>
          <w:p w14:paraId="1C377833" w14:textId="77777777" w:rsidR="009B0448" w:rsidRPr="009B0448" w:rsidRDefault="009B0448">
            <w:pPr>
              <w:rPr>
                <w:rFonts w:ascii="Times New Roman" w:hAnsi="Times New Roman" w:cs="Times New Roman"/>
                <w:color w:val="auto"/>
                <w:sz w:val="20"/>
                <w:szCs w:val="20"/>
                <w:lang w:eastAsia="en-GB"/>
              </w:rPr>
            </w:pPr>
          </w:p>
        </w:tc>
        <w:tc>
          <w:tcPr>
            <w:tcW w:w="1375" w:type="dxa"/>
            <w:vMerge w:val="restart"/>
            <w:tcBorders>
              <w:top w:val="nil"/>
              <w:left w:val="single" w:sz="4" w:space="0" w:color="auto"/>
              <w:bottom w:val="single" w:sz="8" w:space="0" w:color="000000"/>
              <w:right w:val="single" w:sz="8" w:space="0" w:color="auto"/>
            </w:tcBorders>
            <w:vAlign w:val="center"/>
            <w:hideMark/>
          </w:tcPr>
          <w:p w14:paraId="170B0BBB" w14:textId="77777777" w:rsidR="009B0448" w:rsidRPr="009B0448" w:rsidRDefault="009B0448">
            <w:pPr>
              <w:rPr>
                <w:rFonts w:ascii="Times New Roman" w:hAnsi="Times New Roman" w:cs="Times New Roman"/>
                <w:color w:val="auto"/>
                <w:sz w:val="20"/>
                <w:szCs w:val="20"/>
                <w:lang w:eastAsia="en-GB"/>
              </w:rPr>
            </w:pPr>
          </w:p>
        </w:tc>
      </w:tr>
      <w:tr w:rsidR="009B0448" w:rsidRPr="009B0448" w14:paraId="38ED2455" w14:textId="77777777" w:rsidTr="009B0448">
        <w:trPr>
          <w:trHeight w:val="528"/>
        </w:trPr>
        <w:tc>
          <w:tcPr>
            <w:tcW w:w="9203" w:type="dxa"/>
            <w:vMerge/>
            <w:tcBorders>
              <w:top w:val="nil"/>
              <w:left w:val="single" w:sz="8" w:space="0" w:color="auto"/>
              <w:bottom w:val="single" w:sz="8" w:space="0" w:color="000000"/>
              <w:right w:val="single" w:sz="4" w:space="0" w:color="auto"/>
            </w:tcBorders>
            <w:vAlign w:val="center"/>
            <w:hideMark/>
          </w:tcPr>
          <w:p w14:paraId="781FC634"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4" w:space="0" w:color="auto"/>
              <w:right w:val="single" w:sz="4" w:space="0" w:color="auto"/>
            </w:tcBorders>
            <w:hideMark/>
          </w:tcPr>
          <w:p w14:paraId="76039EA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Direct and indirect processes involving biogenic volatile organic compounds </w:t>
            </w:r>
          </w:p>
        </w:tc>
        <w:tc>
          <w:tcPr>
            <w:tcW w:w="1384" w:type="dxa"/>
            <w:vMerge/>
            <w:tcBorders>
              <w:top w:val="nil"/>
              <w:left w:val="single" w:sz="4" w:space="0" w:color="auto"/>
              <w:bottom w:val="single" w:sz="8" w:space="0" w:color="000000"/>
              <w:right w:val="single" w:sz="4" w:space="0" w:color="auto"/>
            </w:tcBorders>
            <w:vAlign w:val="center"/>
            <w:hideMark/>
          </w:tcPr>
          <w:p w14:paraId="03E9ED32"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403D5521" w14:textId="77777777" w:rsidR="009B0448" w:rsidRPr="009B0448" w:rsidRDefault="009B0448">
            <w:pPr>
              <w:rPr>
                <w:rFonts w:ascii="Times New Roman" w:hAnsi="Times New Roman" w:cs="Times New Roman"/>
                <w:color w:val="auto"/>
                <w:sz w:val="20"/>
                <w:szCs w:val="20"/>
                <w:lang w:eastAsia="en-GB"/>
              </w:rPr>
            </w:pPr>
          </w:p>
        </w:tc>
        <w:tc>
          <w:tcPr>
            <w:tcW w:w="1375" w:type="dxa"/>
            <w:vMerge/>
            <w:tcBorders>
              <w:top w:val="nil"/>
              <w:left w:val="single" w:sz="4" w:space="0" w:color="auto"/>
              <w:bottom w:val="single" w:sz="8" w:space="0" w:color="000000"/>
              <w:right w:val="single" w:sz="8" w:space="0" w:color="auto"/>
            </w:tcBorders>
            <w:vAlign w:val="center"/>
            <w:hideMark/>
          </w:tcPr>
          <w:p w14:paraId="0BF7B526" w14:textId="77777777" w:rsidR="009B0448" w:rsidRPr="009B0448" w:rsidRDefault="009B0448">
            <w:pPr>
              <w:rPr>
                <w:rFonts w:ascii="Times New Roman" w:hAnsi="Times New Roman" w:cs="Times New Roman"/>
                <w:color w:val="auto"/>
                <w:sz w:val="20"/>
                <w:szCs w:val="20"/>
                <w:lang w:eastAsia="en-GB"/>
              </w:rPr>
            </w:pPr>
          </w:p>
        </w:tc>
      </w:tr>
      <w:tr w:rsidR="009B0448" w:rsidRPr="009B0448" w14:paraId="30AF1177" w14:textId="77777777" w:rsidTr="009B0448">
        <w:trPr>
          <w:trHeight w:val="276"/>
        </w:trPr>
        <w:tc>
          <w:tcPr>
            <w:tcW w:w="9203" w:type="dxa"/>
            <w:vMerge/>
            <w:tcBorders>
              <w:top w:val="nil"/>
              <w:left w:val="single" w:sz="8" w:space="0" w:color="auto"/>
              <w:bottom w:val="single" w:sz="8" w:space="0" w:color="000000"/>
              <w:right w:val="single" w:sz="4" w:space="0" w:color="auto"/>
            </w:tcBorders>
            <w:vAlign w:val="center"/>
            <w:hideMark/>
          </w:tcPr>
          <w:p w14:paraId="7C97AD30"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8" w:space="0" w:color="auto"/>
              <w:right w:val="single" w:sz="4" w:space="0" w:color="auto"/>
            </w:tcBorders>
            <w:hideMark/>
          </w:tcPr>
          <w:p w14:paraId="61DC023F"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Regulation of aerosols and aerosol precursors </w:t>
            </w:r>
          </w:p>
        </w:tc>
        <w:tc>
          <w:tcPr>
            <w:tcW w:w="1384" w:type="dxa"/>
            <w:vMerge/>
            <w:tcBorders>
              <w:top w:val="nil"/>
              <w:left w:val="single" w:sz="4" w:space="0" w:color="auto"/>
              <w:bottom w:val="single" w:sz="8" w:space="0" w:color="000000"/>
              <w:right w:val="single" w:sz="4" w:space="0" w:color="auto"/>
            </w:tcBorders>
            <w:vAlign w:val="center"/>
            <w:hideMark/>
          </w:tcPr>
          <w:p w14:paraId="504F15CF"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050487C3" w14:textId="77777777" w:rsidR="009B0448" w:rsidRPr="009B0448" w:rsidRDefault="009B0448">
            <w:pPr>
              <w:rPr>
                <w:rFonts w:ascii="Times New Roman" w:hAnsi="Times New Roman" w:cs="Times New Roman"/>
                <w:color w:val="auto"/>
                <w:sz w:val="20"/>
                <w:szCs w:val="20"/>
                <w:lang w:eastAsia="en-GB"/>
              </w:rPr>
            </w:pPr>
          </w:p>
        </w:tc>
        <w:tc>
          <w:tcPr>
            <w:tcW w:w="1375" w:type="dxa"/>
            <w:vMerge/>
            <w:tcBorders>
              <w:top w:val="nil"/>
              <w:left w:val="single" w:sz="4" w:space="0" w:color="auto"/>
              <w:bottom w:val="single" w:sz="8" w:space="0" w:color="000000"/>
              <w:right w:val="single" w:sz="8" w:space="0" w:color="auto"/>
            </w:tcBorders>
            <w:vAlign w:val="center"/>
            <w:hideMark/>
          </w:tcPr>
          <w:p w14:paraId="19D8E3FD" w14:textId="77777777" w:rsidR="009B0448" w:rsidRPr="009B0448" w:rsidRDefault="009B0448">
            <w:pPr>
              <w:rPr>
                <w:rFonts w:ascii="Times New Roman" w:hAnsi="Times New Roman" w:cs="Times New Roman"/>
                <w:color w:val="auto"/>
                <w:sz w:val="20"/>
                <w:szCs w:val="20"/>
                <w:lang w:eastAsia="en-GB"/>
              </w:rPr>
            </w:pPr>
          </w:p>
        </w:tc>
      </w:tr>
      <w:tr w:rsidR="009B0448" w:rsidRPr="009B0448" w14:paraId="68C246E4" w14:textId="77777777" w:rsidTr="009B0448">
        <w:trPr>
          <w:trHeight w:val="1068"/>
        </w:trPr>
        <w:tc>
          <w:tcPr>
            <w:tcW w:w="1311" w:type="dxa"/>
            <w:tcBorders>
              <w:top w:val="nil"/>
              <w:left w:val="single" w:sz="8" w:space="0" w:color="auto"/>
              <w:bottom w:val="single" w:sz="8" w:space="0" w:color="auto"/>
              <w:right w:val="single" w:sz="4" w:space="0" w:color="auto"/>
            </w:tcBorders>
            <w:hideMark/>
          </w:tcPr>
          <w:p w14:paraId="473DD0AE"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lastRenderedPageBreak/>
              <w:t>Regulation of ocean acidification</w:t>
            </w:r>
          </w:p>
        </w:tc>
        <w:tc>
          <w:tcPr>
            <w:tcW w:w="4099" w:type="dxa"/>
            <w:tcBorders>
              <w:top w:val="nil"/>
              <w:left w:val="nil"/>
              <w:bottom w:val="single" w:sz="8" w:space="0" w:color="auto"/>
              <w:right w:val="single" w:sz="4" w:space="0" w:color="auto"/>
            </w:tcBorders>
            <w:hideMark/>
          </w:tcPr>
          <w:p w14:paraId="297B83DF"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Regulating, by photosynthetic organisms (on land or in water), of atmospheric CO</w:t>
            </w:r>
            <w:r w:rsidRPr="009B0448">
              <w:rPr>
                <w:rFonts w:ascii="Times New Roman" w:eastAsia="Times New Roman" w:hAnsi="Times New Roman" w:cs="Times New Roman"/>
                <w:vertAlign w:val="subscript"/>
                <w:lang w:eastAsia="en-US"/>
              </w:rPr>
              <w:t>2</w:t>
            </w:r>
            <w:r w:rsidRPr="009B0448">
              <w:rPr>
                <w:rFonts w:ascii="Times New Roman" w:eastAsia="Times New Roman" w:hAnsi="Times New Roman" w:cs="Times New Roman"/>
                <w:lang w:eastAsia="en-US"/>
              </w:rPr>
              <w:t xml:space="preserve"> concentrations and so seawater pH, which affects associated calcification processes by many marine organisms important to humans (such as corals) </w:t>
            </w:r>
          </w:p>
        </w:tc>
        <w:tc>
          <w:tcPr>
            <w:tcW w:w="1384" w:type="dxa"/>
            <w:tcBorders>
              <w:top w:val="nil"/>
              <w:left w:val="nil"/>
              <w:bottom w:val="single" w:sz="8" w:space="0" w:color="auto"/>
              <w:right w:val="single" w:sz="4" w:space="0" w:color="auto"/>
            </w:tcBorders>
            <w:hideMark/>
          </w:tcPr>
          <w:p w14:paraId="027EC1A1"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w:t>
            </w:r>
          </w:p>
        </w:tc>
        <w:tc>
          <w:tcPr>
            <w:tcW w:w="1034" w:type="dxa"/>
            <w:tcBorders>
              <w:top w:val="nil"/>
              <w:left w:val="nil"/>
              <w:bottom w:val="single" w:sz="8" w:space="0" w:color="auto"/>
              <w:right w:val="single" w:sz="4" w:space="0" w:color="auto"/>
            </w:tcBorders>
            <w:hideMark/>
          </w:tcPr>
          <w:p w14:paraId="53D6F921"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Mauritius, Africa</w:t>
            </w:r>
          </w:p>
        </w:tc>
        <w:tc>
          <w:tcPr>
            <w:tcW w:w="1375" w:type="dxa"/>
            <w:tcBorders>
              <w:top w:val="nil"/>
              <w:left w:val="nil"/>
              <w:bottom w:val="single" w:sz="8" w:space="0" w:color="auto"/>
              <w:right w:val="single" w:sz="8" w:space="0" w:color="auto"/>
            </w:tcBorders>
            <w:hideMark/>
          </w:tcPr>
          <w:p w14:paraId="7920574E"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Lloyd </w:t>
            </w:r>
            <w:r w:rsidRPr="009B0448">
              <w:rPr>
                <w:rFonts w:ascii="Times New Roman" w:eastAsia="Times New Roman" w:hAnsi="Times New Roman" w:cs="Times New Roman"/>
                <w:i/>
                <w:lang w:eastAsia="en-US"/>
              </w:rPr>
              <w:t>et al.</w:t>
            </w:r>
            <w:r w:rsidRPr="009B0448">
              <w:rPr>
                <w:rFonts w:ascii="Times New Roman" w:eastAsia="Times New Roman" w:hAnsi="Times New Roman" w:cs="Times New Roman"/>
                <w:lang w:eastAsia="en-US"/>
              </w:rPr>
              <w:t>, 2012</w:t>
            </w:r>
          </w:p>
        </w:tc>
      </w:tr>
      <w:tr w:rsidR="009B0448" w:rsidRPr="009B0448" w14:paraId="290DAD10" w14:textId="77777777" w:rsidTr="009B0448">
        <w:trPr>
          <w:trHeight w:val="1056"/>
        </w:trPr>
        <w:tc>
          <w:tcPr>
            <w:tcW w:w="1311" w:type="dxa"/>
            <w:vMerge w:val="restart"/>
            <w:tcBorders>
              <w:top w:val="nil"/>
              <w:left w:val="single" w:sz="8" w:space="0" w:color="auto"/>
              <w:bottom w:val="single" w:sz="8" w:space="0" w:color="000000"/>
              <w:right w:val="single" w:sz="4" w:space="0" w:color="auto"/>
            </w:tcBorders>
            <w:hideMark/>
          </w:tcPr>
          <w:p w14:paraId="002686E7"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Regulation of freshwater quantity, flow, </w:t>
            </w:r>
            <w:r w:rsidRPr="009B0448">
              <w:rPr>
                <w:rFonts w:ascii="Times New Roman" w:eastAsia="Times New Roman" w:hAnsi="Times New Roman" w:cs="Times New Roman"/>
                <w:noProof/>
                <w:lang w:eastAsia="en-US"/>
              </w:rPr>
              <w:t>and</w:t>
            </w:r>
            <w:r w:rsidRPr="009B0448">
              <w:rPr>
                <w:rFonts w:ascii="Times New Roman" w:eastAsia="Times New Roman" w:hAnsi="Times New Roman" w:cs="Times New Roman"/>
                <w:lang w:eastAsia="en-US"/>
              </w:rPr>
              <w:t xml:space="preserve"> timing</w:t>
            </w:r>
          </w:p>
        </w:tc>
        <w:tc>
          <w:tcPr>
            <w:tcW w:w="4099" w:type="dxa"/>
            <w:tcBorders>
              <w:top w:val="nil"/>
              <w:left w:val="nil"/>
              <w:bottom w:val="single" w:sz="4" w:space="0" w:color="auto"/>
              <w:right w:val="single" w:sz="4" w:space="0" w:color="auto"/>
            </w:tcBorders>
            <w:hideMark/>
          </w:tcPr>
          <w:p w14:paraId="6111F8E0"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Regulation by ecosystems, of the quantity, location, </w:t>
            </w:r>
            <w:r w:rsidRPr="009B0448">
              <w:rPr>
                <w:rFonts w:ascii="Times New Roman" w:eastAsia="Times New Roman" w:hAnsi="Times New Roman" w:cs="Times New Roman"/>
                <w:noProof/>
                <w:lang w:eastAsia="en-US"/>
              </w:rPr>
              <w:t>and</w:t>
            </w:r>
            <w:r w:rsidRPr="009B0448">
              <w:rPr>
                <w:rFonts w:ascii="Times New Roman" w:eastAsia="Times New Roman" w:hAnsi="Times New Roman" w:cs="Times New Roman"/>
                <w:lang w:eastAsia="en-US"/>
              </w:rPr>
              <w:t xml:space="preserve"> timing of the flow of surface and groundwater used for drinking, irrigation, transport, hydropower </w:t>
            </w:r>
          </w:p>
        </w:tc>
        <w:tc>
          <w:tcPr>
            <w:tcW w:w="1384" w:type="dxa"/>
            <w:vMerge w:val="restart"/>
            <w:tcBorders>
              <w:top w:val="nil"/>
              <w:left w:val="single" w:sz="4" w:space="0" w:color="auto"/>
              <w:bottom w:val="single" w:sz="8" w:space="0" w:color="000000"/>
              <w:right w:val="single" w:sz="4" w:space="0" w:color="auto"/>
            </w:tcBorders>
            <w:hideMark/>
          </w:tcPr>
          <w:p w14:paraId="0985829F"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w:t>
            </w:r>
          </w:p>
        </w:tc>
        <w:tc>
          <w:tcPr>
            <w:tcW w:w="1034" w:type="dxa"/>
            <w:vMerge w:val="restart"/>
            <w:tcBorders>
              <w:top w:val="nil"/>
              <w:left w:val="single" w:sz="4" w:space="0" w:color="auto"/>
              <w:bottom w:val="single" w:sz="8" w:space="0" w:color="000000"/>
              <w:right w:val="single" w:sz="4" w:space="0" w:color="auto"/>
            </w:tcBorders>
            <w:hideMark/>
          </w:tcPr>
          <w:p w14:paraId="61F0B612"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Africa</w:t>
            </w:r>
          </w:p>
        </w:tc>
        <w:tc>
          <w:tcPr>
            <w:tcW w:w="1375" w:type="dxa"/>
            <w:vMerge w:val="restart"/>
            <w:tcBorders>
              <w:top w:val="nil"/>
              <w:left w:val="single" w:sz="4" w:space="0" w:color="auto"/>
              <w:bottom w:val="single" w:sz="8" w:space="0" w:color="000000"/>
              <w:right w:val="single" w:sz="8" w:space="0" w:color="auto"/>
            </w:tcBorders>
            <w:hideMark/>
          </w:tcPr>
          <w:p w14:paraId="6A85C619"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Lévêque, 1997</w:t>
            </w:r>
          </w:p>
        </w:tc>
      </w:tr>
      <w:tr w:rsidR="009B0448" w:rsidRPr="009B0448" w14:paraId="0CA303EA" w14:textId="77777777" w:rsidTr="009B0448">
        <w:trPr>
          <w:trHeight w:val="792"/>
        </w:trPr>
        <w:tc>
          <w:tcPr>
            <w:tcW w:w="9203" w:type="dxa"/>
            <w:vMerge/>
            <w:tcBorders>
              <w:top w:val="nil"/>
              <w:left w:val="single" w:sz="8" w:space="0" w:color="auto"/>
              <w:bottom w:val="single" w:sz="8" w:space="0" w:color="000000"/>
              <w:right w:val="single" w:sz="4" w:space="0" w:color="auto"/>
            </w:tcBorders>
            <w:vAlign w:val="center"/>
            <w:hideMark/>
          </w:tcPr>
          <w:p w14:paraId="0CB4FB95"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4" w:space="0" w:color="auto"/>
              <w:right w:val="single" w:sz="4" w:space="0" w:color="auto"/>
            </w:tcBorders>
            <w:hideMark/>
          </w:tcPr>
          <w:p w14:paraId="16244285"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Regulation of flow to water-dependent natural habitats that in turn positively or negatively affect people downstream, including via flooding (wetlands including ponds, rivers, lakes, swamps) </w:t>
            </w:r>
          </w:p>
        </w:tc>
        <w:tc>
          <w:tcPr>
            <w:tcW w:w="1384" w:type="dxa"/>
            <w:vMerge/>
            <w:tcBorders>
              <w:top w:val="nil"/>
              <w:left w:val="single" w:sz="4" w:space="0" w:color="auto"/>
              <w:bottom w:val="single" w:sz="8" w:space="0" w:color="000000"/>
              <w:right w:val="single" w:sz="4" w:space="0" w:color="auto"/>
            </w:tcBorders>
            <w:vAlign w:val="center"/>
            <w:hideMark/>
          </w:tcPr>
          <w:p w14:paraId="0818B56C"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36F4A030"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8" w:space="0" w:color="000000"/>
              <w:right w:val="single" w:sz="8" w:space="0" w:color="auto"/>
            </w:tcBorders>
            <w:vAlign w:val="center"/>
            <w:hideMark/>
          </w:tcPr>
          <w:p w14:paraId="61B234DE" w14:textId="77777777" w:rsidR="009B0448" w:rsidRPr="009B0448" w:rsidRDefault="009B0448">
            <w:pPr>
              <w:rPr>
                <w:rFonts w:ascii="Times New Roman" w:eastAsia="Times New Roman" w:hAnsi="Times New Roman" w:cs="Times New Roman"/>
                <w:lang w:val="en-ZA" w:eastAsia="en-US"/>
              </w:rPr>
            </w:pPr>
          </w:p>
        </w:tc>
      </w:tr>
      <w:tr w:rsidR="009B0448" w:rsidRPr="009B0448" w14:paraId="633F1963" w14:textId="77777777" w:rsidTr="009B0448">
        <w:trPr>
          <w:trHeight w:val="540"/>
        </w:trPr>
        <w:tc>
          <w:tcPr>
            <w:tcW w:w="9203" w:type="dxa"/>
            <w:vMerge/>
            <w:tcBorders>
              <w:top w:val="nil"/>
              <w:left w:val="single" w:sz="8" w:space="0" w:color="auto"/>
              <w:bottom w:val="single" w:sz="8" w:space="0" w:color="000000"/>
              <w:right w:val="single" w:sz="4" w:space="0" w:color="auto"/>
            </w:tcBorders>
            <w:vAlign w:val="center"/>
            <w:hideMark/>
          </w:tcPr>
          <w:p w14:paraId="64D9E49F"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8" w:space="0" w:color="auto"/>
              <w:right w:val="single" w:sz="4" w:space="0" w:color="auto"/>
            </w:tcBorders>
            <w:hideMark/>
          </w:tcPr>
          <w:p w14:paraId="1624A5F2" w14:textId="00151BFC"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Modifying groundwater levels, which can ameliorate dryland </w:t>
            </w:r>
            <w:r w:rsidR="00D47F8F" w:rsidRPr="009B0448">
              <w:rPr>
                <w:rFonts w:ascii="Times New Roman" w:eastAsia="Times New Roman" w:hAnsi="Times New Roman" w:cs="Times New Roman"/>
                <w:lang w:eastAsia="en-US"/>
              </w:rPr>
              <w:t>salinization</w:t>
            </w:r>
            <w:r w:rsidRPr="009B0448">
              <w:rPr>
                <w:rFonts w:ascii="Times New Roman" w:eastAsia="Times New Roman" w:hAnsi="Times New Roman" w:cs="Times New Roman"/>
                <w:lang w:eastAsia="en-US"/>
              </w:rPr>
              <w:t xml:space="preserve"> in unirrigated landscapes </w:t>
            </w:r>
          </w:p>
        </w:tc>
        <w:tc>
          <w:tcPr>
            <w:tcW w:w="1384" w:type="dxa"/>
            <w:vMerge/>
            <w:tcBorders>
              <w:top w:val="nil"/>
              <w:left w:val="single" w:sz="4" w:space="0" w:color="auto"/>
              <w:bottom w:val="single" w:sz="8" w:space="0" w:color="000000"/>
              <w:right w:val="single" w:sz="4" w:space="0" w:color="auto"/>
            </w:tcBorders>
            <w:vAlign w:val="center"/>
            <w:hideMark/>
          </w:tcPr>
          <w:p w14:paraId="16FEE3E6"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4B799DC2"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8" w:space="0" w:color="000000"/>
              <w:right w:val="single" w:sz="8" w:space="0" w:color="auto"/>
            </w:tcBorders>
            <w:vAlign w:val="center"/>
            <w:hideMark/>
          </w:tcPr>
          <w:p w14:paraId="13A605F4" w14:textId="77777777" w:rsidR="009B0448" w:rsidRPr="009B0448" w:rsidRDefault="009B0448">
            <w:pPr>
              <w:rPr>
                <w:rFonts w:ascii="Times New Roman" w:eastAsia="Times New Roman" w:hAnsi="Times New Roman" w:cs="Times New Roman"/>
                <w:lang w:val="en-ZA" w:eastAsia="en-US"/>
              </w:rPr>
            </w:pPr>
          </w:p>
        </w:tc>
      </w:tr>
      <w:tr w:rsidR="009B0448" w:rsidRPr="009B0448" w14:paraId="665940FA" w14:textId="77777777" w:rsidTr="009B0448">
        <w:trPr>
          <w:trHeight w:val="547"/>
        </w:trPr>
        <w:tc>
          <w:tcPr>
            <w:tcW w:w="1311" w:type="dxa"/>
            <w:vMerge w:val="restart"/>
            <w:tcBorders>
              <w:top w:val="nil"/>
              <w:left w:val="single" w:sz="8" w:space="0" w:color="auto"/>
              <w:bottom w:val="single" w:sz="8" w:space="0" w:color="000000"/>
              <w:right w:val="single" w:sz="4" w:space="0" w:color="auto"/>
            </w:tcBorders>
            <w:hideMark/>
          </w:tcPr>
          <w:p w14:paraId="06BDCA3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Regulation of freshwater and coastal water quality</w:t>
            </w:r>
          </w:p>
        </w:tc>
        <w:tc>
          <w:tcPr>
            <w:tcW w:w="4099" w:type="dxa"/>
            <w:tcBorders>
              <w:top w:val="nil"/>
              <w:left w:val="nil"/>
              <w:bottom w:val="single" w:sz="4" w:space="0" w:color="auto"/>
              <w:right w:val="single" w:sz="4" w:space="0" w:color="auto"/>
            </w:tcBorders>
            <w:hideMark/>
          </w:tcPr>
          <w:p w14:paraId="3A02DB32"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Regulation– through filtration of particles, pathogens, excess nutrients, and other chemicals–by ecosystems or particular organisms, of the quality of water used directly (e.g., drinking) or indirectly (e.g., aquatic foods, irrigated food and fibre crops, freshwater and coastal habitats of heritage value)</w:t>
            </w:r>
          </w:p>
        </w:tc>
        <w:tc>
          <w:tcPr>
            <w:tcW w:w="1384" w:type="dxa"/>
            <w:vMerge w:val="restart"/>
            <w:tcBorders>
              <w:top w:val="nil"/>
              <w:left w:val="single" w:sz="4" w:space="0" w:color="auto"/>
              <w:bottom w:val="single" w:sz="8" w:space="0" w:color="000000"/>
              <w:right w:val="single" w:sz="4" w:space="0" w:color="auto"/>
            </w:tcBorders>
            <w:hideMark/>
          </w:tcPr>
          <w:p w14:paraId="1A9FF0BF"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w:t>
            </w:r>
          </w:p>
        </w:tc>
        <w:tc>
          <w:tcPr>
            <w:tcW w:w="1034" w:type="dxa"/>
            <w:vMerge w:val="restart"/>
            <w:tcBorders>
              <w:top w:val="nil"/>
              <w:left w:val="single" w:sz="4" w:space="0" w:color="auto"/>
              <w:bottom w:val="single" w:sz="8" w:space="0" w:color="000000"/>
              <w:right w:val="single" w:sz="4" w:space="0" w:color="auto"/>
            </w:tcBorders>
            <w:hideMark/>
          </w:tcPr>
          <w:p w14:paraId="04E3923A"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Kenya, Comoros Island, </w:t>
            </w:r>
            <w:r w:rsidRPr="009B0448">
              <w:rPr>
                <w:rFonts w:ascii="Times New Roman" w:eastAsia="Times New Roman" w:hAnsi="Times New Roman" w:cs="Times New Roman"/>
                <w:noProof/>
                <w:lang w:eastAsia="en-US"/>
              </w:rPr>
              <w:t>and</w:t>
            </w:r>
            <w:r w:rsidRPr="009B0448">
              <w:rPr>
                <w:rFonts w:ascii="Times New Roman" w:eastAsia="Times New Roman" w:hAnsi="Times New Roman" w:cs="Times New Roman"/>
                <w:lang w:eastAsia="en-US"/>
              </w:rPr>
              <w:t xml:space="preserve"> Tanzania</w:t>
            </w:r>
          </w:p>
        </w:tc>
        <w:tc>
          <w:tcPr>
            <w:tcW w:w="1375" w:type="dxa"/>
            <w:vMerge w:val="restart"/>
            <w:tcBorders>
              <w:top w:val="nil"/>
              <w:left w:val="single" w:sz="4" w:space="0" w:color="auto"/>
              <w:bottom w:val="single" w:sz="8" w:space="0" w:color="000000"/>
              <w:right w:val="single" w:sz="8" w:space="0" w:color="auto"/>
            </w:tcBorders>
            <w:hideMark/>
          </w:tcPr>
          <w:p w14:paraId="296D6F72"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val="fr-CA" w:eastAsia="en-US"/>
              </w:rPr>
              <w:t xml:space="preserve">Comte </w:t>
            </w:r>
            <w:r w:rsidRPr="009B0448">
              <w:rPr>
                <w:rFonts w:ascii="Times New Roman" w:eastAsia="Times New Roman" w:hAnsi="Times New Roman" w:cs="Times New Roman"/>
                <w:i/>
                <w:lang w:val="fr-CA" w:eastAsia="en-US"/>
              </w:rPr>
              <w:t>et al.</w:t>
            </w:r>
            <w:r w:rsidRPr="009B0448">
              <w:rPr>
                <w:rFonts w:ascii="Times New Roman" w:eastAsia="Times New Roman" w:hAnsi="Times New Roman" w:cs="Times New Roman"/>
                <w:lang w:val="fr-CA" w:eastAsia="en-US"/>
              </w:rPr>
              <w:t>, 2016</w:t>
            </w:r>
          </w:p>
        </w:tc>
      </w:tr>
      <w:tr w:rsidR="009B0448" w:rsidRPr="009B0448" w14:paraId="2A0A035C" w14:textId="77777777" w:rsidTr="009B0448">
        <w:trPr>
          <w:trHeight w:val="540"/>
        </w:trPr>
        <w:tc>
          <w:tcPr>
            <w:tcW w:w="9203" w:type="dxa"/>
            <w:vMerge/>
            <w:tcBorders>
              <w:top w:val="nil"/>
              <w:left w:val="single" w:sz="8" w:space="0" w:color="auto"/>
              <w:bottom w:val="single" w:sz="8" w:space="0" w:color="000000"/>
              <w:right w:val="single" w:sz="4" w:space="0" w:color="auto"/>
            </w:tcBorders>
            <w:vAlign w:val="center"/>
            <w:hideMark/>
          </w:tcPr>
          <w:p w14:paraId="091EAB7D"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8" w:space="0" w:color="auto"/>
              <w:right w:val="single" w:sz="4" w:space="0" w:color="auto"/>
            </w:tcBorders>
            <w:hideMark/>
          </w:tcPr>
          <w:p w14:paraId="78A586C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Role of mangroves and seagrasses in this regulation process show in West Africa</w:t>
            </w:r>
          </w:p>
        </w:tc>
        <w:tc>
          <w:tcPr>
            <w:tcW w:w="1384" w:type="dxa"/>
            <w:vMerge/>
            <w:tcBorders>
              <w:top w:val="nil"/>
              <w:left w:val="single" w:sz="4" w:space="0" w:color="auto"/>
              <w:bottom w:val="single" w:sz="8" w:space="0" w:color="000000"/>
              <w:right w:val="single" w:sz="4" w:space="0" w:color="auto"/>
            </w:tcBorders>
            <w:vAlign w:val="center"/>
            <w:hideMark/>
          </w:tcPr>
          <w:p w14:paraId="012FFB6D"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28CD3F91"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8" w:space="0" w:color="000000"/>
              <w:right w:val="single" w:sz="8" w:space="0" w:color="auto"/>
            </w:tcBorders>
            <w:vAlign w:val="center"/>
            <w:hideMark/>
          </w:tcPr>
          <w:p w14:paraId="650C75A4" w14:textId="77777777" w:rsidR="009B0448" w:rsidRPr="009B0448" w:rsidRDefault="009B0448">
            <w:pPr>
              <w:rPr>
                <w:rFonts w:ascii="Times New Roman" w:eastAsia="Times New Roman" w:hAnsi="Times New Roman" w:cs="Times New Roman"/>
                <w:lang w:val="en-ZA" w:eastAsia="en-US"/>
              </w:rPr>
            </w:pPr>
          </w:p>
        </w:tc>
      </w:tr>
      <w:tr w:rsidR="009B0448" w:rsidRPr="009B0448" w14:paraId="7F744465" w14:textId="77777777" w:rsidTr="009B0448">
        <w:trPr>
          <w:trHeight w:val="1860"/>
        </w:trPr>
        <w:tc>
          <w:tcPr>
            <w:tcW w:w="1311" w:type="dxa"/>
            <w:tcBorders>
              <w:top w:val="nil"/>
              <w:left w:val="single" w:sz="8" w:space="0" w:color="auto"/>
              <w:bottom w:val="single" w:sz="8" w:space="0" w:color="auto"/>
              <w:right w:val="single" w:sz="4" w:space="0" w:color="auto"/>
            </w:tcBorders>
            <w:hideMark/>
          </w:tcPr>
          <w:p w14:paraId="5D2FBC6F"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Formation, protection, </w:t>
            </w:r>
            <w:r w:rsidRPr="009B0448">
              <w:rPr>
                <w:rFonts w:ascii="Times New Roman" w:eastAsia="Times New Roman" w:hAnsi="Times New Roman" w:cs="Times New Roman"/>
                <w:noProof/>
                <w:lang w:eastAsia="en-US"/>
              </w:rPr>
              <w:t>and</w:t>
            </w:r>
            <w:r w:rsidRPr="009B0448">
              <w:rPr>
                <w:rFonts w:ascii="Times New Roman" w:eastAsia="Times New Roman" w:hAnsi="Times New Roman" w:cs="Times New Roman"/>
                <w:lang w:eastAsia="en-US"/>
              </w:rPr>
              <w:t xml:space="preserve"> decontamination of soils and sediments</w:t>
            </w:r>
          </w:p>
        </w:tc>
        <w:tc>
          <w:tcPr>
            <w:tcW w:w="4099" w:type="dxa"/>
            <w:tcBorders>
              <w:top w:val="nil"/>
              <w:left w:val="nil"/>
              <w:bottom w:val="single" w:sz="8" w:space="0" w:color="auto"/>
              <w:right w:val="single" w:sz="4" w:space="0" w:color="auto"/>
            </w:tcBorders>
            <w:hideMark/>
          </w:tcPr>
          <w:p w14:paraId="0B5CCA4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Sediment retention and erosion control, soil formation and maintenance of soil structure and processes (e.g., such as decomposition and nutrient cycling) that underlie the continued fertility of soils important to humans. Filtration, fixation, degradation or storage of chemical and biological pollutants (pathogens, toxics, excess nutrients) in soils and sediments that are important to humans </w:t>
            </w:r>
          </w:p>
        </w:tc>
        <w:tc>
          <w:tcPr>
            <w:tcW w:w="1384" w:type="dxa"/>
            <w:tcBorders>
              <w:top w:val="nil"/>
              <w:left w:val="nil"/>
              <w:bottom w:val="single" w:sz="8" w:space="0" w:color="auto"/>
              <w:right w:val="single" w:sz="4" w:space="0" w:color="auto"/>
            </w:tcBorders>
            <w:hideMark/>
          </w:tcPr>
          <w:p w14:paraId="01C84150"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w:t>
            </w:r>
          </w:p>
        </w:tc>
        <w:tc>
          <w:tcPr>
            <w:tcW w:w="1034" w:type="dxa"/>
            <w:tcBorders>
              <w:top w:val="nil"/>
              <w:left w:val="nil"/>
              <w:bottom w:val="single" w:sz="8" w:space="0" w:color="auto"/>
              <w:right w:val="single" w:sz="4" w:space="0" w:color="auto"/>
            </w:tcBorders>
            <w:hideMark/>
          </w:tcPr>
          <w:p w14:paraId="7A7E4CC9" w14:textId="77777777" w:rsidR="009B0448" w:rsidRPr="009B0448" w:rsidRDefault="009B0448">
            <w:pPr>
              <w:spacing w:line="254" w:lineRule="auto"/>
              <w:rPr>
                <w:rFonts w:ascii="Times New Roman" w:eastAsia="Times New Roman" w:hAnsi="Times New Roman" w:cs="Times New Roman"/>
                <w:color w:val="auto"/>
                <w:lang w:val="en-ZA" w:eastAsia="en-US"/>
              </w:rPr>
            </w:pPr>
            <w:r w:rsidRPr="009B0448">
              <w:rPr>
                <w:rFonts w:ascii="Times New Roman" w:eastAsia="Times New Roman" w:hAnsi="Times New Roman" w:cs="Times New Roman"/>
                <w:color w:val="auto"/>
                <w:lang w:eastAsia="en-US"/>
              </w:rPr>
              <w:t>Africa</w:t>
            </w:r>
          </w:p>
        </w:tc>
        <w:tc>
          <w:tcPr>
            <w:tcW w:w="1375" w:type="dxa"/>
            <w:tcBorders>
              <w:top w:val="nil"/>
              <w:left w:val="nil"/>
              <w:bottom w:val="single" w:sz="8" w:space="0" w:color="auto"/>
              <w:right w:val="single" w:sz="8" w:space="0" w:color="auto"/>
            </w:tcBorders>
            <w:hideMark/>
          </w:tcPr>
          <w:p w14:paraId="5A54BA19" w14:textId="77777777" w:rsidR="009B0448" w:rsidRPr="009B0448" w:rsidRDefault="009B0448">
            <w:pPr>
              <w:spacing w:line="254" w:lineRule="auto"/>
              <w:rPr>
                <w:rFonts w:ascii="Times New Roman" w:eastAsia="Times New Roman" w:hAnsi="Times New Roman" w:cs="Times New Roman"/>
                <w:color w:val="auto"/>
                <w:lang w:val="en-ZA" w:eastAsia="en-US"/>
              </w:rPr>
            </w:pPr>
            <w:r w:rsidRPr="009B0448">
              <w:rPr>
                <w:rFonts w:ascii="Times New Roman" w:eastAsia="Times New Roman" w:hAnsi="Times New Roman" w:cs="Times New Roman"/>
                <w:color w:val="auto"/>
                <w:lang w:eastAsia="en-US"/>
              </w:rPr>
              <w:t xml:space="preserve">Symeonakis </w:t>
            </w:r>
            <w:r w:rsidRPr="009B0448">
              <w:rPr>
                <w:rFonts w:ascii="Times New Roman" w:eastAsia="Times New Roman" w:hAnsi="Times New Roman" w:cs="Times New Roman"/>
                <w:i/>
                <w:color w:val="auto"/>
                <w:lang w:eastAsia="en-US"/>
              </w:rPr>
              <w:t>et al.</w:t>
            </w:r>
            <w:r w:rsidRPr="009B0448">
              <w:rPr>
                <w:rFonts w:ascii="Times New Roman" w:eastAsia="Times New Roman" w:hAnsi="Times New Roman" w:cs="Times New Roman"/>
                <w:color w:val="auto"/>
                <w:lang w:eastAsia="en-US"/>
              </w:rPr>
              <w:t>, 2010</w:t>
            </w:r>
          </w:p>
        </w:tc>
      </w:tr>
      <w:tr w:rsidR="009B0448" w:rsidRPr="009B0448" w14:paraId="6277DC8B" w14:textId="77777777" w:rsidTr="009B0448">
        <w:trPr>
          <w:trHeight w:val="1056"/>
        </w:trPr>
        <w:tc>
          <w:tcPr>
            <w:tcW w:w="1311" w:type="dxa"/>
            <w:vMerge w:val="restart"/>
            <w:tcBorders>
              <w:top w:val="nil"/>
              <w:left w:val="single" w:sz="8" w:space="0" w:color="auto"/>
              <w:bottom w:val="single" w:sz="8" w:space="0" w:color="000000"/>
              <w:right w:val="single" w:sz="4" w:space="0" w:color="auto"/>
            </w:tcBorders>
            <w:hideMark/>
          </w:tcPr>
          <w:p w14:paraId="2A70C570"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Regulation of hazards and extreme events</w:t>
            </w:r>
          </w:p>
        </w:tc>
        <w:tc>
          <w:tcPr>
            <w:tcW w:w="4099" w:type="dxa"/>
            <w:tcBorders>
              <w:top w:val="nil"/>
              <w:left w:val="nil"/>
              <w:bottom w:val="single" w:sz="4" w:space="0" w:color="auto"/>
              <w:right w:val="single" w:sz="4" w:space="0" w:color="auto"/>
            </w:tcBorders>
            <w:hideMark/>
          </w:tcPr>
          <w:p w14:paraId="43531F25"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Amelioration, by ecosystems, of the impacts on humans or their infrastructure caused by e.g., floods, wind, storms, hurricanes, seawater intrusion, tidal waves, heat waves, tsunamis, high noise levels </w:t>
            </w:r>
          </w:p>
        </w:tc>
        <w:tc>
          <w:tcPr>
            <w:tcW w:w="1384" w:type="dxa"/>
            <w:vMerge w:val="restart"/>
            <w:tcBorders>
              <w:top w:val="nil"/>
              <w:left w:val="single" w:sz="4" w:space="0" w:color="auto"/>
              <w:bottom w:val="single" w:sz="8" w:space="0" w:color="000000"/>
              <w:right w:val="single" w:sz="4" w:space="0" w:color="auto"/>
            </w:tcBorders>
            <w:hideMark/>
          </w:tcPr>
          <w:p w14:paraId="66DEB6E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w:t>
            </w:r>
          </w:p>
        </w:tc>
        <w:tc>
          <w:tcPr>
            <w:tcW w:w="1034" w:type="dxa"/>
            <w:vMerge w:val="restart"/>
            <w:tcBorders>
              <w:top w:val="nil"/>
              <w:left w:val="single" w:sz="4" w:space="0" w:color="auto"/>
              <w:bottom w:val="single" w:sz="8" w:space="0" w:color="000000"/>
              <w:right w:val="single" w:sz="4" w:space="0" w:color="auto"/>
            </w:tcBorders>
            <w:hideMark/>
          </w:tcPr>
          <w:p w14:paraId="091B2A9D"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Africa</w:t>
            </w:r>
          </w:p>
        </w:tc>
        <w:tc>
          <w:tcPr>
            <w:tcW w:w="1375" w:type="dxa"/>
            <w:vMerge w:val="restart"/>
            <w:tcBorders>
              <w:top w:val="nil"/>
              <w:left w:val="single" w:sz="4" w:space="0" w:color="auto"/>
              <w:bottom w:val="single" w:sz="8" w:space="0" w:color="000000"/>
              <w:right w:val="single" w:sz="8" w:space="0" w:color="auto"/>
            </w:tcBorders>
            <w:hideMark/>
          </w:tcPr>
          <w:p w14:paraId="723E7E15"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Tall </w:t>
            </w:r>
            <w:r w:rsidRPr="009B0448">
              <w:rPr>
                <w:rFonts w:ascii="Times New Roman" w:eastAsia="Times New Roman" w:hAnsi="Times New Roman" w:cs="Times New Roman"/>
                <w:i/>
                <w:lang w:eastAsia="en-US"/>
              </w:rPr>
              <w:t>et al.</w:t>
            </w:r>
            <w:r w:rsidRPr="009B0448">
              <w:rPr>
                <w:rFonts w:ascii="Times New Roman" w:eastAsia="Times New Roman" w:hAnsi="Times New Roman" w:cs="Times New Roman"/>
                <w:lang w:eastAsia="en-US"/>
              </w:rPr>
              <w:t>, 2013</w:t>
            </w:r>
          </w:p>
        </w:tc>
      </w:tr>
      <w:tr w:rsidR="009B0448" w:rsidRPr="009B0448" w14:paraId="1CF2AD56" w14:textId="77777777" w:rsidTr="009B0448">
        <w:trPr>
          <w:trHeight w:val="276"/>
        </w:trPr>
        <w:tc>
          <w:tcPr>
            <w:tcW w:w="9203" w:type="dxa"/>
            <w:vMerge/>
            <w:tcBorders>
              <w:top w:val="nil"/>
              <w:left w:val="single" w:sz="8" w:space="0" w:color="auto"/>
              <w:bottom w:val="single" w:sz="8" w:space="0" w:color="000000"/>
              <w:right w:val="single" w:sz="4" w:space="0" w:color="auto"/>
            </w:tcBorders>
            <w:vAlign w:val="center"/>
            <w:hideMark/>
          </w:tcPr>
          <w:p w14:paraId="2B54B682"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8" w:space="0" w:color="auto"/>
              <w:right w:val="single" w:sz="4" w:space="0" w:color="auto"/>
            </w:tcBorders>
            <w:hideMark/>
          </w:tcPr>
          <w:p w14:paraId="6BEA7649"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Reduction, by ecosystems of hazards like landslides, avalanches </w:t>
            </w:r>
          </w:p>
        </w:tc>
        <w:tc>
          <w:tcPr>
            <w:tcW w:w="1384" w:type="dxa"/>
            <w:vMerge/>
            <w:tcBorders>
              <w:top w:val="nil"/>
              <w:left w:val="single" w:sz="4" w:space="0" w:color="auto"/>
              <w:bottom w:val="single" w:sz="8" w:space="0" w:color="000000"/>
              <w:right w:val="single" w:sz="4" w:space="0" w:color="auto"/>
            </w:tcBorders>
            <w:vAlign w:val="center"/>
            <w:hideMark/>
          </w:tcPr>
          <w:p w14:paraId="1CC8BF4A"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5C5F3B98"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8" w:space="0" w:color="000000"/>
              <w:right w:val="single" w:sz="8" w:space="0" w:color="auto"/>
            </w:tcBorders>
            <w:vAlign w:val="center"/>
            <w:hideMark/>
          </w:tcPr>
          <w:p w14:paraId="4C7E1B85" w14:textId="77777777" w:rsidR="009B0448" w:rsidRPr="009B0448" w:rsidRDefault="009B0448">
            <w:pPr>
              <w:rPr>
                <w:rFonts w:ascii="Times New Roman" w:eastAsia="Times New Roman" w:hAnsi="Times New Roman" w:cs="Times New Roman"/>
                <w:lang w:val="en-ZA" w:eastAsia="en-US"/>
              </w:rPr>
            </w:pPr>
          </w:p>
        </w:tc>
      </w:tr>
      <w:tr w:rsidR="009B0448" w:rsidRPr="009B0448" w14:paraId="521A78DF" w14:textId="77777777" w:rsidTr="009B0448">
        <w:trPr>
          <w:trHeight w:val="792"/>
        </w:trPr>
        <w:tc>
          <w:tcPr>
            <w:tcW w:w="1311" w:type="dxa"/>
            <w:vMerge w:val="restart"/>
            <w:tcBorders>
              <w:top w:val="nil"/>
              <w:left w:val="single" w:sz="8" w:space="0" w:color="auto"/>
              <w:bottom w:val="single" w:sz="8" w:space="0" w:color="000000"/>
              <w:right w:val="single" w:sz="4" w:space="0" w:color="auto"/>
            </w:tcBorders>
            <w:hideMark/>
          </w:tcPr>
          <w:p w14:paraId="24F084ED"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Regulation of organisms detrimental to humans</w:t>
            </w:r>
          </w:p>
        </w:tc>
        <w:tc>
          <w:tcPr>
            <w:tcW w:w="4099" w:type="dxa"/>
            <w:tcBorders>
              <w:top w:val="nil"/>
              <w:left w:val="nil"/>
              <w:bottom w:val="single" w:sz="4" w:space="0" w:color="auto"/>
              <w:right w:val="single" w:sz="4" w:space="0" w:color="auto"/>
            </w:tcBorders>
            <w:hideMark/>
          </w:tcPr>
          <w:p w14:paraId="3A2832EB"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Regulation, by ecosystems or organisms, of pests, pathogens, predators, competitors, etc. that affect humans, plants, </w:t>
            </w:r>
            <w:r w:rsidRPr="009B0448">
              <w:rPr>
                <w:rFonts w:ascii="Times New Roman" w:eastAsia="Times New Roman" w:hAnsi="Times New Roman" w:cs="Times New Roman"/>
                <w:noProof/>
                <w:lang w:eastAsia="en-US"/>
              </w:rPr>
              <w:t>and</w:t>
            </w:r>
            <w:r w:rsidRPr="009B0448">
              <w:rPr>
                <w:rFonts w:ascii="Times New Roman" w:eastAsia="Times New Roman" w:hAnsi="Times New Roman" w:cs="Times New Roman"/>
                <w:lang w:eastAsia="en-US"/>
              </w:rPr>
              <w:t xml:space="preserve"> animals</w:t>
            </w:r>
          </w:p>
        </w:tc>
        <w:tc>
          <w:tcPr>
            <w:tcW w:w="1384" w:type="dxa"/>
            <w:vMerge w:val="restart"/>
            <w:tcBorders>
              <w:top w:val="nil"/>
              <w:left w:val="single" w:sz="4" w:space="0" w:color="auto"/>
              <w:bottom w:val="single" w:sz="8" w:space="0" w:color="000000"/>
              <w:right w:val="single" w:sz="4" w:space="0" w:color="auto"/>
            </w:tcBorders>
            <w:hideMark/>
          </w:tcPr>
          <w:p w14:paraId="33362B67"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 and intrinsic</w:t>
            </w:r>
          </w:p>
        </w:tc>
        <w:tc>
          <w:tcPr>
            <w:tcW w:w="1034" w:type="dxa"/>
            <w:vMerge w:val="restart"/>
            <w:tcBorders>
              <w:top w:val="nil"/>
              <w:left w:val="single" w:sz="4" w:space="0" w:color="auto"/>
              <w:bottom w:val="single" w:sz="8" w:space="0" w:color="000000"/>
              <w:right w:val="single" w:sz="4" w:space="0" w:color="auto"/>
            </w:tcBorders>
            <w:hideMark/>
          </w:tcPr>
          <w:p w14:paraId="402BD39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Africa</w:t>
            </w:r>
          </w:p>
        </w:tc>
        <w:tc>
          <w:tcPr>
            <w:tcW w:w="1375" w:type="dxa"/>
            <w:vMerge w:val="restart"/>
            <w:tcBorders>
              <w:top w:val="nil"/>
              <w:left w:val="single" w:sz="4" w:space="0" w:color="auto"/>
              <w:bottom w:val="single" w:sz="8" w:space="0" w:color="000000"/>
              <w:right w:val="single" w:sz="8" w:space="0" w:color="auto"/>
            </w:tcBorders>
            <w:hideMark/>
          </w:tcPr>
          <w:p w14:paraId="6C60A157"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Grzywacz </w:t>
            </w:r>
            <w:r w:rsidRPr="009B0448">
              <w:rPr>
                <w:rFonts w:ascii="Times New Roman" w:eastAsia="Times New Roman" w:hAnsi="Times New Roman" w:cs="Times New Roman"/>
                <w:i/>
                <w:lang w:eastAsia="en-US"/>
              </w:rPr>
              <w:t>et al.</w:t>
            </w:r>
            <w:r w:rsidRPr="009B0448">
              <w:rPr>
                <w:rFonts w:ascii="Times New Roman" w:eastAsia="Times New Roman" w:hAnsi="Times New Roman" w:cs="Times New Roman"/>
                <w:lang w:eastAsia="en-US"/>
              </w:rPr>
              <w:t>, 2014</w:t>
            </w:r>
          </w:p>
        </w:tc>
      </w:tr>
      <w:tr w:rsidR="009B0448" w:rsidRPr="009B0448" w14:paraId="16D008A4" w14:textId="77777777" w:rsidTr="009B0448">
        <w:trPr>
          <w:trHeight w:val="792"/>
        </w:trPr>
        <w:tc>
          <w:tcPr>
            <w:tcW w:w="9203" w:type="dxa"/>
            <w:vMerge/>
            <w:tcBorders>
              <w:top w:val="nil"/>
              <w:left w:val="single" w:sz="8" w:space="0" w:color="auto"/>
              <w:bottom w:val="single" w:sz="8" w:space="0" w:color="000000"/>
              <w:right w:val="single" w:sz="4" w:space="0" w:color="auto"/>
            </w:tcBorders>
            <w:vAlign w:val="center"/>
            <w:hideMark/>
          </w:tcPr>
          <w:p w14:paraId="5C9BDD00"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4" w:space="0" w:color="auto"/>
              <w:right w:val="single" w:sz="4" w:space="0" w:color="auto"/>
            </w:tcBorders>
            <w:hideMark/>
          </w:tcPr>
          <w:p w14:paraId="627A289B"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Regulation by predators or parasites of the population size of non-harmful important </w:t>
            </w:r>
            <w:r w:rsidRPr="009B0448">
              <w:rPr>
                <w:rFonts w:ascii="Times New Roman" w:eastAsia="Times New Roman" w:hAnsi="Times New Roman" w:cs="Times New Roman"/>
                <w:lang w:eastAsia="en-US"/>
              </w:rPr>
              <w:lastRenderedPageBreak/>
              <w:t xml:space="preserve">animals (e.g., large herbivore populations by wolves or lions) </w:t>
            </w:r>
          </w:p>
        </w:tc>
        <w:tc>
          <w:tcPr>
            <w:tcW w:w="1384" w:type="dxa"/>
            <w:vMerge/>
            <w:tcBorders>
              <w:top w:val="nil"/>
              <w:left w:val="single" w:sz="4" w:space="0" w:color="auto"/>
              <w:bottom w:val="single" w:sz="8" w:space="0" w:color="000000"/>
              <w:right w:val="single" w:sz="4" w:space="0" w:color="auto"/>
            </w:tcBorders>
            <w:vAlign w:val="center"/>
            <w:hideMark/>
          </w:tcPr>
          <w:p w14:paraId="0374B9D3"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30097C44"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8" w:space="0" w:color="000000"/>
              <w:right w:val="single" w:sz="8" w:space="0" w:color="auto"/>
            </w:tcBorders>
            <w:vAlign w:val="center"/>
            <w:hideMark/>
          </w:tcPr>
          <w:p w14:paraId="76F10169" w14:textId="77777777" w:rsidR="009B0448" w:rsidRPr="009B0448" w:rsidRDefault="009B0448">
            <w:pPr>
              <w:rPr>
                <w:rFonts w:ascii="Times New Roman" w:eastAsia="Times New Roman" w:hAnsi="Times New Roman" w:cs="Times New Roman"/>
                <w:lang w:val="en-ZA" w:eastAsia="en-US"/>
              </w:rPr>
            </w:pPr>
          </w:p>
        </w:tc>
      </w:tr>
      <w:tr w:rsidR="009B0448" w:rsidRPr="009B0448" w14:paraId="492DD962" w14:textId="77777777" w:rsidTr="009B0448">
        <w:trPr>
          <w:trHeight w:val="1056"/>
        </w:trPr>
        <w:tc>
          <w:tcPr>
            <w:tcW w:w="9203" w:type="dxa"/>
            <w:vMerge/>
            <w:tcBorders>
              <w:top w:val="nil"/>
              <w:left w:val="single" w:sz="8" w:space="0" w:color="auto"/>
              <w:bottom w:val="single" w:sz="8" w:space="0" w:color="000000"/>
              <w:right w:val="single" w:sz="4" w:space="0" w:color="auto"/>
            </w:tcBorders>
            <w:vAlign w:val="center"/>
            <w:hideMark/>
          </w:tcPr>
          <w:p w14:paraId="45E839D8"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4" w:space="0" w:color="auto"/>
              <w:right w:val="single" w:sz="4" w:space="0" w:color="auto"/>
            </w:tcBorders>
            <w:hideMark/>
          </w:tcPr>
          <w:p w14:paraId="78FFEB22"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Regulation (by impediment or facilitation) of the abundance or distribution of potentially harmful organisms (e.g., venomous, toxic, allergenic, predators, parasites, competitors, disease vectors, </w:t>
            </w:r>
            <w:r w:rsidRPr="009B0448">
              <w:rPr>
                <w:rFonts w:ascii="Times New Roman" w:eastAsia="Times New Roman" w:hAnsi="Times New Roman" w:cs="Times New Roman"/>
                <w:noProof/>
                <w:lang w:eastAsia="en-US"/>
              </w:rPr>
              <w:t>and</w:t>
            </w:r>
            <w:r w:rsidRPr="009B0448">
              <w:rPr>
                <w:rFonts w:ascii="Times New Roman" w:eastAsia="Times New Roman" w:hAnsi="Times New Roman" w:cs="Times New Roman"/>
                <w:lang w:eastAsia="en-US"/>
              </w:rPr>
              <w:t xml:space="preserve"> reservoirs) over the landscape or seascape </w:t>
            </w:r>
          </w:p>
        </w:tc>
        <w:tc>
          <w:tcPr>
            <w:tcW w:w="1384" w:type="dxa"/>
            <w:vMerge/>
            <w:tcBorders>
              <w:top w:val="nil"/>
              <w:left w:val="single" w:sz="4" w:space="0" w:color="auto"/>
              <w:bottom w:val="single" w:sz="8" w:space="0" w:color="000000"/>
              <w:right w:val="single" w:sz="4" w:space="0" w:color="auto"/>
            </w:tcBorders>
            <w:vAlign w:val="center"/>
            <w:hideMark/>
          </w:tcPr>
          <w:p w14:paraId="0CEC6520"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63F03425"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8" w:space="0" w:color="000000"/>
              <w:right w:val="single" w:sz="8" w:space="0" w:color="auto"/>
            </w:tcBorders>
            <w:vAlign w:val="center"/>
            <w:hideMark/>
          </w:tcPr>
          <w:p w14:paraId="110D6023" w14:textId="77777777" w:rsidR="009B0448" w:rsidRPr="009B0448" w:rsidRDefault="009B0448">
            <w:pPr>
              <w:rPr>
                <w:rFonts w:ascii="Times New Roman" w:eastAsia="Times New Roman" w:hAnsi="Times New Roman" w:cs="Times New Roman"/>
                <w:lang w:val="en-ZA" w:eastAsia="en-US"/>
              </w:rPr>
            </w:pPr>
          </w:p>
        </w:tc>
      </w:tr>
      <w:tr w:rsidR="009B0448" w:rsidRPr="009B0448" w14:paraId="769DBE0F" w14:textId="77777777" w:rsidTr="009B0448">
        <w:trPr>
          <w:trHeight w:val="528"/>
        </w:trPr>
        <w:tc>
          <w:tcPr>
            <w:tcW w:w="9203" w:type="dxa"/>
            <w:vMerge/>
            <w:tcBorders>
              <w:top w:val="nil"/>
              <w:left w:val="single" w:sz="8" w:space="0" w:color="auto"/>
              <w:bottom w:val="single" w:sz="8" w:space="0" w:color="000000"/>
              <w:right w:val="single" w:sz="4" w:space="0" w:color="auto"/>
            </w:tcBorders>
            <w:vAlign w:val="center"/>
            <w:hideMark/>
          </w:tcPr>
          <w:p w14:paraId="7EF9670E"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4" w:space="0" w:color="auto"/>
              <w:right w:val="single" w:sz="4" w:space="0" w:color="auto"/>
            </w:tcBorders>
            <w:hideMark/>
          </w:tcPr>
          <w:p w14:paraId="40F377DA"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Removal of animal carcasses and human corpses by scavengers (e.g., vultures in Zoroastrian and some Tibetan Buddhist traditions) </w:t>
            </w:r>
          </w:p>
        </w:tc>
        <w:tc>
          <w:tcPr>
            <w:tcW w:w="1384" w:type="dxa"/>
            <w:vMerge/>
            <w:tcBorders>
              <w:top w:val="nil"/>
              <w:left w:val="single" w:sz="4" w:space="0" w:color="auto"/>
              <w:bottom w:val="single" w:sz="8" w:space="0" w:color="000000"/>
              <w:right w:val="single" w:sz="4" w:space="0" w:color="auto"/>
            </w:tcBorders>
            <w:vAlign w:val="center"/>
            <w:hideMark/>
          </w:tcPr>
          <w:p w14:paraId="5749B219"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414242FF"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8" w:space="0" w:color="000000"/>
              <w:right w:val="single" w:sz="8" w:space="0" w:color="auto"/>
            </w:tcBorders>
            <w:vAlign w:val="center"/>
            <w:hideMark/>
          </w:tcPr>
          <w:p w14:paraId="26110947" w14:textId="77777777" w:rsidR="009B0448" w:rsidRPr="009B0448" w:rsidRDefault="009B0448">
            <w:pPr>
              <w:rPr>
                <w:rFonts w:ascii="Times New Roman" w:eastAsia="Times New Roman" w:hAnsi="Times New Roman" w:cs="Times New Roman"/>
                <w:lang w:val="en-ZA" w:eastAsia="en-US"/>
              </w:rPr>
            </w:pPr>
          </w:p>
        </w:tc>
      </w:tr>
      <w:tr w:rsidR="009B0448" w:rsidRPr="009B0448" w14:paraId="5837B803" w14:textId="77777777" w:rsidTr="009B0448">
        <w:trPr>
          <w:trHeight w:val="804"/>
        </w:trPr>
        <w:tc>
          <w:tcPr>
            <w:tcW w:w="9203" w:type="dxa"/>
            <w:vMerge/>
            <w:tcBorders>
              <w:top w:val="nil"/>
              <w:left w:val="single" w:sz="8" w:space="0" w:color="auto"/>
              <w:bottom w:val="single" w:sz="8" w:space="0" w:color="000000"/>
              <w:right w:val="single" w:sz="4" w:space="0" w:color="auto"/>
            </w:tcBorders>
            <w:vAlign w:val="center"/>
            <w:hideMark/>
          </w:tcPr>
          <w:p w14:paraId="1C913A6A"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8" w:space="0" w:color="auto"/>
              <w:right w:val="single" w:sz="4" w:space="0" w:color="auto"/>
            </w:tcBorders>
            <w:hideMark/>
          </w:tcPr>
          <w:p w14:paraId="0A7ABCD1"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Regulation (by impediment or facilitation) of biological impairment and degradation of infrastructure (e.g., damage by pigeons, bats, termites, strangling figs to buildings) </w:t>
            </w:r>
          </w:p>
        </w:tc>
        <w:tc>
          <w:tcPr>
            <w:tcW w:w="1384" w:type="dxa"/>
            <w:vMerge/>
            <w:tcBorders>
              <w:top w:val="nil"/>
              <w:left w:val="single" w:sz="4" w:space="0" w:color="auto"/>
              <w:bottom w:val="single" w:sz="8" w:space="0" w:color="000000"/>
              <w:right w:val="single" w:sz="4" w:space="0" w:color="auto"/>
            </w:tcBorders>
            <w:vAlign w:val="center"/>
            <w:hideMark/>
          </w:tcPr>
          <w:p w14:paraId="21AA5C45"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1FA27B57"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8" w:space="0" w:color="000000"/>
              <w:right w:val="single" w:sz="8" w:space="0" w:color="auto"/>
            </w:tcBorders>
            <w:vAlign w:val="center"/>
            <w:hideMark/>
          </w:tcPr>
          <w:p w14:paraId="37627BE4" w14:textId="77777777" w:rsidR="009B0448" w:rsidRPr="009B0448" w:rsidRDefault="009B0448">
            <w:pPr>
              <w:rPr>
                <w:rFonts w:ascii="Times New Roman" w:eastAsia="Times New Roman" w:hAnsi="Times New Roman" w:cs="Times New Roman"/>
                <w:lang w:val="en-ZA" w:eastAsia="en-US"/>
              </w:rPr>
            </w:pPr>
          </w:p>
        </w:tc>
      </w:tr>
      <w:tr w:rsidR="009B0448" w:rsidRPr="009B0448" w14:paraId="18BEDACC" w14:textId="77777777" w:rsidTr="009B0448">
        <w:trPr>
          <w:trHeight w:val="1176"/>
        </w:trPr>
        <w:tc>
          <w:tcPr>
            <w:tcW w:w="9203" w:type="dxa"/>
            <w:gridSpan w:val="5"/>
            <w:tcBorders>
              <w:top w:val="single" w:sz="8" w:space="0" w:color="auto"/>
              <w:left w:val="single" w:sz="8" w:space="0" w:color="auto"/>
              <w:bottom w:val="single" w:sz="8" w:space="0" w:color="auto"/>
              <w:right w:val="single" w:sz="8" w:space="0" w:color="000000"/>
            </w:tcBorders>
            <w:shd w:val="clear" w:color="auto" w:fill="9E9E96"/>
            <w:vAlign w:val="center"/>
            <w:hideMark/>
          </w:tcPr>
          <w:p w14:paraId="6C9B314A" w14:textId="1B155157" w:rsidR="009B0448" w:rsidRPr="009B0448" w:rsidRDefault="009B0448">
            <w:pPr>
              <w:spacing w:line="254" w:lineRule="auto"/>
              <w:jc w:val="both"/>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 xml:space="preserve">Material contributions–Substances, objects or other material elements from nature that sustain people’s physical existence and infrastructure. (The basic physical and </w:t>
            </w:r>
            <w:r w:rsidR="00150166">
              <w:rPr>
                <w:rFonts w:ascii="Times New Roman" w:eastAsia="Times New Roman" w:hAnsi="Times New Roman" w:cs="Times New Roman"/>
                <w:b/>
                <w:bCs/>
                <w:lang w:eastAsia="en-US"/>
              </w:rPr>
              <w:t>organis</w:t>
            </w:r>
            <w:r w:rsidRPr="009B0448">
              <w:rPr>
                <w:rFonts w:ascii="Times New Roman" w:eastAsia="Times New Roman" w:hAnsi="Times New Roman" w:cs="Times New Roman"/>
                <w:b/>
                <w:bCs/>
                <w:lang w:eastAsia="en-US"/>
              </w:rPr>
              <w:t>ational structures and facilities (e.g., buildings, roads, power supplies) needed for the operation of a society or enterprise). They are typically consumable, for example when organisms are transformed in food, energy, or materials for shelter or for some ornamental purposes.</w:t>
            </w:r>
          </w:p>
        </w:tc>
      </w:tr>
      <w:tr w:rsidR="009B0448" w:rsidRPr="009B0448" w14:paraId="6828FE8D" w14:textId="77777777" w:rsidTr="009B0448">
        <w:trPr>
          <w:trHeight w:val="804"/>
        </w:trPr>
        <w:tc>
          <w:tcPr>
            <w:tcW w:w="1311" w:type="dxa"/>
            <w:tcBorders>
              <w:top w:val="single" w:sz="8" w:space="0" w:color="auto"/>
              <w:left w:val="single" w:sz="8" w:space="0" w:color="auto"/>
              <w:bottom w:val="single" w:sz="8" w:space="0" w:color="auto"/>
              <w:right w:val="single" w:sz="4" w:space="0" w:color="auto"/>
            </w:tcBorders>
            <w:shd w:val="clear" w:color="auto" w:fill="D9D9D9"/>
            <w:vAlign w:val="center"/>
            <w:hideMark/>
          </w:tcPr>
          <w:p w14:paraId="6CDC81C6" w14:textId="77777777" w:rsidR="009B0448" w:rsidRPr="009B0448" w:rsidRDefault="009B0448">
            <w:pPr>
              <w:spacing w:line="254" w:lineRule="auto"/>
              <w:rPr>
                <w:rFonts w:ascii="Times New Roman" w:eastAsia="Times New Roman" w:hAnsi="Times New Roman" w:cs="Times New Roman"/>
                <w:b/>
                <w:bCs/>
                <w:lang w:eastAsia="en-US"/>
              </w:rPr>
            </w:pPr>
            <w:r w:rsidRPr="009B0448">
              <w:rPr>
                <w:rFonts w:ascii="Times New Roman" w:eastAsia="Times New Roman" w:hAnsi="Times New Roman" w:cs="Times New Roman"/>
                <w:b/>
                <w:bCs/>
                <w:lang w:eastAsia="en-US"/>
              </w:rPr>
              <w:t>Categories of NCP</w:t>
            </w:r>
          </w:p>
        </w:tc>
        <w:tc>
          <w:tcPr>
            <w:tcW w:w="4099" w:type="dxa"/>
            <w:tcBorders>
              <w:top w:val="single" w:sz="8" w:space="0" w:color="auto"/>
              <w:left w:val="nil"/>
              <w:bottom w:val="single" w:sz="8" w:space="0" w:color="auto"/>
              <w:right w:val="single" w:sz="4" w:space="0" w:color="auto"/>
            </w:tcBorders>
            <w:shd w:val="clear" w:color="auto" w:fill="D9D9D9"/>
            <w:vAlign w:val="center"/>
            <w:hideMark/>
          </w:tcPr>
          <w:p w14:paraId="626B7593" w14:textId="77777777" w:rsidR="009B0448" w:rsidRPr="009B0448" w:rsidRDefault="009B0448">
            <w:pPr>
              <w:spacing w:line="254" w:lineRule="auto"/>
              <w:rPr>
                <w:rFonts w:ascii="Times New Roman" w:eastAsia="Times New Roman" w:hAnsi="Times New Roman" w:cs="Times New Roman"/>
                <w:b/>
                <w:bCs/>
                <w:lang w:val="en-ZA" w:eastAsia="en-US"/>
              </w:rPr>
            </w:pPr>
            <w:r w:rsidRPr="009B0448">
              <w:rPr>
                <w:rFonts w:ascii="Times New Roman" w:eastAsia="Times New Roman" w:hAnsi="Times New Roman" w:cs="Times New Roman"/>
                <w:b/>
                <w:bCs/>
                <w:noProof/>
                <w:lang w:eastAsia="en-US"/>
              </w:rPr>
              <w:t>A brief</w:t>
            </w:r>
            <w:r w:rsidRPr="009B0448">
              <w:rPr>
                <w:rFonts w:ascii="Times New Roman" w:eastAsia="Times New Roman" w:hAnsi="Times New Roman" w:cs="Times New Roman"/>
                <w:b/>
                <w:bCs/>
                <w:lang w:eastAsia="en-US"/>
              </w:rPr>
              <w:t xml:space="preserve"> explanation and some examples </w:t>
            </w:r>
          </w:p>
        </w:tc>
        <w:tc>
          <w:tcPr>
            <w:tcW w:w="1384" w:type="dxa"/>
            <w:tcBorders>
              <w:top w:val="single" w:sz="8" w:space="0" w:color="auto"/>
              <w:left w:val="nil"/>
              <w:bottom w:val="single" w:sz="8" w:space="0" w:color="auto"/>
              <w:right w:val="single" w:sz="4" w:space="0" w:color="auto"/>
            </w:tcBorders>
            <w:shd w:val="clear" w:color="auto" w:fill="D9D9D9"/>
            <w:vAlign w:val="center"/>
            <w:hideMark/>
          </w:tcPr>
          <w:p w14:paraId="4F8A70ED" w14:textId="77777777" w:rsidR="009B0448" w:rsidRPr="009B0448" w:rsidRDefault="009B0448">
            <w:pPr>
              <w:spacing w:line="254" w:lineRule="auto"/>
              <w:jc w:val="center"/>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Values type</w:t>
            </w:r>
          </w:p>
        </w:tc>
        <w:tc>
          <w:tcPr>
            <w:tcW w:w="1034" w:type="dxa"/>
            <w:tcBorders>
              <w:top w:val="single" w:sz="8" w:space="0" w:color="auto"/>
              <w:left w:val="nil"/>
              <w:bottom w:val="single" w:sz="8" w:space="0" w:color="auto"/>
              <w:right w:val="single" w:sz="4" w:space="0" w:color="auto"/>
            </w:tcBorders>
            <w:shd w:val="clear" w:color="auto" w:fill="D9D9D9"/>
            <w:vAlign w:val="center"/>
            <w:hideMark/>
          </w:tcPr>
          <w:p w14:paraId="0D1B1CDA" w14:textId="77777777" w:rsidR="009B0448" w:rsidRPr="009B0448" w:rsidRDefault="009B0448">
            <w:pPr>
              <w:spacing w:line="254" w:lineRule="auto"/>
              <w:jc w:val="center"/>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 xml:space="preserve">Study region </w:t>
            </w:r>
          </w:p>
        </w:tc>
        <w:tc>
          <w:tcPr>
            <w:tcW w:w="1375" w:type="dxa"/>
            <w:tcBorders>
              <w:top w:val="single" w:sz="8" w:space="0" w:color="auto"/>
              <w:left w:val="nil"/>
              <w:bottom w:val="single" w:sz="8" w:space="0" w:color="auto"/>
              <w:right w:val="single" w:sz="8" w:space="0" w:color="auto"/>
            </w:tcBorders>
            <w:shd w:val="clear" w:color="auto" w:fill="D9D9D9"/>
            <w:vAlign w:val="center"/>
            <w:hideMark/>
          </w:tcPr>
          <w:p w14:paraId="642E881F" w14:textId="77777777" w:rsidR="009B0448" w:rsidRPr="009B0448" w:rsidRDefault="009B0448">
            <w:pPr>
              <w:bidi/>
              <w:spacing w:line="254" w:lineRule="auto"/>
              <w:jc w:val="center"/>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Source</w:t>
            </w:r>
          </w:p>
        </w:tc>
      </w:tr>
      <w:tr w:rsidR="009B0448" w:rsidRPr="009B0448" w14:paraId="5877AA21" w14:textId="77777777" w:rsidTr="009B0448">
        <w:trPr>
          <w:trHeight w:val="804"/>
        </w:trPr>
        <w:tc>
          <w:tcPr>
            <w:tcW w:w="1311" w:type="dxa"/>
            <w:tcBorders>
              <w:top w:val="nil"/>
              <w:left w:val="single" w:sz="4" w:space="0" w:color="auto"/>
              <w:bottom w:val="nil"/>
              <w:right w:val="single" w:sz="4" w:space="0" w:color="auto"/>
            </w:tcBorders>
            <w:hideMark/>
          </w:tcPr>
          <w:p w14:paraId="07BA59A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Energy</w:t>
            </w:r>
          </w:p>
        </w:tc>
        <w:tc>
          <w:tcPr>
            <w:tcW w:w="4099" w:type="dxa"/>
            <w:tcBorders>
              <w:top w:val="nil"/>
              <w:left w:val="nil"/>
              <w:bottom w:val="nil"/>
              <w:right w:val="single" w:sz="4" w:space="0" w:color="auto"/>
            </w:tcBorders>
            <w:hideMark/>
          </w:tcPr>
          <w:p w14:paraId="130DAA12"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Production of biomass-based fuels, such as biofuel crops, animal waste, fuelwood, agricultural residue pellets</w:t>
            </w:r>
          </w:p>
        </w:tc>
        <w:tc>
          <w:tcPr>
            <w:tcW w:w="1384" w:type="dxa"/>
            <w:tcBorders>
              <w:top w:val="nil"/>
              <w:left w:val="nil"/>
              <w:bottom w:val="nil"/>
              <w:right w:val="single" w:sz="4" w:space="0" w:color="auto"/>
            </w:tcBorders>
            <w:hideMark/>
          </w:tcPr>
          <w:p w14:paraId="0E421E9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w:t>
            </w:r>
          </w:p>
        </w:tc>
        <w:tc>
          <w:tcPr>
            <w:tcW w:w="1034" w:type="dxa"/>
            <w:tcBorders>
              <w:top w:val="nil"/>
              <w:left w:val="nil"/>
              <w:bottom w:val="nil"/>
              <w:right w:val="single" w:sz="4" w:space="0" w:color="auto"/>
            </w:tcBorders>
            <w:hideMark/>
          </w:tcPr>
          <w:p w14:paraId="199BC36C"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Mozambique</w:t>
            </w:r>
          </w:p>
        </w:tc>
        <w:tc>
          <w:tcPr>
            <w:tcW w:w="1375" w:type="dxa"/>
            <w:tcBorders>
              <w:top w:val="nil"/>
              <w:left w:val="nil"/>
              <w:bottom w:val="nil"/>
              <w:right w:val="single" w:sz="4" w:space="0" w:color="auto"/>
            </w:tcBorders>
            <w:hideMark/>
          </w:tcPr>
          <w:p w14:paraId="07A4CDCB" w14:textId="77777777" w:rsidR="009B0448" w:rsidRPr="009B0448" w:rsidRDefault="009B0448">
            <w:pPr>
              <w:spacing w:line="254" w:lineRule="auto"/>
              <w:rPr>
                <w:rFonts w:ascii="Times New Roman" w:eastAsia="Times New Roman" w:hAnsi="Times New Roman" w:cs="Times New Roman"/>
                <w:lang w:val="de-DE" w:eastAsia="en-US"/>
              </w:rPr>
            </w:pPr>
            <w:r w:rsidRPr="009B0448">
              <w:rPr>
                <w:rFonts w:ascii="Times New Roman" w:eastAsia="Times New Roman" w:hAnsi="Times New Roman" w:cs="Times New Roman"/>
                <w:lang w:val="de-DE" w:eastAsia="en-US"/>
              </w:rPr>
              <w:t xml:space="preserve">Batidzirai </w:t>
            </w:r>
            <w:r w:rsidRPr="009B0448">
              <w:rPr>
                <w:rFonts w:ascii="Times New Roman" w:eastAsia="Times New Roman" w:hAnsi="Times New Roman" w:cs="Times New Roman"/>
                <w:i/>
                <w:lang w:val="de-DE" w:eastAsia="en-US"/>
              </w:rPr>
              <w:t>et al.</w:t>
            </w:r>
            <w:r w:rsidRPr="009B0448">
              <w:rPr>
                <w:rFonts w:ascii="Times New Roman" w:eastAsia="Times New Roman" w:hAnsi="Times New Roman" w:cs="Times New Roman"/>
                <w:lang w:val="de-DE" w:eastAsia="en-US"/>
              </w:rPr>
              <w:t xml:space="preserve">, 2006; Wicke, </w:t>
            </w:r>
            <w:r w:rsidRPr="009B0448">
              <w:rPr>
                <w:rFonts w:ascii="Times New Roman" w:eastAsia="Times New Roman" w:hAnsi="Times New Roman" w:cs="Times New Roman"/>
                <w:i/>
                <w:lang w:val="de-DE" w:eastAsia="en-US"/>
              </w:rPr>
              <w:t>et al</w:t>
            </w:r>
            <w:r w:rsidRPr="009B0448">
              <w:rPr>
                <w:rFonts w:ascii="Times New Roman" w:eastAsia="Times New Roman" w:hAnsi="Times New Roman" w:cs="Times New Roman"/>
                <w:lang w:val="de-DE" w:eastAsia="en-US"/>
              </w:rPr>
              <w:t>., 2011</w:t>
            </w:r>
          </w:p>
        </w:tc>
      </w:tr>
      <w:tr w:rsidR="009B0448" w:rsidRPr="009B0448" w14:paraId="239C972A" w14:textId="77777777" w:rsidTr="009B0448">
        <w:trPr>
          <w:trHeight w:val="540"/>
        </w:trPr>
        <w:tc>
          <w:tcPr>
            <w:tcW w:w="1311" w:type="dxa"/>
            <w:tcBorders>
              <w:top w:val="single" w:sz="8" w:space="0" w:color="auto"/>
              <w:left w:val="single" w:sz="8" w:space="0" w:color="auto"/>
              <w:bottom w:val="single" w:sz="8" w:space="0" w:color="auto"/>
              <w:right w:val="single" w:sz="4" w:space="0" w:color="auto"/>
            </w:tcBorders>
            <w:hideMark/>
          </w:tcPr>
          <w:p w14:paraId="01C69579"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Food and feed</w:t>
            </w:r>
          </w:p>
        </w:tc>
        <w:tc>
          <w:tcPr>
            <w:tcW w:w="4099" w:type="dxa"/>
            <w:tcBorders>
              <w:top w:val="single" w:sz="8" w:space="0" w:color="auto"/>
              <w:left w:val="nil"/>
              <w:bottom w:val="single" w:sz="8" w:space="0" w:color="auto"/>
              <w:right w:val="single" w:sz="4" w:space="0" w:color="auto"/>
            </w:tcBorders>
            <w:hideMark/>
          </w:tcPr>
          <w:p w14:paraId="3A61027F"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Production of biomass-based fuels, such as biofuel crops, animal waste, fuelwood, agricultural residue pellets</w:t>
            </w:r>
          </w:p>
        </w:tc>
        <w:tc>
          <w:tcPr>
            <w:tcW w:w="1384" w:type="dxa"/>
            <w:tcBorders>
              <w:top w:val="single" w:sz="8" w:space="0" w:color="auto"/>
              <w:left w:val="nil"/>
              <w:bottom w:val="single" w:sz="8" w:space="0" w:color="auto"/>
              <w:right w:val="single" w:sz="4" w:space="0" w:color="auto"/>
            </w:tcBorders>
            <w:hideMark/>
          </w:tcPr>
          <w:p w14:paraId="36A99D2E"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w:t>
            </w:r>
          </w:p>
        </w:tc>
        <w:tc>
          <w:tcPr>
            <w:tcW w:w="1034" w:type="dxa"/>
            <w:tcBorders>
              <w:top w:val="single" w:sz="8" w:space="0" w:color="auto"/>
              <w:left w:val="nil"/>
              <w:bottom w:val="single" w:sz="8" w:space="0" w:color="auto"/>
              <w:right w:val="single" w:sz="4" w:space="0" w:color="auto"/>
            </w:tcBorders>
            <w:hideMark/>
          </w:tcPr>
          <w:p w14:paraId="23FFAC6E"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Africa</w:t>
            </w:r>
          </w:p>
        </w:tc>
        <w:tc>
          <w:tcPr>
            <w:tcW w:w="1375" w:type="dxa"/>
            <w:tcBorders>
              <w:top w:val="single" w:sz="8" w:space="0" w:color="auto"/>
              <w:left w:val="nil"/>
              <w:bottom w:val="single" w:sz="8" w:space="0" w:color="auto"/>
              <w:right w:val="single" w:sz="8" w:space="0" w:color="auto"/>
            </w:tcBorders>
            <w:hideMark/>
          </w:tcPr>
          <w:p w14:paraId="2286ACB6"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IRENA, 2017</w:t>
            </w:r>
          </w:p>
        </w:tc>
      </w:tr>
      <w:tr w:rsidR="009B0448" w:rsidRPr="009B0448" w14:paraId="61EE496F" w14:textId="77777777" w:rsidTr="009B0448">
        <w:trPr>
          <w:trHeight w:val="1056"/>
        </w:trPr>
        <w:tc>
          <w:tcPr>
            <w:tcW w:w="1311" w:type="dxa"/>
            <w:vMerge w:val="restart"/>
            <w:tcBorders>
              <w:top w:val="nil"/>
              <w:left w:val="single" w:sz="8" w:space="0" w:color="auto"/>
              <w:bottom w:val="single" w:sz="8" w:space="0" w:color="000000"/>
              <w:right w:val="single" w:sz="4" w:space="0" w:color="auto"/>
            </w:tcBorders>
            <w:hideMark/>
          </w:tcPr>
          <w:p w14:paraId="495FDFF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Materials and assistance</w:t>
            </w:r>
          </w:p>
        </w:tc>
        <w:tc>
          <w:tcPr>
            <w:tcW w:w="4099" w:type="dxa"/>
            <w:tcBorders>
              <w:top w:val="nil"/>
              <w:left w:val="nil"/>
              <w:bottom w:val="single" w:sz="4" w:space="0" w:color="auto"/>
              <w:right w:val="single" w:sz="4" w:space="0" w:color="auto"/>
            </w:tcBorders>
            <w:hideMark/>
          </w:tcPr>
          <w:p w14:paraId="7E1F683B" w14:textId="36554C9C"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P</w:t>
            </w:r>
            <w:r w:rsidR="00D6539B">
              <w:rPr>
                <w:rFonts w:ascii="Times New Roman" w:eastAsia="Times New Roman" w:hAnsi="Times New Roman" w:cs="Times New Roman"/>
                <w:lang w:eastAsia="en-US"/>
              </w:rPr>
              <w:t>roduction of materials derived</w:t>
            </w:r>
            <w:r w:rsidRPr="009B0448">
              <w:rPr>
                <w:rFonts w:ascii="Times New Roman" w:eastAsia="Times New Roman" w:hAnsi="Times New Roman" w:cs="Times New Roman"/>
                <w:lang w:eastAsia="en-US"/>
              </w:rPr>
              <w:t xml:space="preserve"> from organisms in crops or wild ecosystems, for construction, clothing, printing, ornamental purposes (e.g., wood, fibres, waxes, paper, resins, dyes, pearls, shells, coral branches)</w:t>
            </w:r>
          </w:p>
        </w:tc>
        <w:tc>
          <w:tcPr>
            <w:tcW w:w="1384" w:type="dxa"/>
            <w:vMerge w:val="restart"/>
            <w:tcBorders>
              <w:top w:val="nil"/>
              <w:left w:val="single" w:sz="4" w:space="0" w:color="auto"/>
              <w:bottom w:val="single" w:sz="8" w:space="0" w:color="000000"/>
              <w:right w:val="single" w:sz="4" w:space="0" w:color="auto"/>
            </w:tcBorders>
            <w:hideMark/>
          </w:tcPr>
          <w:p w14:paraId="15EEA269"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w:t>
            </w:r>
          </w:p>
        </w:tc>
        <w:tc>
          <w:tcPr>
            <w:tcW w:w="1034" w:type="dxa"/>
            <w:vMerge w:val="restart"/>
            <w:tcBorders>
              <w:top w:val="nil"/>
              <w:left w:val="single" w:sz="4" w:space="0" w:color="auto"/>
              <w:bottom w:val="single" w:sz="8" w:space="0" w:color="000000"/>
              <w:right w:val="single" w:sz="4" w:space="0" w:color="auto"/>
            </w:tcBorders>
            <w:hideMark/>
          </w:tcPr>
          <w:p w14:paraId="7ED95D19"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Africa</w:t>
            </w:r>
          </w:p>
        </w:tc>
        <w:tc>
          <w:tcPr>
            <w:tcW w:w="1375" w:type="dxa"/>
            <w:vMerge w:val="restart"/>
            <w:tcBorders>
              <w:top w:val="nil"/>
              <w:left w:val="single" w:sz="4" w:space="0" w:color="auto"/>
              <w:bottom w:val="single" w:sz="8" w:space="0" w:color="000000"/>
              <w:right w:val="single" w:sz="8" w:space="0" w:color="auto"/>
            </w:tcBorders>
            <w:hideMark/>
          </w:tcPr>
          <w:p w14:paraId="73D588CE"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Griffis, 1998</w:t>
            </w:r>
          </w:p>
        </w:tc>
      </w:tr>
      <w:tr w:rsidR="009B0448" w:rsidRPr="009B0448" w14:paraId="61006012" w14:textId="77777777" w:rsidTr="009B0448">
        <w:trPr>
          <w:trHeight w:val="804"/>
        </w:trPr>
        <w:tc>
          <w:tcPr>
            <w:tcW w:w="9203" w:type="dxa"/>
            <w:vMerge/>
            <w:tcBorders>
              <w:top w:val="nil"/>
              <w:left w:val="single" w:sz="8" w:space="0" w:color="auto"/>
              <w:bottom w:val="single" w:sz="8" w:space="0" w:color="000000"/>
              <w:right w:val="single" w:sz="4" w:space="0" w:color="auto"/>
            </w:tcBorders>
            <w:vAlign w:val="center"/>
            <w:hideMark/>
          </w:tcPr>
          <w:p w14:paraId="0D84183F"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8" w:space="0" w:color="auto"/>
              <w:right w:val="single" w:sz="4" w:space="0" w:color="auto"/>
            </w:tcBorders>
            <w:hideMark/>
          </w:tcPr>
          <w:p w14:paraId="1FA2D219"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Direct use of living organisms for decoration (i.e., ornamental plants in parks and households, ornamental fish), company (i.e., pets), transport, and labour</w:t>
            </w:r>
          </w:p>
        </w:tc>
        <w:tc>
          <w:tcPr>
            <w:tcW w:w="1384" w:type="dxa"/>
            <w:vMerge/>
            <w:tcBorders>
              <w:top w:val="nil"/>
              <w:left w:val="single" w:sz="4" w:space="0" w:color="auto"/>
              <w:bottom w:val="single" w:sz="8" w:space="0" w:color="000000"/>
              <w:right w:val="single" w:sz="4" w:space="0" w:color="auto"/>
            </w:tcBorders>
            <w:vAlign w:val="center"/>
            <w:hideMark/>
          </w:tcPr>
          <w:p w14:paraId="4462DF2D"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20188FE0"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8" w:space="0" w:color="000000"/>
              <w:right w:val="single" w:sz="8" w:space="0" w:color="auto"/>
            </w:tcBorders>
            <w:vAlign w:val="center"/>
            <w:hideMark/>
          </w:tcPr>
          <w:p w14:paraId="695445A3" w14:textId="77777777" w:rsidR="009B0448" w:rsidRPr="009B0448" w:rsidRDefault="009B0448">
            <w:pPr>
              <w:rPr>
                <w:rFonts w:ascii="Times New Roman" w:eastAsia="Times New Roman" w:hAnsi="Times New Roman" w:cs="Times New Roman"/>
                <w:lang w:val="en-ZA" w:eastAsia="en-US"/>
              </w:rPr>
            </w:pPr>
          </w:p>
        </w:tc>
      </w:tr>
      <w:tr w:rsidR="009B0448" w:rsidRPr="009B0448" w14:paraId="45595224" w14:textId="77777777" w:rsidTr="009B0448">
        <w:trPr>
          <w:trHeight w:val="528"/>
        </w:trPr>
        <w:tc>
          <w:tcPr>
            <w:tcW w:w="1311" w:type="dxa"/>
            <w:vMerge w:val="restart"/>
            <w:tcBorders>
              <w:top w:val="nil"/>
              <w:left w:val="single" w:sz="8" w:space="0" w:color="auto"/>
              <w:bottom w:val="single" w:sz="8" w:space="0" w:color="000000"/>
              <w:right w:val="single" w:sz="4" w:space="0" w:color="auto"/>
            </w:tcBorders>
            <w:hideMark/>
          </w:tcPr>
          <w:p w14:paraId="667274EB"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Medicinal, biochemical and genetic resources</w:t>
            </w:r>
          </w:p>
        </w:tc>
        <w:tc>
          <w:tcPr>
            <w:tcW w:w="4099" w:type="dxa"/>
            <w:tcBorders>
              <w:top w:val="nil"/>
              <w:left w:val="nil"/>
              <w:bottom w:val="single" w:sz="4" w:space="0" w:color="auto"/>
              <w:right w:val="single" w:sz="4" w:space="0" w:color="auto"/>
            </w:tcBorders>
            <w:hideMark/>
          </w:tcPr>
          <w:p w14:paraId="4FFC482B" w14:textId="1C501048"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Pr</w:t>
            </w:r>
            <w:r w:rsidR="00D6539B">
              <w:rPr>
                <w:rFonts w:ascii="Times New Roman" w:eastAsia="Times New Roman" w:hAnsi="Times New Roman" w:cs="Times New Roman"/>
                <w:lang w:eastAsia="en-US"/>
              </w:rPr>
              <w:t xml:space="preserve">oduction of materials derived </w:t>
            </w:r>
            <w:r w:rsidRPr="009B0448">
              <w:rPr>
                <w:rFonts w:ascii="Times New Roman" w:eastAsia="Times New Roman" w:hAnsi="Times New Roman" w:cs="Times New Roman"/>
                <w:lang w:eastAsia="en-US"/>
              </w:rPr>
              <w:t>from organisms (plants, animals, fungi, microbes) used for medicinal and veterinary purposes</w:t>
            </w:r>
          </w:p>
        </w:tc>
        <w:tc>
          <w:tcPr>
            <w:tcW w:w="1384" w:type="dxa"/>
            <w:vMerge w:val="restart"/>
            <w:tcBorders>
              <w:top w:val="nil"/>
              <w:left w:val="single" w:sz="4" w:space="0" w:color="auto"/>
              <w:bottom w:val="single" w:sz="8" w:space="0" w:color="000000"/>
              <w:right w:val="single" w:sz="4" w:space="0" w:color="auto"/>
            </w:tcBorders>
            <w:hideMark/>
          </w:tcPr>
          <w:p w14:paraId="1C696992"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Instrumental and relational</w:t>
            </w:r>
          </w:p>
        </w:tc>
        <w:tc>
          <w:tcPr>
            <w:tcW w:w="1034" w:type="dxa"/>
            <w:vMerge w:val="restart"/>
            <w:tcBorders>
              <w:top w:val="nil"/>
              <w:left w:val="single" w:sz="4" w:space="0" w:color="auto"/>
              <w:bottom w:val="single" w:sz="8" w:space="0" w:color="000000"/>
              <w:right w:val="single" w:sz="4" w:space="0" w:color="auto"/>
            </w:tcBorders>
            <w:hideMark/>
          </w:tcPr>
          <w:p w14:paraId="1303D89D"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Africa</w:t>
            </w:r>
          </w:p>
        </w:tc>
        <w:tc>
          <w:tcPr>
            <w:tcW w:w="1375" w:type="dxa"/>
            <w:vMerge w:val="restart"/>
            <w:tcBorders>
              <w:top w:val="nil"/>
              <w:left w:val="single" w:sz="4" w:space="0" w:color="auto"/>
              <w:bottom w:val="single" w:sz="8" w:space="0" w:color="000000"/>
              <w:right w:val="single" w:sz="8" w:space="0" w:color="auto"/>
            </w:tcBorders>
            <w:hideMark/>
          </w:tcPr>
          <w:p w14:paraId="1599B8F5"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Wollny, 2003</w:t>
            </w:r>
          </w:p>
        </w:tc>
      </w:tr>
      <w:tr w:rsidR="009B0448" w:rsidRPr="009B0448" w14:paraId="0166568B" w14:textId="77777777" w:rsidTr="009B0448">
        <w:trPr>
          <w:trHeight w:val="540"/>
        </w:trPr>
        <w:tc>
          <w:tcPr>
            <w:tcW w:w="9203" w:type="dxa"/>
            <w:vMerge/>
            <w:tcBorders>
              <w:top w:val="nil"/>
              <w:left w:val="single" w:sz="8" w:space="0" w:color="auto"/>
              <w:bottom w:val="single" w:sz="8" w:space="0" w:color="000000"/>
              <w:right w:val="single" w:sz="4" w:space="0" w:color="auto"/>
            </w:tcBorders>
            <w:vAlign w:val="center"/>
            <w:hideMark/>
          </w:tcPr>
          <w:p w14:paraId="0EB0FF54"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8" w:space="0" w:color="auto"/>
              <w:right w:val="single" w:sz="4" w:space="0" w:color="auto"/>
            </w:tcBorders>
            <w:vAlign w:val="center"/>
            <w:hideMark/>
          </w:tcPr>
          <w:p w14:paraId="37400199"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Production of genes and genetic information used for plant and animal breeding and biotechnology</w:t>
            </w:r>
          </w:p>
        </w:tc>
        <w:tc>
          <w:tcPr>
            <w:tcW w:w="1384" w:type="dxa"/>
            <w:vMerge/>
            <w:tcBorders>
              <w:top w:val="nil"/>
              <w:left w:val="single" w:sz="4" w:space="0" w:color="auto"/>
              <w:bottom w:val="single" w:sz="8" w:space="0" w:color="000000"/>
              <w:right w:val="single" w:sz="4" w:space="0" w:color="auto"/>
            </w:tcBorders>
            <w:vAlign w:val="center"/>
            <w:hideMark/>
          </w:tcPr>
          <w:p w14:paraId="2D8A1A62"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2622E63D"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8" w:space="0" w:color="000000"/>
              <w:right w:val="single" w:sz="8" w:space="0" w:color="auto"/>
            </w:tcBorders>
            <w:vAlign w:val="center"/>
            <w:hideMark/>
          </w:tcPr>
          <w:p w14:paraId="23E77453" w14:textId="77777777" w:rsidR="009B0448" w:rsidRPr="009B0448" w:rsidRDefault="009B0448">
            <w:pPr>
              <w:rPr>
                <w:rFonts w:ascii="Times New Roman" w:eastAsia="Times New Roman" w:hAnsi="Times New Roman" w:cs="Times New Roman"/>
                <w:lang w:val="en-ZA" w:eastAsia="en-US"/>
              </w:rPr>
            </w:pPr>
          </w:p>
        </w:tc>
      </w:tr>
      <w:tr w:rsidR="009B0448" w:rsidRPr="009B0448" w14:paraId="40DFF787" w14:textId="77777777" w:rsidTr="009B0448">
        <w:trPr>
          <w:trHeight w:val="864"/>
        </w:trPr>
        <w:tc>
          <w:tcPr>
            <w:tcW w:w="9203" w:type="dxa"/>
            <w:gridSpan w:val="5"/>
            <w:tcBorders>
              <w:top w:val="single" w:sz="8" w:space="0" w:color="auto"/>
              <w:left w:val="single" w:sz="8" w:space="0" w:color="auto"/>
              <w:bottom w:val="single" w:sz="8" w:space="0" w:color="auto"/>
              <w:right w:val="single" w:sz="8" w:space="0" w:color="000000"/>
            </w:tcBorders>
            <w:shd w:val="clear" w:color="auto" w:fill="D7490C"/>
            <w:vAlign w:val="center"/>
            <w:hideMark/>
          </w:tcPr>
          <w:p w14:paraId="4E12C36C" w14:textId="77777777" w:rsidR="009B0448" w:rsidRPr="009B0448" w:rsidRDefault="009B0448">
            <w:pPr>
              <w:spacing w:line="254" w:lineRule="auto"/>
              <w:jc w:val="both"/>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lastRenderedPageBreak/>
              <w:t xml:space="preserve">Non-material contributions–Nature’s contribution to people’s subjective or psychological quality of life, individually and collectively. The sources of these intangible contributions can be physically consumed in the process (e.g., animals in recreational or ritual fishing or hunting) or not (individual trees or ecosystems as </w:t>
            </w:r>
            <w:r w:rsidRPr="009B0448">
              <w:rPr>
                <w:rFonts w:ascii="Times New Roman" w:eastAsia="Times New Roman" w:hAnsi="Times New Roman" w:cs="Times New Roman"/>
                <w:b/>
                <w:bCs/>
                <w:noProof/>
                <w:lang w:eastAsia="en-US"/>
              </w:rPr>
              <w:t>a source</w:t>
            </w:r>
            <w:r w:rsidRPr="009B0448">
              <w:rPr>
                <w:rFonts w:ascii="Times New Roman" w:eastAsia="Times New Roman" w:hAnsi="Times New Roman" w:cs="Times New Roman"/>
                <w:b/>
                <w:bCs/>
                <w:lang w:eastAsia="en-US"/>
              </w:rPr>
              <w:t xml:space="preserve"> of inspiration).</w:t>
            </w:r>
          </w:p>
        </w:tc>
      </w:tr>
      <w:tr w:rsidR="009B0448" w:rsidRPr="009B0448" w14:paraId="28AE013A" w14:textId="77777777" w:rsidTr="009B0448">
        <w:trPr>
          <w:trHeight w:val="804"/>
        </w:trPr>
        <w:tc>
          <w:tcPr>
            <w:tcW w:w="1311" w:type="dxa"/>
            <w:tcBorders>
              <w:top w:val="single" w:sz="8" w:space="0" w:color="auto"/>
              <w:left w:val="single" w:sz="8" w:space="0" w:color="auto"/>
              <w:bottom w:val="single" w:sz="8" w:space="0" w:color="auto"/>
              <w:right w:val="single" w:sz="4" w:space="0" w:color="auto"/>
            </w:tcBorders>
            <w:shd w:val="clear" w:color="auto" w:fill="D9D9D9"/>
            <w:vAlign w:val="center"/>
            <w:hideMark/>
          </w:tcPr>
          <w:p w14:paraId="6B27CD8F" w14:textId="77777777" w:rsidR="009B0448" w:rsidRPr="009B0448" w:rsidRDefault="009B0448">
            <w:pPr>
              <w:spacing w:line="254" w:lineRule="auto"/>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Categories of NCP</w:t>
            </w:r>
          </w:p>
        </w:tc>
        <w:tc>
          <w:tcPr>
            <w:tcW w:w="4099" w:type="dxa"/>
            <w:tcBorders>
              <w:top w:val="single" w:sz="8" w:space="0" w:color="auto"/>
              <w:left w:val="nil"/>
              <w:bottom w:val="single" w:sz="8" w:space="0" w:color="auto"/>
              <w:right w:val="single" w:sz="4" w:space="0" w:color="auto"/>
            </w:tcBorders>
            <w:shd w:val="clear" w:color="auto" w:fill="D9D9D9"/>
            <w:vAlign w:val="center"/>
            <w:hideMark/>
          </w:tcPr>
          <w:p w14:paraId="7105C6C8" w14:textId="77777777" w:rsidR="009B0448" w:rsidRPr="009B0448" w:rsidRDefault="009B0448">
            <w:pPr>
              <w:spacing w:line="254" w:lineRule="auto"/>
              <w:rPr>
                <w:rFonts w:ascii="Times New Roman" w:eastAsia="Times New Roman" w:hAnsi="Times New Roman" w:cs="Times New Roman"/>
                <w:b/>
                <w:bCs/>
                <w:lang w:val="en-ZA" w:eastAsia="en-US"/>
              </w:rPr>
            </w:pPr>
            <w:r w:rsidRPr="009B0448">
              <w:rPr>
                <w:rFonts w:ascii="Times New Roman" w:eastAsia="Times New Roman" w:hAnsi="Times New Roman" w:cs="Times New Roman"/>
                <w:b/>
                <w:bCs/>
                <w:noProof/>
                <w:lang w:eastAsia="en-US"/>
              </w:rPr>
              <w:t>A brief</w:t>
            </w:r>
            <w:r w:rsidRPr="009B0448">
              <w:rPr>
                <w:rFonts w:ascii="Times New Roman" w:eastAsia="Times New Roman" w:hAnsi="Times New Roman" w:cs="Times New Roman"/>
                <w:b/>
                <w:bCs/>
                <w:lang w:eastAsia="en-US"/>
              </w:rPr>
              <w:t xml:space="preserve"> explanation and some examples </w:t>
            </w:r>
          </w:p>
        </w:tc>
        <w:tc>
          <w:tcPr>
            <w:tcW w:w="1384" w:type="dxa"/>
            <w:tcBorders>
              <w:top w:val="single" w:sz="8" w:space="0" w:color="auto"/>
              <w:left w:val="nil"/>
              <w:bottom w:val="single" w:sz="8" w:space="0" w:color="auto"/>
              <w:right w:val="single" w:sz="4" w:space="0" w:color="auto"/>
            </w:tcBorders>
            <w:shd w:val="clear" w:color="auto" w:fill="D9D9D9"/>
            <w:vAlign w:val="center"/>
            <w:hideMark/>
          </w:tcPr>
          <w:p w14:paraId="05A7CCCA" w14:textId="77777777" w:rsidR="009B0448" w:rsidRPr="009B0448" w:rsidRDefault="009B0448">
            <w:pPr>
              <w:spacing w:line="254" w:lineRule="auto"/>
              <w:jc w:val="center"/>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Values type</w:t>
            </w:r>
          </w:p>
        </w:tc>
        <w:tc>
          <w:tcPr>
            <w:tcW w:w="1034" w:type="dxa"/>
            <w:tcBorders>
              <w:top w:val="single" w:sz="8" w:space="0" w:color="auto"/>
              <w:left w:val="nil"/>
              <w:bottom w:val="single" w:sz="8" w:space="0" w:color="auto"/>
              <w:right w:val="single" w:sz="4" w:space="0" w:color="auto"/>
            </w:tcBorders>
            <w:shd w:val="clear" w:color="auto" w:fill="D9D9D9"/>
            <w:vAlign w:val="center"/>
            <w:hideMark/>
          </w:tcPr>
          <w:p w14:paraId="116804AD" w14:textId="77777777" w:rsidR="009B0448" w:rsidRPr="009B0448" w:rsidRDefault="009B0448">
            <w:pPr>
              <w:spacing w:line="254" w:lineRule="auto"/>
              <w:jc w:val="center"/>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 xml:space="preserve">Study region </w:t>
            </w:r>
          </w:p>
        </w:tc>
        <w:tc>
          <w:tcPr>
            <w:tcW w:w="1375" w:type="dxa"/>
            <w:tcBorders>
              <w:top w:val="single" w:sz="8" w:space="0" w:color="auto"/>
              <w:left w:val="nil"/>
              <w:bottom w:val="single" w:sz="8" w:space="0" w:color="auto"/>
              <w:right w:val="single" w:sz="8" w:space="0" w:color="auto"/>
            </w:tcBorders>
            <w:shd w:val="clear" w:color="auto" w:fill="D9D9D9"/>
            <w:vAlign w:val="center"/>
            <w:hideMark/>
          </w:tcPr>
          <w:p w14:paraId="5E882987" w14:textId="77777777" w:rsidR="009B0448" w:rsidRPr="009B0448" w:rsidRDefault="009B0448">
            <w:pPr>
              <w:bidi/>
              <w:spacing w:line="254" w:lineRule="auto"/>
              <w:jc w:val="center"/>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Source</w:t>
            </w:r>
          </w:p>
        </w:tc>
      </w:tr>
      <w:tr w:rsidR="009B0448" w:rsidRPr="009B0448" w14:paraId="08339E75" w14:textId="77777777" w:rsidTr="009B0448">
        <w:trPr>
          <w:trHeight w:val="1332"/>
        </w:trPr>
        <w:tc>
          <w:tcPr>
            <w:tcW w:w="1311" w:type="dxa"/>
            <w:tcBorders>
              <w:top w:val="nil"/>
              <w:left w:val="single" w:sz="8" w:space="0" w:color="auto"/>
              <w:bottom w:val="single" w:sz="8" w:space="0" w:color="auto"/>
              <w:right w:val="single" w:sz="4" w:space="0" w:color="auto"/>
            </w:tcBorders>
            <w:hideMark/>
          </w:tcPr>
          <w:p w14:paraId="3671D81A"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Learning and inspiration</w:t>
            </w:r>
          </w:p>
        </w:tc>
        <w:tc>
          <w:tcPr>
            <w:tcW w:w="4099" w:type="dxa"/>
            <w:tcBorders>
              <w:top w:val="nil"/>
              <w:left w:val="nil"/>
              <w:bottom w:val="single" w:sz="8" w:space="0" w:color="auto"/>
              <w:right w:val="single" w:sz="4" w:space="0" w:color="auto"/>
            </w:tcBorders>
            <w:vAlign w:val="center"/>
            <w:hideMark/>
          </w:tcPr>
          <w:p w14:paraId="487C229B"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noProof/>
                <w:lang w:eastAsia="en-US"/>
              </w:rPr>
              <w:t>The provision</w:t>
            </w:r>
            <w:r w:rsidRPr="009B0448">
              <w:rPr>
                <w:rFonts w:ascii="Times New Roman" w:eastAsia="Times New Roman" w:hAnsi="Times New Roman" w:cs="Times New Roman"/>
                <w:lang w:eastAsia="en-US"/>
              </w:rPr>
              <w:t>, by landscapes, seascapes, habitats or organisms, of opportunities for the development of the capabilities that allow humans to prosper through education, acquisition of knowledge and development of skills for well-being, scientific information, and inspiration for art and technological design (e.g., biomimicry)</w:t>
            </w:r>
          </w:p>
        </w:tc>
        <w:tc>
          <w:tcPr>
            <w:tcW w:w="1384" w:type="dxa"/>
            <w:tcBorders>
              <w:top w:val="nil"/>
              <w:left w:val="nil"/>
              <w:bottom w:val="single" w:sz="8" w:space="0" w:color="auto"/>
              <w:right w:val="single" w:sz="4" w:space="0" w:color="auto"/>
            </w:tcBorders>
            <w:hideMark/>
          </w:tcPr>
          <w:p w14:paraId="5D4860E2"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Relational</w:t>
            </w:r>
          </w:p>
        </w:tc>
        <w:tc>
          <w:tcPr>
            <w:tcW w:w="1034" w:type="dxa"/>
            <w:tcBorders>
              <w:top w:val="nil"/>
              <w:left w:val="nil"/>
              <w:bottom w:val="single" w:sz="8" w:space="0" w:color="auto"/>
              <w:right w:val="single" w:sz="4" w:space="0" w:color="auto"/>
            </w:tcBorders>
            <w:hideMark/>
          </w:tcPr>
          <w:p w14:paraId="3CB9B05E"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Niger, Tanzania</w:t>
            </w:r>
          </w:p>
        </w:tc>
        <w:tc>
          <w:tcPr>
            <w:tcW w:w="1375" w:type="dxa"/>
            <w:tcBorders>
              <w:top w:val="nil"/>
              <w:left w:val="nil"/>
              <w:bottom w:val="single" w:sz="8" w:space="0" w:color="auto"/>
              <w:right w:val="single" w:sz="8" w:space="0" w:color="auto"/>
            </w:tcBorders>
            <w:hideMark/>
          </w:tcPr>
          <w:p w14:paraId="3AAFE010"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Moussa </w:t>
            </w:r>
            <w:r w:rsidRPr="009B0448">
              <w:rPr>
                <w:rFonts w:ascii="Times New Roman" w:eastAsia="Times New Roman" w:hAnsi="Times New Roman" w:cs="Times New Roman"/>
                <w:i/>
                <w:lang w:eastAsia="en-US"/>
              </w:rPr>
              <w:t>et al.</w:t>
            </w:r>
            <w:r w:rsidRPr="009B0448">
              <w:rPr>
                <w:rFonts w:ascii="Times New Roman" w:eastAsia="Times New Roman" w:hAnsi="Times New Roman" w:cs="Times New Roman"/>
                <w:lang w:eastAsia="en-US"/>
              </w:rPr>
              <w:t>, 2008</w:t>
            </w:r>
          </w:p>
        </w:tc>
      </w:tr>
      <w:tr w:rsidR="009B0448" w:rsidRPr="009B0448" w14:paraId="3F0C4D15" w14:textId="77777777" w:rsidTr="009B0448">
        <w:trPr>
          <w:trHeight w:val="1371"/>
        </w:trPr>
        <w:tc>
          <w:tcPr>
            <w:tcW w:w="1311" w:type="dxa"/>
            <w:tcBorders>
              <w:top w:val="nil"/>
              <w:left w:val="single" w:sz="8" w:space="0" w:color="auto"/>
              <w:bottom w:val="single" w:sz="8" w:space="0" w:color="auto"/>
              <w:right w:val="single" w:sz="4" w:space="0" w:color="auto"/>
            </w:tcBorders>
            <w:hideMark/>
          </w:tcPr>
          <w:p w14:paraId="3F529D69"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Physical and psychological experiences</w:t>
            </w:r>
          </w:p>
        </w:tc>
        <w:tc>
          <w:tcPr>
            <w:tcW w:w="4099" w:type="dxa"/>
            <w:tcBorders>
              <w:top w:val="nil"/>
              <w:left w:val="nil"/>
              <w:bottom w:val="single" w:sz="8" w:space="0" w:color="auto"/>
              <w:right w:val="single" w:sz="4" w:space="0" w:color="auto"/>
            </w:tcBorders>
            <w:vAlign w:val="center"/>
            <w:hideMark/>
          </w:tcPr>
          <w:p w14:paraId="5F6D93BE"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Provision, by landscapes, seascapes, habitats or organisms, of opportunities for physically and psychologically beneficial activities, healing, relaxation, recreation, leisure, tourism and aesthetic enjoyment based on the close contact with nature. For example, hiking, recreational hunting, </w:t>
            </w:r>
            <w:r w:rsidRPr="009B0448">
              <w:rPr>
                <w:rFonts w:ascii="Times New Roman" w:eastAsia="Times New Roman" w:hAnsi="Times New Roman" w:cs="Times New Roman"/>
                <w:noProof/>
                <w:lang w:eastAsia="en-US"/>
              </w:rPr>
              <w:t>and</w:t>
            </w:r>
            <w:r w:rsidRPr="009B0448">
              <w:rPr>
                <w:rFonts w:ascii="Times New Roman" w:eastAsia="Times New Roman" w:hAnsi="Times New Roman" w:cs="Times New Roman"/>
                <w:lang w:eastAsia="en-US"/>
              </w:rPr>
              <w:t xml:space="preserve"> fishing, birdwatching, snorkelling, gardening</w:t>
            </w:r>
          </w:p>
        </w:tc>
        <w:tc>
          <w:tcPr>
            <w:tcW w:w="1384" w:type="dxa"/>
            <w:tcBorders>
              <w:top w:val="nil"/>
              <w:left w:val="nil"/>
              <w:bottom w:val="single" w:sz="8" w:space="0" w:color="auto"/>
              <w:right w:val="single" w:sz="4" w:space="0" w:color="auto"/>
            </w:tcBorders>
            <w:hideMark/>
          </w:tcPr>
          <w:p w14:paraId="09C9CE9F"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Relational</w:t>
            </w:r>
          </w:p>
        </w:tc>
        <w:tc>
          <w:tcPr>
            <w:tcW w:w="1034" w:type="dxa"/>
            <w:tcBorders>
              <w:top w:val="nil"/>
              <w:left w:val="nil"/>
              <w:bottom w:val="single" w:sz="8" w:space="0" w:color="auto"/>
              <w:right w:val="single" w:sz="4" w:space="0" w:color="auto"/>
            </w:tcBorders>
            <w:hideMark/>
          </w:tcPr>
          <w:p w14:paraId="1E086123"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Côte</w:t>
            </w:r>
            <w:r w:rsidRPr="009B0448">
              <w:rPr>
                <w:rFonts w:ascii="Times New Roman" w:eastAsia="Times New Roman" w:hAnsi="Times New Roman" w:cs="Times New Roman"/>
                <w:i/>
                <w:iCs/>
                <w:lang w:eastAsia="en-US"/>
              </w:rPr>
              <w:t xml:space="preserve"> d'</w:t>
            </w:r>
            <w:r w:rsidRPr="009B0448">
              <w:rPr>
                <w:rFonts w:ascii="Times New Roman" w:eastAsia="Times New Roman" w:hAnsi="Times New Roman" w:cs="Times New Roman"/>
                <w:lang w:eastAsia="en-US"/>
              </w:rPr>
              <w:t>Ivoire, Cameroon</w:t>
            </w:r>
          </w:p>
        </w:tc>
        <w:tc>
          <w:tcPr>
            <w:tcW w:w="1375" w:type="dxa"/>
            <w:tcBorders>
              <w:top w:val="nil"/>
              <w:left w:val="nil"/>
              <w:bottom w:val="single" w:sz="8" w:space="0" w:color="auto"/>
              <w:right w:val="single" w:sz="8" w:space="0" w:color="auto"/>
            </w:tcBorders>
            <w:hideMark/>
          </w:tcPr>
          <w:p w14:paraId="4283381B" w14:textId="3251ACB8" w:rsidR="009B0448" w:rsidRPr="009B0448" w:rsidRDefault="009B0448">
            <w:pPr>
              <w:spacing w:line="254" w:lineRule="auto"/>
              <w:rPr>
                <w:rFonts w:ascii="Times New Roman" w:eastAsia="Times New Roman" w:hAnsi="Times New Roman" w:cs="Times New Roman"/>
                <w:lang w:val="de-DE" w:eastAsia="en-US"/>
              </w:rPr>
            </w:pPr>
            <w:r w:rsidRPr="009B0448">
              <w:rPr>
                <w:rFonts w:ascii="Times New Roman" w:eastAsia="Times New Roman" w:hAnsi="Times New Roman" w:cs="Times New Roman"/>
                <w:lang w:val="fr-CA" w:eastAsia="en-US"/>
              </w:rPr>
              <w:t xml:space="preserve">Feka </w:t>
            </w:r>
            <w:r w:rsidR="004B3279">
              <w:rPr>
                <w:rFonts w:ascii="Times New Roman" w:eastAsia="Times New Roman" w:hAnsi="Times New Roman" w:cs="Times New Roman"/>
                <w:i/>
                <w:lang w:val="fr-CA" w:eastAsia="en-US"/>
              </w:rPr>
              <w:t>et al.,</w:t>
            </w:r>
            <w:r w:rsidRPr="009B0448">
              <w:rPr>
                <w:rFonts w:ascii="Times New Roman" w:eastAsia="Times New Roman" w:hAnsi="Times New Roman" w:cs="Times New Roman"/>
                <w:lang w:val="fr-CA" w:eastAsia="en-US"/>
              </w:rPr>
              <w:t xml:space="preserve"> 2008; Kouassi </w:t>
            </w:r>
            <w:r w:rsidRPr="009B0448">
              <w:rPr>
                <w:rFonts w:ascii="Times New Roman" w:eastAsia="Times New Roman" w:hAnsi="Times New Roman" w:cs="Times New Roman"/>
                <w:i/>
                <w:lang w:val="fr-CA" w:eastAsia="en-US"/>
              </w:rPr>
              <w:t>et al.</w:t>
            </w:r>
            <w:r w:rsidRPr="009B0448">
              <w:rPr>
                <w:rFonts w:ascii="Times New Roman" w:eastAsia="Times New Roman" w:hAnsi="Times New Roman" w:cs="Times New Roman"/>
                <w:lang w:val="fr-CA" w:eastAsia="en-US"/>
              </w:rPr>
              <w:t xml:space="preserve">, 2013 </w:t>
            </w:r>
          </w:p>
        </w:tc>
      </w:tr>
      <w:tr w:rsidR="009B0448" w:rsidRPr="009B0448" w14:paraId="200C8D47" w14:textId="77777777" w:rsidTr="009B0448">
        <w:trPr>
          <w:trHeight w:val="528"/>
        </w:trPr>
        <w:tc>
          <w:tcPr>
            <w:tcW w:w="1311" w:type="dxa"/>
            <w:vMerge w:val="restart"/>
            <w:tcBorders>
              <w:top w:val="nil"/>
              <w:left w:val="single" w:sz="8" w:space="0" w:color="auto"/>
              <w:bottom w:val="single" w:sz="8" w:space="0" w:color="000000"/>
              <w:right w:val="single" w:sz="4" w:space="0" w:color="auto"/>
            </w:tcBorders>
            <w:hideMark/>
          </w:tcPr>
          <w:p w14:paraId="55F60056"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Supporting identities</w:t>
            </w:r>
          </w:p>
        </w:tc>
        <w:tc>
          <w:tcPr>
            <w:tcW w:w="4099" w:type="dxa"/>
            <w:tcBorders>
              <w:top w:val="nil"/>
              <w:left w:val="nil"/>
              <w:bottom w:val="single" w:sz="4" w:space="0" w:color="auto"/>
              <w:right w:val="single" w:sz="4" w:space="0" w:color="auto"/>
            </w:tcBorders>
            <w:vAlign w:val="center"/>
            <w:hideMark/>
          </w:tcPr>
          <w:p w14:paraId="5977B7AF"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Landscapes, seascapes, habitats or organisms being the basis for religious, spiritual, and social-cohesion experiences</w:t>
            </w:r>
          </w:p>
        </w:tc>
        <w:tc>
          <w:tcPr>
            <w:tcW w:w="1384" w:type="dxa"/>
            <w:vMerge w:val="restart"/>
            <w:tcBorders>
              <w:top w:val="nil"/>
              <w:left w:val="single" w:sz="4" w:space="0" w:color="auto"/>
              <w:bottom w:val="single" w:sz="8" w:space="0" w:color="000000"/>
              <w:right w:val="single" w:sz="4" w:space="0" w:color="auto"/>
            </w:tcBorders>
            <w:hideMark/>
          </w:tcPr>
          <w:p w14:paraId="60CEA99C"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Relational</w:t>
            </w:r>
          </w:p>
        </w:tc>
        <w:tc>
          <w:tcPr>
            <w:tcW w:w="1034" w:type="dxa"/>
            <w:vMerge w:val="restart"/>
            <w:tcBorders>
              <w:top w:val="nil"/>
              <w:left w:val="single" w:sz="4" w:space="0" w:color="auto"/>
              <w:bottom w:val="single" w:sz="8" w:space="0" w:color="000000"/>
              <w:right w:val="single" w:sz="4" w:space="0" w:color="auto"/>
            </w:tcBorders>
            <w:hideMark/>
          </w:tcPr>
          <w:p w14:paraId="734DBB3B"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South Africa, Zimbabwe</w:t>
            </w:r>
          </w:p>
        </w:tc>
        <w:tc>
          <w:tcPr>
            <w:tcW w:w="1375" w:type="dxa"/>
            <w:vMerge w:val="restart"/>
            <w:tcBorders>
              <w:top w:val="nil"/>
              <w:left w:val="single" w:sz="4" w:space="0" w:color="auto"/>
              <w:bottom w:val="single" w:sz="4" w:space="0" w:color="auto"/>
              <w:right w:val="single" w:sz="8" w:space="0" w:color="auto"/>
            </w:tcBorders>
            <w:hideMark/>
          </w:tcPr>
          <w:p w14:paraId="0814C66A"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Radder </w:t>
            </w:r>
            <w:r w:rsidRPr="009B0448">
              <w:rPr>
                <w:rFonts w:ascii="Times New Roman" w:eastAsia="Times New Roman" w:hAnsi="Times New Roman" w:cs="Times New Roman"/>
                <w:i/>
                <w:lang w:eastAsia="en-US"/>
              </w:rPr>
              <w:t>et al.</w:t>
            </w:r>
            <w:r w:rsidRPr="009B0448">
              <w:rPr>
                <w:rFonts w:ascii="Times New Roman" w:eastAsia="Times New Roman" w:hAnsi="Times New Roman" w:cs="Times New Roman"/>
                <w:lang w:eastAsia="en-US"/>
              </w:rPr>
              <w:t>, 2008</w:t>
            </w:r>
          </w:p>
        </w:tc>
      </w:tr>
      <w:tr w:rsidR="009B0448" w:rsidRPr="009B0448" w14:paraId="78449EE0" w14:textId="77777777" w:rsidTr="009B0448">
        <w:trPr>
          <w:trHeight w:val="1320"/>
        </w:trPr>
        <w:tc>
          <w:tcPr>
            <w:tcW w:w="9203" w:type="dxa"/>
            <w:vMerge/>
            <w:tcBorders>
              <w:top w:val="nil"/>
              <w:left w:val="single" w:sz="8" w:space="0" w:color="auto"/>
              <w:bottom w:val="single" w:sz="8" w:space="0" w:color="000000"/>
              <w:right w:val="single" w:sz="4" w:space="0" w:color="auto"/>
            </w:tcBorders>
            <w:vAlign w:val="center"/>
            <w:hideMark/>
          </w:tcPr>
          <w:p w14:paraId="1C949C2F"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4" w:space="0" w:color="auto"/>
              <w:right w:val="single" w:sz="4" w:space="0" w:color="auto"/>
            </w:tcBorders>
            <w:vAlign w:val="center"/>
            <w:hideMark/>
          </w:tcPr>
          <w:p w14:paraId="0C38842E"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Provisioning of opportunities by nature for people to develop a sense of place, purpose, belonging, rootedness or connectedness, associated with different entities of the living world (e.g., cultural and heritage landscapes, sounds, scents and sights associated with childhood experiences, iconic animals, trees or flowers)</w:t>
            </w:r>
          </w:p>
        </w:tc>
        <w:tc>
          <w:tcPr>
            <w:tcW w:w="1384" w:type="dxa"/>
            <w:vMerge/>
            <w:tcBorders>
              <w:top w:val="nil"/>
              <w:left w:val="single" w:sz="4" w:space="0" w:color="auto"/>
              <w:bottom w:val="single" w:sz="8" w:space="0" w:color="000000"/>
              <w:right w:val="single" w:sz="4" w:space="0" w:color="auto"/>
            </w:tcBorders>
            <w:vAlign w:val="center"/>
            <w:hideMark/>
          </w:tcPr>
          <w:p w14:paraId="6F3388AA"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270EC531"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4" w:space="0" w:color="auto"/>
              <w:right w:val="single" w:sz="8" w:space="0" w:color="auto"/>
            </w:tcBorders>
            <w:vAlign w:val="center"/>
            <w:hideMark/>
          </w:tcPr>
          <w:p w14:paraId="7CAF9DC6" w14:textId="77777777" w:rsidR="009B0448" w:rsidRPr="009B0448" w:rsidRDefault="009B0448">
            <w:pPr>
              <w:rPr>
                <w:rFonts w:ascii="Times New Roman" w:eastAsia="Times New Roman" w:hAnsi="Times New Roman" w:cs="Times New Roman"/>
                <w:lang w:val="en-ZA" w:eastAsia="en-US"/>
              </w:rPr>
            </w:pPr>
          </w:p>
        </w:tc>
      </w:tr>
      <w:tr w:rsidR="009B0448" w:rsidRPr="009B0448" w14:paraId="40051814" w14:textId="77777777" w:rsidTr="009B0448">
        <w:trPr>
          <w:trHeight w:val="792"/>
        </w:trPr>
        <w:tc>
          <w:tcPr>
            <w:tcW w:w="9203" w:type="dxa"/>
            <w:vMerge/>
            <w:tcBorders>
              <w:top w:val="nil"/>
              <w:left w:val="single" w:sz="8" w:space="0" w:color="auto"/>
              <w:bottom w:val="single" w:sz="8" w:space="0" w:color="000000"/>
              <w:right w:val="single" w:sz="4" w:space="0" w:color="auto"/>
            </w:tcBorders>
            <w:vAlign w:val="center"/>
            <w:hideMark/>
          </w:tcPr>
          <w:p w14:paraId="7B8FF194"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4" w:space="0" w:color="auto"/>
              <w:right w:val="single" w:sz="4" w:space="0" w:color="auto"/>
            </w:tcBorders>
            <w:hideMark/>
          </w:tcPr>
          <w:p w14:paraId="5C33C4DB"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noProof/>
                <w:lang w:eastAsia="en-US"/>
              </w:rPr>
              <w:t>The basis</w:t>
            </w:r>
            <w:r w:rsidRPr="009B0448">
              <w:rPr>
                <w:rFonts w:ascii="Times New Roman" w:eastAsia="Times New Roman" w:hAnsi="Times New Roman" w:cs="Times New Roman"/>
                <w:lang w:eastAsia="en-US"/>
              </w:rPr>
              <w:t xml:space="preserve"> for narratives and myths, rituals and celebrations provided</w:t>
            </w:r>
          </w:p>
        </w:tc>
        <w:tc>
          <w:tcPr>
            <w:tcW w:w="1384" w:type="dxa"/>
            <w:vMerge/>
            <w:tcBorders>
              <w:top w:val="nil"/>
              <w:left w:val="single" w:sz="4" w:space="0" w:color="auto"/>
              <w:bottom w:val="single" w:sz="8" w:space="0" w:color="000000"/>
              <w:right w:val="single" w:sz="4" w:space="0" w:color="auto"/>
            </w:tcBorders>
            <w:vAlign w:val="center"/>
            <w:hideMark/>
          </w:tcPr>
          <w:p w14:paraId="4913FCC5"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1ED4EB08" w14:textId="77777777" w:rsidR="009B0448" w:rsidRPr="009B0448" w:rsidRDefault="009B0448">
            <w:pPr>
              <w:rPr>
                <w:rFonts w:ascii="Times New Roman" w:eastAsia="Times New Roman" w:hAnsi="Times New Roman" w:cs="Times New Roman"/>
                <w:lang w:val="en-ZA" w:eastAsia="en-US"/>
              </w:rPr>
            </w:pPr>
          </w:p>
        </w:tc>
        <w:tc>
          <w:tcPr>
            <w:tcW w:w="1375" w:type="dxa"/>
            <w:vMerge w:val="restart"/>
            <w:tcBorders>
              <w:top w:val="nil"/>
              <w:left w:val="single" w:sz="4" w:space="0" w:color="auto"/>
              <w:bottom w:val="single" w:sz="8" w:space="0" w:color="000000"/>
              <w:right w:val="single" w:sz="8" w:space="0" w:color="auto"/>
            </w:tcBorders>
            <w:hideMark/>
          </w:tcPr>
          <w:p w14:paraId="69496719"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Byers </w:t>
            </w:r>
            <w:r w:rsidRPr="009B0448">
              <w:rPr>
                <w:rFonts w:ascii="Times New Roman" w:eastAsia="Times New Roman" w:hAnsi="Times New Roman" w:cs="Times New Roman"/>
                <w:i/>
                <w:lang w:eastAsia="en-US"/>
              </w:rPr>
              <w:t>et al.</w:t>
            </w:r>
            <w:r w:rsidRPr="009B0448">
              <w:rPr>
                <w:rFonts w:ascii="Times New Roman" w:eastAsia="Times New Roman" w:hAnsi="Times New Roman" w:cs="Times New Roman"/>
                <w:lang w:eastAsia="en-US"/>
              </w:rPr>
              <w:t>, 2001</w:t>
            </w:r>
          </w:p>
        </w:tc>
      </w:tr>
      <w:tr w:rsidR="009B0448" w:rsidRPr="009B0448" w14:paraId="6DEA13EA" w14:textId="77777777" w:rsidTr="009B0448">
        <w:trPr>
          <w:trHeight w:val="528"/>
        </w:trPr>
        <w:tc>
          <w:tcPr>
            <w:tcW w:w="9203" w:type="dxa"/>
            <w:vMerge/>
            <w:tcBorders>
              <w:top w:val="nil"/>
              <w:left w:val="single" w:sz="8" w:space="0" w:color="auto"/>
              <w:bottom w:val="single" w:sz="8" w:space="0" w:color="000000"/>
              <w:right w:val="single" w:sz="4" w:space="0" w:color="auto"/>
            </w:tcBorders>
            <w:vAlign w:val="center"/>
            <w:hideMark/>
          </w:tcPr>
          <w:p w14:paraId="1E79839F"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4" w:space="0" w:color="auto"/>
              <w:right w:val="single" w:sz="4" w:space="0" w:color="auto"/>
            </w:tcBorders>
            <w:vAlign w:val="center"/>
            <w:hideMark/>
          </w:tcPr>
          <w:p w14:paraId="36BB21C3"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landscapes, seascapes, habitats, species or organisms (e.g., sacred groves, sacred trees, totem animals)</w:t>
            </w:r>
          </w:p>
        </w:tc>
        <w:tc>
          <w:tcPr>
            <w:tcW w:w="1384" w:type="dxa"/>
            <w:vMerge/>
            <w:tcBorders>
              <w:top w:val="nil"/>
              <w:left w:val="single" w:sz="4" w:space="0" w:color="auto"/>
              <w:bottom w:val="single" w:sz="8" w:space="0" w:color="000000"/>
              <w:right w:val="single" w:sz="4" w:space="0" w:color="auto"/>
            </w:tcBorders>
            <w:vAlign w:val="center"/>
            <w:hideMark/>
          </w:tcPr>
          <w:p w14:paraId="440AF5C1"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7382C4A0"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8" w:space="0" w:color="000000"/>
              <w:right w:val="single" w:sz="8" w:space="0" w:color="auto"/>
            </w:tcBorders>
            <w:vAlign w:val="center"/>
            <w:hideMark/>
          </w:tcPr>
          <w:p w14:paraId="7ABE3451" w14:textId="77777777" w:rsidR="009B0448" w:rsidRPr="009B0448" w:rsidRDefault="009B0448">
            <w:pPr>
              <w:rPr>
                <w:rFonts w:ascii="Times New Roman" w:eastAsia="Times New Roman" w:hAnsi="Times New Roman" w:cs="Times New Roman"/>
                <w:lang w:val="en-ZA" w:eastAsia="en-US"/>
              </w:rPr>
            </w:pPr>
          </w:p>
        </w:tc>
      </w:tr>
      <w:tr w:rsidR="009B0448" w:rsidRPr="009B0448" w14:paraId="78D7CA92" w14:textId="77777777" w:rsidTr="009B0448">
        <w:trPr>
          <w:trHeight w:val="540"/>
        </w:trPr>
        <w:tc>
          <w:tcPr>
            <w:tcW w:w="9203" w:type="dxa"/>
            <w:vMerge/>
            <w:tcBorders>
              <w:top w:val="nil"/>
              <w:left w:val="single" w:sz="8" w:space="0" w:color="auto"/>
              <w:bottom w:val="single" w:sz="8" w:space="0" w:color="000000"/>
              <w:right w:val="single" w:sz="4" w:space="0" w:color="auto"/>
            </w:tcBorders>
            <w:vAlign w:val="center"/>
            <w:hideMark/>
          </w:tcPr>
          <w:p w14:paraId="480AE807"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8" w:space="0" w:color="auto"/>
              <w:right w:val="single" w:sz="4" w:space="0" w:color="auto"/>
            </w:tcBorders>
            <w:vAlign w:val="center"/>
            <w:hideMark/>
          </w:tcPr>
          <w:p w14:paraId="65741D4C"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Source of satisfaction derived from knowing that a particular landscapes, seascape, habitat or species exist in the present</w:t>
            </w:r>
          </w:p>
        </w:tc>
        <w:tc>
          <w:tcPr>
            <w:tcW w:w="1384" w:type="dxa"/>
            <w:vMerge/>
            <w:tcBorders>
              <w:top w:val="nil"/>
              <w:left w:val="single" w:sz="4" w:space="0" w:color="auto"/>
              <w:bottom w:val="single" w:sz="8" w:space="0" w:color="000000"/>
              <w:right w:val="single" w:sz="4" w:space="0" w:color="auto"/>
            </w:tcBorders>
            <w:vAlign w:val="center"/>
            <w:hideMark/>
          </w:tcPr>
          <w:p w14:paraId="3294D4C3" w14:textId="77777777" w:rsidR="009B0448" w:rsidRPr="009B0448" w:rsidRDefault="009B0448">
            <w:pPr>
              <w:rPr>
                <w:rFonts w:ascii="Times New Roman" w:eastAsia="Times New Roman" w:hAnsi="Times New Roman" w:cs="Times New Roman"/>
                <w:lang w:val="en-ZA" w:eastAsia="en-US"/>
              </w:rPr>
            </w:pPr>
          </w:p>
        </w:tc>
        <w:tc>
          <w:tcPr>
            <w:tcW w:w="1034" w:type="dxa"/>
            <w:vMerge/>
            <w:tcBorders>
              <w:top w:val="nil"/>
              <w:left w:val="single" w:sz="4" w:space="0" w:color="auto"/>
              <w:bottom w:val="single" w:sz="8" w:space="0" w:color="000000"/>
              <w:right w:val="single" w:sz="4" w:space="0" w:color="auto"/>
            </w:tcBorders>
            <w:vAlign w:val="center"/>
            <w:hideMark/>
          </w:tcPr>
          <w:p w14:paraId="12B302C0" w14:textId="77777777" w:rsidR="009B0448" w:rsidRPr="009B0448" w:rsidRDefault="009B0448">
            <w:pPr>
              <w:rPr>
                <w:rFonts w:ascii="Times New Roman" w:eastAsia="Times New Roman" w:hAnsi="Times New Roman" w:cs="Times New Roman"/>
                <w:lang w:val="en-ZA" w:eastAsia="en-US"/>
              </w:rPr>
            </w:pPr>
          </w:p>
        </w:tc>
        <w:tc>
          <w:tcPr>
            <w:tcW w:w="1375" w:type="dxa"/>
            <w:vMerge/>
            <w:tcBorders>
              <w:top w:val="nil"/>
              <w:left w:val="single" w:sz="4" w:space="0" w:color="auto"/>
              <w:bottom w:val="single" w:sz="8" w:space="0" w:color="000000"/>
              <w:right w:val="single" w:sz="8" w:space="0" w:color="auto"/>
            </w:tcBorders>
            <w:vAlign w:val="center"/>
            <w:hideMark/>
          </w:tcPr>
          <w:p w14:paraId="787D4548" w14:textId="77777777" w:rsidR="009B0448" w:rsidRPr="009B0448" w:rsidRDefault="009B0448">
            <w:pPr>
              <w:rPr>
                <w:rFonts w:ascii="Times New Roman" w:eastAsia="Times New Roman" w:hAnsi="Times New Roman" w:cs="Times New Roman"/>
                <w:lang w:val="en-ZA" w:eastAsia="en-US"/>
              </w:rPr>
            </w:pPr>
          </w:p>
        </w:tc>
      </w:tr>
      <w:tr w:rsidR="009B0448" w:rsidRPr="009B0448" w14:paraId="0C4CEC8C" w14:textId="77777777" w:rsidTr="009B0448">
        <w:trPr>
          <w:trHeight w:val="276"/>
        </w:trPr>
        <w:tc>
          <w:tcPr>
            <w:tcW w:w="9203" w:type="dxa"/>
            <w:gridSpan w:val="5"/>
            <w:tcBorders>
              <w:top w:val="nil"/>
              <w:left w:val="single" w:sz="4" w:space="0" w:color="auto"/>
              <w:bottom w:val="nil"/>
              <w:right w:val="single" w:sz="4" w:space="0" w:color="auto"/>
            </w:tcBorders>
            <w:shd w:val="clear" w:color="auto" w:fill="D9D9D9"/>
            <w:vAlign w:val="center"/>
            <w:hideMark/>
          </w:tcPr>
          <w:p w14:paraId="09834724" w14:textId="77777777" w:rsidR="009B0448" w:rsidRPr="009B0448" w:rsidRDefault="009B0448">
            <w:pPr>
              <w:spacing w:line="254" w:lineRule="auto"/>
              <w:jc w:val="center"/>
              <w:rPr>
                <w:rFonts w:ascii="Times New Roman" w:eastAsia="Times New Roman" w:hAnsi="Times New Roman" w:cs="Times New Roman"/>
                <w:b/>
                <w:bCs/>
                <w:lang w:val="en-ZA" w:eastAsia="en-US"/>
              </w:rPr>
            </w:pPr>
            <w:r w:rsidRPr="009B0448">
              <w:rPr>
                <w:rFonts w:ascii="Times New Roman" w:eastAsia="Times New Roman" w:hAnsi="Times New Roman" w:cs="Times New Roman"/>
                <w:b/>
                <w:bCs/>
                <w:lang w:eastAsia="en-US"/>
              </w:rPr>
              <w:t xml:space="preserve">For all groups of nature’s contributions to people </w:t>
            </w:r>
          </w:p>
        </w:tc>
      </w:tr>
      <w:tr w:rsidR="009B0448" w:rsidRPr="009B0448" w14:paraId="702CEB04" w14:textId="77777777" w:rsidTr="009B0448">
        <w:trPr>
          <w:trHeight w:val="1320"/>
        </w:trPr>
        <w:tc>
          <w:tcPr>
            <w:tcW w:w="1311" w:type="dxa"/>
            <w:vMerge w:val="restart"/>
            <w:tcBorders>
              <w:top w:val="single" w:sz="8" w:space="0" w:color="auto"/>
              <w:left w:val="single" w:sz="8" w:space="0" w:color="auto"/>
              <w:bottom w:val="single" w:sz="8" w:space="0" w:color="000000"/>
              <w:right w:val="single" w:sz="4" w:space="0" w:color="auto"/>
            </w:tcBorders>
            <w:hideMark/>
          </w:tcPr>
          <w:p w14:paraId="7E1B80BC"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Maintenance of options</w:t>
            </w:r>
          </w:p>
        </w:tc>
        <w:tc>
          <w:tcPr>
            <w:tcW w:w="4099" w:type="dxa"/>
            <w:tcBorders>
              <w:top w:val="single" w:sz="8" w:space="0" w:color="auto"/>
              <w:left w:val="nil"/>
              <w:bottom w:val="single" w:sz="4" w:space="0" w:color="auto"/>
              <w:right w:val="single" w:sz="4" w:space="0" w:color="auto"/>
            </w:tcBorders>
            <w:hideMark/>
          </w:tcPr>
          <w:p w14:paraId="0026B040"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noProof/>
                <w:lang w:eastAsia="en-US"/>
              </w:rPr>
              <w:t>The capacity</w:t>
            </w:r>
            <w:r w:rsidRPr="009B0448">
              <w:rPr>
                <w:rFonts w:ascii="Times New Roman" w:eastAsia="Times New Roman" w:hAnsi="Times New Roman" w:cs="Times New Roman"/>
                <w:lang w:eastAsia="en-US"/>
              </w:rPr>
              <w:t xml:space="preserve"> of ecosystems, habitats, species or genotypes to </w:t>
            </w:r>
            <w:r w:rsidRPr="009B0448">
              <w:rPr>
                <w:rFonts w:ascii="Times New Roman" w:eastAsia="Times New Roman" w:hAnsi="Times New Roman" w:cs="Times New Roman"/>
                <w:b/>
                <w:bCs/>
                <w:lang w:eastAsia="en-US"/>
              </w:rPr>
              <w:t xml:space="preserve">keep human options open </w:t>
            </w:r>
            <w:r w:rsidRPr="009B0448">
              <w:rPr>
                <w:rFonts w:ascii="Times New Roman" w:eastAsia="Times New Roman" w:hAnsi="Times New Roman" w:cs="Times New Roman"/>
                <w:lang w:eastAsia="en-US"/>
              </w:rPr>
              <w:t xml:space="preserve">in order to support a later good quality of life. Examples </w:t>
            </w:r>
            <w:r w:rsidRPr="009B0448">
              <w:rPr>
                <w:rFonts w:ascii="Times New Roman" w:eastAsia="Times New Roman" w:hAnsi="Times New Roman" w:cs="Times New Roman"/>
                <w:noProof/>
                <w:lang w:eastAsia="en-US"/>
              </w:rPr>
              <w:t>include</w:t>
            </w:r>
            <w:r w:rsidRPr="009B0448">
              <w:rPr>
                <w:rFonts w:ascii="Times New Roman" w:eastAsia="Times New Roman" w:hAnsi="Times New Roman" w:cs="Times New Roman"/>
                <w:lang w:eastAsia="en-US"/>
              </w:rPr>
              <w:t xml:space="preserve"> benefits (including those of future </w:t>
            </w:r>
            <w:r w:rsidRPr="009B0448">
              <w:rPr>
                <w:rFonts w:ascii="Times New Roman" w:eastAsia="Times New Roman" w:hAnsi="Times New Roman" w:cs="Times New Roman"/>
                <w:lang w:eastAsia="en-US"/>
              </w:rPr>
              <w:lastRenderedPageBreak/>
              <w:t xml:space="preserve">generations) associated with the continued </w:t>
            </w:r>
            <w:r w:rsidRPr="009B0448">
              <w:rPr>
                <w:rFonts w:ascii="Times New Roman" w:eastAsia="Times New Roman" w:hAnsi="Times New Roman" w:cs="Times New Roman"/>
                <w:b/>
                <w:bCs/>
                <w:lang w:eastAsia="en-US"/>
              </w:rPr>
              <w:t xml:space="preserve">existence of a wide variety </w:t>
            </w:r>
            <w:r w:rsidRPr="009B0448">
              <w:rPr>
                <w:rFonts w:ascii="Times New Roman" w:eastAsia="Times New Roman" w:hAnsi="Times New Roman" w:cs="Times New Roman"/>
                <w:lang w:eastAsia="en-US"/>
              </w:rPr>
              <w:t xml:space="preserve">of species, populations, </w:t>
            </w:r>
            <w:r w:rsidRPr="009B0448">
              <w:rPr>
                <w:rFonts w:ascii="Times New Roman" w:eastAsia="Times New Roman" w:hAnsi="Times New Roman" w:cs="Times New Roman"/>
                <w:noProof/>
                <w:lang w:eastAsia="en-US"/>
              </w:rPr>
              <w:t>and</w:t>
            </w:r>
            <w:r w:rsidRPr="009B0448">
              <w:rPr>
                <w:rFonts w:ascii="Times New Roman" w:eastAsia="Times New Roman" w:hAnsi="Times New Roman" w:cs="Times New Roman"/>
                <w:lang w:eastAsia="en-US"/>
              </w:rPr>
              <w:t xml:space="preserve"> genotypes</w:t>
            </w:r>
          </w:p>
        </w:tc>
        <w:tc>
          <w:tcPr>
            <w:tcW w:w="1384" w:type="dxa"/>
            <w:tcBorders>
              <w:top w:val="single" w:sz="8" w:space="0" w:color="auto"/>
              <w:left w:val="nil"/>
              <w:bottom w:val="single" w:sz="4" w:space="0" w:color="auto"/>
              <w:right w:val="single" w:sz="4" w:space="0" w:color="auto"/>
            </w:tcBorders>
            <w:hideMark/>
          </w:tcPr>
          <w:p w14:paraId="674435C7"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lastRenderedPageBreak/>
              <w:t> </w:t>
            </w:r>
          </w:p>
        </w:tc>
        <w:tc>
          <w:tcPr>
            <w:tcW w:w="1034" w:type="dxa"/>
            <w:tcBorders>
              <w:top w:val="single" w:sz="8" w:space="0" w:color="auto"/>
              <w:left w:val="nil"/>
              <w:bottom w:val="single" w:sz="4" w:space="0" w:color="auto"/>
              <w:right w:val="single" w:sz="4" w:space="0" w:color="auto"/>
            </w:tcBorders>
            <w:hideMark/>
          </w:tcPr>
          <w:p w14:paraId="3ED00BC8"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val="en-ZA" w:eastAsia="en-US"/>
              </w:rPr>
              <w:t> </w:t>
            </w:r>
          </w:p>
        </w:tc>
        <w:tc>
          <w:tcPr>
            <w:tcW w:w="1375" w:type="dxa"/>
            <w:tcBorders>
              <w:top w:val="single" w:sz="8" w:space="0" w:color="auto"/>
              <w:left w:val="nil"/>
              <w:bottom w:val="single" w:sz="4" w:space="0" w:color="auto"/>
              <w:right w:val="single" w:sz="8" w:space="0" w:color="auto"/>
            </w:tcBorders>
            <w:hideMark/>
          </w:tcPr>
          <w:p w14:paraId="4E60BC8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val="en-ZA" w:eastAsia="en-US"/>
              </w:rPr>
              <w:t> </w:t>
            </w:r>
          </w:p>
        </w:tc>
      </w:tr>
      <w:tr w:rsidR="009B0448" w:rsidRPr="009B0448" w14:paraId="2C8342BA" w14:textId="77777777" w:rsidTr="009B0448">
        <w:trPr>
          <w:trHeight w:val="1056"/>
        </w:trPr>
        <w:tc>
          <w:tcPr>
            <w:tcW w:w="9203" w:type="dxa"/>
            <w:vMerge/>
            <w:tcBorders>
              <w:top w:val="single" w:sz="8" w:space="0" w:color="auto"/>
              <w:left w:val="single" w:sz="8" w:space="0" w:color="auto"/>
              <w:bottom w:val="single" w:sz="8" w:space="0" w:color="000000"/>
              <w:right w:val="single" w:sz="4" w:space="0" w:color="auto"/>
            </w:tcBorders>
            <w:vAlign w:val="center"/>
            <w:hideMark/>
          </w:tcPr>
          <w:p w14:paraId="0640FB35"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4" w:space="0" w:color="auto"/>
              <w:right w:val="single" w:sz="4" w:space="0" w:color="auto"/>
            </w:tcBorders>
            <w:hideMark/>
          </w:tcPr>
          <w:p w14:paraId="05F1D263"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Future benefits (or threats) derived from keeping options open for </w:t>
            </w:r>
            <w:r w:rsidRPr="009B0448">
              <w:rPr>
                <w:rFonts w:ascii="Times New Roman" w:eastAsia="Times New Roman" w:hAnsi="Times New Roman" w:cs="Times New Roman"/>
                <w:b/>
                <w:bCs/>
                <w:lang w:eastAsia="en-US"/>
              </w:rPr>
              <w:t xml:space="preserve">yet unknown discoveries and unanticipated uses </w:t>
            </w:r>
            <w:r w:rsidRPr="009B0448">
              <w:rPr>
                <w:rFonts w:ascii="Times New Roman" w:eastAsia="Times New Roman" w:hAnsi="Times New Roman" w:cs="Times New Roman"/>
                <w:lang w:eastAsia="en-US"/>
              </w:rPr>
              <w:t>of particular organisms or ecosystems that already exist (e.g., new medicines or materials)</w:t>
            </w:r>
          </w:p>
        </w:tc>
        <w:tc>
          <w:tcPr>
            <w:tcW w:w="1384" w:type="dxa"/>
            <w:tcBorders>
              <w:top w:val="nil"/>
              <w:left w:val="nil"/>
              <w:bottom w:val="single" w:sz="4" w:space="0" w:color="auto"/>
              <w:right w:val="single" w:sz="4" w:space="0" w:color="auto"/>
            </w:tcBorders>
            <w:hideMark/>
          </w:tcPr>
          <w:p w14:paraId="2920C0EF"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w:t>
            </w:r>
          </w:p>
        </w:tc>
        <w:tc>
          <w:tcPr>
            <w:tcW w:w="1034" w:type="dxa"/>
            <w:tcBorders>
              <w:top w:val="nil"/>
              <w:left w:val="nil"/>
              <w:bottom w:val="single" w:sz="4" w:space="0" w:color="auto"/>
              <w:right w:val="single" w:sz="4" w:space="0" w:color="auto"/>
            </w:tcBorders>
            <w:hideMark/>
          </w:tcPr>
          <w:p w14:paraId="689667AA"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val="en-ZA" w:eastAsia="en-US"/>
              </w:rPr>
              <w:t> </w:t>
            </w:r>
          </w:p>
        </w:tc>
        <w:tc>
          <w:tcPr>
            <w:tcW w:w="1375" w:type="dxa"/>
            <w:tcBorders>
              <w:top w:val="nil"/>
              <w:left w:val="nil"/>
              <w:bottom w:val="single" w:sz="4" w:space="0" w:color="auto"/>
              <w:right w:val="single" w:sz="8" w:space="0" w:color="auto"/>
            </w:tcBorders>
            <w:hideMark/>
          </w:tcPr>
          <w:p w14:paraId="6D13D29A"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val="en-ZA" w:eastAsia="en-US"/>
              </w:rPr>
              <w:t> </w:t>
            </w:r>
          </w:p>
        </w:tc>
      </w:tr>
      <w:tr w:rsidR="009B0448" w:rsidRPr="009B0448" w14:paraId="43A56413" w14:textId="77777777" w:rsidTr="009B0448">
        <w:trPr>
          <w:trHeight w:val="1056"/>
        </w:trPr>
        <w:tc>
          <w:tcPr>
            <w:tcW w:w="9203" w:type="dxa"/>
            <w:vMerge/>
            <w:tcBorders>
              <w:top w:val="single" w:sz="8" w:space="0" w:color="auto"/>
              <w:left w:val="single" w:sz="8" w:space="0" w:color="auto"/>
              <w:bottom w:val="single" w:sz="8" w:space="0" w:color="000000"/>
              <w:right w:val="single" w:sz="4" w:space="0" w:color="auto"/>
            </w:tcBorders>
            <w:vAlign w:val="center"/>
            <w:hideMark/>
          </w:tcPr>
          <w:p w14:paraId="42A398E3"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4" w:space="0" w:color="auto"/>
              <w:right w:val="single" w:sz="4" w:space="0" w:color="auto"/>
            </w:tcBorders>
            <w:hideMark/>
          </w:tcPr>
          <w:p w14:paraId="192D029A"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xml:space="preserve">Future benefits (or threats) that may be anticipated from </w:t>
            </w:r>
            <w:r w:rsidRPr="009B0448">
              <w:rPr>
                <w:rFonts w:ascii="Times New Roman" w:eastAsia="Times New Roman" w:hAnsi="Times New Roman" w:cs="Times New Roman"/>
                <w:b/>
                <w:bCs/>
                <w:lang w:eastAsia="en-US"/>
              </w:rPr>
              <w:t xml:space="preserve">on-going biological evolution </w:t>
            </w:r>
            <w:r w:rsidRPr="009B0448">
              <w:rPr>
                <w:rFonts w:ascii="Times New Roman" w:eastAsia="Times New Roman" w:hAnsi="Times New Roman" w:cs="Times New Roman"/>
                <w:lang w:eastAsia="en-US"/>
              </w:rPr>
              <w:t>(e.g., adaptation to a warmer climate, to emergent diseases, development of resistance to antibiotics and other control agents by pathogens and weeds)</w:t>
            </w:r>
          </w:p>
        </w:tc>
        <w:tc>
          <w:tcPr>
            <w:tcW w:w="1384" w:type="dxa"/>
            <w:tcBorders>
              <w:top w:val="nil"/>
              <w:left w:val="nil"/>
              <w:bottom w:val="single" w:sz="4" w:space="0" w:color="auto"/>
              <w:right w:val="single" w:sz="4" w:space="0" w:color="auto"/>
            </w:tcBorders>
            <w:hideMark/>
          </w:tcPr>
          <w:p w14:paraId="6EC98205"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w:t>
            </w:r>
          </w:p>
        </w:tc>
        <w:tc>
          <w:tcPr>
            <w:tcW w:w="1034" w:type="dxa"/>
            <w:tcBorders>
              <w:top w:val="nil"/>
              <w:left w:val="nil"/>
              <w:bottom w:val="single" w:sz="4" w:space="0" w:color="auto"/>
              <w:right w:val="single" w:sz="4" w:space="0" w:color="auto"/>
            </w:tcBorders>
            <w:hideMark/>
          </w:tcPr>
          <w:p w14:paraId="438DDCDF"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val="en-ZA" w:eastAsia="en-US"/>
              </w:rPr>
              <w:t> </w:t>
            </w:r>
          </w:p>
        </w:tc>
        <w:tc>
          <w:tcPr>
            <w:tcW w:w="1375" w:type="dxa"/>
            <w:tcBorders>
              <w:top w:val="nil"/>
              <w:left w:val="nil"/>
              <w:bottom w:val="single" w:sz="4" w:space="0" w:color="auto"/>
              <w:right w:val="single" w:sz="8" w:space="0" w:color="auto"/>
            </w:tcBorders>
            <w:hideMark/>
          </w:tcPr>
          <w:p w14:paraId="345F35F2"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val="en-ZA" w:eastAsia="en-US"/>
              </w:rPr>
              <w:t> </w:t>
            </w:r>
          </w:p>
        </w:tc>
      </w:tr>
      <w:tr w:rsidR="009B0448" w:rsidRPr="009B0448" w14:paraId="4CFC640F" w14:textId="77777777" w:rsidTr="009B0448">
        <w:trPr>
          <w:trHeight w:val="1068"/>
        </w:trPr>
        <w:tc>
          <w:tcPr>
            <w:tcW w:w="9203" w:type="dxa"/>
            <w:vMerge/>
            <w:tcBorders>
              <w:top w:val="single" w:sz="8" w:space="0" w:color="auto"/>
              <w:left w:val="single" w:sz="8" w:space="0" w:color="auto"/>
              <w:bottom w:val="single" w:sz="8" w:space="0" w:color="000000"/>
              <w:right w:val="single" w:sz="4" w:space="0" w:color="auto"/>
            </w:tcBorders>
            <w:vAlign w:val="center"/>
            <w:hideMark/>
          </w:tcPr>
          <w:p w14:paraId="3AFCFA9B" w14:textId="77777777" w:rsidR="009B0448" w:rsidRPr="009B0448" w:rsidRDefault="009B0448">
            <w:pPr>
              <w:rPr>
                <w:rFonts w:ascii="Times New Roman" w:eastAsia="Times New Roman" w:hAnsi="Times New Roman" w:cs="Times New Roman"/>
                <w:lang w:val="en-ZA" w:eastAsia="en-US"/>
              </w:rPr>
            </w:pPr>
          </w:p>
        </w:tc>
        <w:tc>
          <w:tcPr>
            <w:tcW w:w="4099" w:type="dxa"/>
            <w:tcBorders>
              <w:top w:val="nil"/>
              <w:left w:val="nil"/>
              <w:bottom w:val="single" w:sz="8" w:space="0" w:color="auto"/>
              <w:right w:val="single" w:sz="4" w:space="0" w:color="auto"/>
            </w:tcBorders>
            <w:hideMark/>
          </w:tcPr>
          <w:p w14:paraId="1626CDA6"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Ecosystems in Protected areas, and more particularly in marine protected areas have shown a higher resilience capacity than the ones not protected or well managed. Efficient protection measures contribute to the maintenance of options</w:t>
            </w:r>
          </w:p>
        </w:tc>
        <w:tc>
          <w:tcPr>
            <w:tcW w:w="1384" w:type="dxa"/>
            <w:tcBorders>
              <w:top w:val="nil"/>
              <w:left w:val="nil"/>
              <w:bottom w:val="single" w:sz="8" w:space="0" w:color="auto"/>
              <w:right w:val="single" w:sz="4" w:space="0" w:color="auto"/>
            </w:tcBorders>
            <w:hideMark/>
          </w:tcPr>
          <w:p w14:paraId="69AC1BC4"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eastAsia="en-US"/>
              </w:rPr>
              <w:t> </w:t>
            </w:r>
          </w:p>
        </w:tc>
        <w:tc>
          <w:tcPr>
            <w:tcW w:w="1034" w:type="dxa"/>
            <w:tcBorders>
              <w:top w:val="nil"/>
              <w:left w:val="nil"/>
              <w:bottom w:val="single" w:sz="8" w:space="0" w:color="auto"/>
              <w:right w:val="single" w:sz="4" w:space="0" w:color="auto"/>
            </w:tcBorders>
            <w:hideMark/>
          </w:tcPr>
          <w:p w14:paraId="0AB20C77"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val="en-ZA" w:eastAsia="en-US"/>
              </w:rPr>
              <w:t> </w:t>
            </w:r>
          </w:p>
        </w:tc>
        <w:tc>
          <w:tcPr>
            <w:tcW w:w="1375" w:type="dxa"/>
            <w:tcBorders>
              <w:top w:val="nil"/>
              <w:left w:val="nil"/>
              <w:bottom w:val="single" w:sz="8" w:space="0" w:color="auto"/>
              <w:right w:val="single" w:sz="8" w:space="0" w:color="auto"/>
            </w:tcBorders>
            <w:hideMark/>
          </w:tcPr>
          <w:p w14:paraId="6B94F809" w14:textId="77777777" w:rsidR="009B0448" w:rsidRPr="009B0448" w:rsidRDefault="009B0448">
            <w:pPr>
              <w:spacing w:line="254" w:lineRule="auto"/>
              <w:rPr>
                <w:rFonts w:ascii="Times New Roman" w:eastAsia="Times New Roman" w:hAnsi="Times New Roman" w:cs="Times New Roman"/>
                <w:lang w:val="en-ZA" w:eastAsia="en-US"/>
              </w:rPr>
            </w:pPr>
            <w:r w:rsidRPr="009B0448">
              <w:rPr>
                <w:rFonts w:ascii="Times New Roman" w:eastAsia="Times New Roman" w:hAnsi="Times New Roman" w:cs="Times New Roman"/>
                <w:lang w:val="en-ZA" w:eastAsia="en-US"/>
              </w:rPr>
              <w:t> </w:t>
            </w:r>
          </w:p>
        </w:tc>
      </w:tr>
    </w:tbl>
    <w:p w14:paraId="099777C8" w14:textId="77777777" w:rsidR="009B0448" w:rsidRPr="009B0448" w:rsidRDefault="009B0448" w:rsidP="00FA7185">
      <w:pPr>
        <w:pStyle w:val="Heading3"/>
        <w:widowControl w:val="0"/>
        <w:numPr>
          <w:ilvl w:val="1"/>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58" w:name="_Toc519499804"/>
      <w:r w:rsidRPr="009B0448">
        <w:rPr>
          <w:rFonts w:eastAsia="Calibri" w:cs="Times New Roman"/>
          <w:szCs w:val="24"/>
        </w:rPr>
        <w:t>Values and valuation of nature’s contribution to people</w:t>
      </w:r>
      <w:bookmarkEnd w:id="57"/>
      <w:bookmarkEnd w:id="58"/>
    </w:p>
    <w:p w14:paraId="12DAEF74"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IPBES’s conceptual framework identified three major inclusive elements of the interaction between human societies and the non-human world. These elements are nature, nature’s contributions to people, and a good quality of life. This section focuses on the assessment of values attributed to nature’s contributions to people in Africa. The values that are attributed to nature’s contributions to people are both instrumental and </w:t>
      </w:r>
      <w:r w:rsidRPr="009B0448">
        <w:rPr>
          <w:rFonts w:ascii="Times New Roman" w:hAnsi="Times New Roman" w:cs="Times New Roman"/>
          <w:noProof/>
        </w:rPr>
        <w:t>relational</w:t>
      </w:r>
      <w:r w:rsidRPr="009B0448">
        <w:rPr>
          <w:rFonts w:ascii="Times New Roman" w:hAnsi="Times New Roman" w:cs="Times New Roman"/>
        </w:rPr>
        <w:t xml:space="preserve"> and include material contributions such as the provision of food and feeds, regulating contributions such as climate regulation and pollination, and non-material contributions linked to physical and psychological experiences. Figure 2.2 provides a summary representation of the relative proportion of material, non-material, and regulatory values attributed to nature’s contribution to people in different sub regions of Africa from the papers considered for </w:t>
      </w:r>
      <w:r w:rsidRPr="009B0448">
        <w:rPr>
          <w:rFonts w:ascii="Times New Roman" w:hAnsi="Times New Roman" w:cs="Times New Roman"/>
          <w:noProof/>
        </w:rPr>
        <w:t>the synthesis</w:t>
      </w:r>
      <w:r w:rsidRPr="009B0448">
        <w:rPr>
          <w:rFonts w:ascii="Times New Roman" w:hAnsi="Times New Roman" w:cs="Times New Roman"/>
        </w:rPr>
        <w:t xml:space="preserve"> of information on values of biodiversity in Africa.</w:t>
      </w:r>
    </w:p>
    <w:p w14:paraId="7420E6AA" w14:textId="77777777" w:rsidR="009B0448" w:rsidRPr="009B0448" w:rsidRDefault="009B0448" w:rsidP="009B0448">
      <w:pPr>
        <w:spacing w:line="276" w:lineRule="auto"/>
        <w:jc w:val="both"/>
        <w:rPr>
          <w:rFonts w:ascii="Times New Roman" w:hAnsi="Times New Roman" w:cs="Times New Roman"/>
        </w:rPr>
      </w:pPr>
    </w:p>
    <w:p w14:paraId="2D3E0A6F" w14:textId="3A87A292"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In many parts of the world, including Africa, perceptions of the values of nature and its contributions to a good quality of life </w:t>
      </w:r>
      <w:r w:rsidRPr="009B0448">
        <w:rPr>
          <w:rFonts w:ascii="Times New Roman" w:hAnsi="Times New Roman" w:cs="Times New Roman"/>
          <w:noProof/>
        </w:rPr>
        <w:t>differ</w:t>
      </w:r>
      <w:r w:rsidRPr="009B0448">
        <w:rPr>
          <w:rFonts w:ascii="Times New Roman" w:hAnsi="Times New Roman" w:cs="Times New Roman"/>
        </w:rPr>
        <w:t xml:space="preserve"> and often result in conflicting views depending on the cultural or institutional setting. This implies that various environmental decision-making efforts would have different implications in different settings, but in reality, independent values are seldom recognised or explicitly taken into account. It thus becomes important that in this assessment (and others), the diversity of perceived values from nature's contributions to people are clearly understood, and not simply ignored or misrepresented at regional and </w:t>
      </w:r>
      <w:r w:rsidR="00B22D81">
        <w:rPr>
          <w:rFonts w:ascii="Times New Roman" w:hAnsi="Times New Roman" w:cs="Times New Roman"/>
        </w:rPr>
        <w:t>subregion</w:t>
      </w:r>
      <w:r w:rsidRPr="009B0448">
        <w:rPr>
          <w:rFonts w:ascii="Times New Roman" w:hAnsi="Times New Roman" w:cs="Times New Roman"/>
        </w:rPr>
        <w:t xml:space="preserve">al level. </w:t>
      </w:r>
    </w:p>
    <w:p w14:paraId="402315C6" w14:textId="77777777" w:rsidR="009B0448" w:rsidRPr="009B0448" w:rsidRDefault="009B0448" w:rsidP="009B0448">
      <w:pPr>
        <w:spacing w:line="276" w:lineRule="auto"/>
        <w:jc w:val="both"/>
        <w:rPr>
          <w:rFonts w:ascii="Times New Roman" w:hAnsi="Times New Roman" w:cs="Times New Roman"/>
        </w:rPr>
      </w:pPr>
    </w:p>
    <w:p w14:paraId="3333EA19" w14:textId="0594355D" w:rsid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szCs w:val="20"/>
        </w:rPr>
        <w:t xml:space="preserve">Accounting for the value of nature’s contributions to people is challenging in part because nature’s contributions to people are often not traded and in part because there are very few formal valuation studies of nature and its contributions to people on the continent of Africa. The extent and quantity of existing valuation studies in Africa is unfortunately limited in geographical scope and types of ecosystems covered </w:t>
      </w:r>
      <w:r w:rsidRPr="009B0448">
        <w:rPr>
          <w:rFonts w:ascii="Times New Roman" w:hAnsi="Times New Roman" w:cs="Times New Roman"/>
        </w:rPr>
        <w:t xml:space="preserve">(e.g., Turpie </w:t>
      </w:r>
      <w:r w:rsidRPr="009B0448">
        <w:rPr>
          <w:rFonts w:ascii="Times New Roman" w:hAnsi="Times New Roman" w:cs="Times New Roman"/>
          <w:i/>
        </w:rPr>
        <w:t>et al.</w:t>
      </w:r>
      <w:r w:rsidRPr="009B0448">
        <w:rPr>
          <w:rFonts w:ascii="Times New Roman" w:hAnsi="Times New Roman" w:cs="Times New Roman"/>
        </w:rPr>
        <w:t xml:space="preserve">, 1999; Naidoo </w:t>
      </w:r>
      <w:r w:rsidRPr="009B0448">
        <w:rPr>
          <w:rFonts w:ascii="Times New Roman" w:hAnsi="Times New Roman" w:cs="Times New Roman"/>
          <w:i/>
        </w:rPr>
        <w:t>et al.</w:t>
      </w:r>
      <w:r w:rsidRPr="009B0448">
        <w:rPr>
          <w:rFonts w:ascii="Times New Roman" w:hAnsi="Times New Roman" w:cs="Times New Roman"/>
        </w:rPr>
        <w:t xml:space="preserve">, 2005; Bignaut </w:t>
      </w:r>
      <w:r w:rsidRPr="009B0448">
        <w:rPr>
          <w:rFonts w:ascii="Times New Roman" w:hAnsi="Times New Roman" w:cs="Times New Roman"/>
          <w:i/>
        </w:rPr>
        <w:t>et al.</w:t>
      </w:r>
      <w:r w:rsidRPr="009B0448">
        <w:rPr>
          <w:rFonts w:ascii="Times New Roman" w:hAnsi="Times New Roman" w:cs="Times New Roman"/>
        </w:rPr>
        <w:t xml:space="preserve">, 2008; O’Farrell </w:t>
      </w:r>
      <w:r w:rsidRPr="009B0448">
        <w:rPr>
          <w:rFonts w:ascii="Times New Roman" w:hAnsi="Times New Roman" w:cs="Times New Roman"/>
          <w:i/>
        </w:rPr>
        <w:t>et al.</w:t>
      </w:r>
      <w:r w:rsidRPr="009B0448">
        <w:rPr>
          <w:rFonts w:ascii="Times New Roman" w:hAnsi="Times New Roman" w:cs="Times New Roman"/>
        </w:rPr>
        <w:t xml:space="preserve">, </w:t>
      </w:r>
      <w:r w:rsidRPr="009B0448">
        <w:rPr>
          <w:rFonts w:ascii="Times New Roman" w:hAnsi="Times New Roman" w:cs="Times New Roman"/>
        </w:rPr>
        <w:lastRenderedPageBreak/>
        <w:t xml:space="preserve">2011; Egoh </w:t>
      </w:r>
      <w:r w:rsidRPr="009B0448">
        <w:rPr>
          <w:rFonts w:ascii="Times New Roman" w:hAnsi="Times New Roman" w:cs="Times New Roman"/>
          <w:i/>
        </w:rPr>
        <w:t>et al.</w:t>
      </w:r>
      <w:r w:rsidRPr="009B0448">
        <w:rPr>
          <w:rFonts w:ascii="Times New Roman" w:hAnsi="Times New Roman" w:cs="Times New Roman"/>
        </w:rPr>
        <w:t xml:space="preserve">, 2012; Failler </w:t>
      </w:r>
      <w:r w:rsidRPr="009B0448">
        <w:rPr>
          <w:rFonts w:ascii="Times New Roman" w:hAnsi="Times New Roman" w:cs="Times New Roman"/>
          <w:i/>
        </w:rPr>
        <w:t>et al.</w:t>
      </w:r>
      <w:r w:rsidRPr="009B0448">
        <w:rPr>
          <w:rFonts w:ascii="Times New Roman" w:hAnsi="Times New Roman" w:cs="Times New Roman"/>
        </w:rPr>
        <w:t xml:space="preserve">, 2012; Failler, 2016). This chapter summarises findings from major </w:t>
      </w:r>
      <w:r w:rsidRPr="009B0448">
        <w:rPr>
          <w:rFonts w:ascii="Times New Roman" w:hAnsi="Times New Roman" w:cs="Times New Roman"/>
          <w:noProof/>
        </w:rPr>
        <w:t>studies</w:t>
      </w:r>
      <w:r w:rsidRPr="009B0448">
        <w:rPr>
          <w:rFonts w:ascii="Times New Roman" w:hAnsi="Times New Roman" w:cs="Times New Roman"/>
        </w:rPr>
        <w:t xml:space="preserve"> and assessments that have been carried out to date.</w:t>
      </w:r>
    </w:p>
    <w:p w14:paraId="41A536CB" w14:textId="77777777" w:rsidR="00730577" w:rsidRPr="009B0448" w:rsidRDefault="00730577" w:rsidP="009B0448">
      <w:pPr>
        <w:spacing w:line="276" w:lineRule="auto"/>
        <w:jc w:val="both"/>
        <w:rPr>
          <w:rFonts w:ascii="Times New Roman" w:hAnsi="Times New Roman" w:cs="Times New Roman"/>
        </w:rPr>
      </w:pPr>
    </w:p>
    <w:p w14:paraId="69A88BB5" w14:textId="21CFF2E0" w:rsidR="009B0448" w:rsidRPr="009B0448" w:rsidRDefault="009B0448" w:rsidP="009B0448">
      <w:pPr>
        <w:spacing w:line="276" w:lineRule="auto"/>
        <w:jc w:val="center"/>
        <w:rPr>
          <w:rFonts w:ascii="Times New Roman" w:hAnsi="Times New Roman" w:cs="Times New Roman"/>
        </w:rPr>
      </w:pPr>
      <w:r w:rsidRPr="009B0448">
        <w:rPr>
          <w:rFonts w:ascii="Times New Roman" w:hAnsi="Times New Roman" w:cs="Times New Roman"/>
          <w:noProof/>
          <w:lang w:eastAsia="en-GB"/>
        </w:rPr>
        <w:drawing>
          <wp:inline distT="0" distB="0" distL="0" distR="0" wp14:anchorId="0EC5DD21" wp14:editId="4DB95158">
            <wp:extent cx="5737860" cy="5554980"/>
            <wp:effectExtent l="0" t="0" r="0" b="762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737860" cy="5554980"/>
                    </a:xfrm>
                    <a:prstGeom prst="rect">
                      <a:avLst/>
                    </a:prstGeom>
                    <a:noFill/>
                    <a:ln>
                      <a:noFill/>
                    </a:ln>
                  </pic:spPr>
                </pic:pic>
              </a:graphicData>
            </a:graphic>
          </wp:inline>
        </w:drawing>
      </w:r>
    </w:p>
    <w:p w14:paraId="02049BAA"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Figure 2.2:</w:t>
      </w:r>
      <w:r w:rsidRPr="009B0448">
        <w:rPr>
          <w:rFonts w:ascii="Times New Roman" w:hAnsi="Times New Roman" w:cs="Times New Roman"/>
        </w:rPr>
        <w:t xml:space="preserve"> Values representation per subregion and targeted nature’s contributions to people. Source: see Appendix AfRA 2.1; Available at </w:t>
      </w:r>
      <w:hyperlink r:id="rId391" w:history="1">
        <w:r w:rsidRPr="009B0448">
          <w:rPr>
            <w:rStyle w:val="Hyperlink"/>
            <w:rFonts w:ascii="Times New Roman" w:hAnsi="Times New Roman" w:cs="Times New Roman"/>
          </w:rPr>
          <w:t>https://www.ipbes.net/node/add/supporting-material</w:t>
        </w:r>
      </w:hyperlink>
      <w:r w:rsidRPr="009B0448">
        <w:rPr>
          <w:rFonts w:ascii="Times New Roman" w:hAnsi="Times New Roman" w:cs="Times New Roman"/>
        </w:rPr>
        <w:t xml:space="preserve"> </w:t>
      </w:r>
    </w:p>
    <w:p w14:paraId="05D4745F" w14:textId="77777777" w:rsidR="009B0448" w:rsidRPr="009B0448" w:rsidRDefault="009B0448" w:rsidP="009B0448">
      <w:pPr>
        <w:spacing w:line="276" w:lineRule="auto"/>
        <w:jc w:val="both"/>
        <w:rPr>
          <w:rFonts w:ascii="Times New Roman" w:hAnsi="Times New Roman" w:cs="Times New Roman"/>
        </w:rPr>
      </w:pPr>
    </w:p>
    <w:p w14:paraId="4281090D"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Along with the spatially explicit ecosystem service research in Africa, pragmatic approaches to ecosystem service valuation have been suggested by Failler </w:t>
      </w:r>
      <w:r w:rsidRPr="009B0448">
        <w:rPr>
          <w:rFonts w:ascii="Times New Roman" w:hAnsi="Times New Roman" w:cs="Times New Roman"/>
          <w:i/>
        </w:rPr>
        <w:t>et al.</w:t>
      </w:r>
      <w:r w:rsidRPr="009B0448">
        <w:rPr>
          <w:rFonts w:ascii="Times New Roman" w:hAnsi="Times New Roman" w:cs="Times New Roman"/>
        </w:rPr>
        <w:t xml:space="preserve"> (2009) and O’Farrell </w:t>
      </w:r>
      <w:r w:rsidRPr="009B0448">
        <w:rPr>
          <w:rFonts w:ascii="Times New Roman" w:hAnsi="Times New Roman" w:cs="Times New Roman"/>
          <w:i/>
        </w:rPr>
        <w:t>et al.</w:t>
      </w:r>
      <w:r w:rsidRPr="009B0448">
        <w:rPr>
          <w:rFonts w:ascii="Times New Roman" w:hAnsi="Times New Roman" w:cs="Times New Roman"/>
        </w:rPr>
        <w:t xml:space="preserve"> (2011), and in their guidelines for the estimation of coastal and marine ecosystem services valuation. O’Farrell </w:t>
      </w:r>
      <w:r w:rsidRPr="009B0448">
        <w:rPr>
          <w:rFonts w:ascii="Times New Roman" w:hAnsi="Times New Roman" w:cs="Times New Roman"/>
          <w:i/>
        </w:rPr>
        <w:t>et al.</w:t>
      </w:r>
      <w:r w:rsidRPr="009B0448">
        <w:rPr>
          <w:rFonts w:ascii="Times New Roman" w:hAnsi="Times New Roman" w:cs="Times New Roman"/>
        </w:rPr>
        <w:t xml:space="preserve"> (2011) estimated grazing values in the Succulent Karoo of South Africa at a range of $19 to $114 million, tourism activities from $2 to $20 million; and services linked to water from $300 to 3120 million. Failler </w:t>
      </w:r>
      <w:r w:rsidRPr="009B0448">
        <w:rPr>
          <w:rFonts w:ascii="Times New Roman" w:hAnsi="Times New Roman" w:cs="Times New Roman"/>
          <w:i/>
        </w:rPr>
        <w:t>et al.</w:t>
      </w:r>
      <w:r w:rsidRPr="009B0448">
        <w:rPr>
          <w:rFonts w:ascii="Times New Roman" w:hAnsi="Times New Roman" w:cs="Times New Roman"/>
        </w:rPr>
        <w:t xml:space="preserve"> (2009) have estimated the total economic value of ecosystem services of marine protected areas in West Africa at $30,000/km</w:t>
      </w:r>
      <w:r w:rsidRPr="009B0448">
        <w:rPr>
          <w:rFonts w:ascii="Times New Roman" w:hAnsi="Times New Roman" w:cs="Times New Roman"/>
          <w:vertAlign w:val="superscript"/>
        </w:rPr>
        <w:t>2</w:t>
      </w:r>
      <w:r w:rsidRPr="009B0448">
        <w:rPr>
          <w:rFonts w:ascii="Times New Roman" w:hAnsi="Times New Roman" w:cs="Times New Roman"/>
        </w:rPr>
        <w:t xml:space="preserve"> (Section 2.4.2.1). More recently, Failler (2016; 2017a &amp; b) has provided, for UNEP, an estimate of African coastal and marine ecosystem services values. These estimates are presented in</w:t>
      </w:r>
      <w:r w:rsidRPr="009B0448">
        <w:rPr>
          <w:rFonts w:ascii="Times New Roman" w:hAnsi="Times New Roman" w:cs="Times New Roman"/>
          <w:noProof/>
        </w:rPr>
        <w:t xml:space="preserve"> figure</w:t>
      </w:r>
      <w:r w:rsidRPr="009B0448">
        <w:rPr>
          <w:rFonts w:ascii="Times New Roman" w:hAnsi="Times New Roman" w:cs="Times New Roman"/>
        </w:rPr>
        <w:t xml:space="preserve"> 2.3 alongside with other ecosystem services values. </w:t>
      </w:r>
    </w:p>
    <w:p w14:paraId="6B450C74" w14:textId="77777777" w:rsidR="009B0448" w:rsidRPr="009B0448" w:rsidRDefault="009B0448" w:rsidP="009B0448">
      <w:pPr>
        <w:spacing w:line="276" w:lineRule="auto"/>
        <w:jc w:val="both"/>
        <w:rPr>
          <w:rFonts w:ascii="Times New Roman" w:hAnsi="Times New Roman" w:cs="Times New Roman"/>
          <w:sz w:val="20"/>
          <w:szCs w:val="20"/>
        </w:rPr>
      </w:pPr>
    </w:p>
    <w:p w14:paraId="52FBBFC4" w14:textId="4F77E7C2" w:rsidR="009B0448" w:rsidRPr="009B0448" w:rsidRDefault="009B0448" w:rsidP="009B0448">
      <w:pPr>
        <w:jc w:val="center"/>
        <w:rPr>
          <w:rFonts w:ascii="Times New Roman" w:hAnsi="Times New Roman" w:cs="Times New Roman"/>
        </w:rPr>
      </w:pPr>
      <w:r w:rsidRPr="009B0448">
        <w:rPr>
          <w:rFonts w:ascii="Times New Roman" w:hAnsi="Times New Roman" w:cs="Times New Roman"/>
          <w:noProof/>
          <w:lang w:eastAsia="en-GB"/>
        </w:rPr>
        <w:lastRenderedPageBreak/>
        <w:drawing>
          <wp:inline distT="0" distB="0" distL="0" distR="0" wp14:anchorId="57C10278" wp14:editId="018FE5CD">
            <wp:extent cx="5652492" cy="5250180"/>
            <wp:effectExtent l="0" t="0" r="5715" b="762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2">
                      <a:extLst>
                        <a:ext uri="{28A0092B-C50C-407E-A947-70E740481C1C}">
                          <a14:useLocalDpi xmlns:a14="http://schemas.microsoft.com/office/drawing/2010/main" val="0"/>
                        </a:ext>
                      </a:extLst>
                    </a:blip>
                    <a:stretch>
                      <a:fillRect/>
                    </a:stretch>
                  </pic:blipFill>
                  <pic:spPr bwMode="auto">
                    <a:xfrm>
                      <a:off x="0" y="0"/>
                      <a:ext cx="5652492" cy="5250180"/>
                    </a:xfrm>
                    <a:prstGeom prst="rect">
                      <a:avLst/>
                    </a:prstGeom>
                    <a:noFill/>
                    <a:ln>
                      <a:noFill/>
                    </a:ln>
                  </pic:spPr>
                </pic:pic>
              </a:graphicData>
            </a:graphic>
          </wp:inline>
        </w:drawing>
      </w:r>
    </w:p>
    <w:p w14:paraId="1EF8A556" w14:textId="44F56372"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Figure 2.3:</w:t>
      </w:r>
      <w:r w:rsidRPr="009B0448">
        <w:rPr>
          <w:rFonts w:ascii="Times New Roman" w:hAnsi="Times New Roman" w:cs="Times New Roman"/>
        </w:rPr>
        <w:t xml:space="preserve"> Indicative lists of economic values of nature’s contributions to people in Africa. Sample values of some ecosystem services in selected ecosystems (freshwater, marine and coastal areas and forests) in Africa. Apart from fishery and blue carbon values, data comes from various sources, with methodological differences, which means comparisons of values between subregions or ecosystems is not currently possible. </w:t>
      </w:r>
      <w:r w:rsidRPr="009B0448">
        <w:rPr>
          <w:rFonts w:ascii="Times New Roman" w:hAnsi="Times New Roman" w:cs="Times New Roman"/>
          <w:lang w:val="en-ZA"/>
        </w:rPr>
        <w:t xml:space="preserve">Source: Map layers: Olson </w:t>
      </w:r>
      <w:r w:rsidRPr="009B0448">
        <w:rPr>
          <w:rFonts w:ascii="Times New Roman" w:hAnsi="Times New Roman" w:cs="Times New Roman"/>
          <w:i/>
          <w:iCs/>
          <w:lang w:val="en-ZA"/>
        </w:rPr>
        <w:t>et al</w:t>
      </w:r>
      <w:r w:rsidRPr="009B0448">
        <w:rPr>
          <w:rFonts w:ascii="Times New Roman" w:hAnsi="Times New Roman" w:cs="Times New Roman"/>
          <w:lang w:val="en-ZA"/>
        </w:rPr>
        <w:t xml:space="preserve">. (2001); Sample value: (a) </w:t>
      </w:r>
      <w:r w:rsidRPr="009B0448">
        <w:rPr>
          <w:rFonts w:ascii="Times New Roman" w:hAnsi="Times New Roman" w:cs="Times New Roman"/>
          <w:b/>
          <w:bCs/>
          <w:lang w:val="en-ZA"/>
        </w:rPr>
        <w:t>North Africa:</w:t>
      </w:r>
      <w:r w:rsidRPr="009B0448">
        <w:rPr>
          <w:rFonts w:ascii="Times New Roman" w:hAnsi="Times New Roman" w:cs="Times New Roman"/>
          <w:lang w:val="en-ZA"/>
        </w:rPr>
        <w:t xml:space="preserve"> Marine and Coastal fishery value added</w:t>
      </w:r>
      <w:r w:rsidR="006E42B1">
        <w:rPr>
          <w:rFonts w:ascii="Times New Roman" w:hAnsi="Times New Roman" w:cs="Times New Roman"/>
          <w:lang w:val="en-ZA"/>
        </w:rPr>
        <w:t xml:space="preserve"> (FAO FISHSTAT, </w:t>
      </w:r>
      <w:r w:rsidRPr="009B0448">
        <w:rPr>
          <w:rFonts w:ascii="Times New Roman" w:hAnsi="Times New Roman" w:cs="Times New Roman"/>
          <w:lang w:val="en-ZA"/>
        </w:rPr>
        <w:t>2017</w:t>
      </w:r>
      <w:r w:rsidR="006E42B1">
        <w:rPr>
          <w:rFonts w:ascii="Times New Roman" w:hAnsi="Times New Roman" w:cs="Times New Roman"/>
          <w:lang w:val="en-ZA"/>
        </w:rPr>
        <w:t>)</w:t>
      </w:r>
      <w:r w:rsidRPr="009B0448">
        <w:rPr>
          <w:rFonts w:ascii="Times New Roman" w:hAnsi="Times New Roman" w:cs="Times New Roman"/>
          <w:lang w:val="en-ZA"/>
        </w:rPr>
        <w:t xml:space="preserve">; Carbon sequestration (Canu </w:t>
      </w:r>
      <w:r w:rsidRPr="009B0448">
        <w:rPr>
          <w:rFonts w:ascii="Times New Roman" w:hAnsi="Times New Roman" w:cs="Times New Roman"/>
          <w:i/>
          <w:iCs/>
          <w:lang w:val="en-ZA"/>
        </w:rPr>
        <w:t>et al</w:t>
      </w:r>
      <w:r w:rsidR="006E42B1">
        <w:rPr>
          <w:rFonts w:ascii="Times New Roman" w:hAnsi="Times New Roman" w:cs="Times New Roman"/>
          <w:lang w:val="en-ZA"/>
        </w:rPr>
        <w:t xml:space="preserve">., </w:t>
      </w:r>
      <w:r w:rsidRPr="009B0448">
        <w:rPr>
          <w:rFonts w:ascii="Times New Roman" w:hAnsi="Times New Roman" w:cs="Times New Roman"/>
          <w:lang w:val="en-ZA"/>
        </w:rPr>
        <w:t>2015</w:t>
      </w:r>
      <w:r w:rsidR="006E42B1">
        <w:rPr>
          <w:rFonts w:ascii="Times New Roman" w:hAnsi="Times New Roman" w:cs="Times New Roman"/>
          <w:lang w:val="en-ZA"/>
        </w:rPr>
        <w:t>)</w:t>
      </w:r>
      <w:r w:rsidRPr="009B0448">
        <w:rPr>
          <w:rFonts w:ascii="Times New Roman" w:hAnsi="Times New Roman" w:cs="Times New Roman"/>
          <w:lang w:val="en-ZA"/>
        </w:rPr>
        <w:t xml:space="preserve">; Inland waters (de Graaf </w:t>
      </w:r>
      <w:r w:rsidRPr="009B0448">
        <w:rPr>
          <w:rFonts w:ascii="Times New Roman" w:hAnsi="Times New Roman" w:cs="Times New Roman"/>
          <w:i/>
          <w:iCs/>
          <w:lang w:val="en-ZA"/>
        </w:rPr>
        <w:t>et al</w:t>
      </w:r>
      <w:r w:rsidR="006E42B1">
        <w:rPr>
          <w:rFonts w:ascii="Times New Roman" w:hAnsi="Times New Roman" w:cs="Times New Roman"/>
          <w:lang w:val="en-ZA"/>
        </w:rPr>
        <w:t xml:space="preserve">., </w:t>
      </w:r>
      <w:r w:rsidRPr="009B0448">
        <w:rPr>
          <w:rFonts w:ascii="Times New Roman" w:hAnsi="Times New Roman" w:cs="Times New Roman"/>
          <w:lang w:val="en-ZA"/>
        </w:rPr>
        <w:t>2014</w:t>
      </w:r>
      <w:r w:rsidR="006E42B1">
        <w:rPr>
          <w:rFonts w:ascii="Times New Roman" w:hAnsi="Times New Roman" w:cs="Times New Roman"/>
          <w:lang w:val="en-ZA"/>
        </w:rPr>
        <w:t xml:space="preserve">); Forest (Daly, </w:t>
      </w:r>
      <w:r w:rsidRPr="009B0448">
        <w:rPr>
          <w:rFonts w:ascii="Times New Roman" w:hAnsi="Times New Roman" w:cs="Times New Roman"/>
          <w:lang w:val="en-ZA"/>
        </w:rPr>
        <w:t>2016</w:t>
      </w:r>
      <w:r w:rsidR="006E42B1">
        <w:rPr>
          <w:rFonts w:ascii="Times New Roman" w:hAnsi="Times New Roman" w:cs="Times New Roman"/>
          <w:lang w:val="en-ZA"/>
        </w:rPr>
        <w:t>)</w:t>
      </w:r>
      <w:r w:rsidRPr="009B0448">
        <w:rPr>
          <w:rFonts w:ascii="Times New Roman" w:hAnsi="Times New Roman" w:cs="Times New Roman"/>
          <w:lang w:val="en-ZA"/>
        </w:rPr>
        <w:t xml:space="preserve">; (b) </w:t>
      </w:r>
      <w:r w:rsidRPr="009B0448">
        <w:rPr>
          <w:rFonts w:ascii="Times New Roman" w:hAnsi="Times New Roman" w:cs="Times New Roman"/>
          <w:b/>
          <w:bCs/>
          <w:lang w:val="en-ZA"/>
        </w:rPr>
        <w:t>West Africa:</w:t>
      </w:r>
      <w:r w:rsidR="006E42B1">
        <w:rPr>
          <w:rFonts w:ascii="Times New Roman" w:hAnsi="Times New Roman" w:cs="Times New Roman"/>
          <w:lang w:val="en-ZA"/>
        </w:rPr>
        <w:t xml:space="preserve"> Marine and Coastal (Failler, </w:t>
      </w:r>
      <w:r w:rsidRPr="009B0448">
        <w:rPr>
          <w:rFonts w:ascii="Times New Roman" w:hAnsi="Times New Roman" w:cs="Times New Roman"/>
          <w:lang w:val="en-ZA"/>
        </w:rPr>
        <w:t>2016</w:t>
      </w:r>
      <w:r w:rsidR="006E42B1">
        <w:rPr>
          <w:rFonts w:ascii="Times New Roman" w:hAnsi="Times New Roman" w:cs="Times New Roman"/>
          <w:lang w:val="en-ZA"/>
        </w:rPr>
        <w:t>)</w:t>
      </w:r>
      <w:r w:rsidRPr="009B0448">
        <w:rPr>
          <w:rFonts w:ascii="Times New Roman" w:hAnsi="Times New Roman" w:cs="Times New Roman"/>
          <w:lang w:val="en-ZA"/>
        </w:rPr>
        <w:t xml:space="preserve">, Wetlands (Failler </w:t>
      </w:r>
      <w:r w:rsidRPr="009B0448">
        <w:rPr>
          <w:rFonts w:ascii="Times New Roman" w:hAnsi="Times New Roman" w:cs="Times New Roman"/>
          <w:i/>
          <w:iCs/>
          <w:lang w:val="en-ZA"/>
        </w:rPr>
        <w:t>et al</w:t>
      </w:r>
      <w:r w:rsidRPr="009B0448">
        <w:rPr>
          <w:rFonts w:ascii="Times New Roman" w:hAnsi="Times New Roman" w:cs="Times New Roman"/>
          <w:lang w:val="en-ZA"/>
        </w:rPr>
        <w:t>. (2012</w:t>
      </w:r>
      <w:r w:rsidR="006E42B1">
        <w:rPr>
          <w:rFonts w:ascii="Times New Roman" w:hAnsi="Times New Roman" w:cs="Times New Roman"/>
          <w:lang w:val="en-ZA"/>
        </w:rPr>
        <w:t>)</w:t>
      </w:r>
      <w:r w:rsidRPr="009B0448">
        <w:rPr>
          <w:rFonts w:ascii="Times New Roman" w:hAnsi="Times New Roman" w:cs="Times New Roman"/>
          <w:lang w:val="en-ZA"/>
        </w:rPr>
        <w:t xml:space="preserve">; Inland waters (Acharya </w:t>
      </w:r>
      <w:r w:rsidRPr="009B0448">
        <w:rPr>
          <w:rFonts w:ascii="Times New Roman" w:hAnsi="Times New Roman" w:cs="Times New Roman"/>
          <w:i/>
          <w:iCs/>
          <w:lang w:val="en-ZA"/>
        </w:rPr>
        <w:t>et al</w:t>
      </w:r>
      <w:r w:rsidRPr="009B0448">
        <w:rPr>
          <w:rFonts w:ascii="Times New Roman" w:hAnsi="Times New Roman" w:cs="Times New Roman"/>
          <w:lang w:val="en-ZA"/>
        </w:rPr>
        <w:t>. (2000</w:t>
      </w:r>
      <w:r w:rsidR="006E42B1">
        <w:rPr>
          <w:rFonts w:ascii="Times New Roman" w:hAnsi="Times New Roman" w:cs="Times New Roman"/>
          <w:lang w:val="en-ZA"/>
        </w:rPr>
        <w:t>)</w:t>
      </w:r>
      <w:r w:rsidRPr="009B0448">
        <w:rPr>
          <w:rFonts w:ascii="Times New Roman" w:hAnsi="Times New Roman" w:cs="Times New Roman"/>
          <w:lang w:val="en-ZA"/>
        </w:rPr>
        <w:t xml:space="preserve">; (c) </w:t>
      </w:r>
      <w:r w:rsidRPr="009B0448">
        <w:rPr>
          <w:rFonts w:ascii="Times New Roman" w:hAnsi="Times New Roman" w:cs="Times New Roman"/>
          <w:b/>
          <w:bCs/>
          <w:lang w:val="en-ZA"/>
        </w:rPr>
        <w:t>Central Africa:</w:t>
      </w:r>
      <w:r w:rsidRPr="009B0448">
        <w:rPr>
          <w:rFonts w:ascii="Times New Roman" w:hAnsi="Times New Roman" w:cs="Times New Roman"/>
          <w:lang w:val="en-ZA"/>
        </w:rPr>
        <w:t xml:space="preserve"> Marine and Coastal (Failler </w:t>
      </w:r>
      <w:r w:rsidRPr="009B0448">
        <w:rPr>
          <w:rFonts w:ascii="Times New Roman" w:hAnsi="Times New Roman" w:cs="Times New Roman"/>
          <w:i/>
          <w:iCs/>
          <w:lang w:val="en-ZA"/>
        </w:rPr>
        <w:t>et al</w:t>
      </w:r>
      <w:r w:rsidR="006E42B1">
        <w:rPr>
          <w:rFonts w:ascii="Times New Roman" w:hAnsi="Times New Roman" w:cs="Times New Roman"/>
          <w:lang w:val="en-ZA"/>
        </w:rPr>
        <w:t xml:space="preserve">., </w:t>
      </w:r>
      <w:r w:rsidRPr="009B0448">
        <w:rPr>
          <w:rFonts w:ascii="Times New Roman" w:hAnsi="Times New Roman" w:cs="Times New Roman"/>
          <w:lang w:val="en-ZA"/>
        </w:rPr>
        <w:t>2017a</w:t>
      </w:r>
      <w:r w:rsidR="006E42B1">
        <w:rPr>
          <w:rFonts w:ascii="Times New Roman" w:hAnsi="Times New Roman" w:cs="Times New Roman"/>
          <w:lang w:val="en-ZA"/>
        </w:rPr>
        <w:t>)</w:t>
      </w:r>
      <w:r w:rsidRPr="009B0448">
        <w:rPr>
          <w:rFonts w:ascii="Times New Roman" w:hAnsi="Times New Roman" w:cs="Times New Roman"/>
          <w:lang w:val="en-ZA"/>
        </w:rPr>
        <w:t xml:space="preserve">, Wetlands (Failler </w:t>
      </w:r>
      <w:r w:rsidRPr="009B0448">
        <w:rPr>
          <w:rFonts w:ascii="Times New Roman" w:hAnsi="Times New Roman" w:cs="Times New Roman"/>
          <w:i/>
          <w:iCs/>
          <w:lang w:val="en-ZA"/>
        </w:rPr>
        <w:t>et al</w:t>
      </w:r>
      <w:r w:rsidRPr="009B0448">
        <w:rPr>
          <w:rFonts w:ascii="Times New Roman" w:hAnsi="Times New Roman" w:cs="Times New Roman"/>
          <w:lang w:val="en-ZA"/>
        </w:rPr>
        <w:t>.</w:t>
      </w:r>
      <w:r w:rsidR="006E42B1">
        <w:rPr>
          <w:rFonts w:ascii="Times New Roman" w:hAnsi="Times New Roman" w:cs="Times New Roman"/>
          <w:lang w:val="en-ZA"/>
        </w:rPr>
        <w:t xml:space="preserve">, </w:t>
      </w:r>
      <w:r w:rsidRPr="009B0448">
        <w:rPr>
          <w:rFonts w:ascii="Times New Roman" w:hAnsi="Times New Roman" w:cs="Times New Roman"/>
          <w:lang w:val="en-ZA"/>
        </w:rPr>
        <w:t>2017b</w:t>
      </w:r>
      <w:r w:rsidR="006E42B1">
        <w:rPr>
          <w:rFonts w:ascii="Times New Roman" w:hAnsi="Times New Roman" w:cs="Times New Roman"/>
          <w:lang w:val="en-ZA"/>
        </w:rPr>
        <w:t>)</w:t>
      </w:r>
      <w:r w:rsidRPr="009B0448">
        <w:rPr>
          <w:rFonts w:ascii="Times New Roman" w:hAnsi="Times New Roman" w:cs="Times New Roman"/>
          <w:lang w:val="en-ZA"/>
        </w:rPr>
        <w:t xml:space="preserve">, Inland waters (de Graaf </w:t>
      </w:r>
      <w:r w:rsidRPr="009B0448">
        <w:rPr>
          <w:rFonts w:ascii="Times New Roman" w:hAnsi="Times New Roman" w:cs="Times New Roman"/>
          <w:i/>
          <w:iCs/>
          <w:lang w:val="en-ZA"/>
        </w:rPr>
        <w:t>et al</w:t>
      </w:r>
      <w:r w:rsidRPr="009B0448">
        <w:rPr>
          <w:rFonts w:ascii="Times New Roman" w:hAnsi="Times New Roman" w:cs="Times New Roman"/>
          <w:lang w:val="en-ZA"/>
        </w:rPr>
        <w:t>.</w:t>
      </w:r>
      <w:r w:rsidR="006E42B1">
        <w:rPr>
          <w:rFonts w:ascii="Times New Roman" w:hAnsi="Times New Roman" w:cs="Times New Roman"/>
          <w:lang w:val="en-ZA"/>
        </w:rPr>
        <w:t>,</w:t>
      </w:r>
      <w:r w:rsidRPr="009B0448">
        <w:rPr>
          <w:rFonts w:ascii="Times New Roman" w:hAnsi="Times New Roman" w:cs="Times New Roman"/>
          <w:lang w:val="en-ZA"/>
        </w:rPr>
        <w:t xml:space="preserve"> 2014</w:t>
      </w:r>
      <w:r w:rsidR="006E42B1">
        <w:rPr>
          <w:rFonts w:ascii="Times New Roman" w:hAnsi="Times New Roman" w:cs="Times New Roman"/>
          <w:lang w:val="en-ZA"/>
        </w:rPr>
        <w:t xml:space="preserve">), Forest (Yaron, </w:t>
      </w:r>
      <w:r w:rsidRPr="009B0448">
        <w:rPr>
          <w:rFonts w:ascii="Times New Roman" w:hAnsi="Times New Roman" w:cs="Times New Roman"/>
          <w:lang w:val="en-ZA"/>
        </w:rPr>
        <w:t>2001</w:t>
      </w:r>
      <w:r w:rsidR="006E42B1">
        <w:rPr>
          <w:rFonts w:ascii="Times New Roman" w:hAnsi="Times New Roman" w:cs="Times New Roman"/>
          <w:lang w:val="en-ZA"/>
        </w:rPr>
        <w:t>)</w:t>
      </w:r>
      <w:r w:rsidRPr="009B0448">
        <w:rPr>
          <w:rFonts w:ascii="Times New Roman" w:hAnsi="Times New Roman" w:cs="Times New Roman"/>
          <w:lang w:val="en-ZA"/>
        </w:rPr>
        <w:t xml:space="preserve">; (d) </w:t>
      </w:r>
      <w:r w:rsidRPr="009B0448">
        <w:rPr>
          <w:rFonts w:ascii="Times New Roman" w:hAnsi="Times New Roman" w:cs="Times New Roman"/>
          <w:b/>
          <w:bCs/>
          <w:lang w:val="en-ZA"/>
        </w:rPr>
        <w:t>South Africa</w:t>
      </w:r>
      <w:r w:rsidRPr="009B0448">
        <w:rPr>
          <w:rFonts w:ascii="Times New Roman" w:hAnsi="Times New Roman" w:cs="Times New Roman"/>
          <w:lang w:val="en-ZA"/>
        </w:rPr>
        <w:t xml:space="preserve">: Marine and Coastal (Mclean </w:t>
      </w:r>
      <w:r w:rsidRPr="009B0448">
        <w:rPr>
          <w:rFonts w:ascii="Times New Roman" w:hAnsi="Times New Roman" w:cs="Times New Roman"/>
          <w:i/>
          <w:iCs/>
          <w:lang w:val="en-ZA"/>
        </w:rPr>
        <w:t>et al</w:t>
      </w:r>
      <w:r w:rsidR="006E42B1">
        <w:rPr>
          <w:rFonts w:ascii="Times New Roman" w:hAnsi="Times New Roman" w:cs="Times New Roman"/>
          <w:lang w:val="en-ZA"/>
        </w:rPr>
        <w:t xml:space="preserve">., </w:t>
      </w:r>
      <w:r w:rsidRPr="009B0448">
        <w:rPr>
          <w:rFonts w:ascii="Times New Roman" w:hAnsi="Times New Roman" w:cs="Times New Roman"/>
          <w:lang w:val="en-ZA"/>
        </w:rPr>
        <w:t xml:space="preserve">2017; Klaus </w:t>
      </w:r>
      <w:r w:rsidRPr="009B0448">
        <w:rPr>
          <w:rFonts w:ascii="Times New Roman" w:hAnsi="Times New Roman" w:cs="Times New Roman"/>
          <w:i/>
          <w:iCs/>
          <w:lang w:val="en-ZA"/>
        </w:rPr>
        <w:t>et al</w:t>
      </w:r>
      <w:r w:rsidR="006E42B1">
        <w:rPr>
          <w:rFonts w:ascii="Times New Roman" w:hAnsi="Times New Roman" w:cs="Times New Roman"/>
          <w:lang w:val="en-ZA"/>
        </w:rPr>
        <w:t xml:space="preserve">., </w:t>
      </w:r>
      <w:r w:rsidRPr="009B0448">
        <w:rPr>
          <w:rFonts w:ascii="Times New Roman" w:hAnsi="Times New Roman" w:cs="Times New Roman"/>
          <w:lang w:val="en-ZA"/>
        </w:rPr>
        <w:t>2017</w:t>
      </w:r>
      <w:r w:rsidR="006E42B1">
        <w:rPr>
          <w:rFonts w:ascii="Times New Roman" w:hAnsi="Times New Roman" w:cs="Times New Roman"/>
          <w:lang w:val="en-ZA"/>
        </w:rPr>
        <w:t>)</w:t>
      </w:r>
      <w:r w:rsidRPr="009B0448">
        <w:rPr>
          <w:rFonts w:ascii="Times New Roman" w:hAnsi="Times New Roman" w:cs="Times New Roman"/>
          <w:lang w:val="en-ZA"/>
        </w:rPr>
        <w:t xml:space="preserve">, Inland waters (de Graaf </w:t>
      </w:r>
      <w:r w:rsidRPr="009B0448">
        <w:rPr>
          <w:rFonts w:ascii="Times New Roman" w:hAnsi="Times New Roman" w:cs="Times New Roman"/>
          <w:i/>
          <w:iCs/>
          <w:lang w:val="en-ZA"/>
        </w:rPr>
        <w:t>et al</w:t>
      </w:r>
      <w:r w:rsidR="006E42B1">
        <w:rPr>
          <w:rFonts w:ascii="Times New Roman" w:hAnsi="Times New Roman" w:cs="Times New Roman"/>
          <w:lang w:val="en-ZA"/>
        </w:rPr>
        <w:t xml:space="preserve">., </w:t>
      </w:r>
      <w:r w:rsidRPr="009B0448">
        <w:rPr>
          <w:rFonts w:ascii="Times New Roman" w:hAnsi="Times New Roman" w:cs="Times New Roman"/>
          <w:lang w:val="en-ZA"/>
        </w:rPr>
        <w:t>2014</w:t>
      </w:r>
      <w:r w:rsidR="006E42B1">
        <w:rPr>
          <w:rFonts w:ascii="Times New Roman" w:hAnsi="Times New Roman" w:cs="Times New Roman"/>
          <w:lang w:val="en-ZA"/>
        </w:rPr>
        <w:t>)</w:t>
      </w:r>
      <w:r w:rsidRPr="009B0448">
        <w:rPr>
          <w:rFonts w:ascii="Times New Roman" w:hAnsi="Times New Roman" w:cs="Times New Roman"/>
          <w:lang w:val="en-ZA"/>
        </w:rPr>
        <w:t xml:space="preserve">; Savanna (de Wit </w:t>
      </w:r>
      <w:r w:rsidRPr="009B0448">
        <w:rPr>
          <w:rFonts w:ascii="Times New Roman" w:hAnsi="Times New Roman" w:cs="Times New Roman"/>
          <w:i/>
          <w:iCs/>
          <w:lang w:val="en-ZA"/>
        </w:rPr>
        <w:t>et al</w:t>
      </w:r>
      <w:r w:rsidR="006E42B1">
        <w:rPr>
          <w:rFonts w:ascii="Times New Roman" w:hAnsi="Times New Roman" w:cs="Times New Roman"/>
          <w:lang w:val="en-ZA"/>
        </w:rPr>
        <w:t xml:space="preserve">., </w:t>
      </w:r>
      <w:r w:rsidRPr="009B0448">
        <w:rPr>
          <w:rFonts w:ascii="Times New Roman" w:hAnsi="Times New Roman" w:cs="Times New Roman"/>
          <w:lang w:val="en-ZA"/>
        </w:rPr>
        <w:t>2006</w:t>
      </w:r>
      <w:r w:rsidR="006E42B1">
        <w:rPr>
          <w:rFonts w:ascii="Times New Roman" w:hAnsi="Times New Roman" w:cs="Times New Roman"/>
          <w:lang w:val="en-ZA"/>
        </w:rPr>
        <w:t>)</w:t>
      </w:r>
      <w:r w:rsidRPr="009B0448">
        <w:rPr>
          <w:rFonts w:ascii="Times New Roman" w:hAnsi="Times New Roman" w:cs="Times New Roman"/>
          <w:lang w:val="en-ZA"/>
        </w:rPr>
        <w:t xml:space="preserve">; (e) </w:t>
      </w:r>
      <w:r w:rsidRPr="009B0448">
        <w:rPr>
          <w:rFonts w:ascii="Times New Roman" w:hAnsi="Times New Roman" w:cs="Times New Roman"/>
          <w:b/>
          <w:bCs/>
          <w:lang w:val="en-ZA"/>
        </w:rPr>
        <w:t>East Africa and adjacent islands:</w:t>
      </w:r>
      <w:r w:rsidRPr="009B0448">
        <w:rPr>
          <w:rFonts w:ascii="Times New Roman" w:hAnsi="Times New Roman" w:cs="Times New Roman"/>
          <w:lang w:val="en-ZA"/>
        </w:rPr>
        <w:t xml:space="preserve"> Marine and Coastal and Wetlands (Mclean </w:t>
      </w:r>
      <w:r w:rsidRPr="009B0448">
        <w:rPr>
          <w:rFonts w:ascii="Times New Roman" w:hAnsi="Times New Roman" w:cs="Times New Roman"/>
          <w:i/>
          <w:iCs/>
          <w:lang w:val="en-ZA"/>
        </w:rPr>
        <w:t>et al</w:t>
      </w:r>
      <w:r w:rsidR="006E42B1">
        <w:rPr>
          <w:rFonts w:ascii="Times New Roman" w:hAnsi="Times New Roman" w:cs="Times New Roman"/>
          <w:lang w:val="en-ZA"/>
        </w:rPr>
        <w:t xml:space="preserve">., </w:t>
      </w:r>
      <w:r w:rsidRPr="009B0448">
        <w:rPr>
          <w:rFonts w:ascii="Times New Roman" w:hAnsi="Times New Roman" w:cs="Times New Roman"/>
          <w:lang w:val="en-ZA"/>
        </w:rPr>
        <w:t>2017</w:t>
      </w:r>
      <w:r w:rsidR="006E42B1">
        <w:rPr>
          <w:rFonts w:ascii="Times New Roman" w:hAnsi="Times New Roman" w:cs="Times New Roman"/>
          <w:lang w:val="en-ZA"/>
        </w:rPr>
        <w:t>)</w:t>
      </w:r>
      <w:r w:rsidRPr="009B0448">
        <w:rPr>
          <w:rFonts w:ascii="Times New Roman" w:hAnsi="Times New Roman" w:cs="Times New Roman"/>
          <w:lang w:val="en-ZA"/>
        </w:rPr>
        <w:t xml:space="preserve">, Inland waters (de Graaf </w:t>
      </w:r>
      <w:r w:rsidRPr="009B0448">
        <w:rPr>
          <w:rFonts w:ascii="Times New Roman" w:hAnsi="Times New Roman" w:cs="Times New Roman"/>
          <w:i/>
          <w:iCs/>
          <w:lang w:val="en-ZA"/>
        </w:rPr>
        <w:t>et al</w:t>
      </w:r>
      <w:r w:rsidR="006E42B1">
        <w:rPr>
          <w:rFonts w:ascii="Times New Roman" w:hAnsi="Times New Roman" w:cs="Times New Roman"/>
          <w:lang w:val="en-ZA"/>
        </w:rPr>
        <w:t xml:space="preserve">., </w:t>
      </w:r>
      <w:r w:rsidRPr="009B0448">
        <w:rPr>
          <w:rFonts w:ascii="Times New Roman" w:hAnsi="Times New Roman" w:cs="Times New Roman"/>
          <w:lang w:val="en-ZA"/>
        </w:rPr>
        <w:t>2014</w:t>
      </w:r>
      <w:r w:rsidR="006E42B1">
        <w:rPr>
          <w:rFonts w:ascii="Times New Roman" w:hAnsi="Times New Roman" w:cs="Times New Roman"/>
          <w:lang w:val="en-ZA"/>
        </w:rPr>
        <w:t>)</w:t>
      </w:r>
      <w:r w:rsidRPr="009B0448">
        <w:rPr>
          <w:rFonts w:ascii="Times New Roman" w:hAnsi="Times New Roman" w:cs="Times New Roman"/>
          <w:lang w:val="en-ZA"/>
        </w:rPr>
        <w:t xml:space="preserve">, Forest (Emerton </w:t>
      </w:r>
      <w:r w:rsidRPr="009B0448">
        <w:rPr>
          <w:rFonts w:ascii="Times New Roman" w:hAnsi="Times New Roman" w:cs="Times New Roman"/>
          <w:i/>
          <w:iCs/>
          <w:lang w:val="en-ZA"/>
        </w:rPr>
        <w:t>et al</w:t>
      </w:r>
      <w:r w:rsidR="006E42B1">
        <w:rPr>
          <w:rFonts w:ascii="Times New Roman" w:hAnsi="Times New Roman" w:cs="Times New Roman"/>
          <w:lang w:val="en-ZA"/>
        </w:rPr>
        <w:t xml:space="preserve">., </w:t>
      </w:r>
      <w:r w:rsidRPr="009B0448">
        <w:rPr>
          <w:rFonts w:ascii="Times New Roman" w:hAnsi="Times New Roman" w:cs="Times New Roman"/>
          <w:lang w:val="en-ZA"/>
        </w:rPr>
        <w:t>1999</w:t>
      </w:r>
      <w:r w:rsidR="006E42B1">
        <w:rPr>
          <w:rFonts w:ascii="Times New Roman" w:hAnsi="Times New Roman" w:cs="Times New Roman"/>
          <w:lang w:val="en-ZA"/>
        </w:rPr>
        <w:t>)</w:t>
      </w:r>
      <w:r w:rsidRPr="009B0448">
        <w:rPr>
          <w:rFonts w:ascii="Times New Roman" w:hAnsi="Times New Roman" w:cs="Times New Roman"/>
          <w:lang w:val="en-ZA"/>
        </w:rPr>
        <w:t xml:space="preserve">, Dryland and Desert (Barrow </w:t>
      </w:r>
      <w:r w:rsidRPr="009B0448">
        <w:rPr>
          <w:rFonts w:ascii="Times New Roman" w:hAnsi="Times New Roman" w:cs="Times New Roman"/>
          <w:i/>
          <w:iCs/>
          <w:lang w:val="en-ZA"/>
        </w:rPr>
        <w:t>et al</w:t>
      </w:r>
      <w:r w:rsidR="006E42B1">
        <w:rPr>
          <w:rFonts w:ascii="Times New Roman" w:hAnsi="Times New Roman" w:cs="Times New Roman"/>
          <w:lang w:val="en-ZA"/>
        </w:rPr>
        <w:t xml:space="preserve">., </w:t>
      </w:r>
      <w:r w:rsidRPr="009B0448">
        <w:rPr>
          <w:rFonts w:ascii="Times New Roman" w:hAnsi="Times New Roman" w:cs="Times New Roman"/>
          <w:lang w:val="en-ZA"/>
        </w:rPr>
        <w:t>2007</w:t>
      </w:r>
      <w:r w:rsidR="006E42B1">
        <w:rPr>
          <w:rFonts w:ascii="Times New Roman" w:hAnsi="Times New Roman" w:cs="Times New Roman"/>
          <w:lang w:val="en-ZA"/>
        </w:rPr>
        <w:t xml:space="preserve">), Savanna (Emerton, </w:t>
      </w:r>
      <w:r w:rsidRPr="009B0448">
        <w:rPr>
          <w:rFonts w:ascii="Times New Roman" w:hAnsi="Times New Roman" w:cs="Times New Roman"/>
          <w:lang w:val="en-ZA"/>
        </w:rPr>
        <w:t>1998</w:t>
      </w:r>
      <w:r w:rsidR="006E42B1">
        <w:rPr>
          <w:rFonts w:ascii="Times New Roman" w:hAnsi="Times New Roman" w:cs="Times New Roman"/>
          <w:lang w:val="en-ZA"/>
        </w:rPr>
        <w:t>)</w:t>
      </w:r>
      <w:r w:rsidRPr="009B0448">
        <w:rPr>
          <w:rFonts w:ascii="Times New Roman" w:hAnsi="Times New Roman" w:cs="Times New Roman"/>
          <w:lang w:val="en-ZA"/>
        </w:rPr>
        <w:t>.</w:t>
      </w:r>
    </w:p>
    <w:p w14:paraId="43EB93A2" w14:textId="77777777" w:rsidR="009B0448" w:rsidRPr="009B0448" w:rsidRDefault="009B0448" w:rsidP="00FA7185">
      <w:pPr>
        <w:pStyle w:val="111"/>
        <w:numPr>
          <w:ilvl w:val="2"/>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59" w:name="_Toc501997878"/>
      <w:bookmarkStart w:id="60" w:name="_Toc519499805"/>
      <w:r w:rsidRPr="009B0448">
        <w:rPr>
          <w:rFonts w:cs="Times New Roman"/>
          <w:i w:val="0"/>
          <w:sz w:val="22"/>
          <w:szCs w:val="22"/>
        </w:rPr>
        <w:t>Material Contributions</w:t>
      </w:r>
      <w:bookmarkEnd w:id="59"/>
      <w:bookmarkEnd w:id="60"/>
    </w:p>
    <w:p w14:paraId="3F8B7AF4"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Material contributions are the provisioning services that describe the material or energy outputs from ecosystems. The materials considered in this section are food, energy, health, </w:t>
      </w:r>
      <w:r w:rsidRPr="009B0448">
        <w:rPr>
          <w:rFonts w:ascii="Times New Roman" w:eastAsia="Times New Roman" w:hAnsi="Times New Roman" w:cs="Times New Roman"/>
          <w:noProof/>
        </w:rPr>
        <w:t>and</w:t>
      </w:r>
      <w:r w:rsidRPr="009B0448">
        <w:rPr>
          <w:rFonts w:ascii="Times New Roman" w:eastAsia="Times New Roman" w:hAnsi="Times New Roman" w:cs="Times New Roman"/>
        </w:rPr>
        <w:t xml:space="preserve"> water. As mentioned in Chapter 1, Africa is rich in biodiversity and draws on diverse forms of plants and fauna to meet its </w:t>
      </w:r>
      <w:r w:rsidRPr="009B0448">
        <w:rPr>
          <w:rFonts w:ascii="Times New Roman" w:eastAsia="Times New Roman" w:hAnsi="Times New Roman" w:cs="Times New Roman"/>
        </w:rPr>
        <w:lastRenderedPageBreak/>
        <w:t xml:space="preserve">basic human needs (Chapter 3). Its people depend </w:t>
      </w:r>
      <w:r w:rsidRPr="009B0448">
        <w:rPr>
          <w:rFonts w:ascii="Times New Roman" w:eastAsia="Times New Roman" w:hAnsi="Times New Roman" w:cs="Times New Roman"/>
          <w:noProof/>
        </w:rPr>
        <w:t>highly</w:t>
      </w:r>
      <w:r w:rsidRPr="009B0448">
        <w:rPr>
          <w:rFonts w:ascii="Times New Roman" w:eastAsia="Times New Roman" w:hAnsi="Times New Roman" w:cs="Times New Roman"/>
        </w:rPr>
        <w:t xml:space="preserve"> on these materials for daily sustenance, construction purposes, fuel, and health and cosmetic purposes, amongst other uses. </w:t>
      </w:r>
    </w:p>
    <w:p w14:paraId="64F8B8F5"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61" w:name="_Toc519499806"/>
      <w:r w:rsidRPr="009B0448">
        <w:rPr>
          <w:rFonts w:cs="Times New Roman"/>
          <w:sz w:val="22"/>
          <w:szCs w:val="22"/>
        </w:rPr>
        <w:t>Food and feeds</w:t>
      </w:r>
      <w:bookmarkEnd w:id="61"/>
    </w:p>
    <w:p w14:paraId="34DC726F"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Food production serves as an important material contribution of ecosystem services in terms of nature’s contributions to people. Many communities in Africa depend on food provided by natural ecosystems such as forests, grasslands, wetland areas and water bodies sustaining fisheries (FAO, 2014) for their food security. The main food items that are sourced come from bushmeat (Olupot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Golden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insects, fresh fruits, nuts, seeds, tubers and green leafy vegetables (Kehlenbeck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edible oils, drinks spices, condiments (Faye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mushrooms, honey, sweeteners, wild tubers, and snails, amongst others. </w:t>
      </w:r>
    </w:p>
    <w:p w14:paraId="081EE797" w14:textId="77777777" w:rsidR="009B0448" w:rsidRPr="009B0448" w:rsidRDefault="009B0448" w:rsidP="009B0448">
      <w:pPr>
        <w:spacing w:line="276" w:lineRule="auto"/>
        <w:jc w:val="both"/>
        <w:rPr>
          <w:rFonts w:ascii="Times New Roman" w:eastAsia="Times New Roman" w:hAnsi="Times New Roman" w:cs="Times New Roman"/>
        </w:rPr>
      </w:pPr>
    </w:p>
    <w:p w14:paraId="24A74879"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Hunting bushmeat is a common practice, particularly in Central Africa (Chapters 3 &amp; 4), where it provides high-quality animal protein. Target animals include mostly insects, rodents, birds, reptiles, as well as other primate species (Ajayi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Salami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Larger-bodied species are usually preferred, however, as they generate a greater return on effort invested in hunting (Wilkie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Chapter 3). For example, in the Congo Basin countries, approximately 80% (maximum 98%) of the volume of meat eaten comes from wild </w:t>
      </w:r>
      <w:r w:rsidRPr="009B0448">
        <w:rPr>
          <w:rFonts w:ascii="Times New Roman" w:eastAsia="Times New Roman" w:hAnsi="Times New Roman" w:cs="Times New Roman"/>
          <w:noProof/>
        </w:rPr>
        <w:t>animals</w:t>
      </w:r>
      <w:r w:rsidRPr="009B0448">
        <w:rPr>
          <w:rFonts w:ascii="Times New Roman" w:eastAsia="Times New Roman" w:hAnsi="Times New Roman" w:cs="Times New Roman"/>
        </w:rPr>
        <w:t xml:space="preserve"> and contributes between 30% and 80% of the daily fats and protein requirements (Nasi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Bushmeat serves as a cheap and easily accessible resource especially for rural households, who, rely heavily on this resource during the “hungry season” and in situations of stress or emergency (Nlom, 2011; Chapters 3 &amp; 4). </w:t>
      </w:r>
    </w:p>
    <w:p w14:paraId="409421C6" w14:textId="77777777" w:rsidR="009B0448" w:rsidRPr="009B0448" w:rsidRDefault="009B0448" w:rsidP="009B0448">
      <w:pPr>
        <w:spacing w:line="276" w:lineRule="auto"/>
        <w:jc w:val="both"/>
        <w:rPr>
          <w:rFonts w:ascii="Times New Roman" w:eastAsia="Times New Roman" w:hAnsi="Times New Roman" w:cs="Times New Roman"/>
        </w:rPr>
      </w:pPr>
    </w:p>
    <w:p w14:paraId="0DE07E47" w14:textId="77777777" w:rsid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rate at which urbanisation is growing in Africa, combined with an increasing demand, which is now surpassing supply, there </w:t>
      </w:r>
      <w:r w:rsidRPr="009B0448">
        <w:rPr>
          <w:rFonts w:ascii="Times New Roman" w:eastAsia="Times New Roman" w:hAnsi="Times New Roman" w:cs="Times New Roman"/>
          <w:noProof/>
        </w:rPr>
        <w:t>has</w:t>
      </w:r>
      <w:r w:rsidRPr="009B0448">
        <w:rPr>
          <w:rFonts w:ascii="Times New Roman" w:eastAsia="Times New Roman" w:hAnsi="Times New Roman" w:cs="Times New Roman"/>
        </w:rPr>
        <w:t xml:space="preserve"> been </w:t>
      </w:r>
      <w:r w:rsidRPr="009B0448">
        <w:rPr>
          <w:rFonts w:ascii="Times New Roman" w:eastAsia="Times New Roman" w:hAnsi="Times New Roman" w:cs="Times New Roman"/>
          <w:noProof/>
        </w:rPr>
        <w:t>a devastating</w:t>
      </w:r>
      <w:r w:rsidRPr="009B0448">
        <w:rPr>
          <w:rFonts w:ascii="Times New Roman" w:eastAsia="Times New Roman" w:hAnsi="Times New Roman" w:cs="Times New Roman"/>
        </w:rPr>
        <w:t xml:space="preserve"> impact on the biodiversity of the region (Kasisi, 2012; Chapters 3 &amp; 4). Figure 2.4 illustrates the rate of increase of bushmeat production in the Congo Basin countries between 1985 and 2005, and table 2.2 further demonstrates the increase in the volume of consumption in the Congo Basin in 2009.</w:t>
      </w:r>
    </w:p>
    <w:p w14:paraId="15CD3F1C" w14:textId="77777777" w:rsidR="00056D0B" w:rsidRPr="009B0448" w:rsidRDefault="00056D0B" w:rsidP="009B0448">
      <w:pPr>
        <w:spacing w:line="276" w:lineRule="auto"/>
        <w:jc w:val="both"/>
        <w:rPr>
          <w:rFonts w:ascii="Times New Roman" w:eastAsia="Times New Roman" w:hAnsi="Times New Roman" w:cs="Times New Roman"/>
        </w:rPr>
      </w:pPr>
    </w:p>
    <w:p w14:paraId="00A984B7" w14:textId="77777777" w:rsidR="00463527" w:rsidRPr="009B0448" w:rsidRDefault="00463527" w:rsidP="0046352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Some regions show positive impacts on biodiversity, however. Fenced and unfenced community conservancies in Namibia and Kenya and private game ranches in South Africa, for example, have been generally (although not always) successful in conservation efforts by mixing wildlife and livestock production (Wilkie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Mixed wildlife–livestock production can increase income for poor rural </w:t>
      </w:r>
      <w:r w:rsidRPr="009B0448">
        <w:rPr>
          <w:rFonts w:ascii="Times New Roman" w:eastAsia="Times New Roman" w:hAnsi="Times New Roman" w:cs="Times New Roman"/>
          <w:noProof/>
        </w:rPr>
        <w:t>families</w:t>
      </w:r>
      <w:r w:rsidRPr="009B0448">
        <w:rPr>
          <w:rFonts w:ascii="Times New Roman" w:eastAsia="Times New Roman" w:hAnsi="Times New Roman" w:cs="Times New Roman"/>
        </w:rPr>
        <w:t xml:space="preserve"> when wildlife is sold by hunters as trophies or as meat to high-value tourist lodges and export markets.</w:t>
      </w:r>
    </w:p>
    <w:p w14:paraId="025523D8" w14:textId="77777777" w:rsidR="00463527" w:rsidRPr="009B0448" w:rsidRDefault="00463527" w:rsidP="00463527">
      <w:pPr>
        <w:spacing w:line="276" w:lineRule="auto"/>
        <w:jc w:val="both"/>
        <w:rPr>
          <w:rFonts w:ascii="Times New Roman" w:eastAsia="Times New Roman" w:hAnsi="Times New Roman" w:cs="Times New Roman"/>
        </w:rPr>
      </w:pPr>
    </w:p>
    <w:p w14:paraId="174CD443" w14:textId="77777777" w:rsidR="00463527" w:rsidRPr="009B0448" w:rsidRDefault="00463527" w:rsidP="0046352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Insects comprise another source of protein, minerals, and vitamins. About 250 edible species are listed in Africa, where the dominant 78% represent Lepidoptera (30%), Orthoptera (29%) and Coleoptera (19%), while the other 22 % comprise Isoptera, Homoptera, Hymenoptera, Heteroptera, Diptera, </w:t>
      </w:r>
      <w:r w:rsidRPr="009B0448">
        <w:rPr>
          <w:rFonts w:ascii="Times New Roman" w:eastAsia="Times New Roman" w:hAnsi="Times New Roman" w:cs="Times New Roman"/>
          <w:noProof/>
        </w:rPr>
        <w:t>and</w:t>
      </w:r>
      <w:r w:rsidRPr="009B0448">
        <w:rPr>
          <w:rFonts w:ascii="Times New Roman" w:eastAsia="Times New Roman" w:hAnsi="Times New Roman" w:cs="Times New Roman"/>
        </w:rPr>
        <w:t xml:space="preserve"> Odonota. Whether or not insects are eaten depends partly on taste and nutritional value, but also on customs, ethnic preferences and prohibitions. Because most insects are only available seasonally. Preservation by drying is often practiced (van Huis, 2003). Research in </w:t>
      </w:r>
      <w:r w:rsidRPr="009B0448">
        <w:rPr>
          <w:rFonts w:ascii="Times New Roman" w:eastAsia="Times New Roman" w:hAnsi="Times New Roman" w:cs="Times New Roman"/>
          <w:noProof/>
        </w:rPr>
        <w:t>Bangui</w:t>
      </w:r>
      <w:r w:rsidRPr="009B0448">
        <w:rPr>
          <w:rFonts w:ascii="Times New Roman" w:eastAsia="Times New Roman" w:hAnsi="Times New Roman" w:cs="Times New Roman"/>
        </w:rPr>
        <w:t xml:space="preserve"> estimated that 29% of the total annual consumption of animal proteins was obtained from caterpillars and </w:t>
      </w:r>
      <w:r w:rsidRPr="009B0448">
        <w:rPr>
          <w:rFonts w:ascii="Times New Roman" w:eastAsia="Times New Roman" w:hAnsi="Times New Roman" w:cs="Times New Roman"/>
          <w:noProof/>
        </w:rPr>
        <w:t>larvae,</w:t>
      </w:r>
      <w:r w:rsidRPr="009B0448">
        <w:rPr>
          <w:rFonts w:ascii="Times New Roman" w:eastAsia="Times New Roman" w:hAnsi="Times New Roman" w:cs="Times New Roman"/>
        </w:rPr>
        <w:t xml:space="preserve"> and that during the harvesting period, they accounted for over half of the population’s protein consumption (N’Gasse, 2003). Bahuchet (1972) recorded that caterpillar consumption in a forest camp of the Aka Pygmies in </w:t>
      </w:r>
      <w:r w:rsidRPr="009B0448">
        <w:rPr>
          <w:rFonts w:ascii="Times New Roman" w:eastAsia="Times New Roman" w:hAnsi="Times New Roman" w:cs="Times New Roman"/>
          <w:noProof/>
        </w:rPr>
        <w:t>the Central</w:t>
      </w:r>
      <w:r w:rsidRPr="009B0448">
        <w:rPr>
          <w:rFonts w:ascii="Times New Roman" w:eastAsia="Times New Roman" w:hAnsi="Times New Roman" w:cs="Times New Roman"/>
        </w:rPr>
        <w:t xml:space="preserve"> African </w:t>
      </w:r>
      <w:r w:rsidRPr="009B0448">
        <w:rPr>
          <w:rFonts w:ascii="Times New Roman" w:eastAsia="Times New Roman" w:hAnsi="Times New Roman" w:cs="Times New Roman"/>
          <w:noProof/>
        </w:rPr>
        <w:t>Republic</w:t>
      </w:r>
      <w:r w:rsidRPr="009B0448">
        <w:rPr>
          <w:rFonts w:ascii="Times New Roman" w:eastAsia="Times New Roman" w:hAnsi="Times New Roman" w:cs="Times New Roman"/>
        </w:rPr>
        <w:t xml:space="preserve"> made up 75% of people’s protein consumption during the caterpillar season. Many insects also provide commercially value added products, such as honey. </w:t>
      </w:r>
      <w:r w:rsidRPr="009B0448">
        <w:rPr>
          <w:rFonts w:ascii="Times New Roman" w:eastAsia="Times New Roman" w:hAnsi="Times New Roman" w:cs="Times New Roman"/>
        </w:rPr>
        <w:lastRenderedPageBreak/>
        <w:t xml:space="preserve">Currently, Egypt is the dominant honey producer, with the highest value of honey in Africa at about €98/hectare (Croitoru, 2007). </w:t>
      </w:r>
    </w:p>
    <w:p w14:paraId="785918FF" w14:textId="5B55607A" w:rsidR="009B0448" w:rsidRPr="009B0448" w:rsidRDefault="00463527" w:rsidP="009B0448">
      <w:pPr>
        <w:spacing w:line="276" w:lineRule="auto"/>
        <w:jc w:val="both"/>
        <w:rPr>
          <w:rFonts w:ascii="Times New Roman" w:eastAsia="Times New Roman" w:hAnsi="Times New Roman" w:cs="Times New Roman"/>
          <w:sz w:val="20"/>
          <w:szCs w:val="20"/>
        </w:rPr>
      </w:pPr>
      <w:r w:rsidRPr="009B0448">
        <w:rPr>
          <w:rFonts w:ascii="Times New Roman" w:hAnsi="Times New Roman" w:cs="Times New Roman"/>
          <w:noProof/>
          <w:lang w:eastAsia="en-GB"/>
        </w:rPr>
        <w:drawing>
          <wp:inline distT="0" distB="0" distL="0" distR="0" wp14:anchorId="756302FB" wp14:editId="2E70AB07">
            <wp:extent cx="5732145" cy="4341728"/>
            <wp:effectExtent l="0" t="0" r="1905" b="1905"/>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3">
                      <a:extLst>
                        <a:ext uri="{28A0092B-C50C-407E-A947-70E740481C1C}">
                          <a14:useLocalDpi xmlns:a14="http://schemas.microsoft.com/office/drawing/2010/main" val="0"/>
                        </a:ext>
                      </a:extLst>
                    </a:blip>
                    <a:srcRect l="1462" t="1894" b="1392"/>
                    <a:stretch>
                      <a:fillRect/>
                    </a:stretch>
                  </pic:blipFill>
                  <pic:spPr bwMode="auto">
                    <a:xfrm>
                      <a:off x="0" y="0"/>
                      <a:ext cx="5732145" cy="4341728"/>
                    </a:xfrm>
                    <a:prstGeom prst="rect">
                      <a:avLst/>
                    </a:prstGeom>
                    <a:noFill/>
                    <a:ln>
                      <a:noFill/>
                    </a:ln>
                  </pic:spPr>
                </pic:pic>
              </a:graphicData>
            </a:graphic>
          </wp:inline>
        </w:drawing>
      </w:r>
    </w:p>
    <w:p w14:paraId="4035E55B"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2.4:</w:t>
      </w:r>
      <w:r w:rsidRPr="009B0448">
        <w:rPr>
          <w:rFonts w:ascii="Times New Roman" w:eastAsia="Times New Roman" w:hAnsi="Times New Roman" w:cs="Times New Roman"/>
        </w:rPr>
        <w:t xml:space="preserve"> Bushmeat production in selected countries within the Congo Basin between 1980 and 2005. Source: Ziegler (2009).</w:t>
      </w:r>
    </w:p>
    <w:p w14:paraId="6EACBA42" w14:textId="77777777" w:rsidR="009B0448" w:rsidRPr="009B0448" w:rsidRDefault="009B0448" w:rsidP="009B0448">
      <w:pPr>
        <w:spacing w:line="276" w:lineRule="auto"/>
        <w:jc w:val="both"/>
        <w:rPr>
          <w:rFonts w:ascii="Times New Roman" w:eastAsia="Times New Roman" w:hAnsi="Times New Roman" w:cs="Times New Roman"/>
        </w:rPr>
      </w:pPr>
    </w:p>
    <w:p w14:paraId="73726CE3"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Table 2.2:</w:t>
      </w:r>
      <w:r w:rsidRPr="009B0448">
        <w:rPr>
          <w:rFonts w:ascii="Times New Roman" w:eastAsia="Times New Roman" w:hAnsi="Times New Roman" w:cs="Times New Roman"/>
        </w:rPr>
        <w:t xml:space="preserve"> Bushmeat consumption in selected countries within the Congo Basin in 2009. Source: Nlom (2011).</w:t>
      </w:r>
    </w:p>
    <w:tbl>
      <w:tblPr>
        <w:tblStyle w:val="PlainTable11"/>
        <w:tblW w:w="9067" w:type="dxa"/>
        <w:tblLayout w:type="fixed"/>
        <w:tblLook w:val="0400" w:firstRow="0" w:lastRow="0" w:firstColumn="0" w:lastColumn="0" w:noHBand="0" w:noVBand="1"/>
      </w:tblPr>
      <w:tblGrid>
        <w:gridCol w:w="1696"/>
        <w:gridCol w:w="1053"/>
        <w:gridCol w:w="1053"/>
        <w:gridCol w:w="871"/>
        <w:gridCol w:w="1134"/>
        <w:gridCol w:w="1053"/>
        <w:gridCol w:w="1053"/>
        <w:gridCol w:w="1154"/>
      </w:tblGrid>
      <w:tr w:rsidR="009B0448" w:rsidRPr="009B0448" w14:paraId="7C9CE0E8" w14:textId="77777777" w:rsidTr="00463527">
        <w:trPr>
          <w:cnfStyle w:val="000000100000" w:firstRow="0" w:lastRow="0" w:firstColumn="0" w:lastColumn="0" w:oddVBand="0" w:evenVBand="0" w:oddHBand="1" w:evenHBand="0" w:firstRowFirstColumn="0" w:firstRowLastColumn="0" w:lastRowFirstColumn="0" w:lastRowLastColumn="0"/>
        </w:trPr>
        <w:tc>
          <w:tcPr>
            <w:tcW w:w="16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7C8247F" w14:textId="77777777" w:rsidR="009B0448" w:rsidRPr="009B0448" w:rsidRDefault="009B0448">
            <w:pPr>
              <w:spacing w:line="276" w:lineRule="auto"/>
              <w:rPr>
                <w:rFonts w:ascii="Times New Roman" w:eastAsia="Calibri" w:hAnsi="Times New Roman" w:cs="Times New Roman"/>
              </w:rPr>
            </w:pP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2CE27F"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Cameroon</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F9EB1D"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Central African Republic</w:t>
            </w:r>
          </w:p>
        </w:tc>
        <w:tc>
          <w:tcPr>
            <w:tcW w:w="8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BDB497"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Congo</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C5E4C3"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DRC</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E5F9DD"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Equatorial Guinea</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AF51C8"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Gabon</w:t>
            </w:r>
          </w:p>
        </w:tc>
        <w:tc>
          <w:tcPr>
            <w:tcW w:w="11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E10580"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Total</w:t>
            </w:r>
          </w:p>
        </w:tc>
      </w:tr>
      <w:tr w:rsidR="009B0448" w:rsidRPr="009B0448" w14:paraId="520175B1" w14:textId="77777777" w:rsidTr="00463527">
        <w:tc>
          <w:tcPr>
            <w:tcW w:w="16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6D1A38"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Total consumption (tons/year)</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93AC96"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78,077</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50D2F5"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12,977</w:t>
            </w:r>
          </w:p>
        </w:tc>
        <w:tc>
          <w:tcPr>
            <w:tcW w:w="8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B9BA06"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16,325</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225AC9"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1,067,873</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01AC5B"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9,763</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3E0901"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11,381</w:t>
            </w:r>
          </w:p>
        </w:tc>
        <w:tc>
          <w:tcPr>
            <w:tcW w:w="11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EC6592"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1,196,396</w:t>
            </w:r>
          </w:p>
        </w:tc>
      </w:tr>
      <w:tr w:rsidR="009B0448" w:rsidRPr="009B0448" w14:paraId="0EC23BD2" w14:textId="77777777" w:rsidTr="00463527">
        <w:trPr>
          <w:cnfStyle w:val="000000100000" w:firstRow="0" w:lastRow="0" w:firstColumn="0" w:lastColumn="0" w:oddVBand="0" w:evenVBand="0" w:oddHBand="1" w:evenHBand="0" w:firstRowFirstColumn="0" w:firstRowLastColumn="0" w:lastRowFirstColumn="0" w:lastRowLastColumn="0"/>
        </w:trPr>
        <w:tc>
          <w:tcPr>
            <w:tcW w:w="16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0CF779"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Average harvest (kg/km</w:t>
            </w:r>
            <w:r w:rsidRPr="009B0448">
              <w:rPr>
                <w:rFonts w:ascii="Times New Roman" w:hAnsi="Times New Roman" w:cs="Times New Roman"/>
                <w:vertAlign w:val="superscript"/>
              </w:rPr>
              <w:t xml:space="preserve"> </w:t>
            </w:r>
            <w:r w:rsidRPr="009B0448">
              <w:rPr>
                <w:rFonts w:ascii="Times New Roman" w:hAnsi="Times New Roman" w:cs="Times New Roman"/>
              </w:rPr>
              <w:t>forest/year)</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7E8D37"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503</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FC298F"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248</w:t>
            </w:r>
          </w:p>
        </w:tc>
        <w:tc>
          <w:tcPr>
            <w:tcW w:w="8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D31DBB"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77</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284D0C"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897</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20B574"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574</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DDF2CA"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50</w:t>
            </w:r>
          </w:p>
        </w:tc>
        <w:tc>
          <w:tcPr>
            <w:tcW w:w="11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B80C71"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645</w:t>
            </w:r>
          </w:p>
        </w:tc>
      </w:tr>
      <w:tr w:rsidR="009B0448" w:rsidRPr="009B0448" w14:paraId="22B50748" w14:textId="77777777" w:rsidTr="00463527">
        <w:tc>
          <w:tcPr>
            <w:tcW w:w="16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7DA900"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Average consumption (kg/person/year)</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C94A4E"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21</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345BFE"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17</w:t>
            </w:r>
          </w:p>
        </w:tc>
        <w:tc>
          <w:tcPr>
            <w:tcW w:w="8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B9E7F5"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11</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045CD3"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41</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69D4AF"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24</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31102BC"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15</w:t>
            </w:r>
          </w:p>
        </w:tc>
        <w:tc>
          <w:tcPr>
            <w:tcW w:w="11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A2B2DF"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35</w:t>
            </w:r>
          </w:p>
        </w:tc>
      </w:tr>
      <w:tr w:rsidR="009B0448" w:rsidRPr="009B0448" w14:paraId="6A68681F" w14:textId="77777777" w:rsidTr="00463527">
        <w:trPr>
          <w:cnfStyle w:val="000000100000" w:firstRow="0" w:lastRow="0" w:firstColumn="0" w:lastColumn="0" w:oddVBand="0" w:evenVBand="0" w:oddHBand="1" w:evenHBand="0" w:firstRowFirstColumn="0" w:firstRowLastColumn="0" w:lastRowFirstColumn="0" w:lastRowLastColumn="0"/>
        </w:trPr>
        <w:tc>
          <w:tcPr>
            <w:tcW w:w="16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E508B6"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Bushmeat value</w:t>
            </w:r>
          </w:p>
          <w:p w14:paraId="0E8BE066"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($/year)</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2C57F6"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195,193</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3746F7"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32,443</w:t>
            </w:r>
          </w:p>
        </w:tc>
        <w:tc>
          <w:tcPr>
            <w:tcW w:w="8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AA6053"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40,813</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3E2DE4"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2,669,683</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734038"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24,408</w:t>
            </w:r>
          </w:p>
        </w:tc>
        <w:tc>
          <w:tcPr>
            <w:tcW w:w="10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738D9E"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28,453</w:t>
            </w:r>
          </w:p>
        </w:tc>
        <w:tc>
          <w:tcPr>
            <w:tcW w:w="11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0CC82E" w14:textId="77777777" w:rsidR="009B0448" w:rsidRPr="009B0448" w:rsidRDefault="009B0448">
            <w:pPr>
              <w:widowControl w:val="0"/>
              <w:spacing w:after="240" w:line="276" w:lineRule="auto"/>
              <w:jc w:val="center"/>
              <w:rPr>
                <w:rFonts w:ascii="Times New Roman" w:hAnsi="Times New Roman" w:cs="Times New Roman"/>
              </w:rPr>
            </w:pPr>
            <w:r w:rsidRPr="009B0448">
              <w:rPr>
                <w:rFonts w:ascii="Times New Roman" w:hAnsi="Times New Roman" w:cs="Times New Roman"/>
              </w:rPr>
              <w:t>2,990,990</w:t>
            </w:r>
          </w:p>
        </w:tc>
      </w:tr>
    </w:tbl>
    <w:p w14:paraId="7C8BEE92" w14:textId="77777777" w:rsidR="009B0448" w:rsidRPr="009B0448" w:rsidRDefault="009B0448" w:rsidP="009B0448">
      <w:pPr>
        <w:spacing w:line="276" w:lineRule="auto"/>
        <w:jc w:val="both"/>
        <w:rPr>
          <w:rFonts w:ascii="Times New Roman" w:eastAsia="Times New Roman" w:hAnsi="Times New Roman" w:cs="Times New Roman"/>
        </w:rPr>
      </w:pPr>
    </w:p>
    <w:p w14:paraId="1F4C5F43"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Wild plants are also an excellent source of food and </w:t>
      </w:r>
      <w:r w:rsidRPr="009B0448">
        <w:rPr>
          <w:rFonts w:ascii="Times New Roman" w:eastAsia="Times New Roman" w:hAnsi="Times New Roman" w:cs="Times New Roman"/>
          <w:noProof/>
        </w:rPr>
        <w:t>vitamins</w:t>
      </w:r>
      <w:r w:rsidRPr="009B0448">
        <w:rPr>
          <w:rFonts w:ascii="Times New Roman" w:eastAsia="Times New Roman" w:hAnsi="Times New Roman" w:cs="Times New Roman"/>
        </w:rPr>
        <w:t xml:space="preserve"> and in the absence of regular supply of animal protein and fat (i.e., dairy products and meat, plants are fundamental to nutritional security) </w:t>
      </w:r>
      <w:r w:rsidRPr="009B0448">
        <w:rPr>
          <w:rFonts w:ascii="Times New Roman" w:eastAsia="Times New Roman" w:hAnsi="Times New Roman" w:cs="Times New Roman"/>
        </w:rPr>
        <w:lastRenderedPageBreak/>
        <w:t xml:space="preserve">(Maranz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Teklehaimanot, 2004). According to Kronborg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the protein contents of the fermented product of </w:t>
      </w:r>
      <w:r w:rsidRPr="00D47F8F">
        <w:rPr>
          <w:rFonts w:ascii="Times New Roman" w:eastAsia="Times New Roman" w:hAnsi="Times New Roman" w:cs="Times New Roman"/>
          <w:i/>
        </w:rPr>
        <w:t>Parkia biglobosa</w:t>
      </w:r>
      <w:r w:rsidRPr="009B0448">
        <w:rPr>
          <w:rFonts w:ascii="Times New Roman" w:eastAsia="Times New Roman" w:hAnsi="Times New Roman" w:cs="Times New Roman"/>
        </w:rPr>
        <w:t xml:space="preserve"> (soumbala/moutarde in local language), for instance, can surpass that of meat. In West Africa, there are three key species complementing daily rural diets: </w:t>
      </w:r>
      <w:r w:rsidRPr="009B0448">
        <w:rPr>
          <w:rFonts w:ascii="Times New Roman" w:eastAsia="Times New Roman" w:hAnsi="Times New Roman" w:cs="Times New Roman"/>
          <w:i/>
        </w:rPr>
        <w:t>Vitellaria paradoxa</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Parkia biglobosa</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Adansonia digitata</w:t>
      </w:r>
      <w:r w:rsidRPr="009B0448">
        <w:rPr>
          <w:rFonts w:ascii="Times New Roman" w:eastAsia="Times New Roman" w:hAnsi="Times New Roman" w:cs="Times New Roman"/>
        </w:rPr>
        <w:t xml:space="preserve"> (Augusseau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Belem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Heubach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while in </w:t>
      </w:r>
      <w:r w:rsidRPr="009B0448">
        <w:rPr>
          <w:rFonts w:ascii="Times New Roman" w:eastAsia="Times New Roman" w:hAnsi="Times New Roman" w:cs="Times New Roman"/>
          <w:noProof/>
        </w:rPr>
        <w:t>Sudan</w:t>
      </w:r>
      <w:r w:rsidRPr="009B0448">
        <w:rPr>
          <w:rFonts w:ascii="Times New Roman" w:eastAsia="Times New Roman" w:hAnsi="Times New Roman" w:cs="Times New Roman"/>
        </w:rPr>
        <w:t xml:space="preserve">, a wide variety of wild plants are used in everyday meals, such as for salads, drinks (hot and cold), and everyday cooking (Salih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t>
      </w:r>
    </w:p>
    <w:p w14:paraId="4FEF4982" w14:textId="77777777" w:rsidR="009B0448" w:rsidRPr="009B0448" w:rsidRDefault="009B0448" w:rsidP="009B0448">
      <w:pPr>
        <w:spacing w:line="276" w:lineRule="auto"/>
        <w:jc w:val="both"/>
        <w:rPr>
          <w:rFonts w:ascii="Times New Roman" w:eastAsia="Times New Roman" w:hAnsi="Times New Roman" w:cs="Times New Roman"/>
        </w:rPr>
      </w:pPr>
    </w:p>
    <w:p w14:paraId="29E3D499"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Plant products are mostly open-access resources (i.e., no financial investment is needed to produce or collect them) (Angelsen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2003). They are available in the dry </w:t>
      </w:r>
      <w:r w:rsidRPr="009B0448">
        <w:rPr>
          <w:rFonts w:ascii="Times New Roman" w:eastAsia="Times New Roman" w:hAnsi="Times New Roman" w:cs="Times New Roman"/>
          <w:noProof/>
        </w:rPr>
        <w:t>season</w:t>
      </w:r>
      <w:r w:rsidRPr="009B0448">
        <w:rPr>
          <w:rFonts w:ascii="Times New Roman" w:eastAsia="Times New Roman" w:hAnsi="Times New Roman" w:cs="Times New Roman"/>
        </w:rPr>
        <w:t xml:space="preserve"> when fields are already </w:t>
      </w:r>
      <w:r w:rsidRPr="009B0448">
        <w:rPr>
          <w:rFonts w:ascii="Times New Roman" w:eastAsia="Times New Roman" w:hAnsi="Times New Roman" w:cs="Times New Roman"/>
          <w:noProof/>
        </w:rPr>
        <w:t>harvested</w:t>
      </w:r>
      <w:r w:rsidRPr="009B0448">
        <w:rPr>
          <w:rFonts w:ascii="Times New Roman" w:eastAsia="Times New Roman" w:hAnsi="Times New Roman" w:cs="Times New Roman"/>
        </w:rPr>
        <w:t xml:space="preserve"> and are suitable for mid-term storage to provide a buffer during times of seasonal or financial stress (Arnold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2001; Schreckenberg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2006). There are many examples of the nutritional values of Non Timber Forest Products (NTFPs) of plant origin across the continent, like Marula (</w:t>
      </w:r>
      <w:r w:rsidRPr="009B0448">
        <w:rPr>
          <w:rFonts w:ascii="Times New Roman" w:eastAsia="Times New Roman" w:hAnsi="Times New Roman" w:cs="Times New Roman"/>
          <w:i/>
        </w:rPr>
        <w:t>Sclerocarya birrea</w:t>
      </w:r>
      <w:r w:rsidRPr="009B0448">
        <w:rPr>
          <w:rFonts w:ascii="Times New Roman" w:eastAsia="Times New Roman" w:hAnsi="Times New Roman" w:cs="Times New Roman"/>
        </w:rPr>
        <w:t xml:space="preserve">), a source of nutrition and a dietary mainstay in South Africa, Botswana, </w:t>
      </w:r>
      <w:r w:rsidRPr="009B0448">
        <w:rPr>
          <w:rFonts w:ascii="Times New Roman" w:eastAsia="Times New Roman" w:hAnsi="Times New Roman" w:cs="Times New Roman"/>
          <w:noProof/>
        </w:rPr>
        <w:t>and</w:t>
      </w:r>
      <w:r w:rsidRPr="009B0448">
        <w:rPr>
          <w:rFonts w:ascii="Times New Roman" w:eastAsia="Times New Roman" w:hAnsi="Times New Roman" w:cs="Times New Roman"/>
        </w:rPr>
        <w:t xml:space="preserve"> Namibia. </w:t>
      </w:r>
    </w:p>
    <w:p w14:paraId="245FB94A" w14:textId="77777777" w:rsidR="009B0448" w:rsidRPr="009B0448" w:rsidRDefault="009B0448" w:rsidP="009B0448">
      <w:pPr>
        <w:spacing w:line="276" w:lineRule="auto"/>
        <w:jc w:val="both"/>
        <w:rPr>
          <w:rFonts w:ascii="Times New Roman" w:eastAsia="Times New Roman" w:hAnsi="Times New Roman" w:cs="Times New Roman"/>
        </w:rPr>
      </w:pPr>
    </w:p>
    <w:p w14:paraId="07541F35" w14:textId="78FCBE4B"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Besides bushmeat, insects, </w:t>
      </w:r>
      <w:r w:rsidRPr="009B0448">
        <w:rPr>
          <w:rFonts w:ascii="Times New Roman" w:eastAsia="Times New Roman" w:hAnsi="Times New Roman" w:cs="Times New Roman"/>
          <w:noProof/>
        </w:rPr>
        <w:t>and</w:t>
      </w:r>
      <w:r w:rsidRPr="009B0448">
        <w:rPr>
          <w:rFonts w:ascii="Times New Roman" w:eastAsia="Times New Roman" w:hAnsi="Times New Roman" w:cs="Times New Roman"/>
        </w:rPr>
        <w:t xml:space="preserve"> plants, fisheries constitute another key source of food and income derived from nature. Despite regional differences (Belhabib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some major trends can be revealed by analysing fisheries catch data. Data extracted </w:t>
      </w:r>
      <w:r w:rsidR="00D74FA7">
        <w:rPr>
          <w:rFonts w:ascii="Times New Roman" w:eastAsia="Times New Roman" w:hAnsi="Times New Roman" w:cs="Times New Roman"/>
        </w:rPr>
        <w:t>from the Sea Around Us database</w:t>
      </w:r>
      <w:r w:rsidRPr="009B0448">
        <w:rPr>
          <w:rFonts w:ascii="Times New Roman" w:eastAsia="Times New Roman" w:hAnsi="Times New Roman" w:cs="Times New Roman"/>
        </w:rPr>
        <w:t xml:space="preserve"> show that overall catches increased from 2.1 million t in 1950 to 16.7 million t in 1988, and then decreased to 12.4 million t in 2010. The artisanal sector, whose landed value reached $4 billion in 2010, is in decline since 2004, along with the industrial sector’s catch, despite an increasing fishing effort. Subsistence sectors, consumption driven fishing activities conducted operated almost exclusively by women, caught 411,000 tons in 2010. Overall, catches by this sector increased, showing high dependence upon fish. With the over-exploitation of fish stocks</w:t>
      </w:r>
      <w:r w:rsidR="00D74FA7">
        <w:rPr>
          <w:rFonts w:ascii="Times New Roman" w:eastAsia="Times New Roman" w:hAnsi="Times New Roman" w:cs="Times New Roman"/>
        </w:rPr>
        <w:t xml:space="preserve"> </w:t>
      </w:r>
      <w:r w:rsidR="00D74FA7" w:rsidRPr="009B0448">
        <w:rPr>
          <w:rFonts w:ascii="Times New Roman" w:eastAsia="Times New Roman" w:hAnsi="Times New Roman" w:cs="Times New Roman"/>
        </w:rPr>
        <w:t>(P</w:t>
      </w:r>
      <w:r w:rsidR="00D74FA7">
        <w:rPr>
          <w:rFonts w:ascii="Times New Roman" w:eastAsia="Times New Roman" w:hAnsi="Times New Roman" w:cs="Times New Roman"/>
        </w:rPr>
        <w:t>au</w:t>
      </w:r>
      <w:r w:rsidR="00D74FA7" w:rsidRPr="009B0448">
        <w:rPr>
          <w:rFonts w:ascii="Times New Roman" w:eastAsia="Times New Roman" w:hAnsi="Times New Roman" w:cs="Times New Roman"/>
        </w:rPr>
        <w:t xml:space="preserve">ly </w:t>
      </w:r>
      <w:r w:rsidR="00D74FA7" w:rsidRPr="009B0448">
        <w:rPr>
          <w:rFonts w:ascii="Times New Roman" w:eastAsia="Times New Roman" w:hAnsi="Times New Roman" w:cs="Times New Roman"/>
          <w:i/>
        </w:rPr>
        <w:t>et al.</w:t>
      </w:r>
      <w:r w:rsidR="00D74FA7" w:rsidRPr="009B0448">
        <w:rPr>
          <w:rFonts w:ascii="Times New Roman" w:eastAsia="Times New Roman" w:hAnsi="Times New Roman" w:cs="Times New Roman"/>
        </w:rPr>
        <w:t>, 201</w:t>
      </w:r>
      <w:r w:rsidR="00D74FA7">
        <w:rPr>
          <w:rFonts w:ascii="Times New Roman" w:eastAsia="Times New Roman" w:hAnsi="Times New Roman" w:cs="Times New Roman"/>
        </w:rPr>
        <w:t>5</w:t>
      </w:r>
      <w:r w:rsidR="00D74FA7" w:rsidRPr="009B0448">
        <w:rPr>
          <w:rFonts w:ascii="Times New Roman" w:eastAsia="Times New Roman" w:hAnsi="Times New Roman" w:cs="Times New Roman"/>
        </w:rPr>
        <w:t>)</w:t>
      </w:r>
      <w:r w:rsidRPr="009B0448">
        <w:rPr>
          <w:rFonts w:ascii="Times New Roman" w:eastAsia="Times New Roman" w:hAnsi="Times New Roman" w:cs="Times New Roman"/>
        </w:rPr>
        <w:t xml:space="preserve">, costs of fishing increased (Teh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translating into a shift from subsistence to artisanal fishing (Belhabib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2014).</w:t>
      </w:r>
    </w:p>
    <w:p w14:paraId="413DE721" w14:textId="77777777" w:rsidR="009B0448" w:rsidRPr="009B0448" w:rsidRDefault="009B0448" w:rsidP="009B0448">
      <w:pPr>
        <w:spacing w:line="276" w:lineRule="auto"/>
        <w:jc w:val="both"/>
        <w:rPr>
          <w:rFonts w:ascii="Times New Roman" w:eastAsia="Times New Roman" w:hAnsi="Times New Roman" w:cs="Times New Roman"/>
        </w:rPr>
      </w:pPr>
    </w:p>
    <w:p w14:paraId="7ED8C3A3"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sub-Saharan Africa, fish provide over one-fifth of protein intake by local communities. In West African coastal countries such as Ghana and Sierra Leone, the rate of protein uptake from fish is more than half. West African is considered one of the most economically important fishing zones in the world, with a production of 4.5 million tons of fish in 2000 (Belhabib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Southern African countries also constitute exceptional fishing areas and export between 80% and 90% of their marine fish annually (Akpalu, 2013). Other countries such as Egypt, Morocco, Ghana, Kenya, Namibia, Nigeria, Senegal and Uganda, also produce large quantities of fish, which contribute significantly to food security and nutrition in those areas (FAO, 2016). Over 3,300 industrial vessels (20% foreign) and 54,000 artisanal and subsistence pirogues catch over 6.4 million tons of fish per year (Belhabib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Belhabib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2015b), for a landed value of $10.6 billion (Belhabib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2015a). Catches peaked in the late 1990s and have been declining since then, despite or because of an increase in the fishing effort. However, as this region is also targeted by foreign fleets under agreement and illegal fleets, at least 15 of the 18 important coastal demersal stocks and pelagic resources (sardinellas, horse mackerel </w:t>
      </w:r>
      <w:r w:rsidRPr="009B0448">
        <w:rPr>
          <w:rFonts w:ascii="Times New Roman" w:eastAsia="Times New Roman" w:hAnsi="Times New Roman" w:cs="Times New Roman"/>
          <w:i/>
        </w:rPr>
        <w:t>Trachurus trachurus</w:t>
      </w:r>
      <w:r w:rsidRPr="009B0448">
        <w:rPr>
          <w:rFonts w:ascii="Times New Roman" w:eastAsia="Times New Roman" w:hAnsi="Times New Roman" w:cs="Times New Roman"/>
        </w:rPr>
        <w:t xml:space="preserve">, chub mackerel </w:t>
      </w:r>
      <w:r w:rsidRPr="00250F13">
        <w:rPr>
          <w:rFonts w:ascii="Times New Roman" w:eastAsia="Times New Roman" w:hAnsi="Times New Roman" w:cs="Times New Roman"/>
          <w:i/>
        </w:rPr>
        <w:t>Scomber colias</w:t>
      </w:r>
      <w:r w:rsidRPr="009B0448">
        <w:rPr>
          <w:rFonts w:ascii="Times New Roman" w:eastAsia="Times New Roman" w:hAnsi="Times New Roman" w:cs="Times New Roman"/>
        </w:rPr>
        <w:t xml:space="preserve">, anchovy, and bonga shad </w:t>
      </w:r>
      <w:r w:rsidRPr="00250F13">
        <w:rPr>
          <w:rFonts w:ascii="Times New Roman" w:eastAsia="Times New Roman" w:hAnsi="Times New Roman" w:cs="Times New Roman"/>
          <w:i/>
        </w:rPr>
        <w:t>Ethmalosa fimbriata</w:t>
      </w:r>
      <w:r w:rsidRPr="009B0448">
        <w:rPr>
          <w:rFonts w:ascii="Times New Roman" w:eastAsia="Times New Roman" w:hAnsi="Times New Roman" w:cs="Times New Roman"/>
        </w:rPr>
        <w:t xml:space="preserve">) are fully or over-exploited (CCLME, 2016). This raises serious concerns about food security and the sustainability of fishing access agreements with foreign countries (Belhabib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2015a).</w:t>
      </w:r>
    </w:p>
    <w:p w14:paraId="5CD63E92" w14:textId="77777777" w:rsidR="009B0448" w:rsidRPr="009B0448" w:rsidRDefault="009B0448" w:rsidP="009B0448">
      <w:pPr>
        <w:spacing w:line="276" w:lineRule="auto"/>
        <w:jc w:val="both"/>
        <w:rPr>
          <w:rFonts w:ascii="Times New Roman" w:eastAsia="Times New Roman" w:hAnsi="Times New Roman" w:cs="Times New Roman"/>
        </w:rPr>
      </w:pPr>
    </w:p>
    <w:p w14:paraId="222B58B5" w14:textId="77777777" w:rsid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countries of Eastern and Southern Africa and others in the Indian Ocean (ESA-IO) region collectively produce almost 1.9 million metric tons of fish–or 23% of Africa’s fish production every year. A special characteristic of the region’s fish production is that the greatest proportion of the total catch is derived from diverse inland and fresh water fisheries, rather than marine fisheries (IOC, 2014). Despite this, per </w:t>
      </w:r>
      <w:r w:rsidRPr="009B0448">
        <w:rPr>
          <w:rFonts w:ascii="Times New Roman" w:eastAsia="Times New Roman" w:hAnsi="Times New Roman" w:cs="Times New Roman"/>
          <w:noProof/>
        </w:rPr>
        <w:t>capita,</w:t>
      </w:r>
      <w:r w:rsidRPr="009B0448">
        <w:rPr>
          <w:rFonts w:ascii="Times New Roman" w:eastAsia="Times New Roman" w:hAnsi="Times New Roman" w:cs="Times New Roman"/>
        </w:rPr>
        <w:t xml:space="preserve"> fish consumption has stagnated in Africa and only accounts for a tiny share of </w:t>
      </w:r>
      <w:r w:rsidRPr="009B0448">
        <w:rPr>
          <w:rFonts w:ascii="Times New Roman" w:eastAsia="Times New Roman" w:hAnsi="Times New Roman" w:cs="Times New Roman"/>
        </w:rPr>
        <w:lastRenderedPageBreak/>
        <w:t xml:space="preserve">global fish production, approximately 0.6% and shrinking (CAPMAS, 2014; Soliman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2016). In Figure 2.3, a summary of Africa’s material and non-material contribution to people from fisheries is given.</w:t>
      </w:r>
    </w:p>
    <w:p w14:paraId="7AD8AFFF" w14:textId="77777777" w:rsidR="008767C5" w:rsidRPr="009B0448" w:rsidRDefault="008767C5" w:rsidP="009B0448">
      <w:pPr>
        <w:spacing w:line="276" w:lineRule="auto"/>
        <w:jc w:val="both"/>
        <w:rPr>
          <w:rFonts w:ascii="Times New Roman" w:eastAsia="Times New Roman" w:hAnsi="Times New Roman" w:cs="Times New Roman"/>
        </w:rPr>
      </w:pPr>
    </w:p>
    <w:p w14:paraId="73F6E048" w14:textId="14471B29" w:rsidR="009B0448" w:rsidRPr="009B0448" w:rsidRDefault="009B0448" w:rsidP="009B0448">
      <w:pPr>
        <w:spacing w:line="276" w:lineRule="auto"/>
        <w:jc w:val="both"/>
        <w:rPr>
          <w:rFonts w:ascii="Times New Roman" w:hAnsi="Times New Roman" w:cs="Times New Roman"/>
          <w:sz w:val="20"/>
          <w:szCs w:val="20"/>
        </w:rPr>
      </w:pPr>
      <w:r w:rsidRPr="009B0448">
        <w:rPr>
          <w:rFonts w:ascii="Times New Roman" w:hAnsi="Times New Roman" w:cs="Times New Roman"/>
          <w:noProof/>
          <w:lang w:eastAsia="en-GB"/>
        </w:rPr>
        <w:drawing>
          <wp:inline distT="0" distB="0" distL="0" distR="0" wp14:anchorId="6D97141D" wp14:editId="21A47FE0">
            <wp:extent cx="5729870" cy="2743200"/>
            <wp:effectExtent l="0" t="0" r="4445"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94">
                      <a:extLst>
                        <a:ext uri="{28A0092B-C50C-407E-A947-70E740481C1C}">
                          <a14:useLocalDpi xmlns:a14="http://schemas.microsoft.com/office/drawing/2010/main" val="0"/>
                        </a:ext>
                      </a:extLst>
                    </a:blip>
                    <a:stretch>
                      <a:fillRect/>
                    </a:stretch>
                  </pic:blipFill>
                  <pic:spPr bwMode="auto">
                    <a:xfrm>
                      <a:off x="0" y="0"/>
                      <a:ext cx="5732618" cy="2744516"/>
                    </a:xfrm>
                    <a:prstGeom prst="rect">
                      <a:avLst/>
                    </a:prstGeom>
                    <a:noFill/>
                    <a:ln>
                      <a:noFill/>
                    </a:ln>
                  </pic:spPr>
                </pic:pic>
              </a:graphicData>
            </a:graphic>
          </wp:inline>
        </w:drawing>
      </w:r>
    </w:p>
    <w:p w14:paraId="335DF785" w14:textId="77777777" w:rsidR="00463527" w:rsidRDefault="009B0448" w:rsidP="009B0448">
      <w:pPr>
        <w:spacing w:line="276" w:lineRule="auto"/>
        <w:jc w:val="both"/>
        <w:rPr>
          <w:rStyle w:val="Hyperlink"/>
          <w:rFonts w:ascii="Times New Roman" w:hAnsi="Times New Roman" w:cs="Times New Roman"/>
          <w:lang w:val="en-US"/>
        </w:rPr>
      </w:pPr>
      <w:r w:rsidRPr="009B0448">
        <w:rPr>
          <w:rFonts w:ascii="Times New Roman" w:eastAsia="Times New Roman" w:hAnsi="Times New Roman" w:cs="Times New Roman"/>
          <w:b/>
        </w:rPr>
        <w:t>Figure 2.5:</w:t>
      </w:r>
      <w:r w:rsidRPr="009B0448">
        <w:rPr>
          <w:rFonts w:ascii="Times New Roman" w:eastAsia="Times New Roman" w:hAnsi="Times New Roman" w:cs="Times New Roman"/>
        </w:rPr>
        <w:t xml:space="preserve"> Multiple values of fisheries based on their diverse contributions to people. Source: See Appendix AfRA 2.1; Available at </w:t>
      </w:r>
      <w:hyperlink r:id="rId395" w:history="1">
        <w:r w:rsidRPr="009B0448">
          <w:rPr>
            <w:rStyle w:val="Hyperlink"/>
            <w:rFonts w:ascii="Times New Roman" w:hAnsi="Times New Roman" w:cs="Times New Roman"/>
            <w:lang w:val="en-US"/>
          </w:rPr>
          <w:t>https://www.ipbes.net/node/add/supporting-material</w:t>
        </w:r>
      </w:hyperlink>
    </w:p>
    <w:p w14:paraId="610723C3" w14:textId="70D7F100" w:rsidR="009B0448" w:rsidRPr="009B0448" w:rsidRDefault="009B0448" w:rsidP="009B0448">
      <w:pPr>
        <w:spacing w:line="276" w:lineRule="auto"/>
        <w:jc w:val="both"/>
        <w:rPr>
          <w:rFonts w:ascii="Times New Roman" w:eastAsia="Times New Roman" w:hAnsi="Times New Roman" w:cs="Times New Roman"/>
        </w:rPr>
      </w:pPr>
    </w:p>
    <w:p w14:paraId="69F3E88C"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Small-scale fisheries are the only source of animal protein to many rural </w:t>
      </w:r>
      <w:r w:rsidRPr="009B0448">
        <w:rPr>
          <w:rFonts w:ascii="Times New Roman" w:eastAsia="Times New Roman" w:hAnsi="Times New Roman" w:cs="Times New Roman"/>
          <w:noProof/>
        </w:rPr>
        <w:t>populations</w:t>
      </w:r>
      <w:r w:rsidRPr="009B0448">
        <w:rPr>
          <w:rFonts w:ascii="Times New Roman" w:eastAsia="Times New Roman" w:hAnsi="Times New Roman" w:cs="Times New Roman"/>
        </w:rPr>
        <w:t xml:space="preserve"> and are economically significant in a number of areas in Africa (FAO, 2014). According to FAO (2016), the total fish supply was 11 million tons live weight equivalent or 10.5 kg/year per capita. It was estimated that with a total GDPA of $288.4 billion, this sector contributes 6% of the GDPA for the whole of Africa. The highest contribution is from marine artisanal fishing contributing 1.82% of the total GDPA, whereas inland fishing and marine industrial fishing contribute 1.62% (FAO, 2014). </w:t>
      </w:r>
    </w:p>
    <w:p w14:paraId="4D2D349A" w14:textId="77777777" w:rsidR="009B0448" w:rsidRPr="009B0448" w:rsidRDefault="009B0448" w:rsidP="009B0448">
      <w:pPr>
        <w:spacing w:line="276" w:lineRule="auto"/>
        <w:jc w:val="both"/>
        <w:rPr>
          <w:rFonts w:ascii="Times New Roman" w:eastAsia="Times New Roman" w:hAnsi="Times New Roman" w:cs="Times New Roman"/>
        </w:rPr>
      </w:pPr>
    </w:p>
    <w:p w14:paraId="5A47C771"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successful management of fisheries has to consider the employment of fishers' ILK on the ecology and biology of local fish species. It has been found that the lack of sufficient scientific information on specific fish species was be complemented by the local fishers ILK (Gaspare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w:t>
      </w:r>
    </w:p>
    <w:p w14:paraId="0EBB2F8B"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62" w:name="_Toc501997879"/>
      <w:bookmarkStart w:id="63" w:name="_Toc519499807"/>
      <w:r w:rsidRPr="009B0448">
        <w:rPr>
          <w:rFonts w:cs="Times New Roman"/>
          <w:sz w:val="22"/>
          <w:szCs w:val="22"/>
        </w:rPr>
        <w:t>Timber and Non-Timber Forest Products (NTFPs) and livelihoods</w:t>
      </w:r>
      <w:bookmarkEnd w:id="62"/>
      <w:bookmarkEnd w:id="63"/>
    </w:p>
    <w:p w14:paraId="17F0857D" w14:textId="3ECA8838" w:rsidR="00056D0B" w:rsidRDefault="009B0448" w:rsidP="008767C5">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rPr>
        <w:t xml:space="preserve">Forests and woodlands provide valuable ecosystems services by provisioning timber and Non Timber Forest Products (NTFPs), which serve as a diverse source of jobs and livelihoods in Africa. For instance, in Tanzania, the estimated annual revenues generated from timber for domestic use are $10 million in terms of planks, and twice as much when processed into furniture (Schaafsma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2014b). Africa-wide, the annual consumption of wood is projected to grow by over 40% by 2030, and the region as a whole is slated to become a net importer of wood products for fuel and construction. According to Nlom (2011), the formal forestry sector in Congo Basin countries produces more than 10 million tons of timber a year, with production dominated by Gabon (3.96 million tons) and Cameroon (3.16 million tons). A large proportion of this timber is exported–around 50% overall, ranging from 15% in </w:t>
      </w:r>
      <w:r w:rsidRPr="009B0448">
        <w:rPr>
          <w:rFonts w:ascii="Times New Roman" w:eastAsia="Times New Roman" w:hAnsi="Times New Roman" w:cs="Times New Roman"/>
          <w:noProof/>
        </w:rPr>
        <w:t>the Central</w:t>
      </w:r>
      <w:r w:rsidRPr="009B0448">
        <w:rPr>
          <w:rFonts w:ascii="Times New Roman" w:eastAsia="Times New Roman" w:hAnsi="Times New Roman" w:cs="Times New Roman"/>
        </w:rPr>
        <w:t xml:space="preserve"> African Republic to over 90% in the Democratic Republic of Congo. The current total annual value of these exports exceeds $2.5 billion, while the estimated market value of domestically-consumed timber and timber products is estimated to total almost $1 billion. The FAO (2013), quantified the total value of forests to rural people in </w:t>
      </w:r>
      <w:r w:rsidR="00056849">
        <w:rPr>
          <w:rFonts w:ascii="Times New Roman" w:eastAsia="Times New Roman" w:hAnsi="Times New Roman" w:cs="Times New Roman"/>
        </w:rPr>
        <w:t>Uganda at about $4.01 billion (</w:t>
      </w:r>
      <w:r w:rsidRPr="009B0448">
        <w:rPr>
          <w:rFonts w:ascii="Times New Roman" w:eastAsia="Times New Roman" w:hAnsi="Times New Roman" w:cs="Times New Roman"/>
        </w:rPr>
        <w:t>Table 2.3)</w:t>
      </w:r>
      <w:r w:rsidR="00056D0B">
        <w:rPr>
          <w:rFonts w:ascii="Times New Roman" w:eastAsia="Times New Roman" w:hAnsi="Times New Roman" w:cs="Times New Roman"/>
        </w:rPr>
        <w:t>.</w:t>
      </w:r>
      <w:r w:rsidR="00056D0B">
        <w:rPr>
          <w:rFonts w:ascii="Times New Roman" w:eastAsia="Times New Roman" w:hAnsi="Times New Roman" w:cs="Times New Roman"/>
          <w:b/>
        </w:rPr>
        <w:br w:type="page"/>
      </w:r>
    </w:p>
    <w:p w14:paraId="1D4A59E0" w14:textId="7DFAC1FA"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lastRenderedPageBreak/>
        <w:t>Table 2.3:</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noProof/>
        </w:rPr>
        <w:t>The total</w:t>
      </w:r>
      <w:r w:rsidRPr="009B0448">
        <w:rPr>
          <w:rFonts w:ascii="Times New Roman" w:eastAsia="Times New Roman" w:hAnsi="Times New Roman" w:cs="Times New Roman"/>
        </w:rPr>
        <w:t xml:space="preserve"> annual value of forest products to rural people in Uganda. Source: FAO (2013).</w:t>
      </w:r>
    </w:p>
    <w:tbl>
      <w:tblPr>
        <w:tblStyle w:val="PlainTable11"/>
        <w:tblW w:w="5000" w:type="pct"/>
        <w:tblLayout w:type="fixed"/>
        <w:tblLook w:val="0400" w:firstRow="0" w:lastRow="0" w:firstColumn="0" w:lastColumn="0" w:noHBand="0" w:noVBand="1"/>
      </w:tblPr>
      <w:tblGrid>
        <w:gridCol w:w="2445"/>
        <w:gridCol w:w="1226"/>
        <w:gridCol w:w="832"/>
        <w:gridCol w:w="1226"/>
        <w:gridCol w:w="827"/>
        <w:gridCol w:w="1231"/>
        <w:gridCol w:w="1230"/>
      </w:tblGrid>
      <w:tr w:rsidR="009B0448" w:rsidRPr="009B0448" w14:paraId="2EA5E237" w14:textId="77777777" w:rsidTr="009B0448">
        <w:trPr>
          <w:cnfStyle w:val="000000100000" w:firstRow="0" w:lastRow="0" w:firstColumn="0" w:lastColumn="0" w:oddVBand="0" w:evenVBand="0" w:oddHBand="1" w:evenHBand="0" w:firstRowFirstColumn="0" w:firstRowLastColumn="0" w:lastRowFirstColumn="0" w:lastRowLastColumn="0"/>
        </w:trPr>
        <w:tc>
          <w:tcPr>
            <w:tcW w:w="2546"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66B6FF" w14:textId="77777777" w:rsidR="009B0448" w:rsidRPr="009B0448" w:rsidRDefault="009B0448">
            <w:pPr>
              <w:spacing w:line="276" w:lineRule="auto"/>
              <w:ind w:left="-104"/>
              <w:jc w:val="center"/>
              <w:rPr>
                <w:rFonts w:ascii="Times New Roman" w:eastAsia="Calibri" w:hAnsi="Times New Roman" w:cs="Times New Roman"/>
              </w:rPr>
            </w:pPr>
            <w:r w:rsidRPr="009B0448">
              <w:rPr>
                <w:rFonts w:ascii="Times New Roman" w:hAnsi="Times New Roman" w:cs="Times New Roman"/>
              </w:rPr>
              <w:t>Forest product category</w:t>
            </w:r>
          </w:p>
        </w:tc>
        <w:tc>
          <w:tcPr>
            <w:tcW w:w="2131"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873F90" w14:textId="77777777" w:rsidR="009B0448" w:rsidRPr="009B0448" w:rsidRDefault="009B0448">
            <w:pPr>
              <w:spacing w:line="276" w:lineRule="auto"/>
              <w:ind w:left="-104"/>
              <w:jc w:val="center"/>
              <w:rPr>
                <w:rFonts w:ascii="Times New Roman" w:hAnsi="Times New Roman" w:cs="Times New Roman"/>
              </w:rPr>
            </w:pPr>
            <w:r w:rsidRPr="009B0448">
              <w:rPr>
                <w:rFonts w:ascii="Times New Roman" w:hAnsi="Times New Roman" w:cs="Times New Roman"/>
              </w:rPr>
              <w:t>Cash value</w:t>
            </w:r>
          </w:p>
        </w:tc>
        <w:tc>
          <w:tcPr>
            <w:tcW w:w="2126"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9E3282" w14:textId="77777777" w:rsidR="009B0448" w:rsidRPr="009B0448" w:rsidRDefault="009B0448">
            <w:pPr>
              <w:spacing w:line="276" w:lineRule="auto"/>
              <w:ind w:left="-104"/>
              <w:jc w:val="center"/>
              <w:rPr>
                <w:rFonts w:ascii="Times New Roman" w:hAnsi="Times New Roman" w:cs="Times New Roman"/>
              </w:rPr>
            </w:pPr>
            <w:r w:rsidRPr="009B0448">
              <w:rPr>
                <w:rFonts w:ascii="Times New Roman" w:hAnsi="Times New Roman" w:cs="Times New Roman"/>
              </w:rPr>
              <w:t>Non-cash value</w:t>
            </w:r>
          </w:p>
        </w:tc>
        <w:tc>
          <w:tcPr>
            <w:tcW w:w="255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046BBB" w14:textId="77777777" w:rsidR="009B0448" w:rsidRPr="009B0448" w:rsidRDefault="009B0448">
            <w:pPr>
              <w:spacing w:line="276" w:lineRule="auto"/>
              <w:ind w:left="-104"/>
              <w:jc w:val="center"/>
              <w:rPr>
                <w:rFonts w:ascii="Times New Roman" w:hAnsi="Times New Roman" w:cs="Times New Roman"/>
              </w:rPr>
            </w:pPr>
            <w:r w:rsidRPr="009B0448">
              <w:rPr>
                <w:rFonts w:ascii="Times New Roman" w:hAnsi="Times New Roman" w:cs="Times New Roman"/>
                <w:noProof/>
              </w:rPr>
              <w:t>The total</w:t>
            </w:r>
            <w:r w:rsidRPr="009B0448">
              <w:rPr>
                <w:rFonts w:ascii="Times New Roman" w:hAnsi="Times New Roman" w:cs="Times New Roman"/>
              </w:rPr>
              <w:t xml:space="preserve"> value of forest products</w:t>
            </w:r>
          </w:p>
        </w:tc>
      </w:tr>
      <w:tr w:rsidR="009B0448" w:rsidRPr="009B0448" w14:paraId="5C02AF15" w14:textId="77777777" w:rsidTr="009B0448">
        <w:trPr>
          <w:trHeight w:val="240"/>
        </w:trPr>
        <w:tc>
          <w:tcPr>
            <w:tcW w:w="2546" w:type="dxa"/>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CE4266F" w14:textId="77777777" w:rsidR="009B0448" w:rsidRPr="009B0448" w:rsidRDefault="009B0448">
            <w:pPr>
              <w:rPr>
                <w:rFonts w:ascii="Times New Roman" w:eastAsia="Calibri" w:hAnsi="Times New Roman" w:cs="Times New Roman"/>
              </w:rPr>
            </w:pP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A32A9E"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($million)</w:t>
            </w:r>
          </w:p>
        </w:tc>
        <w:tc>
          <w:tcPr>
            <w:tcW w:w="8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A6D560"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54A5E1"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($million)</w:t>
            </w:r>
          </w:p>
        </w:tc>
        <w:tc>
          <w:tcPr>
            <w:tcW w:w="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6C990D"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3892B7"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($million)</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614E39"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w:t>
            </w:r>
          </w:p>
        </w:tc>
      </w:tr>
      <w:tr w:rsidR="009B0448" w:rsidRPr="009B0448" w14:paraId="584EDF67" w14:textId="77777777" w:rsidTr="009B0448">
        <w:trPr>
          <w:cnfStyle w:val="000000100000" w:firstRow="0" w:lastRow="0" w:firstColumn="0" w:lastColumn="0" w:oddVBand="0" w:evenVBand="0" w:oddHBand="1" w:evenHBand="0" w:firstRowFirstColumn="0" w:firstRowLastColumn="0" w:lastRowFirstColumn="0" w:lastRowLastColumn="0"/>
        </w:trPr>
        <w:tc>
          <w:tcPr>
            <w:tcW w:w="25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039251"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Fuel</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111787"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406</w:t>
            </w:r>
          </w:p>
        </w:tc>
        <w:tc>
          <w:tcPr>
            <w:tcW w:w="8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C05150"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10.1</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FC378B"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1,186</w:t>
            </w:r>
          </w:p>
        </w:tc>
        <w:tc>
          <w:tcPr>
            <w:tcW w:w="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EB7BEE"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29.5</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FE2849"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1,592</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5C55A9"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39.6</w:t>
            </w:r>
          </w:p>
        </w:tc>
      </w:tr>
      <w:tr w:rsidR="009B0448" w:rsidRPr="009B0448" w14:paraId="67D45083" w14:textId="77777777" w:rsidTr="009B0448">
        <w:tc>
          <w:tcPr>
            <w:tcW w:w="25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DD564C"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Building materials</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448052"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346</w:t>
            </w:r>
          </w:p>
        </w:tc>
        <w:tc>
          <w:tcPr>
            <w:tcW w:w="8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FB940B"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8.6</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6B440F"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655</w:t>
            </w:r>
          </w:p>
        </w:tc>
        <w:tc>
          <w:tcPr>
            <w:tcW w:w="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1EDA06"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16.3</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9F0B92"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1,001</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8BAF63"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24.9</w:t>
            </w:r>
          </w:p>
        </w:tc>
      </w:tr>
      <w:tr w:rsidR="009B0448" w:rsidRPr="009B0448" w14:paraId="7F0C36D3" w14:textId="77777777" w:rsidTr="009B0448">
        <w:trPr>
          <w:cnfStyle w:val="000000100000" w:firstRow="0" w:lastRow="0" w:firstColumn="0" w:lastColumn="0" w:oddVBand="0" w:evenVBand="0" w:oddHBand="1" w:evenHBand="0" w:firstRowFirstColumn="0" w:firstRowLastColumn="0" w:lastRowFirstColumn="0" w:lastRowLastColumn="0"/>
        </w:trPr>
        <w:tc>
          <w:tcPr>
            <w:tcW w:w="25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21B2FD"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Forest Foods</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DC8859"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241</w:t>
            </w:r>
          </w:p>
        </w:tc>
        <w:tc>
          <w:tcPr>
            <w:tcW w:w="8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67A283"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6.0</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D24FD0"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510</w:t>
            </w:r>
          </w:p>
        </w:tc>
        <w:tc>
          <w:tcPr>
            <w:tcW w:w="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4C9855"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12.7</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7CD071"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752</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55578A"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18.7</w:t>
            </w:r>
          </w:p>
        </w:tc>
      </w:tr>
      <w:tr w:rsidR="009B0448" w:rsidRPr="009B0448" w14:paraId="14FE7BC1" w14:textId="77777777" w:rsidTr="009B0448">
        <w:tc>
          <w:tcPr>
            <w:tcW w:w="25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A039DC" w14:textId="6DDEAEC7" w:rsidR="009B0448" w:rsidRPr="009B0448" w:rsidRDefault="00F32B59">
            <w:pPr>
              <w:spacing w:line="276" w:lineRule="auto"/>
              <w:rPr>
                <w:rFonts w:ascii="Times New Roman" w:hAnsi="Times New Roman" w:cs="Times New Roman"/>
              </w:rPr>
            </w:pPr>
            <w:r>
              <w:rPr>
                <w:rFonts w:ascii="Times New Roman" w:hAnsi="Times New Roman" w:cs="Times New Roman"/>
              </w:rPr>
              <w:t>Fibre</w:t>
            </w:r>
            <w:r w:rsidR="009B0448" w:rsidRPr="009B0448">
              <w:rPr>
                <w:rFonts w:ascii="Times New Roman" w:hAnsi="Times New Roman" w:cs="Times New Roman"/>
              </w:rPr>
              <w:t xml:space="preserve"> (for ropes, baskets, matting, etc.)</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D8747B"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68</w:t>
            </w:r>
          </w:p>
        </w:tc>
        <w:tc>
          <w:tcPr>
            <w:tcW w:w="8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F95811"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1.7</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B465A8"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257</w:t>
            </w:r>
          </w:p>
        </w:tc>
        <w:tc>
          <w:tcPr>
            <w:tcW w:w="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ACC3EF"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6.4</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E582DC"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326</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DA265C"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8.1</w:t>
            </w:r>
          </w:p>
        </w:tc>
      </w:tr>
      <w:tr w:rsidR="009B0448" w:rsidRPr="009B0448" w14:paraId="149B798B" w14:textId="77777777" w:rsidTr="009B0448">
        <w:trPr>
          <w:cnfStyle w:val="000000100000" w:firstRow="0" w:lastRow="0" w:firstColumn="0" w:lastColumn="0" w:oddVBand="0" w:evenVBand="0" w:oddHBand="1" w:evenHBand="0" w:firstRowFirstColumn="0" w:firstRowLastColumn="0" w:lastRowFirstColumn="0" w:lastRowLastColumn="0"/>
        </w:trPr>
        <w:tc>
          <w:tcPr>
            <w:tcW w:w="25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DE56E9"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Herbal medicines</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B8DA2C"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44</w:t>
            </w:r>
          </w:p>
        </w:tc>
        <w:tc>
          <w:tcPr>
            <w:tcW w:w="8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96A64C"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1.1</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769A0F"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145</w:t>
            </w:r>
          </w:p>
        </w:tc>
        <w:tc>
          <w:tcPr>
            <w:tcW w:w="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01133B"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3.6</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4B99D9"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189</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59E462"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4.7</w:t>
            </w:r>
          </w:p>
        </w:tc>
      </w:tr>
      <w:tr w:rsidR="009B0448" w:rsidRPr="009B0448" w14:paraId="6C14D885" w14:textId="77777777" w:rsidTr="009B0448">
        <w:tc>
          <w:tcPr>
            <w:tcW w:w="25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92796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Timber</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473457"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32</w:t>
            </w:r>
          </w:p>
        </w:tc>
        <w:tc>
          <w:tcPr>
            <w:tcW w:w="8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AFA6A1"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0.8</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982ABB"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129</w:t>
            </w:r>
          </w:p>
        </w:tc>
        <w:tc>
          <w:tcPr>
            <w:tcW w:w="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AC2345"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3.2</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D1F803"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161</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248526" w14:textId="77777777" w:rsidR="009B0448" w:rsidRPr="009B0448" w:rsidRDefault="009B0448">
            <w:pPr>
              <w:spacing w:line="276" w:lineRule="auto"/>
              <w:jc w:val="center"/>
              <w:rPr>
                <w:rFonts w:ascii="Times New Roman" w:hAnsi="Times New Roman" w:cs="Times New Roman"/>
              </w:rPr>
            </w:pPr>
            <w:r w:rsidRPr="009B0448">
              <w:rPr>
                <w:rFonts w:ascii="Times New Roman" w:hAnsi="Times New Roman" w:cs="Times New Roman"/>
              </w:rPr>
              <w:t>4</w:t>
            </w:r>
          </w:p>
        </w:tc>
      </w:tr>
      <w:tr w:rsidR="009B0448" w:rsidRPr="009B0448" w14:paraId="39376460" w14:textId="77777777" w:rsidTr="009B0448">
        <w:trPr>
          <w:cnfStyle w:val="000000100000" w:firstRow="0" w:lastRow="0" w:firstColumn="0" w:lastColumn="0" w:oddVBand="0" w:evenVBand="0" w:oddHBand="1" w:evenHBand="0" w:firstRowFirstColumn="0" w:firstRowLastColumn="0" w:lastRowFirstColumn="0" w:lastRowLastColumn="0"/>
          <w:trHeight w:val="200"/>
        </w:trPr>
        <w:tc>
          <w:tcPr>
            <w:tcW w:w="25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C35EB9"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Total</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15DB83" w14:textId="77777777" w:rsidR="009B0448" w:rsidRPr="009B0448" w:rsidRDefault="009B0448">
            <w:pPr>
              <w:spacing w:line="276" w:lineRule="auto"/>
              <w:jc w:val="center"/>
              <w:rPr>
                <w:rFonts w:ascii="Times New Roman" w:hAnsi="Times New Roman" w:cs="Times New Roman"/>
                <w:b/>
              </w:rPr>
            </w:pPr>
            <w:r w:rsidRPr="009B0448">
              <w:rPr>
                <w:rFonts w:ascii="Times New Roman" w:hAnsi="Times New Roman" w:cs="Times New Roman"/>
                <w:b/>
              </w:rPr>
              <w:t>1,137</w:t>
            </w:r>
          </w:p>
        </w:tc>
        <w:tc>
          <w:tcPr>
            <w:tcW w:w="8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93179E" w14:textId="77777777" w:rsidR="009B0448" w:rsidRPr="009B0448" w:rsidRDefault="009B0448">
            <w:pPr>
              <w:spacing w:line="276" w:lineRule="auto"/>
              <w:jc w:val="center"/>
              <w:rPr>
                <w:rFonts w:ascii="Times New Roman" w:hAnsi="Times New Roman" w:cs="Times New Roman"/>
                <w:b/>
              </w:rPr>
            </w:pPr>
            <w:r w:rsidRPr="009B0448">
              <w:rPr>
                <w:rFonts w:ascii="Times New Roman" w:hAnsi="Times New Roman" w:cs="Times New Roman"/>
                <w:b/>
              </w:rPr>
              <w:t>28.3</w:t>
            </w:r>
          </w:p>
        </w:tc>
        <w:tc>
          <w:tcPr>
            <w:tcW w:w="127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FDD8E0" w14:textId="77777777" w:rsidR="009B0448" w:rsidRPr="009B0448" w:rsidRDefault="009B0448">
            <w:pPr>
              <w:spacing w:line="276" w:lineRule="auto"/>
              <w:jc w:val="center"/>
              <w:rPr>
                <w:rFonts w:ascii="Times New Roman" w:hAnsi="Times New Roman" w:cs="Times New Roman"/>
                <w:b/>
              </w:rPr>
            </w:pPr>
            <w:r w:rsidRPr="009B0448">
              <w:rPr>
                <w:rFonts w:ascii="Times New Roman" w:hAnsi="Times New Roman" w:cs="Times New Roman"/>
                <w:b/>
              </w:rPr>
              <w:t>2,882</w:t>
            </w:r>
          </w:p>
        </w:tc>
        <w:tc>
          <w:tcPr>
            <w:tcW w:w="8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75BFFF" w14:textId="77777777" w:rsidR="009B0448" w:rsidRPr="009B0448" w:rsidRDefault="009B0448">
            <w:pPr>
              <w:spacing w:line="276" w:lineRule="auto"/>
              <w:jc w:val="center"/>
              <w:rPr>
                <w:rFonts w:ascii="Times New Roman" w:hAnsi="Times New Roman" w:cs="Times New Roman"/>
                <w:b/>
              </w:rPr>
            </w:pPr>
            <w:r w:rsidRPr="009B0448">
              <w:rPr>
                <w:rFonts w:ascii="Times New Roman" w:hAnsi="Times New Roman" w:cs="Times New Roman"/>
                <w:b/>
              </w:rPr>
              <w:t>71.7</w:t>
            </w:r>
          </w:p>
        </w:tc>
        <w:tc>
          <w:tcPr>
            <w:tcW w:w="12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53836F" w14:textId="77777777" w:rsidR="009B0448" w:rsidRPr="009B0448" w:rsidRDefault="009B0448">
            <w:pPr>
              <w:spacing w:line="276" w:lineRule="auto"/>
              <w:jc w:val="center"/>
              <w:rPr>
                <w:rFonts w:ascii="Times New Roman" w:hAnsi="Times New Roman" w:cs="Times New Roman"/>
                <w:b/>
              </w:rPr>
            </w:pPr>
            <w:r w:rsidRPr="009B0448">
              <w:rPr>
                <w:rFonts w:ascii="Times New Roman" w:hAnsi="Times New Roman" w:cs="Times New Roman"/>
                <w:b/>
              </w:rPr>
              <w:t>4,019</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E62573" w14:textId="77777777" w:rsidR="009B0448" w:rsidRPr="009B0448" w:rsidRDefault="009B0448">
            <w:pPr>
              <w:spacing w:line="276" w:lineRule="auto"/>
              <w:jc w:val="center"/>
              <w:rPr>
                <w:rFonts w:ascii="Times New Roman" w:hAnsi="Times New Roman" w:cs="Times New Roman"/>
                <w:b/>
              </w:rPr>
            </w:pPr>
            <w:r w:rsidRPr="009B0448">
              <w:rPr>
                <w:rFonts w:ascii="Times New Roman" w:hAnsi="Times New Roman" w:cs="Times New Roman"/>
                <w:b/>
              </w:rPr>
              <w:t>100</w:t>
            </w:r>
          </w:p>
        </w:tc>
      </w:tr>
    </w:tbl>
    <w:p w14:paraId="1D12882D" w14:textId="77777777" w:rsidR="009B0448" w:rsidRPr="009B0448" w:rsidRDefault="009B0448" w:rsidP="009B0448">
      <w:pPr>
        <w:spacing w:line="276" w:lineRule="auto"/>
        <w:jc w:val="both"/>
        <w:rPr>
          <w:rFonts w:ascii="Times New Roman" w:eastAsia="Times New Roman" w:hAnsi="Times New Roman" w:cs="Times New Roman"/>
        </w:rPr>
      </w:pPr>
    </w:p>
    <w:p w14:paraId="6AFEDCE5"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Domestic demand for timber in this region is growing, however, which is almost entirely supplied by the largely unregulated, inefficient and unsustainable informal sector, which makes the sector’s real contribution to GDP and to local livelihoods challenging to measure (Cerbu, 2016). The region is well known for round wood and timber exports from large forest concessions, traditionally managed by foreign owned companies. Total recorded round-wood harvests for industrial timber are 7.5 million m</w:t>
      </w:r>
      <w:r w:rsidRPr="009B0448">
        <w:rPr>
          <w:rFonts w:ascii="Times New Roman" w:eastAsia="Times New Roman" w:hAnsi="Times New Roman" w:cs="Times New Roman"/>
          <w:vertAlign w:val="superscript"/>
        </w:rPr>
        <w:t>3</w:t>
      </w:r>
      <w:r w:rsidRPr="009B0448">
        <w:rPr>
          <w:rFonts w:ascii="Times New Roman" w:eastAsia="Times New Roman" w:hAnsi="Times New Roman" w:cs="Times New Roman"/>
        </w:rPr>
        <w:t>, compared with 1.7 billion m</w:t>
      </w:r>
      <w:r w:rsidRPr="009B0448">
        <w:rPr>
          <w:rFonts w:ascii="Times New Roman" w:eastAsia="Times New Roman" w:hAnsi="Times New Roman" w:cs="Times New Roman"/>
          <w:vertAlign w:val="superscript"/>
        </w:rPr>
        <w:t>3</w:t>
      </w:r>
      <w:r w:rsidRPr="009B0448">
        <w:rPr>
          <w:rFonts w:ascii="Times New Roman" w:eastAsia="Times New Roman" w:hAnsi="Times New Roman" w:cs="Times New Roman"/>
        </w:rPr>
        <w:t xml:space="preserve"> globally (Bromhead, 2012). </w:t>
      </w:r>
    </w:p>
    <w:p w14:paraId="4E6D2005" w14:textId="77777777" w:rsidR="009B0448" w:rsidRPr="009B0448" w:rsidRDefault="009B0448" w:rsidP="009B0448">
      <w:pPr>
        <w:spacing w:line="276" w:lineRule="auto"/>
        <w:jc w:val="both"/>
        <w:rPr>
          <w:rFonts w:ascii="Times New Roman" w:eastAsia="Times New Roman" w:hAnsi="Times New Roman" w:cs="Times New Roman"/>
        </w:rPr>
      </w:pPr>
    </w:p>
    <w:p w14:paraId="4B725022"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the subregions of East Africa (Kenya, Malawi, Somalia, Sudan, Tanzania, Uganda, Zimbabwe), Teak is particularly valued, mainly for its durability and water resistance, and is used for boat building, exterior construction, veneer, furniture, carving, turnings, and other small wood projects (USDA, 2010). Its leaves are also edible and have medicinal properties (Farinola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t>
      </w:r>
    </w:p>
    <w:p w14:paraId="7B790CE7" w14:textId="77777777" w:rsidR="009B0448" w:rsidRPr="009B0448" w:rsidRDefault="009B0448" w:rsidP="009B0448">
      <w:pPr>
        <w:spacing w:line="276" w:lineRule="auto"/>
        <w:jc w:val="both"/>
        <w:rPr>
          <w:rFonts w:ascii="Times New Roman" w:eastAsia="Times New Roman" w:hAnsi="Times New Roman" w:cs="Times New Roman"/>
        </w:rPr>
      </w:pPr>
    </w:p>
    <w:p w14:paraId="6DF0F0FA"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On the African island of Madagascar, endemic species of rosewood is in great demand for veneer, musical instruments (guitar bodies and fingerboards), furniture, cabinetry, inlays, carving, turned objects, and other small specialty wood items. </w:t>
      </w:r>
      <w:r w:rsidRPr="009B0448">
        <w:rPr>
          <w:rFonts w:ascii="Times New Roman" w:eastAsia="Times New Roman" w:hAnsi="Times New Roman" w:cs="Times New Roman"/>
          <w:noProof/>
        </w:rPr>
        <w:t>The essential</w:t>
      </w:r>
      <w:r w:rsidRPr="009B0448">
        <w:rPr>
          <w:rFonts w:ascii="Times New Roman" w:eastAsia="Times New Roman" w:hAnsi="Times New Roman" w:cs="Times New Roman"/>
        </w:rPr>
        <w:t xml:space="preserve"> oil can also be extracted from the wood and used for aromatherapy and perfume. The heartwood is traditionally used as medicine to treat malaria, bilharzias, </w:t>
      </w:r>
      <w:r w:rsidRPr="009B0448">
        <w:rPr>
          <w:rFonts w:ascii="Times New Roman" w:eastAsia="Times New Roman" w:hAnsi="Times New Roman" w:cs="Times New Roman"/>
          <w:noProof/>
        </w:rPr>
        <w:t>and</w:t>
      </w:r>
      <w:r w:rsidRPr="009B0448">
        <w:rPr>
          <w:rFonts w:ascii="Times New Roman" w:eastAsia="Times New Roman" w:hAnsi="Times New Roman" w:cs="Times New Roman"/>
        </w:rPr>
        <w:t xml:space="preserve"> cysticercose (WHO, 2013). </w:t>
      </w:r>
    </w:p>
    <w:p w14:paraId="4F5998C9" w14:textId="77777777" w:rsidR="009B0448" w:rsidRPr="009B0448" w:rsidRDefault="009B0448" w:rsidP="009B0448">
      <w:pPr>
        <w:spacing w:line="276" w:lineRule="auto"/>
        <w:jc w:val="both"/>
        <w:rPr>
          <w:rFonts w:ascii="Times New Roman" w:eastAsia="Times New Roman" w:hAnsi="Times New Roman" w:cs="Times New Roman"/>
        </w:rPr>
      </w:pPr>
    </w:p>
    <w:p w14:paraId="3B473B80"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southern African region is characterised by the Miombo dry land forests, which cover 2.4 million hectares (twice the area of the Congo Basin rainforests) and span from Mozambique to Angola and including parts of southern Tanzania and southern DRC (Chapter 3). Miombo woodlands provide many services to rural populations, including late dry-season grazing for livestock from foliage, building materials, and a range of non-timber forest products such as honey, ingredients for cosmetics, Amarula (a cream liqueur), etc. (Chapters 1, 3, &amp; 4). According to Kimaro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wild tree fruits and edible mushrooms are widely used by local people near Ngumburuni forest reserve in Tanzania.</w:t>
      </w:r>
    </w:p>
    <w:p w14:paraId="36C2673B" w14:textId="77777777" w:rsidR="009B0448" w:rsidRPr="009B0448" w:rsidRDefault="009B0448" w:rsidP="009B0448">
      <w:pPr>
        <w:spacing w:line="276" w:lineRule="auto"/>
        <w:jc w:val="both"/>
        <w:rPr>
          <w:rFonts w:ascii="Times New Roman" w:eastAsia="Times New Roman" w:hAnsi="Times New Roman" w:cs="Times New Roman"/>
        </w:rPr>
      </w:pPr>
    </w:p>
    <w:p w14:paraId="5AFF1215" w14:textId="3CB1A43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Non-Timber Forest Products (NTFPs) contribute significantly to the subsistence, daily life, </w:t>
      </w:r>
      <w:r w:rsidRPr="009B0448">
        <w:rPr>
          <w:rFonts w:ascii="Times New Roman" w:eastAsia="Times New Roman" w:hAnsi="Times New Roman" w:cs="Times New Roman"/>
          <w:noProof/>
        </w:rPr>
        <w:t>and</w:t>
      </w:r>
      <w:r w:rsidRPr="009B0448">
        <w:rPr>
          <w:rFonts w:ascii="Times New Roman" w:eastAsia="Times New Roman" w:hAnsi="Times New Roman" w:cs="Times New Roman"/>
        </w:rPr>
        <w:t xml:space="preserve"> welfare of people, and could become a major instrument of economic development for some rural communities (Mahaptara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Lambini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Maisharou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Table 2.4). The average share of NTFPs income in total household income in rural Africa is 21.4% (Angelsen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Heubach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with varying figures across countries ranging from 20% in Tanzania (Schaafsma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2014a), to up to 44% in Zambia (Kalaba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w:t>
      </w:r>
      <w:r w:rsidR="00056849" w:rsidRPr="00056849">
        <w:rPr>
          <w:rFonts w:ascii="Times New Roman" w:eastAsia="Times New Roman" w:hAnsi="Times New Roman" w:cs="Times New Roman"/>
        </w:rPr>
        <w:t>Amous (1999) estimated a per capita fuelwood consumption of 0.89 m</w:t>
      </w:r>
      <w:r w:rsidR="00056849" w:rsidRPr="00056849">
        <w:rPr>
          <w:rFonts w:ascii="Times New Roman" w:eastAsia="Times New Roman" w:hAnsi="Times New Roman" w:cs="Times New Roman"/>
          <w:vertAlign w:val="superscript"/>
        </w:rPr>
        <w:t>3</w:t>
      </w:r>
      <w:r w:rsidR="00056849" w:rsidRPr="00056849">
        <w:rPr>
          <w:rFonts w:ascii="Times New Roman" w:eastAsia="Times New Roman" w:hAnsi="Times New Roman" w:cs="Times New Roman"/>
        </w:rPr>
        <w:t xml:space="preserve">/year and African fuelwood consumption by households is still the highest in the world (Arnold </w:t>
      </w:r>
      <w:r w:rsidR="00056849" w:rsidRPr="00056849">
        <w:rPr>
          <w:rFonts w:ascii="Times New Roman" w:eastAsia="Times New Roman" w:hAnsi="Times New Roman" w:cs="Times New Roman"/>
          <w:i/>
        </w:rPr>
        <w:t>et al.</w:t>
      </w:r>
      <w:r w:rsidR="00056849" w:rsidRPr="00056849">
        <w:rPr>
          <w:rFonts w:ascii="Times New Roman" w:eastAsia="Times New Roman" w:hAnsi="Times New Roman" w:cs="Times New Roman"/>
        </w:rPr>
        <w:t xml:space="preserve">, 2003; </w:t>
      </w:r>
      <w:r w:rsidR="00056849">
        <w:rPr>
          <w:rFonts w:ascii="Times New Roman" w:eastAsia="Times New Roman" w:hAnsi="Times New Roman" w:cs="Times New Roman"/>
        </w:rPr>
        <w:t>UN</w:t>
      </w:r>
      <w:r w:rsidR="00056849" w:rsidRPr="00056849">
        <w:rPr>
          <w:rFonts w:ascii="Times New Roman" w:eastAsia="Times New Roman" w:hAnsi="Times New Roman" w:cs="Times New Roman"/>
        </w:rPr>
        <w:t xml:space="preserve">, 2018). </w:t>
      </w:r>
      <w:r w:rsidRPr="009B0448">
        <w:rPr>
          <w:rFonts w:ascii="Times New Roman" w:eastAsia="Times New Roman" w:hAnsi="Times New Roman" w:cs="Times New Roman"/>
        </w:rPr>
        <w:t xml:space="preserve">Women and children are the main collectors and traders of </w:t>
      </w:r>
      <w:r w:rsidRPr="009B0448">
        <w:rPr>
          <w:rFonts w:ascii="Times New Roman" w:eastAsia="Times New Roman" w:hAnsi="Times New Roman" w:cs="Times New Roman"/>
        </w:rPr>
        <w:lastRenderedPageBreak/>
        <w:t xml:space="preserve">NTFPs, and they form a substantial component of women’s livelihoods in many rural areas (Arnold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2001; Pouliot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Colfer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 However, as pointed out by Ambrose-Oji (2011), few countries have explicit laws that govern the harvesting of NTFPs</w:t>
      </w:r>
      <w:r w:rsidR="007460EE">
        <w:rPr>
          <w:rFonts w:ascii="Times New Roman" w:eastAsia="Times New Roman" w:hAnsi="Times New Roman" w:cs="Times New Roman"/>
        </w:rPr>
        <w:t xml:space="preserve"> </w:t>
      </w:r>
      <w:r w:rsidRPr="009B0448">
        <w:rPr>
          <w:rFonts w:ascii="Times New Roman" w:eastAsia="Times New Roman" w:hAnsi="Times New Roman" w:cs="Times New Roman"/>
        </w:rPr>
        <w:t xml:space="preserve">Inventories of all species used and sold would be impossibly costly to undertake, and they recommend creating inventories of only the half dozen most important NTFPs sold in any location. </w:t>
      </w:r>
    </w:p>
    <w:p w14:paraId="06658CB2" w14:textId="77777777" w:rsidR="009B0448" w:rsidRPr="009B0448" w:rsidRDefault="009B0448" w:rsidP="009B0448">
      <w:pPr>
        <w:spacing w:line="276" w:lineRule="auto"/>
        <w:jc w:val="both"/>
        <w:rPr>
          <w:rFonts w:ascii="Times New Roman" w:eastAsia="Times New Roman" w:hAnsi="Times New Roman" w:cs="Times New Roman"/>
        </w:rPr>
      </w:pPr>
    </w:p>
    <w:p w14:paraId="00D32CB5"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Table 2.4:</w:t>
      </w:r>
      <w:r w:rsidRPr="009B0448">
        <w:rPr>
          <w:rFonts w:ascii="Times New Roman" w:eastAsia="Times New Roman" w:hAnsi="Times New Roman" w:cs="Times New Roman"/>
        </w:rPr>
        <w:t xml:space="preserve"> The value of NTFPs per country group (Euro/hectare, 2005 prices). Source: Croitoru (2007).</w:t>
      </w:r>
    </w:p>
    <w:tbl>
      <w:tblPr>
        <w:tblStyle w:val="PlainTable11"/>
        <w:tblW w:w="5000" w:type="pct"/>
        <w:tblLook w:val="04A0" w:firstRow="1" w:lastRow="0" w:firstColumn="1" w:lastColumn="0" w:noHBand="0" w:noVBand="1"/>
      </w:tblPr>
      <w:tblGrid>
        <w:gridCol w:w="1047"/>
        <w:gridCol w:w="1133"/>
        <w:gridCol w:w="1110"/>
        <w:gridCol w:w="1075"/>
        <w:gridCol w:w="1360"/>
        <w:gridCol w:w="1094"/>
        <w:gridCol w:w="1100"/>
        <w:gridCol w:w="1098"/>
      </w:tblGrid>
      <w:tr w:rsidR="009B0448" w:rsidRPr="009B0448" w14:paraId="1164F391" w14:textId="77777777" w:rsidTr="009B04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0" w:type="pct"/>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66DD64" w14:textId="77777777" w:rsidR="009B0448" w:rsidRPr="009B0448" w:rsidRDefault="009B0448">
            <w:pPr>
              <w:pStyle w:val="NormalWeb"/>
              <w:spacing w:before="0" w:beforeAutospacing="0" w:after="0" w:afterAutospacing="0" w:line="276" w:lineRule="auto"/>
              <w:jc w:val="center"/>
              <w:rPr>
                <w:rFonts w:eastAsiaTheme="minorHAnsi"/>
                <w:sz w:val="22"/>
                <w:szCs w:val="22"/>
                <w:lang w:val="en-US" w:eastAsia="fr-FR"/>
              </w:rPr>
            </w:pPr>
            <w:r w:rsidRPr="009B0448">
              <w:rPr>
                <w:rFonts w:eastAsiaTheme="minorHAnsi"/>
                <w:sz w:val="22"/>
                <w:szCs w:val="22"/>
                <w:lang w:val="en-US" w:eastAsia="fr-FR"/>
              </w:rPr>
              <w:t>Firewood</w:t>
            </w:r>
          </w:p>
        </w:tc>
        <w:tc>
          <w:tcPr>
            <w:tcW w:w="61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4823AA" w14:textId="77777777" w:rsidR="009B0448" w:rsidRPr="009B0448" w:rsidRDefault="009B0448">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Grazing</w:t>
            </w:r>
          </w:p>
        </w:tc>
        <w:tc>
          <w:tcPr>
            <w:tcW w:w="5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8D09FE" w14:textId="77777777" w:rsidR="009B0448" w:rsidRPr="009B0448" w:rsidRDefault="009B0448">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Cork</w:t>
            </w:r>
          </w:p>
        </w:tc>
        <w:tc>
          <w:tcPr>
            <w:tcW w:w="7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C56249" w14:textId="77777777" w:rsidR="009B0448" w:rsidRPr="009B0448" w:rsidRDefault="009B0448">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Mushrooms</w:t>
            </w:r>
          </w:p>
        </w:tc>
        <w:tc>
          <w:tcPr>
            <w:tcW w:w="6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588506" w14:textId="77777777" w:rsidR="009B0448" w:rsidRPr="009B0448" w:rsidRDefault="009B0448">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Honey</w:t>
            </w:r>
          </w:p>
        </w:tc>
        <w:tc>
          <w:tcPr>
            <w:tcW w:w="6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F436C8" w14:textId="77777777" w:rsidR="009B0448" w:rsidRPr="009B0448" w:rsidRDefault="009B0448">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Other NTFPs</w:t>
            </w:r>
          </w:p>
        </w:tc>
        <w:tc>
          <w:tcPr>
            <w:tcW w:w="6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E67D62" w14:textId="77777777" w:rsidR="009B0448" w:rsidRPr="009B0448" w:rsidRDefault="009B0448">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Total NTFPs</w:t>
            </w:r>
          </w:p>
        </w:tc>
      </w:tr>
      <w:tr w:rsidR="009B0448" w:rsidRPr="009B0448" w14:paraId="22241930"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E0C8C8" w14:textId="77777777" w:rsidR="009B0448" w:rsidRPr="009B0448" w:rsidRDefault="009B0448">
            <w:pPr>
              <w:pStyle w:val="NormalWeb"/>
              <w:spacing w:before="0" w:beforeAutospacing="0" w:after="0" w:afterAutospacing="0" w:line="276" w:lineRule="auto"/>
              <w:rPr>
                <w:rFonts w:eastAsiaTheme="minorHAnsi"/>
                <w:sz w:val="22"/>
                <w:szCs w:val="22"/>
                <w:lang w:val="en-US" w:eastAsia="fr-FR"/>
              </w:rPr>
            </w:pPr>
            <w:r w:rsidRPr="009B0448">
              <w:rPr>
                <w:rFonts w:eastAsiaTheme="minorHAnsi"/>
                <w:sz w:val="22"/>
                <w:szCs w:val="22"/>
                <w:lang w:val="en-US" w:eastAsia="fr-FR"/>
              </w:rPr>
              <w:t>Morocco</w:t>
            </w:r>
          </w:p>
        </w:tc>
        <w:tc>
          <w:tcPr>
            <w:tcW w:w="6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8388F6"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17</w:t>
            </w:r>
          </w:p>
        </w:tc>
        <w:tc>
          <w:tcPr>
            <w:tcW w:w="61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29F2D9"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31</w:t>
            </w:r>
          </w:p>
        </w:tc>
        <w:tc>
          <w:tcPr>
            <w:tcW w:w="5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56527C"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1</w:t>
            </w:r>
          </w:p>
        </w:tc>
        <w:tc>
          <w:tcPr>
            <w:tcW w:w="7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A74F37"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1</w:t>
            </w:r>
          </w:p>
        </w:tc>
        <w:tc>
          <w:tcPr>
            <w:tcW w:w="6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96C7AD"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4</w:t>
            </w:r>
          </w:p>
        </w:tc>
        <w:tc>
          <w:tcPr>
            <w:tcW w:w="6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76F165"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1</w:t>
            </w:r>
          </w:p>
        </w:tc>
        <w:tc>
          <w:tcPr>
            <w:tcW w:w="6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177659"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54</w:t>
            </w:r>
          </w:p>
        </w:tc>
      </w:tr>
      <w:tr w:rsidR="009B0448" w:rsidRPr="009B0448" w14:paraId="623DCA0C" w14:textId="77777777" w:rsidTr="009B0448">
        <w:tc>
          <w:tcPr>
            <w:cnfStyle w:val="001000000000" w:firstRow="0" w:lastRow="0" w:firstColumn="1" w:lastColumn="0" w:oddVBand="0" w:evenVBand="0" w:oddHBand="0" w:evenHBand="0" w:firstRowFirstColumn="0" w:firstRowLastColumn="0" w:lastRowFirstColumn="0" w:lastRowLastColumn="0"/>
            <w:tcW w:w="57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E70CA5" w14:textId="77777777" w:rsidR="009B0448" w:rsidRPr="009B0448" w:rsidRDefault="009B0448">
            <w:pPr>
              <w:pStyle w:val="NormalWeb"/>
              <w:spacing w:before="0" w:beforeAutospacing="0" w:after="0" w:afterAutospacing="0" w:line="276" w:lineRule="auto"/>
              <w:rPr>
                <w:rFonts w:eastAsiaTheme="minorHAnsi"/>
                <w:sz w:val="22"/>
                <w:szCs w:val="22"/>
                <w:lang w:val="en-US" w:eastAsia="fr-FR"/>
              </w:rPr>
            </w:pPr>
            <w:r w:rsidRPr="009B0448">
              <w:rPr>
                <w:rFonts w:eastAsiaTheme="minorHAnsi"/>
                <w:sz w:val="22"/>
                <w:szCs w:val="22"/>
                <w:lang w:val="en-US" w:eastAsia="fr-FR"/>
              </w:rPr>
              <w:t>Algeria</w:t>
            </w:r>
          </w:p>
        </w:tc>
        <w:tc>
          <w:tcPr>
            <w:tcW w:w="6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DCF75A"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0</w:t>
            </w:r>
          </w:p>
        </w:tc>
        <w:tc>
          <w:tcPr>
            <w:tcW w:w="61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09F044"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36</w:t>
            </w:r>
          </w:p>
        </w:tc>
        <w:tc>
          <w:tcPr>
            <w:tcW w:w="5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533FDD"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1</w:t>
            </w:r>
          </w:p>
        </w:tc>
        <w:tc>
          <w:tcPr>
            <w:tcW w:w="7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C5CEFC"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No data</w:t>
            </w:r>
          </w:p>
        </w:tc>
        <w:tc>
          <w:tcPr>
            <w:tcW w:w="6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A2813F"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0</w:t>
            </w:r>
          </w:p>
        </w:tc>
        <w:tc>
          <w:tcPr>
            <w:tcW w:w="6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4536B7"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0</w:t>
            </w:r>
          </w:p>
        </w:tc>
        <w:tc>
          <w:tcPr>
            <w:tcW w:w="6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50C261"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38</w:t>
            </w:r>
          </w:p>
        </w:tc>
      </w:tr>
      <w:tr w:rsidR="009B0448" w:rsidRPr="009B0448" w14:paraId="3DEF5B14"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7D11C9" w14:textId="77777777" w:rsidR="009B0448" w:rsidRPr="009B0448" w:rsidRDefault="009B0448">
            <w:pPr>
              <w:pStyle w:val="NormalWeb"/>
              <w:spacing w:before="0" w:beforeAutospacing="0" w:after="0" w:afterAutospacing="0" w:line="276" w:lineRule="auto"/>
              <w:rPr>
                <w:rFonts w:eastAsiaTheme="minorHAnsi"/>
                <w:sz w:val="22"/>
                <w:szCs w:val="22"/>
                <w:lang w:val="en-US" w:eastAsia="fr-FR"/>
              </w:rPr>
            </w:pPr>
            <w:r w:rsidRPr="009B0448">
              <w:rPr>
                <w:rFonts w:eastAsiaTheme="minorHAnsi"/>
                <w:sz w:val="22"/>
                <w:szCs w:val="22"/>
                <w:lang w:val="en-US" w:eastAsia="fr-FR"/>
              </w:rPr>
              <w:t>Tunisia</w:t>
            </w:r>
          </w:p>
        </w:tc>
        <w:tc>
          <w:tcPr>
            <w:tcW w:w="6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204DA6"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3</w:t>
            </w:r>
          </w:p>
        </w:tc>
        <w:tc>
          <w:tcPr>
            <w:tcW w:w="61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4F9613"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81</w:t>
            </w:r>
          </w:p>
        </w:tc>
        <w:tc>
          <w:tcPr>
            <w:tcW w:w="5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3D164B"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11</w:t>
            </w:r>
          </w:p>
        </w:tc>
        <w:tc>
          <w:tcPr>
            <w:tcW w:w="7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8D085A"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0</w:t>
            </w:r>
          </w:p>
        </w:tc>
        <w:tc>
          <w:tcPr>
            <w:tcW w:w="6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8614A7"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2</w:t>
            </w:r>
          </w:p>
        </w:tc>
        <w:tc>
          <w:tcPr>
            <w:tcW w:w="6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D307BB"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12</w:t>
            </w:r>
          </w:p>
        </w:tc>
        <w:tc>
          <w:tcPr>
            <w:tcW w:w="6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DC9290"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109</w:t>
            </w:r>
          </w:p>
        </w:tc>
      </w:tr>
      <w:tr w:rsidR="009B0448" w:rsidRPr="009B0448" w14:paraId="3ECF16A1" w14:textId="77777777" w:rsidTr="009B0448">
        <w:tc>
          <w:tcPr>
            <w:cnfStyle w:val="001000000000" w:firstRow="0" w:lastRow="0" w:firstColumn="1" w:lastColumn="0" w:oddVBand="0" w:evenVBand="0" w:oddHBand="0" w:evenHBand="0" w:firstRowFirstColumn="0" w:firstRowLastColumn="0" w:lastRowFirstColumn="0" w:lastRowLastColumn="0"/>
            <w:tcW w:w="57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85F405" w14:textId="77777777" w:rsidR="009B0448" w:rsidRPr="009B0448" w:rsidRDefault="009B0448">
            <w:pPr>
              <w:pStyle w:val="NormalWeb"/>
              <w:spacing w:before="0" w:beforeAutospacing="0" w:after="0" w:afterAutospacing="0" w:line="276" w:lineRule="auto"/>
              <w:rPr>
                <w:rFonts w:eastAsiaTheme="minorHAnsi"/>
                <w:sz w:val="22"/>
                <w:szCs w:val="22"/>
                <w:lang w:val="en-US" w:eastAsia="fr-FR"/>
              </w:rPr>
            </w:pPr>
            <w:r w:rsidRPr="009B0448">
              <w:rPr>
                <w:rFonts w:eastAsiaTheme="minorHAnsi"/>
                <w:sz w:val="22"/>
                <w:szCs w:val="22"/>
                <w:lang w:val="en-US" w:eastAsia="fr-FR"/>
              </w:rPr>
              <w:t>Egypt</w:t>
            </w:r>
          </w:p>
        </w:tc>
        <w:tc>
          <w:tcPr>
            <w:tcW w:w="6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EF30EC"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7</w:t>
            </w:r>
          </w:p>
        </w:tc>
        <w:tc>
          <w:tcPr>
            <w:tcW w:w="61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347DAF"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No data</w:t>
            </w:r>
          </w:p>
        </w:tc>
        <w:tc>
          <w:tcPr>
            <w:tcW w:w="5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C6AC5E"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No data</w:t>
            </w:r>
          </w:p>
        </w:tc>
        <w:tc>
          <w:tcPr>
            <w:tcW w:w="7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CF6D7C"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No data</w:t>
            </w:r>
          </w:p>
        </w:tc>
        <w:tc>
          <w:tcPr>
            <w:tcW w:w="6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A817FF"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97</w:t>
            </w:r>
          </w:p>
        </w:tc>
        <w:tc>
          <w:tcPr>
            <w:tcW w:w="6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AD6555"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No data</w:t>
            </w:r>
          </w:p>
        </w:tc>
        <w:tc>
          <w:tcPr>
            <w:tcW w:w="6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15439A" w14:textId="77777777" w:rsidR="009B0448" w:rsidRPr="009B0448" w:rsidRDefault="009B0448">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104</w:t>
            </w:r>
          </w:p>
        </w:tc>
      </w:tr>
      <w:tr w:rsidR="009B0448" w:rsidRPr="009B0448" w14:paraId="6DA93E0A"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A3F45C" w14:textId="77777777" w:rsidR="009B0448" w:rsidRPr="009B0448" w:rsidRDefault="009B0448">
            <w:pPr>
              <w:pStyle w:val="NormalWeb"/>
              <w:spacing w:before="0" w:beforeAutospacing="0" w:after="0" w:afterAutospacing="0" w:line="276" w:lineRule="auto"/>
              <w:rPr>
                <w:rFonts w:eastAsiaTheme="minorHAnsi"/>
                <w:sz w:val="22"/>
                <w:szCs w:val="22"/>
                <w:lang w:val="en-US" w:eastAsia="fr-FR"/>
              </w:rPr>
            </w:pPr>
            <w:r w:rsidRPr="009B0448">
              <w:rPr>
                <w:rFonts w:eastAsiaTheme="minorHAnsi"/>
                <w:sz w:val="22"/>
                <w:szCs w:val="22"/>
                <w:lang w:val="en-US" w:eastAsia="fr-FR"/>
              </w:rPr>
              <w:t>Average</w:t>
            </w:r>
          </w:p>
        </w:tc>
        <w:tc>
          <w:tcPr>
            <w:tcW w:w="63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E2270B"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11</w:t>
            </w:r>
          </w:p>
        </w:tc>
        <w:tc>
          <w:tcPr>
            <w:tcW w:w="61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009EA0"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35</w:t>
            </w:r>
          </w:p>
        </w:tc>
        <w:tc>
          <w:tcPr>
            <w:tcW w:w="59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ED21A7F"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2</w:t>
            </w:r>
          </w:p>
        </w:tc>
        <w:tc>
          <w:tcPr>
            <w:tcW w:w="75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4F40B8"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1</w:t>
            </w:r>
          </w:p>
        </w:tc>
        <w:tc>
          <w:tcPr>
            <w:tcW w:w="6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72B0BA"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3</w:t>
            </w:r>
          </w:p>
        </w:tc>
        <w:tc>
          <w:tcPr>
            <w:tcW w:w="61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F2C043"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1</w:t>
            </w:r>
          </w:p>
        </w:tc>
        <w:tc>
          <w:tcPr>
            <w:tcW w:w="61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C6AB5F" w14:textId="77777777" w:rsidR="009B0448" w:rsidRPr="009B0448" w:rsidRDefault="009B0448">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eastAsiaTheme="minorHAnsi"/>
                <w:sz w:val="22"/>
                <w:szCs w:val="22"/>
                <w:lang w:val="en-US" w:eastAsia="fr-FR"/>
              </w:rPr>
            </w:pPr>
            <w:r w:rsidRPr="009B0448">
              <w:rPr>
                <w:rFonts w:eastAsiaTheme="minorHAnsi"/>
                <w:sz w:val="22"/>
                <w:szCs w:val="22"/>
                <w:lang w:val="en-US" w:eastAsia="fr-FR"/>
              </w:rPr>
              <w:t>54</w:t>
            </w:r>
          </w:p>
        </w:tc>
      </w:tr>
    </w:tbl>
    <w:p w14:paraId="10BE0072"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64" w:name="_Toc501997880"/>
      <w:bookmarkStart w:id="65" w:name="_Toc519499808"/>
      <w:r w:rsidRPr="009B0448">
        <w:rPr>
          <w:rFonts w:cs="Times New Roman"/>
          <w:sz w:val="22"/>
          <w:szCs w:val="22"/>
        </w:rPr>
        <w:t>Energy</w:t>
      </w:r>
      <w:bookmarkEnd w:id="64"/>
      <w:bookmarkEnd w:id="65"/>
    </w:p>
    <w:p w14:paraId="6423BDCC"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Fuelwood is the dominant source of energy in Africa (World Bank data repository, 2017), with over 90% of energy needs in rural areas supported by fuel wood. Urban areas rely more on charcoal as a </w:t>
      </w:r>
      <w:r w:rsidRPr="009B0448">
        <w:rPr>
          <w:rFonts w:ascii="Times New Roman" w:eastAsia="Times New Roman" w:hAnsi="Times New Roman" w:cs="Times New Roman"/>
          <w:noProof/>
        </w:rPr>
        <w:t>source</w:t>
      </w:r>
      <w:r w:rsidRPr="009B0448">
        <w:rPr>
          <w:rFonts w:ascii="Times New Roman" w:eastAsia="Times New Roman" w:hAnsi="Times New Roman" w:cs="Times New Roman"/>
        </w:rPr>
        <w:t xml:space="preserve"> of energy for cooking (Bailis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Figure 2.6). For instance, in Tanzania, direct dependence fuelwood is high; 92% of rural households rely on it for cooking, whereas 50% of the urban population uses charcoal (National Bureau of Statistics Tanzania, 2011). In Central Africa, demand for household energy from rapidly growing urban centres (e.g., Kinshasa; Chapter 3) exerts massive pressure on forests (World Bank, 2013). Nlom (2011), identified fuelwood as the dominant energy source in the Congo Basin (mostly sourced from </w:t>
      </w:r>
      <w:r w:rsidRPr="009B0448">
        <w:rPr>
          <w:rFonts w:ascii="Times New Roman" w:eastAsia="Times New Roman" w:hAnsi="Times New Roman" w:cs="Times New Roman"/>
          <w:noProof/>
        </w:rPr>
        <w:t>the natural</w:t>
      </w:r>
      <w:r w:rsidRPr="009B0448">
        <w:rPr>
          <w:rFonts w:ascii="Times New Roman" w:eastAsia="Times New Roman" w:hAnsi="Times New Roman" w:cs="Times New Roman"/>
        </w:rPr>
        <w:t xml:space="preserve"> forest). The annual consumption has been recorded at around 95 million m</w:t>
      </w:r>
      <w:r w:rsidRPr="009B0448">
        <w:rPr>
          <w:rFonts w:ascii="Times New Roman" w:eastAsia="Times New Roman" w:hAnsi="Times New Roman" w:cs="Times New Roman"/>
          <w:vertAlign w:val="superscript"/>
        </w:rPr>
        <w:t>3</w:t>
      </w:r>
      <w:r w:rsidRPr="009B0448">
        <w:rPr>
          <w:rFonts w:ascii="Times New Roman" w:eastAsia="Times New Roman" w:hAnsi="Times New Roman" w:cs="Times New Roman"/>
        </w:rPr>
        <w:t>, mainly comprising firewood, with a total value of some $2.8 billion (Table 2.5).</w:t>
      </w:r>
    </w:p>
    <w:p w14:paraId="4A3537A4" w14:textId="77777777" w:rsidR="009B0448" w:rsidRPr="009B0448" w:rsidRDefault="009B0448" w:rsidP="009B0448">
      <w:pPr>
        <w:spacing w:line="276" w:lineRule="auto"/>
        <w:jc w:val="both"/>
        <w:rPr>
          <w:rFonts w:ascii="Times New Roman" w:eastAsia="Times New Roman" w:hAnsi="Times New Roman" w:cs="Times New Roman"/>
        </w:rPr>
      </w:pPr>
    </w:p>
    <w:p w14:paraId="76A46411"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Table 2.5:</w:t>
      </w:r>
      <w:r w:rsidRPr="009B0448">
        <w:rPr>
          <w:rFonts w:ascii="Times New Roman" w:eastAsia="Times New Roman" w:hAnsi="Times New Roman" w:cs="Times New Roman"/>
        </w:rPr>
        <w:t xml:space="preserve"> Value of fuelwood production in Congo Basin countries (2008). Source: Nlom (2011).</w:t>
      </w:r>
    </w:p>
    <w:tbl>
      <w:tblPr>
        <w:tblStyle w:val="PlainTable11"/>
        <w:tblW w:w="5000" w:type="pct"/>
        <w:tblLayout w:type="fixed"/>
        <w:tblLook w:val="04A0" w:firstRow="1" w:lastRow="0" w:firstColumn="1" w:lastColumn="0" w:noHBand="0" w:noVBand="1"/>
      </w:tblPr>
      <w:tblGrid>
        <w:gridCol w:w="1184"/>
        <w:gridCol w:w="1106"/>
        <w:gridCol w:w="1212"/>
        <w:gridCol w:w="1074"/>
        <w:gridCol w:w="1078"/>
        <w:gridCol w:w="1339"/>
        <w:gridCol w:w="918"/>
        <w:gridCol w:w="1106"/>
      </w:tblGrid>
      <w:tr w:rsidR="009B0448" w:rsidRPr="009B0448" w14:paraId="445EACEC" w14:textId="77777777" w:rsidTr="009B04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B9FEA0C" w14:textId="77777777" w:rsidR="009B0448" w:rsidRPr="009B0448" w:rsidRDefault="009B0448">
            <w:pPr>
              <w:spacing w:line="276" w:lineRule="auto"/>
              <w:ind w:left="98"/>
              <w:rPr>
                <w:rFonts w:ascii="Times New Roman" w:eastAsia="Calibri" w:hAnsi="Times New Roman" w:cs="Times New Roman"/>
              </w:rPr>
            </w:pPr>
          </w:p>
        </w:tc>
        <w:tc>
          <w:tcPr>
            <w:tcW w:w="11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E28A3A" w14:textId="77777777" w:rsidR="009B0448" w:rsidRPr="009B0448" w:rsidRDefault="009B0448">
            <w:pPr>
              <w:spacing w:line="276" w:lineRule="auto"/>
              <w:ind w:left="98"/>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Cameroon</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DDB1ED" w14:textId="77777777" w:rsidR="009B0448" w:rsidRPr="009B0448" w:rsidRDefault="009B0448">
            <w:pPr>
              <w:spacing w:line="276" w:lineRule="auto"/>
              <w:ind w:left="98"/>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Central African Republic</w:t>
            </w:r>
          </w:p>
        </w:tc>
        <w:tc>
          <w:tcPr>
            <w:tcW w:w="11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FFCFA6" w14:textId="77777777" w:rsidR="009B0448" w:rsidRPr="009B0448" w:rsidRDefault="009B0448">
            <w:pPr>
              <w:spacing w:line="276" w:lineRule="auto"/>
              <w:ind w:left="98"/>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Congo</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CE0B91" w14:textId="77777777" w:rsidR="009B0448" w:rsidRPr="009B0448" w:rsidRDefault="009B0448">
            <w:pPr>
              <w:spacing w:line="276" w:lineRule="auto"/>
              <w:ind w:left="98"/>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DRC</w:t>
            </w:r>
          </w:p>
        </w:tc>
        <w:tc>
          <w:tcPr>
            <w:tcW w:w="141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9E81AE" w14:textId="77777777" w:rsidR="009B0448" w:rsidRPr="009B0448" w:rsidRDefault="009B0448">
            <w:pPr>
              <w:spacing w:line="276" w:lineRule="auto"/>
              <w:ind w:left="98"/>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Equatorial Guinea</w:t>
            </w:r>
          </w:p>
        </w:tc>
        <w:tc>
          <w:tcPr>
            <w:tcW w:w="9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E1DF68" w14:textId="77777777" w:rsidR="009B0448" w:rsidRPr="009B0448" w:rsidRDefault="009B0448">
            <w:pPr>
              <w:spacing w:line="276" w:lineRule="auto"/>
              <w:ind w:left="98"/>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Gabon</w:t>
            </w:r>
          </w:p>
        </w:tc>
        <w:tc>
          <w:tcPr>
            <w:tcW w:w="11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446189" w14:textId="77777777" w:rsidR="009B0448" w:rsidRPr="009B0448" w:rsidRDefault="009B0448">
            <w:pPr>
              <w:spacing w:line="276" w:lineRule="auto"/>
              <w:ind w:left="98"/>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Total</w:t>
            </w:r>
          </w:p>
        </w:tc>
      </w:tr>
      <w:tr w:rsidR="009B0448" w:rsidRPr="009B0448" w14:paraId="11E1C414" w14:textId="77777777" w:rsidTr="009B0448">
        <w:trPr>
          <w:cnfStyle w:val="000000100000" w:firstRow="0" w:lastRow="0" w:firstColumn="0" w:lastColumn="0" w:oddVBand="0" w:evenVBand="0" w:oddHBand="1"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1C9FCA" w14:textId="74FE8713" w:rsidR="009B0448" w:rsidRPr="009B0448" w:rsidRDefault="009B0448" w:rsidP="00250F13">
            <w:pPr>
              <w:spacing w:line="276" w:lineRule="auto"/>
              <w:ind w:left="34"/>
              <w:rPr>
                <w:rFonts w:ascii="Times New Roman" w:hAnsi="Times New Roman" w:cs="Times New Roman"/>
              </w:rPr>
            </w:pPr>
            <w:r w:rsidRPr="009B0448">
              <w:rPr>
                <w:rFonts w:ascii="Times New Roman" w:hAnsi="Times New Roman" w:cs="Times New Roman"/>
              </w:rPr>
              <w:t>Firewood (</w:t>
            </w:r>
            <w:r w:rsidR="00250F13">
              <w:rPr>
                <w:rFonts w:ascii="Times New Roman" w:hAnsi="Times New Roman" w:cs="Times New Roman"/>
              </w:rPr>
              <w:t>m</w:t>
            </w:r>
            <w:r w:rsidR="00250F13" w:rsidRPr="00250F13">
              <w:rPr>
                <w:rFonts w:ascii="Times New Roman" w:hAnsi="Times New Roman" w:cs="Times New Roman"/>
                <w:vertAlign w:val="superscript"/>
              </w:rPr>
              <w:t>3</w:t>
            </w:r>
            <w:r w:rsidRPr="009B0448">
              <w:rPr>
                <w:rFonts w:ascii="Times New Roman" w:hAnsi="Times New Roman" w:cs="Times New Roman"/>
              </w:rPr>
              <w:t>)</w:t>
            </w:r>
          </w:p>
        </w:tc>
        <w:tc>
          <w:tcPr>
            <w:tcW w:w="11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2B0238" w14:textId="77777777" w:rsidR="009B0448" w:rsidRPr="009B0448" w:rsidRDefault="009B0448">
            <w:pPr>
              <w:widowControl w:val="0"/>
              <w:autoSpaceDE w:val="0"/>
              <w:autoSpaceDN w:val="0"/>
              <w:adjustRightInd w:val="0"/>
              <w:spacing w:after="240" w:line="276" w:lineRule="auto"/>
              <w:ind w:left="9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9,732.50</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00DF4E" w14:textId="77777777" w:rsidR="009B0448" w:rsidRPr="009B0448" w:rsidRDefault="009B0448">
            <w:pPr>
              <w:widowControl w:val="0"/>
              <w:autoSpaceDE w:val="0"/>
              <w:autoSpaceDN w:val="0"/>
              <w:adjustRightInd w:val="0"/>
              <w:spacing w:after="240" w:line="276" w:lineRule="auto"/>
              <w:ind w:left="9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6,016.50 </w:t>
            </w:r>
          </w:p>
        </w:tc>
        <w:tc>
          <w:tcPr>
            <w:tcW w:w="11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839FAF" w14:textId="77777777" w:rsidR="009B0448" w:rsidRPr="009B0448" w:rsidRDefault="009B0448">
            <w:pPr>
              <w:widowControl w:val="0"/>
              <w:autoSpaceDE w:val="0"/>
              <w:autoSpaceDN w:val="0"/>
              <w:adjustRightInd w:val="0"/>
              <w:spacing w:after="240" w:line="276" w:lineRule="auto"/>
              <w:ind w:left="9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1,295.10</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91C939" w14:textId="77777777" w:rsidR="009B0448" w:rsidRPr="009B0448" w:rsidRDefault="009B0448">
            <w:pPr>
              <w:widowControl w:val="0"/>
              <w:autoSpaceDE w:val="0"/>
              <w:autoSpaceDN w:val="0"/>
              <w:adjustRightInd w:val="0"/>
              <w:spacing w:after="240" w:line="276" w:lineRule="auto"/>
              <w:ind w:left="98" w:hanging="6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74,315.30 </w:t>
            </w:r>
          </w:p>
        </w:tc>
        <w:tc>
          <w:tcPr>
            <w:tcW w:w="141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E188F1" w14:textId="77777777" w:rsidR="009B0448" w:rsidRPr="009B0448" w:rsidRDefault="009B0448">
            <w:pPr>
              <w:widowControl w:val="0"/>
              <w:autoSpaceDE w:val="0"/>
              <w:autoSpaceDN w:val="0"/>
              <w:adjustRightInd w:val="0"/>
              <w:spacing w:after="240" w:line="276" w:lineRule="auto"/>
              <w:ind w:left="9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188.8 </w:t>
            </w:r>
          </w:p>
        </w:tc>
        <w:tc>
          <w:tcPr>
            <w:tcW w:w="9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4F5B7E" w14:textId="77777777" w:rsidR="009B0448" w:rsidRPr="009B0448" w:rsidRDefault="009B0448">
            <w:pPr>
              <w:widowControl w:val="0"/>
              <w:autoSpaceDE w:val="0"/>
              <w:autoSpaceDN w:val="0"/>
              <w:adjustRightInd w:val="0"/>
              <w:spacing w:after="240" w:line="276" w:lineRule="auto"/>
              <w:ind w:left="9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534.1 </w:t>
            </w:r>
          </w:p>
        </w:tc>
        <w:tc>
          <w:tcPr>
            <w:tcW w:w="11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75D7BA" w14:textId="77777777" w:rsidR="009B0448" w:rsidRPr="009B0448" w:rsidRDefault="009B0448">
            <w:pPr>
              <w:widowControl w:val="0"/>
              <w:autoSpaceDE w:val="0"/>
              <w:autoSpaceDN w:val="0"/>
              <w:adjustRightInd w:val="0"/>
              <w:spacing w:after="240" w:line="276" w:lineRule="auto"/>
              <w:ind w:left="98" w:hanging="6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92,082.3 </w:t>
            </w:r>
          </w:p>
        </w:tc>
      </w:tr>
      <w:tr w:rsidR="009B0448" w:rsidRPr="009B0448" w14:paraId="4698444E" w14:textId="77777777" w:rsidTr="009B0448">
        <w:tc>
          <w:tcPr>
            <w:cnfStyle w:val="001000000000" w:firstRow="0" w:lastRow="0" w:firstColumn="1" w:lastColumn="0" w:oddVBand="0" w:evenVBand="0" w:oddHBand="0" w:evenHBand="0" w:firstRowFirstColumn="0" w:firstRowLastColumn="0" w:lastRowFirstColumn="0" w:lastRowLastColumn="0"/>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2BEE03" w14:textId="6390E946" w:rsidR="009B0448" w:rsidRPr="009B0448" w:rsidRDefault="009B0448" w:rsidP="00250F13">
            <w:pPr>
              <w:spacing w:line="276" w:lineRule="auto"/>
              <w:ind w:left="98" w:hanging="64"/>
              <w:rPr>
                <w:rFonts w:ascii="Times New Roman" w:hAnsi="Times New Roman" w:cs="Times New Roman"/>
              </w:rPr>
            </w:pPr>
            <w:r w:rsidRPr="009B0448">
              <w:rPr>
                <w:rFonts w:ascii="Times New Roman" w:hAnsi="Times New Roman" w:cs="Times New Roman"/>
              </w:rPr>
              <w:t>Charcoal (tons)</w:t>
            </w:r>
          </w:p>
        </w:tc>
        <w:tc>
          <w:tcPr>
            <w:tcW w:w="11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56AC27" w14:textId="77777777" w:rsidR="009B0448" w:rsidRPr="009B0448" w:rsidRDefault="009B0448">
            <w:pPr>
              <w:widowControl w:val="0"/>
              <w:autoSpaceDE w:val="0"/>
              <w:autoSpaceDN w:val="0"/>
              <w:adjustRightInd w:val="0"/>
              <w:spacing w:after="240" w:line="276" w:lineRule="auto"/>
              <w:ind w:left="9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409.5</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171D73" w14:textId="77777777" w:rsidR="009B0448" w:rsidRPr="009B0448" w:rsidRDefault="009B0448">
            <w:pPr>
              <w:widowControl w:val="0"/>
              <w:autoSpaceDE w:val="0"/>
              <w:autoSpaceDN w:val="0"/>
              <w:adjustRightInd w:val="0"/>
              <w:spacing w:after="240" w:line="276" w:lineRule="auto"/>
              <w:ind w:left="9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185.5 </w:t>
            </w:r>
          </w:p>
        </w:tc>
        <w:tc>
          <w:tcPr>
            <w:tcW w:w="11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D190FC" w14:textId="77777777" w:rsidR="009B0448" w:rsidRPr="009B0448" w:rsidRDefault="009B0448">
            <w:pPr>
              <w:widowControl w:val="0"/>
              <w:autoSpaceDE w:val="0"/>
              <w:autoSpaceDN w:val="0"/>
              <w:adjustRightInd w:val="0"/>
              <w:spacing w:after="240" w:line="276" w:lineRule="auto"/>
              <w:ind w:left="9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3.6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B3BC9C" w14:textId="77777777" w:rsidR="009B0448" w:rsidRPr="009B0448" w:rsidRDefault="009B0448">
            <w:pPr>
              <w:widowControl w:val="0"/>
              <w:autoSpaceDE w:val="0"/>
              <w:autoSpaceDN w:val="0"/>
              <w:adjustRightInd w:val="0"/>
              <w:spacing w:after="240" w:line="276" w:lineRule="auto"/>
              <w:ind w:left="98" w:hanging="9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1,890.00 </w:t>
            </w:r>
          </w:p>
        </w:tc>
        <w:tc>
          <w:tcPr>
            <w:tcW w:w="141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5774D5" w14:textId="77777777" w:rsidR="009B0448" w:rsidRPr="009B0448" w:rsidRDefault="009B0448">
            <w:pPr>
              <w:widowControl w:val="0"/>
              <w:autoSpaceDE w:val="0"/>
              <w:autoSpaceDN w:val="0"/>
              <w:adjustRightInd w:val="0"/>
              <w:spacing w:after="240" w:line="276" w:lineRule="auto"/>
              <w:ind w:left="9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8.5 </w:t>
            </w:r>
          </w:p>
        </w:tc>
        <w:tc>
          <w:tcPr>
            <w:tcW w:w="9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29BFC9" w14:textId="77777777" w:rsidR="009B0448" w:rsidRPr="009B0448" w:rsidRDefault="009B0448">
            <w:pPr>
              <w:widowControl w:val="0"/>
              <w:autoSpaceDE w:val="0"/>
              <w:autoSpaceDN w:val="0"/>
              <w:adjustRightInd w:val="0"/>
              <w:spacing w:after="240" w:line="276" w:lineRule="auto"/>
              <w:ind w:left="9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19.2 </w:t>
            </w:r>
          </w:p>
        </w:tc>
        <w:tc>
          <w:tcPr>
            <w:tcW w:w="11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AF4289" w14:textId="77777777" w:rsidR="009B0448" w:rsidRPr="009B0448" w:rsidRDefault="009B0448">
            <w:pPr>
              <w:widowControl w:val="0"/>
              <w:autoSpaceDE w:val="0"/>
              <w:autoSpaceDN w:val="0"/>
              <w:adjustRightInd w:val="0"/>
              <w:spacing w:after="240" w:line="276" w:lineRule="auto"/>
              <w:ind w:left="98" w:hanging="6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2,516.3 </w:t>
            </w:r>
          </w:p>
        </w:tc>
      </w:tr>
      <w:tr w:rsidR="009B0448" w:rsidRPr="009B0448" w14:paraId="6D9647FE"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814990" w14:textId="77777777" w:rsidR="009B0448" w:rsidRPr="009B0448" w:rsidRDefault="009B0448">
            <w:pPr>
              <w:spacing w:line="276" w:lineRule="auto"/>
              <w:ind w:left="98" w:hanging="64"/>
              <w:rPr>
                <w:rFonts w:ascii="Times New Roman" w:hAnsi="Times New Roman" w:cs="Times New Roman"/>
              </w:rPr>
            </w:pPr>
            <w:r w:rsidRPr="009B0448">
              <w:rPr>
                <w:rFonts w:ascii="Times New Roman" w:hAnsi="Times New Roman" w:cs="Times New Roman"/>
              </w:rPr>
              <w:t>Fuelwood value ($)</w:t>
            </w:r>
          </w:p>
        </w:tc>
        <w:tc>
          <w:tcPr>
            <w:tcW w:w="11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F0025D" w14:textId="77777777" w:rsidR="009B0448" w:rsidRPr="009B0448" w:rsidRDefault="009B0448">
            <w:pPr>
              <w:widowControl w:val="0"/>
              <w:autoSpaceDE w:val="0"/>
              <w:autoSpaceDN w:val="0"/>
              <w:adjustRightInd w:val="0"/>
              <w:spacing w:after="240" w:line="276" w:lineRule="auto"/>
              <w:ind w:left="9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304,260</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977697" w14:textId="77777777" w:rsidR="009B0448" w:rsidRPr="009B0448" w:rsidRDefault="009B0448">
            <w:pPr>
              <w:widowControl w:val="0"/>
              <w:autoSpaceDE w:val="0"/>
              <w:autoSpaceDN w:val="0"/>
              <w:adjustRightInd w:val="0"/>
              <w:spacing w:after="240" w:line="276" w:lineRule="auto"/>
              <w:ind w:left="9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186,060 </w:t>
            </w:r>
          </w:p>
        </w:tc>
        <w:tc>
          <w:tcPr>
            <w:tcW w:w="112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AD394C" w14:textId="77777777" w:rsidR="009B0448" w:rsidRPr="009B0448" w:rsidRDefault="009B0448">
            <w:pPr>
              <w:widowControl w:val="0"/>
              <w:autoSpaceDE w:val="0"/>
              <w:autoSpaceDN w:val="0"/>
              <w:adjustRightInd w:val="0"/>
              <w:spacing w:after="240" w:line="276" w:lineRule="auto"/>
              <w:ind w:left="9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38,961 </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7C0C87" w14:textId="77777777" w:rsidR="009B0448" w:rsidRPr="009B0448" w:rsidRDefault="009B0448">
            <w:pPr>
              <w:widowControl w:val="0"/>
              <w:autoSpaceDE w:val="0"/>
              <w:autoSpaceDN w:val="0"/>
              <w:adjustRightInd w:val="0"/>
              <w:spacing w:after="240" w:line="276" w:lineRule="auto"/>
              <w:ind w:left="98" w:hanging="6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2,286,159 </w:t>
            </w:r>
          </w:p>
        </w:tc>
        <w:tc>
          <w:tcPr>
            <w:tcW w:w="141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F94A72" w14:textId="77777777" w:rsidR="009B0448" w:rsidRPr="009B0448" w:rsidRDefault="009B0448">
            <w:pPr>
              <w:widowControl w:val="0"/>
              <w:autoSpaceDE w:val="0"/>
              <w:autoSpaceDN w:val="0"/>
              <w:adjustRightInd w:val="0"/>
              <w:spacing w:after="240" w:line="276" w:lineRule="auto"/>
              <w:ind w:left="9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5,919 </w:t>
            </w:r>
          </w:p>
        </w:tc>
        <w:tc>
          <w:tcPr>
            <w:tcW w:w="9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A9C21E" w14:textId="77777777" w:rsidR="009B0448" w:rsidRPr="009B0448" w:rsidRDefault="009B0448">
            <w:pPr>
              <w:widowControl w:val="0"/>
              <w:autoSpaceDE w:val="0"/>
              <w:autoSpaceDN w:val="0"/>
              <w:adjustRightInd w:val="0"/>
              <w:spacing w:after="240" w:line="276" w:lineRule="auto"/>
              <w:ind w:left="9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16,599 </w:t>
            </w:r>
          </w:p>
        </w:tc>
        <w:tc>
          <w:tcPr>
            <w:tcW w:w="11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88D66A" w14:textId="77777777" w:rsidR="009B0448" w:rsidRPr="009B0448" w:rsidRDefault="009B0448">
            <w:pPr>
              <w:widowControl w:val="0"/>
              <w:autoSpaceDE w:val="0"/>
              <w:autoSpaceDN w:val="0"/>
              <w:adjustRightInd w:val="0"/>
              <w:spacing w:after="240" w:line="276" w:lineRule="auto"/>
              <w:ind w:left="98" w:hanging="64"/>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2,837,958 </w:t>
            </w:r>
          </w:p>
        </w:tc>
      </w:tr>
    </w:tbl>
    <w:p w14:paraId="3954D0E9" w14:textId="77777777" w:rsidR="009B0448" w:rsidRPr="009B0448" w:rsidRDefault="009B0448" w:rsidP="009B0448">
      <w:pPr>
        <w:spacing w:line="276" w:lineRule="auto"/>
        <w:jc w:val="both"/>
        <w:rPr>
          <w:rFonts w:ascii="Times New Roman" w:eastAsia="Times New Roman" w:hAnsi="Times New Roman" w:cs="Times New Roman"/>
        </w:rPr>
      </w:pPr>
    </w:p>
    <w:p w14:paraId="05DF5B61"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East Africa and adjacent islands, 70–85% of urban households rely on charcoal, and between 2000 and 2010 the demand for charcoal grew at 3%/year, while firewood grew at 1%/year (World Agroforestry Centre, 2013; Chapter 3). Charcoal production constitutes an important source of income in rural Africa, but is, in certain areas, at the expense of forest cover (Chapters 1, 3 &amp; 4). Currently wood fuel, i.e., firewood and </w:t>
      </w:r>
      <w:r w:rsidRPr="009B0448">
        <w:rPr>
          <w:rFonts w:ascii="Times New Roman" w:eastAsia="Times New Roman" w:hAnsi="Times New Roman" w:cs="Times New Roman"/>
          <w:noProof/>
        </w:rPr>
        <w:t>charcoal</w:t>
      </w:r>
      <w:r w:rsidRPr="009B0448">
        <w:rPr>
          <w:rFonts w:ascii="Times New Roman" w:eastAsia="Times New Roman" w:hAnsi="Times New Roman" w:cs="Times New Roman"/>
        </w:rPr>
        <w:t xml:space="preserve"> accounts for around 10% of global energy supply, but dominates energy provision in many parts of the developing world (OCDE/IEA, 2014). </w:t>
      </w:r>
    </w:p>
    <w:p w14:paraId="64C15ED2" w14:textId="77777777" w:rsidR="009B0448" w:rsidRPr="009B0448" w:rsidRDefault="009B0448" w:rsidP="009B0448">
      <w:pPr>
        <w:spacing w:line="276" w:lineRule="auto"/>
        <w:jc w:val="both"/>
        <w:rPr>
          <w:rFonts w:ascii="Times New Roman" w:eastAsia="Times New Roman" w:hAnsi="Times New Roman" w:cs="Times New Roman"/>
          <w:sz w:val="20"/>
          <w:szCs w:val="20"/>
        </w:rPr>
      </w:pPr>
    </w:p>
    <w:p w14:paraId="695F7C2C" w14:textId="7A83A769" w:rsidR="009B0448" w:rsidRPr="009B0448" w:rsidRDefault="009B0448" w:rsidP="009B0448">
      <w:pPr>
        <w:spacing w:line="276" w:lineRule="auto"/>
        <w:jc w:val="center"/>
        <w:rPr>
          <w:rFonts w:ascii="Times New Roman" w:hAnsi="Times New Roman" w:cs="Times New Roman"/>
        </w:rPr>
      </w:pPr>
      <w:r w:rsidRPr="009B0448">
        <w:rPr>
          <w:rFonts w:ascii="Times New Roman" w:hAnsi="Times New Roman" w:cs="Times New Roman"/>
          <w:noProof/>
          <w:lang w:eastAsia="en-GB"/>
        </w:rPr>
        <w:lastRenderedPageBreak/>
        <w:drawing>
          <wp:inline distT="0" distB="0" distL="0" distR="0" wp14:anchorId="57EB8210" wp14:editId="7FCE6E97">
            <wp:extent cx="5730240" cy="5596042"/>
            <wp:effectExtent l="0" t="0" r="3810" b="508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96">
                      <a:extLst>
                        <a:ext uri="{28A0092B-C50C-407E-A947-70E740481C1C}">
                          <a14:useLocalDpi xmlns:a14="http://schemas.microsoft.com/office/drawing/2010/main" val="0"/>
                        </a:ext>
                      </a:extLst>
                    </a:blip>
                    <a:stretch>
                      <a:fillRect/>
                    </a:stretch>
                  </pic:blipFill>
                  <pic:spPr bwMode="auto">
                    <a:xfrm>
                      <a:off x="0" y="0"/>
                      <a:ext cx="5730240" cy="5596042"/>
                    </a:xfrm>
                    <a:prstGeom prst="rect">
                      <a:avLst/>
                    </a:prstGeom>
                    <a:noFill/>
                    <a:ln>
                      <a:noFill/>
                    </a:ln>
                  </pic:spPr>
                </pic:pic>
              </a:graphicData>
            </a:graphic>
          </wp:inline>
        </w:drawing>
      </w:r>
    </w:p>
    <w:p w14:paraId="0F2B94AE"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Figure 2.6:</w:t>
      </w:r>
      <w:r w:rsidRPr="009B0448">
        <w:rPr>
          <w:rFonts w:ascii="Times New Roman" w:hAnsi="Times New Roman" w:cs="Times New Roman"/>
        </w:rPr>
        <w:t xml:space="preserve"> “Current per-capita biomass production in sub-Saharan Africa. The colours show total wood fuel consumption, and the pie charts show the fraction of wood that is used for charcoal, based on multiple sources. FAO biomass estimates (including charcoal) were roughly consistent with IEA estimates and were used for all countries except Angola, Kenya, South Africa, Sudan, and Zambia (20% of the region's population). For these countries, FAO biomass estimates would have been too low to meet minimal household energy needs when considered with energy use from fossil fuels and other energy sources reported by IEA. In all of these countries except Kenya, IEA estimates were used; for Kenya, data from a detailed national household fuel consumption study were used” Bailis </w:t>
      </w:r>
      <w:r w:rsidRPr="009B0448">
        <w:rPr>
          <w:rFonts w:ascii="Times New Roman" w:hAnsi="Times New Roman" w:cs="Times New Roman"/>
          <w:i/>
        </w:rPr>
        <w:t>et al.</w:t>
      </w:r>
      <w:r w:rsidRPr="009B0448">
        <w:rPr>
          <w:rFonts w:ascii="Times New Roman" w:hAnsi="Times New Roman" w:cs="Times New Roman"/>
        </w:rPr>
        <w:t xml:space="preserve"> (2005).</w:t>
      </w:r>
    </w:p>
    <w:p w14:paraId="15F391E2" w14:textId="77777777" w:rsidR="009B0448" w:rsidRPr="009B0448" w:rsidRDefault="009B0448" w:rsidP="009B0448">
      <w:pPr>
        <w:spacing w:line="276" w:lineRule="auto"/>
        <w:jc w:val="both"/>
        <w:rPr>
          <w:rFonts w:ascii="Times New Roman" w:hAnsi="Times New Roman" w:cs="Times New Roman"/>
        </w:rPr>
      </w:pPr>
    </w:p>
    <w:p w14:paraId="3C304732"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In sub-Saharan Africa, wood fuel accounts for &gt; 80% of energy supply and over 90% of the population relies on these sources of energy (Bailis </w:t>
      </w:r>
      <w:r w:rsidRPr="009B0448">
        <w:rPr>
          <w:rFonts w:ascii="Times New Roman" w:hAnsi="Times New Roman" w:cs="Times New Roman"/>
          <w:i/>
        </w:rPr>
        <w:t>et al.</w:t>
      </w:r>
      <w:r w:rsidRPr="009B0448">
        <w:rPr>
          <w:rFonts w:ascii="Times New Roman" w:hAnsi="Times New Roman" w:cs="Times New Roman"/>
        </w:rPr>
        <w:t xml:space="preserve">, 2005), </w:t>
      </w:r>
      <w:r w:rsidRPr="009B0448">
        <w:rPr>
          <w:rFonts w:ascii="Times New Roman" w:hAnsi="Times New Roman" w:cs="Times New Roman"/>
          <w:szCs w:val="20"/>
        </w:rPr>
        <w:t>except in South Africa where levels of electricity supply are relatively high. For instance, i</w:t>
      </w:r>
      <w:r w:rsidRPr="009B0448">
        <w:rPr>
          <w:rFonts w:ascii="Times New Roman" w:hAnsi="Times New Roman" w:cs="Times New Roman"/>
        </w:rPr>
        <w:t xml:space="preserve">t is estimated that four out of five people in the region are reliant on the traditional use of mainly fuelwood, for cooking (Bailis </w:t>
      </w:r>
      <w:r w:rsidRPr="009B0448">
        <w:rPr>
          <w:rFonts w:ascii="Times New Roman" w:hAnsi="Times New Roman" w:cs="Times New Roman"/>
          <w:i/>
        </w:rPr>
        <w:t>et al.</w:t>
      </w:r>
      <w:r w:rsidRPr="009B0448">
        <w:rPr>
          <w:rFonts w:ascii="Times New Roman" w:hAnsi="Times New Roman" w:cs="Times New Roman"/>
        </w:rPr>
        <w:t xml:space="preserve">, 2005). The expected increase in charcoal demand could significantly negatively impact on tree cover in dry forests and savannas, which supply much of the charcoal sold in the urban areas of sub-Saharan Africa (World Agroforestry Centre, 2013). In most sub-Saharan Africa countries, the wood-based biomass sector contributes significantly to employment, generally providing regular income to </w:t>
      </w:r>
      <w:r w:rsidRPr="009B0448">
        <w:rPr>
          <w:rFonts w:ascii="Times New Roman" w:hAnsi="Times New Roman" w:cs="Times New Roman"/>
          <w:noProof/>
        </w:rPr>
        <w:t>a large</w:t>
      </w:r>
      <w:r w:rsidRPr="009B0448">
        <w:rPr>
          <w:rFonts w:ascii="Times New Roman" w:hAnsi="Times New Roman" w:cs="Times New Roman"/>
        </w:rPr>
        <w:t xml:space="preserve"> portion of people. This </w:t>
      </w:r>
      <w:r w:rsidRPr="009B0448">
        <w:rPr>
          <w:rFonts w:ascii="Times New Roman" w:hAnsi="Times New Roman" w:cs="Times New Roman"/>
        </w:rPr>
        <w:lastRenderedPageBreak/>
        <w:t>assumption is based on three studies (in Kenya, Malawi and Tanzania), extrapolated to sub-Saharan Africa to show that the charcoal industry in this region might have been worth more than $8 billion in 2007, with more than 7 million people dependent on the sector for their livelihoods (World Bank, 2012).</w:t>
      </w:r>
    </w:p>
    <w:p w14:paraId="23281691" w14:textId="77777777" w:rsidR="009B0448" w:rsidRPr="009B0448" w:rsidRDefault="009B0448" w:rsidP="009B0448">
      <w:pPr>
        <w:spacing w:line="276" w:lineRule="auto"/>
        <w:jc w:val="both"/>
        <w:rPr>
          <w:rFonts w:ascii="Times New Roman" w:hAnsi="Times New Roman" w:cs="Times New Roman"/>
        </w:rPr>
      </w:pPr>
    </w:p>
    <w:p w14:paraId="53F68481"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Sub-Saharan Africa is rich in energy </w:t>
      </w:r>
      <w:r w:rsidRPr="009B0448">
        <w:rPr>
          <w:rFonts w:ascii="Times New Roman" w:hAnsi="Times New Roman" w:cs="Times New Roman"/>
          <w:noProof/>
        </w:rPr>
        <w:t>resources</w:t>
      </w:r>
      <w:r w:rsidRPr="009B0448">
        <w:rPr>
          <w:rFonts w:ascii="Times New Roman" w:hAnsi="Times New Roman" w:cs="Times New Roman"/>
        </w:rPr>
        <w:t xml:space="preserve"> but very poor in energy supply. Hydropower accounts for one-fifth of today’s power supply, but less than 10% of the estimated technical potential has been utilised. In Central Africa, only 9% of the population in the DRC has access to electricity. This is an example where huge hydropower potential is surpassed by extreme energy poverty. In East Africa and adjacent islands, mainly in Kenya and Ethiopia, geothermal energy serves as the second-largest source of power supply. Coal production and use gradually </w:t>
      </w:r>
      <w:r w:rsidRPr="009B0448">
        <w:rPr>
          <w:rFonts w:ascii="Times New Roman" w:hAnsi="Times New Roman" w:cs="Times New Roman"/>
          <w:noProof/>
        </w:rPr>
        <w:t>extend</w:t>
      </w:r>
      <w:r w:rsidRPr="009B0448">
        <w:rPr>
          <w:rFonts w:ascii="Times New Roman" w:hAnsi="Times New Roman" w:cs="Times New Roman"/>
        </w:rPr>
        <w:t xml:space="preserve"> beyond South Africa, but coal is surpassed by oil as the second-largest fuel in the sub-Saharan energy mix. Nigeria</w:t>
      </w:r>
      <w:r w:rsidRPr="009B0448">
        <w:rPr>
          <w:rFonts w:ascii="MS Mincho" w:eastAsia="MS Mincho" w:hAnsi="MS Mincho" w:cs="MS Mincho" w:hint="eastAsia"/>
          <w:lang w:val="en-ZA"/>
        </w:rPr>
        <w:t> </w:t>
      </w:r>
      <w:r w:rsidRPr="009B0448">
        <w:rPr>
          <w:rFonts w:ascii="Times New Roman" w:hAnsi="Times New Roman" w:cs="Times New Roman"/>
        </w:rPr>
        <w:t>remains the region’s largest gas consumer and producer, but significant offshore discoveries in Mozambique and</w:t>
      </w:r>
      <w:r w:rsidRPr="009B0448">
        <w:rPr>
          <w:rFonts w:ascii="MS Mincho" w:eastAsia="MS Mincho" w:hAnsi="MS Mincho" w:cs="MS Mincho" w:hint="eastAsia"/>
          <w:lang w:val="en-ZA"/>
        </w:rPr>
        <w:t> </w:t>
      </w:r>
      <w:r w:rsidRPr="009B0448">
        <w:rPr>
          <w:rFonts w:ascii="Times New Roman" w:hAnsi="Times New Roman" w:cs="Times New Roman"/>
        </w:rPr>
        <w:t>Tanzania are also changing energy supply geography (OECD/IEA, 2014). Figure 2.7 shows patterns of fossil fuel energy consumption at the sub regional level.</w:t>
      </w:r>
    </w:p>
    <w:p w14:paraId="33461BCF" w14:textId="77777777" w:rsidR="009B0448" w:rsidRPr="009B0448" w:rsidRDefault="009B0448" w:rsidP="009B0448">
      <w:pPr>
        <w:spacing w:line="276" w:lineRule="auto"/>
        <w:jc w:val="both"/>
        <w:rPr>
          <w:rFonts w:ascii="Times New Roman" w:hAnsi="Times New Roman" w:cs="Times New Roman"/>
        </w:rPr>
      </w:pPr>
    </w:p>
    <w:p w14:paraId="23A5B0F6" w14:textId="2DD144E7" w:rsidR="009B0448" w:rsidRPr="009B0448" w:rsidRDefault="009B0448" w:rsidP="009B0448">
      <w:pPr>
        <w:spacing w:line="276" w:lineRule="auto"/>
        <w:rPr>
          <w:rFonts w:ascii="Times New Roman" w:hAnsi="Times New Roman" w:cs="Times New Roman"/>
        </w:rPr>
      </w:pPr>
      <w:r w:rsidRPr="009B0448">
        <w:rPr>
          <w:rFonts w:ascii="Times New Roman" w:hAnsi="Times New Roman" w:cs="Times New Roman"/>
          <w:noProof/>
          <w:lang w:eastAsia="en-GB"/>
        </w:rPr>
        <w:drawing>
          <wp:inline distT="0" distB="0" distL="0" distR="0" wp14:anchorId="00E97E73" wp14:editId="74D008B3">
            <wp:extent cx="5731099" cy="4198720"/>
            <wp:effectExtent l="0" t="0" r="3175"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40511" cy="4205616"/>
                    </a:xfrm>
                    <a:prstGeom prst="rect">
                      <a:avLst/>
                    </a:prstGeom>
                    <a:noFill/>
                    <a:ln>
                      <a:noFill/>
                    </a:ln>
                  </pic:spPr>
                </pic:pic>
              </a:graphicData>
            </a:graphic>
          </wp:inline>
        </w:drawing>
      </w:r>
    </w:p>
    <w:p w14:paraId="6BEA9F5B" w14:textId="77777777" w:rsidR="00463527" w:rsidRDefault="009B0448" w:rsidP="009B0448">
      <w:pPr>
        <w:spacing w:line="276" w:lineRule="auto"/>
        <w:rPr>
          <w:rFonts w:ascii="Times New Roman" w:hAnsi="Times New Roman" w:cs="Times New Roman"/>
          <w:color w:val="auto"/>
        </w:rPr>
      </w:pPr>
      <w:r w:rsidRPr="009B0448">
        <w:rPr>
          <w:rFonts w:ascii="Times New Roman" w:hAnsi="Times New Roman" w:cs="Times New Roman"/>
          <w:b/>
          <w:color w:val="auto"/>
        </w:rPr>
        <w:t>Figure 2.7:</w:t>
      </w:r>
      <w:r w:rsidRPr="009B0448">
        <w:rPr>
          <w:rFonts w:ascii="Times New Roman" w:hAnsi="Times New Roman" w:cs="Times New Roman"/>
          <w:color w:val="auto"/>
        </w:rPr>
        <w:t xml:space="preserve"> Patterns of fossil fuel energy consumption in Africa at </w:t>
      </w:r>
      <w:r w:rsidRPr="009B0448">
        <w:rPr>
          <w:rFonts w:ascii="Times New Roman" w:hAnsi="Times New Roman" w:cs="Times New Roman"/>
          <w:noProof/>
          <w:color w:val="auto"/>
        </w:rPr>
        <w:t>the subregional</w:t>
      </w:r>
      <w:r w:rsidRPr="009B0448">
        <w:rPr>
          <w:rFonts w:ascii="Times New Roman" w:hAnsi="Times New Roman" w:cs="Times New Roman"/>
          <w:color w:val="auto"/>
        </w:rPr>
        <w:t xml:space="preserve"> level. Fossil fuel comprises coal, oil, petroleum, and natural gas products. Source: World Bank data repository (2017).</w:t>
      </w:r>
    </w:p>
    <w:p w14:paraId="77121DD0" w14:textId="77777777" w:rsidR="00463527" w:rsidRDefault="00463527" w:rsidP="009B0448">
      <w:pPr>
        <w:spacing w:line="276" w:lineRule="auto"/>
        <w:rPr>
          <w:rFonts w:ascii="Times New Roman" w:hAnsi="Times New Roman" w:cs="Times New Roman"/>
          <w:color w:val="auto"/>
        </w:rPr>
      </w:pPr>
    </w:p>
    <w:p w14:paraId="7C97B675"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color w:val="auto"/>
        </w:rPr>
        <w:t xml:space="preserve">According to IEA, (2009), bioenergy formed almost 50% of the Total Primary Energy Supply (TPES) for the African continent and over 60% of sub-Saharan TPES. Assessments carried out by Stecher </w:t>
      </w:r>
      <w:r w:rsidRPr="009B0448">
        <w:rPr>
          <w:rFonts w:ascii="Times New Roman" w:hAnsi="Times New Roman" w:cs="Times New Roman"/>
          <w:i/>
          <w:color w:val="auto"/>
        </w:rPr>
        <w:t>et al.</w:t>
      </w:r>
      <w:r w:rsidRPr="009B0448">
        <w:rPr>
          <w:rFonts w:ascii="Times New Roman" w:hAnsi="Times New Roman" w:cs="Times New Roman"/>
          <w:color w:val="auto"/>
        </w:rPr>
        <w:t xml:space="preserve"> (2013), indicate that by the year 2020 potentials for bioenergy would rise for; crops (from 0 PJ/year to 13,900 PJ/year), and forestry biomass (from 0PJ/year to 5400 PJ/year). For residues and wastes, however, the potentials will rise from 10 PJ/year to 5,254 PJ/year. In South Africa, bioenergy potentials </w:t>
      </w:r>
      <w:r w:rsidRPr="009B0448">
        <w:rPr>
          <w:rFonts w:ascii="Times New Roman" w:hAnsi="Times New Roman" w:cs="Times New Roman"/>
          <w:noProof/>
          <w:color w:val="auto"/>
        </w:rPr>
        <w:t>range</w:t>
      </w:r>
      <w:r w:rsidRPr="009B0448">
        <w:rPr>
          <w:rFonts w:ascii="Times New Roman" w:hAnsi="Times New Roman" w:cs="Times New Roman"/>
          <w:color w:val="auto"/>
        </w:rPr>
        <w:t xml:space="preserve"> from approximately 400 to 550 PJ/ year, where maize and wheat residues currently account for </w:t>
      </w:r>
      <w:r w:rsidRPr="009B0448">
        <w:rPr>
          <w:rFonts w:ascii="Times New Roman" w:hAnsi="Times New Roman" w:cs="Times New Roman"/>
          <w:color w:val="auto"/>
        </w:rPr>
        <w:lastRenderedPageBreak/>
        <w:t xml:space="preserve">about 104 PJ of the sustainable bioenergy potentials (Batidzirai </w:t>
      </w:r>
      <w:r w:rsidRPr="009B0448">
        <w:rPr>
          <w:rFonts w:ascii="Times New Roman" w:hAnsi="Times New Roman" w:cs="Times New Roman"/>
          <w:i/>
          <w:color w:val="auto"/>
        </w:rPr>
        <w:t>et al.</w:t>
      </w:r>
      <w:r w:rsidRPr="009B0448">
        <w:rPr>
          <w:rFonts w:ascii="Times New Roman" w:hAnsi="Times New Roman" w:cs="Times New Roman"/>
          <w:color w:val="auto"/>
        </w:rPr>
        <w:t xml:space="preserve">, 2016). National Programmes in biogas production are being implemented in certain countries across the continent (Austin </w:t>
      </w:r>
      <w:r w:rsidRPr="009B0448">
        <w:rPr>
          <w:rFonts w:ascii="Times New Roman" w:hAnsi="Times New Roman" w:cs="Times New Roman"/>
          <w:i/>
          <w:color w:val="auto"/>
        </w:rPr>
        <w:t>et al.</w:t>
      </w:r>
      <w:r w:rsidRPr="009B0448">
        <w:rPr>
          <w:rFonts w:ascii="Times New Roman" w:hAnsi="Times New Roman" w:cs="Times New Roman"/>
          <w:color w:val="auto"/>
        </w:rPr>
        <w:t xml:space="preserve">, 2012). </w:t>
      </w:r>
    </w:p>
    <w:p w14:paraId="633FA9B4" w14:textId="77777777" w:rsidR="009B0448" w:rsidRPr="009B0448" w:rsidRDefault="009B0448" w:rsidP="009B0448">
      <w:pPr>
        <w:spacing w:line="276" w:lineRule="auto"/>
        <w:jc w:val="both"/>
        <w:rPr>
          <w:rFonts w:ascii="Times New Roman" w:hAnsi="Times New Roman" w:cs="Times New Roman"/>
          <w:color w:val="auto"/>
        </w:rPr>
      </w:pPr>
    </w:p>
    <w:p w14:paraId="1C5E3A55"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color w:val="auto"/>
        </w:rPr>
        <w:t xml:space="preserve">Renewable energy markets (sun, water, biomass, </w:t>
      </w:r>
      <w:r w:rsidRPr="009B0448">
        <w:rPr>
          <w:rFonts w:ascii="Times New Roman" w:hAnsi="Times New Roman" w:cs="Times New Roman"/>
          <w:noProof/>
          <w:color w:val="auto"/>
        </w:rPr>
        <w:t>and</w:t>
      </w:r>
      <w:r w:rsidRPr="009B0448">
        <w:rPr>
          <w:rFonts w:ascii="Times New Roman" w:hAnsi="Times New Roman" w:cs="Times New Roman"/>
          <w:color w:val="auto"/>
        </w:rPr>
        <w:t xml:space="preserve"> wind) are steadily growing on the continent, despite significant barriers facing implementation of energy projects in Africa, such as fluctuating exchange rates, political and institutional challenges, and falling international commodity prices, (Power Africa, 2016). Africa has significant potential for wind and solar energy; for example, Ethiopia has a capacity of 1,350 GW of energy from wind and annual total solar energy reserve of 2,199 million TWh/annum (Derbew, 2013). Africa’s lengthy coastline provides significant potential for wind power production. South Africa, Morocco, Egypt, Ethiopia, </w:t>
      </w:r>
      <w:r w:rsidRPr="009B0448">
        <w:rPr>
          <w:rFonts w:ascii="Times New Roman" w:hAnsi="Times New Roman" w:cs="Times New Roman"/>
          <w:noProof/>
          <w:color w:val="auto"/>
        </w:rPr>
        <w:t>and</w:t>
      </w:r>
      <w:r w:rsidRPr="009B0448">
        <w:rPr>
          <w:rFonts w:ascii="Times New Roman" w:hAnsi="Times New Roman" w:cs="Times New Roman"/>
          <w:color w:val="auto"/>
        </w:rPr>
        <w:t xml:space="preserve"> Kenya are currently the five most prominent countries in the wind energy market in Africa (Table 2.6). </w:t>
      </w:r>
    </w:p>
    <w:p w14:paraId="65F07D7B" w14:textId="77777777" w:rsidR="009B0448" w:rsidRPr="009B0448" w:rsidRDefault="009B0448" w:rsidP="009B0448">
      <w:pPr>
        <w:spacing w:line="276" w:lineRule="auto"/>
        <w:jc w:val="both"/>
        <w:rPr>
          <w:rFonts w:ascii="Times New Roman" w:hAnsi="Times New Roman" w:cs="Times New Roman"/>
          <w:color w:val="auto"/>
        </w:rPr>
      </w:pPr>
    </w:p>
    <w:p w14:paraId="560AD723" w14:textId="77777777" w:rsidR="009B0448" w:rsidRPr="009B0448" w:rsidRDefault="009B0448" w:rsidP="009B0448">
      <w:pPr>
        <w:spacing w:line="276" w:lineRule="auto"/>
        <w:rPr>
          <w:rFonts w:ascii="Times New Roman" w:hAnsi="Times New Roman" w:cs="Times New Roman"/>
          <w:color w:val="auto"/>
        </w:rPr>
      </w:pPr>
      <w:r w:rsidRPr="009B0448">
        <w:rPr>
          <w:rFonts w:ascii="Times New Roman" w:hAnsi="Times New Roman" w:cs="Times New Roman"/>
          <w:b/>
          <w:color w:val="auto"/>
        </w:rPr>
        <w:t>Table 2.6:</w:t>
      </w:r>
      <w:r w:rsidRPr="009B0448">
        <w:rPr>
          <w:rFonts w:ascii="Times New Roman" w:hAnsi="Times New Roman" w:cs="Times New Roman"/>
          <w:color w:val="auto"/>
        </w:rPr>
        <w:t xml:space="preserve"> The five biggest wind market in Africa. Source: Tiyou (2016). </w:t>
      </w:r>
    </w:p>
    <w:p w14:paraId="78EC326D" w14:textId="77777777" w:rsidR="009B0448" w:rsidRPr="009B0448" w:rsidRDefault="009B0448" w:rsidP="009B0448">
      <w:pPr>
        <w:spacing w:line="276" w:lineRule="auto"/>
        <w:rPr>
          <w:rFonts w:ascii="Times New Roman" w:hAnsi="Times New Roman" w:cs="Times New Roman"/>
          <w:color w:val="auto"/>
        </w:rPr>
      </w:pPr>
    </w:p>
    <w:tbl>
      <w:tblPr>
        <w:tblStyle w:val="PlainTable11"/>
        <w:tblW w:w="5000" w:type="pct"/>
        <w:tblLayout w:type="fixed"/>
        <w:tblLook w:val="0400" w:firstRow="0" w:lastRow="0" w:firstColumn="0" w:lastColumn="0" w:noHBand="0" w:noVBand="1"/>
      </w:tblPr>
      <w:tblGrid>
        <w:gridCol w:w="591"/>
        <w:gridCol w:w="3015"/>
        <w:gridCol w:w="2706"/>
        <w:gridCol w:w="2705"/>
      </w:tblGrid>
      <w:tr w:rsidR="009B0448" w:rsidRPr="009B0448" w14:paraId="23BC1BD1" w14:textId="77777777" w:rsidTr="009B0448">
        <w:trPr>
          <w:cnfStyle w:val="000000100000" w:firstRow="0" w:lastRow="0" w:firstColumn="0" w:lastColumn="0" w:oddVBand="0" w:evenVBand="0" w:oddHBand="1" w:evenHBand="0" w:firstRowFirstColumn="0" w:firstRowLastColumn="0" w:lastRowFirstColumn="0" w:lastRowLastColumn="0"/>
          <w:trHeight w:val="420"/>
        </w:trPr>
        <w:tc>
          <w:tcPr>
            <w:tcW w:w="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578233"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s/N</w:t>
            </w:r>
          </w:p>
        </w:tc>
        <w:tc>
          <w:tcPr>
            <w:tcW w:w="28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2AA914"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Countries</w:t>
            </w:r>
          </w:p>
        </w:tc>
        <w:tc>
          <w:tcPr>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A55A34"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Operational (MW)</w:t>
            </w:r>
          </w:p>
        </w:tc>
        <w:tc>
          <w:tcPr>
            <w:tcW w:w="25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825321"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Under construction (MW)</w:t>
            </w:r>
          </w:p>
        </w:tc>
      </w:tr>
      <w:tr w:rsidR="009B0448" w:rsidRPr="009B0448" w14:paraId="1BFC9021" w14:textId="77777777" w:rsidTr="009B0448">
        <w:trPr>
          <w:trHeight w:val="120"/>
        </w:trPr>
        <w:tc>
          <w:tcPr>
            <w:tcW w:w="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283DA1A" w14:textId="77777777" w:rsidR="009B0448" w:rsidRPr="009B0448" w:rsidRDefault="009B0448">
            <w:pPr>
              <w:spacing w:line="276" w:lineRule="auto"/>
              <w:rPr>
                <w:rFonts w:ascii="Times New Roman" w:hAnsi="Times New Roman" w:cs="Times New Roman"/>
              </w:rPr>
            </w:pPr>
          </w:p>
        </w:tc>
        <w:tc>
          <w:tcPr>
            <w:tcW w:w="28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52BB44" w14:textId="77777777" w:rsidR="009B0448" w:rsidRPr="009B0448" w:rsidRDefault="009B0448">
            <w:pPr>
              <w:spacing w:line="276" w:lineRule="auto"/>
              <w:rPr>
                <w:rFonts w:ascii="Times New Roman" w:hAnsi="Times New Roman" w:cs="Times New Roman"/>
              </w:rPr>
            </w:pPr>
          </w:p>
        </w:tc>
        <w:tc>
          <w:tcPr>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E6CC70" w14:textId="77777777" w:rsidR="009B0448" w:rsidRPr="009B0448" w:rsidRDefault="009B0448">
            <w:pPr>
              <w:spacing w:line="276" w:lineRule="auto"/>
              <w:rPr>
                <w:rFonts w:ascii="Times New Roman" w:hAnsi="Times New Roman" w:cs="Times New Roman"/>
              </w:rPr>
            </w:pPr>
          </w:p>
        </w:tc>
        <w:tc>
          <w:tcPr>
            <w:tcW w:w="25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3DC007" w14:textId="77777777" w:rsidR="009B0448" w:rsidRPr="009B0448" w:rsidRDefault="009B0448">
            <w:pPr>
              <w:spacing w:line="276" w:lineRule="auto"/>
              <w:rPr>
                <w:rFonts w:ascii="Times New Roman" w:hAnsi="Times New Roman" w:cs="Times New Roman"/>
              </w:rPr>
            </w:pPr>
          </w:p>
        </w:tc>
      </w:tr>
      <w:tr w:rsidR="009B0448" w:rsidRPr="009B0448" w14:paraId="4A6D3663" w14:textId="77777777" w:rsidTr="009B0448">
        <w:trPr>
          <w:cnfStyle w:val="000000100000" w:firstRow="0" w:lastRow="0" w:firstColumn="0" w:lastColumn="0" w:oddVBand="0" w:evenVBand="0" w:oddHBand="1" w:evenHBand="0" w:firstRowFirstColumn="0" w:firstRowLastColumn="0" w:lastRowFirstColumn="0" w:lastRowLastColumn="0"/>
        </w:trPr>
        <w:tc>
          <w:tcPr>
            <w:tcW w:w="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3215AF"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w:t>
            </w:r>
          </w:p>
        </w:tc>
        <w:tc>
          <w:tcPr>
            <w:tcW w:w="28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76B04A"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 xml:space="preserve">South Africa </w:t>
            </w:r>
          </w:p>
        </w:tc>
        <w:tc>
          <w:tcPr>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55FF4B"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I, 170</w:t>
            </w:r>
          </w:p>
        </w:tc>
        <w:tc>
          <w:tcPr>
            <w:tcW w:w="25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2FB631"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840</w:t>
            </w:r>
          </w:p>
        </w:tc>
      </w:tr>
      <w:tr w:rsidR="009B0448" w:rsidRPr="009B0448" w14:paraId="01E7EC3D" w14:textId="77777777" w:rsidTr="009B0448">
        <w:tc>
          <w:tcPr>
            <w:tcW w:w="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CC63D5"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2</w:t>
            </w:r>
          </w:p>
        </w:tc>
        <w:tc>
          <w:tcPr>
            <w:tcW w:w="28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1EC37C"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Morocco</w:t>
            </w:r>
          </w:p>
        </w:tc>
        <w:tc>
          <w:tcPr>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3E5579"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870</w:t>
            </w:r>
          </w:p>
        </w:tc>
        <w:tc>
          <w:tcPr>
            <w:tcW w:w="25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61CC5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50</w:t>
            </w:r>
          </w:p>
        </w:tc>
      </w:tr>
      <w:tr w:rsidR="009B0448" w:rsidRPr="009B0448" w14:paraId="4A64F270" w14:textId="77777777" w:rsidTr="009B0448">
        <w:trPr>
          <w:cnfStyle w:val="000000100000" w:firstRow="0" w:lastRow="0" w:firstColumn="0" w:lastColumn="0" w:oddVBand="0" w:evenVBand="0" w:oddHBand="1" w:evenHBand="0" w:firstRowFirstColumn="0" w:firstRowLastColumn="0" w:lastRowFirstColumn="0" w:lastRowLastColumn="0"/>
        </w:trPr>
        <w:tc>
          <w:tcPr>
            <w:tcW w:w="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5E851A"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3</w:t>
            </w:r>
          </w:p>
        </w:tc>
        <w:tc>
          <w:tcPr>
            <w:tcW w:w="28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24FEFA"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Egypt</w:t>
            </w:r>
          </w:p>
        </w:tc>
        <w:tc>
          <w:tcPr>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56A711"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750</w:t>
            </w:r>
          </w:p>
        </w:tc>
        <w:tc>
          <w:tcPr>
            <w:tcW w:w="25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5426E5"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0</w:t>
            </w:r>
          </w:p>
        </w:tc>
      </w:tr>
      <w:tr w:rsidR="009B0448" w:rsidRPr="009B0448" w14:paraId="4C0161A5" w14:textId="77777777" w:rsidTr="009B0448">
        <w:tc>
          <w:tcPr>
            <w:tcW w:w="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B584F6"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4</w:t>
            </w:r>
          </w:p>
        </w:tc>
        <w:tc>
          <w:tcPr>
            <w:tcW w:w="28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BA95C7"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Ethiopia</w:t>
            </w:r>
          </w:p>
        </w:tc>
        <w:tc>
          <w:tcPr>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10C6EA"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320</w:t>
            </w:r>
          </w:p>
        </w:tc>
        <w:tc>
          <w:tcPr>
            <w:tcW w:w="25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ABCDC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0</w:t>
            </w:r>
          </w:p>
        </w:tc>
      </w:tr>
      <w:tr w:rsidR="009B0448" w:rsidRPr="009B0448" w14:paraId="53896E94" w14:textId="77777777" w:rsidTr="009B0448">
        <w:trPr>
          <w:cnfStyle w:val="000000100000" w:firstRow="0" w:lastRow="0" w:firstColumn="0" w:lastColumn="0" w:oddVBand="0" w:evenVBand="0" w:oddHBand="1" w:evenHBand="0" w:firstRowFirstColumn="0" w:firstRowLastColumn="0" w:lastRowFirstColumn="0" w:lastRowLastColumn="0"/>
        </w:trPr>
        <w:tc>
          <w:tcPr>
            <w:tcW w:w="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0BCC6F"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5</w:t>
            </w:r>
          </w:p>
        </w:tc>
        <w:tc>
          <w:tcPr>
            <w:tcW w:w="28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AEA1D5"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Kenya</w:t>
            </w:r>
          </w:p>
        </w:tc>
        <w:tc>
          <w:tcPr>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83244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14</w:t>
            </w:r>
          </w:p>
        </w:tc>
        <w:tc>
          <w:tcPr>
            <w:tcW w:w="25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1263BE"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310</w:t>
            </w:r>
          </w:p>
        </w:tc>
      </w:tr>
      <w:tr w:rsidR="009B0448" w:rsidRPr="009B0448" w14:paraId="6AA5B2C2" w14:textId="77777777" w:rsidTr="009B0448">
        <w:tc>
          <w:tcPr>
            <w:tcW w:w="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63F596" w14:textId="77777777" w:rsidR="009B0448" w:rsidRPr="009B0448" w:rsidRDefault="009B0448">
            <w:pPr>
              <w:spacing w:line="276" w:lineRule="auto"/>
              <w:rPr>
                <w:rFonts w:ascii="Times New Roman" w:hAnsi="Times New Roman" w:cs="Times New Roman"/>
              </w:rPr>
            </w:pPr>
          </w:p>
        </w:tc>
        <w:tc>
          <w:tcPr>
            <w:tcW w:w="284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D162D1"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Total</w:t>
            </w:r>
          </w:p>
        </w:tc>
        <w:tc>
          <w:tcPr>
            <w:tcW w:w="2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C8D846"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3,124</w:t>
            </w:r>
          </w:p>
        </w:tc>
        <w:tc>
          <w:tcPr>
            <w:tcW w:w="25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1DC1EF"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1200</w:t>
            </w:r>
          </w:p>
        </w:tc>
      </w:tr>
    </w:tbl>
    <w:p w14:paraId="71C79A82" w14:textId="77777777" w:rsidR="009B0448" w:rsidRPr="009B0448" w:rsidRDefault="009B0448" w:rsidP="009B0448">
      <w:pPr>
        <w:spacing w:line="276" w:lineRule="auto"/>
        <w:jc w:val="both"/>
        <w:rPr>
          <w:rFonts w:ascii="Times New Roman" w:hAnsi="Times New Roman" w:cs="Times New Roman"/>
        </w:rPr>
      </w:pPr>
    </w:p>
    <w:p w14:paraId="117F6BDC"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Solar power potential in Africa is significant (IRENA, 2016). The price of producing power from solar mini grids is expected to fall by approximately 60% in the next 20 years. According to IRENA (2016), up to 60 million Africans may already have access to renewable electricity. </w:t>
      </w:r>
    </w:p>
    <w:p w14:paraId="6059897F"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66" w:name="_Toc501997881"/>
      <w:bookmarkStart w:id="67" w:name="_Toc519499809"/>
      <w:r w:rsidRPr="009B0448">
        <w:rPr>
          <w:rFonts w:cs="Times New Roman"/>
          <w:sz w:val="22"/>
          <w:szCs w:val="22"/>
        </w:rPr>
        <w:t>Medicinal, biochemical and genetic resources</w:t>
      </w:r>
      <w:bookmarkEnd w:id="66"/>
      <w:bookmarkEnd w:id="67"/>
    </w:p>
    <w:p w14:paraId="65FCBE47" w14:textId="77777777" w:rsidR="009B0448" w:rsidRPr="009B0448" w:rsidRDefault="009B0448" w:rsidP="009B0448">
      <w:pPr>
        <w:spacing w:after="100" w:afterAutospacing="1" w:line="276" w:lineRule="auto"/>
        <w:jc w:val="both"/>
        <w:rPr>
          <w:rFonts w:ascii="Times New Roman" w:hAnsi="Times New Roman" w:cs="Times New Roman"/>
        </w:rPr>
      </w:pPr>
      <w:r w:rsidRPr="009B0448">
        <w:rPr>
          <w:rFonts w:ascii="Times New Roman" w:hAnsi="Times New Roman" w:cs="Times New Roman"/>
        </w:rPr>
        <w:t xml:space="preserve">According to WHO (2002), up to 80% of the population in Africa rely on traditional medicine to help meet their primary health care needs. Furthermore, numerous plant products are used in traditional African medicine (Moyo </w:t>
      </w:r>
      <w:r w:rsidRPr="009B0448">
        <w:rPr>
          <w:rFonts w:ascii="Times New Roman" w:hAnsi="Times New Roman" w:cs="Times New Roman"/>
          <w:i/>
        </w:rPr>
        <w:t>et al.</w:t>
      </w:r>
      <w:r w:rsidRPr="009B0448">
        <w:rPr>
          <w:rFonts w:ascii="Times New Roman" w:hAnsi="Times New Roman" w:cs="Times New Roman"/>
        </w:rPr>
        <w:t xml:space="preserve">, 2015; Table 2.7). </w:t>
      </w:r>
    </w:p>
    <w:p w14:paraId="2C1C8E4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Table 2.7:</w:t>
      </w:r>
      <w:r w:rsidRPr="009B0448">
        <w:rPr>
          <w:rFonts w:ascii="Times New Roman" w:hAnsi="Times New Roman" w:cs="Times New Roman"/>
        </w:rPr>
        <w:t xml:space="preserve"> Some medicinal plants used in treatments of some ailments in Africa.</w:t>
      </w:r>
    </w:p>
    <w:tbl>
      <w:tblPr>
        <w:tblStyle w:val="PlainTable11"/>
        <w:tblW w:w="0" w:type="auto"/>
        <w:tblLook w:val="04A0" w:firstRow="1" w:lastRow="0" w:firstColumn="1" w:lastColumn="0" w:noHBand="0" w:noVBand="1"/>
      </w:tblPr>
      <w:tblGrid>
        <w:gridCol w:w="559"/>
        <w:gridCol w:w="2848"/>
        <w:gridCol w:w="3040"/>
        <w:gridCol w:w="2570"/>
      </w:tblGrid>
      <w:tr w:rsidR="009B0448" w:rsidRPr="009B0448" w14:paraId="6741E6B2" w14:textId="77777777" w:rsidTr="009B04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8ADD28"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S/N</w:t>
            </w:r>
          </w:p>
        </w:tc>
        <w:tc>
          <w:tcPr>
            <w:tcW w:w="2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533D8C"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Plant species</w:t>
            </w:r>
          </w:p>
        </w:tc>
        <w:tc>
          <w:tcPr>
            <w:tcW w:w="3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6CDA8E"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Treatments/ailments</w:t>
            </w:r>
          </w:p>
        </w:tc>
        <w:tc>
          <w:tcPr>
            <w:tcW w:w="25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096A5A"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Source</w:t>
            </w:r>
          </w:p>
        </w:tc>
      </w:tr>
      <w:tr w:rsidR="009B0448" w:rsidRPr="009B0448" w14:paraId="39F36D28"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3C18FF"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w:t>
            </w:r>
          </w:p>
        </w:tc>
        <w:tc>
          <w:tcPr>
            <w:tcW w:w="2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97E2C7"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9B0448">
              <w:rPr>
                <w:rFonts w:ascii="Times New Roman" w:hAnsi="Times New Roman" w:cs="Times New Roman"/>
                <w:i/>
              </w:rPr>
              <w:t>Xylopia aethiopica</w:t>
            </w:r>
          </w:p>
        </w:tc>
        <w:tc>
          <w:tcPr>
            <w:tcW w:w="3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E3B49A"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Ante natal care and child birth</w:t>
            </w:r>
          </w:p>
        </w:tc>
        <w:tc>
          <w:tcPr>
            <w:tcW w:w="25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943648"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Gbadamosi </w:t>
            </w:r>
            <w:r w:rsidRPr="009B0448">
              <w:rPr>
                <w:rFonts w:ascii="Times New Roman" w:hAnsi="Times New Roman" w:cs="Times New Roman"/>
                <w:i/>
              </w:rPr>
              <w:t>et al</w:t>
            </w:r>
            <w:r w:rsidRPr="009B0448">
              <w:rPr>
                <w:rFonts w:ascii="Times New Roman" w:hAnsi="Times New Roman" w:cs="Times New Roman"/>
              </w:rPr>
              <w:t>., (2014)</w:t>
            </w:r>
          </w:p>
        </w:tc>
      </w:tr>
      <w:tr w:rsidR="009B0448" w:rsidRPr="009B0448" w14:paraId="2F10B38F" w14:textId="77777777" w:rsidTr="009B0448">
        <w:tc>
          <w:tcPr>
            <w:cnfStyle w:val="001000000000" w:firstRow="0" w:lastRow="0" w:firstColumn="1" w:lastColumn="0" w:oddVBand="0" w:evenVBand="0" w:oddHBand="0" w:evenHBand="0" w:firstRowFirstColumn="0" w:firstRowLastColumn="0" w:lastRowFirstColumn="0" w:lastRowLastColumn="0"/>
            <w:tcW w:w="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AF5AE4"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2</w:t>
            </w:r>
          </w:p>
        </w:tc>
        <w:tc>
          <w:tcPr>
            <w:tcW w:w="2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3EC1FB"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r w:rsidRPr="009B0448">
              <w:rPr>
                <w:rFonts w:ascii="Times New Roman" w:hAnsi="Times New Roman" w:cs="Times New Roman"/>
                <w:i/>
              </w:rPr>
              <w:t>Garcinia Kola</w:t>
            </w:r>
          </w:p>
        </w:tc>
        <w:tc>
          <w:tcPr>
            <w:tcW w:w="3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A49C44"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Anti-infection treatment, and sexual drive improvement</w:t>
            </w:r>
          </w:p>
        </w:tc>
        <w:tc>
          <w:tcPr>
            <w:tcW w:w="25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0BADA0"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Gbadamosi </w:t>
            </w:r>
            <w:r w:rsidRPr="009B0448">
              <w:rPr>
                <w:rFonts w:ascii="Times New Roman" w:hAnsi="Times New Roman" w:cs="Times New Roman"/>
                <w:i/>
              </w:rPr>
              <w:t>et al</w:t>
            </w:r>
            <w:r w:rsidRPr="009B0448">
              <w:rPr>
                <w:rFonts w:ascii="Times New Roman" w:hAnsi="Times New Roman" w:cs="Times New Roman"/>
              </w:rPr>
              <w:t>., (2014)</w:t>
            </w:r>
          </w:p>
        </w:tc>
      </w:tr>
      <w:tr w:rsidR="009B0448" w:rsidRPr="009B0448" w14:paraId="58DA7970"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EC54606"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3</w:t>
            </w:r>
          </w:p>
        </w:tc>
        <w:tc>
          <w:tcPr>
            <w:tcW w:w="2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1C1C2F"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9B0448">
              <w:rPr>
                <w:rFonts w:ascii="Times New Roman" w:hAnsi="Times New Roman" w:cs="Times New Roman"/>
                <w:i/>
              </w:rPr>
              <w:t>Rauvolfia vomitora</w:t>
            </w:r>
          </w:p>
        </w:tc>
        <w:tc>
          <w:tcPr>
            <w:tcW w:w="3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722645"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Purgative</w:t>
            </w:r>
          </w:p>
        </w:tc>
        <w:tc>
          <w:tcPr>
            <w:tcW w:w="25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32EDD2"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Moyo </w:t>
            </w:r>
            <w:r w:rsidRPr="009B0448">
              <w:rPr>
                <w:rFonts w:ascii="Times New Roman" w:hAnsi="Times New Roman" w:cs="Times New Roman"/>
                <w:i/>
              </w:rPr>
              <w:t>et al.</w:t>
            </w:r>
            <w:r w:rsidRPr="009B0448">
              <w:rPr>
                <w:rFonts w:ascii="Times New Roman" w:hAnsi="Times New Roman" w:cs="Times New Roman"/>
              </w:rPr>
              <w:t>, (2015)</w:t>
            </w:r>
          </w:p>
        </w:tc>
      </w:tr>
      <w:tr w:rsidR="009B0448" w:rsidRPr="009B0448" w14:paraId="3BF749B0" w14:textId="77777777" w:rsidTr="009B0448">
        <w:tc>
          <w:tcPr>
            <w:cnfStyle w:val="001000000000" w:firstRow="0" w:lastRow="0" w:firstColumn="1" w:lastColumn="0" w:oddVBand="0" w:evenVBand="0" w:oddHBand="0" w:evenHBand="0" w:firstRowFirstColumn="0" w:firstRowLastColumn="0" w:lastRowFirstColumn="0" w:lastRowLastColumn="0"/>
            <w:tcW w:w="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71A9F5"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4</w:t>
            </w:r>
          </w:p>
        </w:tc>
        <w:tc>
          <w:tcPr>
            <w:tcW w:w="2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9207E7"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r w:rsidRPr="009B0448">
              <w:rPr>
                <w:rFonts w:ascii="Times New Roman" w:hAnsi="Times New Roman" w:cs="Times New Roman"/>
                <w:i/>
              </w:rPr>
              <w:t>Gmelina arborea</w:t>
            </w:r>
          </w:p>
        </w:tc>
        <w:tc>
          <w:tcPr>
            <w:tcW w:w="3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45F1FA"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Carminative in many ailments</w:t>
            </w:r>
          </w:p>
        </w:tc>
        <w:tc>
          <w:tcPr>
            <w:tcW w:w="25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60BB1F"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El- Mahmood </w:t>
            </w:r>
            <w:r w:rsidRPr="009B0448">
              <w:rPr>
                <w:rFonts w:ascii="Times New Roman" w:hAnsi="Times New Roman" w:cs="Times New Roman"/>
                <w:i/>
              </w:rPr>
              <w:t>et al.</w:t>
            </w:r>
            <w:r w:rsidRPr="009B0448">
              <w:rPr>
                <w:rFonts w:ascii="Times New Roman" w:hAnsi="Times New Roman" w:cs="Times New Roman"/>
              </w:rPr>
              <w:t>, (2010)</w:t>
            </w:r>
          </w:p>
        </w:tc>
      </w:tr>
      <w:tr w:rsidR="009B0448" w:rsidRPr="009B0448" w14:paraId="13D0F68C"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D2ABF9"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5</w:t>
            </w:r>
          </w:p>
        </w:tc>
        <w:tc>
          <w:tcPr>
            <w:tcW w:w="2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1C2A6C"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9B0448">
              <w:rPr>
                <w:rFonts w:ascii="Times New Roman" w:hAnsi="Times New Roman" w:cs="Times New Roman"/>
                <w:i/>
              </w:rPr>
              <w:t xml:space="preserve">Tamarindus indica </w:t>
            </w:r>
          </w:p>
        </w:tc>
        <w:tc>
          <w:tcPr>
            <w:tcW w:w="3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946F91"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Constipation, obesity, etc.</w:t>
            </w:r>
          </w:p>
        </w:tc>
        <w:tc>
          <w:tcPr>
            <w:tcW w:w="25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88CA98"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Mohamed </w:t>
            </w:r>
            <w:r w:rsidRPr="009B0448">
              <w:rPr>
                <w:rFonts w:ascii="Times New Roman" w:hAnsi="Times New Roman" w:cs="Times New Roman"/>
                <w:i/>
              </w:rPr>
              <w:t>et al</w:t>
            </w:r>
            <w:r w:rsidRPr="009B0448">
              <w:rPr>
                <w:rFonts w:ascii="Times New Roman" w:hAnsi="Times New Roman" w:cs="Times New Roman"/>
              </w:rPr>
              <w:t>., (2017)</w:t>
            </w:r>
          </w:p>
        </w:tc>
      </w:tr>
      <w:tr w:rsidR="009B0448" w:rsidRPr="009B0448" w14:paraId="5C972884" w14:textId="77777777" w:rsidTr="009B0448">
        <w:tc>
          <w:tcPr>
            <w:cnfStyle w:val="001000000000" w:firstRow="0" w:lastRow="0" w:firstColumn="1" w:lastColumn="0" w:oddVBand="0" w:evenVBand="0" w:oddHBand="0" w:evenHBand="0" w:firstRowFirstColumn="0" w:firstRowLastColumn="0" w:lastRowFirstColumn="0" w:lastRowLastColumn="0"/>
            <w:tcW w:w="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8F1DB8"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6</w:t>
            </w:r>
          </w:p>
        </w:tc>
        <w:tc>
          <w:tcPr>
            <w:tcW w:w="2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73F2E9"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r w:rsidRPr="009B0448">
              <w:rPr>
                <w:rFonts w:ascii="Times New Roman" w:hAnsi="Times New Roman" w:cs="Times New Roman"/>
                <w:i/>
              </w:rPr>
              <w:t>Prunus africanis</w:t>
            </w:r>
          </w:p>
        </w:tc>
        <w:tc>
          <w:tcPr>
            <w:tcW w:w="3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3AB109"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Benign prostatic </w:t>
            </w:r>
            <w:r w:rsidRPr="009B0448">
              <w:rPr>
                <w:rFonts w:ascii="Times New Roman" w:hAnsi="Times New Roman" w:cs="Times New Roman"/>
                <w:noProof/>
              </w:rPr>
              <w:t>hypertrophy,</w:t>
            </w:r>
            <w:r w:rsidRPr="009B0448">
              <w:rPr>
                <w:rFonts w:ascii="Times New Roman" w:hAnsi="Times New Roman" w:cs="Times New Roman"/>
              </w:rPr>
              <w:t xml:space="preserve"> also used in 19 other herbal preparation</w:t>
            </w:r>
          </w:p>
        </w:tc>
        <w:tc>
          <w:tcPr>
            <w:tcW w:w="25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A65852"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Hoare, (2007).</w:t>
            </w:r>
          </w:p>
        </w:tc>
      </w:tr>
      <w:tr w:rsidR="009B0448" w:rsidRPr="009B0448" w14:paraId="5AADB8F6"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FA2AEB"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7</w:t>
            </w:r>
          </w:p>
        </w:tc>
        <w:tc>
          <w:tcPr>
            <w:tcW w:w="2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4D407A"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9B0448">
              <w:rPr>
                <w:rFonts w:ascii="Times New Roman" w:hAnsi="Times New Roman" w:cs="Times New Roman"/>
                <w:i/>
              </w:rPr>
              <w:t>Khaya senegalensis</w:t>
            </w:r>
            <w:r w:rsidRPr="009B0448">
              <w:rPr>
                <w:rFonts w:ascii="Times New Roman" w:hAnsi="Times New Roman" w:cs="Times New Roman"/>
              </w:rPr>
              <w:t>, and</w:t>
            </w:r>
            <w:r w:rsidRPr="009B0448">
              <w:rPr>
                <w:rFonts w:ascii="Times New Roman" w:hAnsi="Times New Roman" w:cs="Times New Roman"/>
                <w:i/>
              </w:rPr>
              <w:t xml:space="preserve"> Combretum Micranthum</w:t>
            </w:r>
          </w:p>
        </w:tc>
        <w:tc>
          <w:tcPr>
            <w:tcW w:w="3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AF709F"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Anti- malaria</w:t>
            </w:r>
          </w:p>
        </w:tc>
        <w:tc>
          <w:tcPr>
            <w:tcW w:w="25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80579B"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Lokossou </w:t>
            </w:r>
            <w:r w:rsidRPr="009B0448">
              <w:rPr>
                <w:rFonts w:ascii="Times New Roman" w:hAnsi="Times New Roman" w:cs="Times New Roman"/>
                <w:i/>
              </w:rPr>
              <w:t>et al.</w:t>
            </w:r>
            <w:r w:rsidRPr="009B0448">
              <w:rPr>
                <w:rFonts w:ascii="Times New Roman" w:hAnsi="Times New Roman" w:cs="Times New Roman"/>
              </w:rPr>
              <w:t>, (2012)</w:t>
            </w:r>
          </w:p>
        </w:tc>
      </w:tr>
      <w:tr w:rsidR="009B0448" w:rsidRPr="009B0448" w14:paraId="1AEF3FEE" w14:textId="77777777" w:rsidTr="009B0448">
        <w:tc>
          <w:tcPr>
            <w:cnfStyle w:val="001000000000" w:firstRow="0" w:lastRow="0" w:firstColumn="1" w:lastColumn="0" w:oddVBand="0" w:evenVBand="0" w:oddHBand="0" w:evenHBand="0" w:firstRowFirstColumn="0" w:firstRowLastColumn="0" w:lastRowFirstColumn="0" w:lastRowLastColumn="0"/>
            <w:tcW w:w="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9DA589"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lastRenderedPageBreak/>
              <w:t>8</w:t>
            </w:r>
          </w:p>
        </w:tc>
        <w:tc>
          <w:tcPr>
            <w:tcW w:w="2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E44F64"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r w:rsidRPr="009B0448">
              <w:rPr>
                <w:rFonts w:ascii="Times New Roman" w:hAnsi="Times New Roman" w:cs="Times New Roman"/>
                <w:i/>
              </w:rPr>
              <w:t>Anthcleista nobilis</w:t>
            </w:r>
          </w:p>
        </w:tc>
        <w:tc>
          <w:tcPr>
            <w:tcW w:w="3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C661E8"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Rheumatism</w:t>
            </w:r>
          </w:p>
        </w:tc>
        <w:tc>
          <w:tcPr>
            <w:tcW w:w="25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A6CC0F"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Lokossou </w:t>
            </w:r>
            <w:r w:rsidRPr="009B0448">
              <w:rPr>
                <w:rFonts w:ascii="Times New Roman" w:hAnsi="Times New Roman" w:cs="Times New Roman"/>
                <w:i/>
              </w:rPr>
              <w:t>et al.</w:t>
            </w:r>
            <w:r w:rsidRPr="009B0448">
              <w:rPr>
                <w:rFonts w:ascii="Times New Roman" w:hAnsi="Times New Roman" w:cs="Times New Roman"/>
              </w:rPr>
              <w:t>, (2012)</w:t>
            </w:r>
          </w:p>
        </w:tc>
      </w:tr>
      <w:tr w:rsidR="009B0448" w:rsidRPr="009B0448" w14:paraId="299B7678"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74574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9</w:t>
            </w:r>
          </w:p>
        </w:tc>
        <w:tc>
          <w:tcPr>
            <w:tcW w:w="2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44A251"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9B0448">
              <w:rPr>
                <w:rFonts w:ascii="Times New Roman" w:hAnsi="Times New Roman" w:cs="Times New Roman"/>
                <w:i/>
              </w:rPr>
              <w:t>Newbouldia laevis</w:t>
            </w:r>
          </w:p>
        </w:tc>
        <w:tc>
          <w:tcPr>
            <w:tcW w:w="3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13FCBA"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noProof/>
              </w:rPr>
              <w:t>A cough</w:t>
            </w:r>
            <w:r w:rsidRPr="009B0448">
              <w:rPr>
                <w:rFonts w:ascii="Times New Roman" w:hAnsi="Times New Roman" w:cs="Times New Roman"/>
              </w:rPr>
              <w:t xml:space="preserve">, toothache, </w:t>
            </w:r>
            <w:r w:rsidRPr="009B0448">
              <w:rPr>
                <w:rFonts w:ascii="Times New Roman" w:hAnsi="Times New Roman" w:cs="Times New Roman"/>
                <w:noProof/>
              </w:rPr>
              <w:t>and</w:t>
            </w:r>
            <w:r w:rsidRPr="009B0448">
              <w:rPr>
                <w:rFonts w:ascii="Times New Roman" w:hAnsi="Times New Roman" w:cs="Times New Roman"/>
              </w:rPr>
              <w:t xml:space="preserve"> conjunctivitis</w:t>
            </w:r>
          </w:p>
        </w:tc>
        <w:tc>
          <w:tcPr>
            <w:tcW w:w="25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D35CC9"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Lokossou </w:t>
            </w:r>
            <w:r w:rsidRPr="009B0448">
              <w:rPr>
                <w:rFonts w:ascii="Times New Roman" w:hAnsi="Times New Roman" w:cs="Times New Roman"/>
                <w:i/>
              </w:rPr>
              <w:t>et al.</w:t>
            </w:r>
            <w:r w:rsidRPr="009B0448">
              <w:rPr>
                <w:rFonts w:ascii="Times New Roman" w:hAnsi="Times New Roman" w:cs="Times New Roman"/>
              </w:rPr>
              <w:t>, (2012)</w:t>
            </w:r>
          </w:p>
        </w:tc>
      </w:tr>
      <w:tr w:rsidR="009B0448" w:rsidRPr="009B0448" w14:paraId="5FB15B2F" w14:textId="77777777" w:rsidTr="009B0448">
        <w:tc>
          <w:tcPr>
            <w:cnfStyle w:val="001000000000" w:firstRow="0" w:lastRow="0" w:firstColumn="1" w:lastColumn="0" w:oddVBand="0" w:evenVBand="0" w:oddHBand="0" w:evenHBand="0" w:firstRowFirstColumn="0" w:firstRowLastColumn="0" w:lastRowFirstColumn="0" w:lastRowLastColumn="0"/>
            <w:tcW w:w="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C1C9F34" w14:textId="77777777" w:rsidR="009B0448" w:rsidRPr="009B0448" w:rsidRDefault="009B0448">
            <w:pPr>
              <w:spacing w:line="276" w:lineRule="auto"/>
              <w:rPr>
                <w:rFonts w:ascii="Times New Roman" w:hAnsi="Times New Roman" w:cs="Times New Roman"/>
              </w:rPr>
            </w:pPr>
          </w:p>
        </w:tc>
        <w:tc>
          <w:tcPr>
            <w:tcW w:w="2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145DEB"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p>
        </w:tc>
        <w:tc>
          <w:tcPr>
            <w:tcW w:w="3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63B38D"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5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EBDE05"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14:paraId="32041435" w14:textId="77777777" w:rsidR="009B0448" w:rsidRPr="009B0448" w:rsidRDefault="009B0448" w:rsidP="009B0448">
      <w:pPr>
        <w:spacing w:line="276" w:lineRule="auto"/>
        <w:jc w:val="both"/>
        <w:rPr>
          <w:rFonts w:ascii="Times New Roman" w:hAnsi="Times New Roman" w:cs="Times New Roman"/>
        </w:rPr>
      </w:pPr>
    </w:p>
    <w:p w14:paraId="618811F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Traditional medicine, in </w:t>
      </w:r>
      <w:r w:rsidRPr="009B0448">
        <w:rPr>
          <w:rFonts w:ascii="Times New Roman" w:hAnsi="Times New Roman" w:cs="Times New Roman"/>
          <w:noProof/>
        </w:rPr>
        <w:t>particular,</w:t>
      </w:r>
      <w:r w:rsidRPr="009B0448">
        <w:rPr>
          <w:rFonts w:ascii="Times New Roman" w:hAnsi="Times New Roman" w:cs="Times New Roman"/>
        </w:rPr>
        <w:t xml:space="preserve"> phytotherapy, is widespread throughout the African continent and extends to include practices for treatment of animals ailments and general animals’ health care (Halmy, 2016). Both women and men practice folk medicine, but women hold a substantial portion of the traditional knowledge (Pourchez, 2014). Overharvesting of medicinal materials for commercial trade, however, can severely threaten plant populations and, subsequently, the longevity of traditional medicine (Moyo </w:t>
      </w:r>
      <w:r w:rsidRPr="009B0448">
        <w:rPr>
          <w:rFonts w:ascii="Times New Roman" w:hAnsi="Times New Roman" w:cs="Times New Roman"/>
          <w:i/>
        </w:rPr>
        <w:t>et al.</w:t>
      </w:r>
      <w:r w:rsidRPr="009B0448">
        <w:rPr>
          <w:rFonts w:ascii="Times New Roman" w:hAnsi="Times New Roman" w:cs="Times New Roman"/>
        </w:rPr>
        <w:t xml:space="preserve">, 2015). </w:t>
      </w:r>
    </w:p>
    <w:p w14:paraId="3C25187A" w14:textId="77777777" w:rsidR="009B0448" w:rsidRPr="009B0448" w:rsidRDefault="009B0448" w:rsidP="009B0448">
      <w:pPr>
        <w:spacing w:line="276" w:lineRule="auto"/>
        <w:jc w:val="both"/>
        <w:rPr>
          <w:rFonts w:ascii="Times New Roman" w:hAnsi="Times New Roman" w:cs="Times New Roman"/>
        </w:rPr>
      </w:pPr>
    </w:p>
    <w:p w14:paraId="7628D68F"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In Nigeria, for example, biodiversity supports the health needs of millions, and studies have revealed hundreds of different kinds of herbs with a range of medicinal uses throughout the country (Nigeria, 2015). Accordingly, trade in medicinal plants and animal parts have grown, and now form a major category of merchandise in village markets in rural and peri-urban settlements. Consequently, maintaining health standards for millions of Nigerians depends on the protection and sustainable management of biodiversity. Efforts are now being made in different parts of the country to domesticate certain medicinal plants. For example, one of the mandates of the National Agency for Genetic Resources and Biotechnology is to document and archive essential genetic biodiversity resources. </w:t>
      </w:r>
    </w:p>
    <w:p w14:paraId="17BC2EC7" w14:textId="77777777" w:rsidR="009B0448" w:rsidRPr="009B0448" w:rsidRDefault="009B0448" w:rsidP="009B0448">
      <w:pPr>
        <w:spacing w:line="276" w:lineRule="auto"/>
        <w:jc w:val="both"/>
        <w:rPr>
          <w:rFonts w:ascii="Times New Roman" w:hAnsi="Times New Roman" w:cs="Times New Roman"/>
        </w:rPr>
      </w:pPr>
    </w:p>
    <w:p w14:paraId="295B4177" w14:textId="77777777" w:rsidR="009B0448" w:rsidRPr="009B0448" w:rsidRDefault="009B0448" w:rsidP="009B0448">
      <w:pPr>
        <w:widowControl w:val="0"/>
        <w:spacing w:line="276" w:lineRule="auto"/>
        <w:jc w:val="both"/>
        <w:rPr>
          <w:rFonts w:ascii="Times New Roman" w:hAnsi="Times New Roman" w:cs="Times New Roman"/>
        </w:rPr>
      </w:pPr>
      <w:r w:rsidRPr="009B0448">
        <w:rPr>
          <w:rFonts w:ascii="Times New Roman" w:hAnsi="Times New Roman" w:cs="Times New Roman"/>
          <w:color w:val="1A1718"/>
        </w:rPr>
        <w:t xml:space="preserve">In Central Africa, among some of the most valuable non-timber forest products in international trade are medicinal plants, supplying the pharmaceutical and herbal industries. </w:t>
      </w:r>
      <w:r w:rsidRPr="009B0448">
        <w:rPr>
          <w:rFonts w:ascii="Times New Roman" w:hAnsi="Times New Roman" w:cs="Times New Roman"/>
        </w:rPr>
        <w:t xml:space="preserve">For example, export of medicinal plants is a major foreign exchange earner in Cameroon, with annual earnings of $2.9 million (FAO, 2002). A number of species are exported, but the majority of the trade is in the following four species: </w:t>
      </w:r>
      <w:r w:rsidRPr="009B0448">
        <w:rPr>
          <w:rFonts w:ascii="Times New Roman" w:hAnsi="Times New Roman" w:cs="Times New Roman"/>
          <w:i/>
        </w:rPr>
        <w:t>Prunus africana</w:t>
      </w:r>
      <w:r w:rsidRPr="009B0448">
        <w:rPr>
          <w:rFonts w:ascii="Times New Roman" w:hAnsi="Times New Roman" w:cs="Times New Roman"/>
        </w:rPr>
        <w:t xml:space="preserve">, </w:t>
      </w:r>
      <w:r w:rsidRPr="009B0448">
        <w:rPr>
          <w:rFonts w:ascii="Times New Roman" w:hAnsi="Times New Roman" w:cs="Times New Roman"/>
          <w:i/>
        </w:rPr>
        <w:t>Pausinystalia johimbe</w:t>
      </w:r>
      <w:r w:rsidRPr="009B0448">
        <w:rPr>
          <w:rFonts w:ascii="Times New Roman" w:hAnsi="Times New Roman" w:cs="Times New Roman"/>
        </w:rPr>
        <w:t xml:space="preserve"> (native to the coastal forests of Central Africa), </w:t>
      </w:r>
      <w:r w:rsidRPr="009B0448">
        <w:rPr>
          <w:rFonts w:ascii="Times New Roman" w:hAnsi="Times New Roman" w:cs="Times New Roman"/>
          <w:i/>
        </w:rPr>
        <w:t>Voacanga africana</w:t>
      </w:r>
      <w:r w:rsidRPr="009B0448">
        <w:rPr>
          <w:rFonts w:ascii="Times New Roman" w:hAnsi="Times New Roman" w:cs="Times New Roman"/>
        </w:rPr>
        <w:t xml:space="preserve"> and </w:t>
      </w:r>
      <w:r w:rsidRPr="009B0448">
        <w:rPr>
          <w:rFonts w:ascii="Times New Roman" w:hAnsi="Times New Roman" w:cs="Times New Roman"/>
          <w:i/>
        </w:rPr>
        <w:t>Strophanthus gratus</w:t>
      </w:r>
      <w:r w:rsidRPr="009B0448">
        <w:rPr>
          <w:rFonts w:ascii="Times New Roman" w:hAnsi="Times New Roman" w:cs="Times New Roman"/>
        </w:rPr>
        <w:t xml:space="preserve"> (Hoare, 2007). </w:t>
      </w:r>
      <w:r w:rsidRPr="009B0448">
        <w:rPr>
          <w:rFonts w:ascii="Times New Roman" w:hAnsi="Times New Roman" w:cs="Times New Roman"/>
          <w:i/>
        </w:rPr>
        <w:t>Prunus africana</w:t>
      </w:r>
      <w:r w:rsidRPr="009B0448">
        <w:rPr>
          <w:rFonts w:ascii="Times New Roman" w:hAnsi="Times New Roman" w:cs="Times New Roman"/>
        </w:rPr>
        <w:t xml:space="preserve"> provides the largest volume of any African medicinal plant in international trade. It is most commonly used for its anti-inflammatory and analgesic properties, and to treat malaria. It is mainly exported from Cameroon, DRC, </w:t>
      </w:r>
      <w:r w:rsidRPr="009B0448">
        <w:rPr>
          <w:rFonts w:ascii="Times New Roman" w:hAnsi="Times New Roman" w:cs="Times New Roman"/>
          <w:noProof/>
        </w:rPr>
        <w:t>and</w:t>
      </w:r>
      <w:r w:rsidRPr="009B0448">
        <w:rPr>
          <w:rFonts w:ascii="Times New Roman" w:hAnsi="Times New Roman" w:cs="Times New Roman"/>
        </w:rPr>
        <w:t xml:space="preserve"> Equatorial Guinea to Europe ranges (between 3,200</w:t>
      </w:r>
      <w:r w:rsidRPr="009B0448">
        <w:rPr>
          <w:rFonts w:ascii="Times New Roman" w:eastAsia="Times New Roman" w:hAnsi="Times New Roman" w:cs="Times New Roman"/>
          <w:color w:val="00000A"/>
        </w:rPr>
        <w:t>–</w:t>
      </w:r>
      <w:r w:rsidRPr="009B0448">
        <w:rPr>
          <w:rFonts w:ascii="Times New Roman" w:hAnsi="Times New Roman" w:cs="Times New Roman"/>
        </w:rPr>
        <w:t xml:space="preserve">4,900 tons), with a market value estimated at $150 million/year. The commercial value of the trade in 1999 from Cameroon alone was estimated to be $700,000 within the country. </w:t>
      </w:r>
    </w:p>
    <w:p w14:paraId="2CEB3C69"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68" w:name="_Toc501997882"/>
      <w:bookmarkStart w:id="69" w:name="_Toc519499810"/>
      <w:r w:rsidRPr="009B0448">
        <w:rPr>
          <w:rFonts w:cs="Times New Roman"/>
          <w:sz w:val="22"/>
          <w:szCs w:val="22"/>
        </w:rPr>
        <w:t>Water supply</w:t>
      </w:r>
      <w:bookmarkEnd w:id="68"/>
      <w:bookmarkEnd w:id="69"/>
    </w:p>
    <w:p w14:paraId="57795B3D"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Water is an important ecosystem service, and major sources of water in Africa include streams and rivers, freshwater lakes, and groundwater sources. Water security in much of the continent is, however, under threat, and a number of freshwater ecosystems are currently undergoing degradation due to deforestation, pollution, invasive species as well as climate change (Niang </w:t>
      </w:r>
      <w:r w:rsidRPr="009B0448">
        <w:rPr>
          <w:rFonts w:ascii="Times New Roman" w:hAnsi="Times New Roman" w:cs="Times New Roman"/>
          <w:i/>
        </w:rPr>
        <w:t>et al.</w:t>
      </w:r>
      <w:r w:rsidRPr="009B0448">
        <w:rPr>
          <w:rFonts w:ascii="Times New Roman" w:hAnsi="Times New Roman" w:cs="Times New Roman"/>
        </w:rPr>
        <w:t xml:space="preserve">, 2014). </w:t>
      </w:r>
    </w:p>
    <w:p w14:paraId="65AE1DDB" w14:textId="77777777" w:rsidR="009B0448" w:rsidRPr="009B0448" w:rsidRDefault="009B0448" w:rsidP="009B0448">
      <w:pPr>
        <w:spacing w:line="276" w:lineRule="auto"/>
        <w:jc w:val="both"/>
        <w:rPr>
          <w:rFonts w:ascii="Times New Roman" w:hAnsi="Times New Roman" w:cs="Times New Roman"/>
        </w:rPr>
      </w:pPr>
    </w:p>
    <w:p w14:paraId="63BC4D92" w14:textId="77777777" w:rsid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color w:val="auto"/>
        </w:rPr>
        <w:t xml:space="preserve">After Australia (and Antarctica), Africa is the world’s third-driest continent. It constitutes 15% of the global population, but only has 9% of the global renewable water resources, of which only 15% is groundwater (Figure 2.8), which supplies about 75% of its population. Water is also unevenly distributed, with Central Africa holding 50.66% of the continent’s total internal water, and Northern Africa only 2.99% (Chapters 1 &amp; 3). Thus, in all regions except Central Africa, water availability per person is lower than that of all of the world’s other regions except Asia (the most populous continent) (UNEP, 2010). Since Africa’s water resources are so vital to basic livelihoods and economic growth on </w:t>
      </w:r>
      <w:r w:rsidRPr="009B0448">
        <w:rPr>
          <w:rFonts w:ascii="Times New Roman" w:hAnsi="Times New Roman" w:cs="Times New Roman"/>
          <w:color w:val="auto"/>
        </w:rPr>
        <w:lastRenderedPageBreak/>
        <w:t>the continent, an improved understanding of its availability, distribution and limitations is crucial for its better management (UNECA, 2006).</w:t>
      </w:r>
    </w:p>
    <w:p w14:paraId="13FC6298" w14:textId="77777777" w:rsidR="00646F6E" w:rsidRPr="009B0448" w:rsidRDefault="00646F6E" w:rsidP="009B0448">
      <w:pPr>
        <w:spacing w:line="276" w:lineRule="auto"/>
        <w:jc w:val="both"/>
        <w:rPr>
          <w:rFonts w:ascii="Times New Roman" w:hAnsi="Times New Roman" w:cs="Times New Roman"/>
          <w:color w:val="auto"/>
        </w:rPr>
      </w:pPr>
    </w:p>
    <w:p w14:paraId="49F8D346" w14:textId="6EDF0741"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noProof/>
          <w:lang w:eastAsia="en-GB"/>
        </w:rPr>
        <w:drawing>
          <wp:inline distT="0" distB="0" distL="0" distR="0" wp14:anchorId="18A4C511" wp14:editId="57F56D64">
            <wp:extent cx="5713730" cy="6118860"/>
            <wp:effectExtent l="0" t="0" r="127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98">
                      <a:extLst>
                        <a:ext uri="{28A0092B-C50C-407E-A947-70E740481C1C}">
                          <a14:useLocalDpi xmlns:a14="http://schemas.microsoft.com/office/drawing/2010/main" val="0"/>
                        </a:ext>
                      </a:extLst>
                    </a:blip>
                    <a:stretch>
                      <a:fillRect/>
                    </a:stretch>
                  </pic:blipFill>
                  <pic:spPr bwMode="auto">
                    <a:xfrm>
                      <a:off x="0" y="0"/>
                      <a:ext cx="5713730" cy="6118860"/>
                    </a:xfrm>
                    <a:prstGeom prst="rect">
                      <a:avLst/>
                    </a:prstGeom>
                    <a:noFill/>
                    <a:ln>
                      <a:noFill/>
                    </a:ln>
                  </pic:spPr>
                </pic:pic>
              </a:graphicData>
            </a:graphic>
          </wp:inline>
        </w:drawing>
      </w:r>
    </w:p>
    <w:p w14:paraId="0905ABD9" w14:textId="77777777" w:rsidR="00463527" w:rsidRDefault="009B0448" w:rsidP="00646F6E">
      <w:pPr>
        <w:spacing w:line="276" w:lineRule="auto"/>
        <w:jc w:val="both"/>
        <w:rPr>
          <w:rFonts w:ascii="Times New Roman" w:hAnsi="Times New Roman" w:cs="Times New Roman"/>
        </w:rPr>
      </w:pPr>
      <w:r w:rsidRPr="009B0448">
        <w:rPr>
          <w:rFonts w:ascii="Times New Roman" w:hAnsi="Times New Roman" w:cs="Times New Roman"/>
          <w:b/>
        </w:rPr>
        <w:t>Figure 2.8:</w:t>
      </w:r>
      <w:r w:rsidRPr="009B0448">
        <w:rPr>
          <w:rFonts w:ascii="Times New Roman" w:hAnsi="Times New Roman" w:cs="Times New Roman"/>
        </w:rPr>
        <w:t xml:space="preserve"> Aquifer productivity for Africa showing the likely interquartile range for boreholes drilled and sited using appropriate techniques and expertise. The inset shows an approximate depth to groundwater. Source: Bonsor </w:t>
      </w:r>
      <w:r w:rsidRPr="009B0448">
        <w:rPr>
          <w:rFonts w:ascii="Times New Roman" w:hAnsi="Times New Roman" w:cs="Times New Roman"/>
          <w:i/>
        </w:rPr>
        <w:t>et al.</w:t>
      </w:r>
      <w:r w:rsidRPr="009B0448">
        <w:rPr>
          <w:rFonts w:ascii="Times New Roman" w:hAnsi="Times New Roman" w:cs="Times New Roman"/>
        </w:rPr>
        <w:t xml:space="preserve"> (2011).</w:t>
      </w:r>
    </w:p>
    <w:p w14:paraId="08F2F59C" w14:textId="77777777" w:rsidR="00463527" w:rsidRDefault="00463527" w:rsidP="00646F6E">
      <w:pPr>
        <w:spacing w:line="276" w:lineRule="auto"/>
        <w:jc w:val="both"/>
        <w:rPr>
          <w:rFonts w:ascii="Times New Roman" w:hAnsi="Times New Roman" w:cs="Times New Roman"/>
        </w:rPr>
      </w:pPr>
    </w:p>
    <w:p w14:paraId="6B08C9EE" w14:textId="4B379AFC" w:rsidR="00463527" w:rsidRDefault="009B0448" w:rsidP="00463527">
      <w:pPr>
        <w:spacing w:line="276" w:lineRule="auto"/>
        <w:jc w:val="both"/>
        <w:rPr>
          <w:rFonts w:ascii="Times New Roman" w:hAnsi="Times New Roman" w:cs="Times New Roman"/>
          <w:color w:val="auto"/>
        </w:rPr>
      </w:pPr>
      <w:r w:rsidRPr="009B0448">
        <w:rPr>
          <w:rFonts w:ascii="Times New Roman" w:hAnsi="Times New Roman" w:cs="Times New Roman"/>
          <w:color w:val="auto"/>
        </w:rPr>
        <w:t xml:space="preserve">An analysis of data from 35 countries in sub-Saharan Africa (representing 84% of the region’s population) shows significant differences in water access between the poorest and richest fifths of the population in both rural and urban areas. Over 90% of the richest quintile in urban areas use improved water sources, and over 60% have piped water on premises. In rural areas, piped-in water is not accessed in the poorest 40% of households, and less than half of the population use any form of </w:t>
      </w:r>
      <w:r w:rsidRPr="009B0448">
        <w:rPr>
          <w:rFonts w:ascii="Times New Roman" w:hAnsi="Times New Roman" w:cs="Times New Roman"/>
          <w:noProof/>
          <w:color w:val="auto"/>
        </w:rPr>
        <w:t>improved</w:t>
      </w:r>
      <w:r w:rsidRPr="009B0448">
        <w:rPr>
          <w:rFonts w:ascii="Times New Roman" w:hAnsi="Times New Roman" w:cs="Times New Roman"/>
          <w:color w:val="auto"/>
        </w:rPr>
        <w:t xml:space="preserve"> source of water (UN, 2012; Figure 2.9). Table 2.8 provides a more detailed breakdown of water availability in southern Africa.</w:t>
      </w:r>
      <w:r w:rsidR="00463527">
        <w:rPr>
          <w:rFonts w:ascii="Times New Roman" w:hAnsi="Times New Roman" w:cs="Times New Roman"/>
          <w:color w:val="auto"/>
        </w:rPr>
        <w:br w:type="page"/>
      </w:r>
    </w:p>
    <w:p w14:paraId="0372D335" w14:textId="77777777" w:rsidR="009B0448" w:rsidRPr="009B0448" w:rsidRDefault="009B0448" w:rsidP="009B0448">
      <w:pPr>
        <w:spacing w:line="276" w:lineRule="auto"/>
        <w:jc w:val="both"/>
        <w:rPr>
          <w:rFonts w:ascii="Times New Roman" w:hAnsi="Times New Roman" w:cs="Times New Roman"/>
          <w:color w:val="auto"/>
        </w:rPr>
      </w:pPr>
    </w:p>
    <w:p w14:paraId="0E3DAFC2" w14:textId="28996A2D" w:rsidR="00C87E0F" w:rsidRDefault="00C87E0F" w:rsidP="009B0448">
      <w:pPr>
        <w:spacing w:line="276" w:lineRule="auto"/>
        <w:jc w:val="both"/>
        <w:rPr>
          <w:rFonts w:ascii="Times New Roman" w:hAnsi="Times New Roman" w:cs="Times New Roman"/>
          <w:color w:val="auto"/>
        </w:rPr>
      </w:pPr>
      <w:r w:rsidRPr="009B0448">
        <w:rPr>
          <w:rFonts w:ascii="Times New Roman" w:hAnsi="Times New Roman" w:cs="Times New Roman"/>
          <w:noProof/>
          <w:lang w:eastAsia="en-GB"/>
        </w:rPr>
        <w:drawing>
          <wp:inline distT="0" distB="0" distL="0" distR="0" wp14:anchorId="208B0B81" wp14:editId="33B339DB">
            <wp:extent cx="5732145" cy="3469259"/>
            <wp:effectExtent l="0" t="0" r="1905"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99">
                      <a:extLst>
                        <a:ext uri="{28A0092B-C50C-407E-A947-70E740481C1C}">
                          <a14:useLocalDpi xmlns:a14="http://schemas.microsoft.com/office/drawing/2010/main" val="0"/>
                        </a:ext>
                      </a:extLst>
                    </a:blip>
                    <a:srcRect r="1923"/>
                    <a:stretch>
                      <a:fillRect/>
                    </a:stretch>
                  </pic:blipFill>
                  <pic:spPr bwMode="auto">
                    <a:xfrm>
                      <a:off x="0" y="0"/>
                      <a:ext cx="5732145" cy="3469259"/>
                    </a:xfrm>
                    <a:prstGeom prst="rect">
                      <a:avLst/>
                    </a:prstGeom>
                    <a:noFill/>
                    <a:ln>
                      <a:noFill/>
                    </a:ln>
                  </pic:spPr>
                </pic:pic>
              </a:graphicData>
            </a:graphic>
          </wp:inline>
        </w:drawing>
      </w:r>
    </w:p>
    <w:p w14:paraId="3350F83F" w14:textId="5B6975FD" w:rsidR="00C87E0F" w:rsidRPr="009B0448" w:rsidRDefault="00C87E0F" w:rsidP="009B0448">
      <w:pPr>
        <w:spacing w:line="276" w:lineRule="auto"/>
        <w:jc w:val="both"/>
        <w:rPr>
          <w:rFonts w:ascii="Times New Roman" w:hAnsi="Times New Roman" w:cs="Times New Roman"/>
          <w:color w:val="auto"/>
        </w:rPr>
      </w:pPr>
      <w:r w:rsidRPr="009B0448">
        <w:rPr>
          <w:rFonts w:ascii="Times New Roman" w:hAnsi="Times New Roman" w:cs="Times New Roman"/>
          <w:b/>
        </w:rPr>
        <w:t>Figure 2.9:</w:t>
      </w:r>
      <w:r w:rsidRPr="009B0448">
        <w:rPr>
          <w:rFonts w:ascii="Times New Roman" w:hAnsi="Times New Roman" w:cs="Times New Roman"/>
        </w:rPr>
        <w:t xml:space="preserve"> Population of Africa that gained Access to clean water since 1990 at urban and rural areas. Data source: UNEP (2016).</w:t>
      </w:r>
    </w:p>
    <w:p w14:paraId="67D2BD03" w14:textId="77777777" w:rsidR="009B0448" w:rsidRPr="009B0448" w:rsidRDefault="009B0448" w:rsidP="009B0448">
      <w:pPr>
        <w:spacing w:line="276" w:lineRule="auto"/>
        <w:jc w:val="both"/>
        <w:rPr>
          <w:rFonts w:ascii="Times New Roman" w:hAnsi="Times New Roman" w:cs="Times New Roman"/>
        </w:rPr>
      </w:pPr>
    </w:p>
    <w:p w14:paraId="1AAA09F0" w14:textId="77777777" w:rsidR="009B0448" w:rsidRPr="009B0448" w:rsidRDefault="009B0448" w:rsidP="009B0448">
      <w:pPr>
        <w:spacing w:line="276" w:lineRule="auto"/>
        <w:jc w:val="both"/>
        <w:rPr>
          <w:rFonts w:ascii="Times New Roman" w:hAnsi="Times New Roman" w:cs="Times New Roman"/>
          <w:sz w:val="20"/>
          <w:szCs w:val="20"/>
        </w:rPr>
      </w:pPr>
      <w:r w:rsidRPr="009B0448">
        <w:rPr>
          <w:rFonts w:ascii="Times New Roman" w:hAnsi="Times New Roman" w:cs="Times New Roman"/>
          <w:b/>
        </w:rPr>
        <w:t>Table 2.8:</w:t>
      </w:r>
      <w:r w:rsidRPr="009B0448">
        <w:rPr>
          <w:rFonts w:ascii="Times New Roman" w:hAnsi="Times New Roman" w:cs="Times New Roman"/>
        </w:rPr>
        <w:t xml:space="preserve"> Water availability and use in Southern Africa, as compiled in the South African Facilities Management Association regional scale study. Source: van Jaarsveld </w:t>
      </w:r>
      <w:r w:rsidRPr="009B0448">
        <w:rPr>
          <w:rFonts w:ascii="Times New Roman" w:hAnsi="Times New Roman" w:cs="Times New Roman"/>
          <w:i/>
        </w:rPr>
        <w:t>et al.</w:t>
      </w:r>
      <w:r w:rsidRPr="009B0448">
        <w:rPr>
          <w:rFonts w:ascii="Times New Roman" w:hAnsi="Times New Roman" w:cs="Times New Roman"/>
        </w:rPr>
        <w:t xml:space="preserve"> (2005).</w:t>
      </w:r>
    </w:p>
    <w:tbl>
      <w:tblPr>
        <w:tblStyle w:val="PlainTable11"/>
        <w:tblW w:w="5000" w:type="pct"/>
        <w:tblLayout w:type="fixed"/>
        <w:tblLook w:val="04A0" w:firstRow="1" w:lastRow="0" w:firstColumn="1" w:lastColumn="0" w:noHBand="0" w:noVBand="1"/>
      </w:tblPr>
      <w:tblGrid>
        <w:gridCol w:w="1430"/>
        <w:gridCol w:w="1178"/>
        <w:gridCol w:w="1308"/>
        <w:gridCol w:w="1179"/>
        <w:gridCol w:w="1202"/>
        <w:gridCol w:w="1284"/>
        <w:gridCol w:w="1436"/>
      </w:tblGrid>
      <w:tr w:rsidR="009B0448" w:rsidRPr="009B0448" w14:paraId="5BAF4B45" w14:textId="77777777" w:rsidTr="009B0448">
        <w:trPr>
          <w:cnfStyle w:val="100000000000" w:firstRow="1" w:lastRow="0" w:firstColumn="0" w:lastColumn="0" w:oddVBand="0" w:evenVBand="0" w:oddHBand="0" w:evenHBand="0" w:firstRowFirstColumn="0" w:firstRowLastColumn="0" w:lastRowFirstColumn="0" w:lastRowLastColumn="0"/>
          <w:trHeight w:val="1150"/>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4BFA9B" w14:textId="77777777" w:rsidR="009B0448" w:rsidRPr="009B0448" w:rsidRDefault="009B0448">
            <w:pPr>
              <w:spacing w:line="276" w:lineRule="auto"/>
              <w:rPr>
                <w:rFonts w:ascii="Times New Roman" w:hAnsi="Times New Roman" w:cs="Times New Roman"/>
                <w:bCs w:val="0"/>
              </w:rPr>
            </w:pPr>
            <w:r w:rsidRPr="009B0448">
              <w:rPr>
                <w:rFonts w:ascii="Times New Roman" w:hAnsi="Times New Roman" w:cs="Times New Roman"/>
                <w:bCs w:val="0"/>
              </w:rPr>
              <w:t>Country</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D9CB8C"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9B0448">
              <w:rPr>
                <w:rFonts w:ascii="Times New Roman" w:hAnsi="Times New Roman" w:cs="Times New Roman"/>
                <w:bCs w:val="0"/>
              </w:rPr>
              <w:t>Renewable water resources</w:t>
            </w:r>
            <w:r w:rsidRPr="009B0448">
              <w:rPr>
                <w:rFonts w:ascii="Times New Roman" w:hAnsi="Times New Roman" w:cs="Times New Roman"/>
                <w:bCs w:val="0"/>
                <w:vertAlign w:val="superscript"/>
              </w:rPr>
              <w:t>1</w:t>
            </w:r>
            <w:r w:rsidRPr="009B0448">
              <w:rPr>
                <w:rFonts w:ascii="Times New Roman" w:hAnsi="Times New Roman" w:cs="Times New Roman"/>
                <w:bCs w:val="0"/>
              </w:rPr>
              <w:t xml:space="preserve"> (km</w:t>
            </w:r>
            <w:r w:rsidRPr="009B0448">
              <w:rPr>
                <w:rFonts w:ascii="Times New Roman" w:hAnsi="Times New Roman" w:cs="Times New Roman"/>
                <w:bCs w:val="0"/>
                <w:bdr w:val="none" w:sz="0" w:space="0" w:color="auto" w:frame="1"/>
                <w:vertAlign w:val="superscript"/>
              </w:rPr>
              <w:t>3</w:t>
            </w:r>
            <w:r w:rsidRPr="009B0448">
              <w:rPr>
                <w:rFonts w:ascii="Times New Roman" w:hAnsi="Times New Roman" w:cs="Times New Roman"/>
                <w:bCs w:val="0"/>
              </w:rPr>
              <w:t>/year)</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629F62"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9B0448">
              <w:rPr>
                <w:rFonts w:ascii="Times New Roman" w:hAnsi="Times New Roman" w:cs="Times New Roman"/>
                <w:bCs w:val="0"/>
              </w:rPr>
              <w:t>Total water use (km</w:t>
            </w:r>
            <w:r w:rsidRPr="009B0448">
              <w:rPr>
                <w:rFonts w:ascii="Times New Roman" w:hAnsi="Times New Roman" w:cs="Times New Roman"/>
                <w:bCs w:val="0"/>
                <w:bdr w:val="none" w:sz="0" w:space="0" w:color="auto" w:frame="1"/>
                <w:vertAlign w:val="superscript"/>
              </w:rPr>
              <w:t>3</w:t>
            </w:r>
            <w:r w:rsidRPr="009B0448">
              <w:rPr>
                <w:rFonts w:ascii="Times New Roman" w:hAnsi="Times New Roman" w:cs="Times New Roman"/>
                <w:bCs w:val="0"/>
              </w:rPr>
              <w:t>/year)</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897786"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9B0448">
              <w:rPr>
                <w:rFonts w:ascii="Times New Roman" w:hAnsi="Times New Roman" w:cs="Times New Roman"/>
                <w:bCs w:val="0"/>
              </w:rPr>
              <w:t>Water per person</w:t>
            </w:r>
            <w:r w:rsidRPr="009B0448">
              <w:rPr>
                <w:rFonts w:ascii="Times New Roman" w:hAnsi="Times New Roman" w:cs="Times New Roman"/>
                <w:bCs w:val="0"/>
                <w:vertAlign w:val="superscript"/>
              </w:rPr>
              <w:t>2</w:t>
            </w:r>
            <w:r w:rsidRPr="009B0448">
              <w:rPr>
                <w:rFonts w:ascii="Times New Roman" w:hAnsi="Times New Roman" w:cs="Times New Roman"/>
                <w:bCs w:val="0"/>
              </w:rPr>
              <w:t xml:space="preserve"> (m</w:t>
            </w:r>
            <w:r w:rsidRPr="009B0448">
              <w:rPr>
                <w:rFonts w:ascii="Times New Roman" w:hAnsi="Times New Roman" w:cs="Times New Roman"/>
                <w:bCs w:val="0"/>
                <w:bdr w:val="none" w:sz="0" w:space="0" w:color="auto" w:frame="1"/>
                <w:vertAlign w:val="superscript"/>
              </w:rPr>
              <w:t>3</w:t>
            </w:r>
            <w:r w:rsidRPr="009B0448">
              <w:rPr>
                <w:rFonts w:ascii="Times New Roman" w:hAnsi="Times New Roman" w:cs="Times New Roman"/>
                <w:bCs w:val="0"/>
              </w:rPr>
              <w:t>/person/year)</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BB3282"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9B0448">
              <w:rPr>
                <w:rFonts w:ascii="Times New Roman" w:hAnsi="Times New Roman" w:cs="Times New Roman"/>
                <w:bCs w:val="0"/>
              </w:rPr>
              <w:t>Access to improved water (% of total population)</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8D9579"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9B0448">
              <w:rPr>
                <w:rFonts w:ascii="Times New Roman" w:hAnsi="Times New Roman" w:cs="Times New Roman"/>
                <w:bCs w:val="0"/>
              </w:rPr>
              <w:t>Access to improved sanitation (% of total population)</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ABFA54"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rPr>
            </w:pPr>
            <w:r w:rsidRPr="009B0448">
              <w:rPr>
                <w:rFonts w:ascii="Times New Roman" w:hAnsi="Times New Roman" w:cs="Times New Roman"/>
                <w:bCs w:val="0"/>
              </w:rPr>
              <w:t>Under-five mortality (per 1000 births)</w:t>
            </w:r>
          </w:p>
        </w:tc>
      </w:tr>
      <w:tr w:rsidR="009B0448" w:rsidRPr="009B0448" w14:paraId="61121998" w14:textId="77777777" w:rsidTr="009B0448">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E77F57"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Angola</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0D0E50"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184</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EAE783"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0.34</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C034E7"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13, 620</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BA511E"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38</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C6C583"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44</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9415B9"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260</w:t>
            </w:r>
          </w:p>
        </w:tc>
      </w:tr>
      <w:tr w:rsidR="009B0448" w:rsidRPr="009B0448" w14:paraId="511B98B5" w14:textId="77777777" w:rsidTr="009B0448">
        <w:trPr>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6CCFB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Botswana</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6842E3"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14.40</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DB0842"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0.14</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D8A751"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8,471</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979203"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95</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C950C9"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66</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2D04BC"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110</w:t>
            </w:r>
          </w:p>
        </w:tc>
      </w:tr>
      <w:tr w:rsidR="009B0448" w:rsidRPr="009B0448" w14:paraId="29EB69F9" w14:textId="77777777" w:rsidTr="009B0448">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BE2DA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Burundi</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E90CBE"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3.60</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9AC902"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0.23</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1E58D3"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bCs/>
                <w:bdr w:val="none" w:sz="0" w:space="0" w:color="auto" w:frame="1"/>
              </w:rPr>
              <w:t>519</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425D4F"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78</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02848D"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88</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A401F2"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190</w:t>
            </w:r>
          </w:p>
        </w:tc>
      </w:tr>
      <w:tr w:rsidR="009B0448" w:rsidRPr="009B0448" w14:paraId="38D20D5E" w14:textId="77777777" w:rsidTr="009B0448">
        <w:trPr>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4D2CC1"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Congo</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BAC3E6"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832</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FA3BF2"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0.04</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DABA9D"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26,8 387</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35CAB7"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51</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AE925D"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31E95A"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108</w:t>
            </w:r>
          </w:p>
        </w:tc>
      </w:tr>
      <w:tr w:rsidR="009B0448" w:rsidRPr="009B0448" w14:paraId="5163DE64" w14:textId="77777777" w:rsidTr="009B0448">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57A9BC"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Dem. Rep. Congo</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17824A"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1,283</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EE276D"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0.36</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6B5292"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24 ,508</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4B79F0"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45</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91D04A"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21</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F09A7F"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205</w:t>
            </w:r>
          </w:p>
        </w:tc>
      </w:tr>
      <w:tr w:rsidR="009B0448" w:rsidRPr="009B0448" w14:paraId="0B08CA8D" w14:textId="77777777" w:rsidTr="009B0448">
        <w:trPr>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577D8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Equatorial Guinea</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770CF7"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26</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393BAB"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0.11</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B2E417"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55, 319</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E51F71"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44</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F43121"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53</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0D9B3A"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153</w:t>
            </w:r>
          </w:p>
        </w:tc>
      </w:tr>
      <w:tr w:rsidR="009B0448" w:rsidRPr="009B0448" w14:paraId="3B5BCD4C" w14:textId="77777777" w:rsidTr="009B0448">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4F4BD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Gabon</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1CDE3A"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164</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864B95"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0.13</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0E7E46"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130 ,159</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0F39E4"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86</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2CC069"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53</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DE5B28"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90</w:t>
            </w:r>
          </w:p>
        </w:tc>
      </w:tr>
      <w:tr w:rsidR="009B0448" w:rsidRPr="009B0448" w14:paraId="241A5DBB" w14:textId="77777777" w:rsidTr="009B0448">
        <w:trPr>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DFA63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Kenya</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F76783"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30.20</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4AF1E4"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1.58</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2EA7D9"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bCs/>
                <w:bdr w:val="none" w:sz="0" w:space="0" w:color="auto" w:frame="1"/>
              </w:rPr>
              <w:t>982</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E9F896"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57</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F27AA5"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87</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57D1D9"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122</w:t>
            </w:r>
          </w:p>
        </w:tc>
      </w:tr>
      <w:tr w:rsidR="009B0448" w:rsidRPr="009B0448" w14:paraId="64ADD0DF" w14:textId="77777777" w:rsidTr="009B0448">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8A97FE"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Lesotho</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F5A292"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3.02</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6A96D4"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0.05</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290A0C"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1,467</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734FB1"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78</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C51144"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49</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3440FB"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132</w:t>
            </w:r>
          </w:p>
        </w:tc>
      </w:tr>
      <w:tr w:rsidR="009B0448" w:rsidRPr="009B0448" w14:paraId="12CC2544" w14:textId="77777777" w:rsidTr="009B0448">
        <w:trPr>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32E63B"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Malawi</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B762DC"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17.28</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5894D3"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0.11</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5222A5"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1,641</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07CC0F"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57</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2C5D86"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76</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0CC41B"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183</w:t>
            </w:r>
          </w:p>
        </w:tc>
      </w:tr>
      <w:tr w:rsidR="009B0448" w:rsidRPr="009B0448" w14:paraId="41A0EFDB" w14:textId="77777777" w:rsidTr="009B0448">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BE52EE"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Mozambique</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805B43"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216.11</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39FB46"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0.64</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696F7E"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11, 960</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E6FE0E"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57</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AD2B49"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43</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62854F"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197</w:t>
            </w:r>
          </w:p>
        </w:tc>
      </w:tr>
      <w:tr w:rsidR="009B0448" w:rsidRPr="009B0448" w14:paraId="56EF53ED" w14:textId="77777777" w:rsidTr="009B0448">
        <w:trPr>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1E7B5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Namibia</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6E0607"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17.94</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EA2372"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0.27</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5E8B47"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10 ,022</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120BD8"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77</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5D2A45"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41</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2B79E0"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67</w:t>
            </w:r>
          </w:p>
        </w:tc>
      </w:tr>
      <w:tr w:rsidR="009B0448" w:rsidRPr="009B0448" w14:paraId="70ED4BF3" w14:textId="77777777" w:rsidTr="009B0448">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7384DD"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Rwanda</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BCDCFE"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5.20</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76B36C"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0.08</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CE0415"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bCs/>
                <w:bdr w:val="none" w:sz="0" w:space="0" w:color="auto" w:frame="1"/>
              </w:rPr>
              <w:t>656</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7F8F45"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41</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A80470"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8</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EBF0345"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183</w:t>
            </w:r>
          </w:p>
        </w:tc>
      </w:tr>
      <w:tr w:rsidR="009B0448" w:rsidRPr="009B0448" w14:paraId="63313669" w14:textId="77777777" w:rsidTr="009B0448">
        <w:trPr>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8799F8"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lastRenderedPageBreak/>
              <w:t>South Africa</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2AA021"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50</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4DCE15"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15.31</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E7C907"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1,156</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1803BC"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86</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54163E"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87</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E62549"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71</w:t>
            </w:r>
          </w:p>
        </w:tc>
      </w:tr>
      <w:tr w:rsidR="009B0448" w:rsidRPr="009B0448" w14:paraId="0FCC276D" w14:textId="77777777" w:rsidTr="009B0448">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0152A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Swaziland</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CBC753"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4.51</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AA9717"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0.83</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732252"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4,215</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F8A33E"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48</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9B5A50"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44</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E49245"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149</w:t>
            </w:r>
          </w:p>
        </w:tc>
      </w:tr>
      <w:tr w:rsidR="009B0448" w:rsidRPr="009B0448" w14:paraId="7CBA53D3" w14:textId="77777777" w:rsidTr="009B0448">
        <w:trPr>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114994"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Tanzania</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408976"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91</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E62D69"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69022C"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2,642</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84F87F"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68</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3E07EA"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90</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C26570"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165</w:t>
            </w:r>
          </w:p>
        </w:tc>
      </w:tr>
      <w:tr w:rsidR="009B0448" w:rsidRPr="009B0448" w14:paraId="535E2E01" w14:textId="77777777" w:rsidTr="009B0448">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2EB33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Uganda</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9D7496"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66</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8E55CB"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0.30</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7E022C"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2,896</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262484"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52</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53CBE6"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79</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C1F844"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124</w:t>
            </w:r>
          </w:p>
        </w:tc>
      </w:tr>
      <w:tr w:rsidR="009B0448" w:rsidRPr="009B0448" w14:paraId="303C1CE9" w14:textId="77777777" w:rsidTr="009B0448">
        <w:trPr>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17CC61"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Zambia</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089449"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105.20</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2D6F56"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1.74</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1526A3"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10 ,233</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780060"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64</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B32F74"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78</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30410C"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202</w:t>
            </w:r>
          </w:p>
        </w:tc>
      </w:tr>
      <w:tr w:rsidR="009B0448" w:rsidRPr="009B0448" w14:paraId="04F05CD0" w14:textId="77777777" w:rsidTr="009B0448">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2DEF4A"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Zimbabwe</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4198CA"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20</w:t>
            </w: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8F4BFC"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2.61</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62CAC7"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1,560</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0A1207"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83</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62794D"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62</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D441E2"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123</w:t>
            </w:r>
          </w:p>
        </w:tc>
      </w:tr>
      <w:tr w:rsidR="009B0448" w:rsidRPr="009B0448" w14:paraId="0C5FA023" w14:textId="77777777" w:rsidTr="009B0448">
        <w:trPr>
          <w:trHeight w:val="167"/>
        </w:trPr>
        <w:tc>
          <w:tcPr>
            <w:cnfStyle w:val="001000000000" w:firstRow="0" w:lastRow="0" w:firstColumn="1" w:lastColumn="0" w:oddVBand="0" w:evenVBand="0" w:oddHBand="0" w:evenHBand="0" w:firstRowFirstColumn="0" w:firstRowLastColumn="0" w:lastRowFirstColumn="0" w:lastRowLastColumn="0"/>
            <w:tcW w:w="15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2545A5"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Region</w:t>
            </w:r>
          </w:p>
        </w:tc>
        <w:tc>
          <w:tcPr>
            <w:tcW w:w="12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ED999D"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2B1199"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lang w:val="en-GB"/>
              </w:rPr>
            </w:pPr>
            <w:r w:rsidRPr="009B0448">
              <w:rPr>
                <w:rFonts w:ascii="Times New Roman" w:hAnsi="Times New Roman" w:cs="Times New Roman"/>
              </w:rPr>
              <w:t>26.87</w:t>
            </w:r>
            <w:r w:rsidRPr="009B0448">
              <w:rPr>
                <w:rFonts w:ascii="Times New Roman" w:hAnsi="Times New Roman" w:cs="Times New Roman"/>
                <w:vertAlign w:val="superscript"/>
              </w:rPr>
              <w:t>3</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4EF445"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11, 390</w:t>
            </w:r>
          </w:p>
        </w:tc>
        <w:tc>
          <w:tcPr>
            <w:tcW w:w="13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FDE52B"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61</w:t>
            </w:r>
          </w:p>
        </w:tc>
        <w:tc>
          <w:tcPr>
            <w:tcW w:w="13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4D5DE5"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63</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17C14E"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155</w:t>
            </w:r>
          </w:p>
        </w:tc>
      </w:tr>
      <w:tr w:rsidR="009B0448" w:rsidRPr="009B0448" w14:paraId="7B9A7ABD" w14:textId="77777777" w:rsidTr="009B0448">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9773" w:type="dxa"/>
            <w:gridSpan w:val="7"/>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8F1E2E" w14:textId="77777777" w:rsidR="009B0448" w:rsidRPr="009B0448" w:rsidRDefault="009B0448">
            <w:pPr>
              <w:pStyle w:val="NormalWeb"/>
              <w:shd w:val="clear" w:color="auto" w:fill="FFFFFF"/>
              <w:spacing w:before="0" w:beforeAutospacing="0" w:after="0" w:afterAutospacing="0" w:line="276" w:lineRule="auto"/>
              <w:textAlignment w:val="baseline"/>
              <w:rPr>
                <w:rStyle w:val="fn-label"/>
                <w:sz w:val="22"/>
                <w:szCs w:val="22"/>
                <w:bdr w:val="none" w:sz="0" w:space="0" w:color="auto" w:frame="1"/>
                <w:lang w:val="en-US"/>
              </w:rPr>
            </w:pPr>
            <w:r w:rsidRPr="009B0448">
              <w:rPr>
                <w:rStyle w:val="fn-label"/>
                <w:sz w:val="22"/>
                <w:szCs w:val="22"/>
                <w:bdr w:val="none" w:sz="0" w:space="0" w:color="auto" w:frame="1"/>
              </w:rPr>
              <w:t>- No data</w:t>
            </w:r>
          </w:p>
          <w:p w14:paraId="4C859EC8" w14:textId="77777777" w:rsidR="009B0448" w:rsidRPr="009B0448" w:rsidRDefault="009B0448">
            <w:pPr>
              <w:pStyle w:val="NormalWeb"/>
              <w:shd w:val="clear" w:color="auto" w:fill="FFFFFF"/>
              <w:spacing w:before="0" w:beforeAutospacing="0" w:after="0" w:afterAutospacing="0" w:line="276" w:lineRule="auto"/>
              <w:textAlignment w:val="baseline"/>
              <w:rPr>
                <w:b w:val="0"/>
              </w:rPr>
            </w:pPr>
            <w:r w:rsidRPr="009B0448">
              <w:rPr>
                <w:rStyle w:val="fn-label"/>
                <w:sz w:val="22"/>
                <w:szCs w:val="22"/>
                <w:bdr w:val="none" w:sz="0" w:space="0" w:color="auto" w:frame="1"/>
                <w:vertAlign w:val="superscript"/>
              </w:rPr>
              <w:t>1</w:t>
            </w:r>
            <w:r w:rsidRPr="009B0448">
              <w:rPr>
                <w:sz w:val="22"/>
                <w:szCs w:val="22"/>
                <w:lang w:val="en-US"/>
              </w:rPr>
              <w:t> Total surface and groundwater resources (corrected for partial overlap) within a country's borders, plus or minus the natural flows entering and leaving the country, as well as flows secured through treaties and agreements with other countries. Aggregation cannot be done for the region as it would result in double counting of shared water resources.</w:t>
            </w:r>
          </w:p>
          <w:p w14:paraId="3D2930DA" w14:textId="77777777" w:rsidR="009B0448" w:rsidRPr="009B0448" w:rsidRDefault="009B0448">
            <w:pPr>
              <w:pStyle w:val="NormalWeb"/>
              <w:shd w:val="clear" w:color="auto" w:fill="FFFFFF"/>
              <w:spacing w:before="0" w:beforeAutospacing="0" w:after="0" w:afterAutospacing="0" w:line="276" w:lineRule="auto"/>
              <w:textAlignment w:val="baseline"/>
              <w:rPr>
                <w:b w:val="0"/>
                <w:sz w:val="22"/>
                <w:szCs w:val="22"/>
                <w:lang w:val="en-US"/>
              </w:rPr>
            </w:pPr>
            <w:r w:rsidRPr="009B0448">
              <w:rPr>
                <w:rStyle w:val="fn-label"/>
                <w:sz w:val="22"/>
                <w:szCs w:val="22"/>
                <w:bdr w:val="none" w:sz="0" w:space="0" w:color="auto" w:frame="1"/>
                <w:vertAlign w:val="superscript"/>
              </w:rPr>
              <w:t>2</w:t>
            </w:r>
            <w:r w:rsidRPr="009B0448">
              <w:rPr>
                <w:sz w:val="22"/>
                <w:szCs w:val="22"/>
                <w:lang w:val="en-US"/>
              </w:rPr>
              <w:t> Population-weighted means.</w:t>
            </w:r>
          </w:p>
          <w:p w14:paraId="7043FEFF" w14:textId="77777777" w:rsidR="009B0448" w:rsidRPr="009B0448" w:rsidRDefault="009B0448">
            <w:pPr>
              <w:pStyle w:val="NormalWeb"/>
              <w:shd w:val="clear" w:color="auto" w:fill="FFFFFF"/>
              <w:spacing w:before="0" w:beforeAutospacing="0" w:after="0" w:afterAutospacing="0" w:line="276" w:lineRule="auto"/>
              <w:textAlignment w:val="baseline"/>
              <w:rPr>
                <w:sz w:val="22"/>
                <w:szCs w:val="22"/>
                <w:lang w:val="en-US"/>
              </w:rPr>
            </w:pPr>
            <w:r w:rsidRPr="009B0448">
              <w:rPr>
                <w:rStyle w:val="fn-label"/>
                <w:sz w:val="22"/>
                <w:szCs w:val="22"/>
                <w:bdr w:val="none" w:sz="0" w:space="0" w:color="auto" w:frame="1"/>
                <w:vertAlign w:val="superscript"/>
              </w:rPr>
              <w:t>3</w:t>
            </w:r>
            <w:r w:rsidRPr="009B0448">
              <w:rPr>
                <w:rStyle w:val="fn-label"/>
                <w:sz w:val="22"/>
                <w:szCs w:val="22"/>
                <w:bdr w:val="none" w:sz="0" w:space="0" w:color="auto" w:frame="1"/>
              </w:rPr>
              <w:t xml:space="preserve"> </w:t>
            </w:r>
            <w:r w:rsidRPr="009B0448">
              <w:rPr>
                <w:sz w:val="22"/>
                <w:szCs w:val="22"/>
                <w:lang w:val="en-US"/>
              </w:rPr>
              <w:t>Weighted by total renewable resources of each country.</w:t>
            </w:r>
          </w:p>
        </w:tc>
      </w:tr>
    </w:tbl>
    <w:p w14:paraId="70639979" w14:textId="77777777" w:rsidR="009B0448" w:rsidRPr="009B0448" w:rsidRDefault="009B0448" w:rsidP="009B0448">
      <w:pPr>
        <w:spacing w:line="276" w:lineRule="auto"/>
        <w:jc w:val="both"/>
        <w:rPr>
          <w:rFonts w:ascii="Times New Roman" w:hAnsi="Times New Roman" w:cs="Times New Roman"/>
        </w:rPr>
      </w:pPr>
    </w:p>
    <w:p w14:paraId="380397B1"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According to a survey of ecosystem services in seven African countries (Wong </w:t>
      </w:r>
      <w:r w:rsidRPr="009B0448">
        <w:rPr>
          <w:rFonts w:ascii="Times New Roman" w:hAnsi="Times New Roman" w:cs="Times New Roman"/>
          <w:i/>
        </w:rPr>
        <w:t>et al.</w:t>
      </w:r>
      <w:r w:rsidRPr="009B0448">
        <w:rPr>
          <w:rFonts w:ascii="Times New Roman" w:hAnsi="Times New Roman" w:cs="Times New Roman"/>
        </w:rPr>
        <w:t xml:space="preserve">, 2015), many regions in these countries are water stressed in terms of both supply and quality. The major causes of water degradation were cited as wetland degradation, agricultural, urban pollution, and deforestation. In the drier regions of Africa, oases play an important role in terms of both agricultural and water supply. Dates, cotton, olives, figs, citrus fruit, wheat and corn (maize) are common oasis crops. Amongst the world’s most significant (and strategically important) supplies of groundwater exist beneath the Sahara Desert (Figure 2.8) for a relative amp of aquifer productivity in Africa) supporting about 90 major oases there. In certain areas, communities have traditionally planted trees such as palms around the perimeter of oases to protect against sand and wind erosion. </w:t>
      </w:r>
    </w:p>
    <w:p w14:paraId="7CDF27F4" w14:textId="77777777" w:rsidR="009B0448" w:rsidRPr="009B0448" w:rsidRDefault="009B0448" w:rsidP="00FA7185">
      <w:pPr>
        <w:pStyle w:val="111"/>
        <w:numPr>
          <w:ilvl w:val="2"/>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70" w:name="_Toc501997883"/>
      <w:bookmarkStart w:id="71" w:name="_Toc519499811"/>
      <w:r w:rsidRPr="009B0448">
        <w:rPr>
          <w:rFonts w:cs="Times New Roman"/>
          <w:i w:val="0"/>
          <w:sz w:val="22"/>
          <w:szCs w:val="22"/>
        </w:rPr>
        <w:t>Regulating Contributions</w:t>
      </w:r>
      <w:bookmarkEnd w:id="70"/>
      <w:bookmarkEnd w:id="71"/>
    </w:p>
    <w:p w14:paraId="180CC6DC"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72" w:name="_Toc501997884"/>
      <w:bookmarkStart w:id="73" w:name="_Toc519499812"/>
      <w:r w:rsidRPr="009B0448">
        <w:rPr>
          <w:rFonts w:cs="Times New Roman"/>
          <w:sz w:val="22"/>
          <w:szCs w:val="22"/>
        </w:rPr>
        <w:t>Pollination, dispersal of seeds and other propagules</w:t>
      </w:r>
      <w:bookmarkEnd w:id="72"/>
      <w:bookmarkEnd w:id="73"/>
    </w:p>
    <w:p w14:paraId="3D35AC4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Pollination is an ecosystem service that is fundamental to plant reproduction, agricultural production and the maintenance of terrestrial biodiversity. Pollen is moved between flowers by wind, water, or animals as a precursor to fertilisation (IPBES, 2016). The majority of animal pollinators are insects, of which bees are the best known, but large animals such as birds, bats, </w:t>
      </w:r>
      <w:r w:rsidRPr="009B0448">
        <w:rPr>
          <w:rFonts w:ascii="Times New Roman" w:hAnsi="Times New Roman" w:cs="Times New Roman"/>
          <w:noProof/>
        </w:rPr>
        <w:t>and</w:t>
      </w:r>
      <w:r w:rsidRPr="009B0448">
        <w:rPr>
          <w:rFonts w:ascii="Times New Roman" w:hAnsi="Times New Roman" w:cs="Times New Roman"/>
        </w:rPr>
        <w:t xml:space="preserve"> other mammals also frequently help pollinate large flowers. Pollination by hand has also been practiced for many years in, for example, the production of dates (</w:t>
      </w:r>
      <w:r w:rsidRPr="009B0448">
        <w:rPr>
          <w:rFonts w:ascii="Times New Roman" w:hAnsi="Times New Roman" w:cs="Times New Roman"/>
          <w:i/>
        </w:rPr>
        <w:t>Phoenix dactylifera</w:t>
      </w:r>
      <w:r w:rsidRPr="009B0448">
        <w:rPr>
          <w:rFonts w:ascii="Times New Roman" w:hAnsi="Times New Roman" w:cs="Times New Roman"/>
        </w:rPr>
        <w:t xml:space="preserve">) in the Middle East (Zaid </w:t>
      </w:r>
      <w:r w:rsidRPr="009B0448">
        <w:rPr>
          <w:rFonts w:ascii="Times New Roman" w:hAnsi="Times New Roman" w:cs="Times New Roman"/>
          <w:i/>
        </w:rPr>
        <w:t>et al.</w:t>
      </w:r>
      <w:r w:rsidRPr="009B0448">
        <w:rPr>
          <w:rFonts w:ascii="Times New Roman" w:hAnsi="Times New Roman" w:cs="Times New Roman"/>
        </w:rPr>
        <w:t xml:space="preserve">, 2002) and in the production of vanilla (Arditti, 1992; Fouche </w:t>
      </w:r>
      <w:r w:rsidRPr="009B0448">
        <w:rPr>
          <w:rFonts w:ascii="Times New Roman" w:hAnsi="Times New Roman" w:cs="Times New Roman"/>
          <w:i/>
        </w:rPr>
        <w:t>et al.</w:t>
      </w:r>
      <w:r w:rsidRPr="009B0448">
        <w:rPr>
          <w:rFonts w:ascii="Times New Roman" w:hAnsi="Times New Roman" w:cs="Times New Roman"/>
        </w:rPr>
        <w:t>, 1992).</w:t>
      </w:r>
    </w:p>
    <w:p w14:paraId="4F1F0F23" w14:textId="77777777" w:rsidR="009B0448" w:rsidRPr="009B0448" w:rsidRDefault="009B0448" w:rsidP="009B0448">
      <w:pPr>
        <w:spacing w:line="276" w:lineRule="auto"/>
        <w:jc w:val="both"/>
        <w:rPr>
          <w:rFonts w:ascii="Times New Roman" w:hAnsi="Times New Roman" w:cs="Times New Roman"/>
        </w:rPr>
      </w:pPr>
    </w:p>
    <w:p w14:paraId="7594886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African forest elephants (Chapter 3) are major seed dispersers. In Uganda, for example, elephants are responsible for spreading seeds a great distance from the parent trees. Asian elephants typically spread seeds from 1 km to 6 km, while Congo forest elephants are capable of spreading seeds as far as 57 km. </w:t>
      </w:r>
      <w:r w:rsidRPr="009B0448">
        <w:rPr>
          <w:rFonts w:ascii="Times New Roman" w:hAnsi="Times New Roman" w:cs="Times New Roman"/>
          <w:i/>
        </w:rPr>
        <w:t>Myrianthus arboreus</w:t>
      </w:r>
      <w:r w:rsidRPr="009B0448">
        <w:rPr>
          <w:rFonts w:ascii="Times New Roman" w:hAnsi="Times New Roman" w:cs="Times New Roman"/>
        </w:rPr>
        <w:t xml:space="preserve"> are typical fruits targeted by large mammals and elephants in Congo (Campos-Arceiz </w:t>
      </w:r>
      <w:r w:rsidRPr="009B0448">
        <w:rPr>
          <w:rFonts w:ascii="Times New Roman" w:hAnsi="Times New Roman" w:cs="Times New Roman"/>
          <w:i/>
        </w:rPr>
        <w:t>et al.</w:t>
      </w:r>
      <w:r w:rsidRPr="009B0448">
        <w:rPr>
          <w:rFonts w:ascii="Times New Roman" w:hAnsi="Times New Roman" w:cs="Times New Roman"/>
        </w:rPr>
        <w:t xml:space="preserve">, 2011). Moreover, in the Congo Basin, </w:t>
      </w:r>
      <w:r w:rsidRPr="009B0448">
        <w:rPr>
          <w:rFonts w:ascii="Times New Roman" w:hAnsi="Times New Roman" w:cs="Times New Roman"/>
          <w:i/>
        </w:rPr>
        <w:t>Baillonella toxisperma</w:t>
      </w:r>
      <w:r w:rsidRPr="009B0448">
        <w:rPr>
          <w:rFonts w:ascii="Times New Roman" w:hAnsi="Times New Roman" w:cs="Times New Roman"/>
        </w:rPr>
        <w:t xml:space="preserve"> (Sapotaceae), is species frequently exploited for a number of products, which relies on mammals and local populations for dispersal of the species (Duminil </w:t>
      </w:r>
      <w:r w:rsidRPr="009B0448">
        <w:rPr>
          <w:rFonts w:ascii="Times New Roman" w:hAnsi="Times New Roman" w:cs="Times New Roman"/>
          <w:i/>
        </w:rPr>
        <w:t>et al.</w:t>
      </w:r>
      <w:r w:rsidRPr="009B0448">
        <w:rPr>
          <w:rFonts w:ascii="Times New Roman" w:hAnsi="Times New Roman" w:cs="Times New Roman"/>
        </w:rPr>
        <w:t xml:space="preserve">, 2016). In Madagascar, insects, lemurs, birds, </w:t>
      </w:r>
      <w:r w:rsidRPr="009B0448">
        <w:rPr>
          <w:rFonts w:ascii="Times New Roman" w:hAnsi="Times New Roman" w:cs="Times New Roman"/>
          <w:noProof/>
        </w:rPr>
        <w:t>and</w:t>
      </w:r>
      <w:r w:rsidRPr="009B0448">
        <w:rPr>
          <w:rFonts w:ascii="Times New Roman" w:hAnsi="Times New Roman" w:cs="Times New Roman"/>
        </w:rPr>
        <w:t xml:space="preserve"> bats play an important role in improving agricultural yield, pollination and forest regeneration (Oleksy </w:t>
      </w:r>
      <w:r w:rsidRPr="009B0448">
        <w:rPr>
          <w:rFonts w:ascii="Times New Roman" w:hAnsi="Times New Roman" w:cs="Times New Roman"/>
          <w:i/>
        </w:rPr>
        <w:t>et al</w:t>
      </w:r>
      <w:r w:rsidRPr="009B0448">
        <w:rPr>
          <w:rFonts w:ascii="Times New Roman" w:hAnsi="Times New Roman" w:cs="Times New Roman"/>
        </w:rPr>
        <w:t>., 2017).</w:t>
      </w:r>
    </w:p>
    <w:p w14:paraId="5E41DDB0"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74" w:name="_Toc501997885"/>
      <w:bookmarkStart w:id="75" w:name="_Toc519499813"/>
      <w:r w:rsidRPr="009B0448">
        <w:rPr>
          <w:rFonts w:cs="Times New Roman"/>
          <w:sz w:val="22"/>
          <w:szCs w:val="22"/>
        </w:rPr>
        <w:lastRenderedPageBreak/>
        <w:t>Regulation of climate</w:t>
      </w:r>
      <w:bookmarkEnd w:id="74"/>
      <w:bookmarkEnd w:id="75"/>
    </w:p>
    <w:p w14:paraId="1FE295F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Ecosystem services play a critical role in mitigation and adaptation strategies for climate change. Forest ecosystems, in particular, contribute to mitigation, due to their capacity to remove carbon from the atmosphere and to store it. Effective agricultural management can also enhance carbon sequestration through soil conservation, or by introducing trees into agroforestry systems (Uprety </w:t>
      </w:r>
      <w:r w:rsidRPr="009B0448">
        <w:rPr>
          <w:rFonts w:ascii="Times New Roman" w:hAnsi="Times New Roman" w:cs="Times New Roman"/>
          <w:i/>
        </w:rPr>
        <w:t>et al.</w:t>
      </w:r>
      <w:r w:rsidRPr="009B0448">
        <w:rPr>
          <w:rFonts w:ascii="Times New Roman" w:hAnsi="Times New Roman" w:cs="Times New Roman"/>
        </w:rPr>
        <w:t xml:space="preserve">, 2012a). Well-managed ecosystems can further support adaptation to climate variability and change by providing a range of ecosystem services (Doswald </w:t>
      </w:r>
      <w:r w:rsidRPr="009B0448">
        <w:rPr>
          <w:rFonts w:ascii="Times New Roman" w:hAnsi="Times New Roman" w:cs="Times New Roman"/>
          <w:i/>
        </w:rPr>
        <w:t>et al.</w:t>
      </w:r>
      <w:r w:rsidRPr="009B0448">
        <w:rPr>
          <w:rFonts w:ascii="Times New Roman" w:hAnsi="Times New Roman" w:cs="Times New Roman"/>
        </w:rPr>
        <w:t xml:space="preserve">, 2014). </w:t>
      </w:r>
    </w:p>
    <w:p w14:paraId="529FBCDB" w14:textId="77777777" w:rsidR="009B0448" w:rsidRPr="009B0448" w:rsidRDefault="009B0448" w:rsidP="009B0448">
      <w:pPr>
        <w:spacing w:line="276" w:lineRule="auto"/>
        <w:jc w:val="both"/>
        <w:rPr>
          <w:rFonts w:ascii="Times New Roman" w:hAnsi="Times New Roman" w:cs="Times New Roman"/>
        </w:rPr>
      </w:pPr>
    </w:p>
    <w:p w14:paraId="551D0A21" w14:textId="7F818F72"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In cities, ecosystem based adaptation requires a robust understanding of landscape ecology and the potential of green infrastructure to improve the well</w:t>
      </w:r>
      <w:r w:rsidR="00247AD0">
        <w:rPr>
          <w:rFonts w:ascii="Times New Roman" w:hAnsi="Times New Roman" w:cs="Times New Roman"/>
        </w:rPr>
        <w:t>-</w:t>
      </w:r>
      <w:r w:rsidRPr="009B0448">
        <w:rPr>
          <w:rFonts w:ascii="Times New Roman" w:hAnsi="Times New Roman" w:cs="Times New Roman"/>
        </w:rPr>
        <w:t xml:space="preserve">being of vulnerable communities, as in the case of Durban, South Africa (Roberts </w:t>
      </w:r>
      <w:r w:rsidRPr="009B0448">
        <w:rPr>
          <w:rFonts w:ascii="Times New Roman" w:hAnsi="Times New Roman" w:cs="Times New Roman"/>
          <w:i/>
        </w:rPr>
        <w:t>et al.</w:t>
      </w:r>
      <w:r w:rsidRPr="009B0448">
        <w:rPr>
          <w:rFonts w:ascii="Times New Roman" w:hAnsi="Times New Roman" w:cs="Times New Roman"/>
        </w:rPr>
        <w:t>, 2012). While ecosystem services are part of the solution to climate change, they are also, themselves, affected by changing climatic conditions (Chapter 3 &amp; 4; SPM sections B &amp; D). As a result, the provision of ecosystem services and the well-being of people that rely on these services are under threat by climate change. Such modification is expected to increasingly impact, both positively and negatively, the provision and value of ecosystem services.</w:t>
      </w:r>
    </w:p>
    <w:p w14:paraId="561A7565" w14:textId="77777777" w:rsidR="009B0448" w:rsidRPr="009B0448" w:rsidRDefault="009B0448" w:rsidP="009B0448">
      <w:pPr>
        <w:spacing w:line="276" w:lineRule="auto"/>
        <w:jc w:val="both"/>
        <w:rPr>
          <w:rFonts w:ascii="Times New Roman" w:hAnsi="Times New Roman" w:cs="Times New Roman"/>
        </w:rPr>
      </w:pPr>
    </w:p>
    <w:p w14:paraId="501682A0" w14:textId="013888C6"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Much attention has recently been focused on the role of Congo Basin forests in carbon sequestration &amp; 4, and the impacts of deforestation and forest degradation on global carbon emissions. For example, estimates made in the 200</w:t>
      </w:r>
      <w:r w:rsidR="000E7FE7">
        <w:rPr>
          <w:rFonts w:ascii="Times New Roman" w:hAnsi="Times New Roman" w:cs="Times New Roman"/>
        </w:rPr>
        <w:t>8 State of the Forests Report (d</w:t>
      </w:r>
      <w:r w:rsidRPr="009B0448">
        <w:rPr>
          <w:rFonts w:ascii="Times New Roman" w:hAnsi="Times New Roman" w:cs="Times New Roman"/>
        </w:rPr>
        <w:t xml:space="preserve">e Wasseige </w:t>
      </w:r>
      <w:r w:rsidRPr="009B0448">
        <w:rPr>
          <w:rFonts w:ascii="Times New Roman" w:hAnsi="Times New Roman" w:cs="Times New Roman"/>
          <w:i/>
        </w:rPr>
        <w:t>et al.</w:t>
      </w:r>
      <w:r w:rsidRPr="009B0448">
        <w:rPr>
          <w:rFonts w:ascii="Times New Roman" w:hAnsi="Times New Roman" w:cs="Times New Roman"/>
        </w:rPr>
        <w:t xml:space="preserve">, 2008; Nlom, 2011; Chapters 3 &amp; 4) estimate the total stock of carbon in Congo Basin forests to be some 47 billion tons (Table 2.9). In key coastal and marine areas around the continent, climate change is increasingly impacting coral reefs and mangroves (Niang </w:t>
      </w:r>
      <w:r w:rsidRPr="009B0448">
        <w:rPr>
          <w:rFonts w:ascii="Times New Roman" w:hAnsi="Times New Roman" w:cs="Times New Roman"/>
          <w:i/>
        </w:rPr>
        <w:t>et al.</w:t>
      </w:r>
      <w:r w:rsidRPr="009B0448">
        <w:rPr>
          <w:rFonts w:ascii="Times New Roman" w:hAnsi="Times New Roman" w:cs="Times New Roman"/>
        </w:rPr>
        <w:t xml:space="preserve">, 2014; Chapters 3 &amp; 4). </w:t>
      </w:r>
    </w:p>
    <w:p w14:paraId="0A9E134A" w14:textId="77777777" w:rsidR="009B0448" w:rsidRPr="009B0448" w:rsidRDefault="009B0448" w:rsidP="009B0448">
      <w:pPr>
        <w:spacing w:line="276" w:lineRule="auto"/>
        <w:jc w:val="both"/>
        <w:rPr>
          <w:rFonts w:ascii="Times New Roman" w:hAnsi="Times New Roman" w:cs="Times New Roman"/>
        </w:rPr>
      </w:pPr>
    </w:p>
    <w:p w14:paraId="6D56A538" w14:textId="3A8B7199"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Table 2.9:</w:t>
      </w:r>
      <w:r w:rsidRPr="009B0448">
        <w:rPr>
          <w:rFonts w:ascii="Times New Roman" w:hAnsi="Times New Roman" w:cs="Times New Roman"/>
        </w:rPr>
        <w:t xml:space="preserve"> Stock of carbon in Congo Basin f</w:t>
      </w:r>
      <w:r w:rsidR="000E7FE7">
        <w:rPr>
          <w:rFonts w:ascii="Times New Roman" w:hAnsi="Times New Roman" w:cs="Times New Roman"/>
        </w:rPr>
        <w:t>orests (million tons). Source: d</w:t>
      </w:r>
      <w:r w:rsidRPr="009B0448">
        <w:rPr>
          <w:rFonts w:ascii="Times New Roman" w:hAnsi="Times New Roman" w:cs="Times New Roman"/>
        </w:rPr>
        <w:t xml:space="preserve">e Wasseige </w:t>
      </w:r>
      <w:r w:rsidRPr="009B0448">
        <w:rPr>
          <w:rFonts w:ascii="Times New Roman" w:hAnsi="Times New Roman" w:cs="Times New Roman"/>
          <w:i/>
        </w:rPr>
        <w:t>et al.</w:t>
      </w:r>
      <w:r w:rsidRPr="009B0448">
        <w:rPr>
          <w:rFonts w:ascii="Times New Roman" w:hAnsi="Times New Roman" w:cs="Times New Roman"/>
        </w:rPr>
        <w:t xml:space="preserve"> (2008); Nlom (2011).</w:t>
      </w:r>
    </w:p>
    <w:tbl>
      <w:tblPr>
        <w:tblStyle w:val="PlainTable11"/>
        <w:tblW w:w="5000" w:type="pct"/>
        <w:tblLayout w:type="fixed"/>
        <w:tblLook w:val="0400" w:firstRow="0" w:lastRow="0" w:firstColumn="0" w:lastColumn="0" w:noHBand="0" w:noVBand="1"/>
      </w:tblPr>
      <w:tblGrid>
        <w:gridCol w:w="1678"/>
        <w:gridCol w:w="1173"/>
        <w:gridCol w:w="1104"/>
        <w:gridCol w:w="898"/>
        <w:gridCol w:w="1026"/>
        <w:gridCol w:w="1152"/>
        <w:gridCol w:w="1060"/>
        <w:gridCol w:w="926"/>
      </w:tblGrid>
      <w:tr w:rsidR="009B0448" w:rsidRPr="009B0448" w14:paraId="799E29A7" w14:textId="77777777" w:rsidTr="009B0448">
        <w:trPr>
          <w:cnfStyle w:val="000000100000" w:firstRow="0" w:lastRow="0" w:firstColumn="0" w:lastColumn="0" w:oddVBand="0" w:evenVBand="0" w:oddHBand="1" w:evenHBand="0" w:firstRowFirstColumn="0" w:firstRowLastColumn="0" w:lastRowFirstColumn="0" w:lastRowLastColumn="0"/>
          <w:trHeight w:val="1113"/>
        </w:trPr>
        <w:tc>
          <w:tcPr>
            <w:tcW w:w="18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0D3D0C" w14:textId="77777777" w:rsidR="009B0448" w:rsidRPr="009B0448" w:rsidRDefault="009B0448">
            <w:pPr>
              <w:widowControl w:val="0"/>
              <w:spacing w:line="276" w:lineRule="auto"/>
              <w:rPr>
                <w:rFonts w:ascii="Times New Roman" w:hAnsi="Times New Roman" w:cs="Times New Roman"/>
              </w:rPr>
            </w:pP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EBB7D3"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Cameroon</w:t>
            </w:r>
          </w:p>
        </w:tc>
        <w:tc>
          <w:tcPr>
            <w:tcW w:w="12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F7D18D"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Central African Republic</w:t>
            </w:r>
          </w:p>
        </w:tc>
        <w:tc>
          <w:tcPr>
            <w:tcW w:w="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2ED509"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Congo</w:t>
            </w:r>
          </w:p>
        </w:tc>
        <w:tc>
          <w:tcPr>
            <w:tcW w:w="111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AF6055"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DRC</w:t>
            </w:r>
          </w:p>
        </w:tc>
        <w:tc>
          <w:tcPr>
            <w:tcW w:w="12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0F8135"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Equatorial Guinea</w:t>
            </w:r>
          </w:p>
        </w:tc>
        <w:tc>
          <w:tcPr>
            <w:tcW w:w="11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DCB068"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Gabon</w:t>
            </w:r>
          </w:p>
        </w:tc>
        <w:tc>
          <w:tcPr>
            <w:tcW w:w="100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688409"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Total</w:t>
            </w:r>
          </w:p>
        </w:tc>
      </w:tr>
      <w:tr w:rsidR="009B0448" w:rsidRPr="009B0448" w14:paraId="115A5BBC" w14:textId="77777777" w:rsidTr="009B0448">
        <w:trPr>
          <w:trHeight w:val="275"/>
        </w:trPr>
        <w:tc>
          <w:tcPr>
            <w:tcW w:w="18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B0EA72"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Humid forests </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1EFE23"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3,203 </w:t>
            </w:r>
          </w:p>
        </w:tc>
        <w:tc>
          <w:tcPr>
            <w:tcW w:w="12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08860B"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886 </w:t>
            </w:r>
          </w:p>
        </w:tc>
        <w:tc>
          <w:tcPr>
            <w:tcW w:w="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0B1B40"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3,263 </w:t>
            </w:r>
          </w:p>
        </w:tc>
        <w:tc>
          <w:tcPr>
            <w:tcW w:w="111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215C7C"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18,056 </w:t>
            </w:r>
          </w:p>
        </w:tc>
        <w:tc>
          <w:tcPr>
            <w:tcW w:w="12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E5F329"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383 </w:t>
            </w:r>
          </w:p>
        </w:tc>
        <w:tc>
          <w:tcPr>
            <w:tcW w:w="11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AE5E3D"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4,033 </w:t>
            </w:r>
          </w:p>
        </w:tc>
        <w:tc>
          <w:tcPr>
            <w:tcW w:w="100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6204AD"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29,824 </w:t>
            </w:r>
          </w:p>
        </w:tc>
      </w:tr>
      <w:tr w:rsidR="009B0448" w:rsidRPr="009B0448" w14:paraId="15C86E00" w14:textId="77777777" w:rsidTr="009B0448">
        <w:trPr>
          <w:cnfStyle w:val="000000100000" w:firstRow="0" w:lastRow="0" w:firstColumn="0" w:lastColumn="0" w:oddVBand="0" w:evenVBand="0" w:oddHBand="1" w:evenHBand="0" w:firstRowFirstColumn="0" w:firstRowLastColumn="0" w:lastRowFirstColumn="0" w:lastRowLastColumn="0"/>
          <w:trHeight w:val="551"/>
        </w:trPr>
        <w:tc>
          <w:tcPr>
            <w:tcW w:w="18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7DEA93"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Mosaic forest/croplands</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9CFAD8"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414 </w:t>
            </w:r>
          </w:p>
        </w:tc>
        <w:tc>
          <w:tcPr>
            <w:tcW w:w="12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500A74"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167 </w:t>
            </w:r>
          </w:p>
        </w:tc>
        <w:tc>
          <w:tcPr>
            <w:tcW w:w="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AE0A1D"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534 </w:t>
            </w:r>
          </w:p>
        </w:tc>
        <w:tc>
          <w:tcPr>
            <w:tcW w:w="111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C6CBAE"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1,945 </w:t>
            </w:r>
          </w:p>
        </w:tc>
        <w:tc>
          <w:tcPr>
            <w:tcW w:w="12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80C78C"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57 </w:t>
            </w:r>
          </w:p>
        </w:tc>
        <w:tc>
          <w:tcPr>
            <w:tcW w:w="11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743114"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287 </w:t>
            </w:r>
          </w:p>
        </w:tc>
        <w:tc>
          <w:tcPr>
            <w:tcW w:w="100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8BC9C6"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3,404 </w:t>
            </w:r>
          </w:p>
        </w:tc>
      </w:tr>
      <w:tr w:rsidR="009B0448" w:rsidRPr="009B0448" w14:paraId="00F35850" w14:textId="77777777" w:rsidTr="009B0448">
        <w:trPr>
          <w:trHeight w:val="562"/>
        </w:trPr>
        <w:tc>
          <w:tcPr>
            <w:tcW w:w="18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30AAE6"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Mosaic forest/savanna</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191C88"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628 </w:t>
            </w:r>
          </w:p>
        </w:tc>
        <w:tc>
          <w:tcPr>
            <w:tcW w:w="12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688B97"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2,437 </w:t>
            </w:r>
          </w:p>
        </w:tc>
        <w:tc>
          <w:tcPr>
            <w:tcW w:w="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BFCED6"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145 </w:t>
            </w:r>
          </w:p>
        </w:tc>
        <w:tc>
          <w:tcPr>
            <w:tcW w:w="111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6EBD50"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3,059 </w:t>
            </w:r>
          </w:p>
        </w:tc>
        <w:tc>
          <w:tcPr>
            <w:tcW w:w="12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616A2C"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3 </w:t>
            </w:r>
          </w:p>
        </w:tc>
        <w:tc>
          <w:tcPr>
            <w:tcW w:w="11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32F818"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20 </w:t>
            </w:r>
          </w:p>
        </w:tc>
        <w:tc>
          <w:tcPr>
            <w:tcW w:w="100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648FF3"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6,292 </w:t>
            </w:r>
          </w:p>
        </w:tc>
      </w:tr>
      <w:tr w:rsidR="009B0448" w:rsidRPr="009B0448" w14:paraId="4DF85170" w14:textId="77777777" w:rsidTr="009B0448">
        <w:trPr>
          <w:cnfStyle w:val="000000100000" w:firstRow="0" w:lastRow="0" w:firstColumn="0" w:lastColumn="0" w:oddVBand="0" w:evenVBand="0" w:oddHBand="1" w:evenHBand="0" w:firstRowFirstColumn="0" w:firstRowLastColumn="0" w:lastRowFirstColumn="0" w:lastRowLastColumn="0"/>
          <w:trHeight w:val="551"/>
        </w:trPr>
        <w:tc>
          <w:tcPr>
            <w:tcW w:w="18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8FB248"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Closed deciduous forest </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B736FF"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6 </w:t>
            </w:r>
          </w:p>
        </w:tc>
        <w:tc>
          <w:tcPr>
            <w:tcW w:w="12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C59483"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54 </w:t>
            </w:r>
          </w:p>
        </w:tc>
        <w:tc>
          <w:tcPr>
            <w:tcW w:w="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DF4CCD"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73 </w:t>
            </w:r>
          </w:p>
        </w:tc>
        <w:tc>
          <w:tcPr>
            <w:tcW w:w="111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924982"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1,625 </w:t>
            </w:r>
          </w:p>
        </w:tc>
        <w:tc>
          <w:tcPr>
            <w:tcW w:w="12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1AF5F1"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0</w:t>
            </w:r>
          </w:p>
        </w:tc>
        <w:tc>
          <w:tcPr>
            <w:tcW w:w="11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59DFBC"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10 </w:t>
            </w:r>
          </w:p>
        </w:tc>
        <w:tc>
          <w:tcPr>
            <w:tcW w:w="100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E9308D"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1,768 </w:t>
            </w:r>
          </w:p>
        </w:tc>
      </w:tr>
      <w:tr w:rsidR="009B0448" w:rsidRPr="009B0448" w14:paraId="4E08F0E6" w14:textId="77777777" w:rsidTr="009B0448">
        <w:trPr>
          <w:trHeight w:val="551"/>
        </w:trPr>
        <w:tc>
          <w:tcPr>
            <w:tcW w:w="18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5902B7"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Deciduous woodland </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C9F5D4"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684 </w:t>
            </w:r>
          </w:p>
        </w:tc>
        <w:tc>
          <w:tcPr>
            <w:tcW w:w="12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E8AD92"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1,658 </w:t>
            </w:r>
          </w:p>
        </w:tc>
        <w:tc>
          <w:tcPr>
            <w:tcW w:w="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576E90"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6 </w:t>
            </w:r>
          </w:p>
        </w:tc>
        <w:tc>
          <w:tcPr>
            <w:tcW w:w="111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3970D1"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1,812 </w:t>
            </w:r>
          </w:p>
        </w:tc>
        <w:tc>
          <w:tcPr>
            <w:tcW w:w="12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A9C7FD"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w:t>
            </w:r>
          </w:p>
        </w:tc>
        <w:tc>
          <w:tcPr>
            <w:tcW w:w="11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69E205"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2</w:t>
            </w:r>
          </w:p>
        </w:tc>
        <w:tc>
          <w:tcPr>
            <w:tcW w:w="100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E109AA1"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4,163 </w:t>
            </w:r>
          </w:p>
        </w:tc>
      </w:tr>
      <w:tr w:rsidR="009B0448" w:rsidRPr="009B0448" w14:paraId="032D959A" w14:textId="77777777" w:rsidTr="009B0448">
        <w:trPr>
          <w:cnfStyle w:val="000000100000" w:firstRow="0" w:lastRow="0" w:firstColumn="0" w:lastColumn="0" w:oddVBand="0" w:evenVBand="0" w:oddHBand="1" w:evenHBand="0" w:firstRowFirstColumn="0" w:firstRowLastColumn="0" w:lastRowFirstColumn="0" w:lastRowLastColumn="0"/>
          <w:trHeight w:val="551"/>
        </w:trPr>
        <w:tc>
          <w:tcPr>
            <w:tcW w:w="18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0E7C4C"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Open deciduous woodland </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C35A28"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108 </w:t>
            </w:r>
          </w:p>
        </w:tc>
        <w:tc>
          <w:tcPr>
            <w:tcW w:w="12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66959C"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258 </w:t>
            </w:r>
          </w:p>
        </w:tc>
        <w:tc>
          <w:tcPr>
            <w:tcW w:w="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865CDD"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199 </w:t>
            </w:r>
          </w:p>
        </w:tc>
        <w:tc>
          <w:tcPr>
            <w:tcW w:w="111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A53FEF"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760 </w:t>
            </w:r>
          </w:p>
        </w:tc>
        <w:tc>
          <w:tcPr>
            <w:tcW w:w="12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928FC4"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0</w:t>
            </w:r>
          </w:p>
        </w:tc>
        <w:tc>
          <w:tcPr>
            <w:tcW w:w="11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A200D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31</w:t>
            </w:r>
          </w:p>
        </w:tc>
        <w:tc>
          <w:tcPr>
            <w:tcW w:w="100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05DE4A"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1,356 </w:t>
            </w:r>
          </w:p>
        </w:tc>
      </w:tr>
      <w:tr w:rsidR="009B0448" w:rsidRPr="009B0448" w14:paraId="58ECFE07" w14:textId="77777777" w:rsidTr="009B0448">
        <w:trPr>
          <w:trHeight w:val="275"/>
        </w:trPr>
        <w:tc>
          <w:tcPr>
            <w:tcW w:w="183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D0EAD3"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Total </w:t>
            </w:r>
          </w:p>
        </w:tc>
        <w:tc>
          <w:tcPr>
            <w:tcW w:w="127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CD44C6"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5,043 </w:t>
            </w:r>
          </w:p>
        </w:tc>
        <w:tc>
          <w:tcPr>
            <w:tcW w:w="12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D4192B"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5,460 </w:t>
            </w:r>
          </w:p>
        </w:tc>
        <w:tc>
          <w:tcPr>
            <w:tcW w:w="9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D64885"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4,219 </w:t>
            </w:r>
          </w:p>
        </w:tc>
        <w:tc>
          <w:tcPr>
            <w:tcW w:w="111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A8F9D3"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27,258 </w:t>
            </w:r>
          </w:p>
        </w:tc>
        <w:tc>
          <w:tcPr>
            <w:tcW w:w="12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84CF85"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445 </w:t>
            </w:r>
          </w:p>
        </w:tc>
        <w:tc>
          <w:tcPr>
            <w:tcW w:w="11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1A002C"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 xml:space="preserve">4,383 </w:t>
            </w:r>
          </w:p>
        </w:tc>
        <w:tc>
          <w:tcPr>
            <w:tcW w:w="100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85968B" w14:textId="77777777" w:rsidR="009B0448" w:rsidRPr="009B0448" w:rsidRDefault="009B0448">
            <w:pPr>
              <w:widowControl w:val="0"/>
              <w:spacing w:line="276" w:lineRule="auto"/>
              <w:rPr>
                <w:rFonts w:ascii="Times New Roman" w:hAnsi="Times New Roman" w:cs="Times New Roman"/>
              </w:rPr>
            </w:pPr>
            <w:r w:rsidRPr="009B0448">
              <w:rPr>
                <w:rFonts w:ascii="Times New Roman" w:hAnsi="Times New Roman" w:cs="Times New Roman"/>
              </w:rPr>
              <w:t>46,808</w:t>
            </w:r>
          </w:p>
        </w:tc>
      </w:tr>
    </w:tbl>
    <w:p w14:paraId="5833532E" w14:textId="672D0908" w:rsidR="00463527" w:rsidRDefault="00463527">
      <w:pPr>
        <w:widowControl w:val="0"/>
        <w:tabs>
          <w:tab w:val="left" w:pos="1791"/>
          <w:tab w:val="left" w:pos="2964"/>
          <w:tab w:val="left" w:pos="4068"/>
          <w:tab w:val="left" w:pos="4966"/>
          <w:tab w:val="left" w:pos="5992"/>
          <w:tab w:val="left" w:pos="7144"/>
          <w:tab w:val="left" w:pos="8204"/>
        </w:tabs>
        <w:spacing w:line="276" w:lineRule="auto"/>
        <w:ind w:left="113"/>
        <w:rPr>
          <w:rFonts w:ascii="Times New Roman" w:hAnsi="Times New Roman" w:cs="Times New Roman"/>
        </w:rPr>
      </w:pPr>
    </w:p>
    <w:p w14:paraId="45C06BF8" w14:textId="77777777" w:rsidR="00463527" w:rsidRDefault="00463527">
      <w:pPr>
        <w:rPr>
          <w:rFonts w:ascii="Times New Roman" w:hAnsi="Times New Roman" w:cs="Times New Roman"/>
        </w:rPr>
      </w:pPr>
      <w:r>
        <w:rPr>
          <w:rFonts w:ascii="Times New Roman" w:hAnsi="Times New Roman" w:cs="Times New Roman"/>
        </w:rPr>
        <w:br w:type="page"/>
      </w:r>
    </w:p>
    <w:p w14:paraId="16DA40D7" w14:textId="01FAF0CC"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noProof/>
          <w:lang w:eastAsia="en-GB"/>
        </w:rPr>
        <w:lastRenderedPageBreak/>
        <mc:AlternateContent>
          <mc:Choice Requires="wps">
            <w:drawing>
              <wp:anchor distT="0" distB="0" distL="114300" distR="114300" simplePos="0" relativeHeight="251787264" behindDoc="1" locked="0" layoutInCell="1" allowOverlap="1" wp14:anchorId="6FD4DA76" wp14:editId="66D7ADDF">
                <wp:simplePos x="0" y="0"/>
                <wp:positionH relativeFrom="margin">
                  <wp:posOffset>-54610</wp:posOffset>
                </wp:positionH>
                <wp:positionV relativeFrom="paragraph">
                  <wp:posOffset>45317</wp:posOffset>
                </wp:positionV>
                <wp:extent cx="5845175" cy="1981200"/>
                <wp:effectExtent l="0" t="0" r="22225" b="19050"/>
                <wp:wrapSquare wrapText="bothSides"/>
                <wp:docPr id="212" name="Rectangle 212"/>
                <wp:cNvGraphicFramePr/>
                <a:graphic xmlns:a="http://schemas.openxmlformats.org/drawingml/2006/main">
                  <a:graphicData uri="http://schemas.microsoft.com/office/word/2010/wordprocessingShape">
                    <wps:wsp>
                      <wps:cNvSpPr/>
                      <wps:spPr>
                        <a:xfrm>
                          <a:off x="0" y="0"/>
                          <a:ext cx="5845175" cy="1981200"/>
                        </a:xfrm>
                        <a:prstGeom prst="rect">
                          <a:avLst/>
                        </a:prstGeom>
                        <a:solidFill>
                          <a:schemeClr val="bg1">
                            <a:lumMod val="95000"/>
                            <a:alpha val="49019"/>
                          </a:schemeClr>
                        </a:solidFill>
                        <a:ln w="9525" cap="flat" cmpd="sng">
                          <a:solidFill>
                            <a:schemeClr val="tx1"/>
                          </a:solidFill>
                          <a:prstDash val="solid"/>
                          <a:round/>
                          <a:headEnd type="none" w="med" len="med"/>
                          <a:tailEnd type="none" w="med" len="med"/>
                        </a:ln>
                      </wps:spPr>
                      <wps:txbx>
                        <w:txbxContent>
                          <w:p w14:paraId="63407FF5" w14:textId="77777777" w:rsidR="00BC0CFA" w:rsidRDefault="00BC0CFA" w:rsidP="009B0448">
                            <w:pPr>
                              <w:spacing w:after="100" w:afterAutospacing="1" w:line="276" w:lineRule="auto"/>
                              <w:jc w:val="both"/>
                              <w:rPr>
                                <w:rFonts w:ascii="Times New Roman" w:hAnsi="Times New Roman" w:cs="Times New Roman"/>
                                <w:b/>
                                <w:color w:val="auto"/>
                              </w:rPr>
                            </w:pPr>
                            <w:r>
                              <w:rPr>
                                <w:rFonts w:ascii="Times New Roman" w:hAnsi="Times New Roman" w:cs="Times New Roman"/>
                                <w:b/>
                                <w:color w:val="auto"/>
                              </w:rPr>
                              <w:t>Box 2.1. Regulating contributions by tropical rain forests</w:t>
                            </w:r>
                          </w:p>
                          <w:p w14:paraId="3C79D077" w14:textId="77777777" w:rsidR="00BC0CFA" w:rsidRDefault="00BC0CFA" w:rsidP="009B0448">
                            <w:pPr>
                              <w:spacing w:after="100" w:afterAutospacing="1" w:line="276" w:lineRule="auto"/>
                              <w:jc w:val="both"/>
                              <w:rPr>
                                <w:rFonts w:ascii="Times New Roman" w:hAnsi="Times New Roman" w:cs="Times New Roman"/>
                                <w:color w:val="auto"/>
                              </w:rPr>
                            </w:pPr>
                            <w:r>
                              <w:rPr>
                                <w:rFonts w:ascii="Times New Roman" w:hAnsi="Times New Roman" w:cs="Times New Roman"/>
                                <w:color w:val="auto"/>
                              </w:rPr>
                              <w:t>Major terrestrial ecosystems in the tropics are tropical rainforests and tropical savannas, basically separated by soil type and by period of the year when evapotranspiration is lower, the precipitation being 9</w:t>
                            </w:r>
                            <w:r>
                              <w:rPr>
                                <w:rFonts w:ascii="Times New Roman" w:eastAsia="Times New Roman" w:hAnsi="Times New Roman" w:cs="Times New Roman"/>
                                <w:color w:val="00000A"/>
                              </w:rPr>
                              <w:t>–</w:t>
                            </w:r>
                            <w:r>
                              <w:rPr>
                                <w:rFonts w:ascii="Times New Roman" w:hAnsi="Times New Roman" w:cs="Times New Roman"/>
                                <w:color w:val="auto"/>
                              </w:rPr>
                              <w:t>10 months for forests and 6</w:t>
                            </w:r>
                            <w:r>
                              <w:rPr>
                                <w:rFonts w:ascii="Times New Roman" w:eastAsia="Times New Roman" w:hAnsi="Times New Roman" w:cs="Times New Roman"/>
                                <w:color w:val="00000A"/>
                              </w:rPr>
                              <w:t>–</w:t>
                            </w:r>
                            <w:r>
                              <w:rPr>
                                <w:rFonts w:ascii="Times New Roman" w:hAnsi="Times New Roman" w:cs="Times New Roman"/>
                                <w:color w:val="auto"/>
                              </w:rPr>
                              <w:t>8 months for savannas, which define substantial differences in vegetation physiognomies. In other words, tropical forests cover an area of 17 million km</w:t>
                            </w:r>
                            <w:r>
                              <w:rPr>
                                <w:rFonts w:ascii="Times New Roman" w:hAnsi="Times New Roman" w:cs="Times New Roman"/>
                                <w:color w:val="auto"/>
                                <w:vertAlign w:val="superscript"/>
                              </w:rPr>
                              <w:t>2</w:t>
                            </w:r>
                            <w:r>
                              <w:rPr>
                                <w:rFonts w:ascii="Times New Roman" w:hAnsi="Times New Roman" w:cs="Times New Roman"/>
                                <w:color w:val="auto"/>
                              </w:rPr>
                              <w:t xml:space="preserve"> with 340 x 109 tons of Carbon stored in the above and below ground biomass, and tropical savannas cover 15 million km</w:t>
                            </w:r>
                            <w:r>
                              <w:rPr>
                                <w:rFonts w:ascii="Times New Roman" w:hAnsi="Times New Roman" w:cs="Times New Roman"/>
                                <w:color w:val="auto"/>
                                <w:vertAlign w:val="superscript"/>
                              </w:rPr>
                              <w:t>2</w:t>
                            </w:r>
                            <w:r>
                              <w:rPr>
                                <w:rFonts w:ascii="Times New Roman" w:hAnsi="Times New Roman" w:cs="Times New Roman"/>
                                <w:color w:val="auto"/>
                              </w:rPr>
                              <w:t>, with 24 x109 tons of Carbon. Therefore, tropical systems account for a substantial portion of the carbon stored in the atmosphere, highlighting the importance of these systems in the global carbon balance (IPCC, 2007).</w:t>
                            </w:r>
                          </w:p>
                        </w:txbxContent>
                      </wps:txbx>
                      <wps:bodyPr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FD4DA76" id="Rectangle 212" o:spid="_x0000_s1031" style="position:absolute;left:0;text-align:left;margin-left:-4.3pt;margin-top:3.55pt;width:460.25pt;height:156pt;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" fillcolor="#f2f2f2 [3052]" strokecolor="black [3213]">
                <v:fill opacity="32125f"/>
                <v:stroke joinstyle="round"/>
                <v:textbox inset="2.53958mm,1.2694mm,2.53958mm,1.2694mm">
                  <w:txbxContent>
                    <w:p w14:paraId="63407FF5" w14:textId="77777777" w:rsidR="00BC0CFA" w:rsidRDefault="00BC0CFA" w:rsidP="009B0448">
                      <w:pPr>
                        <w:spacing w:after="100" w:afterAutospacing="1" w:line="276" w:lineRule="auto"/>
                        <w:jc w:val="both"/>
                        <w:rPr>
                          <w:rFonts w:ascii="Times New Roman" w:hAnsi="Times New Roman" w:cs="Times New Roman"/>
                          <w:b/>
                          <w:color w:val="auto"/>
                        </w:rPr>
                      </w:pPr>
                      <w:r>
                        <w:rPr>
                          <w:rFonts w:ascii="Times New Roman" w:hAnsi="Times New Roman" w:cs="Times New Roman"/>
                          <w:b/>
                          <w:color w:val="auto"/>
                        </w:rPr>
                        <w:t>Box 2.1. Regulating contributions by tropical rain forests</w:t>
                      </w:r>
                    </w:p>
                    <w:p w14:paraId="3C79D077" w14:textId="77777777" w:rsidR="00BC0CFA" w:rsidRDefault="00BC0CFA" w:rsidP="009B0448">
                      <w:pPr>
                        <w:spacing w:after="100" w:afterAutospacing="1" w:line="276" w:lineRule="auto"/>
                        <w:jc w:val="both"/>
                        <w:rPr>
                          <w:rFonts w:ascii="Times New Roman" w:hAnsi="Times New Roman" w:cs="Times New Roman"/>
                          <w:color w:val="auto"/>
                        </w:rPr>
                      </w:pPr>
                      <w:r>
                        <w:rPr>
                          <w:rFonts w:ascii="Times New Roman" w:hAnsi="Times New Roman" w:cs="Times New Roman"/>
                          <w:color w:val="auto"/>
                        </w:rPr>
                        <w:t>Major terrestrial ecosystems in the tropics are tropical rainforests and tropical savannas, basically separated by soil type and by period of the year when evapotranspiration is lower, the precipitation being 9</w:t>
                      </w:r>
                      <w:r>
                        <w:rPr>
                          <w:rFonts w:ascii="Times New Roman" w:eastAsia="Times New Roman" w:hAnsi="Times New Roman" w:cs="Times New Roman"/>
                          <w:color w:val="00000A"/>
                        </w:rPr>
                        <w:t>–</w:t>
                      </w:r>
                      <w:r>
                        <w:rPr>
                          <w:rFonts w:ascii="Times New Roman" w:hAnsi="Times New Roman" w:cs="Times New Roman"/>
                          <w:color w:val="auto"/>
                        </w:rPr>
                        <w:t>10 months for forests and 6</w:t>
                      </w:r>
                      <w:r>
                        <w:rPr>
                          <w:rFonts w:ascii="Times New Roman" w:eastAsia="Times New Roman" w:hAnsi="Times New Roman" w:cs="Times New Roman"/>
                          <w:color w:val="00000A"/>
                        </w:rPr>
                        <w:t>–</w:t>
                      </w:r>
                      <w:r>
                        <w:rPr>
                          <w:rFonts w:ascii="Times New Roman" w:hAnsi="Times New Roman" w:cs="Times New Roman"/>
                          <w:color w:val="auto"/>
                        </w:rPr>
                        <w:t>8 months for savannas, which define substantial differences in vegetation physiognomies. In other words, tropical forests cover an area of 17 million km</w:t>
                      </w:r>
                      <w:r>
                        <w:rPr>
                          <w:rFonts w:ascii="Times New Roman" w:hAnsi="Times New Roman" w:cs="Times New Roman"/>
                          <w:color w:val="auto"/>
                          <w:vertAlign w:val="superscript"/>
                        </w:rPr>
                        <w:t>2</w:t>
                      </w:r>
                      <w:r>
                        <w:rPr>
                          <w:rFonts w:ascii="Times New Roman" w:hAnsi="Times New Roman" w:cs="Times New Roman"/>
                          <w:color w:val="auto"/>
                        </w:rPr>
                        <w:t xml:space="preserve"> with 340 x 109 tons of Carbon stored in the above and below ground biomass, and tropical savannas cover 15 million km</w:t>
                      </w:r>
                      <w:r>
                        <w:rPr>
                          <w:rFonts w:ascii="Times New Roman" w:hAnsi="Times New Roman" w:cs="Times New Roman"/>
                          <w:color w:val="auto"/>
                          <w:vertAlign w:val="superscript"/>
                        </w:rPr>
                        <w:t>2</w:t>
                      </w:r>
                      <w:r>
                        <w:rPr>
                          <w:rFonts w:ascii="Times New Roman" w:hAnsi="Times New Roman" w:cs="Times New Roman"/>
                          <w:color w:val="auto"/>
                        </w:rPr>
                        <w:t>, with 24 x109 tons of Carbon. Therefore, tropical systems account for a substantial portion of the carbon stored in the atmosphere, highlighting the importance of these systems in the global carbon balance (IPCC, 2007).</w:t>
                      </w:r>
                    </w:p>
                  </w:txbxContent>
                </v:textbox>
                <w10:wrap type="square" anchorx="margin"/>
              </v:rect>
            </w:pict>
          </mc:Fallback>
        </mc:AlternateContent>
      </w:r>
      <w:bookmarkStart w:id="76" w:name="_Toc501997886"/>
    </w:p>
    <w:p w14:paraId="4DF639F8" w14:textId="02816EC9" w:rsidR="009B0448" w:rsidRPr="009B0448" w:rsidRDefault="009B0448" w:rsidP="00FA7185">
      <w:pPr>
        <w:pStyle w:val="111"/>
        <w:numPr>
          <w:ilvl w:val="4"/>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77" w:name="_Toc519499814"/>
      <w:r w:rsidRPr="009B0448">
        <w:rPr>
          <w:rFonts w:cs="Times New Roman"/>
          <w:b w:val="0"/>
          <w:sz w:val="22"/>
          <w:szCs w:val="22"/>
        </w:rPr>
        <w:t>Regulation of hazards and extreme events</w:t>
      </w:r>
      <w:bookmarkEnd w:id="76"/>
      <w:bookmarkEnd w:id="77"/>
    </w:p>
    <w:p w14:paraId="7A1AABF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Extreme climatic events, in particular droughts and heat waves, significantly impact on ecosystem carbon and water cycles and a range of related ecosystem services (Chapter 4, section 4.2.1.1). As indicated above, ecosystem services may help in regulation of hazards and extreme events.</w:t>
      </w:r>
    </w:p>
    <w:p w14:paraId="6C4430DE" w14:textId="77777777" w:rsidR="009B0448" w:rsidRPr="009B0448" w:rsidRDefault="009B0448" w:rsidP="009B0448">
      <w:pPr>
        <w:spacing w:line="276" w:lineRule="auto"/>
        <w:jc w:val="both"/>
        <w:rPr>
          <w:rFonts w:ascii="Times New Roman" w:hAnsi="Times New Roman" w:cs="Times New Roman"/>
        </w:rPr>
      </w:pPr>
    </w:p>
    <w:p w14:paraId="0F13A485"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For example, in terms of coastal resilience, mangrove forests provide protection and shelter against extreme weather events, such as storm winds and floods, as well as tsunamis. Mangroves absorb and disperse tidal surges associated with such events. As indicated by Hirashi </w:t>
      </w:r>
      <w:r w:rsidRPr="009B0448">
        <w:rPr>
          <w:rFonts w:ascii="Times New Roman" w:hAnsi="Times New Roman" w:cs="Times New Roman"/>
          <w:i/>
        </w:rPr>
        <w:t>et al.</w:t>
      </w:r>
      <w:r w:rsidRPr="009B0448">
        <w:rPr>
          <w:rFonts w:ascii="Times New Roman" w:hAnsi="Times New Roman" w:cs="Times New Roman"/>
        </w:rPr>
        <w:t xml:space="preserve"> (2003), a mangrove stand of 30 trees per 0.01 hectares with a depth of 100 metres can reduce the destructive force of a tsunami by up to 90%. Recent research by The Nature Conservancy and Wetlands International proves that mangroves reduce wave height by as much as 66% over 100 metres of forest (McIvor, 2012).</w:t>
      </w:r>
    </w:p>
    <w:p w14:paraId="7F9B3D22" w14:textId="77777777" w:rsidR="009B0448" w:rsidRPr="009B0448" w:rsidRDefault="009B0448" w:rsidP="009B0448">
      <w:pPr>
        <w:spacing w:line="276" w:lineRule="auto"/>
        <w:jc w:val="both"/>
        <w:rPr>
          <w:rFonts w:ascii="Times New Roman" w:hAnsi="Times New Roman" w:cs="Times New Roman"/>
        </w:rPr>
      </w:pPr>
    </w:p>
    <w:p w14:paraId="018531C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Floods and fires are considered natural hazards—that is, natural processes or phenomena occurring in the biosphere that may become damaging for human as well as for natural systems. They are most strongly subject to feedback processes and most directly influenced by human activities such as urbanisation and environmental degradation (Chapter 4, sections 4.2.1.2 &amp; 4.2.1.4). Deforestation, for example, has a direct effect on the incidence and magnitude of flood events (Schaeffer </w:t>
      </w:r>
      <w:r w:rsidRPr="009B0448">
        <w:rPr>
          <w:rFonts w:ascii="Times New Roman" w:hAnsi="Times New Roman" w:cs="Times New Roman"/>
          <w:i/>
        </w:rPr>
        <w:t>et al</w:t>
      </w:r>
      <w:r w:rsidRPr="009B0448">
        <w:rPr>
          <w:rFonts w:ascii="Times New Roman" w:hAnsi="Times New Roman" w:cs="Times New Roman"/>
        </w:rPr>
        <w:t xml:space="preserve">., 2013). Additionally, benefits from flooding may occur through the transport of sediments and nutrients to the coastal zone, although the consequences of this are often negative. Ecosystem conditions and their services can play a role in modulating both the event and the human systems that create conditions of vulnerability. This is also true for natural systems. The preservation of natural areas is important for flood attenuation. For example, some natural soils (not affected by human activities) have a large capacity to store water, facilitate the </w:t>
      </w:r>
      <w:r w:rsidRPr="009B0448">
        <w:rPr>
          <w:rFonts w:ascii="Times New Roman" w:hAnsi="Times New Roman" w:cs="Times New Roman"/>
          <w:noProof/>
        </w:rPr>
        <w:t>transfer</w:t>
      </w:r>
      <w:r w:rsidRPr="009B0448">
        <w:rPr>
          <w:rFonts w:ascii="Times New Roman" w:hAnsi="Times New Roman" w:cs="Times New Roman"/>
        </w:rPr>
        <w:t xml:space="preserve"> of groundwater, and prevent or reduce flooding. The capacity to hold water is dependent on soil texture (size of soil particles and spaces between them) and soil structure. Wetlands, floodplains, lakes, and reservoirs are the main providers of flood attenuation potential in the inland water system.</w:t>
      </w:r>
    </w:p>
    <w:p w14:paraId="6DD2318B" w14:textId="77777777" w:rsidR="009B0448" w:rsidRPr="009B0448" w:rsidRDefault="009B0448" w:rsidP="009B0448">
      <w:pPr>
        <w:spacing w:line="276" w:lineRule="auto"/>
        <w:jc w:val="both"/>
        <w:rPr>
          <w:rFonts w:ascii="Times New Roman" w:hAnsi="Times New Roman" w:cs="Times New Roman"/>
        </w:rPr>
      </w:pPr>
    </w:p>
    <w:p w14:paraId="33C3947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For food production, Smith </w:t>
      </w:r>
      <w:r w:rsidRPr="009B0448">
        <w:rPr>
          <w:rFonts w:ascii="Times New Roman" w:hAnsi="Times New Roman" w:cs="Times New Roman"/>
          <w:i/>
        </w:rPr>
        <w:t>et al.</w:t>
      </w:r>
      <w:r w:rsidRPr="009B0448">
        <w:rPr>
          <w:rFonts w:ascii="Times New Roman" w:hAnsi="Times New Roman" w:cs="Times New Roman"/>
        </w:rPr>
        <w:t xml:space="preserve"> (2010) have identified agricultural adaptation options that could have a positive impact on the mitigation of greenhouse gases emissions, such as measures that reduce soil erosion or increase the diversity of crop rotations. In the Economics of adaptation to climate change studies, the World Bank also identifies as options irrigation, improvement in water storage capacity and research and development to discover, for example, more drought-resistant species.</w:t>
      </w:r>
    </w:p>
    <w:p w14:paraId="7122642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In terms of fisheries, sustaining affordable access to fish in the context of climate change will necessitate the adoption of adaptive measures aimed at protecting particular fish species or relieving fishing </w:t>
      </w:r>
      <w:r w:rsidRPr="009B0448">
        <w:rPr>
          <w:rFonts w:ascii="Times New Roman" w:hAnsi="Times New Roman" w:cs="Times New Roman"/>
        </w:rPr>
        <w:lastRenderedPageBreak/>
        <w:t xml:space="preserve">pressure on specific species or areas (Cinner </w:t>
      </w:r>
      <w:r w:rsidRPr="009B0448">
        <w:rPr>
          <w:rFonts w:ascii="Times New Roman" w:hAnsi="Times New Roman" w:cs="Times New Roman"/>
          <w:i/>
        </w:rPr>
        <w:t>et al.</w:t>
      </w:r>
      <w:r w:rsidRPr="009B0448">
        <w:rPr>
          <w:rFonts w:ascii="Times New Roman" w:hAnsi="Times New Roman" w:cs="Times New Roman"/>
        </w:rPr>
        <w:t xml:space="preserve">, 2012). The survival of freshwater fish species, for example, can be aided by creating thermal refugia such as deep ponds or reducing freshwater abstraction from rivers, lakes, </w:t>
      </w:r>
      <w:r w:rsidRPr="009B0448">
        <w:rPr>
          <w:rFonts w:ascii="Times New Roman" w:hAnsi="Times New Roman" w:cs="Times New Roman"/>
          <w:noProof/>
        </w:rPr>
        <w:t>and</w:t>
      </w:r>
      <w:r w:rsidRPr="009B0448">
        <w:rPr>
          <w:rFonts w:ascii="Times New Roman" w:hAnsi="Times New Roman" w:cs="Times New Roman"/>
        </w:rPr>
        <w:t xml:space="preserve"> ponds (Wilby </w:t>
      </w:r>
      <w:r w:rsidRPr="009B0448">
        <w:rPr>
          <w:rFonts w:ascii="Times New Roman" w:hAnsi="Times New Roman" w:cs="Times New Roman"/>
          <w:i/>
        </w:rPr>
        <w:t>et al.</w:t>
      </w:r>
      <w:r w:rsidRPr="009B0448">
        <w:rPr>
          <w:rFonts w:ascii="Times New Roman" w:hAnsi="Times New Roman" w:cs="Times New Roman"/>
        </w:rPr>
        <w:t xml:space="preserve">, 2010). A study by Merino </w:t>
      </w:r>
      <w:r w:rsidRPr="009B0448">
        <w:rPr>
          <w:rFonts w:ascii="Times New Roman" w:hAnsi="Times New Roman" w:cs="Times New Roman"/>
          <w:i/>
        </w:rPr>
        <w:t>et al.</w:t>
      </w:r>
      <w:r w:rsidRPr="009B0448">
        <w:rPr>
          <w:rFonts w:ascii="Times New Roman" w:hAnsi="Times New Roman" w:cs="Times New Roman"/>
        </w:rPr>
        <w:t xml:space="preserve"> (2012) shows that the global population’s demand for fish could be sustained through 2050 in a scenario of 2°C warming by that time, by increasing aquacultural production and supporting the sustainable management of marine fish stocks (Niang </w:t>
      </w:r>
      <w:r w:rsidRPr="009B0448">
        <w:rPr>
          <w:rFonts w:ascii="Times New Roman" w:hAnsi="Times New Roman" w:cs="Times New Roman"/>
          <w:i/>
        </w:rPr>
        <w:t>et al</w:t>
      </w:r>
      <w:r w:rsidRPr="009B0448">
        <w:rPr>
          <w:rFonts w:ascii="Times New Roman" w:hAnsi="Times New Roman" w:cs="Times New Roman"/>
        </w:rPr>
        <w:t>., 2014; Chapters 3 &amp; 4).</w:t>
      </w:r>
    </w:p>
    <w:p w14:paraId="4F681EDA" w14:textId="77777777" w:rsidR="009B0448" w:rsidRPr="009B0448" w:rsidRDefault="009B0448" w:rsidP="009B0448">
      <w:pPr>
        <w:spacing w:line="276" w:lineRule="auto"/>
        <w:jc w:val="both"/>
        <w:rPr>
          <w:rFonts w:ascii="Times New Roman" w:hAnsi="Times New Roman" w:cs="Times New Roman"/>
        </w:rPr>
      </w:pPr>
    </w:p>
    <w:p w14:paraId="68747B84"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For the energy access, increased frequency and intensity of </w:t>
      </w:r>
      <w:r w:rsidRPr="009B0448">
        <w:rPr>
          <w:rFonts w:ascii="Times New Roman" w:hAnsi="Times New Roman" w:cs="Times New Roman"/>
          <w:noProof/>
        </w:rPr>
        <w:t>droughts</w:t>
      </w:r>
      <w:r w:rsidRPr="009B0448">
        <w:rPr>
          <w:rFonts w:ascii="Times New Roman" w:hAnsi="Times New Roman" w:cs="Times New Roman"/>
        </w:rPr>
        <w:t xml:space="preserve"> increased rainfall seasonality, </w:t>
      </w:r>
      <w:r w:rsidRPr="009B0448">
        <w:rPr>
          <w:rFonts w:ascii="Times New Roman" w:hAnsi="Times New Roman" w:cs="Times New Roman"/>
          <w:noProof/>
        </w:rPr>
        <w:t>and</w:t>
      </w:r>
      <w:r w:rsidRPr="009B0448">
        <w:rPr>
          <w:rFonts w:ascii="Times New Roman" w:hAnsi="Times New Roman" w:cs="Times New Roman"/>
        </w:rPr>
        <w:t xml:space="preserve"> wet extremes, are projected to affect hydropower and thermo-electricity production. To mitigate the impacts of climate change on the energy sector, there is a need to simultaneously address both supply and demand. In terms of ensuring supply of energy, investment in renewable sources, which do not depend on hydropower and water-cooling systems–thereby avoiding exposure to climatic changes is necessary (Willmott </w:t>
      </w:r>
      <w:r w:rsidRPr="009B0448">
        <w:rPr>
          <w:rFonts w:ascii="Times New Roman" w:hAnsi="Times New Roman" w:cs="Times New Roman"/>
          <w:i/>
        </w:rPr>
        <w:t>et al.</w:t>
      </w:r>
      <w:r w:rsidRPr="009B0448">
        <w:rPr>
          <w:rFonts w:ascii="Times New Roman" w:hAnsi="Times New Roman" w:cs="Times New Roman"/>
        </w:rPr>
        <w:t>, 2011; Chapters 3 &amp; 4).</w:t>
      </w:r>
    </w:p>
    <w:p w14:paraId="57B36D7D"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78" w:name="_Toc501997887"/>
      <w:bookmarkStart w:id="79" w:name="_Toc519499815"/>
      <w:r w:rsidRPr="009B0448">
        <w:rPr>
          <w:rFonts w:cs="Times New Roman"/>
          <w:sz w:val="22"/>
          <w:szCs w:val="22"/>
        </w:rPr>
        <w:t>Regulation of freshwater and coastal quality</w:t>
      </w:r>
      <w:bookmarkEnd w:id="78"/>
      <w:bookmarkEnd w:id="79"/>
    </w:p>
    <w:p w14:paraId="197C3BE4"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Ecosystems influence the hydrological functioning of watersheds through their contribution to rainfall interception, evapotranspiration, water infiltration, and groundwater recharge. This influence can reduce the impacts of climate variation on downstream population. For example, ecosystems can preserve base flows during dry seasons if they facilitate groundwater recharge; they can also reduce peak flows or floods during rainfall events if they contribute to rainfall interception and infiltration. In addition, ecosystems can reduce soil erosion and landslide hazards, which are partially climate related (Locatelli, 2016). The function of the forest in regulating the flow of water is well known. </w:t>
      </w:r>
    </w:p>
    <w:p w14:paraId="4E124762" w14:textId="77777777" w:rsidR="009B0448" w:rsidRPr="009B0448" w:rsidRDefault="009B0448" w:rsidP="009B0448">
      <w:pPr>
        <w:spacing w:line="276" w:lineRule="auto"/>
        <w:jc w:val="both"/>
        <w:rPr>
          <w:rFonts w:ascii="Times New Roman" w:hAnsi="Times New Roman" w:cs="Times New Roman"/>
        </w:rPr>
      </w:pPr>
    </w:p>
    <w:p w14:paraId="2E49653A"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As described earlier, mangroves are coastal forests that lie on the crossroad where oceans, freshwater, and land realms meet; and are key in </w:t>
      </w:r>
      <w:r w:rsidRPr="009B0448">
        <w:rPr>
          <w:rFonts w:ascii="Times New Roman" w:hAnsi="Times New Roman" w:cs="Times New Roman"/>
          <w:noProof/>
        </w:rPr>
        <w:t>the regulation</w:t>
      </w:r>
      <w:r w:rsidRPr="009B0448">
        <w:rPr>
          <w:rFonts w:ascii="Times New Roman" w:hAnsi="Times New Roman" w:cs="Times New Roman"/>
        </w:rPr>
        <w:t xml:space="preserve"> of freshwater and coastal quality (Chapters 3 &amp; 4). They are among the most productive and complex ecosystems on the planet, thriving in salty and brackish conditions that would just kill ordinary plants very quickly. Their capacity to protect against storms and even sea level rise make them indispensable for coastal communities in their fight against climate change. African mangroves are home to very diverse fauna. Aquatic mammals include monkeys, antelopes, </w:t>
      </w:r>
      <w:r w:rsidRPr="009B0448">
        <w:rPr>
          <w:rFonts w:ascii="Times New Roman" w:hAnsi="Times New Roman" w:cs="Times New Roman"/>
          <w:noProof/>
        </w:rPr>
        <w:t>and</w:t>
      </w:r>
      <w:r w:rsidRPr="009B0448">
        <w:rPr>
          <w:rFonts w:ascii="Times New Roman" w:hAnsi="Times New Roman" w:cs="Times New Roman"/>
        </w:rPr>
        <w:t xml:space="preserve"> manatees. Its roots and mud are home to molluscs, such as bivalves and oysters, and crustaceans. Live and decaying mangrove leaves and roots provide nutrients that nourish plankton, which in turn are food for many of these species. With this abundance of food, mangroves function as nurseries for many fish species; many of commercially caught fish have spent part of their lives in mangroves. Mangroves are also home to terrestrial fauna, including mammals, reptiles, </w:t>
      </w:r>
      <w:r w:rsidRPr="009B0448">
        <w:rPr>
          <w:rFonts w:ascii="Times New Roman" w:hAnsi="Times New Roman" w:cs="Times New Roman"/>
          <w:noProof/>
        </w:rPr>
        <w:t>and</w:t>
      </w:r>
      <w:r w:rsidRPr="009B0448">
        <w:rPr>
          <w:rFonts w:ascii="Times New Roman" w:hAnsi="Times New Roman" w:cs="Times New Roman"/>
        </w:rPr>
        <w:t xml:space="preserve"> avian species; especially waterbirds (McIvor, 2012).</w:t>
      </w:r>
    </w:p>
    <w:p w14:paraId="50BD27C1" w14:textId="77777777" w:rsidR="009B0448" w:rsidRPr="009B0448" w:rsidRDefault="009B0448" w:rsidP="009B0448">
      <w:pPr>
        <w:spacing w:line="276" w:lineRule="auto"/>
        <w:jc w:val="both"/>
        <w:rPr>
          <w:rFonts w:ascii="Times New Roman" w:hAnsi="Times New Roman" w:cs="Times New Roman"/>
        </w:rPr>
      </w:pPr>
    </w:p>
    <w:p w14:paraId="03AAEE1C"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Mangroves also play a vital role in climate change mitigation and adaptation, as mentioned previously (Chapter 4, section 4.2.2.2). Ecosystems services related to climate change mitigation and adaptation include carbon sequestration at rates higher than terrestrial forest systems, a buffer against shoreline erosion, protection against extreme weather events through absorption and dispersion of tidal surges, and groundwater recharge. While estimates vary, many scientific studies have indicated that mangroves are among the most intense carbon sinks on the planet and that they sequester higher amounts of carbon than terrestrial forest ecosystems (Hutchinson </w:t>
      </w:r>
      <w:r w:rsidRPr="009B0448">
        <w:rPr>
          <w:rFonts w:ascii="Times New Roman" w:hAnsi="Times New Roman" w:cs="Times New Roman"/>
          <w:i/>
        </w:rPr>
        <w:t>et al.</w:t>
      </w:r>
      <w:r w:rsidRPr="009B0448">
        <w:rPr>
          <w:rFonts w:ascii="Times New Roman" w:hAnsi="Times New Roman" w:cs="Times New Roman"/>
        </w:rPr>
        <w:t xml:space="preserve">, 2014). Given the amount of carbon that mangroves sequester and the important socio-economic benefits derived from mangroves, Reduced Emissions from Deforestation and Forest Degradation activities-including conservation, sustainable management, and the enhancement of carbon stocks-have great potential to contribute to climate change mitigation efforts while providing economic development opportunities to the region. </w:t>
      </w:r>
    </w:p>
    <w:p w14:paraId="4F7D573A" w14:textId="77777777" w:rsidR="009B0448" w:rsidRPr="009B0448" w:rsidRDefault="009B0448" w:rsidP="009B0448">
      <w:pPr>
        <w:spacing w:line="276" w:lineRule="auto"/>
        <w:jc w:val="both"/>
        <w:rPr>
          <w:rFonts w:ascii="Times New Roman" w:hAnsi="Times New Roman" w:cs="Times New Roman"/>
        </w:rPr>
      </w:pPr>
    </w:p>
    <w:p w14:paraId="1688289C"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In term of species, certain tree species could contribute indirectly to water regulation</w:t>
      </w:r>
      <w:r w:rsidRPr="009B0448">
        <w:rPr>
          <w:rFonts w:ascii="Times New Roman" w:eastAsia="Times New Roman" w:hAnsi="Times New Roman" w:cs="Times New Roman"/>
          <w:color w:val="00000A"/>
        </w:rPr>
        <w:t>–</w:t>
      </w:r>
      <w:r w:rsidRPr="009B0448">
        <w:rPr>
          <w:rFonts w:ascii="Times New Roman" w:hAnsi="Times New Roman" w:cs="Times New Roman"/>
        </w:rPr>
        <w:t xml:space="preserve">in controlling pollution, for example. As an example, for water pollution control, suspension of the ground seed of </w:t>
      </w:r>
      <w:r w:rsidRPr="009B0448">
        <w:rPr>
          <w:rFonts w:ascii="Times New Roman" w:hAnsi="Times New Roman" w:cs="Times New Roman"/>
          <w:i/>
        </w:rPr>
        <w:t>Moringa oleifera</w:t>
      </w:r>
      <w:r w:rsidRPr="009B0448">
        <w:rPr>
          <w:rFonts w:ascii="Times New Roman" w:hAnsi="Times New Roman" w:cs="Times New Roman"/>
        </w:rPr>
        <w:t>, the benzolive tree, is used as a primary coagulant. It can clarify water of any degree of visible turbidity (ISO, 2016).</w:t>
      </w:r>
    </w:p>
    <w:p w14:paraId="008AA8AA"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80" w:name="_Toc501997888"/>
      <w:bookmarkStart w:id="81" w:name="_Toc519499816"/>
      <w:r w:rsidRPr="009B0448">
        <w:rPr>
          <w:rFonts w:cs="Times New Roman"/>
          <w:sz w:val="22"/>
          <w:szCs w:val="22"/>
        </w:rPr>
        <w:t>Soil amelioration</w:t>
      </w:r>
      <w:bookmarkEnd w:id="80"/>
      <w:bookmarkEnd w:id="81"/>
    </w:p>
    <w:p w14:paraId="627539E1"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Soils play a pivotal role in major global biogeochemical cycles (carbon, nutrient, and water</w:t>
      </w:r>
      <w:r w:rsidRPr="009B0448">
        <w:rPr>
          <w:rFonts w:ascii="Times New Roman" w:hAnsi="Times New Roman" w:cs="Times New Roman"/>
          <w:noProof/>
        </w:rPr>
        <w:t xml:space="preserve">) </w:t>
      </w:r>
      <w:r w:rsidRPr="009B0448">
        <w:rPr>
          <w:rFonts w:ascii="Times New Roman" w:hAnsi="Times New Roman" w:cs="Times New Roman"/>
        </w:rPr>
        <w:t xml:space="preserve">while hosting the largest diversity of organisms on land. As a result, soils deliver fundamental ecosystem services. A soil process in support of one ecosystem service can either provide co-benefits to other </w:t>
      </w:r>
      <w:r w:rsidRPr="009B0448">
        <w:rPr>
          <w:rFonts w:ascii="Times New Roman" w:hAnsi="Times New Roman" w:cs="Times New Roman"/>
          <w:noProof/>
        </w:rPr>
        <w:t>services</w:t>
      </w:r>
      <w:r w:rsidRPr="009B0448">
        <w:rPr>
          <w:rFonts w:ascii="Times New Roman" w:hAnsi="Times New Roman" w:cs="Times New Roman"/>
        </w:rPr>
        <w:t xml:space="preserve"> or result in trade-offs. The ability of soils to provide services is principally conferred by two attributes: the range of biogeochemical processes that occur in the soil, and the functionality of soil biodiversity (Smith </w:t>
      </w:r>
      <w:r w:rsidRPr="009B0448">
        <w:rPr>
          <w:rFonts w:ascii="Times New Roman" w:hAnsi="Times New Roman" w:cs="Times New Roman"/>
          <w:i/>
        </w:rPr>
        <w:t>et al.</w:t>
      </w:r>
      <w:r w:rsidRPr="009B0448">
        <w:rPr>
          <w:rFonts w:ascii="Times New Roman" w:hAnsi="Times New Roman" w:cs="Times New Roman"/>
        </w:rPr>
        <w:t>, 2015). As mentioned earlier, carbon storage is an important ecosystem function of soils that has gained increasing attention in recent years. Changes in soil carbon impacts on, and feedback to, the Earth’s climate system through emissions of CO</w:t>
      </w:r>
      <w:r w:rsidRPr="009B0448">
        <w:rPr>
          <w:rFonts w:ascii="Times New Roman" w:hAnsi="Times New Roman" w:cs="Times New Roman"/>
          <w:vertAlign w:val="subscript"/>
        </w:rPr>
        <w:t>2</w:t>
      </w:r>
      <w:r w:rsidRPr="009B0448">
        <w:rPr>
          <w:rFonts w:ascii="Times New Roman" w:hAnsi="Times New Roman" w:cs="Times New Roman"/>
        </w:rPr>
        <w:t xml:space="preserve"> and CH</w:t>
      </w:r>
      <w:r w:rsidRPr="009B0448">
        <w:rPr>
          <w:rFonts w:ascii="Times New Roman" w:hAnsi="Times New Roman" w:cs="Times New Roman"/>
          <w:vertAlign w:val="subscript"/>
        </w:rPr>
        <w:t>4,</w:t>
      </w:r>
      <w:r w:rsidRPr="009B0448">
        <w:rPr>
          <w:rFonts w:ascii="Times New Roman" w:hAnsi="Times New Roman" w:cs="Times New Roman"/>
        </w:rPr>
        <w:t xml:space="preserve"> as well as storage of carbon removed from the atmosphere during photosynthesis (climate regulation). Soil organic matter itself also confers multiple benefits, such as enhancing water purification and water holding capacity, protecting against erosion risk, and enhancing food and fibre provision through improved soil fertility (Pan </w:t>
      </w:r>
      <w:r w:rsidRPr="009B0448">
        <w:rPr>
          <w:rFonts w:ascii="Times New Roman" w:hAnsi="Times New Roman" w:cs="Times New Roman"/>
          <w:i/>
        </w:rPr>
        <w:t>et al.</w:t>
      </w:r>
      <w:r w:rsidRPr="009B0448">
        <w:rPr>
          <w:rFonts w:ascii="Times New Roman" w:hAnsi="Times New Roman" w:cs="Times New Roman"/>
        </w:rPr>
        <w:t xml:space="preserve">, 2013, 2014). Moreover, soil is an important carbon reservoir that contains more carbon (at least 1,500–2,400 PgC) than the atmosphere (590 PgC) and terrestrial vegetation (350–550 PgC) combined (Ciais </w:t>
      </w:r>
      <w:r w:rsidRPr="009B0448">
        <w:rPr>
          <w:rFonts w:ascii="Times New Roman" w:hAnsi="Times New Roman" w:cs="Times New Roman"/>
          <w:i/>
        </w:rPr>
        <w:t>et al.</w:t>
      </w:r>
      <w:r w:rsidRPr="009B0448">
        <w:rPr>
          <w:rFonts w:ascii="Times New Roman" w:hAnsi="Times New Roman" w:cs="Times New Roman"/>
        </w:rPr>
        <w:t xml:space="preserve">, 2013; Schlesinger </w:t>
      </w:r>
      <w:r w:rsidRPr="009B0448">
        <w:rPr>
          <w:rFonts w:ascii="Times New Roman" w:hAnsi="Times New Roman" w:cs="Times New Roman"/>
          <w:i/>
        </w:rPr>
        <w:t>et al.</w:t>
      </w:r>
      <w:r w:rsidRPr="009B0448">
        <w:rPr>
          <w:rFonts w:ascii="Times New Roman" w:hAnsi="Times New Roman" w:cs="Times New Roman"/>
        </w:rPr>
        <w:t>, 2013) and an increase in soil carbon storage can reduce atmospheric CO</w:t>
      </w:r>
      <w:r w:rsidRPr="009B0448">
        <w:rPr>
          <w:rFonts w:ascii="Times New Roman" w:hAnsi="Times New Roman" w:cs="Times New Roman"/>
          <w:vertAlign w:val="subscript"/>
        </w:rPr>
        <w:t>2</w:t>
      </w:r>
      <w:r w:rsidRPr="009B0448">
        <w:rPr>
          <w:rFonts w:ascii="Times New Roman" w:hAnsi="Times New Roman" w:cs="Times New Roman"/>
        </w:rPr>
        <w:t xml:space="preserve"> concentrations (Whitmore </w:t>
      </w:r>
      <w:r w:rsidRPr="009B0448">
        <w:rPr>
          <w:rFonts w:ascii="Times New Roman" w:hAnsi="Times New Roman" w:cs="Times New Roman"/>
          <w:i/>
        </w:rPr>
        <w:t>et al.</w:t>
      </w:r>
      <w:r w:rsidRPr="009B0448">
        <w:rPr>
          <w:rFonts w:ascii="Times New Roman" w:hAnsi="Times New Roman" w:cs="Times New Roman"/>
        </w:rPr>
        <w:t xml:space="preserve">, 2014). After carbon, nitrogen is the most abundant nutrient in all forms of life, since it is contained in proteins, nucleic acids, and other compounds (Galloway </w:t>
      </w:r>
      <w:r w:rsidRPr="009B0448">
        <w:rPr>
          <w:rFonts w:ascii="Times New Roman" w:hAnsi="Times New Roman" w:cs="Times New Roman"/>
          <w:i/>
        </w:rPr>
        <w:t>et al.</w:t>
      </w:r>
      <w:r w:rsidRPr="009B0448">
        <w:rPr>
          <w:rFonts w:ascii="Times New Roman" w:hAnsi="Times New Roman" w:cs="Times New Roman"/>
        </w:rPr>
        <w:t>, 2008). Organisms ultimately acquire Nitrogen from plants, which on land is mostly taken up in mineral form (i.e., NH</w:t>
      </w:r>
      <w:r w:rsidRPr="009B0448">
        <w:rPr>
          <w:rFonts w:ascii="Times New Roman" w:hAnsi="Times New Roman" w:cs="Times New Roman"/>
          <w:vertAlign w:val="subscript"/>
        </w:rPr>
        <w:t>4</w:t>
      </w:r>
      <w:r w:rsidRPr="009B0448">
        <w:rPr>
          <w:rFonts w:ascii="Times New Roman" w:hAnsi="Times New Roman" w:cs="Times New Roman"/>
          <w:vertAlign w:val="superscript"/>
        </w:rPr>
        <w:t>+</w:t>
      </w:r>
      <w:r w:rsidRPr="009B0448">
        <w:rPr>
          <w:rFonts w:ascii="Times New Roman" w:hAnsi="Times New Roman" w:cs="Times New Roman"/>
        </w:rPr>
        <w:t xml:space="preserve"> and NO</w:t>
      </w:r>
      <w:r w:rsidRPr="009B0448">
        <w:rPr>
          <w:rFonts w:ascii="Times New Roman" w:hAnsi="Times New Roman" w:cs="Times New Roman"/>
          <w:vertAlign w:val="subscript"/>
        </w:rPr>
        <w:t>3</w:t>
      </w:r>
      <w:r w:rsidRPr="009B0448">
        <w:rPr>
          <w:rFonts w:ascii="Times New Roman" w:hAnsi="Times New Roman" w:cs="Times New Roman"/>
        </w:rPr>
        <w:t xml:space="preserve">) from the soil. Soils further provide important ecosystem services through their influence on the water cycle. These services include provisioning services of food and water security, regulating services associated with moderation, and purification of water flows, and they contribute to the cultural services of landscapes/water bodies that support recreation and aesthetic values (Dymond, 2014). Furthermore, soils represent a physically and chemically complex and heterogeneous habitat supporting a high diversity of microbial and faunal taxa. These complex communities of organisms play critical roles in sustaining soil and wider ecosystem functioning, thus conferring a multitude of benefits to global cycles and human sustainability. Specifically, soil biodiversity contributes to food and fibre </w:t>
      </w:r>
      <w:r w:rsidRPr="009B0448">
        <w:rPr>
          <w:rFonts w:ascii="Times New Roman" w:hAnsi="Times New Roman" w:cs="Times New Roman"/>
          <w:noProof/>
        </w:rPr>
        <w:t>production</w:t>
      </w:r>
      <w:r w:rsidRPr="009B0448">
        <w:rPr>
          <w:rFonts w:ascii="Times New Roman" w:hAnsi="Times New Roman" w:cs="Times New Roman"/>
        </w:rPr>
        <w:t xml:space="preserve"> and is an important regulator of other soil services, including greenhouse gas emissions, water purification (Bodelier, 2011).</w:t>
      </w:r>
    </w:p>
    <w:p w14:paraId="463A4874" w14:textId="77777777" w:rsidR="009B0448" w:rsidRPr="009B0448" w:rsidRDefault="009B0448" w:rsidP="009B0448">
      <w:pPr>
        <w:spacing w:line="276" w:lineRule="auto"/>
        <w:jc w:val="both"/>
        <w:rPr>
          <w:rFonts w:ascii="Times New Roman" w:hAnsi="Times New Roman" w:cs="Times New Roman"/>
        </w:rPr>
      </w:pPr>
    </w:p>
    <w:p w14:paraId="44FA55AB" w14:textId="30138091"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Forest soils support the diversification of livelihoods and their role in providing ecosystem services which underpin the agricultural production system–through soil formation, nutrient cycling and provision of green manure and microclimate regulation; further enhancing synergies between the forest-tree landscape and the wider food production system (MA, 2005). Land clearing and slash-and-burn practices pose a </w:t>
      </w:r>
      <w:r w:rsidRPr="009B0448">
        <w:rPr>
          <w:rFonts w:ascii="Times New Roman" w:hAnsi="Times New Roman" w:cs="Times New Roman"/>
          <w:noProof/>
        </w:rPr>
        <w:t>particular</w:t>
      </w:r>
      <w:r w:rsidRPr="009B0448">
        <w:rPr>
          <w:rFonts w:ascii="Times New Roman" w:hAnsi="Times New Roman" w:cs="Times New Roman"/>
        </w:rPr>
        <w:t xml:space="preserve"> threat to forests, mostly in the Eastern and Southern </w:t>
      </w:r>
      <w:r w:rsidR="00B22D81">
        <w:rPr>
          <w:rFonts w:ascii="Times New Roman" w:hAnsi="Times New Roman" w:cs="Times New Roman"/>
        </w:rPr>
        <w:t>subregion</w:t>
      </w:r>
      <w:r w:rsidRPr="009B0448">
        <w:rPr>
          <w:rFonts w:ascii="Times New Roman" w:hAnsi="Times New Roman" w:cs="Times New Roman"/>
        </w:rPr>
        <w:t xml:space="preserve">s (Chapters 3 &amp; 4). </w:t>
      </w:r>
    </w:p>
    <w:p w14:paraId="52B55E8E" w14:textId="77777777" w:rsidR="009B0448" w:rsidRPr="009B0448" w:rsidRDefault="009B0448" w:rsidP="00FA7185">
      <w:pPr>
        <w:pStyle w:val="111"/>
        <w:numPr>
          <w:ilvl w:val="2"/>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82" w:name="_Toc519499817"/>
      <w:r w:rsidRPr="009B0448">
        <w:rPr>
          <w:rFonts w:cs="Times New Roman"/>
          <w:i w:val="0"/>
          <w:sz w:val="22"/>
          <w:szCs w:val="22"/>
        </w:rPr>
        <w:t>Non-material Contributions</w:t>
      </w:r>
      <w:bookmarkEnd w:id="82"/>
    </w:p>
    <w:p w14:paraId="12F95AD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Nature’s non-material contributions are highly significant, even though their sources are intangible and based on cultural context. This section provides an overview of nature’s non-material contributions in Africa, through highlighting the links between biodiversity, ecosystem services, spiritual, religious </w:t>
      </w:r>
      <w:r w:rsidRPr="009B0448">
        <w:rPr>
          <w:rFonts w:ascii="Times New Roman" w:hAnsi="Times New Roman" w:cs="Times New Roman"/>
        </w:rPr>
        <w:lastRenderedPageBreak/>
        <w:t>significance, and other immaterial services. The section further shows relevant cases of such contributions and the interrelations between these dimensions.</w:t>
      </w:r>
    </w:p>
    <w:p w14:paraId="031E70C7"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83" w:name="_Toc519499818"/>
      <w:r w:rsidRPr="009B0448">
        <w:rPr>
          <w:rFonts w:cs="Times New Roman"/>
          <w:sz w:val="22"/>
          <w:szCs w:val="22"/>
        </w:rPr>
        <w:t>Supporting identities</w:t>
      </w:r>
      <w:bookmarkEnd w:id="83"/>
    </w:p>
    <w:p w14:paraId="41D93C2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Africa’s cultural landscapes and habitats support religious and social experiences, according to Opoku (1978). Thus, the unseen is as much a part of reality as that which is seen. There is a complementary relationship between the two, with the spiritual seen as, in certain circumstances, more powerful than the material. A number of traditions and belief systems recognise linkages between health, diet, properties of different foods and medicinal plants, and horticultural/natural resource management practices–all within a highly articulated cosmological/social context (Edwards </w:t>
      </w:r>
      <w:r w:rsidRPr="009B0448">
        <w:rPr>
          <w:rFonts w:ascii="Times New Roman" w:hAnsi="Times New Roman" w:cs="Times New Roman"/>
          <w:i/>
        </w:rPr>
        <w:t>et al.</w:t>
      </w:r>
      <w:r w:rsidRPr="009B0448">
        <w:rPr>
          <w:rFonts w:ascii="Times New Roman" w:hAnsi="Times New Roman" w:cs="Times New Roman"/>
        </w:rPr>
        <w:t>, 1997). Table 2.10 below describes certain examples of supporting identities based on landscapes with religious, spiritual and social cohesion experiences in selected African countries.</w:t>
      </w:r>
    </w:p>
    <w:p w14:paraId="45E4ED3F" w14:textId="77777777" w:rsidR="009B0448" w:rsidRPr="009B0448" w:rsidRDefault="009B0448" w:rsidP="009B0448">
      <w:pPr>
        <w:spacing w:line="276" w:lineRule="auto"/>
        <w:jc w:val="both"/>
        <w:rPr>
          <w:rFonts w:ascii="Times New Roman" w:hAnsi="Times New Roman" w:cs="Times New Roman"/>
        </w:rPr>
      </w:pPr>
    </w:p>
    <w:p w14:paraId="7A6E7541"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Table 2.10:</w:t>
      </w:r>
      <w:r w:rsidRPr="009B0448">
        <w:rPr>
          <w:rFonts w:ascii="Times New Roman" w:hAnsi="Times New Roman" w:cs="Times New Roman"/>
        </w:rPr>
        <w:t xml:space="preserve"> Selected case studies of landscapes being the basis for religious and spiritual and social cohesion in Africa.</w:t>
      </w:r>
    </w:p>
    <w:tbl>
      <w:tblPr>
        <w:tblStyle w:val="PlainTable11"/>
        <w:tblW w:w="5000" w:type="pct"/>
        <w:tblLayout w:type="fixed"/>
        <w:tblLook w:val="0400" w:firstRow="0" w:lastRow="0" w:firstColumn="0" w:lastColumn="0" w:noHBand="0" w:noVBand="1"/>
      </w:tblPr>
      <w:tblGrid>
        <w:gridCol w:w="3005"/>
        <w:gridCol w:w="3006"/>
        <w:gridCol w:w="3006"/>
      </w:tblGrid>
      <w:tr w:rsidR="009B0448" w:rsidRPr="009B0448" w14:paraId="51DB4BC4" w14:textId="77777777" w:rsidTr="009B0448">
        <w:trPr>
          <w:cnfStyle w:val="000000100000" w:firstRow="0" w:lastRow="0" w:firstColumn="0" w:lastColumn="0" w:oddVBand="0" w:evenVBand="0" w:oddHBand="1" w:evenHBand="0" w:firstRowFirstColumn="0" w:firstRowLastColumn="0" w:lastRowFirstColumn="0" w:lastRowLastColumn="0"/>
        </w:trPr>
        <w:tc>
          <w:tcPr>
            <w:tcW w:w="3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9549FA"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 xml:space="preserve">Landscapes/seascapes, habitats or organisms </w:t>
            </w: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43F654"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Religious and spiritual linkages</w:t>
            </w: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4DCDC1"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Social cohesion linkages</w:t>
            </w:r>
          </w:p>
        </w:tc>
      </w:tr>
      <w:tr w:rsidR="009B0448" w:rsidRPr="009B0448" w14:paraId="5096BC00" w14:textId="77777777" w:rsidTr="009B0448">
        <w:tc>
          <w:tcPr>
            <w:tcW w:w="3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F67232" w14:textId="2D703779"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xml:space="preserve">Kagore Shona people in Zimbabwe use </w:t>
            </w:r>
            <w:r w:rsidR="00D6539B">
              <w:rPr>
                <w:rFonts w:ascii="Times New Roman" w:hAnsi="Times New Roman" w:cs="Times New Roman"/>
              </w:rPr>
              <w:t>burial grounds as sacred sites</w:t>
            </w: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87D9C1" w14:textId="1879C5EE"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Spiritual significance 'deeply embedded' in the cultural</w:t>
            </w:r>
            <w:r w:rsidR="00D6539B">
              <w:rPr>
                <w:rFonts w:ascii="Times New Roman" w:hAnsi="Times New Roman" w:cs="Times New Roman"/>
              </w:rPr>
              <w:t xml:space="preserve"> landscape (Matowanyika, 1997)</w:t>
            </w: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B9A90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r>
      <w:tr w:rsidR="009B0448" w:rsidRPr="009B0448" w14:paraId="1AECBB4F" w14:textId="77777777" w:rsidTr="009B0448">
        <w:trPr>
          <w:cnfStyle w:val="000000100000" w:firstRow="0" w:lastRow="0" w:firstColumn="0" w:lastColumn="0" w:oddVBand="0" w:evenVBand="0" w:oddHBand="1" w:evenHBand="0" w:firstRowFirstColumn="0" w:firstRowLastColumn="0" w:lastRowFirstColumn="0" w:lastRowLastColumn="0"/>
          <w:trHeight w:val="1040"/>
        </w:trPr>
        <w:tc>
          <w:tcPr>
            <w:tcW w:w="3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B71DE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xml:space="preserve">Loita Maasai’s ‘forest of the lost child’ in Kenya </w:t>
            </w: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02C87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Spiritual forest among the Maasai</w:t>
            </w: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D2254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Direct expression of the relationship between communities and their habitats (Poole, 1993; Kakonge, 1995).</w:t>
            </w:r>
          </w:p>
        </w:tc>
      </w:tr>
      <w:tr w:rsidR="009B0448" w:rsidRPr="009B0448" w14:paraId="71B080CE" w14:textId="77777777" w:rsidTr="009B0448">
        <w:trPr>
          <w:trHeight w:val="280"/>
        </w:trPr>
        <w:tc>
          <w:tcPr>
            <w:tcW w:w="3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DA874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xml:space="preserve">Wildlife products from Dryland areas in Nigeria (Adeola, 1992) </w:t>
            </w:r>
          </w:p>
          <w:p w14:paraId="0883ECB6" w14:textId="77777777" w:rsidR="009B0448" w:rsidRPr="009B0448" w:rsidRDefault="009B0448">
            <w:pPr>
              <w:spacing w:line="276" w:lineRule="auto"/>
              <w:ind w:firstLine="284"/>
              <w:jc w:val="both"/>
              <w:rPr>
                <w:rFonts w:ascii="Times New Roman" w:hAnsi="Times New Roman" w:cs="Times New Roman"/>
              </w:rPr>
            </w:pP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1CADA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xml:space="preserve">Wildlife products play important in the performance of spiritual rites (e.g., invoking and appeasing traditional gods and witches), and as constituents in traditional medicines or for aphrodisiac, fertility or potency purposes </w:t>
            </w: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3EA79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Wildlife products play important roles in community ceremonies (e.g., funerals and installation of rulers)</w:t>
            </w:r>
          </w:p>
        </w:tc>
      </w:tr>
      <w:tr w:rsidR="009B0448" w:rsidRPr="009B0448" w14:paraId="6819877F" w14:textId="77777777" w:rsidTr="009B0448">
        <w:trPr>
          <w:cnfStyle w:val="000000100000" w:firstRow="0" w:lastRow="0" w:firstColumn="0" w:lastColumn="0" w:oddVBand="0" w:evenVBand="0" w:oddHBand="1" w:evenHBand="0" w:firstRowFirstColumn="0" w:firstRowLastColumn="0" w:lastRowFirstColumn="0" w:lastRowLastColumn="0"/>
          <w:trHeight w:val="100"/>
        </w:trPr>
        <w:tc>
          <w:tcPr>
            <w:tcW w:w="3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4A521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Great Fish River Wetland in the AmaXhosa communities</w:t>
            </w: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3B8AD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xml:space="preserve">Performance of spiritual rituals in wetlands sites to maintain a spiritual relationship with ancestors (Biggs </w:t>
            </w:r>
            <w:r w:rsidRPr="009B0448">
              <w:rPr>
                <w:rFonts w:ascii="Times New Roman" w:hAnsi="Times New Roman" w:cs="Times New Roman"/>
                <w:i/>
              </w:rPr>
              <w:t>et al.</w:t>
            </w:r>
            <w:r w:rsidRPr="009B0448">
              <w:rPr>
                <w:rFonts w:ascii="Times New Roman" w:hAnsi="Times New Roman" w:cs="Times New Roman"/>
              </w:rPr>
              <w:t>, 2004)</w:t>
            </w: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49BE6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xml:space="preserve">Wetland sites shape community’s cultural identity </w:t>
            </w:r>
          </w:p>
        </w:tc>
      </w:tr>
      <w:tr w:rsidR="009B0448" w:rsidRPr="009B0448" w14:paraId="65EFB3D7" w14:textId="77777777" w:rsidTr="009B0448">
        <w:trPr>
          <w:trHeight w:val="460"/>
        </w:trPr>
        <w:tc>
          <w:tcPr>
            <w:tcW w:w="3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70016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xml:space="preserve">Wetlands in Niger Delta (James </w:t>
            </w:r>
            <w:r w:rsidRPr="009B0448">
              <w:rPr>
                <w:rFonts w:ascii="Times New Roman" w:hAnsi="Times New Roman" w:cs="Times New Roman"/>
                <w:i/>
              </w:rPr>
              <w:t>et al.</w:t>
            </w:r>
            <w:r w:rsidRPr="009B0448">
              <w:rPr>
                <w:rFonts w:ascii="Times New Roman" w:hAnsi="Times New Roman" w:cs="Times New Roman"/>
              </w:rPr>
              <w:t xml:space="preserve">, 2013) and in Cameroon (Feka </w:t>
            </w:r>
            <w:r w:rsidRPr="009B0448">
              <w:rPr>
                <w:rFonts w:ascii="Times New Roman" w:hAnsi="Times New Roman" w:cs="Times New Roman"/>
                <w:i/>
              </w:rPr>
              <w:t>et al.</w:t>
            </w:r>
            <w:r w:rsidRPr="009B0448">
              <w:rPr>
                <w:rFonts w:ascii="Times New Roman" w:hAnsi="Times New Roman" w:cs="Times New Roman"/>
              </w:rPr>
              <w:t>, 2008)</w:t>
            </w: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F3C13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Deeply held spiritual values linked to wetlands in Nigeria and protected mangroves in Cameroon</w:t>
            </w: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471B4F" w14:textId="77777777" w:rsidR="009B0448" w:rsidRPr="009B0448" w:rsidRDefault="009B0448">
            <w:pPr>
              <w:spacing w:line="276" w:lineRule="auto"/>
              <w:ind w:firstLine="284"/>
              <w:jc w:val="both"/>
              <w:rPr>
                <w:rFonts w:ascii="Times New Roman" w:hAnsi="Times New Roman" w:cs="Times New Roman"/>
              </w:rPr>
            </w:pPr>
            <w:r w:rsidRPr="009B0448">
              <w:rPr>
                <w:rFonts w:ascii="Times New Roman" w:hAnsi="Times New Roman" w:cs="Times New Roman"/>
              </w:rPr>
              <w:t>-</w:t>
            </w:r>
          </w:p>
        </w:tc>
      </w:tr>
      <w:tr w:rsidR="009B0448" w:rsidRPr="009B0448" w14:paraId="313F12BE" w14:textId="77777777" w:rsidTr="009B0448">
        <w:trPr>
          <w:cnfStyle w:val="000000100000" w:firstRow="0" w:lastRow="0" w:firstColumn="0" w:lastColumn="0" w:oddVBand="0" w:evenVBand="0" w:oddHBand="1" w:evenHBand="0" w:firstRowFirstColumn="0" w:firstRowLastColumn="0" w:lastRowFirstColumn="0" w:lastRowLastColumn="0"/>
          <w:trHeight w:val="1440"/>
        </w:trPr>
        <w:tc>
          <w:tcPr>
            <w:tcW w:w="30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7D31F8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xml:space="preserve">Mountainous forest Mafa- Bécédi-brignan in Ivory Coast. (Kouassi </w:t>
            </w:r>
            <w:r w:rsidRPr="009B0448">
              <w:rPr>
                <w:rFonts w:ascii="Times New Roman" w:hAnsi="Times New Roman" w:cs="Times New Roman"/>
                <w:i/>
              </w:rPr>
              <w:t>et al</w:t>
            </w:r>
            <w:r w:rsidRPr="009B0448">
              <w:rPr>
                <w:rFonts w:ascii="Times New Roman" w:hAnsi="Times New Roman" w:cs="Times New Roman"/>
              </w:rPr>
              <w:t>., 2008)</w:t>
            </w:r>
          </w:p>
          <w:p w14:paraId="396DC235" w14:textId="77777777" w:rsidR="009B0448" w:rsidRPr="009B0448" w:rsidRDefault="009B0448">
            <w:pPr>
              <w:spacing w:line="276" w:lineRule="auto"/>
              <w:jc w:val="both"/>
              <w:rPr>
                <w:rFonts w:ascii="Times New Roman" w:hAnsi="Times New Roman" w:cs="Times New Roman"/>
              </w:rPr>
            </w:pP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C0334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The sacred forest is seen as an ancestral heritage for the Akyé people and the site has a spiritual and religious significance to the people</w:t>
            </w:r>
          </w:p>
        </w:tc>
        <w:tc>
          <w:tcPr>
            <w:tcW w:w="3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7B5A2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The forest is used as a site for community festivals such as the generation day ("Fankwé") and the feast of yams (the "Yabe")</w:t>
            </w:r>
          </w:p>
        </w:tc>
      </w:tr>
    </w:tbl>
    <w:p w14:paraId="5BBEC4CF"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84" w:name="_Toc519499819"/>
      <w:r w:rsidRPr="009B0448">
        <w:rPr>
          <w:rFonts w:cs="Times New Roman"/>
          <w:sz w:val="22"/>
          <w:szCs w:val="22"/>
        </w:rPr>
        <w:lastRenderedPageBreak/>
        <w:t>Physical and physiological experiences</w:t>
      </w:r>
      <w:bookmarkEnd w:id="84"/>
    </w:p>
    <w:p w14:paraId="40912579" w14:textId="77777777" w:rsidR="009B0448" w:rsidRPr="009B0448" w:rsidRDefault="009B0448" w:rsidP="009B0448">
      <w:pPr>
        <w:spacing w:line="276" w:lineRule="auto"/>
        <w:jc w:val="both"/>
        <w:rPr>
          <w:rFonts w:ascii="Times New Roman" w:hAnsi="Times New Roman" w:cs="Times New Roman"/>
          <w:lang w:val="en-ZA"/>
        </w:rPr>
      </w:pPr>
      <w:r w:rsidRPr="009B0448">
        <w:rPr>
          <w:rFonts w:ascii="Times New Roman" w:hAnsi="Times New Roman" w:cs="Times New Roman"/>
          <w:lang w:val="en-ZA"/>
        </w:rPr>
        <w:t xml:space="preserve">Natural ecosystems in Africa provide significant opportunities for tourism, healing, relaxation, leisure, recreation, aesthetic appreciation, inspiration and education (e.g., hiking, recreational hunting, and fishing, birdwatching, snorkelling, gardening). Such services can improve mental and physical health; enhance a subjective sense of culture or place; and also enrich objective knowledge of natural and social sciences. Recently, Africa has been considered as one of the fastest growing tourism regions in the world. The continent holds more than a 5% share in tourism arrivals, and a 3.5% share of tourism receipts globally (UNWTO, 2017). ‘Wildlife Watching Tourism’ is considered a highly significant tourism segment in Africa. These activities can provide job opportunities for the local population through providing services to visitors, working as tour guides, staff, and cultural performers. </w:t>
      </w:r>
    </w:p>
    <w:p w14:paraId="1B57587E" w14:textId="77777777" w:rsidR="009B0448" w:rsidRPr="009B0448" w:rsidRDefault="009B0448" w:rsidP="009B0448">
      <w:pPr>
        <w:spacing w:line="276" w:lineRule="auto"/>
        <w:jc w:val="both"/>
        <w:rPr>
          <w:rFonts w:ascii="Times New Roman" w:hAnsi="Times New Roman" w:cs="Times New Roman"/>
          <w:lang w:val="en-ZA"/>
        </w:rPr>
      </w:pPr>
    </w:p>
    <w:p w14:paraId="00EAA2D5"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lang w:val="en-ZA"/>
        </w:rPr>
        <w:t xml:space="preserve">Ecotourism effectively managed by indigenous and local communities can promote biodiversity conservation and improve community development. Such positive outcomes are contingent, amongst others, upon improving the management and marketing skills of the local communities (Coria </w:t>
      </w:r>
      <w:r w:rsidRPr="009B0448">
        <w:rPr>
          <w:rFonts w:ascii="Times New Roman" w:hAnsi="Times New Roman" w:cs="Times New Roman"/>
          <w:i/>
          <w:lang w:val="en-ZA"/>
        </w:rPr>
        <w:t>et al.</w:t>
      </w:r>
      <w:r w:rsidRPr="009B0448">
        <w:rPr>
          <w:rFonts w:ascii="Times New Roman" w:hAnsi="Times New Roman" w:cs="Times New Roman"/>
          <w:lang w:val="en-ZA"/>
        </w:rPr>
        <w:t xml:space="preserve">, 2012). Botswana and Namibia provide (in certain sites) successful examples of how government policies that have banned commercial hunting and promoted community-based ecotourism have contributed to the conservation of wildlife and development of the local communities (Naidoo </w:t>
      </w:r>
      <w:r w:rsidRPr="009B0448">
        <w:rPr>
          <w:rFonts w:ascii="Times New Roman" w:hAnsi="Times New Roman" w:cs="Times New Roman"/>
          <w:i/>
          <w:lang w:val="en-ZA"/>
        </w:rPr>
        <w:t>et al.</w:t>
      </w:r>
      <w:r w:rsidRPr="009B0448">
        <w:rPr>
          <w:rFonts w:ascii="Times New Roman" w:hAnsi="Times New Roman" w:cs="Times New Roman"/>
          <w:lang w:val="en-ZA"/>
        </w:rPr>
        <w:t>, 2016).</w:t>
      </w:r>
    </w:p>
    <w:p w14:paraId="44757CAD"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85" w:name="_Toc519499820"/>
      <w:r w:rsidRPr="009B0448">
        <w:rPr>
          <w:rFonts w:cs="Times New Roman"/>
          <w:sz w:val="22"/>
          <w:szCs w:val="22"/>
        </w:rPr>
        <w:t>Social relationships, spirituality and cultural identity</w:t>
      </w:r>
      <w:bookmarkEnd w:id="85"/>
    </w:p>
    <w:p w14:paraId="6A3CD4A2"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Natural ecosystems play a central role in cultural and spiritual practices for many indigenous and local communities in Africa, as indicated earlier. For example, Laikipia Maasai communities in Kenya are dependent on livestock for livelihoods and food security, which is dependent on the sustainability of a healthy environment. Spiritual leaders help the communities in interpreting variation in natural ecosystems, and advising in terms of response, including preparation for migration or shifting to new locations. Spiritual chiefs lead rituals and ceremonies to help the community connect with nature and remember the role of nature in the sustenance of life (Kaunga, 2016). These spiritual rituals involve, in many cases, the use of specific trees or species for their spiritual value. Many seeds and/or crops are critical during rituals and ceremonies (Kaunga, 2016; Mburu </w:t>
      </w:r>
      <w:r w:rsidRPr="009B0448">
        <w:rPr>
          <w:rFonts w:ascii="Times New Roman" w:hAnsi="Times New Roman" w:cs="Times New Roman"/>
          <w:i/>
        </w:rPr>
        <w:t>et al.</w:t>
      </w:r>
      <w:r w:rsidRPr="009B0448">
        <w:rPr>
          <w:rFonts w:ascii="Times New Roman" w:hAnsi="Times New Roman" w:cs="Times New Roman"/>
        </w:rPr>
        <w:t xml:space="preserve">, 2016). </w:t>
      </w:r>
    </w:p>
    <w:p w14:paraId="3AB643B6" w14:textId="77777777" w:rsidR="009B0448" w:rsidRPr="009B0448" w:rsidRDefault="009B0448" w:rsidP="009B0448">
      <w:pPr>
        <w:spacing w:line="276" w:lineRule="auto"/>
        <w:jc w:val="both"/>
        <w:rPr>
          <w:rFonts w:ascii="Times New Roman" w:hAnsi="Times New Roman" w:cs="Times New Roman"/>
        </w:rPr>
      </w:pPr>
    </w:p>
    <w:p w14:paraId="7D50766E"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As a further example, shellfish have an important patrimonial and symbolic value in Bijagos communities’ culture, located in the island of Orango Grande, off the coast of Guinea, west of Africa. Shellfish are included in their religious ceremonies, as well as in other aspects of their life. For example, shellfish, along with other products such as tobacco, rice, or palm wine, is offered by the youngest to the oldest as a form of ‘paying respect to the greatness of wisdom. Honey is also connected to the social life of these communities (Cormier-Salem </w:t>
      </w:r>
      <w:r w:rsidRPr="009B0448">
        <w:rPr>
          <w:rFonts w:ascii="Times New Roman" w:hAnsi="Times New Roman" w:cs="Times New Roman"/>
          <w:i/>
        </w:rPr>
        <w:t>et al.</w:t>
      </w:r>
      <w:r w:rsidRPr="009B0448">
        <w:rPr>
          <w:rFonts w:ascii="Times New Roman" w:hAnsi="Times New Roman" w:cs="Times New Roman"/>
        </w:rPr>
        <w:t xml:space="preserve">, 2010). </w:t>
      </w:r>
    </w:p>
    <w:p w14:paraId="12DC4796" w14:textId="77777777" w:rsidR="009B0448" w:rsidRPr="009B0448" w:rsidRDefault="009B0448" w:rsidP="009B0448">
      <w:pPr>
        <w:spacing w:line="276" w:lineRule="auto"/>
        <w:jc w:val="both"/>
        <w:rPr>
          <w:rFonts w:ascii="Times New Roman" w:hAnsi="Times New Roman" w:cs="Times New Roman"/>
        </w:rPr>
      </w:pPr>
    </w:p>
    <w:p w14:paraId="27B2EF14"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Studies have demonstrated relationships between biodiversity, human cultural, and linguistic diversity in Africa (Moore </w:t>
      </w:r>
      <w:r w:rsidRPr="009B0448">
        <w:rPr>
          <w:rFonts w:ascii="Times New Roman" w:hAnsi="Times New Roman" w:cs="Times New Roman"/>
          <w:i/>
        </w:rPr>
        <w:t>et al.</w:t>
      </w:r>
      <w:r w:rsidRPr="009B0448">
        <w:rPr>
          <w:rFonts w:ascii="Times New Roman" w:hAnsi="Times New Roman" w:cs="Times New Roman"/>
        </w:rPr>
        <w:t xml:space="preserve">, 2002). Aspects of cultural diversity include language, customs, habits, beliefs, local knowledge and practices used in the management of natural resources (Shemdoe, 2017). By being the sites of approximately 30% of the world languages, Africa is considered the richest worldwide in linguistic diversity, with more than 2,500 spoken languages (Batibo, 2006). Studies indicate, however, a decline in the African cultural and linguistic diversity (Batibo, 2006; Yankuzo, 2014). Effective management of natural resources and conservation of biodiversity of any cultural landscape require a better understanding of associated cultures, including linguistic diversity. </w:t>
      </w:r>
    </w:p>
    <w:p w14:paraId="168AA4D7" w14:textId="77777777" w:rsidR="009B0448" w:rsidRPr="009B0448" w:rsidRDefault="009B0448" w:rsidP="009B0448">
      <w:pPr>
        <w:spacing w:line="276" w:lineRule="auto"/>
        <w:jc w:val="both"/>
        <w:rPr>
          <w:rFonts w:ascii="Times New Roman" w:hAnsi="Times New Roman" w:cs="Times New Roman"/>
        </w:rPr>
      </w:pPr>
    </w:p>
    <w:p w14:paraId="5FE2860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lastRenderedPageBreak/>
        <w:t xml:space="preserve">There is, thus, a growing recognition of the importance of protection of the different aspects of cultural diversity, including documentation of ILK of the respective local communities and the vernacular names bestowed on the species existing in the endangered cultural landscape (Yankuzo, 2014; Shemdoe, 2017; SPM sections A, B, &amp; D). For example, efforts were made to record the cultural heritage of the Luhya people of the Kakamega region in Kenya to document vernacular bird names to improve conservation efforts of rare bird species (Sagita </w:t>
      </w:r>
      <w:r w:rsidRPr="009B0448">
        <w:rPr>
          <w:rFonts w:ascii="Times New Roman" w:hAnsi="Times New Roman" w:cs="Times New Roman"/>
          <w:i/>
        </w:rPr>
        <w:t>et al.</w:t>
      </w:r>
      <w:r w:rsidRPr="009B0448">
        <w:rPr>
          <w:rFonts w:ascii="Times New Roman" w:hAnsi="Times New Roman" w:cs="Times New Roman"/>
        </w:rPr>
        <w:t>, 1998).</w:t>
      </w:r>
    </w:p>
    <w:p w14:paraId="103C7DAF"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86" w:name="_Toc519499821"/>
      <w:r w:rsidRPr="009B0448">
        <w:rPr>
          <w:rFonts w:cs="Times New Roman"/>
          <w:sz w:val="22"/>
          <w:szCs w:val="22"/>
        </w:rPr>
        <w:t>Learning and inspiration</w:t>
      </w:r>
      <w:bookmarkEnd w:id="86"/>
    </w:p>
    <w:p w14:paraId="7BAE4C75" w14:textId="28691714"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Nature on the African continent provides opportunities for gaining of knowledge and development of practices and skills for human well</w:t>
      </w:r>
      <w:r w:rsidR="00247AD0">
        <w:rPr>
          <w:rFonts w:ascii="Times New Roman" w:hAnsi="Times New Roman" w:cs="Times New Roman"/>
        </w:rPr>
        <w:t>-</w:t>
      </w:r>
      <w:r w:rsidRPr="009B0448">
        <w:rPr>
          <w:rFonts w:ascii="Times New Roman" w:hAnsi="Times New Roman" w:cs="Times New Roman"/>
        </w:rPr>
        <w:t>being. One example here would be the development of ‘sensory ecology’ as a new scientific field in the 1940s by Felix Santschi, through his research studies on desert ants’ navigation in the Tunisian desert (Wehner, 1990).</w:t>
      </w:r>
    </w:p>
    <w:p w14:paraId="68B812F2" w14:textId="77777777" w:rsidR="009B0448" w:rsidRPr="009B0448" w:rsidRDefault="009B0448" w:rsidP="009B0448">
      <w:pPr>
        <w:spacing w:line="276" w:lineRule="auto"/>
        <w:jc w:val="both"/>
        <w:rPr>
          <w:rFonts w:ascii="Times New Roman" w:hAnsi="Times New Roman" w:cs="Times New Roman"/>
        </w:rPr>
      </w:pPr>
    </w:p>
    <w:p w14:paraId="78BBC43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As described previously, African indigenous and local communities have developed knowledge, practices, and experiences through their interactions with their biophysical environment, observing changes and dynamics of natural ecosystems; which have allowed them to respond to environmental changes and disturbances over time and space. Validation and integration of </w:t>
      </w:r>
      <w:r w:rsidRPr="009B0448">
        <w:rPr>
          <w:rFonts w:ascii="Times New Roman" w:eastAsia="Times New Roman" w:hAnsi="Times New Roman" w:cs="Times New Roman"/>
        </w:rPr>
        <w:t>ILK</w:t>
      </w:r>
      <w:r w:rsidRPr="009B0448">
        <w:rPr>
          <w:rFonts w:ascii="Times New Roman" w:hAnsi="Times New Roman" w:cs="Times New Roman"/>
        </w:rPr>
        <w:t xml:space="preserve"> have, to some extent, taken place in the pharmaceuticals sector through evaluation of the medicinal effectiveness of many plants used in folk medicine. This has led to the discovery and extraction of many bioactive secondary metabolites, many of which have been used for the production of effective drugs (Dias </w:t>
      </w:r>
      <w:r w:rsidRPr="009B0448">
        <w:rPr>
          <w:rFonts w:ascii="Times New Roman" w:hAnsi="Times New Roman" w:cs="Times New Roman"/>
          <w:i/>
        </w:rPr>
        <w:t>et al.</w:t>
      </w:r>
      <w:r w:rsidRPr="009B0448">
        <w:rPr>
          <w:rFonts w:ascii="Times New Roman" w:hAnsi="Times New Roman" w:cs="Times New Roman"/>
        </w:rPr>
        <w:t xml:space="preserve">, 2012; Mahomoodally, 2013). </w:t>
      </w:r>
    </w:p>
    <w:p w14:paraId="5663B7A4" w14:textId="77777777" w:rsidR="009B0448" w:rsidRPr="009B0448" w:rsidRDefault="009B0448" w:rsidP="009B0448">
      <w:pPr>
        <w:spacing w:line="276" w:lineRule="auto"/>
        <w:jc w:val="both"/>
        <w:rPr>
          <w:rFonts w:ascii="Times New Roman" w:hAnsi="Times New Roman" w:cs="Times New Roman"/>
        </w:rPr>
      </w:pPr>
    </w:p>
    <w:p w14:paraId="4A88EF0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There is a growing scientific recognition of the importance and merit of integration of </w:t>
      </w:r>
      <w:r w:rsidRPr="009B0448">
        <w:rPr>
          <w:rFonts w:ascii="Times New Roman" w:eastAsia="Times New Roman" w:hAnsi="Times New Roman" w:cs="Times New Roman"/>
        </w:rPr>
        <w:t>ILK</w:t>
      </w:r>
      <w:r w:rsidRPr="009B0448">
        <w:rPr>
          <w:rFonts w:ascii="Times New Roman" w:hAnsi="Times New Roman" w:cs="Times New Roman"/>
        </w:rPr>
        <w:t xml:space="preserve"> with conventional forms of knowledge to develop new knowledge systems for facing future challenges and coping with environmental changes, especially for the design of adaptation and mitigation strategies (Dias </w:t>
      </w:r>
      <w:r w:rsidRPr="009B0448">
        <w:rPr>
          <w:rFonts w:ascii="Times New Roman" w:hAnsi="Times New Roman" w:cs="Times New Roman"/>
          <w:i/>
        </w:rPr>
        <w:t>et al.</w:t>
      </w:r>
      <w:r w:rsidRPr="009B0448">
        <w:rPr>
          <w:rFonts w:ascii="Times New Roman" w:hAnsi="Times New Roman" w:cs="Times New Roman"/>
        </w:rPr>
        <w:t xml:space="preserve">, 2012; Gómez-Baggethun </w:t>
      </w:r>
      <w:r w:rsidRPr="009B0448">
        <w:rPr>
          <w:rFonts w:ascii="Times New Roman" w:hAnsi="Times New Roman" w:cs="Times New Roman"/>
          <w:i/>
        </w:rPr>
        <w:t>et al.</w:t>
      </w:r>
      <w:r w:rsidRPr="009B0448">
        <w:rPr>
          <w:rFonts w:ascii="Times New Roman" w:hAnsi="Times New Roman" w:cs="Times New Roman"/>
        </w:rPr>
        <w:t>, 2013; Chapter 1, section 1.3.2; SPM section A). There is significant potential for integration of ILK in sustainable agriculture practices,</w:t>
      </w:r>
      <w:r w:rsidRPr="009B0448">
        <w:rPr>
          <w:rFonts w:ascii="Times New Roman" w:hAnsi="Times New Roman" w:cs="Times New Roman"/>
          <w:color w:val="4D4D4D"/>
        </w:rPr>
        <w:t xml:space="preserve"> </w:t>
      </w:r>
      <w:r w:rsidRPr="009B0448">
        <w:rPr>
          <w:rFonts w:ascii="Times New Roman" w:hAnsi="Times New Roman" w:cs="Times New Roman"/>
        </w:rPr>
        <w:t xml:space="preserve">ecological restoration, land conservation and adaptive management of natural resource (Dias </w:t>
      </w:r>
      <w:r w:rsidRPr="009B0448">
        <w:rPr>
          <w:rFonts w:ascii="Times New Roman" w:hAnsi="Times New Roman" w:cs="Times New Roman"/>
          <w:i/>
        </w:rPr>
        <w:t>et al.</w:t>
      </w:r>
      <w:r w:rsidRPr="009B0448">
        <w:rPr>
          <w:rFonts w:ascii="Times New Roman" w:hAnsi="Times New Roman" w:cs="Times New Roman"/>
        </w:rPr>
        <w:t xml:space="preserve">, 2012). The incorporation of the ILK in the rehabilitation activities of degraded lands due to mechanised rain-fed agriculture in the southern Gadarif region in Sudan, for example, should successfully support improved rehabilitation (Sulieman </w:t>
      </w:r>
      <w:r w:rsidRPr="009B0448">
        <w:rPr>
          <w:rFonts w:ascii="Times New Roman" w:hAnsi="Times New Roman" w:cs="Times New Roman"/>
          <w:i/>
        </w:rPr>
        <w:t>et al.</w:t>
      </w:r>
      <w:r w:rsidRPr="009B0448">
        <w:rPr>
          <w:rFonts w:ascii="Times New Roman" w:hAnsi="Times New Roman" w:cs="Times New Roman"/>
        </w:rPr>
        <w:t>, 2012).</w:t>
      </w:r>
    </w:p>
    <w:p w14:paraId="0246172B" w14:textId="77777777" w:rsidR="009B0448" w:rsidRPr="009B0448" w:rsidRDefault="009B0448" w:rsidP="009B0448">
      <w:pPr>
        <w:spacing w:line="276" w:lineRule="auto"/>
        <w:jc w:val="both"/>
        <w:rPr>
          <w:rFonts w:ascii="Times New Roman" w:hAnsi="Times New Roman" w:cs="Times New Roman"/>
        </w:rPr>
      </w:pPr>
    </w:p>
    <w:p w14:paraId="55F36E4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agroforestry parkland system approach is one of several techniques for management of soil fertility adopted widely by local communities in Africa (Lesueur </w:t>
      </w:r>
      <w:r w:rsidRPr="009B0448">
        <w:rPr>
          <w:rFonts w:ascii="Times New Roman" w:hAnsi="Times New Roman" w:cs="Times New Roman"/>
          <w:i/>
        </w:rPr>
        <w:t>et al.</w:t>
      </w:r>
      <w:r w:rsidRPr="009B0448">
        <w:rPr>
          <w:rFonts w:ascii="Times New Roman" w:hAnsi="Times New Roman" w:cs="Times New Roman"/>
        </w:rPr>
        <w:t xml:space="preserve">, 1995). It is a dominant farming system that covers the majority of the cultivated area in the Sahelian countries in Africa. In this system, farmers grow their crops in combination with wild multipurpose trees. This system has supported farmers’ livelihoods for centuries. Farmers select and protect useful multipurpose species on their farmlands. The local farmers’ strategy is to simultaneously gain the advantage of collecting from wild plants resources while growing different crops, and benefiting from the enhancing effect that wild plants have on soil (Nikiema, 2005). </w:t>
      </w:r>
    </w:p>
    <w:p w14:paraId="76D9EF88" w14:textId="77777777" w:rsidR="009B0448" w:rsidRPr="009B0448" w:rsidRDefault="009B0448" w:rsidP="009B0448">
      <w:pPr>
        <w:spacing w:line="276" w:lineRule="auto"/>
        <w:jc w:val="both"/>
        <w:rPr>
          <w:rFonts w:ascii="Times New Roman" w:hAnsi="Times New Roman" w:cs="Times New Roman"/>
        </w:rPr>
      </w:pPr>
    </w:p>
    <w:p w14:paraId="21C73A8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Proper selection of species to be used in ecological restoration activities is critical for successful restoration. Integration of ILK with scientific knowledge could facilitate selection of species with both ecological importance and traditional value, thus ensuring </w:t>
      </w:r>
      <w:r w:rsidRPr="009B0448">
        <w:rPr>
          <w:rFonts w:ascii="Times New Roman" w:hAnsi="Times New Roman" w:cs="Times New Roman"/>
          <w:noProof/>
        </w:rPr>
        <w:t>the effectiveness</w:t>
      </w:r>
      <w:r w:rsidRPr="009B0448">
        <w:rPr>
          <w:rFonts w:ascii="Times New Roman" w:hAnsi="Times New Roman" w:cs="Times New Roman"/>
        </w:rPr>
        <w:t xml:space="preserve"> of the restoration activities (Higgs, 2005; Uprety </w:t>
      </w:r>
      <w:r w:rsidRPr="009B0448">
        <w:rPr>
          <w:rFonts w:ascii="Times New Roman" w:hAnsi="Times New Roman" w:cs="Times New Roman"/>
          <w:i/>
        </w:rPr>
        <w:t>et al.</w:t>
      </w:r>
      <w:r w:rsidRPr="009B0448">
        <w:rPr>
          <w:rFonts w:ascii="Times New Roman" w:hAnsi="Times New Roman" w:cs="Times New Roman"/>
        </w:rPr>
        <w:t xml:space="preserve">, 2012a). </w:t>
      </w:r>
    </w:p>
    <w:p w14:paraId="731D2C46" w14:textId="77777777" w:rsidR="009B0448" w:rsidRPr="009B0448" w:rsidRDefault="009B0448" w:rsidP="009B0448">
      <w:pPr>
        <w:spacing w:line="276" w:lineRule="auto"/>
        <w:jc w:val="both"/>
        <w:rPr>
          <w:rFonts w:ascii="Times New Roman" w:hAnsi="Times New Roman" w:cs="Times New Roman"/>
        </w:rPr>
      </w:pPr>
    </w:p>
    <w:p w14:paraId="4138747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lastRenderedPageBreak/>
        <w:t xml:space="preserve">For crop selection, indigenous and local communities have developed land management approaches that depend on monitoring changes in wild plant species composition, </w:t>
      </w:r>
      <w:r w:rsidRPr="009B0448">
        <w:rPr>
          <w:rFonts w:ascii="Times New Roman" w:hAnsi="Times New Roman" w:cs="Times New Roman"/>
          <w:noProof/>
        </w:rPr>
        <w:t>particularly</w:t>
      </w:r>
      <w:r w:rsidRPr="009B0448">
        <w:rPr>
          <w:rFonts w:ascii="Times New Roman" w:hAnsi="Times New Roman" w:cs="Times New Roman"/>
        </w:rPr>
        <w:t xml:space="preserve"> indicators of good soil quality. Farmers also use many species as indicators of poor soil condition, and as signs of land degradation. For example, local communities of Gadarif region in Sudan use the occurrence of species such as </w:t>
      </w:r>
      <w:r w:rsidRPr="009B0448">
        <w:rPr>
          <w:rFonts w:ascii="Times New Roman" w:hAnsi="Times New Roman" w:cs="Times New Roman"/>
          <w:i/>
        </w:rPr>
        <w:t>Striga hermonthica</w:t>
      </w:r>
      <w:r w:rsidRPr="009B0448">
        <w:rPr>
          <w:rFonts w:ascii="Times New Roman" w:hAnsi="Times New Roman" w:cs="Times New Roman"/>
        </w:rPr>
        <w:t xml:space="preserve">, </w:t>
      </w:r>
      <w:r w:rsidRPr="009B0448">
        <w:rPr>
          <w:rFonts w:ascii="Times New Roman" w:hAnsi="Times New Roman" w:cs="Times New Roman"/>
          <w:i/>
        </w:rPr>
        <w:t>Veronica sp.</w:t>
      </w:r>
      <w:r w:rsidRPr="009B0448">
        <w:rPr>
          <w:rFonts w:ascii="Times New Roman" w:hAnsi="Times New Roman" w:cs="Times New Roman"/>
        </w:rPr>
        <w:t xml:space="preserve">, </w:t>
      </w:r>
      <w:r w:rsidRPr="009B0448">
        <w:rPr>
          <w:rFonts w:ascii="Times New Roman" w:hAnsi="Times New Roman" w:cs="Times New Roman"/>
          <w:i/>
        </w:rPr>
        <w:t>Evolvulus alsinoides</w:t>
      </w:r>
      <w:r w:rsidRPr="009B0448">
        <w:rPr>
          <w:rFonts w:ascii="Times New Roman" w:hAnsi="Times New Roman" w:cs="Times New Roman"/>
        </w:rPr>
        <w:t xml:space="preserve">, </w:t>
      </w:r>
      <w:r w:rsidRPr="009B0448">
        <w:rPr>
          <w:rFonts w:ascii="Times New Roman" w:hAnsi="Times New Roman" w:cs="Times New Roman"/>
          <w:i/>
        </w:rPr>
        <w:t>Desmodium dichotomum</w:t>
      </w:r>
      <w:r w:rsidRPr="009B0448">
        <w:rPr>
          <w:rFonts w:ascii="Times New Roman" w:hAnsi="Times New Roman" w:cs="Times New Roman"/>
        </w:rPr>
        <w:t xml:space="preserve">, </w:t>
      </w:r>
      <w:r w:rsidRPr="009B0448">
        <w:rPr>
          <w:rFonts w:ascii="Times New Roman" w:hAnsi="Times New Roman" w:cs="Times New Roman"/>
          <w:i/>
        </w:rPr>
        <w:t>Sonchus cornutus</w:t>
      </w:r>
      <w:r w:rsidRPr="009B0448">
        <w:rPr>
          <w:rFonts w:ascii="Times New Roman" w:hAnsi="Times New Roman" w:cs="Times New Roman"/>
        </w:rPr>
        <w:t xml:space="preserve">, </w:t>
      </w:r>
      <w:r w:rsidRPr="009B0448">
        <w:rPr>
          <w:rFonts w:ascii="Times New Roman" w:hAnsi="Times New Roman" w:cs="Times New Roman"/>
          <w:i/>
        </w:rPr>
        <w:t>Sorghum arundinaceum</w:t>
      </w:r>
      <w:r w:rsidRPr="009B0448">
        <w:rPr>
          <w:rFonts w:ascii="Times New Roman" w:hAnsi="Times New Roman" w:cs="Times New Roman"/>
        </w:rPr>
        <w:t xml:space="preserve">, </w:t>
      </w:r>
      <w:r w:rsidRPr="009B0448">
        <w:rPr>
          <w:rFonts w:ascii="Times New Roman" w:hAnsi="Times New Roman" w:cs="Times New Roman"/>
          <w:i/>
        </w:rPr>
        <w:t>Ocimum basilicum</w:t>
      </w:r>
      <w:r w:rsidRPr="009B0448">
        <w:rPr>
          <w:rFonts w:ascii="Times New Roman" w:hAnsi="Times New Roman" w:cs="Times New Roman"/>
        </w:rPr>
        <w:t xml:space="preserve"> and </w:t>
      </w:r>
      <w:r w:rsidRPr="009B0448">
        <w:rPr>
          <w:rFonts w:ascii="Times New Roman" w:hAnsi="Times New Roman" w:cs="Times New Roman"/>
          <w:i/>
        </w:rPr>
        <w:t xml:space="preserve">Schizachyrium </w:t>
      </w:r>
      <w:r w:rsidRPr="009B0448">
        <w:rPr>
          <w:rFonts w:ascii="Times New Roman" w:hAnsi="Times New Roman" w:cs="Times New Roman"/>
        </w:rPr>
        <w:t xml:space="preserve">in the agricultural land as indicators of land degradation (Sulieman </w:t>
      </w:r>
      <w:r w:rsidRPr="009B0448">
        <w:rPr>
          <w:rFonts w:ascii="Times New Roman" w:hAnsi="Times New Roman" w:cs="Times New Roman"/>
          <w:i/>
        </w:rPr>
        <w:t>et al.</w:t>
      </w:r>
      <w:r w:rsidRPr="009B0448">
        <w:rPr>
          <w:rFonts w:ascii="Times New Roman" w:hAnsi="Times New Roman" w:cs="Times New Roman"/>
        </w:rPr>
        <w:t>, 2012). In Niger, the presence of certain grasses such as the kounkoumbara (</w:t>
      </w:r>
      <w:r w:rsidRPr="009B0448">
        <w:rPr>
          <w:rFonts w:ascii="Times New Roman" w:hAnsi="Times New Roman" w:cs="Times New Roman"/>
          <w:i/>
        </w:rPr>
        <w:t>Jacquemontia ovalifolius</w:t>
      </w:r>
      <w:r w:rsidRPr="009B0448">
        <w:rPr>
          <w:rFonts w:ascii="Times New Roman" w:hAnsi="Times New Roman" w:cs="Times New Roman"/>
        </w:rPr>
        <w:t>), and the Tsintya (</w:t>
      </w:r>
      <w:r w:rsidRPr="009B0448">
        <w:rPr>
          <w:rFonts w:ascii="Times New Roman" w:hAnsi="Times New Roman" w:cs="Times New Roman"/>
          <w:i/>
        </w:rPr>
        <w:t>Schoenfeldia gracilis</w:t>
      </w:r>
      <w:r w:rsidRPr="009B0448">
        <w:rPr>
          <w:rFonts w:ascii="Times New Roman" w:hAnsi="Times New Roman" w:cs="Times New Roman"/>
        </w:rPr>
        <w:t xml:space="preserve">) is considered a sign of poor soil condition (Moussa </w:t>
      </w:r>
      <w:r w:rsidRPr="009B0448">
        <w:rPr>
          <w:rFonts w:ascii="Times New Roman" w:hAnsi="Times New Roman" w:cs="Times New Roman"/>
          <w:i/>
        </w:rPr>
        <w:t>et al.</w:t>
      </w:r>
      <w:r w:rsidRPr="009B0448">
        <w:rPr>
          <w:rFonts w:ascii="Times New Roman" w:hAnsi="Times New Roman" w:cs="Times New Roman"/>
        </w:rPr>
        <w:t xml:space="preserve">, 2008). </w:t>
      </w:r>
    </w:p>
    <w:p w14:paraId="2DD8B699" w14:textId="77777777" w:rsidR="009B0448" w:rsidRPr="009B0448" w:rsidRDefault="009B0448" w:rsidP="009B0448">
      <w:pPr>
        <w:spacing w:line="276" w:lineRule="auto"/>
        <w:jc w:val="both"/>
        <w:rPr>
          <w:rFonts w:ascii="Times New Roman" w:hAnsi="Times New Roman" w:cs="Times New Roman"/>
        </w:rPr>
      </w:pPr>
    </w:p>
    <w:p w14:paraId="6DE1DC5A"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As a further example, farmers in Mpwapwa district of Tanzania rely on their traditional knowledge to determine soil quality, using a range of indicators such as soil colour and types of plants inhabiting the region. For </w:t>
      </w:r>
      <w:r w:rsidRPr="009B0448">
        <w:rPr>
          <w:rFonts w:ascii="Times New Roman" w:hAnsi="Times New Roman" w:cs="Times New Roman"/>
          <w:noProof/>
        </w:rPr>
        <w:t>example,</w:t>
      </w:r>
      <w:r w:rsidRPr="009B0448">
        <w:rPr>
          <w:rFonts w:ascii="Times New Roman" w:hAnsi="Times New Roman" w:cs="Times New Roman"/>
        </w:rPr>
        <w:t xml:space="preserve"> the occurrence of Mahata (</w:t>
      </w:r>
      <w:r w:rsidRPr="009B0448">
        <w:rPr>
          <w:rFonts w:ascii="Times New Roman" w:hAnsi="Times New Roman" w:cs="Times New Roman"/>
          <w:i/>
        </w:rPr>
        <w:t>Tragus berteronianus</w:t>
      </w:r>
      <w:r w:rsidRPr="009B0448">
        <w:rPr>
          <w:rFonts w:ascii="Times New Roman" w:hAnsi="Times New Roman" w:cs="Times New Roman"/>
        </w:rPr>
        <w:t>) in a specific area is an indicator of soil suitability for growing maize, while the presence of Mphangalile (</w:t>
      </w:r>
      <w:r w:rsidRPr="009B0448">
        <w:rPr>
          <w:rFonts w:ascii="Times New Roman" w:hAnsi="Times New Roman" w:cs="Times New Roman"/>
          <w:i/>
        </w:rPr>
        <w:t>Bidens lineoriloba</w:t>
      </w:r>
      <w:r w:rsidRPr="009B0448">
        <w:rPr>
          <w:rFonts w:ascii="Times New Roman" w:hAnsi="Times New Roman" w:cs="Times New Roman"/>
        </w:rPr>
        <w:t xml:space="preserve">) is an indicator that the soil is suitable for growing groundnuts (Shemdoe, 2017). Certain native plants in deserts are also used as indicators of soil fertility. Local inhabitants in northern Sinai in Egypt, for example, consider the occurrence of the grass </w:t>
      </w:r>
      <w:r w:rsidRPr="009B0448">
        <w:rPr>
          <w:rFonts w:ascii="Times New Roman" w:hAnsi="Times New Roman" w:cs="Times New Roman"/>
          <w:i/>
        </w:rPr>
        <w:t>Panicum turgidum</w:t>
      </w:r>
      <w:r w:rsidRPr="009B0448">
        <w:rPr>
          <w:rFonts w:ascii="Times New Roman" w:hAnsi="Times New Roman" w:cs="Times New Roman"/>
        </w:rPr>
        <w:t xml:space="preserve"> a sign of the fertility of the soil and they prefer to grow crops where the species occur (Halmy, 2016). In Niger, soils harbouring </w:t>
      </w:r>
      <w:r w:rsidRPr="009B0448">
        <w:rPr>
          <w:rFonts w:ascii="Times New Roman" w:hAnsi="Times New Roman" w:cs="Times New Roman"/>
          <w:noProof/>
        </w:rPr>
        <w:t>a high</w:t>
      </w:r>
      <w:r w:rsidRPr="009B0448">
        <w:rPr>
          <w:rFonts w:ascii="Times New Roman" w:hAnsi="Times New Roman" w:cs="Times New Roman"/>
        </w:rPr>
        <w:t xml:space="preserve"> diversity of woody and grass species such as the </w:t>
      </w:r>
      <w:r w:rsidRPr="009B0448">
        <w:rPr>
          <w:rFonts w:ascii="Times New Roman" w:hAnsi="Times New Roman" w:cs="Times New Roman"/>
          <w:i/>
        </w:rPr>
        <w:t>Guiera senegalensis</w:t>
      </w:r>
      <w:r w:rsidRPr="009B0448">
        <w:rPr>
          <w:rFonts w:ascii="Times New Roman" w:hAnsi="Times New Roman" w:cs="Times New Roman"/>
        </w:rPr>
        <w:t xml:space="preserve">, </w:t>
      </w:r>
      <w:r w:rsidRPr="009B0448">
        <w:rPr>
          <w:rFonts w:ascii="Times New Roman" w:hAnsi="Times New Roman" w:cs="Times New Roman"/>
          <w:i/>
        </w:rPr>
        <w:t>Piliostigma reticulatum</w:t>
      </w:r>
      <w:r w:rsidRPr="009B0448">
        <w:rPr>
          <w:rFonts w:ascii="Times New Roman" w:hAnsi="Times New Roman" w:cs="Times New Roman"/>
        </w:rPr>
        <w:t xml:space="preserve">, </w:t>
      </w:r>
      <w:r w:rsidRPr="009B0448">
        <w:rPr>
          <w:rFonts w:ascii="Times New Roman" w:hAnsi="Times New Roman" w:cs="Times New Roman"/>
          <w:i/>
        </w:rPr>
        <w:t>Andropogon gayanus</w:t>
      </w:r>
      <w:r w:rsidRPr="009B0448">
        <w:rPr>
          <w:rFonts w:ascii="Times New Roman" w:hAnsi="Times New Roman" w:cs="Times New Roman"/>
        </w:rPr>
        <w:t xml:space="preserve">, </w:t>
      </w:r>
      <w:r w:rsidRPr="009B0448">
        <w:rPr>
          <w:rFonts w:ascii="Times New Roman" w:hAnsi="Times New Roman" w:cs="Times New Roman"/>
          <w:i/>
        </w:rPr>
        <w:t>Cenchrus biflorus</w:t>
      </w:r>
      <w:r w:rsidRPr="009B0448">
        <w:rPr>
          <w:rFonts w:ascii="Times New Roman" w:hAnsi="Times New Roman" w:cs="Times New Roman"/>
        </w:rPr>
        <w:t xml:space="preserve">, is considered as fertile soil (Moussa </w:t>
      </w:r>
      <w:r w:rsidRPr="009B0448">
        <w:rPr>
          <w:rFonts w:ascii="Times New Roman" w:hAnsi="Times New Roman" w:cs="Times New Roman"/>
          <w:i/>
        </w:rPr>
        <w:t>et al.</w:t>
      </w:r>
      <w:r w:rsidRPr="009B0448">
        <w:rPr>
          <w:rFonts w:ascii="Times New Roman" w:hAnsi="Times New Roman" w:cs="Times New Roman"/>
        </w:rPr>
        <w:t>, 2008).</w:t>
      </w:r>
    </w:p>
    <w:p w14:paraId="0CCF618F" w14:textId="77777777" w:rsidR="009B0448" w:rsidRPr="009B0448" w:rsidRDefault="009B0448" w:rsidP="009B0448">
      <w:pPr>
        <w:spacing w:line="276" w:lineRule="auto"/>
        <w:jc w:val="both"/>
        <w:rPr>
          <w:rFonts w:ascii="Times New Roman" w:hAnsi="Times New Roman" w:cs="Times New Roman"/>
        </w:rPr>
      </w:pPr>
    </w:p>
    <w:p w14:paraId="0ADE5DFB" w14:textId="77777777" w:rsidR="009B0448" w:rsidRPr="009B0448" w:rsidRDefault="009B0448" w:rsidP="009B0448">
      <w:pPr>
        <w:spacing w:line="276" w:lineRule="auto"/>
        <w:jc w:val="both"/>
        <w:rPr>
          <w:rFonts w:ascii="Times New Roman" w:hAnsi="Times New Roman" w:cs="Times New Roman"/>
        </w:rPr>
      </w:pPr>
      <w:bookmarkStart w:id="87" w:name="_Toc501997889"/>
      <w:r w:rsidRPr="009B0448">
        <w:rPr>
          <w:rFonts w:ascii="Times New Roman" w:hAnsi="Times New Roman" w:cs="Times New Roman"/>
        </w:rPr>
        <w:t xml:space="preserve">For proper integration and dissemination of the ILK and traditional practices, comprehensive documentation of this body of knowledge is necessary (Bidak </w:t>
      </w:r>
      <w:r w:rsidRPr="009B0448">
        <w:rPr>
          <w:rFonts w:ascii="Times New Roman" w:hAnsi="Times New Roman" w:cs="Times New Roman"/>
          <w:i/>
        </w:rPr>
        <w:t>et al.</w:t>
      </w:r>
      <w:r w:rsidRPr="009B0448">
        <w:rPr>
          <w:rFonts w:ascii="Times New Roman" w:hAnsi="Times New Roman" w:cs="Times New Roman"/>
        </w:rPr>
        <w:t xml:space="preserve">, 2015; Halmy, 2016; Shemdoe, 2017). It is also important to translate the documented practices into national languages to make it accessible to researchers and decision-makers (Uprety </w:t>
      </w:r>
      <w:r w:rsidRPr="009B0448">
        <w:rPr>
          <w:rFonts w:ascii="Times New Roman" w:hAnsi="Times New Roman" w:cs="Times New Roman"/>
          <w:i/>
        </w:rPr>
        <w:t>et al.</w:t>
      </w:r>
      <w:r w:rsidRPr="009B0448">
        <w:rPr>
          <w:rFonts w:ascii="Times New Roman" w:hAnsi="Times New Roman" w:cs="Times New Roman"/>
        </w:rPr>
        <w:t xml:space="preserve">, 2012b; Shemdoe, 2017). </w:t>
      </w:r>
    </w:p>
    <w:p w14:paraId="0FC80E0C" w14:textId="77777777" w:rsidR="009B0448" w:rsidRPr="009B0448" w:rsidRDefault="009B0448" w:rsidP="00FA7185">
      <w:pPr>
        <w:pStyle w:val="Heading3"/>
        <w:widowControl w:val="0"/>
        <w:numPr>
          <w:ilvl w:val="1"/>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r w:rsidRPr="009B0448">
        <w:rPr>
          <w:rFonts w:eastAsia="Calibri" w:cs="Times New Roman"/>
          <w:szCs w:val="24"/>
        </w:rPr>
        <w:t xml:space="preserve"> </w:t>
      </w:r>
      <w:bookmarkStart w:id="88" w:name="_Toc519499822"/>
      <w:r w:rsidRPr="009B0448">
        <w:rPr>
          <w:rFonts w:eastAsia="Calibri" w:cs="Times New Roman"/>
          <w:szCs w:val="24"/>
        </w:rPr>
        <w:t>Geographical differences in production and contribution of ecosystem services</w:t>
      </w:r>
      <w:bookmarkEnd w:id="87"/>
      <w:bookmarkEnd w:id="88"/>
    </w:p>
    <w:p w14:paraId="08CFAE1E"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particular location of Africa has contributed to the environmental conditions shaping the geographic distribution and the high diversity of its habitats and biomes (Chapters 1 &amp; 4; SPM sections A &amp; B). Chapter 3 to follow provides particular details in this regard. </w:t>
      </w:r>
    </w:p>
    <w:p w14:paraId="22575A84" w14:textId="3C86687D" w:rsidR="009B0448" w:rsidRPr="009B0448" w:rsidRDefault="009B0448" w:rsidP="00FA7185">
      <w:pPr>
        <w:pStyle w:val="111"/>
        <w:numPr>
          <w:ilvl w:val="2"/>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89" w:name="_Toc501997890"/>
      <w:bookmarkStart w:id="90" w:name="_Toc519499823"/>
      <w:r w:rsidRPr="009B0448">
        <w:rPr>
          <w:rFonts w:cs="Times New Roman"/>
          <w:i w:val="0"/>
          <w:sz w:val="22"/>
          <w:szCs w:val="22"/>
        </w:rPr>
        <w:t xml:space="preserve">Regulating contributions according to </w:t>
      </w:r>
      <w:r w:rsidR="00B22D81">
        <w:rPr>
          <w:rFonts w:cs="Times New Roman"/>
          <w:i w:val="0"/>
          <w:sz w:val="22"/>
          <w:szCs w:val="22"/>
        </w:rPr>
        <w:t>subregion</w:t>
      </w:r>
      <w:r w:rsidRPr="009B0448">
        <w:rPr>
          <w:rFonts w:cs="Times New Roman"/>
          <w:i w:val="0"/>
          <w:sz w:val="22"/>
          <w:szCs w:val="22"/>
        </w:rPr>
        <w:t>s and units of analysis</w:t>
      </w:r>
      <w:bookmarkEnd w:id="89"/>
      <w:bookmarkEnd w:id="90"/>
    </w:p>
    <w:p w14:paraId="0C38347A" w14:textId="7E1430E2"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There are significant spatial differences with regard to regulating contributions of units of analysis (Table 2.10). Observed differences are closely linked to differences in spatial distribution of those ecosystems across African regions (MA, 2005; Chapter 3). The highest contribution of tropical and subtropical dry and humid forests to regulating nature’s contributions to people is in West and Central Africa. East Africa and adjacent islands and Southern Africa share comparable regulating nature’s contributions to people when we consider Mediterranean forests, woodlands, and shrubs (Chapter 3). The highest regulating nature’s contributions to people of mountainous regions are derived mainly from the highest mountainous areas in Africa, namely East Africa and, to some extent, West Africa (Chapter 3). Regulating nature’s contributions to people of tropical and subtropical savannas and grasslands is the highest in Southern Africa (Table 2.10). Their contribution to regulating nature’s contributions to people in Central and North Africa is comparably low. Overall, most of Africa’s </w:t>
      </w:r>
      <w:r w:rsidR="00B22D81">
        <w:rPr>
          <w:rFonts w:ascii="Times New Roman" w:hAnsi="Times New Roman" w:cs="Times New Roman"/>
        </w:rPr>
        <w:t>subregion</w:t>
      </w:r>
      <w:r w:rsidRPr="009B0448">
        <w:rPr>
          <w:rFonts w:ascii="Times New Roman" w:hAnsi="Times New Roman" w:cs="Times New Roman"/>
        </w:rPr>
        <w:t>s have some contribution to the regulating nature’s contributions to people, irrespective of the unit of analysis, with the exception of North Africa for tropical and subtropical dry and humid forests (Table 2.11).</w:t>
      </w:r>
    </w:p>
    <w:p w14:paraId="6341DA79" w14:textId="77777777" w:rsidR="009B0448" w:rsidRPr="009B0448" w:rsidRDefault="009B0448" w:rsidP="009B0448">
      <w:pPr>
        <w:spacing w:line="276" w:lineRule="auto"/>
        <w:jc w:val="both"/>
        <w:rPr>
          <w:rFonts w:ascii="Times New Roman" w:hAnsi="Times New Roman" w:cs="Times New Roman"/>
        </w:rPr>
      </w:pPr>
    </w:p>
    <w:p w14:paraId="70674FF6" w14:textId="261A8F8D"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lastRenderedPageBreak/>
        <w:t xml:space="preserve">Across the five </w:t>
      </w:r>
      <w:r w:rsidR="00B22D81">
        <w:rPr>
          <w:rFonts w:ascii="Times New Roman" w:hAnsi="Times New Roman" w:cs="Times New Roman"/>
        </w:rPr>
        <w:t>subregion</w:t>
      </w:r>
      <w:r w:rsidRPr="009B0448">
        <w:rPr>
          <w:rFonts w:ascii="Times New Roman" w:hAnsi="Times New Roman" w:cs="Times New Roman"/>
        </w:rPr>
        <w:t xml:space="preserve">s in Africa (North, West, Central, East and South), human influenced areas have no significant regulating contributions. Urban and semi-urban areas, and cultivated areas (mainly intensive agriculture and livestock–see Chapter 3) have generally negative effects on climate and ecosystems through their contribution to the soil, air and water pollution and greenhouse gases emission. However, as mentioned earlier, carbon sequestration on agricultural lands is possible through a range of soil management strategies (Kane </w:t>
      </w:r>
      <w:r w:rsidRPr="009B0448">
        <w:rPr>
          <w:rFonts w:ascii="Times New Roman" w:hAnsi="Times New Roman" w:cs="Times New Roman"/>
          <w:i/>
        </w:rPr>
        <w:t>et al.</w:t>
      </w:r>
      <w:r w:rsidRPr="009B0448">
        <w:rPr>
          <w:rFonts w:ascii="Times New Roman" w:hAnsi="Times New Roman" w:cs="Times New Roman"/>
        </w:rPr>
        <w:t>, 2015).</w:t>
      </w:r>
    </w:p>
    <w:p w14:paraId="467381CF" w14:textId="77777777" w:rsidR="009B0448" w:rsidRPr="009B0448" w:rsidRDefault="009B0448" w:rsidP="009B0448">
      <w:pPr>
        <w:spacing w:line="276" w:lineRule="auto"/>
        <w:jc w:val="both"/>
        <w:rPr>
          <w:rFonts w:ascii="Times New Roman" w:hAnsi="Times New Roman" w:cs="Times New Roman"/>
        </w:rPr>
      </w:pPr>
    </w:p>
    <w:p w14:paraId="5847BC5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Wetlands, including peat lands, mires, and bogs have good regulating contributions (flood moderation, climate regulation) respectively in Central Africa and East Africa (including the Great Lakes Region–see Chapter 3, and example in Box 2.2). Regulating contribution is moderate for West Africa wetlands, weak for Southern Africa and very weak for North Africa. Drylands and deserts, covering about 40% of the land of Northern Africa (MA, 2005), have a good contribution to carbon cycling and climate regulation while contributing moderately in West Africa, East Africa, and Southern Africa. Drylands store carbon at about the same rate as evergreen forests (Jaramillo </w:t>
      </w:r>
      <w:r w:rsidRPr="009B0448">
        <w:rPr>
          <w:rFonts w:ascii="Times New Roman" w:hAnsi="Times New Roman" w:cs="Times New Roman"/>
          <w:i/>
        </w:rPr>
        <w:t>et al.</w:t>
      </w:r>
      <w:r w:rsidRPr="009B0448">
        <w:rPr>
          <w:rFonts w:ascii="Times New Roman" w:hAnsi="Times New Roman" w:cs="Times New Roman"/>
        </w:rPr>
        <w:t xml:space="preserve">, 2003). In addition, deserts provide genetic resources in the form of many species adapted to aridity, excessive temperature, high salinity and other harsh condition. </w:t>
      </w:r>
    </w:p>
    <w:p w14:paraId="53111CC9" w14:textId="77777777" w:rsidR="009B0448" w:rsidRPr="009B0448" w:rsidRDefault="009B0448" w:rsidP="009B0448">
      <w:pPr>
        <w:spacing w:line="276" w:lineRule="auto"/>
        <w:jc w:val="both"/>
        <w:rPr>
          <w:rFonts w:ascii="Times New Roman" w:hAnsi="Times New Roman" w:cs="Times New Roman"/>
        </w:rPr>
      </w:pPr>
    </w:p>
    <w:tbl>
      <w:tblPr>
        <w:tblW w:w="0" w:type="dxa"/>
        <w:tblInd w:w="-10" w:type="dxa"/>
        <w:shd w:val="clear" w:color="auto" w:fill="F2F2F2" w:themeFill="background1" w:themeFillShade="F2"/>
        <w:tblLayout w:type="fixed"/>
        <w:tblLook w:val="0400" w:firstRow="0" w:lastRow="0" w:firstColumn="0" w:lastColumn="0" w:noHBand="0" w:noVBand="1"/>
      </w:tblPr>
      <w:tblGrid>
        <w:gridCol w:w="9072"/>
      </w:tblGrid>
      <w:tr w:rsidR="009B0448" w:rsidRPr="009B0448" w14:paraId="20503657" w14:textId="77777777" w:rsidTr="009B0448">
        <w:trPr>
          <w:trHeight w:val="2480"/>
        </w:trPr>
        <w:tc>
          <w:tcPr>
            <w:tcW w:w="9072"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hideMark/>
          </w:tcPr>
          <w:p w14:paraId="528A3A4A" w14:textId="77777777" w:rsidR="009B0448" w:rsidRPr="009B0448" w:rsidRDefault="009B0448">
            <w:pPr>
              <w:shd w:val="clear" w:color="auto" w:fill="F2F2F2" w:themeFill="background1" w:themeFillShade="F2"/>
              <w:spacing w:line="276" w:lineRule="auto"/>
              <w:rPr>
                <w:rFonts w:ascii="Times New Roman" w:hAnsi="Times New Roman" w:cs="Times New Roman"/>
                <w:b/>
              </w:rPr>
            </w:pPr>
            <w:r w:rsidRPr="009B0448">
              <w:rPr>
                <w:rFonts w:ascii="Times New Roman" w:hAnsi="Times New Roman" w:cs="Times New Roman"/>
                <w:b/>
              </w:rPr>
              <w:t>Box 2.2: Water purification through wetlands: Nakivubo Swamps, Uganda</w:t>
            </w:r>
          </w:p>
          <w:p w14:paraId="1BEAF89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The Nakivubo swamps are adjacent to Uganda's capital city, Kampala. The local government had proposed draining the swamps to make way for agriculture, but when a study revealed that this ecosystem was providing a valuable service by filtering organic waste and other effluent derived from Kampala, the proposal was discarded. The study indicated that a water-purification facility capable of performing the same service would cost several million US dollars to construct, and $2 million/year to maintain. In this case, the value of converting land for agriculture would be offset by the cost of lost sewage-treatment capacity. Direct investment to maintain the wetland was a cost-effective measure to uphold the purification service. This example demonstrates how detailed information and cost estimates can better inform planning decisions.</w:t>
            </w:r>
          </w:p>
        </w:tc>
      </w:tr>
    </w:tbl>
    <w:p w14:paraId="40416DE3" w14:textId="77777777" w:rsidR="009B0448" w:rsidRPr="009B0448" w:rsidRDefault="009B0448" w:rsidP="009B0448">
      <w:pPr>
        <w:spacing w:line="276" w:lineRule="auto"/>
        <w:jc w:val="both"/>
        <w:rPr>
          <w:rFonts w:ascii="Times New Roman" w:hAnsi="Times New Roman" w:cs="Times New Roman"/>
        </w:rPr>
      </w:pPr>
    </w:p>
    <w:p w14:paraId="292185D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Freshwater, Inland surface, Shelf ecosystems, Open ocean, Deep sea and Coastal areas are among instrumental ecosystems in Africa, with strong spatial variation regarding their regulating, material contributions and non-material contributions (Brown </w:t>
      </w:r>
      <w:r w:rsidRPr="009B0448">
        <w:rPr>
          <w:rFonts w:ascii="Times New Roman" w:hAnsi="Times New Roman" w:cs="Times New Roman"/>
          <w:i/>
        </w:rPr>
        <w:t>et al.</w:t>
      </w:r>
      <w:r w:rsidRPr="009B0448">
        <w:rPr>
          <w:rFonts w:ascii="Times New Roman" w:hAnsi="Times New Roman" w:cs="Times New Roman"/>
        </w:rPr>
        <w:t xml:space="preserve">, 2008, UNEP 2016). Because of their relatively wide distribution in East Africa and adjacent islands, wetlands (Chapter 3) and inland surface waters and water bodies/freshwater and shelf ecosystems (neritic and intertidal/littoral zone) provides excellent regulating contributions there, while moderate to weak contribution are observed in the other regions. </w:t>
      </w:r>
    </w:p>
    <w:p w14:paraId="061863EC" w14:textId="77777777" w:rsidR="009B0448" w:rsidRPr="009B0448" w:rsidRDefault="009B0448" w:rsidP="009B0448">
      <w:pPr>
        <w:spacing w:line="276" w:lineRule="auto"/>
        <w:jc w:val="both"/>
        <w:rPr>
          <w:rFonts w:ascii="Times New Roman" w:hAnsi="Times New Roman" w:cs="Times New Roman"/>
        </w:rPr>
      </w:pPr>
    </w:p>
    <w:p w14:paraId="70BE0DE7" w14:textId="77777777" w:rsidR="009B0448" w:rsidRPr="009B0448" w:rsidRDefault="009B0448" w:rsidP="009B0448">
      <w:pPr>
        <w:spacing w:line="276" w:lineRule="auto"/>
        <w:jc w:val="both"/>
        <w:rPr>
          <w:rFonts w:ascii="Times New Roman" w:eastAsia="Arial" w:hAnsi="Times New Roman" w:cs="Times New Roman"/>
        </w:rPr>
      </w:pPr>
      <w:r w:rsidRPr="009B0448">
        <w:rPr>
          <w:rFonts w:ascii="Times New Roman" w:hAnsi="Times New Roman" w:cs="Times New Roman"/>
        </w:rPr>
        <w:t xml:space="preserve">Deep sea areas of oceans constitute the so-called blue lungs of the planet, due to their highlighted role as global warming ‘regulator’. East Africa and adjacent islands, Southern Africa and West Africa are regions where this is mainly a factor. These regions contribute strongly to regulating contributions, as compared to the two other regions. </w:t>
      </w:r>
    </w:p>
    <w:p w14:paraId="46284776" w14:textId="77777777" w:rsidR="009B0448" w:rsidRPr="009B0448" w:rsidRDefault="009B0448" w:rsidP="009B0448">
      <w:pPr>
        <w:spacing w:line="276" w:lineRule="auto"/>
        <w:jc w:val="both"/>
        <w:rPr>
          <w:rFonts w:ascii="Times New Roman" w:eastAsia="Arial" w:hAnsi="Times New Roman" w:cs="Times New Roman"/>
        </w:rPr>
      </w:pPr>
    </w:p>
    <w:p w14:paraId="674EF86A" w14:textId="77777777" w:rsidR="00463527" w:rsidRDefault="00463527">
      <w:pPr>
        <w:rPr>
          <w:rFonts w:ascii="Times New Roman" w:hAnsi="Times New Roman" w:cs="Times New Roman"/>
          <w:b/>
        </w:rPr>
      </w:pPr>
      <w:r>
        <w:rPr>
          <w:rFonts w:ascii="Times New Roman" w:hAnsi="Times New Roman" w:cs="Times New Roman"/>
          <w:b/>
        </w:rPr>
        <w:br w:type="page"/>
      </w:r>
    </w:p>
    <w:p w14:paraId="124A4D1E" w14:textId="7B3625A4" w:rsidR="009B0448" w:rsidRPr="009B0448" w:rsidRDefault="009B0448" w:rsidP="009B0448">
      <w:pPr>
        <w:spacing w:line="276" w:lineRule="auto"/>
        <w:rPr>
          <w:rFonts w:ascii="Times New Roman" w:hAnsi="Times New Roman" w:cs="Times New Roman"/>
        </w:rPr>
      </w:pPr>
      <w:r w:rsidRPr="009B0448">
        <w:rPr>
          <w:rFonts w:ascii="Times New Roman" w:hAnsi="Times New Roman" w:cs="Times New Roman"/>
          <w:b/>
        </w:rPr>
        <w:lastRenderedPageBreak/>
        <w:t>Table 2.11</w:t>
      </w:r>
      <w:r w:rsidRPr="009B0448">
        <w:rPr>
          <w:rFonts w:ascii="Times New Roman" w:hAnsi="Times New Roman" w:cs="Times New Roman"/>
        </w:rPr>
        <w:t>. Regulating nature’s contributions to people according to subregions and ecosystem units of analysis.</w:t>
      </w:r>
    </w:p>
    <w:p w14:paraId="477D23CE" w14:textId="2BB990B6" w:rsidR="009B0448" w:rsidRPr="009B0448" w:rsidRDefault="009B0448" w:rsidP="009B0448">
      <w:pPr>
        <w:spacing w:line="276" w:lineRule="auto"/>
        <w:rPr>
          <w:rFonts w:ascii="Times New Roman" w:hAnsi="Times New Roman" w:cs="Times New Roman"/>
        </w:rPr>
      </w:pPr>
      <w:r w:rsidRPr="009B0448">
        <w:rPr>
          <w:rFonts w:ascii="Times New Roman" w:hAnsi="Times New Roman" w:cs="Times New Roman"/>
          <w:noProof/>
          <w:lang w:eastAsia="en-GB"/>
        </w:rPr>
        <w:drawing>
          <wp:inline distT="0" distB="0" distL="0" distR="0" wp14:anchorId="2D802C58" wp14:editId="60D37843">
            <wp:extent cx="5737860" cy="777240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737860" cy="7772400"/>
                    </a:xfrm>
                    <a:prstGeom prst="rect">
                      <a:avLst/>
                    </a:prstGeom>
                    <a:noFill/>
                    <a:ln>
                      <a:noFill/>
                    </a:ln>
                  </pic:spPr>
                </pic:pic>
              </a:graphicData>
            </a:graphic>
          </wp:inline>
        </w:drawing>
      </w:r>
    </w:p>
    <w:p w14:paraId="26D3809C" w14:textId="77777777" w:rsidR="009B0448" w:rsidRPr="009B0448" w:rsidRDefault="009B0448" w:rsidP="009B0448">
      <w:pPr>
        <w:spacing w:line="276" w:lineRule="auto"/>
        <w:rPr>
          <w:rFonts w:ascii="Times New Roman" w:hAnsi="Times New Roman" w:cs="Times New Roman"/>
          <w:b/>
        </w:rPr>
      </w:pPr>
    </w:p>
    <w:p w14:paraId="1AF9B44B" w14:textId="33CCCA66" w:rsidR="009B0448" w:rsidRPr="009B0448" w:rsidRDefault="009B0448" w:rsidP="00FA7185">
      <w:pPr>
        <w:pStyle w:val="11"/>
        <w:numPr>
          <w:ilvl w:val="2"/>
          <w:numId w:val="15"/>
        </w:numPr>
        <w:pBdr>
          <w:top w:val="none" w:sz="0" w:space="0" w:color="auto"/>
          <w:left w:val="none" w:sz="0" w:space="0" w:color="auto"/>
          <w:bottom w:val="none" w:sz="0" w:space="0" w:color="auto"/>
          <w:right w:val="none" w:sz="0" w:space="0" w:color="auto"/>
          <w:between w:val="none" w:sz="0" w:space="0" w:color="auto"/>
        </w:pBdr>
        <w:spacing w:before="120" w:after="100" w:afterAutospacing="1" w:line="276" w:lineRule="auto"/>
        <w:ind w:left="709" w:hanging="709"/>
        <w:rPr>
          <w:rFonts w:cs="Times New Roman"/>
          <w:sz w:val="22"/>
          <w:szCs w:val="22"/>
        </w:rPr>
      </w:pPr>
      <w:bookmarkStart w:id="91" w:name="_Toc501997891"/>
      <w:bookmarkStart w:id="92" w:name="_Toc519499824"/>
      <w:r w:rsidRPr="009B0448">
        <w:rPr>
          <w:rFonts w:cs="Times New Roman"/>
          <w:sz w:val="22"/>
          <w:szCs w:val="22"/>
        </w:rPr>
        <w:lastRenderedPageBreak/>
        <w:t xml:space="preserve">Material contributions according to </w:t>
      </w:r>
      <w:r w:rsidR="00B22D81">
        <w:rPr>
          <w:rFonts w:cs="Times New Roman"/>
          <w:sz w:val="22"/>
          <w:szCs w:val="22"/>
        </w:rPr>
        <w:t>subregion</w:t>
      </w:r>
      <w:r w:rsidRPr="009B0448">
        <w:rPr>
          <w:rFonts w:cs="Times New Roman"/>
          <w:sz w:val="22"/>
          <w:szCs w:val="22"/>
        </w:rPr>
        <w:t>s and units of analysis</w:t>
      </w:r>
      <w:bookmarkEnd w:id="91"/>
      <w:bookmarkEnd w:id="92"/>
    </w:p>
    <w:p w14:paraId="78866FFE"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material contribution is the highest for West, East Africa and adjacent islands, when tropical and subtropical dry and humid forests are taken into account (MA, 2005; Box 2.3; Chapter 3). This is further observed for woodlands, shrubs and Tropical and subtropical savannas and grasslands. However, a moderate and low contribution is noticed for these four major ecosystems when we consider tundra and high mountain habitats (Table 2.12). North Africa shows globally the same tendency for all units of analysis, and has a relatively low contribution to material services. </w:t>
      </w:r>
    </w:p>
    <w:p w14:paraId="58835FCE" w14:textId="77777777" w:rsidR="009B0448" w:rsidRPr="009B0448" w:rsidRDefault="009B0448" w:rsidP="009B0448">
      <w:pPr>
        <w:spacing w:line="276" w:lineRule="auto"/>
        <w:jc w:val="both"/>
        <w:rPr>
          <w:rFonts w:ascii="Times New Roman" w:eastAsia="Times New Roman" w:hAnsi="Times New Roman" w:cs="Times New Roman"/>
        </w:rPr>
      </w:pPr>
    </w:p>
    <w:p w14:paraId="42FF377B" w14:textId="5446643F"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53CDD1DC" wp14:editId="4AF92D29">
                <wp:extent cx="5715000" cy="1784985"/>
                <wp:effectExtent l="9525" t="9525" r="9525" b="5715"/>
                <wp:docPr id="200"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1784985"/>
                        </a:xfrm>
                        <a:prstGeom prst="rect">
                          <a:avLst/>
                        </a:prstGeom>
                        <a:solidFill>
                          <a:schemeClr val="bg1">
                            <a:lumMod val="95000"/>
                            <a:lumOff val="0"/>
                            <a:alpha val="49019"/>
                          </a:schemeClr>
                        </a:solidFill>
                        <a:ln w="9525">
                          <a:solidFill>
                            <a:schemeClr val="tx1">
                              <a:lumMod val="100000"/>
                              <a:lumOff val="0"/>
                            </a:schemeClr>
                          </a:solidFill>
                          <a:round/>
                          <a:headEnd/>
                          <a:tailEnd/>
                        </a:ln>
                      </wps:spPr>
                      <wps:txbx>
                        <w:txbxContent>
                          <w:p w14:paraId="1E633BB4" w14:textId="77777777" w:rsidR="00BC0CFA" w:rsidRDefault="00BC0CFA" w:rsidP="009B0448">
                            <w:pPr>
                              <w:spacing w:after="100" w:afterAutospacing="1"/>
                              <w:jc w:val="both"/>
                              <w:rPr>
                                <w:rFonts w:ascii="Times New Roman" w:eastAsia="Times New Roman" w:hAnsi="Times New Roman" w:cs="Times New Roman"/>
                                <w:b/>
                              </w:rPr>
                            </w:pPr>
                            <w:r>
                              <w:rPr>
                                <w:rFonts w:ascii="Times New Roman" w:eastAsia="Times New Roman" w:hAnsi="Times New Roman" w:cs="Times New Roman"/>
                                <w:b/>
                              </w:rPr>
                              <w:t>Box 2.3: Case study of material contribution in Miombo and Mopane (Malawi)</w:t>
                            </w:r>
                          </w:p>
                          <w:p w14:paraId="5FF62C46" w14:textId="77777777" w:rsidR="00BC0CFA" w:rsidRDefault="00BC0CFA" w:rsidP="009B0448">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 xml:space="preserve">Miombo and Mopane woodlands are the dominant land cover in southern Africa. Nature’s contributions to people from these woodlands support the livelihoods of 100 million rural people and 50 million urban dwellers, and others beyond the region. Material contributions to rural livelihoods are estimated to $9 ± 2 billion/year; 76% of energy used in the region is derived from woodlands; and traded woodfuels have an annual value of $780 million. Woodlands harbour a unique and diverse flora and fauna that provides spiritual succour and attracts tourists (Ryan </w:t>
                            </w:r>
                            <w:r>
                              <w:rPr>
                                <w:rFonts w:ascii="Times New Roman" w:eastAsia="Times New Roman" w:hAnsi="Times New Roman" w:cs="Times New Roman"/>
                                <w:i/>
                              </w:rPr>
                              <w:t>et al.</w:t>
                            </w:r>
                            <w:r>
                              <w:rPr>
                                <w:rFonts w:ascii="Times New Roman" w:eastAsia="Times New Roman" w:hAnsi="Times New Roman" w:cs="Times New Roman"/>
                              </w:rPr>
                              <w:t>, 2016).</w:t>
                            </w:r>
                          </w:p>
                        </w:txbxContent>
                      </wps:txbx>
                      <wps:bodyPr rot="0" vert="horz" wrap="square" lIns="91425" tIns="45698" rIns="91425" bIns="45698" anchor="t" anchorCtr="0" upright="1">
                        <a:noAutofit/>
                      </wps:bodyPr>
                    </wps:wsp>
                  </a:graphicData>
                </a:graphic>
              </wp:inline>
            </w:drawing>
          </mc:Choice>
          <mc:Fallback>
            <w:pict>
              <v:rect w14:anchorId="53CDD1DC" id="Rectangle 200" o:spid="_x0000_s1032" style="width:450pt;height:14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" fillcolor="#f2f2f2 [3052]" strokecolor="black [3213]">
                <v:fill opacity="32125f"/>
                <v:stroke joinstyle="round"/>
                <v:textbox inset="2.53958mm,1.2694mm,2.53958mm,1.2694mm">
                  <w:txbxContent>
                    <w:p w14:paraId="1E633BB4" w14:textId="77777777" w:rsidR="00BC0CFA" w:rsidRDefault="00BC0CFA" w:rsidP="009B0448">
                      <w:pPr>
                        <w:spacing w:after="100" w:afterAutospacing="1"/>
                        <w:jc w:val="both"/>
                        <w:rPr>
                          <w:rFonts w:ascii="Times New Roman" w:eastAsia="Times New Roman" w:hAnsi="Times New Roman" w:cs="Times New Roman"/>
                          <w:b/>
                        </w:rPr>
                      </w:pPr>
                      <w:r>
                        <w:rPr>
                          <w:rFonts w:ascii="Times New Roman" w:eastAsia="Times New Roman" w:hAnsi="Times New Roman" w:cs="Times New Roman"/>
                          <w:b/>
                        </w:rPr>
                        <w:t>Box 2.3: Case study of material contribution in Miombo and Mopane (Malawi)</w:t>
                      </w:r>
                    </w:p>
                    <w:p w14:paraId="5FF62C46" w14:textId="77777777" w:rsidR="00BC0CFA" w:rsidRDefault="00BC0CFA" w:rsidP="009B0448">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 xml:space="preserve">Miombo and Mopane woodlands are the dominant land cover in southern Africa. Nature’s contributions to people from these woodlands support the livelihoods of 100 million rural people and 50 million urban dwellers, and others beyond the region. Material contributions to rural livelihoods are estimated to $9 ± 2 billion/year; 76% of energy used in the region is derived from woodlands; and traded woodfuels have an annual value of $780 million. Woodlands harbour a unique and diverse flora and fauna that provides spiritual succour and attracts tourists (Ryan </w:t>
                      </w:r>
                      <w:r>
                        <w:rPr>
                          <w:rFonts w:ascii="Times New Roman" w:eastAsia="Times New Roman" w:hAnsi="Times New Roman" w:cs="Times New Roman"/>
                          <w:i/>
                        </w:rPr>
                        <w:t>et al.</w:t>
                      </w:r>
                      <w:r>
                        <w:rPr>
                          <w:rFonts w:ascii="Times New Roman" w:eastAsia="Times New Roman" w:hAnsi="Times New Roman" w:cs="Times New Roman"/>
                        </w:rPr>
                        <w:t>, 2016).</w:t>
                      </w:r>
                    </w:p>
                  </w:txbxContent>
                </v:textbox>
                <w10:anchorlock/>
              </v:rect>
            </w:pict>
          </mc:Fallback>
        </mc:AlternateContent>
      </w:r>
    </w:p>
    <w:p w14:paraId="540034C3" w14:textId="77777777" w:rsidR="009B0448" w:rsidRPr="009B0448" w:rsidRDefault="009B0448" w:rsidP="009B0448">
      <w:pPr>
        <w:spacing w:line="276" w:lineRule="auto"/>
        <w:jc w:val="both"/>
        <w:rPr>
          <w:rFonts w:ascii="Times New Roman" w:eastAsia="Times New Roman" w:hAnsi="Times New Roman" w:cs="Times New Roman"/>
        </w:rPr>
      </w:pPr>
    </w:p>
    <w:p w14:paraId="26F4F6D5"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Regardless of the region, urban and semi-urban areas have very weak to no material contribution in term of provisioning ecosystem services (Chapter 3). For West, East, and Southern regions of Africa, cultivated areas have good material contribution through provisioning of biofuel crops, animal waste, fuel wood, agricultural residue pellets, and food from domesticated organisms, amongst others. In regions of African Great Lake (East Africa and adjacent islands and Central Africa) and in West Africa, wetlands, peatlands, mires, </w:t>
      </w:r>
      <w:r w:rsidRPr="009B0448">
        <w:rPr>
          <w:rFonts w:ascii="Times New Roman" w:eastAsia="Times New Roman" w:hAnsi="Times New Roman" w:cs="Times New Roman"/>
          <w:noProof/>
        </w:rPr>
        <w:t>and</w:t>
      </w:r>
      <w:r w:rsidRPr="009B0448">
        <w:rPr>
          <w:rFonts w:ascii="Times New Roman" w:eastAsia="Times New Roman" w:hAnsi="Times New Roman" w:cs="Times New Roman"/>
        </w:rPr>
        <w:t xml:space="preserve"> bogs have excellent contribution through provisioning of drinking water, irrigation water, hydro-power, fishes, minerals, </w:t>
      </w:r>
      <w:r w:rsidRPr="009B0448">
        <w:rPr>
          <w:rFonts w:ascii="Times New Roman" w:eastAsia="Times New Roman" w:hAnsi="Times New Roman" w:cs="Times New Roman"/>
          <w:noProof/>
        </w:rPr>
        <w:t>and</w:t>
      </w:r>
      <w:r w:rsidRPr="009B0448">
        <w:rPr>
          <w:rFonts w:ascii="Times New Roman" w:eastAsia="Times New Roman" w:hAnsi="Times New Roman" w:cs="Times New Roman"/>
        </w:rPr>
        <w:t xml:space="preserve"> fuels (Upton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Drylands and desert have </w:t>
      </w:r>
      <w:r w:rsidRPr="009B0448">
        <w:rPr>
          <w:rFonts w:ascii="Times New Roman" w:eastAsia="Times New Roman" w:hAnsi="Times New Roman" w:cs="Times New Roman"/>
          <w:noProof/>
        </w:rPr>
        <w:t>a low</w:t>
      </w:r>
      <w:r w:rsidRPr="009B0448">
        <w:rPr>
          <w:rFonts w:ascii="Times New Roman" w:eastAsia="Times New Roman" w:hAnsi="Times New Roman" w:cs="Times New Roman"/>
        </w:rPr>
        <w:t xml:space="preserve"> material contribution in West, East, </w:t>
      </w:r>
      <w:r w:rsidRPr="009B0448">
        <w:rPr>
          <w:rFonts w:ascii="Times New Roman" w:eastAsia="Times New Roman" w:hAnsi="Times New Roman" w:cs="Times New Roman"/>
          <w:noProof/>
        </w:rPr>
        <w:t>and</w:t>
      </w:r>
      <w:r w:rsidRPr="009B0448">
        <w:rPr>
          <w:rFonts w:ascii="Times New Roman" w:eastAsia="Times New Roman" w:hAnsi="Times New Roman" w:cs="Times New Roman"/>
        </w:rPr>
        <w:t xml:space="preserve"> Southern </w:t>
      </w:r>
      <w:r w:rsidRPr="009B0448">
        <w:rPr>
          <w:rFonts w:ascii="Times New Roman" w:eastAsia="Times New Roman" w:hAnsi="Times New Roman" w:cs="Times New Roman"/>
          <w:noProof/>
        </w:rPr>
        <w:t>Africa</w:t>
      </w:r>
      <w:r w:rsidRPr="009B0448">
        <w:rPr>
          <w:rFonts w:ascii="Times New Roman" w:eastAsia="Times New Roman" w:hAnsi="Times New Roman" w:cs="Times New Roman"/>
        </w:rPr>
        <w:t xml:space="preserve"> while having moderate material contribution through provisioning food, fibre, forage, medicinal plants, wood fuel and biochemical; fresh water; hydrocarbons (oil and gas); metals and metallic minerals; precious minerals etc.</w:t>
      </w:r>
    </w:p>
    <w:p w14:paraId="1EAE02A0" w14:textId="77777777" w:rsidR="009B0448" w:rsidRPr="009B0448" w:rsidRDefault="009B0448" w:rsidP="009B0448">
      <w:pPr>
        <w:spacing w:line="276" w:lineRule="auto"/>
        <w:jc w:val="both"/>
        <w:rPr>
          <w:rFonts w:ascii="Times New Roman" w:eastAsia="Times New Roman" w:hAnsi="Times New Roman" w:cs="Times New Roman"/>
        </w:rPr>
      </w:pPr>
    </w:p>
    <w:p w14:paraId="14A78546"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Freshwater, brackish and marine contributions are well distributed in East Africa and adjacent islands (</w:t>
      </w:r>
      <w:hyperlink r:id="rId401" w:history="1">
        <w:r w:rsidRPr="009B0448">
          <w:rPr>
            <w:rStyle w:val="Hyperlink"/>
            <w:rFonts w:ascii="Times New Roman" w:hAnsi="Times New Roman" w:cs="Times New Roman"/>
          </w:rPr>
          <w:t>http://www.zonu.com/fullsize-en/2009-11-07-10918/African-Wetlands.html</w:t>
        </w:r>
      </w:hyperlink>
      <w:r w:rsidRPr="009B0448">
        <w:rPr>
          <w:rFonts w:ascii="Times New Roman" w:eastAsia="Times New Roman" w:hAnsi="Times New Roman" w:cs="Times New Roman"/>
        </w:rPr>
        <w:t xml:space="preserve">; Chapter 3), where they strongly contribute to material contributions. In Central Africa and West Africa, their contribution is moderate, while weak in Southern Africa and North Africa, with the exception of the contributions from the Nile River to the livelihood of the people in Egypt and Sudan. Similar patterns are observed for inland surface waters and water bodies/freshwater contributions. </w:t>
      </w:r>
    </w:p>
    <w:p w14:paraId="79B09D67" w14:textId="77777777" w:rsidR="009B0448" w:rsidRPr="009B0448" w:rsidRDefault="009B0448" w:rsidP="009B0448">
      <w:pPr>
        <w:spacing w:line="276" w:lineRule="auto"/>
        <w:jc w:val="both"/>
        <w:rPr>
          <w:rFonts w:ascii="Times New Roman" w:eastAsia="Times New Roman" w:hAnsi="Times New Roman" w:cs="Times New Roman"/>
        </w:rPr>
      </w:pPr>
    </w:p>
    <w:p w14:paraId="2F4275B0" w14:textId="77777777" w:rsidR="00463527" w:rsidRDefault="00463527">
      <w:pPr>
        <w:rPr>
          <w:rFonts w:ascii="Times New Roman" w:hAnsi="Times New Roman" w:cs="Times New Roman"/>
          <w:b/>
        </w:rPr>
      </w:pPr>
      <w:r>
        <w:rPr>
          <w:rFonts w:ascii="Times New Roman" w:hAnsi="Times New Roman" w:cs="Times New Roman"/>
          <w:b/>
        </w:rPr>
        <w:br w:type="page"/>
      </w:r>
    </w:p>
    <w:p w14:paraId="0793637F" w14:textId="5B9CF3D1" w:rsidR="009B0448" w:rsidRPr="009B0448" w:rsidRDefault="009B0448" w:rsidP="009B0448">
      <w:pPr>
        <w:widowControl w:val="0"/>
        <w:spacing w:line="276" w:lineRule="auto"/>
        <w:rPr>
          <w:rFonts w:ascii="Times New Roman" w:hAnsi="Times New Roman" w:cs="Times New Roman"/>
        </w:rPr>
      </w:pPr>
      <w:r w:rsidRPr="009B0448">
        <w:rPr>
          <w:rFonts w:ascii="Times New Roman" w:hAnsi="Times New Roman" w:cs="Times New Roman"/>
          <w:b/>
        </w:rPr>
        <w:lastRenderedPageBreak/>
        <w:t>Table 2.12:</w:t>
      </w:r>
      <w:r w:rsidRPr="009B0448">
        <w:rPr>
          <w:rFonts w:ascii="Times New Roman" w:hAnsi="Times New Roman" w:cs="Times New Roman"/>
        </w:rPr>
        <w:t xml:space="preserve"> Material nature’s contributions to people according to subregions and ecosystem units of analysis</w:t>
      </w:r>
    </w:p>
    <w:p w14:paraId="3C5CA1FB" w14:textId="78C19A52" w:rsidR="009B0448" w:rsidRPr="009B0448" w:rsidRDefault="009B0448" w:rsidP="009B0448">
      <w:pPr>
        <w:widowControl w:val="0"/>
        <w:spacing w:line="276" w:lineRule="auto"/>
        <w:rPr>
          <w:rFonts w:ascii="Times New Roman" w:hAnsi="Times New Roman" w:cs="Times New Roman"/>
        </w:rPr>
      </w:pPr>
      <w:r w:rsidRPr="009B0448">
        <w:rPr>
          <w:rFonts w:ascii="Times New Roman" w:hAnsi="Times New Roman" w:cs="Times New Roman"/>
          <w:noProof/>
          <w:lang w:eastAsia="en-GB"/>
        </w:rPr>
        <w:drawing>
          <wp:inline distT="0" distB="0" distL="0" distR="0" wp14:anchorId="7A2370D6" wp14:editId="4EA706ED">
            <wp:extent cx="5730240" cy="7848600"/>
            <wp:effectExtent l="0" t="0" r="381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30240" cy="7848600"/>
                    </a:xfrm>
                    <a:prstGeom prst="rect">
                      <a:avLst/>
                    </a:prstGeom>
                    <a:noFill/>
                    <a:ln>
                      <a:noFill/>
                    </a:ln>
                  </pic:spPr>
                </pic:pic>
              </a:graphicData>
            </a:graphic>
          </wp:inline>
        </w:drawing>
      </w:r>
    </w:p>
    <w:p w14:paraId="48BEDF6B" w14:textId="77777777" w:rsidR="009B0448" w:rsidRPr="009B0448" w:rsidRDefault="009B0448" w:rsidP="009B0448">
      <w:pPr>
        <w:widowControl w:val="0"/>
        <w:spacing w:line="276" w:lineRule="auto"/>
        <w:rPr>
          <w:rFonts w:ascii="Times New Roman" w:hAnsi="Times New Roman" w:cs="Times New Roman"/>
        </w:rPr>
      </w:pPr>
      <w:bookmarkStart w:id="93" w:name="_Toc501997892"/>
    </w:p>
    <w:p w14:paraId="5D8DDF6A" w14:textId="31FBD269" w:rsidR="009B0448" w:rsidRPr="009B0448" w:rsidRDefault="009B0448" w:rsidP="00FA7185">
      <w:pPr>
        <w:pStyle w:val="111"/>
        <w:numPr>
          <w:ilvl w:val="2"/>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94" w:name="_Toc519499825"/>
      <w:r w:rsidRPr="009B0448">
        <w:rPr>
          <w:rFonts w:cs="Times New Roman"/>
          <w:i w:val="0"/>
          <w:sz w:val="22"/>
          <w:szCs w:val="22"/>
        </w:rPr>
        <w:lastRenderedPageBreak/>
        <w:t xml:space="preserve">Non-material nature’s contributions to people according to </w:t>
      </w:r>
      <w:r w:rsidR="00B22D81">
        <w:rPr>
          <w:rFonts w:cs="Times New Roman"/>
          <w:i w:val="0"/>
          <w:sz w:val="22"/>
          <w:szCs w:val="22"/>
        </w:rPr>
        <w:t>subregion</w:t>
      </w:r>
      <w:r w:rsidRPr="009B0448">
        <w:rPr>
          <w:rFonts w:cs="Times New Roman"/>
          <w:i w:val="0"/>
          <w:sz w:val="22"/>
          <w:szCs w:val="22"/>
        </w:rPr>
        <w:t>s and units of analysis</w:t>
      </w:r>
      <w:bookmarkEnd w:id="93"/>
      <w:bookmarkEnd w:id="94"/>
    </w:p>
    <w:p w14:paraId="26C0D3A7"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Non-material contributions refer to contribution to people’s subjective or psychological quality of life, individually and collectively as defined in the update on the classification of nature’s contributions to people by the IPBES (</w:t>
      </w:r>
      <w:r w:rsidRPr="009B0448">
        <w:rPr>
          <w:rFonts w:ascii="Times New Roman" w:hAnsi="Times New Roman" w:cs="Times New Roman"/>
        </w:rPr>
        <w:t>IPBES/5/INF/24).</w:t>
      </w:r>
      <w:r w:rsidRPr="009B0448">
        <w:rPr>
          <w:rFonts w:ascii="Times New Roman" w:eastAsia="Times New Roman" w:hAnsi="Times New Roman" w:cs="Times New Roman"/>
        </w:rPr>
        <w:t xml:space="preserve"> West and Central Africa show the highest value for non-material contributions, especially for tropical and subtropical dry and humid forests. For North Africa, this does not apply for most biomes, except for Mediterranean forests, woodlands, and shrub. Eastern, Southern, and Central Africa, on the other hand, show high contribution for non-material services as regards tropical and subtropical savannas and grasslands (Table 2.12). Importance of non-material provisions in sustaining remaining forests has been reported (UNEP, 2016). Neglecting cultural values and services in the design of interventions can produce dire unintended consequences and can impede the achievement of program goals. For example, West (2006) documented how marketing cultural forest goods in Papua New Guinea, an economic-development strategy to offset the consequences of conservation interventions, overlooked the numerous ways in which local peoples used the land and how wildlife contributed to their sociocultural system (Chan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2012).</w:t>
      </w:r>
    </w:p>
    <w:p w14:paraId="4E8487F5" w14:textId="77777777" w:rsidR="009B0448" w:rsidRPr="009B0448" w:rsidRDefault="009B0448" w:rsidP="009B0448">
      <w:pPr>
        <w:spacing w:line="276" w:lineRule="auto"/>
        <w:jc w:val="both"/>
        <w:rPr>
          <w:rFonts w:ascii="Times New Roman" w:eastAsia="Times New Roman" w:hAnsi="Times New Roman" w:cs="Times New Roman"/>
        </w:rPr>
      </w:pPr>
    </w:p>
    <w:p w14:paraId="4D60971F"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For all regions of Africa, urban and semi-urban could have a very low contribution in term of non-material services (Chapter 3). With regards to cultivated areas, they have a moderate non-material contribution. These areas are also of high interest to researchers. In terms of wetlands, peatlands, mires, and bogs, good non material contribution is evident, especially in West Africa, Southern Africa, Central Africa and East Africa and adjacent islands, where they represent important sites for cultural activities (Adams, 1993; Verschuuren, 2010), for eco-tourism (Crisman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2001) and for research.</w:t>
      </w:r>
    </w:p>
    <w:p w14:paraId="0D92674B" w14:textId="77777777" w:rsidR="009B0448" w:rsidRPr="009B0448" w:rsidRDefault="009B0448" w:rsidP="009B0448">
      <w:pPr>
        <w:spacing w:line="276" w:lineRule="auto"/>
        <w:jc w:val="both"/>
        <w:rPr>
          <w:rFonts w:ascii="Times New Roman" w:eastAsia="Times New Roman" w:hAnsi="Times New Roman" w:cs="Times New Roman"/>
        </w:rPr>
      </w:pPr>
    </w:p>
    <w:p w14:paraId="4491525B"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Apart from North Africa, where drylands and deserts are culturally integrated (Davis, 2004), these biomes have a low non material contribution in the other regions of Africa. Certain communities, particularly in North Africa, have lived in deserts for millennia. These communities ranged in their activities from hunter-gatherers, agriculture, and pastoralism. In Africa, deserts have contributed extensively to global culture, traditions and the body of scientific knowledge (Ezcurra, 2006). Deserts provide opportunities for spiritual and recreational contributions. </w:t>
      </w:r>
    </w:p>
    <w:p w14:paraId="16114A0C" w14:textId="77777777" w:rsidR="009B0448" w:rsidRPr="009B0448" w:rsidRDefault="009B0448" w:rsidP="009B0448">
      <w:pPr>
        <w:spacing w:line="276" w:lineRule="auto"/>
        <w:jc w:val="both"/>
        <w:rPr>
          <w:rFonts w:ascii="Times New Roman" w:hAnsi="Times New Roman" w:cs="Times New Roman"/>
        </w:rPr>
      </w:pPr>
    </w:p>
    <w:p w14:paraId="40B17E80" w14:textId="77777777" w:rsidR="00463527" w:rsidRDefault="00463527">
      <w:pPr>
        <w:rPr>
          <w:rFonts w:ascii="Times New Roman" w:hAnsi="Times New Roman" w:cs="Times New Roman"/>
          <w:b/>
        </w:rPr>
      </w:pPr>
      <w:r>
        <w:rPr>
          <w:rFonts w:ascii="Times New Roman" w:hAnsi="Times New Roman" w:cs="Times New Roman"/>
          <w:b/>
        </w:rPr>
        <w:br w:type="page"/>
      </w:r>
    </w:p>
    <w:p w14:paraId="305271CC" w14:textId="23A9B5D5" w:rsidR="009B0448" w:rsidRPr="009B0448" w:rsidRDefault="009B0448" w:rsidP="009B0448">
      <w:pPr>
        <w:spacing w:line="276" w:lineRule="auto"/>
        <w:rPr>
          <w:rFonts w:ascii="Times New Roman" w:hAnsi="Times New Roman" w:cs="Times New Roman"/>
        </w:rPr>
      </w:pPr>
      <w:r w:rsidRPr="009B0448">
        <w:rPr>
          <w:rFonts w:ascii="Times New Roman" w:hAnsi="Times New Roman" w:cs="Times New Roman"/>
          <w:b/>
        </w:rPr>
        <w:lastRenderedPageBreak/>
        <w:t>Table 2.13:</w:t>
      </w:r>
      <w:r w:rsidRPr="009B0448">
        <w:rPr>
          <w:rFonts w:ascii="Times New Roman" w:hAnsi="Times New Roman" w:cs="Times New Roman"/>
        </w:rPr>
        <w:t xml:space="preserve"> Non -material nature’s contributions to people according to subregions and ecosystem units of analysis</w:t>
      </w:r>
    </w:p>
    <w:p w14:paraId="65E464DE" w14:textId="360C8E63" w:rsidR="009B0448" w:rsidRPr="009B0448" w:rsidRDefault="009B0448" w:rsidP="009B0448">
      <w:pPr>
        <w:spacing w:line="276" w:lineRule="auto"/>
        <w:rPr>
          <w:rFonts w:ascii="Times New Roman" w:hAnsi="Times New Roman" w:cs="Times New Roman"/>
        </w:rPr>
      </w:pPr>
      <w:r w:rsidRPr="009B0448">
        <w:rPr>
          <w:rFonts w:ascii="Times New Roman" w:hAnsi="Times New Roman" w:cs="Times New Roman"/>
          <w:noProof/>
          <w:lang w:eastAsia="en-GB"/>
        </w:rPr>
        <w:drawing>
          <wp:inline distT="0" distB="0" distL="0" distR="0" wp14:anchorId="3CACBA91" wp14:editId="7D3D5C58">
            <wp:extent cx="5730240" cy="7711440"/>
            <wp:effectExtent l="0" t="0" r="3810" b="381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730240" cy="7711440"/>
                    </a:xfrm>
                    <a:prstGeom prst="rect">
                      <a:avLst/>
                    </a:prstGeom>
                    <a:noFill/>
                    <a:ln>
                      <a:noFill/>
                    </a:ln>
                  </pic:spPr>
                </pic:pic>
              </a:graphicData>
            </a:graphic>
          </wp:inline>
        </w:drawing>
      </w:r>
    </w:p>
    <w:p w14:paraId="05FE769D" w14:textId="77777777" w:rsidR="009B0448" w:rsidRPr="009B0448" w:rsidRDefault="009B0448" w:rsidP="009B0448">
      <w:pPr>
        <w:rPr>
          <w:rFonts w:ascii="Times New Roman" w:hAnsi="Times New Roman" w:cs="Times New Roman"/>
        </w:rPr>
      </w:pPr>
      <w:bookmarkStart w:id="95" w:name="_Toc501997893"/>
    </w:p>
    <w:p w14:paraId="0E190FF9" w14:textId="77777777" w:rsidR="009B0448" w:rsidRPr="009B0448" w:rsidRDefault="009B0448" w:rsidP="00FA7185">
      <w:pPr>
        <w:pStyle w:val="Heading3"/>
        <w:widowControl w:val="0"/>
        <w:numPr>
          <w:ilvl w:val="1"/>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96" w:name="_Toc519499826"/>
      <w:r w:rsidRPr="009B0448">
        <w:rPr>
          <w:rFonts w:eastAsia="Calibri" w:cs="Times New Roman"/>
          <w:szCs w:val="24"/>
        </w:rPr>
        <w:lastRenderedPageBreak/>
        <w:t>Status, trend, future dynamics of Nature’s Contributions People (NCP)</w:t>
      </w:r>
      <w:bookmarkEnd w:id="95"/>
      <w:bookmarkEnd w:id="96"/>
    </w:p>
    <w:p w14:paraId="72867A01" w14:textId="77777777" w:rsidR="009B0448" w:rsidRPr="009B0448" w:rsidRDefault="009B0448" w:rsidP="00FA7185">
      <w:pPr>
        <w:pStyle w:val="111"/>
        <w:numPr>
          <w:ilvl w:val="2"/>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97" w:name="_Toc519499827"/>
      <w:r w:rsidRPr="009B0448">
        <w:rPr>
          <w:rFonts w:cs="Times New Roman"/>
          <w:i w:val="0"/>
          <w:sz w:val="22"/>
          <w:szCs w:val="22"/>
        </w:rPr>
        <w:t>Status of NCP</w:t>
      </w:r>
      <w:bookmarkEnd w:id="97"/>
    </w:p>
    <w:p w14:paraId="2C035B32" w14:textId="726B7758"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status, trends and future dynamics of contributions of nature to people in Africa are diverse but also depend on the underlying drivers and subregional/national level understanding, interpretation and integration of NCP into </w:t>
      </w:r>
      <w:r w:rsidR="00917FB2">
        <w:rPr>
          <w:rFonts w:ascii="Times New Roman" w:hAnsi="Times New Roman" w:cs="Times New Roman"/>
        </w:rPr>
        <w:t>land-use</w:t>
      </w:r>
      <w:r w:rsidRPr="009B0448">
        <w:rPr>
          <w:rFonts w:ascii="Times New Roman" w:hAnsi="Times New Roman" w:cs="Times New Roman"/>
        </w:rPr>
        <w:t xml:space="preserve"> and nature conservation (Chapters 3 &amp; 4). The underlying drivers of status, trends and future dynamics of NCP include natural direct drivers relating to non-human processes and activities, whose occurrences are beyond human influence including natural climate and weather patterns, as well as extreme events such as prolonged drought or cold periods, tropical cyclones and floods, glacial lake outburst floods, earthquakes, volcanic eruptions and tsunamis (Chapter 4, sections 4.2.1.1 &amp; 4.2.2.2). Anthropogenic direct drivers are those which result from human decisions and actions, such as institutions and governance systems, and other indirect drivers including degradation, exclusion and restoration of terrestrial and aquatic habitats, intensification or abandonment, harvesting of wild populations, climate changes produced by urbanisation and industrial emissions, pollutions of soil, water or air due to population pressures and species introductions (Chapter 4).</w:t>
      </w:r>
    </w:p>
    <w:p w14:paraId="17CE571F" w14:textId="77777777" w:rsidR="009B0448" w:rsidRPr="009B0448" w:rsidRDefault="009B0448" w:rsidP="009B0448">
      <w:pPr>
        <w:spacing w:line="276" w:lineRule="auto"/>
        <w:jc w:val="both"/>
        <w:rPr>
          <w:rFonts w:ascii="Times New Roman" w:hAnsi="Times New Roman" w:cs="Times New Roman"/>
        </w:rPr>
      </w:pPr>
    </w:p>
    <w:p w14:paraId="61F0FE73" w14:textId="08B400E3"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These underlying factors affect contributions of nature to people in different aspects, including climate regulation, disturbance regulation, water regulation, water supply, erosion control and sedimentation retention, soil formation, nutrient cycling, waste treatment, biological control, food production, raw materials, genetic resources, recreation and cultural heritage (Chapter 4). This Assessment uses the African subregions including North Africa, West Africa, Central East Africa and adjacent islands, and Southern</w:t>
      </w:r>
      <w:r w:rsidR="00EE38E1">
        <w:rPr>
          <w:rFonts w:ascii="Times New Roman" w:hAnsi="Times New Roman" w:cs="Times New Roman"/>
        </w:rPr>
        <w:t xml:space="preserve"> Africa</w:t>
      </w:r>
      <w:r w:rsidRPr="009B0448">
        <w:rPr>
          <w:rFonts w:ascii="Times New Roman" w:hAnsi="Times New Roman" w:cs="Times New Roman"/>
        </w:rPr>
        <w:t xml:space="preserve"> as ecosystem units of analysis. Such an approach is due to the level of understanding and interpretation of how NCP in public policy at the national, </w:t>
      </w:r>
      <w:r w:rsidR="00B22D81">
        <w:rPr>
          <w:rFonts w:ascii="Times New Roman" w:hAnsi="Times New Roman" w:cs="Times New Roman"/>
        </w:rPr>
        <w:t>subregion</w:t>
      </w:r>
      <w:r w:rsidRPr="009B0448">
        <w:rPr>
          <w:rFonts w:ascii="Times New Roman" w:hAnsi="Times New Roman" w:cs="Times New Roman"/>
        </w:rPr>
        <w:t xml:space="preserve">al and regional level play a significant role in biological diversity and ecosystem services. The methodology adopted in this section was to use the IPBES’ categories of NCPs, and identify specific indicators as representations in the African subregions. </w:t>
      </w:r>
    </w:p>
    <w:p w14:paraId="755E78D6"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98" w:name="_Toc501997894"/>
      <w:bookmarkStart w:id="99" w:name="_Toc519499828"/>
      <w:r w:rsidRPr="009B0448">
        <w:rPr>
          <w:rFonts w:cs="Times New Roman"/>
          <w:sz w:val="22"/>
          <w:szCs w:val="22"/>
        </w:rPr>
        <w:t>Habitat creation and maintenance</w:t>
      </w:r>
      <w:bookmarkEnd w:id="98"/>
      <w:bookmarkEnd w:id="99"/>
    </w:p>
    <w:p w14:paraId="444E9BA2" w14:textId="0BF8C196"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Protected areas are specifically earmarked and devoted areas of land or sea for the conservation and maintenance of biodiversity including natural and associated cultural resources, often governed throu</w:t>
      </w:r>
      <w:r w:rsidR="00EE38E1">
        <w:rPr>
          <w:rFonts w:ascii="Times New Roman" w:hAnsi="Times New Roman" w:cs="Times New Roman"/>
        </w:rPr>
        <w:t>gh legally established systems.</w:t>
      </w:r>
      <w:r w:rsidRPr="009B0448">
        <w:rPr>
          <w:rFonts w:ascii="Times New Roman" w:hAnsi="Times New Roman" w:cs="Times New Roman"/>
        </w:rPr>
        <w:t xml:space="preserve"> Chapters 3, 4 and 6 provide substantively more detail in this regard (Chapter 1; SPM sections B, D, &amp; E). </w:t>
      </w:r>
      <w:bookmarkStart w:id="100" w:name="_Toc501997895"/>
    </w:p>
    <w:p w14:paraId="16B5734A"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01" w:name="_Toc519499829"/>
      <w:r w:rsidRPr="009B0448">
        <w:rPr>
          <w:rFonts w:cs="Times New Roman"/>
          <w:sz w:val="22"/>
          <w:szCs w:val="22"/>
        </w:rPr>
        <w:t>Dispersal of threat potentials</w:t>
      </w:r>
      <w:bookmarkEnd w:id="100"/>
      <w:bookmarkEnd w:id="101"/>
    </w:p>
    <w:p w14:paraId="4A14A4C4"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relationships among invasive alien species, terrestrial, freshwater and marine environments play significant roles in the status of nature’s contributions to people. The introduction of invasive alien species causes changes to water regulation, waste treatment, weed control, water supply, erosion control and sedimentation retention, food production, recreation, and genetic resources (United Republic of Tanzania, 2014; Chapter 4, section 4.2.2.4). The status of nature’s contributions to people is also affected by utilisation of biodiversity. Further details on this are provided in Chapter 4. Common challenges on the continent are over-fishing/harvesting and hunting inhibiting food production, biological control, genetic resources and availability of raw materials (Chapters 3 &amp; 4). </w:t>
      </w:r>
      <w:bookmarkStart w:id="102" w:name="_Toc501997897"/>
    </w:p>
    <w:p w14:paraId="1501C69A" w14:textId="77777777" w:rsidR="009B0448" w:rsidRPr="009B0448" w:rsidRDefault="009B0448" w:rsidP="009B0448">
      <w:pPr>
        <w:spacing w:line="276" w:lineRule="auto"/>
        <w:jc w:val="both"/>
        <w:rPr>
          <w:rFonts w:ascii="Times New Roman" w:hAnsi="Times New Roman" w:cs="Times New Roman"/>
        </w:rPr>
      </w:pPr>
    </w:p>
    <w:bookmarkEnd w:id="102"/>
    <w:p w14:paraId="002CBBCB"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 range of policies and strategies have been developed to support forests on the continent to be able to contribute to the regulation of hazards and extreme events (Fasona </w:t>
      </w:r>
      <w:r w:rsidRPr="009B0448">
        <w:rPr>
          <w:rFonts w:ascii="Times New Roman" w:hAnsi="Times New Roman" w:cs="Times New Roman"/>
          <w:i/>
        </w:rPr>
        <w:t>et al.</w:t>
      </w:r>
      <w:r w:rsidRPr="009B0448">
        <w:rPr>
          <w:rFonts w:ascii="Times New Roman" w:hAnsi="Times New Roman" w:cs="Times New Roman"/>
        </w:rPr>
        <w:t>, 2015, 2016; Chapter 6).</w:t>
      </w:r>
      <w:r w:rsidRPr="009B0448">
        <w:rPr>
          <w:rFonts w:ascii="Times New Roman" w:hAnsi="Times New Roman" w:cs="Times New Roman"/>
          <w:b/>
        </w:rPr>
        <w:t xml:space="preserve"> </w:t>
      </w:r>
      <w:r w:rsidRPr="009B0448">
        <w:rPr>
          <w:rFonts w:ascii="Times New Roman" w:hAnsi="Times New Roman" w:cs="Times New Roman"/>
        </w:rPr>
        <w:t xml:space="preserve">Despite the progress in developing climate change policies in many African countries, a number have </w:t>
      </w:r>
      <w:r w:rsidRPr="009B0448">
        <w:rPr>
          <w:rFonts w:ascii="Times New Roman" w:hAnsi="Times New Roman" w:cs="Times New Roman"/>
        </w:rPr>
        <w:lastRenderedPageBreak/>
        <w:t>not reached the implementation stage, let alone made clear progress on mainstreaming (Chapter 6; SPM section E).</w:t>
      </w:r>
    </w:p>
    <w:p w14:paraId="4F2D16EA" w14:textId="77777777" w:rsidR="009B0448" w:rsidRPr="009B0448" w:rsidRDefault="009B0448" w:rsidP="00FA7185">
      <w:pPr>
        <w:pStyle w:val="111"/>
        <w:numPr>
          <w:ilvl w:val="2"/>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103" w:name="_Toc501997898"/>
      <w:bookmarkStart w:id="104" w:name="_Toc519499830"/>
      <w:r w:rsidRPr="009B0448">
        <w:rPr>
          <w:rFonts w:cs="Times New Roman"/>
          <w:i w:val="0"/>
          <w:sz w:val="22"/>
          <w:szCs w:val="22"/>
        </w:rPr>
        <w:t>Trends of nature’s contributions to people</w:t>
      </w:r>
      <w:bookmarkEnd w:id="103"/>
      <w:bookmarkEnd w:id="104"/>
    </w:p>
    <w:p w14:paraId="0FD4E362"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05" w:name="_Toc501997899"/>
      <w:bookmarkStart w:id="106" w:name="_Toc519499831"/>
      <w:r w:rsidRPr="009B0448">
        <w:rPr>
          <w:rFonts w:cs="Times New Roman"/>
          <w:sz w:val="22"/>
          <w:szCs w:val="22"/>
        </w:rPr>
        <w:t>Habitat Creation and Maintenance</w:t>
      </w:r>
      <w:bookmarkEnd w:id="105"/>
      <w:bookmarkEnd w:id="106"/>
    </w:p>
    <w:p w14:paraId="7523D654"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In sub-Saharan Africa, both national and international (as well as regional) initiatives have resulted in the growth of protected areas (Chapter 4, section 4.5.1; SPM sections B, D, &amp; E). For example, in 1998, Equatorial Guinea developed their protected area extension network from 3,196 to 5,081 km</w:t>
      </w:r>
      <w:r w:rsidRPr="009B0448">
        <w:rPr>
          <w:rFonts w:ascii="Times New Roman" w:hAnsi="Times New Roman" w:cs="Times New Roman"/>
          <w:vertAlign w:val="superscript"/>
        </w:rPr>
        <w:t>2</w:t>
      </w:r>
      <w:r w:rsidRPr="009B0448">
        <w:rPr>
          <w:rFonts w:ascii="Times New Roman" w:hAnsi="Times New Roman" w:cs="Times New Roman"/>
        </w:rPr>
        <w:t xml:space="preserve">, representing about 18.1% of the national land area (Machado, 1998). </w:t>
      </w:r>
    </w:p>
    <w:p w14:paraId="7AE24967" w14:textId="77777777" w:rsidR="009B0448" w:rsidRPr="009B0448" w:rsidRDefault="009B0448" w:rsidP="009B0448">
      <w:pPr>
        <w:spacing w:line="276" w:lineRule="auto"/>
        <w:jc w:val="both"/>
        <w:rPr>
          <w:rFonts w:ascii="Times New Roman" w:hAnsi="Times New Roman" w:cs="Times New Roman"/>
        </w:rPr>
      </w:pPr>
    </w:p>
    <w:p w14:paraId="5626DC0B"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Despite challenges to protected area creation and management (Chapters 4 &amp; 6), the establishment of protected areas can procure a net benefit in terms of total economic value (Table 2.14). For instance, in West Africa, the comparison of the total economic value of ecosystem services within marine protected areas and ecosystem services located in non-protected zones (comparative area) shows that, while the direct use value (associated with fish and wood production mainly) is higher in a non-managed area, since there is no limitation on extractive activities, the indirect use value associated with carbon sequestration, fish biomass production, water purification and coastal protection against erosion is higher in marine protected areas than in the comparative area indicating a better quality and quantity of ecosystem services. This benefit is largely due to the better health status of ecosystems in marine protected areas that can be assimilated to a better resilience capacity in face of global changes (Bonin, </w:t>
      </w:r>
      <w:r w:rsidRPr="009B0448">
        <w:rPr>
          <w:rFonts w:ascii="Times New Roman" w:hAnsi="Times New Roman" w:cs="Times New Roman"/>
          <w:i/>
        </w:rPr>
        <w:t>et al.</w:t>
      </w:r>
      <w:r w:rsidRPr="009B0448">
        <w:rPr>
          <w:rFonts w:ascii="Times New Roman" w:hAnsi="Times New Roman" w:cs="Times New Roman"/>
        </w:rPr>
        <w:t xml:space="preserve">, 2016). </w:t>
      </w:r>
    </w:p>
    <w:p w14:paraId="2BD473EE" w14:textId="77777777" w:rsidR="009B0448" w:rsidRPr="009B0448" w:rsidRDefault="009B0448" w:rsidP="009B0448">
      <w:pPr>
        <w:spacing w:line="276" w:lineRule="auto"/>
        <w:jc w:val="both"/>
        <w:rPr>
          <w:rFonts w:ascii="Times New Roman" w:hAnsi="Times New Roman" w:cs="Times New Roman"/>
        </w:rPr>
      </w:pPr>
    </w:p>
    <w:p w14:paraId="1070347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Table 2.14:</w:t>
      </w:r>
      <w:r w:rsidRPr="009B0448">
        <w:rPr>
          <w:rFonts w:ascii="Times New Roman" w:hAnsi="Times New Roman" w:cs="Times New Roman"/>
        </w:rPr>
        <w:t xml:space="preserve"> Benefits of ecosystem protection; an example of marine protected areas in West Africa. Source: Failler </w:t>
      </w:r>
      <w:r w:rsidRPr="009B0448">
        <w:rPr>
          <w:rFonts w:ascii="Times New Roman" w:hAnsi="Times New Roman" w:cs="Times New Roman"/>
          <w:i/>
        </w:rPr>
        <w:t>et al.</w:t>
      </w:r>
      <w:r w:rsidRPr="009B0448">
        <w:rPr>
          <w:rFonts w:ascii="Times New Roman" w:hAnsi="Times New Roman" w:cs="Times New Roman"/>
        </w:rPr>
        <w:t xml:space="preserve"> (2012).</w:t>
      </w:r>
    </w:p>
    <w:tbl>
      <w:tblPr>
        <w:tblStyle w:val="PlainTable1"/>
        <w:tblW w:w="0" w:type="auto"/>
        <w:tblLook w:val="04A0" w:firstRow="1" w:lastRow="0" w:firstColumn="1" w:lastColumn="0" w:noHBand="0" w:noVBand="1"/>
      </w:tblPr>
      <w:tblGrid>
        <w:gridCol w:w="2405"/>
        <w:gridCol w:w="2835"/>
        <w:gridCol w:w="2126"/>
        <w:gridCol w:w="1650"/>
      </w:tblGrid>
      <w:tr w:rsidR="009B0448" w:rsidRPr="009B0448" w14:paraId="062160B3" w14:textId="77777777" w:rsidTr="009B04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B98E217" w14:textId="77777777" w:rsidR="009B0448" w:rsidRPr="009B0448" w:rsidRDefault="009B0448">
            <w:pPr>
              <w:spacing w:line="276" w:lineRule="auto"/>
              <w:jc w:val="both"/>
              <w:rPr>
                <w:rFonts w:ascii="Times New Roman" w:hAnsi="Times New Roman" w:cs="Times New Roman"/>
              </w:rPr>
            </w:pP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265CAD"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bCs w:val="0"/>
              </w:rPr>
              <w:t>Marine protected areas*($ million)</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BE4E43"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bCs w:val="0"/>
              </w:rPr>
              <w:t>Comparative areas*</w:t>
            </w:r>
          </w:p>
        </w:tc>
        <w:tc>
          <w:tcPr>
            <w:tcW w:w="1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CD2C18"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bCs w:val="0"/>
              </w:rPr>
              <w:t>Benefits</w:t>
            </w:r>
          </w:p>
        </w:tc>
      </w:tr>
      <w:tr w:rsidR="009B0448" w:rsidRPr="009B0448" w14:paraId="39CED992"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876D8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xml:space="preserve">Direct use value </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826860" w14:textId="77777777" w:rsidR="009B0448" w:rsidRPr="009B0448" w:rsidRDefault="009B044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11.2</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EB26E3" w14:textId="77777777" w:rsidR="009B0448" w:rsidRPr="009B0448" w:rsidRDefault="009B044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20.4</w:t>
            </w:r>
          </w:p>
        </w:tc>
        <w:tc>
          <w:tcPr>
            <w:tcW w:w="1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3F7741" w14:textId="77777777" w:rsidR="009B0448" w:rsidRPr="009B0448" w:rsidRDefault="009B044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-9.1</w:t>
            </w:r>
          </w:p>
        </w:tc>
      </w:tr>
      <w:tr w:rsidR="009B0448" w:rsidRPr="009B0448" w14:paraId="212CCE82" w14:textId="77777777" w:rsidTr="009B0448">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7D918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Indirect use value</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44B991" w14:textId="77777777" w:rsidR="009B0448" w:rsidRPr="009B0448" w:rsidRDefault="009B044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39.5</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8FBB21" w14:textId="77777777" w:rsidR="009B0448" w:rsidRPr="009B0448" w:rsidRDefault="009B044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28.8</w:t>
            </w:r>
          </w:p>
        </w:tc>
        <w:tc>
          <w:tcPr>
            <w:tcW w:w="1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0AB774" w14:textId="77777777" w:rsidR="009B0448" w:rsidRPr="009B0448" w:rsidRDefault="009B044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10.6</w:t>
            </w:r>
          </w:p>
        </w:tc>
      </w:tr>
      <w:tr w:rsidR="009B0448" w:rsidRPr="009B0448" w14:paraId="5129BFFF"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FB243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Non-use value</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AA689F" w14:textId="77777777" w:rsidR="009B0448" w:rsidRPr="009B0448" w:rsidRDefault="009B044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0.5</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7C462D" w14:textId="77777777" w:rsidR="009B0448" w:rsidRPr="009B0448" w:rsidRDefault="009B044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0.6</w:t>
            </w:r>
          </w:p>
        </w:tc>
        <w:tc>
          <w:tcPr>
            <w:tcW w:w="1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9CD87B" w14:textId="77777777" w:rsidR="009B0448" w:rsidRPr="009B0448" w:rsidRDefault="009B0448">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-0.1</w:t>
            </w:r>
          </w:p>
        </w:tc>
      </w:tr>
      <w:tr w:rsidR="009B0448" w:rsidRPr="009B0448" w14:paraId="10ADC4B8" w14:textId="77777777" w:rsidTr="009B0448">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B7874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Total</w:t>
            </w:r>
          </w:p>
        </w:tc>
        <w:tc>
          <w:tcPr>
            <w:tcW w:w="28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CCBEDA" w14:textId="77777777" w:rsidR="009B0448" w:rsidRPr="009B0448" w:rsidRDefault="009B044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9B0448">
              <w:rPr>
                <w:rFonts w:ascii="Times New Roman" w:hAnsi="Times New Roman" w:cs="Times New Roman"/>
                <w:b/>
              </w:rPr>
              <w:t>51.1</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C27CCC" w14:textId="77777777" w:rsidR="009B0448" w:rsidRPr="009B0448" w:rsidRDefault="009B044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9B0448">
              <w:rPr>
                <w:rFonts w:ascii="Times New Roman" w:hAnsi="Times New Roman" w:cs="Times New Roman"/>
                <w:b/>
              </w:rPr>
              <w:t>49.8</w:t>
            </w:r>
          </w:p>
        </w:tc>
        <w:tc>
          <w:tcPr>
            <w:tcW w:w="1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3A8283" w14:textId="77777777" w:rsidR="009B0448" w:rsidRPr="009B0448" w:rsidRDefault="009B044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9B0448">
              <w:rPr>
                <w:rFonts w:ascii="Times New Roman" w:hAnsi="Times New Roman" w:cs="Times New Roman"/>
                <w:b/>
              </w:rPr>
              <w:t>1.3</w:t>
            </w:r>
          </w:p>
        </w:tc>
      </w:tr>
    </w:tbl>
    <w:p w14:paraId="7560743F"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*based on the same surface (MPA surface as reference)</w:t>
      </w:r>
    </w:p>
    <w:p w14:paraId="105897F1"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07" w:name="_Toc501997900"/>
      <w:bookmarkStart w:id="108" w:name="_Toc519499832"/>
      <w:r w:rsidRPr="009B0448">
        <w:rPr>
          <w:rFonts w:cs="Times New Roman"/>
          <w:sz w:val="22"/>
          <w:szCs w:val="22"/>
        </w:rPr>
        <w:t>Materials and assistance</w:t>
      </w:r>
      <w:bookmarkEnd w:id="107"/>
      <w:bookmarkEnd w:id="108"/>
    </w:p>
    <w:p w14:paraId="31C9A03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Chapters 3 and 4 provide detail on status and trends in deforestation, land transformation and losses due to, for example, poaching and unsustainable offtake (SPM section B). For example, in Southern Africa, the main concern over ivory poaching is in Mozambique, where the combined elephant population in the Selous-Niassa Ecosystem lost an estimated 7,000 elephants in the period between the 2009 and 2011 surveys (European Union, 2016). </w:t>
      </w:r>
    </w:p>
    <w:p w14:paraId="1F132EA7" w14:textId="77777777" w:rsidR="009B0448" w:rsidRPr="009B0448" w:rsidRDefault="009B0448" w:rsidP="00FA7185">
      <w:pPr>
        <w:pStyle w:val="111"/>
        <w:numPr>
          <w:ilvl w:val="3"/>
          <w:numId w:val="15"/>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09" w:name="_Toc501997901"/>
      <w:bookmarkStart w:id="110" w:name="_Toc519499833"/>
      <w:r w:rsidRPr="009B0448">
        <w:rPr>
          <w:rFonts w:cs="Times New Roman"/>
          <w:sz w:val="22"/>
          <w:szCs w:val="22"/>
        </w:rPr>
        <w:t>Regulation of threat potentials</w:t>
      </w:r>
      <w:bookmarkEnd w:id="109"/>
      <w:bookmarkEnd w:id="110"/>
    </w:p>
    <w:p w14:paraId="3DF16EA5"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As described previously, and in more detail in Chapters 3 and, most particularly, 4; Africa is expected to be particularly severely impacted by climate change (SPM section B). Impacts on ecosystem services are already evident, with, in certain cases, future impacts likely to be severe (Niang </w:t>
      </w:r>
      <w:r w:rsidRPr="009B0448">
        <w:rPr>
          <w:rFonts w:ascii="Times New Roman" w:hAnsi="Times New Roman" w:cs="Times New Roman"/>
          <w:i/>
        </w:rPr>
        <w:t>et al.</w:t>
      </w:r>
      <w:r w:rsidRPr="009B0448">
        <w:rPr>
          <w:rFonts w:ascii="Times New Roman" w:hAnsi="Times New Roman" w:cs="Times New Roman"/>
        </w:rPr>
        <w:t>, 2014; Chapters 3 &amp; 4; SPM section B).</w:t>
      </w:r>
      <w:r w:rsidRPr="009B0448">
        <w:rPr>
          <w:rFonts w:ascii="Times New Roman" w:hAnsi="Times New Roman" w:cs="Times New Roman"/>
          <w:i/>
        </w:rPr>
        <w:t xml:space="preserve"> </w:t>
      </w:r>
      <w:r w:rsidRPr="009B0448">
        <w:rPr>
          <w:rFonts w:ascii="Times New Roman" w:hAnsi="Times New Roman" w:cs="Times New Roman"/>
        </w:rPr>
        <w:t xml:space="preserve">Impacts of invasive alien species (IAS) have already been referred to in Chapter 1, and are covered in detail in Chapter 4 (Chapter 4, section 4.2.2.4.3; SPM sections B &amp; D). </w:t>
      </w:r>
      <w:r w:rsidRPr="009B0448">
        <w:rPr>
          <w:rFonts w:ascii="Times New Roman" w:hAnsi="Times New Roman" w:cs="Times New Roman"/>
        </w:rPr>
        <w:lastRenderedPageBreak/>
        <w:t xml:space="preserve">IAS are currently already impacting nature’s contributions to people and ecosystem services, a trend that is likely, in certain areas, to worsen in the future (Chapter 4, section 4.2.2.4.3; SPM sections B &amp; D). </w:t>
      </w:r>
    </w:p>
    <w:p w14:paraId="722E8FB2" w14:textId="77777777" w:rsidR="009B0448" w:rsidRPr="009B0448" w:rsidRDefault="009B0448" w:rsidP="00FA7185">
      <w:pPr>
        <w:pStyle w:val="111"/>
        <w:numPr>
          <w:ilvl w:val="2"/>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111" w:name="_Toc501997903"/>
      <w:bookmarkStart w:id="112" w:name="_Toc519499834"/>
      <w:r w:rsidRPr="009B0448">
        <w:rPr>
          <w:rFonts w:cs="Times New Roman"/>
          <w:i w:val="0"/>
          <w:sz w:val="22"/>
          <w:szCs w:val="22"/>
        </w:rPr>
        <w:t xml:space="preserve">Future Dynamics of </w:t>
      </w:r>
      <w:bookmarkEnd w:id="111"/>
      <w:r w:rsidRPr="009B0448">
        <w:rPr>
          <w:rFonts w:cs="Times New Roman"/>
          <w:i w:val="0"/>
          <w:sz w:val="22"/>
          <w:szCs w:val="22"/>
        </w:rPr>
        <w:t>nature’s contributions to people</w:t>
      </w:r>
      <w:bookmarkEnd w:id="112"/>
    </w:p>
    <w:p w14:paraId="7F4BA51C"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A range of international frameworks (Chapters 3, 4, &amp; 6; SPM sections C, D, &amp; E) have highlighted the importance of identifying, designating and managing protected areas as fundamental to biodiversity and ecosystem in relation to nature’s contributions to people. Important indicators include the proportion of protected areas in relation to total land area and by type of ecosystems, as well as progress made by regions/subregions/countries with regards to implementation of international policies on natural resource use, protection and monitoring (Chapters 5 &amp; 6; SPM sections C, D, &amp; E). The future dynamics of nature’s contributions to people in Africa could be influenced by both direct and indirect activities in the proportion of protected areas relative to the total land area and by type of ecosystems, progress made by regions/subregions/countries with regards to implementation of international policies on natural resource use, protection and monitoring (Chapter 4, sections 3.5.2 &amp; 3.5.3).</w:t>
      </w:r>
    </w:p>
    <w:p w14:paraId="140A1058" w14:textId="77777777" w:rsidR="009B0448" w:rsidRPr="009B0448" w:rsidRDefault="009B0448" w:rsidP="009B0448">
      <w:pPr>
        <w:spacing w:line="276" w:lineRule="auto"/>
        <w:jc w:val="both"/>
        <w:rPr>
          <w:rFonts w:ascii="Times New Roman" w:hAnsi="Times New Roman" w:cs="Times New Roman"/>
        </w:rPr>
      </w:pPr>
    </w:p>
    <w:p w14:paraId="6121CC7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future dynamics of protected areas in Africa are likely to depend on the following strategies (Chapters 4, 5 &amp; 6): </w:t>
      </w:r>
    </w:p>
    <w:p w14:paraId="68AE02E4" w14:textId="77777777" w:rsidR="009B0448" w:rsidRPr="009B0448" w:rsidRDefault="009B0448" w:rsidP="00FA7185">
      <w:pPr>
        <w:numPr>
          <w:ilvl w:val="0"/>
          <w:numId w:val="16"/>
        </w:numPr>
        <w:pBdr>
          <w:top w:val="none" w:sz="0" w:space="0" w:color="auto"/>
          <w:left w:val="none" w:sz="0" w:space="0" w:color="auto"/>
          <w:bottom w:val="none" w:sz="0" w:space="0" w:color="auto"/>
          <w:right w:val="none" w:sz="0" w:space="0" w:color="auto"/>
          <w:between w:val="none" w:sz="0" w:space="0" w:color="auto"/>
        </w:pBdr>
        <w:spacing w:line="276" w:lineRule="auto"/>
        <w:ind w:hanging="360"/>
        <w:contextualSpacing/>
        <w:jc w:val="both"/>
        <w:rPr>
          <w:rFonts w:ascii="Times New Roman" w:eastAsia="Times New Roman" w:hAnsi="Times New Roman" w:cs="Times New Roman"/>
        </w:rPr>
      </w:pPr>
      <w:r w:rsidRPr="009B0448">
        <w:rPr>
          <w:rFonts w:ascii="Times New Roman" w:eastAsia="Times New Roman" w:hAnsi="Times New Roman" w:cs="Times New Roman"/>
          <w:u w:val="single"/>
        </w:rPr>
        <w:t>Economic and land tenure reform strategies:</w:t>
      </w:r>
      <w:r w:rsidRPr="009B0448">
        <w:rPr>
          <w:rFonts w:ascii="Times New Roman" w:eastAsia="Times New Roman" w:hAnsi="Times New Roman" w:cs="Times New Roman"/>
        </w:rPr>
        <w:t xml:space="preserve"> Progress in privatisation and commercialisation of protected areas will be improved by land ownership and tenure security which guarantees long-term investments and productivity. It should also create an inclusive financial environment that is accessible to all. Efforts to strengthen national and regional land governance towards protected areas is an imperative (Chapter 6).</w:t>
      </w:r>
    </w:p>
    <w:p w14:paraId="76B1C2DC" w14:textId="148EFC61" w:rsidR="009B0448" w:rsidRPr="009B0448" w:rsidRDefault="009B0448" w:rsidP="00FA7185">
      <w:pPr>
        <w:numPr>
          <w:ilvl w:val="0"/>
          <w:numId w:val="16"/>
        </w:numPr>
        <w:pBdr>
          <w:top w:val="none" w:sz="0" w:space="0" w:color="auto"/>
          <w:left w:val="none" w:sz="0" w:space="0" w:color="auto"/>
          <w:bottom w:val="none" w:sz="0" w:space="0" w:color="auto"/>
          <w:right w:val="none" w:sz="0" w:space="0" w:color="auto"/>
          <w:between w:val="none" w:sz="0" w:space="0" w:color="auto"/>
        </w:pBdr>
        <w:spacing w:line="276" w:lineRule="auto"/>
        <w:ind w:hanging="360"/>
        <w:contextualSpacing/>
        <w:jc w:val="both"/>
        <w:rPr>
          <w:rFonts w:ascii="Times New Roman" w:eastAsia="Times New Roman" w:hAnsi="Times New Roman" w:cs="Times New Roman"/>
        </w:rPr>
      </w:pPr>
      <w:r w:rsidRPr="009B0448">
        <w:rPr>
          <w:rFonts w:ascii="Times New Roman" w:eastAsia="Times New Roman" w:hAnsi="Times New Roman" w:cs="Times New Roman"/>
          <w:u w:val="single"/>
        </w:rPr>
        <w:t>Landscape-wide conservation planning:</w:t>
      </w:r>
      <w:r w:rsidRPr="009B0448">
        <w:rPr>
          <w:rFonts w:ascii="Times New Roman" w:eastAsia="Times New Roman" w:hAnsi="Times New Roman" w:cs="Times New Roman"/>
        </w:rPr>
        <w:t xml:space="preserve"> a broad-based picture of conservation strategies which integrate protected areas into development goals covering all biomes, sectors, and </w:t>
      </w:r>
      <w:r w:rsidR="00B22D81">
        <w:rPr>
          <w:rFonts w:ascii="Times New Roman" w:eastAsia="Times New Roman" w:hAnsi="Times New Roman" w:cs="Times New Roman"/>
        </w:rPr>
        <w:t>subregion</w:t>
      </w:r>
      <w:r w:rsidRPr="009B0448">
        <w:rPr>
          <w:rFonts w:ascii="Times New Roman" w:eastAsia="Times New Roman" w:hAnsi="Times New Roman" w:cs="Times New Roman"/>
        </w:rPr>
        <w:t xml:space="preserve">s will be more useful in achieving development goals. </w:t>
      </w:r>
    </w:p>
    <w:p w14:paraId="1C8D708E" w14:textId="4952088F" w:rsidR="009B0448" w:rsidRPr="009B0448" w:rsidRDefault="009B0448" w:rsidP="00FA7185">
      <w:pPr>
        <w:numPr>
          <w:ilvl w:val="0"/>
          <w:numId w:val="16"/>
        </w:numPr>
        <w:pBdr>
          <w:top w:val="none" w:sz="0" w:space="0" w:color="auto"/>
          <w:left w:val="none" w:sz="0" w:space="0" w:color="auto"/>
          <w:bottom w:val="none" w:sz="0" w:space="0" w:color="auto"/>
          <w:right w:val="none" w:sz="0" w:space="0" w:color="auto"/>
          <w:between w:val="none" w:sz="0" w:space="0" w:color="auto"/>
        </w:pBdr>
        <w:spacing w:line="276" w:lineRule="auto"/>
        <w:ind w:hanging="360"/>
        <w:contextualSpacing/>
        <w:jc w:val="both"/>
        <w:rPr>
          <w:rFonts w:ascii="Times New Roman" w:eastAsia="Times New Roman" w:hAnsi="Times New Roman" w:cs="Times New Roman"/>
        </w:rPr>
      </w:pPr>
      <w:r w:rsidRPr="009B0448">
        <w:rPr>
          <w:rFonts w:ascii="Times New Roman" w:eastAsia="Times New Roman" w:hAnsi="Times New Roman" w:cs="Times New Roman"/>
          <w:u w:val="single"/>
        </w:rPr>
        <w:t>Resolving conflict:</w:t>
      </w:r>
      <w:r w:rsidRPr="009B0448">
        <w:rPr>
          <w:rFonts w:ascii="Times New Roman" w:eastAsia="Times New Roman" w:hAnsi="Times New Roman" w:cs="Times New Roman"/>
        </w:rPr>
        <w:t xml:space="preserve"> Policy and legislation should address competition from other </w:t>
      </w:r>
      <w:r w:rsidR="00917FB2">
        <w:rPr>
          <w:rFonts w:ascii="Times New Roman" w:eastAsia="Times New Roman" w:hAnsi="Times New Roman" w:cs="Times New Roman"/>
        </w:rPr>
        <w:t>land-use</w:t>
      </w:r>
      <w:r w:rsidRPr="009B0448">
        <w:rPr>
          <w:rFonts w:ascii="Times New Roman" w:eastAsia="Times New Roman" w:hAnsi="Times New Roman" w:cs="Times New Roman"/>
        </w:rPr>
        <w:t>s and between local communities and nature conservation programmes by exploring and emphasising co</w:t>
      </w:r>
      <w:r w:rsidR="00250F13">
        <w:rPr>
          <w:rFonts w:ascii="Times New Roman" w:eastAsia="Times New Roman" w:hAnsi="Times New Roman" w:cs="Times New Roman"/>
        </w:rPr>
        <w:t>-</w:t>
      </w:r>
      <w:r w:rsidRPr="009B0448">
        <w:rPr>
          <w:rFonts w:ascii="Times New Roman" w:eastAsia="Times New Roman" w:hAnsi="Times New Roman" w:cs="Times New Roman"/>
        </w:rPr>
        <w:t xml:space="preserve">dependence rather than competition. It should also build and nurture regional groups, transboundary arrangements, and collaborations among neighbouring protected areas (Chapter 6; SPM section E). </w:t>
      </w:r>
    </w:p>
    <w:p w14:paraId="7923AA29" w14:textId="77777777" w:rsidR="009B0448" w:rsidRPr="009B0448" w:rsidRDefault="009B0448" w:rsidP="00FA7185">
      <w:pPr>
        <w:numPr>
          <w:ilvl w:val="0"/>
          <w:numId w:val="16"/>
        </w:numPr>
        <w:pBdr>
          <w:top w:val="none" w:sz="0" w:space="0" w:color="auto"/>
          <w:left w:val="none" w:sz="0" w:space="0" w:color="auto"/>
          <w:bottom w:val="none" w:sz="0" w:space="0" w:color="auto"/>
          <w:right w:val="none" w:sz="0" w:space="0" w:color="auto"/>
          <w:between w:val="none" w:sz="0" w:space="0" w:color="auto"/>
        </w:pBdr>
        <w:spacing w:line="276" w:lineRule="auto"/>
        <w:ind w:hanging="360"/>
        <w:contextualSpacing/>
        <w:jc w:val="both"/>
        <w:rPr>
          <w:rFonts w:ascii="Times New Roman" w:eastAsia="Times New Roman" w:hAnsi="Times New Roman" w:cs="Times New Roman"/>
        </w:rPr>
      </w:pPr>
      <w:r w:rsidRPr="009B0448">
        <w:rPr>
          <w:rFonts w:ascii="Times New Roman" w:eastAsia="Times New Roman" w:hAnsi="Times New Roman" w:cs="Times New Roman"/>
          <w:u w:val="single"/>
        </w:rPr>
        <w:t>Community-Based Natural Resource Management:</w:t>
      </w:r>
      <w:r w:rsidRPr="009B0448">
        <w:rPr>
          <w:rFonts w:ascii="Times New Roman" w:eastAsia="Times New Roman" w:hAnsi="Times New Roman" w:cs="Times New Roman"/>
        </w:rPr>
        <w:t xml:space="preserve"> (Chapters 1 &amp; 6; SPM section E).</w:t>
      </w:r>
    </w:p>
    <w:p w14:paraId="6843D809" w14:textId="77777777" w:rsidR="009B0448" w:rsidRPr="009B0448" w:rsidRDefault="009B0448" w:rsidP="00FA7185">
      <w:pPr>
        <w:numPr>
          <w:ilvl w:val="0"/>
          <w:numId w:val="16"/>
        </w:numPr>
        <w:pBdr>
          <w:top w:val="none" w:sz="0" w:space="0" w:color="auto"/>
          <w:left w:val="none" w:sz="0" w:space="0" w:color="auto"/>
          <w:bottom w:val="none" w:sz="0" w:space="0" w:color="auto"/>
          <w:right w:val="none" w:sz="0" w:space="0" w:color="auto"/>
          <w:between w:val="none" w:sz="0" w:space="0" w:color="auto"/>
        </w:pBdr>
        <w:spacing w:line="276" w:lineRule="auto"/>
        <w:ind w:hanging="360"/>
        <w:contextualSpacing/>
        <w:jc w:val="both"/>
        <w:rPr>
          <w:rFonts w:ascii="Times New Roman" w:eastAsia="Times New Roman" w:hAnsi="Times New Roman" w:cs="Times New Roman"/>
        </w:rPr>
      </w:pPr>
      <w:r w:rsidRPr="009B0448">
        <w:rPr>
          <w:rFonts w:ascii="Times New Roman" w:eastAsia="Times New Roman" w:hAnsi="Times New Roman" w:cs="Times New Roman"/>
          <w:u w:val="single"/>
        </w:rPr>
        <w:t>Strengthening the governance capacity of protected area institutions</w:t>
      </w:r>
      <w:r w:rsidRPr="009B0448">
        <w:rPr>
          <w:rFonts w:ascii="Times New Roman" w:eastAsia="Times New Roman" w:hAnsi="Times New Roman" w:cs="Times New Roman"/>
        </w:rPr>
        <w:t xml:space="preserve"> to address the complex interactions between natural resources and local communities focusing on site-based planning and management of protected areas as well as promoting equity and benefit-sharing. This should also include measures to prevent and mitigate potential negative impacts and threats (Chapter 6; SPM sections D &amp; E). </w:t>
      </w:r>
    </w:p>
    <w:p w14:paraId="0DC3B5E7" w14:textId="77777777" w:rsidR="009B0448" w:rsidRPr="009B0448" w:rsidRDefault="009B0448" w:rsidP="00FA7185">
      <w:pPr>
        <w:pStyle w:val="Heading3"/>
        <w:widowControl w:val="0"/>
        <w:numPr>
          <w:ilvl w:val="1"/>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113" w:name="_Toc501997904"/>
      <w:bookmarkStart w:id="114" w:name="_Toc519499835"/>
      <w:r w:rsidRPr="009B0448">
        <w:rPr>
          <w:rFonts w:eastAsia="Calibri" w:cs="Times New Roman"/>
          <w:szCs w:val="24"/>
        </w:rPr>
        <w:t>Impact of nature’s contributions to people changes on human well-being</w:t>
      </w:r>
      <w:bookmarkEnd w:id="113"/>
      <w:bookmarkEnd w:id="114"/>
    </w:p>
    <w:p w14:paraId="2826103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As shown in this and other assessments, human driven activity is altering the structure and functions of landscapes, water bodies and climate, and biogeochemical cycles, with some of the worst case scenarios in the tropics (Foley </w:t>
      </w:r>
      <w:r w:rsidRPr="009B0448">
        <w:rPr>
          <w:rFonts w:ascii="Times New Roman" w:hAnsi="Times New Roman" w:cs="Times New Roman"/>
          <w:i/>
        </w:rPr>
        <w:t>et al.</w:t>
      </w:r>
      <w:r w:rsidRPr="009B0448">
        <w:rPr>
          <w:rFonts w:ascii="Times New Roman" w:hAnsi="Times New Roman" w:cs="Times New Roman"/>
        </w:rPr>
        <w:t xml:space="preserve">, 2005; MA, 2005; Chapter 4). African biodiversity and ecosystems are currently undergoing massive structural changes (MA, 2005; Daily </w:t>
      </w:r>
      <w:r w:rsidRPr="009B0448">
        <w:rPr>
          <w:rFonts w:ascii="Times New Roman" w:hAnsi="Times New Roman" w:cs="Times New Roman"/>
          <w:i/>
        </w:rPr>
        <w:t>et al.</w:t>
      </w:r>
      <w:r w:rsidRPr="009B0448">
        <w:rPr>
          <w:rFonts w:ascii="Times New Roman" w:hAnsi="Times New Roman" w:cs="Times New Roman"/>
        </w:rPr>
        <w:t xml:space="preserve"> 2009; Effiom </w:t>
      </w:r>
      <w:r w:rsidRPr="009B0448">
        <w:rPr>
          <w:rFonts w:ascii="Times New Roman" w:hAnsi="Times New Roman" w:cs="Times New Roman"/>
          <w:i/>
        </w:rPr>
        <w:t>et al.</w:t>
      </w:r>
      <w:r w:rsidRPr="009B0448">
        <w:rPr>
          <w:rFonts w:ascii="Times New Roman" w:hAnsi="Times New Roman" w:cs="Times New Roman"/>
        </w:rPr>
        <w:t xml:space="preserve">, 2013c; Chapters 3 &amp; 4,). A change in ecosystem structure implies a change in ecosystem functioning (Lavorel </w:t>
      </w:r>
      <w:r w:rsidRPr="009B0448">
        <w:rPr>
          <w:rFonts w:ascii="Times New Roman" w:hAnsi="Times New Roman" w:cs="Times New Roman"/>
          <w:i/>
        </w:rPr>
        <w:t>et al.</w:t>
      </w:r>
      <w:r w:rsidRPr="009B0448">
        <w:rPr>
          <w:rFonts w:ascii="Times New Roman" w:hAnsi="Times New Roman" w:cs="Times New Roman"/>
        </w:rPr>
        <w:t xml:space="preserve">, 2012); and, ultimately, the provisioning of ecosystem services, nature contributions to human that enhance human well-being and good quality of life (Chapters 3 &amp; 4). The strong dependence of human </w:t>
      </w:r>
      <w:r w:rsidRPr="009B0448">
        <w:rPr>
          <w:rFonts w:ascii="Times New Roman" w:hAnsi="Times New Roman" w:cs="Times New Roman"/>
        </w:rPr>
        <w:lastRenderedPageBreak/>
        <w:t>on nature contributions through biodiversity and ecosystem services is evident on the African continent, as detailed in this chapter. The concept of sustainably utilising ecosystem services is thus gaining considerable attention globally, since it conveys the idea that ecosystems are socially and economically valuable, and vital in human well-being, in addition to their ecological value. This section will look at the impact of such change on basic material for good life, health and social security.</w:t>
      </w:r>
    </w:p>
    <w:p w14:paraId="5749221D" w14:textId="77777777" w:rsidR="009B0448" w:rsidRPr="009B0448" w:rsidRDefault="009B0448" w:rsidP="00FA7185">
      <w:pPr>
        <w:pStyle w:val="111"/>
        <w:numPr>
          <w:ilvl w:val="2"/>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115" w:name="_Toc501997905"/>
      <w:bookmarkStart w:id="116" w:name="_Toc519499836"/>
      <w:r w:rsidRPr="009B0448">
        <w:rPr>
          <w:rFonts w:cs="Times New Roman"/>
          <w:i w:val="0"/>
          <w:sz w:val="22"/>
          <w:szCs w:val="22"/>
        </w:rPr>
        <w:t>Impacts of changes in contributions of nature on basic material for a good life</w:t>
      </w:r>
      <w:bookmarkEnd w:id="115"/>
      <w:bookmarkEnd w:id="116"/>
    </w:p>
    <w:p w14:paraId="2BAE9059" w14:textId="02F99ABB"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Changes in nature’s benefit to people influence all components of human </w:t>
      </w:r>
      <w:r w:rsidRPr="007460EE">
        <w:rPr>
          <w:rFonts w:ascii="Times New Roman" w:hAnsi="Times New Roman" w:cs="Times New Roman"/>
        </w:rPr>
        <w:t>well-being</w:t>
      </w:r>
      <w:r w:rsidRPr="009B0448">
        <w:rPr>
          <w:rFonts w:ascii="Times New Roman" w:hAnsi="Times New Roman" w:cs="Times New Roman"/>
        </w:rPr>
        <w:t xml:space="preserve">, especially the basic material needs for a good life. Environmental degradation caused by various drivers and through different pathways (Chapter 4) endangers provisioning of the basic material for human well-being. </w:t>
      </w:r>
    </w:p>
    <w:p w14:paraId="62E469B1" w14:textId="77777777" w:rsidR="009B0448" w:rsidRPr="009B0448" w:rsidRDefault="009B0448" w:rsidP="009B0448">
      <w:pPr>
        <w:spacing w:line="276" w:lineRule="auto"/>
        <w:jc w:val="both"/>
        <w:rPr>
          <w:rFonts w:ascii="Times New Roman" w:hAnsi="Times New Roman" w:cs="Times New Roman"/>
        </w:rPr>
      </w:pPr>
    </w:p>
    <w:p w14:paraId="6FB79074" w14:textId="77777777" w:rsidR="009B0448" w:rsidRPr="009B0448" w:rsidRDefault="009B0448" w:rsidP="009B0448">
      <w:pPr>
        <w:spacing w:line="276" w:lineRule="auto"/>
        <w:jc w:val="both"/>
        <w:rPr>
          <w:rFonts w:ascii="Times New Roman" w:hAnsi="Times New Roman" w:cs="Times New Roman"/>
        </w:rPr>
      </w:pPr>
      <w:bookmarkStart w:id="117" w:name="_Toc501997906"/>
      <w:r w:rsidRPr="009B0448">
        <w:rPr>
          <w:rFonts w:ascii="Times New Roman" w:hAnsi="Times New Roman" w:cs="Times New Roman"/>
        </w:rPr>
        <w:t xml:space="preserve">Along with biodiversity erosion, as detailed in Chapters 3 and 4 to follow, we face erosion of indigenous and local knowledge, as mentioned earlier (SPM section B). The decline in ILK has a number of implications for biodiversity conservation </w:t>
      </w:r>
      <w:r w:rsidRPr="009B0448">
        <w:rPr>
          <w:rFonts w:ascii="Times New Roman" w:hAnsi="Times New Roman" w:cs="Times New Roman"/>
          <w:noProof/>
        </w:rPr>
        <w:t>efforts</w:t>
      </w:r>
      <w:r w:rsidRPr="009B0448">
        <w:rPr>
          <w:rFonts w:ascii="Times New Roman" w:hAnsi="Times New Roman" w:cs="Times New Roman"/>
        </w:rPr>
        <w:t xml:space="preserve"> since, </w:t>
      </w:r>
      <w:r w:rsidRPr="009B0448">
        <w:rPr>
          <w:rFonts w:ascii="Times New Roman" w:hAnsi="Times New Roman" w:cs="Times New Roman"/>
          <w:noProof/>
        </w:rPr>
        <w:t>without</w:t>
      </w:r>
      <w:r w:rsidRPr="009B0448">
        <w:rPr>
          <w:rFonts w:ascii="Times New Roman" w:hAnsi="Times New Roman" w:cs="Times New Roman"/>
        </w:rPr>
        <w:t xml:space="preserve"> </w:t>
      </w:r>
      <w:r w:rsidRPr="009B0448">
        <w:rPr>
          <w:rFonts w:ascii="Times New Roman" w:hAnsi="Times New Roman" w:cs="Times New Roman"/>
          <w:noProof/>
        </w:rPr>
        <w:t>an adequate</w:t>
      </w:r>
      <w:r w:rsidRPr="009B0448">
        <w:rPr>
          <w:rFonts w:ascii="Times New Roman" w:hAnsi="Times New Roman" w:cs="Times New Roman"/>
        </w:rPr>
        <w:t xml:space="preserve"> understanding of the natural ecosystems and knowledge about natural resources, future local and rural communities will be challenged in maintaining these resources (Grainger, 2003; Solh </w:t>
      </w:r>
      <w:r w:rsidRPr="009B0448">
        <w:rPr>
          <w:rFonts w:ascii="Times New Roman" w:hAnsi="Times New Roman" w:cs="Times New Roman"/>
          <w:i/>
        </w:rPr>
        <w:t>et al.</w:t>
      </w:r>
      <w:r w:rsidRPr="009B0448">
        <w:rPr>
          <w:rFonts w:ascii="Times New Roman" w:hAnsi="Times New Roman" w:cs="Times New Roman"/>
        </w:rPr>
        <w:t xml:space="preserve">, 2003; Heneidy </w:t>
      </w:r>
      <w:r w:rsidRPr="009B0448">
        <w:rPr>
          <w:rFonts w:ascii="Times New Roman" w:hAnsi="Times New Roman" w:cs="Times New Roman"/>
          <w:i/>
        </w:rPr>
        <w:t>et al.</w:t>
      </w:r>
      <w:r w:rsidRPr="009B0448">
        <w:rPr>
          <w:rFonts w:ascii="Times New Roman" w:hAnsi="Times New Roman" w:cs="Times New Roman"/>
        </w:rPr>
        <w:t xml:space="preserve">, 2007). For example, local communities in the coastal desert of Egypt used to be traditional nomadic communities. Such communities have been subjected to changes due to urban encroachment and development activities over the last three decades. Such activities influenced the demographic structure and the nomadic lifestyle of local inhabitants. Abandonment of traditional practices threatens the sustainability of the indigenous local knowledge, since younger generations prefer to engage in the new economic activities (e.g., construction of coastal resorts, real-estate businesses, intensive agriculture, and quarrying activities) to the traditional practices (e.g., herding, rain-fed agriculture, collection of medicinal plants, amongst others) (Bidak </w:t>
      </w:r>
      <w:r w:rsidRPr="009B0448">
        <w:rPr>
          <w:rFonts w:ascii="Times New Roman" w:hAnsi="Times New Roman" w:cs="Times New Roman"/>
          <w:i/>
        </w:rPr>
        <w:t>et al.</w:t>
      </w:r>
      <w:r w:rsidRPr="009B0448">
        <w:rPr>
          <w:rFonts w:ascii="Times New Roman" w:hAnsi="Times New Roman" w:cs="Times New Roman"/>
        </w:rPr>
        <w:t xml:space="preserve">, 2015; Halmy, 2012; Halmy </w:t>
      </w:r>
      <w:r w:rsidRPr="009B0448">
        <w:rPr>
          <w:rFonts w:ascii="Times New Roman" w:hAnsi="Times New Roman" w:cs="Times New Roman"/>
          <w:i/>
        </w:rPr>
        <w:t>et al.</w:t>
      </w:r>
      <w:r w:rsidRPr="009B0448">
        <w:rPr>
          <w:rFonts w:ascii="Times New Roman" w:hAnsi="Times New Roman" w:cs="Times New Roman"/>
        </w:rPr>
        <w:t xml:space="preserve">, 2015a; Halmy </w:t>
      </w:r>
      <w:r w:rsidRPr="009B0448">
        <w:rPr>
          <w:rFonts w:ascii="Times New Roman" w:hAnsi="Times New Roman" w:cs="Times New Roman"/>
          <w:i/>
        </w:rPr>
        <w:t>et al.</w:t>
      </w:r>
      <w:r w:rsidRPr="009B0448">
        <w:rPr>
          <w:rFonts w:ascii="Times New Roman" w:hAnsi="Times New Roman" w:cs="Times New Roman"/>
        </w:rPr>
        <w:t xml:space="preserve">, 2015b &amp; c). This may have led to </w:t>
      </w:r>
      <w:r w:rsidRPr="009B0448">
        <w:rPr>
          <w:rFonts w:ascii="Times New Roman" w:hAnsi="Times New Roman" w:cs="Times New Roman"/>
          <w:noProof/>
        </w:rPr>
        <w:t>a decline</w:t>
      </w:r>
      <w:r w:rsidRPr="009B0448">
        <w:rPr>
          <w:rFonts w:ascii="Times New Roman" w:hAnsi="Times New Roman" w:cs="Times New Roman"/>
        </w:rPr>
        <w:t xml:space="preserve"> in </w:t>
      </w:r>
      <w:r w:rsidRPr="009B0448">
        <w:rPr>
          <w:rFonts w:ascii="Times New Roman" w:hAnsi="Times New Roman" w:cs="Times New Roman"/>
          <w:noProof/>
        </w:rPr>
        <w:t>number</w:t>
      </w:r>
      <w:r w:rsidRPr="009B0448">
        <w:rPr>
          <w:rFonts w:ascii="Times New Roman" w:hAnsi="Times New Roman" w:cs="Times New Roman"/>
        </w:rPr>
        <w:t xml:space="preserve"> of the ILK holders in these communities.</w:t>
      </w:r>
    </w:p>
    <w:p w14:paraId="702D9438" w14:textId="77777777" w:rsidR="009B0448" w:rsidRPr="009B0448" w:rsidRDefault="009B0448" w:rsidP="009B0448">
      <w:pPr>
        <w:spacing w:line="276" w:lineRule="auto"/>
        <w:jc w:val="both"/>
        <w:rPr>
          <w:rFonts w:ascii="Times New Roman" w:hAnsi="Times New Roman" w:cs="Times New Roman"/>
        </w:rPr>
      </w:pPr>
    </w:p>
    <w:p w14:paraId="1F9C1FB5" w14:textId="56A44DAC"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Similar challenges to communities’ traditional life ways have been recorded by Kaunga (2016) in Maasai community in northern Kenya, where the changes in land ownership and </w:t>
      </w:r>
      <w:r w:rsidR="00917FB2">
        <w:rPr>
          <w:rFonts w:ascii="Times New Roman" w:hAnsi="Times New Roman" w:cs="Times New Roman"/>
        </w:rPr>
        <w:t>land-use</w:t>
      </w:r>
      <w:r w:rsidRPr="009B0448">
        <w:rPr>
          <w:rFonts w:ascii="Times New Roman" w:hAnsi="Times New Roman" w:cs="Times New Roman"/>
        </w:rPr>
        <w:t xml:space="preserve"> due to developmental projects challenge the Maasai and Samburu communities to maintain their traditional lifestyle and associated indigenous local knowledge. The transfer of the ILK to the new generation has declined in these communities due to these socio-economic changes. Attempts have been made by the Samburu communities, as </w:t>
      </w:r>
      <w:r w:rsidRPr="009B0448">
        <w:rPr>
          <w:rFonts w:ascii="Times New Roman" w:hAnsi="Times New Roman" w:cs="Times New Roman"/>
          <w:noProof/>
        </w:rPr>
        <w:t>a response</w:t>
      </w:r>
      <w:r w:rsidRPr="009B0448">
        <w:rPr>
          <w:rFonts w:ascii="Times New Roman" w:hAnsi="Times New Roman" w:cs="Times New Roman"/>
        </w:rPr>
        <w:t xml:space="preserve"> to the reduced attention to the traditional activities in favour of the new economic activities; through diversification of livelihood sources by include activities that would benefit from their ILK such as ecotourism (Oguge, 2016).</w:t>
      </w:r>
    </w:p>
    <w:p w14:paraId="437923DE" w14:textId="77777777" w:rsidR="009B0448" w:rsidRPr="009B0448" w:rsidRDefault="009B0448" w:rsidP="00FA7185">
      <w:pPr>
        <w:pStyle w:val="111"/>
        <w:numPr>
          <w:ilvl w:val="2"/>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r w:rsidRPr="009B0448">
        <w:rPr>
          <w:rFonts w:cs="Times New Roman"/>
          <w:i w:val="0"/>
          <w:sz w:val="22"/>
          <w:szCs w:val="22"/>
        </w:rPr>
        <w:t xml:space="preserve"> </w:t>
      </w:r>
      <w:bookmarkStart w:id="118" w:name="_Toc519499837"/>
      <w:r w:rsidRPr="009B0448">
        <w:rPr>
          <w:rFonts w:cs="Times New Roman"/>
          <w:i w:val="0"/>
          <w:sz w:val="22"/>
          <w:szCs w:val="22"/>
        </w:rPr>
        <w:t>Impacts of changes in contributions of nature on people’s health</w:t>
      </w:r>
      <w:bookmarkEnd w:id="117"/>
      <w:bookmarkEnd w:id="118"/>
    </w:p>
    <w:p w14:paraId="1961CF92"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There is a growing recognition worldwide of the crucial links between health and the natural environment. The linkages between biodiversity, ecosystem, ecosystem services (its conservation, sustainable use, status, trend, and degradation) and human health are increasingly taking centre stage in conservation and policy discussion in many parts of the world (SPM sections B &amp; E). The issue has become more prominent following decisions at the 12</w:t>
      </w:r>
      <w:r w:rsidRPr="009B0448">
        <w:rPr>
          <w:rFonts w:ascii="Times New Roman" w:hAnsi="Times New Roman" w:cs="Times New Roman"/>
          <w:vertAlign w:val="superscript"/>
        </w:rPr>
        <w:t>th</w:t>
      </w:r>
      <w:r w:rsidRPr="009B0448">
        <w:rPr>
          <w:rFonts w:ascii="Times New Roman" w:hAnsi="Times New Roman" w:cs="Times New Roman"/>
        </w:rPr>
        <w:t xml:space="preserve"> Conference of the Parties to the Convention on Biological Diversity in October 2014, which encouraged Parties to “consider biodiversity and health linkages in the preparation of national biodiversity strategies and action plans, development plans and national health strategies” (UNEP, 2014). This is due to the fact that, as mentioned earlier, many raw materials for the pharmaceuticals are tied to the conservation and sustainable use of certain plant or animal species or genetic resources (Kretsch </w:t>
      </w:r>
      <w:r w:rsidRPr="009B0448">
        <w:rPr>
          <w:rFonts w:ascii="Times New Roman" w:hAnsi="Times New Roman" w:cs="Times New Roman"/>
          <w:i/>
        </w:rPr>
        <w:t>et al.</w:t>
      </w:r>
      <w:r w:rsidRPr="009B0448">
        <w:rPr>
          <w:rFonts w:ascii="Times New Roman" w:hAnsi="Times New Roman" w:cs="Times New Roman"/>
        </w:rPr>
        <w:t xml:space="preserve">, 2016). In many traditional communities, watersheds and some rare species and special habitats that have high medicinal value or contribute to climate and </w:t>
      </w:r>
      <w:r w:rsidRPr="009B0448">
        <w:rPr>
          <w:rFonts w:ascii="Times New Roman" w:hAnsi="Times New Roman" w:cs="Times New Roman"/>
        </w:rPr>
        <w:lastRenderedPageBreak/>
        <w:t xml:space="preserve">water regulation have been inadvertently preserved by their status as sacred sites. Similarly, nature through biodiversity and ecosystem services contribute significantly to dietary health, mental health, emerging infectious diseases, in medical research, and the use of sentinel species in health risk assessments, (see Chivian </w:t>
      </w:r>
      <w:r w:rsidRPr="009B0448">
        <w:rPr>
          <w:rFonts w:ascii="Times New Roman" w:hAnsi="Times New Roman" w:cs="Times New Roman"/>
          <w:i/>
        </w:rPr>
        <w:t>et al.</w:t>
      </w:r>
      <w:r w:rsidRPr="009B0448">
        <w:rPr>
          <w:rFonts w:ascii="Times New Roman" w:hAnsi="Times New Roman" w:cs="Times New Roman"/>
        </w:rPr>
        <w:t xml:space="preserve">, 2008; Keune </w:t>
      </w:r>
      <w:r w:rsidRPr="009B0448">
        <w:rPr>
          <w:rFonts w:ascii="Times New Roman" w:hAnsi="Times New Roman" w:cs="Times New Roman"/>
          <w:i/>
        </w:rPr>
        <w:t>et al.</w:t>
      </w:r>
      <w:r w:rsidRPr="009B0448">
        <w:rPr>
          <w:rFonts w:ascii="Times New Roman" w:hAnsi="Times New Roman" w:cs="Times New Roman"/>
        </w:rPr>
        <w:t xml:space="preserve">, 2013; CBD Secretariat </w:t>
      </w:r>
      <w:r w:rsidRPr="009B0448">
        <w:rPr>
          <w:rFonts w:ascii="Times New Roman" w:hAnsi="Times New Roman" w:cs="Times New Roman"/>
          <w:i/>
        </w:rPr>
        <w:t>et al</w:t>
      </w:r>
      <w:r w:rsidRPr="009B0448">
        <w:rPr>
          <w:rFonts w:ascii="Times New Roman" w:hAnsi="Times New Roman" w:cs="Times New Roman"/>
        </w:rPr>
        <w:t xml:space="preserve">., 2015). </w:t>
      </w:r>
    </w:p>
    <w:p w14:paraId="5864D84C" w14:textId="77777777" w:rsidR="009B0448" w:rsidRPr="009B0448" w:rsidRDefault="009B0448" w:rsidP="009B0448">
      <w:pPr>
        <w:spacing w:line="276" w:lineRule="auto"/>
        <w:jc w:val="both"/>
        <w:rPr>
          <w:rFonts w:ascii="Times New Roman" w:hAnsi="Times New Roman" w:cs="Times New Roman"/>
        </w:rPr>
      </w:pPr>
    </w:p>
    <w:p w14:paraId="2FCAC7A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assessment of the impact of the change in ecosystem services on health is critical because when health is affected, there is bound to be a cascading effect on the other aspects of well-being such as quality of life, livelihood security and freedom of action. According to Kretsch </w:t>
      </w:r>
      <w:r w:rsidRPr="009B0448">
        <w:rPr>
          <w:rFonts w:ascii="Times New Roman" w:hAnsi="Times New Roman" w:cs="Times New Roman"/>
          <w:i/>
        </w:rPr>
        <w:t>et al.</w:t>
      </w:r>
      <w:r w:rsidRPr="009B0448">
        <w:rPr>
          <w:rFonts w:ascii="Times New Roman" w:hAnsi="Times New Roman" w:cs="Times New Roman"/>
        </w:rPr>
        <w:t xml:space="preserve"> (2016), apart from the many recognised connections between ecosystems and health, health comprises a major element of self-reported assessments of personal (subjective) and population (objective) measures of well-being, with health status also affecting personal perceptions of the other aspects of well-being. Additionally, health and health care delivery are also some of the most significant areas of national, regional and local government activity and expenditure. Since ecosystems may be viewed as “settings” in which health is determined or important determinant of human health (Horwitz </w:t>
      </w:r>
      <w:r w:rsidRPr="009B0448">
        <w:rPr>
          <w:rFonts w:ascii="Times New Roman" w:hAnsi="Times New Roman" w:cs="Times New Roman"/>
          <w:i/>
        </w:rPr>
        <w:t>et al.</w:t>
      </w:r>
      <w:r w:rsidRPr="009B0448">
        <w:rPr>
          <w:rFonts w:ascii="Times New Roman" w:hAnsi="Times New Roman" w:cs="Times New Roman"/>
        </w:rPr>
        <w:t xml:space="preserve">, 2011; Myers </w:t>
      </w:r>
      <w:r w:rsidRPr="009B0448">
        <w:rPr>
          <w:rFonts w:ascii="Times New Roman" w:hAnsi="Times New Roman" w:cs="Times New Roman"/>
          <w:i/>
        </w:rPr>
        <w:t>et al.</w:t>
      </w:r>
      <w:r w:rsidRPr="009B0448">
        <w:rPr>
          <w:rFonts w:ascii="Times New Roman" w:hAnsi="Times New Roman" w:cs="Times New Roman"/>
        </w:rPr>
        <w:t xml:space="preserve">, 2013), quantifying the impact of change of nature (biodiversity and ecosystem) on health is, therefore essential to provide insights to the nature and extent of the impact, as well as cascading effects on other aspects of well-being (Chapter 4, section 4.4.4.3.1). There is, however, in certain circumstances, a paradox in that some major changes to natural systems have been associated with public health benefits. For example, early efforts to reduce malaria in certain parts of sub-Saharan Africa (Keiser </w:t>
      </w:r>
      <w:r w:rsidRPr="009B0448">
        <w:rPr>
          <w:rFonts w:ascii="Times New Roman" w:hAnsi="Times New Roman" w:cs="Times New Roman"/>
          <w:i/>
        </w:rPr>
        <w:t>et al.</w:t>
      </w:r>
      <w:r w:rsidRPr="009B0448">
        <w:rPr>
          <w:rFonts w:ascii="Times New Roman" w:hAnsi="Times New Roman" w:cs="Times New Roman"/>
        </w:rPr>
        <w:t xml:space="preserve">, 2005) by draining swamps that were habitats for mosquito vectors was for the eradication of malaria, while certain deforestation, dams, and irrigation projects been to increase the supply of food and clean energy—critical building blocks for public health (Keiser </w:t>
      </w:r>
      <w:r w:rsidRPr="009B0448">
        <w:rPr>
          <w:rFonts w:ascii="Times New Roman" w:hAnsi="Times New Roman" w:cs="Times New Roman"/>
          <w:i/>
        </w:rPr>
        <w:t>et al.</w:t>
      </w:r>
      <w:r w:rsidRPr="009B0448">
        <w:rPr>
          <w:rFonts w:ascii="Times New Roman" w:hAnsi="Times New Roman" w:cs="Times New Roman"/>
        </w:rPr>
        <w:t xml:space="preserve">, 2005; Myers </w:t>
      </w:r>
      <w:r w:rsidRPr="009B0448">
        <w:rPr>
          <w:rFonts w:ascii="Times New Roman" w:hAnsi="Times New Roman" w:cs="Times New Roman"/>
          <w:i/>
        </w:rPr>
        <w:t>et al.</w:t>
      </w:r>
      <w:r w:rsidRPr="009B0448">
        <w:rPr>
          <w:rFonts w:ascii="Times New Roman" w:hAnsi="Times New Roman" w:cs="Times New Roman"/>
        </w:rPr>
        <w:t xml:space="preserve">, 2013). </w:t>
      </w:r>
    </w:p>
    <w:p w14:paraId="115A4F07" w14:textId="77777777" w:rsidR="009B0448" w:rsidRPr="009B0448" w:rsidRDefault="009B0448" w:rsidP="00FA7185">
      <w:pPr>
        <w:pStyle w:val="111"/>
        <w:numPr>
          <w:ilvl w:val="2"/>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119" w:name="_Toc501997907"/>
      <w:bookmarkStart w:id="120" w:name="_Toc519499838"/>
      <w:r w:rsidRPr="009B0448">
        <w:rPr>
          <w:rFonts w:cs="Times New Roman"/>
          <w:i w:val="0"/>
          <w:sz w:val="22"/>
          <w:szCs w:val="22"/>
        </w:rPr>
        <w:t>Impacts of changes in contributions of nature on livelihood security</w:t>
      </w:r>
      <w:bookmarkEnd w:id="119"/>
      <w:bookmarkEnd w:id="120"/>
    </w:p>
    <w:p w14:paraId="50966E9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decline in biodiversity and ecosystem services is resulting in more variable ecological dynamics, </w:t>
      </w:r>
      <w:r w:rsidRPr="009B0448">
        <w:rPr>
          <w:rFonts w:ascii="Times New Roman" w:hAnsi="Times New Roman" w:cs="Times New Roman"/>
          <w:noProof/>
        </w:rPr>
        <w:t>the decline</w:t>
      </w:r>
      <w:r w:rsidRPr="009B0448">
        <w:rPr>
          <w:rFonts w:ascii="Times New Roman" w:hAnsi="Times New Roman" w:cs="Times New Roman"/>
        </w:rPr>
        <w:t xml:space="preserve"> in nature contributions to humans, and more human exposure to catastrophic hazards and diseases and increasing loss of livelihoods, especially to marginalised communities in the tropics especially in Africa (Chapters 3 &amp; 4). It, </w:t>
      </w:r>
      <w:r w:rsidRPr="009B0448">
        <w:rPr>
          <w:rFonts w:ascii="Times New Roman" w:hAnsi="Times New Roman" w:cs="Times New Roman"/>
          <w:noProof/>
        </w:rPr>
        <w:t>therefore,</w:t>
      </w:r>
      <w:r w:rsidRPr="009B0448">
        <w:rPr>
          <w:rFonts w:ascii="Times New Roman" w:hAnsi="Times New Roman" w:cs="Times New Roman"/>
        </w:rPr>
        <w:t xml:space="preserve"> implies that sustainably managed ecosystems that enhance the continuous flow of ecosystem services are vital to sustaining human well-being, as both are mutually beneficial (SPM section E). It is becoming clear that promoting the conservation of one ecosystem service, (for example, in safeguarding watersheds to maintain water regulation), a bundle of other ecosystem services will be provided such as prevention soil and soil nutrient erosion (Maukonen </w:t>
      </w:r>
      <w:r w:rsidRPr="009B0448">
        <w:rPr>
          <w:rFonts w:ascii="Times New Roman" w:hAnsi="Times New Roman" w:cs="Times New Roman"/>
          <w:i/>
        </w:rPr>
        <w:t>et al.</w:t>
      </w:r>
      <w:r w:rsidRPr="009B0448">
        <w:rPr>
          <w:rFonts w:ascii="Times New Roman" w:hAnsi="Times New Roman" w:cs="Times New Roman"/>
        </w:rPr>
        <w:t xml:space="preserve">, 2017), thus showing positive synergies (Chapter 6; SPM section E). For example, according to Effiom (2013b), 95% and 86% of primate-dispersed trees utilised by rural households provide fruit and/or nuts and other non-timber forest products, respectively, showing that these trees are significantly very important for human sustenance (Chapter 3). This study corroborates previous findings from other studies from the African region (Fa </w:t>
      </w:r>
      <w:r w:rsidRPr="009B0448">
        <w:rPr>
          <w:rFonts w:ascii="Times New Roman" w:hAnsi="Times New Roman" w:cs="Times New Roman"/>
          <w:i/>
        </w:rPr>
        <w:t>et al.</w:t>
      </w:r>
      <w:r w:rsidRPr="009B0448">
        <w:rPr>
          <w:rFonts w:ascii="Times New Roman" w:hAnsi="Times New Roman" w:cs="Times New Roman"/>
        </w:rPr>
        <w:t xml:space="preserve">, 2006; Kone </w:t>
      </w:r>
      <w:r w:rsidRPr="009B0448">
        <w:rPr>
          <w:rFonts w:ascii="Times New Roman" w:hAnsi="Times New Roman" w:cs="Times New Roman"/>
          <w:i/>
        </w:rPr>
        <w:t>et al.</w:t>
      </w:r>
      <w:r w:rsidRPr="009B0448">
        <w:rPr>
          <w:rFonts w:ascii="Times New Roman" w:hAnsi="Times New Roman" w:cs="Times New Roman"/>
        </w:rPr>
        <w:t xml:space="preserve">, 2008) in terms of a general reliance on forest resources, such as bushmeat, fruits and/or nuts, medicinal plants, timber and other non-timber forest products, including firewood as source of livelihood (Chapters 3 &amp; 4). The take home message here is that structural and functional change to biodiversity which diminishes nature’s capacity to contribute benefits to </w:t>
      </w:r>
      <w:r w:rsidRPr="009B0448">
        <w:rPr>
          <w:rFonts w:ascii="Times New Roman" w:hAnsi="Times New Roman" w:cs="Times New Roman"/>
          <w:noProof/>
        </w:rPr>
        <w:t>human</w:t>
      </w:r>
      <w:r w:rsidRPr="009B0448">
        <w:rPr>
          <w:rFonts w:ascii="Times New Roman" w:hAnsi="Times New Roman" w:cs="Times New Roman"/>
        </w:rPr>
        <w:t xml:space="preserve"> will impact negatively on livelihood security. This impact becomes particularly prominent in localities that lacks provision of alternative livelihood options and /or viable adaptive measures to combat environmental change. It, </w:t>
      </w:r>
      <w:r w:rsidRPr="009B0448">
        <w:rPr>
          <w:rFonts w:ascii="Times New Roman" w:hAnsi="Times New Roman" w:cs="Times New Roman"/>
          <w:noProof/>
        </w:rPr>
        <w:t>therefore</w:t>
      </w:r>
      <w:r w:rsidRPr="009B0448">
        <w:rPr>
          <w:rFonts w:ascii="Times New Roman" w:hAnsi="Times New Roman" w:cs="Times New Roman"/>
        </w:rPr>
        <w:t xml:space="preserve"> follows that achieving human livelihood security especially that in the developing world, will depend greatly on achieving environmental security (Biggs </w:t>
      </w:r>
      <w:r w:rsidRPr="009B0448">
        <w:rPr>
          <w:rFonts w:ascii="Times New Roman" w:hAnsi="Times New Roman" w:cs="Times New Roman"/>
          <w:i/>
        </w:rPr>
        <w:t>et al.</w:t>
      </w:r>
      <w:r w:rsidRPr="009B0448">
        <w:rPr>
          <w:rFonts w:ascii="Times New Roman" w:hAnsi="Times New Roman" w:cs="Times New Roman"/>
        </w:rPr>
        <w:t xml:space="preserve">, 2014). </w:t>
      </w:r>
    </w:p>
    <w:p w14:paraId="361DC01F" w14:textId="77777777" w:rsidR="009B0448" w:rsidRPr="009B0448" w:rsidRDefault="009B0448" w:rsidP="009B0448">
      <w:pPr>
        <w:spacing w:line="276" w:lineRule="auto"/>
        <w:jc w:val="both"/>
        <w:rPr>
          <w:rFonts w:ascii="Times New Roman" w:hAnsi="Times New Roman" w:cs="Times New Roman"/>
        </w:rPr>
      </w:pPr>
    </w:p>
    <w:p w14:paraId="2E60254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lastRenderedPageBreak/>
        <w:t xml:space="preserve">Environmental security is a component of ‘Environmental Livelihood Security (ELS). The concept of ELS encompasses a balance between natural resource supply, nature contribution to people, and human demand on the environment to promote sustainable livelihood (Biggs </w:t>
      </w:r>
      <w:r w:rsidRPr="009B0448">
        <w:rPr>
          <w:rFonts w:ascii="Times New Roman" w:hAnsi="Times New Roman" w:cs="Times New Roman"/>
          <w:i/>
        </w:rPr>
        <w:t>et al.</w:t>
      </w:r>
      <w:r w:rsidRPr="009B0448">
        <w:rPr>
          <w:rFonts w:ascii="Times New Roman" w:hAnsi="Times New Roman" w:cs="Times New Roman"/>
        </w:rPr>
        <w:t xml:space="preserve">, 2014). ELS describe the challenges of maintaining global food security, universal access to freshwater and energy to sustain livelihoods and the promotion of inclusive economic growth, whilst sustaining key environmental systems functionality. Maintaining this balance poses a significant challenge, as shown earlier and in Chapters 3 and 4 to follow, as livelihood activities contribute in many instances to </w:t>
      </w:r>
      <w:r w:rsidRPr="009B0448">
        <w:rPr>
          <w:rFonts w:ascii="Times New Roman" w:hAnsi="Times New Roman" w:cs="Times New Roman"/>
          <w:noProof/>
        </w:rPr>
        <w:t>the undesirable</w:t>
      </w:r>
      <w:r w:rsidRPr="009B0448">
        <w:rPr>
          <w:rFonts w:ascii="Times New Roman" w:hAnsi="Times New Roman" w:cs="Times New Roman"/>
        </w:rPr>
        <w:t xml:space="preserve"> transformation of natural ecosystems (Chambers </w:t>
      </w:r>
      <w:r w:rsidRPr="009B0448">
        <w:rPr>
          <w:rFonts w:ascii="Times New Roman" w:hAnsi="Times New Roman" w:cs="Times New Roman"/>
          <w:i/>
        </w:rPr>
        <w:t>et al.</w:t>
      </w:r>
      <w:r w:rsidRPr="009B0448">
        <w:rPr>
          <w:rFonts w:ascii="Times New Roman" w:hAnsi="Times New Roman" w:cs="Times New Roman"/>
        </w:rPr>
        <w:t xml:space="preserve">, 1992). The interactions between environmental changes and the effect of human utilisation for livelihood is enormously complex. Hence in 1992, the UN Conference on Environment and Development adopted the term sustainable livelihoods, as a means of linking socioeconomic and environmental concerns (Brocklesby </w:t>
      </w:r>
      <w:r w:rsidRPr="009B0448">
        <w:rPr>
          <w:rFonts w:ascii="Times New Roman" w:hAnsi="Times New Roman" w:cs="Times New Roman"/>
          <w:i/>
        </w:rPr>
        <w:t>et al.</w:t>
      </w:r>
      <w:r w:rsidRPr="009B0448">
        <w:rPr>
          <w:rFonts w:ascii="Times New Roman" w:hAnsi="Times New Roman" w:cs="Times New Roman"/>
        </w:rPr>
        <w:t>, 2003), stressing that degradation of ecosystem services could be significantly slowed or reversed if the full socioeconomic value of ecosystem services were taken into account in policy planning and decision-making (Chapter 6; SPM sections A &amp; E).</w:t>
      </w:r>
    </w:p>
    <w:p w14:paraId="3981E6BC" w14:textId="77777777" w:rsidR="009B0448" w:rsidRPr="009B0448" w:rsidRDefault="009B0448" w:rsidP="009B0448">
      <w:pPr>
        <w:spacing w:line="276" w:lineRule="auto"/>
        <w:jc w:val="both"/>
        <w:rPr>
          <w:rFonts w:ascii="Times New Roman" w:hAnsi="Times New Roman" w:cs="Times New Roman"/>
        </w:rPr>
      </w:pPr>
    </w:p>
    <w:p w14:paraId="477D9602" w14:textId="77777777" w:rsidR="009B0448" w:rsidRPr="009B0448" w:rsidRDefault="009B0448" w:rsidP="00FA7185">
      <w:pPr>
        <w:pStyle w:val="111"/>
        <w:numPr>
          <w:ilvl w:val="2"/>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121" w:name="_Toc519499839"/>
      <w:r w:rsidRPr="009B0448">
        <w:rPr>
          <w:rFonts w:cs="Times New Roman"/>
          <w:i w:val="0"/>
          <w:sz w:val="22"/>
          <w:szCs w:val="22"/>
        </w:rPr>
        <w:t>Impacts of changes in contributions of nature on people’s freedom</w:t>
      </w:r>
      <w:bookmarkEnd w:id="121"/>
    </w:p>
    <w:p w14:paraId="37F0B12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Freedom and, in most cases, the ability to make choice(s) cannot exist without the presence of the other elements of well-being–including human basic needs of food, shelter, clothing, </w:t>
      </w:r>
      <w:r w:rsidRPr="009B0448">
        <w:rPr>
          <w:rFonts w:ascii="Times New Roman" w:hAnsi="Times New Roman" w:cs="Times New Roman"/>
          <w:noProof/>
        </w:rPr>
        <w:t>and</w:t>
      </w:r>
      <w:r w:rsidRPr="009B0448">
        <w:rPr>
          <w:rFonts w:ascii="Times New Roman" w:hAnsi="Times New Roman" w:cs="Times New Roman"/>
        </w:rPr>
        <w:t xml:space="preserve"> income. Nature contributions to people through the different forms of ecosystems services (supporting, provisioning, regulating, and cultural) underpin human well-being (MA, 2005). Degradation of natural ecosystems that limits nature’s capacity to contribute to the supply of these elements of well-being has an indirect negative impact on human freedom of choice or action. This has been evident throughout the continent - for example, conditions such as degraded natural forest may lead to </w:t>
      </w:r>
      <w:r w:rsidRPr="009B0448">
        <w:rPr>
          <w:rFonts w:ascii="Times New Roman" w:hAnsi="Times New Roman" w:cs="Times New Roman"/>
          <w:noProof/>
        </w:rPr>
        <w:t>a poor</w:t>
      </w:r>
      <w:r w:rsidRPr="009B0448">
        <w:rPr>
          <w:rFonts w:ascii="Times New Roman" w:hAnsi="Times New Roman" w:cs="Times New Roman"/>
        </w:rPr>
        <w:t xml:space="preserve"> harvest of non-timber forest products, and, ultimately, result in a substantial loss of livelihood (Chapter 3). </w:t>
      </w:r>
    </w:p>
    <w:p w14:paraId="27C90A9F" w14:textId="77777777" w:rsidR="009B0448" w:rsidRPr="009B0448" w:rsidRDefault="009B0448" w:rsidP="009B0448">
      <w:pPr>
        <w:spacing w:line="276" w:lineRule="auto"/>
        <w:jc w:val="both"/>
        <w:rPr>
          <w:rFonts w:ascii="Times New Roman" w:hAnsi="Times New Roman" w:cs="Times New Roman"/>
        </w:rPr>
      </w:pPr>
    </w:p>
    <w:p w14:paraId="66A94D5A"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impact of change on nature contributions to human well-being is bound to adversely constrain the actions of the poor, whose economic and social sustenance depend greatly on the services of natural systems. Conversely, people living in countries with effective environmental governance, where, for instance, energy, quality education, </w:t>
      </w:r>
      <w:r w:rsidRPr="009B0448">
        <w:rPr>
          <w:rFonts w:ascii="Times New Roman" w:hAnsi="Times New Roman" w:cs="Times New Roman"/>
          <w:noProof/>
        </w:rPr>
        <w:t>and</w:t>
      </w:r>
      <w:r w:rsidRPr="009B0448">
        <w:rPr>
          <w:rFonts w:ascii="Times New Roman" w:hAnsi="Times New Roman" w:cs="Times New Roman"/>
        </w:rPr>
        <w:t xml:space="preserve"> safe drinking water are affordable and accessible, can exercise and maintain freedom. There are currently limited studies providing evidence as to how </w:t>
      </w:r>
      <w:r w:rsidRPr="009B0448">
        <w:rPr>
          <w:rFonts w:ascii="Times New Roman" w:hAnsi="Times New Roman" w:cs="Times New Roman"/>
          <w:noProof/>
        </w:rPr>
        <w:t>a change</w:t>
      </w:r>
      <w:r w:rsidRPr="009B0448">
        <w:rPr>
          <w:rFonts w:ascii="Times New Roman" w:hAnsi="Times New Roman" w:cs="Times New Roman"/>
        </w:rPr>
        <w:t xml:space="preserve"> of ecosystem structure and services may impact human freedom, a research gap that requires prioritisation. This section thereby recognises the need for improved research to grant </w:t>
      </w:r>
      <w:r w:rsidRPr="009B0448">
        <w:rPr>
          <w:rFonts w:ascii="Times New Roman" w:hAnsi="Times New Roman" w:cs="Times New Roman"/>
          <w:noProof/>
        </w:rPr>
        <w:t>a better</w:t>
      </w:r>
      <w:r w:rsidRPr="009B0448">
        <w:rPr>
          <w:rFonts w:ascii="Times New Roman" w:hAnsi="Times New Roman" w:cs="Times New Roman"/>
        </w:rPr>
        <w:t xml:space="preserve"> understanding of the impact of impacts of the alteration of </w:t>
      </w:r>
      <w:r w:rsidRPr="009B0448">
        <w:rPr>
          <w:rFonts w:ascii="Times New Roman" w:hAnsi="Times New Roman" w:cs="Times New Roman"/>
          <w:noProof/>
        </w:rPr>
        <w:t>the ecosystem</w:t>
      </w:r>
      <w:r w:rsidRPr="009B0448">
        <w:rPr>
          <w:rFonts w:ascii="Times New Roman" w:hAnsi="Times New Roman" w:cs="Times New Roman"/>
        </w:rPr>
        <w:t xml:space="preserve"> on livelihood, health, </w:t>
      </w:r>
      <w:r w:rsidRPr="009B0448">
        <w:rPr>
          <w:rFonts w:ascii="Times New Roman" w:hAnsi="Times New Roman" w:cs="Times New Roman"/>
          <w:noProof/>
        </w:rPr>
        <w:t>and</w:t>
      </w:r>
      <w:r w:rsidRPr="009B0448">
        <w:rPr>
          <w:rFonts w:ascii="Times New Roman" w:hAnsi="Times New Roman" w:cs="Times New Roman"/>
        </w:rPr>
        <w:t xml:space="preserve"> freedom, to better inform decision-making in the land-use planning, biodiversity and nature conservation and resource allocation for the attainment of total well-being for </w:t>
      </w:r>
      <w:r w:rsidRPr="009B0448">
        <w:rPr>
          <w:rFonts w:ascii="Times New Roman" w:hAnsi="Times New Roman" w:cs="Times New Roman"/>
          <w:noProof/>
        </w:rPr>
        <w:t>a man</w:t>
      </w:r>
      <w:r w:rsidRPr="009B0448">
        <w:rPr>
          <w:rFonts w:ascii="Times New Roman" w:hAnsi="Times New Roman" w:cs="Times New Roman"/>
        </w:rPr>
        <w:t xml:space="preserve"> in the African region.</w:t>
      </w:r>
    </w:p>
    <w:p w14:paraId="08095C80" w14:textId="77777777" w:rsidR="009B0448" w:rsidRPr="009B0448" w:rsidRDefault="009B0448" w:rsidP="00FA7185">
      <w:pPr>
        <w:pStyle w:val="Heading3"/>
        <w:widowControl w:val="0"/>
        <w:numPr>
          <w:ilvl w:val="1"/>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r w:rsidRPr="009B0448">
        <w:rPr>
          <w:rFonts w:eastAsia="Calibri" w:cs="Times New Roman"/>
          <w:szCs w:val="24"/>
        </w:rPr>
        <w:t xml:space="preserve"> </w:t>
      </w:r>
      <w:bookmarkStart w:id="122" w:name="_Toc519499840"/>
      <w:r w:rsidRPr="009B0448">
        <w:rPr>
          <w:rFonts w:eastAsia="Calibri" w:cs="Times New Roman"/>
          <w:szCs w:val="24"/>
        </w:rPr>
        <w:t>Negative nature’s contributions to people</w:t>
      </w:r>
      <w:bookmarkEnd w:id="122"/>
    </w:p>
    <w:p w14:paraId="6A2E5611" w14:textId="51122FB3"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As mentioned in Chapter 1 and throughout this chapter thus far, nature provides benefits for human well-being (MA 2005; IPBES, 2016). It should be noted</w:t>
      </w:r>
      <w:r w:rsidR="007460EE">
        <w:rPr>
          <w:rFonts w:ascii="Times New Roman" w:hAnsi="Times New Roman" w:cs="Times New Roman"/>
        </w:rPr>
        <w:t>,</w:t>
      </w:r>
      <w:r w:rsidRPr="009B0448">
        <w:rPr>
          <w:rFonts w:ascii="Times New Roman" w:hAnsi="Times New Roman" w:cs="Times New Roman"/>
        </w:rPr>
        <w:t xml:space="preserve"> </w:t>
      </w:r>
      <w:r w:rsidR="007460EE" w:rsidRPr="009B0448">
        <w:rPr>
          <w:rFonts w:ascii="Times New Roman" w:hAnsi="Times New Roman" w:cs="Times New Roman"/>
        </w:rPr>
        <w:t>however</w:t>
      </w:r>
      <w:r w:rsidR="007460EE">
        <w:rPr>
          <w:rFonts w:ascii="Times New Roman" w:hAnsi="Times New Roman" w:cs="Times New Roman"/>
        </w:rPr>
        <w:t>,</w:t>
      </w:r>
      <w:r w:rsidR="007460EE" w:rsidRPr="009B0448">
        <w:rPr>
          <w:rFonts w:ascii="Times New Roman" w:hAnsi="Times New Roman" w:cs="Times New Roman"/>
        </w:rPr>
        <w:t xml:space="preserve"> </w:t>
      </w:r>
      <w:r w:rsidRPr="009B0448">
        <w:rPr>
          <w:rFonts w:ascii="Times New Roman" w:hAnsi="Times New Roman" w:cs="Times New Roman"/>
        </w:rPr>
        <w:t>that not all nature</w:t>
      </w:r>
      <w:r w:rsidR="007460EE">
        <w:rPr>
          <w:rFonts w:ascii="Times New Roman" w:hAnsi="Times New Roman" w:cs="Times New Roman"/>
        </w:rPr>
        <w:t xml:space="preserve">`s contributions are positive; </w:t>
      </w:r>
      <w:r w:rsidRPr="009B0448">
        <w:rPr>
          <w:rFonts w:ascii="Times New Roman" w:hAnsi="Times New Roman" w:cs="Times New Roman"/>
        </w:rPr>
        <w:t xml:space="preserve">some are negative with adverse impacts on human well-being (Lukamba, 2010). Certain studies refer to contributions by ecosystems that are perceived to have a negative impact on human well-being as ecosystem disservices (Lyytimäki </w:t>
      </w:r>
      <w:r w:rsidRPr="009B0448">
        <w:rPr>
          <w:rFonts w:ascii="Times New Roman" w:hAnsi="Times New Roman" w:cs="Times New Roman"/>
          <w:i/>
        </w:rPr>
        <w:t>et al.</w:t>
      </w:r>
      <w:r w:rsidRPr="009B0448">
        <w:rPr>
          <w:rFonts w:ascii="Times New Roman" w:hAnsi="Times New Roman" w:cs="Times New Roman"/>
        </w:rPr>
        <w:t xml:space="preserve">, 2009; von Döhren </w:t>
      </w:r>
      <w:r w:rsidRPr="009B0448">
        <w:rPr>
          <w:rFonts w:ascii="Times New Roman" w:hAnsi="Times New Roman" w:cs="Times New Roman"/>
          <w:i/>
        </w:rPr>
        <w:t>et al.</w:t>
      </w:r>
      <w:r w:rsidRPr="009B0448">
        <w:rPr>
          <w:rFonts w:ascii="Times New Roman" w:hAnsi="Times New Roman" w:cs="Times New Roman"/>
        </w:rPr>
        <w:t xml:space="preserve">, 2015). For instance, the decimation of large primates in hunted tropical forest is associated with a lower richness of seedlings for large-seeded trees that are dispersed by primates, and a higher richness of seedlings for small-seeded species that are dispersed abiotically or by other animals (Nunez-Iturri </w:t>
      </w:r>
      <w:r w:rsidRPr="009B0448">
        <w:rPr>
          <w:rFonts w:ascii="Times New Roman" w:hAnsi="Times New Roman" w:cs="Times New Roman"/>
          <w:i/>
        </w:rPr>
        <w:t>et al.</w:t>
      </w:r>
      <w:r w:rsidRPr="009B0448">
        <w:rPr>
          <w:rFonts w:ascii="Times New Roman" w:hAnsi="Times New Roman" w:cs="Times New Roman"/>
        </w:rPr>
        <w:t xml:space="preserve">, 2008; Effiom </w:t>
      </w:r>
      <w:r w:rsidRPr="009B0448">
        <w:rPr>
          <w:rFonts w:ascii="Times New Roman" w:hAnsi="Times New Roman" w:cs="Times New Roman"/>
          <w:i/>
        </w:rPr>
        <w:t>et al.</w:t>
      </w:r>
      <w:r w:rsidRPr="009B0448">
        <w:rPr>
          <w:rFonts w:ascii="Times New Roman" w:hAnsi="Times New Roman" w:cs="Times New Roman"/>
        </w:rPr>
        <w:t xml:space="preserve">, 2013c; </w:t>
      </w:r>
      <w:r w:rsidRPr="009B0448">
        <w:rPr>
          <w:rFonts w:ascii="Times New Roman" w:hAnsi="Times New Roman" w:cs="Times New Roman"/>
        </w:rPr>
        <w:lastRenderedPageBreak/>
        <w:t xml:space="preserve">Effiom, 2013a; Chapter 3). Plant richness may significantly affect the way in which ecosystems function, which may, in turn, determine the provisioning of certain ecosystem services (Lewis </w:t>
      </w:r>
      <w:r w:rsidRPr="009B0448">
        <w:rPr>
          <w:rFonts w:ascii="Times New Roman" w:hAnsi="Times New Roman" w:cs="Times New Roman"/>
          <w:i/>
        </w:rPr>
        <w:t>et al.</w:t>
      </w:r>
      <w:r w:rsidRPr="009B0448">
        <w:rPr>
          <w:rFonts w:ascii="Times New Roman" w:hAnsi="Times New Roman" w:cs="Times New Roman"/>
        </w:rPr>
        <w:t>,</w:t>
      </w:r>
      <w:r w:rsidRPr="009B0448">
        <w:rPr>
          <w:rFonts w:ascii="Times New Roman" w:hAnsi="Times New Roman" w:cs="Times New Roman"/>
          <w:i/>
        </w:rPr>
        <w:t xml:space="preserve"> </w:t>
      </w:r>
      <w:r w:rsidRPr="009B0448">
        <w:rPr>
          <w:rFonts w:ascii="Times New Roman" w:hAnsi="Times New Roman" w:cs="Times New Roman"/>
        </w:rPr>
        <w:t xml:space="preserve">2004; Bunker </w:t>
      </w:r>
      <w:r w:rsidRPr="009B0448">
        <w:rPr>
          <w:rFonts w:ascii="Times New Roman" w:hAnsi="Times New Roman" w:cs="Times New Roman"/>
          <w:i/>
        </w:rPr>
        <w:t>et al.</w:t>
      </w:r>
      <w:r w:rsidRPr="009B0448">
        <w:rPr>
          <w:rFonts w:ascii="Times New Roman" w:hAnsi="Times New Roman" w:cs="Times New Roman"/>
        </w:rPr>
        <w:t>,</w:t>
      </w:r>
      <w:r w:rsidRPr="009B0448">
        <w:rPr>
          <w:rFonts w:ascii="Times New Roman" w:hAnsi="Times New Roman" w:cs="Times New Roman"/>
          <w:i/>
        </w:rPr>
        <w:t xml:space="preserve"> </w:t>
      </w:r>
      <w:r w:rsidRPr="009B0448">
        <w:rPr>
          <w:rFonts w:ascii="Times New Roman" w:hAnsi="Times New Roman" w:cs="Times New Roman"/>
        </w:rPr>
        <w:t xml:space="preserve">2005; Brodie </w:t>
      </w:r>
      <w:r w:rsidRPr="009B0448">
        <w:rPr>
          <w:rFonts w:ascii="Times New Roman" w:hAnsi="Times New Roman" w:cs="Times New Roman"/>
          <w:i/>
        </w:rPr>
        <w:t>et al.</w:t>
      </w:r>
      <w:r w:rsidRPr="009B0448">
        <w:rPr>
          <w:rFonts w:ascii="Times New Roman" w:hAnsi="Times New Roman" w:cs="Times New Roman"/>
        </w:rPr>
        <w:t xml:space="preserve">, 2009; Lavorel </w:t>
      </w:r>
      <w:r w:rsidRPr="009B0448">
        <w:rPr>
          <w:rFonts w:ascii="Times New Roman" w:hAnsi="Times New Roman" w:cs="Times New Roman"/>
          <w:i/>
        </w:rPr>
        <w:t>et al.</w:t>
      </w:r>
      <w:r w:rsidRPr="009B0448">
        <w:rPr>
          <w:rFonts w:ascii="Times New Roman" w:hAnsi="Times New Roman" w:cs="Times New Roman"/>
        </w:rPr>
        <w:t xml:space="preserve">, 2012). Hunting may cause community-level shifts along the leaf economics spectrum (Wright </w:t>
      </w:r>
      <w:r w:rsidRPr="009B0448">
        <w:rPr>
          <w:rFonts w:ascii="Times New Roman" w:hAnsi="Times New Roman" w:cs="Times New Roman"/>
          <w:i/>
        </w:rPr>
        <w:t>et al.</w:t>
      </w:r>
      <w:r w:rsidRPr="009B0448">
        <w:rPr>
          <w:rFonts w:ascii="Times New Roman" w:hAnsi="Times New Roman" w:cs="Times New Roman"/>
        </w:rPr>
        <w:t>,</w:t>
      </w:r>
      <w:r w:rsidRPr="009B0448">
        <w:rPr>
          <w:rFonts w:ascii="Times New Roman" w:hAnsi="Times New Roman" w:cs="Times New Roman"/>
          <w:i/>
        </w:rPr>
        <w:t xml:space="preserve"> </w:t>
      </w:r>
      <w:r w:rsidRPr="009B0448">
        <w:rPr>
          <w:rFonts w:ascii="Times New Roman" w:hAnsi="Times New Roman" w:cs="Times New Roman"/>
        </w:rPr>
        <w:t xml:space="preserve">2004), with significant effects on processes such as herbivory, litter decomposition, and soil fertility and productivity (Lavorel </w:t>
      </w:r>
      <w:r w:rsidRPr="009B0448">
        <w:rPr>
          <w:rFonts w:ascii="Times New Roman" w:hAnsi="Times New Roman" w:cs="Times New Roman"/>
          <w:i/>
        </w:rPr>
        <w:t>et al.</w:t>
      </w:r>
      <w:r w:rsidRPr="009B0448">
        <w:rPr>
          <w:rFonts w:ascii="Times New Roman" w:hAnsi="Times New Roman" w:cs="Times New Roman"/>
        </w:rPr>
        <w:t xml:space="preserve">, 2012). In other cases, ecosystem disservices may result from inappropriate </w:t>
      </w:r>
      <w:r w:rsidR="00917FB2">
        <w:rPr>
          <w:rFonts w:ascii="Times New Roman" w:hAnsi="Times New Roman" w:cs="Times New Roman"/>
        </w:rPr>
        <w:t>land-use</w:t>
      </w:r>
      <w:r w:rsidRPr="009B0448">
        <w:rPr>
          <w:rFonts w:ascii="Times New Roman" w:hAnsi="Times New Roman" w:cs="Times New Roman"/>
        </w:rPr>
        <w:t xml:space="preserve">, such as the incorrect application of fertilisers and pesticides, increasing cultivation on slopes and overuse and harvest (Power, 2010; Escobedo </w:t>
      </w:r>
      <w:r w:rsidRPr="009B0448">
        <w:rPr>
          <w:rFonts w:ascii="Times New Roman" w:hAnsi="Times New Roman" w:cs="Times New Roman"/>
          <w:i/>
        </w:rPr>
        <w:t>et al.</w:t>
      </w:r>
      <w:r w:rsidRPr="009B0448">
        <w:rPr>
          <w:rFonts w:ascii="Times New Roman" w:hAnsi="Times New Roman" w:cs="Times New Roman"/>
        </w:rPr>
        <w:t xml:space="preserve">, 2011; Firbank </w:t>
      </w:r>
      <w:r w:rsidRPr="009B0448">
        <w:rPr>
          <w:rFonts w:ascii="Times New Roman" w:hAnsi="Times New Roman" w:cs="Times New Roman"/>
          <w:i/>
        </w:rPr>
        <w:t>et al.</w:t>
      </w:r>
      <w:r w:rsidRPr="009B0448">
        <w:rPr>
          <w:rFonts w:ascii="Times New Roman" w:hAnsi="Times New Roman" w:cs="Times New Roman"/>
        </w:rPr>
        <w:t xml:space="preserve">, 2013; von Döhren </w:t>
      </w:r>
      <w:r w:rsidRPr="009B0448">
        <w:rPr>
          <w:rFonts w:ascii="Times New Roman" w:hAnsi="Times New Roman" w:cs="Times New Roman"/>
          <w:i/>
        </w:rPr>
        <w:t>et al.</w:t>
      </w:r>
      <w:r w:rsidRPr="009B0448">
        <w:rPr>
          <w:rFonts w:ascii="Times New Roman" w:hAnsi="Times New Roman" w:cs="Times New Roman"/>
        </w:rPr>
        <w:t xml:space="preserve">, 2015; Chapters 3 &amp; 4). </w:t>
      </w:r>
    </w:p>
    <w:p w14:paraId="699C69A6" w14:textId="01FCFFA5"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497E0F70" wp14:editId="1E73DAB2">
            <wp:extent cx="5726162" cy="6603896"/>
            <wp:effectExtent l="0" t="0" r="8255" b="698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04">
                      <a:extLst>
                        <a:ext uri="{28A0092B-C50C-407E-A947-70E740481C1C}">
                          <a14:useLocalDpi xmlns:a14="http://schemas.microsoft.com/office/drawing/2010/main" val="0"/>
                        </a:ext>
                      </a:extLst>
                    </a:blip>
                    <a:stretch>
                      <a:fillRect/>
                    </a:stretch>
                  </pic:blipFill>
                  <pic:spPr bwMode="auto">
                    <a:xfrm>
                      <a:off x="0" y="0"/>
                      <a:ext cx="5743124" cy="6623459"/>
                    </a:xfrm>
                    <a:prstGeom prst="rect">
                      <a:avLst/>
                    </a:prstGeom>
                    <a:noFill/>
                    <a:ln>
                      <a:noFill/>
                    </a:ln>
                  </pic:spPr>
                </pic:pic>
              </a:graphicData>
            </a:graphic>
          </wp:inline>
        </w:drawing>
      </w:r>
    </w:p>
    <w:p w14:paraId="308DF76C" w14:textId="63B3FCF7" w:rsidR="00463527"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 xml:space="preserve">Figure 2.10: </w:t>
      </w:r>
      <w:r w:rsidRPr="009B0448">
        <w:rPr>
          <w:rFonts w:ascii="Times New Roman" w:hAnsi="Times New Roman" w:cs="Times New Roman"/>
        </w:rPr>
        <w:t>Water crisis in Africa.</w:t>
      </w:r>
      <w:r w:rsidRPr="009B0448">
        <w:rPr>
          <w:rFonts w:ascii="Times New Roman" w:hAnsi="Times New Roman" w:cs="Times New Roman"/>
          <w:b/>
        </w:rPr>
        <w:t xml:space="preserve"> </w:t>
      </w:r>
      <w:r w:rsidRPr="009B0448">
        <w:rPr>
          <w:rFonts w:ascii="Times New Roman" w:hAnsi="Times New Roman" w:cs="Times New Roman"/>
        </w:rPr>
        <w:t>Source: UNECA (2005).</w:t>
      </w:r>
    </w:p>
    <w:p w14:paraId="20D88CD6" w14:textId="77777777" w:rsidR="00463527" w:rsidRDefault="00463527">
      <w:pPr>
        <w:rPr>
          <w:rFonts w:ascii="Times New Roman" w:hAnsi="Times New Roman" w:cs="Times New Roman"/>
        </w:rPr>
      </w:pPr>
      <w:r>
        <w:rPr>
          <w:rFonts w:ascii="Times New Roman" w:hAnsi="Times New Roman" w:cs="Times New Roman"/>
        </w:rPr>
        <w:br w:type="page"/>
      </w:r>
    </w:p>
    <w:p w14:paraId="4DBE3F44" w14:textId="1BA0595D" w:rsidR="00463527" w:rsidRPr="009B0448" w:rsidRDefault="00463527" w:rsidP="009B0448">
      <w:pPr>
        <w:spacing w:line="276" w:lineRule="auto"/>
        <w:jc w:val="both"/>
        <w:rPr>
          <w:rFonts w:ascii="Times New Roman" w:hAnsi="Times New Roman" w:cs="Times New Roman"/>
        </w:rPr>
      </w:pPr>
      <w:r w:rsidRPr="009B0448">
        <w:rPr>
          <w:rFonts w:ascii="Times New Roman" w:hAnsi="Times New Roman" w:cs="Times New Roman"/>
        </w:rPr>
        <w:lastRenderedPageBreak/>
        <w:t xml:space="preserve">Chapter 4 (Section 4.2.1.4) provides more detail on natural disasters; and the role of natural ecosystems in impact and/or driver. For example, the provisioning of material contributions, other than food that is central to human well-being, is also very difficult to realise under drought conditions–water security providing a particularly critical example in this regard (Figure 2.10). </w:t>
      </w:r>
    </w:p>
    <w:p w14:paraId="5159B636" w14:textId="16A86204" w:rsidR="009B0448" w:rsidRPr="009B0448" w:rsidRDefault="009B0448" w:rsidP="00FA7185">
      <w:pPr>
        <w:pStyle w:val="Heading3"/>
        <w:widowControl w:val="0"/>
        <w:numPr>
          <w:ilvl w:val="1"/>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123" w:name="_Toc501997908"/>
      <w:bookmarkStart w:id="124" w:name="_Toc519499841"/>
      <w:r w:rsidRPr="009B0448">
        <w:rPr>
          <w:rFonts w:eastAsia="Calibri" w:cs="Times New Roman"/>
          <w:szCs w:val="24"/>
        </w:rPr>
        <w:t>Conclusion</w:t>
      </w:r>
      <w:bookmarkEnd w:id="123"/>
      <w:bookmarkEnd w:id="124"/>
    </w:p>
    <w:p w14:paraId="79B0167F"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African ecosystems provide material, non-material and regulating nature’s contributions to the people of Africa and the world. Material contributions are the provisioning services that describe the material or energy outputs from ecosystems. The materials considered in this section are food, energy, health and water. Food production serves as an important material contribution of ecosystem services in terms of nature’s contributions to people. Many communities in Africa depend on food provided by natural ecosystems such as forests, grasslands, wetland areas and water bodies sustaining fisheries for their food security. The main food items that are sourced come from bushmeat, insects, fresh fruits, nuts, seeds, tubers and green leafy vegetables, edible oils, drinks spices, condiments, mushrooms, honey, sweeteners, wild tubers, and snails, amongst others. Fuelwood is the dominant source of energy in Africa, with over 90% of energy needs in rural areas supported by fuel wood. Urban areas rely more on charcoal as source of energy for cooking and demand for household energy from rapidly growing urban centres exerts massive pressure on forests. Up to 80% of the population in Africa rely on traditional medicine to help meet their primary health care needs. Furthermore, numerous plant products are used in traditional African medicine. Nature’s non-material contributions from land- and seascapes provide important areas for recreation, relaxation, healing, nature-based tourism and aesthetic enjoyment, religious and spiritual fulfilment, cognitive development, as well as the promotion of social cohesion and a sense of identity. Tourism is well developed and an important source of income in northern, southern, and eastern parts of Africa as well as the oceanic Islands. Many sites in Africa have been classified as protected or heritage sites for their non-material contributions. Regulating contributions from nature are increasingly being appreciated and valued higher in national accounting systems. Highly valued services are mainly linked to agricultural production, including climate, air and water regulation, disease and pest control and pollination. Other services include nesting, feeding and mating sites for birds and mammals, e.g., the Important Bird and Biodiversity Areas.</w:t>
      </w:r>
    </w:p>
    <w:p w14:paraId="735C0104" w14:textId="77777777" w:rsidR="009B0448" w:rsidRPr="009B0448" w:rsidRDefault="009B0448" w:rsidP="009B0448">
      <w:pPr>
        <w:spacing w:line="276" w:lineRule="auto"/>
        <w:jc w:val="both"/>
        <w:rPr>
          <w:rFonts w:ascii="Times New Roman" w:hAnsi="Times New Roman" w:cs="Times New Roman"/>
        </w:rPr>
      </w:pPr>
    </w:p>
    <w:p w14:paraId="2B9FF27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 true value of biodiversity and nature's contributions to human well-being tend to be under-appreciated in decision-making processes in Africa, particularly for non-material and regulating contributions. Existing studies on the valuation of biodiversity and nature’s contributions to people in Africa are few and limited in both geographical scope and the types of ecosystems covered. Valuation of biodiversity and its contributions to people is a tool used in decision-making and in communicating their importance to humanity, thus serving as support for their conservation and sustainable use as well as the sharing of benefits from the utilisation of biological resources. Knowing the value of biodiversity components and their contribution to people can thus encourage investments for their management through the most appropriate methods, and assist in assessing the trade-offs between different policy options as well as the cost and benefits of biodiversity conservation and use policies. Failure to reflect values in decision-making often results in unsustainable use and depletion of biodiversity and ecosystem services. Valuation of biodiversity and nature’s contribution to people has received limited attention across Africa. More studies were conducted in coastal and marine areas, inland waters and forests than in the other ecosystems. Most value studies were conducted in Southern Africa and East Africa and adjacent islands than in other subregions on the continent.</w:t>
      </w:r>
    </w:p>
    <w:p w14:paraId="32256405" w14:textId="77777777" w:rsidR="009B0448" w:rsidRPr="009B0448" w:rsidRDefault="009B0448" w:rsidP="009B0448">
      <w:pPr>
        <w:spacing w:line="276" w:lineRule="auto"/>
        <w:jc w:val="both"/>
        <w:rPr>
          <w:rFonts w:ascii="Times New Roman" w:hAnsi="Times New Roman" w:cs="Times New Roman"/>
        </w:rPr>
      </w:pPr>
    </w:p>
    <w:p w14:paraId="5F7AF4C6" w14:textId="19010C2F" w:rsidR="009B0448" w:rsidRDefault="009B0448" w:rsidP="009B0448">
      <w:pPr>
        <w:spacing w:line="276" w:lineRule="auto"/>
        <w:jc w:val="both"/>
        <w:rPr>
          <w:rFonts w:ascii="Times New Roman" w:hAnsi="Times New Roman" w:cs="Times New Roman"/>
        </w:rPr>
      </w:pPr>
      <w:bookmarkStart w:id="125" w:name="_Toc501997909"/>
      <w:r w:rsidRPr="009B0448">
        <w:rPr>
          <w:rFonts w:ascii="Times New Roman" w:hAnsi="Times New Roman" w:cs="Times New Roman"/>
        </w:rPr>
        <w:lastRenderedPageBreak/>
        <w:t>By taking into account the economic value of the whole range of ecosystem services, including the ones that don’t have a market value per se (water purification, coastal protection, etc.), valuation studies have shown that many ecosystems have a higher overall value when kept in their pristine or optimal health condition than used for material purposes such as timber production. For instance, tropical forest and mangrove have a value 4 times higher when maintained for providing services such as carbon sequestration, non-timber material provisioning, etc. than use for timber production only. Therefore, valuation should be conceived as a tool to guide policy and management decision-making. Overall, policy interventions should be devoted to the maintaining or restoration of an optimum health status of the all ecosystem as well as an optimum use. This will guarantee the resilience of African ecosystem against global changes.</w:t>
      </w:r>
    </w:p>
    <w:p w14:paraId="583D37B2" w14:textId="29EF4C31" w:rsidR="00DA6432" w:rsidRDefault="00DA6432" w:rsidP="009B0448">
      <w:pPr>
        <w:spacing w:line="276" w:lineRule="auto"/>
        <w:jc w:val="both"/>
        <w:rPr>
          <w:rFonts w:ascii="Times New Roman" w:hAnsi="Times New Roman" w:cs="Times New Roman"/>
        </w:rPr>
      </w:pPr>
    </w:p>
    <w:p w14:paraId="5C4ABF8D" w14:textId="416764B4" w:rsidR="00DA6432" w:rsidRDefault="00DA6432" w:rsidP="009B0448">
      <w:pPr>
        <w:spacing w:line="276" w:lineRule="auto"/>
        <w:jc w:val="both"/>
        <w:rPr>
          <w:rFonts w:ascii="Times New Roman" w:hAnsi="Times New Roman" w:cs="Times New Roman"/>
        </w:rPr>
      </w:pPr>
    </w:p>
    <w:p w14:paraId="368F1A1F" w14:textId="3F06A0AE" w:rsidR="00DA6432" w:rsidRDefault="00DA6432" w:rsidP="009B0448">
      <w:pPr>
        <w:spacing w:line="276" w:lineRule="auto"/>
        <w:jc w:val="both"/>
        <w:rPr>
          <w:rFonts w:ascii="Times New Roman" w:hAnsi="Times New Roman" w:cs="Times New Roman"/>
        </w:rPr>
      </w:pPr>
    </w:p>
    <w:p w14:paraId="7C4EFF8F" w14:textId="01CF3199" w:rsidR="00DA6432" w:rsidRDefault="00DA6432" w:rsidP="009B0448">
      <w:pPr>
        <w:spacing w:line="276" w:lineRule="auto"/>
        <w:jc w:val="both"/>
        <w:rPr>
          <w:rFonts w:ascii="Times New Roman" w:hAnsi="Times New Roman" w:cs="Times New Roman"/>
        </w:rPr>
      </w:pPr>
    </w:p>
    <w:p w14:paraId="04AE6332" w14:textId="3397C918" w:rsidR="00DA6432" w:rsidRDefault="00DA6432" w:rsidP="009B0448">
      <w:pPr>
        <w:spacing w:line="276" w:lineRule="auto"/>
        <w:jc w:val="both"/>
        <w:rPr>
          <w:rFonts w:ascii="Times New Roman" w:hAnsi="Times New Roman" w:cs="Times New Roman"/>
        </w:rPr>
      </w:pPr>
    </w:p>
    <w:p w14:paraId="610A6C3E" w14:textId="37486F18" w:rsidR="00DA6432" w:rsidRDefault="00DA6432" w:rsidP="009B0448">
      <w:pPr>
        <w:spacing w:line="276" w:lineRule="auto"/>
        <w:jc w:val="both"/>
        <w:rPr>
          <w:rFonts w:ascii="Times New Roman" w:hAnsi="Times New Roman" w:cs="Times New Roman"/>
        </w:rPr>
      </w:pPr>
    </w:p>
    <w:p w14:paraId="70DAB6A5" w14:textId="04124145" w:rsidR="00DA6432" w:rsidRDefault="00DA6432" w:rsidP="009B0448">
      <w:pPr>
        <w:spacing w:line="276" w:lineRule="auto"/>
        <w:jc w:val="both"/>
        <w:rPr>
          <w:rFonts w:ascii="Times New Roman" w:hAnsi="Times New Roman" w:cs="Times New Roman"/>
        </w:rPr>
      </w:pPr>
    </w:p>
    <w:p w14:paraId="4B5E9F00" w14:textId="18CE1D2F" w:rsidR="00DA6432" w:rsidRDefault="00DA6432" w:rsidP="009B0448">
      <w:pPr>
        <w:spacing w:line="276" w:lineRule="auto"/>
        <w:jc w:val="both"/>
        <w:rPr>
          <w:rFonts w:ascii="Times New Roman" w:hAnsi="Times New Roman" w:cs="Times New Roman"/>
        </w:rPr>
      </w:pPr>
    </w:p>
    <w:p w14:paraId="364259E9" w14:textId="5C1176B0" w:rsidR="00DA6432" w:rsidRDefault="00DA6432" w:rsidP="009B0448">
      <w:pPr>
        <w:spacing w:line="276" w:lineRule="auto"/>
        <w:jc w:val="both"/>
        <w:rPr>
          <w:rFonts w:ascii="Times New Roman" w:hAnsi="Times New Roman" w:cs="Times New Roman"/>
        </w:rPr>
      </w:pPr>
    </w:p>
    <w:p w14:paraId="25032A49" w14:textId="20AD37F5" w:rsidR="00DA6432" w:rsidRDefault="00DA6432" w:rsidP="009B0448">
      <w:pPr>
        <w:spacing w:line="276" w:lineRule="auto"/>
        <w:jc w:val="both"/>
        <w:rPr>
          <w:rFonts w:ascii="Times New Roman" w:hAnsi="Times New Roman" w:cs="Times New Roman"/>
        </w:rPr>
      </w:pPr>
    </w:p>
    <w:p w14:paraId="3048809B" w14:textId="2F648AA5" w:rsidR="00DA6432" w:rsidRDefault="00DA6432" w:rsidP="009B0448">
      <w:pPr>
        <w:spacing w:line="276" w:lineRule="auto"/>
        <w:jc w:val="both"/>
        <w:rPr>
          <w:rFonts w:ascii="Times New Roman" w:hAnsi="Times New Roman" w:cs="Times New Roman"/>
        </w:rPr>
      </w:pPr>
    </w:p>
    <w:p w14:paraId="3F2795A3" w14:textId="41529D6B" w:rsidR="00DA6432" w:rsidRDefault="00DA6432" w:rsidP="009B0448">
      <w:pPr>
        <w:spacing w:line="276" w:lineRule="auto"/>
        <w:jc w:val="both"/>
        <w:rPr>
          <w:rFonts w:ascii="Times New Roman" w:hAnsi="Times New Roman" w:cs="Times New Roman"/>
        </w:rPr>
      </w:pPr>
    </w:p>
    <w:p w14:paraId="196DFBE6" w14:textId="399FA330" w:rsidR="00DA6432" w:rsidRDefault="00DA6432" w:rsidP="009B0448">
      <w:pPr>
        <w:spacing w:line="276" w:lineRule="auto"/>
        <w:jc w:val="both"/>
        <w:rPr>
          <w:rFonts w:ascii="Times New Roman" w:hAnsi="Times New Roman" w:cs="Times New Roman"/>
        </w:rPr>
      </w:pPr>
    </w:p>
    <w:p w14:paraId="3C442CFF" w14:textId="5BB00682" w:rsidR="00DA6432" w:rsidRDefault="00DA6432" w:rsidP="009B0448">
      <w:pPr>
        <w:spacing w:line="276" w:lineRule="auto"/>
        <w:jc w:val="both"/>
        <w:rPr>
          <w:rFonts w:ascii="Times New Roman" w:hAnsi="Times New Roman" w:cs="Times New Roman"/>
        </w:rPr>
      </w:pPr>
    </w:p>
    <w:p w14:paraId="0AF686AA" w14:textId="0633D26A" w:rsidR="00DA6432" w:rsidRDefault="00DA6432" w:rsidP="009B0448">
      <w:pPr>
        <w:spacing w:line="276" w:lineRule="auto"/>
        <w:jc w:val="both"/>
        <w:rPr>
          <w:rFonts w:ascii="Times New Roman" w:hAnsi="Times New Roman" w:cs="Times New Roman"/>
        </w:rPr>
      </w:pPr>
    </w:p>
    <w:p w14:paraId="0D1BE78E" w14:textId="72D74519" w:rsidR="00DA6432" w:rsidRDefault="00DA6432" w:rsidP="009B0448">
      <w:pPr>
        <w:spacing w:line="276" w:lineRule="auto"/>
        <w:jc w:val="both"/>
        <w:rPr>
          <w:rFonts w:ascii="Times New Roman" w:hAnsi="Times New Roman" w:cs="Times New Roman"/>
        </w:rPr>
      </w:pPr>
    </w:p>
    <w:p w14:paraId="4782C160" w14:textId="4F1B9B7E" w:rsidR="00DA6432" w:rsidRDefault="00DA6432" w:rsidP="009B0448">
      <w:pPr>
        <w:spacing w:line="276" w:lineRule="auto"/>
        <w:jc w:val="both"/>
        <w:rPr>
          <w:rFonts w:ascii="Times New Roman" w:hAnsi="Times New Roman" w:cs="Times New Roman"/>
        </w:rPr>
      </w:pPr>
    </w:p>
    <w:p w14:paraId="7129127A" w14:textId="7F6F99D4" w:rsidR="00DA6432" w:rsidRDefault="00DA6432" w:rsidP="009B0448">
      <w:pPr>
        <w:spacing w:line="276" w:lineRule="auto"/>
        <w:jc w:val="both"/>
        <w:rPr>
          <w:rFonts w:ascii="Times New Roman" w:hAnsi="Times New Roman" w:cs="Times New Roman"/>
        </w:rPr>
      </w:pPr>
    </w:p>
    <w:p w14:paraId="776D4D07" w14:textId="2029EEF1" w:rsidR="00DA6432" w:rsidRDefault="00DA6432" w:rsidP="009B0448">
      <w:pPr>
        <w:spacing w:line="276" w:lineRule="auto"/>
        <w:jc w:val="both"/>
        <w:rPr>
          <w:rFonts w:ascii="Times New Roman" w:hAnsi="Times New Roman" w:cs="Times New Roman"/>
        </w:rPr>
      </w:pPr>
    </w:p>
    <w:p w14:paraId="03C05544" w14:textId="5F7EC6CC" w:rsidR="00DA6432" w:rsidRDefault="00DA6432" w:rsidP="009B0448">
      <w:pPr>
        <w:spacing w:line="276" w:lineRule="auto"/>
        <w:jc w:val="both"/>
        <w:rPr>
          <w:rFonts w:ascii="Times New Roman" w:hAnsi="Times New Roman" w:cs="Times New Roman"/>
        </w:rPr>
      </w:pPr>
    </w:p>
    <w:p w14:paraId="1D9D638B" w14:textId="7BD1DAF7" w:rsidR="00DA6432" w:rsidRDefault="00DA6432" w:rsidP="009B0448">
      <w:pPr>
        <w:spacing w:line="276" w:lineRule="auto"/>
        <w:jc w:val="both"/>
        <w:rPr>
          <w:rFonts w:ascii="Times New Roman" w:hAnsi="Times New Roman" w:cs="Times New Roman"/>
        </w:rPr>
      </w:pPr>
    </w:p>
    <w:p w14:paraId="3CCA418C" w14:textId="6D5E6A48" w:rsidR="00DA6432" w:rsidRDefault="00DA6432" w:rsidP="009B0448">
      <w:pPr>
        <w:spacing w:line="276" w:lineRule="auto"/>
        <w:jc w:val="both"/>
        <w:rPr>
          <w:rFonts w:ascii="Times New Roman" w:hAnsi="Times New Roman" w:cs="Times New Roman"/>
        </w:rPr>
      </w:pPr>
    </w:p>
    <w:p w14:paraId="5A204DB5" w14:textId="14CCDED6" w:rsidR="00DA6432" w:rsidRDefault="00DA6432" w:rsidP="009B0448">
      <w:pPr>
        <w:spacing w:line="276" w:lineRule="auto"/>
        <w:jc w:val="both"/>
        <w:rPr>
          <w:rFonts w:ascii="Times New Roman" w:hAnsi="Times New Roman" w:cs="Times New Roman"/>
        </w:rPr>
      </w:pPr>
    </w:p>
    <w:p w14:paraId="128D8525" w14:textId="4CB87BCE" w:rsidR="00DA6432" w:rsidRDefault="00DA6432" w:rsidP="009B0448">
      <w:pPr>
        <w:spacing w:line="276" w:lineRule="auto"/>
        <w:jc w:val="both"/>
        <w:rPr>
          <w:rFonts w:ascii="Times New Roman" w:hAnsi="Times New Roman" w:cs="Times New Roman"/>
        </w:rPr>
      </w:pPr>
    </w:p>
    <w:p w14:paraId="5C727CCE" w14:textId="7878D410" w:rsidR="00DA6432" w:rsidRDefault="00DA6432" w:rsidP="009B0448">
      <w:pPr>
        <w:spacing w:line="276" w:lineRule="auto"/>
        <w:jc w:val="both"/>
        <w:rPr>
          <w:rFonts w:ascii="Times New Roman" w:hAnsi="Times New Roman" w:cs="Times New Roman"/>
        </w:rPr>
      </w:pPr>
    </w:p>
    <w:p w14:paraId="4E6C66A4" w14:textId="29545F9F" w:rsidR="00DA6432" w:rsidRDefault="00DA6432" w:rsidP="009B0448">
      <w:pPr>
        <w:spacing w:line="276" w:lineRule="auto"/>
        <w:jc w:val="both"/>
        <w:rPr>
          <w:rFonts w:ascii="Times New Roman" w:hAnsi="Times New Roman" w:cs="Times New Roman"/>
        </w:rPr>
      </w:pPr>
    </w:p>
    <w:p w14:paraId="24E5115C" w14:textId="27C9B9B3" w:rsidR="00DA6432" w:rsidRDefault="00DA6432" w:rsidP="009B0448">
      <w:pPr>
        <w:spacing w:line="276" w:lineRule="auto"/>
        <w:jc w:val="both"/>
        <w:rPr>
          <w:rFonts w:ascii="Times New Roman" w:hAnsi="Times New Roman" w:cs="Times New Roman"/>
        </w:rPr>
      </w:pPr>
    </w:p>
    <w:p w14:paraId="00E5D056" w14:textId="3DDAC043" w:rsidR="00DA6432" w:rsidRDefault="00DA6432" w:rsidP="009B0448">
      <w:pPr>
        <w:spacing w:line="276" w:lineRule="auto"/>
        <w:jc w:val="both"/>
        <w:rPr>
          <w:rFonts w:ascii="Times New Roman" w:hAnsi="Times New Roman" w:cs="Times New Roman"/>
        </w:rPr>
      </w:pPr>
    </w:p>
    <w:p w14:paraId="0C0EA54E" w14:textId="2192086D" w:rsidR="00DA6432" w:rsidRDefault="00DA6432" w:rsidP="009B0448">
      <w:pPr>
        <w:spacing w:line="276" w:lineRule="auto"/>
        <w:jc w:val="both"/>
        <w:rPr>
          <w:rFonts w:ascii="Times New Roman" w:hAnsi="Times New Roman" w:cs="Times New Roman"/>
        </w:rPr>
      </w:pPr>
    </w:p>
    <w:p w14:paraId="7A59F81D" w14:textId="0D80174B" w:rsidR="00DA6432" w:rsidRDefault="00DA6432" w:rsidP="009B0448">
      <w:pPr>
        <w:spacing w:line="276" w:lineRule="auto"/>
        <w:jc w:val="both"/>
        <w:rPr>
          <w:rFonts w:ascii="Times New Roman" w:hAnsi="Times New Roman" w:cs="Times New Roman"/>
        </w:rPr>
      </w:pPr>
    </w:p>
    <w:p w14:paraId="060A4B0D" w14:textId="7CBBDB88" w:rsidR="00DA6432" w:rsidRDefault="00DA6432" w:rsidP="009B0448">
      <w:pPr>
        <w:spacing w:line="276" w:lineRule="auto"/>
        <w:jc w:val="both"/>
        <w:rPr>
          <w:rFonts w:ascii="Times New Roman" w:hAnsi="Times New Roman" w:cs="Times New Roman"/>
        </w:rPr>
      </w:pPr>
    </w:p>
    <w:p w14:paraId="4DE1F7F3" w14:textId="6BFE3BC6" w:rsidR="00DA6432" w:rsidRDefault="00DA6432" w:rsidP="009B0448">
      <w:pPr>
        <w:spacing w:line="276" w:lineRule="auto"/>
        <w:jc w:val="both"/>
        <w:rPr>
          <w:rFonts w:ascii="Times New Roman" w:hAnsi="Times New Roman" w:cs="Times New Roman"/>
        </w:rPr>
      </w:pPr>
    </w:p>
    <w:p w14:paraId="13481AE9" w14:textId="77777777" w:rsidR="00DA6432" w:rsidRPr="009B0448" w:rsidRDefault="00DA6432" w:rsidP="009B0448">
      <w:pPr>
        <w:spacing w:line="276" w:lineRule="auto"/>
        <w:jc w:val="both"/>
        <w:rPr>
          <w:rFonts w:ascii="Times New Roman" w:hAnsi="Times New Roman" w:cs="Times New Roman"/>
        </w:rPr>
      </w:pPr>
    </w:p>
    <w:p w14:paraId="0B0D2B6C" w14:textId="77777777" w:rsidR="009B0448" w:rsidRPr="009B0448" w:rsidRDefault="009B0448" w:rsidP="00FA7185">
      <w:pPr>
        <w:pStyle w:val="Heading3"/>
        <w:widowControl w:val="0"/>
        <w:numPr>
          <w:ilvl w:val="1"/>
          <w:numId w:val="15"/>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126" w:name="_Toc519499842"/>
      <w:r w:rsidRPr="009B0448">
        <w:rPr>
          <w:rFonts w:eastAsia="Calibri" w:cs="Times New Roman"/>
          <w:szCs w:val="24"/>
        </w:rPr>
        <w:lastRenderedPageBreak/>
        <w:t>References</w:t>
      </w:r>
      <w:bookmarkEnd w:id="125"/>
      <w:bookmarkEnd w:id="126"/>
    </w:p>
    <w:p w14:paraId="13477965"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Acharya, G., &amp; Barbier, E .B. (2000). Valuing groundwater recharge through agricultural production in the Hadejia-Nguru wetlands in northern Nigeria. </w:t>
      </w:r>
      <w:r w:rsidRPr="009B0448">
        <w:rPr>
          <w:rFonts w:ascii="Times New Roman" w:hAnsi="Times New Roman" w:cs="Times New Roman"/>
          <w:i/>
        </w:rPr>
        <w:t>Agricultural Economics, 22</w:t>
      </w:r>
      <w:r w:rsidRPr="009B0448">
        <w:rPr>
          <w:rFonts w:ascii="Times New Roman" w:hAnsi="Times New Roman" w:cs="Times New Roman"/>
        </w:rPr>
        <w:t xml:space="preserve">(3), 247–259. </w:t>
      </w:r>
      <w:hyperlink r:id="rId405" w:history="1">
        <w:r w:rsidRPr="009B0448">
          <w:rPr>
            <w:rStyle w:val="Hyperlink"/>
            <w:rFonts w:ascii="Times New Roman" w:hAnsi="Times New Roman" w:cs="Times New Roman"/>
          </w:rPr>
          <w:t>https://doi.org/10.1016/S0169-5150(99)00054-7</w:t>
        </w:r>
      </w:hyperlink>
      <w:r w:rsidRPr="009B0448">
        <w:rPr>
          <w:rFonts w:ascii="Times New Roman" w:hAnsi="Times New Roman" w:cs="Times New Roman"/>
        </w:rPr>
        <w:t xml:space="preserve"> </w:t>
      </w:r>
    </w:p>
    <w:p w14:paraId="3808E325"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Adams, W. M. (1993). Indigenous use of wetlands and sustainable development in West Africa. </w:t>
      </w:r>
      <w:r w:rsidRPr="009B0448">
        <w:rPr>
          <w:rFonts w:ascii="Times New Roman" w:hAnsi="Times New Roman" w:cs="Times New Roman"/>
          <w:i/>
        </w:rPr>
        <w:t>Geographical Journal, 159</w:t>
      </w:r>
      <w:r w:rsidRPr="009B0448">
        <w:rPr>
          <w:rFonts w:ascii="Times New Roman" w:hAnsi="Times New Roman" w:cs="Times New Roman"/>
        </w:rPr>
        <w:t xml:space="preserve">(2), 209–218. </w:t>
      </w:r>
      <w:hyperlink r:id="rId406" w:history="1">
        <w:r w:rsidRPr="009B0448">
          <w:rPr>
            <w:rStyle w:val="Hyperlink"/>
            <w:rFonts w:ascii="Times New Roman" w:hAnsi="Times New Roman" w:cs="Times New Roman"/>
          </w:rPr>
          <w:t>https://doi.org/10.2307/3451412</w:t>
        </w:r>
      </w:hyperlink>
      <w:r w:rsidRPr="009B0448">
        <w:rPr>
          <w:rFonts w:ascii="Times New Roman" w:hAnsi="Times New Roman" w:cs="Times New Roman"/>
        </w:rPr>
        <w:t xml:space="preserve"> </w:t>
      </w:r>
    </w:p>
    <w:p w14:paraId="47FED8E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Adams, W. M., &amp; Mulligan, M. (Eds.). (2003). </w:t>
      </w:r>
      <w:r w:rsidRPr="009B0448">
        <w:rPr>
          <w:rFonts w:ascii="Times New Roman" w:hAnsi="Times New Roman" w:cs="Times New Roman"/>
          <w:i/>
        </w:rPr>
        <w:t>Decolonizing nature: Strategies for conservation in a post-colonial era</w:t>
      </w:r>
      <w:r w:rsidRPr="009B0448">
        <w:rPr>
          <w:rFonts w:ascii="Times New Roman" w:hAnsi="Times New Roman" w:cs="Times New Roman"/>
        </w:rPr>
        <w:t xml:space="preserve">. London, UK: Earthscan Publications Ltd. Retrieved from </w:t>
      </w:r>
      <w:hyperlink r:id="rId407" w:history="1">
        <w:r w:rsidRPr="009B0448">
          <w:rPr>
            <w:rStyle w:val="Hyperlink"/>
            <w:rFonts w:ascii="Times New Roman" w:hAnsi="Times New Roman" w:cs="Times New Roman"/>
          </w:rPr>
          <w:t>https://adriancolston.files.wordpress.com/2016/10/decolonizing-nature-strategies-for-conservation-in-a-postcolonial-era1.pdf</w:t>
        </w:r>
      </w:hyperlink>
    </w:p>
    <w:p w14:paraId="16D42DA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Adeola, M. O. (1992). Importance of wild animals and their parts in the culture, religious festivals, and traditional medicine, of Nigeria. </w:t>
      </w:r>
      <w:r w:rsidRPr="009B0448">
        <w:rPr>
          <w:rFonts w:ascii="Times New Roman" w:hAnsi="Times New Roman" w:cs="Times New Roman"/>
          <w:i/>
        </w:rPr>
        <w:t>Environmental Conservation, 19</w:t>
      </w:r>
      <w:r w:rsidRPr="009B0448">
        <w:rPr>
          <w:rFonts w:ascii="Times New Roman" w:hAnsi="Times New Roman" w:cs="Times New Roman"/>
        </w:rPr>
        <w:t xml:space="preserve">(2), 125–134. </w:t>
      </w:r>
      <w:hyperlink r:id="rId408" w:history="1">
        <w:r w:rsidRPr="009B0448">
          <w:rPr>
            <w:rStyle w:val="Hyperlink"/>
            <w:rFonts w:ascii="Times New Roman" w:hAnsi="Times New Roman" w:cs="Times New Roman"/>
          </w:rPr>
          <w:t>https://doi.org/10.1017/S0376892900030605</w:t>
        </w:r>
      </w:hyperlink>
    </w:p>
    <w:p w14:paraId="64E80C5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Agarwal, B. (2001). Participatory exclusions, community forestry, and gender: An analysis for South Asia and a conceptual framework. </w:t>
      </w:r>
      <w:r w:rsidRPr="009B0448">
        <w:rPr>
          <w:rFonts w:ascii="Times New Roman" w:hAnsi="Times New Roman" w:cs="Times New Roman"/>
          <w:i/>
        </w:rPr>
        <w:t>World Development, 29</w:t>
      </w:r>
      <w:r w:rsidRPr="009B0448">
        <w:rPr>
          <w:rFonts w:ascii="Times New Roman" w:hAnsi="Times New Roman" w:cs="Times New Roman"/>
        </w:rPr>
        <w:t xml:space="preserve">(10), 1623–1648. </w:t>
      </w:r>
      <w:hyperlink r:id="rId409" w:history="1">
        <w:r w:rsidRPr="009B0448">
          <w:rPr>
            <w:rStyle w:val="Hyperlink"/>
            <w:rFonts w:ascii="Times New Roman" w:hAnsi="Times New Roman" w:cs="Times New Roman"/>
          </w:rPr>
          <w:t>https://doi.org/10.1016/S0305-750X(01)00066-3</w:t>
        </w:r>
      </w:hyperlink>
      <w:r w:rsidRPr="009B0448">
        <w:rPr>
          <w:rFonts w:ascii="Times New Roman" w:hAnsi="Times New Roman" w:cs="Times New Roman"/>
        </w:rPr>
        <w:t xml:space="preserve"> </w:t>
      </w:r>
    </w:p>
    <w:p w14:paraId="352DAFE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Aguilar, L., &amp; Sasvari, A. (2009). </w:t>
      </w:r>
      <w:r w:rsidRPr="009B0448">
        <w:rPr>
          <w:rFonts w:ascii="Times New Roman" w:hAnsi="Times New Roman" w:cs="Times New Roman"/>
          <w:i/>
        </w:rPr>
        <w:t>Gender equality within the REDD and REDD-plus framework</w:t>
      </w:r>
      <w:r w:rsidRPr="009B0448">
        <w:rPr>
          <w:rFonts w:ascii="Times New Roman" w:hAnsi="Times New Roman" w:cs="Times New Roman"/>
        </w:rPr>
        <w:t xml:space="preserve">. Costa Rica, IUCN. Retrieved from </w:t>
      </w:r>
      <w:hyperlink r:id="rId410" w:history="1">
        <w:r w:rsidRPr="009B0448">
          <w:rPr>
            <w:rStyle w:val="Hyperlink"/>
            <w:rFonts w:ascii="Times New Roman" w:hAnsi="Times New Roman" w:cs="Times New Roman"/>
          </w:rPr>
          <w:t>https://theredddesk.org/sites/default/files/resources/pdf/18_iucn_mainstreaming_gender_into_redd.pdf</w:t>
        </w:r>
      </w:hyperlink>
      <w:r w:rsidRPr="009B0448">
        <w:rPr>
          <w:rFonts w:ascii="Times New Roman" w:hAnsi="Times New Roman" w:cs="Times New Roman"/>
        </w:rPr>
        <w:t xml:space="preserve"> </w:t>
      </w:r>
    </w:p>
    <w:p w14:paraId="34C141E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Ajayi, I. E., Ojo, S. A., Ayo, J. O., &amp; Chikera, S. (2010). Histomorphometric studies of the urinary tubules of the African grasscutter (</w:t>
      </w:r>
      <w:r w:rsidRPr="009B0448">
        <w:rPr>
          <w:rFonts w:ascii="Times New Roman" w:hAnsi="Times New Roman" w:cs="Times New Roman"/>
          <w:i/>
        </w:rPr>
        <w:t>Thryonomys swinderianus</w:t>
      </w:r>
      <w:r w:rsidRPr="009B0448">
        <w:rPr>
          <w:rFonts w:ascii="Times New Roman" w:hAnsi="Times New Roman" w:cs="Times New Roman"/>
        </w:rPr>
        <w:t xml:space="preserve">). </w:t>
      </w:r>
      <w:r w:rsidRPr="009B0448">
        <w:rPr>
          <w:rFonts w:ascii="Times New Roman" w:hAnsi="Times New Roman" w:cs="Times New Roman"/>
          <w:i/>
        </w:rPr>
        <w:t>Journal of Veterinary Anatomy, 3</w:t>
      </w:r>
      <w:r w:rsidRPr="009B0448">
        <w:rPr>
          <w:rFonts w:ascii="Times New Roman" w:hAnsi="Times New Roman" w:cs="Times New Roman"/>
        </w:rPr>
        <w:t xml:space="preserve">(1), 17–23. </w:t>
      </w:r>
    </w:p>
    <w:p w14:paraId="750900D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Akachuku, C. O. (2008). Sustainable production of snail through home garden agroforestry practice in South Eastern Nigeria. </w:t>
      </w:r>
      <w:r w:rsidRPr="009B0448">
        <w:rPr>
          <w:rFonts w:ascii="Times New Roman" w:hAnsi="Times New Roman" w:cs="Times New Roman"/>
          <w:i/>
        </w:rPr>
        <w:t>Journal of Tropical Forest Resources, 1</w:t>
      </w:r>
      <w:r w:rsidRPr="009B0448">
        <w:rPr>
          <w:rFonts w:ascii="Times New Roman" w:hAnsi="Times New Roman" w:cs="Times New Roman"/>
        </w:rPr>
        <w:t>(24), 77–83.</w:t>
      </w:r>
    </w:p>
    <w:p w14:paraId="7573445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Akpalu, W. (2013).</w:t>
      </w:r>
      <w:r w:rsidRPr="009B0448">
        <w:rPr>
          <w:rFonts w:ascii="Times New Roman" w:hAnsi="Times New Roman" w:cs="Times New Roman"/>
          <w:i/>
        </w:rPr>
        <w:t xml:space="preserve"> Foreign aid and sustainable fisheries management in sub-Saharan Africa</w:t>
      </w:r>
      <w:r w:rsidRPr="009B0448">
        <w:rPr>
          <w:rFonts w:ascii="Times New Roman" w:hAnsi="Times New Roman" w:cs="Times New Roman"/>
        </w:rPr>
        <w:t xml:space="preserve">. Tokyo, Japan: United Nations University. Retrieved from </w:t>
      </w:r>
      <w:hyperlink r:id="rId411" w:history="1">
        <w:r w:rsidRPr="009B0448">
          <w:rPr>
            <w:rStyle w:val="Hyperlink"/>
            <w:rFonts w:ascii="Times New Roman" w:hAnsi="Times New Roman" w:cs="Times New Roman"/>
          </w:rPr>
          <w:t>https://www.wider.unu.edu/sites/default/files/WP2013-100.pdf</w:t>
        </w:r>
      </w:hyperlink>
      <w:r w:rsidRPr="009B0448">
        <w:rPr>
          <w:rFonts w:ascii="Times New Roman" w:hAnsi="Times New Roman" w:cs="Times New Roman"/>
        </w:rPr>
        <w:t xml:space="preserve"> </w:t>
      </w:r>
    </w:p>
    <w:p w14:paraId="621111C5"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Angelsen, A., &amp; Wunder, S. (2003). </w:t>
      </w:r>
      <w:r w:rsidRPr="009B0448">
        <w:rPr>
          <w:rFonts w:ascii="Times New Roman" w:hAnsi="Times New Roman" w:cs="Times New Roman"/>
          <w:i/>
        </w:rPr>
        <w:t>Exploring the forest–poverty link: Key concepts, issues and research implications</w:t>
      </w:r>
      <w:r w:rsidRPr="009B0448">
        <w:rPr>
          <w:rFonts w:ascii="Times New Roman" w:hAnsi="Times New Roman" w:cs="Times New Roman"/>
        </w:rPr>
        <w:t xml:space="preserve">. Bogor, Indonesia: CIFOR. Retrieved from </w:t>
      </w:r>
      <w:hyperlink r:id="rId412" w:history="1">
        <w:r w:rsidRPr="009B0448">
          <w:rPr>
            <w:rStyle w:val="Hyperlink"/>
            <w:rFonts w:ascii="Times New Roman" w:hAnsi="Times New Roman" w:cs="Times New Roman"/>
          </w:rPr>
          <w:t>http://www.cifor.org/publications/pdf_files/OccPapers/OP-40.pdf</w:t>
        </w:r>
      </w:hyperlink>
      <w:r w:rsidRPr="009B0448">
        <w:rPr>
          <w:rFonts w:ascii="Times New Roman" w:hAnsi="Times New Roman" w:cs="Times New Roman"/>
        </w:rPr>
        <w:t xml:space="preserve"> </w:t>
      </w:r>
    </w:p>
    <w:p w14:paraId="43E3A8E1"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Angelsen, A., Jagger, P., Babigumira, R., Belcher, B., Hogarth, N. J., Bauch, S., Börner, J., Smith-Hall, C., &amp; Wunder, S. (2014). Environmental income and rural livelihoods: a global-comparative analysis. </w:t>
      </w:r>
      <w:r w:rsidRPr="009B0448">
        <w:rPr>
          <w:rFonts w:ascii="Times New Roman" w:hAnsi="Times New Roman" w:cs="Times New Roman"/>
          <w:i/>
        </w:rPr>
        <w:t>World Development, 64</w:t>
      </w:r>
      <w:r w:rsidRPr="009B0448">
        <w:rPr>
          <w:rFonts w:ascii="Times New Roman" w:hAnsi="Times New Roman" w:cs="Times New Roman"/>
        </w:rPr>
        <w:t xml:space="preserve">, S12–S28. </w:t>
      </w:r>
      <w:hyperlink r:id="rId413" w:history="1">
        <w:r w:rsidRPr="009B0448">
          <w:rPr>
            <w:rStyle w:val="Hyperlink"/>
            <w:rFonts w:ascii="Times New Roman" w:hAnsi="Times New Roman" w:cs="Times New Roman"/>
          </w:rPr>
          <w:t>https://doi.org/10.1016/j.worlddev.2014.03.006</w:t>
        </w:r>
      </w:hyperlink>
    </w:p>
    <w:p w14:paraId="0FD2925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Ambrose-Oji, B. (2011). Wild product governance: Finding policies that work for non-timber forest products. </w:t>
      </w:r>
      <w:r w:rsidRPr="009B0448">
        <w:rPr>
          <w:rFonts w:ascii="Times New Roman" w:hAnsi="Times New Roman" w:cs="Times New Roman"/>
          <w:i/>
        </w:rPr>
        <w:t>Mountain Research and Development, 31</w:t>
      </w:r>
      <w:r w:rsidRPr="009B0448">
        <w:rPr>
          <w:rFonts w:ascii="Times New Roman" w:hAnsi="Times New Roman" w:cs="Times New Roman"/>
        </w:rPr>
        <w:t xml:space="preserve">(2), 178–179. </w:t>
      </w:r>
      <w:hyperlink r:id="rId414" w:history="1">
        <w:r w:rsidRPr="009B0448">
          <w:rPr>
            <w:rStyle w:val="Hyperlink"/>
            <w:rFonts w:ascii="Times New Roman" w:hAnsi="Times New Roman" w:cs="Times New Roman"/>
          </w:rPr>
          <w:t>https://doi.org/10.1659/mrd.mm083</w:t>
        </w:r>
      </w:hyperlink>
      <w:r w:rsidRPr="009B0448">
        <w:rPr>
          <w:rFonts w:ascii="Times New Roman" w:hAnsi="Times New Roman" w:cs="Times New Roman"/>
        </w:rPr>
        <w:t xml:space="preserve"> </w:t>
      </w:r>
    </w:p>
    <w:p w14:paraId="1C43C0F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Arditti, J. (1992). </w:t>
      </w:r>
      <w:r w:rsidRPr="009B0448">
        <w:rPr>
          <w:rFonts w:ascii="Times New Roman" w:hAnsi="Times New Roman" w:cs="Times New Roman"/>
          <w:i/>
        </w:rPr>
        <w:t>Fundamentals of orchid biology</w:t>
      </w:r>
      <w:r w:rsidRPr="009B0448">
        <w:rPr>
          <w:rFonts w:ascii="Times New Roman" w:hAnsi="Times New Roman" w:cs="Times New Roman"/>
        </w:rPr>
        <w:t xml:space="preserve">. New York, USA: John Wiley and Sons. </w:t>
      </w:r>
    </w:p>
    <w:p w14:paraId="5509B7A6" w14:textId="77777777" w:rsidR="00056849" w:rsidRPr="009B0448" w:rsidRDefault="00056849"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Arnold, J. M., &amp; Pérez, M. R. (2001). Can non-timber forest products match tropical forest conservation and development objectives? </w:t>
      </w:r>
      <w:r w:rsidRPr="009B0448">
        <w:rPr>
          <w:rFonts w:ascii="Times New Roman" w:hAnsi="Times New Roman" w:cs="Times New Roman"/>
          <w:i/>
        </w:rPr>
        <w:t>Ecological economics, 39</w:t>
      </w:r>
      <w:r w:rsidRPr="009B0448">
        <w:rPr>
          <w:rFonts w:ascii="Times New Roman" w:hAnsi="Times New Roman" w:cs="Times New Roman"/>
        </w:rPr>
        <w:t xml:space="preserve">(3), 437–447. </w:t>
      </w:r>
      <w:hyperlink r:id="rId415" w:history="1">
        <w:r w:rsidRPr="009B0448">
          <w:rPr>
            <w:rStyle w:val="Hyperlink"/>
            <w:rFonts w:ascii="Times New Roman" w:hAnsi="Times New Roman" w:cs="Times New Roman"/>
          </w:rPr>
          <w:t>https://doi.org/10.1016/S0921-8009(01)00236-1</w:t>
        </w:r>
      </w:hyperlink>
    </w:p>
    <w:p w14:paraId="70D735AA" w14:textId="448096A1" w:rsidR="00056849" w:rsidRDefault="00056849" w:rsidP="009B0448">
      <w:pPr>
        <w:tabs>
          <w:tab w:val="left" w:pos="3418"/>
        </w:tabs>
        <w:spacing w:after="120" w:line="276" w:lineRule="auto"/>
        <w:ind w:left="567" w:hanging="567"/>
        <w:rPr>
          <w:rFonts w:ascii="Times New Roman" w:hAnsi="Times New Roman" w:cs="Times New Roman"/>
        </w:rPr>
      </w:pPr>
      <w:r w:rsidRPr="00056849">
        <w:rPr>
          <w:rFonts w:ascii="Times New Roman" w:hAnsi="Times New Roman" w:cs="Times New Roman"/>
        </w:rPr>
        <w:t xml:space="preserve">Arnold, M., &amp; Persson, R. (2003). Reassessing the fuelwood situation in developing countries. </w:t>
      </w:r>
      <w:r w:rsidRPr="00056849">
        <w:rPr>
          <w:rFonts w:ascii="Times New Roman" w:hAnsi="Times New Roman" w:cs="Times New Roman"/>
          <w:i/>
        </w:rPr>
        <w:t>The International Forestry Review, 5</w:t>
      </w:r>
      <w:r w:rsidRPr="00056849">
        <w:rPr>
          <w:rFonts w:ascii="Times New Roman" w:hAnsi="Times New Roman" w:cs="Times New Roman"/>
        </w:rPr>
        <w:t>(4), 379–383.</w:t>
      </w:r>
      <w:r>
        <w:rPr>
          <w:rFonts w:ascii="Times New Roman" w:hAnsi="Times New Roman" w:cs="Times New Roman"/>
        </w:rPr>
        <w:t xml:space="preserve"> </w:t>
      </w:r>
      <w:hyperlink r:id="rId416" w:history="1">
        <w:r w:rsidRPr="004059F1">
          <w:rPr>
            <w:rStyle w:val="Hyperlink"/>
            <w:rFonts w:ascii="Times New Roman" w:hAnsi="Times New Roman" w:cs="Times New Roman"/>
          </w:rPr>
          <w:t>https://doi.org/10.1505/IFOR.5.4.379.22660</w:t>
        </w:r>
      </w:hyperlink>
    </w:p>
    <w:p w14:paraId="725777D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Augusseau, X., Nikiéma, P., &amp; Torquebiau, E. (2006). Tree biodiversity, land dynamics and farmers' strategies on the agricultural frontier of southwestern Burkina Faso. </w:t>
      </w:r>
      <w:r w:rsidRPr="009B0448">
        <w:rPr>
          <w:rFonts w:ascii="Times New Roman" w:hAnsi="Times New Roman" w:cs="Times New Roman"/>
          <w:i/>
        </w:rPr>
        <w:t>Biodiversity and Conservation, 15</w:t>
      </w:r>
      <w:r w:rsidRPr="009B0448">
        <w:rPr>
          <w:rFonts w:ascii="Times New Roman" w:hAnsi="Times New Roman" w:cs="Times New Roman"/>
        </w:rPr>
        <w:t xml:space="preserve">(2), 613–630. </w:t>
      </w:r>
      <w:hyperlink r:id="rId417" w:history="1">
        <w:r w:rsidRPr="009B0448">
          <w:rPr>
            <w:rStyle w:val="Hyperlink"/>
            <w:rFonts w:ascii="Times New Roman" w:hAnsi="Times New Roman" w:cs="Times New Roman"/>
          </w:rPr>
          <w:t>https://doi.org/10.1007/s10531-005-2090-8</w:t>
        </w:r>
      </w:hyperlink>
    </w:p>
    <w:p w14:paraId="209CA1C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Austin, G., &amp; Morris, G. (2012). Biogas production in Africa. In C. Janssen, &amp; D. Rutz (Eds.), </w:t>
      </w:r>
      <w:r w:rsidRPr="009B0448">
        <w:rPr>
          <w:rFonts w:ascii="Times New Roman" w:hAnsi="Times New Roman" w:cs="Times New Roman"/>
          <w:i/>
        </w:rPr>
        <w:t>Bioenergy for sustainable development in Africa</w:t>
      </w:r>
      <w:r w:rsidRPr="009B0448">
        <w:rPr>
          <w:rFonts w:ascii="Times New Roman" w:hAnsi="Times New Roman" w:cs="Times New Roman"/>
        </w:rPr>
        <w:t xml:space="preserve"> (pp. 103–115). Nerthelands, Dordrecht: Springer. </w:t>
      </w:r>
      <w:hyperlink r:id="rId418" w:history="1">
        <w:r w:rsidRPr="009B0448">
          <w:rPr>
            <w:rStyle w:val="Hyperlink"/>
            <w:rFonts w:ascii="Times New Roman" w:hAnsi="Times New Roman" w:cs="Times New Roman"/>
          </w:rPr>
          <w:t>https://doi.org/10.1007/978-94-007-2181-4_10</w:t>
        </w:r>
      </w:hyperlink>
      <w:r w:rsidRPr="009B0448">
        <w:rPr>
          <w:rFonts w:ascii="Times New Roman" w:hAnsi="Times New Roman" w:cs="Times New Roman"/>
        </w:rPr>
        <w:t xml:space="preserve"> </w:t>
      </w:r>
    </w:p>
    <w:p w14:paraId="33F8590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Bailis, R., Ezzati, M., &amp; Kammen, D. M. (2005). Mortality and greenhouse gas impacts of biomass and petrolium energy futures in Africa. </w:t>
      </w:r>
      <w:r w:rsidRPr="009B0448">
        <w:rPr>
          <w:rFonts w:ascii="Times New Roman" w:hAnsi="Times New Roman" w:cs="Times New Roman"/>
          <w:i/>
        </w:rPr>
        <w:t>Science, 308</w:t>
      </w:r>
      <w:r w:rsidRPr="009B0448">
        <w:rPr>
          <w:rFonts w:ascii="Times New Roman" w:hAnsi="Times New Roman" w:cs="Times New Roman"/>
        </w:rPr>
        <w:t xml:space="preserve">, 98–103. </w:t>
      </w:r>
      <w:hyperlink r:id="rId419" w:history="1">
        <w:r w:rsidRPr="009B0448">
          <w:rPr>
            <w:rStyle w:val="Hyperlink"/>
            <w:rFonts w:ascii="Times New Roman" w:hAnsi="Times New Roman" w:cs="Times New Roman"/>
          </w:rPr>
          <w:t>https://doi.org/10.1126/science.1106881</w:t>
        </w:r>
      </w:hyperlink>
    </w:p>
    <w:p w14:paraId="597CC27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Bahuchet, S. (1972). Etude écologique d’an campement de pygmées Babinga (Region Lobaye, Centre Afrique). </w:t>
      </w:r>
      <w:r w:rsidRPr="009B0448">
        <w:rPr>
          <w:rFonts w:ascii="Times New Roman" w:hAnsi="Times New Roman" w:cs="Times New Roman"/>
          <w:i/>
        </w:rPr>
        <w:t>Journal d’Agriculture Tropicale et Botanique Appliquée, 19</w:t>
      </w:r>
      <w:r w:rsidRPr="009B0448">
        <w:rPr>
          <w:rFonts w:ascii="Times New Roman" w:hAnsi="Times New Roman" w:cs="Times New Roman"/>
        </w:rPr>
        <w:t xml:space="preserve">(12), 510–599. </w:t>
      </w:r>
      <w:hyperlink r:id="rId420" w:history="1">
        <w:r w:rsidRPr="009B0448">
          <w:rPr>
            <w:rStyle w:val="Hyperlink"/>
            <w:rFonts w:ascii="Times New Roman" w:hAnsi="Times New Roman" w:cs="Times New Roman"/>
          </w:rPr>
          <w:t>https://doi.org/10.3406/jatba.1972.3130</w:t>
        </w:r>
      </w:hyperlink>
      <w:r w:rsidRPr="009B0448">
        <w:rPr>
          <w:rFonts w:ascii="Times New Roman" w:hAnsi="Times New Roman" w:cs="Times New Roman"/>
        </w:rPr>
        <w:t xml:space="preserve"> </w:t>
      </w:r>
    </w:p>
    <w:p w14:paraId="223DA71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Balvanera, P., Pfisterer, A. B., Buchmann, N., He, J. S., Nakashizuka, T., Raffaelli, D., &amp; Schmid, B. (2006). Quantifying the evidence for biodiversity effects on ecosystem functioning and services. </w:t>
      </w:r>
      <w:r w:rsidRPr="009B0448">
        <w:rPr>
          <w:rFonts w:ascii="Times New Roman" w:hAnsi="Times New Roman" w:cs="Times New Roman"/>
          <w:i/>
        </w:rPr>
        <w:t>Ecology letters, 9</w:t>
      </w:r>
      <w:r w:rsidRPr="009B0448">
        <w:rPr>
          <w:rFonts w:ascii="Times New Roman" w:hAnsi="Times New Roman" w:cs="Times New Roman"/>
        </w:rPr>
        <w:t xml:space="preserve">(10), 1146–1156. </w:t>
      </w:r>
      <w:hyperlink r:id="rId421" w:history="1">
        <w:r w:rsidRPr="009B0448">
          <w:rPr>
            <w:rStyle w:val="Hyperlink"/>
            <w:rFonts w:ascii="Times New Roman" w:hAnsi="Times New Roman" w:cs="Times New Roman"/>
          </w:rPr>
          <w:t>https://doi.org/10.1111/j.1461-0248.2006.00963.x</w:t>
        </w:r>
      </w:hyperlink>
      <w:r w:rsidRPr="009B0448">
        <w:rPr>
          <w:rFonts w:ascii="Times New Roman" w:hAnsi="Times New Roman" w:cs="Times New Roman"/>
        </w:rPr>
        <w:t xml:space="preserve"> </w:t>
      </w:r>
    </w:p>
    <w:p w14:paraId="32404FB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Bandiaky, S., &amp; Tiani, A. M. (2010). Gendered representation and participation in decentralized forest management: Case studies from Cameroon and Senegal. In L. German, A. Karsenty, &amp; A. M. Tiani (Eds.), </w:t>
      </w:r>
      <w:r w:rsidRPr="009B0448">
        <w:rPr>
          <w:rFonts w:ascii="Times New Roman" w:hAnsi="Times New Roman" w:cs="Times New Roman"/>
          <w:i/>
        </w:rPr>
        <w:t>Governing Africa’s forests in a globalized world</w:t>
      </w:r>
      <w:r w:rsidRPr="009B0448">
        <w:rPr>
          <w:rFonts w:ascii="Times New Roman" w:hAnsi="Times New Roman" w:cs="Times New Roman"/>
        </w:rPr>
        <w:t xml:space="preserve"> (pp. 144–159). London, UK: Earthscan Publications Ltd.</w:t>
      </w:r>
    </w:p>
    <w:p w14:paraId="683DD21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Barrow, E., &amp; Mogaka, H. (2007). </w:t>
      </w:r>
      <w:r w:rsidRPr="009B0448">
        <w:rPr>
          <w:rFonts w:ascii="Times New Roman" w:hAnsi="Times New Roman" w:cs="Times New Roman"/>
          <w:i/>
        </w:rPr>
        <w:t>Kenya’s drylands: Wastelands or an undervalued national economic resource</w:t>
      </w:r>
      <w:r w:rsidRPr="009B0448">
        <w:rPr>
          <w:rFonts w:ascii="Times New Roman" w:hAnsi="Times New Roman" w:cs="Times New Roman"/>
        </w:rPr>
        <w:t xml:space="preserve">. Nairobi, Kenya: IUCN. Retrieved from </w:t>
      </w:r>
      <w:hyperlink r:id="rId422" w:history="1">
        <w:r w:rsidRPr="009B0448">
          <w:rPr>
            <w:rStyle w:val="Hyperlink"/>
            <w:rFonts w:ascii="Times New Roman" w:hAnsi="Times New Roman" w:cs="Times New Roman"/>
          </w:rPr>
          <w:t>https://www.iucn.org/es/node/890</w:t>
        </w:r>
      </w:hyperlink>
      <w:r w:rsidRPr="009B0448">
        <w:rPr>
          <w:rFonts w:ascii="Times New Roman" w:hAnsi="Times New Roman" w:cs="Times New Roman"/>
        </w:rPr>
        <w:t xml:space="preserve"> </w:t>
      </w:r>
    </w:p>
    <w:p w14:paraId="26B20E0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Batibo, H. (2006). Language decline and death in Africa: Causes, consequences, and challenges. Multilingual Matters. </w:t>
      </w:r>
      <w:r w:rsidRPr="009B0448">
        <w:rPr>
          <w:rFonts w:ascii="Times New Roman" w:hAnsi="Times New Roman" w:cs="Times New Roman"/>
          <w:i/>
        </w:rPr>
        <w:t>Routledge Taloy and Francis Group, 37</w:t>
      </w:r>
      <w:r w:rsidRPr="009B0448">
        <w:rPr>
          <w:rFonts w:ascii="Times New Roman" w:hAnsi="Times New Roman" w:cs="Times New Roman"/>
        </w:rPr>
        <w:t xml:space="preserve">(1) 118–12. </w:t>
      </w:r>
      <w:hyperlink r:id="rId423" w:history="1">
        <w:r w:rsidRPr="009B0448">
          <w:rPr>
            <w:rStyle w:val="Hyperlink"/>
            <w:rFonts w:ascii="Times New Roman" w:hAnsi="Times New Roman" w:cs="Times New Roman"/>
          </w:rPr>
          <w:t>https://doi.org/10.1080/10228190608566255</w:t>
        </w:r>
      </w:hyperlink>
      <w:r w:rsidRPr="009B0448">
        <w:rPr>
          <w:rFonts w:ascii="Times New Roman" w:hAnsi="Times New Roman" w:cs="Times New Roman"/>
        </w:rPr>
        <w:t xml:space="preserve"> </w:t>
      </w:r>
    </w:p>
    <w:p w14:paraId="17D01F0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Batidzirai, B., Faaij, P. C., &amp; Smeets, E. (2006). Biomass and bioenergy supply from Mozambique. </w:t>
      </w:r>
      <w:r w:rsidRPr="009B0448">
        <w:rPr>
          <w:rFonts w:ascii="Times New Roman" w:hAnsi="Times New Roman" w:cs="Times New Roman"/>
          <w:i/>
        </w:rPr>
        <w:t>Energy for Sustainable Development, 10</w:t>
      </w:r>
      <w:r w:rsidRPr="009B0448">
        <w:rPr>
          <w:rFonts w:ascii="Times New Roman" w:hAnsi="Times New Roman" w:cs="Times New Roman"/>
        </w:rPr>
        <w:t xml:space="preserve">(1), 54–81. </w:t>
      </w:r>
      <w:hyperlink r:id="rId424" w:history="1">
        <w:r w:rsidRPr="009B0448">
          <w:rPr>
            <w:rStyle w:val="Hyperlink"/>
            <w:rFonts w:ascii="Times New Roman" w:hAnsi="Times New Roman" w:cs="Times New Roman"/>
          </w:rPr>
          <w:t>https://doi.org/10.1016/S0973-0826(08)60507-4</w:t>
        </w:r>
      </w:hyperlink>
    </w:p>
    <w:p w14:paraId="2643CB4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Batidzirai, B., Valk, M., Wickie, B., Junginger, M., Daioglou, V., Euler, W., &amp; Faayi, A. P. C. (2016). Current and future technical, economic and environmental feasibility of maize and wheat residues supply for biomass energy application: Illustrated for South Africa. </w:t>
      </w:r>
      <w:r w:rsidRPr="009B0448">
        <w:rPr>
          <w:rFonts w:ascii="Times New Roman" w:hAnsi="Times New Roman" w:cs="Times New Roman"/>
          <w:i/>
        </w:rPr>
        <w:t>Biomass Bioenergy, 92</w:t>
      </w:r>
      <w:r w:rsidRPr="009B0448">
        <w:rPr>
          <w:rFonts w:ascii="Times New Roman" w:hAnsi="Times New Roman" w:cs="Times New Roman"/>
        </w:rPr>
        <w:t xml:space="preserve">, 106–129. </w:t>
      </w:r>
      <w:hyperlink r:id="rId425" w:history="1">
        <w:r w:rsidRPr="009B0448">
          <w:rPr>
            <w:rStyle w:val="Hyperlink"/>
            <w:rFonts w:ascii="Times New Roman" w:hAnsi="Times New Roman" w:cs="Times New Roman"/>
          </w:rPr>
          <w:t>https://doi.org/10.1016/j.biombioe.2016.06.010</w:t>
        </w:r>
      </w:hyperlink>
    </w:p>
    <w:p w14:paraId="11DB2EC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Bayol, N., Anquetil, F., Bile, C., Bollen, A., Bousquet, M., Castadot, B., Cerutti, P., Kongape, J. A., Leblanc, M., Lescuyer, G., Meunier, Q., Melet, E., Pénelon, A., Robiglio, V., Tsanga, R., &amp; Vautrin, C. (2014). The logging industry and management of natural forests: Tropical timber and the forests of central Africa in the face of market trends. In C. de Waseige, J. Flynn, D. Louppe, F. Hiol Hiol, &amp; P. H. Mayaux (Eds.), </w:t>
      </w:r>
      <w:r w:rsidRPr="009B0448">
        <w:rPr>
          <w:rFonts w:ascii="Times New Roman" w:hAnsi="Times New Roman" w:cs="Times New Roman"/>
          <w:i/>
        </w:rPr>
        <w:t>The forests of the Congo basin: State of the forest 2013</w:t>
      </w:r>
      <w:r w:rsidRPr="009B0448">
        <w:rPr>
          <w:rFonts w:ascii="Times New Roman" w:hAnsi="Times New Roman" w:cs="Times New Roman"/>
        </w:rPr>
        <w:t xml:space="preserve"> (pp. 47–66). Belgium: Welrich edition. Retrieved from </w:t>
      </w:r>
      <w:hyperlink r:id="rId426" w:history="1">
        <w:r w:rsidRPr="009B0448">
          <w:rPr>
            <w:rStyle w:val="Hyperlink"/>
            <w:rFonts w:ascii="Times New Roman" w:hAnsi="Times New Roman" w:cs="Times New Roman"/>
          </w:rPr>
          <w:t>https://www.observatoire-comifac.net/docs/edf2013/EN/EDF2013_EN_chap2.pdf</w:t>
        </w:r>
      </w:hyperlink>
      <w:r w:rsidRPr="009B0448">
        <w:rPr>
          <w:rFonts w:ascii="Times New Roman" w:hAnsi="Times New Roman" w:cs="Times New Roman"/>
        </w:rPr>
        <w:t xml:space="preserve"> </w:t>
      </w:r>
    </w:p>
    <w:p w14:paraId="209F428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Beaumont, N. J., Austen, M. C., Atkins, J. P., Burdon, D., Degraer, S., Dentinho, T. P., Derous, S., Holm, P., Horton, T., van Ierland, E., &amp; Marboe, A. H. (2007). Identification, definition and quantification of goods and services provided by marine biodiversity: Implications for the ecosystem approach. </w:t>
      </w:r>
      <w:r w:rsidRPr="009B0448">
        <w:rPr>
          <w:rFonts w:ascii="Times New Roman" w:hAnsi="Times New Roman" w:cs="Times New Roman"/>
          <w:i/>
        </w:rPr>
        <w:t>Marine Pollution Bulletin, 54</w:t>
      </w:r>
      <w:r w:rsidRPr="009B0448">
        <w:rPr>
          <w:rFonts w:ascii="Times New Roman" w:hAnsi="Times New Roman" w:cs="Times New Roman"/>
        </w:rPr>
        <w:t xml:space="preserve">(3), 253–265. </w:t>
      </w:r>
      <w:hyperlink r:id="rId427" w:history="1">
        <w:r w:rsidRPr="009B0448">
          <w:rPr>
            <w:rStyle w:val="Hyperlink"/>
            <w:rFonts w:ascii="Times New Roman" w:hAnsi="Times New Roman" w:cs="Times New Roman"/>
          </w:rPr>
          <w:t>https://doi.org/10.1016/j.marpolbul.2006.12.003</w:t>
        </w:r>
      </w:hyperlink>
    </w:p>
    <w:p w14:paraId="18C8A0B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Belem, B., Nacoulma, B. M. I., Gbangou, R., Kambou, S., Hansen, H. H., Gausset, Q., Lund, S., Raebild, A., Lompo, D., Ouedraogo, M., &amp; Theilade, I. (2007). Use of non-wood forest products by local people bordering the Parc National Kaboré Tambi, Burkina Faso. </w:t>
      </w:r>
      <w:r w:rsidRPr="009B0448">
        <w:rPr>
          <w:rFonts w:ascii="Times New Roman" w:hAnsi="Times New Roman" w:cs="Times New Roman"/>
          <w:i/>
        </w:rPr>
        <w:t>Journal of Transdisciplinary Environmental Studies, 6</w:t>
      </w:r>
      <w:r w:rsidRPr="009B0448">
        <w:rPr>
          <w:rFonts w:ascii="Times New Roman" w:hAnsi="Times New Roman" w:cs="Times New Roman"/>
        </w:rPr>
        <w:t xml:space="preserve">, 1–21. Retrieved from </w:t>
      </w:r>
      <w:hyperlink r:id="rId428" w:history="1">
        <w:r w:rsidRPr="009B0448">
          <w:rPr>
            <w:rStyle w:val="Hyperlink"/>
            <w:rFonts w:ascii="Times New Roman" w:hAnsi="Times New Roman" w:cs="Times New Roman"/>
          </w:rPr>
          <w:t>http://journal-tes.dk/vol_6_no_1/no_2_Bassirou(lav).pdf</w:t>
        </w:r>
      </w:hyperlink>
      <w:r w:rsidRPr="009B0448">
        <w:rPr>
          <w:rFonts w:ascii="Times New Roman" w:hAnsi="Times New Roman" w:cs="Times New Roman"/>
        </w:rPr>
        <w:t xml:space="preserve"> </w:t>
      </w:r>
    </w:p>
    <w:p w14:paraId="63C98A1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Belhabib, D., Zeller, D., Harper, S., &amp; Pauly, D. (2012). Marine fisheries catches in West Africa, 1950–2010, part I. </w:t>
      </w:r>
      <w:r w:rsidRPr="009B0448">
        <w:rPr>
          <w:rFonts w:ascii="Times New Roman" w:hAnsi="Times New Roman" w:cs="Times New Roman"/>
          <w:i/>
        </w:rPr>
        <w:t>Fisheries Centre Research Reports, 20</w:t>
      </w:r>
      <w:r w:rsidRPr="009B0448">
        <w:rPr>
          <w:rFonts w:ascii="Times New Roman" w:hAnsi="Times New Roman" w:cs="Times New Roman"/>
        </w:rPr>
        <w:t xml:space="preserve">(3), 61–78. Retrieved from </w:t>
      </w:r>
      <w:hyperlink r:id="rId429" w:history="1">
        <w:r w:rsidRPr="009B0448">
          <w:rPr>
            <w:rStyle w:val="Hyperlink"/>
            <w:rFonts w:ascii="Times New Roman" w:hAnsi="Times New Roman" w:cs="Times New Roman"/>
          </w:rPr>
          <w:t>http://www.seaaroundus.org/doc/publications/books-and-reports/2012/Belhabib-et-al-2012-West-Africa.pdf</w:t>
        </w:r>
      </w:hyperlink>
      <w:r w:rsidRPr="009B0448">
        <w:rPr>
          <w:rFonts w:ascii="Times New Roman" w:hAnsi="Times New Roman" w:cs="Times New Roman"/>
        </w:rPr>
        <w:t xml:space="preserve"> </w:t>
      </w:r>
    </w:p>
    <w:p w14:paraId="45C4058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Belhabib, D., Koutob, V., Sall, A., Lam, V. W., &amp; Pauly, D. (2014). Fisheries catch misreporting and its implications: The case of Senegal. </w:t>
      </w:r>
      <w:r w:rsidRPr="009B0448">
        <w:rPr>
          <w:rFonts w:ascii="Times New Roman" w:hAnsi="Times New Roman" w:cs="Times New Roman"/>
          <w:i/>
        </w:rPr>
        <w:t>Fisheries Research, 151</w:t>
      </w:r>
      <w:r w:rsidRPr="009B0448">
        <w:rPr>
          <w:rFonts w:ascii="Times New Roman" w:hAnsi="Times New Roman" w:cs="Times New Roman"/>
        </w:rPr>
        <w:t xml:space="preserve">, 1–11. </w:t>
      </w:r>
      <w:hyperlink r:id="rId430" w:history="1">
        <w:r w:rsidRPr="009B0448">
          <w:rPr>
            <w:rStyle w:val="Hyperlink"/>
            <w:rFonts w:ascii="Times New Roman" w:hAnsi="Times New Roman" w:cs="Times New Roman"/>
          </w:rPr>
          <w:t>https://doi.org/10.1016/j.fishres.2013.12.006</w:t>
        </w:r>
      </w:hyperlink>
      <w:r w:rsidRPr="009B0448">
        <w:rPr>
          <w:rFonts w:ascii="Times New Roman" w:hAnsi="Times New Roman" w:cs="Times New Roman"/>
        </w:rPr>
        <w:t xml:space="preserve"> </w:t>
      </w:r>
    </w:p>
    <w:p w14:paraId="0C15C09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Belhabib, D., Sumaila, U. R., &amp; Pauly, D. (2015a). Feeding the poor: Contribution of West African fisheries to employment and food security. </w:t>
      </w:r>
      <w:r w:rsidRPr="009B0448">
        <w:rPr>
          <w:rFonts w:ascii="Times New Roman" w:hAnsi="Times New Roman" w:cs="Times New Roman"/>
          <w:i/>
        </w:rPr>
        <w:t>Ocean and Coastal Management, 111</w:t>
      </w:r>
      <w:r w:rsidRPr="009B0448">
        <w:rPr>
          <w:rFonts w:ascii="Times New Roman" w:hAnsi="Times New Roman" w:cs="Times New Roman"/>
        </w:rPr>
        <w:t xml:space="preserve">, 72–81. </w:t>
      </w:r>
      <w:hyperlink r:id="rId431" w:history="1">
        <w:r w:rsidRPr="009B0448">
          <w:rPr>
            <w:rStyle w:val="Hyperlink"/>
            <w:rFonts w:ascii="Times New Roman" w:hAnsi="Times New Roman" w:cs="Times New Roman"/>
          </w:rPr>
          <w:t>https://doi.org/10.1016/j.ocecoaman.2015.04.010</w:t>
        </w:r>
      </w:hyperlink>
    </w:p>
    <w:p w14:paraId="398A874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Belhabib, D., Sumaila, U. R., Lam, V. W., Zeller, D., Le Billon, P., Kane, E. A., &amp; Pauly, D. (2015b). Euros vs. Yuan: Comparing European and Chinese fishing access in West Africa. </w:t>
      </w:r>
      <w:r w:rsidRPr="009B0448">
        <w:rPr>
          <w:rFonts w:ascii="Times New Roman" w:hAnsi="Times New Roman" w:cs="Times New Roman"/>
          <w:i/>
        </w:rPr>
        <w:t>PLoS ONE, 10</w:t>
      </w:r>
      <w:r w:rsidRPr="009B0448">
        <w:rPr>
          <w:rFonts w:ascii="Times New Roman" w:hAnsi="Times New Roman" w:cs="Times New Roman"/>
        </w:rPr>
        <w:t xml:space="preserve">(3), e0118351. </w:t>
      </w:r>
      <w:hyperlink r:id="rId432" w:history="1">
        <w:r w:rsidRPr="009B0448">
          <w:rPr>
            <w:rStyle w:val="Hyperlink"/>
            <w:rFonts w:ascii="Times New Roman" w:hAnsi="Times New Roman" w:cs="Times New Roman"/>
          </w:rPr>
          <w:t>https://doi.org/10.1371/journal.pone.0118351</w:t>
        </w:r>
      </w:hyperlink>
    </w:p>
    <w:p w14:paraId="12744C2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Belhabib, D., Mendy, A., Subah, Y., Broh, N. T., Jueseah, A. S., Nipey, N., Boeh, W. W., Willemse, N., Zeller, D., &amp; Pauly, D. (2016). Fisheries catch under-reporting in The Gambia, Liberia and Namibia and the three large marine ecosystems which they represent. </w:t>
      </w:r>
      <w:r w:rsidRPr="009B0448">
        <w:rPr>
          <w:rFonts w:ascii="Times New Roman" w:hAnsi="Times New Roman" w:cs="Times New Roman"/>
          <w:i/>
        </w:rPr>
        <w:t>Environmental Development, 17</w:t>
      </w:r>
      <w:r w:rsidRPr="009B0448">
        <w:rPr>
          <w:rFonts w:ascii="Times New Roman" w:hAnsi="Times New Roman" w:cs="Times New Roman"/>
        </w:rPr>
        <w:t xml:space="preserve">, 157–174. </w:t>
      </w:r>
      <w:hyperlink r:id="rId433" w:history="1">
        <w:r w:rsidRPr="009B0448">
          <w:rPr>
            <w:rStyle w:val="Hyperlink"/>
            <w:rFonts w:ascii="Times New Roman" w:hAnsi="Times New Roman" w:cs="Times New Roman"/>
          </w:rPr>
          <w:t>https://doi.org/10.1016/j.envdev.2015.08.004</w:t>
        </w:r>
      </w:hyperlink>
    </w:p>
    <w:p w14:paraId="129AC8E4"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Bidak, L. M., Kamal, S. A., Halmy, M. W. A., &amp; Heneidy, S. Z. (2015). Goods and services provided by native plants in desert ecosystems: Examples from the northwestern coastal desert of Egypt. </w:t>
      </w:r>
      <w:r w:rsidRPr="009B0448">
        <w:rPr>
          <w:rFonts w:ascii="Times New Roman" w:hAnsi="Times New Roman" w:cs="Times New Roman"/>
          <w:i/>
        </w:rPr>
        <w:t>Global Ecology and Conservation, 3</w:t>
      </w:r>
      <w:r w:rsidRPr="009B0448">
        <w:rPr>
          <w:rFonts w:ascii="Times New Roman" w:hAnsi="Times New Roman" w:cs="Times New Roman"/>
        </w:rPr>
        <w:t xml:space="preserve">, 433–447. </w:t>
      </w:r>
      <w:hyperlink r:id="rId434" w:history="1">
        <w:r w:rsidRPr="009B0448">
          <w:rPr>
            <w:rStyle w:val="Hyperlink"/>
            <w:rFonts w:ascii="Times New Roman" w:hAnsi="Times New Roman" w:cs="Times New Roman"/>
          </w:rPr>
          <w:t>https://doi.org/10.1016/j.gecco.2015.02.001</w:t>
        </w:r>
      </w:hyperlink>
    </w:p>
    <w:p w14:paraId="5719A04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Biggs, R., Bohensky, E., Desanker, P. V., Fabricius, C. Lynam, T., Misselhorn, A. A., Musvoto, C., Mutale, M., Reyers, B., Scholes, R. J., Shikongo, S., &amp; van Jaarsveld, A. S. (2004). </w:t>
      </w:r>
      <w:r w:rsidRPr="009B0448">
        <w:rPr>
          <w:rFonts w:ascii="Times New Roman" w:hAnsi="Times New Roman" w:cs="Times New Roman"/>
          <w:i/>
        </w:rPr>
        <w:t xml:space="preserve">The cultural importance of ecosystem services to the amaXhosa people of the Eastern Cape. </w:t>
      </w:r>
      <w:r w:rsidRPr="009B0448">
        <w:rPr>
          <w:rFonts w:ascii="Times New Roman" w:hAnsi="Times New Roman" w:cs="Times New Roman"/>
        </w:rPr>
        <w:t xml:space="preserve">Pretoria, South Africa: Council for Scientific and Industrial Research. </w:t>
      </w:r>
    </w:p>
    <w:p w14:paraId="0D27A32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Biggs, E. M., Boruff, B., Bruce, E., Duncan, J., Haworth, B., Duce, S., Horsley, J., Curnow, J., Neef, A., McNeill, K., &amp; Pauli, N. (2014). </w:t>
      </w:r>
      <w:r w:rsidRPr="009B0448">
        <w:rPr>
          <w:rFonts w:ascii="Times New Roman" w:hAnsi="Times New Roman" w:cs="Times New Roman"/>
          <w:i/>
        </w:rPr>
        <w:t>Environmental livelihood security in South-East Asia and Oceania: A nexus livelihoods approach for spatially assessing change.</w:t>
      </w:r>
      <w:r w:rsidRPr="009B0448">
        <w:rPr>
          <w:rFonts w:ascii="Times New Roman" w:hAnsi="Times New Roman" w:cs="Times New Roman"/>
        </w:rPr>
        <w:t xml:space="preserve"> Colombo, Sri Lanka: White Paper International Water Management Institute. </w:t>
      </w:r>
      <w:hyperlink r:id="rId435" w:history="1">
        <w:r w:rsidRPr="009B0448">
          <w:rPr>
            <w:rStyle w:val="Hyperlink"/>
            <w:rFonts w:ascii="Times New Roman" w:hAnsi="Times New Roman" w:cs="Times New Roman"/>
          </w:rPr>
          <w:t>https://doi.org/10.5337/2014.231</w:t>
        </w:r>
      </w:hyperlink>
      <w:r w:rsidRPr="009B0448">
        <w:rPr>
          <w:rFonts w:ascii="Times New Roman" w:hAnsi="Times New Roman" w:cs="Times New Roman"/>
        </w:rPr>
        <w:t xml:space="preserve"> </w:t>
      </w:r>
    </w:p>
    <w:p w14:paraId="44AA1E2D" w14:textId="77777777" w:rsidR="009B0448" w:rsidRPr="009B0448" w:rsidRDefault="009B0448" w:rsidP="009B0448">
      <w:pPr>
        <w:tabs>
          <w:tab w:val="left" w:pos="3418"/>
        </w:tabs>
        <w:spacing w:after="120" w:line="276" w:lineRule="auto"/>
        <w:ind w:left="567" w:hanging="567"/>
        <w:rPr>
          <w:rFonts w:ascii="Times New Roman" w:hAnsi="Times New Roman" w:cs="Times New Roman"/>
          <w:highlight w:val="yellow"/>
        </w:rPr>
      </w:pPr>
      <w:r w:rsidRPr="009B0448">
        <w:rPr>
          <w:rFonts w:ascii="Times New Roman" w:hAnsi="Times New Roman" w:cs="Times New Roman"/>
        </w:rPr>
        <w:t xml:space="preserve">Blignaut, J., Aronson, J., Mander, M., &amp; Marais, C. (2008). Investing in natural capital and economic development: South Africa's Drakensberg Mountains. </w:t>
      </w:r>
      <w:r w:rsidRPr="009B0448">
        <w:rPr>
          <w:rFonts w:ascii="Times New Roman" w:hAnsi="Times New Roman" w:cs="Times New Roman"/>
          <w:i/>
        </w:rPr>
        <w:t>Ecological Restoration, 26</w:t>
      </w:r>
      <w:r w:rsidRPr="009B0448">
        <w:rPr>
          <w:rFonts w:ascii="Times New Roman" w:hAnsi="Times New Roman" w:cs="Times New Roman"/>
        </w:rPr>
        <w:t xml:space="preserve">(2), 143–150. </w:t>
      </w:r>
      <w:hyperlink r:id="rId436" w:history="1">
        <w:r w:rsidRPr="009B0448">
          <w:rPr>
            <w:rStyle w:val="Hyperlink"/>
            <w:rFonts w:ascii="Times New Roman" w:hAnsi="Times New Roman" w:cs="Times New Roman"/>
          </w:rPr>
          <w:t>https://doi.org/10.3368/er.26.2.143</w:t>
        </w:r>
      </w:hyperlink>
      <w:r w:rsidRPr="009B0448">
        <w:rPr>
          <w:rFonts w:ascii="Times New Roman" w:hAnsi="Times New Roman" w:cs="Times New Roman"/>
        </w:rPr>
        <w:t xml:space="preserve"> </w:t>
      </w:r>
    </w:p>
    <w:p w14:paraId="4D54817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Bodelier, P. L. E. (2011). Toward understanding, managing, and protecting microbial ecosystems. </w:t>
      </w:r>
      <w:r w:rsidRPr="009B0448">
        <w:rPr>
          <w:rFonts w:ascii="Times New Roman" w:hAnsi="Times New Roman" w:cs="Times New Roman"/>
          <w:i/>
        </w:rPr>
        <w:t>Frontiers in Microbiology, 25</w:t>
      </w:r>
      <w:r w:rsidRPr="009B0448">
        <w:rPr>
          <w:rFonts w:ascii="Times New Roman" w:hAnsi="Times New Roman" w:cs="Times New Roman"/>
        </w:rPr>
        <w:t xml:space="preserve">(2), 80. </w:t>
      </w:r>
      <w:hyperlink r:id="rId437" w:history="1">
        <w:r w:rsidRPr="009B0448">
          <w:rPr>
            <w:rStyle w:val="Hyperlink"/>
            <w:rFonts w:ascii="Times New Roman" w:hAnsi="Times New Roman" w:cs="Times New Roman"/>
          </w:rPr>
          <w:t>https://doi.org/10.3389/fmicb.2011.00080</w:t>
        </w:r>
      </w:hyperlink>
      <w:r w:rsidRPr="009B0448">
        <w:rPr>
          <w:rFonts w:ascii="Times New Roman" w:hAnsi="Times New Roman" w:cs="Times New Roman"/>
        </w:rPr>
        <w:t xml:space="preserve"> </w:t>
      </w:r>
    </w:p>
    <w:p w14:paraId="3DF8436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Bollig, M., &amp; Schulte, A. (1999). Environmental change and pastoral perceptions: Degradation and indigenous knowledge in two African pastoral communities. </w:t>
      </w:r>
      <w:r w:rsidRPr="009B0448">
        <w:rPr>
          <w:rFonts w:ascii="Times New Roman" w:hAnsi="Times New Roman" w:cs="Times New Roman"/>
          <w:i/>
        </w:rPr>
        <w:t>Human Ecology, 27</w:t>
      </w:r>
      <w:r w:rsidRPr="009B0448">
        <w:rPr>
          <w:rFonts w:ascii="Times New Roman" w:hAnsi="Times New Roman" w:cs="Times New Roman"/>
        </w:rPr>
        <w:t xml:space="preserve">(3), 493–514. </w:t>
      </w:r>
      <w:hyperlink r:id="rId438" w:history="1">
        <w:r w:rsidRPr="009B0448">
          <w:rPr>
            <w:rStyle w:val="Hyperlink"/>
            <w:rFonts w:ascii="Times New Roman" w:hAnsi="Times New Roman" w:cs="Times New Roman"/>
          </w:rPr>
          <w:t>https://doi.org/10.1023/A:1018783725398</w:t>
        </w:r>
      </w:hyperlink>
    </w:p>
    <w:p w14:paraId="783F43B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Bonin, M. C., Harrison, H. B., Williamson, D. H., Frisch, A. J., Saenz</w:t>
      </w:r>
      <w:r w:rsidRPr="009B0448">
        <w:rPr>
          <w:rFonts w:ascii="Cambria Math" w:hAnsi="Cambria Math" w:cs="Cambria Math"/>
        </w:rPr>
        <w:t>‐</w:t>
      </w:r>
      <w:r w:rsidRPr="009B0448">
        <w:rPr>
          <w:rFonts w:ascii="Times New Roman" w:hAnsi="Times New Roman" w:cs="Times New Roman"/>
        </w:rPr>
        <w:t xml:space="preserve">Agudelo, P., Berumen, M. L., &amp; Jones G. P. (2016). The role of marine reserves in the replenishment of a locally impacted population of anemonefish on the Great Barrier Reef. </w:t>
      </w:r>
      <w:r w:rsidRPr="009B0448">
        <w:rPr>
          <w:rFonts w:ascii="Times New Roman" w:hAnsi="Times New Roman" w:cs="Times New Roman"/>
          <w:i/>
        </w:rPr>
        <w:t>Molecular Ecology, 25</w:t>
      </w:r>
      <w:r w:rsidRPr="009B0448">
        <w:rPr>
          <w:rFonts w:ascii="Times New Roman" w:hAnsi="Times New Roman" w:cs="Times New Roman"/>
        </w:rPr>
        <w:t xml:space="preserve">, 487–499. </w:t>
      </w:r>
      <w:hyperlink r:id="rId439" w:history="1">
        <w:r w:rsidRPr="009B0448">
          <w:rPr>
            <w:rStyle w:val="Hyperlink"/>
            <w:rFonts w:ascii="Times New Roman" w:hAnsi="Times New Roman" w:cs="Times New Roman"/>
          </w:rPr>
          <w:t>https://doi.org/10.1111/mec.13484</w:t>
        </w:r>
      </w:hyperlink>
      <w:r w:rsidRPr="009B0448">
        <w:rPr>
          <w:rFonts w:ascii="Times New Roman" w:hAnsi="Times New Roman" w:cs="Times New Roman"/>
        </w:rPr>
        <w:t xml:space="preserve"> </w:t>
      </w:r>
    </w:p>
    <w:p w14:paraId="2E16FB76" w14:textId="12AAFF0D"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Bonsor, H. C., &amp; MacDonald, A. M. (2011). </w:t>
      </w:r>
      <w:r w:rsidRPr="009B0448">
        <w:rPr>
          <w:rFonts w:ascii="Times New Roman" w:hAnsi="Times New Roman" w:cs="Times New Roman"/>
          <w:i/>
        </w:rPr>
        <w:t>An initial estimate of depth to groundwater across Africa</w:t>
      </w:r>
      <w:r w:rsidRPr="009B0448">
        <w:rPr>
          <w:rFonts w:ascii="Times New Roman" w:hAnsi="Times New Roman" w:cs="Times New Roman"/>
        </w:rPr>
        <w:t xml:space="preserve">. Keyworth, UK: British Geological Survey. Retrieved from </w:t>
      </w:r>
      <w:hyperlink r:id="rId440" w:history="1">
        <w:r w:rsidRPr="009B0448">
          <w:rPr>
            <w:rStyle w:val="Hyperlink"/>
            <w:rFonts w:ascii="Times New Roman" w:hAnsi="Times New Roman" w:cs="Times New Roman"/>
          </w:rPr>
          <w:t>http://nora.nerc.ac.uk/id/eprint/17907/1/OR11067.pdf</w:t>
        </w:r>
      </w:hyperlink>
    </w:p>
    <w:p w14:paraId="42B9A81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Brocklesby, M., &amp; Fisher, E. (2003). Community development in sustainable livelihoods approaches-an introduction. </w:t>
      </w:r>
      <w:r w:rsidRPr="009B0448">
        <w:rPr>
          <w:rFonts w:ascii="Times New Roman" w:hAnsi="Times New Roman" w:cs="Times New Roman"/>
          <w:i/>
        </w:rPr>
        <w:t>Journal of Community Development, 38</w:t>
      </w:r>
      <w:r w:rsidRPr="009B0448">
        <w:rPr>
          <w:rFonts w:ascii="Times New Roman" w:hAnsi="Times New Roman" w:cs="Times New Roman"/>
        </w:rPr>
        <w:t xml:space="preserve">, 185–198. </w:t>
      </w:r>
      <w:hyperlink r:id="rId441" w:history="1">
        <w:r w:rsidRPr="009B0448">
          <w:rPr>
            <w:rStyle w:val="Hyperlink"/>
            <w:rFonts w:ascii="Times New Roman" w:hAnsi="Times New Roman" w:cs="Times New Roman"/>
          </w:rPr>
          <w:t>https://doi.org/10.1093/cdj/38.3.185</w:t>
        </w:r>
      </w:hyperlink>
    </w:p>
    <w:p w14:paraId="6773875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Brodie, J. F., &amp; Gibbs, H. K. (2009). Bushmeat hunting as climate threat. </w:t>
      </w:r>
      <w:r w:rsidRPr="009B0448">
        <w:rPr>
          <w:rFonts w:ascii="Times New Roman" w:hAnsi="Times New Roman" w:cs="Times New Roman"/>
          <w:i/>
        </w:rPr>
        <w:t>Science, 326</w:t>
      </w:r>
      <w:r w:rsidRPr="009B0448">
        <w:rPr>
          <w:rFonts w:ascii="Times New Roman" w:hAnsi="Times New Roman" w:cs="Times New Roman"/>
        </w:rPr>
        <w:t xml:space="preserve">(5951), 364–365. </w:t>
      </w:r>
      <w:hyperlink r:id="rId442" w:history="1">
        <w:r w:rsidRPr="009B0448">
          <w:rPr>
            <w:rStyle w:val="Hyperlink"/>
            <w:rFonts w:ascii="Times New Roman" w:hAnsi="Times New Roman" w:cs="Times New Roman"/>
          </w:rPr>
          <w:t>https://doi.org/10.1126/science.326_364b</w:t>
        </w:r>
      </w:hyperlink>
      <w:r w:rsidRPr="009B0448">
        <w:rPr>
          <w:rFonts w:ascii="Times New Roman" w:hAnsi="Times New Roman" w:cs="Times New Roman"/>
        </w:rPr>
        <w:t xml:space="preserve"> </w:t>
      </w:r>
    </w:p>
    <w:p w14:paraId="561B61B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Bromhead, M-A. (2012). </w:t>
      </w:r>
      <w:r w:rsidRPr="009B0448">
        <w:rPr>
          <w:rFonts w:ascii="Times New Roman" w:hAnsi="Times New Roman" w:cs="Times New Roman"/>
          <w:i/>
        </w:rPr>
        <w:t>Forest, trees, and woodlands in Africa: An action plan for World Bank engagement</w:t>
      </w:r>
      <w:r w:rsidRPr="009B0448">
        <w:rPr>
          <w:rFonts w:ascii="Times New Roman" w:hAnsi="Times New Roman" w:cs="Times New Roman"/>
        </w:rPr>
        <w:t xml:space="preserve">. Washington, DC: World Bank. Retrieved from </w:t>
      </w:r>
      <w:hyperlink r:id="rId443" w:history="1">
        <w:r w:rsidRPr="009B0448">
          <w:rPr>
            <w:rStyle w:val="Hyperlink"/>
            <w:rFonts w:ascii="Times New Roman" w:hAnsi="Times New Roman" w:cs="Times New Roman"/>
          </w:rPr>
          <w:t>http://hdl.handle.net/10986/11927</w:t>
        </w:r>
      </w:hyperlink>
      <w:r w:rsidRPr="009B0448">
        <w:rPr>
          <w:rFonts w:ascii="Times New Roman" w:hAnsi="Times New Roman" w:cs="Times New Roman"/>
        </w:rPr>
        <w:t xml:space="preserve"> </w:t>
      </w:r>
    </w:p>
    <w:p w14:paraId="73810FF5"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Brown, H. C. P., &amp; Lassoie, J. P. (2010). Institutional choice and local legitimacy in community-based forest management: Lessons from Cameroon. </w:t>
      </w:r>
      <w:r w:rsidRPr="009B0448">
        <w:rPr>
          <w:rFonts w:ascii="Times New Roman" w:hAnsi="Times New Roman" w:cs="Times New Roman"/>
          <w:i/>
        </w:rPr>
        <w:t>Environmental Conservation, 37</w:t>
      </w:r>
      <w:r w:rsidRPr="009B0448">
        <w:rPr>
          <w:rFonts w:ascii="Times New Roman" w:hAnsi="Times New Roman" w:cs="Times New Roman"/>
        </w:rPr>
        <w:t xml:space="preserve">(3), 261–269. </w:t>
      </w:r>
      <w:hyperlink r:id="rId444" w:history="1">
        <w:r w:rsidRPr="009B0448">
          <w:rPr>
            <w:rStyle w:val="Hyperlink"/>
            <w:rFonts w:ascii="Times New Roman" w:hAnsi="Times New Roman" w:cs="Times New Roman"/>
          </w:rPr>
          <w:t>https://doi.org/10.1017/S0376892910000603</w:t>
        </w:r>
      </w:hyperlink>
      <w:r w:rsidRPr="009B0448">
        <w:rPr>
          <w:rFonts w:ascii="Times New Roman" w:hAnsi="Times New Roman" w:cs="Times New Roman"/>
        </w:rPr>
        <w:t xml:space="preserve"> </w:t>
      </w:r>
    </w:p>
    <w:p w14:paraId="394E1FB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Brown, K., Daw, T., Rosendo, S., Bunce, M., &amp; Cherrett, N. (2008). </w:t>
      </w:r>
      <w:r w:rsidRPr="009B0448">
        <w:rPr>
          <w:rFonts w:ascii="Times New Roman" w:hAnsi="Times New Roman" w:cs="Times New Roman"/>
          <w:i/>
        </w:rPr>
        <w:t>Ecosystem services for poverty alleviation: Marine and coastal situational analysis (synthesis report)</w:t>
      </w:r>
      <w:r w:rsidRPr="009B0448">
        <w:rPr>
          <w:rFonts w:ascii="Times New Roman" w:hAnsi="Times New Roman" w:cs="Times New Roman"/>
        </w:rPr>
        <w:t xml:space="preserve">. London, UK: Natural Environment Research. Retrieved from </w:t>
      </w:r>
      <w:hyperlink r:id="rId445" w:history="1">
        <w:r w:rsidRPr="009B0448">
          <w:rPr>
            <w:rStyle w:val="Hyperlink"/>
            <w:rFonts w:ascii="Times New Roman" w:hAnsi="Times New Roman" w:cs="Times New Roman"/>
          </w:rPr>
          <w:t>http://www.espa.ac.uk/files/espa/Marine%20and%20Coastal%20-%20Synthesis%20Report.pdf</w:t>
        </w:r>
      </w:hyperlink>
      <w:r w:rsidRPr="009B0448">
        <w:rPr>
          <w:rFonts w:ascii="Times New Roman" w:hAnsi="Times New Roman" w:cs="Times New Roman"/>
        </w:rPr>
        <w:t xml:space="preserve"> </w:t>
      </w:r>
    </w:p>
    <w:p w14:paraId="0523971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Bunker, D. E., DeClerck, F., Bradford, J. C., Colwell, R. K., Perfecto, I., Phillips, O. L., Sankaran, M., &amp; Naeem, S. (2005). Species loss and aboveground carbon storage in a tropical forest. </w:t>
      </w:r>
      <w:r w:rsidRPr="009B0448">
        <w:rPr>
          <w:rFonts w:ascii="Times New Roman" w:hAnsi="Times New Roman" w:cs="Times New Roman"/>
          <w:i/>
        </w:rPr>
        <w:t>Science, 310</w:t>
      </w:r>
      <w:r w:rsidRPr="009B0448">
        <w:rPr>
          <w:rFonts w:ascii="Times New Roman" w:hAnsi="Times New Roman" w:cs="Times New Roman"/>
        </w:rPr>
        <w:t xml:space="preserve">(5750), 1029–1031. </w:t>
      </w:r>
      <w:hyperlink r:id="rId446" w:history="1">
        <w:r w:rsidRPr="009B0448">
          <w:rPr>
            <w:rStyle w:val="Hyperlink"/>
            <w:rFonts w:ascii="Times New Roman" w:hAnsi="Times New Roman" w:cs="Times New Roman"/>
          </w:rPr>
          <w:t>https://doi.org/10.1126/science.1117682</w:t>
        </w:r>
      </w:hyperlink>
      <w:r w:rsidRPr="009B0448">
        <w:rPr>
          <w:rFonts w:ascii="Times New Roman" w:hAnsi="Times New Roman" w:cs="Times New Roman"/>
        </w:rPr>
        <w:t xml:space="preserve"> </w:t>
      </w:r>
    </w:p>
    <w:p w14:paraId="4168C8A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Byers, B. A., Cunliffe, R. N., &amp; Hudak, A. T. (2001). Linking the conservation of culture and nature: A case study of sacred forests in Zimbabwe. </w:t>
      </w:r>
      <w:r w:rsidRPr="009B0448">
        <w:rPr>
          <w:rFonts w:ascii="Times New Roman" w:hAnsi="Times New Roman" w:cs="Times New Roman"/>
          <w:i/>
        </w:rPr>
        <w:t>Human Ecology, 29</w:t>
      </w:r>
      <w:r w:rsidRPr="009B0448">
        <w:rPr>
          <w:rFonts w:ascii="Times New Roman" w:hAnsi="Times New Roman" w:cs="Times New Roman"/>
        </w:rPr>
        <w:t xml:space="preserve">, 187–218. </w:t>
      </w:r>
      <w:hyperlink r:id="rId447" w:history="1">
        <w:r w:rsidRPr="009B0448">
          <w:rPr>
            <w:rStyle w:val="Hyperlink"/>
            <w:rFonts w:ascii="Times New Roman" w:hAnsi="Times New Roman" w:cs="Times New Roman"/>
          </w:rPr>
          <w:t>https://doi.org/10.1023/A:1011012014240</w:t>
        </w:r>
      </w:hyperlink>
    </w:p>
    <w:p w14:paraId="6BE7042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Campos-Arceiz, A., &amp; Blake, S. (2011). Mega-gardeners of the forests</w:t>
      </w:r>
      <w:r w:rsidRPr="009B0448">
        <w:rPr>
          <w:rFonts w:ascii="Times New Roman" w:hAnsi="Times New Roman" w:cs="Times New Roman"/>
          <w:color w:val="auto"/>
        </w:rPr>
        <w:t xml:space="preserve">–the role of elephants in seed dispersal. </w:t>
      </w:r>
      <w:r w:rsidRPr="009B0448">
        <w:rPr>
          <w:rFonts w:ascii="Times New Roman" w:hAnsi="Times New Roman" w:cs="Times New Roman"/>
          <w:i/>
          <w:color w:val="auto"/>
        </w:rPr>
        <w:t>Acta Ecologica, 27</w:t>
      </w:r>
      <w:r w:rsidRPr="009B0448">
        <w:rPr>
          <w:rFonts w:ascii="Times New Roman" w:hAnsi="Times New Roman" w:cs="Times New Roman"/>
          <w:color w:val="auto"/>
        </w:rPr>
        <w:t xml:space="preserve">, 542–533. </w:t>
      </w:r>
      <w:hyperlink r:id="rId448" w:history="1">
        <w:r w:rsidRPr="009B0448">
          <w:rPr>
            <w:rStyle w:val="Hyperlink"/>
            <w:rFonts w:ascii="Times New Roman" w:hAnsi="Times New Roman" w:cs="Times New Roman"/>
          </w:rPr>
          <w:t>https://doi.org/10.1016/j.actao.2011.01.014</w:t>
        </w:r>
      </w:hyperlink>
    </w:p>
    <w:p w14:paraId="18969F8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Canu, D. M., Ghermandi, A., Nunes, P. A. L. D., Lazzari, P., Cossarini, G., &amp; Solidoro, C. (2015). Estimating the value of carbon sequestration ecosystem services in the Mediterranean Sea: An ecological economics approach. </w:t>
      </w:r>
      <w:r w:rsidRPr="009B0448">
        <w:rPr>
          <w:rFonts w:ascii="Times New Roman" w:hAnsi="Times New Roman" w:cs="Times New Roman"/>
          <w:i/>
          <w:color w:val="auto"/>
        </w:rPr>
        <w:t>Global Environmental Change, 32</w:t>
      </w:r>
      <w:r w:rsidRPr="009B0448">
        <w:rPr>
          <w:rFonts w:ascii="Times New Roman" w:hAnsi="Times New Roman" w:cs="Times New Roman"/>
          <w:color w:val="auto"/>
        </w:rPr>
        <w:t xml:space="preserve">, 87–95. </w:t>
      </w:r>
      <w:hyperlink r:id="rId449" w:history="1">
        <w:r w:rsidRPr="009B0448">
          <w:rPr>
            <w:rStyle w:val="Hyperlink"/>
            <w:rFonts w:ascii="Times New Roman" w:hAnsi="Times New Roman" w:cs="Times New Roman"/>
          </w:rPr>
          <w:t>https://doi.org/10.1016/j.gloenvcha.2015.02.008</w:t>
        </w:r>
      </w:hyperlink>
    </w:p>
    <w:p w14:paraId="6572348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CAPMAS, (2014). </w:t>
      </w:r>
      <w:r w:rsidRPr="009B0448">
        <w:rPr>
          <w:rFonts w:ascii="Times New Roman" w:hAnsi="Times New Roman" w:cs="Times New Roman"/>
          <w:i/>
        </w:rPr>
        <w:t>Egypt in figures report 2014</w:t>
      </w:r>
      <w:r w:rsidRPr="009B0448">
        <w:rPr>
          <w:rFonts w:ascii="Times New Roman" w:hAnsi="Times New Roman" w:cs="Times New Roman"/>
        </w:rPr>
        <w:t xml:space="preserve">. Retrieved from </w:t>
      </w:r>
      <w:hyperlink r:id="rId450" w:history="1">
        <w:r w:rsidRPr="009B0448">
          <w:rPr>
            <w:rStyle w:val="Hyperlink"/>
            <w:rFonts w:ascii="Times New Roman" w:hAnsi="Times New Roman" w:cs="Times New Roman"/>
          </w:rPr>
          <w:t>http://www.saflii.org/za/journals/ADRY/2014/8.pdf</w:t>
        </w:r>
      </w:hyperlink>
      <w:r w:rsidRPr="009B0448">
        <w:rPr>
          <w:rFonts w:ascii="Times New Roman" w:hAnsi="Times New Roman" w:cs="Times New Roman"/>
        </w:rPr>
        <w:t xml:space="preserve"> </w:t>
      </w:r>
    </w:p>
    <w:p w14:paraId="695664B4"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CBD Secretariat, &amp; WHO. (2015). </w:t>
      </w:r>
      <w:r w:rsidRPr="009B0448">
        <w:rPr>
          <w:rFonts w:ascii="Times New Roman" w:hAnsi="Times New Roman" w:cs="Times New Roman"/>
          <w:i/>
        </w:rPr>
        <w:t>Connecting global priorities biodiversity and human health. A state of knowledge review.</w:t>
      </w:r>
      <w:r w:rsidRPr="009B0448">
        <w:rPr>
          <w:rFonts w:ascii="Times New Roman" w:hAnsi="Times New Roman" w:cs="Times New Roman"/>
        </w:rPr>
        <w:t xml:space="preserve"> Geneva, Switzerland: WHO. Retrieved from </w:t>
      </w:r>
      <w:hyperlink r:id="rId451" w:history="1">
        <w:r w:rsidRPr="009B0448">
          <w:rPr>
            <w:rStyle w:val="Hyperlink"/>
            <w:rFonts w:ascii="Times New Roman" w:hAnsi="Times New Roman" w:cs="Times New Roman"/>
          </w:rPr>
          <w:t>https://www.cbd.int/health/SOK-biodiversity-en.pdf</w:t>
        </w:r>
      </w:hyperlink>
      <w:r w:rsidRPr="009B0448">
        <w:rPr>
          <w:rFonts w:ascii="Times New Roman" w:hAnsi="Times New Roman" w:cs="Times New Roman"/>
        </w:rPr>
        <w:t xml:space="preserve"> </w:t>
      </w:r>
    </w:p>
    <w:p w14:paraId="32622DAD" w14:textId="77777777" w:rsidR="009B0448" w:rsidRPr="009B0448" w:rsidRDefault="009B0448" w:rsidP="009B0448">
      <w:pPr>
        <w:tabs>
          <w:tab w:val="left" w:pos="3418"/>
        </w:tabs>
        <w:spacing w:after="120" w:line="276" w:lineRule="auto"/>
        <w:ind w:left="567" w:hanging="567"/>
        <w:rPr>
          <w:rFonts w:ascii="Times New Roman" w:eastAsia="Times New Roman" w:hAnsi="Times New Roman" w:cs="Times New Roman"/>
          <w:highlight w:val="yellow"/>
          <w:lang w:eastAsia="en-US"/>
        </w:rPr>
      </w:pPr>
      <w:r w:rsidRPr="009B0448">
        <w:rPr>
          <w:rFonts w:ascii="Times New Roman" w:eastAsia="Times New Roman" w:hAnsi="Times New Roman" w:cs="Times New Roman"/>
          <w:lang w:eastAsia="en-US"/>
        </w:rPr>
        <w:lastRenderedPageBreak/>
        <w:t xml:space="preserve">CCLME. (2016). </w:t>
      </w:r>
      <w:r w:rsidRPr="009B0448">
        <w:rPr>
          <w:rFonts w:ascii="Times New Roman" w:eastAsia="Times New Roman" w:hAnsi="Times New Roman" w:cs="Times New Roman"/>
          <w:i/>
          <w:lang w:eastAsia="en-US"/>
        </w:rPr>
        <w:t xml:space="preserve">Canary Current Large Marine Ecosystem (CCLME) transboundary diagnostic analysis. </w:t>
      </w:r>
      <w:r w:rsidRPr="009B0448">
        <w:rPr>
          <w:rFonts w:ascii="Times New Roman" w:eastAsia="Times New Roman" w:hAnsi="Times New Roman" w:cs="Times New Roman"/>
          <w:lang w:eastAsia="en-US"/>
        </w:rPr>
        <w:t xml:space="preserve">Rome, Italy: FAO. Retrieved from </w:t>
      </w:r>
      <w:hyperlink r:id="rId452" w:history="1">
        <w:r w:rsidRPr="009B0448">
          <w:rPr>
            <w:rStyle w:val="Hyperlink"/>
            <w:rFonts w:ascii="Times New Roman" w:hAnsi="Times New Roman" w:cs="Times New Roman"/>
            <w:lang w:eastAsia="en-US"/>
          </w:rPr>
          <w:t>http://www.fao.org/in-action/canary-current-lme/working-groups/transboundary-diagnostic-analysis/en/</w:t>
        </w:r>
      </w:hyperlink>
      <w:r w:rsidRPr="009B0448">
        <w:rPr>
          <w:rFonts w:ascii="Times New Roman" w:eastAsia="Times New Roman" w:hAnsi="Times New Roman" w:cs="Times New Roman"/>
          <w:lang w:eastAsia="en-US"/>
        </w:rPr>
        <w:t xml:space="preserve"> </w:t>
      </w:r>
    </w:p>
    <w:p w14:paraId="7B7F08F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Cerbu, G. (Ed.). (2016). </w:t>
      </w:r>
      <w:r w:rsidRPr="009B0448">
        <w:rPr>
          <w:rFonts w:ascii="Times New Roman" w:hAnsi="Times New Roman" w:cs="Times New Roman"/>
          <w:i/>
        </w:rPr>
        <w:t>Central Africa Congo Basin Timber</w:t>
      </w:r>
      <w:r w:rsidRPr="009B0448">
        <w:rPr>
          <w:rFonts w:ascii="Times New Roman" w:hAnsi="Times New Roman" w:cs="Times New Roman"/>
        </w:rPr>
        <w:t xml:space="preserve">. Washington DC: World Bank. Retrieved from </w:t>
      </w:r>
      <w:hyperlink r:id="rId453" w:history="1">
        <w:r w:rsidRPr="009B0448">
          <w:rPr>
            <w:rStyle w:val="Hyperlink"/>
            <w:rFonts w:ascii="Times New Roman" w:hAnsi="Times New Roman" w:cs="Times New Roman"/>
          </w:rPr>
          <w:t>https://www.profor.info/sites/profor.info/files/PROFOR_CongoTimber_web_0.pdf</w:t>
        </w:r>
      </w:hyperlink>
      <w:r w:rsidRPr="009B0448">
        <w:rPr>
          <w:rFonts w:ascii="Times New Roman" w:hAnsi="Times New Roman" w:cs="Times New Roman"/>
        </w:rPr>
        <w:t xml:space="preserve"> </w:t>
      </w:r>
    </w:p>
    <w:p w14:paraId="53887BC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Chambers, R., &amp; Conway, G. (1992). </w:t>
      </w:r>
      <w:r w:rsidRPr="009B0448">
        <w:rPr>
          <w:rFonts w:ascii="Times New Roman" w:hAnsi="Times New Roman" w:cs="Times New Roman"/>
          <w:i/>
        </w:rPr>
        <w:t>Sustainable rural livelihoods: Practical concepts for the 21st century</w:t>
      </w:r>
      <w:r w:rsidRPr="009B0448">
        <w:rPr>
          <w:rFonts w:ascii="Times New Roman" w:hAnsi="Times New Roman" w:cs="Times New Roman"/>
        </w:rPr>
        <w:t xml:space="preserve">. London, UK: Institute of Development Studies. Retrieved from </w:t>
      </w:r>
      <w:hyperlink r:id="rId454" w:history="1">
        <w:r w:rsidRPr="009B0448">
          <w:rPr>
            <w:rStyle w:val="Hyperlink"/>
            <w:rFonts w:ascii="Times New Roman" w:hAnsi="Times New Roman" w:cs="Times New Roman"/>
          </w:rPr>
          <w:t>https://opendocs.ids.ac.uk/opendocs/bitstream/handle/123456789/775/Dp296.pdf?sequence=1</w:t>
        </w:r>
      </w:hyperlink>
      <w:r w:rsidRPr="009B0448">
        <w:rPr>
          <w:rFonts w:ascii="Times New Roman" w:hAnsi="Times New Roman" w:cs="Times New Roman"/>
        </w:rPr>
        <w:t xml:space="preserve"> </w:t>
      </w:r>
    </w:p>
    <w:p w14:paraId="36020944"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Chan, K. M. A., Satterfield, T., &amp; Goldstein, J. (2012). Rethinking ecosystem services to better address and navigate cultural values. </w:t>
      </w:r>
      <w:r w:rsidRPr="009B0448">
        <w:rPr>
          <w:rFonts w:ascii="Times New Roman" w:hAnsi="Times New Roman" w:cs="Times New Roman"/>
          <w:i/>
        </w:rPr>
        <w:t>Ecological Economics, 74</w:t>
      </w:r>
      <w:r w:rsidRPr="009B0448">
        <w:rPr>
          <w:rFonts w:ascii="Times New Roman" w:hAnsi="Times New Roman" w:cs="Times New Roman"/>
        </w:rPr>
        <w:t xml:space="preserve">, 8–18. </w:t>
      </w:r>
      <w:hyperlink r:id="rId455" w:history="1">
        <w:r w:rsidRPr="009B0448">
          <w:rPr>
            <w:rStyle w:val="Hyperlink"/>
            <w:rFonts w:ascii="Times New Roman" w:hAnsi="Times New Roman" w:cs="Times New Roman"/>
          </w:rPr>
          <w:t>https://doi.org/10.1016/j.ecolecon.2011.11.011</w:t>
        </w:r>
      </w:hyperlink>
    </w:p>
    <w:p w14:paraId="072A4C7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Chianu, J., Nkonya, Mairura, F., Chianu, J., &amp; Akinnifesi, F. (2011). Biological nitrogen fixation and socioeconomic factors for legume production in sub-Saharan Africa: A review. </w:t>
      </w:r>
      <w:r w:rsidRPr="009B0448">
        <w:rPr>
          <w:rFonts w:ascii="Times New Roman" w:hAnsi="Times New Roman" w:cs="Times New Roman"/>
          <w:i/>
        </w:rPr>
        <w:t>Agronomy for Sustainable Development, 31</w:t>
      </w:r>
      <w:r w:rsidRPr="009B0448">
        <w:rPr>
          <w:rFonts w:ascii="Times New Roman" w:hAnsi="Times New Roman" w:cs="Times New Roman"/>
        </w:rPr>
        <w:t xml:space="preserve">(1), 39–154. </w:t>
      </w:r>
      <w:hyperlink r:id="rId456" w:history="1">
        <w:r w:rsidRPr="009B0448">
          <w:rPr>
            <w:rStyle w:val="Hyperlink"/>
            <w:rFonts w:ascii="Times New Roman" w:hAnsi="Times New Roman" w:cs="Times New Roman"/>
          </w:rPr>
          <w:t>https://doi.org/10.1051/agro/2010004</w:t>
        </w:r>
      </w:hyperlink>
    </w:p>
    <w:p w14:paraId="7CC47E7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Chivian, E., &amp; Bernstein, A. (Eds.). (2008). </w:t>
      </w:r>
      <w:r w:rsidRPr="009B0448">
        <w:rPr>
          <w:rFonts w:ascii="Times New Roman" w:hAnsi="Times New Roman" w:cs="Times New Roman"/>
          <w:i/>
        </w:rPr>
        <w:t>Sustaining life-how human health depends on biodiversity</w:t>
      </w:r>
      <w:r w:rsidRPr="009B0448">
        <w:rPr>
          <w:rFonts w:ascii="Times New Roman" w:hAnsi="Times New Roman" w:cs="Times New Roman"/>
        </w:rPr>
        <w:t xml:space="preserve">. New York, USA: Oxford University Press. </w:t>
      </w:r>
    </w:p>
    <w:p w14:paraId="1934AA7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Ciais, P., Sabine, C., Bala, G., Bopp, L., Brovkin, V., al., E., &amp; House, J. I. (2013). Carbon and other biogeochemical cycles. In O. Edenhofer, R. Pichs-Madruga, Y. Sokona, E. Farahani, S. Kadner, K. Seyboth, A. Adler, I. Baum, S. Brunner, P. Eickemeier, B. Kriemann, J. Savolainen, S. Schlömer, C. von Stechow, T. Zwickel, &amp; M. J. C. Minx (Eds.), </w:t>
      </w:r>
      <w:r w:rsidRPr="009B0448">
        <w:rPr>
          <w:rFonts w:ascii="Times New Roman" w:hAnsi="Times New Roman" w:cs="Times New Roman"/>
          <w:i/>
        </w:rPr>
        <w:t>Climate Change 2013: The physical science basis. Contribution of working group I to the Fifth Assessment Report of the Intergovernmental Panel on Climate Change Change</w:t>
      </w:r>
      <w:r w:rsidRPr="009B0448">
        <w:rPr>
          <w:rFonts w:ascii="Times New Roman" w:hAnsi="Times New Roman" w:cs="Times New Roman"/>
        </w:rPr>
        <w:t xml:space="preserve">. Cambridge, UK: Cambridge University Press. Retrieved from </w:t>
      </w:r>
      <w:hyperlink r:id="rId457" w:history="1">
        <w:r w:rsidRPr="009B0448">
          <w:rPr>
            <w:rStyle w:val="Hyperlink"/>
            <w:rFonts w:ascii="Times New Roman" w:hAnsi="Times New Roman" w:cs="Times New Roman"/>
          </w:rPr>
          <w:t>https://www.ipcc.ch/pdf/assessment-report/ar5/wg1/WG1AR5_Frontmatter_FINAL.pdf</w:t>
        </w:r>
      </w:hyperlink>
      <w:r w:rsidRPr="009B0448">
        <w:rPr>
          <w:rFonts w:ascii="Times New Roman" w:hAnsi="Times New Roman" w:cs="Times New Roman"/>
        </w:rPr>
        <w:t xml:space="preserve"> </w:t>
      </w:r>
    </w:p>
    <w:p w14:paraId="147D8901"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Cinner, J. E., McClanahan, T. R., Graham, N. A. J., Daw, T. M., Maina, J., Stead, S. M., Wamukota, A., Brown, K., &amp; Bodin, Ö. (2012). Vulnerability of coastal communities to key impacts of climate change on coral reef fisheries. </w:t>
      </w:r>
      <w:r w:rsidRPr="009B0448">
        <w:rPr>
          <w:rFonts w:ascii="Times New Roman" w:hAnsi="Times New Roman" w:cs="Times New Roman"/>
          <w:i/>
        </w:rPr>
        <w:t>Global Environmental Change, 22</w:t>
      </w:r>
      <w:r w:rsidRPr="009B0448">
        <w:rPr>
          <w:rFonts w:ascii="Times New Roman" w:hAnsi="Times New Roman" w:cs="Times New Roman"/>
        </w:rPr>
        <w:t xml:space="preserve">(1), 12–20. </w:t>
      </w:r>
      <w:hyperlink r:id="rId458" w:history="1">
        <w:r w:rsidRPr="009B0448">
          <w:rPr>
            <w:rStyle w:val="Hyperlink"/>
            <w:rFonts w:ascii="Times New Roman" w:hAnsi="Times New Roman" w:cs="Times New Roman"/>
          </w:rPr>
          <w:t>https://doi.org/10.1016/j.gloenvcha.2011.09.018</w:t>
        </w:r>
      </w:hyperlink>
    </w:p>
    <w:p w14:paraId="2EFDAE0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Colfer, C. J. P., Achdiawan, R., Adnan, H., Moeliono, M., Mulyana, A., Mulyoutami, E., Roshetko, J. M., Yuliani, E. L., Balang &amp; LepMil. (2015). Preparing the ground for better landscape governance: Gendered realities in southern Sulawesi. </w:t>
      </w:r>
      <w:r w:rsidRPr="009B0448">
        <w:rPr>
          <w:rFonts w:ascii="Times New Roman" w:hAnsi="Times New Roman" w:cs="Times New Roman"/>
          <w:i/>
        </w:rPr>
        <w:t>Forests, Trees and Livelihoods, 24</w:t>
      </w:r>
      <w:r w:rsidRPr="009B0448">
        <w:rPr>
          <w:rFonts w:ascii="Times New Roman" w:hAnsi="Times New Roman" w:cs="Times New Roman"/>
        </w:rPr>
        <w:t xml:space="preserve">(1), 59–83. </w:t>
      </w:r>
      <w:hyperlink r:id="rId459" w:history="1">
        <w:r w:rsidRPr="009B0448">
          <w:rPr>
            <w:rStyle w:val="Hyperlink"/>
            <w:rFonts w:ascii="Times New Roman" w:hAnsi="Times New Roman" w:cs="Times New Roman"/>
          </w:rPr>
          <w:t>http://doi.org/10.1080/14728028.2014.951002</w:t>
        </w:r>
      </w:hyperlink>
    </w:p>
    <w:p w14:paraId="550AF58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Comte, J. C., Cassidy, R., Obando, J., Robins, N., Ibrahim, K., Melchioly, S., Mjemah, I., Shauri, H., Bourhane, A., Mohamed, I., Noe, C., Mwega, B., Makokha, M., Join, J-L., Banton, O., &amp; Davies, J. (2016). Challenges in groundwater resource management in coastal aquifers of East Africa: Investigations and lessons learnt in the Comoros Islands, Kenya and Tanzania. </w:t>
      </w:r>
      <w:r w:rsidRPr="009B0448">
        <w:rPr>
          <w:rFonts w:ascii="Times New Roman" w:hAnsi="Times New Roman" w:cs="Times New Roman"/>
          <w:i/>
        </w:rPr>
        <w:t>Journal of Hydrology: Regional Studies, 5</w:t>
      </w:r>
      <w:r w:rsidRPr="009B0448">
        <w:rPr>
          <w:rFonts w:ascii="Times New Roman" w:hAnsi="Times New Roman" w:cs="Times New Roman"/>
        </w:rPr>
        <w:t xml:space="preserve">, 179–199. </w:t>
      </w:r>
      <w:hyperlink r:id="rId460" w:history="1">
        <w:r w:rsidRPr="009B0448">
          <w:rPr>
            <w:rStyle w:val="Hyperlink"/>
            <w:rFonts w:ascii="Times New Roman" w:hAnsi="Times New Roman" w:cs="Times New Roman"/>
          </w:rPr>
          <w:t>https://doi.org/10.1016/j.ejrh.2015.12.065</w:t>
        </w:r>
      </w:hyperlink>
    </w:p>
    <w:p w14:paraId="2079F67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Coria, J., &amp; Calfucura, E. (2012). Ecotourism and the development of indigenous communities: The good, the bad, and the ugly. </w:t>
      </w:r>
      <w:r w:rsidRPr="009B0448">
        <w:rPr>
          <w:rFonts w:ascii="Times New Roman" w:hAnsi="Times New Roman" w:cs="Times New Roman"/>
          <w:i/>
        </w:rPr>
        <w:t>Ecological Economics, 73</w:t>
      </w:r>
      <w:r w:rsidRPr="009B0448">
        <w:rPr>
          <w:rFonts w:ascii="Times New Roman" w:hAnsi="Times New Roman" w:cs="Times New Roman"/>
        </w:rPr>
        <w:t xml:space="preserve">, 47–55. </w:t>
      </w:r>
      <w:hyperlink r:id="rId461" w:history="1">
        <w:r w:rsidRPr="009B0448">
          <w:rPr>
            <w:rStyle w:val="Hyperlink"/>
            <w:rFonts w:ascii="Times New Roman" w:hAnsi="Times New Roman" w:cs="Times New Roman"/>
          </w:rPr>
          <w:t>https://doi.org/10.1016/j.ecolecon.2011.10.024</w:t>
        </w:r>
      </w:hyperlink>
    </w:p>
    <w:p w14:paraId="01F1E6F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Cormier-Salem, M. C., Bernatets, C., &amp; Sarr, O. (2010). </w:t>
      </w:r>
      <w:r w:rsidRPr="009B0448">
        <w:rPr>
          <w:rFonts w:ascii="Times New Roman" w:hAnsi="Times New Roman" w:cs="Times New Roman"/>
          <w:i/>
        </w:rPr>
        <w:t>Mangrove system sustainability. Public incentives and local strategies in West Africa</w:t>
      </w:r>
      <w:r w:rsidRPr="009B0448">
        <w:rPr>
          <w:rFonts w:ascii="Times New Roman" w:hAnsi="Times New Roman" w:cs="Times New Roman"/>
        </w:rPr>
        <w:t xml:space="preserve">. Colombo, Sri Lanka: International Water Management Institute. Retrieved from </w:t>
      </w:r>
      <w:hyperlink r:id="rId462" w:history="1">
        <w:r w:rsidRPr="009B0448">
          <w:rPr>
            <w:rStyle w:val="Hyperlink"/>
            <w:rFonts w:ascii="Times New Roman" w:hAnsi="Times New Roman" w:cs="Times New Roman"/>
          </w:rPr>
          <w:t>https://ideas.repec.org/p/iwt/bosers/h043071.html</w:t>
        </w:r>
      </w:hyperlink>
      <w:r w:rsidRPr="009B0448">
        <w:rPr>
          <w:rFonts w:ascii="Times New Roman" w:hAnsi="Times New Roman" w:cs="Times New Roman"/>
        </w:rPr>
        <w:t xml:space="preserve"> </w:t>
      </w:r>
    </w:p>
    <w:p w14:paraId="3836452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Cornwall, A. (2007). Myths to live by? Female solidarity and female autonomy reconsidered. </w:t>
      </w:r>
      <w:r w:rsidRPr="009B0448">
        <w:rPr>
          <w:rFonts w:ascii="Times New Roman" w:hAnsi="Times New Roman" w:cs="Times New Roman"/>
          <w:i/>
        </w:rPr>
        <w:t>Development and Change, 38</w:t>
      </w:r>
      <w:r w:rsidRPr="009B0448">
        <w:rPr>
          <w:rFonts w:ascii="Times New Roman" w:hAnsi="Times New Roman" w:cs="Times New Roman"/>
        </w:rPr>
        <w:t xml:space="preserve">(1), 149–168. </w:t>
      </w:r>
      <w:hyperlink r:id="rId463" w:history="1">
        <w:r w:rsidRPr="009B0448">
          <w:rPr>
            <w:rStyle w:val="Hyperlink"/>
            <w:rFonts w:ascii="Times New Roman" w:hAnsi="Times New Roman" w:cs="Times New Roman"/>
          </w:rPr>
          <w:t>https://doi.org/10.1111/j.1467-7660.2007.00407.x</w:t>
        </w:r>
      </w:hyperlink>
      <w:r w:rsidRPr="009B0448">
        <w:rPr>
          <w:rFonts w:ascii="Times New Roman" w:hAnsi="Times New Roman" w:cs="Times New Roman"/>
        </w:rPr>
        <w:t xml:space="preserve"> </w:t>
      </w:r>
    </w:p>
    <w:p w14:paraId="1506F40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Crisman, T. L., Chapman, L. J., Balirwa, J., Bugenyi, F. W. B., &amp; Chapman, C. (2001). Wetlands of East Africa: Biodiversity, exploitation, and policy perspectives. </w:t>
      </w:r>
      <w:r w:rsidRPr="009B0448">
        <w:rPr>
          <w:rFonts w:ascii="Times New Roman" w:hAnsi="Times New Roman" w:cs="Times New Roman"/>
          <w:i/>
        </w:rPr>
        <w:t>Biodiversity and Wetlands, 2</w:t>
      </w:r>
      <w:r w:rsidRPr="009B0448">
        <w:rPr>
          <w:rFonts w:ascii="Times New Roman" w:hAnsi="Times New Roman" w:cs="Times New Roman"/>
        </w:rPr>
        <w:t xml:space="preserve">, 101–131. Retrieved from </w:t>
      </w:r>
      <w:hyperlink r:id="rId464" w:history="1">
        <w:r w:rsidRPr="009B0448">
          <w:rPr>
            <w:rStyle w:val="Hyperlink"/>
            <w:rFonts w:ascii="Times New Roman" w:hAnsi="Times New Roman" w:cs="Times New Roman"/>
          </w:rPr>
          <w:t>http://biology.mcgill.ca/faculty/chapman/articles/80_Gopal.pdf</w:t>
        </w:r>
      </w:hyperlink>
      <w:r w:rsidRPr="009B0448">
        <w:rPr>
          <w:rFonts w:ascii="Times New Roman" w:hAnsi="Times New Roman" w:cs="Times New Roman"/>
        </w:rPr>
        <w:t xml:space="preserve"> </w:t>
      </w:r>
    </w:p>
    <w:p w14:paraId="46CDB19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Croitoru, L. (2007). Valuing the non-timber forest products in the Mediterranean region. </w:t>
      </w:r>
      <w:r w:rsidRPr="009B0448">
        <w:rPr>
          <w:rFonts w:ascii="Times New Roman" w:hAnsi="Times New Roman" w:cs="Times New Roman"/>
          <w:i/>
        </w:rPr>
        <w:t>Ecological Economics, 63</w:t>
      </w:r>
      <w:r w:rsidRPr="009B0448">
        <w:rPr>
          <w:rFonts w:ascii="Times New Roman" w:hAnsi="Times New Roman" w:cs="Times New Roman"/>
        </w:rPr>
        <w:t xml:space="preserve">, 768–775. </w:t>
      </w:r>
      <w:hyperlink r:id="rId465" w:history="1">
        <w:r w:rsidRPr="009B0448">
          <w:rPr>
            <w:rStyle w:val="Hyperlink"/>
            <w:rFonts w:ascii="Times New Roman" w:hAnsi="Times New Roman" w:cs="Times New Roman"/>
          </w:rPr>
          <w:t>https://doi.org/10.1016/j.ecolecon.2007.01.014</w:t>
        </w:r>
      </w:hyperlink>
    </w:p>
    <w:p w14:paraId="5C2325B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Daly, H. H. (2016). </w:t>
      </w:r>
      <w:r w:rsidRPr="009B0448">
        <w:rPr>
          <w:rFonts w:ascii="Times New Roman" w:hAnsi="Times New Roman" w:cs="Times New Roman"/>
          <w:i/>
        </w:rPr>
        <w:t>Assessment of the socio-economic value of the goods and services provided by Mediterranean forest ecosystems: Critical and comparative analysis of studies conducted in Algeria, Lebanon, Morocco, Tunisia and Turkey</w:t>
      </w:r>
      <w:r w:rsidRPr="009B0448">
        <w:rPr>
          <w:rFonts w:ascii="Times New Roman" w:hAnsi="Times New Roman" w:cs="Times New Roman"/>
        </w:rPr>
        <w:t xml:space="preserve">. Retrieved from </w:t>
      </w:r>
      <w:hyperlink r:id="rId466" w:history="1">
        <w:r w:rsidRPr="009B0448">
          <w:rPr>
            <w:rStyle w:val="Hyperlink"/>
            <w:rFonts w:ascii="Times New Roman" w:hAnsi="Times New Roman" w:cs="Times New Roman"/>
          </w:rPr>
          <w:t>http://www.fao.org/3/a-i6117e.pdf</w:t>
        </w:r>
      </w:hyperlink>
      <w:r w:rsidRPr="009B0448">
        <w:rPr>
          <w:rFonts w:ascii="Times New Roman" w:hAnsi="Times New Roman" w:cs="Times New Roman"/>
        </w:rPr>
        <w:t xml:space="preserve"> </w:t>
      </w:r>
    </w:p>
    <w:p w14:paraId="4B6B470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Daily, G. C., Polasky, S., Goldstein, J., Kareiva, P. M., Mooney, H. A., Pejchar, L., Ricketts, T. H., Salzman, J., &amp; Shallenberger, R. (2009). Ecosystem services in decision making: Time to deliver. </w:t>
      </w:r>
      <w:r w:rsidRPr="009B0448">
        <w:rPr>
          <w:rFonts w:ascii="Times New Roman" w:hAnsi="Times New Roman" w:cs="Times New Roman"/>
          <w:i/>
        </w:rPr>
        <w:t>Frontiers in Ecology and the Environment, 7</w:t>
      </w:r>
      <w:r w:rsidRPr="009B0448">
        <w:rPr>
          <w:rFonts w:ascii="Times New Roman" w:hAnsi="Times New Roman" w:cs="Times New Roman"/>
        </w:rPr>
        <w:t xml:space="preserve">, 21–28. </w:t>
      </w:r>
      <w:hyperlink r:id="rId467" w:history="1">
        <w:r w:rsidRPr="009B0448">
          <w:rPr>
            <w:rStyle w:val="Hyperlink"/>
            <w:rFonts w:ascii="Times New Roman" w:hAnsi="Times New Roman" w:cs="Times New Roman"/>
          </w:rPr>
          <w:t>https://doi.org/10.1890/080025</w:t>
        </w:r>
      </w:hyperlink>
      <w:r w:rsidRPr="009B0448">
        <w:rPr>
          <w:rFonts w:ascii="Times New Roman" w:hAnsi="Times New Roman" w:cs="Times New Roman"/>
        </w:rPr>
        <w:t xml:space="preserve"> </w:t>
      </w:r>
    </w:p>
    <w:p w14:paraId="6D90DE6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Davis, D. K. (2004). Desert ‘wastes’ of the Maghreb: desertification narratives in French colonial environmental history of North Africa. </w:t>
      </w:r>
      <w:r w:rsidRPr="009B0448">
        <w:rPr>
          <w:rFonts w:ascii="Times New Roman" w:hAnsi="Times New Roman" w:cs="Times New Roman"/>
          <w:i/>
        </w:rPr>
        <w:t>Cultural Geographies, 11</w:t>
      </w:r>
      <w:r w:rsidRPr="009B0448">
        <w:rPr>
          <w:rFonts w:ascii="Times New Roman" w:hAnsi="Times New Roman" w:cs="Times New Roman"/>
        </w:rPr>
        <w:t xml:space="preserve">(4), 359–387. </w:t>
      </w:r>
      <w:hyperlink r:id="rId468" w:history="1">
        <w:r w:rsidRPr="009B0448">
          <w:rPr>
            <w:rStyle w:val="Hyperlink"/>
            <w:rFonts w:ascii="Times New Roman" w:hAnsi="Times New Roman" w:cs="Times New Roman"/>
          </w:rPr>
          <w:t>https://doi.org/10.1191/1474474004eu313oa</w:t>
        </w:r>
      </w:hyperlink>
      <w:r w:rsidRPr="009B0448">
        <w:rPr>
          <w:rFonts w:ascii="Times New Roman" w:hAnsi="Times New Roman" w:cs="Times New Roman"/>
        </w:rPr>
        <w:t xml:space="preserve"> </w:t>
      </w:r>
    </w:p>
    <w:p w14:paraId="69B1608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de Graaf, G., &amp; Garibaldi, L. (2014). </w:t>
      </w:r>
      <w:r w:rsidRPr="009B0448">
        <w:rPr>
          <w:rFonts w:ascii="Times New Roman" w:hAnsi="Times New Roman" w:cs="Times New Roman"/>
          <w:i/>
          <w:color w:val="auto"/>
        </w:rPr>
        <w:t>The value of African fisheries</w:t>
      </w:r>
      <w:r w:rsidRPr="009B0448">
        <w:rPr>
          <w:rFonts w:ascii="Times New Roman" w:hAnsi="Times New Roman" w:cs="Times New Roman"/>
          <w:color w:val="auto"/>
        </w:rPr>
        <w:t xml:space="preserve">. Rome, Italy: FAO. Retrieved from </w:t>
      </w:r>
      <w:hyperlink r:id="rId469" w:history="1">
        <w:r w:rsidRPr="009B0448">
          <w:rPr>
            <w:rStyle w:val="Hyperlink"/>
            <w:rFonts w:ascii="Times New Roman" w:hAnsi="Times New Roman" w:cs="Times New Roman"/>
          </w:rPr>
          <w:t>http://www.fao.org/3/a-i3917e.pdf</w:t>
        </w:r>
      </w:hyperlink>
      <w:r w:rsidRPr="009B0448">
        <w:rPr>
          <w:rFonts w:ascii="Times New Roman" w:hAnsi="Times New Roman" w:cs="Times New Roman"/>
          <w:color w:val="auto"/>
        </w:rPr>
        <w:t xml:space="preserve"> </w:t>
      </w:r>
    </w:p>
    <w:p w14:paraId="54D1C52F" w14:textId="4507430E"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Derbew, D. (2013). </w:t>
      </w:r>
      <w:r w:rsidRPr="009B0448">
        <w:rPr>
          <w:rFonts w:ascii="Times New Roman" w:hAnsi="Times New Roman" w:cs="Times New Roman"/>
          <w:i/>
        </w:rPr>
        <w:t xml:space="preserve">Ethiopia’s renewable energy power potential and development opportunities. </w:t>
      </w:r>
      <w:r w:rsidRPr="009B0448">
        <w:rPr>
          <w:rFonts w:ascii="Times New Roman" w:hAnsi="Times New Roman" w:cs="Times New Roman"/>
        </w:rPr>
        <w:t>Addis Ababa, Ethiopia:</w:t>
      </w:r>
      <w:r w:rsidRPr="009B0448">
        <w:rPr>
          <w:rFonts w:ascii="Times New Roman" w:hAnsi="Times New Roman" w:cs="Times New Roman"/>
          <w:i/>
        </w:rPr>
        <w:t xml:space="preserve"> </w:t>
      </w:r>
      <w:r w:rsidRPr="009B0448">
        <w:rPr>
          <w:rFonts w:ascii="Times New Roman" w:hAnsi="Times New Roman" w:cs="Times New Roman"/>
        </w:rPr>
        <w:t xml:space="preserve">Ministry of Water and Energy. Retrieved from </w:t>
      </w:r>
      <w:hyperlink r:id="rId470" w:history="1">
        <w:r w:rsidRPr="009B0448">
          <w:rPr>
            <w:rStyle w:val="Hyperlink"/>
            <w:rFonts w:ascii="Times New Roman" w:hAnsi="Times New Roman" w:cs="Times New Roman"/>
          </w:rPr>
          <w:t>https://www.agora-parl.org/resources/library/ethiopias-renewable-energy-power-potential-and-development-opportunities</w:t>
        </w:r>
      </w:hyperlink>
    </w:p>
    <w:p w14:paraId="0E866C4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de Wasseige, C., Devers, D., De Marcken, P., Eba'a Atyi, R., Nasi, R., &amp; Mayaux, P. (2008). </w:t>
      </w:r>
      <w:r w:rsidRPr="009B0448">
        <w:rPr>
          <w:rFonts w:ascii="Times New Roman" w:hAnsi="Times New Roman" w:cs="Times New Roman"/>
          <w:i/>
        </w:rPr>
        <w:t>The forest of the Congo Basin: State of the forest 2008</w:t>
      </w:r>
      <w:r w:rsidRPr="009B0448">
        <w:rPr>
          <w:rFonts w:ascii="Times New Roman" w:hAnsi="Times New Roman" w:cs="Times New Roman"/>
        </w:rPr>
        <w:t xml:space="preserve">. Lexembourg: Publications Office of the European Union. Retrieved from </w:t>
      </w:r>
      <w:hyperlink r:id="rId471" w:history="1">
        <w:r w:rsidRPr="009B0448">
          <w:rPr>
            <w:rStyle w:val="Hyperlink"/>
            <w:rFonts w:ascii="Times New Roman" w:hAnsi="Times New Roman" w:cs="Times New Roman"/>
          </w:rPr>
          <w:t>https://www.cifor.org/library/2949/the-forests-of-the-congo-basin-state-of-the-forest-2008/</w:t>
        </w:r>
      </w:hyperlink>
      <w:r w:rsidRPr="009B0448">
        <w:rPr>
          <w:rFonts w:ascii="Times New Roman" w:hAnsi="Times New Roman" w:cs="Times New Roman"/>
        </w:rPr>
        <w:t xml:space="preserve"> </w:t>
      </w:r>
    </w:p>
    <w:p w14:paraId="55F3945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de Wit, M., &amp; Blignaut, J. N. (2006). </w:t>
      </w:r>
      <w:r w:rsidRPr="009B0448">
        <w:rPr>
          <w:rFonts w:ascii="Times New Roman" w:hAnsi="Times New Roman" w:cs="Times New Roman"/>
          <w:i/>
        </w:rPr>
        <w:t>Monetary valuation of the grasslands in South Africa: Making the case for the value of ecosystem goods and services provided in the grassland</w:t>
      </w:r>
      <w:r w:rsidRPr="009B0448">
        <w:rPr>
          <w:rFonts w:ascii="Times New Roman" w:hAnsi="Times New Roman" w:cs="Times New Roman"/>
        </w:rPr>
        <w:t xml:space="preserve">. Pretoria, South Africa: SANBI. Retrieved from </w:t>
      </w:r>
      <w:hyperlink r:id="rId472" w:history="1">
        <w:r w:rsidRPr="009B0448">
          <w:rPr>
            <w:rStyle w:val="Hyperlink"/>
            <w:rFonts w:ascii="Times New Roman" w:hAnsi="Times New Roman" w:cs="Times New Roman"/>
          </w:rPr>
          <w:t>http://biodiversityadvisor.sanbi.org/wp-content/uploads/2014/07/2006deWit_Background-InfoRep5_Strategic-Monetary-valuation.pdf</w:t>
        </w:r>
      </w:hyperlink>
      <w:r w:rsidRPr="009B0448">
        <w:rPr>
          <w:rFonts w:ascii="Times New Roman" w:hAnsi="Times New Roman" w:cs="Times New Roman"/>
        </w:rPr>
        <w:t xml:space="preserve"> </w:t>
      </w:r>
    </w:p>
    <w:p w14:paraId="7C8F87B4"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Dias, D. A., Urban, S., &amp; Roessner, U. (2012). A historical overview of natural products in drug discovery. </w:t>
      </w:r>
      <w:r w:rsidRPr="009B0448">
        <w:rPr>
          <w:rFonts w:ascii="Times New Roman" w:hAnsi="Times New Roman" w:cs="Times New Roman"/>
          <w:i/>
        </w:rPr>
        <w:t>Metabolites, 2</w:t>
      </w:r>
      <w:r w:rsidRPr="009B0448">
        <w:rPr>
          <w:rFonts w:ascii="Times New Roman" w:hAnsi="Times New Roman" w:cs="Times New Roman"/>
        </w:rPr>
        <w:t xml:space="preserve">, 303–336. </w:t>
      </w:r>
      <w:hyperlink r:id="rId473" w:history="1">
        <w:r w:rsidRPr="009B0448">
          <w:rPr>
            <w:rStyle w:val="Hyperlink"/>
            <w:rFonts w:ascii="Times New Roman" w:hAnsi="Times New Roman" w:cs="Times New Roman"/>
          </w:rPr>
          <w:t>https://doi.org/10.3390/metabo2020303</w:t>
        </w:r>
      </w:hyperlink>
      <w:r w:rsidRPr="009B0448">
        <w:rPr>
          <w:rFonts w:ascii="Times New Roman" w:hAnsi="Times New Roman" w:cs="Times New Roman"/>
        </w:rPr>
        <w:t xml:space="preserve"> </w:t>
      </w:r>
    </w:p>
    <w:p w14:paraId="2955EF04"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lang w:val="de-DE"/>
        </w:rPr>
      </w:pPr>
      <w:r w:rsidRPr="009B0448">
        <w:rPr>
          <w:rFonts w:ascii="Times New Roman" w:eastAsiaTheme="minorHAnsi" w:hAnsi="Times New Roman" w:cs="Times New Roman"/>
          <w:color w:val="auto"/>
        </w:rPr>
        <w:t>Díaz, S., Demissew, S., Carabias, J., Joly, C., Lonsdale, M., Ash, N., Larigauderie, A., Adhikari, J. R., Arico, S., Baldi, A., Baetuska, A., Baste, I. A., Bilgin, A., Brondizio, E., Chan, K. M. A., Figueroa, V. E., Duraiappah, A., Fischer, M., Hill, R., Koetz, T., Leadley, P., Lyver, P., Mace, G. M., Martin-Lopez, B., Okumura, M., Pacheco, D., Pascual, U., Perez, E. S., Reyers, B., Roth, E., Saito, O., Scholes, R. J., Sharmer, N., Tallis, H., Thaman, R., Watson, R., Yahara, T., Hamid, Z. A., Akosim, C., Al–Hafedh, Allaherdiyev, R., Amankwah, E., Asah, S.T., Asfaw, Z., Bartus, G., Brooks, L. A., Cailaux, J., Dalle, G., Darmaedi, D., Drivers, A., Erpul, G., Escobar-</w:t>
      </w:r>
      <w:r w:rsidRPr="009B0448">
        <w:rPr>
          <w:rFonts w:ascii="Times New Roman" w:eastAsiaTheme="minorHAnsi" w:hAnsi="Times New Roman" w:cs="Times New Roman"/>
          <w:color w:val="auto"/>
        </w:rPr>
        <w:lastRenderedPageBreak/>
        <w:t xml:space="preserve">Eyzaguirre, P., Failier, P., Fouda, A. M. M., Fu, .D., Gundimeda, H., Hashimoto, S., Homer, F., Lavorel, S., Lichtenstein, G., Mala, W. A., Mandivenyi, W., Matczak, P., Mbizvo, C., Mehrdadi, M., Metzger, J. P., Mikissa, J. B., Moller, H., Mooney, H. A., Mumby, P., Nagendra, H., Nesshover, C., Oteng–Yeboah, A. A., Pataki, G., Roue, M., Rubis, J., Schultz, M., Smith, P., Sumaila, R., Takeuchi, K., Thomas, S., Verma, M., Yeo–Chang, Y., &amp; Zlatanova, D. (2015). The IPBES conceptual framework- connecting nature to people. </w:t>
      </w:r>
      <w:r w:rsidRPr="009B0448">
        <w:rPr>
          <w:rFonts w:ascii="Times New Roman" w:eastAsiaTheme="minorHAnsi" w:hAnsi="Times New Roman" w:cs="Times New Roman"/>
          <w:i/>
          <w:color w:val="auto"/>
        </w:rPr>
        <w:t>Current Opinion in Environmental Sustainability, 14,</w:t>
      </w:r>
      <w:r w:rsidRPr="009B0448">
        <w:rPr>
          <w:rFonts w:ascii="Times New Roman" w:eastAsiaTheme="minorHAnsi" w:hAnsi="Times New Roman" w:cs="Times New Roman"/>
          <w:color w:val="auto"/>
        </w:rPr>
        <w:t xml:space="preserve"> 1–16. </w:t>
      </w:r>
      <w:hyperlink r:id="rId474" w:history="1">
        <w:r w:rsidRPr="009B0448">
          <w:rPr>
            <w:rStyle w:val="Hyperlink"/>
            <w:rFonts w:ascii="Times New Roman" w:eastAsiaTheme="minorHAnsi" w:hAnsi="Times New Roman" w:cs="Times New Roman"/>
            <w:lang w:val="de-DE"/>
          </w:rPr>
          <w:t>https://doi.org/10.1016/j.cosust.2014.11.002</w:t>
        </w:r>
      </w:hyperlink>
    </w:p>
    <w:p w14:paraId="60BF323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Doswald, N., Munroe, R., Roe, D., Giuliani, A., Castelli, I., Stephens, J., Möller, I., Spencer, T., Vira, B., &amp; Reid, H. (2014). Effectiveness of ecosystem</w:t>
      </w:r>
      <w:r w:rsidRPr="009B0448">
        <w:rPr>
          <w:rFonts w:ascii="Cambria Math" w:hAnsi="Cambria Math" w:cs="Cambria Math"/>
        </w:rPr>
        <w:t>‐</w:t>
      </w:r>
      <w:r w:rsidRPr="009B0448">
        <w:rPr>
          <w:rFonts w:ascii="Times New Roman" w:hAnsi="Times New Roman" w:cs="Times New Roman"/>
        </w:rPr>
        <w:t>based approaches for adaptation: Review of the evidence</w:t>
      </w:r>
      <w:r w:rsidRPr="009B0448">
        <w:rPr>
          <w:rFonts w:ascii="Cambria Math" w:hAnsi="Cambria Math" w:cs="Cambria Math"/>
        </w:rPr>
        <w:t>‐</w:t>
      </w:r>
      <w:r w:rsidRPr="009B0448">
        <w:rPr>
          <w:rFonts w:ascii="Times New Roman" w:hAnsi="Times New Roman" w:cs="Times New Roman"/>
        </w:rPr>
        <w:t xml:space="preserve">base. </w:t>
      </w:r>
      <w:r w:rsidRPr="009B0448">
        <w:rPr>
          <w:rFonts w:ascii="Times New Roman" w:hAnsi="Times New Roman" w:cs="Times New Roman"/>
          <w:i/>
        </w:rPr>
        <w:t>Climate and Development, 6</w:t>
      </w:r>
      <w:r w:rsidRPr="009B0448">
        <w:rPr>
          <w:rFonts w:ascii="Times New Roman" w:hAnsi="Times New Roman" w:cs="Times New Roman"/>
        </w:rPr>
        <w:t xml:space="preserve">(2), 185–201. </w:t>
      </w:r>
      <w:hyperlink r:id="rId475" w:history="1">
        <w:r w:rsidRPr="009B0448">
          <w:rPr>
            <w:rStyle w:val="Hyperlink"/>
            <w:rFonts w:ascii="Times New Roman" w:hAnsi="Times New Roman" w:cs="Times New Roman"/>
          </w:rPr>
          <w:t>https://doi.org/10.1080/17565529.2013.867247</w:t>
        </w:r>
      </w:hyperlink>
    </w:p>
    <w:p w14:paraId="21F61F94"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Duminil, J., Abbesolo, D. T., Bourubou, D., Doucet, J., Lou, J., &amp; Hardy O. J. (2016). High selfing rate, limited pollen dispersal and inbreeding depression in the emblematic African rain forest tree </w:t>
      </w:r>
      <w:r w:rsidRPr="009B0448">
        <w:rPr>
          <w:rFonts w:ascii="Times New Roman" w:hAnsi="Times New Roman" w:cs="Times New Roman"/>
          <w:i/>
        </w:rPr>
        <w:t>Baillonella toxisperma</w:t>
      </w:r>
      <w:r w:rsidRPr="009B0448">
        <w:rPr>
          <w:rFonts w:ascii="Times New Roman" w:hAnsi="Times New Roman" w:cs="Times New Roman"/>
        </w:rPr>
        <w:t xml:space="preserve">–Management implications. </w:t>
      </w:r>
      <w:r w:rsidRPr="009B0448">
        <w:rPr>
          <w:rFonts w:ascii="Times New Roman" w:hAnsi="Times New Roman" w:cs="Times New Roman"/>
          <w:i/>
        </w:rPr>
        <w:t>Forest Ecology and Management, 379</w:t>
      </w:r>
      <w:r w:rsidRPr="009B0448">
        <w:rPr>
          <w:rFonts w:ascii="Times New Roman" w:hAnsi="Times New Roman" w:cs="Times New Roman"/>
        </w:rPr>
        <w:t xml:space="preserve">, 20–29. </w:t>
      </w:r>
      <w:hyperlink r:id="rId476" w:history="1">
        <w:r w:rsidRPr="009B0448">
          <w:rPr>
            <w:rStyle w:val="Hyperlink"/>
            <w:rFonts w:ascii="Times New Roman" w:hAnsi="Times New Roman" w:cs="Times New Roman"/>
          </w:rPr>
          <w:t>https://doi.org/10.1016/j.foreco.2016.08.003</w:t>
        </w:r>
      </w:hyperlink>
    </w:p>
    <w:p w14:paraId="7A26420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Dymond, J. (2014). </w:t>
      </w:r>
      <w:r w:rsidRPr="009B0448">
        <w:rPr>
          <w:rFonts w:ascii="Times New Roman" w:hAnsi="Times New Roman" w:cs="Times New Roman"/>
          <w:i/>
        </w:rPr>
        <w:t>Ecosystem services in New Zealand, Manaaki 2014</w:t>
      </w:r>
      <w:r w:rsidRPr="009B0448">
        <w:rPr>
          <w:rFonts w:ascii="Times New Roman" w:hAnsi="Times New Roman" w:cs="Times New Roman"/>
        </w:rPr>
        <w:t>. New Zealand: Whenua Press.</w:t>
      </w:r>
    </w:p>
    <w:p w14:paraId="28C13CB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Edwards, J., &amp; Palmer, M. (Eds.). (1997). </w:t>
      </w:r>
      <w:r w:rsidRPr="009B0448">
        <w:rPr>
          <w:rFonts w:ascii="Times New Roman" w:hAnsi="Times New Roman" w:cs="Times New Roman"/>
          <w:i/>
        </w:rPr>
        <w:t>Holy ground, the guide to faith and ecology</w:t>
      </w:r>
      <w:r w:rsidRPr="009B0448">
        <w:rPr>
          <w:rFonts w:ascii="Times New Roman" w:hAnsi="Times New Roman" w:cs="Times New Roman"/>
        </w:rPr>
        <w:t xml:space="preserve">. Northamptonshire, UK: Pilkington Press. Retrieved from </w:t>
      </w:r>
      <w:hyperlink r:id="rId477" w:history="1">
        <w:r w:rsidRPr="009B0448">
          <w:rPr>
            <w:rStyle w:val="Hyperlink"/>
            <w:rFonts w:ascii="Times New Roman" w:hAnsi="Times New Roman" w:cs="Times New Roman"/>
          </w:rPr>
          <w:t>http://blog.bbs-software.com/09-mr-elwin-murray-v-2/read-9781899044122-holy-ground-guide-to-faith-and-ecology.pdf</w:t>
        </w:r>
      </w:hyperlink>
      <w:r w:rsidRPr="009B0448">
        <w:rPr>
          <w:rFonts w:ascii="Times New Roman" w:hAnsi="Times New Roman" w:cs="Times New Roman"/>
        </w:rPr>
        <w:t xml:space="preserve"> </w:t>
      </w:r>
    </w:p>
    <w:p w14:paraId="1843680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Effiom, E. O. (2013a). </w:t>
      </w:r>
      <w:r w:rsidRPr="009B0448">
        <w:rPr>
          <w:rFonts w:ascii="Times New Roman" w:hAnsi="Times New Roman" w:cs="Times New Roman"/>
          <w:i/>
        </w:rPr>
        <w:t>Consequences of bushmeat hunting in tropical forests.</w:t>
      </w:r>
      <w:r w:rsidRPr="009B0448">
        <w:rPr>
          <w:rFonts w:ascii="Times New Roman" w:hAnsi="Times New Roman" w:cs="Times New Roman"/>
        </w:rPr>
        <w:t xml:space="preserve"> (Doctoral dissertation). Retrieved from </w:t>
      </w:r>
      <w:hyperlink r:id="rId478" w:history="1">
        <w:r w:rsidRPr="009B0448">
          <w:rPr>
            <w:rStyle w:val="Hyperlink"/>
            <w:rFonts w:ascii="Times New Roman" w:hAnsi="Times New Roman" w:cs="Times New Roman"/>
          </w:rPr>
          <w:t>https://www.biology.lu.se/</w:t>
        </w:r>
      </w:hyperlink>
      <w:r w:rsidRPr="009B0448">
        <w:rPr>
          <w:rFonts w:ascii="Times New Roman" w:hAnsi="Times New Roman" w:cs="Times New Roman"/>
        </w:rPr>
        <w:t xml:space="preserve"> (ISBN 978-91-7473-460-7).</w:t>
      </w:r>
    </w:p>
    <w:p w14:paraId="6CFB118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Effiom, E. O. (2013b). </w:t>
      </w:r>
      <w:r w:rsidRPr="009B0448">
        <w:rPr>
          <w:rFonts w:ascii="Times New Roman" w:hAnsi="Times New Roman" w:cs="Times New Roman"/>
          <w:i/>
        </w:rPr>
        <w:t>Animal-mediated changes in tree species composition in hunted forests</w:t>
      </w:r>
      <w:r w:rsidRPr="009B0448">
        <w:rPr>
          <w:rFonts w:ascii="Times New Roman" w:hAnsi="Times New Roman" w:cs="Times New Roman"/>
        </w:rPr>
        <w:t xml:space="preserve">. Retrieved </w:t>
      </w:r>
      <w:hyperlink r:id="rId479" w:history="1">
        <w:r w:rsidRPr="009B0448">
          <w:rPr>
            <w:rStyle w:val="Hyperlink"/>
            <w:rFonts w:ascii="Times New Roman" w:hAnsi="Times New Roman" w:cs="Times New Roman"/>
          </w:rPr>
          <w:t>https://www.biology.lu.se/</w:t>
        </w:r>
      </w:hyperlink>
      <w:r w:rsidRPr="009B0448">
        <w:rPr>
          <w:rFonts w:ascii="Times New Roman" w:hAnsi="Times New Roman" w:cs="Times New Roman"/>
        </w:rPr>
        <w:t xml:space="preserve"> (ISSN 1100-1844)</w:t>
      </w:r>
    </w:p>
    <w:p w14:paraId="76DBAC2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Effiom, E. O., Nun˜ez-Iturri, G., Smith, H. G., Ottosson, U., &amp; Olsson, O. (2013c). Bushmeat hunting changes regeneration of African rainforests.</w:t>
      </w:r>
      <w:r w:rsidRPr="009B0448">
        <w:rPr>
          <w:rFonts w:ascii="Times New Roman" w:hAnsi="Times New Roman" w:cs="Times New Roman"/>
          <w:i/>
        </w:rPr>
        <w:t xml:space="preserve"> Philosophical Transactions of the Royal Society B: Biological Sciences, 280</w:t>
      </w:r>
      <w:r w:rsidRPr="009B0448">
        <w:rPr>
          <w:rFonts w:ascii="Times New Roman" w:hAnsi="Times New Roman" w:cs="Times New Roman"/>
        </w:rPr>
        <w:t xml:space="preserve">(20130246), 1–8. </w:t>
      </w:r>
      <w:hyperlink r:id="rId480" w:history="1">
        <w:r w:rsidRPr="009B0448">
          <w:rPr>
            <w:rStyle w:val="Hyperlink"/>
            <w:rFonts w:ascii="Times New Roman" w:hAnsi="Times New Roman" w:cs="Times New Roman"/>
          </w:rPr>
          <w:t>https://doi.org/10.1098/rspb.2013.0246</w:t>
        </w:r>
      </w:hyperlink>
      <w:r w:rsidRPr="009B0448">
        <w:rPr>
          <w:rFonts w:ascii="Times New Roman" w:hAnsi="Times New Roman" w:cs="Times New Roman"/>
        </w:rPr>
        <w:t xml:space="preserve"> </w:t>
      </w:r>
    </w:p>
    <w:p w14:paraId="64690F3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Egoh, B. N., O'Farrell, P. J., Charef, A., Gurney, L. J., Koellner, T., Abi, H. N., Egoh, M., &amp; Willemen, L. (2012). An African account of ecosystem service provision: Use, threats and policy options for sustainable livelihoods. </w:t>
      </w:r>
      <w:r w:rsidRPr="009B0448">
        <w:rPr>
          <w:rFonts w:ascii="Times New Roman" w:hAnsi="Times New Roman" w:cs="Times New Roman"/>
          <w:i/>
        </w:rPr>
        <w:t>Ecosystem Services, 2</w:t>
      </w:r>
      <w:r w:rsidRPr="009B0448">
        <w:rPr>
          <w:rFonts w:ascii="Times New Roman" w:hAnsi="Times New Roman" w:cs="Times New Roman"/>
        </w:rPr>
        <w:t xml:space="preserve">, 71–81. </w:t>
      </w:r>
      <w:hyperlink r:id="rId481" w:history="1">
        <w:r w:rsidRPr="009B0448">
          <w:rPr>
            <w:rStyle w:val="Hyperlink"/>
            <w:rFonts w:ascii="Times New Roman" w:hAnsi="Times New Roman" w:cs="Times New Roman"/>
          </w:rPr>
          <w:t>https://doi.org/10.1016/j.ecoser.2012.09.004</w:t>
        </w:r>
      </w:hyperlink>
    </w:p>
    <w:p w14:paraId="2D7A8FB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El-Mahmood, A. M., Doughari, J. H., &amp; Kiman, H. S. (2010). In vitro antimicrobial activity of crude leaf and stem bark extracts of </w:t>
      </w:r>
      <w:r w:rsidRPr="009B0448">
        <w:rPr>
          <w:rFonts w:ascii="Times New Roman" w:hAnsi="Times New Roman" w:cs="Times New Roman"/>
          <w:i/>
        </w:rPr>
        <w:t>Gmelina arborea</w:t>
      </w:r>
      <w:r w:rsidRPr="009B0448">
        <w:rPr>
          <w:rFonts w:ascii="Times New Roman" w:hAnsi="Times New Roman" w:cs="Times New Roman"/>
        </w:rPr>
        <w:t xml:space="preserve"> (Roxb) against some pathogenic species of Enterobacteriaceae. </w:t>
      </w:r>
      <w:r w:rsidRPr="009B0448">
        <w:rPr>
          <w:rFonts w:ascii="Times New Roman" w:hAnsi="Times New Roman" w:cs="Times New Roman"/>
          <w:i/>
        </w:rPr>
        <w:t>African Journal of Pharmacy and Pharmacology, 4</w:t>
      </w:r>
      <w:r w:rsidRPr="009B0448">
        <w:rPr>
          <w:rFonts w:ascii="Times New Roman" w:hAnsi="Times New Roman" w:cs="Times New Roman"/>
        </w:rPr>
        <w:t xml:space="preserve">(6), 355–361. Retrieved from </w:t>
      </w:r>
      <w:hyperlink r:id="rId482" w:history="1">
        <w:r w:rsidRPr="009B0448">
          <w:rPr>
            <w:rStyle w:val="Hyperlink"/>
            <w:rFonts w:ascii="Times New Roman" w:hAnsi="Times New Roman" w:cs="Times New Roman"/>
          </w:rPr>
          <w:t>http://www.academicjournals.org/journal/AJPP/article-full-text-pdf/0C4BE7036300</w:t>
        </w:r>
      </w:hyperlink>
      <w:r w:rsidRPr="009B0448">
        <w:rPr>
          <w:rFonts w:ascii="Times New Roman" w:hAnsi="Times New Roman" w:cs="Times New Roman"/>
        </w:rPr>
        <w:t xml:space="preserve"> </w:t>
      </w:r>
    </w:p>
    <w:p w14:paraId="51E869A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Emerton, L. (1998). </w:t>
      </w:r>
      <w:r w:rsidRPr="009B0448">
        <w:rPr>
          <w:rFonts w:ascii="Times New Roman" w:hAnsi="Times New Roman" w:cs="Times New Roman"/>
          <w:i/>
        </w:rPr>
        <w:t>Djibouti biodiversity</w:t>
      </w:r>
      <w:r w:rsidRPr="009B0448">
        <w:rPr>
          <w:rFonts w:ascii="Times New Roman" w:hAnsi="Times New Roman" w:cs="Times New Roman"/>
        </w:rPr>
        <w:t xml:space="preserve">: </w:t>
      </w:r>
      <w:r w:rsidRPr="009B0448">
        <w:rPr>
          <w:rFonts w:ascii="Times New Roman" w:hAnsi="Times New Roman" w:cs="Times New Roman"/>
          <w:i/>
        </w:rPr>
        <w:t>Economic assessment</w:t>
      </w:r>
      <w:r w:rsidRPr="009B0448">
        <w:rPr>
          <w:rFonts w:ascii="Times New Roman" w:hAnsi="Times New Roman" w:cs="Times New Roman"/>
        </w:rPr>
        <w:t xml:space="preserve">. Gland, Switzerland: IUCN. Retrieved from </w:t>
      </w:r>
      <w:hyperlink r:id="rId483" w:history="1">
        <w:r w:rsidRPr="009B0448">
          <w:rPr>
            <w:rStyle w:val="Hyperlink"/>
            <w:rFonts w:ascii="Times New Roman" w:hAnsi="Times New Roman" w:cs="Times New Roman"/>
          </w:rPr>
          <w:t>https://www.cbd.int/financial/values/djibouti-economicassessment.pdf</w:t>
        </w:r>
      </w:hyperlink>
    </w:p>
    <w:p w14:paraId="5C29DD0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Emerton, L., &amp; Muramira, E. (1999). </w:t>
      </w:r>
      <w:r w:rsidRPr="009B0448">
        <w:rPr>
          <w:rFonts w:ascii="Times New Roman" w:hAnsi="Times New Roman" w:cs="Times New Roman"/>
          <w:i/>
        </w:rPr>
        <w:t xml:space="preserve">Uganda biodiversity: Economic assessment. </w:t>
      </w:r>
      <w:r w:rsidRPr="009B0448">
        <w:rPr>
          <w:rFonts w:ascii="Times New Roman" w:hAnsi="Times New Roman" w:cs="Times New Roman"/>
        </w:rPr>
        <w:t xml:space="preserve">Gland, Switzerland: IUCN. Retrieved from </w:t>
      </w:r>
      <w:hyperlink r:id="rId484" w:history="1">
        <w:r w:rsidRPr="009B0448">
          <w:rPr>
            <w:rStyle w:val="Hyperlink"/>
            <w:rFonts w:ascii="Times New Roman" w:hAnsi="Times New Roman" w:cs="Times New Roman"/>
          </w:rPr>
          <w:t>https://www.cbd.int/financial/values/uganda-economicassessment.pdf</w:t>
        </w:r>
      </w:hyperlink>
      <w:r w:rsidRPr="009B0448">
        <w:rPr>
          <w:rFonts w:ascii="Times New Roman" w:hAnsi="Times New Roman" w:cs="Times New Roman"/>
        </w:rPr>
        <w:t xml:space="preserve"> </w:t>
      </w:r>
    </w:p>
    <w:p w14:paraId="4D11E3B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Escobedo, F. J., Kroeger, T., &amp; Wagner, J. E. (2011). Urban forests and pollution mitigation: Analyzing ecosystem services and disservices. </w:t>
      </w:r>
      <w:r w:rsidRPr="009B0448">
        <w:rPr>
          <w:rFonts w:ascii="Times New Roman" w:hAnsi="Times New Roman" w:cs="Times New Roman"/>
          <w:i/>
        </w:rPr>
        <w:t>Environmental Pollution, 159</w:t>
      </w:r>
      <w:r w:rsidRPr="009B0448">
        <w:rPr>
          <w:rFonts w:ascii="Times New Roman" w:hAnsi="Times New Roman" w:cs="Times New Roman"/>
        </w:rPr>
        <w:t xml:space="preserve">(8), 2078–2087. </w:t>
      </w:r>
      <w:hyperlink r:id="rId485" w:history="1">
        <w:r w:rsidRPr="009B0448">
          <w:rPr>
            <w:rStyle w:val="Hyperlink"/>
            <w:rFonts w:ascii="Times New Roman" w:hAnsi="Times New Roman" w:cs="Times New Roman"/>
          </w:rPr>
          <w:t>https://doi.org/10.1016/j.envpol.2011.01.010</w:t>
        </w:r>
      </w:hyperlink>
    </w:p>
    <w:p w14:paraId="425A7CF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European Union. (2016). </w:t>
      </w:r>
      <w:r w:rsidRPr="009B0448">
        <w:rPr>
          <w:rFonts w:ascii="Times New Roman" w:hAnsi="Times New Roman" w:cs="Times New Roman"/>
          <w:i/>
        </w:rPr>
        <w:t>Analysis and evidence in support of the EU action plan against wildlife trafficking</w:t>
      </w:r>
      <w:r w:rsidRPr="009B0448">
        <w:rPr>
          <w:rFonts w:ascii="Times New Roman" w:hAnsi="Times New Roman" w:cs="Times New Roman"/>
        </w:rPr>
        <w:t xml:space="preserve">. Retrieved from </w:t>
      </w:r>
      <w:hyperlink r:id="rId486" w:history="1">
        <w:r w:rsidRPr="009B0448">
          <w:rPr>
            <w:rStyle w:val="Hyperlink"/>
            <w:rFonts w:ascii="Times New Roman" w:hAnsi="Times New Roman" w:cs="Times New Roman"/>
          </w:rPr>
          <w:t>http://ec.europa.eu/environment/cites/pdf/WAP_EN_WEB.PDF</w:t>
        </w:r>
      </w:hyperlink>
      <w:r w:rsidRPr="009B0448">
        <w:rPr>
          <w:rFonts w:ascii="Times New Roman" w:hAnsi="Times New Roman" w:cs="Times New Roman"/>
        </w:rPr>
        <w:t xml:space="preserve"> </w:t>
      </w:r>
    </w:p>
    <w:p w14:paraId="2479B9A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Ezcurra, E. W. (Ed.). (2006). </w:t>
      </w:r>
      <w:r w:rsidRPr="009B0448">
        <w:rPr>
          <w:rFonts w:ascii="Times New Roman" w:hAnsi="Times New Roman" w:cs="Times New Roman"/>
          <w:i/>
        </w:rPr>
        <w:t>Global deserts outlook</w:t>
      </w:r>
      <w:r w:rsidRPr="009B0448">
        <w:rPr>
          <w:rFonts w:ascii="Times New Roman" w:hAnsi="Times New Roman" w:cs="Times New Roman"/>
        </w:rPr>
        <w:t xml:space="preserve">. Nairobi, Kenya: UNEP. Retrieved from </w:t>
      </w:r>
      <w:hyperlink r:id="rId487" w:history="1">
        <w:r w:rsidRPr="009B0448">
          <w:rPr>
            <w:rStyle w:val="Hyperlink"/>
            <w:rFonts w:ascii="Times New Roman" w:hAnsi="Times New Roman" w:cs="Times New Roman"/>
          </w:rPr>
          <w:t>http://hdl.handle.net/20.500.11822/9581</w:t>
        </w:r>
      </w:hyperlink>
      <w:r w:rsidRPr="009B0448">
        <w:rPr>
          <w:rFonts w:ascii="Times New Roman" w:hAnsi="Times New Roman" w:cs="Times New Roman"/>
        </w:rPr>
        <w:t xml:space="preserve"> </w:t>
      </w:r>
    </w:p>
    <w:p w14:paraId="6CD3D09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 J. E., Seymour, S., Dupain, J., Amin, R., Albrechtsen, L., &amp; Macdonald, D. (2006). Getting to grips with the magnitude of exploitation: Bushmeat in the Cross-Sanaga Rivers region, Nigeria and Cameroon. </w:t>
      </w:r>
      <w:r w:rsidRPr="009B0448">
        <w:rPr>
          <w:rFonts w:ascii="Times New Roman" w:hAnsi="Times New Roman" w:cs="Times New Roman"/>
          <w:i/>
        </w:rPr>
        <w:t>Biological Conservation, 129</w:t>
      </w:r>
      <w:r w:rsidRPr="009B0448">
        <w:rPr>
          <w:rFonts w:ascii="Times New Roman" w:hAnsi="Times New Roman" w:cs="Times New Roman"/>
        </w:rPr>
        <w:t xml:space="preserve">, 497–510. </w:t>
      </w:r>
      <w:hyperlink r:id="rId488" w:history="1">
        <w:r w:rsidRPr="009B0448">
          <w:rPr>
            <w:rStyle w:val="Hyperlink"/>
            <w:rFonts w:ascii="Times New Roman" w:hAnsi="Times New Roman" w:cs="Times New Roman"/>
          </w:rPr>
          <w:t>https://doi.org/10.1016/j.biocon.2005.11.031</w:t>
        </w:r>
      </w:hyperlink>
    </w:p>
    <w:p w14:paraId="14F564E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Failler P., Binet, T., Borot de Battisti, A., &amp; Maréchal, J.-P. (2009). </w:t>
      </w:r>
      <w:r w:rsidRPr="009B0448">
        <w:rPr>
          <w:rFonts w:ascii="Times New Roman" w:hAnsi="Times New Roman" w:cs="Times New Roman"/>
          <w:i/>
        </w:rPr>
        <w:t>Évaluation de la valeur économique et sociale des écosystèmes associés aux AMP de l’Afrique de l’Ouest, Guide Méthodologique, appui au renforcement institutionnel du Réseau Régional d’AMP en Afrique de l’Ouest et à la mise en œuvre de son plan de travail</w:t>
      </w:r>
      <w:r w:rsidRPr="009B0448">
        <w:rPr>
          <w:rFonts w:ascii="Times New Roman" w:hAnsi="Times New Roman" w:cs="Times New Roman"/>
        </w:rPr>
        <w:t>. Dakar, Sénégal: Partenariat Régional pour la Conservation Office.</w:t>
      </w:r>
    </w:p>
    <w:p w14:paraId="252BDEB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Failler, P., Binet, A., Doumbouya, A., &amp; Sall, A. (2012). </w:t>
      </w:r>
      <w:r w:rsidRPr="009B0448">
        <w:rPr>
          <w:rFonts w:ascii="Times New Roman" w:hAnsi="Times New Roman" w:cs="Times New Roman"/>
          <w:i/>
        </w:rPr>
        <w:t>Évaluation de la valeur socio-économique des écosystèmes marins et côtiers des Aires marines protégées de l’Afrique de l’Ouest, Résumé.</w:t>
      </w:r>
      <w:r w:rsidRPr="009B0448">
        <w:rPr>
          <w:rFonts w:ascii="Times New Roman" w:hAnsi="Times New Roman" w:cs="Times New Roman"/>
        </w:rPr>
        <w:t xml:space="preserve"> Dakar, Senegal: Réseau Régional d'Aires Marines Protégées en Afrique de l’Ouest. </w:t>
      </w:r>
    </w:p>
    <w:p w14:paraId="1F0ABC5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Failler, P. (2016). </w:t>
      </w:r>
      <w:r w:rsidRPr="009B0448">
        <w:rPr>
          <w:rFonts w:ascii="Times New Roman" w:hAnsi="Times New Roman" w:cs="Times New Roman"/>
          <w:i/>
        </w:rPr>
        <w:t>Addendum of UNEP report on the socioeconomics of the West, Central and Southern African coastal communities: A synthesis of studies regarding large marine ecosystems</w:t>
      </w:r>
      <w:r w:rsidRPr="009B0448">
        <w:rPr>
          <w:rFonts w:ascii="Times New Roman" w:hAnsi="Times New Roman" w:cs="Times New Roman"/>
        </w:rPr>
        <w:t>. Nairobi, Kenya: UNEP.</w:t>
      </w:r>
    </w:p>
    <w:p w14:paraId="79E8042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Failler, P., Klaus, R., &amp; Mclean, B. (2017a). </w:t>
      </w:r>
      <w:r w:rsidRPr="009B0448">
        <w:rPr>
          <w:rFonts w:ascii="Times New Roman" w:hAnsi="Times New Roman" w:cs="Times New Roman"/>
          <w:i/>
        </w:rPr>
        <w:t>Inputs for the design of an EU strategic approach to the coastal and marine biodiversity in Africa, synthesis</w:t>
      </w:r>
      <w:r w:rsidRPr="009B0448">
        <w:rPr>
          <w:rFonts w:ascii="Times New Roman" w:hAnsi="Times New Roman" w:cs="Times New Roman"/>
        </w:rPr>
        <w:t>. Brussels, Belgium: B4Life Programme.</w:t>
      </w:r>
    </w:p>
    <w:p w14:paraId="54F384D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Failler, P., Klaus, R., &amp; Mclean, B. (2017b). </w:t>
      </w:r>
      <w:r w:rsidRPr="009B0448">
        <w:rPr>
          <w:rFonts w:ascii="Times New Roman" w:hAnsi="Times New Roman" w:cs="Times New Roman"/>
          <w:i/>
        </w:rPr>
        <w:t>Inputs for the design of an EU strategic approach to the coastal and marine biodiversity in Africa, Western, Central and Southern Africa–Eastern Atlantic Ocean</w:t>
      </w:r>
      <w:r w:rsidRPr="009B0448">
        <w:rPr>
          <w:rFonts w:ascii="Times New Roman" w:hAnsi="Times New Roman" w:cs="Times New Roman"/>
        </w:rPr>
        <w:t xml:space="preserve">. </w:t>
      </w:r>
      <w:r w:rsidRPr="009B0448">
        <w:rPr>
          <w:rFonts w:ascii="Times New Roman" w:hAnsi="Times New Roman" w:cs="Times New Roman"/>
          <w:i/>
        </w:rPr>
        <w:t>Larger than Whales</w:t>
      </w:r>
      <w:r w:rsidRPr="009B0448">
        <w:rPr>
          <w:rFonts w:ascii="Times New Roman" w:hAnsi="Times New Roman" w:cs="Times New Roman"/>
        </w:rPr>
        <w:t>. Brussels, Belgium: B4Life Programme.</w:t>
      </w:r>
    </w:p>
    <w:p w14:paraId="1D3BE295"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FAO. (2002). </w:t>
      </w:r>
      <w:r w:rsidRPr="009B0448">
        <w:rPr>
          <w:rFonts w:ascii="Times New Roman" w:hAnsi="Times New Roman" w:cs="Times New Roman"/>
          <w:i/>
        </w:rPr>
        <w:t>World agriculture: Towards 2015/2030: Summary report</w:t>
      </w:r>
      <w:r w:rsidRPr="009B0448">
        <w:rPr>
          <w:rFonts w:ascii="Times New Roman" w:hAnsi="Times New Roman" w:cs="Times New Roman"/>
        </w:rPr>
        <w:t xml:space="preserve">. Rome, Italy: FAO. Retrieved from </w:t>
      </w:r>
      <w:hyperlink r:id="rId489" w:history="1">
        <w:r w:rsidRPr="009B0448">
          <w:rPr>
            <w:rStyle w:val="Hyperlink"/>
            <w:rFonts w:ascii="Times New Roman" w:hAnsi="Times New Roman" w:cs="Times New Roman"/>
          </w:rPr>
          <w:t>http://www.fao.org/3/a-y3557e.pdf</w:t>
        </w:r>
      </w:hyperlink>
      <w:r w:rsidRPr="009B0448">
        <w:rPr>
          <w:rFonts w:ascii="Times New Roman" w:hAnsi="Times New Roman" w:cs="Times New Roman"/>
        </w:rPr>
        <w:t xml:space="preserve"> </w:t>
      </w:r>
    </w:p>
    <w:p w14:paraId="1D7023A1"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FAO. (2013). Forests, livelihoods and poverty alleviation: The case of Uganda. In G. Shepherd, C. Kazoora, &amp; D. Mueller (Eds.), </w:t>
      </w:r>
      <w:r w:rsidRPr="009B0448">
        <w:rPr>
          <w:rFonts w:ascii="Times New Roman" w:hAnsi="Times New Roman" w:cs="Times New Roman"/>
          <w:i/>
        </w:rPr>
        <w:t>Forestry policy and institutions working paper No. 32</w:t>
      </w:r>
      <w:r w:rsidRPr="009B0448">
        <w:rPr>
          <w:rFonts w:ascii="Times New Roman" w:hAnsi="Times New Roman" w:cs="Times New Roman"/>
        </w:rPr>
        <w:t xml:space="preserve">. Rome, Italy: FAO. Retrieved from </w:t>
      </w:r>
      <w:hyperlink r:id="rId490" w:history="1">
        <w:r w:rsidRPr="009B0448">
          <w:rPr>
            <w:rStyle w:val="Hyperlink"/>
            <w:rFonts w:ascii="Times New Roman" w:hAnsi="Times New Roman" w:cs="Times New Roman"/>
          </w:rPr>
          <w:t>http://www.fao.org/3/a-mh068e.pdf</w:t>
        </w:r>
      </w:hyperlink>
      <w:r w:rsidRPr="009B0448">
        <w:rPr>
          <w:rFonts w:ascii="Times New Roman" w:hAnsi="Times New Roman" w:cs="Times New Roman"/>
        </w:rPr>
        <w:t xml:space="preserve"> </w:t>
      </w:r>
    </w:p>
    <w:p w14:paraId="7213A57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FAO. (2014). </w:t>
      </w:r>
      <w:r w:rsidRPr="009B0448">
        <w:rPr>
          <w:rFonts w:ascii="Times New Roman" w:hAnsi="Times New Roman" w:cs="Times New Roman"/>
          <w:i/>
        </w:rPr>
        <w:t>The value of African fisheries</w:t>
      </w:r>
      <w:r w:rsidRPr="009B0448">
        <w:rPr>
          <w:rFonts w:ascii="Times New Roman" w:hAnsi="Times New Roman" w:cs="Times New Roman"/>
        </w:rPr>
        <w:t xml:space="preserve">. Rome, Italy: FAO. Retrieved from </w:t>
      </w:r>
      <w:hyperlink r:id="rId491" w:history="1">
        <w:r w:rsidRPr="009B0448">
          <w:rPr>
            <w:rStyle w:val="Hyperlink"/>
            <w:rFonts w:ascii="Times New Roman" w:hAnsi="Times New Roman" w:cs="Times New Roman"/>
          </w:rPr>
          <w:t>http://www.fao.org/3/a-i3917e.pdf</w:t>
        </w:r>
      </w:hyperlink>
      <w:r w:rsidRPr="009B0448">
        <w:rPr>
          <w:rFonts w:ascii="Times New Roman" w:hAnsi="Times New Roman" w:cs="Times New Roman"/>
        </w:rPr>
        <w:t xml:space="preserve"> </w:t>
      </w:r>
    </w:p>
    <w:p w14:paraId="76C0899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FAO. (2016). </w:t>
      </w:r>
      <w:r w:rsidRPr="009B0448">
        <w:rPr>
          <w:rFonts w:ascii="Times New Roman" w:hAnsi="Times New Roman" w:cs="Times New Roman"/>
          <w:i/>
        </w:rPr>
        <w:t>State of the world´s forests 2016. Forests and agriculture: Land use challenges and opportunities</w:t>
      </w:r>
      <w:r w:rsidRPr="009B0448">
        <w:rPr>
          <w:rFonts w:ascii="Times New Roman" w:hAnsi="Times New Roman" w:cs="Times New Roman"/>
        </w:rPr>
        <w:t xml:space="preserve">. Rome, Italy: FAO. Retrieved from </w:t>
      </w:r>
      <w:hyperlink r:id="rId492" w:history="1">
        <w:r w:rsidRPr="009B0448">
          <w:rPr>
            <w:rStyle w:val="Hyperlink"/>
            <w:rFonts w:ascii="Times New Roman" w:hAnsi="Times New Roman" w:cs="Times New Roman"/>
          </w:rPr>
          <w:t>http://www.fao.org/3/a-i5588e.pdf</w:t>
        </w:r>
      </w:hyperlink>
      <w:r w:rsidRPr="009B0448">
        <w:rPr>
          <w:rFonts w:ascii="Times New Roman" w:hAnsi="Times New Roman" w:cs="Times New Roman"/>
        </w:rPr>
        <w:t xml:space="preserve"> </w:t>
      </w:r>
    </w:p>
    <w:p w14:paraId="536C711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FAO FISHSTAT. (2017). Fisheries and aquaculture software. FishStat Plus–Universal software for fishery statistical time series. In FAO Fisheries and Aquaculture Department. Rome. Updated 14 September 2017.</w:t>
      </w:r>
    </w:p>
    <w:p w14:paraId="023BD24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Farinola, L. A., Famuyide O. O., Nosiru, M. O., &amp; Ogunsola, A. (2014). Survey of identified non timber forest products and their role in the rural livelihood of inhabitants of Omo forest reserve, Ogun State. </w:t>
      </w:r>
      <w:r w:rsidRPr="009B0448">
        <w:rPr>
          <w:rFonts w:ascii="Times New Roman" w:hAnsi="Times New Roman" w:cs="Times New Roman"/>
          <w:i/>
        </w:rPr>
        <w:t>International Journal of Agriculture and Forestry, 4</w:t>
      </w:r>
      <w:r w:rsidRPr="009B0448">
        <w:rPr>
          <w:rFonts w:ascii="Times New Roman" w:hAnsi="Times New Roman" w:cs="Times New Roman"/>
        </w:rPr>
        <w:t xml:space="preserve">(4), 317–324. </w:t>
      </w:r>
      <w:hyperlink r:id="rId493" w:history="1">
        <w:r w:rsidRPr="009B0448">
          <w:rPr>
            <w:rStyle w:val="Hyperlink"/>
            <w:rFonts w:ascii="Times New Roman" w:hAnsi="Times New Roman" w:cs="Times New Roman"/>
          </w:rPr>
          <w:t>https://doi.org/10.5923/j.ijaf.20140404.09</w:t>
        </w:r>
      </w:hyperlink>
      <w:r w:rsidRPr="009B0448">
        <w:rPr>
          <w:rFonts w:ascii="Times New Roman" w:hAnsi="Times New Roman" w:cs="Times New Roman"/>
        </w:rPr>
        <w:t xml:space="preserve"> </w:t>
      </w:r>
    </w:p>
    <w:p w14:paraId="4BFED3D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Fasona, M., Fabusoro, E., Sodiya, E., Adedayo, V., Olurunfemi, F., Elias, P., Oyedepo P., &amp; Oloukoi, G. (2016). Some dimensions of farmers-pastoralist conflicts in the Nigerian savanna. </w:t>
      </w:r>
      <w:r w:rsidRPr="009B0448">
        <w:rPr>
          <w:rFonts w:ascii="Times New Roman" w:hAnsi="Times New Roman" w:cs="Times New Roman"/>
          <w:i/>
        </w:rPr>
        <w:t xml:space="preserve">Journal of </w:t>
      </w:r>
      <w:r w:rsidRPr="009B0448">
        <w:rPr>
          <w:rFonts w:ascii="Times New Roman" w:hAnsi="Times New Roman" w:cs="Times New Roman"/>
          <w:i/>
        </w:rPr>
        <w:lastRenderedPageBreak/>
        <w:t>Global Initiatives: Policy, Pedagogy, Perspective, 10</w:t>
      </w:r>
      <w:r w:rsidRPr="009B0448">
        <w:rPr>
          <w:rFonts w:ascii="Times New Roman" w:hAnsi="Times New Roman" w:cs="Times New Roman"/>
        </w:rPr>
        <w:t xml:space="preserve">(2), 87–108. Retrieved from </w:t>
      </w:r>
      <w:hyperlink r:id="rId494" w:history="1">
        <w:r w:rsidRPr="009B0448">
          <w:rPr>
            <w:rStyle w:val="Hyperlink"/>
            <w:rFonts w:ascii="Times New Roman" w:hAnsi="Times New Roman" w:cs="Times New Roman"/>
          </w:rPr>
          <w:t>http://digitalcommons.kennesaw.edu/jgi/vol10/iss2/7</w:t>
        </w:r>
      </w:hyperlink>
      <w:r w:rsidRPr="009B0448">
        <w:rPr>
          <w:rFonts w:ascii="Times New Roman" w:hAnsi="Times New Roman" w:cs="Times New Roman"/>
        </w:rPr>
        <w:t xml:space="preserve"> </w:t>
      </w:r>
    </w:p>
    <w:p w14:paraId="0A11EE7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Fasona, M., Olukoi, G., Olufemi, F., Adedayo, V., &amp; Elias, P. (2015). Aspects of natural use and adaptation to climate change in the Nigerian savanna. In Adeniyi, G., Bassey, E., Orimoguje, O., &amp; Fashae, O., (Eds.), </w:t>
      </w:r>
      <w:r w:rsidRPr="009B0448">
        <w:rPr>
          <w:rFonts w:ascii="Times New Roman" w:hAnsi="Times New Roman" w:cs="Times New Roman"/>
          <w:i/>
        </w:rPr>
        <w:t xml:space="preserve">Frontiers of environmental research in sustainable environment in 21st century. </w:t>
      </w:r>
      <w:r w:rsidRPr="009B0448">
        <w:rPr>
          <w:rFonts w:ascii="Times New Roman" w:hAnsi="Times New Roman" w:cs="Times New Roman"/>
        </w:rPr>
        <w:t xml:space="preserve">Ibadan, Nigeria: University Press. Retrieved from </w:t>
      </w:r>
      <w:hyperlink r:id="rId495" w:history="1">
        <w:r w:rsidRPr="009B0448">
          <w:rPr>
            <w:rStyle w:val="Hyperlink"/>
            <w:rFonts w:ascii="Times New Roman" w:hAnsi="Times New Roman" w:cs="Times New Roman"/>
          </w:rPr>
          <w:t>http://collections.unu.edu/eserv/UNU:5734/DNC2015_PolicyBrief_No2.pdf</w:t>
        </w:r>
      </w:hyperlink>
      <w:r w:rsidRPr="009B0448">
        <w:rPr>
          <w:rFonts w:ascii="Times New Roman" w:hAnsi="Times New Roman" w:cs="Times New Roman"/>
        </w:rPr>
        <w:t xml:space="preserve"> </w:t>
      </w:r>
    </w:p>
    <w:p w14:paraId="6CF5683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Faye, M. D., Webber, C., Abasse, T. A., &amp; Diaite, D. S. (2011). Farmers’ preferences for tree functions and species in the West African Sahel. </w:t>
      </w:r>
      <w:r w:rsidRPr="009B0448">
        <w:rPr>
          <w:rFonts w:ascii="Times New Roman" w:hAnsi="Times New Roman" w:cs="Times New Roman"/>
          <w:i/>
        </w:rPr>
        <w:t>Forests, Trees and Livelihoods, 20</w:t>
      </w:r>
      <w:r w:rsidRPr="009B0448">
        <w:rPr>
          <w:rFonts w:ascii="Times New Roman" w:hAnsi="Times New Roman" w:cs="Times New Roman"/>
        </w:rPr>
        <w:t xml:space="preserve">, 113–136. </w:t>
      </w:r>
      <w:hyperlink r:id="rId496" w:history="1">
        <w:r w:rsidRPr="009B0448">
          <w:rPr>
            <w:rStyle w:val="Hyperlink"/>
            <w:rFonts w:ascii="Times New Roman" w:hAnsi="Times New Roman" w:cs="Times New Roman"/>
          </w:rPr>
          <w:t>https://doi.org/10.1080/14728028.2011.9756702</w:t>
        </w:r>
      </w:hyperlink>
    </w:p>
    <w:p w14:paraId="1DAD3B1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Feka, N. Z., &amp; Manzano, M. G. (2008). The implications of wood exploitation for fish smoking on mangrove ecosystem conservation in the South West Province, Cameroon. </w:t>
      </w:r>
      <w:r w:rsidRPr="009B0448">
        <w:rPr>
          <w:rFonts w:ascii="Times New Roman" w:hAnsi="Times New Roman" w:cs="Times New Roman"/>
          <w:i/>
        </w:rPr>
        <w:t>Tropical Conservation Science, 1</w:t>
      </w:r>
      <w:r w:rsidRPr="009B0448">
        <w:rPr>
          <w:rFonts w:ascii="Times New Roman" w:hAnsi="Times New Roman" w:cs="Times New Roman"/>
        </w:rPr>
        <w:t xml:space="preserve">(3), 222–241. </w:t>
      </w:r>
      <w:hyperlink r:id="rId497" w:history="1">
        <w:r w:rsidRPr="009B0448">
          <w:rPr>
            <w:rStyle w:val="Hyperlink"/>
            <w:rFonts w:ascii="Times New Roman" w:hAnsi="Times New Roman" w:cs="Times New Roman"/>
          </w:rPr>
          <w:t>https://doi.org/10.1177/194008290800100305</w:t>
        </w:r>
      </w:hyperlink>
      <w:r w:rsidRPr="009B0448">
        <w:rPr>
          <w:rFonts w:ascii="Times New Roman" w:hAnsi="Times New Roman" w:cs="Times New Roman"/>
        </w:rPr>
        <w:t xml:space="preserve"> </w:t>
      </w:r>
    </w:p>
    <w:p w14:paraId="19C195B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Firbank, L., Bradbury, R. B., McCracken, D. I., &amp; Stoate, C. (2013). Delivering multiple ecosystem services from enclosed farmland in the UK. </w:t>
      </w:r>
      <w:r w:rsidRPr="009B0448">
        <w:rPr>
          <w:rFonts w:ascii="Times New Roman" w:hAnsi="Times New Roman" w:cs="Times New Roman"/>
          <w:i/>
        </w:rPr>
        <w:t>Agriculture, ecosystems and environment, 166</w:t>
      </w:r>
      <w:r w:rsidRPr="009B0448">
        <w:rPr>
          <w:rFonts w:ascii="Times New Roman" w:hAnsi="Times New Roman" w:cs="Times New Roman"/>
        </w:rPr>
        <w:t xml:space="preserve">, 65–75. </w:t>
      </w:r>
      <w:hyperlink r:id="rId498" w:history="1">
        <w:r w:rsidRPr="009B0448">
          <w:rPr>
            <w:rStyle w:val="Hyperlink"/>
            <w:rFonts w:ascii="Times New Roman" w:hAnsi="Times New Roman" w:cs="Times New Roman"/>
          </w:rPr>
          <w:t>https://doi.org/10.1016/j.agee.2011.11.014</w:t>
        </w:r>
      </w:hyperlink>
    </w:p>
    <w:p w14:paraId="329845B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Foley, J. A., DeFries, R., Asner, G. P., Barford, C., Bonan, G., Carpenter, S. R., Chapin, F. S., Coe, M. T., Daily, G. C., Gibbs, H. K., &amp; Helkowski, J. H. (2005). Global consequences of land use. </w:t>
      </w:r>
      <w:r w:rsidRPr="009B0448">
        <w:rPr>
          <w:rFonts w:ascii="Times New Roman" w:hAnsi="Times New Roman" w:cs="Times New Roman"/>
          <w:i/>
        </w:rPr>
        <w:t>Science, 309</w:t>
      </w:r>
      <w:r w:rsidRPr="009B0448">
        <w:rPr>
          <w:rFonts w:ascii="Times New Roman" w:hAnsi="Times New Roman" w:cs="Times New Roman"/>
        </w:rPr>
        <w:t xml:space="preserve">(5734), 570–574. </w:t>
      </w:r>
      <w:hyperlink r:id="rId499" w:history="1">
        <w:r w:rsidRPr="009B0448">
          <w:rPr>
            <w:rStyle w:val="Hyperlink"/>
            <w:rFonts w:ascii="Times New Roman" w:hAnsi="Times New Roman" w:cs="Times New Roman"/>
          </w:rPr>
          <w:t>https://doi.org/10.1126/science.1111772</w:t>
        </w:r>
      </w:hyperlink>
      <w:r w:rsidRPr="009B0448">
        <w:rPr>
          <w:rFonts w:ascii="Times New Roman" w:hAnsi="Times New Roman" w:cs="Times New Roman"/>
        </w:rPr>
        <w:t xml:space="preserve"> </w:t>
      </w:r>
    </w:p>
    <w:p w14:paraId="16B79A4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Fouche, J. G., &amp; Coumans, M. (1992). Summarize four techniques for pollinating </w:t>
      </w:r>
      <w:r w:rsidRPr="009B0448">
        <w:rPr>
          <w:rFonts w:ascii="Times New Roman" w:hAnsi="Times New Roman" w:cs="Times New Roman"/>
          <w:i/>
        </w:rPr>
        <w:t>Vanilla planifolia</w:t>
      </w:r>
      <w:r w:rsidRPr="009B0448">
        <w:rPr>
          <w:rFonts w:ascii="Times New Roman" w:hAnsi="Times New Roman" w:cs="Times New Roman"/>
        </w:rPr>
        <w:t xml:space="preserve">. </w:t>
      </w:r>
      <w:r w:rsidRPr="009B0448">
        <w:rPr>
          <w:rFonts w:ascii="Times New Roman" w:hAnsi="Times New Roman" w:cs="Times New Roman"/>
          <w:i/>
        </w:rPr>
        <w:t>AOS Bulletin, 61</w:t>
      </w:r>
      <w:r w:rsidRPr="009B0448">
        <w:rPr>
          <w:rFonts w:ascii="Times New Roman" w:hAnsi="Times New Roman" w:cs="Times New Roman"/>
        </w:rPr>
        <w:t xml:space="preserve">(11), 1118–1122. </w:t>
      </w:r>
    </w:p>
    <w:p w14:paraId="1CA782D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Galloway, J. N., Townsend, A. R., Erisman, J. W., Bekunda, M., Cai, Z., Freney, J. R., Martinelli, L. A., Seitzinger, S. P., &amp; Sutton, M. A. (2008). Transformation of the nitrogen cycle: Recent trends, questions, and potential solutions. </w:t>
      </w:r>
      <w:r w:rsidRPr="009B0448">
        <w:rPr>
          <w:rFonts w:ascii="Times New Roman" w:hAnsi="Times New Roman" w:cs="Times New Roman"/>
          <w:i/>
        </w:rPr>
        <w:t>Science, 320</w:t>
      </w:r>
      <w:r w:rsidRPr="009B0448">
        <w:rPr>
          <w:rFonts w:ascii="Times New Roman" w:hAnsi="Times New Roman" w:cs="Times New Roman"/>
        </w:rPr>
        <w:t xml:space="preserve">(5878), 889–892. </w:t>
      </w:r>
      <w:hyperlink r:id="rId500" w:history="1">
        <w:r w:rsidRPr="009B0448">
          <w:rPr>
            <w:rStyle w:val="Hyperlink"/>
            <w:rFonts w:ascii="Times New Roman" w:hAnsi="Times New Roman" w:cs="Times New Roman"/>
          </w:rPr>
          <w:t>https://doi.org/10.1126/science.1136674</w:t>
        </w:r>
      </w:hyperlink>
      <w:r w:rsidRPr="009B0448">
        <w:rPr>
          <w:rFonts w:ascii="Times New Roman" w:hAnsi="Times New Roman" w:cs="Times New Roman"/>
        </w:rPr>
        <w:t xml:space="preserve"> </w:t>
      </w:r>
    </w:p>
    <w:p w14:paraId="6153708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Gaspare, L., Bryceson, I., &amp; Kulindwa, K. (2015). Complementarity of fishers' traditional ecological knowledge and conventional science: Contributions to the management of groupers (Epinephelinae) fisheries around Mafia Island, Tanzania. </w:t>
      </w:r>
      <w:r w:rsidRPr="009B0448">
        <w:rPr>
          <w:rFonts w:ascii="Times New Roman" w:hAnsi="Times New Roman" w:cs="Times New Roman"/>
          <w:i/>
        </w:rPr>
        <w:t>Ocean &amp; Coastal Management, 114</w:t>
      </w:r>
      <w:r w:rsidRPr="009B0448">
        <w:rPr>
          <w:rFonts w:ascii="Times New Roman" w:hAnsi="Times New Roman" w:cs="Times New Roman"/>
        </w:rPr>
        <w:t xml:space="preserve">, 88–101. </w:t>
      </w:r>
      <w:hyperlink r:id="rId501" w:history="1">
        <w:r w:rsidRPr="009B0448">
          <w:rPr>
            <w:rStyle w:val="Hyperlink"/>
            <w:rFonts w:ascii="Times New Roman" w:hAnsi="Times New Roman" w:cs="Times New Roman"/>
          </w:rPr>
          <w:t>https://doi.org/10.1016/j.ocecoaman.2015.06.011</w:t>
        </w:r>
      </w:hyperlink>
    </w:p>
    <w:p w14:paraId="5910157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Gbadamosi, I., &amp; Otobo, E. R. (2014). Assessment of the nutritional qualities of ten botanicals used in pregnancy and child delivery in Ibadan, Nigeria. </w:t>
      </w:r>
      <w:r w:rsidRPr="009B0448">
        <w:rPr>
          <w:rFonts w:ascii="Times New Roman" w:hAnsi="Times New Roman" w:cs="Times New Roman"/>
          <w:i/>
        </w:rPr>
        <w:t>International Journal of Phytomedicine, 6</w:t>
      </w:r>
      <w:r w:rsidRPr="009B0448">
        <w:rPr>
          <w:rFonts w:ascii="Times New Roman" w:hAnsi="Times New Roman" w:cs="Times New Roman"/>
        </w:rPr>
        <w:t xml:space="preserve">, 16–22. Retrieved from </w:t>
      </w:r>
      <w:hyperlink r:id="rId502" w:history="1">
        <w:r w:rsidRPr="009B0448">
          <w:rPr>
            <w:rStyle w:val="Hyperlink"/>
            <w:rFonts w:ascii="Times New Roman" w:hAnsi="Times New Roman" w:cs="Times New Roman"/>
          </w:rPr>
          <w:t>http://www.arjournals.org/index.php/ijpm/article/view/1290</w:t>
        </w:r>
      </w:hyperlink>
      <w:r w:rsidRPr="009B0448">
        <w:rPr>
          <w:rFonts w:ascii="Times New Roman" w:hAnsi="Times New Roman" w:cs="Times New Roman"/>
        </w:rPr>
        <w:t xml:space="preserve"> </w:t>
      </w:r>
    </w:p>
    <w:p w14:paraId="5914B28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Gemmill-Herren, B., Aidoo, K., Kwapong, P., Martins, D., Kinuthia, W., Gikungu, M., &amp; Eardley, C. (2014). Priorities for research and development in the management of pollination services for agriculture in Africa. </w:t>
      </w:r>
      <w:r w:rsidRPr="009B0448">
        <w:rPr>
          <w:rFonts w:ascii="Times New Roman" w:hAnsi="Times New Roman" w:cs="Times New Roman"/>
          <w:i/>
        </w:rPr>
        <w:t>Journal of Pollination Ecology, 12</w:t>
      </w:r>
      <w:r w:rsidRPr="009B0448">
        <w:rPr>
          <w:rFonts w:ascii="Times New Roman" w:hAnsi="Times New Roman" w:cs="Times New Roman"/>
        </w:rPr>
        <w:t xml:space="preserve">(6), 40–51. Retrieved from </w:t>
      </w:r>
      <w:hyperlink r:id="rId503" w:history="1">
        <w:r w:rsidRPr="009B0448">
          <w:rPr>
            <w:rStyle w:val="Hyperlink"/>
            <w:rFonts w:ascii="Times New Roman" w:hAnsi="Times New Roman" w:cs="Times New Roman"/>
          </w:rPr>
          <w:t>http://www.pollinationecology.org/index.php?journal=jpe&amp;page=article&amp;op=view&amp;path%5B%5D=191&amp;path%5B%5D=80</w:t>
        </w:r>
      </w:hyperlink>
      <w:r w:rsidRPr="009B0448">
        <w:rPr>
          <w:rFonts w:ascii="Times New Roman" w:hAnsi="Times New Roman" w:cs="Times New Roman"/>
        </w:rPr>
        <w:t xml:space="preserve"> </w:t>
      </w:r>
    </w:p>
    <w:p w14:paraId="0A11AA4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Golden, C. D., Fernald, L. C. H., Brashares J. S., Rasolofoniaina, B. J. R., &amp; Kremen, C. (2011). Benefits of wildlife consumption to child nutrition in a biodiversity hotspot. </w:t>
      </w:r>
      <w:r w:rsidRPr="009B0448">
        <w:rPr>
          <w:rFonts w:ascii="Times New Roman" w:hAnsi="Times New Roman" w:cs="Times New Roman"/>
          <w:i/>
        </w:rPr>
        <w:t>Proceedings of the National Academy of Sciences of the United States of America, 108</w:t>
      </w:r>
      <w:r w:rsidRPr="009B0448">
        <w:rPr>
          <w:rFonts w:ascii="Times New Roman" w:hAnsi="Times New Roman" w:cs="Times New Roman"/>
        </w:rPr>
        <w:t xml:space="preserve">, 19653–56. </w:t>
      </w:r>
      <w:hyperlink r:id="rId504" w:history="1">
        <w:r w:rsidRPr="009B0448">
          <w:rPr>
            <w:rStyle w:val="Hyperlink"/>
            <w:rFonts w:ascii="Times New Roman" w:hAnsi="Times New Roman" w:cs="Times New Roman"/>
          </w:rPr>
          <w:t>https://doi.org/10.1073/pnas.1112586108</w:t>
        </w:r>
      </w:hyperlink>
      <w:r w:rsidRPr="009B0448">
        <w:rPr>
          <w:rFonts w:ascii="Times New Roman" w:hAnsi="Times New Roman" w:cs="Times New Roman"/>
        </w:rPr>
        <w:t xml:space="preserve"> </w:t>
      </w:r>
    </w:p>
    <w:p w14:paraId="62BE395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Gómez-Baggethun, E., Corbera, E., &amp; Reyes-García, V. (2013). Traditional ecological knowledge and global environmental change: Research findings and policy implications. </w:t>
      </w:r>
      <w:r w:rsidRPr="009B0448">
        <w:rPr>
          <w:rFonts w:ascii="Times New Roman" w:hAnsi="Times New Roman" w:cs="Times New Roman"/>
          <w:i/>
        </w:rPr>
        <w:t>Ecology and Sociology, 18</w:t>
      </w:r>
      <w:r w:rsidRPr="009B0448">
        <w:rPr>
          <w:rFonts w:ascii="Times New Roman" w:hAnsi="Times New Roman" w:cs="Times New Roman"/>
        </w:rPr>
        <w:t xml:space="preserve">(4), 72. </w:t>
      </w:r>
      <w:hyperlink r:id="rId505" w:history="1">
        <w:r w:rsidRPr="009B0448">
          <w:rPr>
            <w:rStyle w:val="Hyperlink"/>
            <w:rFonts w:ascii="Times New Roman" w:hAnsi="Times New Roman" w:cs="Times New Roman"/>
          </w:rPr>
          <w:t>https://doi.org/10.5751/ES-06288-180472</w:t>
        </w:r>
      </w:hyperlink>
    </w:p>
    <w:p w14:paraId="36AA866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Grainger, J. (2003). People are living in the park. Linking biodiversity conservation with community development in the Middle East region: A case study from the Saint Katherine protectorate, southern Sinai. </w:t>
      </w:r>
      <w:r w:rsidRPr="009B0448">
        <w:rPr>
          <w:rFonts w:ascii="Times New Roman" w:hAnsi="Times New Roman" w:cs="Times New Roman"/>
          <w:i/>
        </w:rPr>
        <w:t>Journal of Arid Environments, 54</w:t>
      </w:r>
      <w:r w:rsidRPr="009B0448">
        <w:rPr>
          <w:rFonts w:ascii="Times New Roman" w:hAnsi="Times New Roman" w:cs="Times New Roman"/>
        </w:rPr>
        <w:t xml:space="preserve">, 29–38. </w:t>
      </w:r>
      <w:hyperlink r:id="rId506" w:history="1">
        <w:r w:rsidRPr="009B0448">
          <w:rPr>
            <w:rStyle w:val="Hyperlink"/>
            <w:rFonts w:ascii="Times New Roman" w:hAnsi="Times New Roman" w:cs="Times New Roman"/>
          </w:rPr>
          <w:t>https://doi.org/10.1006/jare.2001.0894</w:t>
        </w:r>
      </w:hyperlink>
    </w:p>
    <w:p w14:paraId="46F25E41"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Griffis Jr, S. J. (1998). New African plants with ornamental potential, ornamental section. </w:t>
      </w:r>
      <w:r w:rsidRPr="009B0448">
        <w:rPr>
          <w:rFonts w:ascii="Times New Roman" w:hAnsi="Times New Roman" w:cs="Times New Roman"/>
          <w:i/>
        </w:rPr>
        <w:t>Proceedings of the Florida State Horticultural Society, 111</w:t>
      </w:r>
      <w:r w:rsidRPr="009B0448">
        <w:rPr>
          <w:rFonts w:ascii="Times New Roman" w:hAnsi="Times New Roman" w:cs="Times New Roman"/>
        </w:rPr>
        <w:t xml:space="preserve">, 1–3. </w:t>
      </w:r>
    </w:p>
    <w:p w14:paraId="5B16B8B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Grzywacz, D., Stevenson, P. C., Mushobozi, W. L., Belmain, S., &amp; Wilson, K. (2014). The use of indigenous ecological resources for pest control in Africa. </w:t>
      </w:r>
      <w:r w:rsidRPr="009B0448">
        <w:rPr>
          <w:rFonts w:ascii="Times New Roman" w:hAnsi="Times New Roman" w:cs="Times New Roman"/>
          <w:i/>
        </w:rPr>
        <w:t>Journal Human Evolution, 60</w:t>
      </w:r>
      <w:r w:rsidRPr="009B0448">
        <w:rPr>
          <w:rFonts w:ascii="Times New Roman" w:hAnsi="Times New Roman" w:cs="Times New Roman"/>
        </w:rPr>
        <w:t xml:space="preserve">(3), 281–298. </w:t>
      </w:r>
      <w:hyperlink r:id="rId507" w:history="1">
        <w:r w:rsidRPr="009B0448">
          <w:rPr>
            <w:rStyle w:val="Hyperlink"/>
            <w:rFonts w:ascii="Times New Roman" w:hAnsi="Times New Roman" w:cs="Times New Roman"/>
          </w:rPr>
          <w:t>https://doi.org/10.1007/s12571-013-0313-5</w:t>
        </w:r>
      </w:hyperlink>
      <w:r w:rsidRPr="009B0448">
        <w:rPr>
          <w:rFonts w:ascii="Times New Roman" w:hAnsi="Times New Roman" w:cs="Times New Roman"/>
        </w:rPr>
        <w:t xml:space="preserve"> </w:t>
      </w:r>
    </w:p>
    <w:p w14:paraId="11B9C4F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Halmy, M. W. A. (2012). </w:t>
      </w:r>
      <w:r w:rsidRPr="009B0448">
        <w:rPr>
          <w:rFonts w:ascii="Times New Roman" w:hAnsi="Times New Roman" w:cs="Times New Roman"/>
          <w:i/>
        </w:rPr>
        <w:t>Environmental risk assessment for habitats of the Egyptian northwestern coastal desert</w:t>
      </w:r>
      <w:r w:rsidRPr="009B0448">
        <w:rPr>
          <w:rFonts w:ascii="Times New Roman" w:hAnsi="Times New Roman" w:cs="Times New Roman"/>
        </w:rPr>
        <w:t xml:space="preserve">. (Doctoral dissertation). Retrieved from </w:t>
      </w:r>
      <w:hyperlink r:id="rId508" w:history="1">
        <w:r w:rsidRPr="009B0448">
          <w:rPr>
            <w:rStyle w:val="Hyperlink"/>
            <w:rFonts w:ascii="Times New Roman" w:hAnsi="Times New Roman" w:cs="Times New Roman"/>
          </w:rPr>
          <w:t>https://ebookcentral.proquest.com/lib/csir-ebooks/home.action</w:t>
        </w:r>
      </w:hyperlink>
      <w:r w:rsidRPr="009B0448">
        <w:rPr>
          <w:rFonts w:ascii="Times New Roman" w:hAnsi="Times New Roman" w:cs="Times New Roman"/>
        </w:rPr>
        <w:t xml:space="preserve"> (3536891).</w:t>
      </w:r>
    </w:p>
    <w:p w14:paraId="1EC5E1D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Halmy, M. W. A. (2016). Traditional knowledge associated with desert ecosystems in Egypt. In M. Roué, A. Oteng–Yeboah, P. Kariuki, &amp; Y. Adou (Eds.), </w:t>
      </w:r>
      <w:r w:rsidRPr="009B0448">
        <w:rPr>
          <w:rFonts w:ascii="Times New Roman" w:hAnsi="Times New Roman" w:cs="Times New Roman"/>
          <w:i/>
        </w:rPr>
        <w:t>Indigenous and local knowledge of biodiversity and ecosystems services in Africa: Contributions to an IPBES regional assessment</w:t>
      </w:r>
      <w:r w:rsidRPr="009B0448">
        <w:rPr>
          <w:rFonts w:ascii="Times New Roman" w:hAnsi="Times New Roman" w:cs="Times New Roman"/>
        </w:rPr>
        <w:t xml:space="preserve"> (pp. 107–120). Paris, France: UNESCO. Retrieved from </w:t>
      </w:r>
      <w:hyperlink r:id="rId509" w:history="1">
        <w:r w:rsidRPr="009B0448">
          <w:rPr>
            <w:rStyle w:val="Hyperlink"/>
            <w:rFonts w:ascii="Times New Roman" w:hAnsi="Times New Roman" w:cs="Times New Roman"/>
          </w:rPr>
          <w:t>http://climatefrontlines.org/sites/default/files/ipbes/IPBES_in_Africa_2015.pdf</w:t>
        </w:r>
      </w:hyperlink>
      <w:r w:rsidRPr="009B0448">
        <w:rPr>
          <w:rFonts w:ascii="Times New Roman" w:hAnsi="Times New Roman" w:cs="Times New Roman"/>
        </w:rPr>
        <w:t xml:space="preserve"> </w:t>
      </w:r>
    </w:p>
    <w:p w14:paraId="2875D21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Halmy, M. W. A., &amp; Salem, B. B. (2015a). Species conservation importance index for comparing sites’ conservation value at landscape level. </w:t>
      </w:r>
      <w:r w:rsidRPr="009B0448">
        <w:rPr>
          <w:rFonts w:ascii="Times New Roman" w:hAnsi="Times New Roman" w:cs="Times New Roman"/>
          <w:i/>
        </w:rPr>
        <w:t>Brazilian Journal of Botany, 38</w:t>
      </w:r>
      <w:r w:rsidRPr="009B0448">
        <w:rPr>
          <w:rFonts w:ascii="Times New Roman" w:hAnsi="Times New Roman" w:cs="Times New Roman"/>
        </w:rPr>
        <w:t xml:space="preserve">(4), 823–835. </w:t>
      </w:r>
      <w:hyperlink r:id="rId510" w:history="1">
        <w:r w:rsidRPr="009B0448">
          <w:rPr>
            <w:rStyle w:val="Hyperlink"/>
            <w:rFonts w:ascii="Times New Roman" w:hAnsi="Times New Roman" w:cs="Times New Roman"/>
          </w:rPr>
          <w:t>https://doi.org/10.1007/s40415-015-0197-z</w:t>
        </w:r>
      </w:hyperlink>
      <w:r w:rsidRPr="009B0448">
        <w:rPr>
          <w:rFonts w:ascii="Times New Roman" w:hAnsi="Times New Roman" w:cs="Times New Roman"/>
        </w:rPr>
        <w:t xml:space="preserve"> </w:t>
      </w:r>
    </w:p>
    <w:p w14:paraId="4B09A62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Halmy, M. W., Gessler, P. E., Hicke, J. A., &amp; Salem, B. B. (2015b). Land use/land cover change detection and prediction in the north-western coastal desert of Egypt using Markov-CA. </w:t>
      </w:r>
      <w:r w:rsidRPr="009B0448">
        <w:rPr>
          <w:rFonts w:ascii="Times New Roman" w:hAnsi="Times New Roman" w:cs="Times New Roman"/>
          <w:i/>
        </w:rPr>
        <w:t>Applied Geography, 63</w:t>
      </w:r>
      <w:r w:rsidRPr="009B0448">
        <w:rPr>
          <w:rFonts w:ascii="Times New Roman" w:hAnsi="Times New Roman" w:cs="Times New Roman"/>
        </w:rPr>
        <w:t xml:space="preserve">, 101–112. </w:t>
      </w:r>
      <w:hyperlink r:id="rId511" w:history="1">
        <w:r w:rsidRPr="009B0448">
          <w:rPr>
            <w:rStyle w:val="Hyperlink"/>
            <w:rFonts w:ascii="Times New Roman" w:hAnsi="Times New Roman" w:cs="Times New Roman"/>
          </w:rPr>
          <w:t>https://doi.org/10.1016/j.apgeog.2015.06.015</w:t>
        </w:r>
      </w:hyperlink>
    </w:p>
    <w:p w14:paraId="4C38124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Halmy, M. W., Gessler, P. E., &amp; Heneidy, S. Z. (2015c). Implications of human induced changes on the distribution of important plant species in the northwestern coastal desert of Egypt. </w:t>
      </w:r>
      <w:r w:rsidRPr="009B0448">
        <w:rPr>
          <w:rFonts w:ascii="Times New Roman" w:hAnsi="Times New Roman" w:cs="Times New Roman"/>
          <w:i/>
        </w:rPr>
        <w:t>Renewable Energy and Sustainable Development, 1</w:t>
      </w:r>
      <w:r w:rsidRPr="009B0448">
        <w:rPr>
          <w:rFonts w:ascii="Times New Roman" w:hAnsi="Times New Roman" w:cs="Times New Roman"/>
        </w:rPr>
        <w:t xml:space="preserve">(2), 243–263. </w:t>
      </w:r>
      <w:hyperlink r:id="rId512" w:history="1">
        <w:r w:rsidRPr="009B0448">
          <w:rPr>
            <w:rStyle w:val="Hyperlink"/>
            <w:rFonts w:ascii="Times New Roman" w:hAnsi="Times New Roman" w:cs="Times New Roman"/>
          </w:rPr>
          <w:t>https://doi.org/10.21622/resd.2015.01.2.243</w:t>
        </w:r>
      </w:hyperlink>
      <w:r w:rsidRPr="009B0448">
        <w:rPr>
          <w:rFonts w:ascii="Times New Roman" w:hAnsi="Times New Roman" w:cs="Times New Roman"/>
        </w:rPr>
        <w:t xml:space="preserve"> </w:t>
      </w:r>
    </w:p>
    <w:p w14:paraId="1E227ED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Heneidy, S. Z., &amp; Waseem, M. (2007). Rehabilitation of degraded coastal Mediterranean rangelands using </w:t>
      </w:r>
      <w:r w:rsidRPr="009B0448">
        <w:rPr>
          <w:rFonts w:ascii="Times New Roman" w:hAnsi="Times New Roman" w:cs="Times New Roman"/>
          <w:i/>
        </w:rPr>
        <w:t>Panicum turgidum</w:t>
      </w:r>
      <w:r w:rsidRPr="009B0448">
        <w:rPr>
          <w:rFonts w:ascii="Times New Roman" w:hAnsi="Times New Roman" w:cs="Times New Roman"/>
        </w:rPr>
        <w:t xml:space="preserve"> Forssk. </w:t>
      </w:r>
      <w:r w:rsidRPr="009B0448">
        <w:rPr>
          <w:rFonts w:ascii="Times New Roman" w:hAnsi="Times New Roman" w:cs="Times New Roman"/>
          <w:i/>
        </w:rPr>
        <w:t>Acta Botanica Croatica, 66</w:t>
      </w:r>
      <w:r w:rsidRPr="009B0448">
        <w:rPr>
          <w:rFonts w:ascii="Times New Roman" w:hAnsi="Times New Roman" w:cs="Times New Roman"/>
        </w:rPr>
        <w:t xml:space="preserve">(2), 161–176. Retrieved from </w:t>
      </w:r>
      <w:hyperlink r:id="rId513" w:history="1">
        <w:r w:rsidRPr="009B0448">
          <w:rPr>
            <w:rStyle w:val="Hyperlink"/>
            <w:rFonts w:ascii="Times New Roman" w:hAnsi="Times New Roman" w:cs="Times New Roman"/>
          </w:rPr>
          <w:t>https://hrcak.srce.hr/17184</w:t>
        </w:r>
      </w:hyperlink>
      <w:r w:rsidRPr="009B0448">
        <w:rPr>
          <w:rFonts w:ascii="Times New Roman" w:hAnsi="Times New Roman" w:cs="Times New Roman"/>
        </w:rPr>
        <w:t xml:space="preserve"> </w:t>
      </w:r>
    </w:p>
    <w:p w14:paraId="2C68F5C4"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Heubach, K., Schumann, K., &amp; Hahn, K. (2016). Substitutes for seeds of </w:t>
      </w:r>
      <w:r w:rsidRPr="009B0448">
        <w:rPr>
          <w:rFonts w:ascii="Times New Roman" w:hAnsi="Times New Roman" w:cs="Times New Roman"/>
          <w:i/>
        </w:rPr>
        <w:t>Vitellaria paradoxa</w:t>
      </w:r>
      <w:r w:rsidRPr="009B0448">
        <w:rPr>
          <w:rFonts w:ascii="Times New Roman" w:hAnsi="Times New Roman" w:cs="Times New Roman"/>
        </w:rPr>
        <w:t xml:space="preserve">, </w:t>
      </w:r>
      <w:r w:rsidRPr="009B0448">
        <w:rPr>
          <w:rFonts w:ascii="Times New Roman" w:hAnsi="Times New Roman" w:cs="Times New Roman"/>
          <w:i/>
        </w:rPr>
        <w:t>Parkia biglobosa</w:t>
      </w:r>
      <w:r w:rsidRPr="009B0448">
        <w:rPr>
          <w:rFonts w:ascii="Times New Roman" w:hAnsi="Times New Roman" w:cs="Times New Roman"/>
        </w:rPr>
        <w:t xml:space="preserve"> and </w:t>
      </w:r>
      <w:r w:rsidRPr="009B0448">
        <w:rPr>
          <w:rFonts w:ascii="Times New Roman" w:hAnsi="Times New Roman" w:cs="Times New Roman"/>
          <w:i/>
        </w:rPr>
        <w:t>Adansonia digitata</w:t>
      </w:r>
      <w:r w:rsidRPr="009B0448">
        <w:rPr>
          <w:rFonts w:ascii="Times New Roman" w:hAnsi="Times New Roman" w:cs="Times New Roman"/>
        </w:rPr>
        <w:t xml:space="preserve"> used for nutrition by five major ethnic groups in Benin, West Africa. </w:t>
      </w:r>
      <w:r w:rsidRPr="009B0448">
        <w:rPr>
          <w:rFonts w:ascii="Times New Roman" w:hAnsi="Times New Roman" w:cs="Times New Roman"/>
          <w:i/>
        </w:rPr>
        <w:t>Flora et Vegetation Sudano-Sambesica, 19</w:t>
      </w:r>
      <w:r w:rsidRPr="009B0448">
        <w:rPr>
          <w:rFonts w:ascii="Times New Roman" w:hAnsi="Times New Roman" w:cs="Times New Roman"/>
        </w:rPr>
        <w:t xml:space="preserve">, 7–17. </w:t>
      </w:r>
      <w:hyperlink r:id="rId514" w:history="1">
        <w:r w:rsidRPr="009B0448">
          <w:rPr>
            <w:rStyle w:val="Hyperlink"/>
            <w:rFonts w:ascii="Times New Roman" w:hAnsi="Times New Roman" w:cs="Times New Roman"/>
          </w:rPr>
          <w:t>https://doi.org/10.21248/fvss.19.32</w:t>
        </w:r>
      </w:hyperlink>
      <w:r w:rsidRPr="009B0448">
        <w:rPr>
          <w:rFonts w:ascii="Times New Roman" w:hAnsi="Times New Roman" w:cs="Times New Roman"/>
        </w:rPr>
        <w:t xml:space="preserve"> </w:t>
      </w:r>
    </w:p>
    <w:p w14:paraId="51A93D1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Heubach, K., Wittig, R., Nuppenau, E. A., &amp; Hahn, K. (2013). Local values, social differentiation and conservation efforts: The impact of ethnic affiliation on the valuation of NTFP-species in northern Benin, West Africa. </w:t>
      </w:r>
      <w:r w:rsidRPr="009B0448">
        <w:rPr>
          <w:rFonts w:ascii="Times New Roman" w:hAnsi="Times New Roman" w:cs="Times New Roman"/>
          <w:i/>
        </w:rPr>
        <w:t>Human Ecology, 41</w:t>
      </w:r>
      <w:r w:rsidRPr="009B0448">
        <w:rPr>
          <w:rFonts w:ascii="Times New Roman" w:hAnsi="Times New Roman" w:cs="Times New Roman"/>
        </w:rPr>
        <w:t xml:space="preserve">, 513–533. </w:t>
      </w:r>
      <w:hyperlink r:id="rId515" w:history="1">
        <w:r w:rsidRPr="009B0448">
          <w:rPr>
            <w:rStyle w:val="Hyperlink"/>
            <w:rFonts w:ascii="Times New Roman" w:hAnsi="Times New Roman" w:cs="Times New Roman"/>
          </w:rPr>
          <w:t>https://doi.org/10.1007/s10745-013-9592-x</w:t>
        </w:r>
      </w:hyperlink>
      <w:r w:rsidRPr="009B0448">
        <w:rPr>
          <w:rFonts w:ascii="Times New Roman" w:hAnsi="Times New Roman" w:cs="Times New Roman"/>
        </w:rPr>
        <w:t xml:space="preserve"> </w:t>
      </w:r>
    </w:p>
    <w:p w14:paraId="649A645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Higgs, E. (2005). The two</w:t>
      </w:r>
      <w:r w:rsidRPr="009B0448">
        <w:rPr>
          <w:rFonts w:ascii="Cambria Math" w:hAnsi="Cambria Math" w:cs="Cambria Math"/>
        </w:rPr>
        <w:t>‐</w:t>
      </w:r>
      <w:r w:rsidRPr="009B0448">
        <w:rPr>
          <w:rFonts w:ascii="Times New Roman" w:hAnsi="Times New Roman" w:cs="Times New Roman"/>
        </w:rPr>
        <w:t xml:space="preserve">culture problem: Ecological restoration and the integration of knowledge. </w:t>
      </w:r>
      <w:r w:rsidRPr="009B0448">
        <w:rPr>
          <w:rFonts w:ascii="Times New Roman" w:hAnsi="Times New Roman" w:cs="Times New Roman"/>
          <w:i/>
        </w:rPr>
        <w:t>Restoration Ecology, 13</w:t>
      </w:r>
      <w:r w:rsidRPr="009B0448">
        <w:rPr>
          <w:rFonts w:ascii="Times New Roman" w:hAnsi="Times New Roman" w:cs="Times New Roman"/>
        </w:rPr>
        <w:t xml:space="preserve">(1), 159–164. </w:t>
      </w:r>
      <w:hyperlink r:id="rId516" w:history="1">
        <w:r w:rsidRPr="009B0448">
          <w:rPr>
            <w:rStyle w:val="Hyperlink"/>
            <w:rFonts w:ascii="Times New Roman" w:hAnsi="Times New Roman" w:cs="Times New Roman"/>
          </w:rPr>
          <w:t>https://doi.org/10.1111/j.1526-100X.2005.00020.x</w:t>
        </w:r>
      </w:hyperlink>
      <w:r w:rsidRPr="009B0448">
        <w:rPr>
          <w:rFonts w:ascii="Times New Roman" w:hAnsi="Times New Roman" w:cs="Times New Roman"/>
        </w:rPr>
        <w:t xml:space="preserve"> </w:t>
      </w:r>
    </w:p>
    <w:p w14:paraId="1209340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Hoare, A. L. (2007). </w:t>
      </w:r>
      <w:r w:rsidRPr="009B0448">
        <w:rPr>
          <w:rFonts w:ascii="Times New Roman" w:hAnsi="Times New Roman" w:cs="Times New Roman"/>
          <w:i/>
        </w:rPr>
        <w:t>The use of non-timber forest products in the Congo Basin: Constraints and opportunities.</w:t>
      </w:r>
      <w:r w:rsidRPr="009B0448">
        <w:rPr>
          <w:rFonts w:ascii="Times New Roman" w:hAnsi="Times New Roman" w:cs="Times New Roman"/>
        </w:rPr>
        <w:t xml:space="preserve"> New York, USA: Rain Forest Foundation. Retrieved from </w:t>
      </w:r>
      <w:hyperlink r:id="rId517" w:history="1">
        <w:r w:rsidRPr="009B0448">
          <w:rPr>
            <w:rStyle w:val="Hyperlink"/>
            <w:rFonts w:ascii="Times New Roman" w:hAnsi="Times New Roman" w:cs="Times New Roman"/>
          </w:rPr>
          <w:t>http://www.rainforestfoundationuk.org/files/rf5.pdf</w:t>
        </w:r>
      </w:hyperlink>
      <w:r w:rsidRPr="009B0448">
        <w:rPr>
          <w:rFonts w:ascii="Times New Roman" w:hAnsi="Times New Roman" w:cs="Times New Roman"/>
        </w:rPr>
        <w:t xml:space="preserve"> </w:t>
      </w:r>
    </w:p>
    <w:p w14:paraId="061DCE2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Horwitz, P., &amp; Finlayson, C. M. (2011). Wetlands as settings for human health: Incorporating ecosystem services and health impact assessment into water resource management. </w:t>
      </w:r>
      <w:r w:rsidRPr="009B0448">
        <w:rPr>
          <w:rFonts w:ascii="Times New Roman" w:hAnsi="Times New Roman" w:cs="Times New Roman"/>
          <w:i/>
        </w:rPr>
        <w:t>BioScience, 61</w:t>
      </w:r>
      <w:r w:rsidRPr="009B0448">
        <w:rPr>
          <w:rFonts w:ascii="Times New Roman" w:hAnsi="Times New Roman" w:cs="Times New Roman"/>
        </w:rPr>
        <w:t xml:space="preserve">(9), 678–688. </w:t>
      </w:r>
      <w:hyperlink r:id="rId518" w:history="1">
        <w:r w:rsidRPr="009B0448">
          <w:rPr>
            <w:rStyle w:val="Hyperlink"/>
            <w:rFonts w:ascii="Times New Roman" w:hAnsi="Times New Roman" w:cs="Times New Roman"/>
          </w:rPr>
          <w:t>https://doi.org/10.1525/bio.2011.61.9.6</w:t>
        </w:r>
      </w:hyperlink>
    </w:p>
    <w:p w14:paraId="40799CC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Hutchison, J., Manica, A., Swetnam, R., Balmford, A., &amp; Spalding, M. (2014). Predicting global patterns in mangrove forest biomass. </w:t>
      </w:r>
      <w:r w:rsidRPr="009B0448">
        <w:rPr>
          <w:rFonts w:ascii="Times New Roman" w:hAnsi="Times New Roman" w:cs="Times New Roman"/>
          <w:i/>
        </w:rPr>
        <w:t>Conservation Letters, 7</w:t>
      </w:r>
      <w:r w:rsidRPr="009B0448">
        <w:rPr>
          <w:rFonts w:ascii="Times New Roman" w:hAnsi="Times New Roman" w:cs="Times New Roman"/>
        </w:rPr>
        <w:t xml:space="preserve">(3), 233–240. </w:t>
      </w:r>
      <w:hyperlink r:id="rId519" w:history="1">
        <w:r w:rsidRPr="009B0448">
          <w:rPr>
            <w:rStyle w:val="Hyperlink"/>
            <w:rFonts w:ascii="Times New Roman" w:hAnsi="Times New Roman" w:cs="Times New Roman"/>
          </w:rPr>
          <w:t>https://doi.org/10.1111/conl.12060</w:t>
        </w:r>
      </w:hyperlink>
      <w:r w:rsidRPr="009B0448">
        <w:rPr>
          <w:rFonts w:ascii="Times New Roman" w:hAnsi="Times New Roman" w:cs="Times New Roman"/>
        </w:rPr>
        <w:t xml:space="preserve"> </w:t>
      </w:r>
    </w:p>
    <w:p w14:paraId="14817C5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IEA. (2010). </w:t>
      </w:r>
      <w:r w:rsidRPr="009B0448">
        <w:rPr>
          <w:rFonts w:ascii="Times New Roman" w:hAnsi="Times New Roman" w:cs="Times New Roman"/>
          <w:i/>
        </w:rPr>
        <w:t>Bioenergy countries’ report: Bioenergy policies and status of implementation</w:t>
      </w:r>
      <w:r w:rsidRPr="009B0448">
        <w:rPr>
          <w:rFonts w:ascii="Times New Roman" w:hAnsi="Times New Roman" w:cs="Times New Roman"/>
        </w:rPr>
        <w:t xml:space="preserve">. Paris, France: IEA Bioenergy. Retrieved from </w:t>
      </w:r>
      <w:hyperlink r:id="rId520" w:history="1">
        <w:r w:rsidRPr="009B0448">
          <w:rPr>
            <w:rStyle w:val="Hyperlink"/>
            <w:rFonts w:ascii="Times New Roman" w:hAnsi="Times New Roman" w:cs="Times New Roman"/>
          </w:rPr>
          <w:t>http://www.ieabioenergy.com/wp-content/uploads/2016/09/IEA-Bioenergy-Countries-Report-23.09.2016-1.pdf</w:t>
        </w:r>
      </w:hyperlink>
      <w:r w:rsidRPr="009B0448">
        <w:rPr>
          <w:rFonts w:ascii="Times New Roman" w:hAnsi="Times New Roman" w:cs="Times New Roman"/>
        </w:rPr>
        <w:t xml:space="preserve"> </w:t>
      </w:r>
    </w:p>
    <w:p w14:paraId="468C69A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IOC. (2014). </w:t>
      </w:r>
      <w:r w:rsidRPr="009B0448">
        <w:rPr>
          <w:rFonts w:ascii="Times New Roman" w:hAnsi="Times New Roman" w:cs="Times New Roman"/>
          <w:i/>
        </w:rPr>
        <w:t>Let’s talk fish. Guide for journalists and media</w:t>
      </w:r>
      <w:r w:rsidRPr="009B0448">
        <w:rPr>
          <w:rFonts w:ascii="Times New Roman" w:hAnsi="Times New Roman" w:cs="Times New Roman"/>
        </w:rPr>
        <w:t xml:space="preserve">. Rome, Italy: FAO. Retrieved from </w:t>
      </w:r>
      <w:hyperlink r:id="rId521" w:history="1">
        <w:r w:rsidRPr="009B0448">
          <w:rPr>
            <w:rStyle w:val="Hyperlink"/>
            <w:rFonts w:ascii="Times New Roman" w:hAnsi="Times New Roman" w:cs="Times New Roman"/>
          </w:rPr>
          <w:t>http://commissionoceanindien.org/fileadmin/projets/smartfish/TP/TP30EN.pdf</w:t>
        </w:r>
      </w:hyperlink>
      <w:r w:rsidRPr="009B0448">
        <w:rPr>
          <w:rFonts w:ascii="Times New Roman" w:hAnsi="Times New Roman" w:cs="Times New Roman"/>
        </w:rPr>
        <w:t xml:space="preserve"> </w:t>
      </w:r>
    </w:p>
    <w:p w14:paraId="13BE072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IPBES. (2016). </w:t>
      </w:r>
      <w:r w:rsidRPr="009B0448">
        <w:rPr>
          <w:rFonts w:ascii="Times New Roman" w:hAnsi="Times New Roman" w:cs="Times New Roman"/>
          <w:i/>
        </w:rPr>
        <w:t>The Assessment Report on pollinators, pollination and food production. Summary for policymakers</w:t>
      </w:r>
      <w:r w:rsidRPr="009B0448">
        <w:rPr>
          <w:rFonts w:ascii="Times New Roman" w:hAnsi="Times New Roman" w:cs="Times New Roman"/>
        </w:rPr>
        <w:t xml:space="preserve">. S. G. Potts, ,V. L. Imperatriz-Fonseca, H. T. Ngo, J. C. Biesmeijer, T. D. Breeze, L. V. Dicks, L. A. Garibaldi, R. Hill, J. Settele, A. J. Vanbergen, M. A. Aizen, S. A. Cunningham, C. Eardley, B. M. Freitas, N. Gallai, P. G. Kevan, A. Kovács-Hostyászki, P. K. Kwapong, J. Li, X. Li, D. J. Martins, G. Nates-Parra, J. S. Pettis, R. Rader, &amp; B. F. Viana (Eds.). Bonn, Germany: Secretariat of the Intergovernmental Science-Policy Platform on Biodiversity and Ecosystem Services. Retrieved from </w:t>
      </w:r>
      <w:hyperlink r:id="rId522" w:history="1">
        <w:r w:rsidRPr="009B0448">
          <w:rPr>
            <w:rStyle w:val="Hyperlink"/>
            <w:rFonts w:ascii="Times New Roman" w:hAnsi="Times New Roman" w:cs="Times New Roman"/>
          </w:rPr>
          <w:t>https://www.ipbes.net/search?query=%20sites%20default%20files%20downloads%20pdf%20spm_deliverable_3a_pollination_20170222.pdf</w:t>
        </w:r>
      </w:hyperlink>
      <w:r w:rsidRPr="009B0448">
        <w:rPr>
          <w:rFonts w:ascii="Times New Roman" w:hAnsi="Times New Roman" w:cs="Times New Roman"/>
        </w:rPr>
        <w:t xml:space="preserve"> </w:t>
      </w:r>
    </w:p>
    <w:p w14:paraId="7C255B0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IPBES/5/INF/24. (2017). </w:t>
      </w:r>
      <w:r w:rsidRPr="009B0448">
        <w:rPr>
          <w:rFonts w:ascii="Times New Roman" w:hAnsi="Times New Roman" w:cs="Times New Roman"/>
          <w:i/>
        </w:rPr>
        <w:t>Update on the classification of nature’s contributions to people by the Intergovernmental Science-Policy Platform on Biodiversity and Ecosystem Services</w:t>
      </w:r>
      <w:r w:rsidRPr="009B0448">
        <w:rPr>
          <w:rFonts w:ascii="Times New Roman" w:hAnsi="Times New Roman" w:cs="Times New Roman"/>
        </w:rPr>
        <w:t xml:space="preserve">. Bonn, Germany: IPBES Secretariat. Retrieved from </w:t>
      </w:r>
      <w:hyperlink r:id="rId523" w:history="1">
        <w:r w:rsidRPr="009B0448">
          <w:rPr>
            <w:rStyle w:val="Hyperlink"/>
            <w:rFonts w:ascii="Times New Roman" w:hAnsi="Times New Roman" w:cs="Times New Roman"/>
          </w:rPr>
          <w:t>http://www.ipbes.net/sites/default/files/downloads/pdf/ipbes-5-inf-24.pdf</w:t>
        </w:r>
      </w:hyperlink>
      <w:r w:rsidRPr="009B0448">
        <w:rPr>
          <w:rFonts w:ascii="Times New Roman" w:hAnsi="Times New Roman" w:cs="Times New Roman"/>
        </w:rPr>
        <w:t xml:space="preserve"> </w:t>
      </w:r>
    </w:p>
    <w:p w14:paraId="4022F38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IPCC. (2007). Summary for policymakers. In S. Solomon, D. Qin, M. Manning, Z. Chen, M. Marquis, K. B. Averyt, M. Tignor, &amp; H. L. Miller (Eds.), </w:t>
      </w:r>
      <w:r w:rsidRPr="009B0448">
        <w:rPr>
          <w:rFonts w:ascii="Times New Roman" w:hAnsi="Times New Roman" w:cs="Times New Roman"/>
          <w:i/>
        </w:rPr>
        <w:t>Climate change 2007: The physical science basis. Contribution of working group I to the Fourth Assessment Report of the Intergovernmental Panel on Climate Change</w:t>
      </w:r>
      <w:r w:rsidRPr="009B0448">
        <w:rPr>
          <w:rFonts w:ascii="Times New Roman" w:hAnsi="Times New Roman" w:cs="Times New Roman"/>
        </w:rPr>
        <w:t xml:space="preserve">. Cambridge, UK: Cambridge University Press. Retrieved from </w:t>
      </w:r>
      <w:hyperlink r:id="rId524" w:history="1">
        <w:r w:rsidRPr="009B0448">
          <w:rPr>
            <w:rStyle w:val="Hyperlink"/>
            <w:rFonts w:ascii="Times New Roman" w:hAnsi="Times New Roman" w:cs="Times New Roman"/>
          </w:rPr>
          <w:t>http://repository.icse.utah.edu/dspace/bitstream/123456789/9951/1/ClimateChange2007-1.pdf</w:t>
        </w:r>
      </w:hyperlink>
      <w:r w:rsidRPr="009B0448">
        <w:rPr>
          <w:rFonts w:ascii="Times New Roman" w:hAnsi="Times New Roman" w:cs="Times New Roman"/>
        </w:rPr>
        <w:t xml:space="preserve"> </w:t>
      </w:r>
    </w:p>
    <w:p w14:paraId="17E5CBA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ISO. (2016). </w:t>
      </w:r>
      <w:r w:rsidRPr="009B0448">
        <w:rPr>
          <w:rFonts w:ascii="Times New Roman" w:hAnsi="Times New Roman" w:cs="Times New Roman"/>
          <w:i/>
        </w:rPr>
        <w:t>International Standard ISO 7027–1:2016(E): Water quality–determination of turbidity. Part 1: quantitative methods</w:t>
      </w:r>
      <w:r w:rsidRPr="009B0448">
        <w:rPr>
          <w:rFonts w:ascii="Times New Roman" w:hAnsi="Times New Roman" w:cs="Times New Roman"/>
        </w:rPr>
        <w:t xml:space="preserve">. Retrieved from </w:t>
      </w:r>
      <w:hyperlink r:id="rId525" w:history="1">
        <w:r w:rsidRPr="009B0448">
          <w:rPr>
            <w:rStyle w:val="Hyperlink"/>
            <w:rFonts w:ascii="Times New Roman" w:hAnsi="Times New Roman" w:cs="Times New Roman"/>
          </w:rPr>
          <w:t>https://www.iso.org/standard/62801.html</w:t>
        </w:r>
      </w:hyperlink>
      <w:r w:rsidRPr="009B0448">
        <w:rPr>
          <w:rFonts w:ascii="Times New Roman" w:hAnsi="Times New Roman" w:cs="Times New Roman"/>
        </w:rPr>
        <w:t xml:space="preserve"> </w:t>
      </w:r>
    </w:p>
    <w:p w14:paraId="65C37DD1"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IRENA. (2016). </w:t>
      </w:r>
      <w:r w:rsidRPr="009B0448">
        <w:rPr>
          <w:rFonts w:ascii="Times New Roman" w:hAnsi="Times New Roman" w:cs="Times New Roman"/>
          <w:i/>
        </w:rPr>
        <w:t>Renewable energy benefits: Measuring the economics</w:t>
      </w:r>
      <w:r w:rsidRPr="009B0448">
        <w:rPr>
          <w:rFonts w:ascii="Times New Roman" w:hAnsi="Times New Roman" w:cs="Times New Roman"/>
        </w:rPr>
        <w:t xml:space="preserve">. Abu Dhabi: IRENA. Retrieved from </w:t>
      </w:r>
      <w:hyperlink r:id="rId526" w:history="1">
        <w:r w:rsidRPr="009B0448">
          <w:rPr>
            <w:rStyle w:val="Hyperlink"/>
            <w:rFonts w:ascii="Times New Roman" w:hAnsi="Times New Roman" w:cs="Times New Roman"/>
          </w:rPr>
          <w:t>http://www.irena.org/documentdownloads/publications/irena_measuring-the-economics_2016.pdf</w:t>
        </w:r>
      </w:hyperlink>
      <w:r w:rsidRPr="009B0448">
        <w:rPr>
          <w:rFonts w:ascii="Times New Roman" w:hAnsi="Times New Roman" w:cs="Times New Roman"/>
        </w:rPr>
        <w:t xml:space="preserve"> </w:t>
      </w:r>
    </w:p>
    <w:p w14:paraId="17BEB031"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IRENA. (2017). </w:t>
      </w:r>
      <w:r w:rsidRPr="009B0448">
        <w:rPr>
          <w:rFonts w:ascii="Times New Roman" w:hAnsi="Times New Roman" w:cs="Times New Roman"/>
          <w:i/>
        </w:rPr>
        <w:t>Biofuel potential in sub-Saharan Africa: Raising food yields, reducing food waste and utilising residues</w:t>
      </w:r>
      <w:r w:rsidRPr="009B0448">
        <w:rPr>
          <w:rFonts w:ascii="Times New Roman" w:hAnsi="Times New Roman" w:cs="Times New Roman"/>
        </w:rPr>
        <w:t xml:space="preserve">. Abu Dhabi: IRENA. Retrieved from </w:t>
      </w:r>
      <w:hyperlink r:id="rId527" w:history="1">
        <w:r w:rsidRPr="009B0448">
          <w:rPr>
            <w:rStyle w:val="Hyperlink"/>
            <w:rFonts w:ascii="Times New Roman" w:hAnsi="Times New Roman" w:cs="Times New Roman"/>
          </w:rPr>
          <w:t>http://www.irena.org/-/media/Files/IRENA/Agency/Publication/2017/Nov/IRENA_Biofuel_potential_sub-Saharan_Africa_2017.pdf</w:t>
        </w:r>
      </w:hyperlink>
      <w:r w:rsidRPr="009B0448">
        <w:rPr>
          <w:rFonts w:ascii="Times New Roman" w:hAnsi="Times New Roman" w:cs="Times New Roman"/>
        </w:rPr>
        <w:t xml:space="preserve"> </w:t>
      </w:r>
    </w:p>
    <w:p w14:paraId="097A058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James, G. K., Adegoke, J. O., Osagie, S., Ekechukwu, S., Nwilo, P., &amp; Akinyede, J. (2013). Social valuation of mangroves in the Niger Delta region of Nigeria. </w:t>
      </w:r>
      <w:r w:rsidRPr="009B0448">
        <w:rPr>
          <w:rFonts w:ascii="Times New Roman" w:hAnsi="Times New Roman" w:cs="Times New Roman"/>
          <w:i/>
        </w:rPr>
        <w:t>International Journal of Biodiversity Science, Ecosystem Services &amp; Management, 9</w:t>
      </w:r>
      <w:r w:rsidRPr="009B0448">
        <w:rPr>
          <w:rFonts w:ascii="Times New Roman" w:hAnsi="Times New Roman" w:cs="Times New Roman"/>
        </w:rPr>
        <w:t xml:space="preserve">(4), 311–323. </w:t>
      </w:r>
      <w:hyperlink r:id="rId528" w:history="1">
        <w:r w:rsidRPr="009B0448">
          <w:rPr>
            <w:rStyle w:val="Hyperlink"/>
            <w:rFonts w:ascii="Times New Roman" w:hAnsi="Times New Roman" w:cs="Times New Roman"/>
          </w:rPr>
          <w:t>https://doi.org/10.1080/21513732.2013.842611</w:t>
        </w:r>
      </w:hyperlink>
      <w:r w:rsidRPr="009B0448">
        <w:rPr>
          <w:rFonts w:ascii="Times New Roman" w:hAnsi="Times New Roman" w:cs="Times New Roman"/>
        </w:rPr>
        <w:t xml:space="preserve"> </w:t>
      </w:r>
    </w:p>
    <w:p w14:paraId="293372C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Jaramillo, V. J., Kauffman, J. B., Rentería-Rodriguez, l., Cummings, D. L., &amp; Ellingson, L. J. (2003). Biomass, carbon, and nitrogen pools in Mexican tropical dry forest landscapes. </w:t>
      </w:r>
      <w:r w:rsidRPr="009B0448">
        <w:rPr>
          <w:rFonts w:ascii="Times New Roman" w:hAnsi="Times New Roman" w:cs="Times New Roman"/>
          <w:i/>
        </w:rPr>
        <w:t>Ecosystems, 6</w:t>
      </w:r>
      <w:r w:rsidRPr="009B0448">
        <w:rPr>
          <w:rFonts w:ascii="Times New Roman" w:hAnsi="Times New Roman" w:cs="Times New Roman"/>
        </w:rPr>
        <w:t xml:space="preserve">, 609–629. </w:t>
      </w:r>
      <w:hyperlink r:id="rId529" w:history="1">
        <w:r w:rsidRPr="009B0448">
          <w:rPr>
            <w:rStyle w:val="Hyperlink"/>
            <w:rFonts w:ascii="Times New Roman" w:hAnsi="Times New Roman" w:cs="Times New Roman"/>
          </w:rPr>
          <w:t>https://doi.org/10.1007/s10021-002-0195-4</w:t>
        </w:r>
      </w:hyperlink>
      <w:r w:rsidRPr="009B0448">
        <w:rPr>
          <w:rFonts w:ascii="Times New Roman" w:hAnsi="Times New Roman" w:cs="Times New Roman"/>
        </w:rPr>
        <w:t xml:space="preserve"> </w:t>
      </w:r>
    </w:p>
    <w:p w14:paraId="35C5EDA4"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Kakonge, J. O. (1995). Traditional African values and their use in inlplementing Agenda 21. </w:t>
      </w:r>
      <w:r w:rsidRPr="009B0448">
        <w:rPr>
          <w:rFonts w:ascii="Times New Roman" w:hAnsi="Times New Roman" w:cs="Times New Roman"/>
          <w:i/>
        </w:rPr>
        <w:t>Indigenous Knowledge and Development Monitor, 3</w:t>
      </w:r>
      <w:r w:rsidRPr="009B0448">
        <w:rPr>
          <w:rFonts w:ascii="Times New Roman" w:hAnsi="Times New Roman" w:cs="Times New Roman"/>
        </w:rPr>
        <w:t>(2), 19–22.</w:t>
      </w:r>
    </w:p>
    <w:p w14:paraId="053A87C5"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Kalaba, F. K., Quinn, C., &amp; Dougil, A. (2013). Contribution of forest provisioning ecosystem services to rural livelihoods in the Miombo woodlands of Zambia. </w:t>
      </w:r>
      <w:r w:rsidRPr="009B0448">
        <w:rPr>
          <w:rFonts w:ascii="Times New Roman" w:hAnsi="Times New Roman" w:cs="Times New Roman"/>
          <w:i/>
        </w:rPr>
        <w:t>Population and Environment, 35</w:t>
      </w:r>
      <w:r w:rsidRPr="009B0448">
        <w:rPr>
          <w:rFonts w:ascii="Times New Roman" w:hAnsi="Times New Roman" w:cs="Times New Roman"/>
        </w:rPr>
        <w:t xml:space="preserve">(2), 159–182. </w:t>
      </w:r>
      <w:hyperlink r:id="rId530" w:history="1">
        <w:r w:rsidRPr="009B0448">
          <w:rPr>
            <w:rStyle w:val="Hyperlink"/>
            <w:rFonts w:ascii="Times New Roman" w:hAnsi="Times New Roman" w:cs="Times New Roman"/>
          </w:rPr>
          <w:t>https://doi.org/10.1007/s11111-013-0189-5</w:t>
        </w:r>
      </w:hyperlink>
      <w:r w:rsidRPr="009B0448">
        <w:rPr>
          <w:rFonts w:ascii="Times New Roman" w:hAnsi="Times New Roman" w:cs="Times New Roman"/>
        </w:rPr>
        <w:t xml:space="preserve"> </w:t>
      </w:r>
    </w:p>
    <w:p w14:paraId="3177463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Kane, D., &amp; Solutions, L. L. C. (2015). </w:t>
      </w:r>
      <w:r w:rsidRPr="009B0448">
        <w:rPr>
          <w:rFonts w:ascii="Times New Roman" w:hAnsi="Times New Roman" w:cs="Times New Roman"/>
          <w:i/>
        </w:rPr>
        <w:t>Carbon sequestration potential on agricultural lands: A review of current science and available practices</w:t>
      </w:r>
      <w:r w:rsidRPr="009B0448">
        <w:rPr>
          <w:rFonts w:ascii="Times New Roman" w:hAnsi="Times New Roman" w:cs="Times New Roman"/>
        </w:rPr>
        <w:t xml:space="preserve">. Washington, DC: National Sustainable Agriculture Coalition. Retrieved from </w:t>
      </w:r>
      <w:hyperlink r:id="rId531" w:history="1">
        <w:r w:rsidRPr="009B0448">
          <w:rPr>
            <w:rStyle w:val="Hyperlink"/>
            <w:rFonts w:ascii="Times New Roman" w:hAnsi="Times New Roman" w:cs="Times New Roman"/>
          </w:rPr>
          <w:t>http://sustainableagriculture.net/publications</w:t>
        </w:r>
      </w:hyperlink>
    </w:p>
    <w:p w14:paraId="47CD87E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Kaplan, S. (1995). The restorative benefits of nature: Toward an integrative framework. </w:t>
      </w:r>
      <w:r w:rsidRPr="009B0448">
        <w:rPr>
          <w:rFonts w:ascii="Times New Roman" w:hAnsi="Times New Roman" w:cs="Times New Roman"/>
          <w:i/>
        </w:rPr>
        <w:t>Journal of Environmental Psychology, 15</w:t>
      </w:r>
      <w:r w:rsidRPr="009B0448">
        <w:rPr>
          <w:rFonts w:ascii="Times New Roman" w:hAnsi="Times New Roman" w:cs="Times New Roman"/>
        </w:rPr>
        <w:t xml:space="preserve">, 169–182. </w:t>
      </w:r>
      <w:hyperlink r:id="rId532" w:history="1">
        <w:r w:rsidRPr="009B0448">
          <w:rPr>
            <w:rStyle w:val="Hyperlink"/>
            <w:rFonts w:ascii="Times New Roman" w:hAnsi="Times New Roman" w:cs="Times New Roman"/>
          </w:rPr>
          <w:t>https://doi.org/10.1016/0272-4944(95)90001-2</w:t>
        </w:r>
      </w:hyperlink>
    </w:p>
    <w:p w14:paraId="32E4175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Kasisi, R. (2012). Divided we fall: Rethinking biodiversity planning in the context of development in sub-Saharan Africa. </w:t>
      </w:r>
      <w:r w:rsidRPr="009B0448">
        <w:rPr>
          <w:rFonts w:ascii="Times New Roman" w:hAnsi="Times New Roman" w:cs="Times New Roman"/>
          <w:i/>
        </w:rPr>
        <w:t>Journal of Sustainable Development, 5</w:t>
      </w:r>
      <w:r w:rsidRPr="009B0448">
        <w:rPr>
          <w:rFonts w:ascii="Times New Roman" w:hAnsi="Times New Roman" w:cs="Times New Roman"/>
        </w:rPr>
        <w:t xml:space="preserve">(9), 1913–9071. </w:t>
      </w:r>
      <w:hyperlink r:id="rId533" w:history="1">
        <w:r w:rsidRPr="009B0448">
          <w:rPr>
            <w:rStyle w:val="Hyperlink"/>
            <w:rFonts w:ascii="Times New Roman" w:hAnsi="Times New Roman" w:cs="Times New Roman"/>
          </w:rPr>
          <w:t>https://doi.org/10.5539/jsd.v5n9p42</w:t>
        </w:r>
      </w:hyperlink>
    </w:p>
    <w:p w14:paraId="73603DB1"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Kaunga, J. M. O. (2016). The use of indigenous traditional knowledge for ecological and bio-diverse resource management by the Laikipia Maasai and the Samburu. In M. Roué, A. Oteng-Yeboah, P. Kariuki, &amp; Y. Adou (Eds.), </w:t>
      </w:r>
      <w:r w:rsidRPr="009B0448">
        <w:rPr>
          <w:rFonts w:ascii="Times New Roman" w:hAnsi="Times New Roman" w:cs="Times New Roman"/>
          <w:i/>
        </w:rPr>
        <w:t>Indigenous and local knowledge of biodiversity and ecosystems services in Africa: Contributions to an IPBES regional assessment</w:t>
      </w:r>
      <w:r w:rsidRPr="009B0448">
        <w:rPr>
          <w:rFonts w:ascii="Times New Roman" w:hAnsi="Times New Roman" w:cs="Times New Roman"/>
        </w:rPr>
        <w:t xml:space="preserve">. Paris, France: UNESCO. Retrieved from </w:t>
      </w:r>
      <w:hyperlink r:id="rId534" w:history="1">
        <w:r w:rsidRPr="009B0448">
          <w:rPr>
            <w:rStyle w:val="Hyperlink"/>
            <w:rFonts w:ascii="Times New Roman" w:hAnsi="Times New Roman" w:cs="Times New Roman"/>
          </w:rPr>
          <w:t>http://climatefrontlines.org/sites/default/files/ipbes/IPBES_in_Africa_2015.pdf</w:t>
        </w:r>
      </w:hyperlink>
      <w:r w:rsidRPr="009B0448">
        <w:rPr>
          <w:rFonts w:ascii="Times New Roman" w:hAnsi="Times New Roman" w:cs="Times New Roman"/>
        </w:rPr>
        <w:t xml:space="preserve"> </w:t>
      </w:r>
    </w:p>
    <w:p w14:paraId="4E2BAE61" w14:textId="3316C1E2"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Kausch, A. P., Hague, J., Deresienski, A., Tilelli, M., &amp; Nelson, K. (2012). Male sterility and hybrid plant systems for gene confinement. In M. J. Oliver, &amp; Y. Li (Eds.), </w:t>
      </w:r>
      <w:r w:rsidRPr="009B0448">
        <w:rPr>
          <w:rFonts w:ascii="Times New Roman" w:hAnsi="Times New Roman" w:cs="Times New Roman"/>
          <w:i/>
        </w:rPr>
        <w:t>Plant gene containment</w:t>
      </w:r>
      <w:r w:rsidRPr="009B0448">
        <w:rPr>
          <w:rFonts w:ascii="Times New Roman" w:hAnsi="Times New Roman" w:cs="Times New Roman"/>
        </w:rPr>
        <w:t xml:space="preserve">. </w:t>
      </w:r>
      <w:hyperlink r:id="rId535" w:history="1">
        <w:r w:rsidRPr="009B0448">
          <w:rPr>
            <w:rStyle w:val="Hyperlink"/>
            <w:rFonts w:ascii="Times New Roman" w:hAnsi="Times New Roman" w:cs="Times New Roman"/>
          </w:rPr>
          <w:t>https://doi.org/10.1002/9781118352670.ch6</w:t>
        </w:r>
      </w:hyperlink>
    </w:p>
    <w:p w14:paraId="7CCD9B79" w14:textId="42A445CE"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Kehlenbeck, K., &amp; Jamnadass, R. (2014). Chapter 6.2.1: Food and nutrition–fruits, nuts, vegetables and staples from trees. In J. De Leeuw, M. Njenga, B. Wagner &amp; M. Iiyama (Eds.), </w:t>
      </w:r>
      <w:r w:rsidRPr="009B0448">
        <w:rPr>
          <w:rFonts w:ascii="Times New Roman" w:hAnsi="Times New Roman" w:cs="Times New Roman"/>
          <w:i/>
        </w:rPr>
        <w:t>Treesilience: An assessment of the resilience provided by trees in the drylands of eastern Africa</w:t>
      </w:r>
      <w:r w:rsidRPr="009B0448">
        <w:rPr>
          <w:rFonts w:ascii="Times New Roman" w:hAnsi="Times New Roman" w:cs="Times New Roman"/>
        </w:rPr>
        <w:t xml:space="preserve">. Nairobi, Kenya: World Agroforestry Centre. Retrieved from </w:t>
      </w:r>
      <w:hyperlink r:id="rId536" w:history="1">
        <w:r w:rsidRPr="009B0448">
          <w:rPr>
            <w:rStyle w:val="Hyperlink"/>
            <w:rFonts w:ascii="Times New Roman" w:hAnsi="Times New Roman" w:cs="Times New Roman"/>
          </w:rPr>
          <w:t>http://www.worldagroforestry.org/knofordocs/Treesilience_Book_2014.pdf</w:t>
        </w:r>
      </w:hyperlink>
    </w:p>
    <w:p w14:paraId="76D261C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Keiser, J., Singer, B. H., &amp; Utzinger J. (2005). Reducing the burden of malaria in different eco-epidemiological settings with environmental management: A systematic review</w:t>
      </w:r>
      <w:r w:rsidRPr="009B0448">
        <w:rPr>
          <w:rFonts w:ascii="Times New Roman" w:hAnsi="Times New Roman" w:cs="Times New Roman"/>
          <w:i/>
        </w:rPr>
        <w:t>. Lancet Infect Dis, 5</w:t>
      </w:r>
      <w:r w:rsidRPr="009B0448">
        <w:rPr>
          <w:rFonts w:ascii="Times New Roman" w:hAnsi="Times New Roman" w:cs="Times New Roman"/>
        </w:rPr>
        <w:t xml:space="preserve">(11), 695–708. </w:t>
      </w:r>
      <w:hyperlink r:id="rId537" w:history="1">
        <w:r w:rsidRPr="009B0448">
          <w:rPr>
            <w:rStyle w:val="Hyperlink"/>
            <w:rFonts w:ascii="Times New Roman" w:hAnsi="Times New Roman" w:cs="Times New Roman"/>
          </w:rPr>
          <w:t>https://doi.org/10.1016/S1473-3099(05)70268-1</w:t>
        </w:r>
      </w:hyperlink>
    </w:p>
    <w:p w14:paraId="7FFEBE3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Keune, H., Kretsch, C., De Blust, G., Gilbert, M., Flandroy, L., Van Den Berge, K., Versteirt, V., Hartig, T., De Keersmaecker, L., Eggermont, H., &amp; Brosens, D. (2013). Science-policy challenges for biodiversity, public health and urbanization: Examples from Belgium. </w:t>
      </w:r>
      <w:r w:rsidRPr="009B0448">
        <w:rPr>
          <w:rFonts w:ascii="Times New Roman" w:hAnsi="Times New Roman" w:cs="Times New Roman"/>
          <w:i/>
        </w:rPr>
        <w:t>Environmental Research Letters, 8</w:t>
      </w:r>
      <w:r w:rsidRPr="009B0448">
        <w:rPr>
          <w:rFonts w:ascii="Times New Roman" w:hAnsi="Times New Roman" w:cs="Times New Roman"/>
        </w:rPr>
        <w:t xml:space="preserve">(2), 025015. </w:t>
      </w:r>
      <w:hyperlink r:id="rId538" w:history="1">
        <w:r w:rsidRPr="009B0448">
          <w:rPr>
            <w:rStyle w:val="Hyperlink"/>
            <w:rFonts w:ascii="Times New Roman" w:hAnsi="Times New Roman" w:cs="Times New Roman"/>
          </w:rPr>
          <w:t>https://doi.org/10.1088/1748-9326/8/2/025015</w:t>
        </w:r>
      </w:hyperlink>
      <w:r w:rsidRPr="009B0448">
        <w:rPr>
          <w:rFonts w:ascii="Times New Roman" w:hAnsi="Times New Roman" w:cs="Times New Roman"/>
        </w:rPr>
        <w:t xml:space="preserve"> </w:t>
      </w:r>
    </w:p>
    <w:p w14:paraId="6AD49F4B" w14:textId="0B18D0F9"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Kimaro, J., &amp; Lulandala, L. (2013). Contribution of non-timber forest products to poverty alleviation and forest conservation in Rufiji District-Tanzania. </w:t>
      </w:r>
      <w:r w:rsidRPr="009B0448">
        <w:rPr>
          <w:rFonts w:ascii="Times New Roman" w:hAnsi="Times New Roman" w:cs="Times New Roman"/>
          <w:i/>
        </w:rPr>
        <w:t>Journal of Livestock Research for Rural Development, 12</w:t>
      </w:r>
      <w:r w:rsidRPr="009B0448">
        <w:rPr>
          <w:rFonts w:ascii="Times New Roman" w:hAnsi="Times New Roman" w:cs="Times New Roman"/>
        </w:rPr>
        <w:t xml:space="preserve">(92). </w:t>
      </w:r>
      <w:hyperlink r:id="rId539" w:history="1">
        <w:r w:rsidRPr="009B0448">
          <w:rPr>
            <w:rStyle w:val="Hyperlink"/>
            <w:rFonts w:ascii="Times New Roman" w:hAnsi="Times New Roman" w:cs="Times New Roman"/>
          </w:rPr>
          <w:t>https://doi.org/10.1080/09709274.2010.11906305</w:t>
        </w:r>
      </w:hyperlink>
    </w:p>
    <w:p w14:paraId="79EFF38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Klaus, R., Failler, P., &amp; McClean, B. (2017). </w:t>
      </w:r>
      <w:r w:rsidRPr="009B0448">
        <w:rPr>
          <w:rFonts w:ascii="Times New Roman" w:hAnsi="Times New Roman" w:cs="Times New Roman"/>
          <w:i/>
        </w:rPr>
        <w:t>Inputs for the design of an EU strategic approach to the coastal and marine biodiversity in Africa, North Eastern Africa–Red Sea and Gulf of Aden. Larger than whales</w:t>
      </w:r>
      <w:r w:rsidRPr="009B0448">
        <w:rPr>
          <w:rFonts w:ascii="Times New Roman" w:hAnsi="Times New Roman" w:cs="Times New Roman"/>
        </w:rPr>
        <w:t>. Brussels, Belgium: B4Life Programme.</w:t>
      </w:r>
    </w:p>
    <w:p w14:paraId="055FA3C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Kone, I., Lambert, J. E., Refisch, J., &amp; Bakayoko, A. (2008). Primate seed dispersal and its potential role in maintaining useful tree species in the Tai region, Cote-d’Ivoire: Implications for the conservation of forest fragments. </w:t>
      </w:r>
      <w:r w:rsidRPr="009B0448">
        <w:rPr>
          <w:rFonts w:ascii="Times New Roman" w:hAnsi="Times New Roman" w:cs="Times New Roman"/>
          <w:i/>
        </w:rPr>
        <w:t>Tropical Conservation Science, 1</w:t>
      </w:r>
      <w:r w:rsidRPr="009B0448">
        <w:rPr>
          <w:rFonts w:ascii="Times New Roman" w:hAnsi="Times New Roman" w:cs="Times New Roman"/>
        </w:rPr>
        <w:t xml:space="preserve">, 293–306. Retrieved from </w:t>
      </w:r>
      <w:hyperlink r:id="rId540" w:history="1">
        <w:r w:rsidRPr="009B0448">
          <w:rPr>
            <w:rStyle w:val="Hyperlink"/>
            <w:rFonts w:ascii="Times New Roman" w:hAnsi="Times New Roman" w:cs="Times New Roman"/>
          </w:rPr>
          <w:t>https://tropicalconservationscience.mongabay.com/content/v1/08-09-15-Kone_et_al_293-306_2008.pdf</w:t>
        </w:r>
      </w:hyperlink>
      <w:r w:rsidRPr="009B0448">
        <w:rPr>
          <w:rFonts w:ascii="Times New Roman" w:hAnsi="Times New Roman" w:cs="Times New Roman"/>
        </w:rPr>
        <w:t xml:space="preserve"> </w:t>
      </w:r>
    </w:p>
    <w:p w14:paraId="411A88E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Kouassi, K. I., Barot, S., Gignoux, J., &amp; Zoro-Bi, I. A. (2008). Demography and life history of two rattan species, </w:t>
      </w:r>
      <w:r w:rsidRPr="009B0448">
        <w:rPr>
          <w:rFonts w:ascii="Times New Roman" w:hAnsi="Times New Roman" w:cs="Times New Roman"/>
          <w:i/>
        </w:rPr>
        <w:t>Eremospatha Macrocarpa</w:t>
      </w:r>
      <w:r w:rsidRPr="009B0448">
        <w:rPr>
          <w:rFonts w:ascii="Times New Roman" w:hAnsi="Times New Roman" w:cs="Times New Roman"/>
        </w:rPr>
        <w:t xml:space="preserve"> and </w:t>
      </w:r>
      <w:r w:rsidRPr="009B0448">
        <w:rPr>
          <w:rFonts w:ascii="Times New Roman" w:hAnsi="Times New Roman" w:cs="Times New Roman"/>
          <w:i/>
        </w:rPr>
        <w:t>Laccosperma Secundiflorum</w:t>
      </w:r>
      <w:r w:rsidRPr="009B0448">
        <w:rPr>
          <w:rFonts w:ascii="Times New Roman" w:hAnsi="Times New Roman" w:cs="Times New Roman"/>
        </w:rPr>
        <w:t xml:space="preserve">, in Cote d’Ivoire. </w:t>
      </w:r>
      <w:r w:rsidRPr="009B0448">
        <w:rPr>
          <w:rFonts w:ascii="Times New Roman" w:hAnsi="Times New Roman" w:cs="Times New Roman"/>
          <w:i/>
        </w:rPr>
        <w:t>Journal of Tropical Ecology, 24</w:t>
      </w:r>
      <w:r w:rsidRPr="009B0448">
        <w:rPr>
          <w:rFonts w:ascii="Times New Roman" w:hAnsi="Times New Roman" w:cs="Times New Roman"/>
        </w:rPr>
        <w:t xml:space="preserve">(5), 493. </w:t>
      </w:r>
      <w:hyperlink r:id="rId541" w:history="1">
        <w:r w:rsidRPr="009B0448">
          <w:rPr>
            <w:rStyle w:val="Hyperlink"/>
            <w:rFonts w:ascii="Times New Roman" w:hAnsi="Times New Roman" w:cs="Times New Roman"/>
          </w:rPr>
          <w:t>https://doi.org/10.1017/S0266467408005312</w:t>
        </w:r>
      </w:hyperlink>
      <w:r w:rsidRPr="009B0448">
        <w:rPr>
          <w:rFonts w:ascii="Times New Roman" w:hAnsi="Times New Roman" w:cs="Times New Roman"/>
        </w:rPr>
        <w:t xml:space="preserve"> </w:t>
      </w:r>
    </w:p>
    <w:p w14:paraId="32037CBC" w14:textId="52159A13"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Kretsch, C., &amp; Keune, H. (2016). Ecosystem services and human health. In M. Potschin, &amp; K. Jax (Eds.), </w:t>
      </w:r>
      <w:r w:rsidRPr="009B0448">
        <w:rPr>
          <w:rFonts w:ascii="Times New Roman" w:hAnsi="Times New Roman" w:cs="Times New Roman"/>
          <w:i/>
        </w:rPr>
        <w:t>OpenNESS ecosystem services reference book</w:t>
      </w:r>
      <w:r w:rsidRPr="009B0448">
        <w:rPr>
          <w:rFonts w:ascii="Times New Roman" w:hAnsi="Times New Roman" w:cs="Times New Roman"/>
        </w:rPr>
        <w:t xml:space="preserve">. Retrieved from </w:t>
      </w:r>
      <w:hyperlink r:id="rId542" w:history="1">
        <w:r w:rsidRPr="009B0448">
          <w:rPr>
            <w:rStyle w:val="Hyperlink"/>
            <w:rFonts w:ascii="Times New Roman" w:hAnsi="Times New Roman" w:cs="Times New Roman"/>
          </w:rPr>
          <w:t>http://www.openness-project.eu/library/reference-book</w:t>
        </w:r>
      </w:hyperlink>
    </w:p>
    <w:p w14:paraId="4AD4F83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Kronborg, H., Foverskov, E., &amp; Væth, M. (2014). Predictors for early introduction of solid food among Danish mothers and infants: An observational study. </w:t>
      </w:r>
      <w:r w:rsidRPr="009B0448">
        <w:rPr>
          <w:rFonts w:ascii="Times New Roman" w:hAnsi="Times New Roman" w:cs="Times New Roman"/>
          <w:i/>
        </w:rPr>
        <w:t>BMC pediatrics, 14</w:t>
      </w:r>
      <w:r w:rsidRPr="009B0448">
        <w:rPr>
          <w:rFonts w:ascii="Times New Roman" w:hAnsi="Times New Roman" w:cs="Times New Roman"/>
        </w:rPr>
        <w:t xml:space="preserve">(1), 243. </w:t>
      </w:r>
      <w:hyperlink r:id="rId543" w:history="1">
        <w:r w:rsidRPr="009B0448">
          <w:rPr>
            <w:rStyle w:val="Hyperlink"/>
            <w:rFonts w:ascii="Times New Roman" w:hAnsi="Times New Roman" w:cs="Times New Roman"/>
          </w:rPr>
          <w:t>https://doi.org/10.1186/1471-2431-14-243</w:t>
        </w:r>
      </w:hyperlink>
      <w:r w:rsidRPr="009B0448">
        <w:rPr>
          <w:rFonts w:ascii="Times New Roman" w:hAnsi="Times New Roman" w:cs="Times New Roman"/>
        </w:rPr>
        <w:t xml:space="preserve"> </w:t>
      </w:r>
    </w:p>
    <w:p w14:paraId="6743072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Lambini, C. K., &amp; Nguyen, T. T. (2014). A comparative analysis of the effects of institutional property rights on forest livelihoods and forest conditions: Evidence from Ghana and Vietnam. </w:t>
      </w:r>
      <w:r w:rsidRPr="009B0448">
        <w:rPr>
          <w:rFonts w:ascii="Times New Roman" w:hAnsi="Times New Roman" w:cs="Times New Roman"/>
          <w:i/>
        </w:rPr>
        <w:t>Forest Policy and Economics, 38</w:t>
      </w:r>
      <w:r w:rsidRPr="009B0448">
        <w:rPr>
          <w:rFonts w:ascii="Times New Roman" w:hAnsi="Times New Roman" w:cs="Times New Roman"/>
        </w:rPr>
        <w:t xml:space="preserve">, 178–190. </w:t>
      </w:r>
      <w:hyperlink r:id="rId544" w:history="1">
        <w:r w:rsidRPr="009B0448">
          <w:rPr>
            <w:rStyle w:val="Hyperlink"/>
            <w:rFonts w:ascii="Times New Roman" w:hAnsi="Times New Roman" w:cs="Times New Roman"/>
          </w:rPr>
          <w:t>https://doi.org/10.1016/j.forpol.2013.09.006</w:t>
        </w:r>
      </w:hyperlink>
      <w:r w:rsidRPr="009B0448">
        <w:rPr>
          <w:rFonts w:ascii="Times New Roman" w:hAnsi="Times New Roman" w:cs="Times New Roman"/>
        </w:rPr>
        <w:t xml:space="preserve"> </w:t>
      </w:r>
    </w:p>
    <w:p w14:paraId="1175833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Lavorel, S., &amp; Grigulis, K. (2012). How fundamental plant functional trait relationships scale-up to trade-offs and synergies in ecosystem services. </w:t>
      </w:r>
      <w:r w:rsidRPr="009B0448">
        <w:rPr>
          <w:rFonts w:ascii="Times New Roman" w:hAnsi="Times New Roman" w:cs="Times New Roman"/>
          <w:i/>
        </w:rPr>
        <w:t>Journal of Ecology, 100</w:t>
      </w:r>
      <w:r w:rsidRPr="009B0448">
        <w:rPr>
          <w:rFonts w:ascii="Times New Roman" w:hAnsi="Times New Roman" w:cs="Times New Roman"/>
        </w:rPr>
        <w:t xml:space="preserve">, 128–140. </w:t>
      </w:r>
      <w:hyperlink r:id="rId545" w:history="1">
        <w:r w:rsidRPr="009B0448">
          <w:rPr>
            <w:rStyle w:val="Hyperlink"/>
            <w:rFonts w:ascii="Times New Roman" w:hAnsi="Times New Roman" w:cs="Times New Roman"/>
          </w:rPr>
          <w:t>https://doi.org/10.1111/j.1365-2745.2011.01914.x</w:t>
        </w:r>
      </w:hyperlink>
      <w:r w:rsidRPr="009B0448">
        <w:rPr>
          <w:rFonts w:ascii="Times New Roman" w:hAnsi="Times New Roman" w:cs="Times New Roman"/>
        </w:rPr>
        <w:t xml:space="preserve"> </w:t>
      </w:r>
    </w:p>
    <w:p w14:paraId="6436882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Lesueur, D., &amp; Ducousso, M. (1995). </w:t>
      </w:r>
      <w:r w:rsidRPr="009B0448">
        <w:rPr>
          <w:rFonts w:ascii="Times New Roman" w:hAnsi="Times New Roman" w:cs="Times New Roman"/>
          <w:i/>
        </w:rPr>
        <w:t>Étude des associations symbiotiques dans les essais agroforestiers réalisés dans les stations d’Oumé et de Korhogo en Côte d’Ivoire</w:t>
      </w:r>
      <w:r w:rsidRPr="009B0448">
        <w:rPr>
          <w:rFonts w:ascii="Times New Roman" w:hAnsi="Times New Roman" w:cs="Times New Roman"/>
        </w:rPr>
        <w:t xml:space="preserve">. Montpellier, France: Centre de Coopération Internationale en Recherche Agronomique pour le Développement -Forêt. </w:t>
      </w:r>
    </w:p>
    <w:p w14:paraId="1B111C9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Lévêque, C. (1997). </w:t>
      </w:r>
      <w:r w:rsidRPr="009B0448">
        <w:rPr>
          <w:rFonts w:ascii="Times New Roman" w:hAnsi="Times New Roman" w:cs="Times New Roman"/>
          <w:i/>
        </w:rPr>
        <w:t>The freshwater fish of tropical Africa. In biodiversity dynamics and conservation</w:t>
      </w:r>
      <w:r w:rsidRPr="009B0448">
        <w:rPr>
          <w:rFonts w:ascii="Times New Roman" w:hAnsi="Times New Roman" w:cs="Times New Roman"/>
        </w:rPr>
        <w:t>. Cambridge, UK: Cambridge University Press.</w:t>
      </w:r>
    </w:p>
    <w:p w14:paraId="7A8305C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Lewis, S. L., Malhi, Y., &amp; Phillips, O. L. (2004). Fingerprinting the impacts of global change on tropical forests. </w:t>
      </w:r>
      <w:r w:rsidRPr="009B0448">
        <w:rPr>
          <w:rFonts w:ascii="Times New Roman" w:hAnsi="Times New Roman" w:cs="Times New Roman"/>
          <w:i/>
        </w:rPr>
        <w:t>Philosophical Transactions of the Royal Society B: Biological Sciences, 359</w:t>
      </w:r>
      <w:r w:rsidRPr="009B0448">
        <w:rPr>
          <w:rFonts w:ascii="Times New Roman" w:hAnsi="Times New Roman" w:cs="Times New Roman"/>
        </w:rPr>
        <w:t xml:space="preserve">(1443), 437–462. </w:t>
      </w:r>
      <w:hyperlink r:id="rId546" w:history="1">
        <w:r w:rsidRPr="009B0448">
          <w:rPr>
            <w:rStyle w:val="Hyperlink"/>
            <w:rFonts w:ascii="Times New Roman" w:hAnsi="Times New Roman" w:cs="Times New Roman"/>
          </w:rPr>
          <w:t>https://doi.org/10.1098/rstb.2003.1432</w:t>
        </w:r>
      </w:hyperlink>
      <w:r w:rsidRPr="009B0448">
        <w:rPr>
          <w:rFonts w:ascii="Times New Roman" w:hAnsi="Times New Roman" w:cs="Times New Roman"/>
        </w:rPr>
        <w:t xml:space="preserve"> </w:t>
      </w:r>
    </w:p>
    <w:p w14:paraId="0F81883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Lloyd, P., Plagányi, É. E., Weeks, S. J., Magno-Canto, M., &amp; Plagányi, G. (2012). Ocean warming alters species abundance patterns and increases species diversity in an African sub-tropical reef fish community. </w:t>
      </w:r>
      <w:r w:rsidRPr="009B0448">
        <w:rPr>
          <w:rFonts w:ascii="Times New Roman" w:hAnsi="Times New Roman" w:cs="Times New Roman"/>
          <w:i/>
        </w:rPr>
        <w:t>Fisheries Oceanography, 21</w:t>
      </w:r>
      <w:r w:rsidRPr="009B0448">
        <w:rPr>
          <w:rFonts w:ascii="Times New Roman" w:hAnsi="Times New Roman" w:cs="Times New Roman"/>
        </w:rPr>
        <w:t xml:space="preserve">, 78–94. </w:t>
      </w:r>
      <w:hyperlink r:id="rId547" w:history="1">
        <w:r w:rsidRPr="009B0448">
          <w:rPr>
            <w:rStyle w:val="Hyperlink"/>
            <w:rFonts w:ascii="Times New Roman" w:hAnsi="Times New Roman" w:cs="Times New Roman"/>
          </w:rPr>
          <w:t>https://doi.org/10.1111/j.1365-2419.2011.00610.x</w:t>
        </w:r>
      </w:hyperlink>
      <w:r w:rsidRPr="009B0448">
        <w:rPr>
          <w:rFonts w:ascii="Times New Roman" w:hAnsi="Times New Roman" w:cs="Times New Roman"/>
        </w:rPr>
        <w:t xml:space="preserve"> </w:t>
      </w:r>
    </w:p>
    <w:p w14:paraId="7753BFF4"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Locatelli, B. (2016). Ecosystem services and climate change. In M. Potschin, R. Haines</w:t>
      </w:r>
      <w:r w:rsidRPr="009B0448">
        <w:rPr>
          <w:rFonts w:ascii="Cambria Math" w:hAnsi="Cambria Math" w:cs="Cambria Math"/>
        </w:rPr>
        <w:t>‐</w:t>
      </w:r>
      <w:r w:rsidRPr="009B0448">
        <w:rPr>
          <w:rFonts w:ascii="Times New Roman" w:hAnsi="Times New Roman" w:cs="Times New Roman"/>
        </w:rPr>
        <w:t xml:space="preserve">Young, R. Fish, &amp; R. K. Turner, (Eds.), </w:t>
      </w:r>
      <w:r w:rsidRPr="009B0448">
        <w:rPr>
          <w:rFonts w:ascii="Times New Roman" w:hAnsi="Times New Roman" w:cs="Times New Roman"/>
          <w:i/>
        </w:rPr>
        <w:t>Routledge handbook of ecosystem services</w:t>
      </w:r>
      <w:r w:rsidRPr="009B0448">
        <w:rPr>
          <w:rFonts w:ascii="Times New Roman" w:hAnsi="Times New Roman" w:cs="Times New Roman"/>
        </w:rPr>
        <w:t xml:space="preserve"> (pp. 481–490). London, UK: Routlegde. Retrieved from </w:t>
      </w:r>
      <w:hyperlink r:id="rId548" w:history="1">
        <w:r w:rsidRPr="009B0448">
          <w:rPr>
            <w:rStyle w:val="Hyperlink"/>
            <w:rFonts w:ascii="Times New Roman" w:hAnsi="Times New Roman" w:cs="Times New Roman"/>
          </w:rPr>
          <w:t>https://www.routledge.com/products/9781138025080</w:t>
        </w:r>
      </w:hyperlink>
      <w:r w:rsidRPr="009B0448">
        <w:rPr>
          <w:rFonts w:ascii="Times New Roman" w:hAnsi="Times New Roman" w:cs="Times New Roman"/>
        </w:rPr>
        <w:t xml:space="preserve"> </w:t>
      </w:r>
    </w:p>
    <w:p w14:paraId="62F7FE4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Lokossou, A. O., &amp; Bossou, B. (2012). </w:t>
      </w:r>
      <w:r w:rsidRPr="009B0448">
        <w:rPr>
          <w:rFonts w:ascii="Times New Roman" w:hAnsi="Times New Roman" w:cs="Times New Roman"/>
          <w:i/>
        </w:rPr>
        <w:t>Benin’s experience in the management of sacred forests for biodiversity conservation</w:t>
      </w:r>
      <w:r w:rsidRPr="009B0448">
        <w:rPr>
          <w:rFonts w:ascii="Times New Roman" w:hAnsi="Times New Roman" w:cs="Times New Roman"/>
        </w:rPr>
        <w:t xml:space="preserve">. Tokyo, Japan: International Partnership for the Satoyama Initiative. Retrieved from </w:t>
      </w:r>
      <w:hyperlink r:id="rId549" w:history="1">
        <w:r w:rsidRPr="009B0448">
          <w:rPr>
            <w:rStyle w:val="Hyperlink"/>
            <w:rFonts w:ascii="Times New Roman" w:hAnsi="Times New Roman" w:cs="Times New Roman"/>
          </w:rPr>
          <w:t>http://satoyama-initiative.org</w:t>
        </w:r>
      </w:hyperlink>
    </w:p>
    <w:p w14:paraId="5EE2055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Lukamba, M. T. (2010). Natural disasters in African countries: what can we learn about them? The </w:t>
      </w:r>
      <w:r w:rsidRPr="009B0448">
        <w:rPr>
          <w:rFonts w:ascii="Times New Roman" w:hAnsi="Times New Roman" w:cs="Times New Roman"/>
          <w:i/>
        </w:rPr>
        <w:t>Journal for Transdisciplinary Research in Southern Africa, 6</w:t>
      </w:r>
      <w:r w:rsidRPr="009B0448">
        <w:rPr>
          <w:rFonts w:ascii="Times New Roman" w:hAnsi="Times New Roman" w:cs="Times New Roman"/>
        </w:rPr>
        <w:t xml:space="preserve">(2), 478–495. Retrieved from </w:t>
      </w:r>
      <w:hyperlink r:id="rId550" w:history="1">
        <w:r w:rsidRPr="009B0448">
          <w:rPr>
            <w:rStyle w:val="Hyperlink"/>
            <w:rFonts w:ascii="Times New Roman" w:hAnsi="Times New Roman" w:cs="Times New Roman"/>
          </w:rPr>
          <w:t>http://hdl.handle.net/10394/3879</w:t>
        </w:r>
      </w:hyperlink>
      <w:r w:rsidRPr="009B0448">
        <w:rPr>
          <w:rFonts w:ascii="Times New Roman" w:hAnsi="Times New Roman" w:cs="Times New Roman"/>
        </w:rPr>
        <w:t xml:space="preserve"> </w:t>
      </w:r>
    </w:p>
    <w:p w14:paraId="1FF2B80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Lyytimäki, J., &amp; Sipilä, M. (2009). Hopping on one leg–the challenge of ecosystem disservices for urban green management. </w:t>
      </w:r>
      <w:r w:rsidRPr="009B0448">
        <w:rPr>
          <w:rFonts w:ascii="Times New Roman" w:hAnsi="Times New Roman" w:cs="Times New Roman"/>
          <w:i/>
        </w:rPr>
        <w:t>Urban Forestry and</w:t>
      </w:r>
      <w:r w:rsidRPr="009B0448">
        <w:rPr>
          <w:rFonts w:ascii="Times New Roman" w:hAnsi="Times New Roman" w:cs="Times New Roman"/>
        </w:rPr>
        <w:t xml:space="preserve"> </w:t>
      </w:r>
      <w:r w:rsidRPr="009B0448">
        <w:rPr>
          <w:rFonts w:ascii="Times New Roman" w:hAnsi="Times New Roman" w:cs="Times New Roman"/>
          <w:i/>
        </w:rPr>
        <w:t>Urban Green, 8</w:t>
      </w:r>
      <w:r w:rsidRPr="009B0448">
        <w:rPr>
          <w:rFonts w:ascii="Times New Roman" w:hAnsi="Times New Roman" w:cs="Times New Roman"/>
        </w:rPr>
        <w:t xml:space="preserve">(4), 309–315. </w:t>
      </w:r>
      <w:hyperlink r:id="rId551" w:history="1">
        <w:r w:rsidRPr="009B0448">
          <w:rPr>
            <w:rStyle w:val="Hyperlink"/>
            <w:rFonts w:ascii="Times New Roman" w:hAnsi="Times New Roman" w:cs="Times New Roman"/>
          </w:rPr>
          <w:t>https://doi.org/10.1016/j.ufug.2009.09.003</w:t>
        </w:r>
      </w:hyperlink>
      <w:r w:rsidRPr="009B0448">
        <w:rPr>
          <w:rFonts w:ascii="Times New Roman" w:hAnsi="Times New Roman" w:cs="Times New Roman"/>
        </w:rPr>
        <w:t xml:space="preserve"> </w:t>
      </w:r>
    </w:p>
    <w:p w14:paraId="3D8A1EC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MA. (2005). </w:t>
      </w:r>
      <w:r w:rsidRPr="009B0448">
        <w:rPr>
          <w:rFonts w:ascii="Times New Roman" w:hAnsi="Times New Roman" w:cs="Times New Roman"/>
          <w:i/>
        </w:rPr>
        <w:t>Ecosystems and human well-being: Synthesis</w:t>
      </w:r>
      <w:r w:rsidRPr="009B0448">
        <w:rPr>
          <w:rFonts w:ascii="Times New Roman" w:hAnsi="Times New Roman" w:cs="Times New Roman"/>
        </w:rPr>
        <w:t xml:space="preserve">. Washington, DC: Island Press. Retrieved from </w:t>
      </w:r>
      <w:hyperlink r:id="rId552" w:history="1">
        <w:r w:rsidRPr="009B0448">
          <w:rPr>
            <w:rStyle w:val="Hyperlink"/>
            <w:rFonts w:ascii="Times New Roman" w:hAnsi="Times New Roman" w:cs="Times New Roman"/>
          </w:rPr>
          <w:t>https://www.millenniumassessment.org/documents/document.356.aspx.pdf</w:t>
        </w:r>
      </w:hyperlink>
      <w:r w:rsidRPr="009B0448">
        <w:rPr>
          <w:rFonts w:ascii="Times New Roman" w:hAnsi="Times New Roman" w:cs="Times New Roman"/>
        </w:rPr>
        <w:t xml:space="preserve"> </w:t>
      </w:r>
    </w:p>
    <w:p w14:paraId="76CBDAB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Machado, A. (1998). </w:t>
      </w:r>
      <w:r w:rsidRPr="009B0448">
        <w:rPr>
          <w:rFonts w:ascii="Times New Roman" w:hAnsi="Times New Roman" w:cs="Times New Roman"/>
          <w:i/>
        </w:rPr>
        <w:t>Borrador de anteproyecto de ley de areas protegidas de Guinea Ecuatorial</w:t>
      </w:r>
      <w:r w:rsidRPr="009B0448">
        <w:rPr>
          <w:rFonts w:ascii="Times New Roman" w:hAnsi="Times New Roman" w:cs="Times New Roman"/>
        </w:rPr>
        <w:t xml:space="preserve">. Guinea Ecuatorial: Informe Curef. Retrieved from </w:t>
      </w:r>
      <w:hyperlink r:id="rId553" w:history="1">
        <w:r w:rsidRPr="009B0448">
          <w:rPr>
            <w:rStyle w:val="Hyperlink"/>
            <w:rFonts w:ascii="Times New Roman" w:hAnsi="Times New Roman" w:cs="Times New Roman"/>
          </w:rPr>
          <w:t>http://www.antoniomachado.net/wp-content/uploads/pdf/legal/1998-borrador-anteproyecto-ley-areas-protegidas-guinea.p.pdf</w:t>
        </w:r>
      </w:hyperlink>
      <w:r w:rsidRPr="009B0448">
        <w:rPr>
          <w:rFonts w:ascii="Times New Roman" w:hAnsi="Times New Roman" w:cs="Times New Roman"/>
        </w:rPr>
        <w:t xml:space="preserve"> </w:t>
      </w:r>
    </w:p>
    <w:p w14:paraId="059356B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Mahaptara, A., &amp; Mitchell, C. P. (2011). </w:t>
      </w:r>
      <w:r w:rsidRPr="009B0448">
        <w:rPr>
          <w:rFonts w:ascii="Times New Roman" w:hAnsi="Times New Roman" w:cs="Times New Roman"/>
          <w:i/>
        </w:rPr>
        <w:t>Non-timber forest products management problems and prospects: A case study from India</w:t>
      </w:r>
      <w:r w:rsidRPr="009B0448">
        <w:rPr>
          <w:rFonts w:ascii="Times New Roman" w:hAnsi="Times New Roman" w:cs="Times New Roman"/>
        </w:rPr>
        <w:t xml:space="preserve">. Retrieved from </w:t>
      </w:r>
      <w:hyperlink r:id="rId554" w:history="1">
        <w:r w:rsidRPr="009B0448">
          <w:rPr>
            <w:rStyle w:val="Hyperlink"/>
            <w:rFonts w:ascii="Times New Roman" w:hAnsi="Times New Roman" w:cs="Times New Roman"/>
          </w:rPr>
          <w:t>http://www.w3c.org/TR/1999/REC-html401-19991224/loose.dtd</w:t>
        </w:r>
      </w:hyperlink>
    </w:p>
    <w:p w14:paraId="007233B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Mahomoodally, M. F. (2013). Traditional medicines in Africa: An appraisal of ten potent African medicinal plants. </w:t>
      </w:r>
      <w:r w:rsidRPr="009B0448">
        <w:rPr>
          <w:rFonts w:ascii="Times New Roman" w:hAnsi="Times New Roman" w:cs="Times New Roman"/>
          <w:i/>
        </w:rPr>
        <w:t>Evidence-Based Complementary and Alternative Medicine</w:t>
      </w:r>
      <w:r w:rsidRPr="009B0448">
        <w:rPr>
          <w:rFonts w:ascii="Times New Roman" w:hAnsi="Times New Roman" w:cs="Times New Roman"/>
        </w:rPr>
        <w:t>, 1–14.</w:t>
      </w:r>
      <w:hyperlink r:id="rId555" w:history="1">
        <w:r w:rsidRPr="009B0448">
          <w:rPr>
            <w:rStyle w:val="Hyperlink"/>
            <w:rFonts w:ascii="Times New Roman" w:hAnsi="Times New Roman" w:cs="Times New Roman"/>
            <w:color w:val="auto"/>
          </w:rPr>
          <w:t xml:space="preserve"> </w:t>
        </w:r>
        <w:r w:rsidRPr="009B0448">
          <w:rPr>
            <w:rStyle w:val="Hyperlink"/>
            <w:rFonts w:ascii="Times New Roman" w:hAnsi="Times New Roman" w:cs="Times New Roman"/>
          </w:rPr>
          <w:t>https://doi.org/10.1155/2013/617459</w:t>
        </w:r>
      </w:hyperlink>
    </w:p>
    <w:p w14:paraId="38361A9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Maisharou, A., &amp; Larwanou, M. (2015). Market potential of non-wood forest products in the Sahelian countries. </w:t>
      </w:r>
      <w:r w:rsidRPr="009B0448">
        <w:rPr>
          <w:rFonts w:ascii="Times New Roman" w:hAnsi="Times New Roman" w:cs="Times New Roman"/>
          <w:i/>
        </w:rPr>
        <w:t>International Forest Review, 17</w:t>
      </w:r>
      <w:r w:rsidRPr="009B0448">
        <w:rPr>
          <w:rFonts w:ascii="Times New Roman" w:hAnsi="Times New Roman" w:cs="Times New Roman"/>
        </w:rPr>
        <w:t xml:space="preserve">(S3), 125–135. </w:t>
      </w:r>
      <w:hyperlink r:id="rId556" w:history="1">
        <w:r w:rsidRPr="009B0448">
          <w:rPr>
            <w:rStyle w:val="Hyperlink"/>
            <w:rFonts w:ascii="Times New Roman" w:hAnsi="Times New Roman" w:cs="Times New Roman"/>
          </w:rPr>
          <w:t>https://doi.org/10.1505/146554815816007018</w:t>
        </w:r>
      </w:hyperlink>
    </w:p>
    <w:p w14:paraId="0EA7E8E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Maranz, S., Weisman, Z., Bisgaard, J., &amp; Bianchi, G. (2004). Germplasm resources of </w:t>
      </w:r>
      <w:r w:rsidRPr="009B0448">
        <w:rPr>
          <w:rFonts w:ascii="Times New Roman" w:hAnsi="Times New Roman" w:cs="Times New Roman"/>
          <w:i/>
        </w:rPr>
        <w:t>Vitellaria paradoxa</w:t>
      </w:r>
      <w:r w:rsidRPr="009B0448">
        <w:rPr>
          <w:rFonts w:ascii="Times New Roman" w:hAnsi="Times New Roman" w:cs="Times New Roman"/>
        </w:rPr>
        <w:t xml:space="preserve"> based on variation in fat composition across the distribution range. </w:t>
      </w:r>
      <w:r w:rsidRPr="009B0448">
        <w:rPr>
          <w:rFonts w:ascii="Times New Roman" w:hAnsi="Times New Roman" w:cs="Times New Roman"/>
          <w:i/>
        </w:rPr>
        <w:t>Agroforestry systems, 60,</w:t>
      </w:r>
      <w:r w:rsidRPr="009B0448">
        <w:rPr>
          <w:rFonts w:ascii="Times New Roman" w:hAnsi="Times New Roman" w:cs="Times New Roman"/>
        </w:rPr>
        <w:t xml:space="preserve"> 71–76. </w:t>
      </w:r>
      <w:hyperlink r:id="rId557" w:history="1">
        <w:r w:rsidRPr="009B0448">
          <w:rPr>
            <w:rStyle w:val="Hyperlink"/>
            <w:rFonts w:ascii="Times New Roman" w:hAnsi="Times New Roman" w:cs="Times New Roman"/>
          </w:rPr>
          <w:t>https://doi.org/10.1023/B:AGFO.0000009406.19593.90</w:t>
        </w:r>
      </w:hyperlink>
    </w:p>
    <w:p w14:paraId="5A9ED27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Matowanyika, J. Z. Z. (1997). </w:t>
      </w:r>
      <w:r w:rsidRPr="009B0448">
        <w:rPr>
          <w:rFonts w:ascii="Times New Roman" w:hAnsi="Times New Roman" w:cs="Times New Roman"/>
          <w:i/>
        </w:rPr>
        <w:t>Resource management and the Shona people in rural Zimbabwe. Indigenous peoples and sustainability: Cases and sections</w:t>
      </w:r>
      <w:r w:rsidRPr="009B0448">
        <w:rPr>
          <w:rFonts w:ascii="Times New Roman" w:hAnsi="Times New Roman" w:cs="Times New Roman"/>
        </w:rPr>
        <w:t>. Utrecht, Nerthelands: IUCN.</w:t>
      </w:r>
    </w:p>
    <w:p w14:paraId="19FDE6D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Maukonen, P., Nkor, B., Ama, M., Guth, M., Williamson, A., Nkeke, F., Hicks, C., Effiom, E., Adekola, R., &amp; Ekwu, A. (2017). </w:t>
      </w:r>
      <w:r w:rsidRPr="009B0448">
        <w:rPr>
          <w:rFonts w:ascii="Times New Roman" w:hAnsi="Times New Roman" w:cs="Times New Roman"/>
          <w:i/>
        </w:rPr>
        <w:t>Using spatial analysis to explore multiple benefits from REDD+ actions in Cross River state, Nigeria</w:t>
      </w:r>
      <w:r w:rsidRPr="009B0448">
        <w:rPr>
          <w:rFonts w:ascii="Times New Roman" w:hAnsi="Times New Roman" w:cs="Times New Roman"/>
        </w:rPr>
        <w:t xml:space="preserve">. Abuja, Nigeria: National REDD+ Programme. Retrieved from </w:t>
      </w:r>
      <w:hyperlink r:id="rId558" w:history="1">
        <w:r w:rsidRPr="009B0448">
          <w:rPr>
            <w:rStyle w:val="Hyperlink"/>
            <w:rFonts w:ascii="Times New Roman" w:hAnsi="Times New Roman" w:cs="Times New Roman"/>
          </w:rPr>
          <w:t>http://bit.ly/2jMeKF0</w:t>
        </w:r>
      </w:hyperlink>
    </w:p>
    <w:p w14:paraId="3C8CBED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Mbow, C., van Noordwijk, M., Luedeling, E., Neufeldt, H., Minang, P., &amp; Kowero, G. (2014). Agroforestry solutions to address food security and climate change challenges in Africa. </w:t>
      </w:r>
      <w:r w:rsidRPr="009B0448">
        <w:rPr>
          <w:rFonts w:ascii="Times New Roman" w:hAnsi="Times New Roman" w:cs="Times New Roman"/>
          <w:i/>
        </w:rPr>
        <w:t>Current Opinion Environmental Sustainability, 6</w:t>
      </w:r>
      <w:r w:rsidRPr="009B0448">
        <w:rPr>
          <w:rFonts w:ascii="Times New Roman" w:hAnsi="Times New Roman" w:cs="Times New Roman"/>
        </w:rPr>
        <w:t xml:space="preserve">(1), 61–67. </w:t>
      </w:r>
      <w:hyperlink r:id="rId559" w:history="1">
        <w:r w:rsidRPr="009B0448">
          <w:rPr>
            <w:rStyle w:val="Hyperlink"/>
            <w:rFonts w:ascii="Times New Roman" w:hAnsi="Times New Roman" w:cs="Times New Roman"/>
          </w:rPr>
          <w:t>https://doi.org/10.1016/j.cosust.2013.10.014</w:t>
        </w:r>
      </w:hyperlink>
    </w:p>
    <w:p w14:paraId="7E82DD14"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Mburu, G., &amp; Kaguna, S. (2016). Community dialogue on ILK relevant for food and water protection in Tharaka, Kenya. In M. Roué, A. Oteng-Yeboah, P. Kariuki, &amp; Y. Adou (Eds.), </w:t>
      </w:r>
      <w:r w:rsidRPr="009B0448">
        <w:rPr>
          <w:rFonts w:ascii="Times New Roman" w:hAnsi="Times New Roman" w:cs="Times New Roman"/>
          <w:i/>
        </w:rPr>
        <w:t>Indigenous and local knowledge of biodiversity and ecosystems services in Africa: Contributions to an IPBES regional assessment</w:t>
      </w:r>
      <w:r w:rsidRPr="009B0448">
        <w:rPr>
          <w:rFonts w:ascii="Times New Roman" w:hAnsi="Times New Roman" w:cs="Times New Roman"/>
        </w:rPr>
        <w:t xml:space="preserve">. Paris, France: UNESCO. Retrieved from </w:t>
      </w:r>
      <w:hyperlink r:id="rId560" w:history="1">
        <w:r w:rsidRPr="009B0448">
          <w:rPr>
            <w:rStyle w:val="Hyperlink"/>
            <w:rFonts w:ascii="Times New Roman" w:hAnsi="Times New Roman" w:cs="Times New Roman"/>
          </w:rPr>
          <w:t>http://climatefrontlines.org/sites/default/files/ipbes/IPBES_in_Africa_2015.pdf</w:t>
        </w:r>
      </w:hyperlink>
    </w:p>
    <w:p w14:paraId="7D683C5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McIvor, A. (2012). </w:t>
      </w:r>
      <w:r w:rsidRPr="009B0448">
        <w:rPr>
          <w:rFonts w:ascii="Times New Roman" w:hAnsi="Times New Roman" w:cs="Times New Roman"/>
          <w:i/>
        </w:rPr>
        <w:t xml:space="preserve">Reduction of wind and swell waves by mangroves. </w:t>
      </w:r>
      <w:r w:rsidRPr="009B0448">
        <w:rPr>
          <w:rFonts w:ascii="Times New Roman" w:hAnsi="Times New Roman" w:cs="Times New Roman"/>
        </w:rPr>
        <w:t xml:space="preserve">Cambridge, UK: The Nature Conservancy and Wetlands International. Retrieved from </w:t>
      </w:r>
      <w:hyperlink r:id="rId561" w:history="1">
        <w:r w:rsidRPr="009B0448">
          <w:rPr>
            <w:rStyle w:val="Hyperlink"/>
            <w:rFonts w:ascii="Times New Roman" w:hAnsi="Times New Roman" w:cs="Times New Roman"/>
          </w:rPr>
          <w:t>https://www.conservationgateway.org/ConservationPractices/Marine/crr/library/Documents/wind-and-swell-wave-reduction-by-mangroves.pdf</w:t>
        </w:r>
      </w:hyperlink>
      <w:r w:rsidRPr="009B0448">
        <w:rPr>
          <w:rFonts w:ascii="Times New Roman" w:hAnsi="Times New Roman" w:cs="Times New Roman"/>
        </w:rPr>
        <w:t xml:space="preserve"> </w:t>
      </w:r>
    </w:p>
    <w:p w14:paraId="22DF4A4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Mclean, B., Klaus, R., &amp; Failler, P. (2017). </w:t>
      </w:r>
      <w:r w:rsidRPr="009B0448">
        <w:rPr>
          <w:rFonts w:ascii="Times New Roman" w:hAnsi="Times New Roman" w:cs="Times New Roman"/>
          <w:i/>
        </w:rPr>
        <w:t>Inputs for the design of an EU strategic approach to the coastal and marine biodiversity in Africa, Eastern and Southern Africa–Western Indian Ocean. Larger than Whales</w:t>
      </w:r>
      <w:r w:rsidRPr="009B0448">
        <w:rPr>
          <w:rFonts w:ascii="Times New Roman" w:hAnsi="Times New Roman" w:cs="Times New Roman"/>
        </w:rPr>
        <w:t>. Brussels, Belgium: B4Life Programme.</w:t>
      </w:r>
    </w:p>
    <w:p w14:paraId="6B31E8C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Merino, G., Barange, M., Blanchard, J. L., Harle, J., Holmes, R., Allen, I., Allison, E. H., Badjeck, M. C., Dulvy, N. K., Holt, J., &amp; Jennings, S. (2012). Can marine fisheries and aquaculture meet fish demand from a growing human population in a changing climate? </w:t>
      </w:r>
      <w:r w:rsidRPr="009B0448">
        <w:rPr>
          <w:rFonts w:ascii="Times New Roman" w:hAnsi="Times New Roman" w:cs="Times New Roman"/>
          <w:i/>
        </w:rPr>
        <w:t>Global Environmental Change, 22</w:t>
      </w:r>
      <w:r w:rsidRPr="009B0448">
        <w:rPr>
          <w:rFonts w:ascii="Times New Roman" w:hAnsi="Times New Roman" w:cs="Times New Roman"/>
        </w:rPr>
        <w:t xml:space="preserve">, 795–806. </w:t>
      </w:r>
      <w:hyperlink r:id="rId562" w:history="1">
        <w:r w:rsidRPr="009B0448">
          <w:rPr>
            <w:rStyle w:val="Hyperlink"/>
            <w:rFonts w:ascii="Times New Roman" w:hAnsi="Times New Roman" w:cs="Times New Roman"/>
          </w:rPr>
          <w:t>https://doi.org/10.1016/j.gloenvcha.2012.03.003</w:t>
        </w:r>
      </w:hyperlink>
    </w:p>
    <w:p w14:paraId="74BAEEDB" w14:textId="77777777" w:rsidR="009B0448" w:rsidRPr="009B0448" w:rsidRDefault="009B0448" w:rsidP="009B0448">
      <w:pPr>
        <w:tabs>
          <w:tab w:val="left" w:pos="3418"/>
        </w:tabs>
        <w:spacing w:after="120" w:line="276" w:lineRule="auto"/>
        <w:ind w:left="567" w:hanging="567"/>
        <w:rPr>
          <w:rFonts w:ascii="Times New Roman" w:hAnsi="Times New Roman" w:cs="Times New Roman"/>
          <w:highlight w:val="yellow"/>
        </w:rPr>
      </w:pPr>
      <w:r w:rsidRPr="009B0448">
        <w:rPr>
          <w:rFonts w:ascii="Times New Roman" w:hAnsi="Times New Roman" w:cs="Times New Roman"/>
        </w:rPr>
        <w:t xml:space="preserve">Mohammed, K. G., &amp; Yakasai, H. I. (2017). </w:t>
      </w:r>
      <w:r w:rsidRPr="009B0448">
        <w:rPr>
          <w:rFonts w:ascii="Times New Roman" w:hAnsi="Times New Roman" w:cs="Times New Roman"/>
          <w:i/>
        </w:rPr>
        <w:t>Tamarindus Indica</w:t>
      </w:r>
      <w:r w:rsidRPr="009B0448">
        <w:rPr>
          <w:rFonts w:ascii="Times New Roman" w:hAnsi="Times New Roman" w:cs="Times New Roman"/>
        </w:rPr>
        <w:t xml:space="preserve"> an appraisal on its uses in traditional medicine and its antinutritional components-mini review. </w:t>
      </w:r>
      <w:r w:rsidRPr="009B0448">
        <w:rPr>
          <w:rFonts w:ascii="Times New Roman" w:hAnsi="Times New Roman" w:cs="Times New Roman"/>
          <w:i/>
        </w:rPr>
        <w:t>Chronicles of Pharmaceutical Science, 1</w:t>
      </w:r>
      <w:r w:rsidRPr="009B0448">
        <w:rPr>
          <w:rFonts w:ascii="Times New Roman" w:hAnsi="Times New Roman" w:cs="Times New Roman"/>
        </w:rPr>
        <w:t xml:space="preserve">(4), 199–203. </w:t>
      </w:r>
      <w:hyperlink r:id="rId563" w:history="1">
        <w:r w:rsidRPr="009B0448">
          <w:rPr>
            <w:rStyle w:val="Hyperlink"/>
            <w:rFonts w:ascii="Times New Roman" w:hAnsi="Times New Roman" w:cs="Times New Roman"/>
          </w:rPr>
          <w:t>https://doi.org/10.21825/af.v23i1.5039</w:t>
        </w:r>
      </w:hyperlink>
      <w:r w:rsidRPr="009B0448">
        <w:rPr>
          <w:rFonts w:ascii="Times New Roman" w:hAnsi="Times New Roman" w:cs="Times New Roman"/>
        </w:rPr>
        <w:t xml:space="preserve"> </w:t>
      </w:r>
    </w:p>
    <w:p w14:paraId="426A30F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Moore, J. L., Manne, L., Brooks, T., Burgess, N. D., Davies, R., Rahbek, C., Williams, P., &amp; Balmford, A. (2002). The distribution of cultural and biological diversity in Africa.</w:t>
      </w:r>
      <w:r w:rsidRPr="009B0448">
        <w:rPr>
          <w:rFonts w:ascii="Times New Roman" w:hAnsi="Times New Roman" w:cs="Times New Roman"/>
          <w:i/>
        </w:rPr>
        <w:t xml:space="preserve"> Philosophical Transactions of the Royal Society B: Biological Sciences, 269</w:t>
      </w:r>
      <w:r w:rsidRPr="009B0448">
        <w:rPr>
          <w:rFonts w:ascii="Times New Roman" w:hAnsi="Times New Roman" w:cs="Times New Roman"/>
        </w:rPr>
        <w:t xml:space="preserve">, 1645–1653. </w:t>
      </w:r>
      <w:hyperlink r:id="rId564" w:history="1">
        <w:r w:rsidRPr="009B0448">
          <w:rPr>
            <w:rStyle w:val="Hyperlink"/>
            <w:rFonts w:ascii="Times New Roman" w:hAnsi="Times New Roman" w:cs="Times New Roman"/>
          </w:rPr>
          <w:t>https://doi.org/10.1098/rspb.2002.2075</w:t>
        </w:r>
      </w:hyperlink>
      <w:r w:rsidRPr="009B0448">
        <w:rPr>
          <w:rFonts w:ascii="Times New Roman" w:hAnsi="Times New Roman" w:cs="Times New Roman"/>
        </w:rPr>
        <w:t xml:space="preserve"> </w:t>
      </w:r>
    </w:p>
    <w:p w14:paraId="7EE5FCE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Moussa, I. B., &amp; Yamba, B. (2008). Local knowledge and management of Sahelian ecosystems. </w:t>
      </w:r>
      <w:r w:rsidRPr="009B0448">
        <w:rPr>
          <w:rFonts w:ascii="Times New Roman" w:hAnsi="Times New Roman" w:cs="Times New Roman"/>
          <w:i/>
        </w:rPr>
        <w:t>Les Cahiers d’Outre-Mer,</w:t>
      </w:r>
      <w:r w:rsidRPr="009B0448">
        <w:rPr>
          <w:rFonts w:ascii="Times New Roman" w:hAnsi="Times New Roman" w:cs="Times New Roman"/>
        </w:rPr>
        <w:t xml:space="preserve"> 241–242. </w:t>
      </w:r>
      <w:hyperlink r:id="rId565" w:history="1">
        <w:r w:rsidRPr="009B0448">
          <w:rPr>
            <w:rStyle w:val="Hyperlink"/>
            <w:rFonts w:ascii="Times New Roman" w:hAnsi="Times New Roman" w:cs="Times New Roman"/>
          </w:rPr>
          <w:t>https://doi.org/10.4000/com.3762</w:t>
        </w:r>
      </w:hyperlink>
      <w:r w:rsidRPr="009B0448">
        <w:rPr>
          <w:rFonts w:ascii="Times New Roman" w:hAnsi="Times New Roman" w:cs="Times New Roman"/>
        </w:rPr>
        <w:t xml:space="preserve"> </w:t>
      </w:r>
    </w:p>
    <w:p w14:paraId="5823FD1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Moyo, M., Aremu, A. O., &amp; van Staden, J. (2015). Medicinal plants: An invaluable, dwindling resource in sub-Saharan Africa. </w:t>
      </w:r>
      <w:r w:rsidRPr="009B0448">
        <w:rPr>
          <w:rFonts w:ascii="Times New Roman" w:hAnsi="Times New Roman" w:cs="Times New Roman"/>
          <w:i/>
        </w:rPr>
        <w:t>Journal of Ethnopharmacoly, 174</w:t>
      </w:r>
      <w:r w:rsidRPr="009B0448">
        <w:rPr>
          <w:rFonts w:ascii="Times New Roman" w:hAnsi="Times New Roman" w:cs="Times New Roman"/>
        </w:rPr>
        <w:t xml:space="preserve">, 595–606. </w:t>
      </w:r>
      <w:hyperlink r:id="rId566" w:history="1">
        <w:r w:rsidRPr="009B0448">
          <w:rPr>
            <w:rStyle w:val="Hyperlink"/>
            <w:rFonts w:ascii="Times New Roman" w:hAnsi="Times New Roman" w:cs="Times New Roman"/>
          </w:rPr>
          <w:t>https://doi.org/10.1016/j.jep.2015.04.034</w:t>
        </w:r>
      </w:hyperlink>
    </w:p>
    <w:p w14:paraId="77B126C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Munang, R., Thiaw, I., Alverson, K., Liu, J., &amp; Rivington, M. (2013). Climate change and ecosystem-based adaptation: A new pragmatic approach to buffering climate change impacts. </w:t>
      </w:r>
      <w:r w:rsidRPr="009B0448">
        <w:rPr>
          <w:rFonts w:ascii="Times New Roman" w:hAnsi="Times New Roman" w:cs="Times New Roman"/>
          <w:i/>
        </w:rPr>
        <w:t>Current Opinion Environmental Sustainability, 5</w:t>
      </w:r>
      <w:r w:rsidRPr="009B0448">
        <w:rPr>
          <w:rFonts w:ascii="Times New Roman" w:hAnsi="Times New Roman" w:cs="Times New Roman"/>
        </w:rPr>
        <w:t xml:space="preserve">, 67–71. </w:t>
      </w:r>
      <w:hyperlink r:id="rId567" w:history="1">
        <w:r w:rsidRPr="009B0448">
          <w:rPr>
            <w:rStyle w:val="Hyperlink"/>
            <w:rFonts w:ascii="Times New Roman" w:hAnsi="Times New Roman" w:cs="Times New Roman"/>
          </w:rPr>
          <w:t>https://doi.org/10.1016/j.cosust.2012.12.001</w:t>
        </w:r>
      </w:hyperlink>
    </w:p>
    <w:p w14:paraId="622AA9A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Myers, S. S., Gaffikin, L., Golden, C. D., Ostfeld, R. S., Redford, K. H., Ricketts, T. H., Turner, W. R., &amp; Osofsky, S. A. (2013). Human health impacts of ecosystem alteration. </w:t>
      </w:r>
      <w:r w:rsidRPr="009B0448">
        <w:rPr>
          <w:rFonts w:ascii="Times New Roman" w:hAnsi="Times New Roman" w:cs="Times New Roman"/>
          <w:i/>
        </w:rPr>
        <w:t>Proceedings of the National Academy of Sciences of the United States of America, 110</w:t>
      </w:r>
      <w:r w:rsidRPr="009B0448">
        <w:rPr>
          <w:rFonts w:ascii="Times New Roman" w:hAnsi="Times New Roman" w:cs="Times New Roman"/>
        </w:rPr>
        <w:t xml:space="preserve">(47), 18753–18760. </w:t>
      </w:r>
      <w:hyperlink r:id="rId568" w:history="1">
        <w:r w:rsidRPr="009B0448">
          <w:rPr>
            <w:rStyle w:val="Hyperlink"/>
            <w:rFonts w:ascii="Times New Roman" w:hAnsi="Times New Roman" w:cs="Times New Roman"/>
          </w:rPr>
          <w:t>https://doi.org/10.1073/pnas.1218656110</w:t>
        </w:r>
      </w:hyperlink>
    </w:p>
    <w:p w14:paraId="19BBD04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N’Gasse, G. (2003). Contribution des chenilles/larves comestibles à la réduction de l’insécurité alimentaire en République centrafricaine. In M. P. Balinga, Mapunzu, P. M., J-B. Mousssa, &amp; G. N’Gasse (Eds.), </w:t>
      </w:r>
      <w:r w:rsidRPr="009B0448">
        <w:rPr>
          <w:rFonts w:ascii="Times New Roman" w:hAnsi="Times New Roman" w:cs="Times New Roman"/>
          <w:i/>
        </w:rPr>
        <w:t>Contribution des insectes de la forêt à la sécurité alimentaire. L’exemple des chenilles d’Afrique Centrale</w:t>
      </w:r>
      <w:r w:rsidRPr="009B0448">
        <w:rPr>
          <w:rFonts w:ascii="Times New Roman" w:hAnsi="Times New Roman" w:cs="Times New Roman"/>
        </w:rPr>
        <w:t xml:space="preserve">. Rome, Italy: FAO. Retrieved from </w:t>
      </w:r>
      <w:hyperlink r:id="rId569" w:history="1">
        <w:r w:rsidRPr="009B0448">
          <w:rPr>
            <w:rStyle w:val="Hyperlink"/>
            <w:rFonts w:ascii="Times New Roman" w:hAnsi="Times New Roman" w:cs="Times New Roman"/>
          </w:rPr>
          <w:t>http://www.fao.org/docrep/019/j3463f/j3463f.pdf</w:t>
        </w:r>
      </w:hyperlink>
      <w:r w:rsidRPr="009B0448">
        <w:rPr>
          <w:rFonts w:ascii="Times New Roman" w:hAnsi="Times New Roman" w:cs="Times New Roman"/>
        </w:rPr>
        <w:t xml:space="preserve"> </w:t>
      </w:r>
    </w:p>
    <w:p w14:paraId="5531EE6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Naidoo, R., &amp; Adamowicz, W. (2005). Biodiversity and nature-based tourism at forest reserves in Uganda. </w:t>
      </w:r>
      <w:r w:rsidRPr="009B0448">
        <w:rPr>
          <w:rFonts w:ascii="Times New Roman" w:hAnsi="Times New Roman" w:cs="Times New Roman"/>
          <w:i/>
        </w:rPr>
        <w:t>Environment and Development Economics, 10</w:t>
      </w:r>
      <w:r w:rsidRPr="009B0448">
        <w:rPr>
          <w:rFonts w:ascii="Times New Roman" w:hAnsi="Times New Roman" w:cs="Times New Roman"/>
        </w:rPr>
        <w:t xml:space="preserve">(2), 159–178. </w:t>
      </w:r>
      <w:hyperlink r:id="rId570" w:history="1">
        <w:r w:rsidRPr="009B0448">
          <w:rPr>
            <w:rStyle w:val="Hyperlink"/>
            <w:rFonts w:ascii="Times New Roman" w:hAnsi="Times New Roman" w:cs="Times New Roman"/>
          </w:rPr>
          <w:t>https://doi.org/10.1017/S1355770X0400186X</w:t>
        </w:r>
      </w:hyperlink>
    </w:p>
    <w:p w14:paraId="7793277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Naidoo, R., Weaver, L. C., Diggle, R. W., Matongo, G., Stuart</w:t>
      </w:r>
      <w:r w:rsidRPr="009B0448">
        <w:rPr>
          <w:rFonts w:ascii="Cambria Math" w:hAnsi="Cambria Math" w:cs="Cambria Math"/>
        </w:rPr>
        <w:t>‐</w:t>
      </w:r>
      <w:r w:rsidRPr="009B0448">
        <w:rPr>
          <w:rFonts w:ascii="Times New Roman" w:hAnsi="Times New Roman" w:cs="Times New Roman"/>
        </w:rPr>
        <w:t xml:space="preserve">Hill, G., &amp; Thouless, C. (2016). Complementary benefits of tourism and hunting to communal conservancies in Namibia. </w:t>
      </w:r>
      <w:r w:rsidRPr="009B0448">
        <w:rPr>
          <w:rFonts w:ascii="Times New Roman" w:hAnsi="Times New Roman" w:cs="Times New Roman"/>
          <w:i/>
        </w:rPr>
        <w:t>Conservation Biology, 30</w:t>
      </w:r>
      <w:r w:rsidRPr="009B0448">
        <w:rPr>
          <w:rFonts w:ascii="Times New Roman" w:hAnsi="Times New Roman" w:cs="Times New Roman"/>
        </w:rPr>
        <w:t xml:space="preserve">(3), 628–638. </w:t>
      </w:r>
      <w:hyperlink r:id="rId571" w:history="1">
        <w:r w:rsidRPr="009B0448">
          <w:rPr>
            <w:rStyle w:val="Hyperlink"/>
            <w:rFonts w:ascii="Times New Roman" w:hAnsi="Times New Roman" w:cs="Times New Roman"/>
          </w:rPr>
          <w:t>https://doi.org/10.1111/cobi.12643</w:t>
        </w:r>
      </w:hyperlink>
      <w:r w:rsidRPr="009B0448">
        <w:rPr>
          <w:rFonts w:ascii="Times New Roman" w:hAnsi="Times New Roman" w:cs="Times New Roman"/>
        </w:rPr>
        <w:t xml:space="preserve"> </w:t>
      </w:r>
    </w:p>
    <w:p w14:paraId="635D5EA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Niang, I., Ruppel, O. C., Abdrabo, M. A., Essel, A., Lennard, C., Padgham, J., &amp; Urquhart, P. (2014). Africa. In V. R. Barros, C. B. Field, D. J. Dokken, M. D. Mastrandrea, K. J. Mach, T. E. Bilir, M. Chatterjee, K. L. Ebi, Y. O. Estrada, R. C. Genova, B. Girma, E. S. Kissel, A. N. Levy, S. MacCracken, P. R. Mastrandrea, &amp; L. L.White (Eds.), </w:t>
      </w:r>
      <w:r w:rsidRPr="009B0448">
        <w:rPr>
          <w:rFonts w:ascii="Times New Roman" w:hAnsi="Times New Roman" w:cs="Times New Roman"/>
          <w:i/>
        </w:rPr>
        <w:t>Climate change 2014: Impacts, adaptation and vulnerability. Contribution of Working Group II to the Fifth Assessment Report of the Intergovernmental Panel on Climate Change</w:t>
      </w:r>
      <w:r w:rsidRPr="009B0448">
        <w:rPr>
          <w:rFonts w:ascii="Times New Roman" w:hAnsi="Times New Roman" w:cs="Times New Roman"/>
        </w:rPr>
        <w:t xml:space="preserve"> (pp. 1199–1265). Cambridge, UK: </w:t>
      </w:r>
      <w:r w:rsidRPr="009B0448">
        <w:rPr>
          <w:rFonts w:ascii="Times New Roman" w:hAnsi="Times New Roman" w:cs="Times New Roman"/>
        </w:rPr>
        <w:lastRenderedPageBreak/>
        <w:t xml:space="preserve">Cambridge University Press. Retrieved from </w:t>
      </w:r>
      <w:hyperlink r:id="rId572" w:history="1">
        <w:r w:rsidRPr="009B0448">
          <w:rPr>
            <w:rStyle w:val="Hyperlink"/>
            <w:rFonts w:ascii="Times New Roman" w:hAnsi="Times New Roman" w:cs="Times New Roman"/>
          </w:rPr>
          <w:t>https://www.ipcc.ch/pdf/assessment-report/ar5/wg2/WGIIAR5-Chap22_FINAL.pdf</w:t>
        </w:r>
      </w:hyperlink>
      <w:r w:rsidRPr="009B0448">
        <w:rPr>
          <w:rFonts w:ascii="Times New Roman" w:hAnsi="Times New Roman" w:cs="Times New Roman"/>
        </w:rPr>
        <w:t xml:space="preserve"> </w:t>
      </w:r>
    </w:p>
    <w:p w14:paraId="10056B3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Nasi, R., Taber, A., &amp; van Vliet, N. (2011). Empty forests, empty stomachs? Bushmeat and livelihoods in the Congo and Amazon Basins. </w:t>
      </w:r>
      <w:r w:rsidRPr="009B0448">
        <w:rPr>
          <w:rFonts w:ascii="Times New Roman" w:hAnsi="Times New Roman" w:cs="Times New Roman"/>
          <w:i/>
        </w:rPr>
        <w:t>International Forestry Review, 13</w:t>
      </w:r>
      <w:r w:rsidRPr="009B0448">
        <w:rPr>
          <w:rFonts w:ascii="Times New Roman" w:hAnsi="Times New Roman" w:cs="Times New Roman"/>
        </w:rPr>
        <w:t xml:space="preserve">(3), 355–68. </w:t>
      </w:r>
      <w:hyperlink r:id="rId573" w:history="1">
        <w:r w:rsidRPr="009B0448">
          <w:rPr>
            <w:rStyle w:val="Hyperlink"/>
            <w:rFonts w:ascii="Times New Roman" w:hAnsi="Times New Roman" w:cs="Times New Roman"/>
          </w:rPr>
          <w:t>https://doi.org/10.1505/146554811798293872</w:t>
        </w:r>
      </w:hyperlink>
      <w:r w:rsidRPr="009B0448">
        <w:rPr>
          <w:rFonts w:ascii="Times New Roman" w:hAnsi="Times New Roman" w:cs="Times New Roman"/>
        </w:rPr>
        <w:t xml:space="preserve"> </w:t>
      </w:r>
    </w:p>
    <w:p w14:paraId="3AEECD1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National Bureau of Statistics Tanzania. (2011). </w:t>
      </w:r>
      <w:r w:rsidRPr="009B0448">
        <w:rPr>
          <w:rFonts w:ascii="Times New Roman" w:hAnsi="Times New Roman" w:cs="Times New Roman"/>
          <w:i/>
        </w:rPr>
        <w:t>Tanzania National Panel Survey Report (NPS)–Wave 2, 2010–2011</w:t>
      </w:r>
      <w:r w:rsidRPr="009B0448">
        <w:rPr>
          <w:rFonts w:ascii="Times New Roman" w:hAnsi="Times New Roman" w:cs="Times New Roman"/>
        </w:rPr>
        <w:t xml:space="preserve">. Dar es Salaam, Tanzania: National Bureau of Statistics Tanzania. Retrieved from </w:t>
      </w:r>
      <w:hyperlink r:id="rId574" w:history="1">
        <w:r w:rsidRPr="009B0448">
          <w:rPr>
            <w:rStyle w:val="Hyperlink"/>
            <w:rFonts w:ascii="Times New Roman" w:hAnsi="Times New Roman" w:cs="Times New Roman"/>
          </w:rPr>
          <w:t>http://siteresources.worldbank.org/INTLSMS/Resources/3358986-1233781970982/5800988-1286190918867/NPS_Report_2010-2011_25-09-2012.pdf</w:t>
        </w:r>
      </w:hyperlink>
      <w:r w:rsidRPr="009B0448">
        <w:rPr>
          <w:rFonts w:ascii="Times New Roman" w:hAnsi="Times New Roman" w:cs="Times New Roman"/>
        </w:rPr>
        <w:t xml:space="preserve"> </w:t>
      </w:r>
    </w:p>
    <w:p w14:paraId="763E8FF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Ndoye, O., Perez, M., &amp; Eyebe, A. (1997). </w:t>
      </w:r>
      <w:r w:rsidRPr="009B0448">
        <w:rPr>
          <w:rFonts w:ascii="Times New Roman" w:hAnsi="Times New Roman" w:cs="Times New Roman"/>
          <w:i/>
        </w:rPr>
        <w:t>The markets of non-timber forest products in the humid forest zone of Cameroon.</w:t>
      </w:r>
      <w:r w:rsidRPr="009B0448">
        <w:rPr>
          <w:rFonts w:ascii="Times New Roman" w:hAnsi="Times New Roman" w:cs="Times New Roman"/>
        </w:rPr>
        <w:t xml:space="preserve"> </w:t>
      </w:r>
      <w:r w:rsidRPr="009B0448">
        <w:rPr>
          <w:rFonts w:ascii="Times New Roman" w:hAnsi="Times New Roman" w:cs="Times New Roman"/>
          <w:i/>
        </w:rPr>
        <w:t xml:space="preserve">Rural Development Forestry Network Paper, 22, </w:t>
      </w:r>
      <w:r w:rsidRPr="009B0448">
        <w:rPr>
          <w:rFonts w:ascii="Times New Roman" w:hAnsi="Times New Roman" w:cs="Times New Roman"/>
        </w:rPr>
        <w:t xml:space="preserve">1–25. Bogor, Indonesia: CIFOR. Retrieved from </w:t>
      </w:r>
      <w:hyperlink r:id="rId575" w:history="1">
        <w:r w:rsidRPr="009B0448">
          <w:rPr>
            <w:rStyle w:val="Hyperlink"/>
            <w:rFonts w:ascii="Times New Roman" w:hAnsi="Times New Roman" w:cs="Times New Roman"/>
          </w:rPr>
          <w:t>http://www.odi.org.uk/resources/docs/1168.pdf</w:t>
        </w:r>
      </w:hyperlink>
      <w:r w:rsidRPr="009B0448">
        <w:rPr>
          <w:rFonts w:ascii="Times New Roman" w:hAnsi="Times New Roman" w:cs="Times New Roman"/>
        </w:rPr>
        <w:t xml:space="preserve"> </w:t>
      </w:r>
    </w:p>
    <w:p w14:paraId="5926FCA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Nelson, E., Mendoza, G., Regetz, J., Polasky, S., Tallis, H., Cameron, D., &amp; Shaw, M. (2009). Modeling multiple ecosystem services, biodiversity conservation, commodity production, and tradeoffs at landscape scales. </w:t>
      </w:r>
      <w:r w:rsidRPr="009B0448">
        <w:rPr>
          <w:rFonts w:ascii="Times New Roman" w:hAnsi="Times New Roman" w:cs="Times New Roman"/>
          <w:i/>
        </w:rPr>
        <w:t>Frontiers in Ecology and the Environment, 7</w:t>
      </w:r>
      <w:r w:rsidRPr="009B0448">
        <w:rPr>
          <w:rFonts w:ascii="Times New Roman" w:hAnsi="Times New Roman" w:cs="Times New Roman"/>
        </w:rPr>
        <w:t xml:space="preserve">(1), 4–11. </w:t>
      </w:r>
      <w:hyperlink r:id="rId576" w:history="1">
        <w:r w:rsidRPr="009B0448">
          <w:rPr>
            <w:rStyle w:val="Hyperlink"/>
            <w:rFonts w:ascii="Times New Roman" w:hAnsi="Times New Roman" w:cs="Times New Roman"/>
          </w:rPr>
          <w:t>https://doi.org/10.1890/080023</w:t>
        </w:r>
      </w:hyperlink>
      <w:r w:rsidRPr="009B0448">
        <w:rPr>
          <w:rFonts w:ascii="Times New Roman" w:hAnsi="Times New Roman" w:cs="Times New Roman"/>
        </w:rPr>
        <w:t xml:space="preserve"> </w:t>
      </w:r>
    </w:p>
    <w:p w14:paraId="47B79CC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Nikiema, A. (2005). </w:t>
      </w:r>
      <w:r w:rsidRPr="009B0448">
        <w:rPr>
          <w:rFonts w:ascii="Times New Roman" w:hAnsi="Times New Roman" w:cs="Times New Roman"/>
          <w:i/>
        </w:rPr>
        <w:t>Agroforestry parkland species diversity: Uses and management in semi-arid West Africa (Burkina Faso).</w:t>
      </w:r>
      <w:r w:rsidRPr="009B0448">
        <w:rPr>
          <w:rFonts w:ascii="Times New Roman" w:hAnsi="Times New Roman" w:cs="Times New Roman"/>
        </w:rPr>
        <w:t xml:space="preserve"> (Doctoral dissertation). Retrieved from </w:t>
      </w:r>
      <w:hyperlink r:id="rId577" w:history="1">
        <w:r w:rsidRPr="009B0448">
          <w:rPr>
            <w:rStyle w:val="Hyperlink"/>
            <w:rFonts w:ascii="Times New Roman" w:hAnsi="Times New Roman" w:cs="Times New Roman"/>
          </w:rPr>
          <w:t>http://library.wur.nl/WebQuery/wurpubs/344241</w:t>
        </w:r>
      </w:hyperlink>
      <w:r w:rsidRPr="009B0448">
        <w:rPr>
          <w:rFonts w:ascii="Times New Roman" w:hAnsi="Times New Roman" w:cs="Times New Roman"/>
        </w:rPr>
        <w:t>. (ISBN 9085041686).</w:t>
      </w:r>
    </w:p>
    <w:p w14:paraId="6A05B59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Nkem, L., Kalame, F. B., Idinoba, M., Somorin, O. A., Ndoye, O., &amp; Awonod, A. (2010). Shaping forest safety nets with markets: Adaptation to climate change under changing roles of tropical forests in Congo Basin. </w:t>
      </w:r>
      <w:r w:rsidRPr="009B0448">
        <w:rPr>
          <w:rFonts w:ascii="Times New Roman" w:hAnsi="Times New Roman" w:cs="Times New Roman"/>
          <w:i/>
        </w:rPr>
        <w:t>Environmental Science &amp; Policy, 13</w:t>
      </w:r>
      <w:r w:rsidRPr="009B0448">
        <w:rPr>
          <w:rFonts w:ascii="Times New Roman" w:hAnsi="Times New Roman" w:cs="Times New Roman"/>
        </w:rPr>
        <w:t xml:space="preserve">(6), 498–508. </w:t>
      </w:r>
      <w:hyperlink r:id="rId578" w:history="1">
        <w:r w:rsidRPr="009B0448">
          <w:rPr>
            <w:rStyle w:val="Hyperlink"/>
            <w:rFonts w:ascii="Times New Roman" w:hAnsi="Times New Roman" w:cs="Times New Roman"/>
          </w:rPr>
          <w:t>https://doi.org/10.1016/j.envsci.2010.06.004</w:t>
        </w:r>
      </w:hyperlink>
    </w:p>
    <w:p w14:paraId="78151A8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Nlom, J. H. (2011). The Economic value of Congo Basin protected areas goods and services. </w:t>
      </w:r>
      <w:r w:rsidRPr="009B0448">
        <w:rPr>
          <w:rFonts w:ascii="Times New Roman" w:hAnsi="Times New Roman" w:cs="Times New Roman"/>
          <w:i/>
        </w:rPr>
        <w:t>Journal of Sustainable Development, 4</w:t>
      </w:r>
      <w:r w:rsidRPr="009B0448">
        <w:rPr>
          <w:rFonts w:ascii="Times New Roman" w:hAnsi="Times New Roman" w:cs="Times New Roman"/>
        </w:rPr>
        <w:t xml:space="preserve">(1), 130–142. </w:t>
      </w:r>
      <w:hyperlink r:id="rId579" w:history="1">
        <w:r w:rsidRPr="009B0448">
          <w:rPr>
            <w:rStyle w:val="Hyperlink"/>
            <w:rFonts w:ascii="Times New Roman" w:hAnsi="Times New Roman" w:cs="Times New Roman"/>
          </w:rPr>
          <w:t>https://doi.org/10.5539/jsd.v4n1p130</w:t>
        </w:r>
      </w:hyperlink>
      <w:r w:rsidRPr="009B0448">
        <w:rPr>
          <w:rFonts w:ascii="Times New Roman" w:hAnsi="Times New Roman" w:cs="Times New Roman"/>
        </w:rPr>
        <w:t xml:space="preserve"> </w:t>
      </w:r>
    </w:p>
    <w:p w14:paraId="5CA7ACB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Nunez-Iturri, G., Olsson, O., &amp; Howe, H. F. (2008). Hunting reduces recruitment of primate-dispersed trees in Amazonian Peru. </w:t>
      </w:r>
      <w:r w:rsidRPr="009B0448">
        <w:rPr>
          <w:rFonts w:ascii="Times New Roman" w:hAnsi="Times New Roman" w:cs="Times New Roman"/>
          <w:i/>
        </w:rPr>
        <w:t>Biological Conservation, 141</w:t>
      </w:r>
      <w:r w:rsidRPr="009B0448">
        <w:rPr>
          <w:rFonts w:ascii="Times New Roman" w:hAnsi="Times New Roman" w:cs="Times New Roman"/>
        </w:rPr>
        <w:t xml:space="preserve">, 1536– 546. </w:t>
      </w:r>
      <w:hyperlink r:id="rId580" w:history="1">
        <w:r w:rsidRPr="009B0448">
          <w:rPr>
            <w:rStyle w:val="Hyperlink"/>
            <w:rFonts w:ascii="Times New Roman" w:hAnsi="Times New Roman" w:cs="Times New Roman"/>
          </w:rPr>
          <w:t>https://doi.org/10.1016/j.biocon.2008.03.020</w:t>
        </w:r>
      </w:hyperlink>
      <w:r w:rsidRPr="009B0448">
        <w:rPr>
          <w:rFonts w:ascii="Times New Roman" w:hAnsi="Times New Roman" w:cs="Times New Roman"/>
        </w:rPr>
        <w:t xml:space="preserve"> </w:t>
      </w:r>
    </w:p>
    <w:p w14:paraId="2799FC7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O’Farrell, P. J., De Lange, W. J., Le Maitre, D. C., Reyers, B., Blignaut, J. N., Milton, S. J., Atkinson, D., Egoh, B., Maherry, A., Colvin, C., &amp; Cowling, R. M. (2011). The possibilities and pitfalls presented by a pragmatic approach to ecosystem service valuation in an arid biodiversity hotspot. </w:t>
      </w:r>
      <w:r w:rsidRPr="009B0448">
        <w:rPr>
          <w:rFonts w:ascii="Times New Roman" w:hAnsi="Times New Roman" w:cs="Times New Roman"/>
          <w:i/>
        </w:rPr>
        <w:t>Journal of Arid Environments, 75</w:t>
      </w:r>
      <w:r w:rsidRPr="009B0448">
        <w:rPr>
          <w:rFonts w:ascii="Times New Roman" w:hAnsi="Times New Roman" w:cs="Times New Roman"/>
        </w:rPr>
        <w:t xml:space="preserve">, 612–623. </w:t>
      </w:r>
      <w:hyperlink r:id="rId581" w:history="1">
        <w:r w:rsidRPr="009B0448">
          <w:rPr>
            <w:rStyle w:val="Hyperlink"/>
            <w:rFonts w:ascii="Times New Roman" w:hAnsi="Times New Roman" w:cs="Times New Roman"/>
          </w:rPr>
          <w:t>https://doi.org/10.1016/j.jaridenv.2011.01.005</w:t>
        </w:r>
      </w:hyperlink>
      <w:r w:rsidRPr="009B0448">
        <w:rPr>
          <w:rFonts w:ascii="Times New Roman" w:hAnsi="Times New Roman" w:cs="Times New Roman"/>
        </w:rPr>
        <w:t xml:space="preserve"> </w:t>
      </w:r>
    </w:p>
    <w:p w14:paraId="5977311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Odebode, S. O. (2005). Gender issues in community forestry: Lessons from Nigeria. </w:t>
      </w:r>
      <w:r w:rsidRPr="009B0448">
        <w:rPr>
          <w:rFonts w:ascii="Times New Roman" w:hAnsi="Times New Roman" w:cs="Times New Roman"/>
          <w:i/>
        </w:rPr>
        <w:t>Journal of Food, Agriculture and Environment, 3</w:t>
      </w:r>
      <w:r w:rsidRPr="009B0448">
        <w:rPr>
          <w:rFonts w:ascii="Times New Roman" w:hAnsi="Times New Roman" w:cs="Times New Roman"/>
        </w:rPr>
        <w:t>(2), 307–312.</w:t>
      </w:r>
    </w:p>
    <w:p w14:paraId="4CA3A46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OECD/IEA. (2014). </w:t>
      </w:r>
      <w:r w:rsidRPr="009B0448">
        <w:rPr>
          <w:rFonts w:ascii="Times New Roman" w:hAnsi="Times New Roman" w:cs="Times New Roman"/>
          <w:i/>
        </w:rPr>
        <w:t>A focus on energy prospects in sub-Saharan Africa. World energy outlook special report.</w:t>
      </w:r>
      <w:r w:rsidRPr="009B0448">
        <w:rPr>
          <w:rFonts w:ascii="Times New Roman" w:hAnsi="Times New Roman" w:cs="Times New Roman"/>
        </w:rPr>
        <w:t xml:space="preserve"> Retrieved from </w:t>
      </w:r>
      <w:hyperlink r:id="rId582" w:history="1">
        <w:r w:rsidRPr="009B0448">
          <w:rPr>
            <w:rStyle w:val="Hyperlink"/>
            <w:rFonts w:ascii="Times New Roman" w:hAnsi="Times New Roman" w:cs="Times New Roman"/>
          </w:rPr>
          <w:t>https://www.iea.org/publications/freepublication</w:t>
        </w:r>
      </w:hyperlink>
    </w:p>
    <w:p w14:paraId="3CE7348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Oguge, N. O. (2016). Landscape ethnoecological knowledge base and management of ecosystem services among the Samburu of Northern Kenya. In M. Roué, A. Oteng-Yeboah, P. Kariuki, &amp; Y. Adou (Eds.), </w:t>
      </w:r>
      <w:r w:rsidRPr="009B0448">
        <w:rPr>
          <w:rFonts w:ascii="Times New Roman" w:hAnsi="Times New Roman" w:cs="Times New Roman"/>
          <w:i/>
        </w:rPr>
        <w:t>Indigenous and local knowledge of biodiversity and ecosystems services in Africa: Contributions to an IPBES regional assessment</w:t>
      </w:r>
      <w:r w:rsidRPr="009B0448">
        <w:rPr>
          <w:rFonts w:ascii="Times New Roman" w:hAnsi="Times New Roman" w:cs="Times New Roman"/>
        </w:rPr>
        <w:t xml:space="preserve">. Paris, France: UNESCO. Retrieved from </w:t>
      </w:r>
      <w:hyperlink r:id="rId583" w:history="1">
        <w:r w:rsidRPr="009B0448">
          <w:rPr>
            <w:rStyle w:val="Hyperlink"/>
            <w:rFonts w:ascii="Times New Roman" w:hAnsi="Times New Roman" w:cs="Times New Roman"/>
          </w:rPr>
          <w:t>http://climatefrontlines.org/sites/default/files/ipbes/IPBES_in_Africa_2015.pdf</w:t>
        </w:r>
      </w:hyperlink>
    </w:p>
    <w:p w14:paraId="0CD7C7F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Oleksy, R., Giuggioli, L., McKetterick, T. J., Racey, P. A., &amp; Jones, G. (2017). Flying foxes create extensive seed shadows and enhance germination success of pioneer plant species in deforested Madagascan landscapes. </w:t>
      </w:r>
      <w:r w:rsidRPr="009B0448">
        <w:rPr>
          <w:rFonts w:ascii="Times New Roman" w:hAnsi="Times New Roman" w:cs="Times New Roman"/>
          <w:i/>
        </w:rPr>
        <w:t>PLoS ONE, 12</w:t>
      </w:r>
      <w:r w:rsidRPr="009B0448">
        <w:rPr>
          <w:rFonts w:ascii="Times New Roman" w:hAnsi="Times New Roman" w:cs="Times New Roman"/>
        </w:rPr>
        <w:t xml:space="preserve">(9), e0184023. </w:t>
      </w:r>
      <w:hyperlink r:id="rId584" w:history="1">
        <w:r w:rsidRPr="009B0448">
          <w:rPr>
            <w:rStyle w:val="Hyperlink"/>
            <w:rFonts w:ascii="Times New Roman" w:hAnsi="Times New Roman" w:cs="Times New Roman"/>
          </w:rPr>
          <w:t>https://doi.org/10.1371/journal.pone.0184023</w:t>
        </w:r>
      </w:hyperlink>
    </w:p>
    <w:p w14:paraId="4D1FE251" w14:textId="77777777" w:rsidR="009B0448" w:rsidRPr="009B0448" w:rsidRDefault="009B0448" w:rsidP="009B0448">
      <w:pPr>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Olson, D. M., Dinerstein, E., Wikramanayake, E. D., Burgess, N. D., Powell, G. V. N., Underwood, E. C., D'Amico, J. A., Itoua, I., Strand, H. E., Morrison, J. C., Loucks, C. J., Allnutt, T. F., Ricketts, T. H., Kura, Y., Lamoreux, J. F., Wettengel, W. W., Hedao, P., &amp; Kassem, K. R. (2001). Terrestrial ecoregions of the world: A new map of life on earth. </w:t>
      </w:r>
      <w:r w:rsidRPr="009B0448">
        <w:rPr>
          <w:rFonts w:ascii="Times New Roman" w:eastAsia="Times New Roman" w:hAnsi="Times New Roman" w:cs="Times New Roman"/>
          <w:i/>
          <w:color w:val="auto"/>
        </w:rPr>
        <w:t>Bioscience, 51</w:t>
      </w:r>
      <w:r w:rsidRPr="009B0448">
        <w:rPr>
          <w:rFonts w:ascii="Times New Roman" w:eastAsia="Times New Roman" w:hAnsi="Times New Roman" w:cs="Times New Roman"/>
          <w:color w:val="auto"/>
        </w:rPr>
        <w:t>(11), 933–938.</w:t>
      </w:r>
      <w:r w:rsidRPr="009B0448">
        <w:rPr>
          <w:rFonts w:ascii="Times New Roman" w:hAnsi="Times New Roman" w:cs="Times New Roman"/>
          <w:color w:val="auto"/>
        </w:rPr>
        <w:t xml:space="preserve"> </w:t>
      </w:r>
      <w:hyperlink r:id="rId585" w:history="1">
        <w:r w:rsidRPr="009B0448">
          <w:rPr>
            <w:rStyle w:val="Hyperlink"/>
            <w:rFonts w:ascii="Times New Roman" w:hAnsi="Times New Roman" w:cs="Times New Roman"/>
          </w:rPr>
          <w:t>https://doi.org/10.1641/0006-3568(2001)051[0933:TEOTWA]2.0.CO;2</w:t>
        </w:r>
      </w:hyperlink>
      <w:r w:rsidRPr="009B0448">
        <w:rPr>
          <w:rFonts w:ascii="Times New Roman" w:eastAsia="Times New Roman" w:hAnsi="Times New Roman" w:cs="Times New Roman"/>
          <w:color w:val="auto"/>
        </w:rPr>
        <w:t xml:space="preserve"> </w:t>
      </w:r>
    </w:p>
    <w:p w14:paraId="5B3A1A1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Olupot, W., Barigyira, R., &amp; Chapman, C. A. (2009). The status of anthropogenic threat at the people-park interface of Bwindi impenetrable national park, Uganda. </w:t>
      </w:r>
      <w:r w:rsidRPr="009B0448">
        <w:rPr>
          <w:rFonts w:ascii="Times New Roman" w:hAnsi="Times New Roman" w:cs="Times New Roman"/>
          <w:i/>
        </w:rPr>
        <w:t>Environmental Conservation, 36</w:t>
      </w:r>
      <w:r w:rsidRPr="009B0448">
        <w:rPr>
          <w:rFonts w:ascii="Times New Roman" w:hAnsi="Times New Roman" w:cs="Times New Roman"/>
        </w:rPr>
        <w:t xml:space="preserve">, 41–50. </w:t>
      </w:r>
      <w:hyperlink r:id="rId586" w:history="1">
        <w:r w:rsidRPr="009B0448">
          <w:rPr>
            <w:rStyle w:val="Hyperlink"/>
            <w:rFonts w:ascii="Times New Roman" w:hAnsi="Times New Roman" w:cs="Times New Roman"/>
          </w:rPr>
          <w:t>https://doi.org/10.1017/S0376892909005347</w:t>
        </w:r>
      </w:hyperlink>
    </w:p>
    <w:p w14:paraId="5F08987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Onyenechere, E. C., Azuwike, D. O., &amp; Enwereuzo, A. I. (2011). Effect of rainfall variability on water supply in Ikeduru, L.G.A of Imo State, Nigeria. </w:t>
      </w:r>
      <w:r w:rsidRPr="009B0448">
        <w:rPr>
          <w:rFonts w:ascii="Times New Roman" w:hAnsi="Times New Roman" w:cs="Times New Roman"/>
          <w:i/>
        </w:rPr>
        <w:t>International multidisciplinary journal, Ethiopia, 5</w:t>
      </w:r>
      <w:r w:rsidRPr="009B0448">
        <w:rPr>
          <w:rFonts w:ascii="Times New Roman" w:hAnsi="Times New Roman" w:cs="Times New Roman"/>
        </w:rPr>
        <w:t xml:space="preserve">(5), 22, 223–241. </w:t>
      </w:r>
      <w:hyperlink r:id="rId587" w:history="1">
        <w:r w:rsidRPr="009B0448">
          <w:rPr>
            <w:rStyle w:val="Hyperlink"/>
            <w:rFonts w:ascii="Times New Roman" w:hAnsi="Times New Roman" w:cs="Times New Roman"/>
          </w:rPr>
          <w:t>https://doi.org/10.4314/afrrev.v5i5.18</w:t>
        </w:r>
      </w:hyperlink>
    </w:p>
    <w:p w14:paraId="67CDBD1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Opoku, K. A. (1978). </w:t>
      </w:r>
      <w:r w:rsidRPr="009B0448">
        <w:rPr>
          <w:rFonts w:ascii="Times New Roman" w:hAnsi="Times New Roman" w:cs="Times New Roman"/>
          <w:i/>
        </w:rPr>
        <w:t>West African traditional religion</w:t>
      </w:r>
      <w:r w:rsidRPr="009B0448">
        <w:rPr>
          <w:rFonts w:ascii="Times New Roman" w:hAnsi="Times New Roman" w:cs="Times New Roman"/>
        </w:rPr>
        <w:t>. Accra, Ghana: Free Educational Publications International Private Limited.</w:t>
      </w:r>
    </w:p>
    <w:p w14:paraId="5ADCB7A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Pan, G., Huang, Z. Q., Wang, J. K., Li, H., Chabbi, A., Paustian, K., &amp; Smith, P. (2013). Soil organic matter dynamics: beyond carbon. A report of the 4th international symposium on soil organic matter dynamics. </w:t>
      </w:r>
      <w:r w:rsidRPr="009B0448">
        <w:rPr>
          <w:rFonts w:ascii="Times New Roman" w:hAnsi="Times New Roman" w:cs="Times New Roman"/>
          <w:i/>
        </w:rPr>
        <w:t>Carbon Management, 4</w:t>
      </w:r>
      <w:r w:rsidRPr="009B0448">
        <w:rPr>
          <w:rFonts w:ascii="Times New Roman" w:hAnsi="Times New Roman" w:cs="Times New Roman"/>
        </w:rPr>
        <w:t xml:space="preserve">, 485–489. </w:t>
      </w:r>
      <w:hyperlink r:id="rId588" w:history="1">
        <w:r w:rsidRPr="009B0448">
          <w:rPr>
            <w:rStyle w:val="Hyperlink"/>
            <w:rFonts w:ascii="Times New Roman" w:hAnsi="Times New Roman" w:cs="Times New Roman"/>
          </w:rPr>
          <w:t>https://doi.org/10.4155/cmt.13.43</w:t>
        </w:r>
      </w:hyperlink>
      <w:r w:rsidRPr="009B0448">
        <w:rPr>
          <w:rFonts w:ascii="Times New Roman" w:hAnsi="Times New Roman" w:cs="Times New Roman"/>
        </w:rPr>
        <w:t xml:space="preserve"> </w:t>
      </w:r>
    </w:p>
    <w:p w14:paraId="607DA13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Pan, G., Li, L. Q., Zheng, J. F., Cheng, K., Zhang, X. H., Zheng, J. W., &amp; Li, Z. C. (2014). Managing soil organic carbon for multiple benefits case studies–positive exemplars. Benefits of SOM in agro-ecosystems: A case of China, Chapter 27. In S. Banwart (Ed.), </w:t>
      </w:r>
      <w:r w:rsidRPr="009B0448">
        <w:rPr>
          <w:rFonts w:ascii="Times New Roman" w:hAnsi="Times New Roman" w:cs="Times New Roman"/>
          <w:i/>
        </w:rPr>
        <w:t xml:space="preserve">Benefits of soil carbon </w:t>
      </w:r>
      <w:r w:rsidRPr="009B0448">
        <w:rPr>
          <w:rFonts w:ascii="Times New Roman" w:hAnsi="Times New Roman" w:cs="Times New Roman"/>
        </w:rPr>
        <w:t xml:space="preserve">(pp. 383–401). </w:t>
      </w:r>
      <w:hyperlink r:id="rId589" w:history="1">
        <w:r w:rsidRPr="009B0448">
          <w:rPr>
            <w:rStyle w:val="Hyperlink"/>
            <w:rFonts w:ascii="Times New Roman" w:hAnsi="Times New Roman" w:cs="Times New Roman"/>
          </w:rPr>
          <w:t>https://doi.org/10.1079/9781780645322.0307</w:t>
        </w:r>
      </w:hyperlink>
      <w:r w:rsidRPr="009B0448">
        <w:rPr>
          <w:rFonts w:ascii="Times New Roman" w:hAnsi="Times New Roman" w:cs="Times New Roman"/>
        </w:rPr>
        <w:t xml:space="preserve"> </w:t>
      </w:r>
    </w:p>
    <w:p w14:paraId="4E9F5D6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Pauly, D., &amp; Zeller, D. (2015). Catch reconstructions reveal that global marine fisheries catches are higher than reported and declining. </w:t>
      </w:r>
      <w:r w:rsidRPr="009B0448">
        <w:rPr>
          <w:rFonts w:ascii="Times New Roman" w:hAnsi="Times New Roman" w:cs="Times New Roman"/>
          <w:i/>
        </w:rPr>
        <w:t>Nature Communications, 7</w:t>
      </w:r>
      <w:r w:rsidRPr="009B0448">
        <w:rPr>
          <w:rFonts w:ascii="Times New Roman" w:hAnsi="Times New Roman" w:cs="Times New Roman"/>
        </w:rPr>
        <w:t xml:space="preserve">, 10244. </w:t>
      </w:r>
      <w:hyperlink r:id="rId590" w:history="1">
        <w:r w:rsidRPr="009B0448">
          <w:rPr>
            <w:rStyle w:val="Hyperlink"/>
            <w:rFonts w:ascii="Times New Roman" w:hAnsi="Times New Roman" w:cs="Times New Roman"/>
          </w:rPr>
          <w:t>https://doi.org/10.1038/ncomms10244</w:t>
        </w:r>
      </w:hyperlink>
      <w:r w:rsidRPr="009B0448">
        <w:rPr>
          <w:rFonts w:ascii="Times New Roman" w:hAnsi="Times New Roman" w:cs="Times New Roman"/>
        </w:rPr>
        <w:t xml:space="preserve"> </w:t>
      </w:r>
    </w:p>
    <w:p w14:paraId="52CF13C1"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Poole, P. J. (1993). Indigenous Peoples and Biodiversity Protection. In S. H. Davis, (Ed.), </w:t>
      </w:r>
      <w:r w:rsidRPr="009B0448">
        <w:rPr>
          <w:rFonts w:ascii="Times New Roman" w:hAnsi="Times New Roman" w:cs="Times New Roman"/>
          <w:i/>
        </w:rPr>
        <w:t xml:space="preserve">The social challenge of biodiversity conservation </w:t>
      </w:r>
      <w:r w:rsidRPr="009B0448">
        <w:rPr>
          <w:rFonts w:ascii="Times New Roman" w:hAnsi="Times New Roman" w:cs="Times New Roman"/>
        </w:rPr>
        <w:t xml:space="preserve">(pp. 14–25). Washington, DC: World Bank. Retrieved from </w:t>
      </w:r>
      <w:hyperlink r:id="rId591" w:history="1">
        <w:r w:rsidRPr="009B0448">
          <w:rPr>
            <w:rStyle w:val="Hyperlink"/>
            <w:rFonts w:ascii="Times New Roman" w:hAnsi="Times New Roman" w:cs="Times New Roman"/>
          </w:rPr>
          <w:t>http://documents.worldbank.org/curated/en/326401468181790562/The-social-challenge-of-biodiversity-conservation</w:t>
        </w:r>
      </w:hyperlink>
      <w:r w:rsidRPr="009B0448">
        <w:rPr>
          <w:rFonts w:ascii="Times New Roman" w:hAnsi="Times New Roman" w:cs="Times New Roman"/>
        </w:rPr>
        <w:t xml:space="preserve"> </w:t>
      </w:r>
    </w:p>
    <w:p w14:paraId="6D35BD0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Pouliot, M., &amp; Treue, T. J. (2013). Rural people's reliance on forests and the non-forest environment in West Africa: Evidence from Ghana and Burkina Faso. </w:t>
      </w:r>
      <w:r w:rsidRPr="009B0448">
        <w:rPr>
          <w:rFonts w:ascii="Times New Roman" w:hAnsi="Times New Roman" w:cs="Times New Roman"/>
          <w:i/>
        </w:rPr>
        <w:t>World Development, 43</w:t>
      </w:r>
      <w:r w:rsidRPr="009B0448">
        <w:rPr>
          <w:rFonts w:ascii="Times New Roman" w:hAnsi="Times New Roman" w:cs="Times New Roman"/>
        </w:rPr>
        <w:t xml:space="preserve">, 180–193. </w:t>
      </w:r>
      <w:hyperlink r:id="rId592" w:history="1">
        <w:r w:rsidRPr="009B0448">
          <w:rPr>
            <w:rStyle w:val="Hyperlink"/>
            <w:rFonts w:ascii="Times New Roman" w:hAnsi="Times New Roman" w:cs="Times New Roman"/>
          </w:rPr>
          <w:t>https://doi.org/10.1016/j.worlddev.2012.09.010</w:t>
        </w:r>
      </w:hyperlink>
      <w:r w:rsidRPr="009B0448">
        <w:rPr>
          <w:rFonts w:ascii="Times New Roman" w:hAnsi="Times New Roman" w:cs="Times New Roman"/>
        </w:rPr>
        <w:t xml:space="preserve"> </w:t>
      </w:r>
    </w:p>
    <w:p w14:paraId="41A2E28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Pourchez, L. (2014). Savoirs des femmes. Médecine traditionnelle et nature (Maurice, Rodrigues, La Réunion). </w:t>
      </w:r>
      <w:r w:rsidRPr="009B0448">
        <w:rPr>
          <w:rFonts w:ascii="Times New Roman" w:hAnsi="Times New Roman" w:cs="Times New Roman"/>
          <w:i/>
        </w:rPr>
        <w:t>Les Tribunes de La Santé, 44</w:t>
      </w:r>
      <w:r w:rsidRPr="009B0448">
        <w:rPr>
          <w:rFonts w:ascii="Times New Roman" w:hAnsi="Times New Roman" w:cs="Times New Roman"/>
        </w:rPr>
        <w:t xml:space="preserve">(3), 51–71. </w:t>
      </w:r>
      <w:hyperlink r:id="rId593" w:history="1">
        <w:r w:rsidRPr="009B0448">
          <w:rPr>
            <w:rStyle w:val="Hyperlink"/>
            <w:rFonts w:ascii="Times New Roman" w:hAnsi="Times New Roman" w:cs="Times New Roman"/>
          </w:rPr>
          <w:t>https://doi.org/10.3917/seve.044.0051</w:t>
        </w:r>
      </w:hyperlink>
      <w:r w:rsidRPr="009B0448">
        <w:rPr>
          <w:rFonts w:ascii="Times New Roman" w:hAnsi="Times New Roman" w:cs="Times New Roman"/>
        </w:rPr>
        <w:t xml:space="preserve"> </w:t>
      </w:r>
    </w:p>
    <w:p w14:paraId="20D86B0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Power Africa. (2016). </w:t>
      </w:r>
      <w:r w:rsidRPr="009B0448">
        <w:rPr>
          <w:rFonts w:ascii="Times New Roman" w:hAnsi="Times New Roman" w:cs="Times New Roman"/>
          <w:i/>
        </w:rPr>
        <w:t>Annual report, power Africa</w:t>
      </w:r>
      <w:r w:rsidRPr="009B0448">
        <w:rPr>
          <w:rFonts w:ascii="Times New Roman" w:hAnsi="Times New Roman" w:cs="Times New Roman"/>
        </w:rPr>
        <w:t xml:space="preserve">. Washington, DC: USAID. Retrieved from </w:t>
      </w:r>
      <w:hyperlink r:id="rId594" w:history="1">
        <w:r w:rsidRPr="009B0448">
          <w:rPr>
            <w:rStyle w:val="Hyperlink"/>
            <w:rFonts w:ascii="Times New Roman" w:hAnsi="Times New Roman" w:cs="Times New Roman"/>
          </w:rPr>
          <w:t>https://www.usaid.gov/sites/default/files/documents/1860/Power_Africa_AR2016-optimized.pdf</w:t>
        </w:r>
      </w:hyperlink>
    </w:p>
    <w:p w14:paraId="298E77D5"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Power, A. G. (2010). Ecosystem services and agriculture: Trade-offs and synergies. </w:t>
      </w:r>
      <w:r w:rsidRPr="009B0448">
        <w:rPr>
          <w:rFonts w:ascii="Times New Roman" w:hAnsi="Times New Roman" w:cs="Times New Roman"/>
          <w:i/>
        </w:rPr>
        <w:t>Philosophical Transactions of the Royal Society B: Biological Sciences, 365</w:t>
      </w:r>
      <w:r w:rsidRPr="009B0448">
        <w:rPr>
          <w:rFonts w:ascii="Times New Roman" w:hAnsi="Times New Roman" w:cs="Times New Roman"/>
        </w:rPr>
        <w:t xml:space="preserve">(1554), 2959–2971. </w:t>
      </w:r>
      <w:hyperlink r:id="rId595" w:history="1">
        <w:r w:rsidRPr="009B0448">
          <w:rPr>
            <w:rStyle w:val="Hyperlink"/>
            <w:rFonts w:ascii="Times New Roman" w:hAnsi="Times New Roman" w:cs="Times New Roman"/>
          </w:rPr>
          <w:t>https://doi.org/10.1098/rstb.2010.0143</w:t>
        </w:r>
      </w:hyperlink>
      <w:r w:rsidRPr="009B0448">
        <w:rPr>
          <w:rFonts w:ascii="Times New Roman" w:hAnsi="Times New Roman" w:cs="Times New Roman"/>
        </w:rPr>
        <w:t xml:space="preserve"> </w:t>
      </w:r>
    </w:p>
    <w:p w14:paraId="5997F82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Radder, L., &amp; Bech-Larsen, T. (2008). Hunters’ motivations and values: A South African perspective. </w:t>
      </w:r>
      <w:r w:rsidRPr="009B0448">
        <w:rPr>
          <w:rFonts w:ascii="Times New Roman" w:hAnsi="Times New Roman" w:cs="Times New Roman"/>
          <w:i/>
        </w:rPr>
        <w:t>Human Dimensions of Wildlife, 13</w:t>
      </w:r>
      <w:r w:rsidRPr="009B0448">
        <w:rPr>
          <w:rFonts w:ascii="Times New Roman" w:hAnsi="Times New Roman" w:cs="Times New Roman"/>
        </w:rPr>
        <w:t xml:space="preserve">, 252–262. </w:t>
      </w:r>
      <w:hyperlink r:id="rId596" w:history="1">
        <w:r w:rsidRPr="009B0448">
          <w:rPr>
            <w:rStyle w:val="Hyperlink"/>
            <w:rFonts w:ascii="Times New Roman" w:hAnsi="Times New Roman" w:cs="Times New Roman"/>
          </w:rPr>
          <w:t>https://doi.org/10.1080/10871200801986739</w:t>
        </w:r>
      </w:hyperlink>
      <w:r w:rsidRPr="009B0448">
        <w:rPr>
          <w:rFonts w:ascii="Times New Roman" w:hAnsi="Times New Roman" w:cs="Times New Roman"/>
        </w:rPr>
        <w:t xml:space="preserve"> </w:t>
      </w:r>
    </w:p>
    <w:p w14:paraId="3616C3F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Reed, M. G., &amp; Varghese, J. (2007). Gender representation on Canadian forest sector advisory committees. </w:t>
      </w:r>
      <w:r w:rsidRPr="009B0448">
        <w:rPr>
          <w:rFonts w:ascii="Times New Roman" w:hAnsi="Times New Roman" w:cs="Times New Roman"/>
          <w:i/>
        </w:rPr>
        <w:t>The Forestry Chronicle, 83</w:t>
      </w:r>
      <w:r w:rsidRPr="009B0448">
        <w:rPr>
          <w:rFonts w:ascii="Times New Roman" w:hAnsi="Times New Roman" w:cs="Times New Roman"/>
        </w:rPr>
        <w:t xml:space="preserve">(4), 515–525. </w:t>
      </w:r>
      <w:hyperlink r:id="rId597" w:history="1">
        <w:r w:rsidRPr="009B0448">
          <w:rPr>
            <w:rStyle w:val="Hyperlink"/>
            <w:rFonts w:ascii="Times New Roman" w:hAnsi="Times New Roman" w:cs="Times New Roman"/>
          </w:rPr>
          <w:t>https://doi.org/10.5558/tfc83515-4</w:t>
        </w:r>
      </w:hyperlink>
    </w:p>
    <w:p w14:paraId="226964A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Reynolds, S. C., Bailey, G. N., &amp; King, G. C. (2011). Landscapes and their relation to hominin habitats: Case studies from Australopithecus sites in Eastern and Southern Africa. </w:t>
      </w:r>
      <w:r w:rsidRPr="009B0448">
        <w:rPr>
          <w:rFonts w:ascii="Times New Roman" w:hAnsi="Times New Roman" w:cs="Times New Roman"/>
          <w:i/>
        </w:rPr>
        <w:t>Journal of Human Evolution, 60</w:t>
      </w:r>
      <w:r w:rsidRPr="009B0448">
        <w:rPr>
          <w:rFonts w:ascii="Times New Roman" w:hAnsi="Times New Roman" w:cs="Times New Roman"/>
        </w:rPr>
        <w:t xml:space="preserve">(3), 281–298. </w:t>
      </w:r>
      <w:hyperlink r:id="rId598" w:history="1">
        <w:r w:rsidRPr="009B0448">
          <w:rPr>
            <w:rStyle w:val="Hyperlink"/>
            <w:rFonts w:ascii="Times New Roman" w:hAnsi="Times New Roman" w:cs="Times New Roman"/>
          </w:rPr>
          <w:t>https://doi.org/10.1016/j.jhevol.2010.10.001</w:t>
        </w:r>
      </w:hyperlink>
    </w:p>
    <w:p w14:paraId="404726C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Roberts, D., Boon, R., Diederichs, N., Douwes, E., Govender, N., McInnes, A., McLean, C., O’Donoghue, S., &amp; Spires, M. (2012). Exploring ecosystem</w:t>
      </w:r>
      <w:r w:rsidRPr="009B0448">
        <w:rPr>
          <w:rFonts w:ascii="Cambria Math" w:hAnsi="Cambria Math" w:cs="Cambria Math"/>
        </w:rPr>
        <w:t>‐</w:t>
      </w:r>
      <w:r w:rsidRPr="009B0448">
        <w:rPr>
          <w:rFonts w:ascii="Times New Roman" w:hAnsi="Times New Roman" w:cs="Times New Roman"/>
        </w:rPr>
        <w:t>based adaptation in Durban, South Africa: Learning</w:t>
      </w:r>
      <w:r w:rsidRPr="009B0448">
        <w:rPr>
          <w:rFonts w:ascii="Cambria Math" w:hAnsi="Cambria Math" w:cs="Cambria Math"/>
        </w:rPr>
        <w:t>‐</w:t>
      </w:r>
      <w:r w:rsidRPr="009B0448">
        <w:rPr>
          <w:rFonts w:ascii="Times New Roman" w:hAnsi="Times New Roman" w:cs="Times New Roman"/>
        </w:rPr>
        <w:t>by</w:t>
      </w:r>
      <w:r w:rsidRPr="009B0448">
        <w:rPr>
          <w:rFonts w:ascii="Cambria Math" w:hAnsi="Cambria Math" w:cs="Cambria Math"/>
        </w:rPr>
        <w:t>‐</w:t>
      </w:r>
      <w:r w:rsidRPr="009B0448">
        <w:rPr>
          <w:rFonts w:ascii="Times New Roman" w:hAnsi="Times New Roman" w:cs="Times New Roman"/>
        </w:rPr>
        <w:t xml:space="preserve">doing at the local government coal face. </w:t>
      </w:r>
      <w:r w:rsidRPr="009B0448">
        <w:rPr>
          <w:rFonts w:ascii="Times New Roman" w:hAnsi="Times New Roman" w:cs="Times New Roman"/>
          <w:i/>
        </w:rPr>
        <w:t>Environment and Urbanization, 24</w:t>
      </w:r>
      <w:r w:rsidRPr="009B0448">
        <w:rPr>
          <w:rFonts w:ascii="Times New Roman" w:hAnsi="Times New Roman" w:cs="Times New Roman"/>
        </w:rPr>
        <w:t xml:space="preserve">(1), 167–195. </w:t>
      </w:r>
      <w:hyperlink r:id="rId599" w:history="1">
        <w:r w:rsidRPr="009B0448">
          <w:rPr>
            <w:rStyle w:val="Hyperlink"/>
            <w:rFonts w:ascii="Times New Roman" w:hAnsi="Times New Roman" w:cs="Times New Roman"/>
          </w:rPr>
          <w:t>https://doi.org/10.1177/0956247811431412</w:t>
        </w:r>
      </w:hyperlink>
    </w:p>
    <w:p w14:paraId="04A8289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Roubik, D. W. (Ed.). (1995). </w:t>
      </w:r>
      <w:r w:rsidRPr="009B0448">
        <w:rPr>
          <w:rFonts w:ascii="Times New Roman" w:hAnsi="Times New Roman" w:cs="Times New Roman"/>
          <w:i/>
        </w:rPr>
        <w:t>Pollination of cultivated plants in the tropics</w:t>
      </w:r>
      <w:r w:rsidRPr="009B0448">
        <w:rPr>
          <w:rFonts w:ascii="Times New Roman" w:hAnsi="Times New Roman" w:cs="Times New Roman"/>
        </w:rPr>
        <w:t xml:space="preserve">. Rome, Italy: FAO. Retrieved from </w:t>
      </w:r>
      <w:hyperlink r:id="rId600" w:history="1">
        <w:r w:rsidRPr="009B0448">
          <w:rPr>
            <w:rStyle w:val="Hyperlink"/>
            <w:rFonts w:ascii="Times New Roman" w:hAnsi="Times New Roman" w:cs="Times New Roman"/>
          </w:rPr>
          <w:t>http://www.fao.org/3/a-v5040e.pdf</w:t>
        </w:r>
      </w:hyperlink>
      <w:r w:rsidRPr="009B0448">
        <w:rPr>
          <w:rFonts w:ascii="Times New Roman" w:hAnsi="Times New Roman" w:cs="Times New Roman"/>
        </w:rPr>
        <w:t xml:space="preserve"> </w:t>
      </w:r>
    </w:p>
    <w:p w14:paraId="42290EF4"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Roy, J., Saugier, B., &amp; Mooney, H. A. (Eds.). (2001). </w:t>
      </w:r>
      <w:r w:rsidRPr="009B0448">
        <w:rPr>
          <w:rFonts w:ascii="Times New Roman" w:hAnsi="Times New Roman" w:cs="Times New Roman"/>
          <w:i/>
        </w:rPr>
        <w:t>Terrestrial global productivity</w:t>
      </w:r>
      <w:r w:rsidRPr="009B0448">
        <w:rPr>
          <w:rFonts w:ascii="Times New Roman" w:hAnsi="Times New Roman" w:cs="Times New Roman"/>
        </w:rPr>
        <w:t xml:space="preserve">. Massachusetts, USA: ScienceDirect. </w:t>
      </w:r>
      <w:hyperlink r:id="rId601" w:history="1">
        <w:r w:rsidRPr="009B0448">
          <w:rPr>
            <w:rStyle w:val="Hyperlink"/>
            <w:rFonts w:ascii="Times New Roman" w:hAnsi="Times New Roman" w:cs="Times New Roman"/>
          </w:rPr>
          <w:t>https://doi.org/10.1016/B978-0-12-505290-0.X5000-5</w:t>
        </w:r>
      </w:hyperlink>
      <w:r w:rsidRPr="009B0448">
        <w:rPr>
          <w:rFonts w:ascii="Times New Roman" w:hAnsi="Times New Roman" w:cs="Times New Roman"/>
        </w:rPr>
        <w:t xml:space="preserve"> </w:t>
      </w:r>
    </w:p>
    <w:p w14:paraId="3C2F7D09"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Ryan, C. M., Pritchard, R., McNicol, I., Owen, M., Fisher, J. A., &amp; Lehmann, C. (2016). Ecosystem services from southern African woodlands and their future under global change. </w:t>
      </w:r>
      <w:r w:rsidRPr="009B0448">
        <w:rPr>
          <w:rFonts w:ascii="Times New Roman" w:hAnsi="Times New Roman" w:cs="Times New Roman"/>
          <w:i/>
        </w:rPr>
        <w:t>. Philosophical Transactions of the Royal Society B: Biological Sciences, 371</w:t>
      </w:r>
      <w:r w:rsidRPr="009B0448">
        <w:rPr>
          <w:rFonts w:ascii="Times New Roman" w:hAnsi="Times New Roman" w:cs="Times New Roman"/>
        </w:rPr>
        <w:t xml:space="preserve">(1703), 20150312. </w:t>
      </w:r>
      <w:hyperlink r:id="rId602" w:history="1">
        <w:r w:rsidRPr="009B0448">
          <w:rPr>
            <w:rStyle w:val="Hyperlink"/>
            <w:rFonts w:ascii="Times New Roman" w:hAnsi="Times New Roman" w:cs="Times New Roman"/>
          </w:rPr>
          <w:t>https://doi.org/10.1098/rstb.2015.0312</w:t>
        </w:r>
      </w:hyperlink>
      <w:r w:rsidRPr="009B0448">
        <w:rPr>
          <w:rFonts w:ascii="Times New Roman" w:hAnsi="Times New Roman" w:cs="Times New Roman"/>
        </w:rPr>
        <w:t xml:space="preserve"> </w:t>
      </w:r>
    </w:p>
    <w:p w14:paraId="04DC864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Sagita, N., Imboma, T., Shikuyenzel, N., Likare, S., Amutete, G., Oyug, C. J., &amp; Brooks, T. (1998). Luyha bird names. </w:t>
      </w:r>
      <w:r w:rsidRPr="009B0448">
        <w:rPr>
          <w:rFonts w:ascii="Times New Roman" w:hAnsi="Times New Roman" w:cs="Times New Roman"/>
          <w:i/>
        </w:rPr>
        <w:t>East Africa Natural History Society Bulletin, 28</w:t>
      </w:r>
      <w:r w:rsidRPr="009B0448">
        <w:rPr>
          <w:rFonts w:ascii="Times New Roman" w:hAnsi="Times New Roman" w:cs="Times New Roman"/>
        </w:rPr>
        <w:t>(3), 2–5.</w:t>
      </w:r>
    </w:p>
    <w:p w14:paraId="1B19357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Salami, S. O., Onwuama, K. T., Maidawa, M. S., Imam, J., &amp; Ojo, S. A. (2011). Morphological studies of the appendicular skeleton of the African giant pouched rat (</w:t>
      </w:r>
      <w:r w:rsidRPr="009B0448">
        <w:rPr>
          <w:rFonts w:ascii="Times New Roman" w:hAnsi="Times New Roman" w:cs="Times New Roman"/>
          <w:i/>
        </w:rPr>
        <w:t>Cricetomys gambianus</w:t>
      </w:r>
      <w:r w:rsidRPr="009B0448">
        <w:rPr>
          <w:rFonts w:ascii="Times New Roman" w:hAnsi="Times New Roman" w:cs="Times New Roman"/>
        </w:rPr>
        <w:t xml:space="preserve">) Part (i) pectoral limb. </w:t>
      </w:r>
      <w:r w:rsidRPr="009B0448">
        <w:rPr>
          <w:rFonts w:ascii="Times New Roman" w:hAnsi="Times New Roman" w:cs="Times New Roman"/>
          <w:i/>
        </w:rPr>
        <w:t>Journal of Veterinary Medicine and Animal Health, 3</w:t>
      </w:r>
      <w:r w:rsidRPr="009B0448">
        <w:rPr>
          <w:rFonts w:ascii="Times New Roman" w:hAnsi="Times New Roman" w:cs="Times New Roman"/>
        </w:rPr>
        <w:t xml:space="preserve">(7), 82–87. </w:t>
      </w:r>
      <w:hyperlink r:id="rId603" w:history="1">
        <w:r w:rsidRPr="009B0448">
          <w:rPr>
            <w:rStyle w:val="Hyperlink"/>
            <w:rFonts w:ascii="Times New Roman" w:hAnsi="Times New Roman" w:cs="Times New Roman"/>
          </w:rPr>
          <w:t>https://doi.org/10.5897/JVMAH11.013</w:t>
        </w:r>
      </w:hyperlink>
      <w:r w:rsidRPr="009B0448">
        <w:rPr>
          <w:rFonts w:ascii="Times New Roman" w:hAnsi="Times New Roman" w:cs="Times New Roman"/>
        </w:rPr>
        <w:t xml:space="preserve"> </w:t>
      </w:r>
    </w:p>
    <w:p w14:paraId="31256CA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Salih, N. K., &amp; Ali, A. H. (2014). Wild food trees in Eastern Nuba Mountains, Sudan: Use diversity and threatening factors. </w:t>
      </w:r>
      <w:r w:rsidRPr="009B0448">
        <w:rPr>
          <w:rFonts w:ascii="Times New Roman" w:hAnsi="Times New Roman" w:cs="Times New Roman"/>
          <w:i/>
        </w:rPr>
        <w:t>Journal of Agriculture and Rural Development in the Tropics and Subtropics, 115</w:t>
      </w:r>
      <w:r w:rsidRPr="009B0448">
        <w:rPr>
          <w:rFonts w:ascii="Times New Roman" w:hAnsi="Times New Roman" w:cs="Times New Roman"/>
        </w:rPr>
        <w:t xml:space="preserve">, 1–7. Retrieved from </w:t>
      </w:r>
      <w:hyperlink r:id="rId604" w:history="1">
        <w:r w:rsidRPr="009B0448">
          <w:rPr>
            <w:rStyle w:val="Hyperlink"/>
            <w:rFonts w:ascii="Times New Roman" w:hAnsi="Times New Roman" w:cs="Times New Roman"/>
          </w:rPr>
          <w:t>http://nbn-resolving.de/urn:nbn:de:hebis:34-2014020344903</w:t>
        </w:r>
      </w:hyperlink>
    </w:p>
    <w:p w14:paraId="03C6FD25"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Schaafsma, M., Burgess, N., Swetnam, R. D., Ngaga, Y. M., Turner, R. K., &amp; Treue, T. (2014a). Market signals of sustainable and inequitable forest extraction: assessing the value of illegal timber trade in the eastern arc mountains of Tanzania. </w:t>
      </w:r>
      <w:r w:rsidRPr="009B0448">
        <w:rPr>
          <w:rFonts w:ascii="Times New Roman" w:hAnsi="Times New Roman" w:cs="Times New Roman"/>
          <w:i/>
        </w:rPr>
        <w:t>World Development, 62</w:t>
      </w:r>
      <w:r w:rsidRPr="009B0448">
        <w:rPr>
          <w:rFonts w:ascii="Times New Roman" w:hAnsi="Times New Roman" w:cs="Times New Roman"/>
        </w:rPr>
        <w:t xml:space="preserve">, 155–168. </w:t>
      </w:r>
      <w:hyperlink r:id="rId605" w:history="1">
        <w:r w:rsidRPr="009B0448">
          <w:rPr>
            <w:rStyle w:val="Hyperlink"/>
            <w:rFonts w:ascii="Times New Roman" w:hAnsi="Times New Roman" w:cs="Times New Roman"/>
          </w:rPr>
          <w:t>https://doi.org/10.1016/j.worlddev.2014.05.011</w:t>
        </w:r>
      </w:hyperlink>
    </w:p>
    <w:p w14:paraId="03EA352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Schaafsma, M., Morse-Jones, S., Posen, P., Swetnam, R. D., Balmford, A., Bateman, I. J., Burgess, N. D., Chamshama, S. A. O., Fisher, B., Freeman, T., &amp; Geofrey, V. (2014b). The importance of local forest benefits: Economic valuation of non-timber forest products in the Eastern Arc Mountains in Tanzania. </w:t>
      </w:r>
      <w:r w:rsidRPr="009B0448">
        <w:rPr>
          <w:rFonts w:ascii="Times New Roman" w:hAnsi="Times New Roman" w:cs="Times New Roman"/>
          <w:i/>
        </w:rPr>
        <w:t>Global Environmental Change, 24</w:t>
      </w:r>
      <w:r w:rsidRPr="009B0448">
        <w:rPr>
          <w:rFonts w:ascii="Times New Roman" w:hAnsi="Times New Roman" w:cs="Times New Roman"/>
        </w:rPr>
        <w:t xml:space="preserve">, 295–305. </w:t>
      </w:r>
      <w:hyperlink r:id="rId606" w:history="1">
        <w:r w:rsidRPr="009B0448">
          <w:rPr>
            <w:rStyle w:val="Hyperlink"/>
            <w:rFonts w:ascii="Times New Roman" w:hAnsi="Times New Roman" w:cs="Times New Roman"/>
          </w:rPr>
          <w:t>https://doi.org/10.1016/j.gloenvcha.2013.08.018</w:t>
        </w:r>
      </w:hyperlink>
      <w:r w:rsidRPr="009B0448">
        <w:rPr>
          <w:rFonts w:ascii="Times New Roman" w:hAnsi="Times New Roman" w:cs="Times New Roman"/>
        </w:rPr>
        <w:t xml:space="preserve"> </w:t>
      </w:r>
    </w:p>
    <w:p w14:paraId="4B06FD2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Schaeffer, M., Baarsch, F., Adams, S., Bruin, K., Marez, L., Freitas, S., Hof, A., &amp; Hare, B. (2013). </w:t>
      </w:r>
      <w:r w:rsidRPr="009B0448">
        <w:rPr>
          <w:rFonts w:ascii="Times New Roman" w:hAnsi="Times New Roman" w:cs="Times New Roman"/>
          <w:i/>
        </w:rPr>
        <w:t>Africa’s adaptation gap: Climate-change impacts, adaptation challenges and costs for Africa</w:t>
      </w:r>
      <w:r w:rsidRPr="009B0448">
        <w:rPr>
          <w:rFonts w:ascii="Times New Roman" w:hAnsi="Times New Roman" w:cs="Times New Roman"/>
        </w:rPr>
        <w:t xml:space="preserve">. Nairobi, Kenya: UNEP. Retrieved from </w:t>
      </w:r>
      <w:hyperlink r:id="rId607" w:history="1">
        <w:r w:rsidRPr="009B0448">
          <w:rPr>
            <w:rStyle w:val="Hyperlink"/>
            <w:rFonts w:ascii="Times New Roman" w:hAnsi="Times New Roman" w:cs="Times New Roman"/>
          </w:rPr>
          <w:t>http://climateanalytics.org/files/schaeffer_et_al__2013__africao__s_a_daptation_gap_technical_report.pdf</w:t>
        </w:r>
      </w:hyperlink>
      <w:r w:rsidRPr="009B0448">
        <w:rPr>
          <w:rFonts w:ascii="Times New Roman" w:hAnsi="Times New Roman" w:cs="Times New Roman"/>
        </w:rPr>
        <w:t xml:space="preserve"> </w:t>
      </w:r>
    </w:p>
    <w:p w14:paraId="662A9A0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Schlesinger, W. M., &amp; Bernhardt, E. S. (2013). </w:t>
      </w:r>
      <w:r w:rsidRPr="009B0448">
        <w:rPr>
          <w:rFonts w:ascii="Times New Roman" w:hAnsi="Times New Roman" w:cs="Times New Roman"/>
          <w:i/>
        </w:rPr>
        <w:t>Biogeochemistry: An analysis of global change</w:t>
      </w:r>
      <w:r w:rsidRPr="009B0448">
        <w:rPr>
          <w:rFonts w:ascii="Times New Roman" w:hAnsi="Times New Roman" w:cs="Times New Roman"/>
        </w:rPr>
        <w:t xml:space="preserve"> (3</w:t>
      </w:r>
      <w:r w:rsidRPr="009B0448">
        <w:rPr>
          <w:rFonts w:ascii="Times New Roman" w:hAnsi="Times New Roman" w:cs="Times New Roman"/>
          <w:vertAlign w:val="superscript"/>
        </w:rPr>
        <w:t>rd</w:t>
      </w:r>
      <w:r w:rsidRPr="009B0448">
        <w:rPr>
          <w:rFonts w:ascii="Times New Roman" w:hAnsi="Times New Roman" w:cs="Times New Roman"/>
        </w:rPr>
        <w:t xml:space="preserve"> Ed.). New York, USA: Academic Press.</w:t>
      </w:r>
    </w:p>
    <w:p w14:paraId="0B640F15"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Schreckenberg, K., Rushton, J., &amp; te Velde, D. W. (2006). NTFP value chains: What happens between production and consumption? In E. Marshall, K. Schreckenberg, &amp; A. C. Newton (Eds.), </w:t>
      </w:r>
      <w:r w:rsidRPr="009B0448">
        <w:rPr>
          <w:rFonts w:ascii="Times New Roman" w:hAnsi="Times New Roman" w:cs="Times New Roman"/>
          <w:i/>
        </w:rPr>
        <w:t>Commercialisation of non-timber forest products: factors influencing success</w:t>
      </w:r>
      <w:r w:rsidRPr="009B0448">
        <w:rPr>
          <w:rFonts w:ascii="Times New Roman" w:hAnsi="Times New Roman" w:cs="Times New Roman"/>
        </w:rPr>
        <w:t xml:space="preserve"> (pp. 97–106). Cambridge, UK: UNEP/Earthprint. Retrieved from </w:t>
      </w:r>
      <w:hyperlink r:id="rId608" w:history="1">
        <w:r w:rsidRPr="009B0448">
          <w:rPr>
            <w:rStyle w:val="Hyperlink"/>
            <w:rFonts w:ascii="Times New Roman" w:hAnsi="Times New Roman" w:cs="Times New Roman"/>
          </w:rPr>
          <w:t>https://www.odi.org/sites/odi.org.uk/files/odi-assets/publications-opinion-files/3769.pdf</w:t>
        </w:r>
      </w:hyperlink>
      <w:r w:rsidRPr="009B0448">
        <w:rPr>
          <w:rFonts w:ascii="Times New Roman" w:hAnsi="Times New Roman" w:cs="Times New Roman"/>
        </w:rPr>
        <w:t xml:space="preserve"> </w:t>
      </w:r>
    </w:p>
    <w:p w14:paraId="18A35AD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Shemdoe, R. (2017). Indigenous and local knowledge for biodiversity and ecosystem services in Tanzania: The case of two selected communities. In M. Roué, N. Césard, Y. C. Adou Yao, &amp; A. Oteng-Yeboah (Eds.), </w:t>
      </w:r>
      <w:r w:rsidRPr="009B0448">
        <w:rPr>
          <w:rFonts w:ascii="Times New Roman" w:hAnsi="Times New Roman" w:cs="Times New Roman"/>
          <w:i/>
        </w:rPr>
        <w:t>Knowing our Lands and Resources: Indigenous and Local Knowledge of Biodiversity and Ecosystem Services in Africa</w:t>
      </w:r>
      <w:r w:rsidRPr="009B0448">
        <w:rPr>
          <w:rFonts w:ascii="Times New Roman" w:hAnsi="Times New Roman" w:cs="Times New Roman"/>
        </w:rPr>
        <w:t xml:space="preserve">. Paris, France: UNESCO. Retrieved from </w:t>
      </w:r>
      <w:hyperlink r:id="rId609" w:history="1">
        <w:r w:rsidRPr="009B0448">
          <w:rPr>
            <w:rStyle w:val="Hyperlink"/>
            <w:rFonts w:ascii="Times New Roman" w:hAnsi="Times New Roman" w:cs="Times New Roman"/>
          </w:rPr>
          <w:t>http://climatefrontlines.org/sites/default/files/ipbes/IPBES_in_Africa_2015.pdf</w:t>
        </w:r>
      </w:hyperlink>
      <w:r w:rsidRPr="009B0448">
        <w:rPr>
          <w:rFonts w:ascii="Times New Roman" w:hAnsi="Times New Roman" w:cs="Times New Roman"/>
        </w:rPr>
        <w:t xml:space="preserve"> </w:t>
      </w:r>
    </w:p>
    <w:p w14:paraId="4DE1C001"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Smith, P., &amp; Olesen, J. E. (2010). Synergies between the mitigation of, and adaptation to, climate change in agriculture. </w:t>
      </w:r>
      <w:r w:rsidRPr="009B0448">
        <w:rPr>
          <w:rFonts w:ascii="Times New Roman" w:hAnsi="Times New Roman" w:cs="Times New Roman"/>
          <w:i/>
        </w:rPr>
        <w:t>Journal of Agricultural Science, 148</w:t>
      </w:r>
      <w:r w:rsidRPr="009B0448">
        <w:rPr>
          <w:rFonts w:ascii="Times New Roman" w:hAnsi="Times New Roman" w:cs="Times New Roman"/>
        </w:rPr>
        <w:t xml:space="preserve">(5), 543–552. </w:t>
      </w:r>
      <w:hyperlink r:id="rId610" w:history="1">
        <w:r w:rsidRPr="009B0448">
          <w:rPr>
            <w:rStyle w:val="Hyperlink"/>
            <w:rFonts w:ascii="Times New Roman" w:hAnsi="Times New Roman" w:cs="Times New Roman"/>
          </w:rPr>
          <w:t>https://doi.org/10.1017/S0021859610000341</w:t>
        </w:r>
      </w:hyperlink>
    </w:p>
    <w:p w14:paraId="688FB98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Smith, P., Cotrufo, M. F., Rumpel, C., Paustian, K., Kuikman, P. J., Elliott, J. A., McDowell, R., Griffiths, R. I., Asakawa, S., Bustamante, M., &amp; House, J. I. (2015). Biogeochemical cycles and biodiversity as key drivers of ecosystem services provided by soils. </w:t>
      </w:r>
      <w:r w:rsidRPr="009B0448">
        <w:rPr>
          <w:rFonts w:ascii="Times New Roman" w:hAnsi="Times New Roman" w:cs="Times New Roman"/>
          <w:i/>
        </w:rPr>
        <w:t>Soil Discussions, 1</w:t>
      </w:r>
      <w:r w:rsidRPr="009B0448">
        <w:rPr>
          <w:rFonts w:ascii="Times New Roman" w:hAnsi="Times New Roman" w:cs="Times New Roman"/>
        </w:rPr>
        <w:t xml:space="preserve">, 665–685. </w:t>
      </w:r>
      <w:hyperlink r:id="rId611" w:history="1">
        <w:r w:rsidRPr="009B0448">
          <w:rPr>
            <w:rStyle w:val="Hyperlink"/>
            <w:rFonts w:ascii="Times New Roman" w:hAnsi="Times New Roman" w:cs="Times New Roman"/>
          </w:rPr>
          <w:t>https://doi.org/10.5194/soild-2-537-2015</w:t>
        </w:r>
      </w:hyperlink>
      <w:r w:rsidRPr="009B0448">
        <w:rPr>
          <w:rFonts w:ascii="Times New Roman" w:hAnsi="Times New Roman" w:cs="Times New Roman"/>
        </w:rPr>
        <w:t xml:space="preserve"> </w:t>
      </w:r>
    </w:p>
    <w:p w14:paraId="6CCD881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Solh, A. A., Ngaido, T., &amp; Valkoun, J. (2003). Policy and education reform needs for conservation of dryland biodiversity. </w:t>
      </w:r>
      <w:r w:rsidRPr="009B0448">
        <w:rPr>
          <w:rFonts w:ascii="Times New Roman" w:hAnsi="Times New Roman" w:cs="Times New Roman"/>
          <w:i/>
        </w:rPr>
        <w:t>Journal of Arid Environments, 54</w:t>
      </w:r>
      <w:r w:rsidRPr="009B0448">
        <w:rPr>
          <w:rFonts w:ascii="Times New Roman" w:hAnsi="Times New Roman" w:cs="Times New Roman"/>
        </w:rPr>
        <w:t xml:space="preserve">, 5–13. </w:t>
      </w:r>
      <w:hyperlink r:id="rId612" w:history="1">
        <w:r w:rsidRPr="009B0448">
          <w:rPr>
            <w:rStyle w:val="Hyperlink"/>
            <w:rFonts w:ascii="Times New Roman" w:hAnsi="Times New Roman" w:cs="Times New Roman"/>
          </w:rPr>
          <w:t>https://doi.org/10.1006/jare.2001.0896</w:t>
        </w:r>
      </w:hyperlink>
    </w:p>
    <w:p w14:paraId="23EA096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Soliman, N. F., &amp; Yacout, D. M. M. (2016). Aquaculture in Egypt: Status, constraints and potentials. </w:t>
      </w:r>
      <w:r w:rsidRPr="009B0448">
        <w:rPr>
          <w:rFonts w:ascii="Times New Roman" w:hAnsi="Times New Roman" w:cs="Times New Roman"/>
          <w:i/>
        </w:rPr>
        <w:t>Aquaculture International, 24</w:t>
      </w:r>
      <w:r w:rsidRPr="009B0448">
        <w:rPr>
          <w:rFonts w:ascii="Times New Roman" w:hAnsi="Times New Roman" w:cs="Times New Roman"/>
        </w:rPr>
        <w:t xml:space="preserve">(5), 1201–1227. </w:t>
      </w:r>
      <w:hyperlink r:id="rId613" w:history="1">
        <w:r w:rsidRPr="009B0448">
          <w:rPr>
            <w:rStyle w:val="Hyperlink"/>
            <w:rFonts w:ascii="Times New Roman" w:hAnsi="Times New Roman" w:cs="Times New Roman"/>
          </w:rPr>
          <w:t>https://doi.org/10.1007/s10499-016-9989-9</w:t>
        </w:r>
      </w:hyperlink>
    </w:p>
    <w:p w14:paraId="6478BA91"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Stecher, K., Brosowski, A., &amp; Thrän, D. (2013). </w:t>
      </w:r>
      <w:r w:rsidRPr="009B0448">
        <w:rPr>
          <w:rFonts w:ascii="Times New Roman" w:hAnsi="Times New Roman" w:cs="Times New Roman"/>
          <w:i/>
        </w:rPr>
        <w:t>Biomass potential in Africa</w:t>
      </w:r>
      <w:r w:rsidRPr="009B0448">
        <w:rPr>
          <w:rFonts w:ascii="Times New Roman" w:hAnsi="Times New Roman" w:cs="Times New Roman"/>
        </w:rPr>
        <w:t xml:space="preserve">. Abu Dhabi: IRENA. Retrieved from </w:t>
      </w:r>
      <w:hyperlink r:id="rId614" w:history="1">
        <w:r w:rsidRPr="009B0448">
          <w:rPr>
            <w:rStyle w:val="Hyperlink"/>
            <w:rFonts w:ascii="Times New Roman" w:hAnsi="Times New Roman" w:cs="Times New Roman"/>
          </w:rPr>
          <w:t>https://www.irena.org/DocumentDownloads/Publications/IRENADBFZ_Biomass%20Potential%20in%20Africa.pdf</w:t>
        </w:r>
      </w:hyperlink>
    </w:p>
    <w:p w14:paraId="069A455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Sulieman, H. M., Buchroithner, M. F., &amp; Elhag, M. M. (2012). Use of local knowledge for assessing vegetation changes in the southern Gadarif Region, Sudan. </w:t>
      </w:r>
      <w:r w:rsidRPr="009B0448">
        <w:rPr>
          <w:rFonts w:ascii="Times New Roman" w:hAnsi="Times New Roman" w:cs="Times New Roman"/>
          <w:i/>
        </w:rPr>
        <w:t>African Journal of Ecology, 50</w:t>
      </w:r>
      <w:r w:rsidRPr="009B0448">
        <w:rPr>
          <w:rFonts w:ascii="Times New Roman" w:hAnsi="Times New Roman" w:cs="Times New Roman"/>
        </w:rPr>
        <w:t xml:space="preserve">, 233–242. </w:t>
      </w:r>
      <w:hyperlink r:id="rId615" w:history="1">
        <w:r w:rsidRPr="009B0448">
          <w:rPr>
            <w:rStyle w:val="Hyperlink"/>
            <w:rFonts w:ascii="Times New Roman" w:hAnsi="Times New Roman" w:cs="Times New Roman"/>
          </w:rPr>
          <w:t>https://doi.org/10.1111/j.1365-2028.2011.01318.x</w:t>
        </w:r>
      </w:hyperlink>
      <w:r w:rsidRPr="009B0448">
        <w:rPr>
          <w:rFonts w:ascii="Times New Roman" w:hAnsi="Times New Roman" w:cs="Times New Roman"/>
        </w:rPr>
        <w:t xml:space="preserve"> </w:t>
      </w:r>
    </w:p>
    <w:p w14:paraId="6761D27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Symeonakis, E., &amp; Drake, N. (2010). 10-Daily soil erosion modelling over sub-Saharan Africa. </w:t>
      </w:r>
      <w:r w:rsidRPr="009B0448">
        <w:rPr>
          <w:rFonts w:ascii="Times New Roman" w:hAnsi="Times New Roman" w:cs="Times New Roman"/>
          <w:i/>
        </w:rPr>
        <w:t>Environmental Monitoring and Assessment, 161</w:t>
      </w:r>
      <w:r w:rsidRPr="009B0448">
        <w:rPr>
          <w:rFonts w:ascii="Times New Roman" w:hAnsi="Times New Roman" w:cs="Times New Roman"/>
        </w:rPr>
        <w:t xml:space="preserve">, 369–387. </w:t>
      </w:r>
      <w:hyperlink r:id="rId616" w:history="1">
        <w:r w:rsidRPr="009B0448">
          <w:rPr>
            <w:rStyle w:val="Hyperlink"/>
            <w:rFonts w:ascii="Times New Roman" w:hAnsi="Times New Roman" w:cs="Times New Roman"/>
          </w:rPr>
          <w:t>https://doi.org/10.1007/s10661-009-0754-7</w:t>
        </w:r>
      </w:hyperlink>
    </w:p>
    <w:p w14:paraId="2ED43F94"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Tall, A., Patt, A., &amp; Fritz, S. (2013). Reducing vulnerability to hydro meteorological extremes in Africa. A qualitative assessment of national climate disaster management policies: Accounting for heterogeneity. </w:t>
      </w:r>
      <w:r w:rsidRPr="009B0448">
        <w:rPr>
          <w:rFonts w:ascii="Times New Roman" w:hAnsi="Times New Roman" w:cs="Times New Roman"/>
          <w:i/>
        </w:rPr>
        <w:t>Weather and Climate Extremes, 1</w:t>
      </w:r>
      <w:r w:rsidRPr="009B0448">
        <w:rPr>
          <w:rFonts w:ascii="Times New Roman" w:hAnsi="Times New Roman" w:cs="Times New Roman"/>
        </w:rPr>
        <w:t xml:space="preserve">, 4–16. </w:t>
      </w:r>
      <w:hyperlink r:id="rId617" w:history="1">
        <w:r w:rsidRPr="009B0448">
          <w:rPr>
            <w:rStyle w:val="Hyperlink"/>
            <w:rFonts w:ascii="Times New Roman" w:hAnsi="Times New Roman" w:cs="Times New Roman"/>
          </w:rPr>
          <w:t>https://doi.org/10.1016/j.wace.2013.07.007</w:t>
        </w:r>
      </w:hyperlink>
    </w:p>
    <w:p w14:paraId="1F97DF84"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Teh, L. S. L., Teh, L. C. L., &amp; Sumaila, U. R. (2013). A global estimate of the number of coral reef fishers. </w:t>
      </w:r>
      <w:r w:rsidRPr="009B0448">
        <w:rPr>
          <w:rFonts w:ascii="Times New Roman" w:hAnsi="Times New Roman" w:cs="Times New Roman"/>
          <w:i/>
        </w:rPr>
        <w:t>PLoS ONE, 8</w:t>
      </w:r>
      <w:r w:rsidRPr="009B0448">
        <w:rPr>
          <w:rFonts w:ascii="Times New Roman" w:hAnsi="Times New Roman" w:cs="Times New Roman"/>
        </w:rPr>
        <w:t xml:space="preserve">(6), e65397. </w:t>
      </w:r>
      <w:hyperlink r:id="rId618" w:history="1">
        <w:r w:rsidRPr="009B0448">
          <w:rPr>
            <w:rStyle w:val="Hyperlink"/>
            <w:rFonts w:ascii="Times New Roman" w:hAnsi="Times New Roman" w:cs="Times New Roman"/>
          </w:rPr>
          <w:t>https://doi.org/10.1371/journal.pone.0065397</w:t>
        </w:r>
      </w:hyperlink>
      <w:r w:rsidRPr="009B0448">
        <w:rPr>
          <w:rFonts w:ascii="Times New Roman" w:hAnsi="Times New Roman" w:cs="Times New Roman"/>
        </w:rPr>
        <w:t xml:space="preserve"> </w:t>
      </w:r>
    </w:p>
    <w:p w14:paraId="2066A11F"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Teklehaimanot, Z. (2004). Exploiting the potential of indigenous agroforestry trees: </w:t>
      </w:r>
      <w:r w:rsidRPr="009B0448">
        <w:rPr>
          <w:rFonts w:ascii="Times New Roman" w:hAnsi="Times New Roman" w:cs="Times New Roman"/>
          <w:i/>
        </w:rPr>
        <w:t>Parkia biglobosa</w:t>
      </w:r>
      <w:r w:rsidRPr="009B0448">
        <w:rPr>
          <w:rFonts w:ascii="Times New Roman" w:hAnsi="Times New Roman" w:cs="Times New Roman"/>
        </w:rPr>
        <w:t xml:space="preserve"> and </w:t>
      </w:r>
      <w:r w:rsidRPr="009B0448">
        <w:rPr>
          <w:rFonts w:ascii="Times New Roman" w:hAnsi="Times New Roman" w:cs="Times New Roman"/>
          <w:i/>
        </w:rPr>
        <w:t>Vitellaria paradoxa</w:t>
      </w:r>
      <w:r w:rsidRPr="009B0448">
        <w:rPr>
          <w:rFonts w:ascii="Times New Roman" w:hAnsi="Times New Roman" w:cs="Times New Roman"/>
        </w:rPr>
        <w:t xml:space="preserve"> in sub-Saharan Africa. </w:t>
      </w:r>
      <w:r w:rsidRPr="009B0448">
        <w:rPr>
          <w:rFonts w:ascii="Times New Roman" w:hAnsi="Times New Roman" w:cs="Times New Roman"/>
          <w:i/>
        </w:rPr>
        <w:t>Agroforestry Systems, 61</w:t>
      </w:r>
      <w:r w:rsidRPr="009B0448">
        <w:rPr>
          <w:rFonts w:ascii="Times New Roman" w:hAnsi="Times New Roman" w:cs="Times New Roman"/>
        </w:rPr>
        <w:t xml:space="preserve">, 207–220. </w:t>
      </w:r>
      <w:hyperlink r:id="rId619" w:history="1">
        <w:r w:rsidRPr="009B0448">
          <w:rPr>
            <w:rStyle w:val="Hyperlink"/>
            <w:rFonts w:ascii="Times New Roman" w:hAnsi="Times New Roman" w:cs="Times New Roman"/>
          </w:rPr>
          <w:t>https://doi.org/10.1023/B:AGFO.0000029000.22293.d1</w:t>
        </w:r>
      </w:hyperlink>
    </w:p>
    <w:p w14:paraId="1C3FF7C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Timko, J. A., Waeber, P. O., &amp; Kozak, R. A. (2010). The socio-economic contribution of non-timber forest products to rural livelihoods in sub-Saharan Africa: Knowledge gaps and new directions. </w:t>
      </w:r>
      <w:r w:rsidRPr="009B0448">
        <w:rPr>
          <w:rFonts w:ascii="Times New Roman" w:hAnsi="Times New Roman" w:cs="Times New Roman"/>
          <w:i/>
        </w:rPr>
        <w:t>International Forestry Review, 12</w:t>
      </w:r>
      <w:r w:rsidRPr="009B0448">
        <w:rPr>
          <w:rFonts w:ascii="Times New Roman" w:hAnsi="Times New Roman" w:cs="Times New Roman"/>
        </w:rPr>
        <w:t xml:space="preserve">(3), 284–294. </w:t>
      </w:r>
      <w:hyperlink r:id="rId620" w:history="1">
        <w:r w:rsidRPr="009B0448">
          <w:rPr>
            <w:rStyle w:val="Hyperlink"/>
            <w:rFonts w:ascii="Times New Roman" w:hAnsi="Times New Roman" w:cs="Times New Roman"/>
          </w:rPr>
          <w:t>https://doi.org/10.1505/ifor.12.3.284</w:t>
        </w:r>
      </w:hyperlink>
    </w:p>
    <w:p w14:paraId="5D108A9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Tiyou, T. (2016). The five biggest wind energy markets in Africa. </w:t>
      </w:r>
      <w:r w:rsidRPr="009B0448">
        <w:rPr>
          <w:rFonts w:ascii="Times New Roman" w:hAnsi="Times New Roman" w:cs="Times New Roman"/>
          <w:i/>
        </w:rPr>
        <w:t>Renewable Energy Focus, 17</w:t>
      </w:r>
      <w:r w:rsidRPr="009B0448">
        <w:rPr>
          <w:rFonts w:ascii="Times New Roman" w:hAnsi="Times New Roman" w:cs="Times New Roman"/>
        </w:rPr>
        <w:t xml:space="preserve">(6), 218–220. </w:t>
      </w:r>
      <w:hyperlink r:id="rId621" w:history="1">
        <w:r w:rsidRPr="009B0448">
          <w:rPr>
            <w:rStyle w:val="Hyperlink"/>
            <w:rFonts w:ascii="Times New Roman" w:hAnsi="Times New Roman" w:cs="Times New Roman"/>
          </w:rPr>
          <w:t>https://doi.org/10.1016/j.ref.2016.10.005</w:t>
        </w:r>
      </w:hyperlink>
      <w:r w:rsidRPr="009B0448">
        <w:rPr>
          <w:rFonts w:ascii="Times New Roman" w:hAnsi="Times New Roman" w:cs="Times New Roman"/>
        </w:rPr>
        <w:t xml:space="preserve"> </w:t>
      </w:r>
    </w:p>
    <w:p w14:paraId="5EA2B1A1"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Tobith, C., &amp; Cuny, P. (2006). Genre et foresterie Communautaire au Cameroun. Quelles perspectives pour les femmes? </w:t>
      </w:r>
      <w:r w:rsidRPr="009B0448">
        <w:rPr>
          <w:rFonts w:ascii="Times New Roman" w:hAnsi="Times New Roman" w:cs="Times New Roman"/>
          <w:i/>
        </w:rPr>
        <w:t>Bois et Forêts des Tropiques, 289</w:t>
      </w:r>
      <w:r w:rsidRPr="009B0448">
        <w:rPr>
          <w:rFonts w:ascii="Times New Roman" w:hAnsi="Times New Roman" w:cs="Times New Roman"/>
        </w:rPr>
        <w:t xml:space="preserve">(3), 17–26. Retrieved from </w:t>
      </w:r>
      <w:hyperlink r:id="rId622" w:history="1">
        <w:r w:rsidRPr="009B0448">
          <w:rPr>
            <w:rStyle w:val="Hyperlink"/>
            <w:rFonts w:ascii="Times New Roman" w:hAnsi="Times New Roman" w:cs="Times New Roman"/>
          </w:rPr>
          <w:t>http://bft.cirad.fr/cd/BFT_289_17-26.pdf</w:t>
        </w:r>
      </w:hyperlink>
      <w:r w:rsidRPr="009B0448">
        <w:rPr>
          <w:rFonts w:ascii="Times New Roman" w:hAnsi="Times New Roman" w:cs="Times New Roman"/>
        </w:rPr>
        <w:t xml:space="preserve"> </w:t>
      </w:r>
    </w:p>
    <w:p w14:paraId="22854C5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Turpie, J., Smith, B., Emerton, L., &amp; Barnes, J. (1999). </w:t>
      </w:r>
      <w:r w:rsidRPr="009B0448">
        <w:rPr>
          <w:rFonts w:ascii="Times New Roman" w:hAnsi="Times New Roman" w:cs="Times New Roman"/>
          <w:i/>
        </w:rPr>
        <w:t>Economic value of the Zambezi basin wetlands</w:t>
      </w:r>
      <w:r w:rsidRPr="009B0448">
        <w:rPr>
          <w:rFonts w:ascii="Times New Roman" w:hAnsi="Times New Roman" w:cs="Times New Roman"/>
        </w:rPr>
        <w:t xml:space="preserve">. Gland, Switzerland: IUCN. Retrieved from </w:t>
      </w:r>
      <w:hyperlink r:id="rId623" w:history="1">
        <w:r w:rsidRPr="009B0448">
          <w:rPr>
            <w:rStyle w:val="Hyperlink"/>
            <w:rFonts w:ascii="Times New Roman" w:hAnsi="Times New Roman" w:cs="Times New Roman"/>
          </w:rPr>
          <w:t>https://portals.iucn.org/library/node/8114</w:t>
        </w:r>
      </w:hyperlink>
      <w:r w:rsidRPr="009B0448">
        <w:rPr>
          <w:rFonts w:ascii="Times New Roman" w:hAnsi="Times New Roman" w:cs="Times New Roman"/>
        </w:rPr>
        <w:t xml:space="preserve"> </w:t>
      </w:r>
    </w:p>
    <w:p w14:paraId="6ECECA85" w14:textId="77777777" w:rsid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UN. (2012). </w:t>
      </w:r>
      <w:r w:rsidRPr="009B0448">
        <w:rPr>
          <w:rFonts w:ascii="Times New Roman" w:hAnsi="Times New Roman" w:cs="Times New Roman"/>
          <w:i/>
        </w:rPr>
        <w:t>World urbanization prospects, the 2011 Revision</w:t>
      </w:r>
      <w:r w:rsidRPr="009B0448">
        <w:rPr>
          <w:rFonts w:ascii="Times New Roman" w:hAnsi="Times New Roman" w:cs="Times New Roman"/>
        </w:rPr>
        <w:t xml:space="preserve">. New York, USA: UN. Retrieved from </w:t>
      </w:r>
      <w:hyperlink r:id="rId624" w:history="1">
        <w:r w:rsidRPr="009B0448">
          <w:rPr>
            <w:rStyle w:val="Hyperlink"/>
            <w:rFonts w:ascii="Times New Roman" w:hAnsi="Times New Roman" w:cs="Times New Roman"/>
          </w:rPr>
          <w:t>http://esa.un.org/unpd/wup/index.htm</w:t>
        </w:r>
      </w:hyperlink>
    </w:p>
    <w:p w14:paraId="141F65E6" w14:textId="0D05C783" w:rsidR="00056849" w:rsidRDefault="00056849" w:rsidP="009B0448">
      <w:pPr>
        <w:tabs>
          <w:tab w:val="left" w:pos="3418"/>
        </w:tabs>
        <w:spacing w:after="120" w:line="276" w:lineRule="auto"/>
        <w:ind w:left="567" w:hanging="567"/>
        <w:rPr>
          <w:rFonts w:ascii="Times New Roman" w:hAnsi="Times New Roman" w:cs="Times New Roman"/>
        </w:rPr>
      </w:pPr>
      <w:r>
        <w:rPr>
          <w:rFonts w:ascii="Times New Roman" w:hAnsi="Times New Roman" w:cs="Times New Roman"/>
        </w:rPr>
        <w:t>UN</w:t>
      </w:r>
      <w:r w:rsidRPr="00056849">
        <w:rPr>
          <w:rFonts w:ascii="Times New Roman" w:hAnsi="Times New Roman" w:cs="Times New Roman"/>
        </w:rPr>
        <w:t xml:space="preserve">. (2018). </w:t>
      </w:r>
      <w:r w:rsidRPr="00056849">
        <w:rPr>
          <w:rFonts w:ascii="Times New Roman" w:hAnsi="Times New Roman" w:cs="Times New Roman"/>
          <w:i/>
        </w:rPr>
        <w:t>Energy Statistics Database.</w:t>
      </w:r>
      <w:r w:rsidRPr="00056849">
        <w:rPr>
          <w:rFonts w:ascii="Times New Roman" w:hAnsi="Times New Roman" w:cs="Times New Roman"/>
        </w:rPr>
        <w:t xml:space="preserve"> Retrieved 21 March 2018, from </w:t>
      </w:r>
      <w:hyperlink r:id="rId625" w:history="1">
        <w:r w:rsidRPr="004059F1">
          <w:rPr>
            <w:rStyle w:val="Hyperlink"/>
            <w:rFonts w:ascii="Times New Roman" w:hAnsi="Times New Roman" w:cs="Times New Roman"/>
          </w:rPr>
          <w:t>https://unstats.un.org/unsd/energy/edbase.htm</w:t>
        </w:r>
      </w:hyperlink>
    </w:p>
    <w:p w14:paraId="0E3C4881"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UNEP. (2010). </w:t>
      </w:r>
      <w:r w:rsidRPr="009B0448">
        <w:rPr>
          <w:rFonts w:ascii="Times New Roman" w:hAnsi="Times New Roman" w:cs="Times New Roman"/>
          <w:i/>
        </w:rPr>
        <w:t>Using ecosystems to address climate change–ecosystem based adaptation</w:t>
      </w:r>
      <w:r w:rsidRPr="009B0448">
        <w:rPr>
          <w:rFonts w:ascii="Times New Roman" w:hAnsi="Times New Roman" w:cs="Times New Roman"/>
        </w:rPr>
        <w:t xml:space="preserve">. Nairobi, Kenya: UNEP. </w:t>
      </w:r>
    </w:p>
    <w:p w14:paraId="39B63DD4"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UNEP. (2014). </w:t>
      </w:r>
      <w:r w:rsidRPr="009B0448">
        <w:rPr>
          <w:rFonts w:ascii="Times New Roman" w:hAnsi="Times New Roman" w:cs="Times New Roman"/>
          <w:i/>
        </w:rPr>
        <w:t>Biodiversity and health</w:t>
      </w:r>
      <w:r w:rsidRPr="009B0448">
        <w:rPr>
          <w:rFonts w:ascii="Times New Roman" w:hAnsi="Times New Roman" w:cs="Times New Roman"/>
        </w:rPr>
        <w:t xml:space="preserve">. Pyeongchang, Republic of Korea: 12th Meeting of the Conference of the Parties to the UN Convention on Biological Diversity. Retrieved from </w:t>
      </w:r>
      <w:hyperlink r:id="rId626" w:history="1">
        <w:r w:rsidRPr="009B0448">
          <w:rPr>
            <w:rStyle w:val="Hyperlink"/>
            <w:rFonts w:ascii="Times New Roman" w:hAnsi="Times New Roman" w:cs="Times New Roman"/>
          </w:rPr>
          <w:t>http://www.cbd.int/cop12/insession</w:t>
        </w:r>
      </w:hyperlink>
    </w:p>
    <w:p w14:paraId="1F6EB40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UNEP. (2016). </w:t>
      </w:r>
      <w:r w:rsidRPr="009B0448">
        <w:rPr>
          <w:rFonts w:ascii="Times New Roman" w:hAnsi="Times New Roman" w:cs="Times New Roman"/>
          <w:i/>
        </w:rPr>
        <w:t>The socioeconomics of the West, Central and Southern African Coastal Communities: A Synthesis of Studies Regarding Large Marine Ecosystems</w:t>
      </w:r>
      <w:r w:rsidRPr="009B0448">
        <w:rPr>
          <w:rFonts w:ascii="Times New Roman" w:hAnsi="Times New Roman" w:cs="Times New Roman"/>
        </w:rPr>
        <w:t xml:space="preserve">. Nairobi, Kenya: UNEP. Retrieved from </w:t>
      </w:r>
      <w:hyperlink r:id="rId627" w:history="1">
        <w:r w:rsidRPr="009B0448">
          <w:rPr>
            <w:rStyle w:val="Hyperlink"/>
            <w:rFonts w:ascii="Times New Roman" w:hAnsi="Times New Roman" w:cs="Times New Roman"/>
          </w:rPr>
          <w:t>https://gridarendal-website-live.s3.amazonaws.com/production/documents/:s_document/323/original/AfricanLME_screen.pdf?1491297440</w:t>
        </w:r>
      </w:hyperlink>
      <w:r w:rsidRPr="009B0448">
        <w:rPr>
          <w:rFonts w:ascii="Times New Roman" w:hAnsi="Times New Roman" w:cs="Times New Roman"/>
        </w:rPr>
        <w:t xml:space="preserve"> </w:t>
      </w:r>
    </w:p>
    <w:p w14:paraId="74FC308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UNECA. (2005). </w:t>
      </w:r>
      <w:r w:rsidRPr="009B0448">
        <w:rPr>
          <w:rFonts w:ascii="Times New Roman" w:hAnsi="Times New Roman" w:cs="Times New Roman"/>
          <w:i/>
        </w:rPr>
        <w:t>Annual report 2005: Economic commission for Africa</w:t>
      </w:r>
      <w:r w:rsidRPr="009B0448">
        <w:rPr>
          <w:rFonts w:ascii="Times New Roman" w:hAnsi="Times New Roman" w:cs="Times New Roman"/>
        </w:rPr>
        <w:t xml:space="preserve">. Retrieved from </w:t>
      </w:r>
      <w:hyperlink r:id="rId628" w:history="1">
        <w:r w:rsidRPr="009B0448">
          <w:rPr>
            <w:rStyle w:val="Hyperlink"/>
            <w:rFonts w:ascii="Times New Roman" w:hAnsi="Times New Roman" w:cs="Times New Roman"/>
          </w:rPr>
          <w:t>http://hdl.handle.net/10855/14915</w:t>
        </w:r>
      </w:hyperlink>
    </w:p>
    <w:p w14:paraId="09DD89C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UNECA. (2006). </w:t>
      </w:r>
      <w:r w:rsidRPr="009B0448">
        <w:rPr>
          <w:rFonts w:ascii="Times New Roman" w:hAnsi="Times New Roman" w:cs="Times New Roman"/>
          <w:i/>
        </w:rPr>
        <w:t>Water in Africa. Management options to enhance survival and growth</w:t>
      </w:r>
      <w:r w:rsidRPr="009B0448">
        <w:rPr>
          <w:rFonts w:ascii="Times New Roman" w:hAnsi="Times New Roman" w:cs="Times New Roman"/>
        </w:rPr>
        <w:t xml:space="preserve">. Addis Ababa, Ethiopia: Economic Commission for Africa. </w:t>
      </w:r>
    </w:p>
    <w:p w14:paraId="12FC352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United Republic of Tanzania. (2014). </w:t>
      </w:r>
      <w:r w:rsidRPr="009B0448">
        <w:rPr>
          <w:rFonts w:ascii="Times New Roman" w:hAnsi="Times New Roman" w:cs="Times New Roman"/>
          <w:i/>
        </w:rPr>
        <w:t>Second state of the environment report</w:t>
      </w:r>
      <w:r w:rsidRPr="009B0448">
        <w:rPr>
          <w:rFonts w:ascii="Times New Roman" w:hAnsi="Times New Roman" w:cs="Times New Roman"/>
        </w:rPr>
        <w:t xml:space="preserve">. Dar es Salaam, Tanzania: Vice President’s Office. Retrieved from </w:t>
      </w:r>
      <w:hyperlink r:id="rId629" w:history="1">
        <w:r w:rsidRPr="009B0448">
          <w:rPr>
            <w:rStyle w:val="Hyperlink"/>
            <w:rFonts w:ascii="Times New Roman" w:hAnsi="Times New Roman" w:cs="Times New Roman"/>
          </w:rPr>
          <w:t>https://www.scribd.com/document/327279591/Tanzania-2nd-State-of-the-Envrionemnt-Report-2014</w:t>
        </w:r>
      </w:hyperlink>
      <w:r w:rsidRPr="009B0448">
        <w:rPr>
          <w:rFonts w:ascii="Times New Roman" w:hAnsi="Times New Roman" w:cs="Times New Roman"/>
        </w:rPr>
        <w:t xml:space="preserve"> </w:t>
      </w:r>
    </w:p>
    <w:p w14:paraId="708FA4B4" w14:textId="21C4BEE5"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UNWTO. (2017). </w:t>
      </w:r>
      <w:r w:rsidRPr="009B0448">
        <w:rPr>
          <w:rFonts w:ascii="Times New Roman" w:hAnsi="Times New Roman" w:cs="Times New Roman"/>
          <w:i/>
        </w:rPr>
        <w:t>UNWTO annual report 2016</w:t>
      </w:r>
      <w:r w:rsidRPr="009B0448">
        <w:rPr>
          <w:rFonts w:ascii="Times New Roman" w:hAnsi="Times New Roman" w:cs="Times New Roman"/>
        </w:rPr>
        <w:t xml:space="preserve">. Madrid, Spain: UNWTO. Retrieved from </w:t>
      </w:r>
      <w:hyperlink r:id="rId630" w:history="1">
        <w:r w:rsidRPr="009B0448">
          <w:rPr>
            <w:rStyle w:val="Hyperlink"/>
            <w:rFonts w:ascii="Times New Roman" w:hAnsi="Times New Roman" w:cs="Times New Roman"/>
          </w:rPr>
          <w:t>https://www.e-unwto.org/doi/pdf/10.18111/9789284418725</w:t>
        </w:r>
      </w:hyperlink>
    </w:p>
    <w:p w14:paraId="51AE8C8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Uprety, D. C., Dhar, S., Hongmin, D., Kimball, B. A., Garg, A., &amp; Upadhyay, J. (2012a). </w:t>
      </w:r>
      <w:r w:rsidRPr="009B0448">
        <w:rPr>
          <w:rFonts w:ascii="Times New Roman" w:hAnsi="Times New Roman" w:cs="Times New Roman"/>
          <w:i/>
        </w:rPr>
        <w:t>Technologies for climate change mitigation: Agriculture sector</w:t>
      </w:r>
      <w:r w:rsidRPr="009B0448">
        <w:rPr>
          <w:rFonts w:ascii="Times New Roman" w:hAnsi="Times New Roman" w:cs="Times New Roman"/>
        </w:rPr>
        <w:t xml:space="preserve">. Technical University of Denmark, Denmark: UNEP. Retrieved from </w:t>
      </w:r>
      <w:hyperlink r:id="rId631" w:history="1">
        <w:r w:rsidRPr="009B0448">
          <w:rPr>
            <w:rStyle w:val="Hyperlink"/>
            <w:rFonts w:ascii="Times New Roman" w:hAnsi="Times New Roman" w:cs="Times New Roman"/>
          </w:rPr>
          <w:t>http://orbit.dtu.dk/files/10267141/Technologies_for_Climate_Change_Mitigation_Agriculture_for_upload.pdf</w:t>
        </w:r>
      </w:hyperlink>
      <w:r w:rsidRPr="009B0448">
        <w:rPr>
          <w:rFonts w:ascii="Times New Roman" w:hAnsi="Times New Roman" w:cs="Times New Roman"/>
        </w:rPr>
        <w:t xml:space="preserve"> </w:t>
      </w:r>
    </w:p>
    <w:p w14:paraId="305293C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Uprety, Y., Hugo, A. H., Bergeron, Y., Doyon, F., &amp; Bouchermm, J. (2012b). Contribution of traditional knowledge to ecological restoration: Practices and applications. </w:t>
      </w:r>
      <w:r w:rsidRPr="009B0448">
        <w:rPr>
          <w:rFonts w:ascii="Times New Roman" w:hAnsi="Times New Roman" w:cs="Times New Roman"/>
          <w:i/>
        </w:rPr>
        <w:t>Ecoscience, 19</w:t>
      </w:r>
      <w:r w:rsidRPr="009B0448">
        <w:rPr>
          <w:rFonts w:ascii="Times New Roman" w:hAnsi="Times New Roman" w:cs="Times New Roman"/>
        </w:rPr>
        <w:t xml:space="preserve">(3), 225–237. </w:t>
      </w:r>
      <w:hyperlink r:id="rId632" w:history="1">
        <w:r w:rsidRPr="009B0448">
          <w:rPr>
            <w:rStyle w:val="Hyperlink"/>
            <w:rFonts w:ascii="Times New Roman" w:hAnsi="Times New Roman" w:cs="Times New Roman"/>
          </w:rPr>
          <w:t>https://doi.org/10.2980/19-3-3530</w:t>
        </w:r>
      </w:hyperlink>
    </w:p>
    <w:p w14:paraId="6AFC069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Upton, C., Ballatore, T., Adgo, E., Harper, D., Morrison, E., Ngendahayo, R., &amp; Pacini, N. (2013). </w:t>
      </w:r>
      <w:r w:rsidRPr="009B0448">
        <w:rPr>
          <w:rFonts w:ascii="Times New Roman" w:hAnsi="Times New Roman" w:cs="Times New Roman"/>
          <w:i/>
        </w:rPr>
        <w:t>Ecosystem services and livelihoods for the African Great Lakes: Overview and case studies</w:t>
      </w:r>
      <w:r w:rsidRPr="009B0448">
        <w:rPr>
          <w:rFonts w:ascii="Times New Roman" w:hAnsi="Times New Roman" w:cs="Times New Roman"/>
        </w:rPr>
        <w:t xml:space="preserve">. University of Leicester, UK: East African Great Lakes Observatory. Retrieved from </w:t>
      </w:r>
      <w:hyperlink r:id="rId633" w:history="1">
        <w:r w:rsidRPr="009B0448">
          <w:rPr>
            <w:rStyle w:val="Hyperlink"/>
            <w:rFonts w:ascii="Times New Roman" w:hAnsi="Times New Roman" w:cs="Times New Roman"/>
          </w:rPr>
          <w:t>https://www2.le.ac.uk/departments/geography/people/cu5/docs/upton-et-al-eaglo-final-report-2013</w:t>
        </w:r>
      </w:hyperlink>
      <w:r w:rsidRPr="009B0448">
        <w:rPr>
          <w:rFonts w:ascii="Times New Roman" w:hAnsi="Times New Roman" w:cs="Times New Roman"/>
        </w:rPr>
        <w:t xml:space="preserve"> </w:t>
      </w:r>
    </w:p>
    <w:p w14:paraId="6196C69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USDA. (2010). </w:t>
      </w:r>
      <w:r w:rsidRPr="009B0448">
        <w:rPr>
          <w:rFonts w:ascii="Times New Roman" w:hAnsi="Times New Roman" w:cs="Times New Roman"/>
          <w:i/>
        </w:rPr>
        <w:t>USDA PLANTS database</w:t>
      </w:r>
      <w:r w:rsidRPr="009B0448">
        <w:rPr>
          <w:rFonts w:ascii="Times New Roman" w:hAnsi="Times New Roman" w:cs="Times New Roman"/>
        </w:rPr>
        <w:t xml:space="preserve">. Retrieved from </w:t>
      </w:r>
      <w:hyperlink r:id="rId634" w:history="1">
        <w:r w:rsidRPr="009B0448">
          <w:rPr>
            <w:rStyle w:val="Hyperlink"/>
            <w:rFonts w:ascii="Times New Roman" w:hAnsi="Times New Roman" w:cs="Times New Roman"/>
          </w:rPr>
          <w:t>http://plants.usda.gov/</w:t>
        </w:r>
      </w:hyperlink>
    </w:p>
    <w:p w14:paraId="704E98E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van Huis, A. (2003). Insects as food in sub-Saharan Africa. </w:t>
      </w:r>
      <w:r w:rsidRPr="009B0448">
        <w:rPr>
          <w:rFonts w:ascii="Times New Roman" w:hAnsi="Times New Roman" w:cs="Times New Roman"/>
          <w:i/>
        </w:rPr>
        <w:t>Insect Science Application, 23</w:t>
      </w:r>
      <w:r w:rsidRPr="009B0448">
        <w:rPr>
          <w:rFonts w:ascii="Times New Roman" w:hAnsi="Times New Roman" w:cs="Times New Roman"/>
        </w:rPr>
        <w:t xml:space="preserve">(3), 163–185. </w:t>
      </w:r>
      <w:hyperlink r:id="rId635" w:history="1">
        <w:r w:rsidRPr="009B0448">
          <w:rPr>
            <w:rStyle w:val="Hyperlink"/>
            <w:rFonts w:ascii="Times New Roman" w:hAnsi="Times New Roman" w:cs="Times New Roman"/>
          </w:rPr>
          <w:t>https://doi.org/10.1017/S1742758400023572</w:t>
        </w:r>
      </w:hyperlink>
      <w:r w:rsidRPr="009B0448">
        <w:rPr>
          <w:rFonts w:ascii="Times New Roman" w:hAnsi="Times New Roman" w:cs="Times New Roman"/>
        </w:rPr>
        <w:t xml:space="preserve"> </w:t>
      </w:r>
    </w:p>
    <w:p w14:paraId="124CB94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van Jaarsveld, A., Biggs, R., Scholes, R., Bohensky, E., Reyers, B., Lynam, T., Musvoto, C., &amp; Fabricius, C. (2005). Measuring conditions and trends in ecosystem services at multiple scales: The Southern African Millennium Ecosystem Assessment (SAfMA) experience. </w:t>
      </w:r>
      <w:r w:rsidRPr="009B0448">
        <w:rPr>
          <w:rFonts w:ascii="Times New Roman" w:hAnsi="Times New Roman" w:cs="Times New Roman"/>
          <w:i/>
          <w:color w:val="auto"/>
        </w:rPr>
        <w:t>Philosophical Transactions of the Royal Society B: Biological Sciences, 360</w:t>
      </w:r>
      <w:r w:rsidRPr="009B0448">
        <w:rPr>
          <w:rFonts w:ascii="Times New Roman" w:hAnsi="Times New Roman" w:cs="Times New Roman"/>
          <w:color w:val="auto"/>
        </w:rPr>
        <w:t xml:space="preserve">(1454), 425–441. </w:t>
      </w:r>
      <w:hyperlink r:id="rId636" w:history="1">
        <w:r w:rsidRPr="009B0448">
          <w:rPr>
            <w:rStyle w:val="Hyperlink"/>
            <w:rFonts w:ascii="Times New Roman" w:hAnsi="Times New Roman" w:cs="Times New Roman"/>
          </w:rPr>
          <w:t>https://doi.org/10.1098/rstb.2004.1594</w:t>
        </w:r>
      </w:hyperlink>
    </w:p>
    <w:p w14:paraId="246C86E0"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Verschuuren, B. (Ed.). (2010). </w:t>
      </w:r>
      <w:r w:rsidRPr="009B0448">
        <w:rPr>
          <w:rFonts w:ascii="Times New Roman" w:hAnsi="Times New Roman" w:cs="Times New Roman"/>
          <w:i/>
        </w:rPr>
        <w:t>Sacred natural sites: Conserving nature and culture</w:t>
      </w:r>
      <w:r w:rsidRPr="009B0448">
        <w:rPr>
          <w:rFonts w:ascii="Times New Roman" w:hAnsi="Times New Roman" w:cs="Times New Roman"/>
        </w:rPr>
        <w:t xml:space="preserve">. Gland, Switzerland: IUCN. Retrieved from </w:t>
      </w:r>
      <w:hyperlink r:id="rId637" w:history="1">
        <w:r w:rsidRPr="009B0448">
          <w:rPr>
            <w:rStyle w:val="Hyperlink"/>
            <w:rFonts w:ascii="Times New Roman" w:hAnsi="Times New Roman" w:cs="Times New Roman"/>
          </w:rPr>
          <w:t>https://portals.iucn.org/library/sites/library/files/documents/2010-045.pdf</w:t>
        </w:r>
      </w:hyperlink>
      <w:r w:rsidRPr="009B0448">
        <w:rPr>
          <w:rFonts w:ascii="Times New Roman" w:hAnsi="Times New Roman" w:cs="Times New Roman"/>
        </w:rPr>
        <w:t xml:space="preserve"> </w:t>
      </w:r>
    </w:p>
    <w:p w14:paraId="727F0E0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von Döhren, P., &amp; Haase, D. (2015). Ecosystem disservices research: A review of the state of the art with a focus on cities. </w:t>
      </w:r>
      <w:r w:rsidRPr="009B0448">
        <w:rPr>
          <w:rFonts w:ascii="Times New Roman" w:hAnsi="Times New Roman" w:cs="Times New Roman"/>
          <w:i/>
        </w:rPr>
        <w:t>Ecological Indicators, 52</w:t>
      </w:r>
      <w:r w:rsidRPr="009B0448">
        <w:rPr>
          <w:rFonts w:ascii="Times New Roman" w:hAnsi="Times New Roman" w:cs="Times New Roman"/>
        </w:rPr>
        <w:t xml:space="preserve">, 490–497. </w:t>
      </w:r>
      <w:hyperlink r:id="rId638" w:history="1">
        <w:r w:rsidRPr="009B0448">
          <w:rPr>
            <w:rStyle w:val="Hyperlink"/>
            <w:rFonts w:ascii="Times New Roman" w:hAnsi="Times New Roman" w:cs="Times New Roman"/>
          </w:rPr>
          <w:t>https://doi.org/10.1016/j.ecolind.2014.12.027</w:t>
        </w:r>
      </w:hyperlink>
      <w:r w:rsidRPr="009B0448">
        <w:rPr>
          <w:rFonts w:ascii="Times New Roman" w:hAnsi="Times New Roman" w:cs="Times New Roman"/>
        </w:rPr>
        <w:t xml:space="preserve"> </w:t>
      </w:r>
    </w:p>
    <w:p w14:paraId="0F4AD7ED"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Wangai, P. W., Burkhard, B., &amp; Muller, F. (2017). A review of studies on ecosystem services in Africa. </w:t>
      </w:r>
      <w:r w:rsidRPr="009B0448">
        <w:rPr>
          <w:rFonts w:ascii="Times New Roman" w:hAnsi="Times New Roman" w:cs="Times New Roman"/>
          <w:i/>
        </w:rPr>
        <w:t>International Journal of Sustainable Built Environment, 5</w:t>
      </w:r>
      <w:r w:rsidRPr="009B0448">
        <w:rPr>
          <w:rFonts w:ascii="Times New Roman" w:hAnsi="Times New Roman" w:cs="Times New Roman"/>
        </w:rPr>
        <w:t xml:space="preserve">, 225–245. </w:t>
      </w:r>
      <w:hyperlink r:id="rId639" w:history="1">
        <w:r w:rsidRPr="009B0448">
          <w:rPr>
            <w:rStyle w:val="Hyperlink"/>
            <w:rFonts w:ascii="Times New Roman" w:hAnsi="Times New Roman" w:cs="Times New Roman"/>
          </w:rPr>
          <w:t>https://doi.org/10.1016/j.ijsbe.2016.08.005</w:t>
        </w:r>
      </w:hyperlink>
    </w:p>
    <w:p w14:paraId="454A526C"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Wehner, R. (1990). On the brink of introducing sensory ecology: Felix Santschi (1872–1940)–Tabib-en-Neml. </w:t>
      </w:r>
      <w:r w:rsidRPr="009B0448">
        <w:rPr>
          <w:rFonts w:ascii="Times New Roman" w:hAnsi="Times New Roman" w:cs="Times New Roman"/>
          <w:i/>
        </w:rPr>
        <w:t>Behavioural Ecology and Sociobiology, 27</w:t>
      </w:r>
      <w:r w:rsidRPr="009B0448">
        <w:rPr>
          <w:rFonts w:ascii="Times New Roman" w:hAnsi="Times New Roman" w:cs="Times New Roman"/>
        </w:rPr>
        <w:t xml:space="preserve">, 295–306. </w:t>
      </w:r>
      <w:hyperlink r:id="rId640" w:history="1">
        <w:r w:rsidRPr="009B0448">
          <w:rPr>
            <w:rStyle w:val="Hyperlink"/>
            <w:rFonts w:ascii="Times New Roman" w:hAnsi="Times New Roman" w:cs="Times New Roman"/>
          </w:rPr>
          <w:t>https://doi.org/10.1007/BF00164903</w:t>
        </w:r>
      </w:hyperlink>
      <w:r w:rsidRPr="009B0448">
        <w:rPr>
          <w:rFonts w:ascii="Times New Roman" w:hAnsi="Times New Roman" w:cs="Times New Roman"/>
        </w:rPr>
        <w:t xml:space="preserve"> </w:t>
      </w:r>
    </w:p>
    <w:p w14:paraId="4F48E355"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West, P. (2006). </w:t>
      </w:r>
      <w:r w:rsidRPr="009B0448">
        <w:rPr>
          <w:rFonts w:ascii="Times New Roman" w:hAnsi="Times New Roman" w:cs="Times New Roman"/>
          <w:i/>
        </w:rPr>
        <w:t>Conservation is our government now: The politics of ecology in Papua New Guinea</w:t>
      </w:r>
      <w:r w:rsidRPr="009B0448">
        <w:rPr>
          <w:rFonts w:ascii="Times New Roman" w:hAnsi="Times New Roman" w:cs="Times New Roman"/>
        </w:rPr>
        <w:t>. Duke University, USA: Duke University Press.</w:t>
      </w:r>
    </w:p>
    <w:p w14:paraId="3A461583"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Whitmore, A. P., Kirk, G. J. D., &amp; Rawlins, B. G. (2014). Technologies for increasing carbon storage in soil to mitigate climate change. </w:t>
      </w:r>
      <w:r w:rsidRPr="009B0448">
        <w:rPr>
          <w:rFonts w:ascii="Times New Roman" w:hAnsi="Times New Roman" w:cs="Times New Roman"/>
          <w:i/>
        </w:rPr>
        <w:t>Soil Use Management, 30</w:t>
      </w:r>
      <w:r w:rsidRPr="009B0448">
        <w:rPr>
          <w:rFonts w:ascii="Times New Roman" w:hAnsi="Times New Roman" w:cs="Times New Roman"/>
        </w:rPr>
        <w:t xml:space="preserve">, 10–22. </w:t>
      </w:r>
      <w:hyperlink r:id="rId641" w:history="1">
        <w:r w:rsidRPr="009B0448">
          <w:rPr>
            <w:rStyle w:val="Hyperlink"/>
            <w:rFonts w:ascii="Times New Roman" w:hAnsi="Times New Roman" w:cs="Times New Roman"/>
          </w:rPr>
          <w:t>https://doi.org/10.1111/sum.12115</w:t>
        </w:r>
      </w:hyperlink>
      <w:r w:rsidRPr="009B0448">
        <w:rPr>
          <w:rFonts w:ascii="Times New Roman" w:hAnsi="Times New Roman" w:cs="Times New Roman"/>
        </w:rPr>
        <w:t xml:space="preserve"> </w:t>
      </w:r>
    </w:p>
    <w:p w14:paraId="2DB41011"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WHO. (2002). </w:t>
      </w:r>
      <w:r w:rsidRPr="009B0448">
        <w:rPr>
          <w:rFonts w:ascii="Times New Roman" w:hAnsi="Times New Roman" w:cs="Times New Roman"/>
          <w:i/>
        </w:rPr>
        <w:t>Traditional medicine strategy 2002–2005</w:t>
      </w:r>
      <w:r w:rsidRPr="009B0448">
        <w:rPr>
          <w:rFonts w:ascii="Times New Roman" w:hAnsi="Times New Roman" w:cs="Times New Roman"/>
        </w:rPr>
        <w:t xml:space="preserve">. Geneva, Switzerland: WHO. Retrieved from </w:t>
      </w:r>
      <w:hyperlink r:id="rId642" w:history="1">
        <w:r w:rsidRPr="009B0448">
          <w:rPr>
            <w:rStyle w:val="Hyperlink"/>
            <w:rFonts w:ascii="Times New Roman" w:hAnsi="Times New Roman" w:cs="Times New Roman"/>
          </w:rPr>
          <w:t>http://www.wpro.who.int/health_technology/book_who_traditional_medicine_strategy_2002_2005.pdf</w:t>
        </w:r>
      </w:hyperlink>
      <w:r w:rsidRPr="009B0448">
        <w:rPr>
          <w:rFonts w:ascii="Times New Roman" w:hAnsi="Times New Roman" w:cs="Times New Roman"/>
        </w:rPr>
        <w:t xml:space="preserve"> </w:t>
      </w:r>
    </w:p>
    <w:p w14:paraId="6FD92EF8"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WHO. (2013). </w:t>
      </w:r>
      <w:r w:rsidRPr="009B0448">
        <w:rPr>
          <w:rFonts w:ascii="Times New Roman" w:hAnsi="Times New Roman" w:cs="Times New Roman"/>
          <w:i/>
        </w:rPr>
        <w:t>Schistosomiasis Fact sheet no. 115</w:t>
      </w:r>
      <w:r w:rsidRPr="009B0448">
        <w:rPr>
          <w:rFonts w:ascii="Times New Roman" w:hAnsi="Times New Roman" w:cs="Times New Roman"/>
        </w:rPr>
        <w:t xml:space="preserve">. Retrieved from </w:t>
      </w:r>
      <w:hyperlink r:id="rId643" w:history="1">
        <w:r w:rsidRPr="009B0448">
          <w:rPr>
            <w:rStyle w:val="Hyperlink"/>
            <w:rFonts w:ascii="Times New Roman" w:hAnsi="Times New Roman" w:cs="Times New Roman"/>
          </w:rPr>
          <w:t>http://www.who.int/mediacentre/factsheets/fs115/en/index.html</w:t>
        </w:r>
      </w:hyperlink>
      <w:r w:rsidRPr="009B0448">
        <w:rPr>
          <w:rFonts w:ascii="Times New Roman" w:hAnsi="Times New Roman" w:cs="Times New Roman"/>
        </w:rPr>
        <w:t xml:space="preserve"> </w:t>
      </w:r>
    </w:p>
    <w:p w14:paraId="79EBD54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Wicke, B., Smeets, E., Watson, H., &amp; Faaij, A. (2011). The current bioenergy production potential of semi-arid and arid regions in sub-Saharan Africa. </w:t>
      </w:r>
      <w:r w:rsidRPr="009B0448">
        <w:rPr>
          <w:rFonts w:ascii="Times New Roman" w:hAnsi="Times New Roman" w:cs="Times New Roman"/>
          <w:i/>
        </w:rPr>
        <w:t>Biomass and Bioenergy, 35</w:t>
      </w:r>
      <w:r w:rsidRPr="009B0448">
        <w:rPr>
          <w:rFonts w:ascii="Times New Roman" w:hAnsi="Times New Roman" w:cs="Times New Roman"/>
        </w:rPr>
        <w:t xml:space="preserve">(7), 2773–2786. </w:t>
      </w:r>
      <w:hyperlink r:id="rId644" w:history="1">
        <w:r w:rsidRPr="009B0448">
          <w:rPr>
            <w:rStyle w:val="Hyperlink"/>
            <w:rFonts w:ascii="Times New Roman" w:hAnsi="Times New Roman" w:cs="Times New Roman"/>
          </w:rPr>
          <w:t>https://doi.org/10.1016/j.biombioe.2011.03.010</w:t>
        </w:r>
      </w:hyperlink>
    </w:p>
    <w:p w14:paraId="6762084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Wilby, R. L., &amp; Fowler, H. J. (2010). Regional climate downscaling. In C. F. Fung., A. Lopez., &amp; M. New (Eds.), </w:t>
      </w:r>
      <w:r w:rsidRPr="009B0448">
        <w:rPr>
          <w:rFonts w:ascii="Times New Roman" w:hAnsi="Times New Roman" w:cs="Times New Roman"/>
          <w:i/>
        </w:rPr>
        <w:t>Modelling the impact of climate change on water resources</w:t>
      </w:r>
      <w:r w:rsidRPr="009B0448">
        <w:rPr>
          <w:rFonts w:ascii="Times New Roman" w:hAnsi="Times New Roman" w:cs="Times New Roman"/>
        </w:rPr>
        <w:t xml:space="preserve"> (pp. 34–85). Chichester, UK: Wiley and Blackwell. </w:t>
      </w:r>
    </w:p>
    <w:p w14:paraId="36E4F6B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lastRenderedPageBreak/>
        <w:t xml:space="preserve">Wilkie, D. S., Wieland, M., Boulet, H., Le Bel, S., Vliet, N., Cornelis, D., BriacWarnon, V., Nasi, R., &amp; Fa, J. E. (2016). Eating and conserving bushmeat in Africa. </w:t>
      </w:r>
      <w:r w:rsidRPr="009B0448">
        <w:rPr>
          <w:rFonts w:ascii="Times New Roman" w:hAnsi="Times New Roman" w:cs="Times New Roman"/>
          <w:i/>
        </w:rPr>
        <w:t>African Journal of Ecology, 54</w:t>
      </w:r>
      <w:r w:rsidRPr="009B0448">
        <w:rPr>
          <w:rFonts w:ascii="Times New Roman" w:hAnsi="Times New Roman" w:cs="Times New Roman"/>
        </w:rPr>
        <w:t xml:space="preserve">, 402–414. </w:t>
      </w:r>
      <w:hyperlink r:id="rId645" w:history="1">
        <w:r w:rsidRPr="009B0448">
          <w:rPr>
            <w:rStyle w:val="Hyperlink"/>
            <w:rFonts w:ascii="Times New Roman" w:hAnsi="Times New Roman" w:cs="Times New Roman"/>
          </w:rPr>
          <w:t>https://doi.org/10.1111/aje.12392</w:t>
        </w:r>
      </w:hyperlink>
      <w:r w:rsidRPr="009B0448">
        <w:rPr>
          <w:rFonts w:ascii="Times New Roman" w:hAnsi="Times New Roman" w:cs="Times New Roman"/>
        </w:rPr>
        <w:t xml:space="preserve"> </w:t>
      </w:r>
    </w:p>
    <w:p w14:paraId="08D8CF27"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Willmott, E., Le Courtois, A., Baker Gallegos, J., &amp; Datta, N. (2011). </w:t>
      </w:r>
      <w:r w:rsidRPr="009B0448">
        <w:rPr>
          <w:rFonts w:ascii="Times New Roman" w:hAnsi="Times New Roman" w:cs="Times New Roman"/>
          <w:i/>
        </w:rPr>
        <w:t>Guide to climate change adaptation in cities</w:t>
      </w:r>
      <w:r w:rsidRPr="009B0448">
        <w:rPr>
          <w:rFonts w:ascii="Times New Roman" w:hAnsi="Times New Roman" w:cs="Times New Roman"/>
        </w:rPr>
        <w:t xml:space="preserve"> (pp. 1–106). Washington, DC: World Bank. </w:t>
      </w:r>
      <w:hyperlink r:id="rId646" w:history="1">
        <w:r w:rsidRPr="009B0448">
          <w:rPr>
            <w:rStyle w:val="Hyperlink"/>
            <w:rFonts w:ascii="Times New Roman" w:hAnsi="Times New Roman" w:cs="Times New Roman"/>
          </w:rPr>
          <w:t>https://doi.org/10.1596/27396</w:t>
        </w:r>
      </w:hyperlink>
      <w:r w:rsidRPr="009B0448">
        <w:rPr>
          <w:rFonts w:ascii="Times New Roman" w:hAnsi="Times New Roman" w:cs="Times New Roman"/>
        </w:rPr>
        <w:t xml:space="preserve"> </w:t>
      </w:r>
    </w:p>
    <w:p w14:paraId="008FBF66"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Wollny, C. B. (2003). The need to conserve farm animal genetic resources in Africa: Should policy makers be concerned? </w:t>
      </w:r>
      <w:r w:rsidRPr="009B0448">
        <w:rPr>
          <w:rFonts w:ascii="Times New Roman" w:hAnsi="Times New Roman" w:cs="Times New Roman"/>
          <w:i/>
        </w:rPr>
        <w:t>Ecological Economics, 45</w:t>
      </w:r>
      <w:r w:rsidRPr="009B0448">
        <w:rPr>
          <w:rFonts w:ascii="Times New Roman" w:hAnsi="Times New Roman" w:cs="Times New Roman"/>
        </w:rPr>
        <w:t xml:space="preserve">(3), 341–351. </w:t>
      </w:r>
      <w:hyperlink r:id="rId647" w:history="1">
        <w:r w:rsidRPr="009B0448">
          <w:rPr>
            <w:rStyle w:val="Hyperlink"/>
            <w:rFonts w:ascii="Times New Roman" w:hAnsi="Times New Roman" w:cs="Times New Roman"/>
          </w:rPr>
          <w:t>https://doi.org/10.1016/S0921-8009(03)00089-2</w:t>
        </w:r>
      </w:hyperlink>
    </w:p>
    <w:p w14:paraId="25AE5052"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Wong, C. P., Jiang, B., Kinzig, A. P., Lee, K. N., &amp; Ouyang, Z. (2015). Linking ecosystem characteristics to final ecosystem services for public policy. </w:t>
      </w:r>
      <w:r w:rsidRPr="009B0448">
        <w:rPr>
          <w:rFonts w:ascii="Times New Roman" w:hAnsi="Times New Roman" w:cs="Times New Roman"/>
          <w:i/>
        </w:rPr>
        <w:t>Ecology Letters, 18</w:t>
      </w:r>
      <w:r w:rsidRPr="009B0448">
        <w:rPr>
          <w:rFonts w:ascii="Times New Roman" w:hAnsi="Times New Roman" w:cs="Times New Roman"/>
        </w:rPr>
        <w:t xml:space="preserve">,108–118. </w:t>
      </w:r>
      <w:hyperlink r:id="rId648" w:history="1">
        <w:r w:rsidRPr="009B0448">
          <w:rPr>
            <w:rStyle w:val="Hyperlink"/>
            <w:rFonts w:ascii="Times New Roman" w:hAnsi="Times New Roman" w:cs="Times New Roman"/>
          </w:rPr>
          <w:t>https://doi.org/10.1111/ele.12389</w:t>
        </w:r>
      </w:hyperlink>
      <w:r w:rsidRPr="009B0448">
        <w:rPr>
          <w:rFonts w:ascii="Times New Roman" w:hAnsi="Times New Roman" w:cs="Times New Roman"/>
        </w:rPr>
        <w:t xml:space="preserve"> </w:t>
      </w:r>
    </w:p>
    <w:p w14:paraId="2B4C3056" w14:textId="13DC1190"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World Agroforestry Centre. (2013). </w:t>
      </w:r>
      <w:r w:rsidRPr="009B0448">
        <w:rPr>
          <w:rFonts w:ascii="Times New Roman" w:hAnsi="Times New Roman" w:cs="Times New Roman"/>
          <w:i/>
        </w:rPr>
        <w:t>Charcoal: A driver of dryland forest degradation in Africa?</w:t>
      </w:r>
      <w:r w:rsidRPr="009B0448">
        <w:rPr>
          <w:rFonts w:ascii="Times New Roman" w:hAnsi="Times New Roman" w:cs="Times New Roman"/>
        </w:rPr>
        <w:t xml:space="preserve"> Nairobi, Kenya: World Agroforestry Centre. Retrieved from </w:t>
      </w:r>
      <w:hyperlink r:id="rId649" w:history="1">
        <w:r w:rsidRPr="009B0448">
          <w:rPr>
            <w:rStyle w:val="Hyperlink"/>
            <w:rFonts w:ascii="Times New Roman" w:hAnsi="Times New Roman" w:cs="Times New Roman"/>
          </w:rPr>
          <w:t>http://hdl.handle.net/10568/52032</w:t>
        </w:r>
      </w:hyperlink>
    </w:p>
    <w:p w14:paraId="24E70A5B"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World Bank data repository. Accessed on 24 June 2017. Retreived from </w:t>
      </w:r>
      <w:hyperlink r:id="rId650" w:history="1">
        <w:r w:rsidRPr="009B0448">
          <w:rPr>
            <w:rStyle w:val="Hyperlink"/>
            <w:rFonts w:ascii="Times New Roman" w:hAnsi="Times New Roman" w:cs="Times New Roman"/>
          </w:rPr>
          <w:t>https://data.worldbank.org/</w:t>
        </w:r>
      </w:hyperlink>
      <w:r w:rsidRPr="009B0448">
        <w:rPr>
          <w:rFonts w:ascii="Times New Roman" w:hAnsi="Times New Roman" w:cs="Times New Roman"/>
        </w:rPr>
        <w:t xml:space="preserve"> </w:t>
      </w:r>
    </w:p>
    <w:p w14:paraId="4E84FC3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Wright, I. J., Reich, P. B., Westoby, M., Ackerly, D. D., Baruch, Z., Bongers, F., Cavender-Bares, J., Chapin, T., Cornelissen, J. H. C., Diemer, M., Flexas, J., Garnier, E., Groom, P. K., Gulias, J., Hikosaka, K., Lamont, B. B., Lee, T., Lee, W., Lusk, C., Midgley, J. J., Navas, M-L., Niinemets, U., Oleksyn, J., Osada, N., Poorter, H., Poot, P., Prior, L., Pyankov, V. I., Roumet, C., Thomas, S. C., Tjoelker, M. G., Veneklaas, E. J., &amp; Villar, R. (2004). The worldwide leaf economics spectrum. </w:t>
      </w:r>
      <w:r w:rsidRPr="009B0448">
        <w:rPr>
          <w:rFonts w:ascii="Times New Roman" w:hAnsi="Times New Roman" w:cs="Times New Roman"/>
          <w:i/>
        </w:rPr>
        <w:t>Nature, 428</w:t>
      </w:r>
      <w:r w:rsidRPr="009B0448">
        <w:rPr>
          <w:rFonts w:ascii="Times New Roman" w:hAnsi="Times New Roman" w:cs="Times New Roman"/>
        </w:rPr>
        <w:t xml:space="preserve">, 821–827. </w:t>
      </w:r>
      <w:hyperlink r:id="rId651" w:history="1">
        <w:r w:rsidRPr="009B0448">
          <w:rPr>
            <w:rStyle w:val="Hyperlink"/>
            <w:rFonts w:ascii="Times New Roman" w:hAnsi="Times New Roman" w:cs="Times New Roman"/>
          </w:rPr>
          <w:t>https://doi.org/10.1038/nature02403</w:t>
        </w:r>
      </w:hyperlink>
      <w:r w:rsidRPr="009B0448">
        <w:rPr>
          <w:rFonts w:ascii="Times New Roman" w:hAnsi="Times New Roman" w:cs="Times New Roman"/>
        </w:rPr>
        <w:t xml:space="preserve"> </w:t>
      </w:r>
    </w:p>
    <w:p w14:paraId="5ECDBB0A"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Yankuzo, K. I. (2014). Impact of globalization on the traditional African cultures. </w:t>
      </w:r>
      <w:r w:rsidRPr="009B0448">
        <w:rPr>
          <w:rFonts w:ascii="Times New Roman" w:hAnsi="Times New Roman" w:cs="Times New Roman"/>
          <w:i/>
        </w:rPr>
        <w:t>International Letters of Social and Humanistic Sciences Online, 15</w:t>
      </w:r>
      <w:r w:rsidRPr="009B0448">
        <w:rPr>
          <w:rFonts w:ascii="Times New Roman" w:hAnsi="Times New Roman" w:cs="Times New Roman"/>
        </w:rPr>
        <w:t xml:space="preserve">, 1–8. </w:t>
      </w:r>
      <w:hyperlink r:id="rId652" w:history="1">
        <w:r w:rsidRPr="009B0448">
          <w:rPr>
            <w:rStyle w:val="Hyperlink"/>
            <w:rFonts w:ascii="Times New Roman" w:hAnsi="Times New Roman" w:cs="Times New Roman"/>
          </w:rPr>
          <w:t>https://doi.org/10.18052/www.scipress.com/ILSHS.15.1</w:t>
        </w:r>
      </w:hyperlink>
      <w:r w:rsidRPr="009B0448">
        <w:rPr>
          <w:rFonts w:ascii="Times New Roman" w:hAnsi="Times New Roman" w:cs="Times New Roman"/>
        </w:rPr>
        <w:t xml:space="preserve"> </w:t>
      </w:r>
    </w:p>
    <w:p w14:paraId="158D4EFE" w14:textId="77777777" w:rsidR="009B0448" w:rsidRPr="009B0448" w:rsidRDefault="009B0448"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Yaron, G. (2001). Forest, plantation crops or small-scale agriculture? An economic analysis of alternative land use options in the Mount Cameroon Area. </w:t>
      </w:r>
      <w:r w:rsidRPr="009B0448">
        <w:rPr>
          <w:rFonts w:ascii="Times New Roman" w:hAnsi="Times New Roman" w:cs="Times New Roman"/>
          <w:i/>
        </w:rPr>
        <w:t>Journal of Environmental Planning and Management, 44</w:t>
      </w:r>
      <w:r w:rsidRPr="009B0448">
        <w:rPr>
          <w:rFonts w:ascii="Times New Roman" w:hAnsi="Times New Roman" w:cs="Times New Roman"/>
        </w:rPr>
        <w:t xml:space="preserve">(1), 85–108. </w:t>
      </w:r>
      <w:hyperlink r:id="rId653" w:history="1">
        <w:r w:rsidRPr="009B0448">
          <w:rPr>
            <w:rStyle w:val="Hyperlink"/>
            <w:rFonts w:ascii="Times New Roman" w:hAnsi="Times New Roman" w:cs="Times New Roman"/>
          </w:rPr>
          <w:t>https://doi.org/10.1080/09640560123194</w:t>
        </w:r>
      </w:hyperlink>
      <w:r w:rsidRPr="009B0448">
        <w:rPr>
          <w:rFonts w:ascii="Times New Roman" w:hAnsi="Times New Roman" w:cs="Times New Roman"/>
        </w:rPr>
        <w:t xml:space="preserve"> </w:t>
      </w:r>
    </w:p>
    <w:p w14:paraId="0F0C5B3E" w14:textId="77777777" w:rsidR="003F2166" w:rsidRPr="009B0448" w:rsidRDefault="003F2166"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Zaid, A., &amp; De Wet, P. F. (2002). Pollination and bunch management. In A. Zaid (Ed.), </w:t>
      </w:r>
      <w:r w:rsidRPr="009B0448">
        <w:rPr>
          <w:rFonts w:ascii="Times New Roman" w:hAnsi="Times New Roman" w:cs="Times New Roman"/>
          <w:i/>
        </w:rPr>
        <w:t>Date palm cultivation</w:t>
      </w:r>
      <w:r w:rsidRPr="009B0448">
        <w:rPr>
          <w:rFonts w:ascii="Times New Roman" w:hAnsi="Times New Roman" w:cs="Times New Roman"/>
        </w:rPr>
        <w:t xml:space="preserve">. Rome, Italy: FAO. Retrieved from </w:t>
      </w:r>
      <w:hyperlink r:id="rId654" w:history="1">
        <w:r w:rsidRPr="009B0448">
          <w:rPr>
            <w:rStyle w:val="Hyperlink"/>
            <w:rFonts w:ascii="Times New Roman" w:hAnsi="Times New Roman" w:cs="Times New Roman"/>
          </w:rPr>
          <w:t>http://www.fao.org/docrep/006/Y4360E/y4360e00.htm</w:t>
        </w:r>
      </w:hyperlink>
      <w:r w:rsidRPr="009B0448">
        <w:rPr>
          <w:rFonts w:ascii="Times New Roman" w:hAnsi="Times New Roman" w:cs="Times New Roman"/>
        </w:rPr>
        <w:t xml:space="preserve"> </w:t>
      </w:r>
    </w:p>
    <w:p w14:paraId="6814FFE2" w14:textId="77777777" w:rsidR="003F2166" w:rsidRDefault="003F2166" w:rsidP="009B0448">
      <w:pPr>
        <w:tabs>
          <w:tab w:val="left" w:pos="3418"/>
        </w:tabs>
        <w:spacing w:after="120" w:line="276" w:lineRule="auto"/>
        <w:ind w:left="567" w:hanging="567"/>
        <w:rPr>
          <w:rFonts w:ascii="Times New Roman" w:hAnsi="Times New Roman" w:cs="Times New Roman"/>
        </w:rPr>
      </w:pPr>
      <w:r w:rsidRPr="003F2166">
        <w:rPr>
          <w:rFonts w:ascii="Times New Roman" w:hAnsi="Times New Roman" w:cs="Times New Roman"/>
        </w:rPr>
        <w:t xml:space="preserve">Zarfl, C., Lumsdon, A. E., Berlekamp, J., Tydecks, L., &amp; Tockner, K. (2015). A global boom in hydropower dam construction. </w:t>
      </w:r>
      <w:r w:rsidRPr="003F2166">
        <w:rPr>
          <w:rFonts w:ascii="Times New Roman" w:hAnsi="Times New Roman" w:cs="Times New Roman"/>
          <w:i/>
        </w:rPr>
        <w:t>Aquatic Sciences, 77</w:t>
      </w:r>
      <w:r w:rsidRPr="003F2166">
        <w:rPr>
          <w:rFonts w:ascii="Times New Roman" w:hAnsi="Times New Roman" w:cs="Times New Roman"/>
        </w:rPr>
        <w:t xml:space="preserve">(1), 161–170. </w:t>
      </w:r>
      <w:hyperlink r:id="rId655" w:history="1">
        <w:r w:rsidRPr="004059F1">
          <w:rPr>
            <w:rStyle w:val="Hyperlink"/>
            <w:rFonts w:ascii="Times New Roman" w:hAnsi="Times New Roman" w:cs="Times New Roman"/>
          </w:rPr>
          <w:t>https://doi.org/10.1007/s00027-014-0377-0</w:t>
        </w:r>
      </w:hyperlink>
    </w:p>
    <w:p w14:paraId="08A9814F" w14:textId="03BEDACF" w:rsidR="003F2166" w:rsidRPr="009B0448" w:rsidRDefault="003F2166" w:rsidP="009B0448">
      <w:pPr>
        <w:tabs>
          <w:tab w:val="left" w:pos="3418"/>
        </w:tabs>
        <w:spacing w:after="120" w:line="276" w:lineRule="auto"/>
        <w:ind w:left="567" w:hanging="567"/>
        <w:rPr>
          <w:rFonts w:ascii="Times New Roman" w:hAnsi="Times New Roman" w:cs="Times New Roman"/>
        </w:rPr>
      </w:pPr>
      <w:r w:rsidRPr="009B0448">
        <w:rPr>
          <w:rFonts w:ascii="Times New Roman" w:hAnsi="Times New Roman" w:cs="Times New Roman"/>
        </w:rPr>
        <w:t xml:space="preserve">Ziegler, S. (2009). Application of food balance sheets to assess the scale of the bushmeat trade in Central Africa. </w:t>
      </w:r>
      <w:r w:rsidRPr="009B0448">
        <w:rPr>
          <w:rFonts w:ascii="Times New Roman" w:hAnsi="Times New Roman" w:cs="Times New Roman"/>
          <w:i/>
        </w:rPr>
        <w:t>TRAFFIC Bulletin, 22</w:t>
      </w:r>
      <w:r w:rsidRPr="009B0448">
        <w:rPr>
          <w:rFonts w:ascii="Times New Roman" w:hAnsi="Times New Roman" w:cs="Times New Roman"/>
        </w:rPr>
        <w:t xml:space="preserve">, 1–12. Retrieved from </w:t>
      </w:r>
      <w:hyperlink r:id="rId656" w:history="1">
        <w:r w:rsidRPr="009B0448">
          <w:rPr>
            <w:rStyle w:val="Hyperlink"/>
            <w:rFonts w:ascii="Times New Roman" w:hAnsi="Times New Roman" w:cs="Times New Roman"/>
          </w:rPr>
          <w:t>https://pingpdf.com/pdf-application-of-food-balance-sheets-to-assess-the-scale-of-the-.html</w:t>
        </w:r>
      </w:hyperlink>
    </w:p>
    <w:p w14:paraId="29386F9B" w14:textId="77777777" w:rsidR="009B0448" w:rsidRPr="009B0448" w:rsidRDefault="009B0448" w:rsidP="009B0448">
      <w:pPr>
        <w:tabs>
          <w:tab w:val="left" w:pos="3418"/>
        </w:tabs>
        <w:spacing w:after="120" w:line="276" w:lineRule="auto"/>
        <w:ind w:left="567" w:hanging="567"/>
        <w:rPr>
          <w:rFonts w:ascii="Times New Roman" w:eastAsia="Times New Roman" w:hAnsi="Times New Roman" w:cs="Times New Roman"/>
          <w:color w:val="00000A"/>
          <w:sz w:val="20"/>
          <w:szCs w:val="20"/>
        </w:rPr>
      </w:pPr>
      <w:r w:rsidRPr="009B0448">
        <w:rPr>
          <w:rFonts w:ascii="Times New Roman" w:eastAsia="Times New Roman" w:hAnsi="Times New Roman" w:cs="Times New Roman"/>
          <w:color w:val="00000A"/>
          <w:sz w:val="20"/>
          <w:szCs w:val="20"/>
        </w:rPr>
        <w:br w:type="page"/>
      </w:r>
    </w:p>
    <w:p w14:paraId="751E59A8" w14:textId="77777777" w:rsidR="009B0448" w:rsidRPr="009B0448" w:rsidRDefault="009B0448" w:rsidP="009B0448">
      <w:pPr>
        <w:pStyle w:val="IPBES1"/>
        <w:spacing w:before="240"/>
        <w:rPr>
          <w:color w:val="auto"/>
        </w:rPr>
      </w:pPr>
      <w:bookmarkStart w:id="127" w:name="_Toc519499843"/>
      <w:r w:rsidRPr="009B0448">
        <w:rPr>
          <w:color w:val="auto"/>
        </w:rPr>
        <w:lastRenderedPageBreak/>
        <w:t>Chapter 3: Status, trends and future dynamics of biodiversity and ecosystems underpinning nature’s contributions to people</w:t>
      </w:r>
      <w:bookmarkEnd w:id="127"/>
    </w:p>
    <w:p w14:paraId="286285C2" w14:textId="77777777" w:rsidR="009B0448" w:rsidRPr="009B0448" w:rsidRDefault="009B0448" w:rsidP="009B0448">
      <w:pPr>
        <w:spacing w:line="276" w:lineRule="auto"/>
        <w:jc w:val="both"/>
        <w:rPr>
          <w:rFonts w:ascii="Times New Roman" w:hAnsi="Times New Roman" w:cs="Times New Roman"/>
        </w:rPr>
      </w:pPr>
    </w:p>
    <w:p w14:paraId="66B2238A"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 xml:space="preserve">Coordinating Lead Authors </w:t>
      </w:r>
    </w:p>
    <w:p w14:paraId="5B0A4A9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Marie-Christine Cormier-Salem (France), Amy E. Dunham (United States of America), Christopher Gordon (Ghana) </w:t>
      </w:r>
    </w:p>
    <w:p w14:paraId="34DC3416" w14:textId="77777777" w:rsidR="009B0448" w:rsidRPr="009B0448" w:rsidRDefault="009B0448" w:rsidP="009B0448">
      <w:pPr>
        <w:spacing w:line="276" w:lineRule="auto"/>
        <w:jc w:val="both"/>
        <w:rPr>
          <w:rFonts w:ascii="Times New Roman" w:hAnsi="Times New Roman" w:cs="Times New Roman"/>
        </w:rPr>
      </w:pPr>
    </w:p>
    <w:p w14:paraId="7EC6F06D"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Lead Authors</w:t>
      </w:r>
    </w:p>
    <w:p w14:paraId="31028DE5"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Dyhia Belhabib (Canada), Nard Bennas (Morocco), Jérôme Duminil (France), Benis N. Egoh (Cameroon), Aisha Elfaki Mohamed Elahamer (Sudan), Bakwo Fils Eric Moise (Cameroon), Lindsey Gillson (</w:t>
      </w:r>
      <w:r w:rsidRPr="009B0448">
        <w:rPr>
          <w:rFonts w:ascii="Times New Roman" w:eastAsia="Times New Roman" w:hAnsi="Times New Roman" w:cs="Times New Roman"/>
        </w:rPr>
        <w:t>United Kingdom</w:t>
      </w:r>
      <w:r w:rsidRPr="009B0448">
        <w:rPr>
          <w:rFonts w:ascii="Times New Roman" w:hAnsi="Times New Roman" w:cs="Times New Roman"/>
        </w:rPr>
        <w:t xml:space="preserve">), Brahim Haddane (Morocco), Adelina Mensah (Ghana), Ahmim Mourad (Algeria), Harison Randrianasolo (Madagascar), Onja H. Razafindratsima (Madagascar), Mohammed Sghir Taleb (Morocco), Riziki Shemdoe (Tanzania) </w:t>
      </w:r>
    </w:p>
    <w:p w14:paraId="4A0A4D40" w14:textId="77777777" w:rsidR="009B0448" w:rsidRPr="009B0448" w:rsidRDefault="009B0448" w:rsidP="009B0448">
      <w:pPr>
        <w:spacing w:line="276" w:lineRule="auto"/>
        <w:jc w:val="both"/>
        <w:rPr>
          <w:rFonts w:ascii="Times New Roman" w:hAnsi="Times New Roman" w:cs="Times New Roman"/>
        </w:rPr>
      </w:pPr>
    </w:p>
    <w:p w14:paraId="08427FE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Fellow:</w:t>
      </w:r>
    </w:p>
    <w:p w14:paraId="7A314064"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Gregory Dowo (Zimbabwe)</w:t>
      </w:r>
    </w:p>
    <w:p w14:paraId="4E80321D" w14:textId="77777777" w:rsidR="009B0448" w:rsidRPr="009B0448" w:rsidRDefault="009B0448" w:rsidP="009B0448">
      <w:pPr>
        <w:spacing w:line="276" w:lineRule="auto"/>
        <w:jc w:val="both"/>
        <w:rPr>
          <w:rFonts w:ascii="Times New Roman" w:hAnsi="Times New Roman" w:cs="Times New Roman"/>
        </w:rPr>
      </w:pPr>
    </w:p>
    <w:p w14:paraId="270F710E"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Contributing Authors:</w:t>
      </w:r>
    </w:p>
    <w:p w14:paraId="1670FCDB"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Millicent Amekugbe (Ghana), Neil Burgess (</w:t>
      </w:r>
      <w:r w:rsidRPr="009B0448">
        <w:rPr>
          <w:rFonts w:ascii="Times New Roman" w:eastAsia="Times New Roman" w:hAnsi="Times New Roman" w:cs="Times New Roman"/>
        </w:rPr>
        <w:t>United Kingdom</w:t>
      </w:r>
      <w:r w:rsidRPr="009B0448">
        <w:rPr>
          <w:rFonts w:ascii="Times New Roman" w:hAnsi="Times New Roman" w:cs="Times New Roman"/>
        </w:rPr>
        <w:t>), Wendy Foden (South Africa), Leo Niskanen (Finland), Christine Mentzel (South Africa), Kevin Y Njabo (Cameroon), Anicia Malebajoa Maoela (Lesotho), Robert Marchant (</w:t>
      </w:r>
      <w:r w:rsidRPr="009B0448">
        <w:rPr>
          <w:rFonts w:ascii="Times New Roman" w:eastAsia="Times New Roman" w:hAnsi="Times New Roman" w:cs="Times New Roman"/>
        </w:rPr>
        <w:t>United Kingdom</w:t>
      </w:r>
      <w:r w:rsidRPr="009B0448">
        <w:rPr>
          <w:rFonts w:ascii="Times New Roman" w:hAnsi="Times New Roman" w:cs="Times New Roman"/>
        </w:rPr>
        <w:t>), Michele Walters (South Africa), Adou Constant Yao (Cote-d'Ivoire)</w:t>
      </w:r>
    </w:p>
    <w:p w14:paraId="4B0B8170" w14:textId="77777777" w:rsidR="009B0448" w:rsidRPr="009B0448" w:rsidRDefault="009B0448" w:rsidP="009B0448">
      <w:pPr>
        <w:spacing w:line="276" w:lineRule="auto"/>
        <w:jc w:val="both"/>
        <w:rPr>
          <w:rFonts w:ascii="Times New Roman" w:hAnsi="Times New Roman" w:cs="Times New Roman"/>
        </w:rPr>
      </w:pPr>
    </w:p>
    <w:p w14:paraId="13718AEB" w14:textId="77777777" w:rsidR="009B0448" w:rsidRPr="009B0448" w:rsidRDefault="009B0448" w:rsidP="009B0448">
      <w:pPr>
        <w:spacing w:line="276" w:lineRule="auto"/>
        <w:jc w:val="both"/>
        <w:rPr>
          <w:rFonts w:ascii="Times New Roman" w:hAnsi="Times New Roman" w:cs="Times New Roman"/>
          <w:b/>
        </w:rPr>
      </w:pPr>
      <w:r w:rsidRPr="009B0448">
        <w:rPr>
          <w:rFonts w:ascii="Times New Roman" w:hAnsi="Times New Roman" w:cs="Times New Roman"/>
          <w:b/>
        </w:rPr>
        <w:t>Review Editors:</w:t>
      </w:r>
    </w:p>
    <w:p w14:paraId="05EB1C1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Jonas Ngouhouo-Poufoun (Cameroon)</w:t>
      </w:r>
    </w:p>
    <w:p w14:paraId="56C70706" w14:textId="77777777" w:rsidR="0020100B" w:rsidRPr="0020100B" w:rsidRDefault="0020100B" w:rsidP="0020100B">
      <w:pPr>
        <w:spacing w:line="276" w:lineRule="auto"/>
        <w:jc w:val="both"/>
        <w:rPr>
          <w:rFonts w:ascii="Times New Roman" w:hAnsi="Times New Roman" w:cs="Times New Roman"/>
        </w:rPr>
      </w:pPr>
    </w:p>
    <w:p w14:paraId="2C656159" w14:textId="77777777" w:rsidR="0020100B" w:rsidRPr="0020100B" w:rsidRDefault="0020100B" w:rsidP="0020100B">
      <w:pPr>
        <w:spacing w:line="276" w:lineRule="auto"/>
        <w:jc w:val="both"/>
        <w:rPr>
          <w:rFonts w:ascii="Times New Roman" w:hAnsi="Times New Roman" w:cs="Times New Roman"/>
        </w:rPr>
      </w:pPr>
    </w:p>
    <w:p w14:paraId="485469F3" w14:textId="77777777" w:rsidR="0020100B" w:rsidRPr="0020100B" w:rsidRDefault="0020100B" w:rsidP="0020100B">
      <w:pPr>
        <w:spacing w:line="276" w:lineRule="auto"/>
        <w:jc w:val="both"/>
        <w:rPr>
          <w:rFonts w:ascii="Times New Roman" w:hAnsi="Times New Roman" w:cs="Times New Roman"/>
        </w:rPr>
      </w:pPr>
    </w:p>
    <w:p w14:paraId="69716837" w14:textId="77777777" w:rsidR="0020100B" w:rsidRDefault="0020100B" w:rsidP="0020100B">
      <w:pPr>
        <w:spacing w:line="276" w:lineRule="auto"/>
        <w:jc w:val="both"/>
        <w:rPr>
          <w:rFonts w:ascii="Times New Roman" w:hAnsi="Times New Roman" w:cs="Times New Roman"/>
        </w:rPr>
      </w:pPr>
    </w:p>
    <w:p w14:paraId="752E6728" w14:textId="77777777" w:rsidR="0020100B" w:rsidRPr="0020100B" w:rsidRDefault="0020100B" w:rsidP="0020100B">
      <w:pPr>
        <w:spacing w:line="276" w:lineRule="auto"/>
        <w:jc w:val="both"/>
        <w:rPr>
          <w:rFonts w:ascii="Times New Roman" w:hAnsi="Times New Roman" w:cs="Times New Roman"/>
        </w:rPr>
      </w:pPr>
    </w:p>
    <w:p w14:paraId="0C99BEA3" w14:textId="77777777" w:rsidR="0020100B" w:rsidRPr="00E9484D" w:rsidRDefault="0020100B" w:rsidP="0020100B">
      <w:pPr>
        <w:spacing w:line="276" w:lineRule="auto"/>
        <w:jc w:val="both"/>
        <w:rPr>
          <w:rFonts w:ascii="Times New Roman" w:hAnsi="Times New Roman" w:cs="Times New Roman"/>
        </w:rPr>
      </w:pPr>
      <w:r w:rsidRPr="00E9484D">
        <w:rPr>
          <w:rFonts w:ascii="Times New Roman" w:hAnsi="Times New Roman" w:cs="Times New Roman"/>
        </w:rPr>
        <w:t xml:space="preserve">This chapter should be cited as: </w:t>
      </w:r>
    </w:p>
    <w:p w14:paraId="3EB7F71F" w14:textId="18F83183" w:rsidR="0020100B" w:rsidRPr="0020100B" w:rsidRDefault="0020100B" w:rsidP="0020100B">
      <w:pPr>
        <w:spacing w:line="276" w:lineRule="auto"/>
        <w:jc w:val="both"/>
        <w:rPr>
          <w:rFonts w:ascii="Times New Roman" w:hAnsi="Times New Roman" w:cs="Times New Roman"/>
        </w:rPr>
      </w:pPr>
      <w:r w:rsidRPr="0020100B">
        <w:rPr>
          <w:rFonts w:ascii="Times New Roman" w:hAnsi="Times New Roman" w:cs="Times New Roman"/>
        </w:rPr>
        <w:t xml:space="preserve">Cormier-Salem, M-C., Dunham, A. E., Gordon, C., Belhabib, D., Bennas, N., Duminil, J., Egoh, B. N., Mohamed-Elahamer, A. E., Moise, B. F. E., Gillson, L., Haddane, B., Mensah, A., Mourad, A., Randrianasolo, H., Razafindratsima, O. H., Taleb, M. S., Shemdoe, R., Dowo, G., Amekugbe, M., Burgess, N., Foden, W., Niskanen, </w:t>
      </w:r>
      <w:r w:rsidR="00D6539B">
        <w:rPr>
          <w:rFonts w:ascii="Times New Roman" w:hAnsi="Times New Roman" w:cs="Times New Roman"/>
        </w:rPr>
        <w:t xml:space="preserve">L., Mentzel, C., Njabo, K. Y., </w:t>
      </w:r>
      <w:r w:rsidRPr="0020100B">
        <w:rPr>
          <w:rFonts w:ascii="Times New Roman" w:hAnsi="Times New Roman" w:cs="Times New Roman"/>
        </w:rPr>
        <w:t>Maoela, M. A., Marchant , R., Walters, M., and Yao, A. C. Chapter 3: Status, trends and future dynamics of biodiversity and ecosystems underpinning nature’s contributions to people.The IPBES regional assessment report on biodiversity and ecosystem services for Africa. Archer, E., Dziba, L., Mulongoy, K. J., Maoela, M. A., and Walters, M. (Eds.). Secretariat of the Intergovernmental Science-Policy Platform on Biodiversity and Ecosystem services, Bonn, Germany, pp. xx–xx.</w:t>
      </w:r>
    </w:p>
    <w:p w14:paraId="27A03841" w14:textId="77777777" w:rsidR="009B0448" w:rsidRPr="009B0448" w:rsidRDefault="009B0448" w:rsidP="009B0448">
      <w:pPr>
        <w:jc w:val="both"/>
        <w:rPr>
          <w:rFonts w:ascii="Times New Roman" w:hAnsi="Times New Roman" w:cs="Times New Roman"/>
          <w:b/>
        </w:rPr>
      </w:pPr>
      <w:r w:rsidRPr="009B0448">
        <w:rPr>
          <w:rFonts w:ascii="Times New Roman" w:hAnsi="Times New Roman" w:cs="Times New Roman"/>
          <w:b/>
          <w:color w:val="auto"/>
        </w:rPr>
        <w:br w:type="page"/>
      </w:r>
    </w:p>
    <w:p w14:paraId="489AD00F" w14:textId="77777777" w:rsidR="009B0448" w:rsidRPr="009B0448" w:rsidRDefault="009B0448" w:rsidP="009B0448">
      <w:pPr>
        <w:pStyle w:val="Heading3"/>
        <w:widowControl w:val="0"/>
        <w:spacing w:before="240" w:after="240"/>
        <w:ind w:left="-11" w:firstLine="0"/>
        <w:rPr>
          <w:rFonts w:eastAsia="Calibri" w:cs="Times New Roman"/>
          <w:szCs w:val="24"/>
        </w:rPr>
      </w:pPr>
      <w:bookmarkStart w:id="128" w:name="_Toc503105145"/>
      <w:bookmarkStart w:id="129" w:name="_Toc519499844"/>
      <w:r w:rsidRPr="009B0448">
        <w:rPr>
          <w:rFonts w:eastAsia="Calibri" w:cs="Times New Roman"/>
          <w:szCs w:val="24"/>
        </w:rPr>
        <w:lastRenderedPageBreak/>
        <w:t>Executive summary</w:t>
      </w:r>
      <w:bookmarkEnd w:id="128"/>
      <w:bookmarkEnd w:id="129"/>
    </w:p>
    <w:p w14:paraId="762C9CFF" w14:textId="048A387E" w:rsidR="009B0448" w:rsidRPr="009B0448" w:rsidRDefault="009B0448" w:rsidP="009B0448">
      <w:pPr>
        <w:pStyle w:val="ListParagraph"/>
        <w:widowControl w:val="0"/>
        <w:spacing w:line="276" w:lineRule="auto"/>
        <w:ind w:left="0"/>
        <w:jc w:val="both"/>
        <w:rPr>
          <w:rFonts w:ascii="Times New Roman" w:hAnsi="Times New Roman" w:cs="Times New Roman"/>
          <w:lang w:val="en-US"/>
        </w:rPr>
      </w:pPr>
      <w:r w:rsidRPr="009B0448">
        <w:rPr>
          <w:rFonts w:ascii="Times New Roman" w:hAnsi="Times New Roman" w:cs="Times New Roman"/>
          <w:b/>
        </w:rPr>
        <w:t xml:space="preserve">Africa has rich and varied biological resources forming the continent’s natural wealth on which its social and economic systems are based </w:t>
      </w:r>
      <w:r w:rsidRPr="009B0448">
        <w:rPr>
          <w:rFonts w:ascii="Times New Roman" w:hAnsi="Times New Roman" w:cs="Times New Roman"/>
          <w:b/>
          <w:i/>
        </w:rPr>
        <w:t>(well established).</w:t>
      </w:r>
      <w:r w:rsidRPr="009B0448">
        <w:rPr>
          <w:rFonts w:ascii="Times New Roman" w:hAnsi="Times New Roman" w:cs="Times New Roman"/>
          <w:b/>
        </w:rPr>
        <w:t xml:space="preserve"> </w:t>
      </w:r>
      <w:r w:rsidRPr="009B0448">
        <w:rPr>
          <w:rFonts w:ascii="Times New Roman" w:hAnsi="Times New Roman" w:cs="Times New Roman"/>
          <w:lang w:val="en-US"/>
        </w:rPr>
        <w:t>Africa is home to almost one-quarter of the world’s mammal species with their 1,160 species, including 194 species of primate and 91 species of antelope. It also has more than 2,500 species of birds–one-fourth of the world’s total–and at least 5,445 species of fish, as well as 2,121 reptile species. The African mainland</w:t>
      </w:r>
      <w:r w:rsidRPr="009B0448">
        <w:rPr>
          <w:rFonts w:ascii="Times New Roman" w:hAnsi="Times New Roman" w:cs="Times New Roman"/>
        </w:rPr>
        <w:t xml:space="preserve"> </w:t>
      </w:r>
      <w:r w:rsidR="00250F13" w:rsidRPr="009B0448">
        <w:rPr>
          <w:rFonts w:ascii="Times New Roman" w:hAnsi="Times New Roman" w:cs="Times New Roman"/>
        </w:rPr>
        <w:t>harbours</w:t>
      </w:r>
      <w:r w:rsidRPr="009B0448">
        <w:rPr>
          <w:rFonts w:ascii="Times New Roman" w:hAnsi="Times New Roman" w:cs="Times New Roman"/>
          <w:lang w:val="en-US"/>
        </w:rPr>
        <w:t xml:space="preserve"> between 52,000 and 73,000 plant species and about 150,000 known species of insects are known for sub-Saharan Africa. Nine of the world’s 35 biodiversity hotspots are in Africa {3.3.1, 3.4.1, 3.4.2, 3.4.3, 3.4.4, 3.4.5}. </w:t>
      </w:r>
    </w:p>
    <w:p w14:paraId="288FE2C4" w14:textId="77777777" w:rsidR="009B0448" w:rsidRPr="009B0448" w:rsidRDefault="009B0448" w:rsidP="009B0448">
      <w:pPr>
        <w:pStyle w:val="ListParagraph"/>
        <w:widowControl w:val="0"/>
        <w:spacing w:line="276" w:lineRule="auto"/>
        <w:ind w:left="0"/>
        <w:jc w:val="both"/>
        <w:rPr>
          <w:rFonts w:ascii="Times New Roman" w:hAnsi="Times New Roman" w:cs="Times New Roman"/>
          <w:b/>
        </w:rPr>
      </w:pPr>
    </w:p>
    <w:p w14:paraId="32FB440F" w14:textId="05B58379" w:rsidR="009B0448" w:rsidRPr="009B0448" w:rsidRDefault="009B0448" w:rsidP="009B0448">
      <w:pPr>
        <w:widowControl w:val="0"/>
        <w:spacing w:line="276" w:lineRule="auto"/>
        <w:jc w:val="both"/>
        <w:rPr>
          <w:rFonts w:ascii="Times New Roman" w:hAnsi="Times New Roman" w:cs="Times New Roman"/>
          <w:i/>
        </w:rPr>
      </w:pPr>
      <w:r w:rsidRPr="009B0448">
        <w:rPr>
          <w:rFonts w:ascii="Times New Roman" w:hAnsi="Times New Roman" w:cs="Times New Roman"/>
          <w:b/>
        </w:rPr>
        <w:t xml:space="preserve">Most, if not all, terrestrial ecosystems in Africa have already experienced major biodiversity losses in the past 30 years, which has negative impacts nature’s contribution to people. The prospect is that this trend will continue in the future </w:t>
      </w:r>
      <w:r w:rsidRPr="009B0448">
        <w:rPr>
          <w:rFonts w:ascii="Times New Roman" w:hAnsi="Times New Roman" w:cs="Times New Roman"/>
          <w:b/>
          <w:i/>
        </w:rPr>
        <w:t>(established, but incomplete)</w:t>
      </w:r>
      <w:r w:rsidRPr="009B0448">
        <w:rPr>
          <w:rFonts w:ascii="Times New Roman" w:hAnsi="Times New Roman" w:cs="Times New Roman"/>
          <w:b/>
        </w:rPr>
        <w:t xml:space="preserve">. </w:t>
      </w:r>
      <w:r w:rsidRPr="009B0448">
        <w:rPr>
          <w:rFonts w:ascii="Times New Roman" w:hAnsi="Times New Roman" w:cs="Times New Roman"/>
        </w:rPr>
        <w:t>Africa’s highly diverse terrestrial ecosystems, ranging from forests to arid/semi-arid ecosystems are being threate</w:t>
      </w:r>
      <w:r w:rsidR="00917FB2">
        <w:rPr>
          <w:rFonts w:ascii="Times New Roman" w:hAnsi="Times New Roman" w:cs="Times New Roman"/>
        </w:rPr>
        <w:t>ned by the increasing change in land-</w:t>
      </w:r>
      <w:r w:rsidRPr="009B0448">
        <w:rPr>
          <w:rFonts w:ascii="Times New Roman" w:hAnsi="Times New Roman" w:cs="Times New Roman"/>
        </w:rPr>
        <w:t>use, for example, conversion to agriculture and deforestation, leading to habitat fragmentation and destruction. Poaching and illegal trade has resulted in the significant decline of many species of wild fauna and flora, which has, for example, resulted in the near extinction of the wild northern white rhinoceros. To compound this, climate change will likely cause a 5</w:t>
      </w:r>
      <w:r w:rsidRPr="009B0448">
        <w:rPr>
          <w:rFonts w:ascii="Times New Roman" w:eastAsia="Times New Roman" w:hAnsi="Times New Roman" w:cs="Times New Roman"/>
        </w:rPr>
        <w:t>–</w:t>
      </w:r>
      <w:r w:rsidRPr="009B0448">
        <w:rPr>
          <w:rFonts w:ascii="Times New Roman" w:hAnsi="Times New Roman" w:cs="Times New Roman"/>
        </w:rPr>
        <w:t>8% increase in arid/semi-arid lands and endanger 25</w:t>
      </w:r>
      <w:r w:rsidRPr="009B0448">
        <w:rPr>
          <w:rFonts w:ascii="Times New Roman" w:eastAsia="Times New Roman" w:hAnsi="Times New Roman" w:cs="Times New Roman"/>
        </w:rPr>
        <w:t>–</w:t>
      </w:r>
      <w:r w:rsidRPr="009B0448">
        <w:rPr>
          <w:rFonts w:ascii="Times New Roman" w:hAnsi="Times New Roman" w:cs="Times New Roman"/>
        </w:rPr>
        <w:t>40% of mammal species in national parks. Forty-four million hectares of lowland humid forests, representing 25% of the total forest area, are under timber-harvest concession which negatively impacts biodiversity in these hotspots. For example, the Congo Basin is the second largest rainforest after Amazonia and includes more than 10,000 vascular plant species, many of them endemic to the region. These losses can affect local community’s access to forest products such as medicinal plants and wild fruits {3.4.1.1, 3.4.2.1, 3.4.3.1, 3.4.4.1, 3.4.5.1}</w:t>
      </w:r>
      <w:r w:rsidRPr="009B0448">
        <w:rPr>
          <w:rFonts w:ascii="Times New Roman" w:hAnsi="Times New Roman" w:cs="Times New Roman"/>
          <w:i/>
        </w:rPr>
        <w:t>.</w:t>
      </w:r>
    </w:p>
    <w:p w14:paraId="6C6EB888" w14:textId="77777777" w:rsidR="009B0448" w:rsidRPr="009B0448" w:rsidRDefault="009B0448" w:rsidP="009B0448">
      <w:pPr>
        <w:widowControl w:val="0"/>
        <w:spacing w:line="276" w:lineRule="auto"/>
        <w:jc w:val="both"/>
        <w:rPr>
          <w:rFonts w:ascii="Times New Roman" w:hAnsi="Times New Roman" w:cs="Times New Roman"/>
          <w:b/>
        </w:rPr>
      </w:pPr>
    </w:p>
    <w:p w14:paraId="6EAA2560" w14:textId="77777777" w:rsidR="009B0448" w:rsidRPr="009B0448" w:rsidRDefault="009B0448" w:rsidP="009B0448">
      <w:pPr>
        <w:widowControl w:val="0"/>
        <w:spacing w:line="276" w:lineRule="auto"/>
        <w:jc w:val="both"/>
        <w:rPr>
          <w:rFonts w:ascii="Times New Roman" w:hAnsi="Times New Roman" w:cs="Times New Roman"/>
        </w:rPr>
      </w:pPr>
      <w:r w:rsidRPr="009B0448">
        <w:rPr>
          <w:rFonts w:ascii="Times New Roman" w:hAnsi="Times New Roman" w:cs="Times New Roman"/>
          <w:b/>
        </w:rPr>
        <w:t xml:space="preserve">Freshwater biodiversity in Africa is currently under severe threat with an estimated 10% decline expected by 2050 </w:t>
      </w:r>
      <w:r w:rsidRPr="009B0448">
        <w:rPr>
          <w:rFonts w:ascii="Times New Roman" w:hAnsi="Times New Roman" w:cs="Times New Roman"/>
          <w:b/>
          <w:i/>
        </w:rPr>
        <w:t>(established but incomplete)</w:t>
      </w:r>
      <w:r w:rsidRPr="009B0448">
        <w:rPr>
          <w:rFonts w:ascii="Times New Roman" w:hAnsi="Times New Roman" w:cs="Times New Roman"/>
          <w:b/>
        </w:rPr>
        <w:t>.</w:t>
      </w:r>
      <w:r w:rsidRPr="009B0448">
        <w:rPr>
          <w:rFonts w:ascii="Times New Roman" w:hAnsi="Times New Roman" w:cs="Times New Roman"/>
        </w:rPr>
        <w:t xml:space="preserve"> The inland waters of Africa support a high diversity of aquatic life. Highest levels of biodiversity are found in the Rift Valley Great Lakes (Lake Malawi, Lake Tanganyika, and Lake Victoria) and in the rivers of the Congo. Among 4,989 freshwater species assessed (fish, crabs, mollusc, dragonflies, aquatic plants), 21% are threatened within Africa and 91% endemic. The majority of threatened species are found in areas with high levels of development and demand on water resources, mainly along the Mediterranean and Atlantic coasts of Morocco, Algeria and Tunisia, in Upper and Lower Guinea, southern and eastern South Africa and in the Great lakes in eastern Africa. It is predicted that by 2050s, hydrological conditions for 80% of freshwater fish species will be substantially different from present-day conditions. Freshwater species are essential for supporting livelihoods, as 45% of fish and 58% of plant species are regularly harvested {3.4.1.2.2, 3.4.2.2.2, 3.4.3.2.2, 3.4.4.2.2, 3.4.5.2.2}.</w:t>
      </w:r>
    </w:p>
    <w:p w14:paraId="1068CA57" w14:textId="77777777" w:rsidR="009B0448" w:rsidRPr="009B0448" w:rsidRDefault="009B0448" w:rsidP="009B0448">
      <w:pPr>
        <w:widowControl w:val="0"/>
        <w:spacing w:line="276" w:lineRule="auto"/>
        <w:jc w:val="both"/>
        <w:rPr>
          <w:rFonts w:ascii="Times New Roman" w:hAnsi="Times New Roman" w:cs="Times New Roman"/>
          <w:b/>
        </w:rPr>
      </w:pPr>
    </w:p>
    <w:p w14:paraId="1F2725D4" w14:textId="77777777" w:rsidR="009B0448" w:rsidRPr="009B0448" w:rsidRDefault="009B0448" w:rsidP="009B0448">
      <w:pPr>
        <w:widowControl w:val="0"/>
        <w:spacing w:line="276" w:lineRule="auto"/>
        <w:jc w:val="both"/>
        <w:rPr>
          <w:rFonts w:ascii="Times New Roman" w:hAnsi="Times New Roman" w:cs="Times New Roman"/>
        </w:rPr>
      </w:pPr>
      <w:r w:rsidRPr="009B0448">
        <w:rPr>
          <w:rFonts w:ascii="Times New Roman" w:hAnsi="Times New Roman" w:cs="Times New Roman"/>
          <w:b/>
        </w:rPr>
        <w:t xml:space="preserve">Much of Africa’s complex and unique marine and coastal biodiversity are increasingly threatened </w:t>
      </w:r>
      <w:r w:rsidRPr="009B0448">
        <w:rPr>
          <w:rFonts w:ascii="Times New Roman" w:hAnsi="Times New Roman" w:cs="Times New Roman"/>
          <w:b/>
          <w:i/>
        </w:rPr>
        <w:t>(established but incomplete)</w:t>
      </w:r>
      <w:r w:rsidRPr="009B0448">
        <w:rPr>
          <w:rFonts w:ascii="Times New Roman" w:hAnsi="Times New Roman" w:cs="Times New Roman"/>
          <w:b/>
        </w:rPr>
        <w:t xml:space="preserve">. </w:t>
      </w:r>
      <w:r w:rsidRPr="009B0448">
        <w:rPr>
          <w:rFonts w:ascii="Times New Roman" w:hAnsi="Times New Roman" w:cs="Times New Roman"/>
        </w:rPr>
        <w:t>The wide continental shelf along the northwest coast of Africa, mangrove forests of West and East Africa and adjacent islands, provide diverse habitats that support high levels of biodiversity of fish and invertebrate species. The Red Sea has a high degree of endemism and is an important repository of marine biodiversity including 12 of the world’s 60 seagrasses, and 38 coral reef genera with 220 species. Africa contains 19% of mangrove cover, however, approximately 20</w:t>
      </w:r>
      <w:r w:rsidRPr="009B0448">
        <w:rPr>
          <w:rFonts w:ascii="Times New Roman" w:eastAsia="Times New Roman" w:hAnsi="Times New Roman" w:cs="Times New Roman"/>
        </w:rPr>
        <w:t>–</w:t>
      </w:r>
      <w:r w:rsidRPr="009B0448">
        <w:rPr>
          <w:rFonts w:ascii="Times New Roman" w:hAnsi="Times New Roman" w:cs="Times New Roman"/>
        </w:rPr>
        <w:t>30% has been lost in the past 25 years, with average deforestation rates of 2%/year. With overexploitation, habitat degradation and loss, acidification, pollution from land-based sources, invasive alien species and sea level rise, highly valuable ecosystem services are being threatened {3.4.1.2, 3.4.2.2, 3.4.3.2, 3.4.4.2, 3.4.5.2}.</w:t>
      </w:r>
    </w:p>
    <w:p w14:paraId="3BE2EEA9" w14:textId="77777777" w:rsidR="009B0448" w:rsidRPr="009B0448" w:rsidRDefault="009B0448" w:rsidP="009B0448">
      <w:pPr>
        <w:widowControl w:val="0"/>
        <w:spacing w:line="276" w:lineRule="auto"/>
        <w:jc w:val="both"/>
        <w:rPr>
          <w:rFonts w:ascii="Times New Roman" w:hAnsi="Times New Roman" w:cs="Times New Roman"/>
          <w:b/>
        </w:rPr>
      </w:pPr>
    </w:p>
    <w:p w14:paraId="0BEAAF86" w14:textId="41F33DF7" w:rsidR="009B0448" w:rsidRPr="009B0448" w:rsidRDefault="009B0448" w:rsidP="009B0448">
      <w:pPr>
        <w:widowControl w:val="0"/>
        <w:spacing w:line="276" w:lineRule="auto"/>
        <w:jc w:val="both"/>
        <w:rPr>
          <w:rFonts w:ascii="Times New Roman" w:hAnsi="Times New Roman" w:cs="Times New Roman"/>
        </w:rPr>
      </w:pPr>
      <w:r w:rsidRPr="009B0448">
        <w:rPr>
          <w:rFonts w:ascii="Times New Roman" w:hAnsi="Times New Roman" w:cs="Times New Roman"/>
          <w:b/>
        </w:rPr>
        <w:t xml:space="preserve">Current losses of genetic biodiversity due to climate changes and unsustainable resource exploitation in Africa are restricting future management and development options </w:t>
      </w:r>
      <w:r w:rsidRPr="009B0448">
        <w:rPr>
          <w:rFonts w:ascii="Times New Roman" w:hAnsi="Times New Roman" w:cs="Times New Roman"/>
          <w:b/>
          <w:i/>
        </w:rPr>
        <w:t>(unresolved)</w:t>
      </w:r>
      <w:r w:rsidRPr="009B0448">
        <w:rPr>
          <w:rFonts w:ascii="Times New Roman" w:hAnsi="Times New Roman" w:cs="Times New Roman"/>
          <w:b/>
        </w:rPr>
        <w:t xml:space="preserve">. </w:t>
      </w:r>
      <w:r w:rsidRPr="009B0448">
        <w:rPr>
          <w:rFonts w:ascii="Times New Roman" w:hAnsi="Times New Roman" w:cs="Times New Roman"/>
        </w:rPr>
        <w:t>Information on genetic diversity in Africa is largely lacking. However, few existing studies on genetic diversity have shown reduced genetic diversity of domesticated plant and animal species and of wild species. Modern crop varieties have also led to the decline in genetic diversity of traditional plants or crops, as out of the quarter million plant varieties available for agriculture, only 3% are in use. This includes large-scale monocultures such as 200,000 km</w:t>
      </w:r>
      <w:r w:rsidRPr="009B0448">
        <w:rPr>
          <w:rFonts w:ascii="Times New Roman" w:hAnsi="Times New Roman" w:cs="Times New Roman"/>
          <w:vertAlign w:val="superscript"/>
        </w:rPr>
        <w:t>2</w:t>
      </w:r>
      <w:r w:rsidRPr="009B0448">
        <w:rPr>
          <w:rFonts w:ascii="Times New Roman" w:hAnsi="Times New Roman" w:cs="Times New Roman"/>
        </w:rPr>
        <w:t xml:space="preserve"> being used for industrial crops like sugarcane. Of the 150 indigenous breeds of African cattle, 47% are threatened, and 22% at risk of becoming extinct. Species with very specific habitat needs and or are climate sensitive (e.g., mountain gorillas and cheetahs) are especially under threat as the populations become increasing isolated through </w:t>
      </w:r>
      <w:r w:rsidR="00917FB2">
        <w:rPr>
          <w:rFonts w:ascii="Times New Roman" w:hAnsi="Times New Roman" w:cs="Times New Roman"/>
        </w:rPr>
        <w:t>land-use</w:t>
      </w:r>
      <w:r w:rsidRPr="009B0448">
        <w:rPr>
          <w:rFonts w:ascii="Times New Roman" w:hAnsi="Times New Roman" w:cs="Times New Roman"/>
        </w:rPr>
        <w:t xml:space="preserve"> transformation and climatic change {3.5}.</w:t>
      </w:r>
    </w:p>
    <w:p w14:paraId="455C7142" w14:textId="77777777" w:rsidR="009B0448" w:rsidRPr="009B0448" w:rsidRDefault="009B0448" w:rsidP="009B0448">
      <w:pPr>
        <w:widowControl w:val="0"/>
        <w:spacing w:line="276" w:lineRule="auto"/>
        <w:jc w:val="both"/>
        <w:rPr>
          <w:rFonts w:ascii="Times New Roman" w:hAnsi="Times New Roman" w:cs="Times New Roman"/>
          <w:b/>
        </w:rPr>
      </w:pPr>
    </w:p>
    <w:p w14:paraId="0671D90E" w14:textId="77777777" w:rsidR="009B0448" w:rsidRPr="009B0448" w:rsidRDefault="009B0448" w:rsidP="009B0448">
      <w:pPr>
        <w:widowControl w:val="0"/>
        <w:spacing w:line="276" w:lineRule="auto"/>
        <w:jc w:val="both"/>
        <w:rPr>
          <w:rFonts w:ascii="Times New Roman" w:hAnsi="Times New Roman" w:cs="Times New Roman"/>
        </w:rPr>
      </w:pPr>
      <w:r w:rsidRPr="009B0448">
        <w:rPr>
          <w:rFonts w:ascii="Times New Roman" w:hAnsi="Times New Roman" w:cs="Times New Roman"/>
          <w:b/>
        </w:rPr>
        <w:t xml:space="preserve">Healthy ecosystems can reduce socioeconomic vulnerability by supporting well-being </w:t>
      </w:r>
      <w:r w:rsidRPr="009B0448">
        <w:rPr>
          <w:rFonts w:ascii="Times New Roman" w:hAnsi="Times New Roman" w:cs="Times New Roman"/>
          <w:b/>
          <w:i/>
        </w:rPr>
        <w:t>(well established)</w:t>
      </w:r>
      <w:r w:rsidRPr="009B0448">
        <w:rPr>
          <w:rFonts w:ascii="Times New Roman" w:hAnsi="Times New Roman" w:cs="Times New Roman"/>
          <w:b/>
        </w:rPr>
        <w:t>.</w:t>
      </w:r>
      <w:r w:rsidRPr="009B0448">
        <w:rPr>
          <w:rFonts w:ascii="Times New Roman" w:hAnsi="Times New Roman" w:cs="Times New Roman"/>
        </w:rPr>
        <w:t xml:space="preserve"> Healthy ecosystems are conserved socio-ecosystems, including those managed by communities, thanks to their knowledge of local environmental and socio-ecological conditions (cf examples from Indigenous Local Knowledge Task Force). Restored socio-ecosystems are beneficial for biodiversity recovery and livelihoods {3.5}.</w:t>
      </w:r>
    </w:p>
    <w:p w14:paraId="58A0AD06" w14:textId="77777777" w:rsidR="009B0448" w:rsidRPr="009B0448" w:rsidRDefault="009B0448" w:rsidP="009B0448">
      <w:pPr>
        <w:widowControl w:val="0"/>
        <w:spacing w:line="276" w:lineRule="auto"/>
        <w:jc w:val="both"/>
        <w:rPr>
          <w:rFonts w:ascii="Times New Roman" w:hAnsi="Times New Roman" w:cs="Times New Roman"/>
          <w:b/>
        </w:rPr>
      </w:pPr>
    </w:p>
    <w:p w14:paraId="271AAF33" w14:textId="4E891F48" w:rsidR="009B0448" w:rsidRPr="009B0448" w:rsidRDefault="009B0448" w:rsidP="009B0448">
      <w:pPr>
        <w:widowControl w:val="0"/>
        <w:spacing w:line="276" w:lineRule="auto"/>
        <w:jc w:val="both"/>
        <w:rPr>
          <w:rFonts w:ascii="Times New Roman" w:hAnsi="Times New Roman" w:cs="Times New Roman"/>
          <w:b/>
        </w:rPr>
      </w:pPr>
      <w:r w:rsidRPr="009B0448">
        <w:rPr>
          <w:rFonts w:ascii="Times New Roman" w:hAnsi="Times New Roman" w:cs="Times New Roman"/>
          <w:b/>
        </w:rPr>
        <w:t xml:space="preserve">Increases in protected areas and new conservation strategies are needed to curtail current unprecedented rates of biodiversity loss </w:t>
      </w:r>
      <w:r w:rsidRPr="009B0448">
        <w:rPr>
          <w:rFonts w:ascii="Times New Roman" w:hAnsi="Times New Roman" w:cs="Times New Roman"/>
          <w:b/>
          <w:i/>
        </w:rPr>
        <w:t>(established but incomplete)</w:t>
      </w:r>
      <w:r w:rsidRPr="009B0448">
        <w:rPr>
          <w:rFonts w:ascii="Times New Roman" w:hAnsi="Times New Roman" w:cs="Times New Roman"/>
        </w:rPr>
        <w:t>. The extent of protected areas in Africa has almost doubled in the last decades; protected areas now cover 14% of Africa with 4,358,096 km</w:t>
      </w:r>
      <w:r w:rsidRPr="009B0448">
        <w:rPr>
          <w:rFonts w:ascii="Times New Roman" w:hAnsi="Times New Roman" w:cs="Times New Roman"/>
          <w:vertAlign w:val="superscript"/>
        </w:rPr>
        <w:t>2</w:t>
      </w:r>
      <w:r w:rsidRPr="009B0448">
        <w:rPr>
          <w:rFonts w:ascii="Times New Roman" w:hAnsi="Times New Roman" w:cs="Times New Roman"/>
        </w:rPr>
        <w:t xml:space="preserve"> in terrestrial area covered by protected areas and 345,917 km</w:t>
      </w:r>
      <w:r w:rsidRPr="009B0448">
        <w:rPr>
          <w:rFonts w:ascii="Times New Roman" w:hAnsi="Times New Roman" w:cs="Times New Roman"/>
          <w:vertAlign w:val="superscript"/>
        </w:rPr>
        <w:t>2</w:t>
      </w:r>
      <w:r w:rsidRPr="009B0448">
        <w:rPr>
          <w:rFonts w:ascii="Times New Roman" w:hAnsi="Times New Roman" w:cs="Times New Roman"/>
        </w:rPr>
        <w:t xml:space="preserve"> in marine areas. Effectiveness of protected areas is poor in many areas due to a combination of factors, such as: climate change, overexploitation (over-hunting, logging, livestock herding), civil conflicts, and encroachment from local populations to sustain their livelihoods, and inadequate park design and administration. Land-grabbing is a major risk of environmental injustice and local communities’ exclusion. The importance of transboundary protected areas and corridors is especially obvious for migratory species new governance types of protected areas, managed by local communities, are recogni</w:t>
      </w:r>
      <w:r w:rsidR="00C813C5">
        <w:rPr>
          <w:rFonts w:ascii="Times New Roman" w:hAnsi="Times New Roman" w:cs="Times New Roman"/>
        </w:rPr>
        <w:t>s</w:t>
      </w:r>
      <w:r w:rsidRPr="009B0448">
        <w:rPr>
          <w:rFonts w:ascii="Times New Roman" w:hAnsi="Times New Roman" w:cs="Times New Roman"/>
        </w:rPr>
        <w:t>ed and diffused all over African regions (cf Mangagoulack Indigenous and Community Conserved Area in Casamance). New financial and legal mechanisms for the preservation of ecosystem services (biodiversity offset, REDD+, PSE) are expanding, and provide emerging opportunities {3.3.3.1, 3.3.3.2}.</w:t>
      </w:r>
      <w:r w:rsidRPr="009B0448">
        <w:rPr>
          <w:rFonts w:ascii="Times New Roman" w:hAnsi="Times New Roman" w:cs="Times New Roman"/>
          <w:i/>
        </w:rPr>
        <w:br w:type="page"/>
      </w:r>
    </w:p>
    <w:p w14:paraId="45C00035"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130" w:name="_Toc503105146"/>
      <w:bookmarkStart w:id="131" w:name="_Toc519499845"/>
      <w:r w:rsidRPr="009B0448">
        <w:rPr>
          <w:rFonts w:eastAsia="Calibri" w:cs="Times New Roman"/>
          <w:szCs w:val="24"/>
        </w:rPr>
        <w:lastRenderedPageBreak/>
        <w:t>Introduction</w:t>
      </w:r>
      <w:bookmarkEnd w:id="130"/>
      <w:bookmarkEnd w:id="131"/>
    </w:p>
    <w:p w14:paraId="71D4D26F" w14:textId="4B37BBC9"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This chapter synthesizes the status, trends and future projections of biodiversity and ecosystems, and their positive and negative effects on the provision of key ecosystem goods and services that contribute to economic growth, livelihoods and human well-being in the African region. The Assessment is based on a review of recent (past 10</w:t>
      </w:r>
      <w:r w:rsidRPr="009B0448">
        <w:rPr>
          <w:rFonts w:ascii="Times New Roman" w:eastAsia="Times New Roman" w:hAnsi="Times New Roman" w:cs="Times New Roman"/>
        </w:rPr>
        <w:t>–</w:t>
      </w:r>
      <w:r w:rsidRPr="009B0448">
        <w:rPr>
          <w:rFonts w:ascii="Times New Roman" w:hAnsi="Times New Roman" w:cs="Times New Roman"/>
        </w:rPr>
        <w:t xml:space="preserve">15 years) scientific publications, reports and databases, and focuses on status and trends at the regional scale and on a </w:t>
      </w:r>
      <w:r w:rsidR="00B22D81">
        <w:rPr>
          <w:rFonts w:ascii="Times New Roman" w:hAnsi="Times New Roman" w:cs="Times New Roman"/>
        </w:rPr>
        <w:t>subregion</w:t>
      </w:r>
      <w:r w:rsidRPr="009B0448">
        <w:rPr>
          <w:rFonts w:ascii="Times New Roman" w:hAnsi="Times New Roman" w:cs="Times New Roman"/>
        </w:rPr>
        <w:t>al level covering East Africa and adjacent islands, West, Central, North and Southern Africa as classified by the United Nations. Some case studies using key species that are important for the functioning of ecosystems and livelihoods are also presented. For much of Africa, biodiversity is key to the delivery of nature’s contributions to people. It is for that reason that the current trends of biodiversity decline have serious implications for economic growth, human well-being and livelihood security.</w:t>
      </w:r>
    </w:p>
    <w:p w14:paraId="0C99DCB8" w14:textId="77777777" w:rsidR="009B0448" w:rsidRPr="009B0448" w:rsidRDefault="009B0448" w:rsidP="009B0448">
      <w:pPr>
        <w:spacing w:line="276" w:lineRule="auto"/>
        <w:jc w:val="both"/>
        <w:rPr>
          <w:rFonts w:ascii="Times New Roman" w:hAnsi="Times New Roman" w:cs="Times New Roman"/>
        </w:rPr>
      </w:pPr>
    </w:p>
    <w:p w14:paraId="05B54402"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African ecosystems and biodiversity are biologically and ecologically unique, attract substantial tourism revenue, and provide significant ecosystem services at local, regional and global levels. However, the rates of biodiversity loss and ecosystem degradation are increasing. Under business-as-usual scenarios, it is predicted that a further 11% of biodiversity would be lost (OECD, 2008). Fifty-five species are extinct, with 1,781 threatened with extinction (Brooks </w:t>
      </w:r>
      <w:r w:rsidRPr="009B0448">
        <w:rPr>
          <w:rFonts w:ascii="Times New Roman" w:hAnsi="Times New Roman" w:cs="Times New Roman"/>
          <w:i/>
        </w:rPr>
        <w:t>et al.</w:t>
      </w:r>
      <w:r w:rsidRPr="009B0448">
        <w:rPr>
          <w:rFonts w:ascii="Times New Roman" w:hAnsi="Times New Roman" w:cs="Times New Roman"/>
        </w:rPr>
        <w:t xml:space="preserve">, 2016a). According to the IUCN Red List, 21% of the 4,539 freshwater species assessed in Africa are threatened. Ninety-one per cent of these freshwater species are endemic to the African continent and are therefore also globally threatened (Darwall </w:t>
      </w:r>
      <w:r w:rsidRPr="009B0448">
        <w:rPr>
          <w:rFonts w:ascii="Times New Roman" w:hAnsi="Times New Roman" w:cs="Times New Roman"/>
          <w:i/>
        </w:rPr>
        <w:t>et al.</w:t>
      </w:r>
      <w:r w:rsidRPr="009B0448">
        <w:rPr>
          <w:rFonts w:ascii="Times New Roman" w:hAnsi="Times New Roman" w:cs="Times New Roman"/>
        </w:rPr>
        <w:t xml:space="preserve">, 2011). Twelve per cent of birds, 19% of mammals and 26% of amphibians are threatened (Darwall </w:t>
      </w:r>
      <w:r w:rsidRPr="009B0448">
        <w:rPr>
          <w:rFonts w:ascii="Times New Roman" w:hAnsi="Times New Roman" w:cs="Times New Roman"/>
          <w:i/>
        </w:rPr>
        <w:t>et al.</w:t>
      </w:r>
      <w:r w:rsidRPr="009B0448">
        <w:rPr>
          <w:rFonts w:ascii="Times New Roman" w:hAnsi="Times New Roman" w:cs="Times New Roman"/>
        </w:rPr>
        <w:t>, 2011). From 1990 to 2015, Africa has experienced the biggest forest area loss compared to the rest of the world except South America. The rate of forest loss in Africa has decreased substantially in the past five years, average per capita forest area declined from 0.8 hectares to 0.6 hectares per person (FAO, 2015a).</w:t>
      </w:r>
    </w:p>
    <w:p w14:paraId="15FEA6F1" w14:textId="77777777" w:rsidR="009B0448" w:rsidRPr="009B0448" w:rsidRDefault="009B0448" w:rsidP="009B0448">
      <w:pPr>
        <w:spacing w:line="276" w:lineRule="auto"/>
        <w:jc w:val="both"/>
        <w:rPr>
          <w:rFonts w:ascii="Times New Roman" w:hAnsi="Times New Roman" w:cs="Times New Roman"/>
        </w:rPr>
      </w:pPr>
    </w:p>
    <w:p w14:paraId="65573774" w14:textId="45A5F411"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In recent times, much effort has gone into designating protected areas in Africa, with the hope of saving areas of crucial importance for biodiversity conservation (UNEP-WCMC, 2008). As a result, for example, forested areas within protected areas in Africa have increased up to 4,133,459 km</w:t>
      </w:r>
      <w:r w:rsidRPr="009B0448">
        <w:rPr>
          <w:rFonts w:ascii="Times New Roman" w:hAnsi="Times New Roman" w:cs="Times New Roman"/>
          <w:vertAlign w:val="superscript"/>
        </w:rPr>
        <w:t>2</w:t>
      </w:r>
      <w:r w:rsidRPr="009B0448">
        <w:rPr>
          <w:rFonts w:ascii="Times New Roman" w:hAnsi="Times New Roman" w:cs="Times New Roman"/>
        </w:rPr>
        <w:t xml:space="preserve"> from 2003 to 2015, representing about 14% of the total area (Brooks </w:t>
      </w:r>
      <w:r w:rsidRPr="009B0448">
        <w:rPr>
          <w:rFonts w:ascii="Times New Roman" w:hAnsi="Times New Roman" w:cs="Times New Roman"/>
          <w:i/>
        </w:rPr>
        <w:t>et al.</w:t>
      </w:r>
      <w:r w:rsidRPr="009B0448">
        <w:rPr>
          <w:rFonts w:ascii="Times New Roman" w:hAnsi="Times New Roman" w:cs="Times New Roman"/>
        </w:rPr>
        <w:t>, 2016a). In total, Africa contains 8,338 protected areas, including 374 marine protected areas, 44 natural World heritage sites, 72 Biosphere reserves, and 381 Ramsar sites (UNEP-WCMC</w:t>
      </w:r>
      <w:r w:rsidR="00250F13">
        <w:rPr>
          <w:rFonts w:ascii="Times New Roman" w:hAnsi="Times New Roman" w:cs="Times New Roman"/>
        </w:rPr>
        <w:t xml:space="preserve"> </w:t>
      </w:r>
      <w:r w:rsidRPr="009B0448">
        <w:rPr>
          <w:rFonts w:ascii="Times New Roman" w:hAnsi="Times New Roman" w:cs="Times New Roman"/>
          <w:i/>
        </w:rPr>
        <w:t>et al</w:t>
      </w:r>
      <w:r w:rsidRPr="009B0448">
        <w:rPr>
          <w:rFonts w:ascii="Times New Roman" w:hAnsi="Times New Roman" w:cs="Times New Roman"/>
        </w:rPr>
        <w:t xml:space="preserve">., 2017). </w:t>
      </w:r>
    </w:p>
    <w:p w14:paraId="5DF7370E" w14:textId="77777777" w:rsidR="009B0448" w:rsidRPr="009B0448" w:rsidRDefault="009B0448" w:rsidP="009B0448">
      <w:pPr>
        <w:spacing w:line="276" w:lineRule="auto"/>
        <w:jc w:val="both"/>
        <w:rPr>
          <w:rFonts w:ascii="Times New Roman" w:hAnsi="Times New Roman" w:cs="Times New Roman"/>
        </w:rPr>
      </w:pPr>
    </w:p>
    <w:p w14:paraId="7007ECB9" w14:textId="57258F0E"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In order to achieve an effective and thorough documentation of the status, trends and future of biodiversity and ecosystem services in this region, it is essential to consider the unique history of African continent. For the human species (</w:t>
      </w:r>
      <w:r w:rsidRPr="009B0448">
        <w:rPr>
          <w:rFonts w:ascii="Times New Roman" w:hAnsi="Times New Roman" w:cs="Times New Roman"/>
          <w:i/>
        </w:rPr>
        <w:t>Homo sapiens</w:t>
      </w:r>
      <w:r w:rsidRPr="009B0448">
        <w:rPr>
          <w:rFonts w:ascii="Times New Roman" w:hAnsi="Times New Roman" w:cs="Times New Roman"/>
        </w:rPr>
        <w:t xml:space="preserve">), Africa provides many examples of human impacts–positive or negative–that point to the past, current and future of biodiversity and ecosystem services. Historically speaking, archaeologists have established that Olduvai archaeological grounds in Serengeti was one of the homes to earliest hominids, the human ancestors who relied on and interacted with the natural environment over two million years ago (Domínguez-Rodrigo </w:t>
      </w:r>
      <w:r w:rsidRPr="009B0448">
        <w:rPr>
          <w:rFonts w:ascii="Times New Roman" w:hAnsi="Times New Roman" w:cs="Times New Roman"/>
          <w:i/>
        </w:rPr>
        <w:t>et al.</w:t>
      </w:r>
      <w:r w:rsidRPr="009B0448">
        <w:rPr>
          <w:rFonts w:ascii="Times New Roman" w:hAnsi="Times New Roman" w:cs="Times New Roman"/>
        </w:rPr>
        <w:t xml:space="preserve">, 2009; Beverly </w:t>
      </w:r>
      <w:r w:rsidRPr="009B0448">
        <w:rPr>
          <w:rFonts w:ascii="Times New Roman" w:hAnsi="Times New Roman" w:cs="Times New Roman"/>
          <w:i/>
        </w:rPr>
        <w:t>et al.</w:t>
      </w:r>
      <w:r w:rsidRPr="009B0448">
        <w:rPr>
          <w:rFonts w:ascii="Times New Roman" w:hAnsi="Times New Roman" w:cs="Times New Roman"/>
        </w:rPr>
        <w:t xml:space="preserve">, 2014). Based on recent scientific findings, Africa was also a home to </w:t>
      </w:r>
      <w:r w:rsidRPr="009B0448">
        <w:rPr>
          <w:rFonts w:ascii="Times New Roman" w:hAnsi="Times New Roman" w:cs="Times New Roman"/>
          <w:i/>
        </w:rPr>
        <w:t>Homo naledi</w:t>
      </w:r>
      <w:r w:rsidRPr="009B0448">
        <w:rPr>
          <w:rFonts w:ascii="Times New Roman" w:hAnsi="Times New Roman" w:cs="Times New Roman"/>
        </w:rPr>
        <w:t>–presumably one of the closest members of the human family–</w:t>
      </w:r>
      <w:r w:rsidRPr="009B0448">
        <w:rPr>
          <w:rFonts w:ascii="Times New Roman" w:hAnsi="Times New Roman" w:cs="Times New Roman"/>
          <w:i/>
        </w:rPr>
        <w:t xml:space="preserve">H. erectus, </w:t>
      </w:r>
      <w:r w:rsidRPr="009B0448">
        <w:rPr>
          <w:rFonts w:ascii="Times New Roman" w:hAnsi="Times New Roman" w:cs="Times New Roman"/>
        </w:rPr>
        <w:t>H</w:t>
      </w:r>
      <w:r w:rsidRPr="009B0448">
        <w:rPr>
          <w:rFonts w:ascii="Times New Roman" w:hAnsi="Times New Roman" w:cs="Times New Roman"/>
          <w:i/>
        </w:rPr>
        <w:t xml:space="preserve">. habilis </w:t>
      </w:r>
      <w:r w:rsidRPr="009B0448">
        <w:rPr>
          <w:rFonts w:ascii="Times New Roman" w:hAnsi="Times New Roman" w:cs="Times New Roman"/>
        </w:rPr>
        <w:t xml:space="preserve">and ultimately </w:t>
      </w:r>
      <w:r w:rsidRPr="009B0448">
        <w:rPr>
          <w:rFonts w:ascii="Times New Roman" w:hAnsi="Times New Roman" w:cs="Times New Roman"/>
          <w:i/>
        </w:rPr>
        <w:t>H. sapiens</w:t>
      </w:r>
      <w:r w:rsidRPr="009B0448">
        <w:rPr>
          <w:rFonts w:ascii="Times New Roman" w:hAnsi="Times New Roman" w:cs="Times New Roman"/>
        </w:rPr>
        <w:t xml:space="preserve"> (Callaway, 2015). As such, it is indisputable that Africa is one of the earliest locations for understanding how humans developed the culture of using ecosystem services. For example, oil palm (</w:t>
      </w:r>
      <w:r w:rsidRPr="009B0448">
        <w:rPr>
          <w:rFonts w:ascii="Times New Roman" w:hAnsi="Times New Roman" w:cs="Times New Roman"/>
          <w:i/>
        </w:rPr>
        <w:t>Elaeis guineensis</w:t>
      </w:r>
      <w:r w:rsidRPr="009B0448">
        <w:rPr>
          <w:rFonts w:ascii="Times New Roman" w:hAnsi="Times New Roman" w:cs="Times New Roman"/>
        </w:rPr>
        <w:t>, Least Concern) is an economic plant native to Africa and was introduced to Southeast Asia in the 19</w:t>
      </w:r>
      <w:r w:rsidRPr="009B0448">
        <w:rPr>
          <w:rFonts w:ascii="Times New Roman" w:hAnsi="Times New Roman" w:cs="Times New Roman"/>
          <w:vertAlign w:val="superscript"/>
        </w:rPr>
        <w:t>th</w:t>
      </w:r>
      <w:r w:rsidRPr="009B0448">
        <w:rPr>
          <w:rFonts w:ascii="Times New Roman" w:hAnsi="Times New Roman" w:cs="Times New Roman"/>
        </w:rPr>
        <w:t xml:space="preserve"> century, where it has now become a source of both economic prosperity and ecological concern (Hai, 2002). That said, it is important to add that the commodification of biodiversity and ecosystem services pose serious risks to long-standing African management systems that view humans as inseparable part </w:t>
      </w:r>
      <w:r w:rsidRPr="009B0448">
        <w:rPr>
          <w:rFonts w:ascii="Times New Roman" w:hAnsi="Times New Roman" w:cs="Times New Roman"/>
        </w:rPr>
        <w:lastRenderedPageBreak/>
        <w:t xml:space="preserve">of biodiversity (Gerber </w:t>
      </w:r>
      <w:r w:rsidRPr="009B0448">
        <w:rPr>
          <w:rFonts w:ascii="Times New Roman" w:hAnsi="Times New Roman" w:cs="Times New Roman"/>
          <w:i/>
        </w:rPr>
        <w:t>et al.</w:t>
      </w:r>
      <w:r w:rsidRPr="009B0448">
        <w:rPr>
          <w:rFonts w:ascii="Times New Roman" w:hAnsi="Times New Roman" w:cs="Times New Roman"/>
        </w:rPr>
        <w:t xml:space="preserve">, 2007). Indeed, some studies found that upland areas of the East African Rift Valley system have helped in preserving plant species DNA for a period of up to 5,000 years (Boessenkool </w:t>
      </w:r>
      <w:r w:rsidRPr="009B0448">
        <w:rPr>
          <w:rFonts w:ascii="Times New Roman" w:hAnsi="Times New Roman" w:cs="Times New Roman"/>
          <w:i/>
        </w:rPr>
        <w:t>et al.</w:t>
      </w:r>
      <w:r w:rsidRPr="009B0448">
        <w:rPr>
          <w:rFonts w:ascii="Times New Roman" w:hAnsi="Times New Roman" w:cs="Times New Roman"/>
        </w:rPr>
        <w:t xml:space="preserve">, 2014). In Africa it is not only the physical environment that preserve biodiversity, but also social and economic systems that are well-connected to biodiversity and ecosystem services (Gerber </w:t>
      </w:r>
      <w:r w:rsidRPr="009B0448">
        <w:rPr>
          <w:rFonts w:ascii="Times New Roman" w:hAnsi="Times New Roman" w:cs="Times New Roman"/>
          <w:i/>
        </w:rPr>
        <w:t>et al.</w:t>
      </w:r>
      <w:r w:rsidRPr="009B0448">
        <w:rPr>
          <w:rFonts w:ascii="Times New Roman" w:hAnsi="Times New Roman" w:cs="Times New Roman"/>
        </w:rPr>
        <w:t>, 2007). Presently, there are increasing concerns over how human impacts, changing institutions, science and policy, habitat fragment</w:t>
      </w:r>
      <w:r w:rsidR="00C813C5">
        <w:rPr>
          <w:rFonts w:ascii="Times New Roman" w:hAnsi="Times New Roman" w:cs="Times New Roman"/>
        </w:rPr>
        <w:t>ation, modernisation and urbanis</w:t>
      </w:r>
      <w:r w:rsidRPr="009B0448">
        <w:rPr>
          <w:rFonts w:ascii="Times New Roman" w:hAnsi="Times New Roman" w:cs="Times New Roman"/>
        </w:rPr>
        <w:t xml:space="preserve">ation are undermining the present and future sustainability of biodiversity and ecosystem services in Africa (Anderson </w:t>
      </w:r>
      <w:r w:rsidRPr="009B0448">
        <w:rPr>
          <w:rFonts w:ascii="Times New Roman" w:hAnsi="Times New Roman" w:cs="Times New Roman"/>
          <w:i/>
        </w:rPr>
        <w:t>et al.</w:t>
      </w:r>
      <w:r w:rsidRPr="009B0448">
        <w:rPr>
          <w:rFonts w:ascii="Times New Roman" w:hAnsi="Times New Roman" w:cs="Times New Roman"/>
        </w:rPr>
        <w:t xml:space="preserve">, 2013; McGuinness </w:t>
      </w:r>
      <w:r w:rsidRPr="009B0448">
        <w:rPr>
          <w:rFonts w:ascii="Times New Roman" w:hAnsi="Times New Roman" w:cs="Times New Roman"/>
          <w:i/>
        </w:rPr>
        <w:t>et al.</w:t>
      </w:r>
      <w:r w:rsidRPr="009B0448">
        <w:rPr>
          <w:rFonts w:ascii="Times New Roman" w:hAnsi="Times New Roman" w:cs="Times New Roman"/>
        </w:rPr>
        <w:t xml:space="preserve">, 2014). As the Anthropocene age begins, it is imperative for scientists and policymakers to revisit strategies that will support transformation towards a better future that secures biodiversity, ecosystems and human well-being and prosperity. </w:t>
      </w:r>
    </w:p>
    <w:p w14:paraId="7B1170D6"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132" w:name="_Toc503105147"/>
      <w:bookmarkStart w:id="133" w:name="_Toc519499846"/>
      <w:r w:rsidRPr="009B0448">
        <w:rPr>
          <w:rFonts w:eastAsia="Calibri" w:cs="Times New Roman"/>
          <w:szCs w:val="24"/>
        </w:rPr>
        <w:t>Methods and information sources</w:t>
      </w:r>
      <w:bookmarkEnd w:id="132"/>
      <w:bookmarkEnd w:id="133"/>
    </w:p>
    <w:p w14:paraId="6722B6DA"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Status, trends and future dynamics of biodiversity were examined at genetic, species and ecosystem levels. The genetic variations/trends within populations (see for example the FAO status of world genetic resources for food and agriculture and International treaty on plant genetic resources was used), and at the species and communities levels, indicators such as relative abundance, richness and uniqueness of species and their diversity including; wild relatives, threatened species, species vulnerability to climate change and other pressures etc. were examined. Sources of information about indicators include multi-lateral environmental agreements on biodiversity such as Convention on International Trade in Endangered Species of Wild Fauna and Flora (CITES) and Convention on Migratory Species. Other sources of information include Summaries from State of Biodiversity in Africa, and Digital Observatory for Protected Areas. </w:t>
      </w:r>
    </w:p>
    <w:p w14:paraId="39CDC5CD" w14:textId="77777777" w:rsidR="009B0448" w:rsidRPr="009B0448" w:rsidRDefault="009B0448" w:rsidP="009B0448">
      <w:pPr>
        <w:spacing w:line="276" w:lineRule="auto"/>
        <w:jc w:val="both"/>
        <w:rPr>
          <w:rFonts w:ascii="Times New Roman" w:hAnsi="Times New Roman" w:cs="Times New Roman"/>
        </w:rPr>
      </w:pPr>
    </w:p>
    <w:p w14:paraId="262A25F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criteria that Chapter 3 used to evaluate species status and trends cover seven main questions: i) What are the data resources? ii) What are the biome-specific evaluation levels? iii) For what taxonomic groups is it important to have data? iv) What does present status mean and how can it be evaluated? v) What are the past trends – timescales and evaluation techniques? vi) What are the future dynamics of biodiversity looking towards the 2020 Aichi Biodiversity Targets (Chapters 4 and 5), and vii) What are the gaps? The seven overarching questions given above factored in: Habitats/ecosystems/landscapes, their extent and conditions relating to the ecosystem services that they provide. Ecologically and biologically significant areas, Important Bird Areas/Key Biodiversity Areas, hotspots, protected areas/Biosphere reserves/Ramsar sites, World heritage sites, fragile and vulnerable areas, degraded lands, agricultural lands; marine and other aquatic areas; land cover types, elevation zones, etc. The major ecosystem units of analysis taken into account are: deserts and drylands, savanna and grasslands, tropical dry and humid forests, mountains, islands and linear coastal systems, wetland and freshwater systems, urban and semi-urban systems, aquaculture-agriculture-sylviculture. Possible case studies include: Mountain Gorilla, Cheetahs, Fish of East African rift lakes, Mopane worms, Mangroves, Palms, </w:t>
      </w:r>
      <w:r w:rsidRPr="009B0448">
        <w:rPr>
          <w:rFonts w:ascii="Times New Roman" w:hAnsi="Times New Roman" w:cs="Times New Roman"/>
          <w:i/>
        </w:rPr>
        <w:t>Ficus</w:t>
      </w:r>
      <w:r w:rsidRPr="009B0448">
        <w:rPr>
          <w:rFonts w:ascii="Times New Roman" w:hAnsi="Times New Roman" w:cs="Times New Roman"/>
        </w:rPr>
        <w:t>, and Argan (</w:t>
      </w:r>
      <w:r w:rsidRPr="009B0448">
        <w:rPr>
          <w:rFonts w:ascii="Times New Roman" w:hAnsi="Times New Roman" w:cs="Times New Roman"/>
          <w:i/>
        </w:rPr>
        <w:t>Argania spinosa</w:t>
      </w:r>
      <w:r w:rsidRPr="009B0448">
        <w:rPr>
          <w:rFonts w:ascii="Times New Roman" w:hAnsi="Times New Roman" w:cs="Times New Roman"/>
        </w:rPr>
        <w:t>).</w:t>
      </w:r>
    </w:p>
    <w:p w14:paraId="39FE2135" w14:textId="77777777" w:rsidR="009B0448" w:rsidRPr="009B0448" w:rsidRDefault="009B0448" w:rsidP="009B0448">
      <w:pPr>
        <w:spacing w:line="276" w:lineRule="auto"/>
        <w:jc w:val="both"/>
        <w:rPr>
          <w:rFonts w:ascii="Times New Roman" w:hAnsi="Times New Roman" w:cs="Times New Roman"/>
        </w:rPr>
      </w:pPr>
    </w:p>
    <w:p w14:paraId="654CD0DC" w14:textId="008E934E"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Presentation of the status and trends of key biodiversity features in focal case studies, covering both trends in the extent and quantity of key biodiversity components that play an important role in ecosystem structure and function or have iconic or spiritual/cultural value. Trends in quality and condition of biodiversity features crucial to the services/benefits/values highlighted in Chapter 2 and Chapter 4, including small-scale features with special ecological and cultural significance. ILK of the status and trends of biodiversity were documented through published literature and dialogue workshops undertaken in the context of IPBES to complement scientific methods and studies (Roué </w:t>
      </w:r>
      <w:r w:rsidRPr="009B0448">
        <w:rPr>
          <w:rFonts w:ascii="Times New Roman" w:hAnsi="Times New Roman" w:cs="Times New Roman"/>
          <w:i/>
        </w:rPr>
        <w:t>et al.</w:t>
      </w:r>
      <w:r w:rsidRPr="009B0448">
        <w:rPr>
          <w:rFonts w:ascii="Times New Roman" w:hAnsi="Times New Roman" w:cs="Times New Roman"/>
        </w:rPr>
        <w:t>, 2017). Trends in invasive species and their impacts were also examined.</w:t>
      </w:r>
    </w:p>
    <w:p w14:paraId="4EF56342"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134" w:name="_Toc503105148"/>
      <w:bookmarkStart w:id="135" w:name="_Toc519499847"/>
      <w:r w:rsidRPr="009B0448">
        <w:rPr>
          <w:rFonts w:eastAsia="Calibri" w:cs="Times New Roman"/>
          <w:szCs w:val="24"/>
        </w:rPr>
        <w:lastRenderedPageBreak/>
        <w:t>Overview of status and trends of biodiversity in the African region</w:t>
      </w:r>
      <w:bookmarkEnd w:id="134"/>
      <w:bookmarkEnd w:id="135"/>
    </w:p>
    <w:p w14:paraId="36EDC4ED" w14:textId="77777777" w:rsidR="009B0448" w:rsidRPr="009B0448" w:rsidRDefault="009B0448" w:rsidP="00FA7185">
      <w:pPr>
        <w:pStyle w:val="111"/>
        <w:numPr>
          <w:ilvl w:val="2"/>
          <w:numId w:val="18"/>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136" w:name="_Toc503105149"/>
      <w:bookmarkStart w:id="137" w:name="_Toc519499848"/>
      <w:r w:rsidRPr="009B0448">
        <w:rPr>
          <w:rFonts w:cs="Times New Roman"/>
          <w:i w:val="0"/>
          <w:sz w:val="22"/>
          <w:szCs w:val="22"/>
        </w:rPr>
        <w:t>Status of species diversity</w:t>
      </w:r>
      <w:bookmarkEnd w:id="136"/>
      <w:bookmarkEnd w:id="137"/>
    </w:p>
    <w:p w14:paraId="5AA88BCB" w14:textId="77777777" w:rsidR="009B0448" w:rsidRPr="009B0448" w:rsidRDefault="009B0448" w:rsidP="009B0448">
      <w:pPr>
        <w:spacing w:line="276" w:lineRule="auto"/>
        <w:jc w:val="both"/>
        <w:rPr>
          <w:rFonts w:ascii="Times New Roman" w:hAnsi="Times New Roman" w:cs="Times New Roman"/>
          <w:lang w:val="en-US"/>
        </w:rPr>
      </w:pPr>
      <w:r w:rsidRPr="009B0448">
        <w:rPr>
          <w:rFonts w:ascii="Times New Roman" w:hAnsi="Times New Roman" w:cs="Times New Roman"/>
        </w:rPr>
        <w:t>The African region holds an incredibly rich and unique flora and fauna containing over a quarter of the world’s biodiversity, with the greatest concentrations occurring in the African equatorial ecosystems, South Africa and Madagascar (UNEP-WCMC, 2016; Table 3.1; Figure 3.1). The African region contains between 52,000 and 73,000 plant species (</w:t>
      </w:r>
      <w:r w:rsidRPr="009B0448">
        <w:rPr>
          <w:rFonts w:ascii="Times New Roman" w:hAnsi="Times New Roman" w:cs="Times New Roman"/>
          <w:lang w:val="en-US"/>
        </w:rPr>
        <w:t>Schatz, 2002; UNEP, 2008), including 20% of the world’s tree diversity (9,000</w:t>
      </w:r>
      <w:r w:rsidRPr="009B0448">
        <w:rPr>
          <w:rFonts w:ascii="Times New Roman" w:eastAsia="Times New Roman" w:hAnsi="Times New Roman" w:cs="Times New Roman"/>
        </w:rPr>
        <w:t>–</w:t>
      </w:r>
      <w:r w:rsidRPr="009B0448">
        <w:rPr>
          <w:rFonts w:ascii="Times New Roman" w:hAnsi="Times New Roman" w:cs="Times New Roman"/>
          <w:lang w:val="en-US"/>
        </w:rPr>
        <w:t xml:space="preserve">11,000 species) (Slik </w:t>
      </w:r>
      <w:r w:rsidRPr="009B0448">
        <w:rPr>
          <w:rFonts w:ascii="Times New Roman" w:hAnsi="Times New Roman" w:cs="Times New Roman"/>
          <w:i/>
          <w:lang w:val="en-US"/>
        </w:rPr>
        <w:t>et al.</w:t>
      </w:r>
      <w:r w:rsidRPr="009B0448">
        <w:rPr>
          <w:rFonts w:ascii="Times New Roman" w:hAnsi="Times New Roman" w:cs="Times New Roman"/>
          <w:lang w:val="en-US"/>
        </w:rPr>
        <w:t>, 2015). Madagascar has about 11,000</w:t>
      </w:r>
      <w:r w:rsidRPr="009B0448">
        <w:rPr>
          <w:rFonts w:ascii="Times New Roman" w:eastAsia="Times New Roman" w:hAnsi="Times New Roman" w:cs="Times New Roman"/>
        </w:rPr>
        <w:t>–</w:t>
      </w:r>
      <w:r w:rsidRPr="009B0448">
        <w:rPr>
          <w:rFonts w:ascii="Times New Roman" w:hAnsi="Times New Roman" w:cs="Times New Roman"/>
          <w:lang w:val="en-US"/>
        </w:rPr>
        <w:t xml:space="preserve">13,000 species of vascular plants, of which 90% are endemic (Gautier </w:t>
      </w:r>
      <w:r w:rsidRPr="009B0448">
        <w:rPr>
          <w:rFonts w:ascii="Times New Roman" w:hAnsi="Times New Roman" w:cs="Times New Roman"/>
          <w:i/>
          <w:lang w:val="en-US"/>
        </w:rPr>
        <w:t>et al.</w:t>
      </w:r>
      <w:r w:rsidRPr="009B0448">
        <w:rPr>
          <w:rFonts w:ascii="Times New Roman" w:hAnsi="Times New Roman" w:cs="Times New Roman"/>
          <w:lang w:val="en-US"/>
        </w:rPr>
        <w:t>, 2003). Africa is home to over one-quarter of the world’s 5,450 mammal species. It also has more than 2,500 species of birds–one-fifth of the world’s total–and at least 5,445 species of fish, alongside 1,134 described amphibian species (</w:t>
      </w:r>
      <w:r w:rsidRPr="009B0448">
        <w:rPr>
          <w:rFonts w:ascii="Times New Roman" w:hAnsi="Times New Roman" w:cs="Times New Roman"/>
        </w:rPr>
        <w:t>UNEP, 2008</w:t>
      </w:r>
      <w:r w:rsidRPr="009B0448">
        <w:rPr>
          <w:rFonts w:ascii="Times New Roman" w:hAnsi="Times New Roman" w:cs="Times New Roman"/>
          <w:lang w:val="en-US"/>
        </w:rPr>
        <w:t xml:space="preserve">, UNEP-WCMC </w:t>
      </w:r>
      <w:r w:rsidRPr="009B0448">
        <w:rPr>
          <w:rFonts w:ascii="Times New Roman" w:hAnsi="Times New Roman" w:cs="Times New Roman"/>
          <w:i/>
          <w:lang w:val="en-US"/>
        </w:rPr>
        <w:t>et al</w:t>
      </w:r>
      <w:r w:rsidRPr="009B0448">
        <w:rPr>
          <w:rFonts w:ascii="Times New Roman" w:hAnsi="Times New Roman" w:cs="Times New Roman"/>
          <w:lang w:val="en-US"/>
        </w:rPr>
        <w:t xml:space="preserve">., 2016). </w:t>
      </w:r>
      <w:r w:rsidRPr="009B0448">
        <w:rPr>
          <w:rFonts w:ascii="Times New Roman" w:hAnsi="Times New Roman" w:cs="Times New Roman"/>
        </w:rPr>
        <w:t xml:space="preserve">Southern Africa alone has at least 580 families and about 100,000 known species of insects, spiders, and other invertebrates (UNEP, 2008). </w:t>
      </w:r>
      <w:r w:rsidRPr="009B0448">
        <w:rPr>
          <w:rFonts w:ascii="Times New Roman" w:hAnsi="Times New Roman" w:cs="Times New Roman"/>
          <w:lang w:val="en-US"/>
        </w:rPr>
        <w:t xml:space="preserve">The African region also stands out for holding 40% of the global diversity of primate species (194 species), from human’s closest relative, the chimpanzee, to the unique and diverse lemurs of Madagascar (Schwitzer </w:t>
      </w:r>
      <w:r w:rsidRPr="009B0448">
        <w:rPr>
          <w:rFonts w:ascii="Times New Roman" w:hAnsi="Times New Roman" w:cs="Times New Roman"/>
          <w:i/>
          <w:lang w:val="en-US"/>
        </w:rPr>
        <w:t>et al.</w:t>
      </w:r>
      <w:r w:rsidRPr="009B0448">
        <w:rPr>
          <w:rFonts w:ascii="Times New Roman" w:hAnsi="Times New Roman" w:cs="Times New Roman"/>
          <w:lang w:val="en-US"/>
        </w:rPr>
        <w:t xml:space="preserve">, 2013). While the rest of the globe underwent massive Pleistocene extinctions of large-bodied vertebrates (megafauna), Africa maintains an almost intact assemblage (Gill, 2015; Ripple </w:t>
      </w:r>
      <w:r w:rsidRPr="009B0448">
        <w:rPr>
          <w:rFonts w:ascii="Times New Roman" w:hAnsi="Times New Roman" w:cs="Times New Roman"/>
          <w:i/>
          <w:lang w:val="en-US"/>
        </w:rPr>
        <w:t>et al.</w:t>
      </w:r>
      <w:r w:rsidRPr="009B0448">
        <w:rPr>
          <w:rFonts w:ascii="Times New Roman" w:hAnsi="Times New Roman" w:cs="Times New Roman"/>
          <w:lang w:val="en-US"/>
        </w:rPr>
        <w:t xml:space="preserve">, 2016). These megafauna act as ecosystem engineers and play important roles in maintaining ecosystems (Malhi </w:t>
      </w:r>
      <w:r w:rsidRPr="009B0448">
        <w:rPr>
          <w:rFonts w:ascii="Times New Roman" w:hAnsi="Times New Roman" w:cs="Times New Roman"/>
          <w:i/>
          <w:lang w:val="en-US"/>
        </w:rPr>
        <w:t>et al.</w:t>
      </w:r>
      <w:r w:rsidRPr="009B0448">
        <w:rPr>
          <w:rFonts w:ascii="Times New Roman" w:hAnsi="Times New Roman" w:cs="Times New Roman"/>
          <w:lang w:val="en-US"/>
        </w:rPr>
        <w:t xml:space="preserve">, 2016). </w:t>
      </w:r>
    </w:p>
    <w:p w14:paraId="0F07C078" w14:textId="77777777" w:rsidR="009B0448" w:rsidRPr="009B0448" w:rsidRDefault="009B0448" w:rsidP="009B0448">
      <w:pPr>
        <w:spacing w:line="276" w:lineRule="auto"/>
        <w:jc w:val="both"/>
        <w:rPr>
          <w:rFonts w:ascii="Times New Roman" w:hAnsi="Times New Roman" w:cs="Times New Roman"/>
          <w:lang w:val="en-US"/>
        </w:rPr>
      </w:pPr>
    </w:p>
    <w:p w14:paraId="376F6747" w14:textId="429414BE" w:rsidR="009B0448" w:rsidRPr="009B0448" w:rsidRDefault="009B0448" w:rsidP="009B0448">
      <w:pPr>
        <w:spacing w:line="276" w:lineRule="auto"/>
        <w:jc w:val="both"/>
        <w:rPr>
          <w:rFonts w:ascii="Times New Roman" w:hAnsi="Times New Roman" w:cs="Times New Roman"/>
          <w:lang w:val="en-US"/>
        </w:rPr>
      </w:pPr>
      <w:r w:rsidRPr="009B0448">
        <w:rPr>
          <w:rFonts w:ascii="Times New Roman" w:hAnsi="Times New Roman" w:cs="Times New Roman"/>
          <w:lang w:val="en-US"/>
        </w:rPr>
        <w:t>As also indicated in Chapter 1, there are eight</w:t>
      </w:r>
      <w:r w:rsidRPr="00250F13">
        <w:rPr>
          <w:rFonts w:ascii="Times New Roman" w:hAnsi="Times New Roman" w:cs="Times New Roman"/>
        </w:rPr>
        <w:t xml:space="preserve"> recognised</w:t>
      </w:r>
      <w:r w:rsidRPr="009B0448">
        <w:rPr>
          <w:rFonts w:ascii="Times New Roman" w:hAnsi="Times New Roman" w:cs="Times New Roman"/>
          <w:lang w:val="en-US"/>
        </w:rPr>
        <w:t xml:space="preserve"> biodiversity hotspots in the African continent (</w:t>
      </w:r>
      <w:r w:rsidRPr="00C87E0F">
        <w:rPr>
          <w:rFonts w:ascii="Times New Roman" w:hAnsi="Times New Roman" w:cs="Times New Roman"/>
          <w:lang w:val="en-US"/>
        </w:rPr>
        <w:t xml:space="preserve">Cape floristic region, </w:t>
      </w:r>
      <w:r w:rsidRPr="009B0448">
        <w:rPr>
          <w:rFonts w:ascii="Times New Roman" w:hAnsi="Times New Roman" w:cs="Times New Roman"/>
          <w:lang w:val="en-US"/>
        </w:rPr>
        <w:t xml:space="preserve">Coastal forests of eastern Africa, Eastern Afromontane, Guinean forests of Western Africa, Horn of Africa, Madagascar and the Indian Ocean islands, Maputaland Pondoland Albany, and Succulent Karoo) plus the Mediterranean Basin which encompasses part of the Northern Africa and Southern Europe (Mittermeier </w:t>
      </w:r>
      <w:r w:rsidRPr="009B0448">
        <w:rPr>
          <w:rFonts w:ascii="Times New Roman" w:hAnsi="Times New Roman" w:cs="Times New Roman"/>
          <w:i/>
          <w:lang w:val="en-US"/>
        </w:rPr>
        <w:t>et al.</w:t>
      </w:r>
      <w:r w:rsidR="007460EE">
        <w:rPr>
          <w:rFonts w:ascii="Times New Roman" w:hAnsi="Times New Roman" w:cs="Times New Roman"/>
          <w:i/>
          <w:lang w:val="en-US"/>
        </w:rPr>
        <w:t>,</w:t>
      </w:r>
      <w:r w:rsidRPr="009B0448">
        <w:rPr>
          <w:rFonts w:ascii="Times New Roman" w:hAnsi="Times New Roman" w:cs="Times New Roman"/>
          <w:lang w:val="en-US"/>
        </w:rPr>
        <w:t xml:space="preserve"> 2004; Conservation International, 2011; Table 3.3).</w:t>
      </w:r>
    </w:p>
    <w:p w14:paraId="47D9E4A9" w14:textId="77777777" w:rsidR="009B0448" w:rsidRPr="009B0448" w:rsidRDefault="009B0448" w:rsidP="009B0448">
      <w:pPr>
        <w:spacing w:line="276" w:lineRule="auto"/>
        <w:jc w:val="both"/>
        <w:rPr>
          <w:rFonts w:ascii="Times New Roman" w:hAnsi="Times New Roman" w:cs="Times New Roman"/>
          <w:lang w:val="en-US"/>
        </w:rPr>
      </w:pPr>
    </w:p>
    <w:p w14:paraId="0D260762"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Table 3.1:</w:t>
      </w:r>
      <w:r w:rsidRPr="009B0448">
        <w:rPr>
          <w:rFonts w:ascii="Times New Roman" w:hAnsi="Times New Roman" w:cs="Times New Roman"/>
        </w:rPr>
        <w:t xml:space="preserve"> Comparison of African regional freshwater biodiversity assessments. Source: Darwall </w:t>
      </w:r>
      <w:r w:rsidRPr="009B0448">
        <w:rPr>
          <w:rFonts w:ascii="Times New Roman" w:hAnsi="Times New Roman" w:cs="Times New Roman"/>
          <w:i/>
        </w:rPr>
        <w:t>et al.</w:t>
      </w:r>
      <w:r w:rsidRPr="009B0448">
        <w:rPr>
          <w:rFonts w:ascii="Times New Roman" w:hAnsi="Times New Roman" w:cs="Times New Roman"/>
        </w:rPr>
        <w:t xml:space="preserve"> (2005); Smith </w:t>
      </w:r>
      <w:r w:rsidRPr="009B0448">
        <w:rPr>
          <w:rFonts w:ascii="Times New Roman" w:hAnsi="Times New Roman" w:cs="Times New Roman"/>
          <w:i/>
        </w:rPr>
        <w:t>et al.</w:t>
      </w:r>
      <w:r w:rsidRPr="009B0448">
        <w:rPr>
          <w:rFonts w:ascii="Times New Roman" w:hAnsi="Times New Roman" w:cs="Times New Roman"/>
        </w:rPr>
        <w:t xml:space="preserve"> (2009); Darwall </w:t>
      </w:r>
      <w:r w:rsidRPr="009B0448">
        <w:rPr>
          <w:rFonts w:ascii="Times New Roman" w:hAnsi="Times New Roman" w:cs="Times New Roman"/>
          <w:i/>
        </w:rPr>
        <w:t>et al.</w:t>
      </w:r>
      <w:r w:rsidRPr="009B0448">
        <w:rPr>
          <w:rFonts w:ascii="Times New Roman" w:hAnsi="Times New Roman" w:cs="Times New Roman"/>
        </w:rPr>
        <w:t xml:space="preserve"> (2009); García </w:t>
      </w:r>
      <w:r w:rsidRPr="009B0448">
        <w:rPr>
          <w:rFonts w:ascii="Times New Roman" w:hAnsi="Times New Roman" w:cs="Times New Roman"/>
          <w:i/>
        </w:rPr>
        <w:t>et al.</w:t>
      </w:r>
      <w:r w:rsidRPr="009B0448">
        <w:rPr>
          <w:rFonts w:ascii="Times New Roman" w:hAnsi="Times New Roman" w:cs="Times New Roman"/>
        </w:rPr>
        <w:t xml:space="preserve"> (2010); Brooks </w:t>
      </w:r>
      <w:r w:rsidRPr="009B0448">
        <w:rPr>
          <w:rFonts w:ascii="Times New Roman" w:hAnsi="Times New Roman" w:cs="Times New Roman"/>
          <w:i/>
        </w:rPr>
        <w:t>et al.</w:t>
      </w:r>
      <w:r w:rsidRPr="009B0448">
        <w:rPr>
          <w:rFonts w:ascii="Times New Roman" w:hAnsi="Times New Roman" w:cs="Times New Roman"/>
        </w:rPr>
        <w:t xml:space="preserve"> (2011).</w:t>
      </w:r>
    </w:p>
    <w:tbl>
      <w:tblPr>
        <w:tblStyle w:val="PlainTable11"/>
        <w:tblW w:w="5000" w:type="pct"/>
        <w:tblLayout w:type="fixed"/>
        <w:tblLook w:val="0400" w:firstRow="0" w:lastRow="0" w:firstColumn="0" w:lastColumn="0" w:noHBand="0" w:noVBand="1"/>
      </w:tblPr>
      <w:tblGrid>
        <w:gridCol w:w="2328"/>
        <w:gridCol w:w="1353"/>
        <w:gridCol w:w="1680"/>
        <w:gridCol w:w="1391"/>
        <w:gridCol w:w="1081"/>
        <w:gridCol w:w="1184"/>
      </w:tblGrid>
      <w:tr w:rsidR="009B0448" w:rsidRPr="009B0448" w14:paraId="6D752F05" w14:textId="77777777" w:rsidTr="009B0448">
        <w:trPr>
          <w:cnfStyle w:val="000000100000" w:firstRow="0" w:lastRow="0" w:firstColumn="0" w:lastColumn="0" w:oddVBand="0" w:evenVBand="0" w:oddHBand="1" w:evenHBand="0" w:firstRowFirstColumn="0" w:firstRowLastColumn="0" w:lastRowFirstColumn="0" w:lastRowLastColumn="0"/>
          <w:trHeight w:val="231"/>
        </w:trPr>
        <w:tc>
          <w:tcPr>
            <w:tcW w:w="23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F5E1DE" w14:textId="77777777" w:rsidR="009B0448" w:rsidRPr="009B0448" w:rsidRDefault="009B0448">
            <w:pPr>
              <w:spacing w:line="276" w:lineRule="auto"/>
              <w:jc w:val="both"/>
              <w:rPr>
                <w:rFonts w:ascii="Times New Roman" w:hAnsi="Times New Roman" w:cs="Times New Roman"/>
              </w:rPr>
            </w:pPr>
          </w:p>
        </w:tc>
        <w:tc>
          <w:tcPr>
            <w:tcW w:w="13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E6BC0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Central Africa</w:t>
            </w:r>
          </w:p>
        </w:tc>
        <w:tc>
          <w:tcPr>
            <w:tcW w:w="16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C7D26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East Africa and adjacent islands</w:t>
            </w:r>
          </w:p>
        </w:tc>
        <w:tc>
          <w:tcPr>
            <w:tcW w:w="13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DF70F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West Africa</w:t>
            </w:r>
          </w:p>
        </w:tc>
        <w:tc>
          <w:tcPr>
            <w:tcW w:w="1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FC97E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North Africa</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5B73C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Southern Africa</w:t>
            </w:r>
          </w:p>
        </w:tc>
      </w:tr>
      <w:tr w:rsidR="009B0448" w:rsidRPr="009B0448" w14:paraId="5B49D54C" w14:textId="77777777" w:rsidTr="009B0448">
        <w:trPr>
          <w:trHeight w:val="242"/>
        </w:trPr>
        <w:tc>
          <w:tcPr>
            <w:tcW w:w="23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99C69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Number of taxa</w:t>
            </w:r>
          </w:p>
        </w:tc>
        <w:tc>
          <w:tcPr>
            <w:tcW w:w="13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640E0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2261</w:t>
            </w:r>
          </w:p>
        </w:tc>
        <w:tc>
          <w:tcPr>
            <w:tcW w:w="16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7B22D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1661</w:t>
            </w:r>
          </w:p>
        </w:tc>
        <w:tc>
          <w:tcPr>
            <w:tcW w:w="13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F3AAE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1395</w:t>
            </w:r>
          </w:p>
        </w:tc>
        <w:tc>
          <w:tcPr>
            <w:tcW w:w="1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F141B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877</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73888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1279</w:t>
            </w:r>
          </w:p>
        </w:tc>
      </w:tr>
      <w:tr w:rsidR="009B0448" w:rsidRPr="009B0448" w14:paraId="23C25236" w14:textId="77777777" w:rsidTr="009B0448">
        <w:trPr>
          <w:cnfStyle w:val="000000100000" w:firstRow="0" w:lastRow="0" w:firstColumn="0" w:lastColumn="0" w:oddVBand="0" w:evenVBand="0" w:oddHBand="1" w:evenHBand="0" w:firstRowFirstColumn="0" w:firstRowLastColumn="0" w:lastRowFirstColumn="0" w:lastRowLastColumn="0"/>
          <w:trHeight w:val="231"/>
        </w:trPr>
        <w:tc>
          <w:tcPr>
            <w:tcW w:w="23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88A32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Threatened</w:t>
            </w:r>
          </w:p>
        </w:tc>
        <w:tc>
          <w:tcPr>
            <w:tcW w:w="13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E88B4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15%</w:t>
            </w:r>
          </w:p>
        </w:tc>
        <w:tc>
          <w:tcPr>
            <w:tcW w:w="16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34EB4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26%</w:t>
            </w:r>
          </w:p>
        </w:tc>
        <w:tc>
          <w:tcPr>
            <w:tcW w:w="13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32E8A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14%</w:t>
            </w:r>
          </w:p>
        </w:tc>
        <w:tc>
          <w:tcPr>
            <w:tcW w:w="1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12EFD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28%</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87909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7%</w:t>
            </w:r>
          </w:p>
        </w:tc>
      </w:tr>
      <w:tr w:rsidR="009B0448" w:rsidRPr="009B0448" w14:paraId="4CA546E5" w14:textId="77777777" w:rsidTr="009B0448">
        <w:trPr>
          <w:trHeight w:val="231"/>
        </w:trPr>
        <w:tc>
          <w:tcPr>
            <w:tcW w:w="23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D8B04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Critically endangered</w:t>
            </w:r>
          </w:p>
        </w:tc>
        <w:tc>
          <w:tcPr>
            <w:tcW w:w="13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EFFC7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2.47%</w:t>
            </w:r>
          </w:p>
        </w:tc>
        <w:tc>
          <w:tcPr>
            <w:tcW w:w="16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B47B1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2.25%</w:t>
            </w:r>
          </w:p>
        </w:tc>
        <w:tc>
          <w:tcPr>
            <w:tcW w:w="13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E37E8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2.29%</w:t>
            </w:r>
          </w:p>
        </w:tc>
        <w:tc>
          <w:tcPr>
            <w:tcW w:w="1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7A7C2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7%</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F8CB8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1.87</w:t>
            </w:r>
          </w:p>
        </w:tc>
      </w:tr>
      <w:tr w:rsidR="009B0448" w:rsidRPr="009B0448" w14:paraId="2BD4130D" w14:textId="77777777" w:rsidTr="009B0448">
        <w:trPr>
          <w:cnfStyle w:val="000000100000" w:firstRow="0" w:lastRow="0" w:firstColumn="0" w:lastColumn="0" w:oddVBand="0" w:evenVBand="0" w:oddHBand="1" w:evenHBand="0" w:firstRowFirstColumn="0" w:firstRowLastColumn="0" w:lastRowFirstColumn="0" w:lastRowLastColumn="0"/>
          <w:trHeight w:val="242"/>
        </w:trPr>
        <w:tc>
          <w:tcPr>
            <w:tcW w:w="23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9DB06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Endangered</w:t>
            </w:r>
          </w:p>
        </w:tc>
        <w:tc>
          <w:tcPr>
            <w:tcW w:w="13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85713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5%</w:t>
            </w:r>
          </w:p>
        </w:tc>
        <w:tc>
          <w:tcPr>
            <w:tcW w:w="16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55AA3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7.5%</w:t>
            </w:r>
          </w:p>
        </w:tc>
        <w:tc>
          <w:tcPr>
            <w:tcW w:w="13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6EF7D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4.2%</w:t>
            </w:r>
          </w:p>
        </w:tc>
        <w:tc>
          <w:tcPr>
            <w:tcW w:w="1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26A51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8%</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97F66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2.65</w:t>
            </w:r>
          </w:p>
        </w:tc>
      </w:tr>
      <w:tr w:rsidR="009B0448" w:rsidRPr="009B0448" w14:paraId="4268380B" w14:textId="77777777" w:rsidTr="009B0448">
        <w:trPr>
          <w:trHeight w:val="231"/>
        </w:trPr>
        <w:tc>
          <w:tcPr>
            <w:tcW w:w="23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EBA07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Vulnerable</w:t>
            </w:r>
          </w:p>
        </w:tc>
        <w:tc>
          <w:tcPr>
            <w:tcW w:w="13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776DF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7.29%</w:t>
            </w:r>
          </w:p>
        </w:tc>
        <w:tc>
          <w:tcPr>
            <w:tcW w:w="16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C25ED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16%</w:t>
            </w:r>
          </w:p>
        </w:tc>
        <w:tc>
          <w:tcPr>
            <w:tcW w:w="13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BC70B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7.5%</w:t>
            </w:r>
          </w:p>
        </w:tc>
        <w:tc>
          <w:tcPr>
            <w:tcW w:w="1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3CC87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13%</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E348A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2.81</w:t>
            </w:r>
          </w:p>
        </w:tc>
      </w:tr>
      <w:tr w:rsidR="009B0448" w:rsidRPr="009B0448" w14:paraId="6D872E13" w14:textId="77777777" w:rsidTr="009B0448">
        <w:trPr>
          <w:cnfStyle w:val="000000100000" w:firstRow="0" w:lastRow="0" w:firstColumn="0" w:lastColumn="0" w:oddVBand="0" w:evenVBand="0" w:oddHBand="1" w:evenHBand="0" w:firstRowFirstColumn="0" w:firstRowLastColumn="0" w:lastRowFirstColumn="0" w:lastRowLastColumn="0"/>
          <w:trHeight w:val="242"/>
        </w:trPr>
        <w:tc>
          <w:tcPr>
            <w:tcW w:w="232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3AC92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Data deficient</w:t>
            </w:r>
          </w:p>
        </w:tc>
        <w:tc>
          <w:tcPr>
            <w:tcW w:w="13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4397C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21%</w:t>
            </w:r>
          </w:p>
        </w:tc>
        <w:tc>
          <w:tcPr>
            <w:tcW w:w="16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21EF5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13%</w:t>
            </w:r>
          </w:p>
        </w:tc>
        <w:tc>
          <w:tcPr>
            <w:tcW w:w="13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E73B1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16%</w:t>
            </w:r>
          </w:p>
        </w:tc>
        <w:tc>
          <w:tcPr>
            <w:tcW w:w="1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D399F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14%</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C61E5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15%</w:t>
            </w:r>
          </w:p>
        </w:tc>
      </w:tr>
    </w:tbl>
    <w:p w14:paraId="75FF7564" w14:textId="77777777" w:rsidR="009B0448" w:rsidRPr="009B0448" w:rsidRDefault="009B0448" w:rsidP="009B0448">
      <w:pPr>
        <w:spacing w:line="276" w:lineRule="auto"/>
        <w:jc w:val="both"/>
        <w:rPr>
          <w:rFonts w:ascii="Times New Roman" w:hAnsi="Times New Roman" w:cs="Times New Roman"/>
          <w:b/>
        </w:rPr>
      </w:pPr>
    </w:p>
    <w:p w14:paraId="644780FA"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Table 3.2:</w:t>
      </w:r>
      <w:r w:rsidRPr="009B0448">
        <w:rPr>
          <w:rFonts w:ascii="Times New Roman" w:hAnsi="Times New Roman" w:cs="Times New Roman"/>
        </w:rPr>
        <w:t xml:space="preserve"> Estimated numbers of species by major taxonomic group. Source: Darwall </w:t>
      </w:r>
      <w:r w:rsidRPr="009B0448">
        <w:rPr>
          <w:rFonts w:ascii="Times New Roman" w:hAnsi="Times New Roman" w:cs="Times New Roman"/>
          <w:i/>
        </w:rPr>
        <w:t>et al.</w:t>
      </w:r>
      <w:r w:rsidRPr="009B0448">
        <w:rPr>
          <w:rFonts w:ascii="Times New Roman" w:hAnsi="Times New Roman" w:cs="Times New Roman"/>
        </w:rPr>
        <w:t xml:space="preserve"> (2005); Darwall </w:t>
      </w:r>
      <w:r w:rsidRPr="009B0448">
        <w:rPr>
          <w:rFonts w:ascii="Times New Roman" w:hAnsi="Times New Roman" w:cs="Times New Roman"/>
          <w:i/>
        </w:rPr>
        <w:t>et al.</w:t>
      </w:r>
      <w:r w:rsidRPr="009B0448">
        <w:rPr>
          <w:rFonts w:ascii="Times New Roman" w:hAnsi="Times New Roman" w:cs="Times New Roman"/>
        </w:rPr>
        <w:t xml:space="preserve"> (2009); Smith </w:t>
      </w:r>
      <w:r w:rsidRPr="009B0448">
        <w:rPr>
          <w:rFonts w:ascii="Times New Roman" w:hAnsi="Times New Roman" w:cs="Times New Roman"/>
          <w:i/>
        </w:rPr>
        <w:t>et al.</w:t>
      </w:r>
      <w:r w:rsidRPr="009B0448">
        <w:rPr>
          <w:rFonts w:ascii="Times New Roman" w:hAnsi="Times New Roman" w:cs="Times New Roman"/>
        </w:rPr>
        <w:t xml:space="preserve"> (2009); García </w:t>
      </w:r>
      <w:r w:rsidRPr="009B0448">
        <w:rPr>
          <w:rFonts w:ascii="Times New Roman" w:hAnsi="Times New Roman" w:cs="Times New Roman"/>
          <w:i/>
        </w:rPr>
        <w:t>et al.</w:t>
      </w:r>
      <w:r w:rsidRPr="009B0448">
        <w:rPr>
          <w:rFonts w:ascii="Times New Roman" w:hAnsi="Times New Roman" w:cs="Times New Roman"/>
        </w:rPr>
        <w:t xml:space="preserve"> (2010); Brooks </w:t>
      </w:r>
      <w:r w:rsidRPr="009B0448">
        <w:rPr>
          <w:rFonts w:ascii="Times New Roman" w:hAnsi="Times New Roman" w:cs="Times New Roman"/>
          <w:i/>
        </w:rPr>
        <w:t>et al.</w:t>
      </w:r>
      <w:r w:rsidRPr="009B0448">
        <w:rPr>
          <w:rFonts w:ascii="Times New Roman" w:hAnsi="Times New Roman" w:cs="Times New Roman"/>
        </w:rPr>
        <w:t xml:space="preserve"> (2011); </w:t>
      </w:r>
      <w:hyperlink r:id="rId657" w:history="1">
        <w:r w:rsidRPr="009B0448">
          <w:rPr>
            <w:rStyle w:val="Hyperlink"/>
            <w:rFonts w:ascii="Times New Roman" w:eastAsia="Verdana" w:hAnsi="Times New Roman" w:cs="Times New Roman"/>
          </w:rPr>
          <w:t>http://amphibiaweb.org</w:t>
        </w:r>
      </w:hyperlink>
      <w:r w:rsidRPr="009B0448">
        <w:rPr>
          <w:rFonts w:ascii="Times New Roman" w:hAnsi="Times New Roman" w:cs="Times New Roman"/>
        </w:rPr>
        <w:t xml:space="preserve">; </w:t>
      </w:r>
      <w:hyperlink r:id="rId658" w:history="1">
        <w:r w:rsidRPr="009B0448">
          <w:rPr>
            <w:rStyle w:val="Hyperlink"/>
            <w:rFonts w:ascii="Times New Roman" w:eastAsia="Verdana" w:hAnsi="Times New Roman" w:cs="Times New Roman"/>
          </w:rPr>
          <w:t>http://reptile-database.reptarium.cz/</w:t>
        </w:r>
      </w:hyperlink>
      <w:r w:rsidRPr="009B0448">
        <w:rPr>
          <w:rFonts w:ascii="Times New Roman" w:hAnsi="Times New Roman" w:cs="Times New Roman"/>
        </w:rPr>
        <w:t>).</w:t>
      </w:r>
    </w:p>
    <w:tbl>
      <w:tblPr>
        <w:tblStyle w:val="PlainTable11"/>
        <w:tblW w:w="5000" w:type="pct"/>
        <w:tblLayout w:type="fixed"/>
        <w:tblLook w:val="0400" w:firstRow="0" w:lastRow="0" w:firstColumn="0" w:lastColumn="0" w:noHBand="0" w:noVBand="1"/>
      </w:tblPr>
      <w:tblGrid>
        <w:gridCol w:w="1771"/>
        <w:gridCol w:w="1367"/>
        <w:gridCol w:w="2045"/>
        <w:gridCol w:w="1502"/>
        <w:gridCol w:w="1095"/>
        <w:gridCol w:w="1237"/>
      </w:tblGrid>
      <w:tr w:rsidR="009B0448" w:rsidRPr="009B0448" w14:paraId="2E2F0CAE" w14:textId="77777777" w:rsidTr="009B0448">
        <w:trPr>
          <w:cnfStyle w:val="000000100000" w:firstRow="0" w:lastRow="0" w:firstColumn="0" w:lastColumn="0" w:oddVBand="0" w:evenVBand="0" w:oddHBand="1" w:evenHBand="0" w:firstRowFirstColumn="0" w:firstRowLastColumn="0" w:lastRowFirstColumn="0" w:lastRowLastColumn="0"/>
          <w:trHeight w:val="271"/>
        </w:trPr>
        <w:tc>
          <w:tcPr>
            <w:tcW w:w="18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2BD635" w14:textId="77777777" w:rsidR="009B0448" w:rsidRPr="009B0448" w:rsidRDefault="009B0448">
            <w:pPr>
              <w:spacing w:line="276" w:lineRule="auto"/>
              <w:jc w:val="both"/>
              <w:rPr>
                <w:rFonts w:ascii="Times New Roman" w:hAnsi="Times New Roman" w:cs="Times New Roman"/>
              </w:rPr>
            </w:pPr>
            <w:bookmarkStart w:id="138" w:name="OLE_LINK2"/>
            <w:r w:rsidRPr="009B0448">
              <w:rPr>
                <w:rFonts w:ascii="Times New Roman" w:hAnsi="Times New Roman" w:cs="Times New Roman"/>
                <w:b/>
              </w:rPr>
              <w:t>Taxon</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C56B7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Central Africa</w:t>
            </w:r>
          </w:p>
        </w:tc>
        <w:tc>
          <w:tcPr>
            <w:tcW w:w="2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B9C27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East Africa and adjacent islands</w:t>
            </w:r>
          </w:p>
        </w:tc>
        <w:tc>
          <w:tcPr>
            <w:tcW w:w="1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6685F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West Africa</w:t>
            </w:r>
          </w:p>
        </w:tc>
        <w:tc>
          <w:tcPr>
            <w:tcW w:w="113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2EC8D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North Africa</w:t>
            </w:r>
          </w:p>
        </w:tc>
        <w:tc>
          <w:tcPr>
            <w:tcW w:w="12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DC156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Southern Africa</w:t>
            </w:r>
          </w:p>
        </w:tc>
      </w:tr>
      <w:tr w:rsidR="009B0448" w:rsidRPr="009B0448" w14:paraId="7669ACEB" w14:textId="77777777" w:rsidTr="009B0448">
        <w:trPr>
          <w:trHeight w:val="211"/>
        </w:trPr>
        <w:tc>
          <w:tcPr>
            <w:tcW w:w="18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06427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Fishes</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3054C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1,440</w:t>
            </w:r>
          </w:p>
        </w:tc>
        <w:tc>
          <w:tcPr>
            <w:tcW w:w="2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311AB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1,090</w:t>
            </w:r>
          </w:p>
        </w:tc>
        <w:tc>
          <w:tcPr>
            <w:tcW w:w="1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DA3F0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542</w:t>
            </w:r>
          </w:p>
        </w:tc>
        <w:tc>
          <w:tcPr>
            <w:tcW w:w="113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B024D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128</w:t>
            </w:r>
          </w:p>
        </w:tc>
        <w:tc>
          <w:tcPr>
            <w:tcW w:w="12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82224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355</w:t>
            </w:r>
          </w:p>
        </w:tc>
      </w:tr>
      <w:tr w:rsidR="009B0448" w:rsidRPr="009B0448" w14:paraId="62DB75EE" w14:textId="77777777" w:rsidTr="009B0448">
        <w:trPr>
          <w:cnfStyle w:val="000000100000" w:firstRow="0" w:lastRow="0" w:firstColumn="0" w:lastColumn="0" w:oddVBand="0" w:evenVBand="0" w:oddHBand="1" w:evenHBand="0" w:firstRowFirstColumn="0" w:firstRowLastColumn="0" w:lastRowFirstColumn="0" w:lastRowLastColumn="0"/>
          <w:trHeight w:val="271"/>
        </w:trPr>
        <w:tc>
          <w:tcPr>
            <w:tcW w:w="18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1BBD3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Mollusca</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37AF6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241</w:t>
            </w:r>
          </w:p>
        </w:tc>
        <w:tc>
          <w:tcPr>
            <w:tcW w:w="2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506E3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230</w:t>
            </w:r>
          </w:p>
        </w:tc>
        <w:tc>
          <w:tcPr>
            <w:tcW w:w="1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9FFFC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90</w:t>
            </w:r>
          </w:p>
        </w:tc>
        <w:tc>
          <w:tcPr>
            <w:tcW w:w="113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24550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155</w:t>
            </w:r>
          </w:p>
        </w:tc>
        <w:tc>
          <w:tcPr>
            <w:tcW w:w="12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DFB2C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116</w:t>
            </w:r>
          </w:p>
        </w:tc>
      </w:tr>
      <w:tr w:rsidR="009B0448" w:rsidRPr="009B0448" w14:paraId="0F9F41D7" w14:textId="77777777" w:rsidTr="009B0448">
        <w:trPr>
          <w:trHeight w:val="283"/>
        </w:trPr>
        <w:tc>
          <w:tcPr>
            <w:tcW w:w="18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48174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Odonata</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B20D9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504</w:t>
            </w:r>
          </w:p>
        </w:tc>
        <w:tc>
          <w:tcPr>
            <w:tcW w:w="2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C0D51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304</w:t>
            </w:r>
          </w:p>
        </w:tc>
        <w:tc>
          <w:tcPr>
            <w:tcW w:w="1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BBAEC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287</w:t>
            </w:r>
          </w:p>
        </w:tc>
        <w:tc>
          <w:tcPr>
            <w:tcW w:w="113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2C861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82</w:t>
            </w:r>
          </w:p>
        </w:tc>
        <w:tc>
          <w:tcPr>
            <w:tcW w:w="12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2222D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272</w:t>
            </w:r>
          </w:p>
        </w:tc>
      </w:tr>
      <w:tr w:rsidR="009B0448" w:rsidRPr="009B0448" w14:paraId="50D73F0B" w14:textId="77777777" w:rsidTr="009B0448">
        <w:trPr>
          <w:cnfStyle w:val="000000100000" w:firstRow="0" w:lastRow="0" w:firstColumn="0" w:lastColumn="0" w:oddVBand="0" w:evenVBand="0" w:oddHBand="1" w:evenHBand="0" w:firstRowFirstColumn="0" w:firstRowLastColumn="0" w:lastRowFirstColumn="0" w:lastRowLastColumn="0"/>
          <w:trHeight w:val="283"/>
        </w:trPr>
        <w:tc>
          <w:tcPr>
            <w:tcW w:w="18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AD7D4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Crabs</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AB815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44</w:t>
            </w:r>
          </w:p>
        </w:tc>
        <w:tc>
          <w:tcPr>
            <w:tcW w:w="2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8D557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37</w:t>
            </w:r>
          </w:p>
        </w:tc>
        <w:tc>
          <w:tcPr>
            <w:tcW w:w="1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13DFD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35</w:t>
            </w:r>
          </w:p>
        </w:tc>
        <w:tc>
          <w:tcPr>
            <w:tcW w:w="113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7F046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w:t>
            </w:r>
          </w:p>
        </w:tc>
        <w:tc>
          <w:tcPr>
            <w:tcW w:w="12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D8162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19</w:t>
            </w:r>
          </w:p>
        </w:tc>
      </w:tr>
      <w:tr w:rsidR="009B0448" w:rsidRPr="009B0448" w14:paraId="5B4FB8B7" w14:textId="77777777" w:rsidTr="009B0448">
        <w:trPr>
          <w:trHeight w:val="271"/>
        </w:trPr>
        <w:tc>
          <w:tcPr>
            <w:tcW w:w="18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9A778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lastRenderedPageBreak/>
              <w:t>Amphibians</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E7D9B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303</w:t>
            </w:r>
          </w:p>
        </w:tc>
        <w:tc>
          <w:tcPr>
            <w:tcW w:w="2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984ED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390</w:t>
            </w:r>
          </w:p>
        </w:tc>
        <w:tc>
          <w:tcPr>
            <w:tcW w:w="1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16919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150</w:t>
            </w:r>
          </w:p>
        </w:tc>
        <w:tc>
          <w:tcPr>
            <w:tcW w:w="113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DAFEE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61</w:t>
            </w:r>
          </w:p>
        </w:tc>
        <w:tc>
          <w:tcPr>
            <w:tcW w:w="12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71C99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221</w:t>
            </w:r>
          </w:p>
        </w:tc>
      </w:tr>
      <w:tr w:rsidR="009B0448" w:rsidRPr="009B0448" w14:paraId="5C769FA3" w14:textId="77777777" w:rsidTr="009B0448">
        <w:trPr>
          <w:cnfStyle w:val="000000100000" w:firstRow="0" w:lastRow="0" w:firstColumn="0" w:lastColumn="0" w:oddVBand="0" w:evenVBand="0" w:oddHBand="1" w:evenHBand="0" w:firstRowFirstColumn="0" w:firstRowLastColumn="0" w:lastRowFirstColumn="0" w:lastRowLastColumn="0"/>
          <w:trHeight w:val="283"/>
        </w:trPr>
        <w:tc>
          <w:tcPr>
            <w:tcW w:w="18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6E1EE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Mammals</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A5006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22</w:t>
            </w:r>
          </w:p>
        </w:tc>
        <w:tc>
          <w:tcPr>
            <w:tcW w:w="2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0E346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135</w:t>
            </w:r>
          </w:p>
        </w:tc>
        <w:tc>
          <w:tcPr>
            <w:tcW w:w="1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FC64D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16</w:t>
            </w:r>
          </w:p>
        </w:tc>
        <w:tc>
          <w:tcPr>
            <w:tcW w:w="113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B4C89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126</w:t>
            </w:r>
          </w:p>
        </w:tc>
        <w:tc>
          <w:tcPr>
            <w:tcW w:w="12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80562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13</w:t>
            </w:r>
          </w:p>
        </w:tc>
      </w:tr>
      <w:tr w:rsidR="009B0448" w:rsidRPr="009B0448" w14:paraId="6F3A8F10" w14:textId="77777777" w:rsidTr="009B0448">
        <w:trPr>
          <w:trHeight w:val="283"/>
        </w:trPr>
        <w:tc>
          <w:tcPr>
            <w:tcW w:w="18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D71F4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Water birds</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D7082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198</w:t>
            </w:r>
          </w:p>
        </w:tc>
        <w:tc>
          <w:tcPr>
            <w:tcW w:w="2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60D6E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868</w:t>
            </w:r>
          </w:p>
        </w:tc>
        <w:tc>
          <w:tcPr>
            <w:tcW w:w="1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22074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380</w:t>
            </w:r>
          </w:p>
        </w:tc>
        <w:tc>
          <w:tcPr>
            <w:tcW w:w="113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7D3B8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xml:space="preserve">200 </w:t>
            </w:r>
          </w:p>
        </w:tc>
        <w:tc>
          <w:tcPr>
            <w:tcW w:w="12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6282A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221</w:t>
            </w:r>
          </w:p>
        </w:tc>
      </w:tr>
      <w:tr w:rsidR="009B0448" w:rsidRPr="009B0448" w14:paraId="6969A927" w14:textId="77777777" w:rsidTr="009B0448">
        <w:trPr>
          <w:cnfStyle w:val="000000100000" w:firstRow="0" w:lastRow="0" w:firstColumn="0" w:lastColumn="0" w:oddVBand="0" w:evenVBand="0" w:oddHBand="1" w:evenHBand="0" w:firstRowFirstColumn="0" w:firstRowLastColumn="0" w:lastRowFirstColumn="0" w:lastRowLastColumn="0"/>
          <w:trHeight w:val="271"/>
        </w:trPr>
        <w:tc>
          <w:tcPr>
            <w:tcW w:w="18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8F4F9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Turtles</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EC907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w:t>
            </w:r>
          </w:p>
        </w:tc>
        <w:tc>
          <w:tcPr>
            <w:tcW w:w="2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7026A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N/A</w:t>
            </w:r>
          </w:p>
        </w:tc>
        <w:tc>
          <w:tcPr>
            <w:tcW w:w="1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88090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w:t>
            </w:r>
          </w:p>
        </w:tc>
        <w:tc>
          <w:tcPr>
            <w:tcW w:w="113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CEE6A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xml:space="preserve">8 </w:t>
            </w:r>
          </w:p>
        </w:tc>
        <w:tc>
          <w:tcPr>
            <w:tcW w:w="12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7436D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15</w:t>
            </w:r>
          </w:p>
        </w:tc>
      </w:tr>
      <w:tr w:rsidR="009B0448" w:rsidRPr="009B0448" w14:paraId="3E7AF093" w14:textId="77777777" w:rsidTr="009B0448">
        <w:trPr>
          <w:trHeight w:val="283"/>
        </w:trPr>
        <w:tc>
          <w:tcPr>
            <w:tcW w:w="18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8B3A7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Aquatic plants</w:t>
            </w:r>
          </w:p>
        </w:tc>
        <w:tc>
          <w:tcPr>
            <w:tcW w:w="14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4E1C3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435</w:t>
            </w:r>
          </w:p>
        </w:tc>
        <w:tc>
          <w:tcPr>
            <w:tcW w:w="21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9DBDB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N/A</w:t>
            </w:r>
          </w:p>
        </w:tc>
        <w:tc>
          <w:tcPr>
            <w:tcW w:w="155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846E8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472</w:t>
            </w:r>
          </w:p>
        </w:tc>
        <w:tc>
          <w:tcPr>
            <w:tcW w:w="113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91D2D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509</w:t>
            </w:r>
          </w:p>
        </w:tc>
        <w:tc>
          <w:tcPr>
            <w:tcW w:w="12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53589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N/A</w:t>
            </w:r>
          </w:p>
        </w:tc>
      </w:tr>
      <w:bookmarkEnd w:id="138"/>
    </w:tbl>
    <w:p w14:paraId="0D6C0F12" w14:textId="77777777" w:rsidR="009B0448" w:rsidRPr="009B0448" w:rsidRDefault="009B0448" w:rsidP="009B0448">
      <w:pPr>
        <w:spacing w:line="276" w:lineRule="auto"/>
        <w:jc w:val="both"/>
        <w:rPr>
          <w:rFonts w:ascii="Times New Roman" w:hAnsi="Times New Roman" w:cs="Times New Roman"/>
          <w:lang w:val="en-US"/>
        </w:rPr>
      </w:pPr>
    </w:p>
    <w:p w14:paraId="058AECF3" w14:textId="72EFF898" w:rsidR="009B0448" w:rsidRPr="009B0448" w:rsidRDefault="009B0448" w:rsidP="009B0448">
      <w:pPr>
        <w:spacing w:line="276" w:lineRule="auto"/>
        <w:jc w:val="both"/>
        <w:rPr>
          <w:rFonts w:ascii="Times New Roman" w:hAnsi="Times New Roman" w:cs="Times New Roman"/>
          <w:lang w:val="en-US"/>
        </w:rPr>
      </w:pPr>
      <w:r w:rsidRPr="009B0448">
        <w:rPr>
          <w:rFonts w:ascii="Times New Roman" w:hAnsi="Times New Roman" w:cs="Times New Roman"/>
          <w:noProof/>
          <w:lang w:eastAsia="en-GB"/>
        </w:rPr>
        <w:drawing>
          <wp:inline distT="0" distB="0" distL="0" distR="0" wp14:anchorId="04230F76" wp14:editId="50F37DC0">
            <wp:extent cx="4888042" cy="6553200"/>
            <wp:effectExtent l="0" t="0" r="8255"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9">
                      <a:extLst>
                        <a:ext uri="{28A0092B-C50C-407E-A947-70E740481C1C}">
                          <a14:useLocalDpi xmlns:a14="http://schemas.microsoft.com/office/drawing/2010/main" val="0"/>
                        </a:ext>
                      </a:extLst>
                    </a:blip>
                    <a:stretch>
                      <a:fillRect/>
                    </a:stretch>
                  </pic:blipFill>
                  <pic:spPr bwMode="auto">
                    <a:xfrm>
                      <a:off x="0" y="0"/>
                      <a:ext cx="4888042" cy="6553200"/>
                    </a:xfrm>
                    <a:prstGeom prst="rect">
                      <a:avLst/>
                    </a:prstGeom>
                    <a:noFill/>
                    <a:ln>
                      <a:noFill/>
                    </a:ln>
                  </pic:spPr>
                </pic:pic>
              </a:graphicData>
            </a:graphic>
          </wp:inline>
        </w:drawing>
      </w:r>
    </w:p>
    <w:p w14:paraId="3DB0DDBA" w14:textId="3C9E5ED5"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Figure 3.1:</w:t>
      </w:r>
      <w:r w:rsidRPr="009B0448">
        <w:rPr>
          <w:rFonts w:ascii="Times New Roman" w:hAnsi="Times New Roman" w:cs="Times New Roman"/>
        </w:rPr>
        <w:t xml:space="preserve"> Biodiversity Intactness Index: The map and chart show the remaining populations of native species as a percentage of their original populations. From the map, blue areas are within proposed safe limits for the maintenance of ecosystem health, whereas red areas are beyond the safe limit. Source: Map from Newbold </w:t>
      </w:r>
      <w:r w:rsidRPr="009B0448">
        <w:rPr>
          <w:rFonts w:ascii="Times New Roman" w:hAnsi="Times New Roman" w:cs="Times New Roman"/>
          <w:i/>
        </w:rPr>
        <w:t>et al</w:t>
      </w:r>
      <w:r w:rsidRPr="009B0448">
        <w:rPr>
          <w:rFonts w:ascii="Times New Roman" w:hAnsi="Times New Roman" w:cs="Times New Roman"/>
        </w:rPr>
        <w:t>. (</w:t>
      </w:r>
      <w:r w:rsidR="00D314CD">
        <w:rPr>
          <w:rFonts w:ascii="Times New Roman" w:hAnsi="Times New Roman" w:cs="Times New Roman"/>
        </w:rPr>
        <w:t>2016), and chart from GEO BON-</w:t>
      </w:r>
      <w:r w:rsidRPr="009B0448">
        <w:rPr>
          <w:rFonts w:ascii="Times New Roman" w:hAnsi="Times New Roman" w:cs="Times New Roman"/>
        </w:rPr>
        <w:t>PREDICTS, the figure prepared by Task Group on Indicators and Knowledge and Data Technical Support Unit.</w:t>
      </w:r>
    </w:p>
    <w:p w14:paraId="4536EBEE" w14:textId="77777777" w:rsidR="009B0448" w:rsidRPr="009B0448" w:rsidRDefault="009B0448" w:rsidP="009B0448">
      <w:pPr>
        <w:jc w:val="both"/>
        <w:rPr>
          <w:rFonts w:ascii="Times New Roman" w:hAnsi="Times New Roman" w:cs="Times New Roman"/>
          <w:lang w:val="en-US"/>
        </w:rPr>
      </w:pPr>
      <w:r w:rsidRPr="009B0448">
        <w:rPr>
          <w:rFonts w:ascii="Times New Roman" w:hAnsi="Times New Roman" w:cs="Times New Roman"/>
          <w:color w:val="auto"/>
          <w:lang w:val="en-US"/>
        </w:rPr>
        <w:br w:type="page"/>
      </w:r>
    </w:p>
    <w:p w14:paraId="6705EE9D" w14:textId="77777777" w:rsidR="009B0448" w:rsidRPr="009B0448" w:rsidRDefault="009B0448" w:rsidP="009B0448">
      <w:pPr>
        <w:spacing w:line="276" w:lineRule="auto"/>
        <w:rPr>
          <w:rFonts w:ascii="Times New Roman" w:hAnsi="Times New Roman" w:cs="Times New Roman"/>
          <w:b/>
          <w:i/>
          <w:color w:val="auto"/>
        </w:rPr>
        <w:sectPr w:rsidR="009B0448" w:rsidRPr="009B0448" w:rsidSect="00455669">
          <w:pgSz w:w="11907" w:h="16839"/>
          <w:pgMar w:top="1440" w:right="1440" w:bottom="1440" w:left="1440" w:header="0" w:footer="144" w:gutter="0"/>
          <w:cols w:space="720"/>
        </w:sectPr>
      </w:pPr>
    </w:p>
    <w:p w14:paraId="699FDF1D" w14:textId="77777777" w:rsidR="009B0448" w:rsidRPr="009B0448" w:rsidRDefault="009B0448" w:rsidP="009B0448">
      <w:pPr>
        <w:tabs>
          <w:tab w:val="left" w:pos="6730"/>
        </w:tabs>
        <w:spacing w:line="276" w:lineRule="auto"/>
        <w:jc w:val="both"/>
        <w:rPr>
          <w:rFonts w:ascii="Times New Roman" w:hAnsi="Times New Roman" w:cs="Times New Roman"/>
        </w:rPr>
      </w:pPr>
      <w:r w:rsidRPr="009B0448">
        <w:rPr>
          <w:rFonts w:ascii="Times New Roman" w:hAnsi="Times New Roman" w:cs="Times New Roman"/>
          <w:b/>
        </w:rPr>
        <w:lastRenderedPageBreak/>
        <w:t>Table 3.3:</w:t>
      </w:r>
      <w:r w:rsidRPr="009B0448">
        <w:rPr>
          <w:rFonts w:ascii="Times New Roman" w:hAnsi="Times New Roman" w:cs="Times New Roman"/>
        </w:rPr>
        <w:t xml:space="preserve"> Biodiversity hotspots in Africa and their biological values.</w:t>
      </w:r>
    </w:p>
    <w:tbl>
      <w:tblPr>
        <w:tblW w:w="5000" w:type="pct"/>
        <w:tblLayout w:type="fixed"/>
        <w:tblLook w:val="04A0" w:firstRow="1" w:lastRow="0" w:firstColumn="1" w:lastColumn="0" w:noHBand="0" w:noVBand="1"/>
      </w:tblPr>
      <w:tblGrid>
        <w:gridCol w:w="1651"/>
        <w:gridCol w:w="1354"/>
        <w:gridCol w:w="1054"/>
        <w:gridCol w:w="1355"/>
        <w:gridCol w:w="1205"/>
        <w:gridCol w:w="1355"/>
        <w:gridCol w:w="1205"/>
        <w:gridCol w:w="752"/>
        <w:gridCol w:w="1055"/>
        <w:gridCol w:w="904"/>
        <w:gridCol w:w="1055"/>
      </w:tblGrid>
      <w:tr w:rsidR="009B0448" w:rsidRPr="009B0448" w14:paraId="604F951C" w14:textId="77777777" w:rsidTr="009B0448">
        <w:trPr>
          <w:trHeight w:val="218"/>
        </w:trPr>
        <w:tc>
          <w:tcPr>
            <w:tcW w:w="1555" w:type="dxa"/>
            <w:vMerge w:val="restart"/>
            <w:tcBorders>
              <w:top w:val="single" w:sz="8" w:space="0" w:color="000000"/>
              <w:left w:val="single" w:sz="4" w:space="0" w:color="auto"/>
              <w:bottom w:val="single" w:sz="8" w:space="0" w:color="000000"/>
              <w:right w:val="single" w:sz="8" w:space="0" w:color="000000"/>
            </w:tcBorders>
            <w:vAlign w:val="center"/>
            <w:hideMark/>
          </w:tcPr>
          <w:p w14:paraId="353F52D2" w14:textId="77777777" w:rsidR="009B0448" w:rsidRPr="009B0448" w:rsidRDefault="009B0448">
            <w:pPr>
              <w:rPr>
                <w:rFonts w:ascii="Times New Roman" w:hAnsi="Times New Roman" w:cs="Times New Roman"/>
                <w:b/>
                <w:bCs/>
              </w:rPr>
            </w:pPr>
            <w:r w:rsidRPr="009B0448">
              <w:rPr>
                <w:rFonts w:ascii="Times New Roman" w:hAnsi="Times New Roman" w:cs="Times New Roman"/>
                <w:b/>
                <w:bCs/>
              </w:rPr>
              <w:t>Hotspots</w:t>
            </w:r>
          </w:p>
        </w:tc>
        <w:tc>
          <w:tcPr>
            <w:tcW w:w="1275" w:type="dxa"/>
            <w:tcBorders>
              <w:top w:val="single" w:sz="4" w:space="0" w:color="auto"/>
              <w:left w:val="single" w:sz="8" w:space="0" w:color="666666"/>
              <w:bottom w:val="single" w:sz="4" w:space="0" w:color="auto"/>
              <w:right w:val="single" w:sz="8" w:space="0" w:color="666666"/>
            </w:tcBorders>
            <w:vAlign w:val="center"/>
          </w:tcPr>
          <w:p w14:paraId="595922B8" w14:textId="77777777" w:rsidR="009B0448" w:rsidRPr="009B0448" w:rsidRDefault="009B0448">
            <w:pPr>
              <w:jc w:val="center"/>
              <w:rPr>
                <w:rFonts w:ascii="Times New Roman" w:hAnsi="Times New Roman" w:cs="Times New Roman"/>
              </w:rPr>
            </w:pPr>
          </w:p>
        </w:tc>
        <w:tc>
          <w:tcPr>
            <w:tcW w:w="4678" w:type="dxa"/>
            <w:gridSpan w:val="4"/>
            <w:tcBorders>
              <w:top w:val="single" w:sz="4" w:space="0" w:color="auto"/>
              <w:left w:val="single" w:sz="8" w:space="0" w:color="666666"/>
              <w:bottom w:val="single" w:sz="8" w:space="0" w:color="666666"/>
              <w:right w:val="single" w:sz="8" w:space="0" w:color="666666"/>
            </w:tcBorders>
            <w:shd w:val="clear" w:color="auto" w:fill="D9D9D9" w:themeFill="background1" w:themeFillShade="D9"/>
            <w:vAlign w:val="center"/>
            <w:hideMark/>
          </w:tcPr>
          <w:p w14:paraId="4B95E447" w14:textId="77777777" w:rsidR="009B0448" w:rsidRPr="009B0448" w:rsidRDefault="009B0448">
            <w:pPr>
              <w:jc w:val="center"/>
              <w:rPr>
                <w:rFonts w:ascii="Times New Roman" w:hAnsi="Times New Roman" w:cs="Times New Roman"/>
              </w:rPr>
            </w:pPr>
            <w:r w:rsidRPr="009B0448">
              <w:rPr>
                <w:rFonts w:ascii="Times New Roman" w:hAnsi="Times New Roman" w:cs="Times New Roman"/>
              </w:rPr>
              <w:t>Area (km</w:t>
            </w:r>
            <w:r w:rsidRPr="009B0448">
              <w:rPr>
                <w:rFonts w:ascii="Times New Roman" w:hAnsi="Times New Roman" w:cs="Times New Roman"/>
                <w:vertAlign w:val="superscript"/>
              </w:rPr>
              <w:t>2</w:t>
            </w:r>
            <w:r w:rsidRPr="009B0448">
              <w:rPr>
                <w:rFonts w:ascii="Times New Roman" w:hAnsi="Times New Roman" w:cs="Times New Roman"/>
              </w:rPr>
              <w:t>)</w:t>
            </w:r>
          </w:p>
        </w:tc>
        <w:tc>
          <w:tcPr>
            <w:tcW w:w="1134" w:type="dxa"/>
            <w:tcBorders>
              <w:top w:val="single" w:sz="4" w:space="0" w:color="auto"/>
              <w:left w:val="single" w:sz="8" w:space="0" w:color="666666"/>
              <w:bottom w:val="single" w:sz="8" w:space="0" w:color="666666"/>
              <w:right w:val="single" w:sz="8" w:space="0" w:color="666666"/>
            </w:tcBorders>
            <w:vAlign w:val="center"/>
          </w:tcPr>
          <w:p w14:paraId="50636629" w14:textId="77777777" w:rsidR="009B0448" w:rsidRPr="009B0448" w:rsidRDefault="009B0448">
            <w:pPr>
              <w:jc w:val="both"/>
              <w:rPr>
                <w:rFonts w:ascii="Times New Roman" w:hAnsi="Times New Roman" w:cs="Times New Roman"/>
              </w:rPr>
            </w:pPr>
          </w:p>
        </w:tc>
        <w:tc>
          <w:tcPr>
            <w:tcW w:w="3545" w:type="dxa"/>
            <w:gridSpan w:val="4"/>
            <w:tcBorders>
              <w:top w:val="single" w:sz="4" w:space="0" w:color="auto"/>
              <w:left w:val="single" w:sz="8" w:space="0" w:color="666666"/>
              <w:bottom w:val="single" w:sz="8" w:space="0" w:color="666666"/>
              <w:right w:val="single" w:sz="8" w:space="0" w:color="666666"/>
            </w:tcBorders>
            <w:shd w:val="clear" w:color="auto" w:fill="D9D9D9" w:themeFill="background1" w:themeFillShade="D9"/>
            <w:vAlign w:val="center"/>
            <w:hideMark/>
          </w:tcPr>
          <w:p w14:paraId="10532217" w14:textId="77777777" w:rsidR="009B0448" w:rsidRPr="009B0448" w:rsidRDefault="009B0448">
            <w:pPr>
              <w:jc w:val="center"/>
              <w:rPr>
                <w:rFonts w:ascii="Times New Roman" w:hAnsi="Times New Roman" w:cs="Times New Roman"/>
              </w:rPr>
            </w:pPr>
            <w:r w:rsidRPr="009B0448">
              <w:rPr>
                <w:rFonts w:ascii="Times New Roman" w:hAnsi="Times New Roman" w:cs="Times New Roman"/>
              </w:rPr>
              <w:t>Threatened Endemic biodiversity</w:t>
            </w:r>
          </w:p>
        </w:tc>
      </w:tr>
      <w:tr w:rsidR="009B0448" w:rsidRPr="009B0448" w14:paraId="110F60B0" w14:textId="77777777" w:rsidTr="009B0448">
        <w:trPr>
          <w:trHeight w:val="821"/>
        </w:trPr>
        <w:tc>
          <w:tcPr>
            <w:tcW w:w="1555" w:type="dxa"/>
            <w:vMerge/>
            <w:tcBorders>
              <w:top w:val="single" w:sz="8" w:space="0" w:color="000000"/>
              <w:left w:val="single" w:sz="4" w:space="0" w:color="auto"/>
              <w:bottom w:val="single" w:sz="8" w:space="0" w:color="000000"/>
              <w:right w:val="single" w:sz="8" w:space="0" w:color="000000"/>
            </w:tcBorders>
            <w:vAlign w:val="center"/>
            <w:hideMark/>
          </w:tcPr>
          <w:p w14:paraId="68183B52" w14:textId="77777777" w:rsidR="009B0448" w:rsidRPr="009B0448" w:rsidRDefault="009B0448">
            <w:pPr>
              <w:rPr>
                <w:rFonts w:ascii="Times New Roman" w:hAnsi="Times New Roman" w:cs="Times New Roman"/>
                <w:b/>
                <w:bCs/>
              </w:rPr>
            </w:pPr>
          </w:p>
        </w:tc>
        <w:tc>
          <w:tcPr>
            <w:tcW w:w="1275" w:type="dxa"/>
            <w:tcBorders>
              <w:top w:val="single" w:sz="4" w:space="0" w:color="auto"/>
              <w:left w:val="single" w:sz="8" w:space="0" w:color="666666"/>
              <w:bottom w:val="single" w:sz="8" w:space="0" w:color="666666"/>
              <w:right w:val="single" w:sz="4" w:space="0" w:color="auto"/>
            </w:tcBorders>
            <w:hideMark/>
          </w:tcPr>
          <w:p w14:paraId="04A8A510"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Human population density (people/km²)</w:t>
            </w:r>
          </w:p>
        </w:tc>
        <w:tc>
          <w:tcPr>
            <w:tcW w:w="992" w:type="dxa"/>
            <w:tcBorders>
              <w:top w:val="nil"/>
              <w:left w:val="single" w:sz="4" w:space="0" w:color="auto"/>
              <w:bottom w:val="single" w:sz="8" w:space="0" w:color="666666"/>
              <w:right w:val="single" w:sz="8" w:space="0" w:color="666666"/>
            </w:tcBorders>
            <w:shd w:val="clear" w:color="auto" w:fill="D9D9D9" w:themeFill="background1" w:themeFillShade="D9"/>
            <w:hideMark/>
          </w:tcPr>
          <w:p w14:paraId="54D11C58"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 xml:space="preserve">Original extent </w:t>
            </w:r>
          </w:p>
        </w:tc>
        <w:tc>
          <w:tcPr>
            <w:tcW w:w="1276" w:type="dxa"/>
            <w:tcBorders>
              <w:top w:val="nil"/>
              <w:left w:val="nil"/>
              <w:bottom w:val="single" w:sz="8" w:space="0" w:color="666666"/>
              <w:right w:val="single" w:sz="8" w:space="0" w:color="666666"/>
            </w:tcBorders>
            <w:shd w:val="clear" w:color="auto" w:fill="D9D9D9" w:themeFill="background1" w:themeFillShade="D9"/>
            <w:hideMark/>
          </w:tcPr>
          <w:p w14:paraId="75394B62"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 xml:space="preserve">Vegetation remaining </w:t>
            </w:r>
          </w:p>
        </w:tc>
        <w:tc>
          <w:tcPr>
            <w:tcW w:w="1134" w:type="dxa"/>
            <w:tcBorders>
              <w:top w:val="nil"/>
              <w:left w:val="nil"/>
              <w:bottom w:val="single" w:sz="8" w:space="0" w:color="666666"/>
              <w:right w:val="single" w:sz="4" w:space="0" w:color="auto"/>
            </w:tcBorders>
            <w:shd w:val="clear" w:color="auto" w:fill="D9D9D9" w:themeFill="background1" w:themeFillShade="D9"/>
            <w:hideMark/>
          </w:tcPr>
          <w:p w14:paraId="320DF2A0"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 xml:space="preserve">Protected area </w:t>
            </w:r>
          </w:p>
        </w:tc>
        <w:tc>
          <w:tcPr>
            <w:tcW w:w="1276" w:type="dxa"/>
            <w:tcBorders>
              <w:top w:val="nil"/>
              <w:left w:val="single" w:sz="4" w:space="0" w:color="auto"/>
              <w:bottom w:val="single" w:sz="8" w:space="0" w:color="666666"/>
              <w:right w:val="single" w:sz="4" w:space="0" w:color="auto"/>
            </w:tcBorders>
            <w:shd w:val="clear" w:color="auto" w:fill="D9D9D9" w:themeFill="background1" w:themeFillShade="D9"/>
            <w:hideMark/>
          </w:tcPr>
          <w:p w14:paraId="5C21C010"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Protected area: categories I-IV *</w:t>
            </w:r>
          </w:p>
        </w:tc>
        <w:tc>
          <w:tcPr>
            <w:tcW w:w="1134" w:type="dxa"/>
            <w:tcBorders>
              <w:top w:val="nil"/>
              <w:left w:val="single" w:sz="4" w:space="0" w:color="auto"/>
              <w:bottom w:val="single" w:sz="8" w:space="0" w:color="666666"/>
              <w:right w:val="single" w:sz="8" w:space="0" w:color="666666"/>
            </w:tcBorders>
            <w:hideMark/>
          </w:tcPr>
          <w:p w14:paraId="15D1FAC9"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Endemic plant species</w:t>
            </w:r>
          </w:p>
        </w:tc>
        <w:tc>
          <w:tcPr>
            <w:tcW w:w="708" w:type="dxa"/>
            <w:tcBorders>
              <w:top w:val="nil"/>
              <w:left w:val="nil"/>
              <w:bottom w:val="single" w:sz="8" w:space="0" w:color="666666"/>
              <w:right w:val="single" w:sz="8" w:space="0" w:color="666666"/>
            </w:tcBorders>
            <w:shd w:val="clear" w:color="auto" w:fill="D9D9D9" w:themeFill="background1" w:themeFillShade="D9"/>
            <w:hideMark/>
          </w:tcPr>
          <w:p w14:paraId="338EA3BF"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Birds</w:t>
            </w:r>
          </w:p>
        </w:tc>
        <w:tc>
          <w:tcPr>
            <w:tcW w:w="993" w:type="dxa"/>
            <w:tcBorders>
              <w:top w:val="nil"/>
              <w:left w:val="nil"/>
              <w:bottom w:val="single" w:sz="8" w:space="0" w:color="666666"/>
              <w:right w:val="single" w:sz="8" w:space="0" w:color="666666"/>
            </w:tcBorders>
            <w:shd w:val="clear" w:color="auto" w:fill="D9D9D9" w:themeFill="background1" w:themeFillShade="D9"/>
            <w:hideMark/>
          </w:tcPr>
          <w:p w14:paraId="022CAF1B"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Mammals</w:t>
            </w:r>
          </w:p>
        </w:tc>
        <w:tc>
          <w:tcPr>
            <w:tcW w:w="851" w:type="dxa"/>
            <w:tcBorders>
              <w:top w:val="nil"/>
              <w:left w:val="nil"/>
              <w:bottom w:val="single" w:sz="8" w:space="0" w:color="666666"/>
              <w:right w:val="single" w:sz="8" w:space="0" w:color="666666"/>
            </w:tcBorders>
            <w:shd w:val="clear" w:color="auto" w:fill="D9D9D9" w:themeFill="background1" w:themeFillShade="D9"/>
            <w:hideMark/>
          </w:tcPr>
          <w:p w14:paraId="074654B0"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Amphibians</w:t>
            </w:r>
          </w:p>
        </w:tc>
        <w:tc>
          <w:tcPr>
            <w:tcW w:w="993" w:type="dxa"/>
            <w:tcBorders>
              <w:top w:val="nil"/>
              <w:left w:val="nil"/>
              <w:bottom w:val="single" w:sz="8" w:space="0" w:color="666666"/>
              <w:right w:val="single" w:sz="8" w:space="0" w:color="666666"/>
            </w:tcBorders>
            <w:shd w:val="clear" w:color="auto" w:fill="D9D9D9" w:themeFill="background1" w:themeFillShade="D9"/>
            <w:hideMark/>
          </w:tcPr>
          <w:p w14:paraId="302B880E"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Extinct species §</w:t>
            </w:r>
          </w:p>
        </w:tc>
      </w:tr>
      <w:tr w:rsidR="009B0448" w:rsidRPr="009B0448" w14:paraId="6B64347F" w14:textId="77777777" w:rsidTr="009B0448">
        <w:trPr>
          <w:trHeight w:val="332"/>
        </w:trPr>
        <w:tc>
          <w:tcPr>
            <w:tcW w:w="1555" w:type="dxa"/>
            <w:tcBorders>
              <w:top w:val="nil"/>
              <w:left w:val="single" w:sz="4" w:space="0" w:color="auto"/>
              <w:bottom w:val="single" w:sz="8" w:space="0" w:color="000000"/>
              <w:right w:val="single" w:sz="8" w:space="0" w:color="000000"/>
            </w:tcBorders>
            <w:vAlign w:val="center"/>
            <w:hideMark/>
          </w:tcPr>
          <w:p w14:paraId="15FD01D7" w14:textId="77777777" w:rsidR="009B0448" w:rsidRPr="009B0448" w:rsidRDefault="009B0448">
            <w:pPr>
              <w:rPr>
                <w:rFonts w:ascii="Times New Roman" w:hAnsi="Times New Roman" w:cs="Times New Roman"/>
                <w:b/>
                <w:bCs/>
              </w:rPr>
            </w:pPr>
            <w:r w:rsidRPr="009B0448">
              <w:rPr>
                <w:rFonts w:ascii="Times New Roman" w:hAnsi="Times New Roman" w:cs="Times New Roman"/>
                <w:b/>
                <w:bCs/>
              </w:rPr>
              <w:t>Cape Floristic Region</w:t>
            </w:r>
          </w:p>
        </w:tc>
        <w:tc>
          <w:tcPr>
            <w:tcW w:w="1275" w:type="dxa"/>
            <w:tcBorders>
              <w:top w:val="nil"/>
              <w:left w:val="nil"/>
              <w:bottom w:val="single" w:sz="8" w:space="0" w:color="666666"/>
              <w:right w:val="single" w:sz="4" w:space="0" w:color="auto"/>
            </w:tcBorders>
            <w:vAlign w:val="center"/>
            <w:hideMark/>
          </w:tcPr>
          <w:p w14:paraId="263C5249"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51</w:t>
            </w:r>
          </w:p>
        </w:tc>
        <w:tc>
          <w:tcPr>
            <w:tcW w:w="992" w:type="dxa"/>
            <w:tcBorders>
              <w:top w:val="nil"/>
              <w:left w:val="single" w:sz="4" w:space="0" w:color="auto"/>
              <w:bottom w:val="single" w:sz="8" w:space="0" w:color="666666"/>
              <w:right w:val="single" w:sz="8" w:space="0" w:color="666666"/>
            </w:tcBorders>
            <w:shd w:val="clear" w:color="auto" w:fill="D9D9D9" w:themeFill="background1" w:themeFillShade="D9"/>
            <w:vAlign w:val="center"/>
            <w:hideMark/>
          </w:tcPr>
          <w:p w14:paraId="732D8D0D"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78,555</w:t>
            </w:r>
          </w:p>
        </w:tc>
        <w:tc>
          <w:tcPr>
            <w:tcW w:w="1276" w:type="dxa"/>
            <w:tcBorders>
              <w:top w:val="nil"/>
              <w:left w:val="nil"/>
              <w:bottom w:val="single" w:sz="8" w:space="0" w:color="666666"/>
              <w:right w:val="single" w:sz="8" w:space="0" w:color="666666"/>
            </w:tcBorders>
            <w:shd w:val="clear" w:color="auto" w:fill="D9D9D9" w:themeFill="background1" w:themeFillShade="D9"/>
            <w:vAlign w:val="center"/>
            <w:hideMark/>
          </w:tcPr>
          <w:p w14:paraId="35891BB4"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15,711</w:t>
            </w:r>
          </w:p>
        </w:tc>
        <w:tc>
          <w:tcPr>
            <w:tcW w:w="1134" w:type="dxa"/>
            <w:tcBorders>
              <w:top w:val="nil"/>
              <w:left w:val="nil"/>
              <w:bottom w:val="single" w:sz="8" w:space="0" w:color="666666"/>
              <w:right w:val="single" w:sz="4" w:space="0" w:color="auto"/>
            </w:tcBorders>
            <w:shd w:val="clear" w:color="auto" w:fill="D9D9D9" w:themeFill="background1" w:themeFillShade="D9"/>
            <w:vAlign w:val="center"/>
            <w:hideMark/>
          </w:tcPr>
          <w:p w14:paraId="67F8A0E1"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10,859</w:t>
            </w:r>
          </w:p>
        </w:tc>
        <w:tc>
          <w:tcPr>
            <w:tcW w:w="1276" w:type="dxa"/>
            <w:tcBorders>
              <w:top w:val="nil"/>
              <w:left w:val="single" w:sz="4" w:space="0" w:color="auto"/>
              <w:bottom w:val="single" w:sz="8" w:space="0" w:color="666666"/>
              <w:right w:val="single" w:sz="4" w:space="0" w:color="auto"/>
            </w:tcBorders>
            <w:shd w:val="clear" w:color="auto" w:fill="D9D9D9" w:themeFill="background1" w:themeFillShade="D9"/>
            <w:vAlign w:val="center"/>
            <w:hideMark/>
          </w:tcPr>
          <w:p w14:paraId="4840C56F"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10,154</w:t>
            </w:r>
          </w:p>
        </w:tc>
        <w:tc>
          <w:tcPr>
            <w:tcW w:w="1134" w:type="dxa"/>
            <w:tcBorders>
              <w:top w:val="nil"/>
              <w:left w:val="single" w:sz="4" w:space="0" w:color="auto"/>
              <w:bottom w:val="single" w:sz="8" w:space="0" w:color="666666"/>
              <w:right w:val="single" w:sz="8" w:space="0" w:color="666666"/>
            </w:tcBorders>
            <w:vAlign w:val="center"/>
            <w:hideMark/>
          </w:tcPr>
          <w:p w14:paraId="77E30A2A"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6,210</w:t>
            </w:r>
          </w:p>
        </w:tc>
        <w:tc>
          <w:tcPr>
            <w:tcW w:w="708" w:type="dxa"/>
            <w:tcBorders>
              <w:top w:val="nil"/>
              <w:left w:val="nil"/>
              <w:bottom w:val="single" w:sz="8" w:space="0" w:color="666666"/>
              <w:right w:val="single" w:sz="8" w:space="0" w:color="666666"/>
            </w:tcBorders>
            <w:shd w:val="clear" w:color="auto" w:fill="D9D9D9" w:themeFill="background1" w:themeFillShade="D9"/>
            <w:vAlign w:val="center"/>
            <w:hideMark/>
          </w:tcPr>
          <w:p w14:paraId="5C09DB1A"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0</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01275961"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w:t>
            </w:r>
          </w:p>
        </w:tc>
        <w:tc>
          <w:tcPr>
            <w:tcW w:w="851" w:type="dxa"/>
            <w:tcBorders>
              <w:top w:val="nil"/>
              <w:left w:val="nil"/>
              <w:bottom w:val="single" w:sz="8" w:space="0" w:color="666666"/>
              <w:right w:val="single" w:sz="8" w:space="0" w:color="666666"/>
            </w:tcBorders>
            <w:shd w:val="clear" w:color="auto" w:fill="D9D9D9" w:themeFill="background1" w:themeFillShade="D9"/>
            <w:vAlign w:val="center"/>
            <w:hideMark/>
          </w:tcPr>
          <w:p w14:paraId="5D9C850D"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7</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58A92102"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w:t>
            </w:r>
          </w:p>
        </w:tc>
      </w:tr>
      <w:tr w:rsidR="009B0448" w:rsidRPr="009B0448" w14:paraId="01DBB012" w14:textId="77777777" w:rsidTr="009B0448">
        <w:trPr>
          <w:trHeight w:val="722"/>
        </w:trPr>
        <w:tc>
          <w:tcPr>
            <w:tcW w:w="1555" w:type="dxa"/>
            <w:tcBorders>
              <w:top w:val="nil"/>
              <w:left w:val="single" w:sz="4" w:space="0" w:color="auto"/>
              <w:bottom w:val="single" w:sz="8" w:space="0" w:color="000000"/>
              <w:right w:val="single" w:sz="8" w:space="0" w:color="000000"/>
            </w:tcBorders>
            <w:vAlign w:val="center"/>
            <w:hideMark/>
          </w:tcPr>
          <w:p w14:paraId="7E3EE61E" w14:textId="77777777" w:rsidR="009B0448" w:rsidRPr="009B0448" w:rsidRDefault="009B0448">
            <w:pPr>
              <w:rPr>
                <w:rFonts w:ascii="Times New Roman" w:hAnsi="Times New Roman" w:cs="Times New Roman"/>
                <w:b/>
                <w:bCs/>
              </w:rPr>
            </w:pPr>
            <w:r w:rsidRPr="009B0448">
              <w:rPr>
                <w:rFonts w:ascii="Times New Roman" w:hAnsi="Times New Roman" w:cs="Times New Roman"/>
                <w:b/>
                <w:bCs/>
              </w:rPr>
              <w:t>Coastal forests of eastern Africa</w:t>
            </w:r>
          </w:p>
        </w:tc>
        <w:tc>
          <w:tcPr>
            <w:tcW w:w="1275" w:type="dxa"/>
            <w:tcBorders>
              <w:top w:val="nil"/>
              <w:left w:val="nil"/>
              <w:bottom w:val="single" w:sz="8" w:space="0" w:color="666666"/>
              <w:right w:val="single" w:sz="4" w:space="0" w:color="auto"/>
            </w:tcBorders>
            <w:vAlign w:val="center"/>
            <w:hideMark/>
          </w:tcPr>
          <w:p w14:paraId="4E0F0203"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52</w:t>
            </w:r>
          </w:p>
        </w:tc>
        <w:tc>
          <w:tcPr>
            <w:tcW w:w="992" w:type="dxa"/>
            <w:tcBorders>
              <w:top w:val="nil"/>
              <w:left w:val="single" w:sz="4" w:space="0" w:color="auto"/>
              <w:bottom w:val="single" w:sz="8" w:space="0" w:color="666666"/>
              <w:right w:val="single" w:sz="8" w:space="0" w:color="666666"/>
            </w:tcBorders>
            <w:shd w:val="clear" w:color="auto" w:fill="D9D9D9" w:themeFill="background1" w:themeFillShade="D9"/>
            <w:vAlign w:val="center"/>
            <w:hideMark/>
          </w:tcPr>
          <w:p w14:paraId="30CD0355"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291,250</w:t>
            </w:r>
          </w:p>
        </w:tc>
        <w:tc>
          <w:tcPr>
            <w:tcW w:w="1276" w:type="dxa"/>
            <w:tcBorders>
              <w:top w:val="nil"/>
              <w:left w:val="nil"/>
              <w:bottom w:val="single" w:sz="8" w:space="0" w:color="666666"/>
              <w:right w:val="single" w:sz="8" w:space="0" w:color="666666"/>
            </w:tcBorders>
            <w:shd w:val="clear" w:color="auto" w:fill="D9D9D9" w:themeFill="background1" w:themeFillShade="D9"/>
            <w:vAlign w:val="center"/>
            <w:hideMark/>
          </w:tcPr>
          <w:p w14:paraId="4405B057"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29,125</w:t>
            </w:r>
          </w:p>
        </w:tc>
        <w:tc>
          <w:tcPr>
            <w:tcW w:w="1134" w:type="dxa"/>
            <w:tcBorders>
              <w:top w:val="nil"/>
              <w:left w:val="nil"/>
              <w:bottom w:val="single" w:sz="8" w:space="0" w:color="666666"/>
              <w:right w:val="single" w:sz="4" w:space="0" w:color="auto"/>
            </w:tcBorders>
            <w:shd w:val="clear" w:color="auto" w:fill="D9D9D9" w:themeFill="background1" w:themeFillShade="D9"/>
            <w:vAlign w:val="center"/>
            <w:hideMark/>
          </w:tcPr>
          <w:p w14:paraId="294AD8FE"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50,889</w:t>
            </w:r>
          </w:p>
        </w:tc>
        <w:tc>
          <w:tcPr>
            <w:tcW w:w="1276" w:type="dxa"/>
            <w:tcBorders>
              <w:top w:val="nil"/>
              <w:left w:val="single" w:sz="4" w:space="0" w:color="auto"/>
              <w:bottom w:val="single" w:sz="8" w:space="0" w:color="666666"/>
              <w:right w:val="single" w:sz="4" w:space="0" w:color="auto"/>
            </w:tcBorders>
            <w:shd w:val="clear" w:color="auto" w:fill="D9D9D9" w:themeFill="background1" w:themeFillShade="D9"/>
            <w:vAlign w:val="center"/>
            <w:hideMark/>
          </w:tcPr>
          <w:p w14:paraId="37734484"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11,343</w:t>
            </w:r>
          </w:p>
        </w:tc>
        <w:tc>
          <w:tcPr>
            <w:tcW w:w="1134" w:type="dxa"/>
            <w:tcBorders>
              <w:top w:val="nil"/>
              <w:left w:val="single" w:sz="4" w:space="0" w:color="auto"/>
              <w:bottom w:val="single" w:sz="8" w:space="0" w:color="666666"/>
              <w:right w:val="single" w:sz="8" w:space="0" w:color="666666"/>
            </w:tcBorders>
            <w:vAlign w:val="center"/>
            <w:hideMark/>
          </w:tcPr>
          <w:p w14:paraId="5C18574A"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1,750</w:t>
            </w:r>
          </w:p>
        </w:tc>
        <w:tc>
          <w:tcPr>
            <w:tcW w:w="708" w:type="dxa"/>
            <w:tcBorders>
              <w:top w:val="nil"/>
              <w:left w:val="nil"/>
              <w:bottom w:val="single" w:sz="8" w:space="0" w:color="666666"/>
              <w:right w:val="single" w:sz="8" w:space="0" w:color="666666"/>
            </w:tcBorders>
            <w:shd w:val="clear" w:color="auto" w:fill="D9D9D9" w:themeFill="background1" w:themeFillShade="D9"/>
            <w:vAlign w:val="center"/>
            <w:hideMark/>
          </w:tcPr>
          <w:p w14:paraId="2CD99BD5"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333C0E13"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6</w:t>
            </w:r>
          </w:p>
        </w:tc>
        <w:tc>
          <w:tcPr>
            <w:tcW w:w="851" w:type="dxa"/>
            <w:tcBorders>
              <w:top w:val="nil"/>
              <w:left w:val="nil"/>
              <w:bottom w:val="single" w:sz="8" w:space="0" w:color="666666"/>
              <w:right w:val="single" w:sz="8" w:space="0" w:color="666666"/>
            </w:tcBorders>
            <w:shd w:val="clear" w:color="auto" w:fill="D9D9D9" w:themeFill="background1" w:themeFillShade="D9"/>
            <w:vAlign w:val="center"/>
            <w:hideMark/>
          </w:tcPr>
          <w:p w14:paraId="21F4C49F"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4</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4627D9CF"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0</w:t>
            </w:r>
          </w:p>
        </w:tc>
      </w:tr>
      <w:tr w:rsidR="009B0448" w:rsidRPr="009B0448" w14:paraId="14960FE6" w14:textId="77777777" w:rsidTr="009B0448">
        <w:trPr>
          <w:trHeight w:val="469"/>
        </w:trPr>
        <w:tc>
          <w:tcPr>
            <w:tcW w:w="1555" w:type="dxa"/>
            <w:tcBorders>
              <w:top w:val="nil"/>
              <w:left w:val="single" w:sz="4" w:space="0" w:color="auto"/>
              <w:bottom w:val="single" w:sz="8" w:space="0" w:color="000000"/>
              <w:right w:val="single" w:sz="8" w:space="0" w:color="000000"/>
            </w:tcBorders>
            <w:vAlign w:val="center"/>
            <w:hideMark/>
          </w:tcPr>
          <w:p w14:paraId="63FE5C28" w14:textId="77777777" w:rsidR="009B0448" w:rsidRPr="009B0448" w:rsidRDefault="009B0448">
            <w:pPr>
              <w:rPr>
                <w:rFonts w:ascii="Times New Roman" w:hAnsi="Times New Roman" w:cs="Times New Roman"/>
                <w:b/>
                <w:bCs/>
              </w:rPr>
            </w:pPr>
            <w:r w:rsidRPr="009B0448">
              <w:rPr>
                <w:rFonts w:ascii="Times New Roman" w:hAnsi="Times New Roman" w:cs="Times New Roman"/>
                <w:b/>
                <w:bCs/>
              </w:rPr>
              <w:t>Eastern Afromontane</w:t>
            </w:r>
          </w:p>
        </w:tc>
        <w:tc>
          <w:tcPr>
            <w:tcW w:w="1275" w:type="dxa"/>
            <w:tcBorders>
              <w:top w:val="nil"/>
              <w:left w:val="nil"/>
              <w:bottom w:val="single" w:sz="8" w:space="0" w:color="666666"/>
              <w:right w:val="single" w:sz="4" w:space="0" w:color="auto"/>
            </w:tcBorders>
            <w:vAlign w:val="center"/>
            <w:hideMark/>
          </w:tcPr>
          <w:p w14:paraId="30225E86"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95</w:t>
            </w:r>
          </w:p>
        </w:tc>
        <w:tc>
          <w:tcPr>
            <w:tcW w:w="992" w:type="dxa"/>
            <w:tcBorders>
              <w:top w:val="nil"/>
              <w:left w:val="single" w:sz="4" w:space="0" w:color="auto"/>
              <w:bottom w:val="single" w:sz="8" w:space="0" w:color="666666"/>
              <w:right w:val="single" w:sz="8" w:space="0" w:color="666666"/>
            </w:tcBorders>
            <w:shd w:val="clear" w:color="auto" w:fill="D9D9D9" w:themeFill="background1" w:themeFillShade="D9"/>
            <w:vAlign w:val="center"/>
            <w:hideMark/>
          </w:tcPr>
          <w:p w14:paraId="31910C0E"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1,017,806</w:t>
            </w:r>
          </w:p>
        </w:tc>
        <w:tc>
          <w:tcPr>
            <w:tcW w:w="1276" w:type="dxa"/>
            <w:tcBorders>
              <w:top w:val="nil"/>
              <w:left w:val="nil"/>
              <w:bottom w:val="single" w:sz="8" w:space="0" w:color="666666"/>
              <w:right w:val="single" w:sz="8" w:space="0" w:color="666666"/>
            </w:tcBorders>
            <w:shd w:val="clear" w:color="auto" w:fill="D9D9D9" w:themeFill="background1" w:themeFillShade="D9"/>
            <w:vAlign w:val="center"/>
            <w:hideMark/>
          </w:tcPr>
          <w:p w14:paraId="2488329B"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106,870</w:t>
            </w:r>
          </w:p>
        </w:tc>
        <w:tc>
          <w:tcPr>
            <w:tcW w:w="1134" w:type="dxa"/>
            <w:tcBorders>
              <w:top w:val="nil"/>
              <w:left w:val="nil"/>
              <w:bottom w:val="single" w:sz="8" w:space="0" w:color="666666"/>
              <w:right w:val="single" w:sz="4" w:space="0" w:color="auto"/>
            </w:tcBorders>
            <w:shd w:val="clear" w:color="auto" w:fill="D9D9D9" w:themeFill="background1" w:themeFillShade="D9"/>
            <w:vAlign w:val="center"/>
            <w:hideMark/>
          </w:tcPr>
          <w:p w14:paraId="180A1CA8"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154,132</w:t>
            </w:r>
          </w:p>
        </w:tc>
        <w:tc>
          <w:tcPr>
            <w:tcW w:w="1276" w:type="dxa"/>
            <w:tcBorders>
              <w:top w:val="nil"/>
              <w:left w:val="single" w:sz="4" w:space="0" w:color="auto"/>
              <w:bottom w:val="single" w:sz="8" w:space="0" w:color="666666"/>
              <w:right w:val="single" w:sz="4" w:space="0" w:color="auto"/>
            </w:tcBorders>
            <w:shd w:val="clear" w:color="auto" w:fill="D9D9D9" w:themeFill="background1" w:themeFillShade="D9"/>
            <w:vAlign w:val="center"/>
            <w:hideMark/>
          </w:tcPr>
          <w:p w14:paraId="56FA2349"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59,191</w:t>
            </w:r>
          </w:p>
        </w:tc>
        <w:tc>
          <w:tcPr>
            <w:tcW w:w="1134" w:type="dxa"/>
            <w:tcBorders>
              <w:top w:val="nil"/>
              <w:left w:val="single" w:sz="4" w:space="0" w:color="auto"/>
              <w:bottom w:val="single" w:sz="8" w:space="0" w:color="666666"/>
              <w:right w:val="single" w:sz="8" w:space="0" w:color="666666"/>
            </w:tcBorders>
            <w:vAlign w:val="center"/>
            <w:hideMark/>
          </w:tcPr>
          <w:p w14:paraId="55288195"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2,356</w:t>
            </w:r>
          </w:p>
        </w:tc>
        <w:tc>
          <w:tcPr>
            <w:tcW w:w="708" w:type="dxa"/>
            <w:tcBorders>
              <w:top w:val="nil"/>
              <w:left w:val="nil"/>
              <w:bottom w:val="single" w:sz="8" w:space="0" w:color="666666"/>
              <w:right w:val="single" w:sz="8" w:space="0" w:color="666666"/>
            </w:tcBorders>
            <w:shd w:val="clear" w:color="auto" w:fill="D9D9D9" w:themeFill="background1" w:themeFillShade="D9"/>
            <w:vAlign w:val="center"/>
            <w:hideMark/>
          </w:tcPr>
          <w:p w14:paraId="0E0017B6"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35</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349A47C8"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48</w:t>
            </w:r>
          </w:p>
        </w:tc>
        <w:tc>
          <w:tcPr>
            <w:tcW w:w="851" w:type="dxa"/>
            <w:tcBorders>
              <w:top w:val="nil"/>
              <w:left w:val="nil"/>
              <w:bottom w:val="single" w:sz="8" w:space="0" w:color="666666"/>
              <w:right w:val="single" w:sz="8" w:space="0" w:color="666666"/>
            </w:tcBorders>
            <w:shd w:val="clear" w:color="auto" w:fill="D9D9D9" w:themeFill="background1" w:themeFillShade="D9"/>
            <w:vAlign w:val="center"/>
            <w:hideMark/>
          </w:tcPr>
          <w:p w14:paraId="1DC09302"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30</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7FD474E9"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w:t>
            </w:r>
          </w:p>
        </w:tc>
      </w:tr>
      <w:tr w:rsidR="009B0448" w:rsidRPr="009B0448" w14:paraId="61599C49" w14:textId="77777777" w:rsidTr="009B0448">
        <w:trPr>
          <w:trHeight w:val="558"/>
        </w:trPr>
        <w:tc>
          <w:tcPr>
            <w:tcW w:w="1555" w:type="dxa"/>
            <w:tcBorders>
              <w:top w:val="nil"/>
              <w:left w:val="single" w:sz="4" w:space="0" w:color="auto"/>
              <w:bottom w:val="single" w:sz="8" w:space="0" w:color="000000"/>
              <w:right w:val="single" w:sz="8" w:space="0" w:color="000000"/>
            </w:tcBorders>
            <w:vAlign w:val="center"/>
            <w:hideMark/>
          </w:tcPr>
          <w:p w14:paraId="5BECAAC4" w14:textId="77777777" w:rsidR="009B0448" w:rsidRPr="009B0448" w:rsidRDefault="009B0448">
            <w:pPr>
              <w:rPr>
                <w:rFonts w:ascii="Times New Roman" w:hAnsi="Times New Roman" w:cs="Times New Roman"/>
                <w:b/>
                <w:bCs/>
              </w:rPr>
            </w:pPr>
            <w:r w:rsidRPr="009B0448">
              <w:rPr>
                <w:rFonts w:ascii="Times New Roman" w:hAnsi="Times New Roman" w:cs="Times New Roman"/>
                <w:b/>
                <w:bCs/>
              </w:rPr>
              <w:t>Guinean forests of western Africa</w:t>
            </w:r>
          </w:p>
        </w:tc>
        <w:tc>
          <w:tcPr>
            <w:tcW w:w="1275" w:type="dxa"/>
            <w:tcBorders>
              <w:top w:val="nil"/>
              <w:left w:val="nil"/>
              <w:bottom w:val="single" w:sz="8" w:space="0" w:color="666666"/>
              <w:right w:val="single" w:sz="4" w:space="0" w:color="auto"/>
            </w:tcBorders>
            <w:vAlign w:val="center"/>
            <w:hideMark/>
          </w:tcPr>
          <w:p w14:paraId="21601498"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137</w:t>
            </w:r>
          </w:p>
        </w:tc>
        <w:tc>
          <w:tcPr>
            <w:tcW w:w="992" w:type="dxa"/>
            <w:tcBorders>
              <w:top w:val="nil"/>
              <w:left w:val="single" w:sz="4" w:space="0" w:color="auto"/>
              <w:bottom w:val="single" w:sz="8" w:space="0" w:color="666666"/>
              <w:right w:val="single" w:sz="8" w:space="0" w:color="666666"/>
            </w:tcBorders>
            <w:shd w:val="clear" w:color="auto" w:fill="D9D9D9" w:themeFill="background1" w:themeFillShade="D9"/>
            <w:vAlign w:val="center"/>
            <w:hideMark/>
          </w:tcPr>
          <w:p w14:paraId="7E02DA90"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620,314</w:t>
            </w:r>
          </w:p>
        </w:tc>
        <w:tc>
          <w:tcPr>
            <w:tcW w:w="1276" w:type="dxa"/>
            <w:tcBorders>
              <w:top w:val="nil"/>
              <w:left w:val="nil"/>
              <w:bottom w:val="single" w:sz="8" w:space="0" w:color="666666"/>
              <w:right w:val="single" w:sz="8" w:space="0" w:color="666666"/>
            </w:tcBorders>
            <w:shd w:val="clear" w:color="auto" w:fill="D9D9D9" w:themeFill="background1" w:themeFillShade="D9"/>
            <w:vAlign w:val="center"/>
            <w:hideMark/>
          </w:tcPr>
          <w:p w14:paraId="4E87D43A"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93,047</w:t>
            </w:r>
          </w:p>
        </w:tc>
        <w:tc>
          <w:tcPr>
            <w:tcW w:w="1134" w:type="dxa"/>
            <w:tcBorders>
              <w:top w:val="nil"/>
              <w:left w:val="nil"/>
              <w:bottom w:val="single" w:sz="8" w:space="0" w:color="666666"/>
              <w:right w:val="single" w:sz="4" w:space="0" w:color="auto"/>
            </w:tcBorders>
            <w:shd w:val="clear" w:color="auto" w:fill="D9D9D9" w:themeFill="background1" w:themeFillShade="D9"/>
            <w:vAlign w:val="center"/>
            <w:hideMark/>
          </w:tcPr>
          <w:p w14:paraId="4BE5901C"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108,104</w:t>
            </w:r>
          </w:p>
        </w:tc>
        <w:tc>
          <w:tcPr>
            <w:tcW w:w="1276" w:type="dxa"/>
            <w:tcBorders>
              <w:top w:val="nil"/>
              <w:left w:val="single" w:sz="4" w:space="0" w:color="auto"/>
              <w:bottom w:val="single" w:sz="8" w:space="0" w:color="666666"/>
              <w:right w:val="single" w:sz="4" w:space="0" w:color="auto"/>
            </w:tcBorders>
            <w:shd w:val="clear" w:color="auto" w:fill="D9D9D9" w:themeFill="background1" w:themeFillShade="D9"/>
            <w:vAlign w:val="center"/>
            <w:hideMark/>
          </w:tcPr>
          <w:p w14:paraId="40D6503F"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18,880</w:t>
            </w:r>
          </w:p>
        </w:tc>
        <w:tc>
          <w:tcPr>
            <w:tcW w:w="1134" w:type="dxa"/>
            <w:tcBorders>
              <w:top w:val="nil"/>
              <w:left w:val="single" w:sz="4" w:space="0" w:color="auto"/>
              <w:bottom w:val="single" w:sz="8" w:space="0" w:color="666666"/>
              <w:right w:val="single" w:sz="8" w:space="0" w:color="666666"/>
            </w:tcBorders>
            <w:vAlign w:val="center"/>
            <w:hideMark/>
          </w:tcPr>
          <w:p w14:paraId="78D16510"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1,800</w:t>
            </w:r>
          </w:p>
        </w:tc>
        <w:tc>
          <w:tcPr>
            <w:tcW w:w="708" w:type="dxa"/>
            <w:tcBorders>
              <w:top w:val="nil"/>
              <w:left w:val="nil"/>
              <w:bottom w:val="single" w:sz="8" w:space="0" w:color="666666"/>
              <w:right w:val="single" w:sz="8" w:space="0" w:color="666666"/>
            </w:tcBorders>
            <w:shd w:val="clear" w:color="auto" w:fill="D9D9D9" w:themeFill="background1" w:themeFillShade="D9"/>
            <w:vAlign w:val="center"/>
            <w:hideMark/>
          </w:tcPr>
          <w:p w14:paraId="141F1166"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31</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06EB2FD4"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35</w:t>
            </w:r>
          </w:p>
        </w:tc>
        <w:tc>
          <w:tcPr>
            <w:tcW w:w="851" w:type="dxa"/>
            <w:tcBorders>
              <w:top w:val="nil"/>
              <w:left w:val="nil"/>
              <w:bottom w:val="single" w:sz="8" w:space="0" w:color="666666"/>
              <w:right w:val="single" w:sz="8" w:space="0" w:color="666666"/>
            </w:tcBorders>
            <w:shd w:val="clear" w:color="auto" w:fill="D9D9D9" w:themeFill="background1" w:themeFillShade="D9"/>
            <w:vAlign w:val="center"/>
            <w:hideMark/>
          </w:tcPr>
          <w:p w14:paraId="07968D38"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49</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35B44F79"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0</w:t>
            </w:r>
          </w:p>
        </w:tc>
      </w:tr>
      <w:tr w:rsidR="009B0448" w:rsidRPr="009B0448" w14:paraId="4368D632" w14:textId="77777777" w:rsidTr="009B0448">
        <w:trPr>
          <w:trHeight w:val="292"/>
        </w:trPr>
        <w:tc>
          <w:tcPr>
            <w:tcW w:w="1555" w:type="dxa"/>
            <w:tcBorders>
              <w:top w:val="nil"/>
              <w:left w:val="single" w:sz="4" w:space="0" w:color="auto"/>
              <w:bottom w:val="single" w:sz="8" w:space="0" w:color="000000"/>
              <w:right w:val="single" w:sz="8" w:space="0" w:color="000000"/>
            </w:tcBorders>
            <w:vAlign w:val="center"/>
            <w:hideMark/>
          </w:tcPr>
          <w:p w14:paraId="45CD99BA" w14:textId="77777777" w:rsidR="009B0448" w:rsidRPr="009B0448" w:rsidRDefault="009B0448">
            <w:pPr>
              <w:rPr>
                <w:rFonts w:ascii="Times New Roman" w:hAnsi="Times New Roman" w:cs="Times New Roman"/>
                <w:b/>
                <w:bCs/>
              </w:rPr>
            </w:pPr>
            <w:r w:rsidRPr="009B0448">
              <w:rPr>
                <w:rFonts w:ascii="Times New Roman" w:hAnsi="Times New Roman" w:cs="Times New Roman"/>
                <w:b/>
                <w:bCs/>
              </w:rPr>
              <w:t>Horn of Africa</w:t>
            </w:r>
          </w:p>
        </w:tc>
        <w:tc>
          <w:tcPr>
            <w:tcW w:w="1275" w:type="dxa"/>
            <w:tcBorders>
              <w:top w:val="nil"/>
              <w:left w:val="nil"/>
              <w:bottom w:val="single" w:sz="8" w:space="0" w:color="666666"/>
              <w:right w:val="single" w:sz="4" w:space="0" w:color="auto"/>
            </w:tcBorders>
            <w:vAlign w:val="center"/>
            <w:hideMark/>
          </w:tcPr>
          <w:p w14:paraId="7B8F3C0C"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23</w:t>
            </w:r>
          </w:p>
        </w:tc>
        <w:tc>
          <w:tcPr>
            <w:tcW w:w="992" w:type="dxa"/>
            <w:tcBorders>
              <w:top w:val="nil"/>
              <w:left w:val="single" w:sz="4" w:space="0" w:color="auto"/>
              <w:bottom w:val="single" w:sz="8" w:space="0" w:color="666666"/>
              <w:right w:val="single" w:sz="8" w:space="0" w:color="666666"/>
            </w:tcBorders>
            <w:shd w:val="clear" w:color="auto" w:fill="D9D9D9" w:themeFill="background1" w:themeFillShade="D9"/>
            <w:vAlign w:val="center"/>
            <w:hideMark/>
          </w:tcPr>
          <w:p w14:paraId="40FFA380"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1,659,363</w:t>
            </w:r>
          </w:p>
        </w:tc>
        <w:tc>
          <w:tcPr>
            <w:tcW w:w="1276" w:type="dxa"/>
            <w:tcBorders>
              <w:top w:val="nil"/>
              <w:left w:val="nil"/>
              <w:bottom w:val="single" w:sz="8" w:space="0" w:color="666666"/>
              <w:right w:val="single" w:sz="8" w:space="0" w:color="666666"/>
            </w:tcBorders>
            <w:shd w:val="clear" w:color="auto" w:fill="D9D9D9" w:themeFill="background1" w:themeFillShade="D9"/>
            <w:vAlign w:val="center"/>
            <w:hideMark/>
          </w:tcPr>
          <w:p w14:paraId="2A304B2E"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82,968</w:t>
            </w:r>
          </w:p>
        </w:tc>
        <w:tc>
          <w:tcPr>
            <w:tcW w:w="1134" w:type="dxa"/>
            <w:tcBorders>
              <w:top w:val="nil"/>
              <w:left w:val="nil"/>
              <w:bottom w:val="single" w:sz="8" w:space="0" w:color="666666"/>
              <w:right w:val="single" w:sz="4" w:space="0" w:color="auto"/>
            </w:tcBorders>
            <w:shd w:val="clear" w:color="auto" w:fill="D9D9D9" w:themeFill="background1" w:themeFillShade="D9"/>
            <w:vAlign w:val="center"/>
            <w:hideMark/>
          </w:tcPr>
          <w:p w14:paraId="19C0E9D9"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145,322</w:t>
            </w:r>
          </w:p>
        </w:tc>
        <w:tc>
          <w:tcPr>
            <w:tcW w:w="1276" w:type="dxa"/>
            <w:tcBorders>
              <w:top w:val="nil"/>
              <w:left w:val="single" w:sz="4" w:space="0" w:color="auto"/>
              <w:bottom w:val="single" w:sz="8" w:space="0" w:color="666666"/>
              <w:right w:val="single" w:sz="4" w:space="0" w:color="auto"/>
            </w:tcBorders>
            <w:shd w:val="clear" w:color="auto" w:fill="D9D9D9" w:themeFill="background1" w:themeFillShade="D9"/>
            <w:vAlign w:val="center"/>
            <w:hideMark/>
          </w:tcPr>
          <w:p w14:paraId="18D7DDE9"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51,229</w:t>
            </w:r>
          </w:p>
        </w:tc>
        <w:tc>
          <w:tcPr>
            <w:tcW w:w="1134" w:type="dxa"/>
            <w:tcBorders>
              <w:top w:val="nil"/>
              <w:left w:val="single" w:sz="4" w:space="0" w:color="auto"/>
              <w:bottom w:val="single" w:sz="8" w:space="0" w:color="666666"/>
              <w:right w:val="single" w:sz="8" w:space="0" w:color="666666"/>
            </w:tcBorders>
            <w:vAlign w:val="center"/>
            <w:hideMark/>
          </w:tcPr>
          <w:p w14:paraId="2C68F057"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2,750</w:t>
            </w:r>
          </w:p>
        </w:tc>
        <w:tc>
          <w:tcPr>
            <w:tcW w:w="708" w:type="dxa"/>
            <w:tcBorders>
              <w:top w:val="nil"/>
              <w:left w:val="nil"/>
              <w:bottom w:val="single" w:sz="8" w:space="0" w:color="666666"/>
              <w:right w:val="single" w:sz="8" w:space="0" w:color="666666"/>
            </w:tcBorders>
            <w:shd w:val="clear" w:color="auto" w:fill="D9D9D9" w:themeFill="background1" w:themeFillShade="D9"/>
            <w:vAlign w:val="center"/>
            <w:hideMark/>
          </w:tcPr>
          <w:p w14:paraId="50D8F207"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9</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2DC9C7C4"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8</w:t>
            </w:r>
          </w:p>
        </w:tc>
        <w:tc>
          <w:tcPr>
            <w:tcW w:w="851" w:type="dxa"/>
            <w:tcBorders>
              <w:top w:val="nil"/>
              <w:left w:val="nil"/>
              <w:bottom w:val="single" w:sz="8" w:space="0" w:color="666666"/>
              <w:right w:val="single" w:sz="8" w:space="0" w:color="666666"/>
            </w:tcBorders>
            <w:shd w:val="clear" w:color="auto" w:fill="D9D9D9" w:themeFill="background1" w:themeFillShade="D9"/>
            <w:vAlign w:val="center"/>
            <w:hideMark/>
          </w:tcPr>
          <w:p w14:paraId="31018026"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219DF265"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w:t>
            </w:r>
          </w:p>
        </w:tc>
      </w:tr>
      <w:tr w:rsidR="009B0448" w:rsidRPr="009B0448" w14:paraId="2288BFBD" w14:textId="77777777" w:rsidTr="009B0448">
        <w:trPr>
          <w:trHeight w:val="465"/>
        </w:trPr>
        <w:tc>
          <w:tcPr>
            <w:tcW w:w="1555" w:type="dxa"/>
            <w:tcBorders>
              <w:top w:val="nil"/>
              <w:left w:val="single" w:sz="4" w:space="0" w:color="auto"/>
              <w:bottom w:val="single" w:sz="8" w:space="0" w:color="000000"/>
              <w:right w:val="single" w:sz="8" w:space="0" w:color="000000"/>
            </w:tcBorders>
            <w:vAlign w:val="center"/>
            <w:hideMark/>
          </w:tcPr>
          <w:p w14:paraId="27EE1D46" w14:textId="77777777" w:rsidR="009B0448" w:rsidRPr="009B0448" w:rsidRDefault="009B0448">
            <w:pPr>
              <w:rPr>
                <w:rFonts w:ascii="Times New Roman" w:hAnsi="Times New Roman" w:cs="Times New Roman"/>
                <w:b/>
                <w:bCs/>
              </w:rPr>
            </w:pPr>
            <w:r w:rsidRPr="009B0448">
              <w:rPr>
                <w:rFonts w:ascii="Times New Roman" w:hAnsi="Times New Roman" w:cs="Times New Roman"/>
                <w:b/>
                <w:bCs/>
              </w:rPr>
              <w:t>Madagascar &amp; the Indian ocean islands</w:t>
            </w:r>
          </w:p>
        </w:tc>
        <w:tc>
          <w:tcPr>
            <w:tcW w:w="1275" w:type="dxa"/>
            <w:tcBorders>
              <w:top w:val="nil"/>
              <w:left w:val="nil"/>
              <w:bottom w:val="single" w:sz="8" w:space="0" w:color="666666"/>
              <w:right w:val="single" w:sz="4" w:space="0" w:color="auto"/>
            </w:tcBorders>
            <w:vAlign w:val="center"/>
            <w:hideMark/>
          </w:tcPr>
          <w:p w14:paraId="74E5C97D"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32</w:t>
            </w:r>
          </w:p>
        </w:tc>
        <w:tc>
          <w:tcPr>
            <w:tcW w:w="992" w:type="dxa"/>
            <w:tcBorders>
              <w:top w:val="nil"/>
              <w:left w:val="single" w:sz="4" w:space="0" w:color="auto"/>
              <w:bottom w:val="single" w:sz="8" w:space="0" w:color="666666"/>
              <w:right w:val="single" w:sz="8" w:space="0" w:color="666666"/>
            </w:tcBorders>
            <w:shd w:val="clear" w:color="auto" w:fill="D9D9D9" w:themeFill="background1" w:themeFillShade="D9"/>
            <w:vAlign w:val="center"/>
            <w:hideMark/>
          </w:tcPr>
          <w:p w14:paraId="2E6FB00E"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600,461</w:t>
            </w:r>
          </w:p>
        </w:tc>
        <w:tc>
          <w:tcPr>
            <w:tcW w:w="1276" w:type="dxa"/>
            <w:tcBorders>
              <w:top w:val="nil"/>
              <w:left w:val="nil"/>
              <w:bottom w:val="single" w:sz="8" w:space="0" w:color="666666"/>
              <w:right w:val="single" w:sz="8" w:space="0" w:color="666666"/>
            </w:tcBorders>
            <w:shd w:val="clear" w:color="auto" w:fill="D9D9D9" w:themeFill="background1" w:themeFillShade="D9"/>
            <w:vAlign w:val="center"/>
            <w:hideMark/>
          </w:tcPr>
          <w:p w14:paraId="0DC1D571"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60,046</w:t>
            </w:r>
          </w:p>
        </w:tc>
        <w:tc>
          <w:tcPr>
            <w:tcW w:w="1134" w:type="dxa"/>
            <w:tcBorders>
              <w:top w:val="nil"/>
              <w:left w:val="nil"/>
              <w:bottom w:val="single" w:sz="8" w:space="0" w:color="666666"/>
              <w:right w:val="single" w:sz="4" w:space="0" w:color="auto"/>
            </w:tcBorders>
            <w:shd w:val="clear" w:color="auto" w:fill="D9D9D9" w:themeFill="background1" w:themeFillShade="D9"/>
            <w:vAlign w:val="center"/>
            <w:hideMark/>
          </w:tcPr>
          <w:p w14:paraId="6026070C"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18,482</w:t>
            </w:r>
          </w:p>
        </w:tc>
        <w:tc>
          <w:tcPr>
            <w:tcW w:w="1276" w:type="dxa"/>
            <w:tcBorders>
              <w:top w:val="nil"/>
              <w:left w:val="single" w:sz="4" w:space="0" w:color="auto"/>
              <w:bottom w:val="single" w:sz="8" w:space="0" w:color="666666"/>
              <w:right w:val="single" w:sz="4" w:space="0" w:color="auto"/>
            </w:tcBorders>
            <w:shd w:val="clear" w:color="auto" w:fill="D9D9D9" w:themeFill="background1" w:themeFillShade="D9"/>
            <w:vAlign w:val="center"/>
            <w:hideMark/>
          </w:tcPr>
          <w:p w14:paraId="2DE93DA3"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14,664</w:t>
            </w:r>
          </w:p>
        </w:tc>
        <w:tc>
          <w:tcPr>
            <w:tcW w:w="1134" w:type="dxa"/>
            <w:tcBorders>
              <w:top w:val="nil"/>
              <w:left w:val="single" w:sz="4" w:space="0" w:color="auto"/>
              <w:bottom w:val="single" w:sz="8" w:space="0" w:color="666666"/>
              <w:right w:val="single" w:sz="8" w:space="0" w:color="666666"/>
            </w:tcBorders>
            <w:vAlign w:val="center"/>
            <w:hideMark/>
          </w:tcPr>
          <w:p w14:paraId="67EE6DBB"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11,600</w:t>
            </w:r>
          </w:p>
        </w:tc>
        <w:tc>
          <w:tcPr>
            <w:tcW w:w="708" w:type="dxa"/>
            <w:tcBorders>
              <w:top w:val="nil"/>
              <w:left w:val="nil"/>
              <w:bottom w:val="single" w:sz="8" w:space="0" w:color="666666"/>
              <w:right w:val="single" w:sz="8" w:space="0" w:color="666666"/>
            </w:tcBorders>
            <w:shd w:val="clear" w:color="auto" w:fill="D9D9D9" w:themeFill="background1" w:themeFillShade="D9"/>
            <w:vAlign w:val="center"/>
            <w:hideMark/>
          </w:tcPr>
          <w:p w14:paraId="40F47EC4"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57</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7EB00B41"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51</w:t>
            </w:r>
          </w:p>
        </w:tc>
        <w:tc>
          <w:tcPr>
            <w:tcW w:w="851" w:type="dxa"/>
            <w:tcBorders>
              <w:top w:val="nil"/>
              <w:left w:val="nil"/>
              <w:bottom w:val="single" w:sz="8" w:space="0" w:color="666666"/>
              <w:right w:val="single" w:sz="8" w:space="0" w:color="666666"/>
            </w:tcBorders>
            <w:shd w:val="clear" w:color="auto" w:fill="D9D9D9" w:themeFill="background1" w:themeFillShade="D9"/>
            <w:vAlign w:val="center"/>
            <w:hideMark/>
          </w:tcPr>
          <w:p w14:paraId="42ACA597"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61</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745957C3"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45</w:t>
            </w:r>
          </w:p>
        </w:tc>
      </w:tr>
      <w:tr w:rsidR="009B0448" w:rsidRPr="009B0448" w14:paraId="724CEC9F" w14:textId="77777777" w:rsidTr="009B0448">
        <w:trPr>
          <w:trHeight w:val="403"/>
        </w:trPr>
        <w:tc>
          <w:tcPr>
            <w:tcW w:w="1555" w:type="dxa"/>
            <w:tcBorders>
              <w:top w:val="nil"/>
              <w:left w:val="single" w:sz="4" w:space="0" w:color="auto"/>
              <w:bottom w:val="single" w:sz="8" w:space="0" w:color="000000"/>
              <w:right w:val="single" w:sz="8" w:space="0" w:color="000000"/>
            </w:tcBorders>
            <w:vAlign w:val="center"/>
            <w:hideMark/>
          </w:tcPr>
          <w:p w14:paraId="73307EB6" w14:textId="77777777" w:rsidR="009B0448" w:rsidRPr="009B0448" w:rsidRDefault="009B0448">
            <w:pPr>
              <w:rPr>
                <w:rFonts w:ascii="Times New Roman" w:hAnsi="Times New Roman" w:cs="Times New Roman"/>
                <w:b/>
                <w:bCs/>
              </w:rPr>
            </w:pPr>
            <w:r w:rsidRPr="009B0448">
              <w:rPr>
                <w:rFonts w:ascii="Times New Roman" w:hAnsi="Times New Roman" w:cs="Times New Roman"/>
                <w:b/>
                <w:bCs/>
              </w:rPr>
              <w:t>Maputaland Pondoland Albany</w:t>
            </w:r>
          </w:p>
        </w:tc>
        <w:tc>
          <w:tcPr>
            <w:tcW w:w="1275" w:type="dxa"/>
            <w:tcBorders>
              <w:top w:val="nil"/>
              <w:left w:val="nil"/>
              <w:bottom w:val="single" w:sz="8" w:space="0" w:color="666666"/>
              <w:right w:val="single" w:sz="4" w:space="0" w:color="auto"/>
            </w:tcBorders>
            <w:vAlign w:val="center"/>
            <w:hideMark/>
          </w:tcPr>
          <w:p w14:paraId="267A1025"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70</w:t>
            </w:r>
          </w:p>
        </w:tc>
        <w:tc>
          <w:tcPr>
            <w:tcW w:w="992" w:type="dxa"/>
            <w:tcBorders>
              <w:top w:val="nil"/>
              <w:left w:val="single" w:sz="4" w:space="0" w:color="auto"/>
              <w:bottom w:val="single" w:sz="8" w:space="0" w:color="666666"/>
              <w:right w:val="single" w:sz="8" w:space="0" w:color="666666"/>
            </w:tcBorders>
            <w:shd w:val="clear" w:color="auto" w:fill="D9D9D9" w:themeFill="background1" w:themeFillShade="D9"/>
            <w:vAlign w:val="center"/>
            <w:hideMark/>
          </w:tcPr>
          <w:p w14:paraId="33CA1104"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274,136</w:t>
            </w:r>
          </w:p>
        </w:tc>
        <w:tc>
          <w:tcPr>
            <w:tcW w:w="1276" w:type="dxa"/>
            <w:tcBorders>
              <w:top w:val="nil"/>
              <w:left w:val="nil"/>
              <w:bottom w:val="single" w:sz="8" w:space="0" w:color="666666"/>
              <w:right w:val="single" w:sz="8" w:space="0" w:color="666666"/>
            </w:tcBorders>
            <w:shd w:val="clear" w:color="auto" w:fill="D9D9D9" w:themeFill="background1" w:themeFillShade="D9"/>
            <w:vAlign w:val="center"/>
            <w:hideMark/>
          </w:tcPr>
          <w:p w14:paraId="69FB9B6B"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67,163</w:t>
            </w:r>
          </w:p>
        </w:tc>
        <w:tc>
          <w:tcPr>
            <w:tcW w:w="1134" w:type="dxa"/>
            <w:tcBorders>
              <w:top w:val="nil"/>
              <w:left w:val="nil"/>
              <w:bottom w:val="single" w:sz="8" w:space="0" w:color="666666"/>
              <w:right w:val="single" w:sz="4" w:space="0" w:color="auto"/>
            </w:tcBorders>
            <w:shd w:val="clear" w:color="auto" w:fill="D9D9D9" w:themeFill="background1" w:themeFillShade="D9"/>
            <w:vAlign w:val="center"/>
            <w:hideMark/>
          </w:tcPr>
          <w:p w14:paraId="74865752"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23,051</w:t>
            </w:r>
          </w:p>
        </w:tc>
        <w:tc>
          <w:tcPr>
            <w:tcW w:w="1276" w:type="dxa"/>
            <w:tcBorders>
              <w:top w:val="nil"/>
              <w:left w:val="single" w:sz="4" w:space="0" w:color="auto"/>
              <w:bottom w:val="single" w:sz="8" w:space="0" w:color="666666"/>
              <w:right w:val="single" w:sz="4" w:space="0" w:color="auto"/>
            </w:tcBorders>
            <w:shd w:val="clear" w:color="auto" w:fill="D9D9D9" w:themeFill="background1" w:themeFillShade="D9"/>
            <w:vAlign w:val="center"/>
            <w:hideMark/>
          </w:tcPr>
          <w:p w14:paraId="60D0E3DE"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20,322</w:t>
            </w:r>
          </w:p>
        </w:tc>
        <w:tc>
          <w:tcPr>
            <w:tcW w:w="1134" w:type="dxa"/>
            <w:tcBorders>
              <w:top w:val="nil"/>
              <w:left w:val="single" w:sz="4" w:space="0" w:color="auto"/>
              <w:bottom w:val="single" w:sz="8" w:space="0" w:color="666666"/>
              <w:right w:val="single" w:sz="8" w:space="0" w:color="666666"/>
            </w:tcBorders>
            <w:vAlign w:val="center"/>
            <w:hideMark/>
          </w:tcPr>
          <w:p w14:paraId="48C297E3"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1,900</w:t>
            </w:r>
          </w:p>
        </w:tc>
        <w:tc>
          <w:tcPr>
            <w:tcW w:w="708" w:type="dxa"/>
            <w:tcBorders>
              <w:top w:val="nil"/>
              <w:left w:val="nil"/>
              <w:bottom w:val="single" w:sz="8" w:space="0" w:color="666666"/>
              <w:right w:val="single" w:sz="8" w:space="0" w:color="666666"/>
            </w:tcBorders>
            <w:shd w:val="clear" w:color="auto" w:fill="D9D9D9" w:themeFill="background1" w:themeFillShade="D9"/>
            <w:vAlign w:val="center"/>
            <w:hideMark/>
          </w:tcPr>
          <w:p w14:paraId="6C49A9F1"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0</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61097185"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w:t>
            </w:r>
          </w:p>
        </w:tc>
        <w:tc>
          <w:tcPr>
            <w:tcW w:w="851" w:type="dxa"/>
            <w:tcBorders>
              <w:top w:val="nil"/>
              <w:left w:val="nil"/>
              <w:bottom w:val="single" w:sz="8" w:space="0" w:color="666666"/>
              <w:right w:val="single" w:sz="8" w:space="0" w:color="666666"/>
            </w:tcBorders>
            <w:shd w:val="clear" w:color="auto" w:fill="D9D9D9" w:themeFill="background1" w:themeFillShade="D9"/>
            <w:vAlign w:val="center"/>
            <w:hideMark/>
          </w:tcPr>
          <w:p w14:paraId="4254D59B"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6</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4B93706D"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0</w:t>
            </w:r>
          </w:p>
        </w:tc>
      </w:tr>
      <w:tr w:rsidR="009B0448" w:rsidRPr="009B0448" w14:paraId="158D2447" w14:textId="77777777" w:rsidTr="009B0448">
        <w:trPr>
          <w:trHeight w:val="100"/>
        </w:trPr>
        <w:tc>
          <w:tcPr>
            <w:tcW w:w="1555" w:type="dxa"/>
            <w:tcBorders>
              <w:top w:val="nil"/>
              <w:left w:val="single" w:sz="4" w:space="0" w:color="auto"/>
              <w:bottom w:val="single" w:sz="8" w:space="0" w:color="000000"/>
              <w:right w:val="single" w:sz="8" w:space="0" w:color="000000"/>
            </w:tcBorders>
            <w:vAlign w:val="center"/>
            <w:hideMark/>
          </w:tcPr>
          <w:p w14:paraId="0C1E869A" w14:textId="77777777" w:rsidR="009B0448" w:rsidRPr="009B0448" w:rsidRDefault="009B0448">
            <w:pPr>
              <w:rPr>
                <w:rFonts w:ascii="Times New Roman" w:hAnsi="Times New Roman" w:cs="Times New Roman"/>
                <w:b/>
                <w:bCs/>
              </w:rPr>
            </w:pPr>
            <w:r w:rsidRPr="009B0448">
              <w:rPr>
                <w:rFonts w:ascii="Times New Roman" w:hAnsi="Times New Roman" w:cs="Times New Roman"/>
                <w:b/>
                <w:bCs/>
              </w:rPr>
              <w:t>Succulent Karoo</w:t>
            </w:r>
          </w:p>
        </w:tc>
        <w:tc>
          <w:tcPr>
            <w:tcW w:w="1275" w:type="dxa"/>
            <w:tcBorders>
              <w:top w:val="nil"/>
              <w:left w:val="nil"/>
              <w:bottom w:val="single" w:sz="8" w:space="0" w:color="666666"/>
              <w:right w:val="single" w:sz="4" w:space="0" w:color="auto"/>
            </w:tcBorders>
            <w:vAlign w:val="center"/>
            <w:hideMark/>
          </w:tcPr>
          <w:p w14:paraId="0A1E78B9"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4</w:t>
            </w:r>
          </w:p>
        </w:tc>
        <w:tc>
          <w:tcPr>
            <w:tcW w:w="992" w:type="dxa"/>
            <w:tcBorders>
              <w:top w:val="nil"/>
              <w:left w:val="single" w:sz="4" w:space="0" w:color="auto"/>
              <w:bottom w:val="single" w:sz="8" w:space="0" w:color="666666"/>
              <w:right w:val="single" w:sz="8" w:space="0" w:color="666666"/>
            </w:tcBorders>
            <w:shd w:val="clear" w:color="auto" w:fill="D9D9D9" w:themeFill="background1" w:themeFillShade="D9"/>
            <w:vAlign w:val="center"/>
            <w:hideMark/>
          </w:tcPr>
          <w:p w14:paraId="4E09FC37"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102,691</w:t>
            </w:r>
          </w:p>
        </w:tc>
        <w:tc>
          <w:tcPr>
            <w:tcW w:w="1276" w:type="dxa"/>
            <w:tcBorders>
              <w:top w:val="nil"/>
              <w:left w:val="nil"/>
              <w:bottom w:val="single" w:sz="8" w:space="0" w:color="666666"/>
              <w:right w:val="single" w:sz="8" w:space="0" w:color="666666"/>
            </w:tcBorders>
            <w:shd w:val="clear" w:color="auto" w:fill="D9D9D9" w:themeFill="background1" w:themeFillShade="D9"/>
            <w:vAlign w:val="center"/>
            <w:hideMark/>
          </w:tcPr>
          <w:p w14:paraId="701DADDB"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29,780</w:t>
            </w:r>
          </w:p>
        </w:tc>
        <w:tc>
          <w:tcPr>
            <w:tcW w:w="1134" w:type="dxa"/>
            <w:tcBorders>
              <w:top w:val="nil"/>
              <w:left w:val="nil"/>
              <w:bottom w:val="single" w:sz="8" w:space="0" w:color="666666"/>
              <w:right w:val="single" w:sz="4" w:space="0" w:color="auto"/>
            </w:tcBorders>
            <w:shd w:val="clear" w:color="auto" w:fill="D9D9D9" w:themeFill="background1" w:themeFillShade="D9"/>
            <w:vAlign w:val="center"/>
            <w:hideMark/>
          </w:tcPr>
          <w:p w14:paraId="3DA3AFA2"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2,567</w:t>
            </w:r>
          </w:p>
        </w:tc>
        <w:tc>
          <w:tcPr>
            <w:tcW w:w="1276" w:type="dxa"/>
            <w:tcBorders>
              <w:top w:val="nil"/>
              <w:left w:val="single" w:sz="4" w:space="0" w:color="auto"/>
              <w:bottom w:val="single" w:sz="8" w:space="0" w:color="666666"/>
              <w:right w:val="single" w:sz="4" w:space="0" w:color="auto"/>
            </w:tcBorders>
            <w:shd w:val="clear" w:color="auto" w:fill="D9D9D9" w:themeFill="background1" w:themeFillShade="D9"/>
            <w:vAlign w:val="center"/>
            <w:hideMark/>
          </w:tcPr>
          <w:p w14:paraId="4B95A41B"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1,890</w:t>
            </w:r>
          </w:p>
        </w:tc>
        <w:tc>
          <w:tcPr>
            <w:tcW w:w="1134" w:type="dxa"/>
            <w:tcBorders>
              <w:top w:val="nil"/>
              <w:left w:val="single" w:sz="4" w:space="0" w:color="auto"/>
              <w:bottom w:val="single" w:sz="8" w:space="0" w:color="666666"/>
              <w:right w:val="single" w:sz="8" w:space="0" w:color="666666"/>
            </w:tcBorders>
            <w:vAlign w:val="center"/>
            <w:hideMark/>
          </w:tcPr>
          <w:p w14:paraId="46C579DF"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2,439</w:t>
            </w:r>
          </w:p>
        </w:tc>
        <w:tc>
          <w:tcPr>
            <w:tcW w:w="708" w:type="dxa"/>
            <w:tcBorders>
              <w:top w:val="nil"/>
              <w:left w:val="nil"/>
              <w:bottom w:val="single" w:sz="8" w:space="0" w:color="666666"/>
              <w:right w:val="single" w:sz="8" w:space="0" w:color="666666"/>
            </w:tcBorders>
            <w:shd w:val="clear" w:color="auto" w:fill="D9D9D9" w:themeFill="background1" w:themeFillShade="D9"/>
            <w:vAlign w:val="center"/>
            <w:hideMark/>
          </w:tcPr>
          <w:p w14:paraId="20E14697"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0</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7D5DDBE1"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w:t>
            </w:r>
          </w:p>
        </w:tc>
        <w:tc>
          <w:tcPr>
            <w:tcW w:w="851" w:type="dxa"/>
            <w:tcBorders>
              <w:top w:val="nil"/>
              <w:left w:val="nil"/>
              <w:bottom w:val="single" w:sz="8" w:space="0" w:color="666666"/>
              <w:right w:val="single" w:sz="8" w:space="0" w:color="666666"/>
            </w:tcBorders>
            <w:shd w:val="clear" w:color="auto" w:fill="D9D9D9" w:themeFill="background1" w:themeFillShade="D9"/>
            <w:vAlign w:val="center"/>
            <w:hideMark/>
          </w:tcPr>
          <w:p w14:paraId="14C93C74"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0720EF68"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w:t>
            </w:r>
          </w:p>
        </w:tc>
      </w:tr>
      <w:tr w:rsidR="009B0448" w:rsidRPr="009B0448" w14:paraId="5299D991" w14:textId="77777777" w:rsidTr="009B0448">
        <w:trPr>
          <w:trHeight w:val="491"/>
        </w:trPr>
        <w:tc>
          <w:tcPr>
            <w:tcW w:w="1555" w:type="dxa"/>
            <w:tcBorders>
              <w:top w:val="nil"/>
              <w:left w:val="single" w:sz="4" w:space="0" w:color="auto"/>
              <w:bottom w:val="single" w:sz="8" w:space="0" w:color="000000"/>
              <w:right w:val="single" w:sz="8" w:space="0" w:color="000000"/>
            </w:tcBorders>
            <w:vAlign w:val="center"/>
            <w:hideMark/>
          </w:tcPr>
          <w:p w14:paraId="62B573CF" w14:textId="77777777" w:rsidR="009B0448" w:rsidRPr="009B0448" w:rsidRDefault="009B0448">
            <w:pPr>
              <w:rPr>
                <w:rFonts w:ascii="Times New Roman" w:hAnsi="Times New Roman" w:cs="Times New Roman"/>
                <w:b/>
                <w:bCs/>
              </w:rPr>
            </w:pPr>
            <w:r w:rsidRPr="009B0448">
              <w:rPr>
                <w:rFonts w:ascii="Times New Roman" w:hAnsi="Times New Roman" w:cs="Times New Roman"/>
                <w:b/>
                <w:bCs/>
              </w:rPr>
              <w:t>Mediterranean basin</w:t>
            </w:r>
            <w:r w:rsidRPr="009B0448">
              <w:rPr>
                <w:rFonts w:ascii="Times New Roman" w:hAnsi="Times New Roman" w:cs="Times New Roman"/>
                <w:b/>
                <w:bCs/>
                <w:vertAlign w:val="superscript"/>
              </w:rPr>
              <w:t>¥</w:t>
            </w:r>
          </w:p>
        </w:tc>
        <w:tc>
          <w:tcPr>
            <w:tcW w:w="1275" w:type="dxa"/>
            <w:tcBorders>
              <w:top w:val="nil"/>
              <w:left w:val="nil"/>
              <w:bottom w:val="single" w:sz="8" w:space="0" w:color="666666"/>
              <w:right w:val="single" w:sz="4" w:space="0" w:color="auto"/>
            </w:tcBorders>
            <w:vAlign w:val="center"/>
            <w:hideMark/>
          </w:tcPr>
          <w:p w14:paraId="6628B8FE"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111</w:t>
            </w:r>
          </w:p>
        </w:tc>
        <w:tc>
          <w:tcPr>
            <w:tcW w:w="992" w:type="dxa"/>
            <w:tcBorders>
              <w:top w:val="nil"/>
              <w:left w:val="single" w:sz="4" w:space="0" w:color="auto"/>
              <w:bottom w:val="single" w:sz="8" w:space="0" w:color="666666"/>
              <w:right w:val="single" w:sz="8" w:space="0" w:color="666666"/>
            </w:tcBorders>
            <w:shd w:val="clear" w:color="auto" w:fill="D9D9D9" w:themeFill="background1" w:themeFillShade="D9"/>
            <w:vAlign w:val="center"/>
            <w:hideMark/>
          </w:tcPr>
          <w:p w14:paraId="434DDE96"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2,085,292</w:t>
            </w:r>
          </w:p>
        </w:tc>
        <w:tc>
          <w:tcPr>
            <w:tcW w:w="1276" w:type="dxa"/>
            <w:tcBorders>
              <w:top w:val="nil"/>
              <w:left w:val="nil"/>
              <w:bottom w:val="single" w:sz="8" w:space="0" w:color="666666"/>
              <w:right w:val="single" w:sz="8" w:space="0" w:color="666666"/>
            </w:tcBorders>
            <w:shd w:val="clear" w:color="auto" w:fill="D9D9D9" w:themeFill="background1" w:themeFillShade="D9"/>
            <w:vAlign w:val="center"/>
            <w:hideMark/>
          </w:tcPr>
          <w:p w14:paraId="1D60F311"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98,009</w:t>
            </w:r>
          </w:p>
        </w:tc>
        <w:tc>
          <w:tcPr>
            <w:tcW w:w="1134" w:type="dxa"/>
            <w:tcBorders>
              <w:top w:val="nil"/>
              <w:left w:val="nil"/>
              <w:bottom w:val="single" w:sz="8" w:space="0" w:color="666666"/>
              <w:right w:val="single" w:sz="4" w:space="0" w:color="auto"/>
            </w:tcBorders>
            <w:shd w:val="clear" w:color="auto" w:fill="D9D9D9" w:themeFill="background1" w:themeFillShade="D9"/>
            <w:vAlign w:val="center"/>
            <w:hideMark/>
          </w:tcPr>
          <w:p w14:paraId="2B598D19"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90,242</w:t>
            </w:r>
          </w:p>
        </w:tc>
        <w:tc>
          <w:tcPr>
            <w:tcW w:w="1276" w:type="dxa"/>
            <w:tcBorders>
              <w:top w:val="nil"/>
              <w:left w:val="single" w:sz="4" w:space="0" w:color="auto"/>
              <w:bottom w:val="single" w:sz="8" w:space="0" w:color="666666"/>
              <w:right w:val="single" w:sz="4" w:space="0" w:color="auto"/>
            </w:tcBorders>
            <w:shd w:val="clear" w:color="auto" w:fill="D9D9D9" w:themeFill="background1" w:themeFillShade="D9"/>
            <w:vAlign w:val="center"/>
            <w:hideMark/>
          </w:tcPr>
          <w:p w14:paraId="2586BB38"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28,751 </w:t>
            </w:r>
          </w:p>
        </w:tc>
        <w:tc>
          <w:tcPr>
            <w:tcW w:w="1134" w:type="dxa"/>
            <w:tcBorders>
              <w:top w:val="nil"/>
              <w:left w:val="single" w:sz="4" w:space="0" w:color="auto"/>
              <w:bottom w:val="single" w:sz="8" w:space="0" w:color="666666"/>
              <w:right w:val="single" w:sz="8" w:space="0" w:color="666666"/>
            </w:tcBorders>
            <w:vAlign w:val="center"/>
            <w:hideMark/>
          </w:tcPr>
          <w:p w14:paraId="3CC92398"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11,700</w:t>
            </w:r>
          </w:p>
        </w:tc>
        <w:tc>
          <w:tcPr>
            <w:tcW w:w="708" w:type="dxa"/>
            <w:tcBorders>
              <w:top w:val="nil"/>
              <w:left w:val="nil"/>
              <w:bottom w:val="single" w:sz="8" w:space="0" w:color="666666"/>
              <w:right w:val="single" w:sz="8" w:space="0" w:color="666666"/>
            </w:tcBorders>
            <w:shd w:val="clear" w:color="auto" w:fill="D9D9D9" w:themeFill="background1" w:themeFillShade="D9"/>
            <w:vAlign w:val="center"/>
            <w:hideMark/>
          </w:tcPr>
          <w:p w14:paraId="0B67464E"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9</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1400C7C6"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11</w:t>
            </w:r>
          </w:p>
        </w:tc>
        <w:tc>
          <w:tcPr>
            <w:tcW w:w="851" w:type="dxa"/>
            <w:tcBorders>
              <w:top w:val="nil"/>
              <w:left w:val="nil"/>
              <w:bottom w:val="single" w:sz="8" w:space="0" w:color="666666"/>
              <w:right w:val="single" w:sz="8" w:space="0" w:color="666666"/>
            </w:tcBorders>
            <w:shd w:val="clear" w:color="auto" w:fill="D9D9D9" w:themeFill="background1" w:themeFillShade="D9"/>
            <w:vAlign w:val="center"/>
            <w:hideMark/>
          </w:tcPr>
          <w:p w14:paraId="7CFCBB90"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14</w:t>
            </w:r>
          </w:p>
        </w:tc>
        <w:tc>
          <w:tcPr>
            <w:tcW w:w="993" w:type="dxa"/>
            <w:tcBorders>
              <w:top w:val="nil"/>
              <w:left w:val="nil"/>
              <w:bottom w:val="single" w:sz="8" w:space="0" w:color="666666"/>
              <w:right w:val="single" w:sz="8" w:space="0" w:color="666666"/>
            </w:tcBorders>
            <w:shd w:val="clear" w:color="auto" w:fill="D9D9D9" w:themeFill="background1" w:themeFillShade="D9"/>
            <w:vAlign w:val="center"/>
            <w:hideMark/>
          </w:tcPr>
          <w:p w14:paraId="06B46BD7" w14:textId="77777777" w:rsidR="009B0448" w:rsidRPr="009B0448" w:rsidRDefault="009B0448">
            <w:pPr>
              <w:jc w:val="both"/>
              <w:rPr>
                <w:rFonts w:ascii="Times New Roman" w:hAnsi="Times New Roman" w:cs="Times New Roman"/>
              </w:rPr>
            </w:pPr>
            <w:r w:rsidRPr="009B0448">
              <w:rPr>
                <w:rFonts w:ascii="Times New Roman" w:hAnsi="Times New Roman" w:cs="Times New Roman"/>
              </w:rPr>
              <w:t>5</w:t>
            </w:r>
          </w:p>
        </w:tc>
      </w:tr>
    </w:tbl>
    <w:p w14:paraId="733C6DEF" w14:textId="77777777" w:rsidR="009B0448" w:rsidRPr="009B0448" w:rsidRDefault="009B0448" w:rsidP="009B0448">
      <w:pPr>
        <w:spacing w:line="276" w:lineRule="auto"/>
        <w:jc w:val="both"/>
        <w:rPr>
          <w:rStyle w:val="Caption1"/>
          <w:rFonts w:ascii="Times New Roman" w:hAnsi="Times New Roman" w:cs="Times New Roman"/>
          <w:sz w:val="18"/>
          <w:szCs w:val="18"/>
          <w:shd w:val="clear" w:color="auto" w:fill="FFFFFF"/>
          <w:lang w:val="en-US"/>
        </w:rPr>
      </w:pPr>
      <w:r w:rsidRPr="009B0448">
        <w:rPr>
          <w:rStyle w:val="Caption1"/>
          <w:rFonts w:ascii="Times New Roman" w:hAnsi="Times New Roman" w:cs="Times New Roman"/>
          <w:sz w:val="18"/>
          <w:szCs w:val="18"/>
          <w:shd w:val="clear" w:color="auto" w:fill="FFFFFF"/>
          <w:lang w:val="en-US"/>
        </w:rPr>
        <w:t>§ Recorded extinctions since 1500.</w:t>
      </w:r>
    </w:p>
    <w:p w14:paraId="705256FE" w14:textId="77777777" w:rsidR="009B0448" w:rsidRPr="009B0448" w:rsidRDefault="009B0448" w:rsidP="009B0448">
      <w:pPr>
        <w:spacing w:line="276" w:lineRule="auto"/>
        <w:jc w:val="both"/>
        <w:rPr>
          <w:rFonts w:ascii="Times New Roman" w:hAnsi="Times New Roman" w:cs="Times New Roman"/>
          <w:color w:val="000000" w:themeColor="text1"/>
        </w:rPr>
      </w:pPr>
      <w:r w:rsidRPr="009B0448">
        <w:rPr>
          <w:rStyle w:val="Caption1"/>
          <w:rFonts w:ascii="Times New Roman" w:hAnsi="Times New Roman" w:cs="Times New Roman"/>
          <w:sz w:val="18"/>
          <w:szCs w:val="18"/>
          <w:shd w:val="clear" w:color="auto" w:fill="FFFFFF"/>
          <w:lang w:val="en-US"/>
        </w:rPr>
        <w:t>€ Categories I-IV affords higher levels of protection.</w:t>
      </w:r>
    </w:p>
    <w:p w14:paraId="21E04124" w14:textId="77777777" w:rsidR="009B0448" w:rsidRPr="009B0448" w:rsidRDefault="009B0448" w:rsidP="009B0448">
      <w:pPr>
        <w:spacing w:line="276" w:lineRule="auto"/>
        <w:jc w:val="both"/>
        <w:rPr>
          <w:rFonts w:ascii="Times New Roman" w:hAnsi="Times New Roman" w:cs="Times New Roman"/>
          <w:color w:val="000000" w:themeColor="text1"/>
          <w:sz w:val="18"/>
          <w:szCs w:val="18"/>
          <w:shd w:val="clear" w:color="auto" w:fill="FFFFFF"/>
          <w:lang w:val="en-US"/>
        </w:rPr>
      </w:pPr>
      <w:r w:rsidRPr="009B0448">
        <w:rPr>
          <w:rStyle w:val="Caption1"/>
          <w:rFonts w:ascii="Times New Roman" w:hAnsi="Times New Roman" w:cs="Times New Roman"/>
          <w:sz w:val="18"/>
          <w:szCs w:val="18"/>
          <w:shd w:val="clear" w:color="auto" w:fill="FFFFFF"/>
          <w:lang w:val="en-US"/>
        </w:rPr>
        <w:t>¥ The Mediterranean Basin expands from west to east from Portugal to Jordan and north to south from northern Italy to Morocco. Apart from the African States which are Morocco, Egypt, Libya, Tunisia and Algeria, it includes also parts of Spain, France, the Balkan states, Greece, Turkey, Syria, Lebanon, Israel, as well as around five thousand islands scattered around the Mediterranean Sea. West of the mainland, the hotspot includes the Macronesian Islands of the Canaries, Madeira, the Selvages (Selvagens), the Azores, and Cape Verde</w:t>
      </w:r>
    </w:p>
    <w:p w14:paraId="332FC717" w14:textId="77777777" w:rsidR="009B0448" w:rsidRPr="009B0448" w:rsidRDefault="009B0448" w:rsidP="009B0448">
      <w:pPr>
        <w:spacing w:line="276" w:lineRule="auto"/>
        <w:rPr>
          <w:rFonts w:ascii="Times New Roman" w:hAnsi="Times New Roman" w:cs="Times New Roman"/>
          <w:color w:val="000000" w:themeColor="text1"/>
          <w:sz w:val="18"/>
          <w:szCs w:val="18"/>
          <w:shd w:val="clear" w:color="auto" w:fill="FFFFFF"/>
          <w:lang w:val="en-US"/>
        </w:rPr>
        <w:sectPr w:rsidR="009B0448" w:rsidRPr="009B0448">
          <w:pgSz w:w="15840" w:h="12240" w:orient="landscape"/>
          <w:pgMar w:top="993" w:right="1440" w:bottom="1440" w:left="1440" w:header="0" w:footer="144" w:gutter="0"/>
          <w:lnNumType w:countBy="1" w:restart="continuous"/>
          <w:cols w:space="720"/>
        </w:sectPr>
      </w:pPr>
    </w:p>
    <w:p w14:paraId="4AF57BFF" w14:textId="77777777" w:rsidR="009B0448" w:rsidRPr="009B0448" w:rsidRDefault="009B0448" w:rsidP="00FA7185">
      <w:pPr>
        <w:pStyle w:val="111"/>
        <w:numPr>
          <w:ilvl w:val="3"/>
          <w:numId w:val="18"/>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39" w:name="_Toc519499849"/>
      <w:r w:rsidRPr="009B0448">
        <w:rPr>
          <w:rFonts w:cs="Times New Roman"/>
          <w:sz w:val="22"/>
          <w:szCs w:val="22"/>
        </w:rPr>
        <w:lastRenderedPageBreak/>
        <w:t>Threat status</w:t>
      </w:r>
      <w:bookmarkEnd w:id="139"/>
    </w:p>
    <w:p w14:paraId="46A2B9C8" w14:textId="1F45D187" w:rsidR="009B0448" w:rsidRDefault="009B0448" w:rsidP="009B0448">
      <w:pPr>
        <w:spacing w:line="276" w:lineRule="auto"/>
        <w:ind w:left="1" w:right="53"/>
        <w:jc w:val="both"/>
        <w:rPr>
          <w:rFonts w:ascii="Times New Roman" w:hAnsi="Times New Roman" w:cs="Times New Roman"/>
        </w:rPr>
      </w:pPr>
      <w:r w:rsidRPr="009B0448">
        <w:rPr>
          <w:rFonts w:ascii="Times New Roman" w:hAnsi="Times New Roman" w:cs="Times New Roman"/>
        </w:rPr>
        <w:t xml:space="preserve">The IUCN Red List of Threatened Species has been disaggregated from the global scale by Brooks </w:t>
      </w:r>
      <w:r w:rsidRPr="009B0448">
        <w:rPr>
          <w:rFonts w:ascii="Times New Roman" w:hAnsi="Times New Roman" w:cs="Times New Roman"/>
          <w:i/>
        </w:rPr>
        <w:t>et al.</w:t>
      </w:r>
      <w:r w:rsidRPr="009B0448">
        <w:rPr>
          <w:rFonts w:ascii="Times New Roman" w:hAnsi="Times New Roman" w:cs="Times New Roman"/>
        </w:rPr>
        <w:t xml:space="preserve"> (2016a &amp; b) for the Africa region, and these data are presented below (Table 3.4; Figure 3.2). </w:t>
      </w:r>
      <w:r w:rsidRPr="009B0448">
        <w:rPr>
          <w:rFonts w:ascii="Times New Roman" w:hAnsi="Times New Roman" w:cs="Times New Roman"/>
          <w:bCs/>
          <w:spacing w:val="1"/>
        </w:rPr>
        <w:t>Taxonomic groups for which comprehensive global assessments (</w:t>
      </w:r>
      <w:r w:rsidRPr="009B0448">
        <w:rPr>
          <w:rFonts w:ascii="Times New Roman" w:hAnsi="Times New Roman" w:cs="Times New Roman"/>
        </w:rPr>
        <w:t>&gt;90% of species) have been done,</w:t>
      </w:r>
      <w:r w:rsidRPr="009B0448">
        <w:rPr>
          <w:rFonts w:ascii="Times New Roman" w:hAnsi="Times New Roman" w:cs="Times New Roman"/>
          <w:bCs/>
          <w:spacing w:val="1"/>
        </w:rPr>
        <w:t xml:space="preserve"> were used. For these taxa, Brooks </w:t>
      </w:r>
      <w:r w:rsidRPr="009B0448">
        <w:rPr>
          <w:rFonts w:ascii="Times New Roman" w:hAnsi="Times New Roman" w:cs="Times New Roman"/>
          <w:bCs/>
          <w:i/>
          <w:spacing w:val="1"/>
        </w:rPr>
        <w:t>et al.</w:t>
      </w:r>
      <w:r w:rsidRPr="009B0448">
        <w:rPr>
          <w:rFonts w:ascii="Times New Roman" w:hAnsi="Times New Roman" w:cs="Times New Roman"/>
          <w:bCs/>
          <w:spacing w:val="1"/>
        </w:rPr>
        <w:t xml:space="preserve"> (2016a &amp; b) report an</w:t>
      </w:r>
      <w:r w:rsidRPr="009B0448">
        <w:rPr>
          <w:rFonts w:ascii="Times New Roman" w:hAnsi="Times New Roman" w:cs="Times New Roman"/>
          <w:b/>
          <w:bCs/>
          <w:spacing w:val="1"/>
        </w:rPr>
        <w:t xml:space="preserve"> </w:t>
      </w:r>
      <w:r w:rsidRPr="009B0448">
        <w:rPr>
          <w:rFonts w:ascii="Times New Roman" w:hAnsi="Times New Roman" w:cs="Times New Roman"/>
        </w:rPr>
        <w:t xml:space="preserve">estimated 1,781 threatened species in the Africa region, representing 19% of the total number of extant species within these taxa. Of the 5,016 endemic species found in the region 23% are threatened with extinction (Figure 3.2). </w:t>
      </w:r>
      <w:r w:rsidRPr="009B0448">
        <w:rPr>
          <w:rFonts w:ascii="Times New Roman" w:hAnsi="Times New Roman" w:cs="Times New Roman"/>
          <w:bCs/>
          <w:spacing w:val="1"/>
        </w:rPr>
        <w:t xml:space="preserve">The greatest proportion of threatened species are found in East Africa and adjacent islands with 17% of extant species considered threatened including 43% of the endemics occurring in the </w:t>
      </w:r>
      <w:r w:rsidR="00B22D81">
        <w:rPr>
          <w:rFonts w:ascii="Times New Roman" w:hAnsi="Times New Roman" w:cs="Times New Roman"/>
          <w:bCs/>
          <w:spacing w:val="1"/>
        </w:rPr>
        <w:t>subregion</w:t>
      </w:r>
      <w:r w:rsidRPr="009B0448">
        <w:rPr>
          <w:rFonts w:ascii="Times New Roman" w:hAnsi="Times New Roman" w:cs="Times New Roman"/>
          <w:bCs/>
          <w:spacing w:val="1"/>
        </w:rPr>
        <w:t>. This is in part due to the high number of threatened endemic species in the regions hotspots, e.g., the Eastern Arc Mountains and coastal forests of Tanzania and Kenya (</w:t>
      </w:r>
      <w:r w:rsidRPr="009B0448">
        <w:rPr>
          <w:rFonts w:ascii="Times New Roman" w:hAnsi="Times New Roman" w:cs="Times New Roman"/>
        </w:rPr>
        <w:t xml:space="preserve">Gereau </w:t>
      </w:r>
      <w:r w:rsidRPr="009B0448">
        <w:rPr>
          <w:rFonts w:ascii="Times New Roman" w:hAnsi="Times New Roman" w:cs="Times New Roman"/>
          <w:i/>
        </w:rPr>
        <w:t>et al.</w:t>
      </w:r>
      <w:r w:rsidRPr="009B0448">
        <w:rPr>
          <w:rFonts w:ascii="Times New Roman" w:hAnsi="Times New Roman" w:cs="Times New Roman"/>
        </w:rPr>
        <w:t>, 2016</w:t>
      </w:r>
      <w:r w:rsidRPr="009B0448">
        <w:rPr>
          <w:rFonts w:ascii="Times New Roman" w:hAnsi="Times New Roman" w:cs="Times New Roman"/>
          <w:bCs/>
          <w:spacing w:val="1"/>
        </w:rPr>
        <w:t xml:space="preserve">), as well as those in Madagascar and the Indian Ocean Islands. Central Africa, however, has the highest proportion of threatened endemics at 50%. North Africa has the lowest proportion of threatened species (9%) and southern Africa the lowest proportion of threatened endemics (23%). Trends in the IUCN Redlist Index over the last 28 years indicate that West Africa has the highest relative annual contribution to the overall change in the global Red List Index for the taxa assessed within the region and this is true in particular for amphibians. For mammals the highest relative annual contribution in the region came from Central Africa, whilst for birds it came from Southern Africa (Brooks </w:t>
      </w:r>
      <w:r w:rsidRPr="009B0448">
        <w:rPr>
          <w:rFonts w:ascii="Times New Roman" w:hAnsi="Times New Roman" w:cs="Times New Roman"/>
          <w:bCs/>
          <w:i/>
          <w:spacing w:val="1"/>
        </w:rPr>
        <w:t>et al.</w:t>
      </w:r>
      <w:r w:rsidRPr="009B0448">
        <w:rPr>
          <w:rFonts w:ascii="Times New Roman" w:hAnsi="Times New Roman" w:cs="Times New Roman"/>
          <w:bCs/>
          <w:spacing w:val="1"/>
        </w:rPr>
        <w:t xml:space="preserve">, 2016a). </w:t>
      </w:r>
      <w:r w:rsidRPr="009B0448">
        <w:rPr>
          <w:rFonts w:ascii="Times New Roman" w:hAnsi="Times New Roman" w:cs="Times New Roman"/>
        </w:rPr>
        <w:t>Considering the number of data deficient taxa, this number could be as high as 35% for the region with endemic threat status in Central Africa potentially being as high as 67%, highlighting the need for greater efforts to protect these taxa.</w:t>
      </w:r>
    </w:p>
    <w:p w14:paraId="655E4954" w14:textId="77777777" w:rsidR="00E975C5" w:rsidRPr="009B0448" w:rsidRDefault="00E975C5" w:rsidP="009B0448">
      <w:pPr>
        <w:spacing w:line="276" w:lineRule="auto"/>
        <w:ind w:left="1" w:right="53"/>
        <w:jc w:val="both"/>
        <w:rPr>
          <w:rFonts w:ascii="Times New Roman" w:hAnsi="Times New Roman" w:cs="Times New Roman"/>
        </w:rPr>
      </w:pPr>
    </w:p>
    <w:p w14:paraId="6BBE06D2" w14:textId="52A0733B" w:rsidR="009B0448" w:rsidRPr="009B0448" w:rsidRDefault="00E975C5" w:rsidP="009B0448">
      <w:pPr>
        <w:spacing w:line="276" w:lineRule="auto"/>
        <w:ind w:left="1" w:right="53"/>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7071774C" wp14:editId="4BFA88C8">
            <wp:extent cx="5722620" cy="3070860"/>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660">
                      <a:extLst>
                        <a:ext uri="{28A0092B-C50C-407E-A947-70E740481C1C}">
                          <a14:useLocalDpi xmlns:a14="http://schemas.microsoft.com/office/drawing/2010/main" val="0"/>
                        </a:ext>
                      </a:extLst>
                    </a:blip>
                    <a:srcRect r="1617"/>
                    <a:stretch>
                      <a:fillRect/>
                    </a:stretch>
                  </pic:blipFill>
                  <pic:spPr bwMode="auto">
                    <a:xfrm>
                      <a:off x="0" y="0"/>
                      <a:ext cx="5722620" cy="3070860"/>
                    </a:xfrm>
                    <a:prstGeom prst="rect">
                      <a:avLst/>
                    </a:prstGeom>
                    <a:noFill/>
                    <a:ln>
                      <a:noFill/>
                    </a:ln>
                  </pic:spPr>
                </pic:pic>
              </a:graphicData>
            </a:graphic>
          </wp:inline>
        </w:drawing>
      </w:r>
    </w:p>
    <w:p w14:paraId="6ABFA733" w14:textId="77777777" w:rsidR="009B0448" w:rsidRPr="009B0448" w:rsidRDefault="009B0448" w:rsidP="009B0448">
      <w:pPr>
        <w:spacing w:line="276" w:lineRule="auto"/>
        <w:ind w:right="53"/>
        <w:jc w:val="both"/>
        <w:rPr>
          <w:rFonts w:ascii="Times New Roman" w:hAnsi="Times New Roman" w:cs="Times New Roman"/>
        </w:rPr>
      </w:pPr>
      <w:r w:rsidRPr="009B0448">
        <w:rPr>
          <w:rFonts w:ascii="Times New Roman" w:hAnsi="Times New Roman" w:cs="Times New Roman"/>
          <w:b/>
          <w:bCs/>
          <w:spacing w:val="1"/>
        </w:rPr>
        <w:t xml:space="preserve">Figure 3.2: </w:t>
      </w:r>
      <w:r w:rsidRPr="009B0448">
        <w:rPr>
          <w:rFonts w:ascii="Times New Roman" w:hAnsi="Times New Roman" w:cs="Times New Roman"/>
          <w:bCs/>
          <w:spacing w:val="1"/>
        </w:rPr>
        <w:t>Extinction risk of species in the Africa region as a whole and per subregion. Source:</w:t>
      </w:r>
      <w:r w:rsidRPr="009B0448">
        <w:rPr>
          <w:rFonts w:ascii="Times New Roman" w:hAnsi="Times New Roman" w:cs="Times New Roman"/>
        </w:rPr>
        <w:t xml:space="preserve"> </w:t>
      </w:r>
      <w:r w:rsidRPr="009B0448">
        <w:rPr>
          <w:rFonts w:ascii="Times New Roman" w:hAnsi="Times New Roman" w:cs="Times New Roman"/>
          <w:bCs/>
          <w:spacing w:val="1"/>
        </w:rPr>
        <w:t xml:space="preserve">Brooks </w:t>
      </w:r>
      <w:r w:rsidRPr="009B0448">
        <w:rPr>
          <w:rFonts w:ascii="Times New Roman" w:hAnsi="Times New Roman" w:cs="Times New Roman"/>
          <w:bCs/>
          <w:i/>
          <w:spacing w:val="1"/>
        </w:rPr>
        <w:t>et al.</w:t>
      </w:r>
      <w:r w:rsidRPr="009B0448">
        <w:rPr>
          <w:rFonts w:ascii="Times New Roman" w:hAnsi="Times New Roman" w:cs="Times New Roman"/>
          <w:bCs/>
          <w:spacing w:val="1"/>
        </w:rPr>
        <w:t xml:space="preserve"> (2016a).</w:t>
      </w:r>
    </w:p>
    <w:p w14:paraId="557E3DE5" w14:textId="77777777" w:rsidR="009B0448" w:rsidRPr="009B0448" w:rsidRDefault="009B0448" w:rsidP="009B0448">
      <w:pPr>
        <w:rPr>
          <w:rFonts w:ascii="Times New Roman" w:hAnsi="Times New Roman" w:cs="Times New Roman"/>
          <w:b/>
        </w:rPr>
      </w:pPr>
      <w:r w:rsidRPr="009B0448">
        <w:rPr>
          <w:rFonts w:ascii="Times New Roman" w:hAnsi="Times New Roman" w:cs="Times New Roman"/>
          <w:b/>
          <w:color w:val="auto"/>
        </w:rPr>
        <w:br w:type="page"/>
      </w:r>
    </w:p>
    <w:p w14:paraId="67196962"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lastRenderedPageBreak/>
        <w:t>Table 3.4:</w:t>
      </w:r>
      <w:r w:rsidRPr="009B0448">
        <w:rPr>
          <w:rFonts w:ascii="Times New Roman" w:hAnsi="Times New Roman" w:cs="Times New Roman"/>
        </w:rPr>
        <w:t xml:space="preserve"> The number of species listed by CITES (on Appendix I, II or III) for birds, mammals, fishes, amphibians and plants (first column) in each of the regions of Africa and the corresponding percentage (second column) of the total for the taxon. Source: </w:t>
      </w:r>
      <w:hyperlink r:id="rId661" w:history="1">
        <w:r w:rsidRPr="009B0448">
          <w:rPr>
            <w:rStyle w:val="Hyperlink"/>
            <w:rFonts w:ascii="Times New Roman" w:hAnsi="Times New Roman" w:cs="Times New Roman"/>
          </w:rPr>
          <w:t>https://cites.org/eng/disc/ac_pc.php</w:t>
        </w:r>
      </w:hyperlink>
    </w:p>
    <w:tbl>
      <w:tblPr>
        <w:tblStyle w:val="PlainTable11"/>
        <w:tblW w:w="5000" w:type="pct"/>
        <w:tblLayout w:type="fixed"/>
        <w:tblLook w:val="0400" w:firstRow="0" w:lastRow="0" w:firstColumn="0" w:lastColumn="0" w:noHBand="0" w:noVBand="1"/>
      </w:tblPr>
      <w:tblGrid>
        <w:gridCol w:w="1441"/>
        <w:gridCol w:w="666"/>
        <w:gridCol w:w="797"/>
        <w:gridCol w:w="921"/>
        <w:gridCol w:w="797"/>
        <w:gridCol w:w="538"/>
        <w:gridCol w:w="696"/>
        <w:gridCol w:w="767"/>
        <w:gridCol w:w="800"/>
        <w:gridCol w:w="797"/>
        <w:gridCol w:w="796"/>
      </w:tblGrid>
      <w:tr w:rsidR="009B0448" w:rsidRPr="009B0448" w14:paraId="1A1D51FF"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9639" w:type="dxa"/>
            <w:gridSpan w:val="11"/>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FBFBF" w:themeFill="background1" w:themeFillShade="BF"/>
            <w:hideMark/>
          </w:tcPr>
          <w:p w14:paraId="54ECC3B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Birds</w:t>
            </w:r>
          </w:p>
        </w:tc>
      </w:tr>
      <w:tr w:rsidR="009B0448" w:rsidRPr="009B0448" w14:paraId="656BC012" w14:textId="77777777" w:rsidTr="009B0448">
        <w:trPr>
          <w:trHeight w:val="340"/>
        </w:trPr>
        <w:tc>
          <w:tcPr>
            <w:tcW w:w="1559"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1DF698B" w14:textId="77777777" w:rsidR="009B0448" w:rsidRPr="009B0448" w:rsidRDefault="009B0448">
            <w:pPr>
              <w:spacing w:line="276" w:lineRule="auto"/>
              <w:jc w:val="both"/>
              <w:rPr>
                <w:rFonts w:ascii="Times New Roman" w:hAnsi="Times New Roman" w:cs="Times New Roman"/>
              </w:rPr>
            </w:pPr>
          </w:p>
        </w:tc>
        <w:tc>
          <w:tcPr>
            <w:tcW w:w="1560"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E0E56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Central Africa</w:t>
            </w:r>
          </w:p>
        </w:tc>
        <w:tc>
          <w:tcPr>
            <w:tcW w:w="183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CD1CC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East Africa and adjacent islands</w:t>
            </w:r>
          </w:p>
        </w:tc>
        <w:tc>
          <w:tcPr>
            <w:tcW w:w="130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D4A90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North Africa</w:t>
            </w:r>
          </w:p>
        </w:tc>
        <w:tc>
          <w:tcPr>
            <w:tcW w:w="167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660D2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Southern Africa</w:t>
            </w:r>
          </w:p>
        </w:tc>
        <w:tc>
          <w:tcPr>
            <w:tcW w:w="1701"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1331D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West Africa</w:t>
            </w:r>
          </w:p>
        </w:tc>
      </w:tr>
      <w:tr w:rsidR="009B0448" w:rsidRPr="009B0448" w14:paraId="218E3C8E"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9639" w:type="dxa"/>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1B470F1" w14:textId="77777777" w:rsidR="009B0448" w:rsidRPr="009B0448" w:rsidRDefault="009B0448">
            <w:pPr>
              <w:rPr>
                <w:rFonts w:ascii="Times New Roman" w:hAnsi="Times New Roman" w:cs="Times New Roman"/>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5DB7C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60FCD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D0243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0910B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D4118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B247D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7A88A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D9333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8F19A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D6FC0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r>
      <w:tr w:rsidR="009B0448" w:rsidRPr="009B0448" w14:paraId="3B3A5FEF" w14:textId="77777777" w:rsidTr="009B0448">
        <w:trPr>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B5E20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Appendix I</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AD53E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79911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0.6</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BF67E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10</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021F9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1.51</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83152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10</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CEB09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1.51</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585DD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15505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0.3</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B89CF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6</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6949A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0.91</w:t>
            </w:r>
          </w:p>
        </w:tc>
      </w:tr>
      <w:tr w:rsidR="009B0448" w:rsidRPr="009B0448" w14:paraId="1AA852E4"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7F216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Appendix II</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3039A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130</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E20134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19.49</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908EA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171</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BE03F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25.23</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AB36B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97</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5F848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14.5</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6B9AF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125</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24B57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18.73</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5392B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107</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305E8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16.01</w:t>
            </w:r>
          </w:p>
        </w:tc>
      </w:tr>
      <w:tr w:rsidR="009B0448" w:rsidRPr="009B0448" w14:paraId="2C7DD647" w14:textId="77777777" w:rsidTr="009B0448">
        <w:trPr>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80BE7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Appendix III</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1863B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B6B7C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0.15</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B4312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CE1D9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0.6</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52698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A7059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0.15</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8DFF0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7E21A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0.15</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DD3F7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D946C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0.15</w:t>
            </w:r>
          </w:p>
        </w:tc>
      </w:tr>
      <w:tr w:rsidR="009B0448" w:rsidRPr="009B0448" w14:paraId="57910CBF"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92376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Total</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658EC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134</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22CF5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20.24</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792A3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181</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55C2F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27.34</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24898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107</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BC715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16.16</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55992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127</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E273D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19.18</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83022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113</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F6867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17.07</w:t>
            </w:r>
          </w:p>
        </w:tc>
      </w:tr>
      <w:tr w:rsidR="009B0448" w:rsidRPr="009B0448" w14:paraId="6C3F7F37" w14:textId="77777777" w:rsidTr="009B0448">
        <w:trPr>
          <w:trHeight w:val="260"/>
        </w:trPr>
        <w:tc>
          <w:tcPr>
            <w:tcW w:w="9639" w:type="dxa"/>
            <w:gridSpan w:val="11"/>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FBFBF" w:themeFill="background1" w:themeFillShade="BF"/>
            <w:hideMark/>
          </w:tcPr>
          <w:p w14:paraId="72A2D7D8"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Mammals</w:t>
            </w:r>
          </w:p>
        </w:tc>
      </w:tr>
      <w:tr w:rsidR="009B0448" w:rsidRPr="009B0448" w14:paraId="29B43BE3"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1559"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0043A9" w14:textId="77777777" w:rsidR="009B0448" w:rsidRPr="009B0448" w:rsidRDefault="009B0448">
            <w:pPr>
              <w:spacing w:line="276" w:lineRule="auto"/>
              <w:jc w:val="both"/>
              <w:rPr>
                <w:rFonts w:ascii="Times New Roman" w:hAnsi="Times New Roman" w:cs="Times New Roman"/>
              </w:rPr>
            </w:pPr>
          </w:p>
        </w:tc>
        <w:tc>
          <w:tcPr>
            <w:tcW w:w="1560"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308CC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Central Africa</w:t>
            </w:r>
          </w:p>
        </w:tc>
        <w:tc>
          <w:tcPr>
            <w:tcW w:w="183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9574B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East Africa and adjacent islands</w:t>
            </w:r>
          </w:p>
        </w:tc>
        <w:tc>
          <w:tcPr>
            <w:tcW w:w="130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ABD38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North Africa</w:t>
            </w:r>
          </w:p>
        </w:tc>
        <w:tc>
          <w:tcPr>
            <w:tcW w:w="167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DE67E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Southern Africa</w:t>
            </w:r>
          </w:p>
        </w:tc>
        <w:tc>
          <w:tcPr>
            <w:tcW w:w="1701"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444FB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West Africa</w:t>
            </w:r>
          </w:p>
        </w:tc>
      </w:tr>
      <w:tr w:rsidR="009B0448" w:rsidRPr="009B0448" w14:paraId="730BD161" w14:textId="77777777" w:rsidTr="009B0448">
        <w:trPr>
          <w:trHeight w:val="260"/>
        </w:trPr>
        <w:tc>
          <w:tcPr>
            <w:tcW w:w="9639" w:type="dxa"/>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26A43B8" w14:textId="77777777" w:rsidR="009B0448" w:rsidRPr="009B0448" w:rsidRDefault="009B0448">
            <w:pPr>
              <w:rPr>
                <w:rFonts w:ascii="Times New Roman" w:hAnsi="Times New Roman" w:cs="Times New Roman"/>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B48B9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5AE31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C7AB2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FE967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DE56A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AE0F5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8F66E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6C88A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C2AD5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8060B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r>
      <w:tr w:rsidR="009B0448" w:rsidRPr="009B0448" w14:paraId="0DA15A08"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6C623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Appendix I</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0081B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25</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7D29F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4.5</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C0A6F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86</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D1A28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15.47</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54DE3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21</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DF027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3.78</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6F229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29</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8EE90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5.22</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8D7F4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26</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590F0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4.68</w:t>
            </w:r>
          </w:p>
        </w:tc>
      </w:tr>
      <w:tr w:rsidR="009B0448" w:rsidRPr="009B0448" w14:paraId="59158496" w14:textId="77777777" w:rsidTr="009B0448">
        <w:trPr>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078F0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Appendix II</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06697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97</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07D77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16.55</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E2B33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84</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0353C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14.57</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B0BAC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41</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F934F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6.29</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7199B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74</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22948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12.77</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A844A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73</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5F679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12.41</w:t>
            </w:r>
          </w:p>
        </w:tc>
      </w:tr>
      <w:tr w:rsidR="009B0448" w:rsidRPr="009B0448" w14:paraId="0D378376"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8C56F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Appendix III</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F03D5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5</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6DC14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0.9</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9D24C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999C0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0.54</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044E7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6</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4286A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1.08</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350F6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9C047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0.54</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63DEE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6A7C8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0.72</w:t>
            </w:r>
          </w:p>
        </w:tc>
      </w:tr>
      <w:tr w:rsidR="009B0448" w:rsidRPr="009B0448" w14:paraId="40DBDAFA" w14:textId="77777777" w:rsidTr="009B0448">
        <w:trPr>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BAFF7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Total</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E82C0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122</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EE360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21.94</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9A8AF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170</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D143C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30.58</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22D9C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62</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0A6E8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11.15</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3E2D5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103</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5D703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18.53</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A5D3B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99</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B77A4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17.81</w:t>
            </w:r>
          </w:p>
        </w:tc>
      </w:tr>
      <w:tr w:rsidR="009B0448" w:rsidRPr="009B0448" w14:paraId="562E06F4"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9639" w:type="dxa"/>
            <w:gridSpan w:val="11"/>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FBFBF" w:themeFill="background1" w:themeFillShade="BF"/>
            <w:hideMark/>
          </w:tcPr>
          <w:p w14:paraId="4D6C7E17"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Fishes</w:t>
            </w:r>
          </w:p>
        </w:tc>
      </w:tr>
      <w:tr w:rsidR="009B0448" w:rsidRPr="009B0448" w14:paraId="3804D157" w14:textId="77777777" w:rsidTr="009B0448">
        <w:trPr>
          <w:trHeight w:val="260"/>
        </w:trPr>
        <w:tc>
          <w:tcPr>
            <w:tcW w:w="1559"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CDAD3C" w14:textId="77777777" w:rsidR="009B0448" w:rsidRPr="009B0448" w:rsidRDefault="009B0448">
            <w:pPr>
              <w:spacing w:line="276" w:lineRule="auto"/>
              <w:jc w:val="both"/>
              <w:rPr>
                <w:rFonts w:ascii="Times New Roman" w:hAnsi="Times New Roman" w:cs="Times New Roman"/>
              </w:rPr>
            </w:pPr>
          </w:p>
        </w:tc>
        <w:tc>
          <w:tcPr>
            <w:tcW w:w="1560"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7BB48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Central Africa</w:t>
            </w:r>
          </w:p>
        </w:tc>
        <w:tc>
          <w:tcPr>
            <w:tcW w:w="183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C9A82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East Africa and adjacent islands</w:t>
            </w:r>
          </w:p>
        </w:tc>
        <w:tc>
          <w:tcPr>
            <w:tcW w:w="130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45165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North Africa</w:t>
            </w:r>
          </w:p>
        </w:tc>
        <w:tc>
          <w:tcPr>
            <w:tcW w:w="167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76112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Southern Africa</w:t>
            </w:r>
          </w:p>
        </w:tc>
        <w:tc>
          <w:tcPr>
            <w:tcW w:w="1701"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7C8B9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West Africa</w:t>
            </w:r>
          </w:p>
        </w:tc>
      </w:tr>
      <w:tr w:rsidR="009B0448" w:rsidRPr="009B0448" w14:paraId="4E016C72"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9639" w:type="dxa"/>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BDFBF23" w14:textId="77777777" w:rsidR="009B0448" w:rsidRPr="009B0448" w:rsidRDefault="009B0448">
            <w:pPr>
              <w:rPr>
                <w:rFonts w:ascii="Times New Roman" w:hAnsi="Times New Roman" w:cs="Times New Roman"/>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B474F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F7D3A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7EFEF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09038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3D9472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8B9FC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7D4B6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C21AB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879AB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47868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r>
      <w:tr w:rsidR="009B0448" w:rsidRPr="009B0448" w14:paraId="73CE4ABA" w14:textId="77777777" w:rsidTr="009B0448">
        <w:trPr>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AA251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Appendix I</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5E78E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5094E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2.22</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6C2B3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C3C98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4.44</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164DD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5</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B584E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5.56</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B9650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5</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6634E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5.56</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078C6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A338F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3.33</w:t>
            </w:r>
          </w:p>
        </w:tc>
      </w:tr>
      <w:tr w:rsidR="009B0448" w:rsidRPr="009B0448" w14:paraId="4F1B252D"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15B55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Appendix II</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DA702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9</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0D155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10</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F91CB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18</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CED44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20</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B3363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16</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337DD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17.78</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6FCB9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19</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E15C6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21.11</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A3D13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9</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9ECC9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10</w:t>
            </w:r>
          </w:p>
        </w:tc>
      </w:tr>
      <w:tr w:rsidR="009B0448" w:rsidRPr="009B0448" w14:paraId="50D19D5D" w14:textId="77777777" w:rsidTr="009B0448">
        <w:trPr>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6E204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Total</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D8A04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11</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8999E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12.22</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E167F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22</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5F3C8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24.44</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A235B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21</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FF2FD5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23.33</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EF348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24</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BFD5A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26.67</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730AC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12</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71623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13.33</w:t>
            </w:r>
          </w:p>
        </w:tc>
      </w:tr>
      <w:tr w:rsidR="009B0448" w:rsidRPr="009B0448" w14:paraId="4758489B"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9639" w:type="dxa"/>
            <w:gridSpan w:val="11"/>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FBFBF" w:themeFill="background1" w:themeFillShade="BF"/>
            <w:hideMark/>
          </w:tcPr>
          <w:p w14:paraId="148EDA45"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Amphibians</w:t>
            </w:r>
          </w:p>
        </w:tc>
      </w:tr>
      <w:tr w:rsidR="009B0448" w:rsidRPr="009B0448" w14:paraId="2C37CA6E" w14:textId="77777777" w:rsidTr="009B0448">
        <w:trPr>
          <w:trHeight w:val="260"/>
        </w:trPr>
        <w:tc>
          <w:tcPr>
            <w:tcW w:w="1559"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E63D59" w14:textId="77777777" w:rsidR="009B0448" w:rsidRPr="009B0448" w:rsidRDefault="009B0448">
            <w:pPr>
              <w:spacing w:line="276" w:lineRule="auto"/>
              <w:jc w:val="both"/>
              <w:rPr>
                <w:rFonts w:ascii="Times New Roman" w:hAnsi="Times New Roman" w:cs="Times New Roman"/>
              </w:rPr>
            </w:pPr>
          </w:p>
        </w:tc>
        <w:tc>
          <w:tcPr>
            <w:tcW w:w="1560"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CC4D6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Central Africa</w:t>
            </w:r>
          </w:p>
        </w:tc>
        <w:tc>
          <w:tcPr>
            <w:tcW w:w="183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C272F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East Africa and adjacent islands</w:t>
            </w:r>
          </w:p>
        </w:tc>
        <w:tc>
          <w:tcPr>
            <w:tcW w:w="130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C11B9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North Africa</w:t>
            </w:r>
          </w:p>
        </w:tc>
        <w:tc>
          <w:tcPr>
            <w:tcW w:w="167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4C29A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Southern Africa</w:t>
            </w:r>
          </w:p>
        </w:tc>
        <w:tc>
          <w:tcPr>
            <w:tcW w:w="1701"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E5BAA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West Africa</w:t>
            </w:r>
          </w:p>
        </w:tc>
      </w:tr>
      <w:tr w:rsidR="009B0448" w:rsidRPr="009B0448" w14:paraId="02CE26F0"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9639" w:type="dxa"/>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35DA55D" w14:textId="77777777" w:rsidR="009B0448" w:rsidRPr="009B0448" w:rsidRDefault="009B0448">
            <w:pPr>
              <w:rPr>
                <w:rFonts w:ascii="Times New Roman" w:hAnsi="Times New Roman" w:cs="Times New Roman"/>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9DE4F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6574B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3BE8B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5BE34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2B5EC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E0E54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C8592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10821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5B4ED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EBBD6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r>
      <w:tr w:rsidR="009B0448" w:rsidRPr="009B0448" w14:paraId="476BFF2B" w14:textId="77777777" w:rsidTr="009B0448">
        <w:trPr>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B864B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Appendix I</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FD45D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6CDC7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2.78</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51896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16</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E122B8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44.44</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1BFF4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1E2E7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E8C6D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20466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3A78E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3BE27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5.56</w:t>
            </w:r>
          </w:p>
        </w:tc>
      </w:tr>
      <w:tr w:rsidR="009B0448" w:rsidRPr="009B0448" w14:paraId="28F1CE4D"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28EBD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Appendix II</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EC5B1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6E6B5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A191CC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17</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73051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47.22</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983A8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09EC5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BD82C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4EE1B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35DFA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D1F00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r>
      <w:tr w:rsidR="009B0448" w:rsidRPr="009B0448" w14:paraId="73C24675" w14:textId="77777777" w:rsidTr="009B0448">
        <w:trPr>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843BC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Total</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F56ED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AB425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2.78</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1D0203"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33</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E2F0F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91.67</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43700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0</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2D81C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0</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D882D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0</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2039E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0</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5993C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2</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86283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5.56</w:t>
            </w:r>
          </w:p>
        </w:tc>
      </w:tr>
      <w:tr w:rsidR="009B0448" w:rsidRPr="009B0448" w14:paraId="073EFFBF"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9639" w:type="dxa"/>
            <w:gridSpan w:val="11"/>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BFBFBF" w:themeFill="background1" w:themeFillShade="BF"/>
            <w:hideMark/>
          </w:tcPr>
          <w:p w14:paraId="7F15ED56"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Plants</w:t>
            </w:r>
          </w:p>
        </w:tc>
      </w:tr>
      <w:tr w:rsidR="009B0448" w:rsidRPr="009B0448" w14:paraId="3EC894FE" w14:textId="77777777" w:rsidTr="009B0448">
        <w:trPr>
          <w:trHeight w:val="260"/>
        </w:trPr>
        <w:tc>
          <w:tcPr>
            <w:tcW w:w="1559"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6E5ED79" w14:textId="77777777" w:rsidR="009B0448" w:rsidRPr="009B0448" w:rsidRDefault="009B0448">
            <w:pPr>
              <w:spacing w:line="276" w:lineRule="auto"/>
              <w:jc w:val="both"/>
              <w:rPr>
                <w:rFonts w:ascii="Times New Roman" w:hAnsi="Times New Roman" w:cs="Times New Roman"/>
              </w:rPr>
            </w:pPr>
          </w:p>
        </w:tc>
        <w:tc>
          <w:tcPr>
            <w:tcW w:w="1560"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D3FF7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Central Africa</w:t>
            </w:r>
          </w:p>
        </w:tc>
        <w:tc>
          <w:tcPr>
            <w:tcW w:w="183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FB6CA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East Africa and adjacent islands</w:t>
            </w:r>
          </w:p>
        </w:tc>
        <w:tc>
          <w:tcPr>
            <w:tcW w:w="130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839A3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North Africa</w:t>
            </w:r>
          </w:p>
        </w:tc>
        <w:tc>
          <w:tcPr>
            <w:tcW w:w="1673"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BFB9C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Southern Africa</w:t>
            </w:r>
          </w:p>
        </w:tc>
        <w:tc>
          <w:tcPr>
            <w:tcW w:w="1701"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47991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West Africa</w:t>
            </w:r>
          </w:p>
        </w:tc>
      </w:tr>
      <w:tr w:rsidR="009B0448" w:rsidRPr="009B0448" w14:paraId="4B435610"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9639" w:type="dxa"/>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008B083" w14:textId="77777777" w:rsidR="009B0448" w:rsidRPr="009B0448" w:rsidRDefault="009B0448">
            <w:pPr>
              <w:rPr>
                <w:rFonts w:ascii="Times New Roman" w:hAnsi="Times New Roman" w:cs="Times New Roman"/>
              </w:rPr>
            </w:pP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685C1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A0E72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D050A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B30B2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C0CED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CC9E0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D7066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1D561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7B89F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No.</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67AC2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t>
            </w:r>
          </w:p>
        </w:tc>
      </w:tr>
      <w:tr w:rsidR="009B0448" w:rsidRPr="009B0448" w14:paraId="5E17F159" w14:textId="77777777" w:rsidTr="009B0448">
        <w:trPr>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49891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Appendix I</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1E0D8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7</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FAC95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0.26</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0AF6C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45</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A9368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1.67</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9DF93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6F8056"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0.04</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9B41A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56</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32786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2.08</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423EB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6BF16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0.04</w:t>
            </w:r>
          </w:p>
        </w:tc>
      </w:tr>
      <w:tr w:rsidR="009B0448" w:rsidRPr="009B0448" w14:paraId="6F52BD00"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92DEB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lastRenderedPageBreak/>
              <w:t>Appendix II</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77D8B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254</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C1DF7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9.45</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A5A84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1303</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3658E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48.46</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FE7CE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49</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0A669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1.82</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0F4D7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836</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1B52B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31.09</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417F8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137</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C5AB8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5.09</w:t>
            </w:r>
          </w:p>
        </w:tc>
      </w:tr>
      <w:tr w:rsidR="009B0448" w:rsidRPr="009B0448" w14:paraId="41DB941B" w14:textId="77777777" w:rsidTr="009B0448">
        <w:trPr>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298A1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Appendix III</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A4173B"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1C221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54257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1</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2E3C0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0.04</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C153F9"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BF4E4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2BA774"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C3F1E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24A9F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999AF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0</w:t>
            </w:r>
          </w:p>
        </w:tc>
      </w:tr>
      <w:tr w:rsidR="009B0448" w:rsidRPr="009B0448" w14:paraId="5704AFAC" w14:textId="77777777" w:rsidTr="009B0448">
        <w:trPr>
          <w:cnfStyle w:val="000000100000" w:firstRow="0" w:lastRow="0" w:firstColumn="0" w:lastColumn="0" w:oddVBand="0" w:evenVBand="0" w:oddHBand="1" w:evenHBand="0" w:firstRowFirstColumn="0" w:firstRowLastColumn="0" w:lastRowFirstColumn="0" w:lastRowLastColumn="0"/>
          <w:trHeight w:val="260"/>
        </w:trPr>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CDB27E"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Total</w:t>
            </w:r>
          </w:p>
        </w:tc>
        <w:tc>
          <w:tcPr>
            <w:tcW w:w="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4547B8"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261</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DD1D4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9.71</w:t>
            </w:r>
          </w:p>
        </w:tc>
        <w:tc>
          <w:tcPr>
            <w:tcW w:w="98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BA33C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1349</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60DEC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50.15</w:t>
            </w:r>
          </w:p>
        </w:tc>
        <w:tc>
          <w:tcPr>
            <w:tcW w:w="56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4EC2A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50</w:t>
            </w:r>
          </w:p>
        </w:tc>
        <w:tc>
          <w:tcPr>
            <w:tcW w:w="7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8E0BB0"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1.86</w:t>
            </w:r>
          </w:p>
        </w:tc>
        <w:tc>
          <w:tcPr>
            <w:tcW w:w="8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6306F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892</w:t>
            </w:r>
          </w:p>
        </w:tc>
        <w:tc>
          <w:tcPr>
            <w:tcW w:w="8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0E71F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33.18</w:t>
            </w:r>
          </w:p>
        </w:tc>
        <w:tc>
          <w:tcPr>
            <w:tcW w:w="85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36FAE7"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138</w:t>
            </w:r>
          </w:p>
        </w:tc>
        <w:tc>
          <w:tcPr>
            <w:tcW w:w="8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44588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b/>
              </w:rPr>
              <w:t>5.13</w:t>
            </w:r>
          </w:p>
        </w:tc>
      </w:tr>
    </w:tbl>
    <w:p w14:paraId="69D42CA7" w14:textId="77777777" w:rsidR="009B0448" w:rsidRPr="009B0448" w:rsidRDefault="009B0448" w:rsidP="009B0448">
      <w:pPr>
        <w:spacing w:line="276" w:lineRule="auto"/>
        <w:jc w:val="both"/>
        <w:rPr>
          <w:rFonts w:ascii="Times New Roman" w:hAnsi="Times New Roman" w:cs="Times New Roman"/>
        </w:rPr>
      </w:pPr>
    </w:p>
    <w:p w14:paraId="0BC1F45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Africa is the last remaining refuge for megafauna worldwide, however their populations are at risk. Iconic African fauna such as elephants, hippopotamuses and rhinoceroses are currently restricted to a small percentage of their former ranges as a result of the international ivory trade, habitat loss, political instability, and the difficulties of enforcing anti-poaching laws (Figure 3.3). The figure 3.3 shows the range contractions over time for three iconic African herbivores (</w:t>
      </w:r>
      <w:r w:rsidRPr="009B0448">
        <w:rPr>
          <w:rFonts w:ascii="Times New Roman" w:hAnsi="Times New Roman" w:cs="Times New Roman"/>
          <w:color w:val="222222"/>
          <w:shd w:val="clear" w:color="auto" w:fill="FFFFFF"/>
        </w:rPr>
        <w:t xml:space="preserve">Ripple </w:t>
      </w:r>
      <w:r w:rsidRPr="009B0448">
        <w:rPr>
          <w:rFonts w:ascii="Times New Roman" w:hAnsi="Times New Roman" w:cs="Times New Roman"/>
          <w:i/>
          <w:color w:val="222222"/>
          <w:shd w:val="clear" w:color="auto" w:fill="FFFFFF"/>
        </w:rPr>
        <w:t>et al.</w:t>
      </w:r>
      <w:r w:rsidRPr="009B0448">
        <w:rPr>
          <w:rFonts w:ascii="Times New Roman" w:hAnsi="Times New Roman" w:cs="Times New Roman"/>
          <w:color w:val="222222"/>
          <w:shd w:val="clear" w:color="auto" w:fill="FFFFFF"/>
        </w:rPr>
        <w:t>, 2015</w:t>
      </w:r>
      <w:r w:rsidRPr="009B0448">
        <w:rPr>
          <w:rFonts w:ascii="Times New Roman" w:hAnsi="Times New Roman" w:cs="Times New Roman"/>
        </w:rPr>
        <w:t xml:space="preserve">). Between 2002 and 2011, forest elephant populations declined by 62%. Elephants are now a missing component from more than 75% of existing structurally intact rainforest in Africa where they once played a potentially important ecological role (Maisels </w:t>
      </w:r>
      <w:r w:rsidRPr="009B0448">
        <w:rPr>
          <w:rFonts w:ascii="Times New Roman" w:hAnsi="Times New Roman" w:cs="Times New Roman"/>
          <w:i/>
        </w:rPr>
        <w:t>et al.</w:t>
      </w:r>
      <w:r w:rsidRPr="009B0448">
        <w:rPr>
          <w:rFonts w:ascii="Times New Roman" w:hAnsi="Times New Roman" w:cs="Times New Roman"/>
        </w:rPr>
        <w:t>, 2013). Losing such megafauna from the second most expansive region of tropical forest in the world may have important consequences on local, regional and macro-scales that go beyond the loss of the species itself.</w:t>
      </w:r>
    </w:p>
    <w:p w14:paraId="2AC74FC6" w14:textId="77777777" w:rsidR="009B0448" w:rsidRPr="009B0448" w:rsidRDefault="009B0448" w:rsidP="009B0448">
      <w:pPr>
        <w:spacing w:line="276" w:lineRule="auto"/>
        <w:jc w:val="both"/>
        <w:rPr>
          <w:rFonts w:ascii="Times New Roman" w:hAnsi="Times New Roman" w:cs="Times New Roman"/>
        </w:rPr>
      </w:pPr>
    </w:p>
    <w:p w14:paraId="3B4C322D" w14:textId="5882F5CB"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4AB69DBA" wp14:editId="11A3EB34">
            <wp:extent cx="5684520" cy="3893820"/>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662">
                      <a:extLst>
                        <a:ext uri="{28A0092B-C50C-407E-A947-70E740481C1C}">
                          <a14:useLocalDpi xmlns:a14="http://schemas.microsoft.com/office/drawing/2010/main" val="0"/>
                        </a:ext>
                      </a:extLst>
                    </a:blip>
                    <a:srcRect r="2492"/>
                    <a:stretch>
                      <a:fillRect/>
                    </a:stretch>
                  </pic:blipFill>
                  <pic:spPr bwMode="auto">
                    <a:xfrm>
                      <a:off x="0" y="0"/>
                      <a:ext cx="5684520" cy="3893820"/>
                    </a:xfrm>
                    <a:prstGeom prst="rect">
                      <a:avLst/>
                    </a:prstGeom>
                    <a:noFill/>
                    <a:ln>
                      <a:noFill/>
                    </a:ln>
                  </pic:spPr>
                </pic:pic>
              </a:graphicData>
            </a:graphic>
          </wp:inline>
        </w:drawing>
      </w:r>
    </w:p>
    <w:p w14:paraId="752DBA9E"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Figure 3.3:</w:t>
      </w:r>
      <w:r w:rsidRPr="009B0448">
        <w:rPr>
          <w:rFonts w:ascii="Times New Roman" w:hAnsi="Times New Roman" w:cs="Times New Roman"/>
        </w:rPr>
        <w:t xml:space="preserve"> Range contractions over time for three iconic African herbivores</w:t>
      </w:r>
      <w:r w:rsidRPr="009B0448">
        <w:rPr>
          <w:rFonts w:ascii="Times New Roman" w:hAnsi="Times New Roman" w:cs="Times New Roman"/>
          <w:vertAlign w:val="superscript"/>
        </w:rPr>
        <w:footnoteReference w:id="3"/>
      </w:r>
    </w:p>
    <w:p w14:paraId="765D2A2B" w14:textId="77777777" w:rsidR="009B0448" w:rsidRPr="009B0448" w:rsidRDefault="009B0448" w:rsidP="00FA7185">
      <w:pPr>
        <w:pStyle w:val="111"/>
        <w:numPr>
          <w:ilvl w:val="2"/>
          <w:numId w:val="18"/>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r w:rsidRPr="009B0448">
        <w:rPr>
          <w:rFonts w:cs="Times New Roman"/>
          <w:i w:val="0"/>
          <w:sz w:val="22"/>
          <w:szCs w:val="22"/>
        </w:rPr>
        <w:t xml:space="preserve"> </w:t>
      </w:r>
      <w:bookmarkStart w:id="140" w:name="_Toc503105150"/>
      <w:bookmarkStart w:id="141" w:name="_Toc519499850"/>
      <w:r w:rsidRPr="009B0448">
        <w:rPr>
          <w:rFonts w:cs="Times New Roman"/>
          <w:i w:val="0"/>
          <w:sz w:val="22"/>
          <w:szCs w:val="22"/>
        </w:rPr>
        <w:t>Status of ecosystem components</w:t>
      </w:r>
      <w:bookmarkEnd w:id="140"/>
      <w:bookmarkEnd w:id="141"/>
    </w:p>
    <w:p w14:paraId="6F27ADAD" w14:textId="77777777" w:rsidR="009B0448" w:rsidRPr="009B0448" w:rsidRDefault="009B0448" w:rsidP="009B0448">
      <w:pPr>
        <w:spacing w:line="276" w:lineRule="auto"/>
        <w:jc w:val="both"/>
        <w:rPr>
          <w:rFonts w:ascii="Times New Roman" w:hAnsi="Times New Roman" w:cs="Times New Roman"/>
          <w:color w:val="auto"/>
          <w:lang w:val="en-US"/>
        </w:rPr>
      </w:pPr>
      <w:r w:rsidRPr="009B0448">
        <w:rPr>
          <w:rFonts w:ascii="Times New Roman" w:hAnsi="Times New Roman" w:cs="Times New Roman"/>
          <w:lang w:val="en-US"/>
        </w:rPr>
        <w:t>The African region consists of diverse habitats and ecosystems ranging from equatorial rainforests to grasslands to deserts with unique flora and fauna. This region contains nine of the world’s 35 biodiversity hotspots (Table 3.3; Figure 3.4</w:t>
      </w:r>
      <w:r w:rsidRPr="009B0448">
        <w:rPr>
          <w:rFonts w:ascii="Times New Roman" w:hAnsi="Times New Roman" w:cs="Times New Roman"/>
        </w:rPr>
        <w:t>)</w:t>
      </w:r>
      <w:r w:rsidRPr="009B0448">
        <w:rPr>
          <w:rFonts w:ascii="Times New Roman" w:hAnsi="Times New Roman" w:cs="Times New Roman"/>
          <w:lang w:val="en-US"/>
        </w:rPr>
        <w:t xml:space="preserve"> and has three of the world’s most biologically diverse </w:t>
      </w:r>
      <w:r w:rsidRPr="009B0448">
        <w:rPr>
          <w:rFonts w:ascii="Times New Roman" w:hAnsi="Times New Roman" w:cs="Times New Roman"/>
          <w:lang w:val="en-US"/>
        </w:rPr>
        <w:lastRenderedPageBreak/>
        <w:t>countries (UNEP, 2008, 2013). These are Madagascar, South Africa and the Democratic Republic of Congo. The Ethiopian Highlands are one of the world’s eight major centers of crop diversity (UNEP, 2013). Africa also holds the second largest rainforest (The Congo Basin) in the world after the Amazon. The estimated forest area in Africa was close to 6,750,000 km</w:t>
      </w:r>
      <w:r w:rsidRPr="009B0448">
        <w:rPr>
          <w:rFonts w:ascii="Times New Roman" w:hAnsi="Times New Roman" w:cs="Times New Roman"/>
          <w:vertAlign w:val="superscript"/>
          <w:lang w:val="en-US"/>
        </w:rPr>
        <w:t>2</w:t>
      </w:r>
      <w:r w:rsidRPr="009B0448">
        <w:rPr>
          <w:rFonts w:ascii="Times New Roman" w:hAnsi="Times New Roman" w:cs="Times New Roman"/>
          <w:color w:val="auto"/>
          <w:lang w:val="en-US"/>
        </w:rPr>
        <w:t xml:space="preserve">, accounting for about 17% of global forest area and 23% of the total land area of the region (FAO, 2011). Southern Africa’s wetlands are among the most diverse, both physically and biologically of any in the world (Taylor </w:t>
      </w:r>
      <w:r w:rsidRPr="009B0448">
        <w:rPr>
          <w:rFonts w:ascii="Times New Roman" w:hAnsi="Times New Roman" w:cs="Times New Roman"/>
          <w:i/>
          <w:color w:val="auto"/>
          <w:lang w:val="en-US"/>
        </w:rPr>
        <w:t>et al.</w:t>
      </w:r>
      <w:r w:rsidRPr="009B0448">
        <w:rPr>
          <w:rFonts w:ascii="Times New Roman" w:hAnsi="Times New Roman" w:cs="Times New Roman"/>
          <w:color w:val="auto"/>
          <w:lang w:val="en-US"/>
        </w:rPr>
        <w:t>, 1995).</w:t>
      </w:r>
    </w:p>
    <w:p w14:paraId="603EC201" w14:textId="4AC44408" w:rsidR="009B0448" w:rsidRPr="009B0448" w:rsidRDefault="009B0448" w:rsidP="009B0448">
      <w:pPr>
        <w:spacing w:line="276" w:lineRule="auto"/>
        <w:jc w:val="center"/>
        <w:rPr>
          <w:rFonts w:ascii="Times New Roman" w:hAnsi="Times New Roman" w:cs="Times New Roman"/>
          <w:color w:val="auto"/>
          <w:lang w:val="en-US"/>
        </w:rPr>
      </w:pPr>
      <w:r w:rsidRPr="009B0448">
        <w:rPr>
          <w:rFonts w:ascii="Times New Roman" w:hAnsi="Times New Roman" w:cs="Times New Roman"/>
          <w:noProof/>
          <w:lang w:val="en-ZA"/>
        </w:rPr>
        <w:t xml:space="preserve"> </w:t>
      </w:r>
      <w:r w:rsidRPr="009B0448">
        <w:rPr>
          <w:rFonts w:ascii="Times New Roman" w:hAnsi="Times New Roman" w:cs="Times New Roman"/>
          <w:noProof/>
          <w:lang w:eastAsia="en-GB"/>
        </w:rPr>
        <w:drawing>
          <wp:inline distT="0" distB="0" distL="0" distR="0" wp14:anchorId="5ACDBED0" wp14:editId="282FBF22">
            <wp:extent cx="5737860" cy="6111240"/>
            <wp:effectExtent l="0" t="0" r="0" b="381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737860" cy="6111240"/>
                    </a:xfrm>
                    <a:prstGeom prst="rect">
                      <a:avLst/>
                    </a:prstGeom>
                    <a:noFill/>
                    <a:ln>
                      <a:noFill/>
                    </a:ln>
                  </pic:spPr>
                </pic:pic>
              </a:graphicData>
            </a:graphic>
          </wp:inline>
        </w:drawing>
      </w:r>
    </w:p>
    <w:p w14:paraId="62A57974" w14:textId="77777777" w:rsidR="009B0448" w:rsidRPr="009B0448" w:rsidRDefault="009B0448" w:rsidP="009B0448">
      <w:pPr>
        <w:spacing w:line="276" w:lineRule="auto"/>
        <w:jc w:val="both"/>
        <w:rPr>
          <w:rFonts w:ascii="Times New Roman" w:hAnsi="Times New Roman" w:cs="Times New Roman"/>
          <w:color w:val="auto"/>
          <w:lang w:val="en-US"/>
        </w:rPr>
      </w:pPr>
      <w:r w:rsidRPr="009B0448">
        <w:rPr>
          <w:rFonts w:ascii="Times New Roman" w:hAnsi="Times New Roman" w:cs="Times New Roman"/>
          <w:b/>
          <w:color w:val="auto"/>
          <w:lang w:val="en-US"/>
        </w:rPr>
        <w:t>Figure 3.4:</w:t>
      </w:r>
      <w:r w:rsidRPr="009B0448">
        <w:rPr>
          <w:rFonts w:ascii="Times New Roman" w:hAnsi="Times New Roman" w:cs="Times New Roman"/>
          <w:color w:val="auto"/>
          <w:lang w:val="en-US"/>
        </w:rPr>
        <w:t xml:space="preserve"> Classification of Africa’s relatively stable, vulnerable and critically endangered biological hotspots. Source: UNEP (2013).</w:t>
      </w:r>
    </w:p>
    <w:p w14:paraId="01312FDC" w14:textId="77777777" w:rsidR="009B0448" w:rsidRPr="009B0448" w:rsidRDefault="009B0448" w:rsidP="009B0448">
      <w:pPr>
        <w:spacing w:line="276" w:lineRule="auto"/>
        <w:jc w:val="both"/>
        <w:rPr>
          <w:rFonts w:ascii="Times New Roman" w:hAnsi="Times New Roman" w:cs="Times New Roman"/>
          <w:color w:val="auto"/>
          <w:lang w:val="en-US"/>
        </w:rPr>
      </w:pPr>
    </w:p>
    <w:p w14:paraId="5705C0CB"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color w:val="auto"/>
        </w:rPr>
        <w:t xml:space="preserve">A total of 78 priority sites for important plant areas have been identified within the five North Africa countries in this project. In Algeria, 21 important plant areas have been selected within all the major vegetation zones from sea level to 2,300 metres and they are highly floristically diverse. In Morocco, the 19 important plant areas chosen are 2,500 metres above sea level with associated alpine and sub-alpine vegetation, these sites are also exceptionally rich in endemic species for example Toubkal </w:t>
      </w:r>
      <w:r w:rsidRPr="009B0448">
        <w:rPr>
          <w:rFonts w:ascii="Times New Roman" w:hAnsi="Times New Roman" w:cs="Times New Roman"/>
          <w:color w:val="auto"/>
        </w:rPr>
        <w:lastRenderedPageBreak/>
        <w:t>National Park and Eastern High Atlas Park in the High Atlas mountains. The focus in Tunisia and Egypt has largely been on 13 and 20 important plant areas respectively, and in Libya 5 important plant areas have been selected that represent the coastal belt, mountains and desert region, with a focus on Al Jabal Al Akhdar, the largest important plant area on the Cyrenaican Peninsula which contains 80% of the Libyan flora and is a region of exceptional plant endemism.</w:t>
      </w:r>
    </w:p>
    <w:p w14:paraId="12C21C98" w14:textId="77777777" w:rsidR="009B0448" w:rsidRPr="009B0448" w:rsidRDefault="009B0448" w:rsidP="00FA7185">
      <w:pPr>
        <w:pStyle w:val="111"/>
        <w:numPr>
          <w:ilvl w:val="3"/>
          <w:numId w:val="18"/>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42" w:name="_Toc519499851"/>
      <w:r w:rsidRPr="009B0448">
        <w:rPr>
          <w:rFonts w:cs="Times New Roman"/>
          <w:sz w:val="22"/>
          <w:szCs w:val="22"/>
        </w:rPr>
        <w:t>Protected area status</w:t>
      </w:r>
      <w:bookmarkEnd w:id="142"/>
    </w:p>
    <w:p w14:paraId="3BCFA0ED" w14:textId="133A1A31"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As the availability of natural resources in non-protected areas dwindles due violation of environmental laws (e.g., illegal hunting), the protected areas are becoming the sole remaining repositories of fuel-wood for local communities in and around protected areas, and forage, etc. (UNEP-WCMC, 2016). Unfortunately, protected areas are now becoming a focus for poaching, illegal grazing, fire and fire suppression, invasion of alien species and other human activities tha</w:t>
      </w:r>
      <w:r w:rsidR="00C87E0F">
        <w:rPr>
          <w:rFonts w:ascii="Times New Roman" w:hAnsi="Times New Roman" w:cs="Times New Roman"/>
        </w:rPr>
        <w:t>t affect their sustainability (</w:t>
      </w:r>
      <w:r w:rsidRPr="009B0448">
        <w:rPr>
          <w:rFonts w:ascii="Times New Roman" w:hAnsi="Times New Roman" w:cs="Times New Roman"/>
        </w:rPr>
        <w:t xml:space="preserve">Schulze </w:t>
      </w:r>
      <w:r w:rsidRPr="009B0448">
        <w:rPr>
          <w:rFonts w:ascii="Times New Roman" w:hAnsi="Times New Roman" w:cs="Times New Roman"/>
          <w:i/>
        </w:rPr>
        <w:t>et al.</w:t>
      </w:r>
      <w:r w:rsidRPr="009B0448">
        <w:rPr>
          <w:rFonts w:ascii="Times New Roman" w:hAnsi="Times New Roman" w:cs="Times New Roman"/>
        </w:rPr>
        <w:t xml:space="preserve">, 2018; Table 3.5; Figure 3.5). It is therefore crucial to improve the management effectiveness of the existing protected areas to better cope with the current level of their erosion. Africa has a number of large transboundary ecosystems, which are areas of land or sea that straddle one or more political boundaries. Some are officially protected areas which are of extreme importance for safeguarding the remarkable animal populations of Africa and their habitats. The importance of transboundary protected areas is especially obvious for migratory species. Examples of transboundary protected areas in Africa include Nyungwe forest (Rwanda)/Kibira National Park (Burundi); Mt Elgon national park (Kenya and Uganda) Great Limpopo Transfrontier Park (Mozambique, South Africa, and Zimbabwe); Tri-National Dja-Odzala-Minkébé network of protected areas in Cameroon, Gabon and DRC, and the W-Arly-Pendjari complex in Benin, Burkina Faso and the Niger. </w:t>
      </w:r>
    </w:p>
    <w:p w14:paraId="275D764C" w14:textId="77777777" w:rsidR="009B0448" w:rsidRPr="009B0448" w:rsidRDefault="009B0448" w:rsidP="009B0448">
      <w:pPr>
        <w:spacing w:line="276" w:lineRule="auto"/>
        <w:jc w:val="both"/>
        <w:rPr>
          <w:rFonts w:ascii="Times New Roman" w:hAnsi="Times New Roman" w:cs="Times New Roman"/>
        </w:rPr>
      </w:pPr>
    </w:p>
    <w:p w14:paraId="7A386D76" w14:textId="601A281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Table 3.5:</w:t>
      </w:r>
      <w:r w:rsidRPr="009B0448">
        <w:rPr>
          <w:rFonts w:ascii="Times New Roman" w:hAnsi="Times New Roman" w:cs="Times New Roman"/>
        </w:rPr>
        <w:t xml:space="preserve"> The most frequently reported threats in Afrotropical realm (sub-Saharan Africa) and Palearctic realm (including North Africa). Source: Schulze </w:t>
      </w:r>
      <w:r w:rsidRPr="009B0448">
        <w:rPr>
          <w:rFonts w:ascii="Times New Roman" w:hAnsi="Times New Roman" w:cs="Times New Roman"/>
          <w:i/>
        </w:rPr>
        <w:t>et al.</w:t>
      </w:r>
      <w:r w:rsidRPr="009B0448">
        <w:rPr>
          <w:rFonts w:ascii="Times New Roman" w:hAnsi="Times New Roman" w:cs="Times New Roman"/>
        </w:rPr>
        <w:t xml:space="preserve"> (2018).</w:t>
      </w:r>
    </w:p>
    <w:tbl>
      <w:tblPr>
        <w:tblStyle w:val="PlainTable11"/>
        <w:tblW w:w="5000" w:type="pct"/>
        <w:tblLook w:val="04A0" w:firstRow="1" w:lastRow="0" w:firstColumn="1" w:lastColumn="0" w:noHBand="0" w:noVBand="1"/>
      </w:tblPr>
      <w:tblGrid>
        <w:gridCol w:w="1389"/>
        <w:gridCol w:w="1455"/>
        <w:gridCol w:w="999"/>
        <w:gridCol w:w="1737"/>
        <w:gridCol w:w="1741"/>
        <w:gridCol w:w="1695"/>
      </w:tblGrid>
      <w:tr w:rsidR="009B0448" w:rsidRPr="009B0448" w14:paraId="04B2C069" w14:textId="77777777" w:rsidTr="009B04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CC3C9B" w14:textId="77777777" w:rsidR="009B0448" w:rsidRPr="009B0448" w:rsidRDefault="009B0448">
            <w:pPr>
              <w:spacing w:after="100" w:afterAutospacing="1" w:line="276" w:lineRule="auto"/>
              <w:jc w:val="both"/>
              <w:rPr>
                <w:rFonts w:ascii="Times New Roman" w:hAnsi="Times New Roman" w:cs="Times New Roman"/>
              </w:rPr>
            </w:pPr>
            <w:r w:rsidRPr="009B0448">
              <w:rPr>
                <w:rFonts w:ascii="Times New Roman" w:hAnsi="Times New Roman" w:cs="Times New Roman"/>
              </w:rPr>
              <w:t>Realm</w:t>
            </w:r>
          </w:p>
        </w:tc>
        <w:tc>
          <w:tcPr>
            <w:tcW w:w="15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3DE025" w14:textId="77777777" w:rsidR="009B0448" w:rsidRPr="009B0448" w:rsidRDefault="009B0448">
            <w:pPr>
              <w:spacing w:after="100" w:afterAutospacing="1"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Biome group</w:t>
            </w:r>
          </w:p>
        </w:tc>
        <w:tc>
          <w:tcPr>
            <w:tcW w:w="9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CCE37A" w14:textId="77777777" w:rsidR="009B0448" w:rsidRPr="009B0448" w:rsidRDefault="009B0448">
            <w:pPr>
              <w:spacing w:after="100" w:afterAutospacing="1"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Number of sites</w:t>
            </w:r>
          </w:p>
        </w:tc>
        <w:tc>
          <w:tcPr>
            <w:tcW w:w="18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3F98DB" w14:textId="77777777" w:rsidR="009B0448" w:rsidRPr="009B0448" w:rsidRDefault="009B0448">
            <w:pPr>
              <w:spacing w:after="100" w:afterAutospacing="1"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Most frequently documented threat</w:t>
            </w:r>
          </w:p>
        </w:tc>
        <w:tc>
          <w:tcPr>
            <w:tcW w:w="1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D80C15" w14:textId="77777777" w:rsidR="009B0448" w:rsidRPr="009B0448" w:rsidRDefault="009B0448">
            <w:pPr>
              <w:spacing w:after="100" w:afterAutospacing="1"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w:t>
            </w:r>
            <w:r w:rsidRPr="009B0448">
              <w:rPr>
                <w:rFonts w:ascii="Times New Roman" w:hAnsi="Times New Roman" w:cs="Times New Roman"/>
                <w:vertAlign w:val="superscript"/>
              </w:rPr>
              <w:t>nd</w:t>
            </w:r>
            <w:r w:rsidRPr="009B0448">
              <w:rPr>
                <w:rFonts w:ascii="Times New Roman" w:hAnsi="Times New Roman" w:cs="Times New Roman"/>
              </w:rPr>
              <w:t xml:space="preserve"> most frequently documented threat</w:t>
            </w:r>
          </w:p>
        </w:tc>
        <w:tc>
          <w:tcPr>
            <w:tcW w:w="15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546BA8" w14:textId="77777777" w:rsidR="009B0448" w:rsidRPr="009B0448" w:rsidRDefault="009B0448">
            <w:pPr>
              <w:spacing w:after="100" w:afterAutospacing="1"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w:t>
            </w:r>
            <w:r w:rsidRPr="009B0448">
              <w:rPr>
                <w:rFonts w:ascii="Times New Roman" w:hAnsi="Times New Roman" w:cs="Times New Roman"/>
                <w:vertAlign w:val="superscript"/>
              </w:rPr>
              <w:t>rd</w:t>
            </w:r>
            <w:r w:rsidRPr="009B0448">
              <w:rPr>
                <w:rFonts w:ascii="Times New Roman" w:hAnsi="Times New Roman" w:cs="Times New Roman"/>
              </w:rPr>
              <w:t xml:space="preserve"> most frequently documented threat</w:t>
            </w:r>
          </w:p>
        </w:tc>
      </w:tr>
      <w:tr w:rsidR="009B0448" w:rsidRPr="009B0448" w14:paraId="7D6F1C25"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8C2E58" w14:textId="77777777" w:rsidR="009B0448" w:rsidRPr="009B0448" w:rsidRDefault="009B0448">
            <w:pPr>
              <w:spacing w:after="100" w:afterAutospacing="1" w:line="276" w:lineRule="auto"/>
              <w:jc w:val="both"/>
              <w:rPr>
                <w:rFonts w:ascii="Times New Roman" w:hAnsi="Times New Roman" w:cs="Times New Roman"/>
              </w:rPr>
            </w:pPr>
            <w:r w:rsidRPr="009B0448">
              <w:rPr>
                <w:rFonts w:ascii="Times New Roman" w:hAnsi="Times New Roman" w:cs="Times New Roman"/>
              </w:rPr>
              <w:t>Palearctic</w:t>
            </w:r>
          </w:p>
        </w:tc>
        <w:tc>
          <w:tcPr>
            <w:tcW w:w="15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DADAA3"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Non-tropical forest</w:t>
            </w:r>
          </w:p>
        </w:tc>
        <w:tc>
          <w:tcPr>
            <w:tcW w:w="9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B024B93"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479</w:t>
            </w:r>
          </w:p>
        </w:tc>
        <w:tc>
          <w:tcPr>
            <w:tcW w:w="18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1A0E43"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Recreational activities</w:t>
            </w:r>
          </w:p>
        </w:tc>
        <w:tc>
          <w:tcPr>
            <w:tcW w:w="1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A1DB3D"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Hunting and collecting terrestrial animals</w:t>
            </w:r>
          </w:p>
        </w:tc>
        <w:tc>
          <w:tcPr>
            <w:tcW w:w="15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645DCC"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Dams and water management/use</w:t>
            </w:r>
          </w:p>
        </w:tc>
      </w:tr>
      <w:tr w:rsidR="009B0448" w:rsidRPr="009B0448" w14:paraId="034EB099" w14:textId="77777777" w:rsidTr="009B0448">
        <w:tc>
          <w:tcPr>
            <w:cnfStyle w:val="001000000000" w:firstRow="0" w:lastRow="0" w:firstColumn="1" w:lastColumn="0" w:oddVBand="0" w:evenVBand="0" w:oddHBand="0" w:evenHBand="0" w:firstRowFirstColumn="0" w:firstRowLastColumn="0" w:lastRowFirstColumn="0" w:lastRowLastColumn="0"/>
            <w:tcW w:w="13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97AAC2" w14:textId="77777777" w:rsidR="009B0448" w:rsidRPr="009B0448" w:rsidRDefault="009B0448">
            <w:pPr>
              <w:spacing w:after="100" w:afterAutospacing="1" w:line="276" w:lineRule="auto"/>
              <w:jc w:val="both"/>
              <w:rPr>
                <w:rFonts w:ascii="Times New Roman" w:hAnsi="Times New Roman" w:cs="Times New Roman"/>
              </w:rPr>
            </w:pPr>
            <w:r w:rsidRPr="009B0448">
              <w:rPr>
                <w:rFonts w:ascii="Times New Roman" w:hAnsi="Times New Roman" w:cs="Times New Roman"/>
              </w:rPr>
              <w:t>Palearctic</w:t>
            </w:r>
          </w:p>
        </w:tc>
        <w:tc>
          <w:tcPr>
            <w:tcW w:w="15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7E9CEF" w14:textId="77777777" w:rsidR="009B0448" w:rsidRPr="009B0448" w:rsidRDefault="009B0448">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Non-tropical savannahs, shrub-and grasslands</w:t>
            </w:r>
          </w:p>
        </w:tc>
        <w:tc>
          <w:tcPr>
            <w:tcW w:w="9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574919" w14:textId="77777777" w:rsidR="009B0448" w:rsidRPr="009B0448" w:rsidRDefault="009B0448">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51</w:t>
            </w:r>
          </w:p>
        </w:tc>
        <w:tc>
          <w:tcPr>
            <w:tcW w:w="18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9C40D7" w14:textId="77777777" w:rsidR="009B0448" w:rsidRPr="009B0448" w:rsidRDefault="009B0448">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Recreational activities</w:t>
            </w:r>
          </w:p>
        </w:tc>
        <w:tc>
          <w:tcPr>
            <w:tcW w:w="1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703C37" w14:textId="77777777" w:rsidR="009B0448" w:rsidRPr="009B0448" w:rsidRDefault="009B0448">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Hunting and collecting terrestrial animals</w:t>
            </w:r>
          </w:p>
        </w:tc>
        <w:tc>
          <w:tcPr>
            <w:tcW w:w="15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C2E818" w14:textId="77777777" w:rsidR="009B0448" w:rsidRPr="009B0448" w:rsidRDefault="009B0448">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Livestock Farming and Ranching</w:t>
            </w:r>
          </w:p>
        </w:tc>
      </w:tr>
      <w:tr w:rsidR="009B0448" w:rsidRPr="009B0448" w14:paraId="13D5E304"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D982D1" w14:textId="77777777" w:rsidR="009B0448" w:rsidRPr="009B0448" w:rsidRDefault="009B0448">
            <w:pPr>
              <w:spacing w:after="100" w:afterAutospacing="1" w:line="276" w:lineRule="auto"/>
              <w:jc w:val="both"/>
              <w:rPr>
                <w:rFonts w:ascii="Times New Roman" w:hAnsi="Times New Roman" w:cs="Times New Roman"/>
              </w:rPr>
            </w:pPr>
            <w:r w:rsidRPr="009B0448">
              <w:rPr>
                <w:rFonts w:ascii="Times New Roman" w:hAnsi="Times New Roman" w:cs="Times New Roman"/>
              </w:rPr>
              <w:t>Afrotropical</w:t>
            </w:r>
          </w:p>
        </w:tc>
        <w:tc>
          <w:tcPr>
            <w:tcW w:w="15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7C96B2"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Tropical forests</w:t>
            </w:r>
          </w:p>
        </w:tc>
        <w:tc>
          <w:tcPr>
            <w:tcW w:w="9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AE0481"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150</w:t>
            </w:r>
          </w:p>
        </w:tc>
        <w:tc>
          <w:tcPr>
            <w:tcW w:w="18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EF9A8A"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Hunting and collecting terrestrial animals</w:t>
            </w:r>
          </w:p>
        </w:tc>
        <w:tc>
          <w:tcPr>
            <w:tcW w:w="1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085328"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Gathering</w:t>
            </w:r>
          </w:p>
        </w:tc>
        <w:tc>
          <w:tcPr>
            <w:tcW w:w="15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6B1A1E"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Logging and wood harvesting</w:t>
            </w:r>
          </w:p>
        </w:tc>
      </w:tr>
      <w:tr w:rsidR="009B0448" w:rsidRPr="009B0448" w14:paraId="1760FCFF" w14:textId="77777777" w:rsidTr="009B0448">
        <w:tc>
          <w:tcPr>
            <w:cnfStyle w:val="001000000000" w:firstRow="0" w:lastRow="0" w:firstColumn="1" w:lastColumn="0" w:oddVBand="0" w:evenVBand="0" w:oddHBand="0" w:evenHBand="0" w:firstRowFirstColumn="0" w:firstRowLastColumn="0" w:lastRowFirstColumn="0" w:lastRowLastColumn="0"/>
            <w:tcW w:w="13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72DC6F" w14:textId="77777777" w:rsidR="009B0448" w:rsidRPr="009B0448" w:rsidRDefault="009B0448">
            <w:pPr>
              <w:spacing w:after="100" w:afterAutospacing="1" w:line="276" w:lineRule="auto"/>
              <w:jc w:val="both"/>
              <w:rPr>
                <w:rFonts w:ascii="Times New Roman" w:hAnsi="Times New Roman" w:cs="Times New Roman"/>
              </w:rPr>
            </w:pPr>
            <w:r w:rsidRPr="009B0448">
              <w:rPr>
                <w:rFonts w:ascii="Times New Roman" w:hAnsi="Times New Roman" w:cs="Times New Roman"/>
              </w:rPr>
              <w:t>Afrotropical</w:t>
            </w:r>
          </w:p>
        </w:tc>
        <w:tc>
          <w:tcPr>
            <w:tcW w:w="15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7F48D8" w14:textId="77777777" w:rsidR="009B0448" w:rsidRPr="009B0448" w:rsidRDefault="009B0448">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Non-tropical savannas, shrub- and grasslands</w:t>
            </w:r>
          </w:p>
        </w:tc>
        <w:tc>
          <w:tcPr>
            <w:tcW w:w="9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1A5AFC" w14:textId="77777777" w:rsidR="009B0448" w:rsidRPr="009B0448" w:rsidRDefault="009B0448">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22</w:t>
            </w:r>
          </w:p>
        </w:tc>
        <w:tc>
          <w:tcPr>
            <w:tcW w:w="18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21718E" w14:textId="77777777" w:rsidR="009B0448" w:rsidRPr="009B0448" w:rsidRDefault="009B0448">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Invasive non-native/ alien species/ disease</w:t>
            </w:r>
          </w:p>
        </w:tc>
        <w:tc>
          <w:tcPr>
            <w:tcW w:w="1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0E1FAA" w14:textId="77777777" w:rsidR="009B0448" w:rsidRPr="009B0448" w:rsidRDefault="009B0448">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Fire and fire suppression</w:t>
            </w:r>
          </w:p>
        </w:tc>
        <w:tc>
          <w:tcPr>
            <w:tcW w:w="15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E196C0" w14:textId="77777777" w:rsidR="009B0448" w:rsidRPr="009B0448" w:rsidRDefault="009B0448">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Recreational activities</w:t>
            </w:r>
          </w:p>
        </w:tc>
      </w:tr>
      <w:tr w:rsidR="009B0448" w:rsidRPr="009B0448" w14:paraId="39280CFB"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D693C8" w14:textId="77777777" w:rsidR="009B0448" w:rsidRPr="009B0448" w:rsidRDefault="009B0448">
            <w:pPr>
              <w:spacing w:after="100" w:afterAutospacing="1" w:line="276" w:lineRule="auto"/>
              <w:jc w:val="both"/>
              <w:rPr>
                <w:rFonts w:ascii="Times New Roman" w:hAnsi="Times New Roman" w:cs="Times New Roman"/>
              </w:rPr>
            </w:pPr>
            <w:r w:rsidRPr="009B0448">
              <w:rPr>
                <w:rFonts w:ascii="Times New Roman" w:hAnsi="Times New Roman" w:cs="Times New Roman"/>
              </w:rPr>
              <w:lastRenderedPageBreak/>
              <w:t>Afrotropical</w:t>
            </w:r>
          </w:p>
        </w:tc>
        <w:tc>
          <w:tcPr>
            <w:tcW w:w="15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F054FF"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Mangroves</w:t>
            </w:r>
          </w:p>
        </w:tc>
        <w:tc>
          <w:tcPr>
            <w:tcW w:w="99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F97F80"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w:t>
            </w:r>
          </w:p>
        </w:tc>
        <w:tc>
          <w:tcPr>
            <w:tcW w:w="184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9D0234"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Fishing and harvesting aquatic resources</w:t>
            </w:r>
          </w:p>
        </w:tc>
        <w:tc>
          <w:tcPr>
            <w:tcW w:w="18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6A6148"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Hunting and collecting terrestrial animals</w:t>
            </w:r>
          </w:p>
        </w:tc>
        <w:tc>
          <w:tcPr>
            <w:tcW w:w="15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22B935" w14:textId="77777777" w:rsidR="009B0448" w:rsidRPr="009B0448" w:rsidRDefault="009B0448">
            <w:pPr>
              <w:spacing w:after="100" w:afterAutospacing="1"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Gathering terrestrial plants</w:t>
            </w:r>
          </w:p>
        </w:tc>
      </w:tr>
    </w:tbl>
    <w:p w14:paraId="5086D439" w14:textId="77777777" w:rsidR="009B0448" w:rsidRPr="009B0448" w:rsidRDefault="009B0448" w:rsidP="009B0448">
      <w:pPr>
        <w:rPr>
          <w:rFonts w:ascii="Times New Roman" w:hAnsi="Times New Roman" w:cs="Times New Roman"/>
        </w:rPr>
      </w:pPr>
    </w:p>
    <w:p w14:paraId="5F885CC8" w14:textId="09CA5B46" w:rsidR="009B0448" w:rsidRPr="009B0448" w:rsidRDefault="009B0448" w:rsidP="009B0448">
      <w:pPr>
        <w:spacing w:line="276" w:lineRule="auto"/>
        <w:jc w:val="both"/>
        <w:rPr>
          <w:rFonts w:ascii="Times New Roman" w:hAnsi="Times New Roman" w:cs="Times New Roman"/>
          <w:noProof/>
          <w:lang w:val="en-ZA"/>
        </w:rPr>
      </w:pPr>
      <w:r w:rsidRPr="009B0448">
        <w:rPr>
          <w:rFonts w:ascii="Times New Roman" w:hAnsi="Times New Roman" w:cs="Times New Roman"/>
          <w:noProof/>
          <w:lang w:val="en-ZA"/>
        </w:rPr>
        <w:t xml:space="preserve"> </w:t>
      </w:r>
      <w:r w:rsidRPr="009B0448">
        <w:rPr>
          <w:rFonts w:ascii="Times New Roman" w:hAnsi="Times New Roman" w:cs="Times New Roman"/>
          <w:noProof/>
          <w:lang w:eastAsia="en-GB"/>
        </w:rPr>
        <w:drawing>
          <wp:inline distT="0" distB="0" distL="0" distR="0" wp14:anchorId="221E0E07" wp14:editId="2A152F75">
            <wp:extent cx="5737860" cy="3794760"/>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737860" cy="3794760"/>
                    </a:xfrm>
                    <a:prstGeom prst="rect">
                      <a:avLst/>
                    </a:prstGeom>
                    <a:noFill/>
                    <a:ln>
                      <a:noFill/>
                    </a:ln>
                  </pic:spPr>
                </pic:pic>
              </a:graphicData>
            </a:graphic>
          </wp:inline>
        </w:drawing>
      </w:r>
    </w:p>
    <w:p w14:paraId="0D5C48D7" w14:textId="77777777" w:rsidR="009B0448" w:rsidRPr="009B0448" w:rsidRDefault="009B0448" w:rsidP="009B0448">
      <w:pPr>
        <w:spacing w:line="276" w:lineRule="auto"/>
        <w:jc w:val="both"/>
        <w:rPr>
          <w:rFonts w:ascii="Times New Roman" w:hAnsi="Times New Roman" w:cs="Times New Roman"/>
          <w:noProof/>
          <w:lang w:val="en-ZA"/>
        </w:rPr>
      </w:pPr>
    </w:p>
    <w:p w14:paraId="28630DF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eastAsia="Times New Roman" w:hAnsi="Times New Roman" w:cs="Times New Roman"/>
          <w:b/>
        </w:rPr>
        <w:t>Figure 3.5:</w:t>
      </w:r>
      <w:r w:rsidRPr="009B0448">
        <w:rPr>
          <w:rFonts w:ascii="Times New Roman" w:eastAsia="Times New Roman" w:hAnsi="Times New Roman" w:cs="Times New Roman"/>
        </w:rPr>
        <w:t xml:space="preserve"> Ranked frequency of threats across protected areas. Source: Schulze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(2018).</w:t>
      </w:r>
    </w:p>
    <w:p w14:paraId="7B1B767F" w14:textId="77777777" w:rsidR="009B0448" w:rsidRPr="009B0448" w:rsidRDefault="009B0448" w:rsidP="00FA7185">
      <w:pPr>
        <w:pStyle w:val="111"/>
        <w:numPr>
          <w:ilvl w:val="2"/>
          <w:numId w:val="18"/>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143" w:name="_Toc503105151"/>
      <w:bookmarkStart w:id="144" w:name="_Toc519499852"/>
      <w:r w:rsidRPr="009B0448">
        <w:rPr>
          <w:rFonts w:cs="Times New Roman"/>
          <w:i w:val="0"/>
          <w:sz w:val="22"/>
          <w:szCs w:val="22"/>
        </w:rPr>
        <w:t>Broad temporal trends in biodiversity and ecosystem components</w:t>
      </w:r>
      <w:bookmarkEnd w:id="143"/>
      <w:bookmarkEnd w:id="144"/>
    </w:p>
    <w:p w14:paraId="679DE80F" w14:textId="77777777" w:rsid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Africa is rapidly losing its biodiversity due to uncontrolled exploitation and fragmentation of natural habitats (UNEP, 2013). Africa’s Living Planet Index shows an overall reduction of 39% invertebrate abundances between 1970 and 2008 (WWF, 2012). This is higher than the estimated loss rates globally (30%) but much lower than the 59% loss across the tropics. Loss of biodiversity in Africa is occurring fastest in the species-rich forest zones, including Western and Central Africa and Madagascar (Craigie </w:t>
      </w:r>
      <w:r w:rsidRPr="009B0448">
        <w:rPr>
          <w:rFonts w:ascii="Times New Roman" w:hAnsi="Times New Roman" w:cs="Times New Roman"/>
          <w:i/>
        </w:rPr>
        <w:t>et al.</w:t>
      </w:r>
      <w:r w:rsidRPr="009B0448">
        <w:rPr>
          <w:rFonts w:ascii="Times New Roman" w:hAnsi="Times New Roman" w:cs="Times New Roman"/>
        </w:rPr>
        <w:t>, 2010). Impacts on smaller species, including invertebrates and rodents, are relatively unknown.</w:t>
      </w:r>
    </w:p>
    <w:p w14:paraId="492394AA" w14:textId="77777777" w:rsidR="007460EE" w:rsidRPr="009B0448" w:rsidRDefault="007460EE" w:rsidP="009B0448">
      <w:pPr>
        <w:spacing w:line="276" w:lineRule="auto"/>
        <w:jc w:val="both"/>
        <w:rPr>
          <w:rFonts w:ascii="Times New Roman" w:hAnsi="Times New Roman" w:cs="Times New Roman"/>
        </w:rPr>
      </w:pPr>
    </w:p>
    <w:p w14:paraId="2FDC8674"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Ecosystems in the African regions are also declining rapidly. Over 3 million hectares of natural habitat are converted for other uses each year (COMIFAC, 2011). From 1990 to 2015, Africa has experienced the biggest forest area loss compared to the rest of the world except South America. The rate of forest loss in Africa has decreased substantially in the past five years, and average per capita forest area declined from 0.8</w:t>
      </w:r>
      <w:r w:rsidRPr="009B0448">
        <w:rPr>
          <w:rFonts w:ascii="Times New Roman" w:eastAsia="Times New Roman" w:hAnsi="Times New Roman" w:cs="Times New Roman"/>
        </w:rPr>
        <w:t xml:space="preserve"> to </w:t>
      </w:r>
      <w:r w:rsidRPr="009B0448">
        <w:rPr>
          <w:rFonts w:ascii="Times New Roman" w:hAnsi="Times New Roman" w:cs="Times New Roman"/>
        </w:rPr>
        <w:t xml:space="preserve">0.6 hectare/person (FAO, 2015a). Freshwater ecosystems, which provide the sole habitats for rich, endemic, and sensitive biota, and supply food and water to millions of people in Africa, are currently threatened by dams’ constructions, unsustainable harvesting, wetland drainage for agriculture, invasive species and pollution that have resulted in degradation of these ecosystems continent-wide (Strayer </w:t>
      </w:r>
      <w:r w:rsidRPr="009B0448">
        <w:rPr>
          <w:rFonts w:ascii="Times New Roman" w:hAnsi="Times New Roman" w:cs="Times New Roman"/>
          <w:i/>
        </w:rPr>
        <w:t>et al.</w:t>
      </w:r>
      <w:r w:rsidRPr="009B0448">
        <w:rPr>
          <w:rFonts w:ascii="Times New Roman" w:hAnsi="Times New Roman" w:cs="Times New Roman"/>
        </w:rPr>
        <w:t xml:space="preserve">, 2010). </w:t>
      </w:r>
    </w:p>
    <w:p w14:paraId="3A1EE569" w14:textId="77777777" w:rsidR="009B0448" w:rsidRPr="009B0448" w:rsidRDefault="009B0448" w:rsidP="009B0448">
      <w:pPr>
        <w:spacing w:line="276" w:lineRule="auto"/>
        <w:jc w:val="both"/>
        <w:rPr>
          <w:rFonts w:ascii="Times New Roman" w:hAnsi="Times New Roman" w:cs="Times New Roman"/>
        </w:rPr>
      </w:pPr>
    </w:p>
    <w:p w14:paraId="4E53BBBE"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lastRenderedPageBreak/>
        <w:t xml:space="preserve">Studies suggest that climatic changes are already having negative impacts on ecosystems in Africa with altered rainfall patterns and temperature regimes (Chapter 4; section 4.2.2.2). Models predict future changes especially in the drier habitats of Africa including Northeast Africa, the West Sahel, and Southwest Africa (UNEP-WCMC, 2016). Africa’s coral reefs in the Indian Ocean experienced massive bleaching in 1998, and again in 2016 as a result of extreme ocean warming events resulting in over 50% reef mortality in some regions (Obura, 2016). Damage to coral reef systems has far-reaching implications for fisheries, food security, tourism and overall marine biodiversity. </w:t>
      </w:r>
    </w:p>
    <w:p w14:paraId="7D56569D" w14:textId="77777777" w:rsidR="009B0448" w:rsidRPr="009B0448" w:rsidRDefault="009B0448" w:rsidP="00FA7185">
      <w:pPr>
        <w:pStyle w:val="111"/>
        <w:numPr>
          <w:ilvl w:val="3"/>
          <w:numId w:val="18"/>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45" w:name="_Toc519499853"/>
      <w:r w:rsidRPr="009B0448">
        <w:rPr>
          <w:rFonts w:cs="Times New Roman"/>
          <w:sz w:val="22"/>
          <w:szCs w:val="22"/>
        </w:rPr>
        <w:t>Protected area trends</w:t>
      </w:r>
      <w:bookmarkEnd w:id="145"/>
    </w:p>
    <w:p w14:paraId="7445C922"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lang w:val="en-US"/>
        </w:rPr>
        <w:t>In total, Africa contains 8,338 protected areas totaling 4,704,013 km</w:t>
      </w:r>
      <w:r w:rsidRPr="009B0448">
        <w:rPr>
          <w:rFonts w:ascii="Times New Roman" w:hAnsi="Times New Roman" w:cs="Times New Roman"/>
          <w:vertAlign w:val="superscript"/>
          <w:lang w:val="en-US"/>
        </w:rPr>
        <w:t>2</w:t>
      </w:r>
      <w:r w:rsidRPr="009B0448">
        <w:rPr>
          <w:rFonts w:ascii="Times New Roman" w:hAnsi="Times New Roman" w:cs="Times New Roman"/>
          <w:lang w:val="en-US"/>
        </w:rPr>
        <w:t xml:space="preserve"> of which 4,358,096 km</w:t>
      </w:r>
      <w:r w:rsidRPr="009B0448">
        <w:rPr>
          <w:rFonts w:ascii="Times New Roman" w:hAnsi="Times New Roman" w:cs="Times New Roman"/>
          <w:vertAlign w:val="superscript"/>
          <w:lang w:val="en-US"/>
        </w:rPr>
        <w:t>2</w:t>
      </w:r>
      <w:r w:rsidRPr="009B0448">
        <w:rPr>
          <w:rFonts w:ascii="Times New Roman" w:hAnsi="Times New Roman" w:cs="Times New Roman"/>
          <w:lang w:val="en-US"/>
        </w:rPr>
        <w:t xml:space="preserve"> is terrestrial and 345,917 km</w:t>
      </w:r>
      <w:r w:rsidRPr="009B0448">
        <w:rPr>
          <w:rFonts w:ascii="Times New Roman" w:hAnsi="Times New Roman" w:cs="Times New Roman"/>
          <w:vertAlign w:val="superscript"/>
          <w:lang w:val="en-US"/>
        </w:rPr>
        <w:t xml:space="preserve">2 </w:t>
      </w:r>
      <w:r w:rsidRPr="009B0448">
        <w:rPr>
          <w:rFonts w:ascii="Times New Roman" w:hAnsi="Times New Roman" w:cs="Times New Roman"/>
          <w:lang w:val="en-US"/>
        </w:rPr>
        <w:t xml:space="preserve">marine (UNEP-WCMC </w:t>
      </w:r>
      <w:r w:rsidRPr="009B0448">
        <w:rPr>
          <w:rFonts w:ascii="Times New Roman" w:hAnsi="Times New Roman" w:cs="Times New Roman"/>
          <w:i/>
          <w:lang w:val="en-US"/>
        </w:rPr>
        <w:t>et al</w:t>
      </w:r>
      <w:r w:rsidRPr="009B0448">
        <w:rPr>
          <w:rFonts w:ascii="Times New Roman" w:hAnsi="Times New Roman" w:cs="Times New Roman"/>
          <w:lang w:val="en-US"/>
        </w:rPr>
        <w:t>., 2017).</w:t>
      </w:r>
      <w:r w:rsidRPr="009B0448">
        <w:rPr>
          <w:rFonts w:ascii="Times New Roman" w:hAnsi="Times New Roman" w:cs="Times New Roman"/>
        </w:rPr>
        <w:t xml:space="preserve"> Much effort has recently gone into designating new protected areas in Africa with the hope of saving areas of crucial importance for biodiversity conservation (UNEP-WCMC, 2008). </w:t>
      </w:r>
    </w:p>
    <w:p w14:paraId="3442002F" w14:textId="77777777" w:rsidR="009B0448" w:rsidRPr="009B0448" w:rsidRDefault="009B0448" w:rsidP="009B0448">
      <w:pPr>
        <w:spacing w:line="276" w:lineRule="auto"/>
        <w:jc w:val="both"/>
        <w:rPr>
          <w:rFonts w:ascii="Times New Roman" w:hAnsi="Times New Roman" w:cs="Times New Roman"/>
        </w:rPr>
      </w:pPr>
    </w:p>
    <w:p w14:paraId="630DD507" w14:textId="6FF3B429"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color w:val="auto"/>
        </w:rPr>
        <w:t xml:space="preserve">The first Indigenous and Community Conserved Area (ICCA) included Conservancies in Zimbabwe, Namibia, Kenya and South-Africa, and their main benefits for local people were from non-consumptive tourism. Now, there are more and more community-based management areas, included (or not) in the category VI of IUCN, oriented towards sustainable use of natural resources (Aubertin </w:t>
      </w:r>
      <w:r w:rsidRPr="009B0448">
        <w:rPr>
          <w:rFonts w:ascii="Times New Roman" w:hAnsi="Times New Roman" w:cs="Times New Roman"/>
          <w:i/>
          <w:color w:val="auto"/>
        </w:rPr>
        <w:t>et al.</w:t>
      </w:r>
      <w:r w:rsidRPr="009B0448">
        <w:rPr>
          <w:rFonts w:ascii="Times New Roman" w:hAnsi="Times New Roman" w:cs="Times New Roman"/>
          <w:color w:val="auto"/>
        </w:rPr>
        <w:t xml:space="preserve">, 2011). For instance, in Casamance, Senegal, the ICCA of the Rural Community of Mangagoulack, created in 2004, known as </w:t>
      </w:r>
      <w:r w:rsidRPr="009B0448">
        <w:rPr>
          <w:rFonts w:ascii="Times New Roman" w:hAnsi="Times New Roman" w:cs="Times New Roman"/>
          <w:i/>
          <w:color w:val="auto"/>
        </w:rPr>
        <w:t>Kapoye Wafwolale Wata Nanang</w:t>
      </w:r>
      <w:r w:rsidR="00250F13">
        <w:rPr>
          <w:rFonts w:ascii="Times New Roman" w:hAnsi="Times New Roman" w:cs="Times New Roman"/>
          <w:color w:val="auto"/>
        </w:rPr>
        <w:t xml:space="preserve"> (a joola expression meaning ‘</w:t>
      </w:r>
      <w:r w:rsidRPr="009B0448">
        <w:rPr>
          <w:rFonts w:ascii="Times New Roman" w:hAnsi="Times New Roman" w:cs="Times New Roman"/>
          <w:color w:val="auto"/>
        </w:rPr>
        <w:t>Our heritage, for us all to preserve</w:t>
      </w:r>
      <w:r w:rsidR="00250F13">
        <w:rPr>
          <w:rFonts w:ascii="Times New Roman" w:hAnsi="Times New Roman" w:cs="Times New Roman"/>
          <w:color w:val="auto"/>
        </w:rPr>
        <w:t>’</w:t>
      </w:r>
      <w:r w:rsidRPr="009B0448">
        <w:rPr>
          <w:rFonts w:ascii="Times New Roman" w:hAnsi="Times New Roman" w:cs="Times New Roman"/>
          <w:color w:val="auto"/>
        </w:rPr>
        <w:t>) is oriented towards sustainable use of the mangrove forests and rivers to the benefit of the local fishers and directly managed by them(Cormier-Salem, 2014).</w:t>
      </w:r>
    </w:p>
    <w:p w14:paraId="24B25219" w14:textId="77777777" w:rsidR="009B0448" w:rsidRPr="009B0448" w:rsidRDefault="009B0448" w:rsidP="009B0448">
      <w:pPr>
        <w:spacing w:line="276" w:lineRule="auto"/>
        <w:jc w:val="both"/>
        <w:rPr>
          <w:rFonts w:ascii="Times New Roman" w:hAnsi="Times New Roman" w:cs="Times New Roman"/>
          <w:color w:val="auto"/>
        </w:rPr>
      </w:pPr>
    </w:p>
    <w:p w14:paraId="680459C7" w14:textId="5C6B6D7B" w:rsidR="009B0448" w:rsidRPr="009B0448" w:rsidRDefault="009B0448" w:rsidP="009B0448">
      <w:pPr>
        <w:tabs>
          <w:tab w:val="left" w:pos="8080"/>
        </w:tabs>
        <w:spacing w:line="276" w:lineRule="auto"/>
        <w:jc w:val="both"/>
        <w:rPr>
          <w:rFonts w:ascii="Times New Roman" w:hAnsi="Times New Roman" w:cs="Times New Roman"/>
        </w:rPr>
      </w:pPr>
      <w:r w:rsidRPr="009B0448">
        <w:rPr>
          <w:rFonts w:ascii="Times New Roman" w:hAnsi="Times New Roman" w:cs="Times New Roman"/>
        </w:rPr>
        <w:t>Despite these advances in habitat protection, rapid populat</w:t>
      </w:r>
      <w:r w:rsidR="003D5588">
        <w:rPr>
          <w:rFonts w:ascii="Times New Roman" w:hAnsi="Times New Roman" w:cs="Times New Roman"/>
        </w:rPr>
        <w:t>ion growth coupled with globalis</w:t>
      </w:r>
      <w:r w:rsidRPr="009B0448">
        <w:rPr>
          <w:rFonts w:ascii="Times New Roman" w:hAnsi="Times New Roman" w:cs="Times New Roman"/>
        </w:rPr>
        <w:t xml:space="preserve">ation and an increasing demand for food, shelter and income over the last century have led to the increased loss of habitat and ecological isolation of protected areas (DeFries </w:t>
      </w:r>
      <w:r w:rsidRPr="009B0448">
        <w:rPr>
          <w:rFonts w:ascii="Times New Roman" w:hAnsi="Times New Roman" w:cs="Times New Roman"/>
          <w:i/>
        </w:rPr>
        <w:t>et al.</w:t>
      </w:r>
      <w:r w:rsidRPr="009B0448">
        <w:rPr>
          <w:rFonts w:ascii="Times New Roman" w:hAnsi="Times New Roman" w:cs="Times New Roman"/>
        </w:rPr>
        <w:t xml:space="preserve">, 2005). In Africa, this trend has been exacerbated by large-scale </w:t>
      </w:r>
      <w:r w:rsidR="00917FB2">
        <w:rPr>
          <w:rFonts w:ascii="Times New Roman" w:hAnsi="Times New Roman" w:cs="Times New Roman"/>
        </w:rPr>
        <w:t>land-use</w:t>
      </w:r>
      <w:r w:rsidRPr="009B0448">
        <w:rPr>
          <w:rFonts w:ascii="Times New Roman" w:hAnsi="Times New Roman" w:cs="Times New Roman"/>
        </w:rPr>
        <w:t xml:space="preserve"> changes financed by foreign and local capitals interested in the extraction of natural resources and the production of agricultural crops for international markets (Hilson </w:t>
      </w:r>
      <w:r w:rsidRPr="009B0448">
        <w:rPr>
          <w:rFonts w:ascii="Times New Roman" w:hAnsi="Times New Roman" w:cs="Times New Roman"/>
          <w:i/>
        </w:rPr>
        <w:t>et al.</w:t>
      </w:r>
      <w:r w:rsidRPr="009B0448">
        <w:rPr>
          <w:rFonts w:ascii="Times New Roman" w:hAnsi="Times New Roman" w:cs="Times New Roman"/>
        </w:rPr>
        <w:t xml:space="preserve">, 2004; Yelpaala </w:t>
      </w:r>
      <w:r w:rsidRPr="009B0448">
        <w:rPr>
          <w:rFonts w:ascii="Times New Roman" w:hAnsi="Times New Roman" w:cs="Times New Roman"/>
          <w:i/>
        </w:rPr>
        <w:t>et al.</w:t>
      </w:r>
      <w:r w:rsidRPr="009B0448">
        <w:rPr>
          <w:rFonts w:ascii="Times New Roman" w:hAnsi="Times New Roman" w:cs="Times New Roman"/>
        </w:rPr>
        <w:t xml:space="preserve">, 2005; Cotula </w:t>
      </w:r>
      <w:r w:rsidRPr="009B0448">
        <w:rPr>
          <w:rFonts w:ascii="Times New Roman" w:hAnsi="Times New Roman" w:cs="Times New Roman"/>
          <w:i/>
        </w:rPr>
        <w:t>et al.</w:t>
      </w:r>
      <w:r w:rsidRPr="009B0448">
        <w:rPr>
          <w:rFonts w:ascii="Times New Roman" w:hAnsi="Times New Roman" w:cs="Times New Roman"/>
        </w:rPr>
        <w:t xml:space="preserve">, 2009). </w:t>
      </w:r>
    </w:p>
    <w:p w14:paraId="09F51930" w14:textId="77777777" w:rsidR="009B0448" w:rsidRPr="009B0448" w:rsidRDefault="009B0448" w:rsidP="00FA7185">
      <w:pPr>
        <w:pStyle w:val="111"/>
        <w:numPr>
          <w:ilvl w:val="3"/>
          <w:numId w:val="18"/>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46" w:name="_Toc519499854"/>
      <w:r w:rsidRPr="009B0448">
        <w:rPr>
          <w:rFonts w:cs="Times New Roman"/>
          <w:sz w:val="22"/>
          <w:szCs w:val="22"/>
        </w:rPr>
        <w:t>Environmental health trends</w:t>
      </w:r>
      <w:bookmarkEnd w:id="146"/>
    </w:p>
    <w:p w14:paraId="1AD3FD83" w14:textId="77777777" w:rsidR="009B0448" w:rsidRPr="009B0448" w:rsidRDefault="009B0448" w:rsidP="009B04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s="Times New Roman"/>
        </w:rPr>
      </w:pPr>
      <w:r w:rsidRPr="009B0448">
        <w:rPr>
          <w:rFonts w:ascii="Times New Roman" w:hAnsi="Times New Roman" w:cs="Times New Roman"/>
        </w:rPr>
        <w:t>This theme contributes to the assessment of the risk that diseases cause to human well-being and animal. It encompasses the health of the environment or the ecosystem where humans and animals live in harmony with nature in a balance necessary for human well-being but sensitive to extrinsic influences. It is a symbiotic lifestyle in which each party benefits from the existence of the other. While parasitic cohabitation proves harmful for one of the living beings concerned. Thus, pathogens occur under certain conditions and harm human, animal or plant health. These agents are either of viral, bacteriological or mycotic origin. Climatic and ecological disturbances promote their virulence even though they are harmless in a healthy natural environment.</w:t>
      </w:r>
    </w:p>
    <w:p w14:paraId="51B15179" w14:textId="77777777" w:rsidR="009B0448" w:rsidRPr="009B0448" w:rsidRDefault="009B0448" w:rsidP="009B04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s="Times New Roman"/>
        </w:rPr>
      </w:pPr>
    </w:p>
    <w:p w14:paraId="1A8F625B" w14:textId="77777777" w:rsidR="009B0448" w:rsidRPr="009B0448" w:rsidRDefault="009B0448" w:rsidP="009B04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s="Times New Roman"/>
        </w:rPr>
      </w:pPr>
      <w:r w:rsidRPr="009B0448">
        <w:rPr>
          <w:rFonts w:ascii="Times New Roman" w:hAnsi="Times New Roman" w:cs="Times New Roman"/>
        </w:rPr>
        <w:t xml:space="preserve">Man is as sensitive as the animal or vegetal aggressions of those agents that become pathogenic. This is the case for serious human illnesses such as Ebola, HIV, influenza or rabies and in cases of plague, foot-and-mouth disease or catarrhal fever with high economic impact. While the plant suffers from other infections rather caused by parasitic agents that appear under certain climatic conditions (high heat, too much humidity or high density). This is the case of Bayoud disease in olive tree, the caterpillar </w:t>
      </w:r>
      <w:r w:rsidRPr="009B0448">
        <w:rPr>
          <w:rFonts w:ascii="Times New Roman" w:hAnsi="Times New Roman" w:cs="Times New Roman"/>
          <w:i/>
        </w:rPr>
        <w:t>Paysandisia archonqui</w:t>
      </w:r>
      <w:r w:rsidRPr="009B0448">
        <w:rPr>
          <w:rFonts w:ascii="Times New Roman" w:hAnsi="Times New Roman" w:cs="Times New Roman"/>
        </w:rPr>
        <w:t xml:space="preserve"> infects the palm in the Mediterranean (North Africa). The cork oak is attacked </w:t>
      </w:r>
      <w:r w:rsidRPr="009B0448">
        <w:rPr>
          <w:rFonts w:ascii="Times New Roman" w:hAnsi="Times New Roman" w:cs="Times New Roman"/>
        </w:rPr>
        <w:lastRenderedPageBreak/>
        <w:t xml:space="preserve">every dry season by a parasite that ravages the forests. Eucalyptus is vulnerable to attacks caused by </w:t>
      </w:r>
      <w:r w:rsidRPr="009B0448">
        <w:rPr>
          <w:rFonts w:ascii="Times New Roman" w:hAnsi="Times New Roman" w:cs="Times New Roman"/>
          <w:i/>
        </w:rPr>
        <w:t>Phoracantha semipunctata</w:t>
      </w:r>
      <w:r w:rsidRPr="009B0448">
        <w:rPr>
          <w:rFonts w:ascii="Times New Roman" w:hAnsi="Times New Roman" w:cs="Times New Roman"/>
        </w:rPr>
        <w:t>.</w:t>
      </w:r>
    </w:p>
    <w:p w14:paraId="09BCF6E8" w14:textId="77777777" w:rsidR="009B0448" w:rsidRPr="009B0448" w:rsidRDefault="009B0448" w:rsidP="009B04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s="Times New Roman"/>
        </w:rPr>
      </w:pPr>
    </w:p>
    <w:p w14:paraId="3158DE73" w14:textId="07FD1F8C" w:rsidR="009B0448" w:rsidRPr="009B0448" w:rsidRDefault="009B0448" w:rsidP="009B04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s="Times New Roman"/>
        </w:rPr>
      </w:pPr>
      <w:r w:rsidRPr="009B0448">
        <w:rPr>
          <w:rFonts w:ascii="Times New Roman" w:hAnsi="Times New Roman" w:cs="Times New Roman"/>
        </w:rPr>
        <w:t xml:space="preserve">As for fungal diseases caused by fungi whose development is linked to disturbances of aeration or oxygenation of living beings in sites exposed to their aggressions (mildews, ergot of rye or maize) and other pathogens of legumes or arboriculture. The knowledge of these pathologies has evolved considerably since the vaccine against rabies was manufactured by Louis Pasteur or </w:t>
      </w:r>
      <w:r w:rsidRPr="009B0448">
        <w:rPr>
          <w:rFonts w:ascii="Times New Roman" w:hAnsi="Times New Roman" w:cs="Times New Roman"/>
          <w:i/>
        </w:rPr>
        <w:t>Penicillin</w:t>
      </w:r>
      <w:r w:rsidRPr="009B0448">
        <w:rPr>
          <w:rFonts w:ascii="Times New Roman" w:hAnsi="Times New Roman" w:cs="Times New Roman"/>
        </w:rPr>
        <w:t xml:space="preserve"> was discovered by Alexander Fleming in the last century. However, newly emerging pathogens (e.g., Ebola and HIV) are the subject of intense research to find the cure necessary to neutralize their aggression. The repeated frequency of these human</w:t>
      </w:r>
      <w:r w:rsidR="00D6539B">
        <w:rPr>
          <w:rFonts w:ascii="Times New Roman" w:hAnsi="Times New Roman" w:cs="Times New Roman"/>
        </w:rPr>
        <w:t xml:space="preserve"> epidemics or animal epidemics </w:t>
      </w:r>
      <w:r w:rsidRPr="009B0448">
        <w:rPr>
          <w:rFonts w:ascii="Times New Roman" w:hAnsi="Times New Roman" w:cs="Times New Roman"/>
        </w:rPr>
        <w:t xml:space="preserve">affect either the vulnerable human populations or their food stocks or impact the rich biodiversity of the continent hindering the food security of the countries (FAO, 2015a; WOAH, 2017). Wildlife suffers from the human awkwardness that invades the remote territories of these animals introducing livestock-borne pathogens. Wild animals unimmunized against these agents contract the disease and develop epizootics that eliminate a large proportion (rabies, foot-and-mouth disease, rinderpest, avian influenza (WOAH, 2015), to name but a few examples) and other agents carried by domestic animals such as anthrax, blue tongue or coryza. </w:t>
      </w:r>
    </w:p>
    <w:p w14:paraId="395AB626" w14:textId="77777777" w:rsidR="009B0448" w:rsidRPr="009B0448" w:rsidRDefault="009B0448" w:rsidP="009B04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s="Times New Roman"/>
        </w:rPr>
      </w:pPr>
    </w:p>
    <w:p w14:paraId="680A9782" w14:textId="3AE444C0" w:rsidR="009B0448" w:rsidRPr="009B0448" w:rsidRDefault="009B0448" w:rsidP="009B04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s="Times New Roman"/>
        </w:rPr>
      </w:pPr>
      <w:r w:rsidRPr="009B0448">
        <w:rPr>
          <w:rFonts w:ascii="Times New Roman" w:hAnsi="Times New Roman" w:cs="Times New Roman"/>
        </w:rPr>
        <w:t xml:space="preserve">The role of birds and insects in the dissemination of pathogens is crucial in the contamination of constituents of African and even global biodiversity. To mention also the role of bees in the pollination of plants for the welfare of man and nature but these workers of nature are threatened by the man who introduces into his hives dangerous diseases such as the </w:t>
      </w:r>
      <w:r w:rsidR="00250F13" w:rsidRPr="009B0448">
        <w:rPr>
          <w:rFonts w:ascii="Times New Roman" w:hAnsi="Times New Roman" w:cs="Times New Roman"/>
        </w:rPr>
        <w:t>varroosis</w:t>
      </w:r>
      <w:r w:rsidRPr="009B0448">
        <w:rPr>
          <w:rFonts w:ascii="Times New Roman" w:hAnsi="Times New Roman" w:cs="Times New Roman"/>
        </w:rPr>
        <w:t xml:space="preserve"> that threatens bee industry (WOAH, 2017). The loss of a species has no equivalent value in nature and its restoration remains in the realm of the impossible.</w:t>
      </w:r>
    </w:p>
    <w:p w14:paraId="79634FE8" w14:textId="621A2AFE" w:rsidR="009B0448" w:rsidRPr="009B0448" w:rsidRDefault="009B0448" w:rsidP="00FA7185">
      <w:pPr>
        <w:pStyle w:val="111"/>
        <w:numPr>
          <w:ilvl w:val="3"/>
          <w:numId w:val="18"/>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47" w:name="_Toc519499855"/>
      <w:r w:rsidRPr="009B0448">
        <w:rPr>
          <w:rFonts w:cs="Times New Roman"/>
          <w:sz w:val="22"/>
          <w:szCs w:val="22"/>
        </w:rPr>
        <w:t>Urban</w:t>
      </w:r>
      <w:r w:rsidR="00C813C5">
        <w:rPr>
          <w:rFonts w:cs="Times New Roman"/>
          <w:sz w:val="22"/>
          <w:szCs w:val="22"/>
        </w:rPr>
        <w:t>is</w:t>
      </w:r>
      <w:r w:rsidRPr="009B0448">
        <w:rPr>
          <w:rFonts w:cs="Times New Roman"/>
          <w:sz w:val="22"/>
          <w:szCs w:val="22"/>
        </w:rPr>
        <w:t>ation, agriculture and biodiversity in Africa</w:t>
      </w:r>
      <w:bookmarkEnd w:id="147"/>
    </w:p>
    <w:p w14:paraId="71FD76E2" w14:textId="3CF25701"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There are five major </w:t>
      </w:r>
      <w:r w:rsidR="00C813C5">
        <w:rPr>
          <w:rFonts w:ascii="Times New Roman" w:hAnsi="Times New Roman" w:cs="Times New Roman"/>
        </w:rPr>
        <w:t>trends in the process of urbanis</w:t>
      </w:r>
      <w:r w:rsidRPr="009B0448">
        <w:rPr>
          <w:rFonts w:ascii="Times New Roman" w:hAnsi="Times New Roman" w:cs="Times New Roman"/>
        </w:rPr>
        <w:t xml:space="preserve">ation that affect biodiversity and ecosystem services. These trends include: fast spatial expansion of urban areas; impacts of urban expansion on quality of ecosystem services; impacts of urban expansion modifies local climate and affects quality of biodiversity; land for urban agriculture; and impacts on biodiversity hotspots; Seto </w:t>
      </w:r>
      <w:r w:rsidRPr="009B0448">
        <w:rPr>
          <w:rFonts w:ascii="Times New Roman" w:hAnsi="Times New Roman" w:cs="Times New Roman"/>
          <w:i/>
        </w:rPr>
        <w:t>et al.</w:t>
      </w:r>
      <w:r w:rsidRPr="009B0448">
        <w:rPr>
          <w:rFonts w:ascii="Times New Roman" w:hAnsi="Times New Roman" w:cs="Times New Roman"/>
        </w:rPr>
        <w:t xml:space="preserve"> (2013). It is projected that world urban population would increase to five billion by 2030 and this rapid change associated with land conversion threatens biodiversity and ecosystem productivity (Seto </w:t>
      </w:r>
      <w:r w:rsidRPr="009B0448">
        <w:rPr>
          <w:rFonts w:ascii="Times New Roman" w:hAnsi="Times New Roman" w:cs="Times New Roman"/>
          <w:i/>
        </w:rPr>
        <w:t>et al.</w:t>
      </w:r>
      <w:r w:rsidRPr="009B0448">
        <w:rPr>
          <w:rFonts w:ascii="Times New Roman" w:hAnsi="Times New Roman" w:cs="Times New Roman"/>
        </w:rPr>
        <w:t xml:space="preserve">, 2012). The pressure on African biodiversity is not limited to the continuous loss of species and habitat, the escalating human-driven changes, climate change and </w:t>
      </w:r>
      <w:r w:rsidR="00917FB2">
        <w:rPr>
          <w:rFonts w:ascii="Times New Roman" w:hAnsi="Times New Roman" w:cs="Times New Roman"/>
        </w:rPr>
        <w:t>land-use</w:t>
      </w:r>
      <w:r w:rsidRPr="009B0448">
        <w:rPr>
          <w:rFonts w:ascii="Times New Roman" w:hAnsi="Times New Roman" w:cs="Times New Roman"/>
        </w:rPr>
        <w:t xml:space="preserve"> and land cover change (UNEP-WCMC, 2016).</w:t>
      </w:r>
    </w:p>
    <w:p w14:paraId="23C6A2D5" w14:textId="77777777" w:rsidR="009B0448" w:rsidRPr="009B0448" w:rsidRDefault="009B0448" w:rsidP="009B0448">
      <w:pPr>
        <w:spacing w:line="276" w:lineRule="auto"/>
        <w:jc w:val="both"/>
        <w:rPr>
          <w:rFonts w:ascii="Times New Roman" w:hAnsi="Times New Roman" w:cs="Times New Roman"/>
          <w:b/>
        </w:rPr>
      </w:pPr>
    </w:p>
    <w:p w14:paraId="16617A0E" w14:textId="0CE85086"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One fundamental issue is the challenge of invasive and non-native species in African cities. For instance, Gaertner </w:t>
      </w:r>
      <w:r w:rsidRPr="009B0448">
        <w:rPr>
          <w:rFonts w:ascii="Times New Roman" w:hAnsi="Times New Roman" w:cs="Times New Roman"/>
          <w:i/>
        </w:rPr>
        <w:t>et al.</w:t>
      </w:r>
      <w:r w:rsidRPr="009B0448">
        <w:rPr>
          <w:rFonts w:ascii="Times New Roman" w:hAnsi="Times New Roman" w:cs="Times New Roman"/>
        </w:rPr>
        <w:t xml:space="preserve"> (2016) found that introduction of some exotic species Cape Town South Africa grey squirrels (</w:t>
      </w:r>
      <w:r w:rsidRPr="009B0448">
        <w:rPr>
          <w:rFonts w:ascii="Times New Roman" w:hAnsi="Times New Roman" w:cs="Times New Roman"/>
          <w:i/>
        </w:rPr>
        <w:t>Sciurus carolinensis</w:t>
      </w:r>
      <w:r w:rsidRPr="009B0448">
        <w:rPr>
          <w:rFonts w:ascii="Times New Roman" w:hAnsi="Times New Roman" w:cs="Times New Roman"/>
        </w:rPr>
        <w:t>, Least Concern), Himalayan tahrs (</w:t>
      </w:r>
      <w:r w:rsidRPr="009B0448">
        <w:rPr>
          <w:rFonts w:ascii="Times New Roman" w:hAnsi="Times New Roman" w:cs="Times New Roman"/>
          <w:i/>
        </w:rPr>
        <w:t>Hemitragus jemlahicus</w:t>
      </w:r>
      <w:r w:rsidRPr="009B0448">
        <w:rPr>
          <w:rFonts w:ascii="Times New Roman" w:hAnsi="Times New Roman" w:cs="Times New Roman"/>
        </w:rPr>
        <w:t xml:space="preserve">, Near Threatened) have contaminated urban biodiversity composition. In West Africa, cultivation of Okra in urban and peri-urban is shown to be responsible for introduction of some invasive weed species that harm ecosystem services particularly pollination and pest control (Stenchly </w:t>
      </w:r>
      <w:r w:rsidRPr="009B0448">
        <w:rPr>
          <w:rFonts w:ascii="Times New Roman" w:hAnsi="Times New Roman" w:cs="Times New Roman"/>
          <w:i/>
        </w:rPr>
        <w:t>et al.</w:t>
      </w:r>
      <w:r w:rsidRPr="009B0448">
        <w:rPr>
          <w:rFonts w:ascii="Times New Roman" w:hAnsi="Times New Roman" w:cs="Times New Roman"/>
        </w:rPr>
        <w:t>, 2017). Similarly, the use of industrial wastewater in West African urban areas, intensive cultivation of spinach (</w:t>
      </w:r>
      <w:r w:rsidRPr="009B0448">
        <w:rPr>
          <w:rFonts w:ascii="Times New Roman" w:hAnsi="Times New Roman" w:cs="Times New Roman"/>
          <w:i/>
        </w:rPr>
        <w:t>Spinacia oleracea</w:t>
      </w:r>
      <w:r w:rsidRPr="009B0448">
        <w:rPr>
          <w:rFonts w:ascii="Times New Roman" w:hAnsi="Times New Roman" w:cs="Times New Roman"/>
        </w:rPr>
        <w:t xml:space="preserve"> L.) kills soil-dwelling arthropods. In other words urban agriculture dictates trends of species diversity depletion. Sometimes, the distribution of exotic species goes hand in hand with agriculture intensificati</w:t>
      </w:r>
      <w:r w:rsidR="00C813C5">
        <w:rPr>
          <w:rFonts w:ascii="Times New Roman" w:hAnsi="Times New Roman" w:cs="Times New Roman"/>
        </w:rPr>
        <w:t>on and urbanis</w:t>
      </w:r>
      <w:r w:rsidRPr="009B0448">
        <w:rPr>
          <w:rFonts w:ascii="Times New Roman" w:hAnsi="Times New Roman" w:cs="Times New Roman"/>
        </w:rPr>
        <w:t xml:space="preserve">ation. For instance, in Bujumbura, the capital city of Burundi, researchers found that out of the 404 tree species they recorded in the city 57% are native while 43% were introduced (Bigirimana </w:t>
      </w:r>
      <w:r w:rsidRPr="009B0448">
        <w:rPr>
          <w:rFonts w:ascii="Times New Roman" w:hAnsi="Times New Roman" w:cs="Times New Roman"/>
          <w:i/>
        </w:rPr>
        <w:t>et al.</w:t>
      </w:r>
      <w:r w:rsidRPr="009B0448">
        <w:rPr>
          <w:rFonts w:ascii="Times New Roman" w:hAnsi="Times New Roman" w:cs="Times New Roman"/>
        </w:rPr>
        <w:t>, 2011).</w:t>
      </w:r>
    </w:p>
    <w:p w14:paraId="3561BE13" w14:textId="1474F7B8"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lastRenderedPageBreak/>
        <w:t>Here, it is important to note th</w:t>
      </w:r>
      <w:r w:rsidR="00C813C5">
        <w:rPr>
          <w:rFonts w:ascii="Times New Roman" w:hAnsi="Times New Roman" w:cs="Times New Roman"/>
        </w:rPr>
        <w:t>at although urbanis</w:t>
      </w:r>
      <w:r w:rsidRPr="009B0448">
        <w:rPr>
          <w:rFonts w:ascii="Times New Roman" w:hAnsi="Times New Roman" w:cs="Times New Roman"/>
        </w:rPr>
        <w:t>ation threatens biodiversity in Africa and elsewhere, table 3.6 outlines some of the most critical ecological zones in Africa that is likely to b</w:t>
      </w:r>
      <w:r w:rsidR="00C813C5">
        <w:rPr>
          <w:rFonts w:ascii="Times New Roman" w:hAnsi="Times New Roman" w:cs="Times New Roman"/>
        </w:rPr>
        <w:t>e affected by increasing urbanis</w:t>
      </w:r>
      <w:r w:rsidRPr="009B0448">
        <w:rPr>
          <w:rFonts w:ascii="Times New Roman" w:hAnsi="Times New Roman" w:cs="Times New Roman"/>
        </w:rPr>
        <w:t>ation. Comparison of changes over time come through projections undertaken in various research laboratories as shown in figure 3.6.</w:t>
      </w:r>
    </w:p>
    <w:p w14:paraId="01C5B320" w14:textId="77777777" w:rsidR="009B0448" w:rsidRPr="009B0448" w:rsidRDefault="009B0448" w:rsidP="009B0448">
      <w:pPr>
        <w:spacing w:line="276" w:lineRule="auto"/>
        <w:jc w:val="both"/>
        <w:rPr>
          <w:rFonts w:ascii="Times New Roman" w:hAnsi="Times New Roman" w:cs="Times New Roman"/>
        </w:rPr>
      </w:pPr>
    </w:p>
    <w:p w14:paraId="7097DA41" w14:textId="09FA3D9B" w:rsidR="009B0448" w:rsidRPr="009B0448" w:rsidRDefault="009B0448" w:rsidP="009B0448">
      <w:pPr>
        <w:pStyle w:val="NoSpacing"/>
        <w:spacing w:line="276" w:lineRule="auto"/>
        <w:jc w:val="both"/>
        <w:rPr>
          <w:rFonts w:ascii="Times New Roman" w:hAnsi="Times New Roman" w:cs="Times New Roman"/>
          <w:sz w:val="24"/>
          <w:szCs w:val="24"/>
        </w:rPr>
      </w:pPr>
      <w:r w:rsidRPr="009B0448">
        <w:rPr>
          <w:rFonts w:ascii="Times New Roman" w:hAnsi="Times New Roman" w:cs="Times New Roman"/>
          <w:b/>
        </w:rPr>
        <w:t>Table 3.6:</w:t>
      </w:r>
      <w:r w:rsidRPr="009B0448">
        <w:rPr>
          <w:rFonts w:ascii="Times New Roman" w:hAnsi="Times New Roman" w:cs="Times New Roman"/>
        </w:rPr>
        <w:t xml:space="preserve"> Biodiversity hotspots and projects threats by urban growth. Source: van Vliet </w:t>
      </w:r>
      <w:r w:rsidRPr="009B0448">
        <w:rPr>
          <w:rFonts w:ascii="Times New Roman" w:hAnsi="Times New Roman" w:cs="Times New Roman"/>
          <w:i/>
        </w:rPr>
        <w:t>et al.</w:t>
      </w:r>
      <w:r w:rsidRPr="009B0448">
        <w:rPr>
          <w:rFonts w:ascii="Times New Roman" w:hAnsi="Times New Roman" w:cs="Times New Roman"/>
        </w:rPr>
        <w:t xml:space="preserve"> (2017).</w:t>
      </w:r>
    </w:p>
    <w:tbl>
      <w:tblPr>
        <w:tblStyle w:val="PlainTable11"/>
        <w:tblW w:w="5000" w:type="pct"/>
        <w:tblLook w:val="04A0" w:firstRow="1" w:lastRow="0" w:firstColumn="1" w:lastColumn="0" w:noHBand="0" w:noVBand="1"/>
      </w:tblPr>
      <w:tblGrid>
        <w:gridCol w:w="1702"/>
        <w:gridCol w:w="1545"/>
        <w:gridCol w:w="1242"/>
        <w:gridCol w:w="1066"/>
        <w:gridCol w:w="997"/>
        <w:gridCol w:w="1140"/>
        <w:gridCol w:w="1324"/>
      </w:tblGrid>
      <w:tr w:rsidR="009B0448" w:rsidRPr="009B0448" w14:paraId="457B53C8" w14:textId="77777777" w:rsidTr="00463527">
        <w:trPr>
          <w:cnfStyle w:val="100000000000" w:firstRow="1" w:lastRow="0" w:firstColumn="0" w:lastColumn="0" w:oddVBand="0" w:evenVBand="0" w:oddHBand="0" w:evenHBand="0" w:firstRowFirstColumn="0" w:firstRowLastColumn="0" w:lastRowFirstColumn="0" w:lastRowLastColumn="0"/>
          <w:trHeight w:val="1661"/>
        </w:trPr>
        <w:tc>
          <w:tcPr>
            <w:cnfStyle w:val="001000000000" w:firstRow="0" w:lastRow="0" w:firstColumn="1" w:lastColumn="0" w:oddVBand="0" w:evenVBand="0" w:oddHBand="0" w:evenHBand="0" w:firstRowFirstColumn="0" w:firstRowLastColumn="0" w:lastRowFirstColumn="0" w:lastRowLastColumn="0"/>
            <w:tcW w:w="16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9CDF1C" w14:textId="77777777" w:rsidR="009B0448" w:rsidRPr="009B0448" w:rsidRDefault="009B0448">
            <w:pPr>
              <w:jc w:val="both"/>
              <w:rPr>
                <w:rFonts w:ascii="Times New Roman" w:eastAsia="Times New Roman" w:hAnsi="Times New Roman" w:cs="Times New Roman"/>
              </w:rPr>
            </w:pPr>
            <w:r w:rsidRPr="009B0448">
              <w:rPr>
                <w:rFonts w:ascii="Times New Roman" w:eastAsia="Times New Roman" w:hAnsi="Times New Roman" w:cs="Times New Roman"/>
              </w:rPr>
              <w:t>Biodiversity hotspot</w:t>
            </w:r>
          </w:p>
        </w:tc>
        <w:tc>
          <w:tcPr>
            <w:tcW w:w="15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27F36F" w14:textId="77777777" w:rsidR="009B0448" w:rsidRPr="009B0448" w:rsidRDefault="009B0448">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Hotspot area not threatened by urban expansion (km</w:t>
            </w:r>
            <w:r w:rsidRPr="009B0448">
              <w:rPr>
                <w:rFonts w:ascii="Times New Roman" w:eastAsia="Times New Roman" w:hAnsi="Times New Roman" w:cs="Times New Roman"/>
                <w:bdr w:val="none" w:sz="0" w:space="0" w:color="auto" w:frame="1"/>
                <w:vertAlign w:val="superscript"/>
              </w:rPr>
              <w:t>2</w:t>
            </w:r>
            <w:r w:rsidRPr="009B0448">
              <w:rPr>
                <w:rFonts w:ascii="Times New Roman" w:eastAsia="Times New Roman" w:hAnsi="Times New Roman" w:cs="Times New Roman"/>
              </w:rPr>
              <w:t>) (% of hotspot)</w:t>
            </w:r>
          </w:p>
        </w:tc>
        <w:tc>
          <w:tcPr>
            <w:tcW w:w="4421"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B2E75B" w14:textId="77777777" w:rsidR="009B0448" w:rsidRPr="009B0448" w:rsidRDefault="009B0448">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Urban expansion in hotspot (km</w:t>
            </w:r>
            <w:r w:rsidRPr="009B0448">
              <w:rPr>
                <w:rFonts w:ascii="Times New Roman" w:eastAsia="Times New Roman" w:hAnsi="Times New Roman" w:cs="Times New Roman"/>
                <w:bdr w:val="none" w:sz="0" w:space="0" w:color="auto" w:frame="1"/>
                <w:vertAlign w:val="superscript"/>
              </w:rPr>
              <w:t>2</w:t>
            </w:r>
            <w:r w:rsidRPr="009B0448">
              <w:rPr>
                <w:rFonts w:ascii="Times New Roman" w:eastAsia="Times New Roman" w:hAnsi="Times New Roman" w:cs="Times New Roman"/>
              </w:rPr>
              <w:t xml:space="preserve">) by probability quartile range (% of hotspot) </w:t>
            </w:r>
          </w:p>
        </w:tc>
        <w:tc>
          <w:tcPr>
            <w:tcW w:w="13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62559D" w14:textId="77777777" w:rsidR="009B0448" w:rsidRPr="009B0448" w:rsidRDefault="009B0448">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 xml:space="preserve">Urban extent in hotspots </w:t>
            </w:r>
            <w:r w:rsidRPr="009B0448">
              <w:rPr>
                <w:rFonts w:ascii="Times New Roman" w:eastAsia="Times New Roman" w:hAnsi="Times New Roman" w:cs="Times New Roman"/>
                <w:i/>
                <w:iCs/>
                <w:bdr w:val="none" w:sz="0" w:space="0" w:color="auto" w:frame="1"/>
              </w:rPr>
              <w:t>ca</w:t>
            </w:r>
            <w:r w:rsidRPr="009B0448">
              <w:rPr>
                <w:rFonts w:ascii="Times New Roman" w:eastAsia="Times New Roman" w:hAnsi="Times New Roman" w:cs="Times New Roman"/>
              </w:rPr>
              <w:t>. 2000 (km</w:t>
            </w:r>
            <w:r w:rsidRPr="009B0448">
              <w:rPr>
                <w:rFonts w:ascii="Times New Roman" w:eastAsia="Times New Roman" w:hAnsi="Times New Roman" w:cs="Times New Roman"/>
                <w:bdr w:val="none" w:sz="0" w:space="0" w:color="auto" w:frame="1"/>
                <w:vertAlign w:val="superscript"/>
              </w:rPr>
              <w:t>2</w:t>
            </w:r>
            <w:r w:rsidRPr="009B0448">
              <w:rPr>
                <w:rFonts w:ascii="Times New Roman" w:eastAsia="Times New Roman" w:hAnsi="Times New Roman" w:cs="Times New Roman"/>
              </w:rPr>
              <w:t>) (% of hotspot)</w:t>
            </w:r>
          </w:p>
        </w:tc>
      </w:tr>
      <w:tr w:rsidR="009B0448" w:rsidRPr="009B0448" w14:paraId="65BEBBFA" w14:textId="77777777" w:rsidTr="00463527">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16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74A0124" w14:textId="77777777" w:rsidR="009B0448" w:rsidRPr="009B0448" w:rsidRDefault="009B0448">
            <w:pPr>
              <w:jc w:val="both"/>
              <w:rPr>
                <w:rFonts w:ascii="Times New Roman" w:eastAsia="Times New Roman" w:hAnsi="Times New Roman" w:cs="Times New Roman"/>
              </w:rPr>
            </w:pPr>
          </w:p>
        </w:tc>
        <w:tc>
          <w:tcPr>
            <w:tcW w:w="15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D1A819E"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2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EB656F"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&gt;0–25</w:t>
            </w:r>
          </w:p>
        </w:tc>
        <w:tc>
          <w:tcPr>
            <w:tcW w:w="10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9F47C3"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&gt;25–50</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90E804"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&gt;50–75</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21DC09"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&gt;75–100</w:t>
            </w:r>
          </w:p>
        </w:tc>
        <w:tc>
          <w:tcPr>
            <w:tcW w:w="13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A032566"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9B0448" w:rsidRPr="009B0448" w14:paraId="5D8F9720" w14:textId="77777777" w:rsidTr="00463527">
        <w:trPr>
          <w:trHeight w:val="484"/>
        </w:trPr>
        <w:tc>
          <w:tcPr>
            <w:cnfStyle w:val="001000000000" w:firstRow="0" w:lastRow="0" w:firstColumn="1" w:lastColumn="0" w:oddVBand="0" w:evenVBand="0" w:oddHBand="0" w:evenHBand="0" w:firstRowFirstColumn="0" w:firstRowLastColumn="0" w:lastRowFirstColumn="0" w:lastRowLastColumn="0"/>
            <w:tcW w:w="16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3E64D2" w14:textId="77777777" w:rsidR="009B0448" w:rsidRPr="009B0448" w:rsidRDefault="009B0448">
            <w:pPr>
              <w:jc w:val="both"/>
              <w:rPr>
                <w:rFonts w:ascii="Times New Roman" w:eastAsia="Times New Roman" w:hAnsi="Times New Roman" w:cs="Times New Roman"/>
              </w:rPr>
            </w:pPr>
            <w:r w:rsidRPr="009B0448">
              <w:rPr>
                <w:rFonts w:ascii="Times New Roman" w:eastAsia="Times New Roman" w:hAnsi="Times New Roman" w:cs="Times New Roman"/>
              </w:rPr>
              <w:t>Cape Floristic Region</w:t>
            </w:r>
          </w:p>
        </w:tc>
        <w:tc>
          <w:tcPr>
            <w:tcW w:w="15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AEC7EC"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80 400 (97)</w:t>
            </w:r>
          </w:p>
        </w:tc>
        <w:tc>
          <w:tcPr>
            <w:tcW w:w="12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387756"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175 (0.2)</w:t>
            </w:r>
          </w:p>
        </w:tc>
        <w:tc>
          <w:tcPr>
            <w:tcW w:w="10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46E67A"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25 (0.0)</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048DB2"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0 (0.0)</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BCA20F"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1,100 (1.3)</w:t>
            </w:r>
          </w:p>
        </w:tc>
        <w:tc>
          <w:tcPr>
            <w:tcW w:w="13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A1DC5B"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875 (1)</w:t>
            </w:r>
          </w:p>
        </w:tc>
      </w:tr>
      <w:tr w:rsidR="009B0448" w:rsidRPr="009B0448" w14:paraId="4F9F6613" w14:textId="77777777" w:rsidTr="0046352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16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A5A16E" w14:textId="77777777" w:rsidR="009B0448" w:rsidRPr="009B0448" w:rsidRDefault="009B0448">
            <w:pPr>
              <w:jc w:val="both"/>
              <w:rPr>
                <w:rFonts w:ascii="Times New Roman" w:eastAsia="Times New Roman" w:hAnsi="Times New Roman" w:cs="Times New Roman"/>
              </w:rPr>
            </w:pPr>
            <w:r w:rsidRPr="009B0448">
              <w:rPr>
                <w:rFonts w:ascii="Times New Roman" w:eastAsia="Times New Roman" w:hAnsi="Times New Roman" w:cs="Times New Roman"/>
              </w:rPr>
              <w:t>Coastal Forests of Eastern Africa</w:t>
            </w:r>
          </w:p>
        </w:tc>
        <w:tc>
          <w:tcPr>
            <w:tcW w:w="15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2EEE00"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287 575 (95)</w:t>
            </w:r>
          </w:p>
        </w:tc>
        <w:tc>
          <w:tcPr>
            <w:tcW w:w="12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6D4533"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9775 (3)</w:t>
            </w:r>
          </w:p>
        </w:tc>
        <w:tc>
          <w:tcPr>
            <w:tcW w:w="10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048F24"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275 (0.1)</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F43B34"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300 (0.1)</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904602"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5350 (2)</w:t>
            </w:r>
          </w:p>
        </w:tc>
        <w:tc>
          <w:tcPr>
            <w:tcW w:w="13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DA87F9"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800 (0.3)</w:t>
            </w:r>
          </w:p>
        </w:tc>
      </w:tr>
      <w:tr w:rsidR="009B0448" w:rsidRPr="009B0448" w14:paraId="51BDF125" w14:textId="77777777" w:rsidTr="00463527">
        <w:trPr>
          <w:trHeight w:val="484"/>
        </w:trPr>
        <w:tc>
          <w:tcPr>
            <w:cnfStyle w:val="001000000000" w:firstRow="0" w:lastRow="0" w:firstColumn="1" w:lastColumn="0" w:oddVBand="0" w:evenVBand="0" w:oddHBand="0" w:evenHBand="0" w:firstRowFirstColumn="0" w:firstRowLastColumn="0" w:lastRowFirstColumn="0" w:lastRowLastColumn="0"/>
            <w:tcW w:w="16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1BC23E" w14:textId="77777777" w:rsidR="009B0448" w:rsidRPr="009B0448" w:rsidRDefault="009B0448">
            <w:pPr>
              <w:jc w:val="both"/>
              <w:rPr>
                <w:rFonts w:ascii="Times New Roman" w:eastAsia="Times New Roman" w:hAnsi="Times New Roman" w:cs="Times New Roman"/>
              </w:rPr>
            </w:pPr>
            <w:r w:rsidRPr="009B0448">
              <w:rPr>
                <w:rFonts w:ascii="Times New Roman" w:eastAsia="Times New Roman" w:hAnsi="Times New Roman" w:cs="Times New Roman"/>
              </w:rPr>
              <w:t>Eastern Afromontane</w:t>
            </w:r>
          </w:p>
        </w:tc>
        <w:tc>
          <w:tcPr>
            <w:tcW w:w="15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F7881D"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902 950 (86)</w:t>
            </w:r>
          </w:p>
        </w:tc>
        <w:tc>
          <w:tcPr>
            <w:tcW w:w="12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2D6DDF"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99 775 (10)</w:t>
            </w:r>
          </w:p>
        </w:tc>
        <w:tc>
          <w:tcPr>
            <w:tcW w:w="10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DCB35F"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8400 (1)</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D9EF33"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6500 (0.6)</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BA3E08"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28 400 (3)</w:t>
            </w:r>
          </w:p>
        </w:tc>
        <w:tc>
          <w:tcPr>
            <w:tcW w:w="13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EA7CAE"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1500 (0.1)</w:t>
            </w:r>
          </w:p>
        </w:tc>
      </w:tr>
      <w:tr w:rsidR="009B0448" w:rsidRPr="009B0448" w14:paraId="7C6E0A01" w14:textId="77777777" w:rsidTr="00463527">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16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D8F709" w14:textId="77777777" w:rsidR="009B0448" w:rsidRPr="009B0448" w:rsidRDefault="009B0448">
            <w:pPr>
              <w:jc w:val="both"/>
              <w:rPr>
                <w:rFonts w:ascii="Times New Roman" w:eastAsia="Times New Roman" w:hAnsi="Times New Roman" w:cs="Times New Roman"/>
              </w:rPr>
            </w:pPr>
            <w:r w:rsidRPr="009B0448">
              <w:rPr>
                <w:rFonts w:ascii="Times New Roman" w:eastAsia="Times New Roman" w:hAnsi="Times New Roman" w:cs="Times New Roman"/>
              </w:rPr>
              <w:t>Guinean Forests of West Africa</w:t>
            </w:r>
          </w:p>
        </w:tc>
        <w:tc>
          <w:tcPr>
            <w:tcW w:w="15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8A0DA7"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482 775 (75)</w:t>
            </w:r>
          </w:p>
        </w:tc>
        <w:tc>
          <w:tcPr>
            <w:tcW w:w="12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3AA366"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101 950 (16)</w:t>
            </w:r>
          </w:p>
        </w:tc>
        <w:tc>
          <w:tcPr>
            <w:tcW w:w="10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9B50D4"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5800 (1)</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78A784"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3775 (0.6)</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BF25E8"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43 675 (7)</w:t>
            </w:r>
          </w:p>
        </w:tc>
        <w:tc>
          <w:tcPr>
            <w:tcW w:w="13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1DFC8A"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4725 (1)</w:t>
            </w:r>
          </w:p>
        </w:tc>
      </w:tr>
      <w:tr w:rsidR="009B0448" w:rsidRPr="009B0448" w14:paraId="7B81C910" w14:textId="77777777" w:rsidTr="00463527">
        <w:trPr>
          <w:trHeight w:val="484"/>
        </w:trPr>
        <w:tc>
          <w:tcPr>
            <w:cnfStyle w:val="001000000000" w:firstRow="0" w:lastRow="0" w:firstColumn="1" w:lastColumn="0" w:oddVBand="0" w:evenVBand="0" w:oddHBand="0" w:evenHBand="0" w:firstRowFirstColumn="0" w:firstRowLastColumn="0" w:lastRowFirstColumn="0" w:lastRowLastColumn="0"/>
            <w:tcW w:w="16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82BA55" w14:textId="77777777" w:rsidR="009B0448" w:rsidRPr="009B0448" w:rsidRDefault="009B0448">
            <w:pPr>
              <w:jc w:val="both"/>
              <w:rPr>
                <w:rFonts w:ascii="Times New Roman" w:eastAsia="Times New Roman" w:hAnsi="Times New Roman" w:cs="Times New Roman"/>
              </w:rPr>
            </w:pPr>
            <w:r w:rsidRPr="009B0448">
              <w:rPr>
                <w:rFonts w:ascii="Times New Roman" w:eastAsia="Times New Roman" w:hAnsi="Times New Roman" w:cs="Times New Roman"/>
              </w:rPr>
              <w:t>Horn of Africa</w:t>
            </w:r>
          </w:p>
        </w:tc>
        <w:tc>
          <w:tcPr>
            <w:tcW w:w="15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330CFF"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1,597,450 (96)</w:t>
            </w:r>
          </w:p>
        </w:tc>
        <w:tc>
          <w:tcPr>
            <w:tcW w:w="12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F865C5E"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57 275 (3)</w:t>
            </w:r>
          </w:p>
        </w:tc>
        <w:tc>
          <w:tcPr>
            <w:tcW w:w="10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9251CC"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2650 (0.2)</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858DC2C"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4650 (0.3)</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034E64"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5300 (0.3)</w:t>
            </w:r>
          </w:p>
        </w:tc>
        <w:tc>
          <w:tcPr>
            <w:tcW w:w="13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E313F7"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1575 (0.1)</w:t>
            </w:r>
          </w:p>
        </w:tc>
      </w:tr>
      <w:tr w:rsidR="009B0448" w:rsidRPr="009B0448" w14:paraId="56759F29" w14:textId="77777777" w:rsidTr="00463527">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6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0B5EF4" w14:textId="77777777" w:rsidR="009B0448" w:rsidRPr="009B0448" w:rsidRDefault="009B0448">
            <w:pPr>
              <w:jc w:val="both"/>
              <w:rPr>
                <w:rFonts w:ascii="Times New Roman" w:eastAsia="Times New Roman" w:hAnsi="Times New Roman" w:cs="Times New Roman"/>
              </w:rPr>
            </w:pPr>
            <w:r w:rsidRPr="009B0448">
              <w:rPr>
                <w:rFonts w:ascii="Times New Roman" w:eastAsia="Times New Roman" w:hAnsi="Times New Roman" w:cs="Times New Roman"/>
              </w:rPr>
              <w:t>Madagascar and the Indian Ocean Islands</w:t>
            </w:r>
          </w:p>
        </w:tc>
        <w:tc>
          <w:tcPr>
            <w:tcW w:w="15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467F18"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590 525 (99)</w:t>
            </w:r>
          </w:p>
        </w:tc>
        <w:tc>
          <w:tcPr>
            <w:tcW w:w="12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86AE5C"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6050 (1)</w:t>
            </w:r>
          </w:p>
        </w:tc>
        <w:tc>
          <w:tcPr>
            <w:tcW w:w="10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DBD5F7"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350 (0.1)</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AC36B4"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75 (0.0)</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BB664A"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2100 (0.4)</w:t>
            </w:r>
          </w:p>
        </w:tc>
        <w:tc>
          <w:tcPr>
            <w:tcW w:w="13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5008FC"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275 (0.0)</w:t>
            </w:r>
          </w:p>
        </w:tc>
      </w:tr>
      <w:tr w:rsidR="009B0448" w:rsidRPr="009B0448" w14:paraId="58253D0B" w14:textId="77777777" w:rsidTr="00463527">
        <w:trPr>
          <w:trHeight w:val="726"/>
        </w:trPr>
        <w:tc>
          <w:tcPr>
            <w:cnfStyle w:val="001000000000" w:firstRow="0" w:lastRow="0" w:firstColumn="1" w:lastColumn="0" w:oddVBand="0" w:evenVBand="0" w:oddHBand="0" w:evenHBand="0" w:firstRowFirstColumn="0" w:firstRowLastColumn="0" w:lastRowFirstColumn="0" w:lastRowLastColumn="0"/>
            <w:tcW w:w="16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67CC25" w14:textId="77777777" w:rsidR="009B0448" w:rsidRPr="009B0448" w:rsidRDefault="009B0448">
            <w:pPr>
              <w:jc w:val="both"/>
              <w:rPr>
                <w:rFonts w:ascii="Times New Roman" w:eastAsia="Times New Roman" w:hAnsi="Times New Roman" w:cs="Times New Roman"/>
              </w:rPr>
            </w:pPr>
            <w:r w:rsidRPr="009B0448">
              <w:rPr>
                <w:rFonts w:ascii="Times New Roman" w:eastAsia="Times New Roman" w:hAnsi="Times New Roman" w:cs="Times New Roman"/>
              </w:rPr>
              <w:t>Maputaland-Pondoland-Albany</w:t>
            </w:r>
          </w:p>
        </w:tc>
        <w:tc>
          <w:tcPr>
            <w:tcW w:w="15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0FA8FF"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260 125 (94)</w:t>
            </w:r>
          </w:p>
        </w:tc>
        <w:tc>
          <w:tcPr>
            <w:tcW w:w="12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D2F45C"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6300 (2)</w:t>
            </w:r>
          </w:p>
        </w:tc>
        <w:tc>
          <w:tcPr>
            <w:tcW w:w="10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F55055"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1375 (1)</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17775D"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1475 (0.5)</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4B0440"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7225 (3)</w:t>
            </w:r>
          </w:p>
        </w:tc>
        <w:tc>
          <w:tcPr>
            <w:tcW w:w="13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EEE072"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1075 (0.4)</w:t>
            </w:r>
          </w:p>
        </w:tc>
      </w:tr>
      <w:tr w:rsidR="009B0448" w:rsidRPr="009B0448" w14:paraId="1311BD53" w14:textId="77777777" w:rsidTr="00463527">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16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A3C1B7" w14:textId="77777777" w:rsidR="009B0448" w:rsidRPr="009B0448" w:rsidRDefault="009B0448">
            <w:pPr>
              <w:jc w:val="both"/>
              <w:rPr>
                <w:rFonts w:ascii="Times New Roman" w:eastAsia="Times New Roman" w:hAnsi="Times New Roman" w:cs="Times New Roman"/>
              </w:rPr>
            </w:pPr>
            <w:r w:rsidRPr="009B0448">
              <w:rPr>
                <w:rFonts w:ascii="Times New Roman" w:eastAsia="Times New Roman" w:hAnsi="Times New Roman" w:cs="Times New Roman"/>
              </w:rPr>
              <w:t>Mediterranean Basin</w:t>
            </w:r>
          </w:p>
        </w:tc>
        <w:tc>
          <w:tcPr>
            <w:tcW w:w="15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4B407A"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1 687 550 (80)</w:t>
            </w:r>
          </w:p>
        </w:tc>
        <w:tc>
          <w:tcPr>
            <w:tcW w:w="12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F56E98"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302 825 (14)</w:t>
            </w:r>
          </w:p>
        </w:tc>
        <w:tc>
          <w:tcPr>
            <w:tcW w:w="10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A0BB18"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23 750 (1)</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368DEB"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16 650 (1)</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EF3023"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54 675 (3)</w:t>
            </w:r>
          </w:p>
        </w:tc>
        <w:tc>
          <w:tcPr>
            <w:tcW w:w="13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16784B" w14:textId="77777777" w:rsidR="009B0448" w:rsidRPr="009B0448" w:rsidRDefault="009B0448" w:rsidP="0046352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33 450 (2)</w:t>
            </w:r>
          </w:p>
        </w:tc>
      </w:tr>
      <w:tr w:rsidR="009B0448" w:rsidRPr="009B0448" w14:paraId="757CFED8" w14:textId="77777777" w:rsidTr="00463527">
        <w:trPr>
          <w:trHeight w:val="484"/>
        </w:trPr>
        <w:tc>
          <w:tcPr>
            <w:cnfStyle w:val="001000000000" w:firstRow="0" w:lastRow="0" w:firstColumn="1" w:lastColumn="0" w:oddVBand="0" w:evenVBand="0" w:oddHBand="0" w:evenHBand="0" w:firstRowFirstColumn="0" w:firstRowLastColumn="0" w:lastRowFirstColumn="0" w:lastRowLastColumn="0"/>
            <w:tcW w:w="16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98D818" w14:textId="77777777" w:rsidR="009B0448" w:rsidRPr="009B0448" w:rsidRDefault="009B0448">
            <w:pPr>
              <w:jc w:val="both"/>
              <w:rPr>
                <w:rFonts w:ascii="Times New Roman" w:eastAsia="Times New Roman" w:hAnsi="Times New Roman" w:cs="Times New Roman"/>
              </w:rPr>
            </w:pPr>
            <w:r w:rsidRPr="009B0448">
              <w:rPr>
                <w:rFonts w:ascii="Times New Roman" w:eastAsia="Times New Roman" w:hAnsi="Times New Roman" w:cs="Times New Roman"/>
              </w:rPr>
              <w:t>All hotspots</w:t>
            </w:r>
          </w:p>
        </w:tc>
        <w:tc>
          <w:tcPr>
            <w:tcW w:w="15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A6DA60"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21 666 625 (91)</w:t>
            </w:r>
          </w:p>
        </w:tc>
        <w:tc>
          <w:tcPr>
            <w:tcW w:w="12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145D8E"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1 325 225 (6)</w:t>
            </w:r>
          </w:p>
        </w:tc>
        <w:tc>
          <w:tcPr>
            <w:tcW w:w="10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55F1C5"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100 750 (0.4)</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28DC98"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77 200 (0.3)</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A39EBE"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436 175 (2)</w:t>
            </w:r>
          </w:p>
        </w:tc>
        <w:tc>
          <w:tcPr>
            <w:tcW w:w="13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0DAB9A" w14:textId="77777777" w:rsidR="009B0448" w:rsidRPr="009B0448" w:rsidRDefault="009B0448" w:rsidP="0046352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203 900 (1)</w:t>
            </w:r>
          </w:p>
        </w:tc>
      </w:tr>
    </w:tbl>
    <w:p w14:paraId="5749A4BF" w14:textId="77777777" w:rsidR="009B0448" w:rsidRPr="009B0448" w:rsidRDefault="009B0448" w:rsidP="009B0448">
      <w:pPr>
        <w:pStyle w:val="NoSpacing"/>
        <w:jc w:val="both"/>
        <w:rPr>
          <w:rFonts w:ascii="Times New Roman" w:hAnsi="Times New Roman" w:cs="Times New Roman"/>
          <w:sz w:val="24"/>
          <w:szCs w:val="24"/>
        </w:rPr>
      </w:pPr>
    </w:p>
    <w:p w14:paraId="63D43DCF" w14:textId="29B3BA8B" w:rsidR="009B0448" w:rsidRPr="009B0448" w:rsidRDefault="009B0448" w:rsidP="009B0448">
      <w:pPr>
        <w:jc w:val="center"/>
        <w:rPr>
          <w:rFonts w:ascii="Times New Roman" w:hAnsi="Times New Roman" w:cs="Times New Roman"/>
          <w:sz w:val="20"/>
          <w:szCs w:val="20"/>
        </w:rPr>
      </w:pPr>
      <w:r w:rsidRPr="009B0448">
        <w:rPr>
          <w:rFonts w:ascii="Times New Roman" w:hAnsi="Times New Roman" w:cs="Times New Roman"/>
          <w:noProof/>
          <w:lang w:eastAsia="en-GB"/>
        </w:rPr>
        <w:lastRenderedPageBreak/>
        <w:drawing>
          <wp:inline distT="0" distB="0" distL="0" distR="0" wp14:anchorId="760CDB8F" wp14:editId="5FD0E13C">
            <wp:extent cx="5737860" cy="4632960"/>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737860" cy="4632960"/>
                    </a:xfrm>
                    <a:prstGeom prst="rect">
                      <a:avLst/>
                    </a:prstGeom>
                    <a:noFill/>
                    <a:ln>
                      <a:noFill/>
                    </a:ln>
                  </pic:spPr>
                </pic:pic>
              </a:graphicData>
            </a:graphic>
          </wp:inline>
        </w:drawing>
      </w:r>
    </w:p>
    <w:p w14:paraId="633EECFA" w14:textId="6DF56741" w:rsidR="006D75C7" w:rsidRDefault="009B0448" w:rsidP="006D75C7">
      <w:pPr>
        <w:spacing w:line="276" w:lineRule="auto"/>
        <w:jc w:val="both"/>
        <w:rPr>
          <w:rFonts w:ascii="Times New Roman" w:hAnsi="Times New Roman" w:cs="Times New Roman"/>
        </w:rPr>
      </w:pPr>
      <w:r w:rsidRPr="009B0448">
        <w:rPr>
          <w:rFonts w:ascii="Times New Roman" w:hAnsi="Times New Roman" w:cs="Times New Roman"/>
          <w:b/>
        </w:rPr>
        <w:t>Figure 3.6:</w:t>
      </w:r>
      <w:r w:rsidRPr="009B0448">
        <w:rPr>
          <w:rFonts w:ascii="Times New Roman" w:hAnsi="Times New Roman" w:cs="Times New Roman"/>
        </w:rPr>
        <w:t xml:space="preserve"> Projected urban land expansion and its implications for croplands in Africa. Source:</w:t>
      </w:r>
      <w:r w:rsidRPr="009B0448">
        <w:rPr>
          <w:rFonts w:ascii="Times New Roman" w:hAnsi="Times New Roman" w:cs="Times New Roman"/>
          <w:color w:val="808080"/>
          <w:shd w:val="clear" w:color="auto" w:fill="FFFFFF"/>
        </w:rPr>
        <w:t xml:space="preserve"> </w:t>
      </w:r>
      <w:r w:rsidRPr="009B0448">
        <w:rPr>
          <w:rFonts w:ascii="Times New Roman" w:hAnsi="Times New Roman" w:cs="Times New Roman"/>
        </w:rPr>
        <w:t xml:space="preserve">d’Amour </w:t>
      </w:r>
      <w:r w:rsidRPr="009B0448">
        <w:rPr>
          <w:rFonts w:ascii="Times New Roman" w:hAnsi="Times New Roman" w:cs="Times New Roman"/>
          <w:i/>
        </w:rPr>
        <w:t>et al.</w:t>
      </w:r>
      <w:r w:rsidRPr="009B0448">
        <w:rPr>
          <w:rFonts w:ascii="Times New Roman" w:hAnsi="Times New Roman" w:cs="Times New Roman"/>
        </w:rPr>
        <w:t xml:space="preserve"> (2016).</w:t>
      </w:r>
    </w:p>
    <w:p w14:paraId="22C5FB26" w14:textId="650A26A3" w:rsidR="009B0448" w:rsidRPr="009B0448" w:rsidRDefault="00B22D81"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148" w:name="_Toc503105152"/>
      <w:bookmarkStart w:id="149" w:name="_Toc519499856"/>
      <w:r>
        <w:rPr>
          <w:rFonts w:eastAsia="Calibri" w:cs="Times New Roman"/>
          <w:szCs w:val="24"/>
        </w:rPr>
        <w:t>Subregion</w:t>
      </w:r>
      <w:r w:rsidR="009B0448" w:rsidRPr="009B0448">
        <w:rPr>
          <w:rFonts w:eastAsia="Calibri" w:cs="Times New Roman"/>
          <w:szCs w:val="24"/>
        </w:rPr>
        <w:t>al analysis</w:t>
      </w:r>
      <w:bookmarkEnd w:id="148"/>
      <w:bookmarkEnd w:id="149"/>
    </w:p>
    <w:p w14:paraId="20409D33"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150" w:name="_Toc503105153"/>
      <w:bookmarkStart w:id="151" w:name="_Toc519499857"/>
      <w:r w:rsidRPr="009B0448">
        <w:rPr>
          <w:rFonts w:cs="Times New Roman"/>
          <w:i w:val="0"/>
          <w:sz w:val="22"/>
          <w:szCs w:val="22"/>
        </w:rPr>
        <w:t>North Africa</w:t>
      </w:r>
      <w:bookmarkEnd w:id="150"/>
      <w:bookmarkEnd w:id="151"/>
    </w:p>
    <w:p w14:paraId="69DB7070"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52" w:name="_Toc503105154"/>
      <w:bookmarkStart w:id="153" w:name="_Toc519499858"/>
      <w:r w:rsidRPr="009B0448">
        <w:rPr>
          <w:rFonts w:cs="Times New Roman"/>
          <w:sz w:val="22"/>
          <w:szCs w:val="22"/>
        </w:rPr>
        <w:t>Terrestrial</w:t>
      </w:r>
      <w:bookmarkEnd w:id="152"/>
      <w:bookmarkEnd w:id="153"/>
    </w:p>
    <w:p w14:paraId="22755A65"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54" w:name="_Toc519499859"/>
      <w:r w:rsidRPr="009B0448">
        <w:rPr>
          <w:rFonts w:cs="Times New Roman"/>
          <w:b w:val="0"/>
          <w:sz w:val="22"/>
          <w:szCs w:val="22"/>
        </w:rPr>
        <w:t>Mediterranean Forest</w:t>
      </w:r>
      <w:bookmarkEnd w:id="154"/>
    </w:p>
    <w:p w14:paraId="0B19A924"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 Mediterranean woodland and forest ecoregion of North Africa stretches from the coastal plains to the hills of northern Morocco, Algeria and Tunisia, and eventually surrounds the Atlas Mountains; it extends approximately 358,936 km</w:t>
      </w:r>
      <w:r w:rsidRPr="009B0448">
        <w:rPr>
          <w:rFonts w:ascii="Times New Roman" w:hAnsi="Times New Roman" w:cs="Times New Roman"/>
          <w:vertAlign w:val="superscript"/>
        </w:rPr>
        <w:t xml:space="preserve">2 </w:t>
      </w:r>
      <w:r w:rsidRPr="009B0448">
        <w:rPr>
          <w:rFonts w:ascii="Times New Roman" w:hAnsi="Times New Roman" w:cs="Times New Roman"/>
        </w:rPr>
        <w:t xml:space="preserve">(Olson </w:t>
      </w:r>
      <w:r w:rsidRPr="009B0448">
        <w:rPr>
          <w:rFonts w:ascii="Times New Roman" w:hAnsi="Times New Roman" w:cs="Times New Roman"/>
          <w:i/>
        </w:rPr>
        <w:t>et al.</w:t>
      </w:r>
      <w:r w:rsidRPr="009B0448">
        <w:rPr>
          <w:rFonts w:ascii="Times New Roman" w:hAnsi="Times New Roman" w:cs="Times New Roman"/>
        </w:rPr>
        <w:t xml:space="preserve">, 2001). Key protected areas include El Feija National Park, Châambi, Boukornine, Ichkeul, Bouhedma, Jebel Serj National Parks in Tunisia, Chrea, Djurdjura, Tlemcen, Theniet El-Had, Gouraya, Taza, El Kala, Belzma National Parks and biosphere reserve in Algeria, and Talassemtane, Al Hoceima, Tazekka, Ifrane , Khenifra, Eastern High Atlas, Toubkal, Souss Massa and Khenifiss National Parks in Morocco. The Biosphere Reserves are represented in Morocco by </w:t>
      </w:r>
      <w:r w:rsidRPr="009B0448">
        <w:rPr>
          <w:rFonts w:ascii="Times New Roman" w:hAnsi="Times New Roman" w:cs="Times New Roman"/>
          <w:i/>
        </w:rPr>
        <w:t>Argania spinosa</w:t>
      </w:r>
      <w:r w:rsidRPr="009B0448">
        <w:rPr>
          <w:rFonts w:ascii="Times New Roman" w:hAnsi="Times New Roman" w:cs="Times New Roman"/>
        </w:rPr>
        <w:t xml:space="preserve">, Southern Oasis Morocco, Cedar Biosphere Reserve and Intercontinental Biosphere Reserve of the Mediterranean between Morocco and Andalusia (Spain); in Algeria by Tassili N'Ajerr, El-Kala, Djurdjura, Chrea, Gouraya, Taza Biosphere Reserves; in Tunisia by Ichkeul, Djebel Bou-Hedma, Zembra and Zembretta, Djebel Chambi Biosphere Reserves; in Egypt by Wadi Allaqui and Omayed Biosphere Reserves; in Sudan by Dinder and Radom Biosphere Reserves and the Transboundary Biosphere Reserve of the Senegal River Delta between Mauritania and Senegal. </w:t>
      </w:r>
      <w:r w:rsidRPr="009B0448">
        <w:rPr>
          <w:rFonts w:ascii="Times New Roman" w:hAnsi="Times New Roman" w:cs="Times New Roman"/>
        </w:rPr>
        <w:lastRenderedPageBreak/>
        <w:t xml:space="preserve">Morocco holds the greatest amount of protected Mediterranean forest in North Africa. The Mediterranean Basin is the third richest biodiversity hotspot in the world (Mittermeier </w:t>
      </w:r>
      <w:r w:rsidRPr="009B0448">
        <w:rPr>
          <w:rFonts w:ascii="Times New Roman" w:hAnsi="Times New Roman" w:cs="Times New Roman"/>
          <w:i/>
        </w:rPr>
        <w:t>et al.</w:t>
      </w:r>
      <w:r w:rsidRPr="009B0448">
        <w:rPr>
          <w:rFonts w:ascii="Times New Roman" w:hAnsi="Times New Roman" w:cs="Times New Roman"/>
        </w:rPr>
        <w:t xml:space="preserve">, 2004). However, recent biodiversity studies in the North African region are limited. </w:t>
      </w:r>
    </w:p>
    <w:p w14:paraId="727A7263" w14:textId="77777777" w:rsidR="009B0448" w:rsidRPr="009B0448" w:rsidRDefault="009B0448" w:rsidP="009B0448">
      <w:pPr>
        <w:spacing w:line="276" w:lineRule="auto"/>
        <w:jc w:val="both"/>
        <w:rPr>
          <w:rFonts w:ascii="Times New Roman" w:hAnsi="Times New Roman" w:cs="Times New Roman"/>
        </w:rPr>
      </w:pPr>
    </w:p>
    <w:p w14:paraId="5E83358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Mediterranean forests of Morocco and Algeria are two centres of high plant diversity with a high degree of endemism and rarity (Figures 3.7 &amp; 3.8) because of their position at the crossroads of two continents, and transitions between tropical and temperate climates (Médail </w:t>
      </w:r>
      <w:r w:rsidRPr="009B0448">
        <w:rPr>
          <w:rFonts w:ascii="Times New Roman" w:hAnsi="Times New Roman" w:cs="Times New Roman"/>
          <w:i/>
        </w:rPr>
        <w:t>et al</w:t>
      </w:r>
      <w:r w:rsidRPr="009B0448">
        <w:rPr>
          <w:rFonts w:ascii="Times New Roman" w:hAnsi="Times New Roman" w:cs="Times New Roman"/>
        </w:rPr>
        <w:t>., 1999). They hold several types of forest represented by fir, cedar, argan tree, atlas cypress, xeric pine, Berber thuya, cork oak, holm and holly oak, red juniper, thuriferous juniper and carob species. There are approximately 70 species of mammals in this region and some species are endemic, including some charismatic taxa such as Barbary leopards (</w:t>
      </w:r>
      <w:r w:rsidRPr="009B0448">
        <w:rPr>
          <w:rFonts w:ascii="Times New Roman" w:hAnsi="Times New Roman" w:cs="Times New Roman"/>
          <w:i/>
        </w:rPr>
        <w:t>Panthera pardus panther</w:t>
      </w:r>
      <w:r w:rsidRPr="009B0448">
        <w:rPr>
          <w:rFonts w:ascii="Times New Roman" w:hAnsi="Times New Roman" w:cs="Times New Roman"/>
        </w:rPr>
        <w:t>, Critically Endangered), Monk seal (</w:t>
      </w:r>
      <w:r w:rsidRPr="009B0448">
        <w:rPr>
          <w:rFonts w:ascii="Times New Roman" w:hAnsi="Times New Roman" w:cs="Times New Roman"/>
          <w:i/>
        </w:rPr>
        <w:t>Monachus monachus</w:t>
      </w:r>
      <w:r w:rsidRPr="009B0448">
        <w:rPr>
          <w:rFonts w:ascii="Times New Roman" w:hAnsi="Times New Roman" w:cs="Times New Roman"/>
        </w:rPr>
        <w:t>, Endangered), and Barbary macaque (</w:t>
      </w:r>
      <w:r w:rsidRPr="009B0448">
        <w:rPr>
          <w:rFonts w:ascii="Times New Roman" w:hAnsi="Times New Roman" w:cs="Times New Roman"/>
          <w:i/>
        </w:rPr>
        <w:t>Macaca sylvana</w:t>
      </w:r>
      <w:r w:rsidRPr="009B0448">
        <w:rPr>
          <w:rFonts w:ascii="Times New Roman" w:hAnsi="Times New Roman" w:cs="Times New Roman"/>
        </w:rPr>
        <w:t>, Endangered) and birds such as the Waldrap Ibis (</w:t>
      </w:r>
      <w:r w:rsidRPr="009B0448">
        <w:rPr>
          <w:rFonts w:ascii="Times New Roman" w:hAnsi="Times New Roman" w:cs="Times New Roman"/>
          <w:i/>
        </w:rPr>
        <w:t>Geronticus eremita</w:t>
      </w:r>
      <w:r w:rsidRPr="009B0448">
        <w:rPr>
          <w:rFonts w:ascii="Times New Roman" w:hAnsi="Times New Roman" w:cs="Times New Roman"/>
        </w:rPr>
        <w:t xml:space="preserve">, Endangered), the only world wild colony in Morocco (Butynski </w:t>
      </w:r>
      <w:r w:rsidRPr="009B0448">
        <w:rPr>
          <w:rFonts w:ascii="Times New Roman" w:hAnsi="Times New Roman" w:cs="Times New Roman"/>
          <w:i/>
        </w:rPr>
        <w:t>et al.</w:t>
      </w:r>
      <w:r w:rsidRPr="009B0448">
        <w:rPr>
          <w:rFonts w:ascii="Times New Roman" w:hAnsi="Times New Roman" w:cs="Times New Roman"/>
        </w:rPr>
        <w:t xml:space="preserve">, 2008; Karamanlidis </w:t>
      </w:r>
      <w:r w:rsidRPr="009B0448">
        <w:rPr>
          <w:rFonts w:ascii="Times New Roman" w:hAnsi="Times New Roman" w:cs="Times New Roman"/>
          <w:i/>
        </w:rPr>
        <w:t>et al.</w:t>
      </w:r>
      <w:r w:rsidRPr="009B0448">
        <w:rPr>
          <w:rFonts w:ascii="Times New Roman" w:hAnsi="Times New Roman" w:cs="Times New Roman"/>
        </w:rPr>
        <w:t xml:space="preserve">, 2015; BirdLife International, 2016; Stein </w:t>
      </w:r>
      <w:r w:rsidRPr="009B0448">
        <w:rPr>
          <w:rFonts w:ascii="Times New Roman" w:hAnsi="Times New Roman" w:cs="Times New Roman"/>
          <w:i/>
        </w:rPr>
        <w:t>et al.</w:t>
      </w:r>
      <w:r w:rsidRPr="009B0448">
        <w:rPr>
          <w:rFonts w:ascii="Times New Roman" w:hAnsi="Times New Roman" w:cs="Times New Roman"/>
        </w:rPr>
        <w:t xml:space="preserve">, 2016). </w:t>
      </w:r>
    </w:p>
    <w:p w14:paraId="6AA955BB" w14:textId="77777777" w:rsidR="009B0448" w:rsidRPr="009B0448" w:rsidRDefault="009B0448" w:rsidP="009B0448">
      <w:pPr>
        <w:spacing w:line="276" w:lineRule="auto"/>
        <w:jc w:val="both"/>
        <w:rPr>
          <w:rFonts w:ascii="Times New Roman" w:hAnsi="Times New Roman" w:cs="Times New Roman"/>
        </w:rPr>
      </w:pPr>
    </w:p>
    <w:p w14:paraId="7D4AD107" w14:textId="77777777" w:rsid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 flora and fauna diversity of Mediterranean forest habitats are highly threatened and highly endemic and need urgent research and implementation of the legislation for protection. The forests provide a rich source of products that provide sustenance and income for communities living in and around the forest (M’Hirit, 1999), however, recent human encroachment and overuse of resources are currently threatening these rich primary forests considered as national heritage (M’Hirit, 1999).</w:t>
      </w:r>
    </w:p>
    <w:p w14:paraId="7A8727B1" w14:textId="77777777" w:rsidR="006D75C7" w:rsidRPr="009B0448" w:rsidRDefault="006D75C7" w:rsidP="009B0448">
      <w:pPr>
        <w:spacing w:line="276" w:lineRule="auto"/>
        <w:jc w:val="both"/>
        <w:rPr>
          <w:rFonts w:ascii="Times New Roman" w:hAnsi="Times New Roman" w:cs="Times New Roman"/>
        </w:rPr>
      </w:pPr>
    </w:p>
    <w:p w14:paraId="04A4E04C" w14:textId="77777777" w:rsidR="00463527" w:rsidRDefault="00463527" w:rsidP="00463527">
      <w:pPr>
        <w:spacing w:line="276" w:lineRule="auto"/>
        <w:jc w:val="both"/>
        <w:rPr>
          <w:rFonts w:ascii="Times New Roman" w:hAnsi="Times New Roman" w:cs="Times New Roman"/>
        </w:rPr>
      </w:pPr>
      <w:r w:rsidRPr="009B0448">
        <w:rPr>
          <w:rFonts w:ascii="Times New Roman" w:hAnsi="Times New Roman" w:cs="Times New Roman"/>
        </w:rPr>
        <w:t>The original forest cover of this ecoregion has been dramatically reduced for agricultural and pastureland (Zaimeche, 1994). In Algeria, only 1,000 km</w:t>
      </w:r>
      <w:r w:rsidRPr="009B0448">
        <w:rPr>
          <w:rFonts w:ascii="Times New Roman" w:hAnsi="Times New Roman" w:cs="Times New Roman"/>
          <w:vertAlign w:val="superscript"/>
        </w:rPr>
        <w:t>2</w:t>
      </w:r>
      <w:r w:rsidRPr="009B0448">
        <w:rPr>
          <w:rFonts w:ascii="Times New Roman" w:hAnsi="Times New Roman" w:cs="Times New Roman"/>
        </w:rPr>
        <w:t xml:space="preserve"> of the original 10,000 km</w:t>
      </w:r>
      <w:r w:rsidRPr="009B0448">
        <w:rPr>
          <w:rFonts w:ascii="Times New Roman" w:hAnsi="Times New Roman" w:cs="Times New Roman"/>
          <w:vertAlign w:val="superscript"/>
        </w:rPr>
        <w:t>2</w:t>
      </w:r>
      <w:r w:rsidRPr="009B0448">
        <w:rPr>
          <w:rFonts w:ascii="Times New Roman" w:hAnsi="Times New Roman" w:cs="Times New Roman"/>
        </w:rPr>
        <w:t xml:space="preserve"> of wild-olive and carob forests remain, and only 6,800 km</w:t>
      </w:r>
      <w:r w:rsidRPr="009B0448">
        <w:rPr>
          <w:rFonts w:ascii="Times New Roman" w:hAnsi="Times New Roman" w:cs="Times New Roman"/>
          <w:vertAlign w:val="superscript"/>
        </w:rPr>
        <w:t>2</w:t>
      </w:r>
      <w:r w:rsidRPr="009B0448">
        <w:rPr>
          <w:rFonts w:ascii="Times New Roman" w:hAnsi="Times New Roman" w:cs="Times New Roman"/>
        </w:rPr>
        <w:t xml:space="preserve"> of the original 18,000 km</w:t>
      </w:r>
      <w:r w:rsidRPr="009B0448">
        <w:rPr>
          <w:rFonts w:ascii="Times New Roman" w:hAnsi="Times New Roman" w:cs="Times New Roman"/>
          <w:vertAlign w:val="superscript"/>
        </w:rPr>
        <w:t>2</w:t>
      </w:r>
      <w:r w:rsidRPr="009B0448">
        <w:rPr>
          <w:rFonts w:ascii="Times New Roman" w:hAnsi="Times New Roman" w:cs="Times New Roman"/>
        </w:rPr>
        <w:t xml:space="preserve"> of holm oak forest remains. In Morocco, 5,000 km</w:t>
      </w:r>
      <w:r w:rsidRPr="009B0448">
        <w:rPr>
          <w:rFonts w:ascii="Times New Roman" w:hAnsi="Times New Roman" w:cs="Times New Roman"/>
          <w:vertAlign w:val="superscript"/>
        </w:rPr>
        <w:t>2</w:t>
      </w:r>
      <w:r w:rsidRPr="009B0448">
        <w:rPr>
          <w:rFonts w:ascii="Times New Roman" w:hAnsi="Times New Roman" w:cs="Times New Roman"/>
        </w:rPr>
        <w:t xml:space="preserve"> of the estimated 36,240 km</w:t>
      </w:r>
      <w:r w:rsidRPr="009B0448">
        <w:rPr>
          <w:rFonts w:ascii="Times New Roman" w:hAnsi="Times New Roman" w:cs="Times New Roman"/>
          <w:vertAlign w:val="superscript"/>
        </w:rPr>
        <w:t>2</w:t>
      </w:r>
      <w:r w:rsidRPr="009B0448">
        <w:rPr>
          <w:rFonts w:ascii="Times New Roman" w:hAnsi="Times New Roman" w:cs="Times New Roman"/>
        </w:rPr>
        <w:t xml:space="preserve"> original wild-olive and carob forests remain, and 14,320 km</w:t>
      </w:r>
      <w:r w:rsidRPr="009B0448">
        <w:rPr>
          <w:rFonts w:ascii="Times New Roman" w:hAnsi="Times New Roman" w:cs="Times New Roman"/>
          <w:vertAlign w:val="superscript"/>
        </w:rPr>
        <w:t>2</w:t>
      </w:r>
      <w:r w:rsidRPr="009B0448">
        <w:rPr>
          <w:rFonts w:ascii="Times New Roman" w:hAnsi="Times New Roman" w:cs="Times New Roman"/>
        </w:rPr>
        <w:t xml:space="preserve"> of the original 24,500 km</w:t>
      </w:r>
      <w:r w:rsidRPr="009B0448">
        <w:rPr>
          <w:rFonts w:ascii="Times New Roman" w:hAnsi="Times New Roman" w:cs="Times New Roman"/>
          <w:vertAlign w:val="superscript"/>
        </w:rPr>
        <w:t>2</w:t>
      </w:r>
      <w:r w:rsidRPr="009B0448">
        <w:rPr>
          <w:rFonts w:ascii="Times New Roman" w:hAnsi="Times New Roman" w:cs="Times New Roman"/>
        </w:rPr>
        <w:t xml:space="preserve"> holm oak forest remains. The original extent of the cork oak forests in North Africa is estimated to be 30,000 km</w:t>
      </w:r>
      <w:r w:rsidRPr="009B0448">
        <w:rPr>
          <w:rFonts w:ascii="Times New Roman" w:hAnsi="Times New Roman" w:cs="Times New Roman"/>
          <w:vertAlign w:val="superscript"/>
        </w:rPr>
        <w:t>2</w:t>
      </w:r>
      <w:r w:rsidRPr="009B0448">
        <w:rPr>
          <w:rFonts w:ascii="Times New Roman" w:hAnsi="Times New Roman" w:cs="Times New Roman"/>
        </w:rPr>
        <w:t>, (3,500 km</w:t>
      </w:r>
      <w:r w:rsidRPr="009B0448">
        <w:rPr>
          <w:rFonts w:ascii="Times New Roman" w:hAnsi="Times New Roman" w:cs="Times New Roman"/>
          <w:vertAlign w:val="superscript"/>
        </w:rPr>
        <w:t>2</w:t>
      </w:r>
      <w:r w:rsidRPr="009B0448">
        <w:rPr>
          <w:rFonts w:ascii="Times New Roman" w:hAnsi="Times New Roman" w:cs="Times New Roman"/>
        </w:rPr>
        <w:t xml:space="preserve"> in Morocco, 4,500 km</w:t>
      </w:r>
      <w:r w:rsidRPr="009B0448">
        <w:rPr>
          <w:rFonts w:ascii="Times New Roman" w:hAnsi="Times New Roman" w:cs="Times New Roman"/>
          <w:vertAlign w:val="superscript"/>
        </w:rPr>
        <w:t>2</w:t>
      </w:r>
      <w:r w:rsidRPr="009B0448">
        <w:rPr>
          <w:rFonts w:ascii="Times New Roman" w:hAnsi="Times New Roman" w:cs="Times New Roman"/>
        </w:rPr>
        <w:t xml:space="preserve"> in Algeria, and 455 km</w:t>
      </w:r>
      <w:r w:rsidRPr="009B0448">
        <w:rPr>
          <w:rFonts w:ascii="Times New Roman" w:hAnsi="Times New Roman" w:cs="Times New Roman"/>
          <w:vertAlign w:val="superscript"/>
        </w:rPr>
        <w:t>2</w:t>
      </w:r>
      <w:r w:rsidRPr="009B0448">
        <w:rPr>
          <w:rFonts w:ascii="Times New Roman" w:hAnsi="Times New Roman" w:cs="Times New Roman"/>
        </w:rPr>
        <w:t xml:space="preserve"> in Tunisia). Removals of wood and non-wood forest products for economic purposes also threaten this ecosystem; for example, firewood collection dominates 80–100% of total wood forest </w:t>
      </w:r>
    </w:p>
    <w:p w14:paraId="03A9E8B4" w14:textId="0FDC2B33" w:rsidR="00463527" w:rsidRDefault="00463527" w:rsidP="00463527">
      <w:pPr>
        <w:spacing w:line="276" w:lineRule="auto"/>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0C71FB9D" wp14:editId="1DCBF3EE">
            <wp:extent cx="5562600" cy="3368040"/>
            <wp:effectExtent l="0" t="0" r="0" b="381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666">
                      <a:extLst>
                        <a:ext uri="{28A0092B-C50C-407E-A947-70E740481C1C}">
                          <a14:useLocalDpi xmlns:a14="http://schemas.microsoft.com/office/drawing/2010/main" val="0"/>
                        </a:ext>
                      </a:extLst>
                    </a:blip>
                    <a:srcRect t="2444" b="2647"/>
                    <a:stretch/>
                  </pic:blipFill>
                  <pic:spPr bwMode="auto">
                    <a:xfrm>
                      <a:off x="0" y="0"/>
                      <a:ext cx="5562600" cy="3368040"/>
                    </a:xfrm>
                    <a:prstGeom prst="rect">
                      <a:avLst/>
                    </a:prstGeom>
                    <a:noFill/>
                    <a:ln>
                      <a:noFill/>
                    </a:ln>
                    <a:extLst>
                      <a:ext uri="{53640926-AAD7-44D8-BBD7-CCE9431645EC}">
                        <a14:shadowObscured xmlns:a14="http://schemas.microsoft.com/office/drawing/2010/main"/>
                      </a:ext>
                    </a:extLst>
                  </pic:spPr>
                </pic:pic>
              </a:graphicData>
            </a:graphic>
          </wp:inline>
        </w:drawing>
      </w:r>
    </w:p>
    <w:p w14:paraId="07B1E0D2" w14:textId="4E0A8120" w:rsidR="006D75C7" w:rsidRDefault="00463527" w:rsidP="006D75C7">
      <w:pPr>
        <w:spacing w:line="276" w:lineRule="auto"/>
        <w:jc w:val="both"/>
        <w:rPr>
          <w:rFonts w:ascii="Times New Roman" w:hAnsi="Times New Roman" w:cs="Times New Roman"/>
        </w:rPr>
      </w:pPr>
      <w:r w:rsidRPr="009B0448">
        <w:rPr>
          <w:rFonts w:ascii="Times New Roman" w:hAnsi="Times New Roman" w:cs="Times New Roman"/>
          <w:b/>
        </w:rPr>
        <w:t>Figure 3.7:</w:t>
      </w:r>
      <w:r w:rsidRPr="009B0448">
        <w:rPr>
          <w:rFonts w:ascii="Times New Roman" w:hAnsi="Times New Roman" w:cs="Times New Roman"/>
        </w:rPr>
        <w:t xml:space="preserve"> </w:t>
      </w:r>
      <w:r>
        <w:rPr>
          <w:rFonts w:ascii="Times New Roman" w:hAnsi="Times New Roman" w:cs="Times New Roman"/>
        </w:rPr>
        <w:t>N</w:t>
      </w:r>
      <w:r w:rsidRPr="009B0448">
        <w:rPr>
          <w:rFonts w:ascii="Times New Roman" w:hAnsi="Times New Roman" w:cs="Times New Roman"/>
        </w:rPr>
        <w:t xml:space="preserve">umber of vascular plants in the countries of North Africa. Source: El Oualidi </w:t>
      </w:r>
      <w:r w:rsidRPr="009B0448">
        <w:rPr>
          <w:rFonts w:ascii="Times New Roman" w:hAnsi="Times New Roman" w:cs="Times New Roman"/>
          <w:i/>
        </w:rPr>
        <w:t>et al. (</w:t>
      </w:r>
      <w:r w:rsidRPr="009B0448">
        <w:rPr>
          <w:rFonts w:ascii="Times New Roman" w:hAnsi="Times New Roman" w:cs="Times New Roman"/>
        </w:rPr>
        <w:t>2012).</w:t>
      </w:r>
      <w:r w:rsidR="006D75C7">
        <w:rPr>
          <w:rFonts w:ascii="Times New Roman" w:hAnsi="Times New Roman" w:cs="Times New Roman"/>
        </w:rPr>
        <w:br w:type="page"/>
      </w:r>
    </w:p>
    <w:p w14:paraId="1C816FB7" w14:textId="35542C5B" w:rsidR="00463527" w:rsidRDefault="00463527" w:rsidP="00463527">
      <w:pPr>
        <w:spacing w:line="276" w:lineRule="auto"/>
        <w:jc w:val="both"/>
        <w:rPr>
          <w:rFonts w:ascii="Times New Roman" w:hAnsi="Times New Roman" w:cs="Times New Roman"/>
        </w:rPr>
      </w:pPr>
      <w:r w:rsidRPr="009B0448">
        <w:rPr>
          <w:rFonts w:ascii="Times New Roman" w:hAnsi="Times New Roman" w:cs="Times New Roman"/>
          <w:noProof/>
          <w:lang w:eastAsia="en-GB"/>
        </w:rPr>
        <w:lastRenderedPageBreak/>
        <w:drawing>
          <wp:inline distT="0" distB="0" distL="0" distR="0" wp14:anchorId="79366EDB" wp14:editId="425FC48C">
            <wp:extent cx="5731510" cy="3075073"/>
            <wp:effectExtent l="0" t="0" r="254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731510" cy="3075073"/>
                    </a:xfrm>
                    <a:prstGeom prst="rect">
                      <a:avLst/>
                    </a:prstGeom>
                    <a:noFill/>
                    <a:ln>
                      <a:noFill/>
                    </a:ln>
                  </pic:spPr>
                </pic:pic>
              </a:graphicData>
            </a:graphic>
          </wp:inline>
        </w:drawing>
      </w:r>
    </w:p>
    <w:p w14:paraId="3988DB0A" w14:textId="77777777" w:rsidR="00463527" w:rsidRPr="009B0448" w:rsidRDefault="00463527" w:rsidP="00463527">
      <w:pPr>
        <w:spacing w:line="276" w:lineRule="auto"/>
        <w:jc w:val="both"/>
        <w:rPr>
          <w:rFonts w:ascii="Times New Roman" w:hAnsi="Times New Roman" w:cs="Times New Roman"/>
        </w:rPr>
      </w:pPr>
      <w:r w:rsidRPr="009B0448">
        <w:rPr>
          <w:rFonts w:ascii="Times New Roman" w:hAnsi="Times New Roman" w:cs="Times New Roman"/>
          <w:b/>
        </w:rPr>
        <w:t xml:space="preserve">Figure 3.8: </w:t>
      </w:r>
      <w:r w:rsidRPr="009B0448">
        <w:rPr>
          <w:rFonts w:ascii="Times New Roman" w:hAnsi="Times New Roman" w:cs="Times New Roman"/>
        </w:rPr>
        <w:t xml:space="preserve">Endemic vascular flora in North Africa. Source: Dobignard </w:t>
      </w:r>
      <w:r w:rsidRPr="009B0448">
        <w:rPr>
          <w:rFonts w:ascii="Times New Roman" w:hAnsi="Times New Roman" w:cs="Times New Roman"/>
          <w:i/>
        </w:rPr>
        <w:t>et al.</w:t>
      </w:r>
      <w:r w:rsidRPr="009B0448">
        <w:rPr>
          <w:rFonts w:ascii="Times New Roman" w:hAnsi="Times New Roman" w:cs="Times New Roman"/>
        </w:rPr>
        <w:t xml:space="preserve"> (2013).</w:t>
      </w:r>
    </w:p>
    <w:p w14:paraId="2D194926" w14:textId="77777777" w:rsidR="00463527" w:rsidRDefault="00463527" w:rsidP="00463527">
      <w:pPr>
        <w:spacing w:line="276" w:lineRule="auto"/>
        <w:jc w:val="both"/>
        <w:rPr>
          <w:rFonts w:ascii="Times New Roman" w:hAnsi="Times New Roman" w:cs="Times New Roman"/>
        </w:rPr>
      </w:pPr>
    </w:p>
    <w:p w14:paraId="048F3304" w14:textId="443D6DCB" w:rsidR="00463527" w:rsidRPr="009B0448" w:rsidRDefault="00463527" w:rsidP="00463527">
      <w:pPr>
        <w:spacing w:line="276" w:lineRule="auto"/>
        <w:jc w:val="both"/>
        <w:rPr>
          <w:rFonts w:ascii="Times New Roman" w:hAnsi="Times New Roman" w:cs="Times New Roman"/>
        </w:rPr>
      </w:pPr>
      <w:r w:rsidRPr="009B0448">
        <w:rPr>
          <w:rFonts w:ascii="Times New Roman" w:hAnsi="Times New Roman" w:cs="Times New Roman"/>
        </w:rPr>
        <w:t xml:space="preserve">product removals in Tunisia, Morocco and Lebanon (Croitoru, 2007). Net carbon losses in these three countries vary within 0.08–0.53 tons of Carbon/hectare/year (Croitoru, 2007). </w:t>
      </w:r>
    </w:p>
    <w:p w14:paraId="3A42018A" w14:textId="77777777" w:rsidR="009B0448" w:rsidRDefault="009B0448" w:rsidP="009B0448">
      <w:pPr>
        <w:spacing w:line="276" w:lineRule="auto"/>
        <w:jc w:val="both"/>
        <w:rPr>
          <w:rFonts w:ascii="Times New Roman" w:hAnsi="Times New Roman" w:cs="Times New Roman"/>
        </w:rPr>
      </w:pPr>
    </w:p>
    <w:p w14:paraId="794E606B"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protected areas in this ecoregion are generally lacking in management plans and those that do have management plans lack resources to implement them. Recent biodiversity studies in this habitat are limited and there is an urgent need for research to better understand the current conservation status and trends affecting the Mediterranean forests, including biodiversity and ecosystem services, in this region (Médail </w:t>
      </w:r>
      <w:r w:rsidRPr="009B0448">
        <w:rPr>
          <w:rFonts w:ascii="Times New Roman" w:hAnsi="Times New Roman" w:cs="Times New Roman"/>
          <w:i/>
        </w:rPr>
        <w:t>et al.</w:t>
      </w:r>
      <w:r w:rsidRPr="009B0448">
        <w:rPr>
          <w:rFonts w:ascii="Times New Roman" w:hAnsi="Times New Roman" w:cs="Times New Roman"/>
        </w:rPr>
        <w:t>, 1999).</w:t>
      </w:r>
    </w:p>
    <w:p w14:paraId="4ED5E39A"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55" w:name="_Toc519499860"/>
      <w:r w:rsidRPr="009B0448">
        <w:rPr>
          <w:rFonts w:cs="Times New Roman"/>
          <w:b w:val="0"/>
          <w:sz w:val="22"/>
          <w:szCs w:val="22"/>
        </w:rPr>
        <w:t>High mountain habitats</w:t>
      </w:r>
      <w:bookmarkEnd w:id="155"/>
    </w:p>
    <w:p w14:paraId="7E89792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b/>
        </w:rPr>
        <w:t xml:space="preserve"> </w:t>
      </w:r>
      <w:r w:rsidRPr="009B0448">
        <w:rPr>
          <w:rFonts w:ascii="Times New Roman" w:hAnsi="Times New Roman" w:cs="Times New Roman"/>
        </w:rPr>
        <w:t xml:space="preserve">North Africa’s mountain ranges include the Atlas and Rif mountains, and their highest peaks include Morocco’s Jbel Toubkal (4,167 metres) and Ighil M’Goun (4,071 metres). Mediterranean conifer and mixed forests grow in high elevations of the major mountain massifs, and small, isolated relict stands of fir and pine forests are endemic (Olson </w:t>
      </w:r>
      <w:r w:rsidRPr="009B0448">
        <w:rPr>
          <w:rFonts w:ascii="Times New Roman" w:hAnsi="Times New Roman" w:cs="Times New Roman"/>
          <w:i/>
        </w:rPr>
        <w:t>et al.</w:t>
      </w:r>
      <w:r w:rsidRPr="009B0448">
        <w:rPr>
          <w:rFonts w:ascii="Times New Roman" w:hAnsi="Times New Roman" w:cs="Times New Roman"/>
        </w:rPr>
        <w:t>, 2001). The mountain regions’ high endemism includes 91 endemic plant species in the Tell Atlas Mountains, at least 190 in the Rif Mountains, and 237 endemic species in the Middle Atlas Mountain range (FAO, 2015a). Flagship species include the argan tree (Sapotaceae) and the endangered Mediterranean fir (</w:t>
      </w:r>
      <w:r w:rsidRPr="009B0448">
        <w:rPr>
          <w:rFonts w:ascii="Times New Roman" w:hAnsi="Times New Roman" w:cs="Times New Roman"/>
          <w:i/>
        </w:rPr>
        <w:t>Abies marocana</w:t>
      </w:r>
      <w:r w:rsidRPr="009B0448">
        <w:rPr>
          <w:rFonts w:ascii="Times New Roman" w:hAnsi="Times New Roman" w:cs="Times New Roman"/>
        </w:rPr>
        <w:t xml:space="preserve">) (Alaoui </w:t>
      </w:r>
      <w:r w:rsidRPr="009B0448">
        <w:rPr>
          <w:rFonts w:ascii="Times New Roman" w:hAnsi="Times New Roman" w:cs="Times New Roman"/>
          <w:i/>
        </w:rPr>
        <w:t>et al.</w:t>
      </w:r>
      <w:r w:rsidRPr="009B0448">
        <w:rPr>
          <w:rFonts w:ascii="Times New Roman" w:hAnsi="Times New Roman" w:cs="Times New Roman"/>
        </w:rPr>
        <w:t>, 2011; Table 3.7). One of the few known remaining habitats of the striped hyena (</w:t>
      </w:r>
      <w:r w:rsidRPr="009B0448">
        <w:rPr>
          <w:rFonts w:ascii="Times New Roman" w:hAnsi="Times New Roman" w:cs="Times New Roman"/>
          <w:i/>
        </w:rPr>
        <w:t>Hyaena hyaena</w:t>
      </w:r>
      <w:r w:rsidRPr="009B0448">
        <w:rPr>
          <w:rFonts w:ascii="Times New Roman" w:hAnsi="Times New Roman" w:cs="Times New Roman"/>
        </w:rPr>
        <w:t xml:space="preserve">, Near Threatened) is found in the Djurdjura Mountains (Arumugam </w:t>
      </w:r>
      <w:r w:rsidRPr="009B0448">
        <w:rPr>
          <w:rFonts w:ascii="Times New Roman" w:hAnsi="Times New Roman" w:cs="Times New Roman"/>
          <w:i/>
        </w:rPr>
        <w:t>et al.</w:t>
      </w:r>
      <w:r w:rsidRPr="009B0448">
        <w:rPr>
          <w:rFonts w:ascii="Times New Roman" w:hAnsi="Times New Roman" w:cs="Times New Roman"/>
        </w:rPr>
        <w:t xml:space="preserve">, 2008). Only 1% of mountain areas are found within protected areas. </w:t>
      </w:r>
    </w:p>
    <w:p w14:paraId="7AFA2183" w14:textId="77777777" w:rsidR="009B0448" w:rsidRPr="009B0448" w:rsidRDefault="009B0448" w:rsidP="009B0448">
      <w:pPr>
        <w:spacing w:line="276" w:lineRule="auto"/>
        <w:jc w:val="both"/>
        <w:rPr>
          <w:rFonts w:ascii="Times New Roman" w:hAnsi="Times New Roman" w:cs="Times New Roman"/>
        </w:rPr>
      </w:pPr>
    </w:p>
    <w:p w14:paraId="68E49619" w14:textId="4F792CD7" w:rsidR="009B0448" w:rsidRPr="00247AD0" w:rsidRDefault="009B0448" w:rsidP="009B0448">
      <w:pPr>
        <w:spacing w:line="276" w:lineRule="auto"/>
        <w:jc w:val="both"/>
        <w:rPr>
          <w:rFonts w:ascii="Times New Roman" w:hAnsi="Times New Roman" w:cs="Times New Roman"/>
          <w:vertAlign w:val="superscript"/>
        </w:rPr>
      </w:pPr>
      <w:r w:rsidRPr="009B0448">
        <w:rPr>
          <w:rFonts w:ascii="Times New Roman" w:hAnsi="Times New Roman" w:cs="Times New Roman"/>
        </w:rPr>
        <w:t>The region’s mountains have an average human density of 15 people/km</w:t>
      </w:r>
      <w:r w:rsidRPr="009B0448">
        <w:rPr>
          <w:rFonts w:ascii="Times New Roman" w:hAnsi="Times New Roman" w:cs="Times New Roman"/>
          <w:vertAlign w:val="superscript"/>
        </w:rPr>
        <w:t>2</w:t>
      </w:r>
      <w:r w:rsidRPr="009B0448">
        <w:rPr>
          <w:rFonts w:ascii="Times New Roman" w:hAnsi="Times New Roman" w:cs="Times New Roman"/>
        </w:rPr>
        <w:t xml:space="preserve"> (Pfeifer </w:t>
      </w:r>
      <w:r w:rsidRPr="009B0448">
        <w:rPr>
          <w:rFonts w:ascii="Times New Roman" w:hAnsi="Times New Roman" w:cs="Times New Roman"/>
          <w:i/>
        </w:rPr>
        <w:t>et al.</w:t>
      </w:r>
      <w:r w:rsidRPr="009B0448">
        <w:rPr>
          <w:rFonts w:ascii="Times New Roman" w:hAnsi="Times New Roman" w:cs="Times New Roman"/>
        </w:rPr>
        <w:t xml:space="preserve">, 2012), representing a 2% increase since 2000. Humans’ greatest service from the region’s mountain ecosystems is their ‘water tower’ function. Although dominated by desert, the tallest peaks hold snow for weeks to months and meltwater contributes to and regulates water flow that benefits agriculture from late winter to early summer (UNEP, 2014). Snowmelt from the High Atlas Mountains contributes approximately 25% of streamflow in its catchments (Boudhar </w:t>
      </w:r>
      <w:r w:rsidRPr="009B0448">
        <w:rPr>
          <w:rFonts w:ascii="Times New Roman" w:hAnsi="Times New Roman" w:cs="Times New Roman"/>
          <w:i/>
        </w:rPr>
        <w:t>et al.</w:t>
      </w:r>
      <w:r w:rsidRPr="009B0448">
        <w:rPr>
          <w:rFonts w:ascii="Times New Roman" w:hAnsi="Times New Roman" w:cs="Times New Roman"/>
        </w:rPr>
        <w:t xml:space="preserve">, 2009), and the region supplies the headwaters for the Sebou River, the Oum Errabiaa and Oued Moulouiya. The region’s mountain </w:t>
      </w:r>
      <w:r w:rsidRPr="009B0448">
        <w:rPr>
          <w:rFonts w:ascii="Times New Roman" w:hAnsi="Times New Roman" w:cs="Times New Roman"/>
        </w:rPr>
        <w:lastRenderedPageBreak/>
        <w:t>ecosystems also provide grazing and tourism (trekking and skiing), and hold important sacred sites such as Egypt’s Mount Sinai (UNEP, 2014) and Zaouia in Atlas mountain.</w:t>
      </w:r>
    </w:p>
    <w:p w14:paraId="245F327F" w14:textId="77777777" w:rsidR="009B0448" w:rsidRPr="009B0448" w:rsidRDefault="009B0448" w:rsidP="009B0448">
      <w:pPr>
        <w:spacing w:line="276" w:lineRule="auto"/>
        <w:jc w:val="both"/>
        <w:rPr>
          <w:rFonts w:ascii="Times New Roman" w:hAnsi="Times New Roman" w:cs="Times New Roman"/>
        </w:rPr>
      </w:pPr>
    </w:p>
    <w:p w14:paraId="7320FDD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w:t>
      </w:r>
      <w:r w:rsidRPr="009B0448">
        <w:rPr>
          <w:rFonts w:ascii="Times New Roman" w:hAnsi="Times New Roman" w:cs="Times New Roman"/>
          <w:b/>
        </w:rPr>
        <w:t xml:space="preserve"> </w:t>
      </w:r>
      <w:r w:rsidRPr="009B0448">
        <w:rPr>
          <w:rFonts w:ascii="Times New Roman" w:hAnsi="Times New Roman" w:cs="Times New Roman"/>
        </w:rPr>
        <w:t xml:space="preserve">Historical pressures to the region’s mountain ecosystems include habitat transformation for agriculture, which has increased markedly between 1984 and 2013, especially around the Oued N’Fis (UNEP, 2014). Wastewater pollution generated by growing urban areas is compromising river water quality (Perrin </w:t>
      </w:r>
      <w:r w:rsidRPr="009B0448">
        <w:rPr>
          <w:rFonts w:ascii="Times New Roman" w:hAnsi="Times New Roman" w:cs="Times New Roman"/>
          <w:i/>
        </w:rPr>
        <w:t>et al.</w:t>
      </w:r>
      <w:r w:rsidRPr="009B0448">
        <w:rPr>
          <w:rFonts w:ascii="Times New Roman" w:hAnsi="Times New Roman" w:cs="Times New Roman"/>
        </w:rPr>
        <w:t xml:space="preserve">, 2014). Atlas cedar forests found among the Aures Mountains and the Djurdjura Mountains are under pressure from climate change, fire and pastoralism, though wood harvest rates are low (Djema </w:t>
      </w:r>
      <w:r w:rsidRPr="009B0448">
        <w:rPr>
          <w:rFonts w:ascii="Times New Roman" w:hAnsi="Times New Roman" w:cs="Times New Roman"/>
          <w:i/>
        </w:rPr>
        <w:t>et al.</w:t>
      </w:r>
      <w:r w:rsidRPr="009B0448">
        <w:rPr>
          <w:rFonts w:ascii="Times New Roman" w:hAnsi="Times New Roman" w:cs="Times New Roman"/>
        </w:rPr>
        <w:t>, 2009). The Rif Mountains are exceptionally vulnerable to soil erosion, losing an average of 10 m</w:t>
      </w:r>
      <w:r w:rsidRPr="009B0448">
        <w:rPr>
          <w:rFonts w:ascii="Times New Roman" w:hAnsi="Times New Roman" w:cs="Times New Roman"/>
          <w:vertAlign w:val="superscript"/>
        </w:rPr>
        <w:t>3</w:t>
      </w:r>
      <w:r w:rsidRPr="009B0448">
        <w:rPr>
          <w:rFonts w:ascii="Times New Roman" w:hAnsi="Times New Roman" w:cs="Times New Roman"/>
        </w:rPr>
        <w:t xml:space="preserve">/hectare/year (Croitoru </w:t>
      </w:r>
      <w:r w:rsidRPr="009B0448">
        <w:rPr>
          <w:rFonts w:ascii="Times New Roman" w:hAnsi="Times New Roman" w:cs="Times New Roman"/>
          <w:i/>
        </w:rPr>
        <w:t>et al.</w:t>
      </w:r>
      <w:r w:rsidRPr="009B0448">
        <w:rPr>
          <w:rFonts w:ascii="Times New Roman" w:hAnsi="Times New Roman" w:cs="Times New Roman"/>
        </w:rPr>
        <w:t xml:space="preserve">, 2005). Forest cover, although limited, has increased by 6% overall and by 78% within national parks (2000–2009) (Pfeifer </w:t>
      </w:r>
      <w:r w:rsidRPr="009B0448">
        <w:rPr>
          <w:rFonts w:ascii="Times New Roman" w:hAnsi="Times New Roman" w:cs="Times New Roman"/>
          <w:i/>
        </w:rPr>
        <w:t>et al.</w:t>
      </w:r>
      <w:r w:rsidRPr="009B0448">
        <w:rPr>
          <w:rFonts w:ascii="Times New Roman" w:hAnsi="Times New Roman" w:cs="Times New Roman"/>
        </w:rPr>
        <w:t xml:space="preserve">, 2012). The region holds some of the Mediterranean basin’s highest proportions of threatened terrestrial amphibians, mammals, dragonflies and reptiles (Cuttelod </w:t>
      </w:r>
      <w:r w:rsidRPr="009B0448">
        <w:rPr>
          <w:rFonts w:ascii="Times New Roman" w:hAnsi="Times New Roman" w:cs="Times New Roman"/>
          <w:i/>
        </w:rPr>
        <w:t>et al.</w:t>
      </w:r>
      <w:r w:rsidRPr="009B0448">
        <w:rPr>
          <w:rFonts w:ascii="Times New Roman" w:hAnsi="Times New Roman" w:cs="Times New Roman"/>
        </w:rPr>
        <w:t xml:space="preserve">, 2008). </w:t>
      </w:r>
    </w:p>
    <w:p w14:paraId="53B5FFEF" w14:textId="77777777" w:rsidR="009B0448" w:rsidRPr="009B0448" w:rsidRDefault="009B0448" w:rsidP="009B0448">
      <w:pPr>
        <w:spacing w:line="276" w:lineRule="auto"/>
        <w:jc w:val="both"/>
        <w:rPr>
          <w:rFonts w:ascii="Times New Roman" w:hAnsi="Times New Roman" w:cs="Times New Roman"/>
        </w:rPr>
      </w:pPr>
    </w:p>
    <w:p w14:paraId="082858E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b/>
        </w:rPr>
        <w:t xml:space="preserve"> </w:t>
      </w:r>
      <w:r w:rsidRPr="009B0448">
        <w:rPr>
          <w:rFonts w:ascii="Times New Roman" w:hAnsi="Times New Roman" w:cs="Times New Roman"/>
        </w:rPr>
        <w:t xml:space="preserve">Climate change poses the most serious threat to North Africa’s mountain ecosystems in the future. Predicted temperatures increase, precipitation declines and longer dry season (Pfeifer </w:t>
      </w:r>
      <w:r w:rsidRPr="009B0448">
        <w:rPr>
          <w:rFonts w:ascii="Times New Roman" w:hAnsi="Times New Roman" w:cs="Times New Roman"/>
          <w:i/>
        </w:rPr>
        <w:t>et al.</w:t>
      </w:r>
      <w:r w:rsidRPr="009B0448">
        <w:rPr>
          <w:rFonts w:ascii="Times New Roman" w:hAnsi="Times New Roman" w:cs="Times New Roman"/>
        </w:rPr>
        <w:t xml:space="preserve">, 2012) will lead to declines in snow and hence in ‘water tower’ function. Resulting water shortages are projected to decrease agriculture by 8% by the end of the 21st century (Montanari, 2013). </w:t>
      </w:r>
    </w:p>
    <w:p w14:paraId="0EE77109" w14:textId="77777777" w:rsidR="009B0448" w:rsidRPr="009B0448" w:rsidRDefault="009B0448" w:rsidP="009B0448">
      <w:pPr>
        <w:spacing w:line="276" w:lineRule="auto"/>
        <w:jc w:val="both"/>
        <w:rPr>
          <w:rFonts w:ascii="Times New Roman" w:hAnsi="Times New Roman" w:cs="Times New Roman"/>
          <w:color w:val="002060"/>
        </w:rPr>
      </w:pPr>
    </w:p>
    <w:p w14:paraId="65788E55" w14:textId="2C35558D"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b/>
          <w:color w:val="auto"/>
        </w:rPr>
        <w:t xml:space="preserve">Table 3.7: </w:t>
      </w:r>
      <w:r w:rsidRPr="009B0448">
        <w:rPr>
          <w:rFonts w:ascii="Times New Roman" w:hAnsi="Times New Roman" w:cs="Times New Roman"/>
          <w:color w:val="auto"/>
        </w:rPr>
        <w:t xml:space="preserve">List of main terrestrial forest ecosystems in North Africa. </w:t>
      </w:r>
    </w:p>
    <w:tbl>
      <w:tblPr>
        <w:tblStyle w:val="8"/>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600" w:firstRow="0" w:lastRow="0" w:firstColumn="0" w:lastColumn="0" w:noHBand="1" w:noVBand="1"/>
      </w:tblPr>
      <w:tblGrid>
        <w:gridCol w:w="3392"/>
        <w:gridCol w:w="1843"/>
        <w:gridCol w:w="1990"/>
        <w:gridCol w:w="1781"/>
      </w:tblGrid>
      <w:tr w:rsidR="009B0448" w:rsidRPr="009B0448" w14:paraId="6D73B203" w14:textId="77777777" w:rsidTr="009B0448">
        <w:trPr>
          <w:trHeight w:val="166"/>
        </w:trPr>
        <w:tc>
          <w:tcPr>
            <w:tcW w:w="1883"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94DD6" w14:textId="77777777" w:rsidR="009B0448" w:rsidRPr="009B0448" w:rsidRDefault="009B0448">
            <w:pPr>
              <w:spacing w:line="276" w:lineRule="auto"/>
              <w:rPr>
                <w:rFonts w:ascii="Times New Roman" w:hAnsi="Times New Roman" w:cs="Times New Roman"/>
                <w:b/>
                <w:color w:val="auto"/>
              </w:rPr>
            </w:pPr>
            <w:r w:rsidRPr="009B0448">
              <w:rPr>
                <w:rFonts w:ascii="Times New Roman" w:hAnsi="Times New Roman" w:cs="Times New Roman"/>
                <w:b/>
                <w:color w:val="auto"/>
              </w:rPr>
              <w:t>Main Forest Ecosystems</w:t>
            </w:r>
          </w:p>
        </w:tc>
        <w:tc>
          <w:tcPr>
            <w:tcW w:w="1023" w:type="pct"/>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32BE75A" w14:textId="77777777" w:rsidR="009B0448" w:rsidRPr="009B0448" w:rsidRDefault="009B0448">
            <w:pPr>
              <w:spacing w:line="276" w:lineRule="auto"/>
              <w:rPr>
                <w:rFonts w:ascii="Times New Roman" w:hAnsi="Times New Roman" w:cs="Times New Roman"/>
                <w:b/>
                <w:vertAlign w:val="superscript"/>
              </w:rPr>
            </w:pPr>
            <w:r w:rsidRPr="009B0448">
              <w:rPr>
                <w:rFonts w:ascii="Times New Roman" w:hAnsi="Times New Roman" w:cs="Times New Roman"/>
                <w:b/>
              </w:rPr>
              <w:t>Area (hectares) in Morocco</w:t>
            </w:r>
            <w:r w:rsidRPr="009B0448">
              <w:rPr>
                <w:rFonts w:ascii="Times New Roman" w:hAnsi="Times New Roman" w:cs="Times New Roman"/>
                <w:b/>
                <w:vertAlign w:val="superscript"/>
              </w:rPr>
              <w:t>(1)</w:t>
            </w:r>
          </w:p>
        </w:tc>
        <w:tc>
          <w:tcPr>
            <w:tcW w:w="1105" w:type="pct"/>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6575505" w14:textId="77777777" w:rsidR="009B0448" w:rsidRPr="009B0448" w:rsidRDefault="009B0448">
            <w:pPr>
              <w:spacing w:line="276" w:lineRule="auto"/>
              <w:rPr>
                <w:rFonts w:ascii="Times New Roman" w:hAnsi="Times New Roman" w:cs="Times New Roman"/>
                <w:b/>
                <w:vertAlign w:val="superscript"/>
              </w:rPr>
            </w:pPr>
            <w:r w:rsidRPr="009B0448">
              <w:rPr>
                <w:rFonts w:ascii="Times New Roman" w:hAnsi="Times New Roman" w:cs="Times New Roman"/>
                <w:b/>
              </w:rPr>
              <w:t>Area (hectares) in Algeria</w:t>
            </w:r>
            <w:r w:rsidRPr="009B0448">
              <w:rPr>
                <w:rFonts w:ascii="Times New Roman" w:hAnsi="Times New Roman" w:cs="Times New Roman"/>
                <w:b/>
                <w:vertAlign w:val="superscript"/>
              </w:rPr>
              <w:t>(2)</w:t>
            </w:r>
          </w:p>
        </w:tc>
        <w:tc>
          <w:tcPr>
            <w:tcW w:w="989" w:type="pct"/>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F6554D0" w14:textId="77777777" w:rsidR="009B0448" w:rsidRPr="009B0448" w:rsidRDefault="009B0448">
            <w:pPr>
              <w:spacing w:line="276" w:lineRule="auto"/>
              <w:rPr>
                <w:rFonts w:ascii="Times New Roman" w:hAnsi="Times New Roman" w:cs="Times New Roman"/>
                <w:b/>
                <w:vertAlign w:val="superscript"/>
              </w:rPr>
            </w:pPr>
            <w:r w:rsidRPr="009B0448">
              <w:rPr>
                <w:rFonts w:ascii="Times New Roman" w:hAnsi="Times New Roman" w:cs="Times New Roman"/>
                <w:b/>
              </w:rPr>
              <w:t>Area (hectares) in Tunisia</w:t>
            </w:r>
            <w:r w:rsidRPr="009B0448">
              <w:rPr>
                <w:rFonts w:ascii="Times New Roman" w:hAnsi="Times New Roman" w:cs="Times New Roman"/>
                <w:b/>
                <w:vertAlign w:val="superscript"/>
              </w:rPr>
              <w:t>(3)</w:t>
            </w:r>
          </w:p>
        </w:tc>
      </w:tr>
      <w:tr w:rsidR="009B0448" w:rsidRPr="009B0448" w14:paraId="67AA9C38" w14:textId="77777777" w:rsidTr="009B0448">
        <w:trPr>
          <w:trHeight w:val="268"/>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81001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t xml:space="preserve">Quercus rotundifolia </w:t>
            </w:r>
            <w:r w:rsidRPr="009B0448">
              <w:rPr>
                <w:rFonts w:ascii="Times New Roman" w:hAnsi="Times New Roman" w:cs="Times New Roman"/>
              </w:rPr>
              <w:t>Lam.</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11EC8A6F"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1,415,201</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3A877A46"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354,000</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A6AA0E0" w14:textId="77777777" w:rsidR="009B0448" w:rsidRPr="009B0448" w:rsidRDefault="009B0448">
            <w:pPr>
              <w:spacing w:line="276" w:lineRule="auto"/>
              <w:rPr>
                <w:rFonts w:ascii="Times New Roman" w:hAnsi="Times New Roman" w:cs="Times New Roman"/>
                <w:color w:val="545454"/>
              </w:rPr>
            </w:pPr>
            <w:r w:rsidRPr="009B0448">
              <w:rPr>
                <w:rFonts w:ascii="Times New Roman" w:hAnsi="Times New Roman" w:cs="Times New Roman"/>
                <w:color w:val="auto"/>
              </w:rPr>
              <w:t>83,000</w:t>
            </w:r>
          </w:p>
        </w:tc>
      </w:tr>
      <w:tr w:rsidR="009B0448" w:rsidRPr="009B0448" w14:paraId="6ACC3D6C" w14:textId="77777777" w:rsidTr="009B0448">
        <w:trPr>
          <w:trHeight w:val="432"/>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38117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t xml:space="preserve">Cedrus atlantica </w:t>
            </w:r>
            <w:r w:rsidRPr="009B0448">
              <w:rPr>
                <w:rFonts w:ascii="Times New Roman" w:hAnsi="Times New Roman" w:cs="Times New Roman"/>
              </w:rPr>
              <w:t>(Endl.) Carrière</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5D021AFA"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133,653</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34D1DD7C"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23,000</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22AB0C4"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Absent</w:t>
            </w:r>
          </w:p>
        </w:tc>
      </w:tr>
      <w:tr w:rsidR="009B0448" w:rsidRPr="009B0448" w14:paraId="5196060D"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5D3991"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t xml:space="preserve">Argania spinosa </w:t>
            </w:r>
            <w:r w:rsidRPr="009B0448">
              <w:rPr>
                <w:rFonts w:ascii="Times New Roman" w:hAnsi="Times New Roman" w:cs="Times New Roman"/>
              </w:rPr>
              <w:t>L.</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B7647B7"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871,210</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33AA21BB" w14:textId="77777777" w:rsidR="009B0448" w:rsidRPr="009B0448" w:rsidRDefault="009B0448">
            <w:pPr>
              <w:spacing w:line="276" w:lineRule="auto"/>
              <w:rPr>
                <w:rFonts w:ascii="Times New Roman" w:hAnsi="Times New Roman" w:cs="Times New Roman"/>
              </w:rPr>
            </w:pP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0DCCC4A"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Absent</w:t>
            </w:r>
          </w:p>
        </w:tc>
      </w:tr>
      <w:tr w:rsidR="009B0448" w:rsidRPr="009B0448" w14:paraId="09D1357A"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731265"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t>Quercus suber</w:t>
            </w:r>
            <w:r w:rsidRPr="009B0448">
              <w:rPr>
                <w:rFonts w:ascii="Times New Roman" w:hAnsi="Times New Roman" w:cs="Times New Roman"/>
              </w:rPr>
              <w:t xml:space="preserve"> L.</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0954EDB"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377,482</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AFF212B"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480,000</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18A840F8"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100,000</w:t>
            </w:r>
          </w:p>
        </w:tc>
      </w:tr>
      <w:tr w:rsidR="009B0448" w:rsidRPr="009B0448" w14:paraId="6854EC52"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FD3275" w14:textId="77777777" w:rsidR="009B0448" w:rsidRPr="009B0448" w:rsidRDefault="009B0448">
            <w:pPr>
              <w:spacing w:line="276" w:lineRule="auto"/>
              <w:rPr>
                <w:rFonts w:ascii="Times New Roman" w:hAnsi="Times New Roman" w:cs="Times New Roman"/>
                <w:i/>
              </w:rPr>
            </w:pPr>
            <w:r w:rsidRPr="009B0448">
              <w:rPr>
                <w:rFonts w:ascii="Times New Roman" w:hAnsi="Times New Roman" w:cs="Times New Roman"/>
                <w:i/>
              </w:rPr>
              <w:t>Quercus coccifera</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418581A1"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39CAD02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349F8F9B"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r>
      <w:tr w:rsidR="009B0448" w:rsidRPr="009B0448" w14:paraId="2825EAAE"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FAFCC7" w14:textId="2217CDE2"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t>Juniperus</w:t>
            </w:r>
            <w:r w:rsidRPr="009B0448">
              <w:rPr>
                <w:rFonts w:ascii="Times New Roman" w:hAnsi="Times New Roman" w:cs="Times New Roman"/>
              </w:rPr>
              <w:t xml:space="preserve"> </w:t>
            </w:r>
            <w:r w:rsidR="001C6E5D">
              <w:rPr>
                <w:rFonts w:ascii="Times New Roman" w:hAnsi="Times New Roman" w:cs="Times New Roman"/>
                <w:i/>
              </w:rPr>
              <w:t>p</w:t>
            </w:r>
            <w:r w:rsidRPr="009B0448">
              <w:rPr>
                <w:rFonts w:ascii="Times New Roman" w:hAnsi="Times New Roman" w:cs="Times New Roman"/>
                <w:i/>
              </w:rPr>
              <w:t>hoenicia</w:t>
            </w:r>
            <w:r w:rsidRPr="009B0448">
              <w:rPr>
                <w:rFonts w:ascii="Times New Roman" w:hAnsi="Times New Roman" w:cs="Times New Roman"/>
              </w:rPr>
              <w:t xml:space="preserve">, </w:t>
            </w:r>
            <w:r w:rsidRPr="009B0448">
              <w:rPr>
                <w:rFonts w:ascii="Times New Roman" w:hAnsi="Times New Roman" w:cs="Times New Roman"/>
                <w:i/>
              </w:rPr>
              <w:t>Juniperus thurifera</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3C022DA"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244,837</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5D05E6C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227,000 (</w:t>
            </w:r>
            <w:r w:rsidRPr="009B0448">
              <w:rPr>
                <w:rFonts w:ascii="Times New Roman" w:hAnsi="Times New Roman" w:cs="Times New Roman"/>
                <w:i/>
              </w:rPr>
              <w:t>Juniperus phoenicea</w:t>
            </w:r>
            <w:r w:rsidRPr="009B0448">
              <w:rPr>
                <w:rFonts w:ascii="Times New Roman" w:hAnsi="Times New Roman" w:cs="Times New Roman"/>
              </w:rPr>
              <w:t>)</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4672409F"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r>
      <w:tr w:rsidR="009B0448" w:rsidRPr="009B0448" w14:paraId="740DD339"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A8E3A9"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Reforested</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5732AB0D"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490,518</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4DD8F7B3" w14:textId="77777777" w:rsidR="009B0448" w:rsidRPr="009B0448" w:rsidRDefault="009B0448">
            <w:pPr>
              <w:spacing w:line="276" w:lineRule="auto"/>
              <w:rPr>
                <w:rFonts w:ascii="Times New Roman" w:hAnsi="Times New Roman" w:cs="Times New Roman"/>
              </w:rPr>
            </w:pP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17A37009"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r>
      <w:tr w:rsidR="009B0448" w:rsidRPr="009B0448" w14:paraId="0BF0FE2C"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6D164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Other</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0FBD93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102,207</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38C7DFE7" w14:textId="77777777" w:rsidR="009B0448" w:rsidRPr="009B0448" w:rsidRDefault="009B0448">
            <w:pPr>
              <w:spacing w:line="276" w:lineRule="auto"/>
              <w:rPr>
                <w:rFonts w:ascii="Times New Roman" w:hAnsi="Times New Roman" w:cs="Times New Roman"/>
              </w:rPr>
            </w:pP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66E5761C" w14:textId="77777777" w:rsidR="009B0448" w:rsidRPr="009B0448" w:rsidRDefault="009B0448">
            <w:pPr>
              <w:spacing w:line="276" w:lineRule="auto"/>
              <w:rPr>
                <w:rFonts w:ascii="Times New Roman" w:hAnsi="Times New Roman" w:cs="Times New Roman"/>
              </w:rPr>
            </w:pPr>
          </w:p>
        </w:tc>
      </w:tr>
      <w:tr w:rsidR="009B0448" w:rsidRPr="009B0448" w14:paraId="3BBD1B9D"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5383F9"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t xml:space="preserve">Tatraclinis articulata </w:t>
            </w:r>
            <w:r w:rsidRPr="009B0448">
              <w:rPr>
                <w:rFonts w:ascii="Times New Roman" w:hAnsi="Times New Roman" w:cs="Times New Roman"/>
              </w:rPr>
              <w:t>(Vahl) Masters)</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19FAC4D2"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565,798</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445D6C34"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191,000</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4F0CDE68"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22,000</w:t>
            </w:r>
          </w:p>
        </w:tc>
      </w:tr>
      <w:tr w:rsidR="009B0448" w:rsidRPr="009B0448" w14:paraId="3850A5B8"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D93C16"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t>Pinus sp</w:t>
            </w:r>
            <w:r w:rsidRPr="009B0448">
              <w:rPr>
                <w:rFonts w:ascii="Times New Roman" w:hAnsi="Times New Roman" w:cs="Times New Roman"/>
              </w:rPr>
              <w:t>.</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08E300F8"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82,115</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07A8EFEE"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804,000</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7093C06"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r>
      <w:tr w:rsidR="009B0448" w:rsidRPr="009B0448" w14:paraId="256C9548"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F26148"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Pin d’Alep (</w:t>
            </w:r>
            <w:r w:rsidRPr="009B0448">
              <w:rPr>
                <w:rFonts w:ascii="Times New Roman" w:hAnsi="Times New Roman" w:cs="Times New Roman"/>
                <w:i/>
              </w:rPr>
              <w:t>Pinus halepensis</w:t>
            </w:r>
            <w:r w:rsidRPr="009B0448">
              <w:rPr>
                <w:rFonts w:ascii="Times New Roman" w:hAnsi="Times New Roman" w:cs="Times New Roman"/>
              </w:rPr>
              <w:t xml:space="preserve"> Miller)</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558ACE0A" w14:textId="77777777" w:rsidR="009B0448" w:rsidRPr="009B0448" w:rsidRDefault="009B0448">
            <w:pPr>
              <w:spacing w:line="276" w:lineRule="auto"/>
              <w:rPr>
                <w:rFonts w:ascii="Times New Roman" w:hAnsi="Times New Roman" w:cs="Times New Roman"/>
              </w:rPr>
            </w:pP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490F2907" w14:textId="77777777" w:rsidR="009B0448" w:rsidRPr="009B0448" w:rsidRDefault="009B0448">
            <w:pPr>
              <w:spacing w:line="276" w:lineRule="auto"/>
              <w:rPr>
                <w:rFonts w:ascii="Times New Roman" w:hAnsi="Times New Roman" w:cs="Times New Roman"/>
              </w:rPr>
            </w:pP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5A5D1C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297,000</w:t>
            </w:r>
          </w:p>
        </w:tc>
      </w:tr>
      <w:tr w:rsidR="009B0448" w:rsidRPr="009B0448" w14:paraId="6E1151F1"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A7BF86"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lastRenderedPageBreak/>
              <w:t>Pinus pinaster</w:t>
            </w:r>
            <w:r w:rsidRPr="009B0448">
              <w:rPr>
                <w:rFonts w:ascii="Times New Roman" w:hAnsi="Times New Roman" w:cs="Times New Roman"/>
              </w:rPr>
              <w:t xml:space="preserve"> Aiton</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B6B65C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522B4A12"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1C56DC7"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r>
      <w:tr w:rsidR="009B0448" w:rsidRPr="009B0448" w14:paraId="70D4EEAF"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8184E9"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t xml:space="preserve">Quercus faginea </w:t>
            </w:r>
            <w:r w:rsidRPr="009B0448">
              <w:rPr>
                <w:rFonts w:ascii="Times New Roman" w:hAnsi="Times New Roman" w:cs="Times New Roman"/>
              </w:rPr>
              <w:t>Lam.</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8D4A9F2"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9,091</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418897CF"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65,000 (</w:t>
            </w:r>
            <w:r w:rsidRPr="009B0448">
              <w:rPr>
                <w:rFonts w:ascii="Times New Roman" w:hAnsi="Times New Roman" w:cs="Times New Roman"/>
                <w:i/>
              </w:rPr>
              <w:t>Quercus afares</w:t>
            </w:r>
            <w:r w:rsidRPr="009B0448">
              <w:rPr>
                <w:rFonts w:ascii="Times New Roman" w:hAnsi="Times New Roman" w:cs="Times New Roman"/>
              </w:rPr>
              <w:t>)</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3034B372"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6,414</w:t>
            </w:r>
          </w:p>
        </w:tc>
      </w:tr>
      <w:tr w:rsidR="009B0448" w:rsidRPr="009B0448" w14:paraId="0B7D95D6"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D59A59"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t xml:space="preserve">Abies maroccana </w:t>
            </w:r>
            <w:r w:rsidRPr="009B0448">
              <w:rPr>
                <w:rFonts w:ascii="Times New Roman" w:hAnsi="Times New Roman" w:cs="Times New Roman"/>
              </w:rPr>
              <w:t xml:space="preserve">Trabut </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48F1C07"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3,174</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1330E4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Absent</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3EB6F26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Absent</w:t>
            </w:r>
          </w:p>
        </w:tc>
      </w:tr>
      <w:tr w:rsidR="009B0448" w:rsidRPr="009B0448" w14:paraId="186EC6D4"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E9EC5C"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t xml:space="preserve">Acacia raddiana </w:t>
            </w:r>
            <w:r w:rsidRPr="009B0448">
              <w:rPr>
                <w:rFonts w:ascii="Times New Roman" w:hAnsi="Times New Roman" w:cs="Times New Roman"/>
              </w:rPr>
              <w:t>Savi</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081D796A"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1,000,000</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DC791E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1C342B5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r>
      <w:tr w:rsidR="009B0448" w:rsidRPr="009B0448" w14:paraId="41E76CB5"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CE64EA"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t xml:space="preserve">Acacia ehrenbergiana </w:t>
            </w:r>
            <w:r w:rsidRPr="009B0448">
              <w:rPr>
                <w:rFonts w:ascii="Times New Roman" w:hAnsi="Times New Roman" w:cs="Times New Roman"/>
              </w:rPr>
              <w:t>Hayne</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45026429"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07C95C2E"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52E1F7AC"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r>
      <w:tr w:rsidR="009B0448" w:rsidRPr="009B0448" w14:paraId="09B31724"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4232D2"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t xml:space="preserve">Ceratonia siliqua </w:t>
            </w:r>
            <w:r w:rsidRPr="009B0448">
              <w:rPr>
                <w:rFonts w:ascii="Times New Roman" w:hAnsi="Times New Roman" w:cs="Times New Roman"/>
              </w:rPr>
              <w:t>L.</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14A47EAE"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059C8B44"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1977011"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r>
      <w:tr w:rsidR="009B0448" w:rsidRPr="009B0448" w14:paraId="15083275"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8B873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Other</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1CDFE60"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5,764</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6A47CB7"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143,000</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1F518280" w14:textId="77777777" w:rsidR="009B0448" w:rsidRPr="009B0448" w:rsidRDefault="009B0448">
            <w:pPr>
              <w:spacing w:line="276" w:lineRule="auto"/>
              <w:rPr>
                <w:rFonts w:ascii="Times New Roman" w:hAnsi="Times New Roman" w:cs="Times New Roman"/>
              </w:rPr>
            </w:pPr>
          </w:p>
        </w:tc>
      </w:tr>
      <w:tr w:rsidR="009B0448" w:rsidRPr="009B0448" w14:paraId="0E724547"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8470B1"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Total</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51E42D5C"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5,301,050</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39AD1463" w14:textId="77777777" w:rsidR="009B0448" w:rsidRPr="009B0448" w:rsidRDefault="009B0448">
            <w:pPr>
              <w:spacing w:line="276" w:lineRule="auto"/>
              <w:rPr>
                <w:rFonts w:ascii="Times New Roman" w:hAnsi="Times New Roman" w:cs="Times New Roman"/>
                <w:b/>
              </w:rPr>
            </w:pPr>
            <w:r w:rsidRPr="009B0448">
              <w:rPr>
                <w:rFonts w:ascii="Times New Roman" w:hAnsi="Times New Roman" w:cs="Times New Roman"/>
                <w:b/>
              </w:rPr>
              <w:t>3,050,000</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3FF3FE5E" w14:textId="77777777" w:rsidR="009B0448" w:rsidRPr="009B0448" w:rsidRDefault="009B0448">
            <w:pPr>
              <w:spacing w:line="276" w:lineRule="auto"/>
              <w:rPr>
                <w:rFonts w:ascii="Times New Roman" w:hAnsi="Times New Roman" w:cs="Times New Roman"/>
              </w:rPr>
            </w:pPr>
          </w:p>
        </w:tc>
      </w:tr>
      <w:tr w:rsidR="009B0448" w:rsidRPr="009B0448" w14:paraId="3D310D24" w14:textId="77777777" w:rsidTr="009B0448">
        <w:trPr>
          <w:trHeight w:val="166"/>
        </w:trPr>
        <w:tc>
          <w:tcPr>
            <w:tcW w:w="1883" w:type="pct"/>
            <w:tcBorders>
              <w:top w:val="single" w:sz="6" w:space="0" w:color="000000"/>
              <w:left w:val="single" w:sz="8" w:space="0" w:color="000000"/>
              <w:bottom w:val="single" w:sz="6" w:space="0" w:color="000000"/>
              <w:right w:val="single" w:sz="8" w:space="0" w:color="000000"/>
            </w:tcBorders>
            <w:tcMar>
              <w:top w:w="100" w:type="dxa"/>
              <w:left w:w="100" w:type="dxa"/>
              <w:bottom w:w="100" w:type="dxa"/>
              <w:right w:w="100" w:type="dxa"/>
            </w:tcMar>
            <w:hideMark/>
          </w:tcPr>
          <w:p w14:paraId="50D86233"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i/>
              </w:rPr>
              <w:t>Stipa tenacissima</w:t>
            </w:r>
            <w:r w:rsidRPr="009B0448">
              <w:rPr>
                <w:rFonts w:ascii="Times New Roman" w:hAnsi="Times New Roman" w:cs="Times New Roman"/>
              </w:rPr>
              <w:t xml:space="preserve"> L.</w:t>
            </w:r>
          </w:p>
        </w:tc>
        <w:tc>
          <w:tcPr>
            <w:tcW w:w="1023" w:type="pct"/>
            <w:tcBorders>
              <w:top w:val="single" w:sz="6" w:space="0" w:color="000000"/>
              <w:left w:val="single" w:sz="6" w:space="0" w:color="000000"/>
              <w:bottom w:val="single" w:sz="6" w:space="0" w:color="000000"/>
              <w:right w:val="single" w:sz="8" w:space="0" w:color="000000"/>
            </w:tcBorders>
            <w:tcMar>
              <w:top w:w="100" w:type="dxa"/>
              <w:left w:w="100" w:type="dxa"/>
              <w:bottom w:w="100" w:type="dxa"/>
              <w:right w:w="100" w:type="dxa"/>
            </w:tcMar>
            <w:hideMark/>
          </w:tcPr>
          <w:p w14:paraId="183C1B37"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3,000,000</w:t>
            </w:r>
          </w:p>
        </w:tc>
        <w:tc>
          <w:tcPr>
            <w:tcW w:w="1105" w:type="pct"/>
            <w:tcBorders>
              <w:top w:val="single" w:sz="6" w:space="0" w:color="000000"/>
              <w:left w:val="single" w:sz="6" w:space="0" w:color="000000"/>
              <w:bottom w:val="single" w:sz="6" w:space="0" w:color="000000"/>
              <w:right w:val="single" w:sz="8" w:space="0" w:color="000000"/>
            </w:tcBorders>
            <w:tcMar>
              <w:top w:w="100" w:type="dxa"/>
              <w:left w:w="100" w:type="dxa"/>
              <w:bottom w:w="100" w:type="dxa"/>
              <w:right w:w="100" w:type="dxa"/>
            </w:tcMar>
            <w:hideMark/>
          </w:tcPr>
          <w:p w14:paraId="54ECDAE8"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3,037,000</w:t>
            </w:r>
          </w:p>
        </w:tc>
        <w:tc>
          <w:tcPr>
            <w:tcW w:w="989" w:type="pct"/>
            <w:tcBorders>
              <w:top w:val="single" w:sz="6" w:space="0" w:color="000000"/>
              <w:left w:val="single" w:sz="6" w:space="0" w:color="000000"/>
              <w:bottom w:val="single" w:sz="6" w:space="0" w:color="000000"/>
              <w:right w:val="single" w:sz="8" w:space="0" w:color="000000"/>
            </w:tcBorders>
            <w:tcMar>
              <w:top w:w="100" w:type="dxa"/>
              <w:left w:w="100" w:type="dxa"/>
              <w:bottom w:w="100" w:type="dxa"/>
              <w:right w:w="100" w:type="dxa"/>
            </w:tcMar>
            <w:hideMark/>
          </w:tcPr>
          <w:p w14:paraId="1D96CC87"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w:t>
            </w:r>
          </w:p>
        </w:tc>
      </w:tr>
      <w:tr w:rsidR="009B0448" w:rsidRPr="009B0448" w14:paraId="58DD83DC" w14:textId="77777777" w:rsidTr="009B0448">
        <w:trPr>
          <w:trHeight w:val="166"/>
        </w:trPr>
        <w:tc>
          <w:tcPr>
            <w:tcW w:w="1883"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D1FD77"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Total forest area</w:t>
            </w:r>
          </w:p>
        </w:tc>
        <w:tc>
          <w:tcPr>
            <w:tcW w:w="10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1BF57A7A"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5,719,000 (without alfa grass)</w:t>
            </w:r>
          </w:p>
        </w:tc>
        <w:tc>
          <w:tcPr>
            <w:tcW w:w="110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33684F4C"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1,492,000</w:t>
            </w:r>
          </w:p>
        </w:tc>
        <w:tc>
          <w:tcPr>
            <w:tcW w:w="989"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vAlign w:val="center"/>
            <w:hideMark/>
          </w:tcPr>
          <w:p w14:paraId="43B6DA32" w14:textId="77777777" w:rsidR="009B0448" w:rsidRPr="009B0448" w:rsidRDefault="009B0448">
            <w:pPr>
              <w:spacing w:line="276" w:lineRule="auto"/>
              <w:rPr>
                <w:rFonts w:ascii="Times New Roman" w:hAnsi="Times New Roman" w:cs="Times New Roman"/>
              </w:rPr>
            </w:pPr>
            <w:r w:rsidRPr="009B0448">
              <w:rPr>
                <w:rFonts w:ascii="Times New Roman" w:hAnsi="Times New Roman" w:cs="Times New Roman"/>
              </w:rPr>
              <w:t>1,056,000</w:t>
            </w:r>
          </w:p>
        </w:tc>
      </w:tr>
    </w:tbl>
    <w:p w14:paraId="451864A4" w14:textId="77777777" w:rsidR="009B0448" w:rsidRPr="009B0448" w:rsidRDefault="009B0448" w:rsidP="009B0448">
      <w:pPr>
        <w:rPr>
          <w:rFonts w:ascii="Times New Roman" w:hAnsi="Times New Roman" w:cs="Times New Roman"/>
          <w:sz w:val="18"/>
          <w:szCs w:val="18"/>
        </w:rPr>
      </w:pPr>
      <w:r w:rsidRPr="009B0448">
        <w:rPr>
          <w:rFonts w:ascii="Times New Roman" w:hAnsi="Times New Roman" w:cs="Times New Roman"/>
          <w:sz w:val="18"/>
          <w:szCs w:val="18"/>
        </w:rPr>
        <w:t>+: present</w:t>
      </w:r>
    </w:p>
    <w:p w14:paraId="53D9B9A0" w14:textId="77777777" w:rsidR="009B0448" w:rsidRPr="009B0448" w:rsidRDefault="009B0448" w:rsidP="009B0448">
      <w:pPr>
        <w:rPr>
          <w:rFonts w:ascii="Times New Roman" w:hAnsi="Times New Roman" w:cs="Times New Roman"/>
          <w:sz w:val="18"/>
          <w:szCs w:val="18"/>
        </w:rPr>
      </w:pPr>
      <w:r w:rsidRPr="009B0448">
        <w:rPr>
          <w:rFonts w:ascii="Times New Roman" w:hAnsi="Times New Roman" w:cs="Times New Roman"/>
          <w:sz w:val="18"/>
          <w:szCs w:val="18"/>
          <w:vertAlign w:val="superscript"/>
        </w:rPr>
        <w:t>(1)</w:t>
      </w:r>
      <w:r w:rsidRPr="009B0448">
        <w:rPr>
          <w:rFonts w:ascii="Times New Roman" w:hAnsi="Times New Roman" w:cs="Times New Roman"/>
          <w:sz w:val="18"/>
          <w:szCs w:val="18"/>
        </w:rPr>
        <w:t xml:space="preserve"> Morocco (Source: Le grand livre de la forêt marocaine. Editions Mardaga, 1999)</w:t>
      </w:r>
    </w:p>
    <w:p w14:paraId="62B304FE" w14:textId="77777777" w:rsidR="009B0448" w:rsidRPr="009B0448" w:rsidRDefault="009B0448" w:rsidP="009B0448">
      <w:pPr>
        <w:rPr>
          <w:rFonts w:ascii="Times New Roman" w:hAnsi="Times New Roman" w:cs="Times New Roman"/>
          <w:color w:val="191919"/>
          <w:sz w:val="18"/>
          <w:szCs w:val="18"/>
        </w:rPr>
      </w:pPr>
      <w:r w:rsidRPr="009B0448">
        <w:rPr>
          <w:rFonts w:ascii="Times New Roman" w:hAnsi="Times New Roman" w:cs="Times New Roman"/>
          <w:sz w:val="18"/>
          <w:szCs w:val="18"/>
          <w:vertAlign w:val="superscript"/>
        </w:rPr>
        <w:t>(2)</w:t>
      </w:r>
      <w:r w:rsidRPr="009B0448">
        <w:rPr>
          <w:rFonts w:ascii="Times New Roman" w:hAnsi="Times New Roman" w:cs="Times New Roman"/>
          <w:color w:val="191919"/>
          <w:sz w:val="18"/>
          <w:szCs w:val="18"/>
        </w:rPr>
        <w:t xml:space="preserve"> Forêt méditerranéenne t. XV, n° 1, janvier 1994</w:t>
      </w:r>
    </w:p>
    <w:p w14:paraId="08D36443" w14:textId="77777777" w:rsidR="009B0448" w:rsidRPr="009B0448" w:rsidRDefault="009B0448" w:rsidP="009B0448">
      <w:pPr>
        <w:spacing w:line="276" w:lineRule="auto"/>
        <w:jc w:val="both"/>
        <w:rPr>
          <w:rFonts w:ascii="Times New Roman" w:hAnsi="Times New Roman" w:cs="Times New Roman"/>
          <w:color w:val="191919"/>
          <w:sz w:val="18"/>
          <w:szCs w:val="18"/>
        </w:rPr>
      </w:pPr>
      <w:r w:rsidRPr="009B0448">
        <w:rPr>
          <w:rFonts w:ascii="Times New Roman" w:hAnsi="Times New Roman" w:cs="Times New Roman"/>
          <w:color w:val="191919"/>
          <w:sz w:val="18"/>
          <w:szCs w:val="18"/>
          <w:vertAlign w:val="superscript"/>
        </w:rPr>
        <w:t>(3)</w:t>
      </w:r>
      <w:r w:rsidRPr="009B0448">
        <w:rPr>
          <w:rFonts w:ascii="Times New Roman" w:hAnsi="Times New Roman" w:cs="Times New Roman"/>
          <w:color w:val="191919"/>
          <w:sz w:val="18"/>
          <w:szCs w:val="18"/>
        </w:rPr>
        <w:t>République Tunisienne, Ministère de l’Environnement et du Développement Durable, Agence Nationale de Protection de l’Environnement. Guide forêts durables. 2005</w:t>
      </w:r>
    </w:p>
    <w:p w14:paraId="30BA059B" w14:textId="77777777" w:rsidR="009B0448" w:rsidRPr="009B0448" w:rsidRDefault="009B0448" w:rsidP="009B0448">
      <w:pPr>
        <w:spacing w:line="276" w:lineRule="auto"/>
        <w:jc w:val="both"/>
        <w:rPr>
          <w:rFonts w:ascii="Times New Roman" w:hAnsi="Times New Roman" w:cs="Times New Roman"/>
        </w:rPr>
      </w:pPr>
    </w:p>
    <w:p w14:paraId="6B75C5AD" w14:textId="369966F0"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In Libya, forest ecosystems cover 217,000 hectares and are found in the area of Jabal Al Akhdar in the north-east, comprising the following: moist forest, with </w:t>
      </w:r>
      <w:r w:rsidRPr="009B0448">
        <w:rPr>
          <w:rFonts w:ascii="Times New Roman" w:hAnsi="Times New Roman" w:cs="Times New Roman"/>
          <w:i/>
        </w:rPr>
        <w:t>Quercus calliprinos, Laurus nobilis, Arbutus pavarii</w:t>
      </w:r>
      <w:r w:rsidRPr="009B0448">
        <w:rPr>
          <w:rFonts w:ascii="Times New Roman" w:hAnsi="Times New Roman" w:cs="Times New Roman"/>
        </w:rPr>
        <w:t xml:space="preserve"> (Vulnerable)</w:t>
      </w:r>
      <w:r w:rsidRPr="009B0448">
        <w:rPr>
          <w:rFonts w:ascii="Times New Roman" w:hAnsi="Times New Roman" w:cs="Times New Roman"/>
          <w:i/>
        </w:rPr>
        <w:t>,</w:t>
      </w:r>
      <w:r w:rsidRPr="009B0448">
        <w:rPr>
          <w:rFonts w:ascii="Times New Roman" w:hAnsi="Times New Roman" w:cs="Times New Roman"/>
        </w:rPr>
        <w:t xml:space="preserve"> </w:t>
      </w:r>
      <w:r w:rsidRPr="009B0448">
        <w:rPr>
          <w:rFonts w:ascii="Times New Roman" w:hAnsi="Times New Roman" w:cs="Times New Roman"/>
          <w:i/>
        </w:rPr>
        <w:t>Olea europaea, Ceratonia siliqua</w:t>
      </w:r>
      <w:r w:rsidRPr="009B0448">
        <w:rPr>
          <w:rFonts w:ascii="Times New Roman" w:hAnsi="Times New Roman" w:cs="Times New Roman"/>
        </w:rPr>
        <w:t xml:space="preserve"> (Least Concern)</w:t>
      </w:r>
      <w:r w:rsidRPr="009B0448">
        <w:rPr>
          <w:rFonts w:ascii="Times New Roman" w:hAnsi="Times New Roman" w:cs="Times New Roman"/>
          <w:i/>
        </w:rPr>
        <w:t>, Quercus coccifera</w:t>
      </w:r>
      <w:r w:rsidRPr="009B0448">
        <w:rPr>
          <w:rFonts w:ascii="Times New Roman" w:hAnsi="Times New Roman" w:cs="Times New Roman"/>
        </w:rPr>
        <w:t xml:space="preserve"> (Lower Risk/near threatened )</w:t>
      </w:r>
      <w:r w:rsidRPr="009B0448">
        <w:rPr>
          <w:rFonts w:ascii="Times New Roman" w:hAnsi="Times New Roman" w:cs="Times New Roman"/>
          <w:i/>
        </w:rPr>
        <w:t>, Cupressus sempervirens</w:t>
      </w:r>
      <w:r w:rsidRPr="009B0448">
        <w:rPr>
          <w:rFonts w:ascii="Times New Roman" w:hAnsi="Times New Roman" w:cs="Times New Roman"/>
        </w:rPr>
        <w:t xml:space="preserve"> (Least Concern)</w:t>
      </w:r>
      <w:r w:rsidRPr="009B0448">
        <w:rPr>
          <w:rFonts w:ascii="Times New Roman" w:hAnsi="Times New Roman" w:cs="Times New Roman"/>
          <w:i/>
        </w:rPr>
        <w:t xml:space="preserve">; </w:t>
      </w:r>
      <w:r w:rsidRPr="009B0448">
        <w:rPr>
          <w:rFonts w:ascii="Times New Roman" w:hAnsi="Times New Roman" w:cs="Times New Roman"/>
        </w:rPr>
        <w:t xml:space="preserve">secondary moist forest, with </w:t>
      </w:r>
      <w:r w:rsidRPr="009B0448">
        <w:rPr>
          <w:rFonts w:ascii="Times New Roman" w:hAnsi="Times New Roman" w:cs="Times New Roman"/>
          <w:i/>
        </w:rPr>
        <w:t>Juniper phoenicea, Pinus halepensis</w:t>
      </w:r>
      <w:r w:rsidRPr="009B0448">
        <w:rPr>
          <w:rFonts w:ascii="Times New Roman" w:hAnsi="Times New Roman" w:cs="Times New Roman"/>
        </w:rPr>
        <w:t xml:space="preserve"> (Least Concern)</w:t>
      </w:r>
      <w:r w:rsidRPr="009B0448">
        <w:rPr>
          <w:rFonts w:ascii="Times New Roman" w:hAnsi="Times New Roman" w:cs="Times New Roman"/>
          <w:i/>
        </w:rPr>
        <w:t>, Olea europaea, Arbutus pavarii</w:t>
      </w:r>
      <w:r w:rsidRPr="009B0448">
        <w:rPr>
          <w:rFonts w:ascii="Times New Roman" w:hAnsi="Times New Roman" w:cs="Times New Roman"/>
        </w:rPr>
        <w:t xml:space="preserve"> (Vulnerable)</w:t>
      </w:r>
      <w:r w:rsidRPr="009B0448">
        <w:rPr>
          <w:rFonts w:ascii="Times New Roman" w:hAnsi="Times New Roman" w:cs="Times New Roman"/>
          <w:i/>
        </w:rPr>
        <w:t xml:space="preserve">; </w:t>
      </w:r>
      <w:r w:rsidRPr="009B0448">
        <w:rPr>
          <w:rFonts w:ascii="Times New Roman" w:hAnsi="Times New Roman" w:cs="Times New Roman"/>
        </w:rPr>
        <w:t xml:space="preserve">forests in semi-arid regions, with </w:t>
      </w:r>
      <w:r w:rsidRPr="009B0448">
        <w:rPr>
          <w:rFonts w:ascii="Times New Roman" w:hAnsi="Times New Roman" w:cs="Times New Roman"/>
          <w:i/>
        </w:rPr>
        <w:t>Sarcopoterrium spinosium, Pinus halepensis</w:t>
      </w:r>
      <w:r w:rsidRPr="009B0448">
        <w:rPr>
          <w:rFonts w:ascii="Times New Roman" w:hAnsi="Times New Roman" w:cs="Times New Roman"/>
        </w:rPr>
        <w:t xml:space="preserve"> (Least Concern )</w:t>
      </w:r>
      <w:r w:rsidRPr="009B0448">
        <w:rPr>
          <w:rFonts w:ascii="Times New Roman" w:hAnsi="Times New Roman" w:cs="Times New Roman"/>
          <w:i/>
        </w:rPr>
        <w:t>, Juniper phoenicae, Pistacia lentiscus</w:t>
      </w:r>
      <w:r w:rsidRPr="009B0448">
        <w:rPr>
          <w:rFonts w:ascii="Times New Roman" w:hAnsi="Times New Roman" w:cs="Times New Roman"/>
        </w:rPr>
        <w:t xml:space="preserve"> (Least Concern)</w:t>
      </w:r>
      <w:r w:rsidRPr="009B0448">
        <w:rPr>
          <w:rFonts w:ascii="Times New Roman" w:hAnsi="Times New Roman" w:cs="Times New Roman"/>
          <w:i/>
        </w:rPr>
        <w:t xml:space="preserve">, Rhus tripartitum, Periploca laevigata; </w:t>
      </w:r>
      <w:r w:rsidRPr="009B0448">
        <w:rPr>
          <w:rFonts w:ascii="Times New Roman" w:hAnsi="Times New Roman" w:cs="Times New Roman"/>
        </w:rPr>
        <w:t xml:space="preserve">and forests to the south of Jabal Al Akhdar, with </w:t>
      </w:r>
      <w:r w:rsidRPr="009B0448">
        <w:rPr>
          <w:rFonts w:ascii="Times New Roman" w:hAnsi="Times New Roman" w:cs="Times New Roman"/>
          <w:i/>
        </w:rPr>
        <w:t>Rhus tripartitum, Pistacia lentiscus</w:t>
      </w:r>
      <w:r w:rsidRPr="009B0448">
        <w:rPr>
          <w:rFonts w:ascii="Times New Roman" w:hAnsi="Times New Roman" w:cs="Times New Roman"/>
        </w:rPr>
        <w:t xml:space="preserve"> (Least Concern)</w:t>
      </w:r>
      <w:r w:rsidRPr="009B0448">
        <w:rPr>
          <w:rFonts w:ascii="Times New Roman" w:hAnsi="Times New Roman" w:cs="Times New Roman"/>
          <w:i/>
        </w:rPr>
        <w:t>, Periploca laevigata</w:t>
      </w:r>
      <w:r w:rsidRPr="009B0448">
        <w:rPr>
          <w:rFonts w:ascii="Times New Roman" w:hAnsi="Times New Roman" w:cs="Times New Roman"/>
        </w:rPr>
        <w:t>. In Egypt, forest ecosystems cover 67,000 hectares.</w:t>
      </w:r>
      <w:r w:rsidRPr="009B0448">
        <w:rPr>
          <w:rFonts w:ascii="Times New Roman" w:hAnsi="Times New Roman" w:cs="Times New Roman"/>
          <w:i/>
        </w:rPr>
        <w:t xml:space="preserve"> </w:t>
      </w:r>
      <w:r w:rsidRPr="009B0448">
        <w:rPr>
          <w:rFonts w:ascii="Times New Roman" w:hAnsi="Times New Roman" w:cs="Times New Roman"/>
        </w:rPr>
        <w:t xml:space="preserve">The main natural ecosystems are </w:t>
      </w:r>
      <w:r w:rsidR="00150166">
        <w:rPr>
          <w:rFonts w:ascii="Times New Roman" w:hAnsi="Times New Roman" w:cs="Times New Roman"/>
        </w:rPr>
        <w:t>organis</w:t>
      </w:r>
      <w:r w:rsidRPr="009B0448">
        <w:rPr>
          <w:rFonts w:ascii="Times New Roman" w:hAnsi="Times New Roman" w:cs="Times New Roman"/>
        </w:rPr>
        <w:t xml:space="preserve">ed by </w:t>
      </w:r>
      <w:r w:rsidRPr="009B0448">
        <w:rPr>
          <w:rFonts w:ascii="Times New Roman" w:hAnsi="Times New Roman" w:cs="Times New Roman"/>
          <w:i/>
        </w:rPr>
        <w:t>Acacia raddiana</w:t>
      </w:r>
      <w:r w:rsidRPr="009B0448">
        <w:rPr>
          <w:rFonts w:ascii="Times New Roman" w:hAnsi="Times New Roman" w:cs="Times New Roman"/>
        </w:rPr>
        <w:t xml:space="preserve">, </w:t>
      </w:r>
      <w:r w:rsidRPr="009B0448">
        <w:rPr>
          <w:rFonts w:ascii="Times New Roman" w:hAnsi="Times New Roman" w:cs="Times New Roman"/>
          <w:i/>
        </w:rPr>
        <w:t>Balanites aegyptiaca</w:t>
      </w:r>
      <w:r w:rsidRPr="009B0448">
        <w:rPr>
          <w:rFonts w:ascii="Times New Roman" w:hAnsi="Times New Roman" w:cs="Times New Roman"/>
        </w:rPr>
        <w:t xml:space="preserve">, </w:t>
      </w:r>
      <w:r w:rsidRPr="009B0448">
        <w:rPr>
          <w:rFonts w:ascii="Times New Roman" w:hAnsi="Times New Roman" w:cs="Times New Roman"/>
          <w:i/>
        </w:rPr>
        <w:t>Tamarix sp</w:t>
      </w:r>
      <w:r w:rsidRPr="009B0448">
        <w:rPr>
          <w:rFonts w:ascii="Times New Roman" w:hAnsi="Times New Roman" w:cs="Times New Roman"/>
        </w:rPr>
        <w:t xml:space="preserve">., and </w:t>
      </w:r>
      <w:r w:rsidRPr="009B0448">
        <w:rPr>
          <w:rFonts w:ascii="Times New Roman" w:hAnsi="Times New Roman" w:cs="Times New Roman"/>
          <w:i/>
        </w:rPr>
        <w:t>Salvadora persica</w:t>
      </w:r>
      <w:r w:rsidRPr="009B0448">
        <w:rPr>
          <w:rFonts w:ascii="Times New Roman" w:hAnsi="Times New Roman" w:cs="Times New Roman"/>
        </w:rPr>
        <w:t xml:space="preserve">. In Sudan, the main forest ecosystems are represented by </w:t>
      </w:r>
      <w:r w:rsidRPr="009B0448">
        <w:rPr>
          <w:rFonts w:ascii="Times New Roman" w:hAnsi="Times New Roman" w:cs="Times New Roman"/>
          <w:i/>
        </w:rPr>
        <w:t xml:space="preserve">Acacia raddiana </w:t>
      </w:r>
      <w:r w:rsidRPr="009B0448">
        <w:rPr>
          <w:rFonts w:ascii="Times New Roman" w:hAnsi="Times New Roman" w:cs="Times New Roman"/>
        </w:rPr>
        <w:t xml:space="preserve">Savi, </w:t>
      </w:r>
      <w:r w:rsidRPr="009B0448">
        <w:rPr>
          <w:rFonts w:ascii="Times New Roman" w:hAnsi="Times New Roman" w:cs="Times New Roman"/>
          <w:i/>
        </w:rPr>
        <w:t xml:space="preserve">Acacia mellifora </w:t>
      </w:r>
      <w:r w:rsidRPr="009B0448">
        <w:rPr>
          <w:rFonts w:ascii="Times New Roman" w:hAnsi="Times New Roman" w:cs="Times New Roman"/>
        </w:rPr>
        <w:t xml:space="preserve">(M. Vahl) Benth, </w:t>
      </w:r>
      <w:r w:rsidRPr="009B0448">
        <w:rPr>
          <w:rFonts w:ascii="Times New Roman" w:hAnsi="Times New Roman" w:cs="Times New Roman"/>
          <w:i/>
        </w:rPr>
        <w:t xml:space="preserve">Balanites aegyptiaca </w:t>
      </w:r>
      <w:r w:rsidRPr="00C87E0F">
        <w:rPr>
          <w:rFonts w:ascii="Times New Roman" w:hAnsi="Times New Roman" w:cs="Times New Roman"/>
        </w:rPr>
        <w:t>Delile</w:t>
      </w:r>
      <w:r w:rsidRPr="009B0448">
        <w:rPr>
          <w:rFonts w:ascii="Times New Roman" w:hAnsi="Times New Roman" w:cs="Times New Roman"/>
        </w:rPr>
        <w:t xml:space="preserve"> and </w:t>
      </w:r>
      <w:r w:rsidRPr="009B0448">
        <w:rPr>
          <w:rFonts w:ascii="Times New Roman" w:hAnsi="Times New Roman" w:cs="Times New Roman"/>
          <w:i/>
        </w:rPr>
        <w:t xml:space="preserve">Boscia senegalensis </w:t>
      </w:r>
      <w:r w:rsidRPr="009B0448">
        <w:rPr>
          <w:rFonts w:ascii="Times New Roman" w:hAnsi="Times New Roman" w:cs="Times New Roman"/>
        </w:rPr>
        <w:t>Poiret in</w:t>
      </w:r>
      <w:r w:rsidRPr="009B0448">
        <w:rPr>
          <w:rFonts w:ascii="Times New Roman" w:hAnsi="Times New Roman" w:cs="Times New Roman"/>
          <w:i/>
        </w:rPr>
        <w:t xml:space="preserve"> </w:t>
      </w:r>
      <w:r w:rsidRPr="009B0448">
        <w:rPr>
          <w:rFonts w:ascii="Times New Roman" w:hAnsi="Times New Roman" w:cs="Times New Roman"/>
        </w:rPr>
        <w:t xml:space="preserve">Lam. In Mauritania the forest ecosystems cover 267,000 hectares. The main natural ecosystems are organised by </w:t>
      </w:r>
      <w:r w:rsidRPr="009B0448">
        <w:rPr>
          <w:rFonts w:ascii="Times New Roman" w:hAnsi="Times New Roman" w:cs="Times New Roman"/>
          <w:i/>
        </w:rPr>
        <w:t>Acacia raddiana</w:t>
      </w:r>
      <w:r w:rsidRPr="009B0448">
        <w:rPr>
          <w:rFonts w:ascii="Times New Roman" w:hAnsi="Times New Roman" w:cs="Times New Roman"/>
        </w:rPr>
        <w:t xml:space="preserve">, </w:t>
      </w:r>
      <w:r w:rsidRPr="009B0448">
        <w:rPr>
          <w:rFonts w:ascii="Times New Roman" w:hAnsi="Times New Roman" w:cs="Times New Roman"/>
          <w:i/>
        </w:rPr>
        <w:t>Acacia ehrenbergiana</w:t>
      </w:r>
      <w:r w:rsidRPr="009B0448">
        <w:rPr>
          <w:rFonts w:ascii="Times New Roman" w:hAnsi="Times New Roman" w:cs="Times New Roman"/>
        </w:rPr>
        <w:t xml:space="preserve"> (Least Concern),</w:t>
      </w:r>
      <w:r w:rsidRPr="009B0448">
        <w:rPr>
          <w:rFonts w:ascii="Times New Roman" w:hAnsi="Times New Roman" w:cs="Times New Roman"/>
          <w:i/>
        </w:rPr>
        <w:t xml:space="preserve"> Acacia nilotica</w:t>
      </w:r>
      <w:r w:rsidRPr="009B0448">
        <w:rPr>
          <w:rFonts w:ascii="Times New Roman" w:hAnsi="Times New Roman" w:cs="Times New Roman"/>
        </w:rPr>
        <w:t xml:space="preserve"> (Least Concern),</w:t>
      </w:r>
      <w:r w:rsidRPr="009B0448">
        <w:rPr>
          <w:rFonts w:ascii="Times New Roman" w:hAnsi="Times New Roman" w:cs="Times New Roman"/>
          <w:i/>
        </w:rPr>
        <w:t xml:space="preserve"> Balanites aegyptiaca</w:t>
      </w:r>
      <w:r w:rsidRPr="009B0448">
        <w:rPr>
          <w:rFonts w:ascii="Times New Roman" w:hAnsi="Times New Roman" w:cs="Times New Roman"/>
        </w:rPr>
        <w:t xml:space="preserve">, </w:t>
      </w:r>
      <w:r w:rsidRPr="009B0448">
        <w:rPr>
          <w:rFonts w:ascii="Times New Roman" w:hAnsi="Times New Roman" w:cs="Times New Roman"/>
          <w:i/>
        </w:rPr>
        <w:t>Leptadenia pyrotechnica</w:t>
      </w:r>
      <w:r w:rsidRPr="009B0448">
        <w:rPr>
          <w:rFonts w:ascii="Times New Roman" w:hAnsi="Times New Roman" w:cs="Times New Roman"/>
        </w:rPr>
        <w:t xml:space="preserve">, </w:t>
      </w:r>
      <w:r w:rsidRPr="009B0448">
        <w:rPr>
          <w:rFonts w:ascii="Times New Roman" w:hAnsi="Times New Roman" w:cs="Times New Roman"/>
          <w:i/>
        </w:rPr>
        <w:t xml:space="preserve">Boscia senegalensis </w:t>
      </w:r>
      <w:r w:rsidRPr="009B0448">
        <w:rPr>
          <w:rFonts w:ascii="Times New Roman" w:hAnsi="Times New Roman" w:cs="Times New Roman"/>
        </w:rPr>
        <w:t>and</w:t>
      </w:r>
      <w:r w:rsidRPr="009B0448">
        <w:rPr>
          <w:rFonts w:ascii="Times New Roman" w:hAnsi="Times New Roman" w:cs="Times New Roman"/>
          <w:i/>
        </w:rPr>
        <w:t xml:space="preserve"> Euphorbia balsamifera</w:t>
      </w:r>
      <w:r w:rsidRPr="009B0448">
        <w:rPr>
          <w:rFonts w:ascii="Times New Roman" w:hAnsi="Times New Roman" w:cs="Times New Roman"/>
        </w:rPr>
        <w:t>.</w:t>
      </w:r>
    </w:p>
    <w:p w14:paraId="202D6ACC"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56" w:name="_Toc519499861"/>
      <w:r w:rsidRPr="009B0448">
        <w:rPr>
          <w:rFonts w:cs="Times New Roman"/>
          <w:b w:val="0"/>
          <w:sz w:val="22"/>
          <w:szCs w:val="22"/>
        </w:rPr>
        <w:t>Savannah and grassland</w:t>
      </w:r>
      <w:bookmarkEnd w:id="156"/>
    </w:p>
    <w:p w14:paraId="0966CBC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Savannah and grasslands in North Africa are located in arid and Saharan areas (Savannah) and in High mountain areas (grasslands). The Siwa protected areas (Northwest Egypt, near Libya border) include 53 plant species, 28 wild mammals including 7 rare species threatened with extinction (namely cheetah, Striped hyena, Egyptian gazelle, white gazelle, red fox, wild cat and Fennec fox), 32 reptile </w:t>
      </w:r>
      <w:r w:rsidRPr="009B0448">
        <w:rPr>
          <w:rFonts w:ascii="Times New Roman" w:hAnsi="Times New Roman" w:cs="Times New Roman"/>
        </w:rPr>
        <w:lastRenderedPageBreak/>
        <w:t xml:space="preserve">species, 164 bird species and 36 insects and number of other invertebrates areas (Taleb </w:t>
      </w:r>
      <w:r w:rsidRPr="009B0448">
        <w:rPr>
          <w:rFonts w:ascii="Times New Roman" w:hAnsi="Times New Roman" w:cs="Times New Roman"/>
          <w:i/>
        </w:rPr>
        <w:t>et al.</w:t>
      </w:r>
      <w:r w:rsidRPr="009B0448">
        <w:rPr>
          <w:rFonts w:ascii="Times New Roman" w:hAnsi="Times New Roman" w:cs="Times New Roman"/>
        </w:rPr>
        <w:t xml:space="preserve">, 2013). In Wadi El Gemal and Hamata (Egypt), 140 plant species, including 32 used in traditional medicine, 24 mammal species, 29 species of reptiles and amphibians and 45 bird species were recorded areas (Taleb </w:t>
      </w:r>
      <w:r w:rsidRPr="009B0448">
        <w:rPr>
          <w:rFonts w:ascii="Times New Roman" w:hAnsi="Times New Roman" w:cs="Times New Roman"/>
          <w:i/>
        </w:rPr>
        <w:t>et al.</w:t>
      </w:r>
      <w:r w:rsidRPr="009B0448">
        <w:rPr>
          <w:rFonts w:ascii="Times New Roman" w:hAnsi="Times New Roman" w:cs="Times New Roman"/>
        </w:rPr>
        <w:t>, 2013).</w:t>
      </w:r>
    </w:p>
    <w:p w14:paraId="47A48FEC" w14:textId="77777777" w:rsidR="009B0448" w:rsidRPr="009B0448" w:rsidRDefault="009B0448" w:rsidP="009B0448">
      <w:pPr>
        <w:spacing w:line="276" w:lineRule="auto"/>
        <w:jc w:val="both"/>
        <w:rPr>
          <w:rFonts w:ascii="Times New Roman" w:hAnsi="Times New Roman" w:cs="Times New Roman"/>
        </w:rPr>
      </w:pPr>
    </w:p>
    <w:p w14:paraId="0F32298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Grassland ecosystems are common in Morocco especially in High Atlas and Middle Atlas areas (Taleb </w:t>
      </w:r>
      <w:r w:rsidRPr="009B0448">
        <w:rPr>
          <w:rFonts w:ascii="Times New Roman" w:hAnsi="Times New Roman" w:cs="Times New Roman"/>
          <w:i/>
        </w:rPr>
        <w:t>et al.</w:t>
      </w:r>
      <w:r w:rsidRPr="009B0448">
        <w:rPr>
          <w:rFonts w:ascii="Times New Roman" w:hAnsi="Times New Roman" w:cs="Times New Roman"/>
        </w:rPr>
        <w:t xml:space="preserve">, 2013). They are herbaceous and based on hemicryptophytes, geophytes, mesophiles and hygrophile associations of important forage value (Ouhammou, 2013). Their existence is conditioned by water availability (Ionesco </w:t>
      </w:r>
      <w:r w:rsidRPr="009B0448">
        <w:rPr>
          <w:rFonts w:ascii="Times New Roman" w:hAnsi="Times New Roman" w:cs="Times New Roman"/>
          <w:i/>
        </w:rPr>
        <w:t>et al.</w:t>
      </w:r>
      <w:r w:rsidRPr="009B0448">
        <w:rPr>
          <w:rFonts w:ascii="Times New Roman" w:hAnsi="Times New Roman" w:cs="Times New Roman"/>
        </w:rPr>
        <w:t xml:space="preserve">, 1962). These grasslands are floristically rich, with many rare, threatened and/or endemic flora. They are characterised by species such as </w:t>
      </w:r>
      <w:r w:rsidRPr="009B0448">
        <w:rPr>
          <w:rFonts w:ascii="Times New Roman" w:hAnsi="Times New Roman" w:cs="Times New Roman"/>
          <w:i/>
        </w:rPr>
        <w:t>Agropyrum festucoides</w:t>
      </w:r>
      <w:r w:rsidRPr="009B0448">
        <w:rPr>
          <w:rFonts w:ascii="Times New Roman" w:hAnsi="Times New Roman" w:cs="Times New Roman"/>
        </w:rPr>
        <w:t xml:space="preserve">, </w:t>
      </w:r>
      <w:r w:rsidRPr="009B0448">
        <w:rPr>
          <w:rFonts w:ascii="Times New Roman" w:hAnsi="Times New Roman" w:cs="Times New Roman"/>
          <w:i/>
        </w:rPr>
        <w:t>Poa alpina</w:t>
      </w:r>
      <w:r w:rsidRPr="009B0448">
        <w:rPr>
          <w:rFonts w:ascii="Times New Roman" w:hAnsi="Times New Roman" w:cs="Times New Roman"/>
        </w:rPr>
        <w:t xml:space="preserve">, </w:t>
      </w:r>
      <w:r w:rsidRPr="009B0448">
        <w:rPr>
          <w:rFonts w:ascii="Times New Roman" w:hAnsi="Times New Roman" w:cs="Times New Roman"/>
          <w:i/>
        </w:rPr>
        <w:t>Lolium perenne</w:t>
      </w:r>
      <w:r w:rsidRPr="009B0448">
        <w:rPr>
          <w:rFonts w:ascii="Times New Roman" w:hAnsi="Times New Roman" w:cs="Times New Roman"/>
        </w:rPr>
        <w:t xml:space="preserve">, </w:t>
      </w:r>
      <w:r w:rsidRPr="009B0448">
        <w:rPr>
          <w:rFonts w:ascii="Times New Roman" w:hAnsi="Times New Roman" w:cs="Times New Roman"/>
          <w:i/>
        </w:rPr>
        <w:t>Holcus lanaus</w:t>
      </w:r>
      <w:r w:rsidRPr="009B0448">
        <w:rPr>
          <w:rFonts w:ascii="Times New Roman" w:hAnsi="Times New Roman" w:cs="Times New Roman"/>
        </w:rPr>
        <w:t xml:space="preserve">, </w:t>
      </w:r>
      <w:r w:rsidRPr="009B0448">
        <w:rPr>
          <w:rFonts w:ascii="Times New Roman" w:hAnsi="Times New Roman" w:cs="Times New Roman"/>
          <w:i/>
        </w:rPr>
        <w:t>Ranunculus acris</w:t>
      </w:r>
      <w:r w:rsidRPr="009B0448">
        <w:rPr>
          <w:rFonts w:ascii="Times New Roman" w:hAnsi="Times New Roman" w:cs="Times New Roman"/>
        </w:rPr>
        <w:t xml:space="preserve"> (Least Concern), </w:t>
      </w:r>
      <w:r w:rsidRPr="009B0448">
        <w:rPr>
          <w:rFonts w:ascii="Times New Roman" w:hAnsi="Times New Roman" w:cs="Times New Roman"/>
          <w:i/>
        </w:rPr>
        <w:t>Trifolium repens</w:t>
      </w:r>
      <w:r w:rsidRPr="009B0448">
        <w:rPr>
          <w:rFonts w:ascii="Times New Roman" w:hAnsi="Times New Roman" w:cs="Times New Roman"/>
        </w:rPr>
        <w:t xml:space="preserve">, </w:t>
      </w:r>
      <w:r w:rsidRPr="009B0448">
        <w:rPr>
          <w:rFonts w:ascii="Times New Roman" w:hAnsi="Times New Roman" w:cs="Times New Roman"/>
          <w:i/>
        </w:rPr>
        <w:t>Campanula mairei</w:t>
      </w:r>
      <w:r w:rsidRPr="009B0448">
        <w:rPr>
          <w:rFonts w:ascii="Times New Roman" w:hAnsi="Times New Roman" w:cs="Times New Roman"/>
        </w:rPr>
        <w:t xml:space="preserve"> (Vulnerable), </w:t>
      </w:r>
      <w:r w:rsidRPr="009B0448">
        <w:rPr>
          <w:rFonts w:ascii="Times New Roman" w:hAnsi="Times New Roman" w:cs="Times New Roman"/>
          <w:i/>
        </w:rPr>
        <w:t>Rorippa atlantica</w:t>
      </w:r>
      <w:r w:rsidRPr="009B0448">
        <w:rPr>
          <w:rFonts w:ascii="Times New Roman" w:hAnsi="Times New Roman" w:cs="Times New Roman"/>
        </w:rPr>
        <w:t xml:space="preserve">, </w:t>
      </w:r>
      <w:r w:rsidRPr="009B0448">
        <w:rPr>
          <w:rFonts w:ascii="Times New Roman" w:hAnsi="Times New Roman" w:cs="Times New Roman"/>
          <w:i/>
        </w:rPr>
        <w:t>Rumex pulcher</w:t>
      </w:r>
      <w:r w:rsidRPr="009B0448">
        <w:rPr>
          <w:rFonts w:ascii="Times New Roman" w:hAnsi="Times New Roman" w:cs="Times New Roman"/>
        </w:rPr>
        <w:t xml:space="preserve">, </w:t>
      </w:r>
      <w:r w:rsidRPr="009B0448">
        <w:rPr>
          <w:rFonts w:ascii="Times New Roman" w:hAnsi="Times New Roman" w:cs="Times New Roman"/>
          <w:i/>
        </w:rPr>
        <w:t>Eryngium variifolium</w:t>
      </w:r>
      <w:r w:rsidRPr="009B0448">
        <w:rPr>
          <w:rFonts w:ascii="Times New Roman" w:hAnsi="Times New Roman" w:cs="Times New Roman"/>
        </w:rPr>
        <w:t xml:space="preserve"> (Vulnerable) and </w:t>
      </w:r>
      <w:r w:rsidRPr="009B0448">
        <w:rPr>
          <w:rFonts w:ascii="Times New Roman" w:hAnsi="Times New Roman" w:cs="Times New Roman"/>
          <w:i/>
        </w:rPr>
        <w:t>Aconitum lycoctonum</w:t>
      </w:r>
      <w:r w:rsidRPr="009B0448">
        <w:rPr>
          <w:rFonts w:ascii="Times New Roman" w:hAnsi="Times New Roman" w:cs="Times New Roman"/>
        </w:rPr>
        <w:t xml:space="preserve">. Various types of grasslands can be distinguished according to altitude. In the High Atlas, Ouhammou (2013) distinguished four grassland types: Grassland with </w:t>
      </w:r>
      <w:r w:rsidRPr="009B0448">
        <w:rPr>
          <w:rFonts w:ascii="Times New Roman" w:hAnsi="Times New Roman" w:cs="Times New Roman"/>
          <w:i/>
        </w:rPr>
        <w:t>Lolium perenne</w:t>
      </w:r>
      <w:r w:rsidRPr="009B0448">
        <w:rPr>
          <w:rFonts w:ascii="Times New Roman" w:hAnsi="Times New Roman" w:cs="Times New Roman"/>
        </w:rPr>
        <w:t xml:space="preserve">, </w:t>
      </w:r>
      <w:r w:rsidRPr="009B0448">
        <w:rPr>
          <w:rFonts w:ascii="Times New Roman" w:hAnsi="Times New Roman" w:cs="Times New Roman"/>
          <w:i/>
        </w:rPr>
        <w:t>Holcus lanatus</w:t>
      </w:r>
      <w:r w:rsidRPr="009B0448">
        <w:rPr>
          <w:rFonts w:ascii="Times New Roman" w:hAnsi="Times New Roman" w:cs="Times New Roman"/>
        </w:rPr>
        <w:t xml:space="preserve">, </w:t>
      </w:r>
      <w:r w:rsidRPr="009B0448">
        <w:rPr>
          <w:rFonts w:ascii="Times New Roman" w:hAnsi="Times New Roman" w:cs="Times New Roman"/>
          <w:i/>
        </w:rPr>
        <w:t>Inula viscosa</w:t>
      </w:r>
      <w:r w:rsidRPr="009B0448">
        <w:rPr>
          <w:rFonts w:ascii="Times New Roman" w:hAnsi="Times New Roman" w:cs="Times New Roman"/>
        </w:rPr>
        <w:t xml:space="preserve">, </w:t>
      </w:r>
      <w:r w:rsidRPr="009B0448">
        <w:rPr>
          <w:rFonts w:ascii="Times New Roman" w:hAnsi="Times New Roman" w:cs="Times New Roman"/>
          <w:i/>
        </w:rPr>
        <w:t>Ranunculus acris</w:t>
      </w:r>
      <w:r w:rsidRPr="009B0448">
        <w:rPr>
          <w:rFonts w:ascii="Times New Roman" w:hAnsi="Times New Roman" w:cs="Times New Roman"/>
        </w:rPr>
        <w:t xml:space="preserve"> (Least Concern), and </w:t>
      </w:r>
      <w:r w:rsidRPr="009B0448">
        <w:rPr>
          <w:rFonts w:ascii="Times New Roman" w:hAnsi="Times New Roman" w:cs="Times New Roman"/>
          <w:i/>
        </w:rPr>
        <w:t>Trifolium repens</w:t>
      </w:r>
      <w:r w:rsidRPr="009B0448">
        <w:rPr>
          <w:rFonts w:ascii="Times New Roman" w:hAnsi="Times New Roman" w:cs="Times New Roman"/>
        </w:rPr>
        <w:t xml:space="preserve">; localised between 1,300 and 2,300 metres. Grassland with </w:t>
      </w:r>
      <w:r w:rsidRPr="009B0448">
        <w:rPr>
          <w:rFonts w:ascii="Times New Roman" w:hAnsi="Times New Roman" w:cs="Times New Roman"/>
          <w:i/>
        </w:rPr>
        <w:t>Eryngium variifolium</w:t>
      </w:r>
      <w:r w:rsidRPr="009B0448">
        <w:rPr>
          <w:rFonts w:ascii="Times New Roman" w:hAnsi="Times New Roman" w:cs="Times New Roman"/>
        </w:rPr>
        <w:t xml:space="preserve"> (Vulnerable), </w:t>
      </w:r>
      <w:r w:rsidRPr="009B0448">
        <w:rPr>
          <w:rFonts w:ascii="Times New Roman" w:hAnsi="Times New Roman" w:cs="Times New Roman"/>
          <w:i/>
        </w:rPr>
        <w:t>Alchemilla arvensis</w:t>
      </w:r>
      <w:r w:rsidRPr="009B0448">
        <w:rPr>
          <w:rFonts w:ascii="Times New Roman" w:hAnsi="Times New Roman" w:cs="Times New Roman"/>
        </w:rPr>
        <w:t xml:space="preserve"> and </w:t>
      </w:r>
      <w:r w:rsidRPr="009B0448">
        <w:rPr>
          <w:rFonts w:ascii="Times New Roman" w:hAnsi="Times New Roman" w:cs="Times New Roman"/>
          <w:i/>
        </w:rPr>
        <w:t>Rumex pulcher</w:t>
      </w:r>
      <w:r w:rsidRPr="009B0448">
        <w:rPr>
          <w:rFonts w:ascii="Times New Roman" w:hAnsi="Times New Roman" w:cs="Times New Roman"/>
        </w:rPr>
        <w:t xml:space="preserve">, found in wet places. Grassland with </w:t>
      </w:r>
      <w:r w:rsidRPr="009B0448">
        <w:rPr>
          <w:rFonts w:ascii="Times New Roman" w:hAnsi="Times New Roman" w:cs="Times New Roman"/>
          <w:i/>
        </w:rPr>
        <w:t>Cirsium chrysacanthum</w:t>
      </w:r>
      <w:r w:rsidRPr="009B0448">
        <w:rPr>
          <w:rFonts w:ascii="Times New Roman" w:hAnsi="Times New Roman" w:cs="Times New Roman"/>
        </w:rPr>
        <w:t xml:space="preserve"> (Near Threatened), </w:t>
      </w:r>
      <w:r w:rsidRPr="009B0448">
        <w:rPr>
          <w:rFonts w:ascii="Times New Roman" w:hAnsi="Times New Roman" w:cs="Times New Roman"/>
          <w:i/>
        </w:rPr>
        <w:t>Campanula mairei</w:t>
      </w:r>
      <w:r w:rsidRPr="009B0448">
        <w:rPr>
          <w:rFonts w:ascii="Times New Roman" w:hAnsi="Times New Roman" w:cs="Times New Roman"/>
        </w:rPr>
        <w:t xml:space="preserve"> (Vulnerable) and </w:t>
      </w:r>
      <w:r w:rsidRPr="009B0448">
        <w:rPr>
          <w:rFonts w:ascii="Times New Roman" w:hAnsi="Times New Roman" w:cs="Times New Roman"/>
          <w:i/>
        </w:rPr>
        <w:t>Rorippa atlantica</w:t>
      </w:r>
      <w:r w:rsidRPr="009B0448">
        <w:rPr>
          <w:rFonts w:ascii="Times New Roman" w:hAnsi="Times New Roman" w:cs="Times New Roman"/>
        </w:rPr>
        <w:t>; extends up to the high mountains.</w:t>
      </w:r>
    </w:p>
    <w:p w14:paraId="126FDCE3" w14:textId="77777777" w:rsidR="009B0448" w:rsidRPr="009B0448" w:rsidRDefault="009B0448" w:rsidP="009B0448">
      <w:pPr>
        <w:spacing w:line="276" w:lineRule="auto"/>
        <w:jc w:val="both"/>
        <w:rPr>
          <w:rFonts w:ascii="Times New Roman" w:hAnsi="Times New Roman" w:cs="Times New Roman"/>
        </w:rPr>
      </w:pPr>
    </w:p>
    <w:p w14:paraId="6879B6D2" w14:textId="2FE12C76"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 and future dynamics:</w:t>
      </w:r>
      <w:r w:rsidRPr="009B0448">
        <w:rPr>
          <w:rFonts w:ascii="Times New Roman" w:hAnsi="Times New Roman" w:cs="Times New Roman"/>
        </w:rPr>
        <w:t xml:space="preserve"> The </w:t>
      </w:r>
      <w:r w:rsidR="00B22D81">
        <w:rPr>
          <w:rFonts w:ascii="Times New Roman" w:hAnsi="Times New Roman" w:cs="Times New Roman"/>
        </w:rPr>
        <w:t>subregion</w:t>
      </w:r>
      <w:r w:rsidRPr="009B0448">
        <w:rPr>
          <w:rFonts w:ascii="Times New Roman" w:hAnsi="Times New Roman" w:cs="Times New Roman"/>
        </w:rPr>
        <w:t xml:space="preserve"> is vulnerable to desertification and drought. </w:t>
      </w:r>
      <w:r w:rsidRPr="009B0448">
        <w:rPr>
          <w:rFonts w:ascii="Times New Roman" w:hAnsi="Times New Roman" w:cs="Times New Roman"/>
          <w:i/>
        </w:rPr>
        <w:t>Argania spinosa, Arbutus pavari, Cedrus atlantica</w:t>
      </w:r>
      <w:r w:rsidRPr="009B0448">
        <w:rPr>
          <w:rFonts w:ascii="Times New Roman" w:hAnsi="Times New Roman" w:cs="Times New Roman"/>
        </w:rPr>
        <w:t xml:space="preserve"> (Endangered)</w:t>
      </w:r>
      <w:r w:rsidRPr="009B0448">
        <w:rPr>
          <w:rFonts w:ascii="Times New Roman" w:hAnsi="Times New Roman" w:cs="Times New Roman"/>
          <w:i/>
        </w:rPr>
        <w:t>, Abies pinsapo var. marocana, Euphorbia echinus, Euphorbia resinifera, Senecio antieuphorbium, Thymus algeriensis,</w:t>
      </w:r>
      <w:r w:rsidRPr="009B0448">
        <w:rPr>
          <w:rFonts w:ascii="Times New Roman" w:hAnsi="Times New Roman" w:cs="Times New Roman"/>
        </w:rPr>
        <w:t xml:space="preserve"> and </w:t>
      </w:r>
      <w:r w:rsidRPr="009B0448">
        <w:rPr>
          <w:rFonts w:ascii="Times New Roman" w:hAnsi="Times New Roman" w:cs="Times New Roman"/>
          <w:i/>
        </w:rPr>
        <w:t>Thymus broussonettii</w:t>
      </w:r>
      <w:r w:rsidRPr="009B0448">
        <w:rPr>
          <w:rFonts w:ascii="Times New Roman" w:hAnsi="Times New Roman" w:cs="Times New Roman"/>
        </w:rPr>
        <w:t xml:space="preserve"> are endangered. In Sudan populations of the red-fronted gazelle, Dama gazelle, Barbary sheep, Nubian ibex and lion have declined to critical levels and number of threatened species is increasing. Dorcas, which was considered the most abundant species in Sudan, is threatened by habitat fragmentation and poaching. The 2017 IUCN Red List Animals listed Dorcas gazelle as Endangered in Morocco and Libya, Algeria as Probably Vulnerable, Tunisia and Egypt as Vulnerable and Sudan as Probably Near Threatened or Vulnerable. The 2017 IUCN Red List Animals listed Scimitar-horned Oryx (</w:t>
      </w:r>
      <w:r w:rsidRPr="009B0448">
        <w:rPr>
          <w:rFonts w:ascii="Times New Roman" w:hAnsi="Times New Roman" w:cs="Times New Roman"/>
          <w:i/>
        </w:rPr>
        <w:t>Oryx dammah</w:t>
      </w:r>
      <w:r w:rsidRPr="009B0448">
        <w:rPr>
          <w:rFonts w:ascii="Times New Roman" w:hAnsi="Times New Roman" w:cs="Times New Roman"/>
        </w:rPr>
        <w:t>) as Critical, Extinct in Algeria, Egypt, Libya, Mauritania, Senegal, and South Western Sahara of Morocco, and probably extinct in Sudan and Tunisia. The 2017 IUCN Red List Species listed the Scimitar-horned Oryx as Extinct in the wild. It now survives only in zoos and in protected area, as Sous Massa National Park in Morocco. The 2017 IUCN Red List Animals listed the Addax (</w:t>
      </w:r>
      <w:r w:rsidRPr="009B0448">
        <w:rPr>
          <w:rFonts w:ascii="Times New Roman" w:hAnsi="Times New Roman" w:cs="Times New Roman"/>
          <w:i/>
        </w:rPr>
        <w:t>Addax nasomaculatus</w:t>
      </w:r>
      <w:r w:rsidRPr="009B0448">
        <w:rPr>
          <w:rFonts w:ascii="Times New Roman" w:hAnsi="Times New Roman" w:cs="Times New Roman"/>
        </w:rPr>
        <w:t xml:space="preserve">) as Critically Endangered. </w:t>
      </w:r>
    </w:p>
    <w:p w14:paraId="206785A2" w14:textId="77777777" w:rsidR="009B0448" w:rsidRPr="009B0448" w:rsidRDefault="009B0448" w:rsidP="009B0448">
      <w:pPr>
        <w:spacing w:line="276" w:lineRule="auto"/>
        <w:jc w:val="both"/>
        <w:rPr>
          <w:rFonts w:ascii="Times New Roman" w:hAnsi="Times New Roman" w:cs="Times New Roman"/>
        </w:rPr>
      </w:pPr>
    </w:p>
    <w:p w14:paraId="3E7E6E8B"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Small gazelles have also declined drastically in the Sahara. The Slender-horned Gazelle or Rhim (</w:t>
      </w:r>
      <w:r w:rsidRPr="009B0448">
        <w:rPr>
          <w:rFonts w:ascii="Times New Roman" w:hAnsi="Times New Roman" w:cs="Times New Roman"/>
          <w:i/>
        </w:rPr>
        <w:t>Gazella leptoceros</w:t>
      </w:r>
      <w:r w:rsidRPr="009B0448">
        <w:rPr>
          <w:rFonts w:ascii="Times New Roman" w:hAnsi="Times New Roman" w:cs="Times New Roman"/>
        </w:rPr>
        <w:t>), native to North Africa, is now extinct in Western Sahara, and endangered throughout its range, according to the 2000 IUCN Red List Species. The endangered Dama Gazelle (</w:t>
      </w:r>
      <w:r w:rsidRPr="009B0448">
        <w:rPr>
          <w:rFonts w:ascii="Times New Roman" w:hAnsi="Times New Roman" w:cs="Times New Roman"/>
          <w:i/>
        </w:rPr>
        <w:t>Nanger dama</w:t>
      </w:r>
      <w:r w:rsidRPr="009B0448">
        <w:rPr>
          <w:rFonts w:ascii="Times New Roman" w:hAnsi="Times New Roman" w:cs="Times New Roman"/>
        </w:rPr>
        <w:t>), also a heavily hunted species, is extinct in Algeria, Libya, Mauritania and Morocco. Cuvier's gazelle (</w:t>
      </w:r>
      <w:r w:rsidRPr="009B0448">
        <w:rPr>
          <w:rFonts w:ascii="Times New Roman" w:hAnsi="Times New Roman" w:cs="Times New Roman"/>
          <w:i/>
        </w:rPr>
        <w:t>Gazella cuvieri</w:t>
      </w:r>
      <w:r w:rsidRPr="009B0448">
        <w:rPr>
          <w:rFonts w:ascii="Times New Roman" w:hAnsi="Times New Roman" w:cs="Times New Roman"/>
        </w:rPr>
        <w:t>) is endemic to mountains and hills of the Atlas and neighbouring ranges of north-west Africa. According to the Red List/IUCN (2016), the species survives in endangered populations in Algeria, Morocco and Tunisia.</w:t>
      </w:r>
    </w:p>
    <w:p w14:paraId="1363AA68"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57" w:name="_Toc519499862"/>
      <w:r w:rsidRPr="009B0448">
        <w:rPr>
          <w:rFonts w:cs="Times New Roman"/>
          <w:b w:val="0"/>
          <w:sz w:val="22"/>
          <w:szCs w:val="22"/>
        </w:rPr>
        <w:t>Dryland and desert</w:t>
      </w:r>
      <w:bookmarkEnd w:id="157"/>
    </w:p>
    <w:p w14:paraId="718D1E7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 desert comprises much of North Africa, excluding the fertile region on the Mediterranean Sea coast, the Atlas Mountains of the Maghreb, and the Nile Valley in Egypt and Sudan. The Sahara desert covers large parts of: Algeria, Egypt, Libya, Morocco, Sudan and Tunisia. The flora of the Sahara desert in North Africa is relatively poor but very remarkable, composed mainly of </w:t>
      </w:r>
      <w:r w:rsidRPr="009B0448">
        <w:rPr>
          <w:rFonts w:ascii="Times New Roman" w:hAnsi="Times New Roman" w:cs="Times New Roman"/>
          <w:i/>
        </w:rPr>
        <w:t>Phoenix dactylifera</w:t>
      </w:r>
      <w:r w:rsidRPr="009B0448">
        <w:rPr>
          <w:rFonts w:ascii="Times New Roman" w:hAnsi="Times New Roman" w:cs="Times New Roman"/>
        </w:rPr>
        <w:t xml:space="preserve"> (Least Concern)</w:t>
      </w:r>
      <w:r w:rsidRPr="009B0448">
        <w:rPr>
          <w:rFonts w:ascii="Times New Roman" w:hAnsi="Times New Roman" w:cs="Times New Roman"/>
          <w:i/>
        </w:rPr>
        <w:t xml:space="preserve">, Acacia raddiana, Acacia ehrembergiana, Balanites aegyptiaca, Retama retam, </w:t>
      </w:r>
      <w:r w:rsidRPr="009B0448">
        <w:rPr>
          <w:rFonts w:ascii="Times New Roman" w:hAnsi="Times New Roman" w:cs="Times New Roman"/>
          <w:i/>
        </w:rPr>
        <w:lastRenderedPageBreak/>
        <w:t>Genista saharae, Gymnocarpos decander, Convolvulus trabutianus, Foleyola billotii, Zilla macroptera, Spergularia tomentosa, Fredolia aretioides, Traganum nudatum, Boscia senegalensis, Maerua crassifolia, Anastatica hierochuntica</w:t>
      </w:r>
      <w:r w:rsidRPr="009B0448">
        <w:rPr>
          <w:rFonts w:ascii="Times New Roman" w:hAnsi="Times New Roman" w:cs="Times New Roman"/>
        </w:rPr>
        <w:t xml:space="preserve">. Several species of fox live in the Sahara desert including: the fennec fox, pale fox and Rüppell's fox. The Addax, a large white antelope, can go nearly a year in the desert without drinking. The Dorcas gazelle is a North African gazelle that can also go for a long time without water. Other notable gazelles include the Rhim gazelle and Dama gazelle. The Saharan cheetah (northwest African cheetah) lives in Algeria. There remain not more than 250 mature cheetahs in Sahara desert. The other cheetah subspecies (northeast African cheetah) lives in Sudan. There are approximately 2,000 mature individuals left in the wild (Belbachir, 2008; BBC News, 2009). Other animals include the monitor lizards, hyrax, sand vipers, and small populations of African wild dog (Borrell, 2009; Woodroffe </w:t>
      </w:r>
      <w:r w:rsidRPr="009B0448">
        <w:rPr>
          <w:rFonts w:ascii="Times New Roman" w:hAnsi="Times New Roman" w:cs="Times New Roman"/>
          <w:i/>
        </w:rPr>
        <w:t>et al.</w:t>
      </w:r>
      <w:r w:rsidRPr="009B0448">
        <w:rPr>
          <w:rFonts w:ascii="Times New Roman" w:hAnsi="Times New Roman" w:cs="Times New Roman"/>
        </w:rPr>
        <w:t xml:space="preserve">, 2012) and red-necked ostrich. Other animals exist in the Sahara (birds in particular) such as African Silver bill and black-faced fire finch, among others. Dromedary camels and goats are the domesticated animals most commonly found in the Sahara. </w:t>
      </w:r>
    </w:p>
    <w:p w14:paraId="4DD5938A" w14:textId="77777777" w:rsidR="009B0448" w:rsidRPr="009B0448" w:rsidRDefault="009B0448" w:rsidP="009B0448">
      <w:pPr>
        <w:spacing w:line="276" w:lineRule="auto"/>
        <w:jc w:val="both"/>
        <w:rPr>
          <w:rFonts w:ascii="Times New Roman" w:hAnsi="Times New Roman" w:cs="Times New Roman"/>
        </w:rPr>
      </w:pPr>
    </w:p>
    <w:p w14:paraId="158A01DB"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Two-thirds of the area of Sudan is arid or in semi-desert zone and desert ecosystem capers almost 35% of the country. The historical distribution of temporary presence of the movements of the Scimitar-horned Oryx includes all of Saharan and sub-Saharan North Africa between the Atlantic and the Nile. From the 1950’s data Scimitar-horned Oryx is probably now extinct in Sudan (Wilson, 1980). The last precise data are of groups of up to 50 individuals in the Wadi Howar region and on the temporary gizu pastures north of the Wadi Howar in 1964 (Lamprey, 1975), and the capture of an individual at the westernmost part of the Sudanian Wadi Howar in 1973 (Lamprey, 1975). Newby (1982, 1988) estimates that extinction of Scimitar-horned Oryx took place in the 1970’s. Dorcas gazelle occupies two allopatric habitats (i.e., west and east of the Nile). In Morocco, Oryx was documented in the regions south of the Oued Drâa (Loggers </w:t>
      </w:r>
      <w:r w:rsidRPr="009B0448">
        <w:rPr>
          <w:rFonts w:ascii="Times New Roman" w:hAnsi="Times New Roman" w:cs="Times New Roman"/>
          <w:i/>
        </w:rPr>
        <w:t>et al.</w:t>
      </w:r>
      <w:r w:rsidRPr="009B0448">
        <w:rPr>
          <w:rFonts w:ascii="Times New Roman" w:hAnsi="Times New Roman" w:cs="Times New Roman"/>
        </w:rPr>
        <w:t xml:space="preserve">, 1992) and perhaps in Oued Noun (Joleaud, 1918). The Scimitar-horned Oryx was reintroduced in Morocco within large enclosures (Reserved’Arrouais: about 1000 hectares) in Souss Massa National Park. </w:t>
      </w:r>
    </w:p>
    <w:p w14:paraId="6A75F789" w14:textId="77777777" w:rsidR="009B0448" w:rsidRPr="009B0448" w:rsidRDefault="009B0448" w:rsidP="009B0448">
      <w:pPr>
        <w:spacing w:line="276" w:lineRule="auto"/>
        <w:jc w:val="both"/>
        <w:rPr>
          <w:rFonts w:ascii="Times New Roman" w:hAnsi="Times New Roman" w:cs="Times New Roman"/>
        </w:rPr>
      </w:pPr>
    </w:p>
    <w:p w14:paraId="4AA63FD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In Egypt’s dry and sub-humid habitats cover over 90% of the territory, combining different ecosystems (Table 3.8). The Egyptian desert was home to 6 species of antelopes until the mid-1940s: Mountain gazelle (</w:t>
      </w:r>
      <w:r w:rsidRPr="009B0448">
        <w:rPr>
          <w:rFonts w:ascii="Times New Roman" w:hAnsi="Times New Roman" w:cs="Times New Roman"/>
          <w:i/>
        </w:rPr>
        <w:t>Gazella gazella</w:t>
      </w:r>
      <w:r w:rsidRPr="009B0448">
        <w:rPr>
          <w:rFonts w:ascii="Times New Roman" w:hAnsi="Times New Roman" w:cs="Times New Roman"/>
        </w:rPr>
        <w:t>, Vulnerable), Dorcas Gazelle (</w:t>
      </w:r>
      <w:r w:rsidRPr="009B0448">
        <w:rPr>
          <w:rFonts w:ascii="Times New Roman" w:hAnsi="Times New Roman" w:cs="Times New Roman"/>
          <w:i/>
        </w:rPr>
        <w:t>Gazelle dorcas</w:t>
      </w:r>
      <w:r w:rsidRPr="009B0448">
        <w:rPr>
          <w:rFonts w:ascii="Times New Roman" w:hAnsi="Times New Roman" w:cs="Times New Roman"/>
        </w:rPr>
        <w:t>, Vulnerable), Scimitar Horned Oryx (</w:t>
      </w:r>
      <w:r w:rsidRPr="009B0448">
        <w:rPr>
          <w:rFonts w:ascii="Times New Roman" w:hAnsi="Times New Roman" w:cs="Times New Roman"/>
          <w:i/>
        </w:rPr>
        <w:t>Oryx dammah</w:t>
      </w:r>
      <w:r w:rsidRPr="009B0448">
        <w:rPr>
          <w:rFonts w:ascii="Times New Roman" w:hAnsi="Times New Roman" w:cs="Times New Roman"/>
        </w:rPr>
        <w:t>, Extinct in the Wild), Rhim Gazelle (</w:t>
      </w:r>
      <w:r w:rsidRPr="009B0448">
        <w:rPr>
          <w:rFonts w:ascii="Times New Roman" w:hAnsi="Times New Roman" w:cs="Times New Roman"/>
          <w:i/>
        </w:rPr>
        <w:t>Gazella leptoceros</w:t>
      </w:r>
      <w:r w:rsidRPr="009B0448">
        <w:rPr>
          <w:rFonts w:ascii="Times New Roman" w:hAnsi="Times New Roman" w:cs="Times New Roman"/>
        </w:rPr>
        <w:t>, Endangered), Addax (</w:t>
      </w:r>
      <w:r w:rsidRPr="009B0448">
        <w:rPr>
          <w:rFonts w:ascii="Times New Roman" w:hAnsi="Times New Roman" w:cs="Times New Roman"/>
          <w:i/>
        </w:rPr>
        <w:t>Addax nasomaculatus</w:t>
      </w:r>
      <w:r w:rsidRPr="009B0448">
        <w:rPr>
          <w:rFonts w:ascii="Times New Roman" w:hAnsi="Times New Roman" w:cs="Times New Roman"/>
        </w:rPr>
        <w:t>, Critically Endangered) and African Wild Ass (</w:t>
      </w:r>
      <w:r w:rsidRPr="009B0448">
        <w:rPr>
          <w:rFonts w:ascii="Times New Roman" w:hAnsi="Times New Roman" w:cs="Times New Roman"/>
          <w:i/>
        </w:rPr>
        <w:t>Equus asinus</w:t>
      </w:r>
      <w:r w:rsidRPr="009B0448">
        <w:rPr>
          <w:rFonts w:ascii="Times New Roman" w:hAnsi="Times New Roman" w:cs="Times New Roman"/>
        </w:rPr>
        <w:t>). As a result of hunting activities and drought, the Mountain Gazelle, Scimitar Horned Oryx, Addax and African Wild Ass have disappeared completely. Only the Dorcas Gazelle (</w:t>
      </w:r>
      <w:r w:rsidRPr="009B0448">
        <w:rPr>
          <w:rFonts w:ascii="Times New Roman" w:hAnsi="Times New Roman" w:cs="Times New Roman"/>
          <w:i/>
        </w:rPr>
        <w:t>Gazelle dorcas</w:t>
      </w:r>
      <w:r w:rsidRPr="009B0448">
        <w:rPr>
          <w:rFonts w:ascii="Times New Roman" w:hAnsi="Times New Roman" w:cs="Times New Roman"/>
        </w:rPr>
        <w:t>, Vulnerable) and Rhim Gazelle (</w:t>
      </w:r>
      <w:r w:rsidRPr="009B0448">
        <w:rPr>
          <w:rFonts w:ascii="Times New Roman" w:hAnsi="Times New Roman" w:cs="Times New Roman"/>
          <w:i/>
        </w:rPr>
        <w:t>Gazelle leptoceros</w:t>
      </w:r>
      <w:r w:rsidRPr="009B0448">
        <w:rPr>
          <w:rFonts w:ascii="Times New Roman" w:hAnsi="Times New Roman" w:cs="Times New Roman"/>
        </w:rPr>
        <w:t xml:space="preserve">) are still present today. </w:t>
      </w:r>
    </w:p>
    <w:p w14:paraId="66EB618F" w14:textId="77777777" w:rsidR="009B0448" w:rsidRPr="009B0448" w:rsidRDefault="009B0448" w:rsidP="009B0448">
      <w:pPr>
        <w:spacing w:line="276" w:lineRule="auto"/>
        <w:jc w:val="both"/>
        <w:rPr>
          <w:rFonts w:ascii="Times New Roman" w:hAnsi="Times New Roman" w:cs="Times New Roman"/>
        </w:rPr>
      </w:pPr>
    </w:p>
    <w:p w14:paraId="6F0A97F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w:t>
      </w:r>
      <w:r w:rsidRPr="009B0448">
        <w:rPr>
          <w:rFonts w:ascii="Times New Roman" w:hAnsi="Times New Roman" w:cs="Times New Roman"/>
        </w:rPr>
        <w:t xml:space="preserve"> Northeast African cheetah is currently extinct in the wild in Egypt and Libya. In Egypt, the El Omayed deserts protectorate, includes 251 plant species (1 Endemic, 11 Threatened, 17 Endangered with Extinction) and 324 animal species including 39 bird species (4 Endemic, 1 Globally Endangered, 19 Rare); 10 mammals (1 Endemic, 2 Endangered with Extinction, 4 Rare); 33 reptiles (3 Endangered with Extinction, 12 Under environmental threats); and 242 insect species (2 Endangered with Extinction). In the Wadi Allaqi protected area, biodiversity is represented by 139 plant species (98 of them became extinct between 2000 and 2006 and 6 species are threatened due to over and random grazing). The Dorcas Gazelle (</w:t>
      </w:r>
      <w:r w:rsidRPr="009B0448">
        <w:rPr>
          <w:rFonts w:ascii="Times New Roman" w:hAnsi="Times New Roman" w:cs="Times New Roman"/>
          <w:i/>
        </w:rPr>
        <w:t>Gazelle dorcas</w:t>
      </w:r>
      <w:r w:rsidRPr="009B0448">
        <w:rPr>
          <w:rFonts w:ascii="Times New Roman" w:hAnsi="Times New Roman" w:cs="Times New Roman"/>
        </w:rPr>
        <w:t>) and Rhim Gazelle (</w:t>
      </w:r>
      <w:r w:rsidRPr="009B0448">
        <w:rPr>
          <w:rFonts w:ascii="Times New Roman" w:hAnsi="Times New Roman" w:cs="Times New Roman"/>
          <w:i/>
        </w:rPr>
        <w:t>Gazelle leptoceros</w:t>
      </w:r>
      <w:r w:rsidRPr="009B0448">
        <w:rPr>
          <w:rFonts w:ascii="Times New Roman" w:hAnsi="Times New Roman" w:cs="Times New Roman"/>
        </w:rPr>
        <w:t>, Vulnerable) are threatened with extinction.</w:t>
      </w:r>
    </w:p>
    <w:p w14:paraId="0474E9F4" w14:textId="77777777" w:rsidR="009B0448" w:rsidRPr="009B0448" w:rsidRDefault="009B0448" w:rsidP="009B0448">
      <w:pPr>
        <w:spacing w:line="276" w:lineRule="auto"/>
        <w:jc w:val="both"/>
        <w:rPr>
          <w:rFonts w:ascii="Times New Roman" w:hAnsi="Times New Roman" w:cs="Times New Roman"/>
          <w:b/>
        </w:rPr>
      </w:pPr>
    </w:p>
    <w:p w14:paraId="61FC22A0" w14:textId="77777777" w:rsidR="006D75C7" w:rsidRDefault="006D75C7">
      <w:pPr>
        <w:rPr>
          <w:rFonts w:ascii="Times New Roman" w:hAnsi="Times New Roman" w:cs="Times New Roman"/>
          <w:b/>
        </w:rPr>
      </w:pPr>
      <w:r>
        <w:rPr>
          <w:rFonts w:ascii="Times New Roman" w:hAnsi="Times New Roman" w:cs="Times New Roman"/>
          <w:b/>
        </w:rPr>
        <w:br w:type="page"/>
      </w:r>
    </w:p>
    <w:p w14:paraId="6FF39731" w14:textId="20C93516"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lastRenderedPageBreak/>
        <w:t>Table 3.8:</w:t>
      </w:r>
      <w:r w:rsidRPr="009B0448">
        <w:rPr>
          <w:rFonts w:ascii="Times New Roman" w:hAnsi="Times New Roman" w:cs="Times New Roman"/>
        </w:rPr>
        <w:t xml:space="preserve"> Types and status of main ecosystems in North Africa. Source: Radford </w:t>
      </w:r>
      <w:r w:rsidRPr="009B0448">
        <w:rPr>
          <w:rFonts w:ascii="Times New Roman" w:hAnsi="Times New Roman" w:cs="Times New Roman"/>
          <w:i/>
        </w:rPr>
        <w:t>et al</w:t>
      </w:r>
      <w:r w:rsidRPr="009B0448">
        <w:rPr>
          <w:rFonts w:ascii="Times New Roman" w:hAnsi="Times New Roman" w:cs="Times New Roman"/>
        </w:rPr>
        <w:t xml:space="preserve">. (2011) </w:t>
      </w:r>
    </w:p>
    <w:tbl>
      <w:tblPr>
        <w:tblStyle w:val="5"/>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600" w:firstRow="0" w:lastRow="0" w:firstColumn="0" w:lastColumn="0" w:noHBand="1" w:noVBand="1"/>
      </w:tblPr>
      <w:tblGrid>
        <w:gridCol w:w="1210"/>
        <w:gridCol w:w="1292"/>
        <w:gridCol w:w="1292"/>
        <w:gridCol w:w="1275"/>
        <w:gridCol w:w="1310"/>
        <w:gridCol w:w="1186"/>
        <w:gridCol w:w="1441"/>
      </w:tblGrid>
      <w:tr w:rsidR="009B0448" w:rsidRPr="009B0448" w14:paraId="579684DE" w14:textId="77777777" w:rsidTr="009B0448">
        <w:trPr>
          <w:trHeight w:val="588"/>
          <w:tblHeader/>
        </w:trPr>
        <w:tc>
          <w:tcPr>
            <w:tcW w:w="664"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FC2FDB" w14:textId="77777777" w:rsidR="009B0448" w:rsidRPr="009B0448" w:rsidRDefault="009B0448">
            <w:pPr>
              <w:rPr>
                <w:rFonts w:ascii="Times New Roman" w:hAnsi="Times New Roman" w:cs="Times New Roman"/>
                <w:b/>
                <w:color w:val="auto"/>
              </w:rPr>
            </w:pPr>
            <w:r w:rsidRPr="009B0448">
              <w:rPr>
                <w:rFonts w:ascii="Times New Roman" w:hAnsi="Times New Roman" w:cs="Times New Roman"/>
                <w:b/>
                <w:color w:val="auto"/>
              </w:rPr>
              <w:t>Type of Ecosystem</w:t>
            </w:r>
          </w:p>
        </w:tc>
        <w:tc>
          <w:tcPr>
            <w:tcW w:w="707" w:type="pct"/>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5BC4C48A" w14:textId="77777777" w:rsidR="009B0448" w:rsidRPr="009B0448" w:rsidRDefault="009B0448">
            <w:pPr>
              <w:rPr>
                <w:rFonts w:ascii="Times New Roman" w:hAnsi="Times New Roman" w:cs="Times New Roman"/>
                <w:b/>
                <w:color w:val="auto"/>
              </w:rPr>
            </w:pPr>
            <w:r w:rsidRPr="009B0448">
              <w:rPr>
                <w:rFonts w:ascii="Times New Roman" w:hAnsi="Times New Roman" w:cs="Times New Roman"/>
                <w:b/>
                <w:color w:val="auto"/>
              </w:rPr>
              <w:t>Current state</w:t>
            </w:r>
          </w:p>
        </w:tc>
        <w:tc>
          <w:tcPr>
            <w:tcW w:w="707" w:type="pct"/>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6B4D633" w14:textId="77777777" w:rsidR="009B0448" w:rsidRPr="009B0448" w:rsidRDefault="009B0448">
            <w:pPr>
              <w:rPr>
                <w:rFonts w:ascii="Times New Roman" w:hAnsi="Times New Roman" w:cs="Times New Roman"/>
                <w:b/>
                <w:color w:val="auto"/>
              </w:rPr>
            </w:pPr>
            <w:r w:rsidRPr="009B0448">
              <w:rPr>
                <w:rFonts w:ascii="Times New Roman" w:hAnsi="Times New Roman" w:cs="Times New Roman"/>
                <w:b/>
                <w:color w:val="auto"/>
              </w:rPr>
              <w:t>Evolution of habitat (past 20 years)</w:t>
            </w:r>
          </w:p>
        </w:tc>
        <w:tc>
          <w:tcPr>
            <w:tcW w:w="698" w:type="pct"/>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tcPr>
          <w:p w14:paraId="028A23DE" w14:textId="77777777" w:rsidR="009B0448" w:rsidRPr="009B0448" w:rsidRDefault="009B0448">
            <w:pPr>
              <w:rPr>
                <w:rFonts w:ascii="Times New Roman" w:hAnsi="Times New Roman" w:cs="Times New Roman"/>
                <w:b/>
                <w:color w:val="auto"/>
              </w:rPr>
            </w:pPr>
            <w:r w:rsidRPr="009B0448">
              <w:rPr>
                <w:rFonts w:ascii="Times New Roman" w:hAnsi="Times New Roman" w:cs="Times New Roman"/>
                <w:b/>
                <w:color w:val="auto"/>
              </w:rPr>
              <w:t>Future trend</w:t>
            </w:r>
          </w:p>
          <w:p w14:paraId="088EBE1D" w14:textId="77777777" w:rsidR="009B0448" w:rsidRPr="009B0448" w:rsidRDefault="009B0448">
            <w:pPr>
              <w:spacing w:line="256" w:lineRule="auto"/>
              <w:rPr>
                <w:rFonts w:ascii="Times New Roman" w:hAnsi="Times New Roman" w:cs="Times New Roman"/>
                <w:b/>
                <w:color w:val="auto"/>
              </w:rPr>
            </w:pPr>
          </w:p>
        </w:tc>
        <w:tc>
          <w:tcPr>
            <w:tcW w:w="815" w:type="pct"/>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720166F" w14:textId="77777777" w:rsidR="009B0448" w:rsidRPr="009B0448" w:rsidRDefault="009B0448">
            <w:pPr>
              <w:rPr>
                <w:rFonts w:ascii="Times New Roman" w:hAnsi="Times New Roman" w:cs="Times New Roman"/>
                <w:b/>
                <w:color w:val="auto"/>
              </w:rPr>
            </w:pPr>
            <w:r w:rsidRPr="009B0448">
              <w:rPr>
                <w:rFonts w:ascii="Times New Roman" w:hAnsi="Times New Roman" w:cs="Times New Roman"/>
                <w:b/>
                <w:color w:val="auto"/>
              </w:rPr>
              <w:t>Nature of ecosystem services for the population</w:t>
            </w:r>
          </w:p>
        </w:tc>
        <w:tc>
          <w:tcPr>
            <w:tcW w:w="623" w:type="pct"/>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55097E20" w14:textId="77777777" w:rsidR="009B0448" w:rsidRPr="009B0448" w:rsidRDefault="009B0448">
            <w:pPr>
              <w:rPr>
                <w:rFonts w:ascii="Times New Roman" w:hAnsi="Times New Roman" w:cs="Times New Roman"/>
                <w:b/>
                <w:color w:val="auto"/>
              </w:rPr>
            </w:pPr>
            <w:r w:rsidRPr="009B0448">
              <w:rPr>
                <w:rFonts w:ascii="Times New Roman" w:hAnsi="Times New Roman" w:cs="Times New Roman"/>
                <w:b/>
                <w:color w:val="auto"/>
              </w:rPr>
              <w:t>Impact on the population</w:t>
            </w:r>
          </w:p>
        </w:tc>
        <w:tc>
          <w:tcPr>
            <w:tcW w:w="787" w:type="pct"/>
            <w:tcBorders>
              <w:top w:val="single" w:sz="8"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8386C10" w14:textId="77777777" w:rsidR="009B0448" w:rsidRPr="009B0448" w:rsidRDefault="009B0448">
            <w:pPr>
              <w:rPr>
                <w:rFonts w:ascii="Times New Roman" w:hAnsi="Times New Roman" w:cs="Times New Roman"/>
                <w:b/>
                <w:color w:val="auto"/>
              </w:rPr>
            </w:pPr>
            <w:r w:rsidRPr="009B0448">
              <w:rPr>
                <w:rFonts w:ascii="Times New Roman" w:hAnsi="Times New Roman" w:cs="Times New Roman"/>
                <w:b/>
                <w:color w:val="auto"/>
              </w:rPr>
              <w:t>Threats (various)</w:t>
            </w:r>
          </w:p>
        </w:tc>
      </w:tr>
      <w:tr w:rsidR="009B0448" w:rsidRPr="009B0448" w14:paraId="6D4D7A10" w14:textId="77777777" w:rsidTr="009B0448">
        <w:trPr>
          <w:trHeight w:val="1759"/>
        </w:trPr>
        <w:tc>
          <w:tcPr>
            <w:tcW w:w="664"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74176F"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Forests and shrublands</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34B3CE8C"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Very clear, in continued deterioration</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107A6CD"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No reference state but the continuing deterioration in response to increasing pressure</w:t>
            </w:r>
          </w:p>
        </w:tc>
        <w:tc>
          <w:tcPr>
            <w:tcW w:w="698"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4D96ED6C"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Degradation of forests and shrublands, loss of biodiversity, depletion of species etc.</w:t>
            </w:r>
          </w:p>
        </w:tc>
        <w:tc>
          <w:tcPr>
            <w:tcW w:w="81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321F3841"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Firewood, construction and carpentry wood, harvesting of mushrooms, lichens, medicinal plants, paths etc.</w:t>
            </w:r>
          </w:p>
        </w:tc>
        <w:tc>
          <w:tcPr>
            <w:tcW w:w="6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2BDDE4A"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Reduction of pastoral resources and the number of livestock, increased poverty, rural exodus etc.</w:t>
            </w:r>
          </w:p>
        </w:tc>
        <w:tc>
          <w:tcPr>
            <w:tcW w:w="78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905C46D"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Fuelwood harvesting, construction and woodworking, harvesting mushrooms, medicinal plants, grazing etc.</w:t>
            </w:r>
          </w:p>
        </w:tc>
      </w:tr>
      <w:tr w:rsidR="009B0448" w:rsidRPr="009B0448" w14:paraId="2094A217" w14:textId="77777777" w:rsidTr="009B0448">
        <w:trPr>
          <w:trHeight w:val="2001"/>
        </w:trPr>
        <w:tc>
          <w:tcPr>
            <w:tcW w:w="664"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50AA61"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Steppes tree</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41A51ABD"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Very marked deterioration</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5FF93C8"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No reference state but the continuing deterioration in response to increased pressure</w:t>
            </w:r>
          </w:p>
        </w:tc>
        <w:tc>
          <w:tcPr>
            <w:tcW w:w="698"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8D558AA"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Tendency to purely steppe formations from degradation</w:t>
            </w:r>
          </w:p>
        </w:tc>
        <w:tc>
          <w:tcPr>
            <w:tcW w:w="81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5BB75915"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Firewood, construction and carpentry wood, medicinal plants, paths etc.</w:t>
            </w:r>
          </w:p>
        </w:tc>
        <w:tc>
          <w:tcPr>
            <w:tcW w:w="6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3E166FA"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Decline in resources for livestock, rural exodus, poverty</w:t>
            </w:r>
          </w:p>
        </w:tc>
        <w:tc>
          <w:tcPr>
            <w:tcW w:w="78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19385153"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Pasture, expansion of agricultural land</w:t>
            </w:r>
          </w:p>
        </w:tc>
      </w:tr>
      <w:tr w:rsidR="009B0448" w:rsidRPr="009B0448" w14:paraId="0B16A752" w14:textId="77777777" w:rsidTr="009B0448">
        <w:trPr>
          <w:trHeight w:val="1072"/>
        </w:trPr>
        <w:tc>
          <w:tcPr>
            <w:tcW w:w="664" w:type="pct"/>
            <w:tcBorders>
              <w:top w:val="single" w:sz="6" w:space="0" w:color="000000"/>
              <w:left w:val="single" w:sz="8" w:space="0" w:color="000000"/>
              <w:bottom w:val="nil"/>
              <w:right w:val="single" w:sz="8" w:space="0" w:color="000000"/>
            </w:tcBorders>
            <w:tcMar>
              <w:top w:w="100" w:type="dxa"/>
              <w:left w:w="100" w:type="dxa"/>
              <w:bottom w:w="100" w:type="dxa"/>
              <w:right w:w="100" w:type="dxa"/>
            </w:tcMar>
            <w:hideMark/>
          </w:tcPr>
          <w:p w14:paraId="011B0408"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 xml:space="preserve">Steppes of high mountains </w:t>
            </w:r>
          </w:p>
        </w:tc>
        <w:tc>
          <w:tcPr>
            <w:tcW w:w="707" w:type="pct"/>
            <w:tcBorders>
              <w:top w:val="single" w:sz="6" w:space="0" w:color="000000"/>
              <w:left w:val="single" w:sz="6" w:space="0" w:color="000000"/>
              <w:bottom w:val="nil"/>
              <w:right w:val="single" w:sz="8" w:space="0" w:color="000000"/>
            </w:tcBorders>
            <w:tcMar>
              <w:top w:w="100" w:type="dxa"/>
              <w:left w:w="100" w:type="dxa"/>
              <w:bottom w:w="100" w:type="dxa"/>
              <w:right w:w="100" w:type="dxa"/>
            </w:tcMar>
            <w:hideMark/>
          </w:tcPr>
          <w:p w14:paraId="047658D0"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Enough conserved</w:t>
            </w:r>
          </w:p>
        </w:tc>
        <w:tc>
          <w:tcPr>
            <w:tcW w:w="707" w:type="pct"/>
            <w:tcBorders>
              <w:top w:val="single" w:sz="6" w:space="0" w:color="000000"/>
              <w:left w:val="single" w:sz="6" w:space="0" w:color="000000"/>
              <w:bottom w:val="nil"/>
              <w:right w:val="single" w:sz="8" w:space="0" w:color="000000"/>
            </w:tcBorders>
            <w:tcMar>
              <w:top w:w="100" w:type="dxa"/>
              <w:left w:w="100" w:type="dxa"/>
              <w:bottom w:w="100" w:type="dxa"/>
              <w:right w:w="100" w:type="dxa"/>
            </w:tcMar>
            <w:hideMark/>
          </w:tcPr>
          <w:p w14:paraId="4B39D5FD"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No great change</w:t>
            </w:r>
          </w:p>
        </w:tc>
        <w:tc>
          <w:tcPr>
            <w:tcW w:w="698" w:type="pct"/>
            <w:tcBorders>
              <w:top w:val="single" w:sz="6" w:space="0" w:color="000000"/>
              <w:left w:val="single" w:sz="6" w:space="0" w:color="000000"/>
              <w:bottom w:val="nil"/>
              <w:right w:val="single" w:sz="8" w:space="0" w:color="000000"/>
            </w:tcBorders>
            <w:tcMar>
              <w:top w:w="100" w:type="dxa"/>
              <w:left w:w="100" w:type="dxa"/>
              <w:bottom w:w="100" w:type="dxa"/>
              <w:right w:w="100" w:type="dxa"/>
            </w:tcMar>
            <w:hideMark/>
          </w:tcPr>
          <w:p w14:paraId="04D3399E"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Increasing human pressure leading to resource degradation in forests and shrublands</w:t>
            </w:r>
          </w:p>
        </w:tc>
        <w:tc>
          <w:tcPr>
            <w:tcW w:w="815" w:type="pct"/>
            <w:tcBorders>
              <w:top w:val="single" w:sz="6" w:space="0" w:color="000000"/>
              <w:left w:val="single" w:sz="6" w:space="0" w:color="000000"/>
              <w:bottom w:val="nil"/>
              <w:right w:val="single" w:sz="8" w:space="0" w:color="000000"/>
            </w:tcBorders>
            <w:tcMar>
              <w:top w:w="100" w:type="dxa"/>
              <w:left w:w="100" w:type="dxa"/>
              <w:bottom w:w="100" w:type="dxa"/>
              <w:right w:w="100" w:type="dxa"/>
            </w:tcMar>
            <w:hideMark/>
          </w:tcPr>
          <w:p w14:paraId="36560970"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Firewood, background, harvesting of medicinal plants.</w:t>
            </w:r>
          </w:p>
        </w:tc>
        <w:tc>
          <w:tcPr>
            <w:tcW w:w="623" w:type="pct"/>
            <w:tcBorders>
              <w:top w:val="single" w:sz="6" w:space="0" w:color="000000"/>
              <w:left w:val="single" w:sz="6" w:space="0" w:color="000000"/>
              <w:bottom w:val="nil"/>
              <w:right w:val="single" w:sz="8" w:space="0" w:color="000000"/>
            </w:tcBorders>
            <w:tcMar>
              <w:top w:w="100" w:type="dxa"/>
              <w:left w:w="100" w:type="dxa"/>
              <w:bottom w:w="100" w:type="dxa"/>
              <w:right w:w="100" w:type="dxa"/>
            </w:tcMar>
            <w:hideMark/>
          </w:tcPr>
          <w:p w14:paraId="1DB4D984"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No significant negative impact</w:t>
            </w:r>
          </w:p>
        </w:tc>
        <w:tc>
          <w:tcPr>
            <w:tcW w:w="787" w:type="pct"/>
            <w:tcBorders>
              <w:top w:val="single" w:sz="6" w:space="0" w:color="000000"/>
              <w:left w:val="single" w:sz="6" w:space="0" w:color="000000"/>
              <w:bottom w:val="nil"/>
              <w:right w:val="single" w:sz="8" w:space="0" w:color="000000"/>
            </w:tcBorders>
            <w:tcMar>
              <w:top w:w="100" w:type="dxa"/>
              <w:left w:w="100" w:type="dxa"/>
              <w:bottom w:w="100" w:type="dxa"/>
              <w:right w:w="100" w:type="dxa"/>
            </w:tcMar>
            <w:hideMark/>
          </w:tcPr>
          <w:p w14:paraId="3E096FE6"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Grazing, firewood, expansion of agricultural land</w:t>
            </w:r>
          </w:p>
        </w:tc>
      </w:tr>
      <w:tr w:rsidR="009B0448" w:rsidRPr="009B0448" w14:paraId="20DA0278" w14:textId="77777777" w:rsidTr="009B0448">
        <w:trPr>
          <w:trHeight w:val="852"/>
        </w:trPr>
        <w:tc>
          <w:tcPr>
            <w:tcW w:w="664"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1DA351" w14:textId="77777777" w:rsidR="009B0448" w:rsidRPr="009B0448" w:rsidRDefault="009B0448">
            <w:pPr>
              <w:rPr>
                <w:rFonts w:ascii="Times New Roman" w:hAnsi="Times New Roman" w:cs="Times New Roman"/>
                <w:color w:val="auto"/>
              </w:rPr>
            </w:pPr>
            <w:r w:rsidRPr="009B0448">
              <w:rPr>
                <w:rFonts w:ascii="Times New Roman" w:hAnsi="Times New Roman" w:cs="Times New Roman"/>
                <w:i/>
                <w:color w:val="auto"/>
              </w:rPr>
              <w:t>Stipa tenacissima</w:t>
            </w:r>
            <w:r w:rsidRPr="009B0448">
              <w:rPr>
                <w:rFonts w:ascii="Times New Roman" w:hAnsi="Times New Roman" w:cs="Times New Roman"/>
                <w:color w:val="auto"/>
              </w:rPr>
              <w:t xml:space="preserve"> steppes</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F0F52E9"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Enough conserved</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9EC917A"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No great change</w:t>
            </w:r>
          </w:p>
        </w:tc>
        <w:tc>
          <w:tcPr>
            <w:tcW w:w="698"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0395F78D"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Loss of biodiversity</w:t>
            </w:r>
          </w:p>
        </w:tc>
        <w:tc>
          <w:tcPr>
            <w:tcW w:w="81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B468403"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Mainly grazing</w:t>
            </w:r>
          </w:p>
        </w:tc>
        <w:tc>
          <w:tcPr>
            <w:tcW w:w="6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4B432BE0"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No significant negative impact</w:t>
            </w:r>
          </w:p>
        </w:tc>
        <w:tc>
          <w:tcPr>
            <w:tcW w:w="78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AF70079"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Grazing, hunting</w:t>
            </w:r>
          </w:p>
        </w:tc>
      </w:tr>
      <w:tr w:rsidR="009B0448" w:rsidRPr="009B0448" w14:paraId="25D037D8" w14:textId="77777777" w:rsidTr="009B0448">
        <w:trPr>
          <w:trHeight w:val="994"/>
        </w:trPr>
        <w:tc>
          <w:tcPr>
            <w:tcW w:w="664"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9D6745"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Meadows and lawns</w:t>
            </w:r>
          </w:p>
          <w:p w14:paraId="3F8FAC51"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lastRenderedPageBreak/>
              <w:t>Pasture</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05D268A2"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lastRenderedPageBreak/>
              <w:t>Too grazed</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404D415"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Regressing</w:t>
            </w:r>
          </w:p>
        </w:tc>
        <w:tc>
          <w:tcPr>
            <w:tcW w:w="698"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8492389"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 xml:space="preserve">Regression in terms of </w:t>
            </w:r>
            <w:r w:rsidRPr="009B0448">
              <w:rPr>
                <w:rFonts w:ascii="Times New Roman" w:hAnsi="Times New Roman" w:cs="Times New Roman"/>
                <w:color w:val="auto"/>
              </w:rPr>
              <w:lastRenderedPageBreak/>
              <w:t>area and biodiversity</w:t>
            </w:r>
          </w:p>
        </w:tc>
        <w:tc>
          <w:tcPr>
            <w:tcW w:w="81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8E52CFE"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lastRenderedPageBreak/>
              <w:t>Grazing</w:t>
            </w:r>
          </w:p>
        </w:tc>
        <w:tc>
          <w:tcPr>
            <w:tcW w:w="6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AFBC73D"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Reduction of pastoral resources</w:t>
            </w:r>
          </w:p>
        </w:tc>
        <w:tc>
          <w:tcPr>
            <w:tcW w:w="78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8176D7E"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Grazing</w:t>
            </w:r>
          </w:p>
        </w:tc>
      </w:tr>
      <w:tr w:rsidR="009B0448" w:rsidRPr="009B0448" w14:paraId="51437AE4" w14:textId="77777777" w:rsidTr="009B0448">
        <w:trPr>
          <w:trHeight w:val="263"/>
        </w:trPr>
        <w:tc>
          <w:tcPr>
            <w:tcW w:w="664"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FB0E5E"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Wetlands</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1D630F22"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Regressing in terms of area and biodiversity</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C483CCD"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Regressing</w:t>
            </w:r>
          </w:p>
        </w:tc>
        <w:tc>
          <w:tcPr>
            <w:tcW w:w="698"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A51802D"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Regression in terms of area and biodiversity</w:t>
            </w:r>
          </w:p>
        </w:tc>
        <w:tc>
          <w:tcPr>
            <w:tcW w:w="81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3AF3A5B"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Grazing, fishing, and drinking</w:t>
            </w:r>
          </w:p>
        </w:tc>
        <w:tc>
          <w:tcPr>
            <w:tcW w:w="6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145E8037"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Losses of some ecosystem services for local people</w:t>
            </w:r>
          </w:p>
        </w:tc>
        <w:tc>
          <w:tcPr>
            <w:tcW w:w="78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08697894"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Draining, pollution, agriculture, overfishing in control, tourism</w:t>
            </w:r>
          </w:p>
        </w:tc>
      </w:tr>
      <w:tr w:rsidR="009B0448" w:rsidRPr="009B0448" w14:paraId="731AEA68" w14:textId="77777777" w:rsidTr="009B0448">
        <w:trPr>
          <w:trHeight w:val="2516"/>
        </w:trPr>
        <w:tc>
          <w:tcPr>
            <w:tcW w:w="664"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CE4E5A"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Grasslands</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19A09E27"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Regressing in terms of area and biodiversity</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41DFEE46"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Dysfunction and regression</w:t>
            </w:r>
          </w:p>
        </w:tc>
        <w:tc>
          <w:tcPr>
            <w:tcW w:w="698"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46C4BE6F"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Ecosystems dysfunction, degraded habitats, loss of biodiversity, poverty, etc.</w:t>
            </w:r>
          </w:p>
        </w:tc>
        <w:tc>
          <w:tcPr>
            <w:tcW w:w="81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04CA7B59" w14:textId="251BE64D"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Grazing, harvesting of wood, agri</w:t>
            </w:r>
            <w:r w:rsidR="00C813C5">
              <w:rPr>
                <w:rFonts w:ascii="Times New Roman" w:hAnsi="Times New Roman" w:cs="Times New Roman"/>
                <w:color w:val="auto"/>
              </w:rPr>
              <w:t>cultural land extension, urbanis</w:t>
            </w:r>
            <w:r w:rsidRPr="009B0448">
              <w:rPr>
                <w:rFonts w:ascii="Times New Roman" w:hAnsi="Times New Roman" w:cs="Times New Roman"/>
                <w:color w:val="auto"/>
              </w:rPr>
              <w:t>ation, climate change</w:t>
            </w:r>
          </w:p>
        </w:tc>
        <w:tc>
          <w:tcPr>
            <w:tcW w:w="6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573C1DCD" w14:textId="615A771B" w:rsidR="009B0448" w:rsidRPr="009B0448" w:rsidRDefault="009B0448" w:rsidP="007460EE">
            <w:pPr>
              <w:rPr>
                <w:rFonts w:ascii="Times New Roman" w:hAnsi="Times New Roman" w:cs="Times New Roman"/>
                <w:color w:val="auto"/>
              </w:rPr>
            </w:pPr>
            <w:r w:rsidRPr="009B0448">
              <w:rPr>
                <w:rFonts w:ascii="Times New Roman" w:hAnsi="Times New Roman" w:cs="Times New Roman"/>
                <w:color w:val="auto"/>
              </w:rPr>
              <w:t>Poverty, diseases</w:t>
            </w:r>
            <w:r w:rsidR="007460EE">
              <w:rPr>
                <w:rFonts w:ascii="Times New Roman" w:hAnsi="Times New Roman" w:cs="Times New Roman"/>
                <w:color w:val="auto"/>
              </w:rPr>
              <w:t xml:space="preserve">, </w:t>
            </w:r>
            <w:r w:rsidRPr="009B0448">
              <w:rPr>
                <w:rFonts w:ascii="Times New Roman" w:hAnsi="Times New Roman" w:cs="Times New Roman"/>
                <w:color w:val="auto"/>
              </w:rPr>
              <w:t>rural exodus, etc.</w:t>
            </w:r>
          </w:p>
        </w:tc>
        <w:tc>
          <w:tcPr>
            <w:tcW w:w="78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385013F8"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Grazing, poverty, diseases, rural exodus, expansion of agricultural land, plants harvesting, in control tourism etc.</w:t>
            </w:r>
          </w:p>
        </w:tc>
      </w:tr>
      <w:tr w:rsidR="009B0448" w:rsidRPr="009B0448" w14:paraId="3058C8B7" w14:textId="77777777" w:rsidTr="009B0448">
        <w:trPr>
          <w:trHeight w:val="2264"/>
        </w:trPr>
        <w:tc>
          <w:tcPr>
            <w:tcW w:w="664"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9F8566"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Drylands and desert</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04CD905F"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Regressing in terms of area and biodiversity</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5D2838B8"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Dysfunction and regression</w:t>
            </w:r>
          </w:p>
        </w:tc>
        <w:tc>
          <w:tcPr>
            <w:tcW w:w="698"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B14CB20"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Ecosystems dysfunction, degraded habitats, loss of biodiversity, etc.</w:t>
            </w:r>
          </w:p>
        </w:tc>
        <w:tc>
          <w:tcPr>
            <w:tcW w:w="81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17C17420"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 xml:space="preserve">Grazing, harvesting of wood, agricultural land </w:t>
            </w:r>
          </w:p>
        </w:tc>
        <w:tc>
          <w:tcPr>
            <w:tcW w:w="6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131DBC76" w14:textId="79C3DCF3" w:rsidR="009B0448" w:rsidRPr="009B0448" w:rsidRDefault="009B0448" w:rsidP="007460EE">
            <w:pPr>
              <w:rPr>
                <w:rFonts w:ascii="Times New Roman" w:hAnsi="Times New Roman" w:cs="Times New Roman"/>
                <w:color w:val="auto"/>
              </w:rPr>
            </w:pPr>
            <w:r w:rsidRPr="009B0448">
              <w:rPr>
                <w:rFonts w:ascii="Times New Roman" w:hAnsi="Times New Roman" w:cs="Times New Roman"/>
                <w:color w:val="auto"/>
              </w:rPr>
              <w:t>Poverty, diseases</w:t>
            </w:r>
            <w:r w:rsidR="007460EE">
              <w:rPr>
                <w:rFonts w:ascii="Times New Roman" w:hAnsi="Times New Roman" w:cs="Times New Roman"/>
                <w:color w:val="auto"/>
              </w:rPr>
              <w:t xml:space="preserve">, </w:t>
            </w:r>
            <w:r w:rsidRPr="009B0448">
              <w:rPr>
                <w:rFonts w:ascii="Times New Roman" w:hAnsi="Times New Roman" w:cs="Times New Roman"/>
                <w:color w:val="auto"/>
              </w:rPr>
              <w:t>rural exodus, etc.</w:t>
            </w:r>
          </w:p>
        </w:tc>
        <w:tc>
          <w:tcPr>
            <w:tcW w:w="78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6D3A473"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Grazing, expansion of agricultural land, plants harvesting, tourism, poverty, diseases, rural exodus.</w:t>
            </w:r>
          </w:p>
        </w:tc>
      </w:tr>
      <w:tr w:rsidR="009B0448" w:rsidRPr="009B0448" w14:paraId="6E733BB6" w14:textId="77777777" w:rsidTr="009B0448">
        <w:trPr>
          <w:trHeight w:val="1415"/>
        </w:trPr>
        <w:tc>
          <w:tcPr>
            <w:tcW w:w="664" w:type="pct"/>
            <w:tcBorders>
              <w:top w:val="single" w:sz="6"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8CE8C"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Mountains</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27B8C84C"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Regressing in terms of area and biodiversity</w:t>
            </w:r>
          </w:p>
        </w:tc>
        <w:tc>
          <w:tcPr>
            <w:tcW w:w="70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76E8D39D"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Dysfunction and regression</w:t>
            </w:r>
          </w:p>
        </w:tc>
        <w:tc>
          <w:tcPr>
            <w:tcW w:w="698"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5D0B1D3A"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Ecosystems dysfunction, degraded habitats, loss of biodiversity, etc.</w:t>
            </w:r>
          </w:p>
        </w:tc>
        <w:tc>
          <w:tcPr>
            <w:tcW w:w="815"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0E6D2931" w14:textId="6475CC81"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Grazing, harvesting of wood, agri</w:t>
            </w:r>
            <w:r w:rsidR="00C813C5">
              <w:rPr>
                <w:rFonts w:ascii="Times New Roman" w:hAnsi="Times New Roman" w:cs="Times New Roman"/>
                <w:color w:val="auto"/>
              </w:rPr>
              <w:t>cultural land extension, urbanis</w:t>
            </w:r>
            <w:r w:rsidRPr="009B0448">
              <w:rPr>
                <w:rFonts w:ascii="Times New Roman" w:hAnsi="Times New Roman" w:cs="Times New Roman"/>
                <w:color w:val="auto"/>
              </w:rPr>
              <w:t>ation, climate change</w:t>
            </w:r>
          </w:p>
        </w:tc>
        <w:tc>
          <w:tcPr>
            <w:tcW w:w="623"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6F20ACC3" w14:textId="29B2020E" w:rsidR="009B0448" w:rsidRPr="009B0448" w:rsidRDefault="009B0448" w:rsidP="007460EE">
            <w:pPr>
              <w:rPr>
                <w:rFonts w:ascii="Times New Roman" w:hAnsi="Times New Roman" w:cs="Times New Roman"/>
                <w:color w:val="auto"/>
              </w:rPr>
            </w:pPr>
            <w:r w:rsidRPr="009B0448">
              <w:rPr>
                <w:rFonts w:ascii="Times New Roman" w:hAnsi="Times New Roman" w:cs="Times New Roman"/>
                <w:color w:val="auto"/>
              </w:rPr>
              <w:t>Poverty, diseases</w:t>
            </w:r>
            <w:r w:rsidR="007460EE">
              <w:rPr>
                <w:rFonts w:ascii="Times New Roman" w:hAnsi="Times New Roman" w:cs="Times New Roman"/>
                <w:color w:val="auto"/>
              </w:rPr>
              <w:t xml:space="preserve">, </w:t>
            </w:r>
            <w:r w:rsidRPr="009B0448">
              <w:rPr>
                <w:rFonts w:ascii="Times New Roman" w:hAnsi="Times New Roman" w:cs="Times New Roman"/>
                <w:color w:val="auto"/>
              </w:rPr>
              <w:t>rural exodus, etc.</w:t>
            </w:r>
          </w:p>
        </w:tc>
        <w:tc>
          <w:tcPr>
            <w:tcW w:w="787" w:type="pct"/>
            <w:tcBorders>
              <w:top w:val="single" w:sz="6" w:space="0" w:color="000000"/>
              <w:left w:val="single" w:sz="6" w:space="0" w:color="000000"/>
              <w:bottom w:val="single" w:sz="8" w:space="0" w:color="000000"/>
              <w:right w:val="single" w:sz="8" w:space="0" w:color="000000"/>
            </w:tcBorders>
            <w:tcMar>
              <w:top w:w="100" w:type="dxa"/>
              <w:left w:w="100" w:type="dxa"/>
              <w:bottom w:w="100" w:type="dxa"/>
              <w:right w:w="100" w:type="dxa"/>
            </w:tcMar>
            <w:hideMark/>
          </w:tcPr>
          <w:p w14:paraId="5390A0BC" w14:textId="77777777" w:rsidR="009B0448" w:rsidRPr="009B0448" w:rsidRDefault="009B0448">
            <w:pPr>
              <w:rPr>
                <w:rFonts w:ascii="Times New Roman" w:hAnsi="Times New Roman" w:cs="Times New Roman"/>
                <w:color w:val="auto"/>
              </w:rPr>
            </w:pPr>
            <w:r w:rsidRPr="009B0448">
              <w:rPr>
                <w:rFonts w:ascii="Times New Roman" w:hAnsi="Times New Roman" w:cs="Times New Roman"/>
                <w:color w:val="auto"/>
              </w:rPr>
              <w:t xml:space="preserve">Grazing, fuelwood, expansion of agricultural land, plants harvesting, tourism, poverty, diseases, </w:t>
            </w:r>
            <w:r w:rsidRPr="009B0448">
              <w:rPr>
                <w:rFonts w:ascii="Times New Roman" w:hAnsi="Times New Roman" w:cs="Times New Roman"/>
                <w:color w:val="auto"/>
              </w:rPr>
              <w:lastRenderedPageBreak/>
              <w:t>rural exodus, erosion etc.</w:t>
            </w:r>
          </w:p>
        </w:tc>
      </w:tr>
    </w:tbl>
    <w:p w14:paraId="55C6B924"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58" w:name="_Toc519499863"/>
      <w:r w:rsidRPr="009B0448">
        <w:rPr>
          <w:rFonts w:cs="Times New Roman"/>
          <w:b w:val="0"/>
          <w:sz w:val="22"/>
          <w:szCs w:val="22"/>
        </w:rPr>
        <w:lastRenderedPageBreak/>
        <w:t>Cultivated lands</w:t>
      </w:r>
      <w:bookmarkEnd w:id="158"/>
    </w:p>
    <w:p w14:paraId="43B97604"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i/>
          <w:u w:val="single"/>
        </w:rPr>
        <w:t>:</w:t>
      </w:r>
      <w:r w:rsidRPr="009B0448">
        <w:rPr>
          <w:rFonts w:ascii="Times New Roman" w:hAnsi="Times New Roman" w:cs="Times New Roman"/>
        </w:rPr>
        <w:t xml:space="preserve"> A total of 5,780 crop plants and their Crop Wild Relative (CWR) taxa found in cultivated fields in North Africa have been recorded (Lala </w:t>
      </w:r>
      <w:r w:rsidRPr="009B0448">
        <w:rPr>
          <w:rFonts w:ascii="Times New Roman" w:hAnsi="Times New Roman" w:cs="Times New Roman"/>
          <w:i/>
        </w:rPr>
        <w:t>et al.</w:t>
      </w:r>
      <w:r w:rsidRPr="009B0448">
        <w:rPr>
          <w:rFonts w:ascii="Times New Roman" w:hAnsi="Times New Roman" w:cs="Times New Roman"/>
        </w:rPr>
        <w:t xml:space="preserve">, 2017). About 9% (502) CWR taxa is identified as a priority for conservation based on their (i) economic value, (ii) the degree of relatedness of wild relatives to their crop, (iii) threat status using IUCN red list assessment, and (iv) the centre of origin and / or diversity of the crop. Those assessed as threatened using IUCN Red list and national assessment represent approximately 2% (119 taxa) of the CWR in the region. However, 21 taxa are assessed as Critically Endangered, 53 as Endangered, and 45 as Vulnerable (Figure 3.9; Lala </w:t>
      </w:r>
      <w:r w:rsidRPr="009B0448">
        <w:rPr>
          <w:rFonts w:ascii="Times New Roman" w:hAnsi="Times New Roman" w:cs="Times New Roman"/>
          <w:i/>
        </w:rPr>
        <w:t>et al.</w:t>
      </w:r>
      <w:r w:rsidRPr="009B0448">
        <w:rPr>
          <w:rFonts w:ascii="Times New Roman" w:hAnsi="Times New Roman" w:cs="Times New Roman"/>
        </w:rPr>
        <w:t>, 2017).</w:t>
      </w:r>
    </w:p>
    <w:p w14:paraId="3CF14C6C" w14:textId="77777777" w:rsidR="009B0448" w:rsidRPr="009B0448" w:rsidRDefault="009B0448" w:rsidP="009B0448">
      <w:pPr>
        <w:spacing w:line="276" w:lineRule="auto"/>
        <w:jc w:val="both"/>
        <w:rPr>
          <w:rFonts w:ascii="Times New Roman" w:hAnsi="Times New Roman" w:cs="Times New Roman"/>
        </w:rPr>
      </w:pPr>
    </w:p>
    <w:p w14:paraId="100DA454" w14:textId="0E2192FC"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noProof/>
          <w:lang w:eastAsia="en-GB"/>
        </w:rPr>
        <w:drawing>
          <wp:inline distT="0" distB="0" distL="0" distR="0" wp14:anchorId="41CF80B4" wp14:editId="64403441">
            <wp:extent cx="5737860" cy="160020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668">
                      <a:extLst>
                        <a:ext uri="{28A0092B-C50C-407E-A947-70E740481C1C}">
                          <a14:useLocalDpi xmlns:a14="http://schemas.microsoft.com/office/drawing/2010/main" val="0"/>
                        </a:ext>
                      </a:extLst>
                    </a:blip>
                    <a:srcRect r="2148"/>
                    <a:stretch>
                      <a:fillRect/>
                    </a:stretch>
                  </pic:blipFill>
                  <pic:spPr bwMode="auto">
                    <a:xfrm>
                      <a:off x="0" y="0"/>
                      <a:ext cx="5737860" cy="1600200"/>
                    </a:xfrm>
                    <a:prstGeom prst="rect">
                      <a:avLst/>
                    </a:prstGeom>
                    <a:noFill/>
                    <a:ln>
                      <a:noFill/>
                    </a:ln>
                  </pic:spPr>
                </pic:pic>
              </a:graphicData>
            </a:graphic>
          </wp:inline>
        </w:drawing>
      </w:r>
    </w:p>
    <w:p w14:paraId="7665DCDD"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b/>
          <w:color w:val="auto"/>
        </w:rPr>
        <w:t>Figure 3.9:</w:t>
      </w:r>
      <w:r w:rsidRPr="009B0448">
        <w:rPr>
          <w:rFonts w:ascii="Times New Roman" w:hAnsi="Times New Roman" w:cs="Times New Roman"/>
          <w:color w:val="auto"/>
        </w:rPr>
        <w:t xml:space="preserve"> Threat status of Crop Wild Relative in North Africa. Source: Lala </w:t>
      </w:r>
      <w:r w:rsidRPr="009B0448">
        <w:rPr>
          <w:rFonts w:ascii="Times New Roman" w:hAnsi="Times New Roman" w:cs="Times New Roman"/>
          <w:i/>
          <w:color w:val="auto"/>
        </w:rPr>
        <w:t>et al.</w:t>
      </w:r>
      <w:r w:rsidRPr="009B0448">
        <w:rPr>
          <w:rFonts w:ascii="Times New Roman" w:hAnsi="Times New Roman" w:cs="Times New Roman"/>
          <w:color w:val="auto"/>
        </w:rPr>
        <w:t xml:space="preserve"> (2017).</w:t>
      </w:r>
    </w:p>
    <w:p w14:paraId="3CD70CE3" w14:textId="77777777" w:rsidR="009B0448" w:rsidRPr="009B0448" w:rsidRDefault="009B0448" w:rsidP="009B0448">
      <w:pPr>
        <w:spacing w:line="276" w:lineRule="auto"/>
        <w:jc w:val="both"/>
        <w:rPr>
          <w:rFonts w:ascii="Times New Roman" w:hAnsi="Times New Roman" w:cs="Times New Roman"/>
          <w:color w:val="auto"/>
        </w:rPr>
      </w:pPr>
    </w:p>
    <w:p w14:paraId="21162B05" w14:textId="0642094F"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color w:val="auto"/>
        </w:rPr>
        <w:t>The main characteristics of major farming systems in North Africa is the dominance of dryland mixed farming system which contains an agricultural population of 13 million people with 17 million hectares of cultivated land (FAO, 2001a). Other farming systems found in North Africa include irrigated, highland mixed farming and rain</w:t>
      </w:r>
      <w:r w:rsidR="001C6E5D">
        <w:rPr>
          <w:rFonts w:ascii="Times New Roman" w:hAnsi="Times New Roman" w:cs="Times New Roman"/>
          <w:color w:val="auto"/>
        </w:rPr>
        <w:t>-</w:t>
      </w:r>
      <w:r w:rsidRPr="009B0448">
        <w:rPr>
          <w:rFonts w:ascii="Times New Roman" w:hAnsi="Times New Roman" w:cs="Times New Roman"/>
          <w:color w:val="auto"/>
        </w:rPr>
        <w:t>fed mixed farming systems (FAO, 2001a). The prevalence of poverty within the mentioned farming systems ranges from moderate to high (FAO. 2007b).</w:t>
      </w:r>
    </w:p>
    <w:p w14:paraId="6A7D2E63" w14:textId="77777777" w:rsidR="009B0448" w:rsidRPr="009B0448" w:rsidRDefault="009B0448" w:rsidP="009B0448">
      <w:pPr>
        <w:spacing w:line="276" w:lineRule="auto"/>
        <w:jc w:val="both"/>
        <w:rPr>
          <w:rFonts w:ascii="Times New Roman" w:hAnsi="Times New Roman" w:cs="Times New Roman"/>
          <w:color w:val="auto"/>
        </w:rPr>
      </w:pPr>
    </w:p>
    <w:p w14:paraId="5F69886B" w14:textId="36D8580A"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color w:val="auto"/>
          <w:u w:val="single"/>
        </w:rPr>
        <w:t>Future dynamics:</w:t>
      </w:r>
      <w:r w:rsidRPr="009B0448">
        <w:rPr>
          <w:rFonts w:ascii="Times New Roman" w:hAnsi="Times New Roman" w:cs="Times New Roman"/>
          <w:color w:val="auto"/>
        </w:rPr>
        <w:t xml:space="preserve"> Human population in 2050 for Egypt in particular is estimated to be 142 million (Awad </w:t>
      </w:r>
      <w:r w:rsidRPr="009B0448">
        <w:rPr>
          <w:rFonts w:ascii="Times New Roman" w:hAnsi="Times New Roman" w:cs="Times New Roman"/>
          <w:i/>
          <w:color w:val="auto"/>
        </w:rPr>
        <w:t>et al.</w:t>
      </w:r>
      <w:r w:rsidRPr="009B0448">
        <w:rPr>
          <w:rFonts w:ascii="Times New Roman" w:hAnsi="Times New Roman" w:cs="Times New Roman"/>
          <w:color w:val="auto"/>
        </w:rPr>
        <w:t xml:space="preserve">, 2005). Rapid population growth could continue to be an important impediment to achieving improvements in food security in North Africa. Apart for growth in human population, future disease trends and climate change have substantial effects on North Africa livestock sector, either through impacting the distribution of disease vectors and water availability (Thornton, 2010). This has obvious implications for </w:t>
      </w:r>
      <w:r w:rsidR="00917FB2">
        <w:rPr>
          <w:rFonts w:ascii="Times New Roman" w:hAnsi="Times New Roman" w:cs="Times New Roman"/>
          <w:color w:val="auto"/>
        </w:rPr>
        <w:t>policymaker</w:t>
      </w:r>
      <w:r w:rsidRPr="009B0448">
        <w:rPr>
          <w:rFonts w:ascii="Times New Roman" w:hAnsi="Times New Roman" w:cs="Times New Roman"/>
          <w:color w:val="auto"/>
        </w:rPr>
        <w:t>s and the sheep and cattle industries and raises the need for improved diagnosis and early detection of livestock parasitic disease, along with greatly increased awareness and preparedness to deal with disease patterns that are manifestly changing.</w:t>
      </w:r>
    </w:p>
    <w:p w14:paraId="6EA365C2"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59" w:name="_Toc503105155"/>
      <w:bookmarkStart w:id="160" w:name="_Toc519499864"/>
      <w:r w:rsidRPr="009B0448">
        <w:rPr>
          <w:rFonts w:cs="Times New Roman"/>
          <w:sz w:val="22"/>
          <w:szCs w:val="22"/>
        </w:rPr>
        <w:lastRenderedPageBreak/>
        <w:t>Aquatic (Freshwater, Marine and Coastal)</w:t>
      </w:r>
      <w:bookmarkEnd w:id="159"/>
      <w:bookmarkEnd w:id="160"/>
    </w:p>
    <w:p w14:paraId="0D83AB1B"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61" w:name="_Toc519499865"/>
      <w:r w:rsidRPr="009B0448">
        <w:rPr>
          <w:rFonts w:cs="Times New Roman"/>
          <w:b w:val="0"/>
          <w:sz w:val="22"/>
          <w:szCs w:val="22"/>
        </w:rPr>
        <w:t>Wetlands</w:t>
      </w:r>
      <w:bookmarkEnd w:id="161"/>
    </w:p>
    <w:p w14:paraId="0F47E661"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North Africa is characterized by poor freshwater resources, but there is a good representation of aquatic and wetland habitats along the coast (Figure 3.10). However, these ecosystems are threatened due to anthropogenic activities. For example, the Moroccan and Tunisian wetlands are highly impacted by farming and direct human use that has increased in the past two decades (Birks </w:t>
      </w:r>
      <w:r w:rsidRPr="009B0448">
        <w:rPr>
          <w:rFonts w:ascii="Times New Roman" w:hAnsi="Times New Roman" w:cs="Times New Roman"/>
          <w:i/>
        </w:rPr>
        <w:t>et al.</w:t>
      </w:r>
      <w:r w:rsidRPr="009B0448">
        <w:rPr>
          <w:rFonts w:ascii="Times New Roman" w:hAnsi="Times New Roman" w:cs="Times New Roman"/>
        </w:rPr>
        <w:t xml:space="preserve">, 2001). Lagoon Mariut in North Egypt is also currently polluted with sewage, industrial waste and agricultural runoff (Adb El-Hady, 2014). Mangroves in North Africa are marginal ecosystems, but remarkable because of the extreme natural conditions, very dry and hot. Only a few groves of mangroves forests are found in the south of Mauritania, in the Senegal Delta and in Sudan. The major species is </w:t>
      </w:r>
      <w:r w:rsidRPr="009B0448">
        <w:rPr>
          <w:rFonts w:ascii="Times New Roman" w:hAnsi="Times New Roman" w:cs="Times New Roman"/>
          <w:i/>
        </w:rPr>
        <w:t>Avicennia germinans</w:t>
      </w:r>
      <w:r w:rsidRPr="009B0448">
        <w:rPr>
          <w:rFonts w:ascii="Times New Roman" w:hAnsi="Times New Roman" w:cs="Times New Roman"/>
        </w:rPr>
        <w:t xml:space="preserve"> (Least Concern) which has remarkable vitality according to its biogeographical limit (Dahdouh-Guebas </w:t>
      </w:r>
      <w:r w:rsidRPr="009B0448">
        <w:rPr>
          <w:rFonts w:ascii="Times New Roman" w:hAnsi="Times New Roman" w:cs="Times New Roman"/>
          <w:i/>
        </w:rPr>
        <w:t>et al.</w:t>
      </w:r>
      <w:r w:rsidRPr="009B0448">
        <w:rPr>
          <w:rFonts w:ascii="Times New Roman" w:hAnsi="Times New Roman" w:cs="Times New Roman"/>
        </w:rPr>
        <w:t xml:space="preserve">, 2001). Mangrove lagoons and channels are occupied by numerous fish species including many commercially important species (e.g., </w:t>
      </w:r>
      <w:r w:rsidRPr="009B0448">
        <w:rPr>
          <w:rFonts w:ascii="Times New Roman" w:hAnsi="Times New Roman" w:cs="Times New Roman"/>
          <w:i/>
        </w:rPr>
        <w:t>Acanthopagrusberda, Chanoschanos, Crenidenscrenidens</w:t>
      </w:r>
      <w:r w:rsidRPr="009B0448">
        <w:rPr>
          <w:rFonts w:ascii="Times New Roman" w:hAnsi="Times New Roman" w:cs="Times New Roman"/>
        </w:rPr>
        <w:t>, and some mugilid species). Sudan boasts a significant number of diverse and relatively pristine wetlands that support a wide range of plants and animals and provide extensive ecosystem services to the local populations. The principal wetlands are the Sudd, which is a source of livelihood for hundreds of pastoralists and fishermen, Dinder, the Machar marshes, Lake Abiad and coastal mangroves. In addition, there are large numbers of smaller and seasonal wetlands that host livestock in the dry season and are important for migrating birds. The rivers and wetlands in Sudan support significant amount of inland fishes which are exploited for sustenance as well as commercial purposes.</w:t>
      </w:r>
    </w:p>
    <w:p w14:paraId="545DDA39" w14:textId="77777777" w:rsidR="009B0448" w:rsidRPr="009B0448" w:rsidRDefault="009B0448" w:rsidP="009B0448">
      <w:pPr>
        <w:spacing w:line="276" w:lineRule="auto"/>
        <w:jc w:val="both"/>
        <w:rPr>
          <w:rFonts w:ascii="Times New Roman" w:hAnsi="Times New Roman" w:cs="Times New Roman"/>
        </w:rPr>
      </w:pPr>
    </w:p>
    <w:p w14:paraId="2F89A562" w14:textId="35A3AB39"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50894D16" wp14:editId="01C675D9">
            <wp:extent cx="5730240" cy="1386840"/>
            <wp:effectExtent l="0" t="0" r="3810" b="381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730240" cy="1386840"/>
                    </a:xfrm>
                    <a:prstGeom prst="rect">
                      <a:avLst/>
                    </a:prstGeom>
                    <a:noFill/>
                    <a:ln>
                      <a:noFill/>
                    </a:ln>
                  </pic:spPr>
                </pic:pic>
              </a:graphicData>
            </a:graphic>
          </wp:inline>
        </w:drawing>
      </w:r>
    </w:p>
    <w:p w14:paraId="4E9A70ED"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Figure 3.10:</w:t>
      </w:r>
      <w:r w:rsidRPr="009B0448">
        <w:rPr>
          <w:rFonts w:ascii="Times New Roman" w:hAnsi="Times New Roman" w:cs="Times New Roman"/>
        </w:rPr>
        <w:t xml:space="preserve"> The distribution of the wetland lake sites across North Africa selected for the CASSARINA Project. Nine (</w:t>
      </w:r>
      <w:r w:rsidRPr="009B0448">
        <w:rPr>
          <w:rFonts w:ascii="Cambria Math" w:eastAsia="Cambria" w:hAnsi="Cambria Math" w:cs="Cambria Math"/>
        </w:rPr>
        <w:t>∗</w:t>
      </w:r>
      <w:r w:rsidRPr="009B0448">
        <w:rPr>
          <w:rFonts w:ascii="Times New Roman" w:hAnsi="Times New Roman" w:cs="Times New Roman"/>
        </w:rPr>
        <w:t>) of these twelve initial sites were used for monitoring and palaeolimnological investigations: 1, Merja Sidi Bou Rhaba</w:t>
      </w:r>
      <w:r w:rsidRPr="009B0448">
        <w:rPr>
          <w:rFonts w:ascii="Cambria Math" w:eastAsia="Cambria" w:hAnsi="Cambria Math" w:cs="Cambria Math"/>
        </w:rPr>
        <w:t>∗</w:t>
      </w:r>
      <w:r w:rsidRPr="009B0448">
        <w:rPr>
          <w:rFonts w:ascii="Times New Roman" w:hAnsi="Times New Roman" w:cs="Times New Roman"/>
        </w:rPr>
        <w:t>; 2, Merja Bokka</w:t>
      </w:r>
      <w:r w:rsidRPr="009B0448">
        <w:rPr>
          <w:rFonts w:ascii="Cambria Math" w:eastAsia="Cambria" w:hAnsi="Cambria Math" w:cs="Cambria Math"/>
        </w:rPr>
        <w:t>∗</w:t>
      </w:r>
      <w:r w:rsidRPr="009B0448">
        <w:rPr>
          <w:rFonts w:ascii="Times New Roman" w:hAnsi="Times New Roman" w:cs="Times New Roman"/>
        </w:rPr>
        <w:t>; 3,Merja Zerga</w:t>
      </w:r>
      <w:r w:rsidRPr="009B0448">
        <w:rPr>
          <w:rFonts w:ascii="Cambria Math" w:eastAsia="Cambria" w:hAnsi="Cambria Math" w:cs="Cambria Math"/>
        </w:rPr>
        <w:t>∗</w:t>
      </w:r>
      <w:r w:rsidRPr="009B0448">
        <w:rPr>
          <w:rFonts w:ascii="Times New Roman" w:hAnsi="Times New Roman" w:cs="Times New Roman"/>
        </w:rPr>
        <w:t>; 4,Merja Khala; 5, Garaet El Ichkeul</w:t>
      </w:r>
      <w:r w:rsidRPr="009B0448">
        <w:rPr>
          <w:rFonts w:ascii="Cambria Math" w:eastAsia="Cambria" w:hAnsi="Cambria Math" w:cs="Cambria Math"/>
        </w:rPr>
        <w:t>∗</w:t>
      </w:r>
      <w:r w:rsidRPr="009B0448">
        <w:rPr>
          <w:rFonts w:ascii="Times New Roman" w:hAnsi="Times New Roman" w:cs="Times New Roman"/>
        </w:rPr>
        <w:t>; 6, Megene Chitane</w:t>
      </w:r>
      <w:r w:rsidRPr="009B0448">
        <w:rPr>
          <w:rFonts w:ascii="Cambria Math" w:eastAsia="Cambria" w:hAnsi="Cambria Math" w:cs="Cambria Math"/>
        </w:rPr>
        <w:t>∗</w:t>
      </w:r>
      <w:r w:rsidRPr="009B0448">
        <w:rPr>
          <w:rFonts w:ascii="Times New Roman" w:hAnsi="Times New Roman" w:cs="Times New Roman"/>
        </w:rPr>
        <w:t>; 7, Lac de Korba</w:t>
      </w:r>
      <w:r w:rsidRPr="009B0448">
        <w:rPr>
          <w:rFonts w:ascii="Cambria Math" w:eastAsia="Cambria" w:hAnsi="Cambria Math" w:cs="Cambria Math"/>
        </w:rPr>
        <w:t>∗</w:t>
      </w:r>
      <w:r w:rsidRPr="009B0448">
        <w:rPr>
          <w:rFonts w:ascii="Times New Roman" w:hAnsi="Times New Roman" w:cs="Times New Roman"/>
        </w:rPr>
        <w:t>; 8, Sebkha Kelbia; 9, Edku Lake</w:t>
      </w:r>
      <w:r w:rsidRPr="009B0448">
        <w:rPr>
          <w:rFonts w:ascii="Cambria Math" w:eastAsia="Cambria" w:hAnsi="Cambria Math" w:cs="Cambria Math"/>
        </w:rPr>
        <w:t>∗</w:t>
      </w:r>
      <w:r w:rsidRPr="009B0448">
        <w:rPr>
          <w:rFonts w:ascii="Times New Roman" w:hAnsi="Times New Roman" w:cs="Times New Roman"/>
        </w:rPr>
        <w:t>; 10, Burullus Lake</w:t>
      </w:r>
      <w:r w:rsidRPr="009B0448">
        <w:rPr>
          <w:rFonts w:ascii="Cambria Math" w:eastAsia="Cambria" w:hAnsi="Cambria Math" w:cs="Cambria Math"/>
        </w:rPr>
        <w:t>∗</w:t>
      </w:r>
      <w:r w:rsidRPr="009B0448">
        <w:rPr>
          <w:rFonts w:ascii="Times New Roman" w:hAnsi="Times New Roman" w:cs="Times New Roman"/>
        </w:rPr>
        <w:t>; 11, Manzala Lake</w:t>
      </w:r>
      <w:r w:rsidRPr="009B0448">
        <w:rPr>
          <w:rFonts w:ascii="Cambria Math" w:eastAsia="Cambria" w:hAnsi="Cambria Math" w:cs="Cambria Math"/>
        </w:rPr>
        <w:t>∗</w:t>
      </w:r>
      <w:r w:rsidRPr="009B0448">
        <w:rPr>
          <w:rFonts w:ascii="Times New Roman" w:hAnsi="Times New Roman" w:cs="Times New Roman"/>
        </w:rPr>
        <w:t>; 12, Qarun Lake. Source: Flower (2001).</w:t>
      </w:r>
    </w:p>
    <w:p w14:paraId="15EB0326"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62" w:name="_Toc519499866"/>
      <w:r w:rsidRPr="009B0448">
        <w:rPr>
          <w:rFonts w:cs="Times New Roman"/>
          <w:b w:val="0"/>
          <w:sz w:val="22"/>
          <w:szCs w:val="22"/>
        </w:rPr>
        <w:t>Inland surface waters and water bodies/freshwater</w:t>
      </w:r>
      <w:bookmarkEnd w:id="162"/>
    </w:p>
    <w:p w14:paraId="73E4947B" w14:textId="1D76A013"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Assessment of the status and distribution of northern African freshwater biodiversity to evaluate the quality of northern African basins was based on five freshwater taxa: fish, molluscs, dragonflies, crabs and aquatic plants representing a range of trophic levels within the food webs that support wetlands (García </w:t>
      </w:r>
      <w:r w:rsidRPr="009B0448">
        <w:rPr>
          <w:rFonts w:ascii="Times New Roman" w:hAnsi="Times New Roman" w:cs="Times New Roman"/>
          <w:i/>
        </w:rPr>
        <w:t>et al.</w:t>
      </w:r>
      <w:r w:rsidRPr="009B0448">
        <w:rPr>
          <w:rFonts w:ascii="Times New Roman" w:hAnsi="Times New Roman" w:cs="Times New Roman"/>
        </w:rPr>
        <w:t>, 2010). Among 877 species and subspecies of freshwater biodiversity that have b</w:t>
      </w:r>
      <w:r w:rsidR="00C813C5">
        <w:rPr>
          <w:rFonts w:ascii="Times New Roman" w:hAnsi="Times New Roman" w:cs="Times New Roman"/>
        </w:rPr>
        <w:t>een evaluated, 247 are categoris</w:t>
      </w:r>
      <w:r w:rsidRPr="009B0448">
        <w:rPr>
          <w:rFonts w:ascii="Times New Roman" w:hAnsi="Times New Roman" w:cs="Times New Roman"/>
        </w:rPr>
        <w:t xml:space="preserve">ed as Threatened with Extinction, out of which 61 are Critically Endangered, 72 are Endangered and 114 are Vulnerable (García </w:t>
      </w:r>
      <w:r w:rsidRPr="009B0448">
        <w:rPr>
          <w:rFonts w:ascii="Times New Roman" w:hAnsi="Times New Roman" w:cs="Times New Roman"/>
          <w:i/>
        </w:rPr>
        <w:t>et al.</w:t>
      </w:r>
      <w:r w:rsidRPr="009B0448">
        <w:rPr>
          <w:rFonts w:ascii="Times New Roman" w:hAnsi="Times New Roman" w:cs="Times New Roman"/>
        </w:rPr>
        <w:t>, 2010).</w:t>
      </w:r>
    </w:p>
    <w:p w14:paraId="23211E0F" w14:textId="77777777" w:rsidR="009B0448" w:rsidRPr="009B0448" w:rsidRDefault="009B0448" w:rsidP="009B0448">
      <w:pPr>
        <w:spacing w:line="276" w:lineRule="auto"/>
        <w:jc w:val="both"/>
        <w:rPr>
          <w:rFonts w:ascii="Times New Roman" w:hAnsi="Times New Roman" w:cs="Times New Roman"/>
        </w:rPr>
      </w:pPr>
    </w:p>
    <w:p w14:paraId="488AE42A"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Habitat loss, degradation induced by human activities and pollution are the most important threats. In addition, natural disasters (inundation, earthquake etc.) are severely affecting freshwater species and have a direct impact on populations. These threats are expected to worsen in the future due to the </w:t>
      </w:r>
      <w:r w:rsidRPr="009B0448">
        <w:rPr>
          <w:rFonts w:ascii="Times New Roman" w:hAnsi="Times New Roman" w:cs="Times New Roman"/>
        </w:rPr>
        <w:lastRenderedPageBreak/>
        <w:t>impacts of climate. Therefore, these freshwater basins must be monitored for the assessment for their ecological status based on ecosystem criteria (Biotic indices) in order to avoid loss of this ecosystem and its services (Chapter 6).</w:t>
      </w:r>
    </w:p>
    <w:p w14:paraId="135FFA60" w14:textId="77777777" w:rsidR="009B0448" w:rsidRPr="009B0448" w:rsidRDefault="009B0448" w:rsidP="009B0448">
      <w:pPr>
        <w:spacing w:line="276" w:lineRule="auto"/>
        <w:jc w:val="both"/>
        <w:rPr>
          <w:rFonts w:ascii="Times New Roman" w:hAnsi="Times New Roman" w:cs="Times New Roman"/>
        </w:rPr>
      </w:pPr>
    </w:p>
    <w:p w14:paraId="6414E38E"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Total natural renewable water resources in Sudan are estimated to be 149 km</w:t>
      </w:r>
      <w:r w:rsidRPr="009B0448">
        <w:rPr>
          <w:rFonts w:ascii="Times New Roman" w:hAnsi="Times New Roman" w:cs="Times New Roman"/>
          <w:vertAlign w:val="superscript"/>
        </w:rPr>
        <w:t>3</w:t>
      </w:r>
      <w:r w:rsidRPr="009B0448">
        <w:rPr>
          <w:rFonts w:ascii="Times New Roman" w:hAnsi="Times New Roman" w:cs="Times New Roman"/>
        </w:rPr>
        <w:t xml:space="preserve">/year, of which 20% is produced internally from rainfall and 80% flows over the borders from upstream countries (UNEP, 2007). These water resources are subject to variations in environmental and climate change, with the share of rainfall erratic and prone to drought spells. Sudan also possesses significant groundwater resources (the deep Nubian sandstone aquifer and the Umm Rawaba systems). These freshwater ecosystems provide significant development benefits as it provides energy in the form of electricity and irrigation for agricultural practices. However there has been a decrease in inland waters due to harsh climatic conditions over the years. </w:t>
      </w:r>
    </w:p>
    <w:p w14:paraId="106A9EA6" w14:textId="77777777" w:rsidR="009B0448" w:rsidRPr="009B0448" w:rsidRDefault="009B0448" w:rsidP="009B0448">
      <w:pPr>
        <w:spacing w:line="276" w:lineRule="auto"/>
        <w:jc w:val="both"/>
        <w:rPr>
          <w:rFonts w:ascii="Times New Roman" w:hAnsi="Times New Roman" w:cs="Times New Roman"/>
        </w:rPr>
      </w:pPr>
    </w:p>
    <w:p w14:paraId="6554F48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Identification and protection of key biodiversity areas will help prevent decline in habitat quality and species. Sustainable agricultural practices, wastewater treatment, sustainable utilization of freshwater bodies, both in the short-term and long-term, is essential in the management of these ecosystems. There is a need to raise awareness on the usefulness of these water resources and how to manage them. Finally, further research should be undertaken to fill the lack of information on some data deficient species in the region (García </w:t>
      </w:r>
      <w:r w:rsidRPr="009B0448">
        <w:rPr>
          <w:rFonts w:ascii="Times New Roman" w:hAnsi="Times New Roman" w:cs="Times New Roman"/>
          <w:i/>
        </w:rPr>
        <w:t>et al.</w:t>
      </w:r>
      <w:r w:rsidRPr="009B0448">
        <w:rPr>
          <w:rFonts w:ascii="Times New Roman" w:hAnsi="Times New Roman" w:cs="Times New Roman"/>
        </w:rPr>
        <w:t xml:space="preserve">, 2010). </w:t>
      </w:r>
    </w:p>
    <w:p w14:paraId="07360862"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63" w:name="_Toc519499867"/>
      <w:r w:rsidRPr="009B0448">
        <w:rPr>
          <w:rFonts w:cs="Times New Roman"/>
          <w:b w:val="0"/>
          <w:sz w:val="22"/>
          <w:szCs w:val="22"/>
        </w:rPr>
        <w:t>Shelf ecosystem</w:t>
      </w:r>
      <w:bookmarkEnd w:id="163"/>
    </w:p>
    <w:p w14:paraId="3EEC5E8F"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Self-ecosystems current and future status are stable in Sudan and in progress in Mauritania. In Mauritania, only a few groves of mangroves forests are found in the south of Mauritania, in the Senegal Delta, along the estuary of Ntiallakh. The major species is </w:t>
      </w:r>
      <w:r w:rsidRPr="009B0448">
        <w:rPr>
          <w:rFonts w:ascii="Times New Roman" w:hAnsi="Times New Roman" w:cs="Times New Roman"/>
          <w:i/>
        </w:rPr>
        <w:t>Avicennia germinans</w:t>
      </w:r>
      <w:r w:rsidRPr="009B0448">
        <w:rPr>
          <w:rFonts w:ascii="Times New Roman" w:hAnsi="Times New Roman" w:cs="Times New Roman"/>
        </w:rPr>
        <w:t xml:space="preserve"> (Least Concern). Its vitality is remarkable according to its biogeographical limit (Dahdouh-Guebas </w:t>
      </w:r>
      <w:r w:rsidRPr="009B0448">
        <w:rPr>
          <w:rFonts w:ascii="Times New Roman" w:hAnsi="Times New Roman" w:cs="Times New Roman"/>
          <w:i/>
        </w:rPr>
        <w:t>et al.</w:t>
      </w:r>
      <w:r w:rsidRPr="009B0448">
        <w:rPr>
          <w:rFonts w:ascii="Times New Roman" w:hAnsi="Times New Roman" w:cs="Times New Roman"/>
        </w:rPr>
        <w:t>, 2001). Archaeological sites (kjokkenmodding) testify more extended mangroves in the past, and harvesting of cockles (</w:t>
      </w:r>
      <w:r w:rsidRPr="009B0448">
        <w:rPr>
          <w:rFonts w:ascii="Times New Roman" w:hAnsi="Times New Roman" w:cs="Times New Roman"/>
          <w:i/>
        </w:rPr>
        <w:t>Anadara senilis</w:t>
      </w:r>
      <w:r w:rsidRPr="009B0448">
        <w:rPr>
          <w:rFonts w:ascii="Times New Roman" w:hAnsi="Times New Roman" w:cs="Times New Roman"/>
        </w:rPr>
        <w:t>) and oysters (</w:t>
      </w:r>
      <w:r w:rsidRPr="009B0448">
        <w:rPr>
          <w:rFonts w:ascii="Times New Roman" w:hAnsi="Times New Roman" w:cs="Times New Roman"/>
          <w:i/>
        </w:rPr>
        <w:t>Crassostrea gazar</w:t>
      </w:r>
      <w:r w:rsidRPr="009B0448">
        <w:rPr>
          <w:rFonts w:ascii="Times New Roman" w:hAnsi="Times New Roman" w:cs="Times New Roman"/>
        </w:rPr>
        <w:t>), notably in Chat Tboul.</w:t>
      </w:r>
    </w:p>
    <w:p w14:paraId="0CF46E51" w14:textId="77777777" w:rsidR="009B0448" w:rsidRPr="009B0448" w:rsidRDefault="009B0448" w:rsidP="009B0448">
      <w:pPr>
        <w:spacing w:line="276" w:lineRule="auto"/>
        <w:jc w:val="both"/>
        <w:rPr>
          <w:rFonts w:ascii="Times New Roman" w:hAnsi="Times New Roman" w:cs="Times New Roman"/>
        </w:rPr>
      </w:pPr>
    </w:p>
    <w:p w14:paraId="1838CF2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Mangroves have been largely destroyed by the Diama and Manantali dams, built along the Senegal River, but now they are recovering, thanks to their protected status (belonging to Diawling National parks) - a programme of restoration conducted by IUCN in the 1990s (Hamerlynck </w:t>
      </w:r>
      <w:r w:rsidRPr="009B0448">
        <w:rPr>
          <w:rFonts w:ascii="Times New Roman" w:hAnsi="Times New Roman" w:cs="Times New Roman"/>
          <w:i/>
        </w:rPr>
        <w:t>et al.</w:t>
      </w:r>
      <w:r w:rsidRPr="009B0448">
        <w:rPr>
          <w:rFonts w:ascii="Times New Roman" w:hAnsi="Times New Roman" w:cs="Times New Roman"/>
        </w:rPr>
        <w:t xml:space="preserve">, 2003) and more recently, thanks to the intrusion of salty water, due to the breach across the Barbarie Tongue opened in 2003 (Sy </w:t>
      </w:r>
      <w:r w:rsidRPr="009B0448">
        <w:rPr>
          <w:rFonts w:ascii="Times New Roman" w:hAnsi="Times New Roman" w:cs="Times New Roman"/>
          <w:i/>
        </w:rPr>
        <w:t>et al.</w:t>
      </w:r>
      <w:r w:rsidRPr="009B0448">
        <w:rPr>
          <w:rFonts w:ascii="Times New Roman" w:hAnsi="Times New Roman" w:cs="Times New Roman"/>
        </w:rPr>
        <w:t xml:space="preserve">, 2015). The Senegal River delta is home of over 3 million wintering shorebirds; at least 108 bird species of nesting piscivorous birds and is one of the 3 transfrontier Biosphere Reserves of Africa (Bouamrane </w:t>
      </w:r>
      <w:r w:rsidRPr="009B0448">
        <w:rPr>
          <w:rFonts w:ascii="Times New Roman" w:hAnsi="Times New Roman" w:cs="Times New Roman"/>
          <w:i/>
        </w:rPr>
        <w:t>et al.</w:t>
      </w:r>
      <w:r w:rsidRPr="009B0448">
        <w:rPr>
          <w:rFonts w:ascii="Times New Roman" w:hAnsi="Times New Roman" w:cs="Times New Roman"/>
        </w:rPr>
        <w:t xml:space="preserve">, 2016). In Sudan, mangroves are dominated by </w:t>
      </w:r>
      <w:r w:rsidRPr="009B0448">
        <w:rPr>
          <w:rFonts w:ascii="Times New Roman" w:hAnsi="Times New Roman" w:cs="Times New Roman"/>
          <w:i/>
        </w:rPr>
        <w:t>Avicennia marina</w:t>
      </w:r>
      <w:r w:rsidRPr="009B0448">
        <w:rPr>
          <w:rFonts w:ascii="Times New Roman" w:hAnsi="Times New Roman" w:cs="Times New Roman"/>
        </w:rPr>
        <w:t xml:space="preserve"> (Least Concern), along the coast from Mohammed Qol north of Port Sudan to Shabarango-Gafud south of Suakin. Mangrove lagoons and channels are occupied by numerous fish species including many commercially important species (e.g., </w:t>
      </w:r>
      <w:r w:rsidRPr="009B0448">
        <w:rPr>
          <w:rFonts w:ascii="Times New Roman" w:hAnsi="Times New Roman" w:cs="Times New Roman"/>
          <w:i/>
        </w:rPr>
        <w:t>Acanthopagrus berda</w:t>
      </w:r>
      <w:r w:rsidRPr="009B0448">
        <w:rPr>
          <w:rFonts w:ascii="Times New Roman" w:hAnsi="Times New Roman" w:cs="Times New Roman"/>
        </w:rPr>
        <w:t xml:space="preserve"> (Least Concern)</w:t>
      </w:r>
      <w:r w:rsidRPr="009B0448">
        <w:rPr>
          <w:rFonts w:ascii="Times New Roman" w:hAnsi="Times New Roman" w:cs="Times New Roman"/>
          <w:i/>
        </w:rPr>
        <w:t>, Chanos chanos</w:t>
      </w:r>
      <w:r w:rsidRPr="009B0448">
        <w:rPr>
          <w:rFonts w:ascii="Times New Roman" w:hAnsi="Times New Roman" w:cs="Times New Roman"/>
        </w:rPr>
        <w:t xml:space="preserve"> (Least Concern)</w:t>
      </w:r>
      <w:r w:rsidRPr="009B0448">
        <w:rPr>
          <w:rFonts w:ascii="Times New Roman" w:hAnsi="Times New Roman" w:cs="Times New Roman"/>
          <w:i/>
        </w:rPr>
        <w:t>, Crenidens crenidens</w:t>
      </w:r>
      <w:r w:rsidRPr="009B0448">
        <w:rPr>
          <w:rFonts w:ascii="Times New Roman" w:hAnsi="Times New Roman" w:cs="Times New Roman"/>
        </w:rPr>
        <w:t xml:space="preserve"> (Least Concern)</w:t>
      </w:r>
      <w:r w:rsidRPr="009B0448">
        <w:rPr>
          <w:rFonts w:ascii="Times New Roman" w:hAnsi="Times New Roman" w:cs="Times New Roman"/>
          <w:i/>
        </w:rPr>
        <w:t>, Hypoatherina temminckii, Leiognathus equulus</w:t>
      </w:r>
      <w:r w:rsidRPr="009B0448">
        <w:rPr>
          <w:rFonts w:ascii="Times New Roman" w:hAnsi="Times New Roman" w:cs="Times New Roman"/>
        </w:rPr>
        <w:t xml:space="preserve"> (Least Concern)</w:t>
      </w:r>
      <w:r w:rsidRPr="009B0448">
        <w:rPr>
          <w:rFonts w:ascii="Times New Roman" w:hAnsi="Times New Roman" w:cs="Times New Roman"/>
          <w:i/>
        </w:rPr>
        <w:t>, Terapon jarbua</w:t>
      </w:r>
      <w:r w:rsidRPr="009B0448">
        <w:rPr>
          <w:rFonts w:ascii="Times New Roman" w:hAnsi="Times New Roman" w:cs="Times New Roman"/>
        </w:rPr>
        <w:t xml:space="preserve"> (Least Concern)</w:t>
      </w:r>
      <w:r w:rsidRPr="009B0448">
        <w:rPr>
          <w:rFonts w:ascii="Times New Roman" w:hAnsi="Times New Roman" w:cs="Times New Roman"/>
          <w:i/>
        </w:rPr>
        <w:t xml:space="preserve">, Pomadasys commersonni </w:t>
      </w:r>
      <w:r w:rsidRPr="009B0448">
        <w:rPr>
          <w:rFonts w:ascii="Times New Roman" w:hAnsi="Times New Roman" w:cs="Times New Roman"/>
        </w:rPr>
        <w:t>and some mugilid species). Most of the Sudan Mangroves are included in the national parks of Red Sea and could be stable (but no data available on the trends).</w:t>
      </w:r>
    </w:p>
    <w:p w14:paraId="566FC7B6" w14:textId="77777777" w:rsidR="009B0448" w:rsidRPr="009B0448" w:rsidRDefault="009B0448" w:rsidP="009B0448">
      <w:pPr>
        <w:spacing w:line="276" w:lineRule="auto"/>
        <w:jc w:val="both"/>
        <w:rPr>
          <w:rFonts w:ascii="Times New Roman" w:hAnsi="Times New Roman" w:cs="Times New Roman"/>
        </w:rPr>
      </w:pPr>
    </w:p>
    <w:p w14:paraId="194D61F8"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color w:val="auto"/>
          <w:u w:val="single"/>
        </w:rPr>
        <w:t>Future dynamics:</w:t>
      </w:r>
      <w:r w:rsidRPr="009B0448">
        <w:rPr>
          <w:rFonts w:ascii="Times New Roman" w:hAnsi="Times New Roman" w:cs="Times New Roman"/>
          <w:color w:val="auto"/>
        </w:rPr>
        <w:t xml:space="preserve"> Mangrove surfaces, still stable in Sudan or recovering in Mauritania, will expand thanks to saline intrusions, linked to the breach across the Barbarie Tongue in Mauritania (Sy </w:t>
      </w:r>
      <w:r w:rsidRPr="009B0448">
        <w:rPr>
          <w:rFonts w:ascii="Times New Roman" w:hAnsi="Times New Roman" w:cs="Times New Roman"/>
          <w:i/>
          <w:color w:val="auto"/>
        </w:rPr>
        <w:t>et al.</w:t>
      </w:r>
      <w:r w:rsidRPr="009B0448">
        <w:rPr>
          <w:rFonts w:ascii="Times New Roman" w:hAnsi="Times New Roman" w:cs="Times New Roman"/>
          <w:color w:val="auto"/>
        </w:rPr>
        <w:t>, 2015) and limited pressions.</w:t>
      </w:r>
    </w:p>
    <w:p w14:paraId="48B41A32"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64" w:name="_Toc519499868"/>
      <w:r w:rsidRPr="009B0448">
        <w:rPr>
          <w:rFonts w:cs="Times New Roman"/>
          <w:b w:val="0"/>
          <w:sz w:val="22"/>
          <w:szCs w:val="22"/>
        </w:rPr>
        <w:lastRenderedPageBreak/>
        <w:t>Open Ocean</w:t>
      </w:r>
      <w:bookmarkEnd w:id="164"/>
    </w:p>
    <w:p w14:paraId="405DC55C"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North Africa is bordered by the Atlantic Ocean and the almost landlocked Mediterranean and Red seas that are connected by the Straits of Gibraltar and the Suez Canal. Morocco has a productive, nutrient-rich upwelling area off its Atlantic coast. The Mediterranean Sea is considered to be a low productivity ecosystem with intensive fishing its primary driving force (NOAA, 2003). It is relatively poor in marine resources except around the Nile Delta, where high nutrient outflows increase productivity (FAO, 2003). The reefs of the Red Sea provide some of the most productive coastal fisheries (UNEP, 2005a).</w:t>
      </w:r>
    </w:p>
    <w:p w14:paraId="6869220D" w14:textId="77777777" w:rsidR="009B0448" w:rsidRPr="009B0448" w:rsidRDefault="009B0448" w:rsidP="009B0448">
      <w:pPr>
        <w:spacing w:line="276" w:lineRule="auto"/>
        <w:jc w:val="both"/>
        <w:rPr>
          <w:rFonts w:ascii="Times New Roman" w:hAnsi="Times New Roman" w:cs="Times New Roman"/>
        </w:rPr>
      </w:pPr>
    </w:p>
    <w:p w14:paraId="244C3F71" w14:textId="2E6BC3A3"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 and future dynamics:</w:t>
      </w:r>
      <w:r w:rsidRPr="009B0448">
        <w:rPr>
          <w:rFonts w:ascii="Times New Roman" w:hAnsi="Times New Roman" w:cs="Times New Roman"/>
        </w:rPr>
        <w:t xml:space="preserve"> Reported marine fish production has increased overall during the period 1980–2003, total</w:t>
      </w:r>
      <w:r w:rsidR="001C6E5D">
        <w:rPr>
          <w:rFonts w:ascii="Times New Roman" w:hAnsi="Times New Roman" w:cs="Times New Roman"/>
        </w:rPr>
        <w:t>l</w:t>
      </w:r>
      <w:r w:rsidRPr="009B0448">
        <w:rPr>
          <w:rFonts w:ascii="Times New Roman" w:hAnsi="Times New Roman" w:cs="Times New Roman"/>
        </w:rPr>
        <w:t xml:space="preserve">ing about 1.4 million tons in 2001 (FAO, 2005). Morocco (Atlantic and Mediterranean) is by far the largest producer. In 2001, its total marine fish production was 933,197 tons–a six-fold increase since 1961. In 2015, its production reached 1,355,393 tons (Arneri </w:t>
      </w:r>
      <w:r w:rsidRPr="009B0448">
        <w:rPr>
          <w:rFonts w:ascii="Times New Roman" w:hAnsi="Times New Roman" w:cs="Times New Roman"/>
          <w:i/>
        </w:rPr>
        <w:t>et al.</w:t>
      </w:r>
      <w:r w:rsidRPr="009B0448">
        <w:rPr>
          <w:rFonts w:ascii="Times New Roman" w:hAnsi="Times New Roman" w:cs="Times New Roman"/>
        </w:rPr>
        <w:t xml:space="preserve">, 2011). Among the pelagic fish, </w:t>
      </w:r>
      <w:r w:rsidRPr="009B0448">
        <w:rPr>
          <w:rFonts w:ascii="Times New Roman" w:hAnsi="Times New Roman" w:cs="Times New Roman"/>
          <w:i/>
          <w:iCs/>
        </w:rPr>
        <w:t>Sardina pilchardus</w:t>
      </w:r>
      <w:r w:rsidRPr="009B0448">
        <w:rPr>
          <w:rFonts w:ascii="Times New Roman" w:hAnsi="Times New Roman" w:cs="Times New Roman"/>
        </w:rPr>
        <w:t xml:space="preserve"> </w:t>
      </w:r>
      <w:r w:rsidRPr="009B0448">
        <w:rPr>
          <w:rFonts w:ascii="Times New Roman" w:hAnsi="Times New Roman" w:cs="Times New Roman"/>
          <w:iCs/>
        </w:rPr>
        <w:t>(Least Concern)</w:t>
      </w:r>
      <w:r w:rsidRPr="009B0448">
        <w:rPr>
          <w:rFonts w:ascii="Times New Roman" w:hAnsi="Times New Roman" w:cs="Times New Roman"/>
        </w:rPr>
        <w:t xml:space="preserve"> is the species most fished and Merluccidae for white fish (Arneri </w:t>
      </w:r>
      <w:r w:rsidRPr="009B0448">
        <w:rPr>
          <w:rFonts w:ascii="Times New Roman" w:hAnsi="Times New Roman" w:cs="Times New Roman"/>
          <w:i/>
        </w:rPr>
        <w:t>et al.</w:t>
      </w:r>
      <w:r w:rsidRPr="009B0448">
        <w:rPr>
          <w:rFonts w:ascii="Times New Roman" w:hAnsi="Times New Roman" w:cs="Times New Roman"/>
        </w:rPr>
        <w:t>, 2011). Egypt (Mediterranean and Red Sea) is the second largest producer (FAO, 2005). Generally in the Mediterranean, total fish landings have increased steadily, not only due to greater fishing pressure, but also to higher nutrient input into a formerly low-nutrient sea (Alm, 2002). In the Red Sea, where the total fish landings amount to about 22,800 tons/year with 44% of the landings are coral reef-based (PERSGA/GEF, 2003).</w:t>
      </w:r>
    </w:p>
    <w:p w14:paraId="1C2A890D" w14:textId="77777777" w:rsidR="009B0448" w:rsidRPr="009B0448" w:rsidRDefault="009B0448" w:rsidP="009B0448">
      <w:pPr>
        <w:spacing w:line="276" w:lineRule="auto"/>
        <w:jc w:val="both"/>
        <w:rPr>
          <w:rFonts w:ascii="Times New Roman" w:hAnsi="Times New Roman" w:cs="Times New Roman"/>
        </w:rPr>
      </w:pPr>
    </w:p>
    <w:p w14:paraId="26D877A3"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rPr>
        <w:t xml:space="preserve">The recent marine biota in the Mediterranean Sea is primarily derived from the Atlantic Ocean, but the wide range of climate and hydrology have contributed to the co-occurrence and survival of both temperate and subtropical organisms (Sara, 1985; Bianchi </w:t>
      </w:r>
      <w:r w:rsidRPr="009B0448">
        <w:rPr>
          <w:rFonts w:ascii="Times New Roman" w:hAnsi="Times New Roman" w:cs="Times New Roman"/>
          <w:i/>
          <w:iCs/>
        </w:rPr>
        <w:t>et al.</w:t>
      </w:r>
      <w:r w:rsidRPr="009B0448">
        <w:rPr>
          <w:rFonts w:ascii="Times New Roman" w:hAnsi="Times New Roman" w:cs="Times New Roman"/>
        </w:rPr>
        <w:t xml:space="preserve">, 2000). Approximately 17,000 marine species occur in the Mediterranean Sea, with 20.2% endemic (Coll </w:t>
      </w:r>
      <w:r w:rsidRPr="009B0448">
        <w:rPr>
          <w:rFonts w:ascii="Times New Roman" w:hAnsi="Times New Roman" w:cs="Times New Roman"/>
          <w:i/>
          <w:iCs/>
        </w:rPr>
        <w:t>et al.</w:t>
      </w:r>
      <w:r w:rsidRPr="009B0448">
        <w:rPr>
          <w:rFonts w:ascii="Times New Roman" w:hAnsi="Times New Roman" w:cs="Times New Roman"/>
        </w:rPr>
        <w:t>, 2010). Artisanal fisheries are still important in the Mediterranean and Red seas, but industrial fishing including foreign fleets is becoming prevalent (UNEP, 2005a). The Mediterranean Sea has a set of emblematic species of conservation concern, such as sea turtles, several cetaceans, and the Critically Endangered Mediterranean monk seal (</w:t>
      </w:r>
      <w:r w:rsidRPr="009B0448">
        <w:rPr>
          <w:rFonts w:ascii="Times New Roman" w:hAnsi="Times New Roman" w:cs="Times New Roman"/>
          <w:i/>
          <w:iCs/>
        </w:rPr>
        <w:t>Monachus monachus</w:t>
      </w:r>
      <w:r w:rsidRPr="009B0448">
        <w:rPr>
          <w:rFonts w:ascii="Times New Roman" w:hAnsi="Times New Roman" w:cs="Times New Roman"/>
        </w:rPr>
        <w:t>). It is the main spawning grounds of the eastern Atlantic bluefin tuna (</w:t>
      </w:r>
      <w:r w:rsidRPr="009B0448">
        <w:rPr>
          <w:rFonts w:ascii="Times New Roman" w:hAnsi="Times New Roman" w:cs="Times New Roman"/>
          <w:i/>
          <w:iCs/>
        </w:rPr>
        <w:t>Thunnus thynnus</w:t>
      </w:r>
      <w:r w:rsidRPr="009B0448">
        <w:rPr>
          <w:rFonts w:ascii="Times New Roman" w:hAnsi="Times New Roman" w:cs="Times New Roman"/>
          <w:iCs/>
        </w:rPr>
        <w:t>, Endangered</w:t>
      </w:r>
      <w:r w:rsidRPr="009B0448">
        <w:rPr>
          <w:rFonts w:ascii="Times New Roman" w:hAnsi="Times New Roman" w:cs="Times New Roman"/>
        </w:rPr>
        <w:t xml:space="preserve">). There are several unique and endangered habitats, including the seagrass meadows of the endemic </w:t>
      </w:r>
      <w:r w:rsidRPr="009B0448">
        <w:rPr>
          <w:rFonts w:ascii="Times New Roman" w:hAnsi="Times New Roman" w:cs="Times New Roman"/>
          <w:i/>
          <w:iCs/>
        </w:rPr>
        <w:t xml:space="preserve">Posidonia oceanica </w:t>
      </w:r>
      <w:r w:rsidRPr="009B0448">
        <w:rPr>
          <w:rFonts w:ascii="Times New Roman" w:hAnsi="Times New Roman" w:cs="Times New Roman"/>
          <w:iCs/>
        </w:rPr>
        <w:t>(Least Concern)</w:t>
      </w:r>
      <w:r w:rsidRPr="009B0448">
        <w:rPr>
          <w:rFonts w:ascii="Times New Roman" w:hAnsi="Times New Roman" w:cs="Times New Roman"/>
        </w:rPr>
        <w:t xml:space="preserve">, vermetid reefs built by the endemic gastropod </w:t>
      </w:r>
      <w:r w:rsidRPr="009B0448">
        <w:rPr>
          <w:rFonts w:ascii="Times New Roman" w:hAnsi="Times New Roman" w:cs="Times New Roman"/>
          <w:i/>
          <w:iCs/>
        </w:rPr>
        <w:t>Dendropoma petraeum</w:t>
      </w:r>
      <w:r w:rsidRPr="009B0448">
        <w:rPr>
          <w:rFonts w:ascii="Times New Roman" w:hAnsi="Times New Roman" w:cs="Times New Roman"/>
        </w:rPr>
        <w:t xml:space="preserve"> (Gabrié</w:t>
      </w:r>
      <w:r w:rsidRPr="009B0448">
        <w:rPr>
          <w:rFonts w:ascii="Times New Roman" w:hAnsi="Times New Roman" w:cs="Times New Roman"/>
          <w:i/>
          <w:iCs/>
        </w:rPr>
        <w:t xml:space="preserve"> et al.</w:t>
      </w:r>
      <w:r w:rsidRPr="009B0448">
        <w:rPr>
          <w:rFonts w:ascii="Times New Roman" w:hAnsi="Times New Roman" w:cs="Times New Roman"/>
        </w:rPr>
        <w:t xml:space="preserve">, 2012). The invasion of alien species is a crucial factor that will continue to change the biodiversity of the Mediterranean, mainly in its eastern basin that can spread rapidly northwards and westwards due to the warming of the Mediterranean Sea. </w:t>
      </w:r>
      <w:r w:rsidRPr="009B0448">
        <w:rPr>
          <w:rFonts w:ascii="Times New Roman" w:hAnsi="Times New Roman" w:cs="Times New Roman"/>
          <w:color w:val="auto"/>
        </w:rPr>
        <w:t>Most of the fish species, such as Tuna are ranking from fully exploited to overexploited, and are at a risk of falling into the category of depleted (FAO, 2016).</w:t>
      </w:r>
    </w:p>
    <w:p w14:paraId="59727FBB"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65" w:name="_Toc519499869"/>
      <w:r w:rsidRPr="009B0448">
        <w:rPr>
          <w:rFonts w:cs="Times New Roman"/>
          <w:b w:val="0"/>
          <w:sz w:val="22"/>
          <w:szCs w:val="22"/>
        </w:rPr>
        <w:t>Deep sea</w:t>
      </w:r>
      <w:bookmarkEnd w:id="165"/>
    </w:p>
    <w:p w14:paraId="189B08C5"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 Mediterranean basin has been proposed as a hotspot of terrestrial and coastal marine biodiversity but has been supposed to be impoverished of deep-sea species richness. Benthic biodiversity (Prokaryotes, Foraminifera, Meiofauna, Macrofauna, and Megafauna) in different deep-sea ecosystems of the Mediterranean Sea (200 to more than 4,000 metres depth), including open slopes, deep basins, canyons, cold seeps, seamounts, deep-water corals and deep-hypersaline anoxic basins are evaluated and analysed overall longitudinal and bathymetric patterns (Danovaro </w:t>
      </w:r>
      <w:r w:rsidRPr="009B0448">
        <w:rPr>
          <w:rFonts w:ascii="Times New Roman" w:hAnsi="Times New Roman" w:cs="Times New Roman"/>
          <w:i/>
        </w:rPr>
        <w:t>et al.</w:t>
      </w:r>
      <w:r w:rsidRPr="009B0448">
        <w:rPr>
          <w:rFonts w:ascii="Times New Roman" w:hAnsi="Times New Roman" w:cs="Times New Roman"/>
        </w:rPr>
        <w:t xml:space="preserve">, 2010). The overall deep-sea Mediterranean biodiversity (excluding prokaryotes) reaches approximately 2,805 species of which about 66% is still undiscovered. Among the biotic components investigated (prokaryotes excluded), most of the unknown species are within the phylum Nematoda, followed by </w:t>
      </w:r>
      <w:r w:rsidRPr="009B0448">
        <w:rPr>
          <w:rFonts w:ascii="Times New Roman" w:hAnsi="Times New Roman" w:cs="Times New Roman"/>
        </w:rPr>
        <w:lastRenderedPageBreak/>
        <w:t xml:space="preserve">Foraminifera, but an important fraction of macrofaunal and megafaunal species also remains unknown (Danovaro </w:t>
      </w:r>
      <w:r w:rsidRPr="009B0448">
        <w:rPr>
          <w:rFonts w:ascii="Times New Roman" w:hAnsi="Times New Roman" w:cs="Times New Roman"/>
          <w:i/>
        </w:rPr>
        <w:t>et al.</w:t>
      </w:r>
      <w:r w:rsidRPr="009B0448">
        <w:rPr>
          <w:rFonts w:ascii="Times New Roman" w:hAnsi="Times New Roman" w:cs="Times New Roman"/>
        </w:rPr>
        <w:t xml:space="preserve">, 2010). </w:t>
      </w:r>
    </w:p>
    <w:p w14:paraId="0EAC2D42" w14:textId="77777777" w:rsidR="009B0448" w:rsidRPr="009B0448" w:rsidRDefault="009B0448" w:rsidP="009B0448">
      <w:pPr>
        <w:spacing w:line="276" w:lineRule="auto"/>
        <w:jc w:val="both"/>
        <w:rPr>
          <w:rFonts w:ascii="Times New Roman" w:hAnsi="Times New Roman" w:cs="Times New Roman"/>
        </w:rPr>
      </w:pPr>
    </w:p>
    <w:p w14:paraId="7E50FF9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 and future dynamics:</w:t>
      </w:r>
      <w:r w:rsidRPr="009B0448">
        <w:rPr>
          <w:rFonts w:ascii="Times New Roman" w:hAnsi="Times New Roman" w:cs="Times New Roman"/>
        </w:rPr>
        <w:t xml:space="preserve"> In contrast to what was expected from the sharp decrease in organic carbon fluxes and reduced faunal abundance, the deep-sea biodiversity of both the eastern and the western basins of the Mediterranean Sea is similarly high (Danovaro </w:t>
      </w:r>
      <w:r w:rsidRPr="009B0448">
        <w:rPr>
          <w:rFonts w:ascii="Times New Roman" w:hAnsi="Times New Roman" w:cs="Times New Roman"/>
          <w:i/>
        </w:rPr>
        <w:t>et al.</w:t>
      </w:r>
      <w:r w:rsidRPr="009B0448">
        <w:rPr>
          <w:rFonts w:ascii="Times New Roman" w:hAnsi="Times New Roman" w:cs="Times New Roman"/>
        </w:rPr>
        <w:t>, 2010). All of the biodiversity components, except Bacteria and Archaea, displayed a decreasing pattern with increasing water depth, but to a different extent for each component. Unlike patterns observed for faunal abundance, highest negative values of the slopes of the biodiversity patterns were observed for Meiofauna, followed by Macrofauna and Megafauna.</w:t>
      </w:r>
    </w:p>
    <w:p w14:paraId="046A09B1"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166" w:name="_Toc503105156"/>
      <w:bookmarkStart w:id="167" w:name="_Toc519499870"/>
      <w:r w:rsidRPr="009B0448">
        <w:rPr>
          <w:rFonts w:cs="Times New Roman"/>
          <w:i w:val="0"/>
          <w:sz w:val="22"/>
          <w:szCs w:val="22"/>
        </w:rPr>
        <w:t>Central Africa</w:t>
      </w:r>
      <w:bookmarkEnd w:id="166"/>
      <w:bookmarkEnd w:id="167"/>
    </w:p>
    <w:p w14:paraId="730289DD"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68" w:name="_Toc503105157"/>
      <w:bookmarkStart w:id="169" w:name="_Toc519499871"/>
      <w:r w:rsidRPr="009B0448">
        <w:rPr>
          <w:rFonts w:cs="Times New Roman"/>
          <w:sz w:val="22"/>
          <w:szCs w:val="22"/>
        </w:rPr>
        <w:t>Terrestrial</w:t>
      </w:r>
      <w:bookmarkEnd w:id="168"/>
      <w:bookmarkEnd w:id="169"/>
    </w:p>
    <w:p w14:paraId="436FD6D3"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70" w:name="_Toc519499872"/>
      <w:r w:rsidRPr="009B0448">
        <w:rPr>
          <w:rFonts w:cs="Times New Roman"/>
          <w:b w:val="0"/>
          <w:sz w:val="22"/>
          <w:szCs w:val="22"/>
        </w:rPr>
        <w:t>Tropical and subtropical dry and humid forest</w:t>
      </w:r>
      <w:bookmarkEnd w:id="170"/>
    </w:p>
    <w:p w14:paraId="34913A1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 rainforests in Central Africa (178,564 million hectares) account for up to 89% of Africa’s tropical rainforests (Mayaux </w:t>
      </w:r>
      <w:r w:rsidRPr="009B0448">
        <w:rPr>
          <w:rFonts w:ascii="Times New Roman" w:hAnsi="Times New Roman" w:cs="Times New Roman"/>
          <w:i/>
        </w:rPr>
        <w:t>et al.</w:t>
      </w:r>
      <w:r w:rsidRPr="009B0448">
        <w:rPr>
          <w:rFonts w:ascii="Times New Roman" w:hAnsi="Times New Roman" w:cs="Times New Roman"/>
        </w:rPr>
        <w:t xml:space="preserve">, 2013), constituting approximately 20% of the total global tropical rainforest area (FAO-ITTO, 2011). This is largely concentrated in the Congo Basin, which is the second largest rainforest in the world after the Amazon (FAO, 2011; Mayaux </w:t>
      </w:r>
      <w:r w:rsidRPr="009B0448">
        <w:rPr>
          <w:rFonts w:ascii="Times New Roman" w:hAnsi="Times New Roman" w:cs="Times New Roman"/>
          <w:i/>
        </w:rPr>
        <w:t>et al.</w:t>
      </w:r>
      <w:r w:rsidRPr="009B0448">
        <w:rPr>
          <w:rFonts w:ascii="Times New Roman" w:hAnsi="Times New Roman" w:cs="Times New Roman"/>
        </w:rPr>
        <w:t xml:space="preserve">, 2013). Much of Congo Basin rainforest falls within the Democratic Republic of Congo (DRC), accounting for some 53.6% of Africa’s rainforests. There are, however, also significant areas of forest in Gabon, the Republic of Congo, Cameroon, the Central African Republic and Equatorial Guinea (Mayaux </w:t>
      </w:r>
      <w:r w:rsidRPr="009B0448">
        <w:rPr>
          <w:rFonts w:ascii="Times New Roman" w:hAnsi="Times New Roman" w:cs="Times New Roman"/>
          <w:i/>
        </w:rPr>
        <w:t>et al.</w:t>
      </w:r>
      <w:r w:rsidRPr="009B0448">
        <w:rPr>
          <w:rFonts w:ascii="Times New Roman" w:hAnsi="Times New Roman" w:cs="Times New Roman"/>
        </w:rPr>
        <w:t xml:space="preserve">, 2013). Currently, approximately 22.96 million hectares of Central Africa’s forests have been designated as protected areas, and six of these are classified as United Nations World Heritage Sites (UNESCO, 2010). Cameroon, for example, has 18 national parks, some of which provide key protection in forest areas for flora and fauna species (a number of which are threatened–see below) (Mallon </w:t>
      </w:r>
      <w:r w:rsidRPr="009B0448">
        <w:rPr>
          <w:rFonts w:ascii="Times New Roman" w:hAnsi="Times New Roman" w:cs="Times New Roman"/>
          <w:i/>
        </w:rPr>
        <w:t>et al.</w:t>
      </w:r>
      <w:r w:rsidRPr="009B0448">
        <w:rPr>
          <w:rFonts w:ascii="Times New Roman" w:hAnsi="Times New Roman" w:cs="Times New Roman"/>
        </w:rPr>
        <w:t xml:space="preserve">, 2015). The Congo Basin rainforest is home to 493 species of mammals, 1,100 species of birds (including 5 families endemic to Africa), and 288 species of amphibians (Mayaux </w:t>
      </w:r>
      <w:r w:rsidRPr="009B0448">
        <w:rPr>
          <w:rFonts w:ascii="Times New Roman" w:hAnsi="Times New Roman" w:cs="Times New Roman"/>
          <w:i/>
        </w:rPr>
        <w:t>et al.</w:t>
      </w:r>
      <w:r w:rsidRPr="009B0448">
        <w:rPr>
          <w:rFonts w:ascii="Times New Roman" w:hAnsi="Times New Roman" w:cs="Times New Roman"/>
        </w:rPr>
        <w:t xml:space="preserve">, 2013; European Commission, 2015). The lowland forests in Central Africa contain around 10,000 plant species, 30% of which are found nowhere else in the world, while the Afromontane forests contain approximately 4,000 species (70% are endemic) (European Commission, 2015). Central Africa’s rainforests store an estimated 39.2 GT of carbon in their vegetation and tree trunks, corresponding to 78.5% of the total aboveground carbon storage in Africa (Mayaux </w:t>
      </w:r>
      <w:r w:rsidRPr="009B0448">
        <w:rPr>
          <w:rFonts w:ascii="Times New Roman" w:hAnsi="Times New Roman" w:cs="Times New Roman"/>
          <w:i/>
        </w:rPr>
        <w:t>et al.</w:t>
      </w:r>
      <w:r w:rsidRPr="009B0448">
        <w:rPr>
          <w:rFonts w:ascii="Times New Roman" w:hAnsi="Times New Roman" w:cs="Times New Roman"/>
        </w:rPr>
        <w:t>, 2013). Approximately 30 million people, belonging to over 150 different ethnic groups, live in the Central African rainforests (UNESCO, 2010).</w:t>
      </w:r>
    </w:p>
    <w:p w14:paraId="426E4B3D" w14:textId="77777777" w:rsidR="009B0448" w:rsidRPr="009B0448" w:rsidRDefault="009B0448" w:rsidP="009B0448">
      <w:pPr>
        <w:spacing w:line="276" w:lineRule="auto"/>
        <w:jc w:val="both"/>
        <w:rPr>
          <w:rFonts w:ascii="Times New Roman" w:hAnsi="Times New Roman" w:cs="Times New Roman"/>
        </w:rPr>
      </w:pPr>
    </w:p>
    <w:p w14:paraId="1C49368F"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w:t>
      </w:r>
      <w:r w:rsidRPr="009B0448">
        <w:rPr>
          <w:rFonts w:ascii="Times New Roman" w:hAnsi="Times New Roman" w:cs="Times New Roman"/>
        </w:rPr>
        <w:t xml:space="preserve"> The extent of Central African rainforests has been decreasing, with an annual deforestation rate of 0.11%, accounting for 50-60% of the total deforested area in Africa from 2000-2010 (Mayaux </w:t>
      </w:r>
      <w:r w:rsidRPr="009B0448">
        <w:rPr>
          <w:rFonts w:ascii="Times New Roman" w:hAnsi="Times New Roman" w:cs="Times New Roman"/>
          <w:i/>
        </w:rPr>
        <w:t>et al.</w:t>
      </w:r>
      <w:r w:rsidRPr="009B0448">
        <w:rPr>
          <w:rFonts w:ascii="Times New Roman" w:hAnsi="Times New Roman" w:cs="Times New Roman"/>
        </w:rPr>
        <w:t xml:space="preserve">, 2013) (as well as previous deforestation rates of 0.16% for the 1990–2000 period, which may show some improvement at a regional scale). The area showing the most rapid change has been northern Congo, where a substantial increase in the rate of road construction has been observed; as well as major pressures around mining and primary industries (Mayaux </w:t>
      </w:r>
      <w:r w:rsidRPr="009B0448">
        <w:rPr>
          <w:rFonts w:ascii="Times New Roman" w:hAnsi="Times New Roman" w:cs="Times New Roman"/>
          <w:i/>
        </w:rPr>
        <w:t>et al.</w:t>
      </w:r>
      <w:r w:rsidRPr="009B0448">
        <w:rPr>
          <w:rFonts w:ascii="Times New Roman" w:hAnsi="Times New Roman" w:cs="Times New Roman"/>
        </w:rPr>
        <w:t xml:space="preserve">, 2013; Mallon </w:t>
      </w:r>
      <w:r w:rsidRPr="009B0448">
        <w:rPr>
          <w:rFonts w:ascii="Times New Roman" w:hAnsi="Times New Roman" w:cs="Times New Roman"/>
          <w:i/>
        </w:rPr>
        <w:t>et al</w:t>
      </w:r>
      <w:r w:rsidRPr="009B0448">
        <w:rPr>
          <w:rFonts w:ascii="Times New Roman" w:hAnsi="Times New Roman" w:cs="Times New Roman"/>
        </w:rPr>
        <w:t xml:space="preserve">., 2015). The biodiversity in Central Africa associated with forest areas is also declining. Specifically, 11.4% of mammal species, 1.4% of bird species and 15.3% of amphibian species are threatened with extinction (Mayaux </w:t>
      </w:r>
      <w:r w:rsidRPr="009B0448">
        <w:rPr>
          <w:rFonts w:ascii="Times New Roman" w:hAnsi="Times New Roman" w:cs="Times New Roman"/>
          <w:i/>
        </w:rPr>
        <w:t>et al.</w:t>
      </w:r>
      <w:r w:rsidRPr="009B0448">
        <w:rPr>
          <w:rFonts w:ascii="Times New Roman" w:hAnsi="Times New Roman" w:cs="Times New Roman"/>
        </w:rPr>
        <w:t xml:space="preserve">, 2013). Central Africa currently has the most striking rates of decline/loss of large vertebrates (defaunation) in tropical rainforests (Malhi </w:t>
      </w:r>
      <w:r w:rsidRPr="009B0448">
        <w:rPr>
          <w:rFonts w:ascii="Times New Roman" w:hAnsi="Times New Roman" w:cs="Times New Roman"/>
          <w:i/>
        </w:rPr>
        <w:t>et al.</w:t>
      </w:r>
      <w:r w:rsidRPr="009B0448">
        <w:rPr>
          <w:rFonts w:ascii="Times New Roman" w:hAnsi="Times New Roman" w:cs="Times New Roman"/>
        </w:rPr>
        <w:t>, 2013). For instance, 62% of Central Africa’s forest elephants (</w:t>
      </w:r>
      <w:r w:rsidRPr="009B0448">
        <w:rPr>
          <w:rFonts w:ascii="Times New Roman" w:hAnsi="Times New Roman" w:cs="Times New Roman"/>
          <w:i/>
        </w:rPr>
        <w:t>Loxodonta cyclotis</w:t>
      </w:r>
      <w:r w:rsidRPr="009B0448">
        <w:rPr>
          <w:rFonts w:ascii="Times New Roman" w:hAnsi="Times New Roman" w:cs="Times New Roman"/>
        </w:rPr>
        <w:t xml:space="preserve">, Vulnerable) are being lost from 2002 to 2011 (Maisels </w:t>
      </w:r>
      <w:r w:rsidRPr="009B0448">
        <w:rPr>
          <w:rFonts w:ascii="Times New Roman" w:hAnsi="Times New Roman" w:cs="Times New Roman"/>
          <w:i/>
        </w:rPr>
        <w:t>et al.</w:t>
      </w:r>
      <w:r w:rsidRPr="009B0448">
        <w:rPr>
          <w:rFonts w:ascii="Times New Roman" w:hAnsi="Times New Roman" w:cs="Times New Roman"/>
        </w:rPr>
        <w:t xml:space="preserve">, 2013), ape populations declined by 50% in Gabon over 1984–2000 (Walsh </w:t>
      </w:r>
      <w:r w:rsidRPr="009B0448">
        <w:rPr>
          <w:rFonts w:ascii="Times New Roman" w:hAnsi="Times New Roman" w:cs="Times New Roman"/>
          <w:i/>
        </w:rPr>
        <w:t>et al.</w:t>
      </w:r>
      <w:r w:rsidRPr="009B0448">
        <w:rPr>
          <w:rFonts w:ascii="Times New Roman" w:hAnsi="Times New Roman" w:cs="Times New Roman"/>
        </w:rPr>
        <w:t xml:space="preserve">, 2003), and about </w:t>
      </w:r>
      <w:r w:rsidRPr="009B0448">
        <w:rPr>
          <w:rFonts w:ascii="Times New Roman" w:hAnsi="Times New Roman" w:cs="Times New Roman"/>
        </w:rPr>
        <w:lastRenderedPageBreak/>
        <w:t xml:space="preserve">178 species are affected by bushmeat hunting (Abernethy </w:t>
      </w:r>
      <w:r w:rsidRPr="009B0448">
        <w:rPr>
          <w:rFonts w:ascii="Times New Roman" w:hAnsi="Times New Roman" w:cs="Times New Roman"/>
          <w:i/>
        </w:rPr>
        <w:t>et al.</w:t>
      </w:r>
      <w:r w:rsidRPr="009B0448">
        <w:rPr>
          <w:rFonts w:ascii="Times New Roman" w:hAnsi="Times New Roman" w:cs="Times New Roman"/>
        </w:rPr>
        <w:t xml:space="preserve">, 2013). Up to 4.5 million tons of bushmeat are estimated to be extracted annually from the Central African forests, with an estimated annual value of up to $205 million (European Commission, 2015). </w:t>
      </w:r>
    </w:p>
    <w:p w14:paraId="3FBEC5CB" w14:textId="77777777" w:rsidR="009B0448" w:rsidRPr="009B0448" w:rsidRDefault="009B0448" w:rsidP="009B0448">
      <w:pPr>
        <w:spacing w:line="276" w:lineRule="auto"/>
        <w:jc w:val="both"/>
        <w:rPr>
          <w:rFonts w:ascii="Times New Roman" w:hAnsi="Times New Roman" w:cs="Times New Roman"/>
        </w:rPr>
      </w:pPr>
    </w:p>
    <w:p w14:paraId="14B6DF4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rPr>
        <w:t xml:space="preserve"> Given the current known state and the trend in the past decades, the biodiversity of the tropical region of Central Africa may decline at an alarming rate in the near future, particularly given emerging changes in drivers (Chapters 4 &amp; 5; SPM section B). Such a decline is likely to have critical repercussions for both ecological and human communities. For example, recent studies have already shown that the loss of large mammals, due to hunting, results in the decrease of seedling establishment for commercially important tree species in the Afrotropical forest of Gabon (Rosin </w:t>
      </w:r>
      <w:r w:rsidRPr="009B0448">
        <w:rPr>
          <w:rFonts w:ascii="Times New Roman" w:hAnsi="Times New Roman" w:cs="Times New Roman"/>
          <w:i/>
        </w:rPr>
        <w:t>et al.</w:t>
      </w:r>
      <w:r w:rsidRPr="009B0448">
        <w:rPr>
          <w:rFonts w:ascii="Times New Roman" w:hAnsi="Times New Roman" w:cs="Times New Roman"/>
        </w:rPr>
        <w:t xml:space="preserve">, 2016). </w:t>
      </w:r>
    </w:p>
    <w:p w14:paraId="46A07B2A"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71" w:name="_Toc519499873"/>
      <w:r w:rsidRPr="009B0448">
        <w:rPr>
          <w:rFonts w:cs="Times New Roman"/>
          <w:b w:val="0"/>
          <w:sz w:val="22"/>
          <w:szCs w:val="22"/>
        </w:rPr>
        <w:t>High mountain habitats</w:t>
      </w:r>
      <w:bookmarkEnd w:id="171"/>
    </w:p>
    <w:p w14:paraId="15A1C1F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 Albertine Rift Mountains ecoregion is an area of exceptional faunal and moderate floral endemism. These mountains also support the Mountain gorilla (</w:t>
      </w:r>
      <w:r w:rsidRPr="009B0448">
        <w:rPr>
          <w:rFonts w:ascii="Times New Roman" w:hAnsi="Times New Roman" w:cs="Times New Roman"/>
          <w:i/>
        </w:rPr>
        <w:t>Gorilla beringei</w:t>
      </w:r>
      <w:r w:rsidRPr="009B0448">
        <w:rPr>
          <w:rFonts w:ascii="Times New Roman" w:hAnsi="Times New Roman" w:cs="Times New Roman"/>
        </w:rPr>
        <w:t xml:space="preserve">, Critically Endangered), one of the most critically threatened large mammals in Africa (Mayaux </w:t>
      </w:r>
      <w:r w:rsidRPr="009B0448">
        <w:rPr>
          <w:rFonts w:ascii="Times New Roman" w:hAnsi="Times New Roman" w:cs="Times New Roman"/>
          <w:i/>
        </w:rPr>
        <w:t>et al.</w:t>
      </w:r>
      <w:r w:rsidRPr="009B0448">
        <w:rPr>
          <w:rFonts w:ascii="Times New Roman" w:hAnsi="Times New Roman" w:cs="Times New Roman"/>
        </w:rPr>
        <w:t xml:space="preserve">, 2013; Mallon </w:t>
      </w:r>
      <w:r w:rsidRPr="009B0448">
        <w:rPr>
          <w:rFonts w:ascii="Times New Roman" w:hAnsi="Times New Roman" w:cs="Times New Roman"/>
          <w:i/>
        </w:rPr>
        <w:t>et al.</w:t>
      </w:r>
      <w:r w:rsidRPr="009B0448">
        <w:rPr>
          <w:rFonts w:ascii="Times New Roman" w:hAnsi="Times New Roman" w:cs="Times New Roman"/>
        </w:rPr>
        <w:t xml:space="preserve">, 2015). The mountain chain comprising the Albertine Rift straddles the borders of five different nations, providing significant challenges for effectively transboundary management of high mountain forest found here (Mallon </w:t>
      </w:r>
      <w:r w:rsidRPr="009B0448">
        <w:rPr>
          <w:rFonts w:ascii="Times New Roman" w:hAnsi="Times New Roman" w:cs="Times New Roman"/>
          <w:i/>
        </w:rPr>
        <w:t>et al.</w:t>
      </w:r>
      <w:r w:rsidRPr="009B0448">
        <w:rPr>
          <w:rFonts w:ascii="Times New Roman" w:hAnsi="Times New Roman" w:cs="Times New Roman"/>
        </w:rPr>
        <w:t xml:space="preserve">, 2015). The Albertine Rift forms the epicentre of Africa’s montane rainforest circle. Both its fauna and flora have links to the west and southwest with Cameroon and Angola, to the northeast with the Kenyan Highlands, and the southeast with the Eastern Arc Mountains, and ultimately via the Malawi Rift with southern Africa (Dowsett, 1986, Kingdon, 1989). The Albertine Rift is dominated by a series of mountain chains, originating on the Lendu Plateau in northern Uganda/DRC (Bober </w:t>
      </w:r>
      <w:r w:rsidRPr="009B0448">
        <w:rPr>
          <w:rFonts w:ascii="Times New Roman" w:hAnsi="Times New Roman" w:cs="Times New Roman"/>
          <w:i/>
        </w:rPr>
        <w:t>et al.</w:t>
      </w:r>
      <w:r w:rsidRPr="009B0448">
        <w:rPr>
          <w:rFonts w:ascii="Times New Roman" w:hAnsi="Times New Roman" w:cs="Times New Roman"/>
        </w:rPr>
        <w:t xml:space="preserve">, 2001), and running south through the Ruwenzori mountains of Uganda and the eastern part of the Democratic Republic of Congo (03°N, 30°E), western Rwanda and Burundi, to some isolated massifs on the shores of Lake Tanganyika (to 08°S). The mountain chain is a World Wide Fund Ecoregion, and is considered by Birdlife International to be an endemic bird area (Plumptre </w:t>
      </w:r>
      <w:r w:rsidRPr="009B0448">
        <w:rPr>
          <w:rFonts w:ascii="Times New Roman" w:hAnsi="Times New Roman" w:cs="Times New Roman"/>
          <w:i/>
        </w:rPr>
        <w:t>et al.</w:t>
      </w:r>
      <w:r w:rsidRPr="009B0448">
        <w:rPr>
          <w:rFonts w:ascii="Times New Roman" w:hAnsi="Times New Roman" w:cs="Times New Roman"/>
        </w:rPr>
        <w:t xml:space="preserve">, 2006). It is dominated by montane rainforest and medium altitudes (White, 1983), but in the west, marginal fringes of the Guineo-Congolian rainforest impinge on the lower slopes (down from 500–800 metres), and forest/savanna mosaic habitats border it to the east in Uganda, Rwanda and Burundi. At altitudes above 3,500 metres, montane rainforest grades through Juniper forest and Ericaceous Heathland into the tussock grass and Giant Lobelia dominated altimontane vegetation of the Ruwenzori-Virunga Montane Moorland ecoregion. Some details of the vegetation composition in the Albertine Rift Mountains are found in Lind </w:t>
      </w:r>
      <w:r w:rsidRPr="009B0448">
        <w:rPr>
          <w:rFonts w:ascii="Times New Roman" w:hAnsi="Times New Roman" w:cs="Times New Roman"/>
          <w:i/>
        </w:rPr>
        <w:t>et al.</w:t>
      </w:r>
      <w:r w:rsidRPr="009B0448">
        <w:rPr>
          <w:rFonts w:ascii="Times New Roman" w:hAnsi="Times New Roman" w:cs="Times New Roman"/>
        </w:rPr>
        <w:t xml:space="preserve"> (1974), Langdale-Brown </w:t>
      </w:r>
      <w:r w:rsidRPr="009B0448">
        <w:rPr>
          <w:rFonts w:ascii="Times New Roman" w:hAnsi="Times New Roman" w:cs="Times New Roman"/>
          <w:i/>
        </w:rPr>
        <w:t>et al.</w:t>
      </w:r>
      <w:r w:rsidRPr="009B0448">
        <w:rPr>
          <w:rFonts w:ascii="Times New Roman" w:hAnsi="Times New Roman" w:cs="Times New Roman"/>
        </w:rPr>
        <w:t xml:space="preserve"> (1964) and White (1983); as well as in Plumptre </w:t>
      </w:r>
      <w:r w:rsidRPr="009B0448">
        <w:rPr>
          <w:rFonts w:ascii="Times New Roman" w:hAnsi="Times New Roman" w:cs="Times New Roman"/>
          <w:i/>
        </w:rPr>
        <w:t>et al.</w:t>
      </w:r>
      <w:r w:rsidRPr="009B0448">
        <w:rPr>
          <w:rFonts w:ascii="Times New Roman" w:hAnsi="Times New Roman" w:cs="Times New Roman"/>
        </w:rPr>
        <w:t xml:space="preserve"> (2006).</w:t>
      </w:r>
    </w:p>
    <w:p w14:paraId="799AF40C" w14:textId="77777777" w:rsidR="009B0448" w:rsidRPr="009B0448" w:rsidRDefault="009B0448" w:rsidP="009B0448">
      <w:pPr>
        <w:spacing w:line="276" w:lineRule="auto"/>
        <w:jc w:val="both"/>
        <w:rPr>
          <w:rFonts w:ascii="Times New Roman" w:hAnsi="Times New Roman" w:cs="Times New Roman"/>
        </w:rPr>
      </w:pPr>
    </w:p>
    <w:p w14:paraId="48916FF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ecoregion is the most species-rich region in Africa for vertebrates, and contains a number of endemic and threatened species (Plumptre </w:t>
      </w:r>
      <w:r w:rsidRPr="009B0448">
        <w:rPr>
          <w:rFonts w:ascii="Times New Roman" w:hAnsi="Times New Roman" w:cs="Times New Roman"/>
          <w:i/>
        </w:rPr>
        <w:t>et al.</w:t>
      </w:r>
      <w:r w:rsidRPr="009B0448">
        <w:rPr>
          <w:rFonts w:ascii="Times New Roman" w:hAnsi="Times New Roman" w:cs="Times New Roman"/>
        </w:rPr>
        <w:t xml:space="preserve">, 2006). For example, Bwindi Forest in Uganda supports an estimated 1,000 plant species; eight of these are tree species only found locally (WWF </w:t>
      </w:r>
      <w:r w:rsidRPr="009B0448">
        <w:rPr>
          <w:rFonts w:ascii="Times New Roman" w:hAnsi="Times New Roman" w:cs="Times New Roman"/>
          <w:i/>
        </w:rPr>
        <w:t>et al</w:t>
      </w:r>
      <w:r w:rsidRPr="009B0448">
        <w:rPr>
          <w:rFonts w:ascii="Times New Roman" w:hAnsi="Times New Roman" w:cs="Times New Roman"/>
        </w:rPr>
        <w:t>., 1994). Endemism is found at all altitudes, and extends markedly into the lower altitude forests on the western margins, which form a border with the Congo Basin lowland forests (Prigogine, 1985; Vande weghe, 1988a &amp; b). The amphibians with 32 strict endemics spread across 12 genera, and a further seven near endemics, have the highest number of range-restricted species. The bulk of these endemics consist of the highly variable Reed Frogs (</w:t>
      </w:r>
      <w:r w:rsidRPr="009B0448">
        <w:rPr>
          <w:rFonts w:ascii="Times New Roman" w:hAnsi="Times New Roman" w:cs="Times New Roman"/>
          <w:i/>
        </w:rPr>
        <w:t>Hyperolius</w:t>
      </w:r>
      <w:r w:rsidRPr="009B0448">
        <w:rPr>
          <w:rFonts w:ascii="Times New Roman" w:hAnsi="Times New Roman" w:cs="Times New Roman"/>
        </w:rPr>
        <w:t>, 9 strict endemics), the Screeching frogs (</w:t>
      </w:r>
      <w:r w:rsidRPr="009B0448">
        <w:rPr>
          <w:rFonts w:ascii="Times New Roman" w:hAnsi="Times New Roman" w:cs="Times New Roman"/>
          <w:i/>
        </w:rPr>
        <w:t>Phrynobatrachus</w:t>
      </w:r>
      <w:r w:rsidRPr="009B0448">
        <w:rPr>
          <w:rFonts w:ascii="Times New Roman" w:hAnsi="Times New Roman" w:cs="Times New Roman"/>
        </w:rPr>
        <w:t>, 7 strict endemics) and the River Frogs (</w:t>
      </w:r>
      <w:r w:rsidRPr="009B0448">
        <w:rPr>
          <w:rFonts w:ascii="Times New Roman" w:hAnsi="Times New Roman" w:cs="Times New Roman"/>
          <w:i/>
        </w:rPr>
        <w:t>Anthroleptis</w:t>
      </w:r>
      <w:r w:rsidRPr="009B0448">
        <w:rPr>
          <w:rFonts w:ascii="Times New Roman" w:hAnsi="Times New Roman" w:cs="Times New Roman"/>
        </w:rPr>
        <w:t>, 5 strict endemics) and Clawed Toads (</w:t>
      </w:r>
      <w:r w:rsidRPr="009B0448">
        <w:rPr>
          <w:rFonts w:ascii="Times New Roman" w:hAnsi="Times New Roman" w:cs="Times New Roman"/>
          <w:i/>
        </w:rPr>
        <w:t>Xenopus</w:t>
      </w:r>
      <w:r w:rsidRPr="009B0448">
        <w:rPr>
          <w:rFonts w:ascii="Times New Roman" w:hAnsi="Times New Roman" w:cs="Times New Roman"/>
        </w:rPr>
        <w:t xml:space="preserve">, 3 strict endemics). Birds also possess exceptional levels of endemism in this area, with 30 strict endemics and another 16 near endemics (Bober </w:t>
      </w:r>
      <w:r w:rsidRPr="009B0448">
        <w:rPr>
          <w:rFonts w:ascii="Times New Roman" w:hAnsi="Times New Roman" w:cs="Times New Roman"/>
          <w:i/>
        </w:rPr>
        <w:t>et al.</w:t>
      </w:r>
      <w:r w:rsidRPr="009B0448">
        <w:rPr>
          <w:rFonts w:ascii="Times New Roman" w:hAnsi="Times New Roman" w:cs="Times New Roman"/>
        </w:rPr>
        <w:t xml:space="preserve">, 2001 and references therein). The endemic mammalian community contains 25 strictly endemic species and a further 11 species regarded as near-endemics </w:t>
      </w:r>
      <w:r w:rsidRPr="009B0448">
        <w:rPr>
          <w:rFonts w:ascii="Times New Roman" w:hAnsi="Times New Roman" w:cs="Times New Roman"/>
        </w:rPr>
        <w:lastRenderedPageBreak/>
        <w:t xml:space="preserve">(WWF </w:t>
      </w:r>
      <w:r w:rsidRPr="009B0448">
        <w:rPr>
          <w:rFonts w:ascii="Times New Roman" w:hAnsi="Times New Roman" w:cs="Times New Roman"/>
          <w:i/>
        </w:rPr>
        <w:t>et al</w:t>
      </w:r>
      <w:r w:rsidRPr="009B0448">
        <w:rPr>
          <w:rFonts w:ascii="Times New Roman" w:hAnsi="Times New Roman" w:cs="Times New Roman"/>
        </w:rPr>
        <w:t>., 1994). The endemic mammal fauna is dominated by small-mammals, with 10 of the species being shrews, and 12 species being rodents. One of only two species of the family Tenrecidae on mainland Africa is also strictly endemic to these mountains, the Ruwenzori otter shrew (</w:t>
      </w:r>
      <w:r w:rsidRPr="009B0448">
        <w:rPr>
          <w:rFonts w:ascii="Times New Roman" w:hAnsi="Times New Roman" w:cs="Times New Roman"/>
          <w:i/>
        </w:rPr>
        <w:t>Micropotamogale ruwenzorii</w:t>
      </w:r>
      <w:r w:rsidRPr="009B0448">
        <w:rPr>
          <w:rFonts w:ascii="Times New Roman" w:hAnsi="Times New Roman" w:cs="Times New Roman"/>
        </w:rPr>
        <w:t>, Least Concern). The primate fauna further includes the owl-faced monkey (</w:t>
      </w:r>
      <w:r w:rsidRPr="009B0448">
        <w:rPr>
          <w:rFonts w:ascii="Times New Roman" w:hAnsi="Times New Roman" w:cs="Times New Roman"/>
          <w:i/>
        </w:rPr>
        <w:t>Cercopithecus hamlyni</w:t>
      </w:r>
      <w:r w:rsidRPr="009B0448">
        <w:rPr>
          <w:rFonts w:ascii="Times New Roman" w:hAnsi="Times New Roman" w:cs="Times New Roman"/>
        </w:rPr>
        <w:t>, Vulnerable) which has an endangered subspecies (</w:t>
      </w:r>
      <w:r w:rsidRPr="009B0448">
        <w:rPr>
          <w:rFonts w:ascii="Times New Roman" w:hAnsi="Times New Roman" w:cs="Times New Roman"/>
          <w:i/>
        </w:rPr>
        <w:t>C. h. kahuziensis</w:t>
      </w:r>
      <w:r w:rsidRPr="009B0448">
        <w:rPr>
          <w:rFonts w:ascii="Times New Roman" w:hAnsi="Times New Roman" w:cs="Times New Roman"/>
        </w:rPr>
        <w:t>) in the ecoregion, and L’Hoest’s monkey (</w:t>
      </w:r>
      <w:r w:rsidRPr="009B0448">
        <w:rPr>
          <w:rFonts w:ascii="Times New Roman" w:hAnsi="Times New Roman" w:cs="Times New Roman"/>
          <w:i/>
        </w:rPr>
        <w:t>Cercopithecus lhoesti</w:t>
      </w:r>
      <w:r w:rsidRPr="009B0448">
        <w:rPr>
          <w:rFonts w:ascii="Times New Roman" w:hAnsi="Times New Roman" w:cs="Times New Roman"/>
        </w:rPr>
        <w:t xml:space="preserve">, Vulnerable). </w:t>
      </w:r>
    </w:p>
    <w:p w14:paraId="0E811719" w14:textId="77777777" w:rsidR="009B0448" w:rsidRPr="009B0448" w:rsidRDefault="009B0448" w:rsidP="009B0448">
      <w:pPr>
        <w:spacing w:line="276" w:lineRule="auto"/>
        <w:jc w:val="both"/>
        <w:rPr>
          <w:rFonts w:ascii="Times New Roman" w:hAnsi="Times New Roman" w:cs="Times New Roman"/>
        </w:rPr>
      </w:pPr>
    </w:p>
    <w:p w14:paraId="095FCEAF"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Some of the easternmost populations of chimpanzee (</w:t>
      </w:r>
      <w:r w:rsidRPr="009B0448">
        <w:rPr>
          <w:rFonts w:ascii="Times New Roman" w:hAnsi="Times New Roman" w:cs="Times New Roman"/>
          <w:i/>
        </w:rPr>
        <w:t>Pan troglodytes</w:t>
      </w:r>
      <w:r w:rsidRPr="009B0448">
        <w:rPr>
          <w:rFonts w:ascii="Times New Roman" w:hAnsi="Times New Roman" w:cs="Times New Roman"/>
        </w:rPr>
        <w:t xml:space="preserve">, Endangered) also occur in this ecoregion (Harcourt </w:t>
      </w:r>
      <w:r w:rsidRPr="009B0448">
        <w:rPr>
          <w:rFonts w:ascii="Times New Roman" w:hAnsi="Times New Roman" w:cs="Times New Roman"/>
          <w:i/>
        </w:rPr>
        <w:t>et al.</w:t>
      </w:r>
      <w:r w:rsidRPr="009B0448">
        <w:rPr>
          <w:rFonts w:ascii="Times New Roman" w:hAnsi="Times New Roman" w:cs="Times New Roman"/>
        </w:rPr>
        <w:t xml:space="preserve">, 1983; Aveling </w:t>
      </w:r>
      <w:r w:rsidRPr="009B0448">
        <w:rPr>
          <w:rFonts w:ascii="Times New Roman" w:hAnsi="Times New Roman" w:cs="Times New Roman"/>
          <w:i/>
        </w:rPr>
        <w:t>et al.</w:t>
      </w:r>
      <w:r w:rsidRPr="009B0448">
        <w:rPr>
          <w:rFonts w:ascii="Times New Roman" w:hAnsi="Times New Roman" w:cs="Times New Roman"/>
        </w:rPr>
        <w:t xml:space="preserve">, 1984; Aveling </w:t>
      </w:r>
      <w:r w:rsidRPr="009B0448">
        <w:rPr>
          <w:rFonts w:ascii="Times New Roman" w:hAnsi="Times New Roman" w:cs="Times New Roman"/>
          <w:i/>
        </w:rPr>
        <w:t>et al.</w:t>
      </w:r>
      <w:r w:rsidRPr="009B0448">
        <w:rPr>
          <w:rFonts w:ascii="Times New Roman" w:hAnsi="Times New Roman" w:cs="Times New Roman"/>
        </w:rPr>
        <w:t xml:space="preserve">, 1989; McNeilage, 1996; Hall </w:t>
      </w:r>
      <w:r w:rsidRPr="009B0448">
        <w:rPr>
          <w:rFonts w:ascii="Times New Roman" w:hAnsi="Times New Roman" w:cs="Times New Roman"/>
          <w:i/>
        </w:rPr>
        <w:t>et al.</w:t>
      </w:r>
      <w:r w:rsidRPr="009B0448">
        <w:rPr>
          <w:rFonts w:ascii="Times New Roman" w:hAnsi="Times New Roman" w:cs="Times New Roman"/>
        </w:rPr>
        <w:t xml:space="preserve">, 1998a &amp; b). The Albertine Rift endemic duiker </w:t>
      </w:r>
      <w:r w:rsidRPr="009B0448">
        <w:rPr>
          <w:rFonts w:ascii="Times New Roman" w:hAnsi="Times New Roman" w:cs="Times New Roman"/>
          <w:i/>
        </w:rPr>
        <w:t>Cephalophus rubidus</w:t>
      </w:r>
      <w:r w:rsidRPr="009B0448">
        <w:rPr>
          <w:rFonts w:ascii="Times New Roman" w:hAnsi="Times New Roman" w:cs="Times New Roman"/>
        </w:rPr>
        <w:t xml:space="preserve"> may also venture into the upper parts of this ecoregion from the higher altitude heathland areas that are its more typical home. In comparison to the other vertebrate groups, the number of endemic reptiles is relatively low, with 11 strict endemics. These include four species of chameleons (</w:t>
      </w:r>
      <w:r w:rsidRPr="009B0448">
        <w:rPr>
          <w:rFonts w:ascii="Times New Roman" w:hAnsi="Times New Roman" w:cs="Times New Roman"/>
          <w:i/>
        </w:rPr>
        <w:t>Chamaeleo</w:t>
      </w:r>
      <w:r w:rsidRPr="009B0448">
        <w:rPr>
          <w:rFonts w:ascii="Times New Roman" w:hAnsi="Times New Roman" w:cs="Times New Roman"/>
        </w:rPr>
        <w:t xml:space="preserve"> spp.) and four species of skinks in the genus </w:t>
      </w:r>
      <w:r w:rsidRPr="009B0448">
        <w:rPr>
          <w:rFonts w:ascii="Times New Roman" w:hAnsi="Times New Roman" w:cs="Times New Roman"/>
          <w:i/>
        </w:rPr>
        <w:t>Leptosiaphos</w:t>
      </w:r>
      <w:r w:rsidRPr="009B0448">
        <w:rPr>
          <w:rFonts w:ascii="Times New Roman" w:hAnsi="Times New Roman" w:cs="Times New Roman"/>
        </w:rPr>
        <w:t>. However, given the very high rates of endemism in other vertebrate groups, the number of endemics may more reflect the relatively low rates of biological collecting, rather than the true numbers of reptile endemics.</w:t>
      </w:r>
    </w:p>
    <w:p w14:paraId="3B88D6AF" w14:textId="77777777" w:rsidR="009B0448" w:rsidRPr="009B0448" w:rsidRDefault="009B0448" w:rsidP="009B0448">
      <w:pPr>
        <w:spacing w:line="276" w:lineRule="auto"/>
        <w:jc w:val="both"/>
        <w:rPr>
          <w:rFonts w:ascii="Times New Roman" w:hAnsi="Times New Roman" w:cs="Times New Roman"/>
        </w:rPr>
      </w:pPr>
    </w:p>
    <w:p w14:paraId="0BA0B984" w14:textId="77777777" w:rsidR="009B0448" w:rsidRPr="009B0448" w:rsidRDefault="009B0448" w:rsidP="009B0448">
      <w:pPr>
        <w:spacing w:line="276" w:lineRule="auto"/>
        <w:jc w:val="both"/>
        <w:rPr>
          <w:rFonts w:ascii="Times New Roman" w:hAnsi="Times New Roman" w:cs="Times New Roman"/>
          <w:color w:val="000000" w:themeColor="text1"/>
        </w:rPr>
      </w:pPr>
      <w:r w:rsidRPr="009B0448">
        <w:rPr>
          <w:rFonts w:ascii="Times New Roman" w:hAnsi="Times New Roman" w:cs="Times New Roman"/>
          <w:u w:val="single"/>
        </w:rPr>
        <w:t>Trends:</w:t>
      </w:r>
      <w:r w:rsidRPr="009B0448">
        <w:rPr>
          <w:rFonts w:ascii="Times New Roman" w:hAnsi="Times New Roman" w:cs="Times New Roman"/>
        </w:rPr>
        <w:t xml:space="preserve"> </w:t>
      </w:r>
      <w:r w:rsidRPr="009B0448">
        <w:rPr>
          <w:rFonts w:ascii="Times New Roman" w:hAnsi="Times New Roman" w:cs="Times New Roman"/>
          <w:color w:val="000000" w:themeColor="text1"/>
        </w:rPr>
        <w:t xml:space="preserve">Key threats in this area are largely anthropogenic, including war, civil conflict, growth of extractive industries (including conversion to agriculture and artisanal mining), and hunting (Plumptre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2006). A number of large mammals in this area have been hunted to low populations or to extinction (Plumptre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2006). Conversion to crop-land has been evident in parts of the area in recent decades. Interestingly, Mayaux et al (2013) observed that Central Africa’s forests remain largely intact (Mallon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2015). However, in parts of the high mountain forest region where rural populations are increasing, we see an expansion of agricultural activities and increases in deforestation (Mallon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2015). Bushmeat hunting has had further significant impacts in this area (Mallon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2015); exacerbated by increases, in certain areas, of extractive activities (largely mining and timber) (Chapters 4 &amp; 5; SPM sections B &amp; D). Significant challenges in this area, including a key site such as the Virunga Landscape (one of the most species-rich regions on earth; Plumptre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2006), include taking a landscape approach, and managing connected protected and non-protected areas (Plumptre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2006; Mallon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2015). Where Rwanda, Uganda and the DRC meet, for example, provides a key example of the challenges in taking such an approach–three different countries with valuable areas of high mountain forest, yet different trends in driving forces of change, in hunting and extractive industries, and different approaches to environmental governance. </w:t>
      </w:r>
    </w:p>
    <w:p w14:paraId="2FF9AA70" w14:textId="77777777" w:rsidR="009B0448" w:rsidRPr="009B0448" w:rsidRDefault="009B0448" w:rsidP="009B0448">
      <w:pPr>
        <w:spacing w:line="276" w:lineRule="auto"/>
        <w:jc w:val="both"/>
        <w:rPr>
          <w:rFonts w:ascii="Times New Roman" w:hAnsi="Times New Roman" w:cs="Times New Roman"/>
          <w:color w:val="000000" w:themeColor="text1"/>
        </w:rPr>
      </w:pPr>
    </w:p>
    <w:p w14:paraId="180C47FB" w14:textId="3B463360"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rPr>
        <w:t xml:space="preserve"> There is largescale agreement amongst climate models for increases in minimum, maximum and average temperature across all seasons under climate change (Niang </w:t>
      </w:r>
      <w:r w:rsidRPr="009B0448">
        <w:rPr>
          <w:rFonts w:ascii="Times New Roman" w:hAnsi="Times New Roman" w:cs="Times New Roman"/>
          <w:i/>
        </w:rPr>
        <w:t>et al.</w:t>
      </w:r>
      <w:r w:rsidRPr="009B0448">
        <w:rPr>
          <w:rFonts w:ascii="Times New Roman" w:hAnsi="Times New Roman" w:cs="Times New Roman"/>
        </w:rPr>
        <w:t xml:space="preserve">, 2014; Conway </w:t>
      </w:r>
      <w:r w:rsidRPr="009B0448">
        <w:rPr>
          <w:rFonts w:ascii="Times New Roman" w:hAnsi="Times New Roman" w:cs="Times New Roman"/>
          <w:i/>
        </w:rPr>
        <w:t>et al.</w:t>
      </w:r>
      <w:r w:rsidR="00D6539B">
        <w:rPr>
          <w:rFonts w:ascii="Times New Roman" w:hAnsi="Times New Roman" w:cs="Times New Roman"/>
        </w:rPr>
        <w:t>, 2015; SPM section B).</w:t>
      </w:r>
      <w:r w:rsidRPr="009B0448">
        <w:rPr>
          <w:rFonts w:ascii="Times New Roman" w:hAnsi="Times New Roman" w:cs="Times New Roman"/>
        </w:rPr>
        <w:t xml:space="preserve"> In addition, primary industry activities are likely to increase in many areas (see, for example, the example of Virunga National Park above); without increased intervention and management. The coupled impact of increased temperatures on High Mountain Forest, with altitudinal shifting of habitat, together with increased extractive activities in certain areas, increases the likelihood that existing species loss in these areas may worsen (Niang </w:t>
      </w:r>
      <w:r w:rsidRPr="009B0448">
        <w:rPr>
          <w:rFonts w:ascii="Times New Roman" w:hAnsi="Times New Roman" w:cs="Times New Roman"/>
          <w:i/>
        </w:rPr>
        <w:t>et al</w:t>
      </w:r>
      <w:r w:rsidRPr="009B0448">
        <w:rPr>
          <w:rFonts w:ascii="Times New Roman" w:hAnsi="Times New Roman" w:cs="Times New Roman"/>
        </w:rPr>
        <w:t xml:space="preserve">., 2014; SPM sections B &amp; D). </w:t>
      </w:r>
    </w:p>
    <w:p w14:paraId="2A3231FD"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72" w:name="_Toc519499874"/>
      <w:r w:rsidRPr="009B0448">
        <w:rPr>
          <w:rFonts w:cs="Times New Roman"/>
          <w:b w:val="0"/>
          <w:sz w:val="22"/>
          <w:szCs w:val="22"/>
        </w:rPr>
        <w:t>Savannah and grassland</w:t>
      </w:r>
      <w:bookmarkEnd w:id="172"/>
    </w:p>
    <w:p w14:paraId="62B48D8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 savannah region in Central Africa extends from the Congo watershed to the Cameroon highlands; and extends east through the Central African Republic and north-eastern Democratic Republic of Congo (WWF, 2017b). The woodland savanna is dominated by </w:t>
      </w:r>
      <w:r w:rsidRPr="009B0448">
        <w:rPr>
          <w:rFonts w:ascii="Times New Roman" w:hAnsi="Times New Roman" w:cs="Times New Roman"/>
          <w:i/>
        </w:rPr>
        <w:t>Acacia albida</w:t>
      </w:r>
      <w:r w:rsidRPr="009B0448">
        <w:rPr>
          <w:rFonts w:ascii="Times New Roman" w:hAnsi="Times New Roman" w:cs="Times New Roman"/>
        </w:rPr>
        <w:t xml:space="preserve">, </w:t>
      </w:r>
      <w:r w:rsidRPr="009B0448">
        <w:rPr>
          <w:rFonts w:ascii="Times New Roman" w:hAnsi="Times New Roman" w:cs="Times New Roman"/>
          <w:i/>
        </w:rPr>
        <w:t>A. senegal</w:t>
      </w:r>
      <w:r w:rsidRPr="009B0448">
        <w:rPr>
          <w:rFonts w:ascii="Times New Roman" w:hAnsi="Times New Roman" w:cs="Times New Roman"/>
        </w:rPr>
        <w:t xml:space="preserve">, and </w:t>
      </w:r>
      <w:r w:rsidRPr="009B0448">
        <w:rPr>
          <w:rFonts w:ascii="Times New Roman" w:hAnsi="Times New Roman" w:cs="Times New Roman"/>
          <w:i/>
        </w:rPr>
        <w:t>A. nilotica</w:t>
      </w:r>
      <w:r w:rsidRPr="009B0448">
        <w:rPr>
          <w:rFonts w:ascii="Times New Roman" w:hAnsi="Times New Roman" w:cs="Times New Roman"/>
        </w:rPr>
        <w:t xml:space="preserve">. Other species include: </w:t>
      </w:r>
      <w:r w:rsidRPr="009B0448">
        <w:rPr>
          <w:rFonts w:ascii="Times New Roman" w:hAnsi="Times New Roman" w:cs="Times New Roman"/>
          <w:i/>
        </w:rPr>
        <w:t xml:space="preserve">Balanites aegyptiaca, Ziziphus spp., Crateva adansonii, Celtis integrifolia, Ficus spp., </w:t>
      </w:r>
      <w:r w:rsidRPr="009B0448">
        <w:rPr>
          <w:rFonts w:ascii="Times New Roman" w:hAnsi="Times New Roman" w:cs="Times New Roman"/>
        </w:rPr>
        <w:t>and</w:t>
      </w:r>
      <w:r w:rsidRPr="009B0448">
        <w:rPr>
          <w:rFonts w:ascii="Times New Roman" w:hAnsi="Times New Roman" w:cs="Times New Roman"/>
          <w:i/>
        </w:rPr>
        <w:t xml:space="preserve"> Khaya senegalensis</w:t>
      </w:r>
      <w:r w:rsidRPr="009B0448">
        <w:rPr>
          <w:rFonts w:ascii="Times New Roman" w:hAnsi="Times New Roman" w:cs="Times New Roman"/>
        </w:rPr>
        <w:t xml:space="preserve"> (Culverwell, 1998). Key savannah and grassland </w:t>
      </w:r>
      <w:r w:rsidRPr="009B0448">
        <w:rPr>
          <w:rFonts w:ascii="Times New Roman" w:hAnsi="Times New Roman" w:cs="Times New Roman"/>
        </w:rPr>
        <w:lastRenderedPageBreak/>
        <w:t xml:space="preserve">mammals present in these areas include African elephant (Savanna elephant) (Mallon </w:t>
      </w:r>
      <w:r w:rsidRPr="009B0448">
        <w:rPr>
          <w:rFonts w:ascii="Times New Roman" w:hAnsi="Times New Roman" w:cs="Times New Roman"/>
          <w:i/>
        </w:rPr>
        <w:t>et al.</w:t>
      </w:r>
      <w:r w:rsidRPr="009B0448">
        <w:rPr>
          <w:rFonts w:ascii="Times New Roman" w:hAnsi="Times New Roman" w:cs="Times New Roman"/>
        </w:rPr>
        <w:t>, 2015; Figure 2.2), the Striped Hyaena, and the Lion (</w:t>
      </w:r>
      <w:r w:rsidRPr="009B0448">
        <w:rPr>
          <w:rFonts w:ascii="Times New Roman" w:hAnsi="Times New Roman" w:cs="Times New Roman"/>
          <w:i/>
        </w:rPr>
        <w:t>Panthera leo</w:t>
      </w:r>
      <w:r w:rsidRPr="009B0448">
        <w:rPr>
          <w:rFonts w:ascii="Times New Roman" w:hAnsi="Times New Roman" w:cs="Times New Roman"/>
        </w:rPr>
        <w:t>).</w:t>
      </w:r>
    </w:p>
    <w:p w14:paraId="43A64CFC" w14:textId="77777777" w:rsidR="009B0448" w:rsidRPr="009B0448" w:rsidRDefault="009B0448" w:rsidP="009B0448">
      <w:pPr>
        <w:spacing w:line="276" w:lineRule="auto"/>
        <w:jc w:val="both"/>
        <w:rPr>
          <w:rFonts w:ascii="Times New Roman" w:hAnsi="Times New Roman" w:cs="Times New Roman"/>
          <w:u w:val="single"/>
        </w:rPr>
      </w:pPr>
    </w:p>
    <w:p w14:paraId="5DE42A5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w:t>
      </w:r>
      <w:r w:rsidRPr="009B0448">
        <w:rPr>
          <w:rFonts w:ascii="Times New Roman" w:hAnsi="Times New Roman" w:cs="Times New Roman"/>
        </w:rPr>
        <w:t xml:space="preserve"> This terrestrial unit of analysis is currently decreasing due to increasing human population, political instability and civil wars, habitat conversion, overhunting and commercial logging (WWF, 2017b). A number of species within savannah and grassland areas is Central Africa show decline, including the Striped Hyaena (Mallon </w:t>
      </w:r>
      <w:r w:rsidRPr="009B0448">
        <w:rPr>
          <w:rFonts w:ascii="Times New Roman" w:hAnsi="Times New Roman" w:cs="Times New Roman"/>
          <w:i/>
        </w:rPr>
        <w:t>et al.</w:t>
      </w:r>
      <w:r w:rsidRPr="009B0448">
        <w:rPr>
          <w:rFonts w:ascii="Times New Roman" w:hAnsi="Times New Roman" w:cs="Times New Roman"/>
        </w:rPr>
        <w:t>, 2015) and the Lion (</w:t>
      </w:r>
      <w:r w:rsidRPr="009B0448">
        <w:rPr>
          <w:rFonts w:ascii="Times New Roman" w:hAnsi="Times New Roman" w:cs="Times New Roman"/>
          <w:i/>
        </w:rPr>
        <w:t>Panthera leo</w:t>
      </w:r>
      <w:r w:rsidRPr="009B0448">
        <w:rPr>
          <w:rFonts w:ascii="Times New Roman" w:hAnsi="Times New Roman" w:cs="Times New Roman"/>
        </w:rPr>
        <w:t xml:space="preserve">). Henschel </w:t>
      </w:r>
      <w:r w:rsidRPr="009B0448">
        <w:rPr>
          <w:rFonts w:ascii="Times New Roman" w:hAnsi="Times New Roman" w:cs="Times New Roman"/>
          <w:i/>
        </w:rPr>
        <w:t>et al.</w:t>
      </w:r>
      <w:r w:rsidRPr="009B0448">
        <w:rPr>
          <w:rFonts w:ascii="Times New Roman" w:hAnsi="Times New Roman" w:cs="Times New Roman"/>
        </w:rPr>
        <w:t xml:space="preserve"> (2014) indicate that Lions are likely to now be extinct in the Congo Basin’s rainforest –savannah mosaics. The African Wild Dog (</w:t>
      </w:r>
      <w:r w:rsidRPr="009B0448">
        <w:rPr>
          <w:rFonts w:ascii="Times New Roman" w:hAnsi="Times New Roman" w:cs="Times New Roman"/>
          <w:i/>
        </w:rPr>
        <w:t>Lycaon pictus</w:t>
      </w:r>
      <w:r w:rsidRPr="009B0448">
        <w:rPr>
          <w:rFonts w:ascii="Times New Roman" w:hAnsi="Times New Roman" w:cs="Times New Roman"/>
        </w:rPr>
        <w:t xml:space="preserve">) is now also considered to be extinct in the same area (Henschel </w:t>
      </w:r>
      <w:r w:rsidRPr="009B0448">
        <w:rPr>
          <w:rFonts w:ascii="Times New Roman" w:hAnsi="Times New Roman" w:cs="Times New Roman"/>
          <w:i/>
        </w:rPr>
        <w:t>et al.</w:t>
      </w:r>
      <w:r w:rsidRPr="009B0448">
        <w:rPr>
          <w:rFonts w:ascii="Times New Roman" w:hAnsi="Times New Roman" w:cs="Times New Roman"/>
        </w:rPr>
        <w:t xml:space="preserve">, 2014). Savanna elephants have been further significantly impacted, as in other areas, through increases in poaching and shrinking and shifting habitat (Mallon </w:t>
      </w:r>
      <w:r w:rsidRPr="009B0448">
        <w:rPr>
          <w:rFonts w:ascii="Times New Roman" w:hAnsi="Times New Roman" w:cs="Times New Roman"/>
          <w:i/>
        </w:rPr>
        <w:t>et al.</w:t>
      </w:r>
      <w:r w:rsidRPr="009B0448">
        <w:rPr>
          <w:rFonts w:ascii="Times New Roman" w:hAnsi="Times New Roman" w:cs="Times New Roman"/>
        </w:rPr>
        <w:t xml:space="preserve">, 2015). </w:t>
      </w:r>
    </w:p>
    <w:p w14:paraId="153896A2" w14:textId="77777777" w:rsidR="009B0448" w:rsidRPr="009B0448" w:rsidRDefault="009B0448" w:rsidP="009B0448">
      <w:pPr>
        <w:spacing w:line="276" w:lineRule="auto"/>
        <w:jc w:val="both"/>
        <w:rPr>
          <w:rFonts w:ascii="Times New Roman" w:hAnsi="Times New Roman" w:cs="Times New Roman"/>
          <w:u w:val="single"/>
        </w:rPr>
      </w:pPr>
    </w:p>
    <w:p w14:paraId="36F78E95"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rPr>
        <w:t xml:space="preserve"> The future trend of biodiversity in this ecosystem unit of analysis will depend, for example, on the future dynamics of population growth, political stability and habitat conversion (WWF, 2017b). Political instability in the region remains a significant problem, as evidenced by the crisis in the Central African Republic. Habitat loss is also increasing within the region (WWF, 2017b), hence it is expected that the savannas and grasslands within the region will continue to decline in extent with associated biodiversity loss. Extractive industries in this area (largely mining) is likely to continue to impact habitat loss and associated effects on ecosystem services, complicated by climate change (Niang </w:t>
      </w:r>
      <w:r w:rsidRPr="009B0448">
        <w:rPr>
          <w:rFonts w:ascii="Times New Roman" w:hAnsi="Times New Roman" w:cs="Times New Roman"/>
          <w:i/>
        </w:rPr>
        <w:t>et al.</w:t>
      </w:r>
      <w:r w:rsidRPr="009B0448">
        <w:rPr>
          <w:rFonts w:ascii="Times New Roman" w:hAnsi="Times New Roman" w:cs="Times New Roman"/>
        </w:rPr>
        <w:t>, 2014; Chapter 4; SPM sections B &amp;D).</w:t>
      </w:r>
    </w:p>
    <w:p w14:paraId="5225B9C7"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73" w:name="_Toc519499875"/>
      <w:r w:rsidRPr="009B0448">
        <w:rPr>
          <w:rFonts w:cs="Times New Roman"/>
          <w:b w:val="0"/>
          <w:sz w:val="22"/>
          <w:szCs w:val="22"/>
        </w:rPr>
        <w:t>Dryland and desert</w:t>
      </w:r>
      <w:bookmarkEnd w:id="173"/>
    </w:p>
    <w:p w14:paraId="0C54E45B"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In Central Africa, drylands and deserts are represented by the Sahelian transitional zone which covers an area of 20,000 km</w:t>
      </w:r>
      <w:r w:rsidRPr="009B0448">
        <w:rPr>
          <w:rFonts w:ascii="Times New Roman" w:hAnsi="Times New Roman" w:cs="Times New Roman"/>
          <w:vertAlign w:val="superscript"/>
        </w:rPr>
        <w:t>2</w:t>
      </w:r>
      <w:r w:rsidRPr="009B0448">
        <w:rPr>
          <w:rFonts w:ascii="Times New Roman" w:hAnsi="Times New Roman" w:cs="Times New Roman"/>
        </w:rPr>
        <w:t>, in which the major portion is located in Chad–thus not within Central Africa (WWF, 2017b). The region supports endemic flora and fauna and provides important habitat for larger antelopes such as Addax (</w:t>
      </w:r>
      <w:r w:rsidRPr="009B0448">
        <w:rPr>
          <w:rFonts w:ascii="Times New Roman" w:hAnsi="Times New Roman" w:cs="Times New Roman"/>
          <w:i/>
        </w:rPr>
        <w:t>Addax nasomaculatus</w:t>
      </w:r>
      <w:r w:rsidRPr="009B0448">
        <w:rPr>
          <w:rFonts w:ascii="Times New Roman" w:hAnsi="Times New Roman" w:cs="Times New Roman"/>
        </w:rPr>
        <w:t>, Critically Endangered), Dama gazelle (</w:t>
      </w:r>
      <w:r w:rsidRPr="009B0448">
        <w:rPr>
          <w:rFonts w:ascii="Times New Roman" w:hAnsi="Times New Roman" w:cs="Times New Roman"/>
          <w:i/>
        </w:rPr>
        <w:t>Gazella dama</w:t>
      </w:r>
      <w:r w:rsidRPr="009B0448">
        <w:rPr>
          <w:rFonts w:ascii="Times New Roman" w:hAnsi="Times New Roman" w:cs="Times New Roman"/>
        </w:rPr>
        <w:t>, Critically Endangered), Dorcas gazelle (</w:t>
      </w:r>
      <w:r w:rsidRPr="009B0448">
        <w:rPr>
          <w:rFonts w:ascii="Times New Roman" w:hAnsi="Times New Roman" w:cs="Times New Roman"/>
          <w:i/>
        </w:rPr>
        <w:t>Gazella Dorcas</w:t>
      </w:r>
      <w:r w:rsidRPr="009B0448">
        <w:rPr>
          <w:rFonts w:ascii="Times New Roman" w:hAnsi="Times New Roman" w:cs="Times New Roman"/>
        </w:rPr>
        <w:t>, Vulnerable) and red-fronted gazelle (</w:t>
      </w:r>
      <w:r w:rsidRPr="009B0448">
        <w:rPr>
          <w:rFonts w:ascii="Times New Roman" w:hAnsi="Times New Roman" w:cs="Times New Roman"/>
          <w:i/>
        </w:rPr>
        <w:t>Gazella rufifrons</w:t>
      </w:r>
      <w:r w:rsidRPr="009B0448">
        <w:rPr>
          <w:rFonts w:ascii="Times New Roman" w:hAnsi="Times New Roman" w:cs="Times New Roman"/>
        </w:rPr>
        <w:t xml:space="preserve">, Vulnerable) (WWF, 2017b). </w:t>
      </w:r>
    </w:p>
    <w:p w14:paraId="2FC94177" w14:textId="77777777" w:rsidR="009B0448" w:rsidRPr="009B0448" w:rsidRDefault="009B0448" w:rsidP="009B0448">
      <w:pPr>
        <w:spacing w:line="276" w:lineRule="auto"/>
        <w:jc w:val="both"/>
        <w:rPr>
          <w:rFonts w:ascii="Times New Roman" w:hAnsi="Times New Roman" w:cs="Times New Roman"/>
          <w:u w:val="single"/>
        </w:rPr>
      </w:pPr>
    </w:p>
    <w:p w14:paraId="56E133DE"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 and future dynamics:</w:t>
      </w:r>
      <w:r w:rsidRPr="009B0448">
        <w:rPr>
          <w:rFonts w:ascii="Times New Roman" w:hAnsi="Times New Roman" w:cs="Times New Roman"/>
        </w:rPr>
        <w:t xml:space="preserve"> Most large animal species are declining due to competition with livestock (WWF, 2017b). In the part of the Sahelian transitional zone that falls within what we consider as Central Africa in IPBES, we see similar challenges around habitat fragmentation, cultivation and extractive industries as described above (Mallon </w:t>
      </w:r>
      <w:r w:rsidRPr="009B0448">
        <w:rPr>
          <w:rFonts w:ascii="Times New Roman" w:hAnsi="Times New Roman" w:cs="Times New Roman"/>
          <w:i/>
        </w:rPr>
        <w:t>et al.</w:t>
      </w:r>
      <w:r w:rsidRPr="009B0448">
        <w:rPr>
          <w:rFonts w:ascii="Times New Roman" w:hAnsi="Times New Roman" w:cs="Times New Roman"/>
        </w:rPr>
        <w:t xml:space="preserve">, 2015). For example, the Striped Hyaena, as mentioned previously, is distributed sparsely and declining (Mallon </w:t>
      </w:r>
      <w:r w:rsidRPr="009B0448">
        <w:rPr>
          <w:rFonts w:ascii="Times New Roman" w:hAnsi="Times New Roman" w:cs="Times New Roman"/>
          <w:i/>
        </w:rPr>
        <w:t>et al.</w:t>
      </w:r>
      <w:r w:rsidRPr="009B0448">
        <w:rPr>
          <w:rFonts w:ascii="Times New Roman" w:hAnsi="Times New Roman" w:cs="Times New Roman"/>
        </w:rPr>
        <w:t>, 2015), while the Common Leopard (</w:t>
      </w:r>
      <w:r w:rsidRPr="009B0448">
        <w:rPr>
          <w:rFonts w:ascii="Times New Roman" w:hAnsi="Times New Roman" w:cs="Times New Roman"/>
          <w:i/>
        </w:rPr>
        <w:t>Panthera pardus</w:t>
      </w:r>
      <w:r w:rsidRPr="009B0448">
        <w:rPr>
          <w:rFonts w:ascii="Times New Roman" w:hAnsi="Times New Roman" w:cs="Times New Roman"/>
        </w:rPr>
        <w:t xml:space="preserve">, Vulnerable) has undergone a marked range reduction throughout the Sahelian transitional zone (Mallon </w:t>
      </w:r>
      <w:r w:rsidRPr="009B0448">
        <w:rPr>
          <w:rFonts w:ascii="Times New Roman" w:hAnsi="Times New Roman" w:cs="Times New Roman"/>
          <w:i/>
        </w:rPr>
        <w:t>et al.</w:t>
      </w:r>
      <w:r w:rsidRPr="009B0448">
        <w:rPr>
          <w:rFonts w:ascii="Times New Roman" w:hAnsi="Times New Roman" w:cs="Times New Roman"/>
        </w:rPr>
        <w:t xml:space="preserve">, 2015). With increases in extractive industry activity, complicated by climate change, we would expect such trends to continue in absence of increasingly effective landscape scale and transboundary approaches (Niang </w:t>
      </w:r>
      <w:r w:rsidRPr="009B0448">
        <w:rPr>
          <w:rFonts w:ascii="Times New Roman" w:hAnsi="Times New Roman" w:cs="Times New Roman"/>
          <w:i/>
        </w:rPr>
        <w:t>et al.</w:t>
      </w:r>
      <w:r w:rsidRPr="009B0448">
        <w:rPr>
          <w:rFonts w:ascii="Times New Roman" w:hAnsi="Times New Roman" w:cs="Times New Roman"/>
        </w:rPr>
        <w:t xml:space="preserve">, 2014; Chapters 4 &amp; 5; SPM sections B &amp; D). </w:t>
      </w:r>
    </w:p>
    <w:p w14:paraId="188FA9FC"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74" w:name="_Toc519499876"/>
      <w:r w:rsidRPr="009B0448">
        <w:rPr>
          <w:rFonts w:cs="Times New Roman"/>
          <w:b w:val="0"/>
          <w:sz w:val="22"/>
          <w:szCs w:val="22"/>
        </w:rPr>
        <w:t>Urban/Semi-urban</w:t>
      </w:r>
      <w:bookmarkEnd w:id="174"/>
    </w:p>
    <w:p w14:paraId="5A78F652"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In the Central African region, the number of cities sized at 1.5 million has increased between 1970, 1990 and 2014 by 10 million inhabitants (Seto </w:t>
      </w:r>
      <w:r w:rsidRPr="009B0448">
        <w:rPr>
          <w:rFonts w:ascii="Times New Roman" w:hAnsi="Times New Roman" w:cs="Times New Roman"/>
          <w:i/>
        </w:rPr>
        <w:t>et al.</w:t>
      </w:r>
      <w:r w:rsidRPr="009B0448">
        <w:rPr>
          <w:rFonts w:ascii="Times New Roman" w:hAnsi="Times New Roman" w:cs="Times New Roman"/>
        </w:rPr>
        <w:t xml:space="preserve">, 2012). In 2014, Kinshasa was established as a megacity; and currently stands as the only megacity in this region at present (Seto </w:t>
      </w:r>
      <w:r w:rsidRPr="009B0448">
        <w:rPr>
          <w:rFonts w:ascii="Times New Roman" w:hAnsi="Times New Roman" w:cs="Times New Roman"/>
          <w:i/>
        </w:rPr>
        <w:t>et al.</w:t>
      </w:r>
      <w:r w:rsidRPr="009B0448">
        <w:rPr>
          <w:rFonts w:ascii="Times New Roman" w:hAnsi="Times New Roman" w:cs="Times New Roman"/>
        </w:rPr>
        <w:t xml:space="preserve">, 2012). In 2013, Kinshasa’s urban extent stood at 45,681 hectares, with an annual average increase rate of 3.5% since 2000. Density in Kinshasa has increased at 3.7% as an annual average since 2000; and is expected to continue (Seto </w:t>
      </w:r>
      <w:r w:rsidRPr="009B0448">
        <w:rPr>
          <w:rFonts w:ascii="Times New Roman" w:hAnsi="Times New Roman" w:cs="Times New Roman"/>
          <w:i/>
        </w:rPr>
        <w:t>et al.</w:t>
      </w:r>
      <w:r w:rsidRPr="009B0448">
        <w:rPr>
          <w:rFonts w:ascii="Times New Roman" w:hAnsi="Times New Roman" w:cs="Times New Roman"/>
        </w:rPr>
        <w:t xml:space="preserve">, 2012). </w:t>
      </w:r>
    </w:p>
    <w:p w14:paraId="6D8E9675" w14:textId="77777777" w:rsidR="009B0448" w:rsidRPr="009B0448" w:rsidRDefault="009B0448" w:rsidP="009B0448">
      <w:pPr>
        <w:spacing w:line="276" w:lineRule="auto"/>
        <w:jc w:val="both"/>
        <w:rPr>
          <w:rFonts w:ascii="Times New Roman" w:hAnsi="Times New Roman" w:cs="Times New Roman"/>
        </w:rPr>
      </w:pPr>
    </w:p>
    <w:p w14:paraId="122EEB3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lastRenderedPageBreak/>
        <w:t>Future dynamics:</w:t>
      </w:r>
      <w:r w:rsidRPr="00DF623E">
        <w:rPr>
          <w:rFonts w:ascii="Times New Roman" w:hAnsi="Times New Roman" w:cs="Times New Roman"/>
        </w:rPr>
        <w:t xml:space="preserve"> </w:t>
      </w:r>
      <w:r w:rsidRPr="009B0448">
        <w:rPr>
          <w:rFonts w:ascii="Times New Roman" w:hAnsi="Times New Roman" w:cs="Times New Roman"/>
        </w:rPr>
        <w:t xml:space="preserve">Future projections for Central Africa show a likely increase in the number of cities sized at 1.5 million (Chapter 4, section 4.4.4.1; Chapter 5; SPM sections B &amp; D). Seto </w:t>
      </w:r>
      <w:r w:rsidRPr="009B0448">
        <w:rPr>
          <w:rFonts w:ascii="Times New Roman" w:hAnsi="Times New Roman" w:cs="Times New Roman"/>
          <w:i/>
        </w:rPr>
        <w:t>et al.</w:t>
      </w:r>
      <w:r w:rsidRPr="009B0448">
        <w:rPr>
          <w:rFonts w:ascii="Times New Roman" w:hAnsi="Times New Roman" w:cs="Times New Roman"/>
        </w:rPr>
        <w:t xml:space="preserve"> (2012) indicate the northern shores of Lake Victoria in Kenya and Uganda) as one of five regions in Africa where rates of increases in urban land cover are predicted to be the highest on the continent–at 590% relative to 2000 levels (Seto </w:t>
      </w:r>
      <w:r w:rsidRPr="009B0448">
        <w:rPr>
          <w:rFonts w:ascii="Times New Roman" w:hAnsi="Times New Roman" w:cs="Times New Roman"/>
          <w:i/>
        </w:rPr>
        <w:t>et al</w:t>
      </w:r>
      <w:r w:rsidRPr="009B0448">
        <w:rPr>
          <w:rFonts w:ascii="Times New Roman" w:hAnsi="Times New Roman" w:cs="Times New Roman"/>
        </w:rPr>
        <w:t xml:space="preserve">., 2012). Such projected increases are likely to have significant implications for biodiversity in the Great Lakes region, with both terrestrial and aquatic impacts (particularly concerning in an area with such rich and diverse fish fauna, and one so central to food and livelihoods security). </w:t>
      </w:r>
    </w:p>
    <w:p w14:paraId="2D022EE4"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75" w:name="_Toc519499877"/>
      <w:r w:rsidRPr="009B0448">
        <w:rPr>
          <w:rFonts w:cs="Times New Roman"/>
          <w:b w:val="0"/>
          <w:sz w:val="22"/>
          <w:szCs w:val="22"/>
        </w:rPr>
        <w:t>Cultivated lands</w:t>
      </w:r>
      <w:bookmarkEnd w:id="175"/>
    </w:p>
    <w:p w14:paraId="47CDA41D" w14:textId="26C8515A"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As in other subregions of the continent, agrobiodiversity in the Central African region is of great significance, as it is the largest contributor to food production. Central Africa is home to a variety of crops, such as cereals, oilseeds, roots and tubers, pulses, fruit and vegetables and other cash crops; with oil seeds constituting the biggest fraction of crop production in the </w:t>
      </w:r>
      <w:r w:rsidR="00B22D81">
        <w:rPr>
          <w:rFonts w:ascii="Times New Roman" w:hAnsi="Times New Roman" w:cs="Times New Roman"/>
        </w:rPr>
        <w:t>subregion</w:t>
      </w:r>
      <w:r w:rsidRPr="009B0448">
        <w:rPr>
          <w:rFonts w:ascii="Times New Roman" w:hAnsi="Times New Roman" w:cs="Times New Roman"/>
        </w:rPr>
        <w:t xml:space="preserve"> (OECD-FAO, 2016). Poultry in Central Africa </w:t>
      </w:r>
      <w:r w:rsidR="00917FB2">
        <w:rPr>
          <w:rFonts w:ascii="Times New Roman" w:hAnsi="Times New Roman" w:cs="Times New Roman"/>
        </w:rPr>
        <w:t>contributes extensively to the s</w:t>
      </w:r>
      <w:r w:rsidRPr="009B0448">
        <w:rPr>
          <w:rFonts w:ascii="Times New Roman" w:hAnsi="Times New Roman" w:cs="Times New Roman"/>
        </w:rPr>
        <w:t xml:space="preserve">ub-Saharan livestock production value, with up to 45% contribution to the total value (OECD-FAO, 2016). In the </w:t>
      </w:r>
      <w:r w:rsidR="00B22D81">
        <w:rPr>
          <w:rFonts w:ascii="Times New Roman" w:hAnsi="Times New Roman" w:cs="Times New Roman"/>
        </w:rPr>
        <w:t>subregion</w:t>
      </w:r>
      <w:r w:rsidRPr="009B0448">
        <w:rPr>
          <w:rFonts w:ascii="Times New Roman" w:hAnsi="Times New Roman" w:cs="Times New Roman"/>
        </w:rPr>
        <w:t xml:space="preserve">, agroforestry systems are equally important, as they may be an effective means to ensure rural livelihoods while maintaining forest cover and biodiversity (Asaa </w:t>
      </w:r>
      <w:r w:rsidRPr="009B0448">
        <w:rPr>
          <w:rFonts w:ascii="Times New Roman" w:hAnsi="Times New Roman" w:cs="Times New Roman"/>
          <w:i/>
        </w:rPr>
        <w:t>et al.</w:t>
      </w:r>
      <w:r w:rsidRPr="009B0448">
        <w:rPr>
          <w:rFonts w:ascii="Times New Roman" w:hAnsi="Times New Roman" w:cs="Times New Roman"/>
        </w:rPr>
        <w:t xml:space="preserve">, 2011). A number of species in the </w:t>
      </w:r>
      <w:r w:rsidR="00B22D81">
        <w:rPr>
          <w:rFonts w:ascii="Times New Roman" w:hAnsi="Times New Roman" w:cs="Times New Roman"/>
        </w:rPr>
        <w:t>subregion</w:t>
      </w:r>
      <w:r w:rsidRPr="009B0448">
        <w:rPr>
          <w:rFonts w:ascii="Times New Roman" w:hAnsi="Times New Roman" w:cs="Times New Roman"/>
        </w:rPr>
        <w:t xml:space="preserve"> form part of agroforestry systems. Fruit trees include African bush mango (</w:t>
      </w:r>
      <w:r w:rsidRPr="009B0448">
        <w:rPr>
          <w:rFonts w:ascii="Times New Roman" w:hAnsi="Times New Roman" w:cs="Times New Roman"/>
          <w:i/>
        </w:rPr>
        <w:t>Irvingia gabonensis</w:t>
      </w:r>
      <w:r w:rsidRPr="009B0448">
        <w:rPr>
          <w:rFonts w:ascii="Times New Roman" w:hAnsi="Times New Roman" w:cs="Times New Roman"/>
        </w:rPr>
        <w:t>), Safou/butterfruit (</w:t>
      </w:r>
      <w:r w:rsidRPr="009B0448">
        <w:rPr>
          <w:rFonts w:ascii="Times New Roman" w:hAnsi="Times New Roman" w:cs="Times New Roman"/>
          <w:i/>
        </w:rPr>
        <w:t>Dacryodes edulis</w:t>
      </w:r>
      <w:r w:rsidRPr="009B0448">
        <w:rPr>
          <w:rFonts w:ascii="Times New Roman" w:hAnsi="Times New Roman" w:cs="Times New Roman"/>
        </w:rPr>
        <w:t>, Lower Risk/Near threatened), Kola nut, Bitter kola (</w:t>
      </w:r>
      <w:r w:rsidRPr="009B0448">
        <w:rPr>
          <w:rFonts w:ascii="Times New Roman" w:hAnsi="Times New Roman" w:cs="Times New Roman"/>
          <w:i/>
        </w:rPr>
        <w:t>Garcina kola</w:t>
      </w:r>
      <w:r w:rsidRPr="009B0448">
        <w:rPr>
          <w:rFonts w:ascii="Times New Roman" w:hAnsi="Times New Roman" w:cs="Times New Roman"/>
        </w:rPr>
        <w:t>), and Njangsa (</w:t>
      </w:r>
      <w:r w:rsidRPr="009B0448">
        <w:rPr>
          <w:rFonts w:ascii="Times New Roman" w:hAnsi="Times New Roman" w:cs="Times New Roman"/>
          <w:i/>
        </w:rPr>
        <w:t>Ricinodendron heudelotti</w:t>
      </w:r>
      <w:r w:rsidRPr="009B0448">
        <w:rPr>
          <w:rFonts w:ascii="Times New Roman" w:hAnsi="Times New Roman" w:cs="Times New Roman"/>
        </w:rPr>
        <w:t xml:space="preserve">) (Asaah </w:t>
      </w:r>
      <w:r w:rsidRPr="009B0448">
        <w:rPr>
          <w:rFonts w:ascii="Times New Roman" w:hAnsi="Times New Roman" w:cs="Times New Roman"/>
          <w:i/>
        </w:rPr>
        <w:t>et al.</w:t>
      </w:r>
      <w:r w:rsidRPr="009B0448">
        <w:rPr>
          <w:rFonts w:ascii="Times New Roman" w:hAnsi="Times New Roman" w:cs="Times New Roman"/>
        </w:rPr>
        <w:t xml:space="preserve">, 2011). </w:t>
      </w:r>
    </w:p>
    <w:p w14:paraId="371DCAB9" w14:textId="77777777" w:rsidR="009B0448" w:rsidRPr="009B0448" w:rsidRDefault="009B0448" w:rsidP="009B0448">
      <w:pPr>
        <w:spacing w:line="276" w:lineRule="auto"/>
        <w:jc w:val="both"/>
        <w:rPr>
          <w:rFonts w:ascii="Times New Roman" w:hAnsi="Times New Roman" w:cs="Times New Roman"/>
        </w:rPr>
      </w:pPr>
    </w:p>
    <w:p w14:paraId="0CF6DB0D" w14:textId="63804F96"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rPr>
        <w:t xml:space="preserve"> The overall extension of crop production area is projected to slow in the </w:t>
      </w:r>
      <w:r w:rsidR="00917FB2">
        <w:rPr>
          <w:rFonts w:ascii="Times New Roman" w:hAnsi="Times New Roman" w:cs="Times New Roman"/>
        </w:rPr>
        <w:t>s</w:t>
      </w:r>
      <w:r w:rsidRPr="009B0448">
        <w:rPr>
          <w:rFonts w:ascii="Times New Roman" w:hAnsi="Times New Roman" w:cs="Times New Roman"/>
        </w:rPr>
        <w:t>ub-Saharan Africa region, due to the increasing costs of converting arable land to production land (OECD-FAO, 2016). Additional crop area is mostly allocated to staple crops such as coarse grains. However, cultivated land in Central Africa is projected to expand, with the greatest increase being attributed to rice, roots and tubers crop production areas (OECD-FAO, 2016).</w:t>
      </w:r>
    </w:p>
    <w:p w14:paraId="753E2BE8"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76" w:name="_Toc503105158"/>
      <w:bookmarkStart w:id="177" w:name="_Toc519499878"/>
      <w:r w:rsidRPr="009B0448">
        <w:rPr>
          <w:rFonts w:cs="Times New Roman"/>
          <w:sz w:val="22"/>
          <w:szCs w:val="22"/>
        </w:rPr>
        <w:t>Aquatic (Freshwater, Marine and Coastal)</w:t>
      </w:r>
      <w:bookmarkEnd w:id="176"/>
      <w:bookmarkEnd w:id="177"/>
    </w:p>
    <w:p w14:paraId="6D27473C"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78" w:name="_Toc519499879"/>
      <w:r w:rsidRPr="009B0448">
        <w:rPr>
          <w:rFonts w:cs="Times New Roman"/>
          <w:b w:val="0"/>
          <w:sz w:val="22"/>
          <w:szCs w:val="22"/>
        </w:rPr>
        <w:t>Wetlands</w:t>
      </w:r>
      <w:bookmarkEnd w:id="178"/>
    </w:p>
    <w:p w14:paraId="16E4AEA1"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The wetlands in the Central Congo Basin, the Cuvette Centrale depression, forms one of the most extensive regions of swamp forest, extending at approximately 145,500 km</w:t>
      </w:r>
      <w:r w:rsidRPr="009B0448">
        <w:rPr>
          <w:rFonts w:ascii="Times New Roman" w:hAnsi="Times New Roman" w:cs="Times New Roman"/>
          <w:vertAlign w:val="superscript"/>
        </w:rPr>
        <w:t>2</w:t>
      </w:r>
      <w:r w:rsidRPr="009B0448">
        <w:rPr>
          <w:rFonts w:ascii="Times New Roman" w:hAnsi="Times New Roman" w:cs="Times New Roman"/>
        </w:rPr>
        <w:t xml:space="preserve"> (Dargie </w:t>
      </w:r>
      <w:r w:rsidRPr="009B0448">
        <w:rPr>
          <w:rFonts w:ascii="Times New Roman" w:hAnsi="Times New Roman" w:cs="Times New Roman"/>
          <w:i/>
        </w:rPr>
        <w:t>et al.</w:t>
      </w:r>
      <w:r w:rsidRPr="009B0448">
        <w:rPr>
          <w:rFonts w:ascii="Times New Roman" w:hAnsi="Times New Roman" w:cs="Times New Roman"/>
        </w:rPr>
        <w:t xml:space="preserve">, 2017). The Cuvette Centrale depression stores approximately 30.6 pentagrams of carbon below ground, similar to the above-ground carbon stocks of the tropical forests of the entire Congo Basin (Dargie </w:t>
      </w:r>
      <w:r w:rsidRPr="009B0448">
        <w:rPr>
          <w:rFonts w:ascii="Times New Roman" w:hAnsi="Times New Roman" w:cs="Times New Roman"/>
          <w:i/>
        </w:rPr>
        <w:t>et al.</w:t>
      </w:r>
      <w:r w:rsidRPr="009B0448">
        <w:rPr>
          <w:rFonts w:ascii="Times New Roman" w:hAnsi="Times New Roman" w:cs="Times New Roman"/>
        </w:rPr>
        <w:t>, 2017). Collectively, Central African countries host approximately 4,214 km</w:t>
      </w:r>
      <w:r w:rsidRPr="009B0448">
        <w:rPr>
          <w:rFonts w:ascii="Times New Roman" w:hAnsi="Times New Roman" w:cs="Times New Roman"/>
          <w:vertAlign w:val="superscript"/>
        </w:rPr>
        <w:t>2</w:t>
      </w:r>
      <w:r w:rsidRPr="009B0448">
        <w:rPr>
          <w:rFonts w:ascii="Times New Roman" w:hAnsi="Times New Roman" w:cs="Times New Roman"/>
        </w:rPr>
        <w:t xml:space="preserve"> of mangroves, with only a few being protected. Fish, wood, charcoal for domestic cooking and fish smoking and poles for housing are key uses of mangroves, among others. The delta of the Ogooué River in Gabon is Africa’s second largest delta after the Niger, covering over 5,000 km</w:t>
      </w:r>
      <w:r w:rsidRPr="009B0448">
        <w:rPr>
          <w:rFonts w:ascii="Times New Roman" w:hAnsi="Times New Roman" w:cs="Times New Roman"/>
          <w:vertAlign w:val="superscript"/>
        </w:rPr>
        <w:t>2</w:t>
      </w:r>
      <w:r w:rsidRPr="009B0448">
        <w:rPr>
          <w:rFonts w:ascii="Times New Roman" w:hAnsi="Times New Roman" w:cs="Times New Roman"/>
        </w:rPr>
        <w:t xml:space="preserve"> of flooded forests, swamps, lagoons, lakes and mangroves. The delta of the Ogooué River in Gabon is among the world’s most important site for nesting marine turtles, particularly leatherbacks (Mayaux </w:t>
      </w:r>
      <w:r w:rsidRPr="009B0448">
        <w:rPr>
          <w:rFonts w:ascii="Times New Roman" w:hAnsi="Times New Roman" w:cs="Times New Roman"/>
          <w:i/>
        </w:rPr>
        <w:t>et al.</w:t>
      </w:r>
      <w:r w:rsidRPr="009B0448">
        <w:rPr>
          <w:rFonts w:ascii="Times New Roman" w:hAnsi="Times New Roman" w:cs="Times New Roman"/>
        </w:rPr>
        <w:t xml:space="preserve">, 2013). Despite the economic and ecological importance of wetlands, however, there are many uncertainties as to their extent, distribution, ecological and physical functions (Junk </w:t>
      </w:r>
      <w:r w:rsidRPr="009B0448">
        <w:rPr>
          <w:rFonts w:ascii="Times New Roman" w:hAnsi="Times New Roman" w:cs="Times New Roman"/>
          <w:i/>
        </w:rPr>
        <w:t>et al.</w:t>
      </w:r>
      <w:r w:rsidRPr="009B0448">
        <w:rPr>
          <w:rFonts w:ascii="Times New Roman" w:hAnsi="Times New Roman" w:cs="Times New Roman"/>
        </w:rPr>
        <w:t>, 2005). Political instability in most of the humid tropical countries during the last five decades, poor infrastructure, and as well as difficult access may account in part for the scientific inattention (Campbell, 2005).</w:t>
      </w:r>
    </w:p>
    <w:p w14:paraId="5E0C0445" w14:textId="77777777" w:rsidR="009B0448" w:rsidRPr="009B0448" w:rsidRDefault="009B0448" w:rsidP="009B0448">
      <w:pPr>
        <w:spacing w:line="276" w:lineRule="auto"/>
        <w:jc w:val="both"/>
        <w:rPr>
          <w:rFonts w:ascii="Times New Roman" w:hAnsi="Times New Roman" w:cs="Times New Roman"/>
        </w:rPr>
      </w:pPr>
    </w:p>
    <w:p w14:paraId="0E0CA43C" w14:textId="66E706B0"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lastRenderedPageBreak/>
        <w:t>Future dynamics:</w:t>
      </w:r>
      <w:r w:rsidRPr="009B0448">
        <w:rPr>
          <w:rFonts w:ascii="Times New Roman" w:hAnsi="Times New Roman" w:cs="Times New Roman"/>
        </w:rPr>
        <w:t xml:space="preserve"> </w:t>
      </w:r>
      <w:r w:rsidRPr="009B0448">
        <w:rPr>
          <w:rFonts w:ascii="Times New Roman" w:hAnsi="Times New Roman" w:cs="Times New Roman"/>
          <w:color w:val="000000" w:themeColor="text1"/>
        </w:rPr>
        <w:t xml:space="preserve">Climate change is projected to impact mangrove and wetland ecosystems significantly, with changes in temperatures, as well as coastal sea level rise and saline intrusion dynamics (Niang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2014; Chapter 4, section 4.2.2.2; SPM sections B &amp; D). For example, Niang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(2014) show robust evidence for projected dieback of the seaward edges of mangroves in the Cameroon, with sea level rise as the potential driver. As always, climate change occurs in tandem with changes in other stressors, includ</w:t>
      </w:r>
      <w:r w:rsidR="00C87E0F">
        <w:rPr>
          <w:rFonts w:ascii="Times New Roman" w:hAnsi="Times New Roman" w:cs="Times New Roman"/>
          <w:color w:val="000000" w:themeColor="text1"/>
        </w:rPr>
        <w:t xml:space="preserve">ing human settlement dynamics, </w:t>
      </w:r>
      <w:r w:rsidRPr="009B0448">
        <w:rPr>
          <w:rFonts w:ascii="Times New Roman" w:hAnsi="Times New Roman" w:cs="Times New Roman"/>
          <w:color w:val="000000" w:themeColor="text1"/>
        </w:rPr>
        <w:t xml:space="preserve">and increases in extractive industries (Mallon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2015; Chapter 4). </w:t>
      </w:r>
    </w:p>
    <w:p w14:paraId="16054B1F"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79" w:name="_Toc519499880"/>
      <w:r w:rsidRPr="009B0448">
        <w:rPr>
          <w:rFonts w:cs="Times New Roman"/>
          <w:b w:val="0"/>
          <w:sz w:val="22"/>
          <w:szCs w:val="22"/>
        </w:rPr>
        <w:t>Inland surface waters and water bodies/freshwater</w:t>
      </w:r>
      <w:bookmarkEnd w:id="179"/>
    </w:p>
    <w:p w14:paraId="641F960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The major waterways in Central Africa range from the Niger-Benue, Chad and Upper Nile drainage systems, to the mouth of the Congo and other rivers from Equatorial Guinea and DRC (Darwall </w:t>
      </w:r>
      <w:r w:rsidRPr="009B0448">
        <w:rPr>
          <w:rFonts w:ascii="Times New Roman" w:hAnsi="Times New Roman" w:cs="Times New Roman"/>
          <w:i/>
        </w:rPr>
        <w:t>et al.</w:t>
      </w:r>
      <w:r w:rsidRPr="009B0448">
        <w:rPr>
          <w:rFonts w:ascii="Times New Roman" w:hAnsi="Times New Roman" w:cs="Times New Roman"/>
        </w:rPr>
        <w:t xml:space="preserve">, 2009). The Congo Basin and its territories carry about 30% of Africa’s surface flow due to high rainfall and less evaporation (Thieme </w:t>
      </w:r>
      <w:r w:rsidRPr="009B0448">
        <w:rPr>
          <w:rFonts w:ascii="Times New Roman" w:hAnsi="Times New Roman" w:cs="Times New Roman"/>
          <w:i/>
        </w:rPr>
        <w:t>et al.</w:t>
      </w:r>
      <w:r w:rsidRPr="009B0448">
        <w:rPr>
          <w:rFonts w:ascii="Times New Roman" w:hAnsi="Times New Roman" w:cs="Times New Roman"/>
        </w:rPr>
        <w:t xml:space="preserve">, 2010). Some of the well-known rivers of Central Africa are the Goose, Sanaga, Mungo and Wuori rivers (Staissny </w:t>
      </w:r>
      <w:r w:rsidRPr="009B0448">
        <w:rPr>
          <w:rFonts w:ascii="Times New Roman" w:hAnsi="Times New Roman" w:cs="Times New Roman"/>
          <w:i/>
        </w:rPr>
        <w:t>et al.</w:t>
      </w:r>
      <w:r w:rsidRPr="009B0448">
        <w:rPr>
          <w:rFonts w:ascii="Times New Roman" w:hAnsi="Times New Roman" w:cs="Times New Roman"/>
        </w:rPr>
        <w:t>, 2007). Besides the extensive networks or rivers. Central Africa has several lake systems e.g., Lake Nyos, Lake Tele, Lakes Tsumba and Mai Ndombé in DRC.</w:t>
      </w:r>
    </w:p>
    <w:p w14:paraId="2ACAE24F" w14:textId="77777777" w:rsidR="009B0448" w:rsidRPr="009B0448" w:rsidRDefault="009B0448" w:rsidP="009B0448">
      <w:pPr>
        <w:spacing w:line="276" w:lineRule="auto"/>
        <w:jc w:val="both"/>
        <w:rPr>
          <w:rFonts w:ascii="Times New Roman" w:hAnsi="Times New Roman" w:cs="Times New Roman"/>
        </w:rPr>
      </w:pPr>
    </w:p>
    <w:p w14:paraId="4458B5C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Inland waters in Central Africa support the highest freshwater biodiversity on the continent, with approximately 1,000 fish species, 400 aquatic mammalian species, 1,000 waterbirds and over 10,000 aquatic vascular plants (CARPE, 2001; AfDB, 2006). There are at least 73 Important Bird Areas in Central Africa region (CARPE, 2001). The geographic extent, dense hydrographic network, and diversity of river types and available habitats, are among the several existing several factors that contribute to the high richness of freshwater species in the Lower Guinea, and more noticeably, Congo provinces. A significant proportion of freshwater biodiversity is threatened due to loss of riparian habitats through deforestation, and the reduction of water quality through pollution (e.g., from mining activities, human settlement, and runoff of agricultural fertilisers), as well as increased sediment loads (caused by erosion of deforested and farmed land) (Brummett </w:t>
      </w:r>
      <w:r w:rsidRPr="009B0448">
        <w:rPr>
          <w:rFonts w:ascii="Times New Roman" w:hAnsi="Times New Roman" w:cs="Times New Roman"/>
          <w:i/>
        </w:rPr>
        <w:t>et al.</w:t>
      </w:r>
      <w:r w:rsidRPr="009B0448">
        <w:rPr>
          <w:rFonts w:ascii="Times New Roman" w:hAnsi="Times New Roman" w:cs="Times New Roman"/>
        </w:rPr>
        <w:t xml:space="preserve">, 2009). </w:t>
      </w:r>
    </w:p>
    <w:p w14:paraId="1A42A5A1" w14:textId="77777777" w:rsidR="009B0448" w:rsidRPr="009B0448" w:rsidRDefault="009B0448" w:rsidP="009B0448">
      <w:pPr>
        <w:spacing w:line="276" w:lineRule="auto"/>
        <w:jc w:val="both"/>
        <w:rPr>
          <w:rFonts w:ascii="Times New Roman" w:hAnsi="Times New Roman" w:cs="Times New Roman"/>
        </w:rPr>
      </w:pPr>
    </w:p>
    <w:p w14:paraId="09D8E184" w14:textId="751F32D8" w:rsidR="009B0448" w:rsidRPr="009B0448" w:rsidRDefault="009B0448" w:rsidP="009B0448">
      <w:pPr>
        <w:spacing w:line="276" w:lineRule="auto"/>
        <w:jc w:val="both"/>
        <w:rPr>
          <w:rFonts w:ascii="Times New Roman" w:hAnsi="Times New Roman" w:cs="Times New Roman"/>
          <w:color w:val="000000" w:themeColor="text1"/>
        </w:rPr>
      </w:pPr>
      <w:r w:rsidRPr="009B0448">
        <w:rPr>
          <w:rFonts w:ascii="Times New Roman" w:hAnsi="Times New Roman" w:cs="Times New Roman"/>
          <w:u w:val="single"/>
        </w:rPr>
        <w:t>Future dynamics:</w:t>
      </w:r>
      <w:r w:rsidRPr="009B0448">
        <w:rPr>
          <w:rFonts w:ascii="Times New Roman" w:hAnsi="Times New Roman" w:cs="Times New Roman"/>
          <w:b/>
        </w:rPr>
        <w:t xml:space="preserve"> </w:t>
      </w:r>
      <w:r w:rsidRPr="009B0448">
        <w:rPr>
          <w:rFonts w:ascii="Times New Roman" w:hAnsi="Times New Roman" w:cs="Times New Roman"/>
          <w:color w:val="000000" w:themeColor="text1"/>
        </w:rPr>
        <w:t>Projected increases in human se</w:t>
      </w:r>
      <w:r w:rsidR="00C813C5">
        <w:rPr>
          <w:rFonts w:ascii="Times New Roman" w:hAnsi="Times New Roman" w:cs="Times New Roman"/>
          <w:color w:val="000000" w:themeColor="text1"/>
        </w:rPr>
        <w:t>ttlement (see section on urbanis</w:t>
      </w:r>
      <w:r w:rsidRPr="009B0448">
        <w:rPr>
          <w:rFonts w:ascii="Times New Roman" w:hAnsi="Times New Roman" w:cs="Times New Roman"/>
          <w:color w:val="000000" w:themeColor="text1"/>
        </w:rPr>
        <w:t>ation above) and extractive industries (Chapters 4 &amp; 5; SPM sections B &amp; D) are likely to continue the trend of negative impacts on freshwater biodiversity. A particularly critical area in this rega</w:t>
      </w:r>
      <w:r w:rsidR="00C813C5">
        <w:rPr>
          <w:rFonts w:ascii="Times New Roman" w:hAnsi="Times New Roman" w:cs="Times New Roman"/>
          <w:color w:val="000000" w:themeColor="text1"/>
        </w:rPr>
        <w:t>rd, given projections of urbanis</w:t>
      </w:r>
      <w:r w:rsidRPr="009B0448">
        <w:rPr>
          <w:rFonts w:ascii="Times New Roman" w:hAnsi="Times New Roman" w:cs="Times New Roman"/>
          <w:color w:val="000000" w:themeColor="text1"/>
        </w:rPr>
        <w:t>ation and settlement growth, are the north shores of Lake Victoria (see s</w:t>
      </w:r>
      <w:r w:rsidR="00C813C5">
        <w:rPr>
          <w:rFonts w:ascii="Times New Roman" w:hAnsi="Times New Roman" w:cs="Times New Roman"/>
          <w:color w:val="000000" w:themeColor="text1"/>
        </w:rPr>
        <w:t>ection on projections of urbanis</w:t>
      </w:r>
      <w:r w:rsidRPr="009B0448">
        <w:rPr>
          <w:rFonts w:ascii="Times New Roman" w:hAnsi="Times New Roman" w:cs="Times New Roman"/>
          <w:color w:val="000000" w:themeColor="text1"/>
        </w:rPr>
        <w:t xml:space="preserve">ation). Complicating such future changes are the likely impacts of climate change on freshwater biodiversity in this region. Niang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(2014) cite significant projected impacts of climate change on freshwater ecosystems, with existing impacts already evident and likely to increase in severity in Lake Victoria and Lake Kivu (Niang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2014; Chapter 3, section 3.5.2.4), largely driven by increased water temperatures (a robust finding, since agreement amongst models regarding increased average, minimum and maximum temperatures is high – see, for example, Conway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(2015) for Tanzania). Changes in thermal stratification in these lakes is also likely to continue under increased temperatures, with significant impacts on freshwater ecosystems, and likely impacts on fisheries in these lakes (complicated by continuing drivers of overfishing in certain areas, invasive species and pollution) (Niang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2014). </w:t>
      </w:r>
    </w:p>
    <w:p w14:paraId="60503821"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80" w:name="_Toc519499881"/>
      <w:r w:rsidRPr="009B0448">
        <w:rPr>
          <w:rFonts w:cs="Times New Roman"/>
          <w:b w:val="0"/>
          <w:sz w:val="22"/>
          <w:szCs w:val="22"/>
        </w:rPr>
        <w:t>Shelf ecosystem</w:t>
      </w:r>
      <w:bookmarkEnd w:id="180"/>
    </w:p>
    <w:p w14:paraId="00862627" w14:textId="25234A6C"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i/>
        </w:rPr>
        <w:t>:</w:t>
      </w:r>
      <w:r w:rsidRPr="009B0448">
        <w:rPr>
          <w:rFonts w:ascii="Times New Roman" w:hAnsi="Times New Roman" w:cs="Times New Roman"/>
        </w:rPr>
        <w:t xml:space="preserve"> Collectively, these countries host approximately 4,214 km</w:t>
      </w:r>
      <w:r w:rsidRPr="009B0448">
        <w:rPr>
          <w:rFonts w:ascii="Times New Roman" w:hAnsi="Times New Roman" w:cs="Times New Roman"/>
          <w:vertAlign w:val="superscript"/>
        </w:rPr>
        <w:t>2</w:t>
      </w:r>
      <w:r w:rsidRPr="009B0448">
        <w:rPr>
          <w:rFonts w:ascii="Times New Roman" w:hAnsi="Times New Roman" w:cs="Times New Roman"/>
        </w:rPr>
        <w:t xml:space="preserve"> of mangroves, with a few only being protected. The most important remaining blocks of habitat are found in the Niger River Delta in Nigeria, to the east of the mouth of the Cross River in Nigeria and Cameroon, around Doula in </w:t>
      </w:r>
      <w:r w:rsidRPr="009B0448">
        <w:rPr>
          <w:rFonts w:ascii="Times New Roman" w:hAnsi="Times New Roman" w:cs="Times New Roman"/>
        </w:rPr>
        <w:lastRenderedPageBreak/>
        <w:t xml:space="preserve">Cameroon, and the Muni Estuary and Como River in Gabon. Smaller fragments of shelf ecosystems are also found in Ghana, Conkouati lagoons of Congo, and in Angola. Five species of mangroves in three families are found in this region, including </w:t>
      </w:r>
      <w:r w:rsidRPr="009B0448">
        <w:rPr>
          <w:rFonts w:ascii="Times New Roman" w:hAnsi="Times New Roman" w:cs="Times New Roman"/>
          <w:i/>
        </w:rPr>
        <w:t>Rhizophora racemose</w:t>
      </w:r>
      <w:r w:rsidRPr="009B0448">
        <w:rPr>
          <w:rFonts w:ascii="Times New Roman" w:hAnsi="Times New Roman" w:cs="Times New Roman"/>
        </w:rPr>
        <w:t xml:space="preserve"> (Least Concern)</w:t>
      </w:r>
      <w:r w:rsidRPr="009B0448">
        <w:rPr>
          <w:rFonts w:ascii="Times New Roman" w:hAnsi="Times New Roman" w:cs="Times New Roman"/>
          <w:i/>
        </w:rPr>
        <w:t xml:space="preserve">, R. mangle, and R. harrisonii, Avicennia germinans </w:t>
      </w:r>
      <w:r w:rsidRPr="009B0448">
        <w:rPr>
          <w:rFonts w:ascii="Times New Roman" w:hAnsi="Times New Roman" w:cs="Times New Roman"/>
        </w:rPr>
        <w:t xml:space="preserve">and </w:t>
      </w:r>
      <w:r w:rsidRPr="009B0448">
        <w:rPr>
          <w:rFonts w:ascii="Times New Roman" w:hAnsi="Times New Roman" w:cs="Times New Roman"/>
          <w:i/>
        </w:rPr>
        <w:t>Laguncularia racemosa</w:t>
      </w:r>
      <w:r w:rsidRPr="009B0448">
        <w:rPr>
          <w:rFonts w:ascii="Times New Roman" w:hAnsi="Times New Roman" w:cs="Times New Roman"/>
        </w:rPr>
        <w:t xml:space="preserve"> (Least Concern), as well as an introduced species, </w:t>
      </w:r>
      <w:r w:rsidRPr="009B0448">
        <w:rPr>
          <w:rFonts w:ascii="Times New Roman" w:hAnsi="Times New Roman" w:cs="Times New Roman"/>
          <w:i/>
        </w:rPr>
        <w:t>Nypa fruticans (</w:t>
      </w:r>
      <w:r w:rsidRPr="009B0448">
        <w:rPr>
          <w:rFonts w:ascii="Times New Roman" w:hAnsi="Times New Roman" w:cs="Times New Roman"/>
        </w:rPr>
        <w:t xml:space="preserve">Least Concern) (Table 3.9). </w:t>
      </w:r>
    </w:p>
    <w:p w14:paraId="357269AE" w14:textId="77777777" w:rsidR="009B0448" w:rsidRPr="009B0448" w:rsidRDefault="009B0448" w:rsidP="009B0448">
      <w:pPr>
        <w:spacing w:line="276" w:lineRule="auto"/>
        <w:jc w:val="both"/>
        <w:rPr>
          <w:rFonts w:ascii="Times New Roman" w:hAnsi="Times New Roman" w:cs="Times New Roman"/>
        </w:rPr>
      </w:pPr>
    </w:p>
    <w:p w14:paraId="014D04F1"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Table 3.9:</w:t>
      </w:r>
      <w:r w:rsidRPr="009B0448">
        <w:rPr>
          <w:rFonts w:ascii="Times New Roman" w:hAnsi="Times New Roman" w:cs="Times New Roman"/>
        </w:rPr>
        <w:t xml:space="preserve"> African biogeographical regions: Atlantic mangrove (or western group (and Pacific or Eastern group). Source: Saenger </w:t>
      </w:r>
      <w:r w:rsidRPr="009B0448">
        <w:rPr>
          <w:rFonts w:ascii="Times New Roman" w:hAnsi="Times New Roman" w:cs="Times New Roman"/>
          <w:i/>
        </w:rPr>
        <w:t>et al.</w:t>
      </w:r>
      <w:r w:rsidRPr="009B0448">
        <w:rPr>
          <w:rFonts w:ascii="Times New Roman" w:hAnsi="Times New Roman" w:cs="Times New Roman"/>
        </w:rPr>
        <w:t xml:space="preserve"> (1995); Cormier-Salem (1999); Ndour </w:t>
      </w:r>
      <w:r w:rsidRPr="009B0448">
        <w:rPr>
          <w:rFonts w:ascii="Times New Roman" w:hAnsi="Times New Roman" w:cs="Times New Roman"/>
          <w:i/>
        </w:rPr>
        <w:t>et al.</w:t>
      </w:r>
      <w:r w:rsidRPr="009B0448">
        <w:rPr>
          <w:rFonts w:ascii="Times New Roman" w:hAnsi="Times New Roman" w:cs="Times New Roman"/>
        </w:rPr>
        <w:t xml:space="preserve"> (2001); Giri </w:t>
      </w:r>
      <w:r w:rsidRPr="009B0448">
        <w:rPr>
          <w:rFonts w:ascii="Times New Roman" w:hAnsi="Times New Roman" w:cs="Times New Roman"/>
          <w:i/>
        </w:rPr>
        <w:t>et al.</w:t>
      </w:r>
      <w:r w:rsidRPr="009B0448">
        <w:rPr>
          <w:rFonts w:ascii="Times New Roman" w:hAnsi="Times New Roman" w:cs="Times New Roman"/>
        </w:rPr>
        <w:t xml:space="preserve"> (2008); Spalding </w:t>
      </w:r>
      <w:r w:rsidRPr="009B0448">
        <w:rPr>
          <w:rFonts w:ascii="Times New Roman" w:hAnsi="Times New Roman" w:cs="Times New Roman"/>
          <w:i/>
        </w:rPr>
        <w:t>et al.</w:t>
      </w:r>
      <w:r w:rsidRPr="009B0448">
        <w:rPr>
          <w:rFonts w:ascii="Times New Roman" w:hAnsi="Times New Roman" w:cs="Times New Roman"/>
        </w:rPr>
        <w:t xml:space="preserve"> (2010); Hoppe-Speer </w:t>
      </w:r>
      <w:r w:rsidRPr="009B0448">
        <w:rPr>
          <w:rFonts w:ascii="Times New Roman" w:hAnsi="Times New Roman" w:cs="Times New Roman"/>
          <w:i/>
        </w:rPr>
        <w:t>et al.</w:t>
      </w:r>
      <w:r w:rsidRPr="009B0448">
        <w:rPr>
          <w:rFonts w:ascii="Times New Roman" w:hAnsi="Times New Roman" w:cs="Times New Roman"/>
        </w:rPr>
        <w:t xml:space="preserve"> (2015).</w:t>
      </w:r>
    </w:p>
    <w:tbl>
      <w:tblPr>
        <w:tblStyle w:val="TableGrid"/>
        <w:tblW w:w="5000" w:type="pct"/>
        <w:tblLayout w:type="fixed"/>
        <w:tblLook w:val="04A0" w:firstRow="1" w:lastRow="0" w:firstColumn="1" w:lastColumn="0" w:noHBand="0" w:noVBand="1"/>
      </w:tblPr>
      <w:tblGrid>
        <w:gridCol w:w="1024"/>
        <w:gridCol w:w="1896"/>
        <w:gridCol w:w="1899"/>
        <w:gridCol w:w="1986"/>
        <w:gridCol w:w="2211"/>
      </w:tblGrid>
      <w:tr w:rsidR="009B0448" w:rsidRPr="009B0448" w14:paraId="250520E8"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02C3507F" w14:textId="77777777" w:rsidR="009B0448" w:rsidRPr="009B0448" w:rsidRDefault="009B0448">
            <w:pPr>
              <w:spacing w:line="276" w:lineRule="auto"/>
              <w:jc w:val="both"/>
              <w:rPr>
                <w:rFonts w:ascii="Times New Roman" w:hAnsi="Times New Roman" w:cs="Times New Roman"/>
              </w:rPr>
            </w:pPr>
          </w:p>
        </w:tc>
        <w:tc>
          <w:tcPr>
            <w:tcW w:w="3667" w:type="dxa"/>
            <w:gridSpan w:val="2"/>
            <w:tcBorders>
              <w:top w:val="single" w:sz="4" w:space="0" w:color="auto"/>
              <w:left w:val="single" w:sz="4" w:space="0" w:color="auto"/>
              <w:bottom w:val="single" w:sz="4" w:space="0" w:color="auto"/>
              <w:right w:val="single" w:sz="4" w:space="0" w:color="auto"/>
            </w:tcBorders>
            <w:hideMark/>
          </w:tcPr>
          <w:p w14:paraId="19F3BB6F"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Western group</w:t>
            </w:r>
          </w:p>
        </w:tc>
        <w:tc>
          <w:tcPr>
            <w:tcW w:w="4055" w:type="dxa"/>
            <w:gridSpan w:val="2"/>
            <w:tcBorders>
              <w:top w:val="single" w:sz="4" w:space="0" w:color="auto"/>
              <w:left w:val="single" w:sz="4" w:space="0" w:color="auto"/>
              <w:bottom w:val="single" w:sz="4" w:space="0" w:color="auto"/>
              <w:right w:val="single" w:sz="4" w:space="0" w:color="auto"/>
            </w:tcBorders>
            <w:hideMark/>
          </w:tcPr>
          <w:p w14:paraId="366A3F24"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Eastern group</w:t>
            </w:r>
          </w:p>
        </w:tc>
      </w:tr>
      <w:tr w:rsidR="009B0448" w:rsidRPr="009B0448" w14:paraId="47B6EADD" w14:textId="77777777" w:rsidTr="009B0448">
        <w:trPr>
          <w:trHeight w:val="1380"/>
        </w:trPr>
        <w:tc>
          <w:tcPr>
            <w:tcW w:w="988" w:type="dxa"/>
            <w:tcBorders>
              <w:top w:val="single" w:sz="4" w:space="0" w:color="auto"/>
              <w:left w:val="single" w:sz="4" w:space="0" w:color="auto"/>
              <w:bottom w:val="single" w:sz="4" w:space="0" w:color="auto"/>
              <w:right w:val="single" w:sz="4" w:space="0" w:color="auto"/>
            </w:tcBorders>
            <w:hideMark/>
          </w:tcPr>
          <w:p w14:paraId="50CC37C0"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Coastal areas</w:t>
            </w:r>
          </w:p>
        </w:tc>
        <w:tc>
          <w:tcPr>
            <w:tcW w:w="3667" w:type="dxa"/>
            <w:gridSpan w:val="2"/>
            <w:tcBorders>
              <w:top w:val="single" w:sz="4" w:space="0" w:color="auto"/>
              <w:left w:val="single" w:sz="4" w:space="0" w:color="auto"/>
              <w:bottom w:val="single" w:sz="4" w:space="0" w:color="auto"/>
              <w:right w:val="single" w:sz="4" w:space="0" w:color="auto"/>
            </w:tcBorders>
            <w:hideMark/>
          </w:tcPr>
          <w:p w14:paraId="4583A7ED"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Tropical Atlantic</w:t>
            </w:r>
          </w:p>
          <w:p w14:paraId="66CE0D81" w14:textId="77777777" w:rsidR="009B0448" w:rsidRPr="009B0448" w:rsidRDefault="009B0448">
            <w:pPr>
              <w:spacing w:line="276" w:lineRule="auto"/>
              <w:ind w:left="5" w:hanging="5"/>
              <w:jc w:val="both"/>
              <w:rPr>
                <w:rFonts w:ascii="Times New Roman" w:hAnsi="Times New Roman" w:cs="Times New Roman"/>
              </w:rPr>
            </w:pPr>
            <w:r w:rsidRPr="009B0448">
              <w:rPr>
                <w:rFonts w:ascii="Times New Roman" w:hAnsi="Times New Roman" w:cs="Times New Roman"/>
              </w:rPr>
              <w:t>East of Atlantic Ocean :</w:t>
            </w:r>
          </w:p>
          <w:p w14:paraId="09E908F9" w14:textId="77777777" w:rsidR="009B0448" w:rsidRPr="009B0448" w:rsidRDefault="009B0448" w:rsidP="00FA7185">
            <w:pPr>
              <w:widowControl w:val="0"/>
              <w:numPr>
                <w:ilvl w:val="0"/>
                <w:numId w:val="19"/>
              </w:numPr>
              <w:spacing w:line="276" w:lineRule="auto"/>
              <w:ind w:hanging="360"/>
              <w:contextualSpacing/>
              <w:jc w:val="both"/>
              <w:rPr>
                <w:rFonts w:ascii="Times New Roman" w:hAnsi="Times New Roman" w:cs="Times New Roman"/>
              </w:rPr>
            </w:pPr>
            <w:r w:rsidRPr="009B0448">
              <w:rPr>
                <w:rFonts w:ascii="Times New Roman" w:hAnsi="Times New Roman" w:cs="Times New Roman"/>
              </w:rPr>
              <w:t xml:space="preserve">West Africa; </w:t>
            </w:r>
          </w:p>
          <w:p w14:paraId="4C09FCA4" w14:textId="77777777" w:rsidR="009B0448" w:rsidRPr="009B0448" w:rsidRDefault="009B0448" w:rsidP="00FA7185">
            <w:pPr>
              <w:widowControl w:val="0"/>
              <w:numPr>
                <w:ilvl w:val="0"/>
                <w:numId w:val="19"/>
              </w:numPr>
              <w:spacing w:line="276" w:lineRule="auto"/>
              <w:ind w:hanging="360"/>
              <w:contextualSpacing/>
              <w:jc w:val="both"/>
              <w:rPr>
                <w:rFonts w:ascii="Times New Roman" w:hAnsi="Times New Roman" w:cs="Times New Roman"/>
              </w:rPr>
            </w:pPr>
            <w:r w:rsidRPr="009B0448">
              <w:rPr>
                <w:rFonts w:ascii="Times New Roman" w:hAnsi="Times New Roman" w:cs="Times New Roman"/>
              </w:rPr>
              <w:t>Central Africa</w:t>
            </w:r>
          </w:p>
          <w:p w14:paraId="362E04A8" w14:textId="77777777" w:rsidR="009B0448" w:rsidRPr="009B0448" w:rsidRDefault="009B0448" w:rsidP="00FA7185">
            <w:pPr>
              <w:widowControl w:val="0"/>
              <w:numPr>
                <w:ilvl w:val="0"/>
                <w:numId w:val="19"/>
              </w:numPr>
              <w:spacing w:line="276" w:lineRule="auto"/>
              <w:ind w:hanging="360"/>
              <w:contextualSpacing/>
              <w:jc w:val="both"/>
              <w:rPr>
                <w:rFonts w:ascii="Times New Roman" w:hAnsi="Times New Roman" w:cs="Times New Roman"/>
              </w:rPr>
            </w:pPr>
            <w:r w:rsidRPr="009B0448">
              <w:rPr>
                <w:rFonts w:ascii="Times New Roman" w:hAnsi="Times New Roman" w:cs="Times New Roman"/>
              </w:rPr>
              <w:t xml:space="preserve">Northern Africa (Mauritania) </w:t>
            </w:r>
          </w:p>
        </w:tc>
        <w:tc>
          <w:tcPr>
            <w:tcW w:w="4055" w:type="dxa"/>
            <w:gridSpan w:val="2"/>
            <w:tcBorders>
              <w:top w:val="single" w:sz="4" w:space="0" w:color="auto"/>
              <w:left w:val="single" w:sz="4" w:space="0" w:color="auto"/>
              <w:bottom w:val="single" w:sz="4" w:space="0" w:color="auto"/>
              <w:right w:val="single" w:sz="4" w:space="0" w:color="auto"/>
            </w:tcBorders>
            <w:hideMark/>
          </w:tcPr>
          <w:p w14:paraId="1E757C25"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Pacific</w:t>
            </w:r>
          </w:p>
          <w:p w14:paraId="1C286C7D"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West of Pacific Ocean/ Indian Ocean :</w:t>
            </w:r>
          </w:p>
          <w:p w14:paraId="55D6B11B" w14:textId="77777777" w:rsidR="009B0448" w:rsidRPr="009B0448" w:rsidRDefault="009B0448" w:rsidP="00FA7185">
            <w:pPr>
              <w:widowControl w:val="0"/>
              <w:numPr>
                <w:ilvl w:val="0"/>
                <w:numId w:val="19"/>
              </w:numPr>
              <w:spacing w:line="276" w:lineRule="auto"/>
              <w:ind w:hanging="360"/>
              <w:contextualSpacing/>
              <w:jc w:val="both"/>
              <w:rPr>
                <w:rFonts w:ascii="Times New Roman" w:hAnsi="Times New Roman" w:cs="Times New Roman"/>
              </w:rPr>
            </w:pPr>
            <w:r w:rsidRPr="009B0448">
              <w:rPr>
                <w:rFonts w:ascii="Times New Roman" w:hAnsi="Times New Roman" w:cs="Times New Roman"/>
              </w:rPr>
              <w:t xml:space="preserve">Eastern Africa and islands; </w:t>
            </w:r>
          </w:p>
          <w:p w14:paraId="28552D68" w14:textId="77777777" w:rsidR="009B0448" w:rsidRPr="009B0448" w:rsidRDefault="009B0448" w:rsidP="00FA7185">
            <w:pPr>
              <w:widowControl w:val="0"/>
              <w:numPr>
                <w:ilvl w:val="0"/>
                <w:numId w:val="19"/>
              </w:numPr>
              <w:spacing w:line="276" w:lineRule="auto"/>
              <w:ind w:hanging="360"/>
              <w:contextualSpacing/>
              <w:jc w:val="both"/>
              <w:rPr>
                <w:rFonts w:ascii="Times New Roman" w:hAnsi="Times New Roman" w:cs="Times New Roman"/>
              </w:rPr>
            </w:pPr>
            <w:r w:rsidRPr="009B0448">
              <w:rPr>
                <w:rFonts w:ascii="Times New Roman" w:hAnsi="Times New Roman" w:cs="Times New Roman"/>
              </w:rPr>
              <w:t>Southern Africa</w:t>
            </w:r>
          </w:p>
          <w:p w14:paraId="66BBA507" w14:textId="77777777" w:rsidR="009B0448" w:rsidRPr="009B0448" w:rsidRDefault="009B0448" w:rsidP="00FA7185">
            <w:pPr>
              <w:widowControl w:val="0"/>
              <w:numPr>
                <w:ilvl w:val="0"/>
                <w:numId w:val="19"/>
              </w:numPr>
              <w:spacing w:line="276" w:lineRule="auto"/>
              <w:ind w:hanging="360"/>
              <w:contextualSpacing/>
              <w:jc w:val="both"/>
              <w:rPr>
                <w:rFonts w:ascii="Times New Roman" w:hAnsi="Times New Roman" w:cs="Times New Roman"/>
              </w:rPr>
            </w:pPr>
            <w:r w:rsidRPr="009B0448">
              <w:rPr>
                <w:rFonts w:ascii="Times New Roman" w:hAnsi="Times New Roman" w:cs="Times New Roman"/>
              </w:rPr>
              <w:t>Northern Africa (Sudan)</w:t>
            </w:r>
          </w:p>
        </w:tc>
      </w:tr>
      <w:tr w:rsidR="009B0448" w:rsidRPr="009B0448" w14:paraId="3AAAD8FA"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4F5CFAA6" w14:textId="77777777" w:rsidR="009B0448" w:rsidRPr="009B0448" w:rsidRDefault="009B0448">
            <w:pPr>
              <w:spacing w:line="276" w:lineRule="auto"/>
              <w:jc w:val="both"/>
              <w:rPr>
                <w:rFonts w:ascii="Times New Roman" w:hAnsi="Times New Roman" w:cs="Times New Roman"/>
                <w:b/>
              </w:rPr>
            </w:pPr>
          </w:p>
        </w:tc>
        <w:tc>
          <w:tcPr>
            <w:tcW w:w="1832" w:type="dxa"/>
            <w:tcBorders>
              <w:top w:val="single" w:sz="4" w:space="0" w:color="auto"/>
              <w:left w:val="single" w:sz="4" w:space="0" w:color="auto"/>
              <w:bottom w:val="single" w:sz="4" w:space="0" w:color="auto"/>
              <w:right w:val="single" w:sz="4" w:space="0" w:color="auto"/>
            </w:tcBorders>
            <w:hideMark/>
          </w:tcPr>
          <w:p w14:paraId="3D088E64"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Genus</w:t>
            </w:r>
          </w:p>
        </w:tc>
        <w:tc>
          <w:tcPr>
            <w:tcW w:w="1835" w:type="dxa"/>
            <w:tcBorders>
              <w:top w:val="single" w:sz="4" w:space="0" w:color="auto"/>
              <w:left w:val="single" w:sz="4" w:space="0" w:color="auto"/>
              <w:bottom w:val="single" w:sz="4" w:space="0" w:color="auto"/>
              <w:right w:val="single" w:sz="4" w:space="0" w:color="auto"/>
            </w:tcBorders>
            <w:hideMark/>
          </w:tcPr>
          <w:p w14:paraId="0C4B753D"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Species</w:t>
            </w:r>
          </w:p>
        </w:tc>
        <w:tc>
          <w:tcPr>
            <w:tcW w:w="1919" w:type="dxa"/>
            <w:tcBorders>
              <w:top w:val="single" w:sz="4" w:space="0" w:color="auto"/>
              <w:left w:val="single" w:sz="4" w:space="0" w:color="auto"/>
              <w:bottom w:val="single" w:sz="4" w:space="0" w:color="auto"/>
              <w:right w:val="single" w:sz="4" w:space="0" w:color="auto"/>
            </w:tcBorders>
            <w:hideMark/>
          </w:tcPr>
          <w:p w14:paraId="45DD4FA5"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Genus</w:t>
            </w:r>
          </w:p>
        </w:tc>
        <w:tc>
          <w:tcPr>
            <w:tcW w:w="2136" w:type="dxa"/>
            <w:tcBorders>
              <w:top w:val="single" w:sz="4" w:space="0" w:color="auto"/>
              <w:left w:val="single" w:sz="4" w:space="0" w:color="auto"/>
              <w:bottom w:val="single" w:sz="4" w:space="0" w:color="auto"/>
              <w:right w:val="single" w:sz="4" w:space="0" w:color="auto"/>
            </w:tcBorders>
            <w:hideMark/>
          </w:tcPr>
          <w:p w14:paraId="56454668"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Species</w:t>
            </w:r>
          </w:p>
        </w:tc>
      </w:tr>
      <w:tr w:rsidR="009B0448" w:rsidRPr="009B0448" w14:paraId="4A395B22"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hideMark/>
          </w:tcPr>
          <w:p w14:paraId="4752B674"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Family</w:t>
            </w:r>
          </w:p>
        </w:tc>
        <w:tc>
          <w:tcPr>
            <w:tcW w:w="7722" w:type="dxa"/>
            <w:gridSpan w:val="4"/>
            <w:tcBorders>
              <w:top w:val="single" w:sz="4" w:space="0" w:color="auto"/>
              <w:left w:val="single" w:sz="4" w:space="0" w:color="auto"/>
              <w:bottom w:val="single" w:sz="4" w:space="0" w:color="auto"/>
              <w:right w:val="single" w:sz="4" w:space="0" w:color="auto"/>
            </w:tcBorders>
            <w:hideMark/>
          </w:tcPr>
          <w:p w14:paraId="4B2E4C7E"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Avicenniaceae</w:t>
            </w:r>
          </w:p>
        </w:tc>
      </w:tr>
      <w:tr w:rsidR="009B0448" w:rsidRPr="009B0448" w14:paraId="62A66D1F" w14:textId="77777777" w:rsidTr="009B0448">
        <w:trPr>
          <w:trHeight w:val="980"/>
        </w:trPr>
        <w:tc>
          <w:tcPr>
            <w:tcW w:w="988" w:type="dxa"/>
            <w:tcBorders>
              <w:top w:val="single" w:sz="4" w:space="0" w:color="auto"/>
              <w:left w:val="single" w:sz="4" w:space="0" w:color="auto"/>
              <w:bottom w:val="single" w:sz="4" w:space="0" w:color="auto"/>
              <w:right w:val="single" w:sz="4" w:space="0" w:color="auto"/>
            </w:tcBorders>
          </w:tcPr>
          <w:p w14:paraId="156A0DA2" w14:textId="77777777" w:rsidR="009B0448" w:rsidRPr="009B0448" w:rsidRDefault="009B0448">
            <w:pPr>
              <w:spacing w:line="276" w:lineRule="auto"/>
              <w:jc w:val="both"/>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099B102"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Avicennia</w:t>
            </w:r>
          </w:p>
          <w:p w14:paraId="43285332" w14:textId="77777777" w:rsidR="009B0448" w:rsidRPr="009B0448" w:rsidRDefault="009B0448">
            <w:pPr>
              <w:spacing w:line="276" w:lineRule="auto"/>
              <w:jc w:val="both"/>
              <w:rPr>
                <w:rFonts w:ascii="Times New Roman" w:hAnsi="Times New Roman" w:cs="Times New Roman"/>
              </w:rPr>
            </w:pPr>
          </w:p>
        </w:tc>
        <w:tc>
          <w:tcPr>
            <w:tcW w:w="1835" w:type="dxa"/>
            <w:tcBorders>
              <w:top w:val="single" w:sz="4" w:space="0" w:color="auto"/>
              <w:left w:val="single" w:sz="4" w:space="0" w:color="auto"/>
              <w:bottom w:val="single" w:sz="4" w:space="0" w:color="auto"/>
              <w:right w:val="single" w:sz="4" w:space="0" w:color="auto"/>
            </w:tcBorders>
            <w:hideMark/>
          </w:tcPr>
          <w:p w14:paraId="7D0C8B37"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A. africana</w:t>
            </w:r>
          </w:p>
          <w:p w14:paraId="6545A5F4"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A. germinans</w:t>
            </w:r>
          </w:p>
          <w:p w14:paraId="3BFC6DEA"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A. nitida</w:t>
            </w:r>
          </w:p>
        </w:tc>
        <w:tc>
          <w:tcPr>
            <w:tcW w:w="1919" w:type="dxa"/>
            <w:tcBorders>
              <w:top w:val="single" w:sz="4" w:space="0" w:color="auto"/>
              <w:left w:val="single" w:sz="4" w:space="0" w:color="auto"/>
              <w:bottom w:val="single" w:sz="4" w:space="0" w:color="auto"/>
              <w:right w:val="single" w:sz="4" w:space="0" w:color="auto"/>
            </w:tcBorders>
          </w:tcPr>
          <w:p w14:paraId="5E116F8A"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Avicennia</w:t>
            </w:r>
          </w:p>
          <w:p w14:paraId="5DF0F08D" w14:textId="77777777" w:rsidR="009B0448" w:rsidRPr="009B0448" w:rsidRDefault="009B0448">
            <w:pPr>
              <w:spacing w:line="276" w:lineRule="auto"/>
              <w:jc w:val="both"/>
              <w:rPr>
                <w:rFonts w:ascii="Times New Roman" w:hAnsi="Times New Roman" w:cs="Times New Roman"/>
              </w:rPr>
            </w:pPr>
          </w:p>
        </w:tc>
        <w:tc>
          <w:tcPr>
            <w:tcW w:w="2136" w:type="dxa"/>
            <w:tcBorders>
              <w:top w:val="single" w:sz="4" w:space="0" w:color="auto"/>
              <w:left w:val="single" w:sz="4" w:space="0" w:color="auto"/>
              <w:bottom w:val="single" w:sz="4" w:space="0" w:color="auto"/>
              <w:right w:val="single" w:sz="4" w:space="0" w:color="auto"/>
            </w:tcBorders>
            <w:hideMark/>
          </w:tcPr>
          <w:p w14:paraId="7F492EE1"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A. alba</w:t>
            </w:r>
          </w:p>
          <w:p w14:paraId="35986FE4"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A. marina</w:t>
            </w:r>
          </w:p>
          <w:p w14:paraId="340944F0"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A. officinalis</w:t>
            </w:r>
          </w:p>
        </w:tc>
      </w:tr>
      <w:tr w:rsidR="009B0448" w:rsidRPr="009B0448" w14:paraId="38085C0E"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25B53879" w14:textId="77777777" w:rsidR="009B0448" w:rsidRPr="009B0448" w:rsidRDefault="009B0448">
            <w:pPr>
              <w:spacing w:line="276" w:lineRule="auto"/>
              <w:jc w:val="both"/>
              <w:rPr>
                <w:rFonts w:ascii="Times New Roman" w:hAnsi="Times New Roman" w:cs="Times New Roman"/>
              </w:rPr>
            </w:pPr>
          </w:p>
        </w:tc>
        <w:tc>
          <w:tcPr>
            <w:tcW w:w="7722" w:type="dxa"/>
            <w:gridSpan w:val="4"/>
            <w:tcBorders>
              <w:top w:val="single" w:sz="4" w:space="0" w:color="auto"/>
              <w:left w:val="single" w:sz="4" w:space="0" w:color="auto"/>
              <w:bottom w:val="single" w:sz="4" w:space="0" w:color="auto"/>
              <w:right w:val="single" w:sz="4" w:space="0" w:color="auto"/>
            </w:tcBorders>
            <w:hideMark/>
          </w:tcPr>
          <w:p w14:paraId="34443740"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Bombacaceae</w:t>
            </w:r>
          </w:p>
        </w:tc>
      </w:tr>
      <w:tr w:rsidR="009B0448" w:rsidRPr="009B0448" w14:paraId="44B57723"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33C05BB4" w14:textId="77777777" w:rsidR="009B0448" w:rsidRPr="009B0448" w:rsidRDefault="009B0448">
            <w:pPr>
              <w:spacing w:line="276" w:lineRule="auto"/>
              <w:jc w:val="both"/>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758AE154" w14:textId="77777777" w:rsidR="009B0448" w:rsidRPr="009B0448" w:rsidRDefault="009B0448">
            <w:pPr>
              <w:spacing w:line="276" w:lineRule="auto"/>
              <w:jc w:val="both"/>
              <w:rPr>
                <w:rFonts w:ascii="Times New Roman" w:hAnsi="Times New Roman" w:cs="Times New Roman"/>
              </w:rPr>
            </w:pPr>
          </w:p>
        </w:tc>
        <w:tc>
          <w:tcPr>
            <w:tcW w:w="1835" w:type="dxa"/>
            <w:tcBorders>
              <w:top w:val="single" w:sz="4" w:space="0" w:color="auto"/>
              <w:left w:val="single" w:sz="4" w:space="0" w:color="auto"/>
              <w:bottom w:val="single" w:sz="4" w:space="0" w:color="auto"/>
              <w:right w:val="single" w:sz="4" w:space="0" w:color="auto"/>
            </w:tcBorders>
          </w:tcPr>
          <w:p w14:paraId="6BF344A8" w14:textId="77777777" w:rsidR="009B0448" w:rsidRPr="009B0448" w:rsidRDefault="009B0448">
            <w:pPr>
              <w:spacing w:line="276" w:lineRule="auto"/>
              <w:jc w:val="both"/>
              <w:rPr>
                <w:rFonts w:ascii="Times New Roman" w:hAnsi="Times New Roman" w:cs="Times New Roman"/>
              </w:rPr>
            </w:pPr>
          </w:p>
        </w:tc>
        <w:tc>
          <w:tcPr>
            <w:tcW w:w="1919" w:type="dxa"/>
            <w:tcBorders>
              <w:top w:val="single" w:sz="4" w:space="0" w:color="auto"/>
              <w:left w:val="single" w:sz="4" w:space="0" w:color="auto"/>
              <w:bottom w:val="single" w:sz="4" w:space="0" w:color="auto"/>
              <w:right w:val="single" w:sz="4" w:space="0" w:color="auto"/>
            </w:tcBorders>
          </w:tcPr>
          <w:p w14:paraId="6E9DC5A8"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Lumnitzera</w:t>
            </w:r>
          </w:p>
          <w:p w14:paraId="35B4BC23" w14:textId="77777777" w:rsidR="009B0448" w:rsidRPr="009B0448" w:rsidRDefault="009B0448">
            <w:pPr>
              <w:spacing w:line="276" w:lineRule="auto"/>
              <w:jc w:val="both"/>
              <w:rPr>
                <w:rFonts w:ascii="Times New Roman" w:hAnsi="Times New Roman" w:cs="Times New Roman"/>
              </w:rPr>
            </w:pPr>
          </w:p>
        </w:tc>
        <w:tc>
          <w:tcPr>
            <w:tcW w:w="2136" w:type="dxa"/>
            <w:tcBorders>
              <w:top w:val="single" w:sz="4" w:space="0" w:color="auto"/>
              <w:left w:val="single" w:sz="4" w:space="0" w:color="auto"/>
              <w:bottom w:val="single" w:sz="4" w:space="0" w:color="auto"/>
              <w:right w:val="single" w:sz="4" w:space="0" w:color="auto"/>
            </w:tcBorders>
          </w:tcPr>
          <w:p w14:paraId="71A25929"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L. racemosa</w:t>
            </w:r>
          </w:p>
          <w:p w14:paraId="7C4380E9" w14:textId="77777777" w:rsidR="009B0448" w:rsidRPr="009B0448" w:rsidRDefault="009B0448">
            <w:pPr>
              <w:spacing w:line="276" w:lineRule="auto"/>
              <w:jc w:val="both"/>
              <w:rPr>
                <w:rFonts w:ascii="Times New Roman" w:hAnsi="Times New Roman" w:cs="Times New Roman"/>
              </w:rPr>
            </w:pPr>
          </w:p>
        </w:tc>
      </w:tr>
      <w:tr w:rsidR="009B0448" w:rsidRPr="009B0448" w14:paraId="3136A4FC"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00A84360" w14:textId="77777777" w:rsidR="009B0448" w:rsidRPr="009B0448" w:rsidRDefault="009B0448">
            <w:pPr>
              <w:spacing w:line="276" w:lineRule="auto"/>
              <w:jc w:val="both"/>
              <w:rPr>
                <w:rFonts w:ascii="Times New Roman" w:hAnsi="Times New Roman" w:cs="Times New Roman"/>
              </w:rPr>
            </w:pPr>
          </w:p>
        </w:tc>
        <w:tc>
          <w:tcPr>
            <w:tcW w:w="7722" w:type="dxa"/>
            <w:gridSpan w:val="4"/>
            <w:tcBorders>
              <w:top w:val="single" w:sz="4" w:space="0" w:color="auto"/>
              <w:left w:val="single" w:sz="4" w:space="0" w:color="auto"/>
              <w:bottom w:val="single" w:sz="4" w:space="0" w:color="auto"/>
              <w:right w:val="single" w:sz="4" w:space="0" w:color="auto"/>
            </w:tcBorders>
            <w:hideMark/>
          </w:tcPr>
          <w:p w14:paraId="522D5C31"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Combretaceae</w:t>
            </w:r>
          </w:p>
        </w:tc>
      </w:tr>
      <w:tr w:rsidR="009B0448" w:rsidRPr="009B0448" w14:paraId="53813915"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18642D0B" w14:textId="77777777" w:rsidR="009B0448" w:rsidRPr="009B0448" w:rsidRDefault="009B0448">
            <w:pPr>
              <w:spacing w:line="276" w:lineRule="auto"/>
              <w:jc w:val="both"/>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hideMark/>
          </w:tcPr>
          <w:p w14:paraId="5620BC23"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 xml:space="preserve">Laguncularia </w:t>
            </w:r>
          </w:p>
        </w:tc>
        <w:tc>
          <w:tcPr>
            <w:tcW w:w="1835" w:type="dxa"/>
            <w:tcBorders>
              <w:top w:val="single" w:sz="4" w:space="0" w:color="auto"/>
              <w:left w:val="single" w:sz="4" w:space="0" w:color="auto"/>
              <w:bottom w:val="single" w:sz="4" w:space="0" w:color="auto"/>
              <w:right w:val="single" w:sz="4" w:space="0" w:color="auto"/>
            </w:tcBorders>
            <w:hideMark/>
          </w:tcPr>
          <w:p w14:paraId="40DE6CF2"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L. racemosa</w:t>
            </w:r>
          </w:p>
        </w:tc>
        <w:tc>
          <w:tcPr>
            <w:tcW w:w="1919" w:type="dxa"/>
            <w:tcBorders>
              <w:top w:val="single" w:sz="4" w:space="0" w:color="auto"/>
              <w:left w:val="single" w:sz="4" w:space="0" w:color="auto"/>
              <w:bottom w:val="single" w:sz="4" w:space="0" w:color="auto"/>
              <w:right w:val="single" w:sz="4" w:space="0" w:color="auto"/>
            </w:tcBorders>
          </w:tcPr>
          <w:p w14:paraId="30065EC6" w14:textId="77777777" w:rsidR="009B0448" w:rsidRPr="009B0448" w:rsidRDefault="009B0448">
            <w:pPr>
              <w:spacing w:line="276" w:lineRule="auto"/>
              <w:jc w:val="both"/>
              <w:rPr>
                <w:rFonts w:ascii="Times New Roman" w:hAnsi="Times New Roman" w:cs="Times New Roman"/>
              </w:rPr>
            </w:pPr>
          </w:p>
        </w:tc>
        <w:tc>
          <w:tcPr>
            <w:tcW w:w="2136" w:type="dxa"/>
            <w:tcBorders>
              <w:top w:val="single" w:sz="4" w:space="0" w:color="auto"/>
              <w:left w:val="single" w:sz="4" w:space="0" w:color="auto"/>
              <w:bottom w:val="single" w:sz="4" w:space="0" w:color="auto"/>
              <w:right w:val="single" w:sz="4" w:space="0" w:color="auto"/>
            </w:tcBorders>
          </w:tcPr>
          <w:p w14:paraId="7F6EAA1E" w14:textId="77777777" w:rsidR="009B0448" w:rsidRPr="009B0448" w:rsidRDefault="009B0448">
            <w:pPr>
              <w:spacing w:line="276" w:lineRule="auto"/>
              <w:jc w:val="both"/>
              <w:rPr>
                <w:rFonts w:ascii="Times New Roman" w:hAnsi="Times New Roman" w:cs="Times New Roman"/>
              </w:rPr>
            </w:pPr>
          </w:p>
        </w:tc>
      </w:tr>
      <w:tr w:rsidR="009B0448" w:rsidRPr="009B0448" w14:paraId="712D3341"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1F77C1F5" w14:textId="77777777" w:rsidR="009B0448" w:rsidRPr="009B0448" w:rsidRDefault="009B0448">
            <w:pPr>
              <w:spacing w:line="276" w:lineRule="auto"/>
              <w:jc w:val="both"/>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hideMark/>
          </w:tcPr>
          <w:p w14:paraId="505899FC"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Conocarpus*</w:t>
            </w:r>
          </w:p>
        </w:tc>
        <w:tc>
          <w:tcPr>
            <w:tcW w:w="1835" w:type="dxa"/>
            <w:tcBorders>
              <w:top w:val="single" w:sz="4" w:space="0" w:color="auto"/>
              <w:left w:val="single" w:sz="4" w:space="0" w:color="auto"/>
              <w:bottom w:val="single" w:sz="4" w:space="0" w:color="auto"/>
              <w:right w:val="single" w:sz="4" w:space="0" w:color="auto"/>
            </w:tcBorders>
            <w:hideMark/>
          </w:tcPr>
          <w:p w14:paraId="72184B69"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C. erectus</w:t>
            </w:r>
          </w:p>
        </w:tc>
        <w:tc>
          <w:tcPr>
            <w:tcW w:w="1919" w:type="dxa"/>
            <w:tcBorders>
              <w:top w:val="single" w:sz="4" w:space="0" w:color="auto"/>
              <w:left w:val="single" w:sz="4" w:space="0" w:color="auto"/>
              <w:bottom w:val="single" w:sz="4" w:space="0" w:color="auto"/>
              <w:right w:val="single" w:sz="4" w:space="0" w:color="auto"/>
            </w:tcBorders>
          </w:tcPr>
          <w:p w14:paraId="2911E672" w14:textId="77777777" w:rsidR="009B0448" w:rsidRPr="009B0448" w:rsidRDefault="009B0448">
            <w:pPr>
              <w:spacing w:line="276" w:lineRule="auto"/>
              <w:jc w:val="both"/>
              <w:rPr>
                <w:rFonts w:ascii="Times New Roman" w:hAnsi="Times New Roman" w:cs="Times New Roman"/>
              </w:rPr>
            </w:pPr>
          </w:p>
        </w:tc>
        <w:tc>
          <w:tcPr>
            <w:tcW w:w="2136" w:type="dxa"/>
            <w:tcBorders>
              <w:top w:val="single" w:sz="4" w:space="0" w:color="auto"/>
              <w:left w:val="single" w:sz="4" w:space="0" w:color="auto"/>
              <w:bottom w:val="single" w:sz="4" w:space="0" w:color="auto"/>
              <w:right w:val="single" w:sz="4" w:space="0" w:color="auto"/>
            </w:tcBorders>
          </w:tcPr>
          <w:p w14:paraId="2EC25B16" w14:textId="77777777" w:rsidR="009B0448" w:rsidRPr="009B0448" w:rsidRDefault="009B0448">
            <w:pPr>
              <w:spacing w:line="276" w:lineRule="auto"/>
              <w:jc w:val="both"/>
              <w:rPr>
                <w:rFonts w:ascii="Times New Roman" w:hAnsi="Times New Roman" w:cs="Times New Roman"/>
              </w:rPr>
            </w:pPr>
          </w:p>
        </w:tc>
      </w:tr>
      <w:tr w:rsidR="009B0448" w:rsidRPr="009B0448" w14:paraId="1FA4F773"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6E1443C4" w14:textId="77777777" w:rsidR="009B0448" w:rsidRPr="009B0448" w:rsidRDefault="009B0448">
            <w:pPr>
              <w:spacing w:line="276" w:lineRule="auto"/>
              <w:jc w:val="both"/>
              <w:rPr>
                <w:rFonts w:ascii="Times New Roman" w:hAnsi="Times New Roman" w:cs="Times New Roman"/>
              </w:rPr>
            </w:pPr>
          </w:p>
        </w:tc>
        <w:tc>
          <w:tcPr>
            <w:tcW w:w="7722" w:type="dxa"/>
            <w:gridSpan w:val="4"/>
            <w:tcBorders>
              <w:top w:val="single" w:sz="4" w:space="0" w:color="auto"/>
              <w:left w:val="single" w:sz="4" w:space="0" w:color="auto"/>
              <w:bottom w:val="single" w:sz="4" w:space="0" w:color="auto"/>
              <w:right w:val="single" w:sz="4" w:space="0" w:color="auto"/>
            </w:tcBorders>
            <w:hideMark/>
          </w:tcPr>
          <w:p w14:paraId="1A78997C"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Lythrceae</w:t>
            </w:r>
          </w:p>
        </w:tc>
      </w:tr>
      <w:tr w:rsidR="009B0448" w:rsidRPr="009B0448" w14:paraId="6F933FC5"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16B5C29C" w14:textId="77777777" w:rsidR="009B0448" w:rsidRPr="009B0448" w:rsidRDefault="009B0448">
            <w:pPr>
              <w:spacing w:line="276" w:lineRule="auto"/>
              <w:jc w:val="both"/>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55F78741" w14:textId="77777777" w:rsidR="009B0448" w:rsidRPr="009B0448" w:rsidRDefault="009B0448">
            <w:pPr>
              <w:spacing w:line="276" w:lineRule="auto"/>
              <w:jc w:val="both"/>
              <w:rPr>
                <w:rFonts w:ascii="Times New Roman" w:hAnsi="Times New Roman" w:cs="Times New Roman"/>
              </w:rPr>
            </w:pPr>
          </w:p>
        </w:tc>
        <w:tc>
          <w:tcPr>
            <w:tcW w:w="1835" w:type="dxa"/>
            <w:tcBorders>
              <w:top w:val="single" w:sz="4" w:space="0" w:color="auto"/>
              <w:left w:val="single" w:sz="4" w:space="0" w:color="auto"/>
              <w:bottom w:val="single" w:sz="4" w:space="0" w:color="auto"/>
              <w:right w:val="single" w:sz="4" w:space="0" w:color="auto"/>
            </w:tcBorders>
          </w:tcPr>
          <w:p w14:paraId="140CA561" w14:textId="77777777" w:rsidR="009B0448" w:rsidRPr="009B0448" w:rsidRDefault="009B0448">
            <w:pPr>
              <w:spacing w:line="276" w:lineRule="auto"/>
              <w:jc w:val="both"/>
              <w:rPr>
                <w:rFonts w:ascii="Times New Roman" w:hAnsi="Times New Roman" w:cs="Times New Roman"/>
              </w:rPr>
            </w:pPr>
          </w:p>
        </w:tc>
        <w:tc>
          <w:tcPr>
            <w:tcW w:w="1919" w:type="dxa"/>
            <w:tcBorders>
              <w:top w:val="single" w:sz="4" w:space="0" w:color="auto"/>
              <w:left w:val="single" w:sz="4" w:space="0" w:color="auto"/>
              <w:bottom w:val="single" w:sz="4" w:space="0" w:color="auto"/>
              <w:right w:val="single" w:sz="4" w:space="0" w:color="auto"/>
            </w:tcBorders>
            <w:hideMark/>
          </w:tcPr>
          <w:p w14:paraId="443128C5"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 xml:space="preserve">Pemphis </w:t>
            </w:r>
          </w:p>
        </w:tc>
        <w:tc>
          <w:tcPr>
            <w:tcW w:w="2136" w:type="dxa"/>
            <w:tcBorders>
              <w:top w:val="single" w:sz="4" w:space="0" w:color="auto"/>
              <w:left w:val="single" w:sz="4" w:space="0" w:color="auto"/>
              <w:bottom w:val="single" w:sz="4" w:space="0" w:color="auto"/>
              <w:right w:val="single" w:sz="4" w:space="0" w:color="auto"/>
            </w:tcBorders>
            <w:hideMark/>
          </w:tcPr>
          <w:p w14:paraId="2CF5DFB0"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P. acidula</w:t>
            </w:r>
          </w:p>
        </w:tc>
      </w:tr>
      <w:tr w:rsidR="009B0448" w:rsidRPr="009B0448" w14:paraId="7B802B69"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7F026ACA" w14:textId="77777777" w:rsidR="009B0448" w:rsidRPr="009B0448" w:rsidRDefault="009B0448">
            <w:pPr>
              <w:spacing w:line="276" w:lineRule="auto"/>
              <w:jc w:val="both"/>
              <w:rPr>
                <w:rFonts w:ascii="Times New Roman" w:hAnsi="Times New Roman" w:cs="Times New Roman"/>
              </w:rPr>
            </w:pPr>
          </w:p>
        </w:tc>
        <w:tc>
          <w:tcPr>
            <w:tcW w:w="7722" w:type="dxa"/>
            <w:gridSpan w:val="4"/>
            <w:tcBorders>
              <w:top w:val="single" w:sz="4" w:space="0" w:color="auto"/>
              <w:left w:val="single" w:sz="4" w:space="0" w:color="auto"/>
              <w:bottom w:val="single" w:sz="4" w:space="0" w:color="auto"/>
              <w:right w:val="single" w:sz="4" w:space="0" w:color="auto"/>
            </w:tcBorders>
            <w:hideMark/>
          </w:tcPr>
          <w:p w14:paraId="1AC7BBE6"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Meliaceae</w:t>
            </w:r>
          </w:p>
        </w:tc>
      </w:tr>
      <w:tr w:rsidR="009B0448" w:rsidRPr="009B0448" w14:paraId="07DD3308"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7F0E5892" w14:textId="77777777" w:rsidR="009B0448" w:rsidRPr="009B0448" w:rsidRDefault="009B0448">
            <w:pPr>
              <w:spacing w:line="276" w:lineRule="auto"/>
              <w:jc w:val="both"/>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468DBF0" w14:textId="77777777" w:rsidR="009B0448" w:rsidRPr="009B0448" w:rsidRDefault="009B0448">
            <w:pPr>
              <w:spacing w:line="276" w:lineRule="auto"/>
              <w:jc w:val="both"/>
              <w:rPr>
                <w:rFonts w:ascii="Times New Roman" w:hAnsi="Times New Roman" w:cs="Times New Roman"/>
              </w:rPr>
            </w:pPr>
          </w:p>
        </w:tc>
        <w:tc>
          <w:tcPr>
            <w:tcW w:w="1835" w:type="dxa"/>
            <w:tcBorders>
              <w:top w:val="single" w:sz="4" w:space="0" w:color="auto"/>
              <w:left w:val="single" w:sz="4" w:space="0" w:color="auto"/>
              <w:bottom w:val="single" w:sz="4" w:space="0" w:color="auto"/>
              <w:right w:val="single" w:sz="4" w:space="0" w:color="auto"/>
            </w:tcBorders>
          </w:tcPr>
          <w:p w14:paraId="25CA6C9E" w14:textId="77777777" w:rsidR="009B0448" w:rsidRPr="009B0448" w:rsidRDefault="009B0448">
            <w:pPr>
              <w:spacing w:line="276" w:lineRule="auto"/>
              <w:jc w:val="both"/>
              <w:rPr>
                <w:rFonts w:ascii="Times New Roman" w:hAnsi="Times New Roman" w:cs="Times New Roman"/>
              </w:rPr>
            </w:pPr>
          </w:p>
        </w:tc>
        <w:tc>
          <w:tcPr>
            <w:tcW w:w="1919" w:type="dxa"/>
            <w:tcBorders>
              <w:top w:val="single" w:sz="4" w:space="0" w:color="auto"/>
              <w:left w:val="single" w:sz="4" w:space="0" w:color="auto"/>
              <w:bottom w:val="single" w:sz="4" w:space="0" w:color="auto"/>
              <w:right w:val="single" w:sz="4" w:space="0" w:color="auto"/>
            </w:tcBorders>
          </w:tcPr>
          <w:p w14:paraId="61B5A87D"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Xylocarpus</w:t>
            </w:r>
          </w:p>
          <w:p w14:paraId="110D9B01" w14:textId="77777777" w:rsidR="009B0448" w:rsidRPr="009B0448" w:rsidRDefault="009B0448">
            <w:pPr>
              <w:spacing w:line="276" w:lineRule="auto"/>
              <w:jc w:val="both"/>
              <w:rPr>
                <w:rFonts w:ascii="Times New Roman" w:hAnsi="Times New Roman" w:cs="Times New Roman"/>
                <w:i/>
              </w:rPr>
            </w:pPr>
          </w:p>
        </w:tc>
        <w:tc>
          <w:tcPr>
            <w:tcW w:w="2136" w:type="dxa"/>
            <w:tcBorders>
              <w:top w:val="single" w:sz="4" w:space="0" w:color="auto"/>
              <w:left w:val="single" w:sz="4" w:space="0" w:color="auto"/>
              <w:bottom w:val="single" w:sz="4" w:space="0" w:color="auto"/>
              <w:right w:val="single" w:sz="4" w:space="0" w:color="auto"/>
            </w:tcBorders>
            <w:hideMark/>
          </w:tcPr>
          <w:p w14:paraId="520035CD"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X. obovatus</w:t>
            </w:r>
          </w:p>
          <w:p w14:paraId="6D1CDB67"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X. granatum</w:t>
            </w:r>
          </w:p>
          <w:p w14:paraId="0719E7C5"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i/>
              </w:rPr>
              <w:t>X. moluccensis</w:t>
            </w:r>
          </w:p>
        </w:tc>
      </w:tr>
      <w:tr w:rsidR="009B0448" w:rsidRPr="009B0448" w14:paraId="0E57305F"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4BFB71CD" w14:textId="77777777" w:rsidR="009B0448" w:rsidRPr="009B0448" w:rsidRDefault="009B0448">
            <w:pPr>
              <w:spacing w:line="276" w:lineRule="auto"/>
              <w:jc w:val="both"/>
              <w:rPr>
                <w:rFonts w:ascii="Times New Roman" w:hAnsi="Times New Roman" w:cs="Times New Roman"/>
              </w:rPr>
            </w:pPr>
          </w:p>
        </w:tc>
        <w:tc>
          <w:tcPr>
            <w:tcW w:w="7722" w:type="dxa"/>
            <w:gridSpan w:val="4"/>
            <w:tcBorders>
              <w:top w:val="single" w:sz="4" w:space="0" w:color="auto"/>
              <w:left w:val="single" w:sz="4" w:space="0" w:color="auto"/>
              <w:bottom w:val="single" w:sz="4" w:space="0" w:color="auto"/>
              <w:right w:val="single" w:sz="4" w:space="0" w:color="auto"/>
            </w:tcBorders>
            <w:hideMark/>
          </w:tcPr>
          <w:p w14:paraId="0849B2A6"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Rhizophoraceae</w:t>
            </w:r>
          </w:p>
        </w:tc>
      </w:tr>
      <w:tr w:rsidR="009B0448" w:rsidRPr="009B0448" w14:paraId="5DF03521"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41E76A7A" w14:textId="77777777" w:rsidR="009B0448" w:rsidRPr="009B0448" w:rsidRDefault="009B0448">
            <w:pPr>
              <w:spacing w:line="276" w:lineRule="auto"/>
              <w:jc w:val="both"/>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65ECAC79" w14:textId="77777777" w:rsidR="009B0448" w:rsidRPr="009B0448" w:rsidRDefault="009B0448">
            <w:pPr>
              <w:spacing w:line="276" w:lineRule="auto"/>
              <w:jc w:val="both"/>
              <w:rPr>
                <w:rFonts w:ascii="Times New Roman" w:hAnsi="Times New Roman" w:cs="Times New Roman"/>
              </w:rPr>
            </w:pPr>
          </w:p>
        </w:tc>
        <w:tc>
          <w:tcPr>
            <w:tcW w:w="1835" w:type="dxa"/>
            <w:tcBorders>
              <w:top w:val="single" w:sz="4" w:space="0" w:color="auto"/>
              <w:left w:val="single" w:sz="4" w:space="0" w:color="auto"/>
              <w:bottom w:val="single" w:sz="4" w:space="0" w:color="auto"/>
              <w:right w:val="single" w:sz="4" w:space="0" w:color="auto"/>
            </w:tcBorders>
          </w:tcPr>
          <w:p w14:paraId="43A19C36" w14:textId="77777777" w:rsidR="009B0448" w:rsidRPr="009B0448" w:rsidRDefault="009B0448">
            <w:pPr>
              <w:spacing w:line="276" w:lineRule="auto"/>
              <w:jc w:val="both"/>
              <w:rPr>
                <w:rFonts w:ascii="Times New Roman" w:hAnsi="Times New Roman" w:cs="Times New Roman"/>
              </w:rPr>
            </w:pPr>
          </w:p>
        </w:tc>
        <w:tc>
          <w:tcPr>
            <w:tcW w:w="1919" w:type="dxa"/>
            <w:tcBorders>
              <w:top w:val="single" w:sz="4" w:space="0" w:color="auto"/>
              <w:left w:val="single" w:sz="4" w:space="0" w:color="auto"/>
              <w:bottom w:val="single" w:sz="4" w:space="0" w:color="auto"/>
              <w:right w:val="single" w:sz="4" w:space="0" w:color="auto"/>
            </w:tcBorders>
            <w:hideMark/>
          </w:tcPr>
          <w:p w14:paraId="29F29FEE"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Bruguiera</w:t>
            </w:r>
          </w:p>
        </w:tc>
        <w:tc>
          <w:tcPr>
            <w:tcW w:w="2136" w:type="dxa"/>
            <w:tcBorders>
              <w:top w:val="single" w:sz="4" w:space="0" w:color="auto"/>
              <w:left w:val="single" w:sz="4" w:space="0" w:color="auto"/>
              <w:bottom w:val="single" w:sz="4" w:space="0" w:color="auto"/>
              <w:right w:val="single" w:sz="4" w:space="0" w:color="auto"/>
            </w:tcBorders>
            <w:hideMark/>
          </w:tcPr>
          <w:p w14:paraId="5BEE3EE8"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B. gymnorrhiza</w:t>
            </w:r>
          </w:p>
        </w:tc>
      </w:tr>
      <w:tr w:rsidR="009B0448" w:rsidRPr="009B0448" w14:paraId="114B0870"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63330D93" w14:textId="77777777" w:rsidR="009B0448" w:rsidRPr="009B0448" w:rsidRDefault="009B0448">
            <w:pPr>
              <w:spacing w:line="276" w:lineRule="auto"/>
              <w:jc w:val="both"/>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89CB165" w14:textId="77777777" w:rsidR="009B0448" w:rsidRPr="009B0448" w:rsidRDefault="009B0448">
            <w:pPr>
              <w:spacing w:line="276" w:lineRule="auto"/>
              <w:jc w:val="both"/>
              <w:rPr>
                <w:rFonts w:ascii="Times New Roman" w:hAnsi="Times New Roman" w:cs="Times New Roman"/>
              </w:rPr>
            </w:pPr>
          </w:p>
        </w:tc>
        <w:tc>
          <w:tcPr>
            <w:tcW w:w="1835" w:type="dxa"/>
            <w:tcBorders>
              <w:top w:val="single" w:sz="4" w:space="0" w:color="auto"/>
              <w:left w:val="single" w:sz="4" w:space="0" w:color="auto"/>
              <w:bottom w:val="single" w:sz="4" w:space="0" w:color="auto"/>
              <w:right w:val="single" w:sz="4" w:space="0" w:color="auto"/>
            </w:tcBorders>
          </w:tcPr>
          <w:p w14:paraId="6E4E463B" w14:textId="77777777" w:rsidR="009B0448" w:rsidRPr="009B0448" w:rsidRDefault="009B0448">
            <w:pPr>
              <w:spacing w:line="276" w:lineRule="auto"/>
              <w:jc w:val="both"/>
              <w:rPr>
                <w:rFonts w:ascii="Times New Roman" w:hAnsi="Times New Roman" w:cs="Times New Roman"/>
              </w:rPr>
            </w:pPr>
          </w:p>
        </w:tc>
        <w:tc>
          <w:tcPr>
            <w:tcW w:w="1919" w:type="dxa"/>
            <w:tcBorders>
              <w:top w:val="single" w:sz="4" w:space="0" w:color="auto"/>
              <w:left w:val="single" w:sz="4" w:space="0" w:color="auto"/>
              <w:bottom w:val="single" w:sz="4" w:space="0" w:color="auto"/>
              <w:right w:val="single" w:sz="4" w:space="0" w:color="auto"/>
            </w:tcBorders>
          </w:tcPr>
          <w:p w14:paraId="4BE93DC5"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Ceriops</w:t>
            </w:r>
          </w:p>
          <w:p w14:paraId="4DF37D9D" w14:textId="77777777" w:rsidR="009B0448" w:rsidRPr="009B0448" w:rsidRDefault="009B0448">
            <w:pPr>
              <w:spacing w:line="276" w:lineRule="auto"/>
              <w:jc w:val="both"/>
              <w:rPr>
                <w:rFonts w:ascii="Times New Roman" w:hAnsi="Times New Roman" w:cs="Times New Roman"/>
                <w:i/>
              </w:rPr>
            </w:pPr>
          </w:p>
        </w:tc>
        <w:tc>
          <w:tcPr>
            <w:tcW w:w="2136" w:type="dxa"/>
            <w:tcBorders>
              <w:top w:val="single" w:sz="4" w:space="0" w:color="auto"/>
              <w:left w:val="single" w:sz="4" w:space="0" w:color="auto"/>
              <w:bottom w:val="single" w:sz="4" w:space="0" w:color="auto"/>
              <w:right w:val="single" w:sz="4" w:space="0" w:color="auto"/>
            </w:tcBorders>
            <w:hideMark/>
          </w:tcPr>
          <w:p w14:paraId="1126E214"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C. tagal</w:t>
            </w:r>
          </w:p>
          <w:p w14:paraId="1BBBDE47"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C. somalensis</w:t>
            </w:r>
          </w:p>
        </w:tc>
      </w:tr>
      <w:tr w:rsidR="009B0448" w:rsidRPr="009B0448" w14:paraId="7DDAAAFF"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068F5E79" w14:textId="77777777" w:rsidR="009B0448" w:rsidRPr="009B0448" w:rsidRDefault="009B0448">
            <w:pPr>
              <w:spacing w:line="276" w:lineRule="auto"/>
              <w:jc w:val="both"/>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4527FAC2" w14:textId="77777777" w:rsidR="009B0448" w:rsidRPr="009B0448" w:rsidRDefault="009B0448">
            <w:pPr>
              <w:spacing w:line="276" w:lineRule="auto"/>
              <w:jc w:val="both"/>
              <w:rPr>
                <w:rFonts w:ascii="Times New Roman" w:hAnsi="Times New Roman" w:cs="Times New Roman"/>
              </w:rPr>
            </w:pPr>
          </w:p>
        </w:tc>
        <w:tc>
          <w:tcPr>
            <w:tcW w:w="1835" w:type="dxa"/>
            <w:tcBorders>
              <w:top w:val="single" w:sz="4" w:space="0" w:color="auto"/>
              <w:left w:val="single" w:sz="4" w:space="0" w:color="auto"/>
              <w:bottom w:val="single" w:sz="4" w:space="0" w:color="auto"/>
              <w:right w:val="single" w:sz="4" w:space="0" w:color="auto"/>
            </w:tcBorders>
          </w:tcPr>
          <w:p w14:paraId="29CBC429" w14:textId="77777777" w:rsidR="009B0448" w:rsidRPr="009B0448" w:rsidRDefault="009B0448">
            <w:pPr>
              <w:spacing w:line="276" w:lineRule="auto"/>
              <w:jc w:val="both"/>
              <w:rPr>
                <w:rFonts w:ascii="Times New Roman" w:hAnsi="Times New Roman" w:cs="Times New Roman"/>
              </w:rPr>
            </w:pPr>
          </w:p>
        </w:tc>
        <w:tc>
          <w:tcPr>
            <w:tcW w:w="1919" w:type="dxa"/>
            <w:tcBorders>
              <w:top w:val="single" w:sz="4" w:space="0" w:color="auto"/>
              <w:left w:val="single" w:sz="4" w:space="0" w:color="auto"/>
              <w:bottom w:val="single" w:sz="4" w:space="0" w:color="auto"/>
              <w:right w:val="single" w:sz="4" w:space="0" w:color="auto"/>
            </w:tcBorders>
            <w:hideMark/>
          </w:tcPr>
          <w:p w14:paraId="09313104"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 xml:space="preserve">Kandelia </w:t>
            </w:r>
          </w:p>
        </w:tc>
        <w:tc>
          <w:tcPr>
            <w:tcW w:w="2136" w:type="dxa"/>
            <w:tcBorders>
              <w:top w:val="single" w:sz="4" w:space="0" w:color="auto"/>
              <w:left w:val="single" w:sz="4" w:space="0" w:color="auto"/>
              <w:bottom w:val="single" w:sz="4" w:space="0" w:color="auto"/>
              <w:right w:val="single" w:sz="4" w:space="0" w:color="auto"/>
            </w:tcBorders>
            <w:hideMark/>
          </w:tcPr>
          <w:p w14:paraId="3F320AF2"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K. candel</w:t>
            </w:r>
          </w:p>
        </w:tc>
      </w:tr>
      <w:tr w:rsidR="009B0448" w:rsidRPr="009B0448" w14:paraId="14BF1E9F"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48DEE49C" w14:textId="77777777" w:rsidR="009B0448" w:rsidRPr="009B0448" w:rsidRDefault="009B0448">
            <w:pPr>
              <w:spacing w:line="276" w:lineRule="auto"/>
              <w:jc w:val="both"/>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9F504C6"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Rhizophora</w:t>
            </w:r>
          </w:p>
          <w:p w14:paraId="37C4DA13" w14:textId="77777777" w:rsidR="009B0448" w:rsidRPr="009B0448" w:rsidRDefault="009B0448">
            <w:pPr>
              <w:spacing w:line="276" w:lineRule="auto"/>
              <w:jc w:val="both"/>
              <w:rPr>
                <w:rFonts w:ascii="Times New Roman" w:hAnsi="Times New Roman" w:cs="Times New Roman"/>
              </w:rPr>
            </w:pPr>
          </w:p>
          <w:p w14:paraId="15EEE2F2" w14:textId="77777777" w:rsidR="009B0448" w:rsidRPr="009B0448" w:rsidRDefault="009B0448">
            <w:pPr>
              <w:spacing w:line="276" w:lineRule="auto"/>
              <w:jc w:val="both"/>
              <w:rPr>
                <w:rFonts w:ascii="Times New Roman" w:hAnsi="Times New Roman" w:cs="Times New Roman"/>
              </w:rPr>
            </w:pPr>
          </w:p>
        </w:tc>
        <w:tc>
          <w:tcPr>
            <w:tcW w:w="1835" w:type="dxa"/>
            <w:tcBorders>
              <w:top w:val="single" w:sz="4" w:space="0" w:color="auto"/>
              <w:left w:val="single" w:sz="4" w:space="0" w:color="auto"/>
              <w:bottom w:val="single" w:sz="4" w:space="0" w:color="auto"/>
              <w:right w:val="single" w:sz="4" w:space="0" w:color="auto"/>
            </w:tcBorders>
            <w:hideMark/>
          </w:tcPr>
          <w:p w14:paraId="088521CE"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R. harrisonii</w:t>
            </w:r>
          </w:p>
          <w:p w14:paraId="766E7EAD"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R. mangle</w:t>
            </w:r>
          </w:p>
          <w:p w14:paraId="07FE9E73"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R. racemosa</w:t>
            </w:r>
          </w:p>
        </w:tc>
        <w:tc>
          <w:tcPr>
            <w:tcW w:w="1919" w:type="dxa"/>
            <w:tcBorders>
              <w:top w:val="single" w:sz="4" w:space="0" w:color="auto"/>
              <w:left w:val="single" w:sz="4" w:space="0" w:color="auto"/>
              <w:bottom w:val="single" w:sz="4" w:space="0" w:color="auto"/>
              <w:right w:val="single" w:sz="4" w:space="0" w:color="auto"/>
            </w:tcBorders>
          </w:tcPr>
          <w:p w14:paraId="4E114EF5"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Rhizophora</w:t>
            </w:r>
          </w:p>
          <w:p w14:paraId="090EFB27" w14:textId="77777777" w:rsidR="009B0448" w:rsidRPr="009B0448" w:rsidRDefault="009B0448">
            <w:pPr>
              <w:spacing w:line="276" w:lineRule="auto"/>
              <w:jc w:val="both"/>
              <w:rPr>
                <w:rFonts w:ascii="Times New Roman" w:hAnsi="Times New Roman" w:cs="Times New Roman"/>
                <w:b/>
                <w:i/>
              </w:rPr>
            </w:pPr>
          </w:p>
          <w:p w14:paraId="1EC5BB18" w14:textId="77777777" w:rsidR="009B0448" w:rsidRPr="009B0448" w:rsidRDefault="009B0448">
            <w:pPr>
              <w:spacing w:line="276" w:lineRule="auto"/>
              <w:jc w:val="both"/>
              <w:rPr>
                <w:rFonts w:ascii="Times New Roman" w:hAnsi="Times New Roman" w:cs="Times New Roman"/>
                <w:b/>
                <w:i/>
              </w:rPr>
            </w:pPr>
          </w:p>
        </w:tc>
        <w:tc>
          <w:tcPr>
            <w:tcW w:w="2136" w:type="dxa"/>
            <w:tcBorders>
              <w:top w:val="single" w:sz="4" w:space="0" w:color="auto"/>
              <w:left w:val="single" w:sz="4" w:space="0" w:color="auto"/>
              <w:bottom w:val="single" w:sz="4" w:space="0" w:color="auto"/>
              <w:right w:val="single" w:sz="4" w:space="0" w:color="auto"/>
            </w:tcBorders>
            <w:hideMark/>
          </w:tcPr>
          <w:p w14:paraId="22A75CD7"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R. apiculata</w:t>
            </w:r>
          </w:p>
          <w:p w14:paraId="09A164C6"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R. mucronata</w:t>
            </w:r>
          </w:p>
          <w:p w14:paraId="0FA3AA0B"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R. stylosa</w:t>
            </w:r>
          </w:p>
        </w:tc>
      </w:tr>
      <w:tr w:rsidR="009B0448" w:rsidRPr="009B0448" w14:paraId="669F757B"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03067D34" w14:textId="77777777" w:rsidR="009B0448" w:rsidRPr="009B0448" w:rsidRDefault="009B0448">
            <w:pPr>
              <w:spacing w:line="276" w:lineRule="auto"/>
              <w:jc w:val="both"/>
              <w:rPr>
                <w:rFonts w:ascii="Times New Roman" w:hAnsi="Times New Roman" w:cs="Times New Roman"/>
              </w:rPr>
            </w:pPr>
          </w:p>
        </w:tc>
        <w:tc>
          <w:tcPr>
            <w:tcW w:w="7722" w:type="dxa"/>
            <w:gridSpan w:val="4"/>
            <w:tcBorders>
              <w:top w:val="single" w:sz="4" w:space="0" w:color="auto"/>
              <w:left w:val="single" w:sz="4" w:space="0" w:color="auto"/>
              <w:bottom w:val="single" w:sz="4" w:space="0" w:color="auto"/>
              <w:right w:val="single" w:sz="4" w:space="0" w:color="auto"/>
            </w:tcBorders>
            <w:hideMark/>
          </w:tcPr>
          <w:p w14:paraId="2AFDD34A"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Sonneratiaceae</w:t>
            </w:r>
          </w:p>
        </w:tc>
      </w:tr>
      <w:tr w:rsidR="009B0448" w:rsidRPr="009B0448" w14:paraId="36635F01"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0E6AD7FD" w14:textId="77777777" w:rsidR="009B0448" w:rsidRPr="009B0448" w:rsidRDefault="009B0448">
            <w:pPr>
              <w:spacing w:line="276" w:lineRule="auto"/>
              <w:jc w:val="both"/>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33ECB265" w14:textId="77777777" w:rsidR="009B0448" w:rsidRPr="009B0448" w:rsidRDefault="009B0448">
            <w:pPr>
              <w:spacing w:line="276" w:lineRule="auto"/>
              <w:jc w:val="both"/>
              <w:rPr>
                <w:rFonts w:ascii="Times New Roman" w:hAnsi="Times New Roman" w:cs="Times New Roman"/>
              </w:rPr>
            </w:pPr>
          </w:p>
        </w:tc>
        <w:tc>
          <w:tcPr>
            <w:tcW w:w="1835" w:type="dxa"/>
            <w:tcBorders>
              <w:top w:val="single" w:sz="4" w:space="0" w:color="auto"/>
              <w:left w:val="single" w:sz="4" w:space="0" w:color="auto"/>
              <w:bottom w:val="single" w:sz="4" w:space="0" w:color="auto"/>
              <w:right w:val="single" w:sz="4" w:space="0" w:color="auto"/>
            </w:tcBorders>
          </w:tcPr>
          <w:p w14:paraId="1A8489FC" w14:textId="77777777" w:rsidR="009B0448" w:rsidRPr="009B0448" w:rsidRDefault="009B0448">
            <w:pPr>
              <w:spacing w:line="276" w:lineRule="auto"/>
              <w:jc w:val="both"/>
              <w:rPr>
                <w:rFonts w:ascii="Times New Roman" w:hAnsi="Times New Roman" w:cs="Times New Roman"/>
              </w:rPr>
            </w:pPr>
          </w:p>
        </w:tc>
        <w:tc>
          <w:tcPr>
            <w:tcW w:w="1919" w:type="dxa"/>
            <w:tcBorders>
              <w:top w:val="single" w:sz="4" w:space="0" w:color="auto"/>
              <w:left w:val="single" w:sz="4" w:space="0" w:color="auto"/>
              <w:bottom w:val="single" w:sz="4" w:space="0" w:color="auto"/>
              <w:right w:val="single" w:sz="4" w:space="0" w:color="auto"/>
            </w:tcBorders>
            <w:hideMark/>
          </w:tcPr>
          <w:p w14:paraId="69AE5259"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Sonneratia</w:t>
            </w:r>
          </w:p>
        </w:tc>
        <w:tc>
          <w:tcPr>
            <w:tcW w:w="2136" w:type="dxa"/>
            <w:tcBorders>
              <w:top w:val="single" w:sz="4" w:space="0" w:color="auto"/>
              <w:left w:val="single" w:sz="4" w:space="0" w:color="auto"/>
              <w:bottom w:val="single" w:sz="4" w:space="0" w:color="auto"/>
              <w:right w:val="single" w:sz="4" w:space="0" w:color="auto"/>
            </w:tcBorders>
            <w:hideMark/>
          </w:tcPr>
          <w:p w14:paraId="5F9A1D50"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S. alba</w:t>
            </w:r>
          </w:p>
        </w:tc>
      </w:tr>
      <w:tr w:rsidR="009B0448" w:rsidRPr="009B0448" w14:paraId="40DBD0AE"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1D407425" w14:textId="77777777" w:rsidR="009B0448" w:rsidRPr="009B0448" w:rsidRDefault="009B0448">
            <w:pPr>
              <w:spacing w:line="276" w:lineRule="auto"/>
              <w:jc w:val="both"/>
              <w:rPr>
                <w:rFonts w:ascii="Times New Roman" w:hAnsi="Times New Roman" w:cs="Times New Roman"/>
              </w:rPr>
            </w:pPr>
          </w:p>
        </w:tc>
        <w:tc>
          <w:tcPr>
            <w:tcW w:w="7722" w:type="dxa"/>
            <w:gridSpan w:val="4"/>
            <w:tcBorders>
              <w:top w:val="single" w:sz="4" w:space="0" w:color="auto"/>
              <w:left w:val="single" w:sz="4" w:space="0" w:color="auto"/>
              <w:bottom w:val="single" w:sz="4" w:space="0" w:color="auto"/>
              <w:right w:val="single" w:sz="4" w:space="0" w:color="auto"/>
            </w:tcBorders>
            <w:hideMark/>
          </w:tcPr>
          <w:p w14:paraId="4CB46D8E"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Sterculiaceae</w:t>
            </w:r>
          </w:p>
        </w:tc>
      </w:tr>
      <w:tr w:rsidR="009B0448" w:rsidRPr="009B0448" w14:paraId="0A74BAC4" w14:textId="77777777" w:rsidTr="009B0448">
        <w:trPr>
          <w:trHeight w:val="240"/>
        </w:trPr>
        <w:tc>
          <w:tcPr>
            <w:tcW w:w="988" w:type="dxa"/>
            <w:tcBorders>
              <w:top w:val="single" w:sz="4" w:space="0" w:color="auto"/>
              <w:left w:val="single" w:sz="4" w:space="0" w:color="auto"/>
              <w:bottom w:val="single" w:sz="4" w:space="0" w:color="auto"/>
              <w:right w:val="single" w:sz="4" w:space="0" w:color="auto"/>
            </w:tcBorders>
          </w:tcPr>
          <w:p w14:paraId="4BE172DC" w14:textId="77777777" w:rsidR="009B0448" w:rsidRPr="009B0448" w:rsidRDefault="009B0448">
            <w:pPr>
              <w:spacing w:line="276" w:lineRule="auto"/>
              <w:jc w:val="both"/>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tcPr>
          <w:p w14:paraId="23003EFC" w14:textId="77777777" w:rsidR="009B0448" w:rsidRPr="009B0448" w:rsidRDefault="009B0448">
            <w:pPr>
              <w:spacing w:line="276" w:lineRule="auto"/>
              <w:jc w:val="both"/>
              <w:rPr>
                <w:rFonts w:ascii="Times New Roman" w:hAnsi="Times New Roman" w:cs="Times New Roman"/>
              </w:rPr>
            </w:pPr>
          </w:p>
        </w:tc>
        <w:tc>
          <w:tcPr>
            <w:tcW w:w="1835" w:type="dxa"/>
            <w:tcBorders>
              <w:top w:val="single" w:sz="4" w:space="0" w:color="auto"/>
              <w:left w:val="single" w:sz="4" w:space="0" w:color="auto"/>
              <w:bottom w:val="single" w:sz="4" w:space="0" w:color="auto"/>
              <w:right w:val="single" w:sz="4" w:space="0" w:color="auto"/>
            </w:tcBorders>
          </w:tcPr>
          <w:p w14:paraId="5B7D13F3" w14:textId="77777777" w:rsidR="009B0448" w:rsidRPr="009B0448" w:rsidRDefault="009B0448">
            <w:pPr>
              <w:spacing w:line="276" w:lineRule="auto"/>
              <w:jc w:val="both"/>
              <w:rPr>
                <w:rFonts w:ascii="Times New Roman" w:hAnsi="Times New Roman" w:cs="Times New Roman"/>
              </w:rPr>
            </w:pPr>
          </w:p>
        </w:tc>
        <w:tc>
          <w:tcPr>
            <w:tcW w:w="1919" w:type="dxa"/>
            <w:tcBorders>
              <w:top w:val="single" w:sz="4" w:space="0" w:color="auto"/>
              <w:left w:val="single" w:sz="4" w:space="0" w:color="auto"/>
              <w:bottom w:val="single" w:sz="4" w:space="0" w:color="auto"/>
              <w:right w:val="single" w:sz="4" w:space="0" w:color="auto"/>
            </w:tcBorders>
            <w:hideMark/>
          </w:tcPr>
          <w:p w14:paraId="68733947" w14:textId="77777777" w:rsidR="009B0448" w:rsidRPr="009B0448" w:rsidRDefault="009B0448">
            <w:pPr>
              <w:spacing w:line="276" w:lineRule="auto"/>
              <w:jc w:val="both"/>
              <w:rPr>
                <w:rFonts w:ascii="Times New Roman" w:hAnsi="Times New Roman" w:cs="Times New Roman"/>
                <w:b/>
                <w:i/>
              </w:rPr>
            </w:pPr>
            <w:r w:rsidRPr="009B0448">
              <w:rPr>
                <w:rFonts w:ascii="Times New Roman" w:hAnsi="Times New Roman" w:cs="Times New Roman"/>
                <w:b/>
                <w:i/>
              </w:rPr>
              <w:t>Heritieria</w:t>
            </w:r>
          </w:p>
        </w:tc>
        <w:tc>
          <w:tcPr>
            <w:tcW w:w="2136" w:type="dxa"/>
            <w:tcBorders>
              <w:top w:val="single" w:sz="4" w:space="0" w:color="auto"/>
              <w:left w:val="single" w:sz="4" w:space="0" w:color="auto"/>
              <w:bottom w:val="single" w:sz="4" w:space="0" w:color="auto"/>
              <w:right w:val="single" w:sz="4" w:space="0" w:color="auto"/>
            </w:tcBorders>
            <w:hideMark/>
          </w:tcPr>
          <w:p w14:paraId="27693721" w14:textId="77777777" w:rsidR="009B0448" w:rsidRPr="009B0448" w:rsidRDefault="009B0448">
            <w:pPr>
              <w:spacing w:line="276" w:lineRule="auto"/>
              <w:jc w:val="both"/>
              <w:rPr>
                <w:rFonts w:ascii="Times New Roman" w:hAnsi="Times New Roman" w:cs="Times New Roman"/>
                <w:i/>
              </w:rPr>
            </w:pPr>
            <w:r w:rsidRPr="009B0448">
              <w:rPr>
                <w:rFonts w:ascii="Times New Roman" w:hAnsi="Times New Roman" w:cs="Times New Roman"/>
                <w:i/>
              </w:rPr>
              <w:t>H. littoralis</w:t>
            </w:r>
          </w:p>
        </w:tc>
      </w:tr>
      <w:tr w:rsidR="009B0448" w:rsidRPr="009B0448" w14:paraId="66DDDA14" w14:textId="77777777" w:rsidTr="009B0448">
        <w:trPr>
          <w:trHeight w:val="40"/>
        </w:trPr>
        <w:tc>
          <w:tcPr>
            <w:tcW w:w="988" w:type="dxa"/>
            <w:tcBorders>
              <w:top w:val="single" w:sz="4" w:space="0" w:color="auto"/>
              <w:left w:val="single" w:sz="4" w:space="0" w:color="auto"/>
              <w:bottom w:val="single" w:sz="4" w:space="0" w:color="auto"/>
              <w:right w:val="single" w:sz="4" w:space="0" w:color="auto"/>
            </w:tcBorders>
          </w:tcPr>
          <w:p w14:paraId="3B2DB982" w14:textId="77777777" w:rsidR="009B0448" w:rsidRPr="009B0448" w:rsidRDefault="009B0448">
            <w:pPr>
              <w:spacing w:line="276" w:lineRule="auto"/>
              <w:jc w:val="both"/>
              <w:rPr>
                <w:rFonts w:ascii="Times New Roman" w:hAnsi="Times New Roman" w:cs="Times New Roman"/>
              </w:rPr>
            </w:pPr>
          </w:p>
        </w:tc>
        <w:tc>
          <w:tcPr>
            <w:tcW w:w="1832" w:type="dxa"/>
            <w:tcBorders>
              <w:top w:val="single" w:sz="4" w:space="0" w:color="auto"/>
              <w:left w:val="single" w:sz="4" w:space="0" w:color="auto"/>
              <w:bottom w:val="single" w:sz="4" w:space="0" w:color="auto"/>
              <w:right w:val="single" w:sz="4" w:space="0" w:color="auto"/>
            </w:tcBorders>
            <w:hideMark/>
          </w:tcPr>
          <w:p w14:paraId="643294EE"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Total</w:t>
            </w:r>
          </w:p>
        </w:tc>
        <w:tc>
          <w:tcPr>
            <w:tcW w:w="1835" w:type="dxa"/>
            <w:tcBorders>
              <w:top w:val="single" w:sz="4" w:space="0" w:color="auto"/>
              <w:left w:val="single" w:sz="4" w:space="0" w:color="auto"/>
              <w:bottom w:val="single" w:sz="4" w:space="0" w:color="auto"/>
              <w:right w:val="single" w:sz="4" w:space="0" w:color="auto"/>
            </w:tcBorders>
            <w:hideMark/>
          </w:tcPr>
          <w:p w14:paraId="03884D19"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8</w:t>
            </w:r>
          </w:p>
        </w:tc>
        <w:tc>
          <w:tcPr>
            <w:tcW w:w="1919" w:type="dxa"/>
            <w:tcBorders>
              <w:top w:val="single" w:sz="4" w:space="0" w:color="auto"/>
              <w:left w:val="single" w:sz="4" w:space="0" w:color="auto"/>
              <w:bottom w:val="single" w:sz="4" w:space="0" w:color="auto"/>
              <w:right w:val="single" w:sz="4" w:space="0" w:color="auto"/>
            </w:tcBorders>
          </w:tcPr>
          <w:p w14:paraId="1F027B5F" w14:textId="77777777" w:rsidR="009B0448" w:rsidRPr="009B0448" w:rsidRDefault="009B0448">
            <w:pPr>
              <w:spacing w:line="276" w:lineRule="auto"/>
              <w:jc w:val="both"/>
              <w:rPr>
                <w:rFonts w:ascii="Times New Roman" w:hAnsi="Times New Roman" w:cs="Times New Roman"/>
                <w:b/>
              </w:rPr>
            </w:pPr>
          </w:p>
        </w:tc>
        <w:tc>
          <w:tcPr>
            <w:tcW w:w="2136" w:type="dxa"/>
            <w:tcBorders>
              <w:top w:val="single" w:sz="4" w:space="0" w:color="auto"/>
              <w:left w:val="single" w:sz="4" w:space="0" w:color="auto"/>
              <w:bottom w:val="single" w:sz="4" w:space="0" w:color="auto"/>
              <w:right w:val="single" w:sz="4" w:space="0" w:color="auto"/>
            </w:tcBorders>
            <w:hideMark/>
          </w:tcPr>
          <w:p w14:paraId="3D43A355" w14:textId="77777777" w:rsidR="009B0448" w:rsidRPr="009B0448" w:rsidRDefault="009B0448">
            <w:pPr>
              <w:spacing w:line="276" w:lineRule="auto"/>
              <w:jc w:val="both"/>
              <w:rPr>
                <w:rFonts w:ascii="Times New Roman" w:hAnsi="Times New Roman" w:cs="Times New Roman"/>
                <w:b/>
              </w:rPr>
            </w:pPr>
            <w:r w:rsidRPr="009B0448">
              <w:rPr>
                <w:rFonts w:ascii="Times New Roman" w:hAnsi="Times New Roman" w:cs="Times New Roman"/>
                <w:b/>
              </w:rPr>
              <w:t>17</w:t>
            </w:r>
          </w:p>
        </w:tc>
      </w:tr>
    </w:tbl>
    <w:p w14:paraId="6804282D" w14:textId="64124F72" w:rsidR="006D75C7" w:rsidRDefault="006D75C7" w:rsidP="009B0448">
      <w:pPr>
        <w:spacing w:line="276" w:lineRule="auto"/>
        <w:jc w:val="both"/>
        <w:rPr>
          <w:rFonts w:ascii="Times New Roman" w:hAnsi="Times New Roman" w:cs="Times New Roman"/>
        </w:rPr>
      </w:pPr>
    </w:p>
    <w:p w14:paraId="2D7EA1BB" w14:textId="77777777" w:rsidR="006D75C7" w:rsidRDefault="006D75C7">
      <w:pPr>
        <w:rPr>
          <w:rFonts w:ascii="Times New Roman" w:hAnsi="Times New Roman" w:cs="Times New Roman"/>
        </w:rPr>
      </w:pPr>
      <w:r>
        <w:rPr>
          <w:rFonts w:ascii="Times New Roman" w:hAnsi="Times New Roman" w:cs="Times New Roman"/>
        </w:rPr>
        <w:br w:type="page"/>
      </w:r>
    </w:p>
    <w:p w14:paraId="55EADCB0" w14:textId="77777777" w:rsidR="006D75C7" w:rsidRDefault="006D75C7" w:rsidP="009B0448">
      <w:pPr>
        <w:spacing w:line="276" w:lineRule="auto"/>
        <w:jc w:val="both"/>
        <w:rPr>
          <w:rFonts w:ascii="Times New Roman" w:hAnsi="Times New Roman" w:cs="Times New Roman"/>
          <w:u w:val="single"/>
        </w:rPr>
      </w:pPr>
    </w:p>
    <w:p w14:paraId="36D7840A" w14:textId="77777777" w:rsidR="006D75C7" w:rsidRPr="009B0448" w:rsidRDefault="006D75C7" w:rsidP="006D75C7">
      <w:pPr>
        <w:spacing w:line="276" w:lineRule="auto"/>
        <w:jc w:val="both"/>
        <w:rPr>
          <w:rFonts w:ascii="Times New Roman" w:hAnsi="Times New Roman" w:cs="Times New Roman"/>
        </w:rPr>
      </w:pPr>
      <w:r w:rsidRPr="009B0448">
        <w:rPr>
          <w:rFonts w:ascii="Times New Roman" w:hAnsi="Times New Roman" w:cs="Times New Roman"/>
        </w:rPr>
        <w:t xml:space="preserve">A unique feature of shelf ecosystems in Gabon is the fact that elephants, gorillas, chimpanzees, hippo, forest buffalo and Nile crocodile can often be observed on the beaches. These beaches are also among the world’s most important for nesting marine turtles, particularly leatherbacks (Mayaux </w:t>
      </w:r>
      <w:r w:rsidRPr="009B0448">
        <w:rPr>
          <w:rFonts w:ascii="Times New Roman" w:hAnsi="Times New Roman" w:cs="Times New Roman"/>
          <w:i/>
        </w:rPr>
        <w:t>et al.</w:t>
      </w:r>
      <w:r w:rsidRPr="009B0448">
        <w:rPr>
          <w:rFonts w:ascii="Times New Roman" w:hAnsi="Times New Roman" w:cs="Times New Roman"/>
        </w:rPr>
        <w:t>, 2013). Urbanisation and pollution (contaminants) are the main threats.</w:t>
      </w:r>
    </w:p>
    <w:p w14:paraId="4831BAC9" w14:textId="77777777" w:rsidR="006D75C7" w:rsidRDefault="006D75C7" w:rsidP="009B0448">
      <w:pPr>
        <w:spacing w:line="276" w:lineRule="auto"/>
        <w:jc w:val="both"/>
        <w:rPr>
          <w:rFonts w:ascii="Times New Roman" w:hAnsi="Times New Roman" w:cs="Times New Roman"/>
          <w:u w:val="single"/>
        </w:rPr>
      </w:pPr>
    </w:p>
    <w:p w14:paraId="02862A4E" w14:textId="7F7A1D32" w:rsidR="009B0448" w:rsidRPr="009B0448" w:rsidRDefault="009B0448" w:rsidP="009B0448">
      <w:pPr>
        <w:spacing w:line="276" w:lineRule="auto"/>
        <w:jc w:val="both"/>
        <w:rPr>
          <w:rFonts w:ascii="Times New Roman" w:hAnsi="Times New Roman" w:cs="Times New Roman"/>
          <w:b/>
        </w:rPr>
      </w:pPr>
      <w:r w:rsidRPr="009B0448">
        <w:rPr>
          <w:rFonts w:ascii="Times New Roman" w:hAnsi="Times New Roman" w:cs="Times New Roman"/>
          <w:u w:val="single"/>
        </w:rPr>
        <w:t>Future dynamics:</w:t>
      </w:r>
      <w:r w:rsidRPr="009B0448">
        <w:rPr>
          <w:rFonts w:ascii="Times New Roman" w:hAnsi="Times New Roman" w:cs="Times New Roman"/>
        </w:rPr>
        <w:t xml:space="preserve"> </w:t>
      </w:r>
      <w:r w:rsidRPr="009B0448">
        <w:rPr>
          <w:rFonts w:ascii="Times New Roman" w:eastAsia="Arial" w:hAnsi="Times New Roman" w:cs="Times New Roman"/>
        </w:rPr>
        <w:t>At the current rate, the aquatic units of analysis remain under threat of further decline because of increasing urbani</w:t>
      </w:r>
      <w:r w:rsidR="00C813C5">
        <w:rPr>
          <w:rFonts w:ascii="Times New Roman" w:eastAsia="Arial" w:hAnsi="Times New Roman" w:cs="Times New Roman"/>
        </w:rPr>
        <w:t>s</w:t>
      </w:r>
      <w:r w:rsidRPr="009B0448">
        <w:rPr>
          <w:rFonts w:ascii="Times New Roman" w:eastAsia="Arial" w:hAnsi="Times New Roman" w:cs="Times New Roman"/>
        </w:rPr>
        <w:t>ation, pollution and exploitation. Nevertheless, positive signals are noted with the development of integrated conservation project, such as Emerald Arc project that aims to integrate coastal ecosystems and protected areas in the sustainable development of the city of Libreville.</w:t>
      </w:r>
    </w:p>
    <w:p w14:paraId="7011B1A6"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81" w:name="_Toc519499882"/>
      <w:r w:rsidRPr="009B0448">
        <w:rPr>
          <w:rFonts w:cs="Times New Roman"/>
          <w:b w:val="0"/>
          <w:sz w:val="22"/>
          <w:szCs w:val="22"/>
        </w:rPr>
        <w:t>Open Ocean</w:t>
      </w:r>
      <w:bookmarkEnd w:id="181"/>
    </w:p>
    <w:p w14:paraId="71D919CD"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color w:val="auto"/>
        </w:rPr>
        <w:t xml:space="preserve">Studies on marine species and their ecology in central Africa have been completely neglected. Whenever this information has been obtained, it has been limited to economically useful species (Gabche, 2003; Ogandagas, 2003). Marine resources include commercially valuable fish that are exploited at artisanal and industrial scales. The exploitable species of aquatic fauna within the marine and coastal ecosystems consist essentially of fishes, shrimps and molluscs. Currently the Carangidae, Carcharinidae, Clupeidae, Elopidae, Ephippidae, Haemulidae, Lutjanidae, Paralichthyidae, Polynemidae, Mugilidae, Sciaenidae families are overexploited (Ogandagas, 2003). An accelerated growth of coastal populations has led to crowded conditions where the poor depend on subsistence activities such as fishing, farming, sand and salt mining and production of charcoal (Sherman </w:t>
      </w:r>
      <w:r w:rsidRPr="009B0448">
        <w:rPr>
          <w:rFonts w:ascii="Times New Roman" w:hAnsi="Times New Roman" w:cs="Times New Roman"/>
          <w:i/>
          <w:color w:val="auto"/>
        </w:rPr>
        <w:t>et al</w:t>
      </w:r>
      <w:r w:rsidRPr="009B0448">
        <w:rPr>
          <w:rFonts w:ascii="Times New Roman" w:hAnsi="Times New Roman" w:cs="Times New Roman"/>
          <w:color w:val="auto"/>
        </w:rPr>
        <w:t>., 2008).</w:t>
      </w:r>
    </w:p>
    <w:p w14:paraId="30BFBEFE" w14:textId="77777777" w:rsidR="009B0448" w:rsidRPr="009B0448" w:rsidRDefault="009B0448" w:rsidP="009B0448">
      <w:pPr>
        <w:spacing w:line="276" w:lineRule="auto"/>
        <w:jc w:val="both"/>
        <w:rPr>
          <w:rFonts w:ascii="Times New Roman" w:hAnsi="Times New Roman" w:cs="Times New Roman"/>
          <w:color w:val="auto"/>
        </w:rPr>
      </w:pPr>
    </w:p>
    <w:p w14:paraId="470ED0F1"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82" w:name="_Toc519499883"/>
      <w:r w:rsidRPr="009B0448">
        <w:rPr>
          <w:rFonts w:cs="Times New Roman"/>
          <w:b w:val="0"/>
          <w:sz w:val="22"/>
          <w:szCs w:val="22"/>
        </w:rPr>
        <w:t>Deep-sea</w:t>
      </w:r>
      <w:bookmarkEnd w:id="182"/>
    </w:p>
    <w:p w14:paraId="2C0B6A21"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 deep-sea biological communities in Central Africa are relatively unexplored with available records mainly from geological surveys for prospecting and drilling of hydrocarbons and from historical oceanographic cruises undertaking global navigations. In general, the structure, density and vertical distribution patterns of communities depend on the topographic features of the seabed and source of nutrients. The Congo deep-sea fan, for example, an area of 2,500 km</w:t>
      </w:r>
      <w:r w:rsidRPr="009B0448">
        <w:rPr>
          <w:rFonts w:ascii="Times New Roman" w:hAnsi="Times New Roman" w:cs="Times New Roman"/>
          <w:vertAlign w:val="superscript"/>
        </w:rPr>
        <w:t>2</w:t>
      </w:r>
      <w:r w:rsidRPr="009B0448">
        <w:rPr>
          <w:rFonts w:ascii="Times New Roman" w:hAnsi="Times New Roman" w:cs="Times New Roman"/>
        </w:rPr>
        <w:t xml:space="preserve"> at 47,000 metres depth and 750–800 km offshore, has a unique habitat influenced by high inputs of organic carbon originating from the Congo River by turbidity currents, with high density assemblages of two large sized symbiotic Vesicomyidae bivalve species and microbial mats (Rabouille </w:t>
      </w:r>
      <w:r w:rsidRPr="009B0448">
        <w:rPr>
          <w:rFonts w:ascii="Times New Roman" w:hAnsi="Times New Roman" w:cs="Times New Roman"/>
          <w:i/>
        </w:rPr>
        <w:t>et al.</w:t>
      </w:r>
      <w:r w:rsidRPr="009B0448">
        <w:rPr>
          <w:rFonts w:ascii="Times New Roman" w:hAnsi="Times New Roman" w:cs="Times New Roman"/>
        </w:rPr>
        <w:t xml:space="preserve">, 2016). Although there are no true corals along the continental margin, there have been new observations of deep-water coral reefs </w:t>
      </w:r>
      <w:r w:rsidRPr="009B0448">
        <w:rPr>
          <w:rFonts w:ascii="Times New Roman" w:hAnsi="Times New Roman" w:cs="Times New Roman"/>
          <w:i/>
        </w:rPr>
        <w:t>Lopheliapertusa</w:t>
      </w:r>
      <w:r w:rsidRPr="009B0448">
        <w:rPr>
          <w:rFonts w:ascii="Times New Roman" w:hAnsi="Times New Roman" w:cs="Times New Roman"/>
        </w:rPr>
        <w:t xml:space="preserve"> along the Angola margin that are generally associated with cold seep environments (Le Guillox </w:t>
      </w:r>
      <w:r w:rsidRPr="009B0448">
        <w:rPr>
          <w:rFonts w:ascii="Times New Roman" w:hAnsi="Times New Roman" w:cs="Times New Roman"/>
          <w:i/>
        </w:rPr>
        <w:t>et al.</w:t>
      </w:r>
      <w:r w:rsidRPr="009B0448">
        <w:rPr>
          <w:rFonts w:ascii="Times New Roman" w:hAnsi="Times New Roman" w:cs="Times New Roman"/>
        </w:rPr>
        <w:t xml:space="preserve">, 2009). </w:t>
      </w:r>
    </w:p>
    <w:p w14:paraId="4CF33FD1"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183" w:name="_Toc503105159"/>
      <w:bookmarkStart w:id="184" w:name="_Toc519499884"/>
      <w:r w:rsidRPr="009B0448">
        <w:rPr>
          <w:rFonts w:cs="Times New Roman"/>
          <w:i w:val="0"/>
          <w:sz w:val="22"/>
          <w:szCs w:val="22"/>
        </w:rPr>
        <w:t>East Africa and adjacent islands</w:t>
      </w:r>
      <w:bookmarkEnd w:id="183"/>
      <w:bookmarkEnd w:id="184"/>
    </w:p>
    <w:p w14:paraId="2AE407DF"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85" w:name="_Toc503105160"/>
      <w:bookmarkStart w:id="186" w:name="_Toc519499885"/>
      <w:r w:rsidRPr="009B0448">
        <w:rPr>
          <w:rFonts w:cs="Times New Roman"/>
          <w:sz w:val="22"/>
          <w:szCs w:val="22"/>
        </w:rPr>
        <w:t>Terrestrial</w:t>
      </w:r>
      <w:bookmarkEnd w:id="185"/>
      <w:bookmarkEnd w:id="186"/>
    </w:p>
    <w:p w14:paraId="090ED2C7"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87" w:name="_Toc519499886"/>
      <w:r w:rsidRPr="009B0448">
        <w:rPr>
          <w:rFonts w:cs="Times New Roman"/>
          <w:b w:val="0"/>
          <w:sz w:val="22"/>
          <w:szCs w:val="22"/>
        </w:rPr>
        <w:t>Tropical and subtropical dry and humid forest</w:t>
      </w:r>
      <w:bookmarkEnd w:id="187"/>
    </w:p>
    <w:p w14:paraId="18B8CAD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 tropical and subtropical humid forests of East Africa and adjacent islands comprise lowland and montane forest habitats, which are found in fragmented patches due to human disturbance (lowland forests) or to natural isolation (mountain forests). The East African forests form a small proportion of the forests in Africa–for example representing only 4% of the African rainforests (Mayaux </w:t>
      </w:r>
      <w:r w:rsidRPr="009B0448">
        <w:rPr>
          <w:rFonts w:ascii="Times New Roman" w:hAnsi="Times New Roman" w:cs="Times New Roman"/>
          <w:i/>
        </w:rPr>
        <w:t>et al.</w:t>
      </w:r>
      <w:r w:rsidRPr="009B0448">
        <w:rPr>
          <w:rFonts w:ascii="Times New Roman" w:hAnsi="Times New Roman" w:cs="Times New Roman"/>
        </w:rPr>
        <w:t xml:space="preserve">, 2013). However the lowland and mountain forests of East Africa and adjacent islands are rich in biodiversity. The Malagasy eastern rainforests, for example, contain 159 species of mammals, 217 species of birds and 219 species of amphibians (Mayaux </w:t>
      </w:r>
      <w:r w:rsidRPr="009B0448">
        <w:rPr>
          <w:rFonts w:ascii="Times New Roman" w:hAnsi="Times New Roman" w:cs="Times New Roman"/>
          <w:i/>
        </w:rPr>
        <w:t>et al.</w:t>
      </w:r>
      <w:r w:rsidRPr="009B0448">
        <w:rPr>
          <w:rFonts w:ascii="Times New Roman" w:hAnsi="Times New Roman" w:cs="Times New Roman"/>
        </w:rPr>
        <w:t xml:space="preserve">, 2013) and hold 5% of the world’s plant species (Brown </w:t>
      </w:r>
      <w:r w:rsidRPr="009B0448">
        <w:rPr>
          <w:rFonts w:ascii="Times New Roman" w:hAnsi="Times New Roman" w:cs="Times New Roman"/>
          <w:i/>
        </w:rPr>
        <w:t>et al.</w:t>
      </w:r>
      <w:r w:rsidRPr="009B0448">
        <w:rPr>
          <w:rFonts w:ascii="Times New Roman" w:hAnsi="Times New Roman" w:cs="Times New Roman"/>
        </w:rPr>
        <w:t xml:space="preserve">, 2004), 82% of which are endemic to Madagascar (Callamander </w:t>
      </w:r>
      <w:r w:rsidRPr="009B0448">
        <w:rPr>
          <w:rFonts w:ascii="Times New Roman" w:hAnsi="Times New Roman" w:cs="Times New Roman"/>
          <w:i/>
        </w:rPr>
        <w:t>et al.</w:t>
      </w:r>
      <w:r w:rsidRPr="009B0448">
        <w:rPr>
          <w:rFonts w:ascii="Times New Roman" w:hAnsi="Times New Roman" w:cs="Times New Roman"/>
        </w:rPr>
        <w:t>, 2011). High rates of species endemism are also found in the East African mountain forests in Tanzania and Kenya (Eastern Arc mountains) and Uganda, Rwanda, Burundi and DRC (Albertine Rift Mountains).</w:t>
      </w:r>
    </w:p>
    <w:p w14:paraId="0449D2C7" w14:textId="77777777" w:rsidR="009B0448" w:rsidRPr="009B0448" w:rsidRDefault="009B0448" w:rsidP="009B0448">
      <w:pPr>
        <w:spacing w:line="276" w:lineRule="auto"/>
        <w:jc w:val="both"/>
        <w:rPr>
          <w:rFonts w:ascii="Times New Roman" w:hAnsi="Times New Roman" w:cs="Times New Roman"/>
        </w:rPr>
      </w:pPr>
    </w:p>
    <w:p w14:paraId="1F27D2C5"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Most of the tropical dry forests in East Africa and adjacent islands are located in northern and western Madagascar (Crowley, 2004). They are found within a region that covers 31,970 km</w:t>
      </w:r>
      <w:r w:rsidRPr="009B0448">
        <w:rPr>
          <w:rFonts w:ascii="Times New Roman" w:hAnsi="Times New Roman" w:cs="Times New Roman"/>
          <w:vertAlign w:val="superscript"/>
        </w:rPr>
        <w:t>2</w:t>
      </w:r>
      <w:r w:rsidRPr="009B0448">
        <w:rPr>
          <w:rFonts w:ascii="Times New Roman" w:hAnsi="Times New Roman" w:cs="Times New Roman"/>
        </w:rPr>
        <w:t xml:space="preserve"> of land (Madagascar, 2014), but most of the remaining forest is fragmented with patches up to 35 km</w:t>
      </w:r>
      <w:r w:rsidRPr="009B0448">
        <w:rPr>
          <w:rFonts w:ascii="Times New Roman" w:hAnsi="Times New Roman" w:cs="Times New Roman"/>
          <w:vertAlign w:val="superscript"/>
        </w:rPr>
        <w:t>2</w:t>
      </w:r>
      <w:r w:rsidRPr="009B0448">
        <w:rPr>
          <w:rFonts w:ascii="Times New Roman" w:hAnsi="Times New Roman" w:cs="Times New Roman"/>
        </w:rPr>
        <w:t xml:space="preserve"> (WWF, 2017a). The dry forests of western Madagascar are some of the world’s richest and most distinctive, with high local plant and animal endemism, which includes 101 mammal species, 154 reptile species, 73 bird species, 34 amphibian species and 198 plant species (IUCN, 2017). This region also contains important habitat for 131 of the 186 resident terrestrial bird species in Madagascar (Langrand, 1990). It is also the primary habitat for the island’s largest predator, the fossa (</w:t>
      </w:r>
      <w:r w:rsidRPr="009B0448">
        <w:rPr>
          <w:rFonts w:ascii="Times New Roman" w:hAnsi="Times New Roman" w:cs="Times New Roman"/>
          <w:i/>
        </w:rPr>
        <w:t>Cryptoprocta ferox</w:t>
      </w:r>
      <w:r w:rsidRPr="009B0448">
        <w:rPr>
          <w:rFonts w:ascii="Times New Roman" w:hAnsi="Times New Roman" w:cs="Times New Roman"/>
        </w:rPr>
        <w:t>, Vulnerable), the endemic and Critically Endangered Madagascar side neck turtle (</w:t>
      </w:r>
      <w:r w:rsidRPr="009B0448">
        <w:rPr>
          <w:rFonts w:ascii="Times New Roman" w:hAnsi="Times New Roman" w:cs="Times New Roman"/>
          <w:i/>
        </w:rPr>
        <w:t>Erymnochelys madagascariensis</w:t>
      </w:r>
      <w:r w:rsidRPr="009B0448">
        <w:rPr>
          <w:rFonts w:ascii="Times New Roman" w:hAnsi="Times New Roman" w:cs="Times New Roman"/>
        </w:rPr>
        <w:t>), and one of the most Critically Endangered reptiles in the world, the ploughshare tortoise (</w:t>
      </w:r>
      <w:r w:rsidRPr="009B0448">
        <w:rPr>
          <w:rFonts w:ascii="Times New Roman" w:hAnsi="Times New Roman" w:cs="Times New Roman"/>
          <w:i/>
        </w:rPr>
        <w:t>Astrochelys yniphora</w:t>
      </w:r>
      <w:r w:rsidRPr="009B0448">
        <w:rPr>
          <w:rFonts w:ascii="Times New Roman" w:hAnsi="Times New Roman" w:cs="Times New Roman"/>
        </w:rPr>
        <w:t>).</w:t>
      </w:r>
    </w:p>
    <w:p w14:paraId="55CD8510" w14:textId="77777777" w:rsidR="009B0448" w:rsidRPr="009B0448" w:rsidRDefault="009B0448" w:rsidP="009B0448">
      <w:pPr>
        <w:spacing w:line="276" w:lineRule="auto"/>
        <w:jc w:val="both"/>
        <w:rPr>
          <w:rFonts w:ascii="Times New Roman" w:hAnsi="Times New Roman" w:cs="Times New Roman"/>
        </w:rPr>
      </w:pPr>
    </w:p>
    <w:p w14:paraId="4876AB2D"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 and future dynamics:</w:t>
      </w:r>
      <w:r w:rsidRPr="009B0448">
        <w:rPr>
          <w:rFonts w:ascii="Times New Roman" w:hAnsi="Times New Roman" w:cs="Times New Roman"/>
        </w:rPr>
        <w:t xml:space="preserve"> Similar to other tropical regions, the extent of the lowland and mountain rainforests and dry forests in East Africa has been decreasing. For example, Malagasy eastern rainforests decreased by 1.69% annually from 1990–2000 and 1.08% from 2000–2010 (Mayaux </w:t>
      </w:r>
      <w:r w:rsidRPr="009B0448">
        <w:rPr>
          <w:rFonts w:ascii="Times New Roman" w:hAnsi="Times New Roman" w:cs="Times New Roman"/>
          <w:i/>
        </w:rPr>
        <w:t>et al.</w:t>
      </w:r>
      <w:r w:rsidRPr="009B0448">
        <w:rPr>
          <w:rFonts w:ascii="Times New Roman" w:hAnsi="Times New Roman" w:cs="Times New Roman"/>
        </w:rPr>
        <w:t xml:space="preserve">, 2013), and an estimated 97% of Malagasy dry western forests have been destroyed since human settlement (WWF, 2017c), with an annual deforestation rate of 0.75% from 1990–2000 (Gorenflo </w:t>
      </w:r>
      <w:r w:rsidRPr="009B0448">
        <w:rPr>
          <w:rFonts w:ascii="Times New Roman" w:hAnsi="Times New Roman" w:cs="Times New Roman"/>
          <w:i/>
        </w:rPr>
        <w:t>et al.</w:t>
      </w:r>
      <w:r w:rsidRPr="009B0448">
        <w:rPr>
          <w:rFonts w:ascii="Times New Roman" w:hAnsi="Times New Roman" w:cs="Times New Roman"/>
        </w:rPr>
        <w:t xml:space="preserve">, 2011). </w:t>
      </w:r>
    </w:p>
    <w:p w14:paraId="0B91BA90" w14:textId="77777777" w:rsidR="009B0448" w:rsidRPr="009B0448" w:rsidRDefault="009B0448" w:rsidP="009B0448">
      <w:pPr>
        <w:spacing w:line="276" w:lineRule="auto"/>
        <w:jc w:val="both"/>
        <w:rPr>
          <w:rFonts w:ascii="Times New Roman" w:hAnsi="Times New Roman" w:cs="Times New Roman"/>
        </w:rPr>
      </w:pPr>
    </w:p>
    <w:p w14:paraId="70AED849" w14:textId="24FBF20E"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rPr>
        <w:t xml:space="preserve">In the eastern African coastal forests </w:t>
      </w:r>
      <w:r w:rsidRPr="009B0448">
        <w:rPr>
          <w:rFonts w:ascii="Times New Roman" w:hAnsi="Times New Roman" w:cs="Times New Roman"/>
          <w:color w:val="00000A"/>
        </w:rPr>
        <w:t xml:space="preserve">loss is primarily through conversion to farmland, mainly through shifting cultivations. Overall, coastal forest cover in Tanzania declined by over a third from 420,765 hectares in 1990 to 358,333 hectares in 2000 and to 273,709 </w:t>
      </w:r>
      <w:r w:rsidRPr="009B0448">
        <w:rPr>
          <w:rFonts w:ascii="Times New Roman" w:hAnsi="Times New Roman" w:cs="Times New Roman"/>
          <w:color w:val="auto"/>
        </w:rPr>
        <w:t xml:space="preserve">hectares in 2007. The rate of deforestation has been lower within Tanzanian reserves: </w:t>
      </w:r>
      <w:r w:rsidRPr="00DF623E">
        <w:rPr>
          <w:rFonts w:ascii="Times New Roman" w:hAnsi="Times New Roman" w:cs="Times New Roman"/>
          <w:color w:val="auto"/>
        </w:rPr>
        <w:t>0.2 and 0.4%/</w:t>
      </w:r>
      <w:r w:rsidRPr="00DF623E">
        <w:rPr>
          <w:rFonts w:ascii="Times New Roman" w:hAnsi="Times New Roman" w:cs="Times New Roman"/>
          <w:color w:val="000000" w:themeColor="text1"/>
        </w:rPr>
        <w:t>year during 1990–2000 and 2000–2007, respectively, compared to 1.3 and 0.6%/year outside reserves during the same periods (</w:t>
      </w:r>
      <w:r w:rsidRPr="00DF623E">
        <w:rPr>
          <w:rStyle w:val="BibRef"/>
          <w:rFonts w:cs="Times New Roman"/>
          <w:color w:val="000000" w:themeColor="text1"/>
          <w:sz w:val="22"/>
          <w:szCs w:val="22"/>
          <w:highlight w:val="none"/>
        </w:rPr>
        <w:t xml:space="preserve">Godoy </w:t>
      </w:r>
      <w:r w:rsidRPr="00DF623E">
        <w:rPr>
          <w:rStyle w:val="BibRef"/>
          <w:rFonts w:cs="Times New Roman"/>
          <w:i/>
          <w:color w:val="000000" w:themeColor="text1"/>
          <w:sz w:val="22"/>
          <w:szCs w:val="22"/>
          <w:highlight w:val="none"/>
        </w:rPr>
        <w:t>et al.</w:t>
      </w:r>
      <w:r w:rsidRPr="00DF623E">
        <w:rPr>
          <w:rStyle w:val="BibRef"/>
          <w:rFonts w:cs="Times New Roman"/>
          <w:color w:val="000000" w:themeColor="text1"/>
          <w:sz w:val="22"/>
          <w:szCs w:val="22"/>
          <w:highlight w:val="none"/>
        </w:rPr>
        <w:t>, 201</w:t>
      </w:r>
      <w:hyperlink r:id="rId670" w:anchor="b23" w:history="1">
        <w:r w:rsidRPr="00DF623E">
          <w:rPr>
            <w:rStyle w:val="BibRef"/>
            <w:rFonts w:cs="Times New Roman"/>
            <w:color w:val="000000" w:themeColor="text1"/>
            <w:sz w:val="22"/>
            <w:szCs w:val="22"/>
            <w:highlight w:val="none"/>
          </w:rPr>
          <w:t>2</w:t>
        </w:r>
      </w:hyperlink>
      <w:r w:rsidRPr="00DF623E">
        <w:rPr>
          <w:rStyle w:val="BibRef"/>
          <w:rFonts w:cs="Times New Roman"/>
          <w:color w:val="000000" w:themeColor="text1"/>
          <w:sz w:val="22"/>
          <w:szCs w:val="22"/>
          <w:highlight w:val="none"/>
        </w:rPr>
        <w:t xml:space="preserve">; Burgess </w:t>
      </w:r>
      <w:r w:rsidRPr="00DF623E">
        <w:rPr>
          <w:rStyle w:val="BibRef"/>
          <w:rFonts w:cs="Times New Roman"/>
          <w:i/>
          <w:color w:val="000000" w:themeColor="text1"/>
          <w:sz w:val="22"/>
          <w:szCs w:val="22"/>
          <w:highlight w:val="none"/>
        </w:rPr>
        <w:t>et al.</w:t>
      </w:r>
      <w:r w:rsidRPr="00DF623E">
        <w:rPr>
          <w:rStyle w:val="BibRef"/>
          <w:rFonts w:cs="Times New Roman"/>
          <w:color w:val="000000" w:themeColor="text1"/>
          <w:sz w:val="22"/>
          <w:szCs w:val="22"/>
          <w:highlight w:val="none"/>
        </w:rPr>
        <w:t>, 2017</w:t>
      </w:r>
      <w:r w:rsidRPr="00DF623E">
        <w:rPr>
          <w:rFonts w:ascii="Times New Roman" w:hAnsi="Times New Roman" w:cs="Times New Roman"/>
          <w:color w:val="000000" w:themeColor="text1"/>
        </w:rPr>
        <w:t xml:space="preserve">). In the same forests, estimates by Burgess </w:t>
      </w:r>
      <w:r w:rsidRPr="00DF623E">
        <w:rPr>
          <w:rFonts w:ascii="Times New Roman" w:hAnsi="Times New Roman" w:cs="Times New Roman"/>
          <w:i/>
          <w:color w:val="000000" w:themeColor="text1"/>
        </w:rPr>
        <w:t>et al.</w:t>
      </w:r>
      <w:r w:rsidRPr="00DF623E">
        <w:rPr>
          <w:rFonts w:ascii="Times New Roman" w:hAnsi="Times New Roman" w:cs="Times New Roman"/>
          <w:color w:val="000000" w:themeColor="text1"/>
        </w:rPr>
        <w:t xml:space="preserve"> (2010) of the total carbon emissions per annum from the Coastal forest areas of Tanzania were </w:t>
      </w:r>
      <w:r w:rsidRPr="00DF623E">
        <w:rPr>
          <w:rFonts w:ascii="Times New Roman" w:hAnsi="Times New Roman" w:cs="Times New Roman"/>
          <w:color w:val="auto"/>
        </w:rPr>
        <w:t>631,933 tons of CO</w:t>
      </w:r>
      <w:r w:rsidRPr="00DF623E">
        <w:rPr>
          <w:rFonts w:ascii="Times New Roman" w:hAnsi="Times New Roman" w:cs="Times New Roman"/>
          <w:color w:val="auto"/>
          <w:vertAlign w:val="subscript"/>
        </w:rPr>
        <w:t>2</w:t>
      </w:r>
      <w:r w:rsidRPr="00DF623E">
        <w:rPr>
          <w:rFonts w:ascii="Times New Roman" w:hAnsi="Times New Roman" w:cs="Times New Roman"/>
          <w:color w:val="auto"/>
        </w:rPr>
        <w:t>/year, for the period 1990</w:t>
      </w:r>
      <w:r w:rsidRPr="00DF623E">
        <w:rPr>
          <w:rFonts w:ascii="Times New Roman" w:eastAsia="Times New Roman" w:hAnsi="Times New Roman" w:cs="Times New Roman"/>
        </w:rPr>
        <w:t>–</w:t>
      </w:r>
      <w:r w:rsidRPr="00DF623E">
        <w:rPr>
          <w:rFonts w:ascii="Times New Roman" w:hAnsi="Times New Roman" w:cs="Times New Roman"/>
        </w:rPr>
        <w:t>2000 and had declined to 198,154 tons of CO</w:t>
      </w:r>
      <w:r w:rsidRPr="00DF623E">
        <w:rPr>
          <w:rFonts w:ascii="Times New Roman" w:hAnsi="Times New Roman" w:cs="Times New Roman"/>
          <w:vertAlign w:val="subscript"/>
        </w:rPr>
        <w:t>2</w:t>
      </w:r>
      <w:r w:rsidRPr="00DF623E">
        <w:rPr>
          <w:rFonts w:ascii="Times New Roman" w:hAnsi="Times New Roman" w:cs="Times New Roman"/>
        </w:rPr>
        <w:t>/year by the period 2000</w:t>
      </w:r>
      <w:r w:rsidRPr="00DF623E">
        <w:rPr>
          <w:rFonts w:ascii="Times New Roman" w:eastAsia="Times New Roman" w:hAnsi="Times New Roman" w:cs="Times New Roman"/>
        </w:rPr>
        <w:t>–</w:t>
      </w:r>
      <w:r w:rsidRPr="00DF623E">
        <w:rPr>
          <w:rFonts w:ascii="Times New Roman" w:hAnsi="Times New Roman" w:cs="Times New Roman"/>
        </w:rPr>
        <w:t>2007. Elsewhere, monitoring data collected over a three year period from 2005</w:t>
      </w:r>
      <w:r w:rsidRPr="00DF623E">
        <w:rPr>
          <w:rFonts w:ascii="Times New Roman" w:eastAsia="Times New Roman" w:hAnsi="Times New Roman" w:cs="Times New Roman"/>
        </w:rPr>
        <w:t>–</w:t>
      </w:r>
      <w:r w:rsidRPr="00DF623E">
        <w:rPr>
          <w:rFonts w:ascii="Times New Roman" w:hAnsi="Times New Roman" w:cs="Times New Roman"/>
        </w:rPr>
        <w:t>2008 in 67 permanent transects in</w:t>
      </w:r>
      <w:r w:rsidRPr="009B0448">
        <w:rPr>
          <w:rFonts w:ascii="Times New Roman" w:hAnsi="Times New Roman" w:cs="Times New Roman"/>
        </w:rPr>
        <w:t xml:space="preserve"> Arabuko-Sokoke forest by Virani </w:t>
      </w:r>
      <w:r w:rsidRPr="009B0448">
        <w:rPr>
          <w:rFonts w:ascii="Times New Roman" w:hAnsi="Times New Roman" w:cs="Times New Roman"/>
          <w:i/>
        </w:rPr>
        <w:t xml:space="preserve">et al. </w:t>
      </w:r>
      <w:r w:rsidRPr="009B0448">
        <w:rPr>
          <w:rFonts w:ascii="Times New Roman" w:hAnsi="Times New Roman" w:cs="Times New Roman"/>
        </w:rPr>
        <w:t xml:space="preserve">(2010) showed a steady but not statistically significant decline in Sokoke Scops-Owl densities. </w:t>
      </w:r>
    </w:p>
    <w:p w14:paraId="7EAC6EA3"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88" w:name="_Toc519499887"/>
      <w:r w:rsidRPr="009B0448">
        <w:rPr>
          <w:rFonts w:cs="Times New Roman"/>
          <w:b w:val="0"/>
          <w:sz w:val="22"/>
          <w:szCs w:val="22"/>
        </w:rPr>
        <w:t>High mountain habitats</w:t>
      </w:r>
      <w:bookmarkEnd w:id="188"/>
    </w:p>
    <w:p w14:paraId="381D68D0"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u w:val="single"/>
        </w:rPr>
        <w:t>Status:</w:t>
      </w:r>
      <w:r w:rsidRPr="009B0448">
        <w:rPr>
          <w:rFonts w:ascii="Times New Roman" w:hAnsi="Times New Roman" w:cs="Times New Roman"/>
        </w:rPr>
        <w:t xml:space="preserve"> East Africa </w:t>
      </w:r>
      <w:r w:rsidRPr="009B0448">
        <w:rPr>
          <w:rFonts w:ascii="Times New Roman" w:hAnsi="Times New Roman" w:cs="Times New Roman"/>
          <w:color w:val="auto"/>
        </w:rPr>
        <w:t xml:space="preserve">and adjacent islands are home to the three highest mountains on the continent: Kilimanjaro (5,895 metres), Mount Kenya (5,119 metres) and the Rwenzori Mountains (5,109 metres) (Alweny </w:t>
      </w:r>
      <w:r w:rsidRPr="009B0448">
        <w:rPr>
          <w:rFonts w:ascii="Times New Roman" w:hAnsi="Times New Roman" w:cs="Times New Roman"/>
          <w:i/>
          <w:color w:val="auto"/>
        </w:rPr>
        <w:t>et al.</w:t>
      </w:r>
      <w:r w:rsidRPr="009B0448">
        <w:rPr>
          <w:rFonts w:ascii="Times New Roman" w:hAnsi="Times New Roman" w:cs="Times New Roman"/>
          <w:color w:val="auto"/>
        </w:rPr>
        <w:t xml:space="preserve">, 2014; UNEP, 2014). There are also extensive highland regions in Ethiopia. These mountains are the source of many of the major rivers in the region, such as the Nile, and are rich in biodiversity. </w:t>
      </w:r>
    </w:p>
    <w:p w14:paraId="5B4AC84E" w14:textId="77777777" w:rsidR="009B0448" w:rsidRPr="009B0448" w:rsidRDefault="009B0448" w:rsidP="009B0448">
      <w:pPr>
        <w:spacing w:line="276" w:lineRule="auto"/>
        <w:jc w:val="both"/>
        <w:rPr>
          <w:rFonts w:ascii="Times New Roman" w:hAnsi="Times New Roman" w:cs="Times New Roman"/>
          <w:color w:val="auto"/>
        </w:rPr>
      </w:pPr>
    </w:p>
    <w:p w14:paraId="5EF342E2" w14:textId="7C706BD4"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mountain areas of the Eastern African region (and also into Arabia) have been grouped together in the ‘Eastern Afromontane’ hotspot by Conservation International (Mittermeier </w:t>
      </w:r>
      <w:r w:rsidRPr="009B0448">
        <w:rPr>
          <w:rFonts w:ascii="Times New Roman" w:hAnsi="Times New Roman" w:cs="Times New Roman"/>
          <w:i/>
        </w:rPr>
        <w:t>et al.</w:t>
      </w:r>
      <w:r w:rsidRPr="009B0448">
        <w:rPr>
          <w:rFonts w:ascii="Times New Roman" w:hAnsi="Times New Roman" w:cs="Times New Roman"/>
        </w:rPr>
        <w:t>, 2004). The flora of the Eastern Afromontane shows great continuity across the montane massifs, with its composition changing with increasing altitude. At the highest elevations, such as the Rwenzori Mountains, the Aberdares, Mt. Elgon, Mt. Kilimanjaro, Mt. Kenya, and the Bale and Simien Mountains in Ethiopia, Afro-alpine vegetation typically occurs above 3,400 metres. Afro-alpine vegetation is characterized by the presence of giant senecios (</w:t>
      </w:r>
      <w:r w:rsidRPr="009B0448">
        <w:rPr>
          <w:rFonts w:ascii="Times New Roman" w:hAnsi="Times New Roman" w:cs="Times New Roman"/>
          <w:i/>
        </w:rPr>
        <w:t xml:space="preserve">Dendrosenecio </w:t>
      </w:r>
      <w:r w:rsidRPr="009B0448">
        <w:rPr>
          <w:rFonts w:ascii="Times New Roman" w:hAnsi="Times New Roman" w:cs="Times New Roman"/>
        </w:rPr>
        <w:t>spp.), giant lobelias (</w:t>
      </w:r>
      <w:r w:rsidRPr="009B0448">
        <w:rPr>
          <w:rFonts w:ascii="Times New Roman" w:hAnsi="Times New Roman" w:cs="Times New Roman"/>
          <w:i/>
        </w:rPr>
        <w:t xml:space="preserve">Lobelia </w:t>
      </w:r>
      <w:r w:rsidRPr="009B0448">
        <w:rPr>
          <w:rFonts w:ascii="Times New Roman" w:hAnsi="Times New Roman" w:cs="Times New Roman"/>
        </w:rPr>
        <w:t xml:space="preserve">spp.), and </w:t>
      </w:r>
      <w:r w:rsidRPr="009B0448">
        <w:rPr>
          <w:rFonts w:ascii="Times New Roman" w:hAnsi="Times New Roman" w:cs="Times New Roman"/>
          <w:i/>
        </w:rPr>
        <w:t xml:space="preserve">Helichrysum </w:t>
      </w:r>
      <w:r w:rsidRPr="009B0448">
        <w:rPr>
          <w:rFonts w:ascii="Times New Roman" w:hAnsi="Times New Roman" w:cs="Times New Roman"/>
        </w:rPr>
        <w:t>scrub (McGinley, 2009). There are also about 13 endemic species of African primroses (</w:t>
      </w:r>
      <w:r w:rsidRPr="009B0448">
        <w:rPr>
          <w:rFonts w:ascii="Times New Roman" w:hAnsi="Times New Roman" w:cs="Times New Roman"/>
          <w:i/>
        </w:rPr>
        <w:t xml:space="preserve">Streptocarpus </w:t>
      </w:r>
      <w:r w:rsidRPr="009B0448">
        <w:rPr>
          <w:rFonts w:ascii="Times New Roman" w:hAnsi="Times New Roman" w:cs="Times New Roman"/>
        </w:rPr>
        <w:t xml:space="preserve">spp.) in the Eastern Arc Mountains, and 18 endemic species of </w:t>
      </w:r>
      <w:r w:rsidRPr="009B0448">
        <w:rPr>
          <w:rFonts w:ascii="Times New Roman" w:hAnsi="Times New Roman" w:cs="Times New Roman"/>
          <w:i/>
        </w:rPr>
        <w:t>Impatiens</w:t>
      </w:r>
      <w:r w:rsidRPr="009B0448">
        <w:rPr>
          <w:rFonts w:ascii="Times New Roman" w:hAnsi="Times New Roman" w:cs="Times New Roman"/>
        </w:rPr>
        <w:t xml:space="preserve"> in the Albertine Rift (McGinley, 2009). The Eastern Afromontane hotspot is also home to nearly 500 mammal species, more than 100 of which are endemic to the region. Although several of Africa‘s larger flagship mammals, including the African bush elephant (</w:t>
      </w:r>
      <w:r w:rsidRPr="009B0448">
        <w:rPr>
          <w:rFonts w:ascii="Times New Roman" w:hAnsi="Times New Roman" w:cs="Times New Roman"/>
          <w:i/>
        </w:rPr>
        <w:t>Loxodonta africana</w:t>
      </w:r>
      <w:r w:rsidRPr="009B0448">
        <w:rPr>
          <w:rFonts w:ascii="Times New Roman" w:hAnsi="Times New Roman" w:cs="Times New Roman"/>
        </w:rPr>
        <w:t>, Vulnerable) and leopard (</w:t>
      </w:r>
      <w:r w:rsidRPr="009B0448">
        <w:rPr>
          <w:rFonts w:ascii="Times New Roman" w:hAnsi="Times New Roman" w:cs="Times New Roman"/>
          <w:i/>
        </w:rPr>
        <w:t>Panthera pardus,</w:t>
      </w:r>
      <w:r w:rsidRPr="009B0448">
        <w:rPr>
          <w:rFonts w:ascii="Times New Roman" w:hAnsi="Times New Roman" w:cs="Times New Roman"/>
        </w:rPr>
        <w:t xml:space="preserve"> Vulnerable), are found in this hotspot, the majority of threatened species are primates and smaller mammals. The total birds number exceeds the 1,300 species initially reported by Mittermeier </w:t>
      </w:r>
      <w:r w:rsidRPr="009B0448">
        <w:rPr>
          <w:rFonts w:ascii="Times New Roman" w:hAnsi="Times New Roman" w:cs="Times New Roman"/>
          <w:i/>
        </w:rPr>
        <w:t>et al.</w:t>
      </w:r>
      <w:r w:rsidRPr="009B0448">
        <w:rPr>
          <w:rFonts w:ascii="Times New Roman" w:hAnsi="Times New Roman" w:cs="Times New Roman"/>
        </w:rPr>
        <w:t xml:space="preserve"> (2004), and includes 157 endemics (Lincoln Fishpool, personal communication), 102 of which are restricted range species found within the eight endemic Bird Areas recogni</w:t>
      </w:r>
      <w:r w:rsidR="00C813C5">
        <w:rPr>
          <w:rFonts w:ascii="Times New Roman" w:hAnsi="Times New Roman" w:cs="Times New Roman"/>
        </w:rPr>
        <w:t>s</w:t>
      </w:r>
      <w:r w:rsidRPr="009B0448">
        <w:rPr>
          <w:rFonts w:ascii="Times New Roman" w:hAnsi="Times New Roman" w:cs="Times New Roman"/>
        </w:rPr>
        <w:t xml:space="preserve">ed by BirdLife International. New species continue to be discovered, particularly from the Eastern Arc Mountains of Tanzania (Bowie </w:t>
      </w:r>
      <w:r w:rsidRPr="009B0448">
        <w:rPr>
          <w:rFonts w:ascii="Times New Roman" w:hAnsi="Times New Roman" w:cs="Times New Roman"/>
          <w:i/>
        </w:rPr>
        <w:t>et al.</w:t>
      </w:r>
      <w:r w:rsidRPr="009B0448">
        <w:rPr>
          <w:rFonts w:ascii="Times New Roman" w:hAnsi="Times New Roman" w:cs="Times New Roman"/>
        </w:rPr>
        <w:t xml:space="preserve">, 2004, 2009). Nearly 350 reptile species are found in the Eastern Afromontane hotspot. More than 90 species are endemic, most of which are chameleons. The Eastern Afromontane hotspot is also home to more than 323 amphibian species, more than 100 of which are endemic. </w:t>
      </w:r>
    </w:p>
    <w:p w14:paraId="3559BD2E" w14:textId="77777777" w:rsidR="009B0448" w:rsidRPr="009B0448" w:rsidRDefault="009B0448" w:rsidP="009B0448">
      <w:pPr>
        <w:spacing w:line="276" w:lineRule="auto"/>
        <w:jc w:val="both"/>
        <w:rPr>
          <w:rFonts w:ascii="Times New Roman" w:hAnsi="Times New Roman" w:cs="Times New Roman"/>
        </w:rPr>
      </w:pPr>
    </w:p>
    <w:p w14:paraId="4EBB68D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There are three main areas of biological rich highland forest and moorland habitats in the region: The Ethiopian Highlands, the Albertine Rift and the Eastern Arc Mountains. These are presented in turn below.</w:t>
      </w:r>
    </w:p>
    <w:p w14:paraId="06B13BB3" w14:textId="77777777" w:rsidR="009B0448" w:rsidRPr="009B0448" w:rsidRDefault="009B0448" w:rsidP="009B0448">
      <w:pPr>
        <w:spacing w:line="276" w:lineRule="auto"/>
        <w:jc w:val="both"/>
        <w:rPr>
          <w:rFonts w:ascii="Times New Roman" w:hAnsi="Times New Roman" w:cs="Times New Roman"/>
        </w:rPr>
      </w:pPr>
    </w:p>
    <w:p w14:paraId="584BFBB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 Ethiopian Highlands cover an area of 490,000 km</w:t>
      </w:r>
      <w:r w:rsidRPr="009B0448">
        <w:rPr>
          <w:rFonts w:ascii="Times New Roman" w:hAnsi="Times New Roman" w:cs="Times New Roman"/>
          <w:vertAlign w:val="superscript"/>
        </w:rPr>
        <w:t>2</w:t>
      </w:r>
      <w:r w:rsidRPr="009B0448">
        <w:rPr>
          <w:rFonts w:ascii="Times New Roman" w:hAnsi="Times New Roman" w:cs="Times New Roman"/>
        </w:rPr>
        <w:t xml:space="preserve"> (Subhatu </w:t>
      </w:r>
      <w:r w:rsidRPr="009B0448">
        <w:rPr>
          <w:rFonts w:ascii="Times New Roman" w:hAnsi="Times New Roman" w:cs="Times New Roman"/>
          <w:i/>
        </w:rPr>
        <w:t>et al.</w:t>
      </w:r>
      <w:r w:rsidRPr="009B0448">
        <w:rPr>
          <w:rFonts w:ascii="Times New Roman" w:hAnsi="Times New Roman" w:cs="Times New Roman"/>
        </w:rPr>
        <w:t xml:space="preserve">, 2017) straddling Ethiopia and Eritrea, harbour an estimated 5,200 plant species, of which at least 200 are endemic. The genus </w:t>
      </w:r>
      <w:r w:rsidRPr="009B0448">
        <w:rPr>
          <w:rFonts w:ascii="Times New Roman" w:hAnsi="Times New Roman" w:cs="Times New Roman"/>
          <w:i/>
        </w:rPr>
        <w:t>Senecio</w:t>
      </w:r>
      <w:r w:rsidRPr="009B0448">
        <w:rPr>
          <w:rFonts w:ascii="Times New Roman" w:hAnsi="Times New Roman" w:cs="Times New Roman"/>
        </w:rPr>
        <w:t xml:space="preserve"> is particularly diverse, with a dozen species found nowhere else. This area also has a monotypic endemic genus, </w:t>
      </w:r>
      <w:r w:rsidRPr="009B0448">
        <w:rPr>
          <w:rFonts w:ascii="Times New Roman" w:hAnsi="Times New Roman" w:cs="Times New Roman"/>
          <w:i/>
        </w:rPr>
        <w:t xml:space="preserve">Nephrophyllum abyssinicum, </w:t>
      </w:r>
      <w:r w:rsidRPr="009B0448">
        <w:rPr>
          <w:rFonts w:ascii="Times New Roman" w:hAnsi="Times New Roman" w:cs="Times New Roman"/>
        </w:rPr>
        <w:t xml:space="preserve">which is found on heavily grazed pastures, open ground, and rocky areas on steep slopes between 1,650 and 2,700 metres. Many species common in montane forest, such as trees of the genera </w:t>
      </w:r>
      <w:r w:rsidRPr="009B0448">
        <w:rPr>
          <w:rFonts w:ascii="Times New Roman" w:hAnsi="Times New Roman" w:cs="Times New Roman"/>
          <w:i/>
        </w:rPr>
        <w:t xml:space="preserve">Podocarpus </w:t>
      </w:r>
      <w:r w:rsidRPr="009B0448">
        <w:rPr>
          <w:rFonts w:ascii="Times New Roman" w:hAnsi="Times New Roman" w:cs="Times New Roman"/>
        </w:rPr>
        <w:t xml:space="preserve">and </w:t>
      </w:r>
      <w:r w:rsidRPr="009B0448">
        <w:rPr>
          <w:rFonts w:ascii="Times New Roman" w:hAnsi="Times New Roman" w:cs="Times New Roman"/>
          <w:i/>
        </w:rPr>
        <w:t xml:space="preserve">Juniperus </w:t>
      </w:r>
      <w:r w:rsidRPr="009B0448">
        <w:rPr>
          <w:rFonts w:ascii="Times New Roman" w:hAnsi="Times New Roman" w:cs="Times New Roman"/>
        </w:rPr>
        <w:t>have economic importance, while several crops including coffee (</w:t>
      </w:r>
      <w:r w:rsidRPr="009B0448">
        <w:rPr>
          <w:rFonts w:ascii="Times New Roman" w:hAnsi="Times New Roman" w:cs="Times New Roman"/>
          <w:i/>
        </w:rPr>
        <w:t>Coffea arabica</w:t>
      </w:r>
      <w:r w:rsidRPr="009B0448">
        <w:rPr>
          <w:rFonts w:ascii="Times New Roman" w:hAnsi="Times New Roman" w:cs="Times New Roman"/>
        </w:rPr>
        <w:t>, Least Concern) and tef (</w:t>
      </w:r>
      <w:r w:rsidRPr="009B0448">
        <w:rPr>
          <w:rFonts w:ascii="Times New Roman" w:hAnsi="Times New Roman" w:cs="Times New Roman"/>
          <w:i/>
        </w:rPr>
        <w:t>Eragrostis tef</w:t>
      </w:r>
      <w:r w:rsidRPr="009B0448">
        <w:rPr>
          <w:rFonts w:ascii="Times New Roman" w:hAnsi="Times New Roman" w:cs="Times New Roman"/>
        </w:rPr>
        <w:t xml:space="preserve">) from the Ethiopian Highlands have been domesticated (McGinley, 2009). A zone of bamboo is often found between 2,000 and 3,000 metres, above which there is often a </w:t>
      </w:r>
      <w:r w:rsidRPr="009B0448">
        <w:rPr>
          <w:rFonts w:ascii="Times New Roman" w:hAnsi="Times New Roman" w:cs="Times New Roman"/>
          <w:i/>
        </w:rPr>
        <w:t xml:space="preserve">Hagenia </w:t>
      </w:r>
      <w:r w:rsidRPr="009B0448">
        <w:rPr>
          <w:rFonts w:ascii="Times New Roman" w:hAnsi="Times New Roman" w:cs="Times New Roman"/>
        </w:rPr>
        <w:t xml:space="preserve">forest zone up to 3,600 metres. </w:t>
      </w:r>
    </w:p>
    <w:p w14:paraId="7604BCCC" w14:textId="77777777" w:rsidR="009B0448" w:rsidRPr="009B0448" w:rsidRDefault="009B0448" w:rsidP="009B0448">
      <w:pPr>
        <w:spacing w:line="276" w:lineRule="auto"/>
        <w:jc w:val="both"/>
        <w:rPr>
          <w:rFonts w:ascii="Times New Roman" w:hAnsi="Times New Roman" w:cs="Times New Roman"/>
        </w:rPr>
      </w:pPr>
    </w:p>
    <w:p w14:paraId="2ECBE11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More than 30 of the nearly 200 mammals found in the Ethiopian Highlands are found nowhere else, including a remarkable six endemic genera, four of which are monotypic: three rodents (</w:t>
      </w:r>
      <w:r w:rsidRPr="009B0448">
        <w:rPr>
          <w:rFonts w:ascii="Times New Roman" w:hAnsi="Times New Roman" w:cs="Times New Roman"/>
          <w:i/>
        </w:rPr>
        <w:t>Megadendromus</w:t>
      </w:r>
      <w:r w:rsidRPr="009B0448">
        <w:rPr>
          <w:rFonts w:ascii="Times New Roman" w:hAnsi="Times New Roman" w:cs="Times New Roman"/>
        </w:rPr>
        <w:t xml:space="preserve">, </w:t>
      </w:r>
      <w:r w:rsidRPr="009B0448">
        <w:rPr>
          <w:rFonts w:ascii="Times New Roman" w:hAnsi="Times New Roman" w:cs="Times New Roman"/>
          <w:i/>
        </w:rPr>
        <w:t>Muriculus</w:t>
      </w:r>
      <w:r w:rsidRPr="009B0448">
        <w:rPr>
          <w:rFonts w:ascii="Times New Roman" w:hAnsi="Times New Roman" w:cs="Times New Roman"/>
        </w:rPr>
        <w:t xml:space="preserve"> (Least Concern)</w:t>
      </w:r>
      <w:r w:rsidRPr="009B0448">
        <w:rPr>
          <w:rFonts w:ascii="Times New Roman" w:hAnsi="Times New Roman" w:cs="Times New Roman"/>
          <w:i/>
        </w:rPr>
        <w:t xml:space="preserve"> </w:t>
      </w:r>
      <w:r w:rsidRPr="009B0448">
        <w:rPr>
          <w:rFonts w:ascii="Times New Roman" w:hAnsi="Times New Roman" w:cs="Times New Roman"/>
        </w:rPr>
        <w:t xml:space="preserve">and </w:t>
      </w:r>
      <w:r w:rsidRPr="009B0448">
        <w:rPr>
          <w:rFonts w:ascii="Times New Roman" w:hAnsi="Times New Roman" w:cs="Times New Roman"/>
          <w:i/>
        </w:rPr>
        <w:t>Nilopegamys</w:t>
      </w:r>
      <w:r w:rsidRPr="009B0448">
        <w:rPr>
          <w:rFonts w:ascii="Times New Roman" w:hAnsi="Times New Roman" w:cs="Times New Roman"/>
        </w:rPr>
        <w:t xml:space="preserve"> (Critically Endangered) and one primate, the gelada (</w:t>
      </w:r>
      <w:r w:rsidRPr="009B0448">
        <w:rPr>
          <w:rFonts w:ascii="Times New Roman" w:hAnsi="Times New Roman" w:cs="Times New Roman"/>
          <w:i/>
        </w:rPr>
        <w:t>Theropithecus gelada</w:t>
      </w:r>
      <w:r w:rsidRPr="009B0448">
        <w:rPr>
          <w:rFonts w:ascii="Times New Roman" w:hAnsi="Times New Roman" w:cs="Times New Roman"/>
        </w:rPr>
        <w:t xml:space="preserve">, Least Concern). The gelada is peculiar in that it is the only remaining primate to feed exclusively on plants–mostly grasses (Gippoliti </w:t>
      </w:r>
      <w:r w:rsidRPr="009B0448">
        <w:rPr>
          <w:rFonts w:ascii="Times New Roman" w:hAnsi="Times New Roman" w:cs="Times New Roman"/>
          <w:i/>
        </w:rPr>
        <w:t>et al.</w:t>
      </w:r>
      <w:r w:rsidRPr="009B0448">
        <w:rPr>
          <w:rFonts w:ascii="Times New Roman" w:hAnsi="Times New Roman" w:cs="Times New Roman"/>
        </w:rPr>
        <w:t>, 2008). The Ethiopian wolf (</w:t>
      </w:r>
      <w:r w:rsidRPr="009B0448">
        <w:rPr>
          <w:rFonts w:ascii="Times New Roman" w:hAnsi="Times New Roman" w:cs="Times New Roman"/>
          <w:i/>
        </w:rPr>
        <w:t>Canis simensis</w:t>
      </w:r>
      <w:r w:rsidRPr="009B0448">
        <w:rPr>
          <w:rFonts w:ascii="Times New Roman" w:hAnsi="Times New Roman" w:cs="Times New Roman"/>
        </w:rPr>
        <w:t xml:space="preserve">, Endangered) is an endemic species found in the Afro-alpine ecosystem of the Ethiopian Highlands; with around 440 individuals in seven small and isolated populations, this wolf is the rarest canid in the world; with around 440 individuals in seven small and isolated populations, this wolf is the rarest canid in the world (Sillero-Zubiri </w:t>
      </w:r>
      <w:r w:rsidRPr="009B0448">
        <w:rPr>
          <w:rFonts w:ascii="Times New Roman" w:hAnsi="Times New Roman" w:cs="Times New Roman"/>
          <w:i/>
        </w:rPr>
        <w:t>et al.</w:t>
      </w:r>
      <w:r w:rsidRPr="009B0448">
        <w:rPr>
          <w:rFonts w:ascii="Times New Roman" w:hAnsi="Times New Roman" w:cs="Times New Roman"/>
        </w:rPr>
        <w:t xml:space="preserve">, 1997). </w:t>
      </w:r>
    </w:p>
    <w:p w14:paraId="5E86CFF3" w14:textId="77777777" w:rsidR="009B0448" w:rsidRPr="009B0448" w:rsidRDefault="009B0448" w:rsidP="009B0448">
      <w:pPr>
        <w:spacing w:line="276" w:lineRule="auto"/>
        <w:jc w:val="both"/>
        <w:rPr>
          <w:rFonts w:ascii="Times New Roman" w:hAnsi="Times New Roman" w:cs="Times New Roman"/>
        </w:rPr>
      </w:pPr>
    </w:p>
    <w:p w14:paraId="74E477A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About 680 species of birds are found in the Ethiopian Highlands, some 30 of which are endemic. Four endemic genera are found in this part of the hotspot, including three that are relatively widespread within it (</w:t>
      </w:r>
      <w:r w:rsidRPr="009B0448">
        <w:rPr>
          <w:rFonts w:ascii="Times New Roman" w:hAnsi="Times New Roman" w:cs="Times New Roman"/>
          <w:i/>
        </w:rPr>
        <w:t>Cyanochen</w:t>
      </w:r>
      <w:r w:rsidRPr="009B0448">
        <w:rPr>
          <w:rFonts w:ascii="Times New Roman" w:hAnsi="Times New Roman" w:cs="Times New Roman"/>
        </w:rPr>
        <w:t xml:space="preserve"> (Vulnerable)</w:t>
      </w:r>
      <w:r w:rsidRPr="009B0448">
        <w:rPr>
          <w:rFonts w:ascii="Times New Roman" w:hAnsi="Times New Roman" w:cs="Times New Roman"/>
          <w:i/>
        </w:rPr>
        <w:t>, Rougetius</w:t>
      </w:r>
      <w:r w:rsidRPr="009B0448">
        <w:rPr>
          <w:rFonts w:ascii="Times New Roman" w:hAnsi="Times New Roman" w:cs="Times New Roman"/>
        </w:rPr>
        <w:t xml:space="preserve"> (Near Threatened)</w:t>
      </w:r>
      <w:r w:rsidRPr="009B0448">
        <w:rPr>
          <w:rFonts w:ascii="Times New Roman" w:hAnsi="Times New Roman" w:cs="Times New Roman"/>
          <w:i/>
        </w:rPr>
        <w:t xml:space="preserve"> </w:t>
      </w:r>
      <w:r w:rsidRPr="009B0448">
        <w:rPr>
          <w:rFonts w:ascii="Times New Roman" w:hAnsi="Times New Roman" w:cs="Times New Roman"/>
        </w:rPr>
        <w:t xml:space="preserve">and </w:t>
      </w:r>
      <w:r w:rsidRPr="009B0448">
        <w:rPr>
          <w:rFonts w:ascii="Times New Roman" w:hAnsi="Times New Roman" w:cs="Times New Roman"/>
          <w:i/>
        </w:rPr>
        <w:t>Parophasma</w:t>
      </w:r>
      <w:r w:rsidRPr="009B0448">
        <w:rPr>
          <w:rFonts w:ascii="Times New Roman" w:hAnsi="Times New Roman" w:cs="Times New Roman"/>
        </w:rPr>
        <w:t xml:space="preserve"> (Least Concern)) and one that has a localized distribution in the south (</w:t>
      </w:r>
      <w:r w:rsidRPr="009B0448">
        <w:rPr>
          <w:rFonts w:ascii="Times New Roman" w:hAnsi="Times New Roman" w:cs="Times New Roman"/>
          <w:i/>
        </w:rPr>
        <w:t>Zavattariornis</w:t>
      </w:r>
      <w:r w:rsidRPr="009B0448">
        <w:rPr>
          <w:rFonts w:ascii="Times New Roman" w:hAnsi="Times New Roman" w:cs="Times New Roman"/>
        </w:rPr>
        <w:t>, Endangered). Six endemic genera of amphibians are found in the Ethiopian Highlands, four of which are monotypic (</w:t>
      </w:r>
      <w:r w:rsidRPr="009B0448">
        <w:rPr>
          <w:rFonts w:ascii="Times New Roman" w:hAnsi="Times New Roman" w:cs="Times New Roman"/>
          <w:i/>
        </w:rPr>
        <w:t>Altiphrynoides</w:t>
      </w:r>
      <w:r w:rsidRPr="009B0448">
        <w:rPr>
          <w:rFonts w:ascii="Times New Roman" w:hAnsi="Times New Roman" w:cs="Times New Roman"/>
        </w:rPr>
        <w:t xml:space="preserve">, </w:t>
      </w:r>
      <w:r w:rsidRPr="009B0448">
        <w:rPr>
          <w:rFonts w:ascii="Times New Roman" w:hAnsi="Times New Roman" w:cs="Times New Roman"/>
          <w:i/>
        </w:rPr>
        <w:t>Spinophrynoides</w:t>
      </w:r>
      <w:r w:rsidRPr="009B0448">
        <w:rPr>
          <w:rFonts w:ascii="Times New Roman" w:hAnsi="Times New Roman" w:cs="Times New Roman"/>
        </w:rPr>
        <w:t xml:space="preserve"> (Critically Endangered), </w:t>
      </w:r>
      <w:r w:rsidRPr="009B0448">
        <w:rPr>
          <w:rFonts w:ascii="Times New Roman" w:hAnsi="Times New Roman" w:cs="Times New Roman"/>
          <w:i/>
        </w:rPr>
        <w:t>Balebreviceps</w:t>
      </w:r>
      <w:r w:rsidRPr="009B0448">
        <w:rPr>
          <w:rFonts w:ascii="Times New Roman" w:hAnsi="Times New Roman" w:cs="Times New Roman"/>
        </w:rPr>
        <w:t xml:space="preserve"> (Critically Endangered)</w:t>
      </w:r>
      <w:r w:rsidRPr="009B0448">
        <w:rPr>
          <w:rFonts w:ascii="Times New Roman" w:hAnsi="Times New Roman" w:cs="Times New Roman"/>
          <w:i/>
        </w:rPr>
        <w:t xml:space="preserve"> </w:t>
      </w:r>
      <w:r w:rsidRPr="009B0448">
        <w:rPr>
          <w:rFonts w:ascii="Times New Roman" w:hAnsi="Times New Roman" w:cs="Times New Roman"/>
        </w:rPr>
        <w:t xml:space="preserve">and </w:t>
      </w:r>
      <w:r w:rsidRPr="009B0448">
        <w:rPr>
          <w:rFonts w:ascii="Times New Roman" w:hAnsi="Times New Roman" w:cs="Times New Roman"/>
          <w:i/>
        </w:rPr>
        <w:t>Ericabatrachus</w:t>
      </w:r>
      <w:r w:rsidRPr="009B0448">
        <w:rPr>
          <w:rFonts w:ascii="Times New Roman" w:hAnsi="Times New Roman" w:cs="Times New Roman"/>
        </w:rPr>
        <w:t xml:space="preserve">, Critically Endangered), while the fifth, </w:t>
      </w:r>
      <w:r w:rsidRPr="009B0448">
        <w:rPr>
          <w:rFonts w:ascii="Times New Roman" w:hAnsi="Times New Roman" w:cs="Times New Roman"/>
          <w:i/>
        </w:rPr>
        <w:t>Paracassina</w:t>
      </w:r>
      <w:r w:rsidRPr="009B0448">
        <w:rPr>
          <w:rFonts w:ascii="Times New Roman" w:hAnsi="Times New Roman" w:cs="Times New Roman"/>
        </w:rPr>
        <w:t xml:space="preserve"> (Vulnerable), is represented by two frog species world (Sillero-Zubiri </w:t>
      </w:r>
      <w:r w:rsidRPr="009B0448">
        <w:rPr>
          <w:rFonts w:ascii="Times New Roman" w:hAnsi="Times New Roman" w:cs="Times New Roman"/>
          <w:i/>
        </w:rPr>
        <w:t>et al.</w:t>
      </w:r>
      <w:r w:rsidRPr="009B0448">
        <w:rPr>
          <w:rFonts w:ascii="Times New Roman" w:hAnsi="Times New Roman" w:cs="Times New Roman"/>
        </w:rPr>
        <w:t>, 1997).</w:t>
      </w:r>
    </w:p>
    <w:p w14:paraId="7BCEAAA9" w14:textId="77777777" w:rsidR="009B0448" w:rsidRPr="009B0448" w:rsidRDefault="009B0448" w:rsidP="009B0448">
      <w:pPr>
        <w:spacing w:line="276" w:lineRule="auto"/>
        <w:jc w:val="both"/>
        <w:rPr>
          <w:rFonts w:ascii="Times New Roman" w:hAnsi="Times New Roman" w:cs="Times New Roman"/>
        </w:rPr>
      </w:pPr>
    </w:p>
    <w:p w14:paraId="42761EBD"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Albertine Rift includes portions of Rwanda, Burundi, Uganda, Tanzania and the Democratic Republic of Congo and is formed along the Great Rift Valley, and contains considerable volcanism associated with the gradual splitting apart of Africa. The highlands have rich agricultural land, and as a result the region is a major exporter of tea and coffee. Biologically, it is famous for its outstanding species diversity and the large number of endemic species. The Albertine Rift is home to about 14% (about 5,800 species) of mainland Africa's plant species, with more than 550 endemic species, including three endemic genera: </w:t>
      </w:r>
      <w:r w:rsidRPr="009B0448">
        <w:rPr>
          <w:rFonts w:ascii="Times New Roman" w:hAnsi="Times New Roman" w:cs="Times New Roman"/>
          <w:i/>
        </w:rPr>
        <w:t>Afroligusticum, Micractis</w:t>
      </w:r>
      <w:r w:rsidRPr="009B0448">
        <w:rPr>
          <w:rFonts w:ascii="Times New Roman" w:hAnsi="Times New Roman" w:cs="Times New Roman"/>
        </w:rPr>
        <w:t xml:space="preserve"> (Least Concern)</w:t>
      </w:r>
      <w:r w:rsidRPr="009B0448">
        <w:rPr>
          <w:rFonts w:ascii="Times New Roman" w:hAnsi="Times New Roman" w:cs="Times New Roman"/>
          <w:i/>
        </w:rPr>
        <w:t>, Rhaesteria</w:t>
      </w:r>
      <w:r w:rsidRPr="009B0448">
        <w:rPr>
          <w:rFonts w:ascii="Times New Roman" w:hAnsi="Times New Roman" w:cs="Times New Roman"/>
        </w:rPr>
        <w:t xml:space="preserve"> (Sillero-Zubiri </w:t>
      </w:r>
      <w:r w:rsidRPr="009B0448">
        <w:rPr>
          <w:rFonts w:ascii="Times New Roman" w:hAnsi="Times New Roman" w:cs="Times New Roman"/>
          <w:i/>
        </w:rPr>
        <w:t>et al.</w:t>
      </w:r>
      <w:r w:rsidRPr="009B0448">
        <w:rPr>
          <w:rFonts w:ascii="Times New Roman" w:hAnsi="Times New Roman" w:cs="Times New Roman"/>
        </w:rPr>
        <w:t xml:space="preserve">, 1997). </w:t>
      </w:r>
    </w:p>
    <w:p w14:paraId="4886108D" w14:textId="77777777" w:rsidR="009B0448" w:rsidRPr="009B0448" w:rsidRDefault="009B0448" w:rsidP="009B0448">
      <w:pPr>
        <w:spacing w:line="276" w:lineRule="auto"/>
        <w:jc w:val="both"/>
        <w:rPr>
          <w:rFonts w:ascii="Times New Roman" w:hAnsi="Times New Roman" w:cs="Times New Roman"/>
        </w:rPr>
      </w:pPr>
    </w:p>
    <w:p w14:paraId="5A35CD8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Nearly 40% of continental Africa‘s mammals are found in the Albertine Rift; this comprises more than 400 species, of which 45 are endemic. Most of these endemic mammals are shrews and rodents, including two monotypic endemic genera: the Ruwenzori shrew (</w:t>
      </w:r>
      <w:r w:rsidRPr="009B0448">
        <w:rPr>
          <w:rFonts w:ascii="Times New Roman" w:hAnsi="Times New Roman" w:cs="Times New Roman"/>
          <w:i/>
        </w:rPr>
        <w:t>Ruwenzorisorex suncoides</w:t>
      </w:r>
      <w:r w:rsidRPr="009B0448">
        <w:rPr>
          <w:rFonts w:ascii="Times New Roman" w:hAnsi="Times New Roman" w:cs="Times New Roman"/>
        </w:rPr>
        <w:t>, Vulnerable) and Delany‘s swamp mouse (</w:t>
      </w:r>
      <w:r w:rsidRPr="009B0448">
        <w:rPr>
          <w:rFonts w:ascii="Times New Roman" w:hAnsi="Times New Roman" w:cs="Times New Roman"/>
          <w:i/>
        </w:rPr>
        <w:t xml:space="preserve">Delanymys brooksi, </w:t>
      </w:r>
      <w:r w:rsidRPr="009B0448">
        <w:rPr>
          <w:rFonts w:ascii="Times New Roman" w:hAnsi="Times New Roman" w:cs="Times New Roman"/>
        </w:rPr>
        <w:t>Vulnerable). New species continue to be found and described, particularly in isolated highlands such as Itombwe and Kabobo in DRC. The forests of the Albertine Rift are also home to at least 27 primate species, including Hoests monkey (</w:t>
      </w:r>
      <w:r w:rsidRPr="009B0448">
        <w:rPr>
          <w:rFonts w:ascii="Times New Roman" w:hAnsi="Times New Roman" w:cs="Times New Roman"/>
          <w:i/>
        </w:rPr>
        <w:t xml:space="preserve">Cercopithecus lhoesti, </w:t>
      </w:r>
      <w:r w:rsidRPr="009B0448">
        <w:rPr>
          <w:rFonts w:ascii="Times New Roman" w:hAnsi="Times New Roman" w:cs="Times New Roman"/>
        </w:rPr>
        <w:t>Vulnerable), the owl-faced monkey (</w:t>
      </w:r>
      <w:r w:rsidRPr="009B0448">
        <w:rPr>
          <w:rFonts w:ascii="Times New Roman" w:hAnsi="Times New Roman" w:cs="Times New Roman"/>
          <w:i/>
        </w:rPr>
        <w:t xml:space="preserve">C. hamlyni, </w:t>
      </w:r>
      <w:r w:rsidRPr="009B0448">
        <w:rPr>
          <w:rFonts w:ascii="Times New Roman" w:hAnsi="Times New Roman" w:cs="Times New Roman"/>
        </w:rPr>
        <w:t>Vulnerable), and the golden monkey (</w:t>
      </w:r>
      <w:r w:rsidRPr="009B0448">
        <w:rPr>
          <w:rFonts w:ascii="Times New Roman" w:hAnsi="Times New Roman" w:cs="Times New Roman"/>
          <w:i/>
        </w:rPr>
        <w:t xml:space="preserve">C. mitis kandti, </w:t>
      </w:r>
      <w:r w:rsidRPr="009B0448">
        <w:rPr>
          <w:rFonts w:ascii="Times New Roman" w:hAnsi="Times New Roman" w:cs="Times New Roman"/>
        </w:rPr>
        <w:t>Endangered). However, the most charismatic flagship species of the Albertine Rift, and indeed of the entire hotspot, are the great apes. The population of the well-known mountain gorilla (</w:t>
      </w:r>
      <w:r w:rsidRPr="009B0448">
        <w:rPr>
          <w:rFonts w:ascii="Times New Roman" w:hAnsi="Times New Roman" w:cs="Times New Roman"/>
          <w:i/>
        </w:rPr>
        <w:t>Gorilla beringei</w:t>
      </w:r>
      <w:r w:rsidRPr="009B0448">
        <w:rPr>
          <w:rFonts w:ascii="Times New Roman" w:hAnsi="Times New Roman" w:cs="Times New Roman"/>
        </w:rPr>
        <w:t>, Critically Endangered) is limited to about 480 individuals in Virunga volcanoes and 300 individuals in Bwindi Impenetrable National Park. Grauer‘s gorilla (</w:t>
      </w:r>
      <w:r w:rsidRPr="009B0448">
        <w:rPr>
          <w:rFonts w:ascii="Times New Roman" w:hAnsi="Times New Roman" w:cs="Times New Roman"/>
          <w:i/>
        </w:rPr>
        <w:t>G. b. graueri</w:t>
      </w:r>
      <w:r w:rsidRPr="009B0448">
        <w:rPr>
          <w:rFonts w:ascii="Times New Roman" w:hAnsi="Times New Roman" w:cs="Times New Roman"/>
        </w:rPr>
        <w:t>, Endangered), which is found in the lowlands, was estimated at a population of 16,900 in eastern DRC in 1996, but has since suffered major declines as a result of hunting, as well as habitat loss and diseases. There are also small populations of robust chimpanzee (</w:t>
      </w:r>
      <w:r w:rsidRPr="009B0448">
        <w:rPr>
          <w:rFonts w:ascii="Times New Roman" w:hAnsi="Times New Roman" w:cs="Times New Roman"/>
          <w:i/>
        </w:rPr>
        <w:t>Pan troglodytes schweinfurthii</w:t>
      </w:r>
      <w:r w:rsidRPr="009B0448">
        <w:rPr>
          <w:rFonts w:ascii="Times New Roman" w:hAnsi="Times New Roman" w:cs="Times New Roman"/>
        </w:rPr>
        <w:t>, Endangered) in many of the Albertine Rift forests including into western Tanzania. Other mammals include the Ruwenzori duiker (</w:t>
      </w:r>
      <w:r w:rsidRPr="009B0448">
        <w:rPr>
          <w:rFonts w:ascii="Times New Roman" w:hAnsi="Times New Roman" w:cs="Times New Roman"/>
          <w:i/>
        </w:rPr>
        <w:t>Cephalophus rubidus</w:t>
      </w:r>
      <w:r w:rsidRPr="009B0448">
        <w:rPr>
          <w:rFonts w:ascii="Times New Roman" w:hAnsi="Times New Roman" w:cs="Times New Roman"/>
        </w:rPr>
        <w:t>, Endangered), which is restricted to the Rwenzori Mountains, and the Ruwenzori otter shrew (</w:t>
      </w:r>
      <w:r w:rsidRPr="009B0448">
        <w:rPr>
          <w:rFonts w:ascii="Times New Roman" w:hAnsi="Times New Roman" w:cs="Times New Roman"/>
          <w:i/>
        </w:rPr>
        <w:t xml:space="preserve">Micropotamogale ruwenzorii, </w:t>
      </w:r>
      <w:r w:rsidRPr="009B0448">
        <w:rPr>
          <w:rFonts w:ascii="Times New Roman" w:hAnsi="Times New Roman" w:cs="Times New Roman"/>
        </w:rPr>
        <w:t xml:space="preserve">Least Concern), one of only three representatives of the family Tenrecidae on the African mainland (McGinley, 2009). </w:t>
      </w:r>
    </w:p>
    <w:p w14:paraId="5D1AD237" w14:textId="77777777" w:rsidR="009B0448" w:rsidRPr="009B0448" w:rsidRDefault="009B0448" w:rsidP="009B0448">
      <w:pPr>
        <w:spacing w:line="276" w:lineRule="auto"/>
        <w:jc w:val="both"/>
        <w:rPr>
          <w:rFonts w:ascii="Times New Roman" w:hAnsi="Times New Roman" w:cs="Times New Roman"/>
        </w:rPr>
      </w:pPr>
    </w:p>
    <w:p w14:paraId="68FF72D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Albertine Rift is also extremely rich in birds; more than 1,074 species in 368 genera have been recorded from the area. Of these, 43 are restricted-range species endemic to the rift area, and these include three monotypic endemic genera: </w:t>
      </w:r>
      <w:r w:rsidRPr="009B0448">
        <w:rPr>
          <w:rFonts w:ascii="Times New Roman" w:hAnsi="Times New Roman" w:cs="Times New Roman"/>
          <w:i/>
        </w:rPr>
        <w:t>Pseudocalyptomena</w:t>
      </w:r>
      <w:r w:rsidRPr="009B0448">
        <w:rPr>
          <w:rFonts w:ascii="Times New Roman" w:hAnsi="Times New Roman" w:cs="Times New Roman"/>
        </w:rPr>
        <w:t xml:space="preserve"> (Vulnerable), </w:t>
      </w:r>
      <w:r w:rsidRPr="009B0448">
        <w:rPr>
          <w:rFonts w:ascii="Times New Roman" w:hAnsi="Times New Roman" w:cs="Times New Roman"/>
          <w:i/>
        </w:rPr>
        <w:t>Graueria</w:t>
      </w:r>
      <w:r w:rsidRPr="009B0448">
        <w:rPr>
          <w:rFonts w:ascii="Times New Roman" w:hAnsi="Times New Roman" w:cs="Times New Roman"/>
        </w:rPr>
        <w:t xml:space="preserve"> (Least Concern), and </w:t>
      </w:r>
      <w:r w:rsidRPr="009B0448">
        <w:rPr>
          <w:rFonts w:ascii="Times New Roman" w:hAnsi="Times New Roman" w:cs="Times New Roman"/>
          <w:i/>
        </w:rPr>
        <w:t>Hemitesia</w:t>
      </w:r>
      <w:r w:rsidRPr="009B0448">
        <w:rPr>
          <w:rFonts w:ascii="Times New Roman" w:hAnsi="Times New Roman" w:cs="Times New Roman"/>
        </w:rPr>
        <w:t xml:space="preserve"> (Least Concern). Both the African green broadbill </w:t>
      </w:r>
      <w:r w:rsidRPr="009B0448">
        <w:rPr>
          <w:rFonts w:ascii="Times New Roman" w:hAnsi="Times New Roman" w:cs="Times New Roman"/>
          <w:i/>
        </w:rPr>
        <w:t>(Pseudocalyptomena graueri</w:t>
      </w:r>
      <w:r w:rsidRPr="009B0448">
        <w:rPr>
          <w:rFonts w:ascii="Times New Roman" w:hAnsi="Times New Roman" w:cs="Times New Roman"/>
        </w:rPr>
        <w:t>, Vulnerable</w:t>
      </w:r>
      <w:r w:rsidRPr="009B0448">
        <w:rPr>
          <w:rFonts w:ascii="Times New Roman" w:hAnsi="Times New Roman" w:cs="Times New Roman"/>
          <w:i/>
        </w:rPr>
        <w:t xml:space="preserve">) </w:t>
      </w:r>
      <w:r w:rsidRPr="009B0448">
        <w:rPr>
          <w:rFonts w:ascii="Times New Roman" w:hAnsi="Times New Roman" w:cs="Times New Roman"/>
        </w:rPr>
        <w:t xml:space="preserve">and short-tailed warbler </w:t>
      </w:r>
      <w:r w:rsidRPr="009B0448">
        <w:rPr>
          <w:rFonts w:ascii="Times New Roman" w:hAnsi="Times New Roman" w:cs="Times New Roman"/>
          <w:i/>
        </w:rPr>
        <w:t>(Hemitesia neumanni</w:t>
      </w:r>
      <w:r w:rsidRPr="009B0448">
        <w:rPr>
          <w:rFonts w:ascii="Times New Roman" w:hAnsi="Times New Roman" w:cs="Times New Roman"/>
        </w:rPr>
        <w:t>, Least Concern</w:t>
      </w:r>
      <w:r w:rsidRPr="009B0448">
        <w:rPr>
          <w:rFonts w:ascii="Times New Roman" w:hAnsi="Times New Roman" w:cs="Times New Roman"/>
          <w:i/>
        </w:rPr>
        <w:t xml:space="preserve">) </w:t>
      </w:r>
      <w:r w:rsidRPr="009B0448">
        <w:rPr>
          <w:rFonts w:ascii="Times New Roman" w:hAnsi="Times New Roman" w:cs="Times New Roman"/>
        </w:rPr>
        <w:t xml:space="preserve">are more closely related to Asian species than they are to any birds in Africa, while the affinities of Grauer’s Warbler </w:t>
      </w:r>
      <w:r w:rsidRPr="009B0448">
        <w:rPr>
          <w:rFonts w:ascii="Times New Roman" w:hAnsi="Times New Roman" w:cs="Times New Roman"/>
          <w:i/>
        </w:rPr>
        <w:t>(Graueria vittata</w:t>
      </w:r>
      <w:r w:rsidRPr="009B0448">
        <w:rPr>
          <w:rFonts w:ascii="Times New Roman" w:hAnsi="Times New Roman" w:cs="Times New Roman"/>
        </w:rPr>
        <w:t>, Least Concern</w:t>
      </w:r>
      <w:r w:rsidRPr="009B0448">
        <w:rPr>
          <w:rFonts w:ascii="Times New Roman" w:hAnsi="Times New Roman" w:cs="Times New Roman"/>
          <w:i/>
        </w:rPr>
        <w:t xml:space="preserve">) </w:t>
      </w:r>
      <w:r w:rsidRPr="009B0448">
        <w:rPr>
          <w:rFonts w:ascii="Times New Roman" w:hAnsi="Times New Roman" w:cs="Times New Roman"/>
        </w:rPr>
        <w:t xml:space="preserve">remain uncertain. A fourth species confined to the rift, the Congo bay-owl </w:t>
      </w:r>
      <w:r w:rsidRPr="009B0448">
        <w:rPr>
          <w:rFonts w:ascii="Times New Roman" w:hAnsi="Times New Roman" w:cs="Times New Roman"/>
          <w:i/>
        </w:rPr>
        <w:t>(Phodilus prigoginei</w:t>
      </w:r>
      <w:r w:rsidRPr="009B0448">
        <w:rPr>
          <w:rFonts w:ascii="Times New Roman" w:hAnsi="Times New Roman" w:cs="Times New Roman"/>
        </w:rPr>
        <w:t>, Endangered</w:t>
      </w:r>
      <w:r w:rsidRPr="009B0448">
        <w:rPr>
          <w:rFonts w:ascii="Times New Roman" w:hAnsi="Times New Roman" w:cs="Times New Roman"/>
          <w:i/>
        </w:rPr>
        <w:t>)</w:t>
      </w:r>
      <w:r w:rsidRPr="009B0448">
        <w:rPr>
          <w:rFonts w:ascii="Times New Roman" w:hAnsi="Times New Roman" w:cs="Times New Roman"/>
        </w:rPr>
        <w:t xml:space="preserve">, is one of only two species in the genus </w:t>
      </w:r>
      <w:r w:rsidRPr="009B0448">
        <w:rPr>
          <w:rFonts w:ascii="Times New Roman" w:hAnsi="Times New Roman" w:cs="Times New Roman"/>
          <w:i/>
        </w:rPr>
        <w:t>Phodilus</w:t>
      </w:r>
      <w:r w:rsidRPr="009B0448">
        <w:rPr>
          <w:rFonts w:ascii="Times New Roman" w:hAnsi="Times New Roman" w:cs="Times New Roman"/>
        </w:rPr>
        <w:t>.</w:t>
      </w:r>
    </w:p>
    <w:p w14:paraId="2AE5099B" w14:textId="77777777" w:rsidR="009B0448" w:rsidRPr="009B0448" w:rsidRDefault="009B0448" w:rsidP="009B0448">
      <w:pPr>
        <w:spacing w:line="276" w:lineRule="auto"/>
        <w:jc w:val="both"/>
        <w:rPr>
          <w:rFonts w:ascii="Times New Roman" w:hAnsi="Times New Roman" w:cs="Times New Roman"/>
        </w:rPr>
      </w:pPr>
    </w:p>
    <w:p w14:paraId="2FAE49F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Around 177 (14%) of Africa‘s reptile species live in the Albertine Rift, including about 18 endemic species. Five of these endemic species are chameleons, including the Rwenzori three-horned chameleon (</w:t>
      </w:r>
      <w:r w:rsidRPr="009B0448">
        <w:rPr>
          <w:rFonts w:ascii="Times New Roman" w:hAnsi="Times New Roman" w:cs="Times New Roman"/>
          <w:i/>
        </w:rPr>
        <w:t>Chamaeleo johnstoni</w:t>
      </w:r>
      <w:r w:rsidRPr="009B0448">
        <w:rPr>
          <w:rFonts w:ascii="Times New Roman" w:hAnsi="Times New Roman" w:cs="Times New Roman"/>
        </w:rPr>
        <w:t>, Least Concern). The very rare strange-horned chameleon (</w:t>
      </w:r>
      <w:r w:rsidRPr="009B0448">
        <w:rPr>
          <w:rFonts w:ascii="Times New Roman" w:hAnsi="Times New Roman" w:cs="Times New Roman"/>
          <w:i/>
        </w:rPr>
        <w:t>Kinyongia xenorhina</w:t>
      </w:r>
      <w:r w:rsidRPr="009B0448">
        <w:rPr>
          <w:rFonts w:ascii="Times New Roman" w:hAnsi="Times New Roman" w:cs="Times New Roman"/>
        </w:rPr>
        <w:t>, Near Threatened) is confined to the Rwenzori Mountains, where it has probably been over-collected for the wildlife trade (impacts not yet properly documented). The Albertine Rift contains 143 known species of amphibians, including 38 endemic species and three monotypic endemic genera: Parker‘s tree toad (</w:t>
      </w:r>
      <w:r w:rsidRPr="009B0448">
        <w:rPr>
          <w:rFonts w:ascii="Times New Roman" w:hAnsi="Times New Roman" w:cs="Times New Roman"/>
          <w:i/>
        </w:rPr>
        <w:t>Laurentophryne parkeri</w:t>
      </w:r>
      <w:r w:rsidRPr="009B0448">
        <w:rPr>
          <w:rFonts w:ascii="Times New Roman" w:hAnsi="Times New Roman" w:cs="Times New Roman"/>
        </w:rPr>
        <w:t>), the Itombwe golden frog (</w:t>
      </w:r>
      <w:r w:rsidRPr="009B0448">
        <w:rPr>
          <w:rFonts w:ascii="Times New Roman" w:hAnsi="Times New Roman" w:cs="Times New Roman"/>
          <w:i/>
        </w:rPr>
        <w:t>Chrysobatrachus cupreonitens</w:t>
      </w:r>
      <w:r w:rsidRPr="009B0448">
        <w:rPr>
          <w:rFonts w:ascii="Times New Roman" w:hAnsi="Times New Roman" w:cs="Times New Roman"/>
        </w:rPr>
        <w:t>, Endangered) and African painted frog (</w:t>
      </w:r>
      <w:r w:rsidRPr="009B0448">
        <w:rPr>
          <w:rFonts w:ascii="Times New Roman" w:hAnsi="Times New Roman" w:cs="Times New Roman"/>
          <w:i/>
        </w:rPr>
        <w:t>Callixalus pictus</w:t>
      </w:r>
      <w:r w:rsidRPr="009B0448">
        <w:rPr>
          <w:rFonts w:ascii="Times New Roman" w:hAnsi="Times New Roman" w:cs="Times New Roman"/>
        </w:rPr>
        <w:t>, Vulnerable).</w:t>
      </w:r>
    </w:p>
    <w:p w14:paraId="4C5752BB" w14:textId="77777777" w:rsidR="009B0448" w:rsidRPr="009B0448" w:rsidRDefault="009B0448" w:rsidP="009B0448">
      <w:pPr>
        <w:spacing w:line="276" w:lineRule="auto"/>
        <w:jc w:val="both"/>
        <w:rPr>
          <w:rFonts w:ascii="Times New Roman" w:hAnsi="Times New Roman" w:cs="Times New Roman"/>
        </w:rPr>
      </w:pPr>
    </w:p>
    <w:p w14:paraId="4D0DA1E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 Eastern Arc Mountains and Southern Rift stretch from south-eastern Kenya to southern Tanzania and Malawi, with small outliers in eastern Zimbabwe and western Mozambique. The Eastern Arc Mountains have 3,473 species in 800 genera, of which at least 453 species and around 40 genera are believed to be endemic, including trees, shrubs and herbs. Endemism is lower in the Southern Rift, with perhaps only 100 endemic species. The Nyika Plateau supports nearly 215 orchid species, of which about four species are endemic. Many thousands of species of plants and animals are found in these forests and nowhere else on earth (EAMCEF, 2012), and these include at least 100 species of birds, mammals, amphibians and reptiles; at least 500 plants and huge numbers of smaller creatures including butterflies and millipedes.</w:t>
      </w:r>
    </w:p>
    <w:p w14:paraId="1F09102F" w14:textId="77777777" w:rsidR="009B0448" w:rsidRPr="009B0448" w:rsidRDefault="009B0448" w:rsidP="009B0448">
      <w:pPr>
        <w:spacing w:line="276" w:lineRule="auto"/>
        <w:jc w:val="both"/>
        <w:rPr>
          <w:rFonts w:ascii="Times New Roman" w:hAnsi="Times New Roman" w:cs="Times New Roman"/>
        </w:rPr>
      </w:pPr>
    </w:p>
    <w:p w14:paraId="39BE98D1"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 Eastern Arc Mountains hold 12 endemic mammal species (Rovero, 2015). Four species of primates are endemic to the Eastern Arc Mountains and Southern Rift: the kipunji monkey (</w:t>
      </w:r>
      <w:r w:rsidRPr="009B0448">
        <w:rPr>
          <w:rFonts w:ascii="Times New Roman" w:hAnsi="Times New Roman" w:cs="Times New Roman"/>
          <w:i/>
        </w:rPr>
        <w:t>Rungwecebus kipunji</w:t>
      </w:r>
      <w:r w:rsidRPr="009B0448">
        <w:rPr>
          <w:rFonts w:ascii="Times New Roman" w:hAnsi="Times New Roman" w:cs="Times New Roman"/>
        </w:rPr>
        <w:t xml:space="preserve"> Critically Endangered), the sanje mangabey (</w:t>
      </w:r>
      <w:r w:rsidRPr="009B0448">
        <w:rPr>
          <w:rFonts w:ascii="Times New Roman" w:hAnsi="Times New Roman" w:cs="Times New Roman"/>
          <w:i/>
        </w:rPr>
        <w:t>Cercocebus sanjei</w:t>
      </w:r>
      <w:r w:rsidRPr="009B0448">
        <w:rPr>
          <w:rFonts w:ascii="Times New Roman" w:hAnsi="Times New Roman" w:cs="Times New Roman"/>
        </w:rPr>
        <w:t>, Endangered), the Udzungwa red colobus (</w:t>
      </w:r>
      <w:r w:rsidRPr="009B0448">
        <w:rPr>
          <w:rFonts w:ascii="Times New Roman" w:hAnsi="Times New Roman" w:cs="Times New Roman"/>
          <w:i/>
        </w:rPr>
        <w:t>Procolobus gordonorum</w:t>
      </w:r>
      <w:r w:rsidRPr="009B0448">
        <w:rPr>
          <w:rFonts w:ascii="Times New Roman" w:hAnsi="Times New Roman" w:cs="Times New Roman"/>
        </w:rPr>
        <w:t>, Endangered) and the mountain dwarf galago (</w:t>
      </w:r>
      <w:r w:rsidRPr="009B0448">
        <w:rPr>
          <w:rFonts w:ascii="Times New Roman" w:hAnsi="Times New Roman" w:cs="Times New Roman"/>
          <w:i/>
        </w:rPr>
        <w:t xml:space="preserve">Galagoides orinus, </w:t>
      </w:r>
      <w:r w:rsidRPr="009B0448">
        <w:rPr>
          <w:rFonts w:ascii="Times New Roman" w:hAnsi="Times New Roman" w:cs="Times New Roman"/>
        </w:rPr>
        <w:t>Near Threatened). Six shrew species are endemic to this part of the hotspot, including the desperate shrew (</w:t>
      </w:r>
      <w:r w:rsidRPr="009B0448">
        <w:rPr>
          <w:rFonts w:ascii="Times New Roman" w:hAnsi="Times New Roman" w:cs="Times New Roman"/>
          <w:i/>
        </w:rPr>
        <w:t>Crocidura desperate</w:t>
      </w:r>
      <w:r w:rsidRPr="009B0448">
        <w:rPr>
          <w:rFonts w:ascii="Times New Roman" w:hAnsi="Times New Roman" w:cs="Times New Roman"/>
        </w:rPr>
        <w:t>, Endangered), found only in the Udzungwa and Rungwe mountains, and Phillips’ Congo shrew (</w:t>
      </w:r>
      <w:r w:rsidRPr="009B0448">
        <w:rPr>
          <w:rFonts w:ascii="Times New Roman" w:hAnsi="Times New Roman" w:cs="Times New Roman"/>
          <w:i/>
        </w:rPr>
        <w:t xml:space="preserve">Congosorex phillipsorum, </w:t>
      </w:r>
      <w:r w:rsidRPr="009B0448">
        <w:rPr>
          <w:rFonts w:ascii="Times New Roman" w:hAnsi="Times New Roman" w:cs="Times New Roman"/>
        </w:rPr>
        <w:t>Critically Endangered), known only from the highest altitude areas in the Udzungwa Mountains. Other notable mammals in the Eastern Arc include Abbott’s duiker (</w:t>
      </w:r>
      <w:r w:rsidRPr="009B0448">
        <w:rPr>
          <w:rFonts w:ascii="Times New Roman" w:hAnsi="Times New Roman" w:cs="Times New Roman"/>
          <w:i/>
        </w:rPr>
        <w:t>Cephalophus spadix</w:t>
      </w:r>
      <w:r w:rsidRPr="009B0448">
        <w:rPr>
          <w:rFonts w:ascii="Times New Roman" w:hAnsi="Times New Roman" w:cs="Times New Roman"/>
        </w:rPr>
        <w:t>, Endangered) and the eastern tree hyrax (</w:t>
      </w:r>
      <w:r w:rsidRPr="009B0448">
        <w:rPr>
          <w:rFonts w:ascii="Times New Roman" w:hAnsi="Times New Roman" w:cs="Times New Roman"/>
          <w:i/>
        </w:rPr>
        <w:t>Dendrohyrax validus</w:t>
      </w:r>
      <w:r w:rsidRPr="009B0448">
        <w:rPr>
          <w:rFonts w:ascii="Times New Roman" w:hAnsi="Times New Roman" w:cs="Times New Roman"/>
        </w:rPr>
        <w:t>, Near Threatened). Several new mammal species have also been discovered in the past decade, including two possibly new species of dwarf galago (</w:t>
      </w:r>
      <w:r w:rsidRPr="009B0448">
        <w:rPr>
          <w:rFonts w:ascii="Times New Roman" w:hAnsi="Times New Roman" w:cs="Times New Roman"/>
          <w:i/>
        </w:rPr>
        <w:t xml:space="preserve">Galagoides </w:t>
      </w:r>
      <w:r w:rsidRPr="009B0448">
        <w:rPr>
          <w:rFonts w:ascii="Times New Roman" w:hAnsi="Times New Roman" w:cs="Times New Roman"/>
        </w:rPr>
        <w:t>spp.) in the Taita Hills and on Mount Rungwe, and the grey-faced elephant shrew (</w:t>
      </w:r>
      <w:r w:rsidRPr="009B0448">
        <w:rPr>
          <w:rFonts w:ascii="Times New Roman" w:hAnsi="Times New Roman" w:cs="Times New Roman"/>
          <w:i/>
        </w:rPr>
        <w:t>Rhynchocyon udzungwensis</w:t>
      </w:r>
      <w:r w:rsidRPr="009B0448">
        <w:rPr>
          <w:rFonts w:ascii="Times New Roman" w:hAnsi="Times New Roman" w:cs="Times New Roman"/>
        </w:rPr>
        <w:t>, Vulnerable) in the Udzungwa Mountains. The Eastern Arc has 21 endemic bird species and three endemic genera (</w:t>
      </w:r>
      <w:r w:rsidRPr="009B0448">
        <w:rPr>
          <w:rFonts w:ascii="Times New Roman" w:hAnsi="Times New Roman" w:cs="Times New Roman"/>
          <w:i/>
        </w:rPr>
        <w:t>Xenoperdix</w:t>
      </w:r>
      <w:r w:rsidRPr="009B0448">
        <w:rPr>
          <w:rFonts w:ascii="Times New Roman" w:hAnsi="Times New Roman" w:cs="Times New Roman"/>
        </w:rPr>
        <w:t xml:space="preserve"> (Endangered), </w:t>
      </w:r>
      <w:r w:rsidRPr="009B0448">
        <w:rPr>
          <w:rFonts w:ascii="Times New Roman" w:hAnsi="Times New Roman" w:cs="Times New Roman"/>
          <w:i/>
        </w:rPr>
        <w:t>Sceptomycter</w:t>
      </w:r>
      <w:r w:rsidRPr="009B0448">
        <w:rPr>
          <w:rFonts w:ascii="Times New Roman" w:hAnsi="Times New Roman" w:cs="Times New Roman"/>
        </w:rPr>
        <w:t xml:space="preserve">, and </w:t>
      </w:r>
      <w:r w:rsidRPr="009B0448">
        <w:rPr>
          <w:rFonts w:ascii="Times New Roman" w:hAnsi="Times New Roman" w:cs="Times New Roman"/>
          <w:i/>
        </w:rPr>
        <w:t>Modulatrix</w:t>
      </w:r>
      <w:r w:rsidRPr="009B0448">
        <w:rPr>
          <w:rFonts w:ascii="Times New Roman" w:hAnsi="Times New Roman" w:cs="Times New Roman"/>
        </w:rPr>
        <w:t xml:space="preserve"> (Vulnerable)) (Fuchs </w:t>
      </w:r>
      <w:r w:rsidRPr="009B0448">
        <w:rPr>
          <w:rFonts w:ascii="Times New Roman" w:hAnsi="Times New Roman" w:cs="Times New Roman"/>
          <w:i/>
        </w:rPr>
        <w:t>et al.</w:t>
      </w:r>
      <w:r w:rsidRPr="009B0448">
        <w:rPr>
          <w:rFonts w:ascii="Times New Roman" w:hAnsi="Times New Roman" w:cs="Times New Roman"/>
        </w:rPr>
        <w:t>,</w:t>
      </w:r>
      <w:r w:rsidRPr="009B0448">
        <w:rPr>
          <w:rFonts w:ascii="Times New Roman" w:hAnsi="Times New Roman" w:cs="Times New Roman"/>
          <w:i/>
        </w:rPr>
        <w:t xml:space="preserve"> </w:t>
      </w:r>
      <w:r w:rsidRPr="009B0448">
        <w:rPr>
          <w:rFonts w:ascii="Times New Roman" w:hAnsi="Times New Roman" w:cs="Times New Roman"/>
        </w:rPr>
        <w:t xml:space="preserve">2011). </w:t>
      </w:r>
    </w:p>
    <w:p w14:paraId="5FF9572D" w14:textId="77777777" w:rsidR="009B0448" w:rsidRPr="009B0448" w:rsidRDefault="009B0448" w:rsidP="009B0448">
      <w:pPr>
        <w:spacing w:line="276" w:lineRule="auto"/>
        <w:jc w:val="both"/>
        <w:rPr>
          <w:rFonts w:ascii="Times New Roman" w:hAnsi="Times New Roman" w:cs="Times New Roman"/>
        </w:rPr>
      </w:pPr>
    </w:p>
    <w:p w14:paraId="7B923D9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Data compiled in 2010 show that 32 species of reptiles are endemic to the Eastern Arc Mountains, the majority of these being chameleons in the genera </w:t>
      </w:r>
      <w:r w:rsidRPr="009B0448">
        <w:rPr>
          <w:rFonts w:ascii="Times New Roman" w:hAnsi="Times New Roman" w:cs="Times New Roman"/>
          <w:i/>
        </w:rPr>
        <w:t xml:space="preserve">Chamaeleo, Rhampholeon </w:t>
      </w:r>
      <w:r w:rsidRPr="009B0448">
        <w:rPr>
          <w:rFonts w:ascii="Times New Roman" w:hAnsi="Times New Roman" w:cs="Times New Roman"/>
        </w:rPr>
        <w:t xml:space="preserve">and </w:t>
      </w:r>
      <w:r w:rsidRPr="009B0448">
        <w:rPr>
          <w:rFonts w:ascii="Times New Roman" w:hAnsi="Times New Roman" w:cs="Times New Roman"/>
          <w:i/>
        </w:rPr>
        <w:t xml:space="preserve">Kinyonga </w:t>
      </w:r>
      <w:r w:rsidRPr="009B0448">
        <w:rPr>
          <w:rFonts w:ascii="Times New Roman" w:hAnsi="Times New Roman" w:cs="Times New Roman"/>
        </w:rPr>
        <w:t>(MNRT, 2011). There are also endemic species of worm snakes (</w:t>
      </w:r>
      <w:r w:rsidRPr="009B0448">
        <w:rPr>
          <w:rFonts w:ascii="Times New Roman" w:hAnsi="Times New Roman" w:cs="Times New Roman"/>
          <w:i/>
        </w:rPr>
        <w:t>typhlops</w:t>
      </w:r>
      <w:r w:rsidRPr="009B0448">
        <w:rPr>
          <w:rFonts w:ascii="Times New Roman" w:hAnsi="Times New Roman" w:cs="Times New Roman"/>
        </w:rPr>
        <w:t>), geckos and colubrid snakes. The Southern Rift has fewer endemic species, but there are endemic chameleons on Mounts Mabu and Mulanje, including the Mulanje mountain chameleon (</w:t>
      </w:r>
      <w:r w:rsidRPr="009B0448">
        <w:rPr>
          <w:rFonts w:ascii="Times New Roman" w:hAnsi="Times New Roman" w:cs="Times New Roman"/>
          <w:i/>
        </w:rPr>
        <w:t>Bradypodion mulanjense</w:t>
      </w:r>
      <w:r w:rsidRPr="009B0448">
        <w:rPr>
          <w:rFonts w:ascii="Times New Roman" w:hAnsi="Times New Roman" w:cs="Times New Roman"/>
        </w:rPr>
        <w:t>) and the Malawi stumptail chameleon (</w:t>
      </w:r>
      <w:r w:rsidRPr="009B0448">
        <w:rPr>
          <w:rFonts w:ascii="Times New Roman" w:hAnsi="Times New Roman" w:cs="Times New Roman"/>
          <w:i/>
        </w:rPr>
        <w:t>Rhampholeon platyceps</w:t>
      </w:r>
      <w:r w:rsidRPr="009B0448">
        <w:rPr>
          <w:rFonts w:ascii="Times New Roman" w:hAnsi="Times New Roman" w:cs="Times New Roman"/>
        </w:rPr>
        <w:t xml:space="preserve">, Endangered). A new species of snake, </w:t>
      </w:r>
      <w:r w:rsidRPr="009B0448">
        <w:rPr>
          <w:rFonts w:ascii="Times New Roman" w:hAnsi="Times New Roman" w:cs="Times New Roman"/>
          <w:i/>
        </w:rPr>
        <w:t>Atheris mabuensis,</w:t>
      </w:r>
      <w:r w:rsidRPr="009B0448">
        <w:rPr>
          <w:rFonts w:ascii="Times New Roman" w:hAnsi="Times New Roman" w:cs="Times New Roman"/>
        </w:rPr>
        <w:t xml:space="preserve"> is also known from Mount Mabu in Mozambique.</w:t>
      </w:r>
    </w:p>
    <w:p w14:paraId="34521822" w14:textId="77777777" w:rsidR="009B0448" w:rsidRPr="009B0448" w:rsidRDefault="009B0448" w:rsidP="009B0448">
      <w:pPr>
        <w:spacing w:line="276" w:lineRule="auto"/>
        <w:jc w:val="both"/>
        <w:rPr>
          <w:rFonts w:ascii="Times New Roman" w:hAnsi="Times New Roman" w:cs="Times New Roman"/>
        </w:rPr>
      </w:pPr>
    </w:p>
    <w:p w14:paraId="4C74AC7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For the amphibians, there are more than 50 endemic species in the Eastern Arc Mountains, concentrated in the reed tree frogs (</w:t>
      </w:r>
      <w:r w:rsidRPr="009B0448">
        <w:rPr>
          <w:rFonts w:ascii="Times New Roman" w:hAnsi="Times New Roman" w:cs="Times New Roman"/>
          <w:i/>
        </w:rPr>
        <w:t>Hyperolius</w:t>
      </w:r>
      <w:r w:rsidRPr="009B0448">
        <w:rPr>
          <w:rFonts w:ascii="Times New Roman" w:hAnsi="Times New Roman" w:cs="Times New Roman"/>
        </w:rPr>
        <w:t>), forest tree frogs (</w:t>
      </w:r>
      <w:r w:rsidRPr="009B0448">
        <w:rPr>
          <w:rFonts w:ascii="Times New Roman" w:hAnsi="Times New Roman" w:cs="Times New Roman"/>
          <w:i/>
        </w:rPr>
        <w:t>Leptopelis</w:t>
      </w:r>
      <w:r w:rsidRPr="009B0448">
        <w:rPr>
          <w:rFonts w:ascii="Times New Roman" w:hAnsi="Times New Roman" w:cs="Times New Roman"/>
        </w:rPr>
        <w:t>), viviparous toads (</w:t>
      </w:r>
      <w:r w:rsidRPr="009B0448">
        <w:rPr>
          <w:rFonts w:ascii="Times New Roman" w:hAnsi="Times New Roman" w:cs="Times New Roman"/>
          <w:i/>
        </w:rPr>
        <w:t>Nectophrynoides</w:t>
      </w:r>
      <w:r w:rsidRPr="009B0448">
        <w:rPr>
          <w:rFonts w:ascii="Times New Roman" w:hAnsi="Times New Roman" w:cs="Times New Roman"/>
        </w:rPr>
        <w:t xml:space="preserve">), narrow-mouthed frogs (family Microhylidae) and caecilians. The Eastern Arc Mountains supports 50% of the members of the caecilian family, Scolecomorphidae, among which the genus </w:t>
      </w:r>
      <w:r w:rsidRPr="009B0448">
        <w:rPr>
          <w:rFonts w:ascii="Times New Roman" w:hAnsi="Times New Roman" w:cs="Times New Roman"/>
          <w:i/>
        </w:rPr>
        <w:t>Scolecomorphus</w:t>
      </w:r>
      <w:r w:rsidRPr="009B0448">
        <w:rPr>
          <w:rFonts w:ascii="Times New Roman" w:hAnsi="Times New Roman" w:cs="Times New Roman"/>
        </w:rPr>
        <w:t xml:space="preserve">, with three species, is endemic. The Eastern Arc Mountains and Southern Rift contain all species of the genus </w:t>
      </w:r>
      <w:r w:rsidRPr="009B0448">
        <w:rPr>
          <w:rFonts w:ascii="Times New Roman" w:hAnsi="Times New Roman" w:cs="Times New Roman"/>
          <w:i/>
        </w:rPr>
        <w:t>Nectophrynoides</w:t>
      </w:r>
      <w:r w:rsidRPr="009B0448">
        <w:rPr>
          <w:rFonts w:ascii="Times New Roman" w:hAnsi="Times New Roman" w:cs="Times New Roman"/>
        </w:rPr>
        <w:t xml:space="preserve">, which includes the majority of the world‘s viviparous (live-bearing) frogs. Seven new species of </w:t>
      </w:r>
      <w:r w:rsidRPr="009B0448">
        <w:rPr>
          <w:rFonts w:ascii="Times New Roman" w:hAnsi="Times New Roman" w:cs="Times New Roman"/>
          <w:i/>
        </w:rPr>
        <w:t xml:space="preserve">Nectophrynoides </w:t>
      </w:r>
      <w:r w:rsidRPr="009B0448">
        <w:rPr>
          <w:rFonts w:ascii="Times New Roman" w:hAnsi="Times New Roman" w:cs="Times New Roman"/>
        </w:rPr>
        <w:t xml:space="preserve">have been described since 2004 (Menegon </w:t>
      </w:r>
      <w:r w:rsidRPr="009B0448">
        <w:rPr>
          <w:rFonts w:ascii="Times New Roman" w:hAnsi="Times New Roman" w:cs="Times New Roman"/>
          <w:i/>
        </w:rPr>
        <w:t>et al.</w:t>
      </w:r>
      <w:r w:rsidRPr="009B0448">
        <w:rPr>
          <w:rFonts w:ascii="Times New Roman" w:hAnsi="Times New Roman" w:cs="Times New Roman"/>
        </w:rPr>
        <w:t xml:space="preserve">, 2004; Channing </w:t>
      </w:r>
      <w:r w:rsidRPr="009B0448">
        <w:rPr>
          <w:rFonts w:ascii="Times New Roman" w:hAnsi="Times New Roman" w:cs="Times New Roman"/>
          <w:i/>
        </w:rPr>
        <w:t>et al.</w:t>
      </w:r>
      <w:r w:rsidRPr="009B0448">
        <w:rPr>
          <w:rFonts w:ascii="Times New Roman" w:hAnsi="Times New Roman" w:cs="Times New Roman"/>
        </w:rPr>
        <w:t xml:space="preserve">, 2005; Menegon </w:t>
      </w:r>
      <w:r w:rsidRPr="009B0448">
        <w:rPr>
          <w:rFonts w:ascii="Times New Roman" w:hAnsi="Times New Roman" w:cs="Times New Roman"/>
          <w:i/>
        </w:rPr>
        <w:t>et al.</w:t>
      </w:r>
      <w:r w:rsidRPr="009B0448">
        <w:rPr>
          <w:rFonts w:ascii="Times New Roman" w:hAnsi="Times New Roman" w:cs="Times New Roman"/>
        </w:rPr>
        <w:t xml:space="preserve">, 2008). Another monotypic genus of toad, </w:t>
      </w:r>
      <w:r w:rsidRPr="009B0448">
        <w:rPr>
          <w:rFonts w:ascii="Times New Roman" w:hAnsi="Times New Roman" w:cs="Times New Roman"/>
          <w:i/>
        </w:rPr>
        <w:t xml:space="preserve">Churamiti maridadi </w:t>
      </w:r>
      <w:r w:rsidRPr="009B0448">
        <w:rPr>
          <w:rFonts w:ascii="Times New Roman" w:hAnsi="Times New Roman" w:cs="Times New Roman"/>
        </w:rPr>
        <w:t xml:space="preserve">(Critically Endangered), was discovered in the Ukaguru Mountains in 2002. In addition, three new species in the genus </w:t>
      </w:r>
      <w:r w:rsidRPr="009B0448">
        <w:rPr>
          <w:rFonts w:ascii="Times New Roman" w:hAnsi="Times New Roman" w:cs="Times New Roman"/>
          <w:i/>
        </w:rPr>
        <w:t xml:space="preserve">Callulina </w:t>
      </w:r>
      <w:r w:rsidRPr="009B0448">
        <w:rPr>
          <w:rFonts w:ascii="Times New Roman" w:hAnsi="Times New Roman" w:cs="Times New Roman"/>
        </w:rPr>
        <w:t xml:space="preserve">have recently been described (Loader </w:t>
      </w:r>
      <w:r w:rsidRPr="009B0448">
        <w:rPr>
          <w:rFonts w:ascii="Times New Roman" w:hAnsi="Times New Roman" w:cs="Times New Roman"/>
          <w:i/>
        </w:rPr>
        <w:t>et al.</w:t>
      </w:r>
      <w:r w:rsidRPr="009B0448">
        <w:rPr>
          <w:rFonts w:ascii="Times New Roman" w:hAnsi="Times New Roman" w:cs="Times New Roman"/>
        </w:rPr>
        <w:t xml:space="preserve">, 2010). Dozens of new species collected from the Eastern Arc Mountains remain to be described including more than 50 species of vertebrates, mainly amphibians and reptiles, but also some birds (Fjeldså </w:t>
      </w:r>
      <w:r w:rsidRPr="009B0448">
        <w:rPr>
          <w:rFonts w:ascii="Times New Roman" w:hAnsi="Times New Roman" w:cs="Times New Roman"/>
          <w:i/>
        </w:rPr>
        <w:t>et al.</w:t>
      </w:r>
      <w:r w:rsidRPr="009B0448">
        <w:rPr>
          <w:rFonts w:ascii="Times New Roman" w:hAnsi="Times New Roman" w:cs="Times New Roman"/>
        </w:rPr>
        <w:t>, 2010).</w:t>
      </w:r>
    </w:p>
    <w:p w14:paraId="33082798" w14:textId="77777777" w:rsidR="009B0448" w:rsidRPr="009B0448" w:rsidRDefault="009B0448" w:rsidP="009B0448">
      <w:pPr>
        <w:spacing w:line="276" w:lineRule="auto"/>
        <w:jc w:val="both"/>
        <w:rPr>
          <w:rFonts w:ascii="Times New Roman" w:hAnsi="Times New Roman" w:cs="Times New Roman"/>
        </w:rPr>
      </w:pPr>
    </w:p>
    <w:p w14:paraId="5AE3C311"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In addition to these three main massifs, a number of outlying mountains are part of this hotspot, including the Neogene volcanic of the Kenyan and Tanzanian Highlands (e.g., Mt Kilimanjaro, Mt Meru, Mt Kenya, Mt Elgon, Aberdares Range, and other peaks). Many of these massifs are volcanic in origin, and some are still active–especially in Virunga National Park (McGinley, 2009). Typically these newer mountains support much lower biodiversity values than the more ancient mountain blocks</w:t>
      </w:r>
    </w:p>
    <w:p w14:paraId="6EBF3CA3" w14:textId="77777777" w:rsidR="009B0448" w:rsidRPr="009B0448" w:rsidRDefault="009B0448" w:rsidP="009B0448">
      <w:pPr>
        <w:spacing w:line="276" w:lineRule="auto"/>
        <w:jc w:val="both"/>
        <w:rPr>
          <w:rFonts w:ascii="Times New Roman" w:hAnsi="Times New Roman" w:cs="Times New Roman"/>
        </w:rPr>
      </w:pPr>
    </w:p>
    <w:p w14:paraId="398634C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w:t>
      </w:r>
      <w:r w:rsidRPr="009B0448">
        <w:rPr>
          <w:rFonts w:ascii="Times New Roman" w:hAnsi="Times New Roman" w:cs="Times New Roman"/>
        </w:rPr>
        <w:t xml:space="preserve"> There are relatively few studies of the trends in species in the mountains of Eastern Africa. In the Albertine Rift mountains and according to the IUCN Red List the mountain gorilla (</w:t>
      </w:r>
      <w:r w:rsidRPr="009B0448">
        <w:rPr>
          <w:rFonts w:ascii="Times New Roman" w:hAnsi="Times New Roman" w:cs="Times New Roman"/>
          <w:i/>
        </w:rPr>
        <w:t>Gorilla beringei</w:t>
      </w:r>
      <w:r w:rsidRPr="009B0448">
        <w:rPr>
          <w:rFonts w:ascii="Times New Roman" w:hAnsi="Times New Roman" w:cs="Times New Roman"/>
        </w:rPr>
        <w:t xml:space="preserve">, Critically Endangered) has suffered major declines as a result of hunting, habitat loss and degradation. Studies conducted by Borghesio </w:t>
      </w:r>
      <w:r w:rsidRPr="009B0448">
        <w:rPr>
          <w:rFonts w:ascii="Times New Roman" w:hAnsi="Times New Roman" w:cs="Times New Roman"/>
          <w:i/>
        </w:rPr>
        <w:t>et al.</w:t>
      </w:r>
      <w:r w:rsidRPr="009B0448">
        <w:rPr>
          <w:rFonts w:ascii="Times New Roman" w:hAnsi="Times New Roman" w:cs="Times New Roman"/>
        </w:rPr>
        <w:t xml:space="preserve"> (2010) strongly suggest that a major population crash of the Critically Endangered Taita Apalis (</w:t>
      </w:r>
      <w:r w:rsidRPr="009B0448">
        <w:rPr>
          <w:rFonts w:ascii="Times New Roman" w:hAnsi="Times New Roman" w:cs="Times New Roman"/>
          <w:i/>
        </w:rPr>
        <w:t>Apalis fuscigularis</w:t>
      </w:r>
      <w:r w:rsidRPr="009B0448">
        <w:rPr>
          <w:rFonts w:ascii="Times New Roman" w:hAnsi="Times New Roman" w:cs="Times New Roman"/>
        </w:rPr>
        <w:t xml:space="preserve">, Critically Endangered) is underway. Compared with 2001, sighting rates in April-May 2009 had dropped by about 38%; repeated counts done in September–December 2009 and May–July 2010 showed even larger decreases, approaching 80%. This means that the global population of the species might now be only 60–130 individuals, almost all of which are located in a single forest, Ngangao, which is only about 120 hectares (BirdLife International, 2013). </w:t>
      </w:r>
    </w:p>
    <w:p w14:paraId="6CA357A2" w14:textId="77777777" w:rsidR="009B0448" w:rsidRPr="009B0448" w:rsidRDefault="009B0448" w:rsidP="009B0448">
      <w:pPr>
        <w:spacing w:line="276" w:lineRule="auto"/>
        <w:jc w:val="both"/>
        <w:rPr>
          <w:rFonts w:ascii="Times New Roman" w:hAnsi="Times New Roman" w:cs="Times New Roman"/>
        </w:rPr>
      </w:pPr>
    </w:p>
    <w:p w14:paraId="5165DB8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In the Eastern Arc Mountains of Tanzania and Kenya, the forest has suffered an estimated 80% total loss in historical forest area and has lost 25% of forest area since 1955. Forest loss has not been even across all elevations. The upper montane zone (&gt;1,800 metres) has lost 52% of its paleoecological forest area, 6% since 1955. Conversely, the submontane habitat (800–1,200 metres) has lost close to 93% of its paleoecological extent, 57% since 1955 (Newmark, 1998; Hall </w:t>
      </w:r>
      <w:r w:rsidRPr="009B0448">
        <w:rPr>
          <w:rFonts w:ascii="Times New Roman" w:hAnsi="Times New Roman" w:cs="Times New Roman"/>
          <w:i/>
        </w:rPr>
        <w:t>et al.</w:t>
      </w:r>
      <w:r w:rsidRPr="009B0448">
        <w:rPr>
          <w:rFonts w:ascii="Times New Roman" w:hAnsi="Times New Roman" w:cs="Times New Roman"/>
        </w:rPr>
        <w:t xml:space="preserve">, 2009). Losses were greatest, relative to original cover, in Taita Hills (98%), Ukaguru (90%), Mahenge (89%) and West Usambaras (84%). Only small declines are reported after 200 by Hall </w:t>
      </w:r>
      <w:r w:rsidRPr="009B0448">
        <w:rPr>
          <w:rFonts w:ascii="Times New Roman" w:hAnsi="Times New Roman" w:cs="Times New Roman"/>
          <w:i/>
        </w:rPr>
        <w:t>et al.</w:t>
      </w:r>
      <w:r w:rsidRPr="009B0448">
        <w:rPr>
          <w:rFonts w:ascii="Times New Roman" w:hAnsi="Times New Roman" w:cs="Times New Roman"/>
        </w:rPr>
        <w:t xml:space="preserve"> (2009), mainly because all forest outside reserves has been cleared for farmland, leaving only the reserves and their habitats broadly intact.</w:t>
      </w:r>
    </w:p>
    <w:p w14:paraId="4BA3F002"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89" w:name="_Toc519499888"/>
      <w:r w:rsidRPr="009B0448">
        <w:rPr>
          <w:rFonts w:cs="Times New Roman"/>
          <w:b w:val="0"/>
          <w:sz w:val="22"/>
          <w:szCs w:val="22"/>
        </w:rPr>
        <w:t>Tropical and subtropical savannah and grasslands</w:t>
      </w:r>
      <w:bookmarkEnd w:id="189"/>
    </w:p>
    <w:p w14:paraId="6B3B6360" w14:textId="68AD3177" w:rsidR="009B0448" w:rsidRPr="009B0448" w:rsidRDefault="009B0448" w:rsidP="009B0448">
      <w:pPr>
        <w:spacing w:line="276" w:lineRule="auto"/>
        <w:jc w:val="both"/>
        <w:rPr>
          <w:rStyle w:val="Hyperlink0"/>
          <w:rFonts w:ascii="Times New Roman" w:hAnsi="Times New Roman" w:cs="Times New Roman"/>
          <w:color w:val="auto"/>
        </w:rPr>
      </w:pPr>
      <w:r w:rsidRPr="009B0448">
        <w:rPr>
          <w:rFonts w:ascii="Times New Roman" w:hAnsi="Times New Roman" w:cs="Times New Roman"/>
          <w:u w:val="single"/>
        </w:rPr>
        <w:t>Status:</w:t>
      </w:r>
      <w:r w:rsidRPr="009B0448">
        <w:rPr>
          <w:rFonts w:ascii="Times New Roman" w:hAnsi="Times New Roman" w:cs="Times New Roman"/>
        </w:rPr>
        <w:t xml:space="preserve"> Savannas and grasslands dominate almost 75% of East Africa and adjacent islands (Reid </w:t>
      </w:r>
      <w:r w:rsidRPr="009B0448">
        <w:rPr>
          <w:rFonts w:ascii="Times New Roman" w:hAnsi="Times New Roman" w:cs="Times New Roman"/>
          <w:i/>
        </w:rPr>
        <w:t>et al.</w:t>
      </w:r>
      <w:r w:rsidRPr="009B0448">
        <w:rPr>
          <w:rFonts w:ascii="Times New Roman" w:hAnsi="Times New Roman" w:cs="Times New Roman"/>
        </w:rPr>
        <w:t>, 2005), covering an area of 527,000 km</w:t>
      </w:r>
      <w:r w:rsidRPr="009B0448">
        <w:rPr>
          <w:rFonts w:ascii="Times New Roman" w:hAnsi="Times New Roman" w:cs="Times New Roman"/>
          <w:vertAlign w:val="superscript"/>
        </w:rPr>
        <w:t>2</w:t>
      </w:r>
      <w:r w:rsidRPr="009B0448">
        <w:rPr>
          <w:rFonts w:ascii="Times New Roman" w:hAnsi="Times New Roman" w:cs="Times New Roman"/>
        </w:rPr>
        <w:t xml:space="preserve"> (WWF, 2017b). They are highly diverse with regards to composition of plant species, with about 1,000 species of grass being endemic to the region (Boonman, 1993). The drier habitats are dominated by </w:t>
      </w:r>
      <w:r w:rsidRPr="009B0448">
        <w:rPr>
          <w:rFonts w:ascii="Times New Roman" w:hAnsi="Times New Roman" w:cs="Times New Roman"/>
          <w:i/>
        </w:rPr>
        <w:t>Combretum</w:t>
      </w:r>
      <w:r w:rsidRPr="009B0448">
        <w:rPr>
          <w:rFonts w:ascii="Times New Roman" w:hAnsi="Times New Roman" w:cs="Times New Roman"/>
        </w:rPr>
        <w:t>-</w:t>
      </w:r>
      <w:r w:rsidRPr="009B0448">
        <w:rPr>
          <w:rFonts w:ascii="Times New Roman" w:hAnsi="Times New Roman" w:cs="Times New Roman"/>
          <w:i/>
        </w:rPr>
        <w:t>Acacia</w:t>
      </w:r>
      <w:r w:rsidRPr="009B0448">
        <w:rPr>
          <w:rFonts w:ascii="Times New Roman" w:hAnsi="Times New Roman" w:cs="Times New Roman"/>
        </w:rPr>
        <w:t>-</w:t>
      </w:r>
      <w:r w:rsidRPr="009B0448">
        <w:rPr>
          <w:rFonts w:ascii="Times New Roman" w:hAnsi="Times New Roman" w:cs="Times New Roman"/>
          <w:i/>
        </w:rPr>
        <w:t>Commiphora</w:t>
      </w:r>
      <w:r w:rsidRPr="009B0448">
        <w:rPr>
          <w:rFonts w:ascii="Times New Roman" w:hAnsi="Times New Roman" w:cs="Times New Roman"/>
        </w:rPr>
        <w:t xml:space="preserve"> bushlands and thickets (WWF, 2017b), and are found in the north of the eastern African region. </w:t>
      </w:r>
      <w:r w:rsidRPr="009B0448">
        <w:rPr>
          <w:rStyle w:val="Hyperlink0"/>
          <w:rFonts w:ascii="Times New Roman" w:hAnsi="Times New Roman" w:cs="Times New Roman"/>
        </w:rPr>
        <w:t xml:space="preserve">The </w:t>
      </w:r>
      <w:r w:rsidRPr="009B0448">
        <w:rPr>
          <w:rFonts w:ascii="Times New Roman" w:hAnsi="Times New Roman" w:cs="Times New Roman"/>
          <w:lang w:val="en-US"/>
        </w:rPr>
        <w:t>largest areas of savannah woodland in the central and southern parts of the region are termed the ‘</w:t>
      </w:r>
      <w:r w:rsidRPr="009B0448">
        <w:rPr>
          <w:rFonts w:ascii="Times New Roman" w:hAnsi="Times New Roman" w:cs="Times New Roman"/>
          <w:color w:val="auto"/>
          <w:lang w:val="en-US"/>
        </w:rPr>
        <w:t xml:space="preserve">miombo’ woodlands (Frost </w:t>
      </w:r>
      <w:r w:rsidRPr="009B0448">
        <w:rPr>
          <w:rFonts w:ascii="Times New Roman" w:hAnsi="Times New Roman" w:cs="Times New Roman"/>
          <w:i/>
          <w:color w:val="auto"/>
          <w:lang w:val="en-US"/>
        </w:rPr>
        <w:t>et al.</w:t>
      </w:r>
      <w:r w:rsidRPr="009B0448">
        <w:rPr>
          <w:rFonts w:ascii="Times New Roman" w:hAnsi="Times New Roman" w:cs="Times New Roman"/>
          <w:color w:val="auto"/>
          <w:lang w:val="en-US"/>
        </w:rPr>
        <w:t xml:space="preserve">, 1996; Timberlake </w:t>
      </w:r>
      <w:r w:rsidRPr="009B0448">
        <w:rPr>
          <w:rFonts w:ascii="Times New Roman" w:hAnsi="Times New Roman" w:cs="Times New Roman"/>
          <w:i/>
          <w:color w:val="auto"/>
          <w:lang w:val="en-US"/>
        </w:rPr>
        <w:t>et al.</w:t>
      </w:r>
      <w:r w:rsidRPr="009B0448">
        <w:rPr>
          <w:rFonts w:ascii="Times New Roman" w:hAnsi="Times New Roman" w:cs="Times New Roman"/>
          <w:color w:val="auto"/>
          <w:lang w:val="en-US"/>
        </w:rPr>
        <w:t xml:space="preserve">, 2011, 2014). ‘Miombo’ is the Swahili word for the tree genus </w:t>
      </w:r>
      <w:r w:rsidRPr="009B0448">
        <w:rPr>
          <w:rFonts w:ascii="Times New Roman" w:hAnsi="Times New Roman" w:cs="Times New Roman"/>
        </w:rPr>
        <w:t xml:space="preserve">Brachystegia. These woodlands are dominated by trees of the </w:t>
      </w:r>
      <w:r w:rsidRPr="009B0448">
        <w:rPr>
          <w:rFonts w:ascii="Times New Roman" w:hAnsi="Times New Roman" w:cs="Times New Roman"/>
          <w:color w:val="auto"/>
        </w:rPr>
        <w:t xml:space="preserve">subfamily </w:t>
      </w:r>
      <w:r w:rsidRPr="00C87E0F">
        <w:rPr>
          <w:rFonts w:ascii="Times New Roman" w:hAnsi="Times New Roman" w:cs="Times New Roman"/>
        </w:rPr>
        <w:t>Caesalpinioideae</w:t>
      </w:r>
      <w:r w:rsidRPr="009B0448">
        <w:rPr>
          <w:rFonts w:ascii="Times New Roman" w:hAnsi="Times New Roman" w:cs="Times New Roman"/>
          <w:color w:val="auto"/>
        </w:rPr>
        <w:t>, particularly miombo (</w:t>
      </w:r>
      <w:r w:rsidRPr="009B0448">
        <w:rPr>
          <w:rFonts w:ascii="Times New Roman" w:hAnsi="Times New Roman" w:cs="Times New Roman"/>
          <w:i/>
          <w:color w:val="auto"/>
        </w:rPr>
        <w:t xml:space="preserve">Brachystegia), Julbernardia </w:t>
      </w:r>
      <w:r w:rsidRPr="009B0448">
        <w:rPr>
          <w:rFonts w:ascii="Times New Roman" w:hAnsi="Times New Roman" w:cs="Times New Roman"/>
          <w:color w:val="auto"/>
        </w:rPr>
        <w:t>and</w:t>
      </w:r>
      <w:r w:rsidRPr="009B0448">
        <w:rPr>
          <w:rFonts w:ascii="Times New Roman" w:hAnsi="Times New Roman" w:cs="Times New Roman"/>
          <w:i/>
          <w:color w:val="auto"/>
        </w:rPr>
        <w:t xml:space="preserve"> Isoberlinia</w:t>
      </w:r>
      <w:r w:rsidRPr="009B0448">
        <w:rPr>
          <w:rFonts w:ascii="Times New Roman" w:hAnsi="Times New Roman" w:cs="Times New Roman"/>
          <w:color w:val="auto"/>
        </w:rPr>
        <w:t xml:space="preserve">, </w:t>
      </w:r>
      <w:r w:rsidRPr="009B0448">
        <w:rPr>
          <w:rFonts w:ascii="Times New Roman" w:hAnsi="Times New Roman" w:cs="Times New Roman"/>
          <w:color w:val="auto"/>
          <w:lang w:val="en-US"/>
        </w:rPr>
        <w:t>and are mainly situated on the ancient African plateau at an elevation of 800 to 1,250</w:t>
      </w:r>
      <w:r w:rsidRPr="009B0448">
        <w:rPr>
          <w:rFonts w:ascii="Times New Roman" w:hAnsi="Times New Roman" w:cs="Times New Roman"/>
          <w:color w:val="auto"/>
        </w:rPr>
        <w:t xml:space="preserve"> metres</w:t>
      </w:r>
      <w:r w:rsidRPr="009B0448">
        <w:rPr>
          <w:rFonts w:ascii="Times New Roman" w:hAnsi="Times New Roman" w:cs="Times New Roman"/>
          <w:color w:val="auto"/>
          <w:lang w:val="en-US"/>
        </w:rPr>
        <w:t xml:space="preserve"> above sea level. Mean annual rainfall between 600 to 1,400</w:t>
      </w:r>
      <w:r w:rsidRPr="009B0448">
        <w:rPr>
          <w:rFonts w:ascii="Times New Roman" w:hAnsi="Times New Roman" w:cs="Times New Roman"/>
          <w:color w:val="auto"/>
        </w:rPr>
        <w:t xml:space="preserve"> millimetres</w:t>
      </w:r>
      <w:r w:rsidRPr="009B0448">
        <w:rPr>
          <w:rFonts w:ascii="Times New Roman" w:hAnsi="Times New Roman" w:cs="Times New Roman"/>
          <w:color w:val="auto"/>
          <w:lang w:val="en-US"/>
        </w:rPr>
        <w:t xml:space="preserve">, occurring between the months of November and April, and temperatures in the warm sub-humid zone (24–27°C), characterize the climate (Frost </w:t>
      </w:r>
      <w:r w:rsidRPr="009B0448">
        <w:rPr>
          <w:rFonts w:ascii="Times New Roman" w:hAnsi="Times New Roman" w:cs="Times New Roman"/>
          <w:i/>
          <w:color w:val="auto"/>
          <w:lang w:val="en-US"/>
        </w:rPr>
        <w:t>et al.</w:t>
      </w:r>
      <w:r w:rsidRPr="009B0448">
        <w:rPr>
          <w:rFonts w:ascii="Times New Roman" w:hAnsi="Times New Roman" w:cs="Times New Roman"/>
          <w:color w:val="auto"/>
          <w:lang w:val="en-US"/>
        </w:rPr>
        <w:t xml:space="preserve">, 1996; Timberlake </w:t>
      </w:r>
      <w:r w:rsidRPr="009B0448">
        <w:rPr>
          <w:rFonts w:ascii="Times New Roman" w:hAnsi="Times New Roman" w:cs="Times New Roman"/>
          <w:i/>
          <w:color w:val="auto"/>
          <w:lang w:val="en-US"/>
        </w:rPr>
        <w:t>et al.</w:t>
      </w:r>
      <w:r w:rsidRPr="009B0448">
        <w:rPr>
          <w:rFonts w:ascii="Times New Roman" w:hAnsi="Times New Roman" w:cs="Times New Roman"/>
          <w:color w:val="auto"/>
          <w:lang w:val="en-US"/>
        </w:rPr>
        <w:t xml:space="preserve">, 2011; Timberlake </w:t>
      </w:r>
      <w:r w:rsidRPr="009B0448">
        <w:rPr>
          <w:rFonts w:ascii="Times New Roman" w:hAnsi="Times New Roman" w:cs="Times New Roman"/>
          <w:i/>
          <w:color w:val="auto"/>
          <w:lang w:val="en-US"/>
        </w:rPr>
        <w:t>et al.</w:t>
      </w:r>
      <w:r w:rsidRPr="009B0448">
        <w:rPr>
          <w:rFonts w:ascii="Times New Roman" w:hAnsi="Times New Roman" w:cs="Times New Roman"/>
          <w:color w:val="auto"/>
          <w:lang w:val="en-US"/>
        </w:rPr>
        <w:t>, 2014). The unimodal rainfall pattern with prolonged dry seasons, coupled with the well-developed grass layer, exacerbates the frequency of wide-spreading fires, which have both natural and</w:t>
      </w:r>
      <w:r w:rsidRPr="009B0448">
        <w:rPr>
          <w:rStyle w:val="Hyperlink0"/>
          <w:rFonts w:ascii="Times New Roman" w:hAnsi="Times New Roman" w:cs="Times New Roman"/>
          <w:color w:val="auto"/>
        </w:rPr>
        <w:t xml:space="preserve"> anthropogenic causes. Fire and pastoralism are believed to have played integral roles in the structuring of the miombo ecoregion through the tens of thousands of years of anthropogenic presence in the area. The miombo contains some of the largest large mammal populations left in Africa, with large herbivores including elephant, rhino, buffalo and many species of antelope. Typically, these species need to undertake seasonal movements as the region has extended dry seasons and animals often need to move around to find food and water. There are also numerous species of endemic animal and plant species across the huge extent of the region, although the density of endemic species is low in this region as most species have large ranges.</w:t>
      </w:r>
    </w:p>
    <w:p w14:paraId="6060543B" w14:textId="77777777" w:rsidR="009B0448" w:rsidRPr="009B0448" w:rsidRDefault="009B0448" w:rsidP="009B0448">
      <w:pPr>
        <w:spacing w:line="276" w:lineRule="auto"/>
        <w:jc w:val="both"/>
        <w:rPr>
          <w:rStyle w:val="Hyperlink0"/>
          <w:rFonts w:ascii="Times New Roman" w:hAnsi="Times New Roman" w:cs="Times New Roman"/>
        </w:rPr>
      </w:pPr>
    </w:p>
    <w:p w14:paraId="6A8C4D1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 and future dynamics:</w:t>
      </w:r>
      <w:r w:rsidRPr="009B0448">
        <w:rPr>
          <w:rFonts w:ascii="Times New Roman" w:hAnsi="Times New Roman" w:cs="Times New Roman"/>
        </w:rPr>
        <w:t xml:space="preserve"> Savannas are in a state of decline in most of East Africa and adjacent islands. Corridors for migratory animals have been reduced mostly through human settlement and farming. Populations of ungulates have declined at high rates where bush meat is a major source of protein. Black rhinoceroses have been decimated by trophy hunters and poachers for their horns. Plant species, such as the African Blackwood (</w:t>
      </w:r>
      <w:r w:rsidRPr="009B0448">
        <w:rPr>
          <w:rFonts w:ascii="Times New Roman" w:hAnsi="Times New Roman" w:cs="Times New Roman"/>
          <w:i/>
        </w:rPr>
        <w:t xml:space="preserve">Dalbergia melanoxylon, </w:t>
      </w:r>
      <w:r w:rsidRPr="009B0448">
        <w:rPr>
          <w:rFonts w:ascii="Times New Roman" w:hAnsi="Times New Roman" w:cs="Times New Roman"/>
        </w:rPr>
        <w:t>Lower Risk/near threatened), are threatened by overharvesting because of their commercial value in making carvings for tourists and furniture (WWF, 2017b).</w:t>
      </w:r>
    </w:p>
    <w:p w14:paraId="2376A6FA"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90" w:name="_Toc519499889"/>
      <w:r w:rsidRPr="009B0448">
        <w:rPr>
          <w:rFonts w:cs="Times New Roman"/>
          <w:b w:val="0"/>
          <w:sz w:val="22"/>
          <w:szCs w:val="22"/>
        </w:rPr>
        <w:t>Dryland and desert</w:t>
      </w:r>
      <w:bookmarkEnd w:id="190"/>
    </w:p>
    <w:p w14:paraId="19F09811" w14:textId="19712520"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About 80% of the east African region’s total area consists of sparse herbaceous/grassy steppe (e.g.</w:t>
      </w:r>
      <w:r w:rsidR="00E24BC5">
        <w:rPr>
          <w:rFonts w:ascii="Times New Roman" w:hAnsi="Times New Roman" w:cs="Times New Roman"/>
        </w:rPr>
        <w:t>,</w:t>
      </w:r>
      <w:r w:rsidRPr="009B0448">
        <w:rPr>
          <w:rFonts w:ascii="Times New Roman" w:hAnsi="Times New Roman" w:cs="Times New Roman"/>
        </w:rPr>
        <w:t xml:space="preserve"> </w:t>
      </w:r>
      <w:r w:rsidRPr="009B0448">
        <w:rPr>
          <w:rFonts w:ascii="Times New Roman" w:hAnsi="Times New Roman" w:cs="Times New Roman"/>
          <w:i/>
        </w:rPr>
        <w:t>Acacia tortilis</w:t>
      </w:r>
      <w:r w:rsidRPr="009B0448">
        <w:rPr>
          <w:rFonts w:ascii="Times New Roman" w:hAnsi="Times New Roman" w:cs="Times New Roman"/>
        </w:rPr>
        <w:t xml:space="preserve">) (Ludwig </w:t>
      </w:r>
      <w:r w:rsidRPr="009B0448">
        <w:rPr>
          <w:rFonts w:ascii="Times New Roman" w:hAnsi="Times New Roman" w:cs="Times New Roman"/>
          <w:i/>
        </w:rPr>
        <w:t>et al.</w:t>
      </w:r>
      <w:r w:rsidRPr="009B0448">
        <w:rPr>
          <w:rFonts w:ascii="Times New Roman" w:hAnsi="Times New Roman" w:cs="Times New Roman"/>
        </w:rPr>
        <w:t xml:space="preserve">, 2004), and the stands of mangroves (e.g., </w:t>
      </w:r>
      <w:r w:rsidRPr="009B0448">
        <w:rPr>
          <w:rFonts w:ascii="Times New Roman" w:hAnsi="Times New Roman" w:cs="Times New Roman"/>
          <w:i/>
        </w:rPr>
        <w:t>Rhizophora mucronata</w:t>
      </w:r>
      <w:r w:rsidRPr="009B0448">
        <w:rPr>
          <w:rFonts w:ascii="Times New Roman" w:hAnsi="Times New Roman" w:cs="Times New Roman"/>
        </w:rPr>
        <w:t>, Least Concern) in the southern part of the Red Sea Coastal desert, and spiny bush in the south and west of Madagascar Spiny Thickets (124,060 km</w:t>
      </w:r>
      <w:r w:rsidRPr="009B0448">
        <w:rPr>
          <w:rFonts w:ascii="Times New Roman" w:hAnsi="Times New Roman" w:cs="Times New Roman"/>
          <w:vertAlign w:val="superscript"/>
        </w:rPr>
        <w:t>2</w:t>
      </w:r>
      <w:r w:rsidRPr="009B0448">
        <w:rPr>
          <w:rFonts w:ascii="Times New Roman" w:hAnsi="Times New Roman" w:cs="Times New Roman"/>
        </w:rPr>
        <w:t>) (Phillipson, 1996) Somali montane xeric woodlands (62,159 km</w:t>
      </w:r>
      <w:r w:rsidRPr="009B0448">
        <w:rPr>
          <w:rFonts w:ascii="Times New Roman" w:hAnsi="Times New Roman" w:cs="Times New Roman"/>
          <w:vertAlign w:val="superscript"/>
        </w:rPr>
        <w:t xml:space="preserve">2 </w:t>
      </w:r>
      <w:r w:rsidRPr="009B0448">
        <w:rPr>
          <w:rFonts w:ascii="Times New Roman" w:hAnsi="Times New Roman" w:cs="Times New Roman"/>
        </w:rPr>
        <w:t>and the Somali and Eritrean coastal deserts (30,300 km</w:t>
      </w:r>
      <w:r w:rsidRPr="009B0448">
        <w:rPr>
          <w:rFonts w:ascii="Times New Roman" w:hAnsi="Times New Roman" w:cs="Times New Roman"/>
          <w:vertAlign w:val="superscript"/>
        </w:rPr>
        <w:t>2</w:t>
      </w:r>
      <w:r w:rsidRPr="009B0448">
        <w:rPr>
          <w:rFonts w:ascii="Times New Roman" w:hAnsi="Times New Roman" w:cs="Times New Roman"/>
        </w:rPr>
        <w:t xml:space="preserve">) (WWF, 2017a). The xeric woodlands of Madagascar are critically endangered, the Somali desert ecosystems are vulnerable and the Somali xeric woodlands are also critically endangered. However, the Eritrean coastal desert is relatively stable (WWF, 2017a). </w:t>
      </w:r>
      <w:r w:rsidR="00C813C5">
        <w:rPr>
          <w:rFonts w:ascii="Times New Roman" w:hAnsi="Times New Roman" w:cs="Times New Roman"/>
        </w:rPr>
        <w:t>The m</w:t>
      </w:r>
      <w:r w:rsidRPr="009B0448">
        <w:rPr>
          <w:rFonts w:ascii="Times New Roman" w:hAnsi="Times New Roman" w:cs="Times New Roman"/>
        </w:rPr>
        <w:t>ajority of these zones are recogni</w:t>
      </w:r>
      <w:r w:rsidR="00C813C5">
        <w:rPr>
          <w:rFonts w:ascii="Times New Roman" w:hAnsi="Times New Roman" w:cs="Times New Roman"/>
        </w:rPr>
        <w:t>s</w:t>
      </w:r>
      <w:r w:rsidRPr="009B0448">
        <w:rPr>
          <w:rFonts w:ascii="Times New Roman" w:hAnsi="Times New Roman" w:cs="Times New Roman"/>
        </w:rPr>
        <w:t xml:space="preserve">ed as important zones of endemism. For example, an estimated 825 to 950 plant species have been observed in Danakil depression and its surrounding, with 25 species endemic to this region and the adjacent equally dry parts of Ethiopia and Somalia (Friis </w:t>
      </w:r>
      <w:r w:rsidRPr="009B0448">
        <w:rPr>
          <w:rFonts w:ascii="Times New Roman" w:hAnsi="Times New Roman" w:cs="Times New Roman"/>
          <w:i/>
        </w:rPr>
        <w:t>et al.</w:t>
      </w:r>
      <w:r w:rsidRPr="009B0448">
        <w:rPr>
          <w:rFonts w:ascii="Times New Roman" w:hAnsi="Times New Roman" w:cs="Times New Roman"/>
        </w:rPr>
        <w:t xml:space="preserve">, 2001), and several hundred endemics to Somali Montane Xeric Woodlands (Friis, 1992; Thulin, 1994; WWF </w:t>
      </w:r>
      <w:r w:rsidRPr="009B0448">
        <w:rPr>
          <w:rFonts w:ascii="Times New Roman" w:hAnsi="Times New Roman" w:cs="Times New Roman"/>
          <w:i/>
        </w:rPr>
        <w:t>et al</w:t>
      </w:r>
      <w:r w:rsidRPr="009B0448">
        <w:rPr>
          <w:rFonts w:ascii="Times New Roman" w:hAnsi="Times New Roman" w:cs="Times New Roman"/>
        </w:rPr>
        <w:t xml:space="preserve">., 1994; Lovett </w:t>
      </w:r>
      <w:r w:rsidRPr="009B0448">
        <w:rPr>
          <w:rFonts w:ascii="Times New Roman" w:hAnsi="Times New Roman" w:cs="Times New Roman"/>
          <w:i/>
        </w:rPr>
        <w:t>et al</w:t>
      </w:r>
      <w:r w:rsidRPr="009B0448">
        <w:rPr>
          <w:rFonts w:ascii="Times New Roman" w:hAnsi="Times New Roman" w:cs="Times New Roman"/>
        </w:rPr>
        <w:t xml:space="preserve">., 1996). The highest percentage of plant endemism has been observed in Madagascar (Phillipson, 1996). Some of the endemic plants are extremely rare and have highly restricted ranges, such as </w:t>
      </w:r>
      <w:r w:rsidRPr="009B0448">
        <w:rPr>
          <w:rFonts w:ascii="Times New Roman" w:hAnsi="Times New Roman" w:cs="Times New Roman"/>
          <w:i/>
        </w:rPr>
        <w:t>Aloe suzannae</w:t>
      </w:r>
      <w:r w:rsidRPr="009B0448">
        <w:rPr>
          <w:rFonts w:ascii="Times New Roman" w:hAnsi="Times New Roman" w:cs="Times New Roman"/>
        </w:rPr>
        <w:t xml:space="preserve"> (Liliaceae) and the palm, </w:t>
      </w:r>
      <w:r w:rsidRPr="009B0448">
        <w:rPr>
          <w:rFonts w:ascii="Times New Roman" w:hAnsi="Times New Roman" w:cs="Times New Roman"/>
          <w:i/>
        </w:rPr>
        <w:t>Dypsis decaryi</w:t>
      </w:r>
      <w:r w:rsidRPr="009B0448">
        <w:rPr>
          <w:rFonts w:ascii="Times New Roman" w:hAnsi="Times New Roman" w:cs="Times New Roman"/>
        </w:rPr>
        <w:t xml:space="preserve"> (Vulnerable), as well as tiny </w:t>
      </w:r>
      <w:r w:rsidRPr="009B0448">
        <w:rPr>
          <w:rFonts w:ascii="Times New Roman" w:hAnsi="Times New Roman" w:cs="Times New Roman"/>
          <w:i/>
        </w:rPr>
        <w:t>Euphorbia</w:t>
      </w:r>
      <w:r w:rsidRPr="009B0448">
        <w:rPr>
          <w:rFonts w:ascii="Times New Roman" w:hAnsi="Times New Roman" w:cs="Times New Roman"/>
        </w:rPr>
        <w:t xml:space="preserve"> herbs, </w:t>
      </w:r>
      <w:r w:rsidRPr="009B0448">
        <w:rPr>
          <w:rFonts w:ascii="Times New Roman" w:hAnsi="Times New Roman" w:cs="Times New Roman"/>
          <w:i/>
        </w:rPr>
        <w:t>Pachypodium</w:t>
      </w:r>
      <w:r w:rsidRPr="009B0448">
        <w:rPr>
          <w:rFonts w:ascii="Times New Roman" w:hAnsi="Times New Roman" w:cs="Times New Roman"/>
        </w:rPr>
        <w:t xml:space="preserve"> spp., and </w:t>
      </w:r>
      <w:r w:rsidRPr="009B0448">
        <w:rPr>
          <w:rFonts w:ascii="Times New Roman" w:hAnsi="Times New Roman" w:cs="Times New Roman"/>
          <w:i/>
        </w:rPr>
        <w:t>Hibiscus</w:t>
      </w:r>
      <w:r w:rsidRPr="009B0448">
        <w:rPr>
          <w:rFonts w:ascii="Times New Roman" w:hAnsi="Times New Roman" w:cs="Times New Roman"/>
        </w:rPr>
        <w:t xml:space="preserve"> shrubs.</w:t>
      </w:r>
    </w:p>
    <w:p w14:paraId="3E069673" w14:textId="77777777" w:rsidR="009B0448" w:rsidRPr="009B0448" w:rsidRDefault="009B0448" w:rsidP="009B0448">
      <w:pPr>
        <w:spacing w:line="276" w:lineRule="auto"/>
        <w:jc w:val="both"/>
        <w:rPr>
          <w:rFonts w:ascii="Times New Roman" w:hAnsi="Times New Roman" w:cs="Times New Roman"/>
        </w:rPr>
      </w:pPr>
    </w:p>
    <w:p w14:paraId="1DC67E3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 overall number of reptiles is relatively low, with strict endemics limited to roughly three species in Eritrean Coastal Desert (Ogaden burrowing asp (</w:t>
      </w:r>
      <w:r w:rsidRPr="009B0448">
        <w:rPr>
          <w:rFonts w:ascii="Times New Roman" w:hAnsi="Times New Roman" w:cs="Times New Roman"/>
          <w:i/>
        </w:rPr>
        <w:t>Atractaspis leucomelas</w:t>
      </w:r>
      <w:r w:rsidRPr="009B0448">
        <w:rPr>
          <w:rFonts w:ascii="Times New Roman" w:hAnsi="Times New Roman" w:cs="Times New Roman"/>
        </w:rPr>
        <w:t>), Ragazzi's cylindrical skink (</w:t>
      </w:r>
      <w:r w:rsidRPr="009B0448">
        <w:rPr>
          <w:rFonts w:ascii="Times New Roman" w:hAnsi="Times New Roman" w:cs="Times New Roman"/>
          <w:i/>
        </w:rPr>
        <w:t>Chalcides ragazzii</w:t>
      </w:r>
      <w:r w:rsidRPr="009B0448">
        <w:rPr>
          <w:rFonts w:ascii="Times New Roman" w:hAnsi="Times New Roman" w:cs="Times New Roman"/>
        </w:rPr>
        <w:t>), and Indian leaf-toed gecko (</w:t>
      </w:r>
      <w:r w:rsidRPr="009B0448">
        <w:rPr>
          <w:rFonts w:ascii="Times New Roman" w:hAnsi="Times New Roman" w:cs="Times New Roman"/>
          <w:i/>
        </w:rPr>
        <w:t>Hemidactylus flaviviridis</w:t>
      </w:r>
      <w:r w:rsidRPr="009B0448">
        <w:rPr>
          <w:rFonts w:ascii="Times New Roman" w:hAnsi="Times New Roman" w:cs="Times New Roman"/>
        </w:rPr>
        <w:t>)), and three other endemic reptiles in Somali Montane Xeric Woodlands (</w:t>
      </w:r>
      <w:r w:rsidRPr="009B0448">
        <w:rPr>
          <w:rFonts w:ascii="Times New Roman" w:hAnsi="Times New Roman" w:cs="Times New Roman"/>
          <w:i/>
        </w:rPr>
        <w:t>Spalerosophis josephscorteccii</w:t>
      </w:r>
      <w:r w:rsidRPr="009B0448">
        <w:rPr>
          <w:rFonts w:ascii="Times New Roman" w:hAnsi="Times New Roman" w:cs="Times New Roman"/>
        </w:rPr>
        <w:t xml:space="preserve"> and </w:t>
      </w:r>
      <w:r w:rsidRPr="009B0448">
        <w:rPr>
          <w:rFonts w:ascii="Times New Roman" w:hAnsi="Times New Roman" w:cs="Times New Roman"/>
          <w:i/>
        </w:rPr>
        <w:t>Leptotyphlops reticulatus</w:t>
      </w:r>
      <w:r w:rsidRPr="009B0448">
        <w:rPr>
          <w:rFonts w:ascii="Times New Roman" w:hAnsi="Times New Roman" w:cs="Times New Roman"/>
        </w:rPr>
        <w:t>, and the lizard (</w:t>
      </w:r>
      <w:r w:rsidRPr="009B0448">
        <w:rPr>
          <w:rFonts w:ascii="Times New Roman" w:hAnsi="Times New Roman" w:cs="Times New Roman"/>
          <w:i/>
        </w:rPr>
        <w:t>Pseuderemias savage</w:t>
      </w:r>
      <w:r w:rsidRPr="009B0448">
        <w:rPr>
          <w:rFonts w:ascii="Times New Roman" w:hAnsi="Times New Roman" w:cs="Times New Roman"/>
        </w:rPr>
        <w:t xml:space="preserve">)) (Stattersfield </w:t>
      </w:r>
      <w:r w:rsidRPr="009B0448">
        <w:rPr>
          <w:rFonts w:ascii="Times New Roman" w:hAnsi="Times New Roman" w:cs="Times New Roman"/>
          <w:i/>
        </w:rPr>
        <w:t>et al.</w:t>
      </w:r>
      <w:r w:rsidRPr="009B0448">
        <w:rPr>
          <w:rFonts w:ascii="Times New Roman" w:hAnsi="Times New Roman" w:cs="Times New Roman"/>
        </w:rPr>
        <w:t>,1998). In all vertebrates levels of endemism are low, for example there only occurs only one Archer’s lark (</w:t>
      </w:r>
      <w:r w:rsidRPr="009B0448">
        <w:rPr>
          <w:rFonts w:ascii="Times New Roman" w:hAnsi="Times New Roman" w:cs="Times New Roman"/>
          <w:i/>
        </w:rPr>
        <w:t>Heteromirafra archeri</w:t>
      </w:r>
      <w:r w:rsidRPr="009B0448">
        <w:rPr>
          <w:rFonts w:ascii="Times New Roman" w:hAnsi="Times New Roman" w:cs="Times New Roman"/>
        </w:rPr>
        <w:t xml:space="preserve">, Critically Endangered), a rodent, </w:t>
      </w:r>
      <w:r w:rsidRPr="009B0448">
        <w:rPr>
          <w:rFonts w:ascii="Times New Roman" w:hAnsi="Times New Roman" w:cs="Times New Roman"/>
          <w:i/>
        </w:rPr>
        <w:t>Gerbillus acticola</w:t>
      </w:r>
      <w:r w:rsidRPr="009B0448">
        <w:rPr>
          <w:rFonts w:ascii="Times New Roman" w:hAnsi="Times New Roman" w:cs="Times New Roman"/>
        </w:rPr>
        <w:t>, and two geckos, Arnold’s leaf-toed gecko (</w:t>
      </w:r>
      <w:r w:rsidRPr="009B0448">
        <w:rPr>
          <w:rFonts w:ascii="Times New Roman" w:hAnsi="Times New Roman" w:cs="Times New Roman"/>
          <w:i/>
        </w:rPr>
        <w:t>Hemidactylus arnoldi</w:t>
      </w:r>
      <w:r w:rsidRPr="009B0448">
        <w:rPr>
          <w:rFonts w:ascii="Times New Roman" w:hAnsi="Times New Roman" w:cs="Times New Roman"/>
        </w:rPr>
        <w:t>) and a subspecies of the northern sand gecko (</w:t>
      </w:r>
      <w:r w:rsidRPr="009B0448">
        <w:rPr>
          <w:rFonts w:ascii="Times New Roman" w:hAnsi="Times New Roman" w:cs="Times New Roman"/>
          <w:i/>
        </w:rPr>
        <w:t>Tropiocolotes tripolitanus somalicus</w:t>
      </w:r>
      <w:r w:rsidRPr="009B0448">
        <w:rPr>
          <w:rFonts w:ascii="Times New Roman" w:hAnsi="Times New Roman" w:cs="Times New Roman"/>
        </w:rPr>
        <w:t xml:space="preserve">, Least Concern) in Ethiopian xeric grasslands and shrublands. </w:t>
      </w:r>
    </w:p>
    <w:p w14:paraId="62E3CB0E" w14:textId="77777777" w:rsidR="009B0448" w:rsidRPr="009B0448" w:rsidRDefault="009B0448" w:rsidP="009B0448">
      <w:pPr>
        <w:spacing w:line="276" w:lineRule="auto"/>
        <w:jc w:val="both"/>
        <w:rPr>
          <w:rFonts w:ascii="Times New Roman" w:hAnsi="Times New Roman" w:cs="Times New Roman"/>
        </w:rPr>
      </w:pPr>
    </w:p>
    <w:p w14:paraId="57F1CD3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Among the mammals, desert ungulates are well presented. For example, Dorcas gazelle (</w:t>
      </w:r>
      <w:r w:rsidRPr="009B0448">
        <w:rPr>
          <w:rFonts w:ascii="Times New Roman" w:hAnsi="Times New Roman" w:cs="Times New Roman"/>
          <w:i/>
        </w:rPr>
        <w:t>Gazella dorcas</w:t>
      </w:r>
      <w:r w:rsidRPr="009B0448">
        <w:rPr>
          <w:rFonts w:ascii="Times New Roman" w:hAnsi="Times New Roman" w:cs="Times New Roman"/>
        </w:rPr>
        <w:t>, Vulnerable), Sömmerring's gazelle (</w:t>
      </w:r>
      <w:r w:rsidRPr="009B0448">
        <w:rPr>
          <w:rFonts w:ascii="Times New Roman" w:hAnsi="Times New Roman" w:cs="Times New Roman"/>
          <w:i/>
        </w:rPr>
        <w:t>Gazella soemmerringii</w:t>
      </w:r>
      <w:r w:rsidRPr="009B0448">
        <w:rPr>
          <w:rFonts w:ascii="Times New Roman" w:hAnsi="Times New Roman" w:cs="Times New Roman"/>
        </w:rPr>
        <w:t>, Vulnerable) and Salt’s dikdik (</w:t>
      </w:r>
      <w:r w:rsidRPr="009B0448">
        <w:rPr>
          <w:rFonts w:ascii="Times New Roman" w:hAnsi="Times New Roman" w:cs="Times New Roman"/>
          <w:i/>
        </w:rPr>
        <w:t>Madoqua saltiana</w:t>
      </w:r>
      <w:r w:rsidRPr="009B0448">
        <w:rPr>
          <w:rFonts w:ascii="Times New Roman" w:hAnsi="Times New Roman" w:cs="Times New Roman"/>
        </w:rPr>
        <w:t>, Least Concern) are well known (Hilton-Taylor, 2000) in most part of desert, with the white-footed sportive lemur (</w:t>
      </w:r>
      <w:r w:rsidRPr="009B0448">
        <w:rPr>
          <w:rFonts w:ascii="Times New Roman" w:hAnsi="Times New Roman" w:cs="Times New Roman"/>
          <w:i/>
        </w:rPr>
        <w:t>Lepilemur leucopus</w:t>
      </w:r>
      <w:r w:rsidRPr="009B0448">
        <w:rPr>
          <w:rFonts w:ascii="Times New Roman" w:hAnsi="Times New Roman" w:cs="Times New Roman"/>
        </w:rPr>
        <w:t>, Endangered), Grandidier’s mongoose (</w:t>
      </w:r>
      <w:r w:rsidRPr="009B0448">
        <w:rPr>
          <w:rFonts w:ascii="Times New Roman" w:hAnsi="Times New Roman" w:cs="Times New Roman"/>
          <w:i/>
        </w:rPr>
        <w:t>Galidictis grandidieri</w:t>
      </w:r>
      <w:r w:rsidRPr="009B0448">
        <w:rPr>
          <w:rFonts w:ascii="Times New Roman" w:hAnsi="Times New Roman" w:cs="Times New Roman"/>
        </w:rPr>
        <w:t>, Endangered), and grey mouse lemur (</w:t>
      </w:r>
      <w:r w:rsidRPr="009B0448">
        <w:rPr>
          <w:rFonts w:ascii="Times New Roman" w:hAnsi="Times New Roman" w:cs="Times New Roman"/>
          <w:i/>
        </w:rPr>
        <w:t>Microcebus murinus</w:t>
      </w:r>
      <w:r w:rsidRPr="009B0448">
        <w:rPr>
          <w:rFonts w:ascii="Times New Roman" w:hAnsi="Times New Roman" w:cs="Times New Roman"/>
        </w:rPr>
        <w:t>, Least Concern). With near-endemic mammals such as, the large-eared tenrec (</w:t>
      </w:r>
      <w:r w:rsidRPr="009B0448">
        <w:rPr>
          <w:rFonts w:ascii="Times New Roman" w:hAnsi="Times New Roman" w:cs="Times New Roman"/>
          <w:i/>
        </w:rPr>
        <w:t>Geogale aurita</w:t>
      </w:r>
      <w:r w:rsidRPr="009B0448">
        <w:rPr>
          <w:rFonts w:ascii="Times New Roman" w:hAnsi="Times New Roman" w:cs="Times New Roman"/>
        </w:rPr>
        <w:t>, Least Concern), and the lesser hedgehog tenrec (</w:t>
      </w:r>
      <w:r w:rsidRPr="009B0448">
        <w:rPr>
          <w:rFonts w:ascii="Times New Roman" w:hAnsi="Times New Roman" w:cs="Times New Roman"/>
          <w:i/>
        </w:rPr>
        <w:t>Echinops telfairi</w:t>
      </w:r>
      <w:r w:rsidRPr="009B0448">
        <w:rPr>
          <w:rFonts w:ascii="Times New Roman" w:hAnsi="Times New Roman" w:cs="Times New Roman"/>
        </w:rPr>
        <w:t xml:space="preserve">) only found in Madagascar (WWF, 2017a). </w:t>
      </w:r>
    </w:p>
    <w:p w14:paraId="7259F3B1" w14:textId="77777777" w:rsidR="009B0448" w:rsidRPr="009B0448" w:rsidRDefault="009B0448" w:rsidP="009B0448">
      <w:pPr>
        <w:spacing w:line="276" w:lineRule="auto"/>
        <w:jc w:val="both"/>
        <w:rPr>
          <w:rFonts w:ascii="Times New Roman" w:hAnsi="Times New Roman" w:cs="Times New Roman"/>
          <w:u w:val="single"/>
        </w:rPr>
      </w:pPr>
    </w:p>
    <w:p w14:paraId="7FE6C92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 and future dynamics:</w:t>
      </w:r>
      <w:r w:rsidRPr="009B0448">
        <w:rPr>
          <w:rFonts w:ascii="Times New Roman" w:hAnsi="Times New Roman" w:cs="Times New Roman"/>
          <w:i/>
        </w:rPr>
        <w:t xml:space="preserve"> </w:t>
      </w:r>
      <w:r w:rsidRPr="009B0448">
        <w:rPr>
          <w:rFonts w:ascii="Times New Roman" w:hAnsi="Times New Roman" w:cs="Times New Roman"/>
        </w:rPr>
        <w:t xml:space="preserve">Drylands and deserts in East Africa and adjacent islands are largely intact but degraded by overgrazing and fuel collection, particularly near settlements. One of the major threats is over-exploitation of useful species e.g., </w:t>
      </w:r>
      <w:r w:rsidRPr="009B0448">
        <w:rPr>
          <w:rFonts w:ascii="Times New Roman" w:hAnsi="Times New Roman" w:cs="Times New Roman"/>
          <w:i/>
        </w:rPr>
        <w:t>Hazomalania voyroni</w:t>
      </w:r>
      <w:r w:rsidRPr="009B0448">
        <w:rPr>
          <w:rFonts w:ascii="Times New Roman" w:hAnsi="Times New Roman" w:cs="Times New Roman"/>
        </w:rPr>
        <w:t xml:space="preserve"> (Least Concern) which has been over-harvested in Madagascar for construction wood although attempts are being made at replanting the species (Randrianasolo </w:t>
      </w:r>
      <w:r w:rsidRPr="009B0448">
        <w:rPr>
          <w:rFonts w:ascii="Times New Roman" w:hAnsi="Times New Roman" w:cs="Times New Roman"/>
          <w:i/>
        </w:rPr>
        <w:t>et al.</w:t>
      </w:r>
      <w:r w:rsidRPr="009B0448">
        <w:rPr>
          <w:rFonts w:ascii="Times New Roman" w:hAnsi="Times New Roman" w:cs="Times New Roman"/>
        </w:rPr>
        <w:t>, 1996). With current absence of protected areas, and weak environmental law enforcement, flora and fauna in these deserts is likely to be adversely affected.</w:t>
      </w:r>
    </w:p>
    <w:p w14:paraId="53BFE71C"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91" w:name="_Toc519499890"/>
      <w:r w:rsidRPr="009B0448">
        <w:rPr>
          <w:rFonts w:cs="Times New Roman"/>
          <w:b w:val="0"/>
          <w:sz w:val="22"/>
          <w:szCs w:val="22"/>
        </w:rPr>
        <w:t>Cultivated lands</w:t>
      </w:r>
      <w:bookmarkEnd w:id="191"/>
    </w:p>
    <w:p w14:paraId="04120673" w14:textId="5493597F"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Among the estimated 7,500 plant species in East African region (specifically in Kenya) are important wild species of vegetables, fruits, forage grasses, legumes, browse plants, cereals, pulses, oil crops, forest species, medicinal plants; which account for about 75% of agricultural production and over 75% of income generation (Salami </w:t>
      </w:r>
      <w:r w:rsidRPr="009B0448">
        <w:rPr>
          <w:rFonts w:ascii="Times New Roman" w:hAnsi="Times New Roman" w:cs="Times New Roman"/>
          <w:i/>
        </w:rPr>
        <w:t>et al.</w:t>
      </w:r>
      <w:r w:rsidRPr="009B0448">
        <w:rPr>
          <w:rFonts w:ascii="Times New Roman" w:hAnsi="Times New Roman" w:cs="Times New Roman"/>
        </w:rPr>
        <w:t xml:space="preserve">, 2010). No study exists on the level of genetic erosion of farmed species that has taken place in East Africa and adjacent islands (FAO, 2009a). However, it is believed in the last decade a lot of diversity has been lost due to both biotic and abiotic factors, despite the efforts being made in germplasm conservation. These factors include: aggressive promotion of exotic vegetables; changes in eating habits and over-exploitation; population pressure on land and changes in land (FAO, 2009a). Of the 291 known species of mammalian and avian breeds </w:t>
      </w:r>
      <w:r w:rsidR="00C813C5">
        <w:rPr>
          <w:rFonts w:ascii="Times New Roman" w:hAnsi="Times New Roman" w:cs="Times New Roman"/>
        </w:rPr>
        <w:t>in East Africa, 12 are categoris</w:t>
      </w:r>
      <w:r w:rsidRPr="009B0448">
        <w:rPr>
          <w:rFonts w:ascii="Times New Roman" w:hAnsi="Times New Roman" w:cs="Times New Roman"/>
        </w:rPr>
        <w:t>ed as at risk. However, this is probably an underestimate of the actual situation, primarily due to a lack of information (FAO, 2007c; Figure 3.11 &amp; 3.12).</w:t>
      </w:r>
    </w:p>
    <w:p w14:paraId="428E251F" w14:textId="77777777" w:rsidR="009B0448" w:rsidRPr="009B0448" w:rsidRDefault="009B0448" w:rsidP="009B0448">
      <w:pPr>
        <w:spacing w:line="276" w:lineRule="auto"/>
        <w:jc w:val="both"/>
        <w:rPr>
          <w:rFonts w:ascii="Times New Roman" w:hAnsi="Times New Roman" w:cs="Times New Roman"/>
        </w:rPr>
      </w:pPr>
    </w:p>
    <w:p w14:paraId="6232EAB4" w14:textId="216BBD60"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rPr>
        <w:t xml:space="preserve"> Similar to other </w:t>
      </w:r>
      <w:r w:rsidR="00B22D81">
        <w:rPr>
          <w:rFonts w:ascii="Times New Roman" w:hAnsi="Times New Roman" w:cs="Times New Roman"/>
        </w:rPr>
        <w:t>subregion</w:t>
      </w:r>
      <w:r w:rsidRPr="009B0448">
        <w:rPr>
          <w:rFonts w:ascii="Times New Roman" w:hAnsi="Times New Roman" w:cs="Times New Roman"/>
        </w:rPr>
        <w:t>s, the plant genetic diversity used in agriculture–crops and livestock breeds is predicted to erode further is no interventions are taken.</w:t>
      </w:r>
    </w:p>
    <w:p w14:paraId="5662F06D" w14:textId="77777777" w:rsidR="009B0448" w:rsidRPr="009B0448" w:rsidRDefault="009B0448" w:rsidP="009B0448">
      <w:pPr>
        <w:spacing w:line="276" w:lineRule="auto"/>
        <w:jc w:val="both"/>
        <w:rPr>
          <w:rFonts w:ascii="Times New Roman" w:hAnsi="Times New Roman" w:cs="Times New Roman"/>
        </w:rPr>
      </w:pPr>
    </w:p>
    <w:p w14:paraId="2CAE7B29" w14:textId="2DA92C73"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noProof/>
          <w:lang w:eastAsia="en-GB"/>
        </w:rPr>
        <w:drawing>
          <wp:inline distT="0" distB="0" distL="0" distR="0" wp14:anchorId="3E5F1AB6" wp14:editId="05EB4455">
            <wp:extent cx="5753100" cy="4030980"/>
            <wp:effectExtent l="0" t="0" r="0" b="762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671">
                      <a:extLst>
                        <a:ext uri="{28A0092B-C50C-407E-A947-70E740481C1C}">
                          <a14:useLocalDpi xmlns:a14="http://schemas.microsoft.com/office/drawing/2010/main" val="0"/>
                        </a:ext>
                      </a:extLst>
                    </a:blip>
                    <a:srcRect r="1617"/>
                    <a:stretch>
                      <a:fillRect/>
                    </a:stretch>
                  </pic:blipFill>
                  <pic:spPr bwMode="auto">
                    <a:xfrm>
                      <a:off x="0" y="0"/>
                      <a:ext cx="5753100" cy="4030980"/>
                    </a:xfrm>
                    <a:prstGeom prst="rect">
                      <a:avLst/>
                    </a:prstGeom>
                    <a:noFill/>
                    <a:ln>
                      <a:noFill/>
                    </a:ln>
                  </pic:spPr>
                </pic:pic>
              </a:graphicData>
            </a:graphic>
          </wp:inline>
        </w:drawing>
      </w:r>
    </w:p>
    <w:p w14:paraId="3CB7AD82"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b/>
          <w:color w:val="auto"/>
        </w:rPr>
        <w:t>Figure 3.11:</w:t>
      </w:r>
      <w:r w:rsidRPr="009B0448">
        <w:rPr>
          <w:rFonts w:ascii="Times New Roman" w:hAnsi="Times New Roman" w:cs="Times New Roman"/>
          <w:color w:val="auto"/>
        </w:rPr>
        <w:t xml:space="preserve"> Risk status of livestock breeds recorded in East Africa* as of December 2005: absolute (table) and relative (chart) figures. Source: FAO (2007c).</w:t>
      </w:r>
    </w:p>
    <w:p w14:paraId="6D88375B" w14:textId="0D935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noProof/>
          <w:lang w:eastAsia="en-GB"/>
        </w:rPr>
        <w:drawing>
          <wp:inline distT="0" distB="0" distL="0" distR="0" wp14:anchorId="61908A29" wp14:editId="413AF344">
            <wp:extent cx="5730240" cy="3352800"/>
            <wp:effectExtent l="0" t="0" r="381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730240" cy="3352800"/>
                    </a:xfrm>
                    <a:prstGeom prst="rect">
                      <a:avLst/>
                    </a:prstGeom>
                    <a:noFill/>
                    <a:ln>
                      <a:noFill/>
                    </a:ln>
                  </pic:spPr>
                </pic:pic>
              </a:graphicData>
            </a:graphic>
          </wp:inline>
        </w:drawing>
      </w:r>
    </w:p>
    <w:p w14:paraId="1DC083D0" w14:textId="77777777" w:rsidR="009B0448" w:rsidRPr="009B0448" w:rsidRDefault="009B0448" w:rsidP="009B0448">
      <w:pPr>
        <w:spacing w:line="276" w:lineRule="auto"/>
        <w:jc w:val="both"/>
        <w:rPr>
          <w:rFonts w:ascii="Times New Roman" w:hAnsi="Times New Roman" w:cs="Times New Roman"/>
          <w:color w:val="002060"/>
        </w:rPr>
      </w:pPr>
      <w:r w:rsidRPr="009B0448">
        <w:rPr>
          <w:rFonts w:ascii="Times New Roman" w:hAnsi="Times New Roman" w:cs="Times New Roman"/>
          <w:b/>
          <w:color w:val="auto"/>
        </w:rPr>
        <w:t>Figure 3.12:</w:t>
      </w:r>
      <w:r w:rsidRPr="009B0448">
        <w:rPr>
          <w:rFonts w:ascii="Times New Roman" w:hAnsi="Times New Roman" w:cs="Times New Roman"/>
          <w:color w:val="auto"/>
        </w:rPr>
        <w:t xml:space="preserve"> Risk status of avian domestic breeds recorded in East Africa* up to December 2005: absolute (table) and relative (chart) figures. Source: FAO (2007c).</w:t>
      </w:r>
    </w:p>
    <w:p w14:paraId="7D8D8FCF"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192" w:name="_Toc503105161"/>
      <w:bookmarkStart w:id="193" w:name="_Toc519499891"/>
      <w:r w:rsidRPr="009B0448">
        <w:rPr>
          <w:rFonts w:cs="Times New Roman"/>
          <w:sz w:val="22"/>
          <w:szCs w:val="22"/>
        </w:rPr>
        <w:t>Aquatic (Freshwater, Marine and Coastal)</w:t>
      </w:r>
      <w:bookmarkEnd w:id="192"/>
      <w:bookmarkEnd w:id="193"/>
    </w:p>
    <w:p w14:paraId="3AD302D1"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94" w:name="_Toc519499892"/>
      <w:r w:rsidRPr="009B0448">
        <w:rPr>
          <w:rFonts w:cs="Times New Roman"/>
          <w:b w:val="0"/>
          <w:sz w:val="22"/>
          <w:szCs w:val="22"/>
        </w:rPr>
        <w:t>Wetlands and mangroves</w:t>
      </w:r>
      <w:bookmarkEnd w:id="194"/>
    </w:p>
    <w:p w14:paraId="4C1FE743" w14:textId="77777777" w:rsidR="009B0448" w:rsidRPr="009B0448" w:rsidRDefault="009B0448" w:rsidP="009B0448">
      <w:pPr>
        <w:spacing w:line="276" w:lineRule="auto"/>
        <w:jc w:val="both"/>
        <w:rPr>
          <w:rFonts w:ascii="Times New Roman" w:hAnsi="Times New Roman" w:cs="Times New Roman"/>
          <w:lang w:val="en-US"/>
        </w:rPr>
      </w:pPr>
      <w:r w:rsidRPr="009B0448">
        <w:rPr>
          <w:rFonts w:ascii="Times New Roman" w:hAnsi="Times New Roman" w:cs="Times New Roman"/>
          <w:u w:val="single"/>
          <w:lang w:val="en-US"/>
        </w:rPr>
        <w:t>Status:</w:t>
      </w:r>
      <w:r w:rsidRPr="009B0448">
        <w:rPr>
          <w:rFonts w:ascii="Times New Roman" w:hAnsi="Times New Roman" w:cs="Times New Roman"/>
          <w:lang w:val="en-US"/>
        </w:rPr>
        <w:t xml:space="preserve"> Wetlands and mangroves in East Africa and adjacent islands account for 80% of the total wetland area (Kalinga </w:t>
      </w:r>
      <w:r w:rsidRPr="009B0448">
        <w:rPr>
          <w:rFonts w:ascii="Times New Roman" w:hAnsi="Times New Roman" w:cs="Times New Roman"/>
          <w:i/>
          <w:lang w:val="en-US"/>
        </w:rPr>
        <w:t>et al.</w:t>
      </w:r>
      <w:r w:rsidRPr="009B0448">
        <w:rPr>
          <w:rFonts w:ascii="Times New Roman" w:hAnsi="Times New Roman" w:cs="Times New Roman"/>
          <w:lang w:val="en-US"/>
        </w:rPr>
        <w:t xml:space="preserve">, 1998; Spalding </w:t>
      </w:r>
      <w:r w:rsidRPr="009B0448">
        <w:rPr>
          <w:rFonts w:ascii="Times New Roman" w:hAnsi="Times New Roman" w:cs="Times New Roman"/>
          <w:i/>
          <w:lang w:val="en-US"/>
        </w:rPr>
        <w:t>et al.</w:t>
      </w:r>
      <w:r w:rsidRPr="009B0448">
        <w:rPr>
          <w:rFonts w:ascii="Times New Roman" w:hAnsi="Times New Roman" w:cs="Times New Roman"/>
          <w:lang w:val="en-US"/>
        </w:rPr>
        <w:t>, 2010). The largest mangrove areas are in one of global biodiversity hotspot-Madagascar (2,991 km</w:t>
      </w:r>
      <w:r w:rsidRPr="009B0448">
        <w:rPr>
          <w:rFonts w:ascii="Times New Roman" w:hAnsi="Times New Roman" w:cs="Times New Roman"/>
          <w:vertAlign w:val="superscript"/>
          <w:lang w:val="en-US"/>
        </w:rPr>
        <w:t>2</w:t>
      </w:r>
      <w:r w:rsidRPr="009B0448">
        <w:rPr>
          <w:rFonts w:ascii="Times New Roman" w:hAnsi="Times New Roman" w:cs="Times New Roman"/>
          <w:lang w:val="en-US"/>
        </w:rPr>
        <w:t>) and Mozambique (2,909 km</w:t>
      </w:r>
      <w:r w:rsidRPr="009B0448">
        <w:rPr>
          <w:rFonts w:ascii="Times New Roman" w:hAnsi="Times New Roman" w:cs="Times New Roman"/>
          <w:vertAlign w:val="superscript"/>
          <w:lang w:val="en-US"/>
        </w:rPr>
        <w:t>2</w:t>
      </w:r>
      <w:r w:rsidRPr="009B0448">
        <w:rPr>
          <w:rFonts w:ascii="Times New Roman" w:hAnsi="Times New Roman" w:cs="Times New Roman"/>
          <w:lang w:val="en-US"/>
        </w:rPr>
        <w:t xml:space="preserve">) (Chapman </w:t>
      </w:r>
      <w:r w:rsidRPr="009B0448">
        <w:rPr>
          <w:rFonts w:ascii="Times New Roman" w:hAnsi="Times New Roman" w:cs="Times New Roman"/>
          <w:i/>
          <w:lang w:val="en-US"/>
        </w:rPr>
        <w:t>et al.</w:t>
      </w:r>
      <w:r w:rsidRPr="009B0448">
        <w:rPr>
          <w:rFonts w:ascii="Times New Roman" w:hAnsi="Times New Roman" w:cs="Times New Roman"/>
          <w:lang w:val="en-US"/>
        </w:rPr>
        <w:t xml:space="preserve">, 2001; Samoilys </w:t>
      </w:r>
      <w:r w:rsidRPr="009B0448">
        <w:rPr>
          <w:rFonts w:ascii="Times New Roman" w:hAnsi="Times New Roman" w:cs="Times New Roman"/>
          <w:i/>
          <w:lang w:val="en-US"/>
        </w:rPr>
        <w:t>et al.</w:t>
      </w:r>
      <w:r w:rsidRPr="009B0448">
        <w:rPr>
          <w:rFonts w:ascii="Times New Roman" w:hAnsi="Times New Roman" w:cs="Times New Roman"/>
          <w:lang w:val="en-US"/>
        </w:rPr>
        <w:t xml:space="preserve">, 2015). However, the Rufiji Delta contains the largest continuous block of estuarine mangrove forest in East Africa and adjacent islands. The major wetlands in East Africa and adjacent islands include the major lakes Tanganyika, Nyasa, Turkana and Victoria; the small lakes Rukwa, Manyara, Eyasi, Natron, Kitangiri, Burigi, Ikimba (Samoilys </w:t>
      </w:r>
      <w:r w:rsidRPr="009B0448">
        <w:rPr>
          <w:rFonts w:ascii="Times New Roman" w:hAnsi="Times New Roman" w:cs="Times New Roman"/>
          <w:i/>
          <w:lang w:val="en-US"/>
        </w:rPr>
        <w:t>et al.</w:t>
      </w:r>
      <w:r w:rsidRPr="009B0448">
        <w:rPr>
          <w:rFonts w:ascii="Times New Roman" w:hAnsi="Times New Roman" w:cs="Times New Roman"/>
          <w:lang w:val="en-US"/>
        </w:rPr>
        <w:t>, 2015). Lake Turkana has more than 350 species of aquatic and terrestrial birds, and is also an important flyway for migrant birds, including more than 100,000 little stint (</w:t>
      </w:r>
      <w:r w:rsidRPr="009B0448">
        <w:rPr>
          <w:rFonts w:ascii="Times New Roman" w:hAnsi="Times New Roman" w:cs="Times New Roman"/>
          <w:i/>
          <w:lang w:val="en-US"/>
        </w:rPr>
        <w:t>Calidris minuta</w:t>
      </w:r>
      <w:r w:rsidRPr="009B0448">
        <w:rPr>
          <w:rFonts w:ascii="Times New Roman" w:hAnsi="Times New Roman" w:cs="Times New Roman"/>
          <w:lang w:val="en-US"/>
        </w:rPr>
        <w:t xml:space="preserve">, Least Concern) (Bennun </w:t>
      </w:r>
      <w:r w:rsidRPr="009B0448">
        <w:rPr>
          <w:rFonts w:ascii="Times New Roman" w:hAnsi="Times New Roman" w:cs="Times New Roman"/>
          <w:i/>
          <w:lang w:val="en-US"/>
        </w:rPr>
        <w:t>et al</w:t>
      </w:r>
      <w:r w:rsidRPr="009B0448">
        <w:rPr>
          <w:rFonts w:ascii="Times New Roman" w:hAnsi="Times New Roman" w:cs="Times New Roman"/>
          <w:lang w:val="en-US"/>
        </w:rPr>
        <w:t>., 1999). Central Island has a breeding population of African skimmers (</w:t>
      </w:r>
      <w:r w:rsidRPr="009B0448">
        <w:rPr>
          <w:rFonts w:ascii="Times New Roman" w:hAnsi="Times New Roman" w:cs="Times New Roman"/>
          <w:i/>
          <w:lang w:val="en-US"/>
        </w:rPr>
        <w:t>Rynchops flavirostris</w:t>
      </w:r>
      <w:r w:rsidRPr="009B0448">
        <w:rPr>
          <w:rFonts w:ascii="Times New Roman" w:hAnsi="Times New Roman" w:cs="Times New Roman"/>
          <w:lang w:val="en-US"/>
        </w:rPr>
        <w:t xml:space="preserve">, Near Threatened). Mangroves in East Africa are a home of 10 species, the most common species being </w:t>
      </w:r>
      <w:r w:rsidRPr="009B0448">
        <w:rPr>
          <w:rFonts w:ascii="Times New Roman" w:hAnsi="Times New Roman" w:cs="Times New Roman"/>
          <w:i/>
          <w:lang w:val="en-US"/>
        </w:rPr>
        <w:t>Avicennia marina</w:t>
      </w:r>
      <w:r w:rsidRPr="009B0448">
        <w:rPr>
          <w:rFonts w:ascii="Times New Roman" w:hAnsi="Times New Roman" w:cs="Times New Roman"/>
          <w:lang w:val="en-US"/>
        </w:rPr>
        <w:t xml:space="preserve"> (Least Concern), </w:t>
      </w:r>
      <w:r w:rsidRPr="009B0448">
        <w:rPr>
          <w:rFonts w:ascii="Times New Roman" w:hAnsi="Times New Roman" w:cs="Times New Roman"/>
          <w:i/>
          <w:lang w:val="en-US"/>
        </w:rPr>
        <w:t>Rhizophora mucronata</w:t>
      </w:r>
      <w:r w:rsidRPr="009B0448">
        <w:rPr>
          <w:rFonts w:ascii="Times New Roman" w:hAnsi="Times New Roman" w:cs="Times New Roman"/>
          <w:lang w:val="en-US"/>
        </w:rPr>
        <w:t xml:space="preserve"> (Least Concern), and </w:t>
      </w:r>
      <w:r w:rsidRPr="009B0448">
        <w:rPr>
          <w:rFonts w:ascii="Times New Roman" w:hAnsi="Times New Roman" w:cs="Times New Roman"/>
          <w:i/>
          <w:lang w:val="en-US"/>
        </w:rPr>
        <w:t>Ceriops tagal</w:t>
      </w:r>
      <w:r w:rsidRPr="009B0448">
        <w:rPr>
          <w:rFonts w:ascii="Times New Roman" w:hAnsi="Times New Roman" w:cs="Times New Roman"/>
          <w:lang w:val="en-US"/>
        </w:rPr>
        <w:t xml:space="preserve"> (Least Concern). The only endemic mangrove is </w:t>
      </w:r>
      <w:r w:rsidRPr="009B0448">
        <w:rPr>
          <w:rFonts w:ascii="Times New Roman" w:hAnsi="Times New Roman" w:cs="Times New Roman"/>
          <w:i/>
          <w:lang w:val="en-US"/>
        </w:rPr>
        <w:t>C. somaliensis</w:t>
      </w:r>
      <w:r w:rsidRPr="009B0448">
        <w:rPr>
          <w:rFonts w:ascii="Times New Roman" w:hAnsi="Times New Roman" w:cs="Times New Roman"/>
          <w:lang w:val="en-US"/>
        </w:rPr>
        <w:t xml:space="preserve">, found only in Somalia. Salt </w:t>
      </w:r>
      <w:r w:rsidRPr="009B0448">
        <w:rPr>
          <w:rFonts w:ascii="Times New Roman" w:hAnsi="Times New Roman" w:cs="Times New Roman"/>
          <w:i/>
          <w:lang w:val="en-US"/>
        </w:rPr>
        <w:t>Avicennia</w:t>
      </w:r>
      <w:r w:rsidRPr="009B0448">
        <w:rPr>
          <w:rFonts w:ascii="Times New Roman" w:hAnsi="Times New Roman" w:cs="Times New Roman"/>
          <w:lang w:val="en-US"/>
        </w:rPr>
        <w:t xml:space="preserve"> and </w:t>
      </w:r>
      <w:r w:rsidRPr="009B0448">
        <w:rPr>
          <w:rFonts w:ascii="Times New Roman" w:hAnsi="Times New Roman" w:cs="Times New Roman"/>
          <w:i/>
          <w:lang w:val="en-US"/>
        </w:rPr>
        <w:t xml:space="preserve">Sonneratia </w:t>
      </w:r>
      <w:r w:rsidRPr="009B0448">
        <w:rPr>
          <w:rFonts w:ascii="Times New Roman" w:hAnsi="Times New Roman" w:cs="Times New Roman"/>
          <w:lang w:val="en-US"/>
        </w:rPr>
        <w:t xml:space="preserve">leaves from mangroves are important sources of food feed for the Zebu cattle (Cormier-Salem, 2007). </w:t>
      </w:r>
    </w:p>
    <w:p w14:paraId="7EF7DF49" w14:textId="77777777" w:rsidR="009B0448" w:rsidRPr="009B0448" w:rsidRDefault="009B0448" w:rsidP="009B0448">
      <w:pPr>
        <w:spacing w:line="276" w:lineRule="auto"/>
        <w:jc w:val="both"/>
        <w:rPr>
          <w:rFonts w:ascii="Times New Roman" w:hAnsi="Times New Roman" w:cs="Times New Roman"/>
          <w:lang w:val="en-US"/>
        </w:rPr>
      </w:pPr>
    </w:p>
    <w:p w14:paraId="063DED95" w14:textId="77777777" w:rsidR="009B0448" w:rsidRPr="009B0448" w:rsidRDefault="009B0448" w:rsidP="009B0448">
      <w:pPr>
        <w:spacing w:line="276" w:lineRule="auto"/>
        <w:jc w:val="both"/>
        <w:rPr>
          <w:rFonts w:ascii="Times New Roman" w:hAnsi="Times New Roman" w:cs="Times New Roman"/>
          <w:lang w:val="en-US"/>
        </w:rPr>
      </w:pPr>
      <w:r w:rsidRPr="009B0448">
        <w:rPr>
          <w:rFonts w:ascii="Times New Roman" w:hAnsi="Times New Roman" w:cs="Times New Roman"/>
          <w:lang w:val="en-US"/>
        </w:rPr>
        <w:t xml:space="preserve">Mangroves forests and wetlands provide fertile land for agriculture which contributes to the livelihood of rural communities. They are key breeding sites for marine fisheries. Concerns have been raised over the increasing erosion of wetlands and mangrove forest fauna and flora due to water and soil pollution (Beuel </w:t>
      </w:r>
      <w:r w:rsidRPr="009B0448">
        <w:rPr>
          <w:rFonts w:ascii="Times New Roman" w:hAnsi="Times New Roman" w:cs="Times New Roman"/>
          <w:i/>
          <w:lang w:val="en-US"/>
        </w:rPr>
        <w:t>et al.</w:t>
      </w:r>
      <w:r w:rsidRPr="009B0448">
        <w:rPr>
          <w:rFonts w:ascii="Times New Roman" w:hAnsi="Times New Roman" w:cs="Times New Roman"/>
          <w:lang w:val="en-US"/>
        </w:rPr>
        <w:t>, 2016). For instance, recent studies have revealed severe degradation of crabs and</w:t>
      </w:r>
      <w:r w:rsidRPr="009B0448">
        <w:rPr>
          <w:rFonts w:ascii="Times New Roman" w:hAnsi="Times New Roman" w:cs="Times New Roman"/>
        </w:rPr>
        <w:t xml:space="preserve"> molluscs</w:t>
      </w:r>
      <w:r w:rsidRPr="009B0448">
        <w:rPr>
          <w:rFonts w:ascii="Times New Roman" w:hAnsi="Times New Roman" w:cs="Times New Roman"/>
          <w:lang w:val="en-US"/>
        </w:rPr>
        <w:t xml:space="preserve"> due to polluted waters and soils of the wetlands and mangrove forest. Since 2011, non-governmental</w:t>
      </w:r>
      <w:r w:rsidRPr="009B0448">
        <w:rPr>
          <w:rFonts w:ascii="Times New Roman" w:hAnsi="Times New Roman" w:cs="Times New Roman"/>
        </w:rPr>
        <w:t xml:space="preserve"> organisations</w:t>
      </w:r>
      <w:r w:rsidRPr="009B0448">
        <w:rPr>
          <w:rFonts w:ascii="Times New Roman" w:hAnsi="Times New Roman" w:cs="Times New Roman"/>
          <w:lang w:val="en-US"/>
        </w:rPr>
        <w:t xml:space="preserve"> have been involved in projects in Madagascar to assess the feasibility of using payments for blue carbon as a long-term financial mechanism for community-based mangrove management (Leach </w:t>
      </w:r>
      <w:r w:rsidRPr="009B0448">
        <w:rPr>
          <w:rFonts w:ascii="Times New Roman" w:hAnsi="Times New Roman" w:cs="Times New Roman"/>
          <w:i/>
          <w:lang w:val="en-US"/>
        </w:rPr>
        <w:t>et al.</w:t>
      </w:r>
      <w:r w:rsidRPr="009B0448">
        <w:rPr>
          <w:rFonts w:ascii="Times New Roman" w:hAnsi="Times New Roman" w:cs="Times New Roman"/>
          <w:lang w:val="en-US"/>
        </w:rPr>
        <w:t xml:space="preserve">, 2013; Cormier-Salem </w:t>
      </w:r>
      <w:r w:rsidRPr="009B0448">
        <w:rPr>
          <w:rFonts w:ascii="Times New Roman" w:hAnsi="Times New Roman" w:cs="Times New Roman"/>
          <w:i/>
          <w:lang w:val="en-US"/>
        </w:rPr>
        <w:t>et al.</w:t>
      </w:r>
      <w:r w:rsidRPr="009B0448">
        <w:rPr>
          <w:rFonts w:ascii="Times New Roman" w:hAnsi="Times New Roman" w:cs="Times New Roman"/>
          <w:lang w:val="en-US"/>
        </w:rPr>
        <w:t>, 2016).</w:t>
      </w:r>
    </w:p>
    <w:p w14:paraId="10D01C90" w14:textId="77777777" w:rsidR="009B0448" w:rsidRPr="009B0448" w:rsidRDefault="009B0448" w:rsidP="009B0448">
      <w:pPr>
        <w:spacing w:line="276" w:lineRule="auto"/>
        <w:jc w:val="both"/>
        <w:rPr>
          <w:rFonts w:ascii="Times New Roman" w:hAnsi="Times New Roman" w:cs="Times New Roman"/>
          <w:lang w:val="en-US"/>
        </w:rPr>
      </w:pPr>
    </w:p>
    <w:p w14:paraId="1AE472F7" w14:textId="77777777" w:rsidR="009B0448" w:rsidRPr="009B0448" w:rsidRDefault="009B0448" w:rsidP="009B0448">
      <w:pPr>
        <w:spacing w:line="276" w:lineRule="auto"/>
        <w:jc w:val="both"/>
        <w:rPr>
          <w:rFonts w:ascii="Times New Roman" w:hAnsi="Times New Roman" w:cs="Times New Roman"/>
          <w:lang w:val="en-US"/>
        </w:rPr>
      </w:pPr>
      <w:r w:rsidRPr="009B0448">
        <w:rPr>
          <w:rFonts w:ascii="Times New Roman" w:hAnsi="Times New Roman" w:cs="Times New Roman"/>
          <w:u w:val="single"/>
          <w:lang w:val="en-US"/>
        </w:rPr>
        <w:t>Trends and future dynamics:</w:t>
      </w:r>
      <w:r w:rsidRPr="009B0448">
        <w:rPr>
          <w:rFonts w:ascii="Times New Roman" w:hAnsi="Times New Roman" w:cs="Times New Roman"/>
          <w:lang w:val="en-US"/>
        </w:rPr>
        <w:t xml:space="preserve"> Mangroves in the Kilifi area in Kenya only make up a small proportion of the total area, but have seen the highest rate of loss estimated at 18% between 1985 and 2010 (Kirui </w:t>
      </w:r>
      <w:r w:rsidRPr="009B0448">
        <w:rPr>
          <w:rFonts w:ascii="Times New Roman" w:hAnsi="Times New Roman" w:cs="Times New Roman"/>
          <w:i/>
          <w:lang w:val="en-US"/>
        </w:rPr>
        <w:t>et al.</w:t>
      </w:r>
      <w:r w:rsidRPr="009B0448">
        <w:rPr>
          <w:rFonts w:ascii="Times New Roman" w:hAnsi="Times New Roman" w:cs="Times New Roman"/>
          <w:lang w:val="en-US"/>
        </w:rPr>
        <w:t xml:space="preserve">, 2013). In Madagascar, the loss of mangroves was found to be 7% of mangrove forests from 1975 to 2005 (Giri </w:t>
      </w:r>
      <w:r w:rsidRPr="009B0448">
        <w:rPr>
          <w:rFonts w:ascii="Times New Roman" w:hAnsi="Times New Roman" w:cs="Times New Roman"/>
          <w:i/>
          <w:lang w:val="en-US"/>
        </w:rPr>
        <w:t>et al</w:t>
      </w:r>
      <w:r w:rsidRPr="009B0448">
        <w:rPr>
          <w:rFonts w:ascii="Times New Roman" w:hAnsi="Times New Roman" w:cs="Times New Roman"/>
          <w:lang w:val="en-US"/>
        </w:rPr>
        <w:t xml:space="preserve">., 2008). Mangroves are particularly overexploited in the areas surrounding major cities on the East African coast, such as Mombasa, Dar-es-Salaam and Maputo, becoming heavily degraded or destroyed by multiple pressures on resources and pollution. Domestic wastewater has for instance detectable effects on crabs and molluscs, suggesting their usefulness as bioindicators of its effects in mangroves. They are also threatened by erosion caused by tree-cutting in the highlands, and by land grabbing. Due scarcity of wood from other hinterland sources, direct harvesting of the mangrove trees is occurring. Demographic trends suggest this situation could change in the future (Spalding </w:t>
      </w:r>
      <w:r w:rsidRPr="009B0448">
        <w:rPr>
          <w:rFonts w:ascii="Times New Roman" w:hAnsi="Times New Roman" w:cs="Times New Roman"/>
          <w:i/>
          <w:lang w:val="en-US"/>
        </w:rPr>
        <w:t>et al.</w:t>
      </w:r>
      <w:r w:rsidRPr="009B0448">
        <w:rPr>
          <w:rFonts w:ascii="Times New Roman" w:hAnsi="Times New Roman" w:cs="Times New Roman"/>
          <w:lang w:val="en-US"/>
        </w:rPr>
        <w:t>, 1997).</w:t>
      </w:r>
    </w:p>
    <w:p w14:paraId="491B3F7A" w14:textId="77777777" w:rsidR="009B0448" w:rsidRPr="009B0448" w:rsidRDefault="009B0448" w:rsidP="009B0448">
      <w:pPr>
        <w:spacing w:line="276" w:lineRule="auto"/>
        <w:jc w:val="both"/>
        <w:rPr>
          <w:rFonts w:ascii="Times New Roman" w:hAnsi="Times New Roman" w:cs="Times New Roman"/>
          <w:lang w:val="en-US"/>
        </w:rPr>
      </w:pPr>
    </w:p>
    <w:p w14:paraId="355F0BAE" w14:textId="77777777" w:rsidR="009B0448" w:rsidRPr="009B0448" w:rsidRDefault="009B0448" w:rsidP="009B0448">
      <w:pPr>
        <w:spacing w:line="276" w:lineRule="auto"/>
        <w:jc w:val="both"/>
        <w:rPr>
          <w:rFonts w:ascii="Times New Roman" w:hAnsi="Times New Roman" w:cs="Times New Roman"/>
          <w:lang w:val="en-US"/>
        </w:rPr>
      </w:pPr>
      <w:r w:rsidRPr="009B0448">
        <w:rPr>
          <w:rFonts w:ascii="Times New Roman" w:hAnsi="Times New Roman" w:cs="Times New Roman"/>
          <w:lang w:val="en-US"/>
        </w:rPr>
        <w:t>With current: lack of protected areas in desert areas; lack of enforcement; expansion of the Rift valley in Ethiopia; overgrazing, and increasing permanent settlements, some species endemic to wetlands and mangrove forest in East Africa are likely to face extinction. A further potential threat is continued climate change.</w:t>
      </w:r>
    </w:p>
    <w:p w14:paraId="1A4FDC51"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95" w:name="_Toc519499893"/>
      <w:r w:rsidRPr="009B0448">
        <w:rPr>
          <w:rFonts w:cs="Times New Roman"/>
          <w:b w:val="0"/>
          <w:sz w:val="22"/>
          <w:szCs w:val="22"/>
        </w:rPr>
        <w:t>Inland surface waters and water bodies/freshwater</w:t>
      </w:r>
      <w:bookmarkEnd w:id="195"/>
    </w:p>
    <w:p w14:paraId="04C3DB8F"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There are 12 main river basins that flow into Western Indian Ocean (WIO) of which 6 are in Kenya, Tanzania and Mozambique (UNEP, 2009). These rivers support extensive mangrove forests often associated with seagrass beds (Samoilys </w:t>
      </w:r>
      <w:r w:rsidRPr="009B0448">
        <w:rPr>
          <w:rFonts w:ascii="Times New Roman" w:hAnsi="Times New Roman" w:cs="Times New Roman"/>
          <w:i/>
        </w:rPr>
        <w:t>et al.</w:t>
      </w:r>
      <w:r w:rsidRPr="009B0448">
        <w:rPr>
          <w:rFonts w:ascii="Times New Roman" w:hAnsi="Times New Roman" w:cs="Times New Roman"/>
        </w:rPr>
        <w:t xml:space="preserve">, 2015), and provide important bursary grounds and breeding areas for numerous commercially important fishery species such as tuna and mackerel (e.g., </w:t>
      </w:r>
      <w:r w:rsidRPr="009B0448">
        <w:rPr>
          <w:rFonts w:ascii="Times New Roman" w:hAnsi="Times New Roman" w:cs="Times New Roman"/>
          <w:i/>
        </w:rPr>
        <w:t>Scomberomorus commerson</w:t>
      </w:r>
      <w:r w:rsidRPr="009B0448">
        <w:rPr>
          <w:rFonts w:ascii="Times New Roman" w:hAnsi="Times New Roman" w:cs="Times New Roman"/>
        </w:rPr>
        <w:t xml:space="preserve">, Near Threatened). Eastern Africa, an area rich in freshwater species and very high levels of endemism, has just fewer than 26% of species assessed as regionally threatened (Darwall </w:t>
      </w:r>
      <w:r w:rsidRPr="009B0448">
        <w:rPr>
          <w:rFonts w:ascii="Times New Roman" w:hAnsi="Times New Roman" w:cs="Times New Roman"/>
          <w:i/>
        </w:rPr>
        <w:t>et al.</w:t>
      </w:r>
      <w:r w:rsidRPr="009B0448">
        <w:rPr>
          <w:rFonts w:ascii="Times New Roman" w:hAnsi="Times New Roman" w:cs="Times New Roman"/>
        </w:rPr>
        <w:t>, 2005). They host several commercially important fish species such as Nile Perch (</w:t>
      </w:r>
      <w:r w:rsidRPr="009B0448">
        <w:rPr>
          <w:rFonts w:ascii="Times New Roman" w:hAnsi="Times New Roman" w:cs="Times New Roman"/>
          <w:i/>
        </w:rPr>
        <w:t>Lates niloticus</w:t>
      </w:r>
      <w:r w:rsidRPr="009B0448">
        <w:rPr>
          <w:rFonts w:ascii="Times New Roman" w:hAnsi="Times New Roman" w:cs="Times New Roman"/>
        </w:rPr>
        <w:t>) and tilapia (</w:t>
      </w:r>
      <w:r w:rsidRPr="009B0448">
        <w:rPr>
          <w:rFonts w:ascii="Times New Roman" w:hAnsi="Times New Roman" w:cs="Times New Roman"/>
          <w:i/>
        </w:rPr>
        <w:t>Oreochromis niloticus</w:t>
      </w:r>
      <w:r w:rsidRPr="009B0448">
        <w:rPr>
          <w:rFonts w:ascii="Times New Roman" w:hAnsi="Times New Roman" w:cs="Times New Roman"/>
        </w:rPr>
        <w:t xml:space="preserve">, </w:t>
      </w:r>
      <w:r w:rsidRPr="009B0448">
        <w:rPr>
          <w:rFonts w:ascii="Times New Roman" w:hAnsi="Times New Roman" w:cs="Times New Roman"/>
          <w:i/>
        </w:rPr>
        <w:t>O. leucosticus</w:t>
      </w:r>
      <w:r w:rsidRPr="009B0448">
        <w:rPr>
          <w:rFonts w:ascii="Times New Roman" w:hAnsi="Times New Roman" w:cs="Times New Roman"/>
        </w:rPr>
        <w:t xml:space="preserve"> and </w:t>
      </w:r>
      <w:r w:rsidRPr="009B0448">
        <w:rPr>
          <w:rFonts w:ascii="Times New Roman" w:hAnsi="Times New Roman" w:cs="Times New Roman"/>
          <w:i/>
        </w:rPr>
        <w:t>Tilapia zillii</w:t>
      </w:r>
      <w:r w:rsidRPr="009B0448">
        <w:rPr>
          <w:rFonts w:ascii="Times New Roman" w:hAnsi="Times New Roman" w:cs="Times New Roman"/>
        </w:rPr>
        <w:t xml:space="preserve"> (Least Concern)) (Bwathondi, 1990). Many migratory bird populations rely on these river deltas as well as on wetlands and mangrove forests as a winter stopover (Samoilys </w:t>
      </w:r>
      <w:r w:rsidRPr="009B0448">
        <w:rPr>
          <w:rFonts w:ascii="Times New Roman" w:hAnsi="Times New Roman" w:cs="Times New Roman"/>
          <w:i/>
        </w:rPr>
        <w:t>et al.</w:t>
      </w:r>
      <w:r w:rsidRPr="009B0448">
        <w:rPr>
          <w:rFonts w:ascii="Times New Roman" w:hAnsi="Times New Roman" w:cs="Times New Roman"/>
        </w:rPr>
        <w:t xml:space="preserve">, 2015). An estimated 40,000 water birds comprising 62 species inhabit the Rufiji Delta (Spalding </w:t>
      </w:r>
      <w:r w:rsidRPr="009B0448">
        <w:rPr>
          <w:rFonts w:ascii="Times New Roman" w:hAnsi="Times New Roman" w:cs="Times New Roman"/>
          <w:i/>
        </w:rPr>
        <w:t>et al.</w:t>
      </w:r>
      <w:r w:rsidRPr="009B0448">
        <w:rPr>
          <w:rFonts w:ascii="Times New Roman" w:hAnsi="Times New Roman" w:cs="Times New Roman"/>
        </w:rPr>
        <w:t xml:space="preserve">, 2010). </w:t>
      </w:r>
    </w:p>
    <w:p w14:paraId="68CA9F0A" w14:textId="77777777" w:rsidR="009B0448" w:rsidRPr="009B0448" w:rsidRDefault="009B0448" w:rsidP="009B0448">
      <w:pPr>
        <w:spacing w:line="276" w:lineRule="auto"/>
        <w:jc w:val="both"/>
        <w:rPr>
          <w:rFonts w:ascii="Times New Roman" w:hAnsi="Times New Roman" w:cs="Times New Roman"/>
        </w:rPr>
      </w:pPr>
    </w:p>
    <w:p w14:paraId="4044354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 and future dynamics:</w:t>
      </w:r>
      <w:r w:rsidRPr="009B0448">
        <w:rPr>
          <w:rFonts w:ascii="Times New Roman" w:hAnsi="Times New Roman" w:cs="Times New Roman"/>
        </w:rPr>
        <w:t xml:space="preserve"> The major rivers in East Africa have been dammed to varying extents for hydropower, water supply or irrigation. This has to a certain extent together with mangrove harvesting and removal affected the diversity of flora and fauna in inland waters adversely. In addition to dams construction, alien invasive species, desertification, agricultural encroachment, overexploitation and pollution are some of the leading causes of freshwater species decline and ecosystem degradation (Revenga </w:t>
      </w:r>
      <w:r w:rsidRPr="009B0448">
        <w:rPr>
          <w:rFonts w:ascii="Times New Roman" w:hAnsi="Times New Roman" w:cs="Times New Roman"/>
          <w:i/>
        </w:rPr>
        <w:t>et al.</w:t>
      </w:r>
      <w:r w:rsidRPr="009B0448">
        <w:rPr>
          <w:rFonts w:ascii="Times New Roman" w:hAnsi="Times New Roman" w:cs="Times New Roman"/>
        </w:rPr>
        <w:t xml:space="preserve">, 2003). Even though some of these areas are protected, management of these sites do not effectively combat these threats. A particular concern is the potential impact of water resource development such as construction of dams for water supply, irrigation and hydro-electricity on freshwater biodiversity. To help ensure the conservation of these water bodies, biodiversity information should be integrated with environmental and development planning and identification of Key Biodiversity Areas for inland waters of Eastern Africa. </w:t>
      </w:r>
    </w:p>
    <w:p w14:paraId="13BC94D3"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96" w:name="_Toc519499894"/>
      <w:r w:rsidRPr="009B0448">
        <w:rPr>
          <w:rFonts w:cs="Times New Roman"/>
          <w:b w:val="0"/>
          <w:sz w:val="22"/>
          <w:szCs w:val="22"/>
        </w:rPr>
        <w:t>Shelf ecosystem</w:t>
      </w:r>
      <w:bookmarkEnd w:id="196"/>
    </w:p>
    <w:p w14:paraId="44A626B0" w14:textId="77777777" w:rsidR="009B0448" w:rsidRPr="009B0448" w:rsidRDefault="009B0448" w:rsidP="009B0448">
      <w:pPr>
        <w:spacing w:line="276" w:lineRule="auto"/>
        <w:jc w:val="both"/>
        <w:rPr>
          <w:rFonts w:ascii="Times New Roman" w:hAnsi="Times New Roman" w:cs="Times New Roman"/>
          <w:lang w:val="en-US"/>
        </w:rPr>
      </w:pPr>
      <w:r w:rsidRPr="009B0448">
        <w:rPr>
          <w:rFonts w:ascii="Times New Roman" w:hAnsi="Times New Roman" w:cs="Times New Roman"/>
          <w:u w:val="single"/>
          <w:lang w:val="en-US"/>
        </w:rPr>
        <w:t>Status:</w:t>
      </w:r>
      <w:r w:rsidRPr="009B0448">
        <w:rPr>
          <w:rFonts w:ascii="Times New Roman" w:hAnsi="Times New Roman" w:cs="Times New Roman"/>
          <w:lang w:val="en-US"/>
        </w:rPr>
        <w:t xml:space="preserve"> The shelf ecosystems of East Africa and adjacent islands commonly known as the Eastern African Marine Ecoregion (EAME) harbour a characteristic set of species, habitat, dynamics and environmental conditions (Wells </w:t>
      </w:r>
      <w:r w:rsidRPr="009B0448">
        <w:rPr>
          <w:rFonts w:ascii="Times New Roman" w:hAnsi="Times New Roman" w:cs="Times New Roman"/>
          <w:i/>
          <w:lang w:val="en-US"/>
        </w:rPr>
        <w:t>et al.</w:t>
      </w:r>
      <w:r w:rsidRPr="009B0448">
        <w:rPr>
          <w:rFonts w:ascii="Times New Roman" w:hAnsi="Times New Roman" w:cs="Times New Roman"/>
          <w:lang w:val="en-US"/>
        </w:rPr>
        <w:t xml:space="preserve">, 2007). Since the first marine protected areas were established in the 1960s and 1970s, 8.7% of the continental shelf in Kenya, 8.1% in Tanzania and 4.0% in Mozambique has been designated (Wells </w:t>
      </w:r>
      <w:r w:rsidRPr="009B0448">
        <w:rPr>
          <w:rFonts w:ascii="Times New Roman" w:hAnsi="Times New Roman" w:cs="Times New Roman"/>
          <w:i/>
          <w:lang w:val="en-US"/>
        </w:rPr>
        <w:t>et al.</w:t>
      </w:r>
      <w:r w:rsidRPr="009B0448">
        <w:rPr>
          <w:rFonts w:ascii="Times New Roman" w:hAnsi="Times New Roman" w:cs="Times New Roman"/>
          <w:lang w:val="en-US"/>
        </w:rPr>
        <w:t xml:space="preserve">, 2007). The coast consists of lagoons, coastal lakes, mangrove forests, inshore reefs and other habitat types (Wells </w:t>
      </w:r>
      <w:r w:rsidRPr="009B0448">
        <w:rPr>
          <w:rFonts w:ascii="Times New Roman" w:hAnsi="Times New Roman" w:cs="Times New Roman"/>
          <w:i/>
          <w:lang w:val="en-US"/>
        </w:rPr>
        <w:t>et al.</w:t>
      </w:r>
      <w:r w:rsidRPr="009B0448">
        <w:rPr>
          <w:rFonts w:ascii="Times New Roman" w:hAnsi="Times New Roman" w:cs="Times New Roman"/>
          <w:lang w:val="en-US"/>
        </w:rPr>
        <w:t xml:space="preserve">, 2007). EAME support an incredibly rich species composition, exceeding 11,000 species of plants and animals (e.g., </w:t>
      </w:r>
      <w:r w:rsidRPr="009B0448">
        <w:rPr>
          <w:rFonts w:ascii="Times New Roman" w:hAnsi="Times New Roman" w:cs="Times New Roman"/>
          <w:i/>
          <w:lang w:val="en-US"/>
        </w:rPr>
        <w:t>Dugong dugon</w:t>
      </w:r>
      <w:r w:rsidRPr="009B0448">
        <w:rPr>
          <w:rFonts w:ascii="Times New Roman" w:hAnsi="Times New Roman" w:cs="Times New Roman"/>
          <w:lang w:val="en-US"/>
        </w:rPr>
        <w:t>, Vulnerable) (WWF, 2017a). In a rare occurrence, 10 dugongs were sighted in the seagrass beds next to the Rufiji Delta (Sea Sense, 2011). The region has a highly diverse fish fauna (over 1,500 species of fish are recorded). One of the most notable fish in the region is the coelacanth (</w:t>
      </w:r>
      <w:r w:rsidRPr="009B0448">
        <w:rPr>
          <w:rFonts w:ascii="Times New Roman" w:hAnsi="Times New Roman" w:cs="Times New Roman"/>
          <w:i/>
          <w:lang w:val="en-US"/>
        </w:rPr>
        <w:t>Latimeria chalumnae</w:t>
      </w:r>
      <w:r w:rsidRPr="009B0448">
        <w:rPr>
          <w:rFonts w:ascii="Times New Roman" w:hAnsi="Times New Roman" w:cs="Times New Roman"/>
          <w:lang w:val="en-US"/>
        </w:rPr>
        <w:t xml:space="preserve">, Critically Endangered) (Wells </w:t>
      </w:r>
      <w:r w:rsidRPr="009B0448">
        <w:rPr>
          <w:rFonts w:ascii="Times New Roman" w:hAnsi="Times New Roman" w:cs="Times New Roman"/>
          <w:i/>
          <w:lang w:val="en-US"/>
        </w:rPr>
        <w:t>et al.</w:t>
      </w:r>
      <w:r w:rsidRPr="009B0448">
        <w:rPr>
          <w:rFonts w:ascii="Times New Roman" w:hAnsi="Times New Roman" w:cs="Times New Roman"/>
          <w:lang w:val="en-US"/>
        </w:rPr>
        <w:t xml:space="preserve">, 2007). </w:t>
      </w:r>
    </w:p>
    <w:p w14:paraId="35270515" w14:textId="77777777" w:rsidR="009B0448" w:rsidRPr="009B0448" w:rsidRDefault="009B0448" w:rsidP="009B0448">
      <w:pPr>
        <w:spacing w:line="276" w:lineRule="auto"/>
        <w:jc w:val="both"/>
        <w:rPr>
          <w:rFonts w:ascii="Times New Roman" w:hAnsi="Times New Roman" w:cs="Times New Roman"/>
          <w:lang w:val="en-US"/>
        </w:rPr>
      </w:pPr>
    </w:p>
    <w:p w14:paraId="34FAB39F" w14:textId="77777777" w:rsidR="009B0448" w:rsidRPr="009B0448" w:rsidRDefault="009B0448" w:rsidP="009B0448">
      <w:pPr>
        <w:spacing w:line="276" w:lineRule="auto"/>
        <w:jc w:val="both"/>
        <w:rPr>
          <w:rFonts w:ascii="Times New Roman" w:hAnsi="Times New Roman" w:cs="Times New Roman"/>
          <w:lang w:val="en-US"/>
        </w:rPr>
      </w:pPr>
      <w:r w:rsidRPr="009B0448">
        <w:rPr>
          <w:rFonts w:ascii="Times New Roman" w:hAnsi="Times New Roman" w:cs="Times New Roman"/>
          <w:lang w:val="en-US"/>
        </w:rPr>
        <w:t>There are also significant populations of corals (200 species), seagrass (12 species), marine algae (1,500 species), several hundred sponge species, molluscs (3,000 species), crabs (450 species), with about 10-15% of species considered to be endemic to the region. Certain parts of the shore areas provide feeding and breeding areas for a high diversity of resident and migratory birds and marine turtles such as the olive ridley (</w:t>
      </w:r>
      <w:r w:rsidRPr="009B0448">
        <w:rPr>
          <w:rFonts w:ascii="Times New Roman" w:hAnsi="Times New Roman" w:cs="Times New Roman"/>
          <w:i/>
          <w:lang w:val="en-US"/>
        </w:rPr>
        <w:t>Lepidochelys olivacea</w:t>
      </w:r>
      <w:r w:rsidRPr="009B0448">
        <w:rPr>
          <w:rFonts w:ascii="Times New Roman" w:hAnsi="Times New Roman" w:cs="Times New Roman"/>
          <w:lang w:val="en-US"/>
        </w:rPr>
        <w:t>, Vulnerable), green turtle (</w:t>
      </w:r>
      <w:r w:rsidRPr="009B0448">
        <w:rPr>
          <w:rFonts w:ascii="Times New Roman" w:hAnsi="Times New Roman" w:cs="Times New Roman"/>
          <w:i/>
          <w:lang w:val="en-US"/>
        </w:rPr>
        <w:t>Chelonia mydas</w:t>
      </w:r>
      <w:r w:rsidRPr="009B0448">
        <w:rPr>
          <w:rFonts w:ascii="Times New Roman" w:hAnsi="Times New Roman" w:cs="Times New Roman"/>
          <w:lang w:val="en-US"/>
        </w:rPr>
        <w:t>, Endangered) and hawksbill (</w:t>
      </w:r>
      <w:r w:rsidRPr="009B0448">
        <w:rPr>
          <w:rFonts w:ascii="Times New Roman" w:hAnsi="Times New Roman" w:cs="Times New Roman"/>
          <w:i/>
          <w:lang w:val="en-US"/>
        </w:rPr>
        <w:t>Eretmochelys imbricate</w:t>
      </w:r>
      <w:r w:rsidRPr="009B0448">
        <w:rPr>
          <w:rFonts w:ascii="Times New Roman" w:hAnsi="Times New Roman" w:cs="Times New Roman"/>
          <w:lang w:val="en-US"/>
        </w:rPr>
        <w:t xml:space="preserve">) (Wells </w:t>
      </w:r>
      <w:r w:rsidRPr="009B0448">
        <w:rPr>
          <w:rFonts w:ascii="Times New Roman" w:hAnsi="Times New Roman" w:cs="Times New Roman"/>
          <w:i/>
          <w:lang w:val="en-US"/>
        </w:rPr>
        <w:t>et al.</w:t>
      </w:r>
      <w:r w:rsidRPr="009B0448">
        <w:rPr>
          <w:rFonts w:ascii="Times New Roman" w:hAnsi="Times New Roman" w:cs="Times New Roman"/>
          <w:lang w:val="en-US"/>
        </w:rPr>
        <w:t>, 2007), all of which are CITES listed. The open waters are important for many species of pelagic fish including the Black marlin whose distribution is restricted to Eastern Africa and Australia and many increasingly endangered elasmobranchs such as the Whale shark, Great White shark, sawfish and manta ray.</w:t>
      </w:r>
    </w:p>
    <w:p w14:paraId="10C9AF0F" w14:textId="77777777" w:rsidR="009B0448" w:rsidRPr="009B0448" w:rsidRDefault="009B0448" w:rsidP="009B0448">
      <w:pPr>
        <w:spacing w:line="276" w:lineRule="auto"/>
        <w:jc w:val="both"/>
        <w:rPr>
          <w:rFonts w:ascii="Times New Roman" w:hAnsi="Times New Roman" w:cs="Times New Roman"/>
          <w:lang w:val="en-US"/>
        </w:rPr>
      </w:pPr>
    </w:p>
    <w:p w14:paraId="244D9330" w14:textId="77777777" w:rsidR="009B0448" w:rsidRPr="009B0448" w:rsidRDefault="009B0448" w:rsidP="009B0448">
      <w:pPr>
        <w:spacing w:line="276" w:lineRule="auto"/>
        <w:jc w:val="both"/>
        <w:rPr>
          <w:rFonts w:ascii="Times New Roman" w:hAnsi="Times New Roman" w:cs="Times New Roman"/>
          <w:lang w:val="en-US"/>
        </w:rPr>
      </w:pPr>
      <w:r w:rsidRPr="009B0448">
        <w:rPr>
          <w:rFonts w:ascii="Times New Roman" w:hAnsi="Times New Roman" w:cs="Times New Roman"/>
          <w:u w:val="single"/>
          <w:lang w:val="en-US"/>
        </w:rPr>
        <w:t>Trends and future dynamics:</w:t>
      </w:r>
      <w:r w:rsidRPr="009B0448">
        <w:rPr>
          <w:rFonts w:ascii="Times New Roman" w:hAnsi="Times New Roman" w:cs="Times New Roman"/>
          <w:lang w:val="en-US"/>
        </w:rPr>
        <w:t xml:space="preserve"> Increasing demands for marine resources have resulted in significant ecological changes in many parts of EAME, largely due to destructive fishing, notable blast fishing and water pollution (Cinner </w:t>
      </w:r>
      <w:r w:rsidRPr="009B0448">
        <w:rPr>
          <w:rFonts w:ascii="Times New Roman" w:hAnsi="Times New Roman" w:cs="Times New Roman"/>
          <w:i/>
          <w:lang w:val="en-US"/>
        </w:rPr>
        <w:t>et al.</w:t>
      </w:r>
      <w:r w:rsidRPr="009B0448">
        <w:rPr>
          <w:rFonts w:ascii="Times New Roman" w:hAnsi="Times New Roman" w:cs="Times New Roman"/>
          <w:lang w:val="en-US"/>
        </w:rPr>
        <w:t xml:space="preserve">, 2015). Continuation of some of these activities coupled with temperature-induced coral bleaching (Veron </w:t>
      </w:r>
      <w:r w:rsidRPr="009B0448">
        <w:rPr>
          <w:rFonts w:ascii="Times New Roman" w:hAnsi="Times New Roman" w:cs="Times New Roman"/>
          <w:i/>
          <w:lang w:val="en-US"/>
        </w:rPr>
        <w:t>et al.</w:t>
      </w:r>
      <w:r w:rsidRPr="009B0448">
        <w:rPr>
          <w:rFonts w:ascii="Times New Roman" w:hAnsi="Times New Roman" w:cs="Times New Roman"/>
          <w:lang w:val="en-US"/>
        </w:rPr>
        <w:t xml:space="preserve">, 2009) is likely to result in complete loss of biological diversity of EAME. Of particular concern if the loss of coralline algae, which is essential for cementing coral rubble into solid reef–a critical habitat for many organisms (Veron </w:t>
      </w:r>
      <w:r w:rsidRPr="009B0448">
        <w:rPr>
          <w:rFonts w:ascii="Times New Roman" w:hAnsi="Times New Roman" w:cs="Times New Roman"/>
          <w:i/>
          <w:lang w:val="en-US"/>
        </w:rPr>
        <w:t>et al.</w:t>
      </w:r>
      <w:r w:rsidRPr="009B0448">
        <w:rPr>
          <w:rFonts w:ascii="Times New Roman" w:hAnsi="Times New Roman" w:cs="Times New Roman"/>
          <w:lang w:val="en-US"/>
        </w:rPr>
        <w:t xml:space="preserve">, 2009). Therefore proper management of Shelf ecosystem if of immerse importance for improving the chances of achieving social-ecological sustainability (see Cinner </w:t>
      </w:r>
      <w:r w:rsidRPr="009B0448">
        <w:rPr>
          <w:rFonts w:ascii="Times New Roman" w:hAnsi="Times New Roman" w:cs="Times New Roman"/>
          <w:i/>
          <w:lang w:val="en-US"/>
        </w:rPr>
        <w:t>et al</w:t>
      </w:r>
      <w:r w:rsidRPr="009B0448">
        <w:rPr>
          <w:rFonts w:ascii="Times New Roman" w:hAnsi="Times New Roman" w:cs="Times New Roman"/>
          <w:lang w:val="en-US"/>
        </w:rPr>
        <w:t>., 2015).</w:t>
      </w:r>
    </w:p>
    <w:p w14:paraId="4F146FE1"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97" w:name="_Toc519499895"/>
      <w:r w:rsidRPr="009B0448">
        <w:rPr>
          <w:rFonts w:cs="Times New Roman"/>
          <w:b w:val="0"/>
          <w:sz w:val="22"/>
          <w:szCs w:val="22"/>
        </w:rPr>
        <w:t>Open Ocean</w:t>
      </w:r>
      <w:bookmarkEnd w:id="197"/>
    </w:p>
    <w:p w14:paraId="5E14E39A" w14:textId="77777777" w:rsidR="009B0448" w:rsidRPr="009B0448" w:rsidRDefault="009B0448" w:rsidP="009B0448">
      <w:pPr>
        <w:spacing w:line="276" w:lineRule="auto"/>
        <w:jc w:val="both"/>
        <w:rPr>
          <w:rFonts w:ascii="Times New Roman" w:hAnsi="Times New Roman" w:cs="Times New Roman"/>
          <w:lang w:val="en-US"/>
        </w:rPr>
      </w:pPr>
      <w:r w:rsidRPr="009B0448">
        <w:rPr>
          <w:rFonts w:ascii="Times New Roman" w:hAnsi="Times New Roman" w:cs="Times New Roman"/>
          <w:u w:val="single"/>
          <w:lang w:val="en-US"/>
        </w:rPr>
        <w:t>Status and trends:</w:t>
      </w:r>
      <w:r w:rsidRPr="009B0448">
        <w:rPr>
          <w:rFonts w:ascii="Times New Roman" w:hAnsi="Times New Roman" w:cs="Times New Roman"/>
          <w:lang w:val="en-US"/>
        </w:rPr>
        <w:t xml:space="preserve"> Coastal fish diversity is relatively high in East Africa and adjacent islands, with approximately 1,000 species identified and 142 endemics (Briggs </w:t>
      </w:r>
      <w:r w:rsidRPr="009B0448">
        <w:rPr>
          <w:rFonts w:ascii="Times New Roman" w:hAnsi="Times New Roman" w:cs="Times New Roman"/>
          <w:i/>
          <w:lang w:val="en-US"/>
        </w:rPr>
        <w:t>et al.</w:t>
      </w:r>
      <w:r w:rsidRPr="009B0448">
        <w:rPr>
          <w:rFonts w:ascii="Times New Roman" w:hAnsi="Times New Roman" w:cs="Times New Roman"/>
          <w:lang w:val="en-US"/>
        </w:rPr>
        <w:t xml:space="preserve">, 2012). Marine crustacean biodiversity is poorly documented, however, 165 species of shrimp have been identified in Seychelles, many of which are endemic. There are also a number of regionally endemic crustacean species associated with coral habitats (Briggs </w:t>
      </w:r>
      <w:r w:rsidRPr="009B0448">
        <w:rPr>
          <w:rFonts w:ascii="Times New Roman" w:hAnsi="Times New Roman" w:cs="Times New Roman"/>
          <w:i/>
          <w:lang w:val="en-US"/>
        </w:rPr>
        <w:t>et al.</w:t>
      </w:r>
      <w:r w:rsidRPr="009B0448">
        <w:rPr>
          <w:rFonts w:ascii="Times New Roman" w:hAnsi="Times New Roman" w:cs="Times New Roman"/>
          <w:lang w:val="en-US"/>
        </w:rPr>
        <w:t>, 2012). Marine catches are around 550,000 tons in 2014 for overall catches compared to less than 1 million tons for continental catches (especially from Lake Victoria). Major species are small pelagic, caught almost everywhere along the coast and demersal fish, essentially caught by artisanal fishermen. Most of the coastal stocks are fully exploited or overexploited (FAO, 2016).</w:t>
      </w:r>
    </w:p>
    <w:p w14:paraId="626C751E"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198" w:name="_Toc519499896"/>
      <w:r w:rsidRPr="009B0448">
        <w:rPr>
          <w:rFonts w:cs="Times New Roman"/>
          <w:b w:val="0"/>
          <w:sz w:val="22"/>
          <w:szCs w:val="22"/>
        </w:rPr>
        <w:t>Deep sea</w:t>
      </w:r>
      <w:bookmarkEnd w:id="198"/>
    </w:p>
    <w:p w14:paraId="75D5E87F" w14:textId="77777777" w:rsidR="009B0448" w:rsidRPr="009B0448" w:rsidRDefault="009B0448" w:rsidP="009B0448">
      <w:pPr>
        <w:spacing w:line="276" w:lineRule="auto"/>
        <w:jc w:val="both"/>
        <w:rPr>
          <w:rFonts w:ascii="Times New Roman" w:hAnsi="Times New Roman" w:cs="Times New Roman"/>
        </w:rPr>
      </w:pPr>
      <w:bookmarkStart w:id="199" w:name="_Toc503105162"/>
      <w:r w:rsidRPr="009B0448">
        <w:rPr>
          <w:rFonts w:ascii="Times New Roman" w:hAnsi="Times New Roman" w:cs="Times New Roman"/>
          <w:u w:val="single"/>
        </w:rPr>
        <w:t>Status:</w:t>
      </w:r>
      <w:r w:rsidRPr="009B0448">
        <w:rPr>
          <w:rFonts w:ascii="Times New Roman" w:hAnsi="Times New Roman" w:cs="Times New Roman"/>
        </w:rPr>
        <w:t xml:space="preserve"> The fauna inhabiting seamounts found in West Indian Ocean is poorly known (Rogers, 2012). More studies have been undertaken on Walter’s Shoal (submerged mountains off coast of Madagascar) due to its proximity to the land (Rogers, 2012). Species found at shallow waters of Walter’s Shoal include </w:t>
      </w:r>
      <w:r w:rsidRPr="009B0448">
        <w:rPr>
          <w:rFonts w:ascii="Times New Roman" w:hAnsi="Times New Roman" w:cs="Times New Roman"/>
          <w:i/>
        </w:rPr>
        <w:t>Comanthus wahlbergi tenuibrachia</w:t>
      </w:r>
      <w:r w:rsidRPr="009B0448">
        <w:rPr>
          <w:rFonts w:ascii="Times New Roman" w:hAnsi="Times New Roman" w:cs="Times New Roman"/>
        </w:rPr>
        <w:t xml:space="preserve"> (Collette </w:t>
      </w:r>
      <w:r w:rsidRPr="009B0448">
        <w:rPr>
          <w:rFonts w:ascii="Times New Roman" w:hAnsi="Times New Roman" w:cs="Times New Roman"/>
          <w:i/>
        </w:rPr>
        <w:t>et al.</w:t>
      </w:r>
      <w:r w:rsidRPr="009B0448">
        <w:rPr>
          <w:rFonts w:ascii="Times New Roman" w:hAnsi="Times New Roman" w:cs="Times New Roman"/>
        </w:rPr>
        <w:t>, 1991) and several crustaceans including an endemic species of aphid shrimp (</w:t>
      </w:r>
      <w:r w:rsidRPr="009B0448">
        <w:rPr>
          <w:rFonts w:ascii="Times New Roman" w:hAnsi="Times New Roman" w:cs="Times New Roman"/>
          <w:i/>
        </w:rPr>
        <w:t>Alpheus waltervadi</w:t>
      </w:r>
      <w:r w:rsidRPr="009B0448">
        <w:rPr>
          <w:rFonts w:ascii="Times New Roman" w:hAnsi="Times New Roman" w:cs="Times New Roman"/>
        </w:rPr>
        <w:t>) and endemic isopod (</w:t>
      </w:r>
      <w:r w:rsidRPr="009B0448">
        <w:rPr>
          <w:rFonts w:ascii="Times New Roman" w:hAnsi="Times New Roman" w:cs="Times New Roman"/>
          <w:i/>
        </w:rPr>
        <w:t>Jaeropsis waltervadi</w:t>
      </w:r>
      <w:r w:rsidRPr="009B0448">
        <w:rPr>
          <w:rFonts w:ascii="Times New Roman" w:hAnsi="Times New Roman" w:cs="Times New Roman"/>
        </w:rPr>
        <w:t>). Whilst little is known about the diversity of deep seas in Indian Ocean, recent studies have discovered an endemic species of rock lobster (</w:t>
      </w:r>
      <w:r w:rsidRPr="009B0448">
        <w:rPr>
          <w:rFonts w:ascii="Times New Roman" w:hAnsi="Times New Roman" w:cs="Times New Roman"/>
          <w:i/>
        </w:rPr>
        <w:t>Palinurus barbarae</w:t>
      </w:r>
      <w:r w:rsidRPr="009B0448">
        <w:rPr>
          <w:rFonts w:ascii="Times New Roman" w:hAnsi="Times New Roman" w:cs="Times New Roman"/>
        </w:rPr>
        <w:t xml:space="preserve">) (Groeneveld </w:t>
      </w:r>
      <w:r w:rsidRPr="009B0448">
        <w:rPr>
          <w:rFonts w:ascii="Times New Roman" w:hAnsi="Times New Roman" w:cs="Times New Roman"/>
          <w:i/>
        </w:rPr>
        <w:t>et al.</w:t>
      </w:r>
      <w:r w:rsidRPr="009B0448">
        <w:rPr>
          <w:rFonts w:ascii="Times New Roman" w:hAnsi="Times New Roman" w:cs="Times New Roman"/>
        </w:rPr>
        <w:t xml:space="preserve">, 2006), and </w:t>
      </w:r>
      <w:r w:rsidRPr="009B0448">
        <w:rPr>
          <w:rFonts w:ascii="Times New Roman" w:hAnsi="Times New Roman" w:cs="Times New Roman"/>
          <w:shd w:val="clear" w:color="auto" w:fill="FFFFFF"/>
        </w:rPr>
        <w:t>West Indian Ocean coelacanth</w:t>
      </w:r>
      <w:r w:rsidRPr="009B0448">
        <w:rPr>
          <w:rFonts w:ascii="Times New Roman" w:hAnsi="Times New Roman" w:cs="Times New Roman"/>
          <w:lang w:val="en-US"/>
        </w:rPr>
        <w:t xml:space="preserve"> </w:t>
      </w:r>
      <w:r w:rsidRPr="009B0448">
        <w:rPr>
          <w:rFonts w:ascii="Times New Roman" w:hAnsi="Times New Roman" w:cs="Times New Roman"/>
          <w:i/>
          <w:lang w:val="en-US"/>
        </w:rPr>
        <w:t xml:space="preserve">Latimeria chalumnae </w:t>
      </w:r>
      <w:r w:rsidRPr="009B0448">
        <w:rPr>
          <w:rFonts w:ascii="Times New Roman" w:hAnsi="Times New Roman" w:cs="Times New Roman"/>
          <w:lang w:val="en-US"/>
        </w:rPr>
        <w:t xml:space="preserve">(Critically Endangered) (Nulens </w:t>
      </w:r>
      <w:r w:rsidRPr="009B0448">
        <w:rPr>
          <w:rFonts w:ascii="Times New Roman" w:hAnsi="Times New Roman" w:cs="Times New Roman"/>
          <w:i/>
          <w:lang w:val="en-US"/>
        </w:rPr>
        <w:t>et al.</w:t>
      </w:r>
      <w:r w:rsidRPr="009B0448">
        <w:rPr>
          <w:rFonts w:ascii="Times New Roman" w:hAnsi="Times New Roman" w:cs="Times New Roman"/>
          <w:lang w:val="en-US"/>
        </w:rPr>
        <w:t>, 2011).</w:t>
      </w:r>
      <w:r w:rsidRPr="009B0448">
        <w:rPr>
          <w:rFonts w:ascii="Times New Roman" w:hAnsi="Times New Roman" w:cs="Times New Roman"/>
        </w:rPr>
        <w:t xml:space="preserve"> Deeper depths (~400 metres) of Walter’s Shoal hosts over 50 species of fishes, which several are endemic (Shotton, 2006). Water birds are very rare and scarce (Shotton, 2006). The most commonly found bird species around areas of deep-water fishing are white-chinned petrels (</w:t>
      </w:r>
      <w:r w:rsidRPr="009B0448">
        <w:rPr>
          <w:rFonts w:ascii="Times New Roman" w:hAnsi="Times New Roman" w:cs="Times New Roman"/>
          <w:i/>
        </w:rPr>
        <w:t>Procellaria aequinoctialis</w:t>
      </w:r>
      <w:r w:rsidRPr="009B0448">
        <w:rPr>
          <w:rFonts w:ascii="Times New Roman" w:hAnsi="Times New Roman" w:cs="Times New Roman"/>
        </w:rPr>
        <w:t>, Vulnerable), cape petrels (</w:t>
      </w:r>
      <w:r w:rsidRPr="009B0448">
        <w:rPr>
          <w:rFonts w:ascii="Times New Roman" w:hAnsi="Times New Roman" w:cs="Times New Roman"/>
          <w:i/>
        </w:rPr>
        <w:t>Daption capense</w:t>
      </w:r>
      <w:r w:rsidRPr="009B0448">
        <w:rPr>
          <w:rFonts w:ascii="Times New Roman" w:hAnsi="Times New Roman" w:cs="Times New Roman"/>
        </w:rPr>
        <w:t>, Least Concern), and sooty shearwaters (</w:t>
      </w:r>
      <w:r w:rsidRPr="009B0448">
        <w:rPr>
          <w:rFonts w:ascii="Times New Roman" w:hAnsi="Times New Roman" w:cs="Times New Roman"/>
          <w:i/>
        </w:rPr>
        <w:t>Puffinus griseus</w:t>
      </w:r>
      <w:r w:rsidRPr="009B0448">
        <w:rPr>
          <w:rFonts w:ascii="Times New Roman" w:hAnsi="Times New Roman" w:cs="Times New Roman"/>
        </w:rPr>
        <w:t>, Near Threatened) (Shotton, 2006).</w:t>
      </w:r>
    </w:p>
    <w:p w14:paraId="2A453FDB" w14:textId="77777777" w:rsidR="009B0448" w:rsidRPr="009B0448" w:rsidRDefault="009B0448" w:rsidP="009B0448">
      <w:pPr>
        <w:spacing w:line="276" w:lineRule="auto"/>
        <w:jc w:val="both"/>
        <w:rPr>
          <w:rFonts w:ascii="Times New Roman" w:hAnsi="Times New Roman" w:cs="Times New Roman"/>
        </w:rPr>
      </w:pPr>
    </w:p>
    <w:p w14:paraId="3DAF87CE"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 and future dynamics:</w:t>
      </w:r>
      <w:r w:rsidRPr="009B0448">
        <w:rPr>
          <w:rFonts w:ascii="Times New Roman" w:hAnsi="Times New Roman" w:cs="Times New Roman"/>
        </w:rPr>
        <w:t xml:space="preserve"> The fisheries of the Indian Ocean are subject to multiple stressors including: fishing, ocean acidification, changing sea temperatures, salinity and dissolved oxygen. Therefore, there is an urgent need for enforcement of (a) the Southwest Indian Ocean Fisheries Commission, which was opened in 2004 to promote sustainable utilization of marine living resources, and (b) the South Indian Ocean Fisheries Agreement (Rogers, 2012).</w:t>
      </w:r>
    </w:p>
    <w:p w14:paraId="11F9BC1C"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200" w:name="_Toc519499897"/>
      <w:r w:rsidRPr="009B0448">
        <w:rPr>
          <w:rFonts w:cs="Times New Roman"/>
          <w:i w:val="0"/>
          <w:sz w:val="22"/>
          <w:szCs w:val="22"/>
        </w:rPr>
        <w:t>West Africa</w:t>
      </w:r>
      <w:bookmarkEnd w:id="199"/>
      <w:bookmarkEnd w:id="200"/>
    </w:p>
    <w:p w14:paraId="34B24295"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01" w:name="_Toc503105163"/>
      <w:bookmarkStart w:id="202" w:name="_Toc519499898"/>
      <w:r w:rsidRPr="009B0448">
        <w:rPr>
          <w:rFonts w:cs="Times New Roman"/>
          <w:sz w:val="22"/>
          <w:szCs w:val="22"/>
        </w:rPr>
        <w:t>Terrestrial</w:t>
      </w:r>
      <w:bookmarkEnd w:id="201"/>
      <w:bookmarkEnd w:id="202"/>
    </w:p>
    <w:p w14:paraId="35B121C0"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03" w:name="_Toc519499899"/>
      <w:r w:rsidRPr="009B0448">
        <w:rPr>
          <w:rFonts w:cs="Times New Roman"/>
          <w:b w:val="0"/>
          <w:sz w:val="22"/>
          <w:szCs w:val="22"/>
        </w:rPr>
        <w:t>Tropical and subtropical dry and humid forest</w:t>
      </w:r>
      <w:bookmarkEnd w:id="203"/>
    </w:p>
    <w:p w14:paraId="6768917F" w14:textId="26CBC2DA"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West African rainforests (12,002 million hectares) account for about 6% of African rainforests (Mayaux </w:t>
      </w:r>
      <w:r w:rsidRPr="009B0448">
        <w:rPr>
          <w:rFonts w:ascii="Times New Roman" w:hAnsi="Times New Roman" w:cs="Times New Roman"/>
          <w:i/>
        </w:rPr>
        <w:t>et al.</w:t>
      </w:r>
      <w:r w:rsidRPr="009B0448">
        <w:rPr>
          <w:rFonts w:ascii="Times New Roman" w:hAnsi="Times New Roman" w:cs="Times New Roman"/>
        </w:rPr>
        <w:t>, 2013; Figure 3.13). The Guinean forests of West Africa are recogni</w:t>
      </w:r>
      <w:r w:rsidR="00C813C5">
        <w:rPr>
          <w:rFonts w:ascii="Times New Roman" w:hAnsi="Times New Roman" w:cs="Times New Roman"/>
        </w:rPr>
        <w:t>s</w:t>
      </w:r>
      <w:r w:rsidRPr="009B0448">
        <w:rPr>
          <w:rFonts w:ascii="Times New Roman" w:hAnsi="Times New Roman" w:cs="Times New Roman"/>
        </w:rPr>
        <w:t xml:space="preserve">ed as a biodiversity hotspot with high levels of biodiversity (e.g., primate diversity) and endemism. Mammal diversity is exceptional. For example, an estimated 390 terrestrial mammal species (16% threatened) are found in Guinea forests, representing over one-quarter of roughly 1,100 total African mammal fauna that are native to continental Africa represented (CEPF, 2015). More than 60 mammals are endemic to these forests (e.g., two rarest antelopes in the world: the Endangered Jentink’s duiker and the Vulnerable zebra duiker) (CEPF, 2015). West African rainforests are home to 917 species of birds (5% are threatened), of which 48 are endemic and more than 9,000 vascular plant species, of which around 20% are thought to be endemic (Brooks </w:t>
      </w:r>
      <w:r w:rsidRPr="009B0448">
        <w:rPr>
          <w:rFonts w:ascii="Times New Roman" w:hAnsi="Times New Roman" w:cs="Times New Roman"/>
          <w:i/>
        </w:rPr>
        <w:t>et al.</w:t>
      </w:r>
      <w:r w:rsidRPr="009B0448">
        <w:rPr>
          <w:rFonts w:ascii="Times New Roman" w:hAnsi="Times New Roman" w:cs="Times New Roman"/>
        </w:rPr>
        <w:t xml:space="preserve">, 2000; Mittermeier </w:t>
      </w:r>
      <w:r w:rsidRPr="009B0448">
        <w:rPr>
          <w:rFonts w:ascii="Times New Roman" w:hAnsi="Times New Roman" w:cs="Times New Roman"/>
          <w:i/>
        </w:rPr>
        <w:t>et al.</w:t>
      </w:r>
      <w:r w:rsidRPr="009B0448">
        <w:rPr>
          <w:rFonts w:ascii="Times New Roman" w:hAnsi="Times New Roman" w:cs="Times New Roman"/>
        </w:rPr>
        <w:t xml:space="preserve">, 2004). The diversity of amphibians (29% are threatened) and reptiles (10% are threatened) species is poorly documented, although </w:t>
      </w:r>
      <w:r w:rsidR="00DF623E">
        <w:rPr>
          <w:rFonts w:ascii="Times New Roman" w:hAnsi="Times New Roman" w:cs="Times New Roman"/>
        </w:rPr>
        <w:t xml:space="preserve">it is suggested that more than </w:t>
      </w:r>
      <w:r w:rsidRPr="009B0448">
        <w:rPr>
          <w:rFonts w:ascii="Times New Roman" w:hAnsi="Times New Roman" w:cs="Times New Roman"/>
        </w:rPr>
        <w:t xml:space="preserve">200 species of amphibians and reptiles recorded (Bakarr </w:t>
      </w:r>
      <w:r w:rsidRPr="009B0448">
        <w:rPr>
          <w:rFonts w:ascii="Times New Roman" w:hAnsi="Times New Roman" w:cs="Times New Roman"/>
          <w:i/>
        </w:rPr>
        <w:t>et al.</w:t>
      </w:r>
      <w:r w:rsidRPr="009B0448">
        <w:rPr>
          <w:rFonts w:ascii="Times New Roman" w:hAnsi="Times New Roman" w:cs="Times New Roman"/>
        </w:rPr>
        <w:t xml:space="preserve">, 2004; Norris </w:t>
      </w:r>
      <w:r w:rsidRPr="009B0448">
        <w:rPr>
          <w:rFonts w:ascii="Times New Roman" w:hAnsi="Times New Roman" w:cs="Times New Roman"/>
          <w:i/>
        </w:rPr>
        <w:t>et al.</w:t>
      </w:r>
      <w:r w:rsidRPr="009B0448">
        <w:rPr>
          <w:rFonts w:ascii="Times New Roman" w:hAnsi="Times New Roman" w:cs="Times New Roman"/>
        </w:rPr>
        <w:t xml:space="preserve">, 2010; Mallon </w:t>
      </w:r>
      <w:r w:rsidRPr="009B0448">
        <w:rPr>
          <w:rFonts w:ascii="Times New Roman" w:hAnsi="Times New Roman" w:cs="Times New Roman"/>
          <w:i/>
        </w:rPr>
        <w:t>et al.</w:t>
      </w:r>
      <w:r w:rsidRPr="009B0448">
        <w:rPr>
          <w:rFonts w:ascii="Times New Roman" w:hAnsi="Times New Roman" w:cs="Times New Roman"/>
        </w:rPr>
        <w:t xml:space="preserve">, 2015) and more likely to be discovered in future. The total carbon stock in West African rainforests is estimated at 5.8 GT, corresponding to 11.6% of the total carbon storage in Africa (Mayaux </w:t>
      </w:r>
      <w:r w:rsidRPr="009B0448">
        <w:rPr>
          <w:rFonts w:ascii="Times New Roman" w:hAnsi="Times New Roman" w:cs="Times New Roman"/>
          <w:i/>
        </w:rPr>
        <w:t>et al.</w:t>
      </w:r>
      <w:r w:rsidRPr="009B0448">
        <w:rPr>
          <w:rFonts w:ascii="Times New Roman" w:hAnsi="Times New Roman" w:cs="Times New Roman"/>
        </w:rPr>
        <w:t>, 2013).</w:t>
      </w:r>
    </w:p>
    <w:p w14:paraId="31A2B1AB" w14:textId="77777777" w:rsidR="009B0448" w:rsidRPr="009B0448" w:rsidRDefault="009B0448" w:rsidP="009B0448">
      <w:pPr>
        <w:spacing w:line="276" w:lineRule="auto"/>
        <w:jc w:val="both"/>
        <w:rPr>
          <w:rFonts w:ascii="Times New Roman" w:hAnsi="Times New Roman" w:cs="Times New Roman"/>
        </w:rPr>
      </w:pPr>
    </w:p>
    <w:p w14:paraId="4986C29D" w14:textId="2970169E" w:rsidR="009B0448" w:rsidRPr="009B0448" w:rsidRDefault="009B0448" w:rsidP="009B0448">
      <w:pPr>
        <w:tabs>
          <w:tab w:val="left" w:pos="6996"/>
        </w:tabs>
        <w:spacing w:line="276" w:lineRule="auto"/>
        <w:jc w:val="center"/>
        <w:rPr>
          <w:rFonts w:ascii="Times New Roman" w:hAnsi="Times New Roman" w:cs="Times New Roman"/>
        </w:rPr>
      </w:pPr>
      <w:r w:rsidRPr="009B0448">
        <w:rPr>
          <w:rFonts w:ascii="Times New Roman" w:hAnsi="Times New Roman" w:cs="Times New Roman"/>
          <w:noProof/>
          <w:lang w:eastAsia="en-GB"/>
        </w:rPr>
        <w:drawing>
          <wp:inline distT="0" distB="0" distL="0" distR="0" wp14:anchorId="01114321" wp14:editId="0E9FF469">
            <wp:extent cx="5440680" cy="2476500"/>
            <wp:effectExtent l="0" t="0" r="762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673">
                      <a:extLst>
                        <a:ext uri="{28A0092B-C50C-407E-A947-70E740481C1C}">
                          <a14:useLocalDpi xmlns:a14="http://schemas.microsoft.com/office/drawing/2010/main" val="0"/>
                        </a:ext>
                      </a:extLst>
                    </a:blip>
                    <a:srcRect r="2016"/>
                    <a:stretch>
                      <a:fillRect/>
                    </a:stretch>
                  </pic:blipFill>
                  <pic:spPr bwMode="auto">
                    <a:xfrm>
                      <a:off x="0" y="0"/>
                      <a:ext cx="5440680" cy="2476500"/>
                    </a:xfrm>
                    <a:prstGeom prst="rect">
                      <a:avLst/>
                    </a:prstGeom>
                    <a:noFill/>
                    <a:ln>
                      <a:noFill/>
                    </a:ln>
                  </pic:spPr>
                </pic:pic>
              </a:graphicData>
            </a:graphic>
          </wp:inline>
        </w:drawing>
      </w:r>
    </w:p>
    <w:p w14:paraId="5520645D" w14:textId="6E0F4A30" w:rsidR="009B0448" w:rsidRPr="009B0448" w:rsidRDefault="009B0448" w:rsidP="009B0448">
      <w:pPr>
        <w:tabs>
          <w:tab w:val="left" w:pos="6996"/>
        </w:tabs>
        <w:spacing w:line="276" w:lineRule="auto"/>
        <w:jc w:val="both"/>
        <w:rPr>
          <w:rFonts w:ascii="Times New Roman" w:hAnsi="Times New Roman" w:cs="Times New Roman"/>
        </w:rPr>
      </w:pPr>
      <w:r w:rsidRPr="009B0448">
        <w:rPr>
          <w:rFonts w:ascii="Times New Roman" w:hAnsi="Times New Roman" w:cs="Times New Roman"/>
          <w:b/>
        </w:rPr>
        <w:t>Figure 3.13:</w:t>
      </w:r>
      <w:r w:rsidRPr="009B0448">
        <w:rPr>
          <w:rFonts w:ascii="Times New Roman" w:hAnsi="Times New Roman" w:cs="Times New Roman"/>
        </w:rPr>
        <w:t xml:space="preserve"> Spatial distribution of the rainforests in West Africa. Source: Mayaux </w:t>
      </w:r>
      <w:r w:rsidRPr="009B0448">
        <w:rPr>
          <w:rFonts w:ascii="Times New Roman" w:hAnsi="Times New Roman" w:cs="Times New Roman"/>
          <w:i/>
        </w:rPr>
        <w:t>et al.</w:t>
      </w:r>
      <w:r w:rsidRPr="009B0448">
        <w:rPr>
          <w:rFonts w:ascii="Times New Roman" w:hAnsi="Times New Roman" w:cs="Times New Roman"/>
        </w:rPr>
        <w:t xml:space="preserve"> (2013).</w:t>
      </w:r>
    </w:p>
    <w:p w14:paraId="56B722A5"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 dry forest areas in West Africa are located in the Cape Verde Islands, with an extent of approximately 4,661 km</w:t>
      </w:r>
      <w:r w:rsidRPr="009B0448">
        <w:rPr>
          <w:rFonts w:ascii="Times New Roman" w:hAnsi="Times New Roman" w:cs="Times New Roman"/>
          <w:vertAlign w:val="superscript"/>
        </w:rPr>
        <w:t>2</w:t>
      </w:r>
      <w:r w:rsidRPr="009B0448">
        <w:rPr>
          <w:rFonts w:ascii="Times New Roman" w:hAnsi="Times New Roman" w:cs="Times New Roman"/>
        </w:rPr>
        <w:t xml:space="preserve"> (WWF, 2017d). Four species of land-birds are endemic to these islands (Bourne, 1955; Stattersfield </w:t>
      </w:r>
      <w:r w:rsidRPr="009B0448">
        <w:rPr>
          <w:rFonts w:ascii="Times New Roman" w:hAnsi="Times New Roman" w:cs="Times New Roman"/>
          <w:i/>
        </w:rPr>
        <w:t>et al.</w:t>
      </w:r>
      <w:r w:rsidRPr="009B0448">
        <w:rPr>
          <w:rFonts w:ascii="Times New Roman" w:hAnsi="Times New Roman" w:cs="Times New Roman"/>
        </w:rPr>
        <w:t xml:space="preserve">, 1998), and 12 of the 15 species of lizards on Cape Verde are endemic (Stuart </w:t>
      </w:r>
      <w:r w:rsidRPr="009B0448">
        <w:rPr>
          <w:rFonts w:ascii="Times New Roman" w:hAnsi="Times New Roman" w:cs="Times New Roman"/>
          <w:i/>
        </w:rPr>
        <w:t>et al.</w:t>
      </w:r>
      <w:r w:rsidRPr="009B0448">
        <w:rPr>
          <w:rFonts w:ascii="Times New Roman" w:hAnsi="Times New Roman" w:cs="Times New Roman"/>
        </w:rPr>
        <w:t>, 1990). These regions support breeding populations of three bird species, Fea’s petrel (</w:t>
      </w:r>
      <w:r w:rsidRPr="009B0448">
        <w:rPr>
          <w:rFonts w:ascii="Times New Roman" w:hAnsi="Times New Roman" w:cs="Times New Roman"/>
          <w:i/>
        </w:rPr>
        <w:t>Pterodroma feae</w:t>
      </w:r>
      <w:r w:rsidRPr="009B0448">
        <w:rPr>
          <w:rFonts w:ascii="Times New Roman" w:hAnsi="Times New Roman" w:cs="Times New Roman"/>
        </w:rPr>
        <w:t>, Near Threatened), magnificent frigate bird (</w:t>
      </w:r>
      <w:r w:rsidRPr="009B0448">
        <w:rPr>
          <w:rFonts w:ascii="Times New Roman" w:hAnsi="Times New Roman" w:cs="Times New Roman"/>
          <w:i/>
        </w:rPr>
        <w:t>Fregata magnificens</w:t>
      </w:r>
      <w:r w:rsidRPr="009B0448">
        <w:rPr>
          <w:rFonts w:ascii="Times New Roman" w:hAnsi="Times New Roman" w:cs="Times New Roman"/>
        </w:rPr>
        <w:t>, Least Concern) and red-tailed tropicbird (</w:t>
      </w:r>
      <w:r w:rsidRPr="009B0448">
        <w:rPr>
          <w:rFonts w:ascii="Times New Roman" w:hAnsi="Times New Roman" w:cs="Times New Roman"/>
          <w:i/>
        </w:rPr>
        <w:t>Phaethon rubricauda</w:t>
      </w:r>
      <w:r w:rsidRPr="009B0448">
        <w:rPr>
          <w:rFonts w:ascii="Times New Roman" w:hAnsi="Times New Roman" w:cs="Times New Roman"/>
        </w:rPr>
        <w:t>, Least Concern) (BirdLife International, 2000; WWF, 2017d).</w:t>
      </w:r>
    </w:p>
    <w:p w14:paraId="4AB8EC22" w14:textId="77777777" w:rsidR="009B0448" w:rsidRPr="009B0448" w:rsidRDefault="009B0448" w:rsidP="009B0448">
      <w:pPr>
        <w:spacing w:line="276" w:lineRule="auto"/>
        <w:jc w:val="both"/>
        <w:rPr>
          <w:rFonts w:ascii="Times New Roman" w:hAnsi="Times New Roman" w:cs="Times New Roman"/>
        </w:rPr>
      </w:pPr>
    </w:p>
    <w:p w14:paraId="3347A62D"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w:t>
      </w:r>
      <w:r w:rsidRPr="009B0448">
        <w:rPr>
          <w:rFonts w:ascii="Times New Roman" w:hAnsi="Times New Roman" w:cs="Times New Roman"/>
        </w:rPr>
        <w:t xml:space="preserve"> The region lost 80% of its original forest cover by 1980s affecting not only the habitats of animals (e.g., great apes (MacKinnon </w:t>
      </w:r>
      <w:r w:rsidRPr="009B0448">
        <w:rPr>
          <w:rFonts w:ascii="Times New Roman" w:hAnsi="Times New Roman" w:cs="Times New Roman"/>
          <w:i/>
        </w:rPr>
        <w:t>et al.</w:t>
      </w:r>
      <w:r w:rsidRPr="009B0448">
        <w:rPr>
          <w:rFonts w:ascii="Times New Roman" w:hAnsi="Times New Roman" w:cs="Times New Roman"/>
        </w:rPr>
        <w:t xml:space="preserve">, 2015)), but also the rainfall. During the last decades precipitation has diminished (Campbell, 1996; Campbell </w:t>
      </w:r>
      <w:r w:rsidRPr="009B0448">
        <w:rPr>
          <w:rFonts w:ascii="Times New Roman" w:hAnsi="Times New Roman" w:cs="Times New Roman"/>
          <w:i/>
        </w:rPr>
        <w:t>et al.</w:t>
      </w:r>
      <w:r w:rsidRPr="009B0448">
        <w:rPr>
          <w:rFonts w:ascii="Times New Roman" w:hAnsi="Times New Roman" w:cs="Times New Roman"/>
        </w:rPr>
        <w:t xml:space="preserve">, 2000). Annual deforestation rate in West African rainforests for the period of 2000–2010 is estimated to be 0.35% (Mayaux </w:t>
      </w:r>
      <w:r w:rsidRPr="009B0448">
        <w:rPr>
          <w:rFonts w:ascii="Times New Roman" w:hAnsi="Times New Roman" w:cs="Times New Roman"/>
          <w:i/>
        </w:rPr>
        <w:t>et al.</w:t>
      </w:r>
      <w:r w:rsidRPr="009B0448">
        <w:rPr>
          <w:rFonts w:ascii="Times New Roman" w:hAnsi="Times New Roman" w:cs="Times New Roman"/>
        </w:rPr>
        <w:t xml:space="preserve">, 2013; Figure 3.14). The native vegetation in the dry forest of the Cape Verde Islands has been declining and is now severely fragmented (WWF, 2017d). </w:t>
      </w:r>
    </w:p>
    <w:p w14:paraId="5EBECD4F" w14:textId="77777777" w:rsidR="009B0448" w:rsidRPr="009B0448" w:rsidRDefault="009B0448" w:rsidP="009B0448">
      <w:pPr>
        <w:spacing w:line="276" w:lineRule="auto"/>
        <w:jc w:val="both"/>
        <w:rPr>
          <w:rFonts w:ascii="Times New Roman" w:hAnsi="Times New Roman" w:cs="Times New Roman"/>
        </w:rPr>
      </w:pPr>
    </w:p>
    <w:p w14:paraId="58D73C0B"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In recent years, harvesting of amphibians, vultures and iconic species in West Africa for international trade, food, medicine and cultural purposes has intensified markedly (Mohneke </w:t>
      </w:r>
      <w:r w:rsidRPr="009B0448">
        <w:rPr>
          <w:rFonts w:ascii="Times New Roman" w:hAnsi="Times New Roman" w:cs="Times New Roman"/>
          <w:i/>
        </w:rPr>
        <w:t>et al.</w:t>
      </w:r>
      <w:r w:rsidRPr="009B0448">
        <w:rPr>
          <w:rFonts w:ascii="Times New Roman" w:hAnsi="Times New Roman" w:cs="Times New Roman"/>
        </w:rPr>
        <w:t xml:space="preserve">, 2009, 2010; Onadeko </w:t>
      </w:r>
      <w:r w:rsidRPr="009B0448">
        <w:rPr>
          <w:rFonts w:ascii="Times New Roman" w:hAnsi="Times New Roman" w:cs="Times New Roman"/>
          <w:i/>
        </w:rPr>
        <w:t>et al.</w:t>
      </w:r>
      <w:r w:rsidRPr="009B0448">
        <w:rPr>
          <w:rFonts w:ascii="Times New Roman" w:hAnsi="Times New Roman" w:cs="Times New Roman"/>
        </w:rPr>
        <w:t xml:space="preserve">, 2011; Botha </w:t>
      </w:r>
      <w:r w:rsidRPr="009B0448">
        <w:rPr>
          <w:rFonts w:ascii="Times New Roman" w:hAnsi="Times New Roman" w:cs="Times New Roman"/>
          <w:i/>
        </w:rPr>
        <w:t>et al.</w:t>
      </w:r>
      <w:r w:rsidRPr="009B0448">
        <w:rPr>
          <w:rFonts w:ascii="Times New Roman" w:hAnsi="Times New Roman" w:cs="Times New Roman"/>
        </w:rPr>
        <w:t xml:space="preserve">, 2012). Of 49 important amphibian species, 92% are for the pet trade (Carr </w:t>
      </w:r>
      <w:r w:rsidRPr="009B0448">
        <w:rPr>
          <w:rFonts w:ascii="Times New Roman" w:hAnsi="Times New Roman" w:cs="Times New Roman"/>
          <w:i/>
        </w:rPr>
        <w:t>et al.</w:t>
      </w:r>
      <w:r w:rsidRPr="009B0448">
        <w:rPr>
          <w:rFonts w:ascii="Times New Roman" w:hAnsi="Times New Roman" w:cs="Times New Roman"/>
        </w:rPr>
        <w:t xml:space="preserve">, 2014). A total of 450,000–2,738,610 frogs are harvested annually in West Africa (Mohneke </w:t>
      </w:r>
      <w:r w:rsidRPr="009B0448">
        <w:rPr>
          <w:rFonts w:ascii="Times New Roman" w:hAnsi="Times New Roman" w:cs="Times New Roman"/>
          <w:i/>
        </w:rPr>
        <w:t>et al.</w:t>
      </w:r>
      <w:r w:rsidRPr="009B0448">
        <w:rPr>
          <w:rFonts w:ascii="Times New Roman" w:hAnsi="Times New Roman" w:cs="Times New Roman"/>
        </w:rPr>
        <w:t xml:space="preserve">, 2011). Not only amphibians are severely declining, so are the populations of </w:t>
      </w:r>
      <w:r w:rsidRPr="009B0448">
        <w:rPr>
          <w:rFonts w:ascii="Times New Roman" w:hAnsi="Times New Roman" w:cs="Times New Roman"/>
          <w:i/>
        </w:rPr>
        <w:t>Panthera leo</w:t>
      </w:r>
      <w:r w:rsidRPr="009B0448">
        <w:rPr>
          <w:rFonts w:ascii="Times New Roman" w:hAnsi="Times New Roman" w:cs="Times New Roman"/>
        </w:rPr>
        <w:t xml:space="preserve">. In 2002 the population of </w:t>
      </w:r>
      <w:r w:rsidRPr="009B0448">
        <w:rPr>
          <w:rFonts w:ascii="Times New Roman" w:hAnsi="Times New Roman" w:cs="Times New Roman"/>
          <w:i/>
        </w:rPr>
        <w:t>Panthera leo</w:t>
      </w:r>
      <w:r w:rsidRPr="009B0448">
        <w:rPr>
          <w:rFonts w:ascii="Times New Roman" w:hAnsi="Times New Roman" w:cs="Times New Roman"/>
        </w:rPr>
        <w:t xml:space="preserve"> was estimated to be 1,230 (Chardonnet, 2004), 835 in 2004 (Bauer </w:t>
      </w:r>
      <w:r w:rsidRPr="009B0448">
        <w:rPr>
          <w:rFonts w:ascii="Times New Roman" w:hAnsi="Times New Roman" w:cs="Times New Roman"/>
          <w:i/>
        </w:rPr>
        <w:t>et al.</w:t>
      </w:r>
      <w:r w:rsidRPr="009B0448">
        <w:rPr>
          <w:rFonts w:ascii="Times New Roman" w:hAnsi="Times New Roman" w:cs="Times New Roman"/>
        </w:rPr>
        <w:t xml:space="preserve">, 2004) and 406 in 2014 (Henschel </w:t>
      </w:r>
      <w:r w:rsidRPr="009B0448">
        <w:rPr>
          <w:rFonts w:ascii="Times New Roman" w:hAnsi="Times New Roman" w:cs="Times New Roman"/>
          <w:i/>
        </w:rPr>
        <w:t>et al.</w:t>
      </w:r>
      <w:r w:rsidRPr="009B0448">
        <w:rPr>
          <w:rFonts w:ascii="Times New Roman" w:hAnsi="Times New Roman" w:cs="Times New Roman"/>
        </w:rPr>
        <w:t xml:space="preserve">, 2014). Recent surveys also suggest that the African elephant, and African wild dogs have disappeared from much of their formers range in West Africa, with small and isolated population of lion only found in three protected areas (Chase </w:t>
      </w:r>
      <w:r w:rsidRPr="009B0448">
        <w:rPr>
          <w:rFonts w:ascii="Times New Roman" w:hAnsi="Times New Roman" w:cs="Times New Roman"/>
          <w:i/>
        </w:rPr>
        <w:t>et al.</w:t>
      </w:r>
      <w:r w:rsidRPr="009B0448">
        <w:rPr>
          <w:rFonts w:ascii="Times New Roman" w:hAnsi="Times New Roman" w:cs="Times New Roman"/>
        </w:rPr>
        <w:t xml:space="preserve">, 2011). More than 90% of elephant population in West Africa has been lost in the 20th century (MacKinnon </w:t>
      </w:r>
      <w:r w:rsidRPr="009B0448">
        <w:rPr>
          <w:rFonts w:ascii="Times New Roman" w:hAnsi="Times New Roman" w:cs="Times New Roman"/>
          <w:i/>
        </w:rPr>
        <w:t>et al.</w:t>
      </w:r>
      <w:r w:rsidRPr="009B0448">
        <w:rPr>
          <w:rFonts w:ascii="Times New Roman" w:hAnsi="Times New Roman" w:cs="Times New Roman"/>
        </w:rPr>
        <w:t xml:space="preserve">, 2015). The remaining isolated and small populations consist of little more than 100 elephants (MacKinnon </w:t>
      </w:r>
      <w:r w:rsidRPr="009B0448">
        <w:rPr>
          <w:rFonts w:ascii="Times New Roman" w:hAnsi="Times New Roman" w:cs="Times New Roman"/>
          <w:i/>
        </w:rPr>
        <w:t>et al.</w:t>
      </w:r>
      <w:r w:rsidRPr="009B0448">
        <w:rPr>
          <w:rFonts w:ascii="Times New Roman" w:hAnsi="Times New Roman" w:cs="Times New Roman"/>
        </w:rPr>
        <w:t xml:space="preserve">, 2015). Severe declines of large birds have also been reported in West Africa (Thiollay, 2001; Rondeau </w:t>
      </w:r>
      <w:r w:rsidRPr="009B0448">
        <w:rPr>
          <w:rFonts w:ascii="Times New Roman" w:hAnsi="Times New Roman" w:cs="Times New Roman"/>
          <w:i/>
        </w:rPr>
        <w:t>et al.</w:t>
      </w:r>
      <w:r w:rsidRPr="009B0448">
        <w:rPr>
          <w:rFonts w:ascii="Times New Roman" w:hAnsi="Times New Roman" w:cs="Times New Roman"/>
        </w:rPr>
        <w:t>, 2004; Thiollay, 2006a, b, &amp; c), with collapse of raptor populations in protected areas (Thiollay, 2007).</w:t>
      </w:r>
    </w:p>
    <w:p w14:paraId="0E343D62" w14:textId="77777777" w:rsidR="009B0448" w:rsidRPr="009B0448" w:rsidRDefault="009B0448" w:rsidP="009B0448">
      <w:pPr>
        <w:spacing w:line="276" w:lineRule="auto"/>
        <w:jc w:val="both"/>
        <w:rPr>
          <w:rFonts w:ascii="Times New Roman" w:hAnsi="Times New Roman" w:cs="Times New Roman"/>
        </w:rPr>
      </w:pPr>
    </w:p>
    <w:p w14:paraId="05238A82" w14:textId="0C45F826" w:rsidR="006D75C7"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rPr>
        <w:t xml:space="preserve"> With projected climate change (Belle </w:t>
      </w:r>
      <w:r w:rsidRPr="009B0448">
        <w:rPr>
          <w:rFonts w:ascii="Times New Roman" w:hAnsi="Times New Roman" w:cs="Times New Roman"/>
          <w:i/>
        </w:rPr>
        <w:t>et al.</w:t>
      </w:r>
      <w:r w:rsidRPr="009B0448">
        <w:rPr>
          <w:rFonts w:ascii="Times New Roman" w:hAnsi="Times New Roman" w:cs="Times New Roman"/>
        </w:rPr>
        <w:t xml:space="preserve">, 2016), ongoing overhunting and conversion of forest to agriculture (FAO, 2015b); forest species (in particular mammals, amphibians, reptiles, and birds) and their services are expected to be negatively impacted in West Africa. For example, 91% of the amphibian, 40% of bird, and 50% of mammal species are projected to be found in areas of lower climate suitability by the 2070–2099 time period (Belle </w:t>
      </w:r>
      <w:r w:rsidRPr="009B0448">
        <w:rPr>
          <w:rFonts w:ascii="Times New Roman" w:hAnsi="Times New Roman" w:cs="Times New Roman"/>
          <w:i/>
        </w:rPr>
        <w:t>et al.</w:t>
      </w:r>
      <w:r w:rsidRPr="009B0448">
        <w:rPr>
          <w:rFonts w:ascii="Times New Roman" w:hAnsi="Times New Roman" w:cs="Times New Roman"/>
        </w:rPr>
        <w:t xml:space="preserve">, 2016). It is therefore crucial to consider conservation of this taxonomic groups, specifically for those species that have been assessed globally as threatened (Belle </w:t>
      </w:r>
      <w:r w:rsidRPr="009B0448">
        <w:rPr>
          <w:rFonts w:ascii="Times New Roman" w:hAnsi="Times New Roman" w:cs="Times New Roman"/>
          <w:i/>
        </w:rPr>
        <w:t>et al.</w:t>
      </w:r>
      <w:r w:rsidRPr="009B0448">
        <w:rPr>
          <w:rFonts w:ascii="Times New Roman" w:hAnsi="Times New Roman" w:cs="Times New Roman"/>
        </w:rPr>
        <w:t xml:space="preserve">, 2016). </w:t>
      </w:r>
    </w:p>
    <w:p w14:paraId="734D9302" w14:textId="77777777" w:rsidR="006D75C7" w:rsidRDefault="006D75C7">
      <w:pPr>
        <w:rPr>
          <w:rFonts w:ascii="Times New Roman" w:hAnsi="Times New Roman" w:cs="Times New Roman"/>
        </w:rPr>
      </w:pPr>
      <w:r>
        <w:rPr>
          <w:rFonts w:ascii="Times New Roman" w:hAnsi="Times New Roman" w:cs="Times New Roman"/>
        </w:rPr>
        <w:br w:type="page"/>
      </w:r>
    </w:p>
    <w:p w14:paraId="65BFDB1E" w14:textId="77777777" w:rsidR="009B0448" w:rsidRDefault="009B0448" w:rsidP="009B0448">
      <w:pPr>
        <w:spacing w:line="276" w:lineRule="auto"/>
        <w:jc w:val="both"/>
        <w:rPr>
          <w:rFonts w:ascii="Times New Roman" w:hAnsi="Times New Roman" w:cs="Times New Roman"/>
        </w:rPr>
      </w:pPr>
    </w:p>
    <w:p w14:paraId="5B9E09AC" w14:textId="0ACF581A" w:rsidR="006D75C7" w:rsidRDefault="006D75C7" w:rsidP="009B0448">
      <w:pPr>
        <w:spacing w:line="276" w:lineRule="auto"/>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4F739557" wp14:editId="203517C7">
            <wp:extent cx="5729238" cy="3503595"/>
            <wp:effectExtent l="0" t="0" r="5080" b="190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674">
                      <a:extLst>
                        <a:ext uri="{28A0092B-C50C-407E-A947-70E740481C1C}">
                          <a14:useLocalDpi xmlns:a14="http://schemas.microsoft.com/office/drawing/2010/main" val="0"/>
                        </a:ext>
                      </a:extLst>
                    </a:blip>
                    <a:stretch>
                      <a:fillRect/>
                    </a:stretch>
                  </pic:blipFill>
                  <pic:spPr bwMode="auto">
                    <a:xfrm>
                      <a:off x="0" y="0"/>
                      <a:ext cx="5747042" cy="3514483"/>
                    </a:xfrm>
                    <a:prstGeom prst="rect">
                      <a:avLst/>
                    </a:prstGeom>
                    <a:noFill/>
                    <a:ln>
                      <a:noFill/>
                    </a:ln>
                  </pic:spPr>
                </pic:pic>
              </a:graphicData>
            </a:graphic>
          </wp:inline>
        </w:drawing>
      </w:r>
    </w:p>
    <w:p w14:paraId="71C1EC2C" w14:textId="77777777" w:rsidR="006D75C7" w:rsidRPr="009B0448" w:rsidRDefault="006D75C7" w:rsidP="006D75C7">
      <w:pPr>
        <w:spacing w:line="276" w:lineRule="auto"/>
        <w:jc w:val="both"/>
        <w:rPr>
          <w:rFonts w:ascii="Times New Roman" w:hAnsi="Times New Roman" w:cs="Times New Roman"/>
        </w:rPr>
      </w:pPr>
      <w:r w:rsidRPr="009B0448">
        <w:rPr>
          <w:rFonts w:ascii="Times New Roman" w:hAnsi="Times New Roman" w:cs="Times New Roman"/>
          <w:b/>
        </w:rPr>
        <w:t>Figure 3.14:</w:t>
      </w:r>
      <w:r w:rsidRPr="009B0448">
        <w:rPr>
          <w:rFonts w:ascii="Times New Roman" w:hAnsi="Times New Roman" w:cs="Times New Roman"/>
        </w:rPr>
        <w:t xml:space="preserve"> Net deforestation between 1990 and 2000. The circle size is proportional to the surface affected by deforestation in each sample of 100 km</w:t>
      </w:r>
      <w:r w:rsidRPr="009B0448">
        <w:rPr>
          <w:rFonts w:ascii="Times New Roman" w:hAnsi="Times New Roman" w:cs="Times New Roman"/>
          <w:vertAlign w:val="superscript"/>
        </w:rPr>
        <w:t>2</w:t>
      </w:r>
      <w:r w:rsidRPr="009B0448">
        <w:rPr>
          <w:rFonts w:ascii="Times New Roman" w:hAnsi="Times New Roman" w:cs="Times New Roman"/>
        </w:rPr>
        <w:t xml:space="preserve">. Source: Mayaux </w:t>
      </w:r>
      <w:r w:rsidRPr="009B0448">
        <w:rPr>
          <w:rFonts w:ascii="Times New Roman" w:hAnsi="Times New Roman" w:cs="Times New Roman"/>
          <w:i/>
        </w:rPr>
        <w:t>et al.</w:t>
      </w:r>
      <w:r w:rsidRPr="009B0448">
        <w:rPr>
          <w:rFonts w:ascii="Times New Roman" w:hAnsi="Times New Roman" w:cs="Times New Roman"/>
        </w:rPr>
        <w:t xml:space="preserve"> (2013).</w:t>
      </w:r>
    </w:p>
    <w:p w14:paraId="3F854FA7"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04" w:name="_Toc519499900"/>
      <w:r w:rsidRPr="009B0448">
        <w:rPr>
          <w:rFonts w:cs="Times New Roman"/>
          <w:b w:val="0"/>
          <w:sz w:val="22"/>
          <w:szCs w:val="22"/>
        </w:rPr>
        <w:t>High mountain habitats</w:t>
      </w:r>
      <w:bookmarkEnd w:id="204"/>
    </w:p>
    <w:p w14:paraId="784D9CDF"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 Guinean Montane Forest ecoregion consists of scattered mountains and high plateau areas. Parts of the ecoregion are found in four West African countries, from Guinea in the west to Côte d’Ivoire in the east (Morton, 1986). Bintumani Peak on Loma Mountain (1,947 metres) in Sierra Leone is the highest peak in Africa west of Mount Cameroon (Cole, 1968). Tingi Hills, and Sankabiaiwa, also in Sierra Leone, both attain a height of 1860 metres. Other notable mountains in this ecoregion are Mount Nimba (1,752 metres) (Curry-Lindahl, 1966), the Simandou Massif in Guinea (1,650 metres), the Ziama Massif (1,387 metres) in Guinea, Mount Dutova in Liberia, and the Man Massif and Mont Peko in Côte d’Ivoire. Average rainfall is between 1,600</w:t>
      </w:r>
      <w:r w:rsidRPr="009B0448">
        <w:rPr>
          <w:rFonts w:ascii="Times New Roman" w:eastAsia="Times New Roman" w:hAnsi="Times New Roman" w:cs="Times New Roman"/>
        </w:rPr>
        <w:t>–</w:t>
      </w:r>
      <w:r w:rsidRPr="009B0448">
        <w:rPr>
          <w:rFonts w:ascii="Times New Roman" w:hAnsi="Times New Roman" w:cs="Times New Roman"/>
        </w:rPr>
        <w:t xml:space="preserve">2,400 millimetres/year (Morton, 1986), and most major rivers in West Africa have their origins within the peaks of the Guinean Montane Forest ecoregion. For example, the most westerly tributary of the Niger River originates in the Loma Mountains of Sierra Leone, while the Senegal and Gambia Rivers originate in the Fouta Djallon of Guinea. The Sewa River in Sierra Leone has many of its tributaries arising from the Loma Mountains and Tingi Hills, making it the most important watershed in the country. There is considerable variation in the rainfall on different sides of the mountains. Temperatures are also quite extreme on these mountain slopes, with maximum temperatures ranging between 24ºC and 33ºC while minimum temperatures can fall below 10ºC. White (1983) classified the forests here as part of an Afromontane archipelago-like regional centre of endemism. Lowland forest, part of the greater Guinea-Congolian forest complex, occurs on the lower reaches of the mountains closer to the coast. On northern slopes, forest-savanna mosaic becomes montane forest with increasing elevation and precipitation. At mid-altitudes (above 1,000 metres), the forest is often shrouded in clouds, resulting in verdant growth of epiphytes. With increasing altitude on the highest mountains, forests give way to grassland intermixed with bamboo, wetlands and gallery forests. The dominant flora of the grassland includes the genera </w:t>
      </w:r>
      <w:r w:rsidRPr="009B0448">
        <w:rPr>
          <w:rFonts w:ascii="Times New Roman" w:hAnsi="Times New Roman" w:cs="Times New Roman"/>
          <w:i/>
        </w:rPr>
        <w:t>Anadelphia, Loudetia</w:t>
      </w:r>
      <w:r w:rsidRPr="009B0448">
        <w:rPr>
          <w:rFonts w:ascii="Times New Roman" w:hAnsi="Times New Roman" w:cs="Times New Roman"/>
        </w:rPr>
        <w:t xml:space="preserve">, and </w:t>
      </w:r>
      <w:r w:rsidRPr="009B0448">
        <w:rPr>
          <w:rFonts w:ascii="Times New Roman" w:hAnsi="Times New Roman" w:cs="Times New Roman"/>
          <w:i/>
        </w:rPr>
        <w:t>Tristachya</w:t>
      </w:r>
      <w:r w:rsidRPr="009B0448">
        <w:rPr>
          <w:rFonts w:ascii="Times New Roman" w:hAnsi="Times New Roman" w:cs="Times New Roman"/>
        </w:rPr>
        <w:t xml:space="preserve"> (Morton, 1986). Grassland also occurs on the ridges and peaks of Mount Nimba and is generally dominated by Andropogon and Loudettia, while the sedge, </w:t>
      </w:r>
      <w:r w:rsidRPr="009B0448">
        <w:rPr>
          <w:rFonts w:ascii="Times New Roman" w:hAnsi="Times New Roman" w:cs="Times New Roman"/>
          <w:i/>
        </w:rPr>
        <w:t>Hypolytrum cacuminum</w:t>
      </w:r>
      <w:r w:rsidRPr="009B0448">
        <w:rPr>
          <w:rFonts w:ascii="Times New Roman" w:hAnsi="Times New Roman" w:cs="Times New Roman"/>
        </w:rPr>
        <w:t xml:space="preserve"> (Endangered) occurs on some wetter slopes (Morton, 1986). </w:t>
      </w:r>
    </w:p>
    <w:p w14:paraId="548803BB" w14:textId="77777777" w:rsidR="009B0448" w:rsidRPr="009B0448" w:rsidRDefault="009B0448" w:rsidP="009B0448">
      <w:pPr>
        <w:spacing w:line="276" w:lineRule="auto"/>
        <w:jc w:val="both"/>
        <w:rPr>
          <w:rFonts w:ascii="Times New Roman" w:hAnsi="Times New Roman" w:cs="Times New Roman"/>
        </w:rPr>
      </w:pPr>
    </w:p>
    <w:p w14:paraId="01040C5B" w14:textId="5B5792CC"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According to Cole (1968), 4 plan</w:t>
      </w:r>
      <w:r w:rsidR="00C813C5">
        <w:rPr>
          <w:rFonts w:ascii="Times New Roman" w:hAnsi="Times New Roman" w:cs="Times New Roman"/>
        </w:rPr>
        <w:t>t communities have been recognis</w:t>
      </w:r>
      <w:r w:rsidRPr="009B0448">
        <w:rPr>
          <w:rFonts w:ascii="Times New Roman" w:hAnsi="Times New Roman" w:cs="Times New Roman"/>
        </w:rPr>
        <w:t xml:space="preserve">ed on these massifs, including closed forests and Guinea savanna (460–915 metres), sub-montane shrub savanna (915–1,700 metres), montane grassland (prairie d’altitude) (1,700 metres) and sub-montane gallery forests (1,700 metres). At higher altitudes, the shrub layer of the sub-montane shrub savanna of the Loma Mountains and Tingi Hills is comprised of </w:t>
      </w:r>
      <w:r w:rsidRPr="009B0448">
        <w:rPr>
          <w:rFonts w:ascii="Times New Roman" w:hAnsi="Times New Roman" w:cs="Times New Roman"/>
          <w:i/>
        </w:rPr>
        <w:t>Syzygium</w:t>
      </w:r>
      <w:r w:rsidRPr="009B0448">
        <w:rPr>
          <w:rFonts w:ascii="Times New Roman" w:hAnsi="Times New Roman" w:cs="Times New Roman"/>
        </w:rPr>
        <w:t xml:space="preserve"> spp., </w:t>
      </w:r>
      <w:r w:rsidRPr="009B0448">
        <w:rPr>
          <w:rFonts w:ascii="Times New Roman" w:hAnsi="Times New Roman" w:cs="Times New Roman"/>
          <w:i/>
        </w:rPr>
        <w:t>Kotschya ochreata</w:t>
      </w:r>
      <w:r w:rsidRPr="009B0448">
        <w:rPr>
          <w:rFonts w:ascii="Times New Roman" w:hAnsi="Times New Roman" w:cs="Times New Roman"/>
        </w:rPr>
        <w:t xml:space="preserve"> var </w:t>
      </w:r>
      <w:r w:rsidRPr="009B0448">
        <w:rPr>
          <w:rFonts w:ascii="Times New Roman" w:hAnsi="Times New Roman" w:cs="Times New Roman"/>
          <w:i/>
        </w:rPr>
        <w:t>ochreata</w:t>
      </w:r>
      <w:r w:rsidRPr="009B0448">
        <w:rPr>
          <w:rFonts w:ascii="Times New Roman" w:hAnsi="Times New Roman" w:cs="Times New Roman"/>
        </w:rPr>
        <w:t xml:space="preserve">, </w:t>
      </w:r>
      <w:r w:rsidRPr="009B0448">
        <w:rPr>
          <w:rFonts w:ascii="Times New Roman" w:hAnsi="Times New Roman" w:cs="Times New Roman"/>
          <w:i/>
        </w:rPr>
        <w:t>Monechma depauperatum</w:t>
      </w:r>
      <w:r w:rsidRPr="009B0448">
        <w:rPr>
          <w:rFonts w:ascii="Times New Roman" w:hAnsi="Times New Roman" w:cs="Times New Roman"/>
        </w:rPr>
        <w:t xml:space="preserve">, </w:t>
      </w:r>
      <w:r w:rsidRPr="009B0448">
        <w:rPr>
          <w:rFonts w:ascii="Times New Roman" w:hAnsi="Times New Roman" w:cs="Times New Roman"/>
          <w:i/>
        </w:rPr>
        <w:t>Dissotis elliotii</w:t>
      </w:r>
      <w:r w:rsidRPr="009B0448">
        <w:rPr>
          <w:rFonts w:ascii="Times New Roman" w:hAnsi="Times New Roman" w:cs="Times New Roman"/>
        </w:rPr>
        <w:t xml:space="preserve">, </w:t>
      </w:r>
      <w:r w:rsidRPr="009B0448">
        <w:rPr>
          <w:rFonts w:ascii="Times New Roman" w:hAnsi="Times New Roman" w:cs="Times New Roman"/>
          <w:i/>
        </w:rPr>
        <w:t>Dissotis fructicosa</w:t>
      </w:r>
      <w:r w:rsidRPr="009B0448">
        <w:rPr>
          <w:rFonts w:ascii="Times New Roman" w:hAnsi="Times New Roman" w:cs="Times New Roman"/>
        </w:rPr>
        <w:t xml:space="preserve"> and the tree ferns, </w:t>
      </w:r>
      <w:r w:rsidRPr="009B0448">
        <w:rPr>
          <w:rFonts w:ascii="Times New Roman" w:hAnsi="Times New Roman" w:cs="Times New Roman"/>
          <w:i/>
        </w:rPr>
        <w:t>Cyathea manniana</w:t>
      </w:r>
      <w:r w:rsidRPr="009B0448">
        <w:rPr>
          <w:rFonts w:ascii="Times New Roman" w:hAnsi="Times New Roman" w:cs="Times New Roman"/>
        </w:rPr>
        <w:t xml:space="preserve"> and </w:t>
      </w:r>
      <w:r w:rsidRPr="009B0448">
        <w:rPr>
          <w:rFonts w:ascii="Times New Roman" w:hAnsi="Times New Roman" w:cs="Times New Roman"/>
          <w:i/>
        </w:rPr>
        <w:t>Cyathea dregei</w:t>
      </w:r>
      <w:r w:rsidRPr="009B0448">
        <w:rPr>
          <w:rFonts w:ascii="Times New Roman" w:hAnsi="Times New Roman" w:cs="Times New Roman"/>
        </w:rPr>
        <w:t xml:space="preserve">. Tree ferns are noted as common in the gallery forest (Cole, 1968; Morton, 1986). </w:t>
      </w:r>
    </w:p>
    <w:p w14:paraId="135AB65C" w14:textId="77777777" w:rsidR="009B0448" w:rsidRPr="009B0448" w:rsidRDefault="009B0448" w:rsidP="009B0448">
      <w:pPr>
        <w:spacing w:line="276" w:lineRule="auto"/>
        <w:jc w:val="both"/>
        <w:rPr>
          <w:rFonts w:ascii="Times New Roman" w:hAnsi="Times New Roman" w:cs="Times New Roman"/>
        </w:rPr>
      </w:pPr>
    </w:p>
    <w:p w14:paraId="1A129CD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diversity and endemism on Mount Nimba is well documented, with over 2,000 species of vascular plants recorded (WWF </w:t>
      </w:r>
      <w:r w:rsidRPr="009B0448">
        <w:rPr>
          <w:rFonts w:ascii="Times New Roman" w:hAnsi="Times New Roman" w:cs="Times New Roman"/>
          <w:i/>
        </w:rPr>
        <w:t>et al</w:t>
      </w:r>
      <w:r w:rsidRPr="009B0448">
        <w:rPr>
          <w:rFonts w:ascii="Times New Roman" w:hAnsi="Times New Roman" w:cs="Times New Roman"/>
        </w:rPr>
        <w:t xml:space="preserve">., 1994). Biodiversity studies of the Loma Mountains have produced considerable information about the flora, with records for 1,576 species distributed in 757 genera and 135 families (WWF </w:t>
      </w:r>
      <w:r w:rsidRPr="009B0448">
        <w:rPr>
          <w:rFonts w:ascii="Times New Roman" w:hAnsi="Times New Roman" w:cs="Times New Roman"/>
          <w:i/>
        </w:rPr>
        <w:t>et al</w:t>
      </w:r>
      <w:r w:rsidRPr="009B0448">
        <w:rPr>
          <w:rFonts w:ascii="Times New Roman" w:hAnsi="Times New Roman" w:cs="Times New Roman"/>
        </w:rPr>
        <w:t xml:space="preserve">., 1994). Nine species are endemic to Loma mountains, and include </w:t>
      </w:r>
      <w:r w:rsidRPr="009B0448">
        <w:rPr>
          <w:rFonts w:ascii="Times New Roman" w:hAnsi="Times New Roman" w:cs="Times New Roman"/>
          <w:i/>
        </w:rPr>
        <w:t>Afrotrilepis jaegeri</w:t>
      </w:r>
      <w:r w:rsidRPr="009B0448">
        <w:rPr>
          <w:rFonts w:ascii="Times New Roman" w:hAnsi="Times New Roman" w:cs="Times New Roman"/>
        </w:rPr>
        <w:t xml:space="preserve">, </w:t>
      </w:r>
      <w:r w:rsidRPr="009B0448">
        <w:rPr>
          <w:rFonts w:ascii="Times New Roman" w:hAnsi="Times New Roman" w:cs="Times New Roman"/>
          <w:i/>
        </w:rPr>
        <w:t>Digitaria phaeotricha</w:t>
      </w:r>
      <w:r w:rsidRPr="009B0448">
        <w:rPr>
          <w:rFonts w:ascii="Times New Roman" w:hAnsi="Times New Roman" w:cs="Times New Roman"/>
        </w:rPr>
        <w:t xml:space="preserve"> var. patens, </w:t>
      </w:r>
      <w:r w:rsidRPr="009B0448">
        <w:rPr>
          <w:rFonts w:ascii="Times New Roman" w:hAnsi="Times New Roman" w:cs="Times New Roman"/>
          <w:i/>
        </w:rPr>
        <w:t>Dissotis sessilis</w:t>
      </w:r>
      <w:r w:rsidRPr="009B0448">
        <w:rPr>
          <w:rFonts w:ascii="Times New Roman" w:hAnsi="Times New Roman" w:cs="Times New Roman"/>
        </w:rPr>
        <w:t xml:space="preserve">, </w:t>
      </w:r>
      <w:r w:rsidRPr="009B0448">
        <w:rPr>
          <w:rFonts w:ascii="Times New Roman" w:hAnsi="Times New Roman" w:cs="Times New Roman"/>
          <w:i/>
        </w:rPr>
        <w:t>Gladiolus leonensis</w:t>
      </w:r>
      <w:r w:rsidRPr="009B0448">
        <w:rPr>
          <w:rFonts w:ascii="Times New Roman" w:hAnsi="Times New Roman" w:cs="Times New Roman"/>
        </w:rPr>
        <w:t xml:space="preserve">, </w:t>
      </w:r>
      <w:r w:rsidRPr="009B0448">
        <w:rPr>
          <w:rFonts w:ascii="Times New Roman" w:hAnsi="Times New Roman" w:cs="Times New Roman"/>
          <w:i/>
        </w:rPr>
        <w:t>Ledermanniella jaegeri</w:t>
      </w:r>
      <w:r w:rsidRPr="009B0448">
        <w:rPr>
          <w:rFonts w:ascii="Times New Roman" w:hAnsi="Times New Roman" w:cs="Times New Roman"/>
        </w:rPr>
        <w:t xml:space="preserve">, </w:t>
      </w:r>
      <w:r w:rsidRPr="009B0448">
        <w:rPr>
          <w:rFonts w:ascii="Times New Roman" w:hAnsi="Times New Roman" w:cs="Times New Roman"/>
          <w:i/>
        </w:rPr>
        <w:t>Loudetia jaegeriana</w:t>
      </w:r>
      <w:r w:rsidRPr="009B0448">
        <w:rPr>
          <w:rFonts w:ascii="Times New Roman" w:hAnsi="Times New Roman" w:cs="Times New Roman"/>
        </w:rPr>
        <w:t xml:space="preserve">, </w:t>
      </w:r>
      <w:r w:rsidRPr="009B0448">
        <w:rPr>
          <w:rFonts w:ascii="Times New Roman" w:hAnsi="Times New Roman" w:cs="Times New Roman"/>
          <w:i/>
        </w:rPr>
        <w:t>Loxodera strigosa</w:t>
      </w:r>
      <w:r w:rsidRPr="009B0448">
        <w:rPr>
          <w:rFonts w:ascii="Times New Roman" w:hAnsi="Times New Roman" w:cs="Times New Roman"/>
        </w:rPr>
        <w:t xml:space="preserve">, </w:t>
      </w:r>
      <w:r w:rsidRPr="009B0448">
        <w:rPr>
          <w:rFonts w:ascii="Times New Roman" w:hAnsi="Times New Roman" w:cs="Times New Roman"/>
          <w:i/>
        </w:rPr>
        <w:t>Schizachyrium minutum</w:t>
      </w:r>
      <w:r w:rsidRPr="009B0448">
        <w:rPr>
          <w:rFonts w:ascii="Times New Roman" w:hAnsi="Times New Roman" w:cs="Times New Roman"/>
        </w:rPr>
        <w:t xml:space="preserve"> (</w:t>
      </w:r>
      <w:r w:rsidRPr="009B0448">
        <w:rPr>
          <w:rFonts w:ascii="Times New Roman" w:hAnsi="Times New Roman" w:cs="Times New Roman"/>
          <w:i/>
        </w:rPr>
        <w:t>S. brevifolium</w:t>
      </w:r>
      <w:r w:rsidRPr="009B0448">
        <w:rPr>
          <w:rFonts w:ascii="Times New Roman" w:hAnsi="Times New Roman" w:cs="Times New Roman"/>
        </w:rPr>
        <w:t xml:space="preserve">) and </w:t>
      </w:r>
      <w:r w:rsidRPr="009B0448">
        <w:rPr>
          <w:rFonts w:ascii="Times New Roman" w:hAnsi="Times New Roman" w:cs="Times New Roman"/>
          <w:i/>
        </w:rPr>
        <w:t>Scleria monticola</w:t>
      </w:r>
      <w:r w:rsidRPr="009B0448">
        <w:rPr>
          <w:rFonts w:ascii="Times New Roman" w:hAnsi="Times New Roman" w:cs="Times New Roman"/>
        </w:rPr>
        <w:t xml:space="preserve"> (Jaeger, 1983). The four endemic plant families found in tropical Africa are also represented in the Loma Mountains by </w:t>
      </w:r>
      <w:r w:rsidRPr="009B0448">
        <w:rPr>
          <w:rFonts w:ascii="Times New Roman" w:hAnsi="Times New Roman" w:cs="Times New Roman"/>
          <w:i/>
        </w:rPr>
        <w:t>Triphyophyllum peltatum</w:t>
      </w:r>
      <w:r w:rsidRPr="009B0448">
        <w:rPr>
          <w:rFonts w:ascii="Times New Roman" w:hAnsi="Times New Roman" w:cs="Times New Roman"/>
        </w:rPr>
        <w:t xml:space="preserve"> (Dioncophyllaceae), </w:t>
      </w:r>
      <w:r w:rsidRPr="009B0448">
        <w:rPr>
          <w:rFonts w:ascii="Times New Roman" w:hAnsi="Times New Roman" w:cs="Times New Roman"/>
          <w:i/>
        </w:rPr>
        <w:t>Octoknema borealis</w:t>
      </w:r>
      <w:r w:rsidRPr="009B0448">
        <w:rPr>
          <w:rFonts w:ascii="Times New Roman" w:hAnsi="Times New Roman" w:cs="Times New Roman"/>
        </w:rPr>
        <w:t xml:space="preserve"> (Octoknemataceae), </w:t>
      </w:r>
      <w:r w:rsidRPr="009B0448">
        <w:rPr>
          <w:rFonts w:ascii="Times New Roman" w:hAnsi="Times New Roman" w:cs="Times New Roman"/>
          <w:i/>
        </w:rPr>
        <w:t>Bersama abyssinica</w:t>
      </w:r>
      <w:r w:rsidRPr="009B0448">
        <w:rPr>
          <w:rFonts w:ascii="Times New Roman" w:hAnsi="Times New Roman" w:cs="Times New Roman"/>
        </w:rPr>
        <w:t xml:space="preserve"> (Melianthaceae), and </w:t>
      </w:r>
      <w:r w:rsidRPr="009B0448">
        <w:rPr>
          <w:rFonts w:ascii="Times New Roman" w:hAnsi="Times New Roman" w:cs="Times New Roman"/>
          <w:i/>
        </w:rPr>
        <w:t>Napoleona leonensis</w:t>
      </w:r>
      <w:r w:rsidRPr="009B0448">
        <w:rPr>
          <w:rFonts w:ascii="Times New Roman" w:hAnsi="Times New Roman" w:cs="Times New Roman"/>
        </w:rPr>
        <w:t xml:space="preserve"> and </w:t>
      </w:r>
      <w:r w:rsidRPr="009B0448">
        <w:rPr>
          <w:rFonts w:ascii="Times New Roman" w:hAnsi="Times New Roman" w:cs="Times New Roman"/>
          <w:i/>
        </w:rPr>
        <w:t>Napoleona vogelii</w:t>
      </w:r>
      <w:r w:rsidRPr="009B0448">
        <w:rPr>
          <w:rFonts w:ascii="Times New Roman" w:hAnsi="Times New Roman" w:cs="Times New Roman"/>
        </w:rPr>
        <w:t xml:space="preserve"> (Lecythidaceae). For the entire Guinean Montane Forest (including the following mountains: Fouta Djalon, Loma, Tingi, Nimba and Man), 35 endemic plants including 11 palaeo-endemics have been recorded (Schnell, 1952; Cole, 1967; Morton, 1972; Cole, 1974; Jaeger </w:t>
      </w:r>
      <w:r w:rsidRPr="009B0448">
        <w:rPr>
          <w:rFonts w:ascii="Times New Roman" w:hAnsi="Times New Roman" w:cs="Times New Roman"/>
          <w:i/>
        </w:rPr>
        <w:t>et al</w:t>
      </w:r>
      <w:r w:rsidRPr="009B0448">
        <w:rPr>
          <w:rFonts w:ascii="Times New Roman" w:hAnsi="Times New Roman" w:cs="Times New Roman"/>
        </w:rPr>
        <w:t xml:space="preserve">., 1975). The 11 palaeo-endemics are </w:t>
      </w:r>
      <w:r w:rsidRPr="009B0448">
        <w:rPr>
          <w:rFonts w:ascii="Times New Roman" w:hAnsi="Times New Roman" w:cs="Times New Roman"/>
          <w:i/>
        </w:rPr>
        <w:t>Borreria macrantha</w:t>
      </w:r>
      <w:r w:rsidRPr="009B0448">
        <w:rPr>
          <w:rFonts w:ascii="Times New Roman" w:hAnsi="Times New Roman" w:cs="Times New Roman"/>
        </w:rPr>
        <w:t xml:space="preserve">, </w:t>
      </w:r>
      <w:r w:rsidRPr="009B0448">
        <w:rPr>
          <w:rFonts w:ascii="Times New Roman" w:hAnsi="Times New Roman" w:cs="Times New Roman"/>
          <w:i/>
        </w:rPr>
        <w:t>Cyanotis lourensis</w:t>
      </w:r>
      <w:r w:rsidRPr="009B0448">
        <w:rPr>
          <w:rFonts w:ascii="Times New Roman" w:hAnsi="Times New Roman" w:cs="Times New Roman"/>
        </w:rPr>
        <w:t xml:space="preserve">, </w:t>
      </w:r>
      <w:r w:rsidRPr="009B0448">
        <w:rPr>
          <w:rFonts w:ascii="Times New Roman" w:hAnsi="Times New Roman" w:cs="Times New Roman"/>
          <w:i/>
        </w:rPr>
        <w:t>Droogmansia scaettaiana</w:t>
      </w:r>
      <w:r w:rsidRPr="009B0448">
        <w:rPr>
          <w:rFonts w:ascii="Times New Roman" w:hAnsi="Times New Roman" w:cs="Times New Roman"/>
        </w:rPr>
        <w:t xml:space="preserve"> (Near Threatened), </w:t>
      </w:r>
      <w:r w:rsidRPr="009B0448">
        <w:rPr>
          <w:rFonts w:ascii="Times New Roman" w:hAnsi="Times New Roman" w:cs="Times New Roman"/>
          <w:i/>
        </w:rPr>
        <w:t>Eriosema parviflorum</w:t>
      </w:r>
      <w:r w:rsidRPr="009B0448">
        <w:rPr>
          <w:rFonts w:ascii="Times New Roman" w:hAnsi="Times New Roman" w:cs="Times New Roman"/>
        </w:rPr>
        <w:t xml:space="preserve">, </w:t>
      </w:r>
      <w:r w:rsidRPr="009B0448">
        <w:rPr>
          <w:rFonts w:ascii="Times New Roman" w:hAnsi="Times New Roman" w:cs="Times New Roman"/>
          <w:i/>
        </w:rPr>
        <w:t>Eugenia pobeguinii</w:t>
      </w:r>
      <w:r w:rsidRPr="009B0448">
        <w:rPr>
          <w:rFonts w:ascii="Times New Roman" w:hAnsi="Times New Roman" w:cs="Times New Roman"/>
        </w:rPr>
        <w:t xml:space="preserve">, </w:t>
      </w:r>
      <w:r w:rsidRPr="009B0448">
        <w:rPr>
          <w:rFonts w:ascii="Times New Roman" w:hAnsi="Times New Roman" w:cs="Times New Roman"/>
          <w:i/>
        </w:rPr>
        <w:t>Hypolytrum cacuminum</w:t>
      </w:r>
      <w:r w:rsidRPr="009B0448">
        <w:rPr>
          <w:rFonts w:ascii="Times New Roman" w:hAnsi="Times New Roman" w:cs="Times New Roman"/>
        </w:rPr>
        <w:t xml:space="preserve"> (Endangered), </w:t>
      </w:r>
      <w:r w:rsidRPr="009B0448">
        <w:rPr>
          <w:rFonts w:ascii="Times New Roman" w:hAnsi="Times New Roman" w:cs="Times New Roman"/>
          <w:i/>
        </w:rPr>
        <w:t>Kotschya lutea</w:t>
      </w:r>
      <w:r w:rsidRPr="009B0448">
        <w:rPr>
          <w:rFonts w:ascii="Times New Roman" w:hAnsi="Times New Roman" w:cs="Times New Roman"/>
        </w:rPr>
        <w:t xml:space="preserve">, </w:t>
      </w:r>
      <w:r w:rsidRPr="009B0448">
        <w:rPr>
          <w:rFonts w:ascii="Times New Roman" w:hAnsi="Times New Roman" w:cs="Times New Roman"/>
          <w:i/>
        </w:rPr>
        <w:t>Mesanthemum aurantum</w:t>
      </w:r>
      <w:r w:rsidRPr="009B0448">
        <w:rPr>
          <w:rFonts w:ascii="Times New Roman" w:hAnsi="Times New Roman" w:cs="Times New Roman"/>
        </w:rPr>
        <w:t xml:space="preserve">, </w:t>
      </w:r>
      <w:r w:rsidRPr="009B0448">
        <w:rPr>
          <w:rFonts w:ascii="Times New Roman" w:hAnsi="Times New Roman" w:cs="Times New Roman"/>
          <w:i/>
        </w:rPr>
        <w:t>Rhytachne glabra</w:t>
      </w:r>
      <w:r w:rsidRPr="009B0448">
        <w:rPr>
          <w:rFonts w:ascii="Times New Roman" w:hAnsi="Times New Roman" w:cs="Times New Roman"/>
        </w:rPr>
        <w:t xml:space="preserve"> (Vulnerable), </w:t>
      </w:r>
      <w:r w:rsidRPr="009B0448">
        <w:rPr>
          <w:rFonts w:ascii="Times New Roman" w:hAnsi="Times New Roman" w:cs="Times New Roman"/>
          <w:i/>
        </w:rPr>
        <w:t>Vernonia nimbaensis</w:t>
      </w:r>
      <w:r w:rsidRPr="009B0448">
        <w:rPr>
          <w:rFonts w:ascii="Times New Roman" w:hAnsi="Times New Roman" w:cs="Times New Roman"/>
        </w:rPr>
        <w:t xml:space="preserve"> and </w:t>
      </w:r>
      <w:r w:rsidRPr="009B0448">
        <w:rPr>
          <w:rFonts w:ascii="Times New Roman" w:hAnsi="Times New Roman" w:cs="Times New Roman"/>
          <w:i/>
        </w:rPr>
        <w:t>Xyris festucifolia</w:t>
      </w:r>
      <w:r w:rsidRPr="009B0448">
        <w:rPr>
          <w:rFonts w:ascii="Times New Roman" w:hAnsi="Times New Roman" w:cs="Times New Roman"/>
        </w:rPr>
        <w:t xml:space="preserve"> (Cole, 1974). A total of 101 species in the Orchidaceae have been recorded for Mount Nimba, including one endemic species </w:t>
      </w:r>
      <w:r w:rsidRPr="009B0448">
        <w:rPr>
          <w:rFonts w:ascii="Times New Roman" w:hAnsi="Times New Roman" w:cs="Times New Roman"/>
          <w:i/>
        </w:rPr>
        <w:t>Rhipidoglossum paucifolium</w:t>
      </w:r>
      <w:r w:rsidRPr="009B0448">
        <w:rPr>
          <w:rFonts w:ascii="Times New Roman" w:hAnsi="Times New Roman" w:cs="Times New Roman"/>
        </w:rPr>
        <w:t xml:space="preserve"> (Johansson, 1974). Phorophytes like </w:t>
      </w:r>
      <w:r w:rsidRPr="009B0448">
        <w:rPr>
          <w:rFonts w:ascii="Times New Roman" w:hAnsi="Times New Roman" w:cs="Times New Roman"/>
          <w:i/>
        </w:rPr>
        <w:t>Heritiera utilis</w:t>
      </w:r>
      <w:r w:rsidRPr="009B0448">
        <w:rPr>
          <w:rFonts w:ascii="Times New Roman" w:hAnsi="Times New Roman" w:cs="Times New Roman"/>
        </w:rPr>
        <w:t xml:space="preserve"> (Vulnerable), </w:t>
      </w:r>
      <w:r w:rsidRPr="009B0448">
        <w:rPr>
          <w:rFonts w:ascii="Times New Roman" w:hAnsi="Times New Roman" w:cs="Times New Roman"/>
          <w:i/>
        </w:rPr>
        <w:t>Lophira alata</w:t>
      </w:r>
      <w:r w:rsidRPr="009B0448">
        <w:rPr>
          <w:rFonts w:ascii="Times New Roman" w:hAnsi="Times New Roman" w:cs="Times New Roman"/>
        </w:rPr>
        <w:t xml:space="preserve"> (Vulnerable) and </w:t>
      </w:r>
      <w:r w:rsidRPr="009B0448">
        <w:rPr>
          <w:rFonts w:ascii="Times New Roman" w:hAnsi="Times New Roman" w:cs="Times New Roman"/>
          <w:i/>
        </w:rPr>
        <w:t>Parinari excelsa</w:t>
      </w:r>
      <w:r w:rsidRPr="009B0448">
        <w:rPr>
          <w:rFonts w:ascii="Times New Roman" w:hAnsi="Times New Roman" w:cs="Times New Roman"/>
        </w:rPr>
        <w:t xml:space="preserve"> (Least Concern) were also reported to carry an abundance of epiphytes. There are Mount Nimba otter shrew (</w:t>
      </w:r>
      <w:r w:rsidRPr="009B0448">
        <w:rPr>
          <w:rFonts w:ascii="Times New Roman" w:hAnsi="Times New Roman" w:cs="Times New Roman"/>
          <w:i/>
        </w:rPr>
        <w:t>Micropotamogale lamottei</w:t>
      </w:r>
      <w:r w:rsidRPr="009B0448">
        <w:rPr>
          <w:rFonts w:ascii="Times New Roman" w:hAnsi="Times New Roman" w:cs="Times New Roman"/>
        </w:rPr>
        <w:t>, Near Threatened) (Hilton-Taylor, 2000), two species of white-toothed shrew (</w:t>
      </w:r>
      <w:r w:rsidRPr="009B0448">
        <w:rPr>
          <w:rFonts w:ascii="Times New Roman" w:hAnsi="Times New Roman" w:cs="Times New Roman"/>
          <w:i/>
        </w:rPr>
        <w:t>Crocidura obscurior,</w:t>
      </w:r>
      <w:r w:rsidRPr="009B0448">
        <w:rPr>
          <w:rFonts w:ascii="Times New Roman" w:hAnsi="Times New Roman" w:cs="Times New Roman"/>
        </w:rPr>
        <w:t xml:space="preserve"> Least Concern and </w:t>
      </w:r>
      <w:r w:rsidRPr="009B0448">
        <w:rPr>
          <w:rFonts w:ascii="Times New Roman" w:hAnsi="Times New Roman" w:cs="Times New Roman"/>
          <w:i/>
        </w:rPr>
        <w:t>C. nimbae,</w:t>
      </w:r>
      <w:r w:rsidRPr="009B0448">
        <w:rPr>
          <w:rFonts w:ascii="Times New Roman" w:hAnsi="Times New Roman" w:cs="Times New Roman"/>
        </w:rPr>
        <w:t xml:space="preserve"> Near Threatened) and a species of leaf-nosed bat (</w:t>
      </w:r>
      <w:r w:rsidRPr="009B0448">
        <w:rPr>
          <w:rFonts w:ascii="Times New Roman" w:hAnsi="Times New Roman" w:cs="Times New Roman"/>
          <w:i/>
        </w:rPr>
        <w:t>Hipposideros marisae,</w:t>
      </w:r>
      <w:r w:rsidRPr="009B0448">
        <w:rPr>
          <w:rFonts w:ascii="Times New Roman" w:hAnsi="Times New Roman" w:cs="Times New Roman"/>
        </w:rPr>
        <w:t xml:space="preserve"> Vulnerable). A number of other rare forest mammals may also occur marginally in the mountains of this ecoregion, including Johnson’s genet (</w:t>
      </w:r>
      <w:r w:rsidRPr="009B0448">
        <w:rPr>
          <w:rFonts w:ascii="Times New Roman" w:hAnsi="Times New Roman" w:cs="Times New Roman"/>
          <w:i/>
        </w:rPr>
        <w:t>Genetta johnstoni</w:t>
      </w:r>
      <w:r w:rsidRPr="009B0448">
        <w:rPr>
          <w:rFonts w:ascii="Times New Roman" w:hAnsi="Times New Roman" w:cs="Times New Roman"/>
        </w:rPr>
        <w:t>, Near Threatened) and a murid rat (</w:t>
      </w:r>
      <w:r w:rsidRPr="009B0448">
        <w:rPr>
          <w:rFonts w:ascii="Times New Roman" w:hAnsi="Times New Roman" w:cs="Times New Roman"/>
          <w:i/>
        </w:rPr>
        <w:t>Praomys rostratus</w:t>
      </w:r>
      <w:r w:rsidRPr="009B0448">
        <w:rPr>
          <w:rFonts w:ascii="Times New Roman" w:hAnsi="Times New Roman" w:cs="Times New Roman"/>
        </w:rPr>
        <w:t>, Least Concern). The western chimpanzee (</w:t>
      </w:r>
      <w:r w:rsidRPr="009B0448">
        <w:rPr>
          <w:rFonts w:ascii="Times New Roman" w:hAnsi="Times New Roman" w:cs="Times New Roman"/>
          <w:i/>
        </w:rPr>
        <w:t>Pan troglodytes</w:t>
      </w:r>
      <w:r w:rsidRPr="009B0448">
        <w:rPr>
          <w:rFonts w:ascii="Times New Roman" w:hAnsi="Times New Roman" w:cs="Times New Roman"/>
        </w:rPr>
        <w:t xml:space="preserve"> verus, Endangered) also occurs in this ecoregion, with high densities reported from Mt Loma. The largest predator in the ecoregion is the leopard (</w:t>
      </w:r>
      <w:r w:rsidRPr="009B0448">
        <w:rPr>
          <w:rFonts w:ascii="Times New Roman" w:hAnsi="Times New Roman" w:cs="Times New Roman"/>
          <w:i/>
        </w:rPr>
        <w:t>Panthera pardus</w:t>
      </w:r>
      <w:r w:rsidRPr="009B0448">
        <w:rPr>
          <w:rFonts w:ascii="Times New Roman" w:hAnsi="Times New Roman" w:cs="Times New Roman"/>
        </w:rPr>
        <w:t>, Vulnerable). The avifauna of Mount Nimba has been well described and includes the near-endemic Sierra Leone prinia, the grey-winged robin-chat (</w:t>
      </w:r>
      <w:r w:rsidRPr="009B0448">
        <w:rPr>
          <w:rFonts w:ascii="Times New Roman" w:hAnsi="Times New Roman" w:cs="Times New Roman"/>
          <w:i/>
        </w:rPr>
        <w:t>Cossypha polioptera</w:t>
      </w:r>
      <w:r w:rsidRPr="009B0448">
        <w:rPr>
          <w:rFonts w:ascii="Times New Roman" w:hAnsi="Times New Roman" w:cs="Times New Roman"/>
        </w:rPr>
        <w:t>, Least Concern) and lemon dove (</w:t>
      </w:r>
      <w:r w:rsidRPr="009B0448">
        <w:rPr>
          <w:rFonts w:ascii="Times New Roman" w:hAnsi="Times New Roman" w:cs="Times New Roman"/>
          <w:i/>
        </w:rPr>
        <w:t>Columba larvata</w:t>
      </w:r>
      <w:r w:rsidRPr="009B0448">
        <w:rPr>
          <w:rFonts w:ascii="Times New Roman" w:hAnsi="Times New Roman" w:cs="Times New Roman"/>
        </w:rPr>
        <w:t>, Least Concern), and Sharp’s apalis (</w:t>
      </w:r>
      <w:r w:rsidRPr="009B0448">
        <w:rPr>
          <w:rFonts w:ascii="Times New Roman" w:hAnsi="Times New Roman" w:cs="Times New Roman"/>
          <w:i/>
        </w:rPr>
        <w:t>Apalis sharpii</w:t>
      </w:r>
      <w:r w:rsidRPr="009B0448">
        <w:rPr>
          <w:rFonts w:ascii="Times New Roman" w:hAnsi="Times New Roman" w:cs="Times New Roman"/>
        </w:rPr>
        <w:t xml:space="preserve">, Least Concern) (Colston </w:t>
      </w:r>
      <w:r w:rsidRPr="009B0448">
        <w:rPr>
          <w:rFonts w:ascii="Times New Roman" w:hAnsi="Times New Roman" w:cs="Times New Roman"/>
          <w:i/>
        </w:rPr>
        <w:t>et al.</w:t>
      </w:r>
      <w:r w:rsidRPr="009B0448">
        <w:rPr>
          <w:rFonts w:ascii="Times New Roman" w:hAnsi="Times New Roman" w:cs="Times New Roman"/>
        </w:rPr>
        <w:t>, 1986; Gatter, 1997). The presence of the rare yellow-headed rock fowl (</w:t>
      </w:r>
      <w:r w:rsidRPr="009B0448">
        <w:rPr>
          <w:rFonts w:ascii="Times New Roman" w:hAnsi="Times New Roman" w:cs="Times New Roman"/>
          <w:i/>
        </w:rPr>
        <w:t>Picathartes gymnocephalus</w:t>
      </w:r>
      <w:r w:rsidRPr="009B0448">
        <w:rPr>
          <w:rFonts w:ascii="Times New Roman" w:hAnsi="Times New Roman" w:cs="Times New Roman"/>
        </w:rPr>
        <w:t xml:space="preserve">, Vulnerable) has also been confirmed in the Loma Mountains (Thompson, 1993). The ecoregion is also of importance for endemic amphibians. More than 10 species are believed to be strictly endemic (WWF </w:t>
      </w:r>
      <w:r w:rsidRPr="009B0448">
        <w:rPr>
          <w:rFonts w:ascii="Times New Roman" w:hAnsi="Times New Roman" w:cs="Times New Roman"/>
          <w:i/>
        </w:rPr>
        <w:t>et al</w:t>
      </w:r>
      <w:r w:rsidRPr="009B0448">
        <w:rPr>
          <w:rFonts w:ascii="Times New Roman" w:hAnsi="Times New Roman" w:cs="Times New Roman"/>
        </w:rPr>
        <w:t xml:space="preserve">., 1994), including </w:t>
      </w:r>
      <w:r w:rsidRPr="009B0448">
        <w:rPr>
          <w:rFonts w:ascii="Times New Roman" w:hAnsi="Times New Roman" w:cs="Times New Roman"/>
          <w:i/>
        </w:rPr>
        <w:t>Nimbaphrynoides occidentalis</w:t>
      </w:r>
      <w:r w:rsidRPr="009B0448">
        <w:rPr>
          <w:rFonts w:ascii="Times New Roman" w:hAnsi="Times New Roman" w:cs="Times New Roman"/>
        </w:rPr>
        <w:t xml:space="preserve"> (Critically Endangered), an endemic toad occurring in savannas on Mount Nimba (Curry-Lindahl, 1966). Several new species of insects in the family Coleoptera have been reported for both the Loma and the Nimba Mountains (Villiers, 1965). For the Loma Mountains, these include </w:t>
      </w:r>
      <w:r w:rsidRPr="009B0448">
        <w:rPr>
          <w:rFonts w:ascii="Times New Roman" w:hAnsi="Times New Roman" w:cs="Times New Roman"/>
          <w:i/>
        </w:rPr>
        <w:t>Promecolanguria lomensis</w:t>
      </w:r>
      <w:r w:rsidRPr="009B0448">
        <w:rPr>
          <w:rFonts w:ascii="Times New Roman" w:hAnsi="Times New Roman" w:cs="Times New Roman"/>
        </w:rPr>
        <w:t xml:space="preserve">, </w:t>
      </w:r>
      <w:r w:rsidRPr="009B0448">
        <w:rPr>
          <w:rFonts w:ascii="Times New Roman" w:hAnsi="Times New Roman" w:cs="Times New Roman"/>
          <w:i/>
        </w:rPr>
        <w:t>Barbaropus bintumanensis</w:t>
      </w:r>
      <w:r w:rsidRPr="009B0448">
        <w:rPr>
          <w:rFonts w:ascii="Times New Roman" w:hAnsi="Times New Roman" w:cs="Times New Roman"/>
        </w:rPr>
        <w:t xml:space="preserve"> and </w:t>
      </w:r>
      <w:r w:rsidRPr="009B0448">
        <w:rPr>
          <w:rFonts w:ascii="Times New Roman" w:hAnsi="Times New Roman" w:cs="Times New Roman"/>
          <w:i/>
        </w:rPr>
        <w:t>Barbaropus explanatus</w:t>
      </w:r>
      <w:r w:rsidRPr="009B0448">
        <w:rPr>
          <w:rFonts w:ascii="Times New Roman" w:hAnsi="Times New Roman" w:cs="Times New Roman"/>
        </w:rPr>
        <w:t xml:space="preserve">. The species recorded on Mount Nimba include </w:t>
      </w:r>
      <w:r w:rsidRPr="009B0448">
        <w:rPr>
          <w:rFonts w:ascii="Times New Roman" w:hAnsi="Times New Roman" w:cs="Times New Roman"/>
          <w:i/>
        </w:rPr>
        <w:t>Promecolanguria dimidiata</w:t>
      </w:r>
      <w:r w:rsidRPr="009B0448">
        <w:rPr>
          <w:rFonts w:ascii="Times New Roman" w:hAnsi="Times New Roman" w:cs="Times New Roman"/>
        </w:rPr>
        <w:t xml:space="preserve">, </w:t>
      </w:r>
      <w:r w:rsidRPr="009B0448">
        <w:rPr>
          <w:rFonts w:ascii="Times New Roman" w:hAnsi="Times New Roman" w:cs="Times New Roman"/>
          <w:i/>
        </w:rPr>
        <w:t>Promecolanguria pseudosulcicollis</w:t>
      </w:r>
      <w:r w:rsidRPr="009B0448">
        <w:rPr>
          <w:rFonts w:ascii="Times New Roman" w:hAnsi="Times New Roman" w:cs="Times New Roman"/>
        </w:rPr>
        <w:t xml:space="preserve">, </w:t>
      </w:r>
      <w:r w:rsidRPr="009B0448">
        <w:rPr>
          <w:rFonts w:ascii="Times New Roman" w:hAnsi="Times New Roman" w:cs="Times New Roman"/>
          <w:i/>
        </w:rPr>
        <w:t>Promecolanguria mimbana</w:t>
      </w:r>
      <w:r w:rsidRPr="009B0448">
        <w:rPr>
          <w:rFonts w:ascii="Times New Roman" w:hAnsi="Times New Roman" w:cs="Times New Roman"/>
        </w:rPr>
        <w:t xml:space="preserve">, </w:t>
      </w:r>
      <w:r w:rsidRPr="009B0448">
        <w:rPr>
          <w:rFonts w:ascii="Times New Roman" w:hAnsi="Times New Roman" w:cs="Times New Roman"/>
          <w:i/>
        </w:rPr>
        <w:t>Promecolanguria armata</w:t>
      </w:r>
      <w:r w:rsidRPr="009B0448">
        <w:rPr>
          <w:rFonts w:ascii="Times New Roman" w:hAnsi="Times New Roman" w:cs="Times New Roman"/>
        </w:rPr>
        <w:t xml:space="preserve"> and </w:t>
      </w:r>
      <w:r w:rsidRPr="009B0448">
        <w:rPr>
          <w:rFonts w:ascii="Times New Roman" w:hAnsi="Times New Roman" w:cs="Times New Roman"/>
          <w:i/>
        </w:rPr>
        <w:t>Barbaropus nigritus</w:t>
      </w:r>
      <w:r w:rsidRPr="009B0448">
        <w:rPr>
          <w:rFonts w:ascii="Times New Roman" w:hAnsi="Times New Roman" w:cs="Times New Roman"/>
        </w:rPr>
        <w:t>.</w:t>
      </w:r>
    </w:p>
    <w:p w14:paraId="5718035D" w14:textId="77777777" w:rsidR="009B0448" w:rsidRPr="009B0448" w:rsidRDefault="009B0448" w:rsidP="009B0448">
      <w:pPr>
        <w:spacing w:line="276" w:lineRule="auto"/>
        <w:jc w:val="both"/>
        <w:rPr>
          <w:rFonts w:ascii="Times New Roman" w:hAnsi="Times New Roman" w:cs="Times New Roman"/>
        </w:rPr>
      </w:pPr>
    </w:p>
    <w:p w14:paraId="4F45F6C4" w14:textId="33E75FE4"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w:t>
      </w:r>
      <w:r w:rsidRPr="009B0448">
        <w:rPr>
          <w:rFonts w:ascii="Times New Roman" w:hAnsi="Times New Roman" w:cs="Times New Roman"/>
        </w:rPr>
        <w:t xml:space="preserve"> The Upper Guinea Forest receives less annual rainfall and has higher rainfall seasonality than pan-tropical rainforests, which are characterized by annual rainfall greater than 1,500 millimetres with little-to-no dry season (Peel </w:t>
      </w:r>
      <w:r w:rsidRPr="009B0448">
        <w:rPr>
          <w:rFonts w:ascii="Times New Roman" w:hAnsi="Times New Roman" w:cs="Times New Roman"/>
          <w:i/>
        </w:rPr>
        <w:t>et al.</w:t>
      </w:r>
      <w:r w:rsidRPr="009B0448">
        <w:rPr>
          <w:rFonts w:ascii="Times New Roman" w:hAnsi="Times New Roman" w:cs="Times New Roman"/>
        </w:rPr>
        <w:t xml:space="preserve">, 2007; Malhi </w:t>
      </w:r>
      <w:r w:rsidRPr="009B0448">
        <w:rPr>
          <w:rFonts w:ascii="Times New Roman" w:hAnsi="Times New Roman" w:cs="Times New Roman"/>
          <w:i/>
        </w:rPr>
        <w:t>et al.</w:t>
      </w:r>
      <w:r w:rsidRPr="009B0448">
        <w:rPr>
          <w:rFonts w:ascii="Times New Roman" w:hAnsi="Times New Roman" w:cs="Times New Roman"/>
        </w:rPr>
        <w:t xml:space="preserve">, 2009). Since the 1970s, a drying trend has been observed, and these changes have been primarily associated with shifts in a natural low-frequency mode (65–80 years) of sea surface temperature (Hulme </w:t>
      </w:r>
      <w:r w:rsidRPr="009B0448">
        <w:rPr>
          <w:rFonts w:ascii="Times New Roman" w:hAnsi="Times New Roman" w:cs="Times New Roman"/>
          <w:i/>
        </w:rPr>
        <w:t>et al.</w:t>
      </w:r>
      <w:r w:rsidRPr="009B0448">
        <w:rPr>
          <w:rFonts w:ascii="Times New Roman" w:hAnsi="Times New Roman" w:cs="Times New Roman"/>
        </w:rPr>
        <w:t xml:space="preserve">, 2001). Rapid population growth has exacerbated regional development pressures, including timber harvesting and demand for agricultural land (Knauer </w:t>
      </w:r>
      <w:r w:rsidRPr="009B0448">
        <w:rPr>
          <w:rFonts w:ascii="Times New Roman" w:hAnsi="Times New Roman" w:cs="Times New Roman"/>
          <w:i/>
        </w:rPr>
        <w:t>et al.</w:t>
      </w:r>
      <w:r w:rsidRPr="009B0448">
        <w:rPr>
          <w:rFonts w:ascii="Times New Roman" w:hAnsi="Times New Roman" w:cs="Times New Roman"/>
        </w:rPr>
        <w:t xml:space="preserve">, 2014). Vegetation analysis indicated that declines in woody coverage were the predominant trends across the Upper Guinea Forest region of West Africa, even in the drier Guinean Forest Savanna Mosaic and West Sudanian Savanna ecoregions that were also characterized by widespread trends of increasing greenness as measured by environmental vegetation index (Liu </w:t>
      </w:r>
      <w:r w:rsidRPr="009B0448">
        <w:rPr>
          <w:rFonts w:ascii="Times New Roman" w:hAnsi="Times New Roman" w:cs="Times New Roman"/>
          <w:i/>
        </w:rPr>
        <w:t>et al.</w:t>
      </w:r>
      <w:r w:rsidRPr="009B0448">
        <w:rPr>
          <w:rFonts w:ascii="Times New Roman" w:hAnsi="Times New Roman" w:cs="Times New Roman"/>
        </w:rPr>
        <w:t xml:space="preserve">, 2017). Such a decline in woody vegetation was also captured between 1990 and 2000 along the West African forest-savanna transition zone (Bodart </w:t>
      </w:r>
      <w:r w:rsidRPr="009B0448">
        <w:rPr>
          <w:rFonts w:ascii="Times New Roman" w:hAnsi="Times New Roman" w:cs="Times New Roman"/>
          <w:i/>
        </w:rPr>
        <w:t>et al.</w:t>
      </w:r>
      <w:r w:rsidRPr="009B0448">
        <w:rPr>
          <w:rFonts w:ascii="Times New Roman" w:hAnsi="Times New Roman" w:cs="Times New Roman"/>
        </w:rPr>
        <w:t xml:space="preserve">, 2013). Recent landscape-level studies of land cover and </w:t>
      </w:r>
      <w:r w:rsidR="00917FB2">
        <w:rPr>
          <w:rFonts w:ascii="Times New Roman" w:hAnsi="Times New Roman" w:cs="Times New Roman"/>
        </w:rPr>
        <w:t>land-use</w:t>
      </w:r>
      <w:r w:rsidRPr="009B0448">
        <w:rPr>
          <w:rFonts w:ascii="Times New Roman" w:hAnsi="Times New Roman" w:cs="Times New Roman"/>
        </w:rPr>
        <w:t xml:space="preserve"> change in the forested zone of southwestern Ghana have also documented declining trends in woody vegetation cover, with the largest decreases occurring near the forest-savanna boundary (Alo </w:t>
      </w:r>
      <w:r w:rsidRPr="009B0448">
        <w:rPr>
          <w:rFonts w:ascii="Times New Roman" w:hAnsi="Times New Roman" w:cs="Times New Roman"/>
          <w:i/>
        </w:rPr>
        <w:t>et al.</w:t>
      </w:r>
      <w:r w:rsidRPr="009B0448">
        <w:rPr>
          <w:rFonts w:ascii="Times New Roman" w:hAnsi="Times New Roman" w:cs="Times New Roman"/>
        </w:rPr>
        <w:t xml:space="preserve">, 2008; Dwomoh </w:t>
      </w:r>
      <w:r w:rsidRPr="009B0448">
        <w:rPr>
          <w:rFonts w:ascii="Times New Roman" w:hAnsi="Times New Roman" w:cs="Times New Roman"/>
          <w:i/>
        </w:rPr>
        <w:t>et al.</w:t>
      </w:r>
      <w:r w:rsidRPr="009B0448">
        <w:rPr>
          <w:rFonts w:ascii="Times New Roman" w:hAnsi="Times New Roman" w:cs="Times New Roman"/>
        </w:rPr>
        <w:t xml:space="preserve">, 2017). Despite the widespread decline of woody vegetation in many of the drier parts of West Africa, remotely-sensed greenness metrics also indicated a prevalence of greening, consistent with re-greening trends found in many other studies of West Africa (Herrmann </w:t>
      </w:r>
      <w:r w:rsidRPr="009B0448">
        <w:rPr>
          <w:rFonts w:ascii="Times New Roman" w:hAnsi="Times New Roman" w:cs="Times New Roman"/>
          <w:i/>
        </w:rPr>
        <w:t>et al.</w:t>
      </w:r>
      <w:r w:rsidRPr="009B0448">
        <w:rPr>
          <w:rFonts w:ascii="Times New Roman" w:hAnsi="Times New Roman" w:cs="Times New Roman"/>
        </w:rPr>
        <w:t xml:space="preserve">, 2005; Brandt </w:t>
      </w:r>
      <w:r w:rsidRPr="009B0448">
        <w:rPr>
          <w:rFonts w:ascii="Times New Roman" w:hAnsi="Times New Roman" w:cs="Times New Roman"/>
          <w:i/>
        </w:rPr>
        <w:t>et al.</w:t>
      </w:r>
      <w:r w:rsidRPr="009B0448">
        <w:rPr>
          <w:rFonts w:ascii="Times New Roman" w:hAnsi="Times New Roman" w:cs="Times New Roman"/>
        </w:rPr>
        <w:t xml:space="preserve">, 2015; Kaptué </w:t>
      </w:r>
      <w:r w:rsidRPr="009B0448">
        <w:rPr>
          <w:rFonts w:ascii="Times New Roman" w:hAnsi="Times New Roman" w:cs="Times New Roman"/>
          <w:i/>
        </w:rPr>
        <w:t>et al.</w:t>
      </w:r>
      <w:r w:rsidRPr="009B0448">
        <w:rPr>
          <w:rFonts w:ascii="Times New Roman" w:hAnsi="Times New Roman" w:cs="Times New Roman"/>
        </w:rPr>
        <w:t>, 2015).</w:t>
      </w:r>
    </w:p>
    <w:p w14:paraId="4A18959E"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05" w:name="_Toc519499901"/>
      <w:r w:rsidRPr="009B0448">
        <w:rPr>
          <w:rFonts w:cs="Times New Roman"/>
          <w:b w:val="0"/>
          <w:sz w:val="22"/>
          <w:szCs w:val="22"/>
        </w:rPr>
        <w:t>Savannah and grassland</w:t>
      </w:r>
      <w:bookmarkEnd w:id="205"/>
    </w:p>
    <w:p w14:paraId="2C30B520"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 savannahs and grasslands of West Africa are rich in biodiversity. The West African savannah occupies about 60% of the surface of tropical Africa, with its appearance and degradation status largely determined by human activities (Laube, 2007). The grass component of the northern dunes is dominated by </w:t>
      </w:r>
      <w:r w:rsidRPr="009B0448">
        <w:rPr>
          <w:rFonts w:ascii="Times New Roman" w:hAnsi="Times New Roman" w:cs="Times New Roman"/>
          <w:i/>
        </w:rPr>
        <w:t>Cenchrus biflorus</w:t>
      </w:r>
      <w:r w:rsidRPr="009B0448">
        <w:rPr>
          <w:rFonts w:ascii="Times New Roman" w:hAnsi="Times New Roman" w:cs="Times New Roman"/>
        </w:rPr>
        <w:t xml:space="preserve">, </w:t>
      </w:r>
      <w:r w:rsidRPr="009B0448">
        <w:rPr>
          <w:rFonts w:ascii="Times New Roman" w:hAnsi="Times New Roman" w:cs="Times New Roman"/>
          <w:i/>
        </w:rPr>
        <w:t>Aristida mutabilis</w:t>
      </w:r>
      <w:r w:rsidRPr="009B0448">
        <w:rPr>
          <w:rFonts w:ascii="Times New Roman" w:hAnsi="Times New Roman" w:cs="Times New Roman"/>
        </w:rPr>
        <w:t xml:space="preserve"> and </w:t>
      </w:r>
      <w:r w:rsidRPr="009B0448">
        <w:rPr>
          <w:rFonts w:ascii="Times New Roman" w:hAnsi="Times New Roman" w:cs="Times New Roman"/>
          <w:i/>
        </w:rPr>
        <w:t>Schoenfeldia gracilis</w:t>
      </w:r>
      <w:r w:rsidRPr="009B0448">
        <w:rPr>
          <w:rFonts w:ascii="Times New Roman" w:hAnsi="Times New Roman" w:cs="Times New Roman"/>
        </w:rPr>
        <w:t xml:space="preserve">. Grasslands like </w:t>
      </w:r>
      <w:r w:rsidRPr="009B0448">
        <w:rPr>
          <w:rFonts w:ascii="Times New Roman" w:hAnsi="Times New Roman" w:cs="Times New Roman"/>
          <w:i/>
        </w:rPr>
        <w:t>Echinochloa</w:t>
      </w:r>
      <w:r w:rsidRPr="009B0448">
        <w:rPr>
          <w:rFonts w:ascii="Times New Roman" w:hAnsi="Times New Roman" w:cs="Times New Roman"/>
        </w:rPr>
        <w:t xml:space="preserve"> </w:t>
      </w:r>
      <w:r w:rsidRPr="009B0448">
        <w:rPr>
          <w:rFonts w:ascii="Times New Roman" w:hAnsi="Times New Roman" w:cs="Times New Roman"/>
          <w:i/>
        </w:rPr>
        <w:t>stagnina</w:t>
      </w:r>
      <w:r w:rsidRPr="009B0448">
        <w:rPr>
          <w:rFonts w:ascii="Times New Roman" w:hAnsi="Times New Roman" w:cs="Times New Roman"/>
        </w:rPr>
        <w:t xml:space="preserve">, </w:t>
      </w:r>
      <w:r w:rsidRPr="009B0448">
        <w:rPr>
          <w:rFonts w:ascii="Times New Roman" w:hAnsi="Times New Roman" w:cs="Times New Roman"/>
          <w:i/>
        </w:rPr>
        <w:t>Oryza barthii</w:t>
      </w:r>
      <w:r w:rsidRPr="009B0448">
        <w:rPr>
          <w:rFonts w:ascii="Times New Roman" w:hAnsi="Times New Roman" w:cs="Times New Roman"/>
        </w:rPr>
        <w:t xml:space="preserve"> (Least Concern) and </w:t>
      </w:r>
      <w:r w:rsidRPr="009B0448">
        <w:rPr>
          <w:rFonts w:ascii="Times New Roman" w:hAnsi="Times New Roman" w:cs="Times New Roman"/>
          <w:i/>
        </w:rPr>
        <w:t>Vossia cuspidata</w:t>
      </w:r>
      <w:r w:rsidRPr="009B0448">
        <w:rPr>
          <w:rFonts w:ascii="Times New Roman" w:hAnsi="Times New Roman" w:cs="Times New Roman"/>
        </w:rPr>
        <w:t xml:space="preserve"> provide excellent grazing when the floods have receded. These areas were historically rich in wildlife including megafauna such as elephant, giraffes, lions, cheetahs and many ungulates. However, today the faunal diversity of the savannahs and grasslands are restricted to isolated pockets of protected areas that are facing large pressures from encroaching human populations. </w:t>
      </w:r>
    </w:p>
    <w:p w14:paraId="63A16796" w14:textId="77777777" w:rsidR="009B0448" w:rsidRPr="009B0448" w:rsidRDefault="009B0448" w:rsidP="009B0448">
      <w:pPr>
        <w:spacing w:line="276" w:lineRule="auto"/>
        <w:jc w:val="both"/>
        <w:rPr>
          <w:rFonts w:ascii="Times New Roman" w:hAnsi="Times New Roman" w:cs="Times New Roman"/>
        </w:rPr>
      </w:pPr>
    </w:p>
    <w:p w14:paraId="420FD2F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w:t>
      </w:r>
      <w:r w:rsidRPr="009B0448">
        <w:rPr>
          <w:rFonts w:ascii="Times New Roman" w:hAnsi="Times New Roman" w:cs="Times New Roman"/>
        </w:rPr>
        <w:t xml:space="preserve"> The Sahelian grazing lands have suffered much damage in the past 50 years, through an increasing human population, excessive advance of cropping into very marginal areas and serious deforestation, mainly for firewood, all exacerbated by recurrent droughts. </w:t>
      </w:r>
      <w:r w:rsidRPr="009B0448">
        <w:rPr>
          <w:rFonts w:ascii="Times New Roman" w:hAnsi="Times New Roman" w:cs="Times New Roman"/>
          <w:i/>
        </w:rPr>
        <w:t>Andropogon gayanus</w:t>
      </w:r>
      <w:r w:rsidRPr="009B0448">
        <w:rPr>
          <w:rFonts w:ascii="Times New Roman" w:hAnsi="Times New Roman" w:cs="Times New Roman"/>
        </w:rPr>
        <w:t xml:space="preserve"> is becoming scarce because of clearing and in cultivated areas has been replaced by vast areas of poor, unpalatable grasses. The 2017 IUCN Red List Animals listed Scimitar-horned Oryx (</w:t>
      </w:r>
      <w:r w:rsidRPr="009B0448">
        <w:rPr>
          <w:rFonts w:ascii="Times New Roman" w:hAnsi="Times New Roman" w:cs="Times New Roman"/>
          <w:i/>
        </w:rPr>
        <w:t>Oryx dammah</w:t>
      </w:r>
      <w:r w:rsidRPr="009B0448">
        <w:rPr>
          <w:rFonts w:ascii="Times New Roman" w:hAnsi="Times New Roman" w:cs="Times New Roman"/>
        </w:rPr>
        <w:t xml:space="preserve">, Extinct in the Wild) as extinct in Burkina Faso, Mali, and Niger. The 2004 IUCN Red List Animals listed </w:t>
      </w:r>
      <w:r w:rsidRPr="009B0448">
        <w:rPr>
          <w:rFonts w:ascii="Times New Roman" w:hAnsi="Times New Roman" w:cs="Times New Roman"/>
          <w:i/>
        </w:rPr>
        <w:t>Gazelle dorcas</w:t>
      </w:r>
      <w:r w:rsidRPr="009B0448">
        <w:rPr>
          <w:rFonts w:ascii="Times New Roman" w:hAnsi="Times New Roman" w:cs="Times New Roman"/>
        </w:rPr>
        <w:t xml:space="preserve"> in Mauritania as Endangered, Mali as Probably Endangered, Niger Probably Vulnerable or Endangered, Senegal as Extinction in the wild Burkina Faso as Probably Endangered and Nigeria as Possibly Extinct.</w:t>
      </w:r>
    </w:p>
    <w:p w14:paraId="741D0FAA"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06" w:name="_Toc519499902"/>
      <w:r w:rsidRPr="009B0448">
        <w:rPr>
          <w:rFonts w:cs="Times New Roman"/>
          <w:b w:val="0"/>
          <w:sz w:val="22"/>
          <w:szCs w:val="22"/>
        </w:rPr>
        <w:t>Dryland and desert</w:t>
      </w:r>
      <w:bookmarkEnd w:id="206"/>
      <w:r w:rsidRPr="009B0448">
        <w:rPr>
          <w:rFonts w:cs="Times New Roman"/>
          <w:b w:val="0"/>
          <w:sz w:val="22"/>
          <w:szCs w:val="22"/>
        </w:rPr>
        <w:t xml:space="preserve"> </w:t>
      </w:r>
    </w:p>
    <w:p w14:paraId="19EEE6F8" w14:textId="77777777" w:rsidR="009B0448" w:rsidRPr="009B0448" w:rsidRDefault="009B0448" w:rsidP="009B0448">
      <w:pPr>
        <w:spacing w:line="276" w:lineRule="auto"/>
        <w:jc w:val="both"/>
        <w:rPr>
          <w:rFonts w:ascii="Times New Roman" w:hAnsi="Times New Roman" w:cs="Times New Roman"/>
          <w:u w:val="single"/>
        </w:rPr>
      </w:pPr>
      <w:r w:rsidRPr="009B0448">
        <w:rPr>
          <w:rFonts w:ascii="Times New Roman" w:hAnsi="Times New Roman" w:cs="Times New Roman"/>
          <w:u w:val="single"/>
        </w:rPr>
        <w:t>Status and trends:</w:t>
      </w:r>
      <w:r w:rsidRPr="009B0448">
        <w:rPr>
          <w:rFonts w:ascii="Times New Roman" w:hAnsi="Times New Roman" w:cs="Times New Roman"/>
        </w:rPr>
        <w:t xml:space="preserve"> Western African countries with substantial covers of aridity zones include; Chad, Mali, Mauritania and Niger. Countries with some semi-arid and dry sub-humid arid cover include Benin, Gambia, Ghana, Nigeria and Senegal. In West Africa only Gambia had a net forest cover gain of 1.0% during the decade. (Bellefontaine </w:t>
      </w:r>
      <w:r w:rsidRPr="009B0448">
        <w:rPr>
          <w:rFonts w:ascii="Times New Roman" w:hAnsi="Times New Roman" w:cs="Times New Roman"/>
          <w:i/>
        </w:rPr>
        <w:t>et al.</w:t>
      </w:r>
      <w:r w:rsidRPr="009B0448">
        <w:rPr>
          <w:rFonts w:ascii="Times New Roman" w:hAnsi="Times New Roman" w:cs="Times New Roman"/>
        </w:rPr>
        <w:t xml:space="preserve">, 2000; FAO, 2001b). Rainfall decreases from south to north, so the vegetation belts run east-west. The average Sahelian rainfall is of 250–500 millimetres with dry season of nine to eleven months. According to Wickens (1997), the 150 millimetres isohyet corresponds to the southern limit of the Saharan species </w:t>
      </w:r>
      <w:r w:rsidRPr="009B0448">
        <w:rPr>
          <w:rFonts w:ascii="Times New Roman" w:hAnsi="Times New Roman" w:cs="Times New Roman"/>
          <w:i/>
        </w:rPr>
        <w:t>Cornulaca monacantha, Panicum turgidum</w:t>
      </w:r>
      <w:r w:rsidRPr="009B0448">
        <w:rPr>
          <w:rFonts w:ascii="Times New Roman" w:hAnsi="Times New Roman" w:cs="Times New Roman"/>
        </w:rPr>
        <w:t xml:space="preserve"> and </w:t>
      </w:r>
      <w:r w:rsidRPr="009B0448">
        <w:rPr>
          <w:rFonts w:ascii="Times New Roman" w:hAnsi="Times New Roman" w:cs="Times New Roman"/>
          <w:i/>
        </w:rPr>
        <w:t>Stipagrostis pungens</w:t>
      </w:r>
      <w:r w:rsidRPr="009B0448">
        <w:rPr>
          <w:rFonts w:ascii="Times New Roman" w:hAnsi="Times New Roman" w:cs="Times New Roman"/>
        </w:rPr>
        <w:t xml:space="preserve"> and to the northern limits of such Sahelian shrubs as </w:t>
      </w:r>
      <w:r w:rsidRPr="009B0448">
        <w:rPr>
          <w:rFonts w:ascii="Times New Roman" w:hAnsi="Times New Roman" w:cs="Times New Roman"/>
          <w:i/>
        </w:rPr>
        <w:t>Boscia senegalensis</w:t>
      </w:r>
      <w:r w:rsidRPr="009B0448">
        <w:rPr>
          <w:rFonts w:ascii="Times New Roman" w:hAnsi="Times New Roman" w:cs="Times New Roman"/>
        </w:rPr>
        <w:t xml:space="preserve"> and </w:t>
      </w:r>
      <w:r w:rsidRPr="009B0448">
        <w:rPr>
          <w:rFonts w:ascii="Times New Roman" w:hAnsi="Times New Roman" w:cs="Times New Roman"/>
          <w:i/>
        </w:rPr>
        <w:t xml:space="preserve">Commiphora africana </w:t>
      </w:r>
      <w:r w:rsidRPr="009B0448">
        <w:rPr>
          <w:rFonts w:ascii="Times New Roman" w:hAnsi="Times New Roman" w:cs="Times New Roman"/>
        </w:rPr>
        <w:t xml:space="preserve">and the grass </w:t>
      </w:r>
      <w:r w:rsidRPr="009B0448">
        <w:rPr>
          <w:rFonts w:ascii="Times New Roman" w:hAnsi="Times New Roman" w:cs="Times New Roman"/>
          <w:i/>
        </w:rPr>
        <w:t>Cenchrus biflorus</w:t>
      </w:r>
      <w:r w:rsidRPr="009B0448">
        <w:rPr>
          <w:rFonts w:ascii="Times New Roman" w:hAnsi="Times New Roman" w:cs="Times New Roman"/>
        </w:rPr>
        <w:t xml:space="preserve"> in the northern Sahel. The Sahel’s southern limit adjoins the deciduous woodlands of the Sudanian domain at between 450 and 500 millimetres/year of precipitation. </w:t>
      </w:r>
      <w:r w:rsidRPr="009B0448">
        <w:rPr>
          <w:rFonts w:ascii="Times New Roman" w:hAnsi="Times New Roman" w:cs="Times New Roman"/>
          <w:i/>
        </w:rPr>
        <w:t>Acacia</w:t>
      </w:r>
      <w:r w:rsidRPr="009B0448">
        <w:rPr>
          <w:rFonts w:ascii="Times New Roman" w:hAnsi="Times New Roman" w:cs="Times New Roman"/>
        </w:rPr>
        <w:t xml:space="preserve"> spp. dominate the thin scrub along with </w:t>
      </w:r>
      <w:r w:rsidRPr="009B0448">
        <w:rPr>
          <w:rFonts w:ascii="Times New Roman" w:hAnsi="Times New Roman" w:cs="Times New Roman"/>
          <w:i/>
        </w:rPr>
        <w:t>Balanites aegyptiaca</w:t>
      </w:r>
      <w:r w:rsidRPr="009B0448">
        <w:rPr>
          <w:rFonts w:ascii="Times New Roman" w:hAnsi="Times New Roman" w:cs="Times New Roman"/>
        </w:rPr>
        <w:t xml:space="preserve">; laterite outcrops and cuirasses are colonized by </w:t>
      </w:r>
      <w:r w:rsidRPr="009B0448">
        <w:rPr>
          <w:rFonts w:ascii="Times New Roman" w:hAnsi="Times New Roman" w:cs="Times New Roman"/>
          <w:i/>
        </w:rPr>
        <w:t>Combretum nigricans</w:t>
      </w:r>
      <w:r w:rsidRPr="009B0448">
        <w:rPr>
          <w:rFonts w:ascii="Times New Roman" w:hAnsi="Times New Roman" w:cs="Times New Roman"/>
        </w:rPr>
        <w:t xml:space="preserve">, </w:t>
      </w:r>
      <w:r w:rsidRPr="009B0448">
        <w:rPr>
          <w:rFonts w:ascii="Times New Roman" w:hAnsi="Times New Roman" w:cs="Times New Roman"/>
          <w:i/>
        </w:rPr>
        <w:t>Guiera senegalensis</w:t>
      </w:r>
      <w:r w:rsidRPr="009B0448">
        <w:rPr>
          <w:rFonts w:ascii="Times New Roman" w:hAnsi="Times New Roman" w:cs="Times New Roman"/>
        </w:rPr>
        <w:t xml:space="preserve">, </w:t>
      </w:r>
      <w:r w:rsidRPr="009B0448">
        <w:rPr>
          <w:rFonts w:ascii="Times New Roman" w:hAnsi="Times New Roman" w:cs="Times New Roman"/>
          <w:i/>
        </w:rPr>
        <w:t>Lannea acida</w:t>
      </w:r>
      <w:r w:rsidRPr="009B0448">
        <w:rPr>
          <w:rFonts w:ascii="Times New Roman" w:hAnsi="Times New Roman" w:cs="Times New Roman"/>
        </w:rPr>
        <w:t xml:space="preserve"> and </w:t>
      </w:r>
      <w:r w:rsidRPr="009B0448">
        <w:rPr>
          <w:rFonts w:ascii="Times New Roman" w:hAnsi="Times New Roman" w:cs="Times New Roman"/>
          <w:i/>
        </w:rPr>
        <w:t>Sclerocarya birrea</w:t>
      </w:r>
      <w:r w:rsidRPr="009B0448">
        <w:rPr>
          <w:rFonts w:ascii="Times New Roman" w:hAnsi="Times New Roman" w:cs="Times New Roman"/>
        </w:rPr>
        <w:t xml:space="preserve">. The Saharan cheetah (northwest African cheetah) lives in Niger, Mali, Benin, and Burkina Faso. There are also small desert crocodiles at Mauritania. </w:t>
      </w:r>
      <w:r w:rsidRPr="009B0448">
        <w:rPr>
          <w:rFonts w:ascii="Times New Roman" w:hAnsi="Times New Roman" w:cs="Times New Roman"/>
          <w:i/>
        </w:rPr>
        <w:t>Oryx dammah</w:t>
      </w:r>
      <w:r w:rsidRPr="009B0448">
        <w:rPr>
          <w:rFonts w:ascii="Times New Roman" w:hAnsi="Times New Roman" w:cs="Times New Roman"/>
        </w:rPr>
        <w:t xml:space="preserve"> (Extinct in the Wild) are constituted by the Sahelian populations found in Niger and in Mali (Grettenberger </w:t>
      </w:r>
      <w:r w:rsidRPr="009B0448">
        <w:rPr>
          <w:rFonts w:ascii="Times New Roman" w:hAnsi="Times New Roman" w:cs="Times New Roman"/>
          <w:i/>
        </w:rPr>
        <w:t>et al.</w:t>
      </w:r>
      <w:r w:rsidRPr="009B0448">
        <w:rPr>
          <w:rFonts w:ascii="Times New Roman" w:hAnsi="Times New Roman" w:cs="Times New Roman"/>
        </w:rPr>
        <w:t xml:space="preserve">, 1990). During the 1970’s, the Oryx seems to have been reduced to small groups (Dragesco-Joffé, 1993) living on the desert edges of Niger between Agadez and the Termit (Grettenberger </w:t>
      </w:r>
      <w:r w:rsidRPr="009B0448">
        <w:rPr>
          <w:rFonts w:ascii="Times New Roman" w:hAnsi="Times New Roman" w:cs="Times New Roman"/>
          <w:i/>
        </w:rPr>
        <w:t>et al.</w:t>
      </w:r>
      <w:r w:rsidRPr="009B0448">
        <w:rPr>
          <w:rFonts w:ascii="Times New Roman" w:hAnsi="Times New Roman" w:cs="Times New Roman"/>
        </w:rPr>
        <w:t xml:space="preserve">, 1990). The Scimitar-horned Oryx is extinct in the wild and has been reintroduced in large fences within a protected area in Senegal (CEPF, 2015). The species was present in the area from the Louga region in the west to the Bakel region in the east (White, 1983; Sournia </w:t>
      </w:r>
      <w:r w:rsidRPr="009B0448">
        <w:rPr>
          <w:rFonts w:ascii="Times New Roman" w:hAnsi="Times New Roman" w:cs="Times New Roman"/>
          <w:i/>
        </w:rPr>
        <w:t>et al.</w:t>
      </w:r>
      <w:r w:rsidRPr="009B0448">
        <w:rPr>
          <w:rFonts w:ascii="Times New Roman" w:hAnsi="Times New Roman" w:cs="Times New Roman"/>
        </w:rPr>
        <w:t xml:space="preserve">, 1990). The Scimitar horned Oryx is now in the south-Sahelian deciduous shrub zone in Burkina Faso (White, 1983) and in the south-Sahelian deciduous shrub belt in Nigeria (White, 1983; Anadu </w:t>
      </w:r>
      <w:r w:rsidRPr="009B0448">
        <w:rPr>
          <w:rFonts w:ascii="Times New Roman" w:hAnsi="Times New Roman" w:cs="Times New Roman"/>
          <w:i/>
        </w:rPr>
        <w:t>et al.</w:t>
      </w:r>
      <w:r w:rsidRPr="009B0448">
        <w:rPr>
          <w:rFonts w:ascii="Times New Roman" w:hAnsi="Times New Roman" w:cs="Times New Roman"/>
        </w:rPr>
        <w:t xml:space="preserve">, 1990). </w:t>
      </w:r>
    </w:p>
    <w:p w14:paraId="7D1F7575"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07" w:name="_Toc519499903"/>
      <w:r w:rsidRPr="009B0448">
        <w:rPr>
          <w:rFonts w:cs="Times New Roman"/>
          <w:b w:val="0"/>
          <w:sz w:val="22"/>
          <w:szCs w:val="22"/>
        </w:rPr>
        <w:t>Cultivated lands</w:t>
      </w:r>
      <w:bookmarkEnd w:id="207"/>
    </w:p>
    <w:p w14:paraId="3AEA00A4" w14:textId="4961DD2E"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color w:val="auto"/>
          <w:u w:val="single"/>
        </w:rPr>
        <w:t>Status and trends:</w:t>
      </w:r>
      <w:r w:rsidRPr="009B0448">
        <w:rPr>
          <w:rFonts w:ascii="Times New Roman" w:hAnsi="Times New Roman" w:cs="Times New Roman"/>
          <w:color w:val="auto"/>
        </w:rPr>
        <w:t xml:space="preserve"> West Africa is composed of an array of diverse ecosystems and an equally high number of food production systems (Cotillon, 2017). West African agriculture contains a rich variety of economically important resources. These resources include (i) cash crops like cotton, coffee, cacao, groundnut, palm, and cashew, millet, sorghum, maize, paddy rice, and (ii) animals like cows, sheep, pigs, and poultry. In West Africa, a total of 266 crop wild relatives have been identified and among the 20 of 266 appeared to be species demanding highest priority for conservation (Idohou </w:t>
      </w:r>
      <w:r w:rsidRPr="009B0448">
        <w:rPr>
          <w:rFonts w:ascii="Times New Roman" w:hAnsi="Times New Roman" w:cs="Times New Roman"/>
          <w:i/>
          <w:color w:val="auto"/>
        </w:rPr>
        <w:t>et al.</w:t>
      </w:r>
      <w:r w:rsidRPr="009B0448">
        <w:rPr>
          <w:rFonts w:ascii="Times New Roman" w:hAnsi="Times New Roman" w:cs="Times New Roman"/>
          <w:color w:val="auto"/>
        </w:rPr>
        <w:t>, 2013). The number of the income crops that have declined or disappeared in Western Africa is striking. Of the 530 known species of mammalian and avian breeds in North and</w:t>
      </w:r>
      <w:r w:rsidR="00C813C5">
        <w:rPr>
          <w:rFonts w:ascii="Times New Roman" w:hAnsi="Times New Roman" w:cs="Times New Roman"/>
          <w:color w:val="auto"/>
        </w:rPr>
        <w:t xml:space="preserve"> West Africa, 18 are categoris</w:t>
      </w:r>
      <w:r w:rsidRPr="009B0448">
        <w:rPr>
          <w:rFonts w:ascii="Times New Roman" w:hAnsi="Times New Roman" w:cs="Times New Roman"/>
          <w:color w:val="auto"/>
        </w:rPr>
        <w:t>ed as at risk. However, this is probably an underestimate of the actual situation, primarily due to a lack of information (FAO, 2007b; Figure 3.15 &amp; 3.16).</w:t>
      </w:r>
    </w:p>
    <w:p w14:paraId="3E276639" w14:textId="77777777" w:rsidR="009B0448" w:rsidRPr="009B0448" w:rsidRDefault="009B0448" w:rsidP="009B0448">
      <w:pPr>
        <w:spacing w:line="276" w:lineRule="auto"/>
        <w:jc w:val="both"/>
        <w:rPr>
          <w:rFonts w:ascii="Times New Roman" w:hAnsi="Times New Roman" w:cs="Times New Roman"/>
          <w:color w:val="auto"/>
        </w:rPr>
      </w:pPr>
    </w:p>
    <w:p w14:paraId="08897FF6" w14:textId="4D535442"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color w:val="auto"/>
        </w:rPr>
        <w:t>There have been three main causes of these major crop declines; pests and disease pressures (Chapter 4, section 4.2.1.3; Table 4.2), changes in market or consumption preferences, and least significant, fertility decline or land shortage (Goldman, 1995). The same problems also face livestock populations, particularly the indigenous Zebu cattle breeds in Nigeria</w:t>
      </w:r>
      <w:r w:rsidR="00DF623E">
        <w:rPr>
          <w:rFonts w:ascii="Times New Roman" w:hAnsi="Times New Roman" w:cs="Times New Roman"/>
          <w:color w:val="auto"/>
        </w:rPr>
        <w:t>,</w:t>
      </w:r>
      <w:r w:rsidRPr="009B0448">
        <w:rPr>
          <w:rFonts w:ascii="Times New Roman" w:hAnsi="Times New Roman" w:cs="Times New Roman"/>
          <w:color w:val="auto"/>
        </w:rPr>
        <w:t xml:space="preserve"> which are reported to have been badly affected by corridor disease (a tick-borne disease) during the last ten years (FAO, 2007b). Other driving forces of livestock diversity erosion include climate change, drought, quantitative and qualitative changes in demand for livestock products and services (FAO, 2007b). </w:t>
      </w:r>
    </w:p>
    <w:p w14:paraId="1DFEBF62" w14:textId="77777777" w:rsidR="009B0448" w:rsidRPr="009B0448" w:rsidRDefault="009B0448" w:rsidP="009B0448">
      <w:pPr>
        <w:spacing w:line="276" w:lineRule="auto"/>
        <w:jc w:val="both"/>
        <w:rPr>
          <w:rFonts w:ascii="Times New Roman" w:hAnsi="Times New Roman" w:cs="Times New Roman"/>
          <w:color w:val="auto"/>
        </w:rPr>
      </w:pPr>
    </w:p>
    <w:p w14:paraId="5100E339"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color w:val="auto"/>
        </w:rPr>
        <w:t xml:space="preserve">More than anywhere else, West Africa is a home to a diversity of agro-ecosystems (Figure 3.17). These ecosystems create a strong production base for a range of crops and encourage complementarity between major production areas. The forest areas with the sub-tropical climate are excellent for production of roots (cassava) and tubers (yams) making West Africa one of the world’s major repositories of these crops (Reynolds </w:t>
      </w:r>
      <w:r w:rsidRPr="009B0448">
        <w:rPr>
          <w:rFonts w:ascii="Times New Roman" w:hAnsi="Times New Roman" w:cs="Times New Roman"/>
          <w:i/>
          <w:color w:val="auto"/>
        </w:rPr>
        <w:t>et al.</w:t>
      </w:r>
      <w:r w:rsidRPr="009B0448">
        <w:rPr>
          <w:rFonts w:ascii="Times New Roman" w:hAnsi="Times New Roman" w:cs="Times New Roman"/>
          <w:color w:val="auto"/>
        </w:rPr>
        <w:t xml:space="preserve">, 2015). </w:t>
      </w:r>
    </w:p>
    <w:p w14:paraId="2A19ECA2" w14:textId="77777777" w:rsidR="009B0448" w:rsidRPr="009B0448" w:rsidRDefault="009B0448" w:rsidP="009B0448">
      <w:pPr>
        <w:spacing w:line="276" w:lineRule="auto"/>
        <w:jc w:val="both"/>
        <w:rPr>
          <w:rFonts w:ascii="Times New Roman" w:hAnsi="Times New Roman" w:cs="Times New Roman"/>
          <w:color w:val="auto"/>
        </w:rPr>
      </w:pPr>
    </w:p>
    <w:p w14:paraId="3F97BE0C" w14:textId="67AA4686"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noProof/>
          <w:lang w:eastAsia="en-GB"/>
        </w:rPr>
        <w:drawing>
          <wp:inline distT="0" distB="0" distL="0" distR="0" wp14:anchorId="21F5E84D" wp14:editId="5A1EB8F4">
            <wp:extent cx="5699760" cy="3611880"/>
            <wp:effectExtent l="0" t="0" r="0" b="762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675">
                      <a:extLst>
                        <a:ext uri="{28A0092B-C50C-407E-A947-70E740481C1C}">
                          <a14:useLocalDpi xmlns:a14="http://schemas.microsoft.com/office/drawing/2010/main" val="0"/>
                        </a:ext>
                      </a:extLst>
                    </a:blip>
                    <a:srcRect r="2548"/>
                    <a:stretch>
                      <a:fillRect/>
                    </a:stretch>
                  </pic:blipFill>
                  <pic:spPr bwMode="auto">
                    <a:xfrm>
                      <a:off x="0" y="0"/>
                      <a:ext cx="5699760" cy="3611880"/>
                    </a:xfrm>
                    <a:prstGeom prst="rect">
                      <a:avLst/>
                    </a:prstGeom>
                    <a:noFill/>
                    <a:ln>
                      <a:noFill/>
                    </a:ln>
                  </pic:spPr>
                </pic:pic>
              </a:graphicData>
            </a:graphic>
          </wp:inline>
        </w:drawing>
      </w:r>
    </w:p>
    <w:p w14:paraId="3B6298DE"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b/>
          <w:color w:val="auto"/>
        </w:rPr>
        <w:t>Figure 3.15:</w:t>
      </w:r>
      <w:r w:rsidRPr="009B0448">
        <w:rPr>
          <w:rFonts w:ascii="Times New Roman" w:hAnsi="Times New Roman" w:cs="Times New Roman"/>
          <w:color w:val="auto"/>
        </w:rPr>
        <w:t xml:space="preserve"> The risk status of livestock breeds recorded in North and West Africa* as of December 2005: absolute (table) and relative (chart) figures. Source: FAO (2007b).</w:t>
      </w:r>
    </w:p>
    <w:p w14:paraId="508F5391" w14:textId="77777777" w:rsidR="009B0448" w:rsidRPr="009B0448" w:rsidRDefault="009B0448" w:rsidP="009B0448">
      <w:pPr>
        <w:spacing w:line="276" w:lineRule="auto"/>
        <w:jc w:val="both"/>
        <w:rPr>
          <w:rFonts w:ascii="Times New Roman" w:hAnsi="Times New Roman" w:cs="Times New Roman"/>
          <w:color w:val="auto"/>
        </w:rPr>
      </w:pPr>
    </w:p>
    <w:p w14:paraId="2585B021" w14:textId="6718F3D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noProof/>
          <w:lang w:eastAsia="en-GB"/>
        </w:rPr>
        <w:drawing>
          <wp:inline distT="0" distB="0" distL="0" distR="0" wp14:anchorId="71DD97D7" wp14:editId="2505B5B7">
            <wp:extent cx="5699760" cy="3611880"/>
            <wp:effectExtent l="0" t="0" r="0" b="762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676">
                      <a:extLst>
                        <a:ext uri="{28A0092B-C50C-407E-A947-70E740481C1C}">
                          <a14:useLocalDpi xmlns:a14="http://schemas.microsoft.com/office/drawing/2010/main" val="0"/>
                        </a:ext>
                      </a:extLst>
                    </a:blip>
                    <a:srcRect r="1884"/>
                    <a:stretch>
                      <a:fillRect/>
                    </a:stretch>
                  </pic:blipFill>
                  <pic:spPr bwMode="auto">
                    <a:xfrm>
                      <a:off x="0" y="0"/>
                      <a:ext cx="5699760" cy="3611880"/>
                    </a:xfrm>
                    <a:prstGeom prst="rect">
                      <a:avLst/>
                    </a:prstGeom>
                    <a:noFill/>
                    <a:ln>
                      <a:noFill/>
                    </a:ln>
                  </pic:spPr>
                </pic:pic>
              </a:graphicData>
            </a:graphic>
          </wp:inline>
        </w:drawing>
      </w:r>
    </w:p>
    <w:p w14:paraId="14C29C49"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b/>
          <w:color w:val="auto"/>
        </w:rPr>
        <w:t>Figure 3.16:</w:t>
      </w:r>
      <w:r w:rsidRPr="009B0448">
        <w:rPr>
          <w:rFonts w:ascii="Times New Roman" w:hAnsi="Times New Roman" w:cs="Times New Roman"/>
          <w:color w:val="auto"/>
        </w:rPr>
        <w:t xml:space="preserve"> Risk status of avian domestic breeds recorded in North and West Africa* as of December 2005: absolute (table) and relative (chart) figures. Source: FAO (2007b).</w:t>
      </w:r>
    </w:p>
    <w:p w14:paraId="08F25C23" w14:textId="77777777" w:rsidR="009B0448" w:rsidRPr="009B0448" w:rsidRDefault="009B0448" w:rsidP="009B0448">
      <w:pPr>
        <w:rPr>
          <w:rFonts w:ascii="Times New Roman" w:hAnsi="Times New Roman" w:cs="Times New Roman"/>
          <w:color w:val="auto"/>
        </w:rPr>
      </w:pPr>
      <w:r w:rsidRPr="009B0448">
        <w:rPr>
          <w:rFonts w:ascii="Times New Roman" w:hAnsi="Times New Roman" w:cs="Times New Roman"/>
          <w:color w:val="auto"/>
        </w:rPr>
        <w:br w:type="page"/>
      </w:r>
    </w:p>
    <w:p w14:paraId="54C5665B" w14:textId="655E06E7" w:rsidR="009B0448" w:rsidRPr="009B0448" w:rsidRDefault="009B0448" w:rsidP="009B0448">
      <w:pPr>
        <w:spacing w:line="276" w:lineRule="auto"/>
        <w:jc w:val="both"/>
        <w:rPr>
          <w:rFonts w:ascii="Times New Roman" w:hAnsi="Times New Roman" w:cs="Times New Roman"/>
          <w:color w:val="002060"/>
        </w:rPr>
      </w:pPr>
      <w:r w:rsidRPr="009B0448">
        <w:rPr>
          <w:rFonts w:ascii="Times New Roman" w:hAnsi="Times New Roman" w:cs="Times New Roman"/>
          <w:noProof/>
          <w:lang w:eastAsia="en-GB"/>
        </w:rPr>
        <w:drawing>
          <wp:inline distT="0" distB="0" distL="0" distR="0" wp14:anchorId="5D170EB3" wp14:editId="1406D675">
            <wp:extent cx="5737860" cy="493776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5737860" cy="4937760"/>
                    </a:xfrm>
                    <a:prstGeom prst="rect">
                      <a:avLst/>
                    </a:prstGeom>
                    <a:noFill/>
                    <a:ln>
                      <a:noFill/>
                    </a:ln>
                  </pic:spPr>
                </pic:pic>
              </a:graphicData>
            </a:graphic>
          </wp:inline>
        </w:drawing>
      </w:r>
    </w:p>
    <w:p w14:paraId="33F4A161"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b/>
          <w:color w:val="auto"/>
        </w:rPr>
        <w:t>Figure 3.17</w:t>
      </w:r>
      <w:r w:rsidRPr="009B0448">
        <w:rPr>
          <w:rFonts w:ascii="Times New Roman" w:hAnsi="Times New Roman" w:cs="Times New Roman"/>
          <w:color w:val="auto"/>
        </w:rPr>
        <w:t xml:space="preserve">: Major production systems in West Africa. Source: Blein </w:t>
      </w:r>
      <w:r w:rsidRPr="009B0448">
        <w:rPr>
          <w:rFonts w:ascii="Times New Roman" w:hAnsi="Times New Roman" w:cs="Times New Roman"/>
          <w:i/>
          <w:color w:val="auto"/>
        </w:rPr>
        <w:t>et al.</w:t>
      </w:r>
      <w:r w:rsidRPr="009B0448">
        <w:rPr>
          <w:rFonts w:ascii="Times New Roman" w:hAnsi="Times New Roman" w:cs="Times New Roman"/>
          <w:color w:val="auto"/>
        </w:rPr>
        <w:t xml:space="preserve"> (2008).</w:t>
      </w:r>
    </w:p>
    <w:p w14:paraId="4ADFC46E" w14:textId="77777777" w:rsidR="009B0448" w:rsidRPr="009B0448" w:rsidRDefault="009B0448" w:rsidP="009B0448">
      <w:pPr>
        <w:rPr>
          <w:rFonts w:ascii="Times New Roman" w:hAnsi="Times New Roman" w:cs="Times New Roman"/>
          <w:color w:val="auto"/>
        </w:rPr>
      </w:pPr>
    </w:p>
    <w:p w14:paraId="057F80AA"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color w:val="auto"/>
          <w:u w:val="single"/>
        </w:rPr>
        <w:t>Future dynamics:</w:t>
      </w:r>
      <w:r w:rsidRPr="009B0448">
        <w:rPr>
          <w:rFonts w:ascii="Times New Roman" w:hAnsi="Times New Roman" w:cs="Times New Roman"/>
          <w:color w:val="auto"/>
        </w:rPr>
        <w:t xml:space="preserve"> In the absence of high-level farmer and institutional response, most of these income crops are likely to decline due to drought, given that irrigation is financially out of reach for the vast majority of producers (e.g., Schroth </w:t>
      </w:r>
      <w:r w:rsidRPr="009B0448">
        <w:rPr>
          <w:rFonts w:ascii="Times New Roman" w:hAnsi="Times New Roman" w:cs="Times New Roman"/>
          <w:i/>
          <w:color w:val="auto"/>
        </w:rPr>
        <w:t>et al.</w:t>
      </w:r>
      <w:r w:rsidRPr="009B0448">
        <w:rPr>
          <w:rFonts w:ascii="Times New Roman" w:hAnsi="Times New Roman" w:cs="Times New Roman"/>
          <w:color w:val="auto"/>
        </w:rPr>
        <w:t>, 2016).</w:t>
      </w:r>
    </w:p>
    <w:p w14:paraId="07779EED"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08" w:name="_Toc503105164"/>
      <w:bookmarkStart w:id="209" w:name="_Toc519499904"/>
      <w:r w:rsidRPr="009B0448">
        <w:rPr>
          <w:rFonts w:cs="Times New Roman"/>
          <w:sz w:val="22"/>
          <w:szCs w:val="22"/>
        </w:rPr>
        <w:t>Aquatic (Freshwater, Marine and Coastal)</w:t>
      </w:r>
      <w:bookmarkEnd w:id="208"/>
      <w:bookmarkEnd w:id="209"/>
    </w:p>
    <w:p w14:paraId="1318A12C"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10" w:name="_Toc519499905"/>
      <w:r w:rsidRPr="009B0448">
        <w:rPr>
          <w:rFonts w:cs="Times New Roman"/>
          <w:b w:val="0"/>
          <w:sz w:val="22"/>
          <w:szCs w:val="22"/>
        </w:rPr>
        <w:t>Wetlands</w:t>
      </w:r>
      <w:bookmarkEnd w:id="210"/>
    </w:p>
    <w:p w14:paraId="32EBDBDE"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Outstanding wetlands that harbour very high numbers of migratory and wintering waterfowl are found in West Africa. They include the Inner Niger Delta in Mali, Lake Chad and Hadejia-Nguru wetlands in Nigeria (CEPF, 2015). In Niger alone, wetlands are estimated to hold 1.2 million waterbirds (Brouwer </w:t>
      </w:r>
      <w:r w:rsidRPr="009B0448">
        <w:rPr>
          <w:rFonts w:ascii="Times New Roman" w:hAnsi="Times New Roman" w:cs="Times New Roman"/>
          <w:i/>
        </w:rPr>
        <w:t>et al.</w:t>
      </w:r>
      <w:r w:rsidRPr="009B0448">
        <w:rPr>
          <w:rFonts w:ascii="Times New Roman" w:hAnsi="Times New Roman" w:cs="Times New Roman"/>
        </w:rPr>
        <w:t xml:space="preserve">, 2001), whereas the Senegal River Delta is home to over 3 million wintering shorebirds, at least 108 bird species of nesting piscivorous birds and is one of the 3 transfrontier Biosphere Reserves of Africa (Bouamrane </w:t>
      </w:r>
      <w:r w:rsidRPr="009B0448">
        <w:rPr>
          <w:rFonts w:ascii="Times New Roman" w:hAnsi="Times New Roman" w:cs="Times New Roman"/>
          <w:i/>
        </w:rPr>
        <w:t>et al.</w:t>
      </w:r>
      <w:r w:rsidRPr="009B0448">
        <w:rPr>
          <w:rFonts w:ascii="Times New Roman" w:hAnsi="Times New Roman" w:cs="Times New Roman"/>
        </w:rPr>
        <w:t xml:space="preserve">, 2016). Of the 46 Critical sites identified in West Africa, 10 sites holds highest number of migratory waterfowl (e.g., </w:t>
      </w:r>
      <w:r w:rsidRPr="009B0448">
        <w:rPr>
          <w:rFonts w:ascii="Times New Roman" w:hAnsi="Times New Roman" w:cs="Times New Roman"/>
          <w:i/>
        </w:rPr>
        <w:t>Arcocephalus paludicola</w:t>
      </w:r>
      <w:r w:rsidRPr="009B0448">
        <w:rPr>
          <w:rFonts w:ascii="Times New Roman" w:hAnsi="Times New Roman" w:cs="Times New Roman"/>
        </w:rPr>
        <w:t xml:space="preserve">) (CEPF, 2015). </w:t>
      </w:r>
    </w:p>
    <w:p w14:paraId="1D5EA70C" w14:textId="77777777" w:rsidR="009B0448" w:rsidRPr="009B0448" w:rsidRDefault="009B0448" w:rsidP="009B0448">
      <w:pPr>
        <w:spacing w:line="276" w:lineRule="auto"/>
        <w:jc w:val="both"/>
        <w:rPr>
          <w:rFonts w:ascii="Times New Roman" w:hAnsi="Times New Roman" w:cs="Times New Roman"/>
        </w:rPr>
      </w:pPr>
    </w:p>
    <w:p w14:paraId="533B3134"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Threats to West Africa’s mangroves and wetlands, and their associated biodiversity and ecosystem services are linked to a growing population, industrial and agricultural development and a changing climate (Hamerlynck </w:t>
      </w:r>
      <w:r w:rsidRPr="009B0448">
        <w:rPr>
          <w:rFonts w:ascii="Times New Roman" w:hAnsi="Times New Roman" w:cs="Times New Roman"/>
          <w:i/>
        </w:rPr>
        <w:t>et al.</w:t>
      </w:r>
      <w:r w:rsidRPr="009B0448">
        <w:rPr>
          <w:rFonts w:ascii="Times New Roman" w:hAnsi="Times New Roman" w:cs="Times New Roman"/>
        </w:rPr>
        <w:t xml:space="preserve">, 2003; Sy </w:t>
      </w:r>
      <w:r w:rsidRPr="009B0448">
        <w:rPr>
          <w:rFonts w:ascii="Times New Roman" w:hAnsi="Times New Roman" w:cs="Times New Roman"/>
          <w:i/>
        </w:rPr>
        <w:t>et al.</w:t>
      </w:r>
      <w:r w:rsidRPr="009B0448">
        <w:rPr>
          <w:rFonts w:ascii="Times New Roman" w:hAnsi="Times New Roman" w:cs="Times New Roman"/>
        </w:rPr>
        <w:t xml:space="preserve">, 2015). Coleman </w:t>
      </w:r>
      <w:r w:rsidRPr="009B0448">
        <w:rPr>
          <w:rFonts w:ascii="Times New Roman" w:hAnsi="Times New Roman" w:cs="Times New Roman"/>
          <w:i/>
        </w:rPr>
        <w:t>et al.</w:t>
      </w:r>
      <w:r w:rsidRPr="009B0448">
        <w:rPr>
          <w:rFonts w:ascii="Times New Roman" w:hAnsi="Times New Roman" w:cs="Times New Roman"/>
        </w:rPr>
        <w:t xml:space="preserve"> (2008) showed that between 1987 and 2002, in an area of 1,110 km</w:t>
      </w:r>
      <w:r w:rsidRPr="009B0448">
        <w:rPr>
          <w:rFonts w:ascii="Times New Roman" w:hAnsi="Times New Roman" w:cs="Times New Roman"/>
          <w:vertAlign w:val="superscript"/>
        </w:rPr>
        <w:t>2</w:t>
      </w:r>
      <w:r w:rsidRPr="009B0448">
        <w:rPr>
          <w:rFonts w:ascii="Times New Roman" w:hAnsi="Times New Roman" w:cs="Times New Roman"/>
        </w:rPr>
        <w:t xml:space="preserve"> of the lower Niger delta, approximately 88 km</w:t>
      </w:r>
      <w:r w:rsidRPr="009B0448">
        <w:rPr>
          <w:rFonts w:ascii="Times New Roman" w:hAnsi="Times New Roman" w:cs="Times New Roman"/>
          <w:vertAlign w:val="superscript"/>
        </w:rPr>
        <w:t>2</w:t>
      </w:r>
      <w:r w:rsidRPr="009B0448">
        <w:rPr>
          <w:rFonts w:ascii="Times New Roman" w:hAnsi="Times New Roman" w:cs="Times New Roman"/>
        </w:rPr>
        <w:t xml:space="preserve"> of wetlands had been converted to open water or converted to agricultural activities. Current levels of water extraction have also impacted wetlands, as exemplified by Lake Chad, which has shrunk from a surface area of 25,000 km</w:t>
      </w:r>
      <w:r w:rsidRPr="009B0448">
        <w:rPr>
          <w:rFonts w:ascii="Times New Roman" w:hAnsi="Times New Roman" w:cs="Times New Roman"/>
          <w:vertAlign w:val="superscript"/>
        </w:rPr>
        <w:t>2</w:t>
      </w:r>
      <w:r w:rsidRPr="009B0448">
        <w:rPr>
          <w:rFonts w:ascii="Times New Roman" w:hAnsi="Times New Roman" w:cs="Times New Roman"/>
        </w:rPr>
        <w:t xml:space="preserve"> in the early 1960s to around 1,350 km</w:t>
      </w:r>
      <w:r w:rsidRPr="009B0448">
        <w:rPr>
          <w:rFonts w:ascii="Times New Roman" w:hAnsi="Times New Roman" w:cs="Times New Roman"/>
          <w:vertAlign w:val="superscript"/>
        </w:rPr>
        <w:t>2</w:t>
      </w:r>
      <w:r w:rsidRPr="009B0448">
        <w:rPr>
          <w:rFonts w:ascii="Times New Roman" w:hAnsi="Times New Roman" w:cs="Times New Roman"/>
        </w:rPr>
        <w:t xml:space="preserve"> in 2001 (Smith </w:t>
      </w:r>
      <w:r w:rsidRPr="009B0448">
        <w:rPr>
          <w:rFonts w:ascii="Times New Roman" w:hAnsi="Times New Roman" w:cs="Times New Roman"/>
          <w:i/>
        </w:rPr>
        <w:t>et al.</w:t>
      </w:r>
      <w:r w:rsidRPr="009B0448">
        <w:rPr>
          <w:rFonts w:ascii="Times New Roman" w:hAnsi="Times New Roman" w:cs="Times New Roman"/>
        </w:rPr>
        <w:t xml:space="preserve">, 2009). According to Thieme </w:t>
      </w:r>
      <w:r w:rsidRPr="009B0448">
        <w:rPr>
          <w:rFonts w:ascii="Times New Roman" w:hAnsi="Times New Roman" w:cs="Times New Roman"/>
          <w:i/>
        </w:rPr>
        <w:t>et al.</w:t>
      </w:r>
      <w:r w:rsidRPr="009B0448">
        <w:rPr>
          <w:rFonts w:ascii="Times New Roman" w:hAnsi="Times New Roman" w:cs="Times New Roman"/>
        </w:rPr>
        <w:t xml:space="preserve"> (2005) 12 of 17 freshwater ecoregions are either listed as Critical or Endangered and the region contains over a third of all the ecoregions in Africa listed as Critical.</w:t>
      </w:r>
    </w:p>
    <w:p w14:paraId="20DB7A6C" w14:textId="77777777" w:rsidR="009B0448" w:rsidRPr="009B0448" w:rsidRDefault="009B0448" w:rsidP="009B0448">
      <w:pPr>
        <w:spacing w:line="276" w:lineRule="auto"/>
        <w:jc w:val="both"/>
        <w:rPr>
          <w:rFonts w:ascii="Times New Roman" w:hAnsi="Times New Roman" w:cs="Times New Roman"/>
        </w:rPr>
      </w:pPr>
    </w:p>
    <w:p w14:paraId="1EF4559B"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rPr>
        <w:t xml:space="preserve"> In West Africa, mangroves are found discontinuously from Senegal to the Niger Delta, however, these mangroves are in moderate decline, with an estimated average decline of 25% between 1980 and 2006, then recovering in a few countries in the last decade. The decline is due to cutting of the trees for fuelwood and poles for housing construction; urbanisation and industrialisation; the use of poison and dynamite for fishing, canalisation, discharge of sewage and other pollutants, siltation, sand mining, erosion, construction of embankments; and in some areas, from the damming of the Volta River. Apart from declining mangrove ecosystems in West Africa, a study by Belle </w:t>
      </w:r>
      <w:r w:rsidRPr="009B0448">
        <w:rPr>
          <w:rFonts w:ascii="Times New Roman" w:hAnsi="Times New Roman" w:cs="Times New Roman"/>
          <w:i/>
        </w:rPr>
        <w:t>et al.</w:t>
      </w:r>
      <w:r w:rsidRPr="009B0448">
        <w:rPr>
          <w:rFonts w:ascii="Times New Roman" w:hAnsi="Times New Roman" w:cs="Times New Roman"/>
        </w:rPr>
        <w:t xml:space="preserve"> (2016) revealed that in term of proportions, by 2040–2069, 80% of the assessed will be vulnerable to climate change. Of the 202 species identified as climate change vulnerable by 2040–2069, 62 are globally threatened.</w:t>
      </w:r>
    </w:p>
    <w:p w14:paraId="1E84E304"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11" w:name="_Toc519499906"/>
      <w:r w:rsidRPr="009B0448">
        <w:rPr>
          <w:rFonts w:cs="Times New Roman"/>
          <w:b w:val="0"/>
          <w:sz w:val="22"/>
          <w:szCs w:val="22"/>
        </w:rPr>
        <w:t>Inland surface waters and water bodies/freshwater</w:t>
      </w:r>
      <w:bookmarkEnd w:id="211"/>
    </w:p>
    <w:p w14:paraId="6B05E3C5" w14:textId="77777777" w:rsidR="009B0448" w:rsidRPr="009B0448" w:rsidRDefault="009B0448" w:rsidP="009B0448">
      <w:pPr>
        <w:tabs>
          <w:tab w:val="left" w:pos="8080"/>
        </w:tabs>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The inland waters of West Africa supports a high diversity of aquatic species with high levels of endemism (Smith </w:t>
      </w:r>
      <w:r w:rsidRPr="009B0448">
        <w:rPr>
          <w:rFonts w:ascii="Times New Roman" w:hAnsi="Times New Roman" w:cs="Times New Roman"/>
          <w:i/>
        </w:rPr>
        <w:t>et al.</w:t>
      </w:r>
      <w:r w:rsidRPr="009B0448">
        <w:rPr>
          <w:rFonts w:ascii="Times New Roman" w:hAnsi="Times New Roman" w:cs="Times New Roman"/>
        </w:rPr>
        <w:t xml:space="preserve">, 2009). High endemism of the species is due to the various different habitat types from the dry Sahel in the north, moving south through grassland and into tropical moist forests near the coast. Covering the northern part of the region in Niger, Mali, Mauritania and Chad is the Sahel, a dry region, characterized by scattered oases, semi-permanent pools and temporary rivers, which receives on average just 30-50 millimetres of rain/year (Thieme </w:t>
      </w:r>
      <w:r w:rsidRPr="009B0448">
        <w:rPr>
          <w:rFonts w:ascii="Times New Roman" w:hAnsi="Times New Roman" w:cs="Times New Roman"/>
          <w:i/>
        </w:rPr>
        <w:t>et al.</w:t>
      </w:r>
      <w:r w:rsidRPr="009B0448">
        <w:rPr>
          <w:rFonts w:ascii="Times New Roman" w:hAnsi="Times New Roman" w:cs="Times New Roman"/>
        </w:rPr>
        <w:t>, 2005). These freshwater bodies are of economic importance to both locals and nations in the region. The value of fisheries production for the major river systems in western Africa is estimated to be over $200 million/year (FAO, 2009b).</w:t>
      </w:r>
    </w:p>
    <w:p w14:paraId="5BFFFC2B" w14:textId="77777777" w:rsidR="009B0448" w:rsidRPr="009B0448" w:rsidRDefault="009B0448" w:rsidP="009B0448">
      <w:pPr>
        <w:tabs>
          <w:tab w:val="left" w:pos="8080"/>
        </w:tabs>
        <w:spacing w:line="276" w:lineRule="auto"/>
        <w:jc w:val="both"/>
        <w:rPr>
          <w:rFonts w:ascii="Times New Roman" w:hAnsi="Times New Roman" w:cs="Times New Roman"/>
        </w:rPr>
      </w:pPr>
    </w:p>
    <w:p w14:paraId="0679E45A" w14:textId="77777777" w:rsidR="009B0448" w:rsidRPr="009B0448" w:rsidRDefault="009B0448" w:rsidP="009B0448">
      <w:pPr>
        <w:tabs>
          <w:tab w:val="left" w:pos="8080"/>
        </w:tabs>
        <w:spacing w:line="276" w:lineRule="auto"/>
        <w:jc w:val="both"/>
        <w:rPr>
          <w:rFonts w:ascii="Times New Roman" w:hAnsi="Times New Roman" w:cs="Times New Roman"/>
        </w:rPr>
      </w:pPr>
      <w:r w:rsidRPr="009B0448">
        <w:rPr>
          <w:rFonts w:ascii="Times New Roman" w:hAnsi="Times New Roman" w:cs="Times New Roman"/>
        </w:rPr>
        <w:t xml:space="preserve">Inland waters of the Upper Guinean Forests support approximately 1,281 species of fishes, of which 38% are considered endemic (Paugy </w:t>
      </w:r>
      <w:r w:rsidRPr="009B0448">
        <w:rPr>
          <w:rFonts w:ascii="Times New Roman" w:hAnsi="Times New Roman" w:cs="Times New Roman"/>
          <w:i/>
        </w:rPr>
        <w:t>et al.</w:t>
      </w:r>
      <w:r w:rsidRPr="009B0448">
        <w:rPr>
          <w:rFonts w:ascii="Times New Roman" w:hAnsi="Times New Roman" w:cs="Times New Roman"/>
        </w:rPr>
        <w:t xml:space="preserve">, 2003), 155 species are globally threatened (Smith </w:t>
      </w:r>
      <w:r w:rsidRPr="009B0448">
        <w:rPr>
          <w:rFonts w:ascii="Times New Roman" w:hAnsi="Times New Roman" w:cs="Times New Roman"/>
          <w:i/>
        </w:rPr>
        <w:t>et al.</w:t>
      </w:r>
      <w:r w:rsidRPr="009B0448">
        <w:rPr>
          <w:rFonts w:ascii="Times New Roman" w:hAnsi="Times New Roman" w:cs="Times New Roman"/>
        </w:rPr>
        <w:t>, 2009). Threats to these species are mainly anthropogenic and as human populations increase throughout the region, the pressures on these inland waters and its biodiversity is going to rise as well. The immediate priorities for conservation actions to be taken are fully comprehensive Environmental Impact Assessments, designation of areas with high levels of biodiversity as Protected Areas and filling the information gap (large number of species fall into the data deficient category of the Red List).</w:t>
      </w:r>
    </w:p>
    <w:p w14:paraId="0D3A054C"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12" w:name="_Toc519499907"/>
      <w:r w:rsidRPr="009B0448">
        <w:rPr>
          <w:rFonts w:cs="Times New Roman"/>
          <w:b w:val="0"/>
          <w:sz w:val="22"/>
          <w:szCs w:val="22"/>
        </w:rPr>
        <w:t>Shelf-ecosystem</w:t>
      </w:r>
      <w:bookmarkEnd w:id="212"/>
    </w:p>
    <w:p w14:paraId="05E9FBB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The narrow coast (generally less than 100 km on average) is home to approximately 148 species of seabirds and marine seabirds (CEPF, 2015). Biodiversity is related to the type of coastal habitat rocky beaches occur on less than 3% of the coastline, sandy beaches (16%), headlands and coves (14%), areas associated with estuaries, river mouths and lagoons (19%), and mangroves (48%) (Diop </w:t>
      </w:r>
      <w:r w:rsidRPr="009B0448">
        <w:rPr>
          <w:rFonts w:ascii="Times New Roman" w:hAnsi="Times New Roman" w:cs="Times New Roman"/>
          <w:i/>
        </w:rPr>
        <w:t>et al.</w:t>
      </w:r>
      <w:r w:rsidRPr="009B0448">
        <w:rPr>
          <w:rFonts w:ascii="Times New Roman" w:hAnsi="Times New Roman" w:cs="Times New Roman"/>
        </w:rPr>
        <w:t xml:space="preserve">, 2014). Sea-grass beds are not well developed in the region and there are no true reefs due to intrusion of cool waters of the Benguela and Canary currents and high turbidity of the waters. All countries in the region are signatories to the Ramsar Convention, with 37 designated sites within the coastal marine zone. The beaches are especially important for five of the seven species of marine turtles that are globally threatened. </w:t>
      </w:r>
    </w:p>
    <w:p w14:paraId="7C6A83C7" w14:textId="77777777" w:rsidR="009B0448" w:rsidRPr="009B0448" w:rsidRDefault="009B0448" w:rsidP="009B0448">
      <w:pPr>
        <w:spacing w:line="276" w:lineRule="auto"/>
        <w:jc w:val="both"/>
        <w:rPr>
          <w:rFonts w:ascii="Times New Roman" w:hAnsi="Times New Roman" w:cs="Times New Roman"/>
        </w:rPr>
      </w:pPr>
    </w:p>
    <w:p w14:paraId="1D4E6381" w14:textId="6943556B"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 coastal ecosystems support highly diverse faunal and floral communities, including fish and invertebrate fauna, many of which are important commercial species. In West Africa, mangroves are found discontinuously from Senegal to the Niger Delta. Six species of trees are found (Table 3.6). Mangroves, estimated at 13,898 km</w:t>
      </w:r>
      <w:r w:rsidRPr="009B0448">
        <w:rPr>
          <w:rFonts w:ascii="Times New Roman" w:hAnsi="Times New Roman" w:cs="Times New Roman"/>
          <w:vertAlign w:val="superscript"/>
        </w:rPr>
        <w:t>2</w:t>
      </w:r>
      <w:r w:rsidRPr="009B0448">
        <w:rPr>
          <w:rFonts w:ascii="Times New Roman" w:hAnsi="Times New Roman" w:cs="Times New Roman"/>
        </w:rPr>
        <w:t xml:space="preserve"> (Tang </w:t>
      </w:r>
      <w:r w:rsidRPr="009B0448">
        <w:rPr>
          <w:rFonts w:ascii="Times New Roman" w:hAnsi="Times New Roman" w:cs="Times New Roman"/>
          <w:i/>
        </w:rPr>
        <w:t>et al.</w:t>
      </w:r>
      <w:r w:rsidRPr="009B0448">
        <w:rPr>
          <w:rFonts w:ascii="Times New Roman" w:hAnsi="Times New Roman" w:cs="Times New Roman"/>
        </w:rPr>
        <w:t xml:space="preserve">, 2014), provide many important ecological functions. They support the subregion’s fisheries which contribute $400 million annually to the total economy and can sequester up to 1,000 tons of carbon, three times more than tropical rainforests (Rotich </w:t>
      </w:r>
      <w:r w:rsidRPr="009B0448">
        <w:rPr>
          <w:rFonts w:ascii="Times New Roman" w:hAnsi="Times New Roman" w:cs="Times New Roman"/>
          <w:i/>
        </w:rPr>
        <w:t>et al.</w:t>
      </w:r>
      <w:r w:rsidRPr="009B0448">
        <w:rPr>
          <w:rFonts w:ascii="Times New Roman" w:hAnsi="Times New Roman" w:cs="Times New Roman"/>
        </w:rPr>
        <w:t xml:space="preserve">, 2016). The largest areas are in Guinea-Bissau and Nigeria, representing 2.5% and 4.7% of the global total areas of mangroves globally, respectively (Giri </w:t>
      </w:r>
      <w:r w:rsidRPr="009B0448">
        <w:rPr>
          <w:rFonts w:ascii="Times New Roman" w:hAnsi="Times New Roman" w:cs="Times New Roman"/>
          <w:i/>
        </w:rPr>
        <w:t>et al.</w:t>
      </w:r>
      <w:r w:rsidRPr="009B0448">
        <w:rPr>
          <w:rFonts w:ascii="Times New Roman" w:hAnsi="Times New Roman" w:cs="Times New Roman"/>
        </w:rPr>
        <w:t xml:space="preserve"> 2011). Trends from 1975 to 2013 however show a decline of 4.8% in mangrove area (984 km</w:t>
      </w:r>
      <w:r w:rsidRPr="009B0448">
        <w:rPr>
          <w:rFonts w:ascii="Times New Roman" w:hAnsi="Times New Roman" w:cs="Times New Roman"/>
          <w:vertAlign w:val="superscript"/>
        </w:rPr>
        <w:t>2</w:t>
      </w:r>
      <w:r w:rsidRPr="009B0448">
        <w:rPr>
          <w:rFonts w:ascii="Times New Roman" w:hAnsi="Times New Roman" w:cs="Times New Roman"/>
        </w:rPr>
        <w:t xml:space="preserve">) due to overexploitation and changing </w:t>
      </w:r>
      <w:r w:rsidR="00917FB2">
        <w:rPr>
          <w:rFonts w:ascii="Times New Roman" w:hAnsi="Times New Roman" w:cs="Times New Roman"/>
        </w:rPr>
        <w:t>land-use</w:t>
      </w:r>
      <w:r w:rsidRPr="009B0448">
        <w:rPr>
          <w:rFonts w:ascii="Times New Roman" w:hAnsi="Times New Roman" w:cs="Times New Roman"/>
        </w:rPr>
        <w:t xml:space="preserve">. Increasing pollution from agricultural, industrial, domestic activities, petroleum exploitation and exploration, have negative implications on the species composition and ecological balance in these ecosystems (Church </w:t>
      </w:r>
      <w:r w:rsidRPr="009B0448">
        <w:rPr>
          <w:rFonts w:ascii="Times New Roman" w:hAnsi="Times New Roman" w:cs="Times New Roman"/>
          <w:i/>
        </w:rPr>
        <w:t>et al.</w:t>
      </w:r>
      <w:r w:rsidRPr="009B0448">
        <w:rPr>
          <w:rFonts w:ascii="Times New Roman" w:hAnsi="Times New Roman" w:cs="Times New Roman"/>
        </w:rPr>
        <w:t>, 2010).</w:t>
      </w:r>
    </w:p>
    <w:p w14:paraId="634C093A" w14:textId="77777777" w:rsidR="009B0448" w:rsidRPr="009B0448" w:rsidRDefault="009B0448" w:rsidP="009B0448">
      <w:pPr>
        <w:spacing w:line="276" w:lineRule="auto"/>
        <w:jc w:val="both"/>
        <w:rPr>
          <w:rFonts w:ascii="Times New Roman" w:hAnsi="Times New Roman" w:cs="Times New Roman"/>
        </w:rPr>
      </w:pPr>
    </w:p>
    <w:p w14:paraId="770AED34" w14:textId="640520D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Coastal ecosystems are internationally important for migratory waterfowl (Senegal Delta, coastal lagoons of Ghana), and for manatee (Niger Delta) and for shellfish and juveniles fish. The Niger Delta provides spawning/nursery areas for the fisheries in the Gulf of Guinea. A high diversity is found in the pelagic fish community, with 48 species in 38 families (Ajao, 1993). Pelagic families and species associated with them include Clupeidae (</w:t>
      </w:r>
      <w:r w:rsidRPr="009B0448">
        <w:rPr>
          <w:rFonts w:ascii="Times New Roman" w:hAnsi="Times New Roman" w:cs="Times New Roman"/>
          <w:i/>
        </w:rPr>
        <w:t>Ethmalosa fimbriata</w:t>
      </w:r>
      <w:r w:rsidRPr="009B0448">
        <w:rPr>
          <w:rFonts w:ascii="Times New Roman" w:hAnsi="Times New Roman" w:cs="Times New Roman"/>
        </w:rPr>
        <w:t>, Least Concern)</w:t>
      </w:r>
      <w:r w:rsidRPr="009B0448">
        <w:rPr>
          <w:rFonts w:ascii="Times New Roman" w:hAnsi="Times New Roman" w:cs="Times New Roman"/>
          <w:i/>
        </w:rPr>
        <w:t>, Pellonula leonensis</w:t>
      </w:r>
      <w:r w:rsidRPr="009B0448">
        <w:rPr>
          <w:rFonts w:ascii="Times New Roman" w:hAnsi="Times New Roman" w:cs="Times New Roman"/>
        </w:rPr>
        <w:t xml:space="preserve"> (Least Concern)</w:t>
      </w:r>
      <w:r w:rsidRPr="009B0448">
        <w:rPr>
          <w:rFonts w:ascii="Times New Roman" w:hAnsi="Times New Roman" w:cs="Times New Roman"/>
          <w:i/>
        </w:rPr>
        <w:t>, Ilisha africana</w:t>
      </w:r>
      <w:r w:rsidRPr="009B0448">
        <w:rPr>
          <w:rFonts w:ascii="Times New Roman" w:hAnsi="Times New Roman" w:cs="Times New Roman"/>
        </w:rPr>
        <w:t xml:space="preserve"> (Least Concern)</w:t>
      </w:r>
      <w:r w:rsidRPr="009B0448">
        <w:rPr>
          <w:rFonts w:ascii="Times New Roman" w:hAnsi="Times New Roman" w:cs="Times New Roman"/>
          <w:i/>
        </w:rPr>
        <w:t>, Sardinella maderensis</w:t>
      </w:r>
      <w:r w:rsidRPr="009B0448">
        <w:rPr>
          <w:rFonts w:ascii="Times New Roman" w:hAnsi="Times New Roman" w:cs="Times New Roman"/>
        </w:rPr>
        <w:t xml:space="preserve"> (Vulnerable</w:t>
      </w:r>
      <w:r w:rsidRPr="009B0448">
        <w:rPr>
          <w:rFonts w:ascii="Times New Roman" w:hAnsi="Times New Roman" w:cs="Times New Roman"/>
          <w:i/>
        </w:rPr>
        <w:t>), Belonnidae, Ablennes hians</w:t>
      </w:r>
      <w:r w:rsidRPr="009B0448">
        <w:rPr>
          <w:rFonts w:ascii="Times New Roman" w:hAnsi="Times New Roman" w:cs="Times New Roman"/>
        </w:rPr>
        <w:t xml:space="preserve"> (Least Concern)</w:t>
      </w:r>
      <w:r w:rsidRPr="009B0448">
        <w:rPr>
          <w:rFonts w:ascii="Times New Roman" w:hAnsi="Times New Roman" w:cs="Times New Roman"/>
          <w:i/>
        </w:rPr>
        <w:t>, Strongulura senegalensis</w:t>
      </w:r>
      <w:r w:rsidRPr="009B0448">
        <w:rPr>
          <w:rFonts w:ascii="Times New Roman" w:hAnsi="Times New Roman" w:cs="Times New Roman"/>
        </w:rPr>
        <w:t>), Megalopidae (</w:t>
      </w:r>
      <w:r w:rsidRPr="009B0448">
        <w:rPr>
          <w:rFonts w:ascii="Times New Roman" w:hAnsi="Times New Roman" w:cs="Times New Roman"/>
          <w:i/>
        </w:rPr>
        <w:t>Tarpon atlanticus</w:t>
      </w:r>
      <w:r w:rsidRPr="009B0448">
        <w:rPr>
          <w:rFonts w:ascii="Times New Roman" w:hAnsi="Times New Roman" w:cs="Times New Roman"/>
        </w:rPr>
        <w:t>), Hemiramphidae (</w:t>
      </w:r>
      <w:r w:rsidRPr="009B0448">
        <w:rPr>
          <w:rFonts w:ascii="Times New Roman" w:hAnsi="Times New Roman" w:cs="Times New Roman"/>
          <w:i/>
        </w:rPr>
        <w:t>Hyporhamphus Picarti</w:t>
      </w:r>
      <w:r w:rsidRPr="009B0448">
        <w:rPr>
          <w:rFonts w:ascii="Times New Roman" w:hAnsi="Times New Roman" w:cs="Times New Roman"/>
        </w:rPr>
        <w:t>, Least Concern), Elopidae (</w:t>
      </w:r>
      <w:r w:rsidRPr="009B0448">
        <w:rPr>
          <w:rFonts w:ascii="Times New Roman" w:hAnsi="Times New Roman" w:cs="Times New Roman"/>
          <w:i/>
        </w:rPr>
        <w:t>Elops lacerta,</w:t>
      </w:r>
      <w:r w:rsidRPr="009B0448">
        <w:rPr>
          <w:rFonts w:ascii="Times New Roman" w:hAnsi="Times New Roman" w:cs="Times New Roman"/>
        </w:rPr>
        <w:t xml:space="preserve"> Least Concern)</w:t>
      </w:r>
      <w:r w:rsidRPr="009B0448">
        <w:rPr>
          <w:rFonts w:ascii="Times New Roman" w:hAnsi="Times New Roman" w:cs="Times New Roman"/>
          <w:i/>
        </w:rPr>
        <w:t>, E. senegalensis</w:t>
      </w:r>
      <w:r w:rsidRPr="009B0448">
        <w:rPr>
          <w:rFonts w:ascii="Times New Roman" w:hAnsi="Times New Roman" w:cs="Times New Roman"/>
        </w:rPr>
        <w:t>), and Albulidae (</w:t>
      </w:r>
      <w:r w:rsidRPr="009B0448">
        <w:rPr>
          <w:rFonts w:ascii="Times New Roman" w:hAnsi="Times New Roman" w:cs="Times New Roman"/>
          <w:i/>
        </w:rPr>
        <w:t>Albula vulpes,</w:t>
      </w:r>
      <w:r w:rsidRPr="009B0448">
        <w:rPr>
          <w:rFonts w:ascii="Times New Roman" w:hAnsi="Times New Roman" w:cs="Times New Roman"/>
        </w:rPr>
        <w:t xml:space="preserve"> Near Threatened) (Isebor </w:t>
      </w:r>
      <w:r w:rsidRPr="009B0448">
        <w:rPr>
          <w:rFonts w:ascii="Times New Roman" w:hAnsi="Times New Roman" w:cs="Times New Roman"/>
          <w:i/>
        </w:rPr>
        <w:t>et al.</w:t>
      </w:r>
      <w:r w:rsidRPr="009B0448">
        <w:rPr>
          <w:rFonts w:ascii="Times New Roman" w:hAnsi="Times New Roman" w:cs="Times New Roman"/>
        </w:rPr>
        <w:t>, 1993; Shumway, 1999). West African manatee (</w:t>
      </w:r>
      <w:r w:rsidRPr="009B0448">
        <w:rPr>
          <w:rFonts w:ascii="Times New Roman" w:hAnsi="Times New Roman" w:cs="Times New Roman"/>
          <w:i/>
        </w:rPr>
        <w:t>Trichechus senegalensis</w:t>
      </w:r>
      <w:r w:rsidRPr="009B0448">
        <w:rPr>
          <w:rFonts w:ascii="Times New Roman" w:hAnsi="Times New Roman" w:cs="Times New Roman"/>
        </w:rPr>
        <w:t xml:space="preserve">, Vulnerable) (Hughes </w:t>
      </w:r>
      <w:r w:rsidRPr="009B0448">
        <w:rPr>
          <w:rFonts w:ascii="Times New Roman" w:hAnsi="Times New Roman" w:cs="Times New Roman"/>
          <w:i/>
        </w:rPr>
        <w:t>et al.</w:t>
      </w:r>
      <w:r w:rsidRPr="009B0448">
        <w:rPr>
          <w:rFonts w:ascii="Times New Roman" w:hAnsi="Times New Roman" w:cs="Times New Roman"/>
        </w:rPr>
        <w:t>, 1992), the soft-skinned turtle (</w:t>
      </w:r>
      <w:r w:rsidRPr="009B0448">
        <w:rPr>
          <w:rFonts w:ascii="Times New Roman" w:hAnsi="Times New Roman" w:cs="Times New Roman"/>
          <w:i/>
        </w:rPr>
        <w:t>Trionyx triunguis,</w:t>
      </w:r>
      <w:r w:rsidRPr="009B0448">
        <w:rPr>
          <w:rFonts w:ascii="Times New Roman" w:hAnsi="Times New Roman" w:cs="Times New Roman"/>
        </w:rPr>
        <w:t xml:space="preserve"> Vulnerable), and in the Niger Delta, isolated populations of pygmy hippopotamus (</w:t>
      </w:r>
      <w:r w:rsidRPr="009B0448">
        <w:rPr>
          <w:rFonts w:ascii="Times New Roman" w:hAnsi="Times New Roman" w:cs="Times New Roman"/>
          <w:i/>
        </w:rPr>
        <w:t>Hexaprotodon liberiensis heslopi</w:t>
      </w:r>
      <w:r w:rsidRPr="009B0448">
        <w:rPr>
          <w:rFonts w:ascii="Times New Roman" w:hAnsi="Times New Roman" w:cs="Times New Roman"/>
        </w:rPr>
        <w:t>, Vulnerable) are the most remarkable fauna. Besides, five species of marine turtle, leatherback (</w:t>
      </w:r>
      <w:r w:rsidRPr="009B0448">
        <w:rPr>
          <w:rFonts w:ascii="Times New Roman" w:hAnsi="Times New Roman" w:cs="Times New Roman"/>
          <w:i/>
        </w:rPr>
        <w:t>Dermochelys coricea</w:t>
      </w:r>
      <w:r w:rsidRPr="009B0448">
        <w:rPr>
          <w:rFonts w:ascii="Times New Roman" w:hAnsi="Times New Roman" w:cs="Times New Roman"/>
        </w:rPr>
        <w:t>, Endangered), loggerhead (</w:t>
      </w:r>
      <w:r w:rsidRPr="009B0448">
        <w:rPr>
          <w:rFonts w:ascii="Times New Roman" w:hAnsi="Times New Roman" w:cs="Times New Roman"/>
          <w:i/>
        </w:rPr>
        <w:t>Caretta caretta</w:t>
      </w:r>
      <w:r w:rsidRPr="009B0448">
        <w:rPr>
          <w:rFonts w:ascii="Times New Roman" w:hAnsi="Times New Roman" w:cs="Times New Roman"/>
        </w:rPr>
        <w:t>, Endangered), olive ridley (</w:t>
      </w:r>
      <w:r w:rsidRPr="009B0448">
        <w:rPr>
          <w:rFonts w:ascii="Times New Roman" w:hAnsi="Times New Roman" w:cs="Times New Roman"/>
          <w:i/>
        </w:rPr>
        <w:t>Lepidochelys olivacea</w:t>
      </w:r>
      <w:r w:rsidRPr="009B0448">
        <w:rPr>
          <w:rFonts w:ascii="Times New Roman" w:hAnsi="Times New Roman" w:cs="Times New Roman"/>
        </w:rPr>
        <w:t>, Vulnerable), hawksbill (</w:t>
      </w:r>
      <w:r w:rsidRPr="009B0448">
        <w:rPr>
          <w:rFonts w:ascii="Times New Roman" w:hAnsi="Times New Roman" w:cs="Times New Roman"/>
          <w:i/>
        </w:rPr>
        <w:t>Eretomychelys imbricata</w:t>
      </w:r>
      <w:r w:rsidRPr="009B0448">
        <w:rPr>
          <w:rFonts w:ascii="Times New Roman" w:hAnsi="Times New Roman" w:cs="Times New Roman"/>
        </w:rPr>
        <w:t>, Critically Endangered), and green turtles (</w:t>
      </w:r>
      <w:r w:rsidRPr="009B0448">
        <w:rPr>
          <w:rFonts w:ascii="Times New Roman" w:hAnsi="Times New Roman" w:cs="Times New Roman"/>
          <w:i/>
        </w:rPr>
        <w:t>Chelonia mydas</w:t>
      </w:r>
      <w:r w:rsidRPr="009B0448">
        <w:rPr>
          <w:rFonts w:ascii="Times New Roman" w:hAnsi="Times New Roman" w:cs="Times New Roman"/>
        </w:rPr>
        <w:t xml:space="preserve">, Endangered). </w:t>
      </w:r>
    </w:p>
    <w:p w14:paraId="793ADCBF" w14:textId="77777777" w:rsidR="009B0448" w:rsidRPr="009B0448" w:rsidRDefault="009B0448" w:rsidP="009B0448">
      <w:pPr>
        <w:spacing w:line="276" w:lineRule="auto"/>
        <w:jc w:val="both"/>
        <w:rPr>
          <w:rFonts w:ascii="Times New Roman" w:hAnsi="Times New Roman" w:cs="Times New Roman"/>
        </w:rPr>
      </w:pPr>
    </w:p>
    <w:p w14:paraId="62338B2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 Upper-Guinea Coast, from Saloum Delta in Senegal to Sierra Leone, contain the most-inhabited (human density up to 40–80 houses/km</w:t>
      </w:r>
      <w:r w:rsidRPr="009B0448">
        <w:rPr>
          <w:rFonts w:ascii="Times New Roman" w:hAnsi="Times New Roman" w:cs="Times New Roman"/>
          <w:vertAlign w:val="superscript"/>
        </w:rPr>
        <w:t>2</w:t>
      </w:r>
      <w:r w:rsidRPr="009B0448">
        <w:rPr>
          <w:rFonts w:ascii="Times New Roman" w:hAnsi="Times New Roman" w:cs="Times New Roman"/>
        </w:rPr>
        <w:t>) and best-developed mangroves in West Africa (8,507 km</w:t>
      </w:r>
      <w:r w:rsidRPr="009B0448">
        <w:rPr>
          <w:rFonts w:ascii="Times New Roman" w:hAnsi="Times New Roman" w:cs="Times New Roman"/>
          <w:vertAlign w:val="superscript"/>
        </w:rPr>
        <w:t>2</w:t>
      </w:r>
      <w:r w:rsidRPr="009B0448">
        <w:rPr>
          <w:rFonts w:ascii="Times New Roman" w:hAnsi="Times New Roman" w:cs="Times New Roman"/>
        </w:rPr>
        <w:t>) (Ruë, 2002). Oysters found in this region include species s such as C</w:t>
      </w:r>
      <w:r w:rsidRPr="009B0448">
        <w:rPr>
          <w:rFonts w:ascii="Times New Roman" w:hAnsi="Times New Roman" w:cs="Times New Roman"/>
          <w:i/>
        </w:rPr>
        <w:t>rassostera gazar</w:t>
      </w:r>
      <w:r w:rsidRPr="009B0448">
        <w:rPr>
          <w:rFonts w:ascii="Times New Roman" w:hAnsi="Times New Roman" w:cs="Times New Roman"/>
        </w:rPr>
        <w:t xml:space="preserve">, and cockle species like: </w:t>
      </w:r>
      <w:r w:rsidRPr="009B0448">
        <w:rPr>
          <w:rFonts w:ascii="Times New Roman" w:hAnsi="Times New Roman" w:cs="Times New Roman"/>
          <w:i/>
        </w:rPr>
        <w:t>Anadara senilis, Galatea paradoxa</w:t>
      </w:r>
      <w:r w:rsidRPr="009B0448">
        <w:rPr>
          <w:rFonts w:ascii="Times New Roman" w:hAnsi="Times New Roman" w:cs="Times New Roman"/>
        </w:rPr>
        <w:t xml:space="preserve">, </w:t>
      </w:r>
      <w:r w:rsidRPr="009B0448">
        <w:rPr>
          <w:rFonts w:ascii="Times New Roman" w:hAnsi="Times New Roman" w:cs="Times New Roman"/>
          <w:i/>
        </w:rPr>
        <w:t>Murex hoplites, Murex cornutus, Orbicularia orbiculat, Pugilina morio, Cymbium</w:t>
      </w:r>
      <w:r w:rsidRPr="009B0448">
        <w:rPr>
          <w:rFonts w:ascii="Times New Roman" w:hAnsi="Times New Roman" w:cs="Times New Roman"/>
        </w:rPr>
        <w:t xml:space="preserve"> spp</w:t>
      </w:r>
      <w:r w:rsidRPr="009B0448">
        <w:rPr>
          <w:rFonts w:ascii="Times New Roman" w:hAnsi="Times New Roman" w:cs="Times New Roman"/>
          <w:i/>
        </w:rPr>
        <w:t>., Cultellus tenuis</w:t>
      </w:r>
      <w:r w:rsidRPr="009B0448">
        <w:rPr>
          <w:rFonts w:ascii="Times New Roman" w:hAnsi="Times New Roman" w:cs="Times New Roman"/>
        </w:rPr>
        <w:t xml:space="preserve"> (Cormier-Salem, 1999). Same as Mangroves found in other parts of Africa are threatened by drought, rural exodus and the coastal erosion, being translated by the salinization and the acidification of muddy soils. More than 25% of the mangrove trees have been lost (Conchedda </w:t>
      </w:r>
      <w:r w:rsidRPr="009B0448">
        <w:rPr>
          <w:rFonts w:ascii="Times New Roman" w:hAnsi="Times New Roman" w:cs="Times New Roman"/>
          <w:i/>
        </w:rPr>
        <w:t>et al.</w:t>
      </w:r>
      <w:r w:rsidRPr="009B0448">
        <w:rPr>
          <w:rFonts w:ascii="Times New Roman" w:hAnsi="Times New Roman" w:cs="Times New Roman"/>
        </w:rPr>
        <w:t xml:space="preserve">, 2011; Temudo, 2012; Carney </w:t>
      </w:r>
      <w:r w:rsidRPr="009B0448">
        <w:rPr>
          <w:rFonts w:ascii="Times New Roman" w:hAnsi="Times New Roman" w:cs="Times New Roman"/>
          <w:i/>
        </w:rPr>
        <w:t>et al.</w:t>
      </w:r>
      <w:r w:rsidRPr="009B0448">
        <w:rPr>
          <w:rFonts w:ascii="Times New Roman" w:hAnsi="Times New Roman" w:cs="Times New Roman"/>
        </w:rPr>
        <w:t xml:space="preserve">, 2014; Zwarts, 2014; Cormier-Salem </w:t>
      </w:r>
      <w:r w:rsidRPr="009B0448">
        <w:rPr>
          <w:rFonts w:ascii="Times New Roman" w:hAnsi="Times New Roman" w:cs="Times New Roman"/>
          <w:i/>
        </w:rPr>
        <w:t>et al.</w:t>
      </w:r>
      <w:r w:rsidRPr="009B0448">
        <w:rPr>
          <w:rFonts w:ascii="Times New Roman" w:hAnsi="Times New Roman" w:cs="Times New Roman"/>
        </w:rPr>
        <w:t xml:space="preserve">, 2016; Temudo </w:t>
      </w:r>
      <w:r w:rsidRPr="009B0448">
        <w:rPr>
          <w:rFonts w:ascii="Times New Roman" w:hAnsi="Times New Roman" w:cs="Times New Roman"/>
          <w:i/>
        </w:rPr>
        <w:t>et al</w:t>
      </w:r>
      <w:r w:rsidRPr="009B0448">
        <w:rPr>
          <w:rFonts w:ascii="Times New Roman" w:hAnsi="Times New Roman" w:cs="Times New Roman"/>
        </w:rPr>
        <w:t xml:space="preserve">., 2017). In 2015, mangrove forests occupied 349,555 hectares of the territory of Guinea-Bissau which corresponds to an annual change rate of 1.54% (Temudo </w:t>
      </w:r>
      <w:r w:rsidRPr="009B0448">
        <w:rPr>
          <w:rFonts w:ascii="Times New Roman" w:hAnsi="Times New Roman" w:cs="Times New Roman"/>
          <w:i/>
        </w:rPr>
        <w:t>et al</w:t>
      </w:r>
      <w:r w:rsidRPr="009B0448">
        <w:rPr>
          <w:rFonts w:ascii="Times New Roman" w:hAnsi="Times New Roman" w:cs="Times New Roman"/>
        </w:rPr>
        <w:t xml:space="preserve">., 2017). </w:t>
      </w:r>
    </w:p>
    <w:p w14:paraId="6E6DB260" w14:textId="77777777" w:rsidR="009B0448" w:rsidRPr="009B0448" w:rsidRDefault="009B0448" w:rsidP="009B0448">
      <w:pPr>
        <w:spacing w:line="276" w:lineRule="auto"/>
        <w:jc w:val="both"/>
        <w:rPr>
          <w:rFonts w:ascii="Times New Roman" w:hAnsi="Times New Roman" w:cs="Times New Roman"/>
        </w:rPr>
      </w:pPr>
    </w:p>
    <w:p w14:paraId="016105F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rPr>
        <w:t xml:space="preserve"> Development partners have supported mangrove conservation efforts at different scales, notably the West Africa Marine and Coastal Conservation Platform for Mauritania, Senegal, the Gambia, Guinea-Bissau, Guinea, Sierra Leone and Cape Verde. It is the most important example of coordinated mangrove conservation partnership and led to the adoption by the six countries of a Mangrove Charter and subsequent national action plans.</w:t>
      </w:r>
    </w:p>
    <w:p w14:paraId="022E763A"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13" w:name="_Toc519499908"/>
      <w:r w:rsidRPr="009B0448">
        <w:rPr>
          <w:rFonts w:cs="Times New Roman"/>
          <w:b w:val="0"/>
          <w:sz w:val="22"/>
          <w:szCs w:val="22"/>
        </w:rPr>
        <w:t>Open Ocean</w:t>
      </w:r>
      <w:bookmarkEnd w:id="213"/>
    </w:p>
    <w:p w14:paraId="4B7A49F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Off the coast is the Guinea Current Large Marine Ecosystem (GCLME) with distinctive bathymetry, hydrography, chemistry and tropho-dynamics that make it one of the top five most productive large marine ecosystems in the world in terms of biomass yields. Periodical upwelling of deeper nutrient-rich cold water to the surface (mainly July to September each year) contributes to the high average primary productivity of 392 grams of Carbon/m</w:t>
      </w:r>
      <w:r w:rsidRPr="009B0448">
        <w:rPr>
          <w:rFonts w:ascii="Times New Roman" w:hAnsi="Times New Roman" w:cs="Times New Roman"/>
          <w:vertAlign w:val="superscript"/>
        </w:rPr>
        <w:t>2</w:t>
      </w:r>
      <w:r w:rsidRPr="009B0448">
        <w:rPr>
          <w:rFonts w:ascii="Times New Roman" w:hAnsi="Times New Roman" w:cs="Times New Roman"/>
        </w:rPr>
        <w:t>/year</w:t>
      </w:r>
      <w:r w:rsidRPr="009B0448">
        <w:rPr>
          <w:rFonts w:ascii="Times New Roman" w:hAnsi="Times New Roman" w:cs="Times New Roman"/>
          <w:vertAlign w:val="superscript"/>
        </w:rPr>
        <w:t xml:space="preserve"> </w:t>
      </w:r>
      <w:r w:rsidRPr="009B0448">
        <w:rPr>
          <w:rFonts w:ascii="Times New Roman" w:hAnsi="Times New Roman" w:cs="Times New Roman"/>
        </w:rPr>
        <w:t xml:space="preserve">that causes a high biological activity and increased fish spawning. Marine biodiversity has been estimated at 1,811 species (Polidoro </w:t>
      </w:r>
      <w:r w:rsidRPr="009B0448">
        <w:rPr>
          <w:rFonts w:ascii="Times New Roman" w:hAnsi="Times New Roman" w:cs="Times New Roman"/>
          <w:i/>
        </w:rPr>
        <w:t>et al.</w:t>
      </w:r>
      <w:r w:rsidRPr="009B0448">
        <w:rPr>
          <w:rFonts w:ascii="Times New Roman" w:hAnsi="Times New Roman" w:cs="Times New Roman"/>
        </w:rPr>
        <w:t xml:space="preserve">, 2017). A value of €872 million has been estimated for selected regulation services such as water treatment, carbon sequestration and coastal protection (Interwies, 2010; Interwies </w:t>
      </w:r>
      <w:r w:rsidRPr="009B0448">
        <w:rPr>
          <w:rFonts w:ascii="Times New Roman" w:hAnsi="Times New Roman" w:cs="Times New Roman"/>
          <w:i/>
        </w:rPr>
        <w:t>et al.</w:t>
      </w:r>
      <w:r w:rsidRPr="009B0448">
        <w:rPr>
          <w:rFonts w:ascii="Times New Roman" w:hAnsi="Times New Roman" w:cs="Times New Roman"/>
        </w:rPr>
        <w:t xml:space="preserve">, 2013). The fishery resources, estimated at about 239 fish species (Ukwe </w:t>
      </w:r>
      <w:r w:rsidRPr="009B0448">
        <w:rPr>
          <w:rFonts w:ascii="Times New Roman" w:hAnsi="Times New Roman" w:cs="Times New Roman"/>
          <w:i/>
        </w:rPr>
        <w:t>et al.</w:t>
      </w:r>
      <w:r w:rsidRPr="009B0448">
        <w:rPr>
          <w:rFonts w:ascii="Times New Roman" w:hAnsi="Times New Roman" w:cs="Times New Roman"/>
        </w:rPr>
        <w:t xml:space="preserve">, 2006), is made up of locally resident stock as well as transboundary straddling and migratory stocks. Exploited species include small pelagic fishes, large migratory pelagic fishes such as tuna and billfishes, crustaceans, molluscs and demersal fish. Total reported landings (composed of mixed species due to poor categorisation of species at landings) have generally increased, from approximately 567,000 tons in the 1950s to a peak of 4.8 million tons in 2000, after which it declined to less than 4.4 million tons in 2010 and 2014 (Belhabib </w:t>
      </w:r>
      <w:r w:rsidRPr="009B0448">
        <w:rPr>
          <w:rFonts w:ascii="Times New Roman" w:hAnsi="Times New Roman" w:cs="Times New Roman"/>
          <w:i/>
        </w:rPr>
        <w:t>et al.</w:t>
      </w:r>
      <w:r w:rsidRPr="009B0448">
        <w:rPr>
          <w:rFonts w:ascii="Times New Roman" w:hAnsi="Times New Roman" w:cs="Times New Roman"/>
        </w:rPr>
        <w:t>, 2015; FAO, 2016). Small pelagics constitute almost 50% of landings and demersal resources in most areas are considered to be either fully fished or overfished (FAO, 2016).</w:t>
      </w:r>
    </w:p>
    <w:p w14:paraId="2D74653B" w14:textId="77777777" w:rsidR="009B0448" w:rsidRPr="009B0448" w:rsidRDefault="009B0448" w:rsidP="009B0448">
      <w:pPr>
        <w:spacing w:line="276" w:lineRule="auto"/>
        <w:jc w:val="both"/>
        <w:rPr>
          <w:rFonts w:ascii="Times New Roman" w:hAnsi="Times New Roman" w:cs="Times New Roman"/>
        </w:rPr>
      </w:pPr>
    </w:p>
    <w:p w14:paraId="655C412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Fisheries and overharvesting are the biggest threat to marine resources, affecting 87% (109 of 125 species) of threatened species, followed by habitat loss and coastal development affecting 55% of threatened species (69 of 125) (Polidoro </w:t>
      </w:r>
      <w:r w:rsidRPr="009B0448">
        <w:rPr>
          <w:rFonts w:ascii="Times New Roman" w:hAnsi="Times New Roman" w:cs="Times New Roman"/>
          <w:i/>
        </w:rPr>
        <w:t>et al.</w:t>
      </w:r>
      <w:r w:rsidRPr="009B0448">
        <w:rPr>
          <w:rFonts w:ascii="Times New Roman" w:hAnsi="Times New Roman" w:cs="Times New Roman"/>
        </w:rPr>
        <w:t xml:space="preserve">, 2017). Combination of habitat loss and overharvesting, in addition to natural environmental variations, is leading to significant changes in species composition over time, with the size spectrum of fish becoming smaller. With climate variations, annual landed value is estimated to decrease by 21% with an annual loss of $311 million for the entire economy of the region by 2050s (Badjeck </w:t>
      </w:r>
      <w:r w:rsidRPr="009B0448">
        <w:rPr>
          <w:rFonts w:ascii="Times New Roman" w:hAnsi="Times New Roman" w:cs="Times New Roman"/>
          <w:i/>
        </w:rPr>
        <w:t>et al.</w:t>
      </w:r>
      <w:r w:rsidRPr="009B0448">
        <w:rPr>
          <w:rFonts w:ascii="Times New Roman" w:hAnsi="Times New Roman" w:cs="Times New Roman"/>
        </w:rPr>
        <w:t xml:space="preserve">, 2010). The region is operating below its optimum level of ocean health and falls in the highest risk group, scoring a low 58 out of 100 on its ocean health index, compared to other large marine ecosystems (Kershaw </w:t>
      </w:r>
      <w:r w:rsidRPr="009B0448">
        <w:rPr>
          <w:rFonts w:ascii="Times New Roman" w:hAnsi="Times New Roman" w:cs="Times New Roman"/>
          <w:i/>
        </w:rPr>
        <w:t>et al.</w:t>
      </w:r>
      <w:r w:rsidRPr="009B0448">
        <w:rPr>
          <w:rFonts w:ascii="Times New Roman" w:hAnsi="Times New Roman" w:cs="Times New Roman"/>
        </w:rPr>
        <w:t>, 2016). The marine trophic index has also declined since the mid-1970s although there has been 18.57% increase in the coverage of marine protected areas between 1983 and 2014, from 829 km</w:t>
      </w:r>
      <w:r w:rsidRPr="009B0448">
        <w:rPr>
          <w:rFonts w:ascii="Times New Roman" w:hAnsi="Times New Roman" w:cs="Times New Roman"/>
          <w:vertAlign w:val="superscript"/>
        </w:rPr>
        <w:t>2</w:t>
      </w:r>
      <w:r w:rsidRPr="009B0448">
        <w:rPr>
          <w:rFonts w:ascii="Times New Roman" w:hAnsi="Times New Roman" w:cs="Times New Roman"/>
        </w:rPr>
        <w:t xml:space="preserve"> to 16,216 km</w:t>
      </w:r>
      <w:r w:rsidRPr="009B0448">
        <w:rPr>
          <w:rFonts w:ascii="Times New Roman" w:hAnsi="Times New Roman" w:cs="Times New Roman"/>
          <w:vertAlign w:val="superscript"/>
        </w:rPr>
        <w:t>2</w:t>
      </w:r>
      <w:r w:rsidRPr="009B0448">
        <w:rPr>
          <w:rFonts w:ascii="Times New Roman" w:hAnsi="Times New Roman" w:cs="Times New Roman"/>
        </w:rPr>
        <w:t xml:space="preserve">, respectively (Robin </w:t>
      </w:r>
      <w:r w:rsidRPr="009B0448">
        <w:rPr>
          <w:rFonts w:ascii="Times New Roman" w:hAnsi="Times New Roman" w:cs="Times New Roman"/>
          <w:i/>
        </w:rPr>
        <w:t>et al.</w:t>
      </w:r>
      <w:r w:rsidRPr="009B0448">
        <w:rPr>
          <w:rFonts w:ascii="Times New Roman" w:hAnsi="Times New Roman" w:cs="Times New Roman"/>
        </w:rPr>
        <w:t>, 2015).</w:t>
      </w:r>
    </w:p>
    <w:p w14:paraId="1F3C6244"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14" w:name="_Toc519499909"/>
      <w:r w:rsidRPr="009B0448">
        <w:rPr>
          <w:rFonts w:cs="Times New Roman"/>
          <w:b w:val="0"/>
          <w:sz w:val="22"/>
          <w:szCs w:val="22"/>
        </w:rPr>
        <w:t>Deep sea</w:t>
      </w:r>
      <w:bookmarkEnd w:id="214"/>
    </w:p>
    <w:p w14:paraId="6A929029" w14:textId="488E80BE"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In general, information about the deep sea megafauna is limited, although the echinoid </w:t>
      </w:r>
      <w:r w:rsidRPr="009B0448">
        <w:rPr>
          <w:rFonts w:ascii="Times New Roman" w:hAnsi="Times New Roman" w:cs="Times New Roman"/>
          <w:i/>
        </w:rPr>
        <w:t>Phormosoma placenta</w:t>
      </w:r>
      <w:r w:rsidRPr="009B0448">
        <w:rPr>
          <w:rFonts w:ascii="Times New Roman" w:hAnsi="Times New Roman" w:cs="Times New Roman"/>
        </w:rPr>
        <w:t xml:space="preserve"> is known as a common and abundant species in the </w:t>
      </w:r>
      <w:r w:rsidR="00B22D81">
        <w:rPr>
          <w:rFonts w:ascii="Times New Roman" w:hAnsi="Times New Roman" w:cs="Times New Roman"/>
        </w:rPr>
        <w:t>subregion</w:t>
      </w:r>
      <w:r w:rsidRPr="009B0448">
        <w:rPr>
          <w:rFonts w:ascii="Times New Roman" w:hAnsi="Times New Roman" w:cs="Times New Roman"/>
        </w:rPr>
        <w:t xml:space="preserve"> (Jones </w:t>
      </w:r>
      <w:r w:rsidRPr="009B0448">
        <w:rPr>
          <w:rFonts w:ascii="Times New Roman" w:hAnsi="Times New Roman" w:cs="Times New Roman"/>
          <w:i/>
        </w:rPr>
        <w:t>et al.</w:t>
      </w:r>
      <w:r w:rsidRPr="009B0448">
        <w:rPr>
          <w:rFonts w:ascii="Times New Roman" w:hAnsi="Times New Roman" w:cs="Times New Roman"/>
        </w:rPr>
        <w:t>, 2013). More than 650 deep-water and near-shore species of marine bony fish have been recorded in West Africa (CEPF, 2015). Of the 87 species of sharks and rays assessed, 54% are found to be threatened (CEPF, 2015).</w:t>
      </w:r>
    </w:p>
    <w:p w14:paraId="13B15D59"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215" w:name="_Toc503105165"/>
      <w:bookmarkStart w:id="216" w:name="_Toc519499910"/>
      <w:r w:rsidRPr="009B0448">
        <w:rPr>
          <w:rFonts w:cs="Times New Roman"/>
          <w:i w:val="0"/>
          <w:sz w:val="22"/>
          <w:szCs w:val="22"/>
        </w:rPr>
        <w:t>Southern Africa</w:t>
      </w:r>
      <w:bookmarkEnd w:id="215"/>
      <w:bookmarkEnd w:id="216"/>
    </w:p>
    <w:p w14:paraId="1656DAC1"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17" w:name="_Toc503105166"/>
      <w:bookmarkStart w:id="218" w:name="_Toc519499911"/>
      <w:r w:rsidRPr="009B0448">
        <w:rPr>
          <w:rFonts w:cs="Times New Roman"/>
          <w:sz w:val="22"/>
          <w:szCs w:val="22"/>
        </w:rPr>
        <w:t>Terrestrial</w:t>
      </w:r>
      <w:bookmarkEnd w:id="217"/>
      <w:bookmarkEnd w:id="218"/>
    </w:p>
    <w:p w14:paraId="1D12D32A"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19" w:name="_Toc519499912"/>
      <w:r w:rsidRPr="009B0448">
        <w:rPr>
          <w:rFonts w:cs="Times New Roman"/>
          <w:b w:val="0"/>
          <w:sz w:val="22"/>
          <w:szCs w:val="22"/>
        </w:rPr>
        <w:t>Tropical and subtropical dry and humid forest</w:t>
      </w:r>
      <w:bookmarkEnd w:id="219"/>
    </w:p>
    <w:p w14:paraId="763BBCCF"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 tropical dry forests of Southern Africa are located in Zambia, encompassing approximately 38,073 km</w:t>
      </w:r>
      <w:r w:rsidRPr="009B0448">
        <w:rPr>
          <w:rFonts w:ascii="Times New Roman" w:hAnsi="Times New Roman" w:cs="Times New Roman"/>
          <w:vertAlign w:val="superscript"/>
        </w:rPr>
        <w:t>2</w:t>
      </w:r>
      <w:r w:rsidRPr="009B0448">
        <w:rPr>
          <w:rFonts w:ascii="Times New Roman" w:hAnsi="Times New Roman" w:cs="Times New Roman"/>
        </w:rPr>
        <w:t xml:space="preserve"> of dry evergreen forest (WWF, 2017b). These forests represent a transition from Guineo-Congolian rainforest to Zambezian woodlands and are species-rich, but contain few endemics such as </w:t>
      </w:r>
      <w:r w:rsidRPr="009B0448">
        <w:rPr>
          <w:rFonts w:ascii="Times New Roman" w:hAnsi="Times New Roman" w:cs="Times New Roman"/>
          <w:i/>
        </w:rPr>
        <w:t>Crypotsepalum exfoliatum pseudotaxus</w:t>
      </w:r>
      <w:r w:rsidRPr="009B0448">
        <w:rPr>
          <w:rFonts w:ascii="Times New Roman" w:hAnsi="Times New Roman" w:cs="Times New Roman"/>
        </w:rPr>
        <w:t>, known locally as "mavunda" (WWF, 2017b). These forests in Zambia are a home to 17 species of amphibians, 175 species of birds, 89 species of mammals, 9 species of reptiles and 30 species of plants (IUCN, 2017). In South Africa, forest covers only about 17,600 km</w:t>
      </w:r>
      <w:r w:rsidRPr="009B0448">
        <w:rPr>
          <w:rFonts w:ascii="Times New Roman" w:hAnsi="Times New Roman" w:cs="Times New Roman"/>
          <w:vertAlign w:val="superscript"/>
        </w:rPr>
        <w:t xml:space="preserve">2 </w:t>
      </w:r>
      <w:r w:rsidRPr="009B0448">
        <w:rPr>
          <w:rFonts w:ascii="Times New Roman" w:hAnsi="Times New Roman" w:cs="Times New Roman"/>
        </w:rPr>
        <w:t xml:space="preserve">(Table 3.10), though there are patches of forest located within the savannah biome (Table 3.11). </w:t>
      </w:r>
    </w:p>
    <w:p w14:paraId="6CC74722" w14:textId="77777777" w:rsidR="009B0448" w:rsidRPr="009B0448" w:rsidRDefault="009B0448" w:rsidP="009B0448">
      <w:pPr>
        <w:spacing w:line="276" w:lineRule="auto"/>
        <w:jc w:val="both"/>
        <w:rPr>
          <w:rFonts w:ascii="Times New Roman" w:hAnsi="Times New Roman" w:cs="Times New Roman"/>
        </w:rPr>
      </w:pPr>
    </w:p>
    <w:p w14:paraId="3400DFF5"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Table 3.10:</w:t>
      </w:r>
      <w:r w:rsidRPr="009B0448">
        <w:rPr>
          <w:rFonts w:ascii="Times New Roman" w:hAnsi="Times New Roman" w:cs="Times New Roman"/>
        </w:rPr>
        <w:t xml:space="preserve"> The average fraction of the ‘natural populations of plant and vertebrate groups estimated to remain in the major biomes of South Africa. Source: van Jaarsveld </w:t>
      </w:r>
      <w:r w:rsidRPr="009B0448">
        <w:rPr>
          <w:rFonts w:ascii="Times New Roman" w:hAnsi="Times New Roman" w:cs="Times New Roman"/>
          <w:i/>
        </w:rPr>
        <w:t>et al.</w:t>
      </w:r>
      <w:r w:rsidRPr="009B0448">
        <w:rPr>
          <w:rFonts w:ascii="Times New Roman" w:hAnsi="Times New Roman" w:cs="Times New Roman"/>
        </w:rPr>
        <w:t xml:space="preserve"> (2005).</w:t>
      </w:r>
    </w:p>
    <w:tbl>
      <w:tblPr>
        <w:tblStyle w:val="PlainTable1"/>
        <w:tblW w:w="5000" w:type="pct"/>
        <w:tblLook w:val="04A0" w:firstRow="1" w:lastRow="0" w:firstColumn="1" w:lastColumn="0" w:noHBand="0" w:noVBand="1"/>
      </w:tblPr>
      <w:tblGrid>
        <w:gridCol w:w="1322"/>
        <w:gridCol w:w="1253"/>
        <w:gridCol w:w="1029"/>
        <w:gridCol w:w="1180"/>
        <w:gridCol w:w="999"/>
        <w:gridCol w:w="1102"/>
        <w:gridCol w:w="1180"/>
        <w:gridCol w:w="951"/>
      </w:tblGrid>
      <w:tr w:rsidR="009B0448" w:rsidRPr="009B0448" w14:paraId="086A4FFE" w14:textId="77777777" w:rsidTr="009B04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9C968B" w14:textId="77777777" w:rsidR="009B0448" w:rsidRPr="009B0448" w:rsidRDefault="009B0448">
            <w:pPr>
              <w:spacing w:line="276" w:lineRule="auto"/>
              <w:jc w:val="both"/>
              <w:rPr>
                <w:rFonts w:ascii="Times New Roman" w:hAnsi="Times New Roman" w:cs="Times New Roman"/>
              </w:rPr>
            </w:pPr>
          </w:p>
        </w:tc>
        <w:tc>
          <w:tcPr>
            <w:tcW w:w="13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48127C" w14:textId="77777777" w:rsidR="009B0448" w:rsidRPr="009B0448" w:rsidRDefault="009B0448">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Area (km</w:t>
            </w:r>
            <w:r w:rsidRPr="009B0448">
              <w:rPr>
                <w:rFonts w:ascii="Times New Roman" w:hAnsi="Times New Roman" w:cs="Times New Roman"/>
                <w:vertAlign w:val="superscript"/>
              </w:rPr>
              <w:t>2</w:t>
            </w:r>
            <w:r w:rsidRPr="009B0448">
              <w:rPr>
                <w:rFonts w:ascii="Times New Roman" w:hAnsi="Times New Roman" w:cs="Times New Roman"/>
              </w:rPr>
              <w:t>)</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F9FD89" w14:textId="77777777" w:rsidR="009B0448" w:rsidRPr="009B0448" w:rsidRDefault="009B0448">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Plants</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80261E" w14:textId="77777777" w:rsidR="009B0448" w:rsidRPr="009B0448" w:rsidRDefault="009B0448">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Mammals</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433353" w14:textId="77777777" w:rsidR="009B0448" w:rsidRPr="009B0448" w:rsidRDefault="009B0448">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Birds</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14DC9C" w14:textId="77777777" w:rsidR="009B0448" w:rsidRPr="009B0448" w:rsidRDefault="009B0448">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Reptiles</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5FFDE6" w14:textId="77777777" w:rsidR="009B0448" w:rsidRPr="009B0448" w:rsidRDefault="009B0448">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Amphibia</w:t>
            </w:r>
          </w:p>
        </w:tc>
        <w:tc>
          <w:tcPr>
            <w:tcW w:w="11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9C475B" w14:textId="77777777" w:rsidR="009B0448" w:rsidRPr="009B0448" w:rsidRDefault="009B0448">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All taxa</w:t>
            </w:r>
          </w:p>
        </w:tc>
      </w:tr>
      <w:tr w:rsidR="009B0448" w:rsidRPr="009B0448" w14:paraId="1674B722"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8B864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Forest</w:t>
            </w:r>
          </w:p>
        </w:tc>
        <w:tc>
          <w:tcPr>
            <w:tcW w:w="13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AA7AA8"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176,893</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302910"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0.75</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A44732"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0.75</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4C10B8"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0.92</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2A4E97"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0.86</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15D87C"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0.85</w:t>
            </w:r>
          </w:p>
        </w:tc>
        <w:tc>
          <w:tcPr>
            <w:tcW w:w="11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1F00F6"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0.78</w:t>
            </w:r>
          </w:p>
        </w:tc>
      </w:tr>
      <w:tr w:rsidR="009B0448" w:rsidRPr="009B0448" w14:paraId="31158F5B" w14:textId="77777777" w:rsidTr="009B0448">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A25E0F"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Savana</w:t>
            </w:r>
          </w:p>
        </w:tc>
        <w:tc>
          <w:tcPr>
            <w:tcW w:w="13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FF1C98"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2,329,550</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F8E76E"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0.86</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D35CAC"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0.73</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0971A1D"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0.96</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D18608"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0.89</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0F9CEC"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0.96</w:t>
            </w:r>
          </w:p>
        </w:tc>
        <w:tc>
          <w:tcPr>
            <w:tcW w:w="11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03F688"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0.87</w:t>
            </w:r>
          </w:p>
        </w:tc>
      </w:tr>
      <w:tr w:rsidR="009B0448" w:rsidRPr="009B0448" w14:paraId="758D8B92"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32968A2"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Grassland</w:t>
            </w:r>
          </w:p>
        </w:tc>
        <w:tc>
          <w:tcPr>
            <w:tcW w:w="13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9FC8C6"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408,874</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E61711"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0.72</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0FB76D"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0.55</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FC98AD"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0.90</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7A1B02"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0.76</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6B06CD"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0.81</w:t>
            </w:r>
          </w:p>
        </w:tc>
        <w:tc>
          <w:tcPr>
            <w:tcW w:w="11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F0AF9A"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0.74</w:t>
            </w:r>
          </w:p>
        </w:tc>
      </w:tr>
      <w:tr w:rsidR="009B0448" w:rsidRPr="009B0448" w14:paraId="291C36E4" w14:textId="77777777" w:rsidTr="009B0448">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305E11"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Shrubland</w:t>
            </w:r>
          </w:p>
        </w:tc>
        <w:tc>
          <w:tcPr>
            <w:tcW w:w="13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95A019"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750,217</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2BA478"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0.86</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514AB6"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0.72</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DAC0E04"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1.06</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CA2B0DA"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0.93</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678FB6"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1.27</w:t>
            </w:r>
          </w:p>
        </w:tc>
        <w:tc>
          <w:tcPr>
            <w:tcW w:w="11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00FDFB"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0.89</w:t>
            </w:r>
          </w:p>
        </w:tc>
      </w:tr>
      <w:tr w:rsidR="009B0448" w:rsidRPr="009B0448" w14:paraId="31AD96E2"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727ED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xml:space="preserve">Fynbos </w:t>
            </w:r>
          </w:p>
        </w:tc>
        <w:tc>
          <w:tcPr>
            <w:tcW w:w="13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79499C"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78,533</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09CC66"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0.75</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F34004"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0.78</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EBC6EC"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0.91</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3B341B"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0.77</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4AF0FB"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0.79</w:t>
            </w:r>
          </w:p>
        </w:tc>
        <w:tc>
          <w:tcPr>
            <w:tcW w:w="11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0BD316"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0.76</w:t>
            </w:r>
          </w:p>
        </w:tc>
      </w:tr>
      <w:tr w:rsidR="009B0448" w:rsidRPr="009B0448" w14:paraId="64CCBD71" w14:textId="77777777" w:rsidTr="009B0448">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82362A"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 xml:space="preserve">Wetland </w:t>
            </w:r>
          </w:p>
        </w:tc>
        <w:tc>
          <w:tcPr>
            <w:tcW w:w="13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64CFD5"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95,166</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8611D9"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0.91</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6761DC"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0.83</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221F53"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0.94</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1863EF"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0.92</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BE84D2"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0.95</w:t>
            </w:r>
          </w:p>
        </w:tc>
        <w:tc>
          <w:tcPr>
            <w:tcW w:w="11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FA1A39"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0.91</w:t>
            </w:r>
          </w:p>
        </w:tc>
      </w:tr>
      <w:tr w:rsidR="009B0448" w:rsidRPr="009B0448" w14:paraId="65E9A3C5"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8C95DC" w14:textId="77777777" w:rsidR="009B0448" w:rsidRPr="009B0448" w:rsidRDefault="009B0448">
            <w:pPr>
              <w:spacing w:line="276" w:lineRule="auto"/>
              <w:jc w:val="both"/>
              <w:rPr>
                <w:rFonts w:ascii="Times New Roman" w:hAnsi="Times New Roman" w:cs="Times New Roman"/>
              </w:rPr>
            </w:pPr>
            <w:r w:rsidRPr="009B0448">
              <w:rPr>
                <w:rFonts w:ascii="Times New Roman" w:hAnsi="Times New Roman" w:cs="Times New Roman"/>
              </w:rPr>
              <w:t>All biomes</w:t>
            </w:r>
          </w:p>
        </w:tc>
        <w:tc>
          <w:tcPr>
            <w:tcW w:w="13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5DCB6D"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3,839,233</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51D868"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0.82</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E7F661"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0.71</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E3D6F5"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0.96</w:t>
            </w:r>
          </w:p>
        </w:tc>
        <w:tc>
          <w:tcPr>
            <w:tcW w:w="11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BA482C"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0.88</w:t>
            </w:r>
          </w:p>
        </w:tc>
        <w:tc>
          <w:tcPr>
            <w:tcW w:w="119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6FB1A6"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0.95</w:t>
            </w:r>
          </w:p>
        </w:tc>
        <w:tc>
          <w:tcPr>
            <w:tcW w:w="11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FF1C33"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0.84</w:t>
            </w:r>
          </w:p>
        </w:tc>
      </w:tr>
    </w:tbl>
    <w:p w14:paraId="4F3CB533" w14:textId="77777777" w:rsidR="009B0448" w:rsidRPr="009B0448" w:rsidRDefault="009B0448" w:rsidP="009B0448">
      <w:pPr>
        <w:spacing w:line="276" w:lineRule="auto"/>
        <w:jc w:val="both"/>
        <w:rPr>
          <w:rFonts w:ascii="Times New Roman" w:hAnsi="Times New Roman" w:cs="Times New Roman"/>
        </w:rPr>
      </w:pPr>
    </w:p>
    <w:p w14:paraId="6700504C"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Table 3.11:</w:t>
      </w:r>
      <w:r w:rsidRPr="009B0448">
        <w:rPr>
          <w:rFonts w:ascii="Times New Roman" w:hAnsi="Times New Roman" w:cs="Times New Roman"/>
        </w:rPr>
        <w:t xml:space="preserve"> Biodiversity status in the three major Gariep biomes. Source: van Jaarsveld </w:t>
      </w:r>
      <w:r w:rsidRPr="009B0448">
        <w:rPr>
          <w:rFonts w:ascii="Times New Roman" w:hAnsi="Times New Roman" w:cs="Times New Roman"/>
          <w:i/>
        </w:rPr>
        <w:t>et al.</w:t>
      </w:r>
      <w:r w:rsidRPr="009B0448">
        <w:rPr>
          <w:rFonts w:ascii="Times New Roman" w:hAnsi="Times New Roman" w:cs="Times New Roman"/>
        </w:rPr>
        <w:t xml:space="preserve"> (2005).</w:t>
      </w:r>
    </w:p>
    <w:tbl>
      <w:tblPr>
        <w:tblStyle w:val="PlainTable1"/>
        <w:tblW w:w="5000" w:type="pct"/>
        <w:tblLook w:val="04A0" w:firstRow="1" w:lastRow="0" w:firstColumn="1" w:lastColumn="0" w:noHBand="0" w:noVBand="1"/>
      </w:tblPr>
      <w:tblGrid>
        <w:gridCol w:w="1565"/>
        <w:gridCol w:w="1010"/>
        <w:gridCol w:w="1056"/>
        <w:gridCol w:w="1272"/>
        <w:gridCol w:w="1380"/>
        <w:gridCol w:w="1243"/>
        <w:gridCol w:w="1490"/>
      </w:tblGrid>
      <w:tr w:rsidR="009B0448" w:rsidRPr="009B0448" w14:paraId="565ACCDA" w14:textId="77777777" w:rsidTr="009B0448">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86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156D99" w14:textId="77777777" w:rsidR="009B0448" w:rsidRPr="009B0448" w:rsidRDefault="009B0448">
            <w:pPr>
              <w:spacing w:line="276" w:lineRule="auto"/>
              <w:jc w:val="both"/>
              <w:rPr>
                <w:rFonts w:ascii="Times New Roman" w:hAnsi="Times New Roman" w:cs="Times New Roman"/>
                <w:bCs w:val="0"/>
                <w:color w:val="auto"/>
                <w:lang w:eastAsia="en-GB"/>
              </w:rPr>
            </w:pPr>
            <w:r w:rsidRPr="009B0448">
              <w:rPr>
                <w:rFonts w:ascii="Times New Roman" w:hAnsi="Times New Roman" w:cs="Times New Roman"/>
                <w:bCs w:val="0"/>
                <w:color w:val="auto"/>
                <w:lang w:eastAsia="en-GB"/>
              </w:rPr>
              <w:t>Biome</w:t>
            </w:r>
          </w:p>
        </w:tc>
        <w:tc>
          <w:tcPr>
            <w:tcW w:w="5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1A2EF8" w14:textId="77777777" w:rsidR="009B0448" w:rsidRPr="009B0448" w:rsidRDefault="009B0448">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lang w:eastAsia="en-GB"/>
              </w:rPr>
            </w:pPr>
            <w:r w:rsidRPr="009B0448">
              <w:rPr>
                <w:rFonts w:ascii="Times New Roman" w:hAnsi="Times New Roman" w:cs="Times New Roman"/>
                <w:bCs w:val="0"/>
                <w:color w:val="auto"/>
                <w:lang w:eastAsia="en-GB"/>
              </w:rPr>
              <w:t>Area (km</w:t>
            </w:r>
            <w:r w:rsidRPr="009B0448">
              <w:rPr>
                <w:rFonts w:ascii="Times New Roman" w:hAnsi="Times New Roman" w:cs="Times New Roman"/>
                <w:bCs w:val="0"/>
                <w:color w:val="auto"/>
                <w:bdr w:val="none" w:sz="0" w:space="0" w:color="auto" w:frame="1"/>
                <w:vertAlign w:val="superscript"/>
                <w:lang w:eastAsia="en-GB"/>
              </w:rPr>
              <w:t>2</w:t>
            </w:r>
            <w:r w:rsidRPr="009B0448">
              <w:rPr>
                <w:rFonts w:ascii="Times New Roman" w:hAnsi="Times New Roman" w:cs="Times New Roman"/>
                <w:bCs w:val="0"/>
                <w:color w:val="auto"/>
                <w:lang w:eastAsia="en-GB"/>
              </w:rPr>
              <w:t>)</w:t>
            </w:r>
          </w:p>
        </w:tc>
        <w:tc>
          <w:tcPr>
            <w:tcW w:w="5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88B644" w14:textId="77777777" w:rsidR="009B0448" w:rsidRPr="009B0448" w:rsidRDefault="009B0448">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lang w:eastAsia="en-GB"/>
              </w:rPr>
            </w:pPr>
            <w:r w:rsidRPr="009B0448">
              <w:rPr>
                <w:rFonts w:ascii="Times New Roman" w:hAnsi="Times New Roman" w:cs="Times New Roman"/>
                <w:bCs w:val="0"/>
                <w:color w:val="auto"/>
                <w:lang w:eastAsia="en-GB"/>
              </w:rPr>
              <w:t>Species richness</w:t>
            </w:r>
            <w:r w:rsidRPr="009B0448">
              <w:rPr>
                <w:rFonts w:ascii="Times New Roman" w:hAnsi="Times New Roman" w:cs="Times New Roman"/>
                <w:bCs w:val="0"/>
                <w:color w:val="auto"/>
                <w:vertAlign w:val="superscript"/>
                <w:lang w:eastAsia="en-GB"/>
              </w:rPr>
              <w:t>1</w:t>
            </w:r>
          </w:p>
        </w:tc>
        <w:tc>
          <w:tcPr>
            <w:tcW w:w="70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C4FDD6" w14:textId="77777777" w:rsidR="009B0448" w:rsidRPr="009B0448" w:rsidRDefault="009B0448">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lang w:eastAsia="en-GB"/>
              </w:rPr>
            </w:pPr>
            <w:r w:rsidRPr="009B0448">
              <w:rPr>
                <w:rFonts w:ascii="Times New Roman" w:hAnsi="Times New Roman" w:cs="Times New Roman"/>
                <w:bCs w:val="0"/>
                <w:color w:val="auto"/>
                <w:lang w:eastAsia="en-GB"/>
              </w:rPr>
              <w:t>Endemic spp.</w:t>
            </w:r>
            <w:r w:rsidRPr="009B0448">
              <w:rPr>
                <w:rFonts w:ascii="Times New Roman" w:hAnsi="Times New Roman" w:cs="Times New Roman"/>
                <w:bCs w:val="0"/>
                <w:color w:val="auto"/>
                <w:vertAlign w:val="superscript"/>
                <w:lang w:eastAsia="en-GB"/>
              </w:rPr>
              <w:t>2</w:t>
            </w:r>
          </w:p>
        </w:tc>
        <w:tc>
          <w:tcPr>
            <w:tcW w:w="76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4AB7E2" w14:textId="77777777" w:rsidR="009B0448" w:rsidRPr="009B0448" w:rsidRDefault="009B0448">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lang w:eastAsia="en-GB"/>
              </w:rPr>
            </w:pPr>
            <w:r w:rsidRPr="009B0448">
              <w:rPr>
                <w:rFonts w:ascii="Times New Roman" w:hAnsi="Times New Roman" w:cs="Times New Roman"/>
                <w:bCs w:val="0"/>
                <w:color w:val="auto"/>
                <w:lang w:eastAsia="en-GB"/>
              </w:rPr>
              <w:t>Endangered spp.</w:t>
            </w:r>
            <w:r w:rsidRPr="009B0448">
              <w:rPr>
                <w:rFonts w:ascii="Times New Roman" w:hAnsi="Times New Roman" w:cs="Times New Roman"/>
                <w:bCs w:val="0"/>
                <w:color w:val="auto"/>
                <w:vertAlign w:val="superscript"/>
                <w:lang w:eastAsia="en-GB"/>
              </w:rPr>
              <w:t>3</w:t>
            </w:r>
          </w:p>
        </w:tc>
        <w:tc>
          <w:tcPr>
            <w:tcW w:w="69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7D3B55" w14:textId="77777777" w:rsidR="009B0448" w:rsidRPr="009B0448" w:rsidRDefault="009B0448">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lang w:eastAsia="en-GB"/>
              </w:rPr>
            </w:pPr>
            <w:r w:rsidRPr="009B0448">
              <w:rPr>
                <w:rFonts w:ascii="Times New Roman" w:hAnsi="Times New Roman" w:cs="Times New Roman"/>
                <w:bCs w:val="0"/>
                <w:color w:val="auto"/>
                <w:lang w:eastAsia="en-GB"/>
              </w:rPr>
              <w:t>Protected area</w:t>
            </w:r>
            <w:r w:rsidRPr="009B0448">
              <w:rPr>
                <w:rFonts w:ascii="Times New Roman" w:hAnsi="Times New Roman" w:cs="Times New Roman"/>
                <w:bCs w:val="0"/>
                <w:color w:val="auto"/>
                <w:vertAlign w:val="superscript"/>
                <w:lang w:eastAsia="en-GB"/>
              </w:rPr>
              <w:t>4</w:t>
            </w:r>
            <w:r w:rsidRPr="009B0448">
              <w:rPr>
                <w:rFonts w:ascii="Times New Roman" w:hAnsi="Times New Roman" w:cs="Times New Roman"/>
                <w:bCs w:val="0"/>
                <w:color w:val="auto"/>
                <w:lang w:eastAsia="en-GB"/>
              </w:rPr>
              <w:t> (%)</w:t>
            </w:r>
          </w:p>
        </w:tc>
        <w:tc>
          <w:tcPr>
            <w:tcW w:w="82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5A0ABD" w14:textId="77777777" w:rsidR="009B0448" w:rsidRPr="009B0448" w:rsidRDefault="009B0448">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lang w:eastAsia="en-GB"/>
              </w:rPr>
            </w:pPr>
            <w:r w:rsidRPr="009B0448">
              <w:rPr>
                <w:rFonts w:ascii="Times New Roman" w:hAnsi="Times New Roman" w:cs="Times New Roman"/>
                <w:bCs w:val="0"/>
                <w:color w:val="auto"/>
                <w:lang w:eastAsia="en-GB"/>
              </w:rPr>
              <w:t>Transformed area</w:t>
            </w:r>
            <w:r w:rsidRPr="009B0448">
              <w:rPr>
                <w:rFonts w:ascii="Times New Roman" w:hAnsi="Times New Roman" w:cs="Times New Roman"/>
                <w:bCs w:val="0"/>
                <w:color w:val="auto"/>
                <w:vertAlign w:val="superscript"/>
                <w:lang w:eastAsia="en-GB"/>
              </w:rPr>
              <w:t>5</w:t>
            </w:r>
            <w:r w:rsidRPr="009B0448">
              <w:rPr>
                <w:rFonts w:ascii="Times New Roman" w:hAnsi="Times New Roman" w:cs="Times New Roman"/>
                <w:bCs w:val="0"/>
                <w:color w:val="auto"/>
                <w:lang w:eastAsia="en-GB"/>
              </w:rPr>
              <w:t> (%)</w:t>
            </w:r>
          </w:p>
        </w:tc>
      </w:tr>
      <w:tr w:rsidR="009B0448" w:rsidRPr="009B0448" w14:paraId="564D2647" w14:textId="77777777" w:rsidTr="009B044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86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719904" w14:textId="77777777" w:rsidR="009B0448" w:rsidRPr="009B0448" w:rsidRDefault="009B0448">
            <w:pPr>
              <w:spacing w:line="276" w:lineRule="auto"/>
              <w:jc w:val="both"/>
              <w:rPr>
                <w:rFonts w:ascii="Times New Roman" w:hAnsi="Times New Roman" w:cs="Times New Roman"/>
                <w:color w:val="auto"/>
                <w:lang w:eastAsia="en-GB"/>
              </w:rPr>
            </w:pPr>
            <w:r w:rsidRPr="009B0448">
              <w:rPr>
                <w:rFonts w:ascii="Times New Roman" w:hAnsi="Times New Roman" w:cs="Times New Roman"/>
                <w:color w:val="auto"/>
                <w:lang w:eastAsia="en-GB"/>
              </w:rPr>
              <w:t>Grasslands</w:t>
            </w:r>
          </w:p>
        </w:tc>
        <w:tc>
          <w:tcPr>
            <w:tcW w:w="5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0815C7"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215, 508</w:t>
            </w:r>
          </w:p>
        </w:tc>
        <w:tc>
          <w:tcPr>
            <w:tcW w:w="5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385FB6"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1,377</w:t>
            </w:r>
          </w:p>
        </w:tc>
        <w:tc>
          <w:tcPr>
            <w:tcW w:w="70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BCC2F4"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144</w:t>
            </w:r>
          </w:p>
        </w:tc>
        <w:tc>
          <w:tcPr>
            <w:tcW w:w="76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8FCB75"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112</w:t>
            </w:r>
          </w:p>
        </w:tc>
        <w:tc>
          <w:tcPr>
            <w:tcW w:w="69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7CFF8E"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2.7</w:t>
            </w:r>
          </w:p>
        </w:tc>
        <w:tc>
          <w:tcPr>
            <w:tcW w:w="82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6498F7"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28.8</w:t>
            </w:r>
          </w:p>
        </w:tc>
      </w:tr>
      <w:tr w:rsidR="009B0448" w:rsidRPr="009B0448" w14:paraId="19EAE06A" w14:textId="77777777" w:rsidTr="009B0448">
        <w:trPr>
          <w:trHeight w:val="170"/>
        </w:trPr>
        <w:tc>
          <w:tcPr>
            <w:cnfStyle w:val="001000000000" w:firstRow="0" w:lastRow="0" w:firstColumn="1" w:lastColumn="0" w:oddVBand="0" w:evenVBand="0" w:oddHBand="0" w:evenHBand="0" w:firstRowFirstColumn="0" w:firstRowLastColumn="0" w:lastRowFirstColumn="0" w:lastRowLastColumn="0"/>
            <w:tcW w:w="86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C256DE" w14:textId="77777777" w:rsidR="009B0448" w:rsidRPr="009B0448" w:rsidRDefault="009B0448">
            <w:pPr>
              <w:spacing w:line="276" w:lineRule="auto"/>
              <w:jc w:val="both"/>
              <w:rPr>
                <w:rFonts w:ascii="Times New Roman" w:hAnsi="Times New Roman" w:cs="Times New Roman"/>
                <w:color w:val="auto"/>
                <w:lang w:eastAsia="en-GB"/>
              </w:rPr>
            </w:pPr>
            <w:r w:rsidRPr="009B0448">
              <w:rPr>
                <w:rFonts w:ascii="Times New Roman" w:hAnsi="Times New Roman" w:cs="Times New Roman"/>
                <w:color w:val="auto"/>
                <w:lang w:eastAsia="en-GB"/>
              </w:rPr>
              <w:t>Savannah</w:t>
            </w:r>
          </w:p>
        </w:tc>
        <w:tc>
          <w:tcPr>
            <w:tcW w:w="5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8B8421"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190 ,646</w:t>
            </w:r>
          </w:p>
        </w:tc>
        <w:tc>
          <w:tcPr>
            <w:tcW w:w="5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5894AB"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1,424</w:t>
            </w:r>
          </w:p>
        </w:tc>
        <w:tc>
          <w:tcPr>
            <w:tcW w:w="70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4C442F"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106</w:t>
            </w:r>
          </w:p>
        </w:tc>
        <w:tc>
          <w:tcPr>
            <w:tcW w:w="76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E0844F"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102</w:t>
            </w:r>
          </w:p>
        </w:tc>
        <w:tc>
          <w:tcPr>
            <w:tcW w:w="69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409E40"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10.6</w:t>
            </w:r>
          </w:p>
        </w:tc>
        <w:tc>
          <w:tcPr>
            <w:tcW w:w="82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039EAC" w14:textId="77777777" w:rsidR="009B0448" w:rsidRPr="009B0448" w:rsidRDefault="009B044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6.7</w:t>
            </w:r>
          </w:p>
        </w:tc>
      </w:tr>
      <w:tr w:rsidR="009B0448" w:rsidRPr="009B0448" w14:paraId="1E6CB42D" w14:textId="77777777" w:rsidTr="009B044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86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2B00841" w14:textId="77777777" w:rsidR="009B0448" w:rsidRPr="009B0448" w:rsidRDefault="009B0448">
            <w:pPr>
              <w:spacing w:line="276" w:lineRule="auto"/>
              <w:jc w:val="both"/>
              <w:rPr>
                <w:rFonts w:ascii="Times New Roman" w:hAnsi="Times New Roman" w:cs="Times New Roman"/>
                <w:color w:val="auto"/>
                <w:lang w:eastAsia="en-GB"/>
              </w:rPr>
            </w:pPr>
            <w:r w:rsidRPr="009B0448">
              <w:rPr>
                <w:rFonts w:ascii="Times New Roman" w:hAnsi="Times New Roman" w:cs="Times New Roman"/>
                <w:color w:val="auto"/>
                <w:lang w:eastAsia="en-GB"/>
              </w:rPr>
              <w:t>Nama Karoo</w:t>
            </w:r>
          </w:p>
        </w:tc>
        <w:tc>
          <w:tcPr>
            <w:tcW w:w="5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399AB1"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237 ,147</w:t>
            </w:r>
          </w:p>
        </w:tc>
        <w:tc>
          <w:tcPr>
            <w:tcW w:w="58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F037D7"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979</w:t>
            </w:r>
          </w:p>
        </w:tc>
        <w:tc>
          <w:tcPr>
            <w:tcW w:w="70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9B0E25"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99</w:t>
            </w:r>
          </w:p>
        </w:tc>
        <w:tc>
          <w:tcPr>
            <w:tcW w:w="76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7A6F84"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73</w:t>
            </w:r>
          </w:p>
        </w:tc>
        <w:tc>
          <w:tcPr>
            <w:tcW w:w="69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14FF23"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1.3</w:t>
            </w:r>
          </w:p>
        </w:tc>
        <w:tc>
          <w:tcPr>
            <w:tcW w:w="82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8C8F93" w14:textId="77777777" w:rsidR="009B0448" w:rsidRPr="009B0448" w:rsidRDefault="009B044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eastAsia="en-GB"/>
              </w:rPr>
            </w:pPr>
            <w:r w:rsidRPr="009B0448">
              <w:rPr>
                <w:rFonts w:ascii="Times New Roman" w:hAnsi="Times New Roman" w:cs="Times New Roman"/>
                <w:color w:val="auto"/>
                <w:lang w:eastAsia="en-GB"/>
              </w:rPr>
              <w:t>1.5</w:t>
            </w:r>
          </w:p>
        </w:tc>
      </w:tr>
      <w:tr w:rsidR="009B0448" w:rsidRPr="009B0448" w14:paraId="766AE031" w14:textId="77777777" w:rsidTr="009B0448">
        <w:trPr>
          <w:trHeight w:val="170"/>
        </w:trPr>
        <w:tc>
          <w:tcPr>
            <w:cnfStyle w:val="001000000000" w:firstRow="0" w:lastRow="0" w:firstColumn="1" w:lastColumn="0" w:oddVBand="0" w:evenVBand="0" w:oddHBand="0" w:evenHBand="0" w:firstRowFirstColumn="0" w:firstRowLastColumn="0" w:lastRowFirstColumn="0" w:lastRowLastColumn="0"/>
            <w:tcW w:w="5000" w:type="pct"/>
            <w:gridSpan w:val="7"/>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48D78C" w14:textId="77777777" w:rsidR="009B0448" w:rsidRPr="009B0448" w:rsidRDefault="009B0448">
            <w:pPr>
              <w:shd w:val="clear" w:color="auto" w:fill="FFFFFF"/>
              <w:spacing w:line="276" w:lineRule="auto"/>
              <w:jc w:val="both"/>
              <w:textAlignment w:val="baseline"/>
              <w:rPr>
                <w:rFonts w:ascii="Times New Roman" w:hAnsi="Times New Roman" w:cs="Times New Roman"/>
                <w:b w:val="0"/>
                <w:color w:val="auto"/>
                <w:sz w:val="18"/>
                <w:szCs w:val="18"/>
                <w:lang w:eastAsia="en-GB"/>
              </w:rPr>
            </w:pPr>
            <w:r w:rsidRPr="009B0448">
              <w:rPr>
                <w:rFonts w:ascii="Times New Roman" w:hAnsi="Times New Roman" w:cs="Times New Roman"/>
                <w:b w:val="0"/>
                <w:color w:val="auto"/>
                <w:sz w:val="18"/>
                <w:szCs w:val="18"/>
                <w:bdr w:val="none" w:sz="0" w:space="0" w:color="auto" w:frame="1"/>
                <w:lang w:eastAsia="en-GB"/>
              </w:rPr>
              <w:t>1:</w:t>
            </w:r>
            <w:r w:rsidRPr="009B0448">
              <w:rPr>
                <w:rFonts w:ascii="Times New Roman" w:hAnsi="Times New Roman" w:cs="Times New Roman"/>
                <w:b w:val="0"/>
                <w:color w:val="auto"/>
                <w:sz w:val="18"/>
                <w:szCs w:val="18"/>
                <w:lang w:eastAsia="en-GB"/>
              </w:rPr>
              <w:t> Species data for birds, butterflies, mammals, reptiles and scarabs from SA-ISIS (</w:t>
            </w:r>
            <w:hyperlink r:id="rId678" w:history="1">
              <w:r w:rsidRPr="009B0448">
                <w:rPr>
                  <w:rStyle w:val="Hyperlink"/>
                  <w:rFonts w:ascii="Times New Roman" w:hAnsi="Times New Roman" w:cs="Times New Roman"/>
                  <w:b w:val="0"/>
                  <w:color w:val="auto"/>
                  <w:sz w:val="18"/>
                  <w:szCs w:val="18"/>
                  <w:bdr w:val="none" w:sz="0" w:space="0" w:color="auto" w:frame="1"/>
                  <w:lang w:eastAsia="en-GB"/>
                </w:rPr>
                <w:t>http://spatial.csir.co.za/website/</w:t>
              </w:r>
            </w:hyperlink>
            <w:r w:rsidRPr="009B0448">
              <w:rPr>
                <w:rFonts w:ascii="Times New Roman" w:hAnsi="Times New Roman" w:cs="Times New Roman"/>
                <w:b w:val="0"/>
                <w:color w:val="auto"/>
                <w:sz w:val="18"/>
                <w:szCs w:val="18"/>
                <w:lang w:eastAsia="en-GB"/>
              </w:rPr>
              <w:t>).</w:t>
            </w:r>
          </w:p>
          <w:p w14:paraId="4481EE5A" w14:textId="77777777" w:rsidR="009B0448" w:rsidRPr="009B0448" w:rsidRDefault="009B0448">
            <w:pPr>
              <w:shd w:val="clear" w:color="auto" w:fill="FFFFFF"/>
              <w:spacing w:line="276" w:lineRule="auto"/>
              <w:jc w:val="both"/>
              <w:textAlignment w:val="baseline"/>
              <w:rPr>
                <w:rFonts w:ascii="Times New Roman" w:hAnsi="Times New Roman" w:cs="Times New Roman"/>
                <w:b w:val="0"/>
                <w:color w:val="auto"/>
                <w:sz w:val="18"/>
                <w:szCs w:val="18"/>
                <w:lang w:eastAsia="en-GB"/>
              </w:rPr>
            </w:pPr>
            <w:r w:rsidRPr="009B0448">
              <w:rPr>
                <w:rFonts w:ascii="Times New Roman" w:hAnsi="Times New Roman" w:cs="Times New Roman"/>
                <w:b w:val="0"/>
                <w:color w:val="auto"/>
                <w:sz w:val="18"/>
                <w:szCs w:val="18"/>
                <w:bdr w:val="none" w:sz="0" w:space="0" w:color="auto" w:frame="1"/>
                <w:lang w:eastAsia="en-GB"/>
              </w:rPr>
              <w:t>2:</w:t>
            </w:r>
            <w:r w:rsidRPr="009B0448">
              <w:rPr>
                <w:rFonts w:ascii="Times New Roman" w:hAnsi="Times New Roman" w:cs="Times New Roman"/>
                <w:b w:val="0"/>
                <w:color w:val="auto"/>
                <w:sz w:val="18"/>
                <w:szCs w:val="18"/>
                <w:lang w:eastAsia="en-GB"/>
              </w:rPr>
              <w:t> Endemic to South Africa.</w:t>
            </w:r>
          </w:p>
          <w:p w14:paraId="47A1BA07" w14:textId="77777777" w:rsidR="009B0448" w:rsidRPr="009B0448" w:rsidRDefault="009B0448">
            <w:pPr>
              <w:shd w:val="clear" w:color="auto" w:fill="FFFFFF"/>
              <w:spacing w:line="276" w:lineRule="auto"/>
              <w:jc w:val="both"/>
              <w:textAlignment w:val="baseline"/>
              <w:rPr>
                <w:rFonts w:ascii="Times New Roman" w:hAnsi="Times New Roman" w:cs="Times New Roman"/>
                <w:b w:val="0"/>
                <w:color w:val="auto"/>
                <w:sz w:val="18"/>
                <w:szCs w:val="18"/>
                <w:lang w:eastAsia="en-GB"/>
              </w:rPr>
            </w:pPr>
            <w:r w:rsidRPr="009B0448">
              <w:rPr>
                <w:rFonts w:ascii="Times New Roman" w:hAnsi="Times New Roman" w:cs="Times New Roman"/>
                <w:b w:val="0"/>
                <w:color w:val="auto"/>
                <w:sz w:val="18"/>
                <w:szCs w:val="18"/>
                <w:bdr w:val="none" w:sz="0" w:space="0" w:color="auto" w:frame="1"/>
                <w:lang w:eastAsia="en-GB"/>
              </w:rPr>
              <w:t>3:</w:t>
            </w:r>
            <w:r w:rsidRPr="009B0448">
              <w:rPr>
                <w:rFonts w:ascii="Times New Roman" w:hAnsi="Times New Roman" w:cs="Times New Roman"/>
                <w:b w:val="0"/>
                <w:color w:val="auto"/>
                <w:sz w:val="18"/>
                <w:szCs w:val="18"/>
                <w:lang w:eastAsia="en-GB"/>
              </w:rPr>
              <w:t> Endangered if listed in the Red Data Books for birds and mammals. Other taxa assessed by expert opinion.</w:t>
            </w:r>
          </w:p>
          <w:p w14:paraId="226A7563" w14:textId="77777777" w:rsidR="009B0448" w:rsidRPr="009B0448" w:rsidRDefault="009B0448">
            <w:pPr>
              <w:shd w:val="clear" w:color="auto" w:fill="FFFFFF"/>
              <w:spacing w:line="276" w:lineRule="auto"/>
              <w:jc w:val="both"/>
              <w:textAlignment w:val="baseline"/>
              <w:rPr>
                <w:rFonts w:ascii="Times New Roman" w:hAnsi="Times New Roman" w:cs="Times New Roman"/>
                <w:b w:val="0"/>
                <w:color w:val="auto"/>
                <w:sz w:val="18"/>
                <w:szCs w:val="18"/>
                <w:lang w:eastAsia="en-GB"/>
              </w:rPr>
            </w:pPr>
            <w:r w:rsidRPr="009B0448">
              <w:rPr>
                <w:rFonts w:ascii="Times New Roman" w:hAnsi="Times New Roman" w:cs="Times New Roman"/>
                <w:b w:val="0"/>
                <w:color w:val="auto"/>
                <w:sz w:val="18"/>
                <w:szCs w:val="18"/>
                <w:bdr w:val="none" w:sz="0" w:space="0" w:color="auto" w:frame="1"/>
                <w:lang w:eastAsia="en-GB"/>
              </w:rPr>
              <w:t>4:</w:t>
            </w:r>
            <w:r w:rsidRPr="009B0448">
              <w:rPr>
                <w:rFonts w:ascii="Times New Roman" w:hAnsi="Times New Roman" w:cs="Times New Roman"/>
                <w:b w:val="0"/>
                <w:color w:val="auto"/>
                <w:sz w:val="18"/>
                <w:szCs w:val="18"/>
                <w:lang w:eastAsia="en-GB"/>
              </w:rPr>
              <w:t> Based on data from Department of Water Affairs and Forestry (DWAF), Pretoria, South Africa.</w:t>
            </w:r>
          </w:p>
          <w:p w14:paraId="69261E72" w14:textId="77777777" w:rsidR="009B0448" w:rsidRPr="009B0448" w:rsidRDefault="009B0448">
            <w:pPr>
              <w:shd w:val="clear" w:color="auto" w:fill="FFFFFF"/>
              <w:spacing w:line="276" w:lineRule="auto"/>
              <w:jc w:val="both"/>
              <w:textAlignment w:val="baseline"/>
              <w:rPr>
                <w:rFonts w:ascii="Times New Roman" w:hAnsi="Times New Roman" w:cs="Times New Roman"/>
                <w:color w:val="auto"/>
                <w:lang w:eastAsia="en-GB"/>
              </w:rPr>
            </w:pPr>
            <w:r w:rsidRPr="009B0448">
              <w:rPr>
                <w:rFonts w:ascii="Times New Roman" w:hAnsi="Times New Roman" w:cs="Times New Roman"/>
                <w:b w:val="0"/>
                <w:color w:val="auto"/>
                <w:sz w:val="18"/>
                <w:szCs w:val="18"/>
                <w:bdr w:val="none" w:sz="0" w:space="0" w:color="auto" w:frame="1"/>
                <w:lang w:eastAsia="en-GB"/>
              </w:rPr>
              <w:t>5:</w:t>
            </w:r>
            <w:r w:rsidRPr="009B0448">
              <w:rPr>
                <w:rFonts w:ascii="Times New Roman" w:hAnsi="Times New Roman" w:cs="Times New Roman"/>
                <w:b w:val="0"/>
                <w:color w:val="auto"/>
                <w:sz w:val="18"/>
                <w:szCs w:val="18"/>
                <w:lang w:eastAsia="en-GB"/>
              </w:rPr>
              <w:t> Based on National Land-Cover Database (Thompson 1996).</w:t>
            </w:r>
          </w:p>
        </w:tc>
      </w:tr>
    </w:tbl>
    <w:p w14:paraId="7D279D66" w14:textId="77777777" w:rsidR="009B0448" w:rsidRPr="009B0448" w:rsidRDefault="009B0448" w:rsidP="009B0448">
      <w:pPr>
        <w:spacing w:line="276" w:lineRule="auto"/>
        <w:jc w:val="both"/>
        <w:rPr>
          <w:rFonts w:ascii="Times New Roman" w:hAnsi="Times New Roman" w:cs="Times New Roman"/>
        </w:rPr>
      </w:pPr>
    </w:p>
    <w:p w14:paraId="73CE5DF1"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w:t>
      </w:r>
      <w:r w:rsidRPr="009B0448">
        <w:rPr>
          <w:rFonts w:ascii="Times New Roman" w:hAnsi="Times New Roman" w:cs="Times New Roman"/>
          <w:color w:val="002060"/>
        </w:rPr>
        <w:t xml:space="preserve"> </w:t>
      </w:r>
      <w:r w:rsidRPr="009B0448">
        <w:rPr>
          <w:rFonts w:ascii="Times New Roman" w:hAnsi="Times New Roman" w:cs="Times New Roman"/>
        </w:rPr>
        <w:t>About 40% of Zambian primary forest has been lost particularly in the northern region (Zambia, 2015). This trend is evident in the rapid depletion of Zambia’s natural forests with the deforestation rate currently estimated between 250,000</w:t>
      </w:r>
      <w:r w:rsidRPr="009B0448">
        <w:rPr>
          <w:rFonts w:ascii="Times New Roman" w:eastAsia="Times New Roman" w:hAnsi="Times New Roman" w:cs="Times New Roman"/>
        </w:rPr>
        <w:t>–</w:t>
      </w:r>
      <w:r w:rsidRPr="009B0448">
        <w:rPr>
          <w:rFonts w:ascii="Times New Roman" w:hAnsi="Times New Roman" w:cs="Times New Roman"/>
        </w:rPr>
        <w:t xml:space="preserve">300,000 hectares/year. According to Chidumayo (2013), Zambia has lost a significant portion of its forest cover since 1990 to 2012 with impacts on wood biomass (Figure 3.18) an important contribution of nature to people. Indeed forest degradation was estimated to cause aboveground wood biomass loss of 0.3 tons/hectare/year on the least impacted site to 4.0 tons/hectare/year on the most impacted site. The biodiversity of the Southern African dry forests in Zambia is slightly declining, with 2.85% of bird species, 5.61% of mammal species and 6.66% of plant species threatened to extinction (IUCN, 2017). </w:t>
      </w:r>
    </w:p>
    <w:p w14:paraId="4EF6EB8C" w14:textId="77777777" w:rsidR="009B0448" w:rsidRPr="009B0448" w:rsidRDefault="009B0448" w:rsidP="009B0448">
      <w:pPr>
        <w:spacing w:line="276" w:lineRule="auto"/>
        <w:jc w:val="both"/>
        <w:rPr>
          <w:rFonts w:ascii="Times New Roman" w:hAnsi="Times New Roman" w:cs="Times New Roman"/>
        </w:rPr>
      </w:pPr>
    </w:p>
    <w:p w14:paraId="71B74395"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 decline in forest area has also been seen in South Africa which consist of Afrotemperate forests that are mainly found in the southern Cape region and other areas where there are ravines protected from fire. For example, since 1944, when there were 7,143 hectares of indigenous forest in the Karkloof-Balgowan region, there has been a 5.7% decline in forest area to 6,739 hectares in 1996 (Lawes </w:t>
      </w:r>
      <w:r w:rsidRPr="009B0448">
        <w:rPr>
          <w:rFonts w:ascii="Times New Roman" w:hAnsi="Times New Roman" w:cs="Times New Roman"/>
          <w:i/>
        </w:rPr>
        <w:t>et al.</w:t>
      </w:r>
      <w:r w:rsidRPr="009B0448">
        <w:rPr>
          <w:rFonts w:ascii="Times New Roman" w:hAnsi="Times New Roman" w:cs="Times New Roman"/>
        </w:rPr>
        <w:t xml:space="preserve">, 2004). </w:t>
      </w:r>
    </w:p>
    <w:p w14:paraId="1EA89049" w14:textId="77777777" w:rsidR="009B0448" w:rsidRPr="009B0448" w:rsidRDefault="009B0448" w:rsidP="009B0448">
      <w:pPr>
        <w:spacing w:line="276" w:lineRule="auto"/>
        <w:jc w:val="both"/>
        <w:rPr>
          <w:rFonts w:ascii="Times New Roman" w:hAnsi="Times New Roman" w:cs="Times New Roman"/>
        </w:rPr>
      </w:pPr>
    </w:p>
    <w:p w14:paraId="43B3FC6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rPr>
        <w:t xml:space="preserve"> The Zambezian dryland forests of Angola and Zambia appear not be threatened in the near to medium term due to the small human population, poor agricultural potential and lack of water (WWF, 2017b). However, in South Africa, there has been a decrease in the area of natural forest between 1990 and 2015. According to Biggs </w:t>
      </w:r>
      <w:r w:rsidRPr="009B0448">
        <w:rPr>
          <w:rFonts w:ascii="Times New Roman" w:hAnsi="Times New Roman" w:cs="Times New Roman"/>
          <w:i/>
        </w:rPr>
        <w:t>et al.</w:t>
      </w:r>
      <w:r w:rsidRPr="009B0448">
        <w:rPr>
          <w:rFonts w:ascii="Times New Roman" w:hAnsi="Times New Roman" w:cs="Times New Roman"/>
        </w:rPr>
        <w:t xml:space="preserve"> (2008), the observed erosion of forest in South Africa is due to land conversion for cultivation and is predicted to suffer the most dramatic loss in future.</w:t>
      </w:r>
    </w:p>
    <w:p w14:paraId="6AE640D2" w14:textId="77777777" w:rsidR="009B0448" w:rsidRPr="009B0448" w:rsidRDefault="009B0448" w:rsidP="009B0448">
      <w:pPr>
        <w:spacing w:line="276" w:lineRule="auto"/>
        <w:jc w:val="both"/>
        <w:rPr>
          <w:rFonts w:ascii="Times New Roman" w:hAnsi="Times New Roman" w:cs="Times New Roman"/>
          <w:color w:val="auto"/>
        </w:rPr>
      </w:pPr>
    </w:p>
    <w:p w14:paraId="1E51B6D8" w14:textId="7D8F6620" w:rsidR="009B0448" w:rsidRPr="009B0448" w:rsidRDefault="009B0448" w:rsidP="009B0448">
      <w:pPr>
        <w:spacing w:line="276" w:lineRule="auto"/>
        <w:jc w:val="center"/>
        <w:rPr>
          <w:rFonts w:ascii="Times New Roman" w:hAnsi="Times New Roman" w:cs="Times New Roman"/>
        </w:rPr>
      </w:pPr>
      <w:r w:rsidRPr="009B0448">
        <w:rPr>
          <w:rFonts w:ascii="Times New Roman" w:hAnsi="Times New Roman" w:cs="Times New Roman"/>
          <w:noProof/>
          <w:lang w:val="en-ZA"/>
        </w:rPr>
        <w:t xml:space="preserve"> </w:t>
      </w:r>
      <w:r w:rsidRPr="009B0448">
        <w:rPr>
          <w:rFonts w:ascii="Times New Roman" w:hAnsi="Times New Roman" w:cs="Times New Roman"/>
          <w:noProof/>
          <w:lang w:eastAsia="en-GB"/>
        </w:rPr>
        <w:drawing>
          <wp:inline distT="0" distB="0" distL="0" distR="0" wp14:anchorId="589BC75C" wp14:editId="2E86CC56">
            <wp:extent cx="5783580" cy="7845942"/>
            <wp:effectExtent l="0" t="0" r="7620" b="317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5793549" cy="7859466"/>
                    </a:xfrm>
                    <a:prstGeom prst="rect">
                      <a:avLst/>
                    </a:prstGeom>
                    <a:noFill/>
                    <a:ln>
                      <a:noFill/>
                    </a:ln>
                  </pic:spPr>
                </pic:pic>
              </a:graphicData>
            </a:graphic>
          </wp:inline>
        </w:drawing>
      </w:r>
    </w:p>
    <w:p w14:paraId="3FE04E5E" w14:textId="3903A135" w:rsidR="000000FA"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 xml:space="preserve">Figure 3.18: </w:t>
      </w:r>
      <w:r w:rsidRPr="009B0448">
        <w:rPr>
          <w:rFonts w:ascii="Times New Roman" w:hAnsi="Times New Roman" w:cs="Times New Roman"/>
        </w:rPr>
        <w:t>Zambia: Trends in aboveground wood biomass in Zambia where the largest portion of forest exist in Southern Africa. Source: Chidumayo</w:t>
      </w:r>
      <w:r w:rsidRPr="009B0448">
        <w:rPr>
          <w:rFonts w:ascii="Times New Roman" w:hAnsi="Times New Roman" w:cs="Times New Roman"/>
          <w:i/>
        </w:rPr>
        <w:t>.</w:t>
      </w:r>
      <w:r w:rsidRPr="009B0448">
        <w:rPr>
          <w:rFonts w:ascii="Times New Roman" w:hAnsi="Times New Roman" w:cs="Times New Roman"/>
        </w:rPr>
        <w:t xml:space="preserve"> (2013).</w:t>
      </w:r>
    </w:p>
    <w:p w14:paraId="5B4C3FB3" w14:textId="77777777" w:rsidR="000000FA" w:rsidRDefault="000000FA">
      <w:pPr>
        <w:rPr>
          <w:rFonts w:ascii="Times New Roman" w:hAnsi="Times New Roman" w:cs="Times New Roman"/>
        </w:rPr>
      </w:pPr>
      <w:r>
        <w:rPr>
          <w:rFonts w:ascii="Times New Roman" w:hAnsi="Times New Roman" w:cs="Times New Roman"/>
        </w:rPr>
        <w:br w:type="page"/>
      </w:r>
    </w:p>
    <w:p w14:paraId="0169202A" w14:textId="77777777" w:rsidR="009B0448" w:rsidRPr="009B0448" w:rsidRDefault="009B0448" w:rsidP="009B0448">
      <w:pPr>
        <w:spacing w:line="276" w:lineRule="auto"/>
        <w:jc w:val="both"/>
        <w:rPr>
          <w:rFonts w:ascii="Times New Roman" w:hAnsi="Times New Roman" w:cs="Times New Roman"/>
        </w:rPr>
      </w:pPr>
    </w:p>
    <w:p w14:paraId="1B2B3415"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20" w:name="_Toc519499913"/>
      <w:r w:rsidRPr="009B0448">
        <w:rPr>
          <w:rFonts w:cs="Times New Roman"/>
          <w:b w:val="0"/>
          <w:sz w:val="22"/>
          <w:szCs w:val="22"/>
        </w:rPr>
        <w:t>High mountain habitats and Grassland</w:t>
      </w:r>
      <w:bookmarkEnd w:id="220"/>
    </w:p>
    <w:p w14:paraId="6379CB7D"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 two major mountain formations in Southern Africa are the Southern African Great Escarpment, and the Cape Fold Mountains. These mountains provide a range of ecosystem services including water catchments, food production (both grazing and crops), forestry plantations or mining and tourism (Blignaut </w:t>
      </w:r>
      <w:r w:rsidRPr="009B0448">
        <w:rPr>
          <w:rFonts w:ascii="Times New Roman" w:hAnsi="Times New Roman" w:cs="Times New Roman"/>
          <w:i/>
        </w:rPr>
        <w:t>et al.</w:t>
      </w:r>
      <w:r w:rsidRPr="009B0448">
        <w:rPr>
          <w:rFonts w:ascii="Times New Roman" w:hAnsi="Times New Roman" w:cs="Times New Roman"/>
        </w:rPr>
        <w:t xml:space="preserve">, 2010). </w:t>
      </w:r>
    </w:p>
    <w:p w14:paraId="52806DA6" w14:textId="77777777" w:rsidR="009B0448" w:rsidRPr="009B0448" w:rsidRDefault="009B0448" w:rsidP="009B0448">
      <w:pPr>
        <w:spacing w:line="276" w:lineRule="auto"/>
        <w:jc w:val="both"/>
        <w:rPr>
          <w:rFonts w:ascii="Times New Roman" w:hAnsi="Times New Roman" w:cs="Times New Roman"/>
        </w:rPr>
      </w:pPr>
    </w:p>
    <w:p w14:paraId="23FB6115"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Southern African Great Escarpment extends in a 5,000 km horse-shoe formation from the border between Mozambique and Zimbabwe in the north-east, through South Africa and Lesotho to Namibia and Angola in the northwest. The Great Escarpment provides most of the freshwater in Southern Africa and is home to an estimated 8,574 plant species, of which 17% are endemic (Clark </w:t>
      </w:r>
      <w:r w:rsidRPr="009B0448">
        <w:rPr>
          <w:rFonts w:ascii="Times New Roman" w:hAnsi="Times New Roman" w:cs="Times New Roman"/>
          <w:i/>
        </w:rPr>
        <w:t>et al.</w:t>
      </w:r>
      <w:r w:rsidRPr="009B0448">
        <w:rPr>
          <w:rFonts w:ascii="Times New Roman" w:hAnsi="Times New Roman" w:cs="Times New Roman"/>
        </w:rPr>
        <w:t xml:space="preserve">, 2011). Vegetation types vary with altitude and rainfall, ranging from tropical evergreen and semi-deciduous rainforest in northern Angola, through to Afromontane forest-grassland mosaics and miombo woodland, through to Highveld shrublands, Nama-Karoo semi-desert, and fynbos (Clark </w:t>
      </w:r>
      <w:r w:rsidRPr="009B0448">
        <w:rPr>
          <w:rFonts w:ascii="Times New Roman" w:hAnsi="Times New Roman" w:cs="Times New Roman"/>
          <w:i/>
        </w:rPr>
        <w:t>et al.</w:t>
      </w:r>
      <w:r w:rsidRPr="009B0448">
        <w:rPr>
          <w:rFonts w:ascii="Times New Roman" w:hAnsi="Times New Roman" w:cs="Times New Roman"/>
        </w:rPr>
        <w:t>, 2011). There are also many endemic fauna in the montane areas of Southern Africa and include mammals such as the oribi, reptiles such as the cream-spotted mountain snake (</w:t>
      </w:r>
      <w:r w:rsidRPr="009B0448">
        <w:rPr>
          <w:rFonts w:ascii="Times New Roman" w:hAnsi="Times New Roman" w:cs="Times New Roman"/>
          <w:i/>
        </w:rPr>
        <w:t>Montaspis gilvomaculata</w:t>
      </w:r>
      <w:r w:rsidRPr="009B0448">
        <w:rPr>
          <w:rFonts w:ascii="Times New Roman" w:hAnsi="Times New Roman" w:cs="Times New Roman"/>
        </w:rPr>
        <w:t>), cottrell's mountain lizard (</w:t>
      </w:r>
      <w:r w:rsidRPr="009B0448">
        <w:rPr>
          <w:rFonts w:ascii="Times New Roman" w:hAnsi="Times New Roman" w:cs="Times New Roman"/>
          <w:i/>
        </w:rPr>
        <w:t>Tropidosaura cottrelli</w:t>
      </w:r>
      <w:r w:rsidRPr="009B0448">
        <w:rPr>
          <w:rFonts w:ascii="Times New Roman" w:hAnsi="Times New Roman" w:cs="Times New Roman"/>
        </w:rPr>
        <w:t>, Near Threatened) and essex's mountain lizard (</w:t>
      </w:r>
      <w:r w:rsidRPr="009B0448">
        <w:rPr>
          <w:rFonts w:ascii="Times New Roman" w:hAnsi="Times New Roman" w:cs="Times New Roman"/>
          <w:i/>
        </w:rPr>
        <w:t>T. essexi</w:t>
      </w:r>
      <w:r w:rsidRPr="009B0448">
        <w:rPr>
          <w:rFonts w:ascii="Times New Roman" w:hAnsi="Times New Roman" w:cs="Times New Roman"/>
        </w:rPr>
        <w:t>, Least Concern). It also includes amphibians such as the Maluti river frog (</w:t>
      </w:r>
      <w:r w:rsidRPr="009B0448">
        <w:rPr>
          <w:rFonts w:ascii="Times New Roman" w:hAnsi="Times New Roman" w:cs="Times New Roman"/>
          <w:i/>
        </w:rPr>
        <w:t>Amieta umbraculata</w:t>
      </w:r>
      <w:r w:rsidRPr="009B0448">
        <w:rPr>
          <w:rFonts w:ascii="Times New Roman" w:hAnsi="Times New Roman" w:cs="Times New Roman"/>
        </w:rPr>
        <w:t>)</w:t>
      </w:r>
      <w:r w:rsidRPr="009B0448">
        <w:rPr>
          <w:rFonts w:ascii="Times New Roman" w:hAnsi="Times New Roman" w:cs="Times New Roman"/>
          <w:i/>
        </w:rPr>
        <w:t xml:space="preserve"> </w:t>
      </w:r>
      <w:r w:rsidRPr="009B0448">
        <w:rPr>
          <w:rFonts w:ascii="Times New Roman" w:hAnsi="Times New Roman" w:cs="Times New Roman"/>
        </w:rPr>
        <w:t>and the Phofung river frog (</w:t>
      </w:r>
      <w:r w:rsidRPr="009B0448">
        <w:rPr>
          <w:rFonts w:ascii="Times New Roman" w:hAnsi="Times New Roman" w:cs="Times New Roman"/>
          <w:i/>
        </w:rPr>
        <w:t>A. vertebralis</w:t>
      </w:r>
      <w:r w:rsidRPr="009B0448">
        <w:rPr>
          <w:rFonts w:ascii="Times New Roman" w:hAnsi="Times New Roman" w:cs="Times New Roman"/>
        </w:rPr>
        <w:t xml:space="preserve">) (Perera </w:t>
      </w:r>
      <w:r w:rsidRPr="009B0448">
        <w:rPr>
          <w:rFonts w:ascii="Times New Roman" w:hAnsi="Times New Roman" w:cs="Times New Roman"/>
          <w:i/>
        </w:rPr>
        <w:t>et al.</w:t>
      </w:r>
      <w:r w:rsidRPr="009B0448">
        <w:rPr>
          <w:rFonts w:ascii="Times New Roman" w:hAnsi="Times New Roman" w:cs="Times New Roman"/>
        </w:rPr>
        <w:t>, 2011). Lesotho’s Sehlabathebe national park also harbours the Maloti minnow (</w:t>
      </w:r>
      <w:r w:rsidRPr="009B0448">
        <w:rPr>
          <w:rFonts w:ascii="Times New Roman" w:hAnsi="Times New Roman" w:cs="Times New Roman"/>
          <w:i/>
        </w:rPr>
        <w:t>Pseudobarbus quathlambae</w:t>
      </w:r>
      <w:r w:rsidRPr="009B0448">
        <w:rPr>
          <w:rFonts w:ascii="Times New Roman" w:hAnsi="Times New Roman" w:cs="Times New Roman"/>
        </w:rPr>
        <w:t xml:space="preserve">, Endangered), a critically endangered fish species only found in this park. Range-restricted birds include the Drakensburg Rock-jumper, Drakensburg Siskin as well as a breeding stronghold for Cape and Bearded vulture (Perera </w:t>
      </w:r>
      <w:r w:rsidRPr="009B0448">
        <w:rPr>
          <w:rFonts w:ascii="Times New Roman" w:hAnsi="Times New Roman" w:cs="Times New Roman"/>
          <w:i/>
        </w:rPr>
        <w:t>et al.</w:t>
      </w:r>
      <w:r w:rsidRPr="009B0448">
        <w:rPr>
          <w:rFonts w:ascii="Times New Roman" w:hAnsi="Times New Roman" w:cs="Times New Roman"/>
        </w:rPr>
        <w:t>, 2011).</w:t>
      </w:r>
    </w:p>
    <w:p w14:paraId="7DC82C0E" w14:textId="77777777" w:rsidR="009B0448" w:rsidRPr="009B0448" w:rsidRDefault="009B0448" w:rsidP="009B0448">
      <w:pPr>
        <w:spacing w:line="276" w:lineRule="auto"/>
        <w:jc w:val="both"/>
        <w:rPr>
          <w:rFonts w:ascii="Times New Roman" w:hAnsi="Times New Roman" w:cs="Times New Roman"/>
        </w:rPr>
      </w:pPr>
    </w:p>
    <w:p w14:paraId="034F1598" w14:textId="2550CB69"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Data availability and conservation capacity varies along the escarpment, the most data deficient area being Angola and the best studied being the east (South Africa, Lesotho and Swaziland). The Great Escarpment Biodiversity Programme is a multi-disciplinary collaboration that aims to collect biogeographical data of relevance to conservation policy and predicting future responses of montane ecosystems. There are several transfrontier conservation initiatives, including the Richtersveld transfrontier national park between Namibia and South Africa, the Maloti–Drakensberg </w:t>
      </w:r>
      <w:r w:rsidR="00C87E0F" w:rsidRPr="009B0448">
        <w:rPr>
          <w:rFonts w:ascii="Times New Roman" w:hAnsi="Times New Roman" w:cs="Times New Roman"/>
        </w:rPr>
        <w:t>Transfrontier Park</w:t>
      </w:r>
      <w:r w:rsidRPr="009B0448">
        <w:rPr>
          <w:rFonts w:ascii="Times New Roman" w:hAnsi="Times New Roman" w:cs="Times New Roman"/>
        </w:rPr>
        <w:t xml:space="preserve"> between South Africa and Lesotho, and the Chimanimani transfrontier conservation area between Zimbabwe and Mozambique. </w:t>
      </w:r>
    </w:p>
    <w:p w14:paraId="0BFC091E" w14:textId="77777777" w:rsidR="009B0448" w:rsidRPr="009B0448" w:rsidRDefault="009B0448" w:rsidP="009B0448">
      <w:pPr>
        <w:spacing w:line="276" w:lineRule="auto"/>
        <w:jc w:val="both"/>
        <w:rPr>
          <w:rFonts w:ascii="Times New Roman" w:hAnsi="Times New Roman" w:cs="Times New Roman"/>
        </w:rPr>
      </w:pPr>
    </w:p>
    <w:p w14:paraId="5EF66D69" w14:textId="191563D3"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highest mountain ranges of the Great Escarpment are the Drakensberg (altitude 2,000–3,000 metres). The Drakensberg are characterized by high altitude grasslands with over 2,500 species of higher plants. The Maloti-Drakensberg </w:t>
      </w:r>
      <w:r w:rsidR="00C87E0F" w:rsidRPr="009B0448">
        <w:rPr>
          <w:rFonts w:ascii="Times New Roman" w:hAnsi="Times New Roman" w:cs="Times New Roman"/>
        </w:rPr>
        <w:t>Park</w:t>
      </w:r>
      <w:r w:rsidRPr="009B0448">
        <w:rPr>
          <w:rFonts w:ascii="Times New Roman" w:hAnsi="Times New Roman" w:cs="Times New Roman"/>
        </w:rPr>
        <w:t xml:space="preserve"> which is a transboundary site is composed of the uKhahlamba Drakensberg national park in South Africa and the Sehlabathebe national park in Lesotho. Maloti national park in South Africa was designated specifically to protect water catchments (Egoh </w:t>
      </w:r>
      <w:r w:rsidRPr="009B0448">
        <w:rPr>
          <w:rFonts w:ascii="Times New Roman" w:hAnsi="Times New Roman" w:cs="Times New Roman"/>
          <w:i/>
        </w:rPr>
        <w:t>et al.</w:t>
      </w:r>
      <w:r w:rsidRPr="009B0448">
        <w:rPr>
          <w:rFonts w:ascii="Times New Roman" w:hAnsi="Times New Roman" w:cs="Times New Roman"/>
        </w:rPr>
        <w:t>, 2012).</w:t>
      </w:r>
    </w:p>
    <w:p w14:paraId="2ED037BE" w14:textId="77777777" w:rsidR="009B0448" w:rsidRPr="009B0448" w:rsidRDefault="009B0448" w:rsidP="009B0448">
      <w:pPr>
        <w:spacing w:line="276" w:lineRule="auto"/>
        <w:jc w:val="both"/>
        <w:rPr>
          <w:rFonts w:ascii="Times New Roman" w:hAnsi="Times New Roman" w:cs="Times New Roman"/>
        </w:rPr>
      </w:pPr>
    </w:p>
    <w:p w14:paraId="04F74014" w14:textId="3BDFD4DC"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Vegetation of the Cape Fold belt is primarily fynbos, a species-rich, fire-prone shrubland that is unique to Southern Africa. Afrotemperate forests co-exist alongside fynbos, in wetter areas that are protected from fire. The Cape Fold Belt is an important part of the Cape Floristic Region, one of 25 global biodiversity hotspots (Mittermeier </w:t>
      </w:r>
      <w:r w:rsidRPr="009B0448">
        <w:rPr>
          <w:rFonts w:ascii="Times New Roman" w:hAnsi="Times New Roman" w:cs="Times New Roman"/>
          <w:i/>
        </w:rPr>
        <w:t>et al.</w:t>
      </w:r>
      <w:r w:rsidRPr="009B0448">
        <w:rPr>
          <w:rFonts w:ascii="Times New Roman" w:hAnsi="Times New Roman" w:cs="Times New Roman"/>
        </w:rPr>
        <w:t xml:space="preserve">, 1998). It is the smallest and </w:t>
      </w:r>
      <w:r w:rsidR="00C813C5">
        <w:rPr>
          <w:rFonts w:ascii="Times New Roman" w:hAnsi="Times New Roman" w:cs="Times New Roman"/>
        </w:rPr>
        <w:t>richest internationally recognis</w:t>
      </w:r>
      <w:r w:rsidRPr="009B0448">
        <w:rPr>
          <w:rFonts w:ascii="Times New Roman" w:hAnsi="Times New Roman" w:cs="Times New Roman"/>
        </w:rPr>
        <w:t xml:space="preserve">ed floral kingdom containing more than 9,000 plant species, of which 68% are endemic (Myers </w:t>
      </w:r>
      <w:r w:rsidRPr="009B0448">
        <w:rPr>
          <w:rFonts w:ascii="Times New Roman" w:hAnsi="Times New Roman" w:cs="Times New Roman"/>
          <w:i/>
        </w:rPr>
        <w:t>et al.</w:t>
      </w:r>
      <w:r w:rsidRPr="009B0448">
        <w:rPr>
          <w:rFonts w:ascii="Times New Roman" w:hAnsi="Times New Roman" w:cs="Times New Roman"/>
        </w:rPr>
        <w:t xml:space="preserve">, 2000; Rejmánek, 2001; Manning </w:t>
      </w:r>
      <w:r w:rsidRPr="009B0448">
        <w:rPr>
          <w:rFonts w:ascii="Times New Roman" w:hAnsi="Times New Roman" w:cs="Times New Roman"/>
          <w:i/>
        </w:rPr>
        <w:t>et al.</w:t>
      </w:r>
      <w:r w:rsidRPr="009B0448">
        <w:rPr>
          <w:rFonts w:ascii="Times New Roman" w:hAnsi="Times New Roman" w:cs="Times New Roman"/>
        </w:rPr>
        <w:t xml:space="preserve">, 2012). It is a global conservation priority because of species richness, endemism, and rates of transformation; about 30.3% of its primary vegetation has already been lost. </w:t>
      </w:r>
    </w:p>
    <w:p w14:paraId="1C6200C1" w14:textId="77777777" w:rsidR="009B0448" w:rsidRPr="009B0448" w:rsidRDefault="009B0448" w:rsidP="009B0448">
      <w:pPr>
        <w:spacing w:line="276" w:lineRule="auto"/>
        <w:jc w:val="both"/>
        <w:rPr>
          <w:rFonts w:ascii="Times New Roman" w:hAnsi="Times New Roman" w:cs="Times New Roman"/>
        </w:rPr>
      </w:pPr>
    </w:p>
    <w:p w14:paraId="76C3BC82"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w:t>
      </w:r>
      <w:r w:rsidRPr="009B0448">
        <w:rPr>
          <w:rFonts w:ascii="Times New Roman" w:hAnsi="Times New Roman" w:cs="Times New Roman"/>
        </w:rPr>
        <w:t xml:space="preserve"> Land outside of protected areas is threatened existing and emerging invasive alien species (especially Australian Acacias), including pollution /mining impact, and habitat loss, the compounding effects of climate change as well as by growing numbers of high density rural settlements, particularly in the KwaZulu-Natal Drakensberg foothills (Blignaut </w:t>
      </w:r>
      <w:r w:rsidRPr="009B0448">
        <w:rPr>
          <w:rFonts w:ascii="Times New Roman" w:hAnsi="Times New Roman" w:cs="Times New Roman"/>
          <w:i/>
        </w:rPr>
        <w:t>et al.</w:t>
      </w:r>
      <w:r w:rsidRPr="009B0448">
        <w:rPr>
          <w:rFonts w:ascii="Times New Roman" w:hAnsi="Times New Roman" w:cs="Times New Roman"/>
        </w:rPr>
        <w:t xml:space="preserve">, 2010, Clark </w:t>
      </w:r>
      <w:r w:rsidRPr="009B0448">
        <w:rPr>
          <w:rFonts w:ascii="Times New Roman" w:hAnsi="Times New Roman" w:cs="Times New Roman"/>
          <w:i/>
        </w:rPr>
        <w:t>et al.</w:t>
      </w:r>
      <w:r w:rsidRPr="009B0448">
        <w:rPr>
          <w:rFonts w:ascii="Times New Roman" w:hAnsi="Times New Roman" w:cs="Times New Roman"/>
        </w:rPr>
        <w:t xml:space="preserve">, 2011, Egoh </w:t>
      </w:r>
      <w:r w:rsidRPr="009B0448">
        <w:rPr>
          <w:rFonts w:ascii="Times New Roman" w:hAnsi="Times New Roman" w:cs="Times New Roman"/>
          <w:i/>
        </w:rPr>
        <w:t>et al.</w:t>
      </w:r>
      <w:r w:rsidRPr="009B0448">
        <w:rPr>
          <w:rFonts w:ascii="Times New Roman" w:hAnsi="Times New Roman" w:cs="Times New Roman"/>
        </w:rPr>
        <w:t xml:space="preserve">, 2011; Turpie, 2016). </w:t>
      </w:r>
    </w:p>
    <w:p w14:paraId="4E23C39B" w14:textId="77777777" w:rsidR="009B0448" w:rsidRPr="009B0448" w:rsidRDefault="009B0448" w:rsidP="009B0448">
      <w:pPr>
        <w:spacing w:line="276" w:lineRule="auto"/>
        <w:jc w:val="both"/>
        <w:rPr>
          <w:rFonts w:ascii="Times New Roman" w:hAnsi="Times New Roman" w:cs="Times New Roman"/>
        </w:rPr>
      </w:pPr>
    </w:p>
    <w:p w14:paraId="4D13FF3A"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rPr>
        <w:t xml:space="preserve"> Projected increases in temperatures, decreases in precipitation and longer dry seasons are likely to become important drivers of change in Southern African mountain systems. Direct impacts include physiological stress, mortality and range shifts in species, and altered composition and function at ecosystem levels. Resulting changes in fire regimes are likely to have important indirect impacts on the region’s biodiversity. Climate change also presents an important threat to water and food security in Southern Africa. An estimated 97% of Cape Town’s water originates from surface water from mountain catchment areas (Lonsdale </w:t>
      </w:r>
      <w:r w:rsidRPr="009B0448">
        <w:rPr>
          <w:rFonts w:ascii="Times New Roman" w:hAnsi="Times New Roman" w:cs="Times New Roman"/>
          <w:i/>
        </w:rPr>
        <w:t>et al.</w:t>
      </w:r>
      <w:r w:rsidRPr="009B0448">
        <w:rPr>
          <w:rFonts w:ascii="Times New Roman" w:hAnsi="Times New Roman" w:cs="Times New Roman"/>
        </w:rPr>
        <w:t xml:space="preserve">, 2009). At the time of writing, Cape Town’s dammed water reserves were at 24% despite severe water restrictions (City of Cape Town, 2017). Ingoing immigration and population growth in the region is likely to exacerbate water shortages in the future. </w:t>
      </w:r>
    </w:p>
    <w:p w14:paraId="13333FD2"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21" w:name="_Toc519499914"/>
      <w:r w:rsidRPr="009B0448">
        <w:rPr>
          <w:rFonts w:cs="Times New Roman"/>
          <w:b w:val="0"/>
          <w:sz w:val="22"/>
          <w:szCs w:val="22"/>
        </w:rPr>
        <w:t>Savannah and grassland</w:t>
      </w:r>
      <w:bookmarkEnd w:id="221"/>
    </w:p>
    <w:p w14:paraId="3024166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 savannas and grasslands represent the largest area in Southern Africa occupying 54% of its territory (Cowling </w:t>
      </w:r>
      <w:r w:rsidRPr="009B0448">
        <w:rPr>
          <w:rFonts w:ascii="Times New Roman" w:hAnsi="Times New Roman" w:cs="Times New Roman"/>
          <w:i/>
        </w:rPr>
        <w:t>et al.</w:t>
      </w:r>
      <w:r w:rsidRPr="009B0448">
        <w:rPr>
          <w:rFonts w:ascii="Times New Roman" w:hAnsi="Times New Roman" w:cs="Times New Roman"/>
        </w:rPr>
        <w:t>, 1997) covering about 139,000 km</w:t>
      </w:r>
      <w:r w:rsidRPr="009B0448">
        <w:rPr>
          <w:rFonts w:ascii="Times New Roman" w:hAnsi="Times New Roman" w:cs="Times New Roman"/>
          <w:vertAlign w:val="superscript"/>
        </w:rPr>
        <w:t>2</w:t>
      </w:r>
      <w:r w:rsidRPr="009B0448">
        <w:rPr>
          <w:rFonts w:ascii="Times New Roman" w:hAnsi="Times New Roman" w:cs="Times New Roman"/>
        </w:rPr>
        <w:t xml:space="preserve">. It contains within it vegetation types such as Miombo, Mopane, Zambezian and Kalahari Acacia-Baikiaea Woodlands as well as the Kalahari Xeric Savanna (Cowling </w:t>
      </w:r>
      <w:r w:rsidRPr="009B0448">
        <w:rPr>
          <w:rFonts w:ascii="Times New Roman" w:hAnsi="Times New Roman" w:cs="Times New Roman"/>
          <w:i/>
        </w:rPr>
        <w:t>et al.</w:t>
      </w:r>
      <w:r w:rsidRPr="009B0448">
        <w:rPr>
          <w:rFonts w:ascii="Times New Roman" w:hAnsi="Times New Roman" w:cs="Times New Roman"/>
        </w:rPr>
        <w:t>, 1997). Many of these savanna vegetation types are utilized for grazing by livestock animals or wildlife. The subregion boasts an average of 57 mammalian species and 136 breeding bird species per 10,000 km</w:t>
      </w:r>
      <w:r w:rsidRPr="009B0448">
        <w:rPr>
          <w:rFonts w:ascii="Times New Roman" w:hAnsi="Times New Roman" w:cs="Times New Roman"/>
          <w:vertAlign w:val="superscript"/>
        </w:rPr>
        <w:t>2</w:t>
      </w:r>
      <w:r w:rsidRPr="009B0448">
        <w:rPr>
          <w:rFonts w:ascii="Times New Roman" w:hAnsi="Times New Roman" w:cs="Times New Roman"/>
        </w:rPr>
        <w:t xml:space="preserve"> (UNEP </w:t>
      </w:r>
      <w:r w:rsidRPr="009B0448">
        <w:rPr>
          <w:rFonts w:ascii="Times New Roman" w:hAnsi="Times New Roman" w:cs="Times New Roman"/>
          <w:i/>
        </w:rPr>
        <w:t>et al</w:t>
      </w:r>
      <w:r w:rsidRPr="009B0448">
        <w:rPr>
          <w:rFonts w:ascii="Times New Roman" w:hAnsi="Times New Roman" w:cs="Times New Roman"/>
        </w:rPr>
        <w:t xml:space="preserve">., 2002). Southern Africa’s rich biodiversity plays an important role in ensuring long-term food security and provision of basic materials to people especially rural people who make up approximately 60% of the total population in most countries in the region (World Bank, 2016). Also, about 10% of Southern African plants (roughly 3,000 species) are used medicinally, and about 350 species are widely utilized (van Wyk </w:t>
      </w:r>
      <w:r w:rsidRPr="009B0448">
        <w:rPr>
          <w:rFonts w:ascii="Times New Roman" w:hAnsi="Times New Roman" w:cs="Times New Roman"/>
          <w:i/>
        </w:rPr>
        <w:t>et al.</w:t>
      </w:r>
      <w:r w:rsidRPr="009B0448">
        <w:rPr>
          <w:rFonts w:ascii="Times New Roman" w:hAnsi="Times New Roman" w:cs="Times New Roman"/>
        </w:rPr>
        <w:t xml:space="preserve">, 1997). Much of the savanna is under protection with the existence of large game Parks such as Kruger National Park in South Africa and Hwange in Zimbabwe and many private game reserves, safaris and conservancies (SANBI, 2017) complemented by the existence of Transfrontier Conservation Areas such as Great Limpopo. This also provides important economic benefits from tourism and big game hunting. </w:t>
      </w:r>
    </w:p>
    <w:p w14:paraId="737C79AE" w14:textId="77777777" w:rsidR="009B0448" w:rsidRPr="009B0448" w:rsidRDefault="009B0448" w:rsidP="009B0448">
      <w:pPr>
        <w:spacing w:line="276" w:lineRule="auto"/>
        <w:jc w:val="both"/>
        <w:rPr>
          <w:rFonts w:ascii="Times New Roman" w:hAnsi="Times New Roman" w:cs="Times New Roman"/>
        </w:rPr>
      </w:pPr>
    </w:p>
    <w:p w14:paraId="0955099E"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w:t>
      </w:r>
      <w:r w:rsidRPr="009B0448">
        <w:rPr>
          <w:rFonts w:ascii="Times New Roman" w:hAnsi="Times New Roman" w:cs="Times New Roman"/>
        </w:rPr>
        <w:t xml:space="preserve"> The savanna terrestrial unit of analysis itself is under pressures such as expansion of agriculture and plantation forestry, poaching, spread of invasive alien species, human settlements, mining activities, and other commercial or subsistence activities, both inside and outside of protected areas (UNEP </w:t>
      </w:r>
      <w:r w:rsidRPr="009B0448">
        <w:rPr>
          <w:rFonts w:ascii="Times New Roman" w:hAnsi="Times New Roman" w:cs="Times New Roman"/>
          <w:i/>
        </w:rPr>
        <w:t>et al</w:t>
      </w:r>
      <w:r w:rsidRPr="009B0448">
        <w:rPr>
          <w:rFonts w:ascii="Times New Roman" w:hAnsi="Times New Roman" w:cs="Times New Roman"/>
        </w:rPr>
        <w:t xml:space="preserve">., 2002). Poaching continues to be a problem and 1004 rhinos were killed by poachers in South Africa in 2013 alone (RSA, 2014). Threatened vegetation types within Savannah include Tzaneen Sour Bushveld and Lebombo Summit Sourveld (Mucina </w:t>
      </w:r>
      <w:r w:rsidRPr="009B0448">
        <w:rPr>
          <w:rFonts w:ascii="Times New Roman" w:hAnsi="Times New Roman" w:cs="Times New Roman"/>
          <w:i/>
        </w:rPr>
        <w:t>et al.</w:t>
      </w:r>
      <w:r w:rsidRPr="009B0448">
        <w:rPr>
          <w:rFonts w:ascii="Times New Roman" w:hAnsi="Times New Roman" w:cs="Times New Roman"/>
        </w:rPr>
        <w:t xml:space="preserve">, 2006). Individual species are also threatened and declining in numbers and diversity (UNEP </w:t>
      </w:r>
      <w:r w:rsidRPr="009B0448">
        <w:rPr>
          <w:rFonts w:ascii="Times New Roman" w:hAnsi="Times New Roman" w:cs="Times New Roman"/>
          <w:i/>
        </w:rPr>
        <w:t>et al</w:t>
      </w:r>
      <w:r w:rsidRPr="009B0448">
        <w:rPr>
          <w:rFonts w:ascii="Times New Roman" w:hAnsi="Times New Roman" w:cs="Times New Roman"/>
        </w:rPr>
        <w:t xml:space="preserve">., 2002). Threatened vegetation types within the Grassland Biome include the Northern Escarpment and the Woodbush Granite Grassland (Mucina </w:t>
      </w:r>
      <w:r w:rsidRPr="009B0448">
        <w:rPr>
          <w:rFonts w:ascii="Times New Roman" w:hAnsi="Times New Roman" w:cs="Times New Roman"/>
          <w:i/>
        </w:rPr>
        <w:t>et al.</w:t>
      </w:r>
      <w:r w:rsidRPr="009B0448">
        <w:rPr>
          <w:rFonts w:ascii="Times New Roman" w:hAnsi="Times New Roman" w:cs="Times New Roman"/>
        </w:rPr>
        <w:t xml:space="preserve">, 2006). High altitude grasslands are threatened by agriculture, mining and commercial forestry, as well as inappropriate fire management, overstocking and soil erosion (Blignaut </w:t>
      </w:r>
      <w:r w:rsidRPr="009B0448">
        <w:rPr>
          <w:rFonts w:ascii="Times New Roman" w:hAnsi="Times New Roman" w:cs="Times New Roman"/>
          <w:i/>
        </w:rPr>
        <w:t>et al.</w:t>
      </w:r>
      <w:r w:rsidRPr="009B0448">
        <w:rPr>
          <w:rFonts w:ascii="Times New Roman" w:hAnsi="Times New Roman" w:cs="Times New Roman"/>
        </w:rPr>
        <w:t xml:space="preserve">, 2010; Clark </w:t>
      </w:r>
      <w:r w:rsidRPr="009B0448">
        <w:rPr>
          <w:rFonts w:ascii="Times New Roman" w:hAnsi="Times New Roman" w:cs="Times New Roman"/>
          <w:i/>
        </w:rPr>
        <w:t>et al.</w:t>
      </w:r>
      <w:r w:rsidRPr="009B0448">
        <w:rPr>
          <w:rFonts w:ascii="Times New Roman" w:hAnsi="Times New Roman" w:cs="Times New Roman"/>
        </w:rPr>
        <w:t xml:space="preserve">, 2011, Egoh </w:t>
      </w:r>
      <w:r w:rsidRPr="009B0448">
        <w:rPr>
          <w:rFonts w:ascii="Times New Roman" w:hAnsi="Times New Roman" w:cs="Times New Roman"/>
          <w:i/>
        </w:rPr>
        <w:t>et al.</w:t>
      </w:r>
      <w:r w:rsidRPr="009B0448">
        <w:rPr>
          <w:rFonts w:ascii="Times New Roman" w:hAnsi="Times New Roman" w:cs="Times New Roman"/>
        </w:rPr>
        <w:t xml:space="preserve">, 2011), and a growing numbers of high density rural settlements, particularly in the KwaZulu-Natal Drakensberg foothills. </w:t>
      </w:r>
    </w:p>
    <w:p w14:paraId="1E5E9A30" w14:textId="77777777" w:rsidR="009B0448" w:rsidRPr="009B0448" w:rsidRDefault="009B0448" w:rsidP="009B0448">
      <w:pPr>
        <w:spacing w:line="276" w:lineRule="auto"/>
        <w:jc w:val="both"/>
        <w:rPr>
          <w:rFonts w:ascii="Times New Roman" w:hAnsi="Times New Roman" w:cs="Times New Roman"/>
        </w:rPr>
      </w:pPr>
    </w:p>
    <w:p w14:paraId="2E4DE839" w14:textId="5EE08394" w:rsidR="009B0448" w:rsidRPr="009B0448" w:rsidRDefault="009B0448" w:rsidP="009B0448">
      <w:pPr>
        <w:spacing w:line="276" w:lineRule="auto"/>
        <w:jc w:val="both"/>
        <w:rPr>
          <w:rFonts w:ascii="Times New Roman" w:hAnsi="Times New Roman" w:cs="Times New Roman"/>
          <w:u w:val="single"/>
        </w:rPr>
      </w:pPr>
      <w:r w:rsidRPr="009B0448">
        <w:rPr>
          <w:rFonts w:ascii="Times New Roman" w:hAnsi="Times New Roman" w:cs="Times New Roman"/>
          <w:u w:val="single"/>
        </w:rPr>
        <w:t>Future dynamics:</w:t>
      </w:r>
      <w:r w:rsidR="00C813C5">
        <w:rPr>
          <w:rFonts w:ascii="Times New Roman" w:hAnsi="Times New Roman" w:cs="Times New Roman"/>
        </w:rPr>
        <w:t xml:space="preserve"> At current rates of urbanis</w:t>
      </w:r>
      <w:r w:rsidRPr="009B0448">
        <w:rPr>
          <w:rFonts w:ascii="Times New Roman" w:hAnsi="Times New Roman" w:cs="Times New Roman"/>
        </w:rPr>
        <w:t>ation coupled with climate change, the savanna terrestrial unit and the individual species within it are likely to continue declining if no concerted efforts are made at policy level to reverse this trend. Currently, there is an emerging trend for increasing woody vegetation with the possibility of biome switches between savanna and forest vegetation types driven by CO</w:t>
      </w:r>
      <w:r w:rsidRPr="009B0448">
        <w:rPr>
          <w:rFonts w:ascii="Times New Roman" w:hAnsi="Times New Roman" w:cs="Times New Roman"/>
          <w:vertAlign w:val="subscript"/>
        </w:rPr>
        <w:t>2</w:t>
      </w:r>
      <w:r w:rsidRPr="009B0448">
        <w:rPr>
          <w:rFonts w:ascii="Times New Roman" w:hAnsi="Times New Roman" w:cs="Times New Roman"/>
        </w:rPr>
        <w:t xml:space="preserve"> enrichment (Higgins </w:t>
      </w:r>
      <w:r w:rsidRPr="009B0448">
        <w:rPr>
          <w:rFonts w:ascii="Times New Roman" w:hAnsi="Times New Roman" w:cs="Times New Roman"/>
          <w:i/>
        </w:rPr>
        <w:t>et al.</w:t>
      </w:r>
      <w:r w:rsidRPr="009B0448">
        <w:rPr>
          <w:rFonts w:ascii="Times New Roman" w:hAnsi="Times New Roman" w:cs="Times New Roman"/>
        </w:rPr>
        <w:t>, 2012).</w:t>
      </w:r>
    </w:p>
    <w:p w14:paraId="7DD2A2CD"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22" w:name="_Toc519499915"/>
      <w:r w:rsidRPr="009B0448">
        <w:rPr>
          <w:rFonts w:cs="Times New Roman"/>
          <w:b w:val="0"/>
          <w:sz w:val="22"/>
          <w:szCs w:val="22"/>
        </w:rPr>
        <w:t>Dryland and desert</w:t>
      </w:r>
      <w:bookmarkEnd w:id="222"/>
    </w:p>
    <w:p w14:paraId="14BC9959" w14:textId="09CA5580"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In Southern Africa, dryland and desert are diverse and are represented by various ecosystems such as the Succulent Karoo, Namib Desert, Nama Karoo and the Kalahari Desert and xeric savanna (WWF, 2017a). The Succulent Karoo stretches from the western coast of Namibia to South Africa (Jürgens </w:t>
      </w:r>
      <w:r w:rsidRPr="009B0448">
        <w:rPr>
          <w:rFonts w:ascii="Times New Roman" w:hAnsi="Times New Roman" w:cs="Times New Roman"/>
          <w:i/>
        </w:rPr>
        <w:t>et al.</w:t>
      </w:r>
      <w:r w:rsidRPr="009B0448">
        <w:rPr>
          <w:rFonts w:ascii="Times New Roman" w:hAnsi="Times New Roman" w:cs="Times New Roman"/>
        </w:rPr>
        <w:t>, 1999), covering an area of approximately 102,000 km</w:t>
      </w:r>
      <w:r w:rsidRPr="009B0448">
        <w:rPr>
          <w:rFonts w:ascii="Times New Roman" w:hAnsi="Times New Roman" w:cs="Times New Roman"/>
          <w:vertAlign w:val="superscript"/>
        </w:rPr>
        <w:t>2</w:t>
      </w:r>
      <w:r w:rsidRPr="009B0448">
        <w:rPr>
          <w:rFonts w:ascii="Times New Roman" w:hAnsi="Times New Roman" w:cs="Times New Roman"/>
        </w:rPr>
        <w:t xml:space="preserve"> (WWF, 2017a). In terms of species diversity, the Succulent Karoo boasts about 5000 higher plant species of which 40% are endemic and has the highest succulent diversity in the world with about 1,000 species (435 species of miniature succulents and 630 species of geophytes) (WWF, 2017a). Also, about 67 genera and 1,940 species of both flora and fauna are endemic to this region which is made up of 4 centres of endemism (Hilton-Taylor, 1994). For these reasons, the Succulent Karoo qualifies as a global biodiversity hotspot (CEPF, 2016)</w:t>
      </w:r>
      <w:r w:rsidRPr="009B0448">
        <w:rPr>
          <w:rFonts w:ascii="Times New Roman" w:hAnsi="Times New Roman" w:cs="Times New Roman"/>
          <w:sz w:val="20"/>
          <w:szCs w:val="20"/>
        </w:rPr>
        <w:t xml:space="preserve">. </w:t>
      </w:r>
      <w:r w:rsidRPr="009B0448">
        <w:rPr>
          <w:rFonts w:ascii="Times New Roman" w:hAnsi="Times New Roman" w:cs="Times New Roman"/>
        </w:rPr>
        <w:t xml:space="preserve">Less than 3% of the succulent Karoo is protected in statutory reserves (WWF, 2017a) but two new developments are positive signs for the future of the Succulent Karoo. These include the creation of the Namaqua national park which is set to expand westwards to encompass Sandveld habitats on the coastal plain. Also, public awareness of the value of the region is growing through the Succulent Karoo Ecosystem Programme which among other actions is leading to increased efforts of landowners in the region to adopt biodiversity-friendly </w:t>
      </w:r>
      <w:r w:rsidR="00917FB2">
        <w:rPr>
          <w:rFonts w:ascii="Times New Roman" w:hAnsi="Times New Roman" w:cs="Times New Roman"/>
        </w:rPr>
        <w:t>land-use</w:t>
      </w:r>
      <w:r w:rsidRPr="009B0448">
        <w:rPr>
          <w:rFonts w:ascii="Times New Roman" w:hAnsi="Times New Roman" w:cs="Times New Roman"/>
        </w:rPr>
        <w:t xml:space="preserve"> patterns (Loon, personal communication). </w:t>
      </w:r>
    </w:p>
    <w:p w14:paraId="22539D03" w14:textId="77777777" w:rsidR="009B0448" w:rsidRPr="009B0448" w:rsidRDefault="009B0448" w:rsidP="009B0448">
      <w:pPr>
        <w:spacing w:line="276" w:lineRule="auto"/>
        <w:jc w:val="both"/>
        <w:rPr>
          <w:rFonts w:ascii="Times New Roman" w:hAnsi="Times New Roman" w:cs="Times New Roman"/>
        </w:rPr>
      </w:pPr>
    </w:p>
    <w:p w14:paraId="7CBB3FF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Namib Desert is the world’s oldest and has been arid for 55 million years (Barnard </w:t>
      </w:r>
      <w:r w:rsidRPr="009B0448">
        <w:rPr>
          <w:rFonts w:ascii="Times New Roman" w:hAnsi="Times New Roman" w:cs="Times New Roman"/>
          <w:i/>
        </w:rPr>
        <w:t>et al.</w:t>
      </w:r>
      <w:r w:rsidRPr="009B0448">
        <w:rPr>
          <w:rFonts w:ascii="Times New Roman" w:hAnsi="Times New Roman" w:cs="Times New Roman"/>
        </w:rPr>
        <w:t xml:space="preserve">, 1998). It is home to many endemic species adapted to the hyper-arid conditions, and coastal fog. The desert hosts 70 reptile species, of which 20 are endemic, and the popular gymnosperm plant, </w:t>
      </w:r>
      <w:r w:rsidRPr="009B0448">
        <w:rPr>
          <w:rFonts w:ascii="Times New Roman" w:hAnsi="Times New Roman" w:cs="Times New Roman"/>
          <w:i/>
        </w:rPr>
        <w:t>Welwitschia mirabilis,</w:t>
      </w:r>
      <w:r w:rsidRPr="009B0448">
        <w:rPr>
          <w:rFonts w:ascii="Times New Roman" w:hAnsi="Times New Roman" w:cs="Times New Roman"/>
        </w:rPr>
        <w:t xml:space="preserve"> the Namibian wolf snake (</w:t>
      </w:r>
      <w:r w:rsidRPr="009B0448">
        <w:rPr>
          <w:rFonts w:ascii="Times New Roman" w:hAnsi="Times New Roman" w:cs="Times New Roman"/>
          <w:i/>
        </w:rPr>
        <w:t>Lychophidion namibianum</w:t>
      </w:r>
      <w:r w:rsidRPr="009B0448">
        <w:rPr>
          <w:rFonts w:ascii="Times New Roman" w:hAnsi="Times New Roman" w:cs="Times New Roman"/>
        </w:rPr>
        <w:t>) and amphibian Damaraland pygmy toad (</w:t>
      </w:r>
      <w:r w:rsidRPr="009B0448">
        <w:rPr>
          <w:rFonts w:ascii="Times New Roman" w:hAnsi="Times New Roman" w:cs="Times New Roman"/>
          <w:i/>
        </w:rPr>
        <w:t>Poyntonophrynus damaranus</w:t>
      </w:r>
      <w:r w:rsidRPr="009B0448">
        <w:rPr>
          <w:rFonts w:ascii="Times New Roman" w:hAnsi="Times New Roman" w:cs="Times New Roman"/>
        </w:rPr>
        <w:t xml:space="preserve">) are also endemic here. Most of the Namib Desert is protected in conservation areas (Maggs </w:t>
      </w:r>
      <w:r w:rsidRPr="009B0448">
        <w:rPr>
          <w:rFonts w:ascii="Times New Roman" w:hAnsi="Times New Roman" w:cs="Times New Roman"/>
          <w:i/>
        </w:rPr>
        <w:t>et al.</w:t>
      </w:r>
      <w:r w:rsidRPr="009B0448">
        <w:rPr>
          <w:rFonts w:ascii="Times New Roman" w:hAnsi="Times New Roman" w:cs="Times New Roman"/>
        </w:rPr>
        <w:t xml:space="preserve">, 1998). The Nama Karoo is confined to the Northern, Western and Eastern Cape Provinces of South Africa (WWF, 2017a) and has low species diversity and endemism (WWF, 2017a). Vegetation here is dominated by members of the Asteraceae, Poaceae, Aizoaceae, Crassulaceae and Fabaceae (Palmer </w:t>
      </w:r>
      <w:r w:rsidRPr="009B0448">
        <w:rPr>
          <w:rFonts w:ascii="Times New Roman" w:hAnsi="Times New Roman" w:cs="Times New Roman"/>
          <w:i/>
        </w:rPr>
        <w:t>et al.</w:t>
      </w:r>
      <w:r w:rsidRPr="009B0448">
        <w:rPr>
          <w:rFonts w:ascii="Times New Roman" w:hAnsi="Times New Roman" w:cs="Times New Roman"/>
        </w:rPr>
        <w:t xml:space="preserve">, 1997; Mucina </w:t>
      </w:r>
      <w:r w:rsidRPr="009B0448">
        <w:rPr>
          <w:rFonts w:ascii="Times New Roman" w:hAnsi="Times New Roman" w:cs="Times New Roman"/>
          <w:i/>
        </w:rPr>
        <w:t>et al.</w:t>
      </w:r>
      <w:r w:rsidRPr="009B0448">
        <w:rPr>
          <w:rFonts w:ascii="Times New Roman" w:hAnsi="Times New Roman" w:cs="Times New Roman"/>
        </w:rPr>
        <w:t xml:space="preserve">, 2006). Very little of the Nama Karoo is protected (Barnard </w:t>
      </w:r>
      <w:r w:rsidRPr="009B0448">
        <w:rPr>
          <w:rFonts w:ascii="Times New Roman" w:hAnsi="Times New Roman" w:cs="Times New Roman"/>
          <w:i/>
        </w:rPr>
        <w:t>et al.</w:t>
      </w:r>
      <w:r w:rsidRPr="009B0448">
        <w:rPr>
          <w:rFonts w:ascii="Times New Roman" w:hAnsi="Times New Roman" w:cs="Times New Roman"/>
        </w:rPr>
        <w:t>, 1998).</w:t>
      </w:r>
    </w:p>
    <w:p w14:paraId="36922307" w14:textId="77777777" w:rsidR="009B0448" w:rsidRPr="009B0448" w:rsidRDefault="009B0448" w:rsidP="009B0448">
      <w:pPr>
        <w:spacing w:line="276" w:lineRule="auto"/>
        <w:jc w:val="both"/>
        <w:rPr>
          <w:rFonts w:ascii="Times New Roman" w:hAnsi="Times New Roman" w:cs="Times New Roman"/>
        </w:rPr>
      </w:pPr>
    </w:p>
    <w:p w14:paraId="1F5688DB"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Transnational, is the Kalahari xeric savanna which stretches from north-western South Africa through southern Botswana to south-eastern Namibia (WWF, 2017a). The Kalahari Desert is considered to have the lowest species diversity and animal endemism in southern Africa (van Rooyen, 1999). The Kalahari Desert is relatively well conserved with protected areas such as Kgalagadi Transfrontier Park which cover more than 34,000 km</w:t>
      </w:r>
      <w:r w:rsidRPr="009B0448">
        <w:rPr>
          <w:rFonts w:ascii="Times New Roman" w:hAnsi="Times New Roman" w:cs="Times New Roman"/>
          <w:vertAlign w:val="superscript"/>
        </w:rPr>
        <w:t>2</w:t>
      </w:r>
      <w:r w:rsidRPr="009B0448">
        <w:rPr>
          <w:rFonts w:ascii="Times New Roman" w:hAnsi="Times New Roman" w:cs="Times New Roman"/>
        </w:rPr>
        <w:t xml:space="preserve">. </w:t>
      </w:r>
    </w:p>
    <w:p w14:paraId="55CCEDB5" w14:textId="77777777" w:rsidR="009B0448" w:rsidRPr="009B0448" w:rsidRDefault="009B0448" w:rsidP="009B0448">
      <w:pPr>
        <w:spacing w:line="276" w:lineRule="auto"/>
        <w:jc w:val="both"/>
        <w:rPr>
          <w:rFonts w:ascii="Times New Roman" w:hAnsi="Times New Roman" w:cs="Times New Roman"/>
        </w:rPr>
      </w:pPr>
    </w:p>
    <w:p w14:paraId="31C822C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 and future dynamics:</w:t>
      </w:r>
      <w:r w:rsidRPr="009B0448">
        <w:rPr>
          <w:rFonts w:ascii="Times New Roman" w:hAnsi="Times New Roman" w:cs="Times New Roman"/>
        </w:rPr>
        <w:t xml:space="preserve"> All ecosystems in this terrestrial unit are facing decline due to anthropogenic disturbances such as overgrazing, mining, illegal harvesting of succulents, disruptive off-roading activities by tourists, unregulated water extraction affecting water table, veterinary fences hindering ungulate migration, human-wildlife conflicts and alien invasive species (Albertson, 1998; Lovegrove, 1993; WWF, 2017a). Charismatic species with declining populations include halfmen (</w:t>
      </w:r>
      <w:r w:rsidRPr="009B0448">
        <w:rPr>
          <w:rFonts w:ascii="Times New Roman" w:hAnsi="Times New Roman" w:cs="Times New Roman"/>
          <w:i/>
        </w:rPr>
        <w:t>Pachypodium namaquanum</w:t>
      </w:r>
      <w:r w:rsidRPr="009B0448">
        <w:rPr>
          <w:rFonts w:ascii="Times New Roman" w:hAnsi="Times New Roman" w:cs="Times New Roman"/>
        </w:rPr>
        <w:t>, Lower Risk/near threatened), quiver trees (</w:t>
      </w:r>
      <w:r w:rsidRPr="009B0448">
        <w:rPr>
          <w:rFonts w:ascii="Times New Roman" w:hAnsi="Times New Roman" w:cs="Times New Roman"/>
          <w:i/>
        </w:rPr>
        <w:t>Aloe dichotoma</w:t>
      </w:r>
      <w:r w:rsidRPr="009B0448">
        <w:rPr>
          <w:rFonts w:ascii="Times New Roman" w:hAnsi="Times New Roman" w:cs="Times New Roman"/>
        </w:rPr>
        <w:t xml:space="preserve">) and </w:t>
      </w:r>
      <w:r w:rsidRPr="009B0448">
        <w:rPr>
          <w:rFonts w:ascii="Times New Roman" w:hAnsi="Times New Roman" w:cs="Times New Roman"/>
          <w:i/>
        </w:rPr>
        <w:t>Aloe ramossisima</w:t>
      </w:r>
      <w:r w:rsidRPr="009B0448">
        <w:rPr>
          <w:rFonts w:ascii="Times New Roman" w:hAnsi="Times New Roman" w:cs="Times New Roman"/>
        </w:rPr>
        <w:t xml:space="preserve"> (WWF, 2017a). The African wild dog is most severely threatened especially in the Nama Karoo (Hilton-Taylor, 2000). The drylands and desert in Southern Arica will continue to decline unless activities such as mining are halted and more protected areas are established.</w:t>
      </w:r>
    </w:p>
    <w:p w14:paraId="65EB06F4"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23" w:name="_Toc519499916"/>
      <w:r w:rsidRPr="009B0448">
        <w:rPr>
          <w:rFonts w:cs="Times New Roman"/>
          <w:b w:val="0"/>
          <w:sz w:val="22"/>
          <w:szCs w:val="22"/>
        </w:rPr>
        <w:t>Urban/Semi-urban</w:t>
      </w:r>
      <w:bookmarkEnd w:id="223"/>
    </w:p>
    <w:p w14:paraId="0476B69B" w14:textId="2929EC59"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Urbanisation is increasing rapidly in most parts of Southern African particularly South Africa and Zambia, where more than 50% of the population already live in urban areas (Mwendera, 2010). In South Africa, urbani</w:t>
      </w:r>
      <w:r w:rsidR="00C813C5">
        <w:rPr>
          <w:rFonts w:ascii="Times New Roman" w:hAnsi="Times New Roman" w:cs="Times New Roman"/>
        </w:rPr>
        <w:t>s</w:t>
      </w:r>
      <w:r w:rsidRPr="009B0448">
        <w:rPr>
          <w:rFonts w:ascii="Times New Roman" w:hAnsi="Times New Roman" w:cs="Times New Roman"/>
        </w:rPr>
        <w:t xml:space="preserve">ation is most rapid in Johannesburg or the wider Gauteng province area. By 2014, the Johannesburg area is in the 5–10 million category (although some debates regarding numbers have been engaged in, as well as consideration of the greater municipality area). By 2014, Luanda also fell within the 5–10 million size category. By 2030, the World Urbanisation Prospects 2014 analysis predicts the Gauteng area as a 10 million or more megacity, although no hotspots of 100% probable expansion to urban areas are found in the Seto </w:t>
      </w:r>
      <w:r w:rsidRPr="009B0448">
        <w:rPr>
          <w:rFonts w:ascii="Times New Roman" w:hAnsi="Times New Roman" w:cs="Times New Roman"/>
          <w:i/>
        </w:rPr>
        <w:t>et al.</w:t>
      </w:r>
      <w:r w:rsidRPr="009B0448">
        <w:rPr>
          <w:rFonts w:ascii="Times New Roman" w:hAnsi="Times New Roman" w:cs="Times New Roman"/>
        </w:rPr>
        <w:t xml:space="preserve"> (2012) analysis. </w:t>
      </w:r>
    </w:p>
    <w:p w14:paraId="5948045D" w14:textId="77777777" w:rsidR="009B0448" w:rsidRPr="009B0448" w:rsidRDefault="009B0448" w:rsidP="009B0448">
      <w:pPr>
        <w:spacing w:line="276" w:lineRule="auto"/>
        <w:jc w:val="both"/>
        <w:rPr>
          <w:rFonts w:ascii="Times New Roman" w:hAnsi="Times New Roman" w:cs="Times New Roman"/>
        </w:rPr>
      </w:pPr>
    </w:p>
    <w:p w14:paraId="3ADC5C7F"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b/>
        </w:rPr>
        <w:t xml:space="preserve"> </w:t>
      </w:r>
      <w:r w:rsidRPr="009B0448">
        <w:rPr>
          <w:rFonts w:ascii="Times New Roman" w:hAnsi="Times New Roman" w:cs="Times New Roman"/>
        </w:rPr>
        <w:t>About 59% of the population of Southern Africa lives in urban areas, and is predicted to increase to 78% by 2050 (UN-habitat, 2010).</w:t>
      </w:r>
    </w:p>
    <w:p w14:paraId="32D53F84"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24" w:name="_Toc519499917"/>
      <w:r w:rsidRPr="009B0448">
        <w:rPr>
          <w:rFonts w:cs="Times New Roman"/>
          <w:b w:val="0"/>
          <w:sz w:val="22"/>
          <w:szCs w:val="22"/>
        </w:rPr>
        <w:t>Cultivated lands</w:t>
      </w:r>
      <w:bookmarkEnd w:id="224"/>
    </w:p>
    <w:p w14:paraId="39F27A74" w14:textId="21F72D16"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color w:val="002060"/>
          <w:u w:val="single"/>
        </w:rPr>
        <w:t>:</w:t>
      </w:r>
      <w:r w:rsidRPr="009B0448">
        <w:rPr>
          <w:rFonts w:ascii="Times New Roman" w:hAnsi="Times New Roman" w:cs="Times New Roman"/>
          <w:color w:val="002060"/>
        </w:rPr>
        <w:t xml:space="preserve"> </w:t>
      </w:r>
      <w:r w:rsidRPr="009B0448">
        <w:rPr>
          <w:rFonts w:ascii="Times New Roman" w:hAnsi="Times New Roman" w:cs="Times New Roman"/>
        </w:rPr>
        <w:t xml:space="preserve">The agrobiodiversity in Southern Africa, as in other parts of Africa and globally, is of great importance at both small scale and large commercial farmers through its provision of ecosystem services (FAO, 2007a). The cultivated lands in Southern Africa represents 40–60% of the land cover, with 53 known green vegetables/crops, of which 27 are underutilized and 26 are major commercial crops (Mabhaudhi </w:t>
      </w:r>
      <w:r w:rsidRPr="009B0448">
        <w:rPr>
          <w:rFonts w:ascii="Times New Roman" w:hAnsi="Times New Roman" w:cs="Times New Roman"/>
          <w:i/>
        </w:rPr>
        <w:t>et al.</w:t>
      </w:r>
      <w:r w:rsidRPr="009B0448">
        <w:rPr>
          <w:rFonts w:ascii="Times New Roman" w:hAnsi="Times New Roman" w:cs="Times New Roman"/>
        </w:rPr>
        <w:t xml:space="preserve">, 2016). An example of major commercial crops would be maize–a major source of livestock feed, and export crops in some countries (van Wyk </w:t>
      </w:r>
      <w:r w:rsidRPr="009B0448">
        <w:rPr>
          <w:rFonts w:ascii="Times New Roman" w:hAnsi="Times New Roman" w:cs="Times New Roman"/>
          <w:i/>
        </w:rPr>
        <w:t>et al.</w:t>
      </w:r>
      <w:r w:rsidRPr="009B0448">
        <w:rPr>
          <w:rFonts w:ascii="Times New Roman" w:hAnsi="Times New Roman" w:cs="Times New Roman"/>
        </w:rPr>
        <w:t xml:space="preserve">, 2000). Southern Africa is also endowed with a great variety of indigenous/traditional fruits commonly known as crop wild relatives, and non-domesticated animals. About 1,593 taxa (species, subspecies and varieties) of crop wild relative species are known in Southern Africa, 258 of these have been selected as focal species based on their conservation status, level of endemism, current economic value, their use as food and their breeding potential (Mogale </w:t>
      </w:r>
      <w:r w:rsidRPr="009B0448">
        <w:rPr>
          <w:rFonts w:ascii="Times New Roman" w:hAnsi="Times New Roman" w:cs="Times New Roman"/>
          <w:i/>
        </w:rPr>
        <w:t>et al.</w:t>
      </w:r>
      <w:r w:rsidRPr="009B0448">
        <w:rPr>
          <w:rFonts w:ascii="Times New Roman" w:hAnsi="Times New Roman" w:cs="Times New Roman"/>
        </w:rPr>
        <w:t>, 2017). Among the 404 known mammalian and avian breeds in S</w:t>
      </w:r>
      <w:r w:rsidR="00C813C5">
        <w:rPr>
          <w:rFonts w:ascii="Times New Roman" w:hAnsi="Times New Roman" w:cs="Times New Roman"/>
        </w:rPr>
        <w:t>outhern Africa, 44 are categoris</w:t>
      </w:r>
      <w:r w:rsidRPr="009B0448">
        <w:rPr>
          <w:rFonts w:ascii="Times New Roman" w:hAnsi="Times New Roman" w:cs="Times New Roman"/>
        </w:rPr>
        <w:t xml:space="preserve">ed as at risk (FAO, 2007a; Figure 3.18 &amp; 3.20). However, this is probably an underestimate of the actual situation, primarily because of a lack of information (FAO, 2007a). </w:t>
      </w:r>
    </w:p>
    <w:p w14:paraId="26508344" w14:textId="77777777" w:rsidR="009B0448" w:rsidRPr="009B0448" w:rsidRDefault="009B0448" w:rsidP="009B0448">
      <w:pPr>
        <w:spacing w:line="276" w:lineRule="auto"/>
        <w:jc w:val="both"/>
        <w:rPr>
          <w:rFonts w:ascii="Times New Roman" w:hAnsi="Times New Roman" w:cs="Times New Roman"/>
        </w:rPr>
      </w:pPr>
    </w:p>
    <w:p w14:paraId="79C89A59" w14:textId="77777777" w:rsidR="009B0448" w:rsidRPr="009B0448" w:rsidRDefault="009B0448" w:rsidP="000000FA">
      <w:pPr>
        <w:widowControl w:val="0"/>
        <w:spacing w:line="276" w:lineRule="auto"/>
        <w:jc w:val="both"/>
        <w:rPr>
          <w:rFonts w:ascii="Times New Roman" w:hAnsi="Times New Roman" w:cs="Times New Roman"/>
        </w:rPr>
      </w:pPr>
      <w:r w:rsidRPr="009B0448">
        <w:rPr>
          <w:rFonts w:ascii="Times New Roman" w:hAnsi="Times New Roman" w:cs="Times New Roman"/>
        </w:rPr>
        <w:t xml:space="preserve">Southern Africa is a home to several distinct farming regions and farming activities range from intensive crop production, to cattle ranching in the bushveld and sheep farming in the more arid regions (Auricht </w:t>
      </w:r>
      <w:r w:rsidRPr="009B0448">
        <w:rPr>
          <w:rFonts w:ascii="Times New Roman" w:hAnsi="Times New Roman" w:cs="Times New Roman"/>
          <w:i/>
        </w:rPr>
        <w:t>et al.</w:t>
      </w:r>
      <w:r w:rsidRPr="009B0448">
        <w:rPr>
          <w:rFonts w:ascii="Times New Roman" w:hAnsi="Times New Roman" w:cs="Times New Roman"/>
        </w:rPr>
        <w:t>, 2014). These farming systems have become inadequate to cope with population growth explosions and lack investment in African farming systems that are experienced in the region (FAO, 2007a).</w:t>
      </w:r>
    </w:p>
    <w:p w14:paraId="76EC4CA7" w14:textId="3A1BBB8D" w:rsidR="009B0448" w:rsidRPr="009B0448" w:rsidRDefault="009B0448" w:rsidP="009B0448">
      <w:pPr>
        <w:spacing w:line="276" w:lineRule="auto"/>
        <w:jc w:val="both"/>
        <w:rPr>
          <w:rFonts w:ascii="Times New Roman" w:hAnsi="Times New Roman" w:cs="Times New Roman"/>
        </w:rPr>
      </w:pPr>
    </w:p>
    <w:p w14:paraId="397796A2" w14:textId="215BCE72" w:rsidR="000000FA" w:rsidRDefault="000000FA" w:rsidP="000000FA">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rPr>
        <w:t xml:space="preserve"> Interesting changes in food consumption and production due to population growth have been evident since the 1970s in Southern Africa in particular South Africa (WWF, 2017e). The average production of maize for instance in South Africa has remained constant over time since 1970s (WWF, 2017e). This is a concern, as consumption has increased with the growing population and maize production may soon not meet local demand, affecting both local and regional supply. Apart from population growth, water scarcity and climate change is compelling farmers to the move toward genetically modified crops in South Africa. This shift in itself will not only impact biodiversity in cultivated lands but it presents Southern Africa with a possibility of being isolated from lucrative export markets (WWF, 2017e).</w:t>
      </w:r>
    </w:p>
    <w:p w14:paraId="5D9B1404" w14:textId="101CA5FB" w:rsidR="000000FA" w:rsidRPr="009B0448" w:rsidRDefault="000000FA" w:rsidP="000000FA">
      <w:pPr>
        <w:rPr>
          <w:rFonts w:ascii="Times New Roman" w:hAnsi="Times New Roman" w:cs="Times New Roman"/>
        </w:rPr>
      </w:pPr>
      <w:r>
        <w:rPr>
          <w:rFonts w:ascii="Times New Roman" w:hAnsi="Times New Roman" w:cs="Times New Roman"/>
        </w:rPr>
        <w:br w:type="page"/>
      </w:r>
    </w:p>
    <w:p w14:paraId="5AC4582D" w14:textId="441BE219" w:rsidR="000000FA" w:rsidRDefault="000000FA" w:rsidP="009B0448">
      <w:pPr>
        <w:spacing w:line="276" w:lineRule="auto"/>
        <w:jc w:val="both"/>
        <w:rPr>
          <w:rFonts w:ascii="Times New Roman" w:hAnsi="Times New Roman" w:cs="Times New Roman"/>
          <w:color w:val="auto"/>
        </w:rPr>
      </w:pPr>
      <w:r w:rsidRPr="009B0448">
        <w:rPr>
          <w:rFonts w:ascii="Times New Roman" w:hAnsi="Times New Roman" w:cs="Times New Roman"/>
          <w:noProof/>
          <w:lang w:eastAsia="en-GB"/>
        </w:rPr>
        <w:drawing>
          <wp:inline distT="0" distB="0" distL="0" distR="0" wp14:anchorId="7CBDA7E7" wp14:editId="12DF4C6C">
            <wp:extent cx="5730240" cy="3962400"/>
            <wp:effectExtent l="0" t="0" r="381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680">
                      <a:extLst>
                        <a:ext uri="{28A0092B-C50C-407E-A947-70E740481C1C}">
                          <a14:useLocalDpi xmlns:a14="http://schemas.microsoft.com/office/drawing/2010/main" val="0"/>
                        </a:ext>
                      </a:extLst>
                    </a:blip>
                    <a:srcRect r="1884"/>
                    <a:stretch>
                      <a:fillRect/>
                    </a:stretch>
                  </pic:blipFill>
                  <pic:spPr bwMode="auto">
                    <a:xfrm>
                      <a:off x="0" y="0"/>
                      <a:ext cx="5730240" cy="3962400"/>
                    </a:xfrm>
                    <a:prstGeom prst="rect">
                      <a:avLst/>
                    </a:prstGeom>
                    <a:noFill/>
                    <a:ln>
                      <a:noFill/>
                    </a:ln>
                  </pic:spPr>
                </pic:pic>
              </a:graphicData>
            </a:graphic>
          </wp:inline>
        </w:drawing>
      </w:r>
    </w:p>
    <w:p w14:paraId="267214CD" w14:textId="77777777" w:rsidR="000000FA" w:rsidRPr="009B0448" w:rsidRDefault="000000FA" w:rsidP="000000FA">
      <w:pPr>
        <w:spacing w:line="276" w:lineRule="auto"/>
        <w:jc w:val="both"/>
        <w:rPr>
          <w:rFonts w:ascii="Times New Roman" w:hAnsi="Times New Roman" w:cs="Times New Roman"/>
          <w:color w:val="auto"/>
        </w:rPr>
      </w:pPr>
      <w:r w:rsidRPr="009B0448">
        <w:rPr>
          <w:rFonts w:ascii="Times New Roman" w:hAnsi="Times New Roman" w:cs="Times New Roman"/>
          <w:b/>
          <w:color w:val="auto"/>
        </w:rPr>
        <w:t>Figure 3.19:</w:t>
      </w:r>
      <w:r w:rsidRPr="009B0448">
        <w:rPr>
          <w:rFonts w:ascii="Times New Roman" w:hAnsi="Times New Roman" w:cs="Times New Roman"/>
          <w:color w:val="auto"/>
        </w:rPr>
        <w:t xml:space="preserve"> Risk status of livestock breeds recorded in Southern Africa* as of December 2005: absolute (table) and relative (chart) figures. Source: FAO (2007a).</w:t>
      </w:r>
    </w:p>
    <w:p w14:paraId="361836B9" w14:textId="77777777" w:rsidR="000000FA" w:rsidRPr="009B0448" w:rsidRDefault="000000FA" w:rsidP="009B0448">
      <w:pPr>
        <w:spacing w:line="276" w:lineRule="auto"/>
        <w:jc w:val="both"/>
        <w:rPr>
          <w:rFonts w:ascii="Times New Roman" w:hAnsi="Times New Roman" w:cs="Times New Roman"/>
          <w:color w:val="auto"/>
        </w:rPr>
      </w:pPr>
    </w:p>
    <w:p w14:paraId="3B43A069" w14:textId="06738886"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noProof/>
          <w:color w:val="auto"/>
          <w:lang w:eastAsia="en-GB"/>
        </w:rPr>
        <w:drawing>
          <wp:inline distT="0" distB="0" distL="0" distR="0" wp14:anchorId="7921449D" wp14:editId="79C144A6">
            <wp:extent cx="5753100" cy="3459480"/>
            <wp:effectExtent l="0" t="0" r="0" b="762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681">
                      <a:extLst>
                        <a:ext uri="{28A0092B-C50C-407E-A947-70E740481C1C}">
                          <a14:useLocalDpi xmlns:a14="http://schemas.microsoft.com/office/drawing/2010/main" val="0"/>
                        </a:ext>
                      </a:extLst>
                    </a:blip>
                    <a:srcRect r="1884"/>
                    <a:stretch>
                      <a:fillRect/>
                    </a:stretch>
                  </pic:blipFill>
                  <pic:spPr bwMode="auto">
                    <a:xfrm>
                      <a:off x="0" y="0"/>
                      <a:ext cx="5753100" cy="3459480"/>
                    </a:xfrm>
                    <a:prstGeom prst="rect">
                      <a:avLst/>
                    </a:prstGeom>
                    <a:noFill/>
                    <a:ln>
                      <a:noFill/>
                    </a:ln>
                  </pic:spPr>
                </pic:pic>
              </a:graphicData>
            </a:graphic>
          </wp:inline>
        </w:drawing>
      </w:r>
    </w:p>
    <w:p w14:paraId="2C6DA74D" w14:textId="5E7954A5" w:rsidR="000000FA"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b/>
          <w:color w:val="auto"/>
        </w:rPr>
        <w:t>Figure 3.20:</w:t>
      </w:r>
      <w:r w:rsidRPr="009B0448">
        <w:rPr>
          <w:rFonts w:ascii="Times New Roman" w:hAnsi="Times New Roman" w:cs="Times New Roman"/>
          <w:color w:val="auto"/>
        </w:rPr>
        <w:t xml:space="preserve"> Risk status of avian domestic breeds recorded in the Southern Africa* as of December 2005: absolute (table) and relative (chart) figures. Source: FAO (2007a).</w:t>
      </w:r>
    </w:p>
    <w:p w14:paraId="408236B3" w14:textId="7996720E" w:rsidR="009B0448" w:rsidRPr="009B0448" w:rsidRDefault="000000FA" w:rsidP="000000FA">
      <w:pPr>
        <w:rPr>
          <w:rFonts w:ascii="Times New Roman" w:hAnsi="Times New Roman" w:cs="Times New Roman"/>
          <w:color w:val="auto"/>
        </w:rPr>
      </w:pPr>
      <w:r>
        <w:rPr>
          <w:rFonts w:ascii="Times New Roman" w:hAnsi="Times New Roman" w:cs="Times New Roman"/>
          <w:color w:val="auto"/>
        </w:rPr>
        <w:br w:type="page"/>
      </w:r>
    </w:p>
    <w:p w14:paraId="05B7EF92"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25" w:name="_Toc503105167"/>
      <w:bookmarkStart w:id="226" w:name="_Toc519499918"/>
      <w:r w:rsidRPr="009B0448">
        <w:rPr>
          <w:rFonts w:cs="Times New Roman"/>
          <w:sz w:val="22"/>
          <w:szCs w:val="22"/>
        </w:rPr>
        <w:t>Aquatic (Freshwater, Coastal and Marine)</w:t>
      </w:r>
      <w:bookmarkEnd w:id="225"/>
      <w:bookmarkEnd w:id="226"/>
    </w:p>
    <w:p w14:paraId="7C6E6929"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27" w:name="_Toc519499919"/>
      <w:r w:rsidRPr="009B0448">
        <w:rPr>
          <w:rFonts w:cs="Times New Roman"/>
          <w:b w:val="0"/>
          <w:sz w:val="22"/>
          <w:szCs w:val="22"/>
        </w:rPr>
        <w:t>Freshwater</w:t>
      </w:r>
      <w:bookmarkEnd w:id="227"/>
    </w:p>
    <w:p w14:paraId="32C541C8" w14:textId="77777777" w:rsidR="009B0448" w:rsidRPr="009B0448" w:rsidRDefault="009B0448" w:rsidP="009B0448">
      <w:pPr>
        <w:tabs>
          <w:tab w:val="left" w:pos="8080"/>
        </w:tabs>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b/>
        </w:rPr>
        <w:t xml:space="preserve"> </w:t>
      </w:r>
      <w:r w:rsidRPr="009B0448">
        <w:rPr>
          <w:rFonts w:ascii="Times New Roman" w:hAnsi="Times New Roman" w:cs="Times New Roman"/>
        </w:rPr>
        <w:t xml:space="preserve">Southern Africa’s wetlands are among the most diverse, both physically and biologically of any in the world (Taylor </w:t>
      </w:r>
      <w:r w:rsidRPr="009B0448">
        <w:rPr>
          <w:rFonts w:ascii="Times New Roman" w:hAnsi="Times New Roman" w:cs="Times New Roman"/>
          <w:i/>
        </w:rPr>
        <w:t>et al.</w:t>
      </w:r>
      <w:r w:rsidRPr="009B0448">
        <w:rPr>
          <w:rFonts w:ascii="Times New Roman" w:hAnsi="Times New Roman" w:cs="Times New Roman"/>
        </w:rPr>
        <w:t xml:space="preserve">, 1995; Darwall </w:t>
      </w:r>
      <w:r w:rsidRPr="009B0448">
        <w:rPr>
          <w:rFonts w:ascii="Times New Roman" w:hAnsi="Times New Roman" w:cs="Times New Roman"/>
          <w:i/>
        </w:rPr>
        <w:t>et al.</w:t>
      </w:r>
      <w:r w:rsidRPr="009B0448">
        <w:rPr>
          <w:rFonts w:ascii="Times New Roman" w:hAnsi="Times New Roman" w:cs="Times New Roman"/>
        </w:rPr>
        <w:t xml:space="preserve">, 2009). A systematic assessment of river biodiversity revealed that 84% of river ecosystems are threatened, including 54% critically endangered (Nel </w:t>
      </w:r>
      <w:r w:rsidRPr="009B0448">
        <w:rPr>
          <w:rFonts w:ascii="Times New Roman" w:hAnsi="Times New Roman" w:cs="Times New Roman"/>
          <w:i/>
        </w:rPr>
        <w:t>et al.</w:t>
      </w:r>
      <w:r w:rsidRPr="009B0448">
        <w:rPr>
          <w:rFonts w:ascii="Times New Roman" w:hAnsi="Times New Roman" w:cs="Times New Roman"/>
        </w:rPr>
        <w:t xml:space="preserve">, 2007). Of the 1,279 freshwater species assessed at the regional scale, just over 7% are regionally threatened (Darwall </w:t>
      </w:r>
      <w:r w:rsidRPr="009B0448">
        <w:rPr>
          <w:rFonts w:ascii="Times New Roman" w:hAnsi="Times New Roman" w:cs="Times New Roman"/>
          <w:i/>
        </w:rPr>
        <w:t>et al.</w:t>
      </w:r>
      <w:r w:rsidRPr="009B0448">
        <w:rPr>
          <w:rFonts w:ascii="Times New Roman" w:hAnsi="Times New Roman" w:cs="Times New Roman"/>
        </w:rPr>
        <w:t>, 2009).</w:t>
      </w:r>
    </w:p>
    <w:p w14:paraId="5479611C" w14:textId="77777777" w:rsidR="009B0448" w:rsidRPr="009B0448" w:rsidRDefault="009B0448" w:rsidP="009B0448">
      <w:pPr>
        <w:tabs>
          <w:tab w:val="left" w:pos="8080"/>
        </w:tabs>
        <w:spacing w:line="276" w:lineRule="auto"/>
        <w:jc w:val="both"/>
        <w:rPr>
          <w:rFonts w:ascii="Times New Roman" w:hAnsi="Times New Roman" w:cs="Times New Roman"/>
        </w:rPr>
      </w:pPr>
    </w:p>
    <w:p w14:paraId="4F8F45A3" w14:textId="5BDE182C" w:rsidR="009B0448" w:rsidRPr="009B0448" w:rsidRDefault="009B0448" w:rsidP="009B0448">
      <w:pPr>
        <w:tabs>
          <w:tab w:val="left" w:pos="8080"/>
        </w:tabs>
        <w:spacing w:line="276" w:lineRule="auto"/>
        <w:jc w:val="both"/>
        <w:rPr>
          <w:rFonts w:ascii="Times New Roman" w:hAnsi="Times New Roman" w:cs="Times New Roman"/>
        </w:rPr>
      </w:pPr>
      <w:r w:rsidRPr="009B0448">
        <w:rPr>
          <w:rFonts w:ascii="Times New Roman" w:hAnsi="Times New Roman" w:cs="Times New Roman"/>
          <w:u w:val="single"/>
        </w:rPr>
        <w:t>Trends:</w:t>
      </w:r>
      <w:r w:rsidRPr="009B0448">
        <w:rPr>
          <w:rFonts w:ascii="Times New Roman" w:hAnsi="Times New Roman" w:cs="Times New Roman"/>
        </w:rPr>
        <w:t xml:space="preserve"> Freshwater ecosystems and species are threatened by habitat loss and degradation, including groundwater extraction and dam construction, pollution (e.g., from mining waster, and over-harvesting, and alien invasive species (Darwall </w:t>
      </w:r>
      <w:r w:rsidRPr="009B0448">
        <w:rPr>
          <w:rFonts w:ascii="Times New Roman" w:hAnsi="Times New Roman" w:cs="Times New Roman"/>
          <w:i/>
        </w:rPr>
        <w:t>et al.</w:t>
      </w:r>
      <w:r w:rsidRPr="009B0448">
        <w:rPr>
          <w:rFonts w:ascii="Times New Roman" w:hAnsi="Times New Roman" w:cs="Times New Roman"/>
        </w:rPr>
        <w:t xml:space="preserve">, 2009; Darwall </w:t>
      </w:r>
      <w:r w:rsidRPr="009B0448">
        <w:rPr>
          <w:rFonts w:ascii="Times New Roman" w:hAnsi="Times New Roman" w:cs="Times New Roman"/>
          <w:i/>
        </w:rPr>
        <w:t>et al.</w:t>
      </w:r>
      <w:r w:rsidRPr="009B0448">
        <w:rPr>
          <w:rFonts w:ascii="Times New Roman" w:hAnsi="Times New Roman" w:cs="Times New Roman"/>
        </w:rPr>
        <w:t xml:space="preserve">, 2011). Invasive alien species include deliberately introduced exotic fish (e.g., </w:t>
      </w:r>
      <w:r w:rsidRPr="009B0448">
        <w:rPr>
          <w:rFonts w:ascii="Times New Roman" w:hAnsi="Times New Roman" w:cs="Times New Roman"/>
          <w:i/>
        </w:rPr>
        <w:t>Micropterus dolomieu</w:t>
      </w:r>
      <w:r w:rsidR="00C87E0F" w:rsidRPr="009B0448">
        <w:rPr>
          <w:rFonts w:ascii="Times New Roman" w:hAnsi="Times New Roman" w:cs="Times New Roman"/>
        </w:rPr>
        <w:t>, Least</w:t>
      </w:r>
      <w:r w:rsidRPr="009B0448">
        <w:rPr>
          <w:rFonts w:ascii="Times New Roman" w:hAnsi="Times New Roman" w:cs="Times New Roman"/>
        </w:rPr>
        <w:t xml:space="preserve"> Concern, </w:t>
      </w:r>
      <w:r w:rsidRPr="009B0448">
        <w:rPr>
          <w:rFonts w:ascii="Times New Roman" w:hAnsi="Times New Roman" w:cs="Times New Roman"/>
          <w:i/>
        </w:rPr>
        <w:t>Oncorhynchus mykiss</w:t>
      </w:r>
      <w:r w:rsidRPr="009B0448">
        <w:rPr>
          <w:rFonts w:ascii="Times New Roman" w:hAnsi="Times New Roman" w:cs="Times New Roman"/>
        </w:rPr>
        <w:t xml:space="preserve"> and </w:t>
      </w:r>
      <w:r w:rsidRPr="009B0448">
        <w:rPr>
          <w:rFonts w:ascii="Times New Roman" w:hAnsi="Times New Roman" w:cs="Times New Roman"/>
          <w:i/>
        </w:rPr>
        <w:t>Salmo trutta,</w:t>
      </w:r>
      <w:r w:rsidRPr="009B0448">
        <w:rPr>
          <w:rFonts w:ascii="Times New Roman" w:hAnsi="Times New Roman" w:cs="Times New Roman"/>
        </w:rPr>
        <w:t xml:space="preserve"> Least Concern, and species of the cichlid genus </w:t>
      </w:r>
      <w:r w:rsidRPr="009B0448">
        <w:rPr>
          <w:rFonts w:ascii="Times New Roman" w:hAnsi="Times New Roman" w:cs="Times New Roman"/>
          <w:i/>
        </w:rPr>
        <w:t>Oreochromis</w:t>
      </w:r>
      <w:r w:rsidRPr="009B0448">
        <w:rPr>
          <w:rFonts w:ascii="Times New Roman" w:hAnsi="Times New Roman" w:cs="Times New Roman"/>
        </w:rPr>
        <w:t xml:space="preserve">) and invasive plants such as the water hyacinth, and black wattle which invades riparian corridors. Increasing development pressure is expected to lead to deterioration in the status of southern Africa’s freshwater biodiversity. Water transfer schemes are also a threat to lake ecosystems, as they allow mixing of previously separated populations of fish, with the potential for competition, predation and hybridization (Darwall </w:t>
      </w:r>
      <w:r w:rsidRPr="009B0448">
        <w:rPr>
          <w:rFonts w:ascii="Times New Roman" w:hAnsi="Times New Roman" w:cs="Times New Roman"/>
          <w:i/>
        </w:rPr>
        <w:t>et al.</w:t>
      </w:r>
      <w:r w:rsidRPr="009B0448">
        <w:rPr>
          <w:rFonts w:ascii="Times New Roman" w:hAnsi="Times New Roman" w:cs="Times New Roman"/>
        </w:rPr>
        <w:t xml:space="preserve">, 2011). </w:t>
      </w:r>
    </w:p>
    <w:p w14:paraId="466F6F95" w14:textId="77777777" w:rsidR="009B0448" w:rsidRPr="009B0448" w:rsidRDefault="009B0448" w:rsidP="009B0448">
      <w:pPr>
        <w:tabs>
          <w:tab w:val="left" w:pos="8080"/>
        </w:tabs>
        <w:spacing w:line="276" w:lineRule="auto"/>
        <w:jc w:val="both"/>
        <w:rPr>
          <w:rFonts w:ascii="Times New Roman" w:hAnsi="Times New Roman" w:cs="Times New Roman"/>
        </w:rPr>
      </w:pPr>
    </w:p>
    <w:p w14:paraId="3C187A26" w14:textId="77777777" w:rsidR="009B0448" w:rsidRPr="009B0448" w:rsidRDefault="009B0448" w:rsidP="009B0448">
      <w:pPr>
        <w:spacing w:line="276" w:lineRule="auto"/>
        <w:jc w:val="both"/>
        <w:rPr>
          <w:rFonts w:ascii="Times New Roman" w:hAnsi="Times New Roman" w:cs="Times New Roman"/>
          <w:b/>
        </w:rPr>
      </w:pPr>
      <w:r w:rsidRPr="009B0448">
        <w:rPr>
          <w:rFonts w:ascii="Times New Roman" w:hAnsi="Times New Roman" w:cs="Times New Roman"/>
          <w:u w:val="single"/>
        </w:rPr>
        <w:t>Future dynamics:</w:t>
      </w:r>
      <w:r w:rsidRPr="009B0448">
        <w:rPr>
          <w:rFonts w:ascii="Times New Roman" w:hAnsi="Times New Roman" w:cs="Times New Roman"/>
          <w:b/>
        </w:rPr>
        <w:t xml:space="preserve"> </w:t>
      </w:r>
      <w:r w:rsidRPr="009B0448">
        <w:rPr>
          <w:rFonts w:ascii="Times New Roman" w:hAnsi="Times New Roman" w:cs="Times New Roman"/>
        </w:rPr>
        <w:t xml:space="preserve">Climate change and climate variability, especially increased frequency of drought are likely to further impact freshwater systems that are already stressed by multiple factors. </w:t>
      </w:r>
    </w:p>
    <w:p w14:paraId="1212E78A"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28" w:name="_Toc519499920"/>
      <w:r w:rsidRPr="009B0448">
        <w:rPr>
          <w:rFonts w:cs="Times New Roman"/>
          <w:b w:val="0"/>
          <w:sz w:val="22"/>
          <w:szCs w:val="22"/>
        </w:rPr>
        <w:t>Shelf-ecosystem</w:t>
      </w:r>
      <w:bookmarkEnd w:id="228"/>
    </w:p>
    <w:p w14:paraId="7A49438A"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The coastal areas extend along the 10,000 km of coastline from Angola on the Atlantic Ocean side to Tanzania on the Indian Ocean side. Near-shore ecosystems of Southern Africa include cold temperate (Atlantic), warm temperate, and sub-tropical (Indian Ocean), which experience different stressors and have varied responses to climate change. Fisheries on the cold temperate west coast of southern Africa are fed by the nutrient-rich waters of the Benguela upwelling system. Anchovy and sardine are the dominant species in pelagic fisheries. Excessive fishing pressure led to the collapse of Namibian and South African sardine, beginning in the 1960s. The demersal fish community has also changed, with a decline in slower-growing long-lived species. West coast rock lobster populations have also declined dramatically due to a combination of overfishing and low oxygen water, and the species is now severely overfished (DAFF, 2014). The demise of prey populations has impacted on livelihoods, and also on predators such as sea otters, penguins, gannets and cormorants. Nevertheless, the west coast Benguela marine ecosystem is still productive, and there is no evidence that any species have been lost. Tourism is also an important source of gross domestic product and livelihoods, as are oil, natural gas and diamonds. </w:t>
      </w:r>
    </w:p>
    <w:p w14:paraId="67B0FDFD" w14:textId="77777777" w:rsidR="009B0448" w:rsidRPr="009B0448" w:rsidRDefault="009B0448" w:rsidP="009B0448">
      <w:pPr>
        <w:spacing w:line="276" w:lineRule="auto"/>
        <w:jc w:val="both"/>
        <w:rPr>
          <w:rFonts w:ascii="Times New Roman" w:hAnsi="Times New Roman" w:cs="Times New Roman"/>
        </w:rPr>
      </w:pPr>
    </w:p>
    <w:p w14:paraId="0C0CD2AB"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There is a rich coastal and marine biodiversity associated with the fringing and patch coral reefs and mangrove forests in Tanzania and Mozambique (UNEP, 2005a). Large stands of mangroves are found at the mouths of the Zambezi, Save, Pungue, and Limpopo rivers along the coastline of Mozambique. The dominant trees are </w:t>
      </w:r>
      <w:r w:rsidRPr="009B0448">
        <w:rPr>
          <w:rFonts w:ascii="Times New Roman" w:hAnsi="Times New Roman" w:cs="Times New Roman"/>
          <w:i/>
        </w:rPr>
        <w:t>Rhizophora racemosa</w:t>
      </w:r>
      <w:r w:rsidRPr="009B0448">
        <w:rPr>
          <w:rFonts w:ascii="Times New Roman" w:hAnsi="Times New Roman" w:cs="Times New Roman"/>
        </w:rPr>
        <w:t xml:space="preserve"> (Least Concern), </w:t>
      </w:r>
      <w:r w:rsidRPr="009B0448">
        <w:rPr>
          <w:rFonts w:ascii="Times New Roman" w:hAnsi="Times New Roman" w:cs="Times New Roman"/>
          <w:i/>
        </w:rPr>
        <w:t>R. mangle</w:t>
      </w:r>
      <w:r w:rsidRPr="009B0448">
        <w:rPr>
          <w:rFonts w:ascii="Times New Roman" w:hAnsi="Times New Roman" w:cs="Times New Roman"/>
        </w:rPr>
        <w:t xml:space="preserve"> (Least Concern), </w:t>
      </w:r>
      <w:r w:rsidRPr="009B0448">
        <w:rPr>
          <w:rFonts w:ascii="Times New Roman" w:hAnsi="Times New Roman" w:cs="Times New Roman"/>
          <w:i/>
        </w:rPr>
        <w:t>R. harrisonii</w:t>
      </w:r>
      <w:r w:rsidRPr="009B0448">
        <w:rPr>
          <w:rFonts w:ascii="Times New Roman" w:hAnsi="Times New Roman" w:cs="Times New Roman"/>
        </w:rPr>
        <w:t xml:space="preserve"> and, </w:t>
      </w:r>
      <w:r w:rsidRPr="009B0448">
        <w:rPr>
          <w:rFonts w:ascii="Times New Roman" w:hAnsi="Times New Roman" w:cs="Times New Roman"/>
          <w:i/>
        </w:rPr>
        <w:t>Avicennia Africana</w:t>
      </w:r>
      <w:r w:rsidRPr="009B0448">
        <w:rPr>
          <w:rFonts w:ascii="Times New Roman" w:hAnsi="Times New Roman" w:cs="Times New Roman"/>
        </w:rPr>
        <w:t xml:space="preserve">. In Angola, mangrove communities occur at the mouths of the Cuvo, Longa, Cuanza, Dande, and M'Bridge Rivers (Huntley </w:t>
      </w:r>
      <w:r w:rsidRPr="009B0448">
        <w:rPr>
          <w:rFonts w:ascii="Times New Roman" w:hAnsi="Times New Roman" w:cs="Times New Roman"/>
          <w:i/>
        </w:rPr>
        <w:t>et al.</w:t>
      </w:r>
      <w:r w:rsidRPr="009B0448">
        <w:rPr>
          <w:rFonts w:ascii="Times New Roman" w:hAnsi="Times New Roman" w:cs="Times New Roman"/>
        </w:rPr>
        <w:t xml:space="preserve">, 1994), though they are not as extensive as the vast mangrove swamps at the mouth of the Zaire River. In South Africa, the distribution of mangrove forests (temperate and subtropical) is patchy and the drivers of the mangrove’s distribution are still poorly understood. A changing climate that results in increased temperature may favour the expansion southward of mangrove forest in South Africa's estuaries (Hoppe-Speer </w:t>
      </w:r>
      <w:r w:rsidRPr="009B0448">
        <w:rPr>
          <w:rFonts w:ascii="Times New Roman" w:hAnsi="Times New Roman" w:cs="Times New Roman"/>
          <w:i/>
        </w:rPr>
        <w:t>et al.</w:t>
      </w:r>
      <w:r w:rsidRPr="009B0448">
        <w:rPr>
          <w:rFonts w:ascii="Times New Roman" w:hAnsi="Times New Roman" w:cs="Times New Roman"/>
        </w:rPr>
        <w:t xml:space="preserve">, 2013; Kairo </w:t>
      </w:r>
      <w:r w:rsidRPr="009B0448">
        <w:rPr>
          <w:rFonts w:ascii="Times New Roman" w:hAnsi="Times New Roman" w:cs="Times New Roman"/>
          <w:i/>
        </w:rPr>
        <w:t>et al.</w:t>
      </w:r>
      <w:r w:rsidRPr="009B0448">
        <w:rPr>
          <w:rFonts w:ascii="Times New Roman" w:hAnsi="Times New Roman" w:cs="Times New Roman"/>
        </w:rPr>
        <w:t xml:space="preserve">, 2016). In the Eastern Cape, mangroves are located in one of the most southerly mangrove distributions in the world (Hoppe-Speer </w:t>
      </w:r>
      <w:r w:rsidRPr="009B0448">
        <w:rPr>
          <w:rFonts w:ascii="Times New Roman" w:hAnsi="Times New Roman" w:cs="Times New Roman"/>
          <w:i/>
        </w:rPr>
        <w:t>et al.</w:t>
      </w:r>
      <w:r w:rsidRPr="009B0448">
        <w:rPr>
          <w:rFonts w:ascii="Times New Roman" w:hAnsi="Times New Roman" w:cs="Times New Roman"/>
        </w:rPr>
        <w:t>, 2013). Along the east coast of South Africa, 6 species in Kosi Bay (</w:t>
      </w:r>
      <w:r w:rsidRPr="009B0448">
        <w:rPr>
          <w:rFonts w:ascii="Times New Roman" w:hAnsi="Times New Roman" w:cs="Times New Roman"/>
          <w:i/>
        </w:rPr>
        <w:t>Avicennia marina</w:t>
      </w:r>
      <w:r w:rsidRPr="009B0448">
        <w:rPr>
          <w:rFonts w:ascii="Times New Roman" w:hAnsi="Times New Roman" w:cs="Times New Roman"/>
        </w:rPr>
        <w:t xml:space="preserve"> (Least Concern)</w:t>
      </w:r>
      <w:r w:rsidRPr="009B0448">
        <w:rPr>
          <w:rFonts w:ascii="Times New Roman" w:hAnsi="Times New Roman" w:cs="Times New Roman"/>
          <w:i/>
        </w:rPr>
        <w:t>, Bruguiera gymnorrhiza, Rhizophora mucronata</w:t>
      </w:r>
      <w:r w:rsidRPr="009B0448">
        <w:rPr>
          <w:rFonts w:ascii="Times New Roman" w:hAnsi="Times New Roman" w:cs="Times New Roman"/>
        </w:rPr>
        <w:t xml:space="preserve"> (Least Concern)</w:t>
      </w:r>
      <w:r w:rsidRPr="009B0448">
        <w:rPr>
          <w:rFonts w:ascii="Times New Roman" w:hAnsi="Times New Roman" w:cs="Times New Roman"/>
          <w:i/>
        </w:rPr>
        <w:t>, Ceriops tagal</w:t>
      </w:r>
      <w:r w:rsidRPr="009B0448">
        <w:rPr>
          <w:rFonts w:ascii="Times New Roman" w:hAnsi="Times New Roman" w:cs="Times New Roman"/>
        </w:rPr>
        <w:t xml:space="preserve"> (Least Concern)</w:t>
      </w:r>
      <w:r w:rsidRPr="009B0448">
        <w:rPr>
          <w:rFonts w:ascii="Times New Roman" w:hAnsi="Times New Roman" w:cs="Times New Roman"/>
          <w:i/>
        </w:rPr>
        <w:t>, Lumnitzera racemosa</w:t>
      </w:r>
      <w:r w:rsidRPr="009B0448">
        <w:rPr>
          <w:rFonts w:ascii="Times New Roman" w:hAnsi="Times New Roman" w:cs="Times New Roman"/>
        </w:rPr>
        <w:t xml:space="preserve"> (Least Concern) and </w:t>
      </w:r>
      <w:r w:rsidRPr="009B0448">
        <w:rPr>
          <w:rFonts w:ascii="Times New Roman" w:hAnsi="Times New Roman" w:cs="Times New Roman"/>
          <w:i/>
        </w:rPr>
        <w:t xml:space="preserve">Xylocarpus granatum </w:t>
      </w:r>
      <w:r w:rsidRPr="009B0448">
        <w:rPr>
          <w:rFonts w:ascii="Times New Roman" w:hAnsi="Times New Roman" w:cs="Times New Roman"/>
        </w:rPr>
        <w:t>(Least Concern) and 3 in Nahoon (</w:t>
      </w:r>
      <w:r w:rsidRPr="009B0448">
        <w:rPr>
          <w:rFonts w:ascii="Times New Roman" w:hAnsi="Times New Roman" w:cs="Times New Roman"/>
          <w:i/>
        </w:rPr>
        <w:t>Avicennia marina</w:t>
      </w:r>
      <w:r w:rsidRPr="009B0448">
        <w:rPr>
          <w:rFonts w:ascii="Times New Roman" w:hAnsi="Times New Roman" w:cs="Times New Roman"/>
        </w:rPr>
        <w:t>, Least Concern</w:t>
      </w:r>
      <w:r w:rsidRPr="009B0448">
        <w:rPr>
          <w:rFonts w:ascii="Times New Roman" w:hAnsi="Times New Roman" w:cs="Times New Roman"/>
          <w:i/>
        </w:rPr>
        <w:t xml:space="preserve">, Bruguiera gymnorrhiza </w:t>
      </w:r>
      <w:r w:rsidRPr="009B0448">
        <w:rPr>
          <w:rFonts w:ascii="Times New Roman" w:hAnsi="Times New Roman" w:cs="Times New Roman"/>
        </w:rPr>
        <w:t>and</w:t>
      </w:r>
      <w:r w:rsidRPr="009B0448">
        <w:rPr>
          <w:rFonts w:ascii="Times New Roman" w:hAnsi="Times New Roman" w:cs="Times New Roman"/>
          <w:i/>
        </w:rPr>
        <w:t xml:space="preserve"> Rhizophora mucronata</w:t>
      </w:r>
      <w:r w:rsidRPr="009B0448">
        <w:rPr>
          <w:rFonts w:ascii="Times New Roman" w:hAnsi="Times New Roman" w:cs="Times New Roman"/>
        </w:rPr>
        <w:t>, Least Concern) are found.</w:t>
      </w:r>
    </w:p>
    <w:p w14:paraId="62FA91FB" w14:textId="77777777" w:rsidR="009B0448" w:rsidRPr="009B0448" w:rsidRDefault="009B0448" w:rsidP="009B0448">
      <w:pPr>
        <w:spacing w:line="276" w:lineRule="auto"/>
        <w:jc w:val="both"/>
        <w:rPr>
          <w:rFonts w:ascii="Times New Roman" w:hAnsi="Times New Roman" w:cs="Times New Roman"/>
        </w:rPr>
      </w:pPr>
    </w:p>
    <w:p w14:paraId="41BF3C4D"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Mangroves are traditionally used for charcoal, firewood, building material for housing, fences and fish traps, but also for medicine (notably in Mozambique). Mangroves have also been considered efficient systems for the removal of nutrients and other pollutants (Lewis </w:t>
      </w:r>
      <w:r w:rsidRPr="009B0448">
        <w:rPr>
          <w:rFonts w:ascii="Times New Roman" w:hAnsi="Times New Roman" w:cs="Times New Roman"/>
          <w:i/>
        </w:rPr>
        <w:t>et al.</w:t>
      </w:r>
      <w:r w:rsidRPr="009B0448">
        <w:rPr>
          <w:rFonts w:ascii="Times New Roman" w:hAnsi="Times New Roman" w:cs="Times New Roman"/>
        </w:rPr>
        <w:t xml:space="preserve">, 2013). In response to drought and non-tidal conditions (as a result of mouth closure in St Lucia Estuary, South Africa), Hoppe-Speer </w:t>
      </w:r>
      <w:r w:rsidRPr="009B0448">
        <w:rPr>
          <w:rFonts w:ascii="Times New Roman" w:hAnsi="Times New Roman" w:cs="Times New Roman"/>
          <w:i/>
        </w:rPr>
        <w:t>et al.</w:t>
      </w:r>
      <w:r w:rsidRPr="009B0448">
        <w:rPr>
          <w:rFonts w:ascii="Times New Roman" w:hAnsi="Times New Roman" w:cs="Times New Roman"/>
        </w:rPr>
        <w:t xml:space="preserve"> (2013) showed that mangrove species have difficulties in surviving such harsh conditions. Mozambique, the Foundation for the Conservation of Biodiversity is promoting mangrove conservation. In South Africa, Kosi, St. Lucia, Mfolozi and Mhlathuze Estuaries account for about 75% of mangroves and except Mfozoli that are protected.</w:t>
      </w:r>
    </w:p>
    <w:p w14:paraId="607921F3" w14:textId="77777777" w:rsidR="009B0448" w:rsidRPr="009B0448" w:rsidRDefault="009B0448" w:rsidP="009B0448">
      <w:pPr>
        <w:spacing w:line="276" w:lineRule="auto"/>
        <w:jc w:val="both"/>
        <w:rPr>
          <w:rFonts w:ascii="Times New Roman" w:hAnsi="Times New Roman" w:cs="Times New Roman"/>
        </w:rPr>
      </w:pPr>
    </w:p>
    <w:p w14:paraId="2218482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Coral communities occur in shallow waters of Mozambique, Tanzania, and on the Maputoland Reef in KwaZulu-Natal, South Africa (Obura </w:t>
      </w:r>
      <w:r w:rsidRPr="009B0448">
        <w:rPr>
          <w:rFonts w:ascii="Times New Roman" w:hAnsi="Times New Roman" w:cs="Times New Roman"/>
          <w:i/>
        </w:rPr>
        <w:t>et al.</w:t>
      </w:r>
      <w:r w:rsidRPr="009B0448">
        <w:rPr>
          <w:rFonts w:ascii="Times New Roman" w:hAnsi="Times New Roman" w:cs="Times New Roman"/>
        </w:rPr>
        <w:t>, 2004). All five species of marine turtles occurring in South African waters are listed on the IUCN Red List as either ‘vulnerable’ or ‘endangered’, as well as the blue whale (</w:t>
      </w:r>
      <w:r w:rsidRPr="009B0448">
        <w:rPr>
          <w:rFonts w:ascii="Times New Roman" w:hAnsi="Times New Roman" w:cs="Times New Roman"/>
          <w:i/>
        </w:rPr>
        <w:t>Balaenopteramusculus intermediais</w:t>
      </w:r>
      <w:r w:rsidRPr="009B0448">
        <w:rPr>
          <w:rFonts w:ascii="Times New Roman" w:hAnsi="Times New Roman" w:cs="Times New Roman"/>
        </w:rPr>
        <w:t>, Endangered). Four other marine mammals occurring in South African waters are considered to be ‘vulnerable’ namely, Indian Ocean bottlenosed dolphin (</w:t>
      </w:r>
      <w:r w:rsidRPr="009B0448">
        <w:rPr>
          <w:rFonts w:ascii="Times New Roman" w:hAnsi="Times New Roman" w:cs="Times New Roman"/>
          <w:i/>
        </w:rPr>
        <w:t>Tursiops aduncus</w:t>
      </w:r>
      <w:r w:rsidRPr="009B0448">
        <w:rPr>
          <w:rFonts w:ascii="Times New Roman" w:hAnsi="Times New Roman" w:cs="Times New Roman"/>
        </w:rPr>
        <w:t>), Indian Ocean humpback dolphin (</w:t>
      </w:r>
      <w:r w:rsidRPr="009B0448">
        <w:rPr>
          <w:rFonts w:ascii="Times New Roman" w:hAnsi="Times New Roman" w:cs="Times New Roman"/>
          <w:i/>
        </w:rPr>
        <w:t>Sousa plumbea</w:t>
      </w:r>
      <w:r w:rsidRPr="009B0448">
        <w:rPr>
          <w:rFonts w:ascii="Times New Roman" w:hAnsi="Times New Roman" w:cs="Times New Roman"/>
        </w:rPr>
        <w:t>, Endangered), sperm whale (</w:t>
      </w:r>
      <w:r w:rsidRPr="009B0448">
        <w:rPr>
          <w:rFonts w:ascii="Times New Roman" w:hAnsi="Times New Roman" w:cs="Times New Roman"/>
          <w:i/>
        </w:rPr>
        <w:t>Physetter microcephalus</w:t>
      </w:r>
      <w:r w:rsidRPr="009B0448">
        <w:rPr>
          <w:rFonts w:ascii="Times New Roman" w:hAnsi="Times New Roman" w:cs="Times New Roman"/>
        </w:rPr>
        <w:t>) and Bryde’s whale (</w:t>
      </w:r>
      <w:r w:rsidRPr="009B0448">
        <w:rPr>
          <w:rFonts w:ascii="Times New Roman" w:hAnsi="Times New Roman" w:cs="Times New Roman"/>
          <w:i/>
        </w:rPr>
        <w:t>Balaenoptera brydei</w:t>
      </w:r>
      <w:r w:rsidRPr="009B0448">
        <w:rPr>
          <w:rFonts w:ascii="Times New Roman" w:hAnsi="Times New Roman" w:cs="Times New Roman"/>
        </w:rPr>
        <w:t xml:space="preserve">) (Atkinson </w:t>
      </w:r>
      <w:r w:rsidRPr="009B0448">
        <w:rPr>
          <w:rFonts w:ascii="Times New Roman" w:hAnsi="Times New Roman" w:cs="Times New Roman"/>
          <w:i/>
        </w:rPr>
        <w:t>et al.</w:t>
      </w:r>
      <w:r w:rsidRPr="009B0448">
        <w:rPr>
          <w:rFonts w:ascii="Times New Roman" w:hAnsi="Times New Roman" w:cs="Times New Roman"/>
        </w:rPr>
        <w:t>, 2005).</w:t>
      </w:r>
    </w:p>
    <w:p w14:paraId="1895216B"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29" w:name="_Toc519499921"/>
      <w:r w:rsidRPr="009B0448">
        <w:rPr>
          <w:rFonts w:cs="Times New Roman"/>
          <w:b w:val="0"/>
          <w:sz w:val="22"/>
          <w:szCs w:val="22"/>
        </w:rPr>
        <w:t>Open Ocean</w:t>
      </w:r>
      <w:bookmarkEnd w:id="229"/>
    </w:p>
    <w:p w14:paraId="2C2FB52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w:t>
      </w:r>
      <w:r w:rsidRPr="009B0448">
        <w:rPr>
          <w:rFonts w:ascii="Times New Roman" w:hAnsi="Times New Roman" w:cs="Times New Roman"/>
        </w:rPr>
        <w:t xml:space="preserve"> Offshore areas are important habitat for many threatened seabirds, turtles and deep water fish, but most offshore habitats remain unprotected and poorly studied (Sink </w:t>
      </w:r>
      <w:r w:rsidRPr="009B0448">
        <w:rPr>
          <w:rFonts w:ascii="Times New Roman" w:hAnsi="Times New Roman" w:cs="Times New Roman"/>
          <w:i/>
        </w:rPr>
        <w:t>et al.</w:t>
      </w:r>
      <w:r w:rsidRPr="009B0448">
        <w:rPr>
          <w:rFonts w:ascii="Times New Roman" w:hAnsi="Times New Roman" w:cs="Times New Roman"/>
        </w:rPr>
        <w:t xml:space="preserve">, 2011). Offshore to the limit of the exclusive economic zone on the Atlantic side, the seas are influenced by the cold, northward-flowing Benguela current large marine ecosystem, with highly productive upwelling supporting industrial-scale fisheries. The east coast, under the influence of the East African Coast Current flows northward along the coast of Tanzania and southward towards Mozambique while the Agulhas Currents, is sub-tropical in South Africa (UNEP, 2005b). These waters are moderately productive with an average of 150–300 grams of carbon per square metre/year with considerable spatial variability in the productivity. Ecosystem goods and services have been estimated between $54.3 and $269 billion/year (Costanza </w:t>
      </w:r>
      <w:r w:rsidRPr="009B0448">
        <w:rPr>
          <w:rFonts w:ascii="Times New Roman" w:hAnsi="Times New Roman" w:cs="Times New Roman"/>
          <w:i/>
        </w:rPr>
        <w:t>et al.</w:t>
      </w:r>
      <w:r w:rsidRPr="009B0448">
        <w:rPr>
          <w:rFonts w:ascii="Times New Roman" w:hAnsi="Times New Roman" w:cs="Times New Roman"/>
        </w:rPr>
        <w:t xml:space="preserve">, 2014). </w:t>
      </w:r>
    </w:p>
    <w:p w14:paraId="3D45643F" w14:textId="77777777" w:rsidR="009B0448" w:rsidRPr="009B0448" w:rsidRDefault="009B0448" w:rsidP="009B0448">
      <w:pPr>
        <w:spacing w:line="276" w:lineRule="auto"/>
        <w:jc w:val="both"/>
        <w:rPr>
          <w:rFonts w:ascii="Times New Roman" w:hAnsi="Times New Roman" w:cs="Times New Roman"/>
        </w:rPr>
      </w:pPr>
    </w:p>
    <w:p w14:paraId="2A239EE1" w14:textId="0A3643B8"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The marine resources of Southern Africa are rich and diverse, with commercial and recreational fisher catch at over 250 marine species (Mann, 2000). High catches have significantly decreased between 1965 and 1989, with stable total production capture of 1.4 million tons/year in the last decade, which mainly come from the exclusive economic zones of Angola, Namibia and South Africa (FAO, 2016). The Southeast Atlantic has shown a decreasing trend in catches since the early 1970s, from a total production of 3.3 million tons to 1.3 million tons in 2013. Horse mackerel and hake represent the most important species in terms of landings, with 25 and 22%, respectively. Stocks of both deep-water hake off South Africa and shallow-water Cape hake off Namibia have recovered to biologically sustainable levels as a consequence of good recruitment and strict management measures introduced since 2006. Southern African pilchard and anchovy stocks </w:t>
      </w:r>
      <w:r w:rsidR="00C813C5">
        <w:rPr>
          <w:rFonts w:ascii="Times New Roman" w:hAnsi="Times New Roman" w:cs="Times New Roman"/>
        </w:rPr>
        <w:t>have improved and were categoris</w:t>
      </w:r>
      <w:r w:rsidRPr="009B0448">
        <w:rPr>
          <w:rFonts w:ascii="Times New Roman" w:hAnsi="Times New Roman" w:cs="Times New Roman"/>
        </w:rPr>
        <w:t>ed as fully fished in 2013. Whitehead’s round herring is not fully fished. However, the condition of Cunene horse mackerel remained overfished in 2013. The condition of the perlemoen/abalone stock, targeted heavily by illegal fishing, has deteriorated and remains overfished.</w:t>
      </w:r>
    </w:p>
    <w:p w14:paraId="3392D6FC" w14:textId="77777777" w:rsidR="009B0448" w:rsidRPr="009B0448" w:rsidRDefault="009B0448" w:rsidP="009B0448">
      <w:pPr>
        <w:spacing w:line="276" w:lineRule="auto"/>
        <w:jc w:val="both"/>
        <w:rPr>
          <w:rFonts w:ascii="Times New Roman" w:hAnsi="Times New Roman" w:cs="Times New Roman"/>
        </w:rPr>
      </w:pPr>
    </w:p>
    <w:p w14:paraId="234E52B2"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Trends and future dynamics:</w:t>
      </w:r>
      <w:r w:rsidRPr="009B0448">
        <w:rPr>
          <w:rFonts w:ascii="Times New Roman" w:hAnsi="Times New Roman" w:cs="Times New Roman"/>
          <w:b/>
        </w:rPr>
        <w:t xml:space="preserve"> </w:t>
      </w:r>
      <w:r w:rsidRPr="009B0448">
        <w:rPr>
          <w:rFonts w:ascii="Times New Roman" w:hAnsi="Times New Roman" w:cs="Times New Roman"/>
        </w:rPr>
        <w:t xml:space="preserve">Marine and coastal ecosystems face a similar range of threats as terrestrial systems, including overharvesting, climate change, pollution and invasive species. According to Sink </w:t>
      </w:r>
      <w:r w:rsidRPr="009B0448">
        <w:rPr>
          <w:rFonts w:ascii="Times New Roman" w:hAnsi="Times New Roman" w:cs="Times New Roman"/>
          <w:i/>
        </w:rPr>
        <w:t>et al.</w:t>
      </w:r>
      <w:r w:rsidRPr="009B0448">
        <w:rPr>
          <w:rFonts w:ascii="Times New Roman" w:hAnsi="Times New Roman" w:cs="Times New Roman"/>
        </w:rPr>
        <w:t xml:space="preserve"> (2011), fisheries remain the biggest threat in South African coastal systems, while invasive species and climate change are emerging as threats to these systems. As climate warms, temperate communities are declining and tropical communities are increasing as these communities expand into areas formerly dominated by warm temperate species. On the eastern coast, (Lloyd </w:t>
      </w:r>
      <w:r w:rsidRPr="009B0448">
        <w:rPr>
          <w:rFonts w:ascii="Times New Roman" w:hAnsi="Times New Roman" w:cs="Times New Roman"/>
          <w:i/>
        </w:rPr>
        <w:t>et al.</w:t>
      </w:r>
      <w:r w:rsidRPr="009B0448">
        <w:rPr>
          <w:rFonts w:ascii="Times New Roman" w:hAnsi="Times New Roman" w:cs="Times New Roman"/>
        </w:rPr>
        <w:t xml:space="preserve">, 2012) recorded a decline in temperate species and an increase in tropical species, associated with warming sea temperatures. On the shallow Aghulas bank, several species of endemic seabreams and sciaenid’s have been severely over-exploited, whereas warm water corals have been well protected. At the same time, cold water kelps and associated fauna are also penetrating the warm temperate zone (Bolton </w:t>
      </w:r>
      <w:r w:rsidRPr="009B0448">
        <w:rPr>
          <w:rFonts w:ascii="Times New Roman" w:hAnsi="Times New Roman" w:cs="Times New Roman"/>
          <w:i/>
        </w:rPr>
        <w:t>et al.</w:t>
      </w:r>
      <w:r w:rsidRPr="009B0448">
        <w:rPr>
          <w:rFonts w:ascii="Times New Roman" w:hAnsi="Times New Roman" w:cs="Times New Roman"/>
        </w:rPr>
        <w:t xml:space="preserve">, 2012). Habitat loss will lead to declines in marine species on which many coastal communities depend for food and employment. </w:t>
      </w:r>
    </w:p>
    <w:p w14:paraId="0EC745A4"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30" w:name="_Toc519499922"/>
      <w:r w:rsidRPr="009B0448">
        <w:rPr>
          <w:rFonts w:cs="Times New Roman"/>
          <w:b w:val="0"/>
          <w:sz w:val="22"/>
          <w:szCs w:val="22"/>
        </w:rPr>
        <w:t>Deep sea</w:t>
      </w:r>
      <w:bookmarkEnd w:id="230"/>
    </w:p>
    <w:p w14:paraId="0DC7694A"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Status and trends:</w:t>
      </w:r>
      <w:r w:rsidRPr="009B0448">
        <w:rPr>
          <w:rFonts w:ascii="Times New Roman" w:hAnsi="Times New Roman" w:cs="Times New Roman"/>
        </w:rPr>
        <w:t xml:space="preserve"> Offshore areas are important habitat for many threatened seabirds, turtles and deep water fish, but most offshore habitats remain unprotected and poorly studied (Sink </w:t>
      </w:r>
      <w:r w:rsidRPr="009B0448">
        <w:rPr>
          <w:rFonts w:ascii="Times New Roman" w:hAnsi="Times New Roman" w:cs="Times New Roman"/>
          <w:i/>
        </w:rPr>
        <w:t>et al.</w:t>
      </w:r>
      <w:r w:rsidRPr="009B0448">
        <w:rPr>
          <w:rFonts w:ascii="Times New Roman" w:hAnsi="Times New Roman" w:cs="Times New Roman"/>
        </w:rPr>
        <w:t>, 2011). Seamounts and other complex, raised seabed features in the open ocean are often hotspots of biological diversity and production. Some attract concentrations of commercially-important pelagic fish, such as tuna, and concentrations of animals such as cetaceans, seabirds, sharks and pinnipeds. Seamounts also host deep-water fish species, such as orange or alfonsino that are highly attractive to commercial operator. The unsustainable nature of deep-sea fisheries and their impacts on seabed life raised concerns amongst the international community. One approach, adopted by the deep-sea fishing industry in some regions was to voluntarily close areas of the deep sea to trawling where they suspected there were concentrations of vulnerable marine ecosystems as a result of high levels of by-catch of corals and other habitat-forming species. Another approach was to try and estimate the distribution of vulnerable marine ecosystems like cold-water coral reefs through habitat suitability modelling and then to feed this information into spatial management of deep-sea fisheries to prevent impacts. Artisanal fisheries in the Indian Ocean are critical for the livelihoods and food security of the populations of coastal States in the region, particularly island nations such as the Seychelles. The offshore fisheries of the western Indian Ocean are rich but countries within the region have been unable to develop the infrastructure to exploit these fisheries. As a result they have allowed the distant-water fishing fleets of developed countries to access fish resources through multilateral or bilateral agreements. Currently (as of July 2010), there is little or no information available for the assessment of the impacts of deep-sea fishing in high-seas areas of the Indian Ocean on populations of target or bycatch species.</w:t>
      </w:r>
    </w:p>
    <w:p w14:paraId="361F0504" w14:textId="77777777" w:rsidR="009B0448" w:rsidRPr="009B0448" w:rsidRDefault="009B0448" w:rsidP="009B0448">
      <w:pPr>
        <w:spacing w:line="276" w:lineRule="auto"/>
        <w:jc w:val="both"/>
        <w:rPr>
          <w:rFonts w:ascii="Times New Roman" w:hAnsi="Times New Roman" w:cs="Times New Roman"/>
        </w:rPr>
      </w:pPr>
    </w:p>
    <w:p w14:paraId="5F1028B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u w:val="single"/>
        </w:rPr>
        <w:t>Future dynamics:</w:t>
      </w:r>
      <w:r w:rsidRPr="009B0448">
        <w:rPr>
          <w:rFonts w:ascii="Times New Roman" w:hAnsi="Times New Roman" w:cs="Times New Roman"/>
        </w:rPr>
        <w:t xml:space="preserve"> A systematic approach to conservation planning and management has been applied in some terrestrial and coastal areas to maintain ecosystem health and guide sustainable use, but governance of high seas areas is currently weak (Ban </w:t>
      </w:r>
      <w:r w:rsidRPr="009B0448">
        <w:rPr>
          <w:rFonts w:ascii="Times New Roman" w:hAnsi="Times New Roman" w:cs="Times New Roman"/>
          <w:i/>
        </w:rPr>
        <w:t>et al.</w:t>
      </w:r>
      <w:r w:rsidRPr="009B0448">
        <w:rPr>
          <w:rFonts w:ascii="Times New Roman" w:hAnsi="Times New Roman" w:cs="Times New Roman"/>
        </w:rPr>
        <w:t>, 2014). The recent Phakisa initiative aims to establish 22 offshore Marine Protected Areas in the South African Economic Exclusion Zone.</w:t>
      </w:r>
    </w:p>
    <w:p w14:paraId="09F6F283"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231" w:name="_Toc503105168"/>
      <w:bookmarkStart w:id="232" w:name="_Toc519499923"/>
      <w:r w:rsidRPr="009B0448">
        <w:rPr>
          <w:rFonts w:eastAsia="Calibri" w:cs="Times New Roman"/>
          <w:szCs w:val="24"/>
        </w:rPr>
        <w:t>Impact of biodiversity changes on nature’s contribution to people</w:t>
      </w:r>
      <w:bookmarkEnd w:id="231"/>
      <w:bookmarkEnd w:id="232"/>
    </w:p>
    <w:p w14:paraId="61C252FF" w14:textId="344A8034"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 contribution of nature to peo</w:t>
      </w:r>
      <w:r w:rsidR="00C813C5">
        <w:rPr>
          <w:rFonts w:ascii="Times New Roman" w:hAnsi="Times New Roman" w:cs="Times New Roman"/>
        </w:rPr>
        <w:t>ple is mostly recognis</w:t>
      </w:r>
      <w:r w:rsidRPr="009B0448">
        <w:rPr>
          <w:rFonts w:ascii="Times New Roman" w:hAnsi="Times New Roman" w:cs="Times New Roman"/>
        </w:rPr>
        <w:t xml:space="preserve">ed through different aspects of biodiversity, ecosystem processes and ecosystem functions that deliver services which are harnessed by humans for their well-being (Figure 3.21). Scientists and </w:t>
      </w:r>
      <w:r w:rsidR="00917FB2">
        <w:rPr>
          <w:rFonts w:ascii="Times New Roman" w:hAnsi="Times New Roman" w:cs="Times New Roman"/>
        </w:rPr>
        <w:t>policymaker</w:t>
      </w:r>
      <w:r w:rsidRPr="009B0448">
        <w:rPr>
          <w:rFonts w:ascii="Times New Roman" w:hAnsi="Times New Roman" w:cs="Times New Roman"/>
        </w:rPr>
        <w:t xml:space="preserve">s throughout the world recognise that the delivery of most ecosystem services is underpinned by biodiversity and ecological functions (MA, 2005; Díaz </w:t>
      </w:r>
      <w:r w:rsidRPr="009B0448">
        <w:rPr>
          <w:rFonts w:ascii="Times New Roman" w:hAnsi="Times New Roman" w:cs="Times New Roman"/>
          <w:i/>
        </w:rPr>
        <w:t>et al.</w:t>
      </w:r>
      <w:r w:rsidRPr="009B0448">
        <w:rPr>
          <w:rFonts w:ascii="Times New Roman" w:hAnsi="Times New Roman" w:cs="Times New Roman"/>
        </w:rPr>
        <w:t xml:space="preserve">, 2006; Egoh </w:t>
      </w:r>
      <w:r w:rsidRPr="009B0448">
        <w:rPr>
          <w:rFonts w:ascii="Times New Roman" w:hAnsi="Times New Roman" w:cs="Times New Roman"/>
          <w:i/>
        </w:rPr>
        <w:t>et al.</w:t>
      </w:r>
      <w:r w:rsidRPr="009B0448">
        <w:rPr>
          <w:rFonts w:ascii="Times New Roman" w:hAnsi="Times New Roman" w:cs="Times New Roman"/>
        </w:rPr>
        <w:t xml:space="preserve">, 2009; Maes </w:t>
      </w:r>
      <w:r w:rsidRPr="009B0448">
        <w:rPr>
          <w:rFonts w:ascii="Times New Roman" w:hAnsi="Times New Roman" w:cs="Times New Roman"/>
          <w:i/>
        </w:rPr>
        <w:t>et al.</w:t>
      </w:r>
      <w:r w:rsidRPr="009B0448">
        <w:rPr>
          <w:rFonts w:ascii="Times New Roman" w:hAnsi="Times New Roman" w:cs="Times New Roman"/>
        </w:rPr>
        <w:t xml:space="preserve">, 2012; Balvanera </w:t>
      </w:r>
      <w:r w:rsidRPr="009B0448">
        <w:rPr>
          <w:rFonts w:ascii="Times New Roman" w:hAnsi="Times New Roman" w:cs="Times New Roman"/>
          <w:i/>
        </w:rPr>
        <w:t>et al.</w:t>
      </w:r>
      <w:r w:rsidRPr="009B0448">
        <w:rPr>
          <w:rFonts w:ascii="Times New Roman" w:hAnsi="Times New Roman" w:cs="Times New Roman"/>
        </w:rPr>
        <w:t xml:space="preserve">, 2014; Harrison </w:t>
      </w:r>
      <w:r w:rsidRPr="009B0448">
        <w:rPr>
          <w:rFonts w:ascii="Times New Roman" w:hAnsi="Times New Roman" w:cs="Times New Roman"/>
          <w:i/>
        </w:rPr>
        <w:t>et al.</w:t>
      </w:r>
      <w:r w:rsidRPr="009B0448">
        <w:rPr>
          <w:rFonts w:ascii="Times New Roman" w:hAnsi="Times New Roman" w:cs="Times New Roman"/>
        </w:rPr>
        <w:t xml:space="preserve">, 2014; Figure 3.21). The link between biodiversity and ecosystems services can be traced from individual species or a group of species to ecological processes and ecosystem functions (Díaz </w:t>
      </w:r>
      <w:r w:rsidRPr="009B0448">
        <w:rPr>
          <w:rFonts w:ascii="Times New Roman" w:hAnsi="Times New Roman" w:cs="Times New Roman"/>
          <w:i/>
        </w:rPr>
        <w:t>et al.</w:t>
      </w:r>
      <w:r w:rsidRPr="009B0448">
        <w:rPr>
          <w:rFonts w:ascii="Times New Roman" w:hAnsi="Times New Roman" w:cs="Times New Roman"/>
        </w:rPr>
        <w:t xml:space="preserve">, 2007; Luck </w:t>
      </w:r>
      <w:r w:rsidRPr="009B0448">
        <w:rPr>
          <w:rFonts w:ascii="Times New Roman" w:hAnsi="Times New Roman" w:cs="Times New Roman"/>
          <w:i/>
        </w:rPr>
        <w:t>et al.</w:t>
      </w:r>
      <w:r w:rsidRPr="009B0448">
        <w:rPr>
          <w:rFonts w:ascii="Times New Roman" w:hAnsi="Times New Roman" w:cs="Times New Roman"/>
        </w:rPr>
        <w:t xml:space="preserve">, 2009; Maes </w:t>
      </w:r>
      <w:r w:rsidRPr="009B0448">
        <w:rPr>
          <w:rFonts w:ascii="Times New Roman" w:hAnsi="Times New Roman" w:cs="Times New Roman"/>
          <w:i/>
        </w:rPr>
        <w:t>et al.</w:t>
      </w:r>
      <w:r w:rsidRPr="009B0448">
        <w:rPr>
          <w:rFonts w:ascii="Times New Roman" w:hAnsi="Times New Roman" w:cs="Times New Roman"/>
        </w:rPr>
        <w:t>, 2016). The relationship between biodiversity and ecosystem services is indeed complex with some services delivered by single species while others are delivered by either a combination of species, functional traits or habitat types (Figure 3.22).</w:t>
      </w:r>
    </w:p>
    <w:p w14:paraId="76F6DE72" w14:textId="77777777" w:rsidR="009B0448" w:rsidRPr="009B0448" w:rsidRDefault="009B0448" w:rsidP="009B0448">
      <w:pPr>
        <w:spacing w:line="276" w:lineRule="auto"/>
        <w:jc w:val="both"/>
        <w:rPr>
          <w:rFonts w:ascii="Times New Roman" w:hAnsi="Times New Roman" w:cs="Times New Roman"/>
        </w:rPr>
      </w:pPr>
    </w:p>
    <w:p w14:paraId="77C0A523"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In most cases, species abundance and richness are particularly important for provisioning services such as timber production, fish production and medical plants, while habitat extent and functional diversity or traits are important for regulatory services such as water purification and regulation (Harrison </w:t>
      </w:r>
      <w:r w:rsidRPr="009B0448">
        <w:rPr>
          <w:rFonts w:ascii="Times New Roman" w:hAnsi="Times New Roman" w:cs="Times New Roman"/>
          <w:i/>
        </w:rPr>
        <w:t>et al.</w:t>
      </w:r>
      <w:r w:rsidRPr="009B0448">
        <w:rPr>
          <w:rFonts w:ascii="Times New Roman" w:hAnsi="Times New Roman" w:cs="Times New Roman"/>
        </w:rPr>
        <w:t xml:space="preserve">, 2014; Figure 3.22). Although this link needs to be proven in different continents, the relationship is mostly the same for most services but the underlying biodiversity may be different. </w:t>
      </w:r>
    </w:p>
    <w:p w14:paraId="348C14F2" w14:textId="77777777" w:rsidR="009B0448" w:rsidRPr="009B0448" w:rsidRDefault="009B0448" w:rsidP="009B0448">
      <w:pPr>
        <w:spacing w:line="276" w:lineRule="auto"/>
        <w:jc w:val="both"/>
        <w:rPr>
          <w:rFonts w:ascii="Times New Roman" w:hAnsi="Times New Roman" w:cs="Times New Roman"/>
        </w:rPr>
      </w:pPr>
    </w:p>
    <w:p w14:paraId="7D0C4AAC"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Since the relationship between biodiversity and ecosystem services is mostly positive, decline in individual species that play a central role in the ecosystem may have serious consequences for ecological processes that underpin nature’s contribution to human well-being (Schwartz </w:t>
      </w:r>
      <w:r w:rsidRPr="009B0448">
        <w:rPr>
          <w:rFonts w:ascii="Times New Roman" w:hAnsi="Times New Roman" w:cs="Times New Roman"/>
          <w:i/>
        </w:rPr>
        <w:t>et al.</w:t>
      </w:r>
      <w:r w:rsidRPr="009B0448">
        <w:rPr>
          <w:rFonts w:ascii="Times New Roman" w:hAnsi="Times New Roman" w:cs="Times New Roman"/>
        </w:rPr>
        <w:t xml:space="preserve">, 2000). Also, habitat degradation impacts both species and ecological functions. For example, losses in forest cover can result in loss of timber species as well as loss in litter cover, which is important for water infiltration. However, the most important biodiversity attribute that impacts ecosystem services is functional diversity as it mainly impacts on the underlying processes (Díaz </w:t>
      </w:r>
      <w:r w:rsidRPr="009B0448">
        <w:rPr>
          <w:rFonts w:ascii="Times New Roman" w:hAnsi="Times New Roman" w:cs="Times New Roman"/>
          <w:i/>
        </w:rPr>
        <w:t>et al.</w:t>
      </w:r>
      <w:r w:rsidRPr="009B0448">
        <w:rPr>
          <w:rFonts w:ascii="Times New Roman" w:hAnsi="Times New Roman" w:cs="Times New Roman"/>
        </w:rPr>
        <w:t xml:space="preserve">, 2006; Flynn, 2009; Harrison </w:t>
      </w:r>
      <w:r w:rsidRPr="009B0448">
        <w:rPr>
          <w:rFonts w:ascii="Times New Roman" w:hAnsi="Times New Roman" w:cs="Times New Roman"/>
          <w:i/>
        </w:rPr>
        <w:t>et al.</w:t>
      </w:r>
      <w:r w:rsidRPr="009B0448">
        <w:rPr>
          <w:rFonts w:ascii="Times New Roman" w:hAnsi="Times New Roman" w:cs="Times New Roman"/>
        </w:rPr>
        <w:t xml:space="preserve">, 2014). Areas identified as hotspots for biodiversity have also been shown to overlap with areas important for the provision of ecosystem services, with degradation in such areas, resulting in negative impacts in multiple ecosystem services (Naidoo </w:t>
      </w:r>
      <w:r w:rsidRPr="009B0448">
        <w:rPr>
          <w:rFonts w:ascii="Times New Roman" w:hAnsi="Times New Roman" w:cs="Times New Roman"/>
          <w:i/>
        </w:rPr>
        <w:t>et al.</w:t>
      </w:r>
      <w:r w:rsidRPr="009B0448">
        <w:rPr>
          <w:rFonts w:ascii="Times New Roman" w:hAnsi="Times New Roman" w:cs="Times New Roman"/>
        </w:rPr>
        <w:t xml:space="preserve">, 2008; Anderson </w:t>
      </w:r>
      <w:r w:rsidRPr="009B0448">
        <w:rPr>
          <w:rFonts w:ascii="Times New Roman" w:hAnsi="Times New Roman" w:cs="Times New Roman"/>
          <w:i/>
        </w:rPr>
        <w:t>et al.</w:t>
      </w:r>
      <w:r w:rsidRPr="009B0448">
        <w:rPr>
          <w:rFonts w:ascii="Times New Roman" w:hAnsi="Times New Roman" w:cs="Times New Roman"/>
        </w:rPr>
        <w:t xml:space="preserve">, 2009; Egoh </w:t>
      </w:r>
      <w:r w:rsidRPr="009B0448">
        <w:rPr>
          <w:rFonts w:ascii="Times New Roman" w:hAnsi="Times New Roman" w:cs="Times New Roman"/>
          <w:i/>
        </w:rPr>
        <w:t>et al.</w:t>
      </w:r>
      <w:r w:rsidRPr="009B0448">
        <w:rPr>
          <w:rFonts w:ascii="Times New Roman" w:hAnsi="Times New Roman" w:cs="Times New Roman"/>
        </w:rPr>
        <w:t xml:space="preserve">, 2009). Indeed, the complete impacts of biodiversity on ecosystem services are nonlinear and complex and yet fully understood (Costanza </w:t>
      </w:r>
      <w:r w:rsidRPr="009B0448">
        <w:rPr>
          <w:rFonts w:ascii="Times New Roman" w:hAnsi="Times New Roman" w:cs="Times New Roman"/>
          <w:i/>
        </w:rPr>
        <w:t>et al.</w:t>
      </w:r>
      <w:r w:rsidRPr="009B0448">
        <w:rPr>
          <w:rFonts w:ascii="Times New Roman" w:hAnsi="Times New Roman" w:cs="Times New Roman"/>
        </w:rPr>
        <w:t>, 2007).</w:t>
      </w:r>
    </w:p>
    <w:p w14:paraId="5B99A29E" w14:textId="77777777" w:rsidR="009B0448" w:rsidRPr="009B0448" w:rsidRDefault="009B0448" w:rsidP="009B0448">
      <w:pPr>
        <w:spacing w:line="276" w:lineRule="auto"/>
        <w:jc w:val="both"/>
        <w:rPr>
          <w:rFonts w:ascii="Times New Roman" w:hAnsi="Times New Roman" w:cs="Times New Roman"/>
        </w:rPr>
      </w:pPr>
    </w:p>
    <w:p w14:paraId="3000643C" w14:textId="2D14EDDA"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0C52462E" wp14:editId="4282C038">
            <wp:extent cx="5699760" cy="312420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682">
                      <a:extLst>
                        <a:ext uri="{28A0092B-C50C-407E-A947-70E740481C1C}">
                          <a14:useLocalDpi xmlns:a14="http://schemas.microsoft.com/office/drawing/2010/main" val="0"/>
                        </a:ext>
                      </a:extLst>
                    </a:blip>
                    <a:srcRect r="2946"/>
                    <a:stretch>
                      <a:fillRect/>
                    </a:stretch>
                  </pic:blipFill>
                  <pic:spPr bwMode="auto">
                    <a:xfrm>
                      <a:off x="0" y="0"/>
                      <a:ext cx="5699760" cy="3124200"/>
                    </a:xfrm>
                    <a:prstGeom prst="rect">
                      <a:avLst/>
                    </a:prstGeom>
                    <a:noFill/>
                    <a:ln>
                      <a:noFill/>
                    </a:ln>
                  </pic:spPr>
                </pic:pic>
              </a:graphicData>
            </a:graphic>
          </wp:inline>
        </w:drawing>
      </w:r>
    </w:p>
    <w:p w14:paraId="1A122DA9"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 xml:space="preserve">Figure 3.21: </w:t>
      </w:r>
      <w:r w:rsidRPr="009B0448">
        <w:rPr>
          <w:rFonts w:ascii="Times New Roman" w:hAnsi="Times New Roman" w:cs="Times New Roman"/>
        </w:rPr>
        <w:t xml:space="preserve">Links between nature and people. Source: Maes </w:t>
      </w:r>
      <w:r w:rsidRPr="009B0448">
        <w:rPr>
          <w:rFonts w:ascii="Times New Roman" w:hAnsi="Times New Roman" w:cs="Times New Roman"/>
          <w:i/>
        </w:rPr>
        <w:t>et al.</w:t>
      </w:r>
      <w:r w:rsidRPr="009B0448">
        <w:rPr>
          <w:rFonts w:ascii="Times New Roman" w:hAnsi="Times New Roman" w:cs="Times New Roman"/>
        </w:rPr>
        <w:t xml:space="preserve"> (2016).</w:t>
      </w:r>
    </w:p>
    <w:p w14:paraId="466E7A65" w14:textId="19CD18BA"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4B5B1206" wp14:editId="5892FBA7">
            <wp:extent cx="5730240" cy="5356860"/>
            <wp:effectExtent l="0" t="0" r="381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3">
                      <a:extLst>
                        <a:ext uri="{28A0092B-C50C-407E-A947-70E740481C1C}">
                          <a14:useLocalDpi xmlns:a14="http://schemas.microsoft.com/office/drawing/2010/main" val="0"/>
                        </a:ext>
                      </a:extLst>
                    </a:blip>
                    <a:srcRect t="2634"/>
                    <a:stretch>
                      <a:fillRect/>
                    </a:stretch>
                  </pic:blipFill>
                  <pic:spPr bwMode="auto">
                    <a:xfrm>
                      <a:off x="0" y="0"/>
                      <a:ext cx="5730240" cy="5356860"/>
                    </a:xfrm>
                    <a:prstGeom prst="rect">
                      <a:avLst/>
                    </a:prstGeom>
                    <a:noFill/>
                    <a:ln>
                      <a:noFill/>
                    </a:ln>
                  </pic:spPr>
                </pic:pic>
              </a:graphicData>
            </a:graphic>
          </wp:inline>
        </w:drawing>
      </w:r>
    </w:p>
    <w:p w14:paraId="175A51E8" w14:textId="16063268" w:rsidR="009B0448" w:rsidRPr="009B0448" w:rsidRDefault="009B0448" w:rsidP="009B0448">
      <w:pPr>
        <w:widowControl w:val="0"/>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anchor distT="0" distB="0" distL="114300" distR="114300" simplePos="0" relativeHeight="251785216" behindDoc="0" locked="0" layoutInCell="1" allowOverlap="1" wp14:anchorId="19F8BB77" wp14:editId="52515A68">
                <wp:simplePos x="0" y="0"/>
                <wp:positionH relativeFrom="column">
                  <wp:posOffset>1259840</wp:posOffset>
                </wp:positionH>
                <wp:positionV relativeFrom="paragraph">
                  <wp:posOffset>210820</wp:posOffset>
                </wp:positionV>
                <wp:extent cx="45085" cy="99060"/>
                <wp:effectExtent l="19050" t="19050" r="31115" b="15240"/>
                <wp:wrapNone/>
                <wp:docPr id="199" name="Up Arrow 199"/>
                <wp:cNvGraphicFramePr/>
                <a:graphic xmlns:a="http://schemas.openxmlformats.org/drawingml/2006/main">
                  <a:graphicData uri="http://schemas.microsoft.com/office/word/2010/wordprocessingShape">
                    <wps:wsp>
                      <wps:cNvSpPr/>
                      <wps:spPr>
                        <a:xfrm>
                          <a:off x="0" y="0"/>
                          <a:ext cx="45085" cy="99060"/>
                        </a:xfrm>
                        <a:prstGeom prst="upArrow">
                          <a:avLst/>
                        </a:prstGeom>
                        <a:solidFill>
                          <a:srgbClr val="92D050"/>
                        </a:solidFill>
                        <a:ln w="254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F30355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99" o:spid="_x0000_s1026" type="#_x0000_t68" style="position:absolute;margin-left:99.2pt;margin-top:16.6pt;width:3.55pt;height:7.8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" adj="4915" fillcolor="#92d050" strokecolor="#538135 [2409]" strokeweight=".2pt"/>
            </w:pict>
          </mc:Fallback>
        </mc:AlternateContent>
      </w:r>
      <w:r w:rsidRPr="009B0448">
        <w:rPr>
          <w:rFonts w:ascii="Times New Roman" w:hAnsi="Times New Roman" w:cs="Times New Roman"/>
          <w:noProof/>
          <w:lang w:eastAsia="en-GB"/>
        </w:rPr>
        <mc:AlternateContent>
          <mc:Choice Requires="wps">
            <w:drawing>
              <wp:anchor distT="0" distB="0" distL="114300" distR="114300" simplePos="0" relativeHeight="251786240" behindDoc="0" locked="0" layoutInCell="1" allowOverlap="1" wp14:anchorId="763C9633" wp14:editId="4EF2297A">
                <wp:simplePos x="0" y="0"/>
                <wp:positionH relativeFrom="column">
                  <wp:posOffset>2655570</wp:posOffset>
                </wp:positionH>
                <wp:positionV relativeFrom="paragraph">
                  <wp:posOffset>238760</wp:posOffset>
                </wp:positionV>
                <wp:extent cx="45085" cy="80010"/>
                <wp:effectExtent l="19050" t="0" r="31115" b="34290"/>
                <wp:wrapNone/>
                <wp:docPr id="198" name="Down Arrow 198"/>
                <wp:cNvGraphicFramePr/>
                <a:graphic xmlns:a="http://schemas.openxmlformats.org/drawingml/2006/main">
                  <a:graphicData uri="http://schemas.microsoft.com/office/word/2010/wordprocessingShape">
                    <wps:wsp>
                      <wps:cNvSpPr/>
                      <wps:spPr>
                        <a:xfrm>
                          <a:off x="0" y="0"/>
                          <a:ext cx="45085" cy="80010"/>
                        </a:xfrm>
                        <a:prstGeom prst="down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FEAF4E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98" o:spid="_x0000_s1026" type="#_x0000_t67" style="position:absolute;margin-left:209.1pt;margin-top:18.8pt;width:3.55pt;height:6.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" adj="15514" fillcolor="#c00000" strokecolor="#c00000" strokeweight="1pt"/>
            </w:pict>
          </mc:Fallback>
        </mc:AlternateContent>
      </w:r>
      <w:r w:rsidRPr="009B0448">
        <w:rPr>
          <w:rFonts w:ascii="Times New Roman" w:hAnsi="Times New Roman" w:cs="Times New Roman"/>
          <w:b/>
        </w:rPr>
        <w:t>Figure 3.22:</w:t>
      </w:r>
      <w:r w:rsidRPr="009B0448">
        <w:rPr>
          <w:rFonts w:ascii="Times New Roman" w:hAnsi="Times New Roman" w:cs="Times New Roman"/>
        </w:rPr>
        <w:t xml:space="preserve"> Summary of positive and negative relationship between biodiversity and nature’s contribution to people:  = positive relationship;   = negative impact. Source: Bugter </w:t>
      </w:r>
      <w:r w:rsidRPr="009B0448">
        <w:rPr>
          <w:rFonts w:ascii="Times New Roman" w:hAnsi="Times New Roman" w:cs="Times New Roman"/>
          <w:i/>
        </w:rPr>
        <w:t>et al.</w:t>
      </w:r>
      <w:r w:rsidRPr="009B0448">
        <w:rPr>
          <w:rFonts w:ascii="Times New Roman" w:hAnsi="Times New Roman" w:cs="Times New Roman"/>
        </w:rPr>
        <w:t xml:space="preserve"> (2015).</w:t>
      </w:r>
    </w:p>
    <w:p w14:paraId="7F04E341" w14:textId="77777777" w:rsidR="009B0448" w:rsidRPr="009B0448" w:rsidRDefault="009B0448" w:rsidP="009B0448">
      <w:pPr>
        <w:spacing w:line="276" w:lineRule="auto"/>
        <w:jc w:val="both"/>
        <w:rPr>
          <w:rFonts w:ascii="Times New Roman" w:hAnsi="Times New Roman" w:cs="Times New Roman"/>
        </w:rPr>
      </w:pPr>
    </w:p>
    <w:p w14:paraId="798F3ABB" w14:textId="7E0369F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The governance of nature also occurs at multiple scales which does not necessarily align with the beneficiaries and depends on several factors including the value of nature. However nature is governed, unsustainable use of nature due to gaps in governance will threaten the livelihood of the very same people who benefit from it. Therefore most of the key drivers affecting nature’s contribution</w:t>
      </w:r>
      <w:r w:rsidR="00DF623E">
        <w:rPr>
          <w:rFonts w:ascii="Times New Roman" w:hAnsi="Times New Roman" w:cs="Times New Roman"/>
        </w:rPr>
        <w:t>s</w:t>
      </w:r>
      <w:r w:rsidRPr="009B0448">
        <w:rPr>
          <w:rFonts w:ascii="Times New Roman" w:hAnsi="Times New Roman" w:cs="Times New Roman"/>
        </w:rPr>
        <w:t xml:space="preserve"> to humans are also those associated with the use of nature by humans through ecosystem services. For example, humans use grazing land for meat production but overgrazing is a serious threat to the continuous delivery of the services (Anderson </w:t>
      </w:r>
      <w:r w:rsidRPr="009B0448">
        <w:rPr>
          <w:rFonts w:ascii="Times New Roman" w:hAnsi="Times New Roman" w:cs="Times New Roman"/>
          <w:i/>
        </w:rPr>
        <w:t>et al</w:t>
      </w:r>
      <w:r w:rsidRPr="009B0448">
        <w:rPr>
          <w:rFonts w:ascii="Times New Roman" w:hAnsi="Times New Roman" w:cs="Times New Roman"/>
        </w:rPr>
        <w:t>., 2007). Other examples include overharvesting, overfishing and water extraction which are all listed as drivers hampering nature’s contributions to people. The benefits of nature can only be achieved if use is sustainable through good governance across all scales.</w:t>
      </w:r>
    </w:p>
    <w:p w14:paraId="06CD1D89"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233" w:name="_Toc503105169"/>
      <w:bookmarkStart w:id="234" w:name="_Toc519499924"/>
      <w:r w:rsidRPr="009B0448">
        <w:rPr>
          <w:rFonts w:eastAsia="Calibri" w:cs="Times New Roman"/>
          <w:szCs w:val="24"/>
        </w:rPr>
        <w:t>Data Gaps</w:t>
      </w:r>
      <w:bookmarkEnd w:id="233"/>
      <w:bookmarkEnd w:id="234"/>
    </w:p>
    <w:p w14:paraId="05F2BF27"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Research on nature’s contribution to humans on regulatory and non-material contribution is largely lacking in most parts of Africa. Moreover most of the work in nature’s contribution to people in regulating climate, water, soils and other regulatory services in mostly biased towards Southern Africa while material contributions such as non-forest timber products are biased towards areas with forest.</w:t>
      </w:r>
    </w:p>
    <w:p w14:paraId="4C9BFF5A"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235" w:name="_Toc503105170"/>
      <w:bookmarkStart w:id="236" w:name="_Toc519499925"/>
      <w:r w:rsidRPr="009B0448">
        <w:rPr>
          <w:rFonts w:eastAsia="Calibri" w:cs="Times New Roman"/>
          <w:szCs w:val="24"/>
        </w:rPr>
        <w:t>Conclusions and recommendations</w:t>
      </w:r>
      <w:bookmarkEnd w:id="235"/>
      <w:bookmarkEnd w:id="236"/>
    </w:p>
    <w:p w14:paraId="17A004C7" w14:textId="2F1807FB" w:rsidR="009B0448" w:rsidRPr="009B0448" w:rsidRDefault="009B0448" w:rsidP="009B0448">
      <w:pPr>
        <w:widowControl w:val="0"/>
        <w:spacing w:line="276" w:lineRule="auto"/>
        <w:jc w:val="both"/>
        <w:rPr>
          <w:rFonts w:ascii="Times New Roman" w:hAnsi="Times New Roman" w:cs="Times New Roman"/>
        </w:rPr>
      </w:pPr>
      <w:r w:rsidRPr="009B0448">
        <w:rPr>
          <w:rFonts w:ascii="Times New Roman" w:hAnsi="Times New Roman" w:cs="Times New Roman"/>
        </w:rPr>
        <w:t xml:space="preserve">Africa is very rich in biodiversity and is the last place on Earth with a largely number intact assemblage of mammalian megafauna. The continent has significant regional, subregional and national variations in biodiversity that reflect climatic and physical differences, as well as its long and varied history of human interactions with the environment. Africa’s natural richness coupled with the wealth of indigenous and local knowledge on the continent, is central to, and constitutes a strategic asset for, the pursuit of sustainable development. Africa has diverse forests, woodlands, savannas, grasslands, arid zones, deserts, wetlands, inland surface waters and freshwater bodies like rivers, lakes and estuaries and the continent is surrounded by six large marine ecosystems. Most, if not all, terrestrial ecosystems in Africa have already experienced major biodiversity losses in the past 30 years, which has negative impacts nature’s contribution to people. Unfortunately, unless major policy interventions are implemented, the prospect is that this trend will continue in the future. Africa’s highly diverse terrestrial ecosystems are threatened by the </w:t>
      </w:r>
      <w:r w:rsidR="00917FB2">
        <w:rPr>
          <w:rFonts w:ascii="Times New Roman" w:hAnsi="Times New Roman" w:cs="Times New Roman"/>
        </w:rPr>
        <w:t>land-use</w:t>
      </w:r>
      <w:r w:rsidRPr="009B0448">
        <w:rPr>
          <w:rFonts w:ascii="Times New Roman" w:hAnsi="Times New Roman" w:cs="Times New Roman"/>
        </w:rPr>
        <w:t xml:space="preserve"> change (land conversion to agriculture, deforestation, habitat fragmentation) and climate change. </w:t>
      </w:r>
    </w:p>
    <w:p w14:paraId="70E3FB0A" w14:textId="77777777" w:rsidR="009B0448" w:rsidRPr="009B0448" w:rsidRDefault="009B0448" w:rsidP="009B0448">
      <w:pPr>
        <w:widowControl w:val="0"/>
        <w:spacing w:line="276" w:lineRule="auto"/>
        <w:jc w:val="both"/>
        <w:rPr>
          <w:rFonts w:ascii="Times New Roman" w:hAnsi="Times New Roman" w:cs="Times New Roman"/>
        </w:rPr>
      </w:pPr>
    </w:p>
    <w:p w14:paraId="7522AA09" w14:textId="77777777" w:rsidR="009B0448" w:rsidRPr="009B0448" w:rsidRDefault="009B0448" w:rsidP="009B0448">
      <w:pPr>
        <w:widowControl w:val="0"/>
        <w:spacing w:line="276" w:lineRule="auto"/>
        <w:jc w:val="both"/>
        <w:rPr>
          <w:rFonts w:ascii="Times New Roman" w:hAnsi="Times New Roman" w:cs="Times New Roman"/>
        </w:rPr>
      </w:pPr>
      <w:r w:rsidRPr="009B0448">
        <w:rPr>
          <w:rFonts w:ascii="Times New Roman" w:hAnsi="Times New Roman" w:cs="Times New Roman"/>
        </w:rPr>
        <w:t xml:space="preserve">Freshwater biodiversity in Africa is under severe pressure with the majority of threatened species are found in areas with high levels of development and demand on water resources, mainly along the Mediterranean and Atlantic coasts of Morocco, Algeria and Tunisia, in Upper and Lower Guinea, southern and eastern South Africa and in the Great lakes in eastern Africa. Much of Africa’s marine and coastal biodiversity is also threatened. The wide continental shelf along the northwest coast of Africa, mangrove forests of West and East Africa and adjacent islands, provide diverse habitats that support high levels of biodiversity of fish and invertebrate species. The Red Sea has a high degree of endemism and is an important repository of marine biodiversity. With overexploitation, habitat degradation and loss, acidification, pollution from land-based sources, invasive alien species and sea level rise, highly valuable ecosystem services are being threatened. Current losses of genetic biodiversity due to climate changes and unsustainable resource exploitation in Africa are restricting future management and development options and threaten the livelihoods of many African communities. </w:t>
      </w:r>
    </w:p>
    <w:p w14:paraId="4DE221C4" w14:textId="77777777" w:rsidR="009B0448" w:rsidRPr="009B0448" w:rsidRDefault="009B0448" w:rsidP="009B0448">
      <w:pPr>
        <w:widowControl w:val="0"/>
        <w:spacing w:line="276" w:lineRule="auto"/>
        <w:jc w:val="both"/>
        <w:rPr>
          <w:rFonts w:ascii="Times New Roman" w:hAnsi="Times New Roman" w:cs="Times New Roman"/>
        </w:rPr>
      </w:pPr>
    </w:p>
    <w:p w14:paraId="773637D6" w14:textId="77777777" w:rsidR="009B0448" w:rsidRPr="009B0448" w:rsidRDefault="009B0448" w:rsidP="009B0448">
      <w:pPr>
        <w:spacing w:line="276" w:lineRule="auto"/>
        <w:jc w:val="both"/>
        <w:rPr>
          <w:rFonts w:ascii="Times New Roman" w:hAnsi="Times New Roman" w:cs="Times New Roman"/>
          <w:color w:val="auto"/>
        </w:rPr>
      </w:pPr>
      <w:r w:rsidRPr="009B0448">
        <w:rPr>
          <w:rFonts w:ascii="Times New Roman" w:hAnsi="Times New Roman" w:cs="Times New Roman"/>
        </w:rPr>
        <w:t xml:space="preserve">However, Healthy ecosystems can reduce socioeconomic vulnerability by supporting well-being. Healthy ecosystems are conserved social-ecological systems and a number of them are managed by local and indigenous communities. Africa has a vast amount of undocumented ILK that would enhance our understanding of biodiversity and ecosystems status and </w:t>
      </w:r>
      <w:r w:rsidRPr="009B0448">
        <w:rPr>
          <w:rFonts w:ascii="Times New Roman" w:hAnsi="Times New Roman" w:cs="Times New Roman"/>
          <w:color w:val="auto"/>
        </w:rPr>
        <w:t>trends</w:t>
      </w:r>
      <w:r w:rsidRPr="009B0448">
        <w:rPr>
          <w:rFonts w:ascii="Times New Roman" w:hAnsi="Times New Roman" w:cs="Times New Roman"/>
          <w:i/>
          <w:color w:val="auto"/>
        </w:rPr>
        <w:t>.</w:t>
      </w:r>
      <w:r w:rsidRPr="009B0448">
        <w:rPr>
          <w:rFonts w:ascii="Times New Roman" w:hAnsi="Times New Roman" w:cs="Times New Roman"/>
          <w:color w:val="auto"/>
        </w:rPr>
        <w:t xml:space="preserve"> ILK of the status and trends of biodiversity may be especially critical in the African region because of the relative dearth of scientific cultural diversity studies relative to other regions. The environmental knowledge held by indigenous people can lead to the discovery of new species and populations and can enhance our understanding of status and trends of species and ecosystems, particularly those that contribute to human livelihoods and well-being. The role of protected areas and new conservation strategies and tools such as the Management Effectiveness Tracking Tool are increasingly useful in managing current unprecedented rates of biodiversity loss. The extent of protected areas in Africa has almost doubled in the last decades; protected areas now cover 14% of Africa’s terrestrial area and 2.5% marine. Effectiveness of protected areas is poor in many areas due to a combination of factors, such as: climate change, overexploitation (over-hunting, logging, livestock herding), civil conflicts, and encroachment from local populations to sustain their livelihoods, and inadequate park design and administration.</w:t>
      </w:r>
    </w:p>
    <w:p w14:paraId="76091290"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237" w:name="_Toc503105171"/>
      <w:bookmarkStart w:id="238" w:name="_Toc519499926"/>
      <w:r w:rsidRPr="009B0448">
        <w:rPr>
          <w:rFonts w:eastAsia="Calibri" w:cs="Times New Roman"/>
          <w:szCs w:val="24"/>
        </w:rPr>
        <w:t>References</w:t>
      </w:r>
      <w:bookmarkEnd w:id="237"/>
      <w:bookmarkEnd w:id="238"/>
    </w:p>
    <w:p w14:paraId="551A080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Adb El-Hady, H. H. (2014). Alternations in biochemical structures of phytoplankton in Aswan reservoir and River Nile Egypt</w:t>
      </w:r>
      <w:r w:rsidRPr="009B0448">
        <w:rPr>
          <w:rFonts w:ascii="Times New Roman" w:hAnsi="Times New Roman" w:cs="Times New Roman"/>
          <w:i/>
          <w:color w:val="auto"/>
        </w:rPr>
        <w:t>. Journal of Biodiversity and Environmental Sciences, 4</w:t>
      </w:r>
      <w:r w:rsidRPr="009B0448">
        <w:rPr>
          <w:rFonts w:ascii="Times New Roman" w:hAnsi="Times New Roman" w:cs="Times New Roman"/>
          <w:color w:val="auto"/>
        </w:rPr>
        <w:t>(2), 68–80.</w:t>
      </w:r>
      <w:r w:rsidRPr="009B0448">
        <w:rPr>
          <w:rFonts w:ascii="Times New Roman" w:hAnsi="Times New Roman" w:cs="Times New Roman"/>
        </w:rPr>
        <w:t xml:space="preserve"> Retrieved from </w:t>
      </w:r>
      <w:hyperlink r:id="rId684" w:history="1">
        <w:r w:rsidRPr="009B0448">
          <w:rPr>
            <w:rStyle w:val="Hyperlink"/>
            <w:rFonts w:ascii="Times New Roman" w:hAnsi="Times New Roman" w:cs="Times New Roman"/>
          </w:rPr>
          <w:t>http://www.innspub.net</w:t>
        </w:r>
      </w:hyperlink>
      <w:r w:rsidRPr="009B0448">
        <w:rPr>
          <w:rFonts w:ascii="Times New Roman" w:hAnsi="Times New Roman" w:cs="Times New Roman"/>
        </w:rPr>
        <w:t xml:space="preserve"> </w:t>
      </w:r>
    </w:p>
    <w:p w14:paraId="62B3267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Abernethy, K. A., Coad, L., Taylor, G., Lee, M. E., &amp; Maisels, F. (2013). Extent and ecological consequences of hunting in Central African rainforests in the twenty-first century. </w:t>
      </w:r>
      <w:r w:rsidRPr="009B0448">
        <w:rPr>
          <w:rFonts w:ascii="Times New Roman" w:hAnsi="Times New Roman" w:cs="Times New Roman"/>
          <w:i/>
          <w:color w:val="auto"/>
        </w:rPr>
        <w:t>Philosophical Transactions of the Royal Society B: Biological Sciences, 368</w:t>
      </w:r>
      <w:r w:rsidRPr="009B0448">
        <w:rPr>
          <w:rFonts w:ascii="Times New Roman" w:hAnsi="Times New Roman" w:cs="Times New Roman"/>
          <w:color w:val="auto"/>
        </w:rPr>
        <w:t xml:space="preserve">(1631), 20130494. </w:t>
      </w:r>
      <w:hyperlink r:id="rId685" w:history="1">
        <w:r w:rsidRPr="009B0448">
          <w:rPr>
            <w:rStyle w:val="Hyperlink"/>
            <w:rFonts w:ascii="Times New Roman" w:hAnsi="Times New Roman" w:cs="Times New Roman"/>
          </w:rPr>
          <w:t>https://doi.org/10.1098/rstb.2013.0494</w:t>
        </w:r>
      </w:hyperlink>
    </w:p>
    <w:p w14:paraId="0DD8BF3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AfDB. (2006). </w:t>
      </w:r>
      <w:r w:rsidRPr="009B0448">
        <w:rPr>
          <w:rFonts w:ascii="Times New Roman" w:hAnsi="Times New Roman" w:cs="Times New Roman"/>
          <w:i/>
          <w:color w:val="auto"/>
        </w:rPr>
        <w:t>Eta des lieux de la gestation des resources en eau dans le basin du Congo</w:t>
      </w:r>
      <w:r w:rsidRPr="009B0448">
        <w:rPr>
          <w:rFonts w:ascii="Times New Roman" w:hAnsi="Times New Roman" w:cs="Times New Roman"/>
          <w:color w:val="auto"/>
        </w:rPr>
        <w:t>. Abidjan, Côte d’Ivoire: AfDB.</w:t>
      </w:r>
    </w:p>
    <w:p w14:paraId="4F2B613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Ajao, E. A. (1993). Mangrove ecosystems in Nigeria. In E. D. Diop (Ed.), </w:t>
      </w:r>
      <w:r w:rsidRPr="009B0448">
        <w:rPr>
          <w:rFonts w:ascii="Times New Roman" w:hAnsi="Times New Roman" w:cs="Times New Roman"/>
          <w:i/>
          <w:color w:val="auto"/>
        </w:rPr>
        <w:t>Conservation and sustainable utilization of mangrove forests in Latin America and Africa regions. Part II–Africa</w:t>
      </w:r>
      <w:r w:rsidRPr="009B0448">
        <w:rPr>
          <w:rFonts w:ascii="Times New Roman" w:hAnsi="Times New Roman" w:cs="Times New Roman"/>
          <w:color w:val="auto"/>
        </w:rPr>
        <w:t xml:space="preserve">. Paris, France: UNESCO. </w:t>
      </w:r>
    </w:p>
    <w:p w14:paraId="4E3E41F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Alaoui, M. L., Knees, S., &amp; Gardner, M. (2011). </w:t>
      </w:r>
      <w:r w:rsidRPr="009B0448">
        <w:rPr>
          <w:rFonts w:ascii="Times New Roman" w:hAnsi="Times New Roman" w:cs="Times New Roman"/>
          <w:i/>
          <w:color w:val="auto"/>
        </w:rPr>
        <w:t>Abies pinsapo var. marocana</w:t>
      </w:r>
      <w:r w:rsidRPr="009B0448">
        <w:rPr>
          <w:rFonts w:ascii="Times New Roman" w:hAnsi="Times New Roman" w:cs="Times New Roman"/>
          <w:color w:val="auto"/>
        </w:rPr>
        <w:t xml:space="preserve">. Gland, Switzerland: IUCN. </w:t>
      </w:r>
      <w:hyperlink r:id="rId686" w:history="1">
        <w:r w:rsidRPr="009B0448">
          <w:rPr>
            <w:rStyle w:val="Hyperlink"/>
            <w:rFonts w:ascii="Times New Roman" w:hAnsi="Times New Roman" w:cs="Times New Roman"/>
          </w:rPr>
          <w:t>https://doi.org/10.2305/IUCN.UK.2011-2.RLTS.T34126A9841418.en</w:t>
        </w:r>
      </w:hyperlink>
    </w:p>
    <w:p w14:paraId="457594A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Albertson, A. (1998). </w:t>
      </w:r>
      <w:r w:rsidRPr="009B0448">
        <w:rPr>
          <w:rFonts w:ascii="Times New Roman" w:hAnsi="Times New Roman" w:cs="Times New Roman"/>
          <w:i/>
          <w:color w:val="auto"/>
        </w:rPr>
        <w:t>Northern Botswana veterinary fences: Critical ecological impacts</w:t>
      </w:r>
      <w:r w:rsidRPr="009B0448">
        <w:rPr>
          <w:rFonts w:ascii="Times New Roman" w:hAnsi="Times New Roman" w:cs="Times New Roman"/>
          <w:color w:val="auto"/>
        </w:rPr>
        <w:t xml:space="preserve">. Maun, Botswana: Okavango People’s Wildlife Trust. </w:t>
      </w:r>
    </w:p>
    <w:p w14:paraId="4AD457B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Alm, A. (2002). </w:t>
      </w:r>
      <w:r w:rsidRPr="009B0448">
        <w:rPr>
          <w:rFonts w:ascii="Times New Roman" w:hAnsi="Times New Roman" w:cs="Times New Roman"/>
          <w:i/>
          <w:color w:val="auto"/>
        </w:rPr>
        <w:t>Integrated coastal zone management in the Mediterranean: From concept to implementation–towards a strategy for capacity building in METAP countries</w:t>
      </w:r>
      <w:r w:rsidRPr="009B0448">
        <w:rPr>
          <w:rFonts w:ascii="Times New Roman" w:hAnsi="Times New Roman" w:cs="Times New Roman"/>
          <w:color w:val="auto"/>
        </w:rPr>
        <w:t xml:space="preserve">. Françoise Breton, Universitat Autònoma de Barcelona: People for Ecosystem based Governance in Assessing Sustainable development of Ocean. Retrieved from </w:t>
      </w:r>
      <w:hyperlink r:id="rId687" w:history="1">
        <w:r w:rsidRPr="009B0448">
          <w:rPr>
            <w:rStyle w:val="Hyperlink"/>
            <w:rFonts w:ascii="Times New Roman" w:hAnsi="Times New Roman" w:cs="Times New Roman"/>
          </w:rPr>
          <w:t>http://www.vliz.be/projects/pegaso/images/stories/pegaso_draft_p5.pdf</w:t>
        </w:r>
      </w:hyperlink>
      <w:r w:rsidRPr="009B0448">
        <w:rPr>
          <w:rFonts w:ascii="Times New Roman" w:hAnsi="Times New Roman" w:cs="Times New Roman"/>
        </w:rPr>
        <w:t xml:space="preserve"> </w:t>
      </w:r>
    </w:p>
    <w:p w14:paraId="4F35857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Alo, C. A., &amp; Pontius, R. G. (2008). Identifying systematic land-cover transitions using remote sensing and GIS: The fate of forests inside and outside protected areas of southwestern Ghana. </w:t>
      </w:r>
      <w:r w:rsidRPr="009B0448">
        <w:rPr>
          <w:rFonts w:ascii="Times New Roman" w:hAnsi="Times New Roman" w:cs="Times New Roman"/>
          <w:i/>
          <w:color w:val="auto"/>
        </w:rPr>
        <w:t>Environment and Planning B, 35</w:t>
      </w:r>
      <w:r w:rsidRPr="009B0448">
        <w:rPr>
          <w:rFonts w:ascii="Times New Roman" w:hAnsi="Times New Roman" w:cs="Times New Roman"/>
          <w:color w:val="auto"/>
        </w:rPr>
        <w:t>, 280–295.</w:t>
      </w:r>
      <w:r w:rsidRPr="009B0448">
        <w:rPr>
          <w:rFonts w:ascii="Times New Roman" w:hAnsi="Times New Roman" w:cs="Times New Roman"/>
        </w:rPr>
        <w:t xml:space="preserve"> </w:t>
      </w:r>
      <w:hyperlink r:id="rId688" w:history="1">
        <w:r w:rsidRPr="009B0448">
          <w:rPr>
            <w:rStyle w:val="Hyperlink"/>
            <w:rFonts w:ascii="Times New Roman" w:hAnsi="Times New Roman" w:cs="Times New Roman"/>
          </w:rPr>
          <w:t>https://doi.org/10.1068/b32091</w:t>
        </w:r>
      </w:hyperlink>
    </w:p>
    <w:p w14:paraId="534DB70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Alweny, S., Nsengiyumva, P., &amp; Gatarabirwa, W. (2014). </w:t>
      </w:r>
      <w:r w:rsidRPr="009B0448">
        <w:rPr>
          <w:rFonts w:ascii="Times New Roman" w:hAnsi="Times New Roman" w:cs="Times New Roman"/>
          <w:i/>
          <w:color w:val="auto"/>
        </w:rPr>
        <w:t>African mountains status report. Africa Sustainable Mountain Development Technical Report</w:t>
      </w:r>
      <w:r w:rsidRPr="009B0448">
        <w:rPr>
          <w:rFonts w:ascii="Times New Roman" w:hAnsi="Times New Roman" w:cs="Times New Roman"/>
          <w:color w:val="auto"/>
        </w:rPr>
        <w:t xml:space="preserve">. Kampala, Uganda: Albertine Rift Conservation Society. Retrieved from </w:t>
      </w:r>
      <w:hyperlink r:id="rId689" w:history="1">
        <w:r w:rsidRPr="009B0448">
          <w:rPr>
            <w:rStyle w:val="Hyperlink"/>
            <w:rFonts w:ascii="Times New Roman" w:hAnsi="Times New Roman" w:cs="Times New Roman"/>
          </w:rPr>
          <w:t>http://www.fao.org/fileadmin/user_upload/mountain_partnership/docs/African%20Mountains%20Status%20Report_2014_Final.pdf</w:t>
        </w:r>
      </w:hyperlink>
      <w:r w:rsidRPr="009B0448">
        <w:rPr>
          <w:rFonts w:ascii="Times New Roman" w:hAnsi="Times New Roman" w:cs="Times New Roman"/>
          <w:color w:val="auto"/>
        </w:rPr>
        <w:t xml:space="preserve"> </w:t>
      </w:r>
    </w:p>
    <w:p w14:paraId="6772E24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Anadu, P. A., &amp; Green, A. A. (1990). Nigeria. In R. East (Ed.), </w:t>
      </w:r>
      <w:r w:rsidRPr="009B0448">
        <w:rPr>
          <w:rFonts w:ascii="Times New Roman" w:hAnsi="Times New Roman" w:cs="Times New Roman"/>
          <w:i/>
          <w:color w:val="auto"/>
        </w:rPr>
        <w:t xml:space="preserve">Antelopes. Global survey and regional action plans. Part 3. West and Central Africa </w:t>
      </w:r>
      <w:r w:rsidRPr="009B0448">
        <w:rPr>
          <w:rFonts w:ascii="Times New Roman" w:hAnsi="Times New Roman" w:cs="Times New Roman"/>
          <w:color w:val="auto"/>
        </w:rPr>
        <w:t>(pp. 83–90). Gland, Switzerland: IUCN.</w:t>
      </w:r>
      <w:r w:rsidRPr="009B0448">
        <w:rPr>
          <w:rFonts w:ascii="Times New Roman" w:hAnsi="Times New Roman" w:cs="Times New Roman"/>
        </w:rPr>
        <w:t xml:space="preserve"> Retrieved from </w:t>
      </w:r>
      <w:hyperlink r:id="rId690" w:history="1">
        <w:r w:rsidRPr="009B0448">
          <w:rPr>
            <w:rStyle w:val="Hyperlink"/>
            <w:rFonts w:ascii="Times New Roman" w:hAnsi="Times New Roman" w:cs="Times New Roman"/>
          </w:rPr>
          <w:t>https://portals.iucn.org/library/node/8976</w:t>
        </w:r>
      </w:hyperlink>
      <w:r w:rsidRPr="009B0448">
        <w:rPr>
          <w:rFonts w:ascii="Times New Roman" w:hAnsi="Times New Roman" w:cs="Times New Roman"/>
        </w:rPr>
        <w:t xml:space="preserve"> </w:t>
      </w:r>
    </w:p>
    <w:p w14:paraId="3D60999C" w14:textId="77777777" w:rsidR="009B0448" w:rsidRPr="009B0448" w:rsidRDefault="009B0448" w:rsidP="009B0448">
      <w:pPr>
        <w:spacing w:after="120" w:line="276" w:lineRule="auto"/>
        <w:ind w:left="567" w:hanging="567"/>
        <w:rPr>
          <w:rFonts w:ascii="Times New Roman" w:hAnsi="Times New Roman" w:cs="Times New Roman"/>
          <w:color w:val="auto"/>
          <w:lang w:val="de-DE"/>
        </w:rPr>
      </w:pPr>
      <w:r w:rsidRPr="009B0448">
        <w:rPr>
          <w:rFonts w:ascii="Times New Roman" w:hAnsi="Times New Roman" w:cs="Times New Roman"/>
          <w:color w:val="auto"/>
        </w:rPr>
        <w:t xml:space="preserve">Anderson, B. J., Armsworth, P. R., Eigenbrod, F., Thomas, C. D., Gillings, S., Heinemeyer, A., Roy, D. B., &amp; Gaston, K. J. (2009). Spatial covariance between biodiversity and other ecosystem service priorities. </w:t>
      </w:r>
      <w:r w:rsidRPr="009B0448">
        <w:rPr>
          <w:rFonts w:ascii="Times New Roman" w:hAnsi="Times New Roman" w:cs="Times New Roman"/>
          <w:i/>
          <w:color w:val="auto"/>
        </w:rPr>
        <w:t>Journal of Applied Ecology, 46</w:t>
      </w:r>
      <w:r w:rsidRPr="009B0448">
        <w:rPr>
          <w:rFonts w:ascii="Times New Roman" w:hAnsi="Times New Roman" w:cs="Times New Roman"/>
          <w:color w:val="auto"/>
        </w:rPr>
        <w:t xml:space="preserve">, 888–896. </w:t>
      </w:r>
      <w:hyperlink r:id="rId691" w:history="1">
        <w:r w:rsidRPr="009B0448">
          <w:rPr>
            <w:rStyle w:val="Hyperlink"/>
            <w:rFonts w:ascii="Times New Roman" w:hAnsi="Times New Roman" w:cs="Times New Roman"/>
            <w:lang w:val="de-DE"/>
          </w:rPr>
          <w:t>https://doi.org/10.1111/j.1365-2664.2009.01666.x</w:t>
        </w:r>
      </w:hyperlink>
      <w:r w:rsidRPr="009B0448">
        <w:rPr>
          <w:rFonts w:ascii="Times New Roman" w:hAnsi="Times New Roman" w:cs="Times New Roman"/>
          <w:lang w:val="de-DE"/>
        </w:rPr>
        <w:t xml:space="preserve"> </w:t>
      </w:r>
    </w:p>
    <w:p w14:paraId="3DF1D64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Anderson, P. M. L., &amp; Hoffman, M. T. (2007). </w:t>
      </w:r>
      <w:r w:rsidRPr="009B0448">
        <w:rPr>
          <w:rFonts w:ascii="Times New Roman" w:hAnsi="Times New Roman" w:cs="Times New Roman"/>
          <w:color w:val="auto"/>
        </w:rPr>
        <w:t xml:space="preserve">The impacts of sustained heavy grazing on plant diversity and composition in lowland and upland habitats across the Kamiesberg mountain range in the Succulent Karoo, South Africa. </w:t>
      </w:r>
      <w:r w:rsidRPr="009B0448">
        <w:rPr>
          <w:rFonts w:ascii="Times New Roman" w:hAnsi="Times New Roman" w:cs="Times New Roman"/>
          <w:i/>
          <w:color w:val="auto"/>
        </w:rPr>
        <w:t>Journal of Arid Environments, 70</w:t>
      </w:r>
      <w:r w:rsidRPr="009B0448">
        <w:rPr>
          <w:rFonts w:ascii="Times New Roman" w:hAnsi="Times New Roman" w:cs="Times New Roman"/>
          <w:color w:val="auto"/>
        </w:rPr>
        <w:t>, 686–700.</w:t>
      </w:r>
      <w:r w:rsidRPr="009B0448">
        <w:rPr>
          <w:rFonts w:ascii="Times New Roman" w:hAnsi="Times New Roman" w:cs="Times New Roman"/>
        </w:rPr>
        <w:t xml:space="preserve"> </w:t>
      </w:r>
      <w:hyperlink r:id="rId692" w:history="1">
        <w:r w:rsidRPr="009B0448">
          <w:rPr>
            <w:rStyle w:val="Hyperlink"/>
            <w:rFonts w:ascii="Times New Roman" w:hAnsi="Times New Roman" w:cs="Times New Roman"/>
          </w:rPr>
          <w:t>https://doi.org/10.1016/j.jaridenv.2006.05.017</w:t>
        </w:r>
      </w:hyperlink>
    </w:p>
    <w:p w14:paraId="01B55AA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Anderson, P. M. L., Okereke, C., Rudd, A., &amp; Parnell, S. (2013). Regional assessment of Africa. In T. Elmqvist, M. Fragkias, J. Goodness, B. Güneralp, P. J. Marcotullio, R. I. McDonald, M. Schewenius (Eds.), </w:t>
      </w:r>
      <w:r w:rsidRPr="009B0448">
        <w:rPr>
          <w:rFonts w:ascii="Times New Roman" w:hAnsi="Times New Roman" w:cs="Times New Roman"/>
          <w:i/>
          <w:color w:val="auto"/>
        </w:rPr>
        <w:t>Urbanization, biodiversity and ecosystem services: Challenges and opportunities</w:t>
      </w:r>
      <w:r w:rsidRPr="009B0448">
        <w:rPr>
          <w:rFonts w:ascii="Times New Roman" w:hAnsi="Times New Roman" w:cs="Times New Roman"/>
          <w:color w:val="auto"/>
        </w:rPr>
        <w:t xml:space="preserve"> (pp. 453–459).</w:t>
      </w:r>
      <w:r w:rsidRPr="009B0448">
        <w:rPr>
          <w:rFonts w:ascii="Times New Roman" w:hAnsi="Times New Roman" w:cs="Times New Roman"/>
        </w:rPr>
        <w:t xml:space="preserve"> </w:t>
      </w:r>
      <w:r w:rsidRPr="009B0448">
        <w:rPr>
          <w:rFonts w:ascii="Times New Roman" w:hAnsi="Times New Roman" w:cs="Times New Roman"/>
          <w:color w:val="auto"/>
        </w:rPr>
        <w:t xml:space="preserve">Dordrecht, Nerthelands: Springer. </w:t>
      </w:r>
      <w:hyperlink r:id="rId693" w:history="1">
        <w:r w:rsidRPr="009B0448">
          <w:rPr>
            <w:rStyle w:val="Hyperlink"/>
            <w:rFonts w:ascii="Times New Roman" w:hAnsi="Times New Roman" w:cs="Times New Roman"/>
          </w:rPr>
          <w:t>https://doi.org/10.1007/978-94-007-7088-1</w:t>
        </w:r>
      </w:hyperlink>
      <w:r w:rsidRPr="009B0448">
        <w:rPr>
          <w:rFonts w:ascii="Times New Roman" w:hAnsi="Times New Roman" w:cs="Times New Roman"/>
          <w:color w:val="auto"/>
        </w:rPr>
        <w:t xml:space="preserve"> </w:t>
      </w:r>
    </w:p>
    <w:p w14:paraId="25626BE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Arneri, E., Carpi, P., Donato, F., &amp; Santojanni, A. (2011). Growth in small pelagic fishes and its implications in their population dynamics. </w:t>
      </w:r>
      <w:r w:rsidRPr="009B0448">
        <w:rPr>
          <w:rFonts w:ascii="Times New Roman" w:hAnsi="Times New Roman" w:cs="Times New Roman"/>
          <w:i/>
          <w:color w:val="auto"/>
        </w:rPr>
        <w:t>Biologia Marina Mediterranea, 18</w:t>
      </w:r>
      <w:r w:rsidRPr="009B0448">
        <w:rPr>
          <w:rFonts w:ascii="Times New Roman" w:hAnsi="Times New Roman" w:cs="Times New Roman"/>
          <w:color w:val="auto"/>
        </w:rPr>
        <w:t xml:space="preserve">, 106–113. Retrieved from </w:t>
      </w:r>
      <w:hyperlink r:id="rId694" w:history="1">
        <w:r w:rsidRPr="009B0448">
          <w:rPr>
            <w:rStyle w:val="Hyperlink"/>
            <w:rFonts w:ascii="Times New Roman" w:hAnsi="Times New Roman" w:cs="Times New Roman"/>
          </w:rPr>
          <w:t>http://www.sibm.it/PDF%20ATTI/BMM%2018(1)%20pdf/Pagine%20106-113.pdf</w:t>
        </w:r>
      </w:hyperlink>
      <w:r w:rsidRPr="009B0448">
        <w:rPr>
          <w:rFonts w:ascii="Times New Roman" w:hAnsi="Times New Roman" w:cs="Times New Roman"/>
          <w:color w:val="auto"/>
        </w:rPr>
        <w:t xml:space="preserve"> </w:t>
      </w:r>
    </w:p>
    <w:p w14:paraId="4BD1D36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Arumugam, R., Wagner, A., &amp; Mills, G. (2008). </w:t>
      </w:r>
      <w:r w:rsidRPr="009B0448">
        <w:rPr>
          <w:rFonts w:ascii="Times New Roman" w:hAnsi="Times New Roman" w:cs="Times New Roman"/>
          <w:i/>
          <w:color w:val="auto"/>
        </w:rPr>
        <w:t>Hyaena hyaena</w:t>
      </w:r>
      <w:r w:rsidRPr="009B0448">
        <w:rPr>
          <w:rFonts w:ascii="Times New Roman" w:hAnsi="Times New Roman" w:cs="Times New Roman"/>
          <w:color w:val="auto"/>
        </w:rPr>
        <w:t xml:space="preserve">: </w:t>
      </w:r>
      <w:r w:rsidRPr="009B0448">
        <w:rPr>
          <w:rFonts w:ascii="Times New Roman" w:hAnsi="Times New Roman" w:cs="Times New Roman"/>
          <w:i/>
          <w:color w:val="auto"/>
        </w:rPr>
        <w:t>IUCN 2013</w:t>
      </w:r>
      <w:r w:rsidRPr="009B0448">
        <w:rPr>
          <w:rFonts w:ascii="Times New Roman" w:hAnsi="Times New Roman" w:cs="Times New Roman"/>
          <w:color w:val="auto"/>
        </w:rPr>
        <w:t xml:space="preserve">. Gland, Switzerland. Retrieved from </w:t>
      </w:r>
      <w:hyperlink r:id="rId695" w:history="1">
        <w:r w:rsidRPr="009B0448">
          <w:rPr>
            <w:rStyle w:val="Hyperlink"/>
            <w:rFonts w:ascii="Times New Roman" w:hAnsi="Times New Roman" w:cs="Times New Roman"/>
          </w:rPr>
          <w:t>http://www.iucnredlist.org/details/10274/0</w:t>
        </w:r>
      </w:hyperlink>
    </w:p>
    <w:p w14:paraId="4BA83BD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Asaah, E. K., Tchoundjeu, Z., Leakey, R. R. B., Takousting, B., Njong, J., &amp; Edang, I. (2011). Trees, agroforestry and multifunctional agriculture in Cameroon. </w:t>
      </w:r>
      <w:r w:rsidRPr="009B0448">
        <w:rPr>
          <w:rFonts w:ascii="Times New Roman" w:hAnsi="Times New Roman" w:cs="Times New Roman"/>
          <w:i/>
          <w:color w:val="auto"/>
        </w:rPr>
        <w:t>International Journal of Agricultural Sustainability, 9,</w:t>
      </w:r>
      <w:r w:rsidRPr="009B0448">
        <w:rPr>
          <w:rFonts w:ascii="Times New Roman" w:hAnsi="Times New Roman" w:cs="Times New Roman"/>
          <w:color w:val="auto"/>
        </w:rPr>
        <w:t xml:space="preserve"> 110–119.</w:t>
      </w:r>
      <w:r w:rsidRPr="009B0448">
        <w:rPr>
          <w:rFonts w:ascii="Times New Roman" w:hAnsi="Times New Roman" w:cs="Times New Roman"/>
        </w:rPr>
        <w:t xml:space="preserve"> </w:t>
      </w:r>
      <w:hyperlink r:id="rId696" w:history="1">
        <w:r w:rsidRPr="009B0448">
          <w:rPr>
            <w:rStyle w:val="Hyperlink"/>
            <w:rFonts w:ascii="Times New Roman" w:hAnsi="Times New Roman" w:cs="Times New Roman"/>
          </w:rPr>
          <w:t>https://doi.org/10.3763/ijas.2010.0553</w:t>
        </w:r>
      </w:hyperlink>
      <w:r w:rsidRPr="009B0448">
        <w:rPr>
          <w:rFonts w:ascii="Times New Roman" w:hAnsi="Times New Roman" w:cs="Times New Roman"/>
          <w:color w:val="auto"/>
        </w:rPr>
        <w:t xml:space="preserve"> </w:t>
      </w:r>
    </w:p>
    <w:p w14:paraId="100D432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Atkinson, L., &amp; Clark, B. (2005). </w:t>
      </w:r>
      <w:r w:rsidRPr="009B0448">
        <w:rPr>
          <w:rFonts w:ascii="Times New Roman" w:hAnsi="Times New Roman" w:cs="Times New Roman"/>
          <w:i/>
          <w:color w:val="auto"/>
        </w:rPr>
        <w:t>Marine and coastal ecosystems: Background research paper produced for the South Africa environment outlook report on behalf of the Department of Environmental Affairs and Tourism</w:t>
      </w:r>
      <w:r w:rsidRPr="009B0448">
        <w:rPr>
          <w:rFonts w:ascii="Times New Roman" w:hAnsi="Times New Roman" w:cs="Times New Roman"/>
          <w:color w:val="auto"/>
        </w:rPr>
        <w:t xml:space="preserve">. Pretoria, South Africa: Department of Environmental Affairs. Retrieved from </w:t>
      </w:r>
      <w:hyperlink r:id="rId697" w:history="1">
        <w:r w:rsidRPr="009B0448">
          <w:rPr>
            <w:rStyle w:val="Hyperlink"/>
            <w:rFonts w:ascii="Times New Roman" w:hAnsi="Times New Roman" w:cs="Times New Roman"/>
          </w:rPr>
          <w:t>http://soer.deat.gov.za/dm_documents/Marine_and_Coastal_-_Background_Paper_wPDBE.pdf</w:t>
        </w:r>
      </w:hyperlink>
    </w:p>
    <w:p w14:paraId="67D6465F" w14:textId="77777777" w:rsidR="009B0448" w:rsidRPr="009B0448" w:rsidRDefault="009B0448" w:rsidP="009B0448">
      <w:pPr>
        <w:spacing w:after="120" w:line="276" w:lineRule="auto"/>
        <w:ind w:left="567" w:hanging="567"/>
        <w:rPr>
          <w:rFonts w:ascii="Times New Roman" w:hAnsi="Times New Roman" w:cs="Times New Roman"/>
          <w:color w:val="auto"/>
          <w:lang w:val="de-DE"/>
        </w:rPr>
      </w:pPr>
      <w:r w:rsidRPr="009B0448">
        <w:rPr>
          <w:rFonts w:ascii="Times New Roman" w:hAnsi="Times New Roman" w:cs="Times New Roman"/>
          <w:color w:val="auto"/>
        </w:rPr>
        <w:t xml:space="preserve">Aubertin, C., &amp; Rodary, E. (Eds.). (2011). </w:t>
      </w:r>
      <w:r w:rsidRPr="009B0448">
        <w:rPr>
          <w:rFonts w:ascii="Times New Roman" w:hAnsi="Times New Roman" w:cs="Times New Roman"/>
          <w:i/>
          <w:color w:val="auto"/>
        </w:rPr>
        <w:t xml:space="preserve">Protected areas, sustainable land? </w:t>
      </w:r>
      <w:r w:rsidRPr="009B0448">
        <w:rPr>
          <w:rFonts w:ascii="Times New Roman" w:hAnsi="Times New Roman" w:cs="Times New Roman"/>
          <w:color w:val="auto"/>
        </w:rPr>
        <w:t xml:space="preserve">Farnham (GBR), Marseille: Ashgate. </w:t>
      </w:r>
    </w:p>
    <w:p w14:paraId="2256997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Auricht, C., Dixon, J., Boffa, J-M., &amp; Garrity, D. (2015). </w:t>
      </w:r>
      <w:r w:rsidRPr="009B0448">
        <w:rPr>
          <w:rFonts w:ascii="Times New Roman" w:hAnsi="Times New Roman" w:cs="Times New Roman"/>
          <w:color w:val="auto"/>
        </w:rPr>
        <w:t xml:space="preserve">Farming systems of Africa. </w:t>
      </w:r>
      <w:r w:rsidRPr="009B0448">
        <w:rPr>
          <w:rFonts w:ascii="Times New Roman" w:hAnsi="Times New Roman" w:cs="Times New Roman"/>
          <w:i/>
          <w:color w:val="auto"/>
        </w:rPr>
        <w:t>Oryx, 18</w:t>
      </w:r>
      <w:r w:rsidRPr="009B0448">
        <w:rPr>
          <w:rFonts w:ascii="Times New Roman" w:hAnsi="Times New Roman" w:cs="Times New Roman"/>
          <w:color w:val="auto"/>
        </w:rPr>
        <w:t xml:space="preserve">, 8–13. </w:t>
      </w:r>
      <w:hyperlink r:id="rId698" w:history="1">
        <w:r w:rsidRPr="009B0448">
          <w:rPr>
            <w:rStyle w:val="Hyperlink"/>
            <w:rFonts w:ascii="Times New Roman" w:hAnsi="Times New Roman" w:cs="Times New Roman"/>
          </w:rPr>
          <w:t>https://doi.org/10.1017/S0030605300018524</w:t>
        </w:r>
      </w:hyperlink>
      <w:r w:rsidRPr="009B0448">
        <w:rPr>
          <w:rFonts w:ascii="Times New Roman" w:hAnsi="Times New Roman" w:cs="Times New Roman"/>
          <w:color w:val="auto"/>
        </w:rPr>
        <w:t xml:space="preserve"> </w:t>
      </w:r>
    </w:p>
    <w:p w14:paraId="6F4ADDE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Aveling, C., &amp; Harcourt, A. H. (1984). A census of the </w:t>
      </w:r>
      <w:r w:rsidRPr="009B0448">
        <w:rPr>
          <w:rFonts w:ascii="Times New Roman" w:hAnsi="Times New Roman" w:cs="Times New Roman"/>
          <w:i/>
          <w:color w:val="auto"/>
        </w:rPr>
        <w:t>Virunga</w:t>
      </w:r>
      <w:r w:rsidRPr="009B0448">
        <w:rPr>
          <w:rFonts w:ascii="Times New Roman" w:hAnsi="Times New Roman" w:cs="Times New Roman"/>
          <w:color w:val="auto"/>
        </w:rPr>
        <w:t xml:space="preserve"> gorillas. </w:t>
      </w:r>
      <w:r w:rsidRPr="009B0448">
        <w:rPr>
          <w:rFonts w:ascii="Times New Roman" w:hAnsi="Times New Roman" w:cs="Times New Roman"/>
          <w:i/>
          <w:color w:val="auto"/>
        </w:rPr>
        <w:t>Oryx, 18</w:t>
      </w:r>
      <w:r w:rsidRPr="009B0448">
        <w:rPr>
          <w:rFonts w:ascii="Times New Roman" w:hAnsi="Times New Roman" w:cs="Times New Roman"/>
          <w:color w:val="auto"/>
        </w:rPr>
        <w:t>, 8–13.</w:t>
      </w:r>
      <w:r w:rsidRPr="009B0448">
        <w:rPr>
          <w:rFonts w:ascii="Times New Roman" w:hAnsi="Times New Roman" w:cs="Times New Roman"/>
        </w:rPr>
        <w:t xml:space="preserve"> </w:t>
      </w:r>
      <w:hyperlink r:id="rId699" w:history="1">
        <w:r w:rsidRPr="009B0448">
          <w:rPr>
            <w:rStyle w:val="Hyperlink"/>
            <w:rFonts w:ascii="Times New Roman" w:hAnsi="Times New Roman" w:cs="Times New Roman"/>
          </w:rPr>
          <w:t>https://doi.org/10.1017/S0030605300018524</w:t>
        </w:r>
      </w:hyperlink>
      <w:r w:rsidRPr="009B0448">
        <w:rPr>
          <w:rFonts w:ascii="Times New Roman" w:hAnsi="Times New Roman" w:cs="Times New Roman"/>
          <w:color w:val="auto"/>
        </w:rPr>
        <w:t xml:space="preserve"> </w:t>
      </w:r>
    </w:p>
    <w:p w14:paraId="262F8EB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Aveling, C., &amp; Aveling, R. (1989).</w:t>
      </w:r>
      <w:r w:rsidRPr="009B0448">
        <w:rPr>
          <w:rFonts w:ascii="Times New Roman" w:hAnsi="Times New Roman" w:cs="Times New Roman"/>
        </w:rPr>
        <w:t xml:space="preserve"> </w:t>
      </w:r>
      <w:r w:rsidRPr="009B0448">
        <w:rPr>
          <w:rFonts w:ascii="Times New Roman" w:hAnsi="Times New Roman" w:cs="Times New Roman"/>
          <w:color w:val="auto"/>
        </w:rPr>
        <w:t>Gorilla conservation in Zaire.</w:t>
      </w:r>
      <w:r w:rsidRPr="009B0448">
        <w:rPr>
          <w:rFonts w:ascii="Times New Roman" w:hAnsi="Times New Roman" w:cs="Times New Roman"/>
        </w:rPr>
        <w:t xml:space="preserve"> </w:t>
      </w:r>
      <w:r w:rsidRPr="009B0448">
        <w:rPr>
          <w:rFonts w:ascii="Times New Roman" w:hAnsi="Times New Roman" w:cs="Times New Roman"/>
          <w:i/>
          <w:color w:val="auto"/>
        </w:rPr>
        <w:t>Oryx, 23</w:t>
      </w:r>
      <w:r w:rsidRPr="009B0448">
        <w:rPr>
          <w:rFonts w:ascii="Times New Roman" w:hAnsi="Times New Roman" w:cs="Times New Roman"/>
          <w:color w:val="auto"/>
        </w:rPr>
        <w:t xml:space="preserve">(2), 64–70. </w:t>
      </w:r>
      <w:hyperlink r:id="rId700" w:history="1">
        <w:r w:rsidRPr="009B0448">
          <w:rPr>
            <w:rStyle w:val="Hyperlink"/>
            <w:rFonts w:ascii="Times New Roman" w:hAnsi="Times New Roman" w:cs="Times New Roman"/>
          </w:rPr>
          <w:t>https://doi.org/10.1017/S0030605300022717</w:t>
        </w:r>
      </w:hyperlink>
      <w:r w:rsidRPr="009B0448">
        <w:rPr>
          <w:rFonts w:ascii="Times New Roman" w:hAnsi="Times New Roman" w:cs="Times New Roman"/>
          <w:color w:val="auto"/>
        </w:rPr>
        <w:t xml:space="preserve"> </w:t>
      </w:r>
    </w:p>
    <w:p w14:paraId="09827A9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Awad, A., &amp; Zohary, A. (2005). </w:t>
      </w:r>
      <w:r w:rsidRPr="009B0448">
        <w:rPr>
          <w:rFonts w:ascii="Times New Roman" w:hAnsi="Times New Roman" w:cs="Times New Roman"/>
          <w:i/>
          <w:color w:val="auto"/>
        </w:rPr>
        <w:t xml:space="preserve">The end of Egypt population growth in the 21st century: Challenges and aspirations. The 35th annual conference on population and development issues current situation and aspirations. </w:t>
      </w:r>
      <w:r w:rsidRPr="009B0448">
        <w:rPr>
          <w:rFonts w:ascii="Times New Roman" w:hAnsi="Times New Roman" w:cs="Times New Roman"/>
          <w:color w:val="auto"/>
        </w:rPr>
        <w:t xml:space="preserve">Retrieved from </w:t>
      </w:r>
      <w:hyperlink r:id="rId701" w:history="1">
        <w:r w:rsidRPr="009B0448">
          <w:rPr>
            <w:rStyle w:val="Hyperlink"/>
            <w:rFonts w:ascii="Times New Roman" w:hAnsi="Times New Roman" w:cs="Times New Roman"/>
          </w:rPr>
          <w:t>https://www.zohry.com/pubs/alyaa.pdf</w:t>
        </w:r>
      </w:hyperlink>
      <w:r w:rsidRPr="009B0448">
        <w:rPr>
          <w:rFonts w:ascii="Times New Roman" w:hAnsi="Times New Roman" w:cs="Times New Roman"/>
          <w:color w:val="auto"/>
        </w:rPr>
        <w:t>.</w:t>
      </w:r>
    </w:p>
    <w:p w14:paraId="6DA6B01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Badjeck, M-C., Allison, E., Halls, A., &amp; Dulvy, N. (2010). Impacts of climate variability and change on fishery based livelihoods</w:t>
      </w:r>
      <w:r w:rsidRPr="009B0448">
        <w:rPr>
          <w:rFonts w:ascii="Times New Roman" w:hAnsi="Times New Roman" w:cs="Times New Roman"/>
          <w:i/>
          <w:color w:val="auto"/>
        </w:rPr>
        <w:t>. Marine Policy, 34</w:t>
      </w:r>
      <w:r w:rsidRPr="009B0448">
        <w:rPr>
          <w:rFonts w:ascii="Times New Roman" w:hAnsi="Times New Roman" w:cs="Times New Roman"/>
          <w:color w:val="auto"/>
        </w:rPr>
        <w:t>, 375–383.</w:t>
      </w:r>
      <w:r w:rsidRPr="009B0448">
        <w:rPr>
          <w:rFonts w:ascii="Times New Roman" w:hAnsi="Times New Roman" w:cs="Times New Roman"/>
        </w:rPr>
        <w:t xml:space="preserve"> </w:t>
      </w:r>
      <w:hyperlink r:id="rId702" w:history="1">
        <w:r w:rsidRPr="009B0448">
          <w:rPr>
            <w:rStyle w:val="Hyperlink"/>
            <w:rFonts w:ascii="Times New Roman" w:hAnsi="Times New Roman" w:cs="Times New Roman"/>
          </w:rPr>
          <w:t>https://doi.org/10.1016/j.marpol.2009.08.007</w:t>
        </w:r>
      </w:hyperlink>
    </w:p>
    <w:p w14:paraId="2EBEB1D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Bakarr, M., Oates, J. F., Fahr, J., Parren, M., Rödel, M-O., Demey, R. (2004). Guinean forests of West Africa. In R. A. Mittermeier, P. R. Gil, M. Hoffmann, J. Pilgrim, T. Brooks, C. G. Mittermeier, J. Lamoreux, &amp; G. A. B. da Fonesca (Eds.), </w:t>
      </w:r>
      <w:r w:rsidRPr="009B0448">
        <w:rPr>
          <w:rFonts w:ascii="Times New Roman" w:hAnsi="Times New Roman" w:cs="Times New Roman"/>
          <w:i/>
          <w:color w:val="auto"/>
        </w:rPr>
        <w:t>Hotspots revisited: Earth's Biologically Richest and Most Endangered Terrestrial Ecoregions</w:t>
      </w:r>
      <w:r w:rsidRPr="009B0448">
        <w:rPr>
          <w:rFonts w:ascii="Times New Roman" w:hAnsi="Times New Roman" w:cs="Times New Roman"/>
          <w:color w:val="auto"/>
        </w:rPr>
        <w:t xml:space="preserve"> (pp. 123–130). Washington, DC: Conservation International. Retrieved from </w:t>
      </w:r>
      <w:hyperlink r:id="rId703" w:history="1">
        <w:r w:rsidRPr="009B0448">
          <w:rPr>
            <w:rStyle w:val="Hyperlink"/>
            <w:rFonts w:ascii="Times New Roman" w:hAnsi="Times New Roman" w:cs="Times New Roman"/>
          </w:rPr>
          <w:t>https://www.cepf.net/sites/default/files/en_guinean_forests_ecosystem_profile.pdf</w:t>
        </w:r>
      </w:hyperlink>
      <w:r w:rsidRPr="009B0448">
        <w:rPr>
          <w:rFonts w:ascii="Times New Roman" w:hAnsi="Times New Roman" w:cs="Times New Roman"/>
          <w:color w:val="auto"/>
        </w:rPr>
        <w:t xml:space="preserve"> </w:t>
      </w:r>
    </w:p>
    <w:p w14:paraId="64B910D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Balvanera, P., Siddique, I., Dee, L., Paquette, A., Isbell, F., Gonzalez, A., Byrnes, J., O’Connor, M. I., Hungate, B. A., &amp; Griffin, J. N. (2014). Linking biodiversity and ecosystem services: Current uncertainties and the necessary next steps. </w:t>
      </w:r>
      <w:r w:rsidRPr="009B0448">
        <w:rPr>
          <w:rFonts w:ascii="Times New Roman" w:hAnsi="Times New Roman" w:cs="Times New Roman"/>
          <w:i/>
          <w:color w:val="auto"/>
        </w:rPr>
        <w:t>BioScience, 64</w:t>
      </w:r>
      <w:r w:rsidRPr="009B0448">
        <w:rPr>
          <w:rFonts w:ascii="Times New Roman" w:hAnsi="Times New Roman" w:cs="Times New Roman"/>
          <w:color w:val="auto"/>
        </w:rPr>
        <w:t>(1), 49–57.</w:t>
      </w:r>
      <w:r w:rsidRPr="009B0448">
        <w:rPr>
          <w:rFonts w:ascii="Times New Roman" w:hAnsi="Times New Roman" w:cs="Times New Roman"/>
        </w:rPr>
        <w:t xml:space="preserve"> </w:t>
      </w:r>
      <w:hyperlink r:id="rId704" w:history="1">
        <w:r w:rsidRPr="009B0448">
          <w:rPr>
            <w:rStyle w:val="Hyperlink"/>
            <w:rFonts w:ascii="Times New Roman" w:hAnsi="Times New Roman" w:cs="Times New Roman"/>
          </w:rPr>
          <w:t>https://doi.org/10.1093/biosci/bit003</w:t>
        </w:r>
      </w:hyperlink>
    </w:p>
    <w:p w14:paraId="2AC9025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Ban, N. C., Bax, N. J., Gjerde, K. M., Devillers, R., Dunn, D. C., Dunstan, P. K., Hobday, A. J., Maxwell, S. M., Kaplan, D. M., Pressley, R. L., Ardron, J. A., Game, E. T., &amp; </w:t>
      </w:r>
      <w:r w:rsidRPr="009B0448">
        <w:rPr>
          <w:rFonts w:ascii="Times New Roman" w:hAnsi="Times New Roman" w:cs="Times New Roman"/>
          <w:color w:val="auto"/>
        </w:rPr>
        <w:t xml:space="preserve">Halpin, P. N. (2014). Systematic conservation planning: A Better recipe for managingthe high seas for biodiversity conservation and sustainable use. </w:t>
      </w:r>
      <w:r w:rsidRPr="009B0448">
        <w:rPr>
          <w:rFonts w:ascii="Times New Roman" w:hAnsi="Times New Roman" w:cs="Times New Roman"/>
          <w:i/>
          <w:color w:val="auto"/>
        </w:rPr>
        <w:t>Conservation Letters, 7</w:t>
      </w:r>
      <w:r w:rsidRPr="009B0448">
        <w:rPr>
          <w:rFonts w:ascii="Times New Roman" w:hAnsi="Times New Roman" w:cs="Times New Roman"/>
          <w:color w:val="auto"/>
        </w:rPr>
        <w:t xml:space="preserve">(1), 41–54. </w:t>
      </w:r>
      <w:hyperlink r:id="rId705" w:history="1">
        <w:r w:rsidRPr="009B0448">
          <w:rPr>
            <w:rStyle w:val="Hyperlink"/>
            <w:rFonts w:ascii="Times New Roman" w:hAnsi="Times New Roman" w:cs="Times New Roman"/>
          </w:rPr>
          <w:t>https://doi.org/10.1111/conl.12010</w:t>
        </w:r>
      </w:hyperlink>
      <w:r w:rsidRPr="009B0448">
        <w:rPr>
          <w:rFonts w:ascii="Times New Roman" w:hAnsi="Times New Roman" w:cs="Times New Roman"/>
          <w:color w:val="auto"/>
        </w:rPr>
        <w:t xml:space="preserve"> </w:t>
      </w:r>
    </w:p>
    <w:p w14:paraId="7C6BC0C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Barnard, P., Brown, C. J., Jarvis, A. M., &amp; Robertson, A. (1998). Extending the Namibian protected areas network to safeguard hotspots of endemism and diversity. </w:t>
      </w:r>
      <w:r w:rsidRPr="009B0448">
        <w:rPr>
          <w:rFonts w:ascii="Times New Roman" w:hAnsi="Times New Roman" w:cs="Times New Roman"/>
          <w:i/>
          <w:color w:val="auto"/>
        </w:rPr>
        <w:t>Biodiversity and Conservation, 7</w:t>
      </w:r>
      <w:r w:rsidRPr="009B0448">
        <w:rPr>
          <w:rFonts w:ascii="Times New Roman" w:hAnsi="Times New Roman" w:cs="Times New Roman"/>
          <w:color w:val="auto"/>
        </w:rPr>
        <w:t xml:space="preserve">, 531–547. </w:t>
      </w:r>
      <w:hyperlink r:id="rId706" w:history="1">
        <w:r w:rsidRPr="009B0448">
          <w:rPr>
            <w:rStyle w:val="Hyperlink"/>
            <w:rFonts w:ascii="Times New Roman" w:hAnsi="Times New Roman" w:cs="Times New Roman"/>
          </w:rPr>
          <w:t>https://doi.org/10.1023/A:1008831829574</w:t>
        </w:r>
      </w:hyperlink>
    </w:p>
    <w:p w14:paraId="4CD0B30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Bauer, H., &amp; van der Merwe, S. (2004). </w:t>
      </w:r>
      <w:r w:rsidRPr="009B0448">
        <w:rPr>
          <w:rFonts w:ascii="Times New Roman" w:hAnsi="Times New Roman" w:cs="Times New Roman"/>
          <w:color w:val="auto"/>
        </w:rPr>
        <w:t xml:space="preserve">Inventory of free ranging lions </w:t>
      </w:r>
      <w:r w:rsidRPr="009B0448">
        <w:rPr>
          <w:rFonts w:ascii="Times New Roman" w:hAnsi="Times New Roman" w:cs="Times New Roman"/>
          <w:i/>
          <w:color w:val="auto"/>
        </w:rPr>
        <w:t>Panthera leo</w:t>
      </w:r>
      <w:r w:rsidRPr="009B0448">
        <w:rPr>
          <w:rFonts w:ascii="Times New Roman" w:hAnsi="Times New Roman" w:cs="Times New Roman"/>
          <w:color w:val="auto"/>
        </w:rPr>
        <w:t xml:space="preserve"> in Africa. </w:t>
      </w:r>
      <w:r w:rsidRPr="009B0448">
        <w:rPr>
          <w:rFonts w:ascii="Times New Roman" w:hAnsi="Times New Roman" w:cs="Times New Roman"/>
          <w:i/>
          <w:color w:val="auto"/>
        </w:rPr>
        <w:t>Oryx</w:t>
      </w:r>
      <w:r w:rsidRPr="009B0448">
        <w:rPr>
          <w:rFonts w:ascii="Times New Roman" w:hAnsi="Times New Roman" w:cs="Times New Roman"/>
          <w:color w:val="auto"/>
        </w:rPr>
        <w:t xml:space="preserve">, 38: 26–31. </w:t>
      </w:r>
      <w:hyperlink r:id="rId707" w:history="1">
        <w:r w:rsidRPr="009B0448">
          <w:rPr>
            <w:rStyle w:val="Hyperlink"/>
            <w:rFonts w:ascii="Times New Roman" w:hAnsi="Times New Roman" w:cs="Times New Roman"/>
          </w:rPr>
          <w:t>https://doi.org/10.1017/S0030605304000055</w:t>
        </w:r>
      </w:hyperlink>
    </w:p>
    <w:p w14:paraId="7D7191E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BBC News. (2009). </w:t>
      </w:r>
      <w:r w:rsidRPr="009B0448">
        <w:rPr>
          <w:rFonts w:ascii="Times New Roman" w:hAnsi="Times New Roman" w:cs="Times New Roman"/>
          <w:i/>
          <w:color w:val="auto"/>
        </w:rPr>
        <w:t>Rare cheetah captured on camera</w:t>
      </w:r>
      <w:r w:rsidRPr="009B0448">
        <w:rPr>
          <w:rFonts w:ascii="Times New Roman" w:hAnsi="Times New Roman" w:cs="Times New Roman"/>
          <w:color w:val="auto"/>
        </w:rPr>
        <w:t xml:space="preserve">. Retrieved from </w:t>
      </w:r>
      <w:hyperlink r:id="rId708" w:history="1">
        <w:r w:rsidRPr="009B0448">
          <w:rPr>
            <w:rStyle w:val="Hyperlink"/>
            <w:rFonts w:ascii="Times New Roman" w:hAnsi="Times New Roman" w:cs="Times New Roman"/>
          </w:rPr>
          <w:t>http://news.bbc.co.uk/2/hi/science/nature/7905986.stm</w:t>
        </w:r>
      </w:hyperlink>
    </w:p>
    <w:p w14:paraId="08F7FE4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Belbachir, F. (2008). </w:t>
      </w:r>
      <w:r w:rsidRPr="009B0448">
        <w:rPr>
          <w:rFonts w:ascii="Times New Roman" w:hAnsi="Times New Roman" w:cs="Times New Roman"/>
          <w:i/>
          <w:color w:val="auto"/>
        </w:rPr>
        <w:t>Acinonyx jubatus ssp. Hecki: IUCN 2013</w:t>
      </w:r>
      <w:r w:rsidRPr="009B0448">
        <w:rPr>
          <w:rFonts w:ascii="Times New Roman" w:hAnsi="Times New Roman" w:cs="Times New Roman"/>
          <w:color w:val="auto"/>
        </w:rPr>
        <w:t xml:space="preserve">. Gland, Switzerland. Retrieved from </w:t>
      </w:r>
      <w:hyperlink r:id="rId709" w:history="1">
        <w:r w:rsidRPr="009B0448">
          <w:rPr>
            <w:rStyle w:val="Hyperlink"/>
            <w:rFonts w:ascii="Times New Roman" w:hAnsi="Times New Roman" w:cs="Times New Roman"/>
          </w:rPr>
          <w:t>http://www.iucnredlist.org/details/219/0</w:t>
        </w:r>
      </w:hyperlink>
    </w:p>
    <w:p w14:paraId="2CE2A0D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Belhabib, D., &amp; Pauly, D. (2015). Cote d’Ivoire: fisheries catch reconstruction, 1950–2010. In D. Belhabib, &amp; D. Pauly (Eds.), </w:t>
      </w:r>
      <w:r w:rsidRPr="009B0448">
        <w:rPr>
          <w:rFonts w:ascii="Times New Roman" w:hAnsi="Times New Roman" w:cs="Times New Roman"/>
          <w:i/>
          <w:color w:val="auto"/>
        </w:rPr>
        <w:t>Fisheries catch reconstructions: West Africa, Part II</w:t>
      </w:r>
      <w:r w:rsidRPr="009B0448">
        <w:rPr>
          <w:rFonts w:ascii="Times New Roman" w:hAnsi="Times New Roman" w:cs="Times New Roman"/>
          <w:color w:val="auto"/>
        </w:rPr>
        <w:t xml:space="preserve"> (pp. 17–36). University of British Columbia, USA: Fisheries Centre. Retrieved from </w:t>
      </w:r>
      <w:hyperlink r:id="rId710" w:history="1">
        <w:r w:rsidRPr="009B0448">
          <w:rPr>
            <w:rStyle w:val="Hyperlink"/>
            <w:rFonts w:ascii="Times New Roman" w:hAnsi="Times New Roman" w:cs="Times New Roman"/>
          </w:rPr>
          <w:t>https://open.library.ubc.ca/media/stream/pdf/52383/1.0354314/5</w:t>
        </w:r>
      </w:hyperlink>
      <w:r w:rsidRPr="009B0448">
        <w:rPr>
          <w:rFonts w:ascii="Times New Roman" w:hAnsi="Times New Roman" w:cs="Times New Roman"/>
          <w:color w:val="auto"/>
        </w:rPr>
        <w:t xml:space="preserve"> </w:t>
      </w:r>
    </w:p>
    <w:p w14:paraId="0D422B8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Belle, E. M. S., Burgess, N. D., Misrachi, M., Arnell, A., Masumbuko, B., Somda, J., Hartley A., Jones, R., Janes T., McSweeney C., Mathison C., Buontempo C., Butchart S., Willis S. G., Baker D. J., Carr J., Hughes, A., Foden W., Smith R. J., Smith J., Stolton S., Dudley N., Hockings M., Mulongoy J., &amp; Kingston, N. (2016). </w:t>
      </w:r>
      <w:r w:rsidRPr="009B0448">
        <w:rPr>
          <w:rFonts w:ascii="Times New Roman" w:hAnsi="Times New Roman" w:cs="Times New Roman"/>
          <w:i/>
          <w:color w:val="auto"/>
        </w:rPr>
        <w:t>Climate change impacts on biodiversity and protected areas in West Africa, summary of the main outputs of the parcc project, protected areas resilient to climate change in West Africa</w:t>
      </w:r>
      <w:r w:rsidRPr="009B0448">
        <w:rPr>
          <w:rFonts w:ascii="Times New Roman" w:hAnsi="Times New Roman" w:cs="Times New Roman"/>
          <w:color w:val="auto"/>
        </w:rPr>
        <w:t xml:space="preserve">. Cambridge, UK: UNEP-WCMC. Retrieved from </w:t>
      </w:r>
      <w:hyperlink r:id="rId711" w:history="1">
        <w:r w:rsidRPr="009B0448">
          <w:rPr>
            <w:rStyle w:val="Hyperlink"/>
            <w:rFonts w:ascii="Times New Roman" w:hAnsi="Times New Roman" w:cs="Times New Roman"/>
          </w:rPr>
          <w:t>http://biblioteca.semarnat.gob.mx/janium/Documentos/Ciga/Libros2013/CD002534.pdf</w:t>
        </w:r>
      </w:hyperlink>
      <w:r w:rsidRPr="009B0448">
        <w:rPr>
          <w:rFonts w:ascii="Times New Roman" w:hAnsi="Times New Roman" w:cs="Times New Roman"/>
          <w:color w:val="auto"/>
        </w:rPr>
        <w:t xml:space="preserve"> </w:t>
      </w:r>
    </w:p>
    <w:p w14:paraId="3E8CD3C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Bellefontaine, R., Gaston, A., &amp; Petrucci, Y. (2000). </w:t>
      </w:r>
      <w:r w:rsidRPr="009B0448">
        <w:rPr>
          <w:rFonts w:ascii="Times New Roman" w:hAnsi="Times New Roman" w:cs="Times New Roman"/>
          <w:i/>
          <w:color w:val="auto"/>
        </w:rPr>
        <w:t>Management of natural forests of dry tropical zones</w:t>
      </w:r>
      <w:r w:rsidRPr="009B0448">
        <w:rPr>
          <w:rFonts w:ascii="Times New Roman" w:hAnsi="Times New Roman" w:cs="Times New Roman"/>
          <w:color w:val="auto"/>
        </w:rPr>
        <w:t>. Rome, Italy: FAO. Retrieved from</w:t>
      </w:r>
      <w:r w:rsidRPr="009B0448">
        <w:rPr>
          <w:rFonts w:ascii="Times New Roman" w:hAnsi="Times New Roman" w:cs="Times New Roman"/>
        </w:rPr>
        <w:t xml:space="preserve"> </w:t>
      </w:r>
      <w:hyperlink r:id="rId712" w:history="1">
        <w:r w:rsidRPr="009B0448">
          <w:rPr>
            <w:rStyle w:val="Hyperlink"/>
            <w:rFonts w:ascii="Times New Roman" w:hAnsi="Times New Roman" w:cs="Times New Roman"/>
          </w:rPr>
          <w:t>http://www.fao.org/docrep/005/w4442e/w4442e00.htm</w:t>
        </w:r>
      </w:hyperlink>
      <w:r w:rsidRPr="009B0448">
        <w:rPr>
          <w:rFonts w:ascii="Times New Roman" w:hAnsi="Times New Roman" w:cs="Times New Roman"/>
          <w:color w:val="auto"/>
        </w:rPr>
        <w:t xml:space="preserve">  </w:t>
      </w:r>
    </w:p>
    <w:p w14:paraId="3BA63FA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Beuel, S., Alvarez, M., Amler, E., Behn, K., Kotze, D., Kreye, C., Leemhuis, C, Wagner, K, Willy, D. K., Ziegler, S., &amp; Becker, M. (2016). A rapid assessment of anthropogenic disturbances in East African wetlands. </w:t>
      </w:r>
      <w:r w:rsidRPr="009B0448">
        <w:rPr>
          <w:rFonts w:ascii="Times New Roman" w:hAnsi="Times New Roman" w:cs="Times New Roman"/>
          <w:i/>
          <w:color w:val="auto"/>
        </w:rPr>
        <w:t>Ecological Indicators, 67</w:t>
      </w:r>
      <w:r w:rsidRPr="009B0448">
        <w:rPr>
          <w:rFonts w:ascii="Times New Roman" w:hAnsi="Times New Roman" w:cs="Times New Roman"/>
          <w:color w:val="auto"/>
        </w:rPr>
        <w:t xml:space="preserve">, 684–692. </w:t>
      </w:r>
      <w:hyperlink r:id="rId713" w:history="1">
        <w:r w:rsidRPr="009B0448">
          <w:rPr>
            <w:rStyle w:val="Hyperlink"/>
            <w:rFonts w:ascii="Times New Roman" w:hAnsi="Times New Roman" w:cs="Times New Roman"/>
          </w:rPr>
          <w:t>https://doi.org/10.1016/j.ecolind.2016.03.034</w:t>
        </w:r>
      </w:hyperlink>
    </w:p>
    <w:p w14:paraId="73E5D8B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Beverly, E. J., Ashley, G. M., &amp; Driese, S. G. (2014). Reconstruction of a Pleistocene paleocatena using micromorphology and geochemistry of lake margin paleo-Vertisols, Olduvai Gorge, Tanzania. </w:t>
      </w:r>
      <w:r w:rsidRPr="009B0448">
        <w:rPr>
          <w:rFonts w:ascii="Times New Roman" w:hAnsi="Times New Roman" w:cs="Times New Roman"/>
          <w:i/>
          <w:color w:val="auto"/>
        </w:rPr>
        <w:t>Quaternary International, 322–323</w:t>
      </w:r>
      <w:r w:rsidRPr="009B0448">
        <w:rPr>
          <w:rFonts w:ascii="Times New Roman" w:hAnsi="Times New Roman" w:cs="Times New Roman"/>
          <w:color w:val="auto"/>
        </w:rPr>
        <w:t>, 78–94.</w:t>
      </w:r>
      <w:r w:rsidRPr="009B0448">
        <w:rPr>
          <w:rFonts w:ascii="Times New Roman" w:hAnsi="Times New Roman" w:cs="Times New Roman"/>
        </w:rPr>
        <w:t xml:space="preserve"> </w:t>
      </w:r>
      <w:hyperlink r:id="rId714" w:history="1">
        <w:r w:rsidRPr="009B0448">
          <w:rPr>
            <w:rStyle w:val="Hyperlink"/>
            <w:rFonts w:ascii="Times New Roman" w:hAnsi="Times New Roman" w:cs="Times New Roman"/>
          </w:rPr>
          <w:t>https://doi.org/10.1016/j.quaint.2013.10.005</w:t>
        </w:r>
      </w:hyperlink>
    </w:p>
    <w:p w14:paraId="53B8C56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Bianchi, C. N., &amp; Morri, C. (2000). Marine biodiversity of the Mediterranean Sea: Situation, problems and prospects for future research. </w:t>
      </w:r>
      <w:r w:rsidRPr="009B0448">
        <w:rPr>
          <w:rFonts w:ascii="Times New Roman" w:hAnsi="Times New Roman" w:cs="Times New Roman"/>
          <w:i/>
          <w:color w:val="auto"/>
        </w:rPr>
        <w:t>Marine Pollution Bulletin, 40</w:t>
      </w:r>
      <w:r w:rsidRPr="009B0448">
        <w:rPr>
          <w:rFonts w:ascii="Times New Roman" w:hAnsi="Times New Roman" w:cs="Times New Roman"/>
          <w:color w:val="auto"/>
        </w:rPr>
        <w:t>, 367–376.</w:t>
      </w:r>
      <w:r w:rsidRPr="009B0448">
        <w:rPr>
          <w:rFonts w:ascii="Times New Roman" w:hAnsi="Times New Roman" w:cs="Times New Roman"/>
        </w:rPr>
        <w:t xml:space="preserve"> </w:t>
      </w:r>
      <w:hyperlink r:id="rId715" w:history="1">
        <w:r w:rsidRPr="009B0448">
          <w:rPr>
            <w:rStyle w:val="Hyperlink"/>
            <w:rFonts w:ascii="Times New Roman" w:hAnsi="Times New Roman" w:cs="Times New Roman"/>
          </w:rPr>
          <w:t>https://doi.org/10.1016/S0025-326X(00)00027-8</w:t>
        </w:r>
      </w:hyperlink>
    </w:p>
    <w:p w14:paraId="72797B8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Bigirimana, J., Bogaert, J., De Canniere, C., Lejoly, J., &amp; Parmentier, I. (2011). Alien plant species dominate the vegetation in a city of sub-Saharan Africa. </w:t>
      </w:r>
      <w:r w:rsidRPr="009B0448">
        <w:rPr>
          <w:rFonts w:ascii="Times New Roman" w:hAnsi="Times New Roman" w:cs="Times New Roman"/>
          <w:i/>
          <w:color w:val="auto"/>
        </w:rPr>
        <w:t>Landscape and Urban Planning, 100</w:t>
      </w:r>
      <w:r w:rsidRPr="009B0448">
        <w:rPr>
          <w:rFonts w:ascii="Times New Roman" w:hAnsi="Times New Roman" w:cs="Times New Roman"/>
          <w:color w:val="auto"/>
        </w:rPr>
        <w:t>(3), 251–267.</w:t>
      </w:r>
      <w:r w:rsidRPr="009B0448">
        <w:rPr>
          <w:rFonts w:ascii="Times New Roman" w:hAnsi="Times New Roman" w:cs="Times New Roman"/>
        </w:rPr>
        <w:t xml:space="preserve"> </w:t>
      </w:r>
      <w:hyperlink r:id="rId716" w:history="1">
        <w:r w:rsidRPr="009B0448">
          <w:rPr>
            <w:rStyle w:val="Hyperlink"/>
            <w:rFonts w:ascii="Times New Roman" w:hAnsi="Times New Roman" w:cs="Times New Roman"/>
          </w:rPr>
          <w:t>https://doi.org/10.1016/j.landurbplan.2010.12.012</w:t>
        </w:r>
      </w:hyperlink>
    </w:p>
    <w:p w14:paraId="39858B1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Biggs, R., Simons, H., Bakkenes, M., Scholes, R. J., Eickhout, B., van Vuuren, D., &amp; Alkemade, R. (2008). Scenarios of biodiversity loss in southern Africa in the 21st century. </w:t>
      </w:r>
      <w:r w:rsidRPr="009B0448">
        <w:rPr>
          <w:rFonts w:ascii="Times New Roman" w:hAnsi="Times New Roman" w:cs="Times New Roman"/>
          <w:i/>
          <w:color w:val="auto"/>
        </w:rPr>
        <w:t>Global Environmental Change: Human and Policy Dimensions, 18</w:t>
      </w:r>
      <w:r w:rsidRPr="009B0448">
        <w:rPr>
          <w:rFonts w:ascii="Times New Roman" w:hAnsi="Times New Roman" w:cs="Times New Roman"/>
          <w:color w:val="auto"/>
        </w:rPr>
        <w:t xml:space="preserve">, 296–309. </w:t>
      </w:r>
      <w:hyperlink r:id="rId717" w:history="1">
        <w:r w:rsidRPr="009B0448">
          <w:rPr>
            <w:rStyle w:val="Hyperlink"/>
            <w:rFonts w:ascii="Times New Roman" w:hAnsi="Times New Roman" w:cs="Times New Roman"/>
          </w:rPr>
          <w:t>https://doi.org/10.1016/j.gloenvcha.2008.02.001</w:t>
        </w:r>
      </w:hyperlink>
    </w:p>
    <w:p w14:paraId="5336CF0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BirdLife International. (2000). </w:t>
      </w:r>
      <w:r w:rsidRPr="009B0448">
        <w:rPr>
          <w:rFonts w:ascii="Times New Roman" w:hAnsi="Times New Roman" w:cs="Times New Roman"/>
          <w:i/>
          <w:color w:val="auto"/>
        </w:rPr>
        <w:t>Threatened birds of the world</w:t>
      </w:r>
      <w:r w:rsidRPr="009B0448">
        <w:rPr>
          <w:rFonts w:ascii="Times New Roman" w:hAnsi="Times New Roman" w:cs="Times New Roman"/>
          <w:color w:val="auto"/>
        </w:rPr>
        <w:t xml:space="preserve">. Cambridge, UK: BirdLife International. </w:t>
      </w:r>
      <w:hyperlink r:id="rId718" w:history="1">
        <w:r w:rsidRPr="009B0448">
          <w:rPr>
            <w:rStyle w:val="Hyperlink"/>
            <w:rFonts w:ascii="Times New Roman" w:hAnsi="Times New Roman" w:cs="Times New Roman"/>
          </w:rPr>
          <w:t>https://doi.org/10.1017/S0959270901211071</w:t>
        </w:r>
      </w:hyperlink>
      <w:r w:rsidRPr="009B0448">
        <w:rPr>
          <w:rFonts w:ascii="Times New Roman" w:hAnsi="Times New Roman" w:cs="Times New Roman"/>
          <w:color w:val="auto"/>
        </w:rPr>
        <w:t xml:space="preserve"> </w:t>
      </w:r>
    </w:p>
    <w:p w14:paraId="78B1CE5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BirdLife International. (2013). </w:t>
      </w:r>
      <w:r w:rsidRPr="009B0448">
        <w:rPr>
          <w:rFonts w:ascii="Times New Roman" w:hAnsi="Times New Roman" w:cs="Times New Roman"/>
          <w:i/>
          <w:color w:val="auto"/>
        </w:rPr>
        <w:t>Designating special protection areas in the European Union, presented as part of the BirdLife state of the world's birds</w:t>
      </w:r>
      <w:r w:rsidRPr="009B0448">
        <w:rPr>
          <w:rFonts w:ascii="Times New Roman" w:hAnsi="Times New Roman" w:cs="Times New Roman"/>
          <w:color w:val="auto"/>
        </w:rPr>
        <w:t xml:space="preserve">. Cambridge, UK: BirdLife International. Retrieved from </w:t>
      </w:r>
      <w:hyperlink r:id="rId719" w:history="1">
        <w:r w:rsidRPr="009B0448">
          <w:rPr>
            <w:rStyle w:val="Hyperlink"/>
            <w:rFonts w:ascii="Times New Roman" w:hAnsi="Times New Roman" w:cs="Times New Roman"/>
          </w:rPr>
          <w:t>www.birdlife.org/datazone/sowb/casestudy/244</w:t>
        </w:r>
      </w:hyperlink>
    </w:p>
    <w:p w14:paraId="58457DF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BirdLife International. (2016). </w:t>
      </w:r>
      <w:r w:rsidRPr="009B0448">
        <w:rPr>
          <w:rFonts w:ascii="Times New Roman" w:hAnsi="Times New Roman" w:cs="Times New Roman"/>
          <w:i/>
          <w:color w:val="auto"/>
        </w:rPr>
        <w:t>Data zone</w:t>
      </w:r>
      <w:r w:rsidRPr="009B0448">
        <w:rPr>
          <w:rFonts w:ascii="Times New Roman" w:hAnsi="Times New Roman" w:cs="Times New Roman"/>
          <w:color w:val="auto"/>
        </w:rPr>
        <w:t xml:space="preserve">. Cambridge, UK: BirdLife International. Retrieved from </w:t>
      </w:r>
      <w:hyperlink r:id="rId720" w:history="1">
        <w:r w:rsidRPr="009B0448">
          <w:rPr>
            <w:rStyle w:val="Hyperlink"/>
            <w:rFonts w:ascii="Times New Roman" w:hAnsi="Times New Roman" w:cs="Times New Roman"/>
          </w:rPr>
          <w:t>http://www.zeroextinction.org/search.cfm</w:t>
        </w:r>
      </w:hyperlink>
    </w:p>
    <w:p w14:paraId="7CFDC2D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Birks, H. J. B., Flower, R. J., Peglar, S. M., &amp; Ramdani, M. (2001). Recent ecosystem dynamics in nine North African lakes in the CASSARINA Project. </w:t>
      </w:r>
      <w:r w:rsidRPr="009B0448">
        <w:rPr>
          <w:rFonts w:ascii="Times New Roman" w:hAnsi="Times New Roman" w:cs="Times New Roman"/>
          <w:i/>
          <w:color w:val="auto"/>
        </w:rPr>
        <w:t>Aquatic Ecology, 35</w:t>
      </w:r>
      <w:r w:rsidRPr="009B0448">
        <w:rPr>
          <w:rFonts w:ascii="Times New Roman" w:hAnsi="Times New Roman" w:cs="Times New Roman"/>
          <w:color w:val="auto"/>
        </w:rPr>
        <w:t xml:space="preserve">, 461–478. </w:t>
      </w:r>
      <w:hyperlink r:id="rId721" w:history="1">
        <w:r w:rsidRPr="009B0448">
          <w:rPr>
            <w:rStyle w:val="Hyperlink"/>
            <w:rFonts w:ascii="Times New Roman" w:hAnsi="Times New Roman" w:cs="Times New Roman"/>
          </w:rPr>
          <w:t>http://doi.org/10.1023/A:1011997820776</w:t>
        </w:r>
      </w:hyperlink>
    </w:p>
    <w:p w14:paraId="2E28C41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Blein, R., Soulé, B. G., Dupaigre, B. F., &amp; Yérma, B. (2008). </w:t>
      </w:r>
      <w:r w:rsidRPr="009B0448">
        <w:rPr>
          <w:rFonts w:ascii="Times New Roman" w:hAnsi="Times New Roman" w:cs="Times New Roman"/>
          <w:i/>
          <w:color w:val="auto"/>
        </w:rPr>
        <w:t>Agricultural potential of West Africa. Economic Community of West African States (ECOWAS). Foundation pour l’agriculture et la ruralité dans le monde (FARM).</w:t>
      </w:r>
      <w:r w:rsidRPr="009B0448">
        <w:rPr>
          <w:rFonts w:ascii="Times New Roman" w:hAnsi="Times New Roman" w:cs="Times New Roman"/>
          <w:color w:val="auto"/>
        </w:rPr>
        <w:t xml:space="preserve"> Paris, France: Institut de recherches et d'applications des méthodes de développement. Retrieved from </w:t>
      </w:r>
      <w:hyperlink r:id="rId722" w:history="1">
        <w:r w:rsidRPr="009B0448">
          <w:rPr>
            <w:rStyle w:val="Hyperlink"/>
            <w:rFonts w:ascii="Times New Roman" w:hAnsi="Times New Roman" w:cs="Times New Roman"/>
          </w:rPr>
          <w:t>http://www.fondation-farm.org/zoe/doc/potentialites_rapport_ang_mp.pdf</w:t>
        </w:r>
      </w:hyperlink>
      <w:r w:rsidRPr="009B0448">
        <w:rPr>
          <w:rFonts w:ascii="Times New Roman" w:hAnsi="Times New Roman" w:cs="Times New Roman"/>
          <w:color w:val="auto"/>
        </w:rPr>
        <w:t xml:space="preserve"> </w:t>
      </w:r>
    </w:p>
    <w:p w14:paraId="6CF693B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Blignaut, J., Mander, M., Schulze, R., Horan, M., Dickens, C., Pringle, C., Mavundla, K., Mahlangu, I., Wilson, A., McKenzie, M., &amp; McKean, S. </w:t>
      </w:r>
      <w:r w:rsidRPr="009B0448">
        <w:rPr>
          <w:rFonts w:ascii="Times New Roman" w:hAnsi="Times New Roman" w:cs="Times New Roman"/>
          <w:color w:val="auto"/>
        </w:rPr>
        <w:t xml:space="preserve">(2010). Restoring and managing natural capital towards fostering economic development: Evidence from the Drakensberg, South Africa. </w:t>
      </w:r>
      <w:r w:rsidRPr="009B0448">
        <w:rPr>
          <w:rFonts w:ascii="Times New Roman" w:hAnsi="Times New Roman" w:cs="Times New Roman"/>
          <w:i/>
          <w:color w:val="auto"/>
        </w:rPr>
        <w:t>Ecological Economics, 69</w:t>
      </w:r>
      <w:r w:rsidRPr="009B0448">
        <w:rPr>
          <w:rFonts w:ascii="Times New Roman" w:hAnsi="Times New Roman" w:cs="Times New Roman"/>
          <w:color w:val="auto"/>
        </w:rPr>
        <w:t>, 1313–1323.</w:t>
      </w:r>
      <w:r w:rsidRPr="009B0448">
        <w:rPr>
          <w:rFonts w:ascii="Times New Roman" w:hAnsi="Times New Roman" w:cs="Times New Roman"/>
        </w:rPr>
        <w:t xml:space="preserve"> </w:t>
      </w:r>
      <w:hyperlink r:id="rId723" w:history="1">
        <w:r w:rsidRPr="009B0448">
          <w:rPr>
            <w:rStyle w:val="Hyperlink"/>
            <w:rFonts w:ascii="Times New Roman" w:hAnsi="Times New Roman" w:cs="Times New Roman"/>
          </w:rPr>
          <w:t>https://doi.org/10.1016/j.ecolecon.2010.01.007</w:t>
        </w:r>
      </w:hyperlink>
    </w:p>
    <w:p w14:paraId="4A8DE7F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Bober, S. O., Herremans, M., Louette, M., Kerbis Peterhans, J. C., &amp; Bates, J. M. (2001). Geographical and altitudinal distribution of endemic birds in the Albertine Rift. </w:t>
      </w:r>
      <w:r w:rsidRPr="009B0448">
        <w:rPr>
          <w:rFonts w:ascii="Times New Roman" w:hAnsi="Times New Roman" w:cs="Times New Roman"/>
          <w:i/>
          <w:color w:val="auto"/>
        </w:rPr>
        <w:t>Ostrich: Journal of African Ornithology, 15</w:t>
      </w:r>
      <w:r w:rsidRPr="009B0448">
        <w:rPr>
          <w:rFonts w:ascii="Times New Roman" w:hAnsi="Times New Roman" w:cs="Times New Roman"/>
          <w:color w:val="auto"/>
        </w:rPr>
        <w:t xml:space="preserve">, 189–186. </w:t>
      </w:r>
    </w:p>
    <w:p w14:paraId="4109AF5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Bodart, C., Brink, A. B., Donnay, F., Lupi, A., Mayaux, P., &amp; Achard, F. (2013). Continental estimates of forest cover and forest cover changes in the dry ecosystems of Africa between 1990 and 2000. </w:t>
      </w:r>
      <w:r w:rsidRPr="009B0448">
        <w:rPr>
          <w:rFonts w:ascii="Times New Roman" w:hAnsi="Times New Roman" w:cs="Times New Roman"/>
          <w:i/>
          <w:color w:val="auto"/>
        </w:rPr>
        <w:t>Journal of Biogeography, 40</w:t>
      </w:r>
      <w:r w:rsidRPr="009B0448">
        <w:rPr>
          <w:rFonts w:ascii="Times New Roman" w:hAnsi="Times New Roman" w:cs="Times New Roman"/>
          <w:color w:val="auto"/>
        </w:rPr>
        <w:t>, 1036–1047.</w:t>
      </w:r>
      <w:r w:rsidRPr="009B0448">
        <w:rPr>
          <w:rFonts w:ascii="Times New Roman" w:hAnsi="Times New Roman" w:cs="Times New Roman"/>
        </w:rPr>
        <w:t xml:space="preserve"> </w:t>
      </w:r>
      <w:hyperlink r:id="rId724" w:history="1">
        <w:r w:rsidRPr="009B0448">
          <w:rPr>
            <w:rStyle w:val="Hyperlink"/>
            <w:rFonts w:ascii="Times New Roman" w:hAnsi="Times New Roman" w:cs="Times New Roman"/>
          </w:rPr>
          <w:t>https://doi.org/10.1111/jbi.12084</w:t>
        </w:r>
      </w:hyperlink>
      <w:r w:rsidRPr="009B0448">
        <w:rPr>
          <w:rFonts w:ascii="Times New Roman" w:hAnsi="Times New Roman" w:cs="Times New Roman"/>
          <w:color w:val="auto"/>
        </w:rPr>
        <w:t xml:space="preserve"> </w:t>
      </w:r>
    </w:p>
    <w:p w14:paraId="2B98CC6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Boessenkool, S., McGlynn, G., Epp, L. S., Taylor, D., Pimentel, M., Gizaw, A., Nemomissa, S., Brochmann, C., &amp; Popp, M. (2014). Use of ancient sedimentary DNA as a novel conservation tool for high-altitude tropical biodiversity. </w:t>
      </w:r>
      <w:r w:rsidRPr="009B0448">
        <w:rPr>
          <w:rFonts w:ascii="Times New Roman" w:hAnsi="Times New Roman" w:cs="Times New Roman"/>
          <w:i/>
          <w:color w:val="auto"/>
        </w:rPr>
        <w:t>Conservation Biology, 28</w:t>
      </w:r>
      <w:r w:rsidRPr="009B0448">
        <w:rPr>
          <w:rFonts w:ascii="Times New Roman" w:hAnsi="Times New Roman" w:cs="Times New Roman"/>
          <w:color w:val="auto"/>
        </w:rPr>
        <w:t>(2), 446–55.</w:t>
      </w:r>
      <w:r w:rsidRPr="009B0448">
        <w:rPr>
          <w:rFonts w:ascii="Times New Roman" w:hAnsi="Times New Roman" w:cs="Times New Roman"/>
        </w:rPr>
        <w:t xml:space="preserve"> </w:t>
      </w:r>
      <w:hyperlink r:id="rId725" w:history="1">
        <w:r w:rsidRPr="009B0448">
          <w:rPr>
            <w:rStyle w:val="Hyperlink"/>
            <w:rFonts w:ascii="Times New Roman" w:hAnsi="Times New Roman" w:cs="Times New Roman"/>
          </w:rPr>
          <w:t>https://doi.org/10.1111/cobi.12195</w:t>
        </w:r>
      </w:hyperlink>
      <w:r w:rsidRPr="009B0448">
        <w:rPr>
          <w:rFonts w:ascii="Times New Roman" w:hAnsi="Times New Roman" w:cs="Times New Roman"/>
          <w:color w:val="auto"/>
        </w:rPr>
        <w:t xml:space="preserve"> </w:t>
      </w:r>
    </w:p>
    <w:p w14:paraId="1FE5D0C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Bolton, J. J., Anderson, R. J., &amp; Rothman, M. D. (2012). South African kelp moving eastwards: The discovery of </w:t>
      </w:r>
      <w:r w:rsidRPr="009B0448">
        <w:rPr>
          <w:rFonts w:ascii="Times New Roman" w:hAnsi="Times New Roman" w:cs="Times New Roman"/>
          <w:i/>
          <w:color w:val="auto"/>
        </w:rPr>
        <w:t>Ecklonia maxima</w:t>
      </w:r>
      <w:r w:rsidRPr="009B0448">
        <w:rPr>
          <w:rFonts w:ascii="Times New Roman" w:hAnsi="Times New Roman" w:cs="Times New Roman"/>
          <w:color w:val="auto"/>
        </w:rPr>
        <w:t xml:space="preserve"> (Osbeck) Papenfuss at De Hoop nature reserve on the south coast of South Africa. </w:t>
      </w:r>
      <w:r w:rsidRPr="009B0448">
        <w:rPr>
          <w:rFonts w:ascii="Times New Roman" w:hAnsi="Times New Roman" w:cs="Times New Roman"/>
          <w:i/>
          <w:color w:val="auto"/>
        </w:rPr>
        <w:t>African Journal of Marine Science, 34</w:t>
      </w:r>
      <w:r w:rsidRPr="009B0448">
        <w:rPr>
          <w:rFonts w:ascii="Times New Roman" w:hAnsi="Times New Roman" w:cs="Times New Roman"/>
          <w:color w:val="auto"/>
        </w:rPr>
        <w:t>(1), 147–151.</w:t>
      </w:r>
      <w:r w:rsidRPr="009B0448">
        <w:rPr>
          <w:rFonts w:ascii="Times New Roman" w:hAnsi="Times New Roman" w:cs="Times New Roman"/>
        </w:rPr>
        <w:t xml:space="preserve"> </w:t>
      </w:r>
      <w:hyperlink r:id="rId726" w:history="1">
        <w:r w:rsidRPr="009B0448">
          <w:rPr>
            <w:rStyle w:val="Hyperlink"/>
            <w:rFonts w:ascii="Times New Roman" w:hAnsi="Times New Roman" w:cs="Times New Roman"/>
          </w:rPr>
          <w:t>https://doi.org/10.2989/1814232X.2012.675125</w:t>
        </w:r>
      </w:hyperlink>
    </w:p>
    <w:p w14:paraId="4E8626F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Boonman, J. G. (1993). </w:t>
      </w:r>
      <w:r w:rsidRPr="009B0448">
        <w:rPr>
          <w:rFonts w:ascii="Times New Roman" w:hAnsi="Times New Roman" w:cs="Times New Roman"/>
          <w:i/>
          <w:color w:val="auto"/>
        </w:rPr>
        <w:t>East Africa's grasses and fodders: Their ecology and husbandry</w:t>
      </w:r>
      <w:r w:rsidRPr="009B0448">
        <w:rPr>
          <w:rFonts w:ascii="Times New Roman" w:hAnsi="Times New Roman" w:cs="Times New Roman"/>
          <w:color w:val="auto"/>
        </w:rPr>
        <w:t xml:space="preserve">. Dordrecht, Netherlands: Kluwer Academic Publishers. </w:t>
      </w:r>
    </w:p>
    <w:p w14:paraId="0B91F46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Borghesio, L., Samba, D., Githiru, M., &amp; Bennun, L. (2010). Population estimates and habitat use by the Critically Endangered Taita Apalis </w:t>
      </w:r>
      <w:r w:rsidRPr="009B0448">
        <w:rPr>
          <w:rFonts w:ascii="Times New Roman" w:hAnsi="Times New Roman" w:cs="Times New Roman"/>
          <w:i/>
          <w:color w:val="auto"/>
        </w:rPr>
        <w:t>Apalis fuscigularis</w:t>
      </w:r>
      <w:r w:rsidRPr="009B0448">
        <w:rPr>
          <w:rFonts w:ascii="Times New Roman" w:hAnsi="Times New Roman" w:cs="Times New Roman"/>
          <w:color w:val="auto"/>
        </w:rPr>
        <w:t xml:space="preserve"> in south-eastern Kenya. </w:t>
      </w:r>
      <w:r w:rsidRPr="009B0448">
        <w:rPr>
          <w:rFonts w:ascii="Times New Roman" w:hAnsi="Times New Roman" w:cs="Times New Roman"/>
          <w:i/>
          <w:color w:val="auto"/>
        </w:rPr>
        <w:t>Bird Conservation International, 20,</w:t>
      </w:r>
      <w:r w:rsidRPr="009B0448">
        <w:rPr>
          <w:rFonts w:ascii="Times New Roman" w:hAnsi="Times New Roman" w:cs="Times New Roman"/>
          <w:color w:val="auto"/>
        </w:rPr>
        <w:t xml:space="preserve"> 440–455. </w:t>
      </w:r>
      <w:hyperlink r:id="rId727" w:history="1">
        <w:r w:rsidRPr="009B0448">
          <w:rPr>
            <w:rStyle w:val="Hyperlink"/>
            <w:rFonts w:ascii="Times New Roman" w:hAnsi="Times New Roman" w:cs="Times New Roman"/>
          </w:rPr>
          <w:t>https://doi.org/10.1017/S0959270910000298</w:t>
        </w:r>
      </w:hyperlink>
      <w:r w:rsidRPr="009B0448">
        <w:rPr>
          <w:rFonts w:ascii="Times New Roman" w:hAnsi="Times New Roman" w:cs="Times New Roman"/>
          <w:color w:val="auto"/>
        </w:rPr>
        <w:t xml:space="preserve"> </w:t>
      </w:r>
    </w:p>
    <w:p w14:paraId="7959D40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Borrell, B. (2009). </w:t>
      </w:r>
      <w:r w:rsidRPr="009B0448">
        <w:rPr>
          <w:rFonts w:ascii="Times New Roman" w:hAnsi="Times New Roman" w:cs="Times New Roman"/>
          <w:i/>
          <w:color w:val="auto"/>
        </w:rPr>
        <w:t xml:space="preserve">Endangered in South Africa: Those doggone conservationists. </w:t>
      </w:r>
      <w:r w:rsidRPr="009B0448">
        <w:rPr>
          <w:rFonts w:ascii="Times New Roman" w:hAnsi="Times New Roman" w:cs="Times New Roman"/>
          <w:color w:val="auto"/>
        </w:rPr>
        <w:t xml:space="preserve">Washington, DC: Pulitzer Center on Crisis Reporting. Retrieved from </w:t>
      </w:r>
      <w:hyperlink r:id="rId728" w:history="1">
        <w:r w:rsidRPr="009B0448">
          <w:rPr>
            <w:rStyle w:val="Hyperlink"/>
            <w:rFonts w:ascii="Times New Roman" w:hAnsi="Times New Roman" w:cs="Times New Roman"/>
          </w:rPr>
          <w:t>https://pulitzercenter.org/reporting/endangered-south-africa-those-doggone-conservationists</w:t>
        </w:r>
      </w:hyperlink>
      <w:r w:rsidRPr="009B0448">
        <w:rPr>
          <w:rFonts w:ascii="Times New Roman" w:hAnsi="Times New Roman" w:cs="Times New Roman"/>
        </w:rPr>
        <w:t xml:space="preserve"> </w:t>
      </w:r>
    </w:p>
    <w:p w14:paraId="06271A3C"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Botha, A., Ogada, D. L., &amp; Virani, M. Z. (Eds.). (2012). </w:t>
      </w:r>
      <w:r w:rsidRPr="009B0448">
        <w:rPr>
          <w:rFonts w:ascii="Times New Roman" w:hAnsi="Times New Roman" w:cs="Times New Roman"/>
          <w:i/>
        </w:rPr>
        <w:t>Pan-Africa vulture summit 2012</w:t>
      </w:r>
      <w:r w:rsidRPr="009B0448">
        <w:rPr>
          <w:rFonts w:ascii="Times New Roman" w:hAnsi="Times New Roman" w:cs="Times New Roman"/>
        </w:rPr>
        <w:t xml:space="preserve">. Pretoria, South Africa: Endangered Wildlife Trust. Retrieved from </w:t>
      </w:r>
      <w:hyperlink r:id="rId729" w:history="1">
        <w:r w:rsidRPr="009B0448">
          <w:rPr>
            <w:rStyle w:val="Hyperlink"/>
            <w:rFonts w:ascii="Times New Roman" w:hAnsi="Times New Roman" w:cs="Times New Roman"/>
          </w:rPr>
          <w:t>https://www.ewt.org.za/BOP/PAVS%20PROCEEDINGS.pdf</w:t>
        </w:r>
      </w:hyperlink>
    </w:p>
    <w:p w14:paraId="25262A9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Bouamrane, M., Spierenburg, M., Agrawal, A., Boureima, A., Cormier-Salem, M-C., Etienne, M., Le Page, C., Levrel, H., &amp; Mathevet, R. (2016). Stakeholder engagement and biodiversity conservation challenges in social-ecological systems: Some insights from biosphere reserves in western Africa and France. </w:t>
      </w:r>
      <w:r w:rsidRPr="009B0448">
        <w:rPr>
          <w:rFonts w:ascii="Times New Roman" w:hAnsi="Times New Roman" w:cs="Times New Roman"/>
          <w:i/>
          <w:color w:val="auto"/>
        </w:rPr>
        <w:t>Ecology and Society 21</w:t>
      </w:r>
      <w:r w:rsidRPr="009B0448">
        <w:rPr>
          <w:rFonts w:ascii="Times New Roman" w:hAnsi="Times New Roman" w:cs="Times New Roman"/>
          <w:color w:val="auto"/>
        </w:rPr>
        <w:t xml:space="preserve">(4), 25. </w:t>
      </w:r>
      <w:hyperlink r:id="rId730" w:history="1">
        <w:r w:rsidRPr="009B0448">
          <w:rPr>
            <w:rStyle w:val="Hyperlink"/>
            <w:rFonts w:ascii="Times New Roman" w:hAnsi="Times New Roman" w:cs="Times New Roman"/>
          </w:rPr>
          <w:t>https://doi.org/10.5751/ES-08812-210425</w:t>
        </w:r>
      </w:hyperlink>
    </w:p>
    <w:p w14:paraId="443DB96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Boudhar, A., Duchemin, B., Hanich, L., Jarlan, L., Chaponniere, A., Maisongrande, P., Boulet, G., &amp; </w:t>
      </w:r>
      <w:r w:rsidRPr="009B0448">
        <w:rPr>
          <w:rFonts w:ascii="Times New Roman" w:hAnsi="Times New Roman" w:cs="Times New Roman"/>
          <w:color w:val="auto"/>
        </w:rPr>
        <w:t xml:space="preserve">Chehbouni, A. (2010). Long-term analysis of snow-covered area in the Moroccan High Atlas through remote sensing. </w:t>
      </w:r>
      <w:r w:rsidRPr="009B0448">
        <w:rPr>
          <w:rFonts w:ascii="Times New Roman" w:hAnsi="Times New Roman" w:cs="Times New Roman"/>
          <w:i/>
          <w:color w:val="auto"/>
        </w:rPr>
        <w:t>International Journal of Applied Earth Observation and Geoinformation, 12</w:t>
      </w:r>
      <w:r w:rsidRPr="009B0448">
        <w:rPr>
          <w:rFonts w:ascii="Times New Roman" w:hAnsi="Times New Roman" w:cs="Times New Roman"/>
          <w:color w:val="auto"/>
        </w:rPr>
        <w:t>, 109–115.</w:t>
      </w:r>
      <w:r w:rsidRPr="009B0448">
        <w:rPr>
          <w:rFonts w:ascii="Times New Roman" w:hAnsi="Times New Roman" w:cs="Times New Roman"/>
        </w:rPr>
        <w:t xml:space="preserve"> </w:t>
      </w:r>
      <w:hyperlink r:id="rId731" w:history="1">
        <w:r w:rsidRPr="009B0448">
          <w:rPr>
            <w:rStyle w:val="Hyperlink"/>
            <w:rFonts w:ascii="Times New Roman" w:hAnsi="Times New Roman" w:cs="Times New Roman"/>
          </w:rPr>
          <w:t>https://doi.org/10.1016/j.jag.2009.09.008</w:t>
        </w:r>
      </w:hyperlink>
      <w:r w:rsidRPr="009B0448">
        <w:rPr>
          <w:rFonts w:ascii="Times New Roman" w:hAnsi="Times New Roman" w:cs="Times New Roman"/>
          <w:color w:val="auto"/>
        </w:rPr>
        <w:t xml:space="preserve"> </w:t>
      </w:r>
    </w:p>
    <w:p w14:paraId="0EFF762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Bourne, W. R. P. (1955).</w:t>
      </w:r>
      <w:r w:rsidRPr="009B0448">
        <w:rPr>
          <w:rFonts w:ascii="Times New Roman" w:hAnsi="Times New Roman" w:cs="Times New Roman"/>
          <w:i/>
          <w:color w:val="auto"/>
        </w:rPr>
        <w:t xml:space="preserve"> </w:t>
      </w:r>
      <w:r w:rsidRPr="009B0448">
        <w:rPr>
          <w:rFonts w:ascii="Times New Roman" w:hAnsi="Times New Roman" w:cs="Times New Roman"/>
          <w:color w:val="auto"/>
        </w:rPr>
        <w:t xml:space="preserve">The birds of the Cape Verde Islands. </w:t>
      </w:r>
      <w:r w:rsidRPr="009B0448">
        <w:rPr>
          <w:rFonts w:ascii="Times New Roman" w:hAnsi="Times New Roman" w:cs="Times New Roman"/>
          <w:i/>
          <w:color w:val="auto"/>
        </w:rPr>
        <w:t>International Journal of Avian Science, 97</w:t>
      </w:r>
      <w:r w:rsidRPr="009B0448">
        <w:rPr>
          <w:rFonts w:ascii="Times New Roman" w:hAnsi="Times New Roman" w:cs="Times New Roman"/>
          <w:color w:val="auto"/>
        </w:rPr>
        <w:t xml:space="preserve">, 508–556. </w:t>
      </w:r>
      <w:hyperlink r:id="rId732" w:history="1">
        <w:r w:rsidRPr="009B0448">
          <w:rPr>
            <w:rStyle w:val="Hyperlink"/>
            <w:rFonts w:ascii="Times New Roman" w:hAnsi="Times New Roman" w:cs="Times New Roman"/>
          </w:rPr>
          <w:t>https://doi.org/10.1111/j.1474-919X.1955.tb04981.x</w:t>
        </w:r>
      </w:hyperlink>
      <w:r w:rsidRPr="009B0448">
        <w:rPr>
          <w:rFonts w:ascii="Times New Roman" w:hAnsi="Times New Roman" w:cs="Times New Roman"/>
          <w:color w:val="auto"/>
        </w:rPr>
        <w:t xml:space="preserve"> </w:t>
      </w:r>
    </w:p>
    <w:p w14:paraId="79634FD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Bowie, R. C. K., Fjeldså, J., Hackett, S. J., &amp; Crowe, T. M. (2004). Systematics and biogeography of double-collared sunbirds from the Eastern Arc Mountains, Tanzania. </w:t>
      </w:r>
      <w:r w:rsidRPr="009B0448">
        <w:rPr>
          <w:rFonts w:ascii="Times New Roman" w:hAnsi="Times New Roman" w:cs="Times New Roman"/>
          <w:i/>
          <w:color w:val="auto"/>
        </w:rPr>
        <w:t>The Auk, 121</w:t>
      </w:r>
      <w:r w:rsidRPr="009B0448">
        <w:rPr>
          <w:rFonts w:ascii="Times New Roman" w:hAnsi="Times New Roman" w:cs="Times New Roman"/>
          <w:color w:val="auto"/>
        </w:rPr>
        <w:t xml:space="preserve">(3), 660–681. </w:t>
      </w:r>
      <w:hyperlink r:id="rId733" w:history="1">
        <w:r w:rsidRPr="009B0448">
          <w:rPr>
            <w:rStyle w:val="Hyperlink"/>
            <w:rFonts w:ascii="Times New Roman" w:hAnsi="Times New Roman" w:cs="Times New Roman"/>
          </w:rPr>
          <w:t>https://doi.org/10.1642/0004-8038(2004)121[0660:SABODS]2.0.CO;2</w:t>
        </w:r>
      </w:hyperlink>
    </w:p>
    <w:p w14:paraId="71FAB70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Bowie, R. C. K., Fjeldså, J., &amp; Kiure, J. (2009). Multilocus molecular DNA variation in Winifred’s Warbler </w:t>
      </w:r>
      <w:r w:rsidRPr="009B0448">
        <w:rPr>
          <w:rFonts w:ascii="Times New Roman" w:hAnsi="Times New Roman" w:cs="Times New Roman"/>
          <w:i/>
          <w:color w:val="auto"/>
        </w:rPr>
        <w:t>Scepomycter winifredae</w:t>
      </w:r>
      <w:r w:rsidRPr="009B0448">
        <w:rPr>
          <w:rFonts w:ascii="Times New Roman" w:hAnsi="Times New Roman" w:cs="Times New Roman"/>
          <w:color w:val="auto"/>
        </w:rPr>
        <w:t xml:space="preserve"> suggests cryptic speciation and the existence of a threatened species in the Rubeho–Ukaguru Mountains of Tanzania. </w:t>
      </w:r>
      <w:r w:rsidRPr="009B0448">
        <w:rPr>
          <w:rFonts w:ascii="Times New Roman" w:hAnsi="Times New Roman" w:cs="Times New Roman"/>
          <w:i/>
          <w:color w:val="auto"/>
        </w:rPr>
        <w:t>Ibis, 151</w:t>
      </w:r>
      <w:r w:rsidRPr="009B0448">
        <w:rPr>
          <w:rFonts w:ascii="Times New Roman" w:hAnsi="Times New Roman" w:cs="Times New Roman"/>
          <w:color w:val="auto"/>
        </w:rPr>
        <w:t xml:space="preserve">, 709–719. </w:t>
      </w:r>
      <w:hyperlink r:id="rId734" w:history="1">
        <w:r w:rsidRPr="009B0448">
          <w:rPr>
            <w:rStyle w:val="Hyperlink"/>
            <w:rFonts w:ascii="Times New Roman" w:hAnsi="Times New Roman" w:cs="Times New Roman"/>
          </w:rPr>
          <w:t>https://doi.org/10.1111/j.1474-919X.2009.00954.x</w:t>
        </w:r>
      </w:hyperlink>
      <w:r w:rsidRPr="009B0448">
        <w:rPr>
          <w:rFonts w:ascii="Times New Roman" w:hAnsi="Times New Roman" w:cs="Times New Roman"/>
          <w:color w:val="auto"/>
        </w:rPr>
        <w:t xml:space="preserve"> </w:t>
      </w:r>
    </w:p>
    <w:p w14:paraId="3A4BA1B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Brandt, M., Mbow, C., Diouf, A. A., Verger, A., Samimi, C., &amp; Fensholt, R. (2015). Ground and satellite-based evidence of the biophysical mechanisms behind the greening Sahel. </w:t>
      </w:r>
      <w:r w:rsidRPr="009B0448">
        <w:rPr>
          <w:rFonts w:ascii="Times New Roman" w:hAnsi="Times New Roman" w:cs="Times New Roman"/>
          <w:i/>
          <w:color w:val="auto"/>
        </w:rPr>
        <w:t>Global Change Biology, 21</w:t>
      </w:r>
      <w:r w:rsidRPr="009B0448">
        <w:rPr>
          <w:rFonts w:ascii="Times New Roman" w:hAnsi="Times New Roman" w:cs="Times New Roman"/>
          <w:color w:val="auto"/>
        </w:rPr>
        <w:t xml:space="preserve">, 1610–1620. </w:t>
      </w:r>
      <w:hyperlink r:id="rId735" w:history="1">
        <w:r w:rsidRPr="009B0448">
          <w:rPr>
            <w:rStyle w:val="Hyperlink"/>
            <w:rFonts w:ascii="Times New Roman" w:hAnsi="Times New Roman" w:cs="Times New Roman"/>
          </w:rPr>
          <w:t>https://doi.org/10.1111/gcb.12807</w:t>
        </w:r>
      </w:hyperlink>
      <w:r w:rsidRPr="009B0448">
        <w:rPr>
          <w:rFonts w:ascii="Times New Roman" w:hAnsi="Times New Roman" w:cs="Times New Roman"/>
          <w:color w:val="auto"/>
        </w:rPr>
        <w:t xml:space="preserve"> </w:t>
      </w:r>
    </w:p>
    <w:p w14:paraId="0287C92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Briggs, J. C., &amp; Bowen, B. W. (2012). A realignment of marine biogeographic provinces with particular reference to fish distributions. </w:t>
      </w:r>
      <w:r w:rsidRPr="009B0448">
        <w:rPr>
          <w:rFonts w:ascii="Times New Roman" w:hAnsi="Times New Roman" w:cs="Times New Roman"/>
          <w:i/>
          <w:color w:val="auto"/>
        </w:rPr>
        <w:t>Journal of Biogeography, 39</w:t>
      </w:r>
      <w:r w:rsidRPr="009B0448">
        <w:rPr>
          <w:rFonts w:ascii="Times New Roman" w:hAnsi="Times New Roman" w:cs="Times New Roman"/>
          <w:color w:val="auto"/>
        </w:rPr>
        <w:t>, 12–30.</w:t>
      </w:r>
      <w:r w:rsidRPr="009B0448">
        <w:rPr>
          <w:rFonts w:ascii="Times New Roman" w:hAnsi="Times New Roman" w:cs="Times New Roman"/>
        </w:rPr>
        <w:t xml:space="preserve"> </w:t>
      </w:r>
      <w:hyperlink r:id="rId736" w:history="1">
        <w:r w:rsidRPr="009B0448">
          <w:rPr>
            <w:rStyle w:val="Hyperlink"/>
            <w:rFonts w:ascii="Times New Roman" w:hAnsi="Times New Roman" w:cs="Times New Roman"/>
          </w:rPr>
          <w:t>https://doi.org/10.1111/j.1365-2699.2011.02613.x</w:t>
        </w:r>
      </w:hyperlink>
      <w:r w:rsidRPr="009B0448">
        <w:rPr>
          <w:rFonts w:ascii="Times New Roman" w:hAnsi="Times New Roman" w:cs="Times New Roman"/>
          <w:color w:val="auto"/>
        </w:rPr>
        <w:t xml:space="preserve"> </w:t>
      </w:r>
    </w:p>
    <w:p w14:paraId="2E3D286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Brooks, T. M., Mittermeier, R. A., Mittermeier, C. G., Da Fonseca, G. A. B., Rylands, A. B., Konstant, W. R., Flick, P., Pilgrim, J., Oldfield, S., Magin, G., &amp; Hilton-Taylor, C. (2000). Habitat loss and extinction in the hotspots of biodiversity. </w:t>
      </w:r>
      <w:r w:rsidRPr="009B0448">
        <w:rPr>
          <w:rFonts w:ascii="Times New Roman" w:hAnsi="Times New Roman" w:cs="Times New Roman"/>
          <w:i/>
          <w:color w:val="auto"/>
        </w:rPr>
        <w:t>Conservation Biology, 16</w:t>
      </w:r>
      <w:r w:rsidRPr="009B0448">
        <w:rPr>
          <w:rFonts w:ascii="Times New Roman" w:hAnsi="Times New Roman" w:cs="Times New Roman"/>
          <w:color w:val="auto"/>
        </w:rPr>
        <w:t xml:space="preserve">, 909–923. </w:t>
      </w:r>
      <w:hyperlink r:id="rId737" w:history="1">
        <w:r w:rsidRPr="009B0448">
          <w:rPr>
            <w:rStyle w:val="Hyperlink"/>
            <w:rFonts w:ascii="Times New Roman" w:hAnsi="Times New Roman" w:cs="Times New Roman"/>
          </w:rPr>
          <w:t>https://doi.org/10.1046/j.1523-1739.2002.00530.x</w:t>
        </w:r>
      </w:hyperlink>
    </w:p>
    <w:p w14:paraId="7B42B5B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Brooks, E., Allen, D. J., &amp; Darwall, W. (2011). </w:t>
      </w:r>
      <w:r w:rsidRPr="009B0448">
        <w:rPr>
          <w:rFonts w:ascii="Times New Roman" w:hAnsi="Times New Roman" w:cs="Times New Roman"/>
          <w:i/>
          <w:color w:val="auto"/>
        </w:rPr>
        <w:t>The status and distribution of freshwater biodiversity in Central Africa</w:t>
      </w:r>
      <w:r w:rsidRPr="009B0448">
        <w:rPr>
          <w:rFonts w:ascii="Times New Roman" w:hAnsi="Times New Roman" w:cs="Times New Roman"/>
          <w:color w:val="auto"/>
        </w:rPr>
        <w:t xml:space="preserve">. Gland, Switzerland: IUCN. Retrieved from </w:t>
      </w:r>
      <w:hyperlink r:id="rId738" w:history="1">
        <w:r w:rsidRPr="009B0448">
          <w:rPr>
            <w:rStyle w:val="Hyperlink"/>
            <w:rFonts w:ascii="Times New Roman" w:hAnsi="Times New Roman" w:cs="Times New Roman"/>
          </w:rPr>
          <w:t>https://portals.iucn.org/library/sites/library/files/documents/RL-67-001.pdf</w:t>
        </w:r>
      </w:hyperlink>
      <w:r w:rsidRPr="009B0448">
        <w:rPr>
          <w:rFonts w:ascii="Times New Roman" w:hAnsi="Times New Roman" w:cs="Times New Roman"/>
          <w:color w:val="auto"/>
        </w:rPr>
        <w:t xml:space="preserve"> </w:t>
      </w:r>
    </w:p>
    <w:p w14:paraId="4942A305" w14:textId="77777777" w:rsidR="009B0448" w:rsidRPr="009B0448" w:rsidRDefault="009B0448" w:rsidP="009B0448">
      <w:pPr>
        <w:spacing w:after="120" w:line="276" w:lineRule="auto"/>
        <w:ind w:left="567" w:hanging="567"/>
        <w:rPr>
          <w:rFonts w:ascii="Times New Roman" w:hAnsi="Times New Roman" w:cs="Times New Roman"/>
          <w:color w:val="auto"/>
          <w:u w:val="single"/>
        </w:rPr>
      </w:pPr>
      <w:r w:rsidRPr="009B0448">
        <w:rPr>
          <w:rFonts w:ascii="Times New Roman" w:hAnsi="Times New Roman" w:cs="Times New Roman"/>
          <w:color w:val="auto"/>
        </w:rPr>
        <w:t xml:space="preserve">Brooks, T. M, Akçakaya, H. R, Burgess, N. D, Butchart, S. H. M., Hilton-Taylor, C. Hoffmann, M., Juffe-Bignoli, D., Kingston, N., MacSharry, B., Parr, M., Perianin, L., Regan. E. C., Rodrigues, A. S. L., Rondinini, C., Shenna-Farpon, Y., &amp; Young, B. E. (2016a). Analysing biodiversity and conservation knowledge products to support regional environmental assessments. </w:t>
      </w:r>
      <w:r w:rsidRPr="009B0448">
        <w:rPr>
          <w:rFonts w:ascii="Times New Roman" w:hAnsi="Times New Roman" w:cs="Times New Roman"/>
          <w:i/>
          <w:color w:val="auto"/>
        </w:rPr>
        <w:t>Scientific Data, 3</w:t>
      </w:r>
      <w:r w:rsidRPr="009B0448">
        <w:rPr>
          <w:rFonts w:ascii="Times New Roman" w:hAnsi="Times New Roman" w:cs="Times New Roman"/>
          <w:color w:val="auto"/>
        </w:rPr>
        <w:t>, 160007.</w:t>
      </w:r>
      <w:r w:rsidRPr="009B0448">
        <w:rPr>
          <w:rFonts w:ascii="Times New Roman" w:hAnsi="Times New Roman" w:cs="Times New Roman"/>
        </w:rPr>
        <w:t xml:space="preserve"> </w:t>
      </w:r>
      <w:hyperlink r:id="rId739" w:history="1">
        <w:r w:rsidRPr="009B0448">
          <w:rPr>
            <w:rStyle w:val="Hyperlink"/>
            <w:rFonts w:ascii="Times New Roman" w:hAnsi="Times New Roman" w:cs="Times New Roman"/>
          </w:rPr>
          <w:t>https://doi.org/10.1038/sdata.2016.7</w:t>
        </w:r>
      </w:hyperlink>
      <w:r w:rsidRPr="009B0448">
        <w:rPr>
          <w:rFonts w:ascii="Times New Roman" w:hAnsi="Times New Roman" w:cs="Times New Roman"/>
          <w:color w:val="auto"/>
        </w:rPr>
        <w:t xml:space="preserve"> </w:t>
      </w:r>
    </w:p>
    <w:p w14:paraId="1C74D9C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rPr>
        <w:t xml:space="preserve">Brooks, T. M., Akçakaya, H. R., Burgess, N. D., Butchart, S. H. M., Hilton-Taylor, C., Hoffmann, M., &amp; Young, B. E. (2016b). Data from: Analysing biodiversity and conservation knowledge products to support regional environmental assessments. </w:t>
      </w:r>
      <w:r w:rsidRPr="009B0448">
        <w:rPr>
          <w:rFonts w:ascii="Times New Roman" w:hAnsi="Times New Roman" w:cs="Times New Roman"/>
          <w:i/>
        </w:rPr>
        <w:t>Dryad Digital Repository</w:t>
      </w:r>
      <w:r w:rsidRPr="009B0448">
        <w:rPr>
          <w:rFonts w:ascii="Times New Roman" w:hAnsi="Times New Roman" w:cs="Times New Roman"/>
        </w:rPr>
        <w:t xml:space="preserve">. </w:t>
      </w:r>
      <w:hyperlink r:id="rId740" w:history="1">
        <w:r w:rsidRPr="009B0448">
          <w:rPr>
            <w:rStyle w:val="Hyperlink"/>
            <w:rFonts w:ascii="Times New Roman" w:hAnsi="Times New Roman" w:cs="Times New Roman"/>
          </w:rPr>
          <w:t>https://doi.org/10.5061/dryad.6gb90.2</w:t>
        </w:r>
      </w:hyperlink>
    </w:p>
    <w:p w14:paraId="49D43EE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Brown, K. A., &amp; Gurevitch, J. (2004). Long-term impacts of logging on forest diversity in Madagascar. </w:t>
      </w:r>
      <w:r w:rsidRPr="009B0448">
        <w:rPr>
          <w:rFonts w:ascii="Times New Roman" w:hAnsi="Times New Roman" w:cs="Times New Roman"/>
          <w:i/>
          <w:color w:val="auto"/>
        </w:rPr>
        <w:t>Proceedings of the National Academy of Sciences of the United States of America, 101</w:t>
      </w:r>
      <w:r w:rsidRPr="009B0448">
        <w:rPr>
          <w:rFonts w:ascii="Times New Roman" w:hAnsi="Times New Roman" w:cs="Times New Roman"/>
          <w:color w:val="auto"/>
        </w:rPr>
        <w:t>, 6045–6049.</w:t>
      </w:r>
      <w:r w:rsidRPr="009B0448">
        <w:rPr>
          <w:rFonts w:ascii="Times New Roman" w:hAnsi="Times New Roman" w:cs="Times New Roman"/>
        </w:rPr>
        <w:t xml:space="preserve"> </w:t>
      </w:r>
      <w:hyperlink r:id="rId741" w:history="1">
        <w:r w:rsidRPr="009B0448">
          <w:rPr>
            <w:rStyle w:val="Hyperlink"/>
            <w:rFonts w:ascii="Times New Roman" w:hAnsi="Times New Roman" w:cs="Times New Roman"/>
          </w:rPr>
          <w:t>https://doi.org/10.1073/pnas.0401456101</w:t>
        </w:r>
      </w:hyperlink>
    </w:p>
    <w:p w14:paraId="6E7EDF7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Brummett, R. E., Nguenga, D., Tiotsop, F., &amp; Abina, J. C. (2009). The commercial fishery of the middle Nyong River, Cameroon: Productivity and environmental threats. </w:t>
      </w:r>
      <w:r w:rsidRPr="009B0448">
        <w:rPr>
          <w:rFonts w:ascii="Times New Roman" w:hAnsi="Times New Roman" w:cs="Times New Roman"/>
          <w:i/>
          <w:color w:val="auto"/>
        </w:rPr>
        <w:t>Smithiana, Special Publication of the South African Institute of Aquatic Biodiversity, 11</w:t>
      </w:r>
      <w:r w:rsidRPr="009B0448">
        <w:rPr>
          <w:rFonts w:ascii="Times New Roman" w:hAnsi="Times New Roman" w:cs="Times New Roman"/>
          <w:color w:val="auto"/>
        </w:rPr>
        <w:t>, 3–16.</w:t>
      </w:r>
    </w:p>
    <w:p w14:paraId="144EC79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Bugter, R., Smith, A., &amp; BESAFE. (2015). </w:t>
      </w:r>
      <w:r w:rsidRPr="009B0448">
        <w:rPr>
          <w:rFonts w:ascii="Times New Roman" w:hAnsi="Times New Roman" w:cs="Times New Roman"/>
          <w:i/>
          <w:color w:val="auto"/>
        </w:rPr>
        <w:t>How to argue for biodiversity conservation more effectively</w:t>
      </w:r>
      <w:r w:rsidRPr="009B0448">
        <w:rPr>
          <w:rFonts w:ascii="Times New Roman" w:hAnsi="Times New Roman" w:cs="Times New Roman"/>
          <w:color w:val="auto"/>
        </w:rPr>
        <w:t xml:space="preserve">. Wageningen, Nerthelands: Biodiversity and Ecosystem Services: Argument For Our Future Environment (BESAFE) consortium. Retrieved from </w:t>
      </w:r>
      <w:hyperlink r:id="rId742" w:history="1">
        <w:r w:rsidRPr="009B0448">
          <w:rPr>
            <w:rStyle w:val="Hyperlink"/>
            <w:rFonts w:ascii="Times New Roman" w:hAnsi="Times New Roman" w:cs="Times New Roman"/>
          </w:rPr>
          <w:t>http://www.besafe-project.net/img/uplf/BESAFE_brochure_online_18.pdf</w:t>
        </w:r>
      </w:hyperlink>
      <w:r w:rsidRPr="009B0448">
        <w:rPr>
          <w:rFonts w:ascii="Times New Roman" w:hAnsi="Times New Roman" w:cs="Times New Roman"/>
          <w:color w:val="auto"/>
        </w:rPr>
        <w:t xml:space="preserve"> </w:t>
      </w:r>
    </w:p>
    <w:p w14:paraId="2D4CE30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Burgess, N. D., Bahane, B., Calirs, T., &amp; Danielson, F. (2010). Getting ready for REDD+ in Tanzania: A case study of progress and challenges. </w:t>
      </w:r>
      <w:r w:rsidRPr="009B0448">
        <w:rPr>
          <w:rFonts w:ascii="Times New Roman" w:hAnsi="Times New Roman" w:cs="Times New Roman"/>
          <w:i/>
          <w:color w:val="auto"/>
        </w:rPr>
        <w:t>Oryx, 4</w:t>
      </w:r>
      <w:r w:rsidRPr="009B0448">
        <w:rPr>
          <w:rFonts w:ascii="Times New Roman" w:hAnsi="Times New Roman" w:cs="Times New Roman"/>
          <w:color w:val="auto"/>
        </w:rPr>
        <w:t>(3), 339–351.</w:t>
      </w:r>
      <w:r w:rsidRPr="009B0448">
        <w:rPr>
          <w:rFonts w:ascii="Times New Roman" w:hAnsi="Times New Roman" w:cs="Times New Roman"/>
        </w:rPr>
        <w:t xml:space="preserve"> </w:t>
      </w:r>
      <w:hyperlink r:id="rId743" w:history="1">
        <w:r w:rsidRPr="009B0448">
          <w:rPr>
            <w:rStyle w:val="Hyperlink"/>
            <w:rFonts w:ascii="Times New Roman" w:hAnsi="Times New Roman" w:cs="Times New Roman"/>
          </w:rPr>
          <w:t>https://doi.org/10.1017/S0030605310000554</w:t>
        </w:r>
      </w:hyperlink>
    </w:p>
    <w:p w14:paraId="79AE22D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Burgess, N. D., Malugu, I., Sumbi, P., Kashindye, A., Kijazi, A., Tabor, K., Mbilinyi, B., Kashaigili, J., Wright, T. M., Gereau, R. E., Coad, L., Knights, K., Carr, J., Ahrends, A., &amp; Newham, R. (2017). Two decades of change in state, pressure and conservation responses in the coastal forest biodiversity hotspot of Tanzania. </w:t>
      </w:r>
      <w:r w:rsidRPr="009B0448">
        <w:rPr>
          <w:rFonts w:ascii="Times New Roman" w:hAnsi="Times New Roman" w:cs="Times New Roman"/>
          <w:i/>
          <w:color w:val="auto"/>
        </w:rPr>
        <w:t>Oryx, 51</w:t>
      </w:r>
      <w:r w:rsidRPr="009B0448">
        <w:rPr>
          <w:rFonts w:ascii="Times New Roman" w:hAnsi="Times New Roman" w:cs="Times New Roman"/>
          <w:color w:val="auto"/>
        </w:rPr>
        <w:t xml:space="preserve">(1), 77–86. </w:t>
      </w:r>
      <w:hyperlink r:id="rId744" w:history="1">
        <w:r w:rsidRPr="009B0448">
          <w:rPr>
            <w:rStyle w:val="Hyperlink"/>
            <w:rFonts w:ascii="Times New Roman" w:hAnsi="Times New Roman" w:cs="Times New Roman"/>
          </w:rPr>
          <w:t>https://doi.org/10.1017/S003060531500099X</w:t>
        </w:r>
      </w:hyperlink>
    </w:p>
    <w:p w14:paraId="287C4F4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Butynski, T. M., Cortes, J., Waters, S., Fa, J., Hobbelink, M. E., van Lavieren, E., Belbachir, F., Cuzin, F., de Smet, K., Mouna, M., de Iongh, H., Menard, N., &amp; Camperio-Ciani, A. (2008). </w:t>
      </w:r>
      <w:r w:rsidRPr="009B0448">
        <w:rPr>
          <w:rFonts w:ascii="Times New Roman" w:hAnsi="Times New Roman" w:cs="Times New Roman"/>
          <w:i/>
          <w:color w:val="auto"/>
        </w:rPr>
        <w:t>Macaca sylvanus</w:t>
      </w:r>
      <w:r w:rsidRPr="009B0448">
        <w:rPr>
          <w:rFonts w:ascii="Times New Roman" w:hAnsi="Times New Roman" w:cs="Times New Roman"/>
          <w:color w:val="auto"/>
        </w:rPr>
        <w:t xml:space="preserve">. Gland, Switzerland: IUCN. </w:t>
      </w:r>
      <w:hyperlink r:id="rId745" w:history="1">
        <w:r w:rsidRPr="009B0448">
          <w:rPr>
            <w:rStyle w:val="Hyperlink"/>
            <w:rFonts w:ascii="Times New Roman" w:hAnsi="Times New Roman" w:cs="Times New Roman"/>
          </w:rPr>
          <w:t>https://doi.org/10.2305/IUCN.UK.2008.RLTS.T12561A3359140.en</w:t>
        </w:r>
      </w:hyperlink>
    </w:p>
    <w:p w14:paraId="43FA2C4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Bwathondi, P. O. J. (1990). </w:t>
      </w:r>
      <w:r w:rsidRPr="009B0448">
        <w:rPr>
          <w:rFonts w:ascii="Times New Roman" w:hAnsi="Times New Roman" w:cs="Times New Roman"/>
          <w:i/>
          <w:color w:val="auto"/>
        </w:rPr>
        <w:t>The state of Lake Victoria fisheries, Tanzanian sector</w:t>
      </w:r>
      <w:r w:rsidRPr="009B0448">
        <w:rPr>
          <w:rFonts w:ascii="Times New Roman" w:hAnsi="Times New Roman" w:cs="Times New Roman"/>
          <w:color w:val="auto"/>
        </w:rPr>
        <w:t xml:space="preserve"> (pp. 24–34). Rome, Italy: FAO.</w:t>
      </w:r>
    </w:p>
    <w:p w14:paraId="6F81D00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Callaway, E. (2015). Crowdsourcing digs up an early human species. </w:t>
      </w:r>
      <w:r w:rsidRPr="009B0448">
        <w:rPr>
          <w:rFonts w:ascii="Times New Roman" w:hAnsi="Times New Roman" w:cs="Times New Roman"/>
          <w:i/>
          <w:color w:val="auto"/>
        </w:rPr>
        <w:t>Nature, 525</w:t>
      </w:r>
      <w:r w:rsidRPr="009B0448">
        <w:rPr>
          <w:rFonts w:ascii="Times New Roman" w:hAnsi="Times New Roman" w:cs="Times New Roman"/>
          <w:color w:val="auto"/>
        </w:rPr>
        <w:t xml:space="preserve">, 297–298. </w:t>
      </w:r>
      <w:hyperlink r:id="rId746" w:history="1">
        <w:r w:rsidRPr="009B0448">
          <w:rPr>
            <w:rStyle w:val="Hyperlink"/>
            <w:rFonts w:ascii="Times New Roman" w:hAnsi="Times New Roman" w:cs="Times New Roman"/>
          </w:rPr>
          <w:t>https://doi.org/10.1038/nature.2015.18305</w:t>
        </w:r>
      </w:hyperlink>
    </w:p>
    <w:p w14:paraId="6216586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Campbell, B. (Ed.) (1996). </w:t>
      </w:r>
      <w:r w:rsidRPr="009B0448">
        <w:rPr>
          <w:rFonts w:ascii="Times New Roman" w:hAnsi="Times New Roman" w:cs="Times New Roman"/>
          <w:i/>
          <w:color w:val="auto"/>
        </w:rPr>
        <w:t>The Miombo in transition: Woodlands and welfare in Africa</w:t>
      </w:r>
      <w:r w:rsidRPr="009B0448">
        <w:rPr>
          <w:rFonts w:ascii="Times New Roman" w:hAnsi="Times New Roman" w:cs="Times New Roman"/>
          <w:color w:val="auto"/>
        </w:rPr>
        <w:t>. Bogor, Indonesia: Centre for International Forestry Research. Retrieved from</w:t>
      </w:r>
      <w:r w:rsidRPr="009B0448">
        <w:rPr>
          <w:rFonts w:ascii="Times New Roman" w:hAnsi="Times New Roman" w:cs="Times New Roman"/>
        </w:rPr>
        <w:t xml:space="preserve"> </w:t>
      </w:r>
      <w:hyperlink r:id="rId747" w:history="1">
        <w:r w:rsidRPr="009B0448">
          <w:rPr>
            <w:rStyle w:val="Hyperlink"/>
            <w:rFonts w:ascii="Times New Roman" w:hAnsi="Times New Roman" w:cs="Times New Roman"/>
          </w:rPr>
          <w:t>http://www.cifor.org/publications/pdf_files/books/miombo.pdf</w:t>
        </w:r>
      </w:hyperlink>
      <w:r w:rsidRPr="009B0448">
        <w:rPr>
          <w:rFonts w:ascii="Times New Roman" w:hAnsi="Times New Roman" w:cs="Times New Roman"/>
          <w:color w:val="auto"/>
        </w:rPr>
        <w:t xml:space="preserve">  </w:t>
      </w:r>
    </w:p>
    <w:p w14:paraId="0E4A931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Campbell, B., &amp; Sithole, B. (2000). CAMPFIRE: Experiences in Zimbabwe. </w:t>
      </w:r>
      <w:r w:rsidRPr="009B0448">
        <w:rPr>
          <w:rFonts w:ascii="Times New Roman" w:hAnsi="Times New Roman" w:cs="Times New Roman"/>
          <w:i/>
          <w:color w:val="auto"/>
        </w:rPr>
        <w:t>Science, 287</w:t>
      </w:r>
      <w:r w:rsidRPr="009B0448">
        <w:rPr>
          <w:rFonts w:ascii="Times New Roman" w:hAnsi="Times New Roman" w:cs="Times New Roman"/>
          <w:color w:val="auto"/>
        </w:rPr>
        <w:t xml:space="preserve">(5450), 42–43. </w:t>
      </w:r>
      <w:hyperlink r:id="rId748" w:history="1">
        <w:r w:rsidRPr="009B0448">
          <w:rPr>
            <w:rStyle w:val="Hyperlink"/>
            <w:rFonts w:ascii="Times New Roman" w:hAnsi="Times New Roman" w:cs="Times New Roman"/>
          </w:rPr>
          <w:t>https://doi.org/10.1126/science.287.5450.41e</w:t>
        </w:r>
      </w:hyperlink>
      <w:r w:rsidRPr="009B0448">
        <w:rPr>
          <w:rFonts w:ascii="Times New Roman" w:hAnsi="Times New Roman" w:cs="Times New Roman"/>
          <w:color w:val="auto"/>
        </w:rPr>
        <w:t xml:space="preserve"> </w:t>
      </w:r>
    </w:p>
    <w:p w14:paraId="5DF9456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Campbell, D. (2005). The Congo River basin. In L. H. Fraser, &amp; P. A. Keddy (Eds.), </w:t>
      </w:r>
      <w:r w:rsidRPr="009B0448">
        <w:rPr>
          <w:rFonts w:ascii="Times New Roman" w:hAnsi="Times New Roman" w:cs="Times New Roman"/>
          <w:i/>
          <w:color w:val="auto"/>
        </w:rPr>
        <w:t>The world largest wetlands: Ecology and conservation</w:t>
      </w:r>
      <w:r w:rsidRPr="009B0448">
        <w:rPr>
          <w:rFonts w:ascii="Times New Roman" w:hAnsi="Times New Roman" w:cs="Times New Roman"/>
          <w:color w:val="auto"/>
        </w:rPr>
        <w:t xml:space="preserve"> (pp. 149–165). Cambridge, UK: Cambridge University Press.</w:t>
      </w:r>
    </w:p>
    <w:p w14:paraId="3EE9344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Carney, J., Gillespie T. W., &amp; Rosomoff, R. (2014). Assessing forest change in a priority West African mangrove ecosystem: 1986–2010. </w:t>
      </w:r>
      <w:r w:rsidRPr="009B0448">
        <w:rPr>
          <w:rFonts w:ascii="Times New Roman" w:hAnsi="Times New Roman" w:cs="Times New Roman"/>
          <w:i/>
          <w:color w:val="auto"/>
        </w:rPr>
        <w:t>Geoforum, 53</w:t>
      </w:r>
      <w:r w:rsidRPr="009B0448">
        <w:rPr>
          <w:rFonts w:ascii="Times New Roman" w:hAnsi="Times New Roman" w:cs="Times New Roman"/>
          <w:color w:val="auto"/>
        </w:rPr>
        <w:t xml:space="preserve">, 126–135. </w:t>
      </w:r>
      <w:hyperlink r:id="rId749" w:history="1">
        <w:r w:rsidRPr="009B0448">
          <w:rPr>
            <w:rStyle w:val="Hyperlink"/>
            <w:rFonts w:ascii="Times New Roman" w:hAnsi="Times New Roman" w:cs="Times New Roman"/>
          </w:rPr>
          <w:t>https://doi.org/10.1016/j.geoforum.2014.02.013</w:t>
        </w:r>
      </w:hyperlink>
    </w:p>
    <w:p w14:paraId="13882F5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Carr, J. A., Hughes, A. F., &amp; Foden, W. B. (2014). </w:t>
      </w:r>
      <w:r w:rsidRPr="009B0448">
        <w:rPr>
          <w:rFonts w:ascii="Times New Roman" w:hAnsi="Times New Roman" w:cs="Times New Roman"/>
          <w:i/>
          <w:color w:val="auto"/>
        </w:rPr>
        <w:t>A Climate change vulnerability assessment of West African species</w:t>
      </w:r>
      <w:r w:rsidRPr="009B0448">
        <w:rPr>
          <w:rFonts w:ascii="Times New Roman" w:hAnsi="Times New Roman" w:cs="Times New Roman"/>
          <w:color w:val="auto"/>
        </w:rPr>
        <w:t xml:space="preserve">. Cambridge, UK: UNEP-WCMC. Retrieved from </w:t>
      </w:r>
      <w:hyperlink r:id="rId750" w:history="1">
        <w:r w:rsidRPr="009B0448">
          <w:rPr>
            <w:rStyle w:val="Hyperlink"/>
            <w:rFonts w:ascii="Times New Roman" w:hAnsi="Times New Roman" w:cs="Times New Roman"/>
          </w:rPr>
          <w:t>http://parcc.protectedplanet.net/assets/IUCN_species_vulnerability-181b4593dd469dcba033b1f06aaa3cd7c7678424c3a2b056578c9582bd5bf7fb.pdf</w:t>
        </w:r>
      </w:hyperlink>
      <w:r w:rsidRPr="009B0448">
        <w:rPr>
          <w:rFonts w:ascii="Times New Roman" w:hAnsi="Times New Roman" w:cs="Times New Roman"/>
          <w:color w:val="auto"/>
        </w:rPr>
        <w:t xml:space="preserve"> </w:t>
      </w:r>
    </w:p>
    <w:p w14:paraId="6A8BD28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CARPE. (2001). </w:t>
      </w:r>
      <w:r w:rsidRPr="009B0448">
        <w:rPr>
          <w:rFonts w:ascii="Times New Roman" w:hAnsi="Times New Roman" w:cs="Times New Roman"/>
          <w:i/>
          <w:color w:val="auto"/>
        </w:rPr>
        <w:t>Central African regional program for the environment</w:t>
      </w:r>
      <w:r w:rsidRPr="009B0448">
        <w:rPr>
          <w:rFonts w:ascii="Times New Roman" w:hAnsi="Times New Roman" w:cs="Times New Roman"/>
          <w:color w:val="auto"/>
        </w:rPr>
        <w:t>. Gland, Switzerland: WWF. Retrieved from</w:t>
      </w:r>
      <w:r w:rsidRPr="009B0448">
        <w:rPr>
          <w:rFonts w:ascii="Times New Roman" w:hAnsi="Times New Roman" w:cs="Times New Roman"/>
        </w:rPr>
        <w:t xml:space="preserve"> </w:t>
      </w:r>
      <w:hyperlink r:id="rId751" w:history="1">
        <w:r w:rsidRPr="009B0448">
          <w:rPr>
            <w:rStyle w:val="Hyperlink"/>
            <w:rFonts w:ascii="Times New Roman" w:hAnsi="Times New Roman" w:cs="Times New Roman"/>
          </w:rPr>
          <w:t>https://www.usaid.gov/central-africa-regional/cdcs</w:t>
        </w:r>
      </w:hyperlink>
      <w:r w:rsidRPr="009B0448">
        <w:rPr>
          <w:rFonts w:ascii="Times New Roman" w:hAnsi="Times New Roman" w:cs="Times New Roman"/>
          <w:color w:val="auto"/>
        </w:rPr>
        <w:t xml:space="preserve">  </w:t>
      </w:r>
    </w:p>
    <w:p w14:paraId="11183CF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CEPF. (2015). </w:t>
      </w:r>
      <w:r w:rsidRPr="009B0448">
        <w:rPr>
          <w:rFonts w:ascii="Times New Roman" w:hAnsi="Times New Roman" w:cs="Times New Roman"/>
          <w:i/>
          <w:color w:val="auto"/>
        </w:rPr>
        <w:t>Ecosystem profile: Guinean forests of West Africa biodiversity hotspot</w:t>
      </w:r>
      <w:r w:rsidRPr="009B0448">
        <w:rPr>
          <w:rFonts w:ascii="Times New Roman" w:hAnsi="Times New Roman" w:cs="Times New Roman"/>
          <w:color w:val="auto"/>
        </w:rPr>
        <w:t xml:space="preserve">. Arlington, USA: CEPF. Retrieved from </w:t>
      </w:r>
      <w:hyperlink r:id="rId752" w:history="1">
        <w:r w:rsidRPr="009B0448">
          <w:rPr>
            <w:rStyle w:val="Hyperlink"/>
            <w:rFonts w:ascii="Times New Roman" w:hAnsi="Times New Roman" w:cs="Times New Roman"/>
          </w:rPr>
          <w:t>https://www.cepf.net/sites/default/files/gfwa-ecosystem-profile-summary-2015-english.pdf</w:t>
        </w:r>
      </w:hyperlink>
      <w:r w:rsidRPr="009B0448">
        <w:rPr>
          <w:rFonts w:ascii="Times New Roman" w:hAnsi="Times New Roman" w:cs="Times New Roman"/>
          <w:color w:val="auto"/>
        </w:rPr>
        <w:t xml:space="preserve"> </w:t>
      </w:r>
    </w:p>
    <w:p w14:paraId="69E6B05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CEPF. (2016). </w:t>
      </w:r>
      <w:r w:rsidRPr="009B0448">
        <w:rPr>
          <w:rFonts w:ascii="Times New Roman" w:hAnsi="Times New Roman" w:cs="Times New Roman"/>
          <w:i/>
          <w:color w:val="auto"/>
        </w:rPr>
        <w:t>Succulent Karoo</w:t>
      </w:r>
      <w:r w:rsidRPr="009B0448">
        <w:rPr>
          <w:rFonts w:ascii="Times New Roman" w:hAnsi="Times New Roman" w:cs="Times New Roman"/>
          <w:color w:val="auto"/>
        </w:rPr>
        <w:t xml:space="preserve">. Arlington, USA: CEPF. Retrieved from </w:t>
      </w:r>
      <w:hyperlink r:id="rId753" w:history="1">
        <w:r w:rsidRPr="009B0448">
          <w:rPr>
            <w:rStyle w:val="Hyperlink"/>
            <w:rFonts w:ascii="Times New Roman" w:hAnsi="Times New Roman" w:cs="Times New Roman"/>
          </w:rPr>
          <w:t>http://www.cpef.net/resources/hotspots/africa/Pages/Succulent-Karoo.aspx</w:t>
        </w:r>
      </w:hyperlink>
    </w:p>
    <w:p w14:paraId="520885D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Channing, A., Menegon, M., Salvidio, S., &amp; Akker, S. (2005). A new forest toad from the Ukaguru Mountains, Tanzania (Bufonidae: Nectophrynoides). </w:t>
      </w:r>
      <w:r w:rsidRPr="009B0448">
        <w:rPr>
          <w:rFonts w:ascii="Times New Roman" w:hAnsi="Times New Roman" w:cs="Times New Roman"/>
          <w:i/>
          <w:color w:val="auto"/>
        </w:rPr>
        <w:t>African Journal of Herpetology, 54</w:t>
      </w:r>
      <w:r w:rsidRPr="009B0448">
        <w:rPr>
          <w:rFonts w:ascii="Times New Roman" w:hAnsi="Times New Roman" w:cs="Times New Roman"/>
          <w:color w:val="auto"/>
        </w:rPr>
        <w:t xml:space="preserve">, 149–157. </w:t>
      </w:r>
      <w:hyperlink r:id="rId754" w:history="1">
        <w:r w:rsidRPr="009B0448">
          <w:rPr>
            <w:rStyle w:val="Hyperlink"/>
            <w:rFonts w:ascii="Times New Roman" w:hAnsi="Times New Roman" w:cs="Times New Roman"/>
          </w:rPr>
          <w:t>https://doi.org/10.1080/21564574.2005.9635528</w:t>
        </w:r>
      </w:hyperlink>
      <w:r w:rsidRPr="009B0448">
        <w:rPr>
          <w:rFonts w:ascii="Times New Roman" w:hAnsi="Times New Roman" w:cs="Times New Roman"/>
          <w:color w:val="auto"/>
        </w:rPr>
        <w:t xml:space="preserve"> </w:t>
      </w:r>
    </w:p>
    <w:p w14:paraId="2C03BA2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Chapman, L. J., Balirwa, J., Bugenyi, F. W. B., Chapman, C., &amp; Crisman, T. L. (2001). Wetlands of East Africa: Biodiversity, exploitation and policy perspectives. In B. Gopal (Ed.), </w:t>
      </w:r>
      <w:r w:rsidRPr="009B0448">
        <w:rPr>
          <w:rFonts w:ascii="Times New Roman" w:hAnsi="Times New Roman" w:cs="Times New Roman"/>
          <w:i/>
          <w:color w:val="auto"/>
        </w:rPr>
        <w:t>Biodiversity in wetlands: Assessment function and conservation</w:t>
      </w:r>
      <w:r w:rsidRPr="009B0448">
        <w:rPr>
          <w:rFonts w:ascii="Times New Roman" w:hAnsi="Times New Roman" w:cs="Times New Roman"/>
          <w:color w:val="auto"/>
        </w:rPr>
        <w:t xml:space="preserve"> (pp. 101–132). Leiden, Nerthelands: Blackhuys.</w:t>
      </w:r>
    </w:p>
    <w:p w14:paraId="2609990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rPr>
        <w:t>Chardonnet, B. (2004). An update on the status of Korrigum (</w:t>
      </w:r>
      <w:r w:rsidRPr="009B0448">
        <w:rPr>
          <w:rFonts w:ascii="Times New Roman" w:hAnsi="Times New Roman" w:cs="Times New Roman"/>
          <w:i/>
        </w:rPr>
        <w:t>Damaliscus lunatus korrigum</w:t>
      </w:r>
      <w:r w:rsidRPr="009B0448">
        <w:rPr>
          <w:rFonts w:ascii="Times New Roman" w:hAnsi="Times New Roman" w:cs="Times New Roman"/>
        </w:rPr>
        <w:t>) and Tiang (</w:t>
      </w:r>
      <w:r w:rsidRPr="009B0448">
        <w:rPr>
          <w:rFonts w:ascii="Times New Roman" w:hAnsi="Times New Roman" w:cs="Times New Roman"/>
          <w:i/>
        </w:rPr>
        <w:t>D. l. tiang</w:t>
      </w:r>
      <w:r w:rsidRPr="009B0448">
        <w:rPr>
          <w:rFonts w:ascii="Times New Roman" w:hAnsi="Times New Roman" w:cs="Times New Roman"/>
        </w:rPr>
        <w:t xml:space="preserve">) in West and Central Africa. </w:t>
      </w:r>
      <w:r w:rsidRPr="009B0448">
        <w:rPr>
          <w:rFonts w:ascii="Times New Roman" w:hAnsi="Times New Roman" w:cs="Times New Roman"/>
          <w:i/>
        </w:rPr>
        <w:t>Antelope Survey Update, 9</w:t>
      </w:r>
      <w:r w:rsidRPr="009B0448">
        <w:rPr>
          <w:rFonts w:ascii="Times New Roman" w:hAnsi="Times New Roman" w:cs="Times New Roman"/>
        </w:rPr>
        <w:t xml:space="preserve">: 66–76. </w:t>
      </w:r>
    </w:p>
    <w:p w14:paraId="59415F9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Chase, M. J., &amp; Griffin, C. R. (2011). Elephants of south-east Angola in war and peace: Their decline, re-colonization and recent status. </w:t>
      </w:r>
      <w:r w:rsidRPr="009B0448">
        <w:rPr>
          <w:rFonts w:ascii="Times New Roman" w:hAnsi="Times New Roman" w:cs="Times New Roman"/>
          <w:i/>
          <w:color w:val="auto"/>
        </w:rPr>
        <w:t>African Journal of Ecology, 49</w:t>
      </w:r>
      <w:r w:rsidRPr="009B0448">
        <w:rPr>
          <w:rFonts w:ascii="Times New Roman" w:hAnsi="Times New Roman" w:cs="Times New Roman"/>
          <w:color w:val="auto"/>
        </w:rPr>
        <w:t xml:space="preserve">(3), 353–361. </w:t>
      </w:r>
      <w:hyperlink r:id="rId755" w:history="1">
        <w:r w:rsidRPr="009B0448">
          <w:rPr>
            <w:rStyle w:val="Hyperlink"/>
            <w:rFonts w:ascii="Times New Roman" w:hAnsi="Times New Roman" w:cs="Times New Roman"/>
          </w:rPr>
          <w:t>https://doi.org/10.1111/j.1365-2028.2011.01272.x</w:t>
        </w:r>
      </w:hyperlink>
      <w:r w:rsidRPr="009B0448">
        <w:rPr>
          <w:rFonts w:ascii="Times New Roman" w:hAnsi="Times New Roman" w:cs="Times New Roman"/>
          <w:color w:val="auto"/>
        </w:rPr>
        <w:t xml:space="preserve"> </w:t>
      </w:r>
    </w:p>
    <w:p w14:paraId="3BFDE65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Chidumayo, E. N. (2013). Forest degradation and recovery in a miombo woodland landscape in Zambia: 22 years of observations on permanent sample plots. </w:t>
      </w:r>
      <w:r w:rsidRPr="009B0448">
        <w:rPr>
          <w:rFonts w:ascii="Times New Roman" w:hAnsi="Times New Roman" w:cs="Times New Roman"/>
          <w:i/>
          <w:color w:val="auto"/>
        </w:rPr>
        <w:t>Forest Ecology and Management, 291</w:t>
      </w:r>
      <w:r w:rsidRPr="009B0448">
        <w:rPr>
          <w:rFonts w:ascii="Times New Roman" w:hAnsi="Times New Roman" w:cs="Times New Roman"/>
          <w:color w:val="auto"/>
        </w:rPr>
        <w:t xml:space="preserve">, 154–161. </w:t>
      </w:r>
      <w:hyperlink r:id="rId756" w:history="1">
        <w:r w:rsidRPr="009B0448">
          <w:rPr>
            <w:rStyle w:val="Hyperlink"/>
            <w:rFonts w:ascii="Times New Roman" w:hAnsi="Times New Roman" w:cs="Times New Roman"/>
          </w:rPr>
          <w:t>https://doi.org/10.1016/j.foreco.2012.11.031</w:t>
        </w:r>
      </w:hyperlink>
    </w:p>
    <w:p w14:paraId="167AB5C8" w14:textId="77777777" w:rsidR="009B0448" w:rsidRPr="009B0448" w:rsidRDefault="009B0448" w:rsidP="009B0448">
      <w:pPr>
        <w:spacing w:after="120" w:line="276" w:lineRule="auto"/>
        <w:ind w:left="567" w:hanging="567"/>
        <w:rPr>
          <w:rStyle w:val="CommentReference"/>
          <w:rFonts w:ascii="Times New Roman" w:hAnsi="Times New Roman" w:cs="Times New Roman"/>
          <w:sz w:val="22"/>
          <w:szCs w:val="22"/>
        </w:rPr>
      </w:pPr>
      <w:r w:rsidRPr="009B0448">
        <w:rPr>
          <w:rFonts w:ascii="Times New Roman" w:hAnsi="Times New Roman" w:cs="Times New Roman"/>
          <w:color w:val="auto"/>
        </w:rPr>
        <w:t xml:space="preserve">Church, J. A., Aarup, T., Woodworth, P. L., Wilson, W. S., Nicholls, R. J., Rayner, R., Lambeck, K., Mitchum, G. T., Steffen, K., Cazenave, A., Blewitt, G., Mitrovica, J. X., &amp; Lowe, J. A. (2010). Understanding sea-level rise and variability. Synthesis and outlook for the future. In J. A. Church, P. L. Woodworth, T. Aarup, W. S. Wilson, (Eds.), </w:t>
      </w:r>
      <w:r w:rsidRPr="009B0448">
        <w:rPr>
          <w:rFonts w:ascii="Times New Roman" w:hAnsi="Times New Roman" w:cs="Times New Roman"/>
          <w:i/>
          <w:color w:val="auto"/>
        </w:rPr>
        <w:t>Understanding sea level rise and variability</w:t>
      </w:r>
      <w:r w:rsidRPr="009B0448">
        <w:rPr>
          <w:rFonts w:ascii="Times New Roman" w:hAnsi="Times New Roman" w:cs="Times New Roman"/>
          <w:color w:val="auto"/>
        </w:rPr>
        <w:t xml:space="preserve"> (pp. 402–419).</w:t>
      </w:r>
      <w:r w:rsidRPr="009B0448">
        <w:rPr>
          <w:rFonts w:ascii="Times New Roman" w:hAnsi="Times New Roman" w:cs="Times New Roman"/>
        </w:rPr>
        <w:t xml:space="preserve"> </w:t>
      </w:r>
      <w:r w:rsidRPr="009B0448">
        <w:rPr>
          <w:rFonts w:ascii="Times New Roman" w:hAnsi="Times New Roman" w:cs="Times New Roman"/>
          <w:color w:val="auto"/>
        </w:rPr>
        <w:t xml:space="preserve">Chichester, UK: Wiley and Blackwell. </w:t>
      </w:r>
      <w:hyperlink r:id="rId757" w:history="1">
        <w:r w:rsidRPr="009B0448">
          <w:rPr>
            <w:rStyle w:val="Hyperlink"/>
            <w:rFonts w:ascii="Times New Roman" w:hAnsi="Times New Roman" w:cs="Times New Roman"/>
          </w:rPr>
          <w:t>https://doi.org/10.1002/9781444323276</w:t>
        </w:r>
      </w:hyperlink>
      <w:r w:rsidRPr="009B0448">
        <w:rPr>
          <w:rFonts w:ascii="Times New Roman" w:hAnsi="Times New Roman" w:cs="Times New Roman"/>
          <w:color w:val="auto"/>
        </w:rPr>
        <w:t xml:space="preserve"> </w:t>
      </w:r>
    </w:p>
    <w:p w14:paraId="7C9C7E23"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color w:val="auto"/>
        </w:rPr>
        <w:t xml:space="preserve">City of Cape Town. (2017). </w:t>
      </w:r>
      <w:r w:rsidRPr="009B0448">
        <w:rPr>
          <w:rFonts w:ascii="Times New Roman" w:hAnsi="Times New Roman" w:cs="Times New Roman"/>
          <w:i/>
          <w:color w:val="auto"/>
        </w:rPr>
        <w:t>Dam levels</w:t>
      </w:r>
      <w:r w:rsidRPr="009B0448">
        <w:rPr>
          <w:rFonts w:ascii="Times New Roman" w:hAnsi="Times New Roman" w:cs="Times New Roman"/>
          <w:color w:val="auto"/>
        </w:rPr>
        <w:t xml:space="preserve">. Capte Town, South Africa: City of Cape Town. Retrieved from </w:t>
      </w:r>
      <w:hyperlink r:id="rId758" w:history="1">
        <w:r w:rsidRPr="009B0448">
          <w:rPr>
            <w:rStyle w:val="Hyperlink"/>
            <w:rFonts w:ascii="Times New Roman" w:hAnsi="Times New Roman" w:cs="Times New Roman"/>
          </w:rPr>
          <w:t>http://www.capetown.gov.za/Family and home/residential-utility-services/residential-water-and-sanitation-services/this-weeks-dam-levels</w:t>
        </w:r>
      </w:hyperlink>
    </w:p>
    <w:p w14:paraId="1AA005A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Clark, V. R., Barker, N. P., &amp; Mucina, L. (2011). The great escarpment of southern Africa: A new frontier for biodiversity exploration. </w:t>
      </w:r>
      <w:r w:rsidRPr="009B0448">
        <w:rPr>
          <w:rFonts w:ascii="Times New Roman" w:hAnsi="Times New Roman" w:cs="Times New Roman"/>
          <w:i/>
          <w:color w:val="auto"/>
        </w:rPr>
        <w:t>Biodiversity and Conservation, 20</w:t>
      </w:r>
      <w:r w:rsidRPr="009B0448">
        <w:rPr>
          <w:rFonts w:ascii="Times New Roman" w:hAnsi="Times New Roman" w:cs="Times New Roman"/>
          <w:color w:val="auto"/>
        </w:rPr>
        <w:t xml:space="preserve">, 2543–2561. </w:t>
      </w:r>
      <w:hyperlink r:id="rId759" w:history="1">
        <w:r w:rsidRPr="009B0448">
          <w:rPr>
            <w:rStyle w:val="Hyperlink"/>
            <w:rFonts w:ascii="Times New Roman" w:hAnsi="Times New Roman" w:cs="Times New Roman"/>
          </w:rPr>
          <w:t>https://doi.org/10.1007/s10531-011-0103-3</w:t>
        </w:r>
      </w:hyperlink>
    </w:p>
    <w:p w14:paraId="08063BD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Cole, N. H. A. (1967). Ecology of the montane community at the Tingi hills in Sierra Leone. </w:t>
      </w:r>
      <w:r w:rsidRPr="009B0448">
        <w:rPr>
          <w:rFonts w:ascii="Times New Roman" w:hAnsi="Times New Roman" w:cs="Times New Roman"/>
          <w:i/>
          <w:color w:val="auto"/>
        </w:rPr>
        <w:t>Bulletin De I’Institut Fondamental d’Afrique Noire Série. A, 29</w:t>
      </w:r>
      <w:r w:rsidRPr="009B0448">
        <w:rPr>
          <w:rFonts w:ascii="Times New Roman" w:hAnsi="Times New Roman" w:cs="Times New Roman"/>
          <w:color w:val="auto"/>
        </w:rPr>
        <w:t>, 904–924.</w:t>
      </w:r>
    </w:p>
    <w:p w14:paraId="7231EB2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Cole, N. H. A. (1968). </w:t>
      </w:r>
      <w:r w:rsidRPr="009B0448">
        <w:rPr>
          <w:rFonts w:ascii="Times New Roman" w:hAnsi="Times New Roman" w:cs="Times New Roman"/>
          <w:i/>
          <w:color w:val="auto"/>
        </w:rPr>
        <w:t>The vegetation of Sierra Leone</w:t>
      </w:r>
      <w:r w:rsidRPr="009B0448">
        <w:rPr>
          <w:rFonts w:ascii="Times New Roman" w:hAnsi="Times New Roman" w:cs="Times New Roman"/>
          <w:color w:val="auto"/>
        </w:rPr>
        <w:t xml:space="preserve">. Retrieved from </w:t>
      </w:r>
      <w:hyperlink r:id="rId760" w:history="1">
        <w:r w:rsidRPr="009B0448">
          <w:rPr>
            <w:rStyle w:val="Hyperlink"/>
            <w:rFonts w:ascii="Times New Roman" w:hAnsi="Times New Roman" w:cs="Times New Roman"/>
          </w:rPr>
          <w:t>https://www.cabdirect.org/cabdirect/abstract/19790652146</w:t>
        </w:r>
      </w:hyperlink>
    </w:p>
    <w:p w14:paraId="0017781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Cole, N. H. A. (1974). Climate, life forms and species distribution on the Loma montane grassland, Sierra Leone. </w:t>
      </w:r>
      <w:r w:rsidRPr="009B0448">
        <w:rPr>
          <w:rFonts w:ascii="Times New Roman" w:hAnsi="Times New Roman" w:cs="Times New Roman"/>
          <w:i/>
          <w:color w:val="auto"/>
        </w:rPr>
        <w:t>Botanical Journal of the Linnean Society, 69</w:t>
      </w:r>
      <w:r w:rsidRPr="009B0448">
        <w:rPr>
          <w:rFonts w:ascii="Times New Roman" w:hAnsi="Times New Roman" w:cs="Times New Roman"/>
          <w:color w:val="auto"/>
        </w:rPr>
        <w:t xml:space="preserve">, 197–210. </w:t>
      </w:r>
      <w:hyperlink r:id="rId761" w:history="1">
        <w:r w:rsidRPr="009B0448">
          <w:rPr>
            <w:rStyle w:val="Hyperlink"/>
            <w:rFonts w:ascii="Times New Roman" w:hAnsi="Times New Roman" w:cs="Times New Roman"/>
          </w:rPr>
          <w:t>https://doi.org/10.1111/j.1095-8339.1974.tb01625.x</w:t>
        </w:r>
      </w:hyperlink>
      <w:r w:rsidRPr="009B0448">
        <w:rPr>
          <w:rFonts w:ascii="Times New Roman" w:hAnsi="Times New Roman" w:cs="Times New Roman"/>
          <w:color w:val="auto"/>
        </w:rPr>
        <w:t xml:space="preserve">  </w:t>
      </w:r>
    </w:p>
    <w:p w14:paraId="1F67998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Coleman, B. K., Destaillats, H., Hodgson, A. T., &amp; Nazaroff, W. W. (2008). Ozone consumption and volatile byproduct formation from surface reactions with aircraft cabin materials and clothing fabrics. </w:t>
      </w:r>
      <w:r w:rsidRPr="009B0448">
        <w:rPr>
          <w:rFonts w:ascii="Times New Roman" w:hAnsi="Times New Roman" w:cs="Times New Roman"/>
          <w:i/>
          <w:color w:val="auto"/>
        </w:rPr>
        <w:t>Atmospheric Environment, 42</w:t>
      </w:r>
      <w:r w:rsidRPr="009B0448">
        <w:rPr>
          <w:rFonts w:ascii="Times New Roman" w:hAnsi="Times New Roman" w:cs="Times New Roman"/>
          <w:color w:val="auto"/>
        </w:rPr>
        <w:t xml:space="preserve">, 642–654. </w:t>
      </w:r>
      <w:hyperlink r:id="rId762" w:history="1">
        <w:r w:rsidRPr="009B0448">
          <w:rPr>
            <w:rStyle w:val="Hyperlink"/>
            <w:rFonts w:ascii="Times New Roman" w:hAnsi="Times New Roman" w:cs="Times New Roman"/>
          </w:rPr>
          <w:t>https://doi.org/10.1016/j.atmosenv.2007.10.001</w:t>
        </w:r>
      </w:hyperlink>
    </w:p>
    <w:p w14:paraId="64796AD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Coll, M., Piroddi, C., Kaschner, K., Ben Rais Lasram, F., Steenbeek. J., Aguzzi, J., Bianchi, C. N., Corbera, J., Dailianis, T., Danovaro, R. Estrada, M. Froglia, Galil, B. S, Gasol, J. M., Gertwagen, R., Gil, J., Guilhaumon, F. Kesner-Reyes, K., Kitsos, M-C., Koukouras, A., Lampadariou, N., Laxamana, E., López-Fé de la Cuadra, C. M., Lotze, H. K., Martin, D., Mouillot, D., Oro, D., Raicevich, S., Rius-Barile, J., Saiz-Salinas, J. I., San Vicente, C., Somot, S., Templado, J., Turon, X., Vafidis, D., Villanueva, R., &amp; Voultsiadou, E. (2010). The biodiversity of the Mediterranean Sea: Estimates, patterns, and threats. </w:t>
      </w:r>
      <w:r w:rsidRPr="009B0448">
        <w:rPr>
          <w:rFonts w:ascii="Times New Roman" w:hAnsi="Times New Roman" w:cs="Times New Roman"/>
          <w:i/>
          <w:color w:val="auto"/>
        </w:rPr>
        <w:t>PLoS ONE, 5</w:t>
      </w:r>
      <w:r w:rsidRPr="009B0448">
        <w:rPr>
          <w:rFonts w:ascii="Times New Roman" w:hAnsi="Times New Roman" w:cs="Times New Roman"/>
          <w:color w:val="auto"/>
        </w:rPr>
        <w:t xml:space="preserve">(8), e11842. </w:t>
      </w:r>
      <w:hyperlink r:id="rId763" w:history="1">
        <w:r w:rsidRPr="009B0448">
          <w:rPr>
            <w:rStyle w:val="Hyperlink"/>
            <w:rFonts w:ascii="Times New Roman" w:hAnsi="Times New Roman" w:cs="Times New Roman"/>
          </w:rPr>
          <w:t>https://doi.org/10.1371/journal.pone.0011842</w:t>
        </w:r>
      </w:hyperlink>
      <w:r w:rsidRPr="009B0448">
        <w:rPr>
          <w:rFonts w:ascii="Times New Roman" w:hAnsi="Times New Roman" w:cs="Times New Roman"/>
          <w:color w:val="auto"/>
        </w:rPr>
        <w:t xml:space="preserve"> </w:t>
      </w:r>
    </w:p>
    <w:p w14:paraId="2105AF2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rPr>
        <w:t xml:space="preserve">Collette, B. B., &amp; Parin, N. V. (1991). Shallow-water fishes of Walters Shoals, Madagascar ridge. </w:t>
      </w:r>
      <w:r w:rsidRPr="009B0448">
        <w:rPr>
          <w:rFonts w:ascii="Times New Roman" w:hAnsi="Times New Roman" w:cs="Times New Roman"/>
          <w:i/>
        </w:rPr>
        <w:t>Bulletin of Marine Science, 48</w:t>
      </w:r>
      <w:r w:rsidRPr="009B0448">
        <w:rPr>
          <w:rFonts w:ascii="Times New Roman" w:hAnsi="Times New Roman" w:cs="Times New Roman"/>
        </w:rPr>
        <w:t>, 1</w:t>
      </w:r>
      <w:r w:rsidRPr="009B0448">
        <w:rPr>
          <w:rFonts w:ascii="Times New Roman" w:hAnsi="Times New Roman" w:cs="Times New Roman"/>
          <w:color w:val="auto"/>
        </w:rPr>
        <w:t>–22.</w:t>
      </w:r>
    </w:p>
    <w:p w14:paraId="721E13B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Colston, P. R., &amp; Curry-Lindahl, K. (1986). </w:t>
      </w:r>
      <w:r w:rsidRPr="009B0448">
        <w:rPr>
          <w:rFonts w:ascii="Times New Roman" w:hAnsi="Times New Roman" w:cs="Times New Roman"/>
          <w:i/>
          <w:color w:val="auto"/>
        </w:rPr>
        <w:t>Birds of Mount Nimba, Liberia</w:t>
      </w:r>
      <w:r w:rsidRPr="009B0448">
        <w:rPr>
          <w:rFonts w:ascii="Times New Roman" w:hAnsi="Times New Roman" w:cs="Times New Roman"/>
          <w:color w:val="auto"/>
        </w:rPr>
        <w:t xml:space="preserve">. London, UK: British Museum Natural History. Retrieved from </w:t>
      </w:r>
      <w:hyperlink r:id="rId764" w:history="1">
        <w:r w:rsidRPr="009B0448">
          <w:rPr>
            <w:rStyle w:val="Hyperlink"/>
            <w:rFonts w:ascii="Times New Roman" w:hAnsi="Times New Roman" w:cs="Times New Roman"/>
          </w:rPr>
          <w:t>http://agris.fao.org/agris-search/search.do?recordID=US201300425337</w:t>
        </w:r>
      </w:hyperlink>
      <w:r w:rsidRPr="009B0448">
        <w:rPr>
          <w:rFonts w:ascii="Times New Roman" w:hAnsi="Times New Roman" w:cs="Times New Roman"/>
          <w:color w:val="auto"/>
        </w:rPr>
        <w:t xml:space="preserve"> </w:t>
      </w:r>
    </w:p>
    <w:p w14:paraId="06E7EA9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COMIFAC. (2011). </w:t>
      </w:r>
      <w:r w:rsidRPr="009B0448">
        <w:rPr>
          <w:rFonts w:ascii="Times New Roman" w:hAnsi="Times New Roman" w:cs="Times New Roman"/>
          <w:i/>
          <w:color w:val="auto"/>
        </w:rPr>
        <w:t>Directives Sous-régionales sur la Participation des Populations Locales et Autochtones et des ONG à la Gestion Durable des Forêts d’Afrique Centrale</w:t>
      </w:r>
      <w:r w:rsidRPr="009B0448">
        <w:rPr>
          <w:rFonts w:ascii="Times New Roman" w:hAnsi="Times New Roman" w:cs="Times New Roman"/>
          <w:color w:val="auto"/>
        </w:rPr>
        <w:t xml:space="preserve">.Yaoundé, Cameroon: COMIFAC. Retrieved from </w:t>
      </w:r>
      <w:hyperlink r:id="rId765" w:history="1">
        <w:r w:rsidRPr="009B0448">
          <w:rPr>
            <w:rStyle w:val="Hyperlink"/>
            <w:rFonts w:ascii="Times New Roman" w:hAnsi="Times New Roman" w:cs="Times New Roman"/>
          </w:rPr>
          <w:t>https://searchworks.stanford.edu/view/10385438</w:t>
        </w:r>
      </w:hyperlink>
      <w:r w:rsidRPr="009B0448">
        <w:rPr>
          <w:rFonts w:ascii="Times New Roman" w:hAnsi="Times New Roman" w:cs="Times New Roman"/>
          <w:color w:val="auto"/>
        </w:rPr>
        <w:t xml:space="preserve"> </w:t>
      </w:r>
    </w:p>
    <w:p w14:paraId="0A1F6DD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Conchedda, G., Lambin, E., &amp; Mayaux, P. (2011). Between land and sea: Livelihoods and environmental changes in mangrove ecosystems of Senegal. </w:t>
      </w:r>
      <w:r w:rsidRPr="009B0448">
        <w:rPr>
          <w:rFonts w:ascii="Times New Roman" w:hAnsi="Times New Roman" w:cs="Times New Roman"/>
          <w:i/>
          <w:color w:val="auto"/>
        </w:rPr>
        <w:t>Annals of the Association of American Geographers, 1001</w:t>
      </w:r>
      <w:r w:rsidRPr="009B0448">
        <w:rPr>
          <w:rFonts w:ascii="Times New Roman" w:hAnsi="Times New Roman" w:cs="Times New Roman"/>
          <w:color w:val="auto"/>
        </w:rPr>
        <w:t xml:space="preserve">(6), 1259–1284. </w:t>
      </w:r>
      <w:hyperlink r:id="rId766" w:history="1">
        <w:r w:rsidRPr="009B0448">
          <w:rPr>
            <w:rStyle w:val="Hyperlink"/>
            <w:rFonts w:ascii="Times New Roman" w:hAnsi="Times New Roman" w:cs="Times New Roman"/>
          </w:rPr>
          <w:t>https://doi.org/10.1080/00045608.2011.579534</w:t>
        </w:r>
      </w:hyperlink>
    </w:p>
    <w:p w14:paraId="72C663F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Conway, D., Archer van Garderen, E., Deryng, D., Dorling, S., Krueger, T., Landman, W., Lankford, B., Lebek, K., Osborn, T., Ringler, C., Thurlow, J., Zhu, T., &amp; Dalin, C. (2015). Climate and southern Africa’s water-energy-food nexus. </w:t>
      </w:r>
      <w:r w:rsidRPr="009B0448">
        <w:rPr>
          <w:rFonts w:ascii="Times New Roman" w:hAnsi="Times New Roman" w:cs="Times New Roman"/>
          <w:i/>
          <w:color w:val="auto"/>
        </w:rPr>
        <w:t>Nature Climate Change, 5</w:t>
      </w:r>
      <w:r w:rsidRPr="009B0448">
        <w:rPr>
          <w:rFonts w:ascii="Times New Roman" w:hAnsi="Times New Roman" w:cs="Times New Roman"/>
          <w:color w:val="auto"/>
        </w:rPr>
        <w:t xml:space="preserve">, 837–846. </w:t>
      </w:r>
      <w:hyperlink r:id="rId767" w:history="1">
        <w:r w:rsidRPr="009B0448">
          <w:rPr>
            <w:rStyle w:val="Hyperlink"/>
            <w:rFonts w:ascii="Times New Roman" w:hAnsi="Times New Roman" w:cs="Times New Roman"/>
          </w:rPr>
          <w:t>https://doi.org/10.1038/nclimate2735</w:t>
        </w:r>
      </w:hyperlink>
      <w:r w:rsidRPr="009B0448">
        <w:rPr>
          <w:rFonts w:ascii="Times New Roman" w:hAnsi="Times New Roman" w:cs="Times New Roman"/>
          <w:color w:val="auto"/>
        </w:rPr>
        <w:t xml:space="preserve"> </w:t>
      </w:r>
    </w:p>
    <w:p w14:paraId="3FF4F84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Cormier-Salem, M-C. (1999). </w:t>
      </w:r>
      <w:r w:rsidRPr="009B0448">
        <w:rPr>
          <w:rFonts w:ascii="Times New Roman" w:hAnsi="Times New Roman" w:cs="Times New Roman"/>
          <w:i/>
          <w:color w:val="auto"/>
        </w:rPr>
        <w:t>Rivières du Sud. Sociétés et mangroves ouest-Africaines</w:t>
      </w:r>
      <w:r w:rsidRPr="009B0448">
        <w:rPr>
          <w:rFonts w:ascii="Times New Roman" w:hAnsi="Times New Roman" w:cs="Times New Roman"/>
          <w:color w:val="auto"/>
        </w:rPr>
        <w:t xml:space="preserve">. Paris, France: Institut de recherches et d'applications des méthodes de développement. Retrieved from </w:t>
      </w:r>
      <w:hyperlink r:id="rId768" w:history="1">
        <w:r w:rsidRPr="009B0448">
          <w:rPr>
            <w:rStyle w:val="Hyperlink"/>
            <w:rFonts w:ascii="Times New Roman" w:hAnsi="Times New Roman" w:cs="Times New Roman"/>
          </w:rPr>
          <w:t>http://www.documentation.ird.fr/hor/fdi:010018567</w:t>
        </w:r>
      </w:hyperlink>
      <w:r w:rsidRPr="009B0448">
        <w:rPr>
          <w:rFonts w:ascii="Times New Roman" w:hAnsi="Times New Roman" w:cs="Times New Roman"/>
          <w:color w:val="auto"/>
        </w:rPr>
        <w:t xml:space="preserve"> </w:t>
      </w:r>
    </w:p>
    <w:p w14:paraId="33E5B30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Cormier Salem, M-C. (2006). Mangrove: Changes and conflicts in claimed ownership, uses and purposes. In C.T. Hoanh, T. P. Tuong, J. M. Gowing, &amp; B. Hardy (Eds.), </w:t>
      </w:r>
      <w:r w:rsidRPr="009B0448">
        <w:rPr>
          <w:rFonts w:ascii="Times New Roman" w:hAnsi="Times New Roman" w:cs="Times New Roman"/>
          <w:i/>
          <w:color w:val="auto"/>
        </w:rPr>
        <w:t>Environment and livelihoods in tropical coastal zones: Managing agriculture-fishery-aquaculture conflicts</w:t>
      </w:r>
      <w:r w:rsidRPr="009B0448">
        <w:rPr>
          <w:rFonts w:ascii="Times New Roman" w:hAnsi="Times New Roman" w:cs="Times New Roman"/>
          <w:color w:val="auto"/>
        </w:rPr>
        <w:t>. (pp. 1– 309).</w:t>
      </w:r>
      <w:r w:rsidRPr="009B0448">
        <w:rPr>
          <w:rFonts w:ascii="Times New Roman" w:hAnsi="Times New Roman" w:cs="Times New Roman"/>
        </w:rPr>
        <w:t xml:space="preserve"> Wallingford, UK: CABI Publishing. </w:t>
      </w:r>
      <w:hyperlink r:id="rId769" w:history="1">
        <w:r w:rsidRPr="009B0448">
          <w:rPr>
            <w:rStyle w:val="Hyperlink"/>
            <w:rFonts w:ascii="Times New Roman" w:hAnsi="Times New Roman" w:cs="Times New Roman"/>
          </w:rPr>
          <w:t>https://doi.org/10.1079/9781845931070.0000</w:t>
        </w:r>
      </w:hyperlink>
      <w:r w:rsidRPr="009B0448">
        <w:rPr>
          <w:rFonts w:ascii="Times New Roman" w:hAnsi="Times New Roman" w:cs="Times New Roman"/>
          <w:color w:val="auto"/>
        </w:rPr>
        <w:t xml:space="preserve"> </w:t>
      </w:r>
    </w:p>
    <w:p w14:paraId="0E1106D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Cormier-Salem, M-C., &amp; Bassett, T. (2007). Introduction. Nature as local heritage in Africa: Longstanding concerns, new challenges. </w:t>
      </w:r>
      <w:r w:rsidRPr="009B0448">
        <w:rPr>
          <w:rFonts w:ascii="Times New Roman" w:hAnsi="Times New Roman" w:cs="Times New Roman"/>
          <w:i/>
          <w:color w:val="auto"/>
        </w:rPr>
        <w:t>Africa, 77</w:t>
      </w:r>
      <w:r w:rsidRPr="009B0448">
        <w:rPr>
          <w:rFonts w:ascii="Times New Roman" w:hAnsi="Times New Roman" w:cs="Times New Roman"/>
          <w:color w:val="auto"/>
        </w:rPr>
        <w:t xml:space="preserve">(1), 1–17. </w:t>
      </w:r>
      <w:hyperlink r:id="rId770" w:history="1">
        <w:r w:rsidRPr="009B0448">
          <w:rPr>
            <w:rStyle w:val="Hyperlink"/>
            <w:rFonts w:ascii="Times New Roman" w:hAnsi="Times New Roman" w:cs="Times New Roman"/>
          </w:rPr>
          <w:t>https://doi.org/10.3366/afr.2007.77.1.1</w:t>
        </w:r>
      </w:hyperlink>
    </w:p>
    <w:p w14:paraId="3E3FC83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Cormier-Salem, M-C. (2014). Participatory governance of marine protected areas: A political challenge, an ethical imperative, different trajectories. Senegal case studies. </w:t>
      </w:r>
      <w:r w:rsidRPr="009B0448">
        <w:rPr>
          <w:rFonts w:ascii="Times New Roman" w:hAnsi="Times New Roman" w:cs="Times New Roman"/>
          <w:i/>
          <w:color w:val="auto"/>
        </w:rPr>
        <w:t>SAPIENS, 7</w:t>
      </w:r>
      <w:r w:rsidRPr="009B0448">
        <w:rPr>
          <w:rFonts w:ascii="Times New Roman" w:hAnsi="Times New Roman" w:cs="Times New Roman"/>
          <w:color w:val="auto"/>
        </w:rPr>
        <w:t xml:space="preserve">(2), 13. Retrieved from </w:t>
      </w:r>
      <w:hyperlink r:id="rId771" w:history="1">
        <w:r w:rsidRPr="009B0448">
          <w:rPr>
            <w:rStyle w:val="Hyperlink"/>
            <w:rFonts w:ascii="Times New Roman" w:hAnsi="Times New Roman" w:cs="Times New Roman"/>
          </w:rPr>
          <w:t>https://journals.openedition.org/sapiens/1560</w:t>
        </w:r>
      </w:hyperlink>
      <w:r w:rsidRPr="009B0448">
        <w:rPr>
          <w:rFonts w:ascii="Times New Roman" w:hAnsi="Times New Roman" w:cs="Times New Roman"/>
        </w:rPr>
        <w:t xml:space="preserve"> </w:t>
      </w:r>
    </w:p>
    <w:p w14:paraId="2FF0874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Cormier-Salem, M-C., &amp; Panfili, J. (2016). Mangrove reforestation: Greening or grabbing coastal zones and deltas? Senegalese case studies. </w:t>
      </w:r>
      <w:r w:rsidRPr="009B0448">
        <w:rPr>
          <w:rFonts w:ascii="Times New Roman" w:hAnsi="Times New Roman" w:cs="Times New Roman"/>
          <w:i/>
          <w:color w:val="auto"/>
        </w:rPr>
        <w:t>African Journal of Aquatic Sciences, 41</w:t>
      </w:r>
      <w:r w:rsidRPr="009B0448">
        <w:rPr>
          <w:rFonts w:ascii="Times New Roman" w:hAnsi="Times New Roman" w:cs="Times New Roman"/>
          <w:color w:val="auto"/>
        </w:rPr>
        <w:t xml:space="preserve">(1), 89–98. </w:t>
      </w:r>
      <w:hyperlink r:id="rId772" w:history="1">
        <w:r w:rsidRPr="009B0448">
          <w:rPr>
            <w:rStyle w:val="Hyperlink"/>
            <w:rFonts w:ascii="Times New Roman" w:hAnsi="Times New Roman" w:cs="Times New Roman"/>
          </w:rPr>
          <w:t>https://doi.org/10.2989/16085914.2016.1146122</w:t>
        </w:r>
      </w:hyperlink>
    </w:p>
    <w:p w14:paraId="39816E9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Cormier-Salem, M-C., Dieye, B., &amp; Sane, T. (2016). Légitimité des politiques de reboisements de mangrove en Casamance. In L. Descroix, S. Djiba, T. Sané, &amp; V. Tarchiani (Eds.), </w:t>
      </w:r>
      <w:r w:rsidRPr="009B0448">
        <w:rPr>
          <w:rFonts w:ascii="Times New Roman" w:hAnsi="Times New Roman" w:cs="Times New Roman"/>
          <w:i/>
          <w:color w:val="auto"/>
        </w:rPr>
        <w:t>Eaux et sociétés face au changement climatique dans le bassin de la Casamance</w:t>
      </w:r>
      <w:r w:rsidRPr="009B0448">
        <w:rPr>
          <w:rFonts w:ascii="Times New Roman" w:hAnsi="Times New Roman" w:cs="Times New Roman"/>
          <w:color w:val="auto"/>
        </w:rPr>
        <w:t xml:space="preserve"> (pp. 189–210). Paris, France: L’Harmattan. Retrieved from </w:t>
      </w:r>
      <w:hyperlink r:id="rId773" w:history="1">
        <w:r w:rsidRPr="009B0448">
          <w:rPr>
            <w:rStyle w:val="Hyperlink"/>
            <w:rFonts w:ascii="Times New Roman" w:hAnsi="Times New Roman" w:cs="Times New Roman"/>
          </w:rPr>
          <w:t>http://hal.ird.fr/ird-01546905v2/document</w:t>
        </w:r>
      </w:hyperlink>
      <w:r w:rsidRPr="009B0448">
        <w:rPr>
          <w:rFonts w:ascii="Times New Roman" w:hAnsi="Times New Roman" w:cs="Times New Roman"/>
          <w:color w:val="auto"/>
        </w:rPr>
        <w:t xml:space="preserve"> </w:t>
      </w:r>
    </w:p>
    <w:p w14:paraId="357CE74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Costanza, R., Fisher, B., Mulder, K. Liu, S., &amp; Christopher, T. (2007). Biodiversity and ecosystem services: A multi-scale empirical study of the relationship between species richness and net primary production. </w:t>
      </w:r>
      <w:r w:rsidRPr="009B0448">
        <w:rPr>
          <w:rFonts w:ascii="Times New Roman" w:hAnsi="Times New Roman" w:cs="Times New Roman"/>
          <w:i/>
          <w:color w:val="auto"/>
        </w:rPr>
        <w:t>Ecological Economics, 61</w:t>
      </w:r>
      <w:r w:rsidRPr="009B0448">
        <w:rPr>
          <w:rFonts w:ascii="Times New Roman" w:hAnsi="Times New Roman" w:cs="Times New Roman"/>
          <w:color w:val="auto"/>
        </w:rPr>
        <w:t xml:space="preserve">, 478–491. </w:t>
      </w:r>
      <w:hyperlink r:id="rId774" w:history="1">
        <w:r w:rsidRPr="009B0448">
          <w:rPr>
            <w:rStyle w:val="Hyperlink"/>
            <w:rFonts w:ascii="Times New Roman" w:hAnsi="Times New Roman" w:cs="Times New Roman"/>
          </w:rPr>
          <w:t>https://doi.org/10.1016/j.ecolecon.2006.03.021</w:t>
        </w:r>
      </w:hyperlink>
      <w:r w:rsidRPr="009B0448">
        <w:rPr>
          <w:rFonts w:ascii="Times New Roman" w:hAnsi="Times New Roman" w:cs="Times New Roman"/>
          <w:color w:val="auto"/>
        </w:rPr>
        <w:t xml:space="preserve"> </w:t>
      </w:r>
    </w:p>
    <w:p w14:paraId="13C2819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Costanza, R., de Groot, R., Sutton, P., van der Ploeg, S., Anderson, S. J., Kubiszewski, I., Farber, S., &amp; Turner, R. K. (2014). Changes in the global value of ecosystem services. </w:t>
      </w:r>
      <w:r w:rsidRPr="009B0448">
        <w:rPr>
          <w:rFonts w:ascii="Times New Roman" w:hAnsi="Times New Roman" w:cs="Times New Roman"/>
          <w:i/>
          <w:color w:val="auto"/>
        </w:rPr>
        <w:t>Global Environmental Change, 26</w:t>
      </w:r>
      <w:r w:rsidRPr="009B0448">
        <w:rPr>
          <w:rFonts w:ascii="Times New Roman" w:hAnsi="Times New Roman" w:cs="Times New Roman"/>
          <w:color w:val="auto"/>
        </w:rPr>
        <w:t xml:space="preserve">, 152–158. </w:t>
      </w:r>
      <w:hyperlink r:id="rId775" w:history="1">
        <w:r w:rsidRPr="009B0448">
          <w:rPr>
            <w:rStyle w:val="Hyperlink"/>
            <w:rFonts w:ascii="Times New Roman" w:hAnsi="Times New Roman" w:cs="Times New Roman"/>
          </w:rPr>
          <w:t>https://doi.org/10.1016/j.gloenvcha.2014.04.002</w:t>
        </w:r>
      </w:hyperlink>
    </w:p>
    <w:p w14:paraId="27F33B8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Cotillon, S. E. (2017). </w:t>
      </w:r>
      <w:r w:rsidRPr="009B0448">
        <w:rPr>
          <w:rFonts w:ascii="Times New Roman" w:hAnsi="Times New Roman" w:cs="Times New Roman"/>
          <w:i/>
          <w:color w:val="auto"/>
        </w:rPr>
        <w:t>The landscapes of West Africa–40 years of change: U.S. Geological Survey Fact Sheet 2017–3005</w:t>
      </w:r>
      <w:r w:rsidRPr="009B0448">
        <w:rPr>
          <w:rFonts w:ascii="Times New Roman" w:hAnsi="Times New Roman" w:cs="Times New Roman"/>
          <w:color w:val="auto"/>
        </w:rPr>
        <w:t xml:space="preserve">. </w:t>
      </w:r>
      <w:hyperlink r:id="rId776" w:history="1">
        <w:r w:rsidRPr="009B0448">
          <w:rPr>
            <w:rStyle w:val="Hyperlink"/>
            <w:rFonts w:ascii="Times New Roman" w:hAnsi="Times New Roman" w:cs="Times New Roman"/>
          </w:rPr>
          <w:t>https://doi.org/10.3133/fs20173005</w:t>
        </w:r>
      </w:hyperlink>
    </w:p>
    <w:p w14:paraId="3940700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Cotula, L., Vermeulen, S., Leonard, R., &amp; Keeley, J. (2009). </w:t>
      </w:r>
      <w:r w:rsidRPr="009B0448">
        <w:rPr>
          <w:rFonts w:ascii="Times New Roman" w:hAnsi="Times New Roman" w:cs="Times New Roman"/>
          <w:i/>
          <w:color w:val="auto"/>
        </w:rPr>
        <w:t>Land grab or development opportunity? Agricultural investment and international land Deals in Africa.</w:t>
      </w:r>
      <w:r w:rsidRPr="009B0448">
        <w:rPr>
          <w:rFonts w:ascii="Times New Roman" w:hAnsi="Times New Roman" w:cs="Times New Roman"/>
          <w:color w:val="auto"/>
        </w:rPr>
        <w:t xml:space="preserve"> Rome, Italy: FAO. Retrieved from</w:t>
      </w:r>
      <w:r w:rsidRPr="009B0448">
        <w:rPr>
          <w:rFonts w:ascii="Times New Roman" w:hAnsi="Times New Roman" w:cs="Times New Roman"/>
        </w:rPr>
        <w:t xml:space="preserve"> </w:t>
      </w:r>
      <w:hyperlink r:id="rId777" w:history="1">
        <w:r w:rsidRPr="009B0448">
          <w:rPr>
            <w:rStyle w:val="Hyperlink"/>
            <w:rFonts w:ascii="Times New Roman" w:hAnsi="Times New Roman" w:cs="Times New Roman"/>
          </w:rPr>
          <w:t>http://www.fao.org/3/a-ak241e.pdf</w:t>
        </w:r>
      </w:hyperlink>
      <w:r w:rsidRPr="009B0448">
        <w:rPr>
          <w:rFonts w:ascii="Times New Roman" w:hAnsi="Times New Roman" w:cs="Times New Roman"/>
          <w:color w:val="auto"/>
        </w:rPr>
        <w:t xml:space="preserve"> </w:t>
      </w:r>
    </w:p>
    <w:p w14:paraId="7817AF2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Cowling, R. M., Richardson, D. M., &amp; Pierce, S. M. (1997). </w:t>
      </w:r>
      <w:r w:rsidRPr="009B0448">
        <w:rPr>
          <w:rFonts w:ascii="Times New Roman" w:hAnsi="Times New Roman" w:cs="Times New Roman"/>
          <w:i/>
          <w:color w:val="auto"/>
        </w:rPr>
        <w:t>Vegetation of Southern Africa</w:t>
      </w:r>
      <w:r w:rsidRPr="009B0448">
        <w:rPr>
          <w:rFonts w:ascii="Times New Roman" w:hAnsi="Times New Roman" w:cs="Times New Roman"/>
          <w:color w:val="auto"/>
        </w:rPr>
        <w:t>. Cambridge, UK: Cambridge University Press.</w:t>
      </w:r>
    </w:p>
    <w:p w14:paraId="3FA6BAB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Craigie, I. D., Baillie, J. E., Balmford, A., Carbone, C., Collen, B., Green, R. E., &amp; Hutton, J. M. (2010). Large mammal population declines in Africa’s protected areas. </w:t>
      </w:r>
      <w:r w:rsidRPr="009B0448">
        <w:rPr>
          <w:rFonts w:ascii="Times New Roman" w:hAnsi="Times New Roman" w:cs="Times New Roman"/>
          <w:i/>
          <w:color w:val="auto"/>
        </w:rPr>
        <w:t>Biological Conservation, 143</w:t>
      </w:r>
      <w:r w:rsidRPr="009B0448">
        <w:rPr>
          <w:rFonts w:ascii="Times New Roman" w:hAnsi="Times New Roman" w:cs="Times New Roman"/>
          <w:color w:val="auto"/>
        </w:rPr>
        <w:t xml:space="preserve">, 2221–2228. </w:t>
      </w:r>
      <w:hyperlink r:id="rId778" w:history="1">
        <w:r w:rsidRPr="009B0448">
          <w:rPr>
            <w:rStyle w:val="Hyperlink"/>
            <w:rFonts w:ascii="Times New Roman" w:hAnsi="Times New Roman" w:cs="Times New Roman"/>
          </w:rPr>
          <w:t>https://doi.org/10.1016/j.biocon.2010.06.007</w:t>
        </w:r>
      </w:hyperlink>
    </w:p>
    <w:p w14:paraId="7A54DE3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Croitoru, L., &amp; Merlo, M. (2005). Mediterranean forest values. In M. Merlo, &amp; L. Croitoru (Eds.), </w:t>
      </w:r>
      <w:r w:rsidRPr="009B0448">
        <w:rPr>
          <w:rFonts w:ascii="Times New Roman" w:hAnsi="Times New Roman" w:cs="Times New Roman"/>
          <w:i/>
          <w:color w:val="auto"/>
        </w:rPr>
        <w:t>Valuing Mediterranean forests: Towards total economic values</w:t>
      </w:r>
      <w:r w:rsidRPr="009B0448">
        <w:rPr>
          <w:rFonts w:ascii="Times New Roman" w:hAnsi="Times New Roman" w:cs="Times New Roman"/>
          <w:color w:val="auto"/>
        </w:rPr>
        <w:t xml:space="preserve"> (pp. 37–68). Oxfordshire, UK: CABI Publishing. </w:t>
      </w:r>
      <w:hyperlink r:id="rId779" w:history="1">
        <w:r w:rsidRPr="009B0448">
          <w:rPr>
            <w:rStyle w:val="Hyperlink"/>
            <w:rFonts w:ascii="Times New Roman" w:hAnsi="Times New Roman" w:cs="Times New Roman"/>
          </w:rPr>
          <w:t>https://doi.org/10.1079/9780851999975.0000</w:t>
        </w:r>
      </w:hyperlink>
      <w:r w:rsidRPr="009B0448">
        <w:rPr>
          <w:rFonts w:ascii="Times New Roman" w:hAnsi="Times New Roman" w:cs="Times New Roman"/>
          <w:color w:val="auto"/>
        </w:rPr>
        <w:t xml:space="preserve"> </w:t>
      </w:r>
    </w:p>
    <w:p w14:paraId="24DD832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Croitoru, L. (2007). How much are Mediterranean forests worth? </w:t>
      </w:r>
      <w:r w:rsidRPr="009B0448">
        <w:rPr>
          <w:rFonts w:ascii="Times New Roman" w:hAnsi="Times New Roman" w:cs="Times New Roman"/>
          <w:i/>
          <w:color w:val="auto"/>
        </w:rPr>
        <w:t>Forest policy and economics, 9</w:t>
      </w:r>
      <w:r w:rsidRPr="009B0448">
        <w:rPr>
          <w:rFonts w:ascii="Times New Roman" w:hAnsi="Times New Roman" w:cs="Times New Roman"/>
          <w:color w:val="auto"/>
        </w:rPr>
        <w:t xml:space="preserve">(5), 536–545. </w:t>
      </w:r>
      <w:hyperlink r:id="rId780" w:history="1">
        <w:r w:rsidRPr="009B0448">
          <w:rPr>
            <w:rStyle w:val="Hyperlink"/>
            <w:rFonts w:ascii="Times New Roman" w:hAnsi="Times New Roman" w:cs="Times New Roman"/>
          </w:rPr>
          <w:t>https://doi.org/10.1016/j.forpol.2006.04.001</w:t>
        </w:r>
      </w:hyperlink>
    </w:p>
    <w:p w14:paraId="60FD383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Crowley, H. (2004). Madagascar humid forests. In N. D. Burgess, J. D'Amico Hales, E. Underwood, (Eds.), </w:t>
      </w:r>
      <w:r w:rsidRPr="009B0448">
        <w:rPr>
          <w:rFonts w:ascii="Times New Roman" w:hAnsi="Times New Roman" w:cs="Times New Roman"/>
          <w:i/>
          <w:color w:val="auto"/>
        </w:rPr>
        <w:t xml:space="preserve">Terrestrial ecoregions of Africa and Madagascar: A conservation assessment </w:t>
      </w:r>
      <w:r w:rsidRPr="009B0448">
        <w:rPr>
          <w:rFonts w:ascii="Times New Roman" w:hAnsi="Times New Roman" w:cs="Times New Roman"/>
          <w:color w:val="auto"/>
        </w:rPr>
        <w:t xml:space="preserve">(pp. 269–271). Washington, DC: Island Press. Retrieved from </w:t>
      </w:r>
      <w:hyperlink r:id="rId781" w:history="1">
        <w:r w:rsidRPr="009B0448">
          <w:rPr>
            <w:rStyle w:val="Hyperlink"/>
            <w:rFonts w:ascii="Times New Roman" w:hAnsi="Times New Roman" w:cs="Times New Roman"/>
          </w:rPr>
          <w:t>http://www.easternarc.or.tz/groups/webcontent/documents/pdf/Ecoregions_Book.pdf</w:t>
        </w:r>
      </w:hyperlink>
      <w:r w:rsidRPr="009B0448">
        <w:rPr>
          <w:rFonts w:ascii="Times New Roman" w:hAnsi="Times New Roman" w:cs="Times New Roman"/>
          <w:color w:val="auto"/>
        </w:rPr>
        <w:t xml:space="preserve"> </w:t>
      </w:r>
    </w:p>
    <w:p w14:paraId="6D62C05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Culverwell, J. (1998). </w:t>
      </w:r>
      <w:r w:rsidRPr="009B0448">
        <w:rPr>
          <w:rFonts w:ascii="Times New Roman" w:hAnsi="Times New Roman" w:cs="Times New Roman"/>
          <w:i/>
          <w:color w:val="auto"/>
        </w:rPr>
        <w:t>Long-term recurrent costs of protected area management in Cameroon</w:t>
      </w:r>
      <w:r w:rsidRPr="009B0448">
        <w:rPr>
          <w:rFonts w:ascii="Times New Roman" w:hAnsi="Times New Roman" w:cs="Times New Roman"/>
          <w:color w:val="auto"/>
        </w:rPr>
        <w:t>. Yaoundé, Cameroon: WWF-Cameroon.</w:t>
      </w:r>
    </w:p>
    <w:p w14:paraId="007AB1F1" w14:textId="77777777" w:rsidR="009B0448" w:rsidRPr="009B0448" w:rsidRDefault="009B0448" w:rsidP="009B0448">
      <w:pPr>
        <w:spacing w:after="120" w:line="276" w:lineRule="auto"/>
        <w:ind w:left="567" w:hanging="567"/>
        <w:rPr>
          <w:rFonts w:ascii="Times New Roman" w:hAnsi="Times New Roman" w:cs="Times New Roman"/>
          <w:color w:val="auto"/>
          <w:u w:val="single"/>
        </w:rPr>
      </w:pPr>
      <w:r w:rsidRPr="009B0448">
        <w:rPr>
          <w:rFonts w:ascii="Times New Roman" w:hAnsi="Times New Roman" w:cs="Times New Roman"/>
          <w:color w:val="auto"/>
        </w:rPr>
        <w:t xml:space="preserve">Curry-Lindahl, K. (1966). The current situation in the Albert and Garamba national parks, Congo. </w:t>
      </w:r>
      <w:r w:rsidRPr="009B0448">
        <w:rPr>
          <w:rFonts w:ascii="Times New Roman" w:hAnsi="Times New Roman" w:cs="Times New Roman"/>
          <w:i/>
          <w:color w:val="auto"/>
        </w:rPr>
        <w:t>IUCN Bulletin, New Series, 1</w:t>
      </w:r>
      <w:r w:rsidRPr="009B0448">
        <w:rPr>
          <w:rFonts w:ascii="Times New Roman" w:hAnsi="Times New Roman" w:cs="Times New Roman"/>
          <w:color w:val="auto"/>
        </w:rPr>
        <w:t>(20), 3.</w:t>
      </w:r>
    </w:p>
    <w:p w14:paraId="7E090B4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Cuttelod, A., García, N., Abdul Malak, D., Temple, H., &amp; Katariya, V. T. (2008). The Mediterranean: a biodiversity hotspot under threat. In C. Vié, C. Hilton-Taylor, &amp; S. N. Stuart, (Eds.), </w:t>
      </w:r>
      <w:r w:rsidRPr="009B0448">
        <w:rPr>
          <w:rFonts w:ascii="Times New Roman" w:hAnsi="Times New Roman" w:cs="Times New Roman"/>
          <w:i/>
          <w:color w:val="auto"/>
        </w:rPr>
        <w:t>The 2008 Review of The IUCN Red List of threatened species</w:t>
      </w:r>
      <w:r w:rsidRPr="009B0448">
        <w:rPr>
          <w:rFonts w:ascii="Times New Roman" w:hAnsi="Times New Roman" w:cs="Times New Roman"/>
          <w:color w:val="auto"/>
        </w:rPr>
        <w:t xml:space="preserve">. Gland, Switzerland: IUCN. Retrieved from </w:t>
      </w:r>
      <w:hyperlink r:id="rId782" w:history="1">
        <w:r w:rsidRPr="009B0448">
          <w:rPr>
            <w:rStyle w:val="Hyperlink"/>
            <w:rFonts w:ascii="Times New Roman" w:hAnsi="Times New Roman" w:cs="Times New Roman"/>
          </w:rPr>
          <w:t>https://cmsdata.iucn.org/downloads/the_mediterranean_a_biodiversity_hotspot_under_threat.pdf</w:t>
        </w:r>
      </w:hyperlink>
    </w:p>
    <w:p w14:paraId="3C03248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d’Amoura, C. B., Reitsma, F., Baiocchi, G., Barthel, S., Güneralp, B., Erb, K-H., Haberl, H., Creutzig, F., &amp; Seto, K. C. (2016). Future urban land expansion and implications for global croplands. </w:t>
      </w:r>
      <w:r w:rsidRPr="009B0448">
        <w:rPr>
          <w:rFonts w:ascii="Times New Roman" w:hAnsi="Times New Roman" w:cs="Times New Roman"/>
          <w:i/>
          <w:color w:val="auto"/>
        </w:rPr>
        <w:t>Proceedings of the National Academy of Sciences of the United States of America, 114</w:t>
      </w:r>
      <w:r w:rsidRPr="009B0448">
        <w:rPr>
          <w:rFonts w:ascii="Times New Roman" w:hAnsi="Times New Roman" w:cs="Times New Roman"/>
          <w:color w:val="auto"/>
        </w:rPr>
        <w:t xml:space="preserve">(34), 8939–8944. </w:t>
      </w:r>
      <w:hyperlink r:id="rId783" w:history="1">
        <w:r w:rsidRPr="009B0448">
          <w:rPr>
            <w:rStyle w:val="Hyperlink"/>
            <w:rFonts w:ascii="Times New Roman" w:hAnsi="Times New Roman" w:cs="Times New Roman"/>
          </w:rPr>
          <w:t>https://doi.org/10.1073/pnas.1606036114</w:t>
        </w:r>
      </w:hyperlink>
      <w:r w:rsidRPr="009B0448">
        <w:rPr>
          <w:rFonts w:ascii="Times New Roman" w:hAnsi="Times New Roman" w:cs="Times New Roman"/>
          <w:color w:val="auto"/>
        </w:rPr>
        <w:t xml:space="preserve"> </w:t>
      </w:r>
    </w:p>
    <w:p w14:paraId="5F9DEE3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DAFF. (2014). </w:t>
      </w:r>
      <w:r w:rsidRPr="009B0448">
        <w:rPr>
          <w:rFonts w:ascii="Times New Roman" w:hAnsi="Times New Roman" w:cs="Times New Roman"/>
          <w:i/>
          <w:color w:val="auto"/>
        </w:rPr>
        <w:t>Economic review of the South African agriculture</w:t>
      </w:r>
      <w:r w:rsidRPr="009B0448">
        <w:rPr>
          <w:rFonts w:ascii="Times New Roman" w:hAnsi="Times New Roman" w:cs="Times New Roman"/>
          <w:color w:val="auto"/>
        </w:rPr>
        <w:t xml:space="preserve">. Pretoria, South Africa: DAFF. Retrieved from </w:t>
      </w:r>
      <w:hyperlink r:id="rId784" w:history="1">
        <w:r w:rsidRPr="009B0448">
          <w:rPr>
            <w:rStyle w:val="Hyperlink"/>
            <w:rFonts w:ascii="Times New Roman" w:hAnsi="Times New Roman" w:cs="Times New Roman"/>
          </w:rPr>
          <w:t>http://www.daff.gov.za/Daffweb3/Portals/0/Statistics%20and%20Economic%20Analysis/Economic%20Analysis/Economic%20Review%202014.pdf</w:t>
        </w:r>
      </w:hyperlink>
    </w:p>
    <w:p w14:paraId="48C9A32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Dahdouh-Guebas, F., &amp; Koedam, N. (2001). </w:t>
      </w:r>
      <w:r w:rsidRPr="009B0448">
        <w:rPr>
          <w:rFonts w:ascii="Times New Roman" w:hAnsi="Times New Roman" w:cs="Times New Roman"/>
          <w:color w:val="auto"/>
        </w:rPr>
        <w:t xml:space="preserve">Are the northern most mangroves of West Africa viable?–A case study in Banc d’Arguin national park, Mauritania. </w:t>
      </w:r>
      <w:r w:rsidRPr="009B0448">
        <w:rPr>
          <w:rFonts w:ascii="Times New Roman" w:hAnsi="Times New Roman" w:cs="Times New Roman"/>
          <w:i/>
          <w:color w:val="auto"/>
        </w:rPr>
        <w:t>Hydrobiologia, 458</w:t>
      </w:r>
      <w:r w:rsidRPr="009B0448">
        <w:rPr>
          <w:rFonts w:ascii="Times New Roman" w:hAnsi="Times New Roman" w:cs="Times New Roman"/>
          <w:color w:val="auto"/>
        </w:rPr>
        <w:t xml:space="preserve">, 241–253. </w:t>
      </w:r>
      <w:hyperlink r:id="rId785" w:history="1">
        <w:r w:rsidRPr="009B0448">
          <w:rPr>
            <w:rStyle w:val="Hyperlink"/>
            <w:rFonts w:ascii="Times New Roman" w:hAnsi="Times New Roman" w:cs="Times New Roman"/>
          </w:rPr>
          <w:t>https://doi.org/10.1023/A:1013126832741</w:t>
        </w:r>
      </w:hyperlink>
    </w:p>
    <w:p w14:paraId="7A84045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Danovaro, R., Company, J. B., Corinaldesi, C., D’Onghia, G., Galil, B., Gambi, C., Gooday, A. J., Lampadariou, N., Marco Luna, G., Morigi, C., Olu, K., Polymenakou, P., Ramirez-Llodra, E., Sabbatini, A., Sardà, F., Sibuet, M., &amp; Tselepides, A. (2010). Deep-sea biodiversity in the Mediterranean Sea: The known, the unknown, and the unknowable. </w:t>
      </w:r>
      <w:r w:rsidRPr="009B0448">
        <w:rPr>
          <w:rFonts w:ascii="Times New Roman" w:hAnsi="Times New Roman" w:cs="Times New Roman"/>
          <w:i/>
          <w:color w:val="auto"/>
        </w:rPr>
        <w:t>PLoS ONE, 5</w:t>
      </w:r>
      <w:r w:rsidRPr="009B0448">
        <w:rPr>
          <w:rFonts w:ascii="Times New Roman" w:hAnsi="Times New Roman" w:cs="Times New Roman"/>
          <w:color w:val="auto"/>
        </w:rPr>
        <w:t xml:space="preserve">(8), e11832. </w:t>
      </w:r>
      <w:hyperlink r:id="rId786" w:history="1">
        <w:r w:rsidRPr="009B0448">
          <w:rPr>
            <w:rStyle w:val="Hyperlink"/>
            <w:rFonts w:ascii="Times New Roman" w:hAnsi="Times New Roman" w:cs="Times New Roman"/>
          </w:rPr>
          <w:t>https://doi.org/10.1371/journal.pone.0011832</w:t>
        </w:r>
      </w:hyperlink>
    </w:p>
    <w:p w14:paraId="35A6CE1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Dargie, G. C., Lewis, S. L., Lawson, I. T., Mitchard, E. T., Page, S. E., Bocko, Y. E., &amp; Ifo, S. A. (2017). Age, extent and carbon storage of the central Congo Basin peatland complex, </w:t>
      </w:r>
      <w:r w:rsidRPr="009B0448">
        <w:rPr>
          <w:rFonts w:ascii="Times New Roman" w:hAnsi="Times New Roman" w:cs="Times New Roman"/>
          <w:i/>
          <w:color w:val="auto"/>
        </w:rPr>
        <w:t>Nature, 542</w:t>
      </w:r>
      <w:r w:rsidRPr="009B0448">
        <w:rPr>
          <w:rFonts w:ascii="Times New Roman" w:hAnsi="Times New Roman" w:cs="Times New Roman"/>
          <w:color w:val="auto"/>
        </w:rPr>
        <w:t xml:space="preserve">, 86–90. </w:t>
      </w:r>
      <w:hyperlink r:id="rId787" w:history="1">
        <w:r w:rsidRPr="009B0448">
          <w:rPr>
            <w:rStyle w:val="Hyperlink"/>
            <w:rFonts w:ascii="Times New Roman" w:hAnsi="Times New Roman" w:cs="Times New Roman"/>
          </w:rPr>
          <w:t>https://doi.org/10.1038/nature21048</w:t>
        </w:r>
      </w:hyperlink>
      <w:r w:rsidRPr="009B0448">
        <w:rPr>
          <w:rFonts w:ascii="Times New Roman" w:hAnsi="Times New Roman" w:cs="Times New Roman"/>
          <w:color w:val="auto"/>
        </w:rPr>
        <w:t xml:space="preserve"> </w:t>
      </w:r>
    </w:p>
    <w:p w14:paraId="5B3D8F4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Darwall, W. R. T., Smith, K., Lowe, T., &amp; Vié, J-C. (Eds.). (2005). </w:t>
      </w:r>
      <w:r w:rsidRPr="009B0448">
        <w:rPr>
          <w:rFonts w:ascii="Times New Roman" w:hAnsi="Times New Roman" w:cs="Times New Roman"/>
          <w:i/>
          <w:color w:val="auto"/>
        </w:rPr>
        <w:t>The status and distribution of freshwater biodiversity in eastern Africa.</w:t>
      </w:r>
      <w:r w:rsidRPr="009B0448">
        <w:rPr>
          <w:rFonts w:ascii="Times New Roman" w:hAnsi="Times New Roman" w:cs="Times New Roman"/>
          <w:color w:val="auto"/>
        </w:rPr>
        <w:t xml:space="preserve"> Gland, Switzerland: IUCN. Retrieved from </w:t>
      </w:r>
      <w:hyperlink r:id="rId788" w:history="1">
        <w:r w:rsidRPr="009B0448">
          <w:rPr>
            <w:rStyle w:val="Hyperlink"/>
            <w:rFonts w:ascii="Times New Roman" w:hAnsi="Times New Roman" w:cs="Times New Roman"/>
          </w:rPr>
          <w:t>https://www.iucn.org/downloads/the_status_and_distribution_of_freshwater_biodiversity_in_eastern_africa.pdf</w:t>
        </w:r>
      </w:hyperlink>
      <w:r w:rsidRPr="009B0448">
        <w:rPr>
          <w:rFonts w:ascii="Times New Roman" w:hAnsi="Times New Roman" w:cs="Times New Roman"/>
          <w:color w:val="auto"/>
        </w:rPr>
        <w:t xml:space="preserve"> </w:t>
      </w:r>
    </w:p>
    <w:p w14:paraId="63AEED89" w14:textId="5A3939B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Darwall, W. R. T., Smith, K. G., Tweddle, D., &amp; Skelton, P. (Eds.). (2009). </w:t>
      </w:r>
      <w:r w:rsidRPr="009B0448">
        <w:rPr>
          <w:rFonts w:ascii="Times New Roman" w:hAnsi="Times New Roman" w:cs="Times New Roman"/>
          <w:i/>
          <w:color w:val="auto"/>
        </w:rPr>
        <w:t>The Status and distribution of freshwater biodiversity in southern Africa</w:t>
      </w:r>
      <w:r w:rsidRPr="009B0448">
        <w:rPr>
          <w:rFonts w:ascii="Times New Roman" w:hAnsi="Times New Roman" w:cs="Times New Roman"/>
          <w:color w:val="auto"/>
        </w:rPr>
        <w:t>.</w:t>
      </w:r>
      <w:r w:rsidRPr="009B0448">
        <w:rPr>
          <w:rFonts w:ascii="Times New Roman" w:hAnsi="Times New Roman" w:cs="Times New Roman"/>
          <w:i/>
          <w:color w:val="auto"/>
        </w:rPr>
        <w:t xml:space="preserve"> </w:t>
      </w:r>
      <w:r w:rsidRPr="009B0448">
        <w:rPr>
          <w:rFonts w:ascii="Times New Roman" w:hAnsi="Times New Roman" w:cs="Times New Roman"/>
          <w:color w:val="auto"/>
        </w:rPr>
        <w:t xml:space="preserve">Gland, Switzerland: IUCN. Retieved from </w:t>
      </w:r>
      <w:hyperlink r:id="rId789" w:history="1">
        <w:r w:rsidRPr="009B0448">
          <w:rPr>
            <w:rStyle w:val="Hyperlink"/>
            <w:rFonts w:ascii="Times New Roman" w:hAnsi="Times New Roman" w:cs="Times New Roman"/>
          </w:rPr>
          <w:t>http://data.iucn.org/dbtw-wpd/edocs/2009–003.pdf</w:t>
        </w:r>
      </w:hyperlink>
      <w:r w:rsidRPr="009B0448">
        <w:rPr>
          <w:rFonts w:ascii="Times New Roman" w:hAnsi="Times New Roman" w:cs="Times New Roman"/>
          <w:color w:val="auto"/>
        </w:rPr>
        <w:t xml:space="preserve"> </w:t>
      </w:r>
    </w:p>
    <w:p w14:paraId="48DB90F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Darwall, W., Smith, K., Allen, D., Holland, R., Harrison, I., &amp; Brooks, E. (2011). </w:t>
      </w:r>
      <w:r w:rsidRPr="009B0448">
        <w:rPr>
          <w:rFonts w:ascii="Times New Roman" w:hAnsi="Times New Roman" w:cs="Times New Roman"/>
          <w:i/>
          <w:color w:val="auto"/>
        </w:rPr>
        <w:t>The diversity of life in African freshwaters: underwater, under threat: An analysis of the status and distribution of freshwater species throughout mainland Africa</w:t>
      </w:r>
      <w:r w:rsidRPr="009B0448">
        <w:rPr>
          <w:rFonts w:ascii="Times New Roman" w:hAnsi="Times New Roman" w:cs="Times New Roman"/>
          <w:color w:val="auto"/>
        </w:rPr>
        <w:t xml:space="preserve">. Gland, Switzerland: IUCN. Retrieved from </w:t>
      </w:r>
      <w:hyperlink r:id="rId790" w:history="1">
        <w:r w:rsidRPr="009B0448">
          <w:rPr>
            <w:rStyle w:val="Hyperlink"/>
            <w:rFonts w:ascii="Times New Roman" w:hAnsi="Times New Roman" w:cs="Times New Roman"/>
          </w:rPr>
          <w:t>https://portals.iucn.org/library/sites/library/files/documents/RL-6-001.pdf</w:t>
        </w:r>
      </w:hyperlink>
      <w:r w:rsidRPr="009B0448">
        <w:rPr>
          <w:rFonts w:ascii="Times New Roman" w:hAnsi="Times New Roman" w:cs="Times New Roman"/>
          <w:color w:val="auto"/>
        </w:rPr>
        <w:t xml:space="preserve"> </w:t>
      </w:r>
    </w:p>
    <w:p w14:paraId="2A541DC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DeFries, R., Hansen, A. J., Newton, A. C., Hansen, M., &amp; Townshend, J. (2005). </w:t>
      </w:r>
      <w:r w:rsidRPr="009B0448">
        <w:rPr>
          <w:rFonts w:ascii="Times New Roman" w:hAnsi="Times New Roman" w:cs="Times New Roman"/>
          <w:color w:val="auto"/>
        </w:rPr>
        <w:t xml:space="preserve">Isolation of protected areas in tropical forests over the last twenty years. </w:t>
      </w:r>
      <w:r w:rsidRPr="009B0448">
        <w:rPr>
          <w:rFonts w:ascii="Times New Roman" w:hAnsi="Times New Roman" w:cs="Times New Roman"/>
          <w:i/>
          <w:color w:val="auto"/>
        </w:rPr>
        <w:t>Ecological Applications, 15</w:t>
      </w:r>
      <w:r w:rsidRPr="009B0448">
        <w:rPr>
          <w:rFonts w:ascii="Times New Roman" w:hAnsi="Times New Roman" w:cs="Times New Roman"/>
          <w:color w:val="auto"/>
        </w:rPr>
        <w:t xml:space="preserve">, 19–26. </w:t>
      </w:r>
      <w:hyperlink r:id="rId791" w:history="1">
        <w:r w:rsidRPr="009B0448">
          <w:rPr>
            <w:rStyle w:val="Hyperlink"/>
            <w:rFonts w:ascii="Times New Roman" w:hAnsi="Times New Roman" w:cs="Times New Roman"/>
          </w:rPr>
          <w:t>https://doi.org/10.1890/03-5258</w:t>
        </w:r>
      </w:hyperlink>
      <w:r w:rsidRPr="009B0448">
        <w:rPr>
          <w:rFonts w:ascii="Times New Roman" w:hAnsi="Times New Roman" w:cs="Times New Roman"/>
          <w:color w:val="auto"/>
        </w:rPr>
        <w:t xml:space="preserve"> </w:t>
      </w:r>
    </w:p>
    <w:p w14:paraId="780840C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Díaz, S., Fargione, J., Chapin, F. S., &amp; Tilman, D. (2006). Biodiversity loss threatens human well-being. </w:t>
      </w:r>
      <w:r w:rsidRPr="009B0448">
        <w:rPr>
          <w:rFonts w:ascii="Times New Roman" w:hAnsi="Times New Roman" w:cs="Times New Roman"/>
          <w:i/>
          <w:color w:val="auto"/>
        </w:rPr>
        <w:t>PLoS Biology, 4</w:t>
      </w:r>
      <w:r w:rsidRPr="009B0448">
        <w:rPr>
          <w:rFonts w:ascii="Times New Roman" w:hAnsi="Times New Roman" w:cs="Times New Roman"/>
          <w:color w:val="auto"/>
        </w:rPr>
        <w:t xml:space="preserve"> (8), 1300–1305. </w:t>
      </w:r>
      <w:hyperlink r:id="rId792" w:history="1">
        <w:r w:rsidRPr="009B0448">
          <w:rPr>
            <w:rStyle w:val="Hyperlink"/>
            <w:rFonts w:ascii="Times New Roman" w:hAnsi="Times New Roman" w:cs="Times New Roman"/>
          </w:rPr>
          <w:t>https://doi.org/10.1371/journal.pbio.0040277</w:t>
        </w:r>
      </w:hyperlink>
    </w:p>
    <w:p w14:paraId="6FA9DD1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Díaz, S., Lavorel, S., de Bello, F., Quetier, F., Grigulis, K., &amp; Robson, M. (2007). Incorporating plant functional diversity effects in ecosystem service assessments. </w:t>
      </w:r>
      <w:r w:rsidRPr="009B0448">
        <w:rPr>
          <w:rFonts w:ascii="Times New Roman" w:hAnsi="Times New Roman" w:cs="Times New Roman"/>
          <w:i/>
          <w:color w:val="auto"/>
        </w:rPr>
        <w:t>Proceedings of the National Academy of Sciences of the United States of America, 104</w:t>
      </w:r>
      <w:r w:rsidRPr="009B0448">
        <w:rPr>
          <w:rFonts w:ascii="Times New Roman" w:hAnsi="Times New Roman" w:cs="Times New Roman"/>
          <w:color w:val="auto"/>
        </w:rPr>
        <w:t xml:space="preserve">, 20684–20689. </w:t>
      </w:r>
      <w:hyperlink r:id="rId793" w:history="1">
        <w:r w:rsidRPr="009B0448">
          <w:rPr>
            <w:rStyle w:val="Hyperlink"/>
            <w:rFonts w:ascii="Times New Roman" w:hAnsi="Times New Roman" w:cs="Times New Roman"/>
          </w:rPr>
          <w:t>https://doi.org/10.1073/pnas.0704716104</w:t>
        </w:r>
      </w:hyperlink>
    </w:p>
    <w:p w14:paraId="6292E02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Diop, S., Barusseau, J-P., &amp; Descamps, C. (2014). </w:t>
      </w:r>
      <w:r w:rsidRPr="009B0448">
        <w:rPr>
          <w:rFonts w:ascii="Times New Roman" w:hAnsi="Times New Roman" w:cs="Times New Roman"/>
          <w:i/>
          <w:color w:val="auto"/>
        </w:rPr>
        <w:t>The land/ocean interactions in the coastal zone of West and Central Africa</w:t>
      </w:r>
      <w:r w:rsidRPr="009B0448">
        <w:rPr>
          <w:rFonts w:ascii="Times New Roman" w:hAnsi="Times New Roman" w:cs="Times New Roman"/>
          <w:color w:val="auto"/>
        </w:rPr>
        <w:t>.</w:t>
      </w:r>
      <w:r w:rsidRPr="009B0448">
        <w:rPr>
          <w:rFonts w:ascii="Times New Roman" w:hAnsi="Times New Roman" w:cs="Times New Roman"/>
        </w:rPr>
        <w:t xml:space="preserve"> </w:t>
      </w:r>
      <w:r w:rsidRPr="009B0448">
        <w:rPr>
          <w:rFonts w:ascii="Times New Roman" w:hAnsi="Times New Roman" w:cs="Times New Roman"/>
          <w:color w:val="auto"/>
        </w:rPr>
        <w:t xml:space="preserve">Switzerland: Springer International Publishing. </w:t>
      </w:r>
      <w:hyperlink r:id="rId794" w:history="1">
        <w:r w:rsidRPr="009B0448">
          <w:rPr>
            <w:rStyle w:val="Hyperlink"/>
            <w:rFonts w:ascii="Times New Roman" w:hAnsi="Times New Roman" w:cs="Times New Roman"/>
          </w:rPr>
          <w:t>https://doi.org/10.1007/978-3-319-06388-1</w:t>
        </w:r>
      </w:hyperlink>
    </w:p>
    <w:p w14:paraId="37AEA95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Djema, A., &amp; Messaoudene, M. (2009). The Algerian forest: Current situation and prospect. In M. Palahi, Y. Birot, F. Bravo, &amp; E. Gorrize (Eds.), </w:t>
      </w:r>
      <w:r w:rsidRPr="009B0448">
        <w:rPr>
          <w:rFonts w:ascii="Times New Roman" w:hAnsi="Times New Roman" w:cs="Times New Roman"/>
          <w:i/>
          <w:color w:val="auto"/>
        </w:rPr>
        <w:t>Managing Mediterranean forest ecosystems for non-timber goods and services</w:t>
      </w:r>
      <w:r w:rsidRPr="009B0448">
        <w:rPr>
          <w:rFonts w:ascii="Times New Roman" w:hAnsi="Times New Roman" w:cs="Times New Roman"/>
          <w:color w:val="auto"/>
        </w:rPr>
        <w:t xml:space="preserve"> (pp. 17–28). Thessaloniki, Greece: European Forest Institute Proceedings. Retrieved from </w:t>
      </w:r>
      <w:hyperlink r:id="rId795" w:history="1">
        <w:r w:rsidRPr="009B0448">
          <w:rPr>
            <w:rStyle w:val="Hyperlink"/>
            <w:rFonts w:ascii="Times New Roman" w:hAnsi="Times New Roman" w:cs="Times New Roman"/>
          </w:rPr>
          <w:t>https://www.efi.int/publications-bank/modelling-valuing-and-managing-mediterranean-forest-ecosystems-non-timber-goods</w:t>
        </w:r>
      </w:hyperlink>
      <w:r w:rsidRPr="009B0448">
        <w:rPr>
          <w:rFonts w:ascii="Times New Roman" w:hAnsi="Times New Roman" w:cs="Times New Roman"/>
          <w:color w:val="auto"/>
        </w:rPr>
        <w:t xml:space="preserve"> </w:t>
      </w:r>
    </w:p>
    <w:p w14:paraId="42A4232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Dobignard, A., &amp; Chatelain, C. (2010-2013). Index synonymique flore d’Afrique du Nord. </w:t>
      </w:r>
      <w:r w:rsidRPr="009B0448">
        <w:rPr>
          <w:rFonts w:ascii="Times New Roman" w:hAnsi="Times New Roman" w:cs="Times New Roman"/>
          <w:i/>
          <w:color w:val="auto"/>
        </w:rPr>
        <w:t>Conservatoire et jardin Botaniques, ville de genève</w:t>
      </w:r>
      <w:r w:rsidRPr="009B0448">
        <w:rPr>
          <w:rFonts w:ascii="Times New Roman" w:hAnsi="Times New Roman" w:cs="Times New Roman"/>
          <w:color w:val="auto"/>
        </w:rPr>
        <w:t>, 1–5.</w:t>
      </w:r>
    </w:p>
    <w:p w14:paraId="2DE5B59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Domínguez-Rodrigo, M., Mabulla, A., Bunn, H. T., Diez-Martín, F., Egeland, C. P., Yravedra, J., &amp; Sánchez, P. (2009). Unraveling hominin behavior at another anthropogenic site from Olduvai Gorge (Tanzania): New archaeological and taphonomic research at BK, Upper Bed II. </w:t>
      </w:r>
      <w:r w:rsidRPr="009B0448">
        <w:rPr>
          <w:rFonts w:ascii="Times New Roman" w:hAnsi="Times New Roman" w:cs="Times New Roman"/>
          <w:i/>
          <w:color w:val="auto"/>
        </w:rPr>
        <w:t>Journal of Human Evolution, 57</w:t>
      </w:r>
      <w:r w:rsidRPr="009B0448">
        <w:rPr>
          <w:rFonts w:ascii="Times New Roman" w:hAnsi="Times New Roman" w:cs="Times New Roman"/>
          <w:color w:val="auto"/>
        </w:rPr>
        <w:t xml:space="preserve">(3), 260–283. </w:t>
      </w:r>
      <w:hyperlink r:id="rId796" w:history="1">
        <w:r w:rsidRPr="009B0448">
          <w:rPr>
            <w:rStyle w:val="Hyperlink"/>
            <w:rFonts w:ascii="Times New Roman" w:hAnsi="Times New Roman" w:cs="Times New Roman"/>
          </w:rPr>
          <w:t>https://doi.org/10.1016/j.jhevol.2009.04.006</w:t>
        </w:r>
      </w:hyperlink>
    </w:p>
    <w:p w14:paraId="6073FF3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Dowsett, R. (1986). Origins of the high-altitude avifaunas of tropical Africa. In F. Vuilleumier, &amp; M. Monasteuio (Eds.), </w:t>
      </w:r>
      <w:r w:rsidRPr="009B0448">
        <w:rPr>
          <w:rFonts w:ascii="Times New Roman" w:hAnsi="Times New Roman" w:cs="Times New Roman"/>
          <w:i/>
          <w:color w:val="auto"/>
        </w:rPr>
        <w:t>High altitude tropical biogeography</w:t>
      </w:r>
      <w:r w:rsidRPr="009B0448">
        <w:rPr>
          <w:rFonts w:ascii="Times New Roman" w:hAnsi="Times New Roman" w:cs="Times New Roman"/>
          <w:color w:val="auto"/>
        </w:rPr>
        <w:t xml:space="preserve"> (pp. 557–585). New York, USA: Oxford University Press. </w:t>
      </w:r>
    </w:p>
    <w:p w14:paraId="5D1335B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Dragesco-Joffé, A. (1993). </w:t>
      </w:r>
      <w:r w:rsidRPr="009B0448">
        <w:rPr>
          <w:rFonts w:ascii="Times New Roman" w:hAnsi="Times New Roman" w:cs="Times New Roman"/>
          <w:i/>
          <w:color w:val="auto"/>
        </w:rPr>
        <w:t>La vie sauvage au Sahara</w:t>
      </w:r>
      <w:r w:rsidRPr="009B0448">
        <w:rPr>
          <w:rFonts w:ascii="Times New Roman" w:hAnsi="Times New Roman" w:cs="Times New Roman"/>
          <w:color w:val="auto"/>
        </w:rPr>
        <w:t xml:space="preserve">. Lausanne, Switzerland: Delachaux and Niestlé. </w:t>
      </w:r>
    </w:p>
    <w:p w14:paraId="450007D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Dwomoh, F. K., &amp; Wimberly, M. C. (2017). Fire regimes and forest resilience: Alternative stable states in the West African tropics. </w:t>
      </w:r>
      <w:r w:rsidRPr="009B0448">
        <w:rPr>
          <w:rFonts w:ascii="Times New Roman" w:hAnsi="Times New Roman" w:cs="Times New Roman"/>
          <w:i/>
          <w:color w:val="auto"/>
        </w:rPr>
        <w:t>Landscape ecology, 32</w:t>
      </w:r>
      <w:r w:rsidRPr="009B0448">
        <w:rPr>
          <w:rFonts w:ascii="Times New Roman" w:hAnsi="Times New Roman" w:cs="Times New Roman"/>
          <w:color w:val="auto"/>
        </w:rPr>
        <w:t xml:space="preserve">(1849). </w:t>
      </w:r>
      <w:hyperlink r:id="rId797" w:history="1">
        <w:r w:rsidRPr="009B0448">
          <w:rPr>
            <w:rStyle w:val="Hyperlink"/>
            <w:rFonts w:ascii="Times New Roman" w:hAnsi="Times New Roman" w:cs="Times New Roman"/>
          </w:rPr>
          <w:t>https://doi.org/10.1007/s10980-017-0553-4</w:t>
        </w:r>
      </w:hyperlink>
    </w:p>
    <w:p w14:paraId="2D3AA27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EAMCEF. (2012). </w:t>
      </w:r>
      <w:r w:rsidRPr="009B0448">
        <w:rPr>
          <w:rFonts w:ascii="Times New Roman" w:hAnsi="Times New Roman" w:cs="Times New Roman"/>
          <w:i/>
          <w:color w:val="auto"/>
        </w:rPr>
        <w:t>Baseline information for the eight nature reserves and Udzungwa Mountains national park in the Eastern Arc Mountains of Tanzania</w:t>
      </w:r>
      <w:r w:rsidRPr="009B0448">
        <w:rPr>
          <w:rFonts w:ascii="Times New Roman" w:hAnsi="Times New Roman" w:cs="Times New Roman"/>
          <w:color w:val="auto"/>
        </w:rPr>
        <w:t xml:space="preserve">. Morogoro, Tanzania: EAMCEF. Retrieved from </w:t>
      </w:r>
      <w:hyperlink r:id="rId798" w:history="1">
        <w:r w:rsidRPr="009B0448">
          <w:rPr>
            <w:rStyle w:val="Hyperlink"/>
            <w:rFonts w:ascii="Times New Roman" w:hAnsi="Times New Roman" w:cs="Times New Roman"/>
          </w:rPr>
          <w:t>www.easternarc.or.tz</w:t>
        </w:r>
      </w:hyperlink>
      <w:r w:rsidRPr="009B0448">
        <w:rPr>
          <w:rFonts w:ascii="Times New Roman" w:hAnsi="Times New Roman" w:cs="Times New Roman"/>
          <w:color w:val="auto"/>
        </w:rPr>
        <w:t xml:space="preserve"> </w:t>
      </w:r>
    </w:p>
    <w:p w14:paraId="3D76BE3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Egoh, B., Reyers, B., Rouget, M., Bode, M., &amp; Richardson, D. M. (2009). Spatial congruence between biodiversity and ecosystem services in South Africa. </w:t>
      </w:r>
      <w:r w:rsidRPr="009B0448">
        <w:rPr>
          <w:rFonts w:ascii="Times New Roman" w:hAnsi="Times New Roman" w:cs="Times New Roman"/>
          <w:i/>
          <w:color w:val="auto"/>
        </w:rPr>
        <w:t>Biological conservation, 142</w:t>
      </w:r>
      <w:r w:rsidRPr="009B0448">
        <w:rPr>
          <w:rFonts w:ascii="Times New Roman" w:hAnsi="Times New Roman" w:cs="Times New Roman"/>
          <w:color w:val="auto"/>
        </w:rPr>
        <w:t xml:space="preserve">, 553–562. </w:t>
      </w:r>
      <w:hyperlink r:id="rId799" w:history="1">
        <w:r w:rsidRPr="009B0448">
          <w:rPr>
            <w:rStyle w:val="Hyperlink"/>
            <w:rFonts w:ascii="Times New Roman" w:hAnsi="Times New Roman" w:cs="Times New Roman"/>
          </w:rPr>
          <w:t>https://doi.org/10.1016/j.biocon.2008.11.009</w:t>
        </w:r>
      </w:hyperlink>
    </w:p>
    <w:p w14:paraId="0F6D074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Egoh, B. N., Reyers, B., Rouget, M., &amp; Richardson, D. M. (2011). Identifying priority areas for ecosystem service management in South African grasslands. </w:t>
      </w:r>
      <w:r w:rsidRPr="009B0448">
        <w:rPr>
          <w:rFonts w:ascii="Times New Roman" w:hAnsi="Times New Roman" w:cs="Times New Roman"/>
          <w:i/>
          <w:color w:val="auto"/>
        </w:rPr>
        <w:t>Journal of Environmental Management, 92</w:t>
      </w:r>
      <w:r w:rsidRPr="009B0448">
        <w:rPr>
          <w:rFonts w:ascii="Times New Roman" w:hAnsi="Times New Roman" w:cs="Times New Roman"/>
          <w:color w:val="auto"/>
        </w:rPr>
        <w:t xml:space="preserve">, 1642–1650. </w:t>
      </w:r>
      <w:hyperlink r:id="rId800" w:history="1">
        <w:r w:rsidRPr="009B0448">
          <w:rPr>
            <w:rStyle w:val="Hyperlink"/>
            <w:rFonts w:ascii="Times New Roman" w:hAnsi="Times New Roman" w:cs="Times New Roman"/>
          </w:rPr>
          <w:t>https://doi.org/10.1016/j.jenvman.2011.01.019</w:t>
        </w:r>
      </w:hyperlink>
    </w:p>
    <w:p w14:paraId="64BDBFF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Egoh, B. N., O'Farrell, P. J., Charef, A., Gurney, L. J., Koellner, T., Abi, H. N., Egoh, M., &amp; Willemen, L. (2012). An African account of ecosystem service provision: use, threats and policy options for sustainable livelihoods. </w:t>
      </w:r>
      <w:r w:rsidRPr="009B0448">
        <w:rPr>
          <w:rFonts w:ascii="Times New Roman" w:hAnsi="Times New Roman" w:cs="Times New Roman"/>
          <w:i/>
          <w:color w:val="auto"/>
        </w:rPr>
        <w:t>Ecosystem services, 2</w:t>
      </w:r>
      <w:r w:rsidRPr="009B0448">
        <w:rPr>
          <w:rFonts w:ascii="Times New Roman" w:hAnsi="Times New Roman" w:cs="Times New Roman"/>
          <w:color w:val="auto"/>
        </w:rPr>
        <w:t xml:space="preserve">, 71–81. </w:t>
      </w:r>
      <w:hyperlink r:id="rId801" w:history="1">
        <w:r w:rsidRPr="009B0448">
          <w:rPr>
            <w:rStyle w:val="Hyperlink"/>
            <w:rFonts w:ascii="Times New Roman" w:hAnsi="Times New Roman" w:cs="Times New Roman"/>
          </w:rPr>
          <w:t>https://doi.org/10.1016/j.ecoser.2012.09.004</w:t>
        </w:r>
      </w:hyperlink>
    </w:p>
    <w:p w14:paraId="5E7AE41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El Oualidi, J., Khamar, H., Fennane, M., Ibn Tattou, M., Chauvet, S., &amp; Taleb, M. S. (2012). </w:t>
      </w:r>
      <w:r w:rsidRPr="009B0448">
        <w:rPr>
          <w:rFonts w:ascii="Times New Roman" w:hAnsi="Times New Roman" w:cs="Times New Roman"/>
          <w:i/>
          <w:color w:val="auto"/>
        </w:rPr>
        <w:t>Checklist des endémiques et spécimens types de la flore vasculaire de l’Afrique du Nord</w:t>
      </w:r>
      <w:r w:rsidRPr="009B0448">
        <w:rPr>
          <w:rFonts w:ascii="Times New Roman" w:hAnsi="Times New Roman" w:cs="Times New Roman"/>
          <w:color w:val="auto"/>
        </w:rPr>
        <w:t>. Rabat, Maroc: Document de l’Institut Scientifique.</w:t>
      </w:r>
    </w:p>
    <w:p w14:paraId="2B8C188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European Commission. (2015). </w:t>
      </w:r>
      <w:r w:rsidRPr="009B0448">
        <w:rPr>
          <w:rFonts w:ascii="Times New Roman" w:hAnsi="Times New Roman" w:cs="Times New Roman"/>
          <w:i/>
          <w:color w:val="auto"/>
        </w:rPr>
        <w:t>Larger than elephants: Inputs for an EU strategic approach to wildlife conservation in Africa-Regional Analyis</w:t>
      </w:r>
      <w:r w:rsidRPr="009B0448">
        <w:rPr>
          <w:rFonts w:ascii="Times New Roman" w:hAnsi="Times New Roman" w:cs="Times New Roman"/>
          <w:color w:val="auto"/>
        </w:rPr>
        <w:t xml:space="preserve">. Retrieved from </w:t>
      </w:r>
      <w:hyperlink r:id="rId802" w:history="1">
        <w:r w:rsidRPr="009B0448">
          <w:rPr>
            <w:rStyle w:val="Hyperlink"/>
            <w:rFonts w:ascii="Times New Roman" w:hAnsi="Times New Roman" w:cs="Times New Roman"/>
          </w:rPr>
          <w:t>https://ec.europa.eu/europeaid/larger-elephants-inputs-eu-strategic-approach-wildlife-conservation-africa-regional-analysis_en</w:t>
        </w:r>
      </w:hyperlink>
    </w:p>
    <w:p w14:paraId="389596E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FAO-ITTO. (2011). </w:t>
      </w:r>
      <w:r w:rsidRPr="009B0448">
        <w:rPr>
          <w:rFonts w:ascii="Times New Roman" w:hAnsi="Times New Roman" w:cs="Times New Roman"/>
          <w:i/>
          <w:color w:val="auto"/>
        </w:rPr>
        <w:t>The state of forests in the Amazon Basin, Congo Basin and Southeast Asia</w:t>
      </w:r>
      <w:r w:rsidRPr="009B0448">
        <w:rPr>
          <w:rFonts w:ascii="Times New Roman" w:hAnsi="Times New Roman" w:cs="Times New Roman"/>
          <w:color w:val="auto"/>
        </w:rPr>
        <w:t xml:space="preserve">. Rome, Italy: FAO. Retrieved from </w:t>
      </w:r>
      <w:hyperlink r:id="rId803" w:history="1">
        <w:r w:rsidRPr="009B0448">
          <w:rPr>
            <w:rStyle w:val="Hyperlink"/>
            <w:rFonts w:ascii="Times New Roman" w:hAnsi="Times New Roman" w:cs="Times New Roman"/>
          </w:rPr>
          <w:t>http://www.fao.org/docrep/014/i2247e/i2247e00.pdf</w:t>
        </w:r>
      </w:hyperlink>
    </w:p>
    <w:p w14:paraId="5DCC28E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(2001a). </w:t>
      </w:r>
      <w:r w:rsidRPr="009B0448">
        <w:rPr>
          <w:rFonts w:ascii="Times New Roman" w:hAnsi="Times New Roman" w:cs="Times New Roman"/>
          <w:i/>
          <w:color w:val="auto"/>
        </w:rPr>
        <w:t>Farming systems and poverty. Improving farmers’ livelihoods in a changing world</w:t>
      </w:r>
      <w:r w:rsidRPr="009B0448">
        <w:rPr>
          <w:rFonts w:ascii="Times New Roman" w:hAnsi="Times New Roman" w:cs="Times New Roman"/>
          <w:color w:val="auto"/>
        </w:rPr>
        <w:t xml:space="preserve">. Rome, Italy: FAO. Retrieved from </w:t>
      </w:r>
      <w:hyperlink r:id="rId804" w:history="1">
        <w:r w:rsidRPr="009B0448">
          <w:rPr>
            <w:rStyle w:val="Hyperlink"/>
            <w:rFonts w:ascii="Times New Roman" w:hAnsi="Times New Roman" w:cs="Times New Roman"/>
          </w:rPr>
          <w:t>http://www.fao.org/3/a-ac349e.pdf</w:t>
        </w:r>
      </w:hyperlink>
    </w:p>
    <w:p w14:paraId="7C49730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(2001b). </w:t>
      </w:r>
      <w:r w:rsidRPr="009B0448">
        <w:rPr>
          <w:rFonts w:ascii="Times New Roman" w:hAnsi="Times New Roman" w:cs="Times New Roman"/>
          <w:i/>
          <w:color w:val="auto"/>
        </w:rPr>
        <w:t>Global forest resources assessment 2000</w:t>
      </w:r>
      <w:r w:rsidRPr="009B0448">
        <w:rPr>
          <w:rFonts w:ascii="Times New Roman" w:hAnsi="Times New Roman" w:cs="Times New Roman"/>
          <w:color w:val="auto"/>
        </w:rPr>
        <w:t xml:space="preserve">. Rome, Italy: FAO. Retrieved from </w:t>
      </w:r>
      <w:hyperlink r:id="rId805" w:history="1">
        <w:r w:rsidRPr="009B0448">
          <w:rPr>
            <w:rStyle w:val="Hyperlink"/>
            <w:rFonts w:ascii="Times New Roman" w:hAnsi="Times New Roman" w:cs="Times New Roman"/>
          </w:rPr>
          <w:t>http://www.fao.org/forestry/fra/86624/en/</w:t>
        </w:r>
      </w:hyperlink>
      <w:r w:rsidRPr="009B0448">
        <w:rPr>
          <w:rFonts w:ascii="Times New Roman" w:hAnsi="Times New Roman" w:cs="Times New Roman"/>
          <w:color w:val="auto"/>
        </w:rPr>
        <w:t xml:space="preserve"> </w:t>
      </w:r>
    </w:p>
    <w:p w14:paraId="28CF3A0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(2003). </w:t>
      </w:r>
      <w:r w:rsidRPr="009B0448">
        <w:rPr>
          <w:rFonts w:ascii="Times New Roman" w:hAnsi="Times New Roman" w:cs="Times New Roman"/>
          <w:i/>
          <w:color w:val="auto"/>
        </w:rPr>
        <w:t>Egypt profile–fishery country profile</w:t>
      </w:r>
      <w:r w:rsidRPr="009B0448">
        <w:rPr>
          <w:rFonts w:ascii="Times New Roman" w:hAnsi="Times New Roman" w:cs="Times New Roman"/>
          <w:color w:val="auto"/>
        </w:rPr>
        <w:t xml:space="preserve">. Rome, Italy: FAO. Retrieved from </w:t>
      </w:r>
      <w:hyperlink r:id="rId806" w:history="1">
        <w:r w:rsidRPr="009B0448">
          <w:rPr>
            <w:rStyle w:val="Hyperlink"/>
            <w:rFonts w:ascii="Times New Roman" w:hAnsi="Times New Roman" w:cs="Times New Roman"/>
          </w:rPr>
          <w:t>http://www.fao.org/fi/fcp/en/EGY/profile.htm</w:t>
        </w:r>
      </w:hyperlink>
    </w:p>
    <w:p w14:paraId="30F1C78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(2005). </w:t>
      </w:r>
      <w:r w:rsidRPr="009B0448">
        <w:rPr>
          <w:rFonts w:ascii="Times New Roman" w:hAnsi="Times New Roman" w:cs="Times New Roman"/>
          <w:i/>
          <w:color w:val="auto"/>
        </w:rPr>
        <w:t>FAOSTAT database. Fisheries data</w:t>
      </w:r>
      <w:r w:rsidRPr="009B0448">
        <w:rPr>
          <w:rFonts w:ascii="Times New Roman" w:hAnsi="Times New Roman" w:cs="Times New Roman"/>
          <w:color w:val="auto"/>
        </w:rPr>
        <w:t xml:space="preserve">. Rome, Italy: FAO. Retrieved from </w:t>
      </w:r>
      <w:hyperlink r:id="rId807" w:history="1">
        <w:r w:rsidRPr="009B0448">
          <w:rPr>
            <w:rStyle w:val="Hyperlink"/>
            <w:rFonts w:ascii="Times New Roman" w:hAnsi="Times New Roman" w:cs="Times New Roman"/>
          </w:rPr>
          <w:t>http://faostat.fao.org/faostat/collections?version=ext&amp;hasbulk=0&amp;subset=fisheries</w:t>
        </w:r>
      </w:hyperlink>
    </w:p>
    <w:p w14:paraId="46806D9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(2007a). </w:t>
      </w:r>
      <w:r w:rsidRPr="009B0448">
        <w:rPr>
          <w:rFonts w:ascii="Times New Roman" w:hAnsi="Times New Roman" w:cs="Times New Roman"/>
          <w:i/>
          <w:color w:val="auto"/>
        </w:rPr>
        <w:t>Subregional report on animal genetic resources: Southern Africa</w:t>
      </w:r>
      <w:r w:rsidRPr="009B0448">
        <w:rPr>
          <w:rFonts w:ascii="Times New Roman" w:hAnsi="Times New Roman" w:cs="Times New Roman"/>
          <w:color w:val="auto"/>
        </w:rPr>
        <w:t xml:space="preserve">. Rome, Italy: FAO. Retrieved from </w:t>
      </w:r>
      <w:hyperlink r:id="rId808" w:history="1">
        <w:r w:rsidRPr="009B0448">
          <w:rPr>
            <w:rStyle w:val="Hyperlink"/>
            <w:rFonts w:ascii="Times New Roman" w:hAnsi="Times New Roman" w:cs="Times New Roman"/>
          </w:rPr>
          <w:t>http://www.fao.org/ag/againfo/programmes/en/genetics/documents/Interlaken/SouthernAfrica.pdf</w:t>
        </w:r>
      </w:hyperlink>
    </w:p>
    <w:p w14:paraId="47F93B1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(2007b). </w:t>
      </w:r>
      <w:r w:rsidRPr="009B0448">
        <w:rPr>
          <w:rFonts w:ascii="Times New Roman" w:hAnsi="Times New Roman" w:cs="Times New Roman"/>
          <w:i/>
          <w:color w:val="auto"/>
        </w:rPr>
        <w:t>Subregional report on animal genetic resources: North and West Africa</w:t>
      </w:r>
      <w:r w:rsidRPr="009B0448">
        <w:rPr>
          <w:rFonts w:ascii="Times New Roman" w:hAnsi="Times New Roman" w:cs="Times New Roman"/>
          <w:color w:val="auto"/>
        </w:rPr>
        <w:t xml:space="preserve">. Rome, Italy: FAO. Retrieved from </w:t>
      </w:r>
      <w:hyperlink r:id="rId809" w:history="1">
        <w:r w:rsidRPr="009B0448">
          <w:rPr>
            <w:rStyle w:val="Hyperlink"/>
            <w:rFonts w:ascii="Times New Roman" w:hAnsi="Times New Roman" w:cs="Times New Roman"/>
          </w:rPr>
          <w:t>http://www.fao.org/ag/againfo/programmes/en/genetics/documents/Interlaken/NorthWestAfrica.pdf</w:t>
        </w:r>
      </w:hyperlink>
    </w:p>
    <w:p w14:paraId="3F5D615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(2007c). </w:t>
      </w:r>
      <w:r w:rsidRPr="009B0448">
        <w:rPr>
          <w:rFonts w:ascii="Times New Roman" w:hAnsi="Times New Roman" w:cs="Times New Roman"/>
          <w:i/>
          <w:color w:val="auto"/>
        </w:rPr>
        <w:t>Subregional report on animal genetic resources: East Africa.</w:t>
      </w:r>
      <w:r w:rsidRPr="009B0448">
        <w:rPr>
          <w:rFonts w:ascii="Times New Roman" w:hAnsi="Times New Roman" w:cs="Times New Roman"/>
          <w:color w:val="auto"/>
        </w:rPr>
        <w:t xml:space="preserve"> Rome, Italy: FAO. Retrieved from </w:t>
      </w:r>
      <w:hyperlink r:id="rId810" w:history="1">
        <w:r w:rsidRPr="009B0448">
          <w:rPr>
            <w:rStyle w:val="Hyperlink"/>
            <w:rFonts w:ascii="Times New Roman" w:hAnsi="Times New Roman" w:cs="Times New Roman"/>
          </w:rPr>
          <w:t>http://www.fao.org/ag/AGAInfo/programmes/en/genetics/documents/Interlaken/East%20Africa.pdf</w:t>
        </w:r>
      </w:hyperlink>
    </w:p>
    <w:p w14:paraId="7C6B001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(2009a). </w:t>
      </w:r>
      <w:r w:rsidRPr="009B0448">
        <w:rPr>
          <w:rFonts w:ascii="Times New Roman" w:hAnsi="Times New Roman" w:cs="Times New Roman"/>
          <w:i/>
          <w:color w:val="auto"/>
        </w:rPr>
        <w:t>Country report on the state of plant genetic resources for food and agriculture</w:t>
      </w:r>
      <w:r w:rsidRPr="009B0448">
        <w:rPr>
          <w:rFonts w:ascii="Times New Roman" w:hAnsi="Times New Roman" w:cs="Times New Roman"/>
          <w:color w:val="auto"/>
        </w:rPr>
        <w:t>. Rome, Italy: FAO. Retrieved from</w:t>
      </w:r>
      <w:r w:rsidRPr="009B0448">
        <w:rPr>
          <w:rFonts w:ascii="Times New Roman" w:hAnsi="Times New Roman" w:cs="Times New Roman"/>
        </w:rPr>
        <w:t xml:space="preserve"> </w:t>
      </w:r>
      <w:hyperlink r:id="rId811" w:history="1">
        <w:r w:rsidRPr="009B0448">
          <w:rPr>
            <w:rStyle w:val="Hyperlink"/>
            <w:rFonts w:ascii="Times New Roman" w:hAnsi="Times New Roman" w:cs="Times New Roman"/>
          </w:rPr>
          <w:t>http://www.fao.org/docrep/013/i1500e/Lebanon.pdf</w:t>
        </w:r>
      </w:hyperlink>
      <w:r w:rsidRPr="009B0448">
        <w:rPr>
          <w:rFonts w:ascii="Times New Roman" w:hAnsi="Times New Roman" w:cs="Times New Roman"/>
          <w:color w:val="auto"/>
        </w:rPr>
        <w:t xml:space="preserve"> </w:t>
      </w:r>
    </w:p>
    <w:p w14:paraId="2FF078B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(2009b). </w:t>
      </w:r>
      <w:r w:rsidRPr="009B0448">
        <w:rPr>
          <w:rFonts w:ascii="Times New Roman" w:hAnsi="Times New Roman" w:cs="Times New Roman"/>
          <w:i/>
          <w:color w:val="auto"/>
        </w:rPr>
        <w:t>The state of world fisheries and aquaculture 200</w:t>
      </w:r>
      <w:r w:rsidRPr="009B0448">
        <w:rPr>
          <w:rFonts w:ascii="Times New Roman" w:hAnsi="Times New Roman" w:cs="Times New Roman"/>
          <w:color w:val="auto"/>
        </w:rPr>
        <w:t xml:space="preserve">8. Rome, Italy: FAO. Retrieved from </w:t>
      </w:r>
      <w:hyperlink r:id="rId812" w:history="1">
        <w:r w:rsidRPr="009B0448">
          <w:rPr>
            <w:rStyle w:val="Hyperlink"/>
            <w:rFonts w:ascii="Times New Roman" w:hAnsi="Times New Roman" w:cs="Times New Roman"/>
          </w:rPr>
          <w:t>http://www.fao.org/3/a-i0250e.pdf</w:t>
        </w:r>
      </w:hyperlink>
    </w:p>
    <w:p w14:paraId="3754854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(2011). </w:t>
      </w:r>
      <w:r w:rsidRPr="009B0448">
        <w:rPr>
          <w:rFonts w:ascii="Times New Roman" w:hAnsi="Times New Roman" w:cs="Times New Roman"/>
          <w:i/>
          <w:color w:val="auto"/>
        </w:rPr>
        <w:t>Abiotic disturbances and their influence on forest health.</w:t>
      </w:r>
      <w:r w:rsidRPr="009B0448">
        <w:rPr>
          <w:rFonts w:ascii="Times New Roman" w:hAnsi="Times New Roman" w:cs="Times New Roman"/>
          <w:color w:val="auto"/>
        </w:rPr>
        <w:t xml:space="preserve"> In B. Moore, &amp; G. Allard (Eds.), </w:t>
      </w:r>
      <w:r w:rsidRPr="009B0448">
        <w:rPr>
          <w:rFonts w:ascii="Times New Roman" w:hAnsi="Times New Roman" w:cs="Times New Roman"/>
          <w:i/>
          <w:color w:val="auto"/>
        </w:rPr>
        <w:t>Forest Health and Biosecurity</w:t>
      </w:r>
      <w:r w:rsidRPr="009B0448">
        <w:rPr>
          <w:rFonts w:ascii="Times New Roman" w:hAnsi="Times New Roman" w:cs="Times New Roman"/>
          <w:color w:val="auto"/>
        </w:rPr>
        <w:t>. Rome, Italy: FAO. Retrieved from</w:t>
      </w:r>
      <w:r w:rsidRPr="009B0448">
        <w:rPr>
          <w:rFonts w:ascii="Times New Roman" w:hAnsi="Times New Roman" w:cs="Times New Roman"/>
        </w:rPr>
        <w:t xml:space="preserve"> </w:t>
      </w:r>
      <w:hyperlink r:id="rId813" w:history="1">
        <w:r w:rsidRPr="009B0448">
          <w:rPr>
            <w:rStyle w:val="Hyperlink"/>
            <w:rFonts w:ascii="Times New Roman" w:hAnsi="Times New Roman" w:cs="Times New Roman"/>
          </w:rPr>
          <w:t>http://www.fao.org/docrep/014/am664e/am664e00.pdf</w:t>
        </w:r>
      </w:hyperlink>
      <w:r w:rsidRPr="009B0448">
        <w:rPr>
          <w:rFonts w:ascii="Times New Roman" w:hAnsi="Times New Roman" w:cs="Times New Roman"/>
          <w:color w:val="auto"/>
        </w:rPr>
        <w:t xml:space="preserve"> </w:t>
      </w:r>
    </w:p>
    <w:p w14:paraId="4089215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(2015a). </w:t>
      </w:r>
      <w:r w:rsidRPr="009B0448">
        <w:rPr>
          <w:rFonts w:ascii="Times New Roman" w:hAnsi="Times New Roman" w:cs="Times New Roman"/>
          <w:i/>
          <w:color w:val="auto"/>
        </w:rPr>
        <w:t>Global forest resources assessment 2015: How are the world’s forests changing?</w:t>
      </w:r>
      <w:r w:rsidRPr="009B0448">
        <w:rPr>
          <w:rFonts w:ascii="Times New Roman" w:hAnsi="Times New Roman" w:cs="Times New Roman"/>
          <w:color w:val="auto"/>
        </w:rPr>
        <w:t xml:space="preserve"> Rome, Italy: FAO. Retrieved from </w:t>
      </w:r>
      <w:hyperlink r:id="rId814" w:history="1">
        <w:r w:rsidRPr="009B0448">
          <w:rPr>
            <w:rStyle w:val="Hyperlink"/>
            <w:rFonts w:ascii="Times New Roman" w:hAnsi="Times New Roman" w:cs="Times New Roman"/>
          </w:rPr>
          <w:t>http://www.fao.org/3/a-i4808e.pdf</w:t>
        </w:r>
      </w:hyperlink>
    </w:p>
    <w:p w14:paraId="67D039A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(2015b). </w:t>
      </w:r>
      <w:r w:rsidRPr="009B0448">
        <w:rPr>
          <w:rFonts w:ascii="Times New Roman" w:hAnsi="Times New Roman" w:cs="Times New Roman"/>
          <w:i/>
          <w:color w:val="auto"/>
        </w:rPr>
        <w:t>Global guidelines for the restoration of degraded forests and landscapes in drylands: Building resilience and benefiting livelihoods.</w:t>
      </w:r>
      <w:r w:rsidRPr="009B0448">
        <w:rPr>
          <w:rFonts w:ascii="Times New Roman" w:hAnsi="Times New Roman" w:cs="Times New Roman"/>
          <w:color w:val="auto"/>
        </w:rPr>
        <w:t xml:space="preserve"> Rome, Italy: FAO. Retrieved from </w:t>
      </w:r>
      <w:hyperlink r:id="rId815" w:history="1">
        <w:r w:rsidRPr="009B0448">
          <w:rPr>
            <w:rStyle w:val="Hyperlink"/>
            <w:rFonts w:ascii="Times New Roman" w:hAnsi="Times New Roman" w:cs="Times New Roman"/>
          </w:rPr>
          <w:t>http://www.fao.org/3/a-i5555e.pdf</w:t>
        </w:r>
      </w:hyperlink>
    </w:p>
    <w:p w14:paraId="3A40A6F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(2016). </w:t>
      </w:r>
      <w:r w:rsidRPr="009B0448">
        <w:rPr>
          <w:rFonts w:ascii="Times New Roman" w:hAnsi="Times New Roman" w:cs="Times New Roman"/>
          <w:i/>
          <w:color w:val="auto"/>
        </w:rPr>
        <w:t>The state of world fisheries and aquaculture 2016. Contributing to food security and nutrition for all</w:t>
      </w:r>
      <w:r w:rsidRPr="009B0448">
        <w:rPr>
          <w:rFonts w:ascii="Times New Roman" w:hAnsi="Times New Roman" w:cs="Times New Roman"/>
          <w:color w:val="auto"/>
        </w:rPr>
        <w:t>. Rome, Italy: FAO.</w:t>
      </w:r>
      <w:r w:rsidRPr="009B0448">
        <w:rPr>
          <w:rFonts w:ascii="Times New Roman" w:hAnsi="Times New Roman" w:cs="Times New Roman"/>
        </w:rPr>
        <w:t xml:space="preserve"> </w:t>
      </w:r>
      <w:r w:rsidRPr="009B0448">
        <w:rPr>
          <w:rFonts w:ascii="Times New Roman" w:hAnsi="Times New Roman" w:cs="Times New Roman"/>
          <w:color w:val="auto"/>
        </w:rPr>
        <w:t xml:space="preserve">Retrieved from </w:t>
      </w:r>
      <w:hyperlink r:id="rId816" w:history="1">
        <w:r w:rsidRPr="009B0448">
          <w:rPr>
            <w:rStyle w:val="Hyperlink"/>
            <w:rFonts w:ascii="Times New Roman" w:hAnsi="Times New Roman" w:cs="Times New Roman"/>
          </w:rPr>
          <w:t>http://www.fao.org/3/a-i5555e.pdf</w:t>
        </w:r>
      </w:hyperlink>
      <w:r w:rsidRPr="009B0448">
        <w:rPr>
          <w:rFonts w:ascii="Times New Roman" w:hAnsi="Times New Roman" w:cs="Times New Roman"/>
          <w:color w:val="auto"/>
        </w:rPr>
        <w:t xml:space="preserve"> </w:t>
      </w:r>
    </w:p>
    <w:p w14:paraId="5D522FC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Fjeldså, J., Kiure, J., Doggart, N., Hansen, L.A., &amp; Perkin, A. (2010). Distribution of highland forest birds across a potential dispersal barrier in the Eastern Arc Mountains of Tanzania. </w:t>
      </w:r>
      <w:r w:rsidRPr="009B0448">
        <w:rPr>
          <w:rFonts w:ascii="Times New Roman" w:hAnsi="Times New Roman" w:cs="Times New Roman"/>
          <w:i/>
          <w:color w:val="auto"/>
        </w:rPr>
        <w:t>Steenstrupia, 32</w:t>
      </w:r>
      <w:r w:rsidRPr="009B0448">
        <w:rPr>
          <w:rFonts w:ascii="Times New Roman" w:hAnsi="Times New Roman" w:cs="Times New Roman"/>
          <w:color w:val="auto"/>
        </w:rPr>
        <w:t xml:space="preserve">(1), 1–43. </w:t>
      </w:r>
    </w:p>
    <w:p w14:paraId="34FF4A7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Flower, R. J. (2001). Change, stress, sustainability and aquatic ecosystem resilience in North African wetland lakes during the 20th century: An introduction to integrated biodiversity studies within the CASSARINA Project. </w:t>
      </w:r>
      <w:r w:rsidRPr="009B0448">
        <w:rPr>
          <w:rFonts w:ascii="Times New Roman" w:hAnsi="Times New Roman" w:cs="Times New Roman"/>
          <w:i/>
          <w:color w:val="auto"/>
        </w:rPr>
        <w:t>Aquatic Ecology, 35</w:t>
      </w:r>
      <w:r w:rsidRPr="009B0448">
        <w:rPr>
          <w:rFonts w:ascii="Times New Roman" w:hAnsi="Times New Roman" w:cs="Times New Roman"/>
          <w:color w:val="auto"/>
        </w:rPr>
        <w:t xml:space="preserve">, 261–280. </w:t>
      </w:r>
      <w:hyperlink r:id="rId817" w:history="1">
        <w:r w:rsidRPr="009B0448">
          <w:rPr>
            <w:rStyle w:val="Hyperlink"/>
            <w:rFonts w:ascii="Times New Roman" w:hAnsi="Times New Roman" w:cs="Times New Roman"/>
            <w:color w:val="0070C0"/>
          </w:rPr>
          <w:t>http://doi.org/10.1023/A:101197842073</w:t>
        </w:r>
      </w:hyperlink>
    </w:p>
    <w:p w14:paraId="40D8B66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Flynn, D. F. B., Gogol-Prokurat, M., Nogeire, T., Molinari, N., Richers, B. T., Lin, B. B., Simpson, N., Mayfield, M. M., &amp; DeClerck, F. (2009). Loss of functional diversity under land use intensification across multiple taxa. </w:t>
      </w:r>
      <w:r w:rsidRPr="009B0448">
        <w:rPr>
          <w:rFonts w:ascii="Times New Roman" w:hAnsi="Times New Roman" w:cs="Times New Roman"/>
          <w:i/>
          <w:color w:val="auto"/>
        </w:rPr>
        <w:t>Ecology Letters, 12</w:t>
      </w:r>
      <w:r w:rsidRPr="009B0448">
        <w:rPr>
          <w:rFonts w:ascii="Times New Roman" w:hAnsi="Times New Roman" w:cs="Times New Roman"/>
          <w:color w:val="auto"/>
        </w:rPr>
        <w:t xml:space="preserve">, 22–33. </w:t>
      </w:r>
      <w:hyperlink r:id="rId818" w:history="1">
        <w:r w:rsidRPr="009B0448">
          <w:rPr>
            <w:rStyle w:val="Hyperlink"/>
            <w:rFonts w:ascii="Times New Roman" w:hAnsi="Times New Roman" w:cs="Times New Roman"/>
          </w:rPr>
          <w:t>https://doi.org/10.1111/j.1461-0248.2008.01255.x</w:t>
        </w:r>
      </w:hyperlink>
      <w:r w:rsidRPr="009B0448">
        <w:rPr>
          <w:rFonts w:ascii="Times New Roman" w:hAnsi="Times New Roman" w:cs="Times New Roman"/>
          <w:color w:val="auto"/>
        </w:rPr>
        <w:t xml:space="preserve"> </w:t>
      </w:r>
    </w:p>
    <w:p w14:paraId="54D9B0C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Friis, I. (1992). </w:t>
      </w:r>
      <w:r w:rsidRPr="009B0448">
        <w:rPr>
          <w:rFonts w:ascii="Times New Roman" w:hAnsi="Times New Roman" w:cs="Times New Roman"/>
          <w:i/>
          <w:color w:val="auto"/>
        </w:rPr>
        <w:t>Forests and forest trees of northeast tropical Africa: Their natural habitats and distribution patterns in Ethiopia, Djibouti and Somalia</w:t>
      </w:r>
      <w:r w:rsidRPr="009B0448">
        <w:rPr>
          <w:rFonts w:ascii="Times New Roman" w:hAnsi="Times New Roman" w:cs="Times New Roman"/>
          <w:color w:val="auto"/>
        </w:rPr>
        <w:t>. London, UK:</w:t>
      </w:r>
      <w:r w:rsidRPr="009B0448">
        <w:rPr>
          <w:rFonts w:ascii="Times New Roman" w:hAnsi="Times New Roman" w:cs="Times New Roman"/>
        </w:rPr>
        <w:t xml:space="preserve"> </w:t>
      </w:r>
      <w:r w:rsidRPr="009B0448">
        <w:rPr>
          <w:rFonts w:ascii="Times New Roman" w:hAnsi="Times New Roman" w:cs="Times New Roman"/>
          <w:color w:val="auto"/>
        </w:rPr>
        <w:t xml:space="preserve">Royal Botanic Gardens, Kew. Retrieved from </w:t>
      </w:r>
      <w:hyperlink r:id="rId819" w:history="1">
        <w:r w:rsidRPr="009B0448">
          <w:rPr>
            <w:rStyle w:val="Hyperlink"/>
            <w:rFonts w:ascii="Times New Roman" w:hAnsi="Times New Roman" w:cs="Times New Roman"/>
          </w:rPr>
          <w:t>http://agris.fao.org/agris-search/search.do?recordID=XF2015038080</w:t>
        </w:r>
      </w:hyperlink>
      <w:r w:rsidRPr="009B0448">
        <w:rPr>
          <w:rFonts w:ascii="Times New Roman" w:hAnsi="Times New Roman" w:cs="Times New Roman"/>
          <w:color w:val="auto"/>
        </w:rPr>
        <w:t xml:space="preserve"> </w:t>
      </w:r>
    </w:p>
    <w:p w14:paraId="3E60BB8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Friis, I., &amp; Demissew, S. (2001). Vegetation maps of Ethiopia and Eritrea. A review of existing maps and the need for a new mapfor the Flora of Ethiopia and Eritrea. </w:t>
      </w:r>
      <w:r w:rsidRPr="009B0448">
        <w:rPr>
          <w:rFonts w:ascii="Times New Roman" w:hAnsi="Times New Roman" w:cs="Times New Roman"/>
          <w:i/>
          <w:color w:val="auto"/>
        </w:rPr>
        <w:t>Biologiske Skrifter (Biological Series), 54</w:t>
      </w:r>
      <w:r w:rsidRPr="009B0448">
        <w:rPr>
          <w:rFonts w:ascii="Times New Roman" w:hAnsi="Times New Roman" w:cs="Times New Roman"/>
          <w:color w:val="auto"/>
        </w:rPr>
        <w:t xml:space="preserve">, 399–439. </w:t>
      </w:r>
    </w:p>
    <w:p w14:paraId="200825EF"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Frost, P., &amp; Campbell, B. M. (1996). The ecology of Miombo woodlands. In B. M. Campbell (Ed.), </w:t>
      </w:r>
      <w:r w:rsidRPr="009B0448">
        <w:rPr>
          <w:rFonts w:ascii="Times New Roman" w:hAnsi="Times New Roman" w:cs="Times New Roman"/>
          <w:i/>
        </w:rPr>
        <w:t>The Miombo in transition: Woodlands and welfare in Africa</w:t>
      </w:r>
      <w:r w:rsidRPr="009B0448">
        <w:rPr>
          <w:rFonts w:ascii="Times New Roman" w:hAnsi="Times New Roman" w:cs="Times New Roman"/>
        </w:rPr>
        <w:t xml:space="preserve"> (pp. 11</w:t>
      </w:r>
      <w:r w:rsidRPr="009B0448">
        <w:rPr>
          <w:rFonts w:ascii="Times New Roman" w:hAnsi="Times New Roman" w:cs="Times New Roman"/>
          <w:color w:val="auto"/>
        </w:rPr>
        <w:t xml:space="preserve">–55). Bogor, Indonesia: CIFOR. Retrieved from </w:t>
      </w:r>
      <w:hyperlink r:id="rId820" w:history="1">
        <w:r w:rsidRPr="009B0448">
          <w:rPr>
            <w:rStyle w:val="Hyperlink"/>
            <w:rFonts w:ascii="Times New Roman" w:hAnsi="Times New Roman" w:cs="Times New Roman"/>
          </w:rPr>
          <w:t>http://www.cifor.org/publications/pdf_files/Books/Miombo.pdf</w:t>
        </w:r>
      </w:hyperlink>
    </w:p>
    <w:p w14:paraId="73A3F22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Fuchs, J., Fjeldså, J., Bowie, R. C. K. (2011). Diversification across an altitudinal gradient in the tiny greenbul (</w:t>
      </w:r>
      <w:r w:rsidRPr="009B0448">
        <w:rPr>
          <w:rFonts w:ascii="Times New Roman" w:hAnsi="Times New Roman" w:cs="Times New Roman"/>
          <w:i/>
          <w:color w:val="auto"/>
        </w:rPr>
        <w:t>Phyllastrephus debilis</w:t>
      </w:r>
      <w:r w:rsidRPr="009B0448">
        <w:rPr>
          <w:rFonts w:ascii="Times New Roman" w:hAnsi="Times New Roman" w:cs="Times New Roman"/>
          <w:color w:val="auto"/>
        </w:rPr>
        <w:t xml:space="preserve">) from the Eastern Arc Mountains of Africa. </w:t>
      </w:r>
      <w:r w:rsidRPr="009B0448">
        <w:rPr>
          <w:rFonts w:ascii="Times New Roman" w:hAnsi="Times New Roman" w:cs="Times New Roman"/>
          <w:i/>
          <w:color w:val="auto"/>
        </w:rPr>
        <w:t>BMC Evolutionary Biology, 11</w:t>
      </w:r>
      <w:r w:rsidRPr="009B0448">
        <w:rPr>
          <w:rFonts w:ascii="Times New Roman" w:hAnsi="Times New Roman" w:cs="Times New Roman"/>
          <w:color w:val="auto"/>
        </w:rPr>
        <w:t xml:space="preserve">(117). </w:t>
      </w:r>
      <w:hyperlink r:id="rId821" w:history="1">
        <w:r w:rsidRPr="009B0448">
          <w:rPr>
            <w:rStyle w:val="Hyperlink"/>
            <w:rFonts w:ascii="Times New Roman" w:hAnsi="Times New Roman" w:cs="Times New Roman"/>
            <w:color w:val="0070C0"/>
          </w:rPr>
          <w:t>https://doi.org/10.1186/1471-2148-11-117</w:t>
        </w:r>
      </w:hyperlink>
    </w:p>
    <w:p w14:paraId="738DA21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Gabche, C. E. (2003). National report: Marine biodiversity in Cameroon–the known and the unknown. In C. Decker, C. Griffiths, K. Prochazka, C. Ras, &amp; A. Whitfield (Eds.), </w:t>
      </w:r>
      <w:r w:rsidRPr="009B0448">
        <w:rPr>
          <w:rFonts w:ascii="Times New Roman" w:hAnsi="Times New Roman" w:cs="Times New Roman"/>
          <w:i/>
          <w:color w:val="auto"/>
        </w:rPr>
        <w:t>Marine biodiversity in sub-Saharan Africa: The known and the unknown</w:t>
      </w:r>
      <w:r w:rsidRPr="009B0448">
        <w:rPr>
          <w:rFonts w:ascii="Times New Roman" w:hAnsi="Times New Roman" w:cs="Times New Roman"/>
          <w:color w:val="auto"/>
        </w:rPr>
        <w:t xml:space="preserve"> (pp. 64–74). Cape Town, South Africa. Proceedings of the Marine Biodiversity in Africa. Retrieved from </w:t>
      </w:r>
      <w:hyperlink r:id="rId822" w:history="1">
        <w:r w:rsidRPr="009B0448">
          <w:rPr>
            <w:rStyle w:val="Hyperlink"/>
            <w:rFonts w:ascii="Times New Roman" w:hAnsi="Times New Roman" w:cs="Times New Roman"/>
          </w:rPr>
          <w:t>https://www.oceandocs.org/bitstream/handle/1834/862/MB284310.pdf?sequence=1</w:t>
        </w:r>
      </w:hyperlink>
    </w:p>
    <w:p w14:paraId="1B8F9FE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Gaertner, M., Brendon, M. H., Larson, U. M., Irlich, P. M., Holmes, L. S., Brian W., &amp; van Wilgen, D. M. (2016). Managing invasive species in cities: A framework from Cape Town, South Africa. </w:t>
      </w:r>
      <w:r w:rsidRPr="009B0448">
        <w:rPr>
          <w:rFonts w:ascii="Times New Roman" w:hAnsi="Times New Roman" w:cs="Times New Roman"/>
          <w:i/>
          <w:color w:val="auto"/>
        </w:rPr>
        <w:t>Landscape and Urban Planning</w:t>
      </w:r>
      <w:r w:rsidRPr="009B0448">
        <w:rPr>
          <w:rFonts w:ascii="Times New Roman" w:hAnsi="Times New Roman" w:cs="Times New Roman"/>
          <w:color w:val="auto"/>
        </w:rPr>
        <w:t xml:space="preserve">, </w:t>
      </w:r>
      <w:r w:rsidRPr="009B0448">
        <w:rPr>
          <w:rFonts w:ascii="Times New Roman" w:hAnsi="Times New Roman" w:cs="Times New Roman"/>
          <w:i/>
          <w:color w:val="auto"/>
        </w:rPr>
        <w:t>151</w:t>
      </w:r>
      <w:r w:rsidRPr="009B0448">
        <w:rPr>
          <w:rFonts w:ascii="Times New Roman" w:hAnsi="Times New Roman" w:cs="Times New Roman"/>
          <w:color w:val="auto"/>
        </w:rPr>
        <w:t xml:space="preserve">, 1–9. </w:t>
      </w:r>
      <w:hyperlink r:id="rId823" w:history="1">
        <w:r w:rsidRPr="009B0448">
          <w:rPr>
            <w:rStyle w:val="Hyperlink"/>
            <w:rFonts w:ascii="Times New Roman" w:hAnsi="Times New Roman" w:cs="Times New Roman"/>
          </w:rPr>
          <w:t>https://doi.org/10.1016/j.landurbplan.2016.03.010</w:t>
        </w:r>
      </w:hyperlink>
    </w:p>
    <w:p w14:paraId="6FF705A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Gabrié, C., Lagabrielle, E., Bissery, C., Crochelet, E., Meola, B., Webster, C., Claudet, J., Chassanite, A., Marinesque, S., Robert, P., Goutx, M., &amp; Quod, C. (2012). </w:t>
      </w:r>
      <w:r w:rsidRPr="009B0448">
        <w:rPr>
          <w:rFonts w:ascii="Times New Roman" w:hAnsi="Times New Roman" w:cs="Times New Roman"/>
          <w:i/>
          <w:color w:val="auto"/>
        </w:rPr>
        <w:t>The status of marine protected areas in the Mediterranean Sea</w:t>
      </w:r>
      <w:r w:rsidRPr="009B0448">
        <w:rPr>
          <w:rFonts w:ascii="Times New Roman" w:hAnsi="Times New Roman" w:cs="Times New Roman"/>
          <w:color w:val="auto"/>
        </w:rPr>
        <w:t xml:space="preserve">. Marseille, France: Regional Activity Centre for Specially Protected Areas. Retrieved from </w:t>
      </w:r>
      <w:hyperlink r:id="rId824" w:history="1">
        <w:r w:rsidRPr="009B0448">
          <w:rPr>
            <w:rStyle w:val="Hyperlink"/>
            <w:rFonts w:ascii="Times New Roman" w:hAnsi="Times New Roman" w:cs="Times New Roman"/>
          </w:rPr>
          <w:t>http://www.rac-spa.org/sites/default/files/doc_medmpanet/final_docs_regional/5_status_of_marine_protected_areas_in_the_mediterranean_2012.pdf</w:t>
        </w:r>
      </w:hyperlink>
      <w:r w:rsidRPr="009B0448">
        <w:rPr>
          <w:rFonts w:ascii="Times New Roman" w:hAnsi="Times New Roman" w:cs="Times New Roman"/>
          <w:color w:val="auto"/>
        </w:rPr>
        <w:t xml:space="preserve"> </w:t>
      </w:r>
    </w:p>
    <w:p w14:paraId="72A117E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García, N., Cuttelod, A., &amp; Abdul Malak, D. (2010). </w:t>
      </w:r>
      <w:r w:rsidRPr="009B0448">
        <w:rPr>
          <w:rFonts w:ascii="Times New Roman" w:hAnsi="Times New Roman" w:cs="Times New Roman"/>
          <w:i/>
          <w:color w:val="auto"/>
        </w:rPr>
        <w:t>The status and distribution of freshwater biodiversity in northern Africa</w:t>
      </w:r>
      <w:r w:rsidRPr="009B0448">
        <w:rPr>
          <w:rFonts w:ascii="Times New Roman" w:hAnsi="Times New Roman" w:cs="Times New Roman"/>
          <w:color w:val="auto"/>
        </w:rPr>
        <w:t>. Gland, Switzerland: IUCN. Retrieved from</w:t>
      </w:r>
      <w:r w:rsidRPr="009B0448">
        <w:rPr>
          <w:rFonts w:ascii="Times New Roman" w:hAnsi="Times New Roman" w:cs="Times New Roman"/>
        </w:rPr>
        <w:t xml:space="preserve"> </w:t>
      </w:r>
      <w:hyperlink r:id="rId825" w:history="1">
        <w:r w:rsidRPr="009B0448">
          <w:rPr>
            <w:rStyle w:val="Hyperlink"/>
            <w:rFonts w:ascii="Times New Roman" w:hAnsi="Times New Roman" w:cs="Times New Roman"/>
          </w:rPr>
          <w:t>https://portals.iucn.org/library/sites/library/files/documents/2010-039.pdf</w:t>
        </w:r>
      </w:hyperlink>
      <w:r w:rsidRPr="009B0448">
        <w:rPr>
          <w:rFonts w:ascii="Times New Roman" w:hAnsi="Times New Roman" w:cs="Times New Roman"/>
        </w:rPr>
        <w:t xml:space="preserve">  </w:t>
      </w:r>
    </w:p>
    <w:p w14:paraId="29200943" w14:textId="0293DC62"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Gatter, W. (1997). </w:t>
      </w:r>
      <w:r w:rsidRPr="009B0448">
        <w:rPr>
          <w:rFonts w:ascii="Times New Roman" w:hAnsi="Times New Roman" w:cs="Times New Roman"/>
          <w:i/>
          <w:color w:val="auto"/>
        </w:rPr>
        <w:t>Birds of Liberia</w:t>
      </w:r>
      <w:r w:rsidRPr="009B0448">
        <w:rPr>
          <w:rFonts w:ascii="Times New Roman" w:hAnsi="Times New Roman" w:cs="Times New Roman"/>
          <w:color w:val="auto"/>
        </w:rPr>
        <w:t>. N</w:t>
      </w:r>
      <w:r w:rsidR="00D925AD">
        <w:rPr>
          <w:rFonts w:ascii="Times New Roman" w:hAnsi="Times New Roman" w:cs="Times New Roman"/>
          <w:color w:val="auto"/>
        </w:rPr>
        <w:t>ew Haven, CT, U</w:t>
      </w:r>
      <w:r w:rsidRPr="009B0448">
        <w:rPr>
          <w:rFonts w:ascii="Times New Roman" w:hAnsi="Times New Roman" w:cs="Times New Roman"/>
          <w:color w:val="auto"/>
        </w:rPr>
        <w:t xml:space="preserve">SA: Yale University Press. </w:t>
      </w:r>
    </w:p>
    <w:p w14:paraId="4D10164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Gautier, L., &amp; Goodman, S. M. (2003). Introduction to the flora of Madagascar. In S. M. Goodman, &amp; J. P. Benstead (Eds.), </w:t>
      </w:r>
      <w:r w:rsidRPr="009B0448">
        <w:rPr>
          <w:rFonts w:ascii="Times New Roman" w:hAnsi="Times New Roman" w:cs="Times New Roman"/>
          <w:i/>
          <w:color w:val="auto"/>
        </w:rPr>
        <w:t>The natural history of Madagascar</w:t>
      </w:r>
      <w:r w:rsidRPr="009B0448">
        <w:rPr>
          <w:rFonts w:ascii="Times New Roman" w:hAnsi="Times New Roman" w:cs="Times New Roman"/>
          <w:color w:val="auto"/>
        </w:rPr>
        <w:t xml:space="preserve"> (pp. 229–250). Chicago, USA: The University of Chicago Press. </w:t>
      </w:r>
    </w:p>
    <w:p w14:paraId="7D343BF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Gerber, J-F., &amp; Veuthey, S. (2007). Ecological conflicts in Southern Cameroon from a classical institutionalist perspective. In T. Kluvankova-Oravska, V. Chobotova, J. Jilkova, P. Sauer (Eds.), </w:t>
      </w:r>
      <w:r w:rsidRPr="009B0448">
        <w:rPr>
          <w:rFonts w:ascii="Times New Roman" w:hAnsi="Times New Roman" w:cs="Times New Roman"/>
          <w:i/>
          <w:color w:val="auto"/>
        </w:rPr>
        <w:t>Institutional analysis of sustainability problems</w:t>
      </w:r>
      <w:r w:rsidRPr="009B0448">
        <w:rPr>
          <w:rFonts w:ascii="Times New Roman" w:hAnsi="Times New Roman" w:cs="Times New Roman"/>
          <w:color w:val="auto"/>
        </w:rPr>
        <w:t>. Slovakia: Slovak Academy of Sciences.</w:t>
      </w:r>
    </w:p>
    <w:p w14:paraId="57ED9B8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Gereau, R. E., Cumberlidge, N., Hemp, C., Hochkirch, A., Jones, T., Kariuki, M., Lange, C. N., Loader, S. P., Malonza, P. K., Menegon, M., Ndang'ang'a, F. R., &amp; Shirk, P. P. K. (2016). Globally threatened biodiversity of the Eastern Arc mountains and coastal forests of Kenya and Tanzania. </w:t>
      </w:r>
      <w:r w:rsidRPr="009B0448">
        <w:rPr>
          <w:rFonts w:ascii="Times New Roman" w:hAnsi="Times New Roman" w:cs="Times New Roman"/>
          <w:i/>
          <w:color w:val="auto"/>
        </w:rPr>
        <w:t>Journal of East African Natural History</w:t>
      </w:r>
      <w:r w:rsidRPr="009B0448">
        <w:rPr>
          <w:rFonts w:ascii="Times New Roman" w:hAnsi="Times New Roman" w:cs="Times New Roman"/>
          <w:color w:val="auto"/>
        </w:rPr>
        <w:t xml:space="preserve">, </w:t>
      </w:r>
      <w:r w:rsidRPr="009B0448">
        <w:rPr>
          <w:rFonts w:ascii="Times New Roman" w:hAnsi="Times New Roman" w:cs="Times New Roman"/>
          <w:i/>
          <w:color w:val="auto"/>
        </w:rPr>
        <w:t>105</w:t>
      </w:r>
      <w:r w:rsidRPr="009B0448">
        <w:rPr>
          <w:rFonts w:ascii="Times New Roman" w:hAnsi="Times New Roman" w:cs="Times New Roman"/>
          <w:color w:val="auto"/>
        </w:rPr>
        <w:t xml:space="preserve">(1), 115–201. </w:t>
      </w:r>
      <w:hyperlink r:id="rId826" w:history="1">
        <w:r w:rsidRPr="009B0448">
          <w:rPr>
            <w:rStyle w:val="Hyperlink"/>
            <w:rFonts w:ascii="Times New Roman" w:hAnsi="Times New Roman" w:cs="Times New Roman"/>
          </w:rPr>
          <w:t>https://doi.org/10.2982/028.105.0104</w:t>
        </w:r>
      </w:hyperlink>
    </w:p>
    <w:p w14:paraId="5175067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Gill, J. L. (2015). Learning from Africa's herbivores. </w:t>
      </w:r>
      <w:r w:rsidRPr="009B0448">
        <w:rPr>
          <w:rFonts w:ascii="Times New Roman" w:hAnsi="Times New Roman" w:cs="Times New Roman"/>
          <w:i/>
          <w:color w:val="auto"/>
        </w:rPr>
        <w:t>Science</w:t>
      </w:r>
      <w:r w:rsidRPr="009B0448">
        <w:rPr>
          <w:rFonts w:ascii="Times New Roman" w:hAnsi="Times New Roman" w:cs="Times New Roman"/>
          <w:color w:val="auto"/>
        </w:rPr>
        <w:t xml:space="preserve"> 350, 6264, 1036–1037. </w:t>
      </w:r>
      <w:hyperlink r:id="rId827" w:history="1">
        <w:r w:rsidRPr="009B0448">
          <w:rPr>
            <w:rStyle w:val="Hyperlink"/>
            <w:rFonts w:ascii="Times New Roman" w:hAnsi="Times New Roman" w:cs="Times New Roman"/>
          </w:rPr>
          <w:t>https://doi.org/10.1126/science.aad6760</w:t>
        </w:r>
      </w:hyperlink>
      <w:r w:rsidRPr="009B0448">
        <w:rPr>
          <w:rFonts w:ascii="Times New Roman" w:hAnsi="Times New Roman" w:cs="Times New Roman"/>
          <w:color w:val="auto"/>
        </w:rPr>
        <w:t xml:space="preserve"> </w:t>
      </w:r>
    </w:p>
    <w:p w14:paraId="11864E2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Gippoliti, S., &amp; Hunter, C. (2008). </w:t>
      </w:r>
      <w:r w:rsidRPr="009B0448">
        <w:rPr>
          <w:rFonts w:ascii="Times New Roman" w:hAnsi="Times New Roman" w:cs="Times New Roman"/>
          <w:i/>
          <w:color w:val="auto"/>
        </w:rPr>
        <w:t>Theropithecus gelada</w:t>
      </w:r>
      <w:r w:rsidRPr="009B0448">
        <w:rPr>
          <w:rFonts w:ascii="Times New Roman" w:hAnsi="Times New Roman" w:cs="Times New Roman"/>
          <w:color w:val="auto"/>
        </w:rPr>
        <w:t xml:space="preserve">. Gland, Switzerland: IUCN. </w:t>
      </w:r>
      <w:hyperlink r:id="rId828" w:history="1">
        <w:r w:rsidRPr="009B0448">
          <w:rPr>
            <w:rStyle w:val="Hyperlink"/>
            <w:rFonts w:ascii="Times New Roman" w:hAnsi="Times New Roman" w:cs="Times New Roman"/>
          </w:rPr>
          <w:t>https://doi.org/10.2305/IUCN.UK.2008.RLTS.T40010A10301093.en</w:t>
        </w:r>
      </w:hyperlink>
      <w:r w:rsidRPr="009B0448">
        <w:rPr>
          <w:rFonts w:ascii="Times New Roman" w:hAnsi="Times New Roman" w:cs="Times New Roman"/>
          <w:color w:val="auto"/>
        </w:rPr>
        <w:t xml:space="preserve"> </w:t>
      </w:r>
    </w:p>
    <w:p w14:paraId="68706A0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Giri, C. P., &amp; Muhlhausen, J. (2008). </w:t>
      </w:r>
      <w:r w:rsidRPr="009B0448">
        <w:rPr>
          <w:rFonts w:ascii="Times New Roman" w:hAnsi="Times New Roman" w:cs="Times New Roman"/>
          <w:color w:val="auto"/>
        </w:rPr>
        <w:t xml:space="preserve">Mangrove forest distributions and dynamics in Madagascar (1975–2005). </w:t>
      </w:r>
      <w:r w:rsidRPr="009B0448">
        <w:rPr>
          <w:rFonts w:ascii="Times New Roman" w:hAnsi="Times New Roman" w:cs="Times New Roman"/>
          <w:i/>
          <w:color w:val="auto"/>
        </w:rPr>
        <w:t>Sensors, 8</w:t>
      </w:r>
      <w:r w:rsidRPr="009B0448">
        <w:rPr>
          <w:rFonts w:ascii="Times New Roman" w:hAnsi="Times New Roman" w:cs="Times New Roman"/>
          <w:color w:val="auto"/>
        </w:rPr>
        <w:t xml:space="preserve">(4), 2104–2117. </w:t>
      </w:r>
      <w:hyperlink r:id="rId829" w:history="1">
        <w:r w:rsidRPr="009B0448">
          <w:rPr>
            <w:rStyle w:val="Hyperlink"/>
            <w:rFonts w:ascii="Times New Roman" w:hAnsi="Times New Roman" w:cs="Times New Roman"/>
          </w:rPr>
          <w:t>https://doi.org/10.3390/s8042104</w:t>
        </w:r>
      </w:hyperlink>
      <w:r w:rsidRPr="009B0448">
        <w:rPr>
          <w:rFonts w:ascii="Times New Roman" w:hAnsi="Times New Roman" w:cs="Times New Roman"/>
          <w:color w:val="auto"/>
        </w:rPr>
        <w:t xml:space="preserve"> </w:t>
      </w:r>
    </w:p>
    <w:p w14:paraId="3BA1970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Giri, C., Ochieng, E., Tieszen, L. L., Zhu, Z., Singh, A., Loveland, T., Masek, J., &amp; Duke, N. (2011). Status and distribution of mangrove forests of the world using earth observation satellite data. </w:t>
      </w:r>
      <w:r w:rsidRPr="009B0448">
        <w:rPr>
          <w:rFonts w:ascii="Times New Roman" w:hAnsi="Times New Roman" w:cs="Times New Roman"/>
          <w:i/>
          <w:color w:val="auto"/>
        </w:rPr>
        <w:t>Global Ecology and Biogeography, 20</w:t>
      </w:r>
      <w:r w:rsidRPr="009B0448">
        <w:rPr>
          <w:rFonts w:ascii="Times New Roman" w:hAnsi="Times New Roman" w:cs="Times New Roman"/>
          <w:color w:val="auto"/>
        </w:rPr>
        <w:t xml:space="preserve">(1), 154–9. </w:t>
      </w:r>
      <w:hyperlink r:id="rId830" w:history="1">
        <w:r w:rsidRPr="009B0448">
          <w:rPr>
            <w:rStyle w:val="Hyperlink"/>
            <w:rFonts w:ascii="Times New Roman" w:hAnsi="Times New Roman" w:cs="Times New Roman"/>
            <w:color w:val="0070C0"/>
          </w:rPr>
          <w:t>https://doi.org/10.1111/j.1466-8238.2010.00584.x</w:t>
        </w:r>
      </w:hyperlink>
    </w:p>
    <w:p w14:paraId="412B5EE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Godoy, F. L., Tabor, K., Burgess, N. D., &amp; Mbilinyi, B. P. (2012). Deforestation and CO</w:t>
      </w:r>
      <w:r w:rsidRPr="009B0448">
        <w:rPr>
          <w:rFonts w:ascii="Times New Roman" w:hAnsi="Times New Roman" w:cs="Times New Roman"/>
          <w:color w:val="auto"/>
          <w:vertAlign w:val="subscript"/>
        </w:rPr>
        <w:t>2</w:t>
      </w:r>
      <w:r w:rsidRPr="009B0448">
        <w:rPr>
          <w:rFonts w:ascii="Times New Roman" w:hAnsi="Times New Roman" w:cs="Times New Roman"/>
          <w:color w:val="auto"/>
        </w:rPr>
        <w:t xml:space="preserve"> emissions in coastal Tanzania from 1990 to 2007. </w:t>
      </w:r>
      <w:r w:rsidRPr="009B0448">
        <w:rPr>
          <w:rFonts w:ascii="Times New Roman" w:hAnsi="Times New Roman" w:cs="Times New Roman"/>
          <w:i/>
          <w:color w:val="auto"/>
        </w:rPr>
        <w:t>Environmental Conservation, 39</w:t>
      </w:r>
      <w:r w:rsidRPr="009B0448">
        <w:rPr>
          <w:rFonts w:ascii="Times New Roman" w:hAnsi="Times New Roman" w:cs="Times New Roman"/>
          <w:color w:val="auto"/>
        </w:rPr>
        <w:t xml:space="preserve">(1), 62–71. </w:t>
      </w:r>
      <w:hyperlink r:id="rId831" w:history="1">
        <w:r w:rsidRPr="009B0448">
          <w:rPr>
            <w:rStyle w:val="Hyperlink"/>
            <w:rFonts w:ascii="Times New Roman" w:hAnsi="Times New Roman" w:cs="Times New Roman"/>
          </w:rPr>
          <w:t>https://doi.org/10.1017/S037689291100035X</w:t>
        </w:r>
      </w:hyperlink>
    </w:p>
    <w:p w14:paraId="37E5883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Goldman, A. (1995). Threats to sustainability in African agriculture: Searching for appropriate paradigms. </w:t>
      </w:r>
      <w:r w:rsidRPr="009B0448">
        <w:rPr>
          <w:rFonts w:ascii="Times New Roman" w:hAnsi="Times New Roman" w:cs="Times New Roman"/>
          <w:i/>
          <w:color w:val="auto"/>
        </w:rPr>
        <w:t>Journal of Human Ecology, 23</w:t>
      </w:r>
      <w:r w:rsidRPr="009B0448">
        <w:rPr>
          <w:rFonts w:ascii="Times New Roman" w:hAnsi="Times New Roman" w:cs="Times New Roman"/>
          <w:color w:val="auto"/>
        </w:rPr>
        <w:t xml:space="preserve">, 291. </w:t>
      </w:r>
      <w:hyperlink r:id="rId832" w:history="1">
        <w:r w:rsidRPr="009B0448">
          <w:rPr>
            <w:rStyle w:val="Hyperlink"/>
            <w:rFonts w:ascii="Times New Roman" w:hAnsi="Times New Roman" w:cs="Times New Roman"/>
            <w:color w:val="0070C0"/>
          </w:rPr>
          <w:t>https://doi.org/10.1007/BF01190135</w:t>
        </w:r>
      </w:hyperlink>
    </w:p>
    <w:p w14:paraId="7BA7387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Gorenflo, L. J., Corson, C., Chomitz, K. M., Harper, G., Honzák, M., &amp; Özler, B. (2011). Exploring the association between people and deforestation in Madagascar. In R. P. Cincotta, &amp; L. J. Gorenflo (Eds.), </w:t>
      </w:r>
      <w:r w:rsidRPr="009B0448">
        <w:rPr>
          <w:rFonts w:ascii="Times New Roman" w:hAnsi="Times New Roman" w:cs="Times New Roman"/>
          <w:i/>
          <w:color w:val="auto"/>
        </w:rPr>
        <w:t>Human population: Its influences on biological diversity</w:t>
      </w:r>
      <w:r w:rsidRPr="009B0448">
        <w:rPr>
          <w:rFonts w:ascii="Times New Roman" w:hAnsi="Times New Roman" w:cs="Times New Roman"/>
          <w:color w:val="auto"/>
        </w:rPr>
        <w:t xml:space="preserve"> (pp. 197–221). </w:t>
      </w:r>
      <w:hyperlink r:id="rId833" w:history="1">
        <w:r w:rsidRPr="009B0448">
          <w:rPr>
            <w:rStyle w:val="Hyperlink"/>
            <w:rFonts w:ascii="Times New Roman" w:hAnsi="Times New Roman" w:cs="Times New Roman"/>
          </w:rPr>
          <w:t>https://doi.org/10.1007/978-3-642-16707-2_11</w:t>
        </w:r>
      </w:hyperlink>
    </w:p>
    <w:p w14:paraId="592EE81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Grettenberger, J. F., &amp; Newby, J. E. (1990). Niger. In R. East (Ed.), </w:t>
      </w:r>
      <w:r w:rsidRPr="009B0448">
        <w:rPr>
          <w:rFonts w:ascii="Times New Roman" w:hAnsi="Times New Roman" w:cs="Times New Roman"/>
          <w:i/>
          <w:color w:val="auto"/>
        </w:rPr>
        <w:t>Antelope. Global survey and regional action plans. Part 3. West and Centrral Africa</w:t>
      </w:r>
      <w:r w:rsidRPr="009B0448">
        <w:rPr>
          <w:rFonts w:ascii="Times New Roman" w:hAnsi="Times New Roman" w:cs="Times New Roman"/>
          <w:color w:val="auto"/>
        </w:rPr>
        <w:t xml:space="preserve"> (pp. 14–22). Gland, Switzerland: IUCN. Retrieved from</w:t>
      </w:r>
      <w:r w:rsidRPr="009B0448">
        <w:rPr>
          <w:rFonts w:ascii="Times New Roman" w:hAnsi="Times New Roman" w:cs="Times New Roman"/>
        </w:rPr>
        <w:t xml:space="preserve"> </w:t>
      </w:r>
      <w:hyperlink r:id="rId834" w:history="1">
        <w:r w:rsidRPr="009B0448">
          <w:rPr>
            <w:rStyle w:val="Hyperlink"/>
            <w:rFonts w:ascii="Times New Roman" w:hAnsi="Times New Roman" w:cs="Times New Roman"/>
          </w:rPr>
          <w:t>https://portals.iucn.org/library/sites/library/files/documents/1988-015-3.pdf</w:t>
        </w:r>
      </w:hyperlink>
      <w:r w:rsidRPr="009B0448">
        <w:rPr>
          <w:rFonts w:ascii="Times New Roman" w:hAnsi="Times New Roman" w:cs="Times New Roman"/>
          <w:color w:val="auto"/>
        </w:rPr>
        <w:t xml:space="preserve"> </w:t>
      </w:r>
    </w:p>
    <w:p w14:paraId="778A2AFE"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Groeneveld, J. C., Griffiths, C. L., &amp; Van Dalsen, A. P. (2006). A new species of spiny lobster, Palinurus barbarae (</w:t>
      </w:r>
      <w:r w:rsidRPr="009B0448">
        <w:rPr>
          <w:rFonts w:ascii="Times New Roman" w:hAnsi="Times New Roman" w:cs="Times New Roman"/>
          <w:i/>
        </w:rPr>
        <w:t>Decapoda, Palinuridae</w:t>
      </w:r>
      <w:r w:rsidRPr="009B0448">
        <w:rPr>
          <w:rFonts w:ascii="Times New Roman" w:hAnsi="Times New Roman" w:cs="Times New Roman"/>
        </w:rPr>
        <w:t xml:space="preserve">) from Walter’s Shoals on the Madagascar Ridge. </w:t>
      </w:r>
      <w:r w:rsidRPr="009B0448">
        <w:rPr>
          <w:rFonts w:ascii="Times New Roman" w:hAnsi="Times New Roman" w:cs="Times New Roman"/>
          <w:i/>
        </w:rPr>
        <w:t>Crustaceana, 79</w:t>
      </w:r>
      <w:r w:rsidRPr="009B0448">
        <w:rPr>
          <w:rFonts w:ascii="Times New Roman" w:hAnsi="Times New Roman" w:cs="Times New Roman"/>
        </w:rPr>
        <w:t>, 821</w:t>
      </w:r>
      <w:r w:rsidRPr="009B0448">
        <w:rPr>
          <w:rFonts w:ascii="Times New Roman" w:hAnsi="Times New Roman" w:cs="Times New Roman"/>
          <w:color w:val="auto"/>
        </w:rPr>
        <w:t>–833.</w:t>
      </w:r>
      <w:r w:rsidRPr="009B0448">
        <w:rPr>
          <w:rFonts w:ascii="Times New Roman" w:hAnsi="Times New Roman" w:cs="Times New Roman"/>
        </w:rPr>
        <w:t xml:space="preserve"> </w:t>
      </w:r>
      <w:hyperlink r:id="rId835" w:history="1">
        <w:r w:rsidRPr="009B0448">
          <w:rPr>
            <w:rStyle w:val="Hyperlink"/>
            <w:rFonts w:ascii="Times New Roman" w:hAnsi="Times New Roman" w:cs="Times New Roman"/>
          </w:rPr>
          <w:t>https://doi.org/10.1163/156854006778008177</w:t>
        </w:r>
      </w:hyperlink>
      <w:r w:rsidRPr="009B0448">
        <w:rPr>
          <w:rFonts w:ascii="Times New Roman" w:hAnsi="Times New Roman" w:cs="Times New Roman"/>
        </w:rPr>
        <w:t xml:space="preserve"> </w:t>
      </w:r>
    </w:p>
    <w:p w14:paraId="0AA0496A" w14:textId="60680835"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Hai, T. C. (2002). </w:t>
      </w:r>
      <w:r w:rsidRPr="009B0448">
        <w:rPr>
          <w:rFonts w:ascii="Times New Roman" w:hAnsi="Times New Roman" w:cs="Times New Roman"/>
          <w:i/>
          <w:color w:val="auto"/>
        </w:rPr>
        <w:t>The palm oil industry in Malaysia–from Seed to frying pan</w:t>
      </w:r>
      <w:r w:rsidRPr="009B0448">
        <w:rPr>
          <w:rFonts w:ascii="Times New Roman" w:hAnsi="Times New Roman" w:cs="Times New Roman"/>
          <w:color w:val="auto"/>
        </w:rPr>
        <w:t xml:space="preserve">. Gland, Switzerland: WWF. Retrieved from </w:t>
      </w:r>
      <w:hyperlink r:id="rId836" w:history="1">
        <w:r w:rsidRPr="009B0448">
          <w:rPr>
            <w:rStyle w:val="Hyperlink"/>
            <w:rFonts w:ascii="Times New Roman" w:hAnsi="Times New Roman" w:cs="Times New Roman"/>
          </w:rPr>
          <w:t>http://www.rspo.org/files/resource_centre/OP_Chain_Part%20A_new.pdf</w:t>
        </w:r>
      </w:hyperlink>
    </w:p>
    <w:p w14:paraId="422D13C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Hall, J. S., Saltonstall, K., Inogwabini, B. I., &amp; Omari, I. (1998a). Distribution, abundance and conservation status of Grauer's Gorilla. </w:t>
      </w:r>
      <w:r w:rsidRPr="009B0448">
        <w:rPr>
          <w:rFonts w:ascii="Times New Roman" w:hAnsi="Times New Roman" w:cs="Times New Roman"/>
          <w:i/>
          <w:color w:val="auto"/>
        </w:rPr>
        <w:t>Oryx, 32</w:t>
      </w:r>
      <w:r w:rsidRPr="009B0448">
        <w:rPr>
          <w:rFonts w:ascii="Times New Roman" w:hAnsi="Times New Roman" w:cs="Times New Roman"/>
          <w:color w:val="auto"/>
        </w:rPr>
        <w:t xml:space="preserve">, 122–130. </w:t>
      </w:r>
      <w:hyperlink r:id="rId837" w:history="1">
        <w:r w:rsidRPr="009B0448">
          <w:rPr>
            <w:rStyle w:val="Hyperlink"/>
            <w:rFonts w:ascii="Times New Roman" w:hAnsi="Times New Roman" w:cs="Times New Roman"/>
          </w:rPr>
          <w:t>https://doi.org/10.1046/j.1365-3008.1998.d01-22.x</w:t>
        </w:r>
      </w:hyperlink>
    </w:p>
    <w:p w14:paraId="565D13A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Hall, J. S., White, L. T. J., Inogwabini, B. I., Omari, I., Simons Morland, H., Williamson, E. A., Saltonstall, K., Walsh, P., Sikubwabo, C., Bonny, D., Kiswele, K. P., Vedder, A., &amp; Freeman, K. (1998b). Survey of Grauer's gorillas (</w:t>
      </w:r>
      <w:r w:rsidRPr="009B0448">
        <w:rPr>
          <w:rFonts w:ascii="Times New Roman" w:hAnsi="Times New Roman" w:cs="Times New Roman"/>
          <w:i/>
          <w:color w:val="auto"/>
        </w:rPr>
        <w:t>Gorilla gorilla graueri</w:t>
      </w:r>
      <w:r w:rsidRPr="009B0448">
        <w:rPr>
          <w:rFonts w:ascii="Times New Roman" w:hAnsi="Times New Roman" w:cs="Times New Roman"/>
          <w:color w:val="auto"/>
        </w:rPr>
        <w:t>) and eastern chimpanzees (</w:t>
      </w:r>
      <w:r w:rsidRPr="009B0448">
        <w:rPr>
          <w:rFonts w:ascii="Times New Roman" w:hAnsi="Times New Roman" w:cs="Times New Roman"/>
          <w:i/>
          <w:color w:val="auto"/>
        </w:rPr>
        <w:t>Pan troglodytes</w:t>
      </w:r>
      <w:r w:rsidRPr="009B0448">
        <w:rPr>
          <w:rFonts w:ascii="Times New Roman" w:hAnsi="Times New Roman" w:cs="Times New Roman"/>
          <w:color w:val="auto"/>
        </w:rPr>
        <w:t xml:space="preserve"> schweinfurthi) in the Kahuzi-Biega national park lowland sector and adjacent forest in eastern Democratic Republic of Congo. </w:t>
      </w:r>
      <w:r w:rsidRPr="009B0448">
        <w:rPr>
          <w:rFonts w:ascii="Times New Roman" w:hAnsi="Times New Roman" w:cs="Times New Roman"/>
          <w:i/>
          <w:color w:val="auto"/>
        </w:rPr>
        <w:t>International Journal of Primatology, 19</w:t>
      </w:r>
      <w:r w:rsidRPr="009B0448">
        <w:rPr>
          <w:rFonts w:ascii="Times New Roman" w:hAnsi="Times New Roman" w:cs="Times New Roman"/>
          <w:color w:val="auto"/>
        </w:rPr>
        <w:t xml:space="preserve">, 207–235. </w:t>
      </w:r>
      <w:hyperlink r:id="rId838" w:history="1">
        <w:r w:rsidRPr="009B0448">
          <w:rPr>
            <w:rStyle w:val="Hyperlink"/>
            <w:rFonts w:ascii="Times New Roman" w:hAnsi="Times New Roman" w:cs="Times New Roman"/>
          </w:rPr>
          <w:t>https://doi.org/10.1023/A:1020375430965</w:t>
        </w:r>
      </w:hyperlink>
    </w:p>
    <w:p w14:paraId="4BC7133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Hall, J., Burgess, N. D., Lovett, J., Mbilinyi, B., &amp; Gereau, R. E. (2009). Conservation implications of deforestation across an elevational gradient in the Eastern Arc Mountains, Tanzania. </w:t>
      </w:r>
      <w:r w:rsidRPr="009B0448">
        <w:rPr>
          <w:rFonts w:ascii="Times New Roman" w:hAnsi="Times New Roman" w:cs="Times New Roman"/>
          <w:i/>
          <w:color w:val="auto"/>
        </w:rPr>
        <w:t>Biological Conservation, 142</w:t>
      </w:r>
      <w:r w:rsidRPr="009B0448">
        <w:rPr>
          <w:rFonts w:ascii="Times New Roman" w:hAnsi="Times New Roman" w:cs="Times New Roman"/>
          <w:color w:val="auto"/>
        </w:rPr>
        <w:t xml:space="preserve">(11), 2510–2521. </w:t>
      </w:r>
      <w:hyperlink r:id="rId839" w:history="1">
        <w:r w:rsidRPr="009B0448">
          <w:rPr>
            <w:rStyle w:val="Hyperlink"/>
            <w:rFonts w:ascii="Times New Roman" w:hAnsi="Times New Roman" w:cs="Times New Roman"/>
          </w:rPr>
          <w:t>https://doi.org/10.1016/j.biocon.2009.05.028</w:t>
        </w:r>
      </w:hyperlink>
    </w:p>
    <w:p w14:paraId="2F398F0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Hamerlynck, O., &amp; Duvail, S. (2003). </w:t>
      </w:r>
      <w:r w:rsidRPr="009B0448">
        <w:rPr>
          <w:rFonts w:ascii="Times New Roman" w:hAnsi="Times New Roman" w:cs="Times New Roman"/>
          <w:i/>
          <w:color w:val="auto"/>
        </w:rPr>
        <w:t>The rehabilitation of the delta of the Senegal River in Mauritania. Fielding the ecosystem approac</w:t>
      </w:r>
      <w:r w:rsidRPr="009B0448">
        <w:rPr>
          <w:rFonts w:ascii="Times New Roman" w:hAnsi="Times New Roman" w:cs="Times New Roman"/>
          <w:color w:val="auto"/>
        </w:rPr>
        <w:t>h. Gland, Switzerland: IUCN. Retrieved from</w:t>
      </w:r>
      <w:r w:rsidRPr="009B0448">
        <w:rPr>
          <w:rFonts w:ascii="Times New Roman" w:hAnsi="Times New Roman" w:cs="Times New Roman"/>
        </w:rPr>
        <w:t xml:space="preserve"> </w:t>
      </w:r>
      <w:hyperlink r:id="rId840" w:history="1">
        <w:r w:rsidRPr="009B0448">
          <w:rPr>
            <w:rStyle w:val="Hyperlink"/>
            <w:rFonts w:ascii="Times New Roman" w:hAnsi="Times New Roman" w:cs="Times New Roman"/>
          </w:rPr>
          <w:t>https://portals.iucn.org/library/sites/library/files/documents/WTL-029.pdf</w:t>
        </w:r>
      </w:hyperlink>
      <w:r w:rsidRPr="009B0448">
        <w:rPr>
          <w:rFonts w:ascii="Times New Roman" w:hAnsi="Times New Roman" w:cs="Times New Roman"/>
        </w:rPr>
        <w:t xml:space="preserve"> </w:t>
      </w:r>
    </w:p>
    <w:p w14:paraId="4E31F70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Harcourt, A. H., Kineman, J., Campbell, G., Yamagiwa, J., Redmond, I., Aveling, C., &amp; Condiotti, M. (1983). Conservation and the </w:t>
      </w:r>
      <w:r w:rsidRPr="009B0448">
        <w:rPr>
          <w:rFonts w:ascii="Times New Roman" w:hAnsi="Times New Roman" w:cs="Times New Roman"/>
          <w:i/>
          <w:color w:val="auto"/>
        </w:rPr>
        <w:t>Virunga</w:t>
      </w:r>
      <w:r w:rsidRPr="009B0448">
        <w:rPr>
          <w:rFonts w:ascii="Times New Roman" w:hAnsi="Times New Roman" w:cs="Times New Roman"/>
          <w:color w:val="auto"/>
        </w:rPr>
        <w:t xml:space="preserve"> gorilla population. </w:t>
      </w:r>
      <w:r w:rsidRPr="009B0448">
        <w:rPr>
          <w:rFonts w:ascii="Times New Roman" w:hAnsi="Times New Roman" w:cs="Times New Roman"/>
          <w:i/>
          <w:color w:val="auto"/>
        </w:rPr>
        <w:t>African Journal of Ecology, 21</w:t>
      </w:r>
      <w:r w:rsidRPr="009B0448">
        <w:rPr>
          <w:rFonts w:ascii="Times New Roman" w:hAnsi="Times New Roman" w:cs="Times New Roman"/>
          <w:color w:val="auto"/>
        </w:rPr>
        <w:t xml:space="preserve">, 139–142. </w:t>
      </w:r>
      <w:hyperlink r:id="rId841" w:history="1">
        <w:r w:rsidRPr="009B0448">
          <w:rPr>
            <w:rStyle w:val="Hyperlink"/>
            <w:rFonts w:ascii="Times New Roman" w:hAnsi="Times New Roman" w:cs="Times New Roman"/>
          </w:rPr>
          <w:t>https://doi.org/10.1111/j.1365-2028.1983.tb00322.x</w:t>
        </w:r>
      </w:hyperlink>
      <w:r w:rsidRPr="009B0448">
        <w:rPr>
          <w:rFonts w:ascii="Times New Roman" w:hAnsi="Times New Roman" w:cs="Times New Roman"/>
          <w:color w:val="auto"/>
        </w:rPr>
        <w:t xml:space="preserve"> </w:t>
      </w:r>
    </w:p>
    <w:p w14:paraId="6DDDE94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Harrison, P. A., Berry, P. M., Simpson, G., Haslett, J. R., Blicharska, M., Bucur, M., Dunford, R., Egoh, B., Garcia-Lorente, M., Geamănă, N., Geertsema, W., Lommele, E., Meirsonne, L., &amp; Turkelboom, F. (2014). Linkages between biodiversity attributes and ecosystem services: A systematic review. </w:t>
      </w:r>
      <w:r w:rsidRPr="009B0448">
        <w:rPr>
          <w:rFonts w:ascii="Times New Roman" w:hAnsi="Times New Roman" w:cs="Times New Roman"/>
          <w:i/>
          <w:color w:val="auto"/>
        </w:rPr>
        <w:t xml:space="preserve">Ecosystem Services. </w:t>
      </w:r>
      <w:r w:rsidRPr="009B0448">
        <w:rPr>
          <w:rFonts w:ascii="Times New Roman" w:hAnsi="Times New Roman" w:cs="Times New Roman"/>
          <w:color w:val="auto"/>
        </w:rPr>
        <w:t xml:space="preserve">9, 191–203. </w:t>
      </w:r>
      <w:hyperlink r:id="rId842" w:history="1">
        <w:r w:rsidRPr="009B0448">
          <w:rPr>
            <w:rStyle w:val="Hyperlink"/>
            <w:rFonts w:ascii="Times New Roman" w:hAnsi="Times New Roman" w:cs="Times New Roman"/>
          </w:rPr>
          <w:t>https://doi.org/10.1016/j.ecoser.2014.05.006</w:t>
        </w:r>
      </w:hyperlink>
    </w:p>
    <w:p w14:paraId="754B5C0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Henschel, P., Coad, L., Burton, C., Chataigner, B., Dunn, A., MacDonald, D., Saidu, Y., &amp; Hunter, L. T. B. (2014). The lion in West Africa is critically endangered. </w:t>
      </w:r>
      <w:r w:rsidRPr="009B0448">
        <w:rPr>
          <w:rFonts w:ascii="Times New Roman" w:hAnsi="Times New Roman" w:cs="Times New Roman"/>
          <w:i/>
          <w:color w:val="auto"/>
        </w:rPr>
        <w:t>PLoS ONE, 9</w:t>
      </w:r>
      <w:r w:rsidRPr="009B0448">
        <w:rPr>
          <w:rFonts w:ascii="Times New Roman" w:hAnsi="Times New Roman" w:cs="Times New Roman"/>
          <w:color w:val="auto"/>
        </w:rPr>
        <w:t xml:space="preserve">(1), e83500. </w:t>
      </w:r>
      <w:hyperlink r:id="rId843" w:history="1">
        <w:r w:rsidRPr="009B0448">
          <w:rPr>
            <w:rStyle w:val="Hyperlink"/>
            <w:rFonts w:ascii="Times New Roman" w:hAnsi="Times New Roman" w:cs="Times New Roman"/>
          </w:rPr>
          <w:t>https://doi.org/10.1371/journal.pone.0083500</w:t>
        </w:r>
      </w:hyperlink>
    </w:p>
    <w:p w14:paraId="67164F88" w14:textId="77777777" w:rsidR="009B0448" w:rsidRPr="009B0448" w:rsidRDefault="009B0448" w:rsidP="009B0448">
      <w:pPr>
        <w:spacing w:after="120" w:line="276" w:lineRule="auto"/>
        <w:ind w:left="567" w:hanging="567"/>
        <w:rPr>
          <w:rFonts w:ascii="Times New Roman" w:hAnsi="Times New Roman" w:cs="Times New Roman"/>
          <w:color w:val="auto"/>
          <w:u w:val="single"/>
        </w:rPr>
      </w:pPr>
      <w:r w:rsidRPr="009B0448">
        <w:rPr>
          <w:rFonts w:ascii="Times New Roman" w:hAnsi="Times New Roman" w:cs="Times New Roman"/>
          <w:color w:val="auto"/>
          <w:lang w:val="en-US"/>
        </w:rPr>
        <w:t xml:space="preserve">Herrmann, S. M., Anyamba, A., &amp; Tucker, C. J. (2005). </w:t>
      </w:r>
      <w:r w:rsidRPr="009B0448">
        <w:rPr>
          <w:rFonts w:ascii="Times New Roman" w:hAnsi="Times New Roman" w:cs="Times New Roman"/>
          <w:color w:val="auto"/>
        </w:rPr>
        <w:t xml:space="preserve">Recent trends in vegetation dynamics in the African Sahel and their relationship to climate. </w:t>
      </w:r>
      <w:r w:rsidRPr="009B0448">
        <w:rPr>
          <w:rFonts w:ascii="Times New Roman" w:hAnsi="Times New Roman" w:cs="Times New Roman"/>
          <w:i/>
          <w:color w:val="auto"/>
        </w:rPr>
        <w:t>Global Environmental Change, 15</w:t>
      </w:r>
      <w:r w:rsidRPr="009B0448">
        <w:rPr>
          <w:rFonts w:ascii="Times New Roman" w:hAnsi="Times New Roman" w:cs="Times New Roman"/>
          <w:color w:val="auto"/>
        </w:rPr>
        <w:t xml:space="preserve">, 394–404. </w:t>
      </w:r>
      <w:hyperlink r:id="rId844" w:history="1">
        <w:r w:rsidRPr="009B0448">
          <w:rPr>
            <w:rStyle w:val="Hyperlink"/>
            <w:rFonts w:ascii="Times New Roman" w:hAnsi="Times New Roman" w:cs="Times New Roman"/>
          </w:rPr>
          <w:t>https://doi.org/10.1016/j.gloenvcha.2005.08.004</w:t>
        </w:r>
      </w:hyperlink>
    </w:p>
    <w:p w14:paraId="5DF6104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Higgins, S. I., &amp; Scheiter, S. (2012). Atmospheric CO</w:t>
      </w:r>
      <w:r w:rsidRPr="009B0448">
        <w:rPr>
          <w:rFonts w:ascii="Times New Roman" w:hAnsi="Times New Roman" w:cs="Times New Roman"/>
          <w:color w:val="auto"/>
          <w:vertAlign w:val="subscript"/>
        </w:rPr>
        <w:t>2</w:t>
      </w:r>
      <w:r w:rsidRPr="009B0448">
        <w:rPr>
          <w:rFonts w:ascii="Times New Roman" w:hAnsi="Times New Roman" w:cs="Times New Roman"/>
          <w:color w:val="auto"/>
        </w:rPr>
        <w:t xml:space="preserve"> forces abrupt vegetation shifts locally, but not globally. </w:t>
      </w:r>
      <w:r w:rsidRPr="009B0448">
        <w:rPr>
          <w:rFonts w:ascii="Times New Roman" w:hAnsi="Times New Roman" w:cs="Times New Roman"/>
          <w:i/>
          <w:color w:val="auto"/>
        </w:rPr>
        <w:t>Nature, 488</w:t>
      </w:r>
      <w:r w:rsidRPr="009B0448">
        <w:rPr>
          <w:rFonts w:ascii="Times New Roman" w:hAnsi="Times New Roman" w:cs="Times New Roman"/>
          <w:color w:val="auto"/>
        </w:rPr>
        <w:t xml:space="preserve">, 209–212. </w:t>
      </w:r>
      <w:hyperlink r:id="rId845" w:history="1">
        <w:r w:rsidRPr="009B0448">
          <w:rPr>
            <w:rStyle w:val="Hyperlink"/>
            <w:rFonts w:ascii="Times New Roman" w:hAnsi="Times New Roman" w:cs="Times New Roman"/>
          </w:rPr>
          <w:t>https://doi.org/10.1038/nature11238</w:t>
        </w:r>
      </w:hyperlink>
      <w:r w:rsidRPr="009B0448">
        <w:rPr>
          <w:rFonts w:ascii="Times New Roman" w:hAnsi="Times New Roman" w:cs="Times New Roman"/>
          <w:color w:val="auto"/>
        </w:rPr>
        <w:t xml:space="preserve"> </w:t>
      </w:r>
    </w:p>
    <w:p w14:paraId="43DABDD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Hilson, G. M., &amp; Haselip, J. (2004). The environmental and socioeconomic performance of multinational mining companies in the developing world economy. </w:t>
      </w:r>
      <w:r w:rsidRPr="009B0448">
        <w:rPr>
          <w:rFonts w:ascii="Times New Roman" w:hAnsi="Times New Roman" w:cs="Times New Roman"/>
          <w:i/>
          <w:color w:val="auto"/>
        </w:rPr>
        <w:t>Minerals and Energy-Raw Materials Report, 19</w:t>
      </w:r>
      <w:r w:rsidRPr="009B0448">
        <w:rPr>
          <w:rFonts w:ascii="Times New Roman" w:hAnsi="Times New Roman" w:cs="Times New Roman"/>
          <w:color w:val="auto"/>
        </w:rPr>
        <w:t xml:space="preserve">, 25–47. </w:t>
      </w:r>
      <w:hyperlink r:id="rId846" w:history="1">
        <w:r w:rsidRPr="009B0448">
          <w:rPr>
            <w:rStyle w:val="Hyperlink"/>
            <w:rFonts w:ascii="Times New Roman" w:hAnsi="Times New Roman" w:cs="Times New Roman"/>
          </w:rPr>
          <w:t>https://doi.org/10.1080/14041040410027318</w:t>
        </w:r>
      </w:hyperlink>
    </w:p>
    <w:p w14:paraId="39B1E9B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Hilton-Taylor, C. (1994). Karoo-Namib region: Western cape domain (Succulent Karoo). In S. D. Davis, V. H. Heywood, &amp; A. C. Hamilton (Eds.), </w:t>
      </w:r>
      <w:r w:rsidRPr="009B0448">
        <w:rPr>
          <w:rFonts w:ascii="Times New Roman" w:hAnsi="Times New Roman" w:cs="Times New Roman"/>
          <w:i/>
          <w:color w:val="auto"/>
        </w:rPr>
        <w:t>Centres of plant diversity: A guide and strategy for their conservation</w:t>
      </w:r>
      <w:r w:rsidRPr="009B0448">
        <w:rPr>
          <w:rFonts w:ascii="Times New Roman" w:hAnsi="Times New Roman" w:cs="Times New Roman"/>
          <w:color w:val="auto"/>
        </w:rPr>
        <w:t xml:space="preserve"> (pp. 204–217). Cambridge, UK: IUCN. Retrieved from </w:t>
      </w:r>
      <w:hyperlink r:id="rId847" w:history="1">
        <w:r w:rsidRPr="009B0448">
          <w:rPr>
            <w:rStyle w:val="Hyperlink"/>
            <w:rFonts w:ascii="Times New Roman" w:hAnsi="Times New Roman" w:cs="Times New Roman"/>
          </w:rPr>
          <w:t>https://portals.iucn.org/library/node/8268</w:t>
        </w:r>
      </w:hyperlink>
      <w:r w:rsidRPr="009B0448">
        <w:rPr>
          <w:rFonts w:ascii="Times New Roman" w:hAnsi="Times New Roman" w:cs="Times New Roman"/>
          <w:color w:val="auto"/>
        </w:rPr>
        <w:t xml:space="preserve"> </w:t>
      </w:r>
    </w:p>
    <w:p w14:paraId="795F56E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Hilton-Taylor, C. (2000). </w:t>
      </w:r>
      <w:r w:rsidRPr="009B0448">
        <w:rPr>
          <w:rFonts w:ascii="Times New Roman" w:hAnsi="Times New Roman" w:cs="Times New Roman"/>
          <w:i/>
          <w:color w:val="auto"/>
        </w:rPr>
        <w:t>The IUCN red list of threatened species</w:t>
      </w:r>
      <w:r w:rsidRPr="009B0448">
        <w:rPr>
          <w:rFonts w:ascii="Times New Roman" w:hAnsi="Times New Roman" w:cs="Times New Roman"/>
          <w:color w:val="auto"/>
        </w:rPr>
        <w:t>. Cambridge, UK: IUCN.</w:t>
      </w:r>
      <w:r w:rsidRPr="009B0448">
        <w:rPr>
          <w:rFonts w:ascii="Times New Roman" w:hAnsi="Times New Roman" w:cs="Times New Roman"/>
        </w:rPr>
        <w:t xml:space="preserve"> </w:t>
      </w:r>
      <w:r w:rsidRPr="009B0448">
        <w:rPr>
          <w:rFonts w:ascii="Times New Roman" w:hAnsi="Times New Roman" w:cs="Times New Roman"/>
          <w:color w:val="auto"/>
        </w:rPr>
        <w:t xml:space="preserve">Retrieved from </w:t>
      </w:r>
      <w:hyperlink r:id="rId848" w:history="1">
        <w:r w:rsidRPr="009B0448">
          <w:rPr>
            <w:rStyle w:val="Hyperlink"/>
            <w:rFonts w:ascii="Times New Roman" w:hAnsi="Times New Roman" w:cs="Times New Roman"/>
          </w:rPr>
          <w:t>https://portals.iucn.org/library/sites/library/files/documents/RL-2000-001.pdf</w:t>
        </w:r>
      </w:hyperlink>
      <w:r w:rsidRPr="009B0448">
        <w:rPr>
          <w:rFonts w:ascii="Times New Roman" w:hAnsi="Times New Roman" w:cs="Times New Roman"/>
          <w:color w:val="auto"/>
        </w:rPr>
        <w:t xml:space="preserve"> </w:t>
      </w:r>
    </w:p>
    <w:p w14:paraId="59951AA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Hoppe-Speer, S. C. L., Adams, J. B., &amp; Rajkaran, A. (2013). Response of mangroves to drought and non-tidal conditions in St Lucia Estuary, South Africa. </w:t>
      </w:r>
      <w:r w:rsidRPr="009B0448">
        <w:rPr>
          <w:rFonts w:ascii="Times New Roman" w:hAnsi="Times New Roman" w:cs="Times New Roman"/>
          <w:i/>
          <w:color w:val="auto"/>
        </w:rPr>
        <w:t>African Journal of Aquatic Science, 38</w:t>
      </w:r>
      <w:r w:rsidRPr="009B0448">
        <w:rPr>
          <w:rFonts w:ascii="Times New Roman" w:hAnsi="Times New Roman" w:cs="Times New Roman"/>
          <w:color w:val="auto"/>
        </w:rPr>
        <w:t xml:space="preserve">(2), 153–162. </w:t>
      </w:r>
      <w:hyperlink r:id="rId849" w:history="1">
        <w:r w:rsidRPr="009B0448">
          <w:rPr>
            <w:rStyle w:val="Hyperlink"/>
            <w:rFonts w:ascii="Times New Roman" w:hAnsi="Times New Roman" w:cs="Times New Roman"/>
          </w:rPr>
          <w:t>https://doi.org/10.2989/16085914.2012.759095</w:t>
        </w:r>
      </w:hyperlink>
    </w:p>
    <w:p w14:paraId="482C70E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Hoppe-Speer, S. C. L., Adams, J. B., &amp; Bailey, D. (2015). Present state of mangrove forests along the Eastern Cape coast, South Africa. </w:t>
      </w:r>
      <w:r w:rsidRPr="009B0448">
        <w:rPr>
          <w:rFonts w:ascii="Times New Roman" w:hAnsi="Times New Roman" w:cs="Times New Roman"/>
          <w:i/>
          <w:color w:val="auto"/>
        </w:rPr>
        <w:t>Wetlands Ecology and Management, 23</w:t>
      </w:r>
      <w:r w:rsidRPr="009B0448">
        <w:rPr>
          <w:rFonts w:ascii="Times New Roman" w:hAnsi="Times New Roman" w:cs="Times New Roman"/>
          <w:color w:val="auto"/>
        </w:rPr>
        <w:t xml:space="preserve">, 371–383. </w:t>
      </w:r>
      <w:hyperlink r:id="rId850" w:history="1">
        <w:r w:rsidRPr="009B0448">
          <w:rPr>
            <w:rStyle w:val="Hyperlink"/>
            <w:rFonts w:ascii="Times New Roman" w:hAnsi="Times New Roman" w:cs="Times New Roman"/>
          </w:rPr>
          <w:t>https://doi.org/10.1007/s11273-014-9387-x</w:t>
        </w:r>
      </w:hyperlink>
    </w:p>
    <w:p w14:paraId="6BF5226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Hughes, R. H., &amp; Hughes, J. S. (1992). </w:t>
      </w:r>
      <w:r w:rsidRPr="009B0448">
        <w:rPr>
          <w:rFonts w:ascii="Times New Roman" w:hAnsi="Times New Roman" w:cs="Times New Roman"/>
          <w:i/>
          <w:color w:val="auto"/>
        </w:rPr>
        <w:t>A directory of African wetlands</w:t>
      </w:r>
      <w:r w:rsidRPr="009B0448">
        <w:rPr>
          <w:rFonts w:ascii="Times New Roman" w:hAnsi="Times New Roman" w:cs="Times New Roman"/>
          <w:color w:val="auto"/>
        </w:rPr>
        <w:t>. Cambridge, UK: IUCN. Retrieved from</w:t>
      </w:r>
      <w:r w:rsidRPr="009B0448">
        <w:rPr>
          <w:rFonts w:ascii="Times New Roman" w:hAnsi="Times New Roman" w:cs="Times New Roman"/>
        </w:rPr>
        <w:t xml:space="preserve"> </w:t>
      </w:r>
      <w:hyperlink r:id="rId851" w:history="1">
        <w:r w:rsidRPr="009B0448">
          <w:rPr>
            <w:rStyle w:val="Hyperlink"/>
            <w:rFonts w:ascii="Times New Roman" w:hAnsi="Times New Roman" w:cs="Times New Roman"/>
          </w:rPr>
          <w:t>https://portals.iucn.org/library/node/6001</w:t>
        </w:r>
      </w:hyperlink>
      <w:r w:rsidRPr="009B0448">
        <w:rPr>
          <w:rFonts w:ascii="Times New Roman" w:hAnsi="Times New Roman" w:cs="Times New Roman"/>
          <w:color w:val="auto"/>
        </w:rPr>
        <w:t xml:space="preserve"> </w:t>
      </w:r>
    </w:p>
    <w:p w14:paraId="36353E8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Hulme, M., Doherty, R., Ngara, T., New, M., &amp; Lister, D. (2001). African climate change: 1900–2100. </w:t>
      </w:r>
      <w:r w:rsidRPr="009B0448">
        <w:rPr>
          <w:rFonts w:ascii="Times New Roman" w:hAnsi="Times New Roman" w:cs="Times New Roman"/>
          <w:i/>
          <w:color w:val="auto"/>
        </w:rPr>
        <w:t>Climate Research, 17</w:t>
      </w:r>
      <w:r w:rsidRPr="009B0448">
        <w:rPr>
          <w:rFonts w:ascii="Times New Roman" w:hAnsi="Times New Roman" w:cs="Times New Roman"/>
          <w:color w:val="auto"/>
        </w:rPr>
        <w:t xml:space="preserve">(2), 145–168. </w:t>
      </w:r>
      <w:hyperlink r:id="rId852" w:history="1">
        <w:r w:rsidRPr="009B0448">
          <w:rPr>
            <w:rStyle w:val="Hyperlink"/>
            <w:rFonts w:ascii="Times New Roman" w:hAnsi="Times New Roman" w:cs="Times New Roman"/>
          </w:rPr>
          <w:t>https://doi.org/10.3354/cr017145</w:t>
        </w:r>
      </w:hyperlink>
      <w:r w:rsidRPr="009B0448">
        <w:rPr>
          <w:rFonts w:ascii="Times New Roman" w:hAnsi="Times New Roman" w:cs="Times New Roman"/>
          <w:color w:val="auto"/>
        </w:rPr>
        <w:t xml:space="preserve"> </w:t>
      </w:r>
    </w:p>
    <w:p w14:paraId="33AD9A8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Huntley, J. B., &amp; Matos, E. M. (1994). Botanical diversity and its conservation in Angola. </w:t>
      </w:r>
      <w:r w:rsidRPr="009B0448">
        <w:rPr>
          <w:rFonts w:ascii="Times New Roman" w:hAnsi="Times New Roman" w:cs="Times New Roman"/>
          <w:i/>
          <w:color w:val="auto"/>
        </w:rPr>
        <w:t>Strelitzia, 1</w:t>
      </w:r>
      <w:r w:rsidRPr="009B0448">
        <w:rPr>
          <w:rFonts w:ascii="Times New Roman" w:hAnsi="Times New Roman" w:cs="Times New Roman"/>
          <w:color w:val="auto"/>
        </w:rPr>
        <w:t xml:space="preserve">, 53–74. </w:t>
      </w:r>
    </w:p>
    <w:p w14:paraId="260E688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Idohou, R., Assogbadjo, A. E., Fandohan, B., Nounagnon, G., Romain, G., Kakai, L. G., Gouwakinnou. Nounagnon, G. N., Romain, G., Kakai, R. L. G., Sinsin, B., &amp; Maxted, N. (2013). National inventory and prioritization of crop wild relatives: Case study for Benin. </w:t>
      </w:r>
      <w:r w:rsidRPr="009B0448">
        <w:rPr>
          <w:rFonts w:ascii="Times New Roman" w:hAnsi="Times New Roman" w:cs="Times New Roman"/>
          <w:i/>
          <w:color w:val="auto"/>
        </w:rPr>
        <w:t>Genetic Resources and Crop Evolution, 60</w:t>
      </w:r>
      <w:r w:rsidRPr="009B0448">
        <w:rPr>
          <w:rFonts w:ascii="Times New Roman" w:hAnsi="Times New Roman" w:cs="Times New Roman"/>
          <w:color w:val="auto"/>
        </w:rPr>
        <w:t xml:space="preserve">, 1337–1352. </w:t>
      </w:r>
      <w:hyperlink r:id="rId853" w:history="1">
        <w:r w:rsidRPr="009B0448">
          <w:rPr>
            <w:rStyle w:val="Hyperlink"/>
            <w:rFonts w:ascii="Times New Roman" w:hAnsi="Times New Roman" w:cs="Times New Roman"/>
          </w:rPr>
          <w:t>https://doi.org/10.1007/s10722-012-9923-6</w:t>
        </w:r>
      </w:hyperlink>
      <w:r w:rsidRPr="009B0448">
        <w:rPr>
          <w:rFonts w:ascii="Times New Roman" w:hAnsi="Times New Roman" w:cs="Times New Roman"/>
          <w:color w:val="auto"/>
        </w:rPr>
        <w:t xml:space="preserve"> </w:t>
      </w:r>
    </w:p>
    <w:p w14:paraId="11CC554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Interwies, E. (2010). </w:t>
      </w:r>
      <w:r w:rsidRPr="009B0448">
        <w:rPr>
          <w:rFonts w:ascii="Times New Roman" w:hAnsi="Times New Roman" w:cs="Times New Roman"/>
          <w:i/>
          <w:color w:val="auto"/>
        </w:rPr>
        <w:t>The economic and social value of the Guinea current ecosystem–A first approximation</w:t>
      </w:r>
      <w:r w:rsidRPr="009B0448">
        <w:rPr>
          <w:rFonts w:ascii="Times New Roman" w:hAnsi="Times New Roman" w:cs="Times New Roman"/>
          <w:color w:val="auto"/>
        </w:rPr>
        <w:t xml:space="preserve">. Nairobi, Kenya: UNEP. </w:t>
      </w:r>
    </w:p>
    <w:p w14:paraId="66EFC5D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Interwies, E., &amp; Görlitz, S. (2013). </w:t>
      </w:r>
      <w:r w:rsidRPr="009B0448">
        <w:rPr>
          <w:rFonts w:ascii="Times New Roman" w:hAnsi="Times New Roman" w:cs="Times New Roman"/>
          <w:i/>
          <w:color w:val="auto"/>
        </w:rPr>
        <w:t>Economic and social valuation of the CCLME ecosystem services. Final report of the protection of the Canary Current Large Marine Ecosystem (CCLME</w:t>
      </w:r>
      <w:r w:rsidRPr="009B0448">
        <w:rPr>
          <w:rFonts w:ascii="Times New Roman" w:hAnsi="Times New Roman" w:cs="Times New Roman"/>
          <w:color w:val="auto"/>
        </w:rPr>
        <w:t>). Nairobi, Kenya: UNEP.</w:t>
      </w:r>
    </w:p>
    <w:p w14:paraId="1786263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Ionesco, T., &amp; Sauvage, C. (1962). Les types de végétation du Maroc: Essai de nomenclature et de définition. </w:t>
      </w:r>
      <w:r w:rsidRPr="009B0448">
        <w:rPr>
          <w:rFonts w:ascii="Times New Roman" w:hAnsi="Times New Roman" w:cs="Times New Roman"/>
          <w:i/>
          <w:color w:val="auto"/>
        </w:rPr>
        <w:t>Sciences biologiques</w:t>
      </w:r>
      <w:r w:rsidRPr="009B0448">
        <w:rPr>
          <w:rFonts w:ascii="Times New Roman" w:hAnsi="Times New Roman" w:cs="Times New Roman"/>
          <w:color w:val="auto"/>
        </w:rPr>
        <w:t xml:space="preserve">, </w:t>
      </w:r>
      <w:r w:rsidRPr="009B0448">
        <w:rPr>
          <w:rFonts w:ascii="Times New Roman" w:hAnsi="Times New Roman" w:cs="Times New Roman"/>
          <w:i/>
          <w:color w:val="auto"/>
        </w:rPr>
        <w:t>1</w:t>
      </w:r>
      <w:r w:rsidRPr="009B0448">
        <w:rPr>
          <w:rFonts w:ascii="Times New Roman" w:hAnsi="Times New Roman" w:cs="Times New Roman"/>
          <w:color w:val="auto"/>
        </w:rPr>
        <w:t>(2), 75–86.</w:t>
      </w:r>
    </w:p>
    <w:p w14:paraId="10750D0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Isebor, C. E., &amp; Awosika, L. F. (1993). Nigerian mangrove resources, status and management. In E. S. Diop (Ed.), </w:t>
      </w:r>
      <w:r w:rsidRPr="009B0448">
        <w:rPr>
          <w:rFonts w:ascii="Times New Roman" w:hAnsi="Times New Roman" w:cs="Times New Roman"/>
          <w:i/>
          <w:color w:val="auto"/>
        </w:rPr>
        <w:t>Conservation and sustainable utilization of mangrove forests in Latin America and Africa regions. Part II–Africa</w:t>
      </w:r>
      <w:r w:rsidRPr="009B0448">
        <w:rPr>
          <w:rFonts w:ascii="Times New Roman" w:hAnsi="Times New Roman" w:cs="Times New Roman"/>
          <w:color w:val="auto"/>
        </w:rPr>
        <w:t xml:space="preserve">. Paris, France: UNESCO. Retrieved from </w:t>
      </w:r>
      <w:hyperlink r:id="rId854" w:history="1">
        <w:r w:rsidRPr="009B0448">
          <w:rPr>
            <w:rStyle w:val="Hyperlink"/>
            <w:rFonts w:ascii="Times New Roman" w:hAnsi="Times New Roman" w:cs="Times New Roman"/>
          </w:rPr>
          <w:t>http://agris.fao.org/agris-search/search.do?recordID=US201300075716</w:t>
        </w:r>
      </w:hyperlink>
      <w:r w:rsidRPr="009B0448">
        <w:rPr>
          <w:rFonts w:ascii="Times New Roman" w:hAnsi="Times New Roman" w:cs="Times New Roman"/>
          <w:color w:val="auto"/>
        </w:rPr>
        <w:t xml:space="preserve"> </w:t>
      </w:r>
    </w:p>
    <w:p w14:paraId="7580D75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IUCN. (2017). </w:t>
      </w:r>
      <w:r w:rsidRPr="009B0448">
        <w:rPr>
          <w:rFonts w:ascii="Times New Roman" w:hAnsi="Times New Roman" w:cs="Times New Roman"/>
          <w:i/>
          <w:color w:val="auto"/>
        </w:rPr>
        <w:t>Rules of procedure for IUCN Red List assessments 2017–2020</w:t>
      </w:r>
      <w:r w:rsidRPr="009B0448">
        <w:rPr>
          <w:rFonts w:ascii="Times New Roman" w:hAnsi="Times New Roman" w:cs="Times New Roman"/>
          <w:color w:val="auto"/>
        </w:rPr>
        <w:t xml:space="preserve">. Retrieved from </w:t>
      </w:r>
      <w:hyperlink r:id="rId855" w:history="1">
        <w:r w:rsidRPr="009B0448">
          <w:rPr>
            <w:rStyle w:val="Hyperlink"/>
            <w:rFonts w:ascii="Times New Roman" w:hAnsi="Times New Roman" w:cs="Times New Roman"/>
          </w:rPr>
          <w:t>https://www.iucn.org/sites/dev/files/content/documents/rules20of20procedure20for20red20list_2017-2020_19sep2016.pdf</w:t>
        </w:r>
      </w:hyperlink>
    </w:p>
    <w:p w14:paraId="6AD15D9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Jaeger, P., &amp; Adam, J. G. (1975). Les forets de l'etage culminal du Nimba Liberien. </w:t>
      </w:r>
      <w:r w:rsidRPr="009B0448">
        <w:rPr>
          <w:rFonts w:ascii="Times New Roman" w:hAnsi="Times New Roman" w:cs="Times New Roman"/>
          <w:i/>
          <w:color w:val="auto"/>
        </w:rPr>
        <w:t>Adansonia, 15</w:t>
      </w:r>
      <w:r w:rsidRPr="009B0448">
        <w:rPr>
          <w:rFonts w:ascii="Times New Roman" w:hAnsi="Times New Roman" w:cs="Times New Roman"/>
          <w:color w:val="auto"/>
        </w:rPr>
        <w:t>, 177–188.</w:t>
      </w:r>
    </w:p>
    <w:p w14:paraId="7CFFA2B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Jaeger, P. (1983). Le recesement des plantes vasculaires et les originalites du peuplement vegetal des monts Loma en Sierra Leone (Afrique Occidentale). </w:t>
      </w:r>
      <w:r w:rsidRPr="009B0448">
        <w:rPr>
          <w:rFonts w:ascii="Times New Roman" w:hAnsi="Times New Roman" w:cs="Times New Roman"/>
          <w:i/>
          <w:color w:val="auto"/>
        </w:rPr>
        <w:t>Bothalia, 14</w:t>
      </w:r>
      <w:r w:rsidRPr="009B0448">
        <w:rPr>
          <w:rFonts w:ascii="Times New Roman" w:hAnsi="Times New Roman" w:cs="Times New Roman"/>
          <w:color w:val="auto"/>
        </w:rPr>
        <w:t>, 539–542.</w:t>
      </w:r>
      <w:r w:rsidRPr="009B0448">
        <w:rPr>
          <w:rFonts w:ascii="Times New Roman" w:hAnsi="Times New Roman" w:cs="Times New Roman"/>
        </w:rPr>
        <w:t xml:space="preserve"> </w:t>
      </w:r>
      <w:hyperlink r:id="rId856" w:history="1">
        <w:r w:rsidRPr="009B0448">
          <w:rPr>
            <w:rStyle w:val="Hyperlink"/>
            <w:rFonts w:ascii="Times New Roman" w:hAnsi="Times New Roman" w:cs="Times New Roman"/>
          </w:rPr>
          <w:t>https://doi.org/10.4102/abc.v14i3/4.1205</w:t>
        </w:r>
      </w:hyperlink>
      <w:r w:rsidRPr="009B0448">
        <w:rPr>
          <w:rFonts w:ascii="Times New Roman" w:hAnsi="Times New Roman" w:cs="Times New Roman"/>
          <w:color w:val="auto"/>
        </w:rPr>
        <w:t xml:space="preserve"> </w:t>
      </w:r>
    </w:p>
    <w:p w14:paraId="76136B3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Joleaud, L. (1918). Etude de géographie zoologique sur la Berbérie, les rongeurs. I. Les sciuridés. </w:t>
      </w:r>
      <w:r w:rsidRPr="009B0448">
        <w:rPr>
          <w:rFonts w:ascii="Times New Roman" w:hAnsi="Times New Roman" w:cs="Times New Roman"/>
          <w:i/>
          <w:color w:val="auto"/>
        </w:rPr>
        <w:t>Bulletin de la Société zoologique de France, 43</w:t>
      </w:r>
      <w:r w:rsidRPr="009B0448">
        <w:rPr>
          <w:rFonts w:ascii="Times New Roman" w:hAnsi="Times New Roman" w:cs="Times New Roman"/>
          <w:color w:val="auto"/>
        </w:rPr>
        <w:t>, 83–102.</w:t>
      </w:r>
    </w:p>
    <w:p w14:paraId="6204806E" w14:textId="77777777" w:rsidR="009B0448" w:rsidRPr="009B0448" w:rsidRDefault="009B0448" w:rsidP="009B0448">
      <w:pPr>
        <w:spacing w:after="120" w:line="276" w:lineRule="auto"/>
        <w:ind w:left="567" w:hanging="567"/>
        <w:rPr>
          <w:rFonts w:ascii="Times New Roman" w:hAnsi="Times New Roman" w:cs="Times New Roman"/>
          <w:color w:val="auto"/>
          <w:u w:val="single"/>
        </w:rPr>
      </w:pPr>
      <w:r w:rsidRPr="009B0448">
        <w:rPr>
          <w:rFonts w:ascii="Times New Roman" w:hAnsi="Times New Roman" w:cs="Times New Roman"/>
          <w:color w:val="auto"/>
        </w:rPr>
        <w:t xml:space="preserve">Jones, D. O. B., Mrabure, C. O., &amp; Gates, A. R. (2013). Changes in deep-water epibenthic megafaunal assemblages in relation to seabed slope on the Nigerian margin. </w:t>
      </w:r>
      <w:r w:rsidRPr="009B0448">
        <w:rPr>
          <w:rFonts w:ascii="Times New Roman" w:hAnsi="Times New Roman" w:cs="Times New Roman"/>
          <w:i/>
          <w:color w:val="auto"/>
        </w:rPr>
        <w:t>Deep-Sea Research I, 78</w:t>
      </w:r>
      <w:r w:rsidRPr="009B0448">
        <w:rPr>
          <w:rFonts w:ascii="Times New Roman" w:hAnsi="Times New Roman" w:cs="Times New Roman"/>
          <w:color w:val="auto"/>
        </w:rPr>
        <w:t xml:space="preserve">, 49–57. </w:t>
      </w:r>
      <w:hyperlink r:id="rId857" w:history="1">
        <w:r w:rsidRPr="009B0448">
          <w:rPr>
            <w:rStyle w:val="Hyperlink"/>
            <w:rFonts w:ascii="Times New Roman" w:hAnsi="Times New Roman" w:cs="Times New Roman"/>
          </w:rPr>
          <w:t>https://doi.org/10.1016/j.dsr.2013.04.005</w:t>
        </w:r>
      </w:hyperlink>
    </w:p>
    <w:p w14:paraId="61BFF45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Junk, W. J., &amp; Piedad, M. T. F. (2005). The Amazon River basin. In L. H. Fraser, &amp; P. A. Keddy (Eds.), </w:t>
      </w:r>
      <w:r w:rsidRPr="009B0448">
        <w:rPr>
          <w:rFonts w:ascii="Times New Roman" w:hAnsi="Times New Roman" w:cs="Times New Roman"/>
          <w:i/>
          <w:color w:val="auto"/>
        </w:rPr>
        <w:t>The world’s largest wetlands: Ecology and conservation</w:t>
      </w:r>
      <w:r w:rsidRPr="009B0448">
        <w:rPr>
          <w:rFonts w:ascii="Times New Roman" w:hAnsi="Times New Roman" w:cs="Times New Roman"/>
          <w:color w:val="auto"/>
        </w:rPr>
        <w:t xml:space="preserve"> (pp. 63–117). Cambridge, UK: Cambridge University Press.</w:t>
      </w:r>
    </w:p>
    <w:p w14:paraId="1C0EB66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Jürgens, N., Gotzmann, I. H., &amp; Cowling, R. M. (1999). Remarkable medium-term dynamics of leaf succulent Mesembryanthemaceae shrubs in the winter-rainfall desert of northwestern Namaqualand, South Africa. </w:t>
      </w:r>
      <w:r w:rsidRPr="009B0448">
        <w:rPr>
          <w:rFonts w:ascii="Times New Roman" w:hAnsi="Times New Roman" w:cs="Times New Roman"/>
          <w:i/>
          <w:color w:val="auto"/>
        </w:rPr>
        <w:t>Plant Ecology, 142</w:t>
      </w:r>
      <w:r w:rsidRPr="009B0448">
        <w:rPr>
          <w:rFonts w:ascii="Times New Roman" w:hAnsi="Times New Roman" w:cs="Times New Roman"/>
          <w:color w:val="auto"/>
        </w:rPr>
        <w:t xml:space="preserve">, 87–96. </w:t>
      </w:r>
      <w:hyperlink r:id="rId858" w:history="1">
        <w:r w:rsidRPr="009B0448">
          <w:rPr>
            <w:rStyle w:val="Hyperlink"/>
            <w:rFonts w:ascii="Times New Roman" w:hAnsi="Times New Roman" w:cs="Times New Roman"/>
          </w:rPr>
          <w:t>https://doi.org/10.1023/A:1009862025821</w:t>
        </w:r>
      </w:hyperlink>
    </w:p>
    <w:p w14:paraId="7B77873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Kairo, J. G., Dahdouh-Guebas, F., Bosire, J., Koedam, N., &amp; Naidoo G. (2016). The mangroves of South Africa: An ecophysiological review. </w:t>
      </w:r>
      <w:r w:rsidRPr="009B0448">
        <w:rPr>
          <w:rFonts w:ascii="Times New Roman" w:hAnsi="Times New Roman" w:cs="Times New Roman"/>
          <w:i/>
          <w:color w:val="auto"/>
        </w:rPr>
        <w:t>South African Journal of Botany, 107</w:t>
      </w:r>
      <w:r w:rsidRPr="009B0448">
        <w:rPr>
          <w:rFonts w:ascii="Times New Roman" w:hAnsi="Times New Roman" w:cs="Times New Roman"/>
          <w:color w:val="auto"/>
        </w:rPr>
        <w:t xml:space="preserve">, 101–113. </w:t>
      </w:r>
      <w:hyperlink r:id="rId859" w:history="1">
        <w:r w:rsidRPr="009B0448">
          <w:rPr>
            <w:rStyle w:val="Hyperlink"/>
            <w:rFonts w:ascii="Times New Roman" w:hAnsi="Times New Roman" w:cs="Times New Roman"/>
          </w:rPr>
          <w:t>https://doi.org/10.1016/j.sajb.2016.04.014</w:t>
        </w:r>
      </w:hyperlink>
    </w:p>
    <w:p w14:paraId="338B635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Kalinga, G. M., &amp; Shayo, E. (1998). Agriculture in Tanzania wetlands. In FAO, </w:t>
      </w:r>
      <w:r w:rsidRPr="009B0448">
        <w:rPr>
          <w:rFonts w:ascii="Times New Roman" w:hAnsi="Times New Roman" w:cs="Times New Roman"/>
          <w:i/>
          <w:color w:val="auto"/>
        </w:rPr>
        <w:t>Wetland characterization and classification for sustainable agricultural development</w:t>
      </w:r>
      <w:r w:rsidRPr="009B0448">
        <w:rPr>
          <w:rFonts w:ascii="Times New Roman" w:hAnsi="Times New Roman" w:cs="Times New Roman"/>
          <w:color w:val="auto"/>
        </w:rPr>
        <w:t xml:space="preserve">. Rome, Italy: FAO. Retrieved from </w:t>
      </w:r>
      <w:hyperlink r:id="rId860" w:history="1">
        <w:r w:rsidRPr="009B0448">
          <w:rPr>
            <w:rStyle w:val="Hyperlink"/>
            <w:rFonts w:ascii="Times New Roman" w:hAnsi="Times New Roman" w:cs="Times New Roman"/>
          </w:rPr>
          <w:t>http://www.fao.org/docrep/003/x6611e/x6611e00.HTM</w:t>
        </w:r>
      </w:hyperlink>
      <w:r w:rsidRPr="009B0448">
        <w:rPr>
          <w:rFonts w:ascii="Times New Roman" w:hAnsi="Times New Roman" w:cs="Times New Roman"/>
          <w:color w:val="auto"/>
        </w:rPr>
        <w:t xml:space="preserve"> </w:t>
      </w:r>
    </w:p>
    <w:p w14:paraId="056E949D" w14:textId="77777777" w:rsidR="009B0448" w:rsidRPr="009B0448" w:rsidRDefault="009B0448" w:rsidP="009B0448">
      <w:pPr>
        <w:spacing w:after="120" w:line="276" w:lineRule="auto"/>
        <w:ind w:left="567" w:hanging="567"/>
        <w:rPr>
          <w:rFonts w:ascii="Times New Roman" w:hAnsi="Times New Roman" w:cs="Times New Roman"/>
          <w:color w:val="auto"/>
          <w:u w:val="single"/>
          <w:lang w:val="de-DE"/>
        </w:rPr>
      </w:pPr>
      <w:r w:rsidRPr="009B0448">
        <w:rPr>
          <w:rFonts w:ascii="Times New Roman" w:hAnsi="Times New Roman" w:cs="Times New Roman"/>
          <w:color w:val="auto"/>
          <w:lang w:val="en-US"/>
        </w:rPr>
        <w:t xml:space="preserve">Kaptué, A. T., Prihodko, L., &amp; Hanan, N. P. (2015). </w:t>
      </w:r>
      <w:r w:rsidRPr="009B0448">
        <w:rPr>
          <w:rFonts w:ascii="Times New Roman" w:hAnsi="Times New Roman" w:cs="Times New Roman"/>
          <w:color w:val="auto"/>
        </w:rPr>
        <w:t xml:space="preserve">On regreening and degradation in Sahelian watersheds. </w:t>
      </w:r>
      <w:r w:rsidRPr="009B0448">
        <w:rPr>
          <w:rFonts w:ascii="Times New Roman" w:hAnsi="Times New Roman" w:cs="Times New Roman"/>
          <w:i/>
          <w:color w:val="auto"/>
          <w:lang w:val="de-DE"/>
        </w:rPr>
        <w:t>Proceedings of the National Academy of Sciences of the United States of America, 112</w:t>
      </w:r>
      <w:r w:rsidRPr="009B0448">
        <w:rPr>
          <w:rFonts w:ascii="Times New Roman" w:hAnsi="Times New Roman" w:cs="Times New Roman"/>
          <w:color w:val="auto"/>
          <w:lang w:val="de-DE"/>
        </w:rPr>
        <w:t xml:space="preserve">(39), 12133–12138. </w:t>
      </w:r>
      <w:hyperlink r:id="rId861" w:history="1">
        <w:r w:rsidRPr="009B0448">
          <w:rPr>
            <w:rStyle w:val="Hyperlink"/>
            <w:rFonts w:ascii="Times New Roman" w:hAnsi="Times New Roman" w:cs="Times New Roman"/>
            <w:lang w:val="de-DE"/>
          </w:rPr>
          <w:t>https://doi.org/10.1073/pnas.1509645112</w:t>
        </w:r>
      </w:hyperlink>
      <w:r w:rsidRPr="009B0448">
        <w:rPr>
          <w:rFonts w:ascii="Times New Roman" w:hAnsi="Times New Roman" w:cs="Times New Roman"/>
          <w:color w:val="auto"/>
          <w:lang w:val="de-DE"/>
        </w:rPr>
        <w:t xml:space="preserve"> </w:t>
      </w:r>
    </w:p>
    <w:p w14:paraId="7E48119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Karamanlidis, A. A., &amp; Dendrinos, P. (2015). </w:t>
      </w:r>
      <w:r w:rsidRPr="009B0448">
        <w:rPr>
          <w:rFonts w:ascii="Times New Roman" w:hAnsi="Times New Roman" w:cs="Times New Roman"/>
          <w:i/>
          <w:color w:val="auto"/>
          <w:lang w:val="de-DE"/>
        </w:rPr>
        <w:t>Monachus monachus</w:t>
      </w:r>
      <w:r w:rsidRPr="009B0448">
        <w:rPr>
          <w:rFonts w:ascii="Times New Roman" w:hAnsi="Times New Roman" w:cs="Times New Roman"/>
          <w:color w:val="auto"/>
          <w:lang w:val="de-DE"/>
        </w:rPr>
        <w:t xml:space="preserve">. </w:t>
      </w:r>
      <w:r w:rsidRPr="009B0448">
        <w:rPr>
          <w:rFonts w:ascii="Times New Roman" w:hAnsi="Times New Roman" w:cs="Times New Roman"/>
          <w:color w:val="auto"/>
        </w:rPr>
        <w:t xml:space="preserve">Gland, Switzerland: IUCN. </w:t>
      </w:r>
      <w:hyperlink r:id="rId862" w:history="1">
        <w:r w:rsidRPr="009B0448">
          <w:rPr>
            <w:rStyle w:val="Hyperlink"/>
            <w:rFonts w:ascii="Times New Roman" w:hAnsi="Times New Roman" w:cs="Times New Roman"/>
          </w:rPr>
          <w:t>https://doi.org/10.2305/IUCN.UK.2015-4.RLTS.T13653A45227543.en</w:t>
        </w:r>
      </w:hyperlink>
    </w:p>
    <w:p w14:paraId="2DD8B84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Kershaw, P., &amp; Lebreton, L. (2016). Floating plastic debris. In IOC-UNESCO, &amp; UNEP (Eds.), </w:t>
      </w:r>
      <w:r w:rsidRPr="009B0448">
        <w:rPr>
          <w:rFonts w:ascii="Times New Roman" w:hAnsi="Times New Roman" w:cs="Times New Roman"/>
          <w:i/>
          <w:color w:val="auto"/>
        </w:rPr>
        <w:t>Large marine ecosystems, status and trends</w:t>
      </w:r>
      <w:r w:rsidRPr="009B0448">
        <w:rPr>
          <w:rFonts w:ascii="Times New Roman" w:hAnsi="Times New Roman" w:cs="Times New Roman"/>
          <w:color w:val="auto"/>
        </w:rPr>
        <w:t xml:space="preserve"> (pp. 153–163). Nairobi, Kenya: UNEP. Retrieved from </w:t>
      </w:r>
      <w:hyperlink r:id="rId863" w:history="1">
        <w:r w:rsidRPr="009B0448">
          <w:rPr>
            <w:rStyle w:val="Hyperlink"/>
            <w:rFonts w:ascii="Times New Roman" w:hAnsi="Times New Roman" w:cs="Times New Roman"/>
          </w:rPr>
          <w:t>http://www.unesco.org/new/fileadmin/MULTIMEDIA/HQ/SC/pdf/TWAP_LMEs_launch.pdf</w:t>
        </w:r>
      </w:hyperlink>
      <w:r w:rsidRPr="009B0448">
        <w:rPr>
          <w:rFonts w:ascii="Times New Roman" w:hAnsi="Times New Roman" w:cs="Times New Roman"/>
          <w:color w:val="auto"/>
        </w:rPr>
        <w:t xml:space="preserve"> </w:t>
      </w:r>
    </w:p>
    <w:p w14:paraId="6E2292E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Kingdon, J. (1989). </w:t>
      </w:r>
      <w:r w:rsidRPr="009B0448">
        <w:rPr>
          <w:rFonts w:ascii="Times New Roman" w:hAnsi="Times New Roman" w:cs="Times New Roman"/>
          <w:i/>
          <w:color w:val="auto"/>
        </w:rPr>
        <w:t>Island Africa: The evolution of Africa’s rare animals and plants</w:t>
      </w:r>
      <w:r w:rsidRPr="009B0448">
        <w:rPr>
          <w:rFonts w:ascii="Times New Roman" w:hAnsi="Times New Roman" w:cs="Times New Roman"/>
          <w:color w:val="auto"/>
        </w:rPr>
        <w:t xml:space="preserve">. Princeton, USA: Princeton University Press. </w:t>
      </w:r>
    </w:p>
    <w:p w14:paraId="3F6B4FB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Kirui, K. B., Kairo, J. G., Bosire, J., Viergever, K. M., Rudra, S., Huxham, M., &amp; Briers, R. A. (2013). Mapping of mangrove forest land cover change along the Kenya coastline using Landsat imagery. </w:t>
      </w:r>
      <w:r w:rsidRPr="009B0448">
        <w:rPr>
          <w:rFonts w:ascii="Times New Roman" w:hAnsi="Times New Roman" w:cs="Times New Roman"/>
          <w:i/>
          <w:color w:val="auto"/>
        </w:rPr>
        <w:t>Ocean and Coastal Management, 83</w:t>
      </w:r>
      <w:r w:rsidRPr="009B0448">
        <w:rPr>
          <w:rFonts w:ascii="Times New Roman" w:hAnsi="Times New Roman" w:cs="Times New Roman"/>
          <w:color w:val="auto"/>
        </w:rPr>
        <w:t xml:space="preserve">, 19–24. </w:t>
      </w:r>
      <w:hyperlink r:id="rId864" w:history="1">
        <w:r w:rsidRPr="009B0448">
          <w:rPr>
            <w:rStyle w:val="Hyperlink"/>
            <w:rFonts w:ascii="Times New Roman" w:hAnsi="Times New Roman" w:cs="Times New Roman"/>
          </w:rPr>
          <w:t>https://doi.org/10.1016/j.ocecoaman.2011.12.004</w:t>
        </w:r>
      </w:hyperlink>
    </w:p>
    <w:p w14:paraId="12DEBDA2" w14:textId="77777777" w:rsidR="009B0448" w:rsidRPr="009B0448" w:rsidRDefault="009B0448" w:rsidP="009B0448">
      <w:pPr>
        <w:spacing w:after="120" w:line="276" w:lineRule="auto"/>
        <w:ind w:left="567" w:hanging="567"/>
        <w:rPr>
          <w:rFonts w:ascii="Times New Roman" w:hAnsi="Times New Roman" w:cs="Times New Roman"/>
          <w:color w:val="auto"/>
          <w:u w:val="single"/>
        </w:rPr>
      </w:pPr>
      <w:r w:rsidRPr="009B0448">
        <w:rPr>
          <w:rFonts w:ascii="Times New Roman" w:hAnsi="Times New Roman" w:cs="Times New Roman"/>
          <w:color w:val="auto"/>
        </w:rPr>
        <w:t xml:space="preserve">Knauer, K., Gessner, U., Dech, S., &amp; Kuezner, C. (2014). Remote sensing of vegetation dynamics in West Africa. </w:t>
      </w:r>
      <w:r w:rsidRPr="009B0448">
        <w:rPr>
          <w:rFonts w:ascii="Times New Roman" w:hAnsi="Times New Roman" w:cs="Times New Roman"/>
          <w:i/>
          <w:color w:val="auto"/>
        </w:rPr>
        <w:t>International Journal of Remote Sensing, 35</w:t>
      </w:r>
      <w:r w:rsidRPr="009B0448">
        <w:rPr>
          <w:rFonts w:ascii="Times New Roman" w:hAnsi="Times New Roman" w:cs="Times New Roman"/>
          <w:color w:val="auto"/>
        </w:rPr>
        <w:t xml:space="preserve">(17), 6357–6396. </w:t>
      </w:r>
      <w:hyperlink r:id="rId865" w:history="1">
        <w:r w:rsidRPr="009B0448">
          <w:rPr>
            <w:rStyle w:val="Hyperlink"/>
            <w:rFonts w:ascii="Times New Roman" w:hAnsi="Times New Roman" w:cs="Times New Roman"/>
          </w:rPr>
          <w:t>https://doi.org/10.1080/01431161.2014.954062</w:t>
        </w:r>
      </w:hyperlink>
    </w:p>
    <w:p w14:paraId="061DBDA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Lala, S., Amri, A., &amp; Maxted, N. (2017). </w:t>
      </w:r>
      <w:r w:rsidRPr="009B0448">
        <w:rPr>
          <w:rFonts w:ascii="Times New Roman" w:hAnsi="Times New Roman" w:cs="Times New Roman"/>
          <w:color w:val="auto"/>
        </w:rPr>
        <w:t xml:space="preserve">Towards the conservation of crop wild relative diversity in North Africa: checklist, prioritisation and inventory. </w:t>
      </w:r>
      <w:r w:rsidRPr="009B0448">
        <w:rPr>
          <w:rFonts w:ascii="Times New Roman" w:hAnsi="Times New Roman" w:cs="Times New Roman"/>
          <w:i/>
          <w:color w:val="auto"/>
        </w:rPr>
        <w:t xml:space="preserve">Genetic Resources and Crop Evolution, </w:t>
      </w:r>
      <w:r w:rsidRPr="009B0448">
        <w:rPr>
          <w:rFonts w:ascii="Times New Roman" w:hAnsi="Times New Roman" w:cs="Times New Roman"/>
          <w:color w:val="auto"/>
        </w:rPr>
        <w:t xml:space="preserve">65, 113–124. </w:t>
      </w:r>
      <w:hyperlink r:id="rId866" w:history="1">
        <w:r w:rsidRPr="009B0448">
          <w:rPr>
            <w:rStyle w:val="Hyperlink"/>
            <w:rFonts w:ascii="Times New Roman" w:hAnsi="Times New Roman" w:cs="Times New Roman"/>
          </w:rPr>
          <w:t>https://doi.org/10.1007/s10722-017-0513-5</w:t>
        </w:r>
      </w:hyperlink>
      <w:r w:rsidRPr="009B0448">
        <w:rPr>
          <w:rFonts w:ascii="Times New Roman" w:hAnsi="Times New Roman" w:cs="Times New Roman"/>
          <w:color w:val="auto"/>
        </w:rPr>
        <w:t xml:space="preserve"> </w:t>
      </w:r>
    </w:p>
    <w:p w14:paraId="3E0091C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Lamprey, H. F. (1975). </w:t>
      </w:r>
      <w:r w:rsidRPr="009B0448">
        <w:rPr>
          <w:rFonts w:ascii="Times New Roman" w:hAnsi="Times New Roman" w:cs="Times New Roman"/>
          <w:i/>
          <w:color w:val="auto"/>
        </w:rPr>
        <w:t>Report on the desert encroachment reconnaissance in northern Sudan</w:t>
      </w:r>
      <w:r w:rsidRPr="009B0448">
        <w:rPr>
          <w:rFonts w:ascii="Times New Roman" w:hAnsi="Times New Roman" w:cs="Times New Roman"/>
          <w:color w:val="auto"/>
        </w:rPr>
        <w:t xml:space="preserve">. Rome, Italy: FAO. Retrieved from </w:t>
      </w:r>
      <w:hyperlink r:id="rId867" w:history="1">
        <w:r w:rsidRPr="009B0448">
          <w:rPr>
            <w:rStyle w:val="Hyperlink"/>
            <w:rFonts w:ascii="Times New Roman" w:hAnsi="Times New Roman" w:cs="Times New Roman"/>
          </w:rPr>
          <w:t>http://agris.fao.org/agris-search/search.do?recordID=US201302684381</w:t>
        </w:r>
      </w:hyperlink>
    </w:p>
    <w:p w14:paraId="36E5FD7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Langdale-Brown, I., Osmaston, H. A., &amp; Wilson. J. G. (1964). T</w:t>
      </w:r>
      <w:r w:rsidRPr="009B0448">
        <w:rPr>
          <w:rFonts w:ascii="Times New Roman" w:hAnsi="Times New Roman" w:cs="Times New Roman"/>
          <w:i/>
          <w:color w:val="auto"/>
        </w:rPr>
        <w:t>he vegetation of Uganda and its bearing on land use.</w:t>
      </w:r>
      <w:r w:rsidRPr="009B0448">
        <w:rPr>
          <w:rFonts w:ascii="Times New Roman" w:hAnsi="Times New Roman" w:cs="Times New Roman"/>
          <w:color w:val="auto"/>
        </w:rPr>
        <w:t xml:space="preserve"> Entebbe, Uganda: Government of Uganda. Retrieved from </w:t>
      </w:r>
      <w:hyperlink r:id="rId868" w:history="1">
        <w:r w:rsidRPr="009B0448">
          <w:rPr>
            <w:rStyle w:val="Hyperlink"/>
            <w:rFonts w:ascii="Times New Roman" w:hAnsi="Times New Roman" w:cs="Times New Roman"/>
          </w:rPr>
          <w:t>https://trove.nla.gov.au/work/10743977?q&amp;versionId=44482583</w:t>
        </w:r>
      </w:hyperlink>
      <w:r w:rsidRPr="009B0448">
        <w:rPr>
          <w:rFonts w:ascii="Times New Roman" w:hAnsi="Times New Roman" w:cs="Times New Roman"/>
          <w:color w:val="auto"/>
        </w:rPr>
        <w:t xml:space="preserve"> </w:t>
      </w:r>
    </w:p>
    <w:p w14:paraId="3039036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Langrand, O. (1990). </w:t>
      </w:r>
      <w:r w:rsidRPr="009B0448">
        <w:rPr>
          <w:rFonts w:ascii="Times New Roman" w:hAnsi="Times New Roman" w:cs="Times New Roman"/>
          <w:i/>
          <w:color w:val="auto"/>
        </w:rPr>
        <w:t>Guide to the birds of Madagascar</w:t>
      </w:r>
      <w:r w:rsidRPr="009B0448">
        <w:rPr>
          <w:rFonts w:ascii="Times New Roman" w:hAnsi="Times New Roman" w:cs="Times New Roman"/>
          <w:color w:val="auto"/>
        </w:rPr>
        <w:t xml:space="preserve">. New haven, USA: Yale University Press. Retrieved from </w:t>
      </w:r>
      <w:hyperlink r:id="rId869" w:history="1">
        <w:r w:rsidRPr="009B0448">
          <w:rPr>
            <w:rStyle w:val="Hyperlink"/>
            <w:rFonts w:ascii="Times New Roman" w:hAnsi="Times New Roman" w:cs="Times New Roman"/>
          </w:rPr>
          <w:t>https://trove.nla.gov.au/version/44482583</w:t>
        </w:r>
      </w:hyperlink>
      <w:r w:rsidRPr="009B0448">
        <w:rPr>
          <w:rFonts w:ascii="Times New Roman" w:hAnsi="Times New Roman" w:cs="Times New Roman"/>
        </w:rPr>
        <w:t xml:space="preserve"> </w:t>
      </w:r>
    </w:p>
    <w:p w14:paraId="1644BCC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Laube, W. (2007). </w:t>
      </w:r>
      <w:r w:rsidRPr="009B0448">
        <w:rPr>
          <w:rFonts w:ascii="Times New Roman" w:hAnsi="Times New Roman" w:cs="Times New Roman"/>
          <w:i/>
          <w:color w:val="auto"/>
        </w:rPr>
        <w:t>Changing natural resource regimes in northern Ghana. Actors, structure and institutions.</w:t>
      </w:r>
      <w:r w:rsidRPr="009B0448">
        <w:rPr>
          <w:rFonts w:ascii="Times New Roman" w:hAnsi="Times New Roman" w:cs="Times New Roman"/>
          <w:color w:val="auto"/>
        </w:rPr>
        <w:t xml:space="preserve"> Münster, Germany: Lit Verlag. </w:t>
      </w:r>
    </w:p>
    <w:p w14:paraId="660B95E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Lawes, M. J., Macfarlane, D. M., Eeley, H. A. C. (2004). Forest landscape pattern in the KwaZulu-Natal midlands South Africa: 50 years of change or stasis? </w:t>
      </w:r>
      <w:r w:rsidRPr="009B0448">
        <w:rPr>
          <w:rFonts w:ascii="Times New Roman" w:hAnsi="Times New Roman" w:cs="Times New Roman"/>
          <w:i/>
          <w:color w:val="auto"/>
        </w:rPr>
        <w:t>Austral Ecology, 29</w:t>
      </w:r>
      <w:r w:rsidRPr="009B0448">
        <w:rPr>
          <w:rFonts w:ascii="Times New Roman" w:hAnsi="Times New Roman" w:cs="Times New Roman"/>
          <w:color w:val="auto"/>
        </w:rPr>
        <w:t xml:space="preserve">, 613–623. </w:t>
      </w:r>
      <w:hyperlink r:id="rId870" w:history="1">
        <w:r w:rsidRPr="009B0448">
          <w:rPr>
            <w:rStyle w:val="Hyperlink"/>
            <w:rFonts w:ascii="Times New Roman" w:hAnsi="Times New Roman" w:cs="Times New Roman"/>
          </w:rPr>
          <w:t>https://doi.org/10.1111/j.1442-9993.2004.01396.x</w:t>
        </w:r>
      </w:hyperlink>
      <w:r w:rsidRPr="009B0448">
        <w:rPr>
          <w:rFonts w:ascii="Times New Roman" w:hAnsi="Times New Roman" w:cs="Times New Roman"/>
          <w:color w:val="auto"/>
        </w:rPr>
        <w:t xml:space="preserve"> </w:t>
      </w:r>
    </w:p>
    <w:p w14:paraId="6583B1A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Le Guillox, E., Olu, K., Bourillet, J. F., Savoye, B., Iglésias, S. P., &amp; Sibuet, M. (2009). First observations of deep-sea coral reefs along the Angola margin. </w:t>
      </w:r>
      <w:r w:rsidRPr="009B0448">
        <w:rPr>
          <w:rFonts w:ascii="Times New Roman" w:hAnsi="Times New Roman" w:cs="Times New Roman"/>
          <w:i/>
          <w:color w:val="auto"/>
        </w:rPr>
        <w:t>Deep-Sea Research, 56</w:t>
      </w:r>
      <w:r w:rsidRPr="009B0448">
        <w:rPr>
          <w:rFonts w:ascii="Times New Roman" w:hAnsi="Times New Roman" w:cs="Times New Roman"/>
          <w:color w:val="auto"/>
        </w:rPr>
        <w:t xml:space="preserve">, 2394–2403. </w:t>
      </w:r>
      <w:hyperlink r:id="rId871" w:history="1">
        <w:r w:rsidRPr="009B0448">
          <w:rPr>
            <w:rStyle w:val="Hyperlink"/>
            <w:rFonts w:ascii="Times New Roman" w:hAnsi="Times New Roman" w:cs="Times New Roman"/>
          </w:rPr>
          <w:t>https://doi.org/10.1016/j.dsr2.2009.04.014</w:t>
        </w:r>
      </w:hyperlink>
    </w:p>
    <w:p w14:paraId="0843974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Leach, M., &amp; Scoones, Y. (2013). Carbon forestry in West Africa: The politics of models, measures and verification processes. </w:t>
      </w:r>
      <w:r w:rsidRPr="009B0448">
        <w:rPr>
          <w:rFonts w:ascii="Times New Roman" w:hAnsi="Times New Roman" w:cs="Times New Roman"/>
          <w:i/>
          <w:color w:val="auto"/>
        </w:rPr>
        <w:t>Global Environmental Change, 23</w:t>
      </w:r>
      <w:r w:rsidRPr="009B0448">
        <w:rPr>
          <w:rFonts w:ascii="Times New Roman" w:hAnsi="Times New Roman" w:cs="Times New Roman"/>
          <w:color w:val="auto"/>
        </w:rPr>
        <w:t xml:space="preserve">(5), 957–967. </w:t>
      </w:r>
      <w:hyperlink r:id="rId872" w:history="1">
        <w:r w:rsidRPr="009B0448">
          <w:rPr>
            <w:rStyle w:val="Hyperlink"/>
            <w:rFonts w:ascii="Times New Roman" w:hAnsi="Times New Roman" w:cs="Times New Roman"/>
          </w:rPr>
          <w:t>https://doi.org/10.1016/j.gloenvcha.2013.07.008</w:t>
        </w:r>
      </w:hyperlink>
    </w:p>
    <w:p w14:paraId="24106F4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Lewis, M., Pryor, R., &amp; Wilking, L. (2013). Fate and effects of anthropogenic chemicals in mangrove ecosystems: A review. </w:t>
      </w:r>
      <w:r w:rsidRPr="009B0448">
        <w:rPr>
          <w:rFonts w:ascii="Times New Roman" w:hAnsi="Times New Roman" w:cs="Times New Roman"/>
          <w:i/>
          <w:color w:val="auto"/>
        </w:rPr>
        <w:t>Environmental Pollution, 180</w:t>
      </w:r>
      <w:r w:rsidRPr="009B0448">
        <w:rPr>
          <w:rFonts w:ascii="Times New Roman" w:hAnsi="Times New Roman" w:cs="Times New Roman"/>
          <w:color w:val="auto"/>
        </w:rPr>
        <w:t xml:space="preserve">, 345–367. </w:t>
      </w:r>
      <w:hyperlink r:id="rId873" w:history="1">
        <w:r w:rsidRPr="009B0448">
          <w:rPr>
            <w:rStyle w:val="Hyperlink"/>
            <w:rFonts w:ascii="Times New Roman" w:hAnsi="Times New Roman" w:cs="Times New Roman"/>
          </w:rPr>
          <w:t>https://doi.org/10.1016/j.envpol.2011.04.027</w:t>
        </w:r>
      </w:hyperlink>
    </w:p>
    <w:p w14:paraId="258A4F9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Lind, E. M., &amp; Morrison M. E. S. (1974). </w:t>
      </w:r>
      <w:r w:rsidRPr="009B0448">
        <w:rPr>
          <w:rFonts w:ascii="Times New Roman" w:hAnsi="Times New Roman" w:cs="Times New Roman"/>
          <w:i/>
          <w:color w:val="auto"/>
        </w:rPr>
        <w:t>East African vegetation</w:t>
      </w:r>
      <w:r w:rsidRPr="009B0448">
        <w:rPr>
          <w:rFonts w:ascii="Times New Roman" w:hAnsi="Times New Roman" w:cs="Times New Roman"/>
          <w:color w:val="auto"/>
        </w:rPr>
        <w:t>. London, UK: Longman</w:t>
      </w:r>
    </w:p>
    <w:p w14:paraId="461B0D72" w14:textId="77777777" w:rsidR="009B0448" w:rsidRPr="009B0448" w:rsidRDefault="009B0448" w:rsidP="009B0448">
      <w:pPr>
        <w:spacing w:after="120" w:line="276" w:lineRule="auto"/>
        <w:ind w:left="567" w:hanging="567"/>
        <w:rPr>
          <w:rFonts w:ascii="Times New Roman" w:hAnsi="Times New Roman" w:cs="Times New Roman"/>
          <w:color w:val="auto"/>
          <w:u w:val="single"/>
        </w:rPr>
      </w:pPr>
      <w:r w:rsidRPr="009B0448">
        <w:rPr>
          <w:rFonts w:ascii="Times New Roman" w:hAnsi="Times New Roman" w:cs="Times New Roman"/>
          <w:color w:val="auto"/>
        </w:rPr>
        <w:t xml:space="preserve">Liu, Z., Wimberly, M. C., &amp; Dwomoh, F. K. (2017). Vegetation dynamics in the Upper Guinean forest region of West Africa from 2001 to 2015. </w:t>
      </w:r>
      <w:r w:rsidRPr="009B0448">
        <w:rPr>
          <w:rFonts w:ascii="Times New Roman" w:hAnsi="Times New Roman" w:cs="Times New Roman"/>
          <w:i/>
          <w:color w:val="auto"/>
        </w:rPr>
        <w:t>Remote sensing, 9</w:t>
      </w:r>
      <w:r w:rsidRPr="009B0448">
        <w:rPr>
          <w:rFonts w:ascii="Times New Roman" w:hAnsi="Times New Roman" w:cs="Times New Roman"/>
          <w:color w:val="auto"/>
        </w:rPr>
        <w:t xml:space="preserve">(1), 5. </w:t>
      </w:r>
      <w:hyperlink r:id="rId874" w:history="1">
        <w:r w:rsidRPr="009B0448">
          <w:rPr>
            <w:rStyle w:val="Hyperlink"/>
            <w:rFonts w:ascii="Times New Roman" w:hAnsi="Times New Roman" w:cs="Times New Roman"/>
          </w:rPr>
          <w:t>https://doi.org/10.3390/rs9010005</w:t>
        </w:r>
      </w:hyperlink>
      <w:r w:rsidRPr="009B0448">
        <w:rPr>
          <w:rFonts w:ascii="Times New Roman" w:hAnsi="Times New Roman" w:cs="Times New Roman"/>
          <w:color w:val="auto"/>
        </w:rPr>
        <w:t xml:space="preserve"> </w:t>
      </w:r>
    </w:p>
    <w:p w14:paraId="16DFA8DB" w14:textId="77777777" w:rsidR="009B0448" w:rsidRPr="009B0448" w:rsidRDefault="009B0448" w:rsidP="009B0448">
      <w:pPr>
        <w:spacing w:after="120" w:line="276" w:lineRule="auto"/>
        <w:ind w:left="567" w:hanging="567"/>
        <w:rPr>
          <w:rFonts w:ascii="Times New Roman" w:hAnsi="Times New Roman" w:cs="Times New Roman"/>
          <w:color w:val="auto"/>
          <w:u w:val="single"/>
        </w:rPr>
      </w:pPr>
      <w:r w:rsidRPr="009B0448">
        <w:rPr>
          <w:rFonts w:ascii="Times New Roman" w:hAnsi="Times New Roman" w:cs="Times New Roman"/>
          <w:color w:val="auto"/>
        </w:rPr>
        <w:t xml:space="preserve">Lloyd, P., Plagányi, É. E., Weeks, S. J., Magno-Canto, M., &amp; Plagányi, G. (2012). Ocean warming alters species abundance patterns and increases species diversity in an African sub-tropical reef-fish community. </w:t>
      </w:r>
      <w:r w:rsidRPr="009B0448">
        <w:rPr>
          <w:rFonts w:ascii="Times New Roman" w:hAnsi="Times New Roman" w:cs="Times New Roman"/>
          <w:i/>
          <w:color w:val="auto"/>
        </w:rPr>
        <w:t>Fisheries Oceanography, 21</w:t>
      </w:r>
      <w:r w:rsidRPr="009B0448">
        <w:rPr>
          <w:rFonts w:ascii="Times New Roman" w:hAnsi="Times New Roman" w:cs="Times New Roman"/>
          <w:color w:val="auto"/>
        </w:rPr>
        <w:t xml:space="preserve">(1), 78–94. </w:t>
      </w:r>
      <w:hyperlink r:id="rId875" w:history="1">
        <w:r w:rsidRPr="009B0448">
          <w:rPr>
            <w:rStyle w:val="Hyperlink"/>
            <w:rFonts w:ascii="Times New Roman" w:hAnsi="Times New Roman" w:cs="Times New Roman"/>
          </w:rPr>
          <w:t>https://doi.org/10.1111/j.1365-2419.2011.00610.x</w:t>
        </w:r>
      </w:hyperlink>
    </w:p>
    <w:p w14:paraId="1D5D9641" w14:textId="77777777" w:rsidR="009B0448" w:rsidRPr="009B0448" w:rsidRDefault="009B0448" w:rsidP="009B0448">
      <w:pPr>
        <w:spacing w:after="120" w:line="276" w:lineRule="auto"/>
        <w:ind w:left="567" w:hanging="567"/>
        <w:rPr>
          <w:rFonts w:ascii="Times New Roman" w:hAnsi="Times New Roman" w:cs="Times New Roman"/>
          <w:color w:val="auto"/>
          <w:u w:val="single"/>
        </w:rPr>
      </w:pPr>
      <w:r w:rsidRPr="009B0448">
        <w:rPr>
          <w:rFonts w:ascii="Times New Roman" w:hAnsi="Times New Roman" w:cs="Times New Roman"/>
          <w:color w:val="auto"/>
        </w:rPr>
        <w:t>Loader, S. P., Gower, D. J., Müller, H., &amp; Menegon, M. (2010). Two new species of Callulina (</w:t>
      </w:r>
      <w:r w:rsidRPr="009B0448">
        <w:rPr>
          <w:rFonts w:ascii="Times New Roman" w:hAnsi="Times New Roman" w:cs="Times New Roman"/>
          <w:i/>
          <w:color w:val="auto"/>
        </w:rPr>
        <w:t>Amphibia: Anura</w:t>
      </w:r>
      <w:r w:rsidRPr="009B0448">
        <w:rPr>
          <w:rFonts w:ascii="Times New Roman" w:hAnsi="Times New Roman" w:cs="Times New Roman"/>
          <w:color w:val="auto"/>
        </w:rPr>
        <w:t xml:space="preserve">: Brevicipitidae) from the Nguru mountains, Tanzania. </w:t>
      </w:r>
      <w:r w:rsidRPr="009B0448">
        <w:rPr>
          <w:rFonts w:ascii="Times New Roman" w:hAnsi="Times New Roman" w:cs="Times New Roman"/>
          <w:i/>
          <w:color w:val="auto"/>
        </w:rPr>
        <w:t>Zootaxa, 2694</w:t>
      </w:r>
      <w:r w:rsidRPr="009B0448">
        <w:rPr>
          <w:rFonts w:ascii="Times New Roman" w:hAnsi="Times New Roman" w:cs="Times New Roman"/>
          <w:color w:val="auto"/>
        </w:rPr>
        <w:t>, 26–42.</w:t>
      </w:r>
      <w:r w:rsidRPr="009B0448">
        <w:rPr>
          <w:rFonts w:ascii="Times New Roman" w:hAnsi="Times New Roman" w:cs="Times New Roman"/>
        </w:rPr>
        <w:t xml:space="preserve"> </w:t>
      </w:r>
      <w:hyperlink r:id="rId876" w:history="1">
        <w:r w:rsidRPr="009B0448">
          <w:rPr>
            <w:rStyle w:val="Hyperlink"/>
            <w:rFonts w:ascii="Times New Roman" w:hAnsi="Times New Roman" w:cs="Times New Roman"/>
          </w:rPr>
          <w:t>https://doi.org/10.1111/j.1096-3642.2010.00652.x</w:t>
        </w:r>
      </w:hyperlink>
      <w:r w:rsidRPr="009B0448">
        <w:rPr>
          <w:rFonts w:ascii="Times New Roman" w:hAnsi="Times New Roman" w:cs="Times New Roman"/>
          <w:color w:val="auto"/>
        </w:rPr>
        <w:t xml:space="preserve"> </w:t>
      </w:r>
    </w:p>
    <w:p w14:paraId="2A59F40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Loggers, C. O, Thévenot, M., &amp; Aulagnier, S. (1992). Status and distribution of Moroccan wild ungulates. </w:t>
      </w:r>
      <w:r w:rsidRPr="009B0448">
        <w:rPr>
          <w:rFonts w:ascii="Times New Roman" w:hAnsi="Times New Roman" w:cs="Times New Roman"/>
          <w:i/>
          <w:color w:val="auto"/>
        </w:rPr>
        <w:t>Biological Conservation</w:t>
      </w:r>
      <w:r w:rsidRPr="009B0448">
        <w:rPr>
          <w:rFonts w:ascii="Times New Roman" w:hAnsi="Times New Roman" w:cs="Times New Roman"/>
          <w:color w:val="auto"/>
        </w:rPr>
        <w:t xml:space="preserve">, 59(1), 9–18. </w:t>
      </w:r>
      <w:hyperlink r:id="rId877" w:history="1">
        <w:r w:rsidRPr="009B0448">
          <w:rPr>
            <w:rStyle w:val="Hyperlink"/>
            <w:rFonts w:ascii="Times New Roman" w:hAnsi="Times New Roman" w:cs="Times New Roman"/>
          </w:rPr>
          <w:t>https://doi.org/10.1016/0006-3207(92)90708-U</w:t>
        </w:r>
      </w:hyperlink>
    </w:p>
    <w:p w14:paraId="57F3CE7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Lonsdale, K., &amp; Du, M. (2009). </w:t>
      </w:r>
      <w:r w:rsidRPr="009B0448">
        <w:rPr>
          <w:rFonts w:ascii="Times New Roman" w:hAnsi="Times New Roman" w:cs="Times New Roman"/>
          <w:i/>
          <w:color w:val="auto"/>
        </w:rPr>
        <w:t>Cape Town learning example: Urban water supply. Adaption and Mitigation Strategies (ADAM): Supporting European Climate Policy</w:t>
      </w:r>
      <w:r w:rsidRPr="009B0448">
        <w:rPr>
          <w:rFonts w:ascii="Times New Roman" w:hAnsi="Times New Roman" w:cs="Times New Roman"/>
          <w:color w:val="auto"/>
        </w:rPr>
        <w:t>. Cambridge, UK: Cambridge University Press.</w:t>
      </w:r>
    </w:p>
    <w:p w14:paraId="3F458DB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Lovegrove, B. (1993). </w:t>
      </w:r>
      <w:r w:rsidRPr="009B0448">
        <w:rPr>
          <w:rFonts w:ascii="Times New Roman" w:hAnsi="Times New Roman" w:cs="Times New Roman"/>
          <w:i/>
          <w:color w:val="auto"/>
        </w:rPr>
        <w:t>The living deserts of southern Africa</w:t>
      </w:r>
      <w:r w:rsidRPr="009B0448">
        <w:rPr>
          <w:rFonts w:ascii="Times New Roman" w:hAnsi="Times New Roman" w:cs="Times New Roman"/>
          <w:color w:val="auto"/>
        </w:rPr>
        <w:t xml:space="preserve">. Vlaeberg, South Africa: Fernwood Press. </w:t>
      </w:r>
    </w:p>
    <w:p w14:paraId="6A5A8C6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Lovett, J. C., &amp; Friis, I. B. (1996). Patterns of endemism in the woody flora of north-east and east Africa. In L. J. G. Van der Maesen, X. M. van der Burgt, &amp; J. M. van medenbach de Rooy (Eds.),</w:t>
      </w:r>
      <w:r w:rsidRPr="009B0448">
        <w:rPr>
          <w:rFonts w:ascii="Times New Roman" w:hAnsi="Times New Roman" w:cs="Times New Roman"/>
        </w:rPr>
        <w:t xml:space="preserve"> </w:t>
      </w:r>
      <w:r w:rsidRPr="009B0448">
        <w:rPr>
          <w:rFonts w:ascii="Times New Roman" w:hAnsi="Times New Roman" w:cs="Times New Roman"/>
          <w:i/>
          <w:color w:val="auto"/>
        </w:rPr>
        <w:t>The biodiversity of African plants</w:t>
      </w:r>
      <w:r w:rsidRPr="009B0448">
        <w:rPr>
          <w:rFonts w:ascii="Times New Roman" w:hAnsi="Times New Roman" w:cs="Times New Roman"/>
          <w:color w:val="auto"/>
        </w:rPr>
        <w:t xml:space="preserve"> (pp. 502–601). </w:t>
      </w:r>
      <w:hyperlink r:id="rId878" w:history="1">
        <w:r w:rsidRPr="009B0448">
          <w:rPr>
            <w:rStyle w:val="Hyperlink"/>
            <w:rFonts w:ascii="Times New Roman" w:hAnsi="Times New Roman" w:cs="Times New Roman"/>
          </w:rPr>
          <w:t>https://doi.org/10.1007/978-94-009-0285-5_72</w:t>
        </w:r>
      </w:hyperlink>
      <w:r w:rsidRPr="009B0448">
        <w:rPr>
          <w:rFonts w:ascii="Times New Roman" w:hAnsi="Times New Roman" w:cs="Times New Roman"/>
          <w:color w:val="auto"/>
        </w:rPr>
        <w:t xml:space="preserve"> </w:t>
      </w:r>
    </w:p>
    <w:p w14:paraId="2ECA47D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Luck, G. W., Harrington, R., Harrison, P. A., Kremen, C., Berry, P. M., Bugter, R., Dawson, T. P., De Bello, F., Díaz, S., Feld, C. K., Haslett, J. R., Hering, D., Kontogianni, A., Lavorel, S., Rounsevell, M., Samways, M. J., Sandin, L., Settele, J., Sykes, M. T., van den Hove, S., Vandewalle, M., &amp; Zobel, M. (2009). Quantifying the contribution of organisms to the provision of ecosystem services. </w:t>
      </w:r>
      <w:r w:rsidRPr="009B0448">
        <w:rPr>
          <w:rFonts w:ascii="Times New Roman" w:hAnsi="Times New Roman" w:cs="Times New Roman"/>
          <w:i/>
          <w:color w:val="auto"/>
        </w:rPr>
        <w:t>Bioscience, 59</w:t>
      </w:r>
      <w:r w:rsidRPr="009B0448">
        <w:rPr>
          <w:rFonts w:ascii="Times New Roman" w:hAnsi="Times New Roman" w:cs="Times New Roman"/>
          <w:color w:val="auto"/>
        </w:rPr>
        <w:t xml:space="preserve">(3), 223–235. </w:t>
      </w:r>
      <w:hyperlink r:id="rId879" w:history="1">
        <w:r w:rsidRPr="009B0448">
          <w:rPr>
            <w:rStyle w:val="Hyperlink"/>
            <w:rFonts w:ascii="Times New Roman" w:hAnsi="Times New Roman" w:cs="Times New Roman"/>
          </w:rPr>
          <w:t>https://doi.org/10.1525/bio.2009.59.3.7</w:t>
        </w:r>
      </w:hyperlink>
    </w:p>
    <w:p w14:paraId="2132712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Ludwig, F., de Kroon, H., Berendse, F., &amp; Prins, H. H. T. (2004). The influence of savanna trees on nutrient, water and light availability and the understory vegetation. </w:t>
      </w:r>
      <w:r w:rsidRPr="009B0448">
        <w:rPr>
          <w:rFonts w:ascii="Times New Roman" w:hAnsi="Times New Roman" w:cs="Times New Roman"/>
          <w:i/>
          <w:color w:val="auto"/>
        </w:rPr>
        <w:t>Plant Ecology, 170</w:t>
      </w:r>
      <w:r w:rsidRPr="009B0448">
        <w:rPr>
          <w:rFonts w:ascii="Times New Roman" w:hAnsi="Times New Roman" w:cs="Times New Roman"/>
          <w:color w:val="auto"/>
        </w:rPr>
        <w:t xml:space="preserve">, 93–105. </w:t>
      </w:r>
      <w:hyperlink r:id="rId880" w:history="1">
        <w:r w:rsidRPr="009B0448">
          <w:rPr>
            <w:rStyle w:val="Hyperlink"/>
            <w:rFonts w:ascii="Times New Roman" w:hAnsi="Times New Roman" w:cs="Times New Roman"/>
          </w:rPr>
          <w:t>https://doi.org/10.1023/B:VEGE.0000019023.29636.92</w:t>
        </w:r>
      </w:hyperlink>
    </w:p>
    <w:p w14:paraId="272A9BB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 (2005). </w:t>
      </w:r>
      <w:r w:rsidRPr="009B0448">
        <w:rPr>
          <w:rFonts w:ascii="Times New Roman" w:hAnsi="Times New Roman" w:cs="Times New Roman"/>
          <w:i/>
          <w:color w:val="auto"/>
        </w:rPr>
        <w:t>Ecosystems and human well-being: A framework for assessment Millennium Ecosystem Assessment</w:t>
      </w:r>
      <w:r w:rsidRPr="009B0448">
        <w:rPr>
          <w:rFonts w:ascii="Times New Roman" w:hAnsi="Times New Roman" w:cs="Times New Roman"/>
          <w:color w:val="auto"/>
        </w:rPr>
        <w:t>. Washington, DC: Island Press.</w:t>
      </w:r>
    </w:p>
    <w:p w14:paraId="28A3783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Mabhaudhi, T., O’Reilly, P., &amp; Walker, S. (2016). </w:t>
      </w:r>
      <w:r w:rsidRPr="009B0448">
        <w:rPr>
          <w:rFonts w:ascii="Times New Roman" w:hAnsi="Times New Roman" w:cs="Times New Roman"/>
          <w:i/>
          <w:color w:val="auto"/>
        </w:rPr>
        <w:t>The role of underutilised crops in Southern African farming systems</w:t>
      </w:r>
      <w:r w:rsidRPr="009B0448">
        <w:rPr>
          <w:rFonts w:ascii="Times New Roman" w:hAnsi="Times New Roman" w:cs="Times New Roman"/>
          <w:color w:val="auto"/>
        </w:rPr>
        <w:t>: A scoping study. (Unpublished work).</w:t>
      </w:r>
    </w:p>
    <w:p w14:paraId="2247C88C"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MacKinnon, J., Aveling, C., Olivier, R., Murrary, M., &amp; Paolini, C. (2015). </w:t>
      </w:r>
      <w:r w:rsidRPr="009B0448">
        <w:rPr>
          <w:rFonts w:ascii="Times New Roman" w:hAnsi="Times New Roman" w:cs="Times New Roman"/>
          <w:i/>
        </w:rPr>
        <w:t>Larger than elephants inputs for an EU strategic approach to wildlife conservation in Africa–Regional analysis</w:t>
      </w:r>
      <w:r w:rsidRPr="009B0448">
        <w:rPr>
          <w:rFonts w:ascii="Times New Roman" w:hAnsi="Times New Roman" w:cs="Times New Roman"/>
        </w:rPr>
        <w:t>. EU Biodiversity for Life’ (B4Life). Brussels, Belgium: European Commission.</w:t>
      </w:r>
    </w:p>
    <w:p w14:paraId="36E5724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Madagascar. (2014). </w:t>
      </w:r>
      <w:r w:rsidRPr="009B0448">
        <w:rPr>
          <w:rFonts w:ascii="Times New Roman" w:hAnsi="Times New Roman" w:cs="Times New Roman"/>
          <w:i/>
          <w:color w:val="auto"/>
        </w:rPr>
        <w:t>Madagascar’s fifth national report to the convention on biological diversity</w:t>
      </w:r>
      <w:r w:rsidRPr="009B0448">
        <w:rPr>
          <w:rFonts w:ascii="Times New Roman" w:hAnsi="Times New Roman" w:cs="Times New Roman"/>
          <w:color w:val="auto"/>
        </w:rPr>
        <w:t xml:space="preserve">. Montreal, Canada: Secretariat of the Convention on Biological Diversity. Retrieved from </w:t>
      </w:r>
      <w:hyperlink r:id="rId881" w:history="1">
        <w:r w:rsidRPr="009B0448">
          <w:rPr>
            <w:rStyle w:val="Hyperlink"/>
            <w:rFonts w:ascii="Times New Roman" w:hAnsi="Times New Roman" w:cs="Times New Roman"/>
          </w:rPr>
          <w:t>https://www.cbd.int/doc/world/mg/mg-nr-05-en.pdf</w:t>
        </w:r>
      </w:hyperlink>
    </w:p>
    <w:p w14:paraId="1B5E22A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Maes, J., Egoh, B., Willemen, L., Liquete, C., Vihervaara, P., Schägner, J. P., Grizzetti, B., Drakou, E. G., La Notte, A., Zulian, G., Bouraoui, F., Paracchini, M. L., Braat, L., &amp; Bidoglio, G. (2012). Mapping ecosystem services for policy support and decision making in the European Union. </w:t>
      </w:r>
      <w:r w:rsidRPr="009B0448">
        <w:rPr>
          <w:rFonts w:ascii="Times New Roman" w:hAnsi="Times New Roman" w:cs="Times New Roman"/>
          <w:i/>
          <w:color w:val="auto"/>
        </w:rPr>
        <w:t>Ecosystem Services, 1</w:t>
      </w:r>
      <w:r w:rsidRPr="009B0448">
        <w:rPr>
          <w:rFonts w:ascii="Times New Roman" w:hAnsi="Times New Roman" w:cs="Times New Roman"/>
          <w:color w:val="auto"/>
        </w:rPr>
        <w:t xml:space="preserve">, 31–39. </w:t>
      </w:r>
      <w:hyperlink r:id="rId882" w:history="1">
        <w:r w:rsidRPr="009B0448">
          <w:rPr>
            <w:rStyle w:val="Hyperlink"/>
            <w:rFonts w:ascii="Times New Roman" w:hAnsi="Times New Roman" w:cs="Times New Roman"/>
          </w:rPr>
          <w:t>https://doi.org/10.1016/j.ecoser.2012.06.004</w:t>
        </w:r>
      </w:hyperlink>
    </w:p>
    <w:p w14:paraId="05651D9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Maes, J., Liquete, C., Teller, A., Erhard, M., Paracchini, M. L., Barredo, J. I., Grizzetti, B., Cardoso, A., Somma, F., Petersen, J-E., Meiner, A., Gelabert, E. R., Zal, N., Kristensen, P., Bastrup-Birk, A., Biala, K., Piroddi, C., Egoh, B., Degeorges, P., Fiorina, C., Santos-Martin, F., Naruševičius, V., Verboven, J., Pereira, H. M., Bengtsson, J., Gocheva, K., Marta-Pedroso, C., Snäll, T., Estreguil, C., San-Miguel-Ayanz, J., Pérez-Soba, M., Grêt-Regamey, A., Lillebø, A. I., Malak, D., Condé, S., Moen, J., Czúcz, B., Drakou, E. G., Zulian, G., &amp; Lavalle, C. (2016). An indicator framework for assessing ecosystem services in support of the EU biodiversity strategy to 2020. </w:t>
      </w:r>
      <w:r w:rsidRPr="009B0448">
        <w:rPr>
          <w:rFonts w:ascii="Times New Roman" w:hAnsi="Times New Roman" w:cs="Times New Roman"/>
          <w:i/>
          <w:color w:val="auto"/>
        </w:rPr>
        <w:t>Ecosystem Services, 17</w:t>
      </w:r>
      <w:r w:rsidRPr="009B0448">
        <w:rPr>
          <w:rFonts w:ascii="Times New Roman" w:hAnsi="Times New Roman" w:cs="Times New Roman"/>
          <w:color w:val="auto"/>
        </w:rPr>
        <w:t xml:space="preserve">, 14–23. </w:t>
      </w:r>
      <w:hyperlink r:id="rId883" w:history="1">
        <w:r w:rsidRPr="009B0448">
          <w:rPr>
            <w:rStyle w:val="Hyperlink"/>
            <w:rFonts w:ascii="Times New Roman" w:hAnsi="Times New Roman" w:cs="Times New Roman"/>
          </w:rPr>
          <w:t>https://doi.org/10.1016/j.ecoser.2015.10.023</w:t>
        </w:r>
      </w:hyperlink>
    </w:p>
    <w:p w14:paraId="132DF6E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Maggs, G. L., Craven, P., &amp; Kolberg, H. H. (1998). Plant species richness, endemism, and genetic resources in Namibia. </w:t>
      </w:r>
      <w:r w:rsidRPr="009B0448">
        <w:rPr>
          <w:rFonts w:ascii="Times New Roman" w:hAnsi="Times New Roman" w:cs="Times New Roman"/>
          <w:i/>
          <w:color w:val="auto"/>
        </w:rPr>
        <w:t>Biodiversity and Conservation, 7</w:t>
      </w:r>
      <w:r w:rsidRPr="009B0448">
        <w:rPr>
          <w:rFonts w:ascii="Times New Roman" w:hAnsi="Times New Roman" w:cs="Times New Roman"/>
          <w:color w:val="auto"/>
        </w:rPr>
        <w:t xml:space="preserve">, 435–446. </w:t>
      </w:r>
      <w:hyperlink r:id="rId884" w:history="1">
        <w:r w:rsidRPr="009B0448">
          <w:rPr>
            <w:rStyle w:val="Hyperlink"/>
            <w:rFonts w:ascii="Times New Roman" w:hAnsi="Times New Roman" w:cs="Times New Roman"/>
          </w:rPr>
          <w:t>https://doi.org/10.1023/A:1008819426848</w:t>
        </w:r>
      </w:hyperlink>
    </w:p>
    <w:p w14:paraId="6566318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Maisels, F., Stridnberg, S., Blake, S., Wittemyer, G., Hart, J., Williamson, E. A., Aba’a, R., Abitsi, G., Ambahe, R. D., Amsini, F., Bakabana, P. C., Cleveland Hicks, T., Bayogo, R. E., Bechem, M., Beyers, R. L., Bezangoye, A. N., Boundja, P., Bout, N., Ella Akou, M., Bene Bene, L., Fosso, B., Greengrass, E., Grossmann, F., Ikamba-Nkulu, C., Ilambu, O., Inogwabini, B-I., Iyenguet, F., Kiminou, F., Kokangoye, M., Kujirakwinja, D., Latour, S., Liengola, I., Mackaya, Q., Madidi, J., Madzoke, B., Makoumbou, C., Malanda, G-A., Malonga, R., Mbani, O., Mbendzo, V. A, Ambassa, E., Ekinde, A., Mihindou, Y., Morgan, B. J., Motsaba, P., Moukala, G., Mounguengui, A., Mowawa, B. S., Ndzai, C., Nixon, S., Nkumu, P., Nzolani, F., Pintea, L., Plumptre, A., Rainey, H., de Semboli, B., Serckx, A., Stokes, E., Turkalo, A., Vanleeuwe, H., Vosper, A., &amp; Warren, Y. (2013). Devastating decline of forest elephants in Central Africa. </w:t>
      </w:r>
      <w:r w:rsidRPr="009B0448">
        <w:rPr>
          <w:rFonts w:ascii="Times New Roman" w:hAnsi="Times New Roman" w:cs="Times New Roman"/>
          <w:i/>
          <w:color w:val="auto"/>
        </w:rPr>
        <w:t>PLoS ONE, 8</w:t>
      </w:r>
      <w:r w:rsidRPr="009B0448">
        <w:rPr>
          <w:rFonts w:ascii="Times New Roman" w:hAnsi="Times New Roman" w:cs="Times New Roman"/>
          <w:color w:val="auto"/>
        </w:rPr>
        <w:t xml:space="preserve">, e59469. </w:t>
      </w:r>
      <w:hyperlink r:id="rId885" w:history="1">
        <w:r w:rsidRPr="009B0448">
          <w:rPr>
            <w:rStyle w:val="Hyperlink"/>
            <w:rFonts w:ascii="Times New Roman" w:hAnsi="Times New Roman" w:cs="Times New Roman"/>
          </w:rPr>
          <w:t>https://doi.org/10.1371/journal.pone.0059469</w:t>
        </w:r>
      </w:hyperlink>
      <w:r w:rsidRPr="009B0448">
        <w:rPr>
          <w:rFonts w:ascii="Times New Roman" w:hAnsi="Times New Roman" w:cs="Times New Roman"/>
          <w:color w:val="auto"/>
        </w:rPr>
        <w:t xml:space="preserve"> </w:t>
      </w:r>
    </w:p>
    <w:p w14:paraId="1C8786B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Malhi, Y., Aragao, L. E. O., Galbraith, D., Huntingford, C., Fisher, R., Zelazowski, P., Sitch, S., McSweeny, C., &amp; Meir, P. (2009). Exploring the likelihood and mechanism of a climate-change-induced dieback of the Amazon rainforest. </w:t>
      </w:r>
      <w:r w:rsidRPr="009B0448">
        <w:rPr>
          <w:rFonts w:ascii="Times New Roman" w:hAnsi="Times New Roman" w:cs="Times New Roman"/>
          <w:i/>
          <w:color w:val="auto"/>
        </w:rPr>
        <w:t>Proceedings of the National Academy of Sciences of the United States of America, 106</w:t>
      </w:r>
      <w:r w:rsidRPr="009B0448">
        <w:rPr>
          <w:rFonts w:ascii="Times New Roman" w:hAnsi="Times New Roman" w:cs="Times New Roman"/>
          <w:color w:val="auto"/>
        </w:rPr>
        <w:t xml:space="preserve">(49), 20610–20615. </w:t>
      </w:r>
      <w:hyperlink r:id="rId886" w:history="1">
        <w:r w:rsidRPr="009B0448">
          <w:rPr>
            <w:rStyle w:val="Hyperlink"/>
            <w:rFonts w:ascii="Times New Roman" w:hAnsi="Times New Roman" w:cs="Times New Roman"/>
          </w:rPr>
          <w:t>https://doi.org/10.1073/pnas.0804619106</w:t>
        </w:r>
      </w:hyperlink>
      <w:r w:rsidRPr="009B0448">
        <w:rPr>
          <w:rFonts w:ascii="Times New Roman" w:hAnsi="Times New Roman" w:cs="Times New Roman"/>
          <w:color w:val="auto"/>
        </w:rPr>
        <w:t xml:space="preserve"> </w:t>
      </w:r>
    </w:p>
    <w:p w14:paraId="16485042" w14:textId="77777777" w:rsidR="009B0448" w:rsidRPr="009B0448" w:rsidRDefault="009B0448" w:rsidP="009B0448">
      <w:pPr>
        <w:spacing w:after="120" w:line="276" w:lineRule="auto"/>
        <w:ind w:left="567" w:hanging="567"/>
        <w:rPr>
          <w:rFonts w:ascii="Times New Roman" w:hAnsi="Times New Roman" w:cs="Times New Roman"/>
          <w:color w:val="auto"/>
          <w:u w:val="single"/>
        </w:rPr>
      </w:pPr>
      <w:r w:rsidRPr="009B0448">
        <w:rPr>
          <w:rFonts w:ascii="Times New Roman" w:hAnsi="Times New Roman" w:cs="Times New Roman"/>
          <w:color w:val="auto"/>
        </w:rPr>
        <w:t xml:space="preserve">Malhi, Y., Adu-Bredu, S., Asare, R. A., Lewis, S. L., &amp; Mayaux, P. (2013). African rainforests: Past, present and future. </w:t>
      </w:r>
      <w:r w:rsidRPr="009B0448">
        <w:rPr>
          <w:rFonts w:ascii="Times New Roman" w:hAnsi="Times New Roman" w:cs="Times New Roman"/>
          <w:i/>
          <w:color w:val="auto"/>
        </w:rPr>
        <w:t>Philosophical Transactions of the Royal Society B: Biological Sciences, 368</w:t>
      </w:r>
      <w:r w:rsidRPr="009B0448">
        <w:rPr>
          <w:rFonts w:ascii="Times New Roman" w:hAnsi="Times New Roman" w:cs="Times New Roman"/>
          <w:color w:val="auto"/>
        </w:rPr>
        <w:t xml:space="preserve">(1625), 20120312. </w:t>
      </w:r>
      <w:hyperlink r:id="rId887" w:history="1">
        <w:r w:rsidRPr="009B0448">
          <w:rPr>
            <w:rStyle w:val="Hyperlink"/>
            <w:rFonts w:ascii="Times New Roman" w:hAnsi="Times New Roman" w:cs="Times New Roman"/>
          </w:rPr>
          <w:t>https://doi.org/10.1098/rstb.2012.0312</w:t>
        </w:r>
      </w:hyperlink>
      <w:r w:rsidRPr="009B0448">
        <w:rPr>
          <w:rFonts w:ascii="Times New Roman" w:hAnsi="Times New Roman" w:cs="Times New Roman"/>
          <w:color w:val="auto"/>
        </w:rPr>
        <w:t xml:space="preserve"> </w:t>
      </w:r>
    </w:p>
    <w:p w14:paraId="6F3BC0C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Malhi, Y., Doughty, C. E., Galetti, M., Smith, F. A., Svenning, J. C., &amp; Terborgh, J. W. (2016). Megafauna and ecosystem function from the Pleistocene to the Anthropocene. </w:t>
      </w:r>
      <w:r w:rsidRPr="009B0448">
        <w:rPr>
          <w:rFonts w:ascii="Times New Roman" w:hAnsi="Times New Roman" w:cs="Times New Roman"/>
          <w:i/>
          <w:color w:val="auto"/>
        </w:rPr>
        <w:t>Proceedings of the National Academy of Sciences of the United States of America, 113</w:t>
      </w:r>
      <w:r w:rsidRPr="009B0448">
        <w:rPr>
          <w:rFonts w:ascii="Times New Roman" w:hAnsi="Times New Roman" w:cs="Times New Roman"/>
          <w:color w:val="auto"/>
        </w:rPr>
        <w:t xml:space="preserve">(4), 838–846. </w:t>
      </w:r>
      <w:hyperlink r:id="rId888" w:history="1">
        <w:r w:rsidRPr="009B0448">
          <w:rPr>
            <w:rStyle w:val="Hyperlink"/>
            <w:rFonts w:ascii="Times New Roman" w:hAnsi="Times New Roman" w:cs="Times New Roman"/>
          </w:rPr>
          <w:t>https://doi.org/10.1073/pnas.1502540113</w:t>
        </w:r>
      </w:hyperlink>
    </w:p>
    <w:p w14:paraId="625F731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Mallon, D. P., Hoffmann, M., Grainger, M. J., Hibert, F., van Vliet, N., &amp; McGowan, P. J. K. (2015). </w:t>
      </w:r>
      <w:r w:rsidRPr="009B0448">
        <w:rPr>
          <w:rFonts w:ascii="Times New Roman" w:hAnsi="Times New Roman" w:cs="Times New Roman"/>
          <w:i/>
          <w:color w:val="auto"/>
        </w:rPr>
        <w:t>An IUCN situation analysis of terrestrial and freshwater fauna in West and Central Africa</w:t>
      </w:r>
      <w:r w:rsidRPr="009B0448">
        <w:rPr>
          <w:rFonts w:ascii="Times New Roman" w:hAnsi="Times New Roman" w:cs="Times New Roman"/>
          <w:color w:val="auto"/>
        </w:rPr>
        <w:t xml:space="preserve">. Gland, Switzerland: IUCN. Retrieved from </w:t>
      </w:r>
      <w:hyperlink r:id="rId889" w:history="1">
        <w:r w:rsidRPr="009B0448">
          <w:rPr>
            <w:rStyle w:val="Hyperlink"/>
            <w:rFonts w:ascii="Times New Roman" w:hAnsi="Times New Roman" w:cs="Times New Roman"/>
          </w:rPr>
          <w:t>https://portals.iucn.org/library/sites/library/files/documents/SSC-OP-054.pdf</w:t>
        </w:r>
      </w:hyperlink>
      <w:r w:rsidRPr="009B0448">
        <w:rPr>
          <w:rFonts w:ascii="Times New Roman" w:hAnsi="Times New Roman" w:cs="Times New Roman"/>
          <w:color w:val="auto"/>
        </w:rPr>
        <w:t xml:space="preserve"> </w:t>
      </w:r>
    </w:p>
    <w:p w14:paraId="02CF7A0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Mann, B. Q. (Ed.) (2000). </w:t>
      </w:r>
      <w:r w:rsidRPr="009B0448">
        <w:rPr>
          <w:rFonts w:ascii="Times New Roman" w:hAnsi="Times New Roman" w:cs="Times New Roman"/>
          <w:i/>
          <w:color w:val="auto"/>
        </w:rPr>
        <w:t>Southern African marine linefish status reports. Special Publication, 7</w:t>
      </w:r>
      <w:r w:rsidRPr="009B0448">
        <w:rPr>
          <w:rFonts w:ascii="Times New Roman" w:hAnsi="Times New Roman" w:cs="Times New Roman"/>
          <w:color w:val="auto"/>
        </w:rPr>
        <w:t xml:space="preserve">. Durban, South Africa: Oceanographic Research Institute. Retrieved from </w:t>
      </w:r>
      <w:hyperlink r:id="rId890" w:history="1">
        <w:r w:rsidRPr="009B0448">
          <w:rPr>
            <w:rStyle w:val="Hyperlink"/>
            <w:rFonts w:ascii="Times New Roman" w:hAnsi="Times New Roman" w:cs="Times New Roman"/>
          </w:rPr>
          <w:t>https://www.saambr.org.za/wp-content/uploads/2017/11/Southern_African_Marine_Linefish_Species_Profiles.pdf</w:t>
        </w:r>
      </w:hyperlink>
      <w:r w:rsidRPr="009B0448">
        <w:rPr>
          <w:rFonts w:ascii="Times New Roman" w:hAnsi="Times New Roman" w:cs="Times New Roman"/>
          <w:color w:val="auto"/>
        </w:rPr>
        <w:t xml:space="preserve"> </w:t>
      </w:r>
    </w:p>
    <w:p w14:paraId="6C88056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Manning, J., &amp; Goldblatt, P. (2012). </w:t>
      </w:r>
      <w:r w:rsidRPr="009B0448">
        <w:rPr>
          <w:rFonts w:ascii="Times New Roman" w:hAnsi="Times New Roman" w:cs="Times New Roman"/>
          <w:i/>
          <w:color w:val="auto"/>
        </w:rPr>
        <w:t>Plants of the Greater Cape Floristic Region 1: The Core Cape flora</w:t>
      </w:r>
      <w:r w:rsidRPr="009B0448">
        <w:rPr>
          <w:rFonts w:ascii="Times New Roman" w:hAnsi="Times New Roman" w:cs="Times New Roman"/>
          <w:color w:val="auto"/>
        </w:rPr>
        <w:t xml:space="preserve">. </w:t>
      </w:r>
      <w:r w:rsidRPr="009B0448">
        <w:rPr>
          <w:rFonts w:ascii="Times New Roman" w:hAnsi="Times New Roman" w:cs="Times New Roman"/>
          <w:i/>
          <w:color w:val="auto"/>
        </w:rPr>
        <w:t>Strelitzia,</w:t>
      </w:r>
      <w:r w:rsidRPr="009B0448">
        <w:rPr>
          <w:rFonts w:ascii="Times New Roman" w:hAnsi="Times New Roman" w:cs="Times New Roman"/>
          <w:color w:val="auto"/>
        </w:rPr>
        <w:t xml:space="preserve"> 29. Retrieved from </w:t>
      </w:r>
      <w:hyperlink r:id="rId891" w:history="1">
        <w:r w:rsidRPr="009B0448">
          <w:rPr>
            <w:rStyle w:val="Hyperlink"/>
            <w:rFonts w:ascii="Times New Roman" w:hAnsi="Times New Roman" w:cs="Times New Roman"/>
          </w:rPr>
          <w:t>https://www.sanbi.org/sites/default/files/documents/documents/strelitzia-29-2012.pdf</w:t>
        </w:r>
      </w:hyperlink>
    </w:p>
    <w:p w14:paraId="39440B2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Mayaux, P., Pekel, J. F., Desclée, B., Donnay, F., Lupi, A., Achard, F., Clerici, M., Bodart, C., Brink, A., Nasi, R., &amp; Belward, A. (2013). State and evolution of the African rainforests between 1990 and 2010. </w:t>
      </w:r>
      <w:r w:rsidRPr="009B0448">
        <w:rPr>
          <w:rFonts w:ascii="Times New Roman" w:hAnsi="Times New Roman" w:cs="Times New Roman"/>
          <w:i/>
          <w:color w:val="auto"/>
        </w:rPr>
        <w:t>Philosophical Transactions of the Royal Society B: Biological Sciences, 368</w:t>
      </w:r>
      <w:r w:rsidRPr="009B0448">
        <w:rPr>
          <w:rFonts w:ascii="Times New Roman" w:hAnsi="Times New Roman" w:cs="Times New Roman"/>
          <w:color w:val="auto"/>
        </w:rPr>
        <w:t xml:space="preserve">(1625), 20120300. </w:t>
      </w:r>
      <w:hyperlink r:id="rId892" w:history="1">
        <w:r w:rsidRPr="009B0448">
          <w:rPr>
            <w:rStyle w:val="Hyperlink"/>
            <w:rFonts w:ascii="Times New Roman" w:hAnsi="Times New Roman" w:cs="Times New Roman"/>
          </w:rPr>
          <w:t>https://doi.org/10.1098/rstb.2012.0300</w:t>
        </w:r>
      </w:hyperlink>
      <w:r w:rsidRPr="009B0448">
        <w:rPr>
          <w:rFonts w:ascii="Times New Roman" w:hAnsi="Times New Roman" w:cs="Times New Roman"/>
          <w:color w:val="auto"/>
        </w:rPr>
        <w:t xml:space="preserve"> </w:t>
      </w:r>
    </w:p>
    <w:p w14:paraId="026B98C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McGinley, M. (2009). </w:t>
      </w:r>
      <w:r w:rsidRPr="009B0448">
        <w:rPr>
          <w:rFonts w:ascii="Times New Roman" w:hAnsi="Times New Roman" w:cs="Times New Roman"/>
          <w:i/>
          <w:color w:val="auto"/>
        </w:rPr>
        <w:t>Biological diversity in the Eastern Afromontane. Encyclopedia of earth</w:t>
      </w:r>
      <w:r w:rsidRPr="009B0448">
        <w:rPr>
          <w:rFonts w:ascii="Times New Roman" w:hAnsi="Times New Roman" w:cs="Times New Roman"/>
          <w:color w:val="auto"/>
        </w:rPr>
        <w:t xml:space="preserve">. Retrieved from </w:t>
      </w:r>
      <w:hyperlink r:id="rId893" w:history="1">
        <w:r w:rsidRPr="009B0448">
          <w:rPr>
            <w:rStyle w:val="Hyperlink"/>
            <w:rFonts w:ascii="Times New Roman" w:hAnsi="Times New Roman" w:cs="Times New Roman"/>
          </w:rPr>
          <w:t>http://www.eoearth.org/view/article/150641/</w:t>
        </w:r>
      </w:hyperlink>
    </w:p>
    <w:p w14:paraId="74D0CF1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McGuinness, S., &amp; Taylor, D. (2014). Farmers’ perceptions and actions to decrease crop raiding by forest-dwelling primates around a Rwandan forest fragment. </w:t>
      </w:r>
      <w:r w:rsidRPr="009B0448">
        <w:rPr>
          <w:rFonts w:ascii="Times New Roman" w:hAnsi="Times New Roman" w:cs="Times New Roman"/>
          <w:i/>
          <w:color w:val="auto"/>
        </w:rPr>
        <w:t>Human Dimensions of Wildlife: An International Journal, 19</w:t>
      </w:r>
      <w:r w:rsidRPr="009B0448">
        <w:rPr>
          <w:rFonts w:ascii="Times New Roman" w:hAnsi="Times New Roman" w:cs="Times New Roman"/>
          <w:color w:val="auto"/>
        </w:rPr>
        <w:t xml:space="preserve">(2), 179–190. </w:t>
      </w:r>
      <w:hyperlink r:id="rId894" w:history="1">
        <w:r w:rsidRPr="009B0448">
          <w:rPr>
            <w:rStyle w:val="Hyperlink"/>
            <w:rFonts w:ascii="Times New Roman" w:hAnsi="Times New Roman" w:cs="Times New Roman"/>
          </w:rPr>
          <w:t>https://doi.org/10.1080/10871209.2014.853330</w:t>
        </w:r>
      </w:hyperlink>
    </w:p>
    <w:p w14:paraId="09A5025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McNeilage, A. (1996). Ecotourism and mountain gorillas in the Virunga Volcanoes. In V. Taylor, &amp; N. Dunstone (Eds.), </w:t>
      </w:r>
      <w:r w:rsidRPr="009B0448">
        <w:rPr>
          <w:rFonts w:ascii="Times New Roman" w:hAnsi="Times New Roman" w:cs="Times New Roman"/>
          <w:i/>
          <w:color w:val="auto"/>
        </w:rPr>
        <w:t>The exploitation of mammal populations</w:t>
      </w:r>
      <w:r w:rsidRPr="009B0448">
        <w:rPr>
          <w:rFonts w:ascii="Times New Roman" w:hAnsi="Times New Roman" w:cs="Times New Roman"/>
          <w:color w:val="auto"/>
        </w:rPr>
        <w:t>.</w:t>
      </w:r>
      <w:r w:rsidRPr="009B0448">
        <w:rPr>
          <w:rFonts w:ascii="Times New Roman" w:hAnsi="Times New Roman" w:cs="Times New Roman"/>
        </w:rPr>
        <w:t xml:space="preserve"> </w:t>
      </w:r>
      <w:r w:rsidRPr="009B0448">
        <w:rPr>
          <w:rFonts w:ascii="Times New Roman" w:hAnsi="Times New Roman" w:cs="Times New Roman"/>
          <w:color w:val="auto"/>
        </w:rPr>
        <w:t xml:space="preserve">London, UK: Chapman and Hill. </w:t>
      </w:r>
      <w:hyperlink r:id="rId895" w:history="1">
        <w:r w:rsidRPr="009B0448">
          <w:rPr>
            <w:rStyle w:val="Hyperlink"/>
            <w:rFonts w:ascii="Times New Roman" w:hAnsi="Times New Roman" w:cs="Times New Roman"/>
          </w:rPr>
          <w:t>https://doi.org/10.1007/978-94-009-1525-1_19</w:t>
        </w:r>
      </w:hyperlink>
    </w:p>
    <w:p w14:paraId="1A58A14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Médail, F., &amp; Quézel, P. (1999). Biodiversity hotspots in the Mediterranean basin: Setting global conservation priorities. </w:t>
      </w:r>
      <w:r w:rsidRPr="009B0448">
        <w:rPr>
          <w:rFonts w:ascii="Times New Roman" w:hAnsi="Times New Roman" w:cs="Times New Roman"/>
          <w:i/>
          <w:color w:val="auto"/>
        </w:rPr>
        <w:t>Conservation Biology, 13</w:t>
      </w:r>
      <w:r w:rsidRPr="009B0448">
        <w:rPr>
          <w:rFonts w:ascii="Times New Roman" w:hAnsi="Times New Roman" w:cs="Times New Roman"/>
          <w:color w:val="auto"/>
        </w:rPr>
        <w:t xml:space="preserve">(6), 1510–1513. </w:t>
      </w:r>
      <w:hyperlink r:id="rId896" w:history="1">
        <w:r w:rsidRPr="009B0448">
          <w:rPr>
            <w:rStyle w:val="Hyperlink"/>
            <w:rFonts w:ascii="Times New Roman" w:hAnsi="Times New Roman" w:cs="Times New Roman"/>
          </w:rPr>
          <w:t>https://doi.org/10.1046/j.1523-1739.1999.98467.x</w:t>
        </w:r>
      </w:hyperlink>
      <w:r w:rsidRPr="009B0448">
        <w:rPr>
          <w:rFonts w:ascii="Times New Roman" w:hAnsi="Times New Roman" w:cs="Times New Roman"/>
        </w:rPr>
        <w:t xml:space="preserve"> </w:t>
      </w:r>
    </w:p>
    <w:p w14:paraId="5530AF9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Menegon, M., Salvidio, S., &amp; Loader, S., (2004). Five new species of Nectophrynoides Noble 1926 (</w:t>
      </w:r>
      <w:r w:rsidRPr="009B0448">
        <w:rPr>
          <w:rFonts w:ascii="Times New Roman" w:hAnsi="Times New Roman" w:cs="Times New Roman"/>
          <w:i/>
          <w:color w:val="auto"/>
        </w:rPr>
        <w:t>Amphibia Anura</w:t>
      </w:r>
      <w:r w:rsidRPr="009B0448">
        <w:rPr>
          <w:rFonts w:ascii="Times New Roman" w:hAnsi="Times New Roman" w:cs="Times New Roman"/>
          <w:color w:val="auto"/>
        </w:rPr>
        <w:t xml:space="preserve"> Bufonidae) from the Eastern Arc Mountains, Tanzania. </w:t>
      </w:r>
      <w:r w:rsidRPr="009B0448">
        <w:rPr>
          <w:rFonts w:ascii="Times New Roman" w:hAnsi="Times New Roman" w:cs="Times New Roman"/>
          <w:i/>
          <w:color w:val="auto"/>
        </w:rPr>
        <w:t>Tropical Zoology, 17</w:t>
      </w:r>
      <w:r w:rsidRPr="009B0448">
        <w:rPr>
          <w:rFonts w:ascii="Times New Roman" w:hAnsi="Times New Roman" w:cs="Times New Roman"/>
          <w:color w:val="auto"/>
        </w:rPr>
        <w:t xml:space="preserve">, 97–121. </w:t>
      </w:r>
      <w:hyperlink r:id="rId897" w:history="1">
        <w:r w:rsidRPr="009B0448">
          <w:rPr>
            <w:rStyle w:val="Hyperlink"/>
            <w:rFonts w:ascii="Times New Roman" w:hAnsi="Times New Roman" w:cs="Times New Roman"/>
          </w:rPr>
          <w:t>https://doi.org/10.1080/03946975.2004.10531201</w:t>
        </w:r>
      </w:hyperlink>
    </w:p>
    <w:p w14:paraId="47CCD23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Menegon, M., Doggart, N., &amp; Owen, N. (2008). The Nguru mountains of Tanzania, an outstanding hotspot of herpetofaunal diversity. </w:t>
      </w:r>
      <w:r w:rsidRPr="009B0448">
        <w:rPr>
          <w:rFonts w:ascii="Times New Roman" w:hAnsi="Times New Roman" w:cs="Times New Roman"/>
          <w:i/>
          <w:color w:val="auto"/>
        </w:rPr>
        <w:t>Acta Herpetologica, 3</w:t>
      </w:r>
      <w:r w:rsidRPr="009B0448">
        <w:rPr>
          <w:rFonts w:ascii="Times New Roman" w:hAnsi="Times New Roman" w:cs="Times New Roman"/>
          <w:color w:val="auto"/>
        </w:rPr>
        <w:t xml:space="preserve">(2), 107–127. </w:t>
      </w:r>
      <w:hyperlink r:id="rId898" w:history="1">
        <w:r w:rsidRPr="009B0448">
          <w:rPr>
            <w:rStyle w:val="Hyperlink"/>
            <w:rFonts w:ascii="Times New Roman" w:hAnsi="Times New Roman" w:cs="Times New Roman"/>
          </w:rPr>
          <w:t>https://doi.org/10.13128/Acta_Herpetol-2678</w:t>
        </w:r>
      </w:hyperlink>
      <w:r w:rsidRPr="009B0448">
        <w:rPr>
          <w:rFonts w:ascii="Times New Roman" w:hAnsi="Times New Roman" w:cs="Times New Roman"/>
          <w:color w:val="auto"/>
        </w:rPr>
        <w:t xml:space="preserve"> </w:t>
      </w:r>
    </w:p>
    <w:p w14:paraId="17A8DE0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M'Hirit, O. (1999). </w:t>
      </w:r>
      <w:r w:rsidRPr="009B0448">
        <w:rPr>
          <w:rFonts w:ascii="Times New Roman" w:hAnsi="Times New Roman" w:cs="Times New Roman"/>
          <w:i/>
          <w:color w:val="auto"/>
        </w:rPr>
        <w:t>Mediterranean forests: ecological space and economic and community wealth</w:t>
      </w:r>
      <w:r w:rsidRPr="009B0448">
        <w:rPr>
          <w:rFonts w:ascii="Times New Roman" w:hAnsi="Times New Roman" w:cs="Times New Roman"/>
          <w:color w:val="auto"/>
        </w:rPr>
        <w:t xml:space="preserve">. Rome, Italy: FAO. Retrieved from </w:t>
      </w:r>
      <w:hyperlink r:id="rId899" w:history="1">
        <w:r w:rsidRPr="009B0448">
          <w:rPr>
            <w:rStyle w:val="Hyperlink"/>
            <w:rFonts w:ascii="Times New Roman" w:hAnsi="Times New Roman" w:cs="Times New Roman"/>
          </w:rPr>
          <w:t>http://www.fao.org/docrep/x1880e/x1880e03.htm</w:t>
        </w:r>
      </w:hyperlink>
    </w:p>
    <w:p w14:paraId="445A4A7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Mittermeier, R. A., Myers, N., Thomsen, J. B., da Fonseca, G. A. B., &amp; Olivieri, S. (1998). </w:t>
      </w:r>
      <w:r w:rsidRPr="009B0448">
        <w:rPr>
          <w:rFonts w:ascii="Times New Roman" w:hAnsi="Times New Roman" w:cs="Times New Roman"/>
          <w:color w:val="auto"/>
        </w:rPr>
        <w:t xml:space="preserve">Biodiversity hotspots and major tropical wilderness areas: Approaches to setting conservation priorities. </w:t>
      </w:r>
      <w:r w:rsidRPr="009B0448">
        <w:rPr>
          <w:rFonts w:ascii="Times New Roman" w:hAnsi="Times New Roman" w:cs="Times New Roman"/>
          <w:i/>
          <w:color w:val="auto"/>
        </w:rPr>
        <w:t>Conservation Biology, 12</w:t>
      </w:r>
      <w:r w:rsidRPr="009B0448">
        <w:rPr>
          <w:rFonts w:ascii="Times New Roman" w:hAnsi="Times New Roman" w:cs="Times New Roman"/>
          <w:color w:val="auto"/>
        </w:rPr>
        <w:t xml:space="preserve">(3), 516–520. </w:t>
      </w:r>
      <w:hyperlink r:id="rId900" w:history="1">
        <w:r w:rsidRPr="009B0448">
          <w:rPr>
            <w:rStyle w:val="Hyperlink"/>
            <w:rFonts w:ascii="Times New Roman" w:hAnsi="Times New Roman" w:cs="Times New Roman"/>
          </w:rPr>
          <w:t>https://doi.org/10.1046/j.1523-1739.1998.012003516.x</w:t>
        </w:r>
      </w:hyperlink>
      <w:r w:rsidRPr="009B0448">
        <w:rPr>
          <w:rFonts w:ascii="Times New Roman" w:hAnsi="Times New Roman" w:cs="Times New Roman"/>
        </w:rPr>
        <w:t xml:space="preserve"> </w:t>
      </w:r>
    </w:p>
    <w:p w14:paraId="56E6CF1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Mittermeier, R. A., Gil, P. R., Hoffman, M., Pilgrim, J., Brooks, T., Mittermeier, C. G., lamoreux, J., Da Fonseca, G. A. B.</w:t>
      </w:r>
      <w:r w:rsidRPr="009B0448">
        <w:rPr>
          <w:rFonts w:ascii="Times New Roman" w:hAnsi="Times New Roman" w:cs="Times New Roman"/>
          <w:color w:val="auto"/>
        </w:rPr>
        <w:t xml:space="preserve"> (2004). </w:t>
      </w:r>
      <w:r w:rsidRPr="009B0448">
        <w:rPr>
          <w:rFonts w:ascii="Times New Roman" w:hAnsi="Times New Roman" w:cs="Times New Roman"/>
          <w:i/>
          <w:color w:val="auto"/>
        </w:rPr>
        <w:t>Hotspots revisited: Earth’s biologically richest and most endangered terrestrial ecoregions</w:t>
      </w:r>
      <w:r w:rsidRPr="009B0448">
        <w:rPr>
          <w:rFonts w:ascii="Times New Roman" w:hAnsi="Times New Roman" w:cs="Times New Roman"/>
          <w:color w:val="auto"/>
        </w:rPr>
        <w:t xml:space="preserve">. Chicago, USA: University of Chicago Press for Conservation International. Retrieved from </w:t>
      </w:r>
      <w:hyperlink r:id="rId901" w:history="1">
        <w:r w:rsidRPr="009B0448">
          <w:rPr>
            <w:rStyle w:val="Hyperlink"/>
            <w:rFonts w:ascii="Times New Roman" w:hAnsi="Times New Roman" w:cs="Times New Roman"/>
          </w:rPr>
          <w:t>http://hdl.handle.net/20.500.11822/15160</w:t>
        </w:r>
      </w:hyperlink>
      <w:r w:rsidRPr="009B0448">
        <w:rPr>
          <w:rFonts w:ascii="Times New Roman" w:hAnsi="Times New Roman" w:cs="Times New Roman"/>
        </w:rPr>
        <w:t xml:space="preserve"> </w:t>
      </w:r>
    </w:p>
    <w:p w14:paraId="6FA32008" w14:textId="77777777" w:rsidR="009B0448" w:rsidRPr="009B0448" w:rsidRDefault="009B0448" w:rsidP="009B0448">
      <w:pPr>
        <w:spacing w:after="120" w:line="276" w:lineRule="auto"/>
        <w:ind w:left="567" w:hanging="567"/>
        <w:rPr>
          <w:rStyle w:val="Hyperlink"/>
          <w:rFonts w:ascii="Times New Roman" w:hAnsi="Times New Roman" w:cs="Times New Roman"/>
        </w:rPr>
      </w:pPr>
      <w:r w:rsidRPr="009B0448">
        <w:rPr>
          <w:rFonts w:ascii="Times New Roman" w:hAnsi="Times New Roman" w:cs="Times New Roman"/>
          <w:color w:val="auto"/>
        </w:rPr>
        <w:t xml:space="preserve">MNRT. (2011). </w:t>
      </w:r>
      <w:r w:rsidRPr="009B0448">
        <w:rPr>
          <w:rFonts w:ascii="Times New Roman" w:hAnsi="Times New Roman" w:cs="Times New Roman"/>
          <w:i/>
          <w:color w:val="auto"/>
        </w:rPr>
        <w:t>Nomination properties for inclusion on the world heritage list serial nomination: Eastern Arc Mountains Forests of Tanzania</w:t>
      </w:r>
      <w:r w:rsidRPr="009B0448">
        <w:rPr>
          <w:rFonts w:ascii="Times New Roman" w:hAnsi="Times New Roman" w:cs="Times New Roman"/>
          <w:color w:val="auto"/>
        </w:rPr>
        <w:t xml:space="preserve">. Dar es Salaam, Tanzania: MNRT. Retrieved from </w:t>
      </w:r>
      <w:hyperlink r:id="rId902" w:history="1">
        <w:r w:rsidRPr="009B0448">
          <w:rPr>
            <w:rStyle w:val="Hyperlink"/>
            <w:rFonts w:ascii="Times New Roman" w:hAnsi="Times New Roman" w:cs="Times New Roman"/>
          </w:rPr>
          <w:t>http://www.whs.tfcg.org/docs/E_Arc_Mountains_World_Heritage_Nomination_100127_FINAL.pdf</w:t>
        </w:r>
      </w:hyperlink>
    </w:p>
    <w:p w14:paraId="6010D714" w14:textId="77777777" w:rsidR="009B0448" w:rsidRPr="009B0448" w:rsidRDefault="009B0448" w:rsidP="009B0448">
      <w:pPr>
        <w:spacing w:after="120" w:line="276" w:lineRule="auto"/>
        <w:ind w:left="567" w:hanging="567"/>
        <w:rPr>
          <w:rFonts w:ascii="Times New Roman" w:hAnsi="Times New Roman" w:cs="Times New Roman"/>
          <w:color w:val="0070C0"/>
          <w:lang w:val="de-DE"/>
        </w:rPr>
      </w:pPr>
      <w:r w:rsidRPr="009B0448">
        <w:rPr>
          <w:rFonts w:ascii="Times New Roman" w:hAnsi="Times New Roman" w:cs="Times New Roman"/>
          <w:color w:val="auto"/>
        </w:rPr>
        <w:t xml:space="preserve">Mogale, M. M., Maluleke, N. L., Raimondo, D. C., Hammer, M., Nkuna, L., MagosBrehm, J., Kell, S., Dulloo, M. E., Thorman, I., van Rensburg, W. J., &amp; Mokoena, M. L. (2017). Conserving the indigenous relatives of crop species. </w:t>
      </w:r>
      <w:r w:rsidRPr="009B0448">
        <w:rPr>
          <w:rFonts w:ascii="Times New Roman" w:hAnsi="Times New Roman" w:cs="Times New Roman"/>
          <w:i/>
          <w:color w:val="auto"/>
        </w:rPr>
        <w:t>South Africa Journal of Botany</w:t>
      </w:r>
      <w:r w:rsidRPr="009B0448">
        <w:rPr>
          <w:rFonts w:ascii="Times New Roman" w:hAnsi="Times New Roman" w:cs="Times New Roman"/>
          <w:color w:val="auto"/>
        </w:rPr>
        <w:t xml:space="preserve">, 109, 352. </w:t>
      </w:r>
      <w:hyperlink r:id="rId903" w:history="1">
        <w:r w:rsidRPr="009B0448">
          <w:rPr>
            <w:rStyle w:val="Hyperlink"/>
            <w:rFonts w:ascii="Times New Roman" w:hAnsi="Times New Roman" w:cs="Times New Roman"/>
            <w:color w:val="0070C0"/>
            <w:lang w:val="de-DE"/>
          </w:rPr>
          <w:t>https://doi.org/10.1016/j.sajb.2017.01.117</w:t>
        </w:r>
      </w:hyperlink>
    </w:p>
    <w:p w14:paraId="011803FE"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lang w:val="de-DE"/>
        </w:rPr>
        <w:t xml:space="preserve">Mohneke, M., Onadeko, A. B. &amp; Rödel, M-O. </w:t>
      </w:r>
      <w:r w:rsidRPr="009B0448">
        <w:rPr>
          <w:rFonts w:ascii="Times New Roman" w:hAnsi="Times New Roman" w:cs="Times New Roman"/>
        </w:rPr>
        <w:t xml:space="preserve">(2009). Exploitation of frogs–a review with a focus on West Africa. </w:t>
      </w:r>
      <w:r w:rsidRPr="009B0448">
        <w:rPr>
          <w:rFonts w:ascii="Times New Roman" w:hAnsi="Times New Roman" w:cs="Times New Roman"/>
          <w:i/>
        </w:rPr>
        <w:t>Salamandra, 45</w:t>
      </w:r>
      <w:r w:rsidRPr="009B0448">
        <w:rPr>
          <w:rFonts w:ascii="Times New Roman" w:hAnsi="Times New Roman" w:cs="Times New Roman"/>
        </w:rPr>
        <w:t xml:space="preserve">,193–202. Retrieved from </w:t>
      </w:r>
      <w:hyperlink r:id="rId904" w:history="1">
        <w:r w:rsidRPr="009B0448">
          <w:rPr>
            <w:rStyle w:val="Hyperlink"/>
            <w:rFonts w:ascii="Times New Roman" w:hAnsi="Times New Roman" w:cs="Times New Roman"/>
          </w:rPr>
          <w:t>http://www.salamandra-journal.com</w:t>
        </w:r>
      </w:hyperlink>
      <w:r w:rsidRPr="009B0448">
        <w:rPr>
          <w:rFonts w:ascii="Times New Roman" w:hAnsi="Times New Roman" w:cs="Times New Roman"/>
        </w:rPr>
        <w:t xml:space="preserve"> </w:t>
      </w:r>
    </w:p>
    <w:p w14:paraId="115DE611"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Mohneke, M., Onadeko, A. B., Hirschfeld, M., &amp; Rödel, M. O. (2010). Dried or fried: Amphibians in local and regional food markets in West Africa. </w:t>
      </w:r>
      <w:r w:rsidRPr="009B0448">
        <w:rPr>
          <w:rFonts w:ascii="Times New Roman" w:hAnsi="Times New Roman" w:cs="Times New Roman"/>
          <w:i/>
        </w:rPr>
        <w:t>TRAFFIC Bulletin, 22</w:t>
      </w:r>
      <w:r w:rsidRPr="009B0448">
        <w:rPr>
          <w:rFonts w:ascii="Times New Roman" w:hAnsi="Times New Roman" w:cs="Times New Roman"/>
        </w:rPr>
        <w:t xml:space="preserve">(3), 117–128. Retrieved from </w:t>
      </w:r>
      <w:hyperlink r:id="rId905" w:history="1">
        <w:r w:rsidRPr="009B0448">
          <w:rPr>
            <w:rStyle w:val="Hyperlink"/>
            <w:rFonts w:ascii="Times New Roman" w:hAnsi="Times New Roman" w:cs="Times New Roman"/>
          </w:rPr>
          <w:t>http://africanamphibians.myspecies.info/node/24</w:t>
        </w:r>
      </w:hyperlink>
      <w:r w:rsidRPr="009B0448">
        <w:rPr>
          <w:rFonts w:ascii="Times New Roman" w:hAnsi="Times New Roman" w:cs="Times New Roman"/>
        </w:rPr>
        <w:t xml:space="preserve"> </w:t>
      </w:r>
    </w:p>
    <w:p w14:paraId="5A4FD5E5" w14:textId="77777777" w:rsidR="009B0448" w:rsidRPr="009B0448" w:rsidRDefault="009B0448" w:rsidP="009B0448">
      <w:pPr>
        <w:spacing w:after="120" w:line="276" w:lineRule="auto"/>
        <w:ind w:left="567" w:hanging="567"/>
        <w:rPr>
          <w:rFonts w:ascii="Times New Roman" w:hAnsi="Times New Roman" w:cs="Times New Roman"/>
          <w:lang w:val="de-DE"/>
        </w:rPr>
      </w:pPr>
      <w:r w:rsidRPr="009B0448">
        <w:rPr>
          <w:rFonts w:ascii="Times New Roman" w:hAnsi="Times New Roman" w:cs="Times New Roman"/>
        </w:rPr>
        <w:t xml:space="preserve">Mohneke, M., Onadeko, A. B. &amp; Rödel, M-O. (2011). Medicinal and dietary uses of amphibians in Burkina Faso. </w:t>
      </w:r>
      <w:r w:rsidRPr="009B0448">
        <w:rPr>
          <w:rFonts w:ascii="Times New Roman" w:hAnsi="Times New Roman" w:cs="Times New Roman"/>
          <w:i/>
        </w:rPr>
        <w:t>African Journal of Herpetology,</w:t>
      </w:r>
      <w:r w:rsidRPr="009B0448">
        <w:rPr>
          <w:rFonts w:ascii="Times New Roman" w:hAnsi="Times New Roman" w:cs="Times New Roman"/>
        </w:rPr>
        <w:t xml:space="preserve"> </w:t>
      </w:r>
      <w:r w:rsidRPr="009B0448">
        <w:rPr>
          <w:rFonts w:ascii="Times New Roman" w:hAnsi="Times New Roman" w:cs="Times New Roman"/>
          <w:lang w:val="de-DE"/>
        </w:rPr>
        <w:t xml:space="preserve">60, 73–83. </w:t>
      </w:r>
      <w:hyperlink r:id="rId906" w:history="1">
        <w:r w:rsidRPr="009B0448">
          <w:rPr>
            <w:rStyle w:val="Hyperlink"/>
            <w:rFonts w:ascii="Times New Roman" w:hAnsi="Times New Roman" w:cs="Times New Roman"/>
            <w:lang w:val="de-DE"/>
          </w:rPr>
          <w:t>https://doi.org/10.1080/21564574.2011.564660</w:t>
        </w:r>
      </w:hyperlink>
    </w:p>
    <w:p w14:paraId="43CD8E9E" w14:textId="77777777" w:rsidR="009B0448" w:rsidRPr="009B0448" w:rsidRDefault="009B0448" w:rsidP="009B0448">
      <w:pPr>
        <w:spacing w:after="120" w:line="276" w:lineRule="auto"/>
        <w:ind w:left="567" w:hanging="567"/>
        <w:rPr>
          <w:rFonts w:ascii="Times New Roman" w:hAnsi="Times New Roman" w:cs="Times New Roman"/>
          <w:color w:val="auto"/>
          <w:lang w:val="de-DE"/>
        </w:rPr>
      </w:pPr>
      <w:r w:rsidRPr="009B0448">
        <w:rPr>
          <w:rFonts w:ascii="Times New Roman" w:hAnsi="Times New Roman" w:cs="Times New Roman"/>
          <w:color w:val="auto"/>
        </w:rPr>
        <w:t xml:space="preserve">Montanari, B. (2013). The future of agriculture in the High Atlas Mountains of Morocco: The need to integrate traditional ecological knowledge. In S. Mann (Ed.), </w:t>
      </w:r>
      <w:r w:rsidRPr="009B0448">
        <w:rPr>
          <w:rFonts w:ascii="Times New Roman" w:hAnsi="Times New Roman" w:cs="Times New Roman"/>
          <w:i/>
          <w:color w:val="auto"/>
        </w:rPr>
        <w:t>The future of mountain agriculture</w:t>
      </w:r>
      <w:r w:rsidRPr="009B0448">
        <w:rPr>
          <w:rFonts w:ascii="Times New Roman" w:hAnsi="Times New Roman" w:cs="Times New Roman"/>
          <w:color w:val="auto"/>
        </w:rPr>
        <w:t xml:space="preserve"> (pp. 51–72)</w:t>
      </w:r>
      <w:r w:rsidRPr="009B0448">
        <w:rPr>
          <w:rFonts w:ascii="Times New Roman" w:hAnsi="Times New Roman" w:cs="Times New Roman"/>
          <w:color w:val="auto"/>
          <w:lang w:val="de-DE"/>
        </w:rPr>
        <w:t>.</w:t>
      </w:r>
      <w:r w:rsidRPr="009B0448">
        <w:rPr>
          <w:rFonts w:ascii="Times New Roman" w:hAnsi="Times New Roman" w:cs="Times New Roman"/>
          <w:lang w:val="de-DE"/>
        </w:rPr>
        <w:t xml:space="preserve"> </w:t>
      </w:r>
      <w:r w:rsidRPr="009B0448">
        <w:rPr>
          <w:rFonts w:ascii="Times New Roman" w:hAnsi="Times New Roman" w:cs="Times New Roman"/>
          <w:color w:val="auto"/>
          <w:lang w:val="de-DE"/>
        </w:rPr>
        <w:t>Berlin, Germany: Springer-Verlag.</w:t>
      </w:r>
      <w:r w:rsidRPr="009B0448">
        <w:rPr>
          <w:rFonts w:ascii="Times New Roman" w:hAnsi="Times New Roman" w:cs="Times New Roman"/>
          <w:lang w:val="de-DE"/>
        </w:rPr>
        <w:t xml:space="preserve"> </w:t>
      </w:r>
      <w:hyperlink r:id="rId907" w:history="1">
        <w:r w:rsidRPr="009B0448">
          <w:rPr>
            <w:rStyle w:val="Hyperlink"/>
            <w:rFonts w:ascii="Times New Roman" w:hAnsi="Times New Roman" w:cs="Times New Roman"/>
            <w:lang w:val="de-DE"/>
          </w:rPr>
          <w:t>https://doi.org/10.1007/978-3-642-33584-6_5</w:t>
        </w:r>
      </w:hyperlink>
    </w:p>
    <w:p w14:paraId="3FE50C14" w14:textId="77777777" w:rsidR="009B0448" w:rsidRPr="009B0448" w:rsidRDefault="009B0448" w:rsidP="009B0448">
      <w:pPr>
        <w:spacing w:after="120" w:line="276" w:lineRule="auto"/>
        <w:ind w:left="567" w:hanging="567"/>
        <w:rPr>
          <w:rFonts w:ascii="Times New Roman" w:hAnsi="Times New Roman" w:cs="Times New Roman"/>
          <w:color w:val="auto"/>
          <w:u w:val="single"/>
        </w:rPr>
      </w:pPr>
      <w:r w:rsidRPr="009B0448">
        <w:rPr>
          <w:rFonts w:ascii="Times New Roman" w:hAnsi="Times New Roman" w:cs="Times New Roman"/>
          <w:color w:val="auto"/>
        </w:rPr>
        <w:t xml:space="preserve">Morton, J. K. (1986). Montane vegetation. In G. W. Lawson (Ed.), </w:t>
      </w:r>
      <w:r w:rsidRPr="009B0448">
        <w:rPr>
          <w:rFonts w:ascii="Times New Roman" w:hAnsi="Times New Roman" w:cs="Times New Roman"/>
          <w:i/>
          <w:color w:val="auto"/>
        </w:rPr>
        <w:t>Plant ecology in West Africa</w:t>
      </w:r>
      <w:r w:rsidRPr="009B0448">
        <w:rPr>
          <w:rFonts w:ascii="Times New Roman" w:hAnsi="Times New Roman" w:cs="Times New Roman"/>
          <w:color w:val="auto"/>
        </w:rPr>
        <w:t xml:space="preserve"> (pp. 247–271). Chichester, UK: John Wiley and Sons Ltd. Retrieved from </w:t>
      </w:r>
      <w:hyperlink r:id="rId908" w:history="1">
        <w:r w:rsidRPr="009B0448">
          <w:rPr>
            <w:rStyle w:val="Hyperlink"/>
            <w:rFonts w:ascii="Times New Roman" w:hAnsi="Times New Roman" w:cs="Times New Roman"/>
          </w:rPr>
          <w:t>http://agris.fao.org/agris-search/search.do?recordID=US201300406593</w:t>
        </w:r>
      </w:hyperlink>
    </w:p>
    <w:p w14:paraId="510D3C7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Mucina, L., &amp; Rutherford, M. C. (Eds.). (2006). T</w:t>
      </w:r>
      <w:r w:rsidRPr="009B0448">
        <w:rPr>
          <w:rFonts w:ascii="Times New Roman" w:hAnsi="Times New Roman" w:cs="Times New Roman"/>
          <w:i/>
          <w:color w:val="auto"/>
        </w:rPr>
        <w:t>he vegetation of South Africa, Lesotho and Swaziland.</w:t>
      </w:r>
      <w:r w:rsidRPr="009B0448">
        <w:rPr>
          <w:rFonts w:ascii="Times New Roman" w:hAnsi="Times New Roman" w:cs="Times New Roman"/>
        </w:rPr>
        <w:t xml:space="preserve"> </w:t>
      </w:r>
      <w:r w:rsidRPr="009B0448">
        <w:rPr>
          <w:rFonts w:ascii="Times New Roman" w:hAnsi="Times New Roman" w:cs="Times New Roman"/>
          <w:color w:val="auto"/>
        </w:rPr>
        <w:t>Pretoria, South Africa: SANBI.</w:t>
      </w:r>
    </w:p>
    <w:p w14:paraId="03D4D1CF" w14:textId="77777777" w:rsidR="009B0448" w:rsidRPr="009B0448" w:rsidRDefault="009B0448" w:rsidP="009B0448">
      <w:pPr>
        <w:spacing w:after="120" w:line="276" w:lineRule="auto"/>
        <w:ind w:left="567" w:hanging="567"/>
        <w:rPr>
          <w:rFonts w:ascii="Times New Roman" w:hAnsi="Times New Roman" w:cs="Times New Roman"/>
          <w:color w:val="auto"/>
          <w:lang w:val="de-DE"/>
        </w:rPr>
      </w:pPr>
      <w:r w:rsidRPr="009B0448">
        <w:rPr>
          <w:rFonts w:ascii="Times New Roman" w:hAnsi="Times New Roman" w:cs="Times New Roman"/>
          <w:color w:val="auto"/>
        </w:rPr>
        <w:t xml:space="preserve">Mwendera, E. (2010). </w:t>
      </w:r>
      <w:r w:rsidRPr="009B0448">
        <w:rPr>
          <w:rFonts w:ascii="Times New Roman" w:hAnsi="Times New Roman" w:cs="Times New Roman"/>
          <w:i/>
          <w:color w:val="auto"/>
        </w:rPr>
        <w:t>Situation analysis for water and wetlands sector in Eastern and Southern Africa</w:t>
      </w:r>
      <w:r w:rsidRPr="009B0448">
        <w:rPr>
          <w:rFonts w:ascii="Times New Roman" w:hAnsi="Times New Roman" w:cs="Times New Roman"/>
          <w:color w:val="auto"/>
        </w:rPr>
        <w:t xml:space="preserve">. </w:t>
      </w:r>
      <w:r w:rsidRPr="009B0448">
        <w:rPr>
          <w:rFonts w:ascii="Times New Roman" w:hAnsi="Times New Roman" w:cs="Times New Roman"/>
          <w:color w:val="auto"/>
          <w:lang w:val="de-DE"/>
        </w:rPr>
        <w:t xml:space="preserve">Nairobi, Kenya: IUCN. Retrieved from </w:t>
      </w:r>
      <w:hyperlink r:id="rId909" w:history="1">
        <w:r w:rsidRPr="009B0448">
          <w:rPr>
            <w:rStyle w:val="Hyperlink"/>
            <w:rFonts w:ascii="Times New Roman" w:hAnsi="Times New Roman" w:cs="Times New Roman"/>
            <w:lang w:val="de-DE"/>
          </w:rPr>
          <w:t>https://cmsdata.iucn.org/downloads/iucn_esaro_water_and_wetlands_situation_analysis.pdf</w:t>
        </w:r>
      </w:hyperlink>
      <w:r w:rsidRPr="009B0448">
        <w:rPr>
          <w:rFonts w:ascii="Times New Roman" w:hAnsi="Times New Roman" w:cs="Times New Roman"/>
          <w:color w:val="auto"/>
          <w:lang w:val="de-DE"/>
        </w:rPr>
        <w:t xml:space="preserve"> </w:t>
      </w:r>
    </w:p>
    <w:p w14:paraId="1681B75C" w14:textId="77777777" w:rsidR="009B0448" w:rsidRPr="009B0448" w:rsidRDefault="009B0448" w:rsidP="009B0448">
      <w:pPr>
        <w:spacing w:after="120" w:line="276" w:lineRule="auto"/>
        <w:ind w:left="567" w:hanging="567"/>
        <w:rPr>
          <w:rFonts w:ascii="Times New Roman" w:hAnsi="Times New Roman" w:cs="Times New Roman"/>
          <w:color w:val="auto"/>
          <w:u w:val="single"/>
        </w:rPr>
      </w:pPr>
      <w:r w:rsidRPr="009B0448">
        <w:rPr>
          <w:rFonts w:ascii="Times New Roman" w:hAnsi="Times New Roman" w:cs="Times New Roman"/>
          <w:color w:val="auto"/>
          <w:lang w:val="de-DE"/>
        </w:rPr>
        <w:t xml:space="preserve">Myers, N., Mittermeier, R. A., Mittermeier, C. G., da Fonseca, G. A. B., &amp; Kent, J. (2000). </w:t>
      </w:r>
      <w:r w:rsidRPr="009B0448">
        <w:rPr>
          <w:rFonts w:ascii="Times New Roman" w:hAnsi="Times New Roman" w:cs="Times New Roman"/>
          <w:color w:val="auto"/>
        </w:rPr>
        <w:t xml:space="preserve">Biodiversity hotspots for conservation priorities. </w:t>
      </w:r>
      <w:r w:rsidRPr="009B0448">
        <w:rPr>
          <w:rFonts w:ascii="Times New Roman" w:hAnsi="Times New Roman" w:cs="Times New Roman"/>
          <w:i/>
          <w:color w:val="auto"/>
        </w:rPr>
        <w:t>Nature, 403</w:t>
      </w:r>
      <w:r w:rsidRPr="009B0448">
        <w:rPr>
          <w:rFonts w:ascii="Times New Roman" w:hAnsi="Times New Roman" w:cs="Times New Roman"/>
          <w:color w:val="auto"/>
        </w:rPr>
        <w:t xml:space="preserve">, 853–858. </w:t>
      </w:r>
      <w:hyperlink r:id="rId910" w:history="1">
        <w:r w:rsidRPr="009B0448">
          <w:rPr>
            <w:rStyle w:val="Hyperlink"/>
            <w:rFonts w:ascii="Times New Roman" w:hAnsi="Times New Roman" w:cs="Times New Roman"/>
          </w:rPr>
          <w:t>https://doi.org/10.1038/35002501</w:t>
        </w:r>
      </w:hyperlink>
      <w:r w:rsidRPr="009B0448">
        <w:rPr>
          <w:rFonts w:ascii="Times New Roman" w:hAnsi="Times New Roman" w:cs="Times New Roman"/>
          <w:color w:val="auto"/>
        </w:rPr>
        <w:t xml:space="preserve"> </w:t>
      </w:r>
    </w:p>
    <w:p w14:paraId="09641101" w14:textId="77777777" w:rsidR="009B0448" w:rsidRPr="009B0448" w:rsidRDefault="009B0448" w:rsidP="009B0448">
      <w:pPr>
        <w:spacing w:after="120" w:line="276" w:lineRule="auto"/>
        <w:ind w:left="567" w:hanging="567"/>
        <w:rPr>
          <w:rFonts w:ascii="Times New Roman" w:hAnsi="Times New Roman" w:cs="Times New Roman"/>
          <w:color w:val="auto"/>
          <w:u w:val="single"/>
          <w:lang w:val="en-US"/>
        </w:rPr>
      </w:pPr>
      <w:r w:rsidRPr="009B0448">
        <w:rPr>
          <w:rFonts w:ascii="Times New Roman" w:hAnsi="Times New Roman" w:cs="Times New Roman"/>
          <w:color w:val="auto"/>
        </w:rPr>
        <w:t xml:space="preserve">Naidoo, R., Balmford, A., Costanza, R., Fisher, B., Green, R. E., Lehner, B., Lehner, B., &amp; Ricketts, T. H. (2008). </w:t>
      </w:r>
      <w:r w:rsidRPr="009B0448">
        <w:rPr>
          <w:rFonts w:ascii="Times New Roman" w:hAnsi="Times New Roman" w:cs="Times New Roman"/>
          <w:i/>
          <w:color w:val="auto"/>
          <w:lang w:val="en-US"/>
        </w:rPr>
        <w:t>Proceedings of the National Academy of Sciences of the United States of America, 105</w:t>
      </w:r>
      <w:r w:rsidRPr="009B0448">
        <w:rPr>
          <w:rFonts w:ascii="Times New Roman" w:hAnsi="Times New Roman" w:cs="Times New Roman"/>
          <w:color w:val="auto"/>
          <w:lang w:val="en-US"/>
        </w:rPr>
        <w:t xml:space="preserve">, 28, 9495–9500. </w:t>
      </w:r>
      <w:hyperlink r:id="rId911" w:history="1">
        <w:r w:rsidRPr="009B0448">
          <w:rPr>
            <w:rStyle w:val="Hyperlink"/>
            <w:rFonts w:ascii="Times New Roman" w:hAnsi="Times New Roman" w:cs="Times New Roman"/>
            <w:lang w:val="en-US"/>
          </w:rPr>
          <w:t>https://doi.org/10.1073/pnas.0707823105</w:t>
        </w:r>
      </w:hyperlink>
      <w:r w:rsidRPr="009B0448">
        <w:rPr>
          <w:rFonts w:ascii="Times New Roman" w:hAnsi="Times New Roman" w:cs="Times New Roman"/>
          <w:color w:val="auto"/>
          <w:lang w:val="en-US"/>
        </w:rPr>
        <w:t xml:space="preserve"> </w:t>
      </w:r>
    </w:p>
    <w:p w14:paraId="5EECF8E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en-US"/>
        </w:rPr>
        <w:t xml:space="preserve">Ndour, N., Dieng, S., &amp; Fall. M. (2001). </w:t>
      </w:r>
      <w:r w:rsidRPr="009B0448">
        <w:rPr>
          <w:rFonts w:ascii="Times New Roman" w:hAnsi="Times New Roman" w:cs="Times New Roman"/>
          <w:color w:val="auto"/>
          <w:lang w:val="de-DE"/>
        </w:rPr>
        <w:t xml:space="preserve">Rôles des mangroves, modes et perspectives de gestion au Delta du Saloum. </w:t>
      </w:r>
      <w:r w:rsidRPr="009B0448">
        <w:rPr>
          <w:rFonts w:ascii="Times New Roman" w:hAnsi="Times New Roman" w:cs="Times New Roman"/>
          <w:i/>
          <w:color w:val="auto"/>
        </w:rPr>
        <w:t>Vertigo- la revue électronique en sciences de l’environnement, 11</w:t>
      </w:r>
      <w:r w:rsidRPr="009B0448">
        <w:rPr>
          <w:rFonts w:ascii="Times New Roman" w:hAnsi="Times New Roman" w:cs="Times New Roman"/>
          <w:color w:val="auto"/>
        </w:rPr>
        <w:t xml:space="preserve">(3). </w:t>
      </w:r>
      <w:hyperlink r:id="rId912" w:history="1">
        <w:r w:rsidRPr="009B0448">
          <w:rPr>
            <w:rStyle w:val="Hyperlink"/>
            <w:rFonts w:ascii="Times New Roman" w:hAnsi="Times New Roman" w:cs="Times New Roman"/>
          </w:rPr>
          <w:t>https://doi.org/10.4000/vertigo.11515</w:t>
        </w:r>
      </w:hyperlink>
      <w:r w:rsidRPr="009B0448">
        <w:rPr>
          <w:rFonts w:ascii="Times New Roman" w:hAnsi="Times New Roman" w:cs="Times New Roman"/>
          <w:color w:val="auto"/>
        </w:rPr>
        <w:t xml:space="preserve"> </w:t>
      </w:r>
    </w:p>
    <w:p w14:paraId="44158FD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Nel, J. L., Roux, D. J., Maree, G., Kleynhans, C. J., Moolman, J., Reyers, B., &amp; Cowling, R. M. (2007). Rivers in peril inside and outside protected areas: A systematic approach to conservation assessment of river ecosystems. </w:t>
      </w:r>
      <w:r w:rsidRPr="009B0448">
        <w:rPr>
          <w:rFonts w:ascii="Times New Roman" w:hAnsi="Times New Roman" w:cs="Times New Roman"/>
          <w:i/>
          <w:color w:val="auto"/>
        </w:rPr>
        <w:t>Diversity and Distributions, 13</w:t>
      </w:r>
      <w:r w:rsidRPr="009B0448">
        <w:rPr>
          <w:rFonts w:ascii="Times New Roman" w:hAnsi="Times New Roman" w:cs="Times New Roman"/>
          <w:color w:val="auto"/>
        </w:rPr>
        <w:t xml:space="preserve">(3), 341–352. </w:t>
      </w:r>
      <w:hyperlink r:id="rId913" w:history="1">
        <w:r w:rsidRPr="009B0448">
          <w:rPr>
            <w:rStyle w:val="Hyperlink"/>
            <w:rFonts w:ascii="Times New Roman" w:hAnsi="Times New Roman" w:cs="Times New Roman"/>
          </w:rPr>
          <w:t>https://doi.org/10.1111/j.1472-4642.2007.00308.x</w:t>
        </w:r>
      </w:hyperlink>
      <w:r w:rsidRPr="009B0448">
        <w:rPr>
          <w:rFonts w:ascii="Times New Roman" w:hAnsi="Times New Roman" w:cs="Times New Roman"/>
          <w:color w:val="auto"/>
        </w:rPr>
        <w:t xml:space="preserve"> </w:t>
      </w:r>
    </w:p>
    <w:p w14:paraId="0A3BB70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Newbold, T., Hudson, L., Arnell, A. P., Contu, S., De Palma, A., Ferrier, S., Hill, L., Hoskins, A. J., Lysenko, A., Phillips, H. R., Burton, V. J., Chng, C. W., Emerson, S., Gao, D., Pask-Hale, G., Hutton, J., Jung, M., SancezOrtiz, K., Simmons, B. I., Whitmee, S., Zhang, H., Scharlemann, J. P., &amp; Purvis, A. (2016). Has land use pushed terrestrial biodiversity beyond the planetary boundary? A global assessment. </w:t>
      </w:r>
      <w:r w:rsidRPr="009B0448">
        <w:rPr>
          <w:rFonts w:ascii="Times New Roman" w:hAnsi="Times New Roman" w:cs="Times New Roman"/>
          <w:i/>
          <w:color w:val="auto"/>
        </w:rPr>
        <w:t>Science, 353</w:t>
      </w:r>
      <w:r w:rsidRPr="009B0448">
        <w:rPr>
          <w:rFonts w:ascii="Times New Roman" w:hAnsi="Times New Roman" w:cs="Times New Roman"/>
          <w:color w:val="auto"/>
        </w:rPr>
        <w:t xml:space="preserve">, 288–291. </w:t>
      </w:r>
      <w:hyperlink r:id="rId914" w:history="1">
        <w:r w:rsidRPr="009B0448">
          <w:rPr>
            <w:rStyle w:val="Hyperlink"/>
            <w:rFonts w:ascii="Times New Roman" w:hAnsi="Times New Roman" w:cs="Times New Roman"/>
          </w:rPr>
          <w:t>https://doi.org/10.1126/science.aaf2201</w:t>
        </w:r>
      </w:hyperlink>
      <w:r w:rsidRPr="009B0448">
        <w:rPr>
          <w:rFonts w:ascii="Times New Roman" w:hAnsi="Times New Roman" w:cs="Times New Roman"/>
          <w:color w:val="auto"/>
        </w:rPr>
        <w:t xml:space="preserve"> </w:t>
      </w:r>
    </w:p>
    <w:p w14:paraId="2FE9101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Newby, J. E. (1982). </w:t>
      </w:r>
      <w:r w:rsidRPr="009B0448">
        <w:rPr>
          <w:rFonts w:ascii="Times New Roman" w:hAnsi="Times New Roman" w:cs="Times New Roman"/>
          <w:i/>
          <w:color w:val="auto"/>
        </w:rPr>
        <w:t>Action plan for the Sahelo-Saharan fauna of Africa</w:t>
      </w:r>
      <w:r w:rsidRPr="009B0448">
        <w:rPr>
          <w:rFonts w:ascii="Times New Roman" w:hAnsi="Times New Roman" w:cs="Times New Roman"/>
          <w:color w:val="auto"/>
        </w:rPr>
        <w:t>. Gland, Switzerland: IUCN.</w:t>
      </w:r>
    </w:p>
    <w:p w14:paraId="1B1AEA9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Newby, J. E. (1988). Aridland wildlife in decline: The case of the scimitar-horned oryx. In A. Dixon, &amp; D. Jones (Eds.), </w:t>
      </w:r>
      <w:r w:rsidRPr="009B0448">
        <w:rPr>
          <w:rFonts w:ascii="Times New Roman" w:hAnsi="Times New Roman" w:cs="Times New Roman"/>
          <w:i/>
          <w:color w:val="auto"/>
        </w:rPr>
        <w:t>Conservation and biology of desert antelopes</w:t>
      </w:r>
      <w:r w:rsidRPr="009B0448">
        <w:rPr>
          <w:rFonts w:ascii="Times New Roman" w:hAnsi="Times New Roman" w:cs="Times New Roman"/>
          <w:color w:val="auto"/>
        </w:rPr>
        <w:t xml:space="preserve"> (pp. 146–166). London, UK: Christopher Helm. </w:t>
      </w:r>
      <w:hyperlink r:id="rId915" w:history="1">
        <w:r w:rsidRPr="009B0448">
          <w:rPr>
            <w:rStyle w:val="Hyperlink"/>
            <w:rFonts w:ascii="Times New Roman" w:hAnsi="Times New Roman" w:cs="Times New Roman"/>
          </w:rPr>
          <w:t>https://doi.org/10.1017/S0030605300022602</w:t>
        </w:r>
      </w:hyperlink>
      <w:r w:rsidRPr="009B0448">
        <w:rPr>
          <w:rFonts w:ascii="Times New Roman" w:hAnsi="Times New Roman" w:cs="Times New Roman"/>
          <w:color w:val="auto"/>
        </w:rPr>
        <w:t xml:space="preserve"> </w:t>
      </w:r>
    </w:p>
    <w:p w14:paraId="72A6917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Newmark, W. D. (1998). Forest area, fragmentation, and loss in the Eastern Arc Mountains: implications for the conservation of biological diversity. </w:t>
      </w:r>
      <w:r w:rsidRPr="009B0448">
        <w:rPr>
          <w:rFonts w:ascii="Times New Roman" w:hAnsi="Times New Roman" w:cs="Times New Roman"/>
          <w:i/>
          <w:color w:val="auto"/>
        </w:rPr>
        <w:t>Journal of East African Natural History, 87</w:t>
      </w:r>
      <w:r w:rsidRPr="009B0448">
        <w:rPr>
          <w:rFonts w:ascii="Times New Roman" w:hAnsi="Times New Roman" w:cs="Times New Roman"/>
          <w:color w:val="auto"/>
        </w:rPr>
        <w:t xml:space="preserve">(1), 29–36. </w:t>
      </w:r>
      <w:hyperlink r:id="rId916" w:history="1">
        <w:r w:rsidRPr="009B0448">
          <w:rPr>
            <w:rStyle w:val="Hyperlink"/>
            <w:rFonts w:ascii="Times New Roman" w:hAnsi="Times New Roman" w:cs="Times New Roman"/>
          </w:rPr>
          <w:t>https://doi.org/10.2982/0012-8317(1998)87[29:FAFALI]2.0.CO;2</w:t>
        </w:r>
      </w:hyperlink>
    </w:p>
    <w:p w14:paraId="7B26C68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Niang, I., Ruppel, O. C., Abdrabo, M. A., Essel, A., Lennard, C., Padgham, J., &amp; Urquhart, P. (2014). Africa. In V. R. Barros, C. B. Field, D. J. Dokken, M. D. Mastrandrea, K. J. Mach, T. E. Bilir, M. MacCracken, P. R. Mastrandrea, &amp; L. L. White (Eds.), </w:t>
      </w:r>
      <w:r w:rsidRPr="009B0448">
        <w:rPr>
          <w:rFonts w:ascii="Times New Roman" w:hAnsi="Times New Roman" w:cs="Times New Roman"/>
          <w:i/>
          <w:color w:val="auto"/>
        </w:rPr>
        <w:t xml:space="preserve">Climate change 2014: Impacts, adaptation and vulnerability. Contribution of Working Group II to the Fifth Assessment Report of the Intergovernmental Panel on Climate Change </w:t>
      </w:r>
      <w:r w:rsidRPr="009B0448">
        <w:rPr>
          <w:rFonts w:ascii="Times New Roman" w:hAnsi="Times New Roman" w:cs="Times New Roman"/>
          <w:color w:val="auto"/>
        </w:rPr>
        <w:t>(pp. 1199–1265). Cambridge, UK: Cambridge University Press.</w:t>
      </w:r>
      <w:r w:rsidRPr="009B0448">
        <w:rPr>
          <w:rFonts w:ascii="Times New Roman" w:hAnsi="Times New Roman" w:cs="Times New Roman"/>
        </w:rPr>
        <w:t xml:space="preserve"> </w:t>
      </w:r>
      <w:r w:rsidRPr="009B0448">
        <w:rPr>
          <w:rFonts w:ascii="Times New Roman" w:hAnsi="Times New Roman" w:cs="Times New Roman"/>
          <w:color w:val="auto"/>
        </w:rPr>
        <w:t xml:space="preserve">Retrieved from </w:t>
      </w:r>
      <w:hyperlink r:id="rId917" w:history="1">
        <w:r w:rsidRPr="009B0448">
          <w:rPr>
            <w:rStyle w:val="Hyperlink"/>
            <w:rFonts w:ascii="Times New Roman" w:hAnsi="Times New Roman" w:cs="Times New Roman"/>
          </w:rPr>
          <w:t>https://www.ipcc.ch/pdf/assessment-report/ar5/wg2/WGIIAR5-Chap22_FINAL.pdf</w:t>
        </w:r>
      </w:hyperlink>
      <w:r w:rsidRPr="009B0448">
        <w:rPr>
          <w:rFonts w:ascii="Times New Roman" w:hAnsi="Times New Roman" w:cs="Times New Roman"/>
          <w:color w:val="auto"/>
        </w:rPr>
        <w:t xml:space="preserve"> </w:t>
      </w:r>
    </w:p>
    <w:p w14:paraId="199A726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NOAA. (2003). </w:t>
      </w:r>
      <w:r w:rsidRPr="009B0448">
        <w:rPr>
          <w:rFonts w:ascii="Times New Roman" w:hAnsi="Times New Roman" w:cs="Times New Roman"/>
          <w:i/>
          <w:color w:val="auto"/>
        </w:rPr>
        <w:t>Mediterranean Sea large marine ecosystem</w:t>
      </w:r>
      <w:r w:rsidRPr="009B0448">
        <w:rPr>
          <w:rFonts w:ascii="Times New Roman" w:hAnsi="Times New Roman" w:cs="Times New Roman"/>
          <w:color w:val="auto"/>
        </w:rPr>
        <w:t xml:space="preserve">. USA: NOAA. Retrieved from </w:t>
      </w:r>
      <w:hyperlink r:id="rId918" w:history="1">
        <w:r w:rsidRPr="009B0448">
          <w:rPr>
            <w:rStyle w:val="Hyperlink"/>
            <w:rFonts w:ascii="Times New Roman" w:hAnsi="Times New Roman" w:cs="Times New Roman"/>
          </w:rPr>
          <w:t>http://na.nefsc.noaa.gov/lme/text/lme26.htm</w:t>
        </w:r>
      </w:hyperlink>
    </w:p>
    <w:p w14:paraId="5524633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Norris, K., Asase, A., Collen, B., Gockowksi, J., Mason, J., Phalan, B., &amp; Wade, A. (2010). Biodiversity in a forest-agriculture mosaic–the changing face of West African rainforests. </w:t>
      </w:r>
      <w:r w:rsidRPr="009B0448">
        <w:rPr>
          <w:rFonts w:ascii="Times New Roman" w:hAnsi="Times New Roman" w:cs="Times New Roman"/>
          <w:i/>
          <w:color w:val="auto"/>
        </w:rPr>
        <w:t>Biological conservation, 143</w:t>
      </w:r>
      <w:r w:rsidRPr="009B0448">
        <w:rPr>
          <w:rFonts w:ascii="Times New Roman" w:hAnsi="Times New Roman" w:cs="Times New Roman"/>
          <w:color w:val="auto"/>
        </w:rPr>
        <w:t xml:space="preserve">(10), 2341–2350. </w:t>
      </w:r>
      <w:hyperlink r:id="rId919" w:history="1">
        <w:r w:rsidRPr="009B0448">
          <w:rPr>
            <w:rStyle w:val="Hyperlink"/>
            <w:rFonts w:ascii="Times New Roman" w:hAnsi="Times New Roman" w:cs="Times New Roman"/>
          </w:rPr>
          <w:t>https://doi.org/10.1016/j.biocon.2009.12.032</w:t>
        </w:r>
      </w:hyperlink>
    </w:p>
    <w:p w14:paraId="6FFE0CF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Nulens, R., Scott, L., &amp; Herbin, M. (2011). </w:t>
      </w:r>
      <w:r w:rsidRPr="009B0448">
        <w:rPr>
          <w:rFonts w:ascii="Times New Roman" w:hAnsi="Times New Roman" w:cs="Times New Roman"/>
          <w:i/>
          <w:color w:val="auto"/>
        </w:rPr>
        <w:t>An updated inventory of all known specimens of the Coelacanth, Latimeria Spp.</w:t>
      </w:r>
      <w:r w:rsidRPr="009B0448">
        <w:rPr>
          <w:rFonts w:ascii="Times New Roman" w:hAnsi="Times New Roman" w:cs="Times New Roman"/>
          <w:color w:val="auto"/>
        </w:rPr>
        <w:t xml:space="preserve"> Pretoria, South Africa: South African Institute for Aquatic Biodiversity. Retrieved from </w:t>
      </w:r>
      <w:hyperlink r:id="rId920" w:history="1">
        <w:r w:rsidRPr="009B0448">
          <w:rPr>
            <w:rStyle w:val="Hyperlink"/>
            <w:rFonts w:ascii="Times New Roman" w:hAnsi="Times New Roman" w:cs="Times New Roman"/>
          </w:rPr>
          <w:t>http://hdl.handle.net/10907/232</w:t>
        </w:r>
      </w:hyperlink>
    </w:p>
    <w:p w14:paraId="00453CF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Ouhammou, A. (2013). Biodiversité et gestion des écosystèmes prairiaux dans le Parc national de Toubkal, Maroc. Premiers résultats. </w:t>
      </w:r>
      <w:r w:rsidRPr="009B0448">
        <w:rPr>
          <w:rFonts w:ascii="Times New Roman" w:hAnsi="Times New Roman" w:cs="Times New Roman"/>
          <w:i/>
          <w:color w:val="auto"/>
        </w:rPr>
        <w:t>Acta Botanica Gallica, 143</w:t>
      </w:r>
      <w:r w:rsidRPr="009B0448">
        <w:rPr>
          <w:rFonts w:ascii="Times New Roman" w:hAnsi="Times New Roman" w:cs="Times New Roman"/>
          <w:color w:val="auto"/>
        </w:rPr>
        <w:t xml:space="preserve">, 349–352. </w:t>
      </w:r>
      <w:hyperlink r:id="rId921" w:history="1">
        <w:r w:rsidRPr="009B0448">
          <w:rPr>
            <w:rStyle w:val="Hyperlink"/>
            <w:rFonts w:ascii="Times New Roman" w:hAnsi="Times New Roman" w:cs="Times New Roman"/>
          </w:rPr>
          <w:t>https://doi.org/10.1080/12538078.1996.10515731</w:t>
        </w:r>
      </w:hyperlink>
      <w:r w:rsidRPr="009B0448">
        <w:rPr>
          <w:rFonts w:ascii="Times New Roman" w:hAnsi="Times New Roman" w:cs="Times New Roman"/>
          <w:color w:val="auto"/>
        </w:rPr>
        <w:t xml:space="preserve"> </w:t>
      </w:r>
    </w:p>
    <w:p w14:paraId="7B40E80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Obura, D., Church, J., Daniels, C., Kalombo, H., Schleyer, M. &amp; Suleiman, M. (2004). Status of coral reefs in East Africa 2004: Kenya, Tanzania, Mozambique and South Africa. In C. Wilkinson, (Ed.) </w:t>
      </w:r>
      <w:r w:rsidRPr="009B0448">
        <w:rPr>
          <w:rFonts w:ascii="Times New Roman" w:hAnsi="Times New Roman" w:cs="Times New Roman"/>
          <w:i/>
          <w:color w:val="auto"/>
        </w:rPr>
        <w:t>Status of coral reefs of the world</w:t>
      </w:r>
      <w:r w:rsidRPr="009B0448">
        <w:rPr>
          <w:rFonts w:ascii="Times New Roman" w:hAnsi="Times New Roman" w:cs="Times New Roman"/>
          <w:color w:val="auto"/>
        </w:rPr>
        <w:t xml:space="preserve"> (pp. 171–188). Townsville, Australia: Australian Institute of Marine Science. Retrieved from </w:t>
      </w:r>
      <w:hyperlink r:id="rId922" w:history="1">
        <w:r w:rsidRPr="009B0448">
          <w:rPr>
            <w:rStyle w:val="Hyperlink"/>
            <w:rFonts w:ascii="Times New Roman" w:hAnsi="Times New Roman" w:cs="Times New Roman"/>
          </w:rPr>
          <w:t>http://www.marinecultures.org/static/files/cots/CORAL_REEFS_WIO.pdf</w:t>
        </w:r>
      </w:hyperlink>
      <w:r w:rsidRPr="009B0448">
        <w:rPr>
          <w:rFonts w:ascii="Times New Roman" w:hAnsi="Times New Roman" w:cs="Times New Roman"/>
          <w:color w:val="auto"/>
        </w:rPr>
        <w:t xml:space="preserve"> </w:t>
      </w:r>
    </w:p>
    <w:p w14:paraId="04136BDC"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Obura, D. O. (2016). </w:t>
      </w:r>
      <w:r w:rsidRPr="009B0448">
        <w:rPr>
          <w:rFonts w:ascii="Times New Roman" w:hAnsi="Times New Roman" w:cs="Times New Roman"/>
          <w:i/>
        </w:rPr>
        <w:t>Coral bleaching response guide 2016 (Western Indian Ocean).</w:t>
      </w:r>
      <w:r w:rsidRPr="009B0448">
        <w:rPr>
          <w:rFonts w:ascii="Times New Roman" w:hAnsi="Times New Roman" w:cs="Times New Roman"/>
        </w:rPr>
        <w:t xml:space="preserve"> Retrieved from </w:t>
      </w:r>
      <w:hyperlink r:id="rId923" w:history="1">
        <w:r w:rsidRPr="009B0448">
          <w:rPr>
            <w:rStyle w:val="Hyperlink"/>
            <w:rFonts w:ascii="Times New Roman" w:hAnsi="Times New Roman" w:cs="Times New Roman"/>
          </w:rPr>
          <w:t>http://cordioea.net/bleaching_resilience/wio-bleaching-2016</w:t>
        </w:r>
      </w:hyperlink>
    </w:p>
    <w:p w14:paraId="781D81B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OECD. (2008). </w:t>
      </w:r>
      <w:r w:rsidRPr="009B0448">
        <w:rPr>
          <w:rFonts w:ascii="Times New Roman" w:hAnsi="Times New Roman" w:cs="Times New Roman"/>
          <w:i/>
          <w:color w:val="auto"/>
        </w:rPr>
        <w:t>Growing unequal? Income distribution and poverty in OECD countries</w:t>
      </w:r>
      <w:r w:rsidRPr="009B0448">
        <w:rPr>
          <w:rFonts w:ascii="Times New Roman" w:hAnsi="Times New Roman" w:cs="Times New Roman"/>
          <w:color w:val="auto"/>
        </w:rPr>
        <w:t xml:space="preserve">. Paris, France: OECD Publishing. </w:t>
      </w:r>
      <w:hyperlink r:id="rId924" w:history="1">
        <w:r w:rsidRPr="009B0448">
          <w:rPr>
            <w:rStyle w:val="Hyperlink"/>
            <w:rFonts w:ascii="Times New Roman" w:hAnsi="Times New Roman" w:cs="Times New Roman"/>
          </w:rPr>
          <w:t>https://doi.org/10.1787/9789264044197-en</w:t>
        </w:r>
      </w:hyperlink>
    </w:p>
    <w:p w14:paraId="1F05CBB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OECD-FAO. (2016). Agriculture in sub-Saharan Africa: Prospects and challenges for the next decade. In OECD-FAO, </w:t>
      </w:r>
      <w:r w:rsidRPr="009B0448">
        <w:rPr>
          <w:rFonts w:ascii="Times New Roman" w:hAnsi="Times New Roman" w:cs="Times New Roman"/>
          <w:i/>
          <w:color w:val="auto"/>
        </w:rPr>
        <w:t>Agricultural Outlook 2016–2025</w:t>
      </w:r>
      <w:r w:rsidRPr="009B0448">
        <w:rPr>
          <w:rFonts w:ascii="Times New Roman" w:hAnsi="Times New Roman" w:cs="Times New Roman"/>
          <w:color w:val="auto"/>
        </w:rPr>
        <w:t xml:space="preserve">. Rome, Italy: FAO. Retrieved from </w:t>
      </w:r>
      <w:hyperlink r:id="rId925" w:history="1">
        <w:r w:rsidRPr="009B0448">
          <w:rPr>
            <w:rStyle w:val="Hyperlink"/>
            <w:rFonts w:ascii="Times New Roman" w:hAnsi="Times New Roman" w:cs="Times New Roman"/>
            <w:color w:val="0070C0"/>
          </w:rPr>
          <w:t>http://www.fao.org/3/a-BO092E.pdf</w:t>
        </w:r>
      </w:hyperlink>
    </w:p>
    <w:p w14:paraId="3C6589C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Ogandagas, C. (2003). National report: Marine biodiversity in Gabon–the known and the unknown. In: C. Decker, C. Griffiths, K. Prochazka, C.Ras, &amp; A. Whitfield, (Eds.), </w:t>
      </w:r>
      <w:r w:rsidRPr="009B0448">
        <w:rPr>
          <w:rFonts w:ascii="Times New Roman" w:hAnsi="Times New Roman" w:cs="Times New Roman"/>
          <w:i/>
          <w:color w:val="auto"/>
        </w:rPr>
        <w:t>Marine biodiversity in sub-Saharan Africa: The known and the unknown</w:t>
      </w:r>
      <w:r w:rsidRPr="009B0448">
        <w:rPr>
          <w:rFonts w:ascii="Times New Roman" w:hAnsi="Times New Roman" w:cs="Times New Roman"/>
          <w:color w:val="auto"/>
        </w:rPr>
        <w:t xml:space="preserve"> (pp. 75–85). Cape Town, South Africa: Proceedings of the Marine Biodiversity in Africa. Retrieved from </w:t>
      </w:r>
      <w:hyperlink r:id="rId926" w:history="1">
        <w:r w:rsidRPr="009B0448">
          <w:rPr>
            <w:rStyle w:val="Hyperlink"/>
            <w:rFonts w:ascii="Times New Roman" w:hAnsi="Times New Roman" w:cs="Times New Roman"/>
          </w:rPr>
          <w:t>http://hdl.handle.net/1834/862</w:t>
        </w:r>
      </w:hyperlink>
      <w:r w:rsidRPr="009B0448">
        <w:rPr>
          <w:rFonts w:ascii="Times New Roman" w:hAnsi="Times New Roman" w:cs="Times New Roman"/>
          <w:color w:val="auto"/>
        </w:rPr>
        <w:t xml:space="preserve"> </w:t>
      </w:r>
    </w:p>
    <w:p w14:paraId="1E6407D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Olson, D. M., Dinerstein, E., Wikramanayake, E. D., Burgess, N. D., Powell, G. V. N., Underwood, E. C., D’Amico, J. A., Itoua, I., Strand, H. E., Morrison, J. C., Loucks, C. J., Allnutt, T. F., Ricketts, T. H., Kura, Y., Lamreux, J. F., Wettengel, W. W., Hedao, P., &amp; Kassem, K. R. (2001). </w:t>
      </w:r>
      <w:r w:rsidRPr="009B0448">
        <w:rPr>
          <w:rFonts w:ascii="Times New Roman" w:hAnsi="Times New Roman" w:cs="Times New Roman"/>
          <w:color w:val="auto"/>
        </w:rPr>
        <w:t xml:space="preserve">Terrestrial ecoregions of the world: A new map of life on Earth. </w:t>
      </w:r>
      <w:r w:rsidRPr="009B0448">
        <w:rPr>
          <w:rFonts w:ascii="Times New Roman" w:hAnsi="Times New Roman" w:cs="Times New Roman"/>
          <w:i/>
          <w:color w:val="auto"/>
        </w:rPr>
        <w:t>Bioscience 51</w:t>
      </w:r>
      <w:r w:rsidRPr="009B0448">
        <w:rPr>
          <w:rFonts w:ascii="Times New Roman" w:hAnsi="Times New Roman" w:cs="Times New Roman"/>
          <w:color w:val="auto"/>
        </w:rPr>
        <w:t xml:space="preserve">(11), 933–938. </w:t>
      </w:r>
      <w:hyperlink r:id="rId927" w:history="1">
        <w:r w:rsidRPr="009B0448">
          <w:rPr>
            <w:rStyle w:val="Hyperlink"/>
            <w:rFonts w:ascii="Times New Roman" w:hAnsi="Times New Roman" w:cs="Times New Roman"/>
          </w:rPr>
          <w:t>https://doi.org/10.1641/0006-3568(2001)051[0933:TEOTWA]2.0.CO;2</w:t>
        </w:r>
      </w:hyperlink>
    </w:p>
    <w:p w14:paraId="7E8C92F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rPr>
        <w:t xml:space="preserve">Onadeko, A. B., Egonmwan, R. I., &amp; Saliu, J. K. (2011). Edible amphibian species: Local knowledge of their consumption in Southwest Nigeria and their nutritional value. </w:t>
      </w:r>
      <w:r w:rsidRPr="009B0448">
        <w:rPr>
          <w:rFonts w:ascii="Times New Roman" w:hAnsi="Times New Roman" w:cs="Times New Roman"/>
          <w:i/>
        </w:rPr>
        <w:t>West African Journal of Applied Ecology, 19</w:t>
      </w:r>
      <w:r w:rsidRPr="009B0448">
        <w:rPr>
          <w:rFonts w:ascii="Times New Roman" w:hAnsi="Times New Roman" w:cs="Times New Roman"/>
        </w:rPr>
        <w:t xml:space="preserve">, 67–75. </w:t>
      </w:r>
    </w:p>
    <w:p w14:paraId="71EE4CB1"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Paugy, D., Lévêque, C., &amp; Teugels, G. G. (2003). </w:t>
      </w:r>
      <w:r w:rsidRPr="009B0448">
        <w:rPr>
          <w:rFonts w:ascii="Times New Roman" w:hAnsi="Times New Roman" w:cs="Times New Roman"/>
          <w:i/>
        </w:rPr>
        <w:t>Poissons d’eaux douces et saumâtres de l’Afrique de l’Ouest (The fresh and brackish water fishes of West Africa</w:t>
      </w:r>
      <w:r w:rsidRPr="009B0448">
        <w:rPr>
          <w:rFonts w:ascii="Times New Roman" w:hAnsi="Times New Roman" w:cs="Times New Roman"/>
        </w:rPr>
        <w:t>). Paris, France: Institut de Recherche pour le Développement Editions.</w:t>
      </w:r>
    </w:p>
    <w:p w14:paraId="5E01090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Peel, M. C., Finlayson, B. L., &amp; McMahon, T. A. (2007). Updated world map of the köppen-geiger climate classification. </w:t>
      </w:r>
      <w:r w:rsidRPr="009B0448">
        <w:rPr>
          <w:rFonts w:ascii="Times New Roman" w:hAnsi="Times New Roman" w:cs="Times New Roman"/>
          <w:i/>
          <w:color w:val="auto"/>
        </w:rPr>
        <w:t>Hydrology and Earth System Sciences, 11</w:t>
      </w:r>
      <w:r w:rsidRPr="009B0448">
        <w:rPr>
          <w:rFonts w:ascii="Times New Roman" w:hAnsi="Times New Roman" w:cs="Times New Roman"/>
          <w:color w:val="auto"/>
        </w:rPr>
        <w:t xml:space="preserve">, 1633–1644. </w:t>
      </w:r>
      <w:hyperlink r:id="rId928" w:history="1">
        <w:r w:rsidRPr="009B0448">
          <w:rPr>
            <w:rStyle w:val="Hyperlink"/>
            <w:rFonts w:ascii="Times New Roman" w:hAnsi="Times New Roman" w:cs="Times New Roman"/>
          </w:rPr>
          <w:t>https://doi.org/10.5194/hess-11-1633-2007</w:t>
        </w:r>
      </w:hyperlink>
    </w:p>
    <w:p w14:paraId="68C42C9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Perera, S. J., Ratnayake-Perera, D., &amp; Procheş, Ş. (2011). Vertebrate distributions indicate a Greater Maputaland-Pondoland-Albany region of endemism. </w:t>
      </w:r>
      <w:r w:rsidRPr="009B0448">
        <w:rPr>
          <w:rFonts w:ascii="Times New Roman" w:hAnsi="Times New Roman" w:cs="Times New Roman"/>
          <w:i/>
          <w:color w:val="auto"/>
        </w:rPr>
        <w:t>South African Journal of Sciences, 107</w:t>
      </w:r>
      <w:r w:rsidRPr="009B0448">
        <w:rPr>
          <w:rFonts w:ascii="Times New Roman" w:hAnsi="Times New Roman" w:cs="Times New Roman"/>
          <w:color w:val="auto"/>
        </w:rPr>
        <w:t>, 49–63.</w:t>
      </w:r>
      <w:r w:rsidRPr="009B0448">
        <w:rPr>
          <w:rFonts w:ascii="Times New Roman" w:hAnsi="Times New Roman" w:cs="Times New Roman"/>
        </w:rPr>
        <w:t xml:space="preserve"> </w:t>
      </w:r>
      <w:hyperlink r:id="rId929" w:history="1">
        <w:r w:rsidRPr="009B0448">
          <w:rPr>
            <w:rStyle w:val="Hyperlink"/>
            <w:rFonts w:ascii="Times New Roman" w:hAnsi="Times New Roman" w:cs="Times New Roman"/>
          </w:rPr>
          <w:t>https://doi.org/10.4102/sajs.v107i7/8.462</w:t>
        </w:r>
      </w:hyperlink>
      <w:r w:rsidRPr="009B0448">
        <w:rPr>
          <w:rFonts w:ascii="Times New Roman" w:hAnsi="Times New Roman" w:cs="Times New Roman"/>
        </w:rPr>
        <w:t xml:space="preserve"> </w:t>
      </w:r>
    </w:p>
    <w:p w14:paraId="48EF1E3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Perrin, J. L., Rais, N., Chahinian, N., Moulin, P., &amp; Ijjaali, M. (2014). Water quality assessment of highly polluted rivers in a semi-arid Mediterranean zone Oued Fez and Sebou River (Morocco). </w:t>
      </w:r>
      <w:r w:rsidRPr="009B0448">
        <w:rPr>
          <w:rFonts w:ascii="Times New Roman" w:hAnsi="Times New Roman" w:cs="Times New Roman"/>
          <w:i/>
          <w:color w:val="auto"/>
        </w:rPr>
        <w:t>Journal of Hydrology, 510</w:t>
      </w:r>
      <w:r w:rsidRPr="009B0448">
        <w:rPr>
          <w:rFonts w:ascii="Times New Roman" w:hAnsi="Times New Roman" w:cs="Times New Roman"/>
          <w:color w:val="auto"/>
        </w:rPr>
        <w:t xml:space="preserve">, 26–34. </w:t>
      </w:r>
      <w:hyperlink r:id="rId930" w:history="1">
        <w:r w:rsidRPr="009B0448">
          <w:rPr>
            <w:rStyle w:val="Hyperlink"/>
            <w:rFonts w:ascii="Times New Roman" w:hAnsi="Times New Roman" w:cs="Times New Roman"/>
          </w:rPr>
          <w:t>https://doi.org/10.1016/j.jhydrol.2013.12.002</w:t>
        </w:r>
      </w:hyperlink>
    </w:p>
    <w:p w14:paraId="1866951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PERSGA/GEF. (2003). </w:t>
      </w:r>
      <w:r w:rsidRPr="009B0448">
        <w:rPr>
          <w:rFonts w:ascii="Times New Roman" w:hAnsi="Times New Roman" w:cs="Times New Roman"/>
          <w:i/>
          <w:color w:val="auto"/>
        </w:rPr>
        <w:t>Coral Reefs in the Red Sea and Gulf of Aden</w:t>
      </w:r>
      <w:r w:rsidRPr="009B0448">
        <w:rPr>
          <w:rFonts w:ascii="Times New Roman" w:hAnsi="Times New Roman" w:cs="Times New Roman"/>
          <w:color w:val="auto"/>
        </w:rPr>
        <w:t xml:space="preserve">. Surveys 1990 to 2000 Summary and Recommendations. Jeddah, Saudi Arabia: PERSGA. </w:t>
      </w:r>
    </w:p>
    <w:p w14:paraId="3271A7C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rPr>
        <w:t xml:space="preserve">Pfeifer, M., Burgess, N. D., Swetnam, R. D., Platts, P. J., Willcock, S., &amp; Marchant, R. (2012). Protected areas: Mixed success in conserving East Africa's evergreen forests. </w:t>
      </w:r>
      <w:r w:rsidRPr="009B0448">
        <w:rPr>
          <w:rFonts w:ascii="Times New Roman" w:hAnsi="Times New Roman" w:cs="Times New Roman"/>
          <w:i/>
          <w:iCs/>
        </w:rPr>
        <w:t>PLoS ONE</w:t>
      </w:r>
      <w:r w:rsidRPr="009B0448">
        <w:rPr>
          <w:rFonts w:ascii="Times New Roman" w:hAnsi="Times New Roman" w:cs="Times New Roman"/>
        </w:rPr>
        <w:t xml:space="preserve">, </w:t>
      </w:r>
      <w:r w:rsidRPr="009B0448">
        <w:rPr>
          <w:rFonts w:ascii="Times New Roman" w:hAnsi="Times New Roman" w:cs="Times New Roman"/>
          <w:bCs/>
          <w:i/>
        </w:rPr>
        <w:t>7</w:t>
      </w:r>
      <w:r w:rsidRPr="009B0448">
        <w:rPr>
          <w:rFonts w:ascii="Times New Roman" w:hAnsi="Times New Roman" w:cs="Times New Roman"/>
        </w:rPr>
        <w:t xml:space="preserve">(6), e39337. </w:t>
      </w:r>
      <w:hyperlink r:id="rId931" w:history="1">
        <w:r w:rsidRPr="009B0448">
          <w:rPr>
            <w:rStyle w:val="Hyperlink"/>
            <w:rFonts w:ascii="Times New Roman" w:hAnsi="Times New Roman" w:cs="Times New Roman"/>
          </w:rPr>
          <w:t>https://doi.org/10.1371/journal.pone.0039337</w:t>
        </w:r>
      </w:hyperlink>
      <w:r w:rsidRPr="009B0448">
        <w:rPr>
          <w:rFonts w:ascii="Times New Roman" w:hAnsi="Times New Roman" w:cs="Times New Roman"/>
        </w:rPr>
        <w:t xml:space="preserve">   </w:t>
      </w:r>
      <w:r w:rsidRPr="009B0448">
        <w:rPr>
          <w:rStyle w:val="Hyperlink"/>
          <w:rFonts w:ascii="Times New Roman" w:hAnsi="Times New Roman" w:cs="Times New Roman"/>
        </w:rPr>
        <w:t xml:space="preserve"> </w:t>
      </w:r>
    </w:p>
    <w:p w14:paraId="4D3D9D9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Phillipson, P. B. (1996). Endemism and non-endemism in the flora ofsouth-west Madagascar. In W. R. Lourenco, (Ed.), </w:t>
      </w:r>
      <w:r w:rsidRPr="009B0448">
        <w:rPr>
          <w:rFonts w:ascii="Times New Roman" w:hAnsi="Times New Roman" w:cs="Times New Roman"/>
          <w:i/>
          <w:color w:val="auto"/>
        </w:rPr>
        <w:t>Biogeography of Madagascar</w:t>
      </w:r>
      <w:r w:rsidRPr="009B0448">
        <w:rPr>
          <w:rFonts w:ascii="Times New Roman" w:hAnsi="Times New Roman" w:cs="Times New Roman"/>
          <w:color w:val="auto"/>
        </w:rPr>
        <w:t xml:space="preserve"> (pp. 125–136). Paris, France: Office de la Recherche Scientifiqueet Technique Outre-Mer. Retrieved from </w:t>
      </w:r>
      <w:hyperlink r:id="rId932" w:history="1">
        <w:r w:rsidRPr="009B0448">
          <w:rPr>
            <w:rStyle w:val="Hyperlink"/>
            <w:rFonts w:ascii="Times New Roman" w:hAnsi="Times New Roman" w:cs="Times New Roman"/>
          </w:rPr>
          <w:t>http://horizon.documentation.ird.fr/exl-doc/pleins_textes/pleins_textes_6/colloques2/010008453.pdf</w:t>
        </w:r>
      </w:hyperlink>
      <w:r w:rsidRPr="009B0448">
        <w:rPr>
          <w:rFonts w:ascii="Times New Roman" w:hAnsi="Times New Roman" w:cs="Times New Roman"/>
          <w:color w:val="auto"/>
        </w:rPr>
        <w:t xml:space="preserve"> </w:t>
      </w:r>
    </w:p>
    <w:p w14:paraId="4FD4453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Plumptre, A. J., Davenport, T. R. B., Behangana, M., Kityo, R., Eilu, G., Ssegawa, P., Ewango, C., Meirte, D., Kahindo, C., Herremans, M., Peterhan, J. K., Pilgrimg, J. D., Wilson, M., Languy, &amp; Moyer, D. (2006). The biodiversity of the Albertine Rift. </w:t>
      </w:r>
      <w:r w:rsidRPr="009B0448">
        <w:rPr>
          <w:rFonts w:ascii="Times New Roman" w:hAnsi="Times New Roman" w:cs="Times New Roman"/>
          <w:i/>
          <w:color w:val="auto"/>
        </w:rPr>
        <w:t>Biological conservation, 134</w:t>
      </w:r>
      <w:r w:rsidRPr="009B0448">
        <w:rPr>
          <w:rFonts w:ascii="Times New Roman" w:hAnsi="Times New Roman" w:cs="Times New Roman"/>
          <w:color w:val="auto"/>
        </w:rPr>
        <w:t xml:space="preserve">, 178–194. </w:t>
      </w:r>
      <w:hyperlink r:id="rId933" w:history="1">
        <w:r w:rsidRPr="009B0448">
          <w:rPr>
            <w:rStyle w:val="Hyperlink"/>
            <w:rFonts w:ascii="Times New Roman" w:hAnsi="Times New Roman" w:cs="Times New Roman"/>
          </w:rPr>
          <w:t>https://doi.org/10.1016/j.biocon.2006.08.021</w:t>
        </w:r>
      </w:hyperlink>
      <w:r w:rsidRPr="009B0448">
        <w:rPr>
          <w:rFonts w:ascii="Times New Roman" w:hAnsi="Times New Roman" w:cs="Times New Roman"/>
          <w:color w:val="auto"/>
        </w:rPr>
        <w:t xml:space="preserve"> </w:t>
      </w:r>
    </w:p>
    <w:p w14:paraId="1D70E74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Polidoro, B., Ralph, G., Strongin, K., Harvey, M., Carpenter, K., Arnold, R., Ewango, C., Meirte, D., Kahindo, C., Herremans, M., Peterhan, J. K., Pilgrimg, J. D., Wilson, M., Languy, &amp; Williams, A. (2017). The status of marine biodiversity in the Eastern Central Atlantic (West and Central Africa). </w:t>
      </w:r>
      <w:r w:rsidRPr="009B0448">
        <w:rPr>
          <w:rFonts w:ascii="Times New Roman" w:hAnsi="Times New Roman" w:cs="Times New Roman"/>
          <w:i/>
          <w:color w:val="auto"/>
        </w:rPr>
        <w:t>Aquatic Conservation: Marine and Freshwater Ecosystems</w:t>
      </w:r>
      <w:r w:rsidRPr="009B0448">
        <w:rPr>
          <w:rFonts w:ascii="Times New Roman" w:hAnsi="Times New Roman" w:cs="Times New Roman"/>
          <w:color w:val="auto"/>
        </w:rPr>
        <w:t xml:space="preserve">, 00, 1–14. </w:t>
      </w:r>
      <w:hyperlink r:id="rId934" w:history="1">
        <w:r w:rsidRPr="009B0448">
          <w:rPr>
            <w:rStyle w:val="Hyperlink"/>
            <w:rFonts w:ascii="Times New Roman" w:hAnsi="Times New Roman" w:cs="Times New Roman"/>
          </w:rPr>
          <w:t>https://doi.org/10.1002/aqc.2744</w:t>
        </w:r>
      </w:hyperlink>
    </w:p>
    <w:p w14:paraId="0F65C93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Prigogine, A. (1985). Conservation of the avifauna of the forests of the Albertine Rift. In A. W. Diamond, &amp; T. E. Lovejoy (Eds.), </w:t>
      </w:r>
      <w:r w:rsidRPr="009B0448">
        <w:rPr>
          <w:rFonts w:ascii="Times New Roman" w:hAnsi="Times New Roman" w:cs="Times New Roman"/>
          <w:i/>
          <w:color w:val="auto"/>
        </w:rPr>
        <w:t>Conservation of tropical forest birds</w:t>
      </w:r>
      <w:r w:rsidRPr="009B0448">
        <w:rPr>
          <w:rFonts w:ascii="Times New Roman" w:hAnsi="Times New Roman" w:cs="Times New Roman"/>
          <w:color w:val="auto"/>
        </w:rPr>
        <w:t xml:space="preserve"> (pp. 277–295). Cambridge, UK: International Council for Bird Preservation. Retrieved from </w:t>
      </w:r>
      <w:hyperlink r:id="rId935" w:history="1">
        <w:r w:rsidRPr="009B0448">
          <w:rPr>
            <w:rStyle w:val="Hyperlink"/>
            <w:rFonts w:ascii="Times New Roman" w:hAnsi="Times New Roman" w:cs="Times New Roman"/>
          </w:rPr>
          <w:t>https://sora.unm.edu/sites/default/files/journals/nab/v043n03/p00420-p00428.pdf</w:t>
        </w:r>
      </w:hyperlink>
      <w:r w:rsidRPr="009B0448">
        <w:rPr>
          <w:rFonts w:ascii="Times New Roman" w:hAnsi="Times New Roman" w:cs="Times New Roman"/>
          <w:color w:val="auto"/>
        </w:rPr>
        <w:t xml:space="preserve"> </w:t>
      </w:r>
    </w:p>
    <w:p w14:paraId="4EE519D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Rabouille, K., Olu, F., Baudin, F., Khrippounoff, A., Dennielou, B., Arnaud-Haond, S., Babonneau, N.,  Bayle, C., Beckler, J., Bessette, S., Bombled, B., Bourgeois, S., Brandily, C., Caprais, J-C., Cathalot, C., Charlier, K., Corvaisier, R., Croguennec, C., Cruaud, P., Decker, C., Droz, L., Gayet, N., Godfroy, A., Hourdez, S., Le Bruchec, J., Le Saout, J., Lesaout, M., Lesongeur, M., Martinez, P., Mejanelle, L., Michalopoulos, P., Mouchel, O., Noel, P., Pastor, L., Picot, M., Pignet, P., Pozzato, L., Pruski, A. M., Rabiller, M., Raimonet, M., Ragueneau, O., Reyss, J. L., Rodier, P., Ruesch, B., Ruffine, L., Savignac, F., Senyarich, C., Schnyder, J., Sen, A., Stetten, E.,  Sun, M. Y., Taillefert, M., Teixeira, S., Tisnerat-Laborde, N., Toffin, L., Tourolle, J., Toussaint, F., Vétion, G., Jouanneau, J. M., &amp; Bez, M. (2016). The Congolobe project, a multidisciplinary study of Congo deep-sea fan lobe complex: Overview of methods, strategies, observations and sampling. Deep-sea research Part II.</w:t>
      </w:r>
      <w:r w:rsidRPr="009B0448">
        <w:rPr>
          <w:rFonts w:ascii="Times New Roman" w:hAnsi="Times New Roman" w:cs="Times New Roman"/>
          <w:i/>
          <w:color w:val="auto"/>
        </w:rPr>
        <w:t xml:space="preserve"> Topical Studies in Oceanography, 142</w:t>
      </w:r>
      <w:r w:rsidRPr="009B0448">
        <w:rPr>
          <w:rFonts w:ascii="Times New Roman" w:hAnsi="Times New Roman" w:cs="Times New Roman"/>
          <w:color w:val="auto"/>
        </w:rPr>
        <w:t xml:space="preserve">, 7–24. </w:t>
      </w:r>
      <w:hyperlink r:id="rId936" w:history="1">
        <w:r w:rsidRPr="009B0448">
          <w:rPr>
            <w:rStyle w:val="Hyperlink"/>
            <w:rFonts w:ascii="Times New Roman" w:hAnsi="Times New Roman" w:cs="Times New Roman"/>
          </w:rPr>
          <w:t>https://doi.org/10.1016/j.dsr2.2016.05.006</w:t>
        </w:r>
      </w:hyperlink>
      <w:r w:rsidRPr="009B0448">
        <w:rPr>
          <w:rFonts w:ascii="Times New Roman" w:hAnsi="Times New Roman" w:cs="Times New Roman"/>
          <w:color w:val="auto"/>
        </w:rPr>
        <w:t xml:space="preserve"> </w:t>
      </w:r>
    </w:p>
    <w:p w14:paraId="461C7B2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Radford, E.A., Catullo, G. and Montmollin, B. de. (Eds.). (2011). </w:t>
      </w:r>
      <w:r w:rsidRPr="009B0448">
        <w:rPr>
          <w:rFonts w:ascii="Times New Roman" w:hAnsi="Times New Roman" w:cs="Times New Roman"/>
          <w:i/>
          <w:color w:val="auto"/>
        </w:rPr>
        <w:t>Important Plant Areas of the south and east Mediterranean region: priority sites for conservation</w:t>
      </w:r>
      <w:r w:rsidRPr="009B0448">
        <w:rPr>
          <w:rFonts w:ascii="Times New Roman" w:hAnsi="Times New Roman" w:cs="Times New Roman"/>
          <w:color w:val="auto"/>
        </w:rPr>
        <w:t xml:space="preserve">. Gland, Switzerland: IUCN. Retrieved from </w:t>
      </w:r>
      <w:hyperlink r:id="rId937" w:history="1">
        <w:r w:rsidRPr="009B0448">
          <w:rPr>
            <w:rStyle w:val="Hyperlink"/>
            <w:rFonts w:ascii="Times New Roman" w:hAnsi="Times New Roman" w:cs="Times New Roman"/>
          </w:rPr>
          <w:t>https://portals.iucn.org/library/sites/library/files/documents/2011-014.pdf</w:t>
        </w:r>
      </w:hyperlink>
      <w:r w:rsidRPr="009B0448">
        <w:rPr>
          <w:rFonts w:ascii="Times New Roman" w:hAnsi="Times New Roman" w:cs="Times New Roman"/>
          <w:color w:val="auto"/>
        </w:rPr>
        <w:t xml:space="preserve"> </w:t>
      </w:r>
    </w:p>
    <w:p w14:paraId="4DACAC2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Randrianasolo, J., Rakotovao, P., Deleporte, P., Rarivoson, C., Sorg, J-P., &amp; Rohner, U. (1996). Local tree species in the tree nursery. In J. U. Ganzhorn, &amp; J-P. Sorg (Eds.), </w:t>
      </w:r>
      <w:r w:rsidRPr="009B0448">
        <w:rPr>
          <w:rFonts w:ascii="Times New Roman" w:hAnsi="Times New Roman" w:cs="Times New Roman"/>
          <w:i/>
          <w:color w:val="auto"/>
        </w:rPr>
        <w:t>Ecology and economy of a tropical dry forest in Madagascar</w:t>
      </w:r>
      <w:r w:rsidRPr="009B0448">
        <w:rPr>
          <w:rFonts w:ascii="Times New Roman" w:hAnsi="Times New Roman" w:cs="Times New Roman"/>
          <w:color w:val="auto"/>
        </w:rPr>
        <w:t xml:space="preserve"> (pp. 117–13). Göttingen, Germany: German Primate Center.</w:t>
      </w:r>
    </w:p>
    <w:p w14:paraId="7454539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Reid, R. S., Serneels, S., Nyabenge, M., &amp; Hanson, J. (2005). Chapter 2–The changing face of pastoral systems in grass-dominated ecosystems of eastern Africa. In J. M. Suttie, S. G. Reynolds, &amp; C. Batello (Eds.), </w:t>
      </w:r>
      <w:r w:rsidRPr="009B0448">
        <w:rPr>
          <w:rFonts w:ascii="Times New Roman" w:hAnsi="Times New Roman" w:cs="Times New Roman"/>
          <w:i/>
          <w:color w:val="auto"/>
        </w:rPr>
        <w:t>Grasslands of the world</w:t>
      </w:r>
      <w:r w:rsidRPr="009B0448">
        <w:rPr>
          <w:rFonts w:ascii="Times New Roman" w:hAnsi="Times New Roman" w:cs="Times New Roman"/>
          <w:color w:val="auto"/>
        </w:rPr>
        <w:t xml:space="preserve">. Retrieved from </w:t>
      </w:r>
      <w:hyperlink r:id="rId938" w:history="1">
        <w:r w:rsidRPr="009B0448">
          <w:rPr>
            <w:rStyle w:val="Hyperlink"/>
            <w:rFonts w:ascii="Times New Roman" w:hAnsi="Times New Roman" w:cs="Times New Roman"/>
          </w:rPr>
          <w:t>http://www.fao.org/tempref/docrep/fao/008/y8344e/y8344e02.pdf</w:t>
        </w:r>
      </w:hyperlink>
      <w:r w:rsidRPr="009B0448">
        <w:rPr>
          <w:rFonts w:ascii="Times New Roman" w:hAnsi="Times New Roman" w:cs="Times New Roman"/>
          <w:color w:val="auto"/>
        </w:rPr>
        <w:t xml:space="preserve"> </w:t>
      </w:r>
    </w:p>
    <w:p w14:paraId="6217AD6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Rejmánek, M. (2001).</w:t>
      </w:r>
      <w:r w:rsidRPr="009B0448">
        <w:rPr>
          <w:rFonts w:ascii="Times New Roman" w:hAnsi="Times New Roman" w:cs="Times New Roman"/>
          <w:i/>
          <w:color w:val="auto"/>
        </w:rPr>
        <w:t xml:space="preserve"> </w:t>
      </w:r>
      <w:r w:rsidRPr="009B0448">
        <w:rPr>
          <w:rFonts w:ascii="Times New Roman" w:hAnsi="Times New Roman" w:cs="Times New Roman"/>
          <w:color w:val="auto"/>
        </w:rPr>
        <w:t xml:space="preserve">Cape plants: A conspectus of the Cape flora of South Africa. </w:t>
      </w:r>
      <w:r w:rsidRPr="009B0448">
        <w:rPr>
          <w:rFonts w:ascii="Times New Roman" w:hAnsi="Times New Roman" w:cs="Times New Roman"/>
          <w:i/>
          <w:color w:val="auto"/>
        </w:rPr>
        <w:t>Diversity and Distribution, 7</w:t>
      </w:r>
      <w:r w:rsidRPr="009B0448">
        <w:rPr>
          <w:rFonts w:ascii="Times New Roman" w:hAnsi="Times New Roman" w:cs="Times New Roman"/>
          <w:color w:val="auto"/>
        </w:rPr>
        <w:t xml:space="preserve">, 301–305. </w:t>
      </w:r>
      <w:hyperlink r:id="rId939" w:history="1">
        <w:r w:rsidRPr="009B0448">
          <w:rPr>
            <w:rStyle w:val="Hyperlink"/>
            <w:rFonts w:ascii="Times New Roman" w:hAnsi="Times New Roman" w:cs="Times New Roman"/>
          </w:rPr>
          <w:t>https://doi.org/10.1046/j.1466-822X.2001.00124.x</w:t>
        </w:r>
      </w:hyperlink>
      <w:r w:rsidRPr="009B0448">
        <w:rPr>
          <w:rFonts w:ascii="Times New Roman" w:hAnsi="Times New Roman" w:cs="Times New Roman"/>
          <w:color w:val="auto"/>
        </w:rPr>
        <w:t xml:space="preserve"> </w:t>
      </w:r>
    </w:p>
    <w:p w14:paraId="4163673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Revenga, C., &amp; Kura, Y. (2003). </w:t>
      </w:r>
      <w:r w:rsidRPr="009B0448">
        <w:rPr>
          <w:rFonts w:ascii="Times New Roman" w:hAnsi="Times New Roman" w:cs="Times New Roman"/>
          <w:i/>
          <w:color w:val="auto"/>
        </w:rPr>
        <w:t>Status and trends of biodiversity of inland water ecosystems</w:t>
      </w:r>
      <w:r w:rsidRPr="009B0448">
        <w:rPr>
          <w:rFonts w:ascii="Times New Roman" w:hAnsi="Times New Roman" w:cs="Times New Roman"/>
          <w:color w:val="auto"/>
        </w:rPr>
        <w:t xml:space="preserve">. Montreal, Canada: Secretariat of the Convention on Biological Diversity. Retrieved from </w:t>
      </w:r>
      <w:hyperlink r:id="rId940" w:history="1">
        <w:r w:rsidRPr="009B0448">
          <w:rPr>
            <w:rStyle w:val="Hyperlink"/>
            <w:rFonts w:ascii="Times New Roman" w:hAnsi="Times New Roman" w:cs="Times New Roman"/>
            <w:color w:val="0070C0"/>
          </w:rPr>
          <w:t>https://www.cbd.int/doc/publications/cbd-ts-11.pdf</w:t>
        </w:r>
      </w:hyperlink>
    </w:p>
    <w:p w14:paraId="1D7C527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Reynolds, T., Waddington, S. R., Anderson, C. L., Chew, A., True, Z., &amp; Cullen, A. C. (2015). Environmental impacts and constraints associated with the production of major food crops in sub-Saharan Africa and South Asia. </w:t>
      </w:r>
      <w:r w:rsidRPr="009B0448">
        <w:rPr>
          <w:rFonts w:ascii="Times New Roman" w:hAnsi="Times New Roman" w:cs="Times New Roman"/>
          <w:i/>
          <w:color w:val="auto"/>
        </w:rPr>
        <w:t>Journal of Food Security, 7</w:t>
      </w:r>
      <w:r w:rsidRPr="009B0448">
        <w:rPr>
          <w:rFonts w:ascii="Times New Roman" w:hAnsi="Times New Roman" w:cs="Times New Roman"/>
          <w:color w:val="auto"/>
        </w:rPr>
        <w:t xml:space="preserve">, 795–822. </w:t>
      </w:r>
      <w:hyperlink r:id="rId941" w:history="1">
        <w:r w:rsidRPr="009B0448">
          <w:rPr>
            <w:rStyle w:val="Hyperlink"/>
            <w:rFonts w:ascii="Times New Roman" w:hAnsi="Times New Roman" w:cs="Times New Roman"/>
          </w:rPr>
          <w:t>https://doi.org/10.1007/s12571-015-0478-1</w:t>
        </w:r>
      </w:hyperlink>
      <w:r w:rsidRPr="009B0448">
        <w:rPr>
          <w:rFonts w:ascii="Times New Roman" w:hAnsi="Times New Roman" w:cs="Times New Roman"/>
          <w:color w:val="auto"/>
        </w:rPr>
        <w:t xml:space="preserve"> </w:t>
      </w:r>
    </w:p>
    <w:p w14:paraId="4573BD9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Ripple, W. J., Newsome, T. M., Wolf, C., Dirzo, R., Everatt, K. T., Galetti, M., Hayward, M. W., Kerley, G. I., Levi, T., Lindsey, P. A., Macdonald, D. W., Malhi, Y., Painter, L. E., Sandom, C. J., Terborgh, J., &amp; Van Valkenburgh, B. (2015). Collapse of the world’s largest herbivores. </w:t>
      </w:r>
      <w:r w:rsidRPr="009B0448">
        <w:rPr>
          <w:rFonts w:ascii="Times New Roman" w:hAnsi="Times New Roman" w:cs="Times New Roman"/>
          <w:i/>
          <w:color w:val="auto"/>
        </w:rPr>
        <w:t>Science Advances</w:t>
      </w:r>
      <w:r w:rsidRPr="009B0448">
        <w:rPr>
          <w:rFonts w:ascii="Times New Roman" w:hAnsi="Times New Roman" w:cs="Times New Roman"/>
          <w:color w:val="auto"/>
        </w:rPr>
        <w:t xml:space="preserve">, </w:t>
      </w:r>
      <w:r w:rsidRPr="009B0448">
        <w:rPr>
          <w:rFonts w:ascii="Times New Roman" w:hAnsi="Times New Roman" w:cs="Times New Roman"/>
          <w:i/>
          <w:color w:val="auto"/>
        </w:rPr>
        <w:t>1</w:t>
      </w:r>
      <w:r w:rsidRPr="009B0448">
        <w:rPr>
          <w:rFonts w:ascii="Times New Roman" w:hAnsi="Times New Roman" w:cs="Times New Roman"/>
          <w:color w:val="auto"/>
        </w:rPr>
        <w:t xml:space="preserve">(4), e1400103. </w:t>
      </w:r>
      <w:hyperlink r:id="rId942" w:history="1">
        <w:r w:rsidRPr="009B0448">
          <w:rPr>
            <w:rStyle w:val="Hyperlink"/>
            <w:rFonts w:ascii="Times New Roman" w:hAnsi="Times New Roman" w:cs="Times New Roman"/>
          </w:rPr>
          <w:t>https://doi.org/10.1126/sciadv.1400103</w:t>
        </w:r>
      </w:hyperlink>
      <w:r w:rsidRPr="009B0448">
        <w:rPr>
          <w:rFonts w:ascii="Times New Roman" w:hAnsi="Times New Roman" w:cs="Times New Roman"/>
          <w:color w:val="auto"/>
        </w:rPr>
        <w:t xml:space="preserve"> </w:t>
      </w:r>
    </w:p>
    <w:p w14:paraId="043D7CC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Ripple, W. J., Chapron, G., López-Bao, J. V., Durant, S. M., Macdonald, D. W., Lindsey, P. A., Bennett, E. L., Beschta, R. L., Bruskotter, J. T., Bruskotter, J. T., Campos-Arceiz, A., Corlett, R. T., Darimont, C. T., Dickman, A. J., Dirzo, R., Dublin, H. T., Estes, J. A., Everatt, K. T., Galetti, M., Goswami, V. R., Hayward, M. W., Hedges, S., Hoffmann, M., Hunter, L. T. B., Kerley, G. I. H., Letnic, M., Levi, T., Maisels, F., Morrison, J. C., Nelson, M. P., Newsome, T. M., Painter, L., Pringle, R. M., Sandom, C. J., Terborgh, J., Treves, A., Van Valkenburgh, B., Vucetich, J. A., Wirsing, A. J., Wallach, A. D., Wolf, C., Woodroffe, R., Young, H., Zhang, L., &amp; Corlett, R. T. (2016). Saving the world's terrestrial megafauna. </w:t>
      </w:r>
      <w:r w:rsidRPr="009B0448">
        <w:rPr>
          <w:rFonts w:ascii="Times New Roman" w:hAnsi="Times New Roman" w:cs="Times New Roman"/>
          <w:i/>
          <w:color w:val="auto"/>
        </w:rPr>
        <w:t>BioScience, 66</w:t>
      </w:r>
      <w:r w:rsidRPr="009B0448">
        <w:rPr>
          <w:rFonts w:ascii="Times New Roman" w:hAnsi="Times New Roman" w:cs="Times New Roman"/>
          <w:color w:val="auto"/>
        </w:rPr>
        <w:t xml:space="preserve">(10), 807–812. </w:t>
      </w:r>
      <w:hyperlink r:id="rId943" w:history="1">
        <w:r w:rsidRPr="009B0448">
          <w:rPr>
            <w:rStyle w:val="Hyperlink"/>
            <w:rFonts w:ascii="Times New Roman" w:hAnsi="Times New Roman" w:cs="Times New Roman"/>
          </w:rPr>
          <w:t>https://doi.org/10.1093/biosci/biw092</w:t>
        </w:r>
      </w:hyperlink>
      <w:r w:rsidRPr="009B0448">
        <w:rPr>
          <w:rFonts w:ascii="Times New Roman" w:hAnsi="Times New Roman" w:cs="Times New Roman"/>
          <w:color w:val="auto"/>
        </w:rPr>
        <w:t xml:space="preserve"> </w:t>
      </w:r>
    </w:p>
    <w:p w14:paraId="45E8FB9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Robin, M., Lucia, F., Kristina, M. G., Young, O., Reid, M., &amp; Douglas, M. (2015</w:t>
      </w:r>
      <w:r w:rsidRPr="009B0448">
        <w:rPr>
          <w:rFonts w:ascii="Times New Roman" w:hAnsi="Times New Roman" w:cs="Times New Roman"/>
          <w:i/>
          <w:color w:val="auto"/>
        </w:rPr>
        <w:t>). Transboundary Waters Assessment Programme (TWAP). Assessment of governance arrangements for the Ocean: Areas Beyond National Jurisdiction</w:t>
      </w:r>
      <w:r w:rsidRPr="009B0448">
        <w:rPr>
          <w:rFonts w:ascii="Times New Roman" w:hAnsi="Times New Roman" w:cs="Times New Roman"/>
          <w:color w:val="auto"/>
        </w:rPr>
        <w:t xml:space="preserve">. Paris, France: UNESCO. Retrieved from </w:t>
      </w:r>
      <w:hyperlink r:id="rId944" w:history="1">
        <w:r w:rsidRPr="009B0448">
          <w:rPr>
            <w:rStyle w:val="Hyperlink"/>
            <w:rFonts w:ascii="Times New Roman" w:hAnsi="Times New Roman" w:cs="Times New Roman"/>
          </w:rPr>
          <w:t>http://marine.iwlearn.net/resolveuid/f4afb1bf-7137-42f6-b982-39a327df84cc</w:t>
        </w:r>
      </w:hyperlink>
    </w:p>
    <w:p w14:paraId="1607CDA2"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Rogers, A. D. (2012). </w:t>
      </w:r>
      <w:r w:rsidRPr="009B0448">
        <w:rPr>
          <w:rFonts w:ascii="Times New Roman" w:hAnsi="Times New Roman" w:cs="Times New Roman"/>
          <w:i/>
        </w:rPr>
        <w:t>An ecosystem approach to management of seamounts in the Southern Indian Ocean. Overview of seamount ecosystems and biodiversity</w:t>
      </w:r>
      <w:r w:rsidRPr="009B0448">
        <w:rPr>
          <w:rFonts w:ascii="Times New Roman" w:hAnsi="Times New Roman" w:cs="Times New Roman"/>
        </w:rPr>
        <w:t xml:space="preserve">. Gland, Switzerland: IUCN. Retrieved from </w:t>
      </w:r>
      <w:hyperlink r:id="rId945" w:history="1">
        <w:r w:rsidRPr="009B0448">
          <w:rPr>
            <w:rStyle w:val="Hyperlink"/>
            <w:rFonts w:ascii="Times New Roman" w:hAnsi="Times New Roman" w:cs="Times New Roman"/>
          </w:rPr>
          <w:t>https://portals.iucn.org/library/sites/library/files/documents/2012-078-1.pdf</w:t>
        </w:r>
      </w:hyperlink>
    </w:p>
    <w:p w14:paraId="44687F2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rPr>
        <w:t xml:space="preserve">Rondeau, G., &amp; Thiollay, J. M. (2004). West African vulture declines. </w:t>
      </w:r>
      <w:r w:rsidRPr="009B0448">
        <w:rPr>
          <w:rFonts w:ascii="Times New Roman" w:hAnsi="Times New Roman" w:cs="Times New Roman"/>
          <w:i/>
        </w:rPr>
        <w:t>Vulture News, 51</w:t>
      </w:r>
      <w:r w:rsidRPr="009B0448">
        <w:rPr>
          <w:rFonts w:ascii="Times New Roman" w:hAnsi="Times New Roman" w:cs="Times New Roman"/>
        </w:rPr>
        <w:t>, 13–33.</w:t>
      </w:r>
    </w:p>
    <w:p w14:paraId="77E35AC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Rosin, C., &amp; Poulsen. J. R. (2016). Hunting-induced defaunation drives increased seed predation and decreased seedling establishment of commercially important tree species in an Afrotropical forest. </w:t>
      </w:r>
      <w:r w:rsidRPr="009B0448">
        <w:rPr>
          <w:rFonts w:ascii="Times New Roman" w:hAnsi="Times New Roman" w:cs="Times New Roman"/>
          <w:i/>
          <w:color w:val="auto"/>
        </w:rPr>
        <w:t>Forest Ecology and Management, 382</w:t>
      </w:r>
      <w:r w:rsidRPr="009B0448">
        <w:rPr>
          <w:rFonts w:ascii="Times New Roman" w:hAnsi="Times New Roman" w:cs="Times New Roman"/>
          <w:color w:val="auto"/>
        </w:rPr>
        <w:t xml:space="preserve">, 206–213. </w:t>
      </w:r>
      <w:hyperlink r:id="rId946" w:history="1">
        <w:r w:rsidRPr="009B0448">
          <w:rPr>
            <w:rStyle w:val="Hyperlink"/>
            <w:rFonts w:ascii="Times New Roman" w:hAnsi="Times New Roman" w:cs="Times New Roman"/>
          </w:rPr>
          <w:t>https://doi.org/10.1016/j.foreco.2016.10.016</w:t>
        </w:r>
      </w:hyperlink>
    </w:p>
    <w:p w14:paraId="681D788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Rotich, B., Mwangi, E., &amp; Lawry, S. (2016). </w:t>
      </w:r>
      <w:r w:rsidRPr="009B0448">
        <w:rPr>
          <w:rFonts w:ascii="Times New Roman" w:hAnsi="Times New Roman" w:cs="Times New Roman"/>
          <w:i/>
          <w:color w:val="auto"/>
        </w:rPr>
        <w:t>Where land meets the sea: A global review of the governance and tenure dimensions of coastal mangrove forests</w:t>
      </w:r>
      <w:r w:rsidRPr="009B0448">
        <w:rPr>
          <w:rFonts w:ascii="Times New Roman" w:hAnsi="Times New Roman" w:cs="Times New Roman"/>
          <w:color w:val="auto"/>
        </w:rPr>
        <w:t xml:space="preserve">. Washington, DC: USAID Tenure and Global Climate Change Program. Retrieved from </w:t>
      </w:r>
      <w:hyperlink r:id="rId947" w:history="1">
        <w:r w:rsidRPr="009B0448">
          <w:rPr>
            <w:rStyle w:val="Hyperlink"/>
            <w:rFonts w:ascii="Times New Roman" w:hAnsi="Times New Roman" w:cs="Times New Roman"/>
          </w:rPr>
          <w:t>https://www.cifor.org/library/6376/where-land-meets-the-sea-a-global-review-of-the-governance-and-tenure-dimensions-of-coastal-mangrove-forests/</w:t>
        </w:r>
      </w:hyperlink>
    </w:p>
    <w:p w14:paraId="4DA69C5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Roué, M., Césard, N., Adou Yao, Y. C., &amp; Oteng-Yeboah, A. (2017). </w:t>
      </w:r>
      <w:r w:rsidRPr="009B0448">
        <w:rPr>
          <w:rFonts w:ascii="Times New Roman" w:hAnsi="Times New Roman" w:cs="Times New Roman"/>
          <w:i/>
          <w:color w:val="auto"/>
        </w:rPr>
        <w:t>Indigenous and local knowledge of biodiversity and ecosystem services in Africa</w:t>
      </w:r>
      <w:r w:rsidRPr="009B0448">
        <w:rPr>
          <w:rFonts w:ascii="Times New Roman" w:hAnsi="Times New Roman" w:cs="Times New Roman"/>
          <w:color w:val="auto"/>
        </w:rPr>
        <w:t xml:space="preserve">. Paris, France: UNESCO. Retrieved from </w:t>
      </w:r>
      <w:hyperlink r:id="rId948" w:history="1">
        <w:r w:rsidRPr="009B0448">
          <w:rPr>
            <w:rStyle w:val="Hyperlink"/>
            <w:rFonts w:ascii="Times New Roman" w:hAnsi="Times New Roman" w:cs="Times New Roman"/>
          </w:rPr>
          <w:t>http://climatefrontlines.org/sites/default/files/ipbes/IPBES_in_Africa_2015.pdf</w:t>
        </w:r>
      </w:hyperlink>
    </w:p>
    <w:p w14:paraId="0BC90E7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rPr>
        <w:t>Rovero, F. P. (2015). The storybook shrew</w:t>
      </w:r>
      <w:r w:rsidRPr="009B0448">
        <w:rPr>
          <w:rFonts w:ascii="Times New Roman" w:hAnsi="Times New Roman" w:cs="Times New Roman"/>
          <w:color w:val="auto"/>
        </w:rPr>
        <w:t xml:space="preserve">–unearthing a distinctive and charismatic species. In N. Scharff, F. Rovero, F. P. Jensen, &amp; S. Brøgger-Jensen (Eds.), </w:t>
      </w:r>
      <w:r w:rsidRPr="009B0448">
        <w:rPr>
          <w:rFonts w:ascii="Times New Roman" w:hAnsi="Times New Roman" w:cs="Times New Roman"/>
          <w:i/>
          <w:color w:val="auto"/>
        </w:rPr>
        <w:t xml:space="preserve">Udzungwa: Tales of discovery in an East African rainforest. </w:t>
      </w:r>
      <w:r w:rsidRPr="009B0448">
        <w:rPr>
          <w:rFonts w:ascii="Times New Roman" w:hAnsi="Times New Roman" w:cs="Times New Roman"/>
          <w:color w:val="auto"/>
        </w:rPr>
        <w:t xml:space="preserve">(pp. 15–21). Trento, Italy: Trento Science Museum. </w:t>
      </w:r>
    </w:p>
    <w:p w14:paraId="3B3C1EE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RSA. (2014). </w:t>
      </w:r>
      <w:r w:rsidRPr="009B0448">
        <w:rPr>
          <w:rFonts w:ascii="Times New Roman" w:hAnsi="Times New Roman" w:cs="Times New Roman"/>
          <w:i/>
          <w:color w:val="auto"/>
        </w:rPr>
        <w:t>South Africa’s fifth national report to the Convention on Biological Diversity, March 2014. South Africa</w:t>
      </w:r>
      <w:r w:rsidRPr="009B0448">
        <w:rPr>
          <w:rFonts w:ascii="Times New Roman" w:hAnsi="Times New Roman" w:cs="Times New Roman"/>
          <w:color w:val="auto"/>
        </w:rPr>
        <w:t xml:space="preserve">. Retrieved from </w:t>
      </w:r>
      <w:hyperlink r:id="rId949" w:history="1">
        <w:r w:rsidRPr="009B0448">
          <w:rPr>
            <w:rStyle w:val="Hyperlink"/>
            <w:rFonts w:ascii="Times New Roman" w:hAnsi="Times New Roman" w:cs="Times New Roman"/>
          </w:rPr>
          <w:t>https://www.cbd.int/doc/world/za/za-nr-05-en.pdf</w:t>
        </w:r>
      </w:hyperlink>
    </w:p>
    <w:p w14:paraId="0C79740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Ruë, O. (2002). </w:t>
      </w:r>
      <w:r w:rsidRPr="009B0448">
        <w:rPr>
          <w:rFonts w:ascii="Times New Roman" w:hAnsi="Times New Roman" w:cs="Times New Roman"/>
          <w:i/>
          <w:color w:val="auto"/>
        </w:rPr>
        <w:t>Evolution de l'environnement physique de l'estuaire de Gambie. Impacts possibles des modifications du régime du fleuve sur les mangroves</w:t>
      </w:r>
      <w:r w:rsidRPr="009B0448">
        <w:rPr>
          <w:rFonts w:ascii="Times New Roman" w:hAnsi="Times New Roman" w:cs="Times New Roman"/>
          <w:color w:val="auto"/>
        </w:rPr>
        <w:t>. Dakar, Senegal: Cabinet Gressard.</w:t>
      </w:r>
    </w:p>
    <w:p w14:paraId="2A66208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Saenger, A. P., &amp; Bellan, M. F. (1995). </w:t>
      </w:r>
      <w:r w:rsidRPr="009B0448">
        <w:rPr>
          <w:rFonts w:ascii="Times New Roman" w:hAnsi="Times New Roman" w:cs="Times New Roman"/>
          <w:i/>
          <w:color w:val="auto"/>
        </w:rPr>
        <w:t>The mangrove vegetation of the Atlantic coast of Africa. A review. Les mangroves de la Côte Atlantique d'Afrique</w:t>
      </w:r>
      <w:r w:rsidRPr="009B0448">
        <w:rPr>
          <w:rFonts w:ascii="Times New Roman" w:hAnsi="Times New Roman" w:cs="Times New Roman"/>
          <w:color w:val="auto"/>
        </w:rPr>
        <w:t xml:space="preserve">. Retrieved from </w:t>
      </w:r>
      <w:hyperlink r:id="rId950" w:history="1">
        <w:r w:rsidRPr="009B0448">
          <w:rPr>
            <w:rStyle w:val="Hyperlink"/>
            <w:rFonts w:ascii="Times New Roman" w:hAnsi="Times New Roman" w:cs="Times New Roman"/>
          </w:rPr>
          <w:t>https://epubs.scu.edu.au/cgi/viewcontent.cgi?article=1670&amp;context=esm_pubs</w:t>
        </w:r>
      </w:hyperlink>
    </w:p>
    <w:p w14:paraId="2AFA433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Salami, A., Kamara, A. B., &amp; Brixiova, Z. (2010). </w:t>
      </w:r>
      <w:r w:rsidRPr="009B0448">
        <w:rPr>
          <w:rFonts w:ascii="Times New Roman" w:hAnsi="Times New Roman" w:cs="Times New Roman"/>
          <w:i/>
          <w:color w:val="auto"/>
        </w:rPr>
        <w:t>Smallholder agriculture in East Africa: Trends, constraints and opportunities.</w:t>
      </w:r>
      <w:r w:rsidRPr="009B0448">
        <w:rPr>
          <w:rFonts w:ascii="Times New Roman" w:hAnsi="Times New Roman" w:cs="Times New Roman"/>
          <w:color w:val="auto"/>
        </w:rPr>
        <w:t xml:space="preserve"> Tunis, Tunisia: AfDB. Retrieved from </w:t>
      </w:r>
      <w:hyperlink r:id="rId951" w:history="1">
        <w:r w:rsidRPr="009B0448">
          <w:rPr>
            <w:rStyle w:val="Hyperlink"/>
            <w:rFonts w:ascii="Times New Roman" w:hAnsi="Times New Roman" w:cs="Times New Roman"/>
          </w:rPr>
          <w:t>https://www.afdb.org/fileadmin/uploads/afdb/Documents/Publications/WORKING%20105%20%20PDF%20d.pdf</w:t>
        </w:r>
      </w:hyperlink>
      <w:r w:rsidRPr="009B0448">
        <w:rPr>
          <w:rFonts w:ascii="Times New Roman" w:hAnsi="Times New Roman" w:cs="Times New Roman"/>
          <w:color w:val="auto"/>
        </w:rPr>
        <w:t xml:space="preserve"> </w:t>
      </w:r>
    </w:p>
    <w:p w14:paraId="5DF177F6"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Samoilys, M., Pabari, M., Andrew, T., Maina, G. W., Church, J., Momanyi, A., Mibei, B., Monjane, B., Shah, A., Menomussanga, M., &amp; Mutta, D. (2015). </w:t>
      </w:r>
      <w:r w:rsidRPr="009B0448">
        <w:rPr>
          <w:rFonts w:ascii="Times New Roman" w:hAnsi="Times New Roman" w:cs="Times New Roman"/>
          <w:i/>
        </w:rPr>
        <w:t>Resilience of coastal systems and their human partners</w:t>
      </w:r>
      <w:r w:rsidRPr="009B0448">
        <w:rPr>
          <w:rFonts w:ascii="Times New Roman" w:hAnsi="Times New Roman" w:cs="Times New Roman"/>
        </w:rPr>
        <w:t xml:space="preserve">: </w:t>
      </w:r>
      <w:r w:rsidRPr="009B0448">
        <w:rPr>
          <w:rFonts w:ascii="Times New Roman" w:hAnsi="Times New Roman" w:cs="Times New Roman"/>
          <w:i/>
        </w:rPr>
        <w:t>Ecological and social profile of coastal systems in Kenya, Mozambique and Tanzaniai</w:t>
      </w:r>
      <w:r w:rsidRPr="009B0448">
        <w:rPr>
          <w:rFonts w:ascii="Times New Roman" w:hAnsi="Times New Roman" w:cs="Times New Roman"/>
        </w:rPr>
        <w:t xml:space="preserve">. Nairobi, Kenya: IUCN. Retrieved from </w:t>
      </w:r>
      <w:hyperlink r:id="rId952" w:history="1">
        <w:r w:rsidRPr="009B0448">
          <w:rPr>
            <w:rStyle w:val="Hyperlink"/>
            <w:rFonts w:ascii="Times New Roman" w:hAnsi="Times New Roman" w:cs="Times New Roman"/>
          </w:rPr>
          <w:t>https://portals.iucn.org/library/sites/library/files/documents/2015-019.pdf</w:t>
        </w:r>
      </w:hyperlink>
      <w:r w:rsidRPr="009B0448">
        <w:rPr>
          <w:rFonts w:ascii="Times New Roman" w:hAnsi="Times New Roman" w:cs="Times New Roman"/>
        </w:rPr>
        <w:t xml:space="preserve"> </w:t>
      </w:r>
    </w:p>
    <w:p w14:paraId="1393F03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SANBI. (2017). </w:t>
      </w:r>
      <w:r w:rsidRPr="009B0448">
        <w:rPr>
          <w:rFonts w:ascii="Times New Roman" w:hAnsi="Times New Roman" w:cs="Times New Roman"/>
          <w:i/>
          <w:color w:val="auto"/>
        </w:rPr>
        <w:t>Savanna Biome</w:t>
      </w:r>
      <w:r w:rsidRPr="009B0448">
        <w:rPr>
          <w:rFonts w:ascii="Times New Roman" w:hAnsi="Times New Roman" w:cs="Times New Roman"/>
          <w:color w:val="auto"/>
        </w:rPr>
        <w:t xml:space="preserve">. Pretoria, South Africa: SANBI. Retrieved from </w:t>
      </w:r>
      <w:hyperlink r:id="rId953" w:history="1">
        <w:r w:rsidRPr="009B0448">
          <w:rPr>
            <w:rStyle w:val="Hyperlink"/>
            <w:rFonts w:ascii="Times New Roman" w:hAnsi="Times New Roman" w:cs="Times New Roman"/>
          </w:rPr>
          <w:t>https://www.plantzafrica.com/vegetation/savanna.htm</w:t>
        </w:r>
      </w:hyperlink>
    </w:p>
    <w:p w14:paraId="2D72106B"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Sara, M. (1985). Ecological factors and their biogeographic consequences in the Mediterranean ecosystems. In M. Moraitou-Apostolopoulou, &amp; V. Kiortsis (Eds.), </w:t>
      </w:r>
      <w:r w:rsidRPr="009B0448">
        <w:rPr>
          <w:rFonts w:ascii="Times New Roman" w:hAnsi="Times New Roman" w:cs="Times New Roman"/>
          <w:i/>
        </w:rPr>
        <w:t>Mediterranean Marine Ecosystems</w:t>
      </w:r>
      <w:r w:rsidRPr="009B0448">
        <w:rPr>
          <w:rFonts w:ascii="Times New Roman" w:hAnsi="Times New Roman" w:cs="Times New Roman"/>
        </w:rPr>
        <w:t xml:space="preserve">. </w:t>
      </w:r>
      <w:hyperlink r:id="rId954" w:history="1">
        <w:r w:rsidRPr="009B0448">
          <w:rPr>
            <w:rStyle w:val="Hyperlink"/>
            <w:rFonts w:ascii="Times New Roman" w:hAnsi="Times New Roman" w:cs="Times New Roman"/>
          </w:rPr>
          <w:t>https://doi.org/10.1007/978-1-4899-2248-9_1</w:t>
        </w:r>
      </w:hyperlink>
    </w:p>
    <w:p w14:paraId="0BECAE7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Schatz, G. E. (2002). Taxonomy and herbaria in service of plant conservation: Lessons from Madagascar's endemic families. </w:t>
      </w:r>
      <w:r w:rsidRPr="009B0448">
        <w:rPr>
          <w:rFonts w:ascii="Times New Roman" w:hAnsi="Times New Roman" w:cs="Times New Roman"/>
          <w:i/>
          <w:color w:val="auto"/>
        </w:rPr>
        <w:t>Annals of the Missouri Botanical Garden</w:t>
      </w:r>
      <w:r w:rsidRPr="009B0448">
        <w:rPr>
          <w:rFonts w:ascii="Times New Roman" w:hAnsi="Times New Roman" w:cs="Times New Roman"/>
          <w:color w:val="auto"/>
        </w:rPr>
        <w:t xml:space="preserve">, </w:t>
      </w:r>
      <w:r w:rsidRPr="009B0448">
        <w:rPr>
          <w:rFonts w:ascii="Times New Roman" w:hAnsi="Times New Roman" w:cs="Times New Roman"/>
          <w:i/>
          <w:color w:val="auto"/>
        </w:rPr>
        <w:t>89</w:t>
      </w:r>
      <w:r w:rsidRPr="009B0448">
        <w:rPr>
          <w:rFonts w:ascii="Times New Roman" w:hAnsi="Times New Roman" w:cs="Times New Roman"/>
          <w:color w:val="auto"/>
        </w:rPr>
        <w:t xml:space="preserve">(2), 145–152. </w:t>
      </w:r>
      <w:hyperlink r:id="rId955" w:history="1">
        <w:r w:rsidRPr="009B0448">
          <w:rPr>
            <w:rStyle w:val="Hyperlink"/>
            <w:rFonts w:ascii="Times New Roman" w:hAnsi="Times New Roman" w:cs="Times New Roman"/>
          </w:rPr>
          <w:t>https://doi.org/10.2307/3298559</w:t>
        </w:r>
      </w:hyperlink>
      <w:r w:rsidRPr="009B0448">
        <w:rPr>
          <w:rFonts w:ascii="Times New Roman" w:hAnsi="Times New Roman" w:cs="Times New Roman"/>
          <w:color w:val="auto"/>
        </w:rPr>
        <w:t xml:space="preserve"> </w:t>
      </w:r>
    </w:p>
    <w:p w14:paraId="11ECE92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Schnell, R. (1952). Contribution a une etude phytosociologique et phytogeographique de l' Afrique occidentale: les groupements et les unites geobotaniques de la region guineenne. </w:t>
      </w:r>
      <w:r w:rsidRPr="009B0448">
        <w:rPr>
          <w:rFonts w:ascii="Times New Roman" w:hAnsi="Times New Roman" w:cs="Times New Roman"/>
          <w:i/>
          <w:color w:val="auto"/>
        </w:rPr>
        <w:t>Melanges Botanical Memoirs of Institu Francais Africa Noire, 18</w:t>
      </w:r>
      <w:r w:rsidRPr="009B0448">
        <w:rPr>
          <w:rFonts w:ascii="Times New Roman" w:hAnsi="Times New Roman" w:cs="Times New Roman"/>
          <w:color w:val="auto"/>
        </w:rPr>
        <w:t>, 43–234.</w:t>
      </w:r>
    </w:p>
    <w:p w14:paraId="48B9A80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Schroth, G., Jeusset, A., Gomes A., Florence. C. T., Coelho, N. A., Faria, D., &amp; Laderach, P. (2014). Climate friendliness of cocoa agroforests is compatible with productivity increase. </w:t>
      </w:r>
      <w:r w:rsidRPr="009B0448">
        <w:rPr>
          <w:rFonts w:ascii="Times New Roman" w:hAnsi="Times New Roman" w:cs="Times New Roman"/>
          <w:i/>
          <w:color w:val="auto"/>
        </w:rPr>
        <w:t>Mitigation and Adaptation Strategies for Global Change, 21</w:t>
      </w:r>
      <w:r w:rsidRPr="009B0448">
        <w:rPr>
          <w:rFonts w:ascii="Times New Roman" w:hAnsi="Times New Roman" w:cs="Times New Roman"/>
          <w:color w:val="auto"/>
        </w:rPr>
        <w:t xml:space="preserve">(1), 67–80. </w:t>
      </w:r>
      <w:hyperlink r:id="rId956" w:history="1">
        <w:r w:rsidRPr="009B0448">
          <w:rPr>
            <w:rStyle w:val="Hyperlink"/>
            <w:rFonts w:ascii="Times New Roman" w:hAnsi="Times New Roman" w:cs="Times New Roman"/>
            <w:color w:val="0070C0"/>
          </w:rPr>
          <w:t>https://doi.org/10.1007/s11027-014-9570-7</w:t>
        </w:r>
      </w:hyperlink>
    </w:p>
    <w:p w14:paraId="156F0D9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Schulze, K., Knights, K., Coad, L., Geldmann, J., Leverington, F., Eassom, A., Marr, M., Butchart, S. H. M., Hockings, M., &amp; Burgess, N. D. (2018). An assessment of threats to terrestrial protected areas. </w:t>
      </w:r>
      <w:r w:rsidRPr="009B0448">
        <w:rPr>
          <w:rFonts w:ascii="Times New Roman" w:hAnsi="Times New Roman" w:cs="Times New Roman"/>
          <w:i/>
          <w:color w:val="auto"/>
        </w:rPr>
        <w:t>Conservation letters</w:t>
      </w:r>
      <w:r w:rsidRPr="009B0448">
        <w:rPr>
          <w:rFonts w:ascii="Times New Roman" w:hAnsi="Times New Roman" w:cs="Times New Roman"/>
          <w:color w:val="auto"/>
        </w:rPr>
        <w:t xml:space="preserve">. </w:t>
      </w:r>
      <w:hyperlink r:id="rId957" w:history="1">
        <w:r w:rsidRPr="009B0448">
          <w:rPr>
            <w:rStyle w:val="Hyperlink"/>
            <w:rFonts w:ascii="Times New Roman" w:hAnsi="Times New Roman" w:cs="Times New Roman"/>
          </w:rPr>
          <w:t>https://doi.org/10.1111/conl.12435</w:t>
        </w:r>
      </w:hyperlink>
      <w:r w:rsidRPr="009B0448">
        <w:rPr>
          <w:rFonts w:ascii="Times New Roman" w:hAnsi="Times New Roman" w:cs="Times New Roman"/>
          <w:color w:val="auto"/>
        </w:rPr>
        <w:t xml:space="preserve"> </w:t>
      </w:r>
    </w:p>
    <w:p w14:paraId="60697B4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Schwartz, M. W, Bringham, C. A, Hoeksema, J. D, Lyons, K. G, Mills, M. H., &amp; van Mantgem, P. J. (2000). Linking biodiversity to ecosystem function: Implications for conservation ecology. </w:t>
      </w:r>
      <w:r w:rsidRPr="009B0448">
        <w:rPr>
          <w:rFonts w:ascii="Times New Roman" w:hAnsi="Times New Roman" w:cs="Times New Roman"/>
          <w:i/>
          <w:color w:val="auto"/>
        </w:rPr>
        <w:t>Oecologia 122</w:t>
      </w:r>
      <w:r w:rsidRPr="009B0448">
        <w:rPr>
          <w:rFonts w:ascii="Times New Roman" w:hAnsi="Times New Roman" w:cs="Times New Roman"/>
          <w:color w:val="auto"/>
        </w:rPr>
        <w:t>, 297–305.</w:t>
      </w:r>
      <w:r w:rsidRPr="009B0448">
        <w:rPr>
          <w:rFonts w:ascii="Times New Roman" w:hAnsi="Times New Roman" w:cs="Times New Roman"/>
        </w:rPr>
        <w:t xml:space="preserve"> </w:t>
      </w:r>
      <w:hyperlink r:id="rId958" w:history="1">
        <w:r w:rsidRPr="009B0448">
          <w:rPr>
            <w:rStyle w:val="Hyperlink"/>
            <w:rFonts w:ascii="Times New Roman" w:hAnsi="Times New Roman" w:cs="Times New Roman"/>
          </w:rPr>
          <w:t>https://doi.org/10.1007/s004420050035</w:t>
        </w:r>
      </w:hyperlink>
      <w:r w:rsidRPr="009B0448">
        <w:rPr>
          <w:rFonts w:ascii="Times New Roman" w:hAnsi="Times New Roman" w:cs="Times New Roman"/>
          <w:color w:val="auto"/>
        </w:rPr>
        <w:t xml:space="preserve"> </w:t>
      </w:r>
    </w:p>
    <w:p w14:paraId="49AA29D4"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Schwitzer, C., Mittermeier, R. A., Davies, N., Johnson, S., Ratsimbazafy, J., Razafindramanana, J., Louis Jr., E. E., &amp; Rajaobelina, S. (Eds.). (2013). </w:t>
      </w:r>
      <w:r w:rsidRPr="009B0448">
        <w:rPr>
          <w:rFonts w:ascii="Times New Roman" w:hAnsi="Times New Roman" w:cs="Times New Roman"/>
          <w:i/>
        </w:rPr>
        <w:t>Lemurs of Madagascar: A strategy for their conservation 2013–2016</w:t>
      </w:r>
      <w:r w:rsidRPr="009B0448">
        <w:rPr>
          <w:rFonts w:ascii="Times New Roman" w:hAnsi="Times New Roman" w:cs="Times New Roman"/>
        </w:rPr>
        <w:t xml:space="preserve">. Bristol, UK: IUCN. Retrieved from </w:t>
      </w:r>
      <w:hyperlink r:id="rId959" w:history="1">
        <w:r w:rsidRPr="009B0448">
          <w:rPr>
            <w:rStyle w:val="Hyperlink"/>
            <w:rFonts w:ascii="Times New Roman" w:hAnsi="Times New Roman" w:cs="Times New Roman"/>
          </w:rPr>
          <w:t>https://portals.iucn.org/library/efiles/documents/2013-020.pdf</w:t>
        </w:r>
      </w:hyperlink>
      <w:r w:rsidRPr="009B0448">
        <w:rPr>
          <w:rFonts w:ascii="Times New Roman" w:hAnsi="Times New Roman" w:cs="Times New Roman"/>
        </w:rPr>
        <w:t xml:space="preserve"> </w:t>
      </w:r>
    </w:p>
    <w:p w14:paraId="20139338"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Sea Sense. (2011). </w:t>
      </w:r>
      <w:r w:rsidRPr="009B0448">
        <w:rPr>
          <w:rFonts w:ascii="Times New Roman" w:hAnsi="Times New Roman" w:cs="Times New Roman"/>
          <w:i/>
        </w:rPr>
        <w:t>Annual report 20</w:t>
      </w:r>
      <w:r w:rsidRPr="009B0448">
        <w:rPr>
          <w:rFonts w:ascii="Times New Roman" w:hAnsi="Times New Roman" w:cs="Times New Roman"/>
        </w:rPr>
        <w:t xml:space="preserve">11. Retrieved from </w:t>
      </w:r>
      <w:hyperlink r:id="rId960" w:history="1">
        <w:r w:rsidRPr="009B0448">
          <w:rPr>
            <w:rStyle w:val="Hyperlink"/>
            <w:rFonts w:ascii="Times New Roman" w:hAnsi="Times New Roman" w:cs="Times New Roman"/>
          </w:rPr>
          <w:t>http://www.seasense.org/uploads/media/Sea_Sense_2010_Annual_Report.pdf</w:t>
        </w:r>
      </w:hyperlink>
      <w:r w:rsidRPr="009B0448">
        <w:rPr>
          <w:rFonts w:ascii="Times New Roman" w:hAnsi="Times New Roman" w:cs="Times New Roman"/>
        </w:rPr>
        <w:t xml:space="preserve"> </w:t>
      </w:r>
    </w:p>
    <w:p w14:paraId="2A037FB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Seto, K. C., Güneralp, B., &amp; Hutyra, L. R. (2012). Global forecasts of urban expansion to 2030 and direct impacts on biodiversity and carbon pools. </w:t>
      </w:r>
      <w:r w:rsidRPr="009B0448">
        <w:rPr>
          <w:rFonts w:ascii="Times New Roman" w:hAnsi="Times New Roman" w:cs="Times New Roman"/>
          <w:i/>
          <w:color w:val="auto"/>
        </w:rPr>
        <w:t>Proceedings of the National Academy of Sciences of the United States of America, 109</w:t>
      </w:r>
      <w:r w:rsidRPr="009B0448">
        <w:rPr>
          <w:rFonts w:ascii="Times New Roman" w:hAnsi="Times New Roman" w:cs="Times New Roman"/>
          <w:color w:val="auto"/>
        </w:rPr>
        <w:t xml:space="preserve">(40), 16083–16088. </w:t>
      </w:r>
      <w:hyperlink r:id="rId961" w:history="1">
        <w:r w:rsidRPr="009B0448">
          <w:rPr>
            <w:rStyle w:val="Hyperlink"/>
            <w:rFonts w:ascii="Times New Roman" w:hAnsi="Times New Roman" w:cs="Times New Roman"/>
          </w:rPr>
          <w:t>https://doi.org/10.1073/pnas.1211658109</w:t>
        </w:r>
      </w:hyperlink>
    </w:p>
    <w:p w14:paraId="63478E6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Seto, K, Parnell, S, &amp; Elmqvist, T. (2013). Global outlook on urbnaization. In T. H. Elmqvist, M. Fragkias, J. Goodness, B. Güneralp, P. J. Marcotullio, R. I. McDonald, R. I. Parnell, S. Shwewenus, M. Sendstad, K.C. Seto, &amp; C. Wilkinson (Eds.), </w:t>
      </w:r>
      <w:r w:rsidRPr="009B0448">
        <w:rPr>
          <w:rFonts w:ascii="Times New Roman" w:hAnsi="Times New Roman" w:cs="Times New Roman"/>
          <w:i/>
          <w:color w:val="auto"/>
        </w:rPr>
        <w:t>Urbanization, biodiversity and ecosystem services: Challenges and opportunities</w:t>
      </w:r>
      <w:r w:rsidRPr="009B0448">
        <w:rPr>
          <w:rFonts w:ascii="Times New Roman" w:hAnsi="Times New Roman" w:cs="Times New Roman"/>
          <w:color w:val="auto"/>
        </w:rPr>
        <w:t>.</w:t>
      </w:r>
      <w:r w:rsidRPr="009B0448">
        <w:rPr>
          <w:rFonts w:ascii="Times New Roman" w:hAnsi="Times New Roman" w:cs="Times New Roman"/>
        </w:rPr>
        <w:t xml:space="preserve"> </w:t>
      </w:r>
      <w:r w:rsidRPr="009B0448">
        <w:rPr>
          <w:rFonts w:ascii="Times New Roman" w:hAnsi="Times New Roman" w:cs="Times New Roman"/>
          <w:color w:val="auto"/>
        </w:rPr>
        <w:t xml:space="preserve">Netherlands: Springer. </w:t>
      </w:r>
      <w:hyperlink r:id="rId962" w:history="1">
        <w:r w:rsidRPr="009B0448">
          <w:rPr>
            <w:rStyle w:val="Hyperlink"/>
            <w:rFonts w:ascii="Times New Roman" w:hAnsi="Times New Roman" w:cs="Times New Roman"/>
          </w:rPr>
          <w:t>https://doi.org/10.1007/978-94-007-7088-1</w:t>
        </w:r>
      </w:hyperlink>
      <w:r w:rsidRPr="009B0448">
        <w:rPr>
          <w:rFonts w:ascii="Times New Roman" w:hAnsi="Times New Roman" w:cs="Times New Roman"/>
          <w:color w:val="auto"/>
        </w:rPr>
        <w:t xml:space="preserve"> </w:t>
      </w:r>
    </w:p>
    <w:p w14:paraId="4B2F207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Sherman, K., &amp; Hempel, G. (Eds.). (2008). The UNEP large marine ecosystems report: A perspective on changing conditions in LMEs of the world’s regional seas. In UNEP (Ed.), </w:t>
      </w:r>
      <w:r w:rsidRPr="009B0448">
        <w:rPr>
          <w:rFonts w:ascii="Times New Roman" w:hAnsi="Times New Roman" w:cs="Times New Roman"/>
          <w:i/>
          <w:color w:val="auto"/>
        </w:rPr>
        <w:t>Regional seas report and studies</w:t>
      </w:r>
      <w:r w:rsidRPr="009B0448">
        <w:rPr>
          <w:rFonts w:ascii="Times New Roman" w:hAnsi="Times New Roman" w:cs="Times New Roman"/>
          <w:color w:val="auto"/>
        </w:rPr>
        <w:t xml:space="preserve">. Nairobi, Kenya: UNEP. Retrieved from </w:t>
      </w:r>
      <w:hyperlink r:id="rId963" w:history="1">
        <w:r w:rsidRPr="009B0448">
          <w:rPr>
            <w:rStyle w:val="Hyperlink"/>
            <w:rFonts w:ascii="Times New Roman" w:hAnsi="Times New Roman" w:cs="Times New Roman"/>
            <w:color w:val="0070C0"/>
          </w:rPr>
          <w:t>http://iwlearn.net/publications/regional-seas-reports/unep-regional-seas-reports-andstudies-no-182/lmes-and-regional-seas-i-west-and-central-africa</w:t>
        </w:r>
      </w:hyperlink>
    </w:p>
    <w:p w14:paraId="69FC8822"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Shotton, R. (2006). </w:t>
      </w:r>
      <w:r w:rsidRPr="009B0448">
        <w:rPr>
          <w:rFonts w:ascii="Times New Roman" w:hAnsi="Times New Roman" w:cs="Times New Roman"/>
          <w:i/>
        </w:rPr>
        <w:t>Managment of demersal fisheries resources of the Southern Indian Ocean</w:t>
      </w:r>
      <w:r w:rsidRPr="009B0448">
        <w:rPr>
          <w:rFonts w:ascii="Times New Roman" w:hAnsi="Times New Roman" w:cs="Times New Roman"/>
        </w:rPr>
        <w:t xml:space="preserve">. FAO, Rome, Italy: FAO. Retrieved from </w:t>
      </w:r>
      <w:hyperlink r:id="rId964" w:history="1">
        <w:r w:rsidRPr="009B0448">
          <w:rPr>
            <w:rStyle w:val="Hyperlink"/>
            <w:rFonts w:ascii="Times New Roman" w:hAnsi="Times New Roman" w:cs="Times New Roman"/>
          </w:rPr>
          <w:t>http://www.fao.org/3/a-a0726e.pdf</w:t>
        </w:r>
      </w:hyperlink>
      <w:r w:rsidRPr="009B0448">
        <w:rPr>
          <w:rFonts w:ascii="Times New Roman" w:hAnsi="Times New Roman" w:cs="Times New Roman"/>
        </w:rPr>
        <w:t xml:space="preserve"> </w:t>
      </w:r>
    </w:p>
    <w:p w14:paraId="17FF6E9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Shumway, C. A. (1999</w:t>
      </w:r>
      <w:r w:rsidRPr="009B0448">
        <w:rPr>
          <w:rFonts w:ascii="Times New Roman" w:hAnsi="Times New Roman" w:cs="Times New Roman"/>
          <w:i/>
          <w:color w:val="auto"/>
        </w:rPr>
        <w:t>). Forgotten waters: Freshwater and marine ecosystems in Africa. Strategies for biodiversity conservation and sustainable development</w:t>
      </w:r>
      <w:r w:rsidRPr="009B0448">
        <w:rPr>
          <w:rFonts w:ascii="Times New Roman" w:hAnsi="Times New Roman" w:cs="Times New Roman"/>
          <w:color w:val="auto"/>
        </w:rPr>
        <w:t xml:space="preserve">. The Biodiversity Support Program, Boston University: New England Aquarium, USAID. Retrieved from </w:t>
      </w:r>
      <w:hyperlink r:id="rId965" w:history="1">
        <w:r w:rsidRPr="009B0448">
          <w:rPr>
            <w:rStyle w:val="Hyperlink"/>
            <w:rFonts w:ascii="Times New Roman" w:hAnsi="Times New Roman" w:cs="Times New Roman"/>
          </w:rPr>
          <w:t>https://pdfs.semanticscholar.org/06a5/662bcf46d862c5b862195550a108f91172de.pdf</w:t>
        </w:r>
      </w:hyperlink>
      <w:r w:rsidRPr="009B0448">
        <w:rPr>
          <w:rFonts w:ascii="Times New Roman" w:hAnsi="Times New Roman" w:cs="Times New Roman"/>
        </w:rPr>
        <w:t xml:space="preserve"> </w:t>
      </w:r>
    </w:p>
    <w:p w14:paraId="3D41B84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Sillero-Zubiri, C., Macdonald, D. W., &amp; IUCN. (1997). </w:t>
      </w:r>
      <w:r w:rsidRPr="009B0448">
        <w:rPr>
          <w:rFonts w:ascii="Times New Roman" w:hAnsi="Times New Roman" w:cs="Times New Roman"/>
          <w:i/>
          <w:color w:val="auto"/>
        </w:rPr>
        <w:t>The Ethiopian wolf–status survey and conservation action plan.</w:t>
      </w:r>
      <w:r w:rsidRPr="009B0448">
        <w:rPr>
          <w:rFonts w:ascii="Times New Roman" w:hAnsi="Times New Roman" w:cs="Times New Roman"/>
          <w:color w:val="auto"/>
        </w:rPr>
        <w:t xml:space="preserve"> Gland, Switzerland: IUCN. Retrieved from </w:t>
      </w:r>
      <w:hyperlink r:id="rId966" w:history="1">
        <w:r w:rsidRPr="009B0448">
          <w:rPr>
            <w:rStyle w:val="Hyperlink"/>
            <w:rFonts w:ascii="Times New Roman" w:hAnsi="Times New Roman" w:cs="Times New Roman"/>
          </w:rPr>
          <w:t>https://portals.iucn.org/library/sites/library/files/documents/1997-040-2.pdf</w:t>
        </w:r>
      </w:hyperlink>
      <w:r w:rsidRPr="009B0448">
        <w:rPr>
          <w:rFonts w:ascii="Times New Roman" w:hAnsi="Times New Roman" w:cs="Times New Roman"/>
          <w:color w:val="auto"/>
        </w:rPr>
        <w:t xml:space="preserve"> </w:t>
      </w:r>
    </w:p>
    <w:p w14:paraId="1D480C9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Sink, K. J., Attwood, C. G., Lombard, A. T., Grantham, H., </w:t>
      </w:r>
      <w:r w:rsidRPr="009B0448">
        <w:rPr>
          <w:rFonts w:ascii="Times New Roman" w:hAnsi="Times New Roman" w:cs="Times New Roman"/>
          <w:color w:val="auto"/>
          <w:lang w:val="de-DE"/>
        </w:rPr>
        <w:t xml:space="preserve">Leslie, R., Samaai, T., Kerwath, S., Majiedt, P., Fairweather, T., Hutchings, L., van der Lingen, C., Atkinson, L. J., Wilkinson, S., Hikness, S., &amp; Wolf, T. (2011). </w:t>
      </w:r>
      <w:r w:rsidRPr="009B0448">
        <w:rPr>
          <w:rFonts w:ascii="Times New Roman" w:hAnsi="Times New Roman" w:cs="Times New Roman"/>
          <w:i/>
          <w:color w:val="auto"/>
        </w:rPr>
        <w:t>Spatial planning to identify focus areas for offshore biodiversity protection in South Africa</w:t>
      </w:r>
      <w:r w:rsidRPr="009B0448">
        <w:rPr>
          <w:rFonts w:ascii="Times New Roman" w:hAnsi="Times New Roman" w:cs="Times New Roman"/>
          <w:color w:val="auto"/>
        </w:rPr>
        <w:t xml:space="preserve">. Cape Town, South Africa: SANBI. Retrieved from </w:t>
      </w:r>
      <w:hyperlink r:id="rId967" w:history="1">
        <w:r w:rsidRPr="009B0448">
          <w:rPr>
            <w:rStyle w:val="Hyperlink"/>
            <w:rFonts w:ascii="Times New Roman" w:hAnsi="Times New Roman" w:cs="Times New Roman"/>
          </w:rPr>
          <w:t>https://www.sanbi.org/sites/default/files/documents/documents/ompareportdec2011summary-report-final.pdf</w:t>
        </w:r>
      </w:hyperlink>
    </w:p>
    <w:p w14:paraId="70187DB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Slik, J. W., Arroyo-Rodriguez, V., Aiba, S. I., Alvarez-Loayza, P., Alves, L. F., Ashton, P., Balvanera, P., Bastian, M., Bellingham, P. J., Van den Berg, E., Bernacci, L., de Conceicao Bispo, P., Blanc, L., Böhning-Gaese, K., Boeckx, P., Bongers, F., Boyle, B., Bradford, M., Brearley, F. Q., Breuer-Ndoundou H. M., Bunyavejchewin, S., Calderado L. M. D., Castillo-Santiago, M. A., Catharino, E. L. M., Chai, S. L., Chen, Y., Colwell, R. K., Robin, C. L., Clark, C. J., Clark, D. B., Clark, D. A., Culmsee, H., Damas, K., Dattaraja, H. S., Dauby, G., Davidar, P., DeWalt, S. J., Doucet, J. L., Duque, A., Durigan, G., Eichhorn, K. A. O., Eisenlohr, P. V., Eler, E., Ewango, C., Farwig, N., Feeley, K. J., Ferreira, L., Field, R., de Oliveira F. A. T., Fletcher, C. D., Forshed, O., Franco, G., Fredriksson, G., Gillespie, T., Gillet, J. F., Amarnath, G., Griffith, D. M., Grogan, J., Gunatilleke, I. A. U. N., Harris, D., Harrison, R., Hector, A., Homeier, J., Imai, N., Itoh, A., Jansen, P. A., Joly, C. A., de Jong, B. H. J., Kartawinata, K., Kearsley, E., &amp; Kelly, D. L. K. (2015). An estimate of the number of tropical tree species. </w:t>
      </w:r>
      <w:r w:rsidRPr="009B0448">
        <w:rPr>
          <w:rFonts w:ascii="Times New Roman" w:hAnsi="Times New Roman" w:cs="Times New Roman"/>
          <w:i/>
          <w:color w:val="auto"/>
        </w:rPr>
        <w:t>Proceedings of the National Academy of Sciences of the United States of America, 112</w:t>
      </w:r>
      <w:r w:rsidRPr="009B0448">
        <w:rPr>
          <w:rFonts w:ascii="Times New Roman" w:hAnsi="Times New Roman" w:cs="Times New Roman"/>
          <w:color w:val="auto"/>
        </w:rPr>
        <w:t xml:space="preserve">(24), 7472–7477. </w:t>
      </w:r>
      <w:hyperlink r:id="rId968" w:history="1">
        <w:r w:rsidRPr="009B0448">
          <w:rPr>
            <w:rStyle w:val="Hyperlink"/>
            <w:rFonts w:ascii="Times New Roman" w:hAnsi="Times New Roman" w:cs="Times New Roman"/>
          </w:rPr>
          <w:t>https://doi.org/10.1073/pnas.1423147112</w:t>
        </w:r>
      </w:hyperlink>
      <w:r w:rsidRPr="009B0448">
        <w:rPr>
          <w:rFonts w:ascii="Times New Roman" w:hAnsi="Times New Roman" w:cs="Times New Roman"/>
          <w:color w:val="auto"/>
        </w:rPr>
        <w:t xml:space="preserve"> </w:t>
      </w:r>
    </w:p>
    <w:p w14:paraId="769B7C1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Smith, K. G., Diop, M. D., Niane, M., &amp; Darwall, W. R. T. (2009). </w:t>
      </w:r>
      <w:r w:rsidRPr="009B0448">
        <w:rPr>
          <w:rFonts w:ascii="Times New Roman" w:hAnsi="Times New Roman" w:cs="Times New Roman"/>
          <w:i/>
          <w:color w:val="auto"/>
        </w:rPr>
        <w:t>The status and distribution of freshwater biodiversity in Western Africa</w:t>
      </w:r>
      <w:r w:rsidRPr="009B0448">
        <w:rPr>
          <w:rFonts w:ascii="Times New Roman" w:hAnsi="Times New Roman" w:cs="Times New Roman"/>
          <w:color w:val="auto"/>
        </w:rPr>
        <w:t xml:space="preserve">. Gland, Switzerland and Cambridge, UK: IUCN. Retrieeved from </w:t>
      </w:r>
      <w:hyperlink r:id="rId969" w:history="1">
        <w:r w:rsidRPr="009B0448">
          <w:rPr>
            <w:rStyle w:val="Hyperlink"/>
            <w:rFonts w:ascii="Times New Roman" w:hAnsi="Times New Roman" w:cs="Times New Roman"/>
          </w:rPr>
          <w:t>https://www.iucn.org/content/status-and-distribution-freshwater-biodiversity-western-africa</w:t>
        </w:r>
      </w:hyperlink>
      <w:r w:rsidRPr="009B0448">
        <w:rPr>
          <w:rFonts w:ascii="Times New Roman" w:hAnsi="Times New Roman" w:cs="Times New Roman"/>
          <w:color w:val="auto"/>
        </w:rPr>
        <w:t xml:space="preserve"> </w:t>
      </w:r>
    </w:p>
    <w:p w14:paraId="45F386F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Sournia, G., &amp; Dupuy, A. R. (1990). Antelopes. In R. East (Ed.), </w:t>
      </w:r>
      <w:r w:rsidRPr="009B0448">
        <w:rPr>
          <w:rFonts w:ascii="Times New Roman" w:hAnsi="Times New Roman" w:cs="Times New Roman"/>
          <w:i/>
          <w:color w:val="auto"/>
        </w:rPr>
        <w:t>Global survey and regional action plans. Part 3. West and Central Africa</w:t>
      </w:r>
      <w:r w:rsidRPr="009B0448">
        <w:rPr>
          <w:rFonts w:ascii="Times New Roman" w:hAnsi="Times New Roman" w:cs="Times New Roman"/>
          <w:color w:val="auto"/>
        </w:rPr>
        <w:t xml:space="preserve"> (pp. 29–32). Gland, Switzerland: IUCN. Retrieved from </w:t>
      </w:r>
      <w:hyperlink r:id="rId970" w:history="1">
        <w:r w:rsidRPr="009B0448">
          <w:rPr>
            <w:rStyle w:val="Hyperlink"/>
            <w:rFonts w:ascii="Times New Roman" w:hAnsi="Times New Roman" w:cs="Times New Roman"/>
          </w:rPr>
          <w:t>https://portals.iucn.org/library/sites/library/files/documents/1988-015-3.pdf</w:t>
        </w:r>
      </w:hyperlink>
      <w:r w:rsidRPr="009B0448">
        <w:rPr>
          <w:rFonts w:ascii="Times New Roman" w:hAnsi="Times New Roman" w:cs="Times New Roman"/>
          <w:color w:val="auto"/>
        </w:rPr>
        <w:t xml:space="preserve"> </w:t>
      </w:r>
    </w:p>
    <w:p w14:paraId="2A8EB0F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Spalding, M. D., Blasco, F., &amp; Field, C. D. (Eds.). (1997). </w:t>
      </w:r>
      <w:r w:rsidRPr="009B0448">
        <w:rPr>
          <w:rFonts w:ascii="Times New Roman" w:hAnsi="Times New Roman" w:cs="Times New Roman"/>
          <w:i/>
          <w:color w:val="auto"/>
        </w:rPr>
        <w:t>World mangrove atlas</w:t>
      </w:r>
      <w:r w:rsidRPr="009B0448">
        <w:rPr>
          <w:rFonts w:ascii="Times New Roman" w:hAnsi="Times New Roman" w:cs="Times New Roman"/>
          <w:color w:val="auto"/>
        </w:rPr>
        <w:t xml:space="preserve">. Okinawa, Japan: The International Society for Mangrove Ecosystems. Retrieved from </w:t>
      </w:r>
      <w:hyperlink r:id="rId971" w:history="1">
        <w:r w:rsidRPr="009B0448">
          <w:rPr>
            <w:rStyle w:val="Hyperlink"/>
            <w:rFonts w:ascii="Times New Roman" w:hAnsi="Times New Roman" w:cs="Times New Roman"/>
          </w:rPr>
          <w:t>https://archive.org/details/worldmangroveatl97spal</w:t>
        </w:r>
      </w:hyperlink>
    </w:p>
    <w:p w14:paraId="3F28B74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Spalding, M., Kainuma, M., &amp; Collins, L. (2010). </w:t>
      </w:r>
      <w:r w:rsidRPr="009B0448">
        <w:rPr>
          <w:rFonts w:ascii="Times New Roman" w:hAnsi="Times New Roman" w:cs="Times New Roman"/>
          <w:i/>
          <w:color w:val="auto"/>
        </w:rPr>
        <w:t>World atlas of mangroves</w:t>
      </w:r>
      <w:r w:rsidRPr="009B0448">
        <w:rPr>
          <w:rFonts w:ascii="Times New Roman" w:hAnsi="Times New Roman" w:cs="Times New Roman"/>
          <w:color w:val="auto"/>
        </w:rPr>
        <w:t xml:space="preserve">. London, UK: Earthscan. Retrieved from </w:t>
      </w:r>
      <w:hyperlink r:id="rId972" w:history="1">
        <w:r w:rsidRPr="009B0448">
          <w:rPr>
            <w:rStyle w:val="Hyperlink"/>
            <w:rFonts w:ascii="Times New Roman" w:hAnsi="Times New Roman" w:cs="Times New Roman"/>
          </w:rPr>
          <w:t>http://data.unepwcmc.org/datasets/5</w:t>
        </w:r>
      </w:hyperlink>
      <w:r w:rsidRPr="009B0448">
        <w:rPr>
          <w:rFonts w:ascii="Times New Roman" w:hAnsi="Times New Roman" w:cs="Times New Roman"/>
          <w:color w:val="auto"/>
        </w:rPr>
        <w:t xml:space="preserve"> </w:t>
      </w:r>
    </w:p>
    <w:p w14:paraId="180BB85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Stenchly, K., Dao, J., Lompo. D. J., Buerkert, A. (2017). Effects of waste water irrigation on soil properties and soil fauna of spinach fields in a West African urban vegetable production system. </w:t>
      </w:r>
      <w:r w:rsidRPr="009B0448">
        <w:rPr>
          <w:rFonts w:ascii="Times New Roman" w:hAnsi="Times New Roman" w:cs="Times New Roman"/>
          <w:i/>
          <w:color w:val="auto"/>
        </w:rPr>
        <w:t>Environmental Pollution, 222</w:t>
      </w:r>
      <w:r w:rsidRPr="009B0448">
        <w:rPr>
          <w:rFonts w:ascii="Times New Roman" w:hAnsi="Times New Roman" w:cs="Times New Roman"/>
          <w:color w:val="auto"/>
        </w:rPr>
        <w:t xml:space="preserve">, 58–63. </w:t>
      </w:r>
      <w:hyperlink r:id="rId973" w:history="1">
        <w:r w:rsidRPr="009B0448">
          <w:rPr>
            <w:rStyle w:val="Hyperlink"/>
            <w:rFonts w:ascii="Times New Roman" w:hAnsi="Times New Roman" w:cs="Times New Roman"/>
          </w:rPr>
          <w:t>https://doi.org/10.1016/j.envpol.2017.01.006</w:t>
        </w:r>
      </w:hyperlink>
      <w:r w:rsidRPr="009B0448">
        <w:rPr>
          <w:rFonts w:ascii="Times New Roman" w:hAnsi="Times New Roman" w:cs="Times New Roman"/>
          <w:color w:val="auto"/>
        </w:rPr>
        <w:t xml:space="preserve"> </w:t>
      </w:r>
    </w:p>
    <w:p w14:paraId="14ABDF7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Stattersfield, A. J., Crosby, M. J., Long, A. J., &amp;. Wedge, D. C. (1998). </w:t>
      </w:r>
      <w:r w:rsidRPr="009B0448">
        <w:rPr>
          <w:rFonts w:ascii="Times New Roman" w:hAnsi="Times New Roman" w:cs="Times New Roman"/>
          <w:i/>
          <w:color w:val="auto"/>
        </w:rPr>
        <w:t>Endemic bird areas of the world. Priorities for biodiversity conservation</w:t>
      </w:r>
      <w:r w:rsidRPr="009B0448">
        <w:rPr>
          <w:rFonts w:ascii="Times New Roman" w:hAnsi="Times New Roman" w:cs="Times New Roman"/>
          <w:color w:val="auto"/>
        </w:rPr>
        <w:t>. Cambridge, UK: BirdLife International. Retrieved from</w:t>
      </w:r>
      <w:r w:rsidRPr="009B0448">
        <w:rPr>
          <w:rFonts w:ascii="Times New Roman" w:hAnsi="Times New Roman" w:cs="Times New Roman"/>
        </w:rPr>
        <w:t xml:space="preserve"> </w:t>
      </w:r>
      <w:hyperlink r:id="rId974" w:history="1">
        <w:r w:rsidRPr="009B0448">
          <w:rPr>
            <w:rStyle w:val="Hyperlink"/>
            <w:rFonts w:ascii="Times New Roman" w:hAnsi="Times New Roman" w:cs="Times New Roman"/>
          </w:rPr>
          <w:t>http://www.birdlife.org/worldwide/news/endemic-bird-areas-world-priorities-conservation</w:t>
        </w:r>
      </w:hyperlink>
      <w:r w:rsidRPr="009B0448">
        <w:rPr>
          <w:rFonts w:ascii="Times New Roman" w:hAnsi="Times New Roman" w:cs="Times New Roman"/>
          <w:color w:val="auto"/>
        </w:rPr>
        <w:t xml:space="preserve"> </w:t>
      </w:r>
    </w:p>
    <w:p w14:paraId="20A977E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Stein, A. B., Athreya, V., Ghoddousi, A., &amp; Gerngross, P. (2016). </w:t>
      </w:r>
      <w:r w:rsidRPr="009B0448">
        <w:rPr>
          <w:rFonts w:ascii="Times New Roman" w:hAnsi="Times New Roman" w:cs="Times New Roman"/>
          <w:i/>
          <w:color w:val="auto"/>
        </w:rPr>
        <w:t>Panthera pardus</w:t>
      </w:r>
      <w:r w:rsidRPr="009B0448">
        <w:rPr>
          <w:rFonts w:ascii="Times New Roman" w:hAnsi="Times New Roman" w:cs="Times New Roman"/>
          <w:color w:val="auto"/>
        </w:rPr>
        <w:t xml:space="preserve">. Gland, Switzerland: IUCN. </w:t>
      </w:r>
      <w:hyperlink r:id="rId975" w:history="1">
        <w:r w:rsidRPr="009B0448">
          <w:rPr>
            <w:rStyle w:val="Hyperlink"/>
            <w:rFonts w:ascii="Times New Roman" w:hAnsi="Times New Roman" w:cs="Times New Roman"/>
          </w:rPr>
          <w:t>https://doi.org/10.2305/IUCN.UK.20161.RLTS.T15954A50659089.en</w:t>
        </w:r>
      </w:hyperlink>
    </w:p>
    <w:p w14:paraId="2068D8C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Stiassny, M., Teugels, G. G., &amp; Hopkins, C. D. (2007). </w:t>
      </w:r>
      <w:r w:rsidRPr="009B0448">
        <w:rPr>
          <w:rFonts w:ascii="Times New Roman" w:hAnsi="Times New Roman" w:cs="Times New Roman"/>
          <w:i/>
          <w:color w:val="auto"/>
        </w:rPr>
        <w:t>The fresh and brackish water fishes of Lower Guinea, West-Central Africa</w:t>
      </w:r>
      <w:r w:rsidRPr="009B0448">
        <w:rPr>
          <w:rFonts w:ascii="Times New Roman" w:hAnsi="Times New Roman" w:cs="Times New Roman"/>
          <w:color w:val="auto"/>
        </w:rPr>
        <w:t>. Guinea: Musée Royal de l'Afrique Centrale.</w:t>
      </w:r>
    </w:p>
    <w:p w14:paraId="7151A65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Strayer, D. L., &amp; Dudgeon, D. (2010). Freshwater biodiversity conservation: Recent progress and future challenges. </w:t>
      </w:r>
      <w:r w:rsidRPr="009B0448">
        <w:rPr>
          <w:rFonts w:ascii="Times New Roman" w:hAnsi="Times New Roman" w:cs="Times New Roman"/>
          <w:i/>
          <w:color w:val="auto"/>
        </w:rPr>
        <w:t>Journal of the North American Benthological Society, 29</w:t>
      </w:r>
      <w:r w:rsidRPr="009B0448">
        <w:rPr>
          <w:rFonts w:ascii="Times New Roman" w:hAnsi="Times New Roman" w:cs="Times New Roman"/>
          <w:color w:val="auto"/>
        </w:rPr>
        <w:t xml:space="preserve">, 344–358. </w:t>
      </w:r>
      <w:hyperlink r:id="rId976" w:history="1">
        <w:r w:rsidRPr="009B0448">
          <w:rPr>
            <w:rStyle w:val="Hyperlink"/>
            <w:rFonts w:ascii="Times New Roman" w:hAnsi="Times New Roman" w:cs="Times New Roman"/>
          </w:rPr>
          <w:t>https://doi.org/10.1899/08-171.1</w:t>
        </w:r>
      </w:hyperlink>
    </w:p>
    <w:p w14:paraId="6467DD4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Stuart, S. N., Adams, R. J., &amp; Jenkins, M. D. (1990). </w:t>
      </w:r>
      <w:r w:rsidRPr="009B0448">
        <w:rPr>
          <w:rFonts w:ascii="Times New Roman" w:hAnsi="Times New Roman" w:cs="Times New Roman"/>
          <w:i/>
          <w:color w:val="auto"/>
        </w:rPr>
        <w:t>Biodiversity in sub-Saharan Africa and its islands: Conservation, management, and sustainable use</w:t>
      </w:r>
      <w:r w:rsidRPr="009B0448">
        <w:rPr>
          <w:rFonts w:ascii="Times New Roman" w:hAnsi="Times New Roman" w:cs="Times New Roman"/>
          <w:color w:val="auto"/>
        </w:rPr>
        <w:t>. Gland, Switzerland: IUCN. Retrieved from</w:t>
      </w:r>
      <w:r w:rsidRPr="009B0448">
        <w:rPr>
          <w:rFonts w:ascii="Times New Roman" w:hAnsi="Times New Roman" w:cs="Times New Roman"/>
        </w:rPr>
        <w:t xml:space="preserve"> </w:t>
      </w:r>
      <w:hyperlink r:id="rId977" w:history="1">
        <w:r w:rsidRPr="009B0448">
          <w:rPr>
            <w:rStyle w:val="Hyperlink"/>
            <w:rFonts w:ascii="Times New Roman" w:hAnsi="Times New Roman" w:cs="Times New Roman"/>
          </w:rPr>
          <w:t>https://portals.iucn.org/library/sites/library/files/documents/SSC-OP-006.pdf</w:t>
        </w:r>
      </w:hyperlink>
      <w:r w:rsidRPr="009B0448">
        <w:rPr>
          <w:rFonts w:ascii="Times New Roman" w:hAnsi="Times New Roman" w:cs="Times New Roman"/>
        </w:rPr>
        <w:t xml:space="preserve"> </w:t>
      </w:r>
    </w:p>
    <w:p w14:paraId="7F9FEB8A"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Subhatu, A., Lemann, T., Hurni, K., Portner, B., Kassawmar, T., Zeleke, G., &amp; Hurni, H. (2017). Deposition of eroded soil on terraced croplands in Minchet catchment, Ethiopian highlands. </w:t>
      </w:r>
      <w:r w:rsidRPr="009B0448">
        <w:rPr>
          <w:rFonts w:ascii="Times New Roman" w:hAnsi="Times New Roman" w:cs="Times New Roman"/>
          <w:i/>
        </w:rPr>
        <w:t>International Soil and Water Conservation Research, 5</w:t>
      </w:r>
      <w:r w:rsidRPr="009B0448">
        <w:rPr>
          <w:rFonts w:ascii="Times New Roman" w:hAnsi="Times New Roman" w:cs="Times New Roman"/>
        </w:rPr>
        <w:t xml:space="preserve">(3), 212–220. </w:t>
      </w:r>
      <w:hyperlink r:id="rId978" w:history="1">
        <w:r w:rsidRPr="009B0448">
          <w:rPr>
            <w:rStyle w:val="Hyperlink"/>
            <w:rFonts w:ascii="Times New Roman" w:hAnsi="Times New Roman" w:cs="Times New Roman"/>
          </w:rPr>
          <w:t>https://doi.org/10.1016/j.iswcr.2017.05.008</w:t>
        </w:r>
      </w:hyperlink>
    </w:p>
    <w:p w14:paraId="351C00A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Sy, B. A., Sy, A. A., Bodian, A., Faye, C. A. T., Niang, S., Diop, M., &amp; Ndiaye, M. (2015). </w:t>
      </w:r>
      <w:r w:rsidRPr="009B0448">
        <w:rPr>
          <w:rFonts w:ascii="Times New Roman" w:hAnsi="Times New Roman" w:cs="Times New Roman"/>
          <w:i/>
          <w:color w:val="auto"/>
        </w:rPr>
        <w:t>Brèche ouverte sur la Langue de Barbarie à Saint-Louis: Esquisse de bilan d’un aménagement précipité</w:t>
      </w:r>
      <w:r w:rsidRPr="009B0448">
        <w:rPr>
          <w:rFonts w:ascii="Times New Roman" w:hAnsi="Times New Roman" w:cs="Times New Roman"/>
          <w:color w:val="auto"/>
        </w:rPr>
        <w:t>. Paris, France: L’Harmattan.</w:t>
      </w:r>
    </w:p>
    <w:p w14:paraId="0E52A3E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Taleb, M. S., &amp; El-Oualidi, J. (2013). Steppes and grasslands in Morocco: Diversity, functional ecology and socio-economic role. In D. L. Michalk, G. D. Millar, W. B. Badgery, K. M. Broadfoot (Eds.), </w:t>
      </w:r>
      <w:r w:rsidRPr="009B0448">
        <w:rPr>
          <w:rFonts w:ascii="Times New Roman" w:hAnsi="Times New Roman" w:cs="Times New Roman"/>
          <w:i/>
          <w:color w:val="auto"/>
        </w:rPr>
        <w:t>Revitalising grasslands to sustain our communities</w:t>
      </w:r>
      <w:r w:rsidRPr="009B0448">
        <w:rPr>
          <w:rFonts w:ascii="Times New Roman" w:hAnsi="Times New Roman" w:cs="Times New Roman"/>
          <w:color w:val="auto"/>
        </w:rPr>
        <w:t xml:space="preserve"> (pp. 1682–1684). Orange, Australia: New South Wales Department of Primary Industry. Retrieved from </w:t>
      </w:r>
      <w:hyperlink r:id="rId979" w:history="1">
        <w:r w:rsidRPr="009B0448">
          <w:rPr>
            <w:rStyle w:val="Hyperlink"/>
            <w:rFonts w:ascii="Times New Roman" w:hAnsi="Times New Roman" w:cs="Times New Roman"/>
          </w:rPr>
          <w:t>https://www.cabdirect.org/cabdirect/abstract/20153364773</w:t>
        </w:r>
      </w:hyperlink>
      <w:r w:rsidRPr="009B0448">
        <w:rPr>
          <w:rFonts w:ascii="Times New Roman" w:hAnsi="Times New Roman" w:cs="Times New Roman"/>
        </w:rPr>
        <w:t xml:space="preserve"> </w:t>
      </w:r>
    </w:p>
    <w:p w14:paraId="13675B9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Tang, W., Wenpeng, F., Meijuan, J., Jiyang, S., Zuo, H., &amp; Trettin, C. (2014). The assessment of mangrove biomass and carbon in West Africa: A spatially explicit analytical framework. </w:t>
      </w:r>
      <w:r w:rsidRPr="009B0448">
        <w:rPr>
          <w:rFonts w:ascii="Times New Roman" w:hAnsi="Times New Roman" w:cs="Times New Roman"/>
          <w:i/>
          <w:color w:val="auto"/>
        </w:rPr>
        <w:t>Wetlands Ecology Management, 24</w:t>
      </w:r>
      <w:r w:rsidRPr="009B0448">
        <w:rPr>
          <w:rFonts w:ascii="Times New Roman" w:hAnsi="Times New Roman" w:cs="Times New Roman"/>
          <w:color w:val="auto"/>
        </w:rPr>
        <w:t xml:space="preserve">(2), 153–171. </w:t>
      </w:r>
      <w:hyperlink r:id="rId980" w:history="1">
        <w:r w:rsidRPr="009B0448">
          <w:rPr>
            <w:rStyle w:val="Hyperlink"/>
            <w:rFonts w:ascii="Times New Roman" w:hAnsi="Times New Roman" w:cs="Times New Roman"/>
          </w:rPr>
          <w:t>https://doi.org/10.1007/s11273-015-9474-7</w:t>
        </w:r>
      </w:hyperlink>
      <w:r w:rsidRPr="009B0448">
        <w:rPr>
          <w:rFonts w:ascii="Times New Roman" w:hAnsi="Times New Roman" w:cs="Times New Roman"/>
          <w:color w:val="auto"/>
        </w:rPr>
        <w:t xml:space="preserve"> </w:t>
      </w:r>
    </w:p>
    <w:p w14:paraId="7F328FC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Taylor, A. R. D., Howard, G. W., &amp; Begg, G. W. (1995). Developing wetland inventories in southern Africa: A review. </w:t>
      </w:r>
      <w:r w:rsidRPr="009B0448">
        <w:rPr>
          <w:rFonts w:ascii="Times New Roman" w:hAnsi="Times New Roman" w:cs="Times New Roman"/>
          <w:i/>
          <w:color w:val="auto"/>
        </w:rPr>
        <w:t>Vegetation, 118</w:t>
      </w:r>
      <w:r w:rsidRPr="009B0448">
        <w:rPr>
          <w:rFonts w:ascii="Times New Roman" w:hAnsi="Times New Roman" w:cs="Times New Roman"/>
          <w:color w:val="auto"/>
        </w:rPr>
        <w:t xml:space="preserve">(1–2), 57–79. </w:t>
      </w:r>
      <w:hyperlink r:id="rId981" w:history="1">
        <w:r w:rsidRPr="009B0448">
          <w:rPr>
            <w:rStyle w:val="Hyperlink"/>
            <w:rFonts w:ascii="Times New Roman" w:hAnsi="Times New Roman" w:cs="Times New Roman"/>
          </w:rPr>
          <w:t>https://doi.org/10.1007/BF00045191</w:t>
        </w:r>
      </w:hyperlink>
    </w:p>
    <w:p w14:paraId="51C33EF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Temudo, M. (2012). The white men bought the forests: Conservation and contestation in Guinea-Bissau, western Africa. </w:t>
      </w:r>
      <w:r w:rsidRPr="009B0448">
        <w:rPr>
          <w:rFonts w:ascii="Times New Roman" w:hAnsi="Times New Roman" w:cs="Times New Roman"/>
          <w:i/>
          <w:color w:val="auto"/>
        </w:rPr>
        <w:t>Conservation and Society</w:t>
      </w:r>
      <w:r w:rsidRPr="009B0448">
        <w:rPr>
          <w:rFonts w:ascii="Times New Roman" w:hAnsi="Times New Roman" w:cs="Times New Roman"/>
          <w:color w:val="auto"/>
        </w:rPr>
        <w:t xml:space="preserve">, </w:t>
      </w:r>
      <w:r w:rsidRPr="009B0448">
        <w:rPr>
          <w:rFonts w:ascii="Times New Roman" w:hAnsi="Times New Roman" w:cs="Times New Roman"/>
          <w:i/>
          <w:color w:val="auto"/>
        </w:rPr>
        <w:t>10</w:t>
      </w:r>
      <w:r w:rsidRPr="009B0448">
        <w:rPr>
          <w:rFonts w:ascii="Times New Roman" w:hAnsi="Times New Roman" w:cs="Times New Roman"/>
          <w:color w:val="auto"/>
        </w:rPr>
        <w:t xml:space="preserve">(4), 353–366. </w:t>
      </w:r>
      <w:hyperlink r:id="rId982" w:history="1">
        <w:r w:rsidRPr="009B0448">
          <w:rPr>
            <w:rStyle w:val="Hyperlink"/>
            <w:rFonts w:ascii="Times New Roman" w:hAnsi="Times New Roman" w:cs="Times New Roman"/>
          </w:rPr>
          <w:t>https://doi.org/10.4103/0972-4923.105563</w:t>
        </w:r>
      </w:hyperlink>
      <w:r w:rsidRPr="009B0448">
        <w:rPr>
          <w:rFonts w:ascii="Times New Roman" w:hAnsi="Times New Roman" w:cs="Times New Roman"/>
          <w:color w:val="auto"/>
        </w:rPr>
        <w:t xml:space="preserve"> </w:t>
      </w:r>
    </w:p>
    <w:p w14:paraId="4A52F92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Temudo, M., &amp; Cabral, A. (2017). The social dynamics of mangroves’ afforestation in Guinea-Bissau, West Africa. </w:t>
      </w:r>
      <w:r w:rsidRPr="009B0448">
        <w:rPr>
          <w:rFonts w:ascii="Times New Roman" w:hAnsi="Times New Roman" w:cs="Times New Roman"/>
          <w:i/>
          <w:color w:val="auto"/>
        </w:rPr>
        <w:t>Human Ecology, 45</w:t>
      </w:r>
      <w:r w:rsidRPr="009B0448">
        <w:rPr>
          <w:rFonts w:ascii="Times New Roman" w:hAnsi="Times New Roman" w:cs="Times New Roman"/>
          <w:color w:val="auto"/>
        </w:rPr>
        <w:t xml:space="preserve">, 07–320. </w:t>
      </w:r>
      <w:hyperlink r:id="rId983" w:history="1">
        <w:r w:rsidRPr="009B0448">
          <w:rPr>
            <w:rStyle w:val="Hyperlink"/>
            <w:rFonts w:ascii="Times New Roman" w:hAnsi="Times New Roman" w:cs="Times New Roman"/>
          </w:rPr>
          <w:t>https://doi.org/10.1007/s10745-017-9907-4</w:t>
        </w:r>
      </w:hyperlink>
      <w:r w:rsidRPr="009B0448">
        <w:rPr>
          <w:rFonts w:ascii="Times New Roman" w:hAnsi="Times New Roman" w:cs="Times New Roman"/>
          <w:color w:val="auto"/>
        </w:rPr>
        <w:t xml:space="preserve"> </w:t>
      </w:r>
    </w:p>
    <w:p w14:paraId="6C2DE15A"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color w:val="auto"/>
        </w:rPr>
        <w:t xml:space="preserve">Thieme, M. L., Lehner, B., Abell, R., &amp; Matthews, J. (2010). Exposure of Africa’s freshwater biodiversity to a changing climate. </w:t>
      </w:r>
      <w:r w:rsidRPr="009B0448">
        <w:rPr>
          <w:rFonts w:ascii="Times New Roman" w:hAnsi="Times New Roman" w:cs="Times New Roman"/>
          <w:i/>
          <w:color w:val="auto"/>
        </w:rPr>
        <w:t>Conservation Letters, 3</w:t>
      </w:r>
      <w:r w:rsidRPr="009B0448">
        <w:rPr>
          <w:rFonts w:ascii="Times New Roman" w:hAnsi="Times New Roman" w:cs="Times New Roman"/>
          <w:color w:val="auto"/>
        </w:rPr>
        <w:t xml:space="preserve">(5), 324–331. </w:t>
      </w:r>
      <w:hyperlink r:id="rId984" w:history="1">
        <w:r w:rsidRPr="009B0448">
          <w:rPr>
            <w:rStyle w:val="Hyperlink"/>
            <w:rFonts w:ascii="Times New Roman" w:hAnsi="Times New Roman" w:cs="Times New Roman"/>
          </w:rPr>
          <w:t>https://doi.org/10.1111/j.1755-263X.2010.00120.x</w:t>
        </w:r>
      </w:hyperlink>
      <w:r w:rsidRPr="009B0448">
        <w:rPr>
          <w:rFonts w:ascii="Times New Roman" w:hAnsi="Times New Roman" w:cs="Times New Roman"/>
        </w:rPr>
        <w:t xml:space="preserve"> </w:t>
      </w:r>
    </w:p>
    <w:p w14:paraId="372B27C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Thieme, M. L., Abell, R., Stiassny, M. L. J., Skelton P., Lehner B., Teugels, G. G., Burgess, N., Lehner, B., Dinerstein, E., Olson, D., Teugels, G., Kamdem-Toham, A., Stiassny, M. L. J. S., &amp; Skelton, P., &amp; </w:t>
      </w:r>
      <w:r w:rsidRPr="009B0448">
        <w:rPr>
          <w:rFonts w:ascii="Times New Roman" w:hAnsi="Times New Roman" w:cs="Times New Roman"/>
          <w:color w:val="auto"/>
        </w:rPr>
        <w:t xml:space="preserve">Olson, D. (2005). </w:t>
      </w:r>
      <w:r w:rsidRPr="009B0448">
        <w:rPr>
          <w:rFonts w:ascii="Times New Roman" w:hAnsi="Times New Roman" w:cs="Times New Roman"/>
          <w:i/>
          <w:color w:val="auto"/>
        </w:rPr>
        <w:t>Freshwater ecoregions of Africa and Madagascar: A conservation assessment</w:t>
      </w:r>
      <w:r w:rsidRPr="009B0448">
        <w:rPr>
          <w:rFonts w:ascii="Times New Roman" w:hAnsi="Times New Roman" w:cs="Times New Roman"/>
          <w:color w:val="auto"/>
        </w:rPr>
        <w:t xml:space="preserve">. Washington DC: Island Press. Retrieved from </w:t>
      </w:r>
      <w:hyperlink r:id="rId985" w:history="1">
        <w:r w:rsidRPr="009B0448">
          <w:rPr>
            <w:rStyle w:val="Hyperlink"/>
            <w:rFonts w:ascii="Times New Roman" w:hAnsi="Times New Roman" w:cs="Times New Roman"/>
          </w:rPr>
          <w:t>https://portals.iucn.org/library/node/27813</w:t>
        </w:r>
      </w:hyperlink>
      <w:r w:rsidRPr="009B0448">
        <w:rPr>
          <w:rFonts w:ascii="Times New Roman" w:hAnsi="Times New Roman" w:cs="Times New Roman"/>
          <w:color w:val="auto"/>
        </w:rPr>
        <w:t xml:space="preserve"> </w:t>
      </w:r>
    </w:p>
    <w:p w14:paraId="0DA15D9A"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Thiollay, J. M. (2001). Long-term changes of raptor populations in northern Cameroon. </w:t>
      </w:r>
      <w:r w:rsidRPr="009B0448">
        <w:rPr>
          <w:rFonts w:ascii="Times New Roman" w:hAnsi="Times New Roman" w:cs="Times New Roman"/>
          <w:i/>
        </w:rPr>
        <w:t>Journal of Raptor Research, 35</w:t>
      </w:r>
      <w:r w:rsidRPr="009B0448">
        <w:rPr>
          <w:rFonts w:ascii="Times New Roman" w:hAnsi="Times New Roman" w:cs="Times New Roman"/>
        </w:rPr>
        <w:t xml:space="preserve">, 173–186. Retrieved from </w:t>
      </w:r>
      <w:hyperlink r:id="rId986" w:history="1">
        <w:r w:rsidRPr="009B0448">
          <w:rPr>
            <w:rStyle w:val="Hyperlink"/>
            <w:rFonts w:ascii="Times New Roman" w:hAnsi="Times New Roman" w:cs="Times New Roman"/>
          </w:rPr>
          <w:t>https://sora.unm.edu/sites/default/files/journals/jrr/v035n03/p00173-p00186.pdf</w:t>
        </w:r>
      </w:hyperlink>
      <w:r w:rsidRPr="009B0448">
        <w:rPr>
          <w:rFonts w:ascii="Times New Roman" w:hAnsi="Times New Roman" w:cs="Times New Roman"/>
        </w:rPr>
        <w:t xml:space="preserve"> </w:t>
      </w:r>
    </w:p>
    <w:p w14:paraId="029096CB"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Thiollay, J. M. (2006a). The decline of raptors in West Africa: Long-term assessment and the role of protected areas. </w:t>
      </w:r>
      <w:r w:rsidRPr="009B0448">
        <w:rPr>
          <w:rFonts w:ascii="Times New Roman" w:hAnsi="Times New Roman" w:cs="Times New Roman"/>
          <w:i/>
        </w:rPr>
        <w:t>Ibis, 148</w:t>
      </w:r>
      <w:r w:rsidRPr="009B0448">
        <w:rPr>
          <w:rFonts w:ascii="Times New Roman" w:hAnsi="Times New Roman" w:cs="Times New Roman"/>
        </w:rPr>
        <w:t xml:space="preserve">, 240–254. </w:t>
      </w:r>
      <w:hyperlink r:id="rId987" w:history="1">
        <w:r w:rsidRPr="009B0448">
          <w:rPr>
            <w:rStyle w:val="Hyperlink"/>
            <w:rFonts w:ascii="Times New Roman" w:hAnsi="Times New Roman" w:cs="Times New Roman"/>
          </w:rPr>
          <w:t>https://doi.org/10.1111/j.1474-919X.2006.00531.x</w:t>
        </w:r>
      </w:hyperlink>
      <w:r w:rsidRPr="009B0448">
        <w:rPr>
          <w:rFonts w:ascii="Times New Roman" w:hAnsi="Times New Roman" w:cs="Times New Roman"/>
        </w:rPr>
        <w:t xml:space="preserve"> </w:t>
      </w:r>
    </w:p>
    <w:p w14:paraId="7FF5A5E9"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Thiollay, J. M. (2006b). Large bird declines with increasing human pressure in savanna woodlands (Burkina Faso). </w:t>
      </w:r>
      <w:r w:rsidRPr="009B0448">
        <w:rPr>
          <w:rFonts w:ascii="Times New Roman" w:hAnsi="Times New Roman" w:cs="Times New Roman"/>
          <w:i/>
        </w:rPr>
        <w:t>Biodiversity Conservation, 15,</w:t>
      </w:r>
      <w:r w:rsidRPr="009B0448">
        <w:rPr>
          <w:rFonts w:ascii="Times New Roman" w:hAnsi="Times New Roman" w:cs="Times New Roman"/>
        </w:rPr>
        <w:t xml:space="preserve"> 2085–2108. </w:t>
      </w:r>
      <w:hyperlink r:id="rId988" w:history="1">
        <w:r w:rsidRPr="009B0448">
          <w:rPr>
            <w:rStyle w:val="Hyperlink"/>
            <w:rFonts w:ascii="Times New Roman" w:hAnsi="Times New Roman" w:cs="Times New Roman"/>
          </w:rPr>
          <w:t>https://doi.org/10.1007/s10531-004-6684-3</w:t>
        </w:r>
      </w:hyperlink>
    </w:p>
    <w:p w14:paraId="0DEAD662"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Thiollay, J. M. (2006c). Severe decline of large birds in the northern Sahel of West Africa: A long-term assessment. </w:t>
      </w:r>
      <w:r w:rsidRPr="009B0448">
        <w:rPr>
          <w:rFonts w:ascii="Times New Roman" w:hAnsi="Times New Roman" w:cs="Times New Roman"/>
          <w:i/>
        </w:rPr>
        <w:t>Bird Conservation International, 16</w:t>
      </w:r>
      <w:r w:rsidRPr="009B0448">
        <w:rPr>
          <w:rFonts w:ascii="Times New Roman" w:hAnsi="Times New Roman" w:cs="Times New Roman"/>
        </w:rPr>
        <w:t xml:space="preserve">, 353–365. </w:t>
      </w:r>
      <w:hyperlink r:id="rId989" w:history="1">
        <w:r w:rsidRPr="009B0448">
          <w:rPr>
            <w:rStyle w:val="Hyperlink"/>
            <w:rFonts w:ascii="Times New Roman" w:hAnsi="Times New Roman" w:cs="Times New Roman"/>
          </w:rPr>
          <w:t>https://doi.org/10.1017/S0959270906000487</w:t>
        </w:r>
      </w:hyperlink>
    </w:p>
    <w:p w14:paraId="052F260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Thornton, P. K. (2010). Livestock production: Recent trends, future prospects</w:t>
      </w:r>
      <w:r w:rsidRPr="009B0448">
        <w:rPr>
          <w:rFonts w:ascii="Times New Roman" w:hAnsi="Times New Roman" w:cs="Times New Roman"/>
          <w:i/>
          <w:color w:val="auto"/>
        </w:rPr>
        <w:t>. Philosophical Transactions of the Royal Society B: Biological Sciences</w:t>
      </w:r>
      <w:r w:rsidRPr="009B0448">
        <w:rPr>
          <w:rFonts w:ascii="Times New Roman" w:hAnsi="Times New Roman" w:cs="Times New Roman"/>
          <w:color w:val="auto"/>
        </w:rPr>
        <w:t xml:space="preserve">, </w:t>
      </w:r>
      <w:r w:rsidRPr="009B0448">
        <w:rPr>
          <w:rFonts w:ascii="Times New Roman" w:hAnsi="Times New Roman" w:cs="Times New Roman"/>
          <w:i/>
          <w:color w:val="auto"/>
        </w:rPr>
        <w:t>365</w:t>
      </w:r>
      <w:r w:rsidRPr="009B0448">
        <w:rPr>
          <w:rFonts w:ascii="Times New Roman" w:hAnsi="Times New Roman" w:cs="Times New Roman"/>
          <w:color w:val="auto"/>
        </w:rPr>
        <w:t xml:space="preserve">(1554), 2853–2867. </w:t>
      </w:r>
      <w:hyperlink r:id="rId990" w:history="1">
        <w:r w:rsidRPr="009B0448">
          <w:rPr>
            <w:rStyle w:val="Hyperlink"/>
            <w:rFonts w:ascii="Times New Roman" w:hAnsi="Times New Roman" w:cs="Times New Roman"/>
          </w:rPr>
          <w:t>https://doi.org/10.1098/rstb.2010.0134</w:t>
        </w:r>
      </w:hyperlink>
    </w:p>
    <w:p w14:paraId="7CD28566"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Timberlake, J., &amp; Chidumayo, E. (2011). </w:t>
      </w:r>
      <w:r w:rsidRPr="009B0448">
        <w:rPr>
          <w:rFonts w:ascii="Times New Roman" w:hAnsi="Times New Roman" w:cs="Times New Roman"/>
          <w:i/>
        </w:rPr>
        <w:t>Miombo ecoregion vision report 2001 (Revised in 2011).</w:t>
      </w:r>
      <w:r w:rsidRPr="009B0448">
        <w:rPr>
          <w:rFonts w:ascii="Times New Roman" w:hAnsi="Times New Roman" w:cs="Times New Roman"/>
        </w:rPr>
        <w:t xml:space="preserve"> Bulawayo, Zimbabwe: Biodiversity Foundation for Africa. Retrieved from </w:t>
      </w:r>
      <w:hyperlink r:id="rId991" w:history="1">
        <w:r w:rsidRPr="009B0448">
          <w:rPr>
            <w:rStyle w:val="Hyperlink"/>
            <w:rFonts w:ascii="Times New Roman" w:hAnsi="Times New Roman" w:cs="Times New Roman"/>
          </w:rPr>
          <w:t>http://www.biodiversityfoundation.org/documents/BFA%20No.20_Miombo%20Ecoregion%20Vision%20report.pdf</w:t>
        </w:r>
      </w:hyperlink>
      <w:r w:rsidRPr="009B0448">
        <w:rPr>
          <w:rFonts w:ascii="Times New Roman" w:hAnsi="Times New Roman" w:cs="Times New Roman"/>
        </w:rPr>
        <w:t xml:space="preserve"> </w:t>
      </w:r>
    </w:p>
    <w:p w14:paraId="3354965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rPr>
        <w:t xml:space="preserve">Timberlake, J., Cotteril, F. P. D., Mundy, P. J., Broadley, D. G., Marshall, B., Gardiner, A. J., &amp; Fitzpatrick, M. (2014). </w:t>
      </w:r>
      <w:r w:rsidRPr="009B0448">
        <w:rPr>
          <w:rFonts w:ascii="Times New Roman" w:hAnsi="Times New Roman" w:cs="Times New Roman"/>
          <w:i/>
        </w:rPr>
        <w:t xml:space="preserve">Miombo ecoregion 2001 (Revised in 2014): Areas of biological importance. </w:t>
      </w:r>
      <w:r w:rsidRPr="009B0448">
        <w:rPr>
          <w:rFonts w:ascii="Times New Roman" w:hAnsi="Times New Roman" w:cs="Times New Roman"/>
        </w:rPr>
        <w:t>Bulawayo, Zimbabwe</w:t>
      </w:r>
      <w:r w:rsidRPr="009B0448">
        <w:rPr>
          <w:rFonts w:ascii="Times New Roman" w:hAnsi="Times New Roman" w:cs="Times New Roman"/>
          <w:color w:val="auto"/>
        </w:rPr>
        <w:t>: Biodiversity Foundation for Africa.</w:t>
      </w:r>
    </w:p>
    <w:p w14:paraId="4F192E7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Turpie, J. (2016). The role of resource economics in the control of invasive alien plants in South Africa. </w:t>
      </w:r>
      <w:r w:rsidRPr="009B0448">
        <w:rPr>
          <w:rFonts w:ascii="Times New Roman" w:hAnsi="Times New Roman" w:cs="Times New Roman"/>
          <w:i/>
          <w:color w:val="auto"/>
        </w:rPr>
        <w:t>South African Journal of Science</w:t>
      </w:r>
      <w:r w:rsidRPr="009B0448">
        <w:rPr>
          <w:rFonts w:ascii="Times New Roman" w:hAnsi="Times New Roman" w:cs="Times New Roman"/>
          <w:color w:val="auto"/>
        </w:rPr>
        <w:t xml:space="preserve">, 87–93. Retrieved from </w:t>
      </w:r>
      <w:hyperlink r:id="rId992" w:history="1">
        <w:r w:rsidRPr="009B0448">
          <w:rPr>
            <w:rStyle w:val="Hyperlink"/>
            <w:rFonts w:ascii="Times New Roman" w:hAnsi="Times New Roman" w:cs="Times New Roman"/>
          </w:rPr>
          <w:t>http://hdl.handle.net/10520/EJC96207</w:t>
        </w:r>
      </w:hyperlink>
      <w:r w:rsidRPr="009B0448">
        <w:rPr>
          <w:rFonts w:ascii="Times New Roman" w:hAnsi="Times New Roman" w:cs="Times New Roman"/>
        </w:rPr>
        <w:t xml:space="preserve"> </w:t>
      </w:r>
    </w:p>
    <w:p w14:paraId="1417C241"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color w:val="auto"/>
        </w:rPr>
        <w:t xml:space="preserve">Ukwe, C., Ibe, C., &amp; Sherman, K. (2006). A sixteen-country mobilization for sustainable fisheries in the Guinea Current Large Marine Ecosystem. </w:t>
      </w:r>
      <w:r w:rsidRPr="009B0448">
        <w:rPr>
          <w:rFonts w:ascii="Times New Roman" w:hAnsi="Times New Roman" w:cs="Times New Roman"/>
          <w:i/>
          <w:color w:val="auto"/>
        </w:rPr>
        <w:t>Ocean and Coastal Management, 49</w:t>
      </w:r>
      <w:r w:rsidRPr="009B0448">
        <w:rPr>
          <w:rFonts w:ascii="Times New Roman" w:hAnsi="Times New Roman" w:cs="Times New Roman"/>
          <w:color w:val="auto"/>
        </w:rPr>
        <w:t xml:space="preserve">, 385–412. </w:t>
      </w:r>
      <w:hyperlink r:id="rId993" w:history="1">
        <w:r w:rsidRPr="009B0448">
          <w:rPr>
            <w:rStyle w:val="Hyperlink"/>
            <w:rFonts w:ascii="Times New Roman" w:hAnsi="Times New Roman" w:cs="Times New Roman"/>
          </w:rPr>
          <w:t>https://doi.org/10.1016/j.ocecoaman.2006.04.006</w:t>
        </w:r>
      </w:hyperlink>
    </w:p>
    <w:p w14:paraId="6E83EE3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 (2005a). </w:t>
      </w:r>
      <w:r w:rsidRPr="009B0448">
        <w:rPr>
          <w:rFonts w:ascii="Times New Roman" w:hAnsi="Times New Roman" w:cs="Times New Roman"/>
          <w:i/>
          <w:color w:val="auto"/>
        </w:rPr>
        <w:t>The Red Sea and Gulf of Aden, GIWA Regional Assessment 48 and 49</w:t>
      </w:r>
      <w:r w:rsidRPr="009B0448">
        <w:rPr>
          <w:rFonts w:ascii="Times New Roman" w:hAnsi="Times New Roman" w:cs="Times New Roman"/>
          <w:color w:val="auto"/>
        </w:rPr>
        <w:t xml:space="preserve">. Kalmar, Sweden: University of Kalmar. Retrieved from </w:t>
      </w:r>
      <w:hyperlink r:id="rId994" w:history="1">
        <w:r w:rsidRPr="009B0448">
          <w:rPr>
            <w:rStyle w:val="Hyperlink"/>
            <w:rFonts w:ascii="Times New Roman" w:hAnsi="Times New Roman" w:cs="Times New Roman"/>
          </w:rPr>
          <w:t>http://www.yemenwater.org/wp-content/uploads/2013/03/Red-Sea-and-Gulf-of-Adengiwa.pdf</w:t>
        </w:r>
      </w:hyperlink>
      <w:r w:rsidRPr="009B0448">
        <w:rPr>
          <w:rFonts w:ascii="Times New Roman" w:hAnsi="Times New Roman" w:cs="Times New Roman"/>
          <w:color w:val="auto"/>
        </w:rPr>
        <w:t xml:space="preserve"> </w:t>
      </w:r>
    </w:p>
    <w:p w14:paraId="56575D9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 (2005b). </w:t>
      </w:r>
      <w:r w:rsidRPr="009B0448">
        <w:rPr>
          <w:rFonts w:ascii="Times New Roman" w:hAnsi="Times New Roman" w:cs="Times New Roman"/>
          <w:i/>
          <w:color w:val="auto"/>
        </w:rPr>
        <w:t>Africa environment outlook 2</w:t>
      </w:r>
      <w:r w:rsidRPr="009B0448">
        <w:rPr>
          <w:rFonts w:ascii="Times New Roman" w:hAnsi="Times New Roman" w:cs="Times New Roman"/>
          <w:color w:val="auto"/>
        </w:rPr>
        <w:t>. Nairobi, Kenya: UNEP. Retrieved from</w:t>
      </w:r>
      <w:r w:rsidRPr="009B0448">
        <w:rPr>
          <w:rFonts w:ascii="Times New Roman" w:hAnsi="Times New Roman" w:cs="Times New Roman"/>
        </w:rPr>
        <w:t xml:space="preserve"> </w:t>
      </w:r>
      <w:hyperlink r:id="rId995" w:history="1">
        <w:r w:rsidRPr="009B0448">
          <w:rPr>
            <w:rStyle w:val="Hyperlink"/>
            <w:rFonts w:ascii="Times New Roman" w:hAnsi="Times New Roman" w:cs="Times New Roman"/>
          </w:rPr>
          <w:t>http://hdl.handle.net/20.500.11822/9626</w:t>
        </w:r>
      </w:hyperlink>
      <w:r w:rsidRPr="009B0448">
        <w:rPr>
          <w:rFonts w:ascii="Times New Roman" w:hAnsi="Times New Roman" w:cs="Times New Roman"/>
          <w:color w:val="auto"/>
        </w:rPr>
        <w:t xml:space="preserve"> </w:t>
      </w:r>
    </w:p>
    <w:p w14:paraId="70AE7C5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 (2007). </w:t>
      </w:r>
      <w:r w:rsidRPr="009B0448">
        <w:rPr>
          <w:rFonts w:ascii="Times New Roman" w:hAnsi="Times New Roman" w:cs="Times New Roman"/>
          <w:i/>
          <w:color w:val="auto"/>
        </w:rPr>
        <w:t>Sudan post-conflict environmental assessment</w:t>
      </w:r>
      <w:r w:rsidRPr="009B0448">
        <w:rPr>
          <w:rFonts w:ascii="Times New Roman" w:hAnsi="Times New Roman" w:cs="Times New Roman"/>
          <w:color w:val="auto"/>
        </w:rPr>
        <w:t>. Nairobi, Kenya: UNEP. Retrieved from</w:t>
      </w:r>
      <w:r w:rsidRPr="009B0448">
        <w:rPr>
          <w:rFonts w:ascii="Times New Roman" w:hAnsi="Times New Roman" w:cs="Times New Roman"/>
        </w:rPr>
        <w:t xml:space="preserve"> </w:t>
      </w:r>
      <w:hyperlink r:id="rId996" w:history="1">
        <w:r w:rsidRPr="009B0448">
          <w:rPr>
            <w:rStyle w:val="Hyperlink"/>
            <w:rFonts w:ascii="Times New Roman" w:hAnsi="Times New Roman" w:cs="Times New Roman"/>
          </w:rPr>
          <w:t>https://postconflict.unep.ch/publications/UNEP_Sudan.pdf</w:t>
        </w:r>
      </w:hyperlink>
      <w:r w:rsidRPr="009B0448">
        <w:rPr>
          <w:rFonts w:ascii="Times New Roman" w:hAnsi="Times New Roman" w:cs="Times New Roman"/>
          <w:color w:val="auto"/>
        </w:rPr>
        <w:t xml:space="preserve"> </w:t>
      </w:r>
    </w:p>
    <w:p w14:paraId="70E4F39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 (2008). </w:t>
      </w:r>
      <w:r w:rsidRPr="009B0448">
        <w:rPr>
          <w:rFonts w:ascii="Times New Roman" w:hAnsi="Times New Roman" w:cs="Times New Roman"/>
          <w:i/>
          <w:color w:val="auto"/>
        </w:rPr>
        <w:t>Africa:</w:t>
      </w:r>
      <w:r w:rsidRPr="009B0448">
        <w:rPr>
          <w:rFonts w:ascii="Times New Roman" w:hAnsi="Times New Roman" w:cs="Times New Roman"/>
          <w:color w:val="auto"/>
        </w:rPr>
        <w:t xml:space="preserve"> </w:t>
      </w:r>
      <w:r w:rsidRPr="009B0448">
        <w:rPr>
          <w:rFonts w:ascii="Times New Roman" w:hAnsi="Times New Roman" w:cs="Times New Roman"/>
          <w:i/>
          <w:color w:val="auto"/>
        </w:rPr>
        <w:t>Atlas of our changing environment</w:t>
      </w:r>
      <w:r w:rsidRPr="009B0448">
        <w:rPr>
          <w:rFonts w:ascii="Times New Roman" w:hAnsi="Times New Roman" w:cs="Times New Roman"/>
          <w:color w:val="auto"/>
        </w:rPr>
        <w:t>. Nairobi, Kenya: UNEP. Retrieved from</w:t>
      </w:r>
      <w:r w:rsidRPr="009B0448">
        <w:rPr>
          <w:rFonts w:ascii="Times New Roman" w:hAnsi="Times New Roman" w:cs="Times New Roman"/>
        </w:rPr>
        <w:t xml:space="preserve"> </w:t>
      </w:r>
      <w:hyperlink r:id="rId997" w:history="1">
        <w:r w:rsidRPr="009B0448">
          <w:rPr>
            <w:rStyle w:val="Hyperlink"/>
            <w:rFonts w:ascii="Times New Roman" w:hAnsi="Times New Roman" w:cs="Times New Roman"/>
          </w:rPr>
          <w:t>http://hdl.handle.net/20.500.11822/7717</w:t>
        </w:r>
      </w:hyperlink>
      <w:r w:rsidRPr="009B0448">
        <w:rPr>
          <w:rFonts w:ascii="Times New Roman" w:hAnsi="Times New Roman" w:cs="Times New Roman"/>
          <w:color w:val="auto"/>
        </w:rPr>
        <w:t xml:space="preserve"> </w:t>
      </w:r>
    </w:p>
    <w:p w14:paraId="1A60D320" w14:textId="77777777" w:rsidR="009B0448" w:rsidRPr="009B0448" w:rsidRDefault="009B0448" w:rsidP="009B0448">
      <w:pPr>
        <w:spacing w:after="120" w:line="276" w:lineRule="auto"/>
        <w:rPr>
          <w:rFonts w:ascii="Times New Roman" w:hAnsi="Times New Roman" w:cs="Times New Roman"/>
          <w:color w:val="auto"/>
        </w:rPr>
      </w:pPr>
      <w:r w:rsidRPr="009B0448">
        <w:rPr>
          <w:rFonts w:ascii="Times New Roman" w:hAnsi="Times New Roman" w:cs="Times New Roman"/>
          <w:color w:val="auto"/>
        </w:rPr>
        <w:t xml:space="preserve">UNEP. (2013). </w:t>
      </w:r>
      <w:r w:rsidRPr="009B0448">
        <w:rPr>
          <w:rFonts w:ascii="Times New Roman" w:hAnsi="Times New Roman" w:cs="Times New Roman"/>
          <w:i/>
          <w:color w:val="auto"/>
        </w:rPr>
        <w:t>Africa environment outlook 3, authors’guide</w:t>
      </w:r>
      <w:r w:rsidRPr="009B0448">
        <w:rPr>
          <w:rFonts w:ascii="Times New Roman" w:hAnsi="Times New Roman" w:cs="Times New Roman"/>
          <w:color w:val="auto"/>
        </w:rPr>
        <w:t>. Nairobi, Kenya: UNEP. Retrieved from</w:t>
      </w:r>
      <w:r w:rsidRPr="009B0448">
        <w:rPr>
          <w:rFonts w:ascii="Times New Roman" w:hAnsi="Times New Roman" w:cs="Times New Roman"/>
        </w:rPr>
        <w:t xml:space="preserve"> </w:t>
      </w:r>
      <w:hyperlink r:id="rId998" w:history="1">
        <w:r w:rsidRPr="009B0448">
          <w:rPr>
            <w:rStyle w:val="Hyperlink"/>
            <w:rFonts w:ascii="Times New Roman" w:hAnsi="Times New Roman" w:cs="Times New Roman"/>
          </w:rPr>
          <w:t>http://www.grida.no/publications/204</w:t>
        </w:r>
      </w:hyperlink>
      <w:r w:rsidRPr="009B0448">
        <w:rPr>
          <w:rFonts w:ascii="Times New Roman" w:hAnsi="Times New Roman" w:cs="Times New Roman"/>
          <w:color w:val="auto"/>
        </w:rPr>
        <w:t xml:space="preserve"> </w:t>
      </w:r>
    </w:p>
    <w:p w14:paraId="0F90373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 (2014). </w:t>
      </w:r>
      <w:r w:rsidRPr="009B0448">
        <w:rPr>
          <w:rFonts w:ascii="Times New Roman" w:hAnsi="Times New Roman" w:cs="Times New Roman"/>
          <w:i/>
          <w:color w:val="auto"/>
        </w:rPr>
        <w:t>African mountains atlas</w:t>
      </w:r>
      <w:r w:rsidRPr="009B0448">
        <w:rPr>
          <w:rFonts w:ascii="Times New Roman" w:hAnsi="Times New Roman" w:cs="Times New Roman"/>
          <w:color w:val="auto"/>
        </w:rPr>
        <w:t xml:space="preserve">. Nairobi, Kenya: UNEP. Retrieved from </w:t>
      </w:r>
      <w:hyperlink r:id="rId999" w:history="1">
        <w:r w:rsidRPr="009B0448">
          <w:rPr>
            <w:rStyle w:val="Hyperlink"/>
            <w:rFonts w:ascii="Times New Roman" w:hAnsi="Times New Roman" w:cs="Times New Roman"/>
          </w:rPr>
          <w:t>http://hdl.handle.net/20.500.11822/9301</w:t>
        </w:r>
      </w:hyperlink>
      <w:r w:rsidRPr="009B0448">
        <w:rPr>
          <w:rFonts w:ascii="Times New Roman" w:hAnsi="Times New Roman" w:cs="Times New Roman"/>
          <w:color w:val="auto"/>
        </w:rPr>
        <w:t xml:space="preserve"> </w:t>
      </w:r>
    </w:p>
    <w:p w14:paraId="2AA1E7A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 &amp; AMCEN. (2002). </w:t>
      </w:r>
      <w:r w:rsidRPr="009B0448">
        <w:rPr>
          <w:rFonts w:ascii="Times New Roman" w:hAnsi="Times New Roman" w:cs="Times New Roman"/>
          <w:i/>
          <w:color w:val="auto"/>
        </w:rPr>
        <w:t>Africa environment outlook. Past, present and future perspectives</w:t>
      </w:r>
      <w:r w:rsidRPr="009B0448">
        <w:rPr>
          <w:rFonts w:ascii="Times New Roman" w:hAnsi="Times New Roman" w:cs="Times New Roman"/>
          <w:color w:val="auto"/>
        </w:rPr>
        <w:t>. Oregon, USA: Earthprint. Retrieved from</w:t>
      </w:r>
      <w:r w:rsidRPr="009B0448">
        <w:rPr>
          <w:rFonts w:ascii="Times New Roman" w:hAnsi="Times New Roman" w:cs="Times New Roman"/>
        </w:rPr>
        <w:t xml:space="preserve"> </w:t>
      </w:r>
      <w:hyperlink r:id="rId1000" w:history="1">
        <w:r w:rsidRPr="009B0448">
          <w:rPr>
            <w:rStyle w:val="Hyperlink"/>
            <w:rFonts w:ascii="Times New Roman" w:hAnsi="Times New Roman" w:cs="Times New Roman"/>
          </w:rPr>
          <w:t>http://www.grida.no/publications/80</w:t>
        </w:r>
      </w:hyperlink>
      <w:r w:rsidRPr="009B0448">
        <w:rPr>
          <w:rFonts w:ascii="Times New Roman" w:hAnsi="Times New Roman" w:cs="Times New Roman"/>
          <w:color w:val="auto"/>
        </w:rPr>
        <w:t xml:space="preserve"> </w:t>
      </w:r>
    </w:p>
    <w:p w14:paraId="203FF85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UNEP-WCMC. (2008). </w:t>
      </w:r>
      <w:r w:rsidRPr="009B0448">
        <w:rPr>
          <w:rFonts w:ascii="Times New Roman" w:hAnsi="Times New Roman" w:cs="Times New Roman"/>
          <w:i/>
          <w:color w:val="auto"/>
        </w:rPr>
        <w:t>State of the world’s protected areas: An annual review of global conservation progress</w:t>
      </w:r>
      <w:r w:rsidRPr="009B0448">
        <w:rPr>
          <w:rFonts w:ascii="Times New Roman" w:hAnsi="Times New Roman" w:cs="Times New Roman"/>
          <w:color w:val="auto"/>
        </w:rPr>
        <w:t>. Cambridge, UK: UNEP-WCMC. Retrieved from</w:t>
      </w:r>
      <w:r w:rsidRPr="009B0448">
        <w:rPr>
          <w:rFonts w:ascii="Times New Roman" w:hAnsi="Times New Roman" w:cs="Times New Roman"/>
        </w:rPr>
        <w:t xml:space="preserve"> </w:t>
      </w:r>
      <w:hyperlink r:id="rId1001" w:history="1">
        <w:r w:rsidRPr="009B0448">
          <w:rPr>
            <w:rStyle w:val="Hyperlink"/>
            <w:rFonts w:ascii="Times New Roman" w:hAnsi="Times New Roman" w:cs="Times New Roman"/>
          </w:rPr>
          <w:t>https://www.unep-wcmc.org/resources-and-data/state-of-the-worlds-protected-areas-2007</w:t>
        </w:r>
      </w:hyperlink>
      <w:r w:rsidRPr="009B0448">
        <w:rPr>
          <w:rFonts w:ascii="Times New Roman" w:hAnsi="Times New Roman" w:cs="Times New Roman"/>
          <w:color w:val="auto"/>
        </w:rPr>
        <w:t xml:space="preserve"> </w:t>
      </w:r>
    </w:p>
    <w:p w14:paraId="5127B85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UNEP-WCMC, &amp; IUCN. (2016). </w:t>
      </w:r>
      <w:r w:rsidRPr="009B0448">
        <w:rPr>
          <w:rFonts w:ascii="Times New Roman" w:hAnsi="Times New Roman" w:cs="Times New Roman"/>
          <w:i/>
          <w:color w:val="auto"/>
        </w:rPr>
        <w:t>Protected planet report 2016</w:t>
      </w:r>
      <w:r w:rsidRPr="009B0448">
        <w:rPr>
          <w:rFonts w:ascii="Times New Roman" w:hAnsi="Times New Roman" w:cs="Times New Roman"/>
          <w:color w:val="auto"/>
        </w:rPr>
        <w:t>. Cambridge, UK: UNEP-WCMC. Retrieved from</w:t>
      </w:r>
      <w:r w:rsidRPr="009B0448">
        <w:rPr>
          <w:rFonts w:ascii="Times New Roman" w:hAnsi="Times New Roman" w:cs="Times New Roman"/>
        </w:rPr>
        <w:t xml:space="preserve"> </w:t>
      </w:r>
      <w:hyperlink r:id="rId1002" w:history="1">
        <w:r w:rsidRPr="009B0448">
          <w:rPr>
            <w:rStyle w:val="Hyperlink"/>
            <w:rFonts w:ascii="Times New Roman" w:hAnsi="Times New Roman" w:cs="Times New Roman"/>
          </w:rPr>
          <w:t>https://www.protectedplanet.net/c/protected-planet-report-2016</w:t>
        </w:r>
      </w:hyperlink>
      <w:r w:rsidRPr="009B0448">
        <w:rPr>
          <w:rFonts w:ascii="Times New Roman" w:hAnsi="Times New Roman" w:cs="Times New Roman"/>
          <w:color w:val="auto"/>
        </w:rPr>
        <w:t xml:space="preserve"> </w:t>
      </w:r>
    </w:p>
    <w:p w14:paraId="7BD7B00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UNEP-WCMC. (2016). </w:t>
      </w:r>
      <w:r w:rsidRPr="009B0448">
        <w:rPr>
          <w:rFonts w:ascii="Times New Roman" w:hAnsi="Times New Roman" w:cs="Times New Roman"/>
          <w:i/>
          <w:color w:val="auto"/>
        </w:rPr>
        <w:t>The state of biodiversity in Africa: A mid-term review of progress towards the Aichi Biodiversity Targets</w:t>
      </w:r>
      <w:r w:rsidRPr="009B0448">
        <w:rPr>
          <w:rFonts w:ascii="Times New Roman" w:hAnsi="Times New Roman" w:cs="Times New Roman"/>
          <w:color w:val="auto"/>
        </w:rPr>
        <w:t xml:space="preserve">. Cambridge, UK: Retrieved from </w:t>
      </w:r>
      <w:hyperlink r:id="rId1003" w:history="1">
        <w:r w:rsidRPr="009B0448">
          <w:rPr>
            <w:rStyle w:val="Hyperlink"/>
            <w:rFonts w:ascii="Times New Roman" w:hAnsi="Times New Roman" w:cs="Times New Roman"/>
          </w:rPr>
          <w:t>http://hdl.handle.net/20.500.11822/9944</w:t>
        </w:r>
      </w:hyperlink>
      <w:r w:rsidRPr="009B0448">
        <w:rPr>
          <w:rFonts w:ascii="Times New Roman" w:hAnsi="Times New Roman" w:cs="Times New Roman"/>
          <w:color w:val="auto"/>
        </w:rPr>
        <w:t xml:space="preserve"> </w:t>
      </w:r>
    </w:p>
    <w:p w14:paraId="1C89E9BF"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UNEP-WCMC, &amp; IUCN. (2017). </w:t>
      </w:r>
      <w:r w:rsidRPr="009B0448">
        <w:rPr>
          <w:rFonts w:ascii="Times New Roman" w:hAnsi="Times New Roman" w:cs="Times New Roman"/>
          <w:i/>
          <w:color w:val="auto"/>
        </w:rPr>
        <w:t>Protected planet</w:t>
      </w:r>
      <w:r w:rsidRPr="009B0448">
        <w:rPr>
          <w:rFonts w:ascii="Times New Roman" w:hAnsi="Times New Roman" w:cs="Times New Roman"/>
          <w:color w:val="auto"/>
        </w:rPr>
        <w:t>. Cambridge, UK: UNEP-WCMC. Retrieved from</w:t>
      </w:r>
      <w:r w:rsidRPr="009B0448">
        <w:rPr>
          <w:rFonts w:ascii="Times New Roman" w:hAnsi="Times New Roman" w:cs="Times New Roman"/>
        </w:rPr>
        <w:t xml:space="preserve"> </w:t>
      </w:r>
      <w:hyperlink r:id="rId1004" w:history="1">
        <w:r w:rsidRPr="009B0448">
          <w:rPr>
            <w:rStyle w:val="Hyperlink"/>
            <w:rFonts w:ascii="Times New Roman" w:hAnsi="Times New Roman" w:cs="Times New Roman"/>
          </w:rPr>
          <w:t>https://www.protectedplanet.net/</w:t>
        </w:r>
      </w:hyperlink>
      <w:r w:rsidRPr="009B0448">
        <w:rPr>
          <w:rFonts w:ascii="Times New Roman" w:hAnsi="Times New Roman" w:cs="Times New Roman"/>
          <w:color w:val="auto"/>
        </w:rPr>
        <w:t xml:space="preserve"> </w:t>
      </w:r>
    </w:p>
    <w:p w14:paraId="71D9042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UNESCO. (2010). </w:t>
      </w:r>
      <w:r w:rsidRPr="009B0448">
        <w:rPr>
          <w:rFonts w:ascii="Times New Roman" w:hAnsi="Times New Roman" w:cs="Times New Roman"/>
          <w:i/>
          <w:color w:val="auto"/>
        </w:rPr>
        <w:t>World heritage in the Congo Bassin</w:t>
      </w:r>
      <w:r w:rsidRPr="009B0448">
        <w:rPr>
          <w:rFonts w:ascii="Times New Roman" w:hAnsi="Times New Roman" w:cs="Times New Roman"/>
          <w:color w:val="auto"/>
        </w:rPr>
        <w:t xml:space="preserve">. Paris, France: UNESCO. Retrieved from </w:t>
      </w:r>
      <w:hyperlink r:id="rId1005" w:history="1">
        <w:r w:rsidRPr="009B0448">
          <w:rPr>
            <w:rStyle w:val="Hyperlink"/>
            <w:rFonts w:ascii="Times New Roman" w:hAnsi="Times New Roman" w:cs="Times New Roman"/>
          </w:rPr>
          <w:t>https://whc.unesco.org/en/activities/628/</w:t>
        </w:r>
      </w:hyperlink>
      <w:r w:rsidRPr="009B0448">
        <w:rPr>
          <w:rFonts w:ascii="Times New Roman" w:hAnsi="Times New Roman" w:cs="Times New Roman"/>
        </w:rPr>
        <w:t xml:space="preserve"> </w:t>
      </w:r>
    </w:p>
    <w:p w14:paraId="2D8115C0" w14:textId="77777777" w:rsidR="009B0448" w:rsidRPr="009B0448" w:rsidRDefault="009B0448" w:rsidP="009B0448">
      <w:pPr>
        <w:spacing w:after="120" w:line="276" w:lineRule="auto"/>
        <w:ind w:left="567" w:hanging="567"/>
        <w:rPr>
          <w:rFonts w:ascii="Times New Roman" w:hAnsi="Times New Roman" w:cs="Times New Roman"/>
          <w:color w:val="0070C0"/>
        </w:rPr>
      </w:pPr>
      <w:r w:rsidRPr="009B0448">
        <w:rPr>
          <w:rFonts w:ascii="Times New Roman" w:hAnsi="Times New Roman" w:cs="Times New Roman"/>
          <w:color w:val="auto"/>
          <w:lang w:val="de-DE"/>
        </w:rPr>
        <w:t xml:space="preserve">UN-Habitat. (2010). </w:t>
      </w:r>
      <w:r w:rsidRPr="009B0448">
        <w:rPr>
          <w:rFonts w:ascii="Times New Roman" w:hAnsi="Times New Roman" w:cs="Times New Roman"/>
          <w:i/>
          <w:color w:val="auto"/>
          <w:lang w:val="de-DE"/>
        </w:rPr>
        <w:t>UN-Habitat annual Report 2010</w:t>
      </w:r>
      <w:r w:rsidRPr="009B0448">
        <w:rPr>
          <w:rFonts w:ascii="Times New Roman" w:hAnsi="Times New Roman" w:cs="Times New Roman"/>
          <w:color w:val="auto"/>
          <w:lang w:val="de-DE"/>
        </w:rPr>
        <w:t xml:space="preserve">. Nairobi, Kenya: UN-Habitat. Retrieved from </w:t>
      </w:r>
      <w:hyperlink r:id="rId1006" w:history="1">
        <w:r w:rsidRPr="009B0448">
          <w:rPr>
            <w:rStyle w:val="Hyperlink"/>
            <w:rFonts w:ascii="Times New Roman" w:hAnsi="Times New Roman" w:cs="Times New Roman"/>
            <w:color w:val="0070C0"/>
          </w:rPr>
          <w:t>https://unhabitat.org/un-habitat-annual-report-2010/</w:t>
        </w:r>
      </w:hyperlink>
    </w:p>
    <w:p w14:paraId="4C2C289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van Jaarsveld, A., Biggs, R., Scholes, R., Bohensky, E., Reyers, B., Lynam, T., Musvoto, C., &amp; Fabricius, C. (2005). Measuring conditions and trends in ecosystem services at multiple scales: the Southern African Millennium Ecosystem Assessment (SAfMA) experience. </w:t>
      </w:r>
      <w:r w:rsidRPr="009B0448">
        <w:rPr>
          <w:rFonts w:ascii="Times New Roman" w:hAnsi="Times New Roman" w:cs="Times New Roman"/>
          <w:i/>
          <w:color w:val="auto"/>
        </w:rPr>
        <w:t>Philosophical Transactions of the Royal Society B: Biological Sciences, 360</w:t>
      </w:r>
      <w:r w:rsidRPr="009B0448">
        <w:rPr>
          <w:rFonts w:ascii="Times New Roman" w:hAnsi="Times New Roman" w:cs="Times New Roman"/>
          <w:color w:val="auto"/>
        </w:rPr>
        <w:t xml:space="preserve">(1454), 425–441. </w:t>
      </w:r>
      <w:hyperlink r:id="rId1007" w:history="1">
        <w:r w:rsidRPr="009B0448">
          <w:rPr>
            <w:rStyle w:val="Hyperlink"/>
            <w:rFonts w:ascii="Times New Roman" w:hAnsi="Times New Roman" w:cs="Times New Roman"/>
          </w:rPr>
          <w:t>https://doi.org/10.1098/rstb.2004.1594</w:t>
        </w:r>
      </w:hyperlink>
    </w:p>
    <w:p w14:paraId="551EDBE9"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van Rooyen, N. (1999). Kalahari. In J. Knobel (Ed.), </w:t>
      </w:r>
      <w:r w:rsidRPr="009B0448">
        <w:rPr>
          <w:rFonts w:ascii="Times New Roman" w:hAnsi="Times New Roman" w:cs="Times New Roman"/>
          <w:i/>
          <w:color w:val="auto"/>
        </w:rPr>
        <w:t>The magnificent natural heritage of South Africa</w:t>
      </w:r>
      <w:r w:rsidRPr="009B0448">
        <w:rPr>
          <w:rFonts w:ascii="Times New Roman" w:hAnsi="Times New Roman" w:cs="Times New Roman"/>
          <w:color w:val="auto"/>
        </w:rPr>
        <w:t xml:space="preserve">. Cape Town, South Africa: Sunbird Publishing. </w:t>
      </w:r>
    </w:p>
    <w:p w14:paraId="1BE7616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van Vliet, J., Eitelberg, D. A., &amp; Verburg, P. H. (2017). </w:t>
      </w:r>
      <w:r w:rsidRPr="009B0448">
        <w:rPr>
          <w:rFonts w:ascii="Times New Roman" w:hAnsi="Times New Roman" w:cs="Times New Roman"/>
          <w:color w:val="auto"/>
        </w:rPr>
        <w:t xml:space="preserve">A global analysis of land take in cropland areas and production displacement from urbanization, </w:t>
      </w:r>
      <w:r w:rsidRPr="009B0448">
        <w:rPr>
          <w:rFonts w:ascii="Times New Roman" w:hAnsi="Times New Roman" w:cs="Times New Roman"/>
          <w:i/>
          <w:color w:val="auto"/>
        </w:rPr>
        <w:t>Global Environmental Change, 43</w:t>
      </w:r>
      <w:r w:rsidRPr="009B0448">
        <w:rPr>
          <w:rFonts w:ascii="Times New Roman" w:hAnsi="Times New Roman" w:cs="Times New Roman"/>
          <w:color w:val="auto"/>
        </w:rPr>
        <w:t xml:space="preserve">, 107–115. </w:t>
      </w:r>
      <w:hyperlink r:id="rId1008" w:history="1">
        <w:r w:rsidRPr="009B0448">
          <w:rPr>
            <w:rStyle w:val="Hyperlink"/>
            <w:rFonts w:ascii="Times New Roman" w:hAnsi="Times New Roman" w:cs="Times New Roman"/>
          </w:rPr>
          <w:t>https://doi.org/10.1016/j.gloenvcha.2017.02.001</w:t>
        </w:r>
      </w:hyperlink>
    </w:p>
    <w:p w14:paraId="169135A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van Wyk, B., Van Oudtshoorn, B., &amp; Gericke, N. (1997). </w:t>
      </w:r>
      <w:r w:rsidRPr="009B0448">
        <w:rPr>
          <w:rFonts w:ascii="Times New Roman" w:hAnsi="Times New Roman" w:cs="Times New Roman"/>
          <w:i/>
          <w:color w:val="auto"/>
        </w:rPr>
        <w:t>Medicinal plants of southern Africa</w:t>
      </w:r>
      <w:r w:rsidRPr="009B0448">
        <w:rPr>
          <w:rFonts w:ascii="Times New Roman" w:hAnsi="Times New Roman" w:cs="Times New Roman"/>
          <w:color w:val="auto"/>
        </w:rPr>
        <w:t>. Pretoria, South Africa: Briza.</w:t>
      </w:r>
    </w:p>
    <w:p w14:paraId="5BC494E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van Wyk, B., &amp; Gericke, N. (2000). </w:t>
      </w:r>
      <w:r w:rsidRPr="009B0448">
        <w:rPr>
          <w:rFonts w:ascii="Times New Roman" w:hAnsi="Times New Roman" w:cs="Times New Roman"/>
          <w:i/>
          <w:color w:val="auto"/>
        </w:rPr>
        <w:t>People's plants: A Guide to useful plants of South Africa</w:t>
      </w:r>
      <w:r w:rsidRPr="009B0448">
        <w:rPr>
          <w:rFonts w:ascii="Times New Roman" w:hAnsi="Times New Roman" w:cs="Times New Roman"/>
          <w:color w:val="auto"/>
        </w:rPr>
        <w:t xml:space="preserve">. Pretoria, South Africa: Briza. </w:t>
      </w:r>
    </w:p>
    <w:p w14:paraId="1F9102B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Vande weghe, J. P. (1988a). Distribution of central African montane forest birds: Preliminary observations. In G. C. Bakchurst, (Ed.), </w:t>
      </w:r>
      <w:r w:rsidRPr="009B0448">
        <w:rPr>
          <w:rFonts w:ascii="Times New Roman" w:hAnsi="Times New Roman" w:cs="Times New Roman"/>
          <w:i/>
          <w:color w:val="auto"/>
        </w:rPr>
        <w:t>Proceedings Sixth Pan-African Ornithological Congress</w:t>
      </w:r>
      <w:r w:rsidRPr="009B0448">
        <w:rPr>
          <w:rFonts w:ascii="Times New Roman" w:hAnsi="Times New Roman" w:cs="Times New Roman"/>
          <w:color w:val="auto"/>
        </w:rPr>
        <w:t xml:space="preserve"> (pp. 195–204). Nairobi, Kenya: PAOC.</w:t>
      </w:r>
    </w:p>
    <w:p w14:paraId="1922D59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Vande weghe, J. P. (1988b). </w:t>
      </w:r>
      <w:r w:rsidRPr="009B0448">
        <w:rPr>
          <w:rFonts w:ascii="Times New Roman" w:hAnsi="Times New Roman" w:cs="Times New Roman"/>
          <w:color w:val="auto"/>
        </w:rPr>
        <w:t xml:space="preserve">Distributional ecology of montane forest birds: Ideas for further research. In L. Bennun (Ed.), </w:t>
      </w:r>
      <w:r w:rsidRPr="009B0448">
        <w:rPr>
          <w:rFonts w:ascii="Times New Roman" w:hAnsi="Times New Roman" w:cs="Times New Roman"/>
          <w:i/>
          <w:color w:val="auto"/>
        </w:rPr>
        <w:t>Proceedings Seventh Pan-African Ornithological Congress</w:t>
      </w:r>
      <w:r w:rsidRPr="009B0448">
        <w:rPr>
          <w:rFonts w:ascii="Times New Roman" w:hAnsi="Times New Roman" w:cs="Times New Roman"/>
          <w:color w:val="auto"/>
        </w:rPr>
        <w:t xml:space="preserve"> (pp. 469–474). Nairobi, Kenya: Pentecostal Assemblies of Canada. </w:t>
      </w:r>
    </w:p>
    <w:p w14:paraId="6867EB66"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Veron, J. E. N., Hoegh-Guldberg, O., Lenton, T. M., Lough, J. M., Obura, D. O., Pearce-Kelly, P., Sheppard, C. R., Spalding, M., Staffoed-Smith, M. G., &amp; Rogers, A. D. (2009). The coral reef crisis: The critical importance of &lt; 350 ppm CO</w:t>
      </w:r>
      <w:r w:rsidRPr="009B0448">
        <w:rPr>
          <w:rFonts w:ascii="Times New Roman" w:hAnsi="Times New Roman" w:cs="Times New Roman"/>
          <w:vertAlign w:val="subscript"/>
        </w:rPr>
        <w:t>2</w:t>
      </w:r>
      <w:r w:rsidRPr="009B0448">
        <w:rPr>
          <w:rFonts w:ascii="Times New Roman" w:hAnsi="Times New Roman" w:cs="Times New Roman"/>
        </w:rPr>
        <w:t xml:space="preserve">. </w:t>
      </w:r>
      <w:r w:rsidRPr="009B0448">
        <w:rPr>
          <w:rFonts w:ascii="Times New Roman" w:hAnsi="Times New Roman" w:cs="Times New Roman"/>
          <w:i/>
        </w:rPr>
        <w:t>Marine Pollution Bulletin, 58</w:t>
      </w:r>
      <w:r w:rsidRPr="009B0448">
        <w:rPr>
          <w:rFonts w:ascii="Times New Roman" w:hAnsi="Times New Roman" w:cs="Times New Roman"/>
        </w:rPr>
        <w:t>(10), 1428</w:t>
      </w:r>
      <w:r w:rsidRPr="009B0448">
        <w:rPr>
          <w:rFonts w:ascii="Times New Roman" w:hAnsi="Times New Roman" w:cs="Times New Roman"/>
          <w:color w:val="auto"/>
        </w:rPr>
        <w:t xml:space="preserve">–1436. </w:t>
      </w:r>
      <w:hyperlink r:id="rId1009" w:history="1">
        <w:r w:rsidRPr="009B0448">
          <w:rPr>
            <w:rStyle w:val="Hyperlink"/>
            <w:rFonts w:ascii="Times New Roman" w:hAnsi="Times New Roman" w:cs="Times New Roman"/>
          </w:rPr>
          <w:t>https://doi.org/10.1016/j.marpolbul.2009.09.009</w:t>
        </w:r>
      </w:hyperlink>
      <w:r w:rsidRPr="009B0448">
        <w:rPr>
          <w:rFonts w:ascii="Times New Roman" w:hAnsi="Times New Roman" w:cs="Times New Roman"/>
        </w:rPr>
        <w:t xml:space="preserve"> </w:t>
      </w:r>
    </w:p>
    <w:p w14:paraId="75BE8C15"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Villiers, A. (1965). Hemiptères Reduviides, Phymatides et Henicocephalides de Côte d’Ivoire. </w:t>
      </w:r>
      <w:r w:rsidRPr="009B0448">
        <w:rPr>
          <w:rFonts w:ascii="Times New Roman" w:hAnsi="Times New Roman" w:cs="Times New Roman"/>
          <w:i/>
          <w:color w:val="auto"/>
        </w:rPr>
        <w:t>Bulletin de l'Institut français d'Afrique noire Series A, 27</w:t>
      </w:r>
      <w:r w:rsidRPr="009B0448">
        <w:rPr>
          <w:rFonts w:ascii="Times New Roman" w:hAnsi="Times New Roman" w:cs="Times New Roman"/>
          <w:color w:val="auto"/>
        </w:rPr>
        <w:t>(3), P</w:t>
      </w:r>
      <w:r w:rsidRPr="009B0448">
        <w:rPr>
          <w:rFonts w:ascii="Times New Roman" w:hAnsi="Times New Roman" w:cs="Times New Roman"/>
          <w:i/>
          <w:color w:val="auto"/>
        </w:rPr>
        <w:t>hymatidae, 1175</w:t>
      </w:r>
      <w:r w:rsidRPr="009B0448">
        <w:rPr>
          <w:rFonts w:ascii="Times New Roman" w:hAnsi="Times New Roman" w:cs="Times New Roman"/>
          <w:color w:val="auto"/>
        </w:rPr>
        <w:t>, 22–24.</w:t>
      </w:r>
    </w:p>
    <w:p w14:paraId="2A10EE4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Virani, M. Z., Njoroge, P., &amp; Gordon, I. (2010). Disconcerting trends in populations of the endangered Sokoke Scops Owl </w:t>
      </w:r>
      <w:r w:rsidRPr="009B0448">
        <w:rPr>
          <w:rFonts w:ascii="Times New Roman" w:hAnsi="Times New Roman" w:cs="Times New Roman"/>
          <w:i/>
          <w:color w:val="auto"/>
        </w:rPr>
        <w:t>Otus ireneae</w:t>
      </w:r>
      <w:r w:rsidRPr="009B0448">
        <w:rPr>
          <w:rFonts w:ascii="Times New Roman" w:hAnsi="Times New Roman" w:cs="Times New Roman"/>
          <w:color w:val="auto"/>
        </w:rPr>
        <w:t xml:space="preserve"> in the Arabuko-Sokoke Forest, Kenya. </w:t>
      </w:r>
      <w:r w:rsidRPr="009B0448">
        <w:rPr>
          <w:rFonts w:ascii="Times New Roman" w:hAnsi="Times New Roman" w:cs="Times New Roman"/>
          <w:i/>
          <w:color w:val="auto"/>
        </w:rPr>
        <w:t>Ostrich, 81</w:t>
      </w:r>
      <w:r w:rsidRPr="009B0448">
        <w:rPr>
          <w:rFonts w:ascii="Times New Roman" w:hAnsi="Times New Roman" w:cs="Times New Roman"/>
          <w:color w:val="auto"/>
        </w:rPr>
        <w:t xml:space="preserve">(2), 155–158. </w:t>
      </w:r>
      <w:hyperlink r:id="rId1010" w:history="1">
        <w:r w:rsidRPr="009B0448">
          <w:rPr>
            <w:rStyle w:val="Hyperlink"/>
            <w:rFonts w:ascii="Times New Roman" w:hAnsi="Times New Roman" w:cs="Times New Roman"/>
          </w:rPr>
          <w:t>https://doi.org/10.2989/00306525.2010.488429</w:t>
        </w:r>
      </w:hyperlink>
      <w:r w:rsidRPr="009B0448">
        <w:rPr>
          <w:rFonts w:ascii="Times New Roman" w:hAnsi="Times New Roman" w:cs="Times New Roman"/>
          <w:color w:val="auto"/>
        </w:rPr>
        <w:t xml:space="preserve"> </w:t>
      </w:r>
    </w:p>
    <w:p w14:paraId="6691DBF4"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Walsh, P. D., Abernethy, K. A., Bermejo, M., Beyers, R., De Wachter, P., Akou, M. E., Huijbregts, B.,  Mambounga, D. I., Toham, A. K., Kilbourn, A. M., Lahm, S. A., Latour, S., Maisels, F., Mbina, C., Mihindou, Y., Obiang, S. N., Effa, E. N., Starkey, M. P., Telfer, P., Thibault, M., Tutin, C. E. G., White, L. J. T., &amp; Wilkie, D. S. (2003). </w:t>
      </w:r>
      <w:r w:rsidRPr="009B0448">
        <w:rPr>
          <w:rFonts w:ascii="Times New Roman" w:hAnsi="Times New Roman" w:cs="Times New Roman"/>
          <w:color w:val="auto"/>
        </w:rPr>
        <w:t xml:space="preserve">Catastrophic ape decline in western equatorial Africa. </w:t>
      </w:r>
      <w:r w:rsidRPr="009B0448">
        <w:rPr>
          <w:rFonts w:ascii="Times New Roman" w:hAnsi="Times New Roman" w:cs="Times New Roman"/>
          <w:i/>
          <w:color w:val="auto"/>
        </w:rPr>
        <w:t>Nature, 422</w:t>
      </w:r>
      <w:r w:rsidRPr="009B0448">
        <w:rPr>
          <w:rFonts w:ascii="Times New Roman" w:hAnsi="Times New Roman" w:cs="Times New Roman"/>
          <w:color w:val="auto"/>
        </w:rPr>
        <w:t xml:space="preserve">, 611–614. </w:t>
      </w:r>
      <w:hyperlink r:id="rId1011" w:history="1">
        <w:r w:rsidRPr="009B0448">
          <w:rPr>
            <w:rStyle w:val="Hyperlink"/>
            <w:rFonts w:ascii="Times New Roman" w:hAnsi="Times New Roman" w:cs="Times New Roman"/>
          </w:rPr>
          <w:t>https://doi.org/10.1038/nature01566</w:t>
        </w:r>
      </w:hyperlink>
      <w:r w:rsidRPr="009B0448">
        <w:rPr>
          <w:rFonts w:ascii="Times New Roman" w:hAnsi="Times New Roman" w:cs="Times New Roman"/>
          <w:color w:val="auto"/>
        </w:rPr>
        <w:t xml:space="preserve"> </w:t>
      </w:r>
    </w:p>
    <w:p w14:paraId="04B00865"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Wells, S., Burgess, N., &amp; Ngusaru, A. (2007). Towards the 2012 marine protected area targets in Eastern Africa. </w:t>
      </w:r>
      <w:r w:rsidRPr="009B0448">
        <w:rPr>
          <w:rFonts w:ascii="Times New Roman" w:hAnsi="Times New Roman" w:cs="Times New Roman"/>
          <w:i/>
        </w:rPr>
        <w:t>Ocean and Coastal Management, 50</w:t>
      </w:r>
      <w:r w:rsidRPr="009B0448">
        <w:rPr>
          <w:rFonts w:ascii="Times New Roman" w:hAnsi="Times New Roman" w:cs="Times New Roman"/>
        </w:rPr>
        <w:t>, 67</w:t>
      </w:r>
      <w:r w:rsidRPr="009B0448">
        <w:rPr>
          <w:rFonts w:ascii="Times New Roman" w:hAnsi="Times New Roman" w:cs="Times New Roman"/>
          <w:color w:val="auto"/>
        </w:rPr>
        <w:t xml:space="preserve">–83. </w:t>
      </w:r>
      <w:hyperlink r:id="rId1012" w:history="1">
        <w:r w:rsidRPr="009B0448">
          <w:rPr>
            <w:rStyle w:val="Hyperlink"/>
            <w:rFonts w:ascii="Times New Roman" w:hAnsi="Times New Roman" w:cs="Times New Roman"/>
          </w:rPr>
          <w:t>https://doi.org/10.1016/j.ocecoaman.2006.08.012</w:t>
        </w:r>
      </w:hyperlink>
      <w:r w:rsidRPr="009B0448">
        <w:rPr>
          <w:rFonts w:ascii="Times New Roman" w:hAnsi="Times New Roman" w:cs="Times New Roman"/>
        </w:rPr>
        <w:t xml:space="preserve"> </w:t>
      </w:r>
    </w:p>
    <w:p w14:paraId="703EBB9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White, F. (1983). </w:t>
      </w:r>
      <w:r w:rsidRPr="009B0448">
        <w:rPr>
          <w:rFonts w:ascii="Times New Roman" w:hAnsi="Times New Roman" w:cs="Times New Roman"/>
          <w:i/>
          <w:color w:val="auto"/>
        </w:rPr>
        <w:t>The vegetation of Africa, a descriptive memoir to accompany the UNESCO/AETFAT/UNSO Vegetation Map of Africa</w:t>
      </w:r>
      <w:r w:rsidRPr="009B0448">
        <w:rPr>
          <w:rFonts w:ascii="Times New Roman" w:hAnsi="Times New Roman" w:cs="Times New Roman"/>
          <w:color w:val="auto"/>
        </w:rPr>
        <w:t xml:space="preserve">. Paris, France: UNESCO. Retrieved from </w:t>
      </w:r>
      <w:hyperlink r:id="rId1013" w:history="1">
        <w:r w:rsidRPr="009B0448">
          <w:rPr>
            <w:rStyle w:val="Hyperlink"/>
            <w:rFonts w:ascii="Times New Roman" w:hAnsi="Times New Roman" w:cs="Times New Roman"/>
          </w:rPr>
          <w:t>http://unesdoc.unesco.org/images/0005/000580/058054eo.pdf</w:t>
        </w:r>
      </w:hyperlink>
      <w:r w:rsidRPr="009B0448">
        <w:rPr>
          <w:rFonts w:ascii="Times New Roman" w:hAnsi="Times New Roman" w:cs="Times New Roman"/>
          <w:color w:val="auto"/>
        </w:rPr>
        <w:t xml:space="preserve"> </w:t>
      </w:r>
    </w:p>
    <w:p w14:paraId="31B08DB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Wickens, G. E. (1997). Has the Sahel a future? </w:t>
      </w:r>
      <w:r w:rsidRPr="009B0448">
        <w:rPr>
          <w:rFonts w:ascii="Times New Roman" w:hAnsi="Times New Roman" w:cs="Times New Roman"/>
          <w:i/>
          <w:color w:val="auto"/>
        </w:rPr>
        <w:t>Journal of Arid Environments, 37</w:t>
      </w:r>
      <w:r w:rsidRPr="009B0448">
        <w:rPr>
          <w:rFonts w:ascii="Times New Roman" w:hAnsi="Times New Roman" w:cs="Times New Roman"/>
          <w:color w:val="auto"/>
        </w:rPr>
        <w:t xml:space="preserve">, 649–663. </w:t>
      </w:r>
      <w:hyperlink r:id="rId1014" w:history="1">
        <w:r w:rsidRPr="009B0448">
          <w:rPr>
            <w:rStyle w:val="Hyperlink"/>
            <w:rFonts w:ascii="Times New Roman" w:hAnsi="Times New Roman" w:cs="Times New Roman"/>
          </w:rPr>
          <w:t>https://doi.org/10.1006/jare.1997.0303</w:t>
        </w:r>
      </w:hyperlink>
    </w:p>
    <w:p w14:paraId="5D388B5A"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Wilson, R. T. (1980). Wildlife in northern Darfur, Sudan: A review of its distribution and status in the recent past and at present. </w:t>
      </w:r>
      <w:r w:rsidRPr="009B0448">
        <w:rPr>
          <w:rFonts w:ascii="Times New Roman" w:hAnsi="Times New Roman" w:cs="Times New Roman"/>
          <w:i/>
          <w:color w:val="auto"/>
        </w:rPr>
        <w:t>Biological Conservation, 17</w:t>
      </w:r>
      <w:r w:rsidRPr="009B0448">
        <w:rPr>
          <w:rFonts w:ascii="Times New Roman" w:hAnsi="Times New Roman" w:cs="Times New Roman"/>
          <w:color w:val="auto"/>
        </w:rPr>
        <w:t xml:space="preserve">, 85–101. </w:t>
      </w:r>
      <w:hyperlink r:id="rId1015" w:history="1">
        <w:r w:rsidRPr="009B0448">
          <w:rPr>
            <w:rStyle w:val="Hyperlink"/>
            <w:rFonts w:ascii="Times New Roman" w:hAnsi="Times New Roman" w:cs="Times New Roman"/>
          </w:rPr>
          <w:t>https://doi.org/10.1016/0006-3207(80)90039-7</w:t>
        </w:r>
      </w:hyperlink>
      <w:r w:rsidRPr="009B0448">
        <w:rPr>
          <w:rFonts w:ascii="Times New Roman" w:hAnsi="Times New Roman" w:cs="Times New Roman"/>
        </w:rPr>
        <w:t xml:space="preserve"> </w:t>
      </w:r>
    </w:p>
    <w:p w14:paraId="5D46E38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Woodroffe, R., &amp; Sillero-Zubiri, C. (2012). </w:t>
      </w:r>
      <w:r w:rsidRPr="009B0448">
        <w:rPr>
          <w:rFonts w:ascii="Times New Roman" w:hAnsi="Times New Roman" w:cs="Times New Roman"/>
          <w:i/>
          <w:color w:val="auto"/>
        </w:rPr>
        <w:t>Lycaon pictus</w:t>
      </w:r>
      <w:r w:rsidRPr="009B0448">
        <w:rPr>
          <w:rFonts w:ascii="Times New Roman" w:hAnsi="Times New Roman" w:cs="Times New Roman"/>
          <w:color w:val="auto"/>
        </w:rPr>
        <w:t xml:space="preserve">. Gland, Switzerland: IUCN. </w:t>
      </w:r>
      <w:hyperlink r:id="rId1016" w:history="1">
        <w:r w:rsidRPr="009B0448">
          <w:rPr>
            <w:rStyle w:val="Hyperlink"/>
            <w:rFonts w:ascii="Times New Roman" w:hAnsi="Times New Roman" w:cs="Times New Roman"/>
          </w:rPr>
          <w:t>https://doi.org/10.2305/IUCN.UK.2012.RLTS.T12436A16711116.en</w:t>
        </w:r>
      </w:hyperlink>
      <w:r w:rsidRPr="009B0448">
        <w:rPr>
          <w:rFonts w:ascii="Times New Roman" w:hAnsi="Times New Roman" w:cs="Times New Roman"/>
          <w:color w:val="auto"/>
        </w:rPr>
        <w:t xml:space="preserve"> </w:t>
      </w:r>
    </w:p>
    <w:p w14:paraId="03944243"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World Bank, (2016). </w:t>
      </w:r>
      <w:r w:rsidRPr="009B0448">
        <w:rPr>
          <w:rFonts w:ascii="Times New Roman" w:hAnsi="Times New Roman" w:cs="Times New Roman"/>
          <w:i/>
          <w:color w:val="auto"/>
        </w:rPr>
        <w:t>Population 2016</w:t>
      </w:r>
      <w:r w:rsidRPr="009B0448">
        <w:rPr>
          <w:rFonts w:ascii="Times New Roman" w:hAnsi="Times New Roman" w:cs="Times New Roman"/>
          <w:color w:val="auto"/>
        </w:rPr>
        <w:t xml:space="preserve">. Washington, DC: World Bank. Retrieved from </w:t>
      </w:r>
      <w:hyperlink r:id="rId1017" w:history="1">
        <w:r w:rsidRPr="009B0448">
          <w:rPr>
            <w:rStyle w:val="Hyperlink"/>
            <w:rFonts w:ascii="Times New Roman" w:hAnsi="Times New Roman" w:cs="Times New Roman"/>
            <w:color w:val="0070C0"/>
          </w:rPr>
          <w:t>http://databank.worldbank.org/data/download/POP.pdf</w:t>
        </w:r>
      </w:hyperlink>
    </w:p>
    <w:p w14:paraId="69BEB3F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WOAH. (2015). </w:t>
      </w:r>
      <w:r w:rsidRPr="009B0448">
        <w:rPr>
          <w:rFonts w:ascii="Times New Roman" w:hAnsi="Times New Roman" w:cs="Times New Roman"/>
          <w:i/>
          <w:color w:val="auto"/>
        </w:rPr>
        <w:t>Listed diseases 2015.</w:t>
      </w:r>
      <w:r w:rsidRPr="009B0448">
        <w:rPr>
          <w:rFonts w:ascii="Times New Roman" w:hAnsi="Times New Roman" w:cs="Times New Roman"/>
          <w:color w:val="auto"/>
        </w:rPr>
        <w:t xml:space="preserve"> Paris, France:</w:t>
      </w:r>
      <w:r w:rsidRPr="009B0448">
        <w:rPr>
          <w:rFonts w:ascii="Times New Roman" w:hAnsi="Times New Roman" w:cs="Times New Roman"/>
        </w:rPr>
        <w:t xml:space="preserve"> </w:t>
      </w:r>
      <w:r w:rsidRPr="009B0448">
        <w:rPr>
          <w:rFonts w:ascii="Times New Roman" w:hAnsi="Times New Roman" w:cs="Times New Roman"/>
          <w:color w:val="auto"/>
        </w:rPr>
        <w:t xml:space="preserve">WOAH. Retrieved from </w:t>
      </w:r>
      <w:hyperlink r:id="rId1018" w:history="1">
        <w:r w:rsidRPr="009B0448">
          <w:rPr>
            <w:rStyle w:val="Hyperlink"/>
            <w:rFonts w:ascii="Times New Roman" w:hAnsi="Times New Roman" w:cs="Times New Roman"/>
          </w:rPr>
          <w:t>http://www.oie.int/animal-health-in-the-world/oie-listed-diseases-2015/</w:t>
        </w:r>
      </w:hyperlink>
    </w:p>
    <w:p w14:paraId="540C0531"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WOAH. (2017</w:t>
      </w:r>
      <w:r w:rsidRPr="009B0448">
        <w:rPr>
          <w:rFonts w:ascii="Times New Roman" w:hAnsi="Times New Roman" w:cs="Times New Roman"/>
          <w:i/>
          <w:color w:val="auto"/>
        </w:rPr>
        <w:t>). Maladies, infections et infestations de la Liste de l'OIE en vigueur en 2017</w:t>
      </w:r>
      <w:r w:rsidRPr="009B0448">
        <w:rPr>
          <w:rFonts w:ascii="Times New Roman" w:hAnsi="Times New Roman" w:cs="Times New Roman"/>
          <w:color w:val="auto"/>
        </w:rPr>
        <w:t>. Paris, France:</w:t>
      </w:r>
      <w:r w:rsidRPr="009B0448">
        <w:rPr>
          <w:rFonts w:ascii="Times New Roman" w:hAnsi="Times New Roman" w:cs="Times New Roman"/>
        </w:rPr>
        <w:t xml:space="preserve"> </w:t>
      </w:r>
      <w:r w:rsidRPr="009B0448">
        <w:rPr>
          <w:rFonts w:ascii="Times New Roman" w:hAnsi="Times New Roman" w:cs="Times New Roman"/>
          <w:color w:val="auto"/>
        </w:rPr>
        <w:t xml:space="preserve">WOAH. Retrieved from </w:t>
      </w:r>
      <w:hyperlink r:id="rId1019" w:history="1">
        <w:r w:rsidRPr="009B0448">
          <w:rPr>
            <w:rStyle w:val="Hyperlink"/>
            <w:rFonts w:ascii="Times New Roman" w:hAnsi="Times New Roman" w:cs="Times New Roman"/>
          </w:rPr>
          <w:t>http://www.oie.int/fr/sante-animale-dans-le-monde/oie-listed-diseases-2017/</w:t>
        </w:r>
      </w:hyperlink>
      <w:r w:rsidRPr="009B0448">
        <w:rPr>
          <w:rFonts w:ascii="Times New Roman" w:hAnsi="Times New Roman" w:cs="Times New Roman"/>
          <w:color w:val="auto"/>
        </w:rPr>
        <w:t xml:space="preserve"> </w:t>
      </w:r>
    </w:p>
    <w:p w14:paraId="6C30148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WWF, &amp; IUCN. (1994). </w:t>
      </w:r>
      <w:r w:rsidRPr="009B0448">
        <w:rPr>
          <w:rFonts w:ascii="Times New Roman" w:hAnsi="Times New Roman" w:cs="Times New Roman"/>
          <w:i/>
          <w:color w:val="auto"/>
        </w:rPr>
        <w:t>Centers of plant diversity. A guide and strategy for their conservation</w:t>
      </w:r>
      <w:r w:rsidRPr="009B0448">
        <w:rPr>
          <w:rFonts w:ascii="Times New Roman" w:hAnsi="Times New Roman" w:cs="Times New Roman"/>
          <w:color w:val="auto"/>
        </w:rPr>
        <w:t xml:space="preserve">. Cambridge, UK: IUCN. Retrieved from </w:t>
      </w:r>
      <w:hyperlink r:id="rId1020" w:history="1">
        <w:r w:rsidRPr="009B0448">
          <w:rPr>
            <w:rStyle w:val="Hyperlink"/>
            <w:rFonts w:ascii="Times New Roman" w:hAnsi="Times New Roman" w:cs="Times New Roman"/>
          </w:rPr>
          <w:t>https://portals.iucn.org/library/node/8268</w:t>
        </w:r>
      </w:hyperlink>
      <w:r w:rsidRPr="009B0448">
        <w:rPr>
          <w:rFonts w:ascii="Times New Roman" w:hAnsi="Times New Roman" w:cs="Times New Roman"/>
        </w:rPr>
        <w:t xml:space="preserve"> </w:t>
      </w:r>
    </w:p>
    <w:p w14:paraId="0B912058"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WWF. (2012). </w:t>
      </w:r>
      <w:r w:rsidRPr="009B0448">
        <w:rPr>
          <w:rFonts w:ascii="Times New Roman" w:hAnsi="Times New Roman" w:cs="Times New Roman"/>
          <w:i/>
          <w:color w:val="auto"/>
        </w:rPr>
        <w:t>Living planet report. 2012: Biodiversity, biocapacity and better choices</w:t>
      </w:r>
      <w:r w:rsidRPr="009B0448">
        <w:rPr>
          <w:rFonts w:ascii="Times New Roman" w:hAnsi="Times New Roman" w:cs="Times New Roman"/>
          <w:color w:val="auto"/>
        </w:rPr>
        <w:t xml:space="preserve">. Gland, Switzerland: WWF. Retrieved from </w:t>
      </w:r>
      <w:hyperlink r:id="rId1021" w:history="1">
        <w:r w:rsidRPr="009B0448">
          <w:rPr>
            <w:rStyle w:val="Hyperlink"/>
            <w:rFonts w:ascii="Times New Roman" w:hAnsi="Times New Roman" w:cs="Times New Roman"/>
          </w:rPr>
          <w:t>http://d2ouvy59p0dg6k.cloudfront.net/downloads/lpr_living_planet_report_2012.pdf</w:t>
        </w:r>
      </w:hyperlink>
      <w:r w:rsidRPr="009B0448">
        <w:rPr>
          <w:rFonts w:ascii="Times New Roman" w:hAnsi="Times New Roman" w:cs="Times New Roman"/>
          <w:color w:val="auto"/>
        </w:rPr>
        <w:t xml:space="preserve"> </w:t>
      </w:r>
    </w:p>
    <w:p w14:paraId="59928F95" w14:textId="77777777" w:rsidR="009B0448" w:rsidRPr="009B0448" w:rsidRDefault="009B0448" w:rsidP="009B044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WWF. (2017a). </w:t>
      </w:r>
      <w:r w:rsidRPr="009B0448">
        <w:rPr>
          <w:rFonts w:ascii="Times New Roman" w:hAnsi="Times New Roman" w:cs="Times New Roman"/>
          <w:i/>
        </w:rPr>
        <w:t>Madagascar succulent woodlands</w:t>
      </w:r>
      <w:r w:rsidRPr="009B0448">
        <w:rPr>
          <w:rFonts w:ascii="Times New Roman" w:hAnsi="Times New Roman" w:cs="Times New Roman"/>
        </w:rPr>
        <w:t xml:space="preserve">. </w:t>
      </w:r>
      <w:r w:rsidRPr="009B0448">
        <w:rPr>
          <w:rFonts w:ascii="Times New Roman" w:hAnsi="Times New Roman" w:cs="Times New Roman"/>
          <w:color w:val="auto"/>
        </w:rPr>
        <w:t xml:space="preserve">Gland, Switzerland: WWF. Retrieved from </w:t>
      </w:r>
      <w:hyperlink r:id="rId1022" w:history="1">
        <w:r w:rsidRPr="009B0448">
          <w:rPr>
            <w:rStyle w:val="Hyperlink"/>
            <w:rFonts w:ascii="Times New Roman" w:hAnsi="Times New Roman" w:cs="Times New Roman"/>
          </w:rPr>
          <w:t>https://www.worldwildlife.org/ecoregions/at1312</w:t>
        </w:r>
      </w:hyperlink>
    </w:p>
    <w:p w14:paraId="669B292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rPr>
        <w:t xml:space="preserve">WWF. (2017b). </w:t>
      </w:r>
      <w:r w:rsidRPr="009B0448">
        <w:rPr>
          <w:rFonts w:ascii="Times New Roman" w:hAnsi="Times New Roman" w:cs="Times New Roman"/>
          <w:i/>
        </w:rPr>
        <w:t>East African acacia savannas</w:t>
      </w:r>
      <w:r w:rsidRPr="009B0448">
        <w:rPr>
          <w:rFonts w:ascii="Times New Roman" w:hAnsi="Times New Roman" w:cs="Times New Roman"/>
        </w:rPr>
        <w:t xml:space="preserve">. </w:t>
      </w:r>
      <w:r w:rsidRPr="009B0448">
        <w:rPr>
          <w:rFonts w:ascii="Times New Roman" w:hAnsi="Times New Roman" w:cs="Times New Roman"/>
          <w:color w:val="auto"/>
        </w:rPr>
        <w:t xml:space="preserve">Gland, Switzerland: WWF. Retrieved from </w:t>
      </w:r>
      <w:hyperlink r:id="rId1023" w:history="1">
        <w:r w:rsidRPr="009B0448">
          <w:rPr>
            <w:rStyle w:val="Hyperlink"/>
            <w:rFonts w:ascii="Times New Roman" w:hAnsi="Times New Roman" w:cs="Times New Roman"/>
          </w:rPr>
          <w:t>http://wwf.panda.org/about_our_earth/ecoregions/eastafrican_acacia_savannas.cfm</w:t>
        </w:r>
      </w:hyperlink>
    </w:p>
    <w:p w14:paraId="6985EDAB"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rPr>
        <w:t xml:space="preserve">WWF. (2017c). </w:t>
      </w:r>
      <w:r w:rsidRPr="009B0448">
        <w:rPr>
          <w:rFonts w:ascii="Times New Roman" w:hAnsi="Times New Roman" w:cs="Times New Roman"/>
          <w:i/>
        </w:rPr>
        <w:t>Southern Africa: Northwestern Madagascar</w:t>
      </w:r>
      <w:r w:rsidRPr="009B0448">
        <w:rPr>
          <w:rFonts w:ascii="Times New Roman" w:hAnsi="Times New Roman" w:cs="Times New Roman"/>
        </w:rPr>
        <w:t xml:space="preserve">. </w:t>
      </w:r>
      <w:r w:rsidRPr="009B0448">
        <w:rPr>
          <w:rFonts w:ascii="Times New Roman" w:hAnsi="Times New Roman" w:cs="Times New Roman"/>
          <w:color w:val="auto"/>
        </w:rPr>
        <w:t xml:space="preserve">Gland, Switzerland: WWF. Retrieved from </w:t>
      </w:r>
      <w:hyperlink r:id="rId1024" w:history="1">
        <w:r w:rsidRPr="009B0448">
          <w:rPr>
            <w:rStyle w:val="Hyperlink"/>
            <w:rFonts w:ascii="Times New Roman" w:hAnsi="Times New Roman" w:cs="Times New Roman"/>
          </w:rPr>
          <w:t>https://www.worldwildlife.org/ecoregions/at0202</w:t>
        </w:r>
      </w:hyperlink>
    </w:p>
    <w:p w14:paraId="51FB9DAD"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rPr>
        <w:t xml:space="preserve">WWF. (2017d). </w:t>
      </w:r>
      <w:r w:rsidRPr="009B0448">
        <w:rPr>
          <w:rFonts w:ascii="Times New Roman" w:hAnsi="Times New Roman" w:cs="Times New Roman"/>
          <w:i/>
        </w:rPr>
        <w:t>Western Africa: Archipelago off the coast of Senegal</w:t>
      </w:r>
      <w:r w:rsidRPr="009B0448">
        <w:rPr>
          <w:rFonts w:ascii="Times New Roman" w:hAnsi="Times New Roman" w:cs="Times New Roman"/>
        </w:rPr>
        <w:t xml:space="preserve">. </w:t>
      </w:r>
      <w:r w:rsidRPr="009B0448">
        <w:rPr>
          <w:rFonts w:ascii="Times New Roman" w:hAnsi="Times New Roman" w:cs="Times New Roman"/>
          <w:color w:val="auto"/>
        </w:rPr>
        <w:t xml:space="preserve">Gland, Switzerland: WWF. Retrieved from </w:t>
      </w:r>
      <w:hyperlink r:id="rId1025" w:history="1">
        <w:r w:rsidRPr="009B0448">
          <w:rPr>
            <w:rStyle w:val="Hyperlink"/>
            <w:rFonts w:ascii="Times New Roman" w:hAnsi="Times New Roman" w:cs="Times New Roman"/>
          </w:rPr>
          <w:t>https://www.worldwildlife.org/ecoregions/at0201</w:t>
        </w:r>
      </w:hyperlink>
    </w:p>
    <w:p w14:paraId="3CDCC68C"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WWF. (2017e). </w:t>
      </w:r>
      <w:r w:rsidRPr="009B0448">
        <w:rPr>
          <w:rFonts w:ascii="Times New Roman" w:hAnsi="Times New Roman" w:cs="Times New Roman"/>
          <w:i/>
          <w:color w:val="auto"/>
        </w:rPr>
        <w:t>Agriculture: Facts and trends: South Africa</w:t>
      </w:r>
      <w:r w:rsidRPr="009B0448">
        <w:rPr>
          <w:rFonts w:ascii="Times New Roman" w:hAnsi="Times New Roman" w:cs="Times New Roman"/>
          <w:color w:val="auto"/>
        </w:rPr>
        <w:t xml:space="preserve">. Gland, Switzerland: WWF. Retrieved from </w:t>
      </w:r>
      <w:hyperlink r:id="rId1026" w:history="1">
        <w:r w:rsidRPr="009B0448">
          <w:rPr>
            <w:rStyle w:val="Hyperlink"/>
            <w:rFonts w:ascii="Times New Roman" w:hAnsi="Times New Roman" w:cs="Times New Roman"/>
          </w:rPr>
          <w:t>http://awsassets.wwf.org.za/downloads/facts_brochure_mockup_04_b.pdf</w:t>
        </w:r>
      </w:hyperlink>
    </w:p>
    <w:p w14:paraId="7CB9B462"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Yelpaala, K., &amp; Ali, S. H. (2005). Multiple scales of diamond mining in Akwatia, Ghana: Addressing environmental and human development impact. </w:t>
      </w:r>
      <w:r w:rsidRPr="009B0448">
        <w:rPr>
          <w:rFonts w:ascii="Times New Roman" w:hAnsi="Times New Roman" w:cs="Times New Roman"/>
          <w:i/>
          <w:color w:val="auto"/>
        </w:rPr>
        <w:t>Resources Policy, 30</w:t>
      </w:r>
      <w:r w:rsidRPr="009B0448">
        <w:rPr>
          <w:rFonts w:ascii="Times New Roman" w:hAnsi="Times New Roman" w:cs="Times New Roman"/>
          <w:color w:val="auto"/>
        </w:rPr>
        <w:t xml:space="preserve">, 145–155. </w:t>
      </w:r>
      <w:hyperlink r:id="rId1027" w:history="1">
        <w:r w:rsidRPr="009B0448">
          <w:rPr>
            <w:rStyle w:val="Hyperlink"/>
            <w:rFonts w:ascii="Times New Roman" w:hAnsi="Times New Roman" w:cs="Times New Roman"/>
          </w:rPr>
          <w:t>https://doi.org/10.1016/j.resourpol.2005.08.001</w:t>
        </w:r>
      </w:hyperlink>
    </w:p>
    <w:p w14:paraId="7B4A1766"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Zaimeche, S. E. (1994). The consequences of rapid deforestation: A North African example. </w:t>
      </w:r>
      <w:r w:rsidRPr="009B0448">
        <w:rPr>
          <w:rFonts w:ascii="Times New Roman" w:hAnsi="Times New Roman" w:cs="Times New Roman"/>
          <w:i/>
          <w:color w:val="auto"/>
        </w:rPr>
        <w:t>Ambio, 23</w:t>
      </w:r>
      <w:r w:rsidRPr="009B0448">
        <w:rPr>
          <w:rFonts w:ascii="Times New Roman" w:hAnsi="Times New Roman" w:cs="Times New Roman"/>
          <w:color w:val="auto"/>
        </w:rPr>
        <w:t xml:space="preserve">(2), 137–140. Retrieved from </w:t>
      </w:r>
      <w:hyperlink r:id="rId1028" w:history="1">
        <w:r w:rsidRPr="009B0448">
          <w:rPr>
            <w:rStyle w:val="Hyperlink"/>
            <w:rFonts w:ascii="Times New Roman" w:hAnsi="Times New Roman" w:cs="Times New Roman"/>
          </w:rPr>
          <w:t>http://www.jstor.org/stable/4314180</w:t>
        </w:r>
      </w:hyperlink>
    </w:p>
    <w:p w14:paraId="64709160"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Zambia. (2014). </w:t>
      </w:r>
      <w:r w:rsidRPr="009B0448">
        <w:rPr>
          <w:rFonts w:ascii="Times New Roman" w:hAnsi="Times New Roman" w:cs="Times New Roman"/>
          <w:i/>
          <w:color w:val="auto"/>
        </w:rPr>
        <w:t>Zambia’s fifth national report to the convention on biological diversity, June, 2015. Zambia</w:t>
      </w:r>
      <w:r w:rsidRPr="009B0448">
        <w:rPr>
          <w:rFonts w:ascii="Times New Roman" w:hAnsi="Times New Roman" w:cs="Times New Roman"/>
          <w:color w:val="auto"/>
        </w:rPr>
        <w:t xml:space="preserve">. Retrieved from </w:t>
      </w:r>
      <w:hyperlink r:id="rId1029" w:history="1">
        <w:r w:rsidRPr="009B0448">
          <w:rPr>
            <w:rStyle w:val="Hyperlink"/>
            <w:rFonts w:ascii="Times New Roman" w:hAnsi="Times New Roman" w:cs="Times New Roman"/>
          </w:rPr>
          <w:t>https://www.cbd.int/doc/world/zm/zm-nr-05-en.pdf</w:t>
        </w:r>
      </w:hyperlink>
    </w:p>
    <w:p w14:paraId="4D85EA50" w14:textId="77777777" w:rsidR="009B0448" w:rsidRPr="009B0448" w:rsidRDefault="009B0448" w:rsidP="009B0448">
      <w:pPr>
        <w:spacing w:after="120" w:line="276" w:lineRule="auto"/>
        <w:ind w:left="567" w:hanging="567"/>
        <w:rPr>
          <w:rFonts w:ascii="Times New Roman" w:eastAsia="Times New Roman" w:hAnsi="Times New Roman" w:cs="Times New Roman"/>
          <w:color w:val="00000A"/>
          <w:sz w:val="20"/>
          <w:szCs w:val="20"/>
        </w:rPr>
      </w:pPr>
      <w:r w:rsidRPr="009B0448">
        <w:rPr>
          <w:rFonts w:ascii="Times New Roman" w:hAnsi="Times New Roman" w:cs="Times New Roman"/>
          <w:color w:val="auto"/>
        </w:rPr>
        <w:t xml:space="preserve">Zwarts, L. (2014). </w:t>
      </w:r>
      <w:r w:rsidRPr="009B0448">
        <w:rPr>
          <w:rFonts w:ascii="Times New Roman" w:hAnsi="Times New Roman" w:cs="Times New Roman"/>
          <w:i/>
          <w:color w:val="auto"/>
        </w:rPr>
        <w:t>Mangrove dynamics in West Africa. A and W-report 2029</w:t>
      </w:r>
      <w:r w:rsidRPr="009B0448">
        <w:rPr>
          <w:rFonts w:ascii="Times New Roman" w:hAnsi="Times New Roman" w:cs="Times New Roman"/>
          <w:color w:val="auto"/>
        </w:rPr>
        <w:t xml:space="preserve">. Feanwâlden, Netherlands: Altenburg and Wymenga ecologisch onderzoek. Retrieved from </w:t>
      </w:r>
      <w:hyperlink r:id="rId1030" w:history="1">
        <w:r w:rsidRPr="009B0448">
          <w:rPr>
            <w:rStyle w:val="Hyperlink"/>
            <w:rFonts w:ascii="Times New Roman" w:hAnsi="Times New Roman" w:cs="Times New Roman"/>
          </w:rPr>
          <w:t>http://www.altwym.nl/uploads/file/520_1410766087.pdf</w:t>
        </w:r>
      </w:hyperlink>
      <w:r w:rsidRPr="009B0448">
        <w:rPr>
          <w:rFonts w:ascii="Times New Roman" w:hAnsi="Times New Roman" w:cs="Times New Roman"/>
          <w:color w:val="auto"/>
        </w:rPr>
        <w:t xml:space="preserve"> </w:t>
      </w:r>
      <w:r w:rsidRPr="009B0448">
        <w:rPr>
          <w:rFonts w:ascii="Times New Roman" w:eastAsia="Times New Roman" w:hAnsi="Times New Roman" w:cs="Times New Roman"/>
          <w:color w:val="00000A"/>
          <w:sz w:val="20"/>
          <w:szCs w:val="20"/>
        </w:rPr>
        <w:br w:type="page"/>
      </w:r>
    </w:p>
    <w:p w14:paraId="257AE21F" w14:textId="77777777" w:rsidR="009B0448" w:rsidRPr="009B0448" w:rsidRDefault="009B0448" w:rsidP="009B0448">
      <w:pPr>
        <w:pStyle w:val="IPBES1"/>
        <w:spacing w:before="240"/>
        <w:rPr>
          <w:color w:val="auto"/>
        </w:rPr>
      </w:pPr>
      <w:bookmarkStart w:id="239" w:name="_Toc519499927"/>
      <w:r w:rsidRPr="009B0448">
        <w:rPr>
          <w:color w:val="auto"/>
        </w:rPr>
        <w:t>Chapter 4: Direct and indirect drivers of change in biodiversity and nature’s contributions to people</w:t>
      </w:r>
      <w:bookmarkEnd w:id="239"/>
    </w:p>
    <w:p w14:paraId="764177AE" w14:textId="77777777" w:rsidR="009B0448" w:rsidRPr="009B0448" w:rsidRDefault="009B0448" w:rsidP="009B0448">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b/>
        </w:rPr>
        <w:t>Coordinating Lead Authors:</w:t>
      </w:r>
    </w:p>
    <w:p w14:paraId="489945CC"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Luthando Dziba (South Africa), Wanja Nyingi (Kenya), Nicholas Oguge (Kenya)</w:t>
      </w:r>
    </w:p>
    <w:p w14:paraId="3B17790E" w14:textId="77777777" w:rsidR="009B0448" w:rsidRPr="009B0448" w:rsidRDefault="009B0448" w:rsidP="009B0448">
      <w:pPr>
        <w:spacing w:line="276" w:lineRule="auto"/>
        <w:jc w:val="both"/>
        <w:rPr>
          <w:rFonts w:ascii="Times New Roman" w:eastAsia="Times New Roman" w:hAnsi="Times New Roman" w:cs="Times New Roman"/>
          <w:b/>
        </w:rPr>
      </w:pPr>
    </w:p>
    <w:p w14:paraId="0E8BCEAD" w14:textId="77777777" w:rsidR="009B0448" w:rsidRPr="009B0448" w:rsidRDefault="009B0448" w:rsidP="009B0448">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b/>
        </w:rPr>
        <w:t>Lead Authors:</w:t>
      </w:r>
    </w:p>
    <w:p w14:paraId="24848C5B"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Rodwell Chandipo (Zambia), Tidjani Adamou Didier (Niger), Edson Gandiwa (Zimbabwe), Samuel Kasiki (Kenya), Danielson Kisanga (Tanzania), Olaotswe Kgosikoma (Botswana), Odipo Osano (Kenya), Jacques Tassin (France), Souleymane Sanogo (Burkina Faso), Graham Von Maltitz (South Africa) </w:t>
      </w:r>
    </w:p>
    <w:p w14:paraId="0C0939CE" w14:textId="77777777" w:rsidR="009B0448" w:rsidRPr="009B0448" w:rsidRDefault="009B0448" w:rsidP="009B0448">
      <w:pPr>
        <w:spacing w:line="276" w:lineRule="auto"/>
        <w:jc w:val="both"/>
        <w:rPr>
          <w:rFonts w:ascii="Times New Roman" w:eastAsia="Times New Roman" w:hAnsi="Times New Roman" w:cs="Times New Roman"/>
          <w:b/>
        </w:rPr>
      </w:pPr>
    </w:p>
    <w:p w14:paraId="58FB56E5" w14:textId="77777777" w:rsidR="009B0448" w:rsidRPr="009B0448" w:rsidRDefault="009B0448" w:rsidP="009B0448">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b/>
        </w:rPr>
        <w:t>Fellow:</w:t>
      </w:r>
    </w:p>
    <w:p w14:paraId="3D417ED6"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Houda Ghazi (Morocco)</w:t>
      </w:r>
    </w:p>
    <w:p w14:paraId="14ABA3F2" w14:textId="77777777" w:rsidR="009B0448" w:rsidRPr="009B0448" w:rsidRDefault="009B0448" w:rsidP="009B0448">
      <w:pPr>
        <w:spacing w:line="276" w:lineRule="auto"/>
        <w:jc w:val="both"/>
        <w:rPr>
          <w:rFonts w:ascii="Times New Roman" w:eastAsia="Times New Roman" w:hAnsi="Times New Roman" w:cs="Times New Roman"/>
        </w:rPr>
      </w:pPr>
    </w:p>
    <w:p w14:paraId="17BD4A57" w14:textId="77777777" w:rsidR="009B0448" w:rsidRPr="009B0448" w:rsidRDefault="009B0448" w:rsidP="009B0448">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b/>
        </w:rPr>
        <w:t>Contributing Authors:</w:t>
      </w:r>
    </w:p>
    <w:p w14:paraId="53D9B3C3"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Sally Archibald (South Africa), James Gambiza (South Africa), Philip Ivey (South Africa) Patrice Bigombe Logo (Cameroon), Malebajoa Anicia Maoela (Lesotho), Thando Ndarana (South Africa), Mordecai Ogada (Kenya), Daniel Olago (Kenya), Sebataolo Rahlao (South Africa), Brian van Wilgen (South Africa) </w:t>
      </w:r>
    </w:p>
    <w:p w14:paraId="61D2169B" w14:textId="77777777" w:rsidR="009B0448" w:rsidRPr="009B0448" w:rsidRDefault="009B0448" w:rsidP="009B0448">
      <w:pPr>
        <w:spacing w:line="276" w:lineRule="auto"/>
        <w:jc w:val="both"/>
        <w:rPr>
          <w:rFonts w:ascii="Times New Roman" w:eastAsia="Times New Roman" w:hAnsi="Times New Roman" w:cs="Times New Roman"/>
          <w:b/>
          <w:color w:val="auto"/>
        </w:rPr>
      </w:pPr>
    </w:p>
    <w:p w14:paraId="53BA1F2F" w14:textId="77777777" w:rsidR="009B0448" w:rsidRPr="009B0448" w:rsidRDefault="009B0448" w:rsidP="009B0448">
      <w:pPr>
        <w:spacing w:line="276" w:lineRule="auto"/>
        <w:jc w:val="both"/>
        <w:rPr>
          <w:rFonts w:ascii="Times New Roman" w:eastAsia="Times New Roman" w:hAnsi="Times New Roman" w:cs="Times New Roman"/>
          <w:b/>
          <w:color w:val="auto"/>
        </w:rPr>
      </w:pPr>
      <w:r w:rsidRPr="009B0448">
        <w:rPr>
          <w:rFonts w:ascii="Times New Roman" w:eastAsia="Times New Roman" w:hAnsi="Times New Roman" w:cs="Times New Roman"/>
          <w:b/>
          <w:color w:val="auto"/>
        </w:rPr>
        <w:t>Review Editors:</w:t>
      </w:r>
    </w:p>
    <w:p w14:paraId="264B36FA"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color w:val="auto"/>
        </w:rPr>
        <w:t>Opha Pauline Dube (Botswana), Guy Midgley (South Africa)</w:t>
      </w:r>
    </w:p>
    <w:p w14:paraId="013322B9" w14:textId="77777777" w:rsidR="0020100B" w:rsidRDefault="0020100B" w:rsidP="009B0448">
      <w:pPr>
        <w:jc w:val="both"/>
        <w:rPr>
          <w:rFonts w:ascii="Times New Roman" w:hAnsi="Times New Roman" w:cs="Times New Roman"/>
          <w:color w:val="auto"/>
        </w:rPr>
      </w:pPr>
    </w:p>
    <w:p w14:paraId="21C7CCD4" w14:textId="77777777" w:rsidR="0020100B" w:rsidRDefault="0020100B" w:rsidP="009B0448">
      <w:pPr>
        <w:jc w:val="both"/>
        <w:rPr>
          <w:rFonts w:ascii="Times New Roman" w:hAnsi="Times New Roman" w:cs="Times New Roman"/>
          <w:color w:val="auto"/>
        </w:rPr>
      </w:pPr>
    </w:p>
    <w:p w14:paraId="0909AEA5" w14:textId="77777777" w:rsidR="0020100B" w:rsidRDefault="0020100B" w:rsidP="009B0448">
      <w:pPr>
        <w:jc w:val="both"/>
        <w:rPr>
          <w:rFonts w:ascii="Times New Roman" w:hAnsi="Times New Roman" w:cs="Times New Roman"/>
          <w:color w:val="auto"/>
        </w:rPr>
      </w:pPr>
    </w:p>
    <w:p w14:paraId="537DB5D0" w14:textId="77777777" w:rsidR="0020100B" w:rsidRDefault="0020100B" w:rsidP="009B0448">
      <w:pPr>
        <w:jc w:val="both"/>
        <w:rPr>
          <w:rFonts w:ascii="Times New Roman" w:hAnsi="Times New Roman" w:cs="Times New Roman"/>
          <w:color w:val="auto"/>
        </w:rPr>
      </w:pPr>
    </w:p>
    <w:p w14:paraId="18B4C1CC" w14:textId="77777777" w:rsidR="0020100B" w:rsidRDefault="0020100B" w:rsidP="009B0448">
      <w:pPr>
        <w:jc w:val="both"/>
        <w:rPr>
          <w:rFonts w:ascii="Times New Roman" w:hAnsi="Times New Roman" w:cs="Times New Roman"/>
          <w:color w:val="auto"/>
        </w:rPr>
      </w:pPr>
    </w:p>
    <w:p w14:paraId="697B6701" w14:textId="77777777" w:rsidR="0020100B" w:rsidRPr="00E9484D" w:rsidRDefault="0020100B" w:rsidP="0020100B">
      <w:pPr>
        <w:spacing w:line="276" w:lineRule="auto"/>
        <w:jc w:val="both"/>
        <w:rPr>
          <w:rFonts w:ascii="Times New Roman" w:hAnsi="Times New Roman" w:cs="Times New Roman"/>
        </w:rPr>
      </w:pPr>
      <w:bookmarkStart w:id="240" w:name="_Hlk519499337"/>
      <w:r w:rsidRPr="00E9484D">
        <w:rPr>
          <w:rFonts w:ascii="Times New Roman" w:hAnsi="Times New Roman" w:cs="Times New Roman"/>
        </w:rPr>
        <w:t xml:space="preserve">This chapter should be cited as: </w:t>
      </w:r>
    </w:p>
    <w:p w14:paraId="2E88D3B0" w14:textId="45BDCB9D" w:rsidR="009B0448" w:rsidRPr="009B0448" w:rsidRDefault="0020100B" w:rsidP="0020100B">
      <w:pPr>
        <w:spacing w:line="276" w:lineRule="auto"/>
        <w:jc w:val="both"/>
        <w:rPr>
          <w:rFonts w:ascii="Times New Roman" w:hAnsi="Times New Roman" w:cs="Times New Roman"/>
          <w:color w:val="auto"/>
        </w:rPr>
      </w:pPr>
      <w:r w:rsidRPr="0020100B">
        <w:rPr>
          <w:rFonts w:ascii="Times New Roman" w:eastAsia="Times New Roman" w:hAnsi="Times New Roman" w:cs="Times New Roman"/>
          <w:color w:val="auto"/>
        </w:rPr>
        <w:t>Nyingi, W., Oguge, N., Dziba, L., Chandipo, R., Didier, T. A., Gandiwa, E., Kasiki, S., Kisanga, D., Kgosikoma, O., Osano, O., Tassin, J., Sanogo, S., von Maltitz, G., Ghazi, H., Archibald, S., Gambiza, J., Ivey, P., Logo, P. B., Maoela, M. A., Ndarana, T., Ogada, M., Olago, D., Rahlao, S., and van Wilgen, B. Chapter 4: Direct and indirect drivers of change in biodiversity and nature’scontributions to people. In IPBES (2018): The IPBES regional assessment report on biodiversity and ecosystem services for Africa. Archer, E., Dziba, L., Mulongoy, K. J., Maoela, M. A., and Walters, M. (Eds.). Secretariat of the Intergovernmental Science-Policy Platform on Biodiversity and Ecosystem services, Bonn, Germany, pp. xx–xx.</w:t>
      </w:r>
      <w:bookmarkEnd w:id="240"/>
      <w:r w:rsidR="009B0448" w:rsidRPr="009B0448">
        <w:rPr>
          <w:rFonts w:ascii="Times New Roman" w:hAnsi="Times New Roman" w:cs="Times New Roman"/>
          <w:color w:val="auto"/>
        </w:rPr>
        <w:br w:type="page"/>
      </w:r>
    </w:p>
    <w:p w14:paraId="522DC99F" w14:textId="77777777" w:rsidR="009B0448" w:rsidRPr="009B0448" w:rsidRDefault="009B0448" w:rsidP="009B0448">
      <w:pPr>
        <w:pStyle w:val="Heading3"/>
        <w:widowControl w:val="0"/>
        <w:tabs>
          <w:tab w:val="left" w:pos="2586"/>
        </w:tabs>
        <w:spacing w:before="240" w:after="240"/>
        <w:ind w:left="-11" w:firstLine="0"/>
        <w:rPr>
          <w:rFonts w:eastAsia="Calibri" w:cs="Times New Roman"/>
          <w:szCs w:val="24"/>
        </w:rPr>
      </w:pPr>
      <w:bookmarkStart w:id="241" w:name="_Toc503032773"/>
      <w:bookmarkStart w:id="242" w:name="_Toc519499928"/>
      <w:r w:rsidRPr="009B0448">
        <w:rPr>
          <w:rFonts w:eastAsia="Calibri" w:cs="Times New Roman"/>
          <w:szCs w:val="24"/>
        </w:rPr>
        <w:t>Executive Summary</w:t>
      </w:r>
      <w:bookmarkEnd w:id="241"/>
      <w:bookmarkEnd w:id="242"/>
    </w:p>
    <w:p w14:paraId="419CCBED" w14:textId="77777777" w:rsidR="009B0448" w:rsidRPr="009B0448" w:rsidRDefault="009B0448" w:rsidP="009B0448">
      <w:pPr>
        <w:widowControl w:val="0"/>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b/>
          <w:color w:val="auto"/>
        </w:rPr>
        <w:t xml:space="preserve">Africa’s biodiversity and ecosystems are amongst the most vulnerable to climate change, with severe impacts already experienced on water availability and food production, thus affecting nature’s contributions to people </w:t>
      </w:r>
      <w:r w:rsidRPr="009B0448">
        <w:rPr>
          <w:rFonts w:ascii="Times New Roman" w:eastAsia="Times New Roman" w:hAnsi="Times New Roman" w:cs="Times New Roman"/>
          <w:b/>
          <w:i/>
          <w:color w:val="auto"/>
          <w:lang w:eastAsia="en-GB"/>
        </w:rPr>
        <w:t>(well established)</w:t>
      </w:r>
      <w:r w:rsidRPr="009B0448">
        <w:rPr>
          <w:rFonts w:ascii="Times New Roman" w:eastAsia="Times New Roman" w:hAnsi="Times New Roman" w:cs="Times New Roman"/>
          <w:b/>
          <w:color w:val="auto"/>
          <w:lang w:eastAsia="en-GB"/>
        </w:rPr>
        <w:t>.</w:t>
      </w:r>
      <w:r w:rsidRPr="009B0448">
        <w:rPr>
          <w:rFonts w:ascii="Times New Roman" w:eastAsia="Times New Roman" w:hAnsi="Times New Roman" w:cs="Times New Roman"/>
          <w:color w:val="auto"/>
          <w:lang w:eastAsia="en-GB"/>
        </w:rPr>
        <w:t xml:space="preserve"> </w:t>
      </w:r>
      <w:r w:rsidRPr="009B0448">
        <w:rPr>
          <w:rFonts w:ascii="Times New Roman" w:eastAsia="Times New Roman" w:hAnsi="Times New Roman" w:cs="Times New Roman"/>
        </w:rPr>
        <w:t>This in turn is having a profound negative impact on Africa’s ability to achieve sustainable development and will continue to do so unless mitigation measures are undertaken. Human-induced climate change is a major driver of biodiversity loss, changes in ecosystem structure and function and the ability of ecosystems to supply nature’s contributions to people. Both the extent of climate change and the degree to which it impacts biodiversity and the supply nature’s contributions to people are highly variable within and between Africa’s subregions. In addition, t</w:t>
      </w:r>
      <w:r w:rsidRPr="009B0448">
        <w:rPr>
          <w:rFonts w:ascii="Times New Roman" w:eastAsia="Times New Roman" w:hAnsi="Times New Roman" w:cs="Times New Roman"/>
          <w:color w:val="auto"/>
        </w:rPr>
        <w:t>emperatures in the continent are expected to rise faster than the global average with some areas warming at close to double the global mean. Future rainfall projections are less certain, although rainfall variability is projected to increase over most areas with most models suggesting fewer, but heavier rainfall and increased flooding events. Yet, many areas in Africa are predicted to become drier, despite the global increase in mean annual precipitation {4.2.2.1.2, 4.2.2.1.3}.</w:t>
      </w:r>
    </w:p>
    <w:p w14:paraId="374823E8" w14:textId="77777777" w:rsidR="009B0448" w:rsidRPr="009B0448" w:rsidRDefault="009B0448" w:rsidP="009B0448">
      <w:pPr>
        <w:widowControl w:val="0"/>
        <w:spacing w:line="276" w:lineRule="auto"/>
        <w:jc w:val="both"/>
        <w:rPr>
          <w:rFonts w:ascii="Times New Roman" w:eastAsia="Times New Roman" w:hAnsi="Times New Roman" w:cs="Times New Roman"/>
        </w:rPr>
      </w:pPr>
    </w:p>
    <w:p w14:paraId="659648D4" w14:textId="4654AC46" w:rsidR="009B0448" w:rsidRPr="009B0448" w:rsidRDefault="009B0448" w:rsidP="009B0448">
      <w:pPr>
        <w:pStyle w:val="NoSpacing"/>
        <w:widowControl w:val="0"/>
        <w:spacing w:line="276" w:lineRule="auto"/>
        <w:jc w:val="both"/>
        <w:rPr>
          <w:rFonts w:ascii="Times New Roman" w:eastAsia="Times New Roman" w:hAnsi="Times New Roman" w:cs="Times New Roman"/>
          <w:color w:val="auto"/>
          <w:lang w:eastAsia="en-GB"/>
        </w:rPr>
      </w:pPr>
      <w:r w:rsidRPr="009B0448">
        <w:rPr>
          <w:rFonts w:ascii="Times New Roman" w:eastAsia="Times New Roman" w:hAnsi="Times New Roman" w:cs="Times New Roman"/>
          <w:b/>
          <w:color w:val="auto"/>
          <w:lang w:eastAsia="en-GB"/>
        </w:rPr>
        <w:t>Africa’s population is projected to grow from the current 1 billion to nearly 6 billion by 2100, putting severe pressure on the continent’s biodiversity and the ability to provide nature’s contribution to people. Africa is also one of the most rapidly urbani</w:t>
      </w:r>
      <w:r w:rsidR="00C813C5">
        <w:rPr>
          <w:rFonts w:ascii="Times New Roman" w:eastAsia="Times New Roman" w:hAnsi="Times New Roman" w:cs="Times New Roman"/>
          <w:b/>
          <w:color w:val="auto"/>
          <w:lang w:eastAsia="en-GB"/>
        </w:rPr>
        <w:t>s</w:t>
      </w:r>
      <w:r w:rsidRPr="009B0448">
        <w:rPr>
          <w:rFonts w:ascii="Times New Roman" w:eastAsia="Times New Roman" w:hAnsi="Times New Roman" w:cs="Times New Roman"/>
          <w:b/>
          <w:color w:val="auto"/>
          <w:lang w:eastAsia="en-GB"/>
        </w:rPr>
        <w:t xml:space="preserve">ing continents, driving changes in biodiversity associated to land-use change due to increased demand for food, energy, water, infrastructure development and other services </w:t>
      </w:r>
      <w:r w:rsidRPr="009B0448">
        <w:rPr>
          <w:rFonts w:ascii="Times New Roman" w:eastAsia="Times New Roman" w:hAnsi="Times New Roman" w:cs="Times New Roman"/>
          <w:b/>
          <w:i/>
          <w:color w:val="auto"/>
          <w:lang w:eastAsia="en-GB"/>
        </w:rPr>
        <w:t>(well established)</w:t>
      </w:r>
      <w:r w:rsidRPr="009B0448">
        <w:rPr>
          <w:rFonts w:ascii="Times New Roman" w:eastAsia="Times New Roman" w:hAnsi="Times New Roman" w:cs="Times New Roman"/>
          <w:b/>
          <w:color w:val="auto"/>
          <w:lang w:eastAsia="en-GB"/>
        </w:rPr>
        <w:t>.</w:t>
      </w:r>
      <w:r w:rsidRPr="009B0448">
        <w:rPr>
          <w:rFonts w:ascii="Times New Roman" w:eastAsia="Times New Roman" w:hAnsi="Times New Roman" w:cs="Times New Roman"/>
          <w:color w:val="auto"/>
          <w:lang w:eastAsia="en-GB"/>
        </w:rPr>
        <w:t xml:space="preserve"> Urban communities are producing large quantities of solid and other wastes that are leading to environmental pollution </w:t>
      </w:r>
      <w:r w:rsidRPr="009B0448">
        <w:rPr>
          <w:rFonts w:ascii="Times New Roman" w:eastAsia="Times New Roman" w:hAnsi="Times New Roman" w:cs="Times New Roman"/>
          <w:i/>
          <w:color w:val="auto"/>
          <w:lang w:eastAsia="en-GB"/>
        </w:rPr>
        <w:t>(well established)</w:t>
      </w:r>
      <w:r w:rsidRPr="009B0448">
        <w:rPr>
          <w:rFonts w:ascii="Times New Roman" w:eastAsia="Times New Roman" w:hAnsi="Times New Roman" w:cs="Times New Roman"/>
          <w:color w:val="auto"/>
          <w:lang w:eastAsia="en-GB"/>
        </w:rPr>
        <w:t>. Rapid population growth, urbani</w:t>
      </w:r>
      <w:r w:rsidR="00C813C5">
        <w:rPr>
          <w:rFonts w:ascii="Times New Roman" w:eastAsia="Times New Roman" w:hAnsi="Times New Roman" w:cs="Times New Roman"/>
          <w:color w:val="auto"/>
          <w:lang w:eastAsia="en-GB"/>
        </w:rPr>
        <w:t>s</w:t>
      </w:r>
      <w:r w:rsidRPr="009B0448">
        <w:rPr>
          <w:rFonts w:ascii="Times New Roman" w:eastAsia="Times New Roman" w:hAnsi="Times New Roman" w:cs="Times New Roman"/>
          <w:color w:val="auto"/>
          <w:lang w:eastAsia="en-GB"/>
        </w:rPr>
        <w:t xml:space="preserve">ation and the resultant demand for resources are driving land-use and land-cover change in Africa, leading to loss of the land’s capacity to sustain biodiversity and provide nature’s contributions to people </w:t>
      </w:r>
      <w:r w:rsidRPr="009B0448">
        <w:rPr>
          <w:rFonts w:ascii="Times New Roman" w:eastAsia="Times New Roman" w:hAnsi="Times New Roman" w:cs="Times New Roman"/>
          <w:i/>
          <w:color w:val="auto"/>
          <w:lang w:eastAsia="en-GB"/>
        </w:rPr>
        <w:t>(well established)</w:t>
      </w:r>
      <w:r w:rsidRPr="009B0448">
        <w:rPr>
          <w:rFonts w:ascii="Times New Roman" w:eastAsia="Times New Roman" w:hAnsi="Times New Roman" w:cs="Times New Roman"/>
          <w:color w:val="auto"/>
          <w:lang w:eastAsia="en-GB"/>
        </w:rPr>
        <w:t xml:space="preserve">. Conversion of forest and rangelands for agriculture, mining and urban development, among others, has led to habitat loss, degradation of catchment areas and soil erosion leading to loss of biodiversity and livelihoods. The fragmentation that results from various </w:t>
      </w:r>
      <w:r w:rsidR="00917FB2">
        <w:rPr>
          <w:rFonts w:ascii="Times New Roman" w:eastAsia="Times New Roman" w:hAnsi="Times New Roman" w:cs="Times New Roman"/>
          <w:color w:val="auto"/>
          <w:lang w:eastAsia="en-GB"/>
        </w:rPr>
        <w:t>land-use</w:t>
      </w:r>
      <w:r w:rsidRPr="009B0448">
        <w:rPr>
          <w:rFonts w:ascii="Times New Roman" w:eastAsia="Times New Roman" w:hAnsi="Times New Roman" w:cs="Times New Roman"/>
          <w:color w:val="auto"/>
          <w:lang w:eastAsia="en-GB"/>
        </w:rPr>
        <w:t xml:space="preserve">s contributes to biodiversity loss because many wildlife species are migratory and conservation areas do not provide sufficient habitat and connectivity, especially for vulnerable species with narrow ecological niches </w:t>
      </w:r>
      <w:r w:rsidRPr="009B0448">
        <w:rPr>
          <w:rFonts w:ascii="Times New Roman" w:eastAsia="Times New Roman" w:hAnsi="Times New Roman" w:cs="Times New Roman"/>
          <w:i/>
          <w:color w:val="auto"/>
          <w:lang w:eastAsia="en-GB"/>
        </w:rPr>
        <w:t>(well established)</w:t>
      </w:r>
      <w:r w:rsidRPr="009B0448">
        <w:rPr>
          <w:rFonts w:ascii="Times New Roman" w:eastAsia="Times New Roman" w:hAnsi="Times New Roman" w:cs="Times New Roman"/>
          <w:color w:val="auto"/>
          <w:lang w:eastAsia="en-GB"/>
        </w:rPr>
        <w:t xml:space="preserve"> {4.4.4}.</w:t>
      </w:r>
    </w:p>
    <w:p w14:paraId="5174ED24" w14:textId="77777777" w:rsidR="009B0448" w:rsidRPr="009B0448" w:rsidRDefault="009B0448" w:rsidP="009B0448">
      <w:pPr>
        <w:pStyle w:val="NoSpacing"/>
        <w:widowControl w:val="0"/>
        <w:spacing w:line="276" w:lineRule="auto"/>
        <w:jc w:val="both"/>
        <w:rPr>
          <w:rFonts w:ascii="Times New Roman" w:eastAsia="Times New Roman" w:hAnsi="Times New Roman" w:cs="Times New Roman"/>
          <w:lang w:eastAsia="en-GB"/>
        </w:rPr>
      </w:pPr>
    </w:p>
    <w:p w14:paraId="0DBA6F26" w14:textId="77777777" w:rsidR="009B0448" w:rsidRPr="009B0448" w:rsidRDefault="009B0448" w:rsidP="009B0448">
      <w:pPr>
        <w:pStyle w:val="NoSpacing"/>
        <w:widowControl w:val="0"/>
        <w:spacing w:line="276" w:lineRule="auto"/>
        <w:jc w:val="both"/>
        <w:rPr>
          <w:rFonts w:ascii="Times New Roman" w:eastAsia="Times New Roman" w:hAnsi="Times New Roman" w:cs="Times New Roman"/>
          <w:color w:val="auto"/>
          <w:lang w:eastAsia="en-GB"/>
        </w:rPr>
      </w:pPr>
      <w:r w:rsidRPr="009B0448">
        <w:rPr>
          <w:rFonts w:ascii="Times New Roman" w:eastAsia="Times New Roman" w:hAnsi="Times New Roman" w:cs="Times New Roman"/>
          <w:b/>
          <w:color w:val="auto"/>
          <w:lang w:eastAsia="en-GB"/>
        </w:rPr>
        <w:t xml:space="preserve">The spread of invasive alien species in terrestrial and aquatic ecosystems is rapidly increasing in Africa with impacts on native species, rural livelihoods and production systems </w:t>
      </w:r>
      <w:r w:rsidRPr="009B0448">
        <w:rPr>
          <w:rFonts w:ascii="Times New Roman" w:eastAsia="Times New Roman" w:hAnsi="Times New Roman" w:cs="Times New Roman"/>
          <w:b/>
          <w:i/>
          <w:color w:val="auto"/>
          <w:lang w:eastAsia="en-GB"/>
        </w:rPr>
        <w:t>(established)</w:t>
      </w:r>
      <w:r w:rsidRPr="009B0448">
        <w:rPr>
          <w:rFonts w:ascii="Times New Roman" w:eastAsia="Times New Roman" w:hAnsi="Times New Roman" w:cs="Times New Roman"/>
          <w:b/>
          <w:color w:val="auto"/>
          <w:lang w:eastAsia="en-GB"/>
        </w:rPr>
        <w:t>.</w:t>
      </w:r>
      <w:r w:rsidRPr="009B0448">
        <w:rPr>
          <w:rFonts w:ascii="Times New Roman" w:eastAsia="Times New Roman" w:hAnsi="Times New Roman" w:cs="Times New Roman"/>
          <w:color w:val="auto"/>
          <w:lang w:eastAsia="en-GB"/>
        </w:rPr>
        <w:t xml:space="preserve"> These impacts affect major economic sectors including agriculture, forestry, tourism, fisheries and others. The introduction of most invasive alien species occurs for various reasons including enhanced supply of goods and services to people (e.g., timber, food, medicinal and manufacturing purposes), but the proliferation of invasive alien species into natural systems is rapid and complex. The management and control of invasive alien species in Africa remains a challenge. A few countries have quantified the extent and the impact of invasive alien species on biodiversity and nature’s contributions to people. However, challenges remain with understanding rates of spread, complex interactions with disturbance regimes and natural climate variability. Climate change is set to exacerbate the impact of invasive alien species in many African ecosystems </w:t>
      </w:r>
      <w:r w:rsidRPr="009B0448">
        <w:rPr>
          <w:rFonts w:ascii="Times New Roman" w:eastAsia="Times New Roman" w:hAnsi="Times New Roman" w:cs="Times New Roman"/>
          <w:i/>
          <w:color w:val="auto"/>
          <w:lang w:eastAsia="en-GB"/>
        </w:rPr>
        <w:t>(established, but incomplete)</w:t>
      </w:r>
      <w:r w:rsidRPr="009B0448">
        <w:rPr>
          <w:rFonts w:ascii="Times New Roman" w:eastAsia="Times New Roman" w:hAnsi="Times New Roman" w:cs="Times New Roman"/>
          <w:color w:val="auto"/>
          <w:lang w:eastAsia="en-GB"/>
        </w:rPr>
        <w:t xml:space="preserve"> {4.2.2.3}.</w:t>
      </w:r>
    </w:p>
    <w:p w14:paraId="4446BBF4" w14:textId="77777777" w:rsidR="009B0448" w:rsidRPr="009B0448" w:rsidRDefault="009B0448" w:rsidP="009B0448">
      <w:pPr>
        <w:pStyle w:val="NoSpacing"/>
        <w:widowControl w:val="0"/>
        <w:spacing w:line="276" w:lineRule="auto"/>
        <w:jc w:val="both"/>
        <w:rPr>
          <w:rFonts w:ascii="Times New Roman" w:eastAsia="Times New Roman" w:hAnsi="Times New Roman" w:cs="Times New Roman"/>
          <w:lang w:eastAsia="en-GB"/>
        </w:rPr>
      </w:pPr>
    </w:p>
    <w:p w14:paraId="68A54D7D" w14:textId="735AFF2F" w:rsidR="009B0448" w:rsidRPr="009B0448" w:rsidRDefault="009B0448" w:rsidP="009B0448">
      <w:pPr>
        <w:pStyle w:val="NoSpacing"/>
        <w:widowControl w:val="0"/>
        <w:spacing w:line="276" w:lineRule="auto"/>
        <w:jc w:val="both"/>
        <w:rPr>
          <w:rFonts w:ascii="Times New Roman" w:eastAsia="Times New Roman" w:hAnsi="Times New Roman" w:cs="Times New Roman"/>
          <w:i/>
          <w:color w:val="auto"/>
          <w:lang w:eastAsia="en-GB"/>
        </w:rPr>
      </w:pPr>
      <w:r w:rsidRPr="009B0448">
        <w:rPr>
          <w:rFonts w:ascii="Times New Roman" w:eastAsia="Times New Roman" w:hAnsi="Times New Roman" w:cs="Times New Roman"/>
          <w:b/>
          <w:lang w:eastAsia="en-GB"/>
        </w:rPr>
        <w:t xml:space="preserve">Overharvesting and poaching of vulnerable species (rhino and elephant poaching; lion hunting, abalone and other illegal fishing; illegal logging; charcoal production and </w:t>
      </w:r>
      <w:r w:rsidR="00E05B46" w:rsidRPr="009B0448">
        <w:rPr>
          <w:rFonts w:ascii="Times New Roman" w:eastAsia="Times New Roman" w:hAnsi="Times New Roman" w:cs="Times New Roman"/>
          <w:b/>
          <w:lang w:eastAsia="en-GB"/>
        </w:rPr>
        <w:t>bushmeat</w:t>
      </w:r>
      <w:r w:rsidRPr="009B0448">
        <w:rPr>
          <w:rFonts w:ascii="Times New Roman" w:eastAsia="Times New Roman" w:hAnsi="Times New Roman" w:cs="Times New Roman"/>
          <w:b/>
          <w:lang w:eastAsia="en-GB"/>
        </w:rPr>
        <w:t xml:space="preserve"> harvesting) is driven by commercialisation of biodiversity with national, urban and foreign markets imposing negative impacts on biodiversity and nature’s contributions to people </w:t>
      </w:r>
      <w:r w:rsidRPr="009B0448">
        <w:rPr>
          <w:rFonts w:ascii="Times New Roman" w:eastAsia="Times New Roman" w:hAnsi="Times New Roman" w:cs="Times New Roman"/>
          <w:b/>
          <w:i/>
          <w:color w:val="auto"/>
          <w:lang w:eastAsia="en-GB"/>
        </w:rPr>
        <w:t>(well established).</w:t>
      </w:r>
      <w:r w:rsidRPr="009B0448">
        <w:rPr>
          <w:rFonts w:ascii="Times New Roman" w:eastAsia="Times New Roman" w:hAnsi="Times New Roman" w:cs="Times New Roman"/>
          <w:i/>
          <w:lang w:eastAsia="en-GB"/>
        </w:rPr>
        <w:t xml:space="preserve"> </w:t>
      </w:r>
      <w:r w:rsidRPr="009B0448">
        <w:rPr>
          <w:rFonts w:ascii="Times New Roman" w:eastAsia="Times New Roman" w:hAnsi="Times New Roman" w:cs="Times New Roman"/>
          <w:lang w:eastAsia="en-GB"/>
        </w:rPr>
        <w:t xml:space="preserve">The proliferation of unsustainable harvesting of </w:t>
      </w:r>
      <w:r w:rsidRPr="009B0448">
        <w:rPr>
          <w:rFonts w:ascii="Times New Roman" w:hAnsi="Times New Roman" w:cs="Times New Roman"/>
        </w:rPr>
        <w:t xml:space="preserve">wildlife is exacerbating the impacts of habitat loss. Rhino and elephant poaching for horn and ivory, respectively, have led to substantial decline in the populations of these keystone species in many subregions in Africa {4.2.2.2.3}. </w:t>
      </w:r>
      <w:r w:rsidRPr="009B0448">
        <w:rPr>
          <w:rFonts w:ascii="Times New Roman" w:eastAsia="Times New Roman" w:hAnsi="Times New Roman" w:cs="Times New Roman"/>
          <w:lang w:eastAsia="en-GB"/>
        </w:rPr>
        <w:t xml:space="preserve">Global markets and demand for wildlife products as well as local pressure from privately owned commercial wildlife ranches have severely challenged national policies because of the prevailing poverty, illicit trade and the high value of these products in the global markets. Illicit trade in wildlife is many cases linked with international criminal gangs involved in the drug trade, human trafficking and terrorism </w:t>
      </w:r>
      <w:r w:rsidRPr="009B0448">
        <w:rPr>
          <w:rFonts w:ascii="Times New Roman" w:eastAsia="Times New Roman" w:hAnsi="Times New Roman" w:cs="Times New Roman"/>
          <w:i/>
          <w:color w:val="auto"/>
          <w:lang w:eastAsia="en-GB"/>
        </w:rPr>
        <w:t>(well established)</w:t>
      </w:r>
      <w:r w:rsidRPr="009B0448">
        <w:rPr>
          <w:rFonts w:ascii="Times New Roman" w:eastAsia="Times New Roman" w:hAnsi="Times New Roman" w:cs="Times New Roman"/>
          <w:color w:val="auto"/>
          <w:lang w:eastAsia="en-GB"/>
        </w:rPr>
        <w:t xml:space="preserve"> {4.2.2.2}</w:t>
      </w:r>
      <w:r w:rsidRPr="009B0448">
        <w:rPr>
          <w:rFonts w:ascii="Times New Roman" w:eastAsia="Times New Roman" w:hAnsi="Times New Roman" w:cs="Times New Roman"/>
          <w:i/>
          <w:color w:val="auto"/>
          <w:lang w:eastAsia="en-GB"/>
        </w:rPr>
        <w:t>.</w:t>
      </w:r>
    </w:p>
    <w:p w14:paraId="289AAA0D" w14:textId="77777777" w:rsidR="009B0448" w:rsidRPr="009B0448" w:rsidRDefault="009B0448" w:rsidP="009B0448">
      <w:pPr>
        <w:pStyle w:val="NoSpacing"/>
        <w:widowControl w:val="0"/>
        <w:spacing w:line="276" w:lineRule="auto"/>
        <w:jc w:val="both"/>
        <w:rPr>
          <w:rFonts w:ascii="Times New Roman" w:hAnsi="Times New Roman" w:cs="Times New Roman"/>
        </w:rPr>
      </w:pPr>
    </w:p>
    <w:p w14:paraId="507A6EF1" w14:textId="7B37759C" w:rsidR="009B0448" w:rsidRPr="009B0448" w:rsidRDefault="009B0448" w:rsidP="009B0448">
      <w:pPr>
        <w:pStyle w:val="NoSpacing"/>
        <w:widowControl w:val="0"/>
        <w:spacing w:line="276" w:lineRule="auto"/>
        <w:jc w:val="both"/>
        <w:rPr>
          <w:rFonts w:ascii="Times New Roman" w:hAnsi="Times New Roman" w:cs="Times New Roman"/>
        </w:rPr>
      </w:pPr>
      <w:r w:rsidRPr="009B0448">
        <w:rPr>
          <w:rFonts w:ascii="Times New Roman" w:hAnsi="Times New Roman" w:cs="Times New Roman"/>
          <w:b/>
        </w:rPr>
        <w:t xml:space="preserve">Soil, water and air </w:t>
      </w:r>
      <w:r w:rsidRPr="009B0448">
        <w:rPr>
          <w:rFonts w:ascii="Times New Roman" w:hAnsi="Times New Roman" w:cs="Times New Roman"/>
          <w:b/>
          <w:color w:val="auto"/>
        </w:rPr>
        <w:t xml:space="preserve">pollution present major challenges and cause biodiversity and undermine nature’s contributions to people and </w:t>
      </w:r>
      <w:r w:rsidRPr="009B0448">
        <w:rPr>
          <w:rFonts w:ascii="Times New Roman" w:eastAsia="Times New Roman" w:hAnsi="Times New Roman" w:cs="Times New Roman"/>
          <w:b/>
        </w:rPr>
        <w:t>good quality of life</w:t>
      </w:r>
      <w:r w:rsidRPr="009B0448">
        <w:rPr>
          <w:rFonts w:ascii="Times New Roman" w:hAnsi="Times New Roman" w:cs="Times New Roman"/>
          <w:b/>
        </w:rPr>
        <w:t xml:space="preserve"> in general. Pollution has led to degradation of ecosystem functions and services in Africa </w:t>
      </w:r>
      <w:r w:rsidRPr="009B0448">
        <w:rPr>
          <w:rFonts w:ascii="Times New Roman" w:eastAsia="Times New Roman" w:hAnsi="Times New Roman" w:cs="Times New Roman"/>
          <w:b/>
          <w:i/>
          <w:color w:val="auto"/>
          <w:lang w:eastAsia="en-GB"/>
        </w:rPr>
        <w:t xml:space="preserve">(well established). </w:t>
      </w:r>
      <w:r w:rsidR="00C813C5">
        <w:rPr>
          <w:rFonts w:ascii="Times New Roman" w:hAnsi="Times New Roman" w:cs="Times New Roman"/>
        </w:rPr>
        <w:t>Population growth and urbanis</w:t>
      </w:r>
      <w:r w:rsidRPr="009B0448">
        <w:rPr>
          <w:rFonts w:ascii="Times New Roman" w:hAnsi="Times New Roman" w:cs="Times New Roman"/>
        </w:rPr>
        <w:t xml:space="preserve">ation has created a greater demand for food production, energy and water but also increased the amount of wastes associated with provision of various services that rapidly growing urban populations demand. The expansion of agriculture, extractive (mining) and manufacturing industries, transport and building sectors and urban settlements is not congruent with existing effluent and waste-management strategies. A large number of chemicals and pollutants including prohibited Persistent Organic Pollutants such as Dichlorodiphenyltrichloroethane (DDT) continue to be marketed and used in the region with dire consequences for human health </w:t>
      </w:r>
      <w:r w:rsidRPr="009B0448">
        <w:rPr>
          <w:rFonts w:ascii="Times New Roman" w:eastAsia="Times New Roman" w:hAnsi="Times New Roman" w:cs="Times New Roman"/>
          <w:i/>
          <w:color w:val="auto"/>
          <w:lang w:eastAsia="en-GB"/>
        </w:rPr>
        <w:t>(well established)</w:t>
      </w:r>
      <w:r w:rsidRPr="009B0448">
        <w:rPr>
          <w:rFonts w:ascii="Times New Roman" w:eastAsia="Times New Roman" w:hAnsi="Times New Roman" w:cs="Times New Roman"/>
          <w:color w:val="auto"/>
          <w:lang w:eastAsia="en-GB"/>
        </w:rPr>
        <w:t xml:space="preserve"> {4.2.2.4}</w:t>
      </w:r>
      <w:r w:rsidRPr="009B0448">
        <w:rPr>
          <w:rFonts w:ascii="Times New Roman" w:hAnsi="Times New Roman" w:cs="Times New Roman"/>
        </w:rPr>
        <w:t>.</w:t>
      </w:r>
    </w:p>
    <w:p w14:paraId="03FEF290" w14:textId="77777777" w:rsidR="009B0448" w:rsidRPr="009B0448" w:rsidRDefault="009B0448" w:rsidP="009B0448">
      <w:pPr>
        <w:pStyle w:val="NoSpacing"/>
        <w:widowControl w:val="0"/>
        <w:spacing w:line="276" w:lineRule="auto"/>
        <w:jc w:val="both"/>
        <w:rPr>
          <w:rFonts w:ascii="Times New Roman" w:hAnsi="Times New Roman" w:cs="Times New Roman"/>
        </w:rPr>
      </w:pPr>
    </w:p>
    <w:p w14:paraId="66AC3E13" w14:textId="77777777" w:rsidR="009B0448" w:rsidRPr="009B0448" w:rsidRDefault="009B0448" w:rsidP="009B0448">
      <w:pPr>
        <w:pStyle w:val="NoSpacing"/>
        <w:widowControl w:val="0"/>
        <w:spacing w:line="276" w:lineRule="auto"/>
        <w:jc w:val="both"/>
        <w:rPr>
          <w:rFonts w:ascii="Times New Roman" w:eastAsia="Times New Roman" w:hAnsi="Times New Roman" w:cs="Times New Roman"/>
          <w:i/>
        </w:rPr>
      </w:pPr>
      <w:r w:rsidRPr="009B0448">
        <w:rPr>
          <w:rFonts w:ascii="Times New Roman" w:eastAsia="Times New Roman" w:hAnsi="Times New Roman" w:cs="Times New Roman"/>
          <w:b/>
        </w:rPr>
        <w:t xml:space="preserve">Fires burn significant amounts of biomass across Africa every year, with more than half of global fires occurring in the continent of Africa. These is to a large extent being natural fires. However, the alteration of fire frequency and intensity impacts on biodiversity and nature’s contributions to people </w:t>
      </w:r>
      <w:r w:rsidRPr="009B0448">
        <w:rPr>
          <w:rFonts w:ascii="Times New Roman" w:eastAsia="Times New Roman" w:hAnsi="Times New Roman" w:cs="Times New Roman"/>
          <w:b/>
          <w:i/>
        </w:rPr>
        <w:t>(well established).</w:t>
      </w:r>
      <w:r w:rsidRPr="009B0448">
        <w:rPr>
          <w:rFonts w:ascii="Times New Roman" w:eastAsia="Times New Roman" w:hAnsi="Times New Roman" w:cs="Times New Roman"/>
        </w:rPr>
        <w:t xml:space="preserve"> Many landscapes of West, East and Southern Africa, especially in grasslands, fynbos and savannas, are fire-dependent ecosystems and burn frequently, especially during the dry season. Eliminating fire from these systems is detrimental to biodiversity. North Africa, and parts of east and southern Africa are semi-arid to arid and not prone to fire due to very low biomass to sustain fire. The equatorial region of Central Africa is too moist to support fires. Emissions from Africa’s fires can be largely considered as climate-neutral as the burned biomass is replaced over the next few seasons. Climate change may, however change the nature of fires and the extent of areas burnt {4.2.1.2}</w:t>
      </w:r>
      <w:r w:rsidRPr="009B0448">
        <w:rPr>
          <w:rFonts w:ascii="Times New Roman" w:eastAsia="Times New Roman" w:hAnsi="Times New Roman" w:cs="Times New Roman"/>
          <w:i/>
        </w:rPr>
        <w:t>.</w:t>
      </w:r>
    </w:p>
    <w:p w14:paraId="78D64ED8" w14:textId="77777777" w:rsidR="009B0448" w:rsidRPr="009B0448" w:rsidRDefault="009B0448" w:rsidP="009B0448">
      <w:pPr>
        <w:pStyle w:val="NoSpacing"/>
        <w:widowControl w:val="0"/>
        <w:spacing w:line="276" w:lineRule="auto"/>
        <w:jc w:val="both"/>
        <w:rPr>
          <w:rFonts w:ascii="Times New Roman" w:eastAsia="Times New Roman" w:hAnsi="Times New Roman" w:cs="Times New Roman"/>
        </w:rPr>
      </w:pPr>
    </w:p>
    <w:p w14:paraId="509B9C8B" w14:textId="7275A244" w:rsidR="009B0448" w:rsidRPr="009B0448" w:rsidRDefault="009B0448" w:rsidP="009B0448">
      <w:pPr>
        <w:pStyle w:val="NoSpacing"/>
        <w:widowControl w:val="0"/>
        <w:spacing w:line="276" w:lineRule="auto"/>
        <w:jc w:val="both"/>
        <w:rPr>
          <w:rFonts w:ascii="Times New Roman" w:eastAsia="Times New Roman" w:hAnsi="Times New Roman" w:cs="Times New Roman"/>
          <w:color w:val="auto"/>
          <w:lang w:eastAsia="en-GB"/>
        </w:rPr>
      </w:pPr>
      <w:r w:rsidRPr="009B0448">
        <w:rPr>
          <w:rFonts w:ascii="Times New Roman" w:eastAsia="Times New Roman" w:hAnsi="Times New Roman" w:cs="Times New Roman"/>
          <w:b/>
          <w:lang w:eastAsia="en-GB"/>
        </w:rPr>
        <w:t xml:space="preserve">Changes in land ownership and an increase in land acquisition (land grabs) to meet local, national and global food and renewable energy demand are driving changes in nature and nature’s contributions to people. Land ownership is shifting from small-holder farmers to large-scale commercial farming and land-use (or the focus of production systems) is shifting from subsistence agriculture to supply a growing international biofuels industry, influenced by policies in rich nations </w:t>
      </w:r>
      <w:r w:rsidRPr="009B0448">
        <w:rPr>
          <w:rFonts w:ascii="Times New Roman" w:eastAsia="Times New Roman" w:hAnsi="Times New Roman" w:cs="Times New Roman"/>
          <w:b/>
          <w:i/>
          <w:color w:val="auto"/>
          <w:lang w:eastAsia="en-GB"/>
        </w:rPr>
        <w:t>(established but incomplete)</w:t>
      </w:r>
      <w:r w:rsidRPr="009B0448">
        <w:rPr>
          <w:rFonts w:ascii="Times New Roman" w:eastAsia="Times New Roman" w:hAnsi="Times New Roman" w:cs="Times New Roman"/>
          <w:b/>
          <w:lang w:eastAsia="en-GB"/>
        </w:rPr>
        <w:t>.</w:t>
      </w:r>
      <w:r w:rsidRPr="009B0448">
        <w:rPr>
          <w:rFonts w:ascii="Times New Roman" w:eastAsia="Times New Roman" w:hAnsi="Times New Roman" w:cs="Times New Roman"/>
          <w:lang w:eastAsia="en-GB"/>
        </w:rPr>
        <w:t xml:space="preserve"> This is contributing to land conversion as critical ecosystems including wetlands, rangelands and forests are being converted into agricultural land for food or energy markets </w:t>
      </w:r>
      <w:r w:rsidRPr="009B0448">
        <w:rPr>
          <w:rFonts w:ascii="Times New Roman" w:eastAsia="Times New Roman" w:hAnsi="Times New Roman" w:cs="Times New Roman"/>
          <w:i/>
          <w:color w:val="auto"/>
          <w:lang w:eastAsia="en-GB"/>
        </w:rPr>
        <w:t>(well established)</w:t>
      </w:r>
      <w:r w:rsidRPr="009B0448">
        <w:rPr>
          <w:rFonts w:ascii="Times New Roman" w:eastAsia="Times New Roman" w:hAnsi="Times New Roman" w:cs="Times New Roman"/>
          <w:lang w:eastAsia="en-GB"/>
        </w:rPr>
        <w:t xml:space="preserve">. There are also trade-offs in the use of land for the production and supply of food, water, energy and other </w:t>
      </w:r>
      <w:r w:rsidR="00917FB2">
        <w:rPr>
          <w:rFonts w:ascii="Times New Roman" w:eastAsia="Times New Roman" w:hAnsi="Times New Roman" w:cs="Times New Roman"/>
          <w:lang w:eastAsia="en-GB"/>
        </w:rPr>
        <w:t>land-use</w:t>
      </w:r>
      <w:r w:rsidRPr="009B0448">
        <w:rPr>
          <w:rFonts w:ascii="Times New Roman" w:eastAsia="Times New Roman" w:hAnsi="Times New Roman" w:cs="Times New Roman"/>
          <w:lang w:eastAsia="en-GB"/>
        </w:rPr>
        <w:t>s such as mining and development of human settlements (food-water-energy nexus)</w:t>
      </w:r>
      <w:r w:rsidRPr="009B0448">
        <w:rPr>
          <w:rFonts w:ascii="Times New Roman" w:eastAsia="Times New Roman" w:hAnsi="Times New Roman" w:cs="Times New Roman"/>
          <w:i/>
          <w:lang w:eastAsia="en-GB"/>
        </w:rPr>
        <w:t xml:space="preserve"> </w:t>
      </w:r>
      <w:r w:rsidRPr="009B0448">
        <w:rPr>
          <w:rFonts w:ascii="Times New Roman" w:eastAsia="Times New Roman" w:hAnsi="Times New Roman" w:cs="Times New Roman"/>
          <w:i/>
          <w:color w:val="auto"/>
          <w:lang w:eastAsia="en-GB"/>
        </w:rPr>
        <w:t xml:space="preserve">(well established) </w:t>
      </w:r>
      <w:r w:rsidRPr="009B0448">
        <w:rPr>
          <w:rFonts w:ascii="Times New Roman" w:eastAsia="Times New Roman" w:hAnsi="Times New Roman" w:cs="Times New Roman"/>
          <w:color w:val="auto"/>
          <w:lang w:eastAsia="en-GB"/>
        </w:rPr>
        <w:t>{4.4.1}.</w:t>
      </w:r>
    </w:p>
    <w:p w14:paraId="7CD165DF" w14:textId="77777777" w:rsidR="009B0448" w:rsidRPr="009B0448" w:rsidRDefault="009B0448" w:rsidP="009B0448">
      <w:pPr>
        <w:pStyle w:val="NoSpacing"/>
        <w:widowControl w:val="0"/>
        <w:spacing w:line="276" w:lineRule="auto"/>
        <w:jc w:val="both"/>
        <w:rPr>
          <w:rFonts w:ascii="Times New Roman" w:eastAsia="Times New Roman" w:hAnsi="Times New Roman" w:cs="Times New Roman"/>
          <w:lang w:eastAsia="en-GB"/>
        </w:rPr>
      </w:pPr>
    </w:p>
    <w:p w14:paraId="083E1300" w14:textId="77777777" w:rsidR="009B0448" w:rsidRPr="009B0448" w:rsidRDefault="009B0448" w:rsidP="009B0448">
      <w:pPr>
        <w:pStyle w:val="NoSpacing"/>
        <w:widowControl w:val="0"/>
        <w:spacing w:line="276" w:lineRule="auto"/>
        <w:jc w:val="both"/>
        <w:rPr>
          <w:rFonts w:ascii="Times New Roman" w:eastAsia="Times New Roman" w:hAnsi="Times New Roman" w:cs="Times New Roman"/>
          <w:color w:val="auto"/>
          <w:lang w:eastAsia="en-GB"/>
        </w:rPr>
      </w:pPr>
      <w:r w:rsidRPr="009B0448">
        <w:rPr>
          <w:rFonts w:ascii="Times New Roman" w:hAnsi="Times New Roman" w:cs="Times New Roman"/>
          <w:b/>
        </w:rPr>
        <w:t xml:space="preserve">Sustainable development thrives best in an environment of good governance, peace and security whereas armed conflict has substantial costs in human and material terms, hinders production, damages infrastructure, prevents the reliable delivery of social services to communities </w:t>
      </w:r>
      <w:r w:rsidRPr="009B0448">
        <w:rPr>
          <w:rFonts w:ascii="Times New Roman" w:eastAsia="Times New Roman" w:hAnsi="Times New Roman" w:cs="Times New Roman"/>
          <w:b/>
          <w:i/>
          <w:color w:val="auto"/>
          <w:lang w:eastAsia="en-GB"/>
        </w:rPr>
        <w:t>(well established)</w:t>
      </w:r>
      <w:r w:rsidRPr="009B0448">
        <w:rPr>
          <w:rFonts w:ascii="Times New Roman" w:hAnsi="Times New Roman" w:cs="Times New Roman"/>
          <w:b/>
        </w:rPr>
        <w:t>.</w:t>
      </w:r>
      <w:r w:rsidRPr="009B0448">
        <w:rPr>
          <w:rFonts w:ascii="Times New Roman" w:hAnsi="Times New Roman" w:cs="Times New Roman"/>
        </w:rPr>
        <w:t xml:space="preserve"> Organised criminal networks carry out environmental crimes (poaching, illegal wildlife trade, illegal trade of timber and non-timber forest products) across borders and affect national economies, security and threaten sovereignty of some countries </w:t>
      </w:r>
      <w:r w:rsidRPr="009B0448">
        <w:rPr>
          <w:rFonts w:ascii="Times New Roman" w:eastAsia="Times New Roman" w:hAnsi="Times New Roman" w:cs="Times New Roman"/>
          <w:i/>
          <w:color w:val="auto"/>
          <w:lang w:eastAsia="en-GB"/>
        </w:rPr>
        <w:t>(well established)</w:t>
      </w:r>
      <w:r w:rsidRPr="009B0448">
        <w:rPr>
          <w:rFonts w:ascii="Times New Roman" w:hAnsi="Times New Roman" w:cs="Times New Roman"/>
        </w:rPr>
        <w:t xml:space="preserve">. Environmental crimes undermine the livelihoods of natural resource dependent communities, damage the health of the ecosystems they depend on, and restrict potential investment in development of affected areas. Terrorists and rebel groups participate in environmental crimes in order to fund their illegal activities </w:t>
      </w:r>
      <w:r w:rsidRPr="009B0448">
        <w:rPr>
          <w:rFonts w:ascii="Times New Roman" w:eastAsia="Times New Roman" w:hAnsi="Times New Roman" w:cs="Times New Roman"/>
          <w:i/>
          <w:color w:val="auto"/>
          <w:lang w:eastAsia="en-GB"/>
        </w:rPr>
        <w:t>(well established)</w:t>
      </w:r>
      <w:r w:rsidRPr="009B0448">
        <w:rPr>
          <w:rFonts w:ascii="Times New Roman" w:hAnsi="Times New Roman" w:cs="Times New Roman"/>
        </w:rPr>
        <w:t xml:space="preserve">. </w:t>
      </w:r>
      <w:r w:rsidRPr="009B0448">
        <w:rPr>
          <w:rFonts w:ascii="Times New Roman" w:eastAsia="Times New Roman" w:hAnsi="Times New Roman" w:cs="Times New Roman"/>
          <w:lang w:eastAsia="en-GB"/>
        </w:rPr>
        <w:t>Insecurity</w:t>
      </w:r>
      <w:r w:rsidRPr="009B0448">
        <w:rPr>
          <w:rFonts w:ascii="Times New Roman" w:hAnsi="Times New Roman" w:cs="Times New Roman"/>
          <w:lang w:eastAsia="en-GB"/>
        </w:rPr>
        <w:t xml:space="preserve"> </w:t>
      </w:r>
      <w:r w:rsidRPr="009B0448">
        <w:rPr>
          <w:rFonts w:ascii="Times New Roman" w:eastAsia="Times New Roman" w:hAnsi="Times New Roman" w:cs="Times New Roman"/>
          <w:lang w:eastAsia="en-GB"/>
        </w:rPr>
        <w:t>leads to localized biodiversity loss, especially diversity of wild fauna</w:t>
      </w:r>
      <w:r w:rsidRPr="009B0448">
        <w:rPr>
          <w:rFonts w:ascii="Times New Roman" w:hAnsi="Times New Roman" w:cs="Times New Roman"/>
          <w:lang w:eastAsia="en-GB"/>
        </w:rPr>
        <w:t xml:space="preserve"> and, </w:t>
      </w:r>
      <w:r w:rsidRPr="009B0448">
        <w:rPr>
          <w:rFonts w:ascii="Times New Roman" w:eastAsia="Times New Roman" w:hAnsi="Times New Roman" w:cs="Times New Roman"/>
          <w:lang w:eastAsia="en-GB"/>
        </w:rPr>
        <w:t>undermin</w:t>
      </w:r>
      <w:r w:rsidRPr="009B0448">
        <w:rPr>
          <w:rFonts w:ascii="Times New Roman" w:hAnsi="Times New Roman" w:cs="Times New Roman"/>
          <w:lang w:eastAsia="en-GB"/>
        </w:rPr>
        <w:t>es</w:t>
      </w:r>
      <w:r w:rsidRPr="009B0448">
        <w:rPr>
          <w:rFonts w:ascii="Times New Roman" w:eastAsia="Times New Roman" w:hAnsi="Times New Roman" w:cs="Times New Roman"/>
          <w:lang w:eastAsia="en-GB"/>
        </w:rPr>
        <w:t xml:space="preserve"> Africa’s conservation legacy </w:t>
      </w:r>
      <w:r w:rsidRPr="009B0448">
        <w:rPr>
          <w:rFonts w:ascii="Times New Roman" w:hAnsi="Times New Roman" w:cs="Times New Roman"/>
          <w:lang w:eastAsia="en-GB"/>
        </w:rPr>
        <w:t xml:space="preserve">and livelihoods of resource-dependent communities </w:t>
      </w:r>
      <w:r w:rsidRPr="009B0448">
        <w:rPr>
          <w:rFonts w:ascii="Times New Roman" w:eastAsia="Times New Roman" w:hAnsi="Times New Roman" w:cs="Times New Roman"/>
          <w:i/>
          <w:color w:val="auto"/>
          <w:lang w:eastAsia="en-GB"/>
        </w:rPr>
        <w:t>(well established)</w:t>
      </w:r>
      <w:r w:rsidRPr="009B0448">
        <w:rPr>
          <w:rFonts w:ascii="Times New Roman" w:eastAsia="Times New Roman" w:hAnsi="Times New Roman" w:cs="Times New Roman"/>
          <w:color w:val="auto"/>
          <w:lang w:eastAsia="en-GB"/>
        </w:rPr>
        <w:t xml:space="preserve"> {4.2.2.2.3, 4.4.1.2}</w:t>
      </w:r>
      <w:r w:rsidRPr="009B0448">
        <w:rPr>
          <w:rFonts w:ascii="Times New Roman" w:eastAsia="Times New Roman" w:hAnsi="Times New Roman" w:cs="Times New Roman"/>
          <w:i/>
          <w:color w:val="auto"/>
          <w:lang w:eastAsia="en-GB"/>
        </w:rPr>
        <w:t>.</w:t>
      </w:r>
      <w:r w:rsidRPr="009B0448">
        <w:rPr>
          <w:rFonts w:ascii="Times New Roman" w:eastAsia="Times New Roman" w:hAnsi="Times New Roman" w:cs="Times New Roman"/>
          <w:color w:val="auto"/>
          <w:lang w:eastAsia="en-GB"/>
        </w:rPr>
        <w:t xml:space="preserve"> </w:t>
      </w:r>
    </w:p>
    <w:p w14:paraId="506BAB8F" w14:textId="77777777" w:rsidR="009B0448" w:rsidRPr="009B0448" w:rsidRDefault="009B0448" w:rsidP="009B0448">
      <w:pPr>
        <w:pStyle w:val="NoSpacing"/>
        <w:widowControl w:val="0"/>
        <w:spacing w:line="276" w:lineRule="auto"/>
        <w:jc w:val="both"/>
        <w:rPr>
          <w:rFonts w:ascii="Times New Roman" w:eastAsia="Times New Roman" w:hAnsi="Times New Roman" w:cs="Times New Roman"/>
          <w:lang w:eastAsia="en-GB"/>
        </w:rPr>
      </w:pPr>
    </w:p>
    <w:p w14:paraId="4DA16E81" w14:textId="5A3A8CFB" w:rsidR="009B0448" w:rsidRPr="009B0448" w:rsidRDefault="009B0448" w:rsidP="009B0448">
      <w:pPr>
        <w:spacing w:line="276" w:lineRule="auto"/>
        <w:jc w:val="both"/>
        <w:rPr>
          <w:rFonts w:ascii="Times New Roman" w:hAnsi="Times New Roman" w:cs="Times New Roman"/>
        </w:rPr>
      </w:pPr>
      <w:r w:rsidRPr="009B0448">
        <w:rPr>
          <w:rFonts w:ascii="Times New Roman" w:eastAsia="Times New Roman" w:hAnsi="Times New Roman" w:cs="Times New Roman"/>
          <w:b/>
          <w:lang w:eastAsia="en-GB"/>
        </w:rPr>
        <w:t xml:space="preserve">Many communities in Africa are highly depended on natural resource-based livelihoods and are vulnerable to rapid societal changes in policies that affect their indigenous and local ways of livelihood </w:t>
      </w:r>
      <w:r w:rsidRPr="009B0448">
        <w:rPr>
          <w:rFonts w:ascii="Times New Roman" w:eastAsia="Times New Roman" w:hAnsi="Times New Roman" w:cs="Times New Roman"/>
          <w:b/>
          <w:i/>
          <w:color w:val="auto"/>
          <w:lang w:eastAsia="en-GB"/>
        </w:rPr>
        <w:t xml:space="preserve">(well established). </w:t>
      </w:r>
      <w:r w:rsidRPr="009B0448">
        <w:rPr>
          <w:rFonts w:ascii="Times New Roman" w:eastAsia="Times New Roman" w:hAnsi="Times New Roman" w:cs="Times New Roman"/>
          <w:lang w:eastAsia="en-GB"/>
        </w:rPr>
        <w:t>Rapid changes (observable climate change, rapid urbani</w:t>
      </w:r>
      <w:r w:rsidR="00C813C5">
        <w:rPr>
          <w:rFonts w:ascii="Times New Roman" w:eastAsia="Times New Roman" w:hAnsi="Times New Roman" w:cs="Times New Roman"/>
          <w:lang w:eastAsia="en-GB"/>
        </w:rPr>
        <w:t>s</w:t>
      </w:r>
      <w:r w:rsidRPr="009B0448">
        <w:rPr>
          <w:rFonts w:ascii="Times New Roman" w:eastAsia="Times New Roman" w:hAnsi="Times New Roman" w:cs="Times New Roman"/>
          <w:lang w:eastAsia="en-GB"/>
        </w:rPr>
        <w:t xml:space="preserve">ation, rapid land transformation, changes in production systems) are strongly linked to the vulnerability of indigenous and local peoples and communities. There may be unintended consequences in that indigenous and local knowledge may be a barrier to exploring alternative development options. This is due to the fact that indigenous and local peoples do not easily adapt to rapid changes, such as those due to climate change, which necessitate changes in preferred crops because of changes in crop suitability maps. Indigenous and local knowledge works in small-scale agriculture setting but rapid changes to large-scale intensified agriculture may undermine indigenous and local knowledge methods </w:t>
      </w:r>
      <w:r w:rsidRPr="009B0448">
        <w:rPr>
          <w:rFonts w:ascii="Times New Roman" w:eastAsia="Times New Roman" w:hAnsi="Times New Roman" w:cs="Times New Roman"/>
          <w:i/>
          <w:color w:val="auto"/>
          <w:lang w:eastAsia="en-GB"/>
        </w:rPr>
        <w:t>(established)</w:t>
      </w:r>
      <w:r w:rsidRPr="009B0448">
        <w:rPr>
          <w:rFonts w:ascii="Times New Roman" w:eastAsia="Times New Roman" w:hAnsi="Times New Roman" w:cs="Times New Roman"/>
          <w:color w:val="auto"/>
          <w:lang w:eastAsia="en-GB"/>
        </w:rPr>
        <w:t xml:space="preserve"> {4.4.4.1, 4.4.7}</w:t>
      </w:r>
      <w:r w:rsidRPr="009B0448">
        <w:rPr>
          <w:rFonts w:ascii="Times New Roman" w:eastAsia="Times New Roman" w:hAnsi="Times New Roman" w:cs="Times New Roman"/>
          <w:i/>
          <w:color w:val="auto"/>
          <w:lang w:eastAsia="en-GB"/>
        </w:rPr>
        <w:t>.</w:t>
      </w:r>
    </w:p>
    <w:p w14:paraId="451937BC" w14:textId="77777777" w:rsidR="009B0448" w:rsidRPr="009B0448" w:rsidRDefault="009B0448" w:rsidP="00FA7185">
      <w:pPr>
        <w:pStyle w:val="ListParagraph"/>
        <w:numPr>
          <w:ilvl w:val="0"/>
          <w:numId w:val="20"/>
        </w:numPr>
        <w:pBdr>
          <w:top w:val="none" w:sz="0" w:space="0" w:color="auto"/>
          <w:left w:val="none" w:sz="0" w:space="0" w:color="auto"/>
          <w:bottom w:val="none" w:sz="0" w:space="0" w:color="auto"/>
          <w:right w:val="none" w:sz="0" w:space="0" w:color="auto"/>
          <w:between w:val="none" w:sz="0" w:space="0" w:color="auto"/>
        </w:pBdr>
        <w:spacing w:after="200" w:line="276" w:lineRule="auto"/>
        <w:jc w:val="both"/>
        <w:rPr>
          <w:rFonts w:ascii="Times New Roman" w:hAnsi="Times New Roman" w:cs="Times New Roman"/>
        </w:rPr>
      </w:pPr>
      <w:r w:rsidRPr="009B0448">
        <w:rPr>
          <w:rFonts w:ascii="Times New Roman" w:hAnsi="Times New Roman" w:cs="Times New Roman"/>
          <w:color w:val="auto"/>
          <w:sz w:val="24"/>
          <w:szCs w:val="24"/>
        </w:rPr>
        <w:br w:type="page"/>
      </w:r>
    </w:p>
    <w:p w14:paraId="737BFE36" w14:textId="77777777" w:rsidR="009B0448" w:rsidRPr="009B0448" w:rsidRDefault="009B0448" w:rsidP="00FA7185">
      <w:pPr>
        <w:pStyle w:val="ListParagraph"/>
        <w:keepNext/>
        <w:keepLines/>
        <w:widowControl w:val="0"/>
        <w:numPr>
          <w:ilvl w:val="0"/>
          <w:numId w:val="17"/>
        </w:numPr>
        <w:pBdr>
          <w:top w:val="none" w:sz="0" w:space="0" w:color="auto"/>
          <w:left w:val="none" w:sz="0" w:space="0" w:color="auto"/>
          <w:bottom w:val="none" w:sz="0" w:space="0" w:color="auto"/>
          <w:right w:val="none" w:sz="0" w:space="0" w:color="auto"/>
          <w:between w:val="none" w:sz="0" w:space="0" w:color="auto"/>
        </w:pBdr>
        <w:spacing w:before="240" w:after="240"/>
        <w:outlineLvl w:val="2"/>
        <w:rPr>
          <w:rFonts w:ascii="Times New Roman" w:hAnsi="Times New Roman" w:cs="Times New Roman"/>
          <w:b/>
          <w:vanish/>
          <w:color w:val="auto"/>
          <w:sz w:val="24"/>
          <w:szCs w:val="24"/>
        </w:rPr>
      </w:pPr>
      <w:bookmarkStart w:id="243" w:name="_Toc504129062"/>
      <w:bookmarkStart w:id="244" w:name="_Toc518377869"/>
      <w:bookmarkStart w:id="245" w:name="_Toc518378204"/>
      <w:bookmarkStart w:id="246" w:name="_Toc518396284"/>
      <w:bookmarkStart w:id="247" w:name="_Toc518396614"/>
      <w:bookmarkStart w:id="248" w:name="_Toc518643435"/>
      <w:bookmarkStart w:id="249" w:name="_Toc518980120"/>
      <w:bookmarkStart w:id="250" w:name="_Toc518980450"/>
      <w:bookmarkStart w:id="251" w:name="_Toc519084708"/>
      <w:bookmarkStart w:id="252" w:name="_Toc519085039"/>
      <w:bookmarkStart w:id="253" w:name="_Toc519494936"/>
      <w:bookmarkStart w:id="254" w:name="_Toc503032774"/>
      <w:bookmarkStart w:id="255" w:name="_Toc519499929"/>
      <w:bookmarkEnd w:id="243"/>
      <w:bookmarkEnd w:id="244"/>
      <w:bookmarkEnd w:id="245"/>
      <w:bookmarkEnd w:id="246"/>
      <w:bookmarkEnd w:id="247"/>
      <w:bookmarkEnd w:id="248"/>
      <w:bookmarkEnd w:id="249"/>
      <w:bookmarkEnd w:id="250"/>
      <w:bookmarkEnd w:id="251"/>
      <w:bookmarkEnd w:id="252"/>
      <w:bookmarkEnd w:id="253"/>
      <w:bookmarkEnd w:id="255"/>
    </w:p>
    <w:p w14:paraId="76D4526D"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1163"/>
        <w:rPr>
          <w:rFonts w:eastAsia="Calibri" w:cs="Times New Roman"/>
          <w:szCs w:val="24"/>
        </w:rPr>
      </w:pPr>
      <w:bookmarkStart w:id="256" w:name="_Toc519499930"/>
      <w:r w:rsidRPr="009B0448">
        <w:rPr>
          <w:rFonts w:eastAsia="Calibri" w:cs="Times New Roman"/>
          <w:szCs w:val="24"/>
        </w:rPr>
        <w:t>Introduction</w:t>
      </w:r>
      <w:bookmarkEnd w:id="254"/>
      <w:bookmarkEnd w:id="256"/>
    </w:p>
    <w:p w14:paraId="4A6B26B1"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This chapter deals with direct drivers (both natural and anthropogenic) and indirect drivers of change, as well as interactions between direct natural and anthropogenic drivers of change. Chapter 3 described the current status and trends of biodiversity and ecosystems (nature) and nature’s contributions to people across the continent of Africa. The focus of this chapter is on key drivers that influence the status and trends of biodiversity, ecosystems and nature’s contributions to people identified in Chapters 2 and 3, with a special focus on those that have the highest impact on the unique natural resources and nature’s contributions to the people of Africa. Chapter 4 therefore follows up on the trends and value of nature’s contributions to people dealt with in previous chapters, with more in-depth focus on drivers of change and their likely future dynamics. It is important to understand drivers of change, whether direct or indirect, in order to contribute to informed decision-making about managing the causes of negative changes in nature, nature’s contributions to people and to good quality of life. Such information offers a range of scenarios and governance options for decision-makers, considered in Chapter 5 and Chapter 6, respectively. Both direct and indirect drivers of change constitute an essential part of the IPBES conceptual framework, and will be introduced in this section and elaborated on in sub-sections detailing the type of effects drivers have on nature, nature’s contributions to people and to the quality of life of the peoples of the African continent (Díaz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 Figure 1.1 in Chapter 1).</w:t>
      </w:r>
    </w:p>
    <w:p w14:paraId="0BB84153" w14:textId="77777777" w:rsidR="009B0448" w:rsidRPr="009B0448" w:rsidRDefault="009B0448" w:rsidP="009B0448">
      <w:pPr>
        <w:spacing w:line="276" w:lineRule="auto"/>
        <w:jc w:val="both"/>
        <w:rPr>
          <w:rFonts w:ascii="Times New Roman" w:eastAsia="Times New Roman" w:hAnsi="Times New Roman" w:cs="Times New Roman"/>
        </w:rPr>
      </w:pPr>
    </w:p>
    <w:p w14:paraId="36AECBA5"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Africa is endowed with abundant natural capital supporting livelihoods through a variety of nature’s contributions to people (McNaughton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1988; McClanahan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1996; Tidjani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Scholes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Archibald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Pascual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2017). These encompass a wide range of ecosystems ranging from deserts to tropical rainforests; Afro-alpine to marine habitats; rivers, wetlands, grassland and savanna ecosystems amongst others. Africa’s rich biological and cultural diversity is an asset for the people of the continent. Interactions between diverse climates, vegetation types and topography create unique ecoregions and confer immense biological (floral, faunal and microorganism) diversity on the continent (Dixon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2003; Merbold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Africa’s biodiversity has underpinned its development for generations, as described in Chapter 1. Yet, the continent remains one of the poorest in the world. Instead of bringing prosperity, Africa’s resources have been a source of many conflicts brought about by the scramble for her resources. Africa’s biodiversity and ecosystems face a variety of threats (Figures 4.22, 4.23, &amp; 4.26 on Threats and Pressures). </w:t>
      </w:r>
    </w:p>
    <w:p w14:paraId="6AC73F26" w14:textId="77777777" w:rsidR="009B0448" w:rsidRPr="009B0448" w:rsidRDefault="009B0448" w:rsidP="009B0448">
      <w:pPr>
        <w:spacing w:line="276" w:lineRule="auto"/>
        <w:jc w:val="both"/>
        <w:rPr>
          <w:rFonts w:ascii="Times New Roman" w:eastAsia="Times New Roman" w:hAnsi="Times New Roman" w:cs="Times New Roman"/>
        </w:rPr>
      </w:pPr>
    </w:p>
    <w:p w14:paraId="78CE7635" w14:textId="00F06CE1"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Future trajectories for the continent suggest that Africa will continue to experience high population growth due to hig</w:t>
      </w:r>
      <w:r w:rsidR="00C813C5">
        <w:rPr>
          <w:rFonts w:ascii="Times New Roman" w:eastAsia="Times New Roman" w:hAnsi="Times New Roman" w:cs="Times New Roman"/>
        </w:rPr>
        <w:t>h fertility rates. Rapid urbanis</w:t>
      </w:r>
      <w:r w:rsidRPr="009B0448">
        <w:rPr>
          <w:rFonts w:ascii="Times New Roman" w:eastAsia="Times New Roman" w:hAnsi="Times New Roman" w:cs="Times New Roman"/>
        </w:rPr>
        <w:t xml:space="preserve">ation will also continue for the next half-century due to rural-urban migration (Young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Freire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with a projected 54% of Africa’s population living in urban areas by 2030 (Hay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2005). These migrations are leading to massive and rapid infrastructure developments including roads, sewage, piped water and energy supply to support human settlements. Unlike indigenous and local or rural populations, which tend to be less dependent on centralized infrastructure, urban areas require planning and development of infrastructure and facilities to enable acceptable living conditions. Even though some threats and pressures from these are localized, others such as railways, motorways, overhead transmission lines and oil pipelines tend to operate at regional scales.</w:t>
      </w:r>
    </w:p>
    <w:p w14:paraId="2399D48E" w14:textId="77777777" w:rsidR="009B0448" w:rsidRPr="009B0448" w:rsidRDefault="009B0448" w:rsidP="009B0448">
      <w:pPr>
        <w:spacing w:line="276" w:lineRule="auto"/>
        <w:jc w:val="both"/>
        <w:rPr>
          <w:rFonts w:ascii="Times New Roman" w:eastAsia="Times New Roman" w:hAnsi="Times New Roman" w:cs="Times New Roman"/>
        </w:rPr>
      </w:pPr>
    </w:p>
    <w:p w14:paraId="5F7C0474"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Direct drivers refer to those drivers, pressures and threats that have an explicit impact (negative or positive) on biodiversity, ecosystems and the nature’s contributions to people and can either be natural or anthropogenic. The natural direct drivers discussed in this chapter include climatic factors, natural fires as a driver of ecosystem change, diseases and pests (zoonotic and human diseases) and natural disasters (tsunamis, volcanos, earthquakes). The anthropogenic direct drivers highlighted include land-use and land-cover change (deforestation and loss of rangeland), overexploitation (overgrazing, overharvesting, overfishing), invasive alien species, and pollution (soil, water, air). We have also considered positive drivers such as protected areas, the role of multilateral environmental agreements, and sustainable land management.</w:t>
      </w:r>
    </w:p>
    <w:p w14:paraId="33C3D12D" w14:textId="77777777" w:rsidR="009B0448" w:rsidRPr="009B0448" w:rsidRDefault="009B0448" w:rsidP="009B0448">
      <w:pPr>
        <w:spacing w:line="276" w:lineRule="auto"/>
        <w:jc w:val="both"/>
        <w:rPr>
          <w:rFonts w:ascii="Times New Roman" w:eastAsia="Times New Roman" w:hAnsi="Times New Roman" w:cs="Times New Roman"/>
        </w:rPr>
      </w:pPr>
    </w:p>
    <w:p w14:paraId="7A3C6890"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It is important to note that direct natural drivers of change are natural phenomena that occur without human intervention, although the impact or effect on people may be exacerbated by human activity as in the case of impacts of flooding on human settlements built in floodplains. Anthropogenic drivers, on the other hand, are purely an outcome of human activities, such as clearing of land for housing development or agriculture. Such human activities have a direct effect on biodiversity and ecosystems and therefore directly affect nature’s contributions to people. The effect may be either positive or negative, depending on the benefit people seek to derive from nature. Generally, there are trade-offs that often result because the exploitation of one resource may improve quality of life for some people while diminishing nature’s contributions and quality of life for others. The effects or general impact of these direct drivers of change can be identified, measured and monitored (Nelson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Ash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Díaz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However, there are interactions between natural direct drivers and anthropogenic direct drivers that can be clearly linked to changes in biodiversity and nature’s contributions to people. Climate change is an obvious example of this combined influence of both natural and anthropogenic drivers of change because although climate is a natural phenomenon, it is now widely accepted that increases in greenhouse gas emissions linked to both industrial and post-industrial era, has led to higher rates of global warming. This has huge consequences for both natural and social-ecological systems in Africa. </w:t>
      </w:r>
    </w:p>
    <w:p w14:paraId="7A844582" w14:textId="77777777" w:rsidR="009B0448" w:rsidRPr="009B0448" w:rsidRDefault="009B0448" w:rsidP="009B0448">
      <w:pPr>
        <w:spacing w:line="276" w:lineRule="auto"/>
        <w:jc w:val="both"/>
        <w:rPr>
          <w:rFonts w:ascii="Times New Roman" w:eastAsia="Times New Roman" w:hAnsi="Times New Roman" w:cs="Times New Roman"/>
        </w:rPr>
      </w:pPr>
    </w:p>
    <w:p w14:paraId="3F6B8D54" w14:textId="2FA816E8"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Indirect drivers of change, on the other hand, are drivers that cause alteration of the rate at which direct drivers impact biodiversity and nature’s contributions to people (Nelson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2005). The decisions made by society, whether influenced by leaders in the public or private sector, and the influence of those decisions on human behaviour has major consequences for nature and nature’s contributions to people. There are many examples where decision-making has led to poor outcomes for nature and nature’s contributions to people, leading to declines in the quality of life of the people. The consequences are usually severe for vulnerable communities, particularly rural populations and the poor, who depend directly on nature’s contributions to people for essentials such as food, timber and water. In this chapter we discuss many drivers of change, but we also address in particular those drivers that may result in positive changes in nature and nature’s contributions to people. Here, we consider the following drivers: changes in economic and environmental policies, economic systems, populati</w:t>
      </w:r>
      <w:r w:rsidR="00C813C5">
        <w:rPr>
          <w:rFonts w:ascii="Times New Roman" w:eastAsia="Times New Roman" w:hAnsi="Times New Roman" w:cs="Times New Roman"/>
        </w:rPr>
        <w:t>on growth, migration and urbanis</w:t>
      </w:r>
      <w:r w:rsidRPr="009B0448">
        <w:rPr>
          <w:rFonts w:ascii="Times New Roman" w:eastAsia="Times New Roman" w:hAnsi="Times New Roman" w:cs="Times New Roman"/>
        </w:rPr>
        <w:t>ation, technology developments and application, insecurity and corruption, and cultural practices and spirituality.</w:t>
      </w:r>
    </w:p>
    <w:p w14:paraId="1C19A829" w14:textId="77777777" w:rsidR="009B0448" w:rsidRPr="009B0448" w:rsidRDefault="009B0448" w:rsidP="009B0448">
      <w:pPr>
        <w:spacing w:line="276" w:lineRule="auto"/>
        <w:jc w:val="both"/>
        <w:rPr>
          <w:rFonts w:ascii="Times New Roman" w:eastAsia="Times New Roman" w:hAnsi="Times New Roman" w:cs="Times New Roman"/>
        </w:rPr>
      </w:pPr>
    </w:p>
    <w:p w14:paraId="1F54DBCD"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This chapter takes into consideration that the effects of the different drivers of change vary across Africa’s subregions. Care has thus been taken to ensure that cases of unique subregional or ecosystem (terrestrial, freshwater and coastal/marine) differences among the drivers have been taken into account. This chapter, therefore, provides a critical analysis of how various direct and indirect drivers of change currently influence change in nature and nature’s contributions to people, and ultimately human well-being or the quality of life for the people of Africa. Such an analysis is aided by the use of case studies and infographics. An attempt has been made to link content presented in this chapter to other IPBES thematic assessments (such as those on scenarios and modelling and land degradation), which are also pertinent to the continent of Africa.</w:t>
      </w:r>
      <w:r w:rsidRPr="009B0448">
        <w:rPr>
          <w:rFonts w:ascii="Times New Roman" w:eastAsia="Times New Roman" w:hAnsi="Times New Roman" w:cs="Times New Roman"/>
        </w:rPr>
        <w:br w:type="page"/>
      </w:r>
    </w:p>
    <w:p w14:paraId="15811613"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257" w:name="_Toc503032775"/>
      <w:bookmarkStart w:id="258" w:name="_Toc519499931"/>
      <w:r w:rsidRPr="009B0448">
        <w:rPr>
          <w:rFonts w:eastAsia="Calibri" w:cs="Times New Roman"/>
          <w:szCs w:val="24"/>
        </w:rPr>
        <w:t>Direct drivers of biodiversity change and flow of ecosystem services</w:t>
      </w:r>
      <w:bookmarkEnd w:id="257"/>
      <w:bookmarkEnd w:id="258"/>
    </w:p>
    <w:p w14:paraId="14389F23"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Direct drivers of biodiversity change and ecosystem service flows can be discussed as natural occurrences or anthropogenic ones, taking into consideration that frequent interactions occur between the drivers. All natural systems have a degree of resilience to change - of particular concern is when the drivers of change are of sufficient severity to exceed thresholds leading to a permanent change in the systems dynamics, or in the case of biodiversity to the local or global extinction of species (Holling, 1973; Folke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Direct drivers have an explicit effect on ecosystem dynamics and processes and are known to cause direct physical change that may be identified and monitored (Nelson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Ash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2008).</w:t>
      </w:r>
      <w:r w:rsidRPr="009B0448">
        <w:rPr>
          <w:rFonts w:ascii="Times New Roman" w:hAnsi="Times New Roman" w:cs="Times New Roman"/>
        </w:rPr>
        <w:t xml:space="preserve"> </w:t>
      </w:r>
      <w:r w:rsidRPr="009B0448">
        <w:rPr>
          <w:rFonts w:ascii="Times New Roman" w:eastAsia="Times New Roman" w:hAnsi="Times New Roman" w:cs="Times New Roman"/>
        </w:rPr>
        <w:t>In African ecosystems there are natural disturbances such as drought or fire which occur in most ecosystems, but with location-specific return intervals and severity. These are important for maintaining the integrity and resilience of the ecosystems over the long-term, but can negatively impact on flows of nature’s contributions to people over the short-term. Superimposed on these natural disturbances are a host of anthropogenic drivers of change that can have devastating impacts on the natural environment either on their own or through interactions with the natural disturbances. For instance humans can change the frequency or seasonal timing of fire and climate change can alter the frequency and intensity of droughts (Figure 4.1). In the section below, natural and anthropogenic direct drivers are discussed.</w:t>
      </w:r>
    </w:p>
    <w:p w14:paraId="5B3DB916" w14:textId="77777777" w:rsidR="009B0448" w:rsidRPr="009B0448" w:rsidRDefault="009B0448" w:rsidP="009B0448">
      <w:pPr>
        <w:spacing w:line="276" w:lineRule="auto"/>
        <w:jc w:val="both"/>
        <w:rPr>
          <w:rFonts w:ascii="Times New Roman" w:eastAsia="Times New Roman" w:hAnsi="Times New Roman" w:cs="Times New Roman"/>
        </w:rPr>
      </w:pPr>
    </w:p>
    <w:p w14:paraId="69F263BF" w14:textId="7B065C9B"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7FCF5CAC" wp14:editId="717044A5">
            <wp:extent cx="5730240" cy="2758440"/>
            <wp:effectExtent l="0" t="0" r="3810" b="381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5730240" cy="2758440"/>
                    </a:xfrm>
                    <a:prstGeom prst="rect">
                      <a:avLst/>
                    </a:prstGeom>
                    <a:noFill/>
                    <a:ln>
                      <a:noFill/>
                    </a:ln>
                  </pic:spPr>
                </pic:pic>
              </a:graphicData>
            </a:graphic>
          </wp:inline>
        </w:drawing>
      </w:r>
    </w:p>
    <w:p w14:paraId="12E97FAA"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4.1</w:t>
      </w:r>
      <w:r w:rsidRPr="009B0448">
        <w:rPr>
          <w:rFonts w:ascii="Times New Roman" w:eastAsia="Times New Roman" w:hAnsi="Times New Roman" w:cs="Times New Roman"/>
        </w:rPr>
        <w:t>: The time periods over which different types of disturbances either help stabilize and build resilience in natural biodiversity and the nature’s contributions to people that it provides, or leads to change in the biodiversity and nature’s contributions to people.</w:t>
      </w:r>
    </w:p>
    <w:p w14:paraId="22D3581A"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259" w:name="_Toc503032776"/>
      <w:bookmarkStart w:id="260" w:name="_Toc519499932"/>
      <w:r w:rsidRPr="009B0448">
        <w:rPr>
          <w:rFonts w:cs="Times New Roman"/>
          <w:i w:val="0"/>
          <w:sz w:val="22"/>
          <w:szCs w:val="22"/>
        </w:rPr>
        <w:t>Natural direct drivers</w:t>
      </w:r>
      <w:bookmarkEnd w:id="259"/>
      <w:bookmarkEnd w:id="260"/>
    </w:p>
    <w:p w14:paraId="20E7B1E4"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African biodiversity and ecosystems have evolved under the influence of a number of natural disturbance regimes, and when viewed over sufficient time and space, are to a large extent resilient to natural drivers of change. In fact, many disturbances such as fire, are important for maintaining biodiversity. However, at a local level or short time span, natural drivers can have profound impacts on biodiversity and the flow of nature’s contributions to people. As will be discussed later, the interplay between natural and anthropogenic drivers can enhance these impacts.</w:t>
      </w:r>
    </w:p>
    <w:p w14:paraId="73A04680" w14:textId="77777777" w:rsidR="009B0448" w:rsidRPr="009B0448" w:rsidRDefault="009B0448" w:rsidP="009B0448">
      <w:pPr>
        <w:spacing w:line="276" w:lineRule="auto"/>
        <w:jc w:val="both"/>
        <w:rPr>
          <w:rFonts w:ascii="Times New Roman" w:eastAsia="Times New Roman" w:hAnsi="Times New Roman" w:cs="Times New Roman"/>
        </w:rPr>
      </w:pPr>
    </w:p>
    <w:p w14:paraId="66BD920F" w14:textId="77777777" w:rsidR="009B0448" w:rsidRPr="009B0448" w:rsidRDefault="009B0448" w:rsidP="009B0448">
      <w:pPr>
        <w:tabs>
          <w:tab w:val="left" w:pos="3828"/>
        </w:tabs>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long-term natural drivers of change are now known to be paced by orbital forcing, and display dominant periodicities at 100,000, 41,000 and 23,000 years, which are related to the earth's eccentricity, tilt and precession, respectively. They subtly modulate the incoming radiation from the sun at the surface of the earth, but their effects are amplified by earth-intrinsic factors such as the volume and extent of sea and land ice, vegetation and soil cover, ocean and atmospheric circulation, and variations in cloud cover and type, to an extent where the resultant climatic and environmental changes are large enough to be etched visibly on the geological record (O’Hare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2005). Studies of long-term changes in vegetation indicate that there is a close and dynamical relationship between such changes and variations in temperature, precipitation and atmospheric CO</w:t>
      </w:r>
      <w:r w:rsidRPr="009B0448">
        <w:rPr>
          <w:rFonts w:ascii="Times New Roman" w:eastAsia="Times New Roman" w:hAnsi="Times New Roman" w:cs="Times New Roman"/>
          <w:vertAlign w:val="subscript"/>
        </w:rPr>
        <w:t>2</w:t>
      </w:r>
      <w:r w:rsidRPr="009B0448">
        <w:rPr>
          <w:rFonts w:ascii="Times New Roman" w:eastAsia="Times New Roman" w:hAnsi="Times New Roman" w:cs="Times New Roman"/>
        </w:rPr>
        <w:t xml:space="preserve"> concentrations (Olago, 2001), and the present day distribution of vegetation in Africa largely reflects the continent's precipitation patterns. Large ecosystems may buffer climate signals of small amplitude, but vegetation response time to climate change is slow (Ssemmanda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2002; Marchant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2004).</w:t>
      </w:r>
    </w:p>
    <w:p w14:paraId="11994981"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61" w:name="_Toc503032777"/>
      <w:bookmarkStart w:id="262" w:name="_Toc519499933"/>
      <w:r w:rsidRPr="009B0448">
        <w:rPr>
          <w:rFonts w:cs="Times New Roman"/>
          <w:sz w:val="22"/>
          <w:szCs w:val="22"/>
        </w:rPr>
        <w:t>Natural climate variability and weather patterns</w:t>
      </w:r>
      <w:bookmarkEnd w:id="261"/>
      <w:bookmarkEnd w:id="262"/>
    </w:p>
    <w:p w14:paraId="40A59D99"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rPr>
        <w:t xml:space="preserve">African biodiversity has evolved in an environment with a naturally high level of climate variability, and, as such biodiversity and ecosystem services are adapted to, and dependent on climatic zones and their associated variability (Dixon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2003; Merbold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Africa’s biodiversity is a consequence of past climatic regimes (Letten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The vast savannas, grasslands and deserts have strong seasonality of rainfall. In the northern and southern tips of the continent, there is a Mediterranean climate with hot and dry summers and characterized by winter rainfall. The tropical rainforests of Central Africa and the southern coast of Southern Africa tend to have all year rainfall. </w:t>
      </w:r>
      <w:r w:rsidRPr="009B0448">
        <w:rPr>
          <w:rFonts w:ascii="Times New Roman" w:eastAsia="Times New Roman" w:hAnsi="Times New Roman" w:cs="Times New Roman"/>
          <w:color w:val="auto"/>
        </w:rPr>
        <w:t xml:space="preserve">Rainfall patterns through much of the continent are linked to cyclic fluctuations in sea surface temperature, with the El Niño Southern Oscillation causing cycles of wet and dry years in eastern and southern Africa (Figures 4.2, 4.3, and 4.4). The coefficient of variance of rainfall is negatively correlated with rainfall and the arid areas are therefore the most prone to intense droughts (Tyson, 1986; Plisnier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2000; Davey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2014). Given that arid areas are already at the margins of agricultural productivity, these droughts can have severe human consequence. Droughts are part of the natural cycle and current biodiversity patterns are adapted to them. However, human pressure caused by increased reliance on the natural environment during periods of drought can lead to degradation of these ecosystems (Behnke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2016). </w:t>
      </w:r>
    </w:p>
    <w:p w14:paraId="2C9BD837" w14:textId="77777777" w:rsidR="009B0448" w:rsidRDefault="009B0448" w:rsidP="009B0448">
      <w:pPr>
        <w:spacing w:line="276" w:lineRule="auto"/>
        <w:jc w:val="both"/>
        <w:rPr>
          <w:rFonts w:ascii="Times New Roman" w:eastAsia="Times New Roman" w:hAnsi="Times New Roman" w:cs="Times New Roman"/>
        </w:rPr>
      </w:pPr>
    </w:p>
    <w:p w14:paraId="1111C4B2" w14:textId="77777777" w:rsidR="000000FA" w:rsidRPr="009B0448" w:rsidRDefault="000000FA" w:rsidP="000000F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Sahelian drought and resultant degradation of the 1970s to 1990s was initially referred to as desertification (Behnke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At the time this was attributed to increasing population and poor land management, which clearly placed increased pressures on the system. New and extensive evidence shows that this degradation coincided with a prolonged dry period, the causes of which are still poorly understood but may be related to global sulfate pollution in the northern hemisphere (Hwang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or Interdecadal Pacific Oscillations (Villamayor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Figure 4.4). More recent increases in rainfall are largely responsible for the greening of the area as detected from satellite imagery (UNEP, 2012). Long-term climatic fluctuations rather than human-induced desertification, therefore, seem to be the primary cause of the Sahelian degradation of the 1970s and 1990s (Behnke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2016).</w:t>
      </w:r>
    </w:p>
    <w:p w14:paraId="71B39F00" w14:textId="77777777" w:rsidR="000000FA" w:rsidRPr="009B0448" w:rsidRDefault="000000FA" w:rsidP="000000FA">
      <w:pPr>
        <w:spacing w:line="276" w:lineRule="auto"/>
        <w:jc w:val="both"/>
        <w:rPr>
          <w:rFonts w:ascii="Times New Roman" w:eastAsia="Times New Roman" w:hAnsi="Times New Roman" w:cs="Times New Roman"/>
        </w:rPr>
      </w:pPr>
    </w:p>
    <w:p w14:paraId="2CAA01BF" w14:textId="77777777" w:rsidR="000000FA" w:rsidRPr="009B0448" w:rsidRDefault="000000FA" w:rsidP="009B0448">
      <w:pPr>
        <w:spacing w:line="276" w:lineRule="auto"/>
        <w:jc w:val="both"/>
        <w:rPr>
          <w:rFonts w:ascii="Times New Roman" w:eastAsia="Times New Roman" w:hAnsi="Times New Roman" w:cs="Times New Roman"/>
        </w:rPr>
      </w:pPr>
    </w:p>
    <w:p w14:paraId="71C28374" w14:textId="570897C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51233349" wp14:editId="27866DE0">
            <wp:extent cx="5737860" cy="4596872"/>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32">
                      <a:extLst>
                        <a:ext uri="{28A0092B-C50C-407E-A947-70E740481C1C}">
                          <a14:useLocalDpi xmlns:a14="http://schemas.microsoft.com/office/drawing/2010/main" val="0"/>
                        </a:ext>
                      </a:extLst>
                    </a:blip>
                    <a:stretch>
                      <a:fillRect/>
                    </a:stretch>
                  </pic:blipFill>
                  <pic:spPr bwMode="auto">
                    <a:xfrm>
                      <a:off x="0" y="0"/>
                      <a:ext cx="5741661" cy="4599917"/>
                    </a:xfrm>
                    <a:prstGeom prst="rect">
                      <a:avLst/>
                    </a:prstGeom>
                    <a:noFill/>
                    <a:ln>
                      <a:noFill/>
                    </a:ln>
                  </pic:spPr>
                </pic:pic>
              </a:graphicData>
            </a:graphic>
          </wp:inline>
        </w:drawing>
      </w:r>
    </w:p>
    <w:p w14:paraId="4E39F24D" w14:textId="6575C8E1"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4.2:</w:t>
      </w:r>
      <w:r w:rsidR="00D314CD">
        <w:rPr>
          <w:rFonts w:ascii="Times New Roman" w:eastAsia="Times New Roman" w:hAnsi="Times New Roman" w:cs="Times New Roman"/>
        </w:rPr>
        <w:t xml:space="preserve"> Long-</w:t>
      </w:r>
      <w:r w:rsidRPr="009B0448">
        <w:rPr>
          <w:rFonts w:ascii="Times New Roman" w:eastAsia="Times New Roman" w:hAnsi="Times New Roman" w:cs="Times New Roman"/>
        </w:rPr>
        <w:t>term precip</w:t>
      </w:r>
      <w:r w:rsidR="00D314CD">
        <w:rPr>
          <w:rFonts w:ascii="Times New Roman" w:eastAsia="Times New Roman" w:hAnsi="Times New Roman" w:cs="Times New Roman"/>
        </w:rPr>
        <w:t>itation trend and anomaly (1930–</w:t>
      </w:r>
      <w:r w:rsidRPr="009B0448">
        <w:rPr>
          <w:rFonts w:ascii="Times New Roman" w:eastAsia="Times New Roman" w:hAnsi="Times New Roman" w:cs="Times New Roman"/>
        </w:rPr>
        <w:t xml:space="preserve">2014) in the Horn of Africa. Source: Ghebrezgabher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w:t>
      </w:r>
    </w:p>
    <w:p w14:paraId="201142E0" w14:textId="77777777" w:rsidR="009B0448" w:rsidRPr="009B0448" w:rsidRDefault="009B0448" w:rsidP="009B0448">
      <w:pPr>
        <w:spacing w:line="276" w:lineRule="auto"/>
        <w:jc w:val="both"/>
        <w:rPr>
          <w:rFonts w:ascii="Times New Roman" w:eastAsia="Times New Roman" w:hAnsi="Times New Roman" w:cs="Times New Roman"/>
        </w:rPr>
      </w:pPr>
    </w:p>
    <w:p w14:paraId="513F491D" w14:textId="63819BDA"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4E735AA6" wp14:editId="33086118">
            <wp:extent cx="5737860" cy="263652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5737860" cy="2636520"/>
                    </a:xfrm>
                    <a:prstGeom prst="rect">
                      <a:avLst/>
                    </a:prstGeom>
                    <a:noFill/>
                    <a:ln>
                      <a:noFill/>
                    </a:ln>
                  </pic:spPr>
                </pic:pic>
              </a:graphicData>
            </a:graphic>
          </wp:inline>
        </w:drawing>
      </w:r>
    </w:p>
    <w:p w14:paraId="03E4D127"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4.3:</w:t>
      </w:r>
      <w:r w:rsidRPr="009B0448">
        <w:rPr>
          <w:rFonts w:ascii="Times New Roman" w:eastAsia="Times New Roman" w:hAnsi="Times New Roman" w:cs="Times New Roman"/>
        </w:rPr>
        <w:t xml:space="preserve"> Annual rainfall variability over the Semi-arid regions of Southern Africa. Source: New (2015).</w:t>
      </w:r>
    </w:p>
    <w:p w14:paraId="7C38830E" w14:textId="77777777" w:rsidR="009B0448" w:rsidRPr="009B0448" w:rsidRDefault="009B0448" w:rsidP="009B0448">
      <w:pPr>
        <w:spacing w:line="276" w:lineRule="auto"/>
        <w:jc w:val="both"/>
        <w:rPr>
          <w:rFonts w:ascii="Times New Roman" w:eastAsia="Times New Roman" w:hAnsi="Times New Roman" w:cs="Times New Roman"/>
        </w:rPr>
      </w:pPr>
    </w:p>
    <w:p w14:paraId="57F9EAE0" w14:textId="1B50F8F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3A69780F" wp14:editId="3734670F">
            <wp:extent cx="5707380" cy="2193312"/>
            <wp:effectExtent l="0" t="0" r="762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034">
                      <a:extLst>
                        <a:ext uri="{28A0092B-C50C-407E-A947-70E740481C1C}">
                          <a14:useLocalDpi xmlns:a14="http://schemas.microsoft.com/office/drawing/2010/main" val="0"/>
                        </a:ext>
                      </a:extLst>
                    </a:blip>
                    <a:stretch>
                      <a:fillRect/>
                    </a:stretch>
                  </pic:blipFill>
                  <pic:spPr bwMode="auto">
                    <a:xfrm>
                      <a:off x="0" y="0"/>
                      <a:ext cx="5707380" cy="2193312"/>
                    </a:xfrm>
                    <a:prstGeom prst="rect">
                      <a:avLst/>
                    </a:prstGeom>
                    <a:noFill/>
                    <a:ln>
                      <a:noFill/>
                    </a:ln>
                  </pic:spPr>
                </pic:pic>
              </a:graphicData>
            </a:graphic>
          </wp:inline>
        </w:drawing>
      </w:r>
    </w:p>
    <w:p w14:paraId="29B48A96" w14:textId="1B36228A" w:rsidR="009B0448" w:rsidRPr="009B0448" w:rsidRDefault="009B0448" w:rsidP="009B0448">
      <w:pPr>
        <w:spacing w:line="276" w:lineRule="auto"/>
        <w:jc w:val="both"/>
        <w:rPr>
          <w:rFonts w:ascii="Times New Roman" w:eastAsia="Arial" w:hAnsi="Times New Roman" w:cs="Times New Roman"/>
        </w:rPr>
      </w:pPr>
      <w:r w:rsidRPr="009B0448">
        <w:rPr>
          <w:rFonts w:ascii="Times New Roman" w:eastAsia="Times New Roman" w:hAnsi="Times New Roman" w:cs="Times New Roman"/>
          <w:b/>
        </w:rPr>
        <w:t xml:space="preserve">Figure 4.4: </w:t>
      </w:r>
      <w:r w:rsidRPr="009B0448">
        <w:rPr>
          <w:rFonts w:ascii="Times New Roman" w:eastAsia="Times New Roman" w:hAnsi="Times New Roman" w:cs="Times New Roman"/>
        </w:rPr>
        <w:t xml:space="preserve">Sahel rainfall from 1900 to 2016 averaged over June, July, August, September, and October. A prolonged wet period from 1915 to 1970 was followed by a dry period from 1970 to 2016. The region appears to again be entering a wet period. Source: </w:t>
      </w:r>
      <w:hyperlink r:id="rId1035" w:history="1">
        <w:r w:rsidRPr="009B0448">
          <w:rPr>
            <w:rStyle w:val="Hyperlink"/>
            <w:rFonts w:ascii="Times New Roman" w:hAnsi="Times New Roman" w:cs="Times New Roman"/>
          </w:rPr>
          <w:t>https://doi.org/10.6069/H5MW2F2Q</w:t>
        </w:r>
      </w:hyperlink>
    </w:p>
    <w:p w14:paraId="0E3575F6"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63" w:name="_Toc503032778"/>
      <w:bookmarkStart w:id="264" w:name="_Toc519499934"/>
      <w:r w:rsidRPr="009B0448">
        <w:rPr>
          <w:rFonts w:cs="Times New Roman"/>
          <w:sz w:val="22"/>
          <w:szCs w:val="22"/>
        </w:rPr>
        <w:t>Fire as driver of ecosystem change</w:t>
      </w:r>
      <w:bookmarkEnd w:id="263"/>
      <w:bookmarkEnd w:id="264"/>
    </w:p>
    <w:p w14:paraId="33FB0D33"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Africa, both natural fires and human-ignited fires play an important role in shaping the structure and composition of various ecosystems, except where biomass is too low to carry a fire or where the area is too wet to burn. Fire is also seen as a management tool for manipulating vegetation for various management objectives such as influencing the distribution of animals, setting fire belts and for burning moribund vegetation. Certain vegetation types such as the grasslands, savanna and fynbos are dependent on fire for their optimal ecological function. In these vegetation types suppression of fire has major negative consequences for biodiversity with gradual negative impacts on ecosystem services. Globally, fire activity peaks at intermediate productivity, and this is also apparent in Africa: in arid ecosystems there is seldom sufficient fuel for fires, and in wet, more productive systems there is plenty of fuel, but it is usually too wet to be easily flammable (Figure 4.5). Because systems with a lot of fire have a biota that has evolved with these fire regimes, the relationships between biodiversity and fire are not simple.</w:t>
      </w:r>
    </w:p>
    <w:p w14:paraId="41362529" w14:textId="77777777" w:rsidR="009B0448" w:rsidRPr="009B0448" w:rsidRDefault="009B0448" w:rsidP="009B0448">
      <w:pPr>
        <w:spacing w:line="276" w:lineRule="auto"/>
        <w:jc w:val="both"/>
        <w:rPr>
          <w:rFonts w:ascii="Times New Roman" w:eastAsia="Times New Roman" w:hAnsi="Times New Roman" w:cs="Times New Roman"/>
        </w:rPr>
      </w:pPr>
    </w:p>
    <w:p w14:paraId="553C623F"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It has been suggested that it is the variability in fire events (different fire sizes, fire intensities, fire return times) that is key for maintaining high biodiversity (Martin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1992), and there is evidence in Africa that bird and mammal species richness responds positively to “pyrodiversity” (Hempson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2017)–especially in wet ecosystems where fire can dramatically influence habitat structure (altering the size and cover of trees and the amount of grass), and where variability in fire can result in a variety of habitats. More targeted use of fire has also been suggested for preventing particular undesirable landscape change/biodiversity loss. Fire can be a management tool, coupled with browsing, to maintain open grassy ecosystems and prevent increases in woody vegetation in grasslands (Trollope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1989) in these instances, targeted intense and/or frequent fires are necessary. In contrast, burning cooler, less frequent fires in Miombo woodlands can preserve woodland resources and increase ecosystem services (Ryan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2016).</w:t>
      </w:r>
    </w:p>
    <w:p w14:paraId="0891E840" w14:textId="7349D563"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7B2FA48C" wp14:editId="7AC85AA1">
            <wp:extent cx="5577840" cy="4587240"/>
            <wp:effectExtent l="0" t="0" r="3810" b="381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036">
                      <a:extLst>
                        <a:ext uri="{28A0092B-C50C-407E-A947-70E740481C1C}">
                          <a14:useLocalDpi xmlns:a14="http://schemas.microsoft.com/office/drawing/2010/main" val="0"/>
                        </a:ext>
                      </a:extLst>
                    </a:blip>
                    <a:srcRect r="2682" b="1942"/>
                    <a:stretch>
                      <a:fillRect/>
                    </a:stretch>
                  </pic:blipFill>
                  <pic:spPr bwMode="auto">
                    <a:xfrm>
                      <a:off x="0" y="0"/>
                      <a:ext cx="5577840" cy="4587240"/>
                    </a:xfrm>
                    <a:prstGeom prst="rect">
                      <a:avLst/>
                    </a:prstGeom>
                    <a:noFill/>
                    <a:ln>
                      <a:noFill/>
                    </a:ln>
                  </pic:spPr>
                </pic:pic>
              </a:graphicData>
            </a:graphic>
          </wp:inline>
        </w:drawing>
      </w:r>
    </w:p>
    <w:p w14:paraId="60879F2A" w14:textId="77777777" w:rsidR="009B0448" w:rsidRPr="009B0448" w:rsidRDefault="009B0448" w:rsidP="009B0448">
      <w:pPr>
        <w:spacing w:line="276" w:lineRule="auto"/>
        <w:jc w:val="center"/>
        <w:rPr>
          <w:rFonts w:ascii="Times New Roman" w:eastAsia="Times New Roman" w:hAnsi="Times New Roman" w:cs="Times New Roman"/>
        </w:rPr>
      </w:pPr>
    </w:p>
    <w:p w14:paraId="4DF1E5C6"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b/>
          <w:color w:val="auto"/>
        </w:rPr>
        <w:t>Figure 4.5:</w:t>
      </w:r>
      <w:r w:rsidRPr="009B0448">
        <w:rPr>
          <w:rFonts w:ascii="Times New Roman" w:eastAsia="Times New Roman" w:hAnsi="Times New Roman" w:cs="Times New Roman"/>
          <w:color w:val="auto"/>
        </w:rPr>
        <w:t xml:space="preserve"> The fire season appears as a distinct wave as it spreads through Africa. It peaks in January in West Africa (the northern hemisphere dry season), and in southern Africa in August (southern hemisphere dry season). Source: NASA MODIS Active Fire product.</w:t>
      </w:r>
    </w:p>
    <w:p w14:paraId="5408BCC3" w14:textId="77777777" w:rsidR="009B0448" w:rsidRPr="009B0448" w:rsidRDefault="009B0448" w:rsidP="009B0448">
      <w:pPr>
        <w:spacing w:line="276" w:lineRule="auto"/>
        <w:jc w:val="both"/>
        <w:rPr>
          <w:rFonts w:ascii="Times New Roman" w:eastAsia="Times New Roman" w:hAnsi="Times New Roman" w:cs="Times New Roman"/>
          <w:color w:val="auto"/>
        </w:rPr>
      </w:pPr>
    </w:p>
    <w:p w14:paraId="6E3E6AE4" w14:textId="77777777" w:rsidR="009B0448" w:rsidRPr="009B0448" w:rsidRDefault="009B0448" w:rsidP="009B0448">
      <w:pPr>
        <w:spacing w:line="276" w:lineRule="auto"/>
        <w:jc w:val="both"/>
        <w:rPr>
          <w:rFonts w:ascii="Times New Roman" w:hAnsi="Times New Roman" w:cs="Times New Roman"/>
          <w:shd w:val="clear" w:color="auto" w:fill="FFFFFF"/>
        </w:rPr>
      </w:pPr>
      <w:r w:rsidRPr="009B0448">
        <w:rPr>
          <w:rFonts w:ascii="Times New Roman" w:hAnsi="Times New Roman" w:cs="Times New Roman"/>
          <w:shd w:val="clear" w:color="auto" w:fill="FFFFFF"/>
        </w:rPr>
        <w:t xml:space="preserve">Both human activities and changing climates are likely to impact fire, with associated impacts on biodiversity and ecosystem services (Andela </w:t>
      </w:r>
      <w:r w:rsidRPr="009B0448">
        <w:rPr>
          <w:rFonts w:ascii="Times New Roman" w:hAnsi="Times New Roman" w:cs="Times New Roman"/>
          <w:i/>
          <w:shd w:val="clear" w:color="auto" w:fill="FFFFFF"/>
        </w:rPr>
        <w:t>et al.</w:t>
      </w:r>
      <w:r w:rsidRPr="009B0448">
        <w:rPr>
          <w:rFonts w:ascii="Times New Roman" w:hAnsi="Times New Roman" w:cs="Times New Roman"/>
          <w:shd w:val="clear" w:color="auto" w:fill="FFFFFF"/>
        </w:rPr>
        <w:t xml:space="preserve">, 2014). Because fire peaks at intermediate productivities we expect different responses to climate change in arid and mesic systems: high-temperature environments will make the wet end of the continuum more likely to burn, but could also further reduce fuel loads in arid systems, and result in less fire in these regions. Moreover, increased woody cover can suppress fire. In general increased human populations leads to more frequent, but smaller fires than in natural systems (Archibald </w:t>
      </w:r>
      <w:r w:rsidRPr="009B0448">
        <w:rPr>
          <w:rFonts w:ascii="Times New Roman" w:hAnsi="Times New Roman" w:cs="Times New Roman"/>
          <w:i/>
          <w:shd w:val="clear" w:color="auto" w:fill="FFFFFF"/>
        </w:rPr>
        <w:t>et al.</w:t>
      </w:r>
      <w:r w:rsidRPr="009B0448">
        <w:rPr>
          <w:rFonts w:ascii="Times New Roman" w:hAnsi="Times New Roman" w:cs="Times New Roman"/>
          <w:shd w:val="clear" w:color="auto" w:fill="FFFFFF"/>
        </w:rPr>
        <w:t xml:space="preserve">, 2013), with far less area burned as croplands and rangelands expand (Andela </w:t>
      </w:r>
      <w:r w:rsidRPr="009B0448">
        <w:rPr>
          <w:rFonts w:ascii="Times New Roman" w:hAnsi="Times New Roman" w:cs="Times New Roman"/>
          <w:i/>
          <w:shd w:val="clear" w:color="auto" w:fill="FFFFFF"/>
        </w:rPr>
        <w:t>et al.</w:t>
      </w:r>
      <w:r w:rsidRPr="009B0448">
        <w:rPr>
          <w:rFonts w:ascii="Times New Roman" w:hAnsi="Times New Roman" w:cs="Times New Roman"/>
          <w:shd w:val="clear" w:color="auto" w:fill="FFFFFF"/>
        </w:rPr>
        <w:t>, 2014). It has been shown in Africa and elsewhere that people can buffer ecosystems from climate-induced extreme fire events, because they burn over a wider range of weather conditions, and because their land-use activities break up the fuel landscape. These activities can over-ride climate drivers of large fires. Unexpected fire may have short-term but devastating effects on forage resources and dry winter crops, affecting the livelihoods of local communities. Accumulated biomass due to fire suppression has never seldom been a problem in Africa, except in the fynbos biome.</w:t>
      </w:r>
    </w:p>
    <w:p w14:paraId="6B9795CD" w14:textId="77777777" w:rsidR="009B0448" w:rsidRPr="009B0448" w:rsidRDefault="009B0448" w:rsidP="009B0448">
      <w:pPr>
        <w:spacing w:line="276" w:lineRule="auto"/>
        <w:jc w:val="both"/>
        <w:rPr>
          <w:rFonts w:ascii="Times New Roman" w:hAnsi="Times New Roman" w:cs="Times New Roman"/>
          <w:shd w:val="clear" w:color="auto" w:fill="FFFFFF"/>
        </w:rPr>
      </w:pPr>
    </w:p>
    <w:p w14:paraId="315AC5BF" w14:textId="77777777" w:rsidR="009B0448" w:rsidRPr="009B0448" w:rsidRDefault="009B0448" w:rsidP="009B0448">
      <w:pPr>
        <w:spacing w:line="276" w:lineRule="auto"/>
        <w:jc w:val="both"/>
        <w:rPr>
          <w:rFonts w:ascii="Times New Roman" w:hAnsi="Times New Roman" w:cs="Times New Roman"/>
          <w:shd w:val="clear" w:color="auto" w:fill="FFFFFF"/>
        </w:rPr>
      </w:pPr>
      <w:r w:rsidRPr="009B0448">
        <w:rPr>
          <w:rFonts w:ascii="Times New Roman" w:hAnsi="Times New Roman" w:cs="Times New Roman"/>
          <w:shd w:val="clear" w:color="auto" w:fill="FFFFFF"/>
        </w:rPr>
        <w:t xml:space="preserve">Fires burn significant amounts of biomass across Africa every year, with more than half of global fires burn on the continent of Africa (van der Werf </w:t>
      </w:r>
      <w:r w:rsidRPr="009B0448">
        <w:rPr>
          <w:rFonts w:ascii="Times New Roman" w:hAnsi="Times New Roman" w:cs="Times New Roman"/>
          <w:i/>
          <w:shd w:val="clear" w:color="auto" w:fill="FFFFFF"/>
        </w:rPr>
        <w:t>et al.</w:t>
      </w:r>
      <w:r w:rsidRPr="009B0448">
        <w:rPr>
          <w:rFonts w:ascii="Times New Roman" w:hAnsi="Times New Roman" w:cs="Times New Roman"/>
          <w:shd w:val="clear" w:color="auto" w:fill="FFFFFF"/>
        </w:rPr>
        <w:t xml:space="preserve">, 2010; Scholes </w:t>
      </w:r>
      <w:r w:rsidRPr="009B0448">
        <w:rPr>
          <w:rFonts w:ascii="Times New Roman" w:hAnsi="Times New Roman" w:cs="Times New Roman"/>
          <w:i/>
          <w:shd w:val="clear" w:color="auto" w:fill="FFFFFF"/>
        </w:rPr>
        <w:t>et al.</w:t>
      </w:r>
      <w:r w:rsidRPr="009B0448">
        <w:rPr>
          <w:rFonts w:ascii="Times New Roman" w:hAnsi="Times New Roman" w:cs="Times New Roman"/>
          <w:shd w:val="clear" w:color="auto" w:fill="FFFFFF"/>
        </w:rPr>
        <w:t xml:space="preserve">, 2011; Archibald </w:t>
      </w:r>
      <w:r w:rsidRPr="009B0448">
        <w:rPr>
          <w:rFonts w:ascii="Times New Roman" w:hAnsi="Times New Roman" w:cs="Times New Roman"/>
          <w:i/>
          <w:shd w:val="clear" w:color="auto" w:fill="FFFFFF"/>
        </w:rPr>
        <w:t>et al.</w:t>
      </w:r>
      <w:r w:rsidRPr="009B0448">
        <w:rPr>
          <w:rFonts w:ascii="Times New Roman" w:hAnsi="Times New Roman" w:cs="Times New Roman"/>
          <w:shd w:val="clear" w:color="auto" w:fill="FFFFFF"/>
        </w:rPr>
        <w:t>, 2013). Yet, the distribution of fire across the continent is not homogenous. North Africa, which tends to be semi-arid to arid (mostly covered by the Sahara desert), is not prone to fire due to very low biomass to sustain fire. Desert zones within Northern and western Africa are not affected by bush-fires because of poor vegetation cover. On the other hand, grazing lands in semiarid zones growing on sandy soils are highly subjected to bush-fires accidentally provoked by human at the beginning of dry seasons. Their impacts are harmful to the environment through the reduction of forage availability as well as decrease of biodiversity, and at social level through the degradation of food security for livestock and poverty increase in communities (Abdou, 2012). In Niger, between 1990 and 2000, 861 cases of bush-fires were reported with effect on more than 2,119,604 hectares (Ichoua, 2001).</w:t>
      </w:r>
    </w:p>
    <w:p w14:paraId="0260F600" w14:textId="77777777" w:rsidR="009B0448" w:rsidRPr="009B0448" w:rsidRDefault="009B0448" w:rsidP="009B0448">
      <w:pPr>
        <w:spacing w:line="276" w:lineRule="auto"/>
        <w:jc w:val="both"/>
        <w:rPr>
          <w:rFonts w:ascii="Times New Roman" w:hAnsi="Times New Roman" w:cs="Times New Roman"/>
          <w:shd w:val="clear" w:color="auto" w:fill="FFFFFF"/>
        </w:rPr>
      </w:pPr>
    </w:p>
    <w:p w14:paraId="5CCA07A9" w14:textId="77777777" w:rsidR="009B0448" w:rsidRPr="009B0448" w:rsidRDefault="009B0448" w:rsidP="009B0448">
      <w:pPr>
        <w:spacing w:line="276" w:lineRule="auto"/>
        <w:jc w:val="both"/>
        <w:rPr>
          <w:rFonts w:ascii="Times New Roman" w:hAnsi="Times New Roman" w:cs="Times New Roman"/>
          <w:shd w:val="clear" w:color="auto" w:fill="FFFFFF"/>
        </w:rPr>
      </w:pPr>
      <w:r w:rsidRPr="009B0448">
        <w:rPr>
          <w:rFonts w:ascii="Times New Roman" w:hAnsi="Times New Roman" w:cs="Times New Roman"/>
          <w:shd w:val="clear" w:color="auto" w:fill="FFFFFF"/>
        </w:rPr>
        <w:t xml:space="preserve">Parts of East Africa and adjacent islands, especially in the Horn of Africa, as well as South-Western parts of Southern Africa are also less prone to fires due to lack of vegetation to support fires. The vegetation is too sparse and shrubby and fire plays a very insignificant role in management of these landscapes (Archibald </w:t>
      </w:r>
      <w:r w:rsidRPr="009B0448">
        <w:rPr>
          <w:rFonts w:ascii="Times New Roman" w:hAnsi="Times New Roman" w:cs="Times New Roman"/>
          <w:i/>
          <w:shd w:val="clear" w:color="auto" w:fill="FFFFFF"/>
        </w:rPr>
        <w:t>et al.</w:t>
      </w:r>
      <w:r w:rsidRPr="009B0448">
        <w:rPr>
          <w:rFonts w:ascii="Times New Roman" w:hAnsi="Times New Roman" w:cs="Times New Roman"/>
          <w:shd w:val="clear" w:color="auto" w:fill="FFFFFF"/>
        </w:rPr>
        <w:t>, 2013; Figure 4.6). The equatorial region of Central Africa is also not prone to fire despite large amounts of biomass. This is mainly due to wet conditions that prevail in this region throughout the year. In contrast, many parts of West Africa, East Africa and adjacent islands, and Southern Africa, especially in grasslands and savannas, are prone to burning especially during the early dry season when the grass is dry and other conditions for fire (whether natural or human-ignited) prevail. These include high temperatures and humidity and relatively high speeds of dry winds that cause rapid spread of fires. Sahelian savannas, grasslands and some shrubland ecosystems, many of them being fire driven ecosystems, tend to burn more frequently and with greater intensity during the dry season. These fires, many of them ignited by humans, have great impacts on biodiversity and ecosystem services.</w:t>
      </w:r>
    </w:p>
    <w:p w14:paraId="4D94B7F0" w14:textId="77777777" w:rsidR="009B0448" w:rsidRPr="009B0448" w:rsidRDefault="009B0448" w:rsidP="009B0448">
      <w:pPr>
        <w:spacing w:line="276" w:lineRule="auto"/>
        <w:jc w:val="both"/>
        <w:rPr>
          <w:rFonts w:ascii="Times New Roman" w:hAnsi="Times New Roman" w:cs="Times New Roman"/>
          <w:shd w:val="clear" w:color="auto" w:fill="FFFFFF"/>
        </w:rPr>
      </w:pPr>
    </w:p>
    <w:p w14:paraId="5D613EFD" w14:textId="45B9D64A" w:rsidR="009B0448" w:rsidRPr="009B0448" w:rsidRDefault="009B0448" w:rsidP="009B0448">
      <w:pPr>
        <w:spacing w:line="276" w:lineRule="auto"/>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6DC88B8A" wp14:editId="3985324B">
            <wp:extent cx="5757831" cy="2567748"/>
            <wp:effectExtent l="0" t="0" r="0" b="444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037">
                      <a:extLst>
                        <a:ext uri="{28A0092B-C50C-407E-A947-70E740481C1C}">
                          <a14:useLocalDpi xmlns:a14="http://schemas.microsoft.com/office/drawing/2010/main" val="0"/>
                        </a:ext>
                      </a:extLst>
                    </a:blip>
                    <a:stretch>
                      <a:fillRect/>
                    </a:stretch>
                  </pic:blipFill>
                  <pic:spPr bwMode="auto">
                    <a:xfrm>
                      <a:off x="0" y="0"/>
                      <a:ext cx="5763276" cy="2570176"/>
                    </a:xfrm>
                    <a:prstGeom prst="rect">
                      <a:avLst/>
                    </a:prstGeom>
                    <a:noFill/>
                    <a:ln>
                      <a:noFill/>
                    </a:ln>
                  </pic:spPr>
                </pic:pic>
              </a:graphicData>
            </a:graphic>
          </wp:inline>
        </w:drawing>
      </w:r>
    </w:p>
    <w:p w14:paraId="76BA50B7" w14:textId="77777777" w:rsidR="009B0448" w:rsidRPr="009B0448" w:rsidRDefault="009B0448" w:rsidP="009B0448">
      <w:pPr>
        <w:spacing w:line="276" w:lineRule="auto"/>
        <w:rPr>
          <w:rFonts w:ascii="Times New Roman" w:eastAsia="Times New Roman" w:hAnsi="Times New Roman" w:cs="Times New Roman"/>
          <w:color w:val="auto"/>
        </w:rPr>
      </w:pPr>
      <w:r w:rsidRPr="009B0448">
        <w:rPr>
          <w:rFonts w:ascii="Times New Roman" w:eastAsia="Times New Roman" w:hAnsi="Times New Roman" w:cs="Times New Roman"/>
          <w:b/>
          <w:color w:val="auto"/>
        </w:rPr>
        <w:t xml:space="preserve">Figure 4.6: </w:t>
      </w:r>
      <w:r w:rsidRPr="009B0448">
        <w:rPr>
          <w:rFonts w:ascii="Times New Roman" w:eastAsia="Times New Roman" w:hAnsi="Times New Roman" w:cs="Times New Roman"/>
          <w:color w:val="auto"/>
        </w:rPr>
        <w:t>Frequency of fire in Africa for the period 2000 to 2010. Dividing the number of times a pixel was detected as having burned into 10 gives the approximate fire return time, in years. Source: Archibald (2016).</w:t>
      </w:r>
    </w:p>
    <w:p w14:paraId="64B77065"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65" w:name="_Toc503032779"/>
      <w:bookmarkStart w:id="266" w:name="_Toc519499935"/>
      <w:r w:rsidRPr="009B0448">
        <w:rPr>
          <w:rFonts w:cs="Times New Roman"/>
          <w:sz w:val="22"/>
          <w:szCs w:val="22"/>
        </w:rPr>
        <w:t>Diseases and Pests (zoonotic diseases, human diseases)</w:t>
      </w:r>
      <w:bookmarkEnd w:id="265"/>
      <w:bookmarkEnd w:id="266"/>
    </w:p>
    <w:p w14:paraId="6C5FAC87" w14:textId="7547C9B3" w:rsidR="009B0448" w:rsidRPr="009B0448" w:rsidRDefault="009B0448" w:rsidP="009B0448">
      <w:pPr>
        <w:spacing w:line="276" w:lineRule="auto"/>
        <w:jc w:val="both"/>
        <w:rPr>
          <w:rFonts w:ascii="Times New Roman" w:eastAsia="Times New Roman" w:hAnsi="Times New Roman" w:cs="Times New Roman"/>
        </w:rPr>
      </w:pPr>
      <w:bookmarkStart w:id="267" w:name="_3dy6vkm"/>
      <w:bookmarkEnd w:id="267"/>
      <w:r w:rsidRPr="009B0448">
        <w:rPr>
          <w:rFonts w:ascii="Times New Roman" w:eastAsia="Times New Roman" w:hAnsi="Times New Roman" w:cs="Times New Roman"/>
        </w:rPr>
        <w:t>Diseases and pests impact the ecosystem health and integrity of the African terrestrial, aquatic and agroecosystems in ways ranging from economics (loss of output, income and investments) to ecological (e.g., loss of populations and species diversity) (Table 4.1). These impacts are greatly influenced by human encroachment of wildlife habitats, agricultu</w:t>
      </w:r>
      <w:r w:rsidR="00C813C5">
        <w:rPr>
          <w:rFonts w:ascii="Times New Roman" w:eastAsia="Times New Roman" w:hAnsi="Times New Roman" w:cs="Times New Roman"/>
        </w:rPr>
        <w:t>ral intensification, and urbanis</w:t>
      </w:r>
      <w:r w:rsidRPr="009B0448">
        <w:rPr>
          <w:rFonts w:ascii="Times New Roman" w:eastAsia="Times New Roman" w:hAnsi="Times New Roman" w:cs="Times New Roman"/>
        </w:rPr>
        <w:t xml:space="preserve">ation </w:t>
      </w:r>
      <w:r w:rsidRPr="009B0448">
        <w:rPr>
          <w:rFonts w:ascii="Times New Roman" w:eastAsia="Times New Roman" w:hAnsi="Times New Roman" w:cs="Times New Roman"/>
        </w:rPr>
        <w:fldChar w:fldCharType="begin" w:fldLock="1"/>
      </w:r>
      <w:r w:rsidRPr="009B0448">
        <w:rPr>
          <w:rFonts w:ascii="Times New Roman" w:eastAsia="Times New Roman" w:hAnsi="Times New Roman" w:cs="Times New Roman"/>
        </w:rPr>
        <w:instrText xml:space="preserve"> ADDIN EN.CITE &lt;EndNote&gt;&lt;Cite&gt;&lt;Author&gt;Daszak&lt;/Author&gt;&lt;Year&gt;2000&lt;/Year&gt;&lt;RecNum&gt;1970&lt;/RecNum&gt;&lt;DisplayText&gt;(Daszak et al., 2000)&lt;/DisplayText&gt;&lt;record&gt;&lt;rec-number&gt;1970&lt;/rec-number&gt;&lt;foreign-keys&gt;&lt;key app="EN" db-id="zvwwe5pa4dd2vjeztp7vr0zzfawzxf005apa"&gt;1970&lt;/key&gt;&lt;/foreign-keys&gt;&lt;ref-type name="Journal Article"&gt;17&lt;/ref-type&gt;&lt;contributors&gt;&lt;authors&gt;&lt;author&gt;Daszak, Peter&lt;/author&gt;&lt;author&gt;Cunningham, Andrew A.&lt;/author&gt;&lt;author&gt;Hyatt, Alex D.&lt;/author&gt;&lt;/authors&gt;&lt;/contributors&gt;&lt;titles&gt;&lt;title&gt;Emerging infectious diseases of wildlife--threats to biodiversity and human health&lt;/title&gt;&lt;secondary-title&gt;Science (New York, N.Y.)&lt;/secondary-title&gt;&lt;/titles&gt;&lt;periodical&gt;&lt;full-title&gt;Science (New York, N.Y.)&lt;/full-title&gt;&lt;/periodical&gt;&lt;pages&gt;443-9&lt;/pages&gt;&lt;volume&gt;287&lt;/volume&gt;&lt;number&gt;5452&lt;/number&gt;&lt;keywords&gt;&lt;keyword&gt;Agriculture&lt;/keyword&gt;&lt;keyword&gt;Animals&lt;/keyword&gt;&lt;keyword&gt;Climate&lt;/keyword&gt;&lt;keyword&gt;Communicable Diseases&lt;/keyword&gt;&lt;keyword&gt;Communicable Diseases: epidemiology&lt;/keyword&gt;&lt;keyword&gt;Communicable Diseases: etiology&lt;/keyword&gt;&lt;keyword&gt;Communicable Diseases: transmission&lt;/keyword&gt;&lt;keyword&gt;Communicable Diseases: veterinary&lt;/keyword&gt;&lt;keyword&gt;Conservation of Natural Resources&lt;/keyword&gt;&lt;keyword&gt;Disease Reservoirs&lt;/keyword&gt;&lt;keyword&gt;Domestic&lt;/keyword&gt;&lt;keyword&gt;Ecosystem&lt;/keyword&gt;&lt;keyword&gt;Humans&lt;/keyword&gt;&lt;keyword&gt;Wild&lt;/keyword&gt;&lt;keyword&gt;Zoonoses&lt;/keyword&gt;&lt;/keywords&gt;&lt;dates&gt;&lt;year&gt;2000&lt;/year&gt;&lt;/dates&gt;&lt;isbn&gt;0036-8075&lt;/isbn&gt;&lt;urls&gt;&lt;related-urls&gt;&lt;url&gt;http://www.ncbi.nlm.nih.gov/pubmed/10642539&lt;/url&gt;&lt;/related-urls&gt;&lt;pdf-urls&gt;&lt;url&gt;file:///C:/Users/odipo/AppData/Local/Mendeley Ltd./Mendeley Desktop/Downloaded/Daszak, Cunningham, Hyatt - Unknown - Emerging Infectious Diseases of Wildlife— Threats to Biodiversity and Human Health.pdf&lt;/url&gt;&lt;/pdf-urls&gt;&lt;/urls&gt;&lt;electronic-resource-num&gt;8209 [pii]&lt;/electronic-resource-num&gt;&lt;research-notes&gt;The human encroachment, intenational travel, &lt;/research-notes&gt;&lt;/record&gt;&lt;/Cite&gt;&lt;/EndNote&gt;</w:instrText>
      </w:r>
      <w:r w:rsidRPr="009B0448">
        <w:rPr>
          <w:rFonts w:ascii="Times New Roman" w:eastAsia="Times New Roman" w:hAnsi="Times New Roman" w:cs="Times New Roman"/>
        </w:rPr>
        <w:fldChar w:fldCharType="separate"/>
      </w:r>
      <w:r w:rsidRPr="009B0448">
        <w:rPr>
          <w:rFonts w:ascii="Times New Roman" w:eastAsia="Times New Roman" w:hAnsi="Times New Roman" w:cs="Times New Roman"/>
          <w:noProof/>
        </w:rPr>
        <w:t>(</w:t>
      </w:r>
      <w:r w:rsidRPr="000009C6">
        <w:rPr>
          <w:rFonts w:ascii="Times New Roman" w:hAnsi="Times New Roman" w:cs="Times New Roman"/>
          <w:noProof/>
        </w:rPr>
        <w:t xml:space="preserve">Daszak </w:t>
      </w:r>
      <w:r w:rsidRPr="000009C6">
        <w:rPr>
          <w:rFonts w:ascii="Times New Roman" w:hAnsi="Times New Roman" w:cs="Times New Roman"/>
          <w:i/>
          <w:noProof/>
        </w:rPr>
        <w:t>et al.</w:t>
      </w:r>
      <w:r w:rsidRPr="000009C6">
        <w:rPr>
          <w:rFonts w:ascii="Times New Roman" w:hAnsi="Times New Roman" w:cs="Times New Roman"/>
          <w:noProof/>
        </w:rPr>
        <w:t>, 2000</w:t>
      </w:r>
      <w:r w:rsidRPr="009B0448">
        <w:rPr>
          <w:rFonts w:ascii="Times New Roman" w:eastAsia="Times New Roman" w:hAnsi="Times New Roman" w:cs="Times New Roman"/>
          <w:noProof/>
        </w:rPr>
        <w:t>)</w:t>
      </w:r>
      <w:r w:rsidRPr="009B0448">
        <w:rPr>
          <w:rFonts w:ascii="Times New Roman" w:eastAsia="Times New Roman" w:hAnsi="Times New Roman" w:cs="Times New Roman"/>
        </w:rPr>
        <w:fldChar w:fldCharType="end"/>
      </w:r>
      <w:r w:rsidRPr="009B0448">
        <w:rPr>
          <w:rFonts w:ascii="Times New Roman" w:eastAsia="Times New Roman" w:hAnsi="Times New Roman" w:cs="Times New Roman"/>
        </w:rPr>
        <w:t xml:space="preserve"> as well as changes in global weather patterns </w:t>
      </w:r>
      <w:r w:rsidRPr="009B0448">
        <w:rPr>
          <w:rFonts w:ascii="Times New Roman" w:eastAsia="Times New Roman" w:hAnsi="Times New Roman" w:cs="Times New Roman"/>
        </w:rPr>
        <w:fldChar w:fldCharType="begin" w:fldLock="1"/>
      </w:r>
      <w:r w:rsidRPr="009B0448">
        <w:rPr>
          <w:rFonts w:ascii="Times New Roman" w:eastAsia="Times New Roman" w:hAnsi="Times New Roman" w:cs="Times New Roman"/>
        </w:rPr>
        <w:instrText xml:space="preserve"> ADDIN EN.CITE &lt;EndNote&gt;&lt;Cite&gt;&lt;Author&gt;Hernández-Delgado&lt;/Author&gt;&lt;Year&gt;2015&lt;/Year&gt;&lt;RecNum&gt;581&lt;/RecNum&gt;&lt;DisplayText&gt;(Hernández-Delgado, 2015)&lt;/DisplayText&gt;&lt;record&gt;&lt;rec-number&gt;581&lt;/rec-number&gt;&lt;foreign-keys&gt;&lt;key app="EN" db-id="zvwwe5pa4dd2vjeztp7vr0zzfawzxf005apa"&gt;581&lt;/key&gt;&lt;/foreign-keys&gt;&lt;ref-type name="Newspaper Article"&gt;23&lt;/ref-type&gt;&lt;contributors&gt;&lt;authors&gt;&lt;author&gt;Hernández-Delgado, E. A.&lt;/author&gt;&lt;/authors&gt;&lt;/contributors&gt;&lt;titles&gt;&lt;title&gt;The emerging threats of climate change on tropical coastal ecosystem services, public health, local economies and livelihood sustainability of small islands: Cumulative impacts and synergies&lt;/title&gt;&lt;secondary-title&gt;Marine Pollution Bulletin&lt;/secondary-title&gt;&lt;/titles&gt;&lt;periodical&gt;&lt;full-title&gt;Marine pollution bulletin&lt;/full-title&gt;&lt;/periodical&gt;&lt;pages&gt;5-28&lt;/pages&gt;&lt;volume&gt;101&lt;/volume&gt;&lt;keywords&gt;&lt;keyword&gt;Climate change adaptation&lt;/keyword&gt;&lt;keyword&gt;Community livelihood&lt;/keyword&gt;&lt;keyword&gt;Coral reefs&lt;/keyword&gt;&lt;keyword&gt;Environmental decline&lt;/keyword&gt;&lt;keyword&gt;Public health&lt;/keyword&gt;&lt;keyword&gt;Vulnerability&lt;/keyword&gt;&lt;/keywords&gt;&lt;dates&gt;&lt;year&gt;2015&lt;/year&gt;&lt;/dates&gt;&lt;urls&gt;&lt;pdf-urls&gt;&lt;url&gt;file:///C:/Users/odipo/AppData/Local/Mendeley Ltd./Mendeley Desktop/Downloaded/Hernández-Delgado - 2015 - The emerging threats of climate change on tropical coastal ecosystem services, public health, local economies.pdf&lt;/url&gt;&lt;/pdf-urls&gt;&lt;/urls&gt;&lt;electronic-resource-num&gt;10.1016/j.marpolbul.2015.09.018&lt;/electronic-resource-num&gt;&lt;/record&gt;&lt;/Cite&gt;&lt;/EndNote&gt;</w:instrText>
      </w:r>
      <w:r w:rsidRPr="009B0448">
        <w:rPr>
          <w:rFonts w:ascii="Times New Roman" w:eastAsia="Times New Roman" w:hAnsi="Times New Roman" w:cs="Times New Roman"/>
        </w:rPr>
        <w:fldChar w:fldCharType="separate"/>
      </w:r>
      <w:r w:rsidRPr="009B0448">
        <w:rPr>
          <w:rFonts w:ascii="Times New Roman" w:eastAsia="Times New Roman" w:hAnsi="Times New Roman" w:cs="Times New Roman"/>
          <w:noProof/>
        </w:rPr>
        <w:t>(</w:t>
      </w:r>
      <w:r w:rsidRPr="000009C6">
        <w:rPr>
          <w:rFonts w:ascii="Times New Roman" w:hAnsi="Times New Roman" w:cs="Times New Roman"/>
          <w:noProof/>
        </w:rPr>
        <w:t>Hernández-Delgado, 2015</w:t>
      </w:r>
      <w:r w:rsidRPr="009B0448">
        <w:rPr>
          <w:rFonts w:ascii="Times New Roman" w:eastAsia="Times New Roman" w:hAnsi="Times New Roman" w:cs="Times New Roman"/>
          <w:noProof/>
        </w:rPr>
        <w:t>)</w:t>
      </w:r>
      <w:r w:rsidRPr="009B0448">
        <w:rPr>
          <w:rFonts w:ascii="Times New Roman" w:eastAsia="Times New Roman" w:hAnsi="Times New Roman" w:cs="Times New Roman"/>
        </w:rPr>
        <w:fldChar w:fldCharType="end"/>
      </w:r>
      <w:r w:rsidRPr="009B0448">
        <w:rPr>
          <w:rFonts w:ascii="Times New Roman" w:eastAsia="Times New Roman" w:hAnsi="Times New Roman" w:cs="Times New Roman"/>
        </w:rPr>
        <w:t xml:space="preserve">. Loss of biodiversity commonly leads to increased occurrence of emerging infectious diseases including zoonotic diseases </w:t>
      </w:r>
      <w:r w:rsidRPr="009B0448">
        <w:rPr>
          <w:rFonts w:ascii="Times New Roman" w:eastAsia="Times New Roman" w:hAnsi="Times New Roman" w:cs="Times New Roman"/>
        </w:rPr>
        <w:fldChar w:fldCharType="begin" w:fldLock="1"/>
      </w:r>
      <w:r w:rsidRPr="009B0448">
        <w:rPr>
          <w:rFonts w:ascii="Times New Roman" w:eastAsia="Times New Roman" w:hAnsi="Times New Roman" w:cs="Times New Roman"/>
        </w:rPr>
        <w:instrText xml:space="preserve"> ADDIN EN.CITE &lt;EndNote&gt;&lt;Cite&gt;&lt;Author&gt;Keesing&lt;/Author&gt;&lt;Year&gt;2010&lt;/Year&gt;&lt;RecNum&gt;567&lt;/RecNum&gt;&lt;DisplayText&gt;(Keesing et al., 2010)&lt;/DisplayText&gt;&lt;record&gt;&lt;rec-number&gt;567&lt;/rec-number&gt;&lt;foreign-keys&gt;&lt;key app="EN" db-id="zvwwe5pa4dd2vjeztp7vr0zzfawzxf005apa"&gt;567&lt;/key&gt;&lt;/foreign-keys&gt;&lt;ref-type name="Journal Article"&gt;17&lt;/ref-type&gt;&lt;contributors&gt;&lt;authors&gt;&lt;author&gt;Keesing, Felicia&lt;/author&gt;&lt;author&gt;Belden, Lisa K.&lt;/author&gt;&lt;author&gt;Daszak, Peter&lt;/author&gt;&lt;author&gt;Dobson, Andrew&lt;/author&gt;&lt;author&gt;Harvell, C. Drew&lt;/author&gt;&lt;author&gt;Holt, Robert D.&lt;/author&gt;&lt;author&gt;Hudson, Peter&lt;/author&gt;&lt;author&gt;Jolles, Anna&lt;/author&gt;&lt;author&gt;Jones, Kate E.&lt;/author&gt;&lt;author&gt;Mitchell, Charles E.&lt;/author&gt;&lt;author&gt;Myers, Samuel S.&lt;/author&gt;&lt;author&gt;Bogich, Tiffany&lt;/author&gt;&lt;author&gt;Ostfeld, Richard S.&lt;/author&gt;&lt;/authors&gt;&lt;/contributors&gt;&lt;titles&gt;&lt;title&gt;Impacts of biodiversity on the emergence and transmission of infectious diseases&lt;/title&gt;&lt;secondary-title&gt;Nature&lt;/secondary-title&gt;&lt;/titles&gt;&lt;periodical&gt;&lt;full-title&gt;Nature&lt;/full-title&gt;&lt;/periodical&gt;&lt;pages&gt;647-652&lt;/pages&gt;&lt;volume&gt;468&lt;/volume&gt;&lt;number&gt;7324&lt;/number&gt;&lt;dates&gt;&lt;year&gt;2010&lt;/year&gt;&lt;/dates&gt;&lt;isbn&gt;0028-0836&lt;/isbn&gt;&lt;urls&gt;&lt;related-urls&gt;&lt;url&gt;http://dx.doi.org/10.1038/nature09575&lt;/url&gt;&lt;/related-urls&gt;&lt;pdf-urls&gt;&lt;url&gt;file:///C:/Users/odipo/AppData/Local/Mendeley Ltd./Mendeley Desktop/Downloaded/Keesing et al. - 2010 - Impacts of biodiversity on the emergence and transmission of infectious diseases.pdf&lt;/url&gt;&lt;/pdf-urls&gt;&lt;/urls&gt;&lt;electronic-resource-num&gt;10.1038/nature09575&lt;/electronic-resource-num&gt;&lt;/record&gt;&lt;/Cite&gt;&lt;/EndNote&gt;</w:instrText>
      </w:r>
      <w:r w:rsidRPr="009B0448">
        <w:rPr>
          <w:rFonts w:ascii="Times New Roman" w:eastAsia="Times New Roman" w:hAnsi="Times New Roman" w:cs="Times New Roman"/>
        </w:rPr>
        <w:fldChar w:fldCharType="separate"/>
      </w:r>
      <w:r w:rsidRPr="009B0448">
        <w:rPr>
          <w:rFonts w:ascii="Times New Roman" w:eastAsia="Times New Roman" w:hAnsi="Times New Roman" w:cs="Times New Roman"/>
          <w:noProof/>
        </w:rPr>
        <w:t>(</w:t>
      </w:r>
      <w:r w:rsidRPr="000009C6">
        <w:rPr>
          <w:rFonts w:ascii="Times New Roman" w:hAnsi="Times New Roman" w:cs="Times New Roman"/>
          <w:noProof/>
        </w:rPr>
        <w:t xml:space="preserve">Keesing </w:t>
      </w:r>
      <w:r w:rsidRPr="000009C6">
        <w:rPr>
          <w:rFonts w:ascii="Times New Roman" w:hAnsi="Times New Roman" w:cs="Times New Roman"/>
          <w:i/>
          <w:noProof/>
        </w:rPr>
        <w:t>et al.</w:t>
      </w:r>
      <w:r w:rsidRPr="000009C6">
        <w:rPr>
          <w:rFonts w:ascii="Times New Roman" w:hAnsi="Times New Roman" w:cs="Times New Roman"/>
          <w:noProof/>
        </w:rPr>
        <w:t>, 2010</w:t>
      </w:r>
      <w:r w:rsidRPr="009B0448">
        <w:rPr>
          <w:rFonts w:ascii="Times New Roman" w:eastAsia="Times New Roman" w:hAnsi="Times New Roman" w:cs="Times New Roman"/>
          <w:noProof/>
        </w:rPr>
        <w:t>)</w:t>
      </w:r>
      <w:r w:rsidRPr="009B0448">
        <w:rPr>
          <w:rFonts w:ascii="Times New Roman" w:eastAsia="Times New Roman" w:hAnsi="Times New Roman" w:cs="Times New Roman"/>
        </w:rPr>
        <w:fldChar w:fldCharType="end"/>
      </w:r>
      <w:r w:rsidRPr="009B0448">
        <w:rPr>
          <w:rFonts w:ascii="Times New Roman" w:eastAsia="Times New Roman" w:hAnsi="Times New Roman" w:cs="Times New Roman"/>
        </w:rPr>
        <w:t xml:space="preserve"> thus compromising key nature’s contributions to people offered by biodiversity. Historically, the African continent has been afflicted by a number of notable emerging infectious diseases which are newly discovered diseases, diseases that have changed pathogenesis, diseases with increased geographic or host range (Anderson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2004). Among the plants, cassava mosaic virus (East African cassava mosaic virus-Uganda 3Svr (whiteﬂy-transmitted begomovirus) and the fungal Karnal Burnt (</w:t>
      </w:r>
      <w:r w:rsidRPr="009B0448">
        <w:rPr>
          <w:rFonts w:ascii="Times New Roman" w:eastAsia="Times New Roman" w:hAnsi="Times New Roman" w:cs="Times New Roman"/>
          <w:i/>
        </w:rPr>
        <w:t>Tillentia indica</w:t>
      </w:r>
      <w:r w:rsidRPr="009B0448">
        <w:rPr>
          <w:rFonts w:ascii="Times New Roman" w:eastAsia="Times New Roman" w:hAnsi="Times New Roman" w:cs="Times New Roman"/>
        </w:rPr>
        <w:t xml:space="preserve">), are known to have seriously affected cassava in East Africa and wheat in South Africa, respectively (Anderson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Box 4.1). Both domestic animals and wildlife have also been affected by the emerging infectious diseases. Notably rinderpest, rabies, trypanosomiasis, canine distemper, and anthrax which are domestic animal diseases and have been known to be transferred to wildlife due anthropogenic factors, with devastating consequences. </w:t>
      </w:r>
    </w:p>
    <w:p w14:paraId="2D6AAF14" w14:textId="77777777" w:rsidR="009B0448" w:rsidRPr="009B0448" w:rsidRDefault="009B0448" w:rsidP="009B0448">
      <w:pPr>
        <w:spacing w:line="276" w:lineRule="auto"/>
        <w:jc w:val="both"/>
        <w:rPr>
          <w:rFonts w:ascii="Times New Roman" w:eastAsia="Times New Roman" w:hAnsi="Times New Roman" w:cs="Times New Roman"/>
        </w:rPr>
      </w:pPr>
    </w:p>
    <w:p w14:paraId="70CB6BCD" w14:textId="04FC9508"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canine distemper infected 85% of the lion population in Serengeti and eliminated one third of the population </w:t>
      </w:r>
      <w:r w:rsidRPr="009B0448">
        <w:rPr>
          <w:rFonts w:ascii="Times New Roman" w:eastAsia="Times New Roman" w:hAnsi="Times New Roman" w:cs="Times New Roman"/>
        </w:rPr>
        <w:fldChar w:fldCharType="begin"/>
      </w:r>
      <w:r w:rsidRPr="009B0448">
        <w:rPr>
          <w:rFonts w:ascii="Times New Roman" w:eastAsia="Times New Roman" w:hAnsi="Times New Roman" w:cs="Times New Roman"/>
        </w:rPr>
        <w:instrText xml:space="preserve"> ADDIN EN.CITE &lt;EndNote&gt;&lt;Cite&gt;&lt;Author&gt;Cleaveland&lt;/Author&gt;&lt;Year&gt;2000&lt;/Year&gt;&lt;RecNum&gt;1978&lt;/RecNum&gt;&lt;DisplayText&gt;(Cleaveland et al., 2000, Guiserix et al., 2007)&lt;/DisplayText&gt;&lt;record&gt;&lt;rec-number&gt;1978&lt;/rec-number&gt;&lt;foreign-keys&gt;&lt;key app="EN" db-id="zvwwe5pa4dd2vjeztp7vr0zzfawzxf005apa"&gt;1978&lt;/key&gt;&lt;/foreign-keys&gt;&lt;ref-type name="Journal Article"&gt;17&lt;/ref-type&gt;&lt;contributors&gt;&lt;authors&gt;&lt;author&gt;Cleaveland, S&lt;/author&gt;&lt;author&gt;Appel, MGJ&lt;/author&gt;&lt;author&gt;Chalmers, WSK&lt;/author&gt;&lt;author&gt;Chillingworth, C&lt;/author&gt;&lt;author&gt;Kaare, M&lt;/author&gt;&lt;author&gt;Dye, C&lt;/author&gt;&lt;/authors&gt;&lt;/contributors&gt;&lt;titles&gt;&lt;title&gt;Serological and demographic evidence for domestic dogs as a source of canine distemper virus infection for Serengeti wildlife&lt;/title&gt;&lt;secondary-title&gt;Veterinary microbiology&lt;/secondary-title&gt;&lt;/titles&gt;&lt;periodical&gt;&lt;full-title&gt;Veterinary microbiology&lt;/full-title&gt;&lt;/periodical&gt;&lt;pages&gt;217-227&lt;/pages&gt;&lt;volume&gt;72&lt;/volume&gt;&lt;number&gt;3&lt;/number&gt;&lt;dates&gt;&lt;year&gt;2000&lt;/year&gt;&lt;/dates&gt;&lt;isbn&gt;0378-1135&lt;/isbn&gt;&lt;urls&gt;&lt;/urls&gt;&lt;/record&gt;&lt;/Cite&gt;&lt;Cite&gt;&lt;Author&gt;Guiserix&lt;/Author&gt;&lt;Year&gt;2007&lt;/Year&gt;&lt;RecNum&gt;1977&lt;/RecNum&gt;&lt;record&gt;&lt;rec-number&gt;1977&lt;/rec-number&gt;&lt;foreign-keys&gt;&lt;key app="EN" db-id="zvwwe5pa4dd2vjeztp7vr0zzfawzxf005apa"&gt;1977&lt;/key&gt;&lt;/foreign-keys&gt;&lt;ref-type name="Journal Article"&gt;17&lt;/ref-type&gt;&lt;contributors&gt;&lt;authors&gt;&lt;author&gt;Guiserix, Micheline&lt;/author&gt;&lt;author&gt;Bahi-Jaber, Narges&lt;/author&gt;&lt;author&gt;Fouchet, David&lt;/author&gt;&lt;author&gt;Sauvage, Frank&lt;/author&gt;&lt;author&gt;Pontier, Dominique&lt;/author&gt;&lt;/authors&gt;&lt;/contributors&gt;&lt;titles&gt;&lt;title&gt;The canine distemper epidemic in Serengeti: are lions victims of a new highly virulent canine distemper virus strain, or is pathogen circulation stochasticity to blame?&lt;/title&gt;&lt;secondary-title&gt;Journal of the Royal Society Interface&lt;/secondary-title&gt;&lt;/titles&gt;&lt;periodical&gt;&lt;full-title&gt;Journal of the Royal Society Interface&lt;/full-title&gt;&lt;/periodical&gt;&lt;pages&gt;1127-1134&lt;/pages&gt;&lt;volume&gt;4&lt;/volume&gt;&lt;number&gt;17&lt;/number&gt;&lt;dates&gt;&lt;year&gt;2007&lt;/year&gt;&lt;/dates&gt;&lt;isbn&gt;1742-5689&lt;/isbn&gt;&lt;urls&gt;&lt;/urls&gt;&lt;/record&gt;&lt;/Cite&gt;&lt;/EndNote&gt;</w:instrText>
      </w:r>
      <w:r w:rsidRPr="009B0448">
        <w:rPr>
          <w:rFonts w:ascii="Times New Roman" w:eastAsia="Times New Roman" w:hAnsi="Times New Roman" w:cs="Times New Roman"/>
        </w:rPr>
        <w:fldChar w:fldCharType="separate"/>
      </w:r>
      <w:r w:rsidRPr="009B0448">
        <w:rPr>
          <w:rFonts w:ascii="Times New Roman" w:eastAsia="Times New Roman" w:hAnsi="Times New Roman" w:cs="Times New Roman"/>
          <w:noProof/>
        </w:rPr>
        <w:t>(</w:t>
      </w:r>
      <w:r w:rsidRPr="000009C6">
        <w:rPr>
          <w:rFonts w:ascii="Times New Roman" w:hAnsi="Times New Roman" w:cs="Times New Roman"/>
          <w:noProof/>
        </w:rPr>
        <w:t xml:space="preserve">Cleaveland </w:t>
      </w:r>
      <w:r w:rsidRPr="000009C6">
        <w:rPr>
          <w:rFonts w:ascii="Times New Roman" w:hAnsi="Times New Roman" w:cs="Times New Roman"/>
          <w:i/>
          <w:noProof/>
        </w:rPr>
        <w:t>et al.</w:t>
      </w:r>
      <w:r w:rsidRPr="000009C6">
        <w:rPr>
          <w:rFonts w:ascii="Times New Roman" w:hAnsi="Times New Roman" w:cs="Times New Roman"/>
          <w:noProof/>
        </w:rPr>
        <w:t>, 2000</w:t>
      </w:r>
      <w:r w:rsidRPr="009B0448">
        <w:rPr>
          <w:rFonts w:ascii="Times New Roman" w:eastAsia="Times New Roman" w:hAnsi="Times New Roman" w:cs="Times New Roman"/>
          <w:noProof/>
        </w:rPr>
        <w:t xml:space="preserve">; </w:t>
      </w:r>
      <w:r w:rsidRPr="000009C6">
        <w:rPr>
          <w:rFonts w:ascii="Times New Roman" w:hAnsi="Times New Roman" w:cs="Times New Roman"/>
          <w:noProof/>
        </w:rPr>
        <w:t xml:space="preserve">Guiserix </w:t>
      </w:r>
      <w:r w:rsidRPr="000009C6">
        <w:rPr>
          <w:rFonts w:ascii="Times New Roman" w:hAnsi="Times New Roman" w:cs="Times New Roman"/>
          <w:i/>
          <w:noProof/>
        </w:rPr>
        <w:t>et al.</w:t>
      </w:r>
      <w:r w:rsidRPr="000009C6">
        <w:rPr>
          <w:rFonts w:ascii="Times New Roman" w:hAnsi="Times New Roman" w:cs="Times New Roman"/>
          <w:noProof/>
        </w:rPr>
        <w:t>, 2007</w:t>
      </w:r>
      <w:r w:rsidRPr="009B0448">
        <w:rPr>
          <w:rFonts w:ascii="Times New Roman" w:eastAsia="Times New Roman" w:hAnsi="Times New Roman" w:cs="Times New Roman"/>
          <w:noProof/>
        </w:rPr>
        <w:t>)</w:t>
      </w:r>
      <w:r w:rsidRPr="009B0448">
        <w:rPr>
          <w:rFonts w:ascii="Times New Roman" w:eastAsia="Times New Roman" w:hAnsi="Times New Roman" w:cs="Times New Roman"/>
        </w:rPr>
        <w:fldChar w:fldCharType="end"/>
      </w:r>
      <w:r w:rsidRPr="009B0448">
        <w:rPr>
          <w:rFonts w:ascii="Times New Roman" w:eastAsia="Times New Roman" w:hAnsi="Times New Roman" w:cs="Times New Roman"/>
        </w:rPr>
        <w:t xml:space="preserve"> while Ebola killed 5,000 of the endangered and charismatic gorillas, and other non-human primates coinciding with a human outbreak of the Zairean strain of the virus </w:t>
      </w:r>
      <w:r w:rsidRPr="009B0448">
        <w:rPr>
          <w:rFonts w:ascii="Times New Roman" w:eastAsia="Times New Roman" w:hAnsi="Times New Roman" w:cs="Times New Roman"/>
        </w:rPr>
        <w:fldChar w:fldCharType="begin"/>
      </w:r>
      <w:r w:rsidRPr="009B0448">
        <w:rPr>
          <w:rFonts w:ascii="Times New Roman" w:eastAsia="Times New Roman" w:hAnsi="Times New Roman" w:cs="Times New Roman"/>
        </w:rPr>
        <w:instrText xml:space="preserve"> ADDIN EN.CITE &lt;EndNote&gt;&lt;Cite&gt;&lt;Author&gt;Bermejo&lt;/Author&gt;&lt;Year&gt;2006&lt;/Year&gt;&lt;RecNum&gt;1979&lt;/RecNum&gt;&lt;DisplayText&gt;(Bermejo et al., 2006, Le Gouar et al., 2009)&lt;/DisplayText&gt;&lt;record&gt;&lt;rec-number&gt;1979&lt;/rec-number&gt;&lt;foreign-keys&gt;&lt;key app="EN" db-id="zvwwe5pa4dd2vjeztp7vr0zzfawzxf005apa"&gt;1979&lt;/key&gt;&lt;/foreign-keys&gt;&lt;ref-type name="Journal Article"&gt;17&lt;/ref-type&gt;&lt;contributors&gt;&lt;authors&gt;&lt;author&gt;Bermejo, Magdalena&lt;/author&gt;&lt;author&gt;Rodríguez-Teijeiro, José Domingo&lt;/author&gt;&lt;author&gt;Illera, Germán&lt;/author&gt;&lt;author&gt;Barroso, Alex&lt;/author&gt;&lt;author&gt;Vilà, Carles&lt;/author&gt;&lt;author&gt;Walsh, Peter D&lt;/author&gt;&lt;/authors&gt;&lt;/contributors&gt;&lt;titles&gt;&lt;title&gt;Ebola outbreak killed 5000 gorillas&lt;/title&gt;&lt;secondary-title&gt;Science&lt;/secondary-title&gt;&lt;/titles&gt;&lt;periodical&gt;&lt;full-title&gt;Science&lt;/full-title&gt;&lt;/periodical&gt;&lt;pages&gt;1564-1564&lt;/pages&gt;&lt;volume&gt;314&lt;/volume&gt;&lt;number&gt;5805&lt;/number&gt;&lt;dates&gt;&lt;year&gt;2006&lt;/year&gt;&lt;/dates&gt;&lt;isbn&gt;0036-8075&lt;/isbn&gt;&lt;urls&gt;&lt;/urls&gt;&lt;/record&gt;&lt;/Cite&gt;&lt;Cite&gt;&lt;Author&gt;Le Gouar&lt;/Author&gt;&lt;Year&gt;2009&lt;/Year&gt;&lt;RecNum&gt;2240&lt;/RecNum&gt;&lt;record&gt;&lt;rec-number&gt;2240&lt;/rec-number&gt;&lt;foreign-keys&gt;&lt;key app="EN" db-id="zvwwe5pa4dd2vjeztp7vr0zzfawzxf005apa"&gt;2240&lt;/key&gt;&lt;/foreign-keys&gt;&lt;ref-type name="Journal Article"&gt;17&lt;/ref-type&gt;&lt;contributors&gt;&lt;authors&gt;&lt;author&gt;Le Gouar, Pascaline J.&lt;/author&gt;&lt;author&gt;Vallet, Dominique&lt;/author&gt;&lt;author&gt;David, Laetitia&lt;/author&gt;&lt;author&gt;Bermejo, Magdalena&lt;/author&gt;&lt;author&gt;Gatti, Sylvain&lt;/author&gt;&lt;author&gt;Levréro, Florence&lt;/author&gt;&lt;author&gt;Petit, Eric J.&lt;/author&gt;&lt;author&gt;Ménard, Nelly&lt;/author&gt;&lt;/authors&gt;&lt;/contributors&gt;&lt;titles&gt;&lt;title&gt;How Ebola Impacts Genetics of Western Lowland Gorilla Populations&lt;/title&gt;&lt;secondary-title&gt;PLOS ONE&lt;/secondary-title&gt;&lt;/titles&gt;&lt;periodical&gt;&lt;full-title&gt;PLoS One&lt;/full-title&gt;&lt;/periodical&gt;&lt;pages&gt;e8375&lt;/pages&gt;&lt;volume&gt;4&lt;/volume&gt;&lt;number&gt;12&lt;/number&gt;&lt;dates&gt;&lt;year&gt;2009&lt;/year&gt;&lt;/dates&gt;&lt;publisher&gt;Public Library of Science&lt;/publisher&gt;&lt;urls&gt;&lt;related-urls&gt;&lt;url&gt;https://doi.org/10.1371/journal.pone.0008375&lt;/url&gt;&lt;/related-urls&gt;&lt;/urls&gt;&lt;electronic-resource-num&gt;10.1371/journal.pone.0008375&lt;/electronic-resource-num&gt;&lt;/record&gt;&lt;/Cite&gt;&lt;/EndNote&gt;</w:instrText>
      </w:r>
      <w:r w:rsidRPr="009B0448">
        <w:rPr>
          <w:rFonts w:ascii="Times New Roman" w:eastAsia="Times New Roman" w:hAnsi="Times New Roman" w:cs="Times New Roman"/>
        </w:rPr>
        <w:fldChar w:fldCharType="separate"/>
      </w:r>
      <w:r w:rsidRPr="009B0448">
        <w:rPr>
          <w:rFonts w:ascii="Times New Roman" w:eastAsia="Times New Roman" w:hAnsi="Times New Roman" w:cs="Times New Roman"/>
          <w:noProof/>
        </w:rPr>
        <w:t>(</w:t>
      </w:r>
      <w:r w:rsidRPr="000009C6">
        <w:rPr>
          <w:rFonts w:ascii="Times New Roman" w:hAnsi="Times New Roman" w:cs="Times New Roman"/>
          <w:noProof/>
        </w:rPr>
        <w:t xml:space="preserve">Bermejo </w:t>
      </w:r>
      <w:r w:rsidRPr="000009C6">
        <w:rPr>
          <w:rFonts w:ascii="Times New Roman" w:hAnsi="Times New Roman" w:cs="Times New Roman"/>
          <w:i/>
          <w:noProof/>
        </w:rPr>
        <w:t>et al.</w:t>
      </w:r>
      <w:r w:rsidRPr="000009C6">
        <w:rPr>
          <w:rFonts w:ascii="Times New Roman" w:hAnsi="Times New Roman" w:cs="Times New Roman"/>
          <w:noProof/>
        </w:rPr>
        <w:t>, 2006</w:t>
      </w:r>
      <w:r w:rsidRPr="009B0448">
        <w:rPr>
          <w:rFonts w:ascii="Times New Roman" w:eastAsia="Times New Roman" w:hAnsi="Times New Roman" w:cs="Times New Roman"/>
          <w:noProof/>
        </w:rPr>
        <w:t xml:space="preserve">; </w:t>
      </w:r>
      <w:r w:rsidRPr="000009C6">
        <w:rPr>
          <w:rFonts w:ascii="Times New Roman" w:hAnsi="Times New Roman" w:cs="Times New Roman"/>
          <w:noProof/>
        </w:rPr>
        <w:t xml:space="preserve">Le Gouar </w:t>
      </w:r>
      <w:r w:rsidRPr="000009C6">
        <w:rPr>
          <w:rFonts w:ascii="Times New Roman" w:hAnsi="Times New Roman" w:cs="Times New Roman"/>
          <w:i/>
          <w:noProof/>
        </w:rPr>
        <w:t>et al.</w:t>
      </w:r>
      <w:r w:rsidRPr="000009C6">
        <w:rPr>
          <w:rFonts w:ascii="Times New Roman" w:hAnsi="Times New Roman" w:cs="Times New Roman"/>
          <w:noProof/>
        </w:rPr>
        <w:t>, 2009</w:t>
      </w:r>
      <w:r w:rsidRPr="009B0448">
        <w:rPr>
          <w:rFonts w:ascii="Times New Roman" w:eastAsia="Times New Roman" w:hAnsi="Times New Roman" w:cs="Times New Roman"/>
          <w:noProof/>
        </w:rPr>
        <w:t>)</w:t>
      </w:r>
      <w:r w:rsidRPr="009B0448">
        <w:rPr>
          <w:rFonts w:ascii="Times New Roman" w:eastAsia="Times New Roman" w:hAnsi="Times New Roman" w:cs="Times New Roman"/>
        </w:rPr>
        <w:fldChar w:fldCharType="end"/>
      </w:r>
      <w:r w:rsidRPr="009B0448">
        <w:rPr>
          <w:rFonts w:ascii="Times New Roman" w:eastAsia="Times New Roman" w:hAnsi="Times New Roman" w:cs="Times New Roman"/>
        </w:rPr>
        <w:t xml:space="preserve">. The occurrence of and control measures instituted against trypanosomiasis in large parts of Africa impacts on biodiversity and restricts economic development </w:t>
      </w:r>
      <w:r w:rsidRPr="009B0448">
        <w:rPr>
          <w:rFonts w:ascii="Times New Roman" w:eastAsia="Times New Roman" w:hAnsi="Times New Roman" w:cs="Times New Roman"/>
          <w:color w:val="auto"/>
        </w:rPr>
        <w:t xml:space="preserve">(PATTEC, 2006). The disease caused by varied species of a protozoan, </w:t>
      </w:r>
      <w:r w:rsidRPr="009B0448">
        <w:rPr>
          <w:rFonts w:ascii="Times New Roman" w:eastAsia="Times New Roman" w:hAnsi="Times New Roman" w:cs="Times New Roman"/>
          <w:i/>
          <w:color w:val="auto"/>
        </w:rPr>
        <w:t xml:space="preserve">Trypanosoma </w:t>
      </w:r>
      <w:r w:rsidRPr="009B0448">
        <w:rPr>
          <w:rFonts w:ascii="Times New Roman" w:eastAsia="Times New Roman" w:hAnsi="Times New Roman" w:cs="Times New Roman"/>
          <w:color w:val="auto"/>
        </w:rPr>
        <w:t>spp, is transmitted by tsetse fly (</w:t>
      </w:r>
      <w:r w:rsidRPr="009B0448">
        <w:rPr>
          <w:rFonts w:ascii="Times New Roman" w:eastAsia="Times New Roman" w:hAnsi="Times New Roman" w:cs="Times New Roman"/>
          <w:i/>
          <w:color w:val="auto"/>
        </w:rPr>
        <w:t>Glossina</w:t>
      </w:r>
      <w:r w:rsidRPr="009B0448">
        <w:rPr>
          <w:rFonts w:ascii="Times New Roman" w:eastAsia="Times New Roman" w:hAnsi="Times New Roman" w:cs="Times New Roman"/>
          <w:color w:val="auto"/>
        </w:rPr>
        <w:t xml:space="preserve"> spp), to humans, livestock and wildlife and occurs in more than 30 sub-Saharan African countries </w:t>
      </w:r>
      <w:r w:rsidRPr="009B0448">
        <w:rPr>
          <w:rFonts w:ascii="Times New Roman" w:eastAsia="Times New Roman" w:hAnsi="Times New Roman" w:cs="Times New Roman"/>
          <w:color w:val="auto"/>
        </w:rPr>
        <w:fldChar w:fldCharType="begin"/>
      </w:r>
      <w:r w:rsidRPr="009B0448">
        <w:rPr>
          <w:rFonts w:ascii="Times New Roman" w:eastAsia="Times New Roman" w:hAnsi="Times New Roman" w:cs="Times New Roman"/>
          <w:color w:val="auto"/>
        </w:rPr>
        <w:instrText xml:space="preserve"> ADDIN EN.CITE &lt;EndNote&gt;&lt;Cite&gt;&lt;Author&gt;Wamwiri&lt;/Author&gt;&lt;Year&gt;2016&lt;/Year&gt;&lt;RecNum&gt;2217&lt;/RecNum&gt;&lt;DisplayText&gt;(Wamwiri and Changasi, 2016)&lt;/DisplayText&gt;&lt;record&gt;&lt;rec-number&gt;2217&lt;/rec-number&gt;&lt;foreign-keys&gt;&lt;key app="EN" db-id="zvwwe5pa4dd2vjeztp7vr0zzfawzxf005apa"&gt;2217&lt;/key&gt;&lt;/foreign-keys&gt;&lt;ref-type name="Journal Article"&gt;17&lt;/ref-type&gt;&lt;contributors&gt;&lt;authors&gt;&lt;author&gt;Wamwiri, Florence Njeri&lt;/author&gt;&lt;author&gt;Changasi, Robert Emojong&lt;/author&gt;&lt;/authors&gt;&lt;/contributors&gt;&lt;titles&gt;&lt;title&gt;Tsetse flies (Glossina) as vectors of human African trypanosomiasis: a review&lt;/title&gt;&lt;secondary-title&gt;BioMed research international&lt;/secondary-title&gt;&lt;/titles&gt;&lt;periodical&gt;&lt;full-title&gt;BioMed research international&lt;/full-title&gt;&lt;/periodical&gt;&lt;volume&gt;2016&lt;/volume&gt;&lt;dates&gt;&lt;year&gt;2016&lt;/year&gt;&lt;/dates&gt;&lt;isbn&gt;2314-6133&lt;/isbn&gt;&lt;urls&gt;&lt;/urls&gt;&lt;/record&gt;&lt;/Cite&gt;&lt;/EndNote&gt;</w:instrText>
      </w:r>
      <w:r w:rsidRPr="009B0448">
        <w:rPr>
          <w:rFonts w:ascii="Times New Roman" w:eastAsia="Times New Roman" w:hAnsi="Times New Roman" w:cs="Times New Roman"/>
          <w:color w:val="auto"/>
        </w:rPr>
        <w:fldChar w:fldCharType="separate"/>
      </w:r>
      <w:r w:rsidRPr="009B0448">
        <w:rPr>
          <w:rFonts w:ascii="Times New Roman" w:eastAsia="Times New Roman" w:hAnsi="Times New Roman" w:cs="Times New Roman"/>
          <w:noProof/>
          <w:color w:val="auto"/>
        </w:rPr>
        <w:t xml:space="preserve">(Wamwiri </w:t>
      </w:r>
      <w:r w:rsidRPr="009B0448">
        <w:rPr>
          <w:rFonts w:ascii="Times New Roman" w:eastAsia="Times New Roman" w:hAnsi="Times New Roman" w:cs="Times New Roman"/>
          <w:i/>
          <w:noProof/>
          <w:color w:val="auto"/>
        </w:rPr>
        <w:t>et al.</w:t>
      </w:r>
      <w:r w:rsidRPr="009B0448">
        <w:rPr>
          <w:rFonts w:ascii="Times New Roman" w:eastAsia="Times New Roman" w:hAnsi="Times New Roman" w:cs="Times New Roman"/>
          <w:noProof/>
          <w:color w:val="auto"/>
        </w:rPr>
        <w:t>, 2016)</w:t>
      </w:r>
      <w:r w:rsidRPr="009B0448">
        <w:rPr>
          <w:rFonts w:ascii="Times New Roman" w:eastAsia="Times New Roman" w:hAnsi="Times New Roman" w:cs="Times New Roman"/>
          <w:color w:val="auto"/>
        </w:rPr>
        <w:fldChar w:fldCharType="end"/>
      </w:r>
      <w:r w:rsidRPr="009B0448">
        <w:rPr>
          <w:rFonts w:ascii="Times New Roman" w:eastAsia="Times New Roman" w:hAnsi="Times New Roman" w:cs="Times New Roman"/>
          <w:color w:val="auto"/>
        </w:rPr>
        <w:t xml:space="preserve">. The disease causes severe health burden among infected humans, limits productivity of livestock, leads to overstocking of livestock in disease-free zones and poses serious conflict on the choice of appropriate policy measures for its control (FAO, 2008; Selby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2013). For example, bush clearing is a strategy to control the vector of Trypanosomiasis </w:t>
      </w:r>
      <w:r w:rsidRPr="009B0448">
        <w:rPr>
          <w:rFonts w:ascii="Times New Roman" w:eastAsia="Times New Roman" w:hAnsi="Times New Roman" w:cs="Times New Roman"/>
          <w:color w:val="auto"/>
        </w:rPr>
        <w:fldChar w:fldCharType="begin"/>
      </w:r>
      <w:r w:rsidRPr="009B0448">
        <w:rPr>
          <w:rFonts w:ascii="Times New Roman" w:eastAsia="Times New Roman" w:hAnsi="Times New Roman" w:cs="Times New Roman"/>
          <w:color w:val="auto"/>
        </w:rPr>
        <w:instrText xml:space="preserve"> ADDIN EN.CITE &lt;EndNote&gt;&lt;Cite&gt;&lt;Author&gt;Rutto&lt;/Author&gt;&lt;Year&gt;2013&lt;/Year&gt;&lt;RecNum&gt;2210&lt;/RecNum&gt;&lt;DisplayText&gt;(Rutto et al., 2013)&lt;/DisplayText&gt;&lt;record&gt;&lt;rec-number&gt;2210&lt;/rec-number&gt;&lt;foreign-keys&gt;&lt;key app="EN" db-id="zvwwe5pa4dd2vjeztp7vr0zzfawzxf005apa"&gt;2210&lt;/key&gt;&lt;/foreign-keys&gt;&lt;ref-type name="Journal Article"&gt;17&lt;/ref-type&gt;&lt;contributors&gt;&lt;authors&gt;&lt;author&gt;Rutto, Jane Jemeli&lt;/author&gt;&lt;author&gt;Osano, Odipo&lt;/author&gt;&lt;author&gt;Thuranira, Elias Gitonga&lt;/author&gt;&lt;author&gt;Kurgat, Richard Kiptum&lt;/author&gt;&lt;author&gt;Odenyo, Victor Agab Omondi&lt;/author&gt;&lt;/authors&gt;&lt;/contributors&gt;&lt;titles&gt;&lt;title&gt;Socio-Economic and Cultural Determinants of Human African Trypanosomiasis at the Kenya – Uganda Transboundary&lt;/title&gt;&lt;secondary-title&gt;PLoS Negl Trop Dis&lt;/secondary-title&gt;&lt;/titles&gt;&lt;periodical&gt;&lt;full-title&gt;PLoS Negl Trop Dis&lt;/full-title&gt;&lt;/periodical&gt;&lt;pages&gt;e2186&lt;/pages&gt;&lt;volume&gt;7&lt;/volume&gt;&lt;number&gt;4&lt;/number&gt;&lt;dates&gt;&lt;year&gt;2013&lt;/year&gt;&lt;/dates&gt;&lt;publisher&gt;Public Library of Science&lt;/publisher&gt;&lt;urls&gt;&lt;related-urls&gt;&lt;url&gt;http://dx.doi.org/10.1371%2Fjournal.pntd.0002186&lt;/url&gt;&lt;/related-urls&gt;&lt;/urls&gt;&lt;electronic-resource-num&gt;10.1371/journal.pntd.0002186&lt;/electronic-resource-num&gt;&lt;/record&gt;&lt;/Cite&gt;&lt;/EndNote&gt;</w:instrText>
      </w:r>
      <w:r w:rsidRPr="009B0448">
        <w:rPr>
          <w:rFonts w:ascii="Times New Roman" w:eastAsia="Times New Roman" w:hAnsi="Times New Roman" w:cs="Times New Roman"/>
          <w:color w:val="auto"/>
        </w:rPr>
        <w:fldChar w:fldCharType="separate"/>
      </w:r>
      <w:r w:rsidRPr="009B0448">
        <w:rPr>
          <w:rFonts w:ascii="Times New Roman" w:eastAsia="Times New Roman" w:hAnsi="Times New Roman" w:cs="Times New Roman"/>
          <w:noProof/>
          <w:color w:val="auto"/>
        </w:rPr>
        <w:t>(</w:t>
      </w:r>
      <w:r w:rsidRPr="000009C6">
        <w:rPr>
          <w:rFonts w:ascii="Times New Roman" w:hAnsi="Times New Roman" w:cs="Times New Roman"/>
          <w:noProof/>
        </w:rPr>
        <w:t xml:space="preserve">Rutto </w:t>
      </w:r>
      <w:r w:rsidRPr="000009C6">
        <w:rPr>
          <w:rFonts w:ascii="Times New Roman" w:hAnsi="Times New Roman" w:cs="Times New Roman"/>
          <w:i/>
          <w:noProof/>
        </w:rPr>
        <w:t>et al.</w:t>
      </w:r>
      <w:r w:rsidRPr="000009C6">
        <w:rPr>
          <w:rFonts w:ascii="Times New Roman" w:hAnsi="Times New Roman" w:cs="Times New Roman"/>
          <w:noProof/>
        </w:rPr>
        <w:t>, 2013</w:t>
      </w:r>
      <w:r w:rsidRPr="009B0448">
        <w:rPr>
          <w:rFonts w:ascii="Times New Roman" w:eastAsia="Times New Roman" w:hAnsi="Times New Roman" w:cs="Times New Roman"/>
          <w:noProof/>
          <w:color w:val="auto"/>
        </w:rPr>
        <w:t>)</w:t>
      </w:r>
      <w:r w:rsidRPr="009B0448">
        <w:rPr>
          <w:rFonts w:ascii="Times New Roman" w:eastAsia="Times New Roman" w:hAnsi="Times New Roman" w:cs="Times New Roman"/>
          <w:color w:val="auto"/>
        </w:rPr>
        <w:fldChar w:fldCharType="end"/>
      </w:r>
      <w:r w:rsidRPr="009B0448">
        <w:rPr>
          <w:rFonts w:ascii="Times New Roman" w:eastAsia="Times New Roman" w:hAnsi="Times New Roman" w:cs="Times New Roman"/>
          <w:color w:val="auto"/>
        </w:rPr>
        <w:t xml:space="preserve"> but also leads to destruction of wildlife habitat and environmental degradation. Tsetse and trypanosomiasis infestations have negative impact on wildlife health too, and can be a threat to the survival of some endangered species such as the rhino (Kenya Wildlife Service, 2012) while rinderpest can cause high deaths in the buffaloes, giraffes, and wildebeests. Foot-and-mouth disease is one of the major diseases affecting numerous species of cloven-hoofed wildlife and livestock, including buffalo, impala, cattle, sheep, goats and pigs. Understanding the epidemiology of Foot-and-mouth disease, including roles played by different hosts, is essential for improving disease control. The African buffalo (</w:t>
      </w:r>
      <w:r w:rsidRPr="009B0448">
        <w:rPr>
          <w:rFonts w:ascii="Times New Roman" w:eastAsia="Times New Roman" w:hAnsi="Times New Roman" w:cs="Times New Roman"/>
          <w:i/>
          <w:color w:val="auto"/>
        </w:rPr>
        <w:t>Syncerus caffer</w:t>
      </w:r>
      <w:r w:rsidRPr="009B0448">
        <w:rPr>
          <w:rFonts w:ascii="Times New Roman" w:eastAsia="Times New Roman" w:hAnsi="Times New Roman" w:cs="Times New Roman"/>
          <w:color w:val="auto"/>
        </w:rPr>
        <w:t xml:space="preserve">) is a reservoir for the Southern African Territories serotypes of Foot-and-mouth disease virus (Wekesa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2015). Foot-and-mouth disease has severely negative economic impacts because imports of meat and animals from affected countries are banned by disease-free countries to control the spread of Foot-and-mouth disease.</w:t>
      </w:r>
      <w:r w:rsidRPr="009B0448">
        <w:rPr>
          <w:rFonts w:ascii="Times New Roman" w:hAnsi="Times New Roman" w:cs="Times New Roman"/>
        </w:rPr>
        <w:t xml:space="preserve"> </w:t>
      </w:r>
      <w:r w:rsidRPr="009B0448">
        <w:rPr>
          <w:rFonts w:ascii="Times New Roman" w:eastAsia="Times New Roman" w:hAnsi="Times New Roman" w:cs="Times New Roman"/>
        </w:rPr>
        <w:t>Among amphibians, the panzoonotic Chytrid fungus (</w:t>
      </w:r>
      <w:r w:rsidRPr="009B0448">
        <w:rPr>
          <w:rFonts w:ascii="Times New Roman" w:eastAsia="Times New Roman" w:hAnsi="Times New Roman" w:cs="Times New Roman"/>
          <w:i/>
        </w:rPr>
        <w:t>Batrachochytrium dendrobatidis</w:t>
      </w:r>
      <w:r w:rsidRPr="009B0448">
        <w:rPr>
          <w:rFonts w:ascii="Times New Roman" w:eastAsia="Times New Roman" w:hAnsi="Times New Roman" w:cs="Times New Roman"/>
        </w:rPr>
        <w:t xml:space="preserve">) is widespread in Africa except in the West of Dahomey (Penner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It causes hyperplasia and hyperkeratosis disrupting critical functions of the infected amphibian’s skin and leading to cardiac arrest (Voyles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2011).</w:t>
      </w:r>
    </w:p>
    <w:p w14:paraId="46F399FF" w14:textId="77777777" w:rsidR="009B0448" w:rsidRPr="009B0448" w:rsidRDefault="009B0448" w:rsidP="009B0448">
      <w:pPr>
        <w:spacing w:line="276" w:lineRule="auto"/>
        <w:jc w:val="both"/>
        <w:rPr>
          <w:rFonts w:ascii="Times New Roman" w:eastAsia="Times New Roman" w:hAnsi="Times New Roman" w:cs="Times New Roman"/>
        </w:rPr>
      </w:pPr>
    </w:p>
    <w:p w14:paraId="0A67B5AA" w14:textId="70656C94"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Table 4.1:</w:t>
      </w:r>
      <w:r w:rsidR="00DF623E">
        <w:rPr>
          <w:rFonts w:ascii="Times New Roman" w:eastAsia="Times New Roman" w:hAnsi="Times New Roman" w:cs="Times New Roman"/>
        </w:rPr>
        <w:t xml:space="preserve"> Economic impacts of pest</w:t>
      </w:r>
      <w:r w:rsidRPr="009B0448">
        <w:rPr>
          <w:rFonts w:ascii="Times New Roman" w:eastAsia="Times New Roman" w:hAnsi="Times New Roman" w:cs="Times New Roman"/>
        </w:rPr>
        <w:t xml:space="preserve"> diseases in Africa.</w:t>
      </w:r>
    </w:p>
    <w:tbl>
      <w:tblPr>
        <w:tblStyle w:val="PlainTable11"/>
        <w:tblW w:w="5000" w:type="pct"/>
        <w:tblLook w:val="04A0" w:firstRow="1" w:lastRow="0" w:firstColumn="1" w:lastColumn="0" w:noHBand="0" w:noVBand="1"/>
      </w:tblPr>
      <w:tblGrid>
        <w:gridCol w:w="521"/>
        <w:gridCol w:w="1447"/>
        <w:gridCol w:w="1664"/>
        <w:gridCol w:w="2075"/>
        <w:gridCol w:w="1671"/>
        <w:gridCol w:w="1638"/>
      </w:tblGrid>
      <w:tr w:rsidR="009B0448" w:rsidRPr="009B0448" w14:paraId="4CBB4DCE" w14:textId="77777777" w:rsidTr="009B0448">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1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7B0EF0F" w14:textId="77777777" w:rsidR="009B0448" w:rsidRPr="009B0448" w:rsidRDefault="009B0448">
            <w:pPr>
              <w:spacing w:line="276" w:lineRule="auto"/>
              <w:jc w:val="both"/>
              <w:rPr>
                <w:rFonts w:ascii="Times New Roman" w:eastAsia="Times New Roman" w:hAnsi="Times New Roman" w:cs="Times New Roman"/>
              </w:rPr>
            </w:pPr>
          </w:p>
        </w:tc>
        <w:tc>
          <w:tcPr>
            <w:tcW w:w="14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CFE40B"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Pest/disease</w:t>
            </w:r>
          </w:p>
        </w:tc>
        <w:tc>
          <w:tcPr>
            <w:tcW w:w="16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6C72C7"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Damage caused</w:t>
            </w:r>
          </w:p>
        </w:tc>
        <w:tc>
          <w:tcPr>
            <w:tcW w:w="20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7C3501"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Estimated losses from outbreaks or control</w:t>
            </w:r>
          </w:p>
        </w:tc>
        <w:tc>
          <w:tcPr>
            <w:tcW w:w="1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0A32BE"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Country/region</w:t>
            </w:r>
          </w:p>
        </w:tc>
        <w:tc>
          <w:tcPr>
            <w:tcW w:w="16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497285"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Source</w:t>
            </w:r>
          </w:p>
        </w:tc>
      </w:tr>
      <w:tr w:rsidR="009B0448" w:rsidRPr="009B0448" w14:paraId="5F83FA6E" w14:textId="77777777" w:rsidTr="009B044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13"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extDirection w:val="btLr"/>
            <w:hideMark/>
          </w:tcPr>
          <w:p w14:paraId="48A4AA7B" w14:textId="77777777" w:rsidR="009B0448" w:rsidRPr="009B0448" w:rsidRDefault="009B0448">
            <w:pPr>
              <w:spacing w:line="276" w:lineRule="auto"/>
              <w:ind w:left="22" w:right="113"/>
              <w:jc w:val="center"/>
              <w:rPr>
                <w:rFonts w:ascii="Times New Roman" w:eastAsia="Times New Roman" w:hAnsi="Times New Roman" w:cs="Times New Roman"/>
                <w:bCs w:val="0"/>
              </w:rPr>
            </w:pPr>
            <w:r w:rsidRPr="009B0448">
              <w:rPr>
                <w:rFonts w:ascii="Times New Roman" w:eastAsia="Times New Roman" w:hAnsi="Times New Roman" w:cs="Times New Roman"/>
              </w:rPr>
              <w:t>Pests</w:t>
            </w:r>
          </w:p>
        </w:tc>
        <w:tc>
          <w:tcPr>
            <w:tcW w:w="14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2D17EF"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African</w:t>
            </w:r>
          </w:p>
          <w:p w14:paraId="0CFC1135"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armyworm</w:t>
            </w:r>
          </w:p>
        </w:tc>
        <w:tc>
          <w:tcPr>
            <w:tcW w:w="16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2CC897"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Feeds on all types of cereal crops (e.g., corn, rice, wheat, millet and sorghum)</w:t>
            </w:r>
          </w:p>
        </w:tc>
        <w:tc>
          <w:tcPr>
            <w:tcW w:w="20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181461"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Cost of control: $10–$16/hectare</w:t>
            </w:r>
          </w:p>
          <w:p w14:paraId="08D2D10A"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Potential damage: $11–$15/hectare</w:t>
            </w:r>
          </w:p>
        </w:tc>
        <w:tc>
          <w:tcPr>
            <w:tcW w:w="1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AA3398"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All African countries</w:t>
            </w:r>
          </w:p>
        </w:tc>
        <w:tc>
          <w:tcPr>
            <w:tcW w:w="16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8A0239"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Wild, 2017</w:t>
            </w:r>
          </w:p>
        </w:tc>
      </w:tr>
      <w:tr w:rsidR="009B0448" w:rsidRPr="009B0448" w14:paraId="41F6C63B" w14:textId="77777777" w:rsidTr="009B0448">
        <w:trPr>
          <w:trHeight w:val="25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52B30DD" w14:textId="77777777" w:rsidR="009B0448" w:rsidRPr="009B0448" w:rsidRDefault="009B0448">
            <w:pPr>
              <w:rPr>
                <w:rFonts w:ascii="Times New Roman" w:eastAsia="Times New Roman" w:hAnsi="Times New Roman" w:cs="Times New Roman"/>
              </w:rPr>
            </w:pPr>
          </w:p>
        </w:tc>
        <w:tc>
          <w:tcPr>
            <w:tcW w:w="14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FE857F"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Tsetse fly</w:t>
            </w:r>
          </w:p>
        </w:tc>
        <w:tc>
          <w:tcPr>
            <w:tcW w:w="16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543299"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Feeds on the blood of vertebrate animals</w:t>
            </w:r>
          </w:p>
        </w:tc>
        <w:tc>
          <w:tcPr>
            <w:tcW w:w="20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261325"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Each year in Africa the tsetse fly causes more than $4 billion in agriculture income losses, kills three million livestock and infects up to 75,000 people with trypanosomiasis, according to the United Nations</w:t>
            </w:r>
          </w:p>
        </w:tc>
        <w:tc>
          <w:tcPr>
            <w:tcW w:w="1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B913C9"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Sub-Saharan Africa</w:t>
            </w:r>
          </w:p>
        </w:tc>
        <w:tc>
          <w:tcPr>
            <w:tcW w:w="16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38D958"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Shaw, 2009</w:t>
            </w:r>
          </w:p>
        </w:tc>
      </w:tr>
      <w:tr w:rsidR="009B0448" w:rsidRPr="009B0448" w14:paraId="5462866C" w14:textId="77777777" w:rsidTr="009B044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31FA74B" w14:textId="77777777" w:rsidR="009B0448" w:rsidRPr="009B0448" w:rsidRDefault="009B0448">
            <w:pPr>
              <w:rPr>
                <w:rFonts w:ascii="Times New Roman" w:eastAsia="Times New Roman" w:hAnsi="Times New Roman" w:cs="Times New Roman"/>
              </w:rPr>
            </w:pPr>
          </w:p>
        </w:tc>
        <w:tc>
          <w:tcPr>
            <w:tcW w:w="14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61A443"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Insect and mite pests</w:t>
            </w:r>
          </w:p>
        </w:tc>
        <w:tc>
          <w:tcPr>
            <w:tcW w:w="16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CE78B23"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Significant yield losses of agricultural crops</w:t>
            </w:r>
          </w:p>
        </w:tc>
        <w:tc>
          <w:tcPr>
            <w:tcW w:w="20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D18DA9"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The economic crop losses caused by introduced arthropods in South Africa alone are estimated to be $1 billion/year</w:t>
            </w:r>
          </w:p>
        </w:tc>
        <w:tc>
          <w:tcPr>
            <w:tcW w:w="1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348553"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All African countries</w:t>
            </w:r>
          </w:p>
        </w:tc>
        <w:tc>
          <w:tcPr>
            <w:tcW w:w="16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EBC7F3"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 xml:space="preserve">Pimentel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2000</w:t>
            </w:r>
          </w:p>
        </w:tc>
      </w:tr>
      <w:tr w:rsidR="009B0448" w:rsidRPr="009B0448" w14:paraId="405A161D" w14:textId="77777777" w:rsidTr="009B0448">
        <w:trPr>
          <w:trHeight w:val="250"/>
        </w:trPr>
        <w:tc>
          <w:tcPr>
            <w:cnfStyle w:val="001000000000" w:firstRow="0" w:lastRow="0" w:firstColumn="1" w:lastColumn="0" w:oddVBand="0" w:evenVBand="0" w:oddHBand="0" w:evenHBand="0" w:firstRowFirstColumn="0" w:firstRowLastColumn="0" w:lastRowFirstColumn="0" w:lastRowLastColumn="0"/>
            <w:tcW w:w="9016" w:type="dxa"/>
            <w:gridSpan w:val="6"/>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2CBD292" w14:textId="77777777" w:rsidR="009B0448" w:rsidRPr="009B0448" w:rsidRDefault="009B0448">
            <w:pPr>
              <w:spacing w:line="276" w:lineRule="auto"/>
              <w:jc w:val="both"/>
              <w:rPr>
                <w:rFonts w:ascii="Times New Roman" w:eastAsia="Times New Roman" w:hAnsi="Times New Roman" w:cs="Times New Roman"/>
              </w:rPr>
            </w:pPr>
          </w:p>
        </w:tc>
      </w:tr>
      <w:tr w:rsidR="009B0448" w:rsidRPr="009B0448" w14:paraId="474B4958" w14:textId="77777777" w:rsidTr="009B044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13" w:type="dxa"/>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extDirection w:val="btLr"/>
            <w:hideMark/>
          </w:tcPr>
          <w:p w14:paraId="5B0F1FAA" w14:textId="77777777" w:rsidR="009B0448" w:rsidRPr="009B0448" w:rsidRDefault="009B0448">
            <w:pPr>
              <w:spacing w:line="276" w:lineRule="auto"/>
              <w:ind w:left="113" w:right="113" w:hanging="233"/>
              <w:jc w:val="center"/>
              <w:rPr>
                <w:rFonts w:ascii="Times New Roman" w:eastAsia="Times New Roman" w:hAnsi="Times New Roman" w:cs="Times New Roman"/>
                <w:bCs w:val="0"/>
              </w:rPr>
            </w:pPr>
            <w:r w:rsidRPr="009B0448">
              <w:rPr>
                <w:rFonts w:ascii="Times New Roman" w:eastAsia="Times New Roman" w:hAnsi="Times New Roman" w:cs="Times New Roman"/>
              </w:rPr>
              <w:t>Diseases</w:t>
            </w:r>
          </w:p>
        </w:tc>
        <w:tc>
          <w:tcPr>
            <w:tcW w:w="14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3EA162"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Brucellosis</w:t>
            </w:r>
          </w:p>
        </w:tc>
        <w:tc>
          <w:tcPr>
            <w:tcW w:w="16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C22AA1"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Serious alien livestock disease</w:t>
            </w:r>
          </w:p>
        </w:tc>
        <w:tc>
          <w:tcPr>
            <w:tcW w:w="20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EA5068"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Estimates are that brucellosis alone is causing losses amounting to $100 million/year</w:t>
            </w:r>
          </w:p>
        </w:tc>
        <w:tc>
          <w:tcPr>
            <w:tcW w:w="1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1B919B"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Sub-Saharan countries</w:t>
            </w:r>
          </w:p>
        </w:tc>
        <w:tc>
          <w:tcPr>
            <w:tcW w:w="16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ADA978"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 xml:space="preserve">Ducrotoy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p>
        </w:tc>
      </w:tr>
      <w:tr w:rsidR="009B0448" w:rsidRPr="009B0448" w14:paraId="1E6078FE" w14:textId="77777777" w:rsidTr="009B0448">
        <w:trPr>
          <w:trHeight w:val="25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E498C43" w14:textId="77777777" w:rsidR="009B0448" w:rsidRPr="009B0448" w:rsidRDefault="009B0448">
            <w:pPr>
              <w:rPr>
                <w:rFonts w:ascii="Times New Roman" w:eastAsia="Times New Roman" w:hAnsi="Times New Roman" w:cs="Times New Roman"/>
              </w:rPr>
            </w:pPr>
          </w:p>
        </w:tc>
        <w:tc>
          <w:tcPr>
            <w:tcW w:w="14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96B144"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Anthrax</w:t>
            </w:r>
          </w:p>
        </w:tc>
        <w:tc>
          <w:tcPr>
            <w:tcW w:w="16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1B701E"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Threat to both domestic and wild animals. It is only disease that must kill its host to propagate itself in the environment</w:t>
            </w:r>
          </w:p>
        </w:tc>
        <w:tc>
          <w:tcPr>
            <w:tcW w:w="20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A916C0"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In Namibia, millions of dollars (~ $27 million) are spent annually on surveillance in both wildlife and domestic animals</w:t>
            </w:r>
          </w:p>
        </w:tc>
        <w:tc>
          <w:tcPr>
            <w:tcW w:w="1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DA944C"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Currently occurs throughout Africa</w:t>
            </w:r>
          </w:p>
        </w:tc>
        <w:tc>
          <w:tcPr>
            <w:tcW w:w="16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780B90"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 xml:space="preserve">Magwedere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2012</w:t>
            </w:r>
          </w:p>
        </w:tc>
      </w:tr>
      <w:tr w:rsidR="009B0448" w:rsidRPr="009B0448" w14:paraId="4655BBD4" w14:textId="77777777" w:rsidTr="009B044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60E6E67" w14:textId="77777777" w:rsidR="009B0448" w:rsidRPr="009B0448" w:rsidRDefault="009B0448">
            <w:pPr>
              <w:rPr>
                <w:rFonts w:ascii="Times New Roman" w:eastAsia="Times New Roman" w:hAnsi="Times New Roman" w:cs="Times New Roman"/>
              </w:rPr>
            </w:pPr>
          </w:p>
        </w:tc>
        <w:tc>
          <w:tcPr>
            <w:tcW w:w="14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AE6639"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Rinderpest</w:t>
            </w:r>
          </w:p>
        </w:tc>
        <w:tc>
          <w:tcPr>
            <w:tcW w:w="16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94557A"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0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9FE8B6"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The total cost of the Pan African Rinderpest Campaign programme was estimated to be €51.6 million</w:t>
            </w:r>
          </w:p>
        </w:tc>
        <w:tc>
          <w:tcPr>
            <w:tcW w:w="1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AF5B39"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Sub-Saharan Africa</w:t>
            </w:r>
          </w:p>
        </w:tc>
        <w:tc>
          <w:tcPr>
            <w:tcW w:w="16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4B49A9"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 xml:space="preserve">Tambi </w:t>
            </w:r>
            <w:r w:rsidRPr="009B0448">
              <w:rPr>
                <w:rFonts w:ascii="Times New Roman" w:eastAsia="Times New Roman" w:hAnsi="Times New Roman" w:cs="Times New Roman"/>
                <w:i/>
              </w:rPr>
              <w:t>et al.</w:t>
            </w:r>
            <w:r w:rsidRPr="009B0448">
              <w:rPr>
                <w:rFonts w:ascii="Times New Roman" w:eastAsia="Times New Roman" w:hAnsi="Times New Roman" w:cs="Times New Roman"/>
              </w:rPr>
              <w:t>, 1999</w:t>
            </w:r>
          </w:p>
        </w:tc>
      </w:tr>
      <w:tr w:rsidR="009B0448" w:rsidRPr="009B0448" w14:paraId="6CB135E7" w14:textId="77777777" w:rsidTr="009B0448">
        <w:trPr>
          <w:trHeight w:val="25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2137FEB" w14:textId="77777777" w:rsidR="009B0448" w:rsidRPr="009B0448" w:rsidRDefault="009B0448">
            <w:pPr>
              <w:rPr>
                <w:rFonts w:ascii="Times New Roman" w:eastAsia="Times New Roman" w:hAnsi="Times New Roman" w:cs="Times New Roman"/>
              </w:rPr>
            </w:pPr>
          </w:p>
        </w:tc>
        <w:tc>
          <w:tcPr>
            <w:tcW w:w="14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1F344A"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Wheat rusts</w:t>
            </w:r>
          </w:p>
        </w:tc>
        <w:tc>
          <w:tcPr>
            <w:tcW w:w="16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25AD29"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A fungal disease that affects wheat, barley and rye stems, leaves and grains</w:t>
            </w:r>
          </w:p>
        </w:tc>
        <w:tc>
          <w:tcPr>
            <w:tcW w:w="20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70D32A"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Annual losses of as much as $3 billion in Africa are possible due to wheat rust</w:t>
            </w:r>
          </w:p>
        </w:tc>
        <w:tc>
          <w:tcPr>
            <w:tcW w:w="1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61C0DB"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East Africa, North Africa</w:t>
            </w:r>
          </w:p>
        </w:tc>
        <w:tc>
          <w:tcPr>
            <w:tcW w:w="16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308026"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 xml:space="preserve">Chaves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2013</w:t>
            </w:r>
          </w:p>
        </w:tc>
      </w:tr>
      <w:tr w:rsidR="009B0448" w:rsidRPr="009B0448" w14:paraId="489208A2" w14:textId="77777777" w:rsidTr="009B044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56DC1BF" w14:textId="77777777" w:rsidR="009B0448" w:rsidRPr="009B0448" w:rsidRDefault="009B0448">
            <w:pPr>
              <w:rPr>
                <w:rFonts w:ascii="Times New Roman" w:eastAsia="Times New Roman" w:hAnsi="Times New Roman" w:cs="Times New Roman"/>
              </w:rPr>
            </w:pPr>
          </w:p>
        </w:tc>
        <w:tc>
          <w:tcPr>
            <w:tcW w:w="14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AEACB4"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Bacterial wilt</w:t>
            </w:r>
          </w:p>
        </w:tc>
        <w:tc>
          <w:tcPr>
            <w:tcW w:w="16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2459F2"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Causes fruit to ripen prematurely, which can wipe out up to 90% of a crop</w:t>
            </w:r>
          </w:p>
        </w:tc>
        <w:tc>
          <w:tcPr>
            <w:tcW w:w="20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9B699C"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Due to bacterial wilt, Uganda loses $299.6 million worth of bananas annually</w:t>
            </w:r>
          </w:p>
        </w:tc>
        <w:tc>
          <w:tcPr>
            <w:tcW w:w="1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C2F7790"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Eastern Congo, Ethiopia, western Kenya, Rwanda, northern Tanzania and Uganda</w:t>
            </w:r>
          </w:p>
        </w:tc>
        <w:tc>
          <w:tcPr>
            <w:tcW w:w="16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0AACC0"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 xml:space="preserve">Yuliar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p>
        </w:tc>
      </w:tr>
      <w:tr w:rsidR="009B0448" w:rsidRPr="009B0448" w14:paraId="0CFF0F09" w14:textId="77777777" w:rsidTr="009B0448">
        <w:trPr>
          <w:trHeight w:val="25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5620240" w14:textId="77777777" w:rsidR="009B0448" w:rsidRPr="009B0448" w:rsidRDefault="009B0448">
            <w:pPr>
              <w:rPr>
                <w:rFonts w:ascii="Times New Roman" w:eastAsia="Times New Roman" w:hAnsi="Times New Roman" w:cs="Times New Roman"/>
              </w:rPr>
            </w:pPr>
          </w:p>
        </w:tc>
        <w:tc>
          <w:tcPr>
            <w:tcW w:w="14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FD0B18"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Foot and mouth disease</w:t>
            </w:r>
          </w:p>
        </w:tc>
        <w:tc>
          <w:tcPr>
            <w:tcW w:w="166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9F7A3F"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 xml:space="preserve">Livestock </w:t>
            </w:r>
          </w:p>
        </w:tc>
        <w:tc>
          <w:tcPr>
            <w:tcW w:w="20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221BDA0"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Foot and mouth disease outbreaks in Africa causes losses of $1</w:t>
            </w:r>
            <w:r w:rsidRPr="009B0448">
              <w:rPr>
                <w:rFonts w:ascii="Times New Roman" w:hAnsi="Times New Roman" w:cs="Times New Roman"/>
              </w:rPr>
              <w:t>–</w:t>
            </w:r>
            <w:r w:rsidRPr="009B0448">
              <w:rPr>
                <w:rFonts w:ascii="Times New Roman" w:eastAsia="Times New Roman" w:hAnsi="Times New Roman" w:cs="Times New Roman"/>
              </w:rPr>
              <w:t>5 billion/year</w:t>
            </w:r>
          </w:p>
        </w:tc>
        <w:tc>
          <w:tcPr>
            <w:tcW w:w="16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74449E"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Africa</w:t>
            </w:r>
          </w:p>
        </w:tc>
        <w:tc>
          <w:tcPr>
            <w:tcW w:w="164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7942A7"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 xml:space="preserve">Knight-Jones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2013</w:t>
            </w:r>
          </w:p>
        </w:tc>
      </w:tr>
    </w:tbl>
    <w:tbl>
      <w:tblPr>
        <w:tblStyle w:val="6"/>
        <w:tblpPr w:leftFromText="180" w:rightFromText="180" w:bottomFromText="160" w:vertAnchor="page" w:horzAnchor="margin" w:tblpY="8329"/>
        <w:tblW w:w="5000" w:type="pct"/>
        <w:tblBorders>
          <w:top w:val="single" w:sz="4" w:space="0" w:color="auto"/>
          <w:left w:val="single" w:sz="4" w:space="0" w:color="auto"/>
          <w:bottom w:val="single" w:sz="4" w:space="0" w:color="auto"/>
          <w:right w:val="single" w:sz="4" w:space="0" w:color="auto"/>
        </w:tblBorders>
        <w:shd w:val="clear" w:color="auto" w:fill="F2F2F2" w:themeFill="background1" w:themeFillShade="F2"/>
        <w:tblLayout w:type="fixed"/>
        <w:tblLook w:val="04A0" w:firstRow="1" w:lastRow="0" w:firstColumn="1" w:lastColumn="0" w:noHBand="0" w:noVBand="1"/>
      </w:tblPr>
      <w:tblGrid>
        <w:gridCol w:w="9016"/>
      </w:tblGrid>
      <w:tr w:rsidR="009B0448" w:rsidRPr="009B0448" w14:paraId="0E432077" w14:textId="77777777" w:rsidTr="009B0448">
        <w:trPr>
          <w:trHeight w:val="33"/>
        </w:trPr>
        <w:tc>
          <w:tcPr>
            <w:tcW w:w="902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FF0843E" w14:textId="77777777" w:rsidR="009B0448" w:rsidRPr="009B0448" w:rsidRDefault="009B0448">
            <w:pPr>
              <w:spacing w:after="0" w:line="276" w:lineRule="auto"/>
              <w:jc w:val="both"/>
              <w:rPr>
                <w:rFonts w:ascii="Times New Roman" w:eastAsia="Times New Roman" w:hAnsi="Times New Roman" w:cs="Times New Roman"/>
                <w:b/>
                <w:color w:val="000000"/>
              </w:rPr>
            </w:pPr>
            <w:r w:rsidRPr="009B0448">
              <w:rPr>
                <w:rFonts w:ascii="Times New Roman" w:eastAsia="Times New Roman" w:hAnsi="Times New Roman" w:cs="Times New Roman"/>
                <w:b/>
                <w:color w:val="000000"/>
              </w:rPr>
              <w:t>Box 4.1: Cassava mosaic and brown streak virus disease: A threat to food security in Africa</w:t>
            </w:r>
          </w:p>
          <w:p w14:paraId="390E0C4D" w14:textId="77777777" w:rsidR="009B0448" w:rsidRPr="009B0448" w:rsidRDefault="009B0448">
            <w:pPr>
              <w:spacing w:line="276" w:lineRule="auto"/>
              <w:jc w:val="both"/>
              <w:rPr>
                <w:rFonts w:ascii="Times New Roman" w:eastAsia="Times New Roman" w:hAnsi="Times New Roman" w:cs="Times New Roman"/>
                <w:color w:val="000000"/>
              </w:rPr>
            </w:pPr>
          </w:p>
          <w:p w14:paraId="6AFAAE47" w14:textId="77777777" w:rsidR="009B0448" w:rsidRPr="009B0448" w:rsidRDefault="009B0448">
            <w:pPr>
              <w:spacing w:after="0" w:line="276" w:lineRule="auto"/>
              <w:jc w:val="both"/>
              <w:rPr>
                <w:rFonts w:ascii="Times New Roman" w:eastAsia="Times New Roman" w:hAnsi="Times New Roman" w:cs="Times New Roman"/>
                <w:color w:val="000000"/>
              </w:rPr>
            </w:pPr>
            <w:r w:rsidRPr="009B0448">
              <w:rPr>
                <w:rFonts w:ascii="Times New Roman" w:eastAsia="Times New Roman" w:hAnsi="Times New Roman" w:cs="Times New Roman"/>
                <w:color w:val="000000"/>
              </w:rPr>
              <w:t xml:space="preserve">In about 15 African countries, over 4 million people live within areas of high cassava production. Often these are among the most remote and poorest rural areas. Cassava production continues to be threatened by the spread of cassava diseases with immediate and far-reaching impacts on food supply in the affected countries (commonly referred to CaCESA: Cassava diseases in central, eastern and southern Africa). These diseases cause losses estimated at $1,200 annually (Thresh </w:t>
            </w:r>
            <w:r w:rsidRPr="009B0448">
              <w:rPr>
                <w:rFonts w:ascii="Times New Roman" w:eastAsia="Times New Roman" w:hAnsi="Times New Roman" w:cs="Times New Roman"/>
                <w:i/>
                <w:color w:val="000000"/>
              </w:rPr>
              <w:t>et al.</w:t>
            </w:r>
            <w:r w:rsidRPr="009B0448">
              <w:rPr>
                <w:rFonts w:ascii="Times New Roman" w:eastAsia="Times New Roman" w:hAnsi="Times New Roman" w:cs="Times New Roman"/>
                <w:color w:val="000000"/>
              </w:rPr>
              <w:t xml:space="preserve">, 1997). </w:t>
            </w:r>
          </w:p>
          <w:p w14:paraId="2DFCBE7F" w14:textId="77777777" w:rsidR="009B0448" w:rsidRPr="009B0448" w:rsidRDefault="009B0448">
            <w:pPr>
              <w:spacing w:line="276" w:lineRule="auto"/>
              <w:jc w:val="both"/>
              <w:rPr>
                <w:rFonts w:ascii="Times New Roman" w:eastAsia="Times New Roman" w:hAnsi="Times New Roman" w:cs="Times New Roman"/>
                <w:color w:val="000000"/>
              </w:rPr>
            </w:pPr>
          </w:p>
          <w:p w14:paraId="5424ECC5" w14:textId="77777777" w:rsidR="009B0448" w:rsidRPr="009B0448" w:rsidRDefault="009B0448">
            <w:pPr>
              <w:spacing w:after="0" w:line="276" w:lineRule="auto"/>
              <w:jc w:val="both"/>
              <w:rPr>
                <w:rFonts w:ascii="Times New Roman" w:eastAsia="Times New Roman" w:hAnsi="Times New Roman" w:cs="Times New Roman"/>
                <w:color w:val="000000"/>
              </w:rPr>
            </w:pPr>
            <w:r w:rsidRPr="009B0448">
              <w:rPr>
                <w:rFonts w:ascii="Times New Roman" w:eastAsia="Times New Roman" w:hAnsi="Times New Roman" w:cs="Times New Roman"/>
                <w:color w:val="000000"/>
              </w:rPr>
              <w:t>The two major viral diseases, spread by a whitefly vector (</w:t>
            </w:r>
            <w:r w:rsidRPr="009B0448">
              <w:rPr>
                <w:rFonts w:ascii="Times New Roman" w:eastAsia="Times New Roman" w:hAnsi="Times New Roman" w:cs="Times New Roman"/>
                <w:i/>
                <w:color w:val="000000"/>
              </w:rPr>
              <w:t>Bemisia tabaci</w:t>
            </w:r>
            <w:r w:rsidRPr="009B0448">
              <w:rPr>
                <w:rFonts w:ascii="Times New Roman" w:eastAsia="Times New Roman" w:hAnsi="Times New Roman" w:cs="Times New Roman"/>
                <w:color w:val="000000"/>
              </w:rPr>
              <w:t xml:space="preserve">) and the movement of planting materials, now pose a severe threat to cassava culture in many regions. According to researchers at the National Agricultural Research Organisation, cassava brown streak disease is a devastating disease that causes loss of cassava root (tuber) production and quality. It can render susceptible varieties unusable if cassava roots are left in the ground for over nine months. </w:t>
            </w:r>
          </w:p>
          <w:p w14:paraId="279C2B38" w14:textId="77777777" w:rsidR="009B0448" w:rsidRPr="009B0448" w:rsidRDefault="009B0448">
            <w:pPr>
              <w:spacing w:line="276" w:lineRule="auto"/>
              <w:jc w:val="both"/>
              <w:rPr>
                <w:rFonts w:ascii="Times New Roman" w:eastAsia="Times New Roman" w:hAnsi="Times New Roman" w:cs="Times New Roman"/>
                <w:color w:val="000000"/>
              </w:rPr>
            </w:pPr>
          </w:p>
          <w:p w14:paraId="2D32BB2B" w14:textId="77777777" w:rsidR="009B0448" w:rsidRPr="009B0448" w:rsidRDefault="009B0448">
            <w:pPr>
              <w:spacing w:after="0" w:line="276" w:lineRule="auto"/>
              <w:jc w:val="both"/>
              <w:rPr>
                <w:rFonts w:ascii="Times New Roman" w:eastAsia="Times New Roman" w:hAnsi="Times New Roman" w:cs="Times New Roman"/>
                <w:color w:val="000000"/>
              </w:rPr>
            </w:pPr>
            <w:r w:rsidRPr="009B0448">
              <w:rPr>
                <w:rFonts w:ascii="Times New Roman" w:eastAsia="Times New Roman" w:hAnsi="Times New Roman" w:cs="Times New Roman"/>
                <w:color w:val="000000"/>
              </w:rPr>
              <w:t>Given the severity of the current cassava disease outbreaks and the threat they pose to the food security of millions of people in Africa, several international organisations and partnerships are working to restore cassava production systems, particularly among the Great Lakes countries of East Africa. FAO, with the European Union support, is active in the multiplication and distribution of clean (disease-free) re-planting materials.</w:t>
            </w:r>
          </w:p>
        </w:tc>
      </w:tr>
    </w:tbl>
    <w:p w14:paraId="40411F6A" w14:textId="77777777" w:rsidR="009B0448" w:rsidRPr="009B0448" w:rsidRDefault="009B0448" w:rsidP="009B0448">
      <w:pPr>
        <w:spacing w:line="276" w:lineRule="auto"/>
        <w:rPr>
          <w:rFonts w:ascii="Times New Roman" w:hAnsi="Times New Roman" w:cs="Times New Roman"/>
        </w:rPr>
      </w:pPr>
    </w:p>
    <w:p w14:paraId="1D5F0977" w14:textId="05AD450F"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A number of vectors (pests) play key roles in transmission of diseases between the domestic animals, wildlife and the humans. Disease vectors include insects, such as mosquitoes, ticks, and arachnids. As mentioned in Chapter 1 and 2, the rise of such diseases results from closer relationships among wildlife, domestic animals, and people, allowing more contact with diseased animals, organisms that carry and transmit a disease from one animal to another, and people. The rift valley fever, a haemorrhagic febrile viral zoonotic disease transmitted by Aedes, Culex and Anopheles mosquitoes is associated with abortion and perinatal death in the affected livestock and ruminant wildlife, and fatal haemorrhagic fever syndrome in humans (Evans </w:t>
      </w:r>
      <w:r w:rsidRPr="009B0448">
        <w:rPr>
          <w:rFonts w:ascii="Times New Roman" w:hAnsi="Times New Roman" w:cs="Times New Roman"/>
          <w:i/>
        </w:rPr>
        <w:t>et al.</w:t>
      </w:r>
      <w:r w:rsidRPr="009B0448">
        <w:rPr>
          <w:rFonts w:ascii="Times New Roman" w:hAnsi="Times New Roman" w:cs="Times New Roman"/>
        </w:rPr>
        <w:t xml:space="preserve">, 2008; Chevalier </w:t>
      </w:r>
      <w:r w:rsidRPr="009B0448">
        <w:rPr>
          <w:rFonts w:ascii="Times New Roman" w:hAnsi="Times New Roman" w:cs="Times New Roman"/>
          <w:i/>
        </w:rPr>
        <w:t>et al.</w:t>
      </w:r>
      <w:r w:rsidRPr="009B0448">
        <w:rPr>
          <w:rFonts w:ascii="Times New Roman" w:hAnsi="Times New Roman" w:cs="Times New Roman"/>
        </w:rPr>
        <w:t xml:space="preserve">, 2010; Boshra </w:t>
      </w:r>
      <w:r w:rsidRPr="009B0448">
        <w:rPr>
          <w:rFonts w:ascii="Times New Roman" w:hAnsi="Times New Roman" w:cs="Times New Roman"/>
          <w:i/>
        </w:rPr>
        <w:t>et al.</w:t>
      </w:r>
      <w:r w:rsidRPr="009B0448">
        <w:rPr>
          <w:rFonts w:ascii="Times New Roman" w:hAnsi="Times New Roman" w:cs="Times New Roman"/>
        </w:rPr>
        <w:t xml:space="preserve">, 2011). Outbreaks of rift valley fever coincide with conducive weather (wet) for breeding of the vector mosquitoes, mostly the Aedes and Culex, especially in the general low rainfall areas (Evans </w:t>
      </w:r>
      <w:r w:rsidRPr="009B0448">
        <w:rPr>
          <w:rFonts w:ascii="Times New Roman" w:hAnsi="Times New Roman" w:cs="Times New Roman"/>
          <w:i/>
        </w:rPr>
        <w:t>et al.</w:t>
      </w:r>
      <w:r w:rsidRPr="009B0448">
        <w:rPr>
          <w:rFonts w:ascii="Times New Roman" w:hAnsi="Times New Roman" w:cs="Times New Roman"/>
        </w:rPr>
        <w:t xml:space="preserve">, 2008). Severe outbreaks of the disease and fatalities in humans have been confined to </w:t>
      </w:r>
      <w:r w:rsidR="00917FB2">
        <w:rPr>
          <w:rFonts w:ascii="Times New Roman" w:hAnsi="Times New Roman" w:cs="Times New Roman"/>
        </w:rPr>
        <w:t>northern and Africa (North and s</w:t>
      </w:r>
      <w:r w:rsidRPr="009B0448">
        <w:rPr>
          <w:rFonts w:ascii="Times New Roman" w:hAnsi="Times New Roman" w:cs="Times New Roman"/>
        </w:rPr>
        <w:t xml:space="preserve">ub-Saharan Africa) so far, but potential for spread to southern Europe exists (Chevalier </w:t>
      </w:r>
      <w:r w:rsidRPr="009B0448">
        <w:rPr>
          <w:rFonts w:ascii="Times New Roman" w:hAnsi="Times New Roman" w:cs="Times New Roman"/>
          <w:i/>
        </w:rPr>
        <w:t>et al.</w:t>
      </w:r>
      <w:r w:rsidRPr="009B0448">
        <w:rPr>
          <w:rFonts w:ascii="Times New Roman" w:hAnsi="Times New Roman" w:cs="Times New Roman"/>
        </w:rPr>
        <w:t>, 2010).</w:t>
      </w:r>
    </w:p>
    <w:p w14:paraId="61FAD98B"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68" w:name="_Toc503032780"/>
      <w:bookmarkStart w:id="269" w:name="_Toc519499936"/>
      <w:r w:rsidRPr="009B0448">
        <w:rPr>
          <w:rFonts w:cs="Times New Roman"/>
          <w:sz w:val="22"/>
          <w:szCs w:val="22"/>
        </w:rPr>
        <w:t>Natural hazards and disasters</w:t>
      </w:r>
      <w:bookmarkEnd w:id="268"/>
      <w:bookmarkEnd w:id="269"/>
    </w:p>
    <w:p w14:paraId="6F7895FD"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Natural hazards are potentially damaging physical events, phenomena or human activities that may cause injury or loss of life, damage to property, social and economic disruption or environmental degradation. They result from natural processes of the earth, including floods, landslides, droughts, volcanic eruptions, earthquakes, tsunamis, cyclones and other geological processes (ICSU, 2005). Disasters are a function of vulnerability to the impacts of these processes and occur from a combination of hazards, conditions of vulnerability and insufficient measures to reduce negative consequences. They are </w:t>
      </w:r>
      <w:r w:rsidRPr="009B0448">
        <w:rPr>
          <w:rFonts w:ascii="Times New Roman" w:hAnsi="Times New Roman" w:cs="Times New Roman"/>
        </w:rPr>
        <w:t>serious disruptions of the functioning of communities and cause widespread human, material, economic or environmental losses.</w:t>
      </w:r>
    </w:p>
    <w:p w14:paraId="001F0BB7" w14:textId="77777777" w:rsidR="009B0448" w:rsidRPr="009B0448" w:rsidRDefault="009B0448" w:rsidP="009B0448">
      <w:pPr>
        <w:spacing w:line="276" w:lineRule="auto"/>
        <w:jc w:val="both"/>
        <w:rPr>
          <w:rFonts w:ascii="Times New Roman" w:eastAsia="Times New Roman" w:hAnsi="Times New Roman" w:cs="Times New Roman"/>
        </w:rPr>
      </w:pPr>
    </w:p>
    <w:p w14:paraId="4211283F"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economic damage of natural disasters in Africa between 1974 and 2003 is estimated at $35,144 million with majority of the effects occurring in eastern and northern Africa (Guha-Spair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w:t>
      </w:r>
      <w:r w:rsidRPr="009B0448">
        <w:rPr>
          <w:rFonts w:ascii="Times New Roman" w:eastAsia="Times New Roman" w:hAnsi="Times New Roman" w:cs="Times New Roman"/>
          <w:bCs/>
        </w:rPr>
        <w:t>Table 4.2; Box 4.2</w:t>
      </w:r>
      <w:r w:rsidRPr="009B0448">
        <w:rPr>
          <w:rFonts w:ascii="Times New Roman" w:eastAsia="Times New Roman" w:hAnsi="Times New Roman" w:cs="Times New Roman"/>
        </w:rPr>
        <w:t>). Some of the most devastating disasters recent decades include droughts in the Sahel (1972</w:t>
      </w:r>
      <w:r w:rsidRPr="009B0448">
        <w:rPr>
          <w:rFonts w:ascii="Times New Roman" w:hAnsi="Times New Roman" w:cs="Times New Roman"/>
        </w:rPr>
        <w:t>–</w:t>
      </w:r>
      <w:r w:rsidRPr="009B0448">
        <w:rPr>
          <w:rFonts w:ascii="Times New Roman" w:eastAsia="Times New Roman" w:hAnsi="Times New Roman" w:cs="Times New Roman"/>
        </w:rPr>
        <w:t>1973), Ethiopia (1983</w:t>
      </w:r>
      <w:r w:rsidRPr="009B0448">
        <w:rPr>
          <w:rFonts w:ascii="Times New Roman" w:hAnsi="Times New Roman" w:cs="Times New Roman"/>
        </w:rPr>
        <w:t>–</w:t>
      </w:r>
      <w:r w:rsidRPr="009B0448">
        <w:rPr>
          <w:rFonts w:ascii="Times New Roman" w:eastAsia="Times New Roman" w:hAnsi="Times New Roman" w:cs="Times New Roman"/>
        </w:rPr>
        <w:t>1985), East (2011) and southern (2014-–2015) Africa; floods in Central (2002), North (2009 and 2010) and Southern (2010</w:t>
      </w:r>
      <w:r w:rsidRPr="009B0448">
        <w:rPr>
          <w:rFonts w:ascii="Times New Roman" w:hAnsi="Times New Roman" w:cs="Times New Roman"/>
          <w:color w:val="auto"/>
        </w:rPr>
        <w:t>–</w:t>
      </w:r>
      <w:r w:rsidRPr="009B0448">
        <w:rPr>
          <w:rFonts w:ascii="Times New Roman" w:eastAsia="Times New Roman" w:hAnsi="Times New Roman" w:cs="Times New Roman"/>
        </w:rPr>
        <w:t>2011) Africa; and the volcanic eruption of Nabro (2011). The frequency of disasters is increasing on the continent with data demonstrating that the East African region is under the greatest threat from natural disasters (Lukamba, 2010). This region has experienced the highest recorded number of disaster events over the past 30 years, followed by the West African region. Northern Africa is placed third followed by the Southern Africa (</w:t>
      </w:r>
      <w:r w:rsidRPr="009B0448">
        <w:rPr>
          <w:rFonts w:ascii="Times New Roman" w:eastAsia="Times New Roman" w:hAnsi="Times New Roman" w:cs="Times New Roman"/>
          <w:bCs/>
        </w:rPr>
        <w:t>Table 4.2</w:t>
      </w:r>
      <w:r w:rsidRPr="009B0448">
        <w:rPr>
          <w:rFonts w:ascii="Times New Roman" w:eastAsia="Times New Roman" w:hAnsi="Times New Roman" w:cs="Times New Roman"/>
        </w:rPr>
        <w:t>), whereas the least disaster-prone region is central Africa (Lukamba, 2010). Eastern Africa recorded more than 67% of victims killed or affected between 1974 and 2003, and Northern Africa experienced 53% of the economic damages for the same period. The most frequent disaster recorded during the 30 years (from 1974 to 2003) was hydrometeorological, followed by floods (</w:t>
      </w:r>
      <w:r w:rsidRPr="009B0448">
        <w:rPr>
          <w:rFonts w:ascii="Times New Roman" w:eastAsia="Times New Roman" w:hAnsi="Times New Roman" w:cs="Times New Roman"/>
          <w:bCs/>
        </w:rPr>
        <w:t>Table 4.2</w:t>
      </w:r>
      <w:r w:rsidRPr="009B0448">
        <w:rPr>
          <w:rFonts w:ascii="Times New Roman" w:eastAsia="Times New Roman" w:hAnsi="Times New Roman" w:cs="Times New Roman"/>
        </w:rPr>
        <w:t xml:space="preserve">). </w:t>
      </w:r>
    </w:p>
    <w:p w14:paraId="2741DEA5" w14:textId="77777777" w:rsidR="009B0448" w:rsidRPr="009B0448" w:rsidRDefault="009B0448" w:rsidP="009B0448">
      <w:pPr>
        <w:spacing w:line="276" w:lineRule="auto"/>
        <w:jc w:val="both"/>
        <w:rPr>
          <w:rFonts w:ascii="Times New Roman" w:eastAsia="Times New Roman" w:hAnsi="Times New Roman" w:cs="Times New Roman"/>
        </w:rPr>
      </w:pPr>
    </w:p>
    <w:tbl>
      <w:tblPr>
        <w:tblStyle w:val="TableGrid"/>
        <w:tblW w:w="0" w:type="auto"/>
        <w:shd w:val="clear" w:color="auto" w:fill="F2F2F2" w:themeFill="background1" w:themeFillShade="F2"/>
        <w:tblLook w:val="04A0" w:firstRow="1" w:lastRow="0" w:firstColumn="1" w:lastColumn="0" w:noHBand="0" w:noVBand="1"/>
      </w:tblPr>
      <w:tblGrid>
        <w:gridCol w:w="9016"/>
      </w:tblGrid>
      <w:tr w:rsidR="009B0448" w:rsidRPr="009B0448" w14:paraId="643C1926" w14:textId="77777777" w:rsidTr="009B0448">
        <w:tc>
          <w:tcPr>
            <w:tcW w:w="901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5071511" w14:textId="77777777" w:rsidR="009B0448" w:rsidRPr="009B0448" w:rsidRDefault="009B0448">
            <w:pPr>
              <w:spacing w:line="276" w:lineRule="auto"/>
              <w:jc w:val="both"/>
              <w:rPr>
                <w:rFonts w:ascii="Times New Roman" w:eastAsia="Times New Roman" w:hAnsi="Times New Roman" w:cs="Times New Roman"/>
                <w:b/>
                <w:bCs/>
              </w:rPr>
            </w:pPr>
            <w:r w:rsidRPr="009B0448">
              <w:rPr>
                <w:rFonts w:ascii="Times New Roman" w:eastAsia="Times New Roman" w:hAnsi="Times New Roman" w:cs="Times New Roman"/>
                <w:b/>
                <w:bCs/>
              </w:rPr>
              <w:t>Box 4.2: A treatise of natural disasters in Africa</w:t>
            </w:r>
          </w:p>
          <w:p w14:paraId="1BBFFEB3" w14:textId="77777777" w:rsidR="009B0448" w:rsidRPr="009B0448" w:rsidRDefault="009B0448">
            <w:pPr>
              <w:spacing w:line="276" w:lineRule="auto"/>
              <w:jc w:val="both"/>
              <w:rPr>
                <w:rFonts w:ascii="Times New Roman" w:eastAsia="Times New Roman" w:hAnsi="Times New Roman" w:cs="Times New Roman"/>
                <w:b/>
                <w:bCs/>
              </w:rPr>
            </w:pPr>
          </w:p>
          <w:p w14:paraId="2F9AE47B" w14:textId="77777777" w:rsidR="009B0448" w:rsidRPr="009B0448" w:rsidRDefault="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2015, Africa suffered from 62 natural disasters compared to 2005</w:t>
            </w:r>
            <w:r w:rsidRPr="009B0448">
              <w:rPr>
                <w:rFonts w:ascii="Times New Roman" w:hAnsi="Times New Roman" w:cs="Times New Roman"/>
              </w:rPr>
              <w:t>–</w:t>
            </w:r>
            <w:r w:rsidRPr="009B0448">
              <w:rPr>
                <w:rFonts w:ascii="Times New Roman" w:eastAsia="Times New Roman" w:hAnsi="Times New Roman" w:cs="Times New Roman"/>
              </w:rPr>
              <w:t xml:space="preserve">2014 annual average which was 68 </w:t>
            </w:r>
            <w:r w:rsidRPr="009B0448">
              <w:rPr>
                <w:rFonts w:ascii="Times New Roman" w:eastAsia="Times New Roman" w:hAnsi="Times New Roman" w:cs="Times New Roman"/>
                <w:bCs/>
              </w:rPr>
              <w:t xml:space="preserve">(Guha-Spair </w:t>
            </w:r>
            <w:r w:rsidRPr="009B0448">
              <w:rPr>
                <w:rFonts w:ascii="Times New Roman" w:eastAsia="Times New Roman" w:hAnsi="Times New Roman" w:cs="Times New Roman"/>
                <w:bCs/>
                <w:i/>
              </w:rPr>
              <w:t>et al.</w:t>
            </w:r>
            <w:r w:rsidRPr="009B0448">
              <w:rPr>
                <w:rFonts w:ascii="Times New Roman" w:eastAsia="Times New Roman" w:hAnsi="Times New Roman" w:cs="Times New Roman"/>
                <w:bCs/>
              </w:rPr>
              <w:t>, 2016)</w:t>
            </w:r>
            <w:r w:rsidRPr="009B0448">
              <w:rPr>
                <w:rFonts w:ascii="Times New Roman" w:eastAsia="Times New Roman" w:hAnsi="Times New Roman" w:cs="Times New Roman"/>
              </w:rPr>
              <w:t>. This affected 30.9 million people. Approximately 28 million were affected by climatological disasters. Hydrological disasters accounted for impacts on 2.8 million people who were largely victims from flooding in Somalia (900,000 people), Malawi (639,000 people) and Madagascar (174,000 people). The economic estimate of the disasters were made for only 11 events, highest being drought in South Africa ($1billion), floods in Malawi ($400 million) and a storm in Egypt ($100 million).</w:t>
            </w:r>
          </w:p>
        </w:tc>
      </w:tr>
    </w:tbl>
    <w:p w14:paraId="709DB82B" w14:textId="77777777" w:rsidR="009B0448" w:rsidRPr="009B0448" w:rsidRDefault="009B0448" w:rsidP="009B0448">
      <w:pPr>
        <w:spacing w:line="276" w:lineRule="auto"/>
        <w:jc w:val="both"/>
        <w:rPr>
          <w:rFonts w:ascii="Times New Roman" w:eastAsia="Times New Roman" w:hAnsi="Times New Roman" w:cs="Times New Roman"/>
        </w:rPr>
      </w:pPr>
    </w:p>
    <w:p w14:paraId="6DAF4301"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Long-term effects of natural disasters on wildlife are usually assumed to be small. These may, however, amplify through interactions with other drivers leading to enhanced invasions by promoting the transport of propagules into new regions, decreasing the resistance of native communities to establishment of invasive non-native species, or by putting existing non-native species at a competitive advantage (Diez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2012). For instance, volcanic lava flows have been shown to facilitate tree invasion in the Reunion Island by enhancing the spread of Casuarina (</w:t>
      </w:r>
      <w:r w:rsidRPr="009B0448">
        <w:rPr>
          <w:rFonts w:ascii="Times New Roman" w:eastAsia="Times New Roman" w:hAnsi="Times New Roman" w:cs="Times New Roman"/>
          <w:i/>
        </w:rPr>
        <w:t>Casuarina equisetifolia</w:t>
      </w:r>
      <w:r w:rsidRPr="009B0448">
        <w:rPr>
          <w:rFonts w:ascii="Times New Roman" w:eastAsia="Times New Roman" w:hAnsi="Times New Roman" w:cs="Times New Roman"/>
        </w:rPr>
        <w:t>) by 20-fold (110</w:t>
      </w:r>
      <w:r w:rsidRPr="009B0448">
        <w:rPr>
          <w:rFonts w:ascii="Times New Roman" w:hAnsi="Times New Roman" w:cs="Times New Roman"/>
          <w:color w:val="auto"/>
        </w:rPr>
        <w:t>–</w:t>
      </w:r>
      <w:r w:rsidRPr="009B0448">
        <w:rPr>
          <w:rFonts w:ascii="Times New Roman" w:eastAsia="Times New Roman" w:hAnsi="Times New Roman" w:cs="Times New Roman"/>
        </w:rPr>
        <w:t>2,373 hectares) over a 40 year (1972</w:t>
      </w:r>
      <w:r w:rsidRPr="009B0448">
        <w:rPr>
          <w:rFonts w:ascii="Times New Roman" w:hAnsi="Times New Roman" w:cs="Times New Roman"/>
          <w:color w:val="auto"/>
        </w:rPr>
        <w:t>–</w:t>
      </w:r>
      <w:r w:rsidRPr="009B0448">
        <w:rPr>
          <w:rFonts w:ascii="Times New Roman" w:eastAsia="Times New Roman" w:hAnsi="Times New Roman" w:cs="Times New Roman"/>
        </w:rPr>
        <w:t xml:space="preserve">2012) period (Potgieter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It is widely acknowledged that those who are most vulnerable to natural disasters and climate change are those who typically live in poor quality housing in low-income informal settlements that lack provision for basic infrastructure and services (Adelekan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p>
    <w:p w14:paraId="77AA6117" w14:textId="77777777" w:rsidR="009B0448" w:rsidRPr="009B0448" w:rsidRDefault="009B0448" w:rsidP="009B0448">
      <w:pPr>
        <w:spacing w:line="276" w:lineRule="auto"/>
        <w:jc w:val="both"/>
        <w:rPr>
          <w:rFonts w:ascii="Times New Roman" w:eastAsia="Times New Roman" w:hAnsi="Times New Roman" w:cs="Times New Roman"/>
        </w:rPr>
      </w:pPr>
    </w:p>
    <w:p w14:paraId="5E5BA691"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Table 4.2:</w:t>
      </w:r>
      <w:r w:rsidRPr="009B0448">
        <w:rPr>
          <w:rFonts w:ascii="Times New Roman" w:eastAsia="Times New Roman" w:hAnsi="Times New Roman" w:cs="Times New Roman"/>
        </w:rPr>
        <w:t xml:space="preserve"> Number of natural disasters in different subregions of Africa from1974 to 2003. (Notes: Ndr = Number of disasters reported; na = no data available)</w:t>
      </w:r>
    </w:p>
    <w:tbl>
      <w:tblPr>
        <w:tblW w:w="5000" w:type="pct"/>
        <w:jc w:val="center"/>
        <w:tblLook w:val="04A0" w:firstRow="1" w:lastRow="0" w:firstColumn="1" w:lastColumn="0" w:noHBand="0" w:noVBand="1"/>
      </w:tblPr>
      <w:tblGrid>
        <w:gridCol w:w="1039"/>
        <w:gridCol w:w="1451"/>
        <w:gridCol w:w="1182"/>
        <w:gridCol w:w="750"/>
        <w:gridCol w:w="718"/>
        <w:gridCol w:w="863"/>
        <w:gridCol w:w="795"/>
        <w:gridCol w:w="718"/>
        <w:gridCol w:w="750"/>
        <w:gridCol w:w="750"/>
      </w:tblGrid>
      <w:tr w:rsidR="009B0448" w:rsidRPr="009B0448" w14:paraId="114BC67F" w14:textId="77777777" w:rsidTr="009B0448">
        <w:trPr>
          <w:trHeight w:val="249"/>
          <w:jc w:val="center"/>
        </w:trPr>
        <w:tc>
          <w:tcPr>
            <w:tcW w:w="1119" w:type="dxa"/>
            <w:tcBorders>
              <w:top w:val="single" w:sz="4" w:space="0" w:color="auto"/>
              <w:left w:val="single" w:sz="4" w:space="0" w:color="auto"/>
              <w:bottom w:val="single" w:sz="4" w:space="0" w:color="auto"/>
              <w:right w:val="single" w:sz="4" w:space="0" w:color="auto"/>
            </w:tcBorders>
            <w:noWrap/>
            <w:vAlign w:val="center"/>
            <w:hideMark/>
          </w:tcPr>
          <w:p w14:paraId="7D11E236"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Category</w:t>
            </w:r>
          </w:p>
        </w:tc>
        <w:tc>
          <w:tcPr>
            <w:tcW w:w="1570" w:type="dxa"/>
            <w:tcBorders>
              <w:top w:val="single" w:sz="4" w:space="0" w:color="auto"/>
              <w:left w:val="nil"/>
              <w:bottom w:val="single" w:sz="4" w:space="0" w:color="auto"/>
              <w:right w:val="single" w:sz="4" w:space="0" w:color="auto"/>
            </w:tcBorders>
            <w:noWrap/>
            <w:vAlign w:val="center"/>
            <w:hideMark/>
          </w:tcPr>
          <w:p w14:paraId="32203425"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Type of natural disaster</w:t>
            </w:r>
          </w:p>
        </w:tc>
        <w:tc>
          <w:tcPr>
            <w:tcW w:w="1275" w:type="dxa"/>
            <w:tcBorders>
              <w:top w:val="single" w:sz="4" w:space="0" w:color="auto"/>
              <w:left w:val="nil"/>
              <w:bottom w:val="nil"/>
              <w:right w:val="single" w:sz="4" w:space="0" w:color="auto"/>
            </w:tcBorders>
            <w:noWrap/>
            <w:vAlign w:val="center"/>
            <w:hideMark/>
          </w:tcPr>
          <w:p w14:paraId="187D331B"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Subregion</w:t>
            </w:r>
          </w:p>
        </w:tc>
        <w:tc>
          <w:tcPr>
            <w:tcW w:w="802" w:type="dxa"/>
            <w:tcBorders>
              <w:top w:val="single" w:sz="4" w:space="0" w:color="auto"/>
              <w:left w:val="nil"/>
              <w:bottom w:val="single" w:sz="4" w:space="0" w:color="auto"/>
              <w:right w:val="nil"/>
            </w:tcBorders>
            <w:noWrap/>
            <w:vAlign w:val="center"/>
            <w:hideMark/>
          </w:tcPr>
          <w:p w14:paraId="161E471D"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b/>
                <w:bCs/>
              </w:rPr>
              <w:t>1974</w:t>
            </w:r>
            <w:r w:rsidRPr="009B0448">
              <w:rPr>
                <w:rFonts w:ascii="Times New Roman" w:hAnsi="Times New Roman" w:cs="Times New Roman"/>
              </w:rPr>
              <w:t>–</w:t>
            </w:r>
            <w:r w:rsidRPr="009B0448">
              <w:rPr>
                <w:rFonts w:ascii="Times New Roman" w:eastAsia="Times New Roman" w:hAnsi="Times New Roman" w:cs="Times New Roman"/>
                <w:b/>
                <w:bCs/>
              </w:rPr>
              <w:t>1978</w:t>
            </w:r>
          </w:p>
        </w:tc>
        <w:tc>
          <w:tcPr>
            <w:tcW w:w="730" w:type="dxa"/>
            <w:tcBorders>
              <w:top w:val="single" w:sz="4" w:space="0" w:color="auto"/>
              <w:left w:val="nil"/>
              <w:bottom w:val="single" w:sz="4" w:space="0" w:color="auto"/>
              <w:right w:val="nil"/>
            </w:tcBorders>
            <w:vAlign w:val="center"/>
            <w:hideMark/>
          </w:tcPr>
          <w:p w14:paraId="229ACEC5"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b/>
                <w:bCs/>
              </w:rPr>
              <w:t>1979</w:t>
            </w:r>
            <w:r w:rsidRPr="009B0448">
              <w:rPr>
                <w:rFonts w:ascii="Times New Roman" w:hAnsi="Times New Roman" w:cs="Times New Roman"/>
              </w:rPr>
              <w:t>–</w:t>
            </w:r>
            <w:r w:rsidRPr="009B0448">
              <w:rPr>
                <w:rFonts w:ascii="Times New Roman" w:eastAsia="Times New Roman" w:hAnsi="Times New Roman" w:cs="Times New Roman"/>
                <w:b/>
                <w:bCs/>
              </w:rPr>
              <w:t>1983</w:t>
            </w:r>
          </w:p>
        </w:tc>
        <w:tc>
          <w:tcPr>
            <w:tcW w:w="925" w:type="dxa"/>
            <w:tcBorders>
              <w:top w:val="single" w:sz="4" w:space="0" w:color="auto"/>
              <w:left w:val="nil"/>
              <w:bottom w:val="single" w:sz="4" w:space="0" w:color="auto"/>
              <w:right w:val="nil"/>
            </w:tcBorders>
            <w:vAlign w:val="center"/>
            <w:hideMark/>
          </w:tcPr>
          <w:p w14:paraId="27FB2DFD"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b/>
                <w:bCs/>
              </w:rPr>
              <w:t>1984</w:t>
            </w:r>
            <w:r w:rsidRPr="009B0448">
              <w:rPr>
                <w:rFonts w:ascii="Times New Roman" w:hAnsi="Times New Roman" w:cs="Times New Roman"/>
              </w:rPr>
              <w:t>–</w:t>
            </w:r>
            <w:r w:rsidRPr="009B0448">
              <w:rPr>
                <w:rFonts w:ascii="Times New Roman" w:eastAsia="Times New Roman" w:hAnsi="Times New Roman" w:cs="Times New Roman"/>
                <w:b/>
                <w:bCs/>
              </w:rPr>
              <w:t>1988</w:t>
            </w:r>
          </w:p>
        </w:tc>
        <w:tc>
          <w:tcPr>
            <w:tcW w:w="851" w:type="dxa"/>
            <w:tcBorders>
              <w:top w:val="single" w:sz="4" w:space="0" w:color="auto"/>
              <w:left w:val="nil"/>
              <w:bottom w:val="single" w:sz="4" w:space="0" w:color="auto"/>
              <w:right w:val="nil"/>
            </w:tcBorders>
            <w:vAlign w:val="center"/>
            <w:hideMark/>
          </w:tcPr>
          <w:p w14:paraId="6A201541"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b/>
                <w:bCs/>
              </w:rPr>
              <w:t>1989-1993</w:t>
            </w:r>
          </w:p>
        </w:tc>
        <w:tc>
          <w:tcPr>
            <w:tcW w:w="749" w:type="dxa"/>
            <w:tcBorders>
              <w:top w:val="single" w:sz="4" w:space="0" w:color="auto"/>
              <w:left w:val="nil"/>
              <w:bottom w:val="single" w:sz="4" w:space="0" w:color="auto"/>
              <w:right w:val="nil"/>
            </w:tcBorders>
            <w:vAlign w:val="center"/>
            <w:hideMark/>
          </w:tcPr>
          <w:p w14:paraId="6BDC505A"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b/>
                <w:bCs/>
              </w:rPr>
              <w:t>1994</w:t>
            </w:r>
            <w:r w:rsidRPr="009B0448">
              <w:rPr>
                <w:rFonts w:ascii="Times New Roman" w:hAnsi="Times New Roman" w:cs="Times New Roman"/>
              </w:rPr>
              <w:t>–</w:t>
            </w:r>
            <w:r w:rsidRPr="009B0448">
              <w:rPr>
                <w:rFonts w:ascii="Times New Roman" w:eastAsia="Times New Roman" w:hAnsi="Times New Roman" w:cs="Times New Roman"/>
                <w:b/>
                <w:bCs/>
              </w:rPr>
              <w:t>1998</w:t>
            </w:r>
          </w:p>
        </w:tc>
        <w:tc>
          <w:tcPr>
            <w:tcW w:w="802" w:type="dxa"/>
            <w:tcBorders>
              <w:top w:val="single" w:sz="4" w:space="0" w:color="auto"/>
              <w:left w:val="nil"/>
              <w:bottom w:val="single" w:sz="4" w:space="0" w:color="auto"/>
              <w:right w:val="nil"/>
            </w:tcBorders>
            <w:vAlign w:val="center"/>
            <w:hideMark/>
          </w:tcPr>
          <w:p w14:paraId="7E03828E"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b/>
                <w:bCs/>
              </w:rPr>
              <w:t>1999</w:t>
            </w:r>
            <w:r w:rsidRPr="009B0448">
              <w:rPr>
                <w:rFonts w:ascii="Times New Roman" w:hAnsi="Times New Roman" w:cs="Times New Roman"/>
              </w:rPr>
              <w:t>–</w:t>
            </w:r>
            <w:r w:rsidRPr="009B0448">
              <w:rPr>
                <w:rFonts w:ascii="Times New Roman" w:eastAsia="Times New Roman" w:hAnsi="Times New Roman" w:cs="Times New Roman"/>
                <w:b/>
                <w:bCs/>
              </w:rPr>
              <w:t>2003</w:t>
            </w:r>
          </w:p>
        </w:tc>
        <w:tc>
          <w:tcPr>
            <w:tcW w:w="802" w:type="dxa"/>
            <w:tcBorders>
              <w:top w:val="single" w:sz="4" w:space="0" w:color="auto"/>
              <w:left w:val="nil"/>
              <w:bottom w:val="single" w:sz="4" w:space="0" w:color="auto"/>
              <w:right w:val="single" w:sz="4" w:space="0" w:color="auto"/>
            </w:tcBorders>
            <w:vAlign w:val="center"/>
            <w:hideMark/>
          </w:tcPr>
          <w:p w14:paraId="67B47725"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b/>
                <w:bCs/>
              </w:rPr>
              <w:t>1974</w:t>
            </w:r>
            <w:r w:rsidRPr="009B0448">
              <w:rPr>
                <w:rFonts w:ascii="Times New Roman" w:hAnsi="Times New Roman" w:cs="Times New Roman"/>
              </w:rPr>
              <w:t>–</w:t>
            </w:r>
            <w:r w:rsidRPr="009B0448">
              <w:rPr>
                <w:rFonts w:ascii="Times New Roman" w:eastAsia="Times New Roman" w:hAnsi="Times New Roman" w:cs="Times New Roman"/>
                <w:b/>
                <w:bCs/>
              </w:rPr>
              <w:t>2003</w:t>
            </w:r>
          </w:p>
        </w:tc>
      </w:tr>
      <w:tr w:rsidR="009B0448" w:rsidRPr="009B0448" w14:paraId="1BE0AF6A" w14:textId="77777777" w:rsidTr="009B0448">
        <w:trPr>
          <w:trHeight w:val="153"/>
          <w:jc w:val="center"/>
        </w:trPr>
        <w:tc>
          <w:tcPr>
            <w:tcW w:w="1119" w:type="dxa"/>
            <w:vMerge w:val="restart"/>
            <w:tcBorders>
              <w:top w:val="nil"/>
              <w:left w:val="single" w:sz="4" w:space="0" w:color="auto"/>
              <w:bottom w:val="single" w:sz="4" w:space="0" w:color="auto"/>
              <w:right w:val="single" w:sz="4" w:space="0" w:color="auto"/>
            </w:tcBorders>
            <w:noWrap/>
            <w:textDirection w:val="btLr"/>
            <w:vAlign w:val="center"/>
            <w:hideMark/>
          </w:tcPr>
          <w:p w14:paraId="230AB9E0"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Geophysical</w:t>
            </w:r>
          </w:p>
        </w:tc>
        <w:tc>
          <w:tcPr>
            <w:tcW w:w="1570" w:type="dxa"/>
            <w:vMerge w:val="restart"/>
            <w:tcBorders>
              <w:top w:val="nil"/>
              <w:left w:val="single" w:sz="4" w:space="0" w:color="auto"/>
              <w:bottom w:val="single" w:sz="4" w:space="0" w:color="auto"/>
              <w:right w:val="single" w:sz="4" w:space="0" w:color="auto"/>
            </w:tcBorders>
            <w:noWrap/>
            <w:vAlign w:val="center"/>
            <w:hideMark/>
          </w:tcPr>
          <w:p w14:paraId="6D8981A4"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Volcanic</w:t>
            </w:r>
          </w:p>
        </w:tc>
        <w:tc>
          <w:tcPr>
            <w:tcW w:w="1275" w:type="dxa"/>
            <w:tcBorders>
              <w:top w:val="single" w:sz="4" w:space="0" w:color="auto"/>
              <w:left w:val="single" w:sz="4" w:space="0" w:color="auto"/>
              <w:bottom w:val="nil"/>
              <w:right w:val="single" w:sz="4" w:space="0" w:color="auto"/>
            </w:tcBorders>
            <w:noWrap/>
            <w:vAlign w:val="bottom"/>
            <w:hideMark/>
          </w:tcPr>
          <w:p w14:paraId="4F3F646B"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Eastern</w:t>
            </w:r>
          </w:p>
        </w:tc>
        <w:tc>
          <w:tcPr>
            <w:tcW w:w="802" w:type="dxa"/>
            <w:tcBorders>
              <w:top w:val="nil"/>
              <w:left w:val="single" w:sz="4" w:space="0" w:color="auto"/>
              <w:bottom w:val="nil"/>
              <w:right w:val="nil"/>
            </w:tcBorders>
            <w:shd w:val="clear" w:color="auto" w:fill="A8D08D" w:themeFill="accent6" w:themeFillTint="99"/>
            <w:noWrap/>
            <w:vAlign w:val="bottom"/>
            <w:hideMark/>
          </w:tcPr>
          <w:p w14:paraId="4DFC2FD1"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rPr>
              <w:t>3</w:t>
            </w:r>
          </w:p>
        </w:tc>
        <w:tc>
          <w:tcPr>
            <w:tcW w:w="730" w:type="dxa"/>
            <w:shd w:val="clear" w:color="auto" w:fill="A8D08D" w:themeFill="accent6" w:themeFillTint="99"/>
            <w:noWrap/>
            <w:vAlign w:val="bottom"/>
            <w:hideMark/>
          </w:tcPr>
          <w:p w14:paraId="5EC341AF"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rPr>
              <w:t>ndr</w:t>
            </w:r>
          </w:p>
        </w:tc>
        <w:tc>
          <w:tcPr>
            <w:tcW w:w="925" w:type="dxa"/>
            <w:shd w:val="clear" w:color="auto" w:fill="A8D08D" w:themeFill="accent6" w:themeFillTint="99"/>
            <w:noWrap/>
            <w:vAlign w:val="bottom"/>
            <w:hideMark/>
          </w:tcPr>
          <w:p w14:paraId="03BBD1D6"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rPr>
              <w:t>ndr</w:t>
            </w:r>
          </w:p>
        </w:tc>
        <w:tc>
          <w:tcPr>
            <w:tcW w:w="851" w:type="dxa"/>
            <w:shd w:val="clear" w:color="auto" w:fill="A8D08D" w:themeFill="accent6" w:themeFillTint="99"/>
            <w:noWrap/>
            <w:vAlign w:val="bottom"/>
            <w:hideMark/>
          </w:tcPr>
          <w:p w14:paraId="576DAA80"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rPr>
              <w:t>1</w:t>
            </w:r>
          </w:p>
        </w:tc>
        <w:tc>
          <w:tcPr>
            <w:tcW w:w="749" w:type="dxa"/>
            <w:shd w:val="clear" w:color="auto" w:fill="A8D08D" w:themeFill="accent6" w:themeFillTint="99"/>
            <w:noWrap/>
            <w:vAlign w:val="bottom"/>
            <w:hideMark/>
          </w:tcPr>
          <w:p w14:paraId="2532CD57"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rPr>
              <w:t>ndr</w:t>
            </w:r>
          </w:p>
        </w:tc>
        <w:tc>
          <w:tcPr>
            <w:tcW w:w="802" w:type="dxa"/>
            <w:shd w:val="clear" w:color="auto" w:fill="A8D08D" w:themeFill="accent6" w:themeFillTint="99"/>
            <w:noWrap/>
            <w:vAlign w:val="bottom"/>
            <w:hideMark/>
          </w:tcPr>
          <w:p w14:paraId="28FC381B"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rPr>
              <w:t>ndr</w:t>
            </w:r>
          </w:p>
        </w:tc>
        <w:tc>
          <w:tcPr>
            <w:tcW w:w="802" w:type="dxa"/>
            <w:tcBorders>
              <w:top w:val="nil"/>
              <w:left w:val="nil"/>
              <w:bottom w:val="nil"/>
              <w:right w:val="single" w:sz="4" w:space="0" w:color="auto"/>
            </w:tcBorders>
            <w:shd w:val="clear" w:color="auto" w:fill="A8D08D" w:themeFill="accent6" w:themeFillTint="99"/>
            <w:noWrap/>
            <w:vAlign w:val="bottom"/>
            <w:hideMark/>
          </w:tcPr>
          <w:p w14:paraId="6F0131CE"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rPr>
              <w:t>4</w:t>
            </w:r>
          </w:p>
        </w:tc>
      </w:tr>
      <w:tr w:rsidR="009B0448" w:rsidRPr="009B0448" w14:paraId="1A2AAA47" w14:textId="77777777" w:rsidTr="009B0448">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15B6277D" w14:textId="77777777" w:rsidR="009B0448" w:rsidRPr="009B0448" w:rsidRDefault="009B0448">
            <w:pPr>
              <w:rPr>
                <w:rFonts w:ascii="Times New Roman" w:eastAsia="Times New Roman" w:hAnsi="Times New Roman" w:cs="Times New Roman"/>
              </w:rPr>
            </w:pPr>
          </w:p>
        </w:tc>
        <w:tc>
          <w:tcPr>
            <w:tcW w:w="0" w:type="auto"/>
            <w:vMerge/>
            <w:tcBorders>
              <w:top w:val="nil"/>
              <w:left w:val="single" w:sz="4" w:space="0" w:color="auto"/>
              <w:bottom w:val="single" w:sz="4" w:space="0" w:color="auto"/>
              <w:right w:val="single" w:sz="4" w:space="0" w:color="auto"/>
            </w:tcBorders>
            <w:vAlign w:val="center"/>
            <w:hideMark/>
          </w:tcPr>
          <w:p w14:paraId="08159FCF"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40A080EC"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Middle</w:t>
            </w:r>
          </w:p>
        </w:tc>
        <w:tc>
          <w:tcPr>
            <w:tcW w:w="802" w:type="dxa"/>
            <w:tcBorders>
              <w:top w:val="nil"/>
              <w:left w:val="single" w:sz="4" w:space="0" w:color="auto"/>
              <w:bottom w:val="nil"/>
              <w:right w:val="nil"/>
            </w:tcBorders>
            <w:shd w:val="clear" w:color="auto" w:fill="A8D08D" w:themeFill="accent6" w:themeFillTint="99"/>
            <w:noWrap/>
            <w:vAlign w:val="bottom"/>
            <w:hideMark/>
          </w:tcPr>
          <w:p w14:paraId="687EA477"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730" w:type="dxa"/>
            <w:shd w:val="clear" w:color="auto" w:fill="A8D08D" w:themeFill="accent6" w:themeFillTint="99"/>
            <w:noWrap/>
            <w:vAlign w:val="bottom"/>
            <w:hideMark/>
          </w:tcPr>
          <w:p w14:paraId="5D78550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925" w:type="dxa"/>
            <w:shd w:val="clear" w:color="auto" w:fill="A8D08D" w:themeFill="accent6" w:themeFillTint="99"/>
            <w:noWrap/>
            <w:vAlign w:val="bottom"/>
            <w:hideMark/>
          </w:tcPr>
          <w:p w14:paraId="6C63BC2C"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851" w:type="dxa"/>
            <w:shd w:val="clear" w:color="auto" w:fill="A8D08D" w:themeFill="accent6" w:themeFillTint="99"/>
            <w:noWrap/>
            <w:vAlign w:val="bottom"/>
            <w:hideMark/>
          </w:tcPr>
          <w:p w14:paraId="4936C5C4"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49" w:type="dxa"/>
            <w:shd w:val="clear" w:color="auto" w:fill="A8D08D" w:themeFill="accent6" w:themeFillTint="99"/>
            <w:noWrap/>
            <w:vAlign w:val="bottom"/>
            <w:hideMark/>
          </w:tcPr>
          <w:p w14:paraId="554DCBB1"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02" w:type="dxa"/>
            <w:shd w:val="clear" w:color="auto" w:fill="A8D08D" w:themeFill="accent6" w:themeFillTint="99"/>
            <w:noWrap/>
            <w:vAlign w:val="bottom"/>
            <w:hideMark/>
          </w:tcPr>
          <w:p w14:paraId="248C16D3"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3</w:t>
            </w:r>
          </w:p>
        </w:tc>
        <w:tc>
          <w:tcPr>
            <w:tcW w:w="802" w:type="dxa"/>
            <w:tcBorders>
              <w:top w:val="nil"/>
              <w:left w:val="nil"/>
              <w:bottom w:val="nil"/>
              <w:right w:val="single" w:sz="4" w:space="0" w:color="auto"/>
            </w:tcBorders>
            <w:shd w:val="clear" w:color="auto" w:fill="A8D08D" w:themeFill="accent6" w:themeFillTint="99"/>
            <w:noWrap/>
            <w:vAlign w:val="bottom"/>
            <w:hideMark/>
          </w:tcPr>
          <w:p w14:paraId="2D54681B"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6</w:t>
            </w:r>
          </w:p>
        </w:tc>
      </w:tr>
      <w:tr w:rsidR="009B0448" w:rsidRPr="009B0448" w14:paraId="56285311" w14:textId="77777777" w:rsidTr="009B0448">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71D330CB" w14:textId="77777777" w:rsidR="009B0448" w:rsidRPr="009B0448" w:rsidRDefault="009B0448">
            <w:pPr>
              <w:rPr>
                <w:rFonts w:ascii="Times New Roman" w:eastAsia="Times New Roman" w:hAnsi="Times New Roman" w:cs="Times New Roman"/>
              </w:rPr>
            </w:pPr>
          </w:p>
        </w:tc>
        <w:tc>
          <w:tcPr>
            <w:tcW w:w="0" w:type="auto"/>
            <w:vMerge/>
            <w:tcBorders>
              <w:top w:val="nil"/>
              <w:left w:val="single" w:sz="4" w:space="0" w:color="auto"/>
              <w:bottom w:val="single" w:sz="4" w:space="0" w:color="auto"/>
              <w:right w:val="single" w:sz="4" w:space="0" w:color="auto"/>
            </w:tcBorders>
            <w:vAlign w:val="center"/>
            <w:hideMark/>
          </w:tcPr>
          <w:p w14:paraId="4E03D521"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041436B9"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Northern</w:t>
            </w:r>
          </w:p>
        </w:tc>
        <w:tc>
          <w:tcPr>
            <w:tcW w:w="802" w:type="dxa"/>
            <w:tcBorders>
              <w:top w:val="nil"/>
              <w:left w:val="single" w:sz="4" w:space="0" w:color="auto"/>
              <w:bottom w:val="nil"/>
              <w:right w:val="nil"/>
            </w:tcBorders>
            <w:shd w:val="clear" w:color="auto" w:fill="A8D08D" w:themeFill="accent6" w:themeFillTint="99"/>
            <w:noWrap/>
            <w:vAlign w:val="bottom"/>
            <w:hideMark/>
          </w:tcPr>
          <w:p w14:paraId="1684019F"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30" w:type="dxa"/>
            <w:shd w:val="clear" w:color="auto" w:fill="A8D08D" w:themeFill="accent6" w:themeFillTint="99"/>
            <w:noWrap/>
            <w:vAlign w:val="bottom"/>
            <w:hideMark/>
          </w:tcPr>
          <w:p w14:paraId="613EDCE5"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925" w:type="dxa"/>
            <w:shd w:val="clear" w:color="auto" w:fill="A8D08D" w:themeFill="accent6" w:themeFillTint="99"/>
            <w:noWrap/>
            <w:vAlign w:val="bottom"/>
            <w:hideMark/>
          </w:tcPr>
          <w:p w14:paraId="43AD1682"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51" w:type="dxa"/>
            <w:shd w:val="clear" w:color="auto" w:fill="A8D08D" w:themeFill="accent6" w:themeFillTint="99"/>
            <w:noWrap/>
            <w:vAlign w:val="bottom"/>
            <w:hideMark/>
          </w:tcPr>
          <w:p w14:paraId="6245407B"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49" w:type="dxa"/>
            <w:shd w:val="clear" w:color="auto" w:fill="A8D08D" w:themeFill="accent6" w:themeFillTint="99"/>
            <w:noWrap/>
            <w:vAlign w:val="bottom"/>
            <w:hideMark/>
          </w:tcPr>
          <w:p w14:paraId="15C7A4EC"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02" w:type="dxa"/>
            <w:shd w:val="clear" w:color="auto" w:fill="A8D08D" w:themeFill="accent6" w:themeFillTint="99"/>
            <w:noWrap/>
            <w:vAlign w:val="bottom"/>
            <w:hideMark/>
          </w:tcPr>
          <w:p w14:paraId="270EBD57"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02" w:type="dxa"/>
            <w:tcBorders>
              <w:top w:val="nil"/>
              <w:left w:val="nil"/>
              <w:bottom w:val="nil"/>
              <w:right w:val="single" w:sz="4" w:space="0" w:color="auto"/>
            </w:tcBorders>
            <w:shd w:val="clear" w:color="auto" w:fill="A8D08D" w:themeFill="accent6" w:themeFillTint="99"/>
            <w:noWrap/>
            <w:vAlign w:val="bottom"/>
            <w:hideMark/>
          </w:tcPr>
          <w:p w14:paraId="7B8270A5"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r>
      <w:tr w:rsidR="009B0448" w:rsidRPr="009B0448" w14:paraId="64EB1CFC" w14:textId="77777777" w:rsidTr="009B0448">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64078705" w14:textId="77777777" w:rsidR="009B0448" w:rsidRPr="009B0448" w:rsidRDefault="009B0448">
            <w:pPr>
              <w:rPr>
                <w:rFonts w:ascii="Times New Roman" w:eastAsia="Times New Roman" w:hAnsi="Times New Roman" w:cs="Times New Roman"/>
              </w:rPr>
            </w:pPr>
          </w:p>
        </w:tc>
        <w:tc>
          <w:tcPr>
            <w:tcW w:w="0" w:type="auto"/>
            <w:vMerge/>
            <w:tcBorders>
              <w:top w:val="nil"/>
              <w:left w:val="single" w:sz="4" w:space="0" w:color="auto"/>
              <w:bottom w:val="single" w:sz="4" w:space="0" w:color="auto"/>
              <w:right w:val="single" w:sz="4" w:space="0" w:color="auto"/>
            </w:tcBorders>
            <w:vAlign w:val="center"/>
            <w:hideMark/>
          </w:tcPr>
          <w:p w14:paraId="0FD3AE79"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46D921C3"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Southern</w:t>
            </w:r>
          </w:p>
        </w:tc>
        <w:tc>
          <w:tcPr>
            <w:tcW w:w="802" w:type="dxa"/>
            <w:tcBorders>
              <w:top w:val="nil"/>
              <w:left w:val="single" w:sz="4" w:space="0" w:color="auto"/>
              <w:bottom w:val="nil"/>
              <w:right w:val="nil"/>
            </w:tcBorders>
            <w:shd w:val="clear" w:color="auto" w:fill="A8D08D" w:themeFill="accent6" w:themeFillTint="99"/>
            <w:noWrap/>
            <w:vAlign w:val="bottom"/>
            <w:hideMark/>
          </w:tcPr>
          <w:p w14:paraId="12F10C76"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30" w:type="dxa"/>
            <w:shd w:val="clear" w:color="auto" w:fill="A8D08D" w:themeFill="accent6" w:themeFillTint="99"/>
            <w:noWrap/>
            <w:vAlign w:val="bottom"/>
            <w:hideMark/>
          </w:tcPr>
          <w:p w14:paraId="4477BD72"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925" w:type="dxa"/>
            <w:shd w:val="clear" w:color="auto" w:fill="A8D08D" w:themeFill="accent6" w:themeFillTint="99"/>
            <w:noWrap/>
            <w:vAlign w:val="bottom"/>
            <w:hideMark/>
          </w:tcPr>
          <w:p w14:paraId="40AB8931"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51" w:type="dxa"/>
            <w:shd w:val="clear" w:color="auto" w:fill="A8D08D" w:themeFill="accent6" w:themeFillTint="99"/>
            <w:noWrap/>
            <w:vAlign w:val="bottom"/>
            <w:hideMark/>
          </w:tcPr>
          <w:p w14:paraId="0FBB0148"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49" w:type="dxa"/>
            <w:shd w:val="clear" w:color="auto" w:fill="A8D08D" w:themeFill="accent6" w:themeFillTint="99"/>
            <w:noWrap/>
            <w:vAlign w:val="bottom"/>
            <w:hideMark/>
          </w:tcPr>
          <w:p w14:paraId="142CF0E4"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02" w:type="dxa"/>
            <w:shd w:val="clear" w:color="auto" w:fill="A8D08D" w:themeFill="accent6" w:themeFillTint="99"/>
            <w:noWrap/>
            <w:vAlign w:val="bottom"/>
            <w:hideMark/>
          </w:tcPr>
          <w:p w14:paraId="1B22041E"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02" w:type="dxa"/>
            <w:tcBorders>
              <w:top w:val="nil"/>
              <w:left w:val="nil"/>
              <w:bottom w:val="nil"/>
              <w:right w:val="single" w:sz="4" w:space="0" w:color="auto"/>
            </w:tcBorders>
            <w:shd w:val="clear" w:color="auto" w:fill="A8D08D" w:themeFill="accent6" w:themeFillTint="99"/>
            <w:noWrap/>
            <w:vAlign w:val="bottom"/>
            <w:hideMark/>
          </w:tcPr>
          <w:p w14:paraId="0304A99A"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r>
      <w:tr w:rsidR="009B0448" w:rsidRPr="009B0448" w14:paraId="50C70C76" w14:textId="77777777" w:rsidTr="009B0448">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2AC3D78D" w14:textId="77777777" w:rsidR="009B0448" w:rsidRPr="009B0448" w:rsidRDefault="009B0448">
            <w:pPr>
              <w:rPr>
                <w:rFonts w:ascii="Times New Roman" w:eastAsia="Times New Roman" w:hAnsi="Times New Roman" w:cs="Times New Roman"/>
              </w:rPr>
            </w:pPr>
          </w:p>
        </w:tc>
        <w:tc>
          <w:tcPr>
            <w:tcW w:w="0" w:type="auto"/>
            <w:vMerge/>
            <w:tcBorders>
              <w:top w:val="nil"/>
              <w:left w:val="single" w:sz="4" w:space="0" w:color="auto"/>
              <w:bottom w:val="single" w:sz="4" w:space="0" w:color="auto"/>
              <w:right w:val="single" w:sz="4" w:space="0" w:color="auto"/>
            </w:tcBorders>
            <w:vAlign w:val="center"/>
            <w:hideMark/>
          </w:tcPr>
          <w:p w14:paraId="36310B33"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1287683D"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Western</w:t>
            </w:r>
          </w:p>
        </w:tc>
        <w:tc>
          <w:tcPr>
            <w:tcW w:w="802" w:type="dxa"/>
            <w:tcBorders>
              <w:top w:val="nil"/>
              <w:left w:val="single" w:sz="4" w:space="0" w:color="auto"/>
              <w:bottom w:val="nil"/>
              <w:right w:val="nil"/>
            </w:tcBorders>
            <w:shd w:val="clear" w:color="auto" w:fill="A8D08D" w:themeFill="accent6" w:themeFillTint="99"/>
            <w:noWrap/>
            <w:vAlign w:val="bottom"/>
            <w:hideMark/>
          </w:tcPr>
          <w:p w14:paraId="6FB6B54A"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30" w:type="dxa"/>
            <w:shd w:val="clear" w:color="auto" w:fill="A8D08D" w:themeFill="accent6" w:themeFillTint="99"/>
            <w:noWrap/>
            <w:vAlign w:val="bottom"/>
            <w:hideMark/>
          </w:tcPr>
          <w:p w14:paraId="4F55BC83"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925" w:type="dxa"/>
            <w:shd w:val="clear" w:color="auto" w:fill="A8D08D" w:themeFill="accent6" w:themeFillTint="99"/>
            <w:noWrap/>
            <w:vAlign w:val="bottom"/>
            <w:hideMark/>
          </w:tcPr>
          <w:p w14:paraId="272DC555"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51" w:type="dxa"/>
            <w:shd w:val="clear" w:color="auto" w:fill="A8D08D" w:themeFill="accent6" w:themeFillTint="99"/>
            <w:noWrap/>
            <w:vAlign w:val="bottom"/>
            <w:hideMark/>
          </w:tcPr>
          <w:p w14:paraId="21F81C42"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49" w:type="dxa"/>
            <w:shd w:val="clear" w:color="auto" w:fill="A8D08D" w:themeFill="accent6" w:themeFillTint="99"/>
            <w:noWrap/>
            <w:vAlign w:val="bottom"/>
            <w:hideMark/>
          </w:tcPr>
          <w:p w14:paraId="4660C34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802" w:type="dxa"/>
            <w:shd w:val="clear" w:color="auto" w:fill="A8D08D" w:themeFill="accent6" w:themeFillTint="99"/>
            <w:noWrap/>
            <w:vAlign w:val="bottom"/>
            <w:hideMark/>
          </w:tcPr>
          <w:p w14:paraId="09314B13"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02" w:type="dxa"/>
            <w:tcBorders>
              <w:top w:val="nil"/>
              <w:left w:val="nil"/>
              <w:bottom w:val="nil"/>
              <w:right w:val="single" w:sz="4" w:space="0" w:color="auto"/>
            </w:tcBorders>
            <w:shd w:val="clear" w:color="auto" w:fill="A8D08D" w:themeFill="accent6" w:themeFillTint="99"/>
            <w:noWrap/>
            <w:vAlign w:val="bottom"/>
            <w:hideMark/>
          </w:tcPr>
          <w:p w14:paraId="4319D32C"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r>
      <w:tr w:rsidR="009B0448" w:rsidRPr="009B0448" w14:paraId="7B73397F" w14:textId="77777777" w:rsidTr="009B0448">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7F35DDA9" w14:textId="77777777" w:rsidR="009B0448" w:rsidRPr="009B0448" w:rsidRDefault="009B0448">
            <w:pPr>
              <w:rPr>
                <w:rFonts w:ascii="Times New Roman" w:eastAsia="Times New Roman" w:hAnsi="Times New Roman" w:cs="Times New Roman"/>
              </w:rPr>
            </w:pPr>
          </w:p>
        </w:tc>
        <w:tc>
          <w:tcPr>
            <w:tcW w:w="0" w:type="auto"/>
            <w:vMerge/>
            <w:tcBorders>
              <w:top w:val="nil"/>
              <w:left w:val="single" w:sz="4" w:space="0" w:color="auto"/>
              <w:bottom w:val="single" w:sz="4" w:space="0" w:color="auto"/>
              <w:right w:val="single" w:sz="4" w:space="0" w:color="auto"/>
            </w:tcBorders>
            <w:vAlign w:val="center"/>
            <w:hideMark/>
          </w:tcPr>
          <w:p w14:paraId="50859195"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single" w:sz="4" w:space="0" w:color="auto"/>
              <w:right w:val="single" w:sz="4" w:space="0" w:color="auto"/>
            </w:tcBorders>
            <w:noWrap/>
            <w:vAlign w:val="bottom"/>
            <w:hideMark/>
          </w:tcPr>
          <w:p w14:paraId="2F2EDE44" w14:textId="77777777" w:rsidR="009B0448" w:rsidRPr="009B0448" w:rsidRDefault="009B0448">
            <w:pPr>
              <w:spacing w:line="276" w:lineRule="auto"/>
              <w:rPr>
                <w:rFonts w:ascii="Times New Roman" w:eastAsia="Times New Roman" w:hAnsi="Times New Roman" w:cs="Times New Roman"/>
                <w:b/>
                <w:bCs/>
              </w:rPr>
            </w:pPr>
            <w:r w:rsidRPr="009B0448">
              <w:rPr>
                <w:rFonts w:ascii="Times New Roman" w:eastAsia="Times New Roman" w:hAnsi="Times New Roman" w:cs="Times New Roman"/>
                <w:b/>
                <w:bCs/>
              </w:rPr>
              <w:t>Total</w:t>
            </w:r>
          </w:p>
        </w:tc>
        <w:tc>
          <w:tcPr>
            <w:tcW w:w="802" w:type="dxa"/>
            <w:tcBorders>
              <w:top w:val="nil"/>
              <w:left w:val="single" w:sz="4" w:space="0" w:color="auto"/>
              <w:bottom w:val="single" w:sz="4" w:space="0" w:color="auto"/>
              <w:right w:val="nil"/>
            </w:tcBorders>
            <w:shd w:val="clear" w:color="auto" w:fill="A8D08D" w:themeFill="accent6" w:themeFillTint="99"/>
            <w:noWrap/>
            <w:vAlign w:val="bottom"/>
            <w:hideMark/>
          </w:tcPr>
          <w:p w14:paraId="3411A814"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4</w:t>
            </w:r>
          </w:p>
        </w:tc>
        <w:tc>
          <w:tcPr>
            <w:tcW w:w="730" w:type="dxa"/>
            <w:tcBorders>
              <w:top w:val="nil"/>
              <w:left w:val="nil"/>
              <w:bottom w:val="single" w:sz="4" w:space="0" w:color="auto"/>
              <w:right w:val="nil"/>
            </w:tcBorders>
            <w:shd w:val="clear" w:color="auto" w:fill="A8D08D" w:themeFill="accent6" w:themeFillTint="99"/>
            <w:noWrap/>
            <w:vAlign w:val="bottom"/>
            <w:hideMark/>
          </w:tcPr>
          <w:p w14:paraId="2469C4C9"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ndr</w:t>
            </w:r>
          </w:p>
        </w:tc>
        <w:tc>
          <w:tcPr>
            <w:tcW w:w="925" w:type="dxa"/>
            <w:tcBorders>
              <w:top w:val="nil"/>
              <w:left w:val="nil"/>
              <w:bottom w:val="single" w:sz="4" w:space="0" w:color="auto"/>
              <w:right w:val="nil"/>
            </w:tcBorders>
            <w:shd w:val="clear" w:color="auto" w:fill="A8D08D" w:themeFill="accent6" w:themeFillTint="99"/>
            <w:noWrap/>
            <w:vAlign w:val="bottom"/>
            <w:hideMark/>
          </w:tcPr>
          <w:p w14:paraId="08AF0B5F"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2</w:t>
            </w:r>
          </w:p>
        </w:tc>
        <w:tc>
          <w:tcPr>
            <w:tcW w:w="851" w:type="dxa"/>
            <w:tcBorders>
              <w:top w:val="nil"/>
              <w:left w:val="nil"/>
              <w:bottom w:val="single" w:sz="4" w:space="0" w:color="auto"/>
              <w:right w:val="nil"/>
            </w:tcBorders>
            <w:shd w:val="clear" w:color="auto" w:fill="A8D08D" w:themeFill="accent6" w:themeFillTint="99"/>
            <w:noWrap/>
            <w:vAlign w:val="bottom"/>
            <w:hideMark/>
          </w:tcPr>
          <w:p w14:paraId="3E53DF67"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1</w:t>
            </w:r>
          </w:p>
        </w:tc>
        <w:tc>
          <w:tcPr>
            <w:tcW w:w="749" w:type="dxa"/>
            <w:tcBorders>
              <w:top w:val="nil"/>
              <w:left w:val="nil"/>
              <w:bottom w:val="single" w:sz="4" w:space="0" w:color="auto"/>
              <w:right w:val="nil"/>
            </w:tcBorders>
            <w:shd w:val="clear" w:color="auto" w:fill="A8D08D" w:themeFill="accent6" w:themeFillTint="99"/>
            <w:noWrap/>
            <w:vAlign w:val="bottom"/>
            <w:hideMark/>
          </w:tcPr>
          <w:p w14:paraId="32AE4C7C"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1</w:t>
            </w:r>
          </w:p>
        </w:tc>
        <w:tc>
          <w:tcPr>
            <w:tcW w:w="802" w:type="dxa"/>
            <w:tcBorders>
              <w:top w:val="nil"/>
              <w:left w:val="nil"/>
              <w:bottom w:val="single" w:sz="4" w:space="0" w:color="auto"/>
              <w:right w:val="nil"/>
            </w:tcBorders>
            <w:shd w:val="clear" w:color="auto" w:fill="A8D08D" w:themeFill="accent6" w:themeFillTint="99"/>
            <w:noWrap/>
            <w:vAlign w:val="bottom"/>
            <w:hideMark/>
          </w:tcPr>
          <w:p w14:paraId="63B8F142"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3</w:t>
            </w:r>
          </w:p>
        </w:tc>
        <w:tc>
          <w:tcPr>
            <w:tcW w:w="802" w:type="dxa"/>
            <w:tcBorders>
              <w:top w:val="nil"/>
              <w:left w:val="nil"/>
              <w:bottom w:val="single" w:sz="4" w:space="0" w:color="auto"/>
              <w:right w:val="single" w:sz="4" w:space="0" w:color="auto"/>
            </w:tcBorders>
            <w:shd w:val="clear" w:color="auto" w:fill="A8D08D" w:themeFill="accent6" w:themeFillTint="99"/>
            <w:noWrap/>
            <w:vAlign w:val="bottom"/>
            <w:hideMark/>
          </w:tcPr>
          <w:p w14:paraId="490C645E"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11</w:t>
            </w:r>
          </w:p>
        </w:tc>
      </w:tr>
      <w:tr w:rsidR="009B0448" w:rsidRPr="009B0448" w14:paraId="4365BE73" w14:textId="77777777" w:rsidTr="009B0448">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0E71A4B1" w14:textId="77777777" w:rsidR="009B0448" w:rsidRPr="009B0448" w:rsidRDefault="009B0448">
            <w:pPr>
              <w:rPr>
                <w:rFonts w:ascii="Times New Roman" w:eastAsia="Times New Roman" w:hAnsi="Times New Roman" w:cs="Times New Roman"/>
              </w:rPr>
            </w:pPr>
          </w:p>
        </w:tc>
        <w:tc>
          <w:tcPr>
            <w:tcW w:w="1570" w:type="dxa"/>
            <w:tcBorders>
              <w:top w:val="single" w:sz="4" w:space="0" w:color="auto"/>
              <w:left w:val="single" w:sz="4" w:space="0" w:color="auto"/>
              <w:bottom w:val="single" w:sz="4" w:space="0" w:color="auto"/>
              <w:right w:val="nil"/>
            </w:tcBorders>
            <w:noWrap/>
            <w:vAlign w:val="bottom"/>
            <w:hideMark/>
          </w:tcPr>
          <w:p w14:paraId="38C7CEFA" w14:textId="77777777" w:rsidR="009B0448" w:rsidRPr="009B0448" w:rsidRDefault="009B0448">
            <w:pPr>
              <w:rPr>
                <w:rFonts w:ascii="Times New Roman" w:eastAsia="Times New Roman" w:hAnsi="Times New Roman" w:cs="Times New Roman"/>
                <w:b/>
                <w:bCs/>
              </w:rPr>
            </w:pPr>
          </w:p>
        </w:tc>
        <w:tc>
          <w:tcPr>
            <w:tcW w:w="1275" w:type="dxa"/>
            <w:tcBorders>
              <w:top w:val="single" w:sz="4" w:space="0" w:color="auto"/>
              <w:left w:val="nil"/>
              <w:bottom w:val="single" w:sz="4" w:space="0" w:color="auto"/>
              <w:right w:val="single" w:sz="4" w:space="0" w:color="auto"/>
            </w:tcBorders>
            <w:noWrap/>
            <w:vAlign w:val="bottom"/>
            <w:hideMark/>
          </w:tcPr>
          <w:p w14:paraId="645C1AE5"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single" w:sz="4" w:space="0" w:color="auto"/>
              <w:bottom w:val="single" w:sz="4" w:space="0" w:color="auto"/>
              <w:right w:val="nil"/>
            </w:tcBorders>
            <w:noWrap/>
            <w:vAlign w:val="bottom"/>
            <w:hideMark/>
          </w:tcPr>
          <w:p w14:paraId="3C80A75F" w14:textId="77777777" w:rsidR="009B0448" w:rsidRPr="009B0448" w:rsidRDefault="009B0448">
            <w:pPr>
              <w:rPr>
                <w:rFonts w:ascii="Times New Roman" w:hAnsi="Times New Roman" w:cs="Times New Roman"/>
                <w:color w:val="auto"/>
                <w:sz w:val="20"/>
                <w:szCs w:val="20"/>
                <w:lang w:eastAsia="en-GB"/>
              </w:rPr>
            </w:pPr>
          </w:p>
        </w:tc>
        <w:tc>
          <w:tcPr>
            <w:tcW w:w="730" w:type="dxa"/>
            <w:tcBorders>
              <w:top w:val="single" w:sz="4" w:space="0" w:color="auto"/>
              <w:left w:val="nil"/>
              <w:bottom w:val="single" w:sz="4" w:space="0" w:color="auto"/>
              <w:right w:val="nil"/>
            </w:tcBorders>
            <w:noWrap/>
            <w:vAlign w:val="bottom"/>
            <w:hideMark/>
          </w:tcPr>
          <w:p w14:paraId="2EA1BBBC" w14:textId="77777777" w:rsidR="009B0448" w:rsidRPr="009B0448" w:rsidRDefault="009B0448">
            <w:pPr>
              <w:rPr>
                <w:rFonts w:ascii="Times New Roman" w:hAnsi="Times New Roman" w:cs="Times New Roman"/>
                <w:color w:val="auto"/>
                <w:sz w:val="20"/>
                <w:szCs w:val="20"/>
                <w:lang w:eastAsia="en-GB"/>
              </w:rPr>
            </w:pPr>
          </w:p>
        </w:tc>
        <w:tc>
          <w:tcPr>
            <w:tcW w:w="925" w:type="dxa"/>
            <w:tcBorders>
              <w:top w:val="single" w:sz="4" w:space="0" w:color="auto"/>
              <w:left w:val="nil"/>
              <w:bottom w:val="single" w:sz="4" w:space="0" w:color="auto"/>
              <w:right w:val="nil"/>
            </w:tcBorders>
            <w:noWrap/>
            <w:vAlign w:val="bottom"/>
            <w:hideMark/>
          </w:tcPr>
          <w:p w14:paraId="0DABD512" w14:textId="77777777" w:rsidR="009B0448" w:rsidRPr="009B0448" w:rsidRDefault="009B0448">
            <w:pPr>
              <w:rPr>
                <w:rFonts w:ascii="Times New Roman" w:hAnsi="Times New Roman" w:cs="Times New Roman"/>
                <w:color w:val="auto"/>
                <w:sz w:val="20"/>
                <w:szCs w:val="20"/>
                <w:lang w:eastAsia="en-GB"/>
              </w:rPr>
            </w:pPr>
          </w:p>
        </w:tc>
        <w:tc>
          <w:tcPr>
            <w:tcW w:w="851" w:type="dxa"/>
            <w:tcBorders>
              <w:top w:val="single" w:sz="4" w:space="0" w:color="auto"/>
              <w:left w:val="nil"/>
              <w:bottom w:val="single" w:sz="4" w:space="0" w:color="auto"/>
              <w:right w:val="nil"/>
            </w:tcBorders>
            <w:noWrap/>
            <w:vAlign w:val="bottom"/>
            <w:hideMark/>
          </w:tcPr>
          <w:p w14:paraId="1419C8BE" w14:textId="77777777" w:rsidR="009B0448" w:rsidRPr="009B0448" w:rsidRDefault="009B0448">
            <w:pPr>
              <w:rPr>
                <w:rFonts w:ascii="Times New Roman" w:hAnsi="Times New Roman" w:cs="Times New Roman"/>
                <w:color w:val="auto"/>
                <w:sz w:val="20"/>
                <w:szCs w:val="20"/>
                <w:lang w:eastAsia="en-GB"/>
              </w:rPr>
            </w:pPr>
          </w:p>
        </w:tc>
        <w:tc>
          <w:tcPr>
            <w:tcW w:w="749" w:type="dxa"/>
            <w:tcBorders>
              <w:top w:val="single" w:sz="4" w:space="0" w:color="auto"/>
              <w:left w:val="nil"/>
              <w:bottom w:val="single" w:sz="4" w:space="0" w:color="auto"/>
              <w:right w:val="nil"/>
            </w:tcBorders>
            <w:noWrap/>
            <w:vAlign w:val="bottom"/>
            <w:hideMark/>
          </w:tcPr>
          <w:p w14:paraId="3C36D327"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nil"/>
            </w:tcBorders>
            <w:noWrap/>
            <w:vAlign w:val="bottom"/>
            <w:hideMark/>
          </w:tcPr>
          <w:p w14:paraId="1E4F4681"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single" w:sz="4" w:space="0" w:color="auto"/>
            </w:tcBorders>
            <w:noWrap/>
            <w:vAlign w:val="bottom"/>
            <w:hideMark/>
          </w:tcPr>
          <w:p w14:paraId="62507357" w14:textId="77777777" w:rsidR="009B0448" w:rsidRPr="009B0448" w:rsidRDefault="009B0448">
            <w:pPr>
              <w:rPr>
                <w:rFonts w:ascii="Times New Roman" w:hAnsi="Times New Roman" w:cs="Times New Roman"/>
                <w:color w:val="auto"/>
                <w:sz w:val="20"/>
                <w:szCs w:val="20"/>
                <w:lang w:eastAsia="en-GB"/>
              </w:rPr>
            </w:pPr>
          </w:p>
        </w:tc>
      </w:tr>
      <w:tr w:rsidR="009B0448" w:rsidRPr="009B0448" w14:paraId="38865B8A" w14:textId="77777777" w:rsidTr="009B0448">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3148268F" w14:textId="77777777" w:rsidR="009B0448" w:rsidRPr="009B0448" w:rsidRDefault="009B0448">
            <w:pPr>
              <w:rPr>
                <w:rFonts w:ascii="Times New Roman" w:eastAsia="Times New Roman" w:hAnsi="Times New Roman" w:cs="Times New Roman"/>
              </w:rPr>
            </w:pPr>
          </w:p>
        </w:tc>
        <w:tc>
          <w:tcPr>
            <w:tcW w:w="1570" w:type="dxa"/>
            <w:vMerge w:val="restart"/>
            <w:tcBorders>
              <w:top w:val="single" w:sz="4" w:space="0" w:color="auto"/>
              <w:left w:val="single" w:sz="4" w:space="0" w:color="auto"/>
              <w:bottom w:val="single" w:sz="4" w:space="0" w:color="auto"/>
              <w:right w:val="single" w:sz="4" w:space="0" w:color="auto"/>
            </w:tcBorders>
            <w:noWrap/>
            <w:hideMark/>
          </w:tcPr>
          <w:p w14:paraId="37FBFB31"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 xml:space="preserve"> Earthquakes and tsunami</w:t>
            </w:r>
          </w:p>
        </w:tc>
        <w:tc>
          <w:tcPr>
            <w:tcW w:w="1275" w:type="dxa"/>
            <w:tcBorders>
              <w:top w:val="single" w:sz="4" w:space="0" w:color="auto"/>
              <w:left w:val="single" w:sz="4" w:space="0" w:color="auto"/>
              <w:bottom w:val="nil"/>
              <w:right w:val="single" w:sz="4" w:space="0" w:color="auto"/>
            </w:tcBorders>
            <w:noWrap/>
            <w:vAlign w:val="bottom"/>
            <w:hideMark/>
          </w:tcPr>
          <w:p w14:paraId="58E045F7"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Eastern</w:t>
            </w:r>
          </w:p>
        </w:tc>
        <w:tc>
          <w:tcPr>
            <w:tcW w:w="802" w:type="dxa"/>
            <w:tcBorders>
              <w:top w:val="single" w:sz="4" w:space="0" w:color="auto"/>
              <w:left w:val="single" w:sz="4" w:space="0" w:color="auto"/>
              <w:bottom w:val="nil"/>
              <w:right w:val="nil"/>
            </w:tcBorders>
            <w:shd w:val="clear" w:color="auto" w:fill="A8D08D" w:themeFill="accent6" w:themeFillTint="99"/>
            <w:noWrap/>
            <w:vAlign w:val="bottom"/>
            <w:hideMark/>
          </w:tcPr>
          <w:p w14:paraId="2EE8F34B"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30" w:type="dxa"/>
            <w:tcBorders>
              <w:top w:val="single" w:sz="4" w:space="0" w:color="auto"/>
              <w:left w:val="nil"/>
              <w:bottom w:val="nil"/>
              <w:right w:val="nil"/>
            </w:tcBorders>
            <w:shd w:val="clear" w:color="auto" w:fill="A8D08D" w:themeFill="accent6" w:themeFillTint="99"/>
            <w:noWrap/>
            <w:vAlign w:val="bottom"/>
            <w:hideMark/>
          </w:tcPr>
          <w:p w14:paraId="39CA4090"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925" w:type="dxa"/>
            <w:tcBorders>
              <w:top w:val="single" w:sz="4" w:space="0" w:color="auto"/>
              <w:left w:val="nil"/>
              <w:bottom w:val="nil"/>
              <w:right w:val="nil"/>
            </w:tcBorders>
            <w:shd w:val="clear" w:color="auto" w:fill="A8D08D" w:themeFill="accent6" w:themeFillTint="99"/>
            <w:noWrap/>
            <w:vAlign w:val="bottom"/>
            <w:hideMark/>
          </w:tcPr>
          <w:p w14:paraId="1F1BB69F"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851" w:type="dxa"/>
            <w:tcBorders>
              <w:top w:val="single" w:sz="4" w:space="0" w:color="auto"/>
              <w:left w:val="nil"/>
              <w:bottom w:val="nil"/>
              <w:right w:val="nil"/>
            </w:tcBorders>
            <w:shd w:val="clear" w:color="auto" w:fill="A8D08D" w:themeFill="accent6" w:themeFillTint="99"/>
            <w:noWrap/>
            <w:vAlign w:val="bottom"/>
            <w:hideMark/>
          </w:tcPr>
          <w:p w14:paraId="0539B13B"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3</w:t>
            </w:r>
          </w:p>
        </w:tc>
        <w:tc>
          <w:tcPr>
            <w:tcW w:w="749" w:type="dxa"/>
            <w:tcBorders>
              <w:top w:val="single" w:sz="4" w:space="0" w:color="auto"/>
              <w:left w:val="nil"/>
              <w:bottom w:val="nil"/>
              <w:right w:val="nil"/>
            </w:tcBorders>
            <w:shd w:val="clear" w:color="auto" w:fill="A8D08D" w:themeFill="accent6" w:themeFillTint="99"/>
            <w:noWrap/>
            <w:vAlign w:val="bottom"/>
            <w:hideMark/>
          </w:tcPr>
          <w:p w14:paraId="1150D225"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802" w:type="dxa"/>
            <w:tcBorders>
              <w:top w:val="single" w:sz="4" w:space="0" w:color="auto"/>
              <w:left w:val="nil"/>
              <w:bottom w:val="nil"/>
              <w:right w:val="nil"/>
            </w:tcBorders>
            <w:shd w:val="clear" w:color="auto" w:fill="A8D08D" w:themeFill="accent6" w:themeFillTint="99"/>
            <w:noWrap/>
            <w:vAlign w:val="bottom"/>
            <w:hideMark/>
          </w:tcPr>
          <w:p w14:paraId="649A8146"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4</w:t>
            </w:r>
          </w:p>
        </w:tc>
        <w:tc>
          <w:tcPr>
            <w:tcW w:w="802" w:type="dxa"/>
            <w:tcBorders>
              <w:top w:val="single" w:sz="4" w:space="0" w:color="auto"/>
              <w:left w:val="nil"/>
              <w:bottom w:val="nil"/>
              <w:right w:val="single" w:sz="4" w:space="0" w:color="auto"/>
            </w:tcBorders>
            <w:shd w:val="clear" w:color="auto" w:fill="A8D08D" w:themeFill="accent6" w:themeFillTint="99"/>
            <w:noWrap/>
            <w:vAlign w:val="bottom"/>
            <w:hideMark/>
          </w:tcPr>
          <w:p w14:paraId="165E3E3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9</w:t>
            </w:r>
          </w:p>
        </w:tc>
      </w:tr>
      <w:tr w:rsidR="009B0448" w:rsidRPr="009B0448" w14:paraId="2D068799" w14:textId="77777777" w:rsidTr="009B0448">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15728B83"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5ED3EA"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5EF4A21B"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Middle</w:t>
            </w:r>
          </w:p>
        </w:tc>
        <w:tc>
          <w:tcPr>
            <w:tcW w:w="802" w:type="dxa"/>
            <w:tcBorders>
              <w:top w:val="nil"/>
              <w:left w:val="single" w:sz="4" w:space="0" w:color="auto"/>
              <w:bottom w:val="nil"/>
              <w:right w:val="nil"/>
            </w:tcBorders>
            <w:shd w:val="clear" w:color="auto" w:fill="A8D08D" w:themeFill="accent6" w:themeFillTint="99"/>
            <w:noWrap/>
            <w:vAlign w:val="bottom"/>
            <w:hideMark/>
          </w:tcPr>
          <w:p w14:paraId="69FBC770"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30" w:type="dxa"/>
            <w:shd w:val="clear" w:color="auto" w:fill="A8D08D" w:themeFill="accent6" w:themeFillTint="99"/>
            <w:noWrap/>
            <w:vAlign w:val="bottom"/>
            <w:hideMark/>
          </w:tcPr>
          <w:p w14:paraId="7B1F0786"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925" w:type="dxa"/>
            <w:shd w:val="clear" w:color="auto" w:fill="A8D08D" w:themeFill="accent6" w:themeFillTint="99"/>
            <w:noWrap/>
            <w:vAlign w:val="bottom"/>
            <w:hideMark/>
          </w:tcPr>
          <w:p w14:paraId="707098D6"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51" w:type="dxa"/>
            <w:shd w:val="clear" w:color="auto" w:fill="A8D08D" w:themeFill="accent6" w:themeFillTint="99"/>
            <w:noWrap/>
            <w:vAlign w:val="bottom"/>
            <w:hideMark/>
          </w:tcPr>
          <w:p w14:paraId="2AA43F02"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749" w:type="dxa"/>
            <w:shd w:val="clear" w:color="auto" w:fill="A8D08D" w:themeFill="accent6" w:themeFillTint="99"/>
            <w:noWrap/>
            <w:vAlign w:val="bottom"/>
            <w:hideMark/>
          </w:tcPr>
          <w:p w14:paraId="7A11ED8A"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02" w:type="dxa"/>
            <w:shd w:val="clear" w:color="auto" w:fill="A8D08D" w:themeFill="accent6" w:themeFillTint="99"/>
            <w:noWrap/>
            <w:vAlign w:val="bottom"/>
            <w:hideMark/>
          </w:tcPr>
          <w:p w14:paraId="1CD2C1B8"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02" w:type="dxa"/>
            <w:tcBorders>
              <w:top w:val="nil"/>
              <w:left w:val="nil"/>
              <w:bottom w:val="nil"/>
              <w:right w:val="single" w:sz="4" w:space="0" w:color="auto"/>
            </w:tcBorders>
            <w:shd w:val="clear" w:color="auto" w:fill="A8D08D" w:themeFill="accent6" w:themeFillTint="99"/>
            <w:noWrap/>
            <w:vAlign w:val="bottom"/>
            <w:hideMark/>
          </w:tcPr>
          <w:p w14:paraId="5C5E699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r>
      <w:tr w:rsidR="009B0448" w:rsidRPr="009B0448" w14:paraId="2A62156D" w14:textId="77777777" w:rsidTr="009B0448">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6E8CD112"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3D8D3C"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73600DA3"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Northern</w:t>
            </w:r>
          </w:p>
        </w:tc>
        <w:tc>
          <w:tcPr>
            <w:tcW w:w="802" w:type="dxa"/>
            <w:tcBorders>
              <w:top w:val="nil"/>
              <w:left w:val="single" w:sz="4" w:space="0" w:color="auto"/>
              <w:bottom w:val="nil"/>
              <w:right w:val="nil"/>
            </w:tcBorders>
            <w:shd w:val="clear" w:color="auto" w:fill="A8D08D" w:themeFill="accent6" w:themeFillTint="99"/>
            <w:noWrap/>
            <w:vAlign w:val="bottom"/>
            <w:hideMark/>
          </w:tcPr>
          <w:p w14:paraId="46F8140F"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30" w:type="dxa"/>
            <w:shd w:val="clear" w:color="auto" w:fill="A8D08D" w:themeFill="accent6" w:themeFillTint="99"/>
            <w:noWrap/>
            <w:vAlign w:val="bottom"/>
            <w:hideMark/>
          </w:tcPr>
          <w:p w14:paraId="36266861"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925" w:type="dxa"/>
            <w:shd w:val="clear" w:color="auto" w:fill="A8D08D" w:themeFill="accent6" w:themeFillTint="99"/>
            <w:noWrap/>
            <w:vAlign w:val="bottom"/>
            <w:hideMark/>
          </w:tcPr>
          <w:p w14:paraId="7A7F1E69"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3</w:t>
            </w:r>
          </w:p>
        </w:tc>
        <w:tc>
          <w:tcPr>
            <w:tcW w:w="851" w:type="dxa"/>
            <w:shd w:val="clear" w:color="auto" w:fill="A8D08D" w:themeFill="accent6" w:themeFillTint="99"/>
            <w:noWrap/>
            <w:vAlign w:val="bottom"/>
            <w:hideMark/>
          </w:tcPr>
          <w:p w14:paraId="79BEA5CA"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5</w:t>
            </w:r>
          </w:p>
        </w:tc>
        <w:tc>
          <w:tcPr>
            <w:tcW w:w="749" w:type="dxa"/>
            <w:shd w:val="clear" w:color="auto" w:fill="A8D08D" w:themeFill="accent6" w:themeFillTint="99"/>
            <w:noWrap/>
            <w:vAlign w:val="bottom"/>
            <w:hideMark/>
          </w:tcPr>
          <w:p w14:paraId="21EB3C22"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802" w:type="dxa"/>
            <w:shd w:val="clear" w:color="auto" w:fill="A8D08D" w:themeFill="accent6" w:themeFillTint="99"/>
            <w:noWrap/>
            <w:vAlign w:val="bottom"/>
            <w:hideMark/>
          </w:tcPr>
          <w:p w14:paraId="586EA0AB"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4</w:t>
            </w:r>
          </w:p>
        </w:tc>
        <w:tc>
          <w:tcPr>
            <w:tcW w:w="802" w:type="dxa"/>
            <w:tcBorders>
              <w:top w:val="nil"/>
              <w:left w:val="nil"/>
              <w:bottom w:val="nil"/>
              <w:right w:val="single" w:sz="4" w:space="0" w:color="auto"/>
            </w:tcBorders>
            <w:shd w:val="clear" w:color="auto" w:fill="A8D08D" w:themeFill="accent6" w:themeFillTint="99"/>
            <w:noWrap/>
            <w:vAlign w:val="bottom"/>
            <w:hideMark/>
          </w:tcPr>
          <w:p w14:paraId="2716A26E"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16</w:t>
            </w:r>
          </w:p>
        </w:tc>
      </w:tr>
      <w:tr w:rsidR="009B0448" w:rsidRPr="009B0448" w14:paraId="001D5361" w14:textId="77777777" w:rsidTr="009B0448">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0FDCCAAC"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57D452"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58790B3B"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Southern</w:t>
            </w:r>
          </w:p>
        </w:tc>
        <w:tc>
          <w:tcPr>
            <w:tcW w:w="802" w:type="dxa"/>
            <w:tcBorders>
              <w:top w:val="nil"/>
              <w:left w:val="single" w:sz="4" w:space="0" w:color="auto"/>
              <w:bottom w:val="nil"/>
              <w:right w:val="nil"/>
            </w:tcBorders>
            <w:shd w:val="clear" w:color="auto" w:fill="A8D08D" w:themeFill="accent6" w:themeFillTint="99"/>
            <w:noWrap/>
            <w:vAlign w:val="bottom"/>
            <w:hideMark/>
          </w:tcPr>
          <w:p w14:paraId="36B0AE2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30" w:type="dxa"/>
            <w:shd w:val="clear" w:color="auto" w:fill="A8D08D" w:themeFill="accent6" w:themeFillTint="99"/>
            <w:noWrap/>
            <w:vAlign w:val="bottom"/>
            <w:hideMark/>
          </w:tcPr>
          <w:p w14:paraId="3316C2B9"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925" w:type="dxa"/>
            <w:shd w:val="clear" w:color="auto" w:fill="A8D08D" w:themeFill="accent6" w:themeFillTint="99"/>
            <w:noWrap/>
            <w:vAlign w:val="bottom"/>
            <w:hideMark/>
          </w:tcPr>
          <w:p w14:paraId="0B390CE6"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851" w:type="dxa"/>
            <w:shd w:val="clear" w:color="auto" w:fill="A8D08D" w:themeFill="accent6" w:themeFillTint="99"/>
            <w:noWrap/>
            <w:vAlign w:val="bottom"/>
            <w:hideMark/>
          </w:tcPr>
          <w:p w14:paraId="26B0974B"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49" w:type="dxa"/>
            <w:shd w:val="clear" w:color="auto" w:fill="A8D08D" w:themeFill="accent6" w:themeFillTint="99"/>
            <w:noWrap/>
            <w:vAlign w:val="bottom"/>
            <w:hideMark/>
          </w:tcPr>
          <w:p w14:paraId="5FA8D383"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02" w:type="dxa"/>
            <w:shd w:val="clear" w:color="auto" w:fill="A8D08D" w:themeFill="accent6" w:themeFillTint="99"/>
            <w:noWrap/>
            <w:vAlign w:val="bottom"/>
            <w:hideMark/>
          </w:tcPr>
          <w:p w14:paraId="6AC73C6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02" w:type="dxa"/>
            <w:tcBorders>
              <w:top w:val="nil"/>
              <w:left w:val="nil"/>
              <w:bottom w:val="nil"/>
              <w:right w:val="single" w:sz="4" w:space="0" w:color="auto"/>
            </w:tcBorders>
            <w:shd w:val="clear" w:color="auto" w:fill="A8D08D" w:themeFill="accent6" w:themeFillTint="99"/>
            <w:noWrap/>
            <w:vAlign w:val="bottom"/>
            <w:hideMark/>
          </w:tcPr>
          <w:p w14:paraId="78661AC1"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3</w:t>
            </w:r>
          </w:p>
        </w:tc>
      </w:tr>
      <w:tr w:rsidR="009B0448" w:rsidRPr="009B0448" w14:paraId="62674593" w14:textId="77777777" w:rsidTr="009B0448">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00146E0F"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CEE34F"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5DF315D7"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Western</w:t>
            </w:r>
          </w:p>
        </w:tc>
        <w:tc>
          <w:tcPr>
            <w:tcW w:w="802" w:type="dxa"/>
            <w:tcBorders>
              <w:top w:val="nil"/>
              <w:left w:val="single" w:sz="4" w:space="0" w:color="auto"/>
              <w:bottom w:val="nil"/>
              <w:right w:val="nil"/>
            </w:tcBorders>
            <w:shd w:val="clear" w:color="auto" w:fill="A8D08D" w:themeFill="accent6" w:themeFillTint="99"/>
            <w:noWrap/>
            <w:vAlign w:val="bottom"/>
            <w:hideMark/>
          </w:tcPr>
          <w:p w14:paraId="5199CFDE"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30" w:type="dxa"/>
            <w:shd w:val="clear" w:color="auto" w:fill="A8D08D" w:themeFill="accent6" w:themeFillTint="99"/>
            <w:noWrap/>
            <w:vAlign w:val="bottom"/>
            <w:hideMark/>
          </w:tcPr>
          <w:p w14:paraId="14C84DAB"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925" w:type="dxa"/>
            <w:shd w:val="clear" w:color="auto" w:fill="A8D08D" w:themeFill="accent6" w:themeFillTint="99"/>
            <w:noWrap/>
            <w:vAlign w:val="bottom"/>
            <w:hideMark/>
          </w:tcPr>
          <w:p w14:paraId="635860A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0</w:t>
            </w:r>
          </w:p>
        </w:tc>
        <w:tc>
          <w:tcPr>
            <w:tcW w:w="851" w:type="dxa"/>
            <w:shd w:val="clear" w:color="auto" w:fill="A8D08D" w:themeFill="accent6" w:themeFillTint="99"/>
            <w:noWrap/>
            <w:vAlign w:val="bottom"/>
            <w:hideMark/>
          </w:tcPr>
          <w:p w14:paraId="5081B898"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49" w:type="dxa"/>
            <w:shd w:val="clear" w:color="auto" w:fill="A8D08D" w:themeFill="accent6" w:themeFillTint="99"/>
            <w:noWrap/>
            <w:vAlign w:val="bottom"/>
            <w:hideMark/>
          </w:tcPr>
          <w:p w14:paraId="1B9380B4"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02" w:type="dxa"/>
            <w:shd w:val="clear" w:color="auto" w:fill="A8D08D" w:themeFill="accent6" w:themeFillTint="99"/>
            <w:noWrap/>
            <w:vAlign w:val="bottom"/>
            <w:hideMark/>
          </w:tcPr>
          <w:p w14:paraId="04BD38EF"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02" w:type="dxa"/>
            <w:tcBorders>
              <w:top w:val="nil"/>
              <w:left w:val="nil"/>
              <w:bottom w:val="nil"/>
              <w:right w:val="single" w:sz="4" w:space="0" w:color="auto"/>
            </w:tcBorders>
            <w:shd w:val="clear" w:color="auto" w:fill="A8D08D" w:themeFill="accent6" w:themeFillTint="99"/>
            <w:noWrap/>
            <w:vAlign w:val="bottom"/>
            <w:hideMark/>
          </w:tcPr>
          <w:p w14:paraId="6A3DDD7F"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r>
      <w:tr w:rsidR="009B0448" w:rsidRPr="009B0448" w14:paraId="7B5FBE18" w14:textId="77777777" w:rsidTr="009B0448">
        <w:trPr>
          <w:trHeight w:val="249"/>
          <w:jc w:val="center"/>
        </w:trPr>
        <w:tc>
          <w:tcPr>
            <w:tcW w:w="0" w:type="auto"/>
            <w:vMerge/>
            <w:tcBorders>
              <w:top w:val="nil"/>
              <w:left w:val="single" w:sz="4" w:space="0" w:color="auto"/>
              <w:bottom w:val="single" w:sz="4" w:space="0" w:color="auto"/>
              <w:right w:val="single" w:sz="4" w:space="0" w:color="auto"/>
            </w:tcBorders>
            <w:vAlign w:val="center"/>
            <w:hideMark/>
          </w:tcPr>
          <w:p w14:paraId="2EE4FC95"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BAB45A"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single" w:sz="4" w:space="0" w:color="auto"/>
              <w:right w:val="single" w:sz="4" w:space="0" w:color="auto"/>
            </w:tcBorders>
            <w:noWrap/>
            <w:vAlign w:val="bottom"/>
            <w:hideMark/>
          </w:tcPr>
          <w:p w14:paraId="12A59A78" w14:textId="77777777" w:rsidR="009B0448" w:rsidRPr="009B0448" w:rsidRDefault="009B0448">
            <w:pPr>
              <w:spacing w:line="276" w:lineRule="auto"/>
              <w:rPr>
                <w:rFonts w:ascii="Times New Roman" w:eastAsia="Times New Roman" w:hAnsi="Times New Roman" w:cs="Times New Roman"/>
                <w:b/>
                <w:bCs/>
              </w:rPr>
            </w:pPr>
            <w:r w:rsidRPr="009B0448">
              <w:rPr>
                <w:rFonts w:ascii="Times New Roman" w:eastAsia="Times New Roman" w:hAnsi="Times New Roman" w:cs="Times New Roman"/>
                <w:b/>
                <w:bCs/>
              </w:rPr>
              <w:t>Total</w:t>
            </w:r>
          </w:p>
        </w:tc>
        <w:tc>
          <w:tcPr>
            <w:tcW w:w="802" w:type="dxa"/>
            <w:tcBorders>
              <w:top w:val="nil"/>
              <w:left w:val="single" w:sz="4" w:space="0" w:color="auto"/>
              <w:bottom w:val="single" w:sz="4" w:space="0" w:color="auto"/>
              <w:right w:val="nil"/>
            </w:tcBorders>
            <w:shd w:val="clear" w:color="auto" w:fill="A8D08D" w:themeFill="accent6" w:themeFillTint="99"/>
            <w:noWrap/>
            <w:vAlign w:val="bottom"/>
            <w:hideMark/>
          </w:tcPr>
          <w:p w14:paraId="7623A2CA"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ndr</w:t>
            </w:r>
          </w:p>
        </w:tc>
        <w:tc>
          <w:tcPr>
            <w:tcW w:w="730" w:type="dxa"/>
            <w:tcBorders>
              <w:top w:val="nil"/>
              <w:left w:val="nil"/>
              <w:bottom w:val="single" w:sz="4" w:space="0" w:color="auto"/>
              <w:right w:val="nil"/>
            </w:tcBorders>
            <w:shd w:val="clear" w:color="auto" w:fill="A8D08D" w:themeFill="accent6" w:themeFillTint="99"/>
            <w:noWrap/>
            <w:vAlign w:val="bottom"/>
            <w:hideMark/>
          </w:tcPr>
          <w:p w14:paraId="50291E3C"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4</w:t>
            </w:r>
          </w:p>
        </w:tc>
        <w:tc>
          <w:tcPr>
            <w:tcW w:w="925" w:type="dxa"/>
            <w:tcBorders>
              <w:top w:val="nil"/>
              <w:left w:val="nil"/>
              <w:bottom w:val="single" w:sz="4" w:space="0" w:color="auto"/>
              <w:right w:val="nil"/>
            </w:tcBorders>
            <w:shd w:val="clear" w:color="auto" w:fill="A8D08D" w:themeFill="accent6" w:themeFillTint="99"/>
            <w:noWrap/>
            <w:vAlign w:val="bottom"/>
            <w:hideMark/>
          </w:tcPr>
          <w:p w14:paraId="5479D191"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6</w:t>
            </w:r>
          </w:p>
        </w:tc>
        <w:tc>
          <w:tcPr>
            <w:tcW w:w="851" w:type="dxa"/>
            <w:tcBorders>
              <w:top w:val="nil"/>
              <w:left w:val="nil"/>
              <w:bottom w:val="single" w:sz="4" w:space="0" w:color="auto"/>
              <w:right w:val="nil"/>
            </w:tcBorders>
            <w:shd w:val="clear" w:color="auto" w:fill="A8D08D" w:themeFill="accent6" w:themeFillTint="99"/>
            <w:noWrap/>
            <w:vAlign w:val="bottom"/>
            <w:hideMark/>
          </w:tcPr>
          <w:p w14:paraId="6069857C"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9</w:t>
            </w:r>
          </w:p>
        </w:tc>
        <w:tc>
          <w:tcPr>
            <w:tcW w:w="749" w:type="dxa"/>
            <w:tcBorders>
              <w:top w:val="nil"/>
              <w:left w:val="nil"/>
              <w:bottom w:val="single" w:sz="4" w:space="0" w:color="auto"/>
              <w:right w:val="nil"/>
            </w:tcBorders>
            <w:shd w:val="clear" w:color="auto" w:fill="A8D08D" w:themeFill="accent6" w:themeFillTint="99"/>
            <w:noWrap/>
            <w:vAlign w:val="bottom"/>
            <w:hideMark/>
          </w:tcPr>
          <w:p w14:paraId="4B32CFC5"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3</w:t>
            </w:r>
          </w:p>
        </w:tc>
        <w:tc>
          <w:tcPr>
            <w:tcW w:w="802" w:type="dxa"/>
            <w:tcBorders>
              <w:top w:val="nil"/>
              <w:left w:val="nil"/>
              <w:bottom w:val="single" w:sz="4" w:space="0" w:color="auto"/>
              <w:right w:val="nil"/>
            </w:tcBorders>
            <w:shd w:val="clear" w:color="auto" w:fill="A8D08D" w:themeFill="accent6" w:themeFillTint="99"/>
            <w:noWrap/>
            <w:vAlign w:val="bottom"/>
            <w:hideMark/>
          </w:tcPr>
          <w:p w14:paraId="77599DB7"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8</w:t>
            </w:r>
          </w:p>
        </w:tc>
        <w:tc>
          <w:tcPr>
            <w:tcW w:w="802" w:type="dxa"/>
            <w:tcBorders>
              <w:top w:val="nil"/>
              <w:left w:val="nil"/>
              <w:bottom w:val="single" w:sz="4" w:space="0" w:color="auto"/>
              <w:right w:val="single" w:sz="4" w:space="0" w:color="auto"/>
            </w:tcBorders>
            <w:shd w:val="clear" w:color="auto" w:fill="A8D08D" w:themeFill="accent6" w:themeFillTint="99"/>
            <w:noWrap/>
            <w:vAlign w:val="bottom"/>
            <w:hideMark/>
          </w:tcPr>
          <w:p w14:paraId="44047DED"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30</w:t>
            </w:r>
          </w:p>
        </w:tc>
      </w:tr>
      <w:tr w:rsidR="009B0448" w:rsidRPr="009B0448" w14:paraId="186668AE" w14:textId="77777777" w:rsidTr="009B0448">
        <w:trPr>
          <w:trHeight w:val="249"/>
          <w:jc w:val="center"/>
        </w:trPr>
        <w:tc>
          <w:tcPr>
            <w:tcW w:w="1119" w:type="dxa"/>
            <w:tcBorders>
              <w:top w:val="single" w:sz="4" w:space="0" w:color="auto"/>
              <w:left w:val="single" w:sz="4" w:space="0" w:color="auto"/>
              <w:bottom w:val="single" w:sz="4" w:space="0" w:color="auto"/>
              <w:right w:val="nil"/>
            </w:tcBorders>
            <w:noWrap/>
            <w:vAlign w:val="bottom"/>
            <w:hideMark/>
          </w:tcPr>
          <w:p w14:paraId="230C861F" w14:textId="77777777" w:rsidR="009B0448" w:rsidRPr="009B0448" w:rsidRDefault="009B0448">
            <w:pPr>
              <w:rPr>
                <w:rFonts w:ascii="Times New Roman" w:eastAsia="Times New Roman" w:hAnsi="Times New Roman" w:cs="Times New Roman"/>
                <w:b/>
                <w:bCs/>
              </w:rPr>
            </w:pPr>
          </w:p>
        </w:tc>
        <w:tc>
          <w:tcPr>
            <w:tcW w:w="1570" w:type="dxa"/>
            <w:tcBorders>
              <w:top w:val="single" w:sz="4" w:space="0" w:color="auto"/>
              <w:left w:val="nil"/>
              <w:bottom w:val="single" w:sz="4" w:space="0" w:color="auto"/>
              <w:right w:val="nil"/>
            </w:tcBorders>
            <w:noWrap/>
            <w:vAlign w:val="bottom"/>
            <w:hideMark/>
          </w:tcPr>
          <w:p w14:paraId="32822037" w14:textId="77777777" w:rsidR="009B0448" w:rsidRPr="009B0448" w:rsidRDefault="009B0448">
            <w:pPr>
              <w:rPr>
                <w:rFonts w:ascii="Times New Roman" w:hAnsi="Times New Roman" w:cs="Times New Roman"/>
                <w:color w:val="auto"/>
                <w:sz w:val="20"/>
                <w:szCs w:val="20"/>
                <w:lang w:eastAsia="en-GB"/>
              </w:rPr>
            </w:pPr>
          </w:p>
        </w:tc>
        <w:tc>
          <w:tcPr>
            <w:tcW w:w="1275" w:type="dxa"/>
            <w:tcBorders>
              <w:top w:val="single" w:sz="4" w:space="0" w:color="auto"/>
              <w:left w:val="nil"/>
              <w:bottom w:val="single" w:sz="4" w:space="0" w:color="auto"/>
              <w:right w:val="nil"/>
            </w:tcBorders>
            <w:noWrap/>
            <w:vAlign w:val="bottom"/>
            <w:hideMark/>
          </w:tcPr>
          <w:p w14:paraId="451AA65C"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nil"/>
            </w:tcBorders>
            <w:noWrap/>
            <w:vAlign w:val="bottom"/>
            <w:hideMark/>
          </w:tcPr>
          <w:p w14:paraId="2A6D0318" w14:textId="77777777" w:rsidR="009B0448" w:rsidRPr="009B0448" w:rsidRDefault="009B0448">
            <w:pPr>
              <w:rPr>
                <w:rFonts w:ascii="Times New Roman" w:hAnsi="Times New Roman" w:cs="Times New Roman"/>
                <w:color w:val="auto"/>
                <w:sz w:val="20"/>
                <w:szCs w:val="20"/>
                <w:lang w:eastAsia="en-GB"/>
              </w:rPr>
            </w:pPr>
          </w:p>
        </w:tc>
        <w:tc>
          <w:tcPr>
            <w:tcW w:w="730" w:type="dxa"/>
            <w:tcBorders>
              <w:top w:val="single" w:sz="4" w:space="0" w:color="auto"/>
              <w:left w:val="nil"/>
              <w:bottom w:val="single" w:sz="4" w:space="0" w:color="auto"/>
              <w:right w:val="nil"/>
            </w:tcBorders>
            <w:noWrap/>
            <w:vAlign w:val="bottom"/>
            <w:hideMark/>
          </w:tcPr>
          <w:p w14:paraId="331C8A3C" w14:textId="77777777" w:rsidR="009B0448" w:rsidRPr="009B0448" w:rsidRDefault="009B0448">
            <w:pPr>
              <w:rPr>
                <w:rFonts w:ascii="Times New Roman" w:hAnsi="Times New Roman" w:cs="Times New Roman"/>
                <w:color w:val="auto"/>
                <w:sz w:val="20"/>
                <w:szCs w:val="20"/>
                <w:lang w:eastAsia="en-GB"/>
              </w:rPr>
            </w:pPr>
          </w:p>
        </w:tc>
        <w:tc>
          <w:tcPr>
            <w:tcW w:w="925" w:type="dxa"/>
            <w:tcBorders>
              <w:top w:val="single" w:sz="4" w:space="0" w:color="auto"/>
              <w:left w:val="nil"/>
              <w:bottom w:val="single" w:sz="4" w:space="0" w:color="auto"/>
              <w:right w:val="nil"/>
            </w:tcBorders>
            <w:noWrap/>
            <w:vAlign w:val="bottom"/>
            <w:hideMark/>
          </w:tcPr>
          <w:p w14:paraId="68EFE374" w14:textId="77777777" w:rsidR="009B0448" w:rsidRPr="009B0448" w:rsidRDefault="009B0448">
            <w:pPr>
              <w:rPr>
                <w:rFonts w:ascii="Times New Roman" w:hAnsi="Times New Roman" w:cs="Times New Roman"/>
                <w:color w:val="auto"/>
                <w:sz w:val="20"/>
                <w:szCs w:val="20"/>
                <w:lang w:eastAsia="en-GB"/>
              </w:rPr>
            </w:pPr>
          </w:p>
        </w:tc>
        <w:tc>
          <w:tcPr>
            <w:tcW w:w="851" w:type="dxa"/>
            <w:tcBorders>
              <w:top w:val="single" w:sz="4" w:space="0" w:color="auto"/>
              <w:left w:val="nil"/>
              <w:bottom w:val="single" w:sz="4" w:space="0" w:color="auto"/>
              <w:right w:val="nil"/>
            </w:tcBorders>
            <w:noWrap/>
            <w:vAlign w:val="bottom"/>
            <w:hideMark/>
          </w:tcPr>
          <w:p w14:paraId="55F5DA2B" w14:textId="77777777" w:rsidR="009B0448" w:rsidRPr="009B0448" w:rsidRDefault="009B0448">
            <w:pPr>
              <w:rPr>
                <w:rFonts w:ascii="Times New Roman" w:hAnsi="Times New Roman" w:cs="Times New Roman"/>
                <w:color w:val="auto"/>
                <w:sz w:val="20"/>
                <w:szCs w:val="20"/>
                <w:lang w:eastAsia="en-GB"/>
              </w:rPr>
            </w:pPr>
          </w:p>
        </w:tc>
        <w:tc>
          <w:tcPr>
            <w:tcW w:w="749" w:type="dxa"/>
            <w:tcBorders>
              <w:top w:val="single" w:sz="4" w:space="0" w:color="auto"/>
              <w:left w:val="nil"/>
              <w:bottom w:val="single" w:sz="4" w:space="0" w:color="auto"/>
              <w:right w:val="nil"/>
            </w:tcBorders>
            <w:noWrap/>
            <w:vAlign w:val="bottom"/>
            <w:hideMark/>
          </w:tcPr>
          <w:p w14:paraId="53BF7538"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nil"/>
            </w:tcBorders>
            <w:noWrap/>
            <w:vAlign w:val="bottom"/>
            <w:hideMark/>
          </w:tcPr>
          <w:p w14:paraId="7300B7C3"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single" w:sz="4" w:space="0" w:color="auto"/>
            </w:tcBorders>
            <w:noWrap/>
            <w:vAlign w:val="bottom"/>
            <w:hideMark/>
          </w:tcPr>
          <w:p w14:paraId="7D96AC8C" w14:textId="77777777" w:rsidR="009B0448" w:rsidRPr="009B0448" w:rsidRDefault="009B0448">
            <w:pPr>
              <w:rPr>
                <w:rFonts w:ascii="Times New Roman" w:hAnsi="Times New Roman" w:cs="Times New Roman"/>
                <w:color w:val="auto"/>
                <w:sz w:val="20"/>
                <w:szCs w:val="20"/>
                <w:lang w:eastAsia="en-GB"/>
              </w:rPr>
            </w:pPr>
          </w:p>
        </w:tc>
      </w:tr>
      <w:tr w:rsidR="009B0448" w:rsidRPr="009B0448" w14:paraId="63D594C0" w14:textId="77777777" w:rsidTr="009B0448">
        <w:trPr>
          <w:trHeight w:val="249"/>
          <w:jc w:val="center"/>
        </w:trPr>
        <w:tc>
          <w:tcPr>
            <w:tcW w:w="1119" w:type="dxa"/>
            <w:vMerge w:val="restart"/>
            <w:tcBorders>
              <w:top w:val="single" w:sz="4" w:space="0" w:color="auto"/>
              <w:left w:val="single" w:sz="4" w:space="0" w:color="auto"/>
              <w:bottom w:val="single" w:sz="4" w:space="0" w:color="auto"/>
              <w:right w:val="single" w:sz="4" w:space="0" w:color="auto"/>
            </w:tcBorders>
            <w:noWrap/>
            <w:textDirection w:val="btLr"/>
            <w:vAlign w:val="center"/>
            <w:hideMark/>
          </w:tcPr>
          <w:p w14:paraId="2BCA8B64"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Climatological</w:t>
            </w:r>
          </w:p>
        </w:tc>
        <w:tc>
          <w:tcPr>
            <w:tcW w:w="1570" w:type="dxa"/>
            <w:vMerge w:val="restart"/>
            <w:tcBorders>
              <w:top w:val="single" w:sz="4" w:space="0" w:color="auto"/>
              <w:left w:val="single" w:sz="4" w:space="0" w:color="auto"/>
              <w:bottom w:val="single" w:sz="4" w:space="0" w:color="auto"/>
              <w:right w:val="single" w:sz="4" w:space="0" w:color="auto"/>
            </w:tcBorders>
            <w:noWrap/>
            <w:hideMark/>
          </w:tcPr>
          <w:p w14:paraId="14524D4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Drought</w:t>
            </w:r>
          </w:p>
        </w:tc>
        <w:tc>
          <w:tcPr>
            <w:tcW w:w="1275" w:type="dxa"/>
            <w:tcBorders>
              <w:top w:val="single" w:sz="4" w:space="0" w:color="auto"/>
              <w:left w:val="single" w:sz="4" w:space="0" w:color="auto"/>
              <w:bottom w:val="nil"/>
              <w:right w:val="single" w:sz="4" w:space="0" w:color="auto"/>
            </w:tcBorders>
            <w:noWrap/>
            <w:vAlign w:val="bottom"/>
            <w:hideMark/>
          </w:tcPr>
          <w:p w14:paraId="346C51E0"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Eastern</w:t>
            </w:r>
          </w:p>
        </w:tc>
        <w:tc>
          <w:tcPr>
            <w:tcW w:w="802" w:type="dxa"/>
            <w:tcBorders>
              <w:top w:val="single" w:sz="4" w:space="0" w:color="auto"/>
              <w:left w:val="single" w:sz="4" w:space="0" w:color="auto"/>
              <w:bottom w:val="nil"/>
              <w:right w:val="nil"/>
            </w:tcBorders>
            <w:shd w:val="clear" w:color="auto" w:fill="FFC000"/>
            <w:noWrap/>
            <w:vAlign w:val="bottom"/>
            <w:hideMark/>
          </w:tcPr>
          <w:p w14:paraId="3A8DBC1E"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8</w:t>
            </w:r>
          </w:p>
        </w:tc>
        <w:tc>
          <w:tcPr>
            <w:tcW w:w="730" w:type="dxa"/>
            <w:tcBorders>
              <w:top w:val="single" w:sz="4" w:space="0" w:color="auto"/>
              <w:left w:val="nil"/>
              <w:bottom w:val="nil"/>
              <w:right w:val="nil"/>
            </w:tcBorders>
            <w:shd w:val="clear" w:color="auto" w:fill="FFC000"/>
            <w:noWrap/>
            <w:vAlign w:val="bottom"/>
            <w:hideMark/>
          </w:tcPr>
          <w:p w14:paraId="6A769826"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18</w:t>
            </w:r>
          </w:p>
        </w:tc>
        <w:tc>
          <w:tcPr>
            <w:tcW w:w="925" w:type="dxa"/>
            <w:tcBorders>
              <w:top w:val="single" w:sz="4" w:space="0" w:color="auto"/>
              <w:left w:val="nil"/>
              <w:bottom w:val="nil"/>
              <w:right w:val="nil"/>
            </w:tcBorders>
            <w:shd w:val="clear" w:color="auto" w:fill="FFC000"/>
            <w:noWrap/>
            <w:vAlign w:val="bottom"/>
            <w:hideMark/>
          </w:tcPr>
          <w:p w14:paraId="62B7CE0F"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19</w:t>
            </w:r>
          </w:p>
        </w:tc>
        <w:tc>
          <w:tcPr>
            <w:tcW w:w="851" w:type="dxa"/>
            <w:tcBorders>
              <w:top w:val="single" w:sz="4" w:space="0" w:color="auto"/>
              <w:left w:val="nil"/>
              <w:bottom w:val="nil"/>
              <w:right w:val="nil"/>
            </w:tcBorders>
            <w:shd w:val="clear" w:color="auto" w:fill="FFC000"/>
            <w:noWrap/>
            <w:vAlign w:val="bottom"/>
            <w:hideMark/>
          </w:tcPr>
          <w:p w14:paraId="4068F0A3"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18</w:t>
            </w:r>
          </w:p>
        </w:tc>
        <w:tc>
          <w:tcPr>
            <w:tcW w:w="749" w:type="dxa"/>
            <w:tcBorders>
              <w:top w:val="single" w:sz="4" w:space="0" w:color="auto"/>
              <w:left w:val="nil"/>
              <w:bottom w:val="nil"/>
              <w:right w:val="nil"/>
            </w:tcBorders>
            <w:shd w:val="clear" w:color="auto" w:fill="FFC000"/>
            <w:noWrap/>
            <w:vAlign w:val="bottom"/>
            <w:hideMark/>
          </w:tcPr>
          <w:p w14:paraId="14E4793B"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16</w:t>
            </w:r>
          </w:p>
        </w:tc>
        <w:tc>
          <w:tcPr>
            <w:tcW w:w="802" w:type="dxa"/>
            <w:tcBorders>
              <w:top w:val="single" w:sz="4" w:space="0" w:color="auto"/>
              <w:left w:val="nil"/>
              <w:bottom w:val="nil"/>
              <w:right w:val="nil"/>
            </w:tcBorders>
            <w:shd w:val="clear" w:color="auto" w:fill="FFC000"/>
            <w:noWrap/>
            <w:vAlign w:val="bottom"/>
            <w:hideMark/>
          </w:tcPr>
          <w:p w14:paraId="1C0B8203"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49</w:t>
            </w:r>
          </w:p>
        </w:tc>
        <w:tc>
          <w:tcPr>
            <w:tcW w:w="802" w:type="dxa"/>
            <w:tcBorders>
              <w:top w:val="single" w:sz="4" w:space="0" w:color="auto"/>
              <w:left w:val="nil"/>
              <w:bottom w:val="nil"/>
              <w:right w:val="single" w:sz="4" w:space="0" w:color="auto"/>
            </w:tcBorders>
            <w:shd w:val="clear" w:color="auto" w:fill="FFC000"/>
            <w:noWrap/>
            <w:vAlign w:val="bottom"/>
            <w:hideMark/>
          </w:tcPr>
          <w:p w14:paraId="00875BB3" w14:textId="77777777" w:rsidR="009B0448" w:rsidRPr="009B0448" w:rsidRDefault="009B0448">
            <w:pPr>
              <w:spacing w:line="276" w:lineRule="auto"/>
              <w:jc w:val="right"/>
              <w:rPr>
                <w:rFonts w:ascii="Times New Roman" w:eastAsia="Times New Roman" w:hAnsi="Times New Roman" w:cs="Times New Roman"/>
                <w:bCs/>
              </w:rPr>
            </w:pPr>
            <w:r w:rsidRPr="009B0448">
              <w:rPr>
                <w:rFonts w:ascii="Times New Roman" w:eastAsia="Times New Roman" w:hAnsi="Times New Roman" w:cs="Times New Roman"/>
                <w:bCs/>
              </w:rPr>
              <w:t>128</w:t>
            </w:r>
          </w:p>
        </w:tc>
      </w:tr>
      <w:tr w:rsidR="009B0448" w:rsidRPr="009B0448" w14:paraId="15817990"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B888D5"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6614B8"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4C35994E"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Middle</w:t>
            </w:r>
          </w:p>
        </w:tc>
        <w:tc>
          <w:tcPr>
            <w:tcW w:w="802" w:type="dxa"/>
            <w:tcBorders>
              <w:top w:val="nil"/>
              <w:left w:val="single" w:sz="4" w:space="0" w:color="auto"/>
              <w:bottom w:val="nil"/>
              <w:right w:val="nil"/>
            </w:tcBorders>
            <w:shd w:val="clear" w:color="auto" w:fill="FFC000"/>
            <w:noWrap/>
            <w:vAlign w:val="bottom"/>
            <w:hideMark/>
          </w:tcPr>
          <w:p w14:paraId="3F472399"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6</w:t>
            </w:r>
          </w:p>
        </w:tc>
        <w:tc>
          <w:tcPr>
            <w:tcW w:w="730" w:type="dxa"/>
            <w:shd w:val="clear" w:color="auto" w:fill="FFC000"/>
            <w:noWrap/>
            <w:vAlign w:val="bottom"/>
            <w:hideMark/>
          </w:tcPr>
          <w:p w14:paraId="272D6B64"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8</w:t>
            </w:r>
          </w:p>
        </w:tc>
        <w:tc>
          <w:tcPr>
            <w:tcW w:w="925" w:type="dxa"/>
            <w:shd w:val="clear" w:color="auto" w:fill="FFC000"/>
            <w:noWrap/>
            <w:vAlign w:val="bottom"/>
            <w:hideMark/>
          </w:tcPr>
          <w:p w14:paraId="147DA7C2"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7</w:t>
            </w:r>
          </w:p>
        </w:tc>
        <w:tc>
          <w:tcPr>
            <w:tcW w:w="851" w:type="dxa"/>
            <w:shd w:val="clear" w:color="auto" w:fill="FFC000"/>
            <w:noWrap/>
            <w:vAlign w:val="bottom"/>
            <w:hideMark/>
          </w:tcPr>
          <w:p w14:paraId="33997B71"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4</w:t>
            </w:r>
          </w:p>
        </w:tc>
        <w:tc>
          <w:tcPr>
            <w:tcW w:w="749" w:type="dxa"/>
            <w:shd w:val="clear" w:color="auto" w:fill="FFC000"/>
            <w:noWrap/>
            <w:vAlign w:val="bottom"/>
            <w:hideMark/>
          </w:tcPr>
          <w:p w14:paraId="22218036"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2</w:t>
            </w:r>
          </w:p>
        </w:tc>
        <w:tc>
          <w:tcPr>
            <w:tcW w:w="802" w:type="dxa"/>
            <w:shd w:val="clear" w:color="auto" w:fill="FFC000"/>
            <w:noWrap/>
            <w:vAlign w:val="bottom"/>
            <w:hideMark/>
          </w:tcPr>
          <w:p w14:paraId="7A404924"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4</w:t>
            </w:r>
          </w:p>
        </w:tc>
        <w:tc>
          <w:tcPr>
            <w:tcW w:w="802" w:type="dxa"/>
            <w:tcBorders>
              <w:top w:val="nil"/>
              <w:left w:val="nil"/>
              <w:bottom w:val="nil"/>
              <w:right w:val="single" w:sz="4" w:space="0" w:color="auto"/>
            </w:tcBorders>
            <w:shd w:val="clear" w:color="auto" w:fill="FFC000"/>
            <w:noWrap/>
            <w:vAlign w:val="bottom"/>
            <w:hideMark/>
          </w:tcPr>
          <w:p w14:paraId="0F42ECC2" w14:textId="77777777" w:rsidR="009B0448" w:rsidRPr="009B0448" w:rsidRDefault="009B0448">
            <w:pPr>
              <w:spacing w:line="276" w:lineRule="auto"/>
              <w:jc w:val="right"/>
              <w:rPr>
                <w:rFonts w:ascii="Times New Roman" w:eastAsia="Times New Roman" w:hAnsi="Times New Roman" w:cs="Times New Roman"/>
                <w:bCs/>
              </w:rPr>
            </w:pPr>
            <w:r w:rsidRPr="009B0448">
              <w:rPr>
                <w:rFonts w:ascii="Times New Roman" w:eastAsia="Times New Roman" w:hAnsi="Times New Roman" w:cs="Times New Roman"/>
                <w:bCs/>
              </w:rPr>
              <w:t>31</w:t>
            </w:r>
          </w:p>
        </w:tc>
      </w:tr>
      <w:tr w:rsidR="009B0448" w:rsidRPr="009B0448" w14:paraId="29DE4144"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214DCD"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B265B2"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09F44EA9"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Northern</w:t>
            </w:r>
          </w:p>
        </w:tc>
        <w:tc>
          <w:tcPr>
            <w:tcW w:w="802" w:type="dxa"/>
            <w:tcBorders>
              <w:top w:val="nil"/>
              <w:left w:val="single" w:sz="4" w:space="0" w:color="auto"/>
              <w:bottom w:val="nil"/>
              <w:right w:val="nil"/>
            </w:tcBorders>
            <w:shd w:val="clear" w:color="auto" w:fill="FFC000"/>
            <w:noWrap/>
            <w:vAlign w:val="bottom"/>
            <w:hideMark/>
          </w:tcPr>
          <w:p w14:paraId="7C7A5992"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w:t>
            </w:r>
          </w:p>
        </w:tc>
        <w:tc>
          <w:tcPr>
            <w:tcW w:w="730" w:type="dxa"/>
            <w:shd w:val="clear" w:color="auto" w:fill="FFC000"/>
            <w:noWrap/>
            <w:vAlign w:val="bottom"/>
            <w:hideMark/>
          </w:tcPr>
          <w:p w14:paraId="7CCB2E5F"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7</w:t>
            </w:r>
          </w:p>
        </w:tc>
        <w:tc>
          <w:tcPr>
            <w:tcW w:w="925" w:type="dxa"/>
            <w:shd w:val="clear" w:color="auto" w:fill="FFC000"/>
            <w:noWrap/>
            <w:vAlign w:val="bottom"/>
            <w:hideMark/>
          </w:tcPr>
          <w:p w14:paraId="19BEE7ED"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4</w:t>
            </w:r>
          </w:p>
        </w:tc>
        <w:tc>
          <w:tcPr>
            <w:tcW w:w="851" w:type="dxa"/>
            <w:shd w:val="clear" w:color="auto" w:fill="FFC000"/>
            <w:noWrap/>
            <w:vAlign w:val="bottom"/>
            <w:hideMark/>
          </w:tcPr>
          <w:p w14:paraId="4BD43ADA"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3</w:t>
            </w:r>
          </w:p>
        </w:tc>
        <w:tc>
          <w:tcPr>
            <w:tcW w:w="749" w:type="dxa"/>
            <w:shd w:val="clear" w:color="auto" w:fill="FFC000"/>
            <w:noWrap/>
            <w:vAlign w:val="bottom"/>
            <w:hideMark/>
          </w:tcPr>
          <w:p w14:paraId="27E2892D"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5</w:t>
            </w:r>
          </w:p>
        </w:tc>
        <w:tc>
          <w:tcPr>
            <w:tcW w:w="802" w:type="dxa"/>
            <w:shd w:val="clear" w:color="auto" w:fill="FFC000"/>
            <w:noWrap/>
            <w:vAlign w:val="bottom"/>
            <w:hideMark/>
          </w:tcPr>
          <w:p w14:paraId="38B53DDE"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8</w:t>
            </w:r>
          </w:p>
        </w:tc>
        <w:tc>
          <w:tcPr>
            <w:tcW w:w="802" w:type="dxa"/>
            <w:tcBorders>
              <w:top w:val="nil"/>
              <w:left w:val="nil"/>
              <w:bottom w:val="nil"/>
              <w:right w:val="single" w:sz="4" w:space="0" w:color="auto"/>
            </w:tcBorders>
            <w:shd w:val="clear" w:color="auto" w:fill="FFC000"/>
            <w:noWrap/>
            <w:vAlign w:val="bottom"/>
            <w:hideMark/>
          </w:tcPr>
          <w:p w14:paraId="1C13422C" w14:textId="77777777" w:rsidR="009B0448" w:rsidRPr="009B0448" w:rsidRDefault="009B0448">
            <w:pPr>
              <w:spacing w:line="276" w:lineRule="auto"/>
              <w:jc w:val="right"/>
              <w:rPr>
                <w:rFonts w:ascii="Times New Roman" w:eastAsia="Times New Roman" w:hAnsi="Times New Roman" w:cs="Times New Roman"/>
                <w:bCs/>
              </w:rPr>
            </w:pPr>
            <w:r w:rsidRPr="009B0448">
              <w:rPr>
                <w:rFonts w:ascii="Times New Roman" w:eastAsia="Times New Roman" w:hAnsi="Times New Roman" w:cs="Times New Roman"/>
                <w:bCs/>
              </w:rPr>
              <w:t>28</w:t>
            </w:r>
          </w:p>
        </w:tc>
      </w:tr>
      <w:tr w:rsidR="009B0448" w:rsidRPr="009B0448" w14:paraId="26FF75A4"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7A98C8"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440AA5"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5D593B8C"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Southern</w:t>
            </w:r>
          </w:p>
        </w:tc>
        <w:tc>
          <w:tcPr>
            <w:tcW w:w="802" w:type="dxa"/>
            <w:tcBorders>
              <w:top w:val="nil"/>
              <w:left w:val="single" w:sz="4" w:space="0" w:color="auto"/>
              <w:bottom w:val="nil"/>
              <w:right w:val="nil"/>
            </w:tcBorders>
            <w:shd w:val="clear" w:color="auto" w:fill="FFC000"/>
            <w:noWrap/>
            <w:vAlign w:val="bottom"/>
            <w:hideMark/>
          </w:tcPr>
          <w:p w14:paraId="434E615F"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ndr</w:t>
            </w:r>
          </w:p>
        </w:tc>
        <w:tc>
          <w:tcPr>
            <w:tcW w:w="730" w:type="dxa"/>
            <w:shd w:val="clear" w:color="auto" w:fill="FFC000"/>
            <w:noWrap/>
            <w:vAlign w:val="bottom"/>
            <w:hideMark/>
          </w:tcPr>
          <w:p w14:paraId="30FA487D"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8</w:t>
            </w:r>
          </w:p>
        </w:tc>
        <w:tc>
          <w:tcPr>
            <w:tcW w:w="925" w:type="dxa"/>
            <w:shd w:val="clear" w:color="auto" w:fill="FFC000"/>
            <w:noWrap/>
            <w:vAlign w:val="bottom"/>
            <w:hideMark/>
          </w:tcPr>
          <w:p w14:paraId="0CBBA81F"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8</w:t>
            </w:r>
          </w:p>
        </w:tc>
        <w:tc>
          <w:tcPr>
            <w:tcW w:w="851" w:type="dxa"/>
            <w:shd w:val="clear" w:color="auto" w:fill="FFC000"/>
            <w:noWrap/>
            <w:vAlign w:val="bottom"/>
            <w:hideMark/>
          </w:tcPr>
          <w:p w14:paraId="162D7665"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12</w:t>
            </w:r>
          </w:p>
        </w:tc>
        <w:tc>
          <w:tcPr>
            <w:tcW w:w="749" w:type="dxa"/>
            <w:shd w:val="clear" w:color="auto" w:fill="FFC000"/>
            <w:noWrap/>
            <w:vAlign w:val="bottom"/>
            <w:hideMark/>
          </w:tcPr>
          <w:p w14:paraId="6923BEF4"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7</w:t>
            </w:r>
          </w:p>
        </w:tc>
        <w:tc>
          <w:tcPr>
            <w:tcW w:w="802" w:type="dxa"/>
            <w:shd w:val="clear" w:color="auto" w:fill="FFC000"/>
            <w:noWrap/>
            <w:vAlign w:val="bottom"/>
            <w:hideMark/>
          </w:tcPr>
          <w:p w14:paraId="1B6194AC"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10</w:t>
            </w:r>
          </w:p>
        </w:tc>
        <w:tc>
          <w:tcPr>
            <w:tcW w:w="802" w:type="dxa"/>
            <w:tcBorders>
              <w:top w:val="nil"/>
              <w:left w:val="nil"/>
              <w:bottom w:val="nil"/>
              <w:right w:val="single" w:sz="4" w:space="0" w:color="auto"/>
            </w:tcBorders>
            <w:shd w:val="clear" w:color="auto" w:fill="FFC000"/>
            <w:noWrap/>
            <w:vAlign w:val="bottom"/>
            <w:hideMark/>
          </w:tcPr>
          <w:p w14:paraId="099151E5" w14:textId="77777777" w:rsidR="009B0448" w:rsidRPr="009B0448" w:rsidRDefault="009B0448">
            <w:pPr>
              <w:spacing w:line="276" w:lineRule="auto"/>
              <w:jc w:val="right"/>
              <w:rPr>
                <w:rFonts w:ascii="Times New Roman" w:eastAsia="Times New Roman" w:hAnsi="Times New Roman" w:cs="Times New Roman"/>
                <w:bCs/>
              </w:rPr>
            </w:pPr>
            <w:r w:rsidRPr="009B0448">
              <w:rPr>
                <w:rFonts w:ascii="Times New Roman" w:eastAsia="Times New Roman" w:hAnsi="Times New Roman" w:cs="Times New Roman"/>
                <w:bCs/>
              </w:rPr>
              <w:t>45</w:t>
            </w:r>
          </w:p>
        </w:tc>
      </w:tr>
      <w:tr w:rsidR="009B0448" w:rsidRPr="009B0448" w14:paraId="058057E2"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50D7F1"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78F758"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0CB5A6B1"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Western</w:t>
            </w:r>
          </w:p>
        </w:tc>
        <w:tc>
          <w:tcPr>
            <w:tcW w:w="802" w:type="dxa"/>
            <w:tcBorders>
              <w:top w:val="nil"/>
              <w:left w:val="single" w:sz="4" w:space="0" w:color="auto"/>
              <w:bottom w:val="nil"/>
              <w:right w:val="nil"/>
            </w:tcBorders>
            <w:shd w:val="clear" w:color="auto" w:fill="FFC000"/>
            <w:noWrap/>
            <w:vAlign w:val="bottom"/>
            <w:hideMark/>
          </w:tcPr>
          <w:p w14:paraId="2FC87EDD"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27</w:t>
            </w:r>
          </w:p>
        </w:tc>
        <w:tc>
          <w:tcPr>
            <w:tcW w:w="730" w:type="dxa"/>
            <w:shd w:val="clear" w:color="auto" w:fill="FFC000"/>
            <w:noWrap/>
            <w:vAlign w:val="bottom"/>
            <w:hideMark/>
          </w:tcPr>
          <w:p w14:paraId="39B79E5B"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30</w:t>
            </w:r>
          </w:p>
        </w:tc>
        <w:tc>
          <w:tcPr>
            <w:tcW w:w="925" w:type="dxa"/>
            <w:shd w:val="clear" w:color="auto" w:fill="FFC000"/>
            <w:noWrap/>
            <w:vAlign w:val="bottom"/>
            <w:hideMark/>
          </w:tcPr>
          <w:p w14:paraId="5442DA21"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22</w:t>
            </w:r>
          </w:p>
        </w:tc>
        <w:tc>
          <w:tcPr>
            <w:tcW w:w="851" w:type="dxa"/>
            <w:shd w:val="clear" w:color="auto" w:fill="FFC000"/>
            <w:noWrap/>
            <w:vAlign w:val="bottom"/>
            <w:hideMark/>
          </w:tcPr>
          <w:p w14:paraId="23B7125C"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7</w:t>
            </w:r>
          </w:p>
        </w:tc>
        <w:tc>
          <w:tcPr>
            <w:tcW w:w="749" w:type="dxa"/>
            <w:shd w:val="clear" w:color="auto" w:fill="FFC000"/>
            <w:noWrap/>
            <w:vAlign w:val="bottom"/>
            <w:hideMark/>
          </w:tcPr>
          <w:p w14:paraId="41481C41"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5</w:t>
            </w:r>
          </w:p>
        </w:tc>
        <w:tc>
          <w:tcPr>
            <w:tcW w:w="802" w:type="dxa"/>
            <w:shd w:val="clear" w:color="auto" w:fill="FFC000"/>
            <w:noWrap/>
            <w:vAlign w:val="bottom"/>
            <w:hideMark/>
          </w:tcPr>
          <w:p w14:paraId="0670B25F"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10</w:t>
            </w:r>
          </w:p>
        </w:tc>
        <w:tc>
          <w:tcPr>
            <w:tcW w:w="802" w:type="dxa"/>
            <w:tcBorders>
              <w:top w:val="nil"/>
              <w:left w:val="nil"/>
              <w:bottom w:val="nil"/>
              <w:right w:val="single" w:sz="4" w:space="0" w:color="auto"/>
            </w:tcBorders>
            <w:shd w:val="clear" w:color="auto" w:fill="FFC000"/>
            <w:noWrap/>
            <w:vAlign w:val="bottom"/>
            <w:hideMark/>
          </w:tcPr>
          <w:p w14:paraId="2C77A84D" w14:textId="77777777" w:rsidR="009B0448" w:rsidRPr="009B0448" w:rsidRDefault="009B0448">
            <w:pPr>
              <w:spacing w:line="276" w:lineRule="auto"/>
              <w:jc w:val="right"/>
              <w:rPr>
                <w:rFonts w:ascii="Times New Roman" w:eastAsia="Times New Roman" w:hAnsi="Times New Roman" w:cs="Times New Roman"/>
                <w:bCs/>
              </w:rPr>
            </w:pPr>
            <w:r w:rsidRPr="009B0448">
              <w:rPr>
                <w:rFonts w:ascii="Times New Roman" w:eastAsia="Times New Roman" w:hAnsi="Times New Roman" w:cs="Times New Roman"/>
                <w:bCs/>
              </w:rPr>
              <w:t>101</w:t>
            </w:r>
          </w:p>
        </w:tc>
      </w:tr>
      <w:tr w:rsidR="009B0448" w:rsidRPr="009B0448" w14:paraId="2315EA61"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B83EA3"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47BC45"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single" w:sz="4" w:space="0" w:color="auto"/>
              <w:right w:val="single" w:sz="4" w:space="0" w:color="auto"/>
            </w:tcBorders>
            <w:noWrap/>
            <w:vAlign w:val="bottom"/>
            <w:hideMark/>
          </w:tcPr>
          <w:p w14:paraId="750E80B9" w14:textId="77777777" w:rsidR="009B0448" w:rsidRPr="009B0448" w:rsidRDefault="009B0448">
            <w:pPr>
              <w:spacing w:line="276" w:lineRule="auto"/>
              <w:rPr>
                <w:rFonts w:ascii="Times New Roman" w:eastAsia="Times New Roman" w:hAnsi="Times New Roman" w:cs="Times New Roman"/>
                <w:b/>
                <w:bCs/>
              </w:rPr>
            </w:pPr>
            <w:r w:rsidRPr="009B0448">
              <w:rPr>
                <w:rFonts w:ascii="Times New Roman" w:eastAsia="Times New Roman" w:hAnsi="Times New Roman" w:cs="Times New Roman"/>
                <w:b/>
                <w:bCs/>
              </w:rPr>
              <w:t xml:space="preserve">Total </w:t>
            </w:r>
          </w:p>
        </w:tc>
        <w:tc>
          <w:tcPr>
            <w:tcW w:w="802" w:type="dxa"/>
            <w:tcBorders>
              <w:top w:val="nil"/>
              <w:left w:val="single" w:sz="4" w:space="0" w:color="auto"/>
              <w:bottom w:val="single" w:sz="4" w:space="0" w:color="auto"/>
              <w:right w:val="nil"/>
            </w:tcBorders>
            <w:shd w:val="clear" w:color="auto" w:fill="FFC000"/>
            <w:noWrap/>
            <w:vAlign w:val="bottom"/>
            <w:hideMark/>
          </w:tcPr>
          <w:p w14:paraId="486D3B5B"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42</w:t>
            </w:r>
          </w:p>
        </w:tc>
        <w:tc>
          <w:tcPr>
            <w:tcW w:w="730" w:type="dxa"/>
            <w:tcBorders>
              <w:top w:val="nil"/>
              <w:left w:val="nil"/>
              <w:bottom w:val="single" w:sz="4" w:space="0" w:color="auto"/>
              <w:right w:val="nil"/>
            </w:tcBorders>
            <w:shd w:val="clear" w:color="auto" w:fill="FFC000"/>
            <w:noWrap/>
            <w:vAlign w:val="bottom"/>
            <w:hideMark/>
          </w:tcPr>
          <w:p w14:paraId="218AFF88"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71</w:t>
            </w:r>
          </w:p>
        </w:tc>
        <w:tc>
          <w:tcPr>
            <w:tcW w:w="925" w:type="dxa"/>
            <w:tcBorders>
              <w:top w:val="nil"/>
              <w:left w:val="nil"/>
              <w:bottom w:val="single" w:sz="4" w:space="0" w:color="auto"/>
              <w:right w:val="nil"/>
            </w:tcBorders>
            <w:shd w:val="clear" w:color="auto" w:fill="FFC000"/>
            <w:noWrap/>
            <w:vAlign w:val="bottom"/>
            <w:hideMark/>
          </w:tcPr>
          <w:p w14:paraId="6C79C657"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60</w:t>
            </w:r>
          </w:p>
        </w:tc>
        <w:tc>
          <w:tcPr>
            <w:tcW w:w="851" w:type="dxa"/>
            <w:tcBorders>
              <w:top w:val="nil"/>
              <w:left w:val="nil"/>
              <w:bottom w:val="single" w:sz="4" w:space="0" w:color="auto"/>
              <w:right w:val="nil"/>
            </w:tcBorders>
            <w:shd w:val="clear" w:color="auto" w:fill="FFC000"/>
            <w:noWrap/>
            <w:vAlign w:val="bottom"/>
            <w:hideMark/>
          </w:tcPr>
          <w:p w14:paraId="16BAF1D1"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44</w:t>
            </w:r>
          </w:p>
        </w:tc>
        <w:tc>
          <w:tcPr>
            <w:tcW w:w="749" w:type="dxa"/>
            <w:tcBorders>
              <w:top w:val="nil"/>
              <w:left w:val="nil"/>
              <w:bottom w:val="single" w:sz="4" w:space="0" w:color="auto"/>
              <w:right w:val="nil"/>
            </w:tcBorders>
            <w:shd w:val="clear" w:color="auto" w:fill="FFC000"/>
            <w:noWrap/>
            <w:vAlign w:val="bottom"/>
            <w:hideMark/>
          </w:tcPr>
          <w:p w14:paraId="1CDB9C4B"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35</w:t>
            </w:r>
          </w:p>
        </w:tc>
        <w:tc>
          <w:tcPr>
            <w:tcW w:w="802" w:type="dxa"/>
            <w:tcBorders>
              <w:top w:val="nil"/>
              <w:left w:val="nil"/>
              <w:bottom w:val="single" w:sz="4" w:space="0" w:color="auto"/>
              <w:right w:val="nil"/>
            </w:tcBorders>
            <w:shd w:val="clear" w:color="auto" w:fill="FFC000"/>
            <w:noWrap/>
            <w:vAlign w:val="bottom"/>
            <w:hideMark/>
          </w:tcPr>
          <w:p w14:paraId="3007BA05"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81</w:t>
            </w:r>
          </w:p>
        </w:tc>
        <w:tc>
          <w:tcPr>
            <w:tcW w:w="802" w:type="dxa"/>
            <w:tcBorders>
              <w:top w:val="nil"/>
              <w:left w:val="nil"/>
              <w:bottom w:val="single" w:sz="4" w:space="0" w:color="auto"/>
              <w:right w:val="single" w:sz="4" w:space="0" w:color="auto"/>
            </w:tcBorders>
            <w:shd w:val="clear" w:color="auto" w:fill="FFC000"/>
            <w:noWrap/>
            <w:vAlign w:val="bottom"/>
            <w:hideMark/>
          </w:tcPr>
          <w:p w14:paraId="33782450"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333</w:t>
            </w:r>
          </w:p>
        </w:tc>
      </w:tr>
      <w:tr w:rsidR="009B0448" w:rsidRPr="009B0448" w14:paraId="27F86264" w14:textId="77777777" w:rsidTr="009B0448">
        <w:trPr>
          <w:trHeight w:val="249"/>
          <w:jc w:val="center"/>
        </w:trPr>
        <w:tc>
          <w:tcPr>
            <w:tcW w:w="1119" w:type="dxa"/>
            <w:tcBorders>
              <w:top w:val="single" w:sz="4" w:space="0" w:color="auto"/>
              <w:left w:val="single" w:sz="4" w:space="0" w:color="auto"/>
              <w:bottom w:val="single" w:sz="4" w:space="0" w:color="auto"/>
              <w:right w:val="nil"/>
            </w:tcBorders>
            <w:noWrap/>
            <w:vAlign w:val="bottom"/>
            <w:hideMark/>
          </w:tcPr>
          <w:p w14:paraId="1ACD527F" w14:textId="77777777" w:rsidR="009B0448" w:rsidRPr="009B0448" w:rsidRDefault="009B0448">
            <w:pPr>
              <w:rPr>
                <w:rFonts w:ascii="Times New Roman" w:eastAsia="Times New Roman" w:hAnsi="Times New Roman" w:cs="Times New Roman"/>
                <w:b/>
                <w:bCs/>
              </w:rPr>
            </w:pPr>
          </w:p>
        </w:tc>
        <w:tc>
          <w:tcPr>
            <w:tcW w:w="1570" w:type="dxa"/>
            <w:tcBorders>
              <w:top w:val="single" w:sz="4" w:space="0" w:color="auto"/>
              <w:left w:val="nil"/>
              <w:bottom w:val="single" w:sz="4" w:space="0" w:color="auto"/>
              <w:right w:val="nil"/>
            </w:tcBorders>
            <w:noWrap/>
            <w:vAlign w:val="bottom"/>
            <w:hideMark/>
          </w:tcPr>
          <w:p w14:paraId="51E2A202" w14:textId="77777777" w:rsidR="009B0448" w:rsidRPr="009B0448" w:rsidRDefault="009B0448">
            <w:pPr>
              <w:rPr>
                <w:rFonts w:ascii="Times New Roman" w:hAnsi="Times New Roman" w:cs="Times New Roman"/>
                <w:color w:val="auto"/>
                <w:sz w:val="20"/>
                <w:szCs w:val="20"/>
                <w:lang w:eastAsia="en-GB"/>
              </w:rPr>
            </w:pPr>
          </w:p>
        </w:tc>
        <w:tc>
          <w:tcPr>
            <w:tcW w:w="1275" w:type="dxa"/>
            <w:tcBorders>
              <w:top w:val="single" w:sz="4" w:space="0" w:color="auto"/>
              <w:left w:val="nil"/>
              <w:bottom w:val="single" w:sz="4" w:space="0" w:color="auto"/>
              <w:right w:val="nil"/>
            </w:tcBorders>
            <w:noWrap/>
            <w:vAlign w:val="bottom"/>
            <w:hideMark/>
          </w:tcPr>
          <w:p w14:paraId="7E6E18B0"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nil"/>
            </w:tcBorders>
            <w:noWrap/>
            <w:vAlign w:val="bottom"/>
            <w:hideMark/>
          </w:tcPr>
          <w:p w14:paraId="60B622B4" w14:textId="77777777" w:rsidR="009B0448" w:rsidRPr="009B0448" w:rsidRDefault="009B0448">
            <w:pPr>
              <w:rPr>
                <w:rFonts w:ascii="Times New Roman" w:hAnsi="Times New Roman" w:cs="Times New Roman"/>
                <w:color w:val="auto"/>
                <w:sz w:val="20"/>
                <w:szCs w:val="20"/>
                <w:lang w:eastAsia="en-GB"/>
              </w:rPr>
            </w:pPr>
          </w:p>
        </w:tc>
        <w:tc>
          <w:tcPr>
            <w:tcW w:w="730" w:type="dxa"/>
            <w:tcBorders>
              <w:top w:val="single" w:sz="4" w:space="0" w:color="auto"/>
              <w:left w:val="nil"/>
              <w:bottom w:val="single" w:sz="4" w:space="0" w:color="auto"/>
              <w:right w:val="nil"/>
            </w:tcBorders>
            <w:noWrap/>
            <w:vAlign w:val="bottom"/>
            <w:hideMark/>
          </w:tcPr>
          <w:p w14:paraId="465E3C84" w14:textId="77777777" w:rsidR="009B0448" w:rsidRPr="009B0448" w:rsidRDefault="009B0448">
            <w:pPr>
              <w:rPr>
                <w:rFonts w:ascii="Times New Roman" w:hAnsi="Times New Roman" w:cs="Times New Roman"/>
                <w:color w:val="auto"/>
                <w:sz w:val="20"/>
                <w:szCs w:val="20"/>
                <w:lang w:eastAsia="en-GB"/>
              </w:rPr>
            </w:pPr>
          </w:p>
        </w:tc>
        <w:tc>
          <w:tcPr>
            <w:tcW w:w="925" w:type="dxa"/>
            <w:tcBorders>
              <w:top w:val="single" w:sz="4" w:space="0" w:color="auto"/>
              <w:left w:val="nil"/>
              <w:bottom w:val="single" w:sz="4" w:space="0" w:color="auto"/>
              <w:right w:val="nil"/>
            </w:tcBorders>
            <w:noWrap/>
            <w:vAlign w:val="bottom"/>
            <w:hideMark/>
          </w:tcPr>
          <w:p w14:paraId="284467BA" w14:textId="77777777" w:rsidR="009B0448" w:rsidRPr="009B0448" w:rsidRDefault="009B0448">
            <w:pPr>
              <w:rPr>
                <w:rFonts w:ascii="Times New Roman" w:hAnsi="Times New Roman" w:cs="Times New Roman"/>
                <w:color w:val="auto"/>
                <w:sz w:val="20"/>
                <w:szCs w:val="20"/>
                <w:lang w:eastAsia="en-GB"/>
              </w:rPr>
            </w:pPr>
          </w:p>
        </w:tc>
        <w:tc>
          <w:tcPr>
            <w:tcW w:w="851" w:type="dxa"/>
            <w:tcBorders>
              <w:top w:val="single" w:sz="4" w:space="0" w:color="auto"/>
              <w:left w:val="nil"/>
              <w:bottom w:val="single" w:sz="4" w:space="0" w:color="auto"/>
              <w:right w:val="nil"/>
            </w:tcBorders>
            <w:noWrap/>
            <w:vAlign w:val="bottom"/>
            <w:hideMark/>
          </w:tcPr>
          <w:p w14:paraId="634C00E4" w14:textId="77777777" w:rsidR="009B0448" w:rsidRPr="009B0448" w:rsidRDefault="009B0448">
            <w:pPr>
              <w:rPr>
                <w:rFonts w:ascii="Times New Roman" w:hAnsi="Times New Roman" w:cs="Times New Roman"/>
                <w:color w:val="auto"/>
                <w:sz w:val="20"/>
                <w:szCs w:val="20"/>
                <w:lang w:eastAsia="en-GB"/>
              </w:rPr>
            </w:pPr>
          </w:p>
        </w:tc>
        <w:tc>
          <w:tcPr>
            <w:tcW w:w="749" w:type="dxa"/>
            <w:tcBorders>
              <w:top w:val="single" w:sz="4" w:space="0" w:color="auto"/>
              <w:left w:val="nil"/>
              <w:bottom w:val="single" w:sz="4" w:space="0" w:color="auto"/>
              <w:right w:val="nil"/>
            </w:tcBorders>
            <w:noWrap/>
            <w:vAlign w:val="bottom"/>
            <w:hideMark/>
          </w:tcPr>
          <w:p w14:paraId="75CB1F1D"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nil"/>
            </w:tcBorders>
            <w:noWrap/>
            <w:vAlign w:val="bottom"/>
            <w:hideMark/>
          </w:tcPr>
          <w:p w14:paraId="0C759825"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single" w:sz="4" w:space="0" w:color="auto"/>
            </w:tcBorders>
            <w:noWrap/>
            <w:vAlign w:val="bottom"/>
            <w:hideMark/>
          </w:tcPr>
          <w:p w14:paraId="165A799E" w14:textId="77777777" w:rsidR="009B0448" w:rsidRPr="009B0448" w:rsidRDefault="009B0448">
            <w:pPr>
              <w:rPr>
                <w:rFonts w:ascii="Times New Roman" w:hAnsi="Times New Roman" w:cs="Times New Roman"/>
                <w:color w:val="auto"/>
                <w:sz w:val="20"/>
                <w:szCs w:val="20"/>
                <w:lang w:eastAsia="en-GB"/>
              </w:rPr>
            </w:pPr>
          </w:p>
        </w:tc>
      </w:tr>
      <w:tr w:rsidR="009B0448" w:rsidRPr="009B0448" w14:paraId="04C01561" w14:textId="77777777" w:rsidTr="009B0448">
        <w:trPr>
          <w:trHeight w:val="249"/>
          <w:jc w:val="center"/>
        </w:trPr>
        <w:tc>
          <w:tcPr>
            <w:tcW w:w="1119" w:type="dxa"/>
            <w:vMerge w:val="restart"/>
            <w:tcBorders>
              <w:top w:val="single" w:sz="4" w:space="0" w:color="auto"/>
              <w:left w:val="single" w:sz="4" w:space="0" w:color="auto"/>
              <w:bottom w:val="single" w:sz="4" w:space="0" w:color="auto"/>
              <w:right w:val="single" w:sz="4" w:space="0" w:color="auto"/>
            </w:tcBorders>
            <w:noWrap/>
            <w:textDirection w:val="btLr"/>
            <w:vAlign w:val="center"/>
            <w:hideMark/>
          </w:tcPr>
          <w:p w14:paraId="7EE34E72"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Hydrological</w:t>
            </w:r>
          </w:p>
        </w:tc>
        <w:tc>
          <w:tcPr>
            <w:tcW w:w="1570" w:type="dxa"/>
            <w:vMerge w:val="restart"/>
            <w:tcBorders>
              <w:top w:val="single" w:sz="4" w:space="0" w:color="auto"/>
              <w:left w:val="single" w:sz="4" w:space="0" w:color="auto"/>
              <w:bottom w:val="single" w:sz="4" w:space="0" w:color="auto"/>
              <w:right w:val="single" w:sz="4" w:space="0" w:color="auto"/>
            </w:tcBorders>
            <w:noWrap/>
            <w:hideMark/>
          </w:tcPr>
          <w:p w14:paraId="71456D7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Flood</w:t>
            </w:r>
          </w:p>
        </w:tc>
        <w:tc>
          <w:tcPr>
            <w:tcW w:w="1275" w:type="dxa"/>
            <w:tcBorders>
              <w:top w:val="single" w:sz="4" w:space="0" w:color="auto"/>
              <w:left w:val="single" w:sz="4" w:space="0" w:color="auto"/>
              <w:bottom w:val="nil"/>
              <w:right w:val="single" w:sz="4" w:space="0" w:color="auto"/>
            </w:tcBorders>
            <w:noWrap/>
            <w:vAlign w:val="bottom"/>
            <w:hideMark/>
          </w:tcPr>
          <w:p w14:paraId="0F863AD7"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Eastern</w:t>
            </w:r>
          </w:p>
        </w:tc>
        <w:tc>
          <w:tcPr>
            <w:tcW w:w="802" w:type="dxa"/>
            <w:tcBorders>
              <w:top w:val="single" w:sz="4" w:space="0" w:color="auto"/>
              <w:left w:val="single" w:sz="4" w:space="0" w:color="auto"/>
              <w:bottom w:val="nil"/>
              <w:right w:val="nil"/>
            </w:tcBorders>
            <w:shd w:val="clear" w:color="auto" w:fill="B4C6E7"/>
            <w:noWrap/>
            <w:vAlign w:val="bottom"/>
            <w:hideMark/>
          </w:tcPr>
          <w:p w14:paraId="2B8C0946"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16</w:t>
            </w:r>
          </w:p>
        </w:tc>
        <w:tc>
          <w:tcPr>
            <w:tcW w:w="730" w:type="dxa"/>
            <w:tcBorders>
              <w:top w:val="single" w:sz="4" w:space="0" w:color="auto"/>
              <w:left w:val="nil"/>
              <w:bottom w:val="nil"/>
              <w:right w:val="nil"/>
            </w:tcBorders>
            <w:shd w:val="clear" w:color="auto" w:fill="B4C6E7"/>
            <w:noWrap/>
            <w:vAlign w:val="bottom"/>
            <w:hideMark/>
          </w:tcPr>
          <w:p w14:paraId="364C7AA0"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9</w:t>
            </w:r>
          </w:p>
        </w:tc>
        <w:tc>
          <w:tcPr>
            <w:tcW w:w="925" w:type="dxa"/>
            <w:tcBorders>
              <w:top w:val="single" w:sz="4" w:space="0" w:color="auto"/>
              <w:left w:val="nil"/>
              <w:bottom w:val="nil"/>
              <w:right w:val="nil"/>
            </w:tcBorders>
            <w:shd w:val="clear" w:color="auto" w:fill="B4C6E7"/>
            <w:noWrap/>
            <w:vAlign w:val="bottom"/>
            <w:hideMark/>
          </w:tcPr>
          <w:p w14:paraId="2F092ECF"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11</w:t>
            </w:r>
          </w:p>
        </w:tc>
        <w:tc>
          <w:tcPr>
            <w:tcW w:w="851" w:type="dxa"/>
            <w:tcBorders>
              <w:top w:val="single" w:sz="4" w:space="0" w:color="auto"/>
              <w:left w:val="nil"/>
              <w:bottom w:val="nil"/>
              <w:right w:val="nil"/>
            </w:tcBorders>
            <w:shd w:val="clear" w:color="auto" w:fill="B4C6E7"/>
            <w:noWrap/>
            <w:vAlign w:val="bottom"/>
            <w:hideMark/>
          </w:tcPr>
          <w:p w14:paraId="0E557725"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19</w:t>
            </w:r>
          </w:p>
        </w:tc>
        <w:tc>
          <w:tcPr>
            <w:tcW w:w="749" w:type="dxa"/>
            <w:tcBorders>
              <w:top w:val="single" w:sz="4" w:space="0" w:color="auto"/>
              <w:left w:val="nil"/>
              <w:bottom w:val="nil"/>
              <w:right w:val="nil"/>
            </w:tcBorders>
            <w:shd w:val="clear" w:color="auto" w:fill="B4C6E7"/>
            <w:noWrap/>
            <w:vAlign w:val="bottom"/>
            <w:hideMark/>
          </w:tcPr>
          <w:p w14:paraId="7FC885E7"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34</w:t>
            </w:r>
          </w:p>
        </w:tc>
        <w:tc>
          <w:tcPr>
            <w:tcW w:w="802" w:type="dxa"/>
            <w:tcBorders>
              <w:top w:val="single" w:sz="4" w:space="0" w:color="auto"/>
              <w:left w:val="nil"/>
              <w:bottom w:val="nil"/>
              <w:right w:val="nil"/>
            </w:tcBorders>
            <w:shd w:val="clear" w:color="auto" w:fill="B4C6E7"/>
            <w:noWrap/>
            <w:vAlign w:val="bottom"/>
            <w:hideMark/>
          </w:tcPr>
          <w:p w14:paraId="4AC5E95A"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73</w:t>
            </w:r>
          </w:p>
        </w:tc>
        <w:tc>
          <w:tcPr>
            <w:tcW w:w="802" w:type="dxa"/>
            <w:tcBorders>
              <w:top w:val="single" w:sz="4" w:space="0" w:color="auto"/>
              <w:left w:val="nil"/>
              <w:bottom w:val="nil"/>
              <w:right w:val="single" w:sz="4" w:space="0" w:color="auto"/>
            </w:tcBorders>
            <w:shd w:val="clear" w:color="auto" w:fill="B4C6E7"/>
            <w:noWrap/>
            <w:vAlign w:val="bottom"/>
            <w:hideMark/>
          </w:tcPr>
          <w:p w14:paraId="2595F40B" w14:textId="77777777" w:rsidR="009B0448" w:rsidRPr="009B0448" w:rsidRDefault="009B0448">
            <w:pPr>
              <w:spacing w:line="276" w:lineRule="auto"/>
              <w:jc w:val="right"/>
              <w:rPr>
                <w:rFonts w:ascii="Times New Roman" w:eastAsia="Times New Roman" w:hAnsi="Times New Roman" w:cs="Times New Roman"/>
                <w:bCs/>
              </w:rPr>
            </w:pPr>
            <w:r w:rsidRPr="009B0448">
              <w:rPr>
                <w:rFonts w:ascii="Times New Roman" w:eastAsia="Times New Roman" w:hAnsi="Times New Roman" w:cs="Times New Roman"/>
                <w:bCs/>
              </w:rPr>
              <w:t>162</w:t>
            </w:r>
          </w:p>
        </w:tc>
      </w:tr>
      <w:tr w:rsidR="009B0448" w:rsidRPr="009B0448" w14:paraId="1B6CF50D"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00D35F"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B9D900"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1EC6A7A6"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Middle</w:t>
            </w:r>
          </w:p>
        </w:tc>
        <w:tc>
          <w:tcPr>
            <w:tcW w:w="802" w:type="dxa"/>
            <w:tcBorders>
              <w:top w:val="nil"/>
              <w:left w:val="single" w:sz="4" w:space="0" w:color="auto"/>
              <w:bottom w:val="nil"/>
              <w:right w:val="nil"/>
            </w:tcBorders>
            <w:shd w:val="clear" w:color="auto" w:fill="B4C6E7"/>
            <w:noWrap/>
            <w:vAlign w:val="bottom"/>
            <w:hideMark/>
          </w:tcPr>
          <w:p w14:paraId="461A4C31"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ndr</w:t>
            </w:r>
          </w:p>
        </w:tc>
        <w:tc>
          <w:tcPr>
            <w:tcW w:w="730" w:type="dxa"/>
            <w:shd w:val="clear" w:color="auto" w:fill="B4C6E7"/>
            <w:noWrap/>
            <w:vAlign w:val="bottom"/>
            <w:hideMark/>
          </w:tcPr>
          <w:p w14:paraId="79E9D92D"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ndr</w:t>
            </w:r>
          </w:p>
        </w:tc>
        <w:tc>
          <w:tcPr>
            <w:tcW w:w="925" w:type="dxa"/>
            <w:shd w:val="clear" w:color="auto" w:fill="B4C6E7"/>
            <w:noWrap/>
            <w:vAlign w:val="bottom"/>
            <w:hideMark/>
          </w:tcPr>
          <w:p w14:paraId="1B3D8A56"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4</w:t>
            </w:r>
          </w:p>
        </w:tc>
        <w:tc>
          <w:tcPr>
            <w:tcW w:w="851" w:type="dxa"/>
            <w:shd w:val="clear" w:color="auto" w:fill="B4C6E7"/>
            <w:noWrap/>
            <w:vAlign w:val="bottom"/>
            <w:hideMark/>
          </w:tcPr>
          <w:p w14:paraId="22F0C9CE"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5</w:t>
            </w:r>
          </w:p>
        </w:tc>
        <w:tc>
          <w:tcPr>
            <w:tcW w:w="749" w:type="dxa"/>
            <w:shd w:val="clear" w:color="auto" w:fill="B4C6E7"/>
            <w:noWrap/>
            <w:vAlign w:val="bottom"/>
            <w:hideMark/>
          </w:tcPr>
          <w:p w14:paraId="0A7A9F08"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10</w:t>
            </w:r>
          </w:p>
        </w:tc>
        <w:tc>
          <w:tcPr>
            <w:tcW w:w="802" w:type="dxa"/>
            <w:shd w:val="clear" w:color="auto" w:fill="B4C6E7"/>
            <w:noWrap/>
            <w:vAlign w:val="bottom"/>
            <w:hideMark/>
          </w:tcPr>
          <w:p w14:paraId="1D33BC6B"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28</w:t>
            </w:r>
          </w:p>
        </w:tc>
        <w:tc>
          <w:tcPr>
            <w:tcW w:w="802" w:type="dxa"/>
            <w:tcBorders>
              <w:top w:val="nil"/>
              <w:left w:val="nil"/>
              <w:bottom w:val="nil"/>
              <w:right w:val="single" w:sz="4" w:space="0" w:color="auto"/>
            </w:tcBorders>
            <w:shd w:val="clear" w:color="auto" w:fill="B4C6E7"/>
            <w:noWrap/>
            <w:vAlign w:val="bottom"/>
            <w:hideMark/>
          </w:tcPr>
          <w:p w14:paraId="64D0056C" w14:textId="77777777" w:rsidR="009B0448" w:rsidRPr="009B0448" w:rsidRDefault="009B0448">
            <w:pPr>
              <w:spacing w:line="276" w:lineRule="auto"/>
              <w:jc w:val="right"/>
              <w:rPr>
                <w:rFonts w:ascii="Times New Roman" w:eastAsia="Times New Roman" w:hAnsi="Times New Roman" w:cs="Times New Roman"/>
                <w:bCs/>
              </w:rPr>
            </w:pPr>
            <w:r w:rsidRPr="009B0448">
              <w:rPr>
                <w:rFonts w:ascii="Times New Roman" w:eastAsia="Times New Roman" w:hAnsi="Times New Roman" w:cs="Times New Roman"/>
                <w:bCs/>
              </w:rPr>
              <w:t>47</w:t>
            </w:r>
          </w:p>
        </w:tc>
      </w:tr>
      <w:tr w:rsidR="009B0448" w:rsidRPr="009B0448" w14:paraId="078EEB51"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01AE04"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7DB56E"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2EA61EF8"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Northern</w:t>
            </w:r>
          </w:p>
        </w:tc>
        <w:tc>
          <w:tcPr>
            <w:tcW w:w="802" w:type="dxa"/>
            <w:tcBorders>
              <w:top w:val="nil"/>
              <w:left w:val="single" w:sz="4" w:space="0" w:color="auto"/>
              <w:bottom w:val="nil"/>
              <w:right w:val="nil"/>
            </w:tcBorders>
            <w:shd w:val="clear" w:color="auto" w:fill="B4C6E7"/>
            <w:noWrap/>
            <w:vAlign w:val="bottom"/>
            <w:hideMark/>
          </w:tcPr>
          <w:p w14:paraId="35FEDA0D"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6</w:t>
            </w:r>
          </w:p>
        </w:tc>
        <w:tc>
          <w:tcPr>
            <w:tcW w:w="730" w:type="dxa"/>
            <w:shd w:val="clear" w:color="auto" w:fill="B4C6E7"/>
            <w:noWrap/>
            <w:vAlign w:val="bottom"/>
            <w:hideMark/>
          </w:tcPr>
          <w:p w14:paraId="0CFFE2EB"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10</w:t>
            </w:r>
          </w:p>
        </w:tc>
        <w:tc>
          <w:tcPr>
            <w:tcW w:w="925" w:type="dxa"/>
            <w:shd w:val="clear" w:color="auto" w:fill="B4C6E7"/>
            <w:noWrap/>
            <w:vAlign w:val="bottom"/>
            <w:hideMark/>
          </w:tcPr>
          <w:p w14:paraId="4FB0FBB4"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5</w:t>
            </w:r>
          </w:p>
        </w:tc>
        <w:tc>
          <w:tcPr>
            <w:tcW w:w="851" w:type="dxa"/>
            <w:shd w:val="clear" w:color="auto" w:fill="B4C6E7"/>
            <w:noWrap/>
            <w:vAlign w:val="bottom"/>
            <w:hideMark/>
          </w:tcPr>
          <w:p w14:paraId="53B51A48"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7</w:t>
            </w:r>
          </w:p>
        </w:tc>
        <w:tc>
          <w:tcPr>
            <w:tcW w:w="749" w:type="dxa"/>
            <w:shd w:val="clear" w:color="auto" w:fill="B4C6E7"/>
            <w:noWrap/>
            <w:vAlign w:val="bottom"/>
            <w:hideMark/>
          </w:tcPr>
          <w:p w14:paraId="65BE1997"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16</w:t>
            </w:r>
          </w:p>
        </w:tc>
        <w:tc>
          <w:tcPr>
            <w:tcW w:w="802" w:type="dxa"/>
            <w:shd w:val="clear" w:color="auto" w:fill="B4C6E7"/>
            <w:noWrap/>
            <w:vAlign w:val="bottom"/>
            <w:hideMark/>
          </w:tcPr>
          <w:p w14:paraId="48E8A31A"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30</w:t>
            </w:r>
          </w:p>
        </w:tc>
        <w:tc>
          <w:tcPr>
            <w:tcW w:w="802" w:type="dxa"/>
            <w:tcBorders>
              <w:top w:val="nil"/>
              <w:left w:val="nil"/>
              <w:bottom w:val="nil"/>
              <w:right w:val="single" w:sz="4" w:space="0" w:color="auto"/>
            </w:tcBorders>
            <w:shd w:val="clear" w:color="auto" w:fill="B4C6E7"/>
            <w:noWrap/>
            <w:vAlign w:val="bottom"/>
            <w:hideMark/>
          </w:tcPr>
          <w:p w14:paraId="1FC5EFD8" w14:textId="77777777" w:rsidR="009B0448" w:rsidRPr="009B0448" w:rsidRDefault="009B0448">
            <w:pPr>
              <w:spacing w:line="276" w:lineRule="auto"/>
              <w:jc w:val="right"/>
              <w:rPr>
                <w:rFonts w:ascii="Times New Roman" w:eastAsia="Times New Roman" w:hAnsi="Times New Roman" w:cs="Times New Roman"/>
                <w:bCs/>
              </w:rPr>
            </w:pPr>
            <w:r w:rsidRPr="009B0448">
              <w:rPr>
                <w:rFonts w:ascii="Times New Roman" w:eastAsia="Times New Roman" w:hAnsi="Times New Roman" w:cs="Times New Roman"/>
                <w:bCs/>
              </w:rPr>
              <w:t>74</w:t>
            </w:r>
          </w:p>
        </w:tc>
      </w:tr>
      <w:tr w:rsidR="009B0448" w:rsidRPr="009B0448" w14:paraId="00B5AD39"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E63E99"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FC2196"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42A16590"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Southern</w:t>
            </w:r>
          </w:p>
        </w:tc>
        <w:tc>
          <w:tcPr>
            <w:tcW w:w="802" w:type="dxa"/>
            <w:tcBorders>
              <w:top w:val="nil"/>
              <w:left w:val="single" w:sz="4" w:space="0" w:color="auto"/>
              <w:bottom w:val="nil"/>
              <w:right w:val="nil"/>
            </w:tcBorders>
            <w:shd w:val="clear" w:color="auto" w:fill="B4C6E7"/>
            <w:noWrap/>
            <w:vAlign w:val="bottom"/>
            <w:hideMark/>
          </w:tcPr>
          <w:p w14:paraId="44C218B5"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3</w:t>
            </w:r>
          </w:p>
        </w:tc>
        <w:tc>
          <w:tcPr>
            <w:tcW w:w="730" w:type="dxa"/>
            <w:shd w:val="clear" w:color="auto" w:fill="B4C6E7"/>
            <w:noWrap/>
            <w:vAlign w:val="bottom"/>
            <w:hideMark/>
          </w:tcPr>
          <w:p w14:paraId="653AB7F6"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w:t>
            </w:r>
          </w:p>
        </w:tc>
        <w:tc>
          <w:tcPr>
            <w:tcW w:w="925" w:type="dxa"/>
            <w:shd w:val="clear" w:color="auto" w:fill="B4C6E7"/>
            <w:noWrap/>
            <w:vAlign w:val="bottom"/>
            <w:hideMark/>
          </w:tcPr>
          <w:p w14:paraId="18B03AE7"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5</w:t>
            </w:r>
          </w:p>
        </w:tc>
        <w:tc>
          <w:tcPr>
            <w:tcW w:w="851" w:type="dxa"/>
            <w:shd w:val="clear" w:color="auto" w:fill="B4C6E7"/>
            <w:noWrap/>
            <w:vAlign w:val="bottom"/>
            <w:hideMark/>
          </w:tcPr>
          <w:p w14:paraId="3BD05DED"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2</w:t>
            </w:r>
          </w:p>
        </w:tc>
        <w:tc>
          <w:tcPr>
            <w:tcW w:w="749" w:type="dxa"/>
            <w:shd w:val="clear" w:color="auto" w:fill="B4C6E7"/>
            <w:noWrap/>
            <w:vAlign w:val="bottom"/>
            <w:hideMark/>
          </w:tcPr>
          <w:p w14:paraId="43B014CE"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7</w:t>
            </w:r>
          </w:p>
        </w:tc>
        <w:tc>
          <w:tcPr>
            <w:tcW w:w="802" w:type="dxa"/>
            <w:shd w:val="clear" w:color="auto" w:fill="B4C6E7"/>
            <w:noWrap/>
            <w:vAlign w:val="bottom"/>
            <w:hideMark/>
          </w:tcPr>
          <w:p w14:paraId="551AF628"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13</w:t>
            </w:r>
          </w:p>
        </w:tc>
        <w:tc>
          <w:tcPr>
            <w:tcW w:w="802" w:type="dxa"/>
            <w:tcBorders>
              <w:top w:val="nil"/>
              <w:left w:val="nil"/>
              <w:bottom w:val="nil"/>
              <w:right w:val="single" w:sz="4" w:space="0" w:color="auto"/>
            </w:tcBorders>
            <w:shd w:val="clear" w:color="auto" w:fill="B4C6E7"/>
            <w:noWrap/>
            <w:vAlign w:val="bottom"/>
            <w:hideMark/>
          </w:tcPr>
          <w:p w14:paraId="066235C6" w14:textId="77777777" w:rsidR="009B0448" w:rsidRPr="009B0448" w:rsidRDefault="009B0448">
            <w:pPr>
              <w:spacing w:line="276" w:lineRule="auto"/>
              <w:jc w:val="right"/>
              <w:rPr>
                <w:rFonts w:ascii="Times New Roman" w:eastAsia="Times New Roman" w:hAnsi="Times New Roman" w:cs="Times New Roman"/>
                <w:bCs/>
              </w:rPr>
            </w:pPr>
            <w:r w:rsidRPr="009B0448">
              <w:rPr>
                <w:rFonts w:ascii="Times New Roman" w:eastAsia="Times New Roman" w:hAnsi="Times New Roman" w:cs="Times New Roman"/>
                <w:bCs/>
              </w:rPr>
              <w:t>31</w:t>
            </w:r>
          </w:p>
        </w:tc>
      </w:tr>
      <w:tr w:rsidR="009B0448" w:rsidRPr="009B0448" w14:paraId="38B80C98"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C31156"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7D01D5"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08BC3BC6"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Western</w:t>
            </w:r>
          </w:p>
        </w:tc>
        <w:tc>
          <w:tcPr>
            <w:tcW w:w="802" w:type="dxa"/>
            <w:tcBorders>
              <w:top w:val="nil"/>
              <w:left w:val="single" w:sz="4" w:space="0" w:color="auto"/>
              <w:bottom w:val="nil"/>
              <w:right w:val="nil"/>
            </w:tcBorders>
            <w:shd w:val="clear" w:color="auto" w:fill="B4C6E7"/>
            <w:noWrap/>
            <w:vAlign w:val="bottom"/>
            <w:hideMark/>
          </w:tcPr>
          <w:p w14:paraId="384DC3EB"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3</w:t>
            </w:r>
          </w:p>
        </w:tc>
        <w:tc>
          <w:tcPr>
            <w:tcW w:w="730" w:type="dxa"/>
            <w:shd w:val="clear" w:color="auto" w:fill="B4C6E7"/>
            <w:noWrap/>
            <w:vAlign w:val="bottom"/>
            <w:hideMark/>
          </w:tcPr>
          <w:p w14:paraId="1A61CF90"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4</w:t>
            </w:r>
          </w:p>
        </w:tc>
        <w:tc>
          <w:tcPr>
            <w:tcW w:w="925" w:type="dxa"/>
            <w:shd w:val="clear" w:color="auto" w:fill="B4C6E7"/>
            <w:noWrap/>
            <w:vAlign w:val="bottom"/>
            <w:hideMark/>
          </w:tcPr>
          <w:p w14:paraId="35647BD7"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14</w:t>
            </w:r>
          </w:p>
        </w:tc>
        <w:tc>
          <w:tcPr>
            <w:tcW w:w="851" w:type="dxa"/>
            <w:shd w:val="clear" w:color="auto" w:fill="B4C6E7"/>
            <w:noWrap/>
            <w:vAlign w:val="bottom"/>
            <w:hideMark/>
          </w:tcPr>
          <w:p w14:paraId="6AEFA73E"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7</w:t>
            </w:r>
          </w:p>
        </w:tc>
        <w:tc>
          <w:tcPr>
            <w:tcW w:w="749" w:type="dxa"/>
            <w:shd w:val="clear" w:color="auto" w:fill="B4C6E7"/>
            <w:noWrap/>
            <w:vAlign w:val="bottom"/>
            <w:hideMark/>
          </w:tcPr>
          <w:p w14:paraId="06EFE1F3"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24</w:t>
            </w:r>
          </w:p>
        </w:tc>
        <w:tc>
          <w:tcPr>
            <w:tcW w:w="802" w:type="dxa"/>
            <w:shd w:val="clear" w:color="auto" w:fill="B4C6E7"/>
            <w:noWrap/>
            <w:vAlign w:val="bottom"/>
            <w:hideMark/>
          </w:tcPr>
          <w:p w14:paraId="3BBBD476" w14:textId="77777777" w:rsidR="009B0448" w:rsidRPr="009B0448" w:rsidRDefault="009B0448">
            <w:pPr>
              <w:spacing w:line="276" w:lineRule="auto"/>
              <w:jc w:val="right"/>
              <w:rPr>
                <w:rFonts w:ascii="Times New Roman" w:eastAsia="Times New Roman" w:hAnsi="Times New Roman" w:cs="Times New Roman"/>
              </w:rPr>
            </w:pPr>
            <w:r w:rsidRPr="009B0448">
              <w:rPr>
                <w:rFonts w:ascii="Times New Roman" w:eastAsia="Times New Roman" w:hAnsi="Times New Roman" w:cs="Times New Roman"/>
              </w:rPr>
              <w:t>46</w:t>
            </w:r>
          </w:p>
        </w:tc>
        <w:tc>
          <w:tcPr>
            <w:tcW w:w="802" w:type="dxa"/>
            <w:tcBorders>
              <w:top w:val="nil"/>
              <w:left w:val="nil"/>
              <w:bottom w:val="nil"/>
              <w:right w:val="single" w:sz="4" w:space="0" w:color="auto"/>
            </w:tcBorders>
            <w:shd w:val="clear" w:color="auto" w:fill="B4C6E7"/>
            <w:noWrap/>
            <w:vAlign w:val="bottom"/>
            <w:hideMark/>
          </w:tcPr>
          <w:p w14:paraId="2FD27AA6" w14:textId="77777777" w:rsidR="009B0448" w:rsidRPr="009B0448" w:rsidRDefault="009B0448">
            <w:pPr>
              <w:spacing w:line="276" w:lineRule="auto"/>
              <w:jc w:val="right"/>
              <w:rPr>
                <w:rFonts w:ascii="Times New Roman" w:eastAsia="Times New Roman" w:hAnsi="Times New Roman" w:cs="Times New Roman"/>
                <w:bCs/>
              </w:rPr>
            </w:pPr>
            <w:r w:rsidRPr="009B0448">
              <w:rPr>
                <w:rFonts w:ascii="Times New Roman" w:eastAsia="Times New Roman" w:hAnsi="Times New Roman" w:cs="Times New Roman"/>
                <w:bCs/>
              </w:rPr>
              <w:t>98</w:t>
            </w:r>
          </w:p>
        </w:tc>
      </w:tr>
      <w:tr w:rsidR="009B0448" w:rsidRPr="009B0448" w14:paraId="3DBD0C02"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C7F857"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8EE245"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single" w:sz="4" w:space="0" w:color="auto"/>
              <w:right w:val="single" w:sz="4" w:space="0" w:color="auto"/>
            </w:tcBorders>
            <w:noWrap/>
            <w:vAlign w:val="bottom"/>
            <w:hideMark/>
          </w:tcPr>
          <w:p w14:paraId="0D8B418B" w14:textId="77777777" w:rsidR="009B0448" w:rsidRPr="009B0448" w:rsidRDefault="009B0448">
            <w:pPr>
              <w:spacing w:line="276" w:lineRule="auto"/>
              <w:rPr>
                <w:rFonts w:ascii="Times New Roman" w:eastAsia="Times New Roman" w:hAnsi="Times New Roman" w:cs="Times New Roman"/>
                <w:b/>
                <w:bCs/>
              </w:rPr>
            </w:pPr>
            <w:r w:rsidRPr="009B0448">
              <w:rPr>
                <w:rFonts w:ascii="Times New Roman" w:eastAsia="Times New Roman" w:hAnsi="Times New Roman" w:cs="Times New Roman"/>
                <w:b/>
                <w:bCs/>
              </w:rPr>
              <w:t xml:space="preserve">Total </w:t>
            </w:r>
          </w:p>
        </w:tc>
        <w:tc>
          <w:tcPr>
            <w:tcW w:w="802" w:type="dxa"/>
            <w:tcBorders>
              <w:top w:val="nil"/>
              <w:left w:val="single" w:sz="4" w:space="0" w:color="auto"/>
              <w:bottom w:val="single" w:sz="4" w:space="0" w:color="auto"/>
              <w:right w:val="nil"/>
            </w:tcBorders>
            <w:shd w:val="clear" w:color="auto" w:fill="B4C6E7"/>
            <w:noWrap/>
            <w:vAlign w:val="bottom"/>
            <w:hideMark/>
          </w:tcPr>
          <w:p w14:paraId="325E281F"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28</w:t>
            </w:r>
          </w:p>
        </w:tc>
        <w:tc>
          <w:tcPr>
            <w:tcW w:w="730" w:type="dxa"/>
            <w:tcBorders>
              <w:top w:val="nil"/>
              <w:left w:val="nil"/>
              <w:bottom w:val="single" w:sz="4" w:space="0" w:color="auto"/>
              <w:right w:val="nil"/>
            </w:tcBorders>
            <w:shd w:val="clear" w:color="auto" w:fill="B4C6E7"/>
            <w:noWrap/>
            <w:vAlign w:val="bottom"/>
            <w:hideMark/>
          </w:tcPr>
          <w:p w14:paraId="6135F0B2"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24</w:t>
            </w:r>
          </w:p>
        </w:tc>
        <w:tc>
          <w:tcPr>
            <w:tcW w:w="925" w:type="dxa"/>
            <w:tcBorders>
              <w:top w:val="nil"/>
              <w:left w:val="nil"/>
              <w:bottom w:val="single" w:sz="4" w:space="0" w:color="auto"/>
              <w:right w:val="nil"/>
            </w:tcBorders>
            <w:shd w:val="clear" w:color="auto" w:fill="B4C6E7"/>
            <w:noWrap/>
            <w:vAlign w:val="bottom"/>
            <w:hideMark/>
          </w:tcPr>
          <w:p w14:paraId="6D5FC8C8"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39</w:t>
            </w:r>
          </w:p>
        </w:tc>
        <w:tc>
          <w:tcPr>
            <w:tcW w:w="851" w:type="dxa"/>
            <w:tcBorders>
              <w:top w:val="nil"/>
              <w:left w:val="nil"/>
              <w:bottom w:val="single" w:sz="4" w:space="0" w:color="auto"/>
              <w:right w:val="nil"/>
            </w:tcBorders>
            <w:shd w:val="clear" w:color="auto" w:fill="B4C6E7"/>
            <w:noWrap/>
            <w:vAlign w:val="bottom"/>
            <w:hideMark/>
          </w:tcPr>
          <w:p w14:paraId="0EA6A4FC"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40</w:t>
            </w:r>
          </w:p>
        </w:tc>
        <w:tc>
          <w:tcPr>
            <w:tcW w:w="749" w:type="dxa"/>
            <w:tcBorders>
              <w:top w:val="nil"/>
              <w:left w:val="nil"/>
              <w:bottom w:val="single" w:sz="4" w:space="0" w:color="auto"/>
              <w:right w:val="nil"/>
            </w:tcBorders>
            <w:shd w:val="clear" w:color="auto" w:fill="B4C6E7"/>
            <w:noWrap/>
            <w:vAlign w:val="bottom"/>
            <w:hideMark/>
          </w:tcPr>
          <w:p w14:paraId="2A1402A2"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91</w:t>
            </w:r>
          </w:p>
        </w:tc>
        <w:tc>
          <w:tcPr>
            <w:tcW w:w="802" w:type="dxa"/>
            <w:tcBorders>
              <w:top w:val="nil"/>
              <w:left w:val="nil"/>
              <w:bottom w:val="single" w:sz="4" w:space="0" w:color="auto"/>
              <w:right w:val="nil"/>
            </w:tcBorders>
            <w:shd w:val="clear" w:color="auto" w:fill="B4C6E7"/>
            <w:noWrap/>
            <w:vAlign w:val="bottom"/>
            <w:hideMark/>
          </w:tcPr>
          <w:p w14:paraId="5CB5C556"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190</w:t>
            </w:r>
          </w:p>
        </w:tc>
        <w:tc>
          <w:tcPr>
            <w:tcW w:w="802" w:type="dxa"/>
            <w:tcBorders>
              <w:top w:val="nil"/>
              <w:left w:val="nil"/>
              <w:bottom w:val="single" w:sz="4" w:space="0" w:color="auto"/>
              <w:right w:val="single" w:sz="4" w:space="0" w:color="auto"/>
            </w:tcBorders>
            <w:shd w:val="clear" w:color="auto" w:fill="B4C6E7"/>
            <w:noWrap/>
            <w:vAlign w:val="bottom"/>
            <w:hideMark/>
          </w:tcPr>
          <w:p w14:paraId="44604ED5" w14:textId="77777777" w:rsidR="009B0448" w:rsidRPr="009B0448" w:rsidRDefault="009B0448">
            <w:pPr>
              <w:spacing w:line="276" w:lineRule="auto"/>
              <w:jc w:val="right"/>
              <w:rPr>
                <w:rFonts w:ascii="Times New Roman" w:eastAsia="Times New Roman" w:hAnsi="Times New Roman" w:cs="Times New Roman"/>
                <w:b/>
                <w:bCs/>
              </w:rPr>
            </w:pPr>
            <w:r w:rsidRPr="009B0448">
              <w:rPr>
                <w:rFonts w:ascii="Times New Roman" w:eastAsia="Times New Roman" w:hAnsi="Times New Roman" w:cs="Times New Roman"/>
                <w:b/>
                <w:bCs/>
              </w:rPr>
              <w:t>412</w:t>
            </w:r>
          </w:p>
        </w:tc>
      </w:tr>
      <w:tr w:rsidR="009B0448" w:rsidRPr="009B0448" w14:paraId="3C5F2F0A" w14:textId="77777777" w:rsidTr="009B0448">
        <w:trPr>
          <w:trHeight w:val="249"/>
          <w:jc w:val="center"/>
        </w:trPr>
        <w:tc>
          <w:tcPr>
            <w:tcW w:w="1119" w:type="dxa"/>
            <w:tcBorders>
              <w:top w:val="single" w:sz="4" w:space="0" w:color="auto"/>
              <w:left w:val="single" w:sz="4" w:space="0" w:color="auto"/>
              <w:bottom w:val="single" w:sz="4" w:space="0" w:color="auto"/>
              <w:right w:val="nil"/>
            </w:tcBorders>
            <w:noWrap/>
            <w:vAlign w:val="bottom"/>
            <w:hideMark/>
          </w:tcPr>
          <w:p w14:paraId="18827F45" w14:textId="77777777" w:rsidR="009B0448" w:rsidRPr="009B0448" w:rsidRDefault="009B0448">
            <w:pPr>
              <w:rPr>
                <w:rFonts w:ascii="Times New Roman" w:eastAsia="Times New Roman" w:hAnsi="Times New Roman" w:cs="Times New Roman"/>
                <w:b/>
                <w:bCs/>
              </w:rPr>
            </w:pPr>
          </w:p>
        </w:tc>
        <w:tc>
          <w:tcPr>
            <w:tcW w:w="1570" w:type="dxa"/>
            <w:tcBorders>
              <w:top w:val="single" w:sz="4" w:space="0" w:color="auto"/>
              <w:left w:val="nil"/>
              <w:bottom w:val="single" w:sz="4" w:space="0" w:color="auto"/>
              <w:right w:val="nil"/>
            </w:tcBorders>
            <w:noWrap/>
            <w:vAlign w:val="bottom"/>
            <w:hideMark/>
          </w:tcPr>
          <w:p w14:paraId="61594C09" w14:textId="77777777" w:rsidR="009B0448" w:rsidRPr="009B0448" w:rsidRDefault="009B0448">
            <w:pPr>
              <w:rPr>
                <w:rFonts w:ascii="Times New Roman" w:hAnsi="Times New Roman" w:cs="Times New Roman"/>
                <w:color w:val="auto"/>
                <w:sz w:val="20"/>
                <w:szCs w:val="20"/>
                <w:lang w:eastAsia="en-GB"/>
              </w:rPr>
            </w:pPr>
          </w:p>
        </w:tc>
        <w:tc>
          <w:tcPr>
            <w:tcW w:w="1275" w:type="dxa"/>
            <w:tcBorders>
              <w:top w:val="single" w:sz="4" w:space="0" w:color="auto"/>
              <w:left w:val="nil"/>
              <w:bottom w:val="single" w:sz="4" w:space="0" w:color="auto"/>
              <w:right w:val="nil"/>
            </w:tcBorders>
            <w:noWrap/>
            <w:vAlign w:val="bottom"/>
            <w:hideMark/>
          </w:tcPr>
          <w:p w14:paraId="39C6EA88"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nil"/>
            </w:tcBorders>
            <w:noWrap/>
            <w:vAlign w:val="bottom"/>
            <w:hideMark/>
          </w:tcPr>
          <w:p w14:paraId="1F204783" w14:textId="77777777" w:rsidR="009B0448" w:rsidRPr="009B0448" w:rsidRDefault="009B0448">
            <w:pPr>
              <w:rPr>
                <w:rFonts w:ascii="Times New Roman" w:hAnsi="Times New Roman" w:cs="Times New Roman"/>
                <w:color w:val="auto"/>
                <w:sz w:val="20"/>
                <w:szCs w:val="20"/>
                <w:lang w:eastAsia="en-GB"/>
              </w:rPr>
            </w:pPr>
          </w:p>
        </w:tc>
        <w:tc>
          <w:tcPr>
            <w:tcW w:w="730" w:type="dxa"/>
            <w:tcBorders>
              <w:top w:val="single" w:sz="4" w:space="0" w:color="auto"/>
              <w:left w:val="nil"/>
              <w:bottom w:val="single" w:sz="4" w:space="0" w:color="auto"/>
              <w:right w:val="nil"/>
            </w:tcBorders>
            <w:noWrap/>
            <w:vAlign w:val="bottom"/>
            <w:hideMark/>
          </w:tcPr>
          <w:p w14:paraId="346439D8" w14:textId="77777777" w:rsidR="009B0448" w:rsidRPr="009B0448" w:rsidRDefault="009B0448">
            <w:pPr>
              <w:rPr>
                <w:rFonts w:ascii="Times New Roman" w:hAnsi="Times New Roman" w:cs="Times New Roman"/>
                <w:color w:val="auto"/>
                <w:sz w:val="20"/>
                <w:szCs w:val="20"/>
                <w:lang w:eastAsia="en-GB"/>
              </w:rPr>
            </w:pPr>
          </w:p>
        </w:tc>
        <w:tc>
          <w:tcPr>
            <w:tcW w:w="925" w:type="dxa"/>
            <w:tcBorders>
              <w:top w:val="single" w:sz="4" w:space="0" w:color="auto"/>
              <w:left w:val="nil"/>
              <w:bottom w:val="single" w:sz="4" w:space="0" w:color="auto"/>
              <w:right w:val="nil"/>
            </w:tcBorders>
            <w:noWrap/>
            <w:vAlign w:val="bottom"/>
            <w:hideMark/>
          </w:tcPr>
          <w:p w14:paraId="040BD15D" w14:textId="77777777" w:rsidR="009B0448" w:rsidRPr="009B0448" w:rsidRDefault="009B0448">
            <w:pPr>
              <w:rPr>
                <w:rFonts w:ascii="Times New Roman" w:hAnsi="Times New Roman" w:cs="Times New Roman"/>
                <w:color w:val="auto"/>
                <w:sz w:val="20"/>
                <w:szCs w:val="20"/>
                <w:lang w:eastAsia="en-GB"/>
              </w:rPr>
            </w:pPr>
          </w:p>
        </w:tc>
        <w:tc>
          <w:tcPr>
            <w:tcW w:w="851" w:type="dxa"/>
            <w:tcBorders>
              <w:top w:val="single" w:sz="4" w:space="0" w:color="auto"/>
              <w:left w:val="nil"/>
              <w:bottom w:val="single" w:sz="4" w:space="0" w:color="auto"/>
              <w:right w:val="nil"/>
            </w:tcBorders>
            <w:noWrap/>
            <w:vAlign w:val="bottom"/>
            <w:hideMark/>
          </w:tcPr>
          <w:p w14:paraId="546B919C" w14:textId="77777777" w:rsidR="009B0448" w:rsidRPr="009B0448" w:rsidRDefault="009B0448">
            <w:pPr>
              <w:rPr>
                <w:rFonts w:ascii="Times New Roman" w:hAnsi="Times New Roman" w:cs="Times New Roman"/>
                <w:color w:val="auto"/>
                <w:sz w:val="20"/>
                <w:szCs w:val="20"/>
                <w:lang w:eastAsia="en-GB"/>
              </w:rPr>
            </w:pPr>
          </w:p>
        </w:tc>
        <w:tc>
          <w:tcPr>
            <w:tcW w:w="749" w:type="dxa"/>
            <w:tcBorders>
              <w:top w:val="single" w:sz="4" w:space="0" w:color="auto"/>
              <w:left w:val="nil"/>
              <w:bottom w:val="single" w:sz="4" w:space="0" w:color="auto"/>
              <w:right w:val="nil"/>
            </w:tcBorders>
            <w:noWrap/>
            <w:vAlign w:val="bottom"/>
            <w:hideMark/>
          </w:tcPr>
          <w:p w14:paraId="3DBDE9AF"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nil"/>
            </w:tcBorders>
            <w:noWrap/>
            <w:vAlign w:val="bottom"/>
            <w:hideMark/>
          </w:tcPr>
          <w:p w14:paraId="39BABA83"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single" w:sz="4" w:space="0" w:color="auto"/>
            </w:tcBorders>
            <w:noWrap/>
            <w:vAlign w:val="bottom"/>
            <w:hideMark/>
          </w:tcPr>
          <w:p w14:paraId="4B92088F" w14:textId="77777777" w:rsidR="009B0448" w:rsidRPr="009B0448" w:rsidRDefault="009B0448">
            <w:pPr>
              <w:rPr>
                <w:rFonts w:ascii="Times New Roman" w:hAnsi="Times New Roman" w:cs="Times New Roman"/>
                <w:color w:val="auto"/>
                <w:sz w:val="20"/>
                <w:szCs w:val="20"/>
                <w:lang w:eastAsia="en-GB"/>
              </w:rPr>
            </w:pPr>
          </w:p>
        </w:tc>
      </w:tr>
      <w:tr w:rsidR="009B0448" w:rsidRPr="009B0448" w14:paraId="5ADED643" w14:textId="77777777" w:rsidTr="009B0448">
        <w:trPr>
          <w:trHeight w:val="249"/>
          <w:jc w:val="center"/>
        </w:trPr>
        <w:tc>
          <w:tcPr>
            <w:tcW w:w="1119" w:type="dxa"/>
            <w:vMerge w:val="restart"/>
            <w:tcBorders>
              <w:top w:val="single" w:sz="4" w:space="0" w:color="auto"/>
              <w:left w:val="single" w:sz="4" w:space="0" w:color="auto"/>
              <w:bottom w:val="single" w:sz="4" w:space="0" w:color="auto"/>
              <w:right w:val="single" w:sz="4" w:space="0" w:color="auto"/>
            </w:tcBorders>
            <w:noWrap/>
            <w:textDirection w:val="btLr"/>
            <w:vAlign w:val="center"/>
            <w:hideMark/>
          </w:tcPr>
          <w:p w14:paraId="2A9C6B59"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Meteorological</w:t>
            </w:r>
          </w:p>
        </w:tc>
        <w:tc>
          <w:tcPr>
            <w:tcW w:w="1570" w:type="dxa"/>
            <w:vMerge w:val="restart"/>
            <w:tcBorders>
              <w:top w:val="single" w:sz="4" w:space="0" w:color="auto"/>
              <w:left w:val="single" w:sz="4" w:space="0" w:color="auto"/>
              <w:bottom w:val="single" w:sz="4" w:space="0" w:color="auto"/>
              <w:right w:val="single" w:sz="4" w:space="0" w:color="auto"/>
            </w:tcBorders>
            <w:noWrap/>
            <w:hideMark/>
          </w:tcPr>
          <w:p w14:paraId="4DCF1191"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Windstorm</w:t>
            </w:r>
          </w:p>
        </w:tc>
        <w:tc>
          <w:tcPr>
            <w:tcW w:w="1275" w:type="dxa"/>
            <w:tcBorders>
              <w:top w:val="single" w:sz="4" w:space="0" w:color="auto"/>
              <w:left w:val="single" w:sz="4" w:space="0" w:color="auto"/>
              <w:bottom w:val="nil"/>
              <w:right w:val="single" w:sz="4" w:space="0" w:color="auto"/>
            </w:tcBorders>
            <w:noWrap/>
            <w:vAlign w:val="bottom"/>
            <w:hideMark/>
          </w:tcPr>
          <w:p w14:paraId="1BE1D885"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Eastern</w:t>
            </w:r>
          </w:p>
        </w:tc>
        <w:tc>
          <w:tcPr>
            <w:tcW w:w="802" w:type="dxa"/>
            <w:tcBorders>
              <w:top w:val="single" w:sz="4" w:space="0" w:color="auto"/>
              <w:left w:val="single" w:sz="4" w:space="0" w:color="auto"/>
              <w:bottom w:val="nil"/>
              <w:right w:val="nil"/>
            </w:tcBorders>
            <w:shd w:val="clear" w:color="auto" w:fill="BFBFBF"/>
            <w:noWrap/>
            <w:vAlign w:val="bottom"/>
            <w:hideMark/>
          </w:tcPr>
          <w:p w14:paraId="423C2EEC"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10</w:t>
            </w:r>
          </w:p>
        </w:tc>
        <w:tc>
          <w:tcPr>
            <w:tcW w:w="730" w:type="dxa"/>
            <w:tcBorders>
              <w:top w:val="single" w:sz="4" w:space="0" w:color="auto"/>
              <w:left w:val="nil"/>
              <w:bottom w:val="nil"/>
              <w:right w:val="nil"/>
            </w:tcBorders>
            <w:shd w:val="clear" w:color="auto" w:fill="BFBFBF"/>
            <w:noWrap/>
            <w:vAlign w:val="bottom"/>
            <w:hideMark/>
          </w:tcPr>
          <w:p w14:paraId="19E0EDF3"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10</w:t>
            </w:r>
          </w:p>
        </w:tc>
        <w:tc>
          <w:tcPr>
            <w:tcW w:w="925" w:type="dxa"/>
            <w:tcBorders>
              <w:top w:val="single" w:sz="4" w:space="0" w:color="auto"/>
              <w:left w:val="nil"/>
              <w:bottom w:val="nil"/>
              <w:right w:val="nil"/>
            </w:tcBorders>
            <w:shd w:val="clear" w:color="auto" w:fill="BFBFBF"/>
            <w:noWrap/>
            <w:vAlign w:val="bottom"/>
            <w:hideMark/>
          </w:tcPr>
          <w:p w14:paraId="6515516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12</w:t>
            </w:r>
          </w:p>
        </w:tc>
        <w:tc>
          <w:tcPr>
            <w:tcW w:w="851" w:type="dxa"/>
            <w:tcBorders>
              <w:top w:val="single" w:sz="4" w:space="0" w:color="auto"/>
              <w:left w:val="nil"/>
              <w:bottom w:val="nil"/>
              <w:right w:val="nil"/>
            </w:tcBorders>
            <w:shd w:val="clear" w:color="auto" w:fill="BFBFBF"/>
            <w:noWrap/>
            <w:vAlign w:val="bottom"/>
            <w:hideMark/>
          </w:tcPr>
          <w:p w14:paraId="7DE1ADBE"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8</w:t>
            </w:r>
          </w:p>
        </w:tc>
        <w:tc>
          <w:tcPr>
            <w:tcW w:w="749" w:type="dxa"/>
            <w:tcBorders>
              <w:top w:val="single" w:sz="4" w:space="0" w:color="auto"/>
              <w:left w:val="nil"/>
              <w:bottom w:val="nil"/>
              <w:right w:val="nil"/>
            </w:tcBorders>
            <w:shd w:val="clear" w:color="auto" w:fill="BFBFBF"/>
            <w:noWrap/>
            <w:vAlign w:val="bottom"/>
            <w:hideMark/>
          </w:tcPr>
          <w:p w14:paraId="55D3487C"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12</w:t>
            </w:r>
          </w:p>
        </w:tc>
        <w:tc>
          <w:tcPr>
            <w:tcW w:w="802" w:type="dxa"/>
            <w:tcBorders>
              <w:top w:val="single" w:sz="4" w:space="0" w:color="auto"/>
              <w:left w:val="nil"/>
              <w:bottom w:val="nil"/>
              <w:right w:val="nil"/>
            </w:tcBorders>
            <w:shd w:val="clear" w:color="auto" w:fill="BFBFBF"/>
            <w:noWrap/>
            <w:vAlign w:val="bottom"/>
            <w:hideMark/>
          </w:tcPr>
          <w:p w14:paraId="25909DA2"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24</w:t>
            </w:r>
          </w:p>
        </w:tc>
        <w:tc>
          <w:tcPr>
            <w:tcW w:w="802" w:type="dxa"/>
            <w:tcBorders>
              <w:top w:val="single" w:sz="4" w:space="0" w:color="auto"/>
              <w:left w:val="nil"/>
              <w:bottom w:val="nil"/>
              <w:right w:val="single" w:sz="4" w:space="0" w:color="auto"/>
            </w:tcBorders>
            <w:shd w:val="clear" w:color="auto" w:fill="BFBFBF"/>
            <w:noWrap/>
            <w:vAlign w:val="bottom"/>
            <w:hideMark/>
          </w:tcPr>
          <w:p w14:paraId="37FC0880"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76</w:t>
            </w:r>
          </w:p>
        </w:tc>
      </w:tr>
      <w:tr w:rsidR="009B0448" w:rsidRPr="009B0448" w14:paraId="42E5CAAC"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CEB849"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808A3B"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7843DEBC"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Middle</w:t>
            </w:r>
          </w:p>
        </w:tc>
        <w:tc>
          <w:tcPr>
            <w:tcW w:w="802" w:type="dxa"/>
            <w:tcBorders>
              <w:top w:val="nil"/>
              <w:left w:val="single" w:sz="4" w:space="0" w:color="auto"/>
              <w:bottom w:val="nil"/>
              <w:right w:val="nil"/>
            </w:tcBorders>
            <w:shd w:val="clear" w:color="auto" w:fill="BFBFBF"/>
            <w:noWrap/>
            <w:vAlign w:val="bottom"/>
            <w:hideMark/>
          </w:tcPr>
          <w:p w14:paraId="5EC4C250"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730" w:type="dxa"/>
            <w:shd w:val="clear" w:color="auto" w:fill="BFBFBF"/>
            <w:noWrap/>
            <w:vAlign w:val="bottom"/>
            <w:hideMark/>
          </w:tcPr>
          <w:p w14:paraId="3D5F662F"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925" w:type="dxa"/>
            <w:shd w:val="clear" w:color="auto" w:fill="BFBFBF"/>
            <w:noWrap/>
            <w:vAlign w:val="bottom"/>
            <w:hideMark/>
          </w:tcPr>
          <w:p w14:paraId="0FDFDAD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851" w:type="dxa"/>
            <w:shd w:val="clear" w:color="auto" w:fill="BFBFBF"/>
            <w:noWrap/>
            <w:vAlign w:val="bottom"/>
            <w:hideMark/>
          </w:tcPr>
          <w:p w14:paraId="19DC1632"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49" w:type="dxa"/>
            <w:shd w:val="clear" w:color="auto" w:fill="BFBFBF"/>
            <w:noWrap/>
            <w:vAlign w:val="bottom"/>
            <w:hideMark/>
          </w:tcPr>
          <w:p w14:paraId="2B4C41B3"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802" w:type="dxa"/>
            <w:shd w:val="clear" w:color="auto" w:fill="BFBFBF"/>
            <w:noWrap/>
            <w:vAlign w:val="bottom"/>
            <w:hideMark/>
          </w:tcPr>
          <w:p w14:paraId="27813916"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3</w:t>
            </w:r>
          </w:p>
        </w:tc>
        <w:tc>
          <w:tcPr>
            <w:tcW w:w="802" w:type="dxa"/>
            <w:tcBorders>
              <w:top w:val="nil"/>
              <w:left w:val="nil"/>
              <w:bottom w:val="nil"/>
              <w:right w:val="single" w:sz="4" w:space="0" w:color="auto"/>
            </w:tcBorders>
            <w:shd w:val="clear" w:color="auto" w:fill="BFBFBF"/>
            <w:noWrap/>
            <w:vAlign w:val="bottom"/>
            <w:hideMark/>
          </w:tcPr>
          <w:p w14:paraId="2377B84B"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6</w:t>
            </w:r>
          </w:p>
        </w:tc>
      </w:tr>
      <w:tr w:rsidR="009B0448" w:rsidRPr="009B0448" w14:paraId="112DC357"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9CEF85"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9D7C4A"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1BB5D47D"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Northern</w:t>
            </w:r>
          </w:p>
        </w:tc>
        <w:tc>
          <w:tcPr>
            <w:tcW w:w="802" w:type="dxa"/>
            <w:tcBorders>
              <w:top w:val="nil"/>
              <w:left w:val="single" w:sz="4" w:space="0" w:color="auto"/>
              <w:bottom w:val="nil"/>
              <w:right w:val="nil"/>
            </w:tcBorders>
            <w:shd w:val="clear" w:color="auto" w:fill="BFBFBF"/>
            <w:noWrap/>
            <w:vAlign w:val="bottom"/>
            <w:hideMark/>
          </w:tcPr>
          <w:p w14:paraId="29A57C54"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30" w:type="dxa"/>
            <w:shd w:val="clear" w:color="auto" w:fill="BFBFBF"/>
            <w:noWrap/>
            <w:vAlign w:val="bottom"/>
            <w:hideMark/>
          </w:tcPr>
          <w:p w14:paraId="4C9F6FD7"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925" w:type="dxa"/>
            <w:shd w:val="clear" w:color="auto" w:fill="BFBFBF"/>
            <w:noWrap/>
            <w:vAlign w:val="bottom"/>
            <w:hideMark/>
          </w:tcPr>
          <w:p w14:paraId="1B927655"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851" w:type="dxa"/>
            <w:shd w:val="clear" w:color="auto" w:fill="BFBFBF"/>
            <w:noWrap/>
            <w:vAlign w:val="bottom"/>
            <w:hideMark/>
          </w:tcPr>
          <w:p w14:paraId="5CD24B95"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ndr</w:t>
            </w:r>
          </w:p>
        </w:tc>
        <w:tc>
          <w:tcPr>
            <w:tcW w:w="749" w:type="dxa"/>
            <w:shd w:val="clear" w:color="auto" w:fill="BFBFBF"/>
            <w:noWrap/>
            <w:vAlign w:val="bottom"/>
            <w:hideMark/>
          </w:tcPr>
          <w:p w14:paraId="0AAA6F85"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802" w:type="dxa"/>
            <w:shd w:val="clear" w:color="auto" w:fill="BFBFBF"/>
            <w:noWrap/>
            <w:vAlign w:val="bottom"/>
            <w:hideMark/>
          </w:tcPr>
          <w:p w14:paraId="4784F35E"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4</w:t>
            </w:r>
          </w:p>
        </w:tc>
        <w:tc>
          <w:tcPr>
            <w:tcW w:w="802" w:type="dxa"/>
            <w:tcBorders>
              <w:top w:val="nil"/>
              <w:left w:val="nil"/>
              <w:bottom w:val="nil"/>
              <w:right w:val="single" w:sz="4" w:space="0" w:color="auto"/>
            </w:tcBorders>
            <w:shd w:val="clear" w:color="auto" w:fill="BFBFBF"/>
            <w:noWrap/>
            <w:vAlign w:val="bottom"/>
            <w:hideMark/>
          </w:tcPr>
          <w:p w14:paraId="527943E0"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9</w:t>
            </w:r>
          </w:p>
        </w:tc>
      </w:tr>
      <w:tr w:rsidR="009B0448" w:rsidRPr="009B0448" w14:paraId="31FE50F7"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ABA7B7"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4DD96C"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449AB1B7"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Southern</w:t>
            </w:r>
          </w:p>
        </w:tc>
        <w:tc>
          <w:tcPr>
            <w:tcW w:w="802" w:type="dxa"/>
            <w:tcBorders>
              <w:top w:val="nil"/>
              <w:left w:val="single" w:sz="4" w:space="0" w:color="auto"/>
              <w:bottom w:val="nil"/>
              <w:right w:val="nil"/>
            </w:tcBorders>
            <w:shd w:val="clear" w:color="auto" w:fill="BFBFBF"/>
            <w:noWrap/>
            <w:vAlign w:val="bottom"/>
            <w:hideMark/>
          </w:tcPr>
          <w:p w14:paraId="7DA09D22"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730" w:type="dxa"/>
            <w:shd w:val="clear" w:color="auto" w:fill="BFBFBF"/>
            <w:noWrap/>
            <w:vAlign w:val="bottom"/>
            <w:hideMark/>
          </w:tcPr>
          <w:p w14:paraId="15B91186"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925" w:type="dxa"/>
            <w:shd w:val="clear" w:color="auto" w:fill="BFBFBF"/>
            <w:noWrap/>
            <w:vAlign w:val="bottom"/>
            <w:hideMark/>
          </w:tcPr>
          <w:p w14:paraId="77E1F201"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3</w:t>
            </w:r>
          </w:p>
        </w:tc>
        <w:tc>
          <w:tcPr>
            <w:tcW w:w="851" w:type="dxa"/>
            <w:shd w:val="clear" w:color="auto" w:fill="BFBFBF"/>
            <w:noWrap/>
            <w:vAlign w:val="bottom"/>
            <w:hideMark/>
          </w:tcPr>
          <w:p w14:paraId="320E16A3"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3</w:t>
            </w:r>
          </w:p>
        </w:tc>
        <w:tc>
          <w:tcPr>
            <w:tcW w:w="749" w:type="dxa"/>
            <w:shd w:val="clear" w:color="auto" w:fill="BFBFBF"/>
            <w:noWrap/>
            <w:vAlign w:val="bottom"/>
            <w:hideMark/>
          </w:tcPr>
          <w:p w14:paraId="618731DF"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4</w:t>
            </w:r>
          </w:p>
        </w:tc>
        <w:tc>
          <w:tcPr>
            <w:tcW w:w="802" w:type="dxa"/>
            <w:shd w:val="clear" w:color="auto" w:fill="BFBFBF"/>
            <w:noWrap/>
            <w:vAlign w:val="bottom"/>
            <w:hideMark/>
          </w:tcPr>
          <w:p w14:paraId="1A911CDE"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10</w:t>
            </w:r>
          </w:p>
        </w:tc>
        <w:tc>
          <w:tcPr>
            <w:tcW w:w="802" w:type="dxa"/>
            <w:tcBorders>
              <w:top w:val="nil"/>
              <w:left w:val="nil"/>
              <w:bottom w:val="nil"/>
              <w:right w:val="single" w:sz="4" w:space="0" w:color="auto"/>
            </w:tcBorders>
            <w:shd w:val="clear" w:color="auto" w:fill="BFBFBF"/>
            <w:noWrap/>
            <w:vAlign w:val="bottom"/>
            <w:hideMark/>
          </w:tcPr>
          <w:p w14:paraId="4C0D36DB"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22</w:t>
            </w:r>
          </w:p>
        </w:tc>
      </w:tr>
      <w:tr w:rsidR="009B0448" w:rsidRPr="009B0448" w14:paraId="046DF624"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74F2AB"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8E42EB"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0DA9FF13"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Western</w:t>
            </w:r>
          </w:p>
        </w:tc>
        <w:tc>
          <w:tcPr>
            <w:tcW w:w="802" w:type="dxa"/>
            <w:tcBorders>
              <w:top w:val="nil"/>
              <w:left w:val="single" w:sz="4" w:space="0" w:color="auto"/>
              <w:bottom w:val="nil"/>
              <w:right w:val="nil"/>
            </w:tcBorders>
            <w:shd w:val="clear" w:color="auto" w:fill="BFBFBF"/>
            <w:noWrap/>
            <w:vAlign w:val="bottom"/>
            <w:hideMark/>
          </w:tcPr>
          <w:p w14:paraId="4DAB3D3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730" w:type="dxa"/>
            <w:shd w:val="clear" w:color="auto" w:fill="BFBFBF"/>
            <w:noWrap/>
            <w:vAlign w:val="bottom"/>
            <w:hideMark/>
          </w:tcPr>
          <w:p w14:paraId="3D5935FC"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925" w:type="dxa"/>
            <w:shd w:val="clear" w:color="auto" w:fill="BFBFBF"/>
            <w:noWrap/>
            <w:vAlign w:val="bottom"/>
            <w:hideMark/>
          </w:tcPr>
          <w:p w14:paraId="2278E2CF"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3</w:t>
            </w:r>
          </w:p>
        </w:tc>
        <w:tc>
          <w:tcPr>
            <w:tcW w:w="851" w:type="dxa"/>
            <w:shd w:val="clear" w:color="auto" w:fill="BFBFBF"/>
            <w:noWrap/>
            <w:vAlign w:val="bottom"/>
            <w:hideMark/>
          </w:tcPr>
          <w:p w14:paraId="12A1E602"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749" w:type="dxa"/>
            <w:shd w:val="clear" w:color="auto" w:fill="BFBFBF"/>
            <w:noWrap/>
            <w:vAlign w:val="bottom"/>
            <w:hideMark/>
          </w:tcPr>
          <w:p w14:paraId="6801A727"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802" w:type="dxa"/>
            <w:shd w:val="clear" w:color="auto" w:fill="BFBFBF"/>
            <w:noWrap/>
            <w:vAlign w:val="bottom"/>
            <w:hideMark/>
          </w:tcPr>
          <w:p w14:paraId="22766780"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10</w:t>
            </w:r>
          </w:p>
        </w:tc>
        <w:tc>
          <w:tcPr>
            <w:tcW w:w="802" w:type="dxa"/>
            <w:tcBorders>
              <w:top w:val="nil"/>
              <w:left w:val="nil"/>
              <w:bottom w:val="nil"/>
              <w:right w:val="single" w:sz="4" w:space="0" w:color="auto"/>
            </w:tcBorders>
            <w:shd w:val="clear" w:color="auto" w:fill="BFBFBF"/>
            <w:noWrap/>
            <w:vAlign w:val="bottom"/>
            <w:hideMark/>
          </w:tcPr>
          <w:p w14:paraId="336D554B"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19</w:t>
            </w:r>
          </w:p>
        </w:tc>
      </w:tr>
      <w:tr w:rsidR="009B0448" w:rsidRPr="009B0448" w14:paraId="5D1BAD77" w14:textId="77777777" w:rsidTr="009B0448">
        <w:trPr>
          <w:trHeight w:val="2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887908" w14:textId="77777777" w:rsidR="009B0448" w:rsidRPr="009B0448" w:rsidRDefault="009B0448">
            <w:pPr>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97D2FD"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single" w:sz="4" w:space="0" w:color="auto"/>
              <w:right w:val="single" w:sz="4" w:space="0" w:color="auto"/>
            </w:tcBorders>
            <w:noWrap/>
            <w:vAlign w:val="bottom"/>
            <w:hideMark/>
          </w:tcPr>
          <w:p w14:paraId="02861EC3" w14:textId="77777777" w:rsidR="009B0448" w:rsidRPr="009B0448" w:rsidRDefault="009B0448">
            <w:pPr>
              <w:spacing w:line="276" w:lineRule="auto"/>
              <w:rPr>
                <w:rFonts w:ascii="Times New Roman" w:eastAsia="Times New Roman" w:hAnsi="Times New Roman" w:cs="Times New Roman"/>
                <w:b/>
                <w:bCs/>
              </w:rPr>
            </w:pPr>
            <w:r w:rsidRPr="009B0448">
              <w:rPr>
                <w:rFonts w:ascii="Times New Roman" w:eastAsia="Times New Roman" w:hAnsi="Times New Roman" w:cs="Times New Roman"/>
                <w:b/>
                <w:bCs/>
              </w:rPr>
              <w:t>Total</w:t>
            </w:r>
          </w:p>
        </w:tc>
        <w:tc>
          <w:tcPr>
            <w:tcW w:w="802" w:type="dxa"/>
            <w:tcBorders>
              <w:top w:val="nil"/>
              <w:left w:val="single" w:sz="4" w:space="0" w:color="auto"/>
              <w:bottom w:val="single" w:sz="4" w:space="0" w:color="auto"/>
              <w:right w:val="nil"/>
            </w:tcBorders>
            <w:shd w:val="clear" w:color="auto" w:fill="BFBFBF"/>
            <w:noWrap/>
            <w:vAlign w:val="bottom"/>
            <w:hideMark/>
          </w:tcPr>
          <w:p w14:paraId="6E56D310"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14</w:t>
            </w:r>
          </w:p>
        </w:tc>
        <w:tc>
          <w:tcPr>
            <w:tcW w:w="730" w:type="dxa"/>
            <w:tcBorders>
              <w:top w:val="nil"/>
              <w:left w:val="nil"/>
              <w:bottom w:val="single" w:sz="4" w:space="0" w:color="auto"/>
              <w:right w:val="nil"/>
            </w:tcBorders>
            <w:shd w:val="clear" w:color="auto" w:fill="BFBFBF"/>
            <w:noWrap/>
            <w:vAlign w:val="bottom"/>
            <w:hideMark/>
          </w:tcPr>
          <w:p w14:paraId="13EBFDCF"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14</w:t>
            </w:r>
          </w:p>
        </w:tc>
        <w:tc>
          <w:tcPr>
            <w:tcW w:w="925" w:type="dxa"/>
            <w:tcBorders>
              <w:top w:val="nil"/>
              <w:left w:val="nil"/>
              <w:bottom w:val="single" w:sz="4" w:space="0" w:color="auto"/>
              <w:right w:val="nil"/>
            </w:tcBorders>
            <w:shd w:val="clear" w:color="auto" w:fill="BFBFBF"/>
            <w:noWrap/>
            <w:vAlign w:val="bottom"/>
            <w:hideMark/>
          </w:tcPr>
          <w:p w14:paraId="5F74B574"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21</w:t>
            </w:r>
          </w:p>
        </w:tc>
        <w:tc>
          <w:tcPr>
            <w:tcW w:w="851" w:type="dxa"/>
            <w:tcBorders>
              <w:top w:val="nil"/>
              <w:left w:val="nil"/>
              <w:bottom w:val="single" w:sz="4" w:space="0" w:color="auto"/>
              <w:right w:val="nil"/>
            </w:tcBorders>
            <w:shd w:val="clear" w:color="auto" w:fill="BFBFBF"/>
            <w:noWrap/>
            <w:vAlign w:val="bottom"/>
            <w:hideMark/>
          </w:tcPr>
          <w:p w14:paraId="1B621961"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13</w:t>
            </w:r>
          </w:p>
        </w:tc>
        <w:tc>
          <w:tcPr>
            <w:tcW w:w="749" w:type="dxa"/>
            <w:tcBorders>
              <w:top w:val="nil"/>
              <w:left w:val="nil"/>
              <w:bottom w:val="single" w:sz="4" w:space="0" w:color="auto"/>
              <w:right w:val="nil"/>
            </w:tcBorders>
            <w:shd w:val="clear" w:color="auto" w:fill="BFBFBF"/>
            <w:noWrap/>
            <w:vAlign w:val="bottom"/>
            <w:hideMark/>
          </w:tcPr>
          <w:p w14:paraId="1D7469D8"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19</w:t>
            </w:r>
          </w:p>
        </w:tc>
        <w:tc>
          <w:tcPr>
            <w:tcW w:w="802" w:type="dxa"/>
            <w:tcBorders>
              <w:top w:val="nil"/>
              <w:left w:val="nil"/>
              <w:bottom w:val="single" w:sz="4" w:space="0" w:color="auto"/>
              <w:right w:val="nil"/>
            </w:tcBorders>
            <w:shd w:val="clear" w:color="auto" w:fill="BFBFBF"/>
            <w:noWrap/>
            <w:vAlign w:val="bottom"/>
            <w:hideMark/>
          </w:tcPr>
          <w:p w14:paraId="160D4183"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51</w:t>
            </w:r>
          </w:p>
        </w:tc>
        <w:tc>
          <w:tcPr>
            <w:tcW w:w="802" w:type="dxa"/>
            <w:tcBorders>
              <w:top w:val="nil"/>
              <w:left w:val="nil"/>
              <w:bottom w:val="single" w:sz="4" w:space="0" w:color="auto"/>
              <w:right w:val="single" w:sz="4" w:space="0" w:color="auto"/>
            </w:tcBorders>
            <w:shd w:val="clear" w:color="auto" w:fill="BFBFBF"/>
            <w:noWrap/>
            <w:vAlign w:val="bottom"/>
            <w:hideMark/>
          </w:tcPr>
          <w:p w14:paraId="1597015B"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132</w:t>
            </w:r>
          </w:p>
        </w:tc>
      </w:tr>
      <w:tr w:rsidR="009B0448" w:rsidRPr="009B0448" w14:paraId="2D4A3A3C" w14:textId="77777777" w:rsidTr="009B0448">
        <w:trPr>
          <w:trHeight w:val="249"/>
          <w:jc w:val="center"/>
        </w:trPr>
        <w:tc>
          <w:tcPr>
            <w:tcW w:w="1119" w:type="dxa"/>
            <w:tcBorders>
              <w:top w:val="single" w:sz="4" w:space="0" w:color="auto"/>
              <w:left w:val="single" w:sz="4" w:space="0" w:color="auto"/>
              <w:bottom w:val="single" w:sz="4" w:space="0" w:color="auto"/>
              <w:right w:val="nil"/>
            </w:tcBorders>
            <w:noWrap/>
            <w:vAlign w:val="bottom"/>
            <w:hideMark/>
          </w:tcPr>
          <w:p w14:paraId="09DA8AEC" w14:textId="77777777" w:rsidR="009B0448" w:rsidRPr="009B0448" w:rsidRDefault="009B0448">
            <w:pPr>
              <w:rPr>
                <w:rFonts w:ascii="Times New Roman" w:eastAsia="Times New Roman" w:hAnsi="Times New Roman" w:cs="Times New Roman"/>
                <w:b/>
                <w:bCs/>
              </w:rPr>
            </w:pPr>
          </w:p>
        </w:tc>
        <w:tc>
          <w:tcPr>
            <w:tcW w:w="1570" w:type="dxa"/>
            <w:tcBorders>
              <w:top w:val="single" w:sz="4" w:space="0" w:color="auto"/>
              <w:left w:val="nil"/>
              <w:bottom w:val="single" w:sz="4" w:space="0" w:color="auto"/>
              <w:right w:val="nil"/>
            </w:tcBorders>
            <w:noWrap/>
            <w:vAlign w:val="bottom"/>
            <w:hideMark/>
          </w:tcPr>
          <w:p w14:paraId="2010274C" w14:textId="77777777" w:rsidR="009B0448" w:rsidRPr="009B0448" w:rsidRDefault="009B0448">
            <w:pPr>
              <w:rPr>
                <w:rFonts w:ascii="Times New Roman" w:hAnsi="Times New Roman" w:cs="Times New Roman"/>
                <w:color w:val="auto"/>
                <w:sz w:val="20"/>
                <w:szCs w:val="20"/>
                <w:lang w:eastAsia="en-GB"/>
              </w:rPr>
            </w:pPr>
          </w:p>
        </w:tc>
        <w:tc>
          <w:tcPr>
            <w:tcW w:w="1275" w:type="dxa"/>
            <w:tcBorders>
              <w:top w:val="single" w:sz="4" w:space="0" w:color="auto"/>
              <w:left w:val="nil"/>
              <w:bottom w:val="single" w:sz="4" w:space="0" w:color="auto"/>
              <w:right w:val="nil"/>
            </w:tcBorders>
            <w:noWrap/>
            <w:vAlign w:val="bottom"/>
            <w:hideMark/>
          </w:tcPr>
          <w:p w14:paraId="26C064DB"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nil"/>
            </w:tcBorders>
            <w:noWrap/>
            <w:vAlign w:val="bottom"/>
            <w:hideMark/>
          </w:tcPr>
          <w:p w14:paraId="3DE9DBA8" w14:textId="77777777" w:rsidR="009B0448" w:rsidRPr="009B0448" w:rsidRDefault="009B0448">
            <w:pPr>
              <w:rPr>
                <w:rFonts w:ascii="Times New Roman" w:hAnsi="Times New Roman" w:cs="Times New Roman"/>
                <w:color w:val="auto"/>
                <w:sz w:val="20"/>
                <w:szCs w:val="20"/>
                <w:lang w:eastAsia="en-GB"/>
              </w:rPr>
            </w:pPr>
          </w:p>
        </w:tc>
        <w:tc>
          <w:tcPr>
            <w:tcW w:w="730" w:type="dxa"/>
            <w:tcBorders>
              <w:top w:val="single" w:sz="4" w:space="0" w:color="auto"/>
              <w:left w:val="nil"/>
              <w:bottom w:val="single" w:sz="4" w:space="0" w:color="auto"/>
              <w:right w:val="nil"/>
            </w:tcBorders>
            <w:noWrap/>
            <w:vAlign w:val="bottom"/>
            <w:hideMark/>
          </w:tcPr>
          <w:p w14:paraId="4F9C9B6A" w14:textId="77777777" w:rsidR="009B0448" w:rsidRPr="009B0448" w:rsidRDefault="009B0448">
            <w:pPr>
              <w:rPr>
                <w:rFonts w:ascii="Times New Roman" w:hAnsi="Times New Roman" w:cs="Times New Roman"/>
                <w:color w:val="auto"/>
                <w:sz w:val="20"/>
                <w:szCs w:val="20"/>
                <w:lang w:eastAsia="en-GB"/>
              </w:rPr>
            </w:pPr>
          </w:p>
        </w:tc>
        <w:tc>
          <w:tcPr>
            <w:tcW w:w="925" w:type="dxa"/>
            <w:tcBorders>
              <w:top w:val="single" w:sz="4" w:space="0" w:color="auto"/>
              <w:left w:val="nil"/>
              <w:bottom w:val="single" w:sz="4" w:space="0" w:color="auto"/>
              <w:right w:val="nil"/>
            </w:tcBorders>
            <w:noWrap/>
            <w:vAlign w:val="bottom"/>
            <w:hideMark/>
          </w:tcPr>
          <w:p w14:paraId="4603141D" w14:textId="77777777" w:rsidR="009B0448" w:rsidRPr="009B0448" w:rsidRDefault="009B0448">
            <w:pPr>
              <w:rPr>
                <w:rFonts w:ascii="Times New Roman" w:hAnsi="Times New Roman" w:cs="Times New Roman"/>
                <w:color w:val="auto"/>
                <w:sz w:val="20"/>
                <w:szCs w:val="20"/>
                <w:lang w:eastAsia="en-GB"/>
              </w:rPr>
            </w:pPr>
          </w:p>
        </w:tc>
        <w:tc>
          <w:tcPr>
            <w:tcW w:w="851" w:type="dxa"/>
            <w:tcBorders>
              <w:top w:val="single" w:sz="4" w:space="0" w:color="auto"/>
              <w:left w:val="nil"/>
              <w:bottom w:val="single" w:sz="4" w:space="0" w:color="auto"/>
              <w:right w:val="nil"/>
            </w:tcBorders>
            <w:noWrap/>
            <w:vAlign w:val="bottom"/>
            <w:hideMark/>
          </w:tcPr>
          <w:p w14:paraId="7F2777DF" w14:textId="77777777" w:rsidR="009B0448" w:rsidRPr="009B0448" w:rsidRDefault="009B0448">
            <w:pPr>
              <w:rPr>
                <w:rFonts w:ascii="Times New Roman" w:hAnsi="Times New Roman" w:cs="Times New Roman"/>
                <w:color w:val="auto"/>
                <w:sz w:val="20"/>
                <w:szCs w:val="20"/>
                <w:lang w:eastAsia="en-GB"/>
              </w:rPr>
            </w:pPr>
          </w:p>
        </w:tc>
        <w:tc>
          <w:tcPr>
            <w:tcW w:w="749" w:type="dxa"/>
            <w:tcBorders>
              <w:top w:val="single" w:sz="4" w:space="0" w:color="auto"/>
              <w:left w:val="nil"/>
              <w:bottom w:val="single" w:sz="4" w:space="0" w:color="auto"/>
              <w:right w:val="nil"/>
            </w:tcBorders>
            <w:noWrap/>
            <w:vAlign w:val="bottom"/>
            <w:hideMark/>
          </w:tcPr>
          <w:p w14:paraId="282E8FF6"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nil"/>
            </w:tcBorders>
            <w:noWrap/>
            <w:vAlign w:val="bottom"/>
            <w:hideMark/>
          </w:tcPr>
          <w:p w14:paraId="1D55A437" w14:textId="77777777" w:rsidR="009B0448" w:rsidRPr="009B0448" w:rsidRDefault="009B0448">
            <w:pPr>
              <w:rPr>
                <w:rFonts w:ascii="Times New Roman" w:hAnsi="Times New Roman" w:cs="Times New Roman"/>
                <w:color w:val="auto"/>
                <w:sz w:val="20"/>
                <w:szCs w:val="20"/>
                <w:lang w:eastAsia="en-GB"/>
              </w:rPr>
            </w:pPr>
          </w:p>
        </w:tc>
        <w:tc>
          <w:tcPr>
            <w:tcW w:w="802" w:type="dxa"/>
            <w:tcBorders>
              <w:top w:val="single" w:sz="4" w:space="0" w:color="auto"/>
              <w:left w:val="nil"/>
              <w:bottom w:val="single" w:sz="4" w:space="0" w:color="auto"/>
              <w:right w:val="single" w:sz="4" w:space="0" w:color="auto"/>
            </w:tcBorders>
            <w:noWrap/>
            <w:vAlign w:val="bottom"/>
            <w:hideMark/>
          </w:tcPr>
          <w:p w14:paraId="79898F45" w14:textId="77777777" w:rsidR="009B0448" w:rsidRPr="009B0448" w:rsidRDefault="009B0448">
            <w:pPr>
              <w:rPr>
                <w:rFonts w:ascii="Times New Roman" w:hAnsi="Times New Roman" w:cs="Times New Roman"/>
                <w:color w:val="auto"/>
                <w:sz w:val="20"/>
                <w:szCs w:val="20"/>
                <w:lang w:eastAsia="en-GB"/>
              </w:rPr>
            </w:pPr>
          </w:p>
        </w:tc>
      </w:tr>
      <w:tr w:rsidR="009B0448" w:rsidRPr="009B0448" w14:paraId="2DC90F31" w14:textId="77777777" w:rsidTr="009B0448">
        <w:trPr>
          <w:trHeight w:val="249"/>
          <w:jc w:val="center"/>
        </w:trPr>
        <w:tc>
          <w:tcPr>
            <w:tcW w:w="2689" w:type="dxa"/>
            <w:gridSpan w:val="2"/>
            <w:vMerge w:val="restart"/>
            <w:tcBorders>
              <w:top w:val="single" w:sz="4" w:space="0" w:color="auto"/>
              <w:left w:val="single" w:sz="4" w:space="0" w:color="auto"/>
              <w:bottom w:val="single" w:sz="4" w:space="0" w:color="auto"/>
              <w:right w:val="single" w:sz="4" w:space="0" w:color="auto"/>
            </w:tcBorders>
            <w:noWrap/>
            <w:hideMark/>
          </w:tcPr>
          <w:p w14:paraId="13A8E67E"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Natural disasters with economic damages</w:t>
            </w:r>
          </w:p>
        </w:tc>
        <w:tc>
          <w:tcPr>
            <w:tcW w:w="1275" w:type="dxa"/>
            <w:tcBorders>
              <w:top w:val="single" w:sz="4" w:space="0" w:color="auto"/>
              <w:left w:val="single" w:sz="4" w:space="0" w:color="auto"/>
              <w:bottom w:val="nil"/>
              <w:right w:val="single" w:sz="4" w:space="0" w:color="auto"/>
            </w:tcBorders>
            <w:noWrap/>
            <w:vAlign w:val="bottom"/>
            <w:hideMark/>
          </w:tcPr>
          <w:p w14:paraId="519F2951"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Eastern</w:t>
            </w:r>
          </w:p>
        </w:tc>
        <w:tc>
          <w:tcPr>
            <w:tcW w:w="802" w:type="dxa"/>
            <w:tcBorders>
              <w:top w:val="single" w:sz="4" w:space="0" w:color="auto"/>
              <w:left w:val="single" w:sz="4" w:space="0" w:color="auto"/>
              <w:bottom w:val="nil"/>
              <w:right w:val="nil"/>
            </w:tcBorders>
            <w:noWrap/>
            <w:vAlign w:val="bottom"/>
            <w:hideMark/>
          </w:tcPr>
          <w:p w14:paraId="6200F572"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13</w:t>
            </w:r>
          </w:p>
        </w:tc>
        <w:tc>
          <w:tcPr>
            <w:tcW w:w="730" w:type="dxa"/>
            <w:tcBorders>
              <w:top w:val="single" w:sz="4" w:space="0" w:color="auto"/>
              <w:left w:val="nil"/>
              <w:bottom w:val="nil"/>
              <w:right w:val="nil"/>
            </w:tcBorders>
            <w:noWrap/>
            <w:vAlign w:val="bottom"/>
            <w:hideMark/>
          </w:tcPr>
          <w:p w14:paraId="59D4FB44"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9</w:t>
            </w:r>
          </w:p>
        </w:tc>
        <w:tc>
          <w:tcPr>
            <w:tcW w:w="925" w:type="dxa"/>
            <w:tcBorders>
              <w:top w:val="single" w:sz="4" w:space="0" w:color="auto"/>
              <w:left w:val="nil"/>
              <w:bottom w:val="nil"/>
              <w:right w:val="nil"/>
            </w:tcBorders>
            <w:noWrap/>
            <w:vAlign w:val="bottom"/>
            <w:hideMark/>
          </w:tcPr>
          <w:p w14:paraId="5AB84C46"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8</w:t>
            </w:r>
          </w:p>
        </w:tc>
        <w:tc>
          <w:tcPr>
            <w:tcW w:w="851" w:type="dxa"/>
            <w:tcBorders>
              <w:top w:val="single" w:sz="4" w:space="0" w:color="auto"/>
              <w:left w:val="nil"/>
              <w:bottom w:val="nil"/>
              <w:right w:val="nil"/>
            </w:tcBorders>
            <w:noWrap/>
            <w:vAlign w:val="bottom"/>
            <w:hideMark/>
          </w:tcPr>
          <w:p w14:paraId="6B52FAD6"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7</w:t>
            </w:r>
          </w:p>
        </w:tc>
        <w:tc>
          <w:tcPr>
            <w:tcW w:w="749" w:type="dxa"/>
            <w:tcBorders>
              <w:top w:val="single" w:sz="4" w:space="0" w:color="auto"/>
              <w:left w:val="nil"/>
              <w:bottom w:val="nil"/>
              <w:right w:val="nil"/>
            </w:tcBorders>
            <w:noWrap/>
            <w:vAlign w:val="bottom"/>
            <w:hideMark/>
          </w:tcPr>
          <w:p w14:paraId="696DC2A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13</w:t>
            </w:r>
          </w:p>
        </w:tc>
        <w:tc>
          <w:tcPr>
            <w:tcW w:w="802" w:type="dxa"/>
            <w:tcBorders>
              <w:top w:val="single" w:sz="4" w:space="0" w:color="auto"/>
              <w:left w:val="nil"/>
              <w:bottom w:val="nil"/>
              <w:right w:val="nil"/>
            </w:tcBorders>
            <w:noWrap/>
            <w:vAlign w:val="bottom"/>
            <w:hideMark/>
          </w:tcPr>
          <w:p w14:paraId="32D24615"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8</w:t>
            </w:r>
          </w:p>
        </w:tc>
        <w:tc>
          <w:tcPr>
            <w:tcW w:w="802" w:type="dxa"/>
            <w:tcBorders>
              <w:top w:val="single" w:sz="4" w:space="0" w:color="auto"/>
              <w:left w:val="nil"/>
              <w:bottom w:val="nil"/>
              <w:right w:val="single" w:sz="4" w:space="0" w:color="auto"/>
            </w:tcBorders>
            <w:noWrap/>
            <w:vAlign w:val="bottom"/>
            <w:hideMark/>
          </w:tcPr>
          <w:p w14:paraId="47D7684C"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58</w:t>
            </w:r>
          </w:p>
        </w:tc>
      </w:tr>
      <w:tr w:rsidR="009B0448" w:rsidRPr="009B0448" w14:paraId="195CB703" w14:textId="77777777" w:rsidTr="009B0448">
        <w:trPr>
          <w:trHeight w:val="249"/>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5588DA4"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013E80F5"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Middle</w:t>
            </w:r>
          </w:p>
        </w:tc>
        <w:tc>
          <w:tcPr>
            <w:tcW w:w="802" w:type="dxa"/>
            <w:tcBorders>
              <w:top w:val="nil"/>
              <w:left w:val="single" w:sz="4" w:space="0" w:color="auto"/>
              <w:bottom w:val="nil"/>
              <w:right w:val="nil"/>
            </w:tcBorders>
            <w:noWrap/>
            <w:vAlign w:val="bottom"/>
            <w:hideMark/>
          </w:tcPr>
          <w:p w14:paraId="55E5E934"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730" w:type="dxa"/>
            <w:noWrap/>
            <w:vAlign w:val="bottom"/>
            <w:hideMark/>
          </w:tcPr>
          <w:p w14:paraId="7030648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925" w:type="dxa"/>
            <w:noWrap/>
            <w:vAlign w:val="bottom"/>
            <w:hideMark/>
          </w:tcPr>
          <w:p w14:paraId="0B8E79C6"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851" w:type="dxa"/>
            <w:noWrap/>
            <w:vAlign w:val="bottom"/>
            <w:hideMark/>
          </w:tcPr>
          <w:p w14:paraId="73E260D7"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0</w:t>
            </w:r>
          </w:p>
        </w:tc>
        <w:tc>
          <w:tcPr>
            <w:tcW w:w="749" w:type="dxa"/>
            <w:noWrap/>
            <w:vAlign w:val="bottom"/>
            <w:hideMark/>
          </w:tcPr>
          <w:p w14:paraId="4EAA15FC"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802" w:type="dxa"/>
            <w:noWrap/>
            <w:vAlign w:val="bottom"/>
            <w:hideMark/>
          </w:tcPr>
          <w:p w14:paraId="6E1A4461"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802" w:type="dxa"/>
            <w:tcBorders>
              <w:top w:val="nil"/>
              <w:left w:val="nil"/>
              <w:bottom w:val="nil"/>
              <w:right w:val="single" w:sz="4" w:space="0" w:color="auto"/>
            </w:tcBorders>
            <w:noWrap/>
            <w:vAlign w:val="bottom"/>
            <w:hideMark/>
          </w:tcPr>
          <w:p w14:paraId="00BE234B"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8</w:t>
            </w:r>
          </w:p>
        </w:tc>
      </w:tr>
      <w:tr w:rsidR="009B0448" w:rsidRPr="009B0448" w14:paraId="26C507EF" w14:textId="77777777" w:rsidTr="009B0448">
        <w:trPr>
          <w:trHeight w:val="249"/>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4E59B80"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478B3F53"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Northern</w:t>
            </w:r>
          </w:p>
        </w:tc>
        <w:tc>
          <w:tcPr>
            <w:tcW w:w="802" w:type="dxa"/>
            <w:tcBorders>
              <w:top w:val="nil"/>
              <w:left w:val="single" w:sz="4" w:space="0" w:color="auto"/>
              <w:bottom w:val="nil"/>
              <w:right w:val="nil"/>
            </w:tcBorders>
            <w:noWrap/>
            <w:vAlign w:val="bottom"/>
            <w:hideMark/>
          </w:tcPr>
          <w:p w14:paraId="44092FBA"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730" w:type="dxa"/>
            <w:noWrap/>
            <w:vAlign w:val="bottom"/>
            <w:hideMark/>
          </w:tcPr>
          <w:p w14:paraId="2F78C930"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3</w:t>
            </w:r>
          </w:p>
        </w:tc>
        <w:tc>
          <w:tcPr>
            <w:tcW w:w="925" w:type="dxa"/>
            <w:noWrap/>
            <w:vAlign w:val="bottom"/>
            <w:hideMark/>
          </w:tcPr>
          <w:p w14:paraId="47CB0F61"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851" w:type="dxa"/>
            <w:noWrap/>
            <w:vAlign w:val="bottom"/>
            <w:hideMark/>
          </w:tcPr>
          <w:p w14:paraId="5419C704"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4</w:t>
            </w:r>
          </w:p>
        </w:tc>
        <w:tc>
          <w:tcPr>
            <w:tcW w:w="749" w:type="dxa"/>
            <w:noWrap/>
            <w:vAlign w:val="bottom"/>
            <w:hideMark/>
          </w:tcPr>
          <w:p w14:paraId="7BF4C8EE"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6</w:t>
            </w:r>
          </w:p>
        </w:tc>
        <w:tc>
          <w:tcPr>
            <w:tcW w:w="802" w:type="dxa"/>
            <w:noWrap/>
            <w:vAlign w:val="bottom"/>
            <w:hideMark/>
          </w:tcPr>
          <w:p w14:paraId="78CD428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9</w:t>
            </w:r>
          </w:p>
        </w:tc>
        <w:tc>
          <w:tcPr>
            <w:tcW w:w="802" w:type="dxa"/>
            <w:tcBorders>
              <w:top w:val="nil"/>
              <w:left w:val="nil"/>
              <w:bottom w:val="nil"/>
              <w:right w:val="single" w:sz="4" w:space="0" w:color="auto"/>
            </w:tcBorders>
            <w:noWrap/>
            <w:vAlign w:val="bottom"/>
            <w:hideMark/>
          </w:tcPr>
          <w:p w14:paraId="757F113B"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26</w:t>
            </w:r>
          </w:p>
        </w:tc>
      </w:tr>
      <w:tr w:rsidR="009B0448" w:rsidRPr="009B0448" w14:paraId="143BE32D" w14:textId="77777777" w:rsidTr="009B0448">
        <w:trPr>
          <w:trHeight w:val="249"/>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FCE2D45"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53AB9AEA"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Southern</w:t>
            </w:r>
          </w:p>
        </w:tc>
        <w:tc>
          <w:tcPr>
            <w:tcW w:w="802" w:type="dxa"/>
            <w:tcBorders>
              <w:top w:val="nil"/>
              <w:left w:val="single" w:sz="4" w:space="0" w:color="auto"/>
              <w:bottom w:val="nil"/>
              <w:right w:val="nil"/>
            </w:tcBorders>
            <w:noWrap/>
            <w:vAlign w:val="bottom"/>
            <w:hideMark/>
          </w:tcPr>
          <w:p w14:paraId="7962DDBE"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730" w:type="dxa"/>
            <w:noWrap/>
            <w:vAlign w:val="bottom"/>
            <w:hideMark/>
          </w:tcPr>
          <w:p w14:paraId="60E1C0F3"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925" w:type="dxa"/>
            <w:noWrap/>
            <w:vAlign w:val="bottom"/>
            <w:hideMark/>
          </w:tcPr>
          <w:p w14:paraId="4FB41F17"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5</w:t>
            </w:r>
          </w:p>
        </w:tc>
        <w:tc>
          <w:tcPr>
            <w:tcW w:w="851" w:type="dxa"/>
            <w:noWrap/>
            <w:vAlign w:val="bottom"/>
            <w:hideMark/>
          </w:tcPr>
          <w:p w14:paraId="4C199603"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749" w:type="dxa"/>
            <w:noWrap/>
            <w:vAlign w:val="bottom"/>
            <w:hideMark/>
          </w:tcPr>
          <w:p w14:paraId="0C9CD712"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w:t>
            </w:r>
          </w:p>
        </w:tc>
        <w:tc>
          <w:tcPr>
            <w:tcW w:w="802" w:type="dxa"/>
            <w:noWrap/>
            <w:vAlign w:val="bottom"/>
            <w:hideMark/>
          </w:tcPr>
          <w:p w14:paraId="77F3892E"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6</w:t>
            </w:r>
          </w:p>
        </w:tc>
        <w:tc>
          <w:tcPr>
            <w:tcW w:w="802" w:type="dxa"/>
            <w:tcBorders>
              <w:top w:val="nil"/>
              <w:left w:val="nil"/>
              <w:bottom w:val="nil"/>
              <w:right w:val="single" w:sz="4" w:space="0" w:color="auto"/>
            </w:tcBorders>
            <w:noWrap/>
            <w:vAlign w:val="bottom"/>
            <w:hideMark/>
          </w:tcPr>
          <w:p w14:paraId="54E29A07"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16</w:t>
            </w:r>
          </w:p>
        </w:tc>
      </w:tr>
      <w:tr w:rsidR="009B0448" w:rsidRPr="009B0448" w14:paraId="0CA62212" w14:textId="77777777" w:rsidTr="009B0448">
        <w:trPr>
          <w:trHeight w:val="249"/>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886E6A6"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nil"/>
              <w:right w:val="single" w:sz="4" w:space="0" w:color="auto"/>
            </w:tcBorders>
            <w:noWrap/>
            <w:vAlign w:val="bottom"/>
            <w:hideMark/>
          </w:tcPr>
          <w:p w14:paraId="4A4B5C13" w14:textId="77777777" w:rsidR="009B0448" w:rsidRPr="009B0448" w:rsidRDefault="009B0448">
            <w:pPr>
              <w:spacing w:line="276" w:lineRule="auto"/>
              <w:rPr>
                <w:rFonts w:ascii="Times New Roman" w:eastAsia="Times New Roman" w:hAnsi="Times New Roman" w:cs="Times New Roman"/>
              </w:rPr>
            </w:pPr>
            <w:r w:rsidRPr="009B0448">
              <w:rPr>
                <w:rFonts w:ascii="Times New Roman" w:eastAsia="Times New Roman" w:hAnsi="Times New Roman" w:cs="Times New Roman"/>
              </w:rPr>
              <w:t>Western</w:t>
            </w:r>
          </w:p>
        </w:tc>
        <w:tc>
          <w:tcPr>
            <w:tcW w:w="802" w:type="dxa"/>
            <w:tcBorders>
              <w:top w:val="nil"/>
              <w:left w:val="single" w:sz="4" w:space="0" w:color="auto"/>
              <w:bottom w:val="nil"/>
              <w:right w:val="nil"/>
            </w:tcBorders>
            <w:noWrap/>
            <w:vAlign w:val="bottom"/>
            <w:hideMark/>
          </w:tcPr>
          <w:p w14:paraId="481822B6"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21</w:t>
            </w:r>
          </w:p>
        </w:tc>
        <w:tc>
          <w:tcPr>
            <w:tcW w:w="730" w:type="dxa"/>
            <w:noWrap/>
            <w:vAlign w:val="bottom"/>
            <w:hideMark/>
          </w:tcPr>
          <w:p w14:paraId="60F889D7"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5</w:t>
            </w:r>
          </w:p>
        </w:tc>
        <w:tc>
          <w:tcPr>
            <w:tcW w:w="925" w:type="dxa"/>
            <w:noWrap/>
            <w:vAlign w:val="bottom"/>
            <w:hideMark/>
          </w:tcPr>
          <w:p w14:paraId="39CCE242"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6</w:t>
            </w:r>
          </w:p>
        </w:tc>
        <w:tc>
          <w:tcPr>
            <w:tcW w:w="851" w:type="dxa"/>
            <w:noWrap/>
            <w:vAlign w:val="bottom"/>
            <w:hideMark/>
          </w:tcPr>
          <w:p w14:paraId="0410E010"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1</w:t>
            </w:r>
          </w:p>
        </w:tc>
        <w:tc>
          <w:tcPr>
            <w:tcW w:w="749" w:type="dxa"/>
            <w:noWrap/>
            <w:vAlign w:val="bottom"/>
            <w:hideMark/>
          </w:tcPr>
          <w:p w14:paraId="16707060"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3</w:t>
            </w:r>
          </w:p>
        </w:tc>
        <w:tc>
          <w:tcPr>
            <w:tcW w:w="802" w:type="dxa"/>
            <w:noWrap/>
            <w:vAlign w:val="bottom"/>
            <w:hideMark/>
          </w:tcPr>
          <w:p w14:paraId="7293CCF1"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7</w:t>
            </w:r>
          </w:p>
        </w:tc>
        <w:tc>
          <w:tcPr>
            <w:tcW w:w="802" w:type="dxa"/>
            <w:tcBorders>
              <w:top w:val="nil"/>
              <w:left w:val="nil"/>
              <w:bottom w:val="nil"/>
              <w:right w:val="single" w:sz="4" w:space="0" w:color="auto"/>
            </w:tcBorders>
            <w:noWrap/>
            <w:vAlign w:val="bottom"/>
            <w:hideMark/>
          </w:tcPr>
          <w:p w14:paraId="2B2A30FD" w14:textId="77777777" w:rsidR="009B0448" w:rsidRPr="009B0448" w:rsidRDefault="009B0448">
            <w:pPr>
              <w:spacing w:line="276" w:lineRule="auto"/>
              <w:jc w:val="center"/>
              <w:rPr>
                <w:rFonts w:ascii="Times New Roman" w:eastAsia="Times New Roman" w:hAnsi="Times New Roman" w:cs="Times New Roman"/>
              </w:rPr>
            </w:pPr>
            <w:r w:rsidRPr="009B0448">
              <w:rPr>
                <w:rFonts w:ascii="Times New Roman" w:eastAsia="Times New Roman" w:hAnsi="Times New Roman" w:cs="Times New Roman"/>
              </w:rPr>
              <w:t>43</w:t>
            </w:r>
          </w:p>
        </w:tc>
      </w:tr>
      <w:tr w:rsidR="009B0448" w:rsidRPr="009B0448" w14:paraId="2697B724" w14:textId="77777777" w:rsidTr="009B0448">
        <w:trPr>
          <w:trHeight w:val="64"/>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C75BCF1" w14:textId="77777777" w:rsidR="009B0448" w:rsidRPr="009B0448" w:rsidRDefault="009B0448">
            <w:pPr>
              <w:rPr>
                <w:rFonts w:ascii="Times New Roman" w:eastAsia="Times New Roman" w:hAnsi="Times New Roman" w:cs="Times New Roman"/>
              </w:rPr>
            </w:pPr>
          </w:p>
        </w:tc>
        <w:tc>
          <w:tcPr>
            <w:tcW w:w="1275" w:type="dxa"/>
            <w:tcBorders>
              <w:top w:val="nil"/>
              <w:left w:val="single" w:sz="4" w:space="0" w:color="auto"/>
              <w:bottom w:val="single" w:sz="4" w:space="0" w:color="auto"/>
              <w:right w:val="single" w:sz="4" w:space="0" w:color="auto"/>
            </w:tcBorders>
            <w:noWrap/>
            <w:vAlign w:val="bottom"/>
            <w:hideMark/>
          </w:tcPr>
          <w:p w14:paraId="2BDE506E" w14:textId="77777777" w:rsidR="009B0448" w:rsidRPr="009B0448" w:rsidRDefault="009B0448">
            <w:pPr>
              <w:spacing w:line="276" w:lineRule="auto"/>
              <w:rPr>
                <w:rFonts w:ascii="Times New Roman" w:eastAsia="Times New Roman" w:hAnsi="Times New Roman" w:cs="Times New Roman"/>
                <w:b/>
                <w:bCs/>
              </w:rPr>
            </w:pPr>
            <w:r w:rsidRPr="009B0448">
              <w:rPr>
                <w:rFonts w:ascii="Times New Roman" w:eastAsia="Times New Roman" w:hAnsi="Times New Roman" w:cs="Times New Roman"/>
                <w:b/>
                <w:bCs/>
              </w:rPr>
              <w:t>Total</w:t>
            </w:r>
          </w:p>
        </w:tc>
        <w:tc>
          <w:tcPr>
            <w:tcW w:w="802" w:type="dxa"/>
            <w:tcBorders>
              <w:top w:val="nil"/>
              <w:left w:val="single" w:sz="4" w:space="0" w:color="auto"/>
              <w:bottom w:val="single" w:sz="4" w:space="0" w:color="auto"/>
              <w:right w:val="nil"/>
            </w:tcBorders>
            <w:noWrap/>
            <w:vAlign w:val="bottom"/>
            <w:hideMark/>
          </w:tcPr>
          <w:p w14:paraId="0AC04E80"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39</w:t>
            </w:r>
          </w:p>
        </w:tc>
        <w:tc>
          <w:tcPr>
            <w:tcW w:w="730" w:type="dxa"/>
            <w:tcBorders>
              <w:top w:val="nil"/>
              <w:left w:val="nil"/>
              <w:bottom w:val="single" w:sz="4" w:space="0" w:color="auto"/>
              <w:right w:val="nil"/>
            </w:tcBorders>
            <w:noWrap/>
            <w:vAlign w:val="bottom"/>
            <w:hideMark/>
          </w:tcPr>
          <w:p w14:paraId="0E90435E"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19</w:t>
            </w:r>
          </w:p>
        </w:tc>
        <w:tc>
          <w:tcPr>
            <w:tcW w:w="925" w:type="dxa"/>
            <w:tcBorders>
              <w:top w:val="nil"/>
              <w:left w:val="nil"/>
              <w:bottom w:val="single" w:sz="4" w:space="0" w:color="auto"/>
              <w:right w:val="nil"/>
            </w:tcBorders>
            <w:noWrap/>
            <w:vAlign w:val="bottom"/>
            <w:hideMark/>
          </w:tcPr>
          <w:p w14:paraId="4F752FD6"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23</w:t>
            </w:r>
          </w:p>
        </w:tc>
        <w:tc>
          <w:tcPr>
            <w:tcW w:w="851" w:type="dxa"/>
            <w:tcBorders>
              <w:top w:val="nil"/>
              <w:left w:val="nil"/>
              <w:bottom w:val="single" w:sz="4" w:space="0" w:color="auto"/>
              <w:right w:val="nil"/>
            </w:tcBorders>
            <w:noWrap/>
            <w:vAlign w:val="bottom"/>
            <w:hideMark/>
          </w:tcPr>
          <w:p w14:paraId="5DB8F18B"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13</w:t>
            </w:r>
          </w:p>
        </w:tc>
        <w:tc>
          <w:tcPr>
            <w:tcW w:w="749" w:type="dxa"/>
            <w:tcBorders>
              <w:top w:val="nil"/>
              <w:left w:val="nil"/>
              <w:bottom w:val="single" w:sz="4" w:space="0" w:color="auto"/>
              <w:right w:val="nil"/>
            </w:tcBorders>
            <w:noWrap/>
            <w:vAlign w:val="bottom"/>
            <w:hideMark/>
          </w:tcPr>
          <w:p w14:paraId="1B17424E"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25</w:t>
            </w:r>
          </w:p>
        </w:tc>
        <w:tc>
          <w:tcPr>
            <w:tcW w:w="802" w:type="dxa"/>
            <w:tcBorders>
              <w:top w:val="nil"/>
              <w:left w:val="nil"/>
              <w:bottom w:val="single" w:sz="4" w:space="0" w:color="auto"/>
              <w:right w:val="nil"/>
            </w:tcBorders>
            <w:noWrap/>
            <w:vAlign w:val="bottom"/>
            <w:hideMark/>
          </w:tcPr>
          <w:p w14:paraId="665777E2"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32</w:t>
            </w:r>
          </w:p>
        </w:tc>
        <w:tc>
          <w:tcPr>
            <w:tcW w:w="802" w:type="dxa"/>
            <w:tcBorders>
              <w:top w:val="nil"/>
              <w:left w:val="nil"/>
              <w:bottom w:val="single" w:sz="4" w:space="0" w:color="auto"/>
              <w:right w:val="single" w:sz="4" w:space="0" w:color="auto"/>
            </w:tcBorders>
            <w:noWrap/>
            <w:vAlign w:val="bottom"/>
            <w:hideMark/>
          </w:tcPr>
          <w:p w14:paraId="449F193B" w14:textId="77777777" w:rsidR="009B0448" w:rsidRPr="009B0448" w:rsidRDefault="009B0448">
            <w:pPr>
              <w:spacing w:line="276" w:lineRule="auto"/>
              <w:jc w:val="center"/>
              <w:rPr>
                <w:rFonts w:ascii="Times New Roman" w:eastAsia="Times New Roman" w:hAnsi="Times New Roman" w:cs="Times New Roman"/>
                <w:b/>
                <w:bCs/>
              </w:rPr>
            </w:pPr>
            <w:r w:rsidRPr="009B0448">
              <w:rPr>
                <w:rFonts w:ascii="Times New Roman" w:eastAsia="Times New Roman" w:hAnsi="Times New Roman" w:cs="Times New Roman"/>
                <w:b/>
                <w:bCs/>
              </w:rPr>
              <w:t>151</w:t>
            </w:r>
          </w:p>
        </w:tc>
      </w:tr>
    </w:tbl>
    <w:p w14:paraId="2559973A"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270" w:name="_Toc503032781"/>
      <w:bookmarkStart w:id="271" w:name="_Toc519499937"/>
      <w:r w:rsidRPr="009B0448">
        <w:rPr>
          <w:rFonts w:cs="Times New Roman"/>
          <w:i w:val="0"/>
          <w:sz w:val="22"/>
          <w:szCs w:val="22"/>
        </w:rPr>
        <w:t>Anthropogenic direct drivers</w:t>
      </w:r>
      <w:bookmarkEnd w:id="270"/>
      <w:bookmarkEnd w:id="271"/>
    </w:p>
    <w:p w14:paraId="790B59EB"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Anthropogenic direct drivers comprise human induced drivers whose impact can be directly observed and monitored.</w:t>
      </w:r>
    </w:p>
    <w:p w14:paraId="43858202"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72" w:name="_Toc503032782"/>
      <w:bookmarkStart w:id="273" w:name="_Toc519499938"/>
      <w:r w:rsidRPr="009B0448">
        <w:rPr>
          <w:rFonts w:cs="Times New Roman"/>
          <w:sz w:val="22"/>
          <w:szCs w:val="22"/>
        </w:rPr>
        <w:t>Land-use and land-cover change</w:t>
      </w:r>
      <w:bookmarkEnd w:id="272"/>
      <w:bookmarkEnd w:id="273"/>
    </w:p>
    <w:p w14:paraId="73D96775"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Land conversion from natural vegetation to farmlands, grazing lands, infrastructure, human settlements and urban centres contributes significantly towards loss of biodiversity and ecosystem functionality (Biggs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Maitima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In Africa, a large proportion of livelihoods depend on natural resources including minerals, agriculture, fisheries, and forestry. Agricultural expansion and mining are the dominant drivers of biodiversity loss (Biggs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particularly due to conversion of natural habitat to cultivation land or as a result of open cast mining activities. There has been an expansion of cash crops, much of this as large-scale cropland cultivation that has been termed the Green Revolution. Land-use change is worsened by the growing land grab phenomenon where foreign investors are allocated large pieces of land for agriculture, especially crop production (Cotula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w:t>
      </w:r>
      <w:r w:rsidRPr="009B0448">
        <w:rPr>
          <w:rFonts w:ascii="Times New Roman" w:eastAsiaTheme="minorHAnsi" w:hAnsi="Times New Roman" w:cs="Times New Roman"/>
          <w:color w:val="auto"/>
        </w:rPr>
        <w:t xml:space="preserve">Byerlee </w:t>
      </w:r>
      <w:r w:rsidRPr="009B0448">
        <w:rPr>
          <w:rFonts w:ascii="Times New Roman" w:eastAsiaTheme="minorHAnsi" w:hAnsi="Times New Roman" w:cs="Times New Roman"/>
          <w:i/>
          <w:color w:val="auto"/>
        </w:rPr>
        <w:t>et al</w:t>
      </w:r>
      <w:r w:rsidRPr="009B0448">
        <w:rPr>
          <w:rFonts w:ascii="Times New Roman" w:eastAsiaTheme="minorHAnsi" w:hAnsi="Times New Roman" w:cs="Times New Roman"/>
          <w:color w:val="auto"/>
        </w:rPr>
        <w:t>., 2013</w:t>
      </w:r>
      <w:r w:rsidRPr="009B0448">
        <w:rPr>
          <w:rFonts w:ascii="Times New Roman" w:eastAsia="Times New Roman" w:hAnsi="Times New Roman" w:cs="Times New Roman"/>
        </w:rPr>
        <w:t xml:space="preserve">), with great impact on indigenous and local populations, natural resources, local knowledge and quality of life in general (Cotula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w:t>
      </w:r>
    </w:p>
    <w:p w14:paraId="7662E072" w14:textId="77777777" w:rsidR="009B0448" w:rsidRPr="009B0448" w:rsidRDefault="009B0448" w:rsidP="009B0448">
      <w:pPr>
        <w:spacing w:line="276" w:lineRule="auto"/>
        <w:jc w:val="both"/>
        <w:rPr>
          <w:rFonts w:ascii="Times New Roman" w:eastAsia="Times New Roman" w:hAnsi="Times New Roman" w:cs="Times New Roman"/>
        </w:rPr>
      </w:pPr>
    </w:p>
    <w:p w14:paraId="4A4979D0"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Habitat fragmentation compounds the impacts of habitat loss, preventing migration and creating island biogeography effects where small fragmented habitats hold less biodiversity than larger habitats. Evidence shows that tropical forest fragments suffer twice the total number of extinctions than unfragmented forests (Brooks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1999). Habitat conversion may also result in loss of ecologically critical areas such as suitable breeding grounds (e.g., wetlands for birds) or seasonal grazing areas, where impacts on biodiversity may be far higher than the proportion of land lost. Small-scale farming is increasingly being driven by population growth in most areas of Africa. As population density increases, there is a move from shifting agriculture to intensification of permanent agricultural fields. The total area cultivated is strongly associated with loss in indigenous plant abundance (Biggs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and indirectly results in loss of mammal and bird species. In Uganda and Tanzania, mammal species richness has been reported highest in grazing lands and lowest in cultivated areas (Msuha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Kiffner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2014), partly due to complete destruction of habitat in cultivated lands. This suggests that continued expansion of lands under cultivation will lead to shrinking of wildlife habitat and further threaten mammalian communities. Loss of space for wildlife due to increased areas of cultivation and grazing lead to human-wildlife conflicts. There is need for policy intervention to ensure balance between livelihoods of farmers and pastoralists and wildlife in these mixed-use landscapes.</w:t>
      </w:r>
    </w:p>
    <w:p w14:paraId="7FD2F8E6" w14:textId="77777777" w:rsidR="009B0448" w:rsidRPr="009B0448" w:rsidRDefault="009B0448" w:rsidP="009B0448">
      <w:pPr>
        <w:spacing w:line="276" w:lineRule="auto"/>
        <w:jc w:val="both"/>
        <w:rPr>
          <w:rFonts w:ascii="Times New Roman" w:eastAsia="Times New Roman" w:hAnsi="Times New Roman" w:cs="Times New Roman"/>
        </w:rPr>
      </w:pPr>
    </w:p>
    <w:p w14:paraId="5BA395AD"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Another effect of fragmentation of landscapes is the disruption of migration and movement of wildlife species (Kiffner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In addition, conservation areas have been reported to augment fragmentation and do not provide sufficient wildlife habitat. For example, the development of veterinary cordon fences in Botswana and Namibia to control diseases and comply with international sanitary and phytosanitary standards for meat exports has led to decline in wildebeest and other wildlife due to fragmentation of their habitat. Hence, there is a need to have corridors to ensure functional connectivity between wildlife populations and other organisms across fragmented landscapes. Africa has tended to engage in agricultural expansion as opposed to the global norm of agricultural intensification (Reardon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2001). Whereas the area of land under agriculture has actually decreased globally due to improved yields, in Africa there is still rapid agricultural expansion (Reardon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2001). This is mostly linked to small-scale agriculture production on near subsistence type farms. Low soil fertility, and low use of artificial fertilizers means that disproportionally large areas of agriculture are needed to produce relatively small (in global terms) quantities of agricultural production (Wood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Brink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von Maltitz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w:t>
      </w:r>
    </w:p>
    <w:p w14:paraId="2DB1ED15" w14:textId="77777777" w:rsidR="009B0448" w:rsidRPr="009B0448" w:rsidRDefault="009B0448" w:rsidP="009B0448">
      <w:pPr>
        <w:spacing w:line="276" w:lineRule="auto"/>
        <w:jc w:val="both"/>
        <w:rPr>
          <w:rFonts w:ascii="Times New Roman" w:eastAsia="Times New Roman" w:hAnsi="Times New Roman" w:cs="Times New Roman"/>
        </w:rPr>
      </w:pPr>
    </w:p>
    <w:p w14:paraId="1DE1134D" w14:textId="77777777" w:rsid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Unsustainable harvesting is leading to extensive loss of African forests, with high deforestation rates being reported for many African countries. Households derive income from the informal production of woodfuel ($3,705 million at 2011 prices), charcoal ($10,585 million at 2011 prices) and forest products used for house construction ($112 million at 2011 prices) (FAO, 2015). Indications are that the rate of deforestation is slowing in most countries (de Wasseige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FAO, 2015), but Africa is still globally one of the areas with the highest rates of forest loss. The consequence on biodiversity particularly loss of vulnerable species with narrow ecological niche is a major concern, as natural habitats are completely lost. </w:t>
      </w:r>
    </w:p>
    <w:p w14:paraId="12E7C800" w14:textId="77777777" w:rsidR="000000FA" w:rsidRPr="009B0448" w:rsidRDefault="000000FA" w:rsidP="009B0448">
      <w:pPr>
        <w:spacing w:line="276" w:lineRule="auto"/>
        <w:jc w:val="both"/>
        <w:rPr>
          <w:rFonts w:ascii="Times New Roman" w:eastAsia="Times New Roman" w:hAnsi="Times New Roman" w:cs="Times New Roman"/>
        </w:rPr>
      </w:pPr>
    </w:p>
    <w:p w14:paraId="60F06B5C" w14:textId="77777777" w:rsidR="000000FA"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0D5B17CB" wp14:editId="0B9B7D8D">
                <wp:extent cx="5831840" cy="4758055"/>
                <wp:effectExtent l="9525" t="9525" r="6985" b="13970"/>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1840" cy="4758055"/>
                        </a:xfrm>
                        <a:prstGeom prst="rect">
                          <a:avLst/>
                        </a:prstGeom>
                        <a:solidFill>
                          <a:schemeClr val="bg1">
                            <a:lumMod val="95000"/>
                            <a:lumOff val="0"/>
                          </a:schemeClr>
                        </a:solidFill>
                        <a:ln w="9525">
                          <a:solidFill>
                            <a:srgbClr val="000000"/>
                          </a:solidFill>
                          <a:miter lim="800000"/>
                          <a:headEnd/>
                          <a:tailEnd/>
                        </a:ln>
                      </wps:spPr>
                      <wps:txbx>
                        <w:txbxContent>
                          <w:p w14:paraId="5781EA3C" w14:textId="77777777" w:rsidR="00BC0CFA" w:rsidRDefault="00BC0CFA" w:rsidP="009B0448">
                            <w:pPr>
                              <w:spacing w:after="100" w:afterAutospacing="1"/>
                              <w:jc w:val="both"/>
                              <w:rPr>
                                <w:rFonts w:ascii="Times New Roman" w:hAnsi="Times New Roman" w:cs="Times New Roman"/>
                                <w:b/>
                              </w:rPr>
                            </w:pPr>
                            <w:r>
                              <w:rPr>
                                <w:rFonts w:ascii="Times New Roman" w:hAnsi="Times New Roman" w:cs="Times New Roman"/>
                                <w:b/>
                              </w:rPr>
                              <w:t>Box 4.3: Impact of mining on protected areas in Africa</w:t>
                            </w:r>
                          </w:p>
                          <w:p w14:paraId="2E03D358" w14:textId="77777777" w:rsidR="00BC0CFA" w:rsidRDefault="00BC0CFA" w:rsidP="009B0448">
                            <w:pPr>
                              <w:spacing w:after="100" w:afterAutospacing="1"/>
                              <w:jc w:val="both"/>
                              <w:rPr>
                                <w:rFonts w:ascii="Times New Roman" w:hAnsi="Times New Roman" w:cs="Times New Roman"/>
                              </w:rPr>
                            </w:pPr>
                            <w:r>
                              <w:rPr>
                                <w:rFonts w:ascii="Times New Roman" w:hAnsi="Times New Roman" w:cs="Times New Roman"/>
                              </w:rPr>
                              <w:t xml:space="preserve">Africa is rich in natural resources with large underground desposits of cobalt, diamond, gold, iron, phosphates, etc. Access to mineral reserves is through opencast or underground mining with impacts on natural areas and biodiversity (Duran </w:t>
                            </w:r>
                            <w:r>
                              <w:rPr>
                                <w:rFonts w:ascii="Times New Roman" w:hAnsi="Times New Roman" w:cs="Times New Roman"/>
                                <w:i/>
                              </w:rPr>
                              <w:t>et al.</w:t>
                            </w:r>
                            <w:r>
                              <w:rPr>
                                <w:rFonts w:ascii="Times New Roman" w:hAnsi="Times New Roman" w:cs="Times New Roman"/>
                              </w:rPr>
                              <w:t xml:space="preserve">, 2013). A proportion of 44% of Africa’s major metal mines are inside or within 10 km of a protected area (see table below) (Edward </w:t>
                            </w:r>
                            <w:r>
                              <w:rPr>
                                <w:rFonts w:ascii="Times New Roman" w:hAnsi="Times New Roman" w:cs="Times New Roman"/>
                                <w:i/>
                              </w:rPr>
                              <w:t>et al.</w:t>
                            </w:r>
                            <w:r>
                              <w:rPr>
                                <w:rFonts w:ascii="Times New Roman" w:hAnsi="Times New Roman" w:cs="Times New Roman"/>
                              </w:rPr>
                              <w:t xml:space="preserve">, 2013). Mineral exploration and exploitation is linked with major infrastructural development, such as roads, railway, ports and hydropower dams. These have direct and indirect impacts on biodiversity including removal, fragmentation and degradation of natural habitats (Duran </w:t>
                            </w:r>
                            <w:r>
                              <w:rPr>
                                <w:rFonts w:ascii="Times New Roman" w:hAnsi="Times New Roman" w:cs="Times New Roman"/>
                                <w:i/>
                              </w:rPr>
                              <w:t>et al.</w:t>
                            </w:r>
                            <w:r>
                              <w:rPr>
                                <w:rFonts w:ascii="Times New Roman" w:hAnsi="Times New Roman" w:cs="Times New Roman"/>
                              </w:rPr>
                              <w:t xml:space="preserve">, 2013). Of greatest concern is the downgrading, downsizing, and degazettement of protected areas as exemplified by the loss of 1,550 hectares of Mount Nimba Biosphere Reserve, a World Heritage site in the Republic of Guniea (Edward </w:t>
                            </w:r>
                            <w:r>
                              <w:rPr>
                                <w:rFonts w:ascii="Times New Roman" w:hAnsi="Times New Roman" w:cs="Times New Roman"/>
                                <w:i/>
                              </w:rPr>
                              <w:t>et al.</w:t>
                            </w:r>
                            <w:r>
                              <w:rPr>
                                <w:rFonts w:ascii="Times New Roman" w:hAnsi="Times New Roman" w:cs="Times New Roman"/>
                              </w:rPr>
                              <w:t>, 2013).</w:t>
                            </w:r>
                          </w:p>
                          <w:p w14:paraId="63CFB5C0" w14:textId="77777777" w:rsidR="00BC0CFA" w:rsidRDefault="00BC0CFA" w:rsidP="009B0448">
                            <w:pPr>
                              <w:spacing w:after="100" w:afterAutospacing="1"/>
                              <w:jc w:val="both"/>
                              <w:rPr>
                                <w:rFonts w:ascii="Times New Roman" w:hAnsi="Times New Roman" w:cs="Times New Roman"/>
                              </w:rPr>
                            </w:pPr>
                            <w:r>
                              <w:rPr>
                                <w:rFonts w:ascii="Times New Roman" w:hAnsi="Times New Roman" w:cs="Times New Roman"/>
                              </w:rPr>
                              <w:t xml:space="preserve">Examples of Protected Area downgrading, downsizing, and degazettement (PADDD) for mining prospecting or extraction in some African countries. Downgrading relates to a reduction in the level of legal protection, downsizing to a reduction in park area, and degazettement to a removal of formal protection. Source: Edward </w:t>
                            </w:r>
                            <w:r>
                              <w:rPr>
                                <w:rFonts w:ascii="Times New Roman" w:hAnsi="Times New Roman" w:cs="Times New Roman"/>
                                <w:i/>
                              </w:rPr>
                              <w:t>et al.</w:t>
                            </w:r>
                            <w:r>
                              <w:rPr>
                                <w:rFonts w:ascii="Times New Roman" w:hAnsi="Times New Roman" w:cs="Times New Roman"/>
                              </w:rPr>
                              <w:t xml:space="preserve"> (2013).</w:t>
                            </w:r>
                          </w:p>
                          <w:tbl>
                            <w:tblPr>
                              <w:tblStyle w:val="TableGrid"/>
                              <w:tblW w:w="0" w:type="auto"/>
                              <w:tblLook w:val="04A0" w:firstRow="1" w:lastRow="0" w:firstColumn="1" w:lastColumn="0" w:noHBand="0" w:noVBand="1"/>
                            </w:tblPr>
                            <w:tblGrid>
                              <w:gridCol w:w="1394"/>
                              <w:gridCol w:w="2340"/>
                              <w:gridCol w:w="1273"/>
                              <w:gridCol w:w="976"/>
                              <w:gridCol w:w="1131"/>
                              <w:gridCol w:w="1758"/>
                            </w:tblGrid>
                            <w:tr w:rsidR="00BC0CFA" w14:paraId="10ACC4B8" w14:textId="77777777">
                              <w:tc>
                                <w:tcPr>
                                  <w:tcW w:w="1413" w:type="dxa"/>
                                  <w:tcBorders>
                                    <w:top w:val="single" w:sz="4" w:space="0" w:color="auto"/>
                                    <w:left w:val="single" w:sz="4" w:space="0" w:color="auto"/>
                                    <w:bottom w:val="single" w:sz="4" w:space="0" w:color="auto"/>
                                    <w:right w:val="single" w:sz="4" w:space="0" w:color="auto"/>
                                  </w:tcBorders>
                                  <w:hideMark/>
                                </w:tcPr>
                                <w:p w14:paraId="327C7E56" w14:textId="77777777" w:rsidR="00BC0CFA" w:rsidRDefault="00BC0CFA">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Country</w:t>
                                  </w:r>
                                </w:p>
                              </w:tc>
                              <w:tc>
                                <w:tcPr>
                                  <w:tcW w:w="2410" w:type="dxa"/>
                                  <w:tcBorders>
                                    <w:top w:val="single" w:sz="4" w:space="0" w:color="auto"/>
                                    <w:left w:val="single" w:sz="4" w:space="0" w:color="auto"/>
                                    <w:bottom w:val="single" w:sz="4" w:space="0" w:color="auto"/>
                                    <w:right w:val="single" w:sz="4" w:space="0" w:color="auto"/>
                                  </w:tcBorders>
                                  <w:hideMark/>
                                </w:tcPr>
                                <w:p w14:paraId="6D077F2F" w14:textId="77777777" w:rsidR="00BC0CFA" w:rsidRDefault="00BC0CFA">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Location</w:t>
                                  </w:r>
                                </w:p>
                              </w:tc>
                              <w:tc>
                                <w:tcPr>
                                  <w:tcW w:w="1275" w:type="dxa"/>
                                  <w:tcBorders>
                                    <w:top w:val="single" w:sz="4" w:space="0" w:color="auto"/>
                                    <w:left w:val="single" w:sz="4" w:space="0" w:color="auto"/>
                                    <w:bottom w:val="single" w:sz="4" w:space="0" w:color="auto"/>
                                    <w:right w:val="single" w:sz="4" w:space="0" w:color="auto"/>
                                  </w:tcBorders>
                                  <w:hideMark/>
                                </w:tcPr>
                                <w:p w14:paraId="53A71506" w14:textId="77777777" w:rsidR="00BC0CFA" w:rsidRDefault="00BC0CFA">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PADDD</w:t>
                                  </w:r>
                                </w:p>
                              </w:tc>
                              <w:tc>
                                <w:tcPr>
                                  <w:tcW w:w="993" w:type="dxa"/>
                                  <w:tcBorders>
                                    <w:top w:val="single" w:sz="4" w:space="0" w:color="auto"/>
                                    <w:left w:val="single" w:sz="4" w:space="0" w:color="auto"/>
                                    <w:bottom w:val="single" w:sz="4" w:space="0" w:color="auto"/>
                                    <w:right w:val="single" w:sz="4" w:space="0" w:color="auto"/>
                                  </w:tcBorders>
                                  <w:hideMark/>
                                </w:tcPr>
                                <w:p w14:paraId="4BDE7732" w14:textId="77777777" w:rsidR="00BC0CFA" w:rsidRDefault="00BC0CFA">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Year</w:t>
                                  </w:r>
                                </w:p>
                              </w:tc>
                              <w:tc>
                                <w:tcPr>
                                  <w:tcW w:w="1134" w:type="dxa"/>
                                  <w:tcBorders>
                                    <w:top w:val="single" w:sz="4" w:space="0" w:color="auto"/>
                                    <w:left w:val="single" w:sz="4" w:space="0" w:color="auto"/>
                                    <w:bottom w:val="single" w:sz="4" w:space="0" w:color="auto"/>
                                    <w:right w:val="single" w:sz="4" w:space="0" w:color="auto"/>
                                  </w:tcBorders>
                                  <w:hideMark/>
                                </w:tcPr>
                                <w:p w14:paraId="308FA836" w14:textId="77777777" w:rsidR="00BC0CFA" w:rsidRDefault="00BC0CFA">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Area km</w:t>
                                  </w:r>
                                  <w:r>
                                    <w:rPr>
                                      <w:rFonts w:ascii="Times New Roman" w:eastAsia="Times New Roman" w:hAnsi="Times New Roman" w:cs="Times New Roman"/>
                                      <w:vertAlign w:val="superscript"/>
                                    </w:rPr>
                                    <w:t>2</w:t>
                                  </w:r>
                                </w:p>
                              </w:tc>
                              <w:tc>
                                <w:tcPr>
                                  <w:tcW w:w="1791" w:type="dxa"/>
                                  <w:tcBorders>
                                    <w:top w:val="single" w:sz="4" w:space="0" w:color="auto"/>
                                    <w:left w:val="single" w:sz="4" w:space="0" w:color="auto"/>
                                    <w:bottom w:val="single" w:sz="4" w:space="0" w:color="auto"/>
                                    <w:right w:val="single" w:sz="4" w:space="0" w:color="auto"/>
                                  </w:tcBorders>
                                  <w:hideMark/>
                                </w:tcPr>
                                <w:p w14:paraId="1234DA70" w14:textId="77777777" w:rsidR="00BC0CFA" w:rsidRDefault="00BC0CFA">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Mining activity</w:t>
                                  </w:r>
                                </w:p>
                              </w:tc>
                            </w:tr>
                            <w:tr w:rsidR="00BC0CFA" w14:paraId="1247BEB5" w14:textId="77777777">
                              <w:tc>
                                <w:tcPr>
                                  <w:tcW w:w="1413" w:type="dxa"/>
                                  <w:tcBorders>
                                    <w:top w:val="single" w:sz="4" w:space="0" w:color="auto"/>
                                    <w:left w:val="single" w:sz="4" w:space="0" w:color="auto"/>
                                    <w:bottom w:val="single" w:sz="4" w:space="0" w:color="auto"/>
                                    <w:right w:val="single" w:sz="4" w:space="0" w:color="auto"/>
                                  </w:tcBorders>
                                  <w:hideMark/>
                                </w:tcPr>
                                <w:p w14:paraId="4F038C01"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Guinea</w:t>
                                  </w:r>
                                </w:p>
                              </w:tc>
                              <w:tc>
                                <w:tcPr>
                                  <w:tcW w:w="2410" w:type="dxa"/>
                                  <w:tcBorders>
                                    <w:top w:val="single" w:sz="4" w:space="0" w:color="auto"/>
                                    <w:left w:val="single" w:sz="4" w:space="0" w:color="auto"/>
                                    <w:bottom w:val="single" w:sz="4" w:space="0" w:color="auto"/>
                                    <w:right w:val="single" w:sz="4" w:space="0" w:color="auto"/>
                                  </w:tcBorders>
                                  <w:hideMark/>
                                </w:tcPr>
                                <w:p w14:paraId="561ECEF0"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Mount Nimba World Heritage site</w:t>
                                  </w:r>
                                </w:p>
                              </w:tc>
                              <w:tc>
                                <w:tcPr>
                                  <w:tcW w:w="1275" w:type="dxa"/>
                                  <w:tcBorders>
                                    <w:top w:val="single" w:sz="4" w:space="0" w:color="auto"/>
                                    <w:left w:val="single" w:sz="4" w:space="0" w:color="auto"/>
                                    <w:bottom w:val="single" w:sz="4" w:space="0" w:color="auto"/>
                                    <w:right w:val="single" w:sz="4" w:space="0" w:color="auto"/>
                                  </w:tcBorders>
                                  <w:hideMark/>
                                </w:tcPr>
                                <w:p w14:paraId="76F5BF73"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Downsize</w:t>
                                  </w:r>
                                </w:p>
                              </w:tc>
                              <w:tc>
                                <w:tcPr>
                                  <w:tcW w:w="993" w:type="dxa"/>
                                  <w:tcBorders>
                                    <w:top w:val="single" w:sz="4" w:space="0" w:color="auto"/>
                                    <w:left w:val="single" w:sz="4" w:space="0" w:color="auto"/>
                                    <w:bottom w:val="single" w:sz="4" w:space="0" w:color="auto"/>
                                    <w:right w:val="single" w:sz="4" w:space="0" w:color="auto"/>
                                  </w:tcBorders>
                                  <w:hideMark/>
                                </w:tcPr>
                                <w:p w14:paraId="4CBE9F0E"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1993</w:t>
                                  </w:r>
                                </w:p>
                              </w:tc>
                              <w:tc>
                                <w:tcPr>
                                  <w:tcW w:w="1134" w:type="dxa"/>
                                  <w:tcBorders>
                                    <w:top w:val="single" w:sz="4" w:space="0" w:color="auto"/>
                                    <w:left w:val="single" w:sz="4" w:space="0" w:color="auto"/>
                                    <w:bottom w:val="single" w:sz="4" w:space="0" w:color="auto"/>
                                    <w:right w:val="single" w:sz="4" w:space="0" w:color="auto"/>
                                  </w:tcBorders>
                                  <w:hideMark/>
                                </w:tcPr>
                                <w:p w14:paraId="47E8B4BA"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15.5</w:t>
                                  </w:r>
                                </w:p>
                              </w:tc>
                              <w:tc>
                                <w:tcPr>
                                  <w:tcW w:w="1791" w:type="dxa"/>
                                  <w:tcBorders>
                                    <w:top w:val="single" w:sz="4" w:space="0" w:color="auto"/>
                                    <w:left w:val="single" w:sz="4" w:space="0" w:color="auto"/>
                                    <w:bottom w:val="single" w:sz="4" w:space="0" w:color="auto"/>
                                    <w:right w:val="single" w:sz="4" w:space="0" w:color="auto"/>
                                  </w:tcBorders>
                                  <w:hideMark/>
                                </w:tcPr>
                                <w:p w14:paraId="456A18D7"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Iron-ore prospect</w:t>
                                  </w:r>
                                </w:p>
                              </w:tc>
                            </w:tr>
                            <w:tr w:rsidR="00BC0CFA" w14:paraId="479479F0" w14:textId="77777777">
                              <w:tc>
                                <w:tcPr>
                                  <w:tcW w:w="1413" w:type="dxa"/>
                                  <w:tcBorders>
                                    <w:top w:val="single" w:sz="4" w:space="0" w:color="auto"/>
                                    <w:left w:val="single" w:sz="4" w:space="0" w:color="auto"/>
                                    <w:bottom w:val="single" w:sz="4" w:space="0" w:color="auto"/>
                                    <w:right w:val="single" w:sz="4" w:space="0" w:color="auto"/>
                                  </w:tcBorders>
                                  <w:hideMark/>
                                </w:tcPr>
                                <w:p w14:paraId="656BEDFC"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Zambia</w:t>
                                  </w:r>
                                </w:p>
                              </w:tc>
                              <w:tc>
                                <w:tcPr>
                                  <w:tcW w:w="2410" w:type="dxa"/>
                                  <w:tcBorders>
                                    <w:top w:val="single" w:sz="4" w:space="0" w:color="auto"/>
                                    <w:left w:val="single" w:sz="4" w:space="0" w:color="auto"/>
                                    <w:bottom w:val="single" w:sz="4" w:space="0" w:color="auto"/>
                                    <w:right w:val="single" w:sz="4" w:space="0" w:color="auto"/>
                                  </w:tcBorders>
                                  <w:hideMark/>
                                </w:tcPr>
                                <w:p w14:paraId="7895BA47"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19 National Parks</w:t>
                                  </w:r>
                                </w:p>
                              </w:tc>
                              <w:tc>
                                <w:tcPr>
                                  <w:tcW w:w="1275" w:type="dxa"/>
                                  <w:tcBorders>
                                    <w:top w:val="single" w:sz="4" w:space="0" w:color="auto"/>
                                    <w:left w:val="single" w:sz="4" w:space="0" w:color="auto"/>
                                    <w:bottom w:val="single" w:sz="4" w:space="0" w:color="auto"/>
                                    <w:right w:val="single" w:sz="4" w:space="0" w:color="auto"/>
                                  </w:tcBorders>
                                  <w:hideMark/>
                                </w:tcPr>
                                <w:p w14:paraId="23183EEA"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Downgrade</w:t>
                                  </w:r>
                                </w:p>
                              </w:tc>
                              <w:tc>
                                <w:tcPr>
                                  <w:tcW w:w="993" w:type="dxa"/>
                                  <w:tcBorders>
                                    <w:top w:val="single" w:sz="4" w:space="0" w:color="auto"/>
                                    <w:left w:val="single" w:sz="4" w:space="0" w:color="auto"/>
                                    <w:bottom w:val="single" w:sz="4" w:space="0" w:color="auto"/>
                                    <w:right w:val="single" w:sz="4" w:space="0" w:color="auto"/>
                                  </w:tcBorders>
                                  <w:hideMark/>
                                </w:tcPr>
                                <w:p w14:paraId="74325A11"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1998</w:t>
                                  </w:r>
                                </w:p>
                              </w:tc>
                              <w:tc>
                                <w:tcPr>
                                  <w:tcW w:w="1134" w:type="dxa"/>
                                  <w:tcBorders>
                                    <w:top w:val="single" w:sz="4" w:space="0" w:color="auto"/>
                                    <w:left w:val="single" w:sz="4" w:space="0" w:color="auto"/>
                                    <w:bottom w:val="single" w:sz="4" w:space="0" w:color="auto"/>
                                    <w:right w:val="single" w:sz="4" w:space="0" w:color="auto"/>
                                  </w:tcBorders>
                                  <w:hideMark/>
                                </w:tcPr>
                                <w:p w14:paraId="4AB62DD2"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63,585</w:t>
                                  </w:r>
                                </w:p>
                              </w:tc>
                              <w:tc>
                                <w:tcPr>
                                  <w:tcW w:w="1791" w:type="dxa"/>
                                  <w:tcBorders>
                                    <w:top w:val="single" w:sz="4" w:space="0" w:color="auto"/>
                                    <w:left w:val="single" w:sz="4" w:space="0" w:color="auto"/>
                                    <w:bottom w:val="single" w:sz="4" w:space="0" w:color="auto"/>
                                    <w:right w:val="single" w:sz="4" w:space="0" w:color="auto"/>
                                  </w:tcBorders>
                                  <w:hideMark/>
                                </w:tcPr>
                                <w:p w14:paraId="4A089DA4"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Mining</w:t>
                                  </w:r>
                                </w:p>
                              </w:tc>
                            </w:tr>
                            <w:tr w:rsidR="00BC0CFA" w14:paraId="06967C5B" w14:textId="77777777">
                              <w:tc>
                                <w:tcPr>
                                  <w:tcW w:w="1413" w:type="dxa"/>
                                  <w:tcBorders>
                                    <w:top w:val="single" w:sz="4" w:space="0" w:color="auto"/>
                                    <w:left w:val="single" w:sz="4" w:space="0" w:color="auto"/>
                                    <w:bottom w:val="single" w:sz="4" w:space="0" w:color="auto"/>
                                    <w:right w:val="single" w:sz="4" w:space="0" w:color="auto"/>
                                  </w:tcBorders>
                                  <w:hideMark/>
                                </w:tcPr>
                                <w:p w14:paraId="2616D277"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Uganda</w:t>
                                  </w:r>
                                </w:p>
                              </w:tc>
                              <w:tc>
                                <w:tcPr>
                                  <w:tcW w:w="2410" w:type="dxa"/>
                                  <w:tcBorders>
                                    <w:top w:val="single" w:sz="4" w:space="0" w:color="auto"/>
                                    <w:left w:val="single" w:sz="4" w:space="0" w:color="auto"/>
                                    <w:bottom w:val="single" w:sz="4" w:space="0" w:color="auto"/>
                                    <w:right w:val="single" w:sz="4" w:space="0" w:color="auto"/>
                                  </w:tcBorders>
                                  <w:hideMark/>
                                </w:tcPr>
                                <w:p w14:paraId="5494F6BF"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Queen Elizabeth National Park</w:t>
                                  </w:r>
                                </w:p>
                              </w:tc>
                              <w:tc>
                                <w:tcPr>
                                  <w:tcW w:w="1275" w:type="dxa"/>
                                  <w:tcBorders>
                                    <w:top w:val="single" w:sz="4" w:space="0" w:color="auto"/>
                                    <w:left w:val="single" w:sz="4" w:space="0" w:color="auto"/>
                                    <w:bottom w:val="single" w:sz="4" w:space="0" w:color="auto"/>
                                    <w:right w:val="single" w:sz="4" w:space="0" w:color="auto"/>
                                  </w:tcBorders>
                                  <w:hideMark/>
                                </w:tcPr>
                                <w:p w14:paraId="71CADD38"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Downgrade</w:t>
                                  </w:r>
                                </w:p>
                              </w:tc>
                              <w:tc>
                                <w:tcPr>
                                  <w:tcW w:w="993" w:type="dxa"/>
                                  <w:tcBorders>
                                    <w:top w:val="single" w:sz="4" w:space="0" w:color="auto"/>
                                    <w:left w:val="single" w:sz="4" w:space="0" w:color="auto"/>
                                    <w:bottom w:val="single" w:sz="4" w:space="0" w:color="auto"/>
                                    <w:right w:val="single" w:sz="4" w:space="0" w:color="auto"/>
                                  </w:tcBorders>
                                  <w:hideMark/>
                                </w:tcPr>
                                <w:p w14:paraId="0E959366"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2005</w:t>
                                  </w:r>
                                </w:p>
                              </w:tc>
                              <w:tc>
                                <w:tcPr>
                                  <w:tcW w:w="1134" w:type="dxa"/>
                                  <w:tcBorders>
                                    <w:top w:val="single" w:sz="4" w:space="0" w:color="auto"/>
                                    <w:left w:val="single" w:sz="4" w:space="0" w:color="auto"/>
                                    <w:bottom w:val="single" w:sz="4" w:space="0" w:color="auto"/>
                                    <w:right w:val="single" w:sz="4" w:space="0" w:color="auto"/>
                                  </w:tcBorders>
                                  <w:hideMark/>
                                </w:tcPr>
                                <w:p w14:paraId="1B4472D2"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Unknown</w:t>
                                  </w:r>
                                </w:p>
                              </w:tc>
                              <w:tc>
                                <w:tcPr>
                                  <w:tcW w:w="1791" w:type="dxa"/>
                                  <w:tcBorders>
                                    <w:top w:val="single" w:sz="4" w:space="0" w:color="auto"/>
                                    <w:left w:val="single" w:sz="4" w:space="0" w:color="auto"/>
                                    <w:bottom w:val="single" w:sz="4" w:space="0" w:color="auto"/>
                                    <w:right w:val="single" w:sz="4" w:space="0" w:color="auto"/>
                                  </w:tcBorders>
                                  <w:hideMark/>
                                </w:tcPr>
                                <w:p w14:paraId="2BF58FB2"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Limestone</w:t>
                                  </w:r>
                                </w:p>
                              </w:tc>
                            </w:tr>
                            <w:tr w:rsidR="00BC0CFA" w14:paraId="619A9F10" w14:textId="77777777">
                              <w:tc>
                                <w:tcPr>
                                  <w:tcW w:w="1413" w:type="dxa"/>
                                  <w:tcBorders>
                                    <w:top w:val="single" w:sz="4" w:space="0" w:color="auto"/>
                                    <w:left w:val="single" w:sz="4" w:space="0" w:color="auto"/>
                                    <w:bottom w:val="single" w:sz="4" w:space="0" w:color="auto"/>
                                    <w:right w:val="single" w:sz="4" w:space="0" w:color="auto"/>
                                  </w:tcBorders>
                                  <w:hideMark/>
                                </w:tcPr>
                                <w:p w14:paraId="562D569F"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DRC</w:t>
                                  </w:r>
                                </w:p>
                              </w:tc>
                              <w:tc>
                                <w:tcPr>
                                  <w:tcW w:w="2410" w:type="dxa"/>
                                  <w:tcBorders>
                                    <w:top w:val="single" w:sz="4" w:space="0" w:color="auto"/>
                                    <w:left w:val="single" w:sz="4" w:space="0" w:color="auto"/>
                                    <w:bottom w:val="single" w:sz="4" w:space="0" w:color="auto"/>
                                    <w:right w:val="single" w:sz="4" w:space="0" w:color="auto"/>
                                  </w:tcBorders>
                                  <w:hideMark/>
                                </w:tcPr>
                                <w:p w14:paraId="2460E802"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Basse Kando Reserve</w:t>
                                  </w:r>
                                </w:p>
                              </w:tc>
                              <w:tc>
                                <w:tcPr>
                                  <w:tcW w:w="1275" w:type="dxa"/>
                                  <w:tcBorders>
                                    <w:top w:val="single" w:sz="4" w:space="0" w:color="auto"/>
                                    <w:left w:val="single" w:sz="4" w:space="0" w:color="auto"/>
                                    <w:bottom w:val="single" w:sz="4" w:space="0" w:color="auto"/>
                                    <w:right w:val="single" w:sz="4" w:space="0" w:color="auto"/>
                                  </w:tcBorders>
                                  <w:hideMark/>
                                </w:tcPr>
                                <w:p w14:paraId="34B14AD3"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Degazette</w:t>
                                  </w:r>
                                </w:p>
                              </w:tc>
                              <w:tc>
                                <w:tcPr>
                                  <w:tcW w:w="993" w:type="dxa"/>
                                  <w:tcBorders>
                                    <w:top w:val="single" w:sz="4" w:space="0" w:color="auto"/>
                                    <w:left w:val="single" w:sz="4" w:space="0" w:color="auto"/>
                                    <w:bottom w:val="single" w:sz="4" w:space="0" w:color="auto"/>
                                    <w:right w:val="single" w:sz="4" w:space="0" w:color="auto"/>
                                  </w:tcBorders>
                                  <w:hideMark/>
                                </w:tcPr>
                                <w:p w14:paraId="1090600A"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2006</w:t>
                                  </w:r>
                                </w:p>
                              </w:tc>
                              <w:tc>
                                <w:tcPr>
                                  <w:tcW w:w="1134" w:type="dxa"/>
                                  <w:tcBorders>
                                    <w:top w:val="single" w:sz="4" w:space="0" w:color="auto"/>
                                    <w:left w:val="single" w:sz="4" w:space="0" w:color="auto"/>
                                    <w:bottom w:val="single" w:sz="4" w:space="0" w:color="auto"/>
                                    <w:right w:val="single" w:sz="4" w:space="0" w:color="auto"/>
                                  </w:tcBorders>
                                  <w:hideMark/>
                                </w:tcPr>
                                <w:p w14:paraId="0DC11BE1"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Unknown</w:t>
                                  </w:r>
                                </w:p>
                              </w:tc>
                              <w:tc>
                                <w:tcPr>
                                  <w:tcW w:w="1791" w:type="dxa"/>
                                  <w:tcBorders>
                                    <w:top w:val="single" w:sz="4" w:space="0" w:color="auto"/>
                                    <w:left w:val="single" w:sz="4" w:space="0" w:color="auto"/>
                                    <w:bottom w:val="single" w:sz="4" w:space="0" w:color="auto"/>
                                    <w:right w:val="single" w:sz="4" w:space="0" w:color="auto"/>
                                  </w:tcBorders>
                                  <w:hideMark/>
                                </w:tcPr>
                                <w:p w14:paraId="44573BB6"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Mining</w:t>
                                  </w:r>
                                </w:p>
                              </w:tc>
                            </w:tr>
                            <w:tr w:rsidR="00BC0CFA" w14:paraId="4F65BCF8" w14:textId="77777777">
                              <w:tc>
                                <w:tcPr>
                                  <w:tcW w:w="1413" w:type="dxa"/>
                                  <w:tcBorders>
                                    <w:top w:val="single" w:sz="4" w:space="0" w:color="auto"/>
                                    <w:left w:val="single" w:sz="4" w:space="0" w:color="auto"/>
                                    <w:bottom w:val="single" w:sz="4" w:space="0" w:color="auto"/>
                                    <w:right w:val="single" w:sz="4" w:space="0" w:color="auto"/>
                                  </w:tcBorders>
                                  <w:hideMark/>
                                </w:tcPr>
                                <w:p w14:paraId="03D522E0"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South Africa</w:t>
                                  </w:r>
                                </w:p>
                              </w:tc>
                              <w:tc>
                                <w:tcPr>
                                  <w:tcW w:w="2410" w:type="dxa"/>
                                  <w:tcBorders>
                                    <w:top w:val="single" w:sz="4" w:space="0" w:color="auto"/>
                                    <w:left w:val="single" w:sz="4" w:space="0" w:color="auto"/>
                                    <w:bottom w:val="single" w:sz="4" w:space="0" w:color="auto"/>
                                    <w:right w:val="single" w:sz="4" w:space="0" w:color="auto"/>
                                  </w:tcBorders>
                                  <w:hideMark/>
                                </w:tcPr>
                                <w:p w14:paraId="22A79ABB"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Marakele National Park</w:t>
                                  </w:r>
                                </w:p>
                              </w:tc>
                              <w:tc>
                                <w:tcPr>
                                  <w:tcW w:w="1275" w:type="dxa"/>
                                  <w:tcBorders>
                                    <w:top w:val="single" w:sz="4" w:space="0" w:color="auto"/>
                                    <w:left w:val="single" w:sz="4" w:space="0" w:color="auto"/>
                                    <w:bottom w:val="single" w:sz="4" w:space="0" w:color="auto"/>
                                    <w:right w:val="single" w:sz="4" w:space="0" w:color="auto"/>
                                  </w:tcBorders>
                                  <w:hideMark/>
                                </w:tcPr>
                                <w:p w14:paraId="12E7C9FC"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Downgrade</w:t>
                                  </w:r>
                                </w:p>
                              </w:tc>
                              <w:tc>
                                <w:tcPr>
                                  <w:tcW w:w="993" w:type="dxa"/>
                                  <w:tcBorders>
                                    <w:top w:val="single" w:sz="4" w:space="0" w:color="auto"/>
                                    <w:left w:val="single" w:sz="4" w:space="0" w:color="auto"/>
                                    <w:bottom w:val="single" w:sz="4" w:space="0" w:color="auto"/>
                                    <w:right w:val="single" w:sz="4" w:space="0" w:color="auto"/>
                                  </w:tcBorders>
                                  <w:hideMark/>
                                </w:tcPr>
                                <w:p w14:paraId="613C780D"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2009</w:t>
                                  </w:r>
                                </w:p>
                              </w:tc>
                              <w:tc>
                                <w:tcPr>
                                  <w:tcW w:w="1134" w:type="dxa"/>
                                  <w:tcBorders>
                                    <w:top w:val="single" w:sz="4" w:space="0" w:color="auto"/>
                                    <w:left w:val="single" w:sz="4" w:space="0" w:color="auto"/>
                                    <w:bottom w:val="single" w:sz="4" w:space="0" w:color="auto"/>
                                    <w:right w:val="single" w:sz="4" w:space="0" w:color="auto"/>
                                  </w:tcBorders>
                                  <w:hideMark/>
                                </w:tcPr>
                                <w:p w14:paraId="67D66AB4"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Unknown</w:t>
                                  </w:r>
                                </w:p>
                              </w:tc>
                              <w:tc>
                                <w:tcPr>
                                  <w:tcW w:w="1791" w:type="dxa"/>
                                  <w:tcBorders>
                                    <w:top w:val="single" w:sz="4" w:space="0" w:color="auto"/>
                                    <w:left w:val="single" w:sz="4" w:space="0" w:color="auto"/>
                                    <w:bottom w:val="single" w:sz="4" w:space="0" w:color="auto"/>
                                    <w:right w:val="single" w:sz="4" w:space="0" w:color="auto"/>
                                  </w:tcBorders>
                                  <w:hideMark/>
                                </w:tcPr>
                                <w:p w14:paraId="27C86F62"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Unknown</w:t>
                                  </w:r>
                                </w:p>
                              </w:tc>
                            </w:tr>
                            <w:tr w:rsidR="00BC0CFA" w14:paraId="78202DB6" w14:textId="77777777">
                              <w:tc>
                                <w:tcPr>
                                  <w:tcW w:w="1413" w:type="dxa"/>
                                  <w:tcBorders>
                                    <w:top w:val="single" w:sz="4" w:space="0" w:color="auto"/>
                                    <w:left w:val="single" w:sz="4" w:space="0" w:color="auto"/>
                                    <w:bottom w:val="single" w:sz="4" w:space="0" w:color="auto"/>
                                    <w:right w:val="single" w:sz="4" w:space="0" w:color="auto"/>
                                  </w:tcBorders>
                                  <w:hideMark/>
                                </w:tcPr>
                                <w:p w14:paraId="0D0F630B"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Tanzania</w:t>
                                  </w:r>
                                </w:p>
                              </w:tc>
                              <w:tc>
                                <w:tcPr>
                                  <w:tcW w:w="2410" w:type="dxa"/>
                                  <w:tcBorders>
                                    <w:top w:val="single" w:sz="4" w:space="0" w:color="auto"/>
                                    <w:left w:val="single" w:sz="4" w:space="0" w:color="auto"/>
                                    <w:bottom w:val="single" w:sz="4" w:space="0" w:color="auto"/>
                                    <w:right w:val="single" w:sz="4" w:space="0" w:color="auto"/>
                                  </w:tcBorders>
                                  <w:hideMark/>
                                </w:tcPr>
                                <w:p w14:paraId="22575485"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Selous Game Reserve</w:t>
                                  </w:r>
                                </w:p>
                              </w:tc>
                              <w:tc>
                                <w:tcPr>
                                  <w:tcW w:w="1275" w:type="dxa"/>
                                  <w:tcBorders>
                                    <w:top w:val="single" w:sz="4" w:space="0" w:color="auto"/>
                                    <w:left w:val="single" w:sz="4" w:space="0" w:color="auto"/>
                                    <w:bottom w:val="single" w:sz="4" w:space="0" w:color="auto"/>
                                    <w:right w:val="single" w:sz="4" w:space="0" w:color="auto"/>
                                  </w:tcBorders>
                                  <w:hideMark/>
                                </w:tcPr>
                                <w:p w14:paraId="0B523CA6"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Downsize</w:t>
                                  </w:r>
                                </w:p>
                              </w:tc>
                              <w:tc>
                                <w:tcPr>
                                  <w:tcW w:w="993" w:type="dxa"/>
                                  <w:tcBorders>
                                    <w:top w:val="single" w:sz="4" w:space="0" w:color="auto"/>
                                    <w:left w:val="single" w:sz="4" w:space="0" w:color="auto"/>
                                    <w:bottom w:val="single" w:sz="4" w:space="0" w:color="auto"/>
                                    <w:right w:val="single" w:sz="4" w:space="0" w:color="auto"/>
                                  </w:tcBorders>
                                  <w:hideMark/>
                                </w:tcPr>
                                <w:p w14:paraId="6CED66F9"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2012</w:t>
                                  </w:r>
                                </w:p>
                              </w:tc>
                              <w:tc>
                                <w:tcPr>
                                  <w:tcW w:w="1134" w:type="dxa"/>
                                  <w:tcBorders>
                                    <w:top w:val="single" w:sz="4" w:space="0" w:color="auto"/>
                                    <w:left w:val="single" w:sz="4" w:space="0" w:color="auto"/>
                                    <w:bottom w:val="single" w:sz="4" w:space="0" w:color="auto"/>
                                    <w:right w:val="single" w:sz="4" w:space="0" w:color="auto"/>
                                  </w:tcBorders>
                                  <w:hideMark/>
                                </w:tcPr>
                                <w:p w14:paraId="6A9440E9"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200</w:t>
                                  </w:r>
                                </w:p>
                              </w:tc>
                              <w:tc>
                                <w:tcPr>
                                  <w:tcW w:w="1791" w:type="dxa"/>
                                  <w:tcBorders>
                                    <w:top w:val="single" w:sz="4" w:space="0" w:color="auto"/>
                                    <w:left w:val="single" w:sz="4" w:space="0" w:color="auto"/>
                                    <w:bottom w:val="single" w:sz="4" w:space="0" w:color="auto"/>
                                    <w:right w:val="single" w:sz="4" w:space="0" w:color="auto"/>
                                  </w:tcBorders>
                                  <w:hideMark/>
                                </w:tcPr>
                                <w:p w14:paraId="548B1E8F"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Uranium</w:t>
                                  </w:r>
                                </w:p>
                              </w:tc>
                            </w:tr>
                          </w:tbl>
                          <w:p w14:paraId="05869030" w14:textId="77777777" w:rsidR="00BC0CFA" w:rsidRDefault="00BC0CFA" w:rsidP="009B0448"/>
                        </w:txbxContent>
                      </wps:txbx>
                      <wps:bodyPr rot="0" vert="horz" wrap="square" lIns="91440" tIns="45720" rIns="91440" bIns="45720" anchor="t" anchorCtr="0" upright="1">
                        <a:noAutofit/>
                      </wps:bodyPr>
                    </wps:wsp>
                  </a:graphicData>
                </a:graphic>
              </wp:inline>
            </w:drawing>
          </mc:Choice>
          <mc:Fallback>
            <w:pict>
              <v:shapetype w14:anchorId="0D5B17CB" id="_x0000_t202" coordsize="21600,21600" o:spt="202" path="m,l,21600r21600,l21600,xe">
                <v:stroke joinstyle="miter"/>
                <v:path gradientshapeok="t" o:connecttype="rect"/>
              </v:shapetype>
              <v:shape id="Text Box 197" o:spid="_x0000_s1033" type="#_x0000_t202" style="width:459.2pt;height:37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" fillcolor="#f2f2f2 [3052]">
                <v:textbox>
                  <w:txbxContent>
                    <w:p w14:paraId="5781EA3C" w14:textId="77777777" w:rsidR="00BC0CFA" w:rsidRDefault="00BC0CFA" w:rsidP="009B0448">
                      <w:pPr>
                        <w:spacing w:after="100" w:afterAutospacing="1"/>
                        <w:jc w:val="both"/>
                        <w:rPr>
                          <w:rFonts w:ascii="Times New Roman" w:hAnsi="Times New Roman" w:cs="Times New Roman"/>
                          <w:b/>
                        </w:rPr>
                      </w:pPr>
                      <w:r>
                        <w:rPr>
                          <w:rFonts w:ascii="Times New Roman" w:hAnsi="Times New Roman" w:cs="Times New Roman"/>
                          <w:b/>
                        </w:rPr>
                        <w:t>Box 4.3: Impact of mining on protected areas in Africa</w:t>
                      </w:r>
                    </w:p>
                    <w:p w14:paraId="2E03D358" w14:textId="77777777" w:rsidR="00BC0CFA" w:rsidRDefault="00BC0CFA" w:rsidP="009B0448">
                      <w:pPr>
                        <w:spacing w:after="100" w:afterAutospacing="1"/>
                        <w:jc w:val="both"/>
                        <w:rPr>
                          <w:rFonts w:ascii="Times New Roman" w:hAnsi="Times New Roman" w:cs="Times New Roman"/>
                        </w:rPr>
                      </w:pPr>
                      <w:r>
                        <w:rPr>
                          <w:rFonts w:ascii="Times New Roman" w:hAnsi="Times New Roman" w:cs="Times New Roman"/>
                        </w:rPr>
                        <w:t xml:space="preserve">Africa is rich in natural resources with large underground desposits of cobalt, diamond, gold, iron, phosphates, etc. Access to mineral reserves is through opencast or underground mining with impacts on natural areas and biodiversity (Duran </w:t>
                      </w:r>
                      <w:r>
                        <w:rPr>
                          <w:rFonts w:ascii="Times New Roman" w:hAnsi="Times New Roman" w:cs="Times New Roman"/>
                          <w:i/>
                        </w:rPr>
                        <w:t>et al.</w:t>
                      </w:r>
                      <w:r>
                        <w:rPr>
                          <w:rFonts w:ascii="Times New Roman" w:hAnsi="Times New Roman" w:cs="Times New Roman"/>
                        </w:rPr>
                        <w:t xml:space="preserve">, 2013). A proportion of 44% of Africa’s major metal mines are inside or within 10 km of a protected area (see table below) (Edward </w:t>
                      </w:r>
                      <w:r>
                        <w:rPr>
                          <w:rFonts w:ascii="Times New Roman" w:hAnsi="Times New Roman" w:cs="Times New Roman"/>
                          <w:i/>
                        </w:rPr>
                        <w:t>et al.</w:t>
                      </w:r>
                      <w:r>
                        <w:rPr>
                          <w:rFonts w:ascii="Times New Roman" w:hAnsi="Times New Roman" w:cs="Times New Roman"/>
                        </w:rPr>
                        <w:t xml:space="preserve">, 2013). Mineral exploration and exploitation is linked with major infrastructural development, such as roads, railway, ports and hydropower dams. These have direct and indirect impacts on biodiversity including removal, fragmentation and degradation of natural habitats (Duran </w:t>
                      </w:r>
                      <w:r>
                        <w:rPr>
                          <w:rFonts w:ascii="Times New Roman" w:hAnsi="Times New Roman" w:cs="Times New Roman"/>
                          <w:i/>
                        </w:rPr>
                        <w:t>et al.</w:t>
                      </w:r>
                      <w:r>
                        <w:rPr>
                          <w:rFonts w:ascii="Times New Roman" w:hAnsi="Times New Roman" w:cs="Times New Roman"/>
                        </w:rPr>
                        <w:t xml:space="preserve">, 2013). Of greatest concern is the downgrading, downsizing, and degazettement of protected areas as exemplified by the loss of 1,550 hectares of Mount Nimba Biosphere Reserve, a World Heritage site in the Republic of Guniea (Edward </w:t>
                      </w:r>
                      <w:r>
                        <w:rPr>
                          <w:rFonts w:ascii="Times New Roman" w:hAnsi="Times New Roman" w:cs="Times New Roman"/>
                          <w:i/>
                        </w:rPr>
                        <w:t>et al.</w:t>
                      </w:r>
                      <w:r>
                        <w:rPr>
                          <w:rFonts w:ascii="Times New Roman" w:hAnsi="Times New Roman" w:cs="Times New Roman"/>
                        </w:rPr>
                        <w:t>, 2013).</w:t>
                      </w:r>
                    </w:p>
                    <w:p w14:paraId="63CFB5C0" w14:textId="77777777" w:rsidR="00BC0CFA" w:rsidRDefault="00BC0CFA" w:rsidP="009B0448">
                      <w:pPr>
                        <w:spacing w:after="100" w:afterAutospacing="1"/>
                        <w:jc w:val="both"/>
                        <w:rPr>
                          <w:rFonts w:ascii="Times New Roman" w:hAnsi="Times New Roman" w:cs="Times New Roman"/>
                        </w:rPr>
                      </w:pPr>
                      <w:r>
                        <w:rPr>
                          <w:rFonts w:ascii="Times New Roman" w:hAnsi="Times New Roman" w:cs="Times New Roman"/>
                        </w:rPr>
                        <w:t xml:space="preserve">Examples of Protected Area downgrading, downsizing, and degazettement (PADDD) for mining prospecting or extraction in some African countries. Downgrading relates to a reduction in the level of legal protection, downsizing to a reduction in park area, and degazettement to a removal of formal protection. Source: Edward </w:t>
                      </w:r>
                      <w:r>
                        <w:rPr>
                          <w:rFonts w:ascii="Times New Roman" w:hAnsi="Times New Roman" w:cs="Times New Roman"/>
                          <w:i/>
                        </w:rPr>
                        <w:t>et al.</w:t>
                      </w:r>
                      <w:r>
                        <w:rPr>
                          <w:rFonts w:ascii="Times New Roman" w:hAnsi="Times New Roman" w:cs="Times New Roman"/>
                        </w:rPr>
                        <w:t xml:space="preserve"> (2013).</w:t>
                      </w:r>
                    </w:p>
                    <w:tbl>
                      <w:tblPr>
                        <w:tblStyle w:val="TableGrid"/>
                        <w:tblW w:w="0" w:type="auto"/>
                        <w:tblLook w:val="04A0" w:firstRow="1" w:lastRow="0" w:firstColumn="1" w:lastColumn="0" w:noHBand="0" w:noVBand="1"/>
                      </w:tblPr>
                      <w:tblGrid>
                        <w:gridCol w:w="1394"/>
                        <w:gridCol w:w="2340"/>
                        <w:gridCol w:w="1273"/>
                        <w:gridCol w:w="976"/>
                        <w:gridCol w:w="1131"/>
                        <w:gridCol w:w="1758"/>
                      </w:tblGrid>
                      <w:tr w:rsidR="00BC0CFA" w14:paraId="10ACC4B8" w14:textId="77777777">
                        <w:tc>
                          <w:tcPr>
                            <w:tcW w:w="1413" w:type="dxa"/>
                            <w:tcBorders>
                              <w:top w:val="single" w:sz="4" w:space="0" w:color="auto"/>
                              <w:left w:val="single" w:sz="4" w:space="0" w:color="auto"/>
                              <w:bottom w:val="single" w:sz="4" w:space="0" w:color="auto"/>
                              <w:right w:val="single" w:sz="4" w:space="0" w:color="auto"/>
                            </w:tcBorders>
                            <w:hideMark/>
                          </w:tcPr>
                          <w:p w14:paraId="327C7E56" w14:textId="77777777" w:rsidR="00BC0CFA" w:rsidRDefault="00BC0CFA">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Country</w:t>
                            </w:r>
                          </w:p>
                        </w:tc>
                        <w:tc>
                          <w:tcPr>
                            <w:tcW w:w="2410" w:type="dxa"/>
                            <w:tcBorders>
                              <w:top w:val="single" w:sz="4" w:space="0" w:color="auto"/>
                              <w:left w:val="single" w:sz="4" w:space="0" w:color="auto"/>
                              <w:bottom w:val="single" w:sz="4" w:space="0" w:color="auto"/>
                              <w:right w:val="single" w:sz="4" w:space="0" w:color="auto"/>
                            </w:tcBorders>
                            <w:hideMark/>
                          </w:tcPr>
                          <w:p w14:paraId="6D077F2F" w14:textId="77777777" w:rsidR="00BC0CFA" w:rsidRDefault="00BC0CFA">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Location</w:t>
                            </w:r>
                          </w:p>
                        </w:tc>
                        <w:tc>
                          <w:tcPr>
                            <w:tcW w:w="1275" w:type="dxa"/>
                            <w:tcBorders>
                              <w:top w:val="single" w:sz="4" w:space="0" w:color="auto"/>
                              <w:left w:val="single" w:sz="4" w:space="0" w:color="auto"/>
                              <w:bottom w:val="single" w:sz="4" w:space="0" w:color="auto"/>
                              <w:right w:val="single" w:sz="4" w:space="0" w:color="auto"/>
                            </w:tcBorders>
                            <w:hideMark/>
                          </w:tcPr>
                          <w:p w14:paraId="53A71506" w14:textId="77777777" w:rsidR="00BC0CFA" w:rsidRDefault="00BC0CFA">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PADDD</w:t>
                            </w:r>
                          </w:p>
                        </w:tc>
                        <w:tc>
                          <w:tcPr>
                            <w:tcW w:w="993" w:type="dxa"/>
                            <w:tcBorders>
                              <w:top w:val="single" w:sz="4" w:space="0" w:color="auto"/>
                              <w:left w:val="single" w:sz="4" w:space="0" w:color="auto"/>
                              <w:bottom w:val="single" w:sz="4" w:space="0" w:color="auto"/>
                              <w:right w:val="single" w:sz="4" w:space="0" w:color="auto"/>
                            </w:tcBorders>
                            <w:hideMark/>
                          </w:tcPr>
                          <w:p w14:paraId="4BDE7732" w14:textId="77777777" w:rsidR="00BC0CFA" w:rsidRDefault="00BC0CFA">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Year</w:t>
                            </w:r>
                          </w:p>
                        </w:tc>
                        <w:tc>
                          <w:tcPr>
                            <w:tcW w:w="1134" w:type="dxa"/>
                            <w:tcBorders>
                              <w:top w:val="single" w:sz="4" w:space="0" w:color="auto"/>
                              <w:left w:val="single" w:sz="4" w:space="0" w:color="auto"/>
                              <w:bottom w:val="single" w:sz="4" w:space="0" w:color="auto"/>
                              <w:right w:val="single" w:sz="4" w:space="0" w:color="auto"/>
                            </w:tcBorders>
                            <w:hideMark/>
                          </w:tcPr>
                          <w:p w14:paraId="308FA836" w14:textId="77777777" w:rsidR="00BC0CFA" w:rsidRDefault="00BC0CFA">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Area km</w:t>
                            </w:r>
                            <w:r>
                              <w:rPr>
                                <w:rFonts w:ascii="Times New Roman" w:eastAsia="Times New Roman" w:hAnsi="Times New Roman" w:cs="Times New Roman"/>
                                <w:vertAlign w:val="superscript"/>
                              </w:rPr>
                              <w:t>2</w:t>
                            </w:r>
                          </w:p>
                        </w:tc>
                        <w:tc>
                          <w:tcPr>
                            <w:tcW w:w="1791" w:type="dxa"/>
                            <w:tcBorders>
                              <w:top w:val="single" w:sz="4" w:space="0" w:color="auto"/>
                              <w:left w:val="single" w:sz="4" w:space="0" w:color="auto"/>
                              <w:bottom w:val="single" w:sz="4" w:space="0" w:color="auto"/>
                              <w:right w:val="single" w:sz="4" w:space="0" w:color="auto"/>
                            </w:tcBorders>
                            <w:hideMark/>
                          </w:tcPr>
                          <w:p w14:paraId="1234DA70" w14:textId="77777777" w:rsidR="00BC0CFA" w:rsidRDefault="00BC0CFA">
                            <w:pPr>
                              <w:spacing w:after="100" w:afterAutospacing="1" w:line="276" w:lineRule="auto"/>
                              <w:jc w:val="both"/>
                              <w:rPr>
                                <w:rFonts w:ascii="Times New Roman" w:eastAsia="Times New Roman" w:hAnsi="Times New Roman" w:cs="Times New Roman"/>
                              </w:rPr>
                            </w:pPr>
                            <w:r>
                              <w:rPr>
                                <w:rFonts w:ascii="Times New Roman" w:eastAsia="Times New Roman" w:hAnsi="Times New Roman" w:cs="Times New Roman"/>
                              </w:rPr>
                              <w:t>Mining activity</w:t>
                            </w:r>
                          </w:p>
                        </w:tc>
                      </w:tr>
                      <w:tr w:rsidR="00BC0CFA" w14:paraId="1247BEB5" w14:textId="77777777">
                        <w:tc>
                          <w:tcPr>
                            <w:tcW w:w="1413" w:type="dxa"/>
                            <w:tcBorders>
                              <w:top w:val="single" w:sz="4" w:space="0" w:color="auto"/>
                              <w:left w:val="single" w:sz="4" w:space="0" w:color="auto"/>
                              <w:bottom w:val="single" w:sz="4" w:space="0" w:color="auto"/>
                              <w:right w:val="single" w:sz="4" w:space="0" w:color="auto"/>
                            </w:tcBorders>
                            <w:hideMark/>
                          </w:tcPr>
                          <w:p w14:paraId="4F038C01"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Guinea</w:t>
                            </w:r>
                          </w:p>
                        </w:tc>
                        <w:tc>
                          <w:tcPr>
                            <w:tcW w:w="2410" w:type="dxa"/>
                            <w:tcBorders>
                              <w:top w:val="single" w:sz="4" w:space="0" w:color="auto"/>
                              <w:left w:val="single" w:sz="4" w:space="0" w:color="auto"/>
                              <w:bottom w:val="single" w:sz="4" w:space="0" w:color="auto"/>
                              <w:right w:val="single" w:sz="4" w:space="0" w:color="auto"/>
                            </w:tcBorders>
                            <w:hideMark/>
                          </w:tcPr>
                          <w:p w14:paraId="561ECEF0"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Mount Nimba World Heritage site</w:t>
                            </w:r>
                          </w:p>
                        </w:tc>
                        <w:tc>
                          <w:tcPr>
                            <w:tcW w:w="1275" w:type="dxa"/>
                            <w:tcBorders>
                              <w:top w:val="single" w:sz="4" w:space="0" w:color="auto"/>
                              <w:left w:val="single" w:sz="4" w:space="0" w:color="auto"/>
                              <w:bottom w:val="single" w:sz="4" w:space="0" w:color="auto"/>
                              <w:right w:val="single" w:sz="4" w:space="0" w:color="auto"/>
                            </w:tcBorders>
                            <w:hideMark/>
                          </w:tcPr>
                          <w:p w14:paraId="76F5BF73"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Downsize</w:t>
                            </w:r>
                          </w:p>
                        </w:tc>
                        <w:tc>
                          <w:tcPr>
                            <w:tcW w:w="993" w:type="dxa"/>
                            <w:tcBorders>
                              <w:top w:val="single" w:sz="4" w:space="0" w:color="auto"/>
                              <w:left w:val="single" w:sz="4" w:space="0" w:color="auto"/>
                              <w:bottom w:val="single" w:sz="4" w:space="0" w:color="auto"/>
                              <w:right w:val="single" w:sz="4" w:space="0" w:color="auto"/>
                            </w:tcBorders>
                            <w:hideMark/>
                          </w:tcPr>
                          <w:p w14:paraId="4CBE9F0E"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1993</w:t>
                            </w:r>
                          </w:p>
                        </w:tc>
                        <w:tc>
                          <w:tcPr>
                            <w:tcW w:w="1134" w:type="dxa"/>
                            <w:tcBorders>
                              <w:top w:val="single" w:sz="4" w:space="0" w:color="auto"/>
                              <w:left w:val="single" w:sz="4" w:space="0" w:color="auto"/>
                              <w:bottom w:val="single" w:sz="4" w:space="0" w:color="auto"/>
                              <w:right w:val="single" w:sz="4" w:space="0" w:color="auto"/>
                            </w:tcBorders>
                            <w:hideMark/>
                          </w:tcPr>
                          <w:p w14:paraId="47E8B4BA"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15.5</w:t>
                            </w:r>
                          </w:p>
                        </w:tc>
                        <w:tc>
                          <w:tcPr>
                            <w:tcW w:w="1791" w:type="dxa"/>
                            <w:tcBorders>
                              <w:top w:val="single" w:sz="4" w:space="0" w:color="auto"/>
                              <w:left w:val="single" w:sz="4" w:space="0" w:color="auto"/>
                              <w:bottom w:val="single" w:sz="4" w:space="0" w:color="auto"/>
                              <w:right w:val="single" w:sz="4" w:space="0" w:color="auto"/>
                            </w:tcBorders>
                            <w:hideMark/>
                          </w:tcPr>
                          <w:p w14:paraId="456A18D7"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Iron-ore prospect</w:t>
                            </w:r>
                          </w:p>
                        </w:tc>
                      </w:tr>
                      <w:tr w:rsidR="00BC0CFA" w14:paraId="479479F0" w14:textId="77777777">
                        <w:tc>
                          <w:tcPr>
                            <w:tcW w:w="1413" w:type="dxa"/>
                            <w:tcBorders>
                              <w:top w:val="single" w:sz="4" w:space="0" w:color="auto"/>
                              <w:left w:val="single" w:sz="4" w:space="0" w:color="auto"/>
                              <w:bottom w:val="single" w:sz="4" w:space="0" w:color="auto"/>
                              <w:right w:val="single" w:sz="4" w:space="0" w:color="auto"/>
                            </w:tcBorders>
                            <w:hideMark/>
                          </w:tcPr>
                          <w:p w14:paraId="656BEDFC"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Zambia</w:t>
                            </w:r>
                          </w:p>
                        </w:tc>
                        <w:tc>
                          <w:tcPr>
                            <w:tcW w:w="2410" w:type="dxa"/>
                            <w:tcBorders>
                              <w:top w:val="single" w:sz="4" w:space="0" w:color="auto"/>
                              <w:left w:val="single" w:sz="4" w:space="0" w:color="auto"/>
                              <w:bottom w:val="single" w:sz="4" w:space="0" w:color="auto"/>
                              <w:right w:val="single" w:sz="4" w:space="0" w:color="auto"/>
                            </w:tcBorders>
                            <w:hideMark/>
                          </w:tcPr>
                          <w:p w14:paraId="7895BA47"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19 National Parks</w:t>
                            </w:r>
                          </w:p>
                        </w:tc>
                        <w:tc>
                          <w:tcPr>
                            <w:tcW w:w="1275" w:type="dxa"/>
                            <w:tcBorders>
                              <w:top w:val="single" w:sz="4" w:space="0" w:color="auto"/>
                              <w:left w:val="single" w:sz="4" w:space="0" w:color="auto"/>
                              <w:bottom w:val="single" w:sz="4" w:space="0" w:color="auto"/>
                              <w:right w:val="single" w:sz="4" w:space="0" w:color="auto"/>
                            </w:tcBorders>
                            <w:hideMark/>
                          </w:tcPr>
                          <w:p w14:paraId="23183EEA"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Downgrade</w:t>
                            </w:r>
                          </w:p>
                        </w:tc>
                        <w:tc>
                          <w:tcPr>
                            <w:tcW w:w="993" w:type="dxa"/>
                            <w:tcBorders>
                              <w:top w:val="single" w:sz="4" w:space="0" w:color="auto"/>
                              <w:left w:val="single" w:sz="4" w:space="0" w:color="auto"/>
                              <w:bottom w:val="single" w:sz="4" w:space="0" w:color="auto"/>
                              <w:right w:val="single" w:sz="4" w:space="0" w:color="auto"/>
                            </w:tcBorders>
                            <w:hideMark/>
                          </w:tcPr>
                          <w:p w14:paraId="74325A11"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1998</w:t>
                            </w:r>
                          </w:p>
                        </w:tc>
                        <w:tc>
                          <w:tcPr>
                            <w:tcW w:w="1134" w:type="dxa"/>
                            <w:tcBorders>
                              <w:top w:val="single" w:sz="4" w:space="0" w:color="auto"/>
                              <w:left w:val="single" w:sz="4" w:space="0" w:color="auto"/>
                              <w:bottom w:val="single" w:sz="4" w:space="0" w:color="auto"/>
                              <w:right w:val="single" w:sz="4" w:space="0" w:color="auto"/>
                            </w:tcBorders>
                            <w:hideMark/>
                          </w:tcPr>
                          <w:p w14:paraId="4AB62DD2"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63,585</w:t>
                            </w:r>
                          </w:p>
                        </w:tc>
                        <w:tc>
                          <w:tcPr>
                            <w:tcW w:w="1791" w:type="dxa"/>
                            <w:tcBorders>
                              <w:top w:val="single" w:sz="4" w:space="0" w:color="auto"/>
                              <w:left w:val="single" w:sz="4" w:space="0" w:color="auto"/>
                              <w:bottom w:val="single" w:sz="4" w:space="0" w:color="auto"/>
                              <w:right w:val="single" w:sz="4" w:space="0" w:color="auto"/>
                            </w:tcBorders>
                            <w:hideMark/>
                          </w:tcPr>
                          <w:p w14:paraId="4A089DA4"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Mining</w:t>
                            </w:r>
                          </w:p>
                        </w:tc>
                      </w:tr>
                      <w:tr w:rsidR="00BC0CFA" w14:paraId="06967C5B" w14:textId="77777777">
                        <w:tc>
                          <w:tcPr>
                            <w:tcW w:w="1413" w:type="dxa"/>
                            <w:tcBorders>
                              <w:top w:val="single" w:sz="4" w:space="0" w:color="auto"/>
                              <w:left w:val="single" w:sz="4" w:space="0" w:color="auto"/>
                              <w:bottom w:val="single" w:sz="4" w:space="0" w:color="auto"/>
                              <w:right w:val="single" w:sz="4" w:space="0" w:color="auto"/>
                            </w:tcBorders>
                            <w:hideMark/>
                          </w:tcPr>
                          <w:p w14:paraId="2616D277"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Uganda</w:t>
                            </w:r>
                          </w:p>
                        </w:tc>
                        <w:tc>
                          <w:tcPr>
                            <w:tcW w:w="2410" w:type="dxa"/>
                            <w:tcBorders>
                              <w:top w:val="single" w:sz="4" w:space="0" w:color="auto"/>
                              <w:left w:val="single" w:sz="4" w:space="0" w:color="auto"/>
                              <w:bottom w:val="single" w:sz="4" w:space="0" w:color="auto"/>
                              <w:right w:val="single" w:sz="4" w:space="0" w:color="auto"/>
                            </w:tcBorders>
                            <w:hideMark/>
                          </w:tcPr>
                          <w:p w14:paraId="5494F6BF"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Queen Elizabeth National Park</w:t>
                            </w:r>
                          </w:p>
                        </w:tc>
                        <w:tc>
                          <w:tcPr>
                            <w:tcW w:w="1275" w:type="dxa"/>
                            <w:tcBorders>
                              <w:top w:val="single" w:sz="4" w:space="0" w:color="auto"/>
                              <w:left w:val="single" w:sz="4" w:space="0" w:color="auto"/>
                              <w:bottom w:val="single" w:sz="4" w:space="0" w:color="auto"/>
                              <w:right w:val="single" w:sz="4" w:space="0" w:color="auto"/>
                            </w:tcBorders>
                            <w:hideMark/>
                          </w:tcPr>
                          <w:p w14:paraId="71CADD38"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Downgrade</w:t>
                            </w:r>
                          </w:p>
                        </w:tc>
                        <w:tc>
                          <w:tcPr>
                            <w:tcW w:w="993" w:type="dxa"/>
                            <w:tcBorders>
                              <w:top w:val="single" w:sz="4" w:space="0" w:color="auto"/>
                              <w:left w:val="single" w:sz="4" w:space="0" w:color="auto"/>
                              <w:bottom w:val="single" w:sz="4" w:space="0" w:color="auto"/>
                              <w:right w:val="single" w:sz="4" w:space="0" w:color="auto"/>
                            </w:tcBorders>
                            <w:hideMark/>
                          </w:tcPr>
                          <w:p w14:paraId="0E959366"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2005</w:t>
                            </w:r>
                          </w:p>
                        </w:tc>
                        <w:tc>
                          <w:tcPr>
                            <w:tcW w:w="1134" w:type="dxa"/>
                            <w:tcBorders>
                              <w:top w:val="single" w:sz="4" w:space="0" w:color="auto"/>
                              <w:left w:val="single" w:sz="4" w:space="0" w:color="auto"/>
                              <w:bottom w:val="single" w:sz="4" w:space="0" w:color="auto"/>
                              <w:right w:val="single" w:sz="4" w:space="0" w:color="auto"/>
                            </w:tcBorders>
                            <w:hideMark/>
                          </w:tcPr>
                          <w:p w14:paraId="1B4472D2"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Unknown</w:t>
                            </w:r>
                          </w:p>
                        </w:tc>
                        <w:tc>
                          <w:tcPr>
                            <w:tcW w:w="1791" w:type="dxa"/>
                            <w:tcBorders>
                              <w:top w:val="single" w:sz="4" w:space="0" w:color="auto"/>
                              <w:left w:val="single" w:sz="4" w:space="0" w:color="auto"/>
                              <w:bottom w:val="single" w:sz="4" w:space="0" w:color="auto"/>
                              <w:right w:val="single" w:sz="4" w:space="0" w:color="auto"/>
                            </w:tcBorders>
                            <w:hideMark/>
                          </w:tcPr>
                          <w:p w14:paraId="2BF58FB2"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Limestone</w:t>
                            </w:r>
                          </w:p>
                        </w:tc>
                      </w:tr>
                      <w:tr w:rsidR="00BC0CFA" w14:paraId="619A9F10" w14:textId="77777777">
                        <w:tc>
                          <w:tcPr>
                            <w:tcW w:w="1413" w:type="dxa"/>
                            <w:tcBorders>
                              <w:top w:val="single" w:sz="4" w:space="0" w:color="auto"/>
                              <w:left w:val="single" w:sz="4" w:space="0" w:color="auto"/>
                              <w:bottom w:val="single" w:sz="4" w:space="0" w:color="auto"/>
                              <w:right w:val="single" w:sz="4" w:space="0" w:color="auto"/>
                            </w:tcBorders>
                            <w:hideMark/>
                          </w:tcPr>
                          <w:p w14:paraId="562D569F"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DRC</w:t>
                            </w:r>
                          </w:p>
                        </w:tc>
                        <w:tc>
                          <w:tcPr>
                            <w:tcW w:w="2410" w:type="dxa"/>
                            <w:tcBorders>
                              <w:top w:val="single" w:sz="4" w:space="0" w:color="auto"/>
                              <w:left w:val="single" w:sz="4" w:space="0" w:color="auto"/>
                              <w:bottom w:val="single" w:sz="4" w:space="0" w:color="auto"/>
                              <w:right w:val="single" w:sz="4" w:space="0" w:color="auto"/>
                            </w:tcBorders>
                            <w:hideMark/>
                          </w:tcPr>
                          <w:p w14:paraId="2460E802"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Basse Kando Reserve</w:t>
                            </w:r>
                          </w:p>
                        </w:tc>
                        <w:tc>
                          <w:tcPr>
                            <w:tcW w:w="1275" w:type="dxa"/>
                            <w:tcBorders>
                              <w:top w:val="single" w:sz="4" w:space="0" w:color="auto"/>
                              <w:left w:val="single" w:sz="4" w:space="0" w:color="auto"/>
                              <w:bottom w:val="single" w:sz="4" w:space="0" w:color="auto"/>
                              <w:right w:val="single" w:sz="4" w:space="0" w:color="auto"/>
                            </w:tcBorders>
                            <w:hideMark/>
                          </w:tcPr>
                          <w:p w14:paraId="34B14AD3"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Degazette</w:t>
                            </w:r>
                          </w:p>
                        </w:tc>
                        <w:tc>
                          <w:tcPr>
                            <w:tcW w:w="993" w:type="dxa"/>
                            <w:tcBorders>
                              <w:top w:val="single" w:sz="4" w:space="0" w:color="auto"/>
                              <w:left w:val="single" w:sz="4" w:space="0" w:color="auto"/>
                              <w:bottom w:val="single" w:sz="4" w:space="0" w:color="auto"/>
                              <w:right w:val="single" w:sz="4" w:space="0" w:color="auto"/>
                            </w:tcBorders>
                            <w:hideMark/>
                          </w:tcPr>
                          <w:p w14:paraId="1090600A"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2006</w:t>
                            </w:r>
                          </w:p>
                        </w:tc>
                        <w:tc>
                          <w:tcPr>
                            <w:tcW w:w="1134" w:type="dxa"/>
                            <w:tcBorders>
                              <w:top w:val="single" w:sz="4" w:space="0" w:color="auto"/>
                              <w:left w:val="single" w:sz="4" w:space="0" w:color="auto"/>
                              <w:bottom w:val="single" w:sz="4" w:space="0" w:color="auto"/>
                              <w:right w:val="single" w:sz="4" w:space="0" w:color="auto"/>
                            </w:tcBorders>
                            <w:hideMark/>
                          </w:tcPr>
                          <w:p w14:paraId="0DC11BE1"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Unknown</w:t>
                            </w:r>
                          </w:p>
                        </w:tc>
                        <w:tc>
                          <w:tcPr>
                            <w:tcW w:w="1791" w:type="dxa"/>
                            <w:tcBorders>
                              <w:top w:val="single" w:sz="4" w:space="0" w:color="auto"/>
                              <w:left w:val="single" w:sz="4" w:space="0" w:color="auto"/>
                              <w:bottom w:val="single" w:sz="4" w:space="0" w:color="auto"/>
                              <w:right w:val="single" w:sz="4" w:space="0" w:color="auto"/>
                            </w:tcBorders>
                            <w:hideMark/>
                          </w:tcPr>
                          <w:p w14:paraId="44573BB6"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Mining</w:t>
                            </w:r>
                          </w:p>
                        </w:tc>
                      </w:tr>
                      <w:tr w:rsidR="00BC0CFA" w14:paraId="4F65BCF8" w14:textId="77777777">
                        <w:tc>
                          <w:tcPr>
                            <w:tcW w:w="1413" w:type="dxa"/>
                            <w:tcBorders>
                              <w:top w:val="single" w:sz="4" w:space="0" w:color="auto"/>
                              <w:left w:val="single" w:sz="4" w:space="0" w:color="auto"/>
                              <w:bottom w:val="single" w:sz="4" w:space="0" w:color="auto"/>
                              <w:right w:val="single" w:sz="4" w:space="0" w:color="auto"/>
                            </w:tcBorders>
                            <w:hideMark/>
                          </w:tcPr>
                          <w:p w14:paraId="03D522E0"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South Africa</w:t>
                            </w:r>
                          </w:p>
                        </w:tc>
                        <w:tc>
                          <w:tcPr>
                            <w:tcW w:w="2410" w:type="dxa"/>
                            <w:tcBorders>
                              <w:top w:val="single" w:sz="4" w:space="0" w:color="auto"/>
                              <w:left w:val="single" w:sz="4" w:space="0" w:color="auto"/>
                              <w:bottom w:val="single" w:sz="4" w:space="0" w:color="auto"/>
                              <w:right w:val="single" w:sz="4" w:space="0" w:color="auto"/>
                            </w:tcBorders>
                            <w:hideMark/>
                          </w:tcPr>
                          <w:p w14:paraId="22A79ABB"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Marakele National Park</w:t>
                            </w:r>
                          </w:p>
                        </w:tc>
                        <w:tc>
                          <w:tcPr>
                            <w:tcW w:w="1275" w:type="dxa"/>
                            <w:tcBorders>
                              <w:top w:val="single" w:sz="4" w:space="0" w:color="auto"/>
                              <w:left w:val="single" w:sz="4" w:space="0" w:color="auto"/>
                              <w:bottom w:val="single" w:sz="4" w:space="0" w:color="auto"/>
                              <w:right w:val="single" w:sz="4" w:space="0" w:color="auto"/>
                            </w:tcBorders>
                            <w:hideMark/>
                          </w:tcPr>
                          <w:p w14:paraId="12E7C9FC"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Downgrade</w:t>
                            </w:r>
                          </w:p>
                        </w:tc>
                        <w:tc>
                          <w:tcPr>
                            <w:tcW w:w="993" w:type="dxa"/>
                            <w:tcBorders>
                              <w:top w:val="single" w:sz="4" w:space="0" w:color="auto"/>
                              <w:left w:val="single" w:sz="4" w:space="0" w:color="auto"/>
                              <w:bottom w:val="single" w:sz="4" w:space="0" w:color="auto"/>
                              <w:right w:val="single" w:sz="4" w:space="0" w:color="auto"/>
                            </w:tcBorders>
                            <w:hideMark/>
                          </w:tcPr>
                          <w:p w14:paraId="613C780D"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2009</w:t>
                            </w:r>
                          </w:p>
                        </w:tc>
                        <w:tc>
                          <w:tcPr>
                            <w:tcW w:w="1134" w:type="dxa"/>
                            <w:tcBorders>
                              <w:top w:val="single" w:sz="4" w:space="0" w:color="auto"/>
                              <w:left w:val="single" w:sz="4" w:space="0" w:color="auto"/>
                              <w:bottom w:val="single" w:sz="4" w:space="0" w:color="auto"/>
                              <w:right w:val="single" w:sz="4" w:space="0" w:color="auto"/>
                            </w:tcBorders>
                            <w:hideMark/>
                          </w:tcPr>
                          <w:p w14:paraId="67D66AB4"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Unknown</w:t>
                            </w:r>
                          </w:p>
                        </w:tc>
                        <w:tc>
                          <w:tcPr>
                            <w:tcW w:w="1791" w:type="dxa"/>
                            <w:tcBorders>
                              <w:top w:val="single" w:sz="4" w:space="0" w:color="auto"/>
                              <w:left w:val="single" w:sz="4" w:space="0" w:color="auto"/>
                              <w:bottom w:val="single" w:sz="4" w:space="0" w:color="auto"/>
                              <w:right w:val="single" w:sz="4" w:space="0" w:color="auto"/>
                            </w:tcBorders>
                            <w:hideMark/>
                          </w:tcPr>
                          <w:p w14:paraId="27C86F62"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Unknown</w:t>
                            </w:r>
                          </w:p>
                        </w:tc>
                      </w:tr>
                      <w:tr w:rsidR="00BC0CFA" w14:paraId="78202DB6" w14:textId="77777777">
                        <w:tc>
                          <w:tcPr>
                            <w:tcW w:w="1413" w:type="dxa"/>
                            <w:tcBorders>
                              <w:top w:val="single" w:sz="4" w:space="0" w:color="auto"/>
                              <w:left w:val="single" w:sz="4" w:space="0" w:color="auto"/>
                              <w:bottom w:val="single" w:sz="4" w:space="0" w:color="auto"/>
                              <w:right w:val="single" w:sz="4" w:space="0" w:color="auto"/>
                            </w:tcBorders>
                            <w:hideMark/>
                          </w:tcPr>
                          <w:p w14:paraId="0D0F630B"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Tanzania</w:t>
                            </w:r>
                          </w:p>
                        </w:tc>
                        <w:tc>
                          <w:tcPr>
                            <w:tcW w:w="2410" w:type="dxa"/>
                            <w:tcBorders>
                              <w:top w:val="single" w:sz="4" w:space="0" w:color="auto"/>
                              <w:left w:val="single" w:sz="4" w:space="0" w:color="auto"/>
                              <w:bottom w:val="single" w:sz="4" w:space="0" w:color="auto"/>
                              <w:right w:val="single" w:sz="4" w:space="0" w:color="auto"/>
                            </w:tcBorders>
                            <w:hideMark/>
                          </w:tcPr>
                          <w:p w14:paraId="22575485"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Selous Game Reserve</w:t>
                            </w:r>
                          </w:p>
                        </w:tc>
                        <w:tc>
                          <w:tcPr>
                            <w:tcW w:w="1275" w:type="dxa"/>
                            <w:tcBorders>
                              <w:top w:val="single" w:sz="4" w:space="0" w:color="auto"/>
                              <w:left w:val="single" w:sz="4" w:space="0" w:color="auto"/>
                              <w:bottom w:val="single" w:sz="4" w:space="0" w:color="auto"/>
                              <w:right w:val="single" w:sz="4" w:space="0" w:color="auto"/>
                            </w:tcBorders>
                            <w:hideMark/>
                          </w:tcPr>
                          <w:p w14:paraId="0B523CA6"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Downsize</w:t>
                            </w:r>
                          </w:p>
                        </w:tc>
                        <w:tc>
                          <w:tcPr>
                            <w:tcW w:w="993" w:type="dxa"/>
                            <w:tcBorders>
                              <w:top w:val="single" w:sz="4" w:space="0" w:color="auto"/>
                              <w:left w:val="single" w:sz="4" w:space="0" w:color="auto"/>
                              <w:bottom w:val="single" w:sz="4" w:space="0" w:color="auto"/>
                              <w:right w:val="single" w:sz="4" w:space="0" w:color="auto"/>
                            </w:tcBorders>
                            <w:hideMark/>
                          </w:tcPr>
                          <w:p w14:paraId="6CED66F9"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2012</w:t>
                            </w:r>
                          </w:p>
                        </w:tc>
                        <w:tc>
                          <w:tcPr>
                            <w:tcW w:w="1134" w:type="dxa"/>
                            <w:tcBorders>
                              <w:top w:val="single" w:sz="4" w:space="0" w:color="auto"/>
                              <w:left w:val="single" w:sz="4" w:space="0" w:color="auto"/>
                              <w:bottom w:val="single" w:sz="4" w:space="0" w:color="auto"/>
                              <w:right w:val="single" w:sz="4" w:space="0" w:color="auto"/>
                            </w:tcBorders>
                            <w:hideMark/>
                          </w:tcPr>
                          <w:p w14:paraId="6A9440E9"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200</w:t>
                            </w:r>
                          </w:p>
                        </w:tc>
                        <w:tc>
                          <w:tcPr>
                            <w:tcW w:w="1791" w:type="dxa"/>
                            <w:tcBorders>
                              <w:top w:val="single" w:sz="4" w:space="0" w:color="auto"/>
                              <w:left w:val="single" w:sz="4" w:space="0" w:color="auto"/>
                              <w:bottom w:val="single" w:sz="4" w:space="0" w:color="auto"/>
                              <w:right w:val="single" w:sz="4" w:space="0" w:color="auto"/>
                            </w:tcBorders>
                            <w:hideMark/>
                          </w:tcPr>
                          <w:p w14:paraId="548B1E8F" w14:textId="77777777" w:rsidR="00BC0CFA" w:rsidRDefault="00BC0CFA">
                            <w:pPr>
                              <w:spacing w:line="276" w:lineRule="auto"/>
                              <w:jc w:val="both"/>
                              <w:rPr>
                                <w:rFonts w:ascii="Times New Roman" w:eastAsia="Times New Roman" w:hAnsi="Times New Roman" w:cs="Times New Roman"/>
                              </w:rPr>
                            </w:pPr>
                            <w:r>
                              <w:rPr>
                                <w:rFonts w:ascii="Times New Roman" w:eastAsia="Times New Roman" w:hAnsi="Times New Roman" w:cs="Times New Roman"/>
                              </w:rPr>
                              <w:t>Uranium</w:t>
                            </w:r>
                          </w:p>
                        </w:tc>
                      </w:tr>
                    </w:tbl>
                    <w:p w14:paraId="05869030" w14:textId="77777777" w:rsidR="00BC0CFA" w:rsidRDefault="00BC0CFA" w:rsidP="009B0448"/>
                  </w:txbxContent>
                </v:textbox>
                <w10:anchorlock/>
              </v:shape>
            </w:pict>
          </mc:Fallback>
        </mc:AlternateContent>
      </w:r>
    </w:p>
    <w:p w14:paraId="5A6B227B" w14:textId="77777777" w:rsidR="000000FA" w:rsidRDefault="000000FA" w:rsidP="009B0448">
      <w:pPr>
        <w:spacing w:line="276" w:lineRule="auto"/>
        <w:jc w:val="both"/>
        <w:rPr>
          <w:rFonts w:ascii="Times New Roman" w:eastAsia="Times New Roman" w:hAnsi="Times New Roman" w:cs="Times New Roman"/>
        </w:rPr>
      </w:pPr>
    </w:p>
    <w:p w14:paraId="5EAE2E30" w14:textId="02538D94"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Infrastructure development, including urban sprawl and mining, is resulting in habitat loss and land conversion (Box 4.3). Most African cities are expanding at a rapid rate, way in excess of national population expansion rates (Young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Freire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This is driven by increased rural-urban migration. In addition to habitat loss from this urban expansion, there is a secondary impact driven by the need to fuel and feed this growing urban population. For instance, both Dar es Salaam and Maputo have a far-reaching footprint in terms of deforestation (to provide the urban charcoal needs) that extends over 300 km along main arterial routes out of the city (Tadross </w:t>
      </w:r>
      <w:r w:rsidRPr="009B0448">
        <w:rPr>
          <w:rFonts w:ascii="Times New Roman" w:eastAsia="Times New Roman" w:hAnsi="Times New Roman" w:cs="Times New Roman"/>
          <w:i/>
        </w:rPr>
        <w:t>et a</w:t>
      </w:r>
      <w:r w:rsidRPr="009B0448">
        <w:rPr>
          <w:rFonts w:ascii="Times New Roman" w:eastAsia="Times New Roman" w:hAnsi="Times New Roman" w:cs="Times New Roman"/>
        </w:rPr>
        <w:t>l., 2012).</w:t>
      </w:r>
    </w:p>
    <w:p w14:paraId="5B2ED0A3"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74" w:name="_Toc519499939"/>
      <w:r w:rsidRPr="009B0448">
        <w:rPr>
          <w:rFonts w:cs="Times New Roman"/>
          <w:sz w:val="22"/>
          <w:szCs w:val="22"/>
        </w:rPr>
        <w:t>Deforestation</w:t>
      </w:r>
      <w:bookmarkEnd w:id="274"/>
    </w:p>
    <w:p w14:paraId="2E06D7F4" w14:textId="68EDF732"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Deforestation is a global problem. Statistical data showing the long-term trends for Africa (Box 4.4). Deforestation in Africa has mostly been caused by demand for wood and non-wood products for commercial purposes associated with trade and development, or subsistence of communities around forests. G</w:t>
      </w:r>
      <w:r w:rsidRPr="009B0448">
        <w:rPr>
          <w:rFonts w:ascii="Times New Roman" w:hAnsi="Times New Roman" w:cs="Times New Roman"/>
          <w:lang w:val="en"/>
        </w:rPr>
        <w:t>enerally</w:t>
      </w:r>
      <w:r w:rsidR="00E05B46">
        <w:rPr>
          <w:rFonts w:ascii="Times New Roman" w:hAnsi="Times New Roman" w:cs="Times New Roman"/>
          <w:lang w:val="en"/>
        </w:rPr>
        <w:t>,</w:t>
      </w:r>
      <w:r w:rsidRPr="009B0448">
        <w:rPr>
          <w:rFonts w:ascii="Times New Roman" w:hAnsi="Times New Roman" w:cs="Times New Roman"/>
          <w:lang w:val="en"/>
        </w:rPr>
        <w:t xml:space="preserve"> there has been a tendency towards lose than gain of forest areas</w:t>
      </w:r>
      <w:r w:rsidRPr="009B0448">
        <w:rPr>
          <w:rFonts w:ascii="Times New Roman" w:eastAsia="Times New Roman" w:hAnsi="Times New Roman" w:cs="Times New Roman"/>
        </w:rPr>
        <w:t xml:space="preserve"> in Africa</w:t>
      </w:r>
      <w:r w:rsidRPr="009B0448">
        <w:rPr>
          <w:rFonts w:ascii="Times New Roman" w:hAnsi="Times New Roman" w:cs="Times New Roman"/>
          <w:lang w:val="en"/>
        </w:rPr>
        <w:t>, with most losses occurring in areas with medium to high tree densities</w:t>
      </w:r>
      <w:r w:rsidRPr="009B0448">
        <w:rPr>
          <w:rFonts w:ascii="Times New Roman" w:eastAsia="Times New Roman" w:hAnsi="Times New Roman" w:cs="Times New Roman"/>
          <w:lang w:val="en"/>
        </w:rPr>
        <w:t xml:space="preserve"> </w:t>
      </w:r>
      <w:r w:rsidRPr="009B0448">
        <w:rPr>
          <w:rFonts w:ascii="Times New Roman" w:hAnsi="Times New Roman" w:cs="Times New Roman"/>
          <w:lang w:val="en"/>
        </w:rPr>
        <w:t>(Figure 4.7)</w:t>
      </w:r>
      <w:r w:rsidRPr="009B0448">
        <w:rPr>
          <w:rFonts w:ascii="Times New Roman" w:eastAsia="Times New Roman" w:hAnsi="Times New Roman" w:cs="Times New Roman"/>
        </w:rPr>
        <w:t xml:space="preserve">. Africa lost the highest percentage of tropical forests compared to other continents during the 1980s, 1990s, and early 2000s. The actual loss was </w:t>
      </w:r>
      <w:r w:rsidRPr="009B0448">
        <w:rPr>
          <w:rFonts w:ascii="Times New Roman" w:eastAsia="Times New Roman" w:hAnsi="Times New Roman" w:cs="Times New Roman"/>
          <w:color w:val="auto"/>
          <w:lang w:eastAsia="fr-FR"/>
        </w:rPr>
        <w:t>3.4 million hectares annually between 2005 and 2010 (FAO, 2010)</w:t>
      </w:r>
      <w:r w:rsidRPr="009B0448">
        <w:rPr>
          <w:rFonts w:ascii="Times New Roman" w:eastAsia="Times New Roman" w:hAnsi="Times New Roman" w:cs="Times New Roman"/>
        </w:rPr>
        <w:t xml:space="preserve">. Some of the main causes have been classified as illegal industrial and artisanal logging, unsustainable mining, commercial agriculture, infrastructure development, expansion of oil palm cultivation and urban demand for wood fuel or charcoal. Deforestation and fires are also linked with agricultural activities such as slash-and-burn. During severe droughts as in El Niño years, African rainforests may become more susceptible to fire. The most destructive fires occur in forests that have burned previously (Cochrane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1999). Deforestation impacts negatively on local and indigenous peoples via loss of natural resources and therefore loss of habitats they rely on for food, medicine, traditional rituals and social stability and the loss of the traditional and cultural knowledge related to the management of these resources and ecosystems (Kipalu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2016).</w:t>
      </w:r>
    </w:p>
    <w:p w14:paraId="57978434" w14:textId="77777777" w:rsidR="009B0448" w:rsidRPr="009B0448" w:rsidRDefault="009B0448" w:rsidP="009B0448">
      <w:pPr>
        <w:spacing w:line="276" w:lineRule="auto"/>
        <w:jc w:val="both"/>
        <w:rPr>
          <w:rFonts w:ascii="Times New Roman" w:eastAsia="Times New Roman" w:hAnsi="Times New Roman" w:cs="Times New Roman"/>
        </w:rPr>
      </w:pPr>
    </w:p>
    <w:p w14:paraId="6AB7B38D" w14:textId="3AD6F10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67EE3FA6" wp14:editId="6ACAD2DE">
            <wp:extent cx="5689746" cy="5288280"/>
            <wp:effectExtent l="0" t="0" r="6350" b="762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038">
                      <a:extLst>
                        <a:ext uri="{28A0092B-C50C-407E-A947-70E740481C1C}">
                          <a14:useLocalDpi xmlns:a14="http://schemas.microsoft.com/office/drawing/2010/main" val="0"/>
                        </a:ext>
                      </a:extLst>
                    </a:blip>
                    <a:stretch>
                      <a:fillRect/>
                    </a:stretch>
                  </pic:blipFill>
                  <pic:spPr bwMode="auto">
                    <a:xfrm>
                      <a:off x="0" y="0"/>
                      <a:ext cx="5689746" cy="5288280"/>
                    </a:xfrm>
                    <a:prstGeom prst="rect">
                      <a:avLst/>
                    </a:prstGeom>
                    <a:noFill/>
                    <a:ln>
                      <a:noFill/>
                    </a:ln>
                  </pic:spPr>
                </pic:pic>
              </a:graphicData>
            </a:graphic>
          </wp:inline>
        </w:drawing>
      </w:r>
    </w:p>
    <w:p w14:paraId="2470214F" w14:textId="3CD21C20"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4.7:</w:t>
      </w:r>
      <w:r w:rsidRPr="009B0448">
        <w:rPr>
          <w:rFonts w:ascii="Times New Roman" w:eastAsia="Times New Roman" w:hAnsi="Times New Roman" w:cs="Times New Roman"/>
        </w:rPr>
        <w:t xml:space="preserve"> Annual damage in Forest area 2005</w:t>
      </w:r>
      <w:r w:rsidR="00D314CD">
        <w:rPr>
          <w:rFonts w:ascii="Times New Roman" w:eastAsia="Times New Roman" w:hAnsi="Times New Roman" w:cs="Times New Roman"/>
        </w:rPr>
        <w:t>–</w:t>
      </w:r>
      <w:r w:rsidRPr="009B0448">
        <w:rPr>
          <w:rFonts w:ascii="Times New Roman" w:eastAsia="Times New Roman" w:hAnsi="Times New Roman" w:cs="Times New Roman"/>
        </w:rPr>
        <w:t xml:space="preserve">2010 in Africa. Source: Pesche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w:t>
      </w:r>
    </w:p>
    <w:p w14:paraId="7CBA9B8D" w14:textId="77777777" w:rsidR="009B0448" w:rsidRPr="009B0448" w:rsidRDefault="009B0448" w:rsidP="009B0448">
      <w:pPr>
        <w:spacing w:line="276" w:lineRule="auto"/>
        <w:jc w:val="both"/>
        <w:rPr>
          <w:rFonts w:ascii="Times New Roman" w:eastAsia="Times New Roman" w:hAnsi="Times New Roman" w:cs="Times New Roman"/>
        </w:rPr>
      </w:pPr>
    </w:p>
    <w:p w14:paraId="1DEE77D8" w14:textId="73CA01BD" w:rsidR="009B0448" w:rsidRPr="009B0448" w:rsidRDefault="009B0448" w:rsidP="009B0448">
      <w:pPr>
        <w:spacing w:line="276" w:lineRule="auto"/>
        <w:jc w:val="both"/>
        <w:rPr>
          <w:rFonts w:ascii="Times New Roman" w:eastAsia="Times New Roman" w:hAnsi="Times New Roman" w:cs="Times New Roman"/>
          <w:i/>
        </w:rPr>
      </w:pPr>
      <w:r w:rsidRPr="009B0448">
        <w:rPr>
          <w:rFonts w:ascii="Times New Roman" w:hAnsi="Times New Roman" w:cs="Times New Roman"/>
          <w:noProof/>
          <w:lang w:eastAsia="en-GB"/>
        </w:rPr>
        <w:drawing>
          <wp:inline distT="0" distB="0" distL="0" distR="0" wp14:anchorId="3A0CAD41" wp14:editId="2B584133">
            <wp:extent cx="5730240" cy="7139940"/>
            <wp:effectExtent l="0" t="0" r="3810" b="381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5730240" cy="7139940"/>
                    </a:xfrm>
                    <a:prstGeom prst="rect">
                      <a:avLst/>
                    </a:prstGeom>
                    <a:noFill/>
                    <a:ln>
                      <a:noFill/>
                    </a:ln>
                  </pic:spPr>
                </pic:pic>
              </a:graphicData>
            </a:graphic>
          </wp:inline>
        </w:drawing>
      </w:r>
    </w:p>
    <w:p w14:paraId="60786A9D"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75" w:name="_Toc519499940"/>
      <w:r w:rsidRPr="009B0448">
        <w:rPr>
          <w:rFonts w:cs="Times New Roman"/>
          <w:b w:val="0"/>
          <w:sz w:val="22"/>
          <w:szCs w:val="22"/>
        </w:rPr>
        <w:t>Central Africa (Congo Basin)</w:t>
      </w:r>
      <w:bookmarkEnd w:id="275"/>
    </w:p>
    <w:p w14:paraId="069EFE60"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a global context, annual deforestation rates are relatively low in Central Africa, compared to other rainforests in Southeast Asia and South America. Population density, small-scale agriculture, fuelwood collection and forest's accessibility are closely linked to deforestation, whereas timber extraction has no major impact on the reduction in the canopy cover (Ernst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Gillet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Given the extent and rate of forest fragmentation from roadside farming and logging, basic simulations suggest that up to 30% of forests will disappear by 2030. The forests of Congo Basin are being harvested at unprecedented rate, in particular, due to rapidly rising demand from China (WWF, 2017). A doubling of gross deforestation rates from 0.11%/year between 1990 and 2000 to 0.22% between 2000 and 2005 was demonstrated (Ernst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However, deforestation in Congo Basin has since considerably decreased (Megevand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w:t>
      </w:r>
    </w:p>
    <w:p w14:paraId="1C916D96"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76" w:name="_Toc519499941"/>
      <w:r w:rsidRPr="009B0448">
        <w:rPr>
          <w:rFonts w:cs="Times New Roman"/>
          <w:b w:val="0"/>
          <w:sz w:val="22"/>
          <w:szCs w:val="22"/>
        </w:rPr>
        <w:t>West Africa</w:t>
      </w:r>
      <w:bookmarkEnd w:id="276"/>
    </w:p>
    <w:p w14:paraId="1225DCA0" w14:textId="4C5D3F23"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Deforestation has already wiped out a large extent of natural forests of </w:t>
      </w:r>
      <w:r w:rsidRPr="000009C6">
        <w:rPr>
          <w:rFonts w:ascii="Times New Roman" w:hAnsi="Times New Roman" w:cs="Times New Roman"/>
        </w:rPr>
        <w:t>West Africa</w:t>
      </w:r>
      <w:r w:rsidRPr="009B0448">
        <w:rPr>
          <w:rFonts w:ascii="Times New Roman" w:eastAsia="Times New Roman" w:hAnsi="Times New Roman" w:cs="Times New Roman"/>
        </w:rPr>
        <w:t xml:space="preserve">'s with only 22.8% </w:t>
      </w:r>
      <w:r w:rsidRPr="00DF623E">
        <w:rPr>
          <w:rFonts w:ascii="Times New Roman" w:hAnsi="Times New Roman" w:cs="Times New Roman"/>
        </w:rPr>
        <w:t>moist forests</w:t>
      </w:r>
      <w:r w:rsidRPr="009B0448">
        <w:rPr>
          <w:rFonts w:ascii="Times New Roman" w:eastAsia="Times New Roman" w:hAnsi="Times New Roman" w:cs="Times New Roman"/>
        </w:rPr>
        <w:t xml:space="preserve"> remaining, many in a degraded state (FAO, 1997). Deforestation and degradation of West Africa’s tropical forest areas (e.g., in Nigeria) is occurring due to the expansion of smallholder cocoa farms that depend on environmentally destructive practices like slash-and-burn clearing methods. Most deforestation occurred before 1975, with a loss of 84% of the original forest extent. Between 1975 and 2013, forest removal in the Upper Guinean countries for wood products, plantations, farming and other uses was still ongoing, and resulted in the loss of 28% (65,000 km</w:t>
      </w:r>
      <w:r w:rsidRPr="009B0448">
        <w:rPr>
          <w:rFonts w:ascii="Times New Roman" w:eastAsia="Times New Roman" w:hAnsi="Times New Roman" w:cs="Times New Roman"/>
          <w:vertAlign w:val="superscript"/>
        </w:rPr>
        <w:t>2</w:t>
      </w:r>
      <w:r w:rsidRPr="009B0448">
        <w:rPr>
          <w:rFonts w:ascii="Times New Roman" w:eastAsia="Times New Roman" w:hAnsi="Times New Roman" w:cs="Times New Roman"/>
        </w:rPr>
        <w:t xml:space="preserve">) of the forest (Figure 4.8). Deforestation has been associated with the severe outbreak of Ebola in West Africa (Bausch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“The destruction of natural habitat of fruit-eating bats drove them closer to human settlements for food and thus exposing human populations to the transmission of the Ebola virus from bats” (The Guardian, 2015). </w:t>
      </w:r>
    </w:p>
    <w:p w14:paraId="518DA464" w14:textId="77777777" w:rsidR="009B0448" w:rsidRPr="009B0448" w:rsidRDefault="009B0448" w:rsidP="009B0448">
      <w:pPr>
        <w:spacing w:line="276" w:lineRule="auto"/>
        <w:jc w:val="both"/>
        <w:rPr>
          <w:rFonts w:ascii="Times New Roman" w:eastAsia="Times New Roman" w:hAnsi="Times New Roman" w:cs="Times New Roman"/>
        </w:rPr>
      </w:pPr>
    </w:p>
    <w:p w14:paraId="41E867FF" w14:textId="282C661B"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135F6A50" wp14:editId="2BF9C5F7">
            <wp:extent cx="5730240" cy="2910840"/>
            <wp:effectExtent l="0" t="0" r="3810" b="381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5730240" cy="2910840"/>
                    </a:xfrm>
                    <a:prstGeom prst="rect">
                      <a:avLst/>
                    </a:prstGeom>
                    <a:noFill/>
                    <a:ln>
                      <a:noFill/>
                    </a:ln>
                  </pic:spPr>
                </pic:pic>
              </a:graphicData>
            </a:graphic>
          </wp:inline>
        </w:drawing>
      </w:r>
    </w:p>
    <w:p w14:paraId="0BEA690C"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b/>
        </w:rPr>
        <w:t>Figure 4.8:</w:t>
      </w:r>
      <w:r w:rsidRPr="009B0448">
        <w:rPr>
          <w:rFonts w:ascii="Times New Roman" w:eastAsia="Times New Roman" w:hAnsi="Times New Roman" w:cs="Times New Roman"/>
        </w:rPr>
        <w:t xml:space="preserve"> Evolution of dense forest extent in the </w:t>
      </w:r>
      <w:r w:rsidRPr="009B0448">
        <w:rPr>
          <w:rFonts w:ascii="Times New Roman" w:eastAsia="Times New Roman" w:hAnsi="Times New Roman" w:cs="Times New Roman"/>
          <w:color w:val="auto"/>
        </w:rPr>
        <w:t>Upper Guinean countries. Source: USAID (2014).</w:t>
      </w:r>
    </w:p>
    <w:p w14:paraId="3ACCA8CF"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77" w:name="_Toc519499942"/>
      <w:r w:rsidRPr="009B0448">
        <w:rPr>
          <w:rFonts w:cs="Times New Roman"/>
          <w:b w:val="0"/>
          <w:sz w:val="22"/>
          <w:szCs w:val="22"/>
        </w:rPr>
        <w:t>Southern Africa</w:t>
      </w:r>
      <w:bookmarkEnd w:id="277"/>
    </w:p>
    <w:p w14:paraId="5874D08F"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Southern Africa, deforestation and forest degradation is considered a major problem contributing to greenhouse gases emissions and having negative impacts on biodiversity and the balance of the associated ecosystems (Lesolle, 2012). The annual forest loss in the Southern African Development Community regions was 0.46% (1.8 million hectares) between 2005 and 2010 (FAO, 2010; Figure 4.9). Efforts to curb forest fires in southern Africa have involved programs such as the Burning for Biodiversity in Southern Africa project that brings together biodiversity research with capacity building and external communication to promote effective fire and conservation management in South African savannas. Findings from this program highlight that, surprisingly, burning generally had little effect on many faunal groups. This is critical information for more effective fire management for biodiversity conservation and enables a more flexible approach to burning in many conservation areas (FAO, 2010). </w:t>
      </w:r>
    </w:p>
    <w:p w14:paraId="1471E31B" w14:textId="77777777" w:rsidR="009B0448" w:rsidRPr="009B0448" w:rsidRDefault="009B0448" w:rsidP="009B0448">
      <w:pPr>
        <w:spacing w:line="276" w:lineRule="auto"/>
        <w:jc w:val="both"/>
        <w:rPr>
          <w:rFonts w:ascii="Times New Roman" w:eastAsia="Times New Roman" w:hAnsi="Times New Roman" w:cs="Times New Roman"/>
        </w:rPr>
      </w:pPr>
    </w:p>
    <w:p w14:paraId="70223E86" w14:textId="4358CF6F"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4E7E2E6B" wp14:editId="15218E32">
            <wp:extent cx="5745480" cy="3436620"/>
            <wp:effectExtent l="0" t="0" r="762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1041">
                      <a:extLst>
                        <a:ext uri="{28A0092B-C50C-407E-A947-70E740481C1C}">
                          <a14:useLocalDpi xmlns:a14="http://schemas.microsoft.com/office/drawing/2010/main" val="0"/>
                        </a:ext>
                      </a:extLst>
                    </a:blip>
                    <a:srcRect r="2814"/>
                    <a:stretch>
                      <a:fillRect/>
                    </a:stretch>
                  </pic:blipFill>
                  <pic:spPr bwMode="auto">
                    <a:xfrm>
                      <a:off x="0" y="0"/>
                      <a:ext cx="5745480" cy="3436620"/>
                    </a:xfrm>
                    <a:prstGeom prst="rect">
                      <a:avLst/>
                    </a:prstGeom>
                    <a:noFill/>
                    <a:ln>
                      <a:noFill/>
                    </a:ln>
                  </pic:spPr>
                </pic:pic>
              </a:graphicData>
            </a:graphic>
          </wp:inline>
        </w:drawing>
      </w:r>
    </w:p>
    <w:p w14:paraId="6CC591F7"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4.9:</w:t>
      </w:r>
      <w:r w:rsidRPr="009B0448">
        <w:rPr>
          <w:rFonts w:ascii="Times New Roman" w:eastAsia="Times New Roman" w:hAnsi="Times New Roman" w:cs="Times New Roman"/>
        </w:rPr>
        <w:t xml:space="preserve"> Annual deforestation rate in the Southern African Development Community regions, 2005</w:t>
      </w:r>
      <w:r w:rsidRPr="009B0448">
        <w:rPr>
          <w:rFonts w:ascii="Times New Roman" w:hAnsi="Times New Roman" w:cs="Times New Roman"/>
        </w:rPr>
        <w:t>–</w:t>
      </w:r>
      <w:r w:rsidRPr="009B0448">
        <w:rPr>
          <w:rFonts w:ascii="Times New Roman" w:eastAsia="Times New Roman" w:hAnsi="Times New Roman" w:cs="Times New Roman"/>
        </w:rPr>
        <w:t>2010. Source: FAO (2010).</w:t>
      </w:r>
    </w:p>
    <w:p w14:paraId="727D9129"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78" w:name="_Toc519499943"/>
      <w:r w:rsidRPr="009B0448">
        <w:rPr>
          <w:rFonts w:cs="Times New Roman"/>
          <w:b w:val="0"/>
          <w:sz w:val="22"/>
          <w:szCs w:val="22"/>
        </w:rPr>
        <w:t>East Africa and adjacent islands</w:t>
      </w:r>
      <w:bookmarkEnd w:id="278"/>
    </w:p>
    <w:p w14:paraId="5636C967" w14:textId="00EED2A9"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East African coastal forests are a narrow belt with abundant fauna and flora, most severely threatened by deforestation. For this reason, they are considered priority conservation areas globally. The region has 1,366 and 100 endemic plants and animal species, respectively (WWF-US, 2003). Since the arrival of humans 2,000 years ago, </w:t>
      </w:r>
      <w:r w:rsidRPr="000009C6">
        <w:rPr>
          <w:rFonts w:ascii="Times New Roman" w:hAnsi="Times New Roman" w:cs="Times New Roman"/>
        </w:rPr>
        <w:t>Madagascar</w:t>
      </w:r>
      <w:r w:rsidRPr="009B0448">
        <w:rPr>
          <w:rFonts w:ascii="Times New Roman" w:eastAsia="Times New Roman" w:hAnsi="Times New Roman" w:cs="Times New Roman"/>
        </w:rPr>
        <w:t xml:space="preserve"> has lost more than 90% of its original forests. Most of this loss has occurred since independence from France, as a result of local people using </w:t>
      </w:r>
      <w:r w:rsidRPr="000009C6">
        <w:rPr>
          <w:rFonts w:ascii="Times New Roman" w:hAnsi="Times New Roman" w:cs="Times New Roman"/>
        </w:rPr>
        <w:t>slash-and-burn</w:t>
      </w:r>
      <w:r w:rsidRPr="009B0448">
        <w:rPr>
          <w:rFonts w:ascii="Times New Roman" w:eastAsia="Times New Roman" w:hAnsi="Times New Roman" w:cs="Times New Roman"/>
        </w:rPr>
        <w:t xml:space="preserve"> agricultural practices as they try to subsist (WWF, 2001). The coastal forests of Tanzania and Kenya have been reduced to less than 10% of their original area (Sloan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The main causes may be similar (as above) in different countries but the extent forests covers and drivers for deforestation vary among the countries (Naidoo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For example, the Kaya forests in coastal Kenya, for long time has been a hotspot for biodiversity and ecosystem services but in recent decades has been lost due to the interplay of direct and indirect drivers (Githitho, 2005). Additional case studies from East Africa are presented in Box 4.5). </w:t>
      </w:r>
    </w:p>
    <w:p w14:paraId="0ED969D5" w14:textId="77777777" w:rsidR="009B0448" w:rsidRPr="009B0448" w:rsidRDefault="009B0448" w:rsidP="009B0448">
      <w:pPr>
        <w:spacing w:line="276" w:lineRule="auto"/>
        <w:jc w:val="both"/>
        <w:rPr>
          <w:rFonts w:ascii="Times New Roman" w:eastAsia="Times New Roman" w:hAnsi="Times New Roman" w:cs="Times New Roman"/>
        </w:rPr>
      </w:pPr>
    </w:p>
    <w:p w14:paraId="45BDDC0E" w14:textId="4209256A" w:rsidR="00AD5A9C"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loss of forest areas in most countries in East Africa and adjacent islands have been associated with increased human settlement and agriculture, inappropriate energy technolo</w:t>
      </w:r>
      <w:r w:rsidR="00C813C5">
        <w:rPr>
          <w:rFonts w:ascii="Times New Roman" w:eastAsia="Times New Roman" w:hAnsi="Times New Roman" w:cs="Times New Roman"/>
        </w:rPr>
        <w:t>gies, unplanned urbanis</w:t>
      </w:r>
      <w:r w:rsidRPr="009B0448">
        <w:rPr>
          <w:rFonts w:ascii="Times New Roman" w:eastAsia="Times New Roman" w:hAnsi="Times New Roman" w:cs="Times New Roman"/>
        </w:rPr>
        <w:t xml:space="preserve">ation, unregulated use of forest resources and insufficient local and national intervention (Chapman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2000; Matiku, 2005). Tobacco production was to a great extent responsible for deforestation in East Africa since the early 1900s. The impacts are not only from clearing for farms, but also from the curing process. Approximately 3 hectares of trees are cleared to provide fuel to cure one hectare of tobacco (Lee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The environmental impacts of tobacco farming in large-scale farms also include massive use of water and air and water pollution (Lee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w:t>
      </w:r>
    </w:p>
    <w:p w14:paraId="73ED31D7" w14:textId="77777777" w:rsidR="00AD5A9C" w:rsidRDefault="00AD5A9C">
      <w:pPr>
        <w:rPr>
          <w:rFonts w:ascii="Times New Roman" w:eastAsia="Times New Roman" w:hAnsi="Times New Roman" w:cs="Times New Roman"/>
        </w:rPr>
      </w:pPr>
      <w:r>
        <w:rPr>
          <w:rFonts w:ascii="Times New Roman" w:eastAsia="Times New Roman" w:hAnsi="Times New Roman" w:cs="Times New Roman"/>
        </w:rPr>
        <w:br w:type="page"/>
      </w:r>
    </w:p>
    <w:p w14:paraId="5CBF8588" w14:textId="1B7748E0" w:rsidR="009B0448" w:rsidRDefault="00267AE7" w:rsidP="009B0448">
      <w:pPr>
        <w:spacing w:line="276" w:lineRule="auto"/>
        <w:jc w:val="both"/>
        <w:rPr>
          <w:rFonts w:ascii="Times New Roman" w:eastAsia="Times New Roman" w:hAnsi="Times New Roman" w:cs="Times New Roman"/>
        </w:rPr>
      </w:pPr>
      <w:r>
        <w:rPr>
          <w:rFonts w:ascii="Times New Roman" w:eastAsia="Times New Roman" w:hAnsi="Times New Roman" w:cs="Times New Roman"/>
          <w:noProof/>
          <w:lang w:eastAsia="en-GB"/>
        </w:rPr>
        <w:drawing>
          <wp:inline distT="0" distB="0" distL="0" distR="0" wp14:anchorId="4A338042" wp14:editId="0699F57F">
            <wp:extent cx="5731510" cy="779462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4.5a.JPG"/>
                    <pic:cNvPicPr/>
                  </pic:nvPicPr>
                  <pic:blipFill>
                    <a:blip r:embed="rId1042">
                      <a:extLst>
                        <a:ext uri="{28A0092B-C50C-407E-A947-70E740481C1C}">
                          <a14:useLocalDpi xmlns:a14="http://schemas.microsoft.com/office/drawing/2010/main" val="0"/>
                        </a:ext>
                      </a:extLst>
                    </a:blip>
                    <a:stretch>
                      <a:fillRect/>
                    </a:stretch>
                  </pic:blipFill>
                  <pic:spPr>
                    <a:xfrm>
                      <a:off x="0" y="0"/>
                      <a:ext cx="5731510" cy="7794625"/>
                    </a:xfrm>
                    <a:prstGeom prst="rect">
                      <a:avLst/>
                    </a:prstGeom>
                  </pic:spPr>
                </pic:pic>
              </a:graphicData>
            </a:graphic>
          </wp:inline>
        </w:drawing>
      </w:r>
    </w:p>
    <w:p w14:paraId="50969F12" w14:textId="19C89154" w:rsidR="00267AE7" w:rsidRPr="009B0448" w:rsidRDefault="00267AE7" w:rsidP="009B0448">
      <w:pPr>
        <w:spacing w:line="276" w:lineRule="auto"/>
        <w:jc w:val="both"/>
        <w:rPr>
          <w:rFonts w:ascii="Times New Roman" w:eastAsia="Times New Roman" w:hAnsi="Times New Roman" w:cs="Times New Roman"/>
        </w:rPr>
      </w:pPr>
      <w:r>
        <w:rPr>
          <w:rFonts w:ascii="Times New Roman" w:eastAsia="Times New Roman" w:hAnsi="Times New Roman" w:cs="Times New Roman"/>
          <w:noProof/>
          <w:lang w:eastAsia="en-GB"/>
        </w:rPr>
        <w:drawing>
          <wp:inline distT="0" distB="0" distL="0" distR="0" wp14:anchorId="3E7BF784" wp14:editId="610F09A5">
            <wp:extent cx="5731510" cy="555117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4.5b.JPG"/>
                    <pic:cNvPicPr/>
                  </pic:nvPicPr>
                  <pic:blipFill>
                    <a:blip r:embed="rId1043">
                      <a:extLst>
                        <a:ext uri="{28A0092B-C50C-407E-A947-70E740481C1C}">
                          <a14:useLocalDpi xmlns:a14="http://schemas.microsoft.com/office/drawing/2010/main" val="0"/>
                        </a:ext>
                      </a:extLst>
                    </a:blip>
                    <a:stretch>
                      <a:fillRect/>
                    </a:stretch>
                  </pic:blipFill>
                  <pic:spPr>
                    <a:xfrm>
                      <a:off x="0" y="0"/>
                      <a:ext cx="5731510" cy="5551170"/>
                    </a:xfrm>
                    <a:prstGeom prst="rect">
                      <a:avLst/>
                    </a:prstGeom>
                  </pic:spPr>
                </pic:pic>
              </a:graphicData>
            </a:graphic>
          </wp:inline>
        </w:drawing>
      </w:r>
    </w:p>
    <w:p w14:paraId="47D2E84C"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79" w:name="_Toc519499944"/>
      <w:r w:rsidRPr="009B0448">
        <w:rPr>
          <w:rFonts w:cs="Times New Roman"/>
          <w:sz w:val="22"/>
          <w:szCs w:val="22"/>
        </w:rPr>
        <w:t>Climate change</w:t>
      </w:r>
      <w:bookmarkEnd w:id="279"/>
    </w:p>
    <w:p w14:paraId="01268142"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It is generally agreed that anthropogenic activities including the burning of fossil fuels and unsustainable land-use changes (deforestation and forest degradation) around the world have resulted in a significant increase in the concentrations of heat-trapping greenhouse gases which include CO</w:t>
      </w:r>
      <w:r w:rsidRPr="009B0448">
        <w:rPr>
          <w:rFonts w:ascii="Times New Roman" w:eastAsia="Times New Roman" w:hAnsi="Times New Roman" w:cs="Times New Roman"/>
          <w:vertAlign w:val="subscript"/>
        </w:rPr>
        <w:t>2</w:t>
      </w:r>
      <w:r w:rsidRPr="009B0448">
        <w:rPr>
          <w:rFonts w:ascii="Times New Roman" w:eastAsia="Times New Roman" w:hAnsi="Times New Roman" w:cs="Times New Roman"/>
        </w:rPr>
        <w:t>, CFCs, CH</w:t>
      </w:r>
      <w:r w:rsidRPr="009B0448">
        <w:rPr>
          <w:rFonts w:ascii="Times New Roman" w:eastAsia="Times New Roman" w:hAnsi="Times New Roman" w:cs="Times New Roman"/>
          <w:vertAlign w:val="subscript"/>
        </w:rPr>
        <w:t>4</w:t>
      </w:r>
      <w:r w:rsidRPr="009B0448">
        <w:rPr>
          <w:rFonts w:ascii="Times New Roman" w:eastAsia="Times New Roman" w:hAnsi="Times New Roman" w:cs="Times New Roman"/>
        </w:rPr>
        <w:t>, and N</w:t>
      </w:r>
      <w:r w:rsidRPr="009B0448">
        <w:rPr>
          <w:rFonts w:ascii="Times New Roman" w:eastAsia="Times New Roman" w:hAnsi="Times New Roman" w:cs="Times New Roman"/>
          <w:vertAlign w:val="subscript"/>
        </w:rPr>
        <w:t>2</w:t>
      </w:r>
      <w:r w:rsidRPr="009B0448">
        <w:rPr>
          <w:rFonts w:ascii="Times New Roman" w:eastAsia="Times New Roman" w:hAnsi="Times New Roman" w:cs="Times New Roman"/>
        </w:rPr>
        <w:t xml:space="preserve">O (Myhre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As a continent, Africa has contributed a trivial proportion of global emissions, only 2.5% of fossil fuel emissions in the 1980 to 2005 period, despite having 13.8% of the global population (Le Quéré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Within Africa, greenhouse gases emissions is uneven, for instance, almost 38% of the total was from South Africa alone, rising to 60% if Egypt and Nigeria are included (Canadell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Per capita Africa emissions are among the lowest in the world at 0.32 tons of Carbon/year versus a global average of 1.2 tons of Carbon/ear. What is strikingly unique about Africa’s emissions is that just less than half is from land-use change and deforestation (Le Quéré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2009a). High population growth, if current development pathways are left to continue with limited climate-smart technologies adopted, may significantly increase Africa’s contribution to greenhouse gases emissions over the next century (Gornall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w:t>
      </w:r>
    </w:p>
    <w:p w14:paraId="3D3965B1" w14:textId="77777777" w:rsidR="009B0448" w:rsidRPr="009B0448" w:rsidRDefault="009B0448" w:rsidP="009B0448">
      <w:pPr>
        <w:spacing w:line="276" w:lineRule="auto"/>
        <w:jc w:val="both"/>
        <w:rPr>
          <w:rFonts w:ascii="Times New Roman" w:eastAsia="Times New Roman" w:hAnsi="Times New Roman" w:cs="Times New Roman"/>
        </w:rPr>
      </w:pPr>
    </w:p>
    <w:p w14:paraId="5DFF114A"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Despite Africa’s low contribution to greenhouse gases emissions, Africa will be one of the region’s most severely impacted by climate change, with the IPCC Fifth Assessment Report emphasizing negative impacts on water availability and food production (Myhre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This constrains Africa’s ability to develop, unless mitigation measures are undertaken (Wright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Connolly-Boutin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In addition to elevating human pressure on natural resources due to a decline in agricultural productivity, anthropogenic climate change is also anticipated to be a major driver of biodiversity loss; changes in ecosystem structure and function; and the ability of ecosystems to supply nature’s contributions to people (Perrings, 2010; Bellard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2012; Scholes, 2016). The degree to which this will impact on biodiversity and the provisioning of nature’s contributions to people remains uncertain as it depends on both the global ability to mitigate emissions as well as uncertainty around how the future climate which is already affected by global warming will impact both biodiversity and nature’s contributions to people provision (Scholes, 2016).</w:t>
      </w:r>
      <w:r w:rsidRPr="009B0448">
        <w:rPr>
          <w:rFonts w:ascii="Times New Roman" w:eastAsia="Times New Roman" w:hAnsi="Times New Roman" w:cs="Times New Roman"/>
          <w:color w:val="auto"/>
        </w:rPr>
        <w:t xml:space="preserve"> Changes in the seasonality of rainfall as well as within and between season variability could have profound effects on vegetation structure and net primary production (</w:t>
      </w:r>
      <w:r w:rsidRPr="009B0448">
        <w:rPr>
          <w:rFonts w:ascii="Times New Roman" w:hAnsi="Times New Roman" w:cs="Times New Roman"/>
        </w:rPr>
        <w:t xml:space="preserve">Rohr </w:t>
      </w:r>
      <w:r w:rsidRPr="009B0448">
        <w:rPr>
          <w:rFonts w:ascii="Times New Roman" w:hAnsi="Times New Roman" w:cs="Times New Roman"/>
          <w:i/>
        </w:rPr>
        <w:t>et al.</w:t>
      </w:r>
      <w:r w:rsidRPr="009B0448">
        <w:rPr>
          <w:rFonts w:ascii="Times New Roman" w:hAnsi="Times New Roman" w:cs="Times New Roman"/>
        </w:rPr>
        <w:t xml:space="preserve">, 2013; Cramer </w:t>
      </w:r>
      <w:r w:rsidRPr="009B0448">
        <w:rPr>
          <w:rFonts w:ascii="Times New Roman" w:hAnsi="Times New Roman" w:cs="Times New Roman"/>
          <w:i/>
        </w:rPr>
        <w:t>et al.</w:t>
      </w:r>
      <w:r w:rsidRPr="009B0448">
        <w:rPr>
          <w:rFonts w:ascii="Times New Roman" w:hAnsi="Times New Roman" w:cs="Times New Roman"/>
        </w:rPr>
        <w:t>, 2015)</w:t>
      </w:r>
      <w:r w:rsidRPr="009B0448">
        <w:rPr>
          <w:rFonts w:ascii="Times New Roman" w:eastAsia="Times New Roman" w:hAnsi="Times New Roman" w:cs="Times New Roman"/>
        </w:rPr>
        <w:t xml:space="preserve">. For instance, biodiversity of the Mediterranean vegetation at the southern tip of Africa (fynbos) is totally dependent on winter rainfall, whilst the savannas are dependent on the existence of a long dry winter period (Mucina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2006). For coastal systems, a rise in temperature, increased storm surge and sea level rise all pose threats, with estuarine systems being particularly vulnerable (</w:t>
      </w:r>
      <w:r w:rsidRPr="009B0448">
        <w:rPr>
          <w:rFonts w:ascii="Times New Roman" w:hAnsi="Times New Roman" w:cs="Times New Roman"/>
        </w:rPr>
        <w:t>Magadza, 2000)</w:t>
      </w:r>
      <w:r w:rsidRPr="009B0448">
        <w:rPr>
          <w:rFonts w:ascii="Times New Roman" w:eastAsia="Times New Roman" w:hAnsi="Times New Roman" w:cs="Times New Roman"/>
        </w:rPr>
        <w:t xml:space="preserve">. Loss of mangrove vegetation from these estuarine systems will exacerbate the storm surge hazards leading to disasters (McIvor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w:t>
      </w:r>
    </w:p>
    <w:p w14:paraId="1D472EF5" w14:textId="77777777" w:rsidR="009B0448" w:rsidRPr="009B0448" w:rsidRDefault="009B0448" w:rsidP="009B0448">
      <w:pPr>
        <w:spacing w:line="276" w:lineRule="auto"/>
        <w:jc w:val="both"/>
        <w:rPr>
          <w:rFonts w:ascii="Times New Roman" w:eastAsia="Times New Roman" w:hAnsi="Times New Roman" w:cs="Times New Roman"/>
        </w:rPr>
      </w:pPr>
    </w:p>
    <w:p w14:paraId="4EE13622" w14:textId="79CED6B0"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Globally, climate change is anticipated to have major impacts on species extinctions (Thomas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Jetz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Foden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though the true magnitude of impact is hotly debated and uncertain. The IPCC (2007) estimate, based on a variety of scenarios, that climate change could result in the losses of about 5,000 African plant species, over 50% of some bird and mammal species, and decline the productivity of Africa’s lakes by between 20 and 30% by 2100 (IPCC, 2007). About one-fifth of all known species of plants, mammals and birds, and about one-sixth of amphibians and reptiles are found in Africa (Midgley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the regions four biodiversity hotspots together today host 3.5% of the worlds’ endemic plant species and 1.8% of endemic vertebrate species in areas that have been reduced by 73.2% and 93.3% relative to their original areal extents (Myers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2000), indicating that even without climate change, there is a high level of threat to Africa’s endemic biodiversity (Midgley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Disturbance by fire and grazing are also key components of future global change impacts (Bond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2003). A scenario analysis using </w:t>
      </w:r>
      <w:r w:rsidR="00917FB2">
        <w:rPr>
          <w:rFonts w:ascii="Times New Roman" w:eastAsia="Times New Roman" w:hAnsi="Times New Roman" w:cs="Times New Roman"/>
        </w:rPr>
        <w:t>land-use</w:t>
      </w:r>
      <w:r w:rsidRPr="009B0448">
        <w:rPr>
          <w:rFonts w:ascii="Times New Roman" w:eastAsia="Times New Roman" w:hAnsi="Times New Roman" w:cs="Times New Roman"/>
        </w:rPr>
        <w:t>, climate change, nitrogen deposition, biotic exchange (alien organisms) and rising atmospheric CO</w:t>
      </w:r>
      <w:r w:rsidRPr="009B0448">
        <w:rPr>
          <w:rFonts w:ascii="Times New Roman" w:eastAsia="Times New Roman" w:hAnsi="Times New Roman" w:cs="Times New Roman"/>
          <w:vertAlign w:val="subscript"/>
        </w:rPr>
        <w:t xml:space="preserve">2 </w:t>
      </w:r>
      <w:r w:rsidRPr="009B0448">
        <w:rPr>
          <w:rFonts w:ascii="Times New Roman" w:eastAsia="Times New Roman" w:hAnsi="Times New Roman" w:cs="Times New Roman"/>
        </w:rPr>
        <w:t xml:space="preserve">as the five main drivers of future global biodiversity in that order of importance and assuming no interactions between drivers, concluded that human land-use impacts were most critical in savannas and tropical forests, with climate change impacts second-most important, or most important in other ecosystem types in Africa (Sala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2000). </w:t>
      </w:r>
    </w:p>
    <w:p w14:paraId="30E69AFB" w14:textId="77777777" w:rsidR="009B0448" w:rsidRPr="009B0448" w:rsidRDefault="009B0448" w:rsidP="009B0448">
      <w:pPr>
        <w:spacing w:line="276" w:lineRule="auto"/>
        <w:jc w:val="both"/>
        <w:rPr>
          <w:rFonts w:ascii="Times New Roman" w:eastAsia="Times New Roman" w:hAnsi="Times New Roman" w:cs="Times New Roman"/>
        </w:rPr>
      </w:pPr>
    </w:p>
    <w:p w14:paraId="19D466DA" w14:textId="77777777" w:rsidR="009B0448" w:rsidRPr="009B0448" w:rsidRDefault="009B0448" w:rsidP="009B0448">
      <w:pPr>
        <w:spacing w:line="276" w:lineRule="auto"/>
        <w:jc w:val="both"/>
        <w:rPr>
          <w:rFonts w:ascii="Times New Roman" w:eastAsia="Times New Roman" w:hAnsi="Times New Roman" w:cs="Times New Roman"/>
          <w:color w:val="231F20"/>
        </w:rPr>
      </w:pPr>
      <w:r w:rsidRPr="009B0448">
        <w:rPr>
          <w:rFonts w:ascii="Times New Roman" w:eastAsia="Times New Roman" w:hAnsi="Times New Roman" w:cs="Times New Roman"/>
        </w:rPr>
        <w:t>Impacts on both freshwater and coastal systems may also be severe, with sea level rises, changes in upwelling, sea surges, sea temperature changes and pH changes also likely to impact on coastal ecosystems. Increases CO</w:t>
      </w:r>
      <w:r w:rsidRPr="009B0448">
        <w:rPr>
          <w:rFonts w:ascii="Times New Roman" w:eastAsia="Times New Roman" w:hAnsi="Times New Roman" w:cs="Times New Roman"/>
          <w:vertAlign w:val="subscript"/>
        </w:rPr>
        <w:t>2</w:t>
      </w:r>
      <w:r w:rsidRPr="009B0448">
        <w:rPr>
          <w:rFonts w:ascii="Times New Roman" w:eastAsia="Times New Roman" w:hAnsi="Times New Roman" w:cs="Times New Roman"/>
        </w:rPr>
        <w:t xml:space="preserve"> in the oceans will increase water acidity and this, coupled with increased temperature will have profound impacts including coral bleaching (Hoegh-Guldberg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and the de-calcification of shells of molluscs (Parker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2013). At high CO</w:t>
      </w:r>
      <w:r w:rsidRPr="009B0448">
        <w:rPr>
          <w:rFonts w:ascii="Times New Roman" w:eastAsia="Times New Roman" w:hAnsi="Times New Roman" w:cs="Times New Roman"/>
          <w:vertAlign w:val="subscript"/>
        </w:rPr>
        <w:t>2</w:t>
      </w:r>
      <w:r w:rsidRPr="009B0448">
        <w:rPr>
          <w:rFonts w:ascii="Times New Roman" w:eastAsia="Times New Roman" w:hAnsi="Times New Roman" w:cs="Times New Roman"/>
        </w:rPr>
        <w:t xml:space="preserve"> concentrations this may lead to total collapse of coral systems and the multitude of ecosystem functions they support, including being an important component of many fisheries. </w:t>
      </w:r>
      <w:r w:rsidRPr="009B0448">
        <w:rPr>
          <w:rFonts w:ascii="Times New Roman" w:eastAsia="Times New Roman" w:hAnsi="Times New Roman" w:cs="Times New Roman"/>
          <w:color w:val="231F20"/>
        </w:rPr>
        <w:t xml:space="preserve">Most of the large biodiversity-rich lakes on the continent are sensitive to climate change as their water balances are dominated by rainfall on the lakes and evaporation (Spigel </w:t>
      </w:r>
      <w:r w:rsidRPr="009B0448">
        <w:rPr>
          <w:rFonts w:ascii="Times New Roman" w:eastAsia="Times New Roman" w:hAnsi="Times New Roman" w:cs="Times New Roman"/>
          <w:i/>
          <w:color w:val="231F20"/>
        </w:rPr>
        <w:t>et al.</w:t>
      </w:r>
      <w:r w:rsidRPr="009B0448">
        <w:rPr>
          <w:rFonts w:ascii="Times New Roman" w:eastAsia="Times New Roman" w:hAnsi="Times New Roman" w:cs="Times New Roman"/>
          <w:color w:val="231F20"/>
        </w:rPr>
        <w:t xml:space="preserve">, 1996). The smaller lakes receive significant water inputs from inflowing rivers as opposed to rainfall, but are equally strongly affected by evaporation and their water balances of the lakes are also affected by abstraction for use in agriculture and industry. The lake waters, for example in Lake Malawi and Tanganyika, are now getting warmer in tandem with the rise in global temperatures, and this has affected fisheries production due to increased thermal stratification which results in less mixing and nutrient exchange between surface and deep waters thus affecting primary production and thus a cascading effect on the aquatic food-webs. The resulting reduction of food availability will affect fisheries and thus livelihoods (Hecky </w:t>
      </w:r>
      <w:r w:rsidRPr="009B0448">
        <w:rPr>
          <w:rFonts w:ascii="Times New Roman" w:eastAsia="Times New Roman" w:hAnsi="Times New Roman" w:cs="Times New Roman"/>
          <w:i/>
          <w:color w:val="231F20"/>
        </w:rPr>
        <w:t>et al.</w:t>
      </w:r>
      <w:r w:rsidRPr="009B0448">
        <w:rPr>
          <w:rFonts w:ascii="Times New Roman" w:eastAsia="Times New Roman" w:hAnsi="Times New Roman" w:cs="Times New Roman"/>
          <w:color w:val="231F20"/>
        </w:rPr>
        <w:t xml:space="preserve">, 1994; Bugenyi </w:t>
      </w:r>
      <w:r w:rsidRPr="009B0448">
        <w:rPr>
          <w:rFonts w:ascii="Times New Roman" w:eastAsia="Times New Roman" w:hAnsi="Times New Roman" w:cs="Times New Roman"/>
          <w:i/>
          <w:color w:val="231F20"/>
        </w:rPr>
        <w:t>et al.</w:t>
      </w:r>
      <w:r w:rsidRPr="009B0448">
        <w:rPr>
          <w:rFonts w:ascii="Times New Roman" w:eastAsia="Times New Roman" w:hAnsi="Times New Roman" w:cs="Times New Roman"/>
          <w:color w:val="231F20"/>
        </w:rPr>
        <w:t xml:space="preserve">, 1996). </w:t>
      </w:r>
    </w:p>
    <w:p w14:paraId="047A809B" w14:textId="77777777" w:rsidR="009B0448" w:rsidRPr="009B0448" w:rsidRDefault="009B0448" w:rsidP="009B0448">
      <w:pPr>
        <w:spacing w:line="276" w:lineRule="auto"/>
        <w:jc w:val="both"/>
        <w:rPr>
          <w:rFonts w:ascii="Times New Roman" w:eastAsia="Times New Roman" w:hAnsi="Times New Roman" w:cs="Times New Roman"/>
          <w:color w:val="231F20"/>
        </w:rPr>
      </w:pPr>
    </w:p>
    <w:p w14:paraId="6AA471C1"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rPr>
        <w:t xml:space="preserve">Not only will climate change result in extinctions, but it is also likely to change the structure and function of the biota in many areas (Hole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Individual species or entire ecosystems will need to, in effect, migrate across the landscape to track suitable climates. The ability of species to migrate will differ per taxa, will be dependent on the existence of migratory corridors, and will be hindered by anthropogenic land-cover change and habitat </w:t>
      </w:r>
      <w:r w:rsidRPr="009B0448">
        <w:rPr>
          <w:rFonts w:ascii="Times New Roman" w:eastAsia="Times New Roman" w:hAnsi="Times New Roman" w:cs="Times New Roman"/>
          <w:color w:val="auto"/>
        </w:rPr>
        <w:t xml:space="preserve">fragmentation (Hannah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2002; von Maltitz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2007; Baker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2015; Belle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2016). It is probable that future ecosystem will have different structure, function and species mixes compared to the present (Hannah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2002). One consequence is that current reserve networks may need to be re-aligned to account for the climate change. A set of studies in West Africa have found that the current reserves configuration under future climates scenarios will lead to a decreased suitability across the protected area network of 55% for birds, 63% for amphibians, and 63% for mammals (Baker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2015). A similar need for a realignment of conservation areas in response to climate change in South Africa has been shown (Hannah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2007).</w:t>
      </w:r>
    </w:p>
    <w:p w14:paraId="41ACE2D6" w14:textId="77777777" w:rsidR="009B0448" w:rsidRPr="009B0448" w:rsidRDefault="009B0448" w:rsidP="009B0448">
      <w:pPr>
        <w:spacing w:line="276" w:lineRule="auto"/>
        <w:jc w:val="both"/>
        <w:rPr>
          <w:rFonts w:ascii="Times New Roman" w:eastAsia="Times New Roman" w:hAnsi="Times New Roman" w:cs="Times New Roman"/>
        </w:rPr>
      </w:pPr>
    </w:p>
    <w:p w14:paraId="208710E6"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rPr>
        <w:t>The direct impact of globally increased concentration of CO</w:t>
      </w:r>
      <w:r w:rsidRPr="009B0448">
        <w:rPr>
          <w:rFonts w:ascii="Times New Roman" w:eastAsia="Times New Roman" w:hAnsi="Times New Roman" w:cs="Times New Roman"/>
          <w:vertAlign w:val="subscript"/>
        </w:rPr>
        <w:t>2</w:t>
      </w:r>
      <w:r w:rsidRPr="009B0448">
        <w:rPr>
          <w:rFonts w:ascii="Times New Roman" w:eastAsia="Times New Roman" w:hAnsi="Times New Roman" w:cs="Times New Roman"/>
        </w:rPr>
        <w:t xml:space="preserve"> is likely to have profound impacts on the species distribution within the terrestrial environment, and may conceivably be a direct contributor to biome level change (Steffen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West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A </w:t>
      </w:r>
      <w:r w:rsidRPr="009B0448">
        <w:rPr>
          <w:rFonts w:ascii="Times New Roman" w:eastAsia="Times New Roman" w:hAnsi="Times New Roman" w:cs="Times New Roman"/>
          <w:color w:val="auto"/>
        </w:rPr>
        <w:t xml:space="preserve">recent study (Midgley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2015) shows that the vast African savannas, with its icon fauna and flora, may be partly lost as a direct impact of CO</w:t>
      </w:r>
      <w:r w:rsidRPr="009B0448">
        <w:rPr>
          <w:rFonts w:ascii="Times New Roman" w:eastAsia="Times New Roman" w:hAnsi="Times New Roman" w:cs="Times New Roman"/>
          <w:color w:val="auto"/>
          <w:vertAlign w:val="subscript"/>
        </w:rPr>
        <w:t>2</w:t>
      </w:r>
      <w:r w:rsidRPr="009B0448">
        <w:rPr>
          <w:rFonts w:ascii="Times New Roman" w:eastAsia="Times New Roman" w:hAnsi="Times New Roman" w:cs="Times New Roman"/>
          <w:color w:val="auto"/>
        </w:rPr>
        <w:t xml:space="preserve"> enrichment effects. If emissions continue on a ‘business-as-usual’ path, by mid-century, CO</w:t>
      </w:r>
      <w:r w:rsidRPr="009B0448">
        <w:rPr>
          <w:rFonts w:ascii="Times New Roman" w:eastAsia="Times New Roman" w:hAnsi="Times New Roman" w:cs="Times New Roman"/>
          <w:color w:val="auto"/>
          <w:vertAlign w:val="subscript"/>
        </w:rPr>
        <w:t>2</w:t>
      </w:r>
      <w:r w:rsidRPr="009B0448">
        <w:rPr>
          <w:rFonts w:ascii="Times New Roman" w:eastAsia="Times New Roman" w:hAnsi="Times New Roman" w:cs="Times New Roman"/>
          <w:color w:val="auto"/>
        </w:rPr>
        <w:t xml:space="preserve"> levels will exceed those last seen more than 25 million years ago–far predating the rise of grasslands and savanna’s C4 grasses, which dominate through the continent (West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2012). Having evolved under high CO</w:t>
      </w:r>
      <w:r w:rsidRPr="009B0448">
        <w:rPr>
          <w:rFonts w:ascii="Times New Roman" w:eastAsia="Times New Roman" w:hAnsi="Times New Roman" w:cs="Times New Roman"/>
          <w:color w:val="auto"/>
          <w:vertAlign w:val="subscript"/>
        </w:rPr>
        <w:t xml:space="preserve">2 </w:t>
      </w:r>
      <w:r w:rsidRPr="009B0448">
        <w:rPr>
          <w:rFonts w:ascii="Times New Roman" w:eastAsia="Times New Roman" w:hAnsi="Times New Roman" w:cs="Times New Roman"/>
          <w:color w:val="auto"/>
        </w:rPr>
        <w:t xml:space="preserve">concentration </w:t>
      </w:r>
      <w:r w:rsidRPr="009B0448">
        <w:rPr>
          <w:rFonts w:ascii="Times New Roman" w:eastAsia="Times New Roman" w:hAnsi="Times New Roman" w:cs="Times New Roman"/>
          <w:color w:val="auto"/>
          <w:lang w:eastAsia="en-GB"/>
        </w:rPr>
        <w:t xml:space="preserve">(Franks </w:t>
      </w:r>
      <w:r w:rsidRPr="009B0448">
        <w:rPr>
          <w:rFonts w:ascii="Times New Roman" w:eastAsia="Times New Roman" w:hAnsi="Times New Roman" w:cs="Times New Roman"/>
          <w:i/>
          <w:color w:val="auto"/>
          <w:lang w:eastAsia="en-GB"/>
        </w:rPr>
        <w:t>et al.</w:t>
      </w:r>
      <w:r w:rsidRPr="009B0448">
        <w:rPr>
          <w:rFonts w:ascii="Times New Roman" w:eastAsia="Times New Roman" w:hAnsi="Times New Roman" w:cs="Times New Roman"/>
          <w:color w:val="auto"/>
          <w:lang w:eastAsia="en-GB"/>
        </w:rPr>
        <w:t xml:space="preserve">, 2013), an </w:t>
      </w:r>
      <w:r w:rsidRPr="009B0448">
        <w:rPr>
          <w:rFonts w:ascii="Times New Roman" w:eastAsia="Times New Roman" w:hAnsi="Times New Roman" w:cs="Times New Roman"/>
          <w:color w:val="auto"/>
        </w:rPr>
        <w:t>increase in CO</w:t>
      </w:r>
      <w:r w:rsidRPr="009B0448">
        <w:rPr>
          <w:rFonts w:ascii="Times New Roman" w:eastAsia="Times New Roman" w:hAnsi="Times New Roman" w:cs="Times New Roman"/>
          <w:color w:val="auto"/>
          <w:vertAlign w:val="subscript"/>
        </w:rPr>
        <w:t>2</w:t>
      </w:r>
      <w:r w:rsidRPr="009B0448">
        <w:rPr>
          <w:rFonts w:ascii="Times New Roman" w:eastAsia="Times New Roman" w:hAnsi="Times New Roman" w:cs="Times New Roman"/>
          <w:color w:val="auto"/>
        </w:rPr>
        <w:t xml:space="preserve"> will facilitate C3 plant species ability to rapidly accumulate woody biomass through faster growth, and this will enable them to escape the “fire trap” created from frequent grass fires (Bond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2012; West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2012). There is increasing evidence that a raised CO</w:t>
      </w:r>
      <w:r w:rsidRPr="009B0448">
        <w:rPr>
          <w:rFonts w:ascii="Times New Roman" w:eastAsia="Times New Roman" w:hAnsi="Times New Roman" w:cs="Times New Roman"/>
          <w:color w:val="auto"/>
          <w:vertAlign w:val="subscript"/>
        </w:rPr>
        <w:t xml:space="preserve">2 </w:t>
      </w:r>
      <w:r w:rsidRPr="009B0448">
        <w:rPr>
          <w:rFonts w:ascii="Times New Roman" w:eastAsia="Times New Roman" w:hAnsi="Times New Roman" w:cs="Times New Roman"/>
          <w:color w:val="auto"/>
        </w:rPr>
        <w:t xml:space="preserve">concentration may favour woody perennials over C4 grasses </w:t>
      </w:r>
      <w:r w:rsidRPr="009B0448">
        <w:rPr>
          <w:rFonts w:ascii="Times New Roman" w:eastAsia="Times New Roman" w:hAnsi="Times New Roman" w:cs="Times New Roman"/>
          <w:color w:val="auto"/>
          <w:lang w:eastAsia="en-GB"/>
        </w:rPr>
        <w:t xml:space="preserve">(Bond </w:t>
      </w:r>
      <w:r w:rsidRPr="009B0448">
        <w:rPr>
          <w:rFonts w:ascii="Times New Roman" w:eastAsia="Times New Roman" w:hAnsi="Times New Roman" w:cs="Times New Roman"/>
          <w:i/>
          <w:color w:val="auto"/>
          <w:lang w:eastAsia="en-GB"/>
        </w:rPr>
        <w:t>et al.</w:t>
      </w:r>
      <w:r w:rsidRPr="009B0448">
        <w:rPr>
          <w:rFonts w:ascii="Times New Roman" w:eastAsia="Times New Roman" w:hAnsi="Times New Roman" w:cs="Times New Roman"/>
          <w:color w:val="auto"/>
          <w:lang w:eastAsia="en-GB"/>
        </w:rPr>
        <w:t xml:space="preserve">, 2000; 2012). </w:t>
      </w:r>
      <w:r w:rsidRPr="009B0448">
        <w:rPr>
          <w:rFonts w:ascii="Times New Roman" w:eastAsia="Times New Roman" w:hAnsi="Times New Roman" w:cs="Times New Roman"/>
          <w:color w:val="auto"/>
        </w:rPr>
        <w:t xml:space="preserve">The large-scale woody plant densification (referred to in Southern Africa as bush encroachment) is regarded as a complex response to multiple drivers including increased grazing pressure with reduced fire (O’Connor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2014). However, the impacts of raised CO</w:t>
      </w:r>
      <w:r w:rsidRPr="009B0448">
        <w:rPr>
          <w:rFonts w:ascii="Times New Roman" w:eastAsia="Times New Roman" w:hAnsi="Times New Roman" w:cs="Times New Roman"/>
          <w:color w:val="auto"/>
          <w:vertAlign w:val="subscript"/>
        </w:rPr>
        <w:t xml:space="preserve">2 </w:t>
      </w:r>
      <w:r w:rsidRPr="009B0448">
        <w:rPr>
          <w:rFonts w:ascii="Times New Roman" w:eastAsia="Times New Roman" w:hAnsi="Times New Roman" w:cs="Times New Roman"/>
          <w:color w:val="auto"/>
        </w:rPr>
        <w:t xml:space="preserve">may be an additional important driver in this process and may lead to bush encroachment even in well-managed areas. Bush encroachment regardless of its cause, has had profound impacts on the provisioning of ecosystems services, and especially cattle grazing, across vast areas of the savanna, (Donaldson, 1980; De Klerk, 2004; O’Connor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2014) with an estimated 260,000 km</w:t>
      </w:r>
      <w:r w:rsidRPr="009B0448">
        <w:rPr>
          <w:rFonts w:ascii="Times New Roman" w:eastAsia="Times New Roman" w:hAnsi="Times New Roman" w:cs="Times New Roman"/>
          <w:color w:val="auto"/>
          <w:vertAlign w:val="superscript"/>
        </w:rPr>
        <w:t>2</w:t>
      </w:r>
      <w:r w:rsidRPr="009B0448">
        <w:rPr>
          <w:rFonts w:ascii="Times New Roman" w:eastAsia="Times New Roman" w:hAnsi="Times New Roman" w:cs="Times New Roman"/>
          <w:color w:val="auto"/>
        </w:rPr>
        <w:t xml:space="preserve"> being affected in just Namibia. Of particular concern regarding climate change is “tipping points” where ecosystem thresholds can lead to irreversible shifts in biomes (Leadley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2010). Raised CO</w:t>
      </w:r>
      <w:r w:rsidRPr="009B0448">
        <w:rPr>
          <w:rFonts w:ascii="Times New Roman" w:eastAsia="Times New Roman" w:hAnsi="Times New Roman" w:cs="Times New Roman"/>
          <w:color w:val="auto"/>
          <w:vertAlign w:val="subscript"/>
        </w:rPr>
        <w:t>2</w:t>
      </w:r>
      <w:r w:rsidRPr="009B0448">
        <w:rPr>
          <w:rFonts w:ascii="Times New Roman" w:eastAsia="Times New Roman" w:hAnsi="Times New Roman" w:cs="Times New Roman"/>
          <w:color w:val="auto"/>
        </w:rPr>
        <w:t xml:space="preserve"> may cause a tip between savanna and forest systems (Higgins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2012; West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2012). </w:t>
      </w:r>
    </w:p>
    <w:p w14:paraId="78A00345" w14:textId="77777777" w:rsidR="009B0448" w:rsidRPr="009B0448" w:rsidRDefault="009B0448" w:rsidP="009B0448">
      <w:pPr>
        <w:spacing w:line="276" w:lineRule="auto"/>
        <w:jc w:val="both"/>
        <w:rPr>
          <w:rFonts w:ascii="Times New Roman" w:eastAsia="Times New Roman" w:hAnsi="Times New Roman" w:cs="Times New Roman"/>
          <w:color w:val="auto"/>
        </w:rPr>
      </w:pPr>
    </w:p>
    <w:p w14:paraId="2DAA655B"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rPr>
        <w:t xml:space="preserve">A number of dynamic vegetation models </w:t>
      </w:r>
      <w:r w:rsidRPr="009B0448">
        <w:rPr>
          <w:rFonts w:ascii="Times New Roman" w:eastAsia="Times New Roman" w:hAnsi="Times New Roman" w:cs="Times New Roman"/>
          <w:color w:val="auto"/>
        </w:rPr>
        <w:t xml:space="preserve">have attempted to model changes in vegetation functional types in response to climate change </w:t>
      </w:r>
      <w:r w:rsidRPr="009B0448">
        <w:rPr>
          <w:rFonts w:ascii="Times New Roman" w:eastAsia="Times New Roman" w:hAnsi="Times New Roman" w:cs="Times New Roman"/>
          <w:color w:val="auto"/>
          <w:lang w:eastAsia="en-GB"/>
        </w:rPr>
        <w:t xml:space="preserve">(Scheiter </w:t>
      </w:r>
      <w:r w:rsidRPr="009B0448">
        <w:rPr>
          <w:rFonts w:ascii="Times New Roman" w:eastAsia="Times New Roman" w:hAnsi="Times New Roman" w:cs="Times New Roman"/>
          <w:i/>
          <w:color w:val="auto"/>
          <w:lang w:eastAsia="en-GB"/>
        </w:rPr>
        <w:t>et al.</w:t>
      </w:r>
      <w:r w:rsidRPr="009B0448">
        <w:rPr>
          <w:rFonts w:ascii="Times New Roman" w:eastAsia="Times New Roman" w:hAnsi="Times New Roman" w:cs="Times New Roman"/>
          <w:color w:val="auto"/>
          <w:lang w:eastAsia="en-GB"/>
        </w:rPr>
        <w:t xml:space="preserve">, 2013; Che </w:t>
      </w:r>
      <w:r w:rsidRPr="009B0448">
        <w:rPr>
          <w:rFonts w:ascii="Times New Roman" w:eastAsia="Times New Roman" w:hAnsi="Times New Roman" w:cs="Times New Roman"/>
          <w:i/>
          <w:color w:val="auto"/>
          <w:lang w:eastAsia="en-GB"/>
        </w:rPr>
        <w:t>et al.</w:t>
      </w:r>
      <w:r w:rsidRPr="009B0448">
        <w:rPr>
          <w:rFonts w:ascii="Times New Roman" w:eastAsia="Times New Roman" w:hAnsi="Times New Roman" w:cs="Times New Roman"/>
          <w:color w:val="auto"/>
          <w:lang w:eastAsia="en-GB"/>
        </w:rPr>
        <w:t xml:space="preserve">, 2014). </w:t>
      </w:r>
      <w:r w:rsidRPr="009B0448">
        <w:rPr>
          <w:rFonts w:ascii="Times New Roman" w:eastAsia="Times New Roman" w:hAnsi="Times New Roman" w:cs="Times New Roman"/>
          <w:color w:val="auto"/>
        </w:rPr>
        <w:t>These indicate that extensive shifts in biomes are likely. The role that fire plays in the distribution of future biomes is critical as has been demonstrated by running the same models with fire sub-sections disabled. In Southern Africa the grasslands are likely to retract extensively and be replaced by savanna or forest. Savannas may change to forest in other areas of Africa (</w:t>
      </w:r>
      <w:r w:rsidRPr="009B0448">
        <w:rPr>
          <w:rFonts w:ascii="Times New Roman" w:eastAsia="Times New Roman" w:hAnsi="Times New Roman" w:cs="Times New Roman"/>
          <w:color w:val="auto"/>
          <w:lang w:eastAsia="en-GB"/>
        </w:rPr>
        <w:t xml:space="preserve">Higgins </w:t>
      </w:r>
      <w:r w:rsidRPr="009B0448">
        <w:rPr>
          <w:rFonts w:ascii="Times New Roman" w:eastAsia="Times New Roman" w:hAnsi="Times New Roman" w:cs="Times New Roman"/>
          <w:i/>
          <w:color w:val="auto"/>
          <w:lang w:eastAsia="en-GB"/>
        </w:rPr>
        <w:t>et al.</w:t>
      </w:r>
      <w:r w:rsidRPr="009B0448">
        <w:rPr>
          <w:rFonts w:ascii="Times New Roman" w:eastAsia="Times New Roman" w:hAnsi="Times New Roman" w:cs="Times New Roman"/>
          <w:color w:val="auto"/>
          <w:lang w:eastAsia="en-GB"/>
        </w:rPr>
        <w:t>, 2012</w:t>
      </w:r>
      <w:r w:rsidRPr="009B0448">
        <w:rPr>
          <w:rFonts w:ascii="Times New Roman" w:eastAsia="Times New Roman" w:hAnsi="Times New Roman" w:cs="Times New Roman"/>
          <w:color w:val="auto"/>
        </w:rPr>
        <w:t>). These dynamic vegetation models suggest savanna vegetation is far less stable than earlier outcomes from simpler niche-based models, where CO</w:t>
      </w:r>
      <w:r w:rsidRPr="009B0448">
        <w:rPr>
          <w:rFonts w:ascii="Times New Roman" w:eastAsia="Times New Roman" w:hAnsi="Times New Roman" w:cs="Times New Roman"/>
          <w:color w:val="auto"/>
          <w:vertAlign w:val="subscript"/>
        </w:rPr>
        <w:t>2</w:t>
      </w:r>
      <w:r w:rsidRPr="009B0448">
        <w:rPr>
          <w:rFonts w:ascii="Times New Roman" w:eastAsia="Times New Roman" w:hAnsi="Times New Roman" w:cs="Times New Roman"/>
          <w:color w:val="auto"/>
        </w:rPr>
        <w:t xml:space="preserve"> and fire effects are not considered, indicated (Midgley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2015). Carbon dioxide fertilization effects may make some plants more drought hardy, and this will slightly compensate for temperature rise. It also means that globally there should be, on balance, an overall greening (Zhu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2016). However, raised CO</w:t>
      </w:r>
      <w:r w:rsidRPr="009B0448">
        <w:rPr>
          <w:rFonts w:ascii="Times New Roman" w:eastAsia="Times New Roman" w:hAnsi="Times New Roman" w:cs="Times New Roman"/>
          <w:color w:val="auto"/>
          <w:vertAlign w:val="subscript"/>
        </w:rPr>
        <w:t>2</w:t>
      </w:r>
      <w:r w:rsidRPr="009B0448">
        <w:rPr>
          <w:rFonts w:ascii="Times New Roman" w:eastAsia="Times New Roman" w:hAnsi="Times New Roman" w:cs="Times New Roman"/>
          <w:color w:val="auto"/>
        </w:rPr>
        <w:t xml:space="preserve"> may also lead to an increased synthesis of secondary compounds in the plant, potentially changing the ratio of carbon to nitrogen and hence reducing palatability (Schadler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2007; </w:t>
      </w:r>
      <w:r w:rsidRPr="009B0448">
        <w:rPr>
          <w:rFonts w:ascii="Times New Roman" w:eastAsia="Times New Roman" w:hAnsi="Times New Roman" w:cs="Times New Roman"/>
          <w:color w:val="auto"/>
          <w:lang w:eastAsia="en-GB"/>
        </w:rPr>
        <w:t xml:space="preserve">Craine </w:t>
      </w:r>
      <w:r w:rsidRPr="009B0448">
        <w:rPr>
          <w:rFonts w:ascii="Times New Roman" w:eastAsia="Times New Roman" w:hAnsi="Times New Roman" w:cs="Times New Roman"/>
          <w:i/>
          <w:color w:val="auto"/>
          <w:lang w:eastAsia="en-GB"/>
        </w:rPr>
        <w:t>et al.</w:t>
      </w:r>
      <w:r w:rsidRPr="009B0448">
        <w:rPr>
          <w:rFonts w:ascii="Times New Roman" w:eastAsia="Times New Roman" w:hAnsi="Times New Roman" w:cs="Times New Roman"/>
          <w:color w:val="auto"/>
          <w:lang w:eastAsia="en-GB"/>
        </w:rPr>
        <w:t>, 2017</w:t>
      </w:r>
      <w:r w:rsidRPr="009B0448">
        <w:rPr>
          <w:rFonts w:ascii="Times New Roman" w:eastAsia="Times New Roman" w:hAnsi="Times New Roman" w:cs="Times New Roman"/>
          <w:color w:val="auto"/>
        </w:rPr>
        <w:t xml:space="preserve">). Although data on this is still poorly researched, especially for Africa, impacts could be profound, and may reduce the flow of nature’s contributions to people resulting from animal production (Owensby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1996; Milchunas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2005; AbdElgawad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2014; Craine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2017). </w:t>
      </w:r>
    </w:p>
    <w:p w14:paraId="7CFF0E20" w14:textId="77777777" w:rsidR="009B0448" w:rsidRPr="009B0448" w:rsidRDefault="009B0448" w:rsidP="009B0448">
      <w:pPr>
        <w:spacing w:line="276" w:lineRule="auto"/>
        <w:jc w:val="both"/>
        <w:rPr>
          <w:rFonts w:ascii="Times New Roman" w:eastAsia="Times New Roman" w:hAnsi="Times New Roman" w:cs="Times New Roman"/>
          <w:color w:val="auto"/>
        </w:rPr>
      </w:pPr>
    </w:p>
    <w:p w14:paraId="5FCDD90F"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Climate change will influence environmental conditions that can enable or disable the survival, reproduction, abundance, and distribution of pathogens, vectors, and hosts, as well as the means of disease transmission and the outbreak frequency hence a major driver to emerging diseases (Wu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w:t>
      </w:r>
      <w:r w:rsidRPr="009B0448">
        <w:rPr>
          <w:rFonts w:ascii="Times New Roman" w:eastAsia="Times New Roman" w:hAnsi="Times New Roman" w:cs="Times New Roman"/>
          <w:color w:val="232323"/>
        </w:rPr>
        <w:t xml:space="preserve">These could cause shifts in the geographic and seasonal patterns of human infectious diseases, hence changes in outbreak frequency and severity (Wu </w:t>
      </w:r>
      <w:r w:rsidRPr="009B0448">
        <w:rPr>
          <w:rFonts w:ascii="Times New Roman" w:eastAsia="Times New Roman" w:hAnsi="Times New Roman" w:cs="Times New Roman"/>
          <w:i/>
          <w:color w:val="232323"/>
        </w:rPr>
        <w:t>et al.</w:t>
      </w:r>
      <w:r w:rsidRPr="009B0448">
        <w:rPr>
          <w:rFonts w:ascii="Times New Roman" w:eastAsia="Times New Roman" w:hAnsi="Times New Roman" w:cs="Times New Roman"/>
          <w:color w:val="232323"/>
        </w:rPr>
        <w:t>, 2016).</w:t>
      </w:r>
      <w:r w:rsidRPr="009B0448">
        <w:rPr>
          <w:rFonts w:ascii="Times New Roman" w:eastAsia="Times New Roman" w:hAnsi="Times New Roman" w:cs="Times New Roman"/>
        </w:rPr>
        <w:t xml:space="preserve"> In Africa, the neglected tropical diseases, such as soil-transmitted helminths, are the most common conditions affecting the poorest 500 million people living in sub</w:t>
      </w:r>
      <w:r w:rsidRPr="009B0448">
        <w:rPr>
          <w:rFonts w:ascii="Times New Roman" w:eastAsia="Jim Nightshade" w:hAnsi="Times New Roman" w:cs="Times New Roman"/>
        </w:rPr>
        <w:t>-</w:t>
      </w:r>
      <w:r w:rsidRPr="009B0448">
        <w:rPr>
          <w:rFonts w:ascii="Times New Roman" w:eastAsia="Times New Roman" w:hAnsi="Times New Roman" w:cs="Times New Roman"/>
        </w:rPr>
        <w:t>Saharan Africa.</w:t>
      </w:r>
    </w:p>
    <w:p w14:paraId="770D02F7" w14:textId="77777777" w:rsidR="009B0448" w:rsidRPr="009B0448" w:rsidRDefault="009B0448" w:rsidP="009B0448">
      <w:pPr>
        <w:spacing w:line="276" w:lineRule="auto"/>
        <w:jc w:val="both"/>
        <w:rPr>
          <w:rFonts w:ascii="Times New Roman" w:hAnsi="Times New Roman" w:cs="Times New Roman"/>
        </w:rPr>
      </w:pPr>
    </w:p>
    <w:p w14:paraId="4937BADC" w14:textId="77777777" w:rsidR="009B0448" w:rsidRPr="009B0448" w:rsidRDefault="009B0448" w:rsidP="009B0448">
      <w:pPr>
        <w:spacing w:line="276" w:lineRule="auto"/>
        <w:jc w:val="both"/>
        <w:rPr>
          <w:rFonts w:ascii="Times New Roman" w:eastAsia="Times New Roman" w:hAnsi="Times New Roman" w:cs="Times New Roman"/>
          <w:color w:val="211E1E"/>
        </w:rPr>
      </w:pPr>
      <w:r w:rsidRPr="009B0448">
        <w:rPr>
          <w:rFonts w:ascii="Times New Roman" w:eastAsia="Times New Roman" w:hAnsi="Times New Roman" w:cs="Times New Roman"/>
        </w:rPr>
        <w:t xml:space="preserve">Many communicable diseases are water borne and climate change is therefore likely to impact incidences and prevalence of these diseases by increasing the range and seasonal duration of causative pathogens (UNECA, 2011). Climate change induced increased frequency of extreme weather events is likely to exacerbate water-borne diseases (e.g., diarrhoea) and may have major influence on vector-borne disease epidemiology (reviewed in UNECA, 2011). For instance, the </w:t>
      </w:r>
      <w:r w:rsidRPr="009B0448">
        <w:rPr>
          <w:rFonts w:ascii="Times New Roman" w:eastAsia="Times New Roman" w:hAnsi="Times New Roman" w:cs="Times New Roman"/>
          <w:color w:val="211E1E"/>
        </w:rPr>
        <w:t xml:space="preserve">Rift Valley Fever, which has a widespread occurrence in the continent, has pronounced periods of virus activity in East Africa during periods of heavy, widespread and persistent rainfall associated with El Niño events (Linthicum </w:t>
      </w:r>
      <w:r w:rsidRPr="009B0448">
        <w:rPr>
          <w:rFonts w:ascii="Times New Roman" w:eastAsia="Times New Roman" w:hAnsi="Times New Roman" w:cs="Times New Roman"/>
          <w:i/>
          <w:color w:val="211E1E"/>
        </w:rPr>
        <w:t>et al.</w:t>
      </w:r>
      <w:r w:rsidRPr="009B0448">
        <w:rPr>
          <w:rFonts w:ascii="Times New Roman" w:eastAsia="Times New Roman" w:hAnsi="Times New Roman" w:cs="Times New Roman"/>
          <w:color w:val="211E1E"/>
        </w:rPr>
        <w:t xml:space="preserve">, 1999; Martin </w:t>
      </w:r>
      <w:r w:rsidRPr="009B0448">
        <w:rPr>
          <w:rFonts w:ascii="Times New Roman" w:eastAsia="Times New Roman" w:hAnsi="Times New Roman" w:cs="Times New Roman"/>
          <w:i/>
          <w:color w:val="211E1E"/>
        </w:rPr>
        <w:t>et al.</w:t>
      </w:r>
      <w:r w:rsidRPr="009B0448">
        <w:rPr>
          <w:rFonts w:ascii="Times New Roman" w:eastAsia="Times New Roman" w:hAnsi="Times New Roman" w:cs="Times New Roman"/>
          <w:color w:val="211E1E"/>
        </w:rPr>
        <w:t>, 2008).</w:t>
      </w:r>
    </w:p>
    <w:p w14:paraId="7A0870F2" w14:textId="77777777" w:rsidR="009B0448" w:rsidRPr="009B0448" w:rsidRDefault="009B0448" w:rsidP="009B0448">
      <w:pPr>
        <w:spacing w:line="276" w:lineRule="auto"/>
        <w:jc w:val="both"/>
        <w:rPr>
          <w:rFonts w:ascii="Times New Roman" w:eastAsia="Times" w:hAnsi="Times New Roman" w:cs="Times New Roman"/>
        </w:rPr>
      </w:pPr>
    </w:p>
    <w:p w14:paraId="30E1EAC0"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Climate change is expected to have direct, and in most cases negative impacts on Africa’s ability to produce food crops, though impacts vary extensively by region, climate scenarios used and global circulation model considered (Ringler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Müller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Knox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w:t>
      </w:r>
      <w:r w:rsidRPr="009B0448">
        <w:rPr>
          <w:rFonts w:ascii="Times New Roman" w:hAnsi="Times New Roman" w:cs="Times New Roman"/>
        </w:rPr>
        <w:t xml:space="preserve">Ramirez-Villegas </w:t>
      </w:r>
      <w:r w:rsidRPr="009B0448">
        <w:rPr>
          <w:rFonts w:ascii="Times New Roman" w:hAnsi="Times New Roman" w:cs="Times New Roman"/>
          <w:i/>
        </w:rPr>
        <w:t>et al.</w:t>
      </w:r>
      <w:r w:rsidRPr="009B0448">
        <w:rPr>
          <w:rFonts w:ascii="Times New Roman" w:hAnsi="Times New Roman" w:cs="Times New Roman"/>
        </w:rPr>
        <w:t>, 2015</w:t>
      </w:r>
      <w:r w:rsidRPr="009B0448">
        <w:rPr>
          <w:rFonts w:ascii="Times New Roman" w:eastAsia="Times New Roman" w:hAnsi="Times New Roman" w:cs="Times New Roman"/>
        </w:rPr>
        <w:t xml:space="preserve">). Despite the high variance, and many locations showing increases under some scenarios, both mean and median changes tend to be negative. Different crops are also anticipated to respond differentially to climate change, with a wide range of impacts, which are location and scenario dependent (Table 4.3; Figure 4.10). Maize the staple crop for large parts of Africa will be less severely impacted than wheat, with predicted impacts varying widely, but largely negative. Sugarcane, rice and cassava will be largely unaffected (Knox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Climate change is also anticipated to negatively impact on human access to water resources with rural areas likely to be particularly vulnerable (Kusangaya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Radhouane, 2013). </w:t>
      </w:r>
    </w:p>
    <w:p w14:paraId="65F7A4E2" w14:textId="77777777" w:rsidR="009B0448" w:rsidRPr="009B0448" w:rsidRDefault="009B0448" w:rsidP="009B0448">
      <w:pPr>
        <w:spacing w:line="276" w:lineRule="auto"/>
        <w:jc w:val="both"/>
        <w:rPr>
          <w:rFonts w:ascii="Times New Roman" w:eastAsia="Times New Roman" w:hAnsi="Times New Roman" w:cs="Times New Roman"/>
        </w:rPr>
      </w:pPr>
    </w:p>
    <w:p w14:paraId="687D69D6" w14:textId="09232A3A"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6078CD24" wp14:editId="6E7E94E6">
            <wp:extent cx="5730240" cy="6941820"/>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5730240" cy="6941820"/>
                    </a:xfrm>
                    <a:prstGeom prst="rect">
                      <a:avLst/>
                    </a:prstGeom>
                    <a:noFill/>
                    <a:ln>
                      <a:noFill/>
                    </a:ln>
                  </pic:spPr>
                </pic:pic>
              </a:graphicData>
            </a:graphic>
          </wp:inline>
        </w:drawing>
      </w:r>
    </w:p>
    <w:p w14:paraId="2E521A9F" w14:textId="77777777" w:rsidR="009B0448" w:rsidRPr="009B0448" w:rsidRDefault="009B0448" w:rsidP="009B0448">
      <w:pPr>
        <w:autoSpaceDE w:val="0"/>
        <w:autoSpaceDN w:val="0"/>
        <w:adjustRightInd w:val="0"/>
        <w:spacing w:line="276" w:lineRule="auto"/>
        <w:jc w:val="both"/>
        <w:rPr>
          <w:rFonts w:ascii="Times New Roman" w:hAnsi="Times New Roman" w:cs="Times New Roman"/>
        </w:rPr>
      </w:pPr>
      <w:r w:rsidRPr="009B0448">
        <w:rPr>
          <w:rFonts w:ascii="Times New Roman" w:hAnsi="Times New Roman" w:cs="Times New Roman"/>
          <w:b/>
        </w:rPr>
        <w:t>Figure 4.10:</w:t>
      </w:r>
      <w:r w:rsidRPr="009B0448">
        <w:rPr>
          <w:rFonts w:ascii="Times New Roman" w:hAnsi="Times New Roman" w:cs="Times New Roman"/>
        </w:rPr>
        <w:t xml:space="preserve"> Summary of reported mean yield variations (%) in Africa. Data shown are for all observations for each crop type, for all crop modelling approaches, all general circulation models and all time slices. Where published, the confidence intervals for specific studies are shown. Source: Knox </w:t>
      </w:r>
      <w:r w:rsidRPr="009B0448">
        <w:rPr>
          <w:rFonts w:ascii="Times New Roman" w:hAnsi="Times New Roman" w:cs="Times New Roman"/>
          <w:i/>
        </w:rPr>
        <w:t>et al.</w:t>
      </w:r>
      <w:r w:rsidRPr="009B0448">
        <w:rPr>
          <w:rFonts w:ascii="Times New Roman" w:hAnsi="Times New Roman" w:cs="Times New Roman"/>
        </w:rPr>
        <w:t xml:space="preserve"> (2012).</w:t>
      </w:r>
    </w:p>
    <w:p w14:paraId="1ED42479" w14:textId="77777777" w:rsidR="009B0448" w:rsidRPr="009B0448" w:rsidRDefault="009B0448" w:rsidP="009B0448">
      <w:pPr>
        <w:autoSpaceDE w:val="0"/>
        <w:autoSpaceDN w:val="0"/>
        <w:adjustRightInd w:val="0"/>
        <w:spacing w:line="276" w:lineRule="auto"/>
        <w:jc w:val="both"/>
        <w:rPr>
          <w:rFonts w:ascii="Times New Roman" w:hAnsi="Times New Roman" w:cs="Times New Roman"/>
        </w:rPr>
      </w:pPr>
    </w:p>
    <w:p w14:paraId="0EB54384" w14:textId="77777777" w:rsidR="00D32AA1" w:rsidRDefault="00D32AA1">
      <w:pPr>
        <w:rPr>
          <w:rFonts w:ascii="Times New Roman" w:hAnsi="Times New Roman" w:cs="Times New Roman"/>
          <w:b/>
        </w:rPr>
      </w:pPr>
      <w:r>
        <w:rPr>
          <w:rFonts w:ascii="Times New Roman" w:hAnsi="Times New Roman" w:cs="Times New Roman"/>
          <w:b/>
        </w:rPr>
        <w:br w:type="page"/>
      </w:r>
    </w:p>
    <w:p w14:paraId="4B880036" w14:textId="0E708BF1" w:rsidR="009B0448" w:rsidRPr="009B0448" w:rsidRDefault="009B0448" w:rsidP="009B0448">
      <w:pPr>
        <w:autoSpaceDE w:val="0"/>
        <w:autoSpaceDN w:val="0"/>
        <w:adjustRightInd w:val="0"/>
        <w:spacing w:line="276" w:lineRule="auto"/>
        <w:jc w:val="both"/>
        <w:rPr>
          <w:rFonts w:ascii="Times New Roman" w:hAnsi="Times New Roman" w:cs="Times New Roman"/>
        </w:rPr>
      </w:pPr>
      <w:r w:rsidRPr="009B0448">
        <w:rPr>
          <w:rFonts w:ascii="Times New Roman" w:hAnsi="Times New Roman" w:cs="Times New Roman"/>
          <w:b/>
        </w:rPr>
        <w:t>Table 4.3</w:t>
      </w:r>
      <w:r w:rsidRPr="009B0448">
        <w:rPr>
          <w:rFonts w:ascii="Times New Roman" w:hAnsi="Times New Roman" w:cs="Times New Roman"/>
        </w:rPr>
        <w:t>: Summary of reported impacts of climate change on yield (mean and median changes (%)) for all crops, by subregion in Africa (Notes:</w:t>
      </w:r>
      <w:r w:rsidRPr="009B0448">
        <w:rPr>
          <w:rFonts w:ascii="Times New Roman" w:hAnsi="Times New Roman" w:cs="Times New Roman"/>
          <w:i/>
        </w:rPr>
        <w:t xml:space="preserve"> n</w:t>
      </w:r>
      <w:r w:rsidRPr="009B0448">
        <w:rPr>
          <w:rFonts w:ascii="Times New Roman" w:hAnsi="Times New Roman" w:cs="Times New Roman"/>
        </w:rPr>
        <w:t xml:space="preserve"> = Number of reported mean yield changes, which may include several from the same source for different countries or time slices; NS = not significant). Source: Knox </w:t>
      </w:r>
      <w:r w:rsidRPr="009B0448">
        <w:rPr>
          <w:rFonts w:ascii="Times New Roman" w:hAnsi="Times New Roman" w:cs="Times New Roman"/>
          <w:i/>
        </w:rPr>
        <w:t>et al.</w:t>
      </w:r>
      <w:r w:rsidRPr="009B0448">
        <w:rPr>
          <w:rFonts w:ascii="Times New Roman" w:hAnsi="Times New Roman" w:cs="Times New Roman"/>
        </w:rPr>
        <w:t xml:space="preserve"> (2012).</w:t>
      </w:r>
    </w:p>
    <w:tbl>
      <w:tblPr>
        <w:tblStyle w:val="PlainTable1"/>
        <w:tblW w:w="5000" w:type="pct"/>
        <w:tblLook w:val="04A0" w:firstRow="1" w:lastRow="0" w:firstColumn="1" w:lastColumn="0" w:noHBand="0" w:noVBand="1"/>
      </w:tblPr>
      <w:tblGrid>
        <w:gridCol w:w="1085"/>
        <w:gridCol w:w="623"/>
        <w:gridCol w:w="1064"/>
        <w:gridCol w:w="1082"/>
        <w:gridCol w:w="1665"/>
        <w:gridCol w:w="436"/>
        <w:gridCol w:w="990"/>
        <w:gridCol w:w="1487"/>
        <w:gridCol w:w="584"/>
      </w:tblGrid>
      <w:tr w:rsidR="009B0448" w:rsidRPr="009B0448" w14:paraId="41333BA2" w14:textId="77777777" w:rsidTr="009B04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7CF1AE" w14:textId="77777777" w:rsidR="009B0448" w:rsidRPr="009B0448" w:rsidRDefault="009B0448">
            <w:pPr>
              <w:rPr>
                <w:rFonts w:ascii="Times New Roman" w:hAnsi="Times New Roman" w:cs="Times New Roman"/>
              </w:rPr>
            </w:pPr>
            <w:r w:rsidRPr="009B0448">
              <w:rPr>
                <w:rFonts w:ascii="Times New Roman" w:hAnsi="Times New Roman" w:cs="Times New Roman"/>
              </w:rPr>
              <w:t xml:space="preserve">Crop </w:t>
            </w:r>
          </w:p>
        </w:tc>
        <w:tc>
          <w:tcPr>
            <w:tcW w:w="6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35086CA" w14:textId="77777777" w:rsidR="009B0448" w:rsidRPr="009B0448" w:rsidRDefault="009B044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rPr>
            </w:pPr>
            <w:r w:rsidRPr="009B0448">
              <w:rPr>
                <w:rFonts w:ascii="Times New Roman" w:hAnsi="Times New Roman" w:cs="Times New Roman"/>
                <w:i/>
              </w:rPr>
              <w:t>n</w:t>
            </w:r>
          </w:p>
        </w:tc>
        <w:tc>
          <w:tcPr>
            <w:tcW w:w="10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34FC06A" w14:textId="77777777" w:rsidR="009B0448" w:rsidRPr="009B0448" w:rsidRDefault="009B044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Mean change</w:t>
            </w:r>
          </w:p>
          <w:p w14:paraId="25954B7F" w14:textId="77777777" w:rsidR="009B0448" w:rsidRPr="009B0448" w:rsidRDefault="009B044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w:t>
            </w:r>
          </w:p>
        </w:tc>
        <w:tc>
          <w:tcPr>
            <w:tcW w:w="10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7E0853" w14:textId="77777777" w:rsidR="009B0448" w:rsidRPr="009B0448" w:rsidRDefault="009B044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Median change</w:t>
            </w:r>
          </w:p>
          <w:p w14:paraId="5D124A0B" w14:textId="77777777" w:rsidR="009B0448" w:rsidRPr="009B0448" w:rsidRDefault="009B044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w:t>
            </w:r>
          </w:p>
        </w:tc>
        <w:tc>
          <w:tcPr>
            <w:tcW w:w="17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AF656F" w14:textId="77777777" w:rsidR="009B0448" w:rsidRPr="009B0448" w:rsidRDefault="009B044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Crops with significant variations</w:t>
            </w:r>
          </w:p>
        </w:tc>
        <w:tc>
          <w:tcPr>
            <w:tcW w:w="4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D31A34" w14:textId="77777777" w:rsidR="009B0448" w:rsidRPr="009B0448" w:rsidRDefault="009B044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rPr>
            </w:pPr>
            <w:r w:rsidRPr="009B0448">
              <w:rPr>
                <w:rFonts w:ascii="Times New Roman" w:hAnsi="Times New Roman" w:cs="Times New Roman"/>
                <w:i/>
              </w:rPr>
              <w:t>n</w:t>
            </w:r>
          </w:p>
        </w:tc>
        <w:tc>
          <w:tcPr>
            <w:tcW w:w="10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A136A7" w14:textId="77777777" w:rsidR="009B0448" w:rsidRPr="009B0448" w:rsidRDefault="009B044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Mean change (%)</w:t>
            </w:r>
          </w:p>
        </w:tc>
        <w:tc>
          <w:tcPr>
            <w:tcW w:w="15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BA5E83" w14:textId="77777777" w:rsidR="009B0448" w:rsidRPr="009B0448" w:rsidRDefault="009B044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Crops with non-significant variation</w:t>
            </w:r>
          </w:p>
        </w:tc>
        <w:tc>
          <w:tcPr>
            <w:tcW w:w="6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C8AA1F" w14:textId="77777777" w:rsidR="009B0448" w:rsidRPr="009B0448" w:rsidRDefault="009B044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i/>
              </w:rPr>
              <w:t>n</w:t>
            </w:r>
          </w:p>
        </w:tc>
      </w:tr>
      <w:tr w:rsidR="009B0448" w:rsidRPr="009B0448" w14:paraId="39158119"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837D8E" w14:textId="77777777" w:rsidR="009B0448" w:rsidRPr="009B0448" w:rsidRDefault="009B0448">
            <w:pPr>
              <w:rPr>
                <w:rFonts w:ascii="Times New Roman" w:hAnsi="Times New Roman" w:cs="Times New Roman"/>
              </w:rPr>
            </w:pPr>
            <w:r w:rsidRPr="009B0448">
              <w:rPr>
                <w:rFonts w:ascii="Times New Roman" w:hAnsi="Times New Roman" w:cs="Times New Roman"/>
              </w:rPr>
              <w:t>All crops</w:t>
            </w:r>
          </w:p>
        </w:tc>
        <w:tc>
          <w:tcPr>
            <w:tcW w:w="6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74AA46"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257</w:t>
            </w:r>
          </w:p>
        </w:tc>
        <w:tc>
          <w:tcPr>
            <w:tcW w:w="10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B4F24F"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-7.7</w:t>
            </w:r>
          </w:p>
        </w:tc>
        <w:tc>
          <w:tcPr>
            <w:tcW w:w="10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C080FD"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-7.0</w:t>
            </w:r>
          </w:p>
        </w:tc>
        <w:tc>
          <w:tcPr>
            <w:tcW w:w="17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2214969"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Wheat</w:t>
            </w:r>
          </w:p>
          <w:p w14:paraId="2209F4B3"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Maize</w:t>
            </w:r>
          </w:p>
          <w:p w14:paraId="72FD294D"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Sorghum</w:t>
            </w:r>
          </w:p>
          <w:p w14:paraId="75266A9A"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Millet </w:t>
            </w:r>
          </w:p>
          <w:p w14:paraId="5DD48B0F"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E794B1"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37</w:t>
            </w:r>
          </w:p>
          <w:p w14:paraId="784026C2"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12</w:t>
            </w:r>
          </w:p>
          <w:p w14:paraId="501BE639"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9</w:t>
            </w:r>
          </w:p>
          <w:p w14:paraId="595BFB63"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23</w:t>
            </w:r>
          </w:p>
        </w:tc>
        <w:tc>
          <w:tcPr>
            <w:tcW w:w="10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C7E746"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-12.1</w:t>
            </w:r>
          </w:p>
          <w:p w14:paraId="680027E4"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-7.2</w:t>
            </w:r>
          </w:p>
          <w:p w14:paraId="69075042"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-13.0</w:t>
            </w:r>
          </w:p>
          <w:p w14:paraId="589EEC89"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-8.8</w:t>
            </w:r>
          </w:p>
        </w:tc>
        <w:tc>
          <w:tcPr>
            <w:tcW w:w="15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E52792"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Rice</w:t>
            </w:r>
          </w:p>
          <w:p w14:paraId="692C0A24"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Cassava</w:t>
            </w:r>
          </w:p>
          <w:p w14:paraId="598DFBD1"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Sugarcane </w:t>
            </w:r>
          </w:p>
        </w:tc>
        <w:tc>
          <w:tcPr>
            <w:tcW w:w="6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025A9E"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43</w:t>
            </w:r>
          </w:p>
          <w:p w14:paraId="705B2322"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8</w:t>
            </w:r>
          </w:p>
          <w:p w14:paraId="735FB0FB"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w:t>
            </w:r>
          </w:p>
        </w:tc>
      </w:tr>
      <w:tr w:rsidR="009B0448" w:rsidRPr="009B0448" w14:paraId="1A8AE2FD" w14:textId="77777777" w:rsidTr="009B0448">
        <w:tc>
          <w:tcPr>
            <w:cnfStyle w:val="001000000000" w:firstRow="0" w:lastRow="0" w:firstColumn="1" w:lastColumn="0" w:oddVBand="0" w:evenVBand="0" w:oddHBand="0" w:evenHBand="0" w:firstRowFirstColumn="0" w:firstRowLastColumn="0" w:lastRowFirstColumn="0" w:lastRowLastColumn="0"/>
            <w:tcW w:w="94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0675ED" w14:textId="77777777" w:rsidR="009B0448" w:rsidRPr="009B0448" w:rsidRDefault="009B0448">
            <w:pPr>
              <w:rPr>
                <w:rFonts w:ascii="Times New Roman" w:hAnsi="Times New Roman" w:cs="Times New Roman"/>
              </w:rPr>
            </w:pPr>
            <w:r w:rsidRPr="009B0448">
              <w:rPr>
                <w:rFonts w:ascii="Times New Roman" w:hAnsi="Times New Roman" w:cs="Times New Roman"/>
              </w:rPr>
              <w:t xml:space="preserve">Africa </w:t>
            </w:r>
          </w:p>
        </w:tc>
        <w:tc>
          <w:tcPr>
            <w:tcW w:w="6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7E6B068"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163</w:t>
            </w:r>
          </w:p>
        </w:tc>
        <w:tc>
          <w:tcPr>
            <w:tcW w:w="10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0A5F2C"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-7.7</w:t>
            </w:r>
          </w:p>
        </w:tc>
        <w:tc>
          <w:tcPr>
            <w:tcW w:w="10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F1E935"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-10.0</w:t>
            </w:r>
          </w:p>
        </w:tc>
        <w:tc>
          <w:tcPr>
            <w:tcW w:w="17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B8C885E"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Wheat</w:t>
            </w:r>
          </w:p>
          <w:p w14:paraId="0958707E"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Maize</w:t>
            </w:r>
          </w:p>
          <w:p w14:paraId="20E04C72"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Sorghum</w:t>
            </w:r>
          </w:p>
          <w:p w14:paraId="57E16D81"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Millet</w:t>
            </w:r>
          </w:p>
          <w:p w14:paraId="7E32E1A0"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4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06A952"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10</w:t>
            </w:r>
          </w:p>
          <w:p w14:paraId="779A5B5E"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20</w:t>
            </w:r>
          </w:p>
          <w:p w14:paraId="77B02845"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6</w:t>
            </w:r>
          </w:p>
          <w:p w14:paraId="3C05E5DD"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13</w:t>
            </w:r>
          </w:p>
        </w:tc>
        <w:tc>
          <w:tcPr>
            <w:tcW w:w="10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50206F"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-17.2</w:t>
            </w:r>
          </w:p>
          <w:p w14:paraId="21F9114D"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-5.4</w:t>
            </w:r>
          </w:p>
          <w:p w14:paraId="6B197BAE"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-14.6</w:t>
            </w:r>
          </w:p>
          <w:p w14:paraId="4BAAB1B4"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-9.6</w:t>
            </w:r>
          </w:p>
        </w:tc>
        <w:tc>
          <w:tcPr>
            <w:tcW w:w="15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702B04"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Rice</w:t>
            </w:r>
          </w:p>
          <w:p w14:paraId="602F367B"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Cassava</w:t>
            </w:r>
          </w:p>
          <w:p w14:paraId="0E49FA9B"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Sugarcane</w:t>
            </w:r>
          </w:p>
        </w:tc>
        <w:tc>
          <w:tcPr>
            <w:tcW w:w="6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1FD1B1"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w:t>
            </w:r>
          </w:p>
          <w:p w14:paraId="2ABC54C9"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w:t>
            </w:r>
          </w:p>
          <w:p w14:paraId="160D6290"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w:t>
            </w:r>
          </w:p>
        </w:tc>
      </w:tr>
      <w:tr w:rsidR="009B0448" w:rsidRPr="009B0448" w14:paraId="3B01E660"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32D1FC" w14:textId="77777777" w:rsidR="009B0448" w:rsidRPr="009B0448" w:rsidRDefault="009B0448">
            <w:pPr>
              <w:rPr>
                <w:rFonts w:ascii="Times New Roman" w:hAnsi="Times New Roman" w:cs="Times New Roman"/>
              </w:rPr>
            </w:pPr>
            <w:r w:rsidRPr="009B0448">
              <w:rPr>
                <w:rFonts w:ascii="Times New Roman" w:hAnsi="Times New Roman" w:cs="Times New Roman"/>
              </w:rPr>
              <w:t>Southern Africa</w:t>
            </w:r>
          </w:p>
        </w:tc>
        <w:tc>
          <w:tcPr>
            <w:tcW w:w="6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AE94BB"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33</w:t>
            </w:r>
          </w:p>
        </w:tc>
        <w:tc>
          <w:tcPr>
            <w:tcW w:w="10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8C77CB"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-11.0</w:t>
            </w:r>
          </w:p>
        </w:tc>
        <w:tc>
          <w:tcPr>
            <w:tcW w:w="10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DC6085"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-15.1</w:t>
            </w:r>
          </w:p>
        </w:tc>
        <w:tc>
          <w:tcPr>
            <w:tcW w:w="17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6F9A85"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Maize </w:t>
            </w:r>
          </w:p>
        </w:tc>
        <w:tc>
          <w:tcPr>
            <w:tcW w:w="4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87AFBE"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24</w:t>
            </w:r>
          </w:p>
        </w:tc>
        <w:tc>
          <w:tcPr>
            <w:tcW w:w="10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6DD42F"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-11.4</w:t>
            </w:r>
          </w:p>
        </w:tc>
        <w:tc>
          <w:tcPr>
            <w:tcW w:w="15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71BF7A"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Wheat </w:t>
            </w:r>
          </w:p>
          <w:p w14:paraId="4FCB9232"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Sorghum Sugarcane </w:t>
            </w:r>
          </w:p>
        </w:tc>
        <w:tc>
          <w:tcPr>
            <w:tcW w:w="6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FB47110"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w:t>
            </w:r>
          </w:p>
          <w:p w14:paraId="5862580A"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w:t>
            </w:r>
          </w:p>
          <w:p w14:paraId="4FD860AE"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w:t>
            </w:r>
          </w:p>
        </w:tc>
      </w:tr>
      <w:tr w:rsidR="009B0448" w:rsidRPr="009B0448" w14:paraId="688B5F82" w14:textId="77777777" w:rsidTr="009B0448">
        <w:tc>
          <w:tcPr>
            <w:cnfStyle w:val="001000000000" w:firstRow="0" w:lastRow="0" w:firstColumn="1" w:lastColumn="0" w:oddVBand="0" w:evenVBand="0" w:oddHBand="0" w:evenHBand="0" w:firstRowFirstColumn="0" w:firstRowLastColumn="0" w:lastRowFirstColumn="0" w:lastRowLastColumn="0"/>
            <w:tcW w:w="94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EFD1AE" w14:textId="77777777" w:rsidR="009B0448" w:rsidRPr="009B0448" w:rsidRDefault="009B0448">
            <w:pPr>
              <w:rPr>
                <w:rFonts w:ascii="Times New Roman" w:hAnsi="Times New Roman" w:cs="Times New Roman"/>
              </w:rPr>
            </w:pPr>
            <w:r w:rsidRPr="009B0448">
              <w:rPr>
                <w:rFonts w:ascii="Times New Roman" w:hAnsi="Times New Roman" w:cs="Times New Roman"/>
              </w:rPr>
              <w:t xml:space="preserve">Central </w:t>
            </w:r>
          </w:p>
          <w:p w14:paraId="554BF420" w14:textId="77777777" w:rsidR="009B0448" w:rsidRPr="009B0448" w:rsidRDefault="009B0448">
            <w:pPr>
              <w:rPr>
                <w:rFonts w:ascii="Times New Roman" w:hAnsi="Times New Roman" w:cs="Times New Roman"/>
              </w:rPr>
            </w:pPr>
            <w:r w:rsidRPr="009B0448">
              <w:rPr>
                <w:rFonts w:ascii="Times New Roman" w:hAnsi="Times New Roman" w:cs="Times New Roman"/>
              </w:rPr>
              <w:t xml:space="preserve">Africa </w:t>
            </w:r>
          </w:p>
        </w:tc>
        <w:tc>
          <w:tcPr>
            <w:tcW w:w="6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E14963"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14</w:t>
            </w:r>
          </w:p>
        </w:tc>
        <w:tc>
          <w:tcPr>
            <w:tcW w:w="10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6C94C09"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-14.9</w:t>
            </w:r>
          </w:p>
        </w:tc>
        <w:tc>
          <w:tcPr>
            <w:tcW w:w="10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76AC6B"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-12.1</w:t>
            </w:r>
          </w:p>
        </w:tc>
        <w:tc>
          <w:tcPr>
            <w:tcW w:w="17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C152B9"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Maize </w:t>
            </w:r>
          </w:p>
        </w:tc>
        <w:tc>
          <w:tcPr>
            <w:tcW w:w="4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58F527A"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8</w:t>
            </w:r>
          </w:p>
        </w:tc>
        <w:tc>
          <w:tcPr>
            <w:tcW w:w="10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5C1945"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-13.1</w:t>
            </w:r>
          </w:p>
        </w:tc>
        <w:tc>
          <w:tcPr>
            <w:tcW w:w="15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4224C9"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Wheat</w:t>
            </w:r>
          </w:p>
        </w:tc>
        <w:tc>
          <w:tcPr>
            <w:tcW w:w="6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28A201E"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w:t>
            </w:r>
          </w:p>
          <w:p w14:paraId="57FEE45B"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9B0448" w:rsidRPr="009B0448" w14:paraId="23D9E798"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DBE002" w14:textId="77777777" w:rsidR="009B0448" w:rsidRPr="009B0448" w:rsidRDefault="009B0448">
            <w:pPr>
              <w:rPr>
                <w:rFonts w:ascii="Times New Roman" w:hAnsi="Times New Roman" w:cs="Times New Roman"/>
              </w:rPr>
            </w:pPr>
            <w:r w:rsidRPr="009B0448">
              <w:rPr>
                <w:rFonts w:ascii="Times New Roman" w:hAnsi="Times New Roman" w:cs="Times New Roman"/>
              </w:rPr>
              <w:t>East Africa</w:t>
            </w:r>
          </w:p>
        </w:tc>
        <w:tc>
          <w:tcPr>
            <w:tcW w:w="6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2D8824"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35</w:t>
            </w:r>
          </w:p>
        </w:tc>
        <w:tc>
          <w:tcPr>
            <w:tcW w:w="10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CC97A2"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0.4</w:t>
            </w:r>
          </w:p>
          <w:p w14:paraId="33E1F16D"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(NS)</w:t>
            </w:r>
          </w:p>
        </w:tc>
        <w:tc>
          <w:tcPr>
            <w:tcW w:w="10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F7B8B0"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-2.3</w:t>
            </w:r>
          </w:p>
        </w:tc>
        <w:tc>
          <w:tcPr>
            <w:tcW w:w="17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3752CD4"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_</w:t>
            </w:r>
          </w:p>
        </w:tc>
        <w:tc>
          <w:tcPr>
            <w:tcW w:w="4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458247"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_</w:t>
            </w:r>
          </w:p>
        </w:tc>
        <w:tc>
          <w:tcPr>
            <w:tcW w:w="10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A3BFA6"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_</w:t>
            </w:r>
          </w:p>
        </w:tc>
        <w:tc>
          <w:tcPr>
            <w:tcW w:w="15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FC25B0"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Wheat </w:t>
            </w:r>
          </w:p>
          <w:p w14:paraId="4A3E975F"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Maize </w:t>
            </w:r>
          </w:p>
          <w:p w14:paraId="5E41E775"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6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596C71"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w:t>
            </w:r>
          </w:p>
          <w:p w14:paraId="7EA1E4F8"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29</w:t>
            </w:r>
          </w:p>
        </w:tc>
      </w:tr>
      <w:tr w:rsidR="009B0448" w:rsidRPr="009B0448" w14:paraId="64415BF9" w14:textId="77777777" w:rsidTr="009B0448">
        <w:tc>
          <w:tcPr>
            <w:cnfStyle w:val="001000000000" w:firstRow="0" w:lastRow="0" w:firstColumn="1" w:lastColumn="0" w:oddVBand="0" w:evenVBand="0" w:oddHBand="0" w:evenHBand="0" w:firstRowFirstColumn="0" w:firstRowLastColumn="0" w:lastRowFirstColumn="0" w:lastRowLastColumn="0"/>
            <w:tcW w:w="94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968277" w14:textId="77777777" w:rsidR="009B0448" w:rsidRPr="009B0448" w:rsidRDefault="009B0448">
            <w:pPr>
              <w:rPr>
                <w:rFonts w:ascii="Times New Roman" w:hAnsi="Times New Roman" w:cs="Times New Roman"/>
              </w:rPr>
            </w:pPr>
            <w:r w:rsidRPr="009B0448">
              <w:rPr>
                <w:rFonts w:ascii="Times New Roman" w:hAnsi="Times New Roman" w:cs="Times New Roman"/>
              </w:rPr>
              <w:t>West Africa</w:t>
            </w:r>
          </w:p>
        </w:tc>
        <w:tc>
          <w:tcPr>
            <w:tcW w:w="6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17FDAD"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34</w:t>
            </w:r>
          </w:p>
        </w:tc>
        <w:tc>
          <w:tcPr>
            <w:tcW w:w="10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6BA5CC"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-12.5</w:t>
            </w:r>
          </w:p>
        </w:tc>
        <w:tc>
          <w:tcPr>
            <w:tcW w:w="10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C455AE"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-8.4</w:t>
            </w:r>
          </w:p>
        </w:tc>
        <w:tc>
          <w:tcPr>
            <w:tcW w:w="17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17D47E"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Maize </w:t>
            </w:r>
          </w:p>
        </w:tc>
        <w:tc>
          <w:tcPr>
            <w:tcW w:w="4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3FCF46"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19</w:t>
            </w:r>
          </w:p>
        </w:tc>
        <w:tc>
          <w:tcPr>
            <w:tcW w:w="10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FF80AE"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-7.4</w:t>
            </w:r>
          </w:p>
        </w:tc>
        <w:tc>
          <w:tcPr>
            <w:tcW w:w="15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FF85B4B"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Wheat </w:t>
            </w:r>
          </w:p>
          <w:p w14:paraId="35D31C0C"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Sorghum</w:t>
            </w:r>
          </w:p>
          <w:p w14:paraId="7EE7BCFD"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Cassava</w:t>
            </w:r>
          </w:p>
          <w:p w14:paraId="1B4A44CD"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6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3E2EF0"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w:t>
            </w:r>
          </w:p>
          <w:p w14:paraId="6B9B6515"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5</w:t>
            </w:r>
          </w:p>
          <w:p w14:paraId="4381C3CD"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4</w:t>
            </w:r>
          </w:p>
        </w:tc>
      </w:tr>
      <w:tr w:rsidR="009B0448" w:rsidRPr="009B0448" w14:paraId="51FA0AED" w14:textId="77777777" w:rsidTr="009B04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724AC1" w14:textId="77777777" w:rsidR="009B0448" w:rsidRPr="009B0448" w:rsidRDefault="009B0448">
            <w:pPr>
              <w:rPr>
                <w:rFonts w:ascii="Times New Roman" w:hAnsi="Times New Roman" w:cs="Times New Roman"/>
              </w:rPr>
            </w:pPr>
            <w:r w:rsidRPr="009B0448">
              <w:rPr>
                <w:rFonts w:ascii="Times New Roman" w:hAnsi="Times New Roman" w:cs="Times New Roman"/>
              </w:rPr>
              <w:t xml:space="preserve">Sahel </w:t>
            </w:r>
          </w:p>
        </w:tc>
        <w:tc>
          <w:tcPr>
            <w:tcW w:w="6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AAAC26"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24</w:t>
            </w:r>
          </w:p>
        </w:tc>
        <w:tc>
          <w:tcPr>
            <w:tcW w:w="10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9B0612"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-11.3</w:t>
            </w:r>
          </w:p>
        </w:tc>
        <w:tc>
          <w:tcPr>
            <w:tcW w:w="10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44B955"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-11.5</w:t>
            </w:r>
          </w:p>
        </w:tc>
        <w:tc>
          <w:tcPr>
            <w:tcW w:w="17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86AEB9"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Maize </w:t>
            </w:r>
          </w:p>
          <w:p w14:paraId="7DE9B590"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Millet</w:t>
            </w:r>
          </w:p>
        </w:tc>
        <w:tc>
          <w:tcPr>
            <w:tcW w:w="4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E75020"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13</w:t>
            </w:r>
          </w:p>
          <w:p w14:paraId="09F98404"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6</w:t>
            </w:r>
          </w:p>
        </w:tc>
        <w:tc>
          <w:tcPr>
            <w:tcW w:w="10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4A3D42"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-12.6</w:t>
            </w:r>
          </w:p>
          <w:p w14:paraId="6F1CE278"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-10.6</w:t>
            </w:r>
          </w:p>
          <w:p w14:paraId="4228F919"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5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E91650"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Sorghum </w:t>
            </w:r>
          </w:p>
        </w:tc>
        <w:tc>
          <w:tcPr>
            <w:tcW w:w="6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09D9EC" w14:textId="77777777" w:rsidR="009B0448" w:rsidRPr="009B0448" w:rsidRDefault="009B0448">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3</w:t>
            </w:r>
          </w:p>
        </w:tc>
      </w:tr>
      <w:tr w:rsidR="009B0448" w:rsidRPr="009B0448" w14:paraId="5FC45DD2" w14:textId="77777777" w:rsidTr="009B0448">
        <w:tc>
          <w:tcPr>
            <w:cnfStyle w:val="001000000000" w:firstRow="0" w:lastRow="0" w:firstColumn="1" w:lastColumn="0" w:oddVBand="0" w:evenVBand="0" w:oddHBand="0" w:evenHBand="0" w:firstRowFirstColumn="0" w:firstRowLastColumn="0" w:lastRowFirstColumn="0" w:lastRowLastColumn="0"/>
            <w:tcW w:w="94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81F7EC" w14:textId="77777777" w:rsidR="009B0448" w:rsidRPr="009B0448" w:rsidRDefault="009B0448">
            <w:pPr>
              <w:rPr>
                <w:rFonts w:ascii="Times New Roman" w:hAnsi="Times New Roman" w:cs="Times New Roman"/>
              </w:rPr>
            </w:pPr>
            <w:r w:rsidRPr="009B0448">
              <w:rPr>
                <w:rFonts w:ascii="Times New Roman" w:hAnsi="Times New Roman" w:cs="Times New Roman"/>
              </w:rPr>
              <w:t xml:space="preserve">North Africa </w:t>
            </w:r>
          </w:p>
        </w:tc>
        <w:tc>
          <w:tcPr>
            <w:tcW w:w="63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10D9B3"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22</w:t>
            </w:r>
          </w:p>
        </w:tc>
        <w:tc>
          <w:tcPr>
            <w:tcW w:w="10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27C6E03"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0.8</w:t>
            </w:r>
          </w:p>
          <w:p w14:paraId="3A954118"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(NS)</w:t>
            </w:r>
          </w:p>
        </w:tc>
        <w:tc>
          <w:tcPr>
            <w:tcW w:w="10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EF0958"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-7.3</w:t>
            </w:r>
          </w:p>
        </w:tc>
        <w:tc>
          <w:tcPr>
            <w:tcW w:w="172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461D5C"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_</w:t>
            </w:r>
          </w:p>
        </w:tc>
        <w:tc>
          <w:tcPr>
            <w:tcW w:w="4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E1023B"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_</w:t>
            </w:r>
          </w:p>
        </w:tc>
        <w:tc>
          <w:tcPr>
            <w:tcW w:w="10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1F4090"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_</w:t>
            </w:r>
          </w:p>
        </w:tc>
        <w:tc>
          <w:tcPr>
            <w:tcW w:w="15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7FCB7D1"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Wheat </w:t>
            </w:r>
          </w:p>
          <w:p w14:paraId="7524AF27"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Maize</w:t>
            </w:r>
          </w:p>
          <w:p w14:paraId="1B607065"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6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DC484AB"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10</w:t>
            </w:r>
          </w:p>
          <w:p w14:paraId="572273E1" w14:textId="77777777" w:rsidR="009B0448" w:rsidRPr="009B0448" w:rsidRDefault="009B044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12</w:t>
            </w:r>
          </w:p>
        </w:tc>
      </w:tr>
    </w:tbl>
    <w:p w14:paraId="0B502E63" w14:textId="77777777" w:rsidR="009B0448" w:rsidRPr="009B0448" w:rsidRDefault="009B0448" w:rsidP="009B0448">
      <w:pPr>
        <w:spacing w:line="276" w:lineRule="auto"/>
        <w:jc w:val="both"/>
        <w:rPr>
          <w:rFonts w:ascii="Times New Roman" w:hAnsi="Times New Roman" w:cs="Times New Roman"/>
          <w:i/>
        </w:rPr>
      </w:pPr>
    </w:p>
    <w:p w14:paraId="1E10516D" w14:textId="77777777" w:rsidR="009B0448" w:rsidRPr="009B0448" w:rsidRDefault="009B0448" w:rsidP="009B0448">
      <w:pPr>
        <w:tabs>
          <w:tab w:val="left" w:pos="1843"/>
        </w:tabs>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High within and between seasons, as well as inter-annual, variability of rainfall is a natural feature of Africa. However, the frequency of extreme events has increased in the last few decades, which is most likely linked to a changing climate (discussed in more detail below). Changes to the natural conditions, including the natural variation, consequently affect individual organisms, populations, species distributions, and ecosystem function and composition both directly and indirectly (Table 4.4). For instance, amphibians and migratory birds are particularly affected by changes in climate variability (Pounds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Marra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Miller-Rushing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Carey, 2009). </w:t>
      </w:r>
    </w:p>
    <w:p w14:paraId="731084AE" w14:textId="77777777" w:rsidR="009B0448" w:rsidRPr="009B0448" w:rsidRDefault="009B0448" w:rsidP="009B0448">
      <w:pPr>
        <w:tabs>
          <w:tab w:val="left" w:pos="1843"/>
        </w:tabs>
        <w:spacing w:line="276" w:lineRule="auto"/>
        <w:jc w:val="both"/>
        <w:rPr>
          <w:rFonts w:ascii="Times New Roman" w:eastAsia="Arial" w:hAnsi="Times New Roman" w:cs="Times New Roman"/>
        </w:rPr>
      </w:pPr>
    </w:p>
    <w:p w14:paraId="5BBF0F5B" w14:textId="77777777" w:rsidR="009B0448" w:rsidRPr="009B0448" w:rsidRDefault="009B0448" w:rsidP="009B0448">
      <w:pPr>
        <w:tabs>
          <w:tab w:val="left" w:pos="1843"/>
        </w:tabs>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Table 4.4:</w:t>
      </w:r>
      <w:r w:rsidRPr="009B0448">
        <w:rPr>
          <w:rFonts w:ascii="Times New Roman" w:eastAsia="Times New Roman" w:hAnsi="Times New Roman" w:cs="Times New Roman"/>
        </w:rPr>
        <w:t xml:space="preserve"> Indicative ecological responses to climate change and variability. </w:t>
      </w:r>
    </w:p>
    <w:tbl>
      <w:tblPr>
        <w:tblStyle w:val="PlainTable11"/>
        <w:tblW w:w="5000" w:type="pct"/>
        <w:tblLook w:val="04A0" w:firstRow="1" w:lastRow="0" w:firstColumn="1" w:lastColumn="0" w:noHBand="0" w:noVBand="1"/>
      </w:tblPr>
      <w:tblGrid>
        <w:gridCol w:w="1657"/>
        <w:gridCol w:w="1370"/>
        <w:gridCol w:w="1793"/>
        <w:gridCol w:w="1414"/>
        <w:gridCol w:w="1440"/>
        <w:gridCol w:w="1342"/>
      </w:tblGrid>
      <w:tr w:rsidR="009B0448" w:rsidRPr="009B0448" w14:paraId="1277D91C" w14:textId="77777777" w:rsidTr="009B0448">
        <w:trPr>
          <w:cnfStyle w:val="100000000000" w:firstRow="1" w:lastRow="0" w:firstColumn="0" w:lastColumn="0" w:oddVBand="0" w:evenVBand="0" w:oddHBand="0"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96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BCF18C" w14:textId="77777777" w:rsidR="009B0448" w:rsidRPr="009B0448" w:rsidRDefault="009B0448">
            <w:pPr>
              <w:spacing w:after="200"/>
              <w:rPr>
                <w:rFonts w:ascii="Times New Roman" w:eastAsia="Times New Roman" w:hAnsi="Times New Roman" w:cs="Times New Roman"/>
                <w:bCs w:val="0"/>
              </w:rPr>
            </w:pPr>
          </w:p>
        </w:tc>
        <w:tc>
          <w:tcPr>
            <w:tcW w:w="8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A8B5962" w14:textId="77777777" w:rsidR="009B0448" w:rsidRPr="009B0448" w:rsidRDefault="009B0448">
            <w:pPr>
              <w:spacing w:after="20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 xml:space="preserve">Taxon </w:t>
            </w:r>
          </w:p>
        </w:tc>
        <w:tc>
          <w:tcPr>
            <w:tcW w:w="104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F0D00E" w14:textId="77777777" w:rsidR="009B0448" w:rsidRPr="009B0448" w:rsidRDefault="009B0448">
            <w:pPr>
              <w:spacing w:after="20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Observed changes</w:t>
            </w:r>
          </w:p>
        </w:tc>
        <w:tc>
          <w:tcPr>
            <w:tcW w:w="5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6A7F8E" w14:textId="77777777" w:rsidR="009B0448" w:rsidRPr="009B0448" w:rsidRDefault="009B0448">
            <w:pPr>
              <w:spacing w:after="20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Observed in</w:t>
            </w:r>
          </w:p>
        </w:tc>
        <w:tc>
          <w:tcPr>
            <w:tcW w:w="8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AC3598" w14:textId="77777777" w:rsidR="009B0448" w:rsidRPr="009B0448" w:rsidRDefault="009B0448">
            <w:pPr>
              <w:spacing w:after="20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Climate link</w:t>
            </w:r>
          </w:p>
        </w:tc>
        <w:tc>
          <w:tcPr>
            <w:tcW w:w="79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90B4E0" w14:textId="77777777" w:rsidR="009B0448" w:rsidRPr="009B0448" w:rsidRDefault="009B0448">
            <w:pPr>
              <w:spacing w:after="20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B0448">
              <w:rPr>
                <w:rFonts w:ascii="Times New Roman" w:eastAsia="Times New Roman" w:hAnsi="Times New Roman" w:cs="Times New Roman"/>
              </w:rPr>
              <w:t>Source</w:t>
            </w:r>
          </w:p>
        </w:tc>
      </w:tr>
      <w:tr w:rsidR="009B0448" w:rsidRPr="009B0448" w14:paraId="75510F81" w14:textId="77777777" w:rsidTr="009B0448">
        <w:trPr>
          <w:cnfStyle w:val="000000100000" w:firstRow="0" w:lastRow="0" w:firstColumn="0" w:lastColumn="0" w:oddVBand="0" w:evenVBand="0" w:oddHBand="1" w:evenHBand="0"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967"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D0B195" w14:textId="77777777" w:rsidR="009B0448" w:rsidRPr="009B0448" w:rsidRDefault="009B0448">
            <w:pPr>
              <w:spacing w:after="200"/>
              <w:rPr>
                <w:rFonts w:ascii="Times New Roman" w:eastAsia="Times New Roman" w:hAnsi="Times New Roman" w:cs="Times New Roman"/>
                <w:bCs w:val="0"/>
              </w:rPr>
            </w:pPr>
            <w:r w:rsidRPr="009B0448">
              <w:rPr>
                <w:rFonts w:ascii="Times New Roman" w:eastAsia="Times New Roman" w:hAnsi="Times New Roman" w:cs="Times New Roman"/>
              </w:rPr>
              <w:t>Phenology</w:t>
            </w:r>
          </w:p>
        </w:tc>
        <w:tc>
          <w:tcPr>
            <w:tcW w:w="8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3973A0"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Numerous plant species</w:t>
            </w:r>
          </w:p>
        </w:tc>
        <w:tc>
          <w:tcPr>
            <w:tcW w:w="104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E159A70"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Early and significant flowering and maturity</w:t>
            </w:r>
          </w:p>
        </w:tc>
        <w:tc>
          <w:tcPr>
            <w:tcW w:w="5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D2A84E"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Western Africa</w:t>
            </w:r>
          </w:p>
        </w:tc>
        <w:tc>
          <w:tcPr>
            <w:tcW w:w="8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8FAE93"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higher temperatures</w:t>
            </w:r>
          </w:p>
        </w:tc>
        <w:tc>
          <w:tcPr>
            <w:tcW w:w="79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290928"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Clerget </w:t>
            </w:r>
            <w:r w:rsidRPr="009B0448">
              <w:rPr>
                <w:rFonts w:ascii="Times New Roman" w:hAnsi="Times New Roman" w:cs="Times New Roman"/>
                <w:i/>
              </w:rPr>
              <w:t>et al.</w:t>
            </w:r>
            <w:r w:rsidRPr="009B0448">
              <w:rPr>
                <w:rFonts w:ascii="Times New Roman" w:hAnsi="Times New Roman" w:cs="Times New Roman"/>
              </w:rPr>
              <w:t>, 2004</w:t>
            </w:r>
          </w:p>
        </w:tc>
      </w:tr>
      <w:tr w:rsidR="009B0448" w:rsidRPr="009B0448" w14:paraId="723FF312" w14:textId="77777777" w:rsidTr="009B0448">
        <w:trPr>
          <w:trHeight w:val="565"/>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1CCCF1C" w14:textId="77777777" w:rsidR="009B0448" w:rsidRPr="009B0448" w:rsidRDefault="009B0448">
            <w:pPr>
              <w:rPr>
                <w:rFonts w:ascii="Times New Roman" w:eastAsia="Times New Roman" w:hAnsi="Times New Roman" w:cs="Times New Roman"/>
              </w:rPr>
            </w:pPr>
          </w:p>
        </w:tc>
        <w:tc>
          <w:tcPr>
            <w:tcW w:w="8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3239C4"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Butterfly species</w:t>
            </w:r>
          </w:p>
        </w:tc>
        <w:tc>
          <w:tcPr>
            <w:tcW w:w="104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DEF0D0"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Earlier appearance</w:t>
            </w:r>
          </w:p>
        </w:tc>
        <w:tc>
          <w:tcPr>
            <w:tcW w:w="5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C948E1"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Eastern Africa</w:t>
            </w:r>
          </w:p>
        </w:tc>
        <w:tc>
          <w:tcPr>
            <w:tcW w:w="8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FDE077"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Early rainfall and increased temperatures</w:t>
            </w:r>
          </w:p>
        </w:tc>
        <w:tc>
          <w:tcPr>
            <w:tcW w:w="79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991178"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van Velzen, 2013</w:t>
            </w:r>
          </w:p>
        </w:tc>
      </w:tr>
      <w:tr w:rsidR="009B0448" w:rsidRPr="009B0448" w14:paraId="25496B2F" w14:textId="77777777" w:rsidTr="009B0448">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A5CE883" w14:textId="77777777" w:rsidR="009B0448" w:rsidRPr="009B0448" w:rsidRDefault="009B0448">
            <w:pPr>
              <w:rPr>
                <w:rFonts w:ascii="Times New Roman" w:eastAsia="Times New Roman" w:hAnsi="Times New Roman" w:cs="Times New Roman"/>
              </w:rPr>
            </w:pPr>
          </w:p>
        </w:tc>
        <w:tc>
          <w:tcPr>
            <w:tcW w:w="8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509D83"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Amphibians</w:t>
            </w:r>
          </w:p>
        </w:tc>
        <w:tc>
          <w:tcPr>
            <w:tcW w:w="104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B7A613"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Occurrence of earlier breeding</w:t>
            </w:r>
          </w:p>
        </w:tc>
        <w:tc>
          <w:tcPr>
            <w:tcW w:w="5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6AE791"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Southern Africa</w:t>
            </w:r>
          </w:p>
        </w:tc>
        <w:tc>
          <w:tcPr>
            <w:tcW w:w="8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427627"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Global warming</w:t>
            </w:r>
          </w:p>
        </w:tc>
        <w:tc>
          <w:tcPr>
            <w:tcW w:w="79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BB6CCB"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Matthews </w:t>
            </w:r>
            <w:r w:rsidRPr="009B0448">
              <w:rPr>
                <w:rFonts w:ascii="Times New Roman" w:hAnsi="Times New Roman" w:cs="Times New Roman"/>
                <w:i/>
              </w:rPr>
              <w:t>et al.</w:t>
            </w:r>
            <w:r w:rsidRPr="009B0448">
              <w:rPr>
                <w:rFonts w:ascii="Times New Roman" w:hAnsi="Times New Roman" w:cs="Times New Roman"/>
              </w:rPr>
              <w:t>, 2016</w:t>
            </w:r>
          </w:p>
        </w:tc>
      </w:tr>
      <w:tr w:rsidR="009B0448" w:rsidRPr="009B0448" w14:paraId="3DA900A6" w14:textId="77777777" w:rsidTr="009B0448">
        <w:trPr>
          <w:trHeight w:val="60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CA1AFD6" w14:textId="77777777" w:rsidR="009B0448" w:rsidRPr="009B0448" w:rsidRDefault="009B0448">
            <w:pPr>
              <w:rPr>
                <w:rFonts w:ascii="Times New Roman" w:eastAsia="Times New Roman" w:hAnsi="Times New Roman" w:cs="Times New Roman"/>
              </w:rPr>
            </w:pPr>
          </w:p>
        </w:tc>
        <w:tc>
          <w:tcPr>
            <w:tcW w:w="8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E35C57"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Numerous bird species</w:t>
            </w:r>
          </w:p>
        </w:tc>
        <w:tc>
          <w:tcPr>
            <w:tcW w:w="104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5A46E6"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Earlier singing and spring migration</w:t>
            </w:r>
          </w:p>
        </w:tc>
        <w:tc>
          <w:tcPr>
            <w:tcW w:w="5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5EE8D4"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Southern Africa</w:t>
            </w:r>
          </w:p>
        </w:tc>
        <w:tc>
          <w:tcPr>
            <w:tcW w:w="8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16EFD8"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Changes in the climate and the advancement of spring</w:t>
            </w:r>
          </w:p>
        </w:tc>
        <w:tc>
          <w:tcPr>
            <w:tcW w:w="79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FC21CA"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Simmons </w:t>
            </w:r>
            <w:r w:rsidRPr="009B0448">
              <w:rPr>
                <w:rFonts w:ascii="Times New Roman" w:hAnsi="Times New Roman" w:cs="Times New Roman"/>
                <w:i/>
              </w:rPr>
              <w:t>et al.</w:t>
            </w:r>
            <w:r w:rsidRPr="009B0448">
              <w:rPr>
                <w:rFonts w:ascii="Times New Roman" w:hAnsi="Times New Roman" w:cs="Times New Roman"/>
              </w:rPr>
              <w:t>, 2004</w:t>
            </w:r>
          </w:p>
        </w:tc>
      </w:tr>
      <w:tr w:rsidR="009B0448" w:rsidRPr="009B0448" w14:paraId="6F82411E" w14:textId="77777777" w:rsidTr="009B0448">
        <w:trPr>
          <w:cnfStyle w:val="000000100000" w:firstRow="0" w:lastRow="0" w:firstColumn="0" w:lastColumn="0" w:oddVBand="0" w:evenVBand="0" w:oddHBand="1"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96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8AB7F9" w14:textId="77777777" w:rsidR="009B0448" w:rsidRPr="009B0448" w:rsidRDefault="009B0448">
            <w:pPr>
              <w:spacing w:after="200"/>
              <w:rPr>
                <w:rFonts w:ascii="Times New Roman" w:eastAsia="Times New Roman" w:hAnsi="Times New Roman" w:cs="Times New Roman"/>
                <w:bCs w:val="0"/>
              </w:rPr>
            </w:pPr>
            <w:r w:rsidRPr="009B0448">
              <w:rPr>
                <w:rFonts w:ascii="Times New Roman" w:eastAsia="Times New Roman" w:hAnsi="Times New Roman" w:cs="Times New Roman"/>
              </w:rPr>
              <w:t>Latitudinal and altitudinal range shifts</w:t>
            </w:r>
          </w:p>
        </w:tc>
        <w:tc>
          <w:tcPr>
            <w:tcW w:w="8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C092DD"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Shrubs </w:t>
            </w:r>
          </w:p>
        </w:tc>
        <w:tc>
          <w:tcPr>
            <w:tcW w:w="104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CF0618"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Expansion of shrubs in previously shrub-free areas.</w:t>
            </w:r>
          </w:p>
        </w:tc>
        <w:tc>
          <w:tcPr>
            <w:tcW w:w="5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29B071"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Southern Africa</w:t>
            </w:r>
          </w:p>
        </w:tc>
        <w:tc>
          <w:tcPr>
            <w:tcW w:w="8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62C434"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Periods of the high rainfall</w:t>
            </w:r>
          </w:p>
        </w:tc>
        <w:tc>
          <w:tcPr>
            <w:tcW w:w="79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0DE11F"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Tews </w:t>
            </w:r>
            <w:r w:rsidRPr="009B0448">
              <w:rPr>
                <w:rFonts w:ascii="Times New Roman" w:hAnsi="Times New Roman" w:cs="Times New Roman"/>
                <w:i/>
              </w:rPr>
              <w:t>et al.</w:t>
            </w:r>
            <w:r w:rsidRPr="009B0448">
              <w:rPr>
                <w:rFonts w:ascii="Times New Roman" w:hAnsi="Times New Roman" w:cs="Times New Roman"/>
              </w:rPr>
              <w:t>, 2006</w:t>
            </w:r>
          </w:p>
        </w:tc>
      </w:tr>
      <w:tr w:rsidR="009B0448" w:rsidRPr="009B0448" w14:paraId="207DA84B" w14:textId="77777777" w:rsidTr="009B0448">
        <w:trPr>
          <w:trHeight w:val="1240"/>
        </w:trPr>
        <w:tc>
          <w:tcPr>
            <w:cnfStyle w:val="001000000000" w:firstRow="0" w:lastRow="0" w:firstColumn="1" w:lastColumn="0" w:oddVBand="0" w:evenVBand="0" w:oddHBand="0" w:evenHBand="0" w:firstRowFirstColumn="0" w:firstRowLastColumn="0" w:lastRowFirstColumn="0" w:lastRowLastColumn="0"/>
            <w:tcW w:w="967" w:type="pct"/>
            <w:vMerge w:val="restar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3091A73" w14:textId="77777777" w:rsidR="009B0448" w:rsidRPr="009B0448" w:rsidRDefault="009B0448">
            <w:pPr>
              <w:rPr>
                <w:rFonts w:ascii="Times New Roman" w:eastAsia="Times New Roman" w:hAnsi="Times New Roman" w:cs="Times New Roman"/>
                <w:bCs w:val="0"/>
              </w:rPr>
            </w:pPr>
            <w:r w:rsidRPr="009B0448">
              <w:rPr>
                <w:rFonts w:ascii="Times New Roman" w:eastAsia="Times New Roman" w:hAnsi="Times New Roman" w:cs="Times New Roman"/>
              </w:rPr>
              <w:t>The composition of and interactions within communities</w:t>
            </w:r>
          </w:p>
          <w:p w14:paraId="3F48A60A" w14:textId="77777777" w:rsidR="009B0448" w:rsidRPr="009B0448" w:rsidRDefault="009B0448">
            <w:pPr>
              <w:spacing w:after="200"/>
              <w:rPr>
                <w:rFonts w:ascii="Times New Roman" w:eastAsia="Times New Roman" w:hAnsi="Times New Roman" w:cs="Times New Roman"/>
                <w:bCs w:val="0"/>
              </w:rPr>
            </w:pPr>
          </w:p>
        </w:tc>
        <w:tc>
          <w:tcPr>
            <w:tcW w:w="8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1695A3"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Plants</w:t>
            </w:r>
          </w:p>
        </w:tc>
        <w:tc>
          <w:tcPr>
            <w:tcW w:w="104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777D69"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Erosion of the geographical range of desert plants through population declines and dispersal lags</w:t>
            </w:r>
          </w:p>
        </w:tc>
        <w:tc>
          <w:tcPr>
            <w:tcW w:w="5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12EDE7"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Semi and extreme desert areas</w:t>
            </w:r>
          </w:p>
        </w:tc>
        <w:tc>
          <w:tcPr>
            <w:tcW w:w="8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3D78B5"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Decreased water availability and increased temperature</w:t>
            </w:r>
          </w:p>
        </w:tc>
        <w:tc>
          <w:tcPr>
            <w:tcW w:w="79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4C7DA9"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Foden </w:t>
            </w:r>
            <w:r w:rsidRPr="009B0448">
              <w:rPr>
                <w:rFonts w:ascii="Times New Roman" w:hAnsi="Times New Roman" w:cs="Times New Roman"/>
                <w:i/>
              </w:rPr>
              <w:t>et al.</w:t>
            </w:r>
            <w:r w:rsidRPr="009B0448">
              <w:rPr>
                <w:rFonts w:ascii="Times New Roman" w:hAnsi="Times New Roman" w:cs="Times New Roman"/>
              </w:rPr>
              <w:t>, 2007</w:t>
            </w:r>
          </w:p>
        </w:tc>
      </w:tr>
      <w:tr w:rsidR="009B0448" w:rsidRPr="009B0448" w14:paraId="295EAEAB" w14:textId="77777777" w:rsidTr="009B0448">
        <w:trPr>
          <w:cnfStyle w:val="000000100000" w:firstRow="0" w:lastRow="0" w:firstColumn="0" w:lastColumn="0" w:oddVBand="0" w:evenVBand="0" w:oddHBand="1" w:evenHBand="0" w:firstRowFirstColumn="0" w:firstRowLastColumn="0" w:lastRowFirstColumn="0" w:lastRowLastColumn="0"/>
          <w:trHeight w:val="100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FAE0E4E" w14:textId="77777777" w:rsidR="009B0448" w:rsidRPr="009B0448" w:rsidRDefault="009B0448">
            <w:pPr>
              <w:rPr>
                <w:rFonts w:ascii="Times New Roman" w:eastAsia="Times New Roman" w:hAnsi="Times New Roman" w:cs="Times New Roman"/>
              </w:rPr>
            </w:pPr>
          </w:p>
        </w:tc>
        <w:tc>
          <w:tcPr>
            <w:tcW w:w="8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3677DA3"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Browsers and frugivorous</w:t>
            </w:r>
          </w:p>
        </w:tc>
        <w:tc>
          <w:tcPr>
            <w:tcW w:w="104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4B8BA3"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Decreases species richness and assemblage composition of browsers and frugivorous</w:t>
            </w:r>
          </w:p>
        </w:tc>
        <w:tc>
          <w:tcPr>
            <w:tcW w:w="5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38D99C"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Western Africa</w:t>
            </w:r>
          </w:p>
        </w:tc>
        <w:tc>
          <w:tcPr>
            <w:tcW w:w="8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011701"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Availability of moisture.</w:t>
            </w:r>
          </w:p>
        </w:tc>
        <w:tc>
          <w:tcPr>
            <w:tcW w:w="79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DDC5968" w14:textId="77777777" w:rsidR="009B0448" w:rsidRPr="009B0448" w:rsidRDefault="009B0448">
            <w:pPr>
              <w:pStyle w:val="No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Klop </w:t>
            </w:r>
            <w:r w:rsidRPr="009B0448">
              <w:rPr>
                <w:rFonts w:ascii="Times New Roman" w:hAnsi="Times New Roman" w:cs="Times New Roman"/>
                <w:i/>
              </w:rPr>
              <w:t>et al.</w:t>
            </w:r>
            <w:r w:rsidRPr="009B0448">
              <w:rPr>
                <w:rFonts w:ascii="Times New Roman" w:hAnsi="Times New Roman" w:cs="Times New Roman"/>
              </w:rPr>
              <w:t>, 2008</w:t>
            </w:r>
          </w:p>
        </w:tc>
      </w:tr>
      <w:tr w:rsidR="009B0448" w:rsidRPr="009B0448" w14:paraId="377F48C3" w14:textId="77777777" w:rsidTr="009B0448">
        <w:trPr>
          <w:trHeight w:val="1550"/>
        </w:trPr>
        <w:tc>
          <w:tcPr>
            <w:cnfStyle w:val="001000000000" w:firstRow="0" w:lastRow="0" w:firstColumn="1" w:lastColumn="0" w:oddVBand="0" w:evenVBand="0" w:oddHBand="0" w:evenHBand="0" w:firstRowFirstColumn="0" w:firstRowLastColumn="0" w:lastRowFirstColumn="0" w:lastRowLastColumn="0"/>
            <w:tcW w:w="967"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5F9F54" w14:textId="77777777" w:rsidR="009B0448" w:rsidRPr="009B0448" w:rsidRDefault="009B0448">
            <w:pPr>
              <w:spacing w:after="200"/>
              <w:rPr>
                <w:rFonts w:ascii="Times New Roman" w:eastAsia="Times New Roman" w:hAnsi="Times New Roman" w:cs="Times New Roman"/>
                <w:bCs w:val="0"/>
              </w:rPr>
            </w:pPr>
            <w:r w:rsidRPr="009B0448">
              <w:rPr>
                <w:rFonts w:ascii="Times New Roman" w:eastAsia="Times New Roman" w:hAnsi="Times New Roman" w:cs="Times New Roman"/>
              </w:rPr>
              <w:t>The structure and dynamics of ecosystems</w:t>
            </w:r>
          </w:p>
        </w:tc>
        <w:tc>
          <w:tcPr>
            <w:tcW w:w="808"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701EBF"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Plants </w:t>
            </w:r>
          </w:p>
        </w:tc>
        <w:tc>
          <w:tcPr>
            <w:tcW w:w="104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587F4B"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Increased biomass and abundance of woody plants species, often thorny or unpalatable, coupled with the suppression of herbaceous plant cover.</w:t>
            </w:r>
          </w:p>
        </w:tc>
        <w:tc>
          <w:tcPr>
            <w:tcW w:w="545"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184E64"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Arid and semi-arid environments of Africa</w:t>
            </w:r>
          </w:p>
        </w:tc>
        <w:tc>
          <w:tcPr>
            <w:tcW w:w="84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842CC4"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Rainfall variability</w:t>
            </w:r>
          </w:p>
        </w:tc>
        <w:tc>
          <w:tcPr>
            <w:tcW w:w="792"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B63E42" w14:textId="77777777" w:rsidR="009B0448" w:rsidRPr="009B0448" w:rsidRDefault="009B0448">
            <w:pPr>
              <w:pStyle w:val="No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B0448">
              <w:rPr>
                <w:rFonts w:ascii="Times New Roman" w:hAnsi="Times New Roman" w:cs="Times New Roman"/>
              </w:rPr>
              <w:t xml:space="preserve">Kgosikoma </w:t>
            </w:r>
            <w:r w:rsidRPr="009B0448">
              <w:rPr>
                <w:rFonts w:ascii="Times New Roman" w:hAnsi="Times New Roman" w:cs="Times New Roman"/>
                <w:i/>
              </w:rPr>
              <w:t>et al.</w:t>
            </w:r>
            <w:r w:rsidRPr="009B0448">
              <w:rPr>
                <w:rFonts w:ascii="Times New Roman" w:hAnsi="Times New Roman" w:cs="Times New Roman"/>
              </w:rPr>
              <w:t>, 2013</w:t>
            </w:r>
          </w:p>
        </w:tc>
      </w:tr>
    </w:tbl>
    <w:p w14:paraId="29173210"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80" w:name="_Toc519499945"/>
      <w:r w:rsidRPr="009B0448">
        <w:rPr>
          <w:rFonts w:cs="Times New Roman"/>
          <w:b w:val="0"/>
          <w:sz w:val="22"/>
          <w:szCs w:val="22"/>
        </w:rPr>
        <w:t>Future climate change dynamics</w:t>
      </w:r>
      <w:bookmarkEnd w:id="280"/>
    </w:p>
    <w:p w14:paraId="79E865C1"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Temperatures in all African countries are expected to rise faster than the global average (James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2013;</w:t>
      </w:r>
      <w:r w:rsidRPr="009B0448">
        <w:rPr>
          <w:rFonts w:ascii="Times New Roman" w:hAnsi="Times New Roman" w:cs="Times New Roman"/>
        </w:rPr>
        <w:t xml:space="preserve"> Belle </w:t>
      </w:r>
      <w:r w:rsidRPr="009B0448">
        <w:rPr>
          <w:rFonts w:ascii="Times New Roman" w:hAnsi="Times New Roman" w:cs="Times New Roman"/>
          <w:i/>
        </w:rPr>
        <w:t>et al.</w:t>
      </w:r>
      <w:r w:rsidRPr="009B0448">
        <w:rPr>
          <w:rFonts w:ascii="Times New Roman" w:hAnsi="Times New Roman" w:cs="Times New Roman"/>
        </w:rPr>
        <w:t>, 2016;</w:t>
      </w:r>
      <w:r w:rsidRPr="009B0448">
        <w:rPr>
          <w:rFonts w:ascii="Times New Roman" w:eastAsia="Times New Roman" w:hAnsi="Times New Roman" w:cs="Times New Roman"/>
          <w:color w:val="auto"/>
        </w:rPr>
        <w:t xml:space="preserve"> Figure 4.11) with some areas, such as the Kalahari basin warming at close to double the global mean (Engelbrecht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2015). Rainfall projections are less certain, but, rainfall variability is projected to increase over most areas with most models suggest fewer, but higher intensity rainfall events (Myhre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2013). Many areas in Africa are predicted to become drier, despite the global increase in rainfall, especially under high emission scenarios (Myhre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2013). Observed data over the past three decades in East Africa has shown a trend to greater aridity, but this is in contradiction to some long-term forecast (Williams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2011; Myhre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2013). The core forest areas of the central Africa may well become wetter with the peripheral woodland and savanna areas becoming drier (de Wasseige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2013). Although in areas of increased rainfall, this may well increase NPP and the provisioning of some ecosystem services, it could have negative biodiversity consequences (de Wasseige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2013).</w:t>
      </w:r>
    </w:p>
    <w:p w14:paraId="63948410" w14:textId="77777777" w:rsidR="009B0448" w:rsidRPr="009B0448" w:rsidRDefault="009B0448" w:rsidP="009B0448">
      <w:pPr>
        <w:spacing w:line="276" w:lineRule="auto"/>
        <w:jc w:val="both"/>
        <w:rPr>
          <w:rFonts w:ascii="Times New Roman" w:eastAsia="Times New Roman" w:hAnsi="Times New Roman" w:cs="Times New Roman"/>
          <w:color w:val="auto"/>
        </w:rPr>
      </w:pPr>
    </w:p>
    <w:p w14:paraId="539B49D4" w14:textId="33A9469A"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hAnsi="Times New Roman" w:cs="Times New Roman"/>
          <w:noProof/>
          <w:lang w:eastAsia="en-GB"/>
        </w:rPr>
        <w:drawing>
          <wp:inline distT="0" distB="0" distL="0" distR="0" wp14:anchorId="1562D212" wp14:editId="48E27B84">
            <wp:extent cx="5730240" cy="6286500"/>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5730240" cy="6286500"/>
                    </a:xfrm>
                    <a:prstGeom prst="rect">
                      <a:avLst/>
                    </a:prstGeom>
                    <a:noFill/>
                    <a:ln>
                      <a:noFill/>
                    </a:ln>
                  </pic:spPr>
                </pic:pic>
              </a:graphicData>
            </a:graphic>
          </wp:inline>
        </w:drawing>
      </w:r>
    </w:p>
    <w:p w14:paraId="076C3910" w14:textId="0200D9AF"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rPr>
        <w:t>Figure 4.11:</w:t>
      </w:r>
      <w:r w:rsidRPr="009B0448">
        <w:rPr>
          <w:rFonts w:ascii="Times New Roman" w:hAnsi="Times New Roman" w:cs="Times New Roman"/>
        </w:rPr>
        <w:t xml:space="preserve"> “Observed and projected changes in annual average temperature and precipitation. Left panels: Observed annual avera</w:t>
      </w:r>
      <w:r w:rsidR="00D314CD">
        <w:rPr>
          <w:rFonts w:ascii="Times New Roman" w:hAnsi="Times New Roman" w:cs="Times New Roman"/>
        </w:rPr>
        <w:t>ge temperature change from 1901–</w:t>
      </w:r>
      <w:r w:rsidRPr="009B0448">
        <w:rPr>
          <w:rFonts w:ascii="Times New Roman" w:hAnsi="Times New Roman" w:cs="Times New Roman"/>
        </w:rPr>
        <w:t xml:space="preserve">2012 (top) and observed annual precipitation change from 1951–2010 (bottom) derived from a linear trend. For observed temperature and precipitation, white areas depict regions which lack sufficient observational data for analysis. Solid colours indicate areas where trends are significant at the 10% level. Diagonal lines indicate areas where trends are not significant. Right panels: CMIP5 multi-model mean projections of annual average temperature changes (top) and average percent changes in annual mean precipitation (bottom) for two time periods (2046–2065 and 2081–2100) under two RCP emissions scenarios. Solid colours indicate very strong agreement amongst models, white dots represent strong agreement, grey areas depict divergent changes, and diagonal lines represent areas with little or no change with respect to current climate variability” Belle </w:t>
      </w:r>
      <w:r w:rsidRPr="009B0448">
        <w:rPr>
          <w:rFonts w:ascii="Times New Roman" w:hAnsi="Times New Roman" w:cs="Times New Roman"/>
          <w:i/>
        </w:rPr>
        <w:t>et al.</w:t>
      </w:r>
      <w:r w:rsidRPr="009B0448">
        <w:rPr>
          <w:rFonts w:ascii="Times New Roman" w:hAnsi="Times New Roman" w:cs="Times New Roman"/>
        </w:rPr>
        <w:t xml:space="preserve"> (2016).</w:t>
      </w:r>
    </w:p>
    <w:p w14:paraId="5DD5D5A1" w14:textId="77777777" w:rsidR="009B0448" w:rsidRPr="009B0448" w:rsidRDefault="009B0448" w:rsidP="009B0448">
      <w:pPr>
        <w:spacing w:line="276" w:lineRule="auto"/>
        <w:jc w:val="both"/>
        <w:rPr>
          <w:rFonts w:ascii="Times New Roman" w:hAnsi="Times New Roman" w:cs="Times New Roman"/>
        </w:rPr>
      </w:pPr>
    </w:p>
    <w:p w14:paraId="6F7171E1"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 xml:space="preserve">Research shows that climate change will be more pronounced in high-elevation areas than in adjacent lowlands as the former are warming at a faster rate (World Bank, 2008), and that the pace of climate zone shifts will be higher in such regions than in lowlands (Mahlstein </w:t>
      </w:r>
      <w:r w:rsidRPr="009B0448">
        <w:rPr>
          <w:rFonts w:ascii="Times New Roman" w:hAnsi="Times New Roman" w:cs="Times New Roman"/>
          <w:i/>
        </w:rPr>
        <w:t>et al.</w:t>
      </w:r>
      <w:r w:rsidRPr="009B0448">
        <w:rPr>
          <w:rFonts w:ascii="Times New Roman" w:hAnsi="Times New Roman" w:cs="Times New Roman"/>
        </w:rPr>
        <w:t xml:space="preserve">, 2013). The mountain ecosystems in Africa appear to be undergoing significant observed changes that are likely due to complex climate-land interactions and the climate change (IPCC, 2007). </w:t>
      </w:r>
    </w:p>
    <w:p w14:paraId="6E2AB042"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81" w:name="_Toc503032783"/>
      <w:bookmarkStart w:id="282" w:name="_Toc519499946"/>
      <w:r w:rsidRPr="009B0448">
        <w:rPr>
          <w:rFonts w:cs="Times New Roman"/>
          <w:sz w:val="22"/>
          <w:szCs w:val="22"/>
        </w:rPr>
        <w:t>Overexploitation</w:t>
      </w:r>
      <w:bookmarkEnd w:id="281"/>
      <w:bookmarkEnd w:id="282"/>
    </w:p>
    <w:p w14:paraId="76B8C6FD"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overexploitation of natural resources is as a direct result of population growth and is rampant in Africa (Chapter 1; section 1.3.7). This is further compounded by high climate variability and change. Without proper interventions, overexploitation leads to a decline in biodiversity, land degradation, increased vulnerability of rural communities to climate change and poverty.</w:t>
      </w:r>
    </w:p>
    <w:p w14:paraId="29B6D139"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83" w:name="_Toc519499947"/>
      <w:r w:rsidRPr="009B0448">
        <w:rPr>
          <w:rFonts w:cs="Times New Roman"/>
          <w:b w:val="0"/>
          <w:sz w:val="22"/>
          <w:szCs w:val="22"/>
        </w:rPr>
        <w:t>Rangeland degradation due to overgrazing</w:t>
      </w:r>
      <w:bookmarkEnd w:id="283"/>
    </w:p>
    <w:p w14:paraId="65852E2E" w14:textId="452B0C01" w:rsidR="009B0448" w:rsidRPr="009B0448" w:rsidRDefault="009B0448" w:rsidP="009B0448">
      <w:pPr>
        <w:spacing w:line="276" w:lineRule="auto"/>
        <w:jc w:val="both"/>
        <w:rPr>
          <w:rFonts w:ascii="Times New Roman" w:eastAsia="Cambria" w:hAnsi="Times New Roman" w:cs="Times New Roman"/>
          <w:color w:val="auto"/>
        </w:rPr>
      </w:pPr>
      <w:r w:rsidRPr="009B0448">
        <w:rPr>
          <w:rFonts w:ascii="Times New Roman" w:eastAsia="Cambria" w:hAnsi="Times New Roman" w:cs="Times New Roman"/>
          <w:color w:val="auto"/>
        </w:rPr>
        <w:t>Rangelands makeup 88% of the total area of drylands globally (Lal, 2001) and are important for the livelihoods of people in these areas including in Africa. The rangelands of Africa have evolved under a grazing and browsing by indigenous ungulates, both domestic and wild. Grazing patterns are usually regulated by fodder and water availability as demonstrated by the great migration of zebra and</w:t>
      </w:r>
      <w:r w:rsidR="00E05B46">
        <w:rPr>
          <w:rFonts w:ascii="Times New Roman" w:eastAsia="Cambria" w:hAnsi="Times New Roman" w:cs="Times New Roman"/>
          <w:color w:val="auto"/>
        </w:rPr>
        <w:t xml:space="preserve"> wildebeest in the Serengeti/Ma</w:t>
      </w:r>
      <w:r w:rsidRPr="009B0448">
        <w:rPr>
          <w:rFonts w:ascii="Times New Roman" w:eastAsia="Cambria" w:hAnsi="Times New Roman" w:cs="Times New Roman"/>
          <w:color w:val="auto"/>
        </w:rPr>
        <w:t xml:space="preserve">sai Mara that is associated with limited degradation of the ecosystem. However, movement of livestock and wild animal populations is sometimes limited by extreme events such as droughts, management and the ubiquity of human settlements. The shift in management of both livestock and wild animals as part of developmental initiatives such as drilling of boreholes in fragile Kalahari ecosystem in Botswana has led to increased animal populations and subsequent increased grazing pressure on rangeland ecosystem. Hence, land degradation is prevalent in grasslands and shrublands, especially in North Africa and East Africa and southern Africa (Nkonya </w:t>
      </w:r>
      <w:r w:rsidRPr="009B0448">
        <w:rPr>
          <w:rFonts w:ascii="Times New Roman" w:eastAsia="Cambria" w:hAnsi="Times New Roman" w:cs="Times New Roman"/>
          <w:i/>
          <w:color w:val="auto"/>
        </w:rPr>
        <w:t>et al.</w:t>
      </w:r>
      <w:r w:rsidRPr="009B0448">
        <w:rPr>
          <w:rFonts w:ascii="Times New Roman" w:eastAsia="Cambria" w:hAnsi="Times New Roman" w:cs="Times New Roman"/>
          <w:color w:val="auto"/>
        </w:rPr>
        <w:t xml:space="preserve">, 2016). The extent of degradation in Africa has proven difficult to assess (Wessels </w:t>
      </w:r>
      <w:r w:rsidRPr="009B0448">
        <w:rPr>
          <w:rFonts w:ascii="Times New Roman" w:eastAsia="Cambria" w:hAnsi="Times New Roman" w:cs="Times New Roman"/>
          <w:i/>
          <w:color w:val="auto"/>
        </w:rPr>
        <w:t>et al.</w:t>
      </w:r>
      <w:r w:rsidRPr="009B0448">
        <w:rPr>
          <w:rFonts w:ascii="Times New Roman" w:eastAsia="Cambria" w:hAnsi="Times New Roman" w:cs="Times New Roman"/>
          <w:color w:val="auto"/>
        </w:rPr>
        <w:t>, 2007; Prince, 2016) and this is attributed in part to poor or lack of rangeland monitoring. So far, it is estimated that 500,000 km</w:t>
      </w:r>
      <w:r w:rsidRPr="009B0448">
        <w:rPr>
          <w:rFonts w:ascii="Times New Roman" w:eastAsia="Cambria" w:hAnsi="Times New Roman" w:cs="Times New Roman"/>
          <w:color w:val="auto"/>
          <w:vertAlign w:val="superscript"/>
        </w:rPr>
        <w:t>2</w:t>
      </w:r>
      <w:r w:rsidRPr="009B0448">
        <w:rPr>
          <w:rFonts w:ascii="Times New Roman" w:eastAsia="Cambria" w:hAnsi="Times New Roman" w:cs="Times New Roman"/>
          <w:color w:val="auto"/>
        </w:rPr>
        <w:t xml:space="preserve"> of land in Africa is degraded and 16% exposed to soil degradation (Bai </w:t>
      </w:r>
      <w:r w:rsidRPr="009B0448">
        <w:rPr>
          <w:rFonts w:ascii="Times New Roman" w:eastAsia="Cambria" w:hAnsi="Times New Roman" w:cs="Times New Roman"/>
          <w:i/>
          <w:color w:val="auto"/>
        </w:rPr>
        <w:t>et al.</w:t>
      </w:r>
      <w:r w:rsidRPr="009B0448">
        <w:rPr>
          <w:rFonts w:ascii="Times New Roman" w:eastAsia="Cambria" w:hAnsi="Times New Roman" w:cs="Times New Roman"/>
          <w:color w:val="auto"/>
        </w:rPr>
        <w:t xml:space="preserve">, 2008; Gibbs </w:t>
      </w:r>
      <w:r w:rsidRPr="009B0448">
        <w:rPr>
          <w:rFonts w:ascii="Times New Roman" w:eastAsia="Cambria" w:hAnsi="Times New Roman" w:cs="Times New Roman"/>
          <w:i/>
          <w:color w:val="auto"/>
        </w:rPr>
        <w:t>et al.</w:t>
      </w:r>
      <w:r w:rsidRPr="009B0448">
        <w:rPr>
          <w:rFonts w:ascii="Times New Roman" w:eastAsia="Cambria" w:hAnsi="Times New Roman" w:cs="Times New Roman"/>
          <w:color w:val="auto"/>
        </w:rPr>
        <w:t xml:space="preserve">, 2015) (Figure 4.12). However the methodology used to reach these estimates has been strongly criticised (Wessels, 2009). </w:t>
      </w:r>
    </w:p>
    <w:p w14:paraId="41497693" w14:textId="77777777" w:rsidR="009B0448" w:rsidRPr="009B0448" w:rsidRDefault="009B0448" w:rsidP="009B0448">
      <w:pPr>
        <w:spacing w:line="276" w:lineRule="auto"/>
        <w:jc w:val="both"/>
        <w:rPr>
          <w:rFonts w:ascii="Times New Roman" w:eastAsia="Cambria" w:hAnsi="Times New Roman" w:cs="Times New Roman"/>
          <w:color w:val="auto"/>
        </w:rPr>
      </w:pPr>
    </w:p>
    <w:p w14:paraId="3A56B367"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causes of rangeland degradation are complex (Li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and highly contested, but it is generally agreed that degradation is caused by the interaction of biophysical and anthropogenic factors (Lal, 2001; Kiage, 2013). High and prolonged livestock grazing is particularly blamed for rangeland degradation (Palmer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and loss of biodiversity (Watkinson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2001) through the removal of biomass, trampling, destruction of root systems and soil compaction. Overgrazing leads to loss of perennial and palatable terrestrial species, which leaves the land bare or proliferated by less palatable annuals (also known as increaser species), such as </w:t>
      </w:r>
      <w:r w:rsidRPr="009B0448">
        <w:rPr>
          <w:rFonts w:ascii="Times New Roman" w:eastAsia="Times New Roman" w:hAnsi="Times New Roman" w:cs="Times New Roman"/>
          <w:i/>
        </w:rPr>
        <w:t>Aristida congesta,</w:t>
      </w:r>
      <w:r w:rsidRPr="009B0448">
        <w:rPr>
          <w:rFonts w:ascii="Times New Roman" w:eastAsia="Times New Roman" w:hAnsi="Times New Roman" w:cs="Times New Roman"/>
        </w:rPr>
        <w:t xml:space="preserve"> and subsequent loss of biodiversity. In addition, overgrazing creates conducive environment for bush encroachment and invasion of alien species, which eventually replace the herbaceous vegetation and native plants, respectively. In Southern Africa, it is evident that overgrazed rangelands are encroached by </w:t>
      </w:r>
      <w:r w:rsidRPr="009B0448">
        <w:rPr>
          <w:rFonts w:ascii="Times New Roman" w:eastAsia="Times New Roman" w:hAnsi="Times New Roman" w:cs="Times New Roman"/>
          <w:i/>
        </w:rPr>
        <w:t>Senegalia mellifera</w:t>
      </w:r>
      <w:r w:rsidRPr="009B0448">
        <w:rPr>
          <w:rFonts w:ascii="Times New Roman" w:eastAsia="Times New Roman" w:hAnsi="Times New Roman" w:cs="Times New Roman"/>
        </w:rPr>
        <w:t xml:space="preserve"> (formerly known as </w:t>
      </w:r>
      <w:r w:rsidRPr="009B0448">
        <w:rPr>
          <w:rFonts w:ascii="Times New Roman" w:eastAsia="Times New Roman" w:hAnsi="Times New Roman" w:cs="Times New Roman"/>
          <w:i/>
        </w:rPr>
        <w:t>Acacia mellifera</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Vachellia tortilis</w:t>
      </w:r>
      <w:r w:rsidRPr="009B0448">
        <w:rPr>
          <w:rFonts w:ascii="Times New Roman" w:eastAsia="Times New Roman" w:hAnsi="Times New Roman" w:cs="Times New Roman"/>
        </w:rPr>
        <w:t xml:space="preserve"> (formerly known as </w:t>
      </w:r>
      <w:r w:rsidRPr="009B0448">
        <w:rPr>
          <w:rFonts w:ascii="Times New Roman" w:eastAsia="Times New Roman" w:hAnsi="Times New Roman" w:cs="Times New Roman"/>
          <w:i/>
        </w:rPr>
        <w:t>Acacia tortilis</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Terminalia sericea</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Dichrostachys cinerea</w:t>
      </w:r>
      <w:r w:rsidRPr="009B0448">
        <w:rPr>
          <w:rFonts w:ascii="Times New Roman" w:eastAsia="Times New Roman" w:hAnsi="Times New Roman" w:cs="Times New Roman"/>
        </w:rPr>
        <w:t xml:space="preserve"> as reported in Botswana (Moleele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2002), and South Africa (Palmer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2012) and this is accompanied by major shifts in vegetation composition.</w:t>
      </w:r>
    </w:p>
    <w:p w14:paraId="2B2D53A1" w14:textId="77777777" w:rsidR="009B0448" w:rsidRPr="009B0448" w:rsidRDefault="009B0448" w:rsidP="009B0448">
      <w:pPr>
        <w:spacing w:line="276" w:lineRule="auto"/>
        <w:jc w:val="both"/>
        <w:rPr>
          <w:rFonts w:ascii="Times New Roman" w:eastAsia="Times New Roman" w:hAnsi="Times New Roman" w:cs="Times New Roman"/>
        </w:rPr>
      </w:pPr>
    </w:p>
    <w:p w14:paraId="04EE1FD5" w14:textId="5B708646"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0B21B6E9" wp14:editId="08B323C9">
            <wp:extent cx="5722620" cy="65379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1046">
                      <a:extLst>
                        <a:ext uri="{28A0092B-C50C-407E-A947-70E740481C1C}">
                          <a14:useLocalDpi xmlns:a14="http://schemas.microsoft.com/office/drawing/2010/main" val="0"/>
                        </a:ext>
                      </a:extLst>
                    </a:blip>
                    <a:srcRect r="5418"/>
                    <a:stretch>
                      <a:fillRect/>
                    </a:stretch>
                  </pic:blipFill>
                  <pic:spPr bwMode="auto">
                    <a:xfrm>
                      <a:off x="0" y="0"/>
                      <a:ext cx="5722620" cy="6537960"/>
                    </a:xfrm>
                    <a:prstGeom prst="rect">
                      <a:avLst/>
                    </a:prstGeom>
                    <a:noFill/>
                    <a:ln>
                      <a:noFill/>
                    </a:ln>
                  </pic:spPr>
                </pic:pic>
              </a:graphicData>
            </a:graphic>
          </wp:inline>
        </w:drawing>
      </w:r>
    </w:p>
    <w:p w14:paraId="3E47E7C6"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Cambria" w:hAnsi="Times New Roman" w:cs="Times New Roman"/>
          <w:b/>
          <w:color w:val="auto"/>
        </w:rPr>
        <w:t>Figure 4.12:</w:t>
      </w:r>
      <w:r w:rsidRPr="009B0448">
        <w:rPr>
          <w:rFonts w:ascii="Times New Roman" w:eastAsia="Cambria" w:hAnsi="Times New Roman" w:cs="Times New Roman"/>
          <w:color w:val="auto"/>
        </w:rPr>
        <w:t xml:space="preserve"> Degraded land across Africa. Source: UNEP (2006).</w:t>
      </w:r>
    </w:p>
    <w:p w14:paraId="67937603"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84" w:name="_Toc519499948"/>
      <w:r w:rsidRPr="009B0448">
        <w:rPr>
          <w:rFonts w:cs="Times New Roman"/>
          <w:b w:val="0"/>
          <w:sz w:val="22"/>
          <w:szCs w:val="22"/>
        </w:rPr>
        <w:t>Overharvesting</w:t>
      </w:r>
      <w:bookmarkEnd w:id="284"/>
    </w:p>
    <w:p w14:paraId="1F233E30" w14:textId="77777777" w:rsidR="009B0448" w:rsidRPr="009B0448" w:rsidRDefault="009B0448" w:rsidP="009B0448">
      <w:pPr>
        <w:spacing w:line="276" w:lineRule="auto"/>
        <w:jc w:val="both"/>
        <w:rPr>
          <w:rFonts w:ascii="Times New Roman" w:eastAsia="Times New Roman" w:hAnsi="Times New Roman" w:cs="Times New Roman"/>
          <w:u w:val="single"/>
        </w:rPr>
      </w:pPr>
      <w:r w:rsidRPr="009B0448">
        <w:rPr>
          <w:rFonts w:ascii="Times New Roman" w:eastAsia="Times New Roman" w:hAnsi="Times New Roman" w:cs="Times New Roman"/>
          <w:u w:val="single"/>
        </w:rPr>
        <w:t>Biomass fuel</w:t>
      </w:r>
    </w:p>
    <w:p w14:paraId="26157CE6"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Wood-based fuels are key energy source for the majority of the African population contributing at least 70% of total energy consumption in sub-Saharan Africa. Charcoal production is a major cause of local overharvesting of trees in many African countries, with many major cities being largely dependent on charcoal as the primary urban fuel resource. The high rate of urban expansion and dependence on biomass as cooking fuels is driving an exponential increase in charcoal demand. Natural forests are overharvested to meet this high-energy demand both in urban and rural areas. As a result, key woody plant species such as </w:t>
      </w:r>
      <w:r w:rsidRPr="009B0448">
        <w:rPr>
          <w:rFonts w:ascii="Times New Roman" w:eastAsia="Times New Roman" w:hAnsi="Times New Roman" w:cs="Times New Roman"/>
          <w:i/>
        </w:rPr>
        <w:t xml:space="preserve">Anogeissus leiocarpa, Erythrophleum suaveolens, Prosopis africana, Burkea africana, Detarium microcarpum, Lophira lanceolata, Vitellaria paradoxa </w:t>
      </w:r>
      <w:r w:rsidRPr="009B0448">
        <w:rPr>
          <w:rFonts w:ascii="Times New Roman" w:eastAsia="Times New Roman" w:hAnsi="Times New Roman" w:cs="Times New Roman"/>
        </w:rPr>
        <w:t xml:space="preserve">are rare in Togo due to overexploitation for charcoal production (Fontodji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Similarly, Tanzania losses 150,433 hectares of forest per year and the projected charcoal demand indicate that 2.8 million hectares of forests will have been lost by 2030 (Msuya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2011; Figure 4.13).</w:t>
      </w:r>
    </w:p>
    <w:p w14:paraId="216545A5" w14:textId="77777777" w:rsidR="009B0448" w:rsidRPr="009B0448" w:rsidRDefault="009B0448" w:rsidP="009B0448">
      <w:pPr>
        <w:spacing w:line="276" w:lineRule="auto"/>
        <w:jc w:val="both"/>
        <w:rPr>
          <w:rFonts w:ascii="Times New Roman" w:eastAsia="Times New Roman" w:hAnsi="Times New Roman" w:cs="Times New Roman"/>
        </w:rPr>
      </w:pPr>
    </w:p>
    <w:p w14:paraId="452D865C" w14:textId="412B38A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2772CF3B" wp14:editId="524E607C">
            <wp:extent cx="5674172" cy="5341620"/>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1047">
                      <a:extLst>
                        <a:ext uri="{28A0092B-C50C-407E-A947-70E740481C1C}">
                          <a14:useLocalDpi xmlns:a14="http://schemas.microsoft.com/office/drawing/2010/main" val="0"/>
                        </a:ext>
                      </a:extLst>
                    </a:blip>
                    <a:stretch>
                      <a:fillRect/>
                    </a:stretch>
                  </pic:blipFill>
                  <pic:spPr bwMode="auto">
                    <a:xfrm>
                      <a:off x="0" y="0"/>
                      <a:ext cx="5674172" cy="5341620"/>
                    </a:xfrm>
                    <a:prstGeom prst="rect">
                      <a:avLst/>
                    </a:prstGeom>
                    <a:noFill/>
                    <a:ln>
                      <a:noFill/>
                    </a:ln>
                  </pic:spPr>
                </pic:pic>
              </a:graphicData>
            </a:graphic>
          </wp:inline>
        </w:drawing>
      </w:r>
    </w:p>
    <w:p w14:paraId="7E8852D5"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 xml:space="preserve">Figure 4.13: </w:t>
      </w:r>
      <w:r w:rsidRPr="009B0448">
        <w:rPr>
          <w:rFonts w:ascii="Times New Roman" w:eastAsia="Times New Roman" w:hAnsi="Times New Roman" w:cs="Times New Roman"/>
        </w:rPr>
        <w:t xml:space="preserve">Annual consumption of charcoal in Africa. Source: Pesche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w:t>
      </w:r>
    </w:p>
    <w:p w14:paraId="4EDEA64C" w14:textId="77777777" w:rsidR="009B0448" w:rsidRPr="009B0448" w:rsidRDefault="009B0448" w:rsidP="009B0448">
      <w:pPr>
        <w:spacing w:line="276" w:lineRule="auto"/>
        <w:jc w:val="both"/>
        <w:rPr>
          <w:rFonts w:ascii="Times New Roman" w:eastAsia="Times New Roman" w:hAnsi="Times New Roman" w:cs="Times New Roman"/>
        </w:rPr>
      </w:pPr>
    </w:p>
    <w:p w14:paraId="4E9E8142" w14:textId="77777777" w:rsidR="009B0448" w:rsidRPr="009B0448" w:rsidRDefault="009B0448" w:rsidP="009B0448">
      <w:pPr>
        <w:spacing w:line="276" w:lineRule="auto"/>
        <w:jc w:val="both"/>
        <w:rPr>
          <w:rFonts w:ascii="Times New Roman" w:eastAsia="Times New Roman" w:hAnsi="Times New Roman" w:cs="Times New Roman"/>
          <w:u w:val="single"/>
        </w:rPr>
      </w:pPr>
      <w:r w:rsidRPr="009B0448">
        <w:rPr>
          <w:rFonts w:ascii="Times New Roman" w:eastAsia="Times New Roman" w:hAnsi="Times New Roman" w:cs="Times New Roman"/>
          <w:u w:val="single"/>
        </w:rPr>
        <w:t>Wildlife and other natural resources</w:t>
      </w:r>
    </w:p>
    <w:p w14:paraId="31D19E0A" w14:textId="77777777" w:rsidR="009B0448" w:rsidRPr="009B0448" w:rsidRDefault="009B0448" w:rsidP="009B0448">
      <w:pPr>
        <w:pStyle w:val="NormalWeb"/>
        <w:spacing w:before="0" w:beforeAutospacing="0" w:after="0" w:afterAutospacing="0" w:line="276" w:lineRule="auto"/>
        <w:jc w:val="both"/>
        <w:rPr>
          <w:rFonts w:eastAsia="Times New Roman"/>
          <w:sz w:val="22"/>
          <w:szCs w:val="22"/>
        </w:rPr>
      </w:pPr>
      <w:r w:rsidRPr="009B0448">
        <w:rPr>
          <w:rFonts w:eastAsia="Times New Roman"/>
          <w:sz w:val="22"/>
          <w:szCs w:val="22"/>
        </w:rPr>
        <w:t xml:space="preserve">Bushmeat, (i.e., the harvesting of wild animals for local consumption or for sale (Cowlishaw </w:t>
      </w:r>
      <w:r w:rsidRPr="009B0448">
        <w:rPr>
          <w:rFonts w:eastAsia="Times New Roman"/>
          <w:i/>
          <w:sz w:val="22"/>
          <w:szCs w:val="22"/>
        </w:rPr>
        <w:t>et al.</w:t>
      </w:r>
      <w:r w:rsidRPr="009B0448">
        <w:rPr>
          <w:rFonts w:eastAsia="Times New Roman"/>
          <w:sz w:val="22"/>
          <w:szCs w:val="22"/>
        </w:rPr>
        <w:t xml:space="preserve">, 2005)) is a contributor to a decline in mammalian and avian biodiversity throughout most of Africa, particularly in West and Central Africa. Bushmeat is attributed to being a major driver of a decline in animal populations (Bennet </w:t>
      </w:r>
      <w:r w:rsidRPr="009B0448">
        <w:rPr>
          <w:rFonts w:eastAsia="Times New Roman"/>
          <w:i/>
          <w:sz w:val="22"/>
          <w:szCs w:val="22"/>
        </w:rPr>
        <w:t>et al.</w:t>
      </w:r>
      <w:r w:rsidRPr="009B0448">
        <w:rPr>
          <w:rFonts w:eastAsia="Times New Roman"/>
          <w:sz w:val="22"/>
          <w:szCs w:val="22"/>
        </w:rPr>
        <w:t xml:space="preserve">, 2007) and could well lead to local or total extinction of some species, the great apes being particularly vulnerable (Oates </w:t>
      </w:r>
      <w:r w:rsidRPr="009B0448">
        <w:rPr>
          <w:rFonts w:eastAsia="Times New Roman"/>
          <w:i/>
          <w:sz w:val="22"/>
          <w:szCs w:val="22"/>
        </w:rPr>
        <w:t>et al.</w:t>
      </w:r>
      <w:r w:rsidRPr="009B0448">
        <w:rPr>
          <w:rFonts w:eastAsia="Times New Roman"/>
          <w:sz w:val="22"/>
          <w:szCs w:val="22"/>
        </w:rPr>
        <w:t xml:space="preserve">, 2000; Obioha </w:t>
      </w:r>
      <w:r w:rsidRPr="009B0448">
        <w:rPr>
          <w:rFonts w:eastAsia="Times New Roman"/>
          <w:i/>
          <w:sz w:val="22"/>
          <w:szCs w:val="22"/>
        </w:rPr>
        <w:t>et al.</w:t>
      </w:r>
      <w:r w:rsidRPr="009B0448">
        <w:rPr>
          <w:rFonts w:eastAsia="Times New Roman"/>
          <w:sz w:val="22"/>
          <w:szCs w:val="22"/>
        </w:rPr>
        <w:t xml:space="preserve">, 2012). Bushmeat is harvested because it is in effect a more accessible protein resource to communities that are both desperately poor and lacking in dietary protein. Bushmeat hunting has socio-cultural importance (Meinert </w:t>
      </w:r>
      <w:r w:rsidRPr="009B0448">
        <w:rPr>
          <w:rFonts w:eastAsia="Times New Roman"/>
          <w:i/>
          <w:sz w:val="22"/>
          <w:szCs w:val="22"/>
        </w:rPr>
        <w:t>et al.</w:t>
      </w:r>
      <w:r w:rsidRPr="009B0448">
        <w:rPr>
          <w:rFonts w:eastAsia="Times New Roman"/>
          <w:sz w:val="22"/>
          <w:szCs w:val="22"/>
        </w:rPr>
        <w:t xml:space="preserve">, 2003), and is also regarded as a tastier protein than alternative meat (Obioha </w:t>
      </w:r>
      <w:r w:rsidRPr="009B0448">
        <w:rPr>
          <w:rFonts w:eastAsia="Times New Roman"/>
          <w:i/>
          <w:sz w:val="22"/>
          <w:szCs w:val="22"/>
        </w:rPr>
        <w:t>et al.</w:t>
      </w:r>
      <w:r w:rsidRPr="009B0448">
        <w:rPr>
          <w:rFonts w:eastAsia="Times New Roman"/>
          <w:sz w:val="22"/>
          <w:szCs w:val="22"/>
        </w:rPr>
        <w:t xml:space="preserve">, 2012). Most bushmeat is harvested from communal forests, and as an open-access resource, is easily over-exploited (Obioha </w:t>
      </w:r>
      <w:r w:rsidRPr="009B0448">
        <w:rPr>
          <w:rFonts w:eastAsia="Times New Roman"/>
          <w:i/>
          <w:sz w:val="22"/>
          <w:szCs w:val="22"/>
        </w:rPr>
        <w:t>et al.</w:t>
      </w:r>
      <w:r w:rsidRPr="009B0448">
        <w:rPr>
          <w:rFonts w:eastAsia="Times New Roman"/>
          <w:sz w:val="22"/>
          <w:szCs w:val="22"/>
        </w:rPr>
        <w:t xml:space="preserve">, 2012). </w:t>
      </w:r>
    </w:p>
    <w:p w14:paraId="51A8B009" w14:textId="77777777" w:rsidR="009B0448" w:rsidRPr="009B0448" w:rsidRDefault="009B0448" w:rsidP="009B0448">
      <w:pPr>
        <w:pStyle w:val="NormalWeb"/>
        <w:spacing w:before="0" w:beforeAutospacing="0" w:after="0" w:afterAutospacing="0" w:line="276" w:lineRule="auto"/>
        <w:jc w:val="both"/>
        <w:rPr>
          <w:rFonts w:eastAsia="Times New Roman"/>
          <w:sz w:val="22"/>
          <w:szCs w:val="22"/>
        </w:rPr>
      </w:pPr>
    </w:p>
    <w:p w14:paraId="4F763145" w14:textId="77777777" w:rsidR="009B0448" w:rsidRPr="009B0448" w:rsidRDefault="009B0448" w:rsidP="009B0448">
      <w:pPr>
        <w:pStyle w:val="NormalWeb"/>
        <w:spacing w:before="0" w:beforeAutospacing="0" w:after="0" w:afterAutospacing="0" w:line="276" w:lineRule="auto"/>
        <w:jc w:val="both"/>
        <w:rPr>
          <w:rFonts w:eastAsia="Times New Roman"/>
          <w:sz w:val="22"/>
          <w:szCs w:val="22"/>
        </w:rPr>
      </w:pPr>
      <w:r w:rsidRPr="009B0448">
        <w:rPr>
          <w:rFonts w:eastAsia="Calibri"/>
          <w:sz w:val="22"/>
          <w:szCs w:val="22"/>
        </w:rPr>
        <w:t xml:space="preserve">Although wildlife has culturally been used as a source of food and materials, the scale of the current harvest is unprecedented and is growing rapidly (Swamy </w:t>
      </w:r>
      <w:r w:rsidRPr="009B0448">
        <w:rPr>
          <w:rFonts w:eastAsia="Calibri"/>
          <w:i/>
          <w:sz w:val="22"/>
          <w:szCs w:val="22"/>
        </w:rPr>
        <w:t>et al.</w:t>
      </w:r>
      <w:r w:rsidRPr="009B0448">
        <w:rPr>
          <w:rFonts w:eastAsia="Calibri"/>
          <w:sz w:val="22"/>
          <w:szCs w:val="22"/>
        </w:rPr>
        <w:t xml:space="preserve">, 2014). </w:t>
      </w:r>
      <w:r w:rsidRPr="009B0448">
        <w:rPr>
          <w:rFonts w:eastAsia="Times New Roman"/>
          <w:sz w:val="22"/>
          <w:szCs w:val="22"/>
        </w:rPr>
        <w:t xml:space="preserve">A 2003 estimate was that between one and 2 million tons of bushmeat was being harvested annually from Central Africa alone (Brown </w:t>
      </w:r>
      <w:r w:rsidRPr="009B0448">
        <w:rPr>
          <w:rFonts w:eastAsia="Times New Roman"/>
          <w:i/>
          <w:sz w:val="22"/>
          <w:szCs w:val="22"/>
        </w:rPr>
        <w:t>et al.</w:t>
      </w:r>
      <w:r w:rsidRPr="009B0448">
        <w:rPr>
          <w:rFonts w:eastAsia="Times New Roman"/>
          <w:sz w:val="22"/>
          <w:szCs w:val="22"/>
        </w:rPr>
        <w:t xml:space="preserve">, 2003). The issue of consumption of meat from African wildlife requires more holistic examination than current work, which implies that it is driven by local needs, cultures, and poverty. It was demonstrated (Brashares </w:t>
      </w:r>
      <w:r w:rsidRPr="009B0448">
        <w:rPr>
          <w:rFonts w:eastAsia="Times New Roman"/>
          <w:i/>
          <w:sz w:val="22"/>
          <w:szCs w:val="22"/>
        </w:rPr>
        <w:t>et al</w:t>
      </w:r>
      <w:r w:rsidRPr="009B0448">
        <w:rPr>
          <w:rFonts w:eastAsia="Times New Roman"/>
          <w:sz w:val="22"/>
          <w:szCs w:val="22"/>
        </w:rPr>
        <w:t>., 2004) that the consumption of bushmeat in Ghana at the turn of the century rose in tandem with the rise in the catch by European Union fishing vessels off the coast of West Africa. This rise was in turn, driven by the rise in European Union subsidies to their distant waters fishing fleet. Another study by Knee (2000) found that in Africa, 68% of bushmeat species are hunted unsustainably. This implies that there is a 32% proportion that is considered to be consumed ‘sustainably’. This calls for closer examination, because the term ‘bushmeat’ has a connotation of illegality, in the absence of terminological distinction from the consumption of ‘game meat,’ which is widespread, particularly in Southern Africa.</w:t>
      </w:r>
    </w:p>
    <w:p w14:paraId="044D0268" w14:textId="77777777" w:rsidR="009B0448" w:rsidRPr="009B0448" w:rsidRDefault="009B0448" w:rsidP="009B0448">
      <w:pPr>
        <w:pStyle w:val="NormalWeb"/>
        <w:spacing w:before="0" w:beforeAutospacing="0" w:after="0" w:afterAutospacing="0" w:line="276" w:lineRule="auto"/>
        <w:jc w:val="both"/>
        <w:rPr>
          <w:rFonts w:eastAsia="Times New Roman"/>
          <w:sz w:val="22"/>
          <w:szCs w:val="22"/>
        </w:rPr>
      </w:pPr>
    </w:p>
    <w:p w14:paraId="1961F732"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Road networks into the dense forests of Central Africa mean that areas that were too remote to be commercially exploited for bushmeat in the past are now accessible and are subject to over-harvesting (Wilkie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1999; Bowen-Jones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2002). In West and Central Africa an estimated 60% of mammalian species are hunted at a rate that is not sustainable (Fa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2002). On the one hand, livestock in many rural African societies has value beyond protein because it can be used as currency for dowry, settlement of disputes and as assets for long-term investment amongst others. On the other hand, bushmeat is regarded by hunters as ‘free’ protein and is generally the cheapest source of in urban centres (van Vliet, 2012). Rural-urban migration is a strong driver of urban bushmeat demand. The increased urban demand leads to increased commercialization of bushmeat consumption, thus increasing the likelihood of unsustainable harvesting which is exacerbated by the potential to earn income from bush meant sales (Wilkie </w:t>
      </w:r>
      <w:r w:rsidRPr="009B0448">
        <w:rPr>
          <w:rFonts w:ascii="Times New Roman" w:hAnsi="Times New Roman" w:cs="Times New Roman"/>
          <w:i/>
        </w:rPr>
        <w:t>et al.</w:t>
      </w:r>
      <w:r w:rsidRPr="009B0448">
        <w:rPr>
          <w:rFonts w:ascii="Times New Roman" w:eastAsia="Times New Roman" w:hAnsi="Times New Roman" w:cs="Times New Roman"/>
        </w:rPr>
        <w:t xml:space="preserve">, 1999; Bowen-Jones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2003). Policy formulation and law enforcement in the arena of consumption of wildlife meat in Africa can positively influence sustainable harvest of bushmeat. Use of wildlife resources can be sustainable in cases where hunter-gatherer groups are few and range across large landscapes that they defend as ‘their’ exclusive territory (Wilkie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2016).</w:t>
      </w:r>
    </w:p>
    <w:p w14:paraId="5E550178"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85" w:name="_Toc519499949"/>
      <w:r w:rsidRPr="009B0448">
        <w:rPr>
          <w:rFonts w:cs="Times New Roman"/>
          <w:b w:val="0"/>
          <w:sz w:val="22"/>
          <w:szCs w:val="22"/>
        </w:rPr>
        <w:t>Wildlife poaching</w:t>
      </w:r>
      <w:bookmarkEnd w:id="285"/>
    </w:p>
    <w:p w14:paraId="7E263D4B" w14:textId="65793F74"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Wildlife plays an important role in both the natural and human worlds: ecologically as keynote species (Bond, 1994), economically as </w:t>
      </w:r>
      <w:r w:rsidR="00E05B46">
        <w:rPr>
          <w:rFonts w:ascii="Times New Roman" w:eastAsia="Times New Roman" w:hAnsi="Times New Roman" w:cs="Times New Roman"/>
        </w:rPr>
        <w:t>drivers of tourism (Brown J</w:t>
      </w:r>
      <w:r w:rsidRPr="009B0448">
        <w:rPr>
          <w:rFonts w:ascii="Times New Roman" w:eastAsia="Times New Roman" w:hAnsi="Times New Roman" w:cs="Times New Roman"/>
        </w:rPr>
        <w:t xml:space="preserve">r, 1993), and culturally as icons of the African continent (Carruthers, 2010). Of these important wildlife species are Rhinos and Elephants, of which their populations are extremely threatened by poaching for ivory (WWF, 2016; Figure 4.14). In Africa, recent surveys suggest that more than 30,000 elephants are killed per year (UNEP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Wittemyer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but there is urgent need to for caution in properly assessing these figures and impacts. The global interest in the plight of elephants is has generally been a positive development, but has led to extrapolations, estimates, and conjecture being accepted as paradigm when it comes to poaching. The much-quoted 30,000 per annum figure is actually described by Wittemeyer (2014) as an extrapolation, but is increasingly accepted as empirical fact. Despite global attention to the plight of elephants, their population sizes is shrinking by 8% per year continent-wide, primarily due to poaching (Chase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A survey by Naidoo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(2016a) revealed that approximately $25 million worth of economic benefits that poached elephants would have delivered annually to African countries via tourism is lost. These lost benefits exceed the anti-poaching costs necessary to stop elephant declines across the continent’s savannah areas (Naidoo, 2016b). </w:t>
      </w:r>
    </w:p>
    <w:p w14:paraId="1C0A6B3F" w14:textId="77777777" w:rsidR="009B0448" w:rsidRPr="009B0448" w:rsidRDefault="009B0448" w:rsidP="009B0448">
      <w:pPr>
        <w:spacing w:line="276" w:lineRule="auto"/>
        <w:jc w:val="both"/>
        <w:rPr>
          <w:rFonts w:ascii="Times New Roman" w:eastAsia="Times New Roman" w:hAnsi="Times New Roman" w:cs="Times New Roman"/>
        </w:rPr>
      </w:pPr>
    </w:p>
    <w:p w14:paraId="56C1133F" w14:textId="0D4FEA4F"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7A84C1F4" wp14:editId="558C43BD">
            <wp:extent cx="6182729" cy="5692255"/>
            <wp:effectExtent l="0" t="2540" r="635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48">
                      <a:extLst>
                        <a:ext uri="{28A0092B-C50C-407E-A947-70E740481C1C}">
                          <a14:useLocalDpi xmlns:a14="http://schemas.microsoft.com/office/drawing/2010/main" val="0"/>
                        </a:ext>
                      </a:extLst>
                    </a:blip>
                    <a:stretch>
                      <a:fillRect/>
                    </a:stretch>
                  </pic:blipFill>
                  <pic:spPr bwMode="auto">
                    <a:xfrm rot="16200000">
                      <a:off x="0" y="0"/>
                      <a:ext cx="6190535" cy="5699442"/>
                    </a:xfrm>
                    <a:prstGeom prst="rect">
                      <a:avLst/>
                    </a:prstGeom>
                    <a:noFill/>
                    <a:ln>
                      <a:noFill/>
                    </a:ln>
                  </pic:spPr>
                </pic:pic>
              </a:graphicData>
            </a:graphic>
          </wp:inline>
        </w:drawing>
      </w:r>
    </w:p>
    <w:p w14:paraId="480C3D0A"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eastAsia="Times New Roman" w:hAnsi="Times New Roman" w:cs="Times New Roman"/>
          <w:b/>
        </w:rPr>
        <w:t>Figure 4.14:</w:t>
      </w:r>
      <w:r w:rsidRPr="009B0448">
        <w:rPr>
          <w:rFonts w:ascii="Times New Roman" w:eastAsia="Times New Roman" w:hAnsi="Times New Roman" w:cs="Times New Roman"/>
        </w:rPr>
        <w:t xml:space="preserve"> Estimated trends in elephant populations for Great Elephant Census study areas with historical data available, 1995–2014. Source:</w:t>
      </w:r>
      <w:r w:rsidRPr="009B0448">
        <w:rPr>
          <w:rStyle w:val="Hyperlink"/>
          <w:rFonts w:ascii="Times New Roman" w:hAnsi="Times New Roman" w:cs="Times New Roman"/>
          <w:color w:val="2A85E8"/>
        </w:rPr>
        <w:t xml:space="preserve"> https://doi.org/10.7717/peerj.2354/fig-2</w:t>
      </w:r>
    </w:p>
    <w:p w14:paraId="188E8AB7" w14:textId="77777777" w:rsidR="009B0448" w:rsidRPr="009B0448" w:rsidRDefault="009B0448" w:rsidP="009B0448">
      <w:pPr>
        <w:spacing w:line="276" w:lineRule="auto"/>
        <w:jc w:val="both"/>
        <w:rPr>
          <w:rFonts w:ascii="Times New Roman" w:hAnsi="Times New Roman" w:cs="Times New Roman"/>
        </w:rPr>
      </w:pPr>
    </w:p>
    <w:p w14:paraId="2F6C5F68"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To effectively address the status of elephants, the IPBES Regional Assessment for Africa requires a higher level of resolution so as to avoid the ‘trap’ of an ‘ecosystem services’ approach bleeding into biodiversity considerations. The assignment of monetary values ‘losses’ to poached elephants is flawed in that the values are based on potential commercial gains from the ‘legal’ (licensed) consumptive use of the same species. This analysis is difficult to apply to countries like Kenya, which don’t practice sport hunting, because to photographic tourism, the attraction of elephants to tourists is qualitative, not quantitative. This approach also diminishes the intrinsic value of elephants as part of Africa’s natural heritage, and biodiversity as a keystone species. African nations therefore run the risk of valuing their biodiversity exclusively from the perspective of external observers and consumers thereof. This can already be seen in the copious discussions around impacts of ‘poaching’, without similar treatment of mortality from ‘hunting’, ‘cropping’, ‘culling’, and other ‘conservation’ and ‘management’ methods.</w:t>
      </w:r>
    </w:p>
    <w:p w14:paraId="6B94D2D9" w14:textId="77777777" w:rsidR="009B0448" w:rsidRPr="009B0448" w:rsidRDefault="009B0448" w:rsidP="009B0448">
      <w:pPr>
        <w:spacing w:line="276" w:lineRule="auto"/>
        <w:jc w:val="both"/>
        <w:rPr>
          <w:rFonts w:ascii="Times New Roman" w:hAnsi="Times New Roman" w:cs="Times New Roman"/>
        </w:rPr>
      </w:pPr>
    </w:p>
    <w:p w14:paraId="4769C645" w14:textId="664C6FB6"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Similar to elephants, rhinos have given conservationists cause for concern for many decades, there have been regular reports of their deteriorating status in several countries in particular South Africa (Biggs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South Africa is home to more than 90% of the world’s 20,000 white rhino, and 40% (more than 80% together with its neighbour Namibia), of the 5,000 remaining black rhino (Biggs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2013). Yet, poaching in South Africa has, an average, more than doubled each year over the past 5 years (Figure 4.15). The year 2015 was the worst year in decades for rhino poaching-although South Africa reported a sma</w:t>
      </w:r>
      <w:r w:rsidR="00B84A1D">
        <w:rPr>
          <w:rFonts w:ascii="Times New Roman" w:eastAsia="Times New Roman" w:hAnsi="Times New Roman" w:cs="Times New Roman"/>
        </w:rPr>
        <w:t>ll decrease (van Noorden, 2016).</w:t>
      </w:r>
      <w:r w:rsidRPr="009B0448">
        <w:rPr>
          <w:rFonts w:ascii="Times New Roman" w:eastAsia="Times New Roman" w:hAnsi="Times New Roman" w:cs="Times New Roman"/>
        </w:rPr>
        <w:t xml:space="preserve"> If poaching continues to accelerate, Africa’s remaining rhino populations may become extinct in the wild within 20 years (Ferreira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2012). The loss of economic value caused by illegal poaching is significant, as is made evident in table 4.5.</w:t>
      </w:r>
    </w:p>
    <w:p w14:paraId="3FE80D39" w14:textId="77777777" w:rsidR="009B0448" w:rsidRPr="009B0448" w:rsidRDefault="009B0448" w:rsidP="009B0448">
      <w:pPr>
        <w:spacing w:line="276" w:lineRule="auto"/>
        <w:jc w:val="both"/>
        <w:rPr>
          <w:rFonts w:ascii="Times New Roman" w:eastAsia="Times New Roman" w:hAnsi="Times New Roman" w:cs="Times New Roman"/>
        </w:rPr>
      </w:pPr>
    </w:p>
    <w:p w14:paraId="44501A79" w14:textId="6CB95BE4"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52119E55" wp14:editId="2E22162C">
            <wp:extent cx="5737860" cy="4366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5737860" cy="4366260"/>
                    </a:xfrm>
                    <a:prstGeom prst="rect">
                      <a:avLst/>
                    </a:prstGeom>
                    <a:noFill/>
                    <a:ln>
                      <a:noFill/>
                    </a:ln>
                  </pic:spPr>
                </pic:pic>
              </a:graphicData>
            </a:graphic>
          </wp:inline>
        </w:drawing>
      </w:r>
    </w:p>
    <w:p w14:paraId="50147AD5"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4.15:</w:t>
      </w:r>
      <w:r w:rsidRPr="009B0448">
        <w:rPr>
          <w:rFonts w:ascii="Times New Roman" w:eastAsia="Times New Roman" w:hAnsi="Times New Roman" w:cs="Times New Roman"/>
        </w:rPr>
        <w:t xml:space="preserve"> Annual rhino poaching in South Africa, Kenya and Zimbabwe since 2000. Data source:</w:t>
      </w:r>
      <w:r w:rsidRPr="009B0448">
        <w:rPr>
          <w:rFonts w:ascii="Times New Roman" w:hAnsi="Times New Roman" w:cs="Times New Roman"/>
        </w:rPr>
        <w:t xml:space="preserve"> </w:t>
      </w:r>
      <w:hyperlink r:id="rId1050" w:history="1">
        <w:r w:rsidRPr="009B0448">
          <w:rPr>
            <w:rStyle w:val="Hyperlink"/>
            <w:rFonts w:ascii="Times New Roman" w:hAnsi="Times New Roman" w:cs="Times New Roman"/>
          </w:rPr>
          <w:t>http://www.poachingfacts.com/poaching-statistics/rhino-poaching-statistics/</w:t>
        </w:r>
      </w:hyperlink>
    </w:p>
    <w:p w14:paraId="3CB92647" w14:textId="77777777" w:rsidR="009B0448" w:rsidRPr="009B0448" w:rsidRDefault="009B0448" w:rsidP="009B0448">
      <w:pPr>
        <w:spacing w:line="276" w:lineRule="auto"/>
        <w:jc w:val="both"/>
        <w:rPr>
          <w:rFonts w:ascii="Times New Roman" w:eastAsia="Times New Roman" w:hAnsi="Times New Roman" w:cs="Times New Roman"/>
        </w:rPr>
      </w:pPr>
    </w:p>
    <w:p w14:paraId="25FE5706"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eastAsia="Times New Roman" w:hAnsi="Times New Roman" w:cs="Times New Roman"/>
          <w:b/>
        </w:rPr>
        <w:t>Table 4.5:</w:t>
      </w:r>
      <w:r w:rsidRPr="009B0448">
        <w:rPr>
          <w:rFonts w:ascii="Times New Roman" w:eastAsia="Times New Roman" w:hAnsi="Times New Roman" w:cs="Times New Roman"/>
        </w:rPr>
        <w:t xml:space="preserve"> Economic value lost due to Rhino poaching. Source: Smith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w:t>
      </w:r>
      <w:r w:rsidRPr="009B0448">
        <w:rPr>
          <w:rFonts w:ascii="Times New Roman" w:hAnsi="Times New Roman" w:cs="Times New Roman"/>
        </w:rPr>
        <w:fldChar w:fldCharType="begin"/>
      </w:r>
      <w:r w:rsidRPr="009B0448">
        <w:rPr>
          <w:rFonts w:ascii="Times New Roman" w:hAnsi="Times New Roman" w:cs="Times New Roman"/>
        </w:rPr>
        <w:instrText xml:space="preserve"> LINK Excel.Sheet.12 "C:\\Users\\MMaoela\\Documents\\IPBES_Documents\\AfRA_draft\\Documents\\IPBES_Documents\\AfRA_draft\\TOD\\Chapter 4\\Poaching.xlsx" Sheet2!R1C1:R5C5 \a \f 4 \h  \* MERGEFORMAT </w:instrText>
      </w:r>
      <w:r w:rsidRPr="009B0448">
        <w:rPr>
          <w:rFonts w:ascii="Times New Roman" w:hAnsi="Times New Roman" w:cs="Times New Roman"/>
        </w:rPr>
        <w:fldChar w:fldCharType="separate"/>
      </w:r>
    </w:p>
    <w:tbl>
      <w:tblPr>
        <w:tblStyle w:val="PlainTable11"/>
        <w:tblW w:w="5000" w:type="pct"/>
        <w:tblLook w:val="04A0" w:firstRow="1" w:lastRow="0" w:firstColumn="1" w:lastColumn="0" w:noHBand="0" w:noVBand="1"/>
      </w:tblPr>
      <w:tblGrid>
        <w:gridCol w:w="3226"/>
        <w:gridCol w:w="1414"/>
        <w:gridCol w:w="1244"/>
        <w:gridCol w:w="1401"/>
        <w:gridCol w:w="1731"/>
      </w:tblGrid>
      <w:tr w:rsidR="009B0448" w:rsidRPr="009B0448" w14:paraId="7698228A" w14:textId="77777777" w:rsidTr="009B0448">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95D43DE" w14:textId="77777777" w:rsidR="009B0448" w:rsidRPr="009B0448" w:rsidRDefault="009B0448">
            <w:pPr>
              <w:spacing w:line="276" w:lineRule="auto"/>
              <w:rPr>
                <w:rFonts w:ascii="Times New Roman" w:eastAsia="Times New Roman" w:hAnsi="Times New Roman" w:cs="Times New Roman"/>
                <w:lang w:val="en-ZA"/>
              </w:rPr>
            </w:pPr>
            <w:r w:rsidRPr="009B0448">
              <w:rPr>
                <w:rFonts w:ascii="Times New Roman" w:eastAsia="Times New Roman" w:hAnsi="Times New Roman" w:cs="Times New Roman"/>
                <w:lang w:val="en-ZA"/>
              </w:rPr>
              <w:t> </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A016872"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South Africa</w:t>
            </w:r>
          </w:p>
        </w:tc>
        <w:tc>
          <w:tcPr>
            <w:tcW w:w="14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310E496"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Namibia</w:t>
            </w:r>
          </w:p>
        </w:tc>
        <w:tc>
          <w:tcPr>
            <w:tcW w:w="15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A1E1C0B"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Kenya</w:t>
            </w:r>
          </w:p>
        </w:tc>
        <w:tc>
          <w:tcPr>
            <w:tcW w:w="19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026ABC2" w14:textId="77777777" w:rsidR="009B0448" w:rsidRPr="009B0448" w:rsidRDefault="009B044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Zimbabwe</w:t>
            </w:r>
          </w:p>
        </w:tc>
      </w:tr>
      <w:tr w:rsidR="009B0448" w:rsidRPr="009B0448" w14:paraId="4213A30A" w14:textId="77777777" w:rsidTr="009B044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5720C02" w14:textId="77777777" w:rsidR="009B0448" w:rsidRPr="009B0448" w:rsidRDefault="009B0448">
            <w:pPr>
              <w:spacing w:line="276" w:lineRule="auto"/>
              <w:rPr>
                <w:rFonts w:ascii="Times New Roman" w:eastAsia="Times New Roman" w:hAnsi="Times New Roman" w:cs="Times New Roman"/>
                <w:lang w:val="en-ZA"/>
              </w:rPr>
            </w:pPr>
            <w:r w:rsidRPr="009B0448">
              <w:rPr>
                <w:rFonts w:ascii="Times New Roman" w:eastAsia="Times New Roman" w:hAnsi="Times New Roman" w:cs="Times New Roman"/>
                <w:lang w:val="en-ZA"/>
              </w:rPr>
              <w:t xml:space="preserve">Total loss of potential legal income per year </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3437694"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 xml:space="preserve">€133 million </w:t>
            </w:r>
          </w:p>
        </w:tc>
        <w:tc>
          <w:tcPr>
            <w:tcW w:w="14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E28DB0B"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 xml:space="preserve">€0.26 million </w:t>
            </w:r>
          </w:p>
        </w:tc>
        <w:tc>
          <w:tcPr>
            <w:tcW w:w="15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067EF37"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€4.5 million</w:t>
            </w:r>
          </w:p>
        </w:tc>
        <w:tc>
          <w:tcPr>
            <w:tcW w:w="19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E50EFFD"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 xml:space="preserve"> €16.9 million</w:t>
            </w:r>
          </w:p>
        </w:tc>
      </w:tr>
      <w:tr w:rsidR="009B0448" w:rsidRPr="009B0448" w14:paraId="3543DA7A" w14:textId="77777777" w:rsidTr="009B0448">
        <w:trPr>
          <w:trHeight w:val="28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6628037" w14:textId="77777777" w:rsidR="009B0448" w:rsidRPr="009B0448" w:rsidRDefault="009B0448">
            <w:pPr>
              <w:spacing w:line="276" w:lineRule="auto"/>
              <w:rPr>
                <w:rFonts w:ascii="Times New Roman" w:eastAsia="Times New Roman" w:hAnsi="Times New Roman" w:cs="Times New Roman"/>
                <w:lang w:val="en-ZA"/>
              </w:rPr>
            </w:pPr>
            <w:r w:rsidRPr="009B0448">
              <w:rPr>
                <w:rFonts w:ascii="Times New Roman" w:eastAsia="Times New Roman" w:hAnsi="Times New Roman" w:cs="Times New Roman"/>
                <w:lang w:val="en-ZA"/>
              </w:rPr>
              <w:t xml:space="preserve">Total loss of natural capital 2006-2012 </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BDD7FB2" w14:textId="77777777" w:rsidR="009B0448" w:rsidRPr="009B0448" w:rsidRDefault="009B044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0</w:t>
            </w:r>
          </w:p>
        </w:tc>
        <w:tc>
          <w:tcPr>
            <w:tcW w:w="14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4B788E9A" w14:textId="77777777" w:rsidR="009B0448" w:rsidRPr="009B0448" w:rsidRDefault="009B044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0</w:t>
            </w:r>
          </w:p>
        </w:tc>
        <w:tc>
          <w:tcPr>
            <w:tcW w:w="15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B0399F6" w14:textId="77777777" w:rsidR="009B0448" w:rsidRPr="009B0448" w:rsidRDefault="009B0448">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0</w:t>
            </w:r>
          </w:p>
        </w:tc>
        <w:tc>
          <w:tcPr>
            <w:tcW w:w="19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436616A"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€360</w:t>
            </w:r>
            <w:r w:rsidRPr="009B0448">
              <w:rPr>
                <w:rFonts w:ascii="Times New Roman" w:eastAsia="Times New Roman" w:hAnsi="Times New Roman" w:cs="Times New Roman"/>
              </w:rPr>
              <w:t>–</w:t>
            </w:r>
            <w:r w:rsidRPr="009B0448">
              <w:rPr>
                <w:rFonts w:ascii="Times New Roman" w:eastAsia="Times New Roman" w:hAnsi="Times New Roman" w:cs="Times New Roman"/>
                <w:lang w:val="en-ZA"/>
              </w:rPr>
              <w:t>544 million</w:t>
            </w:r>
          </w:p>
        </w:tc>
      </w:tr>
      <w:tr w:rsidR="009B0448" w:rsidRPr="009B0448" w14:paraId="7BE67272" w14:textId="77777777" w:rsidTr="009B044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0721524A" w14:textId="77777777" w:rsidR="009B0448" w:rsidRPr="009B0448" w:rsidRDefault="009B0448">
            <w:pPr>
              <w:spacing w:line="276" w:lineRule="auto"/>
              <w:rPr>
                <w:rFonts w:ascii="Times New Roman" w:eastAsia="Times New Roman" w:hAnsi="Times New Roman" w:cs="Times New Roman"/>
                <w:lang w:val="en-ZA"/>
              </w:rPr>
            </w:pPr>
            <w:r w:rsidRPr="009B0448">
              <w:rPr>
                <w:rFonts w:ascii="Times New Roman" w:eastAsia="Times New Roman" w:hAnsi="Times New Roman" w:cs="Times New Roman"/>
                <w:lang w:val="en-ZA"/>
              </w:rPr>
              <w:t>Total loss of natural capital per year</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45E9DCD"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 </w:t>
            </w:r>
          </w:p>
        </w:tc>
        <w:tc>
          <w:tcPr>
            <w:tcW w:w="14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CD88ECC"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 </w:t>
            </w:r>
          </w:p>
        </w:tc>
        <w:tc>
          <w:tcPr>
            <w:tcW w:w="15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AEB1354"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 </w:t>
            </w:r>
          </w:p>
        </w:tc>
        <w:tc>
          <w:tcPr>
            <w:tcW w:w="19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27517AF3" w14:textId="77777777" w:rsidR="009B0448" w:rsidRPr="009B0448" w:rsidRDefault="009B0448">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€51</w:t>
            </w:r>
            <w:r w:rsidRPr="009B0448">
              <w:rPr>
                <w:rFonts w:ascii="Times New Roman" w:eastAsia="Times New Roman" w:hAnsi="Times New Roman" w:cs="Times New Roman"/>
              </w:rPr>
              <w:t>–</w:t>
            </w:r>
            <w:r w:rsidRPr="009B0448">
              <w:rPr>
                <w:rFonts w:ascii="Times New Roman" w:eastAsia="Times New Roman" w:hAnsi="Times New Roman" w:cs="Times New Roman"/>
                <w:lang w:val="en-ZA"/>
              </w:rPr>
              <w:t>76 million</w:t>
            </w:r>
          </w:p>
        </w:tc>
      </w:tr>
      <w:tr w:rsidR="009B0448" w:rsidRPr="009B0448" w14:paraId="37927664" w14:textId="77777777" w:rsidTr="009B0448">
        <w:trPr>
          <w:trHeight w:val="288"/>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52C18C21" w14:textId="77777777" w:rsidR="009B0448" w:rsidRPr="009B0448" w:rsidRDefault="009B0448">
            <w:pPr>
              <w:spacing w:line="276" w:lineRule="auto"/>
              <w:rPr>
                <w:rFonts w:ascii="Times New Roman" w:eastAsia="Times New Roman" w:hAnsi="Times New Roman" w:cs="Times New Roman"/>
                <w:lang w:val="en-ZA"/>
              </w:rPr>
            </w:pPr>
            <w:r w:rsidRPr="009B0448">
              <w:rPr>
                <w:rFonts w:ascii="Times New Roman" w:eastAsia="Times New Roman" w:hAnsi="Times New Roman" w:cs="Times New Roman"/>
                <w:lang w:val="en-ZA"/>
              </w:rPr>
              <w:t xml:space="preserve">Total economic loss per year </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629AC9F"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 xml:space="preserve">€133 million </w:t>
            </w:r>
          </w:p>
        </w:tc>
        <w:tc>
          <w:tcPr>
            <w:tcW w:w="14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67D03969"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 xml:space="preserve">€0.26 million </w:t>
            </w:r>
          </w:p>
        </w:tc>
        <w:tc>
          <w:tcPr>
            <w:tcW w:w="15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3A374F54"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 xml:space="preserve">€4.5 million </w:t>
            </w:r>
          </w:p>
        </w:tc>
        <w:tc>
          <w:tcPr>
            <w:tcW w:w="19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14:paraId="76EB2FB7" w14:textId="77777777" w:rsidR="009B0448" w:rsidRPr="009B0448" w:rsidRDefault="009B044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ZA"/>
              </w:rPr>
            </w:pPr>
            <w:r w:rsidRPr="009B0448">
              <w:rPr>
                <w:rFonts w:ascii="Times New Roman" w:eastAsia="Times New Roman" w:hAnsi="Times New Roman" w:cs="Times New Roman"/>
                <w:lang w:val="en-ZA"/>
              </w:rPr>
              <w:t>€68</w:t>
            </w:r>
            <w:r w:rsidRPr="009B0448">
              <w:rPr>
                <w:rFonts w:ascii="Times New Roman" w:eastAsia="Times New Roman" w:hAnsi="Times New Roman" w:cs="Times New Roman"/>
              </w:rPr>
              <w:t>–</w:t>
            </w:r>
            <w:r w:rsidRPr="009B0448">
              <w:rPr>
                <w:rFonts w:ascii="Times New Roman" w:eastAsia="Times New Roman" w:hAnsi="Times New Roman" w:cs="Times New Roman"/>
                <w:lang w:val="en-ZA"/>
              </w:rPr>
              <w:t>93 million</w:t>
            </w:r>
          </w:p>
        </w:tc>
      </w:tr>
    </w:tbl>
    <w:p w14:paraId="08D4BE5C"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fldChar w:fldCharType="end"/>
      </w:r>
    </w:p>
    <w:p w14:paraId="649795B4"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86" w:name="_Toc519499950"/>
      <w:r w:rsidRPr="009B0448">
        <w:rPr>
          <w:rFonts w:cs="Times New Roman"/>
          <w:b w:val="0"/>
          <w:sz w:val="22"/>
          <w:szCs w:val="22"/>
        </w:rPr>
        <w:t>Overfishing</w:t>
      </w:r>
      <w:bookmarkEnd w:id="286"/>
    </w:p>
    <w:p w14:paraId="265702C5"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Overfishing refers to extensive fishing beyond considered sustainable levels (FAO, 2010; Nguyen, 2012). Overfishing within inland waters usually occurs for direct consumption or for national economic development, however in most large lakes and deep-sea fisheries, export or foreign vessels drive it. Marine and coastal environments are of ecological and socio-economic importance to African states (Diop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These ecosystems are diverse and provide the continent with valuable goods and services. In South Africa alone the direct contribution of marine and coastal resources to the economy is significant, contributing more than 35% of the gross domestic product (Diop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Local and global demand for fish and rapidly growing populations that depend on freshwater and marine fisheries are the main causes of overfishing in Africa (Arthurton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Diop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w:t>
      </w:r>
    </w:p>
    <w:p w14:paraId="7311F403" w14:textId="77777777" w:rsidR="009B0448" w:rsidRPr="009B0448" w:rsidRDefault="009B0448" w:rsidP="009B0448">
      <w:pPr>
        <w:spacing w:line="276" w:lineRule="auto"/>
        <w:jc w:val="both"/>
        <w:rPr>
          <w:rFonts w:ascii="Times New Roman" w:eastAsia="Times New Roman" w:hAnsi="Times New Roman" w:cs="Times New Roman"/>
        </w:rPr>
      </w:pPr>
    </w:p>
    <w:p w14:paraId="12CB1CFD" w14:textId="456F1499"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As the world’s human population grows, so does the demand for marine food sources and the number of individuals whose livelihoods fully or partly depend on it (Garcia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In North Africa, a </w:t>
      </w:r>
      <w:r w:rsidR="00B22D81">
        <w:rPr>
          <w:rFonts w:ascii="Times New Roman" w:eastAsia="Times New Roman" w:hAnsi="Times New Roman" w:cs="Times New Roman"/>
        </w:rPr>
        <w:t>subregion</w:t>
      </w:r>
      <w:r w:rsidRPr="009B0448">
        <w:rPr>
          <w:rFonts w:ascii="Times New Roman" w:eastAsia="Times New Roman" w:hAnsi="Times New Roman" w:cs="Times New Roman"/>
        </w:rPr>
        <w:t xml:space="preserve"> with very limited freshwater resources, overfishing is has impacted aquatic resources including 5 species of freshwater fish and 23 aquatic plants, 6 of which are listed as threatened under the IUCN Redlist (IUCN, 2013). In East Africa, many villages around the shores have free access to coastal waters and with this easy accessibility, overfishing tends to occur to support increasing demands on resources to support poor families (McClanaban, 1987). Majority of fish stocks in West African waters is depleting due to overfishing and other drivers (Nguyen, 2012; Box 4.6). Increased demand of fish from foreign nations such as European Union, Japan, Russia and China and government’s greed and corruption in West Africa have the greatest influence in overfishing (Nguyen, 2012). The overfishing leads to the conflicts between the artisanal and commercial fisheries due to the competition for the same fishing grounds (physical conflicts) and/or common resources (technological conflicts). These conflicts affect the ecosystems and the well-being of the fishermen (Djama, 1992; Bennett, 1998). Institute for security studies (2007) reported that many African countries will have collapsed fisheries and degraded marine environments in the near future. This is not too far from the truth since the British Marine Resources Group reported in 2005 that South Africa harvested about 320,000 tons of Patagonian Toothfish within 2 years while the Total Allowable Catch set by the government was 450 tons/year. It is thus clear to see that fisheries are being overexploited. </w:t>
      </w:r>
    </w:p>
    <w:p w14:paraId="1523E02B" w14:textId="77777777" w:rsidR="009B0448" w:rsidRPr="009B0448" w:rsidRDefault="009B0448" w:rsidP="009B0448">
      <w:pPr>
        <w:spacing w:line="276" w:lineRule="auto"/>
        <w:jc w:val="both"/>
        <w:rPr>
          <w:rFonts w:ascii="Times New Roman" w:eastAsia="Times New Roman" w:hAnsi="Times New Roman" w:cs="Times New Roman"/>
        </w:rPr>
      </w:pPr>
    </w:p>
    <w:p w14:paraId="1C5B8553" w14:textId="796F4582" w:rsidR="009B0448" w:rsidRPr="009B0448" w:rsidRDefault="009B0448" w:rsidP="009B0448">
      <w:pPr>
        <w:spacing w:line="276" w:lineRule="auto"/>
        <w:rPr>
          <w:rFonts w:ascii="Times New Roman" w:hAnsi="Times New Roman" w:cs="Times New Roman"/>
          <w:b/>
        </w:rPr>
      </w:pPr>
      <w:r w:rsidRPr="009B0448">
        <w:rPr>
          <w:rFonts w:ascii="Times New Roman" w:hAnsi="Times New Roman" w:cs="Times New Roman"/>
          <w:noProof/>
          <w:lang w:eastAsia="en-GB"/>
        </w:rPr>
        <mc:AlternateContent>
          <mc:Choice Requires="wps">
            <w:drawing>
              <wp:inline distT="0" distB="0" distL="0" distR="0" wp14:anchorId="7AAC848F" wp14:editId="257F0D2E">
                <wp:extent cx="5756910" cy="2651760"/>
                <wp:effectExtent l="0" t="0" r="15240" b="15240"/>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6910" cy="2651760"/>
                        </a:xfrm>
                        <a:prstGeom prst="rect">
                          <a:avLst/>
                        </a:prstGeom>
                        <a:solidFill>
                          <a:schemeClr val="bg1">
                            <a:lumMod val="95000"/>
                            <a:lumOff val="0"/>
                          </a:schemeClr>
                        </a:solidFill>
                        <a:ln w="9525">
                          <a:solidFill>
                            <a:srgbClr val="000000"/>
                          </a:solidFill>
                          <a:miter lim="800000"/>
                          <a:headEnd/>
                          <a:tailEnd/>
                        </a:ln>
                      </wps:spPr>
                      <wps:txbx>
                        <w:txbxContent>
                          <w:p w14:paraId="04C88038" w14:textId="77777777" w:rsidR="00BC0CFA" w:rsidRDefault="00BC0CFA" w:rsidP="009B0448">
                            <w:pPr>
                              <w:spacing w:after="100" w:afterAutospacing="1"/>
                              <w:jc w:val="both"/>
                              <w:rPr>
                                <w:rFonts w:ascii="Times New Roman" w:eastAsia="Times New Roman" w:hAnsi="Times New Roman" w:cs="Times New Roman"/>
                                <w:b/>
                              </w:rPr>
                            </w:pPr>
                            <w:r>
                              <w:rPr>
                                <w:rFonts w:ascii="Times New Roman" w:eastAsia="Times New Roman" w:hAnsi="Times New Roman" w:cs="Times New Roman"/>
                                <w:b/>
                              </w:rPr>
                              <w:t>Box 4.6: Case study: Overfishing in Senegal</w:t>
                            </w:r>
                          </w:p>
                          <w:p w14:paraId="1AEB8923" w14:textId="77777777" w:rsidR="00BC0CFA" w:rsidRDefault="00BC0CFA" w:rsidP="00F10670">
                            <w:pPr>
                              <w:spacing w:after="100" w:afterAutospacing="1" w:line="276" w:lineRule="auto"/>
                              <w:jc w:val="both"/>
                            </w:pPr>
                            <w:r>
                              <w:rPr>
                                <w:rFonts w:ascii="Times New Roman" w:eastAsia="Times New Roman" w:hAnsi="Times New Roman" w:cs="Times New Roman"/>
                              </w:rPr>
                              <w:t xml:space="preserve">In Senegal fish is the main source of protein (UNEP, 2002; Iossa </w:t>
                            </w:r>
                            <w:r>
                              <w:rPr>
                                <w:rFonts w:ascii="Times New Roman" w:eastAsia="Times New Roman" w:hAnsi="Times New Roman" w:cs="Times New Roman"/>
                                <w:i/>
                              </w:rPr>
                              <w:t>et al.</w:t>
                            </w:r>
                            <w:r>
                              <w:rPr>
                                <w:rFonts w:ascii="Times New Roman" w:eastAsia="Times New Roman" w:hAnsi="Times New Roman" w:cs="Times New Roman"/>
                              </w:rPr>
                              <w:t xml:space="preserve">, 2008; Nguyen, 2012) and accounts for about 75% of all protein consumption (UNEP, 2002; Nguyen, 2012). Consumption is by both the rural and urban populations because fish is affordable compared to mutton and other protein sources (Iossa </w:t>
                            </w:r>
                            <w:r>
                              <w:rPr>
                                <w:rFonts w:ascii="Times New Roman" w:eastAsia="Times New Roman" w:hAnsi="Times New Roman" w:cs="Times New Roman"/>
                                <w:i/>
                              </w:rPr>
                              <w:t>et al.</w:t>
                            </w:r>
                            <w:r>
                              <w:rPr>
                                <w:rFonts w:ascii="Times New Roman" w:eastAsia="Times New Roman" w:hAnsi="Times New Roman" w:cs="Times New Roman"/>
                              </w:rPr>
                              <w:t xml:space="preserve">, 2008). Most people in Senegal live below the poverty line (Iossa </w:t>
                            </w:r>
                            <w:r>
                              <w:rPr>
                                <w:rFonts w:ascii="Times New Roman" w:eastAsia="Times New Roman" w:hAnsi="Times New Roman" w:cs="Times New Roman"/>
                                <w:i/>
                              </w:rPr>
                              <w:t>et al.</w:t>
                            </w:r>
                            <w:r>
                              <w:rPr>
                                <w:rFonts w:ascii="Times New Roman" w:eastAsia="Times New Roman" w:hAnsi="Times New Roman" w:cs="Times New Roman"/>
                              </w:rPr>
                              <w:t xml:space="preserve">, 2008) and therefore fish is essential for people in this country. Fisheries sector generated about 600,000 direct and indirect jobs in Senegal (UNEP, 2002), for this reason fishing is important for livelihoods. Overfishing which leads to depletion of marine ecosystems is a threat to, not only biodiversity of marine ecosystems, but also to Senegalese people who depend on these ecosystems for nature’s contributions to people (Iossa </w:t>
                            </w:r>
                            <w:r>
                              <w:rPr>
                                <w:rFonts w:ascii="Times New Roman" w:eastAsia="Times New Roman" w:hAnsi="Times New Roman" w:cs="Times New Roman"/>
                                <w:i/>
                              </w:rPr>
                              <w:t>et al.</w:t>
                            </w:r>
                            <w:r>
                              <w:rPr>
                                <w:rFonts w:ascii="Times New Roman" w:eastAsia="Times New Roman" w:hAnsi="Times New Roman" w:cs="Times New Roman"/>
                              </w:rPr>
                              <w:t>, 2008; Nguyen, 2012). Most of the fish catches are used for direct human consumption (Nguyen, 2012). Eighty percent of fish exports that originate from Africa are supplied to the European market, and 66% of the total exports from Senegal are supplied to Europe (Nguyen, 2012).</w:t>
                            </w:r>
                          </w:p>
                        </w:txbxContent>
                      </wps:txbx>
                      <wps:bodyPr rot="0" vert="horz" wrap="square" lIns="91440" tIns="45720" rIns="91440" bIns="45720" anchor="t" anchorCtr="0" upright="1">
                        <a:noAutofit/>
                      </wps:bodyPr>
                    </wps:wsp>
                  </a:graphicData>
                </a:graphic>
              </wp:inline>
            </w:drawing>
          </mc:Choice>
          <mc:Fallback>
            <w:pict>
              <v:shape w14:anchorId="7AAC848F" id="Text Box 196" o:spid="_x0000_s1034" type="#_x0000_t202" style="width:453.3pt;height:20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" fillcolor="#f2f2f2 [3052]">
                <v:textbox>
                  <w:txbxContent>
                    <w:p w14:paraId="04C88038" w14:textId="77777777" w:rsidR="00BC0CFA" w:rsidRDefault="00BC0CFA" w:rsidP="009B0448">
                      <w:pPr>
                        <w:spacing w:after="100" w:afterAutospacing="1"/>
                        <w:jc w:val="both"/>
                        <w:rPr>
                          <w:rFonts w:ascii="Times New Roman" w:eastAsia="Times New Roman" w:hAnsi="Times New Roman" w:cs="Times New Roman"/>
                          <w:b/>
                        </w:rPr>
                      </w:pPr>
                      <w:r>
                        <w:rPr>
                          <w:rFonts w:ascii="Times New Roman" w:eastAsia="Times New Roman" w:hAnsi="Times New Roman" w:cs="Times New Roman"/>
                          <w:b/>
                        </w:rPr>
                        <w:t>Box 4.6: Case study: Overfishing in Senegal</w:t>
                      </w:r>
                    </w:p>
                    <w:p w14:paraId="1AEB8923" w14:textId="77777777" w:rsidR="00BC0CFA" w:rsidRDefault="00BC0CFA" w:rsidP="00F10670">
                      <w:pPr>
                        <w:spacing w:after="100" w:afterAutospacing="1" w:line="276" w:lineRule="auto"/>
                        <w:jc w:val="both"/>
                      </w:pPr>
                      <w:r>
                        <w:rPr>
                          <w:rFonts w:ascii="Times New Roman" w:eastAsia="Times New Roman" w:hAnsi="Times New Roman" w:cs="Times New Roman"/>
                        </w:rPr>
                        <w:t xml:space="preserve">In Senegal fish is the main source of protein (UNEP, 2002; Iossa </w:t>
                      </w:r>
                      <w:r>
                        <w:rPr>
                          <w:rFonts w:ascii="Times New Roman" w:eastAsia="Times New Roman" w:hAnsi="Times New Roman" w:cs="Times New Roman"/>
                          <w:i/>
                        </w:rPr>
                        <w:t>et al.</w:t>
                      </w:r>
                      <w:r>
                        <w:rPr>
                          <w:rFonts w:ascii="Times New Roman" w:eastAsia="Times New Roman" w:hAnsi="Times New Roman" w:cs="Times New Roman"/>
                        </w:rPr>
                        <w:t xml:space="preserve">, 2008; Nguyen, 2012) and accounts for about 75% of all protein consumption (UNEP, 2002; Nguyen, 2012). Consumption is by both the rural and urban populations because fish is affordable compared to mutton and other protein sources (Iossa </w:t>
                      </w:r>
                      <w:r>
                        <w:rPr>
                          <w:rFonts w:ascii="Times New Roman" w:eastAsia="Times New Roman" w:hAnsi="Times New Roman" w:cs="Times New Roman"/>
                          <w:i/>
                        </w:rPr>
                        <w:t>et al.</w:t>
                      </w:r>
                      <w:r>
                        <w:rPr>
                          <w:rFonts w:ascii="Times New Roman" w:eastAsia="Times New Roman" w:hAnsi="Times New Roman" w:cs="Times New Roman"/>
                        </w:rPr>
                        <w:t xml:space="preserve">, 2008). Most people in Senegal live below the poverty line (Iossa </w:t>
                      </w:r>
                      <w:r>
                        <w:rPr>
                          <w:rFonts w:ascii="Times New Roman" w:eastAsia="Times New Roman" w:hAnsi="Times New Roman" w:cs="Times New Roman"/>
                          <w:i/>
                        </w:rPr>
                        <w:t>et al.</w:t>
                      </w:r>
                      <w:r>
                        <w:rPr>
                          <w:rFonts w:ascii="Times New Roman" w:eastAsia="Times New Roman" w:hAnsi="Times New Roman" w:cs="Times New Roman"/>
                        </w:rPr>
                        <w:t xml:space="preserve">, 2008) and therefore fish is essential for people in this country. Fisheries sector generated about 600,000 direct and indirect jobs in Senegal (UNEP, 2002), for this reason fishing is important for livelihoods. Overfishing which leads to depletion of marine ecosystems is a threat to, not only biodiversity of marine ecosystems, but also to Senegalese people who depend on these ecosystems for nature’s contributions to people (Iossa </w:t>
                      </w:r>
                      <w:r>
                        <w:rPr>
                          <w:rFonts w:ascii="Times New Roman" w:eastAsia="Times New Roman" w:hAnsi="Times New Roman" w:cs="Times New Roman"/>
                          <w:i/>
                        </w:rPr>
                        <w:t>et al.</w:t>
                      </w:r>
                      <w:r>
                        <w:rPr>
                          <w:rFonts w:ascii="Times New Roman" w:eastAsia="Times New Roman" w:hAnsi="Times New Roman" w:cs="Times New Roman"/>
                        </w:rPr>
                        <w:t>, 2008; Nguyen, 2012). Most of the fish catches are used for direct human consumption (Nguyen, 2012). Eighty percent of fish exports that originate from Africa are supplied to the European market, and 66% of the total exports from Senegal are supplied to Europe (Nguyen, 2012).</w:t>
                      </w:r>
                    </w:p>
                  </w:txbxContent>
                </v:textbox>
                <w10:anchorlock/>
              </v:shape>
            </w:pict>
          </mc:Fallback>
        </mc:AlternateContent>
      </w:r>
      <w:bookmarkStart w:id="287" w:name="_Toc503032784"/>
    </w:p>
    <w:p w14:paraId="7E16815D"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88" w:name="_Toc519499951"/>
      <w:r w:rsidRPr="009B0448">
        <w:rPr>
          <w:rFonts w:cs="Times New Roman"/>
          <w:sz w:val="22"/>
          <w:szCs w:val="22"/>
        </w:rPr>
        <w:t>Invasive Alien Species</w:t>
      </w:r>
      <w:bookmarkEnd w:id="287"/>
      <w:bookmarkEnd w:id="288"/>
    </w:p>
    <w:p w14:paraId="406DC02D" w14:textId="77777777" w:rsidR="009B0448" w:rsidRPr="009B0448" w:rsidRDefault="009B0448" w:rsidP="009B0448">
      <w:pPr>
        <w:spacing w:line="276" w:lineRule="auto"/>
        <w:jc w:val="both"/>
        <w:rPr>
          <w:rFonts w:ascii="Times New Roman" w:eastAsia="EB Garamond" w:hAnsi="Times New Roman" w:cs="Times New Roman"/>
        </w:rPr>
      </w:pPr>
      <w:r w:rsidRPr="009B0448">
        <w:rPr>
          <w:rFonts w:ascii="Times New Roman" w:eastAsia="EB Garamond" w:hAnsi="Times New Roman" w:cs="Times New Roman"/>
        </w:rPr>
        <w:t>Invasive alien species are considered one of the most serious threats to the conservation of biodiversity and ecosystem services in Africa and, according to IPBES glossary, are defined as animals, plants or other organisms introduced directly or indirectly by people into places out of their natural range of distribution, where they have become established and dispersed, and are generating a negative impact on local ecosystems and species.</w:t>
      </w:r>
    </w:p>
    <w:p w14:paraId="4D724DB2"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89" w:name="_Toc519499952"/>
      <w:r w:rsidRPr="009B0448">
        <w:rPr>
          <w:rFonts w:cs="Times New Roman"/>
          <w:b w:val="0"/>
          <w:sz w:val="22"/>
          <w:szCs w:val="22"/>
        </w:rPr>
        <w:t>Treaties and conventions for a regional collaboration to deal with invasive alien species in Africa</w:t>
      </w:r>
      <w:bookmarkEnd w:id="289"/>
    </w:p>
    <w:p w14:paraId="351B8D37" w14:textId="35FA933E" w:rsidR="009B0448" w:rsidRPr="009B0448" w:rsidRDefault="00C813C5" w:rsidP="009B0448">
      <w:pPr>
        <w:spacing w:line="276" w:lineRule="auto"/>
        <w:jc w:val="both"/>
        <w:rPr>
          <w:rFonts w:ascii="Times New Roman" w:eastAsia="Times New Roman" w:hAnsi="Times New Roman" w:cs="Times New Roman"/>
        </w:rPr>
      </w:pPr>
      <w:r>
        <w:rPr>
          <w:rFonts w:ascii="Times New Roman" w:eastAsia="Times New Roman" w:hAnsi="Times New Roman" w:cs="Times New Roman"/>
        </w:rPr>
        <w:t>Africa has recognis</w:t>
      </w:r>
      <w:r w:rsidR="009B0448" w:rsidRPr="009B0448">
        <w:rPr>
          <w:rFonts w:ascii="Times New Roman" w:eastAsia="Times New Roman" w:hAnsi="Times New Roman" w:cs="Times New Roman"/>
        </w:rPr>
        <w:t xml:space="preserve">ed the importance of controlling the introduction of damaging invasive alien species through several agreements and protocols. </w:t>
      </w:r>
      <w:r w:rsidR="009B0448" w:rsidRPr="009B0448">
        <w:rPr>
          <w:rFonts w:ascii="Times New Roman" w:eastAsia="EB Garamond" w:hAnsi="Times New Roman" w:cs="Times New Roman"/>
        </w:rPr>
        <w:t>The African Union’s New Partnership for Africa’s Development, in its Framework Action Plan for the Environment, identifies Invasive Alien Species (IAS) as one of its core program areas. In addition, t</w:t>
      </w:r>
      <w:r w:rsidR="009B0448" w:rsidRPr="009B0448">
        <w:rPr>
          <w:rFonts w:ascii="Times New Roman" w:eastAsia="Times New Roman" w:hAnsi="Times New Roman" w:cs="Times New Roman"/>
        </w:rPr>
        <w:t xml:space="preserve">he African Convention on the Conservation of Nature and Natural Resources, adopted in 1968, required Parties to prohibit the entry of “zoological or biological specimens, whether indigenous or imported, wild or domestic” that may cause harm to protected areas. Moreover, the Protocol concerning Protected Areas and Wild Fauna and Flora in the East Africa Region (UNEP, 1985) called for the adoption of appropriate measures to prohibit the intentional or accidental introduction of IAS, which may cause significant changes to the </w:t>
      </w:r>
      <w:r w:rsidR="00B22D81">
        <w:rPr>
          <w:rFonts w:ascii="Times New Roman" w:eastAsia="Times New Roman" w:hAnsi="Times New Roman" w:cs="Times New Roman"/>
        </w:rPr>
        <w:t>subregion</w:t>
      </w:r>
      <w:r w:rsidR="009B0448" w:rsidRPr="009B0448">
        <w:rPr>
          <w:rFonts w:ascii="Times New Roman" w:eastAsia="Times New Roman" w:hAnsi="Times New Roman" w:cs="Times New Roman"/>
        </w:rPr>
        <w:t xml:space="preserve">. The World Trade Organization Sanitary and Phytosanitary Agreement empowers individual country’s plant protection </w:t>
      </w:r>
      <w:r w:rsidR="00150166">
        <w:rPr>
          <w:rFonts w:ascii="Times New Roman" w:eastAsia="Times New Roman" w:hAnsi="Times New Roman" w:cs="Times New Roman"/>
        </w:rPr>
        <w:t>organis</w:t>
      </w:r>
      <w:r w:rsidR="009B0448" w:rsidRPr="009B0448">
        <w:rPr>
          <w:rFonts w:ascii="Times New Roman" w:eastAsia="Times New Roman" w:hAnsi="Times New Roman" w:cs="Times New Roman"/>
        </w:rPr>
        <w:t xml:space="preserve">ations to draw up measures that are strong enough to prevent the introduction of pests that may arise through trade. </w:t>
      </w:r>
    </w:p>
    <w:p w14:paraId="7D0551DD" w14:textId="77777777" w:rsidR="009B0448" w:rsidRPr="009B0448" w:rsidRDefault="009B0448" w:rsidP="009B0448">
      <w:pPr>
        <w:spacing w:line="276" w:lineRule="auto"/>
        <w:jc w:val="both"/>
        <w:rPr>
          <w:rFonts w:ascii="Times New Roman" w:eastAsia="Times New Roman" w:hAnsi="Times New Roman" w:cs="Times New Roman"/>
        </w:rPr>
      </w:pPr>
    </w:p>
    <w:p w14:paraId="50229826" w14:textId="664EA0E0"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Other protocols developed by </w:t>
      </w:r>
      <w:r w:rsidR="00B22D81">
        <w:rPr>
          <w:rFonts w:ascii="Times New Roman" w:eastAsia="Times New Roman" w:hAnsi="Times New Roman" w:cs="Times New Roman"/>
        </w:rPr>
        <w:t>subregion</w:t>
      </w:r>
      <w:r w:rsidRPr="009B0448">
        <w:rPr>
          <w:rFonts w:ascii="Times New Roman" w:eastAsia="Times New Roman" w:hAnsi="Times New Roman" w:cs="Times New Roman"/>
        </w:rPr>
        <w:t xml:space="preserve">al bodies also address some aspects of controlling IAS include the Treaty for the Establishment of the Eastern African Community, Treaty of the Southern African Development Community, and the Treaty establishing the Common Market for Eastern and Southern Africa. The African Convention on the Conservation of Nature and Natural Resources required parties to strictly control the intentional and accidental introduction of invasive alien species, including modified organisms and to endeavour to eradicate those already introduced where their consequences are detrimental to native species or to the environment in general. The Forest Invasive Species Network for Africa was created in 2004 to coordinate the collation and dissemination of information relating to forest invasive species in sub-Saharan Africa for sustainable forest management and conservation of biodiversity. Economic tools such as taxes, subsidies, permits are not well suited to deal with the problems caused by invasions. Molecular biology tools and global positioning system-enabled tools are utilized in diagnostics and surveillance. Conflicts of interest may appear about IAS at local scales. While some authors consider that claims about the benefits of invasive alien species are unsubstantiated (Witt, 2010), some studies reveal that benefits to people may also be possible (see case study below). Scenarios on the extension of invasive alien species remain scarce in Africa. Maundu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suggest that nearly 50% of Kenya’s surface area has a 30% or more probability of being invaded by </w:t>
      </w:r>
      <w:r w:rsidRPr="009B0448">
        <w:rPr>
          <w:rFonts w:ascii="Times New Roman" w:eastAsia="Times New Roman" w:hAnsi="Times New Roman" w:cs="Times New Roman"/>
          <w:i/>
        </w:rPr>
        <w:t>P. juliflora</w:t>
      </w:r>
      <w:r w:rsidRPr="009B0448">
        <w:rPr>
          <w:rFonts w:ascii="Times New Roman" w:eastAsia="Times New Roman" w:hAnsi="Times New Roman" w:cs="Times New Roman"/>
        </w:rPr>
        <w:t>.</w:t>
      </w:r>
    </w:p>
    <w:p w14:paraId="5A33D63A" w14:textId="37578372"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47665C88" wp14:editId="5B751FF3">
                <wp:extent cx="5701030" cy="3238500"/>
                <wp:effectExtent l="9525" t="9525" r="13970" b="9525"/>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1030" cy="3238500"/>
                        </a:xfrm>
                        <a:prstGeom prst="rect">
                          <a:avLst/>
                        </a:prstGeom>
                        <a:solidFill>
                          <a:schemeClr val="bg1">
                            <a:lumMod val="95000"/>
                            <a:lumOff val="0"/>
                          </a:schemeClr>
                        </a:solidFill>
                        <a:ln w="9525">
                          <a:solidFill>
                            <a:srgbClr val="000000"/>
                          </a:solidFill>
                          <a:miter lim="800000"/>
                          <a:headEnd/>
                          <a:tailEnd/>
                        </a:ln>
                      </wps:spPr>
                      <wps:txbx>
                        <w:txbxContent>
                          <w:p w14:paraId="59A9B82F" w14:textId="77777777" w:rsidR="00BC0CFA" w:rsidRDefault="00BC0CFA" w:rsidP="009B0448">
                            <w:pPr>
                              <w:spacing w:after="100" w:afterAutospacing="1"/>
                              <w:jc w:val="both"/>
                              <w:rPr>
                                <w:rFonts w:ascii="Times New Roman" w:eastAsia="Times New Roman" w:hAnsi="Times New Roman" w:cs="Times New Roman"/>
                                <w:b/>
                                <w:shd w:val="clear" w:color="auto" w:fill="C2D69B"/>
                              </w:rPr>
                            </w:pPr>
                            <w:r>
                              <w:rPr>
                                <w:rFonts w:ascii="Times New Roman" w:eastAsia="Times New Roman" w:hAnsi="Times New Roman" w:cs="Times New Roman"/>
                                <w:b/>
                              </w:rPr>
                              <w:t>Box 4.7: Case study: conflicts of interest on plant Invasive Alien Species (IAS)</w:t>
                            </w:r>
                          </w:p>
                          <w:p w14:paraId="5F0BDAF5" w14:textId="77777777" w:rsidR="00BC0CFA" w:rsidRDefault="00BC0CFA" w:rsidP="009B0448">
                            <w:pPr>
                              <w:spacing w:line="276" w:lineRule="auto"/>
                            </w:pPr>
                            <w:r>
                              <w:rPr>
                                <w:rFonts w:ascii="Times New Roman" w:eastAsia="EB Garamond" w:hAnsi="Times New Roman" w:cs="Times New Roman"/>
                              </w:rPr>
                              <w:t>Invasive alien species</w:t>
                            </w:r>
                            <w:r>
                              <w:rPr>
                                <w:rFonts w:ascii="Times New Roman" w:eastAsia="Times New Roman" w:hAnsi="Times New Roman" w:cs="Times New Roman"/>
                              </w:rPr>
                              <w:t xml:space="preserve"> may provide benefits to people through both commercial and non-commercial uses, thus causing policy dilemmas. Local populations are more like to come to terms with invasive alien species especially when they benefit from them. This may generate conflicts of interest between local communities and governments. Examples include the use of prickly pear (</w:t>
                            </w:r>
                            <w:r>
                              <w:rPr>
                                <w:rFonts w:ascii="Times New Roman" w:eastAsia="Times New Roman" w:hAnsi="Times New Roman" w:cs="Times New Roman"/>
                                <w:i/>
                              </w:rPr>
                              <w:t>Opuntia ficus-indica</w:t>
                            </w:r>
                            <w:r>
                              <w:rPr>
                                <w:rFonts w:ascii="Times New Roman" w:eastAsia="Times New Roman" w:hAnsi="Times New Roman" w:cs="Times New Roman"/>
                              </w:rPr>
                              <w:t xml:space="preserve">) in South Africa (Shackleton </w:t>
                            </w:r>
                            <w:r>
                              <w:rPr>
                                <w:rFonts w:ascii="Times New Roman" w:eastAsia="Times New Roman" w:hAnsi="Times New Roman" w:cs="Times New Roman"/>
                                <w:i/>
                              </w:rPr>
                              <w:t>et al.</w:t>
                            </w:r>
                            <w:r>
                              <w:rPr>
                                <w:rFonts w:ascii="Times New Roman" w:eastAsia="Times New Roman" w:hAnsi="Times New Roman" w:cs="Times New Roman"/>
                              </w:rPr>
                              <w:t>, 2011), Black Wattle (</w:t>
                            </w:r>
                            <w:r>
                              <w:rPr>
                                <w:rFonts w:ascii="Times New Roman" w:eastAsia="Times New Roman" w:hAnsi="Times New Roman" w:cs="Times New Roman"/>
                                <w:i/>
                              </w:rPr>
                              <w:t>Acacia mearnsii</w:t>
                            </w:r>
                            <w:r>
                              <w:rPr>
                                <w:rFonts w:ascii="Times New Roman" w:eastAsia="Times New Roman" w:hAnsi="Times New Roman" w:cs="Times New Roman"/>
                              </w:rPr>
                              <w:t xml:space="preserve">) in South Africa (Shackleton, 2007; Aitken </w:t>
                            </w:r>
                            <w:r>
                              <w:rPr>
                                <w:rFonts w:ascii="Times New Roman" w:eastAsia="Times New Roman" w:hAnsi="Times New Roman" w:cs="Times New Roman"/>
                                <w:i/>
                              </w:rPr>
                              <w:t>et al.</w:t>
                            </w:r>
                            <w:r>
                              <w:rPr>
                                <w:rFonts w:ascii="Times New Roman" w:eastAsia="Times New Roman" w:hAnsi="Times New Roman" w:cs="Times New Roman"/>
                              </w:rPr>
                              <w:t>, 2009), Mesquito (</w:t>
                            </w:r>
                            <w:r>
                              <w:rPr>
                                <w:rFonts w:ascii="Times New Roman" w:eastAsia="Times New Roman" w:hAnsi="Times New Roman" w:cs="Times New Roman"/>
                                <w:i/>
                              </w:rPr>
                              <w:t>Prosopis juliflora</w:t>
                            </w:r>
                            <w:r>
                              <w:rPr>
                                <w:rFonts w:ascii="Times New Roman" w:eastAsia="Times New Roman" w:hAnsi="Times New Roman" w:cs="Times New Roman"/>
                              </w:rPr>
                              <w:t xml:space="preserve">) in Ethiopia (Mwangi </w:t>
                            </w:r>
                            <w:r>
                              <w:rPr>
                                <w:rFonts w:ascii="Times New Roman" w:eastAsia="Times New Roman" w:hAnsi="Times New Roman" w:cs="Times New Roman"/>
                                <w:i/>
                              </w:rPr>
                              <w:t>et al</w:t>
                            </w:r>
                            <w:r>
                              <w:rPr>
                                <w:rFonts w:ascii="Times New Roman" w:eastAsia="Times New Roman" w:hAnsi="Times New Roman" w:cs="Times New Roman"/>
                              </w:rPr>
                              <w:t xml:space="preserve">., 2005), </w:t>
                            </w:r>
                            <w:r>
                              <w:rPr>
                                <w:rFonts w:ascii="Times New Roman" w:eastAsia="Times New Roman" w:hAnsi="Times New Roman" w:cs="Times New Roman"/>
                                <w:i/>
                              </w:rPr>
                              <w:t>Acacia mearnsii</w:t>
                            </w:r>
                            <w:r>
                              <w:rPr>
                                <w:rFonts w:ascii="Times New Roman" w:eastAsia="Times New Roman" w:hAnsi="Times New Roman" w:cs="Times New Roman"/>
                              </w:rPr>
                              <w:t xml:space="preserve"> on Reunion Island (Tassin </w:t>
                            </w:r>
                            <w:r>
                              <w:rPr>
                                <w:rFonts w:ascii="Times New Roman" w:eastAsia="Times New Roman" w:hAnsi="Times New Roman" w:cs="Times New Roman"/>
                                <w:i/>
                              </w:rPr>
                              <w:t>et al.</w:t>
                            </w:r>
                            <w:r>
                              <w:rPr>
                                <w:rFonts w:ascii="Times New Roman" w:eastAsia="Times New Roman" w:hAnsi="Times New Roman" w:cs="Times New Roman"/>
                              </w:rPr>
                              <w:t xml:space="preserve">, 2012) and many species in Madagascar which are used as medicinal plants (Kull </w:t>
                            </w:r>
                            <w:r>
                              <w:rPr>
                                <w:rFonts w:ascii="Times New Roman" w:eastAsia="Times New Roman" w:hAnsi="Times New Roman" w:cs="Times New Roman"/>
                                <w:i/>
                              </w:rPr>
                              <w:t>et al.</w:t>
                            </w:r>
                            <w:r>
                              <w:rPr>
                                <w:rFonts w:ascii="Times New Roman" w:eastAsia="Times New Roman" w:hAnsi="Times New Roman" w:cs="Times New Roman"/>
                              </w:rPr>
                              <w:t>, 2011). Malagasy people have rapidly developed a new local knowledge on the medicinal uses of invasive plants. However, conflicts of interest evolve, and the balance between benefits and loss can change. In Lake Baringo, Kenya, local people have recently come to consider Mesquito beneficial for production of charcoal. Conversely, on the Highlands of Madagascar, Mimosa (</w:t>
                            </w:r>
                            <w:r>
                              <w:rPr>
                                <w:rFonts w:ascii="Times New Roman" w:eastAsia="Times New Roman" w:hAnsi="Times New Roman" w:cs="Times New Roman"/>
                                <w:i/>
                              </w:rPr>
                              <w:t>Acacia dealbata</w:t>
                            </w:r>
                            <w:r>
                              <w:rPr>
                                <w:rFonts w:ascii="Times New Roman" w:eastAsia="Times New Roman" w:hAnsi="Times New Roman" w:cs="Times New Roman"/>
                              </w:rPr>
                              <w:t xml:space="preserve">) is still considered by the rural populations as beneficial (Kull </w:t>
                            </w:r>
                            <w:r>
                              <w:rPr>
                                <w:rFonts w:ascii="Times New Roman" w:eastAsia="Times New Roman" w:hAnsi="Times New Roman" w:cs="Times New Roman"/>
                                <w:i/>
                              </w:rPr>
                              <w:t>et al.</w:t>
                            </w:r>
                            <w:r>
                              <w:rPr>
                                <w:rFonts w:ascii="Times New Roman" w:eastAsia="Times New Roman" w:hAnsi="Times New Roman" w:cs="Times New Roman"/>
                              </w:rPr>
                              <w:t>, 2007). The use of IAS may represent an efficient control means, but such an option seems difficult to legitimate in the absence of clear national policies and strategies in the management of IAS (Tessema, 2012).</w:t>
                            </w:r>
                          </w:p>
                        </w:txbxContent>
                      </wps:txbx>
                      <wps:bodyPr rot="0" vert="horz" wrap="square" lIns="91440" tIns="45720" rIns="91440" bIns="45720" anchor="t" anchorCtr="0" upright="1">
                        <a:noAutofit/>
                      </wps:bodyPr>
                    </wps:wsp>
                  </a:graphicData>
                </a:graphic>
              </wp:inline>
            </w:drawing>
          </mc:Choice>
          <mc:Fallback>
            <w:pict>
              <v:shape w14:anchorId="47665C88" id="Text Box 195" o:spid="_x0000_s1035" type="#_x0000_t202" style="width:448.9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" fillcolor="#f2f2f2 [3052]">
                <v:textbox>
                  <w:txbxContent>
                    <w:p w14:paraId="59A9B82F" w14:textId="77777777" w:rsidR="00BC0CFA" w:rsidRDefault="00BC0CFA" w:rsidP="009B0448">
                      <w:pPr>
                        <w:spacing w:after="100" w:afterAutospacing="1"/>
                        <w:jc w:val="both"/>
                        <w:rPr>
                          <w:rFonts w:ascii="Times New Roman" w:eastAsia="Times New Roman" w:hAnsi="Times New Roman" w:cs="Times New Roman"/>
                          <w:b/>
                          <w:shd w:val="clear" w:color="auto" w:fill="C2D69B"/>
                        </w:rPr>
                      </w:pPr>
                      <w:r>
                        <w:rPr>
                          <w:rFonts w:ascii="Times New Roman" w:eastAsia="Times New Roman" w:hAnsi="Times New Roman" w:cs="Times New Roman"/>
                          <w:b/>
                        </w:rPr>
                        <w:t>Box 4.7: Case study: conflicts of interest on plant Invasive Alien Species (IAS)</w:t>
                      </w:r>
                    </w:p>
                    <w:p w14:paraId="5F0BDAF5" w14:textId="77777777" w:rsidR="00BC0CFA" w:rsidRDefault="00BC0CFA" w:rsidP="009B0448">
                      <w:pPr>
                        <w:spacing w:line="276" w:lineRule="auto"/>
                      </w:pPr>
                      <w:r>
                        <w:rPr>
                          <w:rFonts w:ascii="Times New Roman" w:eastAsia="EB Garamond" w:hAnsi="Times New Roman" w:cs="Times New Roman"/>
                        </w:rPr>
                        <w:t>Invasive alien species</w:t>
                      </w:r>
                      <w:r>
                        <w:rPr>
                          <w:rFonts w:ascii="Times New Roman" w:eastAsia="Times New Roman" w:hAnsi="Times New Roman" w:cs="Times New Roman"/>
                        </w:rPr>
                        <w:t xml:space="preserve"> may provide benefits to people through both commercial and non-commercial uses, thus causing policy dilemmas. Local populations are more like to come to terms with invasive alien species especially when they benefit from them. This may generate conflicts of interest between local communities and governments. Examples include the use of prickly pear (</w:t>
                      </w:r>
                      <w:r>
                        <w:rPr>
                          <w:rFonts w:ascii="Times New Roman" w:eastAsia="Times New Roman" w:hAnsi="Times New Roman" w:cs="Times New Roman"/>
                          <w:i/>
                        </w:rPr>
                        <w:t>Opuntia ficus-indica</w:t>
                      </w:r>
                      <w:r>
                        <w:rPr>
                          <w:rFonts w:ascii="Times New Roman" w:eastAsia="Times New Roman" w:hAnsi="Times New Roman" w:cs="Times New Roman"/>
                        </w:rPr>
                        <w:t xml:space="preserve">) in South Africa (Shackleton </w:t>
                      </w:r>
                      <w:r>
                        <w:rPr>
                          <w:rFonts w:ascii="Times New Roman" w:eastAsia="Times New Roman" w:hAnsi="Times New Roman" w:cs="Times New Roman"/>
                          <w:i/>
                        </w:rPr>
                        <w:t>et al.</w:t>
                      </w:r>
                      <w:r>
                        <w:rPr>
                          <w:rFonts w:ascii="Times New Roman" w:eastAsia="Times New Roman" w:hAnsi="Times New Roman" w:cs="Times New Roman"/>
                        </w:rPr>
                        <w:t>, 2011), Black Wattle (</w:t>
                      </w:r>
                      <w:r>
                        <w:rPr>
                          <w:rFonts w:ascii="Times New Roman" w:eastAsia="Times New Roman" w:hAnsi="Times New Roman" w:cs="Times New Roman"/>
                          <w:i/>
                        </w:rPr>
                        <w:t>Acacia mearnsii</w:t>
                      </w:r>
                      <w:r>
                        <w:rPr>
                          <w:rFonts w:ascii="Times New Roman" w:eastAsia="Times New Roman" w:hAnsi="Times New Roman" w:cs="Times New Roman"/>
                        </w:rPr>
                        <w:t xml:space="preserve">) in South Africa (Shackleton, 2007; Aitken </w:t>
                      </w:r>
                      <w:r>
                        <w:rPr>
                          <w:rFonts w:ascii="Times New Roman" w:eastAsia="Times New Roman" w:hAnsi="Times New Roman" w:cs="Times New Roman"/>
                          <w:i/>
                        </w:rPr>
                        <w:t>et al.</w:t>
                      </w:r>
                      <w:r>
                        <w:rPr>
                          <w:rFonts w:ascii="Times New Roman" w:eastAsia="Times New Roman" w:hAnsi="Times New Roman" w:cs="Times New Roman"/>
                        </w:rPr>
                        <w:t>, 2009), Mesquito (</w:t>
                      </w:r>
                      <w:r>
                        <w:rPr>
                          <w:rFonts w:ascii="Times New Roman" w:eastAsia="Times New Roman" w:hAnsi="Times New Roman" w:cs="Times New Roman"/>
                          <w:i/>
                        </w:rPr>
                        <w:t>Prosopis juliflora</w:t>
                      </w:r>
                      <w:r>
                        <w:rPr>
                          <w:rFonts w:ascii="Times New Roman" w:eastAsia="Times New Roman" w:hAnsi="Times New Roman" w:cs="Times New Roman"/>
                        </w:rPr>
                        <w:t xml:space="preserve">) in Ethiopia (Mwangi </w:t>
                      </w:r>
                      <w:r>
                        <w:rPr>
                          <w:rFonts w:ascii="Times New Roman" w:eastAsia="Times New Roman" w:hAnsi="Times New Roman" w:cs="Times New Roman"/>
                          <w:i/>
                        </w:rPr>
                        <w:t>et al</w:t>
                      </w:r>
                      <w:r>
                        <w:rPr>
                          <w:rFonts w:ascii="Times New Roman" w:eastAsia="Times New Roman" w:hAnsi="Times New Roman" w:cs="Times New Roman"/>
                        </w:rPr>
                        <w:t xml:space="preserve">., 2005), </w:t>
                      </w:r>
                      <w:r>
                        <w:rPr>
                          <w:rFonts w:ascii="Times New Roman" w:eastAsia="Times New Roman" w:hAnsi="Times New Roman" w:cs="Times New Roman"/>
                          <w:i/>
                        </w:rPr>
                        <w:t>Acacia mearnsii</w:t>
                      </w:r>
                      <w:r>
                        <w:rPr>
                          <w:rFonts w:ascii="Times New Roman" w:eastAsia="Times New Roman" w:hAnsi="Times New Roman" w:cs="Times New Roman"/>
                        </w:rPr>
                        <w:t xml:space="preserve"> on Reunion Island (Tassin </w:t>
                      </w:r>
                      <w:r>
                        <w:rPr>
                          <w:rFonts w:ascii="Times New Roman" w:eastAsia="Times New Roman" w:hAnsi="Times New Roman" w:cs="Times New Roman"/>
                          <w:i/>
                        </w:rPr>
                        <w:t>et al.</w:t>
                      </w:r>
                      <w:r>
                        <w:rPr>
                          <w:rFonts w:ascii="Times New Roman" w:eastAsia="Times New Roman" w:hAnsi="Times New Roman" w:cs="Times New Roman"/>
                        </w:rPr>
                        <w:t xml:space="preserve">, 2012) and many species in Madagascar which are used as medicinal plants (Kull </w:t>
                      </w:r>
                      <w:r>
                        <w:rPr>
                          <w:rFonts w:ascii="Times New Roman" w:eastAsia="Times New Roman" w:hAnsi="Times New Roman" w:cs="Times New Roman"/>
                          <w:i/>
                        </w:rPr>
                        <w:t>et al.</w:t>
                      </w:r>
                      <w:r>
                        <w:rPr>
                          <w:rFonts w:ascii="Times New Roman" w:eastAsia="Times New Roman" w:hAnsi="Times New Roman" w:cs="Times New Roman"/>
                        </w:rPr>
                        <w:t>, 2011). Malagasy people have rapidly developed a new local knowledge on the medicinal uses of invasive plants. However, conflicts of interest evolve, and the balance between benefits and loss can change. In Lake Baringo, Kenya, local people have recently come to consider Mesquito beneficial for production of charcoal. Conversely, on the Highlands of Madagascar, Mimosa (</w:t>
                      </w:r>
                      <w:r>
                        <w:rPr>
                          <w:rFonts w:ascii="Times New Roman" w:eastAsia="Times New Roman" w:hAnsi="Times New Roman" w:cs="Times New Roman"/>
                          <w:i/>
                        </w:rPr>
                        <w:t>Acacia dealbata</w:t>
                      </w:r>
                      <w:r>
                        <w:rPr>
                          <w:rFonts w:ascii="Times New Roman" w:eastAsia="Times New Roman" w:hAnsi="Times New Roman" w:cs="Times New Roman"/>
                        </w:rPr>
                        <w:t xml:space="preserve">) is still considered by the rural populations as beneficial (Kull </w:t>
                      </w:r>
                      <w:r>
                        <w:rPr>
                          <w:rFonts w:ascii="Times New Roman" w:eastAsia="Times New Roman" w:hAnsi="Times New Roman" w:cs="Times New Roman"/>
                          <w:i/>
                        </w:rPr>
                        <w:t>et al.</w:t>
                      </w:r>
                      <w:r>
                        <w:rPr>
                          <w:rFonts w:ascii="Times New Roman" w:eastAsia="Times New Roman" w:hAnsi="Times New Roman" w:cs="Times New Roman"/>
                        </w:rPr>
                        <w:t>, 2007). The use of IAS may represent an efficient control means, but such an option seems difficult to legitimate in the absence of clear national policies and strategies in the management of IAS (Tessema, 2012).</w:t>
                      </w:r>
                    </w:p>
                  </w:txbxContent>
                </v:textbox>
                <w10:anchorlock/>
              </v:shape>
            </w:pict>
          </mc:Fallback>
        </mc:AlternateContent>
      </w:r>
    </w:p>
    <w:p w14:paraId="11AE428B"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90" w:name="_Toc519499953"/>
      <w:r w:rsidRPr="009B0448">
        <w:rPr>
          <w:rFonts w:cs="Times New Roman"/>
          <w:b w:val="0"/>
          <w:sz w:val="22"/>
          <w:szCs w:val="22"/>
        </w:rPr>
        <w:t>The main types of invasive alien species impacting biodiversity and ecosystem services in Africa</w:t>
      </w:r>
      <w:bookmarkEnd w:id="290"/>
    </w:p>
    <w:p w14:paraId="653B8F4F" w14:textId="1F678661"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Compared with other continents and cultures, invasive alien species remain poorly documented in the African continent (Witt, 2010), except East Africa, the Republic of South Africa and the islands of western Indian</w:t>
      </w:r>
      <w:r w:rsidR="00E05B46">
        <w:rPr>
          <w:rFonts w:ascii="Times New Roman" w:eastAsia="Times New Roman" w:hAnsi="Times New Roman" w:cs="Times New Roman"/>
        </w:rPr>
        <w:t xml:space="preserve"> </w:t>
      </w:r>
      <w:r w:rsidRPr="009B0448">
        <w:rPr>
          <w:rFonts w:ascii="Times New Roman" w:eastAsia="Times New Roman" w:hAnsi="Times New Roman" w:cs="Times New Roman"/>
        </w:rPr>
        <w:t xml:space="preserve">Oocean (Mauritius, Seychelles, Reunion Island). </w:t>
      </w:r>
      <w:r w:rsidRPr="009B0448">
        <w:rPr>
          <w:rFonts w:ascii="Times New Roman" w:eastAsia="EB Garamond" w:hAnsi="Times New Roman" w:cs="Times New Roman"/>
        </w:rPr>
        <w:t xml:space="preserve">Invasive alien species </w:t>
      </w:r>
      <w:r w:rsidRPr="009B0448">
        <w:rPr>
          <w:rFonts w:ascii="Times New Roman" w:eastAsia="Times New Roman" w:hAnsi="Times New Roman" w:cs="Times New Roman"/>
        </w:rPr>
        <w:t xml:space="preserve">threaten all </w:t>
      </w:r>
      <w:r w:rsidR="00B22D81">
        <w:rPr>
          <w:rFonts w:ascii="Times New Roman" w:eastAsia="Times New Roman" w:hAnsi="Times New Roman" w:cs="Times New Roman"/>
        </w:rPr>
        <w:t>subregion</w:t>
      </w:r>
      <w:r w:rsidRPr="009B0448">
        <w:rPr>
          <w:rFonts w:ascii="Times New Roman" w:eastAsia="Times New Roman" w:hAnsi="Times New Roman" w:cs="Times New Roman"/>
        </w:rPr>
        <w:t xml:space="preserve">s in Africa and affect wetlands, forests, drylands, freshwater bodies, estuaries, deltas, marine, coastal and other ecosystems, mainly where areas have been disturbed by human activities. They occur in all major taxonomic groups, including viruses, fungi, algae, plants, fish, amphibians, reptiles, birds and mammals. Within plants, ornamental invasive alien species represent the highest proportion of invasives (Tassin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The IAS pressure is regularly increasing with time, as shown in Kenya (Stadler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1998), on Reunion Island (Tassin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2006) and in Zimbabwe by Maroyi (2012), who has recorded from herbarium records the strongest increase of IAS records from 1941 to 1960.</w:t>
      </w:r>
    </w:p>
    <w:p w14:paraId="38F5A81C" w14:textId="77777777" w:rsidR="009B0448" w:rsidRPr="009B0448" w:rsidRDefault="009B0448" w:rsidP="009B0448">
      <w:pPr>
        <w:spacing w:line="276" w:lineRule="auto"/>
        <w:jc w:val="both"/>
        <w:rPr>
          <w:rFonts w:ascii="Times New Roman" w:eastAsia="Times New Roman" w:hAnsi="Times New Roman" w:cs="Times New Roman"/>
        </w:rPr>
      </w:pPr>
    </w:p>
    <w:p w14:paraId="433F0EEA"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Beyond the orthodox definition of invasive alien species restricted to introduced species, native species can also be invasive (Valéry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2009). The famous Red Billed Quelea (</w:t>
      </w:r>
      <w:r w:rsidRPr="009B0448">
        <w:rPr>
          <w:rFonts w:ascii="Times New Roman" w:eastAsia="Times New Roman" w:hAnsi="Times New Roman" w:cs="Times New Roman"/>
          <w:i/>
        </w:rPr>
        <w:t>Quelea quelea</w:t>
      </w:r>
      <w:r w:rsidRPr="009B0448">
        <w:rPr>
          <w:rFonts w:ascii="Times New Roman" w:eastAsia="Times New Roman" w:hAnsi="Times New Roman" w:cs="Times New Roman"/>
        </w:rPr>
        <w:t xml:space="preserve">) is native to Africa but takes advantage of native or artificial grasslands and seed crops to establish in millions of individuals. On poor and eroded soils of humid regions, as Batéké plateau, coast lowlands of Gabon, or slopes of western Indian Ocean islands, the fern </w:t>
      </w:r>
      <w:r w:rsidRPr="009B0448">
        <w:rPr>
          <w:rFonts w:ascii="Times New Roman" w:eastAsia="Times New Roman" w:hAnsi="Times New Roman" w:cs="Times New Roman"/>
          <w:i/>
        </w:rPr>
        <w:t>Dicranopteris linearis</w:t>
      </w:r>
      <w:r w:rsidRPr="009B0448">
        <w:rPr>
          <w:rFonts w:ascii="Times New Roman" w:eastAsia="Times New Roman" w:hAnsi="Times New Roman" w:cs="Times New Roman"/>
        </w:rPr>
        <w:t xml:space="preserve"> seems to forbid the natural succession process (Kueffer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On Mayotte, the native liana </w:t>
      </w:r>
      <w:r w:rsidRPr="009B0448">
        <w:rPr>
          <w:rFonts w:ascii="Times New Roman" w:eastAsia="Times New Roman" w:hAnsi="Times New Roman" w:cs="Times New Roman"/>
          <w:i/>
        </w:rPr>
        <w:t>Merremia peltata</w:t>
      </w:r>
      <w:r w:rsidRPr="009B0448">
        <w:rPr>
          <w:rFonts w:ascii="Times New Roman" w:eastAsia="Times New Roman" w:hAnsi="Times New Roman" w:cs="Times New Roman"/>
        </w:rPr>
        <w:t xml:space="preserve"> colonizes the forest canopy, making them to collapse under their heaviness and traction (Tassin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In humid forests of Gabon, some </w:t>
      </w:r>
      <w:r w:rsidRPr="009B0448">
        <w:rPr>
          <w:rFonts w:ascii="Times New Roman" w:eastAsia="Times New Roman" w:hAnsi="Times New Roman" w:cs="Times New Roman"/>
          <w:i/>
        </w:rPr>
        <w:t xml:space="preserve">Zingiberaceae </w:t>
      </w:r>
      <w:r w:rsidRPr="009B0448">
        <w:rPr>
          <w:rFonts w:ascii="Times New Roman" w:eastAsia="Times New Roman" w:hAnsi="Times New Roman" w:cs="Times New Roman"/>
        </w:rPr>
        <w:t xml:space="preserve">are assumed to compromise the regeneration of other native plant species. Bush encroachment by native undesired woody species has an estimated extent of 26–30 million hectares in Namibia and 10–20 million hectares in South Africa (Bester, 1999; Kraaij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2006).</w:t>
      </w:r>
    </w:p>
    <w:p w14:paraId="652C118E"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91" w:name="_Toc519499954"/>
      <w:r w:rsidRPr="009B0448">
        <w:rPr>
          <w:rFonts w:cs="Times New Roman"/>
          <w:b w:val="0"/>
          <w:sz w:val="22"/>
          <w:szCs w:val="22"/>
        </w:rPr>
        <w:t>Assessment of impacts of invasive alien species on biodiversity and ecosystem services in Africa</w:t>
      </w:r>
      <w:bookmarkEnd w:id="291"/>
    </w:p>
    <w:p w14:paraId="66AA59AA"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EB Garamond" w:hAnsi="Times New Roman" w:cs="Times New Roman"/>
        </w:rPr>
        <w:t>Invasive alien species</w:t>
      </w:r>
      <w:r w:rsidRPr="009B0448">
        <w:rPr>
          <w:rFonts w:ascii="Times New Roman" w:eastAsia="Times New Roman" w:hAnsi="Times New Roman" w:cs="Times New Roman"/>
        </w:rPr>
        <w:t xml:space="preserve"> affect biodiversity and nature’s contributions to people (e.g., food production and water supply, waste assimilation, recycling of nutrients, conservation and regeneration of soils, pollination of crops, seed dispersal) globally and regionally (African continent including islands) and have significant impacts on the economy and livelihoods (including on human health, water security, fire and the productive use of lands). For instance, white cassava mealybug and larger grain borer pose direct threats to food security. The impacts of invasive plants is also high in the continent because more than 80% of the population comprises small-scale farmers who are dependent on natural resources for their survival (Witt, 2010). For instance, in the lowlands of Ethiopia, </w:t>
      </w:r>
      <w:r w:rsidRPr="009B0448">
        <w:rPr>
          <w:rFonts w:ascii="Times New Roman" w:eastAsia="Times New Roman" w:hAnsi="Times New Roman" w:cs="Times New Roman"/>
          <w:i/>
        </w:rPr>
        <w:t>Parthenium</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Parthenium hysterophorus</w:t>
      </w:r>
      <w:r w:rsidRPr="009B0448">
        <w:rPr>
          <w:rFonts w:ascii="Times New Roman" w:eastAsia="Times New Roman" w:hAnsi="Times New Roman" w:cs="Times New Roman"/>
        </w:rPr>
        <w:t xml:space="preserve">) is perceived as the most important weed by 90% of the rural population (Tamado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2000). It prevents germination through allelopathy and competition in crops and natural stands. There is a need to understand the status, trends, distribution, impact, control measures and the policy options for control and eradication of invasive alien species.</w:t>
      </w:r>
    </w:p>
    <w:p w14:paraId="303EA9DF" w14:textId="77777777" w:rsidR="009B0448" w:rsidRPr="009B0448" w:rsidRDefault="009B0448" w:rsidP="009B0448">
      <w:pPr>
        <w:spacing w:line="276" w:lineRule="auto"/>
        <w:jc w:val="both"/>
        <w:rPr>
          <w:rFonts w:ascii="Times New Roman" w:eastAsia="Times New Roman" w:hAnsi="Times New Roman" w:cs="Times New Roman"/>
        </w:rPr>
      </w:pPr>
    </w:p>
    <w:p w14:paraId="6F07A50E" w14:textId="0B822ED2" w:rsidR="009B0448" w:rsidRPr="009B0448" w:rsidRDefault="009B0448" w:rsidP="009B0448">
      <w:pPr>
        <w:spacing w:line="276" w:lineRule="auto"/>
        <w:jc w:val="both"/>
        <w:rPr>
          <w:rFonts w:ascii="Times New Roman" w:eastAsia="EB Garamond"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3CF8AD8A" wp14:editId="41AFACBA">
                <wp:extent cx="5814060" cy="3063240"/>
                <wp:effectExtent l="9525" t="9525" r="5715" b="13335"/>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060" cy="3063240"/>
                        </a:xfrm>
                        <a:prstGeom prst="rect">
                          <a:avLst/>
                        </a:prstGeom>
                        <a:solidFill>
                          <a:schemeClr val="bg1">
                            <a:lumMod val="95000"/>
                            <a:lumOff val="0"/>
                          </a:schemeClr>
                        </a:solidFill>
                        <a:ln w="9525">
                          <a:solidFill>
                            <a:srgbClr val="000000"/>
                          </a:solidFill>
                          <a:miter lim="800000"/>
                          <a:headEnd/>
                          <a:tailEnd/>
                        </a:ln>
                      </wps:spPr>
                      <wps:txbx>
                        <w:txbxContent>
                          <w:p w14:paraId="616680C1" w14:textId="77777777" w:rsidR="00BC0CFA" w:rsidRDefault="00BC0CFA" w:rsidP="009B0448">
                            <w:pPr>
                              <w:spacing w:after="100" w:afterAutospacing="1"/>
                              <w:jc w:val="both"/>
                              <w:rPr>
                                <w:rFonts w:ascii="Times New Roman" w:eastAsia="Times New Roman" w:hAnsi="Times New Roman" w:cs="Times New Roman"/>
                                <w:b/>
                                <w:shd w:val="clear" w:color="auto" w:fill="C2D69B"/>
                              </w:rPr>
                            </w:pPr>
                            <w:r>
                              <w:rPr>
                                <w:rFonts w:ascii="Times New Roman" w:eastAsia="Times New Roman" w:hAnsi="Times New Roman" w:cs="Times New Roman"/>
                                <w:b/>
                              </w:rPr>
                              <w:t>Box 4.8: Case study: Costs of Invasive Alien Species in South-Africa</w:t>
                            </w:r>
                          </w:p>
                          <w:p w14:paraId="34665D7B" w14:textId="77777777" w:rsidR="00BC0CFA" w:rsidRDefault="00BC0CFA" w:rsidP="009B0448">
                            <w:pPr>
                              <w:spacing w:after="100" w:afterAutospacing="1" w:line="276" w:lineRule="auto"/>
                              <w:jc w:val="both"/>
                              <w:rPr>
                                <w:rFonts w:ascii="Times New Roman" w:eastAsia="Times New Roman" w:hAnsi="Times New Roman" w:cs="Times New Roman"/>
                                <w:shd w:val="clear" w:color="auto" w:fill="C2D69B"/>
                              </w:rPr>
                            </w:pPr>
                            <w:r>
                              <w:rPr>
                                <w:rFonts w:ascii="EB Garamond" w:eastAsia="EB Garamond" w:hAnsi="EB Garamond" w:cs="EB Garamond"/>
                              </w:rPr>
                              <w:t xml:space="preserve">Invasive alien species </w:t>
                            </w:r>
                            <w:r>
                              <w:rPr>
                                <w:rFonts w:ascii="Times New Roman" w:eastAsia="Times New Roman" w:hAnsi="Times New Roman" w:cs="Times New Roman"/>
                              </w:rPr>
                              <w:t>cover about 10% of South Africa and use 3.3 billion m</w:t>
                            </w:r>
                            <w:r>
                              <w:rPr>
                                <w:rFonts w:ascii="Times New Roman" w:eastAsia="Times New Roman" w:hAnsi="Times New Roman" w:cs="Times New Roman"/>
                                <w:vertAlign w:val="superscript"/>
                              </w:rPr>
                              <w:t>3</w:t>
                            </w:r>
                            <w:r>
                              <w:rPr>
                                <w:rFonts w:ascii="Times New Roman" w:eastAsia="Times New Roman" w:hAnsi="Times New Roman" w:cs="Times New Roman"/>
                                <w:sz w:val="14"/>
                                <w:szCs w:val="14"/>
                              </w:rPr>
                              <w:t xml:space="preserve"> </w:t>
                            </w:r>
                            <w:r>
                              <w:rPr>
                                <w:rFonts w:ascii="Times New Roman" w:eastAsia="Times New Roman" w:hAnsi="Times New Roman" w:cs="Times New Roman"/>
                              </w:rPr>
                              <w:t>of water/year (</w:t>
                            </w:r>
                            <w:r>
                              <w:rPr>
                                <w:rFonts w:ascii="EB Garamond" w:eastAsia="EB Garamond" w:hAnsi="EB Garamond" w:cs="EB Garamond"/>
                              </w:rPr>
                              <w:t>the equivalent of about 7% of all water resources) (</w:t>
                            </w:r>
                            <w:r>
                              <w:rPr>
                                <w:rFonts w:ascii="Times New Roman" w:eastAsia="Times New Roman" w:hAnsi="Times New Roman" w:cs="Times New Roman"/>
                              </w:rPr>
                              <w:t xml:space="preserve">Department of Water Affairs in South Africa, 2010); they mainly consist in Australian trees and shrubs and Northern Hemisphere pine species which have been introduced into habitats with suitable climatic and edaphic conditions for growth and spread. Moreover, 2.95% of the runoff is a direct consequence of plant invasions. In a water scarce country, where demand exceeds available water in almost all catchments, this added stress is a major concern (Le Maitre </w:t>
                            </w:r>
                            <w:r>
                              <w:rPr>
                                <w:rFonts w:ascii="Times New Roman" w:eastAsia="Times New Roman" w:hAnsi="Times New Roman" w:cs="Times New Roman"/>
                                <w:i/>
                              </w:rPr>
                              <w:t>et al.</w:t>
                            </w:r>
                            <w:r>
                              <w:rPr>
                                <w:rFonts w:ascii="Times New Roman" w:eastAsia="Times New Roman" w:hAnsi="Times New Roman" w:cs="Times New Roman"/>
                              </w:rPr>
                              <w:t xml:space="preserve">, 2016). The Convention on Biological Diversity estimated that Africa spends close to $60,000 million/year to control invasive alien species (Boy </w:t>
                            </w:r>
                            <w:r>
                              <w:rPr>
                                <w:rFonts w:ascii="Times New Roman" w:eastAsia="Times New Roman" w:hAnsi="Times New Roman" w:cs="Times New Roman"/>
                                <w:i/>
                              </w:rPr>
                              <w:t>et al.</w:t>
                            </w:r>
                            <w:r>
                              <w:rPr>
                                <w:rFonts w:ascii="Times New Roman" w:eastAsia="Times New Roman" w:hAnsi="Times New Roman" w:cs="Times New Roman"/>
                              </w:rPr>
                              <w:t xml:space="preserve">, 2013). In the South African Cape Floral Kingdom, invasive tree species cost $40 million/year for a control program (Matthews </w:t>
                            </w:r>
                            <w:r>
                              <w:rPr>
                                <w:rFonts w:ascii="Times New Roman" w:eastAsia="Times New Roman" w:hAnsi="Times New Roman" w:cs="Times New Roman"/>
                                <w:i/>
                              </w:rPr>
                              <w:t>et al</w:t>
                            </w:r>
                            <w:r>
                              <w:rPr>
                                <w:rFonts w:ascii="Times New Roman" w:eastAsia="Times New Roman" w:hAnsi="Times New Roman" w:cs="Times New Roman"/>
                              </w:rPr>
                              <w:t xml:space="preserve">., 2004). The total cost of invasion on the Agulhas Plain alone amounts to $11.75 billion (van Wilgen </w:t>
                            </w:r>
                            <w:r>
                              <w:rPr>
                                <w:rFonts w:ascii="Times New Roman" w:eastAsia="Times New Roman" w:hAnsi="Times New Roman" w:cs="Times New Roman"/>
                                <w:i/>
                              </w:rPr>
                              <w:t>et al.</w:t>
                            </w:r>
                            <w:r>
                              <w:rPr>
                                <w:rFonts w:ascii="Times New Roman" w:eastAsia="Times New Roman" w:hAnsi="Times New Roman" w:cs="Times New Roman"/>
                              </w:rPr>
                              <w:t xml:space="preserve">, 2001). In the Western Cape Province, invasions have allegedly reduced the value of Fynbos (Western Cape Mediterranean scrub vegetation) ecosystems by over $11.75 billion (van Wilgen </w:t>
                            </w:r>
                            <w:r>
                              <w:rPr>
                                <w:rFonts w:ascii="Times New Roman" w:eastAsia="Times New Roman" w:hAnsi="Times New Roman" w:cs="Times New Roman"/>
                                <w:i/>
                              </w:rPr>
                              <w:t>et al.</w:t>
                            </w:r>
                            <w:r>
                              <w:rPr>
                                <w:rFonts w:ascii="Times New Roman" w:eastAsia="Times New Roman" w:hAnsi="Times New Roman" w:cs="Times New Roman"/>
                              </w:rPr>
                              <w:t xml:space="preserve">, 2001). Control of invasive rats and mice costs the world roughly $2.7 billion/year (Pimentel </w:t>
                            </w:r>
                            <w:r>
                              <w:rPr>
                                <w:rFonts w:ascii="Times New Roman" w:eastAsia="Times New Roman" w:hAnsi="Times New Roman" w:cs="Times New Roman"/>
                                <w:i/>
                              </w:rPr>
                              <w:t>et al.</w:t>
                            </w:r>
                            <w:r>
                              <w:rPr>
                                <w:rFonts w:ascii="Times New Roman" w:eastAsia="Times New Roman" w:hAnsi="Times New Roman" w:cs="Times New Roman"/>
                              </w:rPr>
                              <w:t>, 2001).</w:t>
                            </w:r>
                          </w:p>
                          <w:p w14:paraId="561D0AB4" w14:textId="77777777" w:rsidR="00BC0CFA" w:rsidRDefault="00BC0CFA" w:rsidP="009B0448"/>
                        </w:txbxContent>
                      </wps:txbx>
                      <wps:bodyPr rot="0" vert="horz" wrap="square" lIns="91440" tIns="45720" rIns="91440" bIns="45720" anchor="t" anchorCtr="0" upright="1">
                        <a:noAutofit/>
                      </wps:bodyPr>
                    </wps:wsp>
                  </a:graphicData>
                </a:graphic>
              </wp:inline>
            </w:drawing>
          </mc:Choice>
          <mc:Fallback>
            <w:pict>
              <v:shape w14:anchorId="3CF8AD8A" id="Text Box 192" o:spid="_x0000_s1036" type="#_x0000_t202" style="width:457.8pt;height:24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" fillcolor="#f2f2f2 [3052]">
                <v:textbox>
                  <w:txbxContent>
                    <w:p w14:paraId="616680C1" w14:textId="77777777" w:rsidR="00BC0CFA" w:rsidRDefault="00BC0CFA" w:rsidP="009B0448">
                      <w:pPr>
                        <w:spacing w:after="100" w:afterAutospacing="1"/>
                        <w:jc w:val="both"/>
                        <w:rPr>
                          <w:rFonts w:ascii="Times New Roman" w:eastAsia="Times New Roman" w:hAnsi="Times New Roman" w:cs="Times New Roman"/>
                          <w:b/>
                          <w:shd w:val="clear" w:color="auto" w:fill="C2D69B"/>
                        </w:rPr>
                      </w:pPr>
                      <w:r>
                        <w:rPr>
                          <w:rFonts w:ascii="Times New Roman" w:eastAsia="Times New Roman" w:hAnsi="Times New Roman" w:cs="Times New Roman"/>
                          <w:b/>
                        </w:rPr>
                        <w:t>Box 4.8: Case study: Costs of Invasive Alien Species in South-Africa</w:t>
                      </w:r>
                    </w:p>
                    <w:p w14:paraId="34665D7B" w14:textId="77777777" w:rsidR="00BC0CFA" w:rsidRDefault="00BC0CFA" w:rsidP="009B0448">
                      <w:pPr>
                        <w:spacing w:after="100" w:afterAutospacing="1" w:line="276" w:lineRule="auto"/>
                        <w:jc w:val="both"/>
                        <w:rPr>
                          <w:rFonts w:ascii="Times New Roman" w:eastAsia="Times New Roman" w:hAnsi="Times New Roman" w:cs="Times New Roman"/>
                          <w:shd w:val="clear" w:color="auto" w:fill="C2D69B"/>
                        </w:rPr>
                      </w:pPr>
                      <w:r>
                        <w:rPr>
                          <w:rFonts w:ascii="EB Garamond" w:eastAsia="EB Garamond" w:hAnsi="EB Garamond" w:cs="EB Garamond"/>
                        </w:rPr>
                        <w:t xml:space="preserve">Invasive alien species </w:t>
                      </w:r>
                      <w:r>
                        <w:rPr>
                          <w:rFonts w:ascii="Times New Roman" w:eastAsia="Times New Roman" w:hAnsi="Times New Roman" w:cs="Times New Roman"/>
                        </w:rPr>
                        <w:t>cover about 10% of South Africa and use 3.3 billion m</w:t>
                      </w:r>
                      <w:r>
                        <w:rPr>
                          <w:rFonts w:ascii="Times New Roman" w:eastAsia="Times New Roman" w:hAnsi="Times New Roman" w:cs="Times New Roman"/>
                          <w:vertAlign w:val="superscript"/>
                        </w:rPr>
                        <w:t>3</w:t>
                      </w:r>
                      <w:r>
                        <w:rPr>
                          <w:rFonts w:ascii="Times New Roman" w:eastAsia="Times New Roman" w:hAnsi="Times New Roman" w:cs="Times New Roman"/>
                          <w:sz w:val="14"/>
                          <w:szCs w:val="14"/>
                        </w:rPr>
                        <w:t xml:space="preserve"> </w:t>
                      </w:r>
                      <w:r>
                        <w:rPr>
                          <w:rFonts w:ascii="Times New Roman" w:eastAsia="Times New Roman" w:hAnsi="Times New Roman" w:cs="Times New Roman"/>
                        </w:rPr>
                        <w:t>of water/year (</w:t>
                      </w:r>
                      <w:r>
                        <w:rPr>
                          <w:rFonts w:ascii="EB Garamond" w:eastAsia="EB Garamond" w:hAnsi="EB Garamond" w:cs="EB Garamond"/>
                        </w:rPr>
                        <w:t>the equivalent of about 7% of all water resources) (</w:t>
                      </w:r>
                      <w:r>
                        <w:rPr>
                          <w:rFonts w:ascii="Times New Roman" w:eastAsia="Times New Roman" w:hAnsi="Times New Roman" w:cs="Times New Roman"/>
                        </w:rPr>
                        <w:t xml:space="preserve">Department of Water Affairs in South Africa, 2010); they mainly consist in Australian trees and shrubs and Northern Hemisphere pine species which have been introduced into habitats with suitable climatic and edaphic conditions for growth and spread. Moreover, 2.95% of the runoff is a direct consequence of plant invasions. In a water scarce country, where demand exceeds available water in almost all catchments, this added stress is a major concern (Le Maitre </w:t>
                      </w:r>
                      <w:r>
                        <w:rPr>
                          <w:rFonts w:ascii="Times New Roman" w:eastAsia="Times New Roman" w:hAnsi="Times New Roman" w:cs="Times New Roman"/>
                          <w:i/>
                        </w:rPr>
                        <w:t>et al.</w:t>
                      </w:r>
                      <w:r>
                        <w:rPr>
                          <w:rFonts w:ascii="Times New Roman" w:eastAsia="Times New Roman" w:hAnsi="Times New Roman" w:cs="Times New Roman"/>
                        </w:rPr>
                        <w:t xml:space="preserve">, 2016). The Convention on Biological Diversity estimated that Africa spends close to $60,000 million/year to control invasive alien species (Boy </w:t>
                      </w:r>
                      <w:r>
                        <w:rPr>
                          <w:rFonts w:ascii="Times New Roman" w:eastAsia="Times New Roman" w:hAnsi="Times New Roman" w:cs="Times New Roman"/>
                          <w:i/>
                        </w:rPr>
                        <w:t>et al.</w:t>
                      </w:r>
                      <w:r>
                        <w:rPr>
                          <w:rFonts w:ascii="Times New Roman" w:eastAsia="Times New Roman" w:hAnsi="Times New Roman" w:cs="Times New Roman"/>
                        </w:rPr>
                        <w:t xml:space="preserve">, 2013). In the South African Cape Floral Kingdom, invasive tree species cost $40 million/year for a control program (Matthews </w:t>
                      </w:r>
                      <w:r>
                        <w:rPr>
                          <w:rFonts w:ascii="Times New Roman" w:eastAsia="Times New Roman" w:hAnsi="Times New Roman" w:cs="Times New Roman"/>
                          <w:i/>
                        </w:rPr>
                        <w:t>et al</w:t>
                      </w:r>
                      <w:r>
                        <w:rPr>
                          <w:rFonts w:ascii="Times New Roman" w:eastAsia="Times New Roman" w:hAnsi="Times New Roman" w:cs="Times New Roman"/>
                        </w:rPr>
                        <w:t xml:space="preserve">., 2004). The total cost of invasion on the Agulhas Plain alone amounts to $11.75 billion (van Wilgen </w:t>
                      </w:r>
                      <w:r>
                        <w:rPr>
                          <w:rFonts w:ascii="Times New Roman" w:eastAsia="Times New Roman" w:hAnsi="Times New Roman" w:cs="Times New Roman"/>
                          <w:i/>
                        </w:rPr>
                        <w:t>et al.</w:t>
                      </w:r>
                      <w:r>
                        <w:rPr>
                          <w:rFonts w:ascii="Times New Roman" w:eastAsia="Times New Roman" w:hAnsi="Times New Roman" w:cs="Times New Roman"/>
                        </w:rPr>
                        <w:t xml:space="preserve">, 2001). In the Western Cape Province, invasions have allegedly reduced the value of Fynbos (Western Cape Mediterranean scrub vegetation) ecosystems by over $11.75 billion (van Wilgen </w:t>
                      </w:r>
                      <w:r>
                        <w:rPr>
                          <w:rFonts w:ascii="Times New Roman" w:eastAsia="Times New Roman" w:hAnsi="Times New Roman" w:cs="Times New Roman"/>
                          <w:i/>
                        </w:rPr>
                        <w:t>et al.</w:t>
                      </w:r>
                      <w:r>
                        <w:rPr>
                          <w:rFonts w:ascii="Times New Roman" w:eastAsia="Times New Roman" w:hAnsi="Times New Roman" w:cs="Times New Roman"/>
                        </w:rPr>
                        <w:t xml:space="preserve">, 2001). Control of invasive rats and mice costs the world roughly $2.7 billion/year (Pimentel </w:t>
                      </w:r>
                      <w:r>
                        <w:rPr>
                          <w:rFonts w:ascii="Times New Roman" w:eastAsia="Times New Roman" w:hAnsi="Times New Roman" w:cs="Times New Roman"/>
                          <w:i/>
                        </w:rPr>
                        <w:t>et al.</w:t>
                      </w:r>
                      <w:r>
                        <w:rPr>
                          <w:rFonts w:ascii="Times New Roman" w:eastAsia="Times New Roman" w:hAnsi="Times New Roman" w:cs="Times New Roman"/>
                        </w:rPr>
                        <w:t>, 2001).</w:t>
                      </w:r>
                    </w:p>
                    <w:p w14:paraId="561D0AB4" w14:textId="77777777" w:rsidR="00BC0CFA" w:rsidRDefault="00BC0CFA" w:rsidP="009B0448"/>
                  </w:txbxContent>
                </v:textbox>
                <w10:anchorlock/>
              </v:shape>
            </w:pict>
          </mc:Fallback>
        </mc:AlternateContent>
      </w:r>
    </w:p>
    <w:p w14:paraId="1353EA26" w14:textId="77777777" w:rsidR="009B0448" w:rsidRPr="009B0448" w:rsidRDefault="009B0448" w:rsidP="009B0448">
      <w:pPr>
        <w:spacing w:line="276" w:lineRule="auto"/>
        <w:jc w:val="both"/>
        <w:rPr>
          <w:rFonts w:ascii="Times New Roman" w:eastAsia="EB Garamond" w:hAnsi="Times New Roman" w:cs="Times New Roman"/>
        </w:rPr>
      </w:pPr>
    </w:p>
    <w:p w14:paraId="154A6230"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EB Garamond" w:hAnsi="Times New Roman" w:cs="Times New Roman"/>
        </w:rPr>
        <w:t>Invasive alien species</w:t>
      </w:r>
      <w:r w:rsidRPr="009B0448">
        <w:rPr>
          <w:rFonts w:ascii="Times New Roman" w:eastAsia="Times New Roman" w:hAnsi="Times New Roman" w:cs="Times New Roman"/>
        </w:rPr>
        <w:t xml:space="preserve"> have a strong impact on rural production and ecosystem services in Africa (Table 4.6). Yet, economic assessments of invasive alien species impacts have been rarely conducted outside South Africa (Box 4.8). A recent assessment in six East African countries (Ethiopia, Kenya, Malawi, Rwanda, Tanzania, Uganda) has provided an estimated annual production losses to smallholders, due to some invasive alien species on maize (spotted stem borer, maize lethal necrosis disease, </w:t>
      </w:r>
      <w:r w:rsidRPr="00E05B46">
        <w:rPr>
          <w:rFonts w:ascii="Times New Roman" w:eastAsia="Times New Roman" w:hAnsi="Times New Roman" w:cs="Times New Roman"/>
          <w:i/>
        </w:rPr>
        <w:t>Parthenium</w:t>
      </w:r>
      <w:r w:rsidRPr="009B0448">
        <w:rPr>
          <w:rFonts w:ascii="Times New Roman" w:eastAsia="Times New Roman" w:hAnsi="Times New Roman" w:cs="Times New Roman"/>
        </w:rPr>
        <w:t xml:space="preserve">), bean and pea (leaf-mining flies), and tomato (tomato leaf-miner), estimating losses of between $894.4 and $1099.7 million </w:t>
      </w:r>
      <w:r w:rsidRPr="009B0448">
        <w:rPr>
          <w:rFonts w:ascii="Times New Roman" w:eastAsia="Times New Roman" w:hAnsi="Times New Roman" w:cs="Times New Roman"/>
          <w:color w:val="auto"/>
        </w:rPr>
        <w:t xml:space="preserve">(Pratt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2017). The economic impacts of water hyacinth (</w:t>
      </w:r>
      <w:r w:rsidRPr="009B0448">
        <w:rPr>
          <w:rFonts w:ascii="Times New Roman" w:eastAsia="Times New Roman" w:hAnsi="Times New Roman" w:cs="Times New Roman"/>
          <w:i/>
          <w:color w:val="auto"/>
        </w:rPr>
        <w:t>Eichhornia crassipes</w:t>
      </w:r>
      <w:r w:rsidRPr="009B0448">
        <w:rPr>
          <w:rFonts w:ascii="Times New Roman" w:eastAsia="Times New Roman" w:hAnsi="Times New Roman" w:cs="Times New Roman"/>
          <w:color w:val="auto"/>
        </w:rPr>
        <w:t xml:space="preserve">) infestations in seven African countries have been estimated at between $20 million and $50 million annually (Joffe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1997); impact costs across Africa may exceed $100 million annually (Boy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2013). The environmental impact of invasive alien species in Africa on the wilderness remains poorly documented. Invasive alien plant may have deleterious effects on wilderness, and the impact of Australian plant species on the vegetation of Fynbos has been deeply documented (Witkowski, 1991; Moll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1992; Holmes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1997). Conversely, it may commonly provide new resources or habitats for native animals in Africa, for instance African sunbirds (Geerts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2009). So, the impact of IAS is complex because they may have both positive and negative environmental impacts at the same time, depending on the context. For instance, in Mayotte, </w:t>
      </w:r>
      <w:r w:rsidRPr="009B0448">
        <w:rPr>
          <w:rFonts w:ascii="Times New Roman" w:eastAsia="Times New Roman" w:hAnsi="Times New Roman" w:cs="Times New Roman"/>
          <w:i/>
          <w:color w:val="auto"/>
        </w:rPr>
        <w:t>Acacia mangium</w:t>
      </w:r>
      <w:r w:rsidRPr="009B0448">
        <w:rPr>
          <w:rFonts w:ascii="Times New Roman" w:eastAsia="Times New Roman" w:hAnsi="Times New Roman" w:cs="Times New Roman"/>
          <w:color w:val="auto"/>
        </w:rPr>
        <w:t xml:space="preserve"> controls erosion on highly degraded lands (paddza), but also facilitates fires (Kull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xml:space="preserve">, 2008). In South Africa, </w:t>
      </w:r>
      <w:r w:rsidRPr="009B0448">
        <w:rPr>
          <w:rFonts w:ascii="Times New Roman" w:eastAsia="Times New Roman" w:hAnsi="Times New Roman" w:cs="Times New Roman"/>
          <w:i/>
          <w:color w:val="auto"/>
        </w:rPr>
        <w:t>Acacia melanoxylon</w:t>
      </w:r>
      <w:r w:rsidRPr="009B0448">
        <w:rPr>
          <w:rFonts w:ascii="Times New Roman" w:eastAsia="Times New Roman" w:hAnsi="Times New Roman" w:cs="Times New Roman"/>
          <w:color w:val="auto"/>
        </w:rPr>
        <w:t xml:space="preserve"> also produces opposite effects (Geldenhuys, 1986).</w:t>
      </w:r>
    </w:p>
    <w:p w14:paraId="61A58F9F" w14:textId="77777777" w:rsidR="009B0448" w:rsidRPr="009B0448" w:rsidRDefault="009B0448" w:rsidP="009B0448">
      <w:pPr>
        <w:spacing w:line="276" w:lineRule="auto"/>
        <w:jc w:val="both"/>
        <w:rPr>
          <w:rFonts w:ascii="Times New Roman" w:eastAsia="Times New Roman" w:hAnsi="Times New Roman" w:cs="Times New Roman"/>
        </w:rPr>
      </w:pPr>
    </w:p>
    <w:p w14:paraId="2783ABD8"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Table 4.6</w:t>
      </w:r>
      <w:r w:rsidRPr="009B0448">
        <w:rPr>
          <w:rFonts w:ascii="Times New Roman" w:eastAsia="Times New Roman" w:hAnsi="Times New Roman" w:cs="Times New Roman"/>
        </w:rPr>
        <w:t>: Most important invasive alien species in Africa, and their impacts.</w:t>
      </w:r>
    </w:p>
    <w:tbl>
      <w:tblPr>
        <w:tblStyle w:val="PlainTable11"/>
        <w:tblW w:w="5000" w:type="pct"/>
        <w:tblLayout w:type="fixed"/>
        <w:tblLook w:val="0400" w:firstRow="0" w:lastRow="0" w:firstColumn="0" w:lastColumn="0" w:noHBand="0" w:noVBand="1"/>
      </w:tblPr>
      <w:tblGrid>
        <w:gridCol w:w="2323"/>
        <w:gridCol w:w="2361"/>
        <w:gridCol w:w="1901"/>
        <w:gridCol w:w="2431"/>
      </w:tblGrid>
      <w:tr w:rsidR="009B0448" w:rsidRPr="000009C6" w14:paraId="16B4017D" w14:textId="77777777" w:rsidTr="009B0448">
        <w:trPr>
          <w:cnfStyle w:val="000000100000" w:firstRow="0" w:lastRow="0" w:firstColumn="0" w:lastColumn="0" w:oddVBand="0" w:evenVBand="0" w:oddHBand="1" w:evenHBand="0" w:firstRowFirstColumn="0" w:firstRowLastColumn="0" w:lastRowFirstColumn="0" w:lastRowLastColumn="0"/>
          <w:trHeight w:val="458"/>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643239" w14:textId="77777777" w:rsidR="009B0448" w:rsidRPr="000009C6" w:rsidRDefault="009B0448">
            <w:pPr>
              <w:spacing w:line="276" w:lineRule="auto"/>
              <w:jc w:val="both"/>
              <w:rPr>
                <w:rFonts w:ascii="Times New Roman" w:eastAsia="Times New Roman" w:hAnsi="Times New Roman" w:cs="Times New Roman"/>
                <w:b/>
                <w:sz w:val="20"/>
                <w:szCs w:val="20"/>
              </w:rPr>
            </w:pPr>
            <w:r w:rsidRPr="000009C6">
              <w:rPr>
                <w:rFonts w:ascii="Times New Roman" w:eastAsia="Times New Roman" w:hAnsi="Times New Roman" w:cs="Times New Roman"/>
                <w:b/>
                <w:sz w:val="20"/>
                <w:szCs w:val="20"/>
              </w:rPr>
              <w:t>Species</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E76362" w14:textId="77777777" w:rsidR="009B0448" w:rsidRPr="000009C6" w:rsidRDefault="009B0448">
            <w:pPr>
              <w:spacing w:line="276" w:lineRule="auto"/>
              <w:jc w:val="both"/>
              <w:rPr>
                <w:rFonts w:ascii="Times New Roman" w:eastAsia="Times New Roman" w:hAnsi="Times New Roman" w:cs="Times New Roman"/>
                <w:b/>
                <w:sz w:val="20"/>
                <w:szCs w:val="20"/>
              </w:rPr>
            </w:pPr>
            <w:r w:rsidRPr="000009C6">
              <w:rPr>
                <w:rFonts w:ascii="Times New Roman" w:eastAsia="Times New Roman" w:hAnsi="Times New Roman" w:cs="Times New Roman"/>
                <w:b/>
                <w:sz w:val="20"/>
                <w:szCs w:val="20"/>
              </w:rPr>
              <w:t>Impact</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DCAD05" w14:textId="77777777" w:rsidR="009B0448" w:rsidRPr="000009C6" w:rsidRDefault="009B0448">
            <w:pPr>
              <w:spacing w:line="276" w:lineRule="auto"/>
              <w:jc w:val="both"/>
              <w:rPr>
                <w:rFonts w:ascii="Times New Roman" w:eastAsia="Times New Roman" w:hAnsi="Times New Roman" w:cs="Times New Roman"/>
                <w:b/>
                <w:sz w:val="20"/>
                <w:szCs w:val="20"/>
              </w:rPr>
            </w:pPr>
            <w:r w:rsidRPr="000009C6">
              <w:rPr>
                <w:rFonts w:ascii="Times New Roman" w:eastAsia="Times New Roman" w:hAnsi="Times New Roman" w:cs="Times New Roman"/>
                <w:b/>
                <w:sz w:val="20"/>
                <w:szCs w:val="20"/>
              </w:rPr>
              <w:t>Sites of Africa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AE69F51" w14:textId="77777777" w:rsidR="009B0448" w:rsidRPr="000009C6" w:rsidRDefault="009B0448">
            <w:pPr>
              <w:spacing w:line="276" w:lineRule="auto"/>
              <w:jc w:val="both"/>
              <w:rPr>
                <w:rFonts w:ascii="Times New Roman" w:eastAsia="Times New Roman" w:hAnsi="Times New Roman" w:cs="Times New Roman"/>
                <w:b/>
                <w:sz w:val="20"/>
                <w:szCs w:val="20"/>
              </w:rPr>
            </w:pPr>
            <w:r w:rsidRPr="000009C6">
              <w:rPr>
                <w:rFonts w:ascii="Times New Roman" w:eastAsia="Times New Roman" w:hAnsi="Times New Roman" w:cs="Times New Roman"/>
                <w:b/>
                <w:sz w:val="20"/>
                <w:szCs w:val="20"/>
              </w:rPr>
              <w:t>References</w:t>
            </w:r>
          </w:p>
          <w:p w14:paraId="4C7A9BB3" w14:textId="77777777" w:rsidR="009B0448" w:rsidRPr="000009C6" w:rsidRDefault="009B0448">
            <w:pPr>
              <w:spacing w:line="276" w:lineRule="auto"/>
              <w:jc w:val="both"/>
              <w:rPr>
                <w:rFonts w:ascii="Times New Roman" w:eastAsia="Times New Roman" w:hAnsi="Times New Roman" w:cs="Times New Roman"/>
                <w:b/>
                <w:sz w:val="20"/>
                <w:szCs w:val="20"/>
              </w:rPr>
            </w:pPr>
          </w:p>
        </w:tc>
      </w:tr>
      <w:tr w:rsidR="009B0448" w:rsidRPr="000009C6" w14:paraId="53CCC383" w14:textId="77777777" w:rsidTr="009B0448">
        <w:trPr>
          <w:trHeight w:val="229"/>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A9DBA0" w14:textId="77777777" w:rsidR="009B0448" w:rsidRPr="000009C6" w:rsidRDefault="009B0448">
            <w:pPr>
              <w:spacing w:line="276" w:lineRule="auto"/>
              <w:jc w:val="both"/>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Plant species</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95B39FB" w14:textId="77777777" w:rsidR="009B0448" w:rsidRPr="000009C6" w:rsidRDefault="009B0448">
            <w:pPr>
              <w:spacing w:line="276" w:lineRule="auto"/>
              <w:jc w:val="both"/>
              <w:rPr>
                <w:rFonts w:ascii="Times New Roman" w:eastAsia="Times New Roman" w:hAnsi="Times New Roman" w:cs="Times New Roman"/>
                <w:sz w:val="20"/>
                <w:szCs w:val="20"/>
              </w:rPr>
            </w:pP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CC1624" w14:textId="77777777" w:rsidR="009B0448" w:rsidRPr="000009C6" w:rsidRDefault="009B0448">
            <w:pPr>
              <w:spacing w:line="276" w:lineRule="auto"/>
              <w:jc w:val="both"/>
              <w:rPr>
                <w:rFonts w:ascii="Times New Roman" w:eastAsia="Times New Roman" w:hAnsi="Times New Roman" w:cs="Times New Roman"/>
                <w:sz w:val="20"/>
                <w:szCs w:val="20"/>
              </w:rPr>
            </w:pP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F7A599D" w14:textId="77777777" w:rsidR="009B0448" w:rsidRPr="000009C6" w:rsidRDefault="009B0448">
            <w:pPr>
              <w:spacing w:line="276" w:lineRule="auto"/>
              <w:jc w:val="both"/>
              <w:rPr>
                <w:rFonts w:ascii="Times New Roman" w:eastAsia="Times New Roman" w:hAnsi="Times New Roman" w:cs="Times New Roman"/>
                <w:sz w:val="20"/>
                <w:szCs w:val="20"/>
              </w:rPr>
            </w:pPr>
          </w:p>
        </w:tc>
      </w:tr>
      <w:tr w:rsidR="009B0448" w:rsidRPr="000009C6" w14:paraId="2CAAD03E" w14:textId="77777777" w:rsidTr="009B0448">
        <w:trPr>
          <w:cnfStyle w:val="000000100000" w:firstRow="0" w:lastRow="0" w:firstColumn="0" w:lastColumn="0" w:oddVBand="0" w:evenVBand="0" w:oddHBand="1" w:evenHBand="0" w:firstRowFirstColumn="0" w:firstRowLastColumn="0" w:lastRowFirstColumn="0" w:lastRowLastColumn="0"/>
          <w:trHeight w:val="687"/>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754C82"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i/>
                <w:sz w:val="20"/>
                <w:szCs w:val="20"/>
              </w:rPr>
              <w:t xml:space="preserve">Acacia </w:t>
            </w:r>
            <w:r w:rsidRPr="000009C6">
              <w:rPr>
                <w:rFonts w:ascii="Times New Roman" w:eastAsia="Times New Roman" w:hAnsi="Times New Roman" w:cs="Times New Roman"/>
                <w:sz w:val="20"/>
                <w:szCs w:val="20"/>
              </w:rPr>
              <w:t>sp. (Australian acacia species)</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0501DA" w14:textId="77777777" w:rsidR="009B0448" w:rsidRPr="000009C6" w:rsidRDefault="009B0448">
            <w:pPr>
              <w:spacing w:line="276" w:lineRule="auto"/>
              <w:jc w:val="both"/>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Invade fallows and natural areas</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24CDF5"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South Africa (Cape Province); Reunion Island</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9FDE79A" w14:textId="77777777" w:rsidR="009B0448" w:rsidRPr="000009C6" w:rsidRDefault="009B0448">
            <w:pPr>
              <w:pStyle w:val="CommentText"/>
              <w:spacing w:line="276" w:lineRule="auto"/>
              <w:rPr>
                <w:rFonts w:ascii="Times New Roman" w:eastAsia="Times New Roman" w:hAnsi="Times New Roman" w:cs="Times New Roman"/>
              </w:rPr>
            </w:pPr>
            <w:r w:rsidRPr="000009C6">
              <w:rPr>
                <w:rFonts w:ascii="Times New Roman" w:eastAsia="Times New Roman" w:hAnsi="Times New Roman" w:cs="Times New Roman"/>
              </w:rPr>
              <w:t xml:space="preserve">Witkowski, 1991; Moll </w:t>
            </w:r>
            <w:r w:rsidRPr="000009C6">
              <w:rPr>
                <w:rFonts w:ascii="Times New Roman" w:eastAsia="Times New Roman" w:hAnsi="Times New Roman" w:cs="Times New Roman"/>
                <w:i/>
              </w:rPr>
              <w:t>et al.</w:t>
            </w:r>
            <w:r w:rsidRPr="000009C6">
              <w:rPr>
                <w:rFonts w:ascii="Times New Roman" w:eastAsia="Times New Roman" w:hAnsi="Times New Roman" w:cs="Times New Roman"/>
              </w:rPr>
              <w:t xml:space="preserve">, 1992; </w:t>
            </w:r>
            <w:r w:rsidRPr="000009C6">
              <w:rPr>
                <w:rFonts w:ascii="Times New Roman" w:hAnsi="Times New Roman" w:cs="Times New Roman"/>
              </w:rPr>
              <w:t xml:space="preserve">Holmes </w:t>
            </w:r>
            <w:r w:rsidRPr="000009C6">
              <w:rPr>
                <w:rFonts w:ascii="Times New Roman" w:hAnsi="Times New Roman" w:cs="Times New Roman"/>
                <w:i/>
              </w:rPr>
              <w:t>et al.</w:t>
            </w:r>
            <w:r w:rsidRPr="000009C6">
              <w:rPr>
                <w:rFonts w:ascii="Times New Roman" w:hAnsi="Times New Roman" w:cs="Times New Roman"/>
              </w:rPr>
              <w:t xml:space="preserve">, </w:t>
            </w:r>
            <w:r w:rsidRPr="000009C6">
              <w:rPr>
                <w:rFonts w:ascii="Times New Roman" w:eastAsia="Times New Roman" w:hAnsi="Times New Roman" w:cs="Times New Roman"/>
              </w:rPr>
              <w:t xml:space="preserve">1997; Tassin </w:t>
            </w:r>
            <w:r w:rsidRPr="000009C6">
              <w:rPr>
                <w:rFonts w:ascii="Times New Roman" w:eastAsia="Times New Roman" w:hAnsi="Times New Roman" w:cs="Times New Roman"/>
                <w:i/>
              </w:rPr>
              <w:t>et al.</w:t>
            </w:r>
            <w:r w:rsidRPr="000009C6">
              <w:rPr>
                <w:rFonts w:ascii="Times New Roman" w:eastAsia="Times New Roman" w:hAnsi="Times New Roman" w:cs="Times New Roman"/>
              </w:rPr>
              <w:t>, 2012</w:t>
            </w:r>
          </w:p>
        </w:tc>
      </w:tr>
      <w:tr w:rsidR="009B0448" w:rsidRPr="000009C6" w14:paraId="52CE77C0" w14:textId="77777777" w:rsidTr="009B0448">
        <w:trPr>
          <w:trHeight w:val="2085"/>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03B770"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i/>
                <w:sz w:val="20"/>
                <w:szCs w:val="20"/>
              </w:rPr>
              <w:t>Chromolaena odorata</w:t>
            </w:r>
            <w:r w:rsidRPr="000009C6">
              <w:rPr>
                <w:rFonts w:ascii="Times New Roman" w:eastAsia="Times New Roman" w:hAnsi="Times New Roman" w:cs="Times New Roman"/>
                <w:sz w:val="20"/>
                <w:szCs w:val="20"/>
              </w:rPr>
              <w:t xml:space="preserve"> (Siam weed)</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A10028"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Has taken over pastures, farmlands and wilderness areas; affects plant communities and disrupt forest successions; may seriously impact the populations of western lowland gorillas in Southern Cameroon</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8FC869"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Sub-Saharan Africa, including the Serengeti-Masai Mara area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0841BB"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 xml:space="preserve">van der Hoeven </w:t>
            </w:r>
            <w:r w:rsidRPr="000009C6">
              <w:rPr>
                <w:rFonts w:ascii="Times New Roman" w:eastAsia="Times New Roman" w:hAnsi="Times New Roman" w:cs="Times New Roman"/>
                <w:i/>
                <w:sz w:val="20"/>
                <w:szCs w:val="20"/>
              </w:rPr>
              <w:t>et al.</w:t>
            </w:r>
            <w:r w:rsidRPr="000009C6">
              <w:rPr>
                <w:rFonts w:ascii="Times New Roman" w:eastAsia="Times New Roman" w:hAnsi="Times New Roman" w:cs="Times New Roman"/>
                <w:sz w:val="20"/>
                <w:szCs w:val="20"/>
              </w:rPr>
              <w:t xml:space="preserve">, 2007; Boy </w:t>
            </w:r>
            <w:r w:rsidRPr="000009C6">
              <w:rPr>
                <w:rFonts w:ascii="Times New Roman" w:eastAsia="Times New Roman" w:hAnsi="Times New Roman" w:cs="Times New Roman"/>
                <w:i/>
                <w:sz w:val="20"/>
                <w:szCs w:val="20"/>
              </w:rPr>
              <w:t>et al.</w:t>
            </w:r>
            <w:r w:rsidRPr="000009C6">
              <w:rPr>
                <w:rFonts w:ascii="Times New Roman" w:eastAsia="Times New Roman" w:hAnsi="Times New Roman" w:cs="Times New Roman"/>
                <w:sz w:val="20"/>
                <w:szCs w:val="20"/>
              </w:rPr>
              <w:t>, 2013</w:t>
            </w:r>
          </w:p>
        </w:tc>
      </w:tr>
      <w:tr w:rsidR="009B0448" w:rsidRPr="000009C6" w14:paraId="4BF75D94" w14:textId="77777777" w:rsidTr="009B0448">
        <w:trPr>
          <w:cnfStyle w:val="000000100000" w:firstRow="0" w:lastRow="0" w:firstColumn="0" w:lastColumn="0" w:oddVBand="0" w:evenVBand="0" w:oddHBand="1" w:evenHBand="0" w:firstRowFirstColumn="0" w:firstRowLastColumn="0" w:lastRowFirstColumn="0" w:lastRowLastColumn="0"/>
          <w:trHeight w:val="458"/>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D4F244" w14:textId="77777777" w:rsidR="009B0448" w:rsidRPr="000009C6" w:rsidRDefault="009B0448">
            <w:pPr>
              <w:spacing w:line="276" w:lineRule="auto"/>
              <w:rPr>
                <w:rFonts w:ascii="Times New Roman" w:eastAsia="Times New Roman" w:hAnsi="Times New Roman" w:cs="Times New Roman"/>
                <w:i/>
                <w:sz w:val="20"/>
                <w:szCs w:val="20"/>
              </w:rPr>
            </w:pPr>
            <w:r w:rsidRPr="000009C6">
              <w:rPr>
                <w:rFonts w:ascii="Times New Roman" w:eastAsia="Times New Roman" w:hAnsi="Times New Roman" w:cs="Times New Roman"/>
                <w:i/>
                <w:sz w:val="20"/>
                <w:szCs w:val="20"/>
              </w:rPr>
              <w:t xml:space="preserve">Eichhornia crassipes </w:t>
            </w:r>
            <w:r w:rsidRPr="000009C6">
              <w:rPr>
                <w:rFonts w:ascii="Times New Roman" w:eastAsia="Times New Roman" w:hAnsi="Times New Roman" w:cs="Times New Roman"/>
                <w:sz w:val="20"/>
                <w:szCs w:val="20"/>
              </w:rPr>
              <w:t>(Water Hyacinth)</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5EFBA9"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Covers large areas of lakes and wetlands and interferes with navigation, irrigation and water supply; affects fish breeding patterns particularly cichlids</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E95DE3"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Whole Africa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EC378A0"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 xml:space="preserve">Wanda </w:t>
            </w:r>
            <w:r w:rsidRPr="000009C6">
              <w:rPr>
                <w:rFonts w:ascii="Times New Roman" w:eastAsia="Times New Roman" w:hAnsi="Times New Roman" w:cs="Times New Roman"/>
                <w:i/>
                <w:sz w:val="20"/>
                <w:szCs w:val="20"/>
              </w:rPr>
              <w:t>et al.</w:t>
            </w:r>
            <w:r w:rsidRPr="000009C6">
              <w:rPr>
                <w:rFonts w:ascii="Times New Roman" w:eastAsia="Times New Roman" w:hAnsi="Times New Roman" w:cs="Times New Roman"/>
                <w:sz w:val="20"/>
                <w:szCs w:val="20"/>
              </w:rPr>
              <w:t xml:space="preserve">, 2001; Waithaka, 2013; </w:t>
            </w:r>
          </w:p>
        </w:tc>
      </w:tr>
      <w:tr w:rsidR="009B0448" w:rsidRPr="000009C6" w14:paraId="3DC475EA" w14:textId="77777777" w:rsidTr="009B0448">
        <w:trPr>
          <w:trHeight w:val="916"/>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CDCD3B"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i/>
                <w:sz w:val="20"/>
                <w:szCs w:val="20"/>
              </w:rPr>
              <w:t>Lantana camara</w:t>
            </w:r>
            <w:r w:rsidRPr="000009C6">
              <w:rPr>
                <w:rFonts w:ascii="Times New Roman" w:eastAsia="Times New Roman" w:hAnsi="Times New Roman" w:cs="Times New Roman"/>
                <w:sz w:val="20"/>
                <w:szCs w:val="20"/>
              </w:rPr>
              <w:t xml:space="preserve"> (Lantana)</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4741CD"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Common in fallows and plantations; has invaded almost every Protected Area; facilitates fires</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B42892"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Southern and eastern</w:t>
            </w:r>
          </w:p>
          <w:p w14:paraId="5B852D5F"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Africa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2A8887"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 xml:space="preserve">Boy </w:t>
            </w:r>
            <w:r w:rsidRPr="000009C6">
              <w:rPr>
                <w:rFonts w:ascii="Times New Roman" w:eastAsia="Times New Roman" w:hAnsi="Times New Roman" w:cs="Times New Roman"/>
                <w:i/>
                <w:sz w:val="20"/>
                <w:szCs w:val="20"/>
              </w:rPr>
              <w:t>et al.</w:t>
            </w:r>
            <w:r w:rsidRPr="000009C6">
              <w:rPr>
                <w:rFonts w:ascii="Times New Roman" w:eastAsia="Times New Roman" w:hAnsi="Times New Roman" w:cs="Times New Roman"/>
                <w:sz w:val="20"/>
                <w:szCs w:val="20"/>
              </w:rPr>
              <w:t>, 2013</w:t>
            </w:r>
          </w:p>
        </w:tc>
      </w:tr>
      <w:tr w:rsidR="009B0448" w:rsidRPr="000009C6" w14:paraId="4E721BCD" w14:textId="77777777" w:rsidTr="009B0448">
        <w:trPr>
          <w:cnfStyle w:val="000000100000" w:firstRow="0" w:lastRow="0" w:firstColumn="0" w:lastColumn="0" w:oddVBand="0" w:evenVBand="0" w:oddHBand="1" w:evenHBand="0" w:firstRowFirstColumn="0" w:firstRowLastColumn="0" w:lastRowFirstColumn="0" w:lastRowLastColumn="0"/>
          <w:trHeight w:val="470"/>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EC67CD" w14:textId="77777777" w:rsidR="009B0448" w:rsidRPr="000009C6" w:rsidRDefault="009B0448">
            <w:pPr>
              <w:spacing w:line="276" w:lineRule="auto"/>
              <w:rPr>
                <w:rFonts w:ascii="Times New Roman" w:eastAsia="Times New Roman" w:hAnsi="Times New Roman" w:cs="Times New Roman"/>
                <w:i/>
                <w:sz w:val="20"/>
                <w:szCs w:val="20"/>
              </w:rPr>
            </w:pPr>
            <w:r w:rsidRPr="000009C6">
              <w:rPr>
                <w:rFonts w:ascii="Times New Roman" w:eastAsia="Times New Roman" w:hAnsi="Times New Roman" w:cs="Times New Roman"/>
                <w:i/>
                <w:sz w:val="20"/>
                <w:szCs w:val="20"/>
              </w:rPr>
              <w:t xml:space="preserve">Leucaena leucocephala </w:t>
            </w:r>
            <w:r w:rsidRPr="000009C6">
              <w:rPr>
                <w:rFonts w:ascii="Times New Roman" w:eastAsia="Times New Roman" w:hAnsi="Times New Roman" w:cs="Times New Roman"/>
                <w:sz w:val="20"/>
                <w:szCs w:val="20"/>
              </w:rPr>
              <w:t>(Leucaena)</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C56FC7C" w14:textId="77777777" w:rsidR="009B0448" w:rsidRPr="000009C6" w:rsidRDefault="009B0448">
            <w:pPr>
              <w:spacing w:line="276" w:lineRule="auto"/>
              <w:jc w:val="both"/>
              <w:rPr>
                <w:rFonts w:ascii="Times New Roman" w:eastAsia="Times New Roman" w:hAnsi="Times New Roman" w:cs="Times New Roman"/>
                <w:sz w:val="20"/>
                <w:szCs w:val="20"/>
              </w:rPr>
            </w:pP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211928"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Sub-Saharan Africa.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CEF3F6"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 xml:space="preserve">Boy </w:t>
            </w:r>
            <w:r w:rsidRPr="000009C6">
              <w:rPr>
                <w:rFonts w:ascii="Times New Roman" w:eastAsia="Times New Roman" w:hAnsi="Times New Roman" w:cs="Times New Roman"/>
                <w:i/>
                <w:sz w:val="20"/>
                <w:szCs w:val="20"/>
              </w:rPr>
              <w:t>et al.</w:t>
            </w:r>
            <w:r w:rsidRPr="000009C6">
              <w:rPr>
                <w:rFonts w:ascii="Times New Roman" w:eastAsia="Times New Roman" w:hAnsi="Times New Roman" w:cs="Times New Roman"/>
                <w:sz w:val="20"/>
                <w:szCs w:val="20"/>
              </w:rPr>
              <w:t>, 2013</w:t>
            </w:r>
          </w:p>
        </w:tc>
      </w:tr>
      <w:tr w:rsidR="009B0448" w:rsidRPr="000009C6" w14:paraId="33A702BA" w14:textId="77777777" w:rsidTr="009B0448">
        <w:trPr>
          <w:trHeight w:val="458"/>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A175FF" w14:textId="77777777" w:rsidR="009B0448" w:rsidRPr="000009C6" w:rsidRDefault="009B0448">
            <w:pPr>
              <w:spacing w:line="276" w:lineRule="auto"/>
              <w:rPr>
                <w:rFonts w:ascii="Times New Roman" w:eastAsia="Times New Roman" w:hAnsi="Times New Roman" w:cs="Times New Roman"/>
                <w:i/>
                <w:sz w:val="20"/>
                <w:szCs w:val="20"/>
              </w:rPr>
            </w:pPr>
            <w:r w:rsidRPr="000009C6">
              <w:rPr>
                <w:rFonts w:ascii="Times New Roman" w:eastAsia="Times New Roman" w:hAnsi="Times New Roman" w:cs="Times New Roman"/>
                <w:i/>
                <w:sz w:val="20"/>
                <w:szCs w:val="20"/>
              </w:rPr>
              <w:t xml:space="preserve">Mimosa pigra </w:t>
            </w:r>
            <w:r w:rsidRPr="000009C6">
              <w:rPr>
                <w:rFonts w:ascii="Times New Roman" w:eastAsia="Times New Roman" w:hAnsi="Times New Roman" w:cs="Times New Roman"/>
                <w:sz w:val="20"/>
                <w:szCs w:val="20"/>
              </w:rPr>
              <w:t>(Giant Sensitive Plant)</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38680A"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Invades wetlands, swamps and floodplains</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FC2E82"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Sub-Saharan Africa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911A34"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 xml:space="preserve">Witt, 2010; Boy </w:t>
            </w:r>
            <w:r w:rsidRPr="000009C6">
              <w:rPr>
                <w:rFonts w:ascii="Times New Roman" w:eastAsia="Times New Roman" w:hAnsi="Times New Roman" w:cs="Times New Roman"/>
                <w:i/>
                <w:sz w:val="20"/>
                <w:szCs w:val="20"/>
              </w:rPr>
              <w:t>et al.</w:t>
            </w:r>
            <w:r w:rsidRPr="000009C6">
              <w:rPr>
                <w:rFonts w:ascii="Times New Roman" w:eastAsia="Times New Roman" w:hAnsi="Times New Roman" w:cs="Times New Roman"/>
                <w:sz w:val="20"/>
                <w:szCs w:val="20"/>
              </w:rPr>
              <w:t>, 2013</w:t>
            </w:r>
          </w:p>
        </w:tc>
      </w:tr>
      <w:tr w:rsidR="009B0448" w:rsidRPr="000009C6" w14:paraId="4F2F8C1B" w14:textId="77777777" w:rsidTr="009B0448">
        <w:trPr>
          <w:cnfStyle w:val="000000100000" w:firstRow="0" w:lastRow="0" w:firstColumn="0" w:lastColumn="0" w:oddVBand="0" w:evenVBand="0" w:oddHBand="1" w:evenHBand="0" w:firstRowFirstColumn="0" w:firstRowLastColumn="0" w:lastRowFirstColumn="0" w:lastRowLastColumn="0"/>
          <w:trHeight w:val="1145"/>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205823"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i/>
                <w:sz w:val="20"/>
                <w:szCs w:val="20"/>
              </w:rPr>
              <w:t>Parthenium hysterophorus</w:t>
            </w:r>
            <w:r w:rsidRPr="000009C6">
              <w:rPr>
                <w:rFonts w:ascii="Times New Roman" w:eastAsia="Times New Roman" w:hAnsi="Times New Roman" w:cs="Times New Roman"/>
                <w:sz w:val="20"/>
                <w:szCs w:val="20"/>
              </w:rPr>
              <w:t xml:space="preserve"> (Parthenium weed)</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E203E4"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Impacts on crop yields and wilderness areas; contain potents allergens affecting grazing and browsing animals; taints the milk</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1BC1F1C"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Eastern Africa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027AD8"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 xml:space="preserve">Witt, 2010; Boy </w:t>
            </w:r>
            <w:r w:rsidRPr="000009C6">
              <w:rPr>
                <w:rFonts w:ascii="Times New Roman" w:eastAsia="Times New Roman" w:hAnsi="Times New Roman" w:cs="Times New Roman"/>
                <w:i/>
                <w:sz w:val="20"/>
                <w:szCs w:val="20"/>
              </w:rPr>
              <w:t>et al.</w:t>
            </w:r>
            <w:r w:rsidRPr="000009C6">
              <w:rPr>
                <w:rFonts w:ascii="Times New Roman" w:eastAsia="Times New Roman" w:hAnsi="Times New Roman" w:cs="Times New Roman"/>
                <w:sz w:val="20"/>
                <w:szCs w:val="20"/>
              </w:rPr>
              <w:t xml:space="preserve">, 2013 </w:t>
            </w:r>
          </w:p>
        </w:tc>
      </w:tr>
      <w:tr w:rsidR="009B0448" w:rsidRPr="000009C6" w14:paraId="5E7FB3C9" w14:textId="77777777" w:rsidTr="009B0448">
        <w:trPr>
          <w:trHeight w:val="699"/>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E1EC744"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i/>
                <w:sz w:val="20"/>
                <w:szCs w:val="20"/>
              </w:rPr>
              <w:t>Prosopis juliflora</w:t>
            </w:r>
            <w:r w:rsidRPr="000009C6">
              <w:rPr>
                <w:rFonts w:ascii="Times New Roman" w:eastAsia="Times New Roman" w:hAnsi="Times New Roman" w:cs="Times New Roman"/>
                <w:sz w:val="20"/>
                <w:szCs w:val="20"/>
              </w:rPr>
              <w:t xml:space="preserve"> (Mesquite)</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CF6547"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Invades pasture lands and has become a noxious weed</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6D2C17"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Ethiopia, Kenya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F4112EB" w14:textId="77777777" w:rsidR="009B0448" w:rsidRPr="000009C6" w:rsidRDefault="009B0448">
            <w:pPr>
              <w:spacing w:line="276" w:lineRule="auto"/>
              <w:rPr>
                <w:rFonts w:ascii="Times New Roman" w:eastAsia="Times New Roman" w:hAnsi="Times New Roman" w:cs="Times New Roman"/>
                <w:sz w:val="20"/>
                <w:szCs w:val="20"/>
                <w:lang w:val="de-DE"/>
              </w:rPr>
            </w:pPr>
            <w:r w:rsidRPr="000009C6">
              <w:rPr>
                <w:rFonts w:ascii="Times New Roman" w:eastAsia="Times New Roman" w:hAnsi="Times New Roman" w:cs="Times New Roman"/>
                <w:sz w:val="20"/>
                <w:szCs w:val="20"/>
                <w:lang w:val="de-DE"/>
              </w:rPr>
              <w:t xml:space="preserve">Mwangi </w:t>
            </w:r>
            <w:r w:rsidRPr="000009C6">
              <w:rPr>
                <w:rFonts w:ascii="Times New Roman" w:eastAsia="Times New Roman" w:hAnsi="Times New Roman" w:cs="Times New Roman"/>
                <w:i/>
                <w:sz w:val="20"/>
                <w:szCs w:val="20"/>
                <w:lang w:val="de-DE"/>
              </w:rPr>
              <w:t>et al.</w:t>
            </w:r>
            <w:r w:rsidRPr="000009C6">
              <w:rPr>
                <w:rFonts w:ascii="Times New Roman" w:eastAsia="Times New Roman" w:hAnsi="Times New Roman" w:cs="Times New Roman"/>
                <w:sz w:val="20"/>
                <w:szCs w:val="20"/>
                <w:lang w:val="de-DE"/>
              </w:rPr>
              <w:t>, 2005; Witt, 2010; Tessema, 2012</w:t>
            </w:r>
          </w:p>
        </w:tc>
      </w:tr>
      <w:tr w:rsidR="009B0448" w:rsidRPr="000009C6" w14:paraId="07340750" w14:textId="77777777" w:rsidTr="009B0448">
        <w:trPr>
          <w:cnfStyle w:val="000000100000" w:firstRow="0" w:lastRow="0" w:firstColumn="0" w:lastColumn="0" w:oddVBand="0" w:evenVBand="0" w:oddHBand="1" w:evenHBand="0" w:firstRowFirstColumn="0" w:firstRowLastColumn="0" w:lastRowFirstColumn="0" w:lastRowLastColumn="0"/>
          <w:trHeight w:val="458"/>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210DDE"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i/>
                <w:sz w:val="20"/>
                <w:szCs w:val="20"/>
              </w:rPr>
              <w:t xml:space="preserve">Salvinia molesta </w:t>
            </w:r>
            <w:r w:rsidRPr="000009C6">
              <w:rPr>
                <w:rFonts w:ascii="Times New Roman" w:eastAsia="Times New Roman" w:hAnsi="Times New Roman" w:cs="Times New Roman"/>
                <w:sz w:val="20"/>
                <w:szCs w:val="20"/>
              </w:rPr>
              <w:t>(Kariba Weed)</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1DF468"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Blocking waterways and diminishing fish stocks.</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F36362A"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Whole Africa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C8B0D1"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 xml:space="preserve">Boy </w:t>
            </w:r>
            <w:r w:rsidRPr="000009C6">
              <w:rPr>
                <w:rFonts w:ascii="Times New Roman" w:eastAsia="Times New Roman" w:hAnsi="Times New Roman" w:cs="Times New Roman"/>
                <w:i/>
                <w:sz w:val="20"/>
                <w:szCs w:val="20"/>
              </w:rPr>
              <w:t>et al.</w:t>
            </w:r>
            <w:r w:rsidRPr="000009C6">
              <w:rPr>
                <w:rFonts w:ascii="Times New Roman" w:eastAsia="Times New Roman" w:hAnsi="Times New Roman" w:cs="Times New Roman"/>
                <w:sz w:val="20"/>
                <w:szCs w:val="20"/>
              </w:rPr>
              <w:t>, 2013</w:t>
            </w:r>
          </w:p>
        </w:tc>
      </w:tr>
      <w:tr w:rsidR="009B0448" w:rsidRPr="000009C6" w14:paraId="3B284000" w14:textId="77777777" w:rsidTr="009B0448">
        <w:trPr>
          <w:trHeight w:val="916"/>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09432E"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i/>
                <w:sz w:val="20"/>
                <w:szCs w:val="20"/>
              </w:rPr>
              <w:t xml:space="preserve">Senna spectabilis </w:t>
            </w:r>
            <w:r w:rsidRPr="000009C6">
              <w:rPr>
                <w:rFonts w:ascii="Times New Roman" w:eastAsia="Times New Roman" w:hAnsi="Times New Roman" w:cs="Times New Roman"/>
                <w:sz w:val="20"/>
                <w:szCs w:val="20"/>
              </w:rPr>
              <w:t>(Cassia)</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63219C"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Dominates understorey in forested areas, and affects the food supply of chimpanzees</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0D5F13"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Tanzania, Uganda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20529FB"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 xml:space="preserve">Turner, 1996; Nashida, 1996; Boy </w:t>
            </w:r>
            <w:r w:rsidRPr="000009C6">
              <w:rPr>
                <w:rFonts w:ascii="Times New Roman" w:eastAsia="Times New Roman" w:hAnsi="Times New Roman" w:cs="Times New Roman"/>
                <w:i/>
                <w:sz w:val="20"/>
                <w:szCs w:val="20"/>
              </w:rPr>
              <w:t>et al.</w:t>
            </w:r>
            <w:r w:rsidRPr="000009C6">
              <w:rPr>
                <w:rFonts w:ascii="Times New Roman" w:eastAsia="Times New Roman" w:hAnsi="Times New Roman" w:cs="Times New Roman"/>
                <w:sz w:val="20"/>
                <w:szCs w:val="20"/>
              </w:rPr>
              <w:t>, 2013</w:t>
            </w:r>
          </w:p>
        </w:tc>
      </w:tr>
      <w:tr w:rsidR="009B0448" w:rsidRPr="000009C6" w14:paraId="11FBCF8E" w14:textId="77777777" w:rsidTr="009B0448">
        <w:trPr>
          <w:cnfStyle w:val="000000100000" w:firstRow="0" w:lastRow="0" w:firstColumn="0" w:lastColumn="0" w:oddVBand="0" w:evenVBand="0" w:oddHBand="1" w:evenHBand="0" w:firstRowFirstColumn="0" w:firstRowLastColumn="0" w:lastRowFirstColumn="0" w:lastRowLastColumn="0"/>
          <w:trHeight w:val="516"/>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2C1439"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i/>
                <w:sz w:val="20"/>
                <w:szCs w:val="20"/>
              </w:rPr>
              <w:t xml:space="preserve">Striga </w:t>
            </w:r>
            <w:r w:rsidRPr="000009C6">
              <w:rPr>
                <w:rFonts w:ascii="Times New Roman" w:eastAsia="Times New Roman" w:hAnsi="Times New Roman" w:cs="Times New Roman"/>
                <w:sz w:val="20"/>
                <w:szCs w:val="20"/>
              </w:rPr>
              <w:t>sp. pl. (Striga)</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10887A"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Invade crops (cereal and legumes)</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508BE2"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Whole Africa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133598" w14:textId="77777777" w:rsidR="009B0448" w:rsidRPr="000009C6" w:rsidRDefault="009B0448">
            <w:pPr>
              <w:spacing w:line="276" w:lineRule="auto"/>
              <w:rPr>
                <w:rFonts w:ascii="Times New Roman" w:eastAsia="Times New Roman" w:hAnsi="Times New Roman" w:cs="Times New Roman"/>
                <w:sz w:val="20"/>
                <w:szCs w:val="20"/>
              </w:rPr>
            </w:pPr>
          </w:p>
        </w:tc>
      </w:tr>
      <w:tr w:rsidR="009B0448" w:rsidRPr="000009C6" w14:paraId="181992E0" w14:textId="77777777" w:rsidTr="009B0448">
        <w:trPr>
          <w:trHeight w:val="229"/>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4562B12"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Animal species</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8BEF2A7" w14:textId="77777777" w:rsidR="009B0448" w:rsidRPr="000009C6" w:rsidRDefault="009B0448">
            <w:pPr>
              <w:spacing w:line="276" w:lineRule="auto"/>
              <w:jc w:val="both"/>
              <w:rPr>
                <w:rFonts w:ascii="Times New Roman" w:eastAsia="Times New Roman" w:hAnsi="Times New Roman" w:cs="Times New Roman"/>
                <w:sz w:val="20"/>
                <w:szCs w:val="20"/>
              </w:rPr>
            </w:pP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06FFBCF" w14:textId="77777777" w:rsidR="009B0448" w:rsidRPr="000009C6" w:rsidRDefault="009B0448">
            <w:pPr>
              <w:spacing w:line="276" w:lineRule="auto"/>
              <w:rPr>
                <w:rFonts w:ascii="Times New Roman" w:eastAsia="Times New Roman" w:hAnsi="Times New Roman" w:cs="Times New Roman"/>
                <w:sz w:val="20"/>
                <w:szCs w:val="20"/>
              </w:rPr>
            </w:pP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31C19E0" w14:textId="77777777" w:rsidR="009B0448" w:rsidRPr="000009C6" w:rsidRDefault="009B0448">
            <w:pPr>
              <w:spacing w:line="276" w:lineRule="auto"/>
              <w:rPr>
                <w:rFonts w:ascii="Times New Roman" w:eastAsia="Times New Roman" w:hAnsi="Times New Roman" w:cs="Times New Roman"/>
                <w:sz w:val="20"/>
                <w:szCs w:val="20"/>
              </w:rPr>
            </w:pPr>
          </w:p>
        </w:tc>
      </w:tr>
      <w:tr w:rsidR="009B0448" w:rsidRPr="000009C6" w14:paraId="6EF91FA0" w14:textId="77777777" w:rsidTr="009B0448">
        <w:trPr>
          <w:cnfStyle w:val="000000100000" w:firstRow="0" w:lastRow="0" w:firstColumn="0" w:lastColumn="0" w:oddVBand="0" w:evenVBand="0" w:oddHBand="1" w:evenHBand="0" w:firstRowFirstColumn="0" w:firstRowLastColumn="0" w:lastRowFirstColumn="0" w:lastRowLastColumn="0"/>
          <w:trHeight w:val="470"/>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244F74"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i/>
                <w:sz w:val="20"/>
                <w:szCs w:val="20"/>
              </w:rPr>
              <w:t>Acridotheres tristis</w:t>
            </w:r>
            <w:r w:rsidRPr="000009C6">
              <w:rPr>
                <w:rFonts w:ascii="Times New Roman" w:eastAsia="Times New Roman" w:hAnsi="Times New Roman" w:cs="Times New Roman"/>
                <w:sz w:val="20"/>
                <w:szCs w:val="20"/>
              </w:rPr>
              <w:t xml:space="preserve"> (Mynah)</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08D1D6"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Competition with native birds</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66B72A"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West Indian Ocean islands</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C8D977B" w14:textId="77777777" w:rsidR="009B0448" w:rsidRPr="000009C6" w:rsidRDefault="009B0448">
            <w:pPr>
              <w:spacing w:line="276" w:lineRule="auto"/>
              <w:rPr>
                <w:rFonts w:ascii="Times New Roman" w:eastAsia="Times New Roman" w:hAnsi="Times New Roman" w:cs="Times New Roman"/>
                <w:sz w:val="20"/>
                <w:szCs w:val="20"/>
              </w:rPr>
            </w:pPr>
          </w:p>
        </w:tc>
      </w:tr>
      <w:tr w:rsidR="009B0448" w:rsidRPr="000009C6" w14:paraId="38AD070A" w14:textId="77777777" w:rsidTr="009B0448">
        <w:trPr>
          <w:trHeight w:val="1374"/>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63F2413"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i/>
                <w:sz w:val="20"/>
                <w:szCs w:val="20"/>
              </w:rPr>
              <w:t xml:space="preserve">Procambarus clarkii </w:t>
            </w:r>
            <w:r w:rsidRPr="000009C6">
              <w:rPr>
                <w:rFonts w:ascii="Times New Roman" w:eastAsia="Times New Roman" w:hAnsi="Times New Roman" w:cs="Times New Roman"/>
                <w:sz w:val="20"/>
                <w:szCs w:val="20"/>
              </w:rPr>
              <w:t>(Louisiana crayfish)</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57DCEC"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Disappearance of submerged vegetation, freshwater crabs, predation of fish eggs and tadpoles; damage to fish catch and disruption of fishing gear; destabilization of freshwater otter prey base; damage to dam and reservoirs</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8C3126B"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Freshwater ecosystems of Eastern and Southern Africa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A64DB1"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 xml:space="preserve">Howard </w:t>
            </w:r>
            <w:r w:rsidRPr="000009C6">
              <w:rPr>
                <w:rFonts w:ascii="Times New Roman" w:eastAsia="Times New Roman" w:hAnsi="Times New Roman" w:cs="Times New Roman"/>
                <w:i/>
                <w:sz w:val="20"/>
                <w:szCs w:val="20"/>
              </w:rPr>
              <w:t>et al.</w:t>
            </w:r>
            <w:r w:rsidRPr="000009C6">
              <w:rPr>
                <w:rFonts w:ascii="Times New Roman" w:eastAsia="Times New Roman" w:hAnsi="Times New Roman" w:cs="Times New Roman"/>
                <w:sz w:val="20"/>
                <w:szCs w:val="20"/>
              </w:rPr>
              <w:t>, 2003</w:t>
            </w:r>
          </w:p>
          <w:p w14:paraId="0CFF4955"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 xml:space="preserve">Ogada </w:t>
            </w:r>
            <w:r w:rsidRPr="000009C6">
              <w:rPr>
                <w:rFonts w:ascii="Times New Roman" w:eastAsia="Times New Roman" w:hAnsi="Times New Roman" w:cs="Times New Roman"/>
                <w:i/>
                <w:sz w:val="20"/>
                <w:szCs w:val="20"/>
              </w:rPr>
              <w:t>et al.</w:t>
            </w:r>
            <w:r w:rsidRPr="000009C6">
              <w:rPr>
                <w:rFonts w:ascii="Times New Roman" w:eastAsia="Times New Roman" w:hAnsi="Times New Roman" w:cs="Times New Roman"/>
                <w:sz w:val="20"/>
                <w:szCs w:val="20"/>
              </w:rPr>
              <w:t>, 2009</w:t>
            </w:r>
          </w:p>
        </w:tc>
      </w:tr>
      <w:tr w:rsidR="009B0448" w:rsidRPr="000009C6" w14:paraId="2F7912BC" w14:textId="77777777" w:rsidTr="009B0448">
        <w:trPr>
          <w:cnfStyle w:val="000000100000" w:firstRow="0" w:lastRow="0" w:firstColumn="0" w:lastColumn="0" w:oddVBand="0" w:evenVBand="0" w:oddHBand="1" w:evenHBand="0" w:firstRowFirstColumn="0" w:firstRowLastColumn="0" w:lastRowFirstColumn="0" w:lastRowLastColumn="0"/>
          <w:trHeight w:val="928"/>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0F3D735"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i/>
                <w:sz w:val="20"/>
                <w:szCs w:val="20"/>
              </w:rPr>
              <w:t>Lates niloticus</w:t>
            </w:r>
            <w:r w:rsidRPr="000009C6">
              <w:rPr>
                <w:rFonts w:ascii="Times New Roman" w:eastAsia="Times New Roman" w:hAnsi="Times New Roman" w:cs="Times New Roman"/>
                <w:sz w:val="20"/>
                <w:szCs w:val="20"/>
              </w:rPr>
              <w:t xml:space="preserve"> (Nile Perch)</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593FE86"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Reduced by half the native haplochromine cichlid fish species of Lake Vicotria through predation</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980E3C"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Lake Victoria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966C612"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Ogutu-Ohwayo, 1999</w:t>
            </w:r>
          </w:p>
          <w:p w14:paraId="76C99C2B"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Pringle, 2005</w:t>
            </w:r>
          </w:p>
        </w:tc>
      </w:tr>
      <w:tr w:rsidR="009B0448" w:rsidRPr="000009C6" w14:paraId="79E88DE5" w14:textId="77777777" w:rsidTr="009B0448">
        <w:trPr>
          <w:trHeight w:val="928"/>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D08C8A"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i/>
                <w:sz w:val="20"/>
                <w:szCs w:val="20"/>
              </w:rPr>
              <w:t xml:space="preserve">Oncorhynchus mykiss </w:t>
            </w:r>
            <w:r w:rsidRPr="000009C6">
              <w:rPr>
                <w:rFonts w:ascii="Times New Roman" w:eastAsia="Times New Roman" w:hAnsi="Times New Roman" w:cs="Times New Roman"/>
                <w:sz w:val="20"/>
                <w:szCs w:val="20"/>
              </w:rPr>
              <w:t>Rainbow Trout)</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AC6699"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 xml:space="preserve">Disappearance and local extinction of endemic mountain catfishes </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E8B49A" w14:textId="77777777" w:rsidR="009B0448" w:rsidRPr="000009C6" w:rsidRDefault="009B0448">
            <w:pPr>
              <w:spacing w:line="276" w:lineRule="auto"/>
              <w:rPr>
                <w:rFonts w:ascii="Times New Roman" w:eastAsia="Times New Roman" w:hAnsi="Times New Roman" w:cs="Times New Roman"/>
                <w:sz w:val="20"/>
                <w:szCs w:val="20"/>
              </w:rPr>
            </w:pP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655A8D"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Cambray, 2003;</w:t>
            </w:r>
          </w:p>
          <w:p w14:paraId="464FAE8F"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hAnsi="Times New Roman" w:cs="Times New Roman"/>
              </w:rPr>
              <w:t xml:space="preserve">Woodford </w:t>
            </w:r>
            <w:r w:rsidRPr="000009C6">
              <w:rPr>
                <w:rFonts w:ascii="Times New Roman" w:hAnsi="Times New Roman" w:cs="Times New Roman"/>
                <w:i/>
              </w:rPr>
              <w:t>et al.</w:t>
            </w:r>
            <w:r w:rsidRPr="000009C6">
              <w:rPr>
                <w:rFonts w:ascii="Times New Roman" w:hAnsi="Times New Roman" w:cs="Times New Roman"/>
              </w:rPr>
              <w:t>, 2004</w:t>
            </w:r>
          </w:p>
        </w:tc>
      </w:tr>
      <w:tr w:rsidR="009B0448" w:rsidRPr="000009C6" w14:paraId="1073421A" w14:textId="77777777" w:rsidTr="009B0448">
        <w:trPr>
          <w:cnfStyle w:val="000000100000" w:firstRow="0" w:lastRow="0" w:firstColumn="0" w:lastColumn="0" w:oddVBand="0" w:evenVBand="0" w:oddHBand="1" w:evenHBand="0" w:firstRowFirstColumn="0" w:firstRowLastColumn="0" w:lastRowFirstColumn="0" w:lastRowLastColumn="0"/>
          <w:trHeight w:val="458"/>
        </w:trPr>
        <w:tc>
          <w:tcPr>
            <w:tcW w:w="25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98843F"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i/>
                <w:sz w:val="20"/>
                <w:szCs w:val="20"/>
              </w:rPr>
              <w:t>Rattus rattus</w:t>
            </w:r>
            <w:r w:rsidRPr="000009C6">
              <w:rPr>
                <w:rFonts w:ascii="Times New Roman" w:eastAsia="Times New Roman" w:hAnsi="Times New Roman" w:cs="Times New Roman"/>
                <w:sz w:val="20"/>
                <w:szCs w:val="20"/>
              </w:rPr>
              <w:t xml:space="preserve"> (Rat)</w:t>
            </w:r>
          </w:p>
        </w:tc>
        <w:tc>
          <w:tcPr>
            <w:tcW w:w="259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16610C"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Impact on crops, and on native flora and fauna</w:t>
            </w:r>
          </w:p>
        </w:tc>
        <w:tc>
          <w:tcPr>
            <w:tcW w:w="20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495BC03" w14:textId="77777777" w:rsidR="009B0448" w:rsidRPr="000009C6" w:rsidRDefault="009B0448">
            <w:pPr>
              <w:spacing w:line="276" w:lineRule="auto"/>
              <w:rPr>
                <w:rFonts w:ascii="Times New Roman" w:eastAsia="Times New Roman" w:hAnsi="Times New Roman" w:cs="Times New Roman"/>
                <w:sz w:val="20"/>
                <w:szCs w:val="20"/>
              </w:rPr>
            </w:pPr>
            <w:r w:rsidRPr="000009C6">
              <w:rPr>
                <w:rFonts w:ascii="Times New Roman" w:eastAsia="Times New Roman" w:hAnsi="Times New Roman" w:cs="Times New Roman"/>
                <w:sz w:val="20"/>
                <w:szCs w:val="20"/>
              </w:rPr>
              <w:t>Whole Africa</w:t>
            </w:r>
          </w:p>
        </w:tc>
        <w:tc>
          <w:tcPr>
            <w:tcW w:w="266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F5A90D6" w14:textId="77777777" w:rsidR="009B0448" w:rsidRPr="000009C6" w:rsidRDefault="009B0448">
            <w:pPr>
              <w:spacing w:line="276" w:lineRule="auto"/>
              <w:rPr>
                <w:rFonts w:ascii="Times New Roman" w:eastAsia="Times New Roman" w:hAnsi="Times New Roman" w:cs="Times New Roman"/>
                <w:sz w:val="20"/>
                <w:szCs w:val="20"/>
              </w:rPr>
            </w:pPr>
          </w:p>
        </w:tc>
      </w:tr>
    </w:tbl>
    <w:p w14:paraId="30BBA98D" w14:textId="77777777" w:rsidR="009B0448" w:rsidRPr="009B0448" w:rsidRDefault="009B0448" w:rsidP="009B0448">
      <w:pPr>
        <w:spacing w:line="276" w:lineRule="auto"/>
        <w:jc w:val="both"/>
        <w:rPr>
          <w:rFonts w:ascii="Times New Roman" w:eastAsia="Times New Roman" w:hAnsi="Times New Roman" w:cs="Times New Roman"/>
        </w:rPr>
      </w:pPr>
    </w:p>
    <w:p w14:paraId="65B80F26" w14:textId="698AD04C"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current pattern suggests the number of invasive alien species in African countries have increased markedly in the last decades, with 207 identified in South Africa, 104 in Tanzania, 107 in Kenya and 103 in Morocco alone (see Figure 4.16(b)). South Africa is the only country in sub-Saharan Africa having a sustained and funded program to deal with invasive alien species (Boy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specifically plant species. It has set up a large Working for Water Program which has cleared about 1 million hectares of land invaded by alien plants, offering job to 20,000 people from disadvantaged communities (Department of Water Affairs in South Africa, 2010; Boy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2013). More efforts are needed to combat invasive alien plants across the continent in order to improve benefits African peoples might receive from nature’s contribution to people.</w:t>
      </w:r>
    </w:p>
    <w:p w14:paraId="612A1771" w14:textId="50D3CE45"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48A6FEA9" wp14:editId="48DD36C4">
            <wp:extent cx="5736676" cy="3103926"/>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051">
                      <a:extLst>
                        <a:ext uri="{28A0092B-C50C-407E-A947-70E740481C1C}">
                          <a14:useLocalDpi xmlns:a14="http://schemas.microsoft.com/office/drawing/2010/main" val="0"/>
                        </a:ext>
                      </a:extLst>
                    </a:blip>
                    <a:stretch>
                      <a:fillRect/>
                    </a:stretch>
                  </pic:blipFill>
                  <pic:spPr bwMode="auto">
                    <a:xfrm>
                      <a:off x="0" y="0"/>
                      <a:ext cx="5740061" cy="3105758"/>
                    </a:xfrm>
                    <a:prstGeom prst="rect">
                      <a:avLst/>
                    </a:prstGeom>
                    <a:noFill/>
                    <a:ln>
                      <a:noFill/>
                    </a:ln>
                  </pic:spPr>
                </pic:pic>
              </a:graphicData>
            </a:graphic>
          </wp:inline>
        </w:drawing>
      </w:r>
    </w:p>
    <w:p w14:paraId="27A17CE8" w14:textId="79418A0C" w:rsidR="00D32AA1" w:rsidRDefault="009B0448" w:rsidP="00D32AA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4.16:</w:t>
      </w:r>
      <w:r w:rsidRPr="009B0448">
        <w:rPr>
          <w:rFonts w:ascii="Times New Roman" w:eastAsia="Times New Roman" w:hAnsi="Times New Roman" w:cs="Times New Roman"/>
        </w:rPr>
        <w:t xml:space="preserve"> The incidence of invasive alien plants in Africa in 2004 and 2017. Data sources: For 2004, Chenje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and for 2017, </w:t>
      </w:r>
      <w:hyperlink r:id="rId1052" w:history="1">
        <w:r w:rsidRPr="009B0448">
          <w:rPr>
            <w:rStyle w:val="Hyperlink"/>
            <w:rFonts w:ascii="Times New Roman" w:hAnsi="Times New Roman" w:cs="Times New Roman"/>
          </w:rPr>
          <w:t>http://www.iucngisd.org/gisd/</w:t>
        </w:r>
      </w:hyperlink>
      <w:r w:rsidRPr="009B0448">
        <w:rPr>
          <w:rFonts w:ascii="Times New Roman" w:eastAsia="Times New Roman" w:hAnsi="Times New Roman" w:cs="Times New Roman"/>
        </w:rPr>
        <w:t xml:space="preserve"> </w:t>
      </w:r>
      <w:r w:rsidR="00D32AA1">
        <w:rPr>
          <w:rFonts w:ascii="Times New Roman" w:eastAsia="Times New Roman" w:hAnsi="Times New Roman" w:cs="Times New Roman"/>
        </w:rPr>
        <w:br w:type="page"/>
      </w:r>
    </w:p>
    <w:p w14:paraId="6BF3373B"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292" w:name="_Toc503032785"/>
      <w:bookmarkStart w:id="293" w:name="_Toc519499955"/>
      <w:r w:rsidRPr="009B0448">
        <w:rPr>
          <w:rFonts w:cs="Times New Roman"/>
          <w:sz w:val="22"/>
          <w:szCs w:val="22"/>
        </w:rPr>
        <w:t>Pollution (soil, water, air)</w:t>
      </w:r>
      <w:bookmarkEnd w:id="292"/>
      <w:bookmarkEnd w:id="293"/>
    </w:p>
    <w:p w14:paraId="6C9ACFF0" w14:textId="0FD7B865"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section assesses literature regarding extent and patterns of soil, water and air pollution as drivers for changes in biodiversity and nature’s contributions to people. Such assessment is based on the spatial location bearing in mind Africa’s existing ecological zones. Pollution causes could either be anthropogenic or natural with the former escalating at an alarming rate in Africa. Pollutants that affect biodiversity in Africa are characterized as either chemical, physical or biological and the spatial considerations are evaluated with regard to whether the pollutants are air, water or soil pollutants; point or non-point source with a </w:t>
      </w:r>
      <w:r w:rsidR="00B22D81">
        <w:rPr>
          <w:rFonts w:ascii="Times New Roman" w:eastAsia="Times New Roman" w:hAnsi="Times New Roman" w:cs="Times New Roman"/>
        </w:rPr>
        <w:t>subregion</w:t>
      </w:r>
      <w:r w:rsidRPr="009B0448">
        <w:rPr>
          <w:rFonts w:ascii="Times New Roman" w:eastAsia="Times New Roman" w:hAnsi="Times New Roman" w:cs="Times New Roman"/>
        </w:rPr>
        <w:t xml:space="preserve">al focus. </w:t>
      </w:r>
    </w:p>
    <w:p w14:paraId="0A280D9F"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r w:rsidRPr="009B0448">
        <w:rPr>
          <w:rFonts w:cs="Times New Roman"/>
          <w:b w:val="0"/>
          <w:sz w:val="22"/>
          <w:szCs w:val="22"/>
        </w:rPr>
        <w:t xml:space="preserve"> </w:t>
      </w:r>
      <w:bookmarkStart w:id="294" w:name="_Toc519499956"/>
      <w:r w:rsidRPr="009B0448">
        <w:rPr>
          <w:rFonts w:cs="Times New Roman"/>
          <w:b w:val="0"/>
          <w:sz w:val="22"/>
          <w:szCs w:val="22"/>
        </w:rPr>
        <w:t>Soil Pollution</w:t>
      </w:r>
      <w:bookmarkEnd w:id="294"/>
    </w:p>
    <w:p w14:paraId="3D9F41BD" w14:textId="58F38EDC"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Non-point anthropogenic chemical contaminants of soil that are of great concern in Africa include the agrochemicals whose great rise has been mainly as a response to need to feed the growing population. This is worsened by the changing lifestyles of a large majority of Africans, from agricultural to urban dwelling persons, whose labour input in the farmlands have to be replaced with mechanization and application of herbicides (Freire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2014). The current urban population is about 40%, an increase from 15% in 1960 and is expected to soar to 60% by 2050 (Obeng-Odoom, 2013). Use of increased varieties and quantities of pesticides have been recorded in a number of co</w:t>
      </w:r>
      <w:r w:rsidR="00C813C5">
        <w:rPr>
          <w:rFonts w:ascii="Times New Roman" w:eastAsia="Times New Roman" w:hAnsi="Times New Roman" w:cs="Times New Roman"/>
        </w:rPr>
        <w:t>untries concomitant with urbanis</w:t>
      </w:r>
      <w:r w:rsidRPr="009B0448">
        <w:rPr>
          <w:rFonts w:ascii="Times New Roman" w:eastAsia="Times New Roman" w:hAnsi="Times New Roman" w:cs="Times New Roman"/>
        </w:rPr>
        <w:t xml:space="preserve">ation, population growth, and expansion of agriculturally dependent economies in Africa (Nonga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Quinn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w:t>
      </w:r>
      <w:r w:rsidRPr="009B0448">
        <w:rPr>
          <w:rFonts w:ascii="Times New Roman" w:eastAsiaTheme="minorHAnsi" w:hAnsi="Times New Roman" w:cs="Times New Roman"/>
          <w:color w:val="auto"/>
        </w:rPr>
        <w:t xml:space="preserve">Byerlee </w:t>
      </w:r>
      <w:r w:rsidRPr="009B0448">
        <w:rPr>
          <w:rFonts w:ascii="Times New Roman" w:eastAsiaTheme="minorHAnsi" w:hAnsi="Times New Roman" w:cs="Times New Roman"/>
          <w:i/>
          <w:color w:val="auto"/>
        </w:rPr>
        <w:t>et al</w:t>
      </w:r>
      <w:r w:rsidRPr="009B0448">
        <w:rPr>
          <w:rFonts w:ascii="Times New Roman" w:eastAsiaTheme="minorHAnsi" w:hAnsi="Times New Roman" w:cs="Times New Roman"/>
          <w:color w:val="auto"/>
        </w:rPr>
        <w:t>., 2013</w:t>
      </w:r>
      <w:r w:rsidRPr="009B0448">
        <w:rPr>
          <w:rFonts w:ascii="Times New Roman" w:eastAsia="Times New Roman" w:hAnsi="Times New Roman" w:cs="Times New Roman"/>
        </w:rPr>
        <w:t xml:space="preserve">). Changes from hand-held tools to use of machinery including aerial spray of pesticides and agrochemicals in general confer worse effects on biodiversity. This is especially true because the resultant drift affects more non-target organisms. This has been reported for wildlife in Maasai Mara of Kenya that neighbours large-scale wheat farms, (Lambert, 1997; Schulz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2001; Muchane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Odido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w:t>
      </w:r>
    </w:p>
    <w:p w14:paraId="21A9B33F" w14:textId="77777777" w:rsidR="009B0448" w:rsidRPr="009B0448" w:rsidRDefault="009B0448" w:rsidP="009B0448">
      <w:pPr>
        <w:spacing w:line="276" w:lineRule="auto"/>
        <w:jc w:val="both"/>
        <w:rPr>
          <w:rFonts w:ascii="Times New Roman" w:eastAsia="Times New Roman" w:hAnsi="Times New Roman" w:cs="Times New Roman"/>
        </w:rPr>
      </w:pPr>
    </w:p>
    <w:p w14:paraId="064E4B96"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fate of the pesticides is modified by climatic conditions and in Africa these present challenges that may be different from those in better-studied regions of the world. The stable breakdown products of the widely studied p,p'-(dichlorodiphenyl)-1,1,1-trichloroethane</w:t>
      </w:r>
      <w:r w:rsidRPr="009B0448">
        <w:rPr>
          <w:rFonts w:ascii="Times New Roman" w:eastAsia="Arial" w:hAnsi="Times New Roman" w:cs="Times New Roman"/>
        </w:rPr>
        <w:t xml:space="preserve"> (</w:t>
      </w:r>
      <w:r w:rsidRPr="009B0448">
        <w:rPr>
          <w:rFonts w:ascii="Times New Roman" w:eastAsia="Times New Roman" w:hAnsi="Times New Roman" w:cs="Times New Roman"/>
        </w:rPr>
        <w:t xml:space="preserve">DDT) and a number of other widely used pesticides such as chloracetanilides are found to play more important roles in the environment than their parent compounds in Africa thus causing toxicities that have longer term and probably more devastating effects on living organisms (Kiflom </w:t>
      </w:r>
      <w:r w:rsidRPr="009B0448">
        <w:rPr>
          <w:rFonts w:ascii="Times New Roman" w:eastAsia="Times New Roman" w:hAnsi="Times New Roman" w:cs="Times New Roman"/>
          <w:i/>
        </w:rPr>
        <w:t>et al.</w:t>
      </w:r>
      <w:r w:rsidRPr="009B0448">
        <w:rPr>
          <w:rFonts w:ascii="Times New Roman" w:eastAsia="Times New Roman" w:hAnsi="Times New Roman" w:cs="Times New Roman"/>
        </w:rPr>
        <w:t>, 1999;</w:t>
      </w:r>
      <w:r w:rsidRPr="009B0448">
        <w:rPr>
          <w:rFonts w:ascii="Times New Roman" w:eastAsia="Arial" w:hAnsi="Times New Roman" w:cs="Times New Roman"/>
        </w:rPr>
        <w:t xml:space="preserve"> </w:t>
      </w:r>
      <w:r w:rsidRPr="009B0448">
        <w:rPr>
          <w:rFonts w:ascii="Times New Roman" w:eastAsia="Times New Roman" w:hAnsi="Times New Roman" w:cs="Times New Roman"/>
        </w:rPr>
        <w:t xml:space="preserve">Karlsson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2000; Osano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2003). In addition, a number of pesticides, which have already been banned or have restrictions in their usage (because of their toxicity in the environment) in other parts in the world are still used in large and increasing quantities in Africa (Wandiga, 2001), an area that invites formulation and application of sound policies. Of great concern and interest in Africa are the chemicals covered in the Stockholm Convention on Persistent Organic Pollutants, especially the DDT. The need to safeguard human health against malaria has attracted controversial consideration of continued use of DDT albeit under strict conditions including obligations to investigate use of alternatives in Africa (Anon, 2004; Bouwman, 2004). </w:t>
      </w:r>
    </w:p>
    <w:p w14:paraId="04B668DA" w14:textId="77777777" w:rsidR="009B0448" w:rsidRPr="009B0448" w:rsidRDefault="009B0448" w:rsidP="009B0448">
      <w:pPr>
        <w:spacing w:line="276" w:lineRule="auto"/>
        <w:jc w:val="both"/>
        <w:rPr>
          <w:rFonts w:ascii="Times New Roman" w:eastAsia="Times New Roman" w:hAnsi="Times New Roman" w:cs="Times New Roman"/>
        </w:rPr>
      </w:pPr>
    </w:p>
    <w:p w14:paraId="64E11EE0"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 number of restricted persistent organic pollutant  pesticides including aldrin, dieldrin, endrin, heptachlor and toxaphene have been used beyond the effective dates of ratification of the convention by the user countries in Africa and their residues have been found in various compartments in the environment (Quin, 2011; Barnhoorn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There is a rising concern of persistent organic pollutants produced unintentionally through a number of anthropogenic processes such as compounds that include the polychlorinated dioxins, polychlorinated dibenzofurans and polychlorinated biphenyls, and hexachlorobenzene. The processes associated with these include several municipal and industrial combustion processes, application of chlorine for bleaching in pulp production and thermal processes in metallurgical industry most of which are on the rise in Africa. </w:t>
      </w:r>
    </w:p>
    <w:p w14:paraId="2B6A739C" w14:textId="77777777" w:rsidR="009B0448" w:rsidRPr="009B0448" w:rsidRDefault="009B0448" w:rsidP="009B0448">
      <w:pPr>
        <w:spacing w:line="276" w:lineRule="auto"/>
        <w:jc w:val="both"/>
        <w:rPr>
          <w:rFonts w:ascii="Times New Roman" w:eastAsia="Times New Roman" w:hAnsi="Times New Roman" w:cs="Times New Roman"/>
        </w:rPr>
      </w:pPr>
    </w:p>
    <w:p w14:paraId="2DE1E14B" w14:textId="4F029648"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addition, stockpiles of unused chemicals pose grave danger of leakages or irresponsible disposal to the environment. Urgent action needs to be taken to identify, manage and destroy stockpile while taking care not to allow recycling or reuse of the stockpiles and where possible carry out remediation of contaminated sites. An initiative like the African Stockpiles Program approved by the Global Environmental Fund and implemented by the World</w:t>
      </w:r>
      <w:r w:rsidR="00E05B46">
        <w:rPr>
          <w:rFonts w:ascii="Times New Roman" w:eastAsia="Times New Roman" w:hAnsi="Times New Roman" w:cs="Times New Roman"/>
        </w:rPr>
        <w:t xml:space="preserve"> B</w:t>
      </w:r>
      <w:r w:rsidRPr="009B0448">
        <w:rPr>
          <w:rFonts w:ascii="Times New Roman" w:eastAsia="Times New Roman" w:hAnsi="Times New Roman" w:cs="Times New Roman"/>
        </w:rPr>
        <w:t xml:space="preserve">ank may relieve African nations of the stockpiles but it has faced challenges of laying down groundwork logistics for its implementation (Bouwman, 2004). </w:t>
      </w:r>
      <w:r w:rsidR="00E05B46" w:rsidRPr="009B0448">
        <w:rPr>
          <w:rFonts w:ascii="Times New Roman" w:eastAsia="Times New Roman" w:hAnsi="Times New Roman" w:cs="Times New Roman"/>
        </w:rPr>
        <w:t>Salinization</w:t>
      </w:r>
      <w:r w:rsidRPr="009B0448">
        <w:rPr>
          <w:rFonts w:ascii="Times New Roman" w:eastAsia="Times New Roman" w:hAnsi="Times New Roman" w:cs="Times New Roman"/>
        </w:rPr>
        <w:t xml:space="preserve"> of soil, common consequence of irrigation programs, deserves more attention, given the increasing demand for increased acreage of irrigated land across the continent (Hussain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Orindi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Oweis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w:t>
      </w:r>
    </w:p>
    <w:p w14:paraId="4D8CC7DF" w14:textId="77777777" w:rsidR="009B0448" w:rsidRPr="009B0448" w:rsidRDefault="009B0448" w:rsidP="009B0448">
      <w:pPr>
        <w:spacing w:line="276" w:lineRule="auto"/>
        <w:jc w:val="both"/>
        <w:rPr>
          <w:rFonts w:ascii="Times New Roman" w:eastAsia="Times New Roman" w:hAnsi="Times New Roman" w:cs="Times New Roman"/>
        </w:rPr>
      </w:pPr>
    </w:p>
    <w:p w14:paraId="2CDC96BF"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Industrial – based soil contaminants are of growing concern because of the increase ownership of motor vehicles, mining, and industries in general. Vehicular exhaust pollutants comprising polyaromatic hydrocarbons and tetraethyl lead (which is now in decline due to conversion to unleaded fuel) are deposited on the ground along the motorways and are increasing quantities of toxic metals deposited on the ground (Olade, 1987; Davies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Of particular concern is increase in soil pollution with increasing activities in both artisanal and large-scale mining, a situation which is worse when compared to mining activities in developed nations and one that is attributable to improper management of the tailings (Narendrula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The biological pollutants of the environment is a new phenomenon brought to fore especially with the introduction of biotechnology in agriculture. There is a rising worry that new genetic materials may be introduced in the environment with devastating consequences to existing species. </w:t>
      </w:r>
    </w:p>
    <w:p w14:paraId="258FE3F9" w14:textId="77777777" w:rsidR="009B0448" w:rsidRPr="009B0448" w:rsidRDefault="009B0448" w:rsidP="009B0448">
      <w:pPr>
        <w:spacing w:line="276" w:lineRule="auto"/>
        <w:jc w:val="both"/>
        <w:rPr>
          <w:rFonts w:ascii="Times New Roman" w:eastAsia="Times New Roman" w:hAnsi="Times New Roman" w:cs="Times New Roman"/>
        </w:rPr>
      </w:pPr>
    </w:p>
    <w:p w14:paraId="1C297EFB" w14:textId="314C1CD4"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Pollution from natural causes may occur after eruptions of the numerous active volcanic mountains in Africa exemplified by the frequent rage of the Virunga Mountains whose plumes are displaced over a long distance and causes changes the quality of rainwater including acidity (pH up to 2), increase concentrations of Fluoride (up to 2,400 mg/L), Chloride (up to 1,750 mg/L) and Sulphide (up to 10,000 mg/L). These events have detrimental effects on the equatorial rain forest, and likely impose possible strain on the dwindling populations of gorillas (</w:t>
      </w:r>
      <w:r w:rsidRPr="009B0448">
        <w:rPr>
          <w:rFonts w:ascii="Times New Roman" w:eastAsia="Times New Roman" w:hAnsi="Times New Roman" w:cs="Times New Roman"/>
          <w:i/>
        </w:rPr>
        <w:t>Gorilla beringei</w:t>
      </w:r>
      <w:r w:rsidRPr="009B0448">
        <w:rPr>
          <w:rFonts w:ascii="Times New Roman" w:eastAsia="Times New Roman" w:hAnsi="Times New Roman" w:cs="Times New Roman"/>
        </w:rPr>
        <w:t xml:space="preserve">) (Delfosse, 2005; Plumptre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Vaselli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Specifically, the gorillas whose censual population stood at a finite 360 in 2003, face dual (anthropogenic and natural) challenges such as fragile and explosive political strife and raging volcanic activities of the Virunga Mountains (Kalpers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2003; Vaselli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Gray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2010).</w:t>
      </w:r>
    </w:p>
    <w:p w14:paraId="7EF92D82"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95" w:name="_Toc519499957"/>
      <w:r w:rsidRPr="009B0448">
        <w:rPr>
          <w:rFonts w:cs="Times New Roman"/>
          <w:b w:val="0"/>
          <w:sz w:val="22"/>
          <w:szCs w:val="22"/>
        </w:rPr>
        <w:t>Water Pollution</w:t>
      </w:r>
      <w:bookmarkEnd w:id="295"/>
    </w:p>
    <w:p w14:paraId="3853DB9F" w14:textId="5F2F9C6B"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Alongside the pesticides, an increased application of inorganic nutrients including the phosphate and nitrates, has been witnessed and consequences of eutrophication of downstream water bodies have been a concern (Saad, 1980; Oberholster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Nyenje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Van Ginkel, 2011). Besides the non-point source draining of agrochemicals (pesticides and nutrients) into the water bodies, industries and the growing urban centres in the African continent are already exerting considerable pressure on the ecosystems of both marine and freshwater bodies. Emergence of dead zones, sequel of nutrient fed into the sea from agricultural catchment and rise in dissolved carbon has been on the rise worldwide (Lavelle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Diaz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2008) and the African seas will not be exceptions especially in areas draining regions with escalated intensive agricultural practices. This is worsened by the well-known natural coastal upwelling associated with western boundary of landmasses, which are productive but unfortunately suffer for severe hypoxia (&lt;0.5 ml O</w:t>
      </w:r>
      <w:r w:rsidRPr="009B0448">
        <w:rPr>
          <w:rFonts w:ascii="Times New Roman" w:eastAsia="Times New Roman" w:hAnsi="Times New Roman" w:cs="Times New Roman"/>
          <w:vertAlign w:val="subscript"/>
        </w:rPr>
        <w:t>2</w:t>
      </w:r>
      <w:r w:rsidRPr="009B0448">
        <w:rPr>
          <w:rFonts w:ascii="Times New Roman" w:eastAsia="Times New Roman" w:hAnsi="Times New Roman" w:cs="Times New Roman"/>
        </w:rPr>
        <w:t xml:space="preserve">/litre), a condition already affecting the south Atlantic west of Africa and other parts of the world (Díaz </w:t>
      </w:r>
      <w:r w:rsidRPr="009B0448">
        <w:rPr>
          <w:rFonts w:ascii="Times New Roman" w:eastAsia="Times New Roman" w:hAnsi="Times New Roman" w:cs="Times New Roman"/>
          <w:i/>
        </w:rPr>
        <w:t xml:space="preserve">et </w:t>
      </w:r>
      <w:r w:rsidR="00E05B46">
        <w:rPr>
          <w:rFonts w:ascii="Times New Roman" w:eastAsia="Times New Roman" w:hAnsi="Times New Roman" w:cs="Times New Roman"/>
          <w:i/>
        </w:rPr>
        <w:t>al.</w:t>
      </w:r>
      <w:r w:rsidRPr="009B0448">
        <w:rPr>
          <w:rFonts w:ascii="Times New Roman" w:eastAsia="Times New Roman" w:hAnsi="Times New Roman" w:cs="Times New Roman"/>
        </w:rPr>
        <w:t xml:space="preserve">, 2008). So far, the total export of nutrients (nitrogen and phosphorous) by the African rivers increased by 10 to 80% (Yasin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2010) and rivers draining ivory Coast’s mainland are already oversaturated with CO</w:t>
      </w:r>
      <w:r w:rsidRPr="009B0448">
        <w:rPr>
          <w:rFonts w:ascii="Times New Roman" w:eastAsia="Times New Roman" w:hAnsi="Times New Roman" w:cs="Times New Roman"/>
          <w:vertAlign w:val="subscript"/>
        </w:rPr>
        <w:t>2</w:t>
      </w:r>
      <w:r w:rsidRPr="009B0448">
        <w:rPr>
          <w:rFonts w:ascii="Times New Roman" w:eastAsia="Times New Roman" w:hAnsi="Times New Roman" w:cs="Times New Roman"/>
        </w:rPr>
        <w:t xml:space="preserve"> (Kone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Evidence that Africa aquatic ecosystems are already suffering the wrath of application of pesticides upstream abounds (Odada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Hecky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Toxic levels of pesticides capable of altering endocrine, survival and health of aquatic organisms have been found in a number of lakes and rivers in Africa (Mugachia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1992; Kidd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2001; Ezemonye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Okeniyia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The lack of innovative solutions and unclear policy guidance has led to reintroduction of Dichlorodiphenyltrichloroethane (DDT) into farming systems and for mosquito control in many countries in Africa in the recent past to remedy recalcitrant continental problems without regards to environmental quality (Cork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2005).</w:t>
      </w:r>
    </w:p>
    <w:p w14:paraId="041D454C" w14:textId="77777777" w:rsidR="009B0448" w:rsidRPr="009B0448" w:rsidRDefault="009B0448" w:rsidP="009B0448">
      <w:pPr>
        <w:spacing w:line="276" w:lineRule="auto"/>
        <w:jc w:val="both"/>
        <w:rPr>
          <w:rFonts w:ascii="Times New Roman" w:eastAsia="Times New Roman" w:hAnsi="Times New Roman" w:cs="Times New Roman"/>
        </w:rPr>
      </w:pPr>
    </w:p>
    <w:p w14:paraId="71F8229D" w14:textId="399B693A"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Pollution of the water bodies with heavy and toxic metals could either be from non-point agricultural sources, e.g., cadmium contaminated agricultural fertilizers or point sources like the industrial and municipal effluents. High concentrations of the toxic metals including mercury, lead, cadmium, and copper have been established in both benthic and pelagic aquatic organisms in lakes and rivers of Africa (Campbell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2003; Kishe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2003; Ramlal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2003; van Aardt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Campbell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Industrial and municipal derived contaminants including the polychlorinated biphenyls (PCB) and dibenzofurans; Dioxins and dioxin like PCBs; and endocrine disrupting compounds have been detected in water, sediments and tissues in South Africa, Lakes Malawi and Victoria, and River Nile among other water bodies (Bootsma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1993; Bootsma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Coimbra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El-Kady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Mdegela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Olujimi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2010;</w:t>
      </w:r>
      <w:r w:rsidRPr="009B0448">
        <w:rPr>
          <w:rFonts w:ascii="Times New Roman" w:hAnsi="Times New Roman" w:cs="Times New Roman"/>
        </w:rPr>
        <w:t xml:space="preserve"> </w:t>
      </w:r>
      <w:r w:rsidRPr="009B0448">
        <w:rPr>
          <w:rFonts w:ascii="Times New Roman" w:eastAsia="Times New Roman" w:hAnsi="Times New Roman" w:cs="Times New Roman"/>
        </w:rPr>
        <w:t xml:space="preserve">Wepener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Ssebugere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Omwoma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There is already a growing evidence of the ramifications of these chemical on health especially reproduction aquatic organism in a number of water bodies (Barnhoorn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Manickum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2014). With the curr</w:t>
      </w:r>
      <w:r w:rsidR="00C813C5">
        <w:rPr>
          <w:rFonts w:ascii="Times New Roman" w:eastAsia="Times New Roman" w:hAnsi="Times New Roman" w:cs="Times New Roman"/>
        </w:rPr>
        <w:t>ent rise in urbanis</w:t>
      </w:r>
      <w:r w:rsidRPr="009B0448">
        <w:rPr>
          <w:rFonts w:ascii="Times New Roman" w:eastAsia="Times New Roman" w:hAnsi="Times New Roman" w:cs="Times New Roman"/>
        </w:rPr>
        <w:t xml:space="preserve">ation </w:t>
      </w:r>
      <w:r w:rsidR="00C813C5">
        <w:rPr>
          <w:rFonts w:ascii="Times New Roman" w:eastAsia="Times New Roman" w:hAnsi="Times New Roman" w:cs="Times New Roman"/>
        </w:rPr>
        <w:t>and aspirations for industrialis</w:t>
      </w:r>
      <w:r w:rsidRPr="009B0448">
        <w:rPr>
          <w:rFonts w:ascii="Times New Roman" w:eastAsia="Times New Roman" w:hAnsi="Times New Roman" w:cs="Times New Roman"/>
        </w:rPr>
        <w:t xml:space="preserve">ation captured in various visions of the African countries, it is expected that emission of metals, chlorinated hydrocarbons, and endocrine disruptors into the water bodies will increase. </w:t>
      </w:r>
    </w:p>
    <w:p w14:paraId="5754CF1B" w14:textId="77777777" w:rsidR="009B0448" w:rsidRPr="009B0448" w:rsidRDefault="009B0448" w:rsidP="009B0448">
      <w:pPr>
        <w:spacing w:line="276" w:lineRule="auto"/>
        <w:jc w:val="both"/>
        <w:rPr>
          <w:rFonts w:ascii="Times New Roman" w:eastAsia="Times New Roman" w:hAnsi="Times New Roman" w:cs="Times New Roman"/>
        </w:rPr>
      </w:pPr>
    </w:p>
    <w:p w14:paraId="6B9A1234" w14:textId="77777777"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rPr>
        <w:t>Physical pollutants of the water bodies include suspended matter arising from soil erosion (a consequence of poor land-use management) and thermal pollution due to emission of inadequately cooled water from the industries along the lakes, oceans and rivers in Africa. In a number of East African lakes namely Victoria, Tanganyika, Malawi, Albert, Kivu and Edward, thermal pollution characterised by a circa 0.2–0.7</w:t>
      </w:r>
      <w:r w:rsidRPr="009B0448">
        <w:rPr>
          <w:rFonts w:ascii="Times New Roman" w:eastAsia="Times New Roman" w:hAnsi="Times New Roman" w:cs="Times New Roman"/>
          <w:vertAlign w:val="superscript"/>
        </w:rPr>
        <w:t>o</w:t>
      </w:r>
      <w:r w:rsidRPr="009B0448">
        <w:rPr>
          <w:rFonts w:ascii="Times New Roman" w:eastAsia="Times New Roman" w:hAnsi="Times New Roman" w:cs="Times New Roman"/>
        </w:rPr>
        <w:t xml:space="preserve">C rise in temperature, over a period of 6 decades, has been attributed to climate change (Vollmer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Bates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The rise in temperature influences the thermal stratification and internal hydrological dynamics of the lakes. The resultant increased stratification reduces water movement across thermocline thereby inhibiting upwelling and mixing that provides essential nutrients to the food web. The rise in the temperature in water may enhance degradation of organic pollutants and is known to increase alkylation of mercury (Bates </w:t>
      </w:r>
      <w:r w:rsidRPr="009B0448">
        <w:rPr>
          <w:rFonts w:ascii="Times New Roman" w:eastAsia="Times New Roman" w:hAnsi="Times New Roman" w:cs="Times New Roman"/>
          <w:i/>
        </w:rPr>
        <w:t>et al.</w:t>
      </w:r>
      <w:r w:rsidRPr="009B0448">
        <w:rPr>
          <w:rFonts w:ascii="Times New Roman" w:eastAsia="Times New Roman" w:hAnsi="Times New Roman" w:cs="Times New Roman"/>
          <w:color w:val="auto"/>
        </w:rPr>
        <w:t xml:space="preserve">, 2008). </w:t>
      </w:r>
    </w:p>
    <w:p w14:paraId="10B9351A" w14:textId="77777777" w:rsidR="009B0448" w:rsidRPr="009B0448" w:rsidRDefault="009B0448" w:rsidP="009B0448">
      <w:pPr>
        <w:spacing w:line="276" w:lineRule="auto"/>
        <w:jc w:val="both"/>
        <w:rPr>
          <w:rFonts w:ascii="Times New Roman" w:eastAsia="Times New Roman" w:hAnsi="Times New Roman" w:cs="Times New Roman"/>
          <w:color w:val="auto"/>
        </w:rPr>
      </w:pPr>
    </w:p>
    <w:p w14:paraId="2C36E29D" w14:textId="29CC37A3" w:rsidR="009B0448" w:rsidRPr="009B0448" w:rsidRDefault="009B0448" w:rsidP="009B0448">
      <w:pPr>
        <w:spacing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There has also been a burgeoning use of plastic in the continent, due to plastics desirable qualities of cheapness, durability, lightness and low mass. The consequence of this is high rates of contamination of the environment with plastics, in some cases up to 10% of the solid waste contaminants comprises plastics </w:t>
      </w:r>
      <w:r w:rsidRPr="009B0448">
        <w:rPr>
          <w:rFonts w:ascii="Times New Roman" w:eastAsia="Times New Roman" w:hAnsi="Times New Roman" w:cs="Times New Roman"/>
          <w:color w:val="auto"/>
        </w:rPr>
        <w:fldChar w:fldCharType="begin"/>
      </w:r>
      <w:r w:rsidRPr="009B0448">
        <w:rPr>
          <w:rFonts w:ascii="Times New Roman" w:eastAsia="Times New Roman" w:hAnsi="Times New Roman" w:cs="Times New Roman"/>
          <w:color w:val="auto"/>
        </w:rPr>
        <w:instrText xml:space="preserve"> ADDIN EN.CITE &lt;EndNote&gt;&lt;Cite&gt;&lt;Author&gt;Naidoo&lt;/Author&gt;&lt;Year&gt;2015&lt;/Year&gt;&lt;RecNum&gt;2257&lt;/RecNum&gt;&lt;DisplayText&gt;(Naidoo et al., 2015, Heap, 2009)&lt;/DisplayText&gt;&lt;record&gt;&lt;rec-number&gt;2257&lt;/rec-number&gt;&lt;foreign-keys&gt;&lt;key app="EN" db-id="zvwwe5pa4dd2vjeztp7vr0zzfawzxf005apa"&gt;2257&lt;/key&gt;&lt;/foreign-keys&gt;&lt;ref-type name="Journal Article"&gt;17&lt;/ref-type&gt;&lt;contributors&gt;&lt;authors&gt;&lt;author&gt;Naidoo, Trishan &lt;/author&gt;&lt;author&gt;Glassom, David &lt;/author&gt;&lt;author&gt;Smit, Albertus J. &lt;/author&gt;&lt;/authors&gt;&lt;/contributors&gt;&lt;titles&gt;&lt;title&gt;Plastic pollution in five urban estuaries of KwaZulu-Natal, South Africa&lt;/title&gt;&lt;secondary-title&gt;Marine Pollution Bulletin&lt;/secondary-title&gt;&lt;/titles&gt;&lt;periodical&gt;&lt;full-title&gt;Marine pollution bulletin&lt;/full-title&gt;&lt;/periodical&gt;&lt;pages&gt;473–480&lt;/pages&gt;&lt;volume&gt;101&lt;/volume&gt;&lt;dates&gt;&lt;year&gt;2015&lt;/year&gt;&lt;/dates&gt;&lt;urls&gt;&lt;/urls&gt;&lt;/record&gt;&lt;/Cite&gt;&lt;Cite&gt;&lt;Author&gt;Heap&lt;/Author&gt;&lt;Year&gt;2009&lt;/Year&gt;&lt;RecNum&gt;2259&lt;/RecNum&gt;&lt;record&gt;&lt;rec-number&gt;2259&lt;/rec-number&gt;&lt;foreign-keys&gt;&lt;key app="EN" db-id="zvwwe5pa4dd2vjeztp7vr0zzfawzxf005apa"&gt;2259&lt;/key&gt;&lt;/foreign-keys&gt;&lt;ref-type name="Generic"&gt;13&lt;/ref-type&gt;&lt;contributors&gt;&lt;authors&gt;&lt;author&gt;Heap, Brian&lt;/author&gt;&lt;/authors&gt;&lt;/contributors&gt;&lt;titles&gt;&lt;title&gt;Preface&lt;/title&gt;&lt;/titles&gt;&lt;dates&gt;&lt;year&gt;2009&lt;/year&gt;&lt;/dates&gt;&lt;publisher&gt;The Royal Society&lt;/publisher&gt;&lt;isbn&gt;0962-8436&lt;/isbn&gt;&lt;urls&gt;&lt;/urls&gt;&lt;/record&gt;&lt;/Cite&gt;&lt;/EndNote&gt;</w:instrText>
      </w:r>
      <w:r w:rsidRPr="009B0448">
        <w:rPr>
          <w:rFonts w:ascii="Times New Roman" w:eastAsia="Times New Roman" w:hAnsi="Times New Roman" w:cs="Times New Roman"/>
          <w:color w:val="auto"/>
        </w:rPr>
        <w:fldChar w:fldCharType="separate"/>
      </w:r>
      <w:r w:rsidRPr="009B0448">
        <w:rPr>
          <w:rFonts w:ascii="Times New Roman" w:eastAsia="Times New Roman" w:hAnsi="Times New Roman" w:cs="Times New Roman"/>
          <w:noProof/>
          <w:color w:val="auto"/>
        </w:rPr>
        <w:t xml:space="preserve">(Heap, 2009; </w:t>
      </w:r>
      <w:r w:rsidRPr="000009C6">
        <w:rPr>
          <w:rFonts w:ascii="Times New Roman" w:hAnsi="Times New Roman" w:cs="Times New Roman"/>
          <w:noProof/>
        </w:rPr>
        <w:t xml:space="preserve">Naidoo </w:t>
      </w:r>
      <w:r w:rsidRPr="000009C6">
        <w:rPr>
          <w:rFonts w:ascii="Times New Roman" w:hAnsi="Times New Roman" w:cs="Times New Roman"/>
          <w:i/>
          <w:noProof/>
        </w:rPr>
        <w:t>et al.</w:t>
      </w:r>
      <w:r w:rsidRPr="000009C6">
        <w:rPr>
          <w:rFonts w:ascii="Times New Roman" w:hAnsi="Times New Roman" w:cs="Times New Roman"/>
          <w:noProof/>
        </w:rPr>
        <w:t>, 2015</w:t>
      </w:r>
      <w:r w:rsidRPr="009B0448">
        <w:rPr>
          <w:rFonts w:ascii="Times New Roman" w:eastAsia="Times New Roman" w:hAnsi="Times New Roman" w:cs="Times New Roman"/>
          <w:noProof/>
          <w:color w:val="auto"/>
        </w:rPr>
        <w:t>)</w:t>
      </w:r>
      <w:r w:rsidRPr="009B0448">
        <w:rPr>
          <w:rFonts w:ascii="Times New Roman" w:eastAsia="Times New Roman" w:hAnsi="Times New Roman" w:cs="Times New Roman"/>
          <w:color w:val="auto"/>
        </w:rPr>
        <w:fldChar w:fldCharType="end"/>
      </w:r>
      <w:r w:rsidRPr="009B0448">
        <w:rPr>
          <w:rFonts w:ascii="Times New Roman" w:eastAsia="Times New Roman" w:hAnsi="Times New Roman" w:cs="Times New Roman"/>
          <w:color w:val="auto"/>
        </w:rPr>
        <w:t xml:space="preserve">. Plastics are transported to the marine ecosystem by wind, flash floods, urban drainages and rivers, currently impacting life forms (aquatic and bird species) in a number of ways. Plastics cause entanglement, gut impaction, transfer of toxic organic chemicals, and changes of habitats among others in the African oceans </w:t>
      </w:r>
      <w:r w:rsidRPr="009B0448">
        <w:rPr>
          <w:rFonts w:ascii="Times New Roman" w:eastAsia="Times New Roman" w:hAnsi="Times New Roman" w:cs="Times New Roman"/>
          <w:color w:val="auto"/>
        </w:rPr>
        <w:fldChar w:fldCharType="begin"/>
      </w:r>
      <w:r w:rsidRPr="009B0448">
        <w:rPr>
          <w:rFonts w:ascii="Times New Roman" w:eastAsia="Times New Roman" w:hAnsi="Times New Roman" w:cs="Times New Roman"/>
          <w:color w:val="auto"/>
        </w:rPr>
        <w:instrText xml:space="preserve"> ADDIN EN.CITE &lt;EndNote&gt;&lt;Cite&gt;&lt;Author&gt;Vegter&lt;/Author&gt;&lt;Year&gt;2014&lt;/Year&gt;&lt;RecNum&gt;2256&lt;/RecNum&gt;&lt;DisplayText&gt;(Vegter et al., 2014)&lt;/DisplayText&gt;&lt;record&gt;&lt;rec-number&gt;2256&lt;/rec-number&gt;&lt;foreign-keys&gt;&lt;key app="EN" db-id="zvwwe5pa4dd2vjeztp7vr0zzfawzxf005apa"&gt;2256&lt;/key&gt;&lt;/foreign-keys&gt;&lt;ref-type name="Journal Article"&gt;17&lt;/ref-type&gt;&lt;contributors&gt;&lt;authors&gt;&lt;author&gt;Vegter, A. C. &lt;/author&gt;&lt;author&gt;Barletta, M. &lt;/author&gt;&lt;author&gt;Beck, C. &lt;/author&gt;&lt;author&gt;Borrero, J. &lt;/author&gt;&lt;author&gt;Burton, H. &lt;/author&gt;&lt;author&gt;Campbell,M. L. &lt;/author&gt;&lt;author&gt;Costa, M. F. &lt;/author&gt;&lt;author&gt;Eriksen, M. &lt;/author&gt;&lt;author&gt;Eriksson, C. &lt;/author&gt;&lt;author&gt; Estrades, A.&lt;/author&gt;&lt;author&gt;Gilardi, K. V. K. &lt;/author&gt;&lt;author&gt;Hardesty,B. D. &lt;/author&gt;&lt;author&gt;Ivar do Sul, J. A. &lt;/author&gt;&lt;author&gt;Lavers, J. L. &lt;/author&gt;&lt;author&gt;Lazar, B. &lt;/author&gt;&lt;author&gt;Lebreton, L. &lt;/author&gt;&lt;author&gt;Nichols, W. J. &lt;/author&gt;&lt;author&gt;Ribic,C. A. &lt;/author&gt;&lt;author&gt;Ryan, P. G. &lt;/author&gt;&lt;author&gt;Schuyler, Q. A. &lt;/author&gt;&lt;author&gt;Smith, S. D. A. &lt;/author&gt;&lt;author&gt;Takada, H. &lt;/author&gt;&lt;author&gt;Townsend,K. A. &lt;/author&gt;&lt;author&gt;Wabnitz, C. C. C. &lt;/author&gt;&lt;author&gt;Wilcox, L. C. &lt;/author&gt;&lt;author&gt;Young, C. &lt;/author&gt;&lt;author&gt;Hamann, M. &lt;/author&gt;&lt;/authors&gt;&lt;/contributors&gt;&lt;titles&gt;&lt;title&gt;Global research priorities to mitigate plastic pollution impacts on marine wildlife&lt;/title&gt;&lt;secondary-title&gt;ENDANGERED SPECIES RESEARCH&lt;/secondary-title&gt;&lt;/titles&gt;&lt;periodical&gt;&lt;full-title&gt;ENDANGERED SPECIES RESEARCH&lt;/full-title&gt;&lt;/periodical&gt;&lt;pages&gt;225–247&lt;/pages&gt;&lt;volume&gt;25&lt;/volume&gt;&lt;dates&gt;&lt;year&gt;2014&lt;/year&gt;&lt;/dates&gt;&lt;urls&gt;&lt;/urls&gt;&lt;/record&gt;&lt;/Cite&gt;&lt;/EndNote&gt;</w:instrText>
      </w:r>
      <w:r w:rsidRPr="009B0448">
        <w:rPr>
          <w:rFonts w:ascii="Times New Roman" w:eastAsia="Times New Roman" w:hAnsi="Times New Roman" w:cs="Times New Roman"/>
          <w:color w:val="auto"/>
        </w:rPr>
        <w:fldChar w:fldCharType="separate"/>
      </w:r>
      <w:r w:rsidRPr="009B0448">
        <w:rPr>
          <w:rFonts w:ascii="Times New Roman" w:eastAsia="Times New Roman" w:hAnsi="Times New Roman" w:cs="Times New Roman"/>
          <w:noProof/>
          <w:color w:val="auto"/>
        </w:rPr>
        <w:t>(</w:t>
      </w:r>
      <w:r w:rsidRPr="000009C6">
        <w:rPr>
          <w:rFonts w:ascii="Times New Roman" w:hAnsi="Times New Roman" w:cs="Times New Roman"/>
          <w:noProof/>
        </w:rPr>
        <w:t xml:space="preserve">Vegter </w:t>
      </w:r>
      <w:r w:rsidRPr="000009C6">
        <w:rPr>
          <w:rFonts w:ascii="Times New Roman" w:hAnsi="Times New Roman" w:cs="Times New Roman"/>
          <w:i/>
          <w:noProof/>
        </w:rPr>
        <w:t>et al.</w:t>
      </w:r>
      <w:r w:rsidRPr="000009C6">
        <w:rPr>
          <w:rFonts w:ascii="Times New Roman" w:hAnsi="Times New Roman" w:cs="Times New Roman"/>
          <w:noProof/>
        </w:rPr>
        <w:t>, 2014</w:t>
      </w:r>
      <w:r w:rsidRPr="009B0448">
        <w:rPr>
          <w:rFonts w:ascii="Times New Roman" w:eastAsia="Times New Roman" w:hAnsi="Times New Roman" w:cs="Times New Roman"/>
          <w:noProof/>
          <w:color w:val="auto"/>
        </w:rPr>
        <w:t>)</w:t>
      </w:r>
      <w:r w:rsidRPr="009B0448">
        <w:rPr>
          <w:rFonts w:ascii="Times New Roman" w:eastAsia="Times New Roman" w:hAnsi="Times New Roman" w:cs="Times New Roman"/>
          <w:color w:val="auto"/>
        </w:rPr>
        <w:fldChar w:fldCharType="end"/>
      </w:r>
      <w:r w:rsidRPr="009B0448">
        <w:rPr>
          <w:rFonts w:ascii="Times New Roman" w:eastAsia="Times New Roman" w:hAnsi="Times New Roman" w:cs="Times New Roman"/>
          <w:color w:val="auto"/>
        </w:rPr>
        <w:t xml:space="preserve">. Specifically, exposures to degraded plastics particles (the microplastics) confers toxic endocrine disrupting effects of phthalates and Bisphenol-A, which are normal compounds used the manufacture of the plastics </w:t>
      </w:r>
      <w:r w:rsidRPr="009B0448">
        <w:rPr>
          <w:rFonts w:ascii="Times New Roman" w:eastAsia="Times New Roman" w:hAnsi="Times New Roman" w:cs="Times New Roman"/>
          <w:color w:val="auto"/>
        </w:rPr>
        <w:fldChar w:fldCharType="begin"/>
      </w:r>
      <w:r w:rsidRPr="009B0448">
        <w:rPr>
          <w:rFonts w:ascii="Times New Roman" w:eastAsia="Times New Roman" w:hAnsi="Times New Roman" w:cs="Times New Roman"/>
          <w:color w:val="auto"/>
        </w:rPr>
        <w:instrText xml:space="preserve"> ADDIN EN.CITE &lt;EndNote&gt;&lt;Cite&gt;&lt;Author&gt;Talsness&lt;/Author&gt;&lt;Year&gt;2009&lt;/Year&gt;&lt;RecNum&gt;2260&lt;/RecNum&gt;&lt;DisplayText&gt;(Talsness et al., 2009)&lt;/DisplayText&gt;&lt;record&gt;&lt;rec-number&gt;2260&lt;/rec-number&gt;&lt;foreign-keys&gt;&lt;key app="EN" db-id="zvwwe5pa4dd2vjeztp7vr0zzfawzxf005apa"&gt;2260&lt;/key&gt;&lt;/foreign-keys&gt;&lt;ref-type name="Journal Article"&gt;17&lt;/ref-type&gt;&lt;contributors&gt;&lt;authors&gt;&lt;author&gt;Talsness, Chris E&lt;/author&gt;&lt;author&gt;Andrade, Anderson JM&lt;/author&gt;&lt;author&gt;Kuriyama, Sergio N&lt;/author&gt;&lt;author&gt;Taylor, Julia A&lt;/author&gt;&lt;author&gt;Vom Saal, Frederick S&lt;/author&gt;&lt;/authors&gt;&lt;/contributors&gt;&lt;titles&gt;&lt;title&gt;Components of plastic: experimental studies in animals and relevance for human health&lt;/title&gt;&lt;secondary-title&gt;Philosophical Transactions of the Royal Society of London B: Biological Sciences&lt;/secondary-title&gt;&lt;/titles&gt;&lt;periodical&gt;&lt;full-title&gt;Philosophical Transactions of the Royal Society of London B: Biological Sciences&lt;/full-title&gt;&lt;/periodical&gt;&lt;pages&gt;2079-2096&lt;/pages&gt;&lt;volume&gt;364&lt;/volume&gt;&lt;number&gt;1526&lt;/number&gt;&lt;dates&gt;&lt;year&gt;2009&lt;/year&gt;&lt;/dates&gt;&lt;isbn&gt;0962-8436&lt;/isbn&gt;&lt;urls&gt;&lt;/urls&gt;&lt;/record&gt;&lt;/Cite&gt;&lt;/EndNote&gt;</w:instrText>
      </w:r>
      <w:r w:rsidRPr="009B0448">
        <w:rPr>
          <w:rFonts w:ascii="Times New Roman" w:eastAsia="Times New Roman" w:hAnsi="Times New Roman" w:cs="Times New Roman"/>
          <w:color w:val="auto"/>
        </w:rPr>
        <w:fldChar w:fldCharType="separate"/>
      </w:r>
      <w:r w:rsidRPr="009B0448">
        <w:rPr>
          <w:rFonts w:ascii="Times New Roman" w:eastAsia="Times New Roman" w:hAnsi="Times New Roman" w:cs="Times New Roman"/>
          <w:noProof/>
          <w:color w:val="auto"/>
        </w:rPr>
        <w:t>(</w:t>
      </w:r>
      <w:r w:rsidRPr="000009C6">
        <w:rPr>
          <w:rFonts w:ascii="Times New Roman" w:hAnsi="Times New Roman" w:cs="Times New Roman"/>
          <w:noProof/>
        </w:rPr>
        <w:t xml:space="preserve">Talsness </w:t>
      </w:r>
      <w:r w:rsidRPr="000009C6">
        <w:rPr>
          <w:rFonts w:ascii="Times New Roman" w:hAnsi="Times New Roman" w:cs="Times New Roman"/>
          <w:i/>
          <w:noProof/>
        </w:rPr>
        <w:t>et al.</w:t>
      </w:r>
      <w:r w:rsidRPr="000009C6">
        <w:rPr>
          <w:rFonts w:ascii="Times New Roman" w:hAnsi="Times New Roman" w:cs="Times New Roman"/>
          <w:noProof/>
        </w:rPr>
        <w:t>, 2009</w:t>
      </w:r>
      <w:r w:rsidRPr="009B0448">
        <w:rPr>
          <w:rFonts w:ascii="Times New Roman" w:eastAsia="Times New Roman" w:hAnsi="Times New Roman" w:cs="Times New Roman"/>
          <w:noProof/>
          <w:color w:val="auto"/>
        </w:rPr>
        <w:t>)</w:t>
      </w:r>
      <w:r w:rsidRPr="009B0448">
        <w:rPr>
          <w:rFonts w:ascii="Times New Roman" w:eastAsia="Times New Roman" w:hAnsi="Times New Roman" w:cs="Times New Roman"/>
          <w:color w:val="auto"/>
        </w:rPr>
        <w:fldChar w:fldCharType="end"/>
      </w:r>
      <w:r w:rsidRPr="009B0448">
        <w:rPr>
          <w:rFonts w:ascii="Times New Roman" w:eastAsia="Times New Roman" w:hAnsi="Times New Roman" w:cs="Times New Roman"/>
          <w:color w:val="auto"/>
        </w:rPr>
        <w:t>.</w:t>
      </w:r>
    </w:p>
    <w:p w14:paraId="50A07567"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296" w:name="_Toc519499958"/>
      <w:r w:rsidRPr="009B0448">
        <w:rPr>
          <w:rFonts w:cs="Times New Roman"/>
          <w:b w:val="0"/>
          <w:sz w:val="22"/>
          <w:szCs w:val="22"/>
        </w:rPr>
        <w:t>Air Pollution</w:t>
      </w:r>
      <w:bookmarkEnd w:id="296"/>
    </w:p>
    <w:p w14:paraId="399834BB" w14:textId="0BEC40C8" w:rsidR="009B0448" w:rsidRPr="009B0448" w:rsidRDefault="009B0448" w:rsidP="009B0448">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rPr>
        <w:t>Important chemical pollutants emitted from the various anthropogenic activities include oxides of sulphur (Sulphur oxide, Sulphur dioxide, and sulphate), noxious nitrogen gas (Nitrogen monoxide, Nitrous oxide, Nitrogen dioxide) ammonia (NH</w:t>
      </w:r>
      <w:r w:rsidRPr="009B0448">
        <w:rPr>
          <w:rFonts w:ascii="Times New Roman" w:eastAsia="Times New Roman" w:hAnsi="Times New Roman" w:cs="Times New Roman"/>
          <w:vertAlign w:val="subscript"/>
        </w:rPr>
        <w:t>3</w:t>
      </w:r>
      <w:r w:rsidRPr="009B0448">
        <w:rPr>
          <w:rFonts w:ascii="Times New Roman" w:eastAsia="Times New Roman" w:hAnsi="Times New Roman" w:cs="Times New Roman"/>
        </w:rPr>
        <w:t>), volatile organic compounds, and carbon monoxide (CO). The effects of these on ecosystems is growing with the growth of the related anthropogenic activities i.e., urbani</w:t>
      </w:r>
      <w:r w:rsidR="00C813C5">
        <w:rPr>
          <w:rFonts w:ascii="Times New Roman" w:eastAsia="Times New Roman" w:hAnsi="Times New Roman" w:cs="Times New Roman"/>
        </w:rPr>
        <w:t>sation and industrialis</w:t>
      </w:r>
      <w:r w:rsidRPr="009B0448">
        <w:rPr>
          <w:rFonts w:ascii="Times New Roman" w:eastAsia="Times New Roman" w:hAnsi="Times New Roman" w:cs="Times New Roman"/>
        </w:rPr>
        <w:t>ation. The African urban centres have grown tremendously in the last thirty years, a trend that is on a continuous rise (Obeng-Odoom, 2013). The internal combustion engines of motor vehicles, power generation plants and other industrial machinery notoriously produce toxic gases, Nitrous oxide, Sulphur oxide and carbon monoxide. The propensity for formation o</w:t>
      </w:r>
      <w:r w:rsidR="00E05B46">
        <w:rPr>
          <w:rFonts w:ascii="Times New Roman" w:eastAsia="Times New Roman" w:hAnsi="Times New Roman" w:cs="Times New Roman"/>
        </w:rPr>
        <w:t>f trop</w:t>
      </w:r>
      <w:r w:rsidRPr="009B0448">
        <w:rPr>
          <w:rFonts w:ascii="Times New Roman" w:eastAsia="Times New Roman" w:hAnsi="Times New Roman" w:cs="Times New Roman"/>
        </w:rPr>
        <w:t xml:space="preserve">ospheric (bad) ozone from the precursor Nitrous oxide are greatly enhanced in presence of Ultraviolet radiation. Thus, comparable pollution in the tropics may exact more adverse effects on sensitive species of diverse plants and animals than in the better studied temperate regions where it has been observed that photochemicals have resulted in shifts of vegetation from ozone sensitive to ozone tolerant ones (Barker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Sulphur dioxide and hydrogen sulphide emitted from power plants especially the coal fired ones and paper and mill factories have already resulted to acid rains in various parts of Africa (Europe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Nduka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Josipovic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2010). The most relevant sources of NH</w:t>
      </w:r>
      <w:r w:rsidRPr="009B0448">
        <w:rPr>
          <w:rFonts w:ascii="Times New Roman" w:eastAsia="Times New Roman" w:hAnsi="Times New Roman" w:cs="Times New Roman"/>
          <w:vertAlign w:val="subscript"/>
        </w:rPr>
        <w:t>3</w:t>
      </w:r>
      <w:r w:rsidRPr="009B0448">
        <w:rPr>
          <w:rFonts w:ascii="Times New Roman" w:eastAsia="Times New Roman" w:hAnsi="Times New Roman" w:cs="Times New Roman"/>
        </w:rPr>
        <w:t xml:space="preserve"> in Africa are municipal effluent, farmyard/feedlot manure, and inorganic mineral fertilizers (Carmichael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2003). The extent of production of dioxin from incineration of municipal waste, a common practice in Africa, has not been evaluated. However, given the rise in the quantities of wastes, this is expected to contribute to air pollution in many parts of the continent. Particulate matter (PM- the most health-damaging components characterized as PM2.5) is generated by a combination of anthropogenic and natural courses. According to the latest air quality database from World Bank, particulate matter levels in most parts of Africa are decreasing (Figure 4.17). </w:t>
      </w:r>
    </w:p>
    <w:p w14:paraId="1F2BC32D" w14:textId="30039126" w:rsidR="009B0448" w:rsidRPr="009B0448" w:rsidRDefault="009B0448" w:rsidP="009B0448">
      <w:pPr>
        <w:spacing w:line="276" w:lineRule="auto"/>
        <w:jc w:val="both"/>
        <w:rPr>
          <w:rFonts w:ascii="Times New Roman" w:eastAsia="Times New Roman" w:hAnsi="Times New Roman" w:cs="Times New Roman"/>
          <w:b/>
        </w:rPr>
      </w:pPr>
      <w:r w:rsidRPr="009B0448">
        <w:rPr>
          <w:rFonts w:ascii="Times New Roman" w:hAnsi="Times New Roman" w:cs="Times New Roman"/>
          <w:noProof/>
          <w:lang w:eastAsia="en-GB"/>
        </w:rPr>
        <w:drawing>
          <wp:inline distT="0" distB="0" distL="0" distR="0" wp14:anchorId="49846C57" wp14:editId="358A0B9C">
            <wp:extent cx="5715633" cy="3313196"/>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53">
                      <a:extLst>
                        <a:ext uri="{28A0092B-C50C-407E-A947-70E740481C1C}">
                          <a14:useLocalDpi xmlns:a14="http://schemas.microsoft.com/office/drawing/2010/main" val="0"/>
                        </a:ext>
                      </a:extLst>
                    </a:blip>
                    <a:stretch>
                      <a:fillRect/>
                    </a:stretch>
                  </pic:blipFill>
                  <pic:spPr bwMode="auto">
                    <a:xfrm>
                      <a:off x="0" y="0"/>
                      <a:ext cx="5720119" cy="3315796"/>
                    </a:xfrm>
                    <a:prstGeom prst="rect">
                      <a:avLst/>
                    </a:prstGeom>
                    <a:noFill/>
                    <a:ln>
                      <a:noFill/>
                    </a:ln>
                  </pic:spPr>
                </pic:pic>
              </a:graphicData>
            </a:graphic>
          </wp:inline>
        </w:drawing>
      </w:r>
    </w:p>
    <w:p w14:paraId="0D676CDC" w14:textId="78B0789E" w:rsidR="00D32AA1" w:rsidRDefault="009B0448" w:rsidP="00D32AA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4.17:</w:t>
      </w:r>
      <w:r w:rsidRPr="009B0448">
        <w:rPr>
          <w:rFonts w:ascii="Times New Roman" w:eastAsia="Times New Roman" w:hAnsi="Times New Roman" w:cs="Times New Roman"/>
        </w:rPr>
        <w:t xml:space="preserve"> Variation of PM</w:t>
      </w:r>
      <w:r w:rsidRPr="00D314CD">
        <w:rPr>
          <w:rFonts w:ascii="Times New Roman" w:eastAsia="Times New Roman" w:hAnsi="Times New Roman" w:cs="Times New Roman"/>
          <w:vertAlign w:val="subscript"/>
        </w:rPr>
        <w:t>2.5</w:t>
      </w:r>
      <w:r w:rsidRPr="009B0448">
        <w:rPr>
          <w:rFonts w:ascii="Times New Roman" w:eastAsia="Times New Roman" w:hAnsi="Times New Roman" w:cs="Times New Roman"/>
        </w:rPr>
        <w:t xml:space="preserve"> air pollution, mean annual exposure by country in Africa for the years 2000 and 2015. The darker the shade, the higher the value. Source: World Development Indicators (2017).</w:t>
      </w:r>
      <w:r w:rsidR="00D32AA1">
        <w:rPr>
          <w:rFonts w:ascii="Times New Roman" w:eastAsia="Times New Roman" w:hAnsi="Times New Roman" w:cs="Times New Roman"/>
        </w:rPr>
        <w:br w:type="page"/>
      </w:r>
    </w:p>
    <w:p w14:paraId="2CCA3CEC" w14:textId="7B905003" w:rsidR="009B0448" w:rsidRPr="009B0448" w:rsidRDefault="00C813C5" w:rsidP="009B0448">
      <w:pPr>
        <w:spacing w:line="276" w:lineRule="auto"/>
        <w:jc w:val="both"/>
        <w:rPr>
          <w:rFonts w:ascii="Times New Roman" w:eastAsia="Times New Roman" w:hAnsi="Times New Roman" w:cs="Times New Roman"/>
        </w:rPr>
      </w:pPr>
      <w:r>
        <w:rPr>
          <w:rFonts w:ascii="Times New Roman" w:eastAsia="Times New Roman" w:hAnsi="Times New Roman" w:cs="Times New Roman"/>
        </w:rPr>
        <w:t>The rate of urbanis</w:t>
      </w:r>
      <w:r w:rsidR="009B0448" w:rsidRPr="009B0448">
        <w:rPr>
          <w:rFonts w:ascii="Times New Roman" w:eastAsia="Times New Roman" w:hAnsi="Times New Roman" w:cs="Times New Roman"/>
        </w:rPr>
        <w:t xml:space="preserve">ation supersedes the rate of development in many of the poorer African nations. The long distances of unpaved dirt road in addition to deforested bear grounds in heavily settled area are important sources of dust in many parts of Africa. Various mining activities in Africa contribute too much of the PM2.5 in the atmosphere and studies reveal detrimental effects on biodiversity (Munnik, 2010; Ana, 2011; Gathuru, 2012). Africa is also faces a number of natural sources of air pollutants including Sulphur oxide, Nitrous oxide and dust. These arise from eruption of active volcanic mountains; emissions from hot springs in the eastern rift valley from Ethiopia through Kenya and northern Tanzania; dust from the Saharan desert, pan surfaces, and ephemeral lakes in South-Western Africa; methane emission by the termites; and methanogenic bacteria in the swamps. In particular, the continual expansion of the Sahara has led to four-fold increase of dust (Prospero </w:t>
      </w:r>
      <w:r w:rsidR="009B0448" w:rsidRPr="009B0448">
        <w:rPr>
          <w:rFonts w:ascii="Times New Roman" w:eastAsia="Times New Roman" w:hAnsi="Times New Roman" w:cs="Times New Roman"/>
          <w:i/>
        </w:rPr>
        <w:t>et al.</w:t>
      </w:r>
      <w:r w:rsidR="009B0448" w:rsidRPr="009B0448">
        <w:rPr>
          <w:rFonts w:ascii="Times New Roman" w:eastAsia="Times New Roman" w:hAnsi="Times New Roman" w:cs="Times New Roman"/>
        </w:rPr>
        <w:t xml:space="preserve">, 1986; Bryant, 2003), which is mostly disturbed and therefore laden with Iron. Iron-laden dust has been observed to deposit in the Equatorial Atlantic and could enhance nitrogen fixation and consequently exacerbate occurrence dead zones at ocean (Tegen </w:t>
      </w:r>
      <w:r w:rsidR="009B0448" w:rsidRPr="009B0448">
        <w:rPr>
          <w:rFonts w:ascii="Times New Roman" w:eastAsia="Times New Roman" w:hAnsi="Times New Roman" w:cs="Times New Roman"/>
          <w:i/>
        </w:rPr>
        <w:t>et al.</w:t>
      </w:r>
      <w:r w:rsidR="009B0448" w:rsidRPr="009B0448">
        <w:rPr>
          <w:rFonts w:ascii="Times New Roman" w:eastAsia="Times New Roman" w:hAnsi="Times New Roman" w:cs="Times New Roman"/>
        </w:rPr>
        <w:t>, 1995). The physical anthropogenic pollutants like noise, light, and radioactive materials, are also known to hamper biodiversity in various ways.</w:t>
      </w:r>
    </w:p>
    <w:p w14:paraId="658FF243"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297" w:name="_Toc503032786"/>
      <w:bookmarkStart w:id="298" w:name="_Toc519499959"/>
      <w:r w:rsidRPr="009B0448">
        <w:rPr>
          <w:rFonts w:eastAsia="Calibri" w:cs="Times New Roman"/>
          <w:szCs w:val="24"/>
        </w:rPr>
        <w:t>Link between natural and anthropogenic drivers</w:t>
      </w:r>
      <w:bookmarkEnd w:id="297"/>
      <w:bookmarkEnd w:id="298"/>
    </w:p>
    <w:p w14:paraId="5E4DEDF2"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There is interplay between multiple drivers of biodiversity and ecosystem services (Figure 4.18). Most direct anthropogenic drivers are a consequence of interaction between indirect drivers and natural drivers. It is often the direct interaction of humans with the natural environment that causes land conversion from natural systems to agriculture, or degradation of the natural or agricultural systems. However, factors that determine how humans interact with the environment are extremely complex. There is an interplay between the natural features of the land, institutional factors and economic factors. Features such as soil characteristics, climate and terrain determine the likelihood of degradation under different land-use interventions. Institutional factors set the ‘rules of the game’ and these are determined by cultural and traditional values, local and national institutional structures, religious beliefs, policy and legislation. These institutional aspects define how things are done in the society. Finally, economic aspects determine the demand for produce, which will impact on how the land is used. This demand may be local for subsistence needs, but is increasingly global in nature (Hubacek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2002).</w:t>
      </w:r>
    </w:p>
    <w:p w14:paraId="6EAE558C"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299" w:name="_Toc503032787"/>
      <w:bookmarkStart w:id="300" w:name="_Toc519499960"/>
      <w:r w:rsidRPr="009B0448">
        <w:rPr>
          <w:rFonts w:cs="Times New Roman"/>
          <w:i w:val="0"/>
          <w:sz w:val="22"/>
          <w:szCs w:val="22"/>
        </w:rPr>
        <w:t>Link between anthropogenic and local drivers</w:t>
      </w:r>
      <w:bookmarkEnd w:id="299"/>
      <w:bookmarkEnd w:id="300"/>
    </w:p>
    <w:p w14:paraId="3114C6A2"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At the local level a growing human population creates an increased demand for agricultural and other natural products. In Africa this translates mostly into an increased area under agriculture, rather than agricultural intensification, though there is a growing trend towards intensification (Perring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The link between resource degradation and society is complex, but it is widely accepted that degradation both causes and results from socio-economic conditions such as poverty (Reynolds, 2007). Although poverty and increased population have been linked to resource degradation (Malthus, 1798; UNFPA, 2001; de Sherbinin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this causation is contentious (Malik, 1999; Geist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2001; Bremner, 2010), with recent studies suggesting that in many cases it is global consumption patterns that have far greater impacts on degradation than the poor (Current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Dietz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Bremner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However, there are cases where increasing population can lead directly to increased pressure on the land and increased degradation (Coppock, 2016). But, population does not always lead to increased degradation (Tiffen, 1994). In many cases it is the strength of local institutions that allow sustainable management of communal resources (Ostrom, 1990), but in the Machakos example, changes in policy (particularly relating to tenure), technical and political support all played a part (Tiffen, 1994). Africa has embarked on a wide range of projects involving devolution of natural resource management to local communities in the forestry and wildlife sectors in response to renewed understanding of the importance of local institutions in resource management (Shackleton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2001; Roe, 2009; Chevallier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2016).</w:t>
      </w:r>
    </w:p>
    <w:p w14:paraId="0515088D" w14:textId="61812BB5"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783D225D" wp14:editId="4FC8B2D3">
            <wp:extent cx="5730240" cy="4770120"/>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5730240" cy="4770120"/>
                    </a:xfrm>
                    <a:prstGeom prst="rect">
                      <a:avLst/>
                    </a:prstGeom>
                    <a:noFill/>
                    <a:ln>
                      <a:noFill/>
                    </a:ln>
                  </pic:spPr>
                </pic:pic>
              </a:graphicData>
            </a:graphic>
          </wp:inline>
        </w:drawing>
      </w:r>
    </w:p>
    <w:p w14:paraId="12F5B895" w14:textId="77777777" w:rsidR="009B0448" w:rsidRPr="009B0448" w:rsidRDefault="009B0448" w:rsidP="009B0448">
      <w:pPr>
        <w:spacing w:line="276" w:lineRule="auto"/>
        <w:rPr>
          <w:rFonts w:ascii="Times New Roman" w:eastAsia="Times New Roman" w:hAnsi="Times New Roman" w:cs="Times New Roman"/>
        </w:rPr>
      </w:pPr>
      <w:r w:rsidRPr="009B0448">
        <w:rPr>
          <w:rFonts w:ascii="Times New Roman" w:eastAsia="Times New Roman" w:hAnsi="Times New Roman" w:cs="Times New Roman"/>
          <w:b/>
        </w:rPr>
        <w:t xml:space="preserve">Figure 4.18: </w:t>
      </w:r>
      <w:r w:rsidRPr="009B0448">
        <w:rPr>
          <w:rFonts w:ascii="Times New Roman" w:eastAsia="Times New Roman" w:hAnsi="Times New Roman" w:cs="Times New Roman"/>
        </w:rPr>
        <w:t>A schematic representation of the complex interactions among drivers. Indirect and natural drivers impact local individuals and communities through complex chains leading to direct anthropogenic drivers.</w:t>
      </w:r>
    </w:p>
    <w:p w14:paraId="77B6D7CF" w14:textId="77777777" w:rsidR="009B0448" w:rsidRPr="009B0448" w:rsidRDefault="009B0448" w:rsidP="009B0448">
      <w:pPr>
        <w:spacing w:line="276" w:lineRule="auto"/>
        <w:jc w:val="both"/>
        <w:rPr>
          <w:rFonts w:ascii="Times New Roman" w:eastAsia="Times New Roman" w:hAnsi="Times New Roman" w:cs="Times New Roman"/>
        </w:rPr>
      </w:pPr>
    </w:p>
    <w:p w14:paraId="3C821C6E"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Poverty tends to force people to have greater reliance on the environment and this can lead to degradation as the meeting of short-term survival needs may be more important than long-term sustainability. This is especially true during times of stress such as during a drought. Though poverty is often associated with degradation, a lack of poverty (wealth) is no guarantee that degradation will not take place, especially if policy gaps, or perverse policy outcomes, allow inappropriate land management practices. Despite this, in most respects the poor have a far smaller environmental footprint than the rich (Fischer-Kowalski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Ivanova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Kenner, 2015). Large-scale migration to towns, and increased urban affluence, place a high demand on rural areas to increase food production. The increasing extent of urban poor, living in slum areas associated with Africa’s large cities place unique threats to the environment through their requirements for cheap food and fuel, as well as the local impacts (Satterthwaite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The need for cash in an increasingly cash-based economy is changing resource use from traditional consumption to marketing. There is probably no community left in Africa who does not require some level of cash income. This can drives new behaviour which will differ from the traditional livelihood resource use patterns such as charcoal production and the sale of bushmeat to urban centres (Bennett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Zulu, 2010; Bolognesi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Neufeldt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p>
    <w:p w14:paraId="66898818" w14:textId="77777777" w:rsidR="009B0448" w:rsidRPr="009B0448" w:rsidRDefault="009B0448" w:rsidP="009B0448">
      <w:pPr>
        <w:spacing w:line="276" w:lineRule="auto"/>
        <w:jc w:val="both"/>
        <w:rPr>
          <w:rFonts w:ascii="Times New Roman" w:eastAsia="Times New Roman" w:hAnsi="Times New Roman" w:cs="Times New Roman"/>
        </w:rPr>
      </w:pPr>
    </w:p>
    <w:p w14:paraId="4536DC48" w14:textId="46704203"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Traditional, religions and cultural structures, local indigenous knowledge, ability to access technologies, poverty and access to land have a powerful impact on local level land-use practices. Care for, and understanding of, their environment is a strong driver of resource use, some of this deeply embedded in traditional knowledge and belief systems. Many local institutional structures have been weakened through centralized governance in colonial and post-colonial government systems (Chevallier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These are determined by tradition, access to capital, access to markets, availability of technology, and inherent productive capacity of the area, tenure regimes any many other factors. Traditional structures should not be </w:t>
      </w:r>
      <w:r w:rsidR="00FD3EB4" w:rsidRPr="009B0448">
        <w:rPr>
          <w:rFonts w:ascii="Times New Roman" w:eastAsia="Times New Roman" w:hAnsi="Times New Roman" w:cs="Times New Roman"/>
        </w:rPr>
        <w:t>over romanticized</w:t>
      </w:r>
      <w:r w:rsidRPr="009B0448">
        <w:rPr>
          <w:rFonts w:ascii="Times New Roman" w:eastAsia="Times New Roman" w:hAnsi="Times New Roman" w:cs="Times New Roman"/>
        </w:rPr>
        <w:t>, as although they often promote sound resource management, there are also cases of greed and rent-seeking behaviour by the local elite (Chiweshe, 2016; O’Laughlin, 2016). Households may well be forced to overexploit resources due to poverty, especially during drought years. Reduced size of farms due to population expansion may force households to undertake destructive activities such as overgrazing or unsustainable harvesting of fuelwood products. As there is a global shift to a cash-based economy, households are under increased pressure to find economic opportunities from the land.</w:t>
      </w:r>
    </w:p>
    <w:p w14:paraId="64AD8EA5"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01" w:name="_Toc503032788"/>
      <w:bookmarkStart w:id="302" w:name="_Toc519499961"/>
      <w:r w:rsidRPr="009B0448">
        <w:rPr>
          <w:rFonts w:cs="Times New Roman"/>
          <w:i w:val="0"/>
          <w:sz w:val="22"/>
          <w:szCs w:val="22"/>
        </w:rPr>
        <w:t>Link between anthropogenic and national and regional drivers</w:t>
      </w:r>
      <w:bookmarkEnd w:id="301"/>
      <w:bookmarkEnd w:id="302"/>
    </w:p>
    <w:p w14:paraId="71463DA2"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National rules and regulations define how people can legally use the land (Chevallier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This therefore constitutes one of the biggest single drivers of land-use activity. However, it is the state’s ability to police these rules and regulations that will determine if they are adhered to at the local level. Many land-use practices such as charcoal production or harvesting of wild animals are illegal, but due to inadequate enforcement, are still widespread (Bennett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Zulu, 2010; </w:t>
      </w:r>
      <w:r w:rsidRPr="009B0448">
        <w:rPr>
          <w:rFonts w:ascii="Times New Roman" w:eastAsia="Arial" w:hAnsi="Times New Roman" w:cs="Times New Roman"/>
          <w:color w:val="222222"/>
        </w:rPr>
        <w:t xml:space="preserve">Bolognesi </w:t>
      </w:r>
      <w:r w:rsidRPr="009B0448">
        <w:rPr>
          <w:rFonts w:ascii="Times New Roman" w:eastAsia="Arial" w:hAnsi="Times New Roman" w:cs="Times New Roman"/>
          <w:i/>
          <w:color w:val="222222"/>
        </w:rPr>
        <w:t>et al</w:t>
      </w:r>
      <w:r w:rsidRPr="009B0448">
        <w:rPr>
          <w:rFonts w:ascii="Times New Roman" w:eastAsia="Arial" w:hAnsi="Times New Roman" w:cs="Times New Roman"/>
          <w:color w:val="222222"/>
        </w:rPr>
        <w:t xml:space="preserve">., 2015; </w:t>
      </w:r>
      <w:r w:rsidRPr="009B0448">
        <w:rPr>
          <w:rFonts w:ascii="Times New Roman" w:eastAsia="Times New Roman" w:hAnsi="Times New Roman" w:cs="Times New Roman"/>
        </w:rPr>
        <w:t xml:space="preserve">Neufeldt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In addition well-intended legislation in one sector of the economy might provide perverse incentives for resource destruction in other sectors of the economy (Zulu, 2010). Macroeconomic policy has far-reaching impacts as to how communities engage with resources. Macroeconomic and political aspects of the economy often drive the status of local development. Taxes and economic incentives are the two key instruments available from an economic perspective to govern land-use activities. This determines options available to local residents in terms of the types of practices they can undertake. For instance there is ongoing debate over large-scale foreign direct investments in land versus small-scale farming (Cotula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Vermeulen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Hall, 2011; von Maltitz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2011).</w:t>
      </w:r>
    </w:p>
    <w:p w14:paraId="2EB76D0F"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03" w:name="_Toc503032789"/>
      <w:bookmarkStart w:id="304" w:name="_Toc519499962"/>
      <w:r w:rsidRPr="009B0448">
        <w:rPr>
          <w:rFonts w:cs="Times New Roman"/>
          <w:i w:val="0"/>
          <w:sz w:val="22"/>
          <w:szCs w:val="22"/>
        </w:rPr>
        <w:t>Link between anthropogenic and global drivers</w:t>
      </w:r>
      <w:bookmarkEnd w:id="303"/>
      <w:bookmarkEnd w:id="304"/>
    </w:p>
    <w:p w14:paraId="4DDFA001"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Increased global demand of ecological services such as tourism increases pressure on ecosystems. Africa is affected by both import and export policy, with cheap food imports often having negative feedback into the agricultural economies. Exports drive new agricultural practices and crop choices. Global trade on commodities dependent on natural resource such as cash crops (e.g., horticulture in Kenya and Ethiopia) and beef (cattle production in Botswana and Namibia for the European Union market) has been shown to contribute to degradation of natural ecosystem and loss of biodiversity (Swanepoel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The demand for beef is projected to increase by 115% between 2000 and 2050 globally (Alkemade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2013). This will require more grazing area, and rangelands will experience further degradation and biodiversity loss. In addition, use of local livestock breeds such as Tswana cattle in Botswana are often ignored in favour of heavy exotic breeds due to market demand and this could facilitate loss of national biodiversity.</w:t>
      </w:r>
    </w:p>
    <w:p w14:paraId="170A321D"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05" w:name="_Toc503032790"/>
      <w:bookmarkStart w:id="306" w:name="_Toc519499963"/>
      <w:r w:rsidRPr="009B0448">
        <w:rPr>
          <w:rFonts w:cs="Times New Roman"/>
          <w:i w:val="0"/>
          <w:sz w:val="22"/>
          <w:szCs w:val="22"/>
        </w:rPr>
        <w:t>Link between anthropogenic and natural drivers</w:t>
      </w:r>
      <w:bookmarkEnd w:id="305"/>
      <w:bookmarkEnd w:id="306"/>
    </w:p>
    <w:p w14:paraId="7D313DA6"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 number of studies suggest that it is during or after extreme events that degradation processes are initiated (Frank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 These could be from cyclic climates, or impacts from global climate change. For instance a prolonged drought could lead to heavy overgrazing, especially if artificial water points are provided, resulting in the removal of almost all ground cover. This would then make the area extremely vulnerable to erosion if there is an intense storm following the drought. Table 4.7 attempts to map how different natural degradation drivers might impact with direct anthropogenic drivers.</w:t>
      </w:r>
    </w:p>
    <w:p w14:paraId="65171592"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07" w:name="_Toc503032791"/>
      <w:bookmarkStart w:id="308" w:name="_Toc519499964"/>
      <w:r w:rsidRPr="009B0448">
        <w:rPr>
          <w:rFonts w:cs="Times New Roman"/>
          <w:i w:val="0"/>
          <w:sz w:val="22"/>
          <w:szCs w:val="22"/>
        </w:rPr>
        <w:t>Link between anthropogenic drivers and climate change</w:t>
      </w:r>
      <w:bookmarkEnd w:id="307"/>
      <w:bookmarkEnd w:id="308"/>
    </w:p>
    <w:p w14:paraId="41A35D14"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Climate change is a unique anthropogenic driver of change that its impact is spatially decoupled from the source, and in that at the local scale, communities can only adapt to impacts, but cannot change the scale of the impacts through their local actions (Harrison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There are a number of complex interactions between climate change and the natural environment, potentially decreasing the ability of the natural environment to sustain the same level of the provisioning on nature’s contributions to people. The impact is likely to be most severe in drylands (Huang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2017) and the combined increase in temperature, decrease in rainfall and change in seasonality will prove exceptionally problematic to livestock production (Descheemaeker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2017). </w:t>
      </w:r>
    </w:p>
    <w:p w14:paraId="33369658" w14:textId="77777777" w:rsidR="009B0448" w:rsidRPr="009B0448" w:rsidRDefault="009B0448" w:rsidP="009B0448">
      <w:pPr>
        <w:spacing w:line="276" w:lineRule="auto"/>
        <w:jc w:val="both"/>
        <w:rPr>
          <w:rFonts w:ascii="Times New Roman" w:eastAsia="Times New Roman" w:hAnsi="Times New Roman" w:cs="Times New Roman"/>
        </w:rPr>
      </w:pPr>
    </w:p>
    <w:p w14:paraId="50326BC9"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Climate change may radically alter species composition and distribution in the natural environment, and in so doing change the available mix of nature’s contributions to people that is available to support livelihoods. This may have dramatic changes on livelihood strategies including farming practices. Climate change may well alter the distribution and likelihood of many diseases. It is also expected to alter natural fire regimes, potentially increasing the possibility of mega-fires, which have devastating human and environmental impacts. With regards to invasive alien species, evidence suggests that Water fern (</w:t>
      </w:r>
      <w:r w:rsidRPr="009B0448">
        <w:rPr>
          <w:rFonts w:ascii="Times New Roman" w:eastAsia="Times New Roman" w:hAnsi="Times New Roman" w:cs="Times New Roman"/>
          <w:i/>
        </w:rPr>
        <w:t>Azola filiculoides</w:t>
      </w:r>
      <w:r w:rsidRPr="009B0448">
        <w:rPr>
          <w:rFonts w:ascii="Times New Roman" w:eastAsia="Times New Roman" w:hAnsi="Times New Roman" w:cs="Times New Roman"/>
        </w:rPr>
        <w:t>), Water hyacinth (</w:t>
      </w:r>
      <w:r w:rsidRPr="009B0448">
        <w:rPr>
          <w:rFonts w:ascii="Times New Roman" w:eastAsia="Times New Roman" w:hAnsi="Times New Roman" w:cs="Times New Roman"/>
          <w:i/>
        </w:rPr>
        <w:t>Eichhornia crassipes</w:t>
      </w:r>
      <w:r w:rsidRPr="009B0448">
        <w:rPr>
          <w:rFonts w:ascii="Times New Roman" w:eastAsia="Times New Roman" w:hAnsi="Times New Roman" w:cs="Times New Roman"/>
        </w:rPr>
        <w:t>) and the Kariba weed (</w:t>
      </w:r>
      <w:r w:rsidRPr="009B0448">
        <w:rPr>
          <w:rFonts w:ascii="Times New Roman" w:eastAsia="Times New Roman" w:hAnsi="Times New Roman" w:cs="Times New Roman"/>
          <w:i/>
        </w:rPr>
        <w:t>Salvinia molesta</w:t>
      </w:r>
      <w:r w:rsidRPr="009B0448">
        <w:rPr>
          <w:rFonts w:ascii="Times New Roman" w:eastAsia="Times New Roman" w:hAnsi="Times New Roman" w:cs="Times New Roman"/>
        </w:rPr>
        <w:t>)</w:t>
      </w:r>
      <w:r w:rsidRPr="009B0448">
        <w:rPr>
          <w:rFonts w:ascii="Times New Roman" w:eastAsia="Times New Roman" w:hAnsi="Times New Roman" w:cs="Times New Roman"/>
          <w:i/>
        </w:rPr>
        <w:t xml:space="preserve"> </w:t>
      </w:r>
      <w:r w:rsidRPr="009B0448">
        <w:rPr>
          <w:rFonts w:ascii="Times New Roman" w:eastAsia="Times New Roman" w:hAnsi="Times New Roman" w:cs="Times New Roman"/>
        </w:rPr>
        <w:t xml:space="preserve">will expand towards suitable habitat found in the Western Cape Province and along coastal areas in South Africa (Hoveka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The rate and extent of this spread will depend on local climate, vegetation and disturbance contexts (Clements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2011).</w:t>
      </w:r>
    </w:p>
    <w:p w14:paraId="395DD23D" w14:textId="77777777" w:rsidR="009B0448" w:rsidRPr="009B0448" w:rsidRDefault="009B0448" w:rsidP="009B0448">
      <w:pPr>
        <w:spacing w:line="276" w:lineRule="auto"/>
        <w:jc w:val="both"/>
        <w:rPr>
          <w:rFonts w:ascii="Times New Roman" w:eastAsia="Times New Roman" w:hAnsi="Times New Roman" w:cs="Times New Roman"/>
        </w:rPr>
      </w:pPr>
    </w:p>
    <w:p w14:paraId="5F574E4B" w14:textId="77777777" w:rsidR="009B0448" w:rsidRPr="009B0448" w:rsidRDefault="009B0448" w:rsidP="009B0448">
      <w:pPr>
        <w:spacing w:line="276" w:lineRule="auto"/>
        <w:rPr>
          <w:rFonts w:ascii="Times New Roman" w:eastAsia="Times New Roman" w:hAnsi="Times New Roman" w:cs="Times New Roman"/>
          <w:szCs w:val="20"/>
        </w:rPr>
      </w:pPr>
      <w:r w:rsidRPr="009B0448">
        <w:rPr>
          <w:rFonts w:ascii="Times New Roman" w:eastAsia="Times New Roman" w:hAnsi="Times New Roman" w:cs="Times New Roman"/>
          <w:b/>
          <w:szCs w:val="20"/>
        </w:rPr>
        <w:t>Table 4.7:</w:t>
      </w:r>
      <w:r w:rsidRPr="009B0448">
        <w:rPr>
          <w:rFonts w:ascii="Times New Roman" w:eastAsia="Times New Roman" w:hAnsi="Times New Roman" w:cs="Times New Roman"/>
          <w:szCs w:val="20"/>
        </w:rPr>
        <w:t xml:space="preserve"> Enhancement of natural drivers by anthropogenic drivers of change.</w:t>
      </w:r>
    </w:p>
    <w:tbl>
      <w:tblPr>
        <w:tblStyle w:val="TableGrid"/>
        <w:tblW w:w="5000" w:type="pct"/>
        <w:tblLayout w:type="fixed"/>
        <w:tblLook w:val="0600" w:firstRow="0" w:lastRow="0" w:firstColumn="0" w:lastColumn="0" w:noHBand="1" w:noVBand="1"/>
      </w:tblPr>
      <w:tblGrid>
        <w:gridCol w:w="1504"/>
        <w:gridCol w:w="1210"/>
        <w:gridCol w:w="1648"/>
        <w:gridCol w:w="1807"/>
        <w:gridCol w:w="1490"/>
        <w:gridCol w:w="1357"/>
      </w:tblGrid>
      <w:tr w:rsidR="009B0448" w:rsidRPr="009B0448" w14:paraId="3C75D306" w14:textId="77777777" w:rsidTr="009B0448">
        <w:tc>
          <w:tcPr>
            <w:tcW w:w="150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3636ECF" w14:textId="77777777" w:rsidR="009B0448" w:rsidRPr="009B0448" w:rsidRDefault="009B0448">
            <w:pPr>
              <w:pStyle w:val="NoSpacing"/>
              <w:rPr>
                <w:rFonts w:ascii="Times New Roman" w:hAnsi="Times New Roman" w:cs="Times New Roman"/>
                <w:b/>
              </w:rPr>
            </w:pPr>
            <w:r w:rsidRPr="009B0448">
              <w:rPr>
                <w:rFonts w:ascii="Times New Roman" w:hAnsi="Times New Roman" w:cs="Times New Roman"/>
                <w:b/>
              </w:rPr>
              <w:t xml:space="preserve"> </w:t>
            </w:r>
          </w:p>
        </w:tc>
        <w:tc>
          <w:tcPr>
            <w:tcW w:w="1209"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89ED3B1" w14:textId="77777777" w:rsidR="009B0448" w:rsidRPr="009B0448" w:rsidRDefault="009B0448">
            <w:pPr>
              <w:pStyle w:val="NoSpacing"/>
              <w:rPr>
                <w:rFonts w:ascii="Times New Roman" w:hAnsi="Times New Roman" w:cs="Times New Roman"/>
                <w:b/>
              </w:rPr>
            </w:pPr>
            <w:r w:rsidRPr="009B0448">
              <w:rPr>
                <w:rFonts w:ascii="Times New Roman" w:hAnsi="Times New Roman" w:cs="Times New Roman"/>
                <w:b/>
              </w:rPr>
              <w:t>Natural climate and weather patterns</w:t>
            </w:r>
          </w:p>
        </w:tc>
        <w:tc>
          <w:tcPr>
            <w:tcW w:w="164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02BF4A2" w14:textId="77777777" w:rsidR="009B0448" w:rsidRPr="009B0448" w:rsidRDefault="009B0448">
            <w:pPr>
              <w:pStyle w:val="NoSpacing"/>
              <w:rPr>
                <w:rFonts w:ascii="Times New Roman" w:hAnsi="Times New Roman" w:cs="Times New Roman"/>
                <w:b/>
              </w:rPr>
            </w:pPr>
            <w:r w:rsidRPr="009B0448">
              <w:rPr>
                <w:rFonts w:ascii="Times New Roman" w:hAnsi="Times New Roman" w:cs="Times New Roman"/>
                <w:b/>
              </w:rPr>
              <w:t>Extreme events (droughts, cyclones, floods)</w:t>
            </w:r>
          </w:p>
        </w:tc>
        <w:tc>
          <w:tcPr>
            <w:tcW w:w="1805"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154C1B2" w14:textId="77777777" w:rsidR="009B0448" w:rsidRPr="009B0448" w:rsidRDefault="009B0448">
            <w:pPr>
              <w:pStyle w:val="NoSpacing"/>
              <w:rPr>
                <w:rFonts w:ascii="Times New Roman" w:hAnsi="Times New Roman" w:cs="Times New Roman"/>
                <w:b/>
              </w:rPr>
            </w:pPr>
            <w:r w:rsidRPr="009B0448">
              <w:rPr>
                <w:rFonts w:ascii="Times New Roman" w:hAnsi="Times New Roman" w:cs="Times New Roman"/>
                <w:b/>
              </w:rPr>
              <w:t>Wildfires</w:t>
            </w:r>
          </w:p>
        </w:tc>
        <w:tc>
          <w:tcPr>
            <w:tcW w:w="148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B979125" w14:textId="77777777" w:rsidR="009B0448" w:rsidRPr="009B0448" w:rsidRDefault="009B0448">
            <w:pPr>
              <w:pStyle w:val="NoSpacing"/>
              <w:rPr>
                <w:rFonts w:ascii="Times New Roman" w:hAnsi="Times New Roman" w:cs="Times New Roman"/>
                <w:b/>
              </w:rPr>
            </w:pPr>
            <w:r w:rsidRPr="009B0448">
              <w:rPr>
                <w:rFonts w:ascii="Times New Roman" w:hAnsi="Times New Roman" w:cs="Times New Roman"/>
                <w:b/>
              </w:rPr>
              <w:t>Diseases</w:t>
            </w:r>
          </w:p>
        </w:tc>
        <w:tc>
          <w:tcPr>
            <w:tcW w:w="1355"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0A81D39" w14:textId="77777777" w:rsidR="009B0448" w:rsidRPr="009B0448" w:rsidRDefault="009B0448">
            <w:pPr>
              <w:pStyle w:val="NoSpacing"/>
              <w:rPr>
                <w:rFonts w:ascii="Times New Roman" w:hAnsi="Times New Roman" w:cs="Times New Roman"/>
                <w:b/>
              </w:rPr>
            </w:pPr>
            <w:r w:rsidRPr="009B0448">
              <w:rPr>
                <w:rFonts w:ascii="Times New Roman" w:hAnsi="Times New Roman" w:cs="Times New Roman"/>
                <w:b/>
              </w:rPr>
              <w:t>Earthquakes, tsunamis, eruptions</w:t>
            </w:r>
          </w:p>
        </w:tc>
      </w:tr>
      <w:tr w:rsidR="009B0448" w:rsidRPr="009B0448" w14:paraId="08842902" w14:textId="77777777" w:rsidTr="009B0448">
        <w:tc>
          <w:tcPr>
            <w:tcW w:w="1503" w:type="dxa"/>
            <w:tcBorders>
              <w:top w:val="single" w:sz="4" w:space="0" w:color="auto"/>
              <w:left w:val="single" w:sz="4" w:space="0" w:color="auto"/>
              <w:bottom w:val="single" w:sz="4" w:space="0" w:color="auto"/>
              <w:right w:val="single" w:sz="4" w:space="0" w:color="auto"/>
            </w:tcBorders>
            <w:hideMark/>
          </w:tcPr>
          <w:p w14:paraId="0F2D5351" w14:textId="77777777" w:rsidR="009B0448" w:rsidRPr="009B0448" w:rsidRDefault="009B0448">
            <w:pPr>
              <w:pStyle w:val="NoSpacing"/>
              <w:rPr>
                <w:rFonts w:ascii="Times New Roman" w:hAnsi="Times New Roman" w:cs="Times New Roman"/>
                <w:b/>
              </w:rPr>
            </w:pPr>
            <w:r w:rsidRPr="009B0448">
              <w:rPr>
                <w:rFonts w:ascii="Times New Roman" w:hAnsi="Times New Roman" w:cs="Times New Roman"/>
                <w:b/>
              </w:rPr>
              <w:t>Habitat conversion</w:t>
            </w:r>
          </w:p>
        </w:tc>
        <w:tc>
          <w:tcPr>
            <w:tcW w:w="1209" w:type="dxa"/>
            <w:tcBorders>
              <w:top w:val="single" w:sz="4" w:space="0" w:color="auto"/>
              <w:left w:val="single" w:sz="4" w:space="0" w:color="auto"/>
              <w:bottom w:val="single" w:sz="4" w:space="0" w:color="auto"/>
              <w:right w:val="single" w:sz="4" w:space="0" w:color="auto"/>
            </w:tcBorders>
            <w:hideMark/>
          </w:tcPr>
          <w:p w14:paraId="58E1FE80"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Erosion and runoff for bared soils</w:t>
            </w:r>
          </w:p>
        </w:tc>
        <w:tc>
          <w:tcPr>
            <w:tcW w:w="1646" w:type="dxa"/>
            <w:tcBorders>
              <w:top w:val="single" w:sz="4" w:space="0" w:color="auto"/>
              <w:left w:val="single" w:sz="4" w:space="0" w:color="auto"/>
              <w:bottom w:val="single" w:sz="4" w:space="0" w:color="auto"/>
              <w:right w:val="single" w:sz="4" w:space="0" w:color="auto"/>
            </w:tcBorders>
            <w:hideMark/>
          </w:tcPr>
          <w:p w14:paraId="70ED578D"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Can enhance floods</w:t>
            </w:r>
          </w:p>
        </w:tc>
        <w:tc>
          <w:tcPr>
            <w:tcW w:w="1805" w:type="dxa"/>
            <w:tcBorders>
              <w:top w:val="single" w:sz="4" w:space="0" w:color="auto"/>
              <w:left w:val="single" w:sz="4" w:space="0" w:color="auto"/>
              <w:bottom w:val="single" w:sz="4" w:space="0" w:color="auto"/>
              <w:right w:val="single" w:sz="4" w:space="0" w:color="auto"/>
            </w:tcBorders>
            <w:hideMark/>
          </w:tcPr>
          <w:p w14:paraId="5C44C15E"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Deforestation facilitates wildfires–wildfires maintain deforestation</w:t>
            </w:r>
          </w:p>
        </w:tc>
        <w:tc>
          <w:tcPr>
            <w:tcW w:w="1488" w:type="dxa"/>
            <w:tcBorders>
              <w:top w:val="single" w:sz="4" w:space="0" w:color="auto"/>
              <w:left w:val="single" w:sz="4" w:space="0" w:color="auto"/>
              <w:bottom w:val="single" w:sz="4" w:space="0" w:color="auto"/>
              <w:right w:val="single" w:sz="4" w:space="0" w:color="auto"/>
            </w:tcBorders>
            <w:hideMark/>
          </w:tcPr>
          <w:p w14:paraId="54BB2ACF"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Loss of marshes can reduce disease risks (malaria)</w:t>
            </w:r>
          </w:p>
        </w:tc>
        <w:tc>
          <w:tcPr>
            <w:tcW w:w="1355" w:type="dxa"/>
            <w:tcBorders>
              <w:top w:val="single" w:sz="4" w:space="0" w:color="auto"/>
              <w:left w:val="single" w:sz="4" w:space="0" w:color="auto"/>
              <w:bottom w:val="single" w:sz="4" w:space="0" w:color="auto"/>
              <w:right w:val="single" w:sz="4" w:space="0" w:color="auto"/>
            </w:tcBorders>
            <w:hideMark/>
          </w:tcPr>
          <w:p w14:paraId="2B66241D"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Could destroy natural habitats</w:t>
            </w:r>
          </w:p>
        </w:tc>
      </w:tr>
      <w:tr w:rsidR="009B0448" w:rsidRPr="009B0448" w14:paraId="2DBC260D" w14:textId="77777777" w:rsidTr="009B0448">
        <w:tc>
          <w:tcPr>
            <w:tcW w:w="1503" w:type="dxa"/>
            <w:tcBorders>
              <w:top w:val="single" w:sz="4" w:space="0" w:color="auto"/>
              <w:left w:val="single" w:sz="4" w:space="0" w:color="auto"/>
              <w:bottom w:val="single" w:sz="4" w:space="0" w:color="auto"/>
              <w:right w:val="single" w:sz="4" w:space="0" w:color="auto"/>
            </w:tcBorders>
            <w:hideMark/>
          </w:tcPr>
          <w:p w14:paraId="5125D53E" w14:textId="77777777" w:rsidR="009B0448" w:rsidRPr="009B0448" w:rsidRDefault="009B0448">
            <w:pPr>
              <w:pStyle w:val="NoSpacing"/>
              <w:rPr>
                <w:rFonts w:ascii="Times New Roman" w:hAnsi="Times New Roman" w:cs="Times New Roman"/>
                <w:b/>
              </w:rPr>
            </w:pPr>
            <w:r w:rsidRPr="009B0448">
              <w:rPr>
                <w:rFonts w:ascii="Times New Roman" w:hAnsi="Times New Roman" w:cs="Times New Roman"/>
                <w:b/>
              </w:rPr>
              <w:t>Resource overutilization</w:t>
            </w:r>
          </w:p>
        </w:tc>
        <w:tc>
          <w:tcPr>
            <w:tcW w:w="1209" w:type="dxa"/>
            <w:tcBorders>
              <w:top w:val="single" w:sz="4" w:space="0" w:color="auto"/>
              <w:left w:val="single" w:sz="4" w:space="0" w:color="auto"/>
              <w:bottom w:val="single" w:sz="4" w:space="0" w:color="auto"/>
              <w:right w:val="single" w:sz="4" w:space="0" w:color="auto"/>
            </w:tcBorders>
            <w:hideMark/>
          </w:tcPr>
          <w:p w14:paraId="3372891C"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Erosion and runoff for bared soils</w:t>
            </w:r>
          </w:p>
        </w:tc>
        <w:tc>
          <w:tcPr>
            <w:tcW w:w="1646" w:type="dxa"/>
            <w:tcBorders>
              <w:top w:val="single" w:sz="4" w:space="0" w:color="auto"/>
              <w:left w:val="single" w:sz="4" w:space="0" w:color="auto"/>
              <w:bottom w:val="single" w:sz="4" w:space="0" w:color="auto"/>
              <w:right w:val="single" w:sz="4" w:space="0" w:color="auto"/>
            </w:tcBorders>
            <w:hideMark/>
          </w:tcPr>
          <w:p w14:paraId="4C02CBFE"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Can enhance droughts effects through depleting plant cover–often high reliance of natural products due to agriculture collapse</w:t>
            </w:r>
          </w:p>
        </w:tc>
        <w:tc>
          <w:tcPr>
            <w:tcW w:w="1805" w:type="dxa"/>
            <w:tcBorders>
              <w:top w:val="single" w:sz="4" w:space="0" w:color="auto"/>
              <w:left w:val="single" w:sz="4" w:space="0" w:color="auto"/>
              <w:bottom w:val="single" w:sz="4" w:space="0" w:color="auto"/>
              <w:right w:val="single" w:sz="4" w:space="0" w:color="auto"/>
            </w:tcBorders>
            <w:hideMark/>
          </w:tcPr>
          <w:p w14:paraId="22589A6E"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Deforestation facilitates wildfires, which facilitate biomass depletion</w:t>
            </w:r>
          </w:p>
          <w:p w14:paraId="3C29288E"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Human-induced fires lead to wildfires (honey harvesting, promoting grazing)</w:t>
            </w:r>
          </w:p>
        </w:tc>
        <w:tc>
          <w:tcPr>
            <w:tcW w:w="1488" w:type="dxa"/>
            <w:tcBorders>
              <w:top w:val="single" w:sz="4" w:space="0" w:color="auto"/>
              <w:left w:val="single" w:sz="4" w:space="0" w:color="auto"/>
              <w:bottom w:val="single" w:sz="4" w:space="0" w:color="auto"/>
              <w:right w:val="single" w:sz="4" w:space="0" w:color="auto"/>
            </w:tcBorders>
            <w:hideMark/>
          </w:tcPr>
          <w:p w14:paraId="1205AB14"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Resource overutilization may affect health and facilitate diseases</w:t>
            </w:r>
          </w:p>
        </w:tc>
        <w:tc>
          <w:tcPr>
            <w:tcW w:w="1355" w:type="dxa"/>
            <w:tcBorders>
              <w:top w:val="single" w:sz="4" w:space="0" w:color="auto"/>
              <w:left w:val="single" w:sz="4" w:space="0" w:color="auto"/>
              <w:bottom w:val="single" w:sz="4" w:space="0" w:color="auto"/>
              <w:right w:val="single" w:sz="4" w:space="0" w:color="auto"/>
            </w:tcBorders>
            <w:hideMark/>
          </w:tcPr>
          <w:p w14:paraId="7E80C96C"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(No effects)</w:t>
            </w:r>
          </w:p>
        </w:tc>
      </w:tr>
      <w:tr w:rsidR="009B0448" w:rsidRPr="009B0448" w14:paraId="05E224FB" w14:textId="77777777" w:rsidTr="009B0448">
        <w:tc>
          <w:tcPr>
            <w:tcW w:w="1503" w:type="dxa"/>
            <w:tcBorders>
              <w:top w:val="single" w:sz="4" w:space="0" w:color="auto"/>
              <w:left w:val="single" w:sz="4" w:space="0" w:color="auto"/>
              <w:bottom w:val="single" w:sz="4" w:space="0" w:color="auto"/>
              <w:right w:val="single" w:sz="4" w:space="0" w:color="auto"/>
            </w:tcBorders>
            <w:hideMark/>
          </w:tcPr>
          <w:p w14:paraId="260C9744" w14:textId="77777777" w:rsidR="009B0448" w:rsidRPr="009B0448" w:rsidRDefault="009B0448">
            <w:pPr>
              <w:pStyle w:val="NoSpacing"/>
              <w:rPr>
                <w:rFonts w:ascii="Times New Roman" w:hAnsi="Times New Roman" w:cs="Times New Roman"/>
                <w:b/>
              </w:rPr>
            </w:pPr>
            <w:r w:rsidRPr="009B0448">
              <w:rPr>
                <w:rFonts w:ascii="Times New Roman" w:hAnsi="Times New Roman" w:cs="Times New Roman"/>
                <w:b/>
              </w:rPr>
              <w:t>Management practices</w:t>
            </w:r>
          </w:p>
        </w:tc>
        <w:tc>
          <w:tcPr>
            <w:tcW w:w="1209" w:type="dxa"/>
            <w:tcBorders>
              <w:top w:val="single" w:sz="4" w:space="0" w:color="auto"/>
              <w:left w:val="single" w:sz="4" w:space="0" w:color="auto"/>
              <w:bottom w:val="single" w:sz="4" w:space="0" w:color="auto"/>
              <w:right w:val="single" w:sz="4" w:space="0" w:color="auto"/>
            </w:tcBorders>
            <w:hideMark/>
          </w:tcPr>
          <w:p w14:paraId="4C13DDAD"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Erosion and runoff for bared soils</w:t>
            </w:r>
          </w:p>
        </w:tc>
        <w:tc>
          <w:tcPr>
            <w:tcW w:w="1646" w:type="dxa"/>
            <w:tcBorders>
              <w:top w:val="single" w:sz="4" w:space="0" w:color="auto"/>
              <w:left w:val="single" w:sz="4" w:space="0" w:color="auto"/>
              <w:bottom w:val="single" w:sz="4" w:space="0" w:color="auto"/>
              <w:right w:val="single" w:sz="4" w:space="0" w:color="auto"/>
            </w:tcBorders>
            <w:hideMark/>
          </w:tcPr>
          <w:p w14:paraId="312C04C0"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Can enhance droughts effects through depleting plant cover</w:t>
            </w:r>
          </w:p>
        </w:tc>
        <w:tc>
          <w:tcPr>
            <w:tcW w:w="1805" w:type="dxa"/>
            <w:tcBorders>
              <w:top w:val="single" w:sz="4" w:space="0" w:color="auto"/>
              <w:left w:val="single" w:sz="4" w:space="0" w:color="auto"/>
              <w:bottom w:val="single" w:sz="4" w:space="0" w:color="auto"/>
              <w:right w:val="single" w:sz="4" w:space="0" w:color="auto"/>
            </w:tcBorders>
            <w:hideMark/>
          </w:tcPr>
          <w:p w14:paraId="00BEF77F"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Bad pasture management can facilitate wildfires</w:t>
            </w:r>
          </w:p>
        </w:tc>
        <w:tc>
          <w:tcPr>
            <w:tcW w:w="1488" w:type="dxa"/>
            <w:tcBorders>
              <w:top w:val="single" w:sz="4" w:space="0" w:color="auto"/>
              <w:left w:val="single" w:sz="4" w:space="0" w:color="auto"/>
              <w:bottom w:val="single" w:sz="4" w:space="0" w:color="auto"/>
              <w:right w:val="single" w:sz="4" w:space="0" w:color="auto"/>
            </w:tcBorders>
            <w:hideMark/>
          </w:tcPr>
          <w:p w14:paraId="39296A06"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Agro-ecological practices may enhance soil biological activity, then reduce crop diseases</w:t>
            </w:r>
          </w:p>
        </w:tc>
        <w:tc>
          <w:tcPr>
            <w:tcW w:w="1355" w:type="dxa"/>
            <w:tcBorders>
              <w:top w:val="single" w:sz="4" w:space="0" w:color="auto"/>
              <w:left w:val="single" w:sz="4" w:space="0" w:color="auto"/>
              <w:bottom w:val="single" w:sz="4" w:space="0" w:color="auto"/>
              <w:right w:val="single" w:sz="4" w:space="0" w:color="auto"/>
            </w:tcBorders>
            <w:hideMark/>
          </w:tcPr>
          <w:p w14:paraId="04D54C70"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(No effects)</w:t>
            </w:r>
          </w:p>
        </w:tc>
      </w:tr>
      <w:tr w:rsidR="009B0448" w:rsidRPr="009B0448" w14:paraId="0D69A0B5" w14:textId="77777777" w:rsidTr="009B0448">
        <w:tc>
          <w:tcPr>
            <w:tcW w:w="1503" w:type="dxa"/>
            <w:tcBorders>
              <w:top w:val="single" w:sz="4" w:space="0" w:color="auto"/>
              <w:left w:val="single" w:sz="4" w:space="0" w:color="auto"/>
              <w:bottom w:val="single" w:sz="4" w:space="0" w:color="auto"/>
              <w:right w:val="single" w:sz="4" w:space="0" w:color="auto"/>
            </w:tcBorders>
            <w:hideMark/>
          </w:tcPr>
          <w:p w14:paraId="4FB15ED0" w14:textId="77777777" w:rsidR="009B0448" w:rsidRPr="009B0448" w:rsidRDefault="009B0448">
            <w:pPr>
              <w:pStyle w:val="NoSpacing"/>
              <w:rPr>
                <w:rFonts w:ascii="Times New Roman" w:hAnsi="Times New Roman" w:cs="Times New Roman"/>
                <w:b/>
              </w:rPr>
            </w:pPr>
            <w:r w:rsidRPr="009B0448">
              <w:rPr>
                <w:rFonts w:ascii="Times New Roman" w:hAnsi="Times New Roman" w:cs="Times New Roman"/>
                <w:b/>
              </w:rPr>
              <w:t>Invasive alien species</w:t>
            </w:r>
          </w:p>
        </w:tc>
        <w:tc>
          <w:tcPr>
            <w:tcW w:w="1209" w:type="dxa"/>
            <w:tcBorders>
              <w:top w:val="single" w:sz="4" w:space="0" w:color="auto"/>
              <w:left w:val="single" w:sz="4" w:space="0" w:color="auto"/>
              <w:bottom w:val="single" w:sz="4" w:space="0" w:color="auto"/>
              <w:right w:val="single" w:sz="4" w:space="0" w:color="auto"/>
            </w:tcBorders>
            <w:hideMark/>
          </w:tcPr>
          <w:p w14:paraId="628F4327"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Can decrease or increase erosion and runoff</w:t>
            </w:r>
          </w:p>
        </w:tc>
        <w:tc>
          <w:tcPr>
            <w:tcW w:w="1646" w:type="dxa"/>
            <w:tcBorders>
              <w:top w:val="single" w:sz="4" w:space="0" w:color="auto"/>
              <w:left w:val="single" w:sz="4" w:space="0" w:color="auto"/>
              <w:bottom w:val="single" w:sz="4" w:space="0" w:color="auto"/>
              <w:right w:val="single" w:sz="4" w:space="0" w:color="auto"/>
            </w:tcBorders>
            <w:hideMark/>
          </w:tcPr>
          <w:p w14:paraId="2D101718"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Dispersal of invasive alien species on a larger range</w:t>
            </w:r>
          </w:p>
        </w:tc>
        <w:tc>
          <w:tcPr>
            <w:tcW w:w="1805" w:type="dxa"/>
            <w:tcBorders>
              <w:top w:val="single" w:sz="4" w:space="0" w:color="auto"/>
              <w:left w:val="single" w:sz="4" w:space="0" w:color="auto"/>
              <w:bottom w:val="single" w:sz="4" w:space="0" w:color="auto"/>
              <w:right w:val="single" w:sz="4" w:space="0" w:color="auto"/>
            </w:tcBorders>
            <w:hideMark/>
          </w:tcPr>
          <w:p w14:paraId="5D52CB15"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Some invasive alien species plants can facilitate wildfires–increase fire intensity and destroy soil</w:t>
            </w:r>
          </w:p>
        </w:tc>
        <w:tc>
          <w:tcPr>
            <w:tcW w:w="1488" w:type="dxa"/>
            <w:tcBorders>
              <w:top w:val="single" w:sz="4" w:space="0" w:color="auto"/>
              <w:left w:val="single" w:sz="4" w:space="0" w:color="auto"/>
              <w:bottom w:val="single" w:sz="4" w:space="0" w:color="auto"/>
              <w:right w:val="single" w:sz="4" w:space="0" w:color="auto"/>
            </w:tcBorders>
            <w:hideMark/>
          </w:tcPr>
          <w:p w14:paraId="4C45DCE3"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Some invasive alien species are pathogens for human, cattle, crops</w:t>
            </w:r>
          </w:p>
        </w:tc>
        <w:tc>
          <w:tcPr>
            <w:tcW w:w="1355" w:type="dxa"/>
            <w:tcBorders>
              <w:top w:val="single" w:sz="4" w:space="0" w:color="auto"/>
              <w:left w:val="single" w:sz="4" w:space="0" w:color="auto"/>
              <w:bottom w:val="single" w:sz="4" w:space="0" w:color="auto"/>
              <w:right w:val="single" w:sz="4" w:space="0" w:color="auto"/>
            </w:tcBorders>
            <w:hideMark/>
          </w:tcPr>
          <w:p w14:paraId="2F37DEC3"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(No effects)</w:t>
            </w:r>
          </w:p>
        </w:tc>
      </w:tr>
      <w:tr w:rsidR="009B0448" w:rsidRPr="009B0448" w14:paraId="6348482D" w14:textId="77777777" w:rsidTr="009B0448">
        <w:tc>
          <w:tcPr>
            <w:tcW w:w="1503" w:type="dxa"/>
            <w:tcBorders>
              <w:top w:val="single" w:sz="4" w:space="0" w:color="auto"/>
              <w:left w:val="single" w:sz="4" w:space="0" w:color="auto"/>
              <w:bottom w:val="single" w:sz="4" w:space="0" w:color="auto"/>
              <w:right w:val="single" w:sz="4" w:space="0" w:color="auto"/>
            </w:tcBorders>
            <w:hideMark/>
          </w:tcPr>
          <w:p w14:paraId="2846E645" w14:textId="77777777" w:rsidR="009B0448" w:rsidRPr="009B0448" w:rsidRDefault="009B0448">
            <w:pPr>
              <w:pStyle w:val="NoSpacing"/>
              <w:rPr>
                <w:rFonts w:ascii="Times New Roman" w:hAnsi="Times New Roman" w:cs="Times New Roman"/>
                <w:b/>
              </w:rPr>
            </w:pPr>
            <w:r w:rsidRPr="009B0448">
              <w:rPr>
                <w:rFonts w:ascii="Times New Roman" w:hAnsi="Times New Roman" w:cs="Times New Roman"/>
                <w:b/>
              </w:rPr>
              <w:t>Pollution</w:t>
            </w:r>
          </w:p>
        </w:tc>
        <w:tc>
          <w:tcPr>
            <w:tcW w:w="1209" w:type="dxa"/>
            <w:tcBorders>
              <w:top w:val="single" w:sz="4" w:space="0" w:color="auto"/>
              <w:left w:val="single" w:sz="4" w:space="0" w:color="auto"/>
              <w:bottom w:val="single" w:sz="4" w:space="0" w:color="auto"/>
              <w:right w:val="single" w:sz="4" w:space="0" w:color="auto"/>
            </w:tcBorders>
            <w:hideMark/>
          </w:tcPr>
          <w:p w14:paraId="42FCA67B"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Air pollution and water pollution may be exacerbated by climate change</w:t>
            </w:r>
          </w:p>
        </w:tc>
        <w:tc>
          <w:tcPr>
            <w:tcW w:w="1646" w:type="dxa"/>
            <w:tcBorders>
              <w:top w:val="single" w:sz="4" w:space="0" w:color="auto"/>
              <w:left w:val="single" w:sz="4" w:space="0" w:color="auto"/>
              <w:bottom w:val="single" w:sz="4" w:space="0" w:color="auto"/>
              <w:right w:val="single" w:sz="4" w:space="0" w:color="auto"/>
            </w:tcBorders>
            <w:hideMark/>
          </w:tcPr>
          <w:p w14:paraId="718B861C"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Extreme events can concentrate pollutions, and or move then into river systems</w:t>
            </w:r>
          </w:p>
        </w:tc>
        <w:tc>
          <w:tcPr>
            <w:tcW w:w="1805" w:type="dxa"/>
            <w:tcBorders>
              <w:top w:val="single" w:sz="4" w:space="0" w:color="auto"/>
              <w:left w:val="single" w:sz="4" w:space="0" w:color="auto"/>
              <w:bottom w:val="single" w:sz="4" w:space="0" w:color="auto"/>
              <w:right w:val="single" w:sz="4" w:space="0" w:color="auto"/>
            </w:tcBorders>
            <w:hideMark/>
          </w:tcPr>
          <w:p w14:paraId="10A4E0AD"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Smokes from wildfires enhance air pollution</w:t>
            </w:r>
          </w:p>
        </w:tc>
        <w:tc>
          <w:tcPr>
            <w:tcW w:w="1488" w:type="dxa"/>
            <w:tcBorders>
              <w:top w:val="single" w:sz="4" w:space="0" w:color="auto"/>
              <w:left w:val="single" w:sz="4" w:space="0" w:color="auto"/>
              <w:bottom w:val="single" w:sz="4" w:space="0" w:color="auto"/>
              <w:right w:val="single" w:sz="4" w:space="0" w:color="auto"/>
            </w:tcBorders>
            <w:hideMark/>
          </w:tcPr>
          <w:p w14:paraId="204C141B"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Allergies caused by pollution</w:t>
            </w:r>
          </w:p>
        </w:tc>
        <w:tc>
          <w:tcPr>
            <w:tcW w:w="1355" w:type="dxa"/>
            <w:tcBorders>
              <w:top w:val="single" w:sz="4" w:space="0" w:color="auto"/>
              <w:left w:val="single" w:sz="4" w:space="0" w:color="auto"/>
              <w:bottom w:val="single" w:sz="4" w:space="0" w:color="auto"/>
              <w:right w:val="single" w:sz="4" w:space="0" w:color="auto"/>
            </w:tcBorders>
            <w:hideMark/>
          </w:tcPr>
          <w:p w14:paraId="21AC1FAF"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(No effects)</w:t>
            </w:r>
          </w:p>
        </w:tc>
      </w:tr>
      <w:tr w:rsidR="009B0448" w:rsidRPr="009B0448" w14:paraId="1EABB41C" w14:textId="77777777" w:rsidTr="009B0448">
        <w:tc>
          <w:tcPr>
            <w:tcW w:w="1503" w:type="dxa"/>
            <w:tcBorders>
              <w:top w:val="single" w:sz="4" w:space="0" w:color="auto"/>
              <w:left w:val="single" w:sz="4" w:space="0" w:color="auto"/>
              <w:bottom w:val="single" w:sz="4" w:space="0" w:color="auto"/>
              <w:right w:val="single" w:sz="4" w:space="0" w:color="auto"/>
            </w:tcBorders>
            <w:hideMark/>
          </w:tcPr>
          <w:p w14:paraId="6705CAC0" w14:textId="77777777" w:rsidR="009B0448" w:rsidRPr="009B0448" w:rsidRDefault="009B0448">
            <w:pPr>
              <w:pStyle w:val="NoSpacing"/>
              <w:rPr>
                <w:rFonts w:ascii="Times New Roman" w:hAnsi="Times New Roman" w:cs="Times New Roman"/>
                <w:b/>
              </w:rPr>
            </w:pPr>
            <w:r w:rsidRPr="009B0448">
              <w:rPr>
                <w:rFonts w:ascii="Times New Roman" w:hAnsi="Times New Roman" w:cs="Times New Roman"/>
                <w:b/>
              </w:rPr>
              <w:t>Climate change</w:t>
            </w:r>
          </w:p>
        </w:tc>
        <w:tc>
          <w:tcPr>
            <w:tcW w:w="1209" w:type="dxa"/>
            <w:tcBorders>
              <w:top w:val="single" w:sz="4" w:space="0" w:color="auto"/>
              <w:left w:val="single" w:sz="4" w:space="0" w:color="auto"/>
              <w:bottom w:val="single" w:sz="4" w:space="0" w:color="auto"/>
              <w:right w:val="single" w:sz="4" w:space="0" w:color="auto"/>
            </w:tcBorders>
            <w:hideMark/>
          </w:tcPr>
          <w:p w14:paraId="644010DF"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More extreme droughts, more severe floods, greater chance of erosion, greater chance of invasion</w:t>
            </w:r>
          </w:p>
        </w:tc>
        <w:tc>
          <w:tcPr>
            <w:tcW w:w="1646" w:type="dxa"/>
            <w:tcBorders>
              <w:top w:val="single" w:sz="4" w:space="0" w:color="auto"/>
              <w:left w:val="single" w:sz="4" w:space="0" w:color="auto"/>
              <w:bottom w:val="single" w:sz="4" w:space="0" w:color="auto"/>
              <w:right w:val="single" w:sz="4" w:space="0" w:color="auto"/>
            </w:tcBorders>
            <w:hideMark/>
          </w:tcPr>
          <w:p w14:paraId="08D43526"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More extreme more frequent greater severity (of droughts floods</w:t>
            </w:r>
          </w:p>
        </w:tc>
        <w:tc>
          <w:tcPr>
            <w:tcW w:w="1805" w:type="dxa"/>
            <w:tcBorders>
              <w:top w:val="single" w:sz="4" w:space="0" w:color="auto"/>
              <w:left w:val="single" w:sz="4" w:space="0" w:color="auto"/>
              <w:bottom w:val="single" w:sz="4" w:space="0" w:color="auto"/>
              <w:right w:val="single" w:sz="4" w:space="0" w:color="auto"/>
            </w:tcBorders>
            <w:hideMark/>
          </w:tcPr>
          <w:p w14:paraId="5007A921"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More extreme, hotter fires</w:t>
            </w:r>
          </w:p>
          <w:p w14:paraId="50F024EA"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More often (but depends on biomass accumulation)</w:t>
            </w:r>
          </w:p>
          <w:p w14:paraId="27C4FB41"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Possible biome shift to no fire.</w:t>
            </w:r>
          </w:p>
        </w:tc>
        <w:tc>
          <w:tcPr>
            <w:tcW w:w="1488" w:type="dxa"/>
            <w:tcBorders>
              <w:top w:val="single" w:sz="4" w:space="0" w:color="auto"/>
              <w:left w:val="single" w:sz="4" w:space="0" w:color="auto"/>
              <w:bottom w:val="single" w:sz="4" w:space="0" w:color="auto"/>
              <w:right w:val="single" w:sz="4" w:space="0" w:color="auto"/>
            </w:tcBorders>
            <w:hideMark/>
          </w:tcPr>
          <w:p w14:paraId="4AE7A2B6"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Greater chance of disease range expansion</w:t>
            </w:r>
          </w:p>
        </w:tc>
        <w:tc>
          <w:tcPr>
            <w:tcW w:w="1355" w:type="dxa"/>
            <w:tcBorders>
              <w:top w:val="single" w:sz="4" w:space="0" w:color="auto"/>
              <w:left w:val="single" w:sz="4" w:space="0" w:color="auto"/>
              <w:bottom w:val="single" w:sz="4" w:space="0" w:color="auto"/>
              <w:right w:val="single" w:sz="4" w:space="0" w:color="auto"/>
            </w:tcBorders>
            <w:hideMark/>
          </w:tcPr>
          <w:p w14:paraId="3359FF81" w14:textId="77777777" w:rsidR="009B0448" w:rsidRPr="009B0448" w:rsidRDefault="009B0448">
            <w:pPr>
              <w:pStyle w:val="NoSpacing"/>
              <w:rPr>
                <w:rFonts w:ascii="Times New Roman" w:hAnsi="Times New Roman" w:cs="Times New Roman"/>
              </w:rPr>
            </w:pPr>
            <w:r w:rsidRPr="009B0448">
              <w:rPr>
                <w:rFonts w:ascii="Times New Roman" w:hAnsi="Times New Roman" w:cs="Times New Roman"/>
              </w:rPr>
              <w:t>(No effects)</w:t>
            </w:r>
          </w:p>
        </w:tc>
      </w:tr>
    </w:tbl>
    <w:p w14:paraId="3C294B26"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309" w:name="_Toc503032792"/>
      <w:bookmarkStart w:id="310" w:name="_Toc519499965"/>
      <w:r w:rsidRPr="009B0448">
        <w:rPr>
          <w:rFonts w:eastAsia="Calibri" w:cs="Times New Roman"/>
          <w:szCs w:val="24"/>
        </w:rPr>
        <w:t>Indirect drivers of change</w:t>
      </w:r>
      <w:bookmarkEnd w:id="309"/>
      <w:bookmarkEnd w:id="310"/>
    </w:p>
    <w:p w14:paraId="1734B465" w14:textId="2F03D3A1" w:rsidR="009B0448" w:rsidRPr="009B0448" w:rsidRDefault="009B0448" w:rsidP="009B0448">
      <w:pPr>
        <w:spacing w:before="120" w:line="276" w:lineRule="auto"/>
        <w:jc w:val="both"/>
        <w:rPr>
          <w:rFonts w:ascii="Times New Roman" w:eastAsia="Times New Roman" w:hAnsi="Times New Roman" w:cs="Times New Roman"/>
          <w:color w:val="auto"/>
        </w:rPr>
      </w:pPr>
      <w:r w:rsidRPr="009B0448">
        <w:rPr>
          <w:rFonts w:ascii="Times New Roman" w:eastAsia="Times New Roman" w:hAnsi="Times New Roman" w:cs="Times New Roman"/>
        </w:rPr>
        <w:t>Africa’s development outcomes for the coming decades will be determined by a number of drivers of change, and the policy changes adopted by African countries in response to changing world conditions (AfDB, 2011). Cumulatively, these drivers are likely to create dramatic changes for the African continent and the global environment with which the continent interacts. Africa has some of the most abundant natural resources in the world, including its biodiversity. The continent’s development trajectories are projected to increase impacts on ecosystems. Economic growth, through production and consumption chains, human settlements and infrastructure development, will be a key driver of change. Many states in Africa have a vision to become emerging economies in the coming decades. This is compounded by rapid population growth and urbani</w:t>
      </w:r>
      <w:r w:rsidR="00C813C5">
        <w:rPr>
          <w:rFonts w:ascii="Times New Roman" w:eastAsia="Times New Roman" w:hAnsi="Times New Roman" w:cs="Times New Roman"/>
        </w:rPr>
        <w:t>s</w:t>
      </w:r>
      <w:r w:rsidRPr="009B0448">
        <w:rPr>
          <w:rFonts w:ascii="Times New Roman" w:eastAsia="Times New Roman" w:hAnsi="Times New Roman" w:cs="Times New Roman"/>
        </w:rPr>
        <w:t xml:space="preserve">ation, policy and cultural changes, and global resource demand especially for food, energy, water and other extractives. With increasing raw material extraction for economic growth and weak institutional arrangements, countries in Africa are experiencing unprecedented rate of resource exploitation in recent time (Ozor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For example, increased exploitation and clearing of forests for timber and agriculture, though it has economic benefits, may result in loss of biodiversity and reduction of the potential of forests to provide nature’s contributions to people (Hawthorne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2011</w:t>
      </w:r>
      <w:r w:rsidRPr="009B0448">
        <w:rPr>
          <w:rFonts w:ascii="Times New Roman" w:eastAsia="Times New Roman" w:hAnsi="Times New Roman" w:cs="Times New Roman"/>
          <w:color w:val="auto"/>
        </w:rPr>
        <w:t xml:space="preserve">; Roué </w:t>
      </w:r>
      <w:r w:rsidRPr="009B0448">
        <w:rPr>
          <w:rFonts w:ascii="Times New Roman" w:eastAsia="Times New Roman" w:hAnsi="Times New Roman" w:cs="Times New Roman"/>
          <w:i/>
          <w:color w:val="auto"/>
        </w:rPr>
        <w:t>et al.</w:t>
      </w:r>
      <w:r w:rsidRPr="009B0448">
        <w:rPr>
          <w:rFonts w:ascii="Times New Roman" w:eastAsia="Times New Roman" w:hAnsi="Times New Roman" w:cs="Times New Roman"/>
          <w:color w:val="auto"/>
        </w:rPr>
        <w:t>, 2016).</w:t>
      </w:r>
    </w:p>
    <w:p w14:paraId="5BF93406"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11" w:name="_Toc503032793"/>
      <w:bookmarkStart w:id="312" w:name="_Toc519499966"/>
      <w:r w:rsidRPr="009B0448">
        <w:rPr>
          <w:rFonts w:cs="Times New Roman"/>
          <w:i w:val="0"/>
          <w:sz w:val="22"/>
          <w:szCs w:val="22"/>
        </w:rPr>
        <w:t>Policy Changes</w:t>
      </w:r>
      <w:bookmarkEnd w:id="311"/>
      <w:bookmarkEnd w:id="312"/>
    </w:p>
    <w:p w14:paraId="024D9FE7"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313" w:name="_Toc519499967"/>
      <w:r w:rsidRPr="009B0448">
        <w:rPr>
          <w:rFonts w:cs="Times New Roman"/>
          <w:sz w:val="22"/>
          <w:szCs w:val="22"/>
        </w:rPr>
        <w:t>Economic policies</w:t>
      </w:r>
      <w:bookmarkEnd w:id="313"/>
    </w:p>
    <w:p w14:paraId="76FC0C99" w14:textId="25DF61F3"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Since the advent of independence for most African countries, the African continent has struggled with a seemingly endless array of development challenges which range from civil war and political instability to disease epidemics, chronic food insecurity and pervasive poverty (AfDB, 2011). Africa’s prospects for economic development will largely depend on the policies it implements to take advantage of its vibrant young population, its abundance of natural resources and its considerable human capital.</w:t>
      </w:r>
      <w:r w:rsidRPr="009B0448">
        <w:rPr>
          <w:rFonts w:ascii="Times New Roman" w:eastAsia="Times New Roman" w:hAnsi="Times New Roman" w:cs="Times New Roman"/>
          <w:i/>
        </w:rPr>
        <w:t xml:space="preserve"> </w:t>
      </w:r>
      <w:r w:rsidRPr="009B0448">
        <w:rPr>
          <w:rFonts w:ascii="Times New Roman" w:eastAsia="Times New Roman" w:hAnsi="Times New Roman" w:cs="Times New Roman"/>
        </w:rPr>
        <w:t>Ending all forms of poverty is the highest priority for Africa (AMCEN, 2015; AU, 2016) hence policies and strategies for national governments, regional communities and development partners a</w:t>
      </w:r>
      <w:r w:rsidR="00247AD0">
        <w:rPr>
          <w:rFonts w:ascii="Times New Roman" w:eastAsia="Times New Roman" w:hAnsi="Times New Roman" w:cs="Times New Roman"/>
        </w:rPr>
        <w:t>re geared towards this goal (AU</w:t>
      </w:r>
      <w:r w:rsidRPr="009B0448">
        <w:rPr>
          <w:rFonts w:ascii="Times New Roman" w:eastAsia="Times New Roman" w:hAnsi="Times New Roman" w:cs="Times New Roman"/>
        </w:rPr>
        <w:t>, 2016). This is exemplified by the planned $360 billion African Development Bank Programme for Infrastructure Development in Africa (PIDA) to address projected infrastructure needs by 2040 (AfDB, 2010). The risk on biodiversity and ecosystem services, associated with major infrastructural development such as the Grand Inga Dam in DR Congo or the Lamu Port South Sudan Ethiopia Transport corridor in Kenya, are immense. In a bid to chart a way to sustainable development, a number of countries in Africa (e.g., Kenya, Mozambique, Rwanda, South Africa, Tunisia, Republic of Congo, etc.) are developing green economy policies to guide sound management of natural resources and their sustainable use.</w:t>
      </w:r>
    </w:p>
    <w:p w14:paraId="3E7C45D1"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314" w:name="_Toc503032794"/>
      <w:bookmarkStart w:id="315" w:name="_Toc519499968"/>
      <w:r w:rsidRPr="009B0448">
        <w:rPr>
          <w:rFonts w:cs="Times New Roman"/>
          <w:sz w:val="22"/>
          <w:szCs w:val="22"/>
        </w:rPr>
        <w:t>Environmental policies</w:t>
      </w:r>
      <w:bookmarkEnd w:id="314"/>
      <w:bookmarkEnd w:id="315"/>
    </w:p>
    <w:p w14:paraId="408F33A0" w14:textId="77777777" w:rsidR="009B0448" w:rsidRPr="009B0448" w:rsidRDefault="009B0448" w:rsidP="009B0448">
      <w:pPr>
        <w:pStyle w:val="NoSpacing"/>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Although the future is shrouded in uncertainty, some of the parameters that will determine Africa’s future in biodiversity conservation are visible today. What is required is a clear-sighted analysis to identify the challenges and opportunities that lie ahead. This is because biodiversity conservation is mainly implemented through management of protected areas policy (Iritie, 2015).</w:t>
      </w:r>
    </w:p>
    <w:p w14:paraId="50BC4CA7" w14:textId="77777777" w:rsidR="009B0448" w:rsidRPr="009B0448" w:rsidRDefault="009B0448" w:rsidP="009B0448">
      <w:pPr>
        <w:pStyle w:val="NoSpacing"/>
        <w:spacing w:line="276" w:lineRule="auto"/>
        <w:jc w:val="both"/>
        <w:rPr>
          <w:rFonts w:ascii="Times New Roman" w:eastAsia="Times New Roman" w:hAnsi="Times New Roman" w:cs="Times New Roman"/>
        </w:rPr>
      </w:pPr>
    </w:p>
    <w:p w14:paraId="62D5801A"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Weak or inadequate policies in the conservation of biodiversity and ecosystem services have resulted in local extinctions or reduction in the diversity and richness of some species. A lack of harmony in national policies across regions has resulted in incoherent and sometimes unregulated exploitation of species such as elephants and lions. Formulation of appropriate policies at regional level, or harmonization of existing ones to ensure coordinated approach is likely to lead to effective conservation of biodiversity and transboundary ecosystems. A good example is the 520,000 km</w:t>
      </w:r>
      <w:r w:rsidRPr="009B0448">
        <w:rPr>
          <w:rFonts w:ascii="Times New Roman" w:eastAsia="Times New Roman" w:hAnsi="Times New Roman" w:cs="Times New Roman"/>
          <w:vertAlign w:val="superscript"/>
        </w:rPr>
        <w:t>2</w:t>
      </w:r>
      <w:r w:rsidRPr="009B0448">
        <w:rPr>
          <w:rFonts w:ascii="Times New Roman" w:eastAsia="Times New Roman" w:hAnsi="Times New Roman" w:cs="Times New Roman"/>
        </w:rPr>
        <w:t xml:space="preserve"> Kavango Zambezi (KAZA) Transfrontier Conservation Area (TFCA) in the Okavango and Zambezi river basins at the convergence of Angola, Botswana, Namibia, Zambia and Zimbabwe borders. KAZA-TFCA provides safe corridors for wildlife movement between its 36 national parks, game reserves, community conservancies and game management areas. Recognising biodiversity and ecosystems as natural capital would enhance value to functions and services they provide. This would require that countries undertake valuation of their natural capital. That economic value of many protected area systems has not been undertaken and this may lead to the view that they contribute minimally or have no value for a country’s economic development. </w:t>
      </w:r>
    </w:p>
    <w:p w14:paraId="33A052B1"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16" w:name="_Toc503032795"/>
      <w:bookmarkStart w:id="317" w:name="_Toc519499969"/>
      <w:r w:rsidRPr="009B0448">
        <w:rPr>
          <w:rFonts w:cs="Times New Roman"/>
          <w:i w:val="0"/>
          <w:sz w:val="22"/>
          <w:szCs w:val="22"/>
        </w:rPr>
        <w:t>Governance systems</w:t>
      </w:r>
      <w:bookmarkEnd w:id="316"/>
      <w:bookmarkEnd w:id="317"/>
    </w:p>
    <w:p w14:paraId="289123B3"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Governance is a timeless phenomenon that humans experience in their interaction with people and nature. In the present human can alter the conditions of the entire planet by through innumerable acts of decision-making that affect nature or, in a more institutional sense, innumerable acts of exercising power, authority and responsibility with direct relevance to nature (Crutzen, 2006). Governance has thus to do with policy (stated intentions backed up by authority) and with practice (the direct acts of humans affecting nature). In between, it has to do with the complex web of conditions understanding, communicating, and allocating power and resources</w:t>
      </w:r>
      <w:r w:rsidRPr="009B0448">
        <w:rPr>
          <w:rFonts w:ascii="Times New Roman" w:hAnsi="Times New Roman" w:cs="Times New Roman"/>
        </w:rPr>
        <w:t>–</w:t>
      </w:r>
      <w:r w:rsidRPr="009B0448">
        <w:rPr>
          <w:rFonts w:ascii="Times New Roman" w:eastAsia="Times New Roman" w:hAnsi="Times New Roman" w:cs="Times New Roman"/>
        </w:rPr>
        <w:t>which create matches and mismatches between the two.</w:t>
      </w:r>
    </w:p>
    <w:p w14:paraId="631343DF" w14:textId="77777777" w:rsidR="009B0448" w:rsidRPr="009B0448" w:rsidRDefault="009B0448" w:rsidP="009B0448">
      <w:pPr>
        <w:spacing w:line="276" w:lineRule="auto"/>
        <w:jc w:val="both"/>
        <w:rPr>
          <w:rFonts w:ascii="Times New Roman" w:eastAsia="Times New Roman" w:hAnsi="Times New Roman" w:cs="Times New Roman"/>
        </w:rPr>
      </w:pPr>
    </w:p>
    <w:p w14:paraId="751FA48A"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Governance for the conservation of nature seeks a balance between the requirements of human and economic development and those of conserving biological diversity. The key major international policy expressions are the Sustainable Development Goals, the Convention on Biological Diversity and the UN Framework Convention on Climate Change. Attention should also be focused at the national and local levels, and on area-based measures in particular. In reality, the policy and practice of conservation have always been enmeshed with the struggles for ‘power over nature’ that have unfolded throughout history. Considerations of governance</w:t>
      </w:r>
      <w:r w:rsidRPr="009B0448">
        <w:rPr>
          <w:rFonts w:ascii="Times New Roman" w:hAnsi="Times New Roman" w:cs="Times New Roman"/>
        </w:rPr>
        <w:t>–</w:t>
      </w:r>
      <w:r w:rsidRPr="009B0448">
        <w:rPr>
          <w:rFonts w:ascii="Times New Roman" w:eastAsia="Times New Roman" w:hAnsi="Times New Roman" w:cs="Times New Roman"/>
        </w:rPr>
        <w:t>that is, who holds de facto power, authority and responsibility to take and implement decisions - are crucial for biodiversity conservation. In the distant past, the interaction between people and the environment were more likely shaped by patterns of necessity and adaptation than by ‘decisions’. For example hunter-gathering lifestyle in many parts of Africa allowed livelihoods to be sustained with limited disturbance of the ecosystem functions.</w:t>
      </w:r>
    </w:p>
    <w:p w14:paraId="59F83CDD" w14:textId="77777777" w:rsidR="009B0448" w:rsidRPr="009B0448" w:rsidRDefault="009B0448" w:rsidP="009B0448">
      <w:pPr>
        <w:spacing w:line="276" w:lineRule="auto"/>
        <w:jc w:val="both"/>
        <w:rPr>
          <w:rFonts w:ascii="Times New Roman" w:eastAsia="Times New Roman" w:hAnsi="Times New Roman" w:cs="Times New Roman"/>
        </w:rPr>
      </w:pPr>
    </w:p>
    <w:p w14:paraId="2343D882"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Through time, landscapes and seascapes were identified as ‘units’, or territories of different people, often on the basis of different perceived vocations and patterns of interactions between people and nature. With the increased complexity of societies, expanded communication and trade, enhanced knowledge of the environment and enhanced technology to exploit its riches, both such interactions and units have changed, sometimes dramatically through decisions taken by relevant people and authorities. Similarly, the units (a village territory, a country, an administrative region, and the property of a given family) are increasingly more politically determined than determined on the basis of the intrinsic properties of the ecosystems.</w:t>
      </w:r>
    </w:p>
    <w:p w14:paraId="7CD5AE1E" w14:textId="77777777" w:rsidR="009B0448" w:rsidRPr="009B0448" w:rsidRDefault="009B0448" w:rsidP="009B0448">
      <w:pPr>
        <w:spacing w:line="276" w:lineRule="auto"/>
        <w:jc w:val="both"/>
        <w:rPr>
          <w:rFonts w:ascii="Times New Roman" w:eastAsia="Times New Roman" w:hAnsi="Times New Roman" w:cs="Times New Roman"/>
        </w:rPr>
      </w:pPr>
    </w:p>
    <w:p w14:paraId="2C85AC43" w14:textId="1DF04AC0"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Previous generations of people on the African continent had much less access than many of us to stored information, but an amazing capacity to learn and accumulate observations and experiences, in particular regarding specific places. Through time, acting and receiving feedback from nature consolidated into bodies of local knowledge and skills, varieties of carefully selected seeds and breeds, and allocation of different uses to different units in the landscapes and seascapes, based on deep knowledge and understanding of their potential. Many indigenous peoples and local communities continue to govern and manage their landscapes drawing from these accumulated observations and experiences. Throughout history, however, humans not only perceived and adapted to their ecosystems, they also affected them in important ways (Goudie, 1990). This began with the use of fire, the movement of seeds by hunter-gatherers and the changes to soil and waters made by agriculturalists (Goudie, 1990). Our landscapes and seascapes are delineated into administrative units where decisions about such units have mostly to do with how they will to be utilized for socio-economic developed and how much importance is given to considerations of sustainability and the conservation of ecological and cultural values. In other wor</w:t>
      </w:r>
      <w:r w:rsidR="00C813C5">
        <w:rPr>
          <w:rFonts w:ascii="Times New Roman" w:eastAsia="Times New Roman" w:hAnsi="Times New Roman" w:cs="Times New Roman"/>
        </w:rPr>
        <w:t>ds: are the pressures of urbanis</w:t>
      </w:r>
      <w:r w:rsidRPr="009B0448">
        <w:rPr>
          <w:rFonts w:ascii="Times New Roman" w:eastAsia="Times New Roman" w:hAnsi="Times New Roman" w:cs="Times New Roman"/>
        </w:rPr>
        <w:t>ation, trade, infrastructure, industry, agriculture, aquaculture, mining, logging or large-scale tourism going to be reined in? Do decision-makers uphold the local ecological and cultural values by declaring that at least a given area is ‘protected’, that a watershed should not be altered, or that a given species is endangered and must be cared for? The compromises struck by policymakers about these questions are at the heart of today’s governance of the conservation of biodiversity. And, in many such situations, the fundamental decision is about breaking the landscape or seascape into governance sub-units</w:t>
      </w:r>
      <w:r w:rsidR="00FD3EB4">
        <w:rPr>
          <w:rFonts w:ascii="Times New Roman" w:eastAsia="Times New Roman" w:hAnsi="Times New Roman" w:cs="Times New Roman"/>
        </w:rPr>
        <w:t>—</w:t>
      </w:r>
      <w:r w:rsidRPr="009B0448">
        <w:rPr>
          <w:rFonts w:ascii="Times New Roman" w:eastAsia="Times New Roman" w:hAnsi="Times New Roman" w:cs="Times New Roman"/>
        </w:rPr>
        <w:t>some dedicated to development and others to conservation</w:t>
      </w:r>
      <w:r w:rsidR="00FD3EB4">
        <w:rPr>
          <w:rFonts w:ascii="Times New Roman" w:eastAsia="Times New Roman" w:hAnsi="Times New Roman" w:cs="Times New Roman"/>
        </w:rPr>
        <w:t>—</w:t>
      </w:r>
      <w:r w:rsidRPr="009B0448">
        <w:rPr>
          <w:rFonts w:ascii="Times New Roman" w:eastAsia="Times New Roman" w:hAnsi="Times New Roman" w:cs="Times New Roman"/>
        </w:rPr>
        <w:t>generally under different governing bodies.</w:t>
      </w:r>
    </w:p>
    <w:p w14:paraId="1F2E4774" w14:textId="77777777" w:rsidR="009B0448" w:rsidRPr="009B0448" w:rsidRDefault="009B0448" w:rsidP="009B0448">
      <w:pPr>
        <w:spacing w:line="276" w:lineRule="auto"/>
        <w:jc w:val="both"/>
        <w:rPr>
          <w:rFonts w:ascii="Times New Roman" w:eastAsia="Times New Roman" w:hAnsi="Times New Roman" w:cs="Times New Roman"/>
        </w:rPr>
      </w:pPr>
    </w:p>
    <w:p w14:paraId="4D78010F"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 country’s governance systems have a direct impact on biodiversity conservation. Yet the state is no longer the sole actor responsible for managing environmental externalities (Agrawal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Participatory management policy guidance, conveyed in connection with the IUCN (Dudley, 2008), has shown their limits in Central Africa (Joiris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Hence the need for contextualized sustainable management systems. Ratification and mainstreaming of International multilateral environmental agreements in national policies will be key to making significant contributions to the sustainable management and use of biodiversity. For instance, the Convention on Biological Diversity’s Article 6 is an unqualified commitment requiring Member States to develop a national biodiversity strategy and action plan (NBSAP) (or an equivalent instrument), and to integrate conservation and sustainable use of biodiversity into sectoral and cross-sectoral activities. NBSAPs therefore provide an opportunity to address threats to biodiversity through policy integration in a country’s development agenda. </w:t>
      </w:r>
    </w:p>
    <w:p w14:paraId="0FCD8713" w14:textId="77777777" w:rsidR="009B0448" w:rsidRPr="009B0448" w:rsidRDefault="009B0448" w:rsidP="009B0448">
      <w:pPr>
        <w:spacing w:line="276" w:lineRule="auto"/>
        <w:jc w:val="both"/>
        <w:rPr>
          <w:rFonts w:ascii="Times New Roman" w:eastAsia="Times New Roman" w:hAnsi="Times New Roman" w:cs="Times New Roman"/>
        </w:rPr>
      </w:pPr>
    </w:p>
    <w:p w14:paraId="5AC3A996" w14:textId="77777777" w:rsid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Convention on Biological Diversity and the Sustainable Development Goals embrace the three principles of inclusion, equity and justice which resonate with Africa. Equity has three dimensions, which create an enabling environment for effective biodiversity conservation; recognition, procedure and distribution (Box 4.9).</w:t>
      </w:r>
    </w:p>
    <w:p w14:paraId="3A71FCE7" w14:textId="77777777" w:rsidR="00D32AA1" w:rsidRPr="009B0448" w:rsidRDefault="00D32AA1" w:rsidP="009B0448">
      <w:pPr>
        <w:spacing w:line="276" w:lineRule="auto"/>
        <w:jc w:val="both"/>
        <w:rPr>
          <w:rFonts w:ascii="Times New Roman" w:eastAsia="Times New Roman" w:hAnsi="Times New Roman" w:cs="Times New Roman"/>
        </w:rPr>
      </w:pPr>
    </w:p>
    <w:p w14:paraId="51F69F62" w14:textId="07C6738E" w:rsidR="00D32AA1" w:rsidRDefault="009B0448" w:rsidP="00D32AA1">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2B2662B2" wp14:editId="077554E5">
                <wp:extent cx="5836920" cy="4663440"/>
                <wp:effectExtent l="0" t="0" r="11430" b="22860"/>
                <wp:docPr id="1074" name="Rectangle 10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6920" cy="4663440"/>
                        </a:xfrm>
                        <a:prstGeom prst="rect">
                          <a:avLst/>
                        </a:prstGeom>
                        <a:solidFill>
                          <a:schemeClr val="bg1">
                            <a:lumMod val="95000"/>
                            <a:lumOff val="0"/>
                          </a:schemeClr>
                        </a:solidFill>
                        <a:ln w="9525">
                          <a:solidFill>
                            <a:srgbClr val="4F6128"/>
                          </a:solidFill>
                          <a:round/>
                          <a:headEnd/>
                          <a:tailEnd/>
                        </a:ln>
                      </wps:spPr>
                      <wps:txbx>
                        <w:txbxContent>
                          <w:p w14:paraId="66899908" w14:textId="77777777" w:rsidR="00BC0CFA" w:rsidRDefault="00BC0CFA" w:rsidP="009B0448">
                            <w:pPr>
                              <w:spacing w:line="276" w:lineRule="auto"/>
                              <w:rPr>
                                <w:rFonts w:ascii="Times New Roman" w:eastAsia="Times New Roman" w:hAnsi="Times New Roman" w:cs="Times New Roman"/>
                                <w:b/>
                              </w:rPr>
                            </w:pPr>
                            <w:r>
                              <w:rPr>
                                <w:rFonts w:ascii="Times New Roman" w:eastAsia="Times New Roman" w:hAnsi="Times New Roman" w:cs="Times New Roman"/>
                                <w:b/>
                              </w:rPr>
                              <w:t>Box 4.9: Principles of inclusion, equity and justice, as embraced by CBD and the SDGs</w:t>
                            </w:r>
                          </w:p>
                          <w:p w14:paraId="28EA1DAD" w14:textId="77777777" w:rsidR="00BC0CFA" w:rsidRDefault="00BC0CFA" w:rsidP="00D32AA1">
                            <w:pPr>
                              <w:spacing w:line="276" w:lineRule="auto"/>
                            </w:pPr>
                            <w:r>
                              <w:rPr>
                                <w:rFonts w:ascii="Times New Roman" w:eastAsia="Times New Roman" w:hAnsi="Times New Roman" w:cs="Times New Roman"/>
                              </w:rPr>
                              <w:t>(Source: Convention on Biological Diversity Capacity-Building Workshop for Africa on Achieving Aichi Biodiversity Targets 11 and 12, 21 -24 March 2016, Entebbe, Uganda)</w:t>
                            </w:r>
                          </w:p>
                          <w:p w14:paraId="47C0C0C4" w14:textId="77777777" w:rsidR="00BC0CFA" w:rsidRPr="00D32AA1" w:rsidRDefault="00BC0CFA" w:rsidP="009B0448">
                            <w:pPr>
                              <w:spacing w:line="276" w:lineRule="auto"/>
                              <w:rPr>
                                <w:sz w:val="16"/>
                                <w:szCs w:val="16"/>
                              </w:rPr>
                            </w:pPr>
                          </w:p>
                          <w:p w14:paraId="48AFF884" w14:textId="77777777" w:rsidR="00BC0CFA" w:rsidRDefault="00BC0CFA" w:rsidP="009B0448">
                            <w:pPr>
                              <w:spacing w:line="276" w:lineRule="auto"/>
                            </w:pPr>
                            <w:r>
                              <w:rPr>
                                <w:rFonts w:ascii="Times New Roman" w:eastAsia="Times New Roman" w:hAnsi="Times New Roman" w:cs="Times New Roman"/>
                                <w:b/>
                              </w:rPr>
                              <w:t>Recognition</w:t>
                            </w:r>
                          </w:p>
                          <w:p w14:paraId="21DDCD93" w14:textId="77777777" w:rsidR="00BC0CFA" w:rsidRDefault="00BC0CFA" w:rsidP="009B0448">
                            <w:pPr>
                              <w:spacing w:line="276" w:lineRule="auto"/>
                              <w:ind w:left="284" w:hanging="11"/>
                            </w:pPr>
                            <w:r>
                              <w:rPr>
                                <w:rFonts w:ascii="Times New Roman" w:eastAsia="Times New Roman" w:hAnsi="Times New Roman" w:cs="Times New Roman"/>
                              </w:rPr>
                              <w:t>Recognition and respect for human rights.</w:t>
                            </w:r>
                          </w:p>
                          <w:p w14:paraId="55245046" w14:textId="77777777" w:rsidR="00BC0CFA" w:rsidRDefault="00BC0CFA" w:rsidP="009B0448">
                            <w:pPr>
                              <w:spacing w:line="276" w:lineRule="auto"/>
                              <w:ind w:left="284" w:hanging="11"/>
                            </w:pPr>
                            <w:r>
                              <w:rPr>
                                <w:rFonts w:ascii="Times New Roman" w:eastAsia="Times New Roman" w:hAnsi="Times New Roman" w:cs="Times New Roman"/>
                              </w:rPr>
                              <w:t>Recognition and respect for statutory and customary property rights.</w:t>
                            </w:r>
                          </w:p>
                          <w:p w14:paraId="6D287F65" w14:textId="77777777" w:rsidR="00BC0CFA" w:rsidRDefault="00BC0CFA" w:rsidP="009B0448">
                            <w:pPr>
                              <w:spacing w:line="276" w:lineRule="auto"/>
                              <w:ind w:left="284" w:hanging="11"/>
                            </w:pPr>
                            <w:r>
                              <w:rPr>
                                <w:rFonts w:ascii="Times New Roman" w:eastAsia="Times New Roman" w:hAnsi="Times New Roman" w:cs="Times New Roman"/>
                              </w:rPr>
                              <w:t>Recognition and respect for the right of indigenous peoples to self-determination.</w:t>
                            </w:r>
                          </w:p>
                          <w:p w14:paraId="45AC2A18" w14:textId="77777777" w:rsidR="00BC0CFA" w:rsidRDefault="00BC0CFA" w:rsidP="009B0448">
                            <w:pPr>
                              <w:spacing w:line="276" w:lineRule="auto"/>
                              <w:ind w:left="284" w:hanging="11"/>
                            </w:pPr>
                            <w:r>
                              <w:rPr>
                                <w:rFonts w:ascii="Times New Roman" w:eastAsia="Times New Roman" w:hAnsi="Times New Roman" w:cs="Times New Roman"/>
                              </w:rPr>
                              <w:t>Recognition of different identities, values, knowledge systems and institutions.</w:t>
                            </w:r>
                          </w:p>
                          <w:p w14:paraId="78D7C3D7" w14:textId="77777777" w:rsidR="00BC0CFA" w:rsidRDefault="00BC0CFA" w:rsidP="009B0448">
                            <w:pPr>
                              <w:spacing w:line="276" w:lineRule="auto"/>
                              <w:ind w:left="284" w:hanging="11"/>
                            </w:pPr>
                            <w:r>
                              <w:rPr>
                                <w:rFonts w:ascii="Times New Roman" w:eastAsia="Times New Roman" w:hAnsi="Times New Roman" w:cs="Times New Roman"/>
                              </w:rPr>
                              <w:t>Recognition of all relevant actors and their diverse interests, capacities and powers to influence.</w:t>
                            </w:r>
                          </w:p>
                          <w:p w14:paraId="0881093E" w14:textId="77777777" w:rsidR="00BC0CFA" w:rsidRDefault="00BC0CFA" w:rsidP="009B0448">
                            <w:pPr>
                              <w:spacing w:line="276" w:lineRule="auto"/>
                              <w:ind w:left="284" w:hanging="11"/>
                            </w:pPr>
                            <w:r>
                              <w:rPr>
                                <w:rFonts w:ascii="Times New Roman" w:eastAsia="Times New Roman" w:hAnsi="Times New Roman" w:cs="Times New Roman"/>
                              </w:rPr>
                              <w:t>Non-discrimination by age, ethnicity, language, gender, class or beliefs.</w:t>
                            </w:r>
                          </w:p>
                          <w:p w14:paraId="594C45FF" w14:textId="77777777" w:rsidR="00BC0CFA" w:rsidRDefault="00BC0CFA" w:rsidP="009B0448">
                            <w:pPr>
                              <w:spacing w:line="276" w:lineRule="auto"/>
                            </w:pPr>
                            <w:r>
                              <w:rPr>
                                <w:rFonts w:ascii="Times New Roman" w:eastAsia="Times New Roman" w:hAnsi="Times New Roman" w:cs="Times New Roman"/>
                                <w:b/>
                              </w:rPr>
                              <w:t>Procedure</w:t>
                            </w:r>
                          </w:p>
                          <w:p w14:paraId="5E26237F" w14:textId="77777777" w:rsidR="00BC0CFA" w:rsidRDefault="00BC0CFA" w:rsidP="009B0448">
                            <w:pPr>
                              <w:spacing w:line="276" w:lineRule="auto"/>
                              <w:ind w:left="284" w:hanging="11"/>
                            </w:pPr>
                            <w:r>
                              <w:rPr>
                                <w:rFonts w:ascii="Times New Roman" w:eastAsia="Times New Roman" w:hAnsi="Times New Roman" w:cs="Times New Roman"/>
                              </w:rPr>
                              <w:t>Full and effective participation of recognised actors in decision-making.</w:t>
                            </w:r>
                          </w:p>
                          <w:p w14:paraId="782CB37F" w14:textId="77777777" w:rsidR="00BC0CFA" w:rsidRDefault="00BC0CFA" w:rsidP="009B0448">
                            <w:pPr>
                              <w:spacing w:line="276" w:lineRule="auto"/>
                              <w:ind w:left="284" w:hanging="11"/>
                            </w:pPr>
                            <w:r>
                              <w:rPr>
                                <w:rFonts w:ascii="Times New Roman" w:eastAsia="Times New Roman" w:hAnsi="Times New Roman" w:cs="Times New Roman"/>
                              </w:rPr>
                              <w:t>Clearly defined and agreed responsibilities of actors.</w:t>
                            </w:r>
                          </w:p>
                          <w:p w14:paraId="65EF12B5" w14:textId="77777777" w:rsidR="00BC0CFA" w:rsidRDefault="00BC0CFA" w:rsidP="009B0448">
                            <w:pPr>
                              <w:spacing w:line="276" w:lineRule="auto"/>
                              <w:ind w:left="284" w:hanging="11"/>
                            </w:pPr>
                            <w:r>
                              <w:rPr>
                                <w:rFonts w:ascii="Times New Roman" w:eastAsia="Times New Roman" w:hAnsi="Times New Roman" w:cs="Times New Roman"/>
                              </w:rPr>
                              <w:t>Accountability for actions and inactions.</w:t>
                            </w:r>
                          </w:p>
                          <w:p w14:paraId="1FADA876" w14:textId="77777777" w:rsidR="00BC0CFA" w:rsidRDefault="00BC0CFA" w:rsidP="009B0448">
                            <w:pPr>
                              <w:spacing w:line="276" w:lineRule="auto"/>
                              <w:ind w:left="284" w:hanging="11"/>
                            </w:pPr>
                            <w:r>
                              <w:rPr>
                                <w:rFonts w:ascii="Times New Roman" w:eastAsia="Times New Roman" w:hAnsi="Times New Roman" w:cs="Times New Roman"/>
                              </w:rPr>
                              <w:t>Access to justice, including an effective dispute-resolution process.</w:t>
                            </w:r>
                          </w:p>
                          <w:p w14:paraId="64247043" w14:textId="77777777" w:rsidR="00BC0CFA" w:rsidRDefault="00BC0CFA" w:rsidP="009B0448">
                            <w:pPr>
                              <w:spacing w:line="276" w:lineRule="auto"/>
                              <w:ind w:left="284" w:hanging="11"/>
                            </w:pPr>
                            <w:r>
                              <w:rPr>
                                <w:rFonts w:ascii="Times New Roman" w:eastAsia="Times New Roman" w:hAnsi="Times New Roman" w:cs="Times New Roman"/>
                              </w:rPr>
                              <w:t>Transparency supported by timely access to relevant information in appropriate forms.</w:t>
                            </w:r>
                          </w:p>
                          <w:p w14:paraId="64F3996C" w14:textId="77777777" w:rsidR="00BC0CFA" w:rsidRDefault="00BC0CFA" w:rsidP="009B0448">
                            <w:pPr>
                              <w:spacing w:line="276" w:lineRule="auto"/>
                              <w:ind w:left="284" w:hanging="11"/>
                            </w:pPr>
                            <w:r>
                              <w:rPr>
                                <w:rFonts w:ascii="Times New Roman" w:eastAsia="Times New Roman" w:hAnsi="Times New Roman" w:cs="Times New Roman"/>
                              </w:rPr>
                              <w:t>Build on rights-holders’ customary governance and management arrangements</w:t>
                            </w:r>
                          </w:p>
                          <w:p w14:paraId="7051B154" w14:textId="77777777" w:rsidR="00BC0CFA" w:rsidRDefault="00BC0CFA" w:rsidP="009B0448">
                            <w:pPr>
                              <w:spacing w:line="276" w:lineRule="auto"/>
                              <w:ind w:left="284" w:hanging="11"/>
                            </w:pPr>
                            <w:r>
                              <w:rPr>
                                <w:rFonts w:ascii="Times New Roman" w:eastAsia="Times New Roman" w:hAnsi="Times New Roman" w:cs="Times New Roman"/>
                              </w:rPr>
                              <w:t>Identification and assessment of costs, benefits and risks, and their distribution and trade-offs.</w:t>
                            </w:r>
                          </w:p>
                          <w:p w14:paraId="090CCF57" w14:textId="77777777" w:rsidR="00BC0CFA" w:rsidRDefault="00BC0CFA" w:rsidP="009B0448">
                            <w:pPr>
                              <w:spacing w:line="276" w:lineRule="auto"/>
                            </w:pPr>
                            <w:r>
                              <w:rPr>
                                <w:rFonts w:ascii="Times New Roman" w:eastAsia="Times New Roman" w:hAnsi="Times New Roman" w:cs="Times New Roman"/>
                                <w:b/>
                              </w:rPr>
                              <w:t>Distribution</w:t>
                            </w:r>
                          </w:p>
                          <w:p w14:paraId="4B7AFEC4" w14:textId="77777777" w:rsidR="00BC0CFA" w:rsidRDefault="00BC0CFA" w:rsidP="009B0448">
                            <w:pPr>
                              <w:spacing w:line="276" w:lineRule="auto"/>
                              <w:ind w:left="284" w:hanging="11"/>
                            </w:pPr>
                            <w:r>
                              <w:rPr>
                                <w:rFonts w:ascii="Times New Roman" w:eastAsia="Times New Roman" w:hAnsi="Times New Roman" w:cs="Times New Roman"/>
                              </w:rPr>
                              <w:t>Effective mitigation of any costs to Indigenous Peoples and local communities.</w:t>
                            </w:r>
                          </w:p>
                          <w:p w14:paraId="488C8DF4" w14:textId="77777777" w:rsidR="00BC0CFA" w:rsidRDefault="00BC0CFA" w:rsidP="009B0448">
                            <w:pPr>
                              <w:spacing w:line="276" w:lineRule="auto"/>
                              <w:ind w:left="284" w:hanging="11"/>
                            </w:pPr>
                            <w:r>
                              <w:rPr>
                                <w:rFonts w:ascii="Times New Roman" w:eastAsia="Times New Roman" w:hAnsi="Times New Roman" w:cs="Times New Roman"/>
                              </w:rPr>
                              <w:t>Benefits shared among relevant actors according to one or more of the following criteria: equally between relevant actors or according to contribution to biodiversity conservation, costs incurred, recognised rights, or the needs of the poorest.</w:t>
                            </w:r>
                          </w:p>
                          <w:p w14:paraId="3EE0BBC1" w14:textId="388138C2" w:rsidR="00BC0CFA" w:rsidRDefault="00BC0CFA" w:rsidP="009B0448">
                            <w:pPr>
                              <w:spacing w:line="276" w:lineRule="auto"/>
                              <w:ind w:left="284" w:hanging="11"/>
                            </w:pPr>
                            <w:r>
                              <w:rPr>
                                <w:rFonts w:ascii="Times New Roman" w:eastAsia="Times New Roman" w:hAnsi="Times New Roman" w:cs="Times New Roman"/>
                              </w:rPr>
                              <w:t>Benefits to the current generation do not compromise benefits to future generations.</w:t>
                            </w:r>
                          </w:p>
                        </w:txbxContent>
                      </wps:txbx>
                      <wps:bodyPr rot="0" vert="horz" wrap="square" lIns="91425" tIns="45698" rIns="91425" bIns="45698" anchor="t" anchorCtr="0" upright="1">
                        <a:noAutofit/>
                      </wps:bodyPr>
                    </wps:wsp>
                  </a:graphicData>
                </a:graphic>
              </wp:inline>
            </w:drawing>
          </mc:Choice>
          <mc:Fallback>
            <w:pict>
              <v:rect w14:anchorId="2B2662B2" id="Rectangle 1074" o:spid="_x0000_s1037" style="width:459.6pt;height:36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" fillcolor="#f2f2f2 [3052]" strokecolor="#4f6128">
                <v:stroke joinstyle="round"/>
                <v:textbox inset="2.53958mm,1.2694mm,2.53958mm,1.2694mm">
                  <w:txbxContent>
                    <w:p w14:paraId="66899908" w14:textId="77777777" w:rsidR="00BC0CFA" w:rsidRDefault="00BC0CFA" w:rsidP="009B0448">
                      <w:pPr>
                        <w:spacing w:line="276" w:lineRule="auto"/>
                        <w:rPr>
                          <w:rFonts w:ascii="Times New Roman" w:eastAsia="Times New Roman" w:hAnsi="Times New Roman" w:cs="Times New Roman"/>
                          <w:b/>
                        </w:rPr>
                      </w:pPr>
                      <w:r>
                        <w:rPr>
                          <w:rFonts w:ascii="Times New Roman" w:eastAsia="Times New Roman" w:hAnsi="Times New Roman" w:cs="Times New Roman"/>
                          <w:b/>
                        </w:rPr>
                        <w:t>Box 4.9: Principles of inclusion, equity and justice, as embraced by CBD and the SDGs</w:t>
                      </w:r>
                    </w:p>
                    <w:p w14:paraId="28EA1DAD" w14:textId="77777777" w:rsidR="00BC0CFA" w:rsidRDefault="00BC0CFA" w:rsidP="00D32AA1">
                      <w:pPr>
                        <w:spacing w:line="276" w:lineRule="auto"/>
                      </w:pPr>
                      <w:r>
                        <w:rPr>
                          <w:rFonts w:ascii="Times New Roman" w:eastAsia="Times New Roman" w:hAnsi="Times New Roman" w:cs="Times New Roman"/>
                        </w:rPr>
                        <w:t>(Source: Convention on Biological Diversity Capacity-Building Workshop for Africa on Achieving Aichi Biodiversity Targets 11 and 12, 21 -24 March 2016, Entebbe, Uganda)</w:t>
                      </w:r>
                    </w:p>
                    <w:p w14:paraId="47C0C0C4" w14:textId="77777777" w:rsidR="00BC0CFA" w:rsidRPr="00D32AA1" w:rsidRDefault="00BC0CFA" w:rsidP="009B0448">
                      <w:pPr>
                        <w:spacing w:line="276" w:lineRule="auto"/>
                        <w:rPr>
                          <w:sz w:val="16"/>
                          <w:szCs w:val="16"/>
                        </w:rPr>
                      </w:pPr>
                    </w:p>
                    <w:p w14:paraId="48AFF884" w14:textId="77777777" w:rsidR="00BC0CFA" w:rsidRDefault="00BC0CFA" w:rsidP="009B0448">
                      <w:pPr>
                        <w:spacing w:line="276" w:lineRule="auto"/>
                      </w:pPr>
                      <w:r>
                        <w:rPr>
                          <w:rFonts w:ascii="Times New Roman" w:eastAsia="Times New Roman" w:hAnsi="Times New Roman" w:cs="Times New Roman"/>
                          <w:b/>
                        </w:rPr>
                        <w:t>Recognition</w:t>
                      </w:r>
                    </w:p>
                    <w:p w14:paraId="21DDCD93" w14:textId="77777777" w:rsidR="00BC0CFA" w:rsidRDefault="00BC0CFA" w:rsidP="009B0448">
                      <w:pPr>
                        <w:spacing w:line="276" w:lineRule="auto"/>
                        <w:ind w:left="284" w:hanging="11"/>
                      </w:pPr>
                      <w:r>
                        <w:rPr>
                          <w:rFonts w:ascii="Times New Roman" w:eastAsia="Times New Roman" w:hAnsi="Times New Roman" w:cs="Times New Roman"/>
                        </w:rPr>
                        <w:t>Recognition and respect for human rights.</w:t>
                      </w:r>
                    </w:p>
                    <w:p w14:paraId="55245046" w14:textId="77777777" w:rsidR="00BC0CFA" w:rsidRDefault="00BC0CFA" w:rsidP="009B0448">
                      <w:pPr>
                        <w:spacing w:line="276" w:lineRule="auto"/>
                        <w:ind w:left="284" w:hanging="11"/>
                      </w:pPr>
                      <w:r>
                        <w:rPr>
                          <w:rFonts w:ascii="Times New Roman" w:eastAsia="Times New Roman" w:hAnsi="Times New Roman" w:cs="Times New Roman"/>
                        </w:rPr>
                        <w:t>Recognition and respect for statutory and customary property rights.</w:t>
                      </w:r>
                    </w:p>
                    <w:p w14:paraId="6D287F65" w14:textId="77777777" w:rsidR="00BC0CFA" w:rsidRDefault="00BC0CFA" w:rsidP="009B0448">
                      <w:pPr>
                        <w:spacing w:line="276" w:lineRule="auto"/>
                        <w:ind w:left="284" w:hanging="11"/>
                      </w:pPr>
                      <w:r>
                        <w:rPr>
                          <w:rFonts w:ascii="Times New Roman" w:eastAsia="Times New Roman" w:hAnsi="Times New Roman" w:cs="Times New Roman"/>
                        </w:rPr>
                        <w:t>Recognition and respect for the right of indigenous peoples to self-determination.</w:t>
                      </w:r>
                    </w:p>
                    <w:p w14:paraId="45AC2A18" w14:textId="77777777" w:rsidR="00BC0CFA" w:rsidRDefault="00BC0CFA" w:rsidP="009B0448">
                      <w:pPr>
                        <w:spacing w:line="276" w:lineRule="auto"/>
                        <w:ind w:left="284" w:hanging="11"/>
                      </w:pPr>
                      <w:r>
                        <w:rPr>
                          <w:rFonts w:ascii="Times New Roman" w:eastAsia="Times New Roman" w:hAnsi="Times New Roman" w:cs="Times New Roman"/>
                        </w:rPr>
                        <w:t>Recognition of different identities, values, knowledge systems and institutions.</w:t>
                      </w:r>
                    </w:p>
                    <w:p w14:paraId="78D7C3D7" w14:textId="77777777" w:rsidR="00BC0CFA" w:rsidRDefault="00BC0CFA" w:rsidP="009B0448">
                      <w:pPr>
                        <w:spacing w:line="276" w:lineRule="auto"/>
                        <w:ind w:left="284" w:hanging="11"/>
                      </w:pPr>
                      <w:r>
                        <w:rPr>
                          <w:rFonts w:ascii="Times New Roman" w:eastAsia="Times New Roman" w:hAnsi="Times New Roman" w:cs="Times New Roman"/>
                        </w:rPr>
                        <w:t>Recognition of all relevant actors and their diverse interests, capacities and powers to influence.</w:t>
                      </w:r>
                    </w:p>
                    <w:p w14:paraId="0881093E" w14:textId="77777777" w:rsidR="00BC0CFA" w:rsidRDefault="00BC0CFA" w:rsidP="009B0448">
                      <w:pPr>
                        <w:spacing w:line="276" w:lineRule="auto"/>
                        <w:ind w:left="284" w:hanging="11"/>
                      </w:pPr>
                      <w:r>
                        <w:rPr>
                          <w:rFonts w:ascii="Times New Roman" w:eastAsia="Times New Roman" w:hAnsi="Times New Roman" w:cs="Times New Roman"/>
                        </w:rPr>
                        <w:t>Non-discrimination by age, ethnicity, language, gender, class or beliefs.</w:t>
                      </w:r>
                    </w:p>
                    <w:p w14:paraId="594C45FF" w14:textId="77777777" w:rsidR="00BC0CFA" w:rsidRDefault="00BC0CFA" w:rsidP="009B0448">
                      <w:pPr>
                        <w:spacing w:line="276" w:lineRule="auto"/>
                      </w:pPr>
                      <w:r>
                        <w:rPr>
                          <w:rFonts w:ascii="Times New Roman" w:eastAsia="Times New Roman" w:hAnsi="Times New Roman" w:cs="Times New Roman"/>
                          <w:b/>
                        </w:rPr>
                        <w:t>Procedure</w:t>
                      </w:r>
                    </w:p>
                    <w:p w14:paraId="5E26237F" w14:textId="77777777" w:rsidR="00BC0CFA" w:rsidRDefault="00BC0CFA" w:rsidP="009B0448">
                      <w:pPr>
                        <w:spacing w:line="276" w:lineRule="auto"/>
                        <w:ind w:left="284" w:hanging="11"/>
                      </w:pPr>
                      <w:r>
                        <w:rPr>
                          <w:rFonts w:ascii="Times New Roman" w:eastAsia="Times New Roman" w:hAnsi="Times New Roman" w:cs="Times New Roman"/>
                        </w:rPr>
                        <w:t>Full and effective participation of recognised actors in decision-making.</w:t>
                      </w:r>
                    </w:p>
                    <w:p w14:paraId="782CB37F" w14:textId="77777777" w:rsidR="00BC0CFA" w:rsidRDefault="00BC0CFA" w:rsidP="009B0448">
                      <w:pPr>
                        <w:spacing w:line="276" w:lineRule="auto"/>
                        <w:ind w:left="284" w:hanging="11"/>
                      </w:pPr>
                      <w:r>
                        <w:rPr>
                          <w:rFonts w:ascii="Times New Roman" w:eastAsia="Times New Roman" w:hAnsi="Times New Roman" w:cs="Times New Roman"/>
                        </w:rPr>
                        <w:t>Clearly defined and agreed responsibilities of actors.</w:t>
                      </w:r>
                    </w:p>
                    <w:p w14:paraId="65EF12B5" w14:textId="77777777" w:rsidR="00BC0CFA" w:rsidRDefault="00BC0CFA" w:rsidP="009B0448">
                      <w:pPr>
                        <w:spacing w:line="276" w:lineRule="auto"/>
                        <w:ind w:left="284" w:hanging="11"/>
                      </w:pPr>
                      <w:r>
                        <w:rPr>
                          <w:rFonts w:ascii="Times New Roman" w:eastAsia="Times New Roman" w:hAnsi="Times New Roman" w:cs="Times New Roman"/>
                        </w:rPr>
                        <w:t>Accountability for actions and inactions.</w:t>
                      </w:r>
                    </w:p>
                    <w:p w14:paraId="1FADA876" w14:textId="77777777" w:rsidR="00BC0CFA" w:rsidRDefault="00BC0CFA" w:rsidP="009B0448">
                      <w:pPr>
                        <w:spacing w:line="276" w:lineRule="auto"/>
                        <w:ind w:left="284" w:hanging="11"/>
                      </w:pPr>
                      <w:r>
                        <w:rPr>
                          <w:rFonts w:ascii="Times New Roman" w:eastAsia="Times New Roman" w:hAnsi="Times New Roman" w:cs="Times New Roman"/>
                        </w:rPr>
                        <w:t>Access to justice, including an effective dispute-resolution process.</w:t>
                      </w:r>
                    </w:p>
                    <w:p w14:paraId="64247043" w14:textId="77777777" w:rsidR="00BC0CFA" w:rsidRDefault="00BC0CFA" w:rsidP="009B0448">
                      <w:pPr>
                        <w:spacing w:line="276" w:lineRule="auto"/>
                        <w:ind w:left="284" w:hanging="11"/>
                      </w:pPr>
                      <w:r>
                        <w:rPr>
                          <w:rFonts w:ascii="Times New Roman" w:eastAsia="Times New Roman" w:hAnsi="Times New Roman" w:cs="Times New Roman"/>
                        </w:rPr>
                        <w:t>Transparency supported by timely access to relevant information in appropriate forms.</w:t>
                      </w:r>
                    </w:p>
                    <w:p w14:paraId="64F3996C" w14:textId="77777777" w:rsidR="00BC0CFA" w:rsidRDefault="00BC0CFA" w:rsidP="009B0448">
                      <w:pPr>
                        <w:spacing w:line="276" w:lineRule="auto"/>
                        <w:ind w:left="284" w:hanging="11"/>
                      </w:pPr>
                      <w:r>
                        <w:rPr>
                          <w:rFonts w:ascii="Times New Roman" w:eastAsia="Times New Roman" w:hAnsi="Times New Roman" w:cs="Times New Roman"/>
                        </w:rPr>
                        <w:t>Build on rights-holders’ customary governance and management arrangements</w:t>
                      </w:r>
                    </w:p>
                    <w:p w14:paraId="7051B154" w14:textId="77777777" w:rsidR="00BC0CFA" w:rsidRDefault="00BC0CFA" w:rsidP="009B0448">
                      <w:pPr>
                        <w:spacing w:line="276" w:lineRule="auto"/>
                        <w:ind w:left="284" w:hanging="11"/>
                      </w:pPr>
                      <w:r>
                        <w:rPr>
                          <w:rFonts w:ascii="Times New Roman" w:eastAsia="Times New Roman" w:hAnsi="Times New Roman" w:cs="Times New Roman"/>
                        </w:rPr>
                        <w:t>Identification and assessment of costs, benefits and risks, and their distribution and trade-offs.</w:t>
                      </w:r>
                    </w:p>
                    <w:p w14:paraId="090CCF57" w14:textId="77777777" w:rsidR="00BC0CFA" w:rsidRDefault="00BC0CFA" w:rsidP="009B0448">
                      <w:pPr>
                        <w:spacing w:line="276" w:lineRule="auto"/>
                      </w:pPr>
                      <w:r>
                        <w:rPr>
                          <w:rFonts w:ascii="Times New Roman" w:eastAsia="Times New Roman" w:hAnsi="Times New Roman" w:cs="Times New Roman"/>
                          <w:b/>
                        </w:rPr>
                        <w:t>Distribution</w:t>
                      </w:r>
                    </w:p>
                    <w:p w14:paraId="4B7AFEC4" w14:textId="77777777" w:rsidR="00BC0CFA" w:rsidRDefault="00BC0CFA" w:rsidP="009B0448">
                      <w:pPr>
                        <w:spacing w:line="276" w:lineRule="auto"/>
                        <w:ind w:left="284" w:hanging="11"/>
                      </w:pPr>
                      <w:r>
                        <w:rPr>
                          <w:rFonts w:ascii="Times New Roman" w:eastAsia="Times New Roman" w:hAnsi="Times New Roman" w:cs="Times New Roman"/>
                        </w:rPr>
                        <w:t>Effective mitigation of any costs to Indigenous Peoples and local communities.</w:t>
                      </w:r>
                    </w:p>
                    <w:p w14:paraId="488C8DF4" w14:textId="77777777" w:rsidR="00BC0CFA" w:rsidRDefault="00BC0CFA" w:rsidP="009B0448">
                      <w:pPr>
                        <w:spacing w:line="276" w:lineRule="auto"/>
                        <w:ind w:left="284" w:hanging="11"/>
                      </w:pPr>
                      <w:r>
                        <w:rPr>
                          <w:rFonts w:ascii="Times New Roman" w:eastAsia="Times New Roman" w:hAnsi="Times New Roman" w:cs="Times New Roman"/>
                        </w:rPr>
                        <w:t>Benefits shared among relevant actors according to one or more of the following criteria: equally between relevant actors or according to contribution to biodiversity conservation, costs incurred, recognised rights, or the needs of the poorest.</w:t>
                      </w:r>
                    </w:p>
                    <w:p w14:paraId="3EE0BBC1" w14:textId="388138C2" w:rsidR="00BC0CFA" w:rsidRDefault="00BC0CFA" w:rsidP="009B0448">
                      <w:pPr>
                        <w:spacing w:line="276" w:lineRule="auto"/>
                        <w:ind w:left="284" w:hanging="11"/>
                      </w:pPr>
                      <w:r>
                        <w:rPr>
                          <w:rFonts w:ascii="Times New Roman" w:eastAsia="Times New Roman" w:hAnsi="Times New Roman" w:cs="Times New Roman"/>
                        </w:rPr>
                        <w:t>Benefits to the current generation do not compromise benefits to future generations.</w:t>
                      </w:r>
                    </w:p>
                  </w:txbxContent>
                </v:textbox>
                <w10:anchorlock/>
              </v:rect>
            </w:pict>
          </mc:Fallback>
        </mc:AlternateContent>
      </w:r>
      <w:r w:rsidR="00D32AA1">
        <w:rPr>
          <w:rFonts w:ascii="Times New Roman" w:eastAsia="Times New Roman" w:hAnsi="Times New Roman" w:cs="Times New Roman"/>
        </w:rPr>
        <w:br w:type="page"/>
      </w:r>
    </w:p>
    <w:p w14:paraId="5CA619C4"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Some African states are promoting the implementation of articles 8 and 10 (c) of the Convention on Biological Diversity, the Nagoya Protocol and the United Nations Declaration on the Rights of Indigenous People in order to preserve and maintain knowledge, innovations, technologies and practices of indigenous and local communities embodying traditional lifestyles relevant for the conservation and sustainable use of biological diversity and encourage the equitable sharing of the benefits arising from the utilisation of such knowledge innovations and practices (Lewis, 2010; AU, 2013).</w:t>
      </w:r>
    </w:p>
    <w:p w14:paraId="6B375A8E"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18" w:name="_Toc503032796"/>
      <w:bookmarkStart w:id="319" w:name="_Toc519499970"/>
      <w:r w:rsidRPr="009B0448">
        <w:rPr>
          <w:rFonts w:cs="Times New Roman"/>
          <w:i w:val="0"/>
          <w:sz w:val="22"/>
          <w:szCs w:val="22"/>
        </w:rPr>
        <w:t>Economic systems</w:t>
      </w:r>
      <w:bookmarkEnd w:id="318"/>
      <w:bookmarkEnd w:id="319"/>
    </w:p>
    <w:p w14:paraId="4599D812" w14:textId="0ED2F580" w:rsidR="009B0448" w:rsidRPr="009B0448" w:rsidRDefault="009B0448" w:rsidP="009B0448">
      <w:pPr>
        <w:spacing w:line="276" w:lineRule="auto"/>
        <w:jc w:val="both"/>
        <w:rPr>
          <w:rFonts w:ascii="Times New Roman" w:eastAsia="Times New Roman" w:hAnsi="Times New Roman" w:cs="Times New Roman"/>
          <w:lang w:val="en-ZA"/>
        </w:rPr>
      </w:pPr>
      <w:r w:rsidRPr="009B0448">
        <w:rPr>
          <w:rFonts w:ascii="Times New Roman" w:eastAsia="Times New Roman" w:hAnsi="Times New Roman" w:cs="Times New Roman"/>
        </w:rPr>
        <w:t>Economic activity involves process that combines physical inputs and human efforts to produce goods and services for the improvement of human well-being. A wide range of economic factors influence how human use and impact on biodiversity and ecosystem services. Some of these include macroeconomic development pathways and fiscal regimes. Macroeconomic development</w:t>
      </w:r>
      <w:r w:rsidRPr="009B0448">
        <w:rPr>
          <w:rFonts w:ascii="Times New Roman" w:eastAsia="Times New Roman" w:hAnsi="Times New Roman" w:cs="Times New Roman"/>
          <w:b/>
        </w:rPr>
        <w:t xml:space="preserve"> </w:t>
      </w:r>
      <w:r w:rsidRPr="009B0448">
        <w:rPr>
          <w:rFonts w:ascii="Times New Roman" w:eastAsia="Times New Roman" w:hAnsi="Times New Roman" w:cs="Times New Roman"/>
        </w:rPr>
        <w:t>discourses, policies and strategies on the continent have long been based on maximi</w:t>
      </w:r>
      <w:r w:rsidR="00150166">
        <w:rPr>
          <w:rFonts w:ascii="Times New Roman" w:eastAsia="Times New Roman" w:hAnsi="Times New Roman" w:cs="Times New Roman"/>
        </w:rPr>
        <w:t>s</w:t>
      </w:r>
      <w:r w:rsidRPr="009B0448">
        <w:rPr>
          <w:rFonts w:ascii="Times New Roman" w:eastAsia="Times New Roman" w:hAnsi="Times New Roman" w:cs="Times New Roman"/>
        </w:rPr>
        <w:t xml:space="preserve">ing African nation’s economic growth and development, with limited change in the structure of Africa counties’ economies over the past five decades (AfDB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Economic activity and growth are inﬂuenced by the dispensation of natural resources, including ecosystem services (natural capital), the number and skills of humans (human capital), market reach (trade), institutional and policy environment and more strongly by available technologies. In Africa primary activities based on the exploitation or extraction of natural resources (i.e., biomass; fossil fuels - coal, oil and gas; metal ores and non-metallic minerals) continue to dominate (Collier, 2002). With Africa’s economic growth of 3.6% in 2015 (AfDB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and expected 5% in 2016 (AfDB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 there is no evidence of decoupling between biodiversity loss and current development pathways</w:t>
      </w:r>
      <w:r w:rsidRPr="009B0448">
        <w:rPr>
          <w:rFonts w:ascii="Times New Roman" w:eastAsia="Times New Roman" w:hAnsi="Times New Roman" w:cs="Times New Roman"/>
          <w:lang w:val="en-ZA"/>
        </w:rPr>
        <w:t xml:space="preserve"> based on increasing demands for ecosystem services accompanied by large-scale habitat transformation.</w:t>
      </w:r>
    </w:p>
    <w:p w14:paraId="3A030654" w14:textId="77777777" w:rsidR="009B0448" w:rsidRPr="009B0448" w:rsidRDefault="009B0448" w:rsidP="009B0448">
      <w:pPr>
        <w:spacing w:line="276" w:lineRule="auto"/>
        <w:jc w:val="both"/>
        <w:rPr>
          <w:rFonts w:ascii="Times New Roman" w:eastAsia="Times New Roman" w:hAnsi="Times New Roman" w:cs="Times New Roman"/>
        </w:rPr>
      </w:pPr>
    </w:p>
    <w:p w14:paraId="21168B8D" w14:textId="51E20B18"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rich resource base in many African countries has been a major driver and engine of economic growth in the region. Foreign exchange earnings from resource exports enabled African countries to import important intermediate inputs and also finance some national development programmes. In as much as African countries benefited from their resource endowments, some of these resources are non-renewable. Their rapid depletion by the current generation will limit their capacity to meet the consumption needs of the future generations, especially if there is no investments in assets that support future growth, (UNCTAD, 2012). Most developing countries have in the last three decades transitioned considerably in the latest wave </w:t>
      </w:r>
      <w:r w:rsidR="003D5588">
        <w:rPr>
          <w:rFonts w:ascii="Times New Roman" w:eastAsia="Times New Roman" w:hAnsi="Times New Roman" w:cs="Times New Roman"/>
        </w:rPr>
        <w:t>of globalis</w:t>
      </w:r>
      <w:r w:rsidRPr="009B0448">
        <w:rPr>
          <w:rFonts w:ascii="Times New Roman" w:eastAsia="Times New Roman" w:hAnsi="Times New Roman" w:cs="Times New Roman"/>
        </w:rPr>
        <w:t xml:space="preserve">ation from primary export commodities to manufactures (Collier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2002). However, Africa has not broken into the global market for manufactures and remains heavily dependent on primary commodities (Collier, 2002). This places increasing high demand for natural resources by emerging and developed economies. Pressure on the African biodiversity and ecosystems has been immense and persistent, (Nelson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w:t>
      </w:r>
    </w:p>
    <w:p w14:paraId="78F45B30" w14:textId="77777777" w:rsidR="009B0448" w:rsidRPr="009B0448" w:rsidRDefault="009B0448" w:rsidP="009B0448">
      <w:pPr>
        <w:spacing w:line="276" w:lineRule="auto"/>
        <w:jc w:val="both"/>
        <w:rPr>
          <w:rFonts w:ascii="Times New Roman" w:eastAsia="Times New Roman" w:hAnsi="Times New Roman" w:cs="Times New Roman"/>
        </w:rPr>
      </w:pPr>
    </w:p>
    <w:p w14:paraId="515B3EC4" w14:textId="2B6471C2" w:rsidR="009B0448" w:rsidRPr="009B0448" w:rsidRDefault="009B0448" w:rsidP="009B0448">
      <w:pPr>
        <w:spacing w:line="276" w:lineRule="auto"/>
        <w:jc w:val="both"/>
        <w:rPr>
          <w:rFonts w:ascii="Times New Roman" w:eastAsia="Arial" w:hAnsi="Times New Roman" w:cs="Times New Roman"/>
        </w:rPr>
      </w:pPr>
      <w:r w:rsidRPr="009B0448">
        <w:rPr>
          <w:rFonts w:ascii="Times New Roman" w:eastAsia="Times New Roman" w:hAnsi="Times New Roman" w:cs="Times New Roman"/>
        </w:rPr>
        <w:t xml:space="preserve">Economic growth requires development and improvement of physical and institutional infrastructure to facilitate transportation, marketing, settlements, public services, and private-sector activities (Nelson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Further the proposed development corridors would involve largescale expansion of infrastructure resulting in increased pressure on the environment and biodiversity (Laurance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 The development of planned infrastructure will play a major role impacting on ecosystems. Infrastructure development is an important direct driver of biodiversity chan</w:t>
      </w:r>
      <w:r w:rsidR="00B84A1D">
        <w:rPr>
          <w:rFonts w:ascii="Times New Roman" w:eastAsia="Times New Roman" w:hAnsi="Times New Roman" w:cs="Times New Roman"/>
        </w:rPr>
        <w:t>ge (Figure</w:t>
      </w:r>
      <w:r w:rsidRPr="009B0448">
        <w:rPr>
          <w:rFonts w:ascii="Times New Roman" w:eastAsia="Times New Roman" w:hAnsi="Times New Roman" w:cs="Times New Roman"/>
        </w:rPr>
        <w:t xml:space="preserve"> 4.1</w:t>
      </w:r>
      <w:r w:rsidR="00B84A1D">
        <w:rPr>
          <w:rFonts w:ascii="Times New Roman" w:eastAsia="Times New Roman" w:hAnsi="Times New Roman" w:cs="Times New Roman"/>
        </w:rPr>
        <w:t>9</w:t>
      </w:r>
      <w:r w:rsidRPr="009B0448">
        <w:rPr>
          <w:rFonts w:ascii="Times New Roman" w:eastAsia="Times New Roman" w:hAnsi="Times New Roman" w:cs="Times New Roman"/>
        </w:rPr>
        <w:t>).</w:t>
      </w:r>
    </w:p>
    <w:p w14:paraId="3483C8A2" w14:textId="3FF148F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5AD18931" wp14:editId="7130D5B7">
            <wp:extent cx="5727032" cy="6230666"/>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1055">
                      <a:extLst>
                        <a:ext uri="{28A0092B-C50C-407E-A947-70E740481C1C}">
                          <a14:useLocalDpi xmlns:a14="http://schemas.microsoft.com/office/drawing/2010/main" val="0"/>
                        </a:ext>
                      </a:extLst>
                    </a:blip>
                    <a:stretch>
                      <a:fillRect/>
                    </a:stretch>
                  </pic:blipFill>
                  <pic:spPr bwMode="auto">
                    <a:xfrm>
                      <a:off x="0" y="0"/>
                      <a:ext cx="5734011" cy="6238258"/>
                    </a:xfrm>
                    <a:prstGeom prst="rect">
                      <a:avLst/>
                    </a:prstGeom>
                    <a:noFill/>
                    <a:ln>
                      <a:noFill/>
                    </a:ln>
                  </pic:spPr>
                </pic:pic>
              </a:graphicData>
            </a:graphic>
          </wp:inline>
        </w:drawing>
      </w:r>
    </w:p>
    <w:p w14:paraId="3EB4CA1D"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szCs w:val="20"/>
        </w:rPr>
        <w:t>Figure 4.19:</w:t>
      </w:r>
      <w:r w:rsidRPr="009B0448">
        <w:rPr>
          <w:rFonts w:ascii="Times New Roman" w:eastAsia="Times New Roman" w:hAnsi="Times New Roman" w:cs="Times New Roman"/>
          <w:szCs w:val="20"/>
        </w:rPr>
        <w:t xml:space="preserve"> Map of future development corridors and likely scenarios of development pressure on African ecosystems. Legend: A = already active; F = planned for the future; U = upgrade planned or underway. Source: Laurance </w:t>
      </w:r>
      <w:r w:rsidRPr="009B0448">
        <w:rPr>
          <w:rFonts w:ascii="Times New Roman" w:eastAsia="Times New Roman" w:hAnsi="Times New Roman" w:cs="Times New Roman"/>
          <w:i/>
          <w:szCs w:val="20"/>
        </w:rPr>
        <w:t>et al.</w:t>
      </w:r>
      <w:r w:rsidRPr="009B0448">
        <w:rPr>
          <w:rFonts w:ascii="Times New Roman" w:eastAsia="Times New Roman" w:hAnsi="Times New Roman" w:cs="Times New Roman"/>
          <w:szCs w:val="20"/>
        </w:rPr>
        <w:t>, (2015).</w:t>
      </w:r>
    </w:p>
    <w:p w14:paraId="38BA9D84" w14:textId="77777777" w:rsidR="009B0448" w:rsidRPr="009B0448" w:rsidRDefault="009B0448" w:rsidP="009B0448">
      <w:pPr>
        <w:spacing w:line="276" w:lineRule="auto"/>
        <w:jc w:val="both"/>
        <w:rPr>
          <w:rFonts w:ascii="Times New Roman" w:eastAsia="Times New Roman" w:hAnsi="Times New Roman" w:cs="Times New Roman"/>
        </w:rPr>
      </w:pPr>
    </w:p>
    <w:p w14:paraId="6A39A8C4"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Joint research by WWF and AfDB identified the Ecological Footprint of all African countries as increasing by 240% between 1961 and 2008. Africa was projected to be in a “biocapacity deficit” by 2015, i.e., the demand for resources and ecological services is now greater than the capacity of Africa’s ecosystems to produce such useful biological materials and absorb waste flows generated by its populations (AfDB, 2015). This is particularly worrying given the growing reliance of African economies on the exploitation of renewable natural capital (AfDB, 2015). While the basis for the continent’s development is increasingly broad, extractive sectors still act as a major source of export earnings and account for a significant share of Gross Domestic Product and its growth in many countries across the continent (AfDB, 2015).</w:t>
      </w:r>
    </w:p>
    <w:p w14:paraId="410C62E9" w14:textId="77777777" w:rsidR="009B0448" w:rsidRPr="009B0448" w:rsidRDefault="009B0448" w:rsidP="009B0448">
      <w:pPr>
        <w:spacing w:line="276" w:lineRule="auto"/>
        <w:jc w:val="both"/>
        <w:rPr>
          <w:rFonts w:ascii="Times New Roman" w:eastAsia="Times New Roman" w:hAnsi="Times New Roman" w:cs="Times New Roman"/>
        </w:rPr>
      </w:pPr>
    </w:p>
    <w:p w14:paraId="133B5A37"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Africa’s primary commodities dependence has been attributed to a poor investment climate that is policy-related and handicaps manufacturing and agricultural processing that are intensive in transactions are considered a feasible means of lowering these costs in a coordinated way in order to enable the continent reach competitiveness in manufacturing (Collier, 2002). In addition, the African Union has promoted intra-African trade, by developing a trade action plans, i.e., Action Plan for Accelerated Industrial Development of Africa and Program for Infrastructure Development in Africa. However, the subsequent infrastructural development has improved trade but had negative impacts on the biodiversity and ecosystems functions and services. </w:t>
      </w:r>
    </w:p>
    <w:p w14:paraId="6700B417" w14:textId="77777777" w:rsidR="009B0448" w:rsidRPr="009B0448" w:rsidRDefault="009B0448" w:rsidP="009B0448">
      <w:pPr>
        <w:spacing w:line="276" w:lineRule="auto"/>
        <w:jc w:val="both"/>
        <w:rPr>
          <w:rFonts w:ascii="Times New Roman" w:eastAsia="Times New Roman" w:hAnsi="Times New Roman" w:cs="Times New Roman"/>
        </w:rPr>
      </w:pPr>
    </w:p>
    <w:p w14:paraId="2109B478"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To counter this, there has been a widespread development green economic strategies and policies in Africa to enable sustainable development in the region. A typical definition is that “green growth means fostering economic growth and development while ensuring that natural assets continue to provide the resources and environmental services on which our well-being relies” (OECD, 2011). Green growth must be compatible with poverty alleviation strategies that address ecological scarcity, a major contributing factor to the vulnerability of rural economies. Green growth has focused on renewable technologies and climate change adaptation strategies such as reducing the emission of greenhouse gases, (OECD, 2011). Green growth has focused on renewable technologies and climate change adaptation strategies. Green economy policies have been developed with incorporation of biodiversity conservation. However, the concept of Public-Private Partnerships will require caution to ensure private companies engage fairly with local communities under the Prior Informed Consent principle. Hence, tackling the structural problem of the geographical clustering of impoverished households in marginal and remote areas with poorly integrated and functioning markets should be a focus for development policies that address changes in biodiversity and ecosystem services.</w:t>
      </w:r>
    </w:p>
    <w:p w14:paraId="0C5D1878" w14:textId="77777777" w:rsidR="009B0448" w:rsidRPr="009B0448" w:rsidRDefault="009B0448" w:rsidP="009B0448">
      <w:pPr>
        <w:spacing w:line="276" w:lineRule="auto"/>
        <w:jc w:val="both"/>
        <w:rPr>
          <w:rFonts w:ascii="Times New Roman" w:hAnsi="Times New Roman" w:cs="Times New Roman"/>
        </w:rPr>
      </w:pPr>
    </w:p>
    <w:p w14:paraId="6A8061E6"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According to the United Nations Conference on Trade and Development (UNCTAD) report of 2012, the total domestic material extraction (i.e., biomass; fossil fuels - coal, oil and gas; metal ores and non-metallic minerals) increased from 2.8 billion tons in 1980 to 5.3 billion tons in 2008 in Africa, representing an approximate increase of 87% (Figure 4.20). This increase is in line with global trends although Africa’s share in global extraction increased only marginally (UNCTAD, 2012</w:t>
      </w:r>
      <w:r w:rsidRPr="009B0448">
        <w:rPr>
          <w:rFonts w:ascii="Times New Roman" w:eastAsia="Times New Roman" w:hAnsi="Times New Roman" w:cs="Times New Roman"/>
          <w:lang w:val="en-ZA"/>
        </w:rPr>
        <w:t>)</w:t>
      </w:r>
      <w:r w:rsidRPr="009B0448">
        <w:rPr>
          <w:rFonts w:ascii="Times New Roman" w:eastAsia="Times New Roman" w:hAnsi="Times New Roman" w:cs="Times New Roman"/>
        </w:rPr>
        <w:t xml:space="preserve">. Biomass (e.g., agriculture, forestry, and fishing) is the most dominant material type extracted in Africa, accounting for 30% of overall material extraction in 2008. It increased from 1.7 billion tons in 1980 to 2.8 billion tons in 2008. Animal feed, particularly grazing activities (livestock breeding accounts for a high share in total land-use in many African countries), accounted for 58% of biomass extraction in 2008. </w:t>
      </w:r>
    </w:p>
    <w:p w14:paraId="5A389822" w14:textId="77777777" w:rsidR="009B0448" w:rsidRPr="009B0448" w:rsidRDefault="009B0448" w:rsidP="009B0448">
      <w:pPr>
        <w:spacing w:line="276" w:lineRule="auto"/>
        <w:jc w:val="both"/>
        <w:rPr>
          <w:rFonts w:ascii="Times New Roman" w:eastAsia="Times New Roman" w:hAnsi="Times New Roman" w:cs="Times New Roman"/>
        </w:rPr>
      </w:pPr>
    </w:p>
    <w:p w14:paraId="4831398D"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While the share of biomass in domestic extraction varies across African countries, it is important to note that non-renewable resources are increasingly playing an important role in several African countries. The average domestic material extraction per capita between 1980 and 2008 fell from 5.9 to 5.4 tons despite the global average increasing from 8.6 to 10.2 tons (Figure 4.21). During this period, high population growth resulted in the per capita domestic material extraction stagnation.</w:t>
      </w:r>
    </w:p>
    <w:p w14:paraId="2379B0F6" w14:textId="77777777" w:rsidR="009B0448" w:rsidRPr="009B0448" w:rsidRDefault="009B0448" w:rsidP="009B0448">
      <w:pPr>
        <w:spacing w:line="276" w:lineRule="auto"/>
        <w:jc w:val="both"/>
        <w:rPr>
          <w:rFonts w:ascii="Times New Roman" w:eastAsia="Times New Roman" w:hAnsi="Times New Roman" w:cs="Times New Roman"/>
        </w:rPr>
      </w:pPr>
    </w:p>
    <w:p w14:paraId="0E86A5F0"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It is clear that there has been an increase in Africa’s global market shares in exports of biomass due to higher increases in trade in other world regions. The transition from an agrarian to an industrial regime results in increased environmental pressures. Consequences range from climate change, waste pollution, deforestation, desertification and degradation of freshwater resources, to the loss of biodiversity (UNCTAD, 2012).</w:t>
      </w:r>
    </w:p>
    <w:p w14:paraId="5E98901F" w14:textId="77777777" w:rsidR="009B0448" w:rsidRPr="009B0448" w:rsidRDefault="009B0448" w:rsidP="009B0448">
      <w:pPr>
        <w:spacing w:line="276" w:lineRule="auto"/>
        <w:jc w:val="both"/>
        <w:rPr>
          <w:rFonts w:ascii="Times New Roman" w:eastAsia="Times New Roman" w:hAnsi="Times New Roman" w:cs="Times New Roman"/>
        </w:rPr>
      </w:pPr>
    </w:p>
    <w:p w14:paraId="1DDDEE59" w14:textId="7EAA76FA"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3389009B" wp14:editId="6334E10C">
            <wp:extent cx="5730240" cy="316992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5730240" cy="3169920"/>
                    </a:xfrm>
                    <a:prstGeom prst="rect">
                      <a:avLst/>
                    </a:prstGeom>
                    <a:noFill/>
                    <a:ln>
                      <a:noFill/>
                    </a:ln>
                  </pic:spPr>
                </pic:pic>
              </a:graphicData>
            </a:graphic>
          </wp:inline>
        </w:drawing>
      </w:r>
    </w:p>
    <w:p w14:paraId="660D9430"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sz w:val="20"/>
          <w:szCs w:val="20"/>
        </w:rPr>
        <w:t xml:space="preserve">Figure 4.20: </w:t>
      </w:r>
      <w:r w:rsidRPr="009B0448">
        <w:rPr>
          <w:rFonts w:ascii="Times New Roman" w:eastAsia="Times New Roman" w:hAnsi="Times New Roman" w:cs="Times New Roman"/>
          <w:sz w:val="20"/>
          <w:szCs w:val="20"/>
        </w:rPr>
        <w:t xml:space="preserve">Global and African domestic material extraction (billions of tons). Data source: </w:t>
      </w:r>
      <w:hyperlink r:id="rId1057" w:history="1">
        <w:r w:rsidRPr="009B0448">
          <w:rPr>
            <w:rStyle w:val="Hyperlink"/>
            <w:rFonts w:ascii="Times New Roman" w:hAnsi="Times New Roman" w:cs="Times New Roman"/>
          </w:rPr>
          <w:t>http://www.materialflows.net/materialflowsnet/home/</w:t>
        </w:r>
      </w:hyperlink>
    </w:p>
    <w:p w14:paraId="31FAD6B2" w14:textId="77777777" w:rsidR="009B0448" w:rsidRPr="009B0448" w:rsidRDefault="009B0448" w:rsidP="009B0448">
      <w:pPr>
        <w:spacing w:line="276" w:lineRule="auto"/>
        <w:jc w:val="both"/>
        <w:rPr>
          <w:rFonts w:ascii="Times New Roman" w:eastAsia="Times New Roman" w:hAnsi="Times New Roman" w:cs="Times New Roman"/>
        </w:rPr>
      </w:pPr>
    </w:p>
    <w:p w14:paraId="7F0B3BA8" w14:textId="38B894BC"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29E9120D" wp14:editId="42725F23">
            <wp:extent cx="5730240" cy="2743200"/>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5730240" cy="2743200"/>
                    </a:xfrm>
                    <a:prstGeom prst="rect">
                      <a:avLst/>
                    </a:prstGeom>
                    <a:noFill/>
                    <a:ln>
                      <a:noFill/>
                    </a:ln>
                  </pic:spPr>
                </pic:pic>
              </a:graphicData>
            </a:graphic>
          </wp:inline>
        </w:drawing>
      </w:r>
    </w:p>
    <w:p w14:paraId="6CFCA9CB" w14:textId="77777777" w:rsidR="009B0448" w:rsidRPr="009B0448" w:rsidRDefault="009B0448" w:rsidP="00F10670">
      <w:pPr>
        <w:spacing w:line="276" w:lineRule="auto"/>
        <w:rPr>
          <w:rFonts w:ascii="Times New Roman" w:eastAsia="Times New Roman" w:hAnsi="Times New Roman" w:cs="Times New Roman"/>
        </w:rPr>
      </w:pPr>
      <w:r w:rsidRPr="009B0448">
        <w:rPr>
          <w:rFonts w:ascii="Times New Roman" w:eastAsia="Times New Roman" w:hAnsi="Times New Roman" w:cs="Times New Roman"/>
          <w:b/>
        </w:rPr>
        <w:t>Figure 4.21:</w:t>
      </w:r>
      <w:r w:rsidRPr="009B0448">
        <w:rPr>
          <w:rFonts w:ascii="Times New Roman" w:eastAsia="Times New Roman" w:hAnsi="Times New Roman" w:cs="Times New Roman"/>
        </w:rPr>
        <w:t xml:space="preserve"> Natural resources (material) extraction per capita: Africa regional average and world average for the period between 1980 and 2008. Data source: </w:t>
      </w:r>
      <w:hyperlink r:id="rId1059" w:history="1">
        <w:r w:rsidRPr="009B0448">
          <w:rPr>
            <w:rStyle w:val="Hyperlink"/>
            <w:rFonts w:ascii="Times New Roman" w:hAnsi="Times New Roman" w:cs="Times New Roman"/>
          </w:rPr>
          <w:t>http://www.materialflows.net/materialflowsnet/home/</w:t>
        </w:r>
      </w:hyperlink>
    </w:p>
    <w:p w14:paraId="340AC410" w14:textId="77777777" w:rsidR="009B0448" w:rsidRPr="009B0448" w:rsidRDefault="009B0448" w:rsidP="009B0448">
      <w:pPr>
        <w:spacing w:line="276" w:lineRule="auto"/>
        <w:jc w:val="both"/>
        <w:rPr>
          <w:rFonts w:ascii="Times New Roman" w:eastAsia="Times New Roman" w:hAnsi="Times New Roman" w:cs="Times New Roman"/>
        </w:rPr>
      </w:pPr>
    </w:p>
    <w:p w14:paraId="1C106245" w14:textId="28FE355D"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There is a growing consensus that growth alone will not be enough for the continent to </w:t>
      </w:r>
      <w:r w:rsidR="00FD3EB4" w:rsidRPr="009B0448">
        <w:rPr>
          <w:rFonts w:ascii="Times New Roman" w:eastAsia="Times New Roman" w:hAnsi="Times New Roman" w:cs="Times New Roman"/>
        </w:rPr>
        <w:t>fulfil</w:t>
      </w:r>
      <w:r w:rsidRPr="009B0448">
        <w:rPr>
          <w:rFonts w:ascii="Times New Roman" w:eastAsia="Times New Roman" w:hAnsi="Times New Roman" w:cs="Times New Roman"/>
        </w:rPr>
        <w:t xml:space="preserve"> its aspirations. Debates on sustainable development pathways in Africa see various policy options and alternatives put forward (AfDB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r w:rsidRPr="009B0448">
        <w:rPr>
          <w:rFonts w:ascii="Times New Roman" w:eastAsia="Times New Roman" w:hAnsi="Times New Roman" w:cs="Times New Roman"/>
          <w:lang w:val="en-ZA"/>
        </w:rPr>
        <w:t>)</w:t>
      </w:r>
      <w:r w:rsidRPr="009B0448">
        <w:rPr>
          <w:rFonts w:ascii="Times New Roman" w:eastAsia="Times New Roman" w:hAnsi="Times New Roman" w:cs="Times New Roman"/>
        </w:rPr>
        <w:t xml:space="preserve">: </w:t>
      </w:r>
    </w:p>
    <w:p w14:paraId="3B96BD58" w14:textId="77777777" w:rsidR="009B0448" w:rsidRPr="009B0448" w:rsidRDefault="009B0448" w:rsidP="00FA7185">
      <w:pPr>
        <w:numPr>
          <w:ilvl w:val="0"/>
          <w:numId w:val="16"/>
        </w:numPr>
        <w:pBdr>
          <w:top w:val="none" w:sz="0" w:space="0" w:color="auto"/>
          <w:left w:val="none" w:sz="0" w:space="0" w:color="auto"/>
          <w:bottom w:val="none" w:sz="0" w:space="0" w:color="auto"/>
          <w:right w:val="none" w:sz="0" w:space="0" w:color="auto"/>
          <w:between w:val="none" w:sz="0" w:space="0" w:color="auto"/>
        </w:pBdr>
        <w:spacing w:line="276" w:lineRule="auto"/>
        <w:ind w:hanging="360"/>
        <w:contextualSpacing/>
        <w:jc w:val="both"/>
        <w:rPr>
          <w:rFonts w:ascii="Times New Roman" w:eastAsia="Times New Roman" w:hAnsi="Times New Roman" w:cs="Times New Roman"/>
        </w:rPr>
      </w:pPr>
      <w:r w:rsidRPr="009B0448">
        <w:rPr>
          <w:rFonts w:ascii="Times New Roman" w:eastAsia="Times New Roman" w:hAnsi="Times New Roman" w:cs="Times New Roman"/>
        </w:rPr>
        <w:t xml:space="preserve">Industrialisation proposed as the mainstay of the African structural transformation, by emulating past policies of developed and emerging economies for full integration into world trade; </w:t>
      </w:r>
    </w:p>
    <w:p w14:paraId="20EAAF5D" w14:textId="77777777" w:rsidR="009B0448" w:rsidRPr="009B0448" w:rsidRDefault="009B0448" w:rsidP="00FA7185">
      <w:pPr>
        <w:numPr>
          <w:ilvl w:val="0"/>
          <w:numId w:val="16"/>
        </w:numPr>
        <w:pBdr>
          <w:top w:val="none" w:sz="0" w:space="0" w:color="auto"/>
          <w:left w:val="none" w:sz="0" w:space="0" w:color="auto"/>
          <w:bottom w:val="none" w:sz="0" w:space="0" w:color="auto"/>
          <w:right w:val="none" w:sz="0" w:space="0" w:color="auto"/>
          <w:between w:val="none" w:sz="0" w:space="0" w:color="auto"/>
        </w:pBdr>
        <w:spacing w:line="276" w:lineRule="auto"/>
        <w:ind w:hanging="360"/>
        <w:contextualSpacing/>
        <w:jc w:val="both"/>
        <w:rPr>
          <w:rFonts w:ascii="Times New Roman" w:eastAsia="Times New Roman" w:hAnsi="Times New Roman" w:cs="Times New Roman"/>
        </w:rPr>
      </w:pPr>
      <w:r w:rsidRPr="009B0448">
        <w:rPr>
          <w:rFonts w:ascii="Times New Roman" w:eastAsia="Times New Roman" w:hAnsi="Times New Roman" w:cs="Times New Roman"/>
        </w:rPr>
        <w:t xml:space="preserve">The services industry as the new pillar of structural transformation because jobs in services continue to expand (e.g., outsourcing, new information and communication technologies); </w:t>
      </w:r>
    </w:p>
    <w:p w14:paraId="665646D1" w14:textId="77777777" w:rsidR="009B0448" w:rsidRPr="009B0448" w:rsidRDefault="009B0448" w:rsidP="00FA7185">
      <w:pPr>
        <w:numPr>
          <w:ilvl w:val="0"/>
          <w:numId w:val="16"/>
        </w:numPr>
        <w:pBdr>
          <w:top w:val="none" w:sz="0" w:space="0" w:color="auto"/>
          <w:left w:val="none" w:sz="0" w:space="0" w:color="auto"/>
          <w:bottom w:val="none" w:sz="0" w:space="0" w:color="auto"/>
          <w:right w:val="none" w:sz="0" w:space="0" w:color="auto"/>
          <w:between w:val="none" w:sz="0" w:space="0" w:color="auto"/>
        </w:pBdr>
        <w:spacing w:line="276" w:lineRule="auto"/>
        <w:ind w:hanging="360"/>
        <w:contextualSpacing/>
        <w:jc w:val="both"/>
        <w:rPr>
          <w:rFonts w:ascii="Times New Roman" w:eastAsia="Times New Roman" w:hAnsi="Times New Roman" w:cs="Times New Roman"/>
        </w:rPr>
      </w:pPr>
      <w:r w:rsidRPr="009B0448">
        <w:rPr>
          <w:rFonts w:ascii="Times New Roman" w:eastAsia="Times New Roman" w:hAnsi="Times New Roman" w:cs="Times New Roman"/>
        </w:rPr>
        <w:t xml:space="preserve">Pushing for further natural resources production, investing natural resource revenues wisely and simultaneously developing industrial policies which could diversify economies; </w:t>
      </w:r>
    </w:p>
    <w:p w14:paraId="16E7BD6F" w14:textId="77777777" w:rsidR="009B0448" w:rsidRPr="009B0448" w:rsidRDefault="009B0448" w:rsidP="00FA7185">
      <w:pPr>
        <w:numPr>
          <w:ilvl w:val="0"/>
          <w:numId w:val="16"/>
        </w:numPr>
        <w:pBdr>
          <w:top w:val="none" w:sz="0" w:space="0" w:color="auto"/>
          <w:left w:val="none" w:sz="0" w:space="0" w:color="auto"/>
          <w:bottom w:val="none" w:sz="0" w:space="0" w:color="auto"/>
          <w:right w:val="none" w:sz="0" w:space="0" w:color="auto"/>
          <w:between w:val="none" w:sz="0" w:space="0" w:color="auto"/>
        </w:pBdr>
        <w:spacing w:line="276" w:lineRule="auto"/>
        <w:ind w:hanging="360"/>
        <w:contextualSpacing/>
        <w:jc w:val="both"/>
        <w:rPr>
          <w:rFonts w:ascii="Times New Roman" w:eastAsia="Times New Roman" w:hAnsi="Times New Roman" w:cs="Times New Roman"/>
        </w:rPr>
      </w:pPr>
      <w:r w:rsidRPr="009B0448">
        <w:rPr>
          <w:rFonts w:ascii="Times New Roman" w:eastAsia="Times New Roman" w:hAnsi="Times New Roman" w:cs="Times New Roman"/>
        </w:rPr>
        <w:t>Prioritising agriculturally-based growth given the current share of agriculture in employment; and</w:t>
      </w:r>
    </w:p>
    <w:p w14:paraId="535B0851" w14:textId="77777777" w:rsidR="009B0448" w:rsidRPr="009B0448" w:rsidRDefault="009B0448" w:rsidP="00FA7185">
      <w:pPr>
        <w:numPr>
          <w:ilvl w:val="0"/>
          <w:numId w:val="16"/>
        </w:numPr>
        <w:pBdr>
          <w:top w:val="none" w:sz="0" w:space="0" w:color="auto"/>
          <w:left w:val="none" w:sz="0" w:space="0" w:color="auto"/>
          <w:bottom w:val="none" w:sz="0" w:space="0" w:color="auto"/>
          <w:right w:val="none" w:sz="0" w:space="0" w:color="auto"/>
          <w:between w:val="none" w:sz="0" w:space="0" w:color="auto"/>
        </w:pBdr>
        <w:spacing w:line="276" w:lineRule="auto"/>
        <w:ind w:hanging="360"/>
        <w:contextualSpacing/>
        <w:jc w:val="both"/>
        <w:rPr>
          <w:rFonts w:ascii="Times New Roman" w:eastAsia="Times New Roman" w:hAnsi="Times New Roman" w:cs="Times New Roman"/>
        </w:rPr>
      </w:pPr>
      <w:r w:rsidRPr="009B0448">
        <w:rPr>
          <w:rFonts w:ascii="Times New Roman" w:eastAsia="Times New Roman" w:hAnsi="Times New Roman" w:cs="Times New Roman"/>
        </w:rPr>
        <w:t>Green growth strategies, calling for dramatic changes in production and consumption modes.</w:t>
      </w:r>
    </w:p>
    <w:p w14:paraId="665ADFB8" w14:textId="77777777" w:rsidR="009B0448" w:rsidRPr="009B0448" w:rsidRDefault="009B0448" w:rsidP="009B0448">
      <w:pPr>
        <w:spacing w:line="276" w:lineRule="auto"/>
        <w:jc w:val="both"/>
        <w:rPr>
          <w:rFonts w:ascii="Times New Roman" w:eastAsia="Times New Roman" w:hAnsi="Times New Roman" w:cs="Times New Roman"/>
        </w:rPr>
      </w:pPr>
    </w:p>
    <w:p w14:paraId="47457CF2"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rPr>
        <w:t xml:space="preserve">While each option tends to prioritise one sector or approach, some key institutions (e.g., African Development Bank) are working towards improving the quality of Africa’s growth by coupling inclusive growth (e.g., equality of treatment and opportunity, deep reductions in poverty and a correspondingly large increase in jobs) to green growth strategies (AfDB </w:t>
      </w:r>
      <w:r w:rsidRPr="009B0448">
        <w:rPr>
          <w:rFonts w:ascii="Times New Roman" w:hAnsi="Times New Roman" w:cs="Times New Roman"/>
          <w:i/>
        </w:rPr>
        <w:t>et al.</w:t>
      </w:r>
      <w:r w:rsidRPr="009B0448">
        <w:rPr>
          <w:rFonts w:ascii="Times New Roman" w:hAnsi="Times New Roman" w:cs="Times New Roman"/>
        </w:rPr>
        <w:t xml:space="preserve">, 2015). </w:t>
      </w:r>
      <w:r w:rsidRPr="009B0448">
        <w:rPr>
          <w:rFonts w:ascii="Times New Roman" w:eastAsia="Times New Roman" w:hAnsi="Times New Roman" w:cs="Times New Roman"/>
        </w:rPr>
        <w:t>It is thus imperative that its economy becomes more diversified over the next two decades in order to sustain future export-driven growth. Africa Development Bank and the World bank have noted that economies that do not diversify from their fossil or limited resource dependency, and/or fail to give adequate attention to the ecological impacts</w:t>
      </w:r>
      <w:r w:rsidRPr="009B0448">
        <w:rPr>
          <w:rFonts w:ascii="MS Mincho" w:eastAsia="MS Mincho" w:hAnsi="MS Mincho" w:cs="MS Mincho" w:hint="eastAsia"/>
        </w:rPr>
        <w:t> </w:t>
      </w:r>
      <w:r w:rsidRPr="009B0448">
        <w:rPr>
          <w:rFonts w:ascii="Times New Roman" w:eastAsia="Times New Roman" w:hAnsi="Times New Roman" w:cs="Times New Roman"/>
        </w:rPr>
        <w:t xml:space="preserve">of resource extraction, will face the challenge of stranded assets, increasingly competitive global markets, and degraded ecological and infrastructure systems in the future (AfDB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w:t>
      </w:r>
    </w:p>
    <w:p w14:paraId="4FD7275B" w14:textId="77777777" w:rsidR="009B0448" w:rsidRPr="009B0448" w:rsidRDefault="009B0448" w:rsidP="009B0448">
      <w:pPr>
        <w:spacing w:line="276" w:lineRule="auto"/>
        <w:jc w:val="both"/>
        <w:rPr>
          <w:rFonts w:ascii="Times New Roman" w:eastAsia="Times New Roman" w:hAnsi="Times New Roman" w:cs="Times New Roman"/>
        </w:rPr>
      </w:pPr>
    </w:p>
    <w:p w14:paraId="0C0DA6ED"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rPr>
        <w:t xml:space="preserve">One may highlight the lack of </w:t>
      </w:r>
      <w:r w:rsidRPr="009B0448">
        <w:rPr>
          <w:rFonts w:ascii="Times New Roman" w:hAnsi="Times New Roman" w:cs="Times New Roman"/>
          <w:color w:val="auto"/>
        </w:rPr>
        <w:t xml:space="preserve">practical fiscal regimes to finance the required shifts in behaviour towards pro-biodiversity development pathways. Indeed, current fiscal systems worldwide typically ignore environmental and social externalities and are focused on taxing (or exonerating from tax) capital and labour. Defined by the Organisation for Economic Co-operation and Development and World Bank as a ‘range of taxation and pricing measures that can raise fiscal revenues while furthering environmental goals’, environmental or green fiscal reform has been and is being implemented in different ways on the African continent (van Kerckhoven </w:t>
      </w:r>
      <w:r w:rsidRPr="009B0448">
        <w:rPr>
          <w:rFonts w:ascii="Times New Roman" w:hAnsi="Times New Roman" w:cs="Times New Roman"/>
          <w:i/>
          <w:color w:val="auto"/>
        </w:rPr>
        <w:t>et al.</w:t>
      </w:r>
      <w:r w:rsidRPr="009B0448">
        <w:rPr>
          <w:rFonts w:ascii="Times New Roman" w:hAnsi="Times New Roman" w:cs="Times New Roman"/>
          <w:color w:val="auto"/>
        </w:rPr>
        <w:t>, 2014). The pool of available tools includes environmental tax reform, the reform of environmentally harmful subsidies, (auctioning) permits to pollute or exploit a resource, charges, levies and fines for environmentally damaging activities, as well as the wider discourse on getting the prices right which incorporates positive incentives such as payments for ecosystem services.</w:t>
      </w:r>
    </w:p>
    <w:p w14:paraId="02C995E9"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320" w:name="_Toc503032797"/>
      <w:bookmarkStart w:id="321" w:name="_Toc519499971"/>
      <w:r w:rsidRPr="009B0448">
        <w:rPr>
          <w:rFonts w:cs="Times New Roman"/>
          <w:sz w:val="22"/>
          <w:szCs w:val="22"/>
        </w:rPr>
        <w:t>African Economic Community</w:t>
      </w:r>
      <w:bookmarkEnd w:id="320"/>
      <w:bookmarkEnd w:id="321"/>
    </w:p>
    <w:p w14:paraId="0A88CDE2" w14:textId="4E56ED76" w:rsidR="009B0448" w:rsidRPr="009B0448" w:rsidRDefault="009B0448" w:rsidP="009B0448">
      <w:pPr>
        <w:spacing w:line="276" w:lineRule="auto"/>
        <w:jc w:val="both"/>
        <w:rPr>
          <w:rFonts w:ascii="Times New Roman" w:eastAsia="Times New Roman" w:hAnsi="Times New Roman" w:cs="Times New Roman"/>
          <w:color w:val="333333"/>
        </w:rPr>
      </w:pPr>
      <w:r w:rsidRPr="009B0448">
        <w:rPr>
          <w:rFonts w:ascii="Times New Roman" w:eastAsia="Times New Roman" w:hAnsi="Times New Roman" w:cs="Times New Roman"/>
          <w:color w:val="1A1A1A"/>
        </w:rPr>
        <w:t xml:space="preserve">The African Economic Community is composed of </w:t>
      </w:r>
      <w:r w:rsidRPr="009B0448">
        <w:rPr>
          <w:rFonts w:ascii="Times New Roman" w:eastAsia="Times New Roman" w:hAnsi="Times New Roman" w:cs="Times New Roman"/>
        </w:rPr>
        <w:t xml:space="preserve">multiple </w:t>
      </w:r>
      <w:r w:rsidRPr="00B84A1D">
        <w:rPr>
          <w:rFonts w:ascii="Times New Roman" w:hAnsi="Times New Roman" w:cs="Times New Roman"/>
        </w:rPr>
        <w:t>regional blocs</w:t>
      </w:r>
      <w:r w:rsidRPr="009B0448">
        <w:rPr>
          <w:rFonts w:ascii="Times New Roman" w:eastAsia="Times New Roman" w:hAnsi="Times New Roman" w:cs="Times New Roman"/>
        </w:rPr>
        <w:t xml:space="preserve"> also known as. These consist primarily of </w:t>
      </w:r>
      <w:r w:rsidRPr="00B84A1D">
        <w:rPr>
          <w:rFonts w:ascii="Times New Roman" w:hAnsi="Times New Roman" w:cs="Times New Roman"/>
        </w:rPr>
        <w:t>trade blocs</w:t>
      </w:r>
      <w:r w:rsidRPr="009B0448">
        <w:rPr>
          <w:rFonts w:ascii="Times New Roman" w:eastAsia="Times New Roman" w:hAnsi="Times New Roman" w:cs="Times New Roman"/>
        </w:rPr>
        <w:t xml:space="preserve"> with </w:t>
      </w:r>
      <w:r w:rsidRPr="009B0448">
        <w:rPr>
          <w:rFonts w:ascii="Times New Roman" w:eastAsia="Times New Roman" w:hAnsi="Times New Roman" w:cs="Times New Roman"/>
          <w:color w:val="1A1A1A"/>
        </w:rPr>
        <w:t xml:space="preserve">many overlapping memberships. </w:t>
      </w:r>
      <w:r w:rsidRPr="009B0448">
        <w:rPr>
          <w:rFonts w:ascii="Times New Roman" w:eastAsia="Times New Roman" w:hAnsi="Times New Roman" w:cs="Times New Roman"/>
        </w:rPr>
        <w:t>Regional integration and trading blocs were created as a means to achieve sustained development and increase participation in the global economy (Ntara, 2016).</w:t>
      </w:r>
      <w:r w:rsidRPr="009B0448">
        <w:rPr>
          <w:rFonts w:ascii="Times New Roman" w:eastAsia="Times New Roman" w:hAnsi="Times New Roman" w:cs="Times New Roman"/>
          <w:b/>
        </w:rPr>
        <w:t xml:space="preserve"> </w:t>
      </w:r>
      <w:r w:rsidRPr="009B0448">
        <w:rPr>
          <w:rFonts w:ascii="Times New Roman" w:eastAsia="Times New Roman" w:hAnsi="Times New Roman" w:cs="Times New Roman"/>
        </w:rPr>
        <w:t xml:space="preserve">Poverty levels in the blocs remain high suggesting low impact of the regional economic communities in enhancing socioeconomic development in partner states (Sako, 2006). </w:t>
      </w:r>
      <w:r w:rsidRPr="009B0448">
        <w:rPr>
          <w:rFonts w:ascii="Times New Roman" w:eastAsia="Times New Roman" w:hAnsi="Times New Roman" w:cs="Times New Roman"/>
          <w:color w:val="333333"/>
        </w:rPr>
        <w:t>Majority of the poor live in rural areas and depend directly or indirectly on terrestrial, inland waters and marine natural systems for income generation. Thus by not stemming poverty overexploitation of these resources has contributed to accelerated degradation impacting on biodiversity and nature’s contributions to people.</w:t>
      </w:r>
    </w:p>
    <w:p w14:paraId="3D4F2076" w14:textId="42E68986"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22" w:name="_Toc503032798"/>
      <w:bookmarkStart w:id="323" w:name="_Toc519499972"/>
      <w:r w:rsidRPr="009B0448">
        <w:rPr>
          <w:rFonts w:cs="Times New Roman"/>
          <w:i w:val="0"/>
          <w:sz w:val="22"/>
          <w:szCs w:val="22"/>
        </w:rPr>
        <w:t>Populati</w:t>
      </w:r>
      <w:r w:rsidR="00C813C5">
        <w:rPr>
          <w:rFonts w:cs="Times New Roman"/>
          <w:i w:val="0"/>
          <w:sz w:val="22"/>
          <w:szCs w:val="22"/>
        </w:rPr>
        <w:t>on growth, migration and urbanis</w:t>
      </w:r>
      <w:r w:rsidRPr="009B0448">
        <w:rPr>
          <w:rFonts w:cs="Times New Roman"/>
          <w:i w:val="0"/>
          <w:sz w:val="22"/>
          <w:szCs w:val="22"/>
        </w:rPr>
        <w:t>ation</w:t>
      </w:r>
      <w:bookmarkEnd w:id="322"/>
      <w:bookmarkEnd w:id="323"/>
    </w:p>
    <w:p w14:paraId="1F9D12AC" w14:textId="4827C2CB"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African population is projected to nearly double from around one billion in 2010 to almost two billion by 2040, and may well reach 3 billion by 2070 (UN, 2014; Boke-Olén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2017; Figure 4.22). Countries that have the highest population growth rate in sub-Saharan Africa include Zimbabwe (4.36%), South Sudan (4.12%), Malawi (3.3%), Niger (3.28%), Burundi (3.28%) and Uganda (3.24%) (World Atlas, 2016). This rapid population growth </w:t>
      </w:r>
      <w:r w:rsidR="00C813C5">
        <w:rPr>
          <w:rFonts w:ascii="Times New Roman" w:eastAsia="Times New Roman" w:hAnsi="Times New Roman" w:cs="Times New Roman"/>
        </w:rPr>
        <w:t>is impacting urbanis</w:t>
      </w:r>
      <w:r w:rsidRPr="009B0448">
        <w:rPr>
          <w:rFonts w:ascii="Times New Roman" w:eastAsia="Times New Roman" w:hAnsi="Times New Roman" w:cs="Times New Roman"/>
        </w:rPr>
        <w:t xml:space="preserve">ation, a driving force behind many socio-environmental issues (Heynen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Human migration in Africa besides rural-urban trends is also caused by conflicts in the region, deprivation of communities to their rightful land due to private acquisitions and infrastructural development, leading to disruption of ecosystems. The adverse effect of global warming will also increase rural-to-urban migration thus putting more urban infrastructure at greater risk due to extreme weather events. Available evidence suggests that natural population growth in cities is more important than migration and displacement in explaining the role of humans in influencing environmental change on the African continent (Parnell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2011).</w:t>
      </w:r>
    </w:p>
    <w:p w14:paraId="67E2036F" w14:textId="03743159"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6D664B18" wp14:editId="38AE95BF">
            <wp:extent cx="5719285" cy="3907857"/>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060">
                      <a:extLst>
                        <a:ext uri="{28A0092B-C50C-407E-A947-70E740481C1C}">
                          <a14:useLocalDpi xmlns:a14="http://schemas.microsoft.com/office/drawing/2010/main" val="0"/>
                        </a:ext>
                      </a:extLst>
                    </a:blip>
                    <a:stretch>
                      <a:fillRect/>
                    </a:stretch>
                  </pic:blipFill>
                  <pic:spPr bwMode="auto">
                    <a:xfrm>
                      <a:off x="0" y="0"/>
                      <a:ext cx="5724905" cy="3911697"/>
                    </a:xfrm>
                    <a:prstGeom prst="rect">
                      <a:avLst/>
                    </a:prstGeom>
                    <a:noFill/>
                    <a:ln>
                      <a:noFill/>
                    </a:ln>
                  </pic:spPr>
                </pic:pic>
              </a:graphicData>
            </a:graphic>
          </wp:inline>
        </w:drawing>
      </w:r>
    </w:p>
    <w:p w14:paraId="64AAA6F1" w14:textId="77777777" w:rsidR="009B0448" w:rsidRPr="009B0448" w:rsidRDefault="009B0448" w:rsidP="009B0448">
      <w:pPr>
        <w:spacing w:line="276" w:lineRule="auto"/>
        <w:jc w:val="both"/>
        <w:rPr>
          <w:rFonts w:ascii="Times New Roman" w:eastAsia="Times New Roman" w:hAnsi="Times New Roman" w:cs="Times New Roman"/>
          <w:b/>
        </w:rPr>
      </w:pPr>
    </w:p>
    <w:p w14:paraId="01D361CB" w14:textId="7A28B7D8"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 xml:space="preserve">Figure 4.22: </w:t>
      </w:r>
      <w:r w:rsidRPr="009B0448">
        <w:rPr>
          <w:rFonts w:ascii="Times New Roman" w:eastAsia="Times New Roman" w:hAnsi="Times New Roman" w:cs="Times New Roman"/>
        </w:rPr>
        <w:t>Population density in Africa in</w:t>
      </w:r>
      <w:r w:rsidR="00C813C5">
        <w:rPr>
          <w:rFonts w:ascii="Times New Roman" w:eastAsia="Times New Roman" w:hAnsi="Times New Roman" w:cs="Times New Roman"/>
        </w:rPr>
        <w:t xml:space="preserve"> 2010 (left) and 2050 (right) (</w:t>
      </w:r>
      <w:r w:rsidRPr="009B0448">
        <w:rPr>
          <w:rFonts w:ascii="Times New Roman" w:eastAsia="Times New Roman" w:hAnsi="Times New Roman" w:cs="Times New Roman"/>
        </w:rPr>
        <w:t xml:space="preserve">population datasets and SSP 2 and RCP 4.5). Source: Pesche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Boke-Olén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(2017).</w:t>
      </w:r>
    </w:p>
    <w:p w14:paraId="255B4DFD" w14:textId="2606499B" w:rsidR="009B0448" w:rsidRPr="009B0448" w:rsidRDefault="00C813C5"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324" w:name="_Toc503032799"/>
      <w:bookmarkStart w:id="325" w:name="_Toc519499973"/>
      <w:r>
        <w:rPr>
          <w:rFonts w:cs="Times New Roman"/>
          <w:sz w:val="22"/>
          <w:szCs w:val="22"/>
        </w:rPr>
        <w:t>Urbanis</w:t>
      </w:r>
      <w:r w:rsidR="009B0448" w:rsidRPr="009B0448">
        <w:rPr>
          <w:rFonts w:cs="Times New Roman"/>
          <w:sz w:val="22"/>
          <w:szCs w:val="22"/>
        </w:rPr>
        <w:t>ation trends</w:t>
      </w:r>
      <w:bookmarkEnd w:id="324"/>
      <w:bookmarkEnd w:id="325"/>
    </w:p>
    <w:p w14:paraId="3ACBA0F4" w14:textId="4459A240" w:rsidR="009B0448" w:rsidRPr="009B0448" w:rsidRDefault="009B0448" w:rsidP="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rPr>
        <w:t xml:space="preserve">In 2003, 39% of Africa's 850 million people lived in urban settings and this is projected to rise to 54% by 2030 (Hay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Overall, about half of the African population, i.e., 1.2 billion people, will live in a city by 2050 (Hay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w:t>
      </w:r>
      <w:r w:rsidRPr="009B0448">
        <w:rPr>
          <w:rFonts w:ascii="Times New Roman" w:eastAsia="Times New Roman" w:hAnsi="Times New Roman" w:cs="Times New Roman"/>
          <w:color w:val="262626"/>
        </w:rPr>
        <w:t>However, there are large varia</w:t>
      </w:r>
      <w:r w:rsidR="00C813C5">
        <w:rPr>
          <w:rFonts w:ascii="Times New Roman" w:eastAsia="Times New Roman" w:hAnsi="Times New Roman" w:cs="Times New Roman"/>
          <w:color w:val="262626"/>
        </w:rPr>
        <w:t>tions in the patterns of urbanis</w:t>
      </w:r>
      <w:r w:rsidRPr="009B0448">
        <w:rPr>
          <w:rFonts w:ascii="Times New Roman" w:eastAsia="Times New Roman" w:hAnsi="Times New Roman" w:cs="Times New Roman"/>
          <w:color w:val="262626"/>
        </w:rPr>
        <w:t xml:space="preserve">ation across African regions (Table 4.8). </w:t>
      </w:r>
    </w:p>
    <w:p w14:paraId="30CC827C" w14:textId="1CB39908" w:rsidR="009B0448" w:rsidRPr="009B0448" w:rsidRDefault="009B0448" w:rsidP="009B0448">
      <w:pPr>
        <w:rPr>
          <w:rFonts w:ascii="Times New Roman" w:eastAsia="Times New Roman" w:hAnsi="Times New Roman" w:cs="Times New Roman"/>
          <w:b/>
          <w:color w:val="262626"/>
        </w:rPr>
      </w:pPr>
    </w:p>
    <w:p w14:paraId="30B6AC8F" w14:textId="144A9558" w:rsidR="009B0448" w:rsidRPr="009B0448" w:rsidRDefault="009B0448" w:rsidP="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b/>
          <w:color w:val="262626"/>
        </w:rPr>
        <w:t>Table 4.8:</w:t>
      </w:r>
      <w:r w:rsidRPr="009B0448">
        <w:rPr>
          <w:rFonts w:ascii="Times New Roman" w:eastAsia="Times New Roman" w:hAnsi="Times New Roman" w:cs="Times New Roman"/>
          <w:color w:val="262626"/>
        </w:rPr>
        <w:t xml:space="preserve"> Urbanisation in African </w:t>
      </w:r>
      <w:r w:rsidR="00B22D81">
        <w:rPr>
          <w:rFonts w:ascii="Times New Roman" w:eastAsia="Times New Roman" w:hAnsi="Times New Roman" w:cs="Times New Roman"/>
          <w:color w:val="262626"/>
        </w:rPr>
        <w:t>subregion</w:t>
      </w:r>
      <w:r w:rsidRPr="009B0448">
        <w:rPr>
          <w:rFonts w:ascii="Times New Roman" w:eastAsia="Times New Roman" w:hAnsi="Times New Roman" w:cs="Times New Roman"/>
          <w:color w:val="262626"/>
        </w:rPr>
        <w:t>s: percent of populations in urban areas. Source: UN (2011).</w:t>
      </w:r>
    </w:p>
    <w:tbl>
      <w:tblPr>
        <w:tblStyle w:val="GridTable4-Accent31"/>
        <w:tblW w:w="0" w:type="dxa"/>
        <w:tblLayout w:type="fixed"/>
        <w:tblLook w:val="0400" w:firstRow="0" w:lastRow="0" w:firstColumn="0" w:lastColumn="0" w:noHBand="0" w:noVBand="1"/>
      </w:tblPr>
      <w:tblGrid>
        <w:gridCol w:w="2253"/>
        <w:gridCol w:w="1692"/>
        <w:gridCol w:w="1692"/>
        <w:gridCol w:w="1692"/>
        <w:gridCol w:w="1687"/>
      </w:tblGrid>
      <w:tr w:rsidR="009B0448" w:rsidRPr="009B0448" w14:paraId="7CABA838" w14:textId="77777777" w:rsidTr="009B0448">
        <w:trPr>
          <w:cnfStyle w:val="000000100000" w:firstRow="0" w:lastRow="0" w:firstColumn="0" w:lastColumn="0" w:oddVBand="0" w:evenVBand="0" w:oddHBand="1" w:evenHBand="0" w:firstRowFirstColumn="0" w:firstRowLastColumn="0" w:lastRowFirstColumn="0" w:lastRowLastColumn="0"/>
        </w:trPr>
        <w:tc>
          <w:tcPr>
            <w:tcW w:w="225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B06B7CC" w14:textId="77777777" w:rsidR="009B0448" w:rsidRPr="009B0448" w:rsidRDefault="009B0448">
            <w:pPr>
              <w:spacing w:line="276" w:lineRule="auto"/>
              <w:jc w:val="both"/>
              <w:rPr>
                <w:rFonts w:ascii="Times New Roman" w:eastAsia="Times New Roman" w:hAnsi="Times New Roman" w:cs="Times New Roman"/>
                <w:b/>
                <w:color w:val="262626"/>
              </w:rPr>
            </w:pPr>
            <w:r w:rsidRPr="009B0448">
              <w:rPr>
                <w:rFonts w:ascii="Times New Roman" w:eastAsia="Times New Roman" w:hAnsi="Times New Roman" w:cs="Times New Roman"/>
                <w:b/>
                <w:color w:val="262626"/>
              </w:rPr>
              <w:t>Region</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BC602BE" w14:textId="77777777" w:rsidR="009B0448" w:rsidRPr="009B0448" w:rsidRDefault="009B0448">
            <w:pPr>
              <w:spacing w:line="276" w:lineRule="auto"/>
              <w:jc w:val="both"/>
              <w:rPr>
                <w:rFonts w:ascii="Times New Roman" w:eastAsia="Times New Roman" w:hAnsi="Times New Roman" w:cs="Times New Roman"/>
                <w:b/>
                <w:color w:val="262626"/>
              </w:rPr>
            </w:pPr>
            <w:r w:rsidRPr="009B0448">
              <w:rPr>
                <w:rFonts w:ascii="Times New Roman" w:eastAsia="Times New Roman" w:hAnsi="Times New Roman" w:cs="Times New Roman"/>
                <w:b/>
                <w:color w:val="262626"/>
              </w:rPr>
              <w:t>1950</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6643A1E" w14:textId="77777777" w:rsidR="009B0448" w:rsidRPr="009B0448" w:rsidRDefault="009B0448">
            <w:pPr>
              <w:spacing w:line="276" w:lineRule="auto"/>
              <w:jc w:val="both"/>
              <w:rPr>
                <w:rFonts w:ascii="Times New Roman" w:eastAsia="Times New Roman" w:hAnsi="Times New Roman" w:cs="Times New Roman"/>
                <w:b/>
                <w:color w:val="262626"/>
              </w:rPr>
            </w:pPr>
            <w:r w:rsidRPr="009B0448">
              <w:rPr>
                <w:rFonts w:ascii="Times New Roman" w:eastAsia="Times New Roman" w:hAnsi="Times New Roman" w:cs="Times New Roman"/>
                <w:b/>
                <w:color w:val="262626"/>
              </w:rPr>
              <w:t>1975</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E167DEA" w14:textId="77777777" w:rsidR="009B0448" w:rsidRPr="009B0448" w:rsidRDefault="009B0448">
            <w:pPr>
              <w:spacing w:line="276" w:lineRule="auto"/>
              <w:jc w:val="both"/>
              <w:rPr>
                <w:rFonts w:ascii="Times New Roman" w:eastAsia="Times New Roman" w:hAnsi="Times New Roman" w:cs="Times New Roman"/>
                <w:b/>
                <w:color w:val="262626"/>
              </w:rPr>
            </w:pPr>
            <w:r w:rsidRPr="009B0448">
              <w:rPr>
                <w:rFonts w:ascii="Times New Roman" w:eastAsia="Times New Roman" w:hAnsi="Times New Roman" w:cs="Times New Roman"/>
                <w:b/>
                <w:color w:val="262626"/>
              </w:rPr>
              <w:t>1995</w:t>
            </w:r>
          </w:p>
        </w:tc>
        <w:tc>
          <w:tcPr>
            <w:tcW w:w="168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FE9854D" w14:textId="77777777" w:rsidR="009B0448" w:rsidRPr="009B0448" w:rsidRDefault="009B0448">
            <w:pPr>
              <w:spacing w:line="276" w:lineRule="auto"/>
              <w:jc w:val="both"/>
              <w:rPr>
                <w:rFonts w:ascii="Times New Roman" w:eastAsia="Times New Roman" w:hAnsi="Times New Roman" w:cs="Times New Roman"/>
                <w:b/>
                <w:color w:val="262626"/>
              </w:rPr>
            </w:pPr>
            <w:r w:rsidRPr="009B0448">
              <w:rPr>
                <w:rFonts w:ascii="Times New Roman" w:eastAsia="Times New Roman" w:hAnsi="Times New Roman" w:cs="Times New Roman"/>
                <w:b/>
                <w:color w:val="262626"/>
              </w:rPr>
              <w:t>2025</w:t>
            </w:r>
          </w:p>
        </w:tc>
      </w:tr>
      <w:tr w:rsidR="009B0448" w:rsidRPr="009B0448" w14:paraId="53344559" w14:textId="77777777" w:rsidTr="009B0448">
        <w:tc>
          <w:tcPr>
            <w:tcW w:w="225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06176F6"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East Africa</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61D96B5"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5.5</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82B6158"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12.3</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03421A4E"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19.4</w:t>
            </w:r>
          </w:p>
        </w:tc>
        <w:tc>
          <w:tcPr>
            <w:tcW w:w="168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9F7D1B1"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44.7</w:t>
            </w:r>
          </w:p>
        </w:tc>
      </w:tr>
      <w:tr w:rsidR="009B0448" w:rsidRPr="009B0448" w14:paraId="6089BCCA" w14:textId="77777777" w:rsidTr="009B0448">
        <w:trPr>
          <w:cnfStyle w:val="000000100000" w:firstRow="0" w:lastRow="0" w:firstColumn="0" w:lastColumn="0" w:oddVBand="0" w:evenVBand="0" w:oddHBand="1" w:evenHBand="0" w:firstRowFirstColumn="0" w:firstRowLastColumn="0" w:lastRowFirstColumn="0" w:lastRowLastColumn="0"/>
        </w:trPr>
        <w:tc>
          <w:tcPr>
            <w:tcW w:w="225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7555435"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Central Africa</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F8C25CF"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14</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E9344A5"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27</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2BD74F6"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34.2</w:t>
            </w:r>
          </w:p>
        </w:tc>
        <w:tc>
          <w:tcPr>
            <w:tcW w:w="168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93CE77E"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61.5</w:t>
            </w:r>
          </w:p>
        </w:tc>
      </w:tr>
      <w:tr w:rsidR="009B0448" w:rsidRPr="009B0448" w14:paraId="6C330B4B" w14:textId="77777777" w:rsidTr="009B0448">
        <w:tc>
          <w:tcPr>
            <w:tcW w:w="225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F1C806E"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Southern Africa</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377B6C8"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37.7</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2ABE0B0"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44.2</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56D78518"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51.4</w:t>
            </w:r>
          </w:p>
        </w:tc>
        <w:tc>
          <w:tcPr>
            <w:tcW w:w="168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519DCA9"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74</w:t>
            </w:r>
          </w:p>
        </w:tc>
      </w:tr>
      <w:tr w:rsidR="009B0448" w:rsidRPr="009B0448" w14:paraId="43B5F294" w14:textId="77777777" w:rsidTr="009B0448">
        <w:trPr>
          <w:cnfStyle w:val="000000100000" w:firstRow="0" w:lastRow="0" w:firstColumn="0" w:lastColumn="0" w:oddVBand="0" w:evenVBand="0" w:oddHBand="1" w:evenHBand="0" w:firstRowFirstColumn="0" w:firstRowLastColumn="0" w:lastRowFirstColumn="0" w:lastRowLastColumn="0"/>
        </w:trPr>
        <w:tc>
          <w:tcPr>
            <w:tcW w:w="225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7D453C85"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Western Africa</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42FB951"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9.7</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5E55423"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24.1</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19D971EC"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35.7</w:t>
            </w:r>
          </w:p>
        </w:tc>
        <w:tc>
          <w:tcPr>
            <w:tcW w:w="168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5F42ED8"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65.7</w:t>
            </w:r>
          </w:p>
        </w:tc>
      </w:tr>
      <w:tr w:rsidR="009B0448" w:rsidRPr="009B0448" w14:paraId="44E146D7" w14:textId="77777777" w:rsidTr="009B0448">
        <w:tc>
          <w:tcPr>
            <w:tcW w:w="2253"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627F700"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North Africa</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363B8FAB"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25.8</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260376B4"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39.3</w:t>
            </w:r>
          </w:p>
        </w:tc>
        <w:tc>
          <w:tcPr>
            <w:tcW w:w="1692"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6DED9A39"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47.2</w:t>
            </w:r>
          </w:p>
        </w:tc>
        <w:tc>
          <w:tcPr>
            <w:tcW w:w="1687" w:type="dxa"/>
            <w:tc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tcBorders>
            <w:hideMark/>
          </w:tcPr>
          <w:p w14:paraId="4F427DCF" w14:textId="77777777" w:rsidR="009B0448" w:rsidRPr="009B0448" w:rsidRDefault="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color w:val="262626"/>
              </w:rPr>
              <w:t>65.3</w:t>
            </w:r>
          </w:p>
        </w:tc>
      </w:tr>
    </w:tbl>
    <w:p w14:paraId="11677B61" w14:textId="77777777" w:rsidR="009B0448" w:rsidRPr="009B0448" w:rsidRDefault="009B0448" w:rsidP="009B0448">
      <w:pPr>
        <w:spacing w:line="276" w:lineRule="auto"/>
        <w:jc w:val="both"/>
        <w:rPr>
          <w:rFonts w:ascii="Times New Roman" w:eastAsia="Times New Roman" w:hAnsi="Times New Roman" w:cs="Times New Roman"/>
          <w:color w:val="262626"/>
        </w:rPr>
      </w:pPr>
    </w:p>
    <w:p w14:paraId="49F4E079" w14:textId="665387B1"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color w:val="262626"/>
        </w:rPr>
        <w:t>North Africa has a higher proportion of urban population (47.8%) relative to sub</w:t>
      </w:r>
      <w:r w:rsidR="00B84A1D">
        <w:rPr>
          <w:rFonts w:ascii="Times New Roman" w:eastAsia="Times New Roman" w:hAnsi="Times New Roman" w:cs="Times New Roman"/>
          <w:color w:val="262626"/>
        </w:rPr>
        <w:t>-Saharan Africa (SSA) (32.8%) (</w:t>
      </w:r>
      <w:r w:rsidRPr="009B0448">
        <w:rPr>
          <w:rFonts w:ascii="Times New Roman" w:eastAsia="Times New Roman" w:hAnsi="Times New Roman" w:cs="Times New Roman"/>
          <w:color w:val="262626"/>
        </w:rPr>
        <w:t>Figures 4.23 &amp; 4.24). Available data suggests that more than 50 million people in Africa will migrate to cities from rural areas with the cities growing twice as fast</w:t>
      </w:r>
      <w:r w:rsidRPr="009B0448">
        <w:rPr>
          <w:rFonts w:ascii="Times New Roman" w:eastAsia="Times New Roman" w:hAnsi="Times New Roman" w:cs="Times New Roman"/>
        </w:rPr>
        <w:t xml:space="preserve"> (by 100 million) just through natural in-city urban population growth. African cities will expand by 150 million people by 2020 (Parnell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2011).</w:t>
      </w:r>
    </w:p>
    <w:p w14:paraId="5254708D" w14:textId="77777777" w:rsidR="009B0448" w:rsidRPr="009B0448" w:rsidRDefault="009B0448" w:rsidP="009B0448">
      <w:pPr>
        <w:spacing w:line="276" w:lineRule="auto"/>
        <w:jc w:val="both"/>
        <w:rPr>
          <w:rFonts w:ascii="Times New Roman" w:eastAsia="Times New Roman" w:hAnsi="Times New Roman" w:cs="Times New Roman"/>
          <w:color w:val="262626"/>
        </w:rPr>
      </w:pPr>
    </w:p>
    <w:p w14:paraId="0C6EAEF6" w14:textId="1125D60B" w:rsidR="009B0448" w:rsidRPr="009B0448" w:rsidRDefault="009B0448" w:rsidP="009B0448">
      <w:pPr>
        <w:spacing w:line="276" w:lineRule="auto"/>
        <w:jc w:val="both"/>
        <w:rPr>
          <w:rFonts w:ascii="Times New Roman" w:eastAsia="Times New Roman" w:hAnsi="Times New Roman" w:cs="Times New Roman"/>
          <w:color w:val="262626"/>
        </w:rPr>
      </w:pPr>
      <w:r w:rsidRPr="009B0448">
        <w:rPr>
          <w:rFonts w:ascii="Times New Roman" w:hAnsi="Times New Roman" w:cs="Times New Roman"/>
          <w:noProof/>
          <w:lang w:eastAsia="en-GB"/>
        </w:rPr>
        <w:drawing>
          <wp:inline distT="0" distB="0" distL="0" distR="0" wp14:anchorId="085BD7C6" wp14:editId="62787805">
            <wp:extent cx="5697670" cy="5725330"/>
            <wp:effectExtent l="0" t="0" r="0" b="889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1061">
                      <a:extLst>
                        <a:ext uri="{28A0092B-C50C-407E-A947-70E740481C1C}">
                          <a14:useLocalDpi xmlns:a14="http://schemas.microsoft.com/office/drawing/2010/main" val="0"/>
                        </a:ext>
                      </a:extLst>
                    </a:blip>
                    <a:stretch>
                      <a:fillRect/>
                    </a:stretch>
                  </pic:blipFill>
                  <pic:spPr bwMode="auto">
                    <a:xfrm>
                      <a:off x="0" y="0"/>
                      <a:ext cx="5712195" cy="5739926"/>
                    </a:xfrm>
                    <a:prstGeom prst="rect">
                      <a:avLst/>
                    </a:prstGeom>
                    <a:noFill/>
                    <a:ln>
                      <a:noFill/>
                    </a:ln>
                  </pic:spPr>
                </pic:pic>
              </a:graphicData>
            </a:graphic>
          </wp:inline>
        </w:drawing>
      </w:r>
    </w:p>
    <w:p w14:paraId="0D3ACFC3" w14:textId="77777777" w:rsidR="009B0448" w:rsidRPr="009B0448" w:rsidRDefault="009B0448" w:rsidP="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b/>
        </w:rPr>
        <w:t xml:space="preserve">Figure 4.23: </w:t>
      </w:r>
      <w:r w:rsidRPr="009B0448">
        <w:rPr>
          <w:rFonts w:ascii="Times New Roman" w:eastAsia="Times New Roman" w:hAnsi="Times New Roman" w:cs="Times New Roman"/>
        </w:rPr>
        <w:t xml:space="preserve">Urban population distribution across Africa (i.e., urban agglomerations of over 10,000 inhabitants). Source: Pesche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w:t>
      </w:r>
    </w:p>
    <w:p w14:paraId="24412EC1" w14:textId="77777777" w:rsidR="009B0448" w:rsidRPr="009B0448" w:rsidRDefault="009B0448" w:rsidP="009B0448">
      <w:pPr>
        <w:spacing w:line="276" w:lineRule="auto"/>
        <w:jc w:val="both"/>
        <w:rPr>
          <w:rFonts w:ascii="Times New Roman" w:eastAsia="Times New Roman" w:hAnsi="Times New Roman" w:cs="Times New Roman"/>
          <w:color w:val="262626"/>
        </w:rPr>
      </w:pPr>
    </w:p>
    <w:p w14:paraId="73AB5D74" w14:textId="77777777" w:rsidR="009B0448" w:rsidRPr="009B0448" w:rsidRDefault="009B0448" w:rsidP="009B0448">
      <w:pPr>
        <w:spacing w:line="276" w:lineRule="auto"/>
        <w:rPr>
          <w:rFonts w:ascii="Times New Roman" w:eastAsia="Times New Roman" w:hAnsi="Times New Roman" w:cs="Times New Roman"/>
        </w:rPr>
      </w:pPr>
    </w:p>
    <w:p w14:paraId="102D25F4" w14:textId="698CD271" w:rsidR="009B0448" w:rsidRPr="009B0448" w:rsidRDefault="009B0448" w:rsidP="009B0448">
      <w:pPr>
        <w:spacing w:line="276" w:lineRule="auto"/>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46718ABD" wp14:editId="2033428D">
            <wp:extent cx="5730240" cy="3726180"/>
            <wp:effectExtent l="0" t="0" r="3810" b="762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5730240" cy="3726180"/>
                    </a:xfrm>
                    <a:prstGeom prst="rect">
                      <a:avLst/>
                    </a:prstGeom>
                    <a:noFill/>
                    <a:ln>
                      <a:noFill/>
                    </a:ln>
                  </pic:spPr>
                </pic:pic>
              </a:graphicData>
            </a:graphic>
          </wp:inline>
        </w:drawing>
      </w:r>
    </w:p>
    <w:p w14:paraId="2F15AA07"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color w:val="262626"/>
        </w:rPr>
        <w:t xml:space="preserve">Figure 4.24: </w:t>
      </w:r>
      <w:r w:rsidRPr="009B0448">
        <w:rPr>
          <w:rFonts w:ascii="Times New Roman" w:eastAsia="Times New Roman" w:hAnsi="Times New Roman" w:cs="Times New Roman"/>
          <w:color w:val="262626"/>
        </w:rPr>
        <w:t>Rates of urban population growth for different African subregions. Note: South Africa and not southern Africa in this context. Data s</w:t>
      </w:r>
      <w:r w:rsidRPr="009B0448">
        <w:rPr>
          <w:rFonts w:ascii="Times New Roman" w:eastAsia="Times New Roman" w:hAnsi="Times New Roman" w:cs="Times New Roman"/>
        </w:rPr>
        <w:t xml:space="preserve">ource: </w:t>
      </w:r>
      <w:hyperlink r:id="rId1063" w:history="1">
        <w:r w:rsidRPr="009B0448">
          <w:rPr>
            <w:rStyle w:val="Hyperlink"/>
            <w:rFonts w:ascii="Times New Roman" w:hAnsi="Times New Roman" w:cs="Times New Roman"/>
          </w:rPr>
          <w:t>https://esa.un.org/unpd/wup/cd-rom/</w:t>
        </w:r>
      </w:hyperlink>
    </w:p>
    <w:p w14:paraId="6D28A4B5" w14:textId="77777777" w:rsidR="009B0448" w:rsidRPr="009B0448" w:rsidRDefault="009B0448" w:rsidP="009B0448">
      <w:pPr>
        <w:spacing w:line="276" w:lineRule="auto"/>
        <w:jc w:val="both"/>
        <w:rPr>
          <w:rFonts w:ascii="Times New Roman" w:eastAsia="Times New Roman" w:hAnsi="Times New Roman" w:cs="Times New Roman"/>
          <w:b/>
          <w:color w:val="262626"/>
        </w:rPr>
      </w:pPr>
    </w:p>
    <w:p w14:paraId="4B43AF9C" w14:textId="3A493A68"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Rural-urban migration (Figure 4.25), pro-urban development strategies, and high population growth rates are among the mai</w:t>
      </w:r>
      <w:r w:rsidR="00C813C5">
        <w:rPr>
          <w:rFonts w:ascii="Times New Roman" w:eastAsia="Times New Roman" w:hAnsi="Times New Roman" w:cs="Times New Roman"/>
        </w:rPr>
        <w:t>n causes of urbanis</w:t>
      </w:r>
      <w:r w:rsidRPr="009B0448">
        <w:rPr>
          <w:rFonts w:ascii="Times New Roman" w:eastAsia="Times New Roman" w:hAnsi="Times New Roman" w:cs="Times New Roman"/>
        </w:rPr>
        <w:t>ation in Africa. Searching for alternative livelihoods or economic opportunities mostly influences rural-urban migrants. There is therefore a great need for policies in the continent that encourage sustainable and equitable development by, for example, directing growth to areas where it can be sustained or redirecting urban expansion to more energy-efficient areas (IPCC, 2013).</w:t>
      </w:r>
    </w:p>
    <w:p w14:paraId="7EB4D740" w14:textId="77777777" w:rsidR="009B0448" w:rsidRPr="009B0448" w:rsidRDefault="009B0448" w:rsidP="009B0448">
      <w:pPr>
        <w:spacing w:line="276" w:lineRule="auto"/>
        <w:jc w:val="both"/>
        <w:rPr>
          <w:rFonts w:ascii="Times New Roman" w:eastAsia="Times New Roman" w:hAnsi="Times New Roman" w:cs="Times New Roman"/>
        </w:rPr>
      </w:pPr>
    </w:p>
    <w:p w14:paraId="7AB29B72" w14:textId="228F4061"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0CE45D43" wp14:editId="1A1E8B29">
            <wp:extent cx="5707781" cy="5839234"/>
            <wp:effectExtent l="0" t="0" r="762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1064">
                      <a:extLst>
                        <a:ext uri="{28A0092B-C50C-407E-A947-70E740481C1C}">
                          <a14:useLocalDpi xmlns:a14="http://schemas.microsoft.com/office/drawing/2010/main" val="0"/>
                        </a:ext>
                      </a:extLst>
                    </a:blip>
                    <a:stretch>
                      <a:fillRect/>
                    </a:stretch>
                  </pic:blipFill>
                  <pic:spPr bwMode="auto">
                    <a:xfrm>
                      <a:off x="0" y="0"/>
                      <a:ext cx="5714695" cy="5846308"/>
                    </a:xfrm>
                    <a:prstGeom prst="rect">
                      <a:avLst/>
                    </a:prstGeom>
                    <a:noFill/>
                    <a:ln>
                      <a:noFill/>
                    </a:ln>
                  </pic:spPr>
                </pic:pic>
              </a:graphicData>
            </a:graphic>
          </wp:inline>
        </w:drawing>
      </w:r>
    </w:p>
    <w:p w14:paraId="31026584"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eastAsia="Times New Roman" w:hAnsi="Times New Roman" w:cs="Times New Roman"/>
          <w:b/>
          <w:color w:val="262626"/>
        </w:rPr>
        <w:t xml:space="preserve">Figure 4.25: </w:t>
      </w:r>
      <w:r w:rsidRPr="009B0448">
        <w:rPr>
          <w:rFonts w:ascii="Times New Roman" w:eastAsia="Times New Roman" w:hAnsi="Times New Roman" w:cs="Times New Roman"/>
          <w:color w:val="262626"/>
        </w:rPr>
        <w:t xml:space="preserve">Population migration across Africa and from Africa to the rest of the world in 2015. Source: </w:t>
      </w:r>
      <w:r w:rsidRPr="009B0448">
        <w:rPr>
          <w:rFonts w:ascii="Times New Roman" w:eastAsia="Times New Roman" w:hAnsi="Times New Roman" w:cs="Times New Roman"/>
        </w:rPr>
        <w:t xml:space="preserve">Pesche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w:t>
      </w:r>
      <w:bookmarkStart w:id="326" w:name="_Toc503032800"/>
    </w:p>
    <w:p w14:paraId="43FD5198" w14:textId="42E2495C"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327" w:name="_Toc519499974"/>
      <w:r w:rsidRPr="009B0448">
        <w:rPr>
          <w:rFonts w:cs="Times New Roman"/>
          <w:sz w:val="22"/>
          <w:szCs w:val="22"/>
        </w:rPr>
        <w:t>E</w:t>
      </w:r>
      <w:r w:rsidR="00C813C5">
        <w:rPr>
          <w:rFonts w:cs="Times New Roman"/>
          <w:sz w:val="22"/>
          <w:szCs w:val="22"/>
        </w:rPr>
        <w:t>nvironmental outcomes of urbanis</w:t>
      </w:r>
      <w:r w:rsidRPr="009B0448">
        <w:rPr>
          <w:rFonts w:cs="Times New Roman"/>
          <w:sz w:val="22"/>
          <w:szCs w:val="22"/>
        </w:rPr>
        <w:t>ation</w:t>
      </w:r>
      <w:bookmarkEnd w:id="326"/>
      <w:bookmarkEnd w:id="327"/>
    </w:p>
    <w:p w14:paraId="6830097C"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Urban populations interact with their environment and change their environment through consumption of food, energy, water, and land. In turn, the polluted urban environment that is a function of consumption of resources and production of waste affects the health and quality of life of the urban population. Many of the effects of urban areas on the environment are not necessarily linear. Bigger urban areas do not always create more environmental problems. And small urban areas can cause large problems. Much of what determines the extent of the environmental impacts is how the urban populations behave–their consumption and living patterns–not just how large they are (Torrey, 2004). Further, development of infrastructure in urban areas enables them to cope better with the demands posed by the concentration of large numbers of people in limited spaces. Thus, wastewater works and drainage systems are critical to supporting urban populations and to mitigating the impacts of waste and pollution on the environment.</w:t>
      </w:r>
    </w:p>
    <w:p w14:paraId="15E8CF03"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328" w:name="_Toc519499975"/>
      <w:r w:rsidRPr="009B0448">
        <w:rPr>
          <w:rFonts w:cs="Times New Roman"/>
          <w:b w:val="0"/>
          <w:sz w:val="22"/>
          <w:szCs w:val="22"/>
        </w:rPr>
        <w:t>Land and wildlife habitats degradation</w:t>
      </w:r>
      <w:bookmarkEnd w:id="328"/>
    </w:p>
    <w:p w14:paraId="1F5A6E53" w14:textId="47C6EE50"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pressure on ecosystem functions and services, particularly water and food (plant and animal based) causes an increase on the dependence on and demand for conversion of natural ecosystems into production landscapes, hence compromising biodiversity. Among the many human activities that</w:t>
      </w:r>
      <w:r w:rsidRPr="009B0448">
        <w:rPr>
          <w:rFonts w:ascii="Times New Roman" w:eastAsia="Times New Roman" w:hAnsi="Times New Roman" w:cs="Times New Roman"/>
          <w:b/>
        </w:rPr>
        <w:t xml:space="preserve"> </w:t>
      </w:r>
      <w:r w:rsidRPr="009B0448">
        <w:rPr>
          <w:rFonts w:ascii="Times New Roman" w:eastAsia="Times New Roman" w:hAnsi="Times New Roman" w:cs="Times New Roman"/>
        </w:rPr>
        <w:t>cause habitat loss, urban development produces some of the greatest local extinction rates and frequently eliminates the large majority of native species</w:t>
      </w:r>
      <w:r w:rsidR="00C813C5">
        <w:rPr>
          <w:rFonts w:ascii="Times New Roman" w:eastAsia="Times New Roman" w:hAnsi="Times New Roman" w:cs="Times New Roman"/>
        </w:rPr>
        <w:t xml:space="preserve"> (Marzluff, 2001). Also, urbanis</w:t>
      </w:r>
      <w:r w:rsidRPr="009B0448">
        <w:rPr>
          <w:rFonts w:ascii="Times New Roman" w:eastAsia="Times New Roman" w:hAnsi="Times New Roman" w:cs="Times New Roman"/>
        </w:rPr>
        <w:t>ation is often more lasting than other types of habitat loss. Throughout much of New England, for example, ecological succession is restoring forest habitat loss from farming and logging, whereas mo</w:t>
      </w:r>
      <w:r w:rsidR="00C813C5">
        <w:rPr>
          <w:rFonts w:ascii="Times New Roman" w:eastAsia="Times New Roman" w:hAnsi="Times New Roman" w:cs="Times New Roman"/>
        </w:rPr>
        <w:t>st urbanis</w:t>
      </w:r>
      <w:r w:rsidRPr="009B0448">
        <w:rPr>
          <w:rFonts w:ascii="Times New Roman" w:eastAsia="Times New Roman" w:hAnsi="Times New Roman" w:cs="Times New Roman"/>
        </w:rPr>
        <w:t xml:space="preserve">ed areas in that region not only persist but continue to expand and threaten other local ecosystems (Stein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2000). In addition, most policies prioritize human settlements or other land-use over wildlife. This has led to fragmentation of wildlife habitats and populations and reduced ecological connectivity. Policies that have historically excluded communities in biodiversity conservation has led to loss of indigenous practices, and increased incidences of human/wildlife conflicts. </w:t>
      </w:r>
    </w:p>
    <w:p w14:paraId="6B471D86"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329" w:name="_Toc519499976"/>
      <w:r w:rsidRPr="009B0448">
        <w:rPr>
          <w:rFonts w:cs="Times New Roman"/>
          <w:b w:val="0"/>
          <w:sz w:val="22"/>
          <w:szCs w:val="22"/>
        </w:rPr>
        <w:t>Energy systems and climate change</w:t>
      </w:r>
      <w:bookmarkEnd w:id="329"/>
    </w:p>
    <w:p w14:paraId="22448070" w14:textId="6B5948B0"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Both population and urbani</w:t>
      </w:r>
      <w:r w:rsidR="00C813C5">
        <w:rPr>
          <w:rFonts w:ascii="Times New Roman" w:eastAsia="Times New Roman" w:hAnsi="Times New Roman" w:cs="Times New Roman"/>
        </w:rPr>
        <w:t>s</w:t>
      </w:r>
      <w:r w:rsidRPr="009B0448">
        <w:rPr>
          <w:rFonts w:ascii="Times New Roman" w:eastAsia="Times New Roman" w:hAnsi="Times New Roman" w:cs="Times New Roman"/>
        </w:rPr>
        <w:t xml:space="preserve">ation have been reported as key drivers in increased emissions in Africa. Africa has among the highest population growth rates in the world. Moreover, urban populations are responsible for more emissions than rural populations. Energy consumption for electricity, transportation, cooking, and heating is much higher in urban areas than in rural villages. At a local scale, urban consumption of energy helps create heat islands that can change local weather patterns and weather downwind from the heat islands. The heat island phenomenon is created because cities radiate heat back into the atmosphere at a rate 15–30% less than rural areas (Torrey, 2004). Primary Energy Consumption in Africa has risen from 261.7 metric tons of oil equivalent (million tons) in 1998 to 435 million tons in 2015 (Statista, 2016) showing a rise of 66% in 17 years. In South Africa, only 16.9% of the final energy consumption was renewables in 2012 (Statista, 2016). At COP 21 in Paris, Parties to the UNFCCC reached a historic agreement to combat climate change and to accelerate and intensify the actions and investments needed for a sustainable low carbon future. Among the global strategies in reducing greenhouse gas emissions from fossil fuels is the development of alternative fuel sources. One such is use of liquid biofuels in the transport sector whose growth in production and consumption will increase due to, among other reasons, mitigation of biodiversity loss (Brenan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Production of such fuels must be both technically and economically viable. Hence, be competitive in pricing; requiring low to no additional land-use; enabling air quality improvement, and; requiring minimal water use (Brenan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Technological application in the exploitation of microalgae could meet these conditions and therefore make a significant contribution to meeting the primary energy demand, while simultaneously providing environmental benefits (Brenan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2009).</w:t>
      </w:r>
    </w:p>
    <w:p w14:paraId="39000BC0" w14:textId="77777777" w:rsidR="009B0448" w:rsidRPr="009B0448" w:rsidRDefault="009B0448" w:rsidP="009B0448">
      <w:pPr>
        <w:spacing w:line="276" w:lineRule="auto"/>
        <w:jc w:val="both"/>
        <w:rPr>
          <w:rFonts w:ascii="Times New Roman" w:eastAsia="Times New Roman" w:hAnsi="Times New Roman" w:cs="Times New Roman"/>
        </w:rPr>
      </w:pPr>
    </w:p>
    <w:p w14:paraId="51CF8E07"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Electricity generation using solar energy directly (photovoltaic) or indirectly (concentrating solar power) has grown exponentially worldwide over the last decade (Hernandez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Affordability of solar energy technologies and technically accessible energy for large areas of Africa (Figure 4.26) makes it appropriate to bridge energy needs in the continent. It is estimated that theoretical potential for solar energy for Africa is 1120 Petawatt hours (PWh) being 660 PWh for concentrating solar power and 460 PWh for photovoltaic (Hermann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These potentials have been estimated for areas in the continent that excluded regions critical for biodiversity conservation such as protected areas, wetlands, floodplains, and forests; as well as agricultural land, cities and urban areas (Hermann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t>
      </w:r>
    </w:p>
    <w:p w14:paraId="2288951C" w14:textId="77777777" w:rsidR="009B0448" w:rsidRPr="009B0448" w:rsidRDefault="009B0448" w:rsidP="009B0448">
      <w:pPr>
        <w:spacing w:line="276" w:lineRule="auto"/>
        <w:jc w:val="both"/>
        <w:rPr>
          <w:rFonts w:ascii="Times New Roman" w:eastAsia="Times New Roman" w:hAnsi="Times New Roman" w:cs="Times New Roman"/>
        </w:rPr>
      </w:pPr>
    </w:p>
    <w:p w14:paraId="6CCD2298"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However, solar energy systems installed as utility-scale solar energy enterprises, may have impacts on biodiversity and ecosystem services during construction, operation or decommissioning (Hernandez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Locally, concentrating solar power impact biodiversity losses where there is vegetation clearance and gradation of soils; and by fragmenting landscapes, they create barriers to movement of species and their genes leading to regional impacts (Hernandez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t>
      </w:r>
    </w:p>
    <w:p w14:paraId="14B50FBE" w14:textId="77777777" w:rsidR="009B0448" w:rsidRPr="009B0448" w:rsidRDefault="009B0448" w:rsidP="009B0448">
      <w:pPr>
        <w:spacing w:line="276" w:lineRule="auto"/>
        <w:jc w:val="both"/>
        <w:rPr>
          <w:rFonts w:ascii="Times New Roman" w:eastAsia="Times New Roman" w:hAnsi="Times New Roman" w:cs="Times New Roman"/>
        </w:rPr>
      </w:pPr>
    </w:p>
    <w:p w14:paraId="01299C82" w14:textId="76A57126"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2FDA9CB2" wp14:editId="4A032B6A">
            <wp:extent cx="5608320" cy="208026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065">
                      <a:extLst>
                        <a:ext uri="{28A0092B-C50C-407E-A947-70E740481C1C}">
                          <a14:useLocalDpi xmlns:a14="http://schemas.microsoft.com/office/drawing/2010/main" val="0"/>
                        </a:ext>
                      </a:extLst>
                    </a:blip>
                    <a:srcRect r="2283"/>
                    <a:stretch>
                      <a:fillRect/>
                    </a:stretch>
                  </pic:blipFill>
                  <pic:spPr bwMode="auto">
                    <a:xfrm>
                      <a:off x="0" y="0"/>
                      <a:ext cx="5608320" cy="2080260"/>
                    </a:xfrm>
                    <a:prstGeom prst="rect">
                      <a:avLst/>
                    </a:prstGeom>
                    <a:noFill/>
                    <a:ln>
                      <a:noFill/>
                    </a:ln>
                  </pic:spPr>
                </pic:pic>
              </a:graphicData>
            </a:graphic>
          </wp:inline>
        </w:drawing>
      </w:r>
    </w:p>
    <w:p w14:paraId="3465C859"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4.26:</w:t>
      </w:r>
      <w:r w:rsidRPr="009B0448">
        <w:rPr>
          <w:rFonts w:ascii="Times New Roman" w:eastAsia="Times New Roman" w:hAnsi="Times New Roman" w:cs="Times New Roman"/>
        </w:rPr>
        <w:t xml:space="preserve"> Overall resource potential for photovoltaic, concentrated solar power and wind technologies for Africa. Potentials calculated based on solar irradiation and average wind speed. Dark orange and red areas indicate best-suited locations for solar energy systems while dark green and blue areas are best suited for wind. Source: Hermann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t>
      </w:r>
    </w:p>
    <w:p w14:paraId="3FC3BCC0" w14:textId="77777777" w:rsidR="009B0448" w:rsidRPr="009B0448" w:rsidRDefault="009B0448" w:rsidP="009B0448">
      <w:pPr>
        <w:spacing w:line="276" w:lineRule="auto"/>
        <w:jc w:val="both"/>
        <w:rPr>
          <w:rFonts w:ascii="Times New Roman" w:eastAsia="Times New Roman" w:hAnsi="Times New Roman" w:cs="Times New Roman"/>
        </w:rPr>
      </w:pPr>
    </w:p>
    <w:p w14:paraId="532CDC7D" w14:textId="77777777" w:rsidR="009B0448" w:rsidRPr="009B0448" w:rsidRDefault="009B0448" w:rsidP="009B0448">
      <w:pPr>
        <w:spacing w:line="276" w:lineRule="auto"/>
        <w:jc w:val="both"/>
        <w:rPr>
          <w:rFonts w:ascii="Times New Roman" w:eastAsia="Times New Roman" w:hAnsi="Times New Roman" w:cs="Times New Roman"/>
          <w:color w:val="282323"/>
        </w:rPr>
      </w:pPr>
      <w:r w:rsidRPr="009B0448">
        <w:rPr>
          <w:rFonts w:ascii="Times New Roman" w:eastAsia="Times New Roman" w:hAnsi="Times New Roman" w:cs="Times New Roman"/>
        </w:rPr>
        <w:t xml:space="preserve">Adopting widespread use of utility-scale solar energy enterprises may therefore lead to biodiversity losses at local and regional scales. Solar energy technologies if installed as distributed systems with relatively small capacity (e.g., &lt;1 megawatt) and integrated into existing built environments (e.g., roof-top photovoltaics) will likely have negligible direct effects that adversely impact biodiversity (Hernandez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This would have more beneficial outcomes through reduction in use of fossil fuel in power generation. Studies on impact of other renewable energy technologies on biodiversity show that wind farms affect distribution of birds, with significant effects on non-breeding individuals (Hötker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The birds were also shown to avoid the wind turbines particularly with high hubs; however, the wind turbines did not form a barrier to movement of some species such as cormorants and grey heron that were able to alter direction or height of the flight path (Hötker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Studies in North America (Arnette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show widespread and often extensive fatalities of bats having increased with the development of wind energy. Given the high potential for wind energy in Africa (Mukasa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care should be taken in </w:t>
      </w:r>
      <w:r w:rsidRPr="009B0448">
        <w:rPr>
          <w:rFonts w:ascii="Times New Roman" w:eastAsia="Times New Roman" w:hAnsi="Times New Roman" w:cs="Times New Roman"/>
          <w:color w:val="282323"/>
        </w:rPr>
        <w:t>positioning as this influences collisions. Habitats with high casualty rates include bare mountain ridges, where there is a sharp change in relief (for example at plateau edges), and wetlands (</w:t>
      </w:r>
      <w:r w:rsidRPr="009B0448">
        <w:rPr>
          <w:rFonts w:ascii="Times New Roman" w:eastAsia="Times New Roman" w:hAnsi="Times New Roman" w:cs="Times New Roman"/>
        </w:rPr>
        <w:t xml:space="preserve">Hötker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2006</w:t>
      </w:r>
      <w:r w:rsidRPr="009B0448">
        <w:rPr>
          <w:rFonts w:ascii="Times New Roman" w:eastAsia="Times New Roman" w:hAnsi="Times New Roman" w:cs="Times New Roman"/>
          <w:color w:val="282323"/>
        </w:rPr>
        <w:t>).</w:t>
      </w:r>
    </w:p>
    <w:p w14:paraId="7B139B8C" w14:textId="77777777" w:rsidR="009B0448" w:rsidRPr="009B0448" w:rsidRDefault="009B0448" w:rsidP="009B0448">
      <w:pPr>
        <w:spacing w:line="276" w:lineRule="auto"/>
        <w:jc w:val="both"/>
        <w:rPr>
          <w:rFonts w:ascii="Times New Roman" w:eastAsia="Times New Roman" w:hAnsi="Times New Roman" w:cs="Times New Roman"/>
          <w:color w:val="282323"/>
        </w:rPr>
      </w:pPr>
    </w:p>
    <w:p w14:paraId="3A433887"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Use of liquid biofuels in the transport sector, driven largely by policies focused on achievement of greater energy security, and mitigation of greenhouse gases emissions has increased globally (Brennan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Webb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Such benefits are yet to be proven from current applications (Webb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Across Africa, the major catalyst for biofuel expansion has been market driven with perceived potential for export to emerging international biofuel markets (Gasparato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This followed the ratification of the European Union Renewables Directive 2009/28/EC leading to large-scale land acquisition by private firms from Organisation for Economic Co-operation and Development (OECD) and non-OECD countries to develop biofuel plantations in several African countries (Gasparato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Other drivers have included policies regarding fuel security due to rising oil prices (von Maltitz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economic development, and growing support from bilateral and multilateral donors (Acheampong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t>
      </w:r>
    </w:p>
    <w:p w14:paraId="3FDC77D2" w14:textId="77777777" w:rsidR="009B0448" w:rsidRPr="009B0448" w:rsidRDefault="009B0448" w:rsidP="009B0448">
      <w:pPr>
        <w:spacing w:line="276" w:lineRule="auto"/>
        <w:jc w:val="both"/>
        <w:rPr>
          <w:rFonts w:ascii="Times New Roman" w:eastAsia="Times New Roman" w:hAnsi="Times New Roman" w:cs="Times New Roman"/>
        </w:rPr>
      </w:pPr>
    </w:p>
    <w:p w14:paraId="07ED98E5" w14:textId="3B51F100"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Impacts of biofuel production on biodiversity and ecosystem services can be inferred from the direct impacts of land conversion of natural ecosystems into biofuel feedstock plantations (Campbell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2009). This is of major concern for Africa since large areas of land, tota</w:t>
      </w:r>
      <w:r w:rsidR="00FD3EB4">
        <w:rPr>
          <w:rFonts w:ascii="Times New Roman" w:eastAsia="Times New Roman" w:hAnsi="Times New Roman" w:cs="Times New Roman"/>
        </w:rPr>
        <w:t>l</w:t>
      </w:r>
      <w:r w:rsidRPr="009B0448">
        <w:rPr>
          <w:rFonts w:ascii="Times New Roman" w:eastAsia="Times New Roman" w:hAnsi="Times New Roman" w:cs="Times New Roman"/>
        </w:rPr>
        <w:t xml:space="preserve">ling 7.55 million hectares have been allocated to foreign investors for biofuel production (GRAIN, 2013). This process, described as land grab (GRAIN, 2013), has consumed large areas distributed within different parts of Africa including the Eastern region accounting for 33% (2.46 million hectares), Western 29% (2.23 million hectares), Southern 14% (1.05 million hectares), Central 8% (601,000 hectares), and the Indian Ocean Island of Madagascar 16% (1.2 million hectares) of total area dedicated to biofuel plantations. In areas where biofuels are grown in existing agricultural land, farmers are compelled to move to marginal lands that are unproductive or infertile (Acheampong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hence generating controversy due to their impact on food security (Brennan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w:t>
      </w:r>
    </w:p>
    <w:p w14:paraId="410F485B" w14:textId="77777777" w:rsidR="009B0448" w:rsidRPr="009B0448" w:rsidRDefault="009B0448" w:rsidP="009B0448">
      <w:pPr>
        <w:spacing w:line="276" w:lineRule="auto"/>
        <w:jc w:val="both"/>
        <w:rPr>
          <w:rFonts w:ascii="Times New Roman" w:eastAsia="Times New Roman" w:hAnsi="Times New Roman" w:cs="Times New Roman"/>
        </w:rPr>
      </w:pPr>
    </w:p>
    <w:p w14:paraId="0257A99F"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rPr>
        <w:t>Following the European Union–27 mandate that sets a 2020 target for consumption of biofuels equivalent to more than 40 million tons, global demand for biofuels is now predicted to reach 172 billion litres by 2020, up from 81 billion litres in 2008 (GRAIN, 2013). This may give new impetus for conversion of more land to biofuel plantations increasing concern to potential loss of biodiversity and natures contributions to the people of Africa. Democratization of the energy market would lead to application of unconventional technologies in energy production, e.g., on-site productions on demand that would exclude challenges affecting biodiversity and ecosystem functions and services associated with large production, storage, transport and distribution. Similar technologies may be applicable in water provision, for example, in the extraction from air to assure provision in areas of water deficit. Some existing technologies, for example drones, will in future play important roles in protection of biodiversity.</w:t>
      </w:r>
    </w:p>
    <w:p w14:paraId="7812F513"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330" w:name="_Toc503032801"/>
      <w:bookmarkStart w:id="331" w:name="_Toc519499977"/>
      <w:r w:rsidRPr="009B0448">
        <w:rPr>
          <w:rFonts w:cs="Times New Roman"/>
          <w:sz w:val="22"/>
          <w:szCs w:val="22"/>
        </w:rPr>
        <w:t>Vulnerability incomes</w:t>
      </w:r>
      <w:bookmarkEnd w:id="330"/>
      <w:bookmarkEnd w:id="331"/>
    </w:p>
    <w:p w14:paraId="0A50E294" w14:textId="77777777" w:rsidR="009B0448" w:rsidRPr="009B0448" w:rsidRDefault="009B0448" w:rsidP="00FA7185">
      <w:pPr>
        <w:pStyle w:val="111"/>
        <w:numPr>
          <w:ilvl w:val="4"/>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b w:val="0"/>
          <w:sz w:val="22"/>
          <w:szCs w:val="22"/>
        </w:rPr>
      </w:pPr>
      <w:bookmarkStart w:id="332" w:name="_Toc519499978"/>
      <w:r w:rsidRPr="009B0448">
        <w:rPr>
          <w:rFonts w:cs="Times New Roman"/>
          <w:b w:val="0"/>
          <w:sz w:val="22"/>
          <w:szCs w:val="22"/>
        </w:rPr>
        <w:t>Health issues</w:t>
      </w:r>
      <w:bookmarkEnd w:id="332"/>
    </w:p>
    <w:p w14:paraId="5C10F7F1" w14:textId="77777777" w:rsidR="009B0448" w:rsidRPr="009B0448" w:rsidRDefault="009B0448" w:rsidP="009B0448">
      <w:pPr>
        <w:spacing w:line="276" w:lineRule="auto"/>
        <w:jc w:val="both"/>
        <w:rPr>
          <w:rFonts w:ascii="Times New Roman" w:eastAsia="Times New Roman" w:hAnsi="Times New Roman" w:cs="Times New Roman"/>
          <w:color w:val="262626"/>
        </w:rPr>
      </w:pPr>
      <w:r w:rsidRPr="009B0448">
        <w:rPr>
          <w:rFonts w:ascii="Times New Roman" w:eastAsia="Times New Roman" w:hAnsi="Times New Roman" w:cs="Times New Roman"/>
        </w:rPr>
        <w:t xml:space="preserve">A study in the North West Province of South Africa revealed that the improved socioeconomic circumstances observed in the wealthiest urban areas were accompanied by superior nutritional status, lower mean blood pressure, better health behaviours (lower smoking, drinking and HIV infection rates), lower measures of all indices of psychological pathology and higher scores of psychological well-being (Vorster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2000). These subjects also had the highest fat intake and serum cholesterol levels. Farm workers were identified as the most vulnerable group, having inadequate diets, highest scores for psychological symptomatology and the lowest scores for psychological well-being (Vorster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2000). Yet, according to UN-Habitat, sub-Saharan Africa has a slum population of about 200 million people, 61.7% of its urban population (AfDB, 2015). </w:t>
      </w:r>
      <w:r w:rsidRPr="009B0448">
        <w:rPr>
          <w:rFonts w:ascii="Times New Roman" w:eastAsia="Times New Roman" w:hAnsi="Times New Roman" w:cs="Times New Roman"/>
          <w:color w:val="262626"/>
        </w:rPr>
        <w:t xml:space="preserve">Only 84% of the continent’s urban dwellers have access to potable water while 54% to sanitation (Brixiová </w:t>
      </w:r>
      <w:r w:rsidRPr="009B0448">
        <w:rPr>
          <w:rFonts w:ascii="Times New Roman" w:eastAsia="Times New Roman" w:hAnsi="Times New Roman" w:cs="Times New Roman"/>
          <w:i/>
          <w:color w:val="262626"/>
        </w:rPr>
        <w:t>et al</w:t>
      </w:r>
      <w:r w:rsidRPr="009B0448">
        <w:rPr>
          <w:rFonts w:ascii="Times New Roman" w:eastAsia="Times New Roman" w:hAnsi="Times New Roman" w:cs="Times New Roman"/>
          <w:color w:val="262626"/>
        </w:rPr>
        <w:t xml:space="preserve">., 2013). The relatively fewer slums in North African countries is mainly attributed to better urban development strategies, including investment in infrastructure and in upgrading urban settlements. In contrast, SSA has the lowest proportion of urban population (32.8%), but the highest proportion of slum dwellers (65%). </w:t>
      </w:r>
      <w:r w:rsidRPr="009B0448">
        <w:rPr>
          <w:rFonts w:ascii="Times New Roman" w:eastAsia="Times New Roman" w:hAnsi="Times New Roman" w:cs="Times New Roman"/>
        </w:rPr>
        <w:t xml:space="preserve">Considering different plausible scenarios, Keiser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estimate an annual incidence of 24.8–103.2 million cases of clinical malaria attacks among urban dwellers in Africa.</w:t>
      </w:r>
    </w:p>
    <w:p w14:paraId="1204D0E4"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33" w:name="_Toc503032802"/>
      <w:bookmarkStart w:id="334" w:name="_Toc519499979"/>
      <w:r w:rsidRPr="009B0448">
        <w:rPr>
          <w:rFonts w:cs="Times New Roman"/>
          <w:i w:val="0"/>
          <w:sz w:val="22"/>
          <w:szCs w:val="22"/>
        </w:rPr>
        <w:t>Technology developments and application</w:t>
      </w:r>
      <w:bookmarkEnd w:id="333"/>
      <w:bookmarkEnd w:id="334"/>
    </w:p>
    <w:p w14:paraId="5DCE635D" w14:textId="5B270C55" w:rsidR="009B0448" w:rsidRPr="009B0448" w:rsidRDefault="009B0448" w:rsidP="009B0448">
      <w:pPr>
        <w:spacing w:line="276" w:lineRule="auto"/>
        <w:jc w:val="both"/>
        <w:rPr>
          <w:rFonts w:ascii="Times New Roman" w:eastAsia="Times New Roman" w:hAnsi="Times New Roman" w:cs="Times New Roman"/>
          <w:b/>
          <w:sz w:val="18"/>
          <w:szCs w:val="18"/>
        </w:rPr>
      </w:pPr>
      <w:r w:rsidRPr="009B0448">
        <w:rPr>
          <w:rFonts w:ascii="Times New Roman" w:eastAsia="Times New Roman" w:hAnsi="Times New Roman" w:cs="Times New Roman"/>
        </w:rPr>
        <w:t>Biotechnology, and information and communication techn</w:t>
      </w:r>
      <w:r w:rsidR="00C813C5">
        <w:rPr>
          <w:rFonts w:ascii="Times New Roman" w:eastAsia="Times New Roman" w:hAnsi="Times New Roman" w:cs="Times New Roman"/>
        </w:rPr>
        <w:t>ology together with industrialis</w:t>
      </w:r>
      <w:r w:rsidRPr="009B0448">
        <w:rPr>
          <w:rFonts w:ascii="Times New Roman" w:eastAsia="Times New Roman" w:hAnsi="Times New Roman" w:cs="Times New Roman"/>
        </w:rPr>
        <w:t xml:space="preserve">ation of Agriculture and Food Processing technologies will play a key role in improving Food Security without negatively impacting on biodiversity and nature’s contributions to people by 2050 when the world population is expected to reach nine billion people. Due to unprecedented growth in human population, the need to increase food production has been technology-dependent based on intensification of management on land newly converted or already under agriculture at a major cost to biodiversity (Deguines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In Africa, this has been accomplished through the use of high-yielding crop varieties, chemical fertilizers and pesticides, irrigation, and mechanization. The process of intensification fell under the general heading of “the Green Revolution,” which began in the 1960s with the transfer and dissemination of high-yielding seed (Matson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1997). Agricultural intensification has had negative local consequences, such as increased erosion, lower soil fertility, and reduced biodiversity (Matson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1997; Tscharntke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Firbank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It has also led to the decrease in both pollinator diversity and pollination services (Deguines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Studies in France (Deguines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2010) has shown that benefits of agricultural intensification decreases with increasing pollinator dependence; hence intensification does not increase the yield of pollinator-dependent crops but decreases the stability of their yield over time</w:t>
      </w:r>
      <w:r w:rsidRPr="009B0448">
        <w:rPr>
          <w:rFonts w:ascii="Times New Roman" w:eastAsia="Times New Roman" w:hAnsi="Times New Roman" w:cs="Times New Roman"/>
          <w:b/>
          <w:sz w:val="18"/>
          <w:szCs w:val="18"/>
        </w:rPr>
        <w:t xml:space="preserve">. </w:t>
      </w:r>
    </w:p>
    <w:p w14:paraId="51C6CAE3" w14:textId="77777777" w:rsidR="009B0448" w:rsidRPr="009B0448" w:rsidRDefault="009B0448" w:rsidP="009B0448">
      <w:pPr>
        <w:spacing w:line="276" w:lineRule="auto"/>
        <w:jc w:val="both"/>
        <w:rPr>
          <w:rFonts w:ascii="Times New Roman" w:eastAsia="Times New Roman" w:hAnsi="Times New Roman" w:cs="Times New Roman"/>
          <w:b/>
          <w:sz w:val="18"/>
          <w:szCs w:val="18"/>
        </w:rPr>
      </w:pPr>
    </w:p>
    <w:p w14:paraId="52625A14"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Reduction in plant biodiversity due to intensification leads to changes in the community composition including for beneficial pest complex–herbivorous insects, their natural enemies (predators and parasitoids), and microbial community (Matson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1997) which are fundamental to many functions of soil systems, such as nitrogen cycling, decomposition of wastes and mobilisation of nutrients. The consequence may be higher losses due to high pest densities in monocultures. Agricultural intensification through use of genetically modified crops have been suggested as beneficial to biodiversity as yield improvements on existing agricultural land would lead to reduction in conversion of land into agricultural use (Carpenter, 2011). Also, by decreasing insecticide use, increasing the use of more environmentally friendly herbicides and facilitating the adoption of conservation tillage, genetically modified crops would contribute to increasing agricultural sustainability (Carpenter, 2011). Adopting technologies such as drought or salinity tolerance would alleviate the pressure to convert high biodiversity areas into agricultural use by enabling crop production on suboptimal soils. This would be of particular relevance to sub-Saharan Africa, expected to experience prolonged periods of low soil moisture due to climate change. More research on this technology is, however, necessary as genetically crops may potentially affect the “fitness of other species, population dynamics, ecological roles, and interactions, promoting local extinctions, population explosions, and changes in community structure and function inside and outside agroecosystems (Gertsberg, 2011).</w:t>
      </w:r>
    </w:p>
    <w:p w14:paraId="22269586" w14:textId="77777777" w:rsidR="009B0448" w:rsidRPr="009B0448" w:rsidRDefault="009B0448" w:rsidP="009B0448">
      <w:pPr>
        <w:spacing w:line="276" w:lineRule="auto"/>
        <w:jc w:val="both"/>
        <w:rPr>
          <w:rFonts w:ascii="Times New Roman" w:eastAsia="Times New Roman" w:hAnsi="Times New Roman" w:cs="Times New Roman"/>
        </w:rPr>
      </w:pPr>
    </w:p>
    <w:p w14:paraId="3D42EA81" w14:textId="36658DE5"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convergence of food needs and those of energy and water is conspicuous in Africa where 560 million people lack access to electricity in the sub-Saharan area while 621 million rely on solid fuels for cooking (WHO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2009). The challenge therefore is to develop environmentally sound energy systems that will conserve biodiversity and reduce carbon footprint. Renewable energy technologies, though requiring a complex set of environmental trade-offs to develop, would be an alternative to fossil fuel-based energy. Of the renewable energy sources, geothermal power has been considered the most attractive being relatively benign in nature (Mutia, 2010). Most geothermal resources are a challenge to developers since they are located in remote scenic, wild and protected areas (Mutia, 2010). A classic example where geothermal power generation and biodiversity conservation are coupled is at the Hell’s Gate National Park in the Kenya’s Rift Valley since 1984. However, anecdotal information suggests that wildlife diversity and biomass has been on the decline following recent expansion of the plant generation capacity (Mutia, 2010). This would call for caution in future development of geothermal power plants in protected areas.</w:t>
      </w:r>
    </w:p>
    <w:p w14:paraId="4B2B32E0"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35" w:name="_Toc503032803"/>
      <w:bookmarkStart w:id="336" w:name="_Toc519499980"/>
      <w:r w:rsidRPr="009B0448">
        <w:rPr>
          <w:rFonts w:cs="Times New Roman"/>
          <w:i w:val="0"/>
          <w:sz w:val="22"/>
          <w:szCs w:val="22"/>
        </w:rPr>
        <w:t>Insecurity</w:t>
      </w:r>
      <w:bookmarkEnd w:id="335"/>
      <w:bookmarkEnd w:id="336"/>
    </w:p>
    <w:p w14:paraId="534B9750"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Sustainable development thrives best in an environment of good governance, peace and security, but armed conflict remains a major obstacle to development in several parts of the continent (Hanson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Environmental crime can be subdivided broadly into wildlife, pollution and water management crimes; that exploit resources in an illegal manner and destroy the environment in contravention to national, regional and international environmental laws (Nellemann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UN, 2016; UNOCD, 2016). The maintenance of an environment of peace and security is therefore one of Africa’s foremost development imperatives. Apart from its costs in human and material terms, conflicts impede production, damage infrastructure, prevent the reliable delivery of social services and disrupt societies. Africa is the most sub-divided continent, with small and fragmented economies that undermine the continent’s position in the global development arena. In spite of the long-standing commitments and the emphasis placed by African leaders on the process of regional integration, this has been slow and therefore, remains a major challenge for development in Africa (UNECA, 2004; 2005). </w:t>
      </w:r>
    </w:p>
    <w:p w14:paraId="15F8AD09" w14:textId="77777777" w:rsidR="009B0448" w:rsidRPr="009B0448" w:rsidRDefault="009B0448" w:rsidP="009B0448">
      <w:pPr>
        <w:spacing w:line="276" w:lineRule="auto"/>
        <w:jc w:val="both"/>
        <w:rPr>
          <w:rFonts w:ascii="Times New Roman" w:eastAsia="Times New Roman" w:hAnsi="Times New Roman" w:cs="Times New Roman"/>
        </w:rPr>
      </w:pPr>
    </w:p>
    <w:p w14:paraId="0012E500" w14:textId="4524AA1A"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Environmental crime is not restricted by borders, and may impact on region’s economy and security. For instance, poaching and illegal wildlife trafficking undermines the livelihoods of natural resource dependent communities, damages the health of the ecosystems they depend on, and the criminal activity and corruption associated with trafficking restricts the potential for sustainable investment and development needed in new economic activities and enterprises (UNODC, 2016). A significant proportion of both wildlife and pollution crime is carried out by </w:t>
      </w:r>
      <w:r w:rsidR="00150166">
        <w:rPr>
          <w:rFonts w:ascii="Times New Roman" w:eastAsia="Times New Roman" w:hAnsi="Times New Roman" w:cs="Times New Roman"/>
        </w:rPr>
        <w:t>organis</w:t>
      </w:r>
      <w:r w:rsidRPr="009B0448">
        <w:rPr>
          <w:rFonts w:ascii="Times New Roman" w:eastAsia="Times New Roman" w:hAnsi="Times New Roman" w:cs="Times New Roman"/>
        </w:rPr>
        <w:t>ed criminal networks, drawn by the low risk and high-profit nature of these types of crime. The same routes used to smuggle wildlife across countries and continents are often used to smuggle weapons, drugs and people. Indeed, environmental crime often occurs hand in hand with other offences such as passport fraud, corruption, money laundering and murder (UNODC, 2016).</w:t>
      </w:r>
    </w:p>
    <w:p w14:paraId="6FE7E359" w14:textId="101129BC"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7AA51F27" wp14:editId="7AD67345">
                <wp:extent cx="5760720" cy="4352925"/>
                <wp:effectExtent l="9525" t="9525" r="11430" b="9525"/>
                <wp:docPr id="1073" name="Text Box 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4352925"/>
                        </a:xfrm>
                        <a:prstGeom prst="rect">
                          <a:avLst/>
                        </a:prstGeom>
                        <a:solidFill>
                          <a:schemeClr val="bg1">
                            <a:lumMod val="95000"/>
                            <a:lumOff val="0"/>
                          </a:schemeClr>
                        </a:solidFill>
                        <a:ln w="9525">
                          <a:solidFill>
                            <a:srgbClr val="000000"/>
                          </a:solidFill>
                          <a:miter lim="800000"/>
                          <a:headEnd/>
                          <a:tailEnd/>
                        </a:ln>
                      </wps:spPr>
                      <wps:txbx>
                        <w:txbxContent>
                          <w:p w14:paraId="20B1A892" w14:textId="77777777" w:rsidR="00BC0CFA" w:rsidRDefault="00BC0CFA" w:rsidP="009B0448">
                            <w:pPr>
                              <w:spacing w:line="276" w:lineRule="auto"/>
                              <w:jc w:val="both"/>
                              <w:rPr>
                                <w:rFonts w:ascii="Times New Roman" w:eastAsia="Times New Roman" w:hAnsi="Times New Roman" w:cs="Times New Roman"/>
                                <w:b/>
                              </w:rPr>
                            </w:pPr>
                            <w:r>
                              <w:rPr>
                                <w:rFonts w:ascii="Times New Roman" w:eastAsia="Times New Roman" w:hAnsi="Times New Roman" w:cs="Times New Roman"/>
                                <w:b/>
                              </w:rPr>
                              <w:t>Box 4.10: The Environmental Crime crisis in DRC and Somalia</w:t>
                            </w:r>
                          </w:p>
                          <w:p w14:paraId="5A9CBF21" w14:textId="77777777" w:rsidR="00BC0CFA" w:rsidRDefault="00BC0CFA" w:rsidP="009B0448">
                            <w:pPr>
                              <w:spacing w:line="276" w:lineRule="auto"/>
                              <w:jc w:val="both"/>
                              <w:rPr>
                                <w:rFonts w:ascii="Times New Roman" w:eastAsia="Times New Roman" w:hAnsi="Times New Roman" w:cs="Times New Roman"/>
                                <w:b/>
                              </w:rPr>
                            </w:pPr>
                          </w:p>
                          <w:p w14:paraId="4A5D49E0" w14:textId="77777777" w:rsidR="00BC0CFA" w:rsidRDefault="00BC0CFA" w:rsidP="009B0448">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Indeed environmental crimes have been considered grave issues in DRC and Somalia by the UN Security Council, the assessment reveals that the scale and role of wildlife and forest crime in threat finance calls for much wider policy attention, well beyond those regions. Conflicts have been associated with breakdown of social structures among communities. This leads to loss of identity and cohesion among affected people. Since inherent cultural systems of resource use tend to have elements of conservation, their breakdown would result to loss of ecosystem functions and services, and concomitant human well-being (Summers </w:t>
                            </w:r>
                            <w:r>
                              <w:rPr>
                                <w:rFonts w:ascii="Times New Roman" w:eastAsia="Times New Roman" w:hAnsi="Times New Roman" w:cs="Times New Roman"/>
                                <w:i/>
                              </w:rPr>
                              <w:t>et al.</w:t>
                            </w:r>
                            <w:r>
                              <w:rPr>
                                <w:rFonts w:ascii="Times New Roman" w:eastAsia="Times New Roman" w:hAnsi="Times New Roman" w:cs="Times New Roman"/>
                              </w:rPr>
                              <w:t xml:space="preserve">, 2012). </w:t>
                            </w:r>
                          </w:p>
                          <w:p w14:paraId="77E7FDFF" w14:textId="77777777" w:rsidR="00BC0CFA" w:rsidRDefault="00BC0CFA" w:rsidP="009B0448">
                            <w:pPr>
                              <w:spacing w:line="276" w:lineRule="auto"/>
                              <w:jc w:val="both"/>
                              <w:rPr>
                                <w:rFonts w:ascii="Times New Roman" w:eastAsia="Times New Roman" w:hAnsi="Times New Roman" w:cs="Times New Roman"/>
                              </w:rPr>
                            </w:pPr>
                          </w:p>
                          <w:p w14:paraId="1A0827DC" w14:textId="77777777" w:rsidR="00BC0CFA" w:rsidRDefault="00BC0CFA" w:rsidP="009B0448">
                            <w:pPr>
                              <w:spacing w:line="276" w:lineRule="auto"/>
                              <w:jc w:val="both"/>
                              <w:rPr>
                                <w:rFonts w:ascii="Times New Roman" w:eastAsia="Times New Roman" w:hAnsi="Times New Roman" w:cs="Times New Roman"/>
                              </w:rPr>
                            </w:pPr>
                            <w:r>
                              <w:rPr>
                                <w:rFonts w:ascii="Times New Roman" w:eastAsia="Times New Roman" w:hAnsi="Times New Roman" w:cs="Times New Roman"/>
                              </w:rPr>
                              <w:t>Terrorist groups are also known to participate in illegal trade in wildlife products to fund their illegal activities. In case of overharvesting of species populations, there would be loss of ecosystem services to local communities. Conversely, loss of access to biodiversity and ecosystem services associated with resource overuse, e.g. from exclusion of communities from fishing grounds, drying up of inland water bodies for example due to over abstraction in upstream areas, draining of wetlands may also lead to radicalisation of societies and development of terror groups references). The construction of dams upstream of rivers currently focuses on energy and agriculture sectors with little concern of for downstream users. In several cases, the deprivation of water downstream due to lack of socio-ecological water release mechanisms affects livelihoods is a cause of exclusion and conflict. There have been suggestions of possible links between insecurity and access to resources, e.g., drying of Lake Chad and the rise of Boko Haram; The emergence of Somali Pirates/Al Shabab and the departure of Japanese and Korean fishing vessel that were responsible for the decline of fisheries off the Kenya/Somalia coast (Aljazeera Africa, 2010).</w:t>
                            </w:r>
                          </w:p>
                        </w:txbxContent>
                      </wps:txbx>
                      <wps:bodyPr rot="0" vert="horz" wrap="square" lIns="91440" tIns="45720" rIns="91440" bIns="45720" anchor="t" anchorCtr="0" upright="1">
                        <a:noAutofit/>
                      </wps:bodyPr>
                    </wps:wsp>
                  </a:graphicData>
                </a:graphic>
              </wp:inline>
            </w:drawing>
          </mc:Choice>
          <mc:Fallback>
            <w:pict>
              <v:shape w14:anchorId="7AA51F27" id="Text Box 1073" o:spid="_x0000_s1038" type="#_x0000_t202" style="width:453.6pt;height:34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" fillcolor="#f2f2f2 [3052]">
                <v:textbox>
                  <w:txbxContent>
                    <w:p w14:paraId="20B1A892" w14:textId="77777777" w:rsidR="00BC0CFA" w:rsidRDefault="00BC0CFA" w:rsidP="009B0448">
                      <w:pPr>
                        <w:spacing w:line="276" w:lineRule="auto"/>
                        <w:jc w:val="both"/>
                        <w:rPr>
                          <w:rFonts w:ascii="Times New Roman" w:eastAsia="Times New Roman" w:hAnsi="Times New Roman" w:cs="Times New Roman"/>
                          <w:b/>
                        </w:rPr>
                      </w:pPr>
                      <w:r>
                        <w:rPr>
                          <w:rFonts w:ascii="Times New Roman" w:eastAsia="Times New Roman" w:hAnsi="Times New Roman" w:cs="Times New Roman"/>
                          <w:b/>
                        </w:rPr>
                        <w:t>Box 4.10: The Environmental Crime crisis in DRC and Somalia</w:t>
                      </w:r>
                    </w:p>
                    <w:p w14:paraId="5A9CBF21" w14:textId="77777777" w:rsidR="00BC0CFA" w:rsidRDefault="00BC0CFA" w:rsidP="009B0448">
                      <w:pPr>
                        <w:spacing w:line="276" w:lineRule="auto"/>
                        <w:jc w:val="both"/>
                        <w:rPr>
                          <w:rFonts w:ascii="Times New Roman" w:eastAsia="Times New Roman" w:hAnsi="Times New Roman" w:cs="Times New Roman"/>
                          <w:b/>
                        </w:rPr>
                      </w:pPr>
                    </w:p>
                    <w:p w14:paraId="4A5D49E0" w14:textId="77777777" w:rsidR="00BC0CFA" w:rsidRDefault="00BC0CFA" w:rsidP="009B0448">
                      <w:pPr>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Indeed environmental crimes have been considered grave issues in DRC and Somalia by the UN Security Council, the assessment reveals that the scale and role of wildlife and forest crime in threat finance calls for much wider policy attention, well beyond those regions. Conflicts have been associated with breakdown of social structures among communities. This leads to loss of identity and cohesion among affected people. Since inherent cultural systems of resource use tend to have elements of conservation, their breakdown would result to loss of ecosystem functions and services, and concomitant human well-being (Summers </w:t>
                      </w:r>
                      <w:r>
                        <w:rPr>
                          <w:rFonts w:ascii="Times New Roman" w:eastAsia="Times New Roman" w:hAnsi="Times New Roman" w:cs="Times New Roman"/>
                          <w:i/>
                        </w:rPr>
                        <w:t>et al.</w:t>
                      </w:r>
                      <w:r>
                        <w:rPr>
                          <w:rFonts w:ascii="Times New Roman" w:eastAsia="Times New Roman" w:hAnsi="Times New Roman" w:cs="Times New Roman"/>
                        </w:rPr>
                        <w:t xml:space="preserve">, 2012). </w:t>
                      </w:r>
                    </w:p>
                    <w:p w14:paraId="77E7FDFF" w14:textId="77777777" w:rsidR="00BC0CFA" w:rsidRDefault="00BC0CFA" w:rsidP="009B0448">
                      <w:pPr>
                        <w:spacing w:line="276" w:lineRule="auto"/>
                        <w:jc w:val="both"/>
                        <w:rPr>
                          <w:rFonts w:ascii="Times New Roman" w:eastAsia="Times New Roman" w:hAnsi="Times New Roman" w:cs="Times New Roman"/>
                        </w:rPr>
                      </w:pPr>
                    </w:p>
                    <w:p w14:paraId="1A0827DC" w14:textId="77777777" w:rsidR="00BC0CFA" w:rsidRDefault="00BC0CFA" w:rsidP="009B0448">
                      <w:pPr>
                        <w:spacing w:line="276" w:lineRule="auto"/>
                        <w:jc w:val="both"/>
                        <w:rPr>
                          <w:rFonts w:ascii="Times New Roman" w:eastAsia="Times New Roman" w:hAnsi="Times New Roman" w:cs="Times New Roman"/>
                        </w:rPr>
                      </w:pPr>
                      <w:r>
                        <w:rPr>
                          <w:rFonts w:ascii="Times New Roman" w:eastAsia="Times New Roman" w:hAnsi="Times New Roman" w:cs="Times New Roman"/>
                        </w:rPr>
                        <w:t>Terrorist groups are also known to participate in illegal trade in wildlife products to fund their illegal activities. In case of overharvesting of species populations, there would be loss of ecosystem services to local communities. Conversely, loss of access to biodiversity and ecosystem services associated with resource overuse, e.g. from exclusion of communities from fishing grounds, drying up of inland water bodies for example due to over abstraction in upstream areas, draining of wetlands may also lead to radicalisation of societies and development of terror groups references). The construction of dams upstream of rivers currently focuses on energy and agriculture sectors with little concern of for downstream users. In several cases, the deprivation of water downstream due to lack of socio-ecological water release mechanisms affects livelihoods is a cause of exclusion and conflict. There have been suggestions of possible links between insecurity and access to resources, e.g., drying of Lake Chad and the rise of Boko Haram; The emergence of Somali Pirates/Al Shabab and the departure of Japanese and Korean fishing vessel that were responsible for the decline of fisheries off the Kenya/Somalia coast (Aljazeera Africa, 2010).</w:t>
                      </w:r>
                    </w:p>
                  </w:txbxContent>
                </v:textbox>
                <w10:anchorlock/>
              </v:shape>
            </w:pict>
          </mc:Fallback>
        </mc:AlternateContent>
      </w:r>
    </w:p>
    <w:p w14:paraId="2E09CFEF"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37" w:name="_Toc503032804"/>
      <w:bookmarkStart w:id="338" w:name="_Toc519499981"/>
      <w:r w:rsidRPr="009B0448">
        <w:rPr>
          <w:rFonts w:cs="Times New Roman"/>
          <w:i w:val="0"/>
          <w:sz w:val="22"/>
          <w:szCs w:val="22"/>
        </w:rPr>
        <w:t>Cultural practice and spirituality</w:t>
      </w:r>
      <w:bookmarkEnd w:id="337"/>
      <w:bookmarkEnd w:id="338"/>
    </w:p>
    <w:p w14:paraId="497ADC04" w14:textId="283FE934" w:rsidR="009B0448" w:rsidRPr="009B0448" w:rsidRDefault="009B0448" w:rsidP="009B0448">
      <w:pPr>
        <w:pStyle w:val="NoSpacing"/>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many cultures in Africa decisions about nature arise from the spiritual and ancestral beings who are part of nature, and affect us much more than we are able to affect them. Some people perceive nature as benign and sacred, to be treated with reverence and moderation. Cultural practices among many societies in Africa have exhibited values, beliefs and norms that preserve biodiversity and ecosystems. For example, among the coastal societies in Kenya, important forest blocks have been preserved through the Kaya customary laws. In many other cultures, for exampl</w:t>
      </w:r>
      <w:r w:rsidR="00FD3EB4">
        <w:rPr>
          <w:rFonts w:ascii="Times New Roman" w:eastAsia="Times New Roman" w:hAnsi="Times New Roman" w:cs="Times New Roman"/>
        </w:rPr>
        <w:t>e,</w:t>
      </w:r>
      <w:r w:rsidRPr="009B0448">
        <w:rPr>
          <w:rFonts w:ascii="Times New Roman" w:eastAsia="Times New Roman" w:hAnsi="Times New Roman" w:cs="Times New Roman"/>
        </w:rPr>
        <w:t xml:space="preserve"> the Masai, Samburu and Pokot, clans are believed to have blood relations with different animal species, hence, killing of those species are prohibited leading to their preservation. Moreover, local indigenous knowledge held by communities plays an important role in conservation. However, there is need for consideration of the impact of infrastructure development on biodiversity, technological innovations and increasing demand for animal products on culture, spirituality and indigenous and knowledge. </w:t>
      </w:r>
    </w:p>
    <w:p w14:paraId="09575747" w14:textId="77777777" w:rsidR="009B0448" w:rsidRPr="009B0448" w:rsidRDefault="009B0448" w:rsidP="009B0448">
      <w:pPr>
        <w:pStyle w:val="NoSpacing"/>
        <w:spacing w:line="276" w:lineRule="auto"/>
        <w:jc w:val="both"/>
        <w:rPr>
          <w:rFonts w:ascii="Times New Roman" w:eastAsia="Times New Roman" w:hAnsi="Times New Roman" w:cs="Times New Roman"/>
        </w:rPr>
      </w:pPr>
    </w:p>
    <w:p w14:paraId="76BBFFC1" w14:textId="7E6BC464"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Local and indigenous communities are important partners in conservation, leading to the development of conservation approaches that revolve around indigenous and local knowledge. In the Tharaka area of north-central Kenya, the communities have two levels of justice to protect riparian areas along streams and rivers (Mburu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Women respond first to violation of protected sacred sites by fining transgressors, hence administer the first line of justice while the second level is administered be male elders. The marine waters, sandy beaches, coastal calcareous sand dunes, saline and non-saline depressions, inland ridges, limestone plateau, inland siliceous sand formations, and manmade rain-fed farms in </w:t>
      </w:r>
      <w:r w:rsidR="00FD3EB4" w:rsidRPr="009B0448">
        <w:rPr>
          <w:rFonts w:ascii="Times New Roman" w:eastAsia="Times New Roman" w:hAnsi="Times New Roman" w:cs="Times New Roman"/>
        </w:rPr>
        <w:t>north-western</w:t>
      </w:r>
      <w:r w:rsidRPr="009B0448">
        <w:rPr>
          <w:rFonts w:ascii="Times New Roman" w:eastAsia="Times New Roman" w:hAnsi="Times New Roman" w:cs="Times New Roman"/>
        </w:rPr>
        <w:t xml:space="preserve"> coastal Egypt support diverse floras and faunas, some of which are endemic and threatened (Bidak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The biodiversity here is a source of economic activities and other traditional uses by the Bedouin communities. The sustenance of these goods and services are driven by traditional knowledge and practices (Bidak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The Samburu have natural resources law that rotates around grazing management (Oguge, 2016). This entails (i) segregation of landscape into grazing, settlement and watering areas; (ii) designation of dry season grazing areas; (iii) prohibition of cutting the </w:t>
      </w:r>
      <w:r w:rsidRPr="009B0448">
        <w:rPr>
          <w:rFonts w:ascii="Times New Roman" w:eastAsia="Times New Roman" w:hAnsi="Times New Roman" w:cs="Times New Roman"/>
          <w:i/>
        </w:rPr>
        <w:t>Acacia tortilis</w:t>
      </w:r>
      <w:r w:rsidRPr="009B0448">
        <w:rPr>
          <w:rFonts w:ascii="Times New Roman" w:eastAsia="Times New Roman" w:hAnsi="Times New Roman" w:cs="Times New Roman"/>
        </w:rPr>
        <w:t xml:space="preserve"> tree; (iv) prohibition of burning forests and grasslands. Community elders are the custodians and enforce the law through penalties that vary with regularity of commission.</w:t>
      </w:r>
    </w:p>
    <w:p w14:paraId="254F7B76" w14:textId="77777777" w:rsidR="009B0448" w:rsidRPr="009B0448" w:rsidRDefault="009B0448" w:rsidP="009B0448">
      <w:pPr>
        <w:spacing w:line="276" w:lineRule="auto"/>
        <w:jc w:val="both"/>
        <w:rPr>
          <w:rFonts w:ascii="Times New Roman" w:eastAsia="Times New Roman" w:hAnsi="Times New Roman" w:cs="Times New Roman"/>
        </w:rPr>
      </w:pPr>
    </w:p>
    <w:p w14:paraId="75402A84"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Cultural practices and spirituality has contributed to enhancement of biodiversity and ecosystem services in the arid and semi-arid area of Tharaka Kenya. The communities here are involved are reverting to traditional knowledge that includes bringing back indigenous seeds for food, trees, fruit-trees, etc. (Mburu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2016). Thus far their efforts have resulted in re-establishment of food crops including millet (3 varieties), sorghum (5 varieties), yams, green grams (3 varieties), cow peas (5 varieties), pigeon peas, pumpkin, a traditional squash (manthanga). This has contributed to food security and increased resilience to climate change as dependent on rain agriculture. The community have also resumed the use of millet in traditional rituals in the sacred sites. This has led to a selection process that targets varieties with characteristics considered unique: i.e., early maturation, large seeds, good seed formation, structure of millet heads, ease of grinding (dhengerembe), agronomic responses to soil moisture (low or high).</w:t>
      </w:r>
    </w:p>
    <w:p w14:paraId="39AC0330" w14:textId="77777777" w:rsidR="009B0448" w:rsidRPr="009B0448" w:rsidRDefault="009B0448" w:rsidP="009B0448">
      <w:pPr>
        <w:spacing w:line="276" w:lineRule="auto"/>
        <w:jc w:val="both"/>
        <w:rPr>
          <w:rFonts w:ascii="Times New Roman" w:eastAsia="Times New Roman" w:hAnsi="Times New Roman" w:cs="Times New Roman"/>
        </w:rPr>
      </w:pPr>
    </w:p>
    <w:p w14:paraId="17031E62" w14:textId="7E37720B"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While the value of biodiversity is more widely appreciated now than in the past, the pressure on wild lands and unique habitats are also rising rapidly due to encroaching human population and intensified resource extraction. Recent studies (Halmy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has shown that increased sedentary lifestyle of the Bedouins has led to new </w:t>
      </w:r>
      <w:r w:rsidR="00917FB2">
        <w:rPr>
          <w:rFonts w:ascii="Times New Roman" w:eastAsia="Times New Roman" w:hAnsi="Times New Roman" w:cs="Times New Roman"/>
        </w:rPr>
        <w:t>land-use</w:t>
      </w:r>
      <w:r w:rsidRPr="009B0448">
        <w:rPr>
          <w:rFonts w:ascii="Times New Roman" w:eastAsia="Times New Roman" w:hAnsi="Times New Roman" w:cs="Times New Roman"/>
        </w:rPr>
        <w:t>s such as irrigated agriculture, quarrying, and establishment of summer resorts for recreation and tourism; hence affecting sustainability of the coastal area resources (rangelands and salt marshes) in north</w:t>
      </w:r>
      <w:r w:rsidR="00FD3EB4">
        <w:rPr>
          <w:rFonts w:ascii="Times New Roman" w:eastAsia="Times New Roman" w:hAnsi="Times New Roman" w:cs="Times New Roman"/>
        </w:rPr>
        <w:t>-</w:t>
      </w:r>
      <w:r w:rsidRPr="009B0448">
        <w:rPr>
          <w:rFonts w:ascii="Times New Roman" w:eastAsia="Times New Roman" w:hAnsi="Times New Roman" w:cs="Times New Roman"/>
        </w:rPr>
        <w:t xml:space="preserve">western Egypt (Halmy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 Above case studies, though not exhaustive, indicate how indigenous and local knowledge bases contribute to conservation of biodiversity, ecosystem services and livelihoods in Africa. However, future scenarios will need to take into cogni</w:t>
      </w:r>
      <w:r w:rsidR="003D5588">
        <w:rPr>
          <w:rFonts w:ascii="Times New Roman" w:eastAsia="Times New Roman" w:hAnsi="Times New Roman" w:cs="Times New Roman"/>
        </w:rPr>
        <w:t>s</w:t>
      </w:r>
      <w:r w:rsidRPr="009B0448">
        <w:rPr>
          <w:rFonts w:ascii="Times New Roman" w:eastAsia="Times New Roman" w:hAnsi="Times New Roman" w:cs="Times New Roman"/>
        </w:rPr>
        <w:t xml:space="preserve">ance the development </w:t>
      </w:r>
      <w:r w:rsidR="00C813C5">
        <w:rPr>
          <w:rFonts w:ascii="Times New Roman" w:eastAsia="Times New Roman" w:hAnsi="Times New Roman" w:cs="Times New Roman"/>
        </w:rPr>
        <w:t>agenda that will embrace urbanis</w:t>
      </w:r>
      <w:r w:rsidRPr="009B0448">
        <w:rPr>
          <w:rFonts w:ascii="Times New Roman" w:eastAsia="Times New Roman" w:hAnsi="Times New Roman" w:cs="Times New Roman"/>
        </w:rPr>
        <w:t>ation, extractives and infrastructure. These will impact on biodiversity and ecosystem services directly but also indirectly by affecting communities’ cultures and inter-generational knowledge transfer. We also learn from the cases potential to create communities that are economically empowered, socially cohesive, and strong on environmental stewardship based on culture and spirituality.</w:t>
      </w:r>
    </w:p>
    <w:p w14:paraId="6DB15630" w14:textId="77777777" w:rsidR="009B0448" w:rsidRPr="009B0448" w:rsidRDefault="009B0448" w:rsidP="009B0448">
      <w:pPr>
        <w:spacing w:line="276" w:lineRule="auto"/>
        <w:jc w:val="both"/>
        <w:rPr>
          <w:rFonts w:ascii="Times New Roman" w:eastAsia="Times New Roman" w:hAnsi="Times New Roman" w:cs="Times New Roman"/>
        </w:rPr>
      </w:pPr>
    </w:p>
    <w:p w14:paraId="47445F4E" w14:textId="21C5CFB5"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Community-based conservation is now integrated in biodiversity conservation policies and practices in Africa. It takes various approaches: indigenous and community conserved areas, sacred spaces and communal areas. Indigenous peoples and community conserved territories and areas are spaces governed by them with evidently positive outcomes for the </w:t>
      </w:r>
      <w:r w:rsidRPr="00C87E0F">
        <w:rPr>
          <w:rFonts w:ascii="Times New Roman" w:hAnsi="Times New Roman" w:cs="Times New Roman"/>
        </w:rPr>
        <w:t>conservation</w:t>
      </w:r>
      <w:r w:rsidRPr="009B0448">
        <w:rPr>
          <w:rFonts w:ascii="Times New Roman" w:eastAsia="Times New Roman" w:hAnsi="Times New Roman" w:cs="Times New Roman"/>
        </w:rPr>
        <w:t xml:space="preserve"> of biological and cultural diversity (Roe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IUCN World Parks Congress of 2003 defined them as </w:t>
      </w:r>
      <w:r w:rsidRPr="009B0448">
        <w:rPr>
          <w:rFonts w:ascii="Times New Roman" w:eastAsia="Times New Roman" w:hAnsi="Times New Roman" w:cs="Times New Roman"/>
          <w:i/>
        </w:rPr>
        <w:t xml:space="preserve">“natural and/or modified ecosystems containing significant biodiversity values and ecological services, voluntarily conserved by (sedentary and mobile) indigenous and local communities, through customary laws or other effective means” </w:t>
      </w:r>
      <w:r w:rsidRPr="009B0448">
        <w:rPr>
          <w:rFonts w:ascii="Times New Roman" w:eastAsia="Times New Roman" w:hAnsi="Times New Roman" w:cs="Times New Roman"/>
        </w:rPr>
        <w:t>(UICN, 2009)</w:t>
      </w:r>
      <w:r w:rsidRPr="009B0448">
        <w:rPr>
          <w:rFonts w:ascii="Times New Roman" w:eastAsia="Times New Roman" w:hAnsi="Times New Roman" w:cs="Times New Roman"/>
          <w:i/>
        </w:rPr>
        <w:t>.</w:t>
      </w:r>
      <w:r w:rsidRPr="009B0448">
        <w:rPr>
          <w:rFonts w:ascii="Times New Roman" w:eastAsia="Times New Roman" w:hAnsi="Times New Roman" w:cs="Times New Roman"/>
        </w:rPr>
        <w:t xml:space="preserve"> Sacred spaces are areas that have spiritual relevance for communities, the zones in which the concept of sacredness is invoked to mark a distinction between the divine and the profane (Roe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2009). In</w:t>
      </w:r>
      <w:r w:rsidR="00C813C5">
        <w:rPr>
          <w:rFonts w:ascii="Times New Roman" w:eastAsia="Times New Roman" w:hAnsi="Times New Roman" w:cs="Times New Roman"/>
        </w:rPr>
        <w:t xml:space="preserve"> many places, these are recognis</w:t>
      </w:r>
      <w:r w:rsidRPr="009B0448">
        <w:rPr>
          <w:rFonts w:ascii="Times New Roman" w:eastAsia="Times New Roman" w:hAnsi="Times New Roman" w:cs="Times New Roman"/>
        </w:rPr>
        <w:t xml:space="preserve">ed as marking a distinction between spaces imbued with spirituality and the spaces of everyday life. They represent the symbolic connection between humanity and the forces that </w:t>
      </w:r>
      <w:r w:rsidR="00C813C5">
        <w:rPr>
          <w:rFonts w:ascii="Times New Roman" w:eastAsia="Times New Roman" w:hAnsi="Times New Roman" w:cs="Times New Roman"/>
        </w:rPr>
        <w:t>drive nature. Ghana has recognis</w:t>
      </w:r>
      <w:r w:rsidRPr="009B0448">
        <w:rPr>
          <w:rFonts w:ascii="Times New Roman" w:eastAsia="Times New Roman" w:hAnsi="Times New Roman" w:cs="Times New Roman"/>
        </w:rPr>
        <w:t xml:space="preserve">ed the oldest community protected area in Africa, the Boabeng Fiema Monkey Sanctuary, created in 1975. Other examples of indigenous and community conserved areas are well known in Africa: the Wechiau hippo sanctuary in </w:t>
      </w:r>
      <w:r w:rsidR="00FD3EB4" w:rsidRPr="009B0448">
        <w:rPr>
          <w:rFonts w:ascii="Times New Roman" w:eastAsia="Times New Roman" w:hAnsi="Times New Roman" w:cs="Times New Roman"/>
        </w:rPr>
        <w:t>north-western</w:t>
      </w:r>
      <w:r w:rsidRPr="009B0448">
        <w:rPr>
          <w:rFonts w:ascii="Times New Roman" w:eastAsia="Times New Roman" w:hAnsi="Times New Roman" w:cs="Times New Roman"/>
        </w:rPr>
        <w:t xml:space="preserve"> Ghana officially recognised in 1999, the Urok Islands community protected marine area in Guinea Bissau recognised in 2005, the village hunting zone of Boumoana in eastern Burkina Faso, the sacred forests in the centre of Benin and the south</w:t>
      </w:r>
      <w:r w:rsidR="00FD3EB4">
        <w:rPr>
          <w:rFonts w:ascii="Times New Roman" w:eastAsia="Times New Roman" w:hAnsi="Times New Roman" w:cs="Times New Roman"/>
        </w:rPr>
        <w:t>-</w:t>
      </w:r>
      <w:r w:rsidRPr="009B0448">
        <w:rPr>
          <w:rFonts w:ascii="Times New Roman" w:eastAsia="Times New Roman" w:hAnsi="Times New Roman" w:cs="Times New Roman"/>
        </w:rPr>
        <w:t xml:space="preserve">eastern of Togo, the villages hunting zones in Central African Republic and the zones of cynegetic interest in the </w:t>
      </w:r>
      <w:r w:rsidR="00FD3EB4" w:rsidRPr="009B0448">
        <w:rPr>
          <w:rFonts w:ascii="Times New Roman" w:eastAsia="Times New Roman" w:hAnsi="Times New Roman" w:cs="Times New Roman"/>
        </w:rPr>
        <w:t>south-eastern</w:t>
      </w:r>
      <w:r w:rsidRPr="009B0448">
        <w:rPr>
          <w:rFonts w:ascii="Times New Roman" w:eastAsia="Times New Roman" w:hAnsi="Times New Roman" w:cs="Times New Roman"/>
        </w:rPr>
        <w:t xml:space="preserve"> and north of Cameroon) (UICN, 2009). In these spaces, revival or modification of traditional practices and/or new initiatives succeed in protecting and restoring natural resources and cultural values of the communities. The communities management decisions and efforts lead to the conservation of </w:t>
      </w:r>
      <w:r w:rsidRPr="00C87E0F">
        <w:rPr>
          <w:rFonts w:ascii="Times New Roman" w:hAnsi="Times New Roman" w:cs="Times New Roman"/>
        </w:rPr>
        <w:t>habitats</w:t>
      </w:r>
      <w:r w:rsidRPr="009B0448">
        <w:rPr>
          <w:rFonts w:ascii="Times New Roman" w:eastAsia="Times New Roman" w:hAnsi="Times New Roman" w:cs="Times New Roman"/>
        </w:rPr>
        <w:t xml:space="preserve">, species, </w:t>
      </w:r>
      <w:r w:rsidRPr="00C87E0F">
        <w:rPr>
          <w:rFonts w:ascii="Times New Roman" w:hAnsi="Times New Roman" w:cs="Times New Roman"/>
        </w:rPr>
        <w:t>genetic diversity</w:t>
      </w:r>
      <w:r w:rsidRPr="009B0448">
        <w:rPr>
          <w:rFonts w:ascii="Times New Roman" w:eastAsia="Times New Roman" w:hAnsi="Times New Roman" w:cs="Times New Roman"/>
        </w:rPr>
        <w:t xml:space="preserve">, ecological functions/ benefits and associated cultural values, even when the conscious objective of management is not conservation (for example, it may be </w:t>
      </w:r>
      <w:r w:rsidRPr="00C87E0F">
        <w:rPr>
          <w:rFonts w:ascii="Times New Roman" w:hAnsi="Times New Roman" w:cs="Times New Roman"/>
        </w:rPr>
        <w:t>livelihoods</w:t>
      </w:r>
      <w:r w:rsidRPr="009B0448">
        <w:rPr>
          <w:rFonts w:ascii="Times New Roman" w:eastAsia="Times New Roman" w:hAnsi="Times New Roman" w:cs="Times New Roman"/>
        </w:rPr>
        <w:t xml:space="preserve">, </w:t>
      </w:r>
      <w:r w:rsidRPr="00C87E0F">
        <w:rPr>
          <w:rFonts w:ascii="Times New Roman" w:hAnsi="Times New Roman" w:cs="Times New Roman"/>
        </w:rPr>
        <w:t>security</w:t>
      </w:r>
      <w:r w:rsidRPr="009B0448">
        <w:rPr>
          <w:rFonts w:ascii="Times New Roman" w:eastAsia="Times New Roman" w:hAnsi="Times New Roman" w:cs="Times New Roman"/>
        </w:rPr>
        <w:t xml:space="preserve">, safeguarding cultural and spiritual values). The community-based areas also meet social needs, such as maintaining local culture, increasing opportunities for income generation, and improving health and well-being. </w:t>
      </w:r>
    </w:p>
    <w:p w14:paraId="25091485" w14:textId="77777777" w:rsidR="009B0448" w:rsidRPr="009B0448" w:rsidRDefault="009B0448" w:rsidP="009B0448">
      <w:pPr>
        <w:spacing w:line="276" w:lineRule="auto"/>
        <w:jc w:val="both"/>
        <w:rPr>
          <w:rFonts w:ascii="Times New Roman" w:eastAsia="Times New Roman" w:hAnsi="Times New Roman" w:cs="Times New Roman"/>
        </w:rPr>
      </w:pPr>
    </w:p>
    <w:p w14:paraId="6864FC58"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Communal Areas Management Program for Indigenous Resources, well known as CAMPFIRE, is a program developed largely around the concept of managing wildlife and wildlife habitat in the communal lands of Zimbabwe for the benefit of the people living in these areas. It was one of the first programs to consider wildlife as renewable natural resources, while addressing the allocation of its ownership to indigenous peoples in and around conservation protected areas (Frost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During 1989–2001, CAMPFIRE generated over $20 million of transfers to the participating communities, 89% of which came from sport hunting. The scale of benefits varied greatly across districts, wards and households. Twelve of the 37 districts with authority to market wildlife produced 97% of all CAMPFIRE revenues, reflecting the variability in wildlife resources and local institutional arrangements. The Program has been widely emulated in Southern and Eastern Africa. The impact on rural populations was important in terms of social infrastructures. Biodiversity benefits have been witnessed since CAMPFIRE's inception; elephant numbers increased, buffalo numbers are either stable or witnessing a slight decrease, and habitat loss diminished. Another example of community-based conservation can be drawn from Namibia, whereby some nature conservancies cover their operating costs with income derived from trophy hunting and from tourism (Naidoo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2016a). The two activities together provide the greatest incentives for conservation on communal lands in Namibia. A singular focus on either hunting or tourism would reduce the value of wildlife as a competitive land-use option and would have grave repercussions for the viability of community-based conservation efforts in Namibia, and possibly other parts of Africa (Naidoo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2016a).</w:t>
      </w:r>
    </w:p>
    <w:p w14:paraId="0531A77F" w14:textId="77777777" w:rsidR="009B0448" w:rsidRPr="009B0448" w:rsidRDefault="009B0448" w:rsidP="009B0448">
      <w:pPr>
        <w:spacing w:line="276" w:lineRule="auto"/>
        <w:jc w:val="both"/>
        <w:rPr>
          <w:rFonts w:ascii="Times New Roman" w:eastAsia="Times New Roman" w:hAnsi="Times New Roman" w:cs="Times New Roman"/>
        </w:rPr>
      </w:pPr>
    </w:p>
    <w:p w14:paraId="5CF35959" w14:textId="111AFCEA" w:rsidR="009B0448" w:rsidRPr="009B0448" w:rsidRDefault="009B0448" w:rsidP="009B0448">
      <w:pPr>
        <w:pStyle w:val="NoSpacing"/>
        <w:spacing w:line="276" w:lineRule="auto"/>
        <w:jc w:val="both"/>
        <w:rPr>
          <w:rFonts w:ascii="Times New Roman" w:hAnsi="Times New Roman" w:cs="Times New Roman"/>
        </w:rPr>
      </w:pPr>
      <w:r w:rsidRPr="009B0448">
        <w:rPr>
          <w:rFonts w:ascii="Times New Roman" w:hAnsi="Times New Roman" w:cs="Times New Roman"/>
        </w:rPr>
        <w:t>Despite increasing recognition of community-based conservation initiatives in international conservation policies, there is still great neglect in terms of their effective and appropriate recognition in national policies and practices (Rwabiteta, 2002). When they have no legal recognition within a countr</w:t>
      </w:r>
      <w:r w:rsidR="00C813C5">
        <w:rPr>
          <w:rFonts w:ascii="Times New Roman" w:hAnsi="Times New Roman" w:cs="Times New Roman"/>
        </w:rPr>
        <w:t>y, they may also not be recognis</w:t>
      </w:r>
      <w:r w:rsidRPr="009B0448">
        <w:rPr>
          <w:rFonts w:ascii="Times New Roman" w:hAnsi="Times New Roman" w:cs="Times New Roman"/>
        </w:rPr>
        <w:t xml:space="preserve">ed or respected by private entities and neighbouring communities. In such cases, they are vulnerable through land and water being appropriated or reallocated for an alternative use. They may also suffer of changing value systems, increased pressure on natural resources and other internal tensions. They are exposed to both external and internal threats: imposed development and resource exploitation processes, such as </w:t>
      </w:r>
      <w:r w:rsidRPr="00C87E0F">
        <w:rPr>
          <w:rFonts w:ascii="Times New Roman" w:hAnsi="Times New Roman" w:cs="Times New Roman"/>
        </w:rPr>
        <w:t>mining</w:t>
      </w:r>
      <w:r w:rsidRPr="009B0448">
        <w:rPr>
          <w:rFonts w:ascii="Times New Roman" w:hAnsi="Times New Roman" w:cs="Times New Roman"/>
        </w:rPr>
        <w:t xml:space="preserve"> and resource extraction, </w:t>
      </w:r>
      <w:r w:rsidRPr="00C87E0F">
        <w:rPr>
          <w:rFonts w:ascii="Times New Roman" w:hAnsi="Times New Roman" w:cs="Times New Roman"/>
        </w:rPr>
        <w:t>logging</w:t>
      </w:r>
      <w:r w:rsidRPr="009B0448">
        <w:rPr>
          <w:rFonts w:ascii="Times New Roman" w:hAnsi="Times New Roman" w:cs="Times New Roman"/>
        </w:rPr>
        <w:t xml:space="preserve">, tree plantation, </w:t>
      </w:r>
      <w:r w:rsidRPr="00C87E0F">
        <w:rPr>
          <w:rFonts w:ascii="Times New Roman" w:hAnsi="Times New Roman" w:cs="Times New Roman"/>
        </w:rPr>
        <w:t>industrial fishing</w:t>
      </w:r>
      <w:r w:rsidRPr="009B0448">
        <w:rPr>
          <w:rFonts w:ascii="Times New Roman" w:hAnsi="Times New Roman" w:cs="Times New Roman"/>
        </w:rPr>
        <w:t xml:space="preserve">, sea </w:t>
      </w:r>
      <w:r w:rsidRPr="00C87E0F">
        <w:rPr>
          <w:rFonts w:ascii="Times New Roman" w:hAnsi="Times New Roman" w:cs="Times New Roman"/>
        </w:rPr>
        <w:t>dredging</w:t>
      </w:r>
      <w:r w:rsidRPr="009B0448">
        <w:rPr>
          <w:rFonts w:ascii="Times New Roman" w:hAnsi="Times New Roman" w:cs="Times New Roman"/>
        </w:rPr>
        <w:t xml:space="preserve">, land conversion to large-scale grazing or </w:t>
      </w:r>
      <w:r w:rsidRPr="00C87E0F">
        <w:rPr>
          <w:rFonts w:ascii="Times New Roman" w:hAnsi="Times New Roman" w:cs="Times New Roman"/>
        </w:rPr>
        <w:t>agriculture</w:t>
      </w:r>
      <w:r w:rsidRPr="009B0448">
        <w:rPr>
          <w:rFonts w:ascii="Times New Roman" w:hAnsi="Times New Roman" w:cs="Times New Roman"/>
        </w:rPr>
        <w:t xml:space="preserve">, </w:t>
      </w:r>
      <w:r w:rsidR="00C813C5">
        <w:rPr>
          <w:rFonts w:ascii="Times New Roman" w:hAnsi="Times New Roman" w:cs="Times New Roman"/>
        </w:rPr>
        <w:t>urbanis</w:t>
      </w:r>
      <w:r w:rsidRPr="00C87E0F">
        <w:rPr>
          <w:rFonts w:ascii="Times New Roman" w:hAnsi="Times New Roman" w:cs="Times New Roman"/>
        </w:rPr>
        <w:t>ation</w:t>
      </w:r>
      <w:r w:rsidRPr="009B0448">
        <w:rPr>
          <w:rFonts w:ascii="Times New Roman" w:hAnsi="Times New Roman" w:cs="Times New Roman"/>
        </w:rPr>
        <w:t xml:space="preserve"> and major infrastructure (roads, ports, airports, dams, tourism).</w:t>
      </w:r>
    </w:p>
    <w:p w14:paraId="7EB79D98"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339" w:name="_Toc503032805"/>
      <w:bookmarkStart w:id="340" w:name="_Toc519499982"/>
      <w:r w:rsidRPr="009B0448">
        <w:rPr>
          <w:rFonts w:eastAsia="Calibri" w:cs="Times New Roman"/>
          <w:szCs w:val="24"/>
        </w:rPr>
        <w:t>Positive Drivers of Change</w:t>
      </w:r>
      <w:bookmarkEnd w:id="339"/>
      <w:bookmarkEnd w:id="340"/>
    </w:p>
    <w:p w14:paraId="6525D07E" w14:textId="77777777"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rPr>
        <w:t>This section address measures taken to conserve and use biodiversity sustainably. It considers how positive drivers of change of biodiversity have positively contributed to nature’s contributions to people and to good quality of life. There will be a particular focus on protected areas, multilateral agreements, sustainable land management and improved interventions on management of land degradation in Africa. These are measures taken to conserve and use biodiversity sustainably, with tangible benefits for both people and the environment. The section on land degradation and restoration will be kept to a minimum considering that there is a thematic assessment that is entirely focusing on this subject.</w:t>
      </w:r>
    </w:p>
    <w:p w14:paraId="76BC70C6"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41" w:name="_Toc503032806"/>
      <w:bookmarkStart w:id="342" w:name="_Toc519499983"/>
      <w:r w:rsidRPr="009B0448">
        <w:rPr>
          <w:rFonts w:cs="Times New Roman"/>
          <w:i w:val="0"/>
          <w:sz w:val="22"/>
          <w:szCs w:val="22"/>
        </w:rPr>
        <w:t>Protected areas as a driver of positive change</w:t>
      </w:r>
      <w:bookmarkEnd w:id="341"/>
      <w:bookmarkEnd w:id="342"/>
    </w:p>
    <w:p w14:paraId="363F5790"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Protected areas make an important contribution not only to conservation of wild species, but also the ecosystems in which these wild species live (Cantú-Salazar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Muhumuza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Stolton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Africa is one of the continents with of the last remnants of intact natural landscapes that have not been totally transformed by agriculture, human settlements or industrial development. Protected areas contribute to a broad range of socioeconomic and cultural values (ecosystem services or nature’s contributions to people) than just conservation of biodiversity (Cantú-Salazar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w:t>
      </w:r>
    </w:p>
    <w:p w14:paraId="370EFE10" w14:textId="77777777" w:rsidR="009B0448" w:rsidRPr="009B0448" w:rsidRDefault="009B0448" w:rsidP="009B0448">
      <w:pPr>
        <w:spacing w:line="276" w:lineRule="auto"/>
        <w:jc w:val="both"/>
        <w:rPr>
          <w:rFonts w:ascii="Times New Roman" w:eastAsia="Times New Roman" w:hAnsi="Times New Roman" w:cs="Times New Roman"/>
        </w:rPr>
      </w:pPr>
    </w:p>
    <w:p w14:paraId="553581FB"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the past, the contributions made by protected areas were taken for granted and their values underestimated especially when they were considered as simple measures to protect particular species or habitats of interest. However, an ecosystem services approach to protected areas received a major boost in the early 2000s due to growing recognition of their socioeconomic value beyond biodiversity conservation (Costanza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1997; MA, 2005; Kettunen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Thus, the conservation of biodiversity (species, genetic diversity within species and of habitats and ecosystems) is critical for ecosystem function and nature’s contributions to people (Cardinale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2012).</w:t>
      </w:r>
    </w:p>
    <w:p w14:paraId="00C84FAE" w14:textId="77777777" w:rsidR="009B0448" w:rsidRPr="009B0448" w:rsidRDefault="009B0448" w:rsidP="009B0448">
      <w:pPr>
        <w:spacing w:line="276" w:lineRule="auto"/>
        <w:jc w:val="both"/>
        <w:rPr>
          <w:rFonts w:ascii="Times New Roman" w:eastAsia="Times New Roman" w:hAnsi="Times New Roman" w:cs="Times New Roman"/>
        </w:rPr>
      </w:pPr>
    </w:p>
    <w:p w14:paraId="1FA5835B"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proportion of terrestrial and inland waters areas covered by Protected Areas in different regions of Africa are 19.1% in Central Africa, 14.8% in Eastern Africa, 5.8% in Northern Africa, 20.4% in Southern Africa, and 15.5% in Western Africa (Barnes, 2015). Thus only Central and Southern African regions have attained the Aichi Biodiversity Target 11 on terrestrial Protected Areas. Conversely, the continent has attained only 1.7% protection of the marine environment. Basing on area coverage alone as a measure of progress could result in establishment of large protected areas, which have little value and under little threat, neglecting areas where protection is most needed (Barnes, 2015).</w:t>
      </w:r>
    </w:p>
    <w:p w14:paraId="2BACF5EE" w14:textId="77777777" w:rsidR="009B0448" w:rsidRPr="009B0448" w:rsidRDefault="009B0448" w:rsidP="009B0448">
      <w:pPr>
        <w:spacing w:line="276" w:lineRule="auto"/>
        <w:jc w:val="both"/>
        <w:rPr>
          <w:rFonts w:ascii="Times New Roman" w:eastAsia="Times New Roman" w:hAnsi="Times New Roman" w:cs="Times New Roman"/>
        </w:rPr>
      </w:pPr>
    </w:p>
    <w:p w14:paraId="25636F76" w14:textId="1B65BB21"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concept of protected areas that involves forceful removal of indigenous people from their land dates back to the establishment of the Yellowstone National Park in the United States of America in 1872. This model was unfortunately been replicated around the world. Even today, indigenous and local communities are often stereotyped as small-scale consumers undermining the important role they play in shaping our environments into eco-sociological landscapes. The last two decades have seen greater appreciation of the role of traditional knowledge and practices in preserving biodiversity, motivated by indigenous peoples desire to live in their ancestral lands and safeguard local food security (Langton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Chibememe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The subsistence role rather than productivity role of diverse indigenous economies including fishing, hunting, herding and agriculture provide positive benefits to the environment. The disenfranchisement of local communities from traditional governance and management role in relation to natural resources is now more and more opposed by international conventions and non-governmental </w:t>
      </w:r>
      <w:r w:rsidR="00150166">
        <w:rPr>
          <w:rFonts w:ascii="Times New Roman" w:eastAsia="Times New Roman" w:hAnsi="Times New Roman" w:cs="Times New Roman"/>
        </w:rPr>
        <w:t>organis</w:t>
      </w:r>
      <w:r w:rsidRPr="009B0448">
        <w:rPr>
          <w:rFonts w:ascii="Times New Roman" w:eastAsia="Times New Roman" w:hAnsi="Times New Roman" w:cs="Times New Roman"/>
        </w:rPr>
        <w:t xml:space="preserve">ations. Several international and national frameworks are now supporting the development of community-oriented protected areas. Through the Convention on Biological Diversity for example, nations are now making considerations in their National Biodiversity Strategy and Action Plans to strengthen indigenous and local community involvement in situ conservation. </w:t>
      </w:r>
    </w:p>
    <w:p w14:paraId="72B7C257" w14:textId="77777777" w:rsidR="009B0448" w:rsidRPr="009B0448" w:rsidRDefault="009B0448" w:rsidP="009B0448">
      <w:pPr>
        <w:spacing w:line="276" w:lineRule="auto"/>
        <w:jc w:val="both"/>
        <w:rPr>
          <w:rFonts w:ascii="Times New Roman" w:eastAsia="Times New Roman" w:hAnsi="Times New Roman" w:cs="Times New Roman"/>
        </w:rPr>
      </w:pPr>
    </w:p>
    <w:p w14:paraId="0EA77C35"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Following the World Parks Congress of 2003 in Durban, the theme ‘Benefits beyond Boundaries’ gave impetus to the wildlife conservancy movement, particularly in sub-Saharan Africa (Bushell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The wildlife conservancy was adopted as an effective model to involve local communities in the conservation of wildlife as well as a tool through which to share financial benefits of the same. The model has shown promise, notably in Namibia where cash proceeds from hunting is paid directly to conservancy committees for use in management (Weaver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Other benefits accruing from this situation are improved attitude of local communities towards conservation practice, and increased involvement of locals in the safari hunting industry. The community conservancy model has also seen rapid expansion in East Africa, particularly in Northern Kenya driven by strong donor support and changes in wildlife conservation policy to include community participation. A major difference between this, and the southern African scenario is that the use of wildlife is non-consumptive, save for a few locations where shooting of various game birds is practiced. The primary purpose of the conservancies therefore, is to provide and maintain a tourism product. This fundamental basis has been the root of many challenges including loss of grazing rights due to creation of exclusive tourist zones, erratic income due to the fickle nature of the tourism industry, amongst other challenges. The most important challenge has been the introduction of a livelihood dependent on skills, contacts and other resources that local communities do not have or cannot access. The resultant discontent has occasionally manifested in violent resource competition and failure of tourism enterprises (Ogada, 2016). The cautionary lesson of these outcomes is that the sustainability of community conservancy model depends on its application, higher resolution to accommodate the socio-economic and cultural differences that occur across sub-Saharan Africa. Community-based protected areas have involved especially no-take zones for certain fisheries resources, managed entirely by communities. In East Africa, Beach Management Units are common around freshwater and marine resources for co-management and governance of fisheries resources. The success of any community-oriented protected area system depends on respect for the rights of access communities while at the same time ensuring wise and sustainable use (Kanyange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2014).</w:t>
      </w:r>
    </w:p>
    <w:p w14:paraId="4A54AB09" w14:textId="77777777" w:rsidR="009B0448" w:rsidRPr="009B0448" w:rsidRDefault="009B0448" w:rsidP="009B0448">
      <w:pPr>
        <w:spacing w:line="276" w:lineRule="auto"/>
        <w:jc w:val="both"/>
        <w:rPr>
          <w:rFonts w:ascii="Times New Roman" w:eastAsia="Times New Roman" w:hAnsi="Times New Roman" w:cs="Times New Roman"/>
        </w:rPr>
      </w:pPr>
    </w:p>
    <w:p w14:paraId="2D325170"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However, in cases of conflicting legislations in co-management of Protected Areas, governance dilemmas occur leading to habitat degradation and unsustainable harvest of ecosystem goods, for example in the Mount Marsabit National Park in Kenya (Roba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2004; Robinson, 2013). This policy approach has been severely criticised largely due to a) low added value for local communities, b) short-term vision, integrated projects of conservation and development that worsen conservation problems because they generate new inhabitants and therefore population pressure and overexploitation of resources, c) persistence of competition problems between hunting and, d) agriculture, ambiguous effects on incentives for conservation (Iritie, 2015). Although these areas are protected, many of them can go through periods of heavy poaching as described in section 4.2.2.2.3 on protected areas in terrestrial and inland waters. </w:t>
      </w:r>
    </w:p>
    <w:p w14:paraId="7E6AEF01"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343" w:name="_Toc503032807"/>
      <w:bookmarkStart w:id="344" w:name="_Toc519499984"/>
      <w:r w:rsidRPr="009B0448">
        <w:rPr>
          <w:rFonts w:cs="Times New Roman"/>
          <w:sz w:val="22"/>
          <w:szCs w:val="22"/>
        </w:rPr>
        <w:t>Protected areas in terrestrial and inland waters</w:t>
      </w:r>
      <w:bookmarkEnd w:id="343"/>
      <w:bookmarkEnd w:id="344"/>
    </w:p>
    <w:p w14:paraId="675FF7D7"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distribution of a strong network of protected areas spreads across Africa (Wegmann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Figure 4.28). Clear evidence of the role these have played in the conservation of biodiversity has been demonstrated. The rates of stocking of protected areas, especially with megaherbivores are a critical determinant of vegetation cover change within versus outside protected areas (Owen-Smith, 1988). In addition, contrasting land-use adjacent to protected areas causes fragmentation and loss of habitats. High vegetation cover loss has been recorded in some protected areas compared to their surroundings, thus requiring particular conservation attention as this makes connectivity among protected areas very difficult (Wegmann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Figure 4.27). </w:t>
      </w:r>
    </w:p>
    <w:p w14:paraId="67B3E452" w14:textId="5A643B82" w:rsidR="009B0448" w:rsidRPr="009B0448" w:rsidRDefault="009B0448" w:rsidP="009B0448">
      <w:pPr>
        <w:spacing w:line="276" w:lineRule="auto"/>
        <w:jc w:val="both"/>
        <w:rPr>
          <w:rFonts w:ascii="Times New Roman" w:eastAsia="AdvTTc999d02f" w:hAnsi="Times New Roman" w:cs="Times New Roman"/>
        </w:rPr>
      </w:pPr>
      <w:r w:rsidRPr="009B0448">
        <w:rPr>
          <w:rFonts w:ascii="Times New Roman" w:hAnsi="Times New Roman" w:cs="Times New Roman"/>
          <w:noProof/>
          <w:lang w:eastAsia="en-GB"/>
        </w:rPr>
        <w:drawing>
          <wp:inline distT="0" distB="0" distL="0" distR="0" wp14:anchorId="31307C0C" wp14:editId="4D4B9BD2">
            <wp:extent cx="5730240" cy="3572973"/>
            <wp:effectExtent l="0" t="0" r="3810" b="889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1066">
                      <a:extLst>
                        <a:ext uri="{28A0092B-C50C-407E-A947-70E740481C1C}">
                          <a14:useLocalDpi xmlns:a14="http://schemas.microsoft.com/office/drawing/2010/main" val="0"/>
                        </a:ext>
                      </a:extLst>
                    </a:blip>
                    <a:stretch>
                      <a:fillRect/>
                    </a:stretch>
                  </pic:blipFill>
                  <pic:spPr bwMode="auto">
                    <a:xfrm>
                      <a:off x="0" y="0"/>
                      <a:ext cx="5730240" cy="3572973"/>
                    </a:xfrm>
                    <a:prstGeom prst="rect">
                      <a:avLst/>
                    </a:prstGeom>
                    <a:noFill/>
                    <a:ln>
                      <a:noFill/>
                    </a:ln>
                  </pic:spPr>
                </pic:pic>
              </a:graphicData>
            </a:graphic>
          </wp:inline>
        </w:drawing>
      </w:r>
    </w:p>
    <w:p w14:paraId="08AE2EC6" w14:textId="3728A962"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 xml:space="preserve">Figure 4.27: </w:t>
      </w:r>
      <w:r w:rsidRPr="009B0448">
        <w:rPr>
          <w:rFonts w:ascii="Times New Roman" w:eastAsia="Times New Roman" w:hAnsi="Times New Roman" w:cs="Times New Roman"/>
        </w:rPr>
        <w:t>Africa’s Protected Area Connectedness Index (PARC-connectiv</w:t>
      </w:r>
      <w:r w:rsidR="00FB0991">
        <w:rPr>
          <w:rFonts w:ascii="Times New Roman" w:eastAsia="Times New Roman" w:hAnsi="Times New Roman" w:cs="Times New Roman"/>
        </w:rPr>
        <w:t>ity) in 2012. Source: GEO BON-</w:t>
      </w:r>
      <w:r w:rsidRPr="009B0448">
        <w:rPr>
          <w:rFonts w:ascii="Times New Roman" w:eastAsia="Times New Roman" w:hAnsi="Times New Roman" w:cs="Times New Roman"/>
        </w:rPr>
        <w:t>CSIRO, The figure prepared by Task Group on Indicators and Knowledge and Data Technical Support Unit).</w:t>
      </w:r>
    </w:p>
    <w:p w14:paraId="1D450BAB" w14:textId="77777777" w:rsidR="009B0448" w:rsidRPr="009B0448" w:rsidRDefault="009B0448" w:rsidP="009B0448">
      <w:pPr>
        <w:spacing w:line="276" w:lineRule="auto"/>
        <w:jc w:val="both"/>
        <w:rPr>
          <w:rFonts w:ascii="Times New Roman" w:hAnsi="Times New Roman" w:cs="Times New Roman"/>
        </w:rPr>
      </w:pPr>
    </w:p>
    <w:p w14:paraId="7CDD5943"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Protected areas however have their limits. Western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found that census conducted on Kenya’s wildlife populations showed declines in wildlife populations within protected area and adjacent reserves over a 30-year period. In some protected areas the declines were similar to non-protected areas (Western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Losses were in part due to poor coverage of seasonal ungulate migrations. It is thus important to monitor and quantify impact of conservation policies and strategies on wildlife populations in particular and biodiversity in general (Western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Lindsey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Thus an integrated landscape approach to conservation planning is important in ensuring suitable habitats for wildlife is conserved in state, private and community-based conservation measures. It is also important to note that many African protected areas are not functioning as effectively as originally intended, in part due to limited resources to maintain these areas as strictly protected and/or to enforce relevant legal frameworks (Lindsey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According to Lindsey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other reasons include: a) rapidly expanding human populations, poverty and open-access systems resulting in widespread bushmeat poaching and habitat encroachment; b) underfunding of responsible conservation agencies resulting in inadequate law enforcement; c) reliance of the same agencies on extracting revenues from concessionaries who manage operations within protected areas; d) poor efforts in access and benefit sharing with communities; amongst others. The combined effect of these challenges has been a major reduction in wildlife densities in many protected areas (Craigie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and related poaching and illegal trade in wildlife products (Ingram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2017). A major knowledge gap in this arena, which needs to be addressed is the impact of sport hunting on the populations of various species of megafauna in Africa. The current assumption of nil effect is scientifically untenable.</w:t>
      </w:r>
    </w:p>
    <w:p w14:paraId="52B65DBE" w14:textId="77777777" w:rsidR="009B0448" w:rsidRPr="009B0448" w:rsidRDefault="009B0448" w:rsidP="009B0448">
      <w:pPr>
        <w:spacing w:line="276" w:lineRule="auto"/>
        <w:jc w:val="both"/>
        <w:rPr>
          <w:rFonts w:ascii="Times New Roman" w:eastAsia="Times New Roman" w:hAnsi="Times New Roman" w:cs="Times New Roman"/>
        </w:rPr>
      </w:pPr>
    </w:p>
    <w:p w14:paraId="39372C59" w14:textId="319F2EC6" w:rsidR="009B0448" w:rsidRPr="009B0448" w:rsidRDefault="009B0448" w:rsidP="009B0448">
      <w:pPr>
        <w:spacing w:line="276" w:lineRule="auto"/>
        <w:jc w:val="both"/>
        <w:rPr>
          <w:rFonts w:ascii="Times New Roman" w:hAnsi="Times New Roman" w:cs="Times New Roman"/>
          <w:noProof/>
          <w:lang w:val="en-ZA"/>
        </w:rPr>
      </w:pPr>
      <w:r w:rsidRPr="009B0448">
        <w:rPr>
          <w:rFonts w:ascii="Times New Roman" w:eastAsia="Times New Roman" w:hAnsi="Times New Roman" w:cs="Times New Roman"/>
        </w:rPr>
        <w:t xml:space="preserve">The Convention on Biological Diversity’s Aichi Biodiversity Target 11, on protected areas, includes aspirations of reaching 17% protected area coverage of the world’s terrestrial and inland waters and 10% of coastal and marine areas, by 2020 (Ervin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By 2016, estimates of the chances of meeting these goals by the deadline, showed that terrestrial and inland waters is likely to be achieved in advance, and has exceeded projection for coastal and marine protected areas within national jurisdiction (UNEP-WCMC, 2016). The African continent as a whole is on track to achieving this goal with the current 15.4% coverage. Two out of five subregions, namely Eastern Africa (20%) and Southern Africa (20.8%), have exceeded the 17% target (Figure 4.28), while Central Africa at 16.6% is close to achieving this. Even though Northern Africa has less than 10% at the moment, if priority actions proposed in Morocco for 20 new protected areas and 30 Ramsar sites, will enable the </w:t>
      </w:r>
      <w:r w:rsidR="00B22D81">
        <w:rPr>
          <w:rFonts w:ascii="Times New Roman" w:eastAsia="Times New Roman" w:hAnsi="Times New Roman" w:cs="Times New Roman"/>
        </w:rPr>
        <w:t>subregion</w:t>
      </w:r>
      <w:r w:rsidRPr="009B0448">
        <w:rPr>
          <w:rFonts w:ascii="Times New Roman" w:eastAsia="Times New Roman" w:hAnsi="Times New Roman" w:cs="Times New Roman"/>
        </w:rPr>
        <w:t xml:space="preserve"> to remain on track. There are commitments to other conventions such as Ramsar showing a distribution of important bird areas and wetlands of international importance (Box 4.4) and the African Eurasian Waterbird Agreement between parties to the Convention for Migratory Species. The </w:t>
      </w:r>
      <w:r w:rsidRPr="009B0448">
        <w:rPr>
          <w:rFonts w:ascii="Times New Roman" w:hAnsi="Times New Roman" w:cs="Times New Roman"/>
        </w:rPr>
        <w:t>coverage of area by protected areas has been suggested to be a poor measu</w:t>
      </w:r>
      <w:r w:rsidR="00C813C5">
        <w:rPr>
          <w:rFonts w:ascii="Times New Roman" w:hAnsi="Times New Roman" w:cs="Times New Roman"/>
        </w:rPr>
        <w:t>re of progress, as also recognis</w:t>
      </w:r>
      <w:r w:rsidRPr="009B0448">
        <w:rPr>
          <w:rFonts w:ascii="Times New Roman" w:hAnsi="Times New Roman" w:cs="Times New Roman"/>
        </w:rPr>
        <w:t xml:space="preserve">ed by Aichi Target 11 (Barnes, 2015), and a more holistic approach of Key Biodiversity Areas has been proposed </w:t>
      </w:r>
      <w:r w:rsidRPr="009B0448">
        <w:rPr>
          <w:rFonts w:ascii="Times New Roman" w:hAnsi="Times New Roman" w:cs="Times New Roman"/>
          <w:noProof/>
        </w:rPr>
        <w:t xml:space="preserve">(Brooks </w:t>
      </w:r>
      <w:r w:rsidRPr="009B0448">
        <w:rPr>
          <w:rFonts w:ascii="Times New Roman" w:hAnsi="Times New Roman" w:cs="Times New Roman"/>
          <w:i/>
          <w:noProof/>
        </w:rPr>
        <w:t>et al.</w:t>
      </w:r>
      <w:r w:rsidRPr="009B0448">
        <w:rPr>
          <w:rFonts w:ascii="Times New Roman" w:hAnsi="Times New Roman" w:cs="Times New Roman"/>
          <w:noProof/>
        </w:rPr>
        <w:t>, 2016)</w:t>
      </w:r>
      <w:r w:rsidRPr="009B0448">
        <w:rPr>
          <w:rFonts w:ascii="Times New Roman" w:hAnsi="Times New Roman" w:cs="Times New Roman"/>
        </w:rPr>
        <w:t>.</w:t>
      </w:r>
      <w:r w:rsidRPr="009B0448">
        <w:rPr>
          <w:rFonts w:ascii="Times New Roman" w:hAnsi="Times New Roman" w:cs="Times New Roman"/>
          <w:noProof/>
          <w:lang w:val="en-ZA"/>
        </w:rPr>
        <w:t xml:space="preserve"> </w:t>
      </w:r>
    </w:p>
    <w:p w14:paraId="14AD2282" w14:textId="77777777" w:rsidR="009B0448" w:rsidRPr="009B0448" w:rsidRDefault="009B0448" w:rsidP="009B0448">
      <w:pPr>
        <w:spacing w:line="276" w:lineRule="auto"/>
        <w:jc w:val="both"/>
        <w:rPr>
          <w:rFonts w:ascii="Times New Roman" w:hAnsi="Times New Roman" w:cs="Times New Roman"/>
          <w:noProof/>
          <w:lang w:val="en-ZA"/>
        </w:rPr>
      </w:pPr>
    </w:p>
    <w:p w14:paraId="51119657" w14:textId="3FF280B8"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noProof/>
          <w:lang w:eastAsia="en-GB"/>
        </w:rPr>
        <w:drawing>
          <wp:inline distT="0" distB="0" distL="0" distR="0" wp14:anchorId="2C13A0F7" wp14:editId="4BB6D411">
            <wp:extent cx="5577840" cy="6606540"/>
            <wp:effectExtent l="0" t="0" r="381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067">
                      <a:extLst>
                        <a:ext uri="{28A0092B-C50C-407E-A947-70E740481C1C}">
                          <a14:useLocalDpi xmlns:a14="http://schemas.microsoft.com/office/drawing/2010/main" val="0"/>
                        </a:ext>
                      </a:extLst>
                    </a:blip>
                    <a:srcRect r="2682" b="1756"/>
                    <a:stretch>
                      <a:fillRect/>
                    </a:stretch>
                  </pic:blipFill>
                  <pic:spPr bwMode="auto">
                    <a:xfrm>
                      <a:off x="0" y="0"/>
                      <a:ext cx="5577840" cy="6606540"/>
                    </a:xfrm>
                    <a:prstGeom prst="rect">
                      <a:avLst/>
                    </a:prstGeom>
                    <a:noFill/>
                    <a:ln>
                      <a:noFill/>
                    </a:ln>
                  </pic:spPr>
                </pic:pic>
              </a:graphicData>
            </a:graphic>
          </wp:inline>
        </w:drawing>
      </w:r>
    </w:p>
    <w:p w14:paraId="2AC15B87" w14:textId="7AEF4ABD" w:rsidR="009B0448" w:rsidRPr="009B0448" w:rsidRDefault="009B0448" w:rsidP="009B0448">
      <w:pPr>
        <w:spacing w:line="276" w:lineRule="auto"/>
        <w:rPr>
          <w:rFonts w:ascii="Times New Roman" w:hAnsi="Times New Roman" w:cs="Times New Roman"/>
        </w:rPr>
      </w:pPr>
      <w:r w:rsidRPr="009B0448">
        <w:rPr>
          <w:rFonts w:ascii="Times New Roman" w:hAnsi="Times New Roman" w:cs="Times New Roman"/>
          <w:noProof/>
          <w:lang w:eastAsia="en-GB"/>
        </w:rPr>
        <w:drawing>
          <wp:inline distT="0" distB="0" distL="0" distR="0" wp14:anchorId="0812FDF3" wp14:editId="126FF221">
            <wp:extent cx="5730240" cy="2668613"/>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1068">
                      <a:extLst>
                        <a:ext uri="{28A0092B-C50C-407E-A947-70E740481C1C}">
                          <a14:useLocalDpi xmlns:a14="http://schemas.microsoft.com/office/drawing/2010/main" val="0"/>
                        </a:ext>
                      </a:extLst>
                    </a:blip>
                    <a:stretch>
                      <a:fillRect/>
                    </a:stretch>
                  </pic:blipFill>
                  <pic:spPr bwMode="auto">
                    <a:xfrm>
                      <a:off x="0" y="0"/>
                      <a:ext cx="5773232" cy="2688635"/>
                    </a:xfrm>
                    <a:prstGeom prst="rect">
                      <a:avLst/>
                    </a:prstGeom>
                    <a:noFill/>
                    <a:ln>
                      <a:noFill/>
                    </a:ln>
                  </pic:spPr>
                </pic:pic>
              </a:graphicData>
            </a:graphic>
          </wp:inline>
        </w:drawing>
      </w:r>
    </w:p>
    <w:p w14:paraId="56E10E4D" w14:textId="5C34CA4E"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hAnsi="Times New Roman" w:cs="Times New Roman"/>
          <w:b/>
          <w:bCs/>
        </w:rPr>
        <w:t xml:space="preserve">Figure 4.28: </w:t>
      </w:r>
      <w:r w:rsidR="00B22D81">
        <w:rPr>
          <w:rFonts w:ascii="Times New Roman" w:hAnsi="Times New Roman" w:cs="Times New Roman"/>
        </w:rPr>
        <w:t>Subregion</w:t>
      </w:r>
      <w:r w:rsidRPr="009B0448">
        <w:rPr>
          <w:rFonts w:ascii="Times New Roman" w:hAnsi="Times New Roman" w:cs="Times New Roman"/>
        </w:rPr>
        <w:t>al status of terrestrial protect</w:t>
      </w:r>
      <w:r w:rsidR="00442F3D">
        <w:rPr>
          <w:rFonts w:ascii="Times New Roman" w:hAnsi="Times New Roman" w:cs="Times New Roman"/>
        </w:rPr>
        <w:t>ed area coverage in Africa, 2017</w:t>
      </w:r>
      <w:r w:rsidRPr="009B0448">
        <w:rPr>
          <w:rFonts w:ascii="Times New Roman" w:hAnsi="Times New Roman" w:cs="Times New Roman"/>
        </w:rPr>
        <w:t xml:space="preserve">. Note: circles represent mean and bars represent confidence intervals. Source: UNEP-WCMC </w:t>
      </w:r>
      <w:r w:rsidR="003677D9" w:rsidRPr="003677D9">
        <w:rPr>
          <w:rFonts w:ascii="Times New Roman" w:hAnsi="Times New Roman" w:cs="Times New Roman"/>
          <w:i/>
        </w:rPr>
        <w:t>et al.</w:t>
      </w:r>
      <w:r w:rsidR="003677D9">
        <w:rPr>
          <w:rFonts w:ascii="Times New Roman" w:hAnsi="Times New Roman" w:cs="Times New Roman"/>
        </w:rPr>
        <w:t xml:space="preserve"> (2017). </w:t>
      </w:r>
      <w:r w:rsidR="003677D9" w:rsidRPr="009B0448">
        <w:rPr>
          <w:rFonts w:ascii="Times New Roman" w:hAnsi="Times New Roman" w:cs="Times New Roman"/>
        </w:rPr>
        <w:t>Figure prepared by the IPBES Task Group on Indicators and Knowledge and Data Technical Support Unit.</w:t>
      </w:r>
    </w:p>
    <w:p w14:paraId="12EE8C06"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345" w:name="_Toc503032808"/>
      <w:bookmarkStart w:id="346" w:name="_Toc519499985"/>
      <w:r w:rsidRPr="009B0448">
        <w:rPr>
          <w:rFonts w:cs="Times New Roman"/>
          <w:sz w:val="22"/>
          <w:szCs w:val="22"/>
        </w:rPr>
        <w:t>Coastal and Marine protected areas</w:t>
      </w:r>
      <w:bookmarkEnd w:id="345"/>
      <w:bookmarkEnd w:id="346"/>
    </w:p>
    <w:p w14:paraId="647E72CE"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Africa’s Marine Protected Area (MPA) coverage is relatively low compared to Western European and Others Group where larger MPA networks exist. At subregional level Northern Africa has the largest coverage (9.1%), followed by Central, Southern, Western and Eastern Africa. At national level, DRC, Namibia and Mauritania, South Africa has the most area protected (Figure 4.29). </w:t>
      </w:r>
    </w:p>
    <w:p w14:paraId="6207449E" w14:textId="77777777" w:rsidR="009B0448" w:rsidRPr="009B0448" w:rsidRDefault="009B0448" w:rsidP="009B0448">
      <w:pPr>
        <w:spacing w:line="276" w:lineRule="auto"/>
        <w:jc w:val="both"/>
        <w:rPr>
          <w:rFonts w:ascii="Times New Roman" w:eastAsia="Times New Roman" w:hAnsi="Times New Roman" w:cs="Times New Roman"/>
        </w:rPr>
      </w:pPr>
    </w:p>
    <w:p w14:paraId="4BE03DEF" w14:textId="7B056F30" w:rsidR="009B0448" w:rsidRPr="009B0448" w:rsidRDefault="009B0448" w:rsidP="009B0448">
      <w:pPr>
        <w:spacing w:line="276" w:lineRule="auto"/>
        <w:rPr>
          <w:rFonts w:ascii="Times New Roman" w:hAnsi="Times New Roman" w:cs="Times New Roman"/>
        </w:rPr>
      </w:pPr>
      <w:r w:rsidRPr="009B0448">
        <w:rPr>
          <w:rFonts w:ascii="Times New Roman" w:hAnsi="Times New Roman" w:cs="Times New Roman"/>
          <w:noProof/>
          <w:lang w:eastAsia="en-GB"/>
        </w:rPr>
        <w:drawing>
          <wp:inline distT="0" distB="0" distL="0" distR="0" wp14:anchorId="5BA4FB10" wp14:editId="3B444909">
            <wp:extent cx="5730240" cy="2580537"/>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1069">
                      <a:extLst>
                        <a:ext uri="{28A0092B-C50C-407E-A947-70E740481C1C}">
                          <a14:useLocalDpi xmlns:a14="http://schemas.microsoft.com/office/drawing/2010/main" val="0"/>
                        </a:ext>
                      </a:extLst>
                    </a:blip>
                    <a:stretch>
                      <a:fillRect/>
                    </a:stretch>
                  </pic:blipFill>
                  <pic:spPr bwMode="auto">
                    <a:xfrm>
                      <a:off x="0" y="0"/>
                      <a:ext cx="5730240" cy="2580537"/>
                    </a:xfrm>
                    <a:prstGeom prst="rect">
                      <a:avLst/>
                    </a:prstGeom>
                    <a:noFill/>
                    <a:ln>
                      <a:noFill/>
                    </a:ln>
                  </pic:spPr>
                </pic:pic>
              </a:graphicData>
            </a:graphic>
          </wp:inline>
        </w:drawing>
      </w:r>
    </w:p>
    <w:p w14:paraId="74B4E02C" w14:textId="28C454DA" w:rsidR="009B0448" w:rsidRPr="009B0448" w:rsidRDefault="009B0448" w:rsidP="009B0448">
      <w:pPr>
        <w:spacing w:line="276" w:lineRule="auto"/>
        <w:jc w:val="both"/>
        <w:rPr>
          <w:rFonts w:ascii="Times New Roman" w:hAnsi="Times New Roman" w:cs="Times New Roman"/>
        </w:rPr>
      </w:pPr>
      <w:r w:rsidRPr="009B0448">
        <w:rPr>
          <w:rFonts w:ascii="Times New Roman" w:hAnsi="Times New Roman" w:cs="Times New Roman"/>
          <w:b/>
          <w:bCs/>
        </w:rPr>
        <w:t xml:space="preserve">Figure 4.29: </w:t>
      </w:r>
      <w:r w:rsidRPr="009B0448">
        <w:rPr>
          <w:rFonts w:ascii="Times New Roman" w:hAnsi="Times New Roman" w:cs="Times New Roman"/>
        </w:rPr>
        <w:t>Subregional status of marine</w:t>
      </w:r>
      <w:r w:rsidR="00442F3D">
        <w:rPr>
          <w:rFonts w:ascii="Times New Roman" w:hAnsi="Times New Roman" w:cs="Times New Roman"/>
        </w:rPr>
        <w:t xml:space="preserve"> protected areas in Africa, 2017</w:t>
      </w:r>
      <w:r w:rsidRPr="009B0448">
        <w:rPr>
          <w:rFonts w:ascii="Times New Roman" w:hAnsi="Times New Roman" w:cs="Times New Roman"/>
        </w:rPr>
        <w:t xml:space="preserve"> (Note: circles represent mean and bars represent confidence intervals). Source: UNEP-WCMC </w:t>
      </w:r>
      <w:r w:rsidR="003677D9" w:rsidRPr="00442F3D">
        <w:rPr>
          <w:rFonts w:ascii="Times New Roman" w:hAnsi="Times New Roman" w:cs="Times New Roman"/>
          <w:i/>
        </w:rPr>
        <w:t>et al.</w:t>
      </w:r>
      <w:r w:rsidR="003677D9" w:rsidRPr="003677D9">
        <w:rPr>
          <w:rFonts w:ascii="Times New Roman" w:hAnsi="Times New Roman" w:cs="Times New Roman"/>
        </w:rPr>
        <w:t xml:space="preserve"> (2017).</w:t>
      </w:r>
      <w:r w:rsidRPr="009B0448">
        <w:rPr>
          <w:rFonts w:ascii="Times New Roman" w:hAnsi="Times New Roman" w:cs="Times New Roman"/>
        </w:rPr>
        <w:t xml:space="preserve"> Figure prepared by the IPBES Task Group on Indicators and Knowledge and Data Technical Support Unit.</w:t>
      </w:r>
    </w:p>
    <w:p w14:paraId="5A08FCD5"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47" w:name="_Toc503032809"/>
      <w:bookmarkStart w:id="348" w:name="_Toc519499986"/>
      <w:r w:rsidRPr="009B0448">
        <w:rPr>
          <w:rFonts w:cs="Times New Roman"/>
          <w:i w:val="0"/>
          <w:sz w:val="22"/>
          <w:szCs w:val="22"/>
        </w:rPr>
        <w:t>Multilateral Environmental Agreements</w:t>
      </w:r>
      <w:bookmarkEnd w:id="347"/>
      <w:bookmarkEnd w:id="348"/>
    </w:p>
    <w:p w14:paraId="25D8532B"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major environmental concerns or issues in Africa include: climate change, land, freshwater, oceans and seas and biodiversity (UNEP, 1997; UNEP, 2012). These concerns have to a large extent guided the continent’s engagement with Multilateral Environment Agreements (MEAs), whereby the ratification of an MEA often reflects the importance that individual countries place on the issues it address. United Nations Convention to Combat Desertification, for example, is one of the most important environmental MEA processes for Africa. The special emphasis on the situation in Africa in the convention text has resulted in its receiving a high degree of political commitment and extensive support; in fact all African states are parties to the convention.</w:t>
      </w:r>
    </w:p>
    <w:p w14:paraId="76FB5FA6" w14:textId="77777777" w:rsidR="009B0448" w:rsidRPr="009B0448" w:rsidRDefault="009B0448" w:rsidP="009B0448">
      <w:pPr>
        <w:spacing w:line="276" w:lineRule="auto"/>
        <w:jc w:val="both"/>
        <w:rPr>
          <w:rFonts w:ascii="Times New Roman" w:eastAsia="Times New Roman" w:hAnsi="Times New Roman" w:cs="Times New Roman"/>
        </w:rPr>
      </w:pPr>
    </w:p>
    <w:p w14:paraId="24916B00" w14:textId="5849EEE3"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United Nations Framework Convention on Climate Change (UNFCCC) is al</w:t>
      </w:r>
      <w:r w:rsidR="000009C6">
        <w:rPr>
          <w:rFonts w:ascii="Times New Roman" w:eastAsia="Times New Roman" w:hAnsi="Times New Roman" w:cs="Times New Roman"/>
        </w:rPr>
        <w:t xml:space="preserve">so of high priority in Africa. </w:t>
      </w:r>
      <w:r w:rsidRPr="009B0448">
        <w:rPr>
          <w:rFonts w:ascii="Times New Roman" w:eastAsia="Times New Roman" w:hAnsi="Times New Roman" w:cs="Times New Roman"/>
        </w:rPr>
        <w:t xml:space="preserve">The Paris Agreement on climate change adopted in December 2015 further reinforced global commitments for the environment. UNFCCC parties agreed to hold the rise in average temperature to well below </w:t>
      </w:r>
      <w:r w:rsidR="00075662">
        <w:rPr>
          <w:rFonts w:ascii="Times New Roman" w:eastAsia="Times New Roman" w:hAnsi="Times New Roman" w:cs="Times New Roman"/>
        </w:rPr>
        <w:t>2°C above pre-industrial levels—and to try to limit it to 1.5°C—</w:t>
      </w:r>
      <w:r w:rsidRPr="009B0448">
        <w:rPr>
          <w:rFonts w:ascii="Times New Roman" w:eastAsia="Times New Roman" w:hAnsi="Times New Roman" w:cs="Times New Roman"/>
        </w:rPr>
        <w:t>while embracing the target of zero net emissions of greenhouse gases in the second half of this century. Nineteen nations have endorsed the Africa Clean Energy Corridor, which could increase the development of renewable energy projects from their present 12% of the East and Southern Africa Power Pool to at least 40 % by 2030. The Convention on Biological Diversity has led to the formulation of biodiversity plans and strategies, especially in countries where the depletion of tropical rain forests and the rapid disappearance of biodiversity has attracted national and international attention. Convention on International Trade in Endangered Species of Wild Fauna and Flora closely related to the Convention on Biological Diversity, has seen the development of national programs in much of Africa to help in the sustainable utilization and trade in wildlife (UNEP, 1997).</w:t>
      </w:r>
    </w:p>
    <w:p w14:paraId="79C2B70A" w14:textId="77777777" w:rsidR="009B0448" w:rsidRPr="009B0448" w:rsidRDefault="009B0448" w:rsidP="009B0448">
      <w:pPr>
        <w:spacing w:line="276" w:lineRule="auto"/>
        <w:jc w:val="both"/>
        <w:rPr>
          <w:rFonts w:ascii="Times New Roman" w:eastAsia="Times New Roman" w:hAnsi="Times New Roman" w:cs="Times New Roman"/>
        </w:rPr>
      </w:pPr>
    </w:p>
    <w:p w14:paraId="3DF4E4E2" w14:textId="35C41972"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Ramsar Convention on wetlands of international importance has 28 contracting parties in Africa. The Convention requires that parties designate at least one national wetland for inclusion in the List of Wetlands of International Importance. The floodplains of the Zambezi River and the Okavango Delta are among Southern Africa's major wetlands, providing a wide range of functions such as water and nutrient retention and flood control. They are also important for tourism. Other notable sites include the coral reefs of Tongaland</w:t>
      </w:r>
      <w:r w:rsidR="00F32B59">
        <w:rPr>
          <w:rFonts w:ascii="Times New Roman" w:eastAsia="Times New Roman" w:hAnsi="Times New Roman" w:cs="Times New Roman"/>
        </w:rPr>
        <w:t xml:space="preserve"> and</w:t>
      </w:r>
      <w:r w:rsidRPr="009B0448">
        <w:rPr>
          <w:rFonts w:ascii="Times New Roman" w:eastAsia="Times New Roman" w:hAnsi="Times New Roman" w:cs="Times New Roman"/>
        </w:rPr>
        <w:t xml:space="preserve"> the St Lucia System (South Africa)</w:t>
      </w:r>
      <w:r w:rsidR="00F32B59">
        <w:rPr>
          <w:rFonts w:ascii="Times New Roman" w:eastAsia="Times New Roman" w:hAnsi="Times New Roman" w:cs="Times New Roman"/>
        </w:rPr>
        <w:t>;</w:t>
      </w:r>
      <w:r w:rsidRPr="009B0448">
        <w:rPr>
          <w:rFonts w:ascii="Times New Roman" w:eastAsia="Times New Roman" w:hAnsi="Times New Roman" w:cs="Times New Roman"/>
        </w:rPr>
        <w:t xml:space="preserve"> the Kafue Flats and Bangweulu Swamps (Zambia); and in East Africa, the Lake George ecosystem in western Uganda and Lake Nakuru in Kenya (UNEP, 1997).</w:t>
      </w:r>
    </w:p>
    <w:p w14:paraId="76FD7B74" w14:textId="77777777" w:rsidR="009B0448" w:rsidRPr="009B0448" w:rsidRDefault="009B0448" w:rsidP="00FA7185">
      <w:pPr>
        <w:pStyle w:val="111"/>
        <w:numPr>
          <w:ilvl w:val="3"/>
          <w:numId w:val="17"/>
        </w:numPr>
        <w:pBdr>
          <w:top w:val="none" w:sz="0" w:space="0" w:color="auto"/>
          <w:left w:val="none" w:sz="0" w:space="0" w:color="auto"/>
          <w:bottom w:val="none" w:sz="0" w:space="0" w:color="auto"/>
          <w:right w:val="none" w:sz="0" w:space="0" w:color="auto"/>
          <w:between w:val="none" w:sz="0" w:space="0" w:color="auto"/>
        </w:pBdr>
        <w:spacing w:before="240" w:after="240"/>
        <w:ind w:left="851" w:hanging="862"/>
        <w:rPr>
          <w:rFonts w:cs="Times New Roman"/>
          <w:sz w:val="22"/>
          <w:szCs w:val="22"/>
        </w:rPr>
      </w:pPr>
      <w:bookmarkStart w:id="349" w:name="_Toc503032810"/>
      <w:bookmarkStart w:id="350" w:name="_Toc519499987"/>
      <w:r w:rsidRPr="009B0448">
        <w:rPr>
          <w:rFonts w:cs="Times New Roman"/>
          <w:sz w:val="22"/>
          <w:szCs w:val="22"/>
        </w:rPr>
        <w:t>African Union Agenda 2063</w:t>
      </w:r>
      <w:bookmarkEnd w:id="349"/>
      <w:bookmarkEnd w:id="350"/>
    </w:p>
    <w:p w14:paraId="75760AAC" w14:textId="35372712"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May 2013, African leaders met in Addis Ababa, Ethiopia to celebrate milestones and make development commitments for the next 50 years, producing the Agenda 2063. This agenda is a strategic framework for the socio-economic transformation of the continent building on existing growth and development initiatives. The Agenda aims at ensuring Africa remains focused and on track in its socio-economic development ideas within a rapidly changing world. These ideas are summarised under seven aspirations themed, the “Africa We Want”. The adoption of the 2030 Agenda for Sustainable Development and its associated Sustainable Development Goals, two and a half years later (in January 2016), ushered in a new era of global partnerships for sustainable development. This new development was perceived by Africa as an opportunity to consolidate its priorities and concerns. The Agenda 2030 is indeed reflective of the aspirations of Agenda 2063. In the environment pillar of sustainable development, for instance, goal seven of Agenda 2063, which focuses on environmentally sustainable and climate resilient economi</w:t>
      </w:r>
      <w:r w:rsidR="00F32B59">
        <w:rPr>
          <w:rFonts w:ascii="Times New Roman" w:eastAsia="Times New Roman" w:hAnsi="Times New Roman" w:cs="Times New Roman"/>
        </w:rPr>
        <w:t>es and communities, is aligned with</w:t>
      </w:r>
      <w:r w:rsidRPr="009B0448">
        <w:rPr>
          <w:rFonts w:ascii="Times New Roman" w:eastAsia="Times New Roman" w:hAnsi="Times New Roman" w:cs="Times New Roman"/>
        </w:rPr>
        <w:t xml:space="preserve"> the implementation of several Sustainable Development Goals on biodiversity, forests, oceans, and climate action among others</w:t>
      </w:r>
      <w:r w:rsidR="000009C6">
        <w:rPr>
          <w:rFonts w:ascii="Times New Roman" w:eastAsia="Times New Roman" w:hAnsi="Times New Roman" w:cs="Times New Roman"/>
        </w:rPr>
        <w:t xml:space="preserve"> (AU, 2015)</w:t>
      </w:r>
      <w:r w:rsidRPr="009B0448">
        <w:rPr>
          <w:rFonts w:ascii="Times New Roman" w:eastAsia="Times New Roman" w:hAnsi="Times New Roman" w:cs="Times New Roman"/>
        </w:rPr>
        <w:t>.</w:t>
      </w:r>
    </w:p>
    <w:p w14:paraId="4C845A4D" w14:textId="77777777" w:rsidR="009B0448" w:rsidRPr="009B0448" w:rsidRDefault="009B0448" w:rsidP="00FA7185">
      <w:pPr>
        <w:pStyle w:val="111"/>
        <w:numPr>
          <w:ilvl w:val="2"/>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cs="Times New Roman"/>
          <w:i w:val="0"/>
          <w:sz w:val="22"/>
          <w:szCs w:val="22"/>
        </w:rPr>
      </w:pPr>
      <w:bookmarkStart w:id="351" w:name="_Toc503032811"/>
      <w:bookmarkStart w:id="352" w:name="_Toc519499988"/>
      <w:r w:rsidRPr="009B0448">
        <w:rPr>
          <w:rFonts w:cs="Times New Roman"/>
          <w:i w:val="0"/>
          <w:sz w:val="22"/>
          <w:szCs w:val="22"/>
        </w:rPr>
        <w:t>Sustainable land management</w:t>
      </w:r>
      <w:bookmarkEnd w:id="351"/>
      <w:bookmarkEnd w:id="352"/>
    </w:p>
    <w:p w14:paraId="0C891285" w14:textId="548B5979"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Sustainable land management</w:t>
      </w:r>
      <w:r w:rsidR="00F32B59">
        <w:rPr>
          <w:rFonts w:ascii="Times New Roman" w:eastAsia="Times New Roman" w:hAnsi="Times New Roman" w:cs="Times New Roman"/>
        </w:rPr>
        <w:t xml:space="preserve"> (SLM)</w:t>
      </w:r>
      <w:r w:rsidRPr="009B0448">
        <w:rPr>
          <w:rFonts w:ascii="Times New Roman" w:eastAsia="Times New Roman" w:hAnsi="Times New Roman" w:cs="Times New Roman"/>
        </w:rPr>
        <w:t xml:space="preserve"> is defined as a knowledge-based procedure that helps integrate land, water, biodiversity, and environmental management (including input and output externalities) to meet rising food and fibre demands while sustaining ecosystem services and livelihoods. Sustainable land management is seen as the response mechanism to counter degradation of biodiversity and the provisioning of environmental services. It should be viewed as the driver of enhanced biodiversity in ecosystem service flows and is necessary to meet the requirements of a growing population. Improper land management can lead to land degradation and a significant reduction in the productive and service (biodiversity niches, hydrology, carbon sequestration) functions of watersheds and landscapes. (World Bank, 2008). In effect Sustainable land management is a positive driver to prevent or reverse degradation and to ensure communities can continue to reap sustainable flows of ecosystem services from the land. According to the World Bank (2008), SLM should: </w:t>
      </w:r>
    </w:p>
    <w:p w14:paraId="019823EE" w14:textId="77777777" w:rsidR="009B0448" w:rsidRPr="009B0448" w:rsidRDefault="009B0448" w:rsidP="00FA7185">
      <w:pPr>
        <w:widowControl w:val="0"/>
        <w:numPr>
          <w:ilvl w:val="0"/>
          <w:numId w:val="21"/>
        </w:numPr>
        <w:pBdr>
          <w:top w:val="none" w:sz="0" w:space="0" w:color="auto"/>
          <w:left w:val="none" w:sz="0" w:space="0" w:color="auto"/>
          <w:bottom w:val="none" w:sz="0" w:space="0" w:color="auto"/>
          <w:right w:val="none" w:sz="0" w:space="0" w:color="auto"/>
          <w:between w:val="none" w:sz="0" w:space="0" w:color="auto"/>
        </w:pBdr>
        <w:spacing w:line="276" w:lineRule="auto"/>
        <w:contextualSpacing/>
        <w:jc w:val="both"/>
        <w:rPr>
          <w:rFonts w:ascii="Times New Roman" w:hAnsi="Times New Roman" w:cs="Times New Roman"/>
        </w:rPr>
      </w:pPr>
      <w:r w:rsidRPr="009B0448">
        <w:rPr>
          <w:rFonts w:ascii="Times New Roman" w:hAnsi="Times New Roman" w:cs="Times New Roman"/>
        </w:rPr>
        <w:t xml:space="preserve">Foster an enabling environment for broad-based and sustainable rural growth; </w:t>
      </w:r>
    </w:p>
    <w:p w14:paraId="44A709FF" w14:textId="77777777" w:rsidR="009B0448" w:rsidRPr="009B0448" w:rsidRDefault="009B0448" w:rsidP="00FA7185">
      <w:pPr>
        <w:widowControl w:val="0"/>
        <w:numPr>
          <w:ilvl w:val="0"/>
          <w:numId w:val="21"/>
        </w:numPr>
        <w:pBdr>
          <w:top w:val="none" w:sz="0" w:space="0" w:color="auto"/>
          <w:left w:val="none" w:sz="0" w:space="0" w:color="auto"/>
          <w:bottom w:val="none" w:sz="0" w:space="0" w:color="auto"/>
          <w:right w:val="none" w:sz="0" w:space="0" w:color="auto"/>
          <w:between w:val="none" w:sz="0" w:space="0" w:color="auto"/>
        </w:pBdr>
        <w:spacing w:line="276" w:lineRule="auto"/>
        <w:contextualSpacing/>
        <w:jc w:val="both"/>
        <w:rPr>
          <w:rFonts w:ascii="Times New Roman" w:hAnsi="Times New Roman" w:cs="Times New Roman"/>
        </w:rPr>
      </w:pPr>
      <w:r w:rsidRPr="009B0448">
        <w:rPr>
          <w:rFonts w:ascii="Times New Roman" w:hAnsi="Times New Roman" w:cs="Times New Roman"/>
        </w:rPr>
        <w:t xml:space="preserve">Promote agricultural productivity and competitiveness; </w:t>
      </w:r>
    </w:p>
    <w:p w14:paraId="57375FBE" w14:textId="77777777" w:rsidR="009B0448" w:rsidRPr="009B0448" w:rsidRDefault="009B0448" w:rsidP="00FA7185">
      <w:pPr>
        <w:widowControl w:val="0"/>
        <w:numPr>
          <w:ilvl w:val="0"/>
          <w:numId w:val="21"/>
        </w:numPr>
        <w:pBdr>
          <w:top w:val="none" w:sz="0" w:space="0" w:color="auto"/>
          <w:left w:val="none" w:sz="0" w:space="0" w:color="auto"/>
          <w:bottom w:val="none" w:sz="0" w:space="0" w:color="auto"/>
          <w:right w:val="none" w:sz="0" w:space="0" w:color="auto"/>
          <w:between w:val="none" w:sz="0" w:space="0" w:color="auto"/>
        </w:pBdr>
        <w:spacing w:line="276" w:lineRule="auto"/>
        <w:contextualSpacing/>
        <w:jc w:val="both"/>
        <w:rPr>
          <w:rFonts w:ascii="Times New Roman" w:hAnsi="Times New Roman" w:cs="Times New Roman"/>
        </w:rPr>
      </w:pPr>
      <w:r w:rsidRPr="009B0448">
        <w:rPr>
          <w:rFonts w:ascii="Times New Roman" w:hAnsi="Times New Roman" w:cs="Times New Roman"/>
        </w:rPr>
        <w:t xml:space="preserve">Encourage nonfarm economic growth; </w:t>
      </w:r>
    </w:p>
    <w:p w14:paraId="0260D4BE" w14:textId="00F4651B" w:rsidR="009B0448" w:rsidRPr="009B0448" w:rsidRDefault="009B0448" w:rsidP="00FA7185">
      <w:pPr>
        <w:widowControl w:val="0"/>
        <w:numPr>
          <w:ilvl w:val="0"/>
          <w:numId w:val="21"/>
        </w:numPr>
        <w:pBdr>
          <w:top w:val="none" w:sz="0" w:space="0" w:color="auto"/>
          <w:left w:val="none" w:sz="0" w:space="0" w:color="auto"/>
          <w:bottom w:val="none" w:sz="0" w:space="0" w:color="auto"/>
          <w:right w:val="none" w:sz="0" w:space="0" w:color="auto"/>
          <w:between w:val="none" w:sz="0" w:space="0" w:color="auto"/>
        </w:pBdr>
        <w:spacing w:line="276" w:lineRule="auto"/>
        <w:contextualSpacing/>
        <w:jc w:val="both"/>
        <w:rPr>
          <w:rFonts w:ascii="Times New Roman" w:hAnsi="Times New Roman" w:cs="Times New Roman"/>
        </w:rPr>
      </w:pPr>
      <w:r w:rsidRPr="009B0448">
        <w:rPr>
          <w:rFonts w:ascii="Times New Roman" w:hAnsi="Times New Roman" w:cs="Times New Roman"/>
        </w:rPr>
        <w:t>Improve social well-being, manage and mitigate risk, and reduce vulnerability; and</w:t>
      </w:r>
      <w:r w:rsidR="00F32B59">
        <w:rPr>
          <w:rFonts w:ascii="Times New Roman" w:hAnsi="Times New Roman" w:cs="Times New Roman"/>
        </w:rPr>
        <w:t>,</w:t>
      </w:r>
      <w:r w:rsidRPr="009B0448">
        <w:rPr>
          <w:rFonts w:ascii="Times New Roman" w:hAnsi="Times New Roman" w:cs="Times New Roman"/>
        </w:rPr>
        <w:t xml:space="preserve"> </w:t>
      </w:r>
    </w:p>
    <w:p w14:paraId="57CE32E5" w14:textId="77777777" w:rsidR="009B0448" w:rsidRPr="009B0448" w:rsidRDefault="009B0448" w:rsidP="00FA7185">
      <w:pPr>
        <w:widowControl w:val="0"/>
        <w:numPr>
          <w:ilvl w:val="0"/>
          <w:numId w:val="21"/>
        </w:numPr>
        <w:pBdr>
          <w:top w:val="none" w:sz="0" w:space="0" w:color="auto"/>
          <w:left w:val="none" w:sz="0" w:space="0" w:color="auto"/>
          <w:bottom w:val="none" w:sz="0" w:space="0" w:color="auto"/>
          <w:right w:val="none" w:sz="0" w:space="0" w:color="auto"/>
          <w:between w:val="none" w:sz="0" w:space="0" w:color="auto"/>
        </w:pBdr>
        <w:spacing w:line="276" w:lineRule="auto"/>
        <w:contextualSpacing/>
        <w:jc w:val="both"/>
        <w:rPr>
          <w:rFonts w:ascii="Times New Roman" w:hAnsi="Times New Roman" w:cs="Times New Roman"/>
        </w:rPr>
      </w:pPr>
      <w:r w:rsidRPr="009B0448">
        <w:rPr>
          <w:rFonts w:ascii="Times New Roman" w:hAnsi="Times New Roman" w:cs="Times New Roman"/>
        </w:rPr>
        <w:t>Enhance sustainability of natural resource management.</w:t>
      </w:r>
    </w:p>
    <w:p w14:paraId="1C836C0A" w14:textId="77777777" w:rsidR="009B0448" w:rsidRPr="009B0448" w:rsidRDefault="009B0448" w:rsidP="009B0448">
      <w:pPr>
        <w:widowControl w:val="0"/>
        <w:spacing w:line="276" w:lineRule="auto"/>
        <w:jc w:val="both"/>
        <w:rPr>
          <w:rFonts w:ascii="Times New Roman" w:hAnsi="Times New Roman" w:cs="Times New Roman"/>
        </w:rPr>
      </w:pPr>
    </w:p>
    <w:p w14:paraId="78D474E0" w14:textId="760CB16A"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Sustainable land management can and should be operating at a number of different spatial scales ranging from individual agricultural fields to entire catchments or countries. As such it is applicable to dryland crop agriculture, irrigation, </w:t>
      </w:r>
      <w:r w:rsidR="00FD3EB4" w:rsidRPr="009B0448">
        <w:rPr>
          <w:rFonts w:ascii="Times New Roman" w:eastAsia="Times New Roman" w:hAnsi="Times New Roman" w:cs="Times New Roman"/>
        </w:rPr>
        <w:t>and rangeland</w:t>
      </w:r>
      <w:r w:rsidRPr="009B0448">
        <w:rPr>
          <w:rFonts w:ascii="Times New Roman" w:eastAsia="Times New Roman" w:hAnsi="Times New Roman" w:cs="Times New Roman"/>
        </w:rPr>
        <w:t xml:space="preserve"> and forest management. The tools and methods used as well as the actors involved will change between scales, though in all cases the actual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rs would be key roll-players, with or without support from external agencies. There is a growing interest in using landscape level approaches that consider planning at a landscape of catchment level and that integrate across a number of land-use activities (e.g., cropping, animal husbandry, rangeland management, forestry and water management). Ensuring optimal trade-offs between different </w:t>
      </w:r>
      <w:r w:rsidR="00917FB2">
        <w:rPr>
          <w:rFonts w:ascii="Times New Roman" w:eastAsia="Times New Roman" w:hAnsi="Times New Roman" w:cs="Times New Roman"/>
        </w:rPr>
        <w:t>land-use</w:t>
      </w:r>
      <w:r w:rsidRPr="009B0448">
        <w:rPr>
          <w:rFonts w:ascii="Times New Roman" w:eastAsia="Times New Roman" w:hAnsi="Times New Roman" w:cs="Times New Roman"/>
        </w:rPr>
        <w:t>s (oft</w:t>
      </w:r>
      <w:r w:rsidR="00F32B59">
        <w:rPr>
          <w:rFonts w:ascii="Times New Roman" w:eastAsia="Times New Roman" w:hAnsi="Times New Roman" w:cs="Times New Roman"/>
        </w:rPr>
        <w:t>en referred to as the land-use n</w:t>
      </w:r>
      <w:r w:rsidRPr="009B0448">
        <w:rPr>
          <w:rFonts w:ascii="Times New Roman" w:eastAsia="Times New Roman" w:hAnsi="Times New Roman" w:cs="Times New Roman"/>
        </w:rPr>
        <w:t xml:space="preserve">exus) is also important and would consider aspects such as maintaining biodiversity, food, fibre fodder and fuel provision. </w:t>
      </w:r>
    </w:p>
    <w:p w14:paraId="0994ACE4" w14:textId="77777777" w:rsidR="009B0448" w:rsidRPr="009B0448" w:rsidRDefault="009B0448" w:rsidP="009B0448">
      <w:pPr>
        <w:spacing w:line="276" w:lineRule="auto"/>
        <w:jc w:val="both"/>
        <w:rPr>
          <w:rFonts w:ascii="Times New Roman" w:eastAsia="Times New Roman" w:hAnsi="Times New Roman" w:cs="Times New Roman"/>
        </w:rPr>
      </w:pPr>
    </w:p>
    <w:p w14:paraId="27B94F84" w14:textId="133269EF"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United Nations Conference on Sustainable Development (Rio+20) adopted the document “the</w:t>
      </w:r>
      <w:r w:rsidR="00C813C5">
        <w:rPr>
          <w:rFonts w:ascii="Times New Roman" w:eastAsia="Times New Roman" w:hAnsi="Times New Roman" w:cs="Times New Roman"/>
        </w:rPr>
        <w:t xml:space="preserve"> future we want”, which recognis</w:t>
      </w:r>
      <w:r w:rsidRPr="009B0448">
        <w:rPr>
          <w:rFonts w:ascii="Times New Roman" w:eastAsia="Times New Roman" w:hAnsi="Times New Roman" w:cs="Times New Roman"/>
        </w:rPr>
        <w:t xml:space="preserve">ed in paragraph 206 </w:t>
      </w:r>
      <w:r w:rsidRPr="009B0448">
        <w:rPr>
          <w:rFonts w:ascii="Times New Roman" w:eastAsia="Times New Roman" w:hAnsi="Times New Roman" w:cs="Times New Roman"/>
          <w:i/>
        </w:rPr>
        <w:t>the need for urgent</w:t>
      </w:r>
      <w:r w:rsidRPr="009B0448">
        <w:rPr>
          <w:rFonts w:ascii="Times New Roman" w:eastAsia="Times New Roman" w:hAnsi="Times New Roman" w:cs="Times New Roman"/>
        </w:rPr>
        <w:t xml:space="preserve"> action to reverse land degradation. In view of this we will strive to achieve a land-degradation neutral world …” (UNCCD, 2012). In response the UNCCD has set an ambitious target for zero net land degradation by 2030 (UNCCD, 2012). Signatories to the convention would be expected to aim for this target. This would be achieved by either reducing degradation before it occurs or by reclaiming already degraded land.  In essence zero net land degradation means that rates of restoration need to equal or exceed rates of land degradation. Defining and measuring net zero degradation is, however, contentious (Kaphengst, 2014; Stavi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Chasek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Monitoring the degradation status of land, particularly at the global level, remains a key challenge (Cherlet, 2012). Operational aspects of implementing programmes to halt degradation, or restore degraded land, are also challenging and require political will as well as financial and technical resources(Stavi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Chasek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w:t>
      </w:r>
    </w:p>
    <w:p w14:paraId="0B2C46A2" w14:textId="77777777" w:rsidR="009B0448" w:rsidRPr="009B0448" w:rsidRDefault="009B0448" w:rsidP="009B0448">
      <w:pPr>
        <w:spacing w:line="276" w:lineRule="auto"/>
        <w:jc w:val="both"/>
        <w:rPr>
          <w:rFonts w:ascii="Times New Roman" w:eastAsia="Times New Roman" w:hAnsi="Times New Roman" w:cs="Times New Roman"/>
        </w:rPr>
      </w:pPr>
    </w:p>
    <w:p w14:paraId="3C9E79DC"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World Overview of Conservation Approaches and Technologies (Liniger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is a global initiative that collects and documents information on sustainable land management practices so that these can be easily shared. A number of additional resources are available in support of sustainable land management including from the World Bank and TerraAfrica (Liniger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The TerraAfrica program of the Global Environmental Facility was the major Global Environmental Facility funding stream in support of Sustainable land management in Africa. </w:t>
      </w:r>
    </w:p>
    <w:p w14:paraId="26B5D1ED" w14:textId="77777777" w:rsidR="009B0448" w:rsidRPr="009B0448" w:rsidRDefault="009B0448" w:rsidP="009B0448">
      <w:pPr>
        <w:spacing w:line="276" w:lineRule="auto"/>
        <w:jc w:val="both"/>
        <w:rPr>
          <w:rFonts w:ascii="Times New Roman" w:eastAsia="Times New Roman" w:hAnsi="Times New Roman" w:cs="Times New Roman"/>
        </w:rPr>
      </w:pPr>
    </w:p>
    <w:p w14:paraId="2843453E" w14:textId="77777777" w:rsidR="009B0448" w:rsidRPr="009B0448" w:rsidRDefault="009B0448" w:rsidP="009B0448">
      <w:pPr>
        <w:spacing w:line="276" w:lineRule="auto"/>
        <w:jc w:val="both"/>
        <w:rPr>
          <w:rFonts w:ascii="Times New Roman" w:eastAsia="Times New Roman" w:hAnsi="Times New Roman" w:cs="Times New Roman"/>
          <w:sz w:val="20"/>
          <w:szCs w:val="20"/>
        </w:rPr>
      </w:pPr>
      <w:r w:rsidRPr="009B0448">
        <w:rPr>
          <w:rFonts w:ascii="Times New Roman" w:eastAsia="Times New Roman" w:hAnsi="Times New Roman" w:cs="Times New Roman"/>
        </w:rPr>
        <w:t xml:space="preserve">Africa, as the least developed continent, has a huge need to achieve economic development. This places a tension between development and environmental issues. It is inevitable that large amounts of large-scale land transformation are going to take place. The objective of Sustainable land management is to ensure that the exploitation of natural resources is done in such a way as to sustainably achieve both objectives. Many Sustainable land management practices can simultaneously enhance crop and livestock yields whilst reducing the level of degradation. This would be through practices such as rainwater harvesting, conservation agriculture, small-scale irrigation management, integrated soil fertility management and agroforestry (to name but a few) (Liniger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2011)</w:t>
      </w:r>
      <w:r w:rsidRPr="009B0448">
        <w:rPr>
          <w:rFonts w:ascii="Times New Roman" w:eastAsia="Times New Roman" w:hAnsi="Times New Roman" w:cs="Times New Roman"/>
          <w:sz w:val="20"/>
          <w:szCs w:val="20"/>
        </w:rPr>
        <w:t>.</w:t>
      </w:r>
    </w:p>
    <w:p w14:paraId="37C434B0"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353" w:name="_Toc503032812"/>
      <w:bookmarkStart w:id="354" w:name="_Toc519499989"/>
      <w:r w:rsidRPr="009B0448">
        <w:rPr>
          <w:rFonts w:eastAsia="Calibri" w:cs="Times New Roman"/>
          <w:szCs w:val="24"/>
        </w:rPr>
        <w:t>Conclusion</w:t>
      </w:r>
      <w:bookmarkEnd w:id="353"/>
      <w:bookmarkEnd w:id="354"/>
    </w:p>
    <w:p w14:paraId="7D26239E" w14:textId="330E1E3B"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Habitat conversion and loss pose a considerable ecological problem in Africa. Conversion of forest and rangelands for agriculture, mining and urban development has led to habitat loss, degradation of catchment areas and soil erosion leading to loss of biodiversity and livelihoods. The fragmentation that results from various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s contributes to biodiversity loss because many wildlife species are migratory and conservation areas do not provide sufficient habitat. This is leading to loss of biodiversity, especially of vulnerable species with narrow ecological niches, as natural habitat is partially or completely lost. Overharvesting of wild species despite their endemism and conservation status represents a serious threat to Nature’s Contributions to People in Africa. Global markets and demand for wildlife products have severely challenged national policies because of the prevailing poverty, illicit trade and the high value of these products in the global markets. Illicit trade in wildlife is linked with international criminal gangs and terrorist </w:t>
      </w:r>
      <w:r w:rsidR="00150166">
        <w:rPr>
          <w:rFonts w:ascii="Times New Roman" w:eastAsia="Times New Roman" w:hAnsi="Times New Roman" w:cs="Times New Roman"/>
        </w:rPr>
        <w:t>organis</w:t>
      </w:r>
      <w:r w:rsidRPr="009B0448">
        <w:rPr>
          <w:rFonts w:ascii="Times New Roman" w:eastAsia="Times New Roman" w:hAnsi="Times New Roman" w:cs="Times New Roman"/>
        </w:rPr>
        <w:t xml:space="preserve">ations. </w:t>
      </w:r>
    </w:p>
    <w:p w14:paraId="3B3162E1" w14:textId="77777777" w:rsidR="009B0448" w:rsidRPr="009B0448" w:rsidRDefault="009B0448" w:rsidP="009B0448">
      <w:pPr>
        <w:spacing w:line="276" w:lineRule="auto"/>
        <w:jc w:val="both"/>
        <w:rPr>
          <w:rFonts w:ascii="Times New Roman" w:eastAsia="Times New Roman" w:hAnsi="Times New Roman" w:cs="Times New Roman"/>
        </w:rPr>
      </w:pPr>
    </w:p>
    <w:p w14:paraId="70AB1C97"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spread of invasive alien species in terrestrial and aquatic ecosystems is rapidly increasing in Africa with impacts on native species, rural production and livelihoods. Invasive alien species have become a major ecological, social and economic problem despite the existence of legal measures and substantial funding to control them. The magnitude of the problem varies from ecosystem to ecosystem, and from country to country. Increased mobility and human interaction have been key drivers in the spread of invasive alien species. Pollution also contributes to loss of nature’s contributions to people in Africa especially in freshwater ecosystems. Population growth is associated with an increased use of a large number of chemicals and pollutants including prohibited Persistent Organic Pollutants such as DDT under intensive crop production systems. Most of these agrochemicals find their way into water bodies, air and soil, causing unacceptable loss of pollinators, and freshwater flora and fauna including soil enriching microbes. </w:t>
      </w:r>
    </w:p>
    <w:p w14:paraId="6F74B84D" w14:textId="77777777" w:rsidR="009B0448" w:rsidRPr="009B0448" w:rsidRDefault="009B0448" w:rsidP="009B0448">
      <w:pPr>
        <w:spacing w:line="276" w:lineRule="auto"/>
        <w:jc w:val="both"/>
        <w:rPr>
          <w:rFonts w:ascii="Times New Roman" w:eastAsia="Times New Roman" w:hAnsi="Times New Roman" w:cs="Times New Roman"/>
        </w:rPr>
      </w:pPr>
    </w:p>
    <w:p w14:paraId="6BCF4E18" w14:textId="7777777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Africa is warming faster than the global average and it is likely to warm by an average of 1.5º to 3ºC this century. There is likelihood of profound impacts on species distribution within the terrestrial environment, partial loss of the vast African savanna with its iconic fauna and flora, and collapse of coral systems. Climate change will impact human health by increasing range and seasonal duration of malaria, neglected tropical diseases, and incidences of zoonotic transmission of communicable diseases, for example, Ebola. It is also a cause of emerging infectious diseases for livestock and wildlife such as the rift valley fever, Anthrax and Canine Distemper; and for plants. Projections based on a continuation of current policies and practices indicate that climate change is expanding the habitat ranges of several these disease vectors. Fire consumes significant amounts of biomass across Africa every year and plays a positive role in shaping the structure and composition of various fire driven ecosystems. Fire suppression has negative effects on biodiversity in such ecosystems. Fire, coupled with browsing, can be used as a tool to suppress increases in woody plant encroachment. Protected areas make an important contribution to conservation of wild species and Nature’s Contributions to People in Africa. In Southern Africa, the main drivers of development are shifting from extractive industries such as mining and exploitation of natural resources to sustainable ecotourism, resulting in improved land-use management due to a prevailing conservation ethic and associated economic benefits. Agreements for transboundary natural resource management such as with parks and water management (dam construction for cross-boundary water and energy supply) and others may also a result from this shift, e.g., Transfrontier Parks. </w:t>
      </w:r>
    </w:p>
    <w:p w14:paraId="0AF3CCC2" w14:textId="77777777" w:rsidR="009B0448" w:rsidRPr="009B0448" w:rsidRDefault="009B0448" w:rsidP="009B0448">
      <w:pPr>
        <w:spacing w:line="276" w:lineRule="auto"/>
        <w:jc w:val="both"/>
        <w:rPr>
          <w:rFonts w:ascii="Times New Roman" w:eastAsia="Times New Roman" w:hAnsi="Times New Roman" w:cs="Times New Roman"/>
        </w:rPr>
      </w:pPr>
    </w:p>
    <w:p w14:paraId="4602E074" w14:textId="71EFC9A7"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Urban migration is leading to increased demand for services and infrastructure development with communities requiring improved water supply, pollution control and waste management as well as energy supply for households and for industrial development. Demand for food, water and energy in urban </w:t>
      </w:r>
      <w:r w:rsidR="00C813C5">
        <w:rPr>
          <w:rFonts w:ascii="Times New Roman" w:eastAsia="Times New Roman" w:hAnsi="Times New Roman" w:cs="Times New Roman"/>
        </w:rPr>
        <w:t>areas has increased with urbanis</w:t>
      </w:r>
      <w:r w:rsidRPr="009B0448">
        <w:rPr>
          <w:rFonts w:ascii="Times New Roman" w:eastAsia="Times New Roman" w:hAnsi="Times New Roman" w:cs="Times New Roman"/>
        </w:rPr>
        <w:t>ation. The economic dynamics, social links and environmental synergies occurring across the urban-rural continuum underpins their interdependencies; with the flows and functions being asserted through access to food, ecosystem services, social services, transport, employment and markets. Urban communities are producing large quantities of solid and other wastes that are leading to environmental pollution. Africa’s development trajectories are leading to improvement in quality of life, driven by growing investment in infrastructure development and expansion of modern urban human settlements, sanitation and energy supply. However, this is also putting enormous pressure on nature and nature’s contributions to people. Higher economic growth among many African countries (&gt;5% per annum) and growth in per capita income is driving demand for goods and services provided by nature. At national level, there are major investments in large investments in big infrastructure ports, roads, rails, telecommunications, high voltage electric power transmission lines, water distribution and sanitation, and planned petroleum pipelines across the region. The development of infrastructure puts enormous pressure on nature as land is cleared and resources are overutilized.</w:t>
      </w:r>
    </w:p>
    <w:p w14:paraId="7769A1E5" w14:textId="77777777" w:rsidR="009B0448" w:rsidRPr="009B0448" w:rsidRDefault="009B0448" w:rsidP="009B0448">
      <w:pPr>
        <w:spacing w:line="276" w:lineRule="auto"/>
        <w:jc w:val="both"/>
        <w:rPr>
          <w:rFonts w:ascii="Times New Roman" w:eastAsia="Times New Roman" w:hAnsi="Times New Roman" w:cs="Times New Roman"/>
        </w:rPr>
      </w:pPr>
    </w:p>
    <w:p w14:paraId="2A74D3A4" w14:textId="4A7787B4" w:rsidR="009B0448" w:rsidRPr="009B0448" w:rsidRDefault="009B0448" w:rsidP="009B04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Changes in land ownership and an increase in land acquisition (land grabs) to meet local, national and global food and renewable energy demand are driving changes in nature and nature’s contributions to people. Land ownership is shifting from small-holder farmers to large-scale commercial farming and land-use (or the focus of production systems) is shifting from subsistence agriculture to supply a growing international biofuels industry, influenced by policies in rich nations. This is contributing to land conversion as critical ecosystems including wetlands, rangelands and forests are being converted into agricultural land for food or energy markets. There are also trade-offs in the use of land for the production and supply of food, water, energy and other </w:t>
      </w:r>
      <w:r w:rsidR="00917FB2">
        <w:rPr>
          <w:rFonts w:ascii="Times New Roman" w:eastAsia="Times New Roman" w:hAnsi="Times New Roman" w:cs="Times New Roman"/>
        </w:rPr>
        <w:t>land-use</w:t>
      </w:r>
      <w:r w:rsidRPr="009B0448">
        <w:rPr>
          <w:rFonts w:ascii="Times New Roman" w:eastAsia="Times New Roman" w:hAnsi="Times New Roman" w:cs="Times New Roman"/>
        </w:rPr>
        <w:t>s such as mining and development of human settlements (food, water, energy nexus). Sustainable development thrives best in an environment of good governance, peace and security whereas armed conflict has substantial costs in human and material terms, hinders production, damages infrastructure, prevents the reliable delivery of social services to communities. Organised criminal networks carry out environmental crimes (poaching, illegal wildlife trade, illegal trade of timber and non-timber forest products) across borders and affect national economies, security and threaten sovereignty of some countries. Environmental crimes undermine the livelihoods of natural resource dependent communities, damage the health of the ecosystems they depend on, and restrict potential investment in development of affected areas. Terrorist and rebel groups participate in environmental crimes in order to fund their illegal activities. The insecurity that results from their illegal activities leads to localized biodiversity loss, especially diversity of wild fauna and, undermines Africa’s conservation legacy and livelihoods of resource-dependent communities.</w:t>
      </w:r>
    </w:p>
    <w:p w14:paraId="5EE80162" w14:textId="77777777" w:rsidR="009B0448" w:rsidRPr="009B0448" w:rsidRDefault="009B0448" w:rsidP="00FA7185">
      <w:pPr>
        <w:pStyle w:val="Heading3"/>
        <w:widowControl w:val="0"/>
        <w:numPr>
          <w:ilvl w:val="1"/>
          <w:numId w:val="17"/>
        </w:numPr>
        <w:pBdr>
          <w:top w:val="none" w:sz="0" w:space="0" w:color="auto"/>
          <w:left w:val="none" w:sz="0" w:space="0" w:color="auto"/>
          <w:bottom w:val="none" w:sz="0" w:space="0" w:color="auto"/>
          <w:right w:val="none" w:sz="0" w:space="0" w:color="auto"/>
          <w:between w:val="none" w:sz="0" w:space="0" w:color="auto"/>
        </w:pBdr>
        <w:spacing w:before="240" w:after="240"/>
        <w:ind w:left="709" w:hanging="720"/>
        <w:rPr>
          <w:rFonts w:eastAsia="Calibri" w:cs="Times New Roman"/>
          <w:szCs w:val="24"/>
        </w:rPr>
      </w:pPr>
      <w:bookmarkStart w:id="355" w:name="_Toc503032813"/>
      <w:bookmarkStart w:id="356" w:name="_Toc519499990"/>
      <w:r w:rsidRPr="009B0448">
        <w:rPr>
          <w:rFonts w:eastAsia="Calibri" w:cs="Times New Roman"/>
          <w:szCs w:val="24"/>
        </w:rPr>
        <w:t>References</w:t>
      </w:r>
      <w:bookmarkEnd w:id="355"/>
      <w:bookmarkEnd w:id="356"/>
    </w:p>
    <w:p w14:paraId="0589FF6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AbdElgawad, H., Peshev, D., Zinta, G., Van den Ende, W., Janssens, I. A., &amp; Asard, H. (2014). Climate extreme effects on the chemical composition of temperate grassland species under ambient and elevated CO</w:t>
      </w:r>
      <w:r w:rsidRPr="009B0448">
        <w:rPr>
          <w:rFonts w:ascii="Times New Roman" w:hAnsi="Times New Roman" w:cs="Times New Roman"/>
          <w:color w:val="auto"/>
          <w:vertAlign w:val="subscript"/>
        </w:rPr>
        <w:t>2</w:t>
      </w:r>
      <w:r w:rsidRPr="009B0448">
        <w:rPr>
          <w:rFonts w:ascii="Times New Roman" w:hAnsi="Times New Roman" w:cs="Times New Roman"/>
          <w:color w:val="auto"/>
        </w:rPr>
        <w:t xml:space="preserve">: A comparison of fructan and non-fructan accumulators. </w:t>
      </w:r>
      <w:r w:rsidRPr="009B0448">
        <w:rPr>
          <w:rFonts w:ascii="Times New Roman" w:hAnsi="Times New Roman" w:cs="Times New Roman"/>
          <w:i/>
          <w:color w:val="auto"/>
        </w:rPr>
        <w:t>PLoS ONE, 9</w:t>
      </w:r>
      <w:r w:rsidRPr="009B0448">
        <w:rPr>
          <w:rFonts w:ascii="Times New Roman" w:hAnsi="Times New Roman" w:cs="Times New Roman"/>
          <w:color w:val="auto"/>
        </w:rPr>
        <w:t>(3), e92044.</w:t>
      </w:r>
      <w:r w:rsidRPr="009B0448">
        <w:rPr>
          <w:rFonts w:ascii="Times New Roman" w:hAnsi="Times New Roman" w:cs="Times New Roman"/>
        </w:rPr>
        <w:t xml:space="preserve"> </w:t>
      </w:r>
      <w:hyperlink r:id="rId1070" w:history="1">
        <w:r w:rsidRPr="009B0448">
          <w:rPr>
            <w:rStyle w:val="Hyperlink"/>
            <w:rFonts w:ascii="Times New Roman" w:hAnsi="Times New Roman" w:cs="Times New Roman"/>
          </w:rPr>
          <w:t>https://doi.org/10.1371/journal.pone.0092044</w:t>
        </w:r>
      </w:hyperlink>
      <w:r w:rsidRPr="009B0448">
        <w:rPr>
          <w:rFonts w:ascii="Times New Roman" w:hAnsi="Times New Roman" w:cs="Times New Roman"/>
          <w:color w:val="auto"/>
        </w:rPr>
        <w:t xml:space="preserve"> </w:t>
      </w:r>
    </w:p>
    <w:p w14:paraId="1A1783A9"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Abdou, M. (2012). </w:t>
      </w:r>
      <w:r w:rsidRPr="009B0448">
        <w:rPr>
          <w:rFonts w:ascii="Times New Roman" w:eastAsiaTheme="minorHAnsi" w:hAnsi="Times New Roman" w:cs="Times New Roman"/>
          <w:i/>
          <w:color w:val="auto"/>
        </w:rPr>
        <w:t>Effets des feux de brousse et des pare-feux sur le sol et la végétation herbacée à Gouré–Région de Zinder</w:t>
      </w:r>
      <w:r w:rsidRPr="009B0448">
        <w:rPr>
          <w:rFonts w:ascii="Times New Roman" w:eastAsiaTheme="minorHAnsi" w:hAnsi="Times New Roman" w:cs="Times New Roman"/>
          <w:color w:val="auto"/>
        </w:rPr>
        <w:t>. Niger: Faculté d’Agronomie de l’Université Abdou Moumouni de Niamey.</w:t>
      </w:r>
    </w:p>
    <w:p w14:paraId="1322A63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Acheampong, E., &amp; Campion, B. B. (2014). The effects of biofuel feedstock production on farmers’ livelihoods in Ghana: The Case of </w:t>
      </w:r>
      <w:r w:rsidRPr="009B0448">
        <w:rPr>
          <w:rFonts w:ascii="Times New Roman" w:hAnsi="Times New Roman" w:cs="Times New Roman"/>
          <w:i/>
          <w:color w:val="auto"/>
        </w:rPr>
        <w:t>Jatropha curcas</w:t>
      </w:r>
      <w:r w:rsidRPr="009B0448">
        <w:rPr>
          <w:rFonts w:ascii="Times New Roman" w:hAnsi="Times New Roman" w:cs="Times New Roman"/>
          <w:color w:val="auto"/>
        </w:rPr>
        <w:t xml:space="preserve">. </w:t>
      </w:r>
      <w:r w:rsidRPr="009B0448">
        <w:rPr>
          <w:rFonts w:ascii="Times New Roman" w:hAnsi="Times New Roman" w:cs="Times New Roman"/>
          <w:i/>
          <w:color w:val="auto"/>
        </w:rPr>
        <w:t>Sustainability</w:t>
      </w:r>
      <w:r w:rsidRPr="009B0448">
        <w:rPr>
          <w:rFonts w:ascii="Times New Roman" w:hAnsi="Times New Roman" w:cs="Times New Roman"/>
          <w:color w:val="auto"/>
        </w:rPr>
        <w:t xml:space="preserve">, </w:t>
      </w:r>
      <w:r w:rsidRPr="009B0448">
        <w:rPr>
          <w:rFonts w:ascii="Times New Roman" w:hAnsi="Times New Roman" w:cs="Times New Roman"/>
          <w:i/>
          <w:color w:val="auto"/>
        </w:rPr>
        <w:t>6</w:t>
      </w:r>
      <w:r w:rsidRPr="009B0448">
        <w:rPr>
          <w:rFonts w:ascii="Times New Roman" w:hAnsi="Times New Roman" w:cs="Times New Roman"/>
          <w:color w:val="auto"/>
        </w:rPr>
        <w:t xml:space="preserve">, 4587–4607. </w:t>
      </w:r>
      <w:hyperlink r:id="rId1071" w:history="1">
        <w:r w:rsidRPr="009B0448">
          <w:rPr>
            <w:rStyle w:val="Hyperlink"/>
            <w:rFonts w:ascii="Times New Roman" w:hAnsi="Times New Roman" w:cs="Times New Roman"/>
          </w:rPr>
          <w:t>https://doi.org/10.3390/su6074587</w:t>
        </w:r>
      </w:hyperlink>
      <w:r w:rsidRPr="009B0448">
        <w:rPr>
          <w:rFonts w:ascii="Times New Roman" w:hAnsi="Times New Roman" w:cs="Times New Roman"/>
          <w:color w:val="auto"/>
        </w:rPr>
        <w:t xml:space="preserve"> </w:t>
      </w:r>
    </w:p>
    <w:p w14:paraId="334E575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Adelekan, I., Johnson, C., Manda, M., Matyas, D., Mberu, B., Parnell, S., S., Pelling, M., Satterthwaite, D., &amp; Vivekandanda, J. (2015). Disaster risk and its reduction: An agenda for urban Africa. </w:t>
      </w:r>
      <w:r w:rsidRPr="009B0448">
        <w:rPr>
          <w:rFonts w:ascii="Times New Roman" w:hAnsi="Times New Roman" w:cs="Times New Roman"/>
          <w:i/>
          <w:color w:val="auto"/>
        </w:rPr>
        <w:t>International Development Planning Review</w:t>
      </w:r>
      <w:r w:rsidRPr="009B0448">
        <w:rPr>
          <w:rFonts w:ascii="Times New Roman" w:hAnsi="Times New Roman" w:cs="Times New Roman"/>
          <w:color w:val="auto"/>
        </w:rPr>
        <w:t xml:space="preserve">, </w:t>
      </w:r>
      <w:r w:rsidRPr="009B0448">
        <w:rPr>
          <w:rFonts w:ascii="Times New Roman" w:hAnsi="Times New Roman" w:cs="Times New Roman"/>
          <w:i/>
          <w:color w:val="auto"/>
        </w:rPr>
        <w:t>37</w:t>
      </w:r>
      <w:r w:rsidRPr="009B0448">
        <w:rPr>
          <w:rFonts w:ascii="Times New Roman" w:hAnsi="Times New Roman" w:cs="Times New Roman"/>
          <w:color w:val="auto"/>
        </w:rPr>
        <w:t xml:space="preserve">(1), 33–43. </w:t>
      </w:r>
      <w:hyperlink r:id="rId1072" w:history="1">
        <w:r w:rsidRPr="009B0448">
          <w:rPr>
            <w:rStyle w:val="Hyperlink"/>
            <w:rFonts w:ascii="Times New Roman" w:hAnsi="Times New Roman" w:cs="Times New Roman"/>
          </w:rPr>
          <w:t>https://doi.org/10.3828/idpr.2015.4</w:t>
        </w:r>
      </w:hyperlink>
    </w:p>
    <w:p w14:paraId="5F790DD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AfDB. (2010). </w:t>
      </w:r>
      <w:r w:rsidRPr="009B0448">
        <w:rPr>
          <w:rFonts w:ascii="Times New Roman" w:hAnsi="Times New Roman" w:cs="Times New Roman"/>
          <w:i/>
          <w:color w:val="auto"/>
        </w:rPr>
        <w:t>The programme for infrastructure development in Africa: Transforming Africa through modern infrastructure</w:t>
      </w:r>
      <w:r w:rsidRPr="009B0448">
        <w:rPr>
          <w:rFonts w:ascii="Times New Roman" w:hAnsi="Times New Roman" w:cs="Times New Roman"/>
          <w:color w:val="auto"/>
        </w:rPr>
        <w:t xml:space="preserve">. Tunis, Tunisia: AfDB. Retrieved from </w:t>
      </w:r>
      <w:hyperlink r:id="rId1073" w:history="1">
        <w:r w:rsidRPr="009B0448">
          <w:rPr>
            <w:rStyle w:val="Hyperlink"/>
            <w:rFonts w:ascii="Times New Roman" w:hAnsi="Times New Roman" w:cs="Times New Roman"/>
          </w:rPr>
          <w:t>http://www.afdb.org</w:t>
        </w:r>
      </w:hyperlink>
      <w:r w:rsidRPr="009B0448">
        <w:rPr>
          <w:rFonts w:ascii="Times New Roman" w:hAnsi="Times New Roman" w:cs="Times New Roman"/>
          <w:color w:val="auto"/>
        </w:rPr>
        <w:t xml:space="preserve"> </w:t>
      </w:r>
    </w:p>
    <w:p w14:paraId="42144F7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AfDB. (2011). </w:t>
      </w:r>
      <w:r w:rsidRPr="009B0448">
        <w:rPr>
          <w:rFonts w:ascii="Times New Roman" w:hAnsi="Times New Roman" w:cs="Times New Roman"/>
          <w:i/>
          <w:color w:val="auto"/>
        </w:rPr>
        <w:t>Africa in 50 years’ time. The road towards inclusive growth</w:t>
      </w:r>
      <w:r w:rsidRPr="009B0448">
        <w:rPr>
          <w:rFonts w:ascii="Times New Roman" w:hAnsi="Times New Roman" w:cs="Times New Roman"/>
          <w:color w:val="auto"/>
        </w:rPr>
        <w:t xml:space="preserve">. Tunis, Tunisia: AfDB. Retrieved from </w:t>
      </w:r>
      <w:hyperlink r:id="rId1074" w:history="1">
        <w:r w:rsidRPr="009B0448">
          <w:rPr>
            <w:rStyle w:val="Hyperlink"/>
            <w:rFonts w:ascii="Times New Roman" w:hAnsi="Times New Roman" w:cs="Times New Roman"/>
          </w:rPr>
          <w:t>https://www.afdb.org/fileadmin/uploads/afdb/Documents/Publications/Africa%20in%2050%20Years%20Time.pdf</w:t>
        </w:r>
      </w:hyperlink>
      <w:r w:rsidRPr="009B0448">
        <w:rPr>
          <w:rFonts w:ascii="Times New Roman" w:hAnsi="Times New Roman" w:cs="Times New Roman"/>
          <w:color w:val="auto"/>
        </w:rPr>
        <w:t xml:space="preserve"> </w:t>
      </w:r>
    </w:p>
    <w:p w14:paraId="20394CB8"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AfDB. (2015). </w:t>
      </w:r>
      <w:r w:rsidRPr="009B0448">
        <w:rPr>
          <w:rFonts w:ascii="Times New Roman" w:eastAsiaTheme="minorHAnsi" w:hAnsi="Times New Roman" w:cs="Times New Roman"/>
          <w:i/>
          <w:color w:val="auto"/>
        </w:rPr>
        <w:t>African ecological futures</w:t>
      </w:r>
      <w:r w:rsidRPr="009B0448">
        <w:rPr>
          <w:rFonts w:ascii="Times New Roman" w:eastAsiaTheme="minorHAnsi" w:hAnsi="Times New Roman" w:cs="Times New Roman"/>
          <w:color w:val="auto"/>
        </w:rPr>
        <w:t xml:space="preserve">. Abidjan, Ivory Coast: </w:t>
      </w:r>
      <w:r w:rsidRPr="009B0448">
        <w:rPr>
          <w:rFonts w:ascii="Times New Roman" w:hAnsi="Times New Roman" w:cs="Times New Roman"/>
          <w:color w:val="auto"/>
        </w:rPr>
        <w:t xml:space="preserve">AfDB. Retrieved from </w:t>
      </w:r>
      <w:hyperlink r:id="rId1075" w:history="1">
        <w:r w:rsidRPr="009B0448">
          <w:rPr>
            <w:rStyle w:val="Hyperlink"/>
            <w:rFonts w:ascii="Times New Roman" w:hAnsi="Times New Roman" w:cs="Times New Roman"/>
          </w:rPr>
          <w:t>https://www.afdb.org/fileadmin/uploads/afdb/Documents/GenericDocuments/xwwf_african_futures_report_english-lo-rez.pdf</w:t>
        </w:r>
      </w:hyperlink>
      <w:r w:rsidRPr="009B0448">
        <w:rPr>
          <w:rFonts w:ascii="Times New Roman" w:hAnsi="Times New Roman" w:cs="Times New Roman"/>
          <w:color w:val="auto"/>
        </w:rPr>
        <w:t xml:space="preserve"> </w:t>
      </w:r>
    </w:p>
    <w:p w14:paraId="5140E31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AfDB, OECD, UNDP. (2015). </w:t>
      </w:r>
      <w:r w:rsidRPr="009B0448">
        <w:rPr>
          <w:rFonts w:ascii="Times New Roman" w:hAnsi="Times New Roman" w:cs="Times New Roman"/>
          <w:i/>
          <w:color w:val="auto"/>
        </w:rPr>
        <w:t>Regional development and spatial inclusion: African Economic Outlook 2015</w:t>
      </w:r>
      <w:r w:rsidRPr="009B0448">
        <w:rPr>
          <w:rFonts w:ascii="Times New Roman" w:hAnsi="Times New Roman" w:cs="Times New Roman"/>
          <w:color w:val="auto"/>
        </w:rPr>
        <w:t xml:space="preserve">. Tunis, Tunisia: AfDB. Retrieved from </w:t>
      </w:r>
      <w:hyperlink r:id="rId1076" w:history="1">
        <w:r w:rsidRPr="009B0448">
          <w:rPr>
            <w:rStyle w:val="Hyperlink"/>
            <w:rFonts w:ascii="Times New Roman" w:hAnsi="Times New Roman" w:cs="Times New Roman"/>
          </w:rPr>
          <w:t>http://www.undp.org/content/dam/rba/docs/Reports/African%20Economic%20Outlook%202015%20En.pdf</w:t>
        </w:r>
      </w:hyperlink>
    </w:p>
    <w:p w14:paraId="4153F42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AMCEN. (2015). </w:t>
      </w:r>
      <w:r w:rsidRPr="009B0448">
        <w:rPr>
          <w:rFonts w:ascii="Times New Roman" w:hAnsi="Times New Roman" w:cs="Times New Roman"/>
          <w:i/>
          <w:color w:val="auto"/>
        </w:rPr>
        <w:t>Cairo declaration on managing Africa’s natural capital for sustainable development and poverty eradication</w:t>
      </w:r>
      <w:r w:rsidRPr="009B0448">
        <w:rPr>
          <w:rFonts w:ascii="Times New Roman" w:hAnsi="Times New Roman" w:cs="Times New Roman"/>
          <w:color w:val="auto"/>
        </w:rPr>
        <w:t xml:space="preserve">. Addis Ababa, Ethiopia: AMCEN. Retrieved from </w:t>
      </w:r>
      <w:hyperlink r:id="rId1077" w:history="1">
        <w:r w:rsidRPr="009B0448">
          <w:rPr>
            <w:rStyle w:val="Hyperlink"/>
            <w:rFonts w:ascii="Times New Roman" w:hAnsi="Times New Roman" w:cs="Times New Roman"/>
          </w:rPr>
          <w:t>http://www.un.org/en/africa/osaa/pdf/au/cap_naturalcapital_2015.pdf</w:t>
        </w:r>
      </w:hyperlink>
    </w:p>
    <w:p w14:paraId="4CCAEC2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Agrawal, A., &amp; Lemos, C. M. (2007). A greener revolution in the making? Environment governance in the 21st century. </w:t>
      </w:r>
      <w:r w:rsidRPr="009B0448">
        <w:rPr>
          <w:rFonts w:ascii="Times New Roman" w:hAnsi="Times New Roman" w:cs="Times New Roman"/>
          <w:i/>
          <w:color w:val="auto"/>
        </w:rPr>
        <w:t>Environment</w:t>
      </w:r>
      <w:r w:rsidRPr="009B0448">
        <w:rPr>
          <w:rFonts w:ascii="Times New Roman" w:hAnsi="Times New Roman" w:cs="Times New Roman"/>
          <w:color w:val="auto"/>
        </w:rPr>
        <w:t xml:space="preserve">, </w:t>
      </w:r>
      <w:r w:rsidRPr="009B0448">
        <w:rPr>
          <w:rFonts w:ascii="Times New Roman" w:hAnsi="Times New Roman" w:cs="Times New Roman"/>
          <w:i/>
          <w:color w:val="auto"/>
        </w:rPr>
        <w:t>49</w:t>
      </w:r>
      <w:r w:rsidRPr="009B0448">
        <w:rPr>
          <w:rFonts w:ascii="Times New Roman" w:hAnsi="Times New Roman" w:cs="Times New Roman"/>
          <w:color w:val="auto"/>
        </w:rPr>
        <w:t xml:space="preserve">(5), 36-45. </w:t>
      </w:r>
      <w:hyperlink r:id="rId1078" w:history="1">
        <w:r w:rsidRPr="009B0448">
          <w:rPr>
            <w:rStyle w:val="Hyperlink"/>
            <w:rFonts w:ascii="Times New Roman" w:hAnsi="Times New Roman" w:cs="Times New Roman"/>
          </w:rPr>
          <w:t>https://doi.org/10.3200/ENVT.49.5.36-45</w:t>
        </w:r>
      </w:hyperlink>
    </w:p>
    <w:p w14:paraId="1FD2D93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Aitken, M., Rangan, H., &amp; Kull, C. A. (2009). </w:t>
      </w:r>
      <w:r w:rsidRPr="009B0448">
        <w:rPr>
          <w:rFonts w:ascii="Times New Roman" w:hAnsi="Times New Roman" w:cs="Times New Roman"/>
          <w:color w:val="auto"/>
        </w:rPr>
        <w:t xml:space="preserve">Living with alien invasives. The political ecology of wattle in the eastern highveld Mpumalanga, South Africa. </w:t>
      </w:r>
      <w:r w:rsidRPr="009B0448">
        <w:rPr>
          <w:rFonts w:ascii="Times New Roman" w:hAnsi="Times New Roman" w:cs="Times New Roman"/>
          <w:i/>
          <w:color w:val="auto"/>
        </w:rPr>
        <w:t>Études Océan Indien</w:t>
      </w:r>
      <w:r w:rsidRPr="009B0448">
        <w:rPr>
          <w:rFonts w:ascii="Times New Roman" w:hAnsi="Times New Roman" w:cs="Times New Roman"/>
          <w:color w:val="auto"/>
        </w:rPr>
        <w:t xml:space="preserve">, </w:t>
      </w:r>
      <w:r w:rsidRPr="009B0448">
        <w:rPr>
          <w:rFonts w:ascii="Times New Roman" w:hAnsi="Times New Roman" w:cs="Times New Roman"/>
          <w:i/>
          <w:color w:val="auto"/>
        </w:rPr>
        <w:t>42-43</w:t>
      </w:r>
      <w:r w:rsidRPr="009B0448">
        <w:rPr>
          <w:rFonts w:ascii="Times New Roman" w:hAnsi="Times New Roman" w:cs="Times New Roman"/>
          <w:color w:val="auto"/>
        </w:rPr>
        <w:t xml:space="preserve">, 115–142. Retrieved from </w:t>
      </w:r>
      <w:hyperlink r:id="rId1079" w:history="1">
        <w:r w:rsidRPr="009B0448">
          <w:rPr>
            <w:rStyle w:val="Hyperlink"/>
            <w:rFonts w:ascii="Times New Roman" w:hAnsi="Times New Roman" w:cs="Times New Roman"/>
          </w:rPr>
          <w:t>https://journals.openedition.org/oceanindien/769</w:t>
        </w:r>
      </w:hyperlink>
      <w:r w:rsidRPr="009B0448">
        <w:rPr>
          <w:rFonts w:ascii="Times New Roman" w:hAnsi="Times New Roman" w:cs="Times New Roman"/>
          <w:color w:val="auto"/>
        </w:rPr>
        <w:t xml:space="preserve"> </w:t>
      </w:r>
    </w:p>
    <w:p w14:paraId="76E47B54"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Aljazeera Africa. (2010). </w:t>
      </w:r>
      <w:r w:rsidRPr="009B0448">
        <w:rPr>
          <w:rFonts w:ascii="Times New Roman" w:eastAsiaTheme="minorHAnsi" w:hAnsi="Times New Roman" w:cs="Times New Roman"/>
          <w:i/>
          <w:color w:val="auto"/>
        </w:rPr>
        <w:t>Somali pirates seize S Korean ship</w:t>
      </w:r>
      <w:r w:rsidRPr="009B0448">
        <w:rPr>
          <w:rFonts w:ascii="Times New Roman" w:eastAsiaTheme="minorHAnsi" w:hAnsi="Times New Roman" w:cs="Times New Roman"/>
          <w:color w:val="auto"/>
        </w:rPr>
        <w:t xml:space="preserve">. Retrieved from </w:t>
      </w:r>
      <w:hyperlink r:id="rId1080" w:history="1">
        <w:r w:rsidRPr="009B0448">
          <w:rPr>
            <w:rStyle w:val="Hyperlink"/>
            <w:rFonts w:ascii="Times New Roman" w:eastAsiaTheme="minorHAnsi" w:hAnsi="Times New Roman" w:cs="Times New Roman"/>
          </w:rPr>
          <w:t>http://www.aljazeera.com/news/africa/2010/10/201010176186773.html</w:t>
        </w:r>
      </w:hyperlink>
    </w:p>
    <w:p w14:paraId="365C4FFC" w14:textId="31938C4B"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Alkemade, R., Reid, R. S., van den Berg, M., de Leeuw, J., &amp; Jeuken, M. (2013). Assessing the impacts of livestock production on biodiversity in rangeland ecosystems. </w:t>
      </w:r>
      <w:r w:rsidR="00574F87" w:rsidRPr="009B0448">
        <w:rPr>
          <w:rFonts w:ascii="Times New Roman" w:eastAsia="Times New Roman" w:hAnsi="Times New Roman" w:cs="Times New Roman"/>
          <w:i/>
          <w:lang w:val="en-ZA" w:eastAsia="en-GB"/>
        </w:rPr>
        <w:t>Proceedings of the National Academy of Sciences</w:t>
      </w:r>
      <w:r w:rsidR="00574F87" w:rsidRPr="009B0448">
        <w:rPr>
          <w:rFonts w:ascii="Times New Roman" w:eastAsia="Times New Roman" w:hAnsi="Times New Roman" w:cs="Times New Roman"/>
          <w:lang w:val="en-ZA" w:eastAsia="en-GB"/>
        </w:rPr>
        <w:t xml:space="preserve"> </w:t>
      </w:r>
      <w:r w:rsidR="00574F87" w:rsidRPr="009B0448">
        <w:rPr>
          <w:rFonts w:ascii="Times New Roman" w:eastAsia="Times New Roman" w:hAnsi="Times New Roman" w:cs="Times New Roman"/>
          <w:i/>
          <w:lang w:val="en-ZA" w:eastAsia="en-GB"/>
        </w:rPr>
        <w:t>of the United States of America</w:t>
      </w:r>
      <w:r w:rsidRPr="009B0448">
        <w:rPr>
          <w:rFonts w:ascii="Times New Roman" w:hAnsi="Times New Roman" w:cs="Times New Roman"/>
          <w:i/>
          <w:color w:val="auto"/>
        </w:rPr>
        <w:t>, 110</w:t>
      </w:r>
      <w:r w:rsidRPr="009B0448">
        <w:rPr>
          <w:rFonts w:ascii="Times New Roman" w:hAnsi="Times New Roman" w:cs="Times New Roman"/>
          <w:color w:val="auto"/>
        </w:rPr>
        <w:t xml:space="preserve">(52), 20900–20905. </w:t>
      </w:r>
      <w:hyperlink r:id="rId1081" w:history="1">
        <w:r w:rsidRPr="009B0448">
          <w:rPr>
            <w:rStyle w:val="Hyperlink"/>
            <w:rFonts w:ascii="Times New Roman" w:hAnsi="Times New Roman" w:cs="Times New Roman"/>
          </w:rPr>
          <w:t>https://doi.org/10.1073/pnas.1011013108</w:t>
        </w:r>
      </w:hyperlink>
      <w:r w:rsidRPr="009B0448">
        <w:rPr>
          <w:rFonts w:ascii="Times New Roman" w:hAnsi="Times New Roman" w:cs="Times New Roman"/>
          <w:color w:val="auto"/>
        </w:rPr>
        <w:t xml:space="preserve"> </w:t>
      </w:r>
    </w:p>
    <w:p w14:paraId="0E7543C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Ana, G. R. (2011). Air pollution in the Niger delta area: Scope, challenges and remedies. In M. Khallaf (Ed.), </w:t>
      </w:r>
      <w:r w:rsidRPr="009B0448">
        <w:rPr>
          <w:rFonts w:ascii="Times New Roman" w:hAnsi="Times New Roman" w:cs="Times New Roman"/>
          <w:i/>
          <w:color w:val="auto"/>
        </w:rPr>
        <w:t>The impact of air pollution on health, economy, environment and agricultural Sources</w:t>
      </w:r>
      <w:r w:rsidRPr="009B0448">
        <w:rPr>
          <w:rFonts w:ascii="Times New Roman" w:hAnsi="Times New Roman" w:cs="Times New Roman"/>
          <w:color w:val="auto"/>
        </w:rPr>
        <w:t xml:space="preserve"> (pp. 182–198). Rijeka: InTech–Open Access Company. </w:t>
      </w:r>
      <w:hyperlink r:id="rId1082" w:history="1">
        <w:r w:rsidRPr="009B0448">
          <w:rPr>
            <w:rStyle w:val="Hyperlink"/>
            <w:rFonts w:ascii="Times New Roman" w:hAnsi="Times New Roman" w:cs="Times New Roman"/>
          </w:rPr>
          <w:t>https://doi.org/10.5772/16817</w:t>
        </w:r>
      </w:hyperlink>
      <w:r w:rsidRPr="009B0448">
        <w:rPr>
          <w:rFonts w:ascii="Times New Roman" w:hAnsi="Times New Roman" w:cs="Times New Roman"/>
          <w:color w:val="auto"/>
        </w:rPr>
        <w:t xml:space="preserve"> </w:t>
      </w:r>
    </w:p>
    <w:p w14:paraId="43B6CD5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Andela, N., &amp; van der Werf, G. R. (2014). Recent trends in African fires driven by cropland expansion and El Nino to La Nina transition. </w:t>
      </w:r>
      <w:r w:rsidRPr="009B0448">
        <w:rPr>
          <w:rFonts w:ascii="Times New Roman" w:hAnsi="Times New Roman" w:cs="Times New Roman"/>
          <w:i/>
          <w:color w:val="auto"/>
        </w:rPr>
        <w:t>Nature Climate Change, 4,</w:t>
      </w:r>
      <w:r w:rsidRPr="009B0448">
        <w:rPr>
          <w:rFonts w:ascii="Times New Roman" w:hAnsi="Times New Roman" w:cs="Times New Roman"/>
          <w:color w:val="auto"/>
        </w:rPr>
        <w:t xml:space="preserve"> 791–795. </w:t>
      </w:r>
      <w:hyperlink r:id="rId1083" w:history="1">
        <w:r w:rsidRPr="009B0448">
          <w:rPr>
            <w:rStyle w:val="Hyperlink"/>
            <w:rFonts w:ascii="Times New Roman" w:hAnsi="Times New Roman" w:cs="Times New Roman"/>
          </w:rPr>
          <w:t>https://doi.org/10.1038/nclimate2313</w:t>
        </w:r>
      </w:hyperlink>
      <w:r w:rsidRPr="009B0448">
        <w:rPr>
          <w:rFonts w:ascii="Times New Roman" w:hAnsi="Times New Roman" w:cs="Times New Roman"/>
          <w:color w:val="auto"/>
        </w:rPr>
        <w:t xml:space="preserve"> </w:t>
      </w:r>
    </w:p>
    <w:p w14:paraId="56F143F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Anderson, P. K., Cunningham, A. A., Patel, N. G., Morales, F. J., Epstein, P. R., &amp; Daszak, P. (2004). Emerging infectious diseases of plants: Pathogen pollution, climate change and agrotechnology drivers. </w:t>
      </w:r>
      <w:r w:rsidRPr="009B0448">
        <w:rPr>
          <w:rFonts w:ascii="Times New Roman" w:hAnsi="Times New Roman" w:cs="Times New Roman"/>
          <w:i/>
          <w:color w:val="auto"/>
        </w:rPr>
        <w:t>Trends in Ecology &amp; Evolution, 19</w:t>
      </w:r>
      <w:r w:rsidRPr="009B0448">
        <w:rPr>
          <w:rFonts w:ascii="Times New Roman" w:hAnsi="Times New Roman" w:cs="Times New Roman"/>
          <w:color w:val="auto"/>
        </w:rPr>
        <w:t xml:space="preserve">(10), 535–544. </w:t>
      </w:r>
      <w:hyperlink r:id="rId1084" w:history="1">
        <w:r w:rsidRPr="009B0448">
          <w:rPr>
            <w:rStyle w:val="Hyperlink"/>
            <w:rFonts w:ascii="Times New Roman" w:hAnsi="Times New Roman" w:cs="Times New Roman"/>
          </w:rPr>
          <w:t>https://doi.org/10.1016/j.tree.2004.07.021</w:t>
        </w:r>
      </w:hyperlink>
    </w:p>
    <w:p w14:paraId="00C98379" w14:textId="77777777" w:rsidR="009B0448" w:rsidRPr="009B0448" w:rsidRDefault="009B0448" w:rsidP="009B0448">
      <w:pPr>
        <w:pStyle w:val="NoSpacing"/>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Anon. (2004). </w:t>
      </w:r>
      <w:r w:rsidRPr="009B0448">
        <w:rPr>
          <w:rFonts w:ascii="Times New Roman" w:eastAsia="Times New Roman" w:hAnsi="Times New Roman" w:cs="Times New Roman"/>
          <w:i/>
          <w:color w:val="auto"/>
        </w:rPr>
        <w:t>The Stockholm Convention on Persistent Organic Pollutants</w:t>
      </w:r>
      <w:r w:rsidRPr="009B0448">
        <w:rPr>
          <w:rFonts w:ascii="Times New Roman" w:eastAsia="Times New Roman" w:hAnsi="Times New Roman" w:cs="Times New Roman"/>
          <w:color w:val="auto"/>
        </w:rPr>
        <w:t xml:space="preserve">. Geneva, Switzerland: UNEP Chemicals. Retrieved from </w:t>
      </w:r>
      <w:hyperlink r:id="rId1085" w:history="1">
        <w:r w:rsidRPr="009B0448">
          <w:rPr>
            <w:rStyle w:val="Hyperlink"/>
            <w:rFonts w:ascii="Times New Roman" w:hAnsi="Times New Roman" w:cs="Times New Roman"/>
          </w:rPr>
          <w:t>https://en.wikipedia.org/wiki/Stockholm_Convention_on_Persistent_Organic_Pollutants</w:t>
        </w:r>
      </w:hyperlink>
      <w:r w:rsidRPr="009B0448">
        <w:rPr>
          <w:rFonts w:ascii="Times New Roman" w:eastAsia="Times New Roman" w:hAnsi="Times New Roman" w:cs="Times New Roman"/>
          <w:color w:val="auto"/>
        </w:rPr>
        <w:t xml:space="preserve"> </w:t>
      </w:r>
    </w:p>
    <w:p w14:paraId="4DC56E88" w14:textId="77777777" w:rsidR="009B0448" w:rsidRPr="009B0448" w:rsidRDefault="009B0448" w:rsidP="009B0448">
      <w:pPr>
        <w:pStyle w:val="NoSpacing"/>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Archibald, S. (2016). Managing the human component of fire regimes: Lessons from Africa. </w:t>
      </w:r>
      <w:r w:rsidRPr="009B0448">
        <w:rPr>
          <w:rFonts w:ascii="Times New Roman" w:eastAsia="Times New Roman" w:hAnsi="Times New Roman" w:cs="Times New Roman"/>
          <w:i/>
          <w:iCs/>
          <w:color w:val="auto"/>
        </w:rPr>
        <w:t>Philosophical Transactions of the Royal Society B: Biological Sciences</w:t>
      </w:r>
      <w:r w:rsidRPr="009B0448">
        <w:rPr>
          <w:rFonts w:ascii="Times New Roman" w:eastAsia="Times New Roman" w:hAnsi="Times New Roman" w:cs="Times New Roman"/>
          <w:color w:val="auto"/>
        </w:rPr>
        <w:t xml:space="preserve">, </w:t>
      </w:r>
      <w:r w:rsidRPr="009B0448">
        <w:rPr>
          <w:rFonts w:ascii="Times New Roman" w:eastAsia="Times New Roman" w:hAnsi="Times New Roman" w:cs="Times New Roman"/>
          <w:i/>
          <w:iCs/>
          <w:color w:val="auto"/>
        </w:rPr>
        <w:t>371</w:t>
      </w:r>
      <w:r w:rsidRPr="009B0448">
        <w:rPr>
          <w:rFonts w:ascii="Times New Roman" w:eastAsia="Times New Roman" w:hAnsi="Times New Roman" w:cs="Times New Roman"/>
          <w:color w:val="auto"/>
        </w:rPr>
        <w:t xml:space="preserve">(1696), 20150346. </w:t>
      </w:r>
      <w:hyperlink r:id="rId1086" w:history="1">
        <w:r w:rsidRPr="009B0448">
          <w:rPr>
            <w:rStyle w:val="Hyperlink"/>
            <w:rFonts w:ascii="Times New Roman" w:hAnsi="Times New Roman" w:cs="Times New Roman"/>
          </w:rPr>
          <w:t>https://doi.org/10.1098/rstb.2015.0346</w:t>
        </w:r>
      </w:hyperlink>
    </w:p>
    <w:p w14:paraId="2A2E2C61" w14:textId="77777777" w:rsidR="009B0448" w:rsidRPr="009B0448" w:rsidRDefault="009B0448" w:rsidP="009B0448">
      <w:pPr>
        <w:pStyle w:val="NoSpacing"/>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auto"/>
          <w:lang w:val="de-DE"/>
        </w:rPr>
        <w:t xml:space="preserve">Archibald, S., Lehmann, C. L., Gomez-Dans, J. L., &amp; Bradstock, R. A. (2013). </w:t>
      </w:r>
      <w:r w:rsidRPr="009B0448">
        <w:rPr>
          <w:rFonts w:ascii="Times New Roman" w:eastAsia="Times New Roman" w:hAnsi="Times New Roman" w:cs="Times New Roman"/>
          <w:color w:val="auto"/>
        </w:rPr>
        <w:t xml:space="preserve">Defining pyromes and global syndromes of fire regimes. </w:t>
      </w:r>
      <w:r w:rsidRPr="009B0448">
        <w:rPr>
          <w:rFonts w:ascii="Times New Roman" w:eastAsia="Times New Roman" w:hAnsi="Times New Roman" w:cs="Times New Roman"/>
          <w:i/>
          <w:color w:val="auto"/>
        </w:rPr>
        <w:t>Proceedings of the National Academy of Sciences of the United States of America, 110</w:t>
      </w:r>
      <w:r w:rsidRPr="009B0448">
        <w:rPr>
          <w:rFonts w:ascii="Times New Roman" w:eastAsia="Times New Roman" w:hAnsi="Times New Roman" w:cs="Times New Roman"/>
          <w:color w:val="auto"/>
        </w:rPr>
        <w:t xml:space="preserve">(16), 6442–6447. </w:t>
      </w:r>
      <w:hyperlink r:id="rId1087" w:history="1">
        <w:r w:rsidRPr="009B0448">
          <w:rPr>
            <w:rStyle w:val="Hyperlink"/>
            <w:rFonts w:ascii="Times New Roman" w:hAnsi="Times New Roman" w:cs="Times New Roman"/>
          </w:rPr>
          <w:t>https://doi.org/10.1073/pnas.1211466110</w:t>
        </w:r>
      </w:hyperlink>
      <w:r w:rsidRPr="009B0448">
        <w:rPr>
          <w:rFonts w:ascii="Times New Roman" w:eastAsia="Times New Roman" w:hAnsi="Times New Roman" w:cs="Times New Roman"/>
          <w:color w:val="auto"/>
        </w:rPr>
        <w:t xml:space="preserve"> </w:t>
      </w:r>
    </w:p>
    <w:p w14:paraId="4869436E" w14:textId="77777777" w:rsidR="009B0448" w:rsidRPr="009B0448" w:rsidRDefault="009B0448" w:rsidP="009B0448">
      <w:pPr>
        <w:pStyle w:val="NoSpacing"/>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Arnette, E., Brown, W., Erickson, P., Fiedler, J., Hamilton, B., Henry, T.H., Jain, A., Johnson, G. D., Kerns, J., Koford, R. R., Nichlson, C. P., O’Connell, T. J., Piorkowski, M. D., &amp; Tankersley Jr, R. (2008). Patterns of bat fatalities at wind energy facilities in North America. </w:t>
      </w:r>
      <w:r w:rsidRPr="009B0448">
        <w:rPr>
          <w:rFonts w:ascii="Times New Roman" w:eastAsia="Times New Roman" w:hAnsi="Times New Roman" w:cs="Times New Roman"/>
          <w:i/>
          <w:color w:val="auto"/>
        </w:rPr>
        <w:t>Journal of Wildlife Management, 72</w:t>
      </w:r>
      <w:r w:rsidRPr="009B0448">
        <w:rPr>
          <w:rFonts w:ascii="Times New Roman" w:eastAsia="Times New Roman" w:hAnsi="Times New Roman" w:cs="Times New Roman"/>
          <w:color w:val="auto"/>
        </w:rPr>
        <w:t xml:space="preserve">(1), 61–78. </w:t>
      </w:r>
      <w:hyperlink r:id="rId1088" w:history="1">
        <w:r w:rsidRPr="009B0448">
          <w:rPr>
            <w:rStyle w:val="Hyperlink"/>
            <w:rFonts w:ascii="Times New Roman" w:hAnsi="Times New Roman" w:cs="Times New Roman"/>
          </w:rPr>
          <w:t>https://doi.org/10.2193/2007-221</w:t>
        </w:r>
      </w:hyperlink>
    </w:p>
    <w:p w14:paraId="094CA3AA" w14:textId="77777777" w:rsidR="009B0448" w:rsidRPr="009B0448" w:rsidRDefault="009B0448" w:rsidP="009B0448">
      <w:pPr>
        <w:pStyle w:val="NoSpacing"/>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Arthurton, R., Koranteng, K., Forbes, T., Snoussi, M., Kitheka, J., Robinson, J., &amp; Monteiro, P. (2006). Coastal and marine environments. In UNEP (Ed.), </w:t>
      </w:r>
      <w:r w:rsidRPr="009B0448">
        <w:rPr>
          <w:rFonts w:ascii="Times New Roman" w:eastAsia="Times New Roman" w:hAnsi="Times New Roman" w:cs="Times New Roman"/>
          <w:i/>
          <w:color w:val="auto"/>
        </w:rPr>
        <w:t>Africa environment outlook 2–our environment, our wealth</w:t>
      </w:r>
      <w:r w:rsidRPr="009B0448">
        <w:rPr>
          <w:rFonts w:ascii="Times New Roman" w:eastAsia="Times New Roman" w:hAnsi="Times New Roman" w:cs="Times New Roman"/>
          <w:color w:val="auto"/>
        </w:rPr>
        <w:t xml:space="preserve"> (pp. 155–195). Nairobi, Kenya: UNEP. Retrieved from </w:t>
      </w:r>
      <w:hyperlink r:id="rId1089" w:history="1">
        <w:r w:rsidRPr="009B0448">
          <w:rPr>
            <w:rStyle w:val="Hyperlink"/>
            <w:rFonts w:ascii="Times New Roman" w:hAnsi="Times New Roman" w:cs="Times New Roman"/>
          </w:rPr>
          <w:t>http://hdl.handle.net/20.500.11822/9626</w:t>
        </w:r>
      </w:hyperlink>
      <w:r w:rsidRPr="009B0448">
        <w:rPr>
          <w:rFonts w:ascii="Times New Roman" w:eastAsia="Times New Roman" w:hAnsi="Times New Roman" w:cs="Times New Roman"/>
          <w:color w:val="auto"/>
        </w:rPr>
        <w:t xml:space="preserve"> </w:t>
      </w:r>
    </w:p>
    <w:p w14:paraId="5C2F55EC" w14:textId="34E8C365" w:rsidR="009B0448" w:rsidRPr="009B0448" w:rsidRDefault="009B0448" w:rsidP="009B0448">
      <w:pPr>
        <w:pStyle w:val="NoSpacing"/>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Ash, N., Lucas, N., Bubb, P., Iceland, C., Irwin, F., Ranganathan, J., &amp; Raudsepp-Hearne, C. (2008). Framing the link between development and ecosystem services. In J. Ranganathan, C. Raudsepp-Hearne, N. Lucas, F. Irwin, M. Zurek, Bennett, K., Ash, N., &amp; P. West (Eds.), </w:t>
      </w:r>
      <w:r w:rsidRPr="009B0448">
        <w:rPr>
          <w:rFonts w:ascii="Times New Roman" w:eastAsia="Times New Roman" w:hAnsi="Times New Roman" w:cs="Times New Roman"/>
          <w:i/>
          <w:color w:val="auto"/>
        </w:rPr>
        <w:t>Ecosystem Services: A guide for decision makers</w:t>
      </w:r>
      <w:r w:rsidR="00D925AD">
        <w:rPr>
          <w:rFonts w:ascii="Times New Roman" w:eastAsia="Times New Roman" w:hAnsi="Times New Roman" w:cs="Times New Roman"/>
          <w:color w:val="auto"/>
        </w:rPr>
        <w:t xml:space="preserve"> (pp. 13–28). Washington, D</w:t>
      </w:r>
      <w:r w:rsidRPr="009B0448">
        <w:rPr>
          <w:rFonts w:ascii="Times New Roman" w:eastAsia="Times New Roman" w:hAnsi="Times New Roman" w:cs="Times New Roman"/>
          <w:color w:val="auto"/>
        </w:rPr>
        <w:t xml:space="preserve">C, USA: World Resouces Institute. Retrieved from </w:t>
      </w:r>
      <w:hyperlink r:id="rId1090" w:history="1">
        <w:r w:rsidRPr="009B0448">
          <w:rPr>
            <w:rStyle w:val="Hyperlink"/>
            <w:rFonts w:ascii="Times New Roman" w:hAnsi="Times New Roman" w:cs="Times New Roman"/>
          </w:rPr>
          <w:t>http://pdf.wri.org/ecosystem_services_guide_for_decisionmakers.pdf</w:t>
        </w:r>
      </w:hyperlink>
      <w:r w:rsidRPr="009B0448">
        <w:rPr>
          <w:rFonts w:ascii="Times New Roman" w:eastAsia="Times New Roman" w:hAnsi="Times New Roman" w:cs="Times New Roman"/>
          <w:color w:val="auto"/>
        </w:rPr>
        <w:t xml:space="preserve"> </w:t>
      </w:r>
    </w:p>
    <w:p w14:paraId="1F001C2C" w14:textId="55A1F488" w:rsidR="009B0448" w:rsidRPr="000009C6" w:rsidRDefault="009B0448" w:rsidP="009B0448">
      <w:pPr>
        <w:pStyle w:val="NoSpacing"/>
        <w:spacing w:after="120" w:line="276" w:lineRule="auto"/>
        <w:ind w:left="567" w:hanging="567"/>
        <w:rPr>
          <w:rFonts w:ascii="Times New Roman" w:hAnsi="Times New Roman" w:cs="Times New Roman"/>
          <w:color w:val="auto"/>
        </w:rPr>
      </w:pPr>
      <w:r w:rsidRPr="000009C6">
        <w:rPr>
          <w:rFonts w:ascii="Times New Roman" w:hAnsi="Times New Roman" w:cs="Times New Roman"/>
          <w:color w:val="auto"/>
        </w:rPr>
        <w:t xml:space="preserve">AU. (2013). </w:t>
      </w:r>
      <w:r w:rsidRPr="000009C6">
        <w:rPr>
          <w:rFonts w:ascii="Times New Roman" w:hAnsi="Times New Roman" w:cs="Times New Roman"/>
          <w:i/>
          <w:color w:val="auto"/>
        </w:rPr>
        <w:t>Policy framework for the coordinated implementation of the Nagoya Protocol on ABS</w:t>
      </w:r>
      <w:r w:rsidRPr="000009C6">
        <w:rPr>
          <w:rFonts w:ascii="Times New Roman" w:hAnsi="Times New Roman" w:cs="Times New Roman"/>
          <w:color w:val="auto"/>
        </w:rPr>
        <w:t>. Addis Ababa, Ethiopia: A</w:t>
      </w:r>
      <w:r w:rsidR="00247AD0" w:rsidRPr="000009C6">
        <w:rPr>
          <w:rFonts w:ascii="Times New Roman" w:hAnsi="Times New Roman" w:cs="Times New Roman"/>
          <w:color w:val="auto"/>
        </w:rPr>
        <w:t>frican Union Commission</w:t>
      </w:r>
      <w:r w:rsidRPr="000009C6">
        <w:rPr>
          <w:rFonts w:ascii="Times New Roman" w:hAnsi="Times New Roman" w:cs="Times New Roman"/>
          <w:color w:val="auto"/>
        </w:rPr>
        <w:t xml:space="preserve">. </w:t>
      </w:r>
    </w:p>
    <w:p w14:paraId="62458ADD" w14:textId="0F87E4F5"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574F87">
        <w:rPr>
          <w:rFonts w:ascii="Times New Roman" w:hAnsi="Times New Roman" w:cs="Times New Roman"/>
          <w:color w:val="auto"/>
        </w:rPr>
        <w:t xml:space="preserve">AU. (2015). </w:t>
      </w:r>
      <w:r w:rsidRPr="00574F87">
        <w:rPr>
          <w:rFonts w:ascii="Times New Roman" w:hAnsi="Times New Roman" w:cs="Times New Roman"/>
          <w:i/>
          <w:color w:val="auto"/>
        </w:rPr>
        <w:t>AGENDA 2063: Framework document</w:t>
      </w:r>
      <w:r w:rsidRPr="00574F87">
        <w:rPr>
          <w:rFonts w:ascii="Times New Roman" w:hAnsi="Times New Roman" w:cs="Times New Roman"/>
          <w:color w:val="auto"/>
        </w:rPr>
        <w:t xml:space="preserve">. Addis Ababa, Ethiopia: </w:t>
      </w:r>
      <w:r w:rsidR="00247AD0" w:rsidRPr="00574F87">
        <w:rPr>
          <w:rFonts w:ascii="Times New Roman" w:hAnsi="Times New Roman" w:cs="Times New Roman"/>
          <w:color w:val="auto"/>
        </w:rPr>
        <w:t>African Union Commission</w:t>
      </w:r>
      <w:r w:rsidRPr="00574F87">
        <w:rPr>
          <w:rFonts w:ascii="Times New Roman" w:hAnsi="Times New Roman" w:cs="Times New Roman"/>
          <w:color w:val="auto"/>
        </w:rPr>
        <w:t xml:space="preserve">. Retrieved from </w:t>
      </w:r>
      <w:hyperlink r:id="rId1091" w:history="1">
        <w:r w:rsidRPr="00574F87">
          <w:rPr>
            <w:rStyle w:val="Hyperlink"/>
            <w:rFonts w:ascii="Times New Roman" w:hAnsi="Times New Roman" w:cs="Times New Roman"/>
          </w:rPr>
          <w:t>http://www.agenda2063.au.int.pdf</w:t>
        </w:r>
      </w:hyperlink>
    </w:p>
    <w:p w14:paraId="20ED3A0C" w14:textId="762D5FD0"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AU. (2016). </w:t>
      </w:r>
      <w:r w:rsidRPr="009B0448">
        <w:rPr>
          <w:rFonts w:ascii="Times New Roman" w:hAnsi="Times New Roman" w:cs="Times New Roman"/>
          <w:i/>
          <w:color w:val="auto"/>
        </w:rPr>
        <w:t>African Union press release 2016</w:t>
      </w:r>
      <w:r w:rsidRPr="009B0448">
        <w:rPr>
          <w:rFonts w:ascii="Times New Roman" w:hAnsi="Times New Roman" w:cs="Times New Roman"/>
          <w:color w:val="auto"/>
        </w:rPr>
        <w:t xml:space="preserve">. Addis Ababa, Ethiopia: </w:t>
      </w:r>
      <w:r w:rsidR="00247AD0" w:rsidRPr="009B0448">
        <w:rPr>
          <w:rFonts w:ascii="Times New Roman" w:hAnsi="Times New Roman" w:cs="Times New Roman"/>
          <w:color w:val="auto"/>
        </w:rPr>
        <w:t>A</w:t>
      </w:r>
      <w:r w:rsidR="00247AD0">
        <w:rPr>
          <w:rFonts w:ascii="Times New Roman" w:hAnsi="Times New Roman" w:cs="Times New Roman"/>
          <w:color w:val="auto"/>
        </w:rPr>
        <w:t>frican Union Commission</w:t>
      </w:r>
      <w:r w:rsidRPr="009B0448">
        <w:rPr>
          <w:rFonts w:ascii="Times New Roman" w:hAnsi="Times New Roman" w:cs="Times New Roman"/>
          <w:color w:val="auto"/>
        </w:rPr>
        <w:t xml:space="preserve">. Retrieved from </w:t>
      </w:r>
      <w:hyperlink r:id="rId1092" w:history="1">
        <w:r w:rsidRPr="009B0448">
          <w:rPr>
            <w:rStyle w:val="Hyperlink"/>
            <w:rFonts w:ascii="Times New Roman" w:hAnsi="Times New Roman" w:cs="Times New Roman"/>
          </w:rPr>
          <w:t>www.au.int/en/sites/default/files/pr_.au_recs_uneca_afdb_nepad_acbf.pdf</w:t>
        </w:r>
      </w:hyperlink>
    </w:p>
    <w:p w14:paraId="47D8983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Bai, Z. G., Dent, D. L., Olsson, L., &amp; Schaepman, M. E. (2008). Proxy global assessment of land degradation. </w:t>
      </w:r>
      <w:r w:rsidRPr="009B0448">
        <w:rPr>
          <w:rFonts w:ascii="Times New Roman" w:hAnsi="Times New Roman" w:cs="Times New Roman"/>
          <w:i/>
          <w:color w:val="auto"/>
        </w:rPr>
        <w:t>Soil Use and Management, 24</w:t>
      </w:r>
      <w:r w:rsidRPr="009B0448">
        <w:rPr>
          <w:rFonts w:ascii="Times New Roman" w:hAnsi="Times New Roman" w:cs="Times New Roman"/>
          <w:color w:val="auto"/>
        </w:rPr>
        <w:t xml:space="preserve">(3), 223–234. </w:t>
      </w:r>
      <w:hyperlink r:id="rId1093" w:history="1">
        <w:r w:rsidRPr="009B0448">
          <w:rPr>
            <w:rStyle w:val="Hyperlink"/>
            <w:rFonts w:ascii="Times New Roman" w:hAnsi="Times New Roman" w:cs="Times New Roman"/>
          </w:rPr>
          <w:t>https://doi.org/10.1111/j.1475-2743.2008.00169.x</w:t>
        </w:r>
      </w:hyperlink>
      <w:r w:rsidRPr="009B0448">
        <w:rPr>
          <w:rFonts w:ascii="Times New Roman" w:hAnsi="Times New Roman" w:cs="Times New Roman"/>
          <w:color w:val="auto"/>
        </w:rPr>
        <w:t xml:space="preserve"> </w:t>
      </w:r>
    </w:p>
    <w:p w14:paraId="5B53E56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Baker, D. J., Hartley, A. J., Burgess, N. D., Butchart, S. H. M., Carr, J. A., Smith, R. J., Belle, E., &amp; Willis, S. G. (2015). Assessing climate change impacts for vertebrate fauna across the West African protected area network using regionally appropriate climate projections. </w:t>
      </w:r>
      <w:r w:rsidRPr="009B0448">
        <w:rPr>
          <w:rFonts w:ascii="Times New Roman" w:hAnsi="Times New Roman" w:cs="Times New Roman"/>
          <w:i/>
          <w:color w:val="auto"/>
        </w:rPr>
        <w:t>Diversity and Distributions, 21</w:t>
      </w:r>
      <w:r w:rsidRPr="009B0448">
        <w:rPr>
          <w:rFonts w:ascii="Times New Roman" w:hAnsi="Times New Roman" w:cs="Times New Roman"/>
          <w:color w:val="auto"/>
        </w:rPr>
        <w:t xml:space="preserve">(9), 991–1003. </w:t>
      </w:r>
      <w:hyperlink r:id="rId1094" w:history="1">
        <w:r w:rsidRPr="009B0448">
          <w:rPr>
            <w:rStyle w:val="Hyperlink"/>
            <w:rFonts w:ascii="Times New Roman" w:hAnsi="Times New Roman" w:cs="Times New Roman"/>
          </w:rPr>
          <w:t>https://doi.org/10.1111/ddi.12337</w:t>
        </w:r>
      </w:hyperlink>
      <w:r w:rsidRPr="009B0448">
        <w:rPr>
          <w:rFonts w:ascii="Times New Roman" w:hAnsi="Times New Roman" w:cs="Times New Roman"/>
          <w:color w:val="auto"/>
        </w:rPr>
        <w:t xml:space="preserve"> </w:t>
      </w:r>
    </w:p>
    <w:p w14:paraId="3C95349B" w14:textId="77777777" w:rsidR="009B0448" w:rsidRPr="009B0448" w:rsidRDefault="009B0448" w:rsidP="009B0448">
      <w:pPr>
        <w:pStyle w:val="NoSpacing"/>
        <w:spacing w:after="120" w:line="276" w:lineRule="auto"/>
        <w:ind w:left="567" w:hanging="567"/>
        <w:rPr>
          <w:rFonts w:ascii="Times New Roman" w:hAnsi="Times New Roman" w:cs="Times New Roman"/>
          <w:b/>
          <w:color w:val="auto"/>
        </w:rPr>
      </w:pPr>
      <w:r w:rsidRPr="009B0448">
        <w:rPr>
          <w:rFonts w:ascii="Times New Roman" w:hAnsi="Times New Roman" w:cs="Times New Roman"/>
          <w:color w:val="auto"/>
        </w:rPr>
        <w:t xml:space="preserve">Barker, J. R., &amp; Tingey, D. T. (2012). </w:t>
      </w:r>
      <w:r w:rsidRPr="009B0448">
        <w:rPr>
          <w:rFonts w:ascii="Times New Roman" w:hAnsi="Times New Roman" w:cs="Times New Roman"/>
          <w:i/>
          <w:color w:val="auto"/>
        </w:rPr>
        <w:t>Air pollution effects on biodiversity</w:t>
      </w:r>
      <w:r w:rsidRPr="009B0448">
        <w:rPr>
          <w:rFonts w:ascii="Times New Roman" w:hAnsi="Times New Roman" w:cs="Times New Roman"/>
          <w:color w:val="auto"/>
        </w:rPr>
        <w:t xml:space="preserve">. Berlin, Germany: Springer Science and Business Media. Retrieved from </w:t>
      </w:r>
      <w:hyperlink r:id="rId1095" w:history="1">
        <w:r w:rsidRPr="009B0448">
          <w:rPr>
            <w:rStyle w:val="Hyperlink"/>
            <w:rFonts w:ascii="Times New Roman" w:hAnsi="Times New Roman" w:cs="Times New Roman"/>
          </w:rPr>
          <w:t>http://www.unece.org/environmental-policy/conventions/envlrtapwelcome/cross-sectoral-linkages/air-pollution-ecosystems-and-biodiversity.html</w:t>
        </w:r>
      </w:hyperlink>
      <w:r w:rsidRPr="009B0448">
        <w:rPr>
          <w:rFonts w:ascii="Times New Roman" w:hAnsi="Times New Roman" w:cs="Times New Roman"/>
          <w:color w:val="auto"/>
        </w:rPr>
        <w:t xml:space="preserve"> </w:t>
      </w:r>
    </w:p>
    <w:p w14:paraId="430FE60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Barnes, M. (2015). Aichi targets: Protect biodiversity, not just area. </w:t>
      </w:r>
      <w:r w:rsidRPr="009B0448">
        <w:rPr>
          <w:rFonts w:ascii="Times New Roman" w:hAnsi="Times New Roman" w:cs="Times New Roman"/>
          <w:i/>
          <w:color w:val="auto"/>
        </w:rPr>
        <w:t>Nature, 526</w:t>
      </w:r>
      <w:r w:rsidRPr="009B0448">
        <w:rPr>
          <w:rFonts w:ascii="Times New Roman" w:hAnsi="Times New Roman" w:cs="Times New Roman"/>
          <w:color w:val="auto"/>
        </w:rPr>
        <w:t xml:space="preserve">, 195. </w:t>
      </w:r>
      <w:hyperlink r:id="rId1096" w:history="1">
        <w:r w:rsidRPr="009B0448">
          <w:rPr>
            <w:rStyle w:val="Hyperlink"/>
            <w:rFonts w:ascii="Times New Roman" w:hAnsi="Times New Roman" w:cs="Times New Roman"/>
          </w:rPr>
          <w:t>https://doi.org/10.1038/526195e</w:t>
        </w:r>
      </w:hyperlink>
      <w:r w:rsidRPr="009B0448">
        <w:rPr>
          <w:rFonts w:ascii="Times New Roman" w:hAnsi="Times New Roman" w:cs="Times New Roman"/>
          <w:color w:val="auto"/>
        </w:rPr>
        <w:t xml:space="preserve"> </w:t>
      </w:r>
    </w:p>
    <w:p w14:paraId="53F7FAC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Barnhoorn, I. E. J., Bornman, M. S., Pieterse, G. M., &amp; van Vuren, J. H. J. (2004). Histological evidence of intersex in feral sharptooth catfish (</w:t>
      </w:r>
      <w:r w:rsidRPr="009B0448">
        <w:rPr>
          <w:rFonts w:ascii="Times New Roman" w:hAnsi="Times New Roman" w:cs="Times New Roman"/>
          <w:i/>
          <w:color w:val="auto"/>
        </w:rPr>
        <w:t>Clarias gariepinus</w:t>
      </w:r>
      <w:r w:rsidRPr="009B0448">
        <w:rPr>
          <w:rFonts w:ascii="Times New Roman" w:hAnsi="Times New Roman" w:cs="Times New Roman"/>
          <w:color w:val="auto"/>
        </w:rPr>
        <w:t>) from an estrogen</w:t>
      </w:r>
      <w:r w:rsidRPr="009B0448">
        <w:rPr>
          <w:rFonts w:ascii="Cambria Math" w:hAnsi="Cambria Math" w:cs="Cambria Math"/>
          <w:color w:val="auto"/>
        </w:rPr>
        <w:t>‐</w:t>
      </w:r>
      <w:r w:rsidRPr="009B0448">
        <w:rPr>
          <w:rFonts w:ascii="Times New Roman" w:hAnsi="Times New Roman" w:cs="Times New Roman"/>
          <w:color w:val="auto"/>
        </w:rPr>
        <w:t xml:space="preserve">polluted water source in Gauteng, South Africa. </w:t>
      </w:r>
      <w:r w:rsidRPr="009B0448">
        <w:rPr>
          <w:rFonts w:ascii="Times New Roman" w:hAnsi="Times New Roman" w:cs="Times New Roman"/>
          <w:i/>
          <w:color w:val="auto"/>
        </w:rPr>
        <w:t>Environmental Toxicology, 19</w:t>
      </w:r>
      <w:r w:rsidRPr="009B0448">
        <w:rPr>
          <w:rFonts w:ascii="Times New Roman" w:hAnsi="Times New Roman" w:cs="Times New Roman"/>
          <w:color w:val="auto"/>
        </w:rPr>
        <w:t xml:space="preserve">(6), 603–608. </w:t>
      </w:r>
      <w:hyperlink r:id="rId1097" w:history="1">
        <w:r w:rsidRPr="009B0448">
          <w:rPr>
            <w:rStyle w:val="Hyperlink"/>
            <w:rFonts w:ascii="Times New Roman" w:hAnsi="Times New Roman" w:cs="Times New Roman"/>
          </w:rPr>
          <w:t>https://doi.org/10.1002/tox.20068</w:t>
        </w:r>
      </w:hyperlink>
      <w:r w:rsidRPr="009B0448">
        <w:rPr>
          <w:rFonts w:ascii="Times New Roman" w:hAnsi="Times New Roman" w:cs="Times New Roman"/>
          <w:color w:val="auto"/>
        </w:rPr>
        <w:t xml:space="preserve"> </w:t>
      </w:r>
    </w:p>
    <w:p w14:paraId="6B5C572B" w14:textId="77777777" w:rsidR="009B0448" w:rsidRPr="009B0448" w:rsidRDefault="009B0448" w:rsidP="009B0448">
      <w:pPr>
        <w:pStyle w:val="NoSpacing"/>
        <w:spacing w:after="120" w:line="276" w:lineRule="auto"/>
        <w:ind w:left="567" w:hanging="567"/>
        <w:rPr>
          <w:rFonts w:ascii="Times New Roman" w:hAnsi="Times New Roman" w:cs="Times New Roman"/>
          <w:color w:val="auto"/>
          <w:lang w:val="de-DE"/>
        </w:rPr>
      </w:pPr>
      <w:r w:rsidRPr="009B0448">
        <w:rPr>
          <w:rFonts w:ascii="Times New Roman" w:hAnsi="Times New Roman" w:cs="Times New Roman"/>
          <w:color w:val="auto"/>
        </w:rPr>
        <w:t xml:space="preserve">Barnhoorn, I., van Dyk, J., Genthe, B., Harding, W., Wagenaar, G., &amp; Bornman, M. (2015). Organochlorine pesticide levels in </w:t>
      </w:r>
      <w:r w:rsidRPr="009B0448">
        <w:rPr>
          <w:rFonts w:ascii="Times New Roman" w:hAnsi="Times New Roman" w:cs="Times New Roman"/>
          <w:i/>
          <w:color w:val="auto"/>
        </w:rPr>
        <w:t>Clarias gariepinus</w:t>
      </w:r>
      <w:r w:rsidRPr="009B0448">
        <w:rPr>
          <w:rFonts w:ascii="Times New Roman" w:hAnsi="Times New Roman" w:cs="Times New Roman"/>
          <w:color w:val="auto"/>
        </w:rPr>
        <w:t xml:space="preserve"> from polluted freshwater impoundments in South Africa and associated human health risks. </w:t>
      </w:r>
      <w:r w:rsidRPr="009B0448">
        <w:rPr>
          <w:rFonts w:ascii="Times New Roman" w:hAnsi="Times New Roman" w:cs="Times New Roman"/>
          <w:i/>
          <w:color w:val="auto"/>
          <w:lang w:val="de-DE"/>
        </w:rPr>
        <w:t>Chemosphere, 120</w:t>
      </w:r>
      <w:r w:rsidRPr="009B0448">
        <w:rPr>
          <w:rFonts w:ascii="Times New Roman" w:hAnsi="Times New Roman" w:cs="Times New Roman"/>
          <w:color w:val="auto"/>
          <w:lang w:val="de-DE"/>
        </w:rPr>
        <w:t xml:space="preserve">, 391–397. </w:t>
      </w:r>
      <w:hyperlink r:id="rId1098" w:history="1">
        <w:r w:rsidRPr="009B0448">
          <w:rPr>
            <w:rStyle w:val="Hyperlink"/>
            <w:rFonts w:ascii="Times New Roman" w:hAnsi="Times New Roman" w:cs="Times New Roman"/>
            <w:lang w:val="de-DE"/>
          </w:rPr>
          <w:t>https://doi.org/10.1016/j.chemosphere.2014.08.030</w:t>
        </w:r>
      </w:hyperlink>
    </w:p>
    <w:p w14:paraId="5088F34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Bates, B., Kundzewicz, Z. W., Wu, S., &amp; Palutikof, J. (2008). </w:t>
      </w:r>
      <w:r w:rsidRPr="009B0448">
        <w:rPr>
          <w:rFonts w:ascii="Times New Roman" w:hAnsi="Times New Roman" w:cs="Times New Roman"/>
          <w:i/>
          <w:color w:val="auto"/>
        </w:rPr>
        <w:t>Climate change and water</w:t>
      </w:r>
      <w:r w:rsidRPr="009B0448">
        <w:rPr>
          <w:rFonts w:ascii="Times New Roman" w:hAnsi="Times New Roman" w:cs="Times New Roman"/>
          <w:color w:val="auto"/>
        </w:rPr>
        <w:t xml:space="preserve">. Geneva, Switzerland: IPCC. Retrieved from </w:t>
      </w:r>
      <w:hyperlink r:id="rId1099" w:history="1">
        <w:r w:rsidRPr="009B0448">
          <w:rPr>
            <w:rStyle w:val="Hyperlink"/>
            <w:rFonts w:ascii="Times New Roman" w:hAnsi="Times New Roman" w:cs="Times New Roman"/>
          </w:rPr>
          <w:t>https://www.ipcc.ch/pdf/technical-papers/climate-change-water-en.pdf</w:t>
        </w:r>
      </w:hyperlink>
      <w:r w:rsidRPr="009B0448">
        <w:rPr>
          <w:rFonts w:ascii="Times New Roman" w:hAnsi="Times New Roman" w:cs="Times New Roman"/>
          <w:color w:val="auto"/>
        </w:rPr>
        <w:t xml:space="preserve"> </w:t>
      </w:r>
    </w:p>
    <w:p w14:paraId="30E99893"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Bausch, D. G., &amp; Schwarz, L. (2014). Outbreak of ebola virus disease in Guinea: Where ecology meets economy. </w:t>
      </w:r>
      <w:r w:rsidRPr="009B0448">
        <w:rPr>
          <w:rFonts w:ascii="Times New Roman" w:eastAsiaTheme="minorHAnsi" w:hAnsi="Times New Roman" w:cs="Times New Roman"/>
          <w:i/>
          <w:color w:val="auto"/>
        </w:rPr>
        <w:t>PLoS Neglected Tropican Disease, 8</w:t>
      </w:r>
      <w:r w:rsidRPr="009B0448">
        <w:rPr>
          <w:rFonts w:ascii="Times New Roman" w:eastAsiaTheme="minorHAnsi" w:hAnsi="Times New Roman" w:cs="Times New Roman"/>
          <w:color w:val="auto"/>
        </w:rPr>
        <w:t xml:space="preserve">(7), e3056. </w:t>
      </w:r>
      <w:hyperlink r:id="rId1100" w:history="1">
        <w:r w:rsidRPr="009B0448">
          <w:rPr>
            <w:rStyle w:val="Hyperlink"/>
            <w:rFonts w:ascii="Times New Roman" w:eastAsiaTheme="minorHAnsi" w:hAnsi="Times New Roman" w:cs="Times New Roman"/>
          </w:rPr>
          <w:t>https://doi.org/10.1371/journal.pntd.0003056</w:t>
        </w:r>
      </w:hyperlink>
    </w:p>
    <w:p w14:paraId="0C8F189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Behnke, R. H., &amp; Mortimore, M. (Eds.). (2016). </w:t>
      </w:r>
      <w:r w:rsidRPr="009B0448">
        <w:rPr>
          <w:rFonts w:ascii="Times New Roman" w:hAnsi="Times New Roman" w:cs="Times New Roman"/>
          <w:i/>
          <w:color w:val="auto"/>
        </w:rPr>
        <w:t>The end of desertification? Disputing environmental change in the drylands</w:t>
      </w:r>
      <w:r w:rsidRPr="009B0448">
        <w:rPr>
          <w:rFonts w:ascii="Times New Roman" w:hAnsi="Times New Roman" w:cs="Times New Roman"/>
          <w:color w:val="auto"/>
        </w:rPr>
        <w:t xml:space="preserve">. Heidelberg, Germany: Springer. </w:t>
      </w:r>
      <w:hyperlink r:id="rId1101" w:history="1">
        <w:r w:rsidRPr="009B0448">
          <w:rPr>
            <w:rStyle w:val="Hyperlink"/>
            <w:rFonts w:ascii="Times New Roman" w:hAnsi="Times New Roman" w:cs="Times New Roman"/>
          </w:rPr>
          <w:t>https://doi.org/10.1007/978-3-642-16014-1</w:t>
        </w:r>
      </w:hyperlink>
      <w:r w:rsidRPr="009B0448">
        <w:rPr>
          <w:rFonts w:ascii="Times New Roman" w:hAnsi="Times New Roman" w:cs="Times New Roman"/>
          <w:color w:val="auto"/>
        </w:rPr>
        <w:t xml:space="preserve"> </w:t>
      </w:r>
    </w:p>
    <w:p w14:paraId="68AE525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Bellard, C., Bertelsmeier, C., Leadley, P., Thuiller, W., &amp; Courchamp, F. (2012). Impacts of climate change on the future of biodiversity. </w:t>
      </w:r>
      <w:r w:rsidRPr="009B0448">
        <w:rPr>
          <w:rFonts w:ascii="Times New Roman" w:hAnsi="Times New Roman" w:cs="Times New Roman"/>
          <w:i/>
          <w:color w:val="auto"/>
        </w:rPr>
        <w:t>Ecology letters, 15(4)</w:t>
      </w:r>
      <w:r w:rsidRPr="009B0448">
        <w:rPr>
          <w:rFonts w:ascii="Times New Roman" w:hAnsi="Times New Roman" w:cs="Times New Roman"/>
          <w:color w:val="auto"/>
        </w:rPr>
        <w:t>, 365</w:t>
      </w:r>
      <w:r w:rsidRPr="009B0448">
        <w:rPr>
          <w:rFonts w:ascii="Times New Roman" w:hAnsi="Times New Roman" w:cs="Times New Roman"/>
          <w:color w:val="auto"/>
          <w:lang w:val="de-DE"/>
        </w:rPr>
        <w:t>–</w:t>
      </w:r>
      <w:r w:rsidRPr="009B0448">
        <w:rPr>
          <w:rFonts w:ascii="Times New Roman" w:hAnsi="Times New Roman" w:cs="Times New Roman"/>
          <w:color w:val="auto"/>
        </w:rPr>
        <w:t xml:space="preserve">377. </w:t>
      </w:r>
      <w:hyperlink r:id="rId1102" w:history="1">
        <w:r w:rsidRPr="009B0448">
          <w:rPr>
            <w:rStyle w:val="Hyperlink"/>
            <w:rFonts w:ascii="Times New Roman" w:hAnsi="Times New Roman" w:cs="Times New Roman"/>
          </w:rPr>
          <w:t>https://doi.org/10.1111/j.1461-0248.2011.01736.x</w:t>
        </w:r>
      </w:hyperlink>
      <w:r w:rsidRPr="009B0448">
        <w:rPr>
          <w:rFonts w:ascii="Times New Roman" w:hAnsi="Times New Roman" w:cs="Times New Roman"/>
          <w:color w:val="auto"/>
        </w:rPr>
        <w:t xml:space="preserve"> </w:t>
      </w:r>
    </w:p>
    <w:p w14:paraId="029A6B8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Belle, E. M. S., Burgess, N. D., Misrachi, M., Arnell, A., Masumbuko, B., Somda, J., Hartley, A., Jones, R., Janes, T., McSweeney, C., Mathison, C., Buontempo, C., Butchart, S., Willis, S. G., Baker, D. J., Carr, J., Hughes, A., Foden, W., Smith, R. J., Smith, J., Stolton, S., Dudley, N., Hockings, M., Mulongoy, J., &amp;</w:t>
      </w:r>
      <w:r w:rsidRPr="009B0448">
        <w:rPr>
          <w:rFonts w:ascii="Times New Roman" w:hAnsi="Times New Roman" w:cs="Times New Roman"/>
        </w:rPr>
        <w:t xml:space="preserve"> </w:t>
      </w:r>
      <w:r w:rsidRPr="009B0448">
        <w:rPr>
          <w:rFonts w:ascii="Times New Roman" w:hAnsi="Times New Roman" w:cs="Times New Roman"/>
          <w:color w:val="auto"/>
        </w:rPr>
        <w:t xml:space="preserve">Kingston N. (2016). </w:t>
      </w:r>
      <w:r w:rsidRPr="009B0448">
        <w:rPr>
          <w:rFonts w:ascii="Times New Roman" w:hAnsi="Times New Roman" w:cs="Times New Roman"/>
          <w:i/>
          <w:color w:val="auto"/>
        </w:rPr>
        <w:t>Impacts du changement climatique sur la biodiversité et les aires protégées en Afrique de l’Ouest</w:t>
      </w:r>
      <w:r w:rsidRPr="009B0448">
        <w:rPr>
          <w:rFonts w:ascii="Times New Roman" w:hAnsi="Times New Roman" w:cs="Times New Roman"/>
          <w:color w:val="auto"/>
        </w:rPr>
        <w:t>. Cambridge, UK: UNEP-WCMC.</w:t>
      </w:r>
      <w:r w:rsidRPr="009B0448">
        <w:rPr>
          <w:rFonts w:ascii="Times New Roman" w:hAnsi="Times New Roman" w:cs="Times New Roman"/>
        </w:rPr>
        <w:t xml:space="preserve"> </w:t>
      </w:r>
      <w:r w:rsidRPr="009B0448">
        <w:rPr>
          <w:rFonts w:ascii="Times New Roman" w:hAnsi="Times New Roman" w:cs="Times New Roman"/>
          <w:color w:val="auto"/>
        </w:rPr>
        <w:t xml:space="preserve">Retrieved from </w:t>
      </w:r>
      <w:hyperlink r:id="rId1103" w:history="1">
        <w:r w:rsidRPr="009B0448">
          <w:rPr>
            <w:rStyle w:val="Hyperlink"/>
            <w:rFonts w:ascii="Times New Roman" w:hAnsi="Times New Roman" w:cs="Times New Roman"/>
          </w:rPr>
          <w:t>http://biblioteca.semarnat.gob.mx/janium/Documentos/Ciga/Libros2013/CD002534.pdf</w:t>
        </w:r>
      </w:hyperlink>
      <w:r w:rsidRPr="009B0448">
        <w:rPr>
          <w:rFonts w:ascii="Times New Roman" w:hAnsi="Times New Roman" w:cs="Times New Roman"/>
          <w:color w:val="auto"/>
        </w:rPr>
        <w:t xml:space="preserve"> </w:t>
      </w:r>
    </w:p>
    <w:p w14:paraId="791C57F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Bennett, E. (1998). </w:t>
      </w:r>
      <w:r w:rsidRPr="009B0448">
        <w:rPr>
          <w:rFonts w:ascii="Times New Roman" w:hAnsi="Times New Roman" w:cs="Times New Roman"/>
          <w:i/>
          <w:color w:val="auto"/>
        </w:rPr>
        <w:t>Challenges of managing small scale fisheries in West Africa, Final Report, CEMARE</w:t>
      </w:r>
      <w:r w:rsidRPr="009B0448">
        <w:rPr>
          <w:rFonts w:ascii="Times New Roman" w:hAnsi="Times New Roman" w:cs="Times New Roman"/>
          <w:color w:val="auto"/>
        </w:rPr>
        <w:t xml:space="preserve">. London, U.K: Assests Publishing. Retrieved from </w:t>
      </w:r>
      <w:hyperlink r:id="rId1104" w:history="1">
        <w:r w:rsidRPr="009B0448">
          <w:rPr>
            <w:rStyle w:val="Hyperlink"/>
            <w:rFonts w:ascii="Times New Roman" w:hAnsi="Times New Roman" w:cs="Times New Roman"/>
          </w:rPr>
          <w:t>https://assets.publishing.service.gov.uk/media/57a08d31e5274a27b20016b5/R7334k.pdf</w:t>
        </w:r>
      </w:hyperlink>
      <w:r w:rsidRPr="009B0448">
        <w:rPr>
          <w:rFonts w:ascii="Times New Roman" w:hAnsi="Times New Roman" w:cs="Times New Roman"/>
          <w:color w:val="auto"/>
        </w:rPr>
        <w:t>.</w:t>
      </w:r>
    </w:p>
    <w:p w14:paraId="4F6849F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Bennett, E. L., Blencowe, E., Brandon, K., Brown, D., Burn, R. W., Cowlishaw, G., &amp; Wilkie, D. S. (2007). Hunting for consensus: Reconciling bushmeat harvest and development policy in West and Central Africa. </w:t>
      </w:r>
      <w:r w:rsidRPr="009B0448">
        <w:rPr>
          <w:rFonts w:ascii="Times New Roman" w:hAnsi="Times New Roman" w:cs="Times New Roman"/>
          <w:i/>
          <w:color w:val="auto"/>
        </w:rPr>
        <w:t>Conservations Biology, 21</w:t>
      </w:r>
      <w:r w:rsidRPr="009B0448">
        <w:rPr>
          <w:rFonts w:ascii="Times New Roman" w:hAnsi="Times New Roman" w:cs="Times New Roman"/>
          <w:color w:val="auto"/>
        </w:rPr>
        <w:t xml:space="preserve">(3), 884–887. </w:t>
      </w:r>
      <w:hyperlink r:id="rId1105" w:history="1">
        <w:r w:rsidRPr="009B0448">
          <w:rPr>
            <w:rStyle w:val="Hyperlink"/>
            <w:rFonts w:ascii="Times New Roman" w:hAnsi="Times New Roman" w:cs="Times New Roman"/>
          </w:rPr>
          <w:t>https://doi.org/10.1111/j.1523-1739.2006.00595.x</w:t>
        </w:r>
      </w:hyperlink>
      <w:r w:rsidRPr="009B0448">
        <w:rPr>
          <w:rFonts w:ascii="Times New Roman" w:hAnsi="Times New Roman" w:cs="Times New Roman"/>
          <w:color w:val="auto"/>
        </w:rPr>
        <w:t xml:space="preserve"> </w:t>
      </w:r>
    </w:p>
    <w:p w14:paraId="6EEB985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Bermejo, M., Rodríguez-Teijeiro, J. D., Illera, G., Barroso, A., Vilà, C., &amp; Walsh, P. D. (2006). Ebola outbreak killed 5000 gorillas. </w:t>
      </w:r>
      <w:r w:rsidRPr="009B0448">
        <w:rPr>
          <w:rFonts w:ascii="Times New Roman" w:hAnsi="Times New Roman" w:cs="Times New Roman"/>
          <w:i/>
          <w:color w:val="auto"/>
        </w:rPr>
        <w:t>Science, 314</w:t>
      </w:r>
      <w:r w:rsidRPr="009B0448">
        <w:rPr>
          <w:rFonts w:ascii="Times New Roman" w:hAnsi="Times New Roman" w:cs="Times New Roman"/>
          <w:color w:val="auto"/>
        </w:rPr>
        <w:t xml:space="preserve">(5805), 1564. </w:t>
      </w:r>
      <w:hyperlink r:id="rId1106" w:history="1">
        <w:r w:rsidRPr="009B0448">
          <w:rPr>
            <w:rStyle w:val="Hyperlink"/>
            <w:rFonts w:ascii="Times New Roman" w:hAnsi="Times New Roman" w:cs="Times New Roman"/>
          </w:rPr>
          <w:t>https://doi.org/10.1126/science.1133105</w:t>
        </w:r>
      </w:hyperlink>
      <w:r w:rsidRPr="009B0448">
        <w:rPr>
          <w:rFonts w:ascii="Times New Roman" w:hAnsi="Times New Roman" w:cs="Times New Roman"/>
          <w:color w:val="auto"/>
        </w:rPr>
        <w:t xml:space="preserve"> </w:t>
      </w:r>
    </w:p>
    <w:p w14:paraId="5F3F761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Bester, F. V. (1999). Major problem-bush species and densities in Namibia. </w:t>
      </w:r>
      <w:r w:rsidRPr="009B0448">
        <w:rPr>
          <w:rFonts w:ascii="Times New Roman" w:hAnsi="Times New Roman" w:cs="Times New Roman"/>
          <w:i/>
          <w:color w:val="auto"/>
        </w:rPr>
        <w:t>Agricola, 10</w:t>
      </w:r>
      <w:r w:rsidRPr="009B0448">
        <w:rPr>
          <w:rFonts w:ascii="Times New Roman" w:hAnsi="Times New Roman" w:cs="Times New Roman"/>
          <w:color w:val="auto"/>
        </w:rPr>
        <w:t xml:space="preserve">, 1–3. Retrieved from </w:t>
      </w:r>
      <w:hyperlink r:id="rId1107" w:history="1">
        <w:r w:rsidRPr="009B0448">
          <w:rPr>
            <w:rStyle w:val="Hyperlink"/>
            <w:rFonts w:ascii="Times New Roman" w:hAnsi="Times New Roman" w:cs="Times New Roman"/>
          </w:rPr>
          <w:t>http://www.nbri.org.na/sites/default/files/Agricola1998_99_No10_02_Bester.PDF</w:t>
        </w:r>
      </w:hyperlink>
      <w:r w:rsidRPr="009B0448">
        <w:rPr>
          <w:rFonts w:ascii="Times New Roman" w:hAnsi="Times New Roman" w:cs="Times New Roman"/>
          <w:color w:val="auto"/>
        </w:rPr>
        <w:t xml:space="preserve"> </w:t>
      </w:r>
    </w:p>
    <w:p w14:paraId="20A1B38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Bidak, L .M., Kamal, S. A., Halmy, M. W. A., &amp; Heneidy, S. Z. (2015). </w:t>
      </w:r>
      <w:r w:rsidRPr="009B0448">
        <w:rPr>
          <w:rFonts w:ascii="Times New Roman" w:hAnsi="Times New Roman" w:cs="Times New Roman"/>
          <w:color w:val="auto"/>
        </w:rPr>
        <w:t xml:space="preserve">Goods and services provided by native plants in desert ecosystems: Examples from the north-western coastal desert of Egypt. </w:t>
      </w:r>
      <w:r w:rsidRPr="009B0448">
        <w:rPr>
          <w:rFonts w:ascii="Times New Roman" w:hAnsi="Times New Roman" w:cs="Times New Roman"/>
          <w:i/>
          <w:color w:val="auto"/>
        </w:rPr>
        <w:t>Global Ecology and Conservation, 3,</w:t>
      </w:r>
      <w:r w:rsidRPr="009B0448">
        <w:rPr>
          <w:rFonts w:ascii="Times New Roman" w:hAnsi="Times New Roman" w:cs="Times New Roman"/>
          <w:color w:val="auto"/>
        </w:rPr>
        <w:t xml:space="preserve"> 433–447. </w:t>
      </w:r>
      <w:hyperlink r:id="rId1108" w:history="1">
        <w:r w:rsidRPr="009B0448">
          <w:rPr>
            <w:rStyle w:val="Hyperlink"/>
            <w:rFonts w:ascii="Times New Roman" w:hAnsi="Times New Roman" w:cs="Times New Roman"/>
          </w:rPr>
          <w:t>https://doi.org/10.1016/j.gecco.2015.02.001</w:t>
        </w:r>
      </w:hyperlink>
    </w:p>
    <w:p w14:paraId="76705EA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Biggs, D., Courchamp, F., Martin, R., &amp; Possingham, H. P. (2013). Legal trade of Africa’s rhino horns. </w:t>
      </w:r>
      <w:r w:rsidRPr="009B0448">
        <w:rPr>
          <w:rFonts w:ascii="Times New Roman" w:hAnsi="Times New Roman" w:cs="Times New Roman"/>
          <w:i/>
          <w:color w:val="auto"/>
        </w:rPr>
        <w:t>Science, 339</w:t>
      </w:r>
      <w:r w:rsidRPr="009B0448">
        <w:rPr>
          <w:rFonts w:ascii="Times New Roman" w:hAnsi="Times New Roman" w:cs="Times New Roman"/>
          <w:color w:val="auto"/>
        </w:rPr>
        <w:t xml:space="preserve">(6123), 1038–1039. </w:t>
      </w:r>
      <w:hyperlink r:id="rId1109" w:history="1">
        <w:r w:rsidRPr="009B0448">
          <w:rPr>
            <w:rStyle w:val="Hyperlink"/>
            <w:rFonts w:ascii="Times New Roman" w:hAnsi="Times New Roman" w:cs="Times New Roman"/>
          </w:rPr>
          <w:t>https://doi.org/10.1126/science.1229998</w:t>
        </w:r>
      </w:hyperlink>
      <w:r w:rsidRPr="009B0448">
        <w:rPr>
          <w:rFonts w:ascii="Times New Roman" w:hAnsi="Times New Roman" w:cs="Times New Roman"/>
          <w:color w:val="auto"/>
        </w:rPr>
        <w:t xml:space="preserve"> </w:t>
      </w:r>
    </w:p>
    <w:p w14:paraId="4FED655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Biggs, R., Simons, H., Bakkenes, M., Scholes, R. J., Eickhout, B., van Vuuren, D., &amp; Alkemade, R. (2008). Scenarios of biodiversity loss in southern Africa in the 21st century. </w:t>
      </w:r>
      <w:r w:rsidRPr="009B0448">
        <w:rPr>
          <w:rFonts w:ascii="Times New Roman" w:hAnsi="Times New Roman" w:cs="Times New Roman"/>
          <w:i/>
          <w:color w:val="auto"/>
        </w:rPr>
        <w:t>Global Environmental Change, 18</w:t>
      </w:r>
      <w:r w:rsidRPr="009B0448">
        <w:rPr>
          <w:rFonts w:ascii="Times New Roman" w:hAnsi="Times New Roman" w:cs="Times New Roman"/>
          <w:color w:val="auto"/>
        </w:rPr>
        <w:t xml:space="preserve">, 296–309. </w:t>
      </w:r>
      <w:hyperlink r:id="rId1110" w:history="1">
        <w:r w:rsidRPr="009B0448">
          <w:rPr>
            <w:rStyle w:val="Hyperlink"/>
            <w:rFonts w:ascii="Times New Roman" w:hAnsi="Times New Roman" w:cs="Times New Roman"/>
          </w:rPr>
          <w:t>https://doi.org/10.1016/j.gloenvcha.2008.02.001</w:t>
        </w:r>
      </w:hyperlink>
    </w:p>
    <w:p w14:paraId="6154DD7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BirdLife International. (2002). </w:t>
      </w:r>
      <w:r w:rsidRPr="009B0448">
        <w:rPr>
          <w:rFonts w:ascii="Times New Roman" w:hAnsi="Times New Roman" w:cs="Times New Roman"/>
          <w:i/>
          <w:color w:val="auto"/>
        </w:rPr>
        <w:t>Important Bird Areas and potential Ramsar Sites in Africa</w:t>
      </w:r>
      <w:r w:rsidRPr="009B0448">
        <w:rPr>
          <w:rFonts w:ascii="Times New Roman" w:hAnsi="Times New Roman" w:cs="Times New Roman"/>
          <w:color w:val="auto"/>
        </w:rPr>
        <w:t>. Cambridge, UK: BirdLife International. Retrieved from</w:t>
      </w:r>
      <w:r w:rsidRPr="009B0448">
        <w:rPr>
          <w:rFonts w:ascii="Times New Roman" w:hAnsi="Times New Roman" w:cs="Times New Roman"/>
        </w:rPr>
        <w:t xml:space="preserve"> </w:t>
      </w:r>
      <w:hyperlink r:id="rId1111" w:history="1">
        <w:r w:rsidRPr="009B0448">
          <w:rPr>
            <w:rStyle w:val="Hyperlink"/>
            <w:rFonts w:ascii="Times New Roman" w:hAnsi="Times New Roman" w:cs="Times New Roman"/>
          </w:rPr>
          <w:t>https://www.birdlife.org/sites/default/files/attachments/Africa-IBAs-%20%26-Ramsar-sites.pdf</w:t>
        </w:r>
      </w:hyperlink>
      <w:r w:rsidRPr="009B0448">
        <w:rPr>
          <w:rFonts w:ascii="Times New Roman" w:hAnsi="Times New Roman" w:cs="Times New Roman"/>
          <w:color w:val="auto"/>
        </w:rPr>
        <w:t xml:space="preserve">  </w:t>
      </w:r>
    </w:p>
    <w:p w14:paraId="0FC126E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Boke-Olén, N., A. M., Abdi, A. M., Hall, O., &amp; Lehsten, V. (2017). High-resolution African population projections from radiative forcing and socio-economic models, 2000 to 2100. </w:t>
      </w:r>
      <w:r w:rsidRPr="009B0448">
        <w:rPr>
          <w:rFonts w:ascii="Times New Roman" w:hAnsi="Times New Roman" w:cs="Times New Roman"/>
          <w:i/>
          <w:color w:val="auto"/>
        </w:rPr>
        <w:t xml:space="preserve">Nature, Scientific data, 4, </w:t>
      </w:r>
      <w:r w:rsidRPr="009B0448">
        <w:rPr>
          <w:rFonts w:ascii="Times New Roman" w:hAnsi="Times New Roman" w:cs="Times New Roman"/>
          <w:color w:val="auto"/>
        </w:rPr>
        <w:t xml:space="preserve">160130. </w:t>
      </w:r>
      <w:hyperlink r:id="rId1112" w:history="1">
        <w:r w:rsidRPr="009B0448">
          <w:rPr>
            <w:rStyle w:val="Hyperlink"/>
            <w:rFonts w:ascii="Times New Roman" w:hAnsi="Times New Roman" w:cs="Times New Roman"/>
          </w:rPr>
          <w:t>https://doi.org/10.1038/sdata.2016.130</w:t>
        </w:r>
      </w:hyperlink>
      <w:r w:rsidRPr="009B0448">
        <w:rPr>
          <w:rFonts w:ascii="Times New Roman" w:hAnsi="Times New Roman" w:cs="Times New Roman"/>
          <w:color w:val="auto"/>
        </w:rPr>
        <w:t xml:space="preserve"> </w:t>
      </w:r>
    </w:p>
    <w:p w14:paraId="7FFE2B6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Bolognesi, M., Vrieling, A., Rembold, F., &amp; Gadaina, H. (2015). Rapid mapping and impact estimation of illegal charcoal production in southern Somalia based on WorldView-1 imagery. </w:t>
      </w:r>
      <w:r w:rsidRPr="009B0448">
        <w:rPr>
          <w:rFonts w:ascii="Times New Roman" w:hAnsi="Times New Roman" w:cs="Times New Roman"/>
          <w:i/>
          <w:color w:val="auto"/>
        </w:rPr>
        <w:t>Energy for Sustainable Development, 25</w:t>
      </w:r>
      <w:r w:rsidRPr="009B0448">
        <w:rPr>
          <w:rFonts w:ascii="Times New Roman" w:hAnsi="Times New Roman" w:cs="Times New Roman"/>
          <w:color w:val="auto"/>
        </w:rPr>
        <w:t xml:space="preserve">, 40–49. </w:t>
      </w:r>
      <w:hyperlink r:id="rId1113" w:history="1">
        <w:r w:rsidRPr="009B0448">
          <w:rPr>
            <w:rStyle w:val="Hyperlink"/>
            <w:rFonts w:ascii="Times New Roman" w:hAnsi="Times New Roman" w:cs="Times New Roman"/>
          </w:rPr>
          <w:t>https://doi.org/10.1016/j.esd.2014.12.008</w:t>
        </w:r>
      </w:hyperlink>
    </w:p>
    <w:p w14:paraId="54D322A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Bond, I. (1994). The importance of sport-hunted African elephants to CAMPFIRE in Zimbabwe. </w:t>
      </w:r>
      <w:r w:rsidRPr="009B0448">
        <w:rPr>
          <w:rFonts w:ascii="Times New Roman" w:hAnsi="Times New Roman" w:cs="Times New Roman"/>
          <w:i/>
          <w:color w:val="auto"/>
        </w:rPr>
        <w:t>Traffic Bulletin, 14</w:t>
      </w:r>
      <w:r w:rsidRPr="009B0448">
        <w:rPr>
          <w:rFonts w:ascii="Times New Roman" w:hAnsi="Times New Roman" w:cs="Times New Roman"/>
          <w:color w:val="auto"/>
        </w:rPr>
        <w:t>, 117–119.</w:t>
      </w:r>
    </w:p>
    <w:p w14:paraId="42E5F2D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Bond, W. J., &amp; Midgley, G. F. (2000). A proposed CO</w:t>
      </w:r>
      <w:r w:rsidRPr="009B0448">
        <w:rPr>
          <w:rFonts w:ascii="Times New Roman" w:hAnsi="Times New Roman" w:cs="Times New Roman"/>
          <w:color w:val="auto"/>
          <w:vertAlign w:val="subscript"/>
        </w:rPr>
        <w:t>2</w:t>
      </w:r>
      <w:r w:rsidRPr="009B0448">
        <w:rPr>
          <w:rFonts w:ascii="Times New Roman" w:hAnsi="Times New Roman" w:cs="Times New Roman"/>
          <w:color w:val="auto"/>
        </w:rPr>
        <w:t xml:space="preserve">–controlled mechanism of woody plant invasion in grasslands and savannas. </w:t>
      </w:r>
      <w:r w:rsidRPr="009B0448">
        <w:rPr>
          <w:rFonts w:ascii="Times New Roman" w:hAnsi="Times New Roman" w:cs="Times New Roman"/>
          <w:i/>
          <w:color w:val="auto"/>
        </w:rPr>
        <w:t>Global Change Biology, 6</w:t>
      </w:r>
      <w:r w:rsidRPr="009B0448">
        <w:rPr>
          <w:rFonts w:ascii="Times New Roman" w:hAnsi="Times New Roman" w:cs="Times New Roman"/>
          <w:color w:val="auto"/>
        </w:rPr>
        <w:t xml:space="preserve">, 865–869. </w:t>
      </w:r>
      <w:hyperlink r:id="rId1114" w:history="1">
        <w:r w:rsidRPr="009B0448">
          <w:rPr>
            <w:rStyle w:val="Hyperlink"/>
            <w:rFonts w:ascii="Times New Roman" w:hAnsi="Times New Roman" w:cs="Times New Roman"/>
          </w:rPr>
          <w:t>https://doi.org/10.1046/j.1365-2486.2000.00365.x</w:t>
        </w:r>
      </w:hyperlink>
      <w:r w:rsidRPr="009B0448">
        <w:rPr>
          <w:rFonts w:ascii="Times New Roman" w:hAnsi="Times New Roman" w:cs="Times New Roman"/>
          <w:color w:val="auto"/>
        </w:rPr>
        <w:t xml:space="preserve"> </w:t>
      </w:r>
    </w:p>
    <w:p w14:paraId="0AA1A0C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Bond, W. J., Midgley, G. F., Woodward, F. I., Hoffman, M. T., &amp; Cowling, R. M. (2003). What controls South African vegetation-climate or fire? </w:t>
      </w:r>
      <w:r w:rsidRPr="009B0448">
        <w:rPr>
          <w:rFonts w:ascii="Times New Roman" w:hAnsi="Times New Roman" w:cs="Times New Roman"/>
          <w:i/>
          <w:color w:val="auto"/>
        </w:rPr>
        <w:t>South African Journal of Botany, 69</w:t>
      </w:r>
      <w:r w:rsidRPr="009B0448">
        <w:rPr>
          <w:rFonts w:ascii="Times New Roman" w:hAnsi="Times New Roman" w:cs="Times New Roman"/>
          <w:color w:val="auto"/>
        </w:rPr>
        <w:t xml:space="preserve">, 79–91. </w:t>
      </w:r>
      <w:hyperlink r:id="rId1115" w:history="1">
        <w:r w:rsidRPr="009B0448">
          <w:rPr>
            <w:rStyle w:val="Hyperlink"/>
            <w:rFonts w:ascii="Times New Roman" w:hAnsi="Times New Roman" w:cs="Times New Roman"/>
          </w:rPr>
          <w:t>https://doi.org/10.1016/S0254-6299(15)30362-8</w:t>
        </w:r>
      </w:hyperlink>
    </w:p>
    <w:p w14:paraId="75A101F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Bond, W. J., &amp; Midgley, G. F. (2012). Carbon dioxide and the uneasy interactions of trees and savannah grasses. </w:t>
      </w:r>
      <w:r w:rsidRPr="009B0448">
        <w:rPr>
          <w:rFonts w:ascii="Times New Roman" w:hAnsi="Times New Roman" w:cs="Times New Roman"/>
          <w:i/>
          <w:color w:val="auto"/>
        </w:rPr>
        <w:t>Philosophical Transactions of the Royal Society B: Biological Sciences,</w:t>
      </w:r>
      <w:r w:rsidRPr="009B0448">
        <w:rPr>
          <w:rFonts w:ascii="Times New Roman" w:hAnsi="Times New Roman" w:cs="Times New Roman"/>
          <w:color w:val="auto"/>
        </w:rPr>
        <w:t xml:space="preserve"> 367, 601–612. </w:t>
      </w:r>
      <w:hyperlink r:id="rId1116" w:history="1">
        <w:r w:rsidRPr="009B0448">
          <w:rPr>
            <w:rStyle w:val="Hyperlink"/>
            <w:rFonts w:ascii="Times New Roman" w:hAnsi="Times New Roman" w:cs="Times New Roman"/>
          </w:rPr>
          <w:t>https://doi.org/10.1098/rstb.2011.0182</w:t>
        </w:r>
      </w:hyperlink>
      <w:r w:rsidRPr="009B0448">
        <w:rPr>
          <w:rFonts w:ascii="Times New Roman" w:hAnsi="Times New Roman" w:cs="Times New Roman"/>
          <w:color w:val="auto"/>
        </w:rPr>
        <w:t xml:space="preserve"> </w:t>
      </w:r>
    </w:p>
    <w:p w14:paraId="3CD5A2F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Bootsma, H. A., &amp; Hecky, R. E. (1993). Conservation of the African great lakes: A limnological perspective. </w:t>
      </w:r>
      <w:r w:rsidRPr="009B0448">
        <w:rPr>
          <w:rFonts w:ascii="Times New Roman" w:hAnsi="Times New Roman" w:cs="Times New Roman"/>
          <w:i/>
          <w:color w:val="auto"/>
        </w:rPr>
        <w:t>Conservation Biology, 7</w:t>
      </w:r>
      <w:r w:rsidRPr="009B0448">
        <w:rPr>
          <w:rFonts w:ascii="Times New Roman" w:hAnsi="Times New Roman" w:cs="Times New Roman"/>
          <w:color w:val="auto"/>
        </w:rPr>
        <w:t xml:space="preserve">(3), 644–656. </w:t>
      </w:r>
      <w:hyperlink r:id="rId1117" w:history="1">
        <w:r w:rsidRPr="009B0448">
          <w:rPr>
            <w:rStyle w:val="Hyperlink"/>
            <w:rFonts w:ascii="Times New Roman" w:hAnsi="Times New Roman" w:cs="Times New Roman"/>
          </w:rPr>
          <w:t>https://doi.org/10.1046/j.1523-1739.1993.07030644.x</w:t>
        </w:r>
      </w:hyperlink>
      <w:r w:rsidRPr="009B0448">
        <w:rPr>
          <w:rFonts w:ascii="Times New Roman" w:hAnsi="Times New Roman" w:cs="Times New Roman"/>
          <w:color w:val="auto"/>
        </w:rPr>
        <w:t xml:space="preserve"> </w:t>
      </w:r>
    </w:p>
    <w:p w14:paraId="6AD8F08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Bootsma, H., &amp; Jorgensen, S. E. (2004). Lake Malawi/Nyasa. In M. Nakamura, (Ed.), </w:t>
      </w:r>
      <w:r w:rsidRPr="009B0448">
        <w:rPr>
          <w:rFonts w:ascii="Times New Roman" w:hAnsi="Times New Roman" w:cs="Times New Roman"/>
          <w:i/>
          <w:color w:val="auto"/>
        </w:rPr>
        <w:t>Managing lake basins, practical approaches for sustainable use, experience and lessons learned brief</w:t>
      </w:r>
      <w:r w:rsidRPr="009B0448">
        <w:rPr>
          <w:rFonts w:ascii="Times New Roman" w:hAnsi="Times New Roman" w:cs="Times New Roman"/>
          <w:color w:val="auto"/>
        </w:rPr>
        <w:t xml:space="preserve"> (pp. 260–276). Retrieved from </w:t>
      </w:r>
      <w:hyperlink r:id="rId1118" w:history="1">
        <w:r w:rsidRPr="009B0448">
          <w:rPr>
            <w:rStyle w:val="Hyperlink"/>
            <w:rFonts w:ascii="Times New Roman" w:hAnsi="Times New Roman" w:cs="Times New Roman"/>
          </w:rPr>
          <w:t>http://www.worldlakes.org/uploads/16_lake_malawi_nyasa_27february2006.pdf</w:t>
        </w:r>
      </w:hyperlink>
      <w:r w:rsidRPr="009B0448">
        <w:rPr>
          <w:rFonts w:ascii="Times New Roman" w:hAnsi="Times New Roman" w:cs="Times New Roman"/>
        </w:rPr>
        <w:t xml:space="preserve"> </w:t>
      </w:r>
    </w:p>
    <w:p w14:paraId="1F91853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Boshra, H., Lorenzo, G., Busquets, N., &amp; Brun, A. (2011). Rift valley fever: Recent insights into pathogenesis and prevention. </w:t>
      </w:r>
      <w:r w:rsidRPr="009B0448">
        <w:rPr>
          <w:rFonts w:ascii="Times New Roman" w:hAnsi="Times New Roman" w:cs="Times New Roman"/>
          <w:i/>
          <w:color w:val="auto"/>
        </w:rPr>
        <w:t>Journal of virology, 85</w:t>
      </w:r>
      <w:r w:rsidRPr="009B0448">
        <w:rPr>
          <w:rFonts w:ascii="Times New Roman" w:hAnsi="Times New Roman" w:cs="Times New Roman"/>
          <w:color w:val="auto"/>
        </w:rPr>
        <w:t xml:space="preserve">, 6098–6105. </w:t>
      </w:r>
      <w:hyperlink r:id="rId1119" w:history="1">
        <w:r w:rsidRPr="009B0448">
          <w:rPr>
            <w:rStyle w:val="Hyperlink"/>
            <w:rFonts w:ascii="Times New Roman" w:hAnsi="Times New Roman" w:cs="Times New Roman"/>
          </w:rPr>
          <w:t>https://doi.org/10.1128/JVI.02641-10</w:t>
        </w:r>
      </w:hyperlink>
      <w:r w:rsidRPr="009B0448">
        <w:rPr>
          <w:rFonts w:ascii="Times New Roman" w:hAnsi="Times New Roman" w:cs="Times New Roman"/>
          <w:color w:val="auto"/>
        </w:rPr>
        <w:t xml:space="preserve"> </w:t>
      </w:r>
    </w:p>
    <w:p w14:paraId="2CAFDB0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Bouwman, H. (2004). South Africa and the Stockholm convention on persistent organic pollutants. </w:t>
      </w:r>
      <w:r w:rsidRPr="009B0448">
        <w:rPr>
          <w:rFonts w:ascii="Times New Roman" w:hAnsi="Times New Roman" w:cs="Times New Roman"/>
          <w:i/>
          <w:color w:val="auto"/>
        </w:rPr>
        <w:t>South African Journal of Science, 100</w:t>
      </w:r>
      <w:r w:rsidRPr="009B0448">
        <w:rPr>
          <w:rFonts w:ascii="Times New Roman" w:hAnsi="Times New Roman" w:cs="Times New Roman"/>
          <w:color w:val="auto"/>
        </w:rPr>
        <w:t xml:space="preserve">, 323–328. Retrieved from </w:t>
      </w:r>
      <w:hyperlink r:id="rId1120" w:history="1">
        <w:r w:rsidRPr="009B0448">
          <w:rPr>
            <w:rStyle w:val="Hyperlink"/>
            <w:rFonts w:ascii="Times New Roman" w:hAnsi="Times New Roman" w:cs="Times New Roman"/>
          </w:rPr>
          <w:t>http://hdl.handle.net/10520/EJC96286</w:t>
        </w:r>
      </w:hyperlink>
      <w:r w:rsidRPr="009B0448">
        <w:rPr>
          <w:rFonts w:ascii="Times New Roman" w:hAnsi="Times New Roman" w:cs="Times New Roman"/>
          <w:color w:val="auto"/>
        </w:rPr>
        <w:t xml:space="preserve"> </w:t>
      </w:r>
    </w:p>
    <w:p w14:paraId="717386A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Bowen-Jones, E., Brown, D., &amp; Robinson, E. J. (2002). </w:t>
      </w:r>
      <w:r w:rsidRPr="009B0448">
        <w:rPr>
          <w:rFonts w:ascii="Times New Roman" w:hAnsi="Times New Roman" w:cs="Times New Roman"/>
          <w:i/>
          <w:color w:val="auto"/>
        </w:rPr>
        <w:t>Assessment of the solution orientated research needed to promote a more sustainable bushmeat trade in Central and West Africa</w:t>
      </w:r>
      <w:r w:rsidRPr="009B0448">
        <w:rPr>
          <w:rFonts w:ascii="Times New Roman" w:hAnsi="Times New Roman" w:cs="Times New Roman"/>
          <w:color w:val="auto"/>
        </w:rPr>
        <w:t xml:space="preserve">. London, UK: DEFRA. Retrieved from </w:t>
      </w:r>
      <w:hyperlink r:id="rId1121" w:history="1">
        <w:r w:rsidRPr="009B0448">
          <w:rPr>
            <w:rStyle w:val="Hyperlink"/>
            <w:rFonts w:ascii="Times New Roman" w:hAnsi="Times New Roman" w:cs="Times New Roman"/>
          </w:rPr>
          <w:t>https://www.odi.org/sites/odi.org.uk/files/odi-assets/publications-opinion-files/3894.pdf</w:t>
        </w:r>
      </w:hyperlink>
      <w:r w:rsidRPr="009B0448">
        <w:rPr>
          <w:rFonts w:ascii="Times New Roman" w:hAnsi="Times New Roman" w:cs="Times New Roman"/>
          <w:color w:val="auto"/>
        </w:rPr>
        <w:t xml:space="preserve"> </w:t>
      </w:r>
    </w:p>
    <w:p w14:paraId="78014A9E"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Boy, G., &amp; Witt, A. (2013). </w:t>
      </w:r>
      <w:r w:rsidRPr="009B0448">
        <w:rPr>
          <w:rFonts w:ascii="Times New Roman" w:hAnsi="Times New Roman" w:cs="Times New Roman"/>
          <w:i/>
          <w:color w:val="auto"/>
        </w:rPr>
        <w:t>Invasive alien plants and their management in Africa. Synthesis report of the UNEP/GEF Removing Barriers to Invasive Plant Management in Africa (RBIPMA) Project, implemented in four African countries (Ethiopia, Ghana, Uganda and Zambia) between 2005 and 2010.</w:t>
      </w:r>
      <w:r w:rsidRPr="009B0448">
        <w:rPr>
          <w:rFonts w:ascii="Times New Roman" w:hAnsi="Times New Roman" w:cs="Times New Roman"/>
        </w:rPr>
        <w:t xml:space="preserve"> Nairobi, Kenya: </w:t>
      </w:r>
      <w:r w:rsidRPr="009B0448">
        <w:rPr>
          <w:rFonts w:ascii="Times New Roman" w:hAnsi="Times New Roman" w:cs="Times New Roman"/>
          <w:color w:val="auto"/>
        </w:rPr>
        <w:t xml:space="preserve">CABI Africa. Retrieved from </w:t>
      </w:r>
      <w:hyperlink r:id="rId1122" w:history="1">
        <w:r w:rsidRPr="009B0448">
          <w:rPr>
            <w:rStyle w:val="Hyperlink"/>
            <w:rFonts w:ascii="Times New Roman" w:hAnsi="Times New Roman" w:cs="Times New Roman"/>
          </w:rPr>
          <w:t>https://www.cabi.org/Uploads/CABI/publishing/promotional-materials/african-invasives-book.pdf</w:t>
        </w:r>
      </w:hyperlink>
      <w:r w:rsidRPr="009B0448">
        <w:rPr>
          <w:rFonts w:ascii="Times New Roman" w:hAnsi="Times New Roman" w:cs="Times New Roman"/>
          <w:color w:val="auto"/>
        </w:rPr>
        <w:t xml:space="preserve"> </w:t>
      </w:r>
    </w:p>
    <w:p w14:paraId="6498982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Brashares, J. S., Arcese, P., Sam, M. K., Coppolillo, P. B., Sinclair, A. R. E., &amp; Balmford, A. (2004). Bushmeat hunting, wildlife declines, and fish supply in West Africa. </w:t>
      </w:r>
      <w:r w:rsidRPr="009B0448">
        <w:rPr>
          <w:rFonts w:ascii="Times New Roman" w:hAnsi="Times New Roman" w:cs="Times New Roman"/>
          <w:i/>
          <w:color w:val="auto"/>
        </w:rPr>
        <w:t>Science, 306</w:t>
      </w:r>
      <w:r w:rsidRPr="009B0448">
        <w:rPr>
          <w:rFonts w:ascii="Times New Roman" w:hAnsi="Times New Roman" w:cs="Times New Roman"/>
          <w:color w:val="auto"/>
        </w:rPr>
        <w:t xml:space="preserve">(5699), 1180–1183. </w:t>
      </w:r>
      <w:hyperlink r:id="rId1123" w:history="1">
        <w:r w:rsidRPr="009B0448">
          <w:rPr>
            <w:rStyle w:val="Hyperlink"/>
            <w:rFonts w:ascii="Times New Roman" w:hAnsi="Times New Roman" w:cs="Times New Roman"/>
          </w:rPr>
          <w:t>https://doi.org/10.1126/science.1102425</w:t>
        </w:r>
      </w:hyperlink>
      <w:r w:rsidRPr="009B0448">
        <w:rPr>
          <w:rFonts w:ascii="Times New Roman" w:hAnsi="Times New Roman" w:cs="Times New Roman"/>
          <w:color w:val="auto"/>
        </w:rPr>
        <w:t xml:space="preserve"> </w:t>
      </w:r>
    </w:p>
    <w:p w14:paraId="4D1189F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Bremner, J., Lopez-Carr, D., Suter, L., &amp; Davis, J. (2010). Population, poverty, environment, and climate dynamics in the developing world. </w:t>
      </w:r>
      <w:r w:rsidRPr="009B0448">
        <w:rPr>
          <w:rFonts w:ascii="Times New Roman" w:hAnsi="Times New Roman" w:cs="Times New Roman"/>
          <w:i/>
          <w:color w:val="auto"/>
        </w:rPr>
        <w:t>Interdisciplinary Environmental Review</w:t>
      </w:r>
      <w:r w:rsidRPr="009B0448">
        <w:rPr>
          <w:rFonts w:ascii="Times New Roman" w:hAnsi="Times New Roman" w:cs="Times New Roman"/>
          <w:color w:val="auto"/>
        </w:rPr>
        <w:t xml:space="preserve">, 11(2), 112–126. </w:t>
      </w:r>
      <w:hyperlink r:id="rId1124" w:history="1">
        <w:r w:rsidRPr="009B0448">
          <w:rPr>
            <w:rStyle w:val="Hyperlink"/>
            <w:rFonts w:ascii="Times New Roman" w:hAnsi="Times New Roman" w:cs="Times New Roman"/>
          </w:rPr>
          <w:t>https://doi.org/10.1504/IER.2010.037902</w:t>
        </w:r>
      </w:hyperlink>
    </w:p>
    <w:p w14:paraId="34E6063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Brennan, L., &amp; Owende, P. (2009). Biofuels from microalgae–A review of the technologies for production, processing and extraction of biofuels and co-products. Renewable and Sustainable </w:t>
      </w:r>
      <w:r w:rsidRPr="009B0448">
        <w:rPr>
          <w:rFonts w:ascii="Times New Roman" w:hAnsi="Times New Roman" w:cs="Times New Roman"/>
          <w:i/>
          <w:color w:val="auto"/>
        </w:rPr>
        <w:t>Energy Reviews, 14</w:t>
      </w:r>
      <w:r w:rsidRPr="009B0448">
        <w:rPr>
          <w:rFonts w:ascii="Times New Roman" w:hAnsi="Times New Roman" w:cs="Times New Roman"/>
          <w:color w:val="auto"/>
        </w:rPr>
        <w:t xml:space="preserve">(2), 557–577. </w:t>
      </w:r>
      <w:hyperlink r:id="rId1125" w:history="1">
        <w:r w:rsidRPr="009B0448">
          <w:rPr>
            <w:rStyle w:val="Hyperlink"/>
            <w:rFonts w:ascii="Times New Roman" w:hAnsi="Times New Roman" w:cs="Times New Roman"/>
          </w:rPr>
          <w:t>https://doi.org/10.1016/j.rser.2009.10.009</w:t>
        </w:r>
      </w:hyperlink>
      <w:r w:rsidRPr="009B0448">
        <w:rPr>
          <w:rFonts w:ascii="Times New Roman" w:hAnsi="Times New Roman" w:cs="Times New Roman"/>
          <w:color w:val="auto"/>
        </w:rPr>
        <w:t xml:space="preserve"> </w:t>
      </w:r>
    </w:p>
    <w:p w14:paraId="77887A9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Brink, A. B., &amp; Eva, H. D. (2009). Monitoring 25 years of land-cover change dynamics in Africa: A sample based remote sensing approach. </w:t>
      </w:r>
      <w:r w:rsidRPr="009B0448">
        <w:rPr>
          <w:rFonts w:ascii="Times New Roman" w:hAnsi="Times New Roman" w:cs="Times New Roman"/>
          <w:i/>
          <w:color w:val="auto"/>
        </w:rPr>
        <w:t>Applied Geography, 29</w:t>
      </w:r>
      <w:r w:rsidRPr="009B0448">
        <w:rPr>
          <w:rFonts w:ascii="Times New Roman" w:hAnsi="Times New Roman" w:cs="Times New Roman"/>
          <w:color w:val="auto"/>
        </w:rPr>
        <w:t xml:space="preserve">, 501–512. </w:t>
      </w:r>
      <w:hyperlink r:id="rId1126" w:history="1">
        <w:r w:rsidRPr="009B0448">
          <w:rPr>
            <w:rStyle w:val="Hyperlink"/>
            <w:rFonts w:ascii="Times New Roman" w:hAnsi="Times New Roman" w:cs="Times New Roman"/>
          </w:rPr>
          <w:t>https://doi.org/10.1016/j.apgeog.2008.10.004</w:t>
        </w:r>
      </w:hyperlink>
      <w:r w:rsidRPr="009B0448">
        <w:rPr>
          <w:rFonts w:ascii="Times New Roman" w:hAnsi="Times New Roman" w:cs="Times New Roman"/>
          <w:color w:val="auto"/>
        </w:rPr>
        <w:t xml:space="preserve"> </w:t>
      </w:r>
    </w:p>
    <w:p w14:paraId="49D4B9B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Brixiová, Z., &amp; Kangoye, T. (2013). </w:t>
      </w:r>
      <w:r w:rsidRPr="009B0448">
        <w:rPr>
          <w:rFonts w:ascii="Times New Roman" w:hAnsi="Times New Roman" w:cs="Times New Roman"/>
          <w:i/>
          <w:color w:val="auto"/>
        </w:rPr>
        <w:t>Youth employment in Africa: New evidence and policies from Swaziland</w:t>
      </w:r>
      <w:r w:rsidRPr="009B0448">
        <w:rPr>
          <w:rFonts w:ascii="Times New Roman" w:hAnsi="Times New Roman" w:cs="Times New Roman"/>
          <w:color w:val="auto"/>
        </w:rPr>
        <w:t xml:space="preserve">. Tunis, Tunisia: AfDB. Retrieved from </w:t>
      </w:r>
      <w:hyperlink r:id="rId1127" w:history="1">
        <w:r w:rsidRPr="009B0448">
          <w:rPr>
            <w:rStyle w:val="Hyperlink"/>
            <w:rFonts w:ascii="Times New Roman" w:hAnsi="Times New Roman" w:cs="Times New Roman"/>
          </w:rPr>
          <w:t>http://www.afdb.org/</w:t>
        </w:r>
      </w:hyperlink>
      <w:r w:rsidRPr="009B0448">
        <w:rPr>
          <w:rFonts w:ascii="Times New Roman" w:hAnsi="Times New Roman" w:cs="Times New Roman"/>
          <w:color w:val="auto"/>
        </w:rPr>
        <w:t xml:space="preserve">  </w:t>
      </w:r>
    </w:p>
    <w:p w14:paraId="00E4A16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Brooks, T. M., Akçakaya, H. R., Burgess, N. D., Butchart, S. H. M., Hilton-Taylor, C., Hoffmann, M., Juffe-Bignoli, D., Kingston, N., MacSharry, B., Parr, M., Perianin, L., Regan, E. C., Rodrigues, A. S. L., Rondinini, C., Shennan-Farpon, Y., &amp; Young, B. E. (2016). Analysing biodiversity and conservation knowledge products to support regional environmental assessments. </w:t>
      </w:r>
      <w:r w:rsidRPr="009B0448">
        <w:rPr>
          <w:rFonts w:ascii="Times New Roman" w:hAnsi="Times New Roman" w:cs="Times New Roman"/>
          <w:i/>
          <w:color w:val="auto"/>
        </w:rPr>
        <w:t>Scientific Data, 3</w:t>
      </w:r>
      <w:r w:rsidRPr="009B0448">
        <w:rPr>
          <w:rFonts w:ascii="Times New Roman" w:hAnsi="Times New Roman" w:cs="Times New Roman"/>
          <w:color w:val="auto"/>
        </w:rPr>
        <w:t xml:space="preserve">, 160007. </w:t>
      </w:r>
      <w:hyperlink r:id="rId1128" w:history="1">
        <w:r w:rsidRPr="009B0448">
          <w:rPr>
            <w:rStyle w:val="Hyperlink"/>
            <w:rFonts w:ascii="Times New Roman" w:hAnsi="Times New Roman" w:cs="Times New Roman"/>
          </w:rPr>
          <w:t>https://doi.org/10.1038/sdata.2016.7</w:t>
        </w:r>
      </w:hyperlink>
      <w:r w:rsidRPr="009B0448">
        <w:rPr>
          <w:rFonts w:ascii="Times New Roman" w:hAnsi="Times New Roman" w:cs="Times New Roman"/>
          <w:color w:val="auto"/>
        </w:rPr>
        <w:t xml:space="preserve"> </w:t>
      </w:r>
    </w:p>
    <w:p w14:paraId="5E11C28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Brooks, T. M., Pimm, S. L., &amp; Oyugi, J. O. (1999). Time lag between deforestation and bird extinction in tropical forest fragments. </w:t>
      </w:r>
      <w:r w:rsidRPr="009B0448">
        <w:rPr>
          <w:rFonts w:ascii="Times New Roman" w:hAnsi="Times New Roman" w:cs="Times New Roman"/>
          <w:i/>
          <w:color w:val="auto"/>
        </w:rPr>
        <w:t>Conservation Biology, 13</w:t>
      </w:r>
      <w:r w:rsidRPr="009B0448">
        <w:rPr>
          <w:rFonts w:ascii="Times New Roman" w:hAnsi="Times New Roman" w:cs="Times New Roman"/>
          <w:color w:val="auto"/>
        </w:rPr>
        <w:t xml:space="preserve">, 1140–1150. </w:t>
      </w:r>
      <w:hyperlink r:id="rId1129" w:history="1">
        <w:r w:rsidRPr="009B0448">
          <w:rPr>
            <w:rStyle w:val="Hyperlink"/>
            <w:rFonts w:ascii="Times New Roman" w:hAnsi="Times New Roman" w:cs="Times New Roman"/>
          </w:rPr>
          <w:t>https://doi.org/10.1046/j.1523-1739.1999.98341.x</w:t>
        </w:r>
      </w:hyperlink>
      <w:r w:rsidRPr="009B0448">
        <w:rPr>
          <w:rFonts w:ascii="Times New Roman" w:hAnsi="Times New Roman" w:cs="Times New Roman"/>
          <w:color w:val="auto"/>
        </w:rPr>
        <w:t xml:space="preserve"> </w:t>
      </w:r>
    </w:p>
    <w:p w14:paraId="6A61103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Brown, D., &amp; Williams, A. (2003). The case for bushmeat as a component of development policy: Issues and challenges. </w:t>
      </w:r>
      <w:r w:rsidRPr="009B0448">
        <w:rPr>
          <w:rFonts w:ascii="Times New Roman" w:hAnsi="Times New Roman" w:cs="Times New Roman"/>
          <w:i/>
          <w:color w:val="auto"/>
        </w:rPr>
        <w:t>International Forestry Review, 5</w:t>
      </w:r>
      <w:r w:rsidRPr="009B0448">
        <w:rPr>
          <w:rFonts w:ascii="Times New Roman" w:hAnsi="Times New Roman" w:cs="Times New Roman"/>
          <w:color w:val="auto"/>
        </w:rPr>
        <w:t>(2), 148–155.</w:t>
      </w:r>
      <w:r w:rsidRPr="009B0448">
        <w:rPr>
          <w:rFonts w:ascii="Times New Roman" w:hAnsi="Times New Roman" w:cs="Times New Roman"/>
        </w:rPr>
        <w:t xml:space="preserve"> </w:t>
      </w:r>
      <w:hyperlink r:id="rId1130" w:history="1">
        <w:r w:rsidRPr="009B0448">
          <w:rPr>
            <w:rStyle w:val="Hyperlink"/>
            <w:rFonts w:ascii="Times New Roman" w:hAnsi="Times New Roman" w:cs="Times New Roman"/>
          </w:rPr>
          <w:t>https://doi.org/10.1505/IFOR.5.2.148.17414</w:t>
        </w:r>
      </w:hyperlink>
      <w:r w:rsidRPr="009B0448">
        <w:rPr>
          <w:rFonts w:ascii="Times New Roman" w:hAnsi="Times New Roman" w:cs="Times New Roman"/>
          <w:color w:val="auto"/>
        </w:rPr>
        <w:t xml:space="preserve"> </w:t>
      </w:r>
    </w:p>
    <w:p w14:paraId="28B7B20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Brown jr, G. (1993). The viewing value of elephants. In E. B. Barbier (Eds.), </w:t>
      </w:r>
      <w:r w:rsidRPr="009B0448">
        <w:rPr>
          <w:rFonts w:ascii="Times New Roman" w:hAnsi="Times New Roman" w:cs="Times New Roman"/>
          <w:i/>
          <w:color w:val="auto"/>
        </w:rPr>
        <w:t>Economics and ecology</w:t>
      </w:r>
      <w:r w:rsidRPr="009B0448">
        <w:rPr>
          <w:rFonts w:ascii="Times New Roman" w:hAnsi="Times New Roman" w:cs="Times New Roman"/>
          <w:color w:val="auto"/>
        </w:rPr>
        <w:t>.</w:t>
      </w:r>
      <w:r w:rsidRPr="009B0448">
        <w:rPr>
          <w:rFonts w:ascii="Times New Roman" w:hAnsi="Times New Roman" w:cs="Times New Roman"/>
        </w:rPr>
        <w:t xml:space="preserve"> </w:t>
      </w:r>
      <w:r w:rsidRPr="009B0448">
        <w:rPr>
          <w:rFonts w:ascii="Times New Roman" w:hAnsi="Times New Roman" w:cs="Times New Roman"/>
          <w:color w:val="auto"/>
        </w:rPr>
        <w:t xml:space="preserve">Dordrecht, Nerthelands: Springer </w:t>
      </w:r>
      <w:hyperlink r:id="rId1131" w:history="1">
        <w:r w:rsidRPr="009B0448">
          <w:rPr>
            <w:rStyle w:val="Hyperlink"/>
            <w:rFonts w:ascii="Times New Roman" w:hAnsi="Times New Roman" w:cs="Times New Roman"/>
          </w:rPr>
          <w:t>https://doi.org/10.1007/978-94-011-1518-6_9</w:t>
        </w:r>
      </w:hyperlink>
      <w:r w:rsidRPr="009B0448">
        <w:rPr>
          <w:rFonts w:ascii="Times New Roman" w:hAnsi="Times New Roman" w:cs="Times New Roman"/>
          <w:color w:val="auto"/>
        </w:rPr>
        <w:t xml:space="preserve"> </w:t>
      </w:r>
    </w:p>
    <w:p w14:paraId="2A3551D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Bryant, R. G. (2003). Monitoring hydrological controls on dust emissions: Preliminary observations from Etosha Pan, Namibia. </w:t>
      </w:r>
      <w:r w:rsidRPr="009B0448">
        <w:rPr>
          <w:rFonts w:ascii="Times New Roman" w:hAnsi="Times New Roman" w:cs="Times New Roman"/>
          <w:i/>
          <w:color w:val="auto"/>
        </w:rPr>
        <w:t>The Geographical Journal, 169</w:t>
      </w:r>
      <w:r w:rsidRPr="009B0448">
        <w:rPr>
          <w:rFonts w:ascii="Times New Roman" w:hAnsi="Times New Roman" w:cs="Times New Roman"/>
          <w:color w:val="auto"/>
        </w:rPr>
        <w:t xml:space="preserve">, 131–141. </w:t>
      </w:r>
      <w:hyperlink r:id="rId1132" w:history="1">
        <w:r w:rsidRPr="009B0448">
          <w:rPr>
            <w:rStyle w:val="Hyperlink"/>
            <w:rFonts w:ascii="Times New Roman" w:hAnsi="Times New Roman" w:cs="Times New Roman"/>
          </w:rPr>
          <w:t>https://doi.org/10.1111/1475-4959.04977</w:t>
        </w:r>
      </w:hyperlink>
      <w:r w:rsidRPr="009B0448">
        <w:rPr>
          <w:rFonts w:ascii="Times New Roman" w:hAnsi="Times New Roman" w:cs="Times New Roman"/>
          <w:color w:val="auto"/>
        </w:rPr>
        <w:t xml:space="preserve"> </w:t>
      </w:r>
    </w:p>
    <w:p w14:paraId="5A909D4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Bugenyi, F. W. B., &amp; Magumba, K. M. (1996). The present physico-chemical ecology of Lake Victoria, Uganda. In T. C. Johnson, &amp; E. Odada (Eds.), </w:t>
      </w:r>
      <w:r w:rsidRPr="009B0448">
        <w:rPr>
          <w:rFonts w:ascii="Times New Roman" w:hAnsi="Times New Roman" w:cs="Times New Roman"/>
          <w:i/>
          <w:color w:val="auto"/>
        </w:rPr>
        <w:t>The limnology, climatology and paleoclimatology of East African Lakes</w:t>
      </w:r>
      <w:r w:rsidRPr="009B0448">
        <w:rPr>
          <w:rFonts w:ascii="Times New Roman" w:hAnsi="Times New Roman" w:cs="Times New Roman"/>
          <w:color w:val="auto"/>
        </w:rPr>
        <w:t xml:space="preserve"> (pp. 141–154). Toronto, Canada: Gordon and Breach. </w:t>
      </w:r>
    </w:p>
    <w:p w14:paraId="78EDE11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Burgess, N. D., Malugu, I., Sumbi, P., Kashindye, A., Kijazi, A., Tabor, K., Mbilinyi, B., Kashaigili, J., Wright, T. M., Gereau, R. E., Coad, L., Knights, K., Carr, J., Ahrends, A., &amp; Newham, R. L. (2017). Two decades of change in state, pressure and conservation responses in the coastal forest biodiversity hotspot of Tanzania. </w:t>
      </w:r>
      <w:r w:rsidRPr="009B0448">
        <w:rPr>
          <w:rFonts w:ascii="Times New Roman" w:hAnsi="Times New Roman" w:cs="Times New Roman"/>
          <w:i/>
          <w:color w:val="auto"/>
        </w:rPr>
        <w:t>Oryx, 5</w:t>
      </w:r>
      <w:r w:rsidRPr="009B0448">
        <w:rPr>
          <w:rFonts w:ascii="Times New Roman" w:hAnsi="Times New Roman" w:cs="Times New Roman"/>
          <w:color w:val="auto"/>
        </w:rPr>
        <w:t xml:space="preserve">1(1), 77–86. </w:t>
      </w:r>
      <w:hyperlink r:id="rId1133" w:history="1">
        <w:r w:rsidRPr="009B0448">
          <w:rPr>
            <w:rStyle w:val="Hyperlink"/>
            <w:rFonts w:ascii="Times New Roman" w:hAnsi="Times New Roman" w:cs="Times New Roman"/>
          </w:rPr>
          <w:t>https://doi.org/10.1017/S003060531500099X</w:t>
        </w:r>
      </w:hyperlink>
      <w:r w:rsidRPr="009B0448">
        <w:rPr>
          <w:rFonts w:ascii="Times New Roman" w:hAnsi="Times New Roman" w:cs="Times New Roman"/>
          <w:color w:val="auto"/>
        </w:rPr>
        <w:t xml:space="preserve"> </w:t>
      </w:r>
    </w:p>
    <w:p w14:paraId="58E2043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Bushell, R., Staiff, R., &amp; Eagles, P. F. (Eds.). (2007). </w:t>
      </w:r>
      <w:r w:rsidRPr="009B0448">
        <w:rPr>
          <w:rFonts w:ascii="Times New Roman" w:hAnsi="Times New Roman" w:cs="Times New Roman"/>
          <w:i/>
          <w:color w:val="auto"/>
        </w:rPr>
        <w:t>Benefits beyond boundaries. In tourism and protected areas: Benefits beyond boundaries</w:t>
      </w:r>
      <w:r w:rsidRPr="009B0448">
        <w:rPr>
          <w:rFonts w:ascii="Times New Roman" w:hAnsi="Times New Roman" w:cs="Times New Roman"/>
          <w:color w:val="auto"/>
        </w:rPr>
        <w:t xml:space="preserve"> (pp. 1–11). London, UK: CABI Publishing.</w:t>
      </w:r>
    </w:p>
    <w:p w14:paraId="71C823AB"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Byerlee, D., &amp; Deininger, K. (2013) The rise of large farms in land-abundant countries: Do they have a future?. In S.T. Holden, K. Otsuka, K. Deininger (Eds.), </w:t>
      </w:r>
      <w:r w:rsidRPr="009B0448">
        <w:rPr>
          <w:rFonts w:ascii="Times New Roman" w:eastAsiaTheme="minorHAnsi" w:hAnsi="Times New Roman" w:cs="Times New Roman"/>
          <w:i/>
          <w:color w:val="auto"/>
        </w:rPr>
        <w:t>Land tenure reform in Asia and Africa</w:t>
      </w:r>
      <w:r w:rsidRPr="009B0448">
        <w:rPr>
          <w:rFonts w:ascii="Times New Roman" w:eastAsiaTheme="minorHAnsi" w:hAnsi="Times New Roman" w:cs="Times New Roman"/>
          <w:color w:val="auto"/>
        </w:rPr>
        <w:t xml:space="preserve">. London, UK: Palgrave Macmillan. </w:t>
      </w:r>
      <w:hyperlink r:id="rId1134" w:history="1">
        <w:r w:rsidRPr="009B0448">
          <w:rPr>
            <w:rStyle w:val="Hyperlink"/>
            <w:rFonts w:ascii="Times New Roman" w:eastAsiaTheme="minorHAnsi" w:hAnsi="Times New Roman" w:cs="Times New Roman"/>
          </w:rPr>
          <w:t>https://doi.org/10.1057/9781137343819_14</w:t>
        </w:r>
      </w:hyperlink>
      <w:r w:rsidRPr="009B0448">
        <w:rPr>
          <w:rFonts w:ascii="Times New Roman" w:eastAsiaTheme="minorHAnsi" w:hAnsi="Times New Roman" w:cs="Times New Roman"/>
          <w:color w:val="auto"/>
        </w:rPr>
        <w:t xml:space="preserve">  </w:t>
      </w:r>
    </w:p>
    <w:p w14:paraId="260D3CBA"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Cambray, J. A. (2003). The global impact of alien trout species</w:t>
      </w:r>
      <w:r w:rsidRPr="009B0448">
        <w:rPr>
          <w:rFonts w:ascii="Times New Roman" w:hAnsi="Times New Roman" w:cs="Times New Roman"/>
          <w:color w:val="auto"/>
        </w:rPr>
        <w:t>–</w:t>
      </w:r>
      <w:r w:rsidRPr="009B0448">
        <w:rPr>
          <w:rFonts w:ascii="Times New Roman" w:eastAsiaTheme="minorHAnsi" w:hAnsi="Times New Roman" w:cs="Times New Roman"/>
          <w:color w:val="auto"/>
        </w:rPr>
        <w:t xml:space="preserve">a review; with reference to their impact in South Africa. </w:t>
      </w:r>
      <w:r w:rsidRPr="009B0448">
        <w:rPr>
          <w:rFonts w:ascii="Times New Roman" w:eastAsiaTheme="minorHAnsi" w:hAnsi="Times New Roman" w:cs="Times New Roman"/>
          <w:i/>
          <w:color w:val="auto"/>
        </w:rPr>
        <w:t>African Journal of Aquatic Science, 28</w:t>
      </w:r>
      <w:r w:rsidRPr="009B0448">
        <w:rPr>
          <w:rFonts w:ascii="Times New Roman" w:eastAsiaTheme="minorHAnsi" w:hAnsi="Times New Roman" w:cs="Times New Roman"/>
          <w:color w:val="auto"/>
        </w:rPr>
        <w:t xml:space="preserve">, 61–67. </w:t>
      </w:r>
      <w:hyperlink r:id="rId1135" w:history="1">
        <w:r w:rsidRPr="009B0448">
          <w:rPr>
            <w:rStyle w:val="Hyperlink"/>
            <w:rFonts w:ascii="Times New Roman" w:eastAsiaTheme="minorHAnsi" w:hAnsi="Times New Roman" w:cs="Times New Roman"/>
          </w:rPr>
          <w:t>https://doi.org/10.2989/16085914.2003.9626601</w:t>
        </w:r>
      </w:hyperlink>
    </w:p>
    <w:p w14:paraId="64DF6ABC"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Campbell, A., &amp; Doswald, N. (2009). </w:t>
      </w:r>
      <w:r w:rsidRPr="009B0448">
        <w:rPr>
          <w:rFonts w:ascii="Times New Roman" w:eastAsiaTheme="minorHAnsi" w:hAnsi="Times New Roman" w:cs="Times New Roman"/>
          <w:i/>
          <w:color w:val="auto"/>
        </w:rPr>
        <w:t>The impacts of biofuel production on biodiversity: A review of the current literature.</w:t>
      </w:r>
      <w:r w:rsidRPr="009B0448">
        <w:rPr>
          <w:rFonts w:ascii="Times New Roman" w:eastAsiaTheme="minorHAnsi" w:hAnsi="Times New Roman" w:cs="Times New Roman"/>
          <w:color w:val="auto"/>
        </w:rPr>
        <w:t xml:space="preserve"> Cambridge, UK: UNEP-WCMC. Retrieved from </w:t>
      </w:r>
      <w:hyperlink r:id="rId1136" w:history="1">
        <w:r w:rsidRPr="009B0448">
          <w:rPr>
            <w:rStyle w:val="Hyperlink"/>
            <w:rFonts w:ascii="Times New Roman" w:eastAsiaTheme="minorHAnsi" w:hAnsi="Times New Roman" w:cs="Times New Roman"/>
          </w:rPr>
          <w:t>https://www.cbd.int/agriculture/2011-121/UNEP-WCMC3-sep11-en.pdf</w:t>
        </w:r>
      </w:hyperlink>
      <w:r w:rsidRPr="009B0448">
        <w:rPr>
          <w:rFonts w:ascii="Times New Roman" w:eastAsiaTheme="minorHAnsi" w:hAnsi="Times New Roman" w:cs="Times New Roman"/>
          <w:color w:val="auto"/>
        </w:rPr>
        <w:t xml:space="preserve"> </w:t>
      </w:r>
    </w:p>
    <w:p w14:paraId="6A0E8CDB"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Campbell, L. M., Nortstrom, R. J., Hobson, K. A., Muir, D. C. G., Backus, S., &amp; Fisk, T. A. (2005). Mercury and other trace elements in a pelagic Arctic marine food web (Northwater Polynya, Baffin Bay). </w:t>
      </w:r>
      <w:r w:rsidRPr="009B0448">
        <w:rPr>
          <w:rFonts w:ascii="Times New Roman" w:eastAsiaTheme="minorHAnsi" w:hAnsi="Times New Roman" w:cs="Times New Roman"/>
          <w:i/>
          <w:color w:val="auto"/>
        </w:rPr>
        <w:t>Science of the Total Environment, 351</w:t>
      </w:r>
      <w:r w:rsidRPr="009B0448">
        <w:rPr>
          <w:rFonts w:ascii="Times New Roman" w:eastAsiaTheme="minorHAnsi" w:hAnsi="Times New Roman" w:cs="Times New Roman"/>
          <w:color w:val="auto"/>
        </w:rPr>
        <w:t xml:space="preserve">, 247–263. </w:t>
      </w:r>
      <w:hyperlink r:id="rId1137" w:history="1">
        <w:r w:rsidRPr="009B0448">
          <w:rPr>
            <w:rStyle w:val="Hyperlink"/>
            <w:rFonts w:ascii="Times New Roman" w:eastAsiaTheme="minorHAnsi" w:hAnsi="Times New Roman" w:cs="Times New Roman"/>
          </w:rPr>
          <w:t>https://doi.org/10.1016/j.scitotenv.2005.02.043</w:t>
        </w:r>
      </w:hyperlink>
    </w:p>
    <w:p w14:paraId="4B3E903D"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Canadell, J. G., Raupach, M. R., &amp; Houghton, R. A. (2009). Anthropogenic CO</w:t>
      </w:r>
      <w:r w:rsidRPr="009B0448">
        <w:rPr>
          <w:rFonts w:ascii="Times New Roman" w:eastAsiaTheme="minorHAnsi" w:hAnsi="Times New Roman" w:cs="Times New Roman"/>
          <w:color w:val="auto"/>
          <w:vertAlign w:val="subscript"/>
        </w:rPr>
        <w:t>2</w:t>
      </w:r>
      <w:r w:rsidRPr="009B0448">
        <w:rPr>
          <w:rFonts w:ascii="Times New Roman" w:eastAsiaTheme="minorHAnsi" w:hAnsi="Times New Roman" w:cs="Times New Roman"/>
          <w:color w:val="auto"/>
        </w:rPr>
        <w:t xml:space="preserve"> emissions in Africa. </w:t>
      </w:r>
      <w:r w:rsidRPr="009B0448">
        <w:rPr>
          <w:rFonts w:ascii="Times New Roman" w:eastAsiaTheme="minorHAnsi" w:hAnsi="Times New Roman" w:cs="Times New Roman"/>
          <w:i/>
          <w:color w:val="auto"/>
        </w:rPr>
        <w:t>Biogeosciences, 6</w:t>
      </w:r>
      <w:r w:rsidRPr="009B0448">
        <w:rPr>
          <w:rFonts w:ascii="Times New Roman" w:eastAsiaTheme="minorHAnsi" w:hAnsi="Times New Roman" w:cs="Times New Roman"/>
          <w:color w:val="auto"/>
        </w:rPr>
        <w:t xml:space="preserve">, 463–468. Retrieved from </w:t>
      </w:r>
      <w:hyperlink r:id="rId1138" w:history="1">
        <w:r w:rsidRPr="009B0448">
          <w:rPr>
            <w:rStyle w:val="Hyperlink"/>
            <w:rFonts w:ascii="Times New Roman" w:eastAsiaTheme="minorHAnsi" w:hAnsi="Times New Roman" w:cs="Times New Roman"/>
          </w:rPr>
          <w:t>www.biogeosciences.net/6/463/2009/</w:t>
        </w:r>
      </w:hyperlink>
    </w:p>
    <w:p w14:paraId="3A305677"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Cantú-Salazar, L., &amp; Gaston, K. J. (2010). Very large protected areas and their contribution to terrestrial biological conservation. </w:t>
      </w:r>
      <w:r w:rsidRPr="009B0448">
        <w:rPr>
          <w:rFonts w:ascii="Times New Roman" w:eastAsiaTheme="minorHAnsi" w:hAnsi="Times New Roman" w:cs="Times New Roman"/>
          <w:i/>
          <w:color w:val="auto"/>
        </w:rPr>
        <w:t>BioScience, 60</w:t>
      </w:r>
      <w:r w:rsidRPr="009B0448">
        <w:rPr>
          <w:rFonts w:ascii="Times New Roman" w:eastAsiaTheme="minorHAnsi" w:hAnsi="Times New Roman" w:cs="Times New Roman"/>
          <w:color w:val="auto"/>
        </w:rPr>
        <w:t xml:space="preserve">, 808–818. </w:t>
      </w:r>
      <w:hyperlink r:id="rId1139" w:history="1">
        <w:r w:rsidRPr="009B0448">
          <w:rPr>
            <w:rStyle w:val="Hyperlink"/>
            <w:rFonts w:ascii="Times New Roman" w:eastAsiaTheme="minorHAnsi" w:hAnsi="Times New Roman" w:cs="Times New Roman"/>
          </w:rPr>
          <w:t>https://doi.org/10.1525/bio.2010.60.10.7</w:t>
        </w:r>
      </w:hyperlink>
    </w:p>
    <w:p w14:paraId="6B71F90E"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Cardinale, B. J., Duffy, J. E., Gonzalez, A., Hooper, D. U., Perrings, C., Venail, P., Narwani, A., Mace, G. M., Tilman, D., Wardle, D. A., Kinzig, A. P., Daily, G. C., Loreau, M., Grace, J. B., Larigauderie, A., Srivastava, D. S., &amp; Naeem, S. (2012). Biodiversity loss and its impact on humanity. </w:t>
      </w:r>
      <w:r w:rsidRPr="009B0448">
        <w:rPr>
          <w:rFonts w:ascii="Times New Roman" w:eastAsiaTheme="minorHAnsi" w:hAnsi="Times New Roman" w:cs="Times New Roman"/>
          <w:i/>
          <w:color w:val="auto"/>
        </w:rPr>
        <w:t>Nature, 486</w:t>
      </w:r>
      <w:r w:rsidRPr="009B0448">
        <w:rPr>
          <w:rFonts w:ascii="Times New Roman" w:eastAsiaTheme="minorHAnsi" w:hAnsi="Times New Roman" w:cs="Times New Roman"/>
          <w:color w:val="auto"/>
        </w:rPr>
        <w:t xml:space="preserve">, 59–67. </w:t>
      </w:r>
      <w:hyperlink r:id="rId1140" w:history="1">
        <w:r w:rsidRPr="009B0448">
          <w:rPr>
            <w:rStyle w:val="Hyperlink"/>
            <w:rFonts w:ascii="Times New Roman" w:eastAsiaTheme="minorHAnsi" w:hAnsi="Times New Roman" w:cs="Times New Roman"/>
          </w:rPr>
          <w:t>https://doi.org/10.1038/nature11148</w:t>
        </w:r>
      </w:hyperlink>
      <w:r w:rsidRPr="009B0448">
        <w:rPr>
          <w:rFonts w:ascii="Times New Roman" w:eastAsiaTheme="minorHAnsi" w:hAnsi="Times New Roman" w:cs="Times New Roman"/>
          <w:color w:val="auto"/>
        </w:rPr>
        <w:t xml:space="preserve"> </w:t>
      </w:r>
    </w:p>
    <w:p w14:paraId="0E6C8886"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Carey, C. (2009). The impacts of climate change on the annual cycles of birds. </w:t>
      </w:r>
      <w:r w:rsidRPr="009B0448">
        <w:rPr>
          <w:rFonts w:ascii="Times New Roman" w:eastAsiaTheme="minorHAnsi" w:hAnsi="Times New Roman" w:cs="Times New Roman"/>
          <w:i/>
          <w:color w:val="auto"/>
        </w:rPr>
        <w:t>. Philosophical Transactions of the Royal Society B: Biological Sciences, 364</w:t>
      </w:r>
      <w:r w:rsidRPr="009B0448">
        <w:rPr>
          <w:rFonts w:ascii="Times New Roman" w:eastAsiaTheme="minorHAnsi" w:hAnsi="Times New Roman" w:cs="Times New Roman"/>
          <w:color w:val="auto"/>
        </w:rPr>
        <w:t xml:space="preserve">(1534), 3321–3330. </w:t>
      </w:r>
      <w:hyperlink r:id="rId1141" w:history="1">
        <w:r w:rsidRPr="009B0448">
          <w:rPr>
            <w:rStyle w:val="Hyperlink"/>
            <w:rFonts w:ascii="Times New Roman" w:eastAsiaTheme="minorHAnsi" w:hAnsi="Times New Roman" w:cs="Times New Roman"/>
          </w:rPr>
          <w:t>https://doi.org/10.1098/rstb.2009.0182</w:t>
        </w:r>
      </w:hyperlink>
      <w:r w:rsidRPr="009B0448">
        <w:rPr>
          <w:rFonts w:ascii="Times New Roman" w:eastAsiaTheme="minorHAnsi" w:hAnsi="Times New Roman" w:cs="Times New Roman"/>
          <w:color w:val="auto"/>
        </w:rPr>
        <w:t xml:space="preserve"> </w:t>
      </w:r>
    </w:p>
    <w:p w14:paraId="74BE28A9"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Carmichael, G. R., Ferm, M., Thongboonchoo, N., Woo, J. H., Chan, L. Y., Murano, K., Viet, P. H., Mossberg, C., Bala, R., Boonjawat, J., Upatum, P., Mohan, M., Adhikary, S. P., Shrestha, A. B., Pienaar, J. J., Brunke, E. B., Chen, T., Jie, T., Guoan, D., Peng, L. C., Dhiharto, S., Harjanto, H., Jose, A. M., Kimani, W., Kirouane, A., Lacaux, J., Richard, S., Barturen, O., Cerda, J. C., Athayde, A., Tavares, T., Cotrina, J. S., &amp; Bilici, E. (2003). Measurements of sulfur dioxide, ozone and ammonia concentrations in Asia, Africa, and South America using passive samplers. </w:t>
      </w:r>
      <w:r w:rsidRPr="009B0448">
        <w:rPr>
          <w:rFonts w:ascii="Times New Roman" w:eastAsiaTheme="minorHAnsi" w:hAnsi="Times New Roman" w:cs="Times New Roman"/>
          <w:i/>
          <w:color w:val="auto"/>
        </w:rPr>
        <w:t>Atmospheric Environment, 37</w:t>
      </w:r>
      <w:r w:rsidRPr="009B0448">
        <w:rPr>
          <w:rFonts w:ascii="Times New Roman" w:eastAsiaTheme="minorHAnsi" w:hAnsi="Times New Roman" w:cs="Times New Roman"/>
          <w:color w:val="auto"/>
        </w:rPr>
        <w:t xml:space="preserve">(9), 1293–1308. </w:t>
      </w:r>
      <w:hyperlink r:id="rId1142" w:history="1">
        <w:r w:rsidRPr="009B0448">
          <w:rPr>
            <w:rStyle w:val="Hyperlink"/>
            <w:rFonts w:ascii="Times New Roman" w:eastAsiaTheme="minorHAnsi" w:hAnsi="Times New Roman" w:cs="Times New Roman"/>
          </w:rPr>
          <w:t>https://doi.org/10.1016/S1352-2310(02)01009-9</w:t>
        </w:r>
      </w:hyperlink>
    </w:p>
    <w:p w14:paraId="3E2ACD23"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Carpenter, J. E. (2011). Impacts of GM crops on biodiversity. </w:t>
      </w:r>
      <w:r w:rsidRPr="009B0448">
        <w:rPr>
          <w:rFonts w:ascii="Times New Roman" w:eastAsiaTheme="minorHAnsi" w:hAnsi="Times New Roman" w:cs="Times New Roman"/>
          <w:i/>
          <w:color w:val="auto"/>
        </w:rPr>
        <w:t>GM Crops, 2</w:t>
      </w:r>
      <w:r w:rsidRPr="009B0448">
        <w:rPr>
          <w:rFonts w:ascii="Times New Roman" w:eastAsiaTheme="minorHAnsi" w:hAnsi="Times New Roman" w:cs="Times New Roman"/>
          <w:color w:val="auto"/>
        </w:rPr>
        <w:t xml:space="preserve">(1), 1–17. </w:t>
      </w:r>
      <w:hyperlink r:id="rId1143" w:history="1">
        <w:r w:rsidRPr="009B0448">
          <w:rPr>
            <w:rStyle w:val="Hyperlink"/>
            <w:rFonts w:ascii="Times New Roman" w:eastAsiaTheme="minorHAnsi" w:hAnsi="Times New Roman" w:cs="Times New Roman"/>
          </w:rPr>
          <w:t>https://doi.org/10.4161/gmcr.2.1.15086</w:t>
        </w:r>
      </w:hyperlink>
      <w:r w:rsidRPr="009B0448">
        <w:rPr>
          <w:rFonts w:ascii="Times New Roman" w:eastAsiaTheme="minorHAnsi" w:hAnsi="Times New Roman" w:cs="Times New Roman"/>
          <w:color w:val="auto"/>
        </w:rPr>
        <w:t xml:space="preserve"> </w:t>
      </w:r>
    </w:p>
    <w:p w14:paraId="0B0C875E"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Carruthers, J. (2010). Romance, reverence, research, rights: Writing about elephant hunting and management in southern Africa, c. 1830s to 2008. </w:t>
      </w:r>
      <w:r w:rsidRPr="009B0448">
        <w:rPr>
          <w:rFonts w:ascii="Times New Roman" w:eastAsiaTheme="minorHAnsi" w:hAnsi="Times New Roman" w:cs="Times New Roman"/>
          <w:i/>
          <w:color w:val="auto"/>
        </w:rPr>
        <w:t>Koedoe, 52</w:t>
      </w:r>
      <w:r w:rsidRPr="009B0448">
        <w:rPr>
          <w:rFonts w:ascii="Times New Roman" w:eastAsiaTheme="minorHAnsi" w:hAnsi="Times New Roman" w:cs="Times New Roman"/>
          <w:color w:val="auto"/>
        </w:rPr>
        <w:t>(1)</w:t>
      </w:r>
      <w:r w:rsidRPr="009B0448">
        <w:rPr>
          <w:rFonts w:ascii="Times New Roman" w:hAnsi="Times New Roman" w:cs="Times New Roman"/>
        </w:rPr>
        <w:t xml:space="preserve">, </w:t>
      </w:r>
      <w:r w:rsidRPr="009B0448">
        <w:rPr>
          <w:rFonts w:ascii="Times New Roman" w:eastAsiaTheme="minorHAnsi" w:hAnsi="Times New Roman" w:cs="Times New Roman"/>
          <w:color w:val="auto"/>
        </w:rPr>
        <w:t xml:space="preserve">a880. </w:t>
      </w:r>
      <w:hyperlink r:id="rId1144" w:history="1">
        <w:r w:rsidRPr="009B0448">
          <w:rPr>
            <w:rStyle w:val="Hyperlink"/>
            <w:rFonts w:ascii="Times New Roman" w:eastAsiaTheme="minorHAnsi" w:hAnsi="Times New Roman" w:cs="Times New Roman"/>
          </w:rPr>
          <w:t>https://doi.org/10.4102/koedoe.v52i1.880</w:t>
        </w:r>
      </w:hyperlink>
    </w:p>
    <w:p w14:paraId="7AB1D7D8"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Chapman, C. A., &amp; Lambert, J. E. (2000). Habitat alteration and the conservation of African primates: case study of Kibale National Park, Uganda. </w:t>
      </w:r>
      <w:r w:rsidRPr="009B0448">
        <w:rPr>
          <w:rFonts w:ascii="Times New Roman" w:eastAsiaTheme="minorHAnsi" w:hAnsi="Times New Roman" w:cs="Times New Roman"/>
          <w:i/>
          <w:color w:val="auto"/>
        </w:rPr>
        <w:t>American Journal of Primatology, 50</w:t>
      </w:r>
      <w:r w:rsidRPr="009B0448">
        <w:rPr>
          <w:rFonts w:ascii="Times New Roman" w:eastAsiaTheme="minorHAnsi" w:hAnsi="Times New Roman" w:cs="Times New Roman"/>
          <w:color w:val="auto"/>
        </w:rPr>
        <w:t xml:space="preserve">(3), 169–185. </w:t>
      </w:r>
      <w:hyperlink r:id="rId1145" w:history="1">
        <w:r w:rsidRPr="009B0448">
          <w:rPr>
            <w:rStyle w:val="Hyperlink"/>
            <w:rFonts w:ascii="Times New Roman" w:eastAsiaTheme="minorHAnsi" w:hAnsi="Times New Roman" w:cs="Times New Roman"/>
          </w:rPr>
          <w:t>https://doi.org/10.1002/(SICI)1098-2345(200003)50:3&lt;169::AID-AJP1&gt;3.0.CO;2-P</w:t>
        </w:r>
      </w:hyperlink>
      <w:r w:rsidRPr="009B0448">
        <w:rPr>
          <w:rFonts w:ascii="Times New Roman" w:eastAsiaTheme="minorHAnsi" w:hAnsi="Times New Roman" w:cs="Times New Roman"/>
          <w:color w:val="auto"/>
        </w:rPr>
        <w:t xml:space="preserve"> </w:t>
      </w:r>
    </w:p>
    <w:p w14:paraId="13B26A3D"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lang w:val="en-US"/>
        </w:rPr>
      </w:pPr>
      <w:r w:rsidRPr="009B0448">
        <w:rPr>
          <w:rFonts w:ascii="Times New Roman" w:eastAsiaTheme="minorHAnsi" w:hAnsi="Times New Roman" w:cs="Times New Roman"/>
          <w:color w:val="auto"/>
        </w:rPr>
        <w:t xml:space="preserve">Chase, M. J, Schlossberg, S., Griffin, C. R., Bouché, P. J. C., Djene, S. W., Elkan, P. W., Ferreira, S., Grossman, F., Kohi, E. M., Landen, K., Omondi, P., Peltier, A., Selier, E. M., &amp; Sutcliffe, R. (2016). Continent-wide survey reveals massive decline in African savannah elephants. </w:t>
      </w:r>
      <w:r w:rsidRPr="009B0448">
        <w:rPr>
          <w:rFonts w:ascii="Times New Roman" w:eastAsiaTheme="minorHAnsi" w:hAnsi="Times New Roman" w:cs="Times New Roman"/>
          <w:i/>
          <w:color w:val="auto"/>
          <w:lang w:val="de-DE"/>
        </w:rPr>
        <w:t>PeerJ, 4</w:t>
      </w:r>
      <w:r w:rsidRPr="009B0448">
        <w:rPr>
          <w:rFonts w:ascii="Times New Roman" w:eastAsiaTheme="minorHAnsi" w:hAnsi="Times New Roman" w:cs="Times New Roman"/>
          <w:color w:val="auto"/>
          <w:lang w:val="de-DE"/>
        </w:rPr>
        <w:t xml:space="preserve">, e2354. </w:t>
      </w:r>
      <w:hyperlink r:id="rId1146" w:history="1">
        <w:r w:rsidRPr="009B0448">
          <w:rPr>
            <w:rStyle w:val="Hyperlink"/>
            <w:rFonts w:ascii="Times New Roman" w:eastAsiaTheme="minorHAnsi" w:hAnsi="Times New Roman" w:cs="Times New Roman"/>
            <w:lang w:val="en-US"/>
          </w:rPr>
          <w:t>https://doi.org/10.7717/peerj.2354</w:t>
        </w:r>
      </w:hyperlink>
    </w:p>
    <w:p w14:paraId="3EA267DF"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lang w:val="en-US"/>
        </w:rPr>
        <w:t xml:space="preserve">Chasek, P., Safriel, U., Shikongo, S., &amp; Fuhrman, V. F. (2015). </w:t>
      </w:r>
      <w:r w:rsidRPr="009B0448">
        <w:rPr>
          <w:rFonts w:ascii="Times New Roman" w:eastAsiaTheme="minorHAnsi" w:hAnsi="Times New Roman" w:cs="Times New Roman"/>
          <w:color w:val="auto"/>
        </w:rPr>
        <w:t xml:space="preserve">Operationalizing zero net land degradation: The next stage in international efforts to combat desertification? </w:t>
      </w:r>
      <w:r w:rsidRPr="009B0448">
        <w:rPr>
          <w:rFonts w:ascii="Times New Roman" w:eastAsiaTheme="minorHAnsi" w:hAnsi="Times New Roman" w:cs="Times New Roman"/>
          <w:i/>
          <w:color w:val="auto"/>
        </w:rPr>
        <w:t>Journal of Arid Environments, 112</w:t>
      </w:r>
      <w:r w:rsidRPr="009B0448">
        <w:rPr>
          <w:rFonts w:ascii="Times New Roman" w:eastAsiaTheme="minorHAnsi" w:hAnsi="Times New Roman" w:cs="Times New Roman"/>
          <w:color w:val="auto"/>
        </w:rPr>
        <w:t xml:space="preserve">, 5–13. </w:t>
      </w:r>
      <w:hyperlink r:id="rId1147" w:history="1">
        <w:r w:rsidRPr="009B0448">
          <w:rPr>
            <w:rStyle w:val="Hyperlink"/>
            <w:rFonts w:ascii="Times New Roman" w:eastAsiaTheme="minorHAnsi" w:hAnsi="Times New Roman" w:cs="Times New Roman"/>
          </w:rPr>
          <w:t>https://doi.org/10.1016/j.jaridenv.2014.05.020</w:t>
        </w:r>
      </w:hyperlink>
    </w:p>
    <w:p w14:paraId="7777BB50"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Chaves, M. S., Martinelli, J. A., Wesp-Guterres, C., Graichen, F. A., S., Brammer, S. P., Scagliusi, S. M., Silva, P. R., Wiethölter, P., Torres, G. A. M., Lau, E. Y., Consoli, L., &amp; Chaves, A. L. S. (2013). The importance for food security of maintaining rust resistance in wheat. </w:t>
      </w:r>
      <w:r w:rsidRPr="009B0448">
        <w:rPr>
          <w:rFonts w:ascii="Times New Roman" w:eastAsiaTheme="minorHAnsi" w:hAnsi="Times New Roman" w:cs="Times New Roman"/>
          <w:i/>
          <w:color w:val="auto"/>
        </w:rPr>
        <w:t>Food Security, 5</w:t>
      </w:r>
      <w:r w:rsidRPr="009B0448">
        <w:rPr>
          <w:rFonts w:ascii="Times New Roman" w:eastAsiaTheme="minorHAnsi" w:hAnsi="Times New Roman" w:cs="Times New Roman"/>
          <w:color w:val="auto"/>
        </w:rPr>
        <w:t xml:space="preserve">(2), 157–176. </w:t>
      </w:r>
      <w:hyperlink r:id="rId1148" w:history="1">
        <w:r w:rsidRPr="009B0448">
          <w:rPr>
            <w:rStyle w:val="Hyperlink"/>
            <w:rFonts w:ascii="Times New Roman" w:eastAsiaTheme="minorHAnsi" w:hAnsi="Times New Roman" w:cs="Times New Roman"/>
          </w:rPr>
          <w:t>https://doi.org/10.1007/s12571-013-0248-x</w:t>
        </w:r>
      </w:hyperlink>
      <w:r w:rsidRPr="009B0448">
        <w:rPr>
          <w:rFonts w:ascii="Times New Roman" w:eastAsiaTheme="minorHAnsi" w:hAnsi="Times New Roman" w:cs="Times New Roman"/>
          <w:color w:val="auto"/>
        </w:rPr>
        <w:t xml:space="preserve"> </w:t>
      </w:r>
    </w:p>
    <w:p w14:paraId="4759DC15"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Che, M. L., Chen, B. Z., Wang, Y., &amp; Guo, X. Y. (2014). Review of dynamic global vegetation models (DGVMs). </w:t>
      </w:r>
      <w:r w:rsidRPr="009B0448">
        <w:rPr>
          <w:rFonts w:ascii="Times New Roman" w:eastAsiaTheme="minorHAnsi" w:hAnsi="Times New Roman" w:cs="Times New Roman"/>
          <w:i/>
          <w:color w:val="auto"/>
        </w:rPr>
        <w:t>The journal of applied ecology, 25</w:t>
      </w:r>
      <w:r w:rsidRPr="009B0448">
        <w:rPr>
          <w:rFonts w:ascii="Times New Roman" w:eastAsiaTheme="minorHAnsi" w:hAnsi="Times New Roman" w:cs="Times New Roman"/>
          <w:color w:val="auto"/>
        </w:rPr>
        <w:t xml:space="preserve">(1), 263–71. Rerieved from </w:t>
      </w:r>
      <w:hyperlink r:id="rId1149" w:history="1">
        <w:r w:rsidRPr="009B0448">
          <w:rPr>
            <w:rStyle w:val="Hyperlink"/>
            <w:rFonts w:ascii="Times New Roman" w:eastAsiaTheme="minorHAnsi" w:hAnsi="Times New Roman" w:cs="Times New Roman"/>
          </w:rPr>
          <w:t>https://www.ncbi.nlm.nih.gov/pubmed/24765870</w:t>
        </w:r>
      </w:hyperlink>
      <w:r w:rsidRPr="009B0448">
        <w:rPr>
          <w:rFonts w:ascii="Times New Roman" w:eastAsiaTheme="minorHAnsi" w:hAnsi="Times New Roman" w:cs="Times New Roman"/>
          <w:color w:val="auto"/>
        </w:rPr>
        <w:t xml:space="preserve"> </w:t>
      </w:r>
    </w:p>
    <w:p w14:paraId="5D5CDA62"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Chenje, M. J., &amp; Mohamed-Katerere, M. (2006). Invasive alien species. In UNEP (Ed.), </w:t>
      </w:r>
      <w:r w:rsidRPr="009B0448">
        <w:rPr>
          <w:rFonts w:ascii="Times New Roman" w:eastAsiaTheme="minorHAnsi" w:hAnsi="Times New Roman" w:cs="Times New Roman"/>
          <w:i/>
          <w:color w:val="auto"/>
        </w:rPr>
        <w:t>Africa environment outlook 2</w:t>
      </w:r>
      <w:r w:rsidRPr="009B0448">
        <w:rPr>
          <w:rFonts w:ascii="Times New Roman" w:eastAsiaTheme="minorHAnsi" w:hAnsi="Times New Roman" w:cs="Times New Roman"/>
          <w:color w:val="auto"/>
        </w:rPr>
        <w:t xml:space="preserve"> (pp. 331–349). Nairobi, Kenya: UNEP. Retrieved from </w:t>
      </w:r>
      <w:hyperlink r:id="rId1150" w:history="1">
        <w:r w:rsidRPr="009B0448">
          <w:rPr>
            <w:rStyle w:val="Hyperlink"/>
            <w:rFonts w:ascii="Times New Roman" w:eastAsiaTheme="minorHAnsi" w:hAnsi="Times New Roman" w:cs="Times New Roman"/>
          </w:rPr>
          <w:t>http://hdl.handle.net/20.500.11822/9626</w:t>
        </w:r>
      </w:hyperlink>
      <w:r w:rsidRPr="009B0448">
        <w:rPr>
          <w:rFonts w:ascii="Times New Roman" w:eastAsiaTheme="minorHAnsi" w:hAnsi="Times New Roman" w:cs="Times New Roman"/>
          <w:color w:val="auto"/>
        </w:rPr>
        <w:t xml:space="preserve"> </w:t>
      </w:r>
    </w:p>
    <w:p w14:paraId="4E32C9C0"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Cherlet, M. (2012). </w:t>
      </w:r>
      <w:r w:rsidRPr="009B0448">
        <w:rPr>
          <w:rFonts w:ascii="Times New Roman" w:eastAsiaTheme="minorHAnsi" w:hAnsi="Times New Roman" w:cs="Times New Roman"/>
          <w:i/>
          <w:color w:val="auto"/>
        </w:rPr>
        <w:t>The new world atlas of desertification and its potential for addressing the ZNLD</w:t>
      </w:r>
      <w:r w:rsidRPr="009B0448">
        <w:rPr>
          <w:rFonts w:ascii="Times New Roman" w:eastAsiaTheme="minorHAnsi" w:hAnsi="Times New Roman" w:cs="Times New Roman"/>
          <w:color w:val="auto"/>
        </w:rPr>
        <w:t xml:space="preserve">. Israel: Ben-Gurion University of the Negev. Retrieved from </w:t>
      </w:r>
      <w:hyperlink r:id="rId1151" w:history="1">
        <w:r w:rsidRPr="009B0448">
          <w:rPr>
            <w:rStyle w:val="Hyperlink"/>
            <w:rFonts w:ascii="Times New Roman" w:eastAsiaTheme="minorHAnsi" w:hAnsi="Times New Roman" w:cs="Times New Roman"/>
          </w:rPr>
          <w:t>http://adsabs.harvard.edu/abs/2015EGUGA..1715871C</w:t>
        </w:r>
      </w:hyperlink>
      <w:r w:rsidRPr="009B0448">
        <w:rPr>
          <w:rFonts w:ascii="Times New Roman" w:eastAsiaTheme="minorHAnsi" w:hAnsi="Times New Roman" w:cs="Times New Roman"/>
          <w:color w:val="auto"/>
        </w:rPr>
        <w:t xml:space="preserve"> </w:t>
      </w:r>
    </w:p>
    <w:p w14:paraId="0D72B706"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Chevalier, V., Pépin, M., Plee, L., &amp; Lancelot, R. (2010). Rift valley fever-a threat for Europe? </w:t>
      </w:r>
      <w:r w:rsidRPr="009B0448">
        <w:rPr>
          <w:rFonts w:ascii="Times New Roman" w:eastAsiaTheme="minorHAnsi" w:hAnsi="Times New Roman" w:cs="Times New Roman"/>
          <w:i/>
          <w:color w:val="auto"/>
        </w:rPr>
        <w:t>Euro Surveillance, 15</w:t>
      </w:r>
      <w:r w:rsidRPr="009B0448">
        <w:rPr>
          <w:rFonts w:ascii="Times New Roman" w:eastAsiaTheme="minorHAnsi" w:hAnsi="Times New Roman" w:cs="Times New Roman"/>
          <w:color w:val="auto"/>
        </w:rPr>
        <w:t xml:space="preserve">(10). Retrieved from </w:t>
      </w:r>
      <w:hyperlink r:id="rId1152" w:history="1">
        <w:r w:rsidRPr="009B0448">
          <w:rPr>
            <w:rStyle w:val="Hyperlink"/>
            <w:rFonts w:ascii="Times New Roman" w:eastAsiaTheme="minorHAnsi" w:hAnsi="Times New Roman" w:cs="Times New Roman"/>
          </w:rPr>
          <w:t>http://www.eurosurveillance.org/ViewArticle.aspx?ArticleId=19506</w:t>
        </w:r>
      </w:hyperlink>
      <w:r w:rsidRPr="009B0448">
        <w:rPr>
          <w:rFonts w:ascii="Times New Roman" w:eastAsiaTheme="minorHAnsi" w:hAnsi="Times New Roman" w:cs="Times New Roman"/>
          <w:color w:val="auto"/>
        </w:rPr>
        <w:t xml:space="preserve"> </w:t>
      </w:r>
    </w:p>
    <w:p w14:paraId="04E426B8"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Chevallier, R., &amp; Harvey, R. (2016). Ensuring elephant survival through improving community benefits. </w:t>
      </w:r>
      <w:r w:rsidRPr="009B0448">
        <w:rPr>
          <w:rFonts w:ascii="Times New Roman" w:eastAsiaTheme="minorHAnsi" w:hAnsi="Times New Roman" w:cs="Times New Roman"/>
          <w:i/>
          <w:color w:val="auto"/>
        </w:rPr>
        <w:t>South African Institute of International Affairs, 243</w:t>
      </w:r>
      <w:r w:rsidRPr="009B0448">
        <w:rPr>
          <w:rFonts w:ascii="Times New Roman" w:eastAsiaTheme="minorHAnsi" w:hAnsi="Times New Roman" w:cs="Times New Roman"/>
          <w:color w:val="auto"/>
        </w:rPr>
        <w:t xml:space="preserve">, 1–31. Retrieved from </w:t>
      </w:r>
      <w:hyperlink r:id="rId1153" w:history="1">
        <w:r w:rsidRPr="009B0448">
          <w:rPr>
            <w:rStyle w:val="Hyperlink"/>
            <w:rFonts w:ascii="Times New Roman" w:eastAsiaTheme="minorHAnsi" w:hAnsi="Times New Roman" w:cs="Times New Roman"/>
          </w:rPr>
          <w:t>http://www.saiia.org.za/occasional-papers/1106-ensuring-elephant-survival-through-improving-community-benefits</w:t>
        </w:r>
      </w:hyperlink>
      <w:r w:rsidRPr="009B0448">
        <w:rPr>
          <w:rFonts w:ascii="Times New Roman" w:eastAsiaTheme="minorHAnsi" w:hAnsi="Times New Roman" w:cs="Times New Roman"/>
          <w:color w:val="auto"/>
        </w:rPr>
        <w:t xml:space="preserve"> </w:t>
      </w:r>
    </w:p>
    <w:p w14:paraId="3FAE0389"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Chibememe, G., Muboko, N., Gandiwa, E., Kupika, O. L., Muposhi, V. K., &amp; Pwiti, G. (2014). Embracing indigenous knowledge systems in the management of dryland ecosystems in the Great Limpopo Transfrontier Conservation Area: The case of Chibememe and Tshovani communities, Chiredzi, Zimbabwe. </w:t>
      </w:r>
      <w:r w:rsidRPr="009B0448">
        <w:rPr>
          <w:rFonts w:ascii="Times New Roman" w:eastAsiaTheme="minorHAnsi" w:hAnsi="Times New Roman" w:cs="Times New Roman"/>
          <w:i/>
          <w:color w:val="auto"/>
        </w:rPr>
        <w:t>Biodiversity, 15</w:t>
      </w:r>
      <w:r w:rsidRPr="009B0448">
        <w:rPr>
          <w:rFonts w:ascii="Times New Roman" w:eastAsiaTheme="minorHAnsi" w:hAnsi="Times New Roman" w:cs="Times New Roman"/>
          <w:color w:val="auto"/>
        </w:rPr>
        <w:t xml:space="preserve">, 192–202. </w:t>
      </w:r>
      <w:hyperlink r:id="rId1154" w:history="1">
        <w:r w:rsidRPr="009B0448">
          <w:rPr>
            <w:rStyle w:val="Hyperlink"/>
            <w:rFonts w:ascii="Times New Roman" w:eastAsiaTheme="minorHAnsi" w:hAnsi="Times New Roman" w:cs="Times New Roman"/>
          </w:rPr>
          <w:t>https://doi.org/10.1080/14888386.2014.934715</w:t>
        </w:r>
      </w:hyperlink>
    </w:p>
    <w:p w14:paraId="11CA7C6F"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Chiweshe, M. K., &amp; Bhatasara, S. (2016). Victims, victors and saviors: The politics of aid and women’s rights in Zimbabwe. In T. Bonacker, J. von Heusinger, &amp; K. Zimmer (Eds.), </w:t>
      </w:r>
      <w:r w:rsidRPr="009B0448">
        <w:rPr>
          <w:rFonts w:ascii="Times New Roman" w:eastAsiaTheme="minorHAnsi" w:hAnsi="Times New Roman" w:cs="Times New Roman"/>
          <w:i/>
          <w:color w:val="auto"/>
        </w:rPr>
        <w:t>Localization in development aid: How global institutions enter local lifeworlds</w:t>
      </w:r>
      <w:r w:rsidRPr="009B0448">
        <w:rPr>
          <w:rFonts w:ascii="Times New Roman" w:eastAsiaTheme="minorHAnsi" w:hAnsi="Times New Roman" w:cs="Times New Roman"/>
          <w:color w:val="auto"/>
        </w:rPr>
        <w:t xml:space="preserve">. London, Abingdon: Routledge. Retrieved from </w:t>
      </w:r>
      <w:hyperlink r:id="rId1155" w:history="1">
        <w:r w:rsidRPr="009B0448">
          <w:rPr>
            <w:rStyle w:val="Hyperlink"/>
            <w:rFonts w:ascii="Times New Roman" w:eastAsiaTheme="minorHAnsi" w:hAnsi="Times New Roman" w:cs="Times New Roman"/>
          </w:rPr>
          <w:t>https://www.taylorfrancis.com/books/9781138673274</w:t>
        </w:r>
      </w:hyperlink>
      <w:r w:rsidRPr="009B0448">
        <w:rPr>
          <w:rFonts w:ascii="Times New Roman" w:eastAsiaTheme="minorHAnsi" w:hAnsi="Times New Roman" w:cs="Times New Roman"/>
          <w:color w:val="auto"/>
        </w:rPr>
        <w:t xml:space="preserve"> </w:t>
      </w:r>
    </w:p>
    <w:p w14:paraId="201463C0"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Cleaveland, S., Appel, M., Chalmers, W., Chillingworth, C., Kaare, M., &amp; Dye, C. (2000). Serological and demographic evidence for domestic dogs as a source of canine distemper virus infection for Serengeti wildlife. </w:t>
      </w:r>
      <w:r w:rsidRPr="009B0448">
        <w:rPr>
          <w:rFonts w:ascii="Times New Roman" w:eastAsiaTheme="minorHAnsi" w:hAnsi="Times New Roman" w:cs="Times New Roman"/>
          <w:i/>
          <w:color w:val="auto"/>
        </w:rPr>
        <w:t>Veterinary microbiology, 72</w:t>
      </w:r>
      <w:r w:rsidRPr="009B0448">
        <w:rPr>
          <w:rFonts w:ascii="Times New Roman" w:eastAsiaTheme="minorHAnsi" w:hAnsi="Times New Roman" w:cs="Times New Roman"/>
          <w:color w:val="auto"/>
        </w:rPr>
        <w:t xml:space="preserve">, 217–227. </w:t>
      </w:r>
      <w:hyperlink r:id="rId1156" w:history="1">
        <w:r w:rsidRPr="009B0448">
          <w:rPr>
            <w:rStyle w:val="Hyperlink"/>
            <w:rFonts w:ascii="Times New Roman" w:eastAsiaTheme="minorHAnsi" w:hAnsi="Times New Roman" w:cs="Times New Roman"/>
          </w:rPr>
          <w:t>https://doi.org/10.1016/S0378-1135(99)00207-2</w:t>
        </w:r>
      </w:hyperlink>
    </w:p>
    <w:p w14:paraId="494383C8"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Clements, D. R., &amp; Ditommaso, A. (2011). Climate change and weed adaptation: can evolution of invasive plants lead to greater range expansion than forecasted? </w:t>
      </w:r>
      <w:r w:rsidRPr="009B0448">
        <w:rPr>
          <w:rFonts w:ascii="Times New Roman" w:eastAsiaTheme="minorHAnsi" w:hAnsi="Times New Roman" w:cs="Times New Roman"/>
          <w:i/>
          <w:color w:val="auto"/>
        </w:rPr>
        <w:t>Weed Research, 51</w:t>
      </w:r>
      <w:r w:rsidRPr="009B0448">
        <w:rPr>
          <w:rFonts w:ascii="Times New Roman" w:eastAsiaTheme="minorHAnsi" w:hAnsi="Times New Roman" w:cs="Times New Roman"/>
          <w:color w:val="auto"/>
        </w:rPr>
        <w:t xml:space="preserve">, 227–240. </w:t>
      </w:r>
      <w:hyperlink r:id="rId1157" w:history="1">
        <w:r w:rsidRPr="009B0448">
          <w:rPr>
            <w:rStyle w:val="Hyperlink"/>
            <w:rFonts w:ascii="Times New Roman" w:eastAsiaTheme="minorHAnsi" w:hAnsi="Times New Roman" w:cs="Times New Roman"/>
          </w:rPr>
          <w:t>https://doi.org/10.1111/j.1365-3180.2011.00850.x</w:t>
        </w:r>
      </w:hyperlink>
      <w:r w:rsidRPr="009B0448">
        <w:rPr>
          <w:rFonts w:ascii="Times New Roman" w:eastAsiaTheme="minorHAnsi" w:hAnsi="Times New Roman" w:cs="Times New Roman"/>
          <w:color w:val="auto"/>
        </w:rPr>
        <w:t xml:space="preserve"> </w:t>
      </w:r>
    </w:p>
    <w:p w14:paraId="3E2370FD"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Clerget, B., Dingkuhn, M., Chantereau, J., Hemberger, J., Louarn, G., &amp; Vaksmann, M. (2004). Does panicle initiation in tropical sorghum depend on day-to-day change in photoperiod? </w:t>
      </w:r>
      <w:r w:rsidRPr="009B0448">
        <w:rPr>
          <w:rFonts w:ascii="Times New Roman" w:eastAsiaTheme="minorHAnsi" w:hAnsi="Times New Roman" w:cs="Times New Roman"/>
          <w:i/>
          <w:color w:val="auto"/>
        </w:rPr>
        <w:t>Field Crops Research, 8</w:t>
      </w:r>
      <w:r w:rsidRPr="009B0448">
        <w:rPr>
          <w:rFonts w:ascii="Times New Roman" w:eastAsiaTheme="minorHAnsi" w:hAnsi="Times New Roman" w:cs="Times New Roman"/>
          <w:color w:val="auto"/>
        </w:rPr>
        <w:t xml:space="preserve">8(1), 21–37. </w:t>
      </w:r>
      <w:hyperlink r:id="rId1158" w:history="1">
        <w:r w:rsidRPr="009B0448">
          <w:rPr>
            <w:rStyle w:val="Hyperlink"/>
            <w:rFonts w:ascii="Times New Roman" w:eastAsiaTheme="minorHAnsi" w:hAnsi="Times New Roman" w:cs="Times New Roman"/>
          </w:rPr>
          <w:t>https://doi.org/10.1016/j.fcr.2003.11.008</w:t>
        </w:r>
      </w:hyperlink>
    </w:p>
    <w:p w14:paraId="70B271E0"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Cochrane, M. A., Alencar, A., Schulze, M. D., Souza, C. M., Nepstad, D. C., Lefebvre, P., &amp; Davidson, E. A. (1999). Positive feedbacks in the fire dynamic of closed canopy tropical forests. </w:t>
      </w:r>
      <w:r w:rsidRPr="009B0448">
        <w:rPr>
          <w:rFonts w:ascii="Times New Roman" w:eastAsiaTheme="minorHAnsi" w:hAnsi="Times New Roman" w:cs="Times New Roman"/>
          <w:i/>
          <w:color w:val="auto"/>
        </w:rPr>
        <w:t>Science, 284</w:t>
      </w:r>
      <w:r w:rsidRPr="009B0448">
        <w:rPr>
          <w:rFonts w:ascii="Times New Roman" w:eastAsiaTheme="minorHAnsi" w:hAnsi="Times New Roman" w:cs="Times New Roman"/>
          <w:color w:val="auto"/>
        </w:rPr>
        <w:t xml:space="preserve">, 1834–1836. </w:t>
      </w:r>
      <w:hyperlink r:id="rId1159" w:history="1">
        <w:r w:rsidRPr="009B0448">
          <w:rPr>
            <w:rStyle w:val="Hyperlink"/>
            <w:rFonts w:ascii="Times New Roman" w:eastAsiaTheme="minorHAnsi" w:hAnsi="Times New Roman" w:cs="Times New Roman"/>
          </w:rPr>
          <w:t>https://doi.org/10.1126/science.284.5421.1832</w:t>
        </w:r>
      </w:hyperlink>
      <w:r w:rsidRPr="009B0448">
        <w:rPr>
          <w:rFonts w:ascii="Times New Roman" w:eastAsiaTheme="minorHAnsi" w:hAnsi="Times New Roman" w:cs="Times New Roman"/>
          <w:color w:val="auto"/>
        </w:rPr>
        <w:t xml:space="preserve"> </w:t>
      </w:r>
    </w:p>
    <w:p w14:paraId="08C781A9"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Coimbra, A. M., Figueiredo-Fernandes, A., &amp; Reis-Henriques, M. A. (2007). Nile tilapia (</w:t>
      </w:r>
      <w:r w:rsidRPr="009B0448">
        <w:rPr>
          <w:rFonts w:ascii="Times New Roman" w:eastAsiaTheme="minorHAnsi" w:hAnsi="Times New Roman" w:cs="Times New Roman"/>
          <w:i/>
          <w:color w:val="auto"/>
        </w:rPr>
        <w:t>Oreochromis niloticus</w:t>
      </w:r>
      <w:r w:rsidRPr="009B0448">
        <w:rPr>
          <w:rFonts w:ascii="Times New Roman" w:eastAsiaTheme="minorHAnsi" w:hAnsi="Times New Roman" w:cs="Times New Roman"/>
          <w:color w:val="auto"/>
        </w:rPr>
        <w:t xml:space="preserve">), liver morphology, CYP1A activity and thyroid hormones after Endosulfan dietary exposure. </w:t>
      </w:r>
      <w:r w:rsidRPr="009B0448">
        <w:rPr>
          <w:rFonts w:ascii="Times New Roman" w:eastAsiaTheme="minorHAnsi" w:hAnsi="Times New Roman" w:cs="Times New Roman"/>
          <w:i/>
          <w:color w:val="auto"/>
        </w:rPr>
        <w:t>Pesticide Biochemistry and Physiology, 89</w:t>
      </w:r>
      <w:r w:rsidRPr="009B0448">
        <w:rPr>
          <w:rFonts w:ascii="Times New Roman" w:eastAsiaTheme="minorHAnsi" w:hAnsi="Times New Roman" w:cs="Times New Roman"/>
          <w:color w:val="auto"/>
        </w:rPr>
        <w:t xml:space="preserve">(3), 230–236. </w:t>
      </w:r>
      <w:hyperlink r:id="rId1160" w:history="1">
        <w:r w:rsidRPr="009B0448">
          <w:rPr>
            <w:rStyle w:val="Hyperlink"/>
            <w:rFonts w:ascii="Times New Roman" w:eastAsiaTheme="minorHAnsi" w:hAnsi="Times New Roman" w:cs="Times New Roman"/>
          </w:rPr>
          <w:t>https://doi.org/10.1016/j.pestbp.2007.07.001</w:t>
        </w:r>
      </w:hyperlink>
    </w:p>
    <w:p w14:paraId="68C5D76E"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Collier, P. (2002). </w:t>
      </w:r>
      <w:r w:rsidRPr="009B0448">
        <w:rPr>
          <w:rFonts w:ascii="Times New Roman" w:eastAsiaTheme="minorHAnsi" w:hAnsi="Times New Roman" w:cs="Times New Roman"/>
          <w:i/>
          <w:color w:val="auto"/>
        </w:rPr>
        <w:t>Primary commodity dependence and Africa’s future. Paper presented at the annual bank conference on development economics</w:t>
      </w:r>
      <w:r w:rsidRPr="009B0448">
        <w:rPr>
          <w:rFonts w:ascii="Times New Roman" w:eastAsiaTheme="minorHAnsi" w:hAnsi="Times New Roman" w:cs="Times New Roman"/>
          <w:color w:val="auto"/>
        </w:rPr>
        <w:t xml:space="preserve">. Washington, DC: Oxford University Press. Retrieved from </w:t>
      </w:r>
      <w:hyperlink r:id="rId1161" w:history="1">
        <w:r w:rsidRPr="009B0448">
          <w:rPr>
            <w:rStyle w:val="Hyperlink"/>
            <w:rFonts w:ascii="Times New Roman" w:eastAsiaTheme="minorHAnsi" w:hAnsi="Times New Roman" w:cs="Times New Roman"/>
          </w:rPr>
          <w:t>http://citeseerx.ist.psu.edu/viewdoc/download?doi=10.1.1.17.5637&amp;rep=rep1&amp;type=pdf</w:t>
        </w:r>
      </w:hyperlink>
    </w:p>
    <w:p w14:paraId="08E68928"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Collier, P., &amp; Dollar, D. (2002). </w:t>
      </w:r>
      <w:r w:rsidRPr="009B0448">
        <w:rPr>
          <w:rFonts w:ascii="Times New Roman" w:eastAsiaTheme="minorHAnsi" w:hAnsi="Times New Roman" w:cs="Times New Roman"/>
          <w:i/>
          <w:color w:val="auto"/>
        </w:rPr>
        <w:t>Globalization, growth, and poverty: Building an inclusive world economy</w:t>
      </w:r>
      <w:r w:rsidRPr="009B0448">
        <w:rPr>
          <w:rFonts w:ascii="Times New Roman" w:eastAsiaTheme="minorHAnsi" w:hAnsi="Times New Roman" w:cs="Times New Roman"/>
          <w:color w:val="auto"/>
        </w:rPr>
        <w:t xml:space="preserve">. Washington, DC: Oxford University Press. Retrieved from </w:t>
      </w:r>
      <w:hyperlink r:id="rId1162" w:history="1">
        <w:r w:rsidRPr="009B0448">
          <w:rPr>
            <w:rStyle w:val="Hyperlink"/>
            <w:rFonts w:ascii="Times New Roman" w:eastAsiaTheme="minorHAnsi" w:hAnsi="Times New Roman" w:cs="Times New Roman"/>
          </w:rPr>
          <w:t>http://documents.worldbank.org/curated/en/954071468778196576/pdf/multi0page.pdf</w:t>
        </w:r>
      </w:hyperlink>
      <w:r w:rsidRPr="009B0448">
        <w:rPr>
          <w:rFonts w:ascii="Times New Roman" w:eastAsiaTheme="minorHAnsi" w:hAnsi="Times New Roman" w:cs="Times New Roman"/>
          <w:color w:val="auto"/>
        </w:rPr>
        <w:t xml:space="preserve"> </w:t>
      </w:r>
    </w:p>
    <w:p w14:paraId="0F28701E"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Connolly-Boutin, L., &amp; Smit, B. (2016). Climate change, food security, and livelihoods in sub-Saharan Africa. </w:t>
      </w:r>
      <w:r w:rsidRPr="009B0448">
        <w:rPr>
          <w:rFonts w:ascii="Times New Roman" w:eastAsiaTheme="minorHAnsi" w:hAnsi="Times New Roman" w:cs="Times New Roman"/>
          <w:i/>
          <w:color w:val="auto"/>
        </w:rPr>
        <w:t>Regional Environmental Change, 16</w:t>
      </w:r>
      <w:r w:rsidRPr="009B0448">
        <w:rPr>
          <w:rFonts w:ascii="Times New Roman" w:eastAsiaTheme="minorHAnsi" w:hAnsi="Times New Roman" w:cs="Times New Roman"/>
          <w:color w:val="auto"/>
        </w:rPr>
        <w:t xml:space="preserve">(2), 385–399. </w:t>
      </w:r>
      <w:hyperlink r:id="rId1163" w:history="1">
        <w:r w:rsidRPr="009B0448">
          <w:rPr>
            <w:rStyle w:val="Hyperlink"/>
            <w:rFonts w:ascii="Times New Roman" w:eastAsiaTheme="minorHAnsi" w:hAnsi="Times New Roman" w:cs="Times New Roman"/>
          </w:rPr>
          <w:t>https://doi.org/10.1007/s10113-015-0761-x</w:t>
        </w:r>
      </w:hyperlink>
      <w:r w:rsidRPr="009B0448">
        <w:rPr>
          <w:rFonts w:ascii="Times New Roman" w:eastAsiaTheme="minorHAnsi" w:hAnsi="Times New Roman" w:cs="Times New Roman"/>
          <w:color w:val="auto"/>
        </w:rPr>
        <w:t xml:space="preserve"> </w:t>
      </w:r>
    </w:p>
    <w:p w14:paraId="1D61E54C"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Coppock, A. (2016). </w:t>
      </w:r>
      <w:r w:rsidRPr="009B0448">
        <w:rPr>
          <w:rFonts w:ascii="Times New Roman" w:eastAsiaTheme="minorHAnsi" w:hAnsi="Times New Roman" w:cs="Times New Roman"/>
          <w:i/>
          <w:color w:val="auto"/>
        </w:rPr>
        <w:t>Positive, small, homogeneous, and durable: Political persuasion in response to information</w:t>
      </w:r>
      <w:r w:rsidRPr="009B0448">
        <w:rPr>
          <w:rFonts w:ascii="Times New Roman" w:eastAsiaTheme="minorHAnsi" w:hAnsi="Times New Roman" w:cs="Times New Roman"/>
          <w:color w:val="auto"/>
        </w:rPr>
        <w:t xml:space="preserve">. (Doctoral dissertation). </w:t>
      </w:r>
      <w:hyperlink r:id="rId1164" w:history="1">
        <w:r w:rsidRPr="009B0448">
          <w:rPr>
            <w:rStyle w:val="Hyperlink"/>
            <w:rFonts w:ascii="Times New Roman" w:eastAsiaTheme="minorHAnsi" w:hAnsi="Times New Roman" w:cs="Times New Roman"/>
          </w:rPr>
          <w:t>https://doi.org/10.7916/D8J966CS</w:t>
        </w:r>
      </w:hyperlink>
    </w:p>
    <w:p w14:paraId="4FA66981"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Cork, S., Peterson, G., Petschel-Held, G., Alcamo, J., Alder, J., Bennett, E. M., Carr, E. R., Deane, D., Nelson, G. C., Ribeiro, T., Butler, C., Mendiondo, E. M., Olouch-Kosura, W., &amp; Zurek, M. (2005). Four Scenerios. In S. R., Carpenter, P. L., Pingali, E. M., Bennett, M. B., Zurek (Eds.), </w:t>
      </w:r>
      <w:r w:rsidRPr="009B0448">
        <w:rPr>
          <w:rFonts w:ascii="Times New Roman" w:eastAsiaTheme="minorHAnsi" w:hAnsi="Times New Roman" w:cs="Times New Roman"/>
          <w:i/>
          <w:color w:val="auto"/>
        </w:rPr>
        <w:t>Millennium Ecosystem Assessment: Ecosystems and human well-being: scenarios Volume 2</w:t>
      </w:r>
      <w:r w:rsidRPr="009B0448">
        <w:rPr>
          <w:rFonts w:ascii="Times New Roman" w:eastAsiaTheme="minorHAnsi" w:hAnsi="Times New Roman" w:cs="Times New Roman"/>
          <w:color w:val="auto"/>
        </w:rPr>
        <w:t xml:space="preserve"> (pp. 225–294). Washington, DC: Island Press. Retrieved from </w:t>
      </w:r>
      <w:hyperlink r:id="rId1165" w:history="1">
        <w:r w:rsidRPr="009B0448">
          <w:rPr>
            <w:rStyle w:val="Hyperlink"/>
            <w:rFonts w:ascii="Times New Roman" w:eastAsiaTheme="minorHAnsi" w:hAnsi="Times New Roman" w:cs="Times New Roman"/>
          </w:rPr>
          <w:t>https://www.millenniumassessment.org/documents/document.356.aspx.pdf</w:t>
        </w:r>
      </w:hyperlink>
      <w:r w:rsidRPr="009B0448">
        <w:rPr>
          <w:rFonts w:ascii="Times New Roman" w:eastAsiaTheme="minorHAnsi" w:hAnsi="Times New Roman" w:cs="Times New Roman"/>
          <w:color w:val="auto"/>
        </w:rPr>
        <w:t xml:space="preserve"> </w:t>
      </w:r>
    </w:p>
    <w:p w14:paraId="3E2A4BFC"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Costanza, R., d’Arge, R., de Groot, R., Farber, S., Grasso, M., Hannon, B., Limburg, K., Naeem, S., O’Neill, R., Paruelo, J., Raskin, R. G., Sutton, P., &amp; van den Belt, M. (1997). The value of the world’s ecosystem services and natural capital. </w:t>
      </w:r>
      <w:r w:rsidRPr="009B0448">
        <w:rPr>
          <w:rFonts w:ascii="Times New Roman" w:eastAsiaTheme="minorHAnsi" w:hAnsi="Times New Roman" w:cs="Times New Roman"/>
          <w:i/>
          <w:color w:val="auto"/>
        </w:rPr>
        <w:t>Nature, 387</w:t>
      </w:r>
      <w:r w:rsidRPr="009B0448">
        <w:rPr>
          <w:rFonts w:ascii="Times New Roman" w:eastAsiaTheme="minorHAnsi" w:hAnsi="Times New Roman" w:cs="Times New Roman"/>
          <w:color w:val="auto"/>
        </w:rPr>
        <w:t xml:space="preserve">, 253–260. </w:t>
      </w:r>
      <w:hyperlink r:id="rId1166" w:history="1">
        <w:r w:rsidRPr="009B0448">
          <w:rPr>
            <w:rStyle w:val="Hyperlink"/>
            <w:rFonts w:ascii="Times New Roman" w:eastAsiaTheme="minorHAnsi" w:hAnsi="Times New Roman" w:cs="Times New Roman"/>
          </w:rPr>
          <w:t>https://doi.org/10.1038/387253a0</w:t>
        </w:r>
      </w:hyperlink>
      <w:r w:rsidRPr="009B0448">
        <w:rPr>
          <w:rFonts w:ascii="Times New Roman" w:eastAsiaTheme="minorHAnsi" w:hAnsi="Times New Roman" w:cs="Times New Roman"/>
          <w:color w:val="auto"/>
        </w:rPr>
        <w:t xml:space="preserve"> </w:t>
      </w:r>
    </w:p>
    <w:p w14:paraId="77B1DF61"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Cotula, L., Vermeulen, S., Leonard, R., &amp; Keeley, J. (2009). </w:t>
      </w:r>
      <w:r w:rsidRPr="009B0448">
        <w:rPr>
          <w:rFonts w:ascii="Times New Roman" w:eastAsiaTheme="minorHAnsi" w:hAnsi="Times New Roman" w:cs="Times New Roman"/>
          <w:i/>
          <w:color w:val="auto"/>
        </w:rPr>
        <w:t>Land grab or development opportunity? Agricultural investment and international land deals in Africa</w:t>
      </w:r>
      <w:r w:rsidRPr="009B0448">
        <w:rPr>
          <w:rFonts w:ascii="Times New Roman" w:eastAsiaTheme="minorHAnsi" w:hAnsi="Times New Roman" w:cs="Times New Roman"/>
          <w:color w:val="auto"/>
        </w:rPr>
        <w:t xml:space="preserve">. Rome, Italy: FAO. Retrieved from </w:t>
      </w:r>
      <w:hyperlink r:id="rId1167" w:history="1">
        <w:r w:rsidRPr="009B0448">
          <w:rPr>
            <w:rStyle w:val="Hyperlink"/>
            <w:rFonts w:ascii="Times New Roman" w:eastAsiaTheme="minorHAnsi" w:hAnsi="Times New Roman" w:cs="Times New Roman"/>
          </w:rPr>
          <w:t>http://www.fao.org/3/a-ak241e.pdf</w:t>
        </w:r>
      </w:hyperlink>
      <w:r w:rsidRPr="009B0448">
        <w:rPr>
          <w:rFonts w:ascii="Times New Roman" w:eastAsiaTheme="minorHAnsi" w:hAnsi="Times New Roman" w:cs="Times New Roman"/>
          <w:color w:val="auto"/>
        </w:rPr>
        <w:t xml:space="preserve"> </w:t>
      </w:r>
    </w:p>
    <w:p w14:paraId="7DD38E76"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Cotula, L., &amp; Jokubausjaite, G. (2016). Land investments accountability and the law: Lessons from West Africa. London, UK: IIED. Retrieved from </w:t>
      </w:r>
      <w:hyperlink r:id="rId1168" w:history="1">
        <w:r w:rsidRPr="009B0448">
          <w:rPr>
            <w:rStyle w:val="Hyperlink"/>
            <w:rFonts w:ascii="Times New Roman" w:eastAsiaTheme="minorHAnsi" w:hAnsi="Times New Roman" w:cs="Times New Roman"/>
          </w:rPr>
          <w:t>http://pubs.iied.org/pdfs/12590IIED.pdf</w:t>
        </w:r>
      </w:hyperlink>
      <w:r w:rsidRPr="009B0448">
        <w:rPr>
          <w:rFonts w:ascii="Times New Roman" w:eastAsiaTheme="minorHAnsi" w:hAnsi="Times New Roman" w:cs="Times New Roman"/>
          <w:color w:val="auto"/>
        </w:rPr>
        <w:t xml:space="preserve"> </w:t>
      </w:r>
    </w:p>
    <w:p w14:paraId="380D3962"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Cowlishaw, G., &amp; Rowcliffe, M. (2005). </w:t>
      </w:r>
      <w:r w:rsidRPr="009B0448">
        <w:rPr>
          <w:rFonts w:ascii="Times New Roman" w:eastAsiaTheme="minorHAnsi" w:hAnsi="Times New Roman" w:cs="Times New Roman"/>
          <w:i/>
          <w:color w:val="auto"/>
        </w:rPr>
        <w:t>The Bushmeat research programme</w:t>
      </w:r>
      <w:r w:rsidRPr="009B0448">
        <w:rPr>
          <w:rFonts w:ascii="Times New Roman" w:eastAsiaTheme="minorHAnsi" w:hAnsi="Times New Roman" w:cs="Times New Roman"/>
          <w:color w:val="auto"/>
        </w:rPr>
        <w:t xml:space="preserve">. London: Zoological Society of London, Institute of Zoology. Retrieved from </w:t>
      </w:r>
      <w:hyperlink r:id="rId1169" w:history="1">
        <w:r w:rsidRPr="009B0448">
          <w:rPr>
            <w:rStyle w:val="Hyperlink"/>
            <w:rFonts w:ascii="Times New Roman" w:eastAsiaTheme="minorHAnsi" w:hAnsi="Times New Roman" w:cs="Times New Roman"/>
          </w:rPr>
          <w:t>http://www.zoo.cam.ac.uk/ioz/projects/bushmeat.htm</w:t>
        </w:r>
      </w:hyperlink>
      <w:r w:rsidRPr="009B0448">
        <w:rPr>
          <w:rFonts w:ascii="Times New Roman" w:eastAsiaTheme="minorHAnsi" w:hAnsi="Times New Roman" w:cs="Times New Roman"/>
          <w:color w:val="auto"/>
        </w:rPr>
        <w:t xml:space="preserve"> </w:t>
      </w:r>
    </w:p>
    <w:p w14:paraId="6E5F2975"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lang w:val="de-DE"/>
        </w:rPr>
      </w:pPr>
      <w:r w:rsidRPr="009B0448">
        <w:rPr>
          <w:rFonts w:ascii="Times New Roman" w:eastAsiaTheme="minorHAnsi" w:hAnsi="Times New Roman" w:cs="Times New Roman"/>
          <w:color w:val="auto"/>
        </w:rPr>
        <w:t xml:space="preserve">Craigie, I. D., Baillie, J. E. M., Balmford, A., Carbone, C., Collen, B., Green, R. E., &amp; Hutton, J. M. (2010). Large mammal population declines in Africa's protected areas. </w:t>
      </w:r>
      <w:r w:rsidRPr="009B0448">
        <w:rPr>
          <w:rFonts w:ascii="Times New Roman" w:eastAsiaTheme="minorHAnsi" w:hAnsi="Times New Roman" w:cs="Times New Roman"/>
          <w:i/>
          <w:color w:val="auto"/>
        </w:rPr>
        <w:t>Biological Conservation, 143</w:t>
      </w:r>
      <w:r w:rsidRPr="009B0448">
        <w:rPr>
          <w:rFonts w:ascii="Times New Roman" w:eastAsiaTheme="minorHAnsi" w:hAnsi="Times New Roman" w:cs="Times New Roman"/>
          <w:color w:val="auto"/>
        </w:rPr>
        <w:t xml:space="preserve">, 2221–2228. </w:t>
      </w:r>
      <w:hyperlink r:id="rId1170" w:history="1">
        <w:r w:rsidRPr="009B0448">
          <w:rPr>
            <w:rStyle w:val="Hyperlink"/>
            <w:rFonts w:ascii="Times New Roman" w:eastAsiaTheme="minorHAnsi" w:hAnsi="Times New Roman" w:cs="Times New Roman"/>
            <w:lang w:val="de-DE"/>
          </w:rPr>
          <w:t>https://doi.org/10.1016/j.biocon.2010.06.007</w:t>
        </w:r>
      </w:hyperlink>
    </w:p>
    <w:p w14:paraId="53C66AEF"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lang w:val="de-DE"/>
        </w:rPr>
        <w:t xml:space="preserve">Craine, J. M., Elmore, A., &amp; Angerer, J. P. (2017). </w:t>
      </w:r>
      <w:r w:rsidRPr="009B0448">
        <w:rPr>
          <w:rFonts w:ascii="Times New Roman" w:eastAsiaTheme="minorHAnsi" w:hAnsi="Times New Roman" w:cs="Times New Roman"/>
          <w:color w:val="auto"/>
        </w:rPr>
        <w:t xml:space="preserve">Long-term declines in dietary nutritional quality for North American cattle. </w:t>
      </w:r>
      <w:r w:rsidRPr="009B0448">
        <w:rPr>
          <w:rFonts w:ascii="Times New Roman" w:eastAsiaTheme="minorHAnsi" w:hAnsi="Times New Roman" w:cs="Times New Roman"/>
          <w:i/>
          <w:color w:val="auto"/>
        </w:rPr>
        <w:t>Environmental Research Letters, 12</w:t>
      </w:r>
      <w:r w:rsidRPr="009B0448">
        <w:rPr>
          <w:rFonts w:ascii="Times New Roman" w:eastAsiaTheme="minorHAnsi" w:hAnsi="Times New Roman" w:cs="Times New Roman"/>
          <w:color w:val="auto"/>
        </w:rPr>
        <w:t xml:space="preserve">(4), 044019. </w:t>
      </w:r>
      <w:hyperlink r:id="rId1171" w:history="1">
        <w:r w:rsidRPr="009B0448">
          <w:rPr>
            <w:rStyle w:val="Hyperlink"/>
            <w:rFonts w:ascii="Times New Roman" w:eastAsiaTheme="minorHAnsi" w:hAnsi="Times New Roman" w:cs="Times New Roman"/>
          </w:rPr>
          <w:t>https://doi.org/10.1088/1748-9326/aa67a4</w:t>
        </w:r>
      </w:hyperlink>
    </w:p>
    <w:p w14:paraId="7E012F5B"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Cramer, M. D., &amp; Hoffman, M. T. (2015). The consequences of precipitation seasonality for Mediterranean ecosystem vegetation of South Africa. </w:t>
      </w:r>
      <w:r w:rsidRPr="009B0448">
        <w:rPr>
          <w:rFonts w:ascii="Times New Roman" w:eastAsiaTheme="minorHAnsi" w:hAnsi="Times New Roman" w:cs="Times New Roman"/>
          <w:i/>
          <w:color w:val="auto"/>
        </w:rPr>
        <w:t>PLoS ONE, 10</w:t>
      </w:r>
      <w:r w:rsidRPr="009B0448">
        <w:rPr>
          <w:rFonts w:ascii="Times New Roman" w:eastAsiaTheme="minorHAnsi" w:hAnsi="Times New Roman" w:cs="Times New Roman"/>
          <w:color w:val="auto"/>
        </w:rPr>
        <w:t xml:space="preserve">(12):e0144512. </w:t>
      </w:r>
      <w:hyperlink r:id="rId1172" w:history="1">
        <w:r w:rsidRPr="009B0448">
          <w:rPr>
            <w:rStyle w:val="Hyperlink"/>
            <w:rFonts w:ascii="Times New Roman" w:eastAsiaTheme="minorHAnsi" w:hAnsi="Times New Roman" w:cs="Times New Roman"/>
          </w:rPr>
          <w:t>https://doi.org/10.1371/journal.pone.0144512</w:t>
        </w:r>
      </w:hyperlink>
    </w:p>
    <w:p w14:paraId="0E82C2C7"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lang w:val="de-DE"/>
        </w:rPr>
      </w:pPr>
      <w:r w:rsidRPr="009B0448">
        <w:rPr>
          <w:rFonts w:ascii="Times New Roman" w:eastAsiaTheme="minorHAnsi" w:hAnsi="Times New Roman" w:cs="Times New Roman"/>
          <w:color w:val="auto"/>
        </w:rPr>
        <w:t xml:space="preserve">Crutzen, P. J. (2006). The anthropocene. In E. Ehlers, &amp; T. Krafft (Eds.), </w:t>
      </w:r>
      <w:r w:rsidRPr="009B0448">
        <w:rPr>
          <w:rFonts w:ascii="Times New Roman" w:eastAsiaTheme="minorHAnsi" w:hAnsi="Times New Roman" w:cs="Times New Roman"/>
          <w:i/>
          <w:color w:val="auto"/>
        </w:rPr>
        <w:t>Earth system science in the anthropocene</w:t>
      </w:r>
      <w:r w:rsidRPr="009B0448">
        <w:rPr>
          <w:rFonts w:ascii="Times New Roman" w:eastAsiaTheme="minorHAnsi" w:hAnsi="Times New Roman" w:cs="Times New Roman"/>
          <w:color w:val="auto"/>
        </w:rPr>
        <w:t xml:space="preserve"> (pp. 13–18). </w:t>
      </w:r>
      <w:r w:rsidRPr="009B0448">
        <w:rPr>
          <w:rFonts w:ascii="Times New Roman" w:eastAsiaTheme="minorHAnsi" w:hAnsi="Times New Roman" w:cs="Times New Roman"/>
          <w:color w:val="auto"/>
          <w:lang w:val="de-DE"/>
        </w:rPr>
        <w:t xml:space="preserve">Berlin and Heidelberg: Springer. </w:t>
      </w:r>
      <w:hyperlink r:id="rId1173" w:history="1">
        <w:r w:rsidRPr="009B0448">
          <w:rPr>
            <w:rStyle w:val="Hyperlink"/>
            <w:rFonts w:ascii="Times New Roman" w:eastAsiaTheme="minorHAnsi" w:hAnsi="Times New Roman" w:cs="Times New Roman"/>
            <w:lang w:val="de-DE"/>
          </w:rPr>
          <w:t>https://doi.org/10.1007/b137853</w:t>
        </w:r>
      </w:hyperlink>
      <w:r w:rsidRPr="009B0448">
        <w:rPr>
          <w:rFonts w:ascii="Times New Roman" w:eastAsiaTheme="minorHAnsi" w:hAnsi="Times New Roman" w:cs="Times New Roman"/>
          <w:color w:val="auto"/>
          <w:lang w:val="de-DE"/>
        </w:rPr>
        <w:t xml:space="preserve"> </w:t>
      </w:r>
    </w:p>
    <w:p w14:paraId="49770490"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lang w:val="de-DE"/>
        </w:rPr>
        <w:t xml:space="preserve">Daszak, P., Cunningham, A. A., &amp; Hyatt, A. D. (2000). </w:t>
      </w:r>
      <w:r w:rsidRPr="009B0448">
        <w:rPr>
          <w:rFonts w:ascii="Times New Roman" w:eastAsiaTheme="minorHAnsi" w:hAnsi="Times New Roman" w:cs="Times New Roman"/>
          <w:color w:val="auto"/>
        </w:rPr>
        <w:t xml:space="preserve">Emerging infectious diseases of wildlife–threats to biodiversity and human health. </w:t>
      </w:r>
      <w:r w:rsidRPr="009B0448">
        <w:rPr>
          <w:rFonts w:ascii="Times New Roman" w:eastAsiaTheme="minorHAnsi" w:hAnsi="Times New Roman" w:cs="Times New Roman"/>
          <w:i/>
          <w:color w:val="auto"/>
        </w:rPr>
        <w:t>Science, 287</w:t>
      </w:r>
      <w:r w:rsidRPr="009B0448">
        <w:rPr>
          <w:rFonts w:ascii="Times New Roman" w:eastAsiaTheme="minorHAnsi" w:hAnsi="Times New Roman" w:cs="Times New Roman"/>
          <w:color w:val="auto"/>
        </w:rPr>
        <w:t xml:space="preserve">(5452), 443–449. </w:t>
      </w:r>
      <w:hyperlink r:id="rId1174" w:history="1">
        <w:r w:rsidRPr="009B0448">
          <w:rPr>
            <w:rStyle w:val="Hyperlink"/>
            <w:rFonts w:ascii="Times New Roman" w:eastAsiaTheme="minorHAnsi" w:hAnsi="Times New Roman" w:cs="Times New Roman"/>
          </w:rPr>
          <w:t>https://doi.org/10.1126/science.287.5452.443</w:t>
        </w:r>
      </w:hyperlink>
      <w:r w:rsidRPr="009B0448">
        <w:rPr>
          <w:rFonts w:ascii="Times New Roman" w:eastAsiaTheme="minorHAnsi" w:hAnsi="Times New Roman" w:cs="Times New Roman"/>
          <w:color w:val="auto"/>
        </w:rPr>
        <w:t xml:space="preserve"> </w:t>
      </w:r>
    </w:p>
    <w:p w14:paraId="75F6F1F5"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Davey, M. K., Brookshaw, A., &amp; Ineson, S. (2014). The probability of the impact of ENSO on precipitation and near-surface temperature. </w:t>
      </w:r>
      <w:r w:rsidRPr="009B0448">
        <w:rPr>
          <w:rFonts w:ascii="Times New Roman" w:eastAsiaTheme="minorHAnsi" w:hAnsi="Times New Roman" w:cs="Times New Roman"/>
          <w:i/>
          <w:color w:val="auto"/>
        </w:rPr>
        <w:t xml:space="preserve">Climate Risk Management, </w:t>
      </w:r>
      <w:r w:rsidRPr="009B0448">
        <w:rPr>
          <w:rFonts w:ascii="Times New Roman" w:eastAsiaTheme="minorHAnsi" w:hAnsi="Times New Roman" w:cs="Times New Roman"/>
          <w:color w:val="auto"/>
        </w:rPr>
        <w:t xml:space="preserve">1, 5–24. </w:t>
      </w:r>
      <w:hyperlink r:id="rId1175" w:history="1">
        <w:r w:rsidRPr="009B0448">
          <w:rPr>
            <w:rStyle w:val="Hyperlink"/>
            <w:rFonts w:ascii="Times New Roman" w:eastAsiaTheme="minorHAnsi" w:hAnsi="Times New Roman" w:cs="Times New Roman"/>
          </w:rPr>
          <w:t>https://doi.org/10.1016/j.crm.2013.12.002</w:t>
        </w:r>
      </w:hyperlink>
    </w:p>
    <w:p w14:paraId="1DAD488E"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Davies, T. C., &amp; Osano, O. (2005). Sustainable mineral development: Case study from Kenya. </w:t>
      </w:r>
      <w:r w:rsidRPr="009B0448">
        <w:rPr>
          <w:rFonts w:ascii="Times New Roman" w:eastAsiaTheme="minorHAnsi" w:hAnsi="Times New Roman" w:cs="Times New Roman"/>
          <w:i/>
          <w:color w:val="auto"/>
        </w:rPr>
        <w:t>Geological Society, London, Special Publications, 250</w:t>
      </w:r>
      <w:r w:rsidRPr="009B0448">
        <w:rPr>
          <w:rFonts w:ascii="Times New Roman" w:eastAsiaTheme="minorHAnsi" w:hAnsi="Times New Roman" w:cs="Times New Roman"/>
          <w:color w:val="auto"/>
        </w:rPr>
        <w:t xml:space="preserve">, 87–93. </w:t>
      </w:r>
      <w:hyperlink r:id="rId1176" w:history="1">
        <w:r w:rsidRPr="009B0448">
          <w:rPr>
            <w:rStyle w:val="Hyperlink"/>
            <w:rFonts w:ascii="Times New Roman" w:eastAsiaTheme="minorHAnsi" w:hAnsi="Times New Roman" w:cs="Times New Roman"/>
          </w:rPr>
          <w:t>https://doi.org/10.1144/GSL.SP.2005.250.01.09</w:t>
        </w:r>
      </w:hyperlink>
    </w:p>
    <w:p w14:paraId="1BC52F81"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De Klerk, J. N. (2004). </w:t>
      </w:r>
      <w:r w:rsidRPr="009B0448">
        <w:rPr>
          <w:rFonts w:ascii="Times New Roman" w:eastAsiaTheme="minorHAnsi" w:hAnsi="Times New Roman" w:cs="Times New Roman"/>
          <w:i/>
          <w:color w:val="auto"/>
        </w:rPr>
        <w:t>Bush encroachment in Namibia. Report onpPhase 1 of the bush encroachment, monitoring and management project</w:t>
      </w:r>
      <w:r w:rsidRPr="009B0448">
        <w:rPr>
          <w:rFonts w:ascii="Times New Roman" w:eastAsiaTheme="minorHAnsi" w:hAnsi="Times New Roman" w:cs="Times New Roman"/>
          <w:color w:val="auto"/>
        </w:rPr>
        <w:t xml:space="preserve">. Windhoek, Namibia: Ministry of Environment and Tourism. Retrieved from </w:t>
      </w:r>
      <w:hyperlink r:id="rId1177" w:history="1">
        <w:r w:rsidRPr="009B0448">
          <w:rPr>
            <w:rStyle w:val="Hyperlink"/>
            <w:rFonts w:ascii="Times New Roman" w:eastAsiaTheme="minorHAnsi" w:hAnsi="Times New Roman" w:cs="Times New Roman"/>
          </w:rPr>
          <w:t>http://namibia.leadr.msu.edu/items/show/356</w:t>
        </w:r>
      </w:hyperlink>
      <w:r w:rsidRPr="009B0448">
        <w:rPr>
          <w:rFonts w:ascii="Times New Roman" w:eastAsiaTheme="minorHAnsi" w:hAnsi="Times New Roman" w:cs="Times New Roman"/>
          <w:color w:val="auto"/>
        </w:rPr>
        <w:t xml:space="preserve"> </w:t>
      </w:r>
    </w:p>
    <w:p w14:paraId="76BC1903"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de Sherbinin, A., VanWey, L. K., McSweeney, K., Aggarwal, R., Barbieri, A., Henry, S., Hunter, L. M., Twine, W., &amp; Walker, R. (2008). Rural household demographics, livelihoods and the environment. </w:t>
      </w:r>
      <w:r w:rsidRPr="009B0448">
        <w:rPr>
          <w:rFonts w:ascii="Times New Roman" w:eastAsiaTheme="minorHAnsi" w:hAnsi="Times New Roman" w:cs="Times New Roman"/>
          <w:i/>
          <w:color w:val="auto"/>
        </w:rPr>
        <w:t>Global Environmental Change-Human and Policy Dimensions, 18</w:t>
      </w:r>
      <w:r w:rsidRPr="009B0448">
        <w:rPr>
          <w:rFonts w:ascii="Times New Roman" w:eastAsiaTheme="minorHAnsi" w:hAnsi="Times New Roman" w:cs="Times New Roman"/>
          <w:color w:val="auto"/>
        </w:rPr>
        <w:t xml:space="preserve">(1), 38–53. </w:t>
      </w:r>
      <w:hyperlink r:id="rId1178" w:history="1">
        <w:r w:rsidRPr="009B0448">
          <w:rPr>
            <w:rStyle w:val="Hyperlink"/>
            <w:rFonts w:ascii="Times New Roman" w:eastAsiaTheme="minorHAnsi" w:hAnsi="Times New Roman" w:cs="Times New Roman"/>
          </w:rPr>
          <w:t>https://doi.org/10.1016/j.gloenvcha.2007.05.005</w:t>
        </w:r>
      </w:hyperlink>
    </w:p>
    <w:p w14:paraId="29188E4A"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de Wasseige, C., Flynn, J., Louppe, D., &amp; Hiol, F. (Eds.). (2013). </w:t>
      </w:r>
      <w:r w:rsidRPr="009B0448">
        <w:rPr>
          <w:rFonts w:ascii="Times New Roman" w:eastAsiaTheme="minorHAnsi" w:hAnsi="Times New Roman" w:cs="Times New Roman"/>
          <w:i/>
          <w:color w:val="auto"/>
        </w:rPr>
        <w:t>The forests of the Congo Basin-state of the fore</w:t>
      </w:r>
      <w:r w:rsidRPr="009B0448">
        <w:rPr>
          <w:rFonts w:ascii="Times New Roman" w:eastAsiaTheme="minorHAnsi" w:hAnsi="Times New Roman" w:cs="Times New Roman"/>
          <w:color w:val="auto"/>
        </w:rPr>
        <w:t xml:space="preserve">st. Belgium: Weyrich. Retrieved from </w:t>
      </w:r>
      <w:hyperlink r:id="rId1179" w:history="1">
        <w:r w:rsidRPr="009B0448">
          <w:rPr>
            <w:rStyle w:val="Hyperlink"/>
            <w:rFonts w:ascii="Times New Roman" w:eastAsiaTheme="minorHAnsi" w:hAnsi="Times New Roman" w:cs="Times New Roman"/>
          </w:rPr>
          <w:t>https://www.observatoire-comifac.net/docs/edf2013/EN/EDF2013_EN.pdf</w:t>
        </w:r>
      </w:hyperlink>
      <w:r w:rsidRPr="009B0448">
        <w:rPr>
          <w:rFonts w:ascii="Times New Roman" w:eastAsiaTheme="minorHAnsi" w:hAnsi="Times New Roman" w:cs="Times New Roman"/>
          <w:color w:val="auto"/>
        </w:rPr>
        <w:t xml:space="preserve"> </w:t>
      </w:r>
    </w:p>
    <w:p w14:paraId="2E176CA6"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Deguines, N., Jono, C., Baude, M., Henry, M., Julliard, R., &amp; Fontaine, C. (2010). Large-scale trade-off between agricultural intensification and crop pollination services. </w:t>
      </w:r>
      <w:r w:rsidRPr="009B0448">
        <w:rPr>
          <w:rFonts w:ascii="Times New Roman" w:eastAsiaTheme="minorHAnsi" w:hAnsi="Times New Roman" w:cs="Times New Roman"/>
          <w:i/>
          <w:color w:val="auto"/>
        </w:rPr>
        <w:t>Frontiers in Ecology and the Environment, 12</w:t>
      </w:r>
      <w:r w:rsidRPr="009B0448">
        <w:rPr>
          <w:rFonts w:ascii="Times New Roman" w:eastAsiaTheme="minorHAnsi" w:hAnsi="Times New Roman" w:cs="Times New Roman"/>
          <w:color w:val="auto"/>
        </w:rPr>
        <w:t xml:space="preserve">(4), 212–217. </w:t>
      </w:r>
      <w:hyperlink r:id="rId1180" w:history="1">
        <w:r w:rsidRPr="009B0448">
          <w:rPr>
            <w:rStyle w:val="Hyperlink"/>
            <w:rFonts w:ascii="Times New Roman" w:eastAsiaTheme="minorHAnsi" w:hAnsi="Times New Roman" w:cs="Times New Roman"/>
          </w:rPr>
          <w:t>https://doi.org/10.1890/130054</w:t>
        </w:r>
      </w:hyperlink>
      <w:r w:rsidRPr="009B0448">
        <w:rPr>
          <w:rFonts w:ascii="Times New Roman" w:eastAsiaTheme="minorHAnsi" w:hAnsi="Times New Roman" w:cs="Times New Roman"/>
          <w:color w:val="auto"/>
        </w:rPr>
        <w:t xml:space="preserve"> </w:t>
      </w:r>
    </w:p>
    <w:p w14:paraId="53AFE5E2"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Deininger, K., Byerlee, D., Lindsay, J., Norton, A., Selod, H., &amp; Stickler, M. (2011). </w:t>
      </w:r>
      <w:r w:rsidRPr="009B0448">
        <w:rPr>
          <w:rFonts w:ascii="Times New Roman" w:eastAsiaTheme="minorHAnsi" w:hAnsi="Times New Roman" w:cs="Times New Roman"/>
          <w:i/>
          <w:color w:val="auto"/>
        </w:rPr>
        <w:t>Rising global interest in farmland: Can it yield sustainable and equitable benefits?</w:t>
      </w:r>
      <w:r w:rsidRPr="009B0448">
        <w:rPr>
          <w:rFonts w:ascii="Times New Roman" w:eastAsiaTheme="minorHAnsi" w:hAnsi="Times New Roman" w:cs="Times New Roman"/>
          <w:color w:val="auto"/>
        </w:rPr>
        <w:t xml:space="preserve"> Washington, DC: World Bank. Retrieved from </w:t>
      </w:r>
      <w:hyperlink r:id="rId1181" w:history="1">
        <w:r w:rsidRPr="009B0448">
          <w:rPr>
            <w:rStyle w:val="Hyperlink"/>
            <w:rFonts w:ascii="Times New Roman" w:eastAsiaTheme="minorHAnsi" w:hAnsi="Times New Roman" w:cs="Times New Roman"/>
          </w:rPr>
          <w:t>https://siteresources.worldbank.org/DEC/Resources/Rising-Global-Interest-in-Farmland.pdf</w:t>
        </w:r>
      </w:hyperlink>
      <w:r w:rsidRPr="009B0448">
        <w:rPr>
          <w:rFonts w:ascii="Times New Roman" w:eastAsiaTheme="minorHAnsi" w:hAnsi="Times New Roman" w:cs="Times New Roman"/>
          <w:color w:val="auto"/>
        </w:rPr>
        <w:t xml:space="preserve"> </w:t>
      </w:r>
    </w:p>
    <w:p w14:paraId="1E12F72E"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Delfosse, T., (2005). Acid neutralization and sulphur retention in s-impacted andosols. </w:t>
      </w:r>
      <w:r w:rsidRPr="009B0448">
        <w:rPr>
          <w:rFonts w:ascii="Times New Roman" w:eastAsiaTheme="minorHAnsi" w:hAnsi="Times New Roman" w:cs="Times New Roman"/>
          <w:i/>
          <w:color w:val="auto"/>
        </w:rPr>
        <w:t xml:space="preserve">European Journal of Soil Science, </w:t>
      </w:r>
      <w:r w:rsidRPr="009B0448">
        <w:rPr>
          <w:rFonts w:ascii="Times New Roman" w:eastAsiaTheme="minorHAnsi" w:hAnsi="Times New Roman" w:cs="Times New Roman"/>
          <w:color w:val="auto"/>
        </w:rPr>
        <w:t xml:space="preserve">56, 127–133. Retrieved from </w:t>
      </w:r>
      <w:hyperlink r:id="rId1182" w:history="1">
        <w:r w:rsidRPr="009B0448">
          <w:rPr>
            <w:rStyle w:val="Hyperlink"/>
            <w:rFonts w:ascii="Times New Roman" w:eastAsiaTheme="minorHAnsi" w:hAnsi="Times New Roman" w:cs="Times New Roman"/>
          </w:rPr>
          <w:t>https://dial.uclouvain.be/pr/boreal/fr/object/boreal:4593/datastream/PDF_09/view</w:t>
        </w:r>
      </w:hyperlink>
      <w:r w:rsidRPr="009B0448">
        <w:rPr>
          <w:rFonts w:ascii="Times New Roman" w:eastAsiaTheme="minorHAnsi" w:hAnsi="Times New Roman" w:cs="Times New Roman"/>
          <w:color w:val="auto"/>
        </w:rPr>
        <w:t xml:space="preserve"> </w:t>
      </w:r>
    </w:p>
    <w:p w14:paraId="58A15EA6"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Department of Water Affairs in South Africa. (2010). </w:t>
      </w:r>
      <w:r w:rsidRPr="009B0448">
        <w:rPr>
          <w:rFonts w:ascii="Times New Roman" w:eastAsiaTheme="minorHAnsi" w:hAnsi="Times New Roman" w:cs="Times New Roman"/>
          <w:i/>
          <w:color w:val="auto"/>
        </w:rPr>
        <w:t>Welcome to the working for water webpage</w:t>
      </w:r>
      <w:r w:rsidRPr="009B0448">
        <w:rPr>
          <w:rFonts w:ascii="Times New Roman" w:eastAsiaTheme="minorHAnsi" w:hAnsi="Times New Roman" w:cs="Times New Roman"/>
          <w:color w:val="auto"/>
        </w:rPr>
        <w:t xml:space="preserve">. Retrieved from </w:t>
      </w:r>
      <w:hyperlink r:id="rId1183" w:history="1">
        <w:r w:rsidRPr="009B0448">
          <w:rPr>
            <w:rStyle w:val="Hyperlink"/>
            <w:rFonts w:ascii="Times New Roman" w:eastAsiaTheme="minorHAnsi" w:hAnsi="Times New Roman" w:cs="Times New Roman"/>
          </w:rPr>
          <w:t>http://www.dwaf.gov.za/wfw/default.aspx</w:t>
        </w:r>
      </w:hyperlink>
      <w:r w:rsidRPr="009B0448">
        <w:rPr>
          <w:rFonts w:ascii="Times New Roman" w:eastAsiaTheme="minorHAnsi" w:hAnsi="Times New Roman" w:cs="Times New Roman"/>
          <w:color w:val="auto"/>
        </w:rPr>
        <w:t xml:space="preserve"> </w:t>
      </w:r>
    </w:p>
    <w:p w14:paraId="41B8F653"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Descheemaeker, K., Ronner, E., Ollenburger, M., Franke, A. C., Klapwijk, C. J., Falconnier, G. N., Wichern, J., &amp; Giller, K. E. (2016). Which options fit best? Operationalizing the socio-ecological niche concept. </w:t>
      </w:r>
      <w:r w:rsidRPr="009B0448">
        <w:rPr>
          <w:rFonts w:ascii="Times New Roman" w:eastAsiaTheme="minorHAnsi" w:hAnsi="Times New Roman" w:cs="Times New Roman"/>
          <w:i/>
          <w:color w:val="auto"/>
        </w:rPr>
        <w:t>Experimental Agriculture</w:t>
      </w:r>
      <w:r w:rsidRPr="009B0448">
        <w:rPr>
          <w:rFonts w:ascii="Times New Roman" w:eastAsiaTheme="minorHAnsi" w:hAnsi="Times New Roman" w:cs="Times New Roman"/>
          <w:color w:val="auto"/>
        </w:rPr>
        <w:t xml:space="preserve">, 1–22. </w:t>
      </w:r>
      <w:hyperlink r:id="rId1184" w:history="1">
        <w:r w:rsidRPr="009B0448">
          <w:rPr>
            <w:rStyle w:val="Hyperlink"/>
            <w:rFonts w:ascii="Times New Roman" w:eastAsiaTheme="minorHAnsi" w:hAnsi="Times New Roman" w:cs="Times New Roman"/>
          </w:rPr>
          <w:t>https://doi.org/10.1017/S001447971600048X</w:t>
        </w:r>
      </w:hyperlink>
    </w:p>
    <w:p w14:paraId="6FCE96D5"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lang w:val="de-DE"/>
        </w:rPr>
        <w:t xml:space="preserve">Díaz, R. J., &amp; Rosenberg, R. (2008). </w:t>
      </w:r>
      <w:r w:rsidRPr="009B0448">
        <w:rPr>
          <w:rFonts w:ascii="Times New Roman" w:eastAsiaTheme="minorHAnsi" w:hAnsi="Times New Roman" w:cs="Times New Roman"/>
          <w:color w:val="auto"/>
        </w:rPr>
        <w:t xml:space="preserve">Spreading dead zones and consequences for marine ecosystems. </w:t>
      </w:r>
      <w:r w:rsidRPr="009B0448">
        <w:rPr>
          <w:rFonts w:ascii="Times New Roman" w:eastAsiaTheme="minorHAnsi" w:hAnsi="Times New Roman" w:cs="Times New Roman"/>
          <w:i/>
          <w:color w:val="auto"/>
        </w:rPr>
        <w:t>Science, 32</w:t>
      </w:r>
      <w:r w:rsidRPr="009B0448">
        <w:rPr>
          <w:rFonts w:ascii="Times New Roman" w:eastAsiaTheme="minorHAnsi" w:hAnsi="Times New Roman" w:cs="Times New Roman"/>
          <w:color w:val="auto"/>
        </w:rPr>
        <w:t xml:space="preserve">1, 926–929. </w:t>
      </w:r>
      <w:hyperlink r:id="rId1185" w:history="1">
        <w:r w:rsidRPr="009B0448">
          <w:rPr>
            <w:rStyle w:val="Hyperlink"/>
            <w:rFonts w:ascii="Times New Roman" w:eastAsiaTheme="minorHAnsi" w:hAnsi="Times New Roman" w:cs="Times New Roman"/>
          </w:rPr>
          <w:t>https://doi.org/10.1126/science.1156401</w:t>
        </w:r>
      </w:hyperlink>
      <w:r w:rsidRPr="009B0448">
        <w:rPr>
          <w:rFonts w:ascii="Times New Roman" w:eastAsiaTheme="minorHAnsi" w:hAnsi="Times New Roman" w:cs="Times New Roman"/>
          <w:color w:val="auto"/>
        </w:rPr>
        <w:t xml:space="preserve"> </w:t>
      </w:r>
    </w:p>
    <w:p w14:paraId="637D4A8F"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lang w:val="de-DE"/>
        </w:rPr>
      </w:pPr>
      <w:r w:rsidRPr="009B0448">
        <w:rPr>
          <w:rFonts w:ascii="Times New Roman" w:eastAsiaTheme="minorHAnsi" w:hAnsi="Times New Roman" w:cs="Times New Roman"/>
          <w:color w:val="auto"/>
        </w:rPr>
        <w:t xml:space="preserve">Díaz, S., Demissew, S., Carabias, J., Joly, C., Lonsdale, M., Ash, N., Larigauderie, A., Adhikari, J. R., Arico, S., Baldi, A., Baetuska, A., Baste, I. A., Bilgin, A., Brondizio, E., Chan, K. M. A., Figueroa, V. E., Duraiappah, A., Fischer, M., Hill, R., Koetz, T., Leadley, P., Lyver, P., Mace, G. M., Martin-Lopez, B., Okumura, M., Pacheco, D., Pascual, U., Perez, E. S., Reyers, B., Roth, E., Saito, O., Scholes, R. J., Sharmer, N., Tallis, H., Thaman, R., Watson, R., Yahara, T., Hamid, Z. A., Akosim, C., Al–Hafedh, Y., Allaherdiyev, R., Amankwah, E., Asah, S. T., Asfaw, Z., Bartus, G., Brooks, L. A., Cailaux, J., Dalle, G., Darmaedi, D., Drivers, A., Erpul, G., Escobar-Eyzaguirre, P., Failier, P., Fouda, A. M. M., Fu, D., Gundimeda, H., Hashimoto, S., Homer, F., Lavorel, S., Lichtenstein, G., Mala, W. A., Mandivenyi, W., Matczak, P., Mbizvo, C., Mehrdadi, M., Metzger, J. P., Mikissa, J. B., Moller, H., Mooney, H. A., Mumby, P., Nagendra, H., Nesshover, C., Oteng–Yeboah, A. A., Pataki, G., Roue, M., Rubis, J., Schultz, M., Smith, P., Sumaila, R., Takeuchi, K., Thomas, S., Verma, M., Yeo-Chang, Y., &amp; Zlatanova, D. (2015). The IPBES conceptual framework-connecting nature to people. </w:t>
      </w:r>
      <w:r w:rsidRPr="009B0448">
        <w:rPr>
          <w:rFonts w:ascii="Times New Roman" w:eastAsiaTheme="minorHAnsi" w:hAnsi="Times New Roman" w:cs="Times New Roman"/>
          <w:i/>
          <w:color w:val="auto"/>
        </w:rPr>
        <w:t>Current Opinion in Environmental Sustainability, 14,</w:t>
      </w:r>
      <w:r w:rsidRPr="009B0448">
        <w:rPr>
          <w:rFonts w:ascii="Times New Roman" w:eastAsiaTheme="minorHAnsi" w:hAnsi="Times New Roman" w:cs="Times New Roman"/>
          <w:color w:val="auto"/>
        </w:rPr>
        <w:t xml:space="preserve"> 1–16. </w:t>
      </w:r>
      <w:hyperlink r:id="rId1186" w:history="1">
        <w:r w:rsidRPr="009B0448">
          <w:rPr>
            <w:rStyle w:val="Hyperlink"/>
            <w:rFonts w:ascii="Times New Roman" w:eastAsiaTheme="minorHAnsi" w:hAnsi="Times New Roman" w:cs="Times New Roman"/>
            <w:lang w:val="de-DE"/>
          </w:rPr>
          <w:t>https://doi.org/10.1016/j.cosust.2014.11.002</w:t>
        </w:r>
      </w:hyperlink>
    </w:p>
    <w:p w14:paraId="58A2406A"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lang w:val="de-DE"/>
        </w:rPr>
        <w:t xml:space="preserve">Dietz, T., Eugene A. R., &amp; Richard, Y. (2007). </w:t>
      </w:r>
      <w:r w:rsidRPr="009B0448">
        <w:rPr>
          <w:rFonts w:ascii="Times New Roman" w:eastAsiaTheme="minorHAnsi" w:hAnsi="Times New Roman" w:cs="Times New Roman"/>
          <w:color w:val="auto"/>
        </w:rPr>
        <w:t xml:space="preserve">Driving the human ecological footprint. </w:t>
      </w:r>
      <w:r w:rsidRPr="009B0448">
        <w:rPr>
          <w:rFonts w:ascii="Times New Roman" w:eastAsiaTheme="minorHAnsi" w:hAnsi="Times New Roman" w:cs="Times New Roman"/>
          <w:i/>
          <w:color w:val="auto"/>
        </w:rPr>
        <w:t>Frontiers in Ecology and the Environment, 5</w:t>
      </w:r>
      <w:r w:rsidRPr="009B0448">
        <w:rPr>
          <w:rFonts w:ascii="Times New Roman" w:eastAsiaTheme="minorHAnsi" w:hAnsi="Times New Roman" w:cs="Times New Roman"/>
          <w:color w:val="auto"/>
        </w:rPr>
        <w:t xml:space="preserve">(1), 13–18. </w:t>
      </w:r>
      <w:hyperlink r:id="rId1187" w:history="1">
        <w:r w:rsidRPr="009B0448">
          <w:rPr>
            <w:rStyle w:val="Hyperlink"/>
            <w:rFonts w:ascii="Times New Roman" w:eastAsiaTheme="minorHAnsi" w:hAnsi="Times New Roman" w:cs="Times New Roman"/>
          </w:rPr>
          <w:t>https://doi.org/10.1890/15409295(2007)5[13:DTHEF]2.0.CO;2</w:t>
        </w:r>
      </w:hyperlink>
      <w:r w:rsidRPr="009B0448">
        <w:rPr>
          <w:rFonts w:ascii="Times New Roman" w:eastAsiaTheme="minorHAnsi" w:hAnsi="Times New Roman" w:cs="Times New Roman"/>
          <w:color w:val="auto"/>
        </w:rPr>
        <w:t xml:space="preserve"> </w:t>
      </w:r>
    </w:p>
    <w:p w14:paraId="638E14FF"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Diez, J. M., D'Antonio, C. M., Dukes, J. S., Grosholz, E. D., Olden, J, D., Sorte, J. B. C., Blumenthal, D. M., Bradley, B. A., Early, R., Ibáñez, I., Jones, S. J., Lawler, J. J., &amp; Miller, L. P. (2012). Will extreme climatic events facilitate biological invasions? </w:t>
      </w:r>
      <w:r w:rsidRPr="009B0448">
        <w:rPr>
          <w:rFonts w:ascii="Times New Roman" w:eastAsiaTheme="minorHAnsi" w:hAnsi="Times New Roman" w:cs="Times New Roman"/>
          <w:i/>
          <w:color w:val="auto"/>
        </w:rPr>
        <w:t>Frontiers in Ecology and the Environment, 10,</w:t>
      </w:r>
      <w:r w:rsidRPr="009B0448">
        <w:rPr>
          <w:rFonts w:ascii="Times New Roman" w:eastAsiaTheme="minorHAnsi" w:hAnsi="Times New Roman" w:cs="Times New Roman"/>
          <w:color w:val="auto"/>
        </w:rPr>
        <w:t xml:space="preserve"> 249–257. </w:t>
      </w:r>
      <w:hyperlink r:id="rId1188" w:history="1">
        <w:r w:rsidRPr="009B0448">
          <w:rPr>
            <w:rStyle w:val="Hyperlink"/>
            <w:rFonts w:ascii="Times New Roman" w:eastAsiaTheme="minorHAnsi" w:hAnsi="Times New Roman" w:cs="Times New Roman"/>
          </w:rPr>
          <w:t>https://doi.org/10.1890/110137</w:t>
        </w:r>
      </w:hyperlink>
      <w:r w:rsidRPr="009B0448">
        <w:rPr>
          <w:rFonts w:ascii="Times New Roman" w:eastAsiaTheme="minorHAnsi" w:hAnsi="Times New Roman" w:cs="Times New Roman"/>
          <w:color w:val="auto"/>
        </w:rPr>
        <w:t xml:space="preserve"> </w:t>
      </w:r>
    </w:p>
    <w:p w14:paraId="5CC86974"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Diop, S., Arthurton, R., Scheren, P., Kitheka, J., Koranteng, K., &amp; Payet, R. (2011). The coastal and marine environment of Western and Eastern Africa: Challenges to sustainable management and socio-economic development. In E. Wolanski, &amp; D. S. McLusky (Eds.), </w:t>
      </w:r>
      <w:r w:rsidRPr="009B0448">
        <w:rPr>
          <w:rFonts w:ascii="Times New Roman" w:eastAsiaTheme="minorHAnsi" w:hAnsi="Times New Roman" w:cs="Times New Roman"/>
          <w:i/>
          <w:color w:val="auto"/>
        </w:rPr>
        <w:t>Treatise on estuatine and coastal sciences</w:t>
      </w:r>
      <w:r w:rsidRPr="009B0448">
        <w:rPr>
          <w:rFonts w:ascii="Times New Roman" w:eastAsiaTheme="minorHAnsi" w:hAnsi="Times New Roman" w:cs="Times New Roman"/>
          <w:color w:val="auto"/>
        </w:rPr>
        <w:t xml:space="preserve"> (pp. 315–335). Waltham, USA: Academic Press.</w:t>
      </w:r>
    </w:p>
    <w:p w14:paraId="0F8279C9"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Dixon, R. K., Smith, J., &amp; Guill, S. (2003). Life on the edge: Vulnerability and adaptation of African ecosystems to global climate change. </w:t>
      </w:r>
      <w:r w:rsidRPr="009B0448">
        <w:rPr>
          <w:rFonts w:ascii="Times New Roman" w:eastAsiaTheme="minorHAnsi" w:hAnsi="Times New Roman" w:cs="Times New Roman"/>
          <w:i/>
          <w:color w:val="auto"/>
        </w:rPr>
        <w:t>Mitigation and Adaptation Strategies for Global Change, 8,</w:t>
      </w:r>
      <w:r w:rsidRPr="009B0448">
        <w:rPr>
          <w:rFonts w:ascii="Times New Roman" w:eastAsiaTheme="minorHAnsi" w:hAnsi="Times New Roman" w:cs="Times New Roman"/>
          <w:color w:val="auto"/>
        </w:rPr>
        <w:t xml:space="preserve"> 93–113. </w:t>
      </w:r>
      <w:hyperlink r:id="rId1189" w:history="1">
        <w:r w:rsidRPr="009B0448">
          <w:rPr>
            <w:rStyle w:val="Hyperlink"/>
            <w:rFonts w:ascii="Times New Roman" w:eastAsiaTheme="minorHAnsi" w:hAnsi="Times New Roman" w:cs="Times New Roman"/>
          </w:rPr>
          <w:t>https://doi.org/10.1023/A:1026001626076</w:t>
        </w:r>
      </w:hyperlink>
      <w:r w:rsidRPr="009B0448">
        <w:rPr>
          <w:rFonts w:ascii="Times New Roman" w:eastAsiaTheme="minorHAnsi" w:hAnsi="Times New Roman" w:cs="Times New Roman"/>
          <w:color w:val="auto"/>
        </w:rPr>
        <w:t xml:space="preserve"> </w:t>
      </w:r>
    </w:p>
    <w:p w14:paraId="1B86C40D"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Djama, T. (1992). </w:t>
      </w:r>
      <w:r w:rsidRPr="009B0448">
        <w:rPr>
          <w:rFonts w:ascii="Times New Roman" w:eastAsiaTheme="minorHAnsi" w:hAnsi="Times New Roman" w:cs="Times New Roman"/>
          <w:i/>
          <w:color w:val="auto"/>
        </w:rPr>
        <w:t>Conflicts in Coastal Fisheries in Cameroon</w:t>
      </w:r>
      <w:r w:rsidRPr="009B0448">
        <w:rPr>
          <w:rFonts w:ascii="Times New Roman" w:eastAsiaTheme="minorHAnsi" w:hAnsi="Times New Roman" w:cs="Times New Roman"/>
          <w:color w:val="auto"/>
        </w:rPr>
        <w:t xml:space="preserve">. Rome, Italy: FAO. </w:t>
      </w:r>
    </w:p>
    <w:p w14:paraId="1C1BEAC3"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Donaldson, C. H. (1980). </w:t>
      </w:r>
      <w:r w:rsidRPr="009B0448">
        <w:rPr>
          <w:rFonts w:ascii="Times New Roman" w:eastAsiaTheme="minorHAnsi" w:hAnsi="Times New Roman" w:cs="Times New Roman"/>
          <w:i/>
          <w:color w:val="auto"/>
        </w:rPr>
        <w:t>The extent of bush enchroachment in the bushveld areas of the Transvaal region. Proceedings work session-bush enchroachment and thickening</w:t>
      </w:r>
      <w:r w:rsidRPr="009B0448">
        <w:rPr>
          <w:rFonts w:ascii="Times New Roman" w:eastAsiaTheme="minorHAnsi" w:hAnsi="Times New Roman" w:cs="Times New Roman"/>
          <w:color w:val="auto"/>
        </w:rPr>
        <w:t>. Pretoria, South Africa: Department of Agriculture and Fisheries.</w:t>
      </w:r>
    </w:p>
    <w:p w14:paraId="7609EB9D"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Ducrotoy, M. J., Bertu, W. J., Matope, G., Cadmus, S., Conde-Álvarez, R., Gusi, A. M., Welburn, S., Ocholi, R., Blasco, J. M., &amp; Moriyón, I. (2015). Brucellosis in sub-Saharan Africa: Current challenges for management, diagnosis and control. </w:t>
      </w:r>
      <w:r w:rsidRPr="009B0448">
        <w:rPr>
          <w:rFonts w:ascii="Times New Roman" w:eastAsiaTheme="minorHAnsi" w:hAnsi="Times New Roman" w:cs="Times New Roman"/>
          <w:i/>
          <w:color w:val="auto"/>
        </w:rPr>
        <w:t>Acta Tropica, 165</w:t>
      </w:r>
      <w:r w:rsidRPr="009B0448">
        <w:rPr>
          <w:rFonts w:ascii="Times New Roman" w:eastAsiaTheme="minorHAnsi" w:hAnsi="Times New Roman" w:cs="Times New Roman"/>
          <w:color w:val="auto"/>
        </w:rPr>
        <w:t xml:space="preserve">, 179–193. </w:t>
      </w:r>
      <w:hyperlink r:id="rId1190" w:history="1">
        <w:r w:rsidRPr="009B0448">
          <w:rPr>
            <w:rStyle w:val="Hyperlink"/>
            <w:rFonts w:ascii="Times New Roman" w:eastAsiaTheme="minorHAnsi" w:hAnsi="Times New Roman" w:cs="Times New Roman"/>
          </w:rPr>
          <w:t>https://doi.org/10.1016/j.actatropica.2015.10.023</w:t>
        </w:r>
      </w:hyperlink>
    </w:p>
    <w:p w14:paraId="75A0EFC0"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lang w:val="de-DE"/>
        </w:rPr>
      </w:pPr>
      <w:r w:rsidRPr="009B0448">
        <w:rPr>
          <w:rFonts w:ascii="Times New Roman" w:eastAsiaTheme="minorHAnsi" w:hAnsi="Times New Roman" w:cs="Times New Roman"/>
          <w:color w:val="auto"/>
        </w:rPr>
        <w:t xml:space="preserve">Dudley, N. (2008). </w:t>
      </w:r>
      <w:r w:rsidRPr="009B0448">
        <w:rPr>
          <w:rFonts w:ascii="Times New Roman" w:eastAsiaTheme="minorHAnsi" w:hAnsi="Times New Roman" w:cs="Times New Roman"/>
          <w:i/>
          <w:color w:val="auto"/>
        </w:rPr>
        <w:t>Guidelines for applying protected area management categories</w:t>
      </w:r>
      <w:r w:rsidRPr="009B0448">
        <w:rPr>
          <w:rFonts w:ascii="Times New Roman" w:eastAsiaTheme="minorHAnsi" w:hAnsi="Times New Roman" w:cs="Times New Roman"/>
          <w:color w:val="auto"/>
        </w:rPr>
        <w:t xml:space="preserve">. </w:t>
      </w:r>
      <w:r w:rsidRPr="009B0448">
        <w:rPr>
          <w:rFonts w:ascii="Times New Roman" w:eastAsiaTheme="minorHAnsi" w:hAnsi="Times New Roman" w:cs="Times New Roman"/>
          <w:color w:val="auto"/>
          <w:lang w:val="de-DE"/>
        </w:rPr>
        <w:t xml:space="preserve">Gland, Switzerland: IUCN. Retrieved from </w:t>
      </w:r>
      <w:hyperlink r:id="rId1191" w:history="1">
        <w:r w:rsidRPr="009B0448">
          <w:rPr>
            <w:rStyle w:val="Hyperlink"/>
            <w:rFonts w:ascii="Times New Roman" w:eastAsiaTheme="minorHAnsi" w:hAnsi="Times New Roman" w:cs="Times New Roman"/>
            <w:lang w:val="de-DE"/>
          </w:rPr>
          <w:t>https://cmsdata.iucn.org/downloads/guidelines_for_applying_protected_area_management_categories.pdf</w:t>
        </w:r>
      </w:hyperlink>
      <w:r w:rsidRPr="009B0448">
        <w:rPr>
          <w:rFonts w:ascii="Times New Roman" w:eastAsiaTheme="minorHAnsi" w:hAnsi="Times New Roman" w:cs="Times New Roman"/>
          <w:color w:val="auto"/>
          <w:lang w:val="de-DE"/>
        </w:rPr>
        <w:t xml:space="preserve"> </w:t>
      </w:r>
    </w:p>
    <w:p w14:paraId="3A1A938F"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lang w:val="de-DE"/>
        </w:rPr>
        <w:t xml:space="preserve">Duran, A. P., Rauch, J., &amp; Gaston, K. J. (2013). </w:t>
      </w:r>
      <w:r w:rsidRPr="009B0448">
        <w:rPr>
          <w:rFonts w:ascii="Times New Roman" w:eastAsiaTheme="minorHAnsi" w:hAnsi="Times New Roman" w:cs="Times New Roman"/>
          <w:color w:val="auto"/>
        </w:rPr>
        <w:t xml:space="preserve">Global spatial coincidence between protected areas and metal mining activities. </w:t>
      </w:r>
      <w:r w:rsidRPr="009B0448">
        <w:rPr>
          <w:rFonts w:ascii="Times New Roman" w:eastAsiaTheme="minorHAnsi" w:hAnsi="Times New Roman" w:cs="Times New Roman"/>
          <w:i/>
          <w:color w:val="auto"/>
        </w:rPr>
        <w:t>Biological Conservation, 160</w:t>
      </w:r>
      <w:r w:rsidRPr="009B0448">
        <w:rPr>
          <w:rFonts w:ascii="Times New Roman" w:eastAsiaTheme="minorHAnsi" w:hAnsi="Times New Roman" w:cs="Times New Roman"/>
          <w:color w:val="auto"/>
        </w:rPr>
        <w:t xml:space="preserve">, 272–278. </w:t>
      </w:r>
      <w:hyperlink r:id="rId1192" w:history="1">
        <w:r w:rsidRPr="009B0448">
          <w:rPr>
            <w:rStyle w:val="Hyperlink"/>
            <w:rFonts w:ascii="Times New Roman" w:eastAsiaTheme="minorHAnsi" w:hAnsi="Times New Roman" w:cs="Times New Roman"/>
          </w:rPr>
          <w:t>https://doi.org/10.1016/j.biocon.2013.02.003</w:t>
        </w:r>
      </w:hyperlink>
    </w:p>
    <w:p w14:paraId="289BA3B3"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Edwards, D. P., Sloan, S., Weng, L. Dirks, P., Sayer, J., &amp; Laurance, W. F. (2013). Mining and the African environment. </w:t>
      </w:r>
      <w:r w:rsidRPr="009B0448">
        <w:rPr>
          <w:rFonts w:ascii="Times New Roman" w:eastAsiaTheme="minorHAnsi" w:hAnsi="Times New Roman" w:cs="Times New Roman"/>
          <w:i/>
          <w:color w:val="auto"/>
        </w:rPr>
        <w:t>Conservation Letters, 7</w:t>
      </w:r>
      <w:r w:rsidRPr="009B0448">
        <w:rPr>
          <w:rFonts w:ascii="Times New Roman" w:eastAsiaTheme="minorHAnsi" w:hAnsi="Times New Roman" w:cs="Times New Roman"/>
          <w:color w:val="auto"/>
        </w:rPr>
        <w:t xml:space="preserve">(3), 302–311. </w:t>
      </w:r>
      <w:hyperlink r:id="rId1193" w:history="1">
        <w:r w:rsidRPr="009B0448">
          <w:rPr>
            <w:rStyle w:val="Hyperlink"/>
            <w:rFonts w:ascii="Times New Roman" w:eastAsiaTheme="minorHAnsi" w:hAnsi="Times New Roman" w:cs="Times New Roman"/>
          </w:rPr>
          <w:t>https://doi.org/10.1111/conl.12076</w:t>
        </w:r>
      </w:hyperlink>
      <w:r w:rsidRPr="009B0448">
        <w:rPr>
          <w:rFonts w:ascii="Times New Roman" w:eastAsiaTheme="minorHAnsi" w:hAnsi="Times New Roman" w:cs="Times New Roman"/>
          <w:color w:val="auto"/>
        </w:rPr>
        <w:t xml:space="preserve"> </w:t>
      </w:r>
    </w:p>
    <w:p w14:paraId="75E3E031"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El-Kady, A. A., Abdel-Wahhab, M. A., Henkelmann, B., Belal, M. H., Morsi, M. K. S., Galal, S. M., &amp; Schramm, K-W. (2007). Polychlorinated biphenyl, polychlorinated dibenzo-p-dioxin and polychlorinated dibenzofuran residues in sediments and fish of the River Nile in the Cairo region. </w:t>
      </w:r>
      <w:r w:rsidRPr="009B0448">
        <w:rPr>
          <w:rFonts w:ascii="Times New Roman" w:eastAsiaTheme="minorHAnsi" w:hAnsi="Times New Roman" w:cs="Times New Roman"/>
          <w:i/>
          <w:color w:val="auto"/>
        </w:rPr>
        <w:t>Chemosphere, 68</w:t>
      </w:r>
      <w:r w:rsidRPr="009B0448">
        <w:rPr>
          <w:rFonts w:ascii="Times New Roman" w:eastAsiaTheme="minorHAnsi" w:hAnsi="Times New Roman" w:cs="Times New Roman"/>
          <w:color w:val="auto"/>
        </w:rPr>
        <w:t xml:space="preserve">(9), 1660–1668. </w:t>
      </w:r>
      <w:hyperlink r:id="rId1194" w:history="1">
        <w:r w:rsidRPr="009B0448">
          <w:rPr>
            <w:rStyle w:val="Hyperlink"/>
            <w:rFonts w:ascii="Times New Roman" w:eastAsiaTheme="minorHAnsi" w:hAnsi="Times New Roman" w:cs="Times New Roman"/>
          </w:rPr>
          <w:t>https://doi.org/10.1016/j.chemosphere.2007.03.066</w:t>
        </w:r>
      </w:hyperlink>
    </w:p>
    <w:p w14:paraId="421CB3A8"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Engelbrecht, F., Adegoke, J., Bopape, M., Naidoo, M., Garland, R., Thatcher, M., McGregor, J., Katzfey, J., Werner, M., Ichoku, C., &amp; Gatebe, C. (2015). Projections of rapidly rising surface temperatures over Africa under low mitigation. </w:t>
      </w:r>
      <w:r w:rsidRPr="009B0448">
        <w:rPr>
          <w:rFonts w:ascii="Times New Roman" w:eastAsiaTheme="minorHAnsi" w:hAnsi="Times New Roman" w:cs="Times New Roman"/>
          <w:i/>
          <w:color w:val="auto"/>
        </w:rPr>
        <w:t>Environmental Research Letters, 10</w:t>
      </w:r>
      <w:r w:rsidRPr="009B0448">
        <w:rPr>
          <w:rFonts w:ascii="Times New Roman" w:eastAsiaTheme="minorHAnsi" w:hAnsi="Times New Roman" w:cs="Times New Roman"/>
          <w:color w:val="auto"/>
        </w:rPr>
        <w:t xml:space="preserve">(8), 85004. </w:t>
      </w:r>
      <w:hyperlink r:id="rId1195" w:history="1">
        <w:r w:rsidRPr="009B0448">
          <w:rPr>
            <w:rStyle w:val="Hyperlink"/>
            <w:rFonts w:ascii="Times New Roman" w:eastAsiaTheme="minorHAnsi" w:hAnsi="Times New Roman" w:cs="Times New Roman"/>
          </w:rPr>
          <w:t>https://doi.org/10.1088/1748-9326/10/8/085004</w:t>
        </w:r>
      </w:hyperlink>
      <w:r w:rsidRPr="009B0448">
        <w:rPr>
          <w:rFonts w:ascii="Times New Roman" w:eastAsiaTheme="minorHAnsi" w:hAnsi="Times New Roman" w:cs="Times New Roman"/>
          <w:color w:val="auto"/>
        </w:rPr>
        <w:t xml:space="preserve"> </w:t>
      </w:r>
    </w:p>
    <w:p w14:paraId="6225179C"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Ernst, C., Mayaux, P., Verhegghen, A., Bodart, C., Christophe, M., &amp; Defourny, P. (2013). National forest cover change in Congo Basin: Deforestation, reforestation, degradation and regeneration for the years 1990, 2000 and 2005. </w:t>
      </w:r>
      <w:r w:rsidRPr="009B0448">
        <w:rPr>
          <w:rFonts w:ascii="Times New Roman" w:eastAsiaTheme="minorHAnsi" w:hAnsi="Times New Roman" w:cs="Times New Roman"/>
          <w:i/>
          <w:color w:val="auto"/>
        </w:rPr>
        <w:t>Global change biology, 19</w:t>
      </w:r>
      <w:r w:rsidRPr="009B0448">
        <w:rPr>
          <w:rFonts w:ascii="Times New Roman" w:eastAsiaTheme="minorHAnsi" w:hAnsi="Times New Roman" w:cs="Times New Roman"/>
          <w:color w:val="auto"/>
        </w:rPr>
        <w:t xml:space="preserve">(4), 1173–1187. </w:t>
      </w:r>
      <w:hyperlink r:id="rId1196" w:history="1">
        <w:r w:rsidRPr="009B0448">
          <w:rPr>
            <w:rStyle w:val="Hyperlink"/>
            <w:rFonts w:ascii="Times New Roman" w:eastAsiaTheme="minorHAnsi" w:hAnsi="Times New Roman" w:cs="Times New Roman"/>
          </w:rPr>
          <w:t>https://doi.org/10.1111/gcb.12092</w:t>
        </w:r>
      </w:hyperlink>
      <w:r w:rsidRPr="009B0448">
        <w:rPr>
          <w:rFonts w:ascii="Times New Roman" w:eastAsiaTheme="minorHAnsi" w:hAnsi="Times New Roman" w:cs="Times New Roman"/>
          <w:color w:val="auto"/>
        </w:rPr>
        <w:t xml:space="preserve"> </w:t>
      </w:r>
    </w:p>
    <w:p w14:paraId="4407A4DF"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Ervin, J., Mulongoy, K. J., Lawrence, K., Game, E., Sheppard, D., Bridgewater, P., Bennett, G., Idda, S. B., &amp; Bos, P. (2010). </w:t>
      </w:r>
      <w:r w:rsidRPr="009B0448">
        <w:rPr>
          <w:rFonts w:ascii="Times New Roman" w:eastAsiaTheme="minorHAnsi" w:hAnsi="Times New Roman" w:cs="Times New Roman"/>
          <w:i/>
          <w:color w:val="auto"/>
        </w:rPr>
        <w:t>Making protected areas relevant: A guide to integrating protected areas into wider landscapes, seascapes and sectoral plans and strategi</w:t>
      </w:r>
      <w:r w:rsidRPr="009B0448">
        <w:rPr>
          <w:rFonts w:ascii="Times New Roman" w:eastAsiaTheme="minorHAnsi" w:hAnsi="Times New Roman" w:cs="Times New Roman"/>
          <w:color w:val="auto"/>
        </w:rPr>
        <w:t xml:space="preserve">es. Montreal, Canada: Convention on Biological Diversity. Retrieved from </w:t>
      </w:r>
      <w:hyperlink r:id="rId1197" w:history="1">
        <w:r w:rsidRPr="009B0448">
          <w:rPr>
            <w:rStyle w:val="Hyperlink"/>
            <w:rFonts w:ascii="Times New Roman" w:eastAsiaTheme="minorHAnsi" w:hAnsi="Times New Roman" w:cs="Times New Roman"/>
          </w:rPr>
          <w:t>https://www.cbd.int/doc/publications/cbd-ts-44-en.pdf</w:t>
        </w:r>
      </w:hyperlink>
      <w:r w:rsidRPr="009B0448">
        <w:rPr>
          <w:rFonts w:ascii="Times New Roman" w:eastAsiaTheme="minorHAnsi" w:hAnsi="Times New Roman" w:cs="Times New Roman"/>
          <w:color w:val="auto"/>
        </w:rPr>
        <w:t xml:space="preserve"> </w:t>
      </w:r>
    </w:p>
    <w:p w14:paraId="744CD9BF"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Europe, &amp; WHO. (2006). </w:t>
      </w:r>
      <w:r w:rsidRPr="009B0448">
        <w:rPr>
          <w:rFonts w:ascii="Times New Roman" w:eastAsiaTheme="minorHAnsi" w:hAnsi="Times New Roman" w:cs="Times New Roman"/>
          <w:i/>
          <w:color w:val="auto"/>
        </w:rPr>
        <w:t>Air quality guidelines for particulate matter, ozone, nitrogen dioxide and sulfur dioxide. Global update 2005</w:t>
      </w:r>
      <w:r w:rsidRPr="009B0448">
        <w:rPr>
          <w:rFonts w:ascii="Times New Roman" w:eastAsiaTheme="minorHAnsi" w:hAnsi="Times New Roman" w:cs="Times New Roman"/>
          <w:color w:val="auto"/>
        </w:rPr>
        <w:t xml:space="preserve">. Copenhagen Ø, Denmark: WHO. Retrieved from </w:t>
      </w:r>
      <w:hyperlink r:id="rId1198" w:history="1">
        <w:r w:rsidRPr="009B0448">
          <w:rPr>
            <w:rStyle w:val="Hyperlink"/>
            <w:rFonts w:ascii="Times New Roman" w:eastAsiaTheme="minorHAnsi" w:hAnsi="Times New Roman" w:cs="Times New Roman"/>
          </w:rPr>
          <w:t>http://www.euro.who.int/__data/assets/pdf_file/0005/78638/E90038.pdf?ua=1</w:t>
        </w:r>
      </w:hyperlink>
      <w:r w:rsidRPr="009B0448">
        <w:rPr>
          <w:rFonts w:ascii="Times New Roman" w:eastAsiaTheme="minorHAnsi" w:hAnsi="Times New Roman" w:cs="Times New Roman"/>
          <w:color w:val="auto"/>
        </w:rPr>
        <w:t xml:space="preserve"> </w:t>
      </w:r>
    </w:p>
    <w:p w14:paraId="434A7351"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Evans, A. F., Gakuya, F., Paweska, J. T., Rostal, M., Akoolo, L., Van Vuren P. J., Manyibe, Macharia, J. M., Ksiazek, T. G., Feikin, D. R., Breiman, R. F., &amp; Njenga, M. K. (2008). Prevalence of antibodies against Rift Valley fever virus in Kenyan wildlife. </w:t>
      </w:r>
      <w:r w:rsidRPr="009B0448">
        <w:rPr>
          <w:rFonts w:ascii="Times New Roman" w:eastAsiaTheme="minorHAnsi" w:hAnsi="Times New Roman" w:cs="Times New Roman"/>
          <w:i/>
          <w:color w:val="auto"/>
        </w:rPr>
        <w:t>Epidemiology Infection, 136</w:t>
      </w:r>
      <w:r w:rsidRPr="009B0448">
        <w:rPr>
          <w:rFonts w:ascii="Times New Roman" w:eastAsiaTheme="minorHAnsi" w:hAnsi="Times New Roman" w:cs="Times New Roman"/>
          <w:color w:val="auto"/>
        </w:rPr>
        <w:t xml:space="preserve">, 1261–1269. </w:t>
      </w:r>
      <w:hyperlink r:id="rId1199" w:history="1">
        <w:r w:rsidRPr="009B0448">
          <w:rPr>
            <w:rStyle w:val="Hyperlink"/>
            <w:rFonts w:ascii="Times New Roman" w:eastAsiaTheme="minorHAnsi" w:hAnsi="Times New Roman" w:cs="Times New Roman"/>
          </w:rPr>
          <w:t>https://doi.org/10.1017/S0950268807009806</w:t>
        </w:r>
      </w:hyperlink>
    </w:p>
    <w:p w14:paraId="1A36B8E1"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Ezemonye, L., Ikpesu, T., &amp; Tongo, I. (2008). Distribution of Lindane in water, sediment, and fish from the Warri River of the Niger Delta, Nigeria. </w:t>
      </w:r>
      <w:r w:rsidRPr="009B0448">
        <w:rPr>
          <w:rFonts w:ascii="Times New Roman" w:eastAsiaTheme="minorHAnsi" w:hAnsi="Times New Roman" w:cs="Times New Roman"/>
          <w:i/>
          <w:color w:val="auto"/>
        </w:rPr>
        <w:t>Archives of Industrial Hygiene and Toxicology, 59</w:t>
      </w:r>
      <w:r w:rsidRPr="009B0448">
        <w:rPr>
          <w:rFonts w:ascii="Times New Roman" w:eastAsiaTheme="minorHAnsi" w:hAnsi="Times New Roman" w:cs="Times New Roman"/>
          <w:color w:val="auto"/>
        </w:rPr>
        <w:t xml:space="preserve">(4), 261–270. </w:t>
      </w:r>
      <w:hyperlink r:id="rId1200" w:history="1">
        <w:r w:rsidRPr="009B0448">
          <w:rPr>
            <w:rStyle w:val="Hyperlink"/>
            <w:rFonts w:ascii="Times New Roman" w:eastAsiaTheme="minorHAnsi" w:hAnsi="Times New Roman" w:cs="Times New Roman"/>
          </w:rPr>
          <w:t>https://doi.org/10.2478/10004-1254-59-2008-1906</w:t>
        </w:r>
      </w:hyperlink>
      <w:r w:rsidRPr="009B0448">
        <w:rPr>
          <w:rFonts w:ascii="Times New Roman" w:eastAsiaTheme="minorHAnsi" w:hAnsi="Times New Roman" w:cs="Times New Roman"/>
          <w:color w:val="auto"/>
        </w:rPr>
        <w:t xml:space="preserve"> </w:t>
      </w:r>
    </w:p>
    <w:p w14:paraId="405F4A0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 J. E., Peres, C. A., &amp; Meeuwig, J. (2002). Bushmeat exploitation in tropical forests: An intercontinental comparison. </w:t>
      </w:r>
      <w:r w:rsidRPr="009B0448">
        <w:rPr>
          <w:rFonts w:ascii="Times New Roman" w:hAnsi="Times New Roman" w:cs="Times New Roman"/>
          <w:i/>
          <w:color w:val="auto"/>
        </w:rPr>
        <w:t>Conservation Biology, 16</w:t>
      </w:r>
      <w:r w:rsidRPr="009B0448">
        <w:rPr>
          <w:rFonts w:ascii="Times New Roman" w:hAnsi="Times New Roman" w:cs="Times New Roman"/>
          <w:color w:val="auto"/>
        </w:rPr>
        <w:t xml:space="preserve">(1), 232–241. </w:t>
      </w:r>
      <w:hyperlink r:id="rId1201" w:history="1">
        <w:r w:rsidRPr="009B0448">
          <w:rPr>
            <w:rStyle w:val="Hyperlink"/>
            <w:rFonts w:ascii="Times New Roman" w:hAnsi="Times New Roman" w:cs="Times New Roman"/>
          </w:rPr>
          <w:t>https://doi.org/10.1046/j.1523-1739.2002.00275.x</w:t>
        </w:r>
      </w:hyperlink>
      <w:r w:rsidRPr="009B0448">
        <w:rPr>
          <w:rFonts w:ascii="Times New Roman" w:hAnsi="Times New Roman" w:cs="Times New Roman"/>
          <w:color w:val="auto"/>
        </w:rPr>
        <w:t xml:space="preserve"> </w:t>
      </w:r>
    </w:p>
    <w:p w14:paraId="22A7FAE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FAO. (1997</w:t>
      </w:r>
      <w:r w:rsidRPr="009B0448">
        <w:rPr>
          <w:rFonts w:ascii="Times New Roman" w:hAnsi="Times New Roman" w:cs="Times New Roman"/>
          <w:i/>
          <w:color w:val="auto"/>
        </w:rPr>
        <w:t>). Land quality indicators and their use in sustainable agriculture and rural development</w:t>
      </w:r>
      <w:r w:rsidRPr="009B0448">
        <w:rPr>
          <w:rFonts w:ascii="Times New Roman" w:hAnsi="Times New Roman" w:cs="Times New Roman"/>
          <w:color w:val="auto"/>
        </w:rPr>
        <w:t xml:space="preserve">. Rome, Italy: FAO. Retrieved from </w:t>
      </w:r>
      <w:hyperlink r:id="rId1202" w:history="1">
        <w:r w:rsidRPr="009B0448">
          <w:rPr>
            <w:rStyle w:val="Hyperlink"/>
            <w:rFonts w:ascii="Times New Roman" w:hAnsi="Times New Roman" w:cs="Times New Roman"/>
          </w:rPr>
          <w:t>https://www.mpl.ird.fr/crea/taller-colombia/FAO/AGLL/pdfdocs/landqual.pdf</w:t>
        </w:r>
      </w:hyperlink>
      <w:r w:rsidRPr="009B0448">
        <w:rPr>
          <w:rFonts w:ascii="Times New Roman" w:hAnsi="Times New Roman" w:cs="Times New Roman"/>
          <w:color w:val="auto"/>
        </w:rPr>
        <w:t xml:space="preserve"> </w:t>
      </w:r>
    </w:p>
    <w:p w14:paraId="2150921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(2008). </w:t>
      </w:r>
      <w:r w:rsidRPr="009B0448">
        <w:rPr>
          <w:rFonts w:ascii="Times New Roman" w:hAnsi="Times New Roman" w:cs="Times New Roman"/>
          <w:i/>
          <w:color w:val="auto"/>
        </w:rPr>
        <w:t>The global livestock sector: A growth engine</w:t>
      </w:r>
      <w:r w:rsidRPr="009B0448">
        <w:rPr>
          <w:rFonts w:ascii="Times New Roman" w:hAnsi="Times New Roman" w:cs="Times New Roman"/>
          <w:color w:val="auto"/>
        </w:rPr>
        <w:t xml:space="preserve">. Rome, Italy: FAO. Retrieved from </w:t>
      </w:r>
      <w:hyperlink r:id="rId1203" w:history="1">
        <w:r w:rsidRPr="009B0448">
          <w:rPr>
            <w:rStyle w:val="Hyperlink"/>
            <w:rFonts w:ascii="Times New Roman" w:hAnsi="Times New Roman" w:cs="Times New Roman"/>
          </w:rPr>
          <w:t>http://www.fao.org/docrep/fao/010/ai554e/ai554e00.pdf</w:t>
        </w:r>
      </w:hyperlink>
    </w:p>
    <w:p w14:paraId="2B02062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(2010). </w:t>
      </w:r>
      <w:r w:rsidRPr="009B0448">
        <w:rPr>
          <w:rFonts w:ascii="Times New Roman" w:hAnsi="Times New Roman" w:cs="Times New Roman"/>
          <w:i/>
          <w:color w:val="auto"/>
        </w:rPr>
        <w:t>Global forest resources assessment 2010: Main report</w:t>
      </w:r>
      <w:r w:rsidRPr="009B0448">
        <w:rPr>
          <w:rFonts w:ascii="Times New Roman" w:hAnsi="Times New Roman" w:cs="Times New Roman"/>
          <w:color w:val="auto"/>
        </w:rPr>
        <w:t xml:space="preserve">. Rome, Italy: FAO. Retrieved from </w:t>
      </w:r>
      <w:hyperlink r:id="rId1204" w:history="1">
        <w:r w:rsidRPr="009B0448">
          <w:rPr>
            <w:rStyle w:val="Hyperlink"/>
            <w:rFonts w:ascii="Times New Roman" w:hAnsi="Times New Roman" w:cs="Times New Roman"/>
          </w:rPr>
          <w:t>http://www.fao.org/docrep/013/i1757e/i1757e.pdf</w:t>
        </w:r>
      </w:hyperlink>
      <w:r w:rsidRPr="009B0448">
        <w:rPr>
          <w:rFonts w:ascii="Times New Roman" w:hAnsi="Times New Roman" w:cs="Times New Roman"/>
          <w:color w:val="auto"/>
        </w:rPr>
        <w:t xml:space="preserve"> </w:t>
      </w:r>
    </w:p>
    <w:p w14:paraId="07B1DE2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FAO. (2015). </w:t>
      </w:r>
      <w:r w:rsidRPr="009B0448">
        <w:rPr>
          <w:rFonts w:ascii="Times New Roman" w:hAnsi="Times New Roman" w:cs="Times New Roman"/>
          <w:i/>
          <w:color w:val="auto"/>
        </w:rPr>
        <w:t>Global forest resources assessment 2015</w:t>
      </w:r>
      <w:r w:rsidRPr="009B0448">
        <w:rPr>
          <w:rFonts w:ascii="Times New Roman" w:hAnsi="Times New Roman" w:cs="Times New Roman"/>
          <w:color w:val="auto"/>
        </w:rPr>
        <w:t xml:space="preserve">. Rome, Italy: FAO. Retrieved from </w:t>
      </w:r>
      <w:hyperlink r:id="rId1205" w:history="1">
        <w:r w:rsidRPr="009B0448">
          <w:rPr>
            <w:rStyle w:val="Hyperlink"/>
            <w:rFonts w:ascii="Times New Roman" w:hAnsi="Times New Roman" w:cs="Times New Roman"/>
          </w:rPr>
          <w:t>http://www.fao.org/3/a-i4808e.pdf</w:t>
        </w:r>
      </w:hyperlink>
    </w:p>
    <w:p w14:paraId="4DA55B6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Ferreira, S. M., Botha, J. M., &amp; Emmett, M. C. (2012). Anthropogenic influences on conservation values of white rhinoceros. </w:t>
      </w:r>
      <w:r w:rsidRPr="009B0448">
        <w:rPr>
          <w:rFonts w:ascii="Times New Roman" w:hAnsi="Times New Roman" w:cs="Times New Roman"/>
          <w:i/>
          <w:color w:val="auto"/>
        </w:rPr>
        <w:t>PLoS ONE, 7</w:t>
      </w:r>
      <w:r w:rsidRPr="009B0448">
        <w:rPr>
          <w:rFonts w:ascii="Times New Roman" w:hAnsi="Times New Roman" w:cs="Times New Roman"/>
          <w:color w:val="auto"/>
        </w:rPr>
        <w:t xml:space="preserve">(9), e45989. </w:t>
      </w:r>
      <w:hyperlink r:id="rId1206" w:history="1">
        <w:r w:rsidRPr="009B0448">
          <w:rPr>
            <w:rStyle w:val="Hyperlink"/>
            <w:rFonts w:ascii="Times New Roman" w:hAnsi="Times New Roman" w:cs="Times New Roman"/>
          </w:rPr>
          <w:t>https://doi.org/10.1371/journal.pone.0045989</w:t>
        </w:r>
      </w:hyperlink>
    </w:p>
    <w:p w14:paraId="5BB096A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Firbank, L. G., Petit, S., Smart, S., Blain, A., &amp; Fuller, R. J. (2008). Assessing the impacts of agricultural intensification on biodiversity: A British perspective</w:t>
      </w:r>
      <w:r w:rsidRPr="009B0448">
        <w:rPr>
          <w:rFonts w:ascii="Times New Roman" w:hAnsi="Times New Roman" w:cs="Times New Roman"/>
          <w:i/>
          <w:color w:val="auto"/>
        </w:rPr>
        <w:t>. Philosophical Transactions of the Royal Society B: Biological Sciences, 363</w:t>
      </w:r>
      <w:r w:rsidRPr="009B0448">
        <w:rPr>
          <w:rFonts w:ascii="Times New Roman" w:hAnsi="Times New Roman" w:cs="Times New Roman"/>
          <w:color w:val="auto"/>
        </w:rPr>
        <w:t xml:space="preserve">, 777–787. </w:t>
      </w:r>
      <w:hyperlink r:id="rId1207" w:history="1">
        <w:r w:rsidRPr="009B0448">
          <w:rPr>
            <w:rStyle w:val="Hyperlink"/>
            <w:rFonts w:ascii="Times New Roman" w:hAnsi="Times New Roman" w:cs="Times New Roman"/>
          </w:rPr>
          <w:t>https://doi.org/10.1098/rstb.2007.2183</w:t>
        </w:r>
      </w:hyperlink>
      <w:r w:rsidRPr="009B0448">
        <w:rPr>
          <w:rFonts w:ascii="Times New Roman" w:hAnsi="Times New Roman" w:cs="Times New Roman"/>
          <w:color w:val="auto"/>
        </w:rPr>
        <w:t xml:space="preserve"> </w:t>
      </w:r>
    </w:p>
    <w:p w14:paraId="209121E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Fischer-Kowalski, M., &amp; Swilling, M. (2011). </w:t>
      </w:r>
      <w:r w:rsidRPr="009B0448">
        <w:rPr>
          <w:rFonts w:ascii="Times New Roman" w:hAnsi="Times New Roman" w:cs="Times New Roman"/>
          <w:i/>
          <w:color w:val="auto"/>
        </w:rPr>
        <w:t>Decoupling: Natural resource use and environmental impacts from economic growth</w:t>
      </w:r>
      <w:r w:rsidRPr="009B0448">
        <w:rPr>
          <w:rFonts w:ascii="Times New Roman" w:hAnsi="Times New Roman" w:cs="Times New Roman"/>
          <w:color w:val="auto"/>
        </w:rPr>
        <w:t xml:space="preserve">. Nairobi, Kenya: UNEP. Retrieved from </w:t>
      </w:r>
      <w:hyperlink r:id="rId1208" w:history="1">
        <w:r w:rsidRPr="009B0448">
          <w:rPr>
            <w:rStyle w:val="Hyperlink"/>
            <w:rFonts w:ascii="Times New Roman" w:hAnsi="Times New Roman" w:cs="Times New Roman"/>
          </w:rPr>
          <w:t>http://hdl.handle.net/20.500.11822/9816</w:t>
        </w:r>
      </w:hyperlink>
      <w:r w:rsidRPr="009B0448">
        <w:rPr>
          <w:rFonts w:ascii="Times New Roman" w:hAnsi="Times New Roman" w:cs="Times New Roman"/>
          <w:color w:val="auto"/>
        </w:rPr>
        <w:t xml:space="preserve"> </w:t>
      </w:r>
    </w:p>
    <w:p w14:paraId="7ACF219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Foden, W., Midgley, G. F., Hughes, G., Bond, W. J., Thuiller, W., Hoffman, M. T., Kaleme, P., Underhill, L. G., Rebelo, A., &amp; Hannah, L. (2007). A changing climate is eroding the geographical range of the Namib desert tree Aloe through population declines and dispersal lags. </w:t>
      </w:r>
      <w:r w:rsidRPr="009B0448">
        <w:rPr>
          <w:rFonts w:ascii="Times New Roman" w:hAnsi="Times New Roman" w:cs="Times New Roman"/>
          <w:i/>
          <w:color w:val="auto"/>
        </w:rPr>
        <w:t>Diversity and Distributions, 1</w:t>
      </w:r>
      <w:r w:rsidRPr="009B0448">
        <w:rPr>
          <w:rFonts w:ascii="Times New Roman" w:hAnsi="Times New Roman" w:cs="Times New Roman"/>
          <w:color w:val="auto"/>
        </w:rPr>
        <w:t xml:space="preserve">3(5), 645–653. </w:t>
      </w:r>
      <w:hyperlink r:id="rId1209" w:history="1">
        <w:r w:rsidRPr="009B0448">
          <w:rPr>
            <w:rStyle w:val="Hyperlink"/>
            <w:rFonts w:ascii="Times New Roman" w:hAnsi="Times New Roman" w:cs="Times New Roman"/>
          </w:rPr>
          <w:t>https://doi.org/10.1111/j.1472-4642.2007.00391.x</w:t>
        </w:r>
      </w:hyperlink>
      <w:r w:rsidRPr="009B0448">
        <w:rPr>
          <w:rFonts w:ascii="Times New Roman" w:hAnsi="Times New Roman" w:cs="Times New Roman"/>
          <w:color w:val="auto"/>
        </w:rPr>
        <w:t xml:space="preserve"> </w:t>
      </w:r>
    </w:p>
    <w:p w14:paraId="77497DC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Foden, W. B., Butchart, S. H. M., Stuart, S. N., Vié, J., Akçakaya, H. R., Angula, A., DeVantier, L. M., Gutsche, A., Turak, E., Cao, L., Donner, S. D., Katariya, V., Bernard, R., Holland, R. A., Hughes, A. F., O’Hanlon, S. E., Garnett, S. T., Hekercioğlu, C. H., &amp; Mace, G. M. (2013). Identifying the world's most climate change vulnerable species: A systematic trait-based assessment of all birds, amphibians and corals. </w:t>
      </w:r>
      <w:r w:rsidRPr="009B0448">
        <w:rPr>
          <w:rFonts w:ascii="Times New Roman" w:hAnsi="Times New Roman" w:cs="Times New Roman"/>
          <w:i/>
          <w:color w:val="auto"/>
        </w:rPr>
        <w:t>PLoS ONE 8</w:t>
      </w:r>
      <w:r w:rsidRPr="009B0448">
        <w:rPr>
          <w:rFonts w:ascii="Times New Roman" w:hAnsi="Times New Roman" w:cs="Times New Roman"/>
          <w:color w:val="auto"/>
        </w:rPr>
        <w:t xml:space="preserve">(6), e65427. </w:t>
      </w:r>
      <w:hyperlink r:id="rId1210" w:history="1">
        <w:r w:rsidRPr="009B0448">
          <w:rPr>
            <w:rStyle w:val="Hyperlink"/>
            <w:rFonts w:ascii="Times New Roman" w:hAnsi="Times New Roman" w:cs="Times New Roman"/>
          </w:rPr>
          <w:t>https://doi.org/10.1371/journal.pone.0065427</w:t>
        </w:r>
      </w:hyperlink>
    </w:p>
    <w:p w14:paraId="596BB50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Folke, C., Carpenter, S. R., Walker, B., Scheffer, M., Chapin, T., &amp; Rockström, J. (2010). Resilience thinking: Integrating resilience, adaptability and transformability. </w:t>
      </w:r>
      <w:r w:rsidRPr="009B0448">
        <w:rPr>
          <w:rFonts w:ascii="Times New Roman" w:hAnsi="Times New Roman" w:cs="Times New Roman"/>
          <w:i/>
          <w:color w:val="auto"/>
        </w:rPr>
        <w:t>Ecology and Society, 15</w:t>
      </w:r>
      <w:r w:rsidRPr="009B0448">
        <w:rPr>
          <w:rFonts w:ascii="Times New Roman" w:hAnsi="Times New Roman" w:cs="Times New Roman"/>
          <w:color w:val="auto"/>
        </w:rPr>
        <w:t xml:space="preserve">(4), 20. Retrieved from </w:t>
      </w:r>
      <w:hyperlink r:id="rId1211" w:history="1">
        <w:r w:rsidRPr="009B0448">
          <w:rPr>
            <w:rStyle w:val="Hyperlink"/>
            <w:rFonts w:ascii="Times New Roman" w:hAnsi="Times New Roman" w:cs="Times New Roman"/>
          </w:rPr>
          <w:t>https://www.ecologyandsociety.org/vol9/iss2/art5/</w:t>
        </w:r>
      </w:hyperlink>
    </w:p>
    <w:p w14:paraId="140CB71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Fontodji, J. K., Atsri, H., Adjonou, K., Radji, A. R., Kokutse, A. D., Nuto, Y., &amp; Kokou, K. (2011). Impact of charcoal production on biodiversity in Togo (West Africa). In J. L. Pujol (Ed.), </w:t>
      </w:r>
      <w:r w:rsidRPr="009B0448">
        <w:rPr>
          <w:rFonts w:ascii="Times New Roman" w:hAnsi="Times New Roman" w:cs="Times New Roman"/>
          <w:i/>
          <w:color w:val="auto"/>
        </w:rPr>
        <w:t>The importance of biological interactions in the study of biodiversity</w:t>
      </w:r>
      <w:r w:rsidRPr="009B0448">
        <w:rPr>
          <w:rFonts w:ascii="Times New Roman" w:hAnsi="Times New Roman" w:cs="Times New Roman"/>
          <w:color w:val="auto"/>
        </w:rPr>
        <w:t xml:space="preserve"> (pp. 215–230). </w:t>
      </w:r>
      <w:hyperlink r:id="rId1212" w:history="1">
        <w:r w:rsidRPr="009B0448">
          <w:rPr>
            <w:rStyle w:val="Hyperlink"/>
            <w:rFonts w:ascii="Times New Roman" w:hAnsi="Times New Roman" w:cs="Times New Roman"/>
          </w:rPr>
          <w:t>https://doi.org/10.5772/22969</w:t>
        </w:r>
      </w:hyperlink>
      <w:r w:rsidRPr="009B0448">
        <w:rPr>
          <w:rFonts w:ascii="Times New Roman" w:hAnsi="Times New Roman" w:cs="Times New Roman"/>
          <w:color w:val="auto"/>
        </w:rPr>
        <w:t xml:space="preserve"> </w:t>
      </w:r>
    </w:p>
    <w:p w14:paraId="46D9D11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Frank, D., Reichstein, M., Bahn, M., Thonicke, K., Frank, D., Mahecha, M. D., Smith, P., vander Velde, M., Vicca, S., Babst, F., Beer, C., Buchmann, N., Canadell, J. G., Ciais, P., Cramer, W., Ibrom, A., Miglietta, F., Poulter, B., Rammig, A., Seneviratne, S. I., Walz, A., Wattenbach, M., Zavala, M. A., &amp; Zscheischler, J. (2015). Effects of climate extremes on the terrestrial carbon cycle: Concepts, processes and potential future impacts. </w:t>
      </w:r>
      <w:r w:rsidRPr="009B0448">
        <w:rPr>
          <w:rFonts w:ascii="Times New Roman" w:hAnsi="Times New Roman" w:cs="Times New Roman"/>
          <w:i/>
          <w:color w:val="auto"/>
        </w:rPr>
        <w:t>Global Change Biology, 21,</w:t>
      </w:r>
      <w:r w:rsidRPr="009B0448">
        <w:rPr>
          <w:rFonts w:ascii="Times New Roman" w:hAnsi="Times New Roman" w:cs="Times New Roman"/>
          <w:color w:val="auto"/>
        </w:rPr>
        <w:t xml:space="preserve"> 2861–2880. </w:t>
      </w:r>
      <w:hyperlink r:id="rId1213" w:history="1">
        <w:r w:rsidRPr="009B0448">
          <w:rPr>
            <w:rStyle w:val="Hyperlink"/>
            <w:rFonts w:ascii="Times New Roman" w:hAnsi="Times New Roman" w:cs="Times New Roman"/>
          </w:rPr>
          <w:t>https://doi.org/10.1111/gcb.12916</w:t>
        </w:r>
      </w:hyperlink>
      <w:r w:rsidRPr="009B0448">
        <w:rPr>
          <w:rFonts w:ascii="Times New Roman" w:hAnsi="Times New Roman" w:cs="Times New Roman"/>
          <w:color w:val="auto"/>
        </w:rPr>
        <w:t xml:space="preserve"> </w:t>
      </w:r>
    </w:p>
    <w:p w14:paraId="2D382FD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Franks, P. J., Adams, M. A., Amthor, J. S., Barbour, M. M., Berry, J. A., Ellsworth, D. S., Farquhar, G. D., Ghannoum, O., Llyod, J., McDowel, N., Norby, R. J., Tissue, D. T., &amp; von Caemmerer, S. (2013). Sensitivity of plants to changing atmospheric CO</w:t>
      </w:r>
      <w:r w:rsidRPr="009B0448">
        <w:rPr>
          <w:rFonts w:ascii="Times New Roman" w:hAnsi="Times New Roman" w:cs="Times New Roman"/>
          <w:color w:val="auto"/>
          <w:vertAlign w:val="subscript"/>
        </w:rPr>
        <w:t>2</w:t>
      </w:r>
      <w:r w:rsidRPr="009B0448">
        <w:rPr>
          <w:rFonts w:ascii="Times New Roman" w:hAnsi="Times New Roman" w:cs="Times New Roman"/>
          <w:color w:val="auto"/>
        </w:rPr>
        <w:t xml:space="preserve"> concentration: From the geological past to the next century. </w:t>
      </w:r>
      <w:r w:rsidRPr="009B0448">
        <w:rPr>
          <w:rFonts w:ascii="Times New Roman" w:hAnsi="Times New Roman" w:cs="Times New Roman"/>
          <w:i/>
          <w:color w:val="auto"/>
        </w:rPr>
        <w:t>New Phytologist, 197</w:t>
      </w:r>
      <w:r w:rsidRPr="009B0448">
        <w:rPr>
          <w:rFonts w:ascii="Times New Roman" w:hAnsi="Times New Roman" w:cs="Times New Roman"/>
          <w:color w:val="auto"/>
        </w:rPr>
        <w:t xml:space="preserve">(4), 1077–1094. </w:t>
      </w:r>
      <w:hyperlink r:id="rId1214" w:history="1">
        <w:r w:rsidRPr="009B0448">
          <w:rPr>
            <w:rStyle w:val="Hyperlink"/>
            <w:rFonts w:ascii="Times New Roman" w:hAnsi="Times New Roman" w:cs="Times New Roman"/>
          </w:rPr>
          <w:t>https://doi.org/10.1111/nph.12104</w:t>
        </w:r>
      </w:hyperlink>
      <w:r w:rsidRPr="009B0448">
        <w:rPr>
          <w:rFonts w:ascii="Times New Roman" w:hAnsi="Times New Roman" w:cs="Times New Roman"/>
          <w:color w:val="auto"/>
        </w:rPr>
        <w:t xml:space="preserve"> </w:t>
      </w:r>
    </w:p>
    <w:p w14:paraId="5F90DB1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Freire, M. E., Lall, S., &amp; Leipziger, D. (2014). </w:t>
      </w:r>
      <w:r w:rsidRPr="009B0448">
        <w:rPr>
          <w:rFonts w:ascii="Times New Roman" w:hAnsi="Times New Roman" w:cs="Times New Roman"/>
          <w:i/>
          <w:color w:val="auto"/>
        </w:rPr>
        <w:t>Africa’s urbanization: Challenges and opportunities</w:t>
      </w:r>
      <w:r w:rsidRPr="009B0448">
        <w:rPr>
          <w:rFonts w:ascii="Times New Roman" w:hAnsi="Times New Roman" w:cs="Times New Roman"/>
          <w:color w:val="auto"/>
        </w:rPr>
        <w:t>. Washington, DC:</w:t>
      </w:r>
      <w:r w:rsidRPr="009B0448">
        <w:rPr>
          <w:rFonts w:ascii="Times New Roman" w:hAnsi="Times New Roman" w:cs="Times New Roman"/>
        </w:rPr>
        <w:t xml:space="preserve"> </w:t>
      </w:r>
      <w:r w:rsidRPr="009B0448">
        <w:rPr>
          <w:rFonts w:ascii="Times New Roman" w:hAnsi="Times New Roman" w:cs="Times New Roman"/>
          <w:color w:val="auto"/>
        </w:rPr>
        <w:t xml:space="preserve">The Growth Dialogue. Retrieved from </w:t>
      </w:r>
      <w:hyperlink r:id="rId1215" w:history="1">
        <w:r w:rsidRPr="009B0448">
          <w:rPr>
            <w:rStyle w:val="Hyperlink"/>
            <w:rFonts w:ascii="Times New Roman" w:hAnsi="Times New Roman" w:cs="Times New Roman"/>
          </w:rPr>
          <w:t>http://www.dannyleipziger.com/documents/GD_WP7.pdf</w:t>
        </w:r>
      </w:hyperlink>
      <w:r w:rsidRPr="009B0448">
        <w:rPr>
          <w:rFonts w:ascii="Times New Roman" w:hAnsi="Times New Roman" w:cs="Times New Roman"/>
          <w:color w:val="auto"/>
        </w:rPr>
        <w:t xml:space="preserve"> </w:t>
      </w:r>
    </w:p>
    <w:p w14:paraId="53320F3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Frost, P. G. H., &amp; Bond, I. (2008). The CAMPFIRE programme in Zimbabwe. Payments for wildlife services. </w:t>
      </w:r>
      <w:r w:rsidRPr="009B0448">
        <w:rPr>
          <w:rFonts w:ascii="Times New Roman" w:hAnsi="Times New Roman" w:cs="Times New Roman"/>
          <w:i/>
          <w:color w:val="auto"/>
        </w:rPr>
        <w:t>Ecological Economics, 65</w:t>
      </w:r>
      <w:r w:rsidRPr="009B0448">
        <w:rPr>
          <w:rFonts w:ascii="Times New Roman" w:hAnsi="Times New Roman" w:cs="Times New Roman"/>
          <w:color w:val="auto"/>
        </w:rPr>
        <w:t xml:space="preserve">, 776–787. </w:t>
      </w:r>
      <w:hyperlink r:id="rId1216" w:history="1">
        <w:r w:rsidRPr="009B0448">
          <w:rPr>
            <w:rStyle w:val="Hyperlink"/>
            <w:rFonts w:ascii="Times New Roman" w:hAnsi="Times New Roman" w:cs="Times New Roman"/>
          </w:rPr>
          <w:t>https://doi.org/10.1016/j.ecolecon.2007.09.018</w:t>
        </w:r>
      </w:hyperlink>
    </w:p>
    <w:p w14:paraId="427DC51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Garcia, S. M., &amp; Rosenberg, A. A. (2010). Food security and marine capture fisheries: Characteristics, trends, drivers and future perspective</w:t>
      </w:r>
      <w:r w:rsidRPr="009B0448">
        <w:rPr>
          <w:rFonts w:ascii="Times New Roman" w:hAnsi="Times New Roman" w:cs="Times New Roman"/>
          <w:i/>
          <w:color w:val="auto"/>
        </w:rPr>
        <w:t>. Philosophical Transactions of the Royal Society B: Biological Sciences, 365</w:t>
      </w:r>
      <w:r w:rsidRPr="009B0448">
        <w:rPr>
          <w:rFonts w:ascii="Times New Roman" w:hAnsi="Times New Roman" w:cs="Times New Roman"/>
          <w:color w:val="auto"/>
        </w:rPr>
        <w:t xml:space="preserve">(1554), 2869–2880. </w:t>
      </w:r>
      <w:hyperlink r:id="rId1217" w:history="1">
        <w:r w:rsidRPr="009B0448">
          <w:rPr>
            <w:rStyle w:val="Hyperlink"/>
            <w:rFonts w:ascii="Times New Roman" w:hAnsi="Times New Roman" w:cs="Times New Roman"/>
          </w:rPr>
          <w:t>https://doi.org/10.1098/rstb.2010.0171</w:t>
        </w:r>
      </w:hyperlink>
      <w:r w:rsidRPr="009B0448">
        <w:rPr>
          <w:rFonts w:ascii="Times New Roman" w:hAnsi="Times New Roman" w:cs="Times New Roman"/>
          <w:color w:val="auto"/>
        </w:rPr>
        <w:t xml:space="preserve"> </w:t>
      </w:r>
    </w:p>
    <w:p w14:paraId="6DFEA14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Gasparatos, A., &amp; Stromberg, P., (Eds.). </w:t>
      </w:r>
      <w:r w:rsidRPr="009B0448">
        <w:rPr>
          <w:rFonts w:ascii="Times New Roman" w:hAnsi="Times New Roman" w:cs="Times New Roman"/>
          <w:color w:val="auto"/>
        </w:rPr>
        <w:t xml:space="preserve">(2012). </w:t>
      </w:r>
      <w:r w:rsidRPr="009B0448">
        <w:rPr>
          <w:rFonts w:ascii="Times New Roman" w:hAnsi="Times New Roman" w:cs="Times New Roman"/>
          <w:i/>
          <w:color w:val="auto"/>
        </w:rPr>
        <w:t>Socioeconomic and environmental impacts of biofuels: Evidence from developing nations</w:t>
      </w:r>
      <w:r w:rsidRPr="009B0448">
        <w:rPr>
          <w:rFonts w:ascii="Times New Roman" w:hAnsi="Times New Roman" w:cs="Times New Roman"/>
          <w:color w:val="auto"/>
        </w:rPr>
        <w:t>. Cambridge: Cambridge University Press.</w:t>
      </w:r>
    </w:p>
    <w:p w14:paraId="5C7D004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Gathuru, G. (2011). </w:t>
      </w:r>
      <w:r w:rsidRPr="009B0448">
        <w:rPr>
          <w:rFonts w:ascii="Times New Roman" w:hAnsi="Times New Roman" w:cs="Times New Roman"/>
          <w:i/>
          <w:color w:val="auto"/>
        </w:rPr>
        <w:t>The performance of selected tree species in the rehabilitation of a limestone quarry at East African Portland cement company land, Athi River, Kenya.</w:t>
      </w:r>
      <w:r w:rsidRPr="009B0448">
        <w:rPr>
          <w:rFonts w:ascii="Times New Roman" w:hAnsi="Times New Roman" w:cs="Times New Roman"/>
          <w:color w:val="auto"/>
        </w:rPr>
        <w:t xml:space="preserve"> (Doctoral dissertation). Kenya. Retrieved from </w:t>
      </w:r>
      <w:hyperlink r:id="rId1218" w:history="1">
        <w:r w:rsidRPr="009B0448">
          <w:rPr>
            <w:rStyle w:val="Hyperlink"/>
            <w:rFonts w:ascii="Times New Roman" w:hAnsi="Times New Roman" w:cs="Times New Roman"/>
          </w:rPr>
          <w:t>http://ir-library.ku.ac.ke/handle/123456789/3849</w:t>
        </w:r>
      </w:hyperlink>
      <w:r w:rsidRPr="009B0448">
        <w:rPr>
          <w:rStyle w:val="Hyperlink"/>
          <w:rFonts w:ascii="Times New Roman" w:hAnsi="Times New Roman" w:cs="Times New Roman"/>
          <w:color w:val="auto"/>
        </w:rPr>
        <w:t>. (2012-04-12T07:50:24Z).</w:t>
      </w:r>
    </w:p>
    <w:p w14:paraId="42813AC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Geerts, S., &amp; Pauw, A. (2009). African sunbirds hover to pollinate an invasive hummingbird-pollinated plant. </w:t>
      </w:r>
      <w:r w:rsidRPr="009B0448">
        <w:rPr>
          <w:rFonts w:ascii="Times New Roman" w:hAnsi="Times New Roman" w:cs="Times New Roman"/>
          <w:i/>
          <w:color w:val="auto"/>
        </w:rPr>
        <w:t xml:space="preserve">Oikos, 118, </w:t>
      </w:r>
      <w:r w:rsidRPr="009B0448">
        <w:rPr>
          <w:rFonts w:ascii="Times New Roman" w:hAnsi="Times New Roman" w:cs="Times New Roman"/>
          <w:color w:val="auto"/>
        </w:rPr>
        <w:t xml:space="preserve">573–579. </w:t>
      </w:r>
      <w:hyperlink r:id="rId1219" w:history="1">
        <w:r w:rsidRPr="009B0448">
          <w:rPr>
            <w:rStyle w:val="Hyperlink"/>
            <w:rFonts w:ascii="Times New Roman" w:hAnsi="Times New Roman" w:cs="Times New Roman"/>
          </w:rPr>
          <w:t>https://doi.org/10.1111/j.1600-0706.2008.17167.x</w:t>
        </w:r>
      </w:hyperlink>
      <w:r w:rsidRPr="009B0448">
        <w:rPr>
          <w:rFonts w:ascii="Times New Roman" w:hAnsi="Times New Roman" w:cs="Times New Roman"/>
          <w:color w:val="auto"/>
        </w:rPr>
        <w:t xml:space="preserve"> </w:t>
      </w:r>
    </w:p>
    <w:p w14:paraId="72B7BB1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Geist, H. J., &amp; Lambin, E. F. (2001). </w:t>
      </w:r>
      <w:r w:rsidRPr="009B0448">
        <w:rPr>
          <w:rFonts w:ascii="Times New Roman" w:hAnsi="Times New Roman" w:cs="Times New Roman"/>
          <w:i/>
          <w:color w:val="auto"/>
        </w:rPr>
        <w:t>What drives tropical deforestation? A meta-analysis of proximate and underlying causes of deforestation based on sub-national case study evidence</w:t>
      </w:r>
      <w:r w:rsidRPr="009B0448">
        <w:rPr>
          <w:rFonts w:ascii="Times New Roman" w:hAnsi="Times New Roman" w:cs="Times New Roman"/>
          <w:color w:val="auto"/>
        </w:rPr>
        <w:t xml:space="preserve">. Louvain-la-Neuve, Belgium: Land Use/Land Cover Change International Project Office. Retrieved from </w:t>
      </w:r>
      <w:hyperlink r:id="rId1220" w:history="1">
        <w:r w:rsidRPr="009B0448">
          <w:rPr>
            <w:rStyle w:val="Hyperlink"/>
            <w:rFonts w:ascii="Times New Roman" w:hAnsi="Times New Roman" w:cs="Times New Roman"/>
          </w:rPr>
          <w:t>http://www.pik-potsdam.de/~luedeke/lucc4.pdf</w:t>
        </w:r>
      </w:hyperlink>
      <w:r w:rsidRPr="009B0448">
        <w:rPr>
          <w:rFonts w:ascii="Times New Roman" w:hAnsi="Times New Roman" w:cs="Times New Roman"/>
          <w:color w:val="auto"/>
        </w:rPr>
        <w:t xml:space="preserve"> </w:t>
      </w:r>
    </w:p>
    <w:p w14:paraId="0D91CF1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Geldenhuys, C. J. (1986). Costs and benefits of the Australian blackwood, </w:t>
      </w:r>
      <w:r w:rsidRPr="009B0448">
        <w:rPr>
          <w:rFonts w:ascii="Times New Roman" w:hAnsi="Times New Roman" w:cs="Times New Roman"/>
          <w:i/>
          <w:color w:val="auto"/>
        </w:rPr>
        <w:t>Acacia melanoxylon</w:t>
      </w:r>
      <w:r w:rsidRPr="009B0448">
        <w:rPr>
          <w:rFonts w:ascii="Times New Roman" w:hAnsi="Times New Roman" w:cs="Times New Roman"/>
          <w:color w:val="auto"/>
        </w:rPr>
        <w:t xml:space="preserve">, in South African forestry. In I. A. W. Macdonald, F. J. Kruger, &amp; A. A. Ferrar (Eds.), </w:t>
      </w:r>
      <w:r w:rsidRPr="009B0448">
        <w:rPr>
          <w:rFonts w:ascii="Times New Roman" w:hAnsi="Times New Roman" w:cs="Times New Roman"/>
          <w:i/>
          <w:color w:val="auto"/>
        </w:rPr>
        <w:t>The ecology and management of biological invasions in Southern Africa</w:t>
      </w:r>
      <w:r w:rsidRPr="009B0448">
        <w:rPr>
          <w:rFonts w:ascii="Times New Roman" w:hAnsi="Times New Roman" w:cs="Times New Roman"/>
          <w:color w:val="auto"/>
        </w:rPr>
        <w:t xml:space="preserve"> (pp. 275–283). Cape Town, South Africa: Oxford University Press. Retrieved from </w:t>
      </w:r>
      <w:hyperlink r:id="rId1221" w:history="1">
        <w:r w:rsidRPr="009B0448">
          <w:rPr>
            <w:rStyle w:val="Hyperlink"/>
            <w:rFonts w:ascii="Times New Roman" w:hAnsi="Times New Roman" w:cs="Times New Roman"/>
          </w:rPr>
          <w:t>https://www.cabdirect.org/cabdirect/abstract/19901182085</w:t>
        </w:r>
      </w:hyperlink>
      <w:r w:rsidRPr="009B0448">
        <w:rPr>
          <w:rFonts w:ascii="Times New Roman" w:hAnsi="Times New Roman" w:cs="Times New Roman"/>
          <w:color w:val="auto"/>
        </w:rPr>
        <w:t xml:space="preserve"> </w:t>
      </w:r>
    </w:p>
    <w:p w14:paraId="2DC2FF9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Gertsberg, D. (2011). </w:t>
      </w:r>
      <w:r w:rsidRPr="009B0448">
        <w:rPr>
          <w:rFonts w:ascii="Times New Roman" w:hAnsi="Times New Roman" w:cs="Times New Roman"/>
          <w:i/>
          <w:color w:val="auto"/>
        </w:rPr>
        <w:t>Loss of biodiversity and genetically modified crops</w:t>
      </w:r>
      <w:r w:rsidRPr="009B0448">
        <w:rPr>
          <w:rFonts w:ascii="Times New Roman" w:hAnsi="Times New Roman" w:cs="Times New Roman"/>
          <w:color w:val="auto"/>
        </w:rPr>
        <w:t xml:space="preserve">. Retrieved from </w:t>
      </w:r>
      <w:hyperlink r:id="rId1222" w:history="1">
        <w:r w:rsidRPr="009B0448">
          <w:rPr>
            <w:rStyle w:val="Hyperlink"/>
            <w:rFonts w:ascii="Times New Roman" w:hAnsi="Times New Roman" w:cs="Times New Roman"/>
          </w:rPr>
          <w:t>http://gmo-journal.com/2011/06/17/loss-of-biodiversity-and-genetically-modified-crops/</w:t>
        </w:r>
      </w:hyperlink>
    </w:p>
    <w:p w14:paraId="2CD5552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Ghebrezgabher, M. G., Yang, T., &amp; Yang, X. (2016). Long-term trend of climate change and drought assessment in the horn of Africa. </w:t>
      </w:r>
      <w:r w:rsidRPr="009B0448">
        <w:rPr>
          <w:rFonts w:ascii="Times New Roman" w:hAnsi="Times New Roman" w:cs="Times New Roman"/>
          <w:i/>
          <w:color w:val="auto"/>
        </w:rPr>
        <w:t>Advances in Meteorology,</w:t>
      </w:r>
      <w:r w:rsidRPr="009B0448">
        <w:rPr>
          <w:rFonts w:ascii="Times New Roman" w:hAnsi="Times New Roman" w:cs="Times New Roman"/>
          <w:color w:val="auto"/>
        </w:rPr>
        <w:t xml:space="preserve"> 8057641. </w:t>
      </w:r>
      <w:hyperlink r:id="rId1223" w:history="1">
        <w:r w:rsidRPr="009B0448">
          <w:rPr>
            <w:rStyle w:val="Hyperlink"/>
            <w:rFonts w:ascii="Times New Roman" w:hAnsi="Times New Roman" w:cs="Times New Roman"/>
          </w:rPr>
          <w:t>https://doi.org/10.1155/2016/8057641</w:t>
        </w:r>
      </w:hyperlink>
      <w:r w:rsidRPr="009B0448">
        <w:rPr>
          <w:rFonts w:ascii="Times New Roman" w:hAnsi="Times New Roman" w:cs="Times New Roman"/>
          <w:color w:val="auto"/>
        </w:rPr>
        <w:t xml:space="preserve"> </w:t>
      </w:r>
    </w:p>
    <w:p w14:paraId="0F314DBB" w14:textId="77777777" w:rsidR="009B0448" w:rsidRPr="009B0448" w:rsidRDefault="009B0448" w:rsidP="009B0448">
      <w:pPr>
        <w:pStyle w:val="NoSpacing"/>
        <w:spacing w:after="120" w:line="276" w:lineRule="auto"/>
        <w:ind w:left="567" w:hanging="567"/>
        <w:rPr>
          <w:rFonts w:ascii="Times New Roman" w:hAnsi="Times New Roman" w:cs="Times New Roman"/>
          <w:color w:val="auto"/>
          <w:lang w:val="de-DE"/>
        </w:rPr>
      </w:pPr>
      <w:r w:rsidRPr="009B0448">
        <w:rPr>
          <w:rFonts w:ascii="Times New Roman" w:hAnsi="Times New Roman" w:cs="Times New Roman"/>
          <w:color w:val="auto"/>
          <w:lang w:val="de-DE"/>
        </w:rPr>
        <w:t xml:space="preserve">Gibbs, H. K., &amp; Salmon, J. M. (2015). Mapping the world's degraded lands. </w:t>
      </w:r>
      <w:r w:rsidRPr="009B0448">
        <w:rPr>
          <w:rFonts w:ascii="Times New Roman" w:hAnsi="Times New Roman" w:cs="Times New Roman"/>
          <w:i/>
          <w:color w:val="auto"/>
          <w:lang w:val="de-DE"/>
        </w:rPr>
        <w:t>Applied Geography, 57</w:t>
      </w:r>
      <w:r w:rsidRPr="009B0448">
        <w:rPr>
          <w:rFonts w:ascii="Times New Roman" w:hAnsi="Times New Roman" w:cs="Times New Roman"/>
          <w:color w:val="auto"/>
          <w:lang w:val="de-DE"/>
        </w:rPr>
        <w:t>, 12</w:t>
      </w:r>
      <w:r w:rsidRPr="009B0448">
        <w:rPr>
          <w:rFonts w:ascii="Times New Roman" w:hAnsi="Times New Roman" w:cs="Times New Roman"/>
          <w:color w:val="auto"/>
        </w:rPr>
        <w:t>–</w:t>
      </w:r>
      <w:r w:rsidRPr="009B0448">
        <w:rPr>
          <w:rFonts w:ascii="Times New Roman" w:hAnsi="Times New Roman" w:cs="Times New Roman"/>
          <w:color w:val="auto"/>
          <w:lang w:val="de-DE"/>
        </w:rPr>
        <w:t xml:space="preserve">21. </w:t>
      </w:r>
      <w:hyperlink r:id="rId1224" w:history="1">
        <w:r w:rsidRPr="009B0448">
          <w:rPr>
            <w:rStyle w:val="Hyperlink"/>
            <w:rFonts w:ascii="Times New Roman" w:hAnsi="Times New Roman" w:cs="Times New Roman"/>
            <w:lang w:val="de-DE"/>
          </w:rPr>
          <w:t>https://doi.org/10.1016/j.apgeog.2014.11.024</w:t>
        </w:r>
      </w:hyperlink>
      <w:r w:rsidRPr="009B0448">
        <w:rPr>
          <w:rFonts w:ascii="Times New Roman" w:hAnsi="Times New Roman" w:cs="Times New Roman"/>
          <w:color w:val="auto"/>
          <w:lang w:val="de-DE"/>
        </w:rPr>
        <w:t xml:space="preserve"> </w:t>
      </w:r>
    </w:p>
    <w:p w14:paraId="717FC31E"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Gillet, P., Vermeulen, C., Feintrenie, L., Dessard, H., &amp; Garcia, C. (2016). </w:t>
      </w:r>
      <w:r w:rsidRPr="009B0448">
        <w:rPr>
          <w:rFonts w:ascii="Times New Roman" w:hAnsi="Times New Roman" w:cs="Times New Roman"/>
          <w:color w:val="auto"/>
        </w:rPr>
        <w:t xml:space="preserve">Quelles sont les causes de la déforestation dans le bassin du Congo? Synthèse bibliographique et études de cas. </w:t>
      </w:r>
      <w:r w:rsidRPr="009B0448">
        <w:rPr>
          <w:rFonts w:ascii="Times New Roman" w:hAnsi="Times New Roman" w:cs="Times New Roman"/>
          <w:i/>
          <w:color w:val="auto"/>
        </w:rPr>
        <w:t>Biotechnologie, Agronomie, Société et Environnement, 20</w:t>
      </w:r>
      <w:r w:rsidRPr="009B0448">
        <w:rPr>
          <w:rFonts w:ascii="Times New Roman" w:hAnsi="Times New Roman" w:cs="Times New Roman"/>
          <w:color w:val="auto"/>
        </w:rPr>
        <w:t xml:space="preserve">(2), 183. Retrieved from </w:t>
      </w:r>
      <w:hyperlink r:id="rId1225" w:history="1">
        <w:r w:rsidRPr="009B0448">
          <w:rPr>
            <w:rStyle w:val="Hyperlink"/>
            <w:rFonts w:ascii="Times New Roman" w:hAnsi="Times New Roman" w:cs="Times New Roman"/>
          </w:rPr>
          <w:t>http://popups.ulg.ac.be/1780-4507/index.php?id=13022</w:t>
        </w:r>
      </w:hyperlink>
      <w:r w:rsidRPr="009B0448">
        <w:rPr>
          <w:rFonts w:ascii="Times New Roman" w:hAnsi="Times New Roman" w:cs="Times New Roman"/>
          <w:color w:val="auto"/>
        </w:rPr>
        <w:t xml:space="preserve"> </w:t>
      </w:r>
    </w:p>
    <w:p w14:paraId="4D6D3AF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Githitho, A. (2005). </w:t>
      </w:r>
      <w:r w:rsidRPr="009B0448">
        <w:rPr>
          <w:rFonts w:ascii="Times New Roman" w:hAnsi="Times New Roman" w:cs="Times New Roman"/>
          <w:i/>
          <w:color w:val="auto"/>
        </w:rPr>
        <w:t>The sacred Mijikenda Kayas of coastal Kenya: Traditional conservation and management practices</w:t>
      </w:r>
      <w:r w:rsidRPr="009B0448">
        <w:rPr>
          <w:rFonts w:ascii="Times New Roman" w:hAnsi="Times New Roman" w:cs="Times New Roman"/>
          <w:color w:val="auto"/>
        </w:rPr>
        <w:t>. Rome, Italy: International Centre for the Study of the Preservation and Restoration of Cultural Property. Retrieved from</w:t>
      </w:r>
      <w:r w:rsidRPr="009B0448">
        <w:rPr>
          <w:rFonts w:ascii="Times New Roman" w:hAnsi="Times New Roman" w:cs="Times New Roman"/>
        </w:rPr>
        <w:t xml:space="preserve"> </w:t>
      </w:r>
      <w:hyperlink r:id="rId1226" w:history="1">
        <w:r w:rsidRPr="009B0448">
          <w:rPr>
            <w:rStyle w:val="Hyperlink"/>
            <w:rFonts w:ascii="Times New Roman" w:hAnsi="Times New Roman" w:cs="Times New Roman"/>
          </w:rPr>
          <w:t>https://whc.unesco.org/uploads/nominations/1231rev.pdf</w:t>
        </w:r>
      </w:hyperlink>
      <w:r w:rsidRPr="009B0448">
        <w:rPr>
          <w:rFonts w:ascii="Times New Roman" w:hAnsi="Times New Roman" w:cs="Times New Roman"/>
          <w:color w:val="auto"/>
        </w:rPr>
        <w:t xml:space="preserve">  </w:t>
      </w:r>
    </w:p>
    <w:p w14:paraId="727C640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Gornall, J., Betts, R., Burke, E., Clark, R., Camp, J., Willett, K., &amp; Wiltshire, A. (2010). Implications of climate change for agricultural productivity in the early twenty-first century</w:t>
      </w:r>
      <w:r w:rsidRPr="009B0448">
        <w:rPr>
          <w:rFonts w:ascii="Times New Roman" w:hAnsi="Times New Roman" w:cs="Times New Roman"/>
          <w:i/>
          <w:color w:val="auto"/>
        </w:rPr>
        <w:t>. Philosophical Transactions of the Royal Society B: Biological Sciences, 365,</w:t>
      </w:r>
      <w:r w:rsidRPr="009B0448">
        <w:rPr>
          <w:rFonts w:ascii="Times New Roman" w:hAnsi="Times New Roman" w:cs="Times New Roman"/>
          <w:color w:val="auto"/>
        </w:rPr>
        <w:t xml:space="preserve"> 2973–2989. </w:t>
      </w:r>
      <w:hyperlink r:id="rId1227" w:history="1">
        <w:r w:rsidRPr="009B0448">
          <w:rPr>
            <w:rStyle w:val="Hyperlink"/>
            <w:rFonts w:ascii="Times New Roman" w:hAnsi="Times New Roman" w:cs="Times New Roman"/>
          </w:rPr>
          <w:t>https://doi.org/10.1098/rstb.2010.0158</w:t>
        </w:r>
      </w:hyperlink>
      <w:r w:rsidRPr="009B0448">
        <w:rPr>
          <w:rFonts w:ascii="Times New Roman" w:hAnsi="Times New Roman" w:cs="Times New Roman"/>
          <w:color w:val="auto"/>
        </w:rPr>
        <w:t xml:space="preserve"> </w:t>
      </w:r>
    </w:p>
    <w:p w14:paraId="29157CB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Goudie, A. (1990). </w:t>
      </w:r>
      <w:r w:rsidRPr="009B0448">
        <w:rPr>
          <w:rFonts w:ascii="Times New Roman" w:hAnsi="Times New Roman" w:cs="Times New Roman"/>
          <w:i/>
          <w:color w:val="auto"/>
        </w:rPr>
        <w:t>The human impact on the natural environment</w:t>
      </w:r>
      <w:r w:rsidRPr="009B0448">
        <w:rPr>
          <w:rFonts w:ascii="Times New Roman" w:hAnsi="Times New Roman" w:cs="Times New Roman"/>
          <w:color w:val="auto"/>
        </w:rPr>
        <w:t xml:space="preserve">. Oxford: Basil Blackwell. Retrieved from </w:t>
      </w:r>
      <w:hyperlink r:id="rId1228" w:history="1">
        <w:r w:rsidRPr="009B0448">
          <w:rPr>
            <w:rStyle w:val="Hyperlink"/>
            <w:rFonts w:ascii="Times New Roman" w:hAnsi="Times New Roman" w:cs="Times New Roman"/>
          </w:rPr>
          <w:t>www.wiley.com/go/goudiehumanimpact</w:t>
        </w:r>
      </w:hyperlink>
      <w:r w:rsidRPr="009B0448">
        <w:rPr>
          <w:rFonts w:ascii="Times New Roman" w:hAnsi="Times New Roman" w:cs="Times New Roman"/>
          <w:color w:val="auto"/>
        </w:rPr>
        <w:t xml:space="preserve"> </w:t>
      </w:r>
    </w:p>
    <w:p w14:paraId="385F3A9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GRAIN. (2013). </w:t>
      </w:r>
      <w:r w:rsidRPr="009B0448">
        <w:rPr>
          <w:rFonts w:ascii="Times New Roman" w:hAnsi="Times New Roman" w:cs="Times New Roman"/>
          <w:i/>
          <w:color w:val="auto"/>
        </w:rPr>
        <w:t>Land grabbing for biofuels must stop</w:t>
      </w:r>
      <w:r w:rsidRPr="009B0448">
        <w:rPr>
          <w:rFonts w:ascii="Times New Roman" w:hAnsi="Times New Roman" w:cs="Times New Roman"/>
          <w:color w:val="auto"/>
        </w:rPr>
        <w:t xml:space="preserve">. Barcelona, Spain: GRAIN. Retrieved from </w:t>
      </w:r>
      <w:hyperlink r:id="rId1229" w:history="1">
        <w:r w:rsidRPr="009B0448">
          <w:rPr>
            <w:rStyle w:val="Hyperlink"/>
            <w:rFonts w:ascii="Times New Roman" w:hAnsi="Times New Roman" w:cs="Times New Roman"/>
          </w:rPr>
          <w:t>https://www.grain.org/article/entries/4653-land-grabbing-for-biofuels-must-stop</w:t>
        </w:r>
      </w:hyperlink>
    </w:p>
    <w:p w14:paraId="3857D48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Gray, M., McNeilage, A., Fawcett, K., Robbins, M. M., Ssebide, B., Mbula, D., &amp; Uwingeli, P. (2010). Censusing the mountain gorillas in the Virunga volcanoes: Complete sweep method versus monitoring. </w:t>
      </w:r>
      <w:r w:rsidRPr="009B0448">
        <w:rPr>
          <w:rFonts w:ascii="Times New Roman" w:hAnsi="Times New Roman" w:cs="Times New Roman"/>
          <w:i/>
          <w:color w:val="auto"/>
        </w:rPr>
        <w:t>African Journal of Ecology, 48,</w:t>
      </w:r>
      <w:r w:rsidRPr="009B0448">
        <w:rPr>
          <w:rFonts w:ascii="Times New Roman" w:hAnsi="Times New Roman" w:cs="Times New Roman"/>
          <w:color w:val="auto"/>
        </w:rPr>
        <w:t xml:space="preserve"> 588–599. </w:t>
      </w:r>
      <w:hyperlink r:id="rId1230" w:history="1">
        <w:r w:rsidRPr="009B0448">
          <w:rPr>
            <w:rStyle w:val="Hyperlink"/>
            <w:rFonts w:ascii="Times New Roman" w:hAnsi="Times New Roman" w:cs="Times New Roman"/>
          </w:rPr>
          <w:t>https://doi.org/10.1111/j.1365-2028.2009.01142.x</w:t>
        </w:r>
      </w:hyperlink>
      <w:r w:rsidRPr="009B0448">
        <w:rPr>
          <w:rFonts w:ascii="Times New Roman" w:hAnsi="Times New Roman" w:cs="Times New Roman"/>
          <w:color w:val="auto"/>
        </w:rPr>
        <w:t xml:space="preserve"> </w:t>
      </w:r>
    </w:p>
    <w:p w14:paraId="1C81FE5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Guha-Sapir, D., Hargitt, D., &amp; Hoyois, P. (2004). </w:t>
      </w:r>
      <w:r w:rsidRPr="009B0448">
        <w:rPr>
          <w:rFonts w:ascii="Times New Roman" w:hAnsi="Times New Roman" w:cs="Times New Roman"/>
          <w:i/>
          <w:color w:val="auto"/>
        </w:rPr>
        <w:t>Thirty years of natural disaster 1974 to 2003: The numbers, centre for research on the epidemiology of disaster</w:t>
      </w:r>
      <w:r w:rsidRPr="009B0448">
        <w:rPr>
          <w:rFonts w:ascii="Times New Roman" w:hAnsi="Times New Roman" w:cs="Times New Roman"/>
          <w:color w:val="auto"/>
        </w:rPr>
        <w:t xml:space="preserve">. Brussels, Belgium: Presses univ. de Louvain. Retrieved from </w:t>
      </w:r>
      <w:hyperlink r:id="rId1231" w:history="1">
        <w:r w:rsidRPr="009B0448">
          <w:rPr>
            <w:rStyle w:val="Hyperlink"/>
            <w:rFonts w:ascii="Times New Roman" w:hAnsi="Times New Roman" w:cs="Times New Roman"/>
          </w:rPr>
          <w:t>https://www.unisdr.org/files/1078_publication2004emdat.pdf</w:t>
        </w:r>
      </w:hyperlink>
      <w:r w:rsidRPr="009B0448">
        <w:rPr>
          <w:rFonts w:ascii="Times New Roman" w:hAnsi="Times New Roman" w:cs="Times New Roman"/>
          <w:color w:val="auto"/>
        </w:rPr>
        <w:t xml:space="preserve"> </w:t>
      </w:r>
    </w:p>
    <w:p w14:paraId="42061BC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Guha-Sapir, D., Hoyois, P., &amp; Below, R. (2016). </w:t>
      </w:r>
      <w:r w:rsidRPr="009B0448">
        <w:rPr>
          <w:rFonts w:ascii="Times New Roman" w:hAnsi="Times New Roman" w:cs="Times New Roman"/>
          <w:i/>
          <w:color w:val="auto"/>
        </w:rPr>
        <w:t>Annual disaster statistical review 2015: The numbers and trends</w:t>
      </w:r>
      <w:r w:rsidRPr="009B0448">
        <w:rPr>
          <w:rFonts w:ascii="Times New Roman" w:hAnsi="Times New Roman" w:cs="Times New Roman"/>
          <w:color w:val="auto"/>
        </w:rPr>
        <w:t xml:space="preserve">. Brussels, Belgium: Presses univ. de Louvain. Retrieved from </w:t>
      </w:r>
      <w:hyperlink r:id="rId1232" w:history="1">
        <w:r w:rsidRPr="009B0448">
          <w:rPr>
            <w:rStyle w:val="Hyperlink"/>
            <w:rFonts w:ascii="Times New Roman" w:hAnsi="Times New Roman" w:cs="Times New Roman"/>
          </w:rPr>
          <w:t>http://emdat.be/sites/default/files/adsr_2016.pdf</w:t>
        </w:r>
      </w:hyperlink>
      <w:r w:rsidRPr="009B0448">
        <w:rPr>
          <w:rFonts w:ascii="Times New Roman" w:hAnsi="Times New Roman" w:cs="Times New Roman"/>
          <w:color w:val="auto"/>
        </w:rPr>
        <w:t xml:space="preserve"> </w:t>
      </w:r>
    </w:p>
    <w:p w14:paraId="7F647D8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Guiserix, M., Bahi-Jaber, N., Fouchet, D., Sauvage, F., &amp; Pontier, D. (2007). The canine distemper epidemic in Serengeti: Are lions victims of a new highly virulent canine distemper virus strain, or is pathogen circulation stochasticity to blame? </w:t>
      </w:r>
      <w:r w:rsidRPr="009B0448">
        <w:rPr>
          <w:rFonts w:ascii="Times New Roman" w:hAnsi="Times New Roman" w:cs="Times New Roman"/>
          <w:i/>
          <w:color w:val="auto"/>
        </w:rPr>
        <w:t>Journal of the Royal Society Interface, 4</w:t>
      </w:r>
      <w:r w:rsidRPr="009B0448">
        <w:rPr>
          <w:rFonts w:ascii="Times New Roman" w:hAnsi="Times New Roman" w:cs="Times New Roman"/>
          <w:color w:val="auto"/>
        </w:rPr>
        <w:t xml:space="preserve">, 1127–1134. </w:t>
      </w:r>
      <w:hyperlink r:id="rId1233" w:history="1">
        <w:r w:rsidRPr="009B0448">
          <w:rPr>
            <w:rStyle w:val="Hyperlink"/>
            <w:rFonts w:ascii="Times New Roman" w:hAnsi="Times New Roman" w:cs="Times New Roman"/>
          </w:rPr>
          <w:t>https://doi.org/10.1098/rsif.2007.0235</w:t>
        </w:r>
      </w:hyperlink>
      <w:r w:rsidRPr="009B0448">
        <w:rPr>
          <w:rFonts w:ascii="Times New Roman" w:hAnsi="Times New Roman" w:cs="Times New Roman"/>
          <w:color w:val="auto"/>
        </w:rPr>
        <w:t xml:space="preserve"> </w:t>
      </w:r>
    </w:p>
    <w:p w14:paraId="4D3094E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Hall, J., Burgess, N. D., Lovett J., Mbilinyi, B., &amp; Gereau, R. E. (2009). Conservation implications of deforestation across an elevational gradient in the Eastern Arc Mountains, Tanzania. </w:t>
      </w:r>
      <w:r w:rsidRPr="009B0448">
        <w:rPr>
          <w:rFonts w:ascii="Times New Roman" w:hAnsi="Times New Roman" w:cs="Times New Roman"/>
          <w:i/>
          <w:color w:val="auto"/>
        </w:rPr>
        <w:t>Biological Conservation, 142,</w:t>
      </w:r>
      <w:r w:rsidRPr="009B0448">
        <w:rPr>
          <w:rFonts w:ascii="Times New Roman" w:hAnsi="Times New Roman" w:cs="Times New Roman"/>
          <w:color w:val="auto"/>
        </w:rPr>
        <w:t xml:space="preserve"> 2510–2521. </w:t>
      </w:r>
      <w:hyperlink r:id="rId1234" w:history="1">
        <w:r w:rsidRPr="009B0448">
          <w:rPr>
            <w:rStyle w:val="Hyperlink"/>
            <w:rFonts w:ascii="Times New Roman" w:hAnsi="Times New Roman" w:cs="Times New Roman"/>
          </w:rPr>
          <w:t>https://doi.org/10.1016/j.biocon.2009.05.028</w:t>
        </w:r>
      </w:hyperlink>
    </w:p>
    <w:p w14:paraId="5BCC913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Hall, R. (2011). </w:t>
      </w:r>
      <w:r w:rsidRPr="009B0448">
        <w:rPr>
          <w:rFonts w:ascii="Times New Roman" w:hAnsi="Times New Roman" w:cs="Times New Roman"/>
          <w:i/>
          <w:color w:val="auto"/>
        </w:rPr>
        <w:t>The many faces of the investor rush in Southern Africa: Towards a typology of commercial land deals</w:t>
      </w:r>
      <w:r w:rsidRPr="009B0448">
        <w:rPr>
          <w:rFonts w:ascii="Times New Roman" w:hAnsi="Times New Roman" w:cs="Times New Roman"/>
          <w:color w:val="auto"/>
        </w:rPr>
        <w:t xml:space="preserve">. University of the Western Cape, South Africa: Institute for Poverty, Land and Agrarian Studies. Retrieved from </w:t>
      </w:r>
      <w:hyperlink r:id="rId1235" w:history="1">
        <w:r w:rsidRPr="009B0448">
          <w:rPr>
            <w:rStyle w:val="Hyperlink"/>
            <w:rFonts w:ascii="Times New Roman" w:hAnsi="Times New Roman" w:cs="Times New Roman"/>
          </w:rPr>
          <w:t>https://www.tni.org/files/Hall%20ICAS%20WP%202.pdf</w:t>
        </w:r>
      </w:hyperlink>
    </w:p>
    <w:p w14:paraId="51EBF97E"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Halmy, M. W., Gessler, P. E., Hicke, J. A., &amp; Salem, B. B. (2015). Land-use/land-cover change detection and prediction in the north-western coastal desert of Egypt using Markov-CA. </w:t>
      </w:r>
      <w:r w:rsidRPr="009B0448">
        <w:rPr>
          <w:rFonts w:ascii="Times New Roman" w:hAnsi="Times New Roman" w:cs="Times New Roman"/>
          <w:i/>
          <w:color w:val="auto"/>
        </w:rPr>
        <w:t>Applied Geography, 63,</w:t>
      </w:r>
      <w:r w:rsidRPr="009B0448">
        <w:rPr>
          <w:rFonts w:ascii="Times New Roman" w:hAnsi="Times New Roman" w:cs="Times New Roman"/>
          <w:color w:val="auto"/>
        </w:rPr>
        <w:t xml:space="preserve"> 101–112. </w:t>
      </w:r>
      <w:hyperlink r:id="rId1236" w:history="1">
        <w:r w:rsidRPr="009B0448">
          <w:rPr>
            <w:rStyle w:val="Hyperlink"/>
            <w:rFonts w:ascii="Times New Roman" w:hAnsi="Times New Roman" w:cs="Times New Roman"/>
          </w:rPr>
          <w:t>https://doi.org/10.1016/j.apgeog.2015.06.015</w:t>
        </w:r>
      </w:hyperlink>
    </w:p>
    <w:p w14:paraId="64CF430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Hannah, L., Midgley, G. F., Lovejoy, T., Bond, W. J., Bush, M., Lovett, J. C., Scott, D., &amp; Woodward, F. I. (2002). Conservation of biodiversity in a changing climate. </w:t>
      </w:r>
      <w:r w:rsidRPr="009B0448">
        <w:rPr>
          <w:rFonts w:ascii="Times New Roman" w:hAnsi="Times New Roman" w:cs="Times New Roman"/>
          <w:i/>
          <w:color w:val="auto"/>
        </w:rPr>
        <w:t>Conservation Biology, 16</w:t>
      </w:r>
      <w:r w:rsidRPr="009B0448">
        <w:rPr>
          <w:rFonts w:ascii="Times New Roman" w:hAnsi="Times New Roman" w:cs="Times New Roman"/>
          <w:color w:val="auto"/>
        </w:rPr>
        <w:t xml:space="preserve">(1), 264–268. </w:t>
      </w:r>
      <w:hyperlink r:id="rId1237" w:history="1">
        <w:r w:rsidRPr="009B0448">
          <w:rPr>
            <w:rStyle w:val="Hyperlink"/>
            <w:rFonts w:ascii="Times New Roman" w:hAnsi="Times New Roman" w:cs="Times New Roman"/>
          </w:rPr>
          <w:t>https://doi.org/10.1046/j.1523-1739.2002.00465.x</w:t>
        </w:r>
      </w:hyperlink>
      <w:r w:rsidRPr="009B0448">
        <w:rPr>
          <w:rFonts w:ascii="Times New Roman" w:hAnsi="Times New Roman" w:cs="Times New Roman"/>
          <w:color w:val="auto"/>
        </w:rPr>
        <w:t xml:space="preserve"> </w:t>
      </w:r>
    </w:p>
    <w:p w14:paraId="7E4BE8E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Hannah, L., Midgley, G., Andelman, S., Araújo, M., Hughes, G., Martinez-Meyer, E., Pearson, R., &amp; Williams, P. (2007). Protected area needs in a changing climate. </w:t>
      </w:r>
      <w:r w:rsidRPr="009B0448">
        <w:rPr>
          <w:rFonts w:ascii="Times New Roman" w:hAnsi="Times New Roman" w:cs="Times New Roman"/>
          <w:i/>
          <w:color w:val="auto"/>
        </w:rPr>
        <w:t>Frontiers in Ecology and the Environment, 5</w:t>
      </w:r>
      <w:r w:rsidRPr="009B0448">
        <w:rPr>
          <w:rFonts w:ascii="Times New Roman" w:hAnsi="Times New Roman" w:cs="Times New Roman"/>
          <w:color w:val="auto"/>
        </w:rPr>
        <w:t xml:space="preserve">(3), 131–138. </w:t>
      </w:r>
      <w:hyperlink r:id="rId1238" w:history="1">
        <w:r w:rsidRPr="009B0448">
          <w:rPr>
            <w:rStyle w:val="Hyperlink"/>
            <w:rFonts w:ascii="Times New Roman" w:hAnsi="Times New Roman" w:cs="Times New Roman"/>
          </w:rPr>
          <w:t>https://doi.org/10.1890/1540-9295(2007)5[131:PANIAC]2.0.CO;2</w:t>
        </w:r>
      </w:hyperlink>
      <w:r w:rsidRPr="009B0448">
        <w:rPr>
          <w:rFonts w:ascii="Times New Roman" w:hAnsi="Times New Roman" w:cs="Times New Roman"/>
          <w:color w:val="auto"/>
        </w:rPr>
        <w:t xml:space="preserve"> </w:t>
      </w:r>
    </w:p>
    <w:p w14:paraId="4132623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Hansen, M. C., Potapov, P. V., Moore, R., Hancher, M., Turubanova, S. A., Tyukavina, A., Thau, D., Stehman, S. V., Goetz, S. J., Loveland, T. R., Kommereddy, A., Egorov, A., Chini, L., Justice, C. O., &amp; Townshend, J. R. G. (2013). High-resolution global maps of 21st-century forest cover change. </w:t>
      </w:r>
      <w:r w:rsidRPr="009B0448">
        <w:rPr>
          <w:rFonts w:ascii="Times New Roman" w:hAnsi="Times New Roman" w:cs="Times New Roman"/>
          <w:i/>
          <w:color w:val="auto"/>
        </w:rPr>
        <w:t>Science, 342</w:t>
      </w:r>
      <w:r w:rsidRPr="009B0448">
        <w:rPr>
          <w:rFonts w:ascii="Times New Roman" w:hAnsi="Times New Roman" w:cs="Times New Roman"/>
          <w:color w:val="auto"/>
        </w:rPr>
        <w:t xml:space="preserve">(6160), 850–853. </w:t>
      </w:r>
      <w:hyperlink r:id="rId1239" w:history="1">
        <w:r w:rsidRPr="009B0448">
          <w:rPr>
            <w:rStyle w:val="Hyperlink"/>
            <w:rFonts w:ascii="Times New Roman" w:hAnsi="Times New Roman" w:cs="Times New Roman"/>
          </w:rPr>
          <w:t>https://doi.org/10.1126/science.1244693</w:t>
        </w:r>
      </w:hyperlink>
      <w:r w:rsidRPr="009B0448">
        <w:rPr>
          <w:rFonts w:ascii="Times New Roman" w:hAnsi="Times New Roman" w:cs="Times New Roman"/>
          <w:color w:val="auto"/>
        </w:rPr>
        <w:t xml:space="preserve"> </w:t>
      </w:r>
    </w:p>
    <w:p w14:paraId="44EFE89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Hanson, T., Brooks, T. M., Da Fonseca, G. A. B., Hoffmann, M., Lamoreux, J. F., Machlis, G., Mittermeier, G. G., Mittermeier, R. A., &amp; Pilgrim, J. D. (2009). Warfare in biodiversity hotspots. </w:t>
      </w:r>
      <w:r w:rsidRPr="009B0448">
        <w:rPr>
          <w:rFonts w:ascii="Times New Roman" w:hAnsi="Times New Roman" w:cs="Times New Roman"/>
          <w:i/>
          <w:color w:val="auto"/>
        </w:rPr>
        <w:t>Conservation Biology, 23,</w:t>
      </w:r>
      <w:r w:rsidRPr="009B0448">
        <w:rPr>
          <w:rFonts w:ascii="Times New Roman" w:hAnsi="Times New Roman" w:cs="Times New Roman"/>
          <w:color w:val="auto"/>
        </w:rPr>
        <w:t xml:space="preserve"> 578–587. </w:t>
      </w:r>
      <w:hyperlink r:id="rId1240" w:history="1">
        <w:r w:rsidRPr="009B0448">
          <w:rPr>
            <w:rStyle w:val="Hyperlink"/>
            <w:rFonts w:ascii="Times New Roman" w:hAnsi="Times New Roman" w:cs="Times New Roman"/>
          </w:rPr>
          <w:t>https://doi.org/10.1111/j.1523-1739.2009.01166.x</w:t>
        </w:r>
      </w:hyperlink>
      <w:r w:rsidRPr="009B0448">
        <w:rPr>
          <w:rFonts w:ascii="Times New Roman" w:hAnsi="Times New Roman" w:cs="Times New Roman"/>
          <w:color w:val="auto"/>
        </w:rPr>
        <w:t xml:space="preserve"> </w:t>
      </w:r>
    </w:p>
    <w:p w14:paraId="42BBFE8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Harrison, P. A., Dunford, R. W., Holman, I. P., &amp; Rounsevell, M. D. A. (2016). Climate change impact modelling needs to include cross-sectoral interactions. </w:t>
      </w:r>
      <w:r w:rsidRPr="009B0448">
        <w:rPr>
          <w:rFonts w:ascii="Times New Roman" w:hAnsi="Times New Roman" w:cs="Times New Roman"/>
          <w:i/>
          <w:color w:val="auto"/>
        </w:rPr>
        <w:t>Nature Climate Change, 6,</w:t>
      </w:r>
      <w:r w:rsidRPr="009B0448">
        <w:rPr>
          <w:rFonts w:ascii="Times New Roman" w:hAnsi="Times New Roman" w:cs="Times New Roman"/>
          <w:color w:val="auto"/>
        </w:rPr>
        <w:t xml:space="preserve"> 885–90. </w:t>
      </w:r>
      <w:hyperlink r:id="rId1241" w:history="1">
        <w:r w:rsidRPr="009B0448">
          <w:rPr>
            <w:rStyle w:val="Hyperlink"/>
            <w:rFonts w:ascii="Times New Roman" w:hAnsi="Times New Roman" w:cs="Times New Roman"/>
          </w:rPr>
          <w:t>https://doi.org/10.1038/nclimate3039</w:t>
        </w:r>
      </w:hyperlink>
      <w:r w:rsidRPr="009B0448">
        <w:rPr>
          <w:rFonts w:ascii="Times New Roman" w:hAnsi="Times New Roman" w:cs="Times New Roman"/>
          <w:color w:val="auto"/>
        </w:rPr>
        <w:t xml:space="preserve"> </w:t>
      </w:r>
    </w:p>
    <w:p w14:paraId="411FF73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Hawthorne, W. D., Marshall, C. A. M., Abu Juam, M., &amp; Agyeman. V. K. (2011). </w:t>
      </w:r>
      <w:r w:rsidRPr="009B0448">
        <w:rPr>
          <w:rFonts w:ascii="Times New Roman" w:hAnsi="Times New Roman" w:cs="Times New Roman"/>
          <w:i/>
          <w:color w:val="auto"/>
        </w:rPr>
        <w:t>The impact of logging damage on tropical rainforests, their recovery and regeneration: An annotated bibliography</w:t>
      </w:r>
      <w:r w:rsidRPr="009B0448">
        <w:rPr>
          <w:rFonts w:ascii="Times New Roman" w:hAnsi="Times New Roman" w:cs="Times New Roman"/>
          <w:color w:val="auto"/>
        </w:rPr>
        <w:t xml:space="preserve">. Oxford, UK: Oxford Forestry Institute. Retrieved from </w:t>
      </w:r>
      <w:hyperlink r:id="rId1242" w:history="1">
        <w:r w:rsidRPr="009B0448">
          <w:rPr>
            <w:rStyle w:val="Hyperlink"/>
            <w:rFonts w:ascii="Times New Roman" w:hAnsi="Times New Roman" w:cs="Times New Roman"/>
          </w:rPr>
          <w:t>https://www.bodleian.ox.ac.uk/__data/assets/pdf_file/0017/101258/Hawthorne-et-al-2011-Logging-Bibliography-online.pdf</w:t>
        </w:r>
      </w:hyperlink>
      <w:r w:rsidRPr="009B0448">
        <w:rPr>
          <w:rFonts w:ascii="Times New Roman" w:hAnsi="Times New Roman" w:cs="Times New Roman"/>
          <w:color w:val="auto"/>
        </w:rPr>
        <w:t xml:space="preserve"> </w:t>
      </w:r>
    </w:p>
    <w:p w14:paraId="025C4DC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Hay, S. I., Guerra, C. A., Tatem, A. J., Atkinson, P. M., &amp; Show, R. W. (2005). Urbanization, malaria transmission and disease burden in Africa. </w:t>
      </w:r>
      <w:r w:rsidRPr="009B0448">
        <w:rPr>
          <w:rFonts w:ascii="Times New Roman" w:hAnsi="Times New Roman" w:cs="Times New Roman"/>
          <w:i/>
          <w:color w:val="auto"/>
        </w:rPr>
        <w:t>Nature Reviews Microbiology, 3</w:t>
      </w:r>
      <w:r w:rsidRPr="009B0448">
        <w:rPr>
          <w:rFonts w:ascii="Times New Roman" w:hAnsi="Times New Roman" w:cs="Times New Roman"/>
          <w:color w:val="auto"/>
        </w:rPr>
        <w:t xml:space="preserve">, 81–90. </w:t>
      </w:r>
      <w:hyperlink r:id="rId1243" w:history="1">
        <w:r w:rsidRPr="009B0448">
          <w:rPr>
            <w:rStyle w:val="Hyperlink"/>
            <w:rFonts w:ascii="Times New Roman" w:hAnsi="Times New Roman" w:cs="Times New Roman"/>
          </w:rPr>
          <w:t>https://doi.org/10.1038/nrmicro1069</w:t>
        </w:r>
      </w:hyperlink>
      <w:r w:rsidRPr="009B0448">
        <w:rPr>
          <w:rFonts w:ascii="Times New Roman" w:hAnsi="Times New Roman" w:cs="Times New Roman"/>
          <w:color w:val="auto"/>
        </w:rPr>
        <w:t xml:space="preserve"> </w:t>
      </w:r>
    </w:p>
    <w:p w14:paraId="2A209FB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Heap, B. (2009). Preface. </w:t>
      </w:r>
      <w:r w:rsidRPr="009B0448">
        <w:rPr>
          <w:rFonts w:ascii="Times New Roman" w:hAnsi="Times New Roman" w:cs="Times New Roman"/>
          <w:i/>
          <w:color w:val="auto"/>
        </w:rPr>
        <w:t>Philosophical Transactions of the Royal Socciety B, 364</w:t>
      </w:r>
      <w:r w:rsidRPr="009B0448">
        <w:rPr>
          <w:rFonts w:ascii="Times New Roman" w:hAnsi="Times New Roman" w:cs="Times New Roman"/>
          <w:color w:val="auto"/>
        </w:rPr>
        <w:t xml:space="preserve">(1526), 1971. </w:t>
      </w:r>
      <w:hyperlink r:id="rId1244" w:history="1">
        <w:r w:rsidRPr="009B0448">
          <w:rPr>
            <w:rStyle w:val="Hyperlink"/>
            <w:rFonts w:ascii="Times New Roman" w:hAnsi="Times New Roman" w:cs="Times New Roman"/>
          </w:rPr>
          <w:t>https://doi.org/10.1098/rstb.2009.0030</w:t>
        </w:r>
      </w:hyperlink>
      <w:r w:rsidRPr="009B0448">
        <w:rPr>
          <w:rFonts w:ascii="Times New Roman" w:hAnsi="Times New Roman" w:cs="Times New Roman"/>
          <w:color w:val="auto"/>
        </w:rPr>
        <w:t xml:space="preserve"> </w:t>
      </w:r>
    </w:p>
    <w:p w14:paraId="409CE45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Hecky, R. E., Bugenyi, F. W. B., Ochumba, P. O. B., Talling, J. F., Mugidde, R., Gophen, M., &amp; Kaufman, L. (1994). Deoxygenation of the hypolimnion of Lake Victoria. </w:t>
      </w:r>
      <w:r w:rsidRPr="009B0448">
        <w:rPr>
          <w:rFonts w:ascii="Times New Roman" w:hAnsi="Times New Roman" w:cs="Times New Roman"/>
          <w:i/>
          <w:color w:val="auto"/>
        </w:rPr>
        <w:t>Limnology and Oceanography, 39</w:t>
      </w:r>
      <w:r w:rsidRPr="009B0448">
        <w:rPr>
          <w:rFonts w:ascii="Times New Roman" w:hAnsi="Times New Roman" w:cs="Times New Roman"/>
          <w:color w:val="auto"/>
        </w:rPr>
        <w:t xml:space="preserve">(6), 1476–1481. </w:t>
      </w:r>
      <w:hyperlink r:id="rId1245" w:history="1">
        <w:r w:rsidRPr="009B0448">
          <w:rPr>
            <w:rStyle w:val="Hyperlink"/>
            <w:rFonts w:ascii="Times New Roman" w:hAnsi="Times New Roman" w:cs="Times New Roman"/>
          </w:rPr>
          <w:t>https://doi.org/10.4319/lo.1994.39.6.1476</w:t>
        </w:r>
      </w:hyperlink>
      <w:r w:rsidRPr="009B0448">
        <w:rPr>
          <w:rFonts w:ascii="Times New Roman" w:hAnsi="Times New Roman" w:cs="Times New Roman"/>
          <w:color w:val="auto"/>
        </w:rPr>
        <w:t xml:space="preserve"> </w:t>
      </w:r>
    </w:p>
    <w:p w14:paraId="5DF09D7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Hecky, R. E., Bootsma, H. A., &amp; Odada, E. O. (2006). African lake management initiatives: The global connection. Lakes and Reservoirs</w:t>
      </w:r>
      <w:r w:rsidRPr="009B0448">
        <w:rPr>
          <w:rFonts w:ascii="Times New Roman" w:hAnsi="Times New Roman" w:cs="Times New Roman"/>
          <w:i/>
          <w:color w:val="auto"/>
        </w:rPr>
        <w:t>. Research and Management, 11</w:t>
      </w:r>
      <w:r w:rsidRPr="009B0448">
        <w:rPr>
          <w:rFonts w:ascii="Times New Roman" w:hAnsi="Times New Roman" w:cs="Times New Roman"/>
          <w:color w:val="auto"/>
        </w:rPr>
        <w:t xml:space="preserve">(4), 203–213. </w:t>
      </w:r>
      <w:hyperlink r:id="rId1246" w:history="1">
        <w:r w:rsidRPr="009B0448">
          <w:rPr>
            <w:rStyle w:val="Hyperlink"/>
            <w:rFonts w:ascii="Times New Roman" w:hAnsi="Times New Roman" w:cs="Times New Roman"/>
          </w:rPr>
          <w:t>https://doi.org/10.1111/j.1440-1770.2006.00307.x</w:t>
        </w:r>
      </w:hyperlink>
      <w:r w:rsidRPr="009B0448">
        <w:rPr>
          <w:rFonts w:ascii="Times New Roman" w:hAnsi="Times New Roman" w:cs="Times New Roman"/>
          <w:color w:val="auto"/>
        </w:rPr>
        <w:t xml:space="preserve"> </w:t>
      </w:r>
    </w:p>
    <w:p w14:paraId="72D4EEF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Hempson, G. J., Parr, C. L., Archibald, S., Anderson, T. M., Courtney-Mustaphi, C. J., Dobson, A. P., Donaldson, J. E., Morrison, T. A., Probert, J., &amp; Colin, M. (2017). Continent-level drivers of African pyrodiversity. </w:t>
      </w:r>
      <w:r w:rsidRPr="009B0448">
        <w:rPr>
          <w:rFonts w:ascii="Times New Roman" w:hAnsi="Times New Roman" w:cs="Times New Roman"/>
          <w:i/>
          <w:color w:val="auto"/>
        </w:rPr>
        <w:t>Ecography, 40</w:t>
      </w:r>
      <w:r w:rsidRPr="009B0448">
        <w:rPr>
          <w:rFonts w:ascii="Times New Roman" w:hAnsi="Times New Roman" w:cs="Times New Roman"/>
          <w:color w:val="auto"/>
        </w:rPr>
        <w:t xml:space="preserve">, 1–10. </w:t>
      </w:r>
      <w:hyperlink r:id="rId1247" w:history="1">
        <w:r w:rsidRPr="009B0448">
          <w:rPr>
            <w:rStyle w:val="Hyperlink"/>
            <w:rFonts w:ascii="Times New Roman" w:hAnsi="Times New Roman" w:cs="Times New Roman"/>
          </w:rPr>
          <w:t>https://doi.org/10.1111/ecog.03109</w:t>
        </w:r>
      </w:hyperlink>
      <w:r w:rsidRPr="009B0448">
        <w:rPr>
          <w:rFonts w:ascii="Times New Roman" w:hAnsi="Times New Roman" w:cs="Times New Roman"/>
          <w:color w:val="auto"/>
        </w:rPr>
        <w:t xml:space="preserve"> </w:t>
      </w:r>
    </w:p>
    <w:p w14:paraId="6DE0375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Hermann, S., Miketa, A., &amp; Fichaux, N. (2014). </w:t>
      </w:r>
      <w:r w:rsidRPr="009B0448">
        <w:rPr>
          <w:rFonts w:ascii="Times New Roman" w:hAnsi="Times New Roman" w:cs="Times New Roman"/>
          <w:i/>
          <w:color w:val="auto"/>
        </w:rPr>
        <w:t>Estimating the renewable energy potential in Africa: A GIS based approach</w:t>
      </w:r>
      <w:r w:rsidRPr="009B0448">
        <w:rPr>
          <w:rFonts w:ascii="Times New Roman" w:hAnsi="Times New Roman" w:cs="Times New Roman"/>
          <w:color w:val="auto"/>
        </w:rPr>
        <w:t xml:space="preserve">. Royal Institute of Technology, Sweden: IRENA. Retrieved from </w:t>
      </w:r>
      <w:hyperlink r:id="rId1248" w:history="1">
        <w:r w:rsidRPr="009B0448">
          <w:rPr>
            <w:rStyle w:val="Hyperlink"/>
            <w:rFonts w:ascii="Times New Roman" w:hAnsi="Times New Roman" w:cs="Times New Roman"/>
          </w:rPr>
          <w:t>http://www.irena.org/DocumentDownloads/Publications/IRENA_Africa_Resource_Potential_Aug2014.pdf</w:t>
        </w:r>
      </w:hyperlink>
      <w:r w:rsidRPr="009B0448">
        <w:rPr>
          <w:rFonts w:ascii="Times New Roman" w:hAnsi="Times New Roman" w:cs="Times New Roman"/>
        </w:rPr>
        <w:t xml:space="preserve"> </w:t>
      </w:r>
    </w:p>
    <w:p w14:paraId="4DB72A9E"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Hernandez, R. R., Easter, S. B., Murphy-Mariscal, M. L., Maestre, F. T., Tavassoli, M., Allen, E. B., Barrows, C. W., Belnap, J., Ochoa-Hueso, R., Ravi, S., &amp; Allen, M. F. (2014). Environmental impacts of utility-scale solar energy. </w:t>
      </w:r>
      <w:r w:rsidRPr="009B0448">
        <w:rPr>
          <w:rFonts w:ascii="Times New Roman" w:hAnsi="Times New Roman" w:cs="Times New Roman"/>
          <w:i/>
          <w:color w:val="auto"/>
        </w:rPr>
        <w:t>Renewable and Sustainable Energy Reviews, 29</w:t>
      </w:r>
      <w:r w:rsidRPr="009B0448">
        <w:rPr>
          <w:rFonts w:ascii="Times New Roman" w:hAnsi="Times New Roman" w:cs="Times New Roman"/>
          <w:color w:val="auto"/>
        </w:rPr>
        <w:t xml:space="preserve">, 766–779. </w:t>
      </w:r>
      <w:hyperlink r:id="rId1249" w:history="1">
        <w:r w:rsidRPr="009B0448">
          <w:rPr>
            <w:rStyle w:val="Hyperlink"/>
            <w:rFonts w:ascii="Times New Roman" w:hAnsi="Times New Roman" w:cs="Times New Roman"/>
          </w:rPr>
          <w:t>https://doi.org/10.1016/j.rser.2013.08.041</w:t>
        </w:r>
      </w:hyperlink>
    </w:p>
    <w:p w14:paraId="06EAC38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Hernández-Delgado, E. A. (2015). The emerging threats of climate change on tropical coastal ecosystem services, public health, local economies and livelihood sustainability of small islands: Cumulative impacts and synergies. </w:t>
      </w:r>
      <w:r w:rsidRPr="009B0448">
        <w:rPr>
          <w:rFonts w:ascii="Times New Roman" w:hAnsi="Times New Roman" w:cs="Times New Roman"/>
          <w:i/>
          <w:color w:val="auto"/>
        </w:rPr>
        <w:t>Marine Pollution Bulletin, 101</w:t>
      </w:r>
      <w:r w:rsidRPr="009B0448">
        <w:rPr>
          <w:rFonts w:ascii="Times New Roman" w:hAnsi="Times New Roman" w:cs="Times New Roman"/>
          <w:color w:val="auto"/>
        </w:rPr>
        <w:t xml:space="preserve">(1), 5–28. </w:t>
      </w:r>
      <w:hyperlink r:id="rId1250" w:history="1">
        <w:r w:rsidRPr="009B0448">
          <w:rPr>
            <w:rStyle w:val="Hyperlink"/>
            <w:rFonts w:ascii="Times New Roman" w:hAnsi="Times New Roman" w:cs="Times New Roman"/>
          </w:rPr>
          <w:t>https://doi.org/10.1016/j.marpolbul.2015.09.018</w:t>
        </w:r>
      </w:hyperlink>
    </w:p>
    <w:p w14:paraId="775C84A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Heynen, N., Kaika, M., &amp; Swyngedouw, E. (2006). Urban political ecology: Politicizing the production of urban natures. In N. Heynen, M. Kaika, &amp; E. Swyngedouw (Eds.), </w:t>
      </w:r>
      <w:r w:rsidRPr="009B0448">
        <w:rPr>
          <w:rFonts w:ascii="Times New Roman" w:hAnsi="Times New Roman" w:cs="Times New Roman"/>
          <w:i/>
          <w:color w:val="auto"/>
        </w:rPr>
        <w:t>In the nature of cities: Urban political ecology and the politics of urban metabolism</w:t>
      </w:r>
      <w:r w:rsidRPr="009B0448">
        <w:rPr>
          <w:rFonts w:ascii="Times New Roman" w:hAnsi="Times New Roman" w:cs="Times New Roman"/>
          <w:color w:val="auto"/>
        </w:rPr>
        <w:t xml:space="preserve"> (pp. 1–19). London, UK: Routledge. </w:t>
      </w:r>
      <w:hyperlink r:id="rId1251" w:history="1">
        <w:r w:rsidRPr="009B0448">
          <w:rPr>
            <w:rStyle w:val="Hyperlink"/>
            <w:rFonts w:ascii="Times New Roman" w:hAnsi="Times New Roman" w:cs="Times New Roman"/>
          </w:rPr>
          <w:t>https://doi.org/10.2747/0272-3638.28.2.206</w:t>
        </w:r>
      </w:hyperlink>
      <w:r w:rsidRPr="009B0448">
        <w:rPr>
          <w:rFonts w:ascii="Times New Roman" w:hAnsi="Times New Roman" w:cs="Times New Roman"/>
          <w:color w:val="auto"/>
        </w:rPr>
        <w:t xml:space="preserve"> </w:t>
      </w:r>
    </w:p>
    <w:p w14:paraId="335A271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Higgins, S. I., &amp; Scheiter, S. (2012). Atmospheric CO</w:t>
      </w:r>
      <w:r w:rsidRPr="009B0448">
        <w:rPr>
          <w:rFonts w:ascii="Times New Roman" w:hAnsi="Times New Roman" w:cs="Times New Roman"/>
          <w:color w:val="auto"/>
          <w:vertAlign w:val="subscript"/>
        </w:rPr>
        <w:t>2</w:t>
      </w:r>
      <w:r w:rsidRPr="009B0448">
        <w:rPr>
          <w:rFonts w:ascii="Times New Roman" w:hAnsi="Times New Roman" w:cs="Times New Roman"/>
          <w:color w:val="auto"/>
        </w:rPr>
        <w:t xml:space="preserve"> forces abrupt vegetation shifts locally, but not globally. </w:t>
      </w:r>
      <w:r w:rsidRPr="009B0448">
        <w:rPr>
          <w:rFonts w:ascii="Times New Roman" w:hAnsi="Times New Roman" w:cs="Times New Roman"/>
          <w:i/>
          <w:color w:val="auto"/>
        </w:rPr>
        <w:t>Nature, 488</w:t>
      </w:r>
      <w:r w:rsidRPr="009B0448">
        <w:rPr>
          <w:rFonts w:ascii="Times New Roman" w:hAnsi="Times New Roman" w:cs="Times New Roman"/>
          <w:color w:val="auto"/>
        </w:rPr>
        <w:t>, 209–212.</w:t>
      </w:r>
      <w:r w:rsidRPr="009B0448">
        <w:rPr>
          <w:rFonts w:ascii="Times New Roman" w:hAnsi="Times New Roman" w:cs="Times New Roman"/>
          <w:lang w:val="de-DE"/>
        </w:rPr>
        <w:t xml:space="preserve"> </w:t>
      </w:r>
      <w:hyperlink r:id="rId1252" w:history="1">
        <w:r w:rsidRPr="009B0448">
          <w:rPr>
            <w:rStyle w:val="Hyperlink"/>
            <w:rFonts w:ascii="Times New Roman" w:hAnsi="Times New Roman" w:cs="Times New Roman"/>
          </w:rPr>
          <w:t>https://doi.org/10.1038/nature11238</w:t>
        </w:r>
      </w:hyperlink>
      <w:r w:rsidRPr="009B0448">
        <w:rPr>
          <w:rFonts w:ascii="Times New Roman" w:hAnsi="Times New Roman" w:cs="Times New Roman"/>
          <w:color w:val="auto"/>
        </w:rPr>
        <w:t xml:space="preserve"> </w:t>
      </w:r>
    </w:p>
    <w:p w14:paraId="249A027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Hoegh-Guldberg, O., Mumby, P. J., Hooten, A. J., Steneck, R. S., Greenfield, P., Gomez, E., Harvell, C. D., Sale, P. F., Edwards, A. J., Calderia, K., Knowlton, N., Eakin, C. M., Iglesias-Prieto, R., Bradbury, R. H., Dubi, A., &amp; Hatziolos, M. E. (2007). Coral reefs under rapid climate change and ocean acidification. </w:t>
      </w:r>
      <w:r w:rsidRPr="009B0448">
        <w:rPr>
          <w:rFonts w:ascii="Times New Roman" w:hAnsi="Times New Roman" w:cs="Times New Roman"/>
          <w:i/>
          <w:color w:val="auto"/>
        </w:rPr>
        <w:t>Science, 318</w:t>
      </w:r>
      <w:r w:rsidRPr="009B0448">
        <w:rPr>
          <w:rFonts w:ascii="Times New Roman" w:hAnsi="Times New Roman" w:cs="Times New Roman"/>
          <w:color w:val="auto"/>
        </w:rPr>
        <w:t xml:space="preserve">(5857), 1737–1742. </w:t>
      </w:r>
      <w:hyperlink r:id="rId1253" w:history="1">
        <w:r w:rsidRPr="009B0448">
          <w:rPr>
            <w:rStyle w:val="Hyperlink"/>
            <w:rFonts w:ascii="Times New Roman" w:hAnsi="Times New Roman" w:cs="Times New Roman"/>
          </w:rPr>
          <w:t>https://doi.org/10.1126/science.1152509</w:t>
        </w:r>
      </w:hyperlink>
      <w:r w:rsidRPr="009B0448">
        <w:rPr>
          <w:rFonts w:ascii="Times New Roman" w:hAnsi="Times New Roman" w:cs="Times New Roman"/>
          <w:color w:val="auto"/>
        </w:rPr>
        <w:t xml:space="preserve"> </w:t>
      </w:r>
    </w:p>
    <w:p w14:paraId="435D145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Hole, D. G., Willis, S. G., Pain, D. J., Fishpool, L. D., Butchart, S. H., Collingham, Y. C., Rahbek, C., &amp; Huntley, B. (2009). Projected impacts of climate change on a continent</w:t>
      </w:r>
      <w:r w:rsidRPr="009B0448">
        <w:rPr>
          <w:rFonts w:ascii="Cambria Math" w:hAnsi="Cambria Math" w:cs="Cambria Math"/>
          <w:color w:val="auto"/>
        </w:rPr>
        <w:t>‐</w:t>
      </w:r>
      <w:r w:rsidRPr="009B0448">
        <w:rPr>
          <w:rFonts w:ascii="Times New Roman" w:hAnsi="Times New Roman" w:cs="Times New Roman"/>
          <w:color w:val="auto"/>
        </w:rPr>
        <w:t xml:space="preserve">wide protected area network. </w:t>
      </w:r>
      <w:r w:rsidRPr="009B0448">
        <w:rPr>
          <w:rFonts w:ascii="Times New Roman" w:hAnsi="Times New Roman" w:cs="Times New Roman"/>
          <w:i/>
          <w:color w:val="auto"/>
        </w:rPr>
        <w:t>Ecology letters, 12</w:t>
      </w:r>
      <w:r w:rsidRPr="009B0448">
        <w:rPr>
          <w:rFonts w:ascii="Times New Roman" w:hAnsi="Times New Roman" w:cs="Times New Roman"/>
          <w:color w:val="auto"/>
        </w:rPr>
        <w:t xml:space="preserve">(5), 420–431. </w:t>
      </w:r>
      <w:hyperlink r:id="rId1254" w:history="1">
        <w:r w:rsidRPr="009B0448">
          <w:rPr>
            <w:rStyle w:val="Hyperlink"/>
            <w:rFonts w:ascii="Times New Roman" w:hAnsi="Times New Roman" w:cs="Times New Roman"/>
          </w:rPr>
          <w:t>https://doi.org/10.1111/j.1461-0248.2009.01297.x</w:t>
        </w:r>
      </w:hyperlink>
      <w:r w:rsidRPr="009B0448">
        <w:rPr>
          <w:rFonts w:ascii="Times New Roman" w:hAnsi="Times New Roman" w:cs="Times New Roman"/>
          <w:color w:val="auto"/>
        </w:rPr>
        <w:t xml:space="preserve"> </w:t>
      </w:r>
    </w:p>
    <w:p w14:paraId="64E19B7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Holling, C. S. (1973). Resilience and stability of ecological systems. </w:t>
      </w:r>
      <w:r w:rsidRPr="009B0448">
        <w:rPr>
          <w:rFonts w:ascii="Times New Roman" w:hAnsi="Times New Roman" w:cs="Times New Roman"/>
          <w:i/>
          <w:color w:val="auto"/>
        </w:rPr>
        <w:t>Annual Reviews of Ecology and Systematics, 4</w:t>
      </w:r>
      <w:r w:rsidRPr="009B0448">
        <w:rPr>
          <w:rFonts w:ascii="Times New Roman" w:hAnsi="Times New Roman" w:cs="Times New Roman"/>
          <w:color w:val="auto"/>
        </w:rPr>
        <w:t xml:space="preserve">, 1–23. </w:t>
      </w:r>
      <w:hyperlink r:id="rId1255" w:history="1">
        <w:r w:rsidRPr="009B0448">
          <w:rPr>
            <w:rStyle w:val="Hyperlink"/>
            <w:rFonts w:ascii="Times New Roman" w:hAnsi="Times New Roman" w:cs="Times New Roman"/>
          </w:rPr>
          <w:t>https://doi.org/10.1146/annurev.es.04.110173.000245</w:t>
        </w:r>
      </w:hyperlink>
    </w:p>
    <w:p w14:paraId="3E1683A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Holmes, P. M., &amp; Cowling, R. M. (1997). The effects of invasion by </w:t>
      </w:r>
      <w:r w:rsidRPr="009B0448">
        <w:rPr>
          <w:rFonts w:ascii="Times New Roman" w:hAnsi="Times New Roman" w:cs="Times New Roman"/>
          <w:i/>
          <w:color w:val="auto"/>
        </w:rPr>
        <w:t>Acacia saligna</w:t>
      </w:r>
      <w:r w:rsidRPr="009B0448">
        <w:rPr>
          <w:rFonts w:ascii="Times New Roman" w:hAnsi="Times New Roman" w:cs="Times New Roman"/>
          <w:color w:val="auto"/>
        </w:rPr>
        <w:t xml:space="preserve"> on the guild structure and regeneration capabilities of South African fynbos shrublands. </w:t>
      </w:r>
      <w:r w:rsidRPr="009B0448">
        <w:rPr>
          <w:rFonts w:ascii="Times New Roman" w:hAnsi="Times New Roman" w:cs="Times New Roman"/>
          <w:i/>
          <w:color w:val="auto"/>
        </w:rPr>
        <w:t>Journal of Applied Ecology, 34</w:t>
      </w:r>
      <w:r w:rsidRPr="009B0448">
        <w:rPr>
          <w:rFonts w:ascii="Times New Roman" w:hAnsi="Times New Roman" w:cs="Times New Roman"/>
          <w:color w:val="auto"/>
        </w:rPr>
        <w:t xml:space="preserve">, 317–332. </w:t>
      </w:r>
      <w:hyperlink r:id="rId1256" w:history="1">
        <w:r w:rsidRPr="009B0448">
          <w:rPr>
            <w:rStyle w:val="Hyperlink"/>
            <w:rFonts w:ascii="Times New Roman" w:hAnsi="Times New Roman" w:cs="Times New Roman"/>
          </w:rPr>
          <w:t>https://doi.org/10.2307/2404879</w:t>
        </w:r>
      </w:hyperlink>
      <w:r w:rsidRPr="009B0448">
        <w:rPr>
          <w:rFonts w:ascii="Times New Roman" w:hAnsi="Times New Roman" w:cs="Times New Roman"/>
          <w:color w:val="auto"/>
        </w:rPr>
        <w:t xml:space="preserve"> </w:t>
      </w:r>
    </w:p>
    <w:p w14:paraId="00C603A1" w14:textId="77777777" w:rsidR="009B0448" w:rsidRPr="009B0448" w:rsidRDefault="009B0448" w:rsidP="009B0448">
      <w:pPr>
        <w:pStyle w:val="NoSpacing"/>
        <w:spacing w:after="120" w:line="276" w:lineRule="auto"/>
        <w:ind w:left="567" w:hanging="567"/>
        <w:rPr>
          <w:rFonts w:ascii="Times New Roman" w:hAnsi="Times New Roman" w:cs="Times New Roman"/>
          <w:color w:val="auto"/>
          <w:lang w:val="de-DE"/>
        </w:rPr>
      </w:pPr>
      <w:r w:rsidRPr="009B0448">
        <w:rPr>
          <w:rFonts w:ascii="Times New Roman" w:hAnsi="Times New Roman" w:cs="Times New Roman"/>
          <w:color w:val="auto"/>
        </w:rPr>
        <w:t xml:space="preserve">Hötker, H., Thomsen, K-M., &amp; Jeromin, H. (2006). </w:t>
      </w:r>
      <w:r w:rsidRPr="009B0448">
        <w:rPr>
          <w:rFonts w:ascii="Times New Roman" w:hAnsi="Times New Roman" w:cs="Times New Roman"/>
          <w:i/>
          <w:color w:val="auto"/>
        </w:rPr>
        <w:t>Impacts on biodiversity of exploitation of renewable energy resources: The example of birds and bats-facts, gaps in knowledge, demands for further research, and ornithological guidelines for the development of renewable energy exploitation</w:t>
      </w:r>
      <w:r w:rsidRPr="009B0448">
        <w:rPr>
          <w:rFonts w:ascii="Times New Roman" w:hAnsi="Times New Roman" w:cs="Times New Roman"/>
          <w:color w:val="auto"/>
        </w:rPr>
        <w:t xml:space="preserve">. Bergenhusen, Germany: </w:t>
      </w:r>
      <w:r w:rsidRPr="009B0448">
        <w:rPr>
          <w:rFonts w:ascii="Times New Roman" w:hAnsi="Times New Roman" w:cs="Times New Roman"/>
          <w:color w:val="auto"/>
          <w:lang w:val="de-DE"/>
        </w:rPr>
        <w:t xml:space="preserve">Bergenhusen Michael-Otto-Institut im NABU. Retrieved from </w:t>
      </w:r>
      <w:hyperlink r:id="rId1257" w:history="1">
        <w:r w:rsidRPr="009B0448">
          <w:rPr>
            <w:rStyle w:val="Hyperlink"/>
            <w:rFonts w:ascii="Times New Roman" w:hAnsi="Times New Roman" w:cs="Times New Roman"/>
            <w:lang w:val="de-DE"/>
          </w:rPr>
          <w:t>https://eolien-biodiversite.com/IMG/pdf/englischewindkraftstudie_1252510701.pdf</w:t>
        </w:r>
      </w:hyperlink>
      <w:r w:rsidRPr="009B0448">
        <w:rPr>
          <w:rFonts w:ascii="Times New Roman" w:hAnsi="Times New Roman" w:cs="Times New Roman"/>
          <w:color w:val="auto"/>
          <w:lang w:val="de-DE"/>
        </w:rPr>
        <w:t xml:space="preserve"> </w:t>
      </w:r>
    </w:p>
    <w:p w14:paraId="4785D60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Hoveka, L. N., Bezeng, B. S., Yessoufou, K., Boatwright, J. S., &amp; Van der Bank, M. (2016). </w:t>
      </w:r>
      <w:r w:rsidRPr="009B0448">
        <w:rPr>
          <w:rFonts w:ascii="Times New Roman" w:hAnsi="Times New Roman" w:cs="Times New Roman"/>
          <w:color w:val="auto"/>
        </w:rPr>
        <w:t xml:space="preserve">Effects of climate change on the future distributions of the top five freshwater invasive plants in South Africa. </w:t>
      </w:r>
      <w:r w:rsidRPr="009B0448">
        <w:rPr>
          <w:rFonts w:ascii="Times New Roman" w:hAnsi="Times New Roman" w:cs="Times New Roman"/>
          <w:i/>
          <w:color w:val="auto"/>
        </w:rPr>
        <w:t>South African Journal of Botany, 102</w:t>
      </w:r>
      <w:r w:rsidRPr="009B0448">
        <w:rPr>
          <w:rFonts w:ascii="Times New Roman" w:hAnsi="Times New Roman" w:cs="Times New Roman"/>
          <w:color w:val="auto"/>
        </w:rPr>
        <w:t xml:space="preserve">, 33–38. </w:t>
      </w:r>
      <w:hyperlink r:id="rId1258" w:history="1">
        <w:r w:rsidRPr="009B0448">
          <w:rPr>
            <w:rStyle w:val="Hyperlink"/>
            <w:rFonts w:ascii="Times New Roman" w:hAnsi="Times New Roman" w:cs="Times New Roman"/>
          </w:rPr>
          <w:t>https://doi.org/10.1016/j.sajb.2015.07.017</w:t>
        </w:r>
      </w:hyperlink>
    </w:p>
    <w:p w14:paraId="7471DB7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Howard, G. W., &amp; Matindi, S. W. (2003). </w:t>
      </w:r>
      <w:r w:rsidRPr="009B0448">
        <w:rPr>
          <w:rFonts w:ascii="Times New Roman" w:hAnsi="Times New Roman" w:cs="Times New Roman"/>
          <w:i/>
          <w:color w:val="auto"/>
        </w:rPr>
        <w:t>Alien invasive species in Africa’s wetlands–some threats and solutions</w:t>
      </w:r>
      <w:r w:rsidRPr="009B0448">
        <w:rPr>
          <w:rFonts w:ascii="Times New Roman" w:hAnsi="Times New Roman" w:cs="Times New Roman"/>
          <w:color w:val="auto"/>
        </w:rPr>
        <w:t xml:space="preserve">. Nairobi, Kenya: IUCN. Retrieved from </w:t>
      </w:r>
      <w:hyperlink r:id="rId1259" w:history="1">
        <w:r w:rsidRPr="009B0448">
          <w:rPr>
            <w:rStyle w:val="Hyperlink"/>
            <w:rFonts w:ascii="Times New Roman" w:hAnsi="Times New Roman" w:cs="Times New Roman"/>
          </w:rPr>
          <w:t>http://www.un.org/en/africa/osaa/pdf/au/cap_naturalcapital_2015.pdf</w:t>
        </w:r>
      </w:hyperlink>
      <w:r w:rsidRPr="009B0448">
        <w:rPr>
          <w:rFonts w:ascii="Times New Roman" w:hAnsi="Times New Roman" w:cs="Times New Roman"/>
          <w:color w:val="auto"/>
        </w:rPr>
        <w:t xml:space="preserve"> </w:t>
      </w:r>
    </w:p>
    <w:p w14:paraId="4EFE07C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Huang, H., Winter, J. M., Osterberg, E. C., Horton, R. M., &amp; Beckage, B. (2017). </w:t>
      </w:r>
      <w:r w:rsidRPr="009B0448">
        <w:rPr>
          <w:rFonts w:ascii="Times New Roman" w:hAnsi="Times New Roman" w:cs="Times New Roman"/>
          <w:color w:val="auto"/>
        </w:rPr>
        <w:t xml:space="preserve">Total and extreme precipitation changes over the northeastern United States. </w:t>
      </w:r>
      <w:r w:rsidRPr="009B0448">
        <w:rPr>
          <w:rFonts w:ascii="Times New Roman" w:hAnsi="Times New Roman" w:cs="Times New Roman"/>
          <w:i/>
          <w:color w:val="auto"/>
        </w:rPr>
        <w:t>Journal of Hydrometeorology, 18</w:t>
      </w:r>
      <w:r w:rsidRPr="009B0448">
        <w:rPr>
          <w:rFonts w:ascii="Times New Roman" w:hAnsi="Times New Roman" w:cs="Times New Roman"/>
          <w:color w:val="auto"/>
        </w:rPr>
        <w:t xml:space="preserve">(6), 1783–1798. </w:t>
      </w:r>
      <w:hyperlink r:id="rId1260" w:history="1">
        <w:r w:rsidRPr="009B0448">
          <w:rPr>
            <w:rStyle w:val="Hyperlink"/>
            <w:rFonts w:ascii="Times New Roman" w:hAnsi="Times New Roman" w:cs="Times New Roman"/>
          </w:rPr>
          <w:t>https://doi.org/10.1175/JHM-D-16-0195.1</w:t>
        </w:r>
      </w:hyperlink>
      <w:r w:rsidRPr="009B0448">
        <w:rPr>
          <w:rFonts w:ascii="Times New Roman" w:hAnsi="Times New Roman" w:cs="Times New Roman"/>
          <w:color w:val="auto"/>
        </w:rPr>
        <w:t xml:space="preserve"> </w:t>
      </w:r>
    </w:p>
    <w:p w14:paraId="027D2E2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Hubacek, K., &amp; Vazquez, J. (2002). The economics of land-use change International Institute for Applied Systems Analysis (IIASA). Laxenburg, Austria: IIASA. Retrieved from </w:t>
      </w:r>
      <w:hyperlink r:id="rId1261" w:history="1">
        <w:r w:rsidRPr="009B0448">
          <w:rPr>
            <w:rStyle w:val="Hyperlink"/>
            <w:rFonts w:ascii="Times New Roman" w:hAnsi="Times New Roman" w:cs="Times New Roman"/>
          </w:rPr>
          <w:t>http://pure.iiasa.ac.at/6770/1/IR-02-015.pdf</w:t>
        </w:r>
      </w:hyperlink>
      <w:r w:rsidRPr="009B0448">
        <w:rPr>
          <w:rFonts w:ascii="Times New Roman" w:hAnsi="Times New Roman" w:cs="Times New Roman"/>
          <w:color w:val="auto"/>
        </w:rPr>
        <w:t xml:space="preserve"> </w:t>
      </w:r>
    </w:p>
    <w:p w14:paraId="175FF48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Hussain, I., &amp; Hanjra, M. A. (2004). Irrigation and poverty alleviation: Review of the empirical evidence. </w:t>
      </w:r>
      <w:r w:rsidRPr="009B0448">
        <w:rPr>
          <w:rFonts w:ascii="Times New Roman" w:hAnsi="Times New Roman" w:cs="Times New Roman"/>
          <w:i/>
          <w:color w:val="auto"/>
        </w:rPr>
        <w:t>Irrigation and Drainage, 53</w:t>
      </w:r>
      <w:r w:rsidRPr="009B0448">
        <w:rPr>
          <w:rFonts w:ascii="Times New Roman" w:hAnsi="Times New Roman" w:cs="Times New Roman"/>
          <w:color w:val="auto"/>
        </w:rPr>
        <w:t xml:space="preserve">(1), 1–15. </w:t>
      </w:r>
      <w:hyperlink r:id="rId1262" w:history="1">
        <w:r w:rsidRPr="009B0448">
          <w:rPr>
            <w:rStyle w:val="Hyperlink"/>
            <w:rFonts w:ascii="Times New Roman" w:hAnsi="Times New Roman" w:cs="Times New Roman"/>
          </w:rPr>
          <w:t>https://doi.org/10.1002/ird.114</w:t>
        </w:r>
      </w:hyperlink>
      <w:r w:rsidRPr="009B0448">
        <w:rPr>
          <w:rFonts w:ascii="Times New Roman" w:hAnsi="Times New Roman" w:cs="Times New Roman"/>
          <w:color w:val="auto"/>
        </w:rPr>
        <w:t xml:space="preserve"> </w:t>
      </w:r>
    </w:p>
    <w:p w14:paraId="57354DB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Hwang, Y. T., Frierson, D. M. W., &amp; Kang, S. M., (2013). Anthropogenic sulfate aerosol and the southward shift of tropical precipitation in the late 20th century. </w:t>
      </w:r>
      <w:r w:rsidRPr="009B0448">
        <w:rPr>
          <w:rFonts w:ascii="Times New Roman" w:hAnsi="Times New Roman" w:cs="Times New Roman"/>
          <w:i/>
          <w:color w:val="auto"/>
        </w:rPr>
        <w:t>Geophysical Research Letters, 40</w:t>
      </w:r>
      <w:r w:rsidRPr="009B0448">
        <w:rPr>
          <w:rFonts w:ascii="Times New Roman" w:hAnsi="Times New Roman" w:cs="Times New Roman"/>
          <w:color w:val="auto"/>
        </w:rPr>
        <w:t xml:space="preserve">(11), 2845–2850. </w:t>
      </w:r>
      <w:hyperlink r:id="rId1263" w:history="1">
        <w:r w:rsidRPr="009B0448">
          <w:rPr>
            <w:rStyle w:val="Hyperlink"/>
            <w:rFonts w:ascii="Times New Roman" w:hAnsi="Times New Roman" w:cs="Times New Roman"/>
          </w:rPr>
          <w:t>https://doi.org/10.1002/jgrg.20091</w:t>
        </w:r>
      </w:hyperlink>
      <w:r w:rsidRPr="009B0448">
        <w:rPr>
          <w:rFonts w:ascii="Times New Roman" w:hAnsi="Times New Roman" w:cs="Times New Roman"/>
          <w:color w:val="auto"/>
        </w:rPr>
        <w:t xml:space="preserve"> </w:t>
      </w:r>
    </w:p>
    <w:p w14:paraId="32F25DF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Ichoua, A. (2001). </w:t>
      </w:r>
      <w:r w:rsidRPr="009B0448">
        <w:rPr>
          <w:rFonts w:ascii="Times New Roman" w:hAnsi="Times New Roman" w:cs="Times New Roman"/>
          <w:i/>
          <w:color w:val="auto"/>
        </w:rPr>
        <w:t>Projet de Lutte Contre les Feux de Brousse et de Préservation de l’Environnement dans le Cadre de la réduction de la Pauvreté dans les Régions d’Agadez, Diffa, Maradi, Tahoua et Zinde</w:t>
      </w:r>
      <w:r w:rsidRPr="009B0448">
        <w:rPr>
          <w:rFonts w:ascii="Times New Roman" w:hAnsi="Times New Roman" w:cs="Times New Roman"/>
          <w:color w:val="auto"/>
        </w:rPr>
        <w:t>r. Niger: UNEP.</w:t>
      </w:r>
    </w:p>
    <w:p w14:paraId="170A837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ICSU. (2005</w:t>
      </w:r>
      <w:r w:rsidRPr="009B0448">
        <w:rPr>
          <w:rFonts w:ascii="Times New Roman" w:hAnsi="Times New Roman" w:cs="Times New Roman"/>
          <w:i/>
          <w:color w:val="auto"/>
        </w:rPr>
        <w:t>). Natural and human-induced environmental hazards</w:t>
      </w:r>
      <w:r w:rsidRPr="009B0448">
        <w:rPr>
          <w:rFonts w:ascii="Times New Roman" w:hAnsi="Times New Roman" w:cs="Times New Roman"/>
          <w:color w:val="auto"/>
        </w:rPr>
        <w:t xml:space="preserve">. Suzhou, China: ICSU. Retrieved from </w:t>
      </w:r>
      <w:hyperlink r:id="rId1264" w:history="1">
        <w:r w:rsidRPr="009B0448">
          <w:rPr>
            <w:rStyle w:val="Hyperlink"/>
            <w:rFonts w:ascii="Times New Roman" w:hAnsi="Times New Roman" w:cs="Times New Roman"/>
          </w:rPr>
          <w:t>https://www.preventionweb.net/files/8823_865DDFILEHazardsReportFinal2.pdf</w:t>
        </w:r>
      </w:hyperlink>
      <w:r w:rsidRPr="009B0448">
        <w:rPr>
          <w:rFonts w:ascii="Times New Roman" w:hAnsi="Times New Roman" w:cs="Times New Roman"/>
          <w:color w:val="auto"/>
        </w:rPr>
        <w:t xml:space="preserve"> </w:t>
      </w:r>
    </w:p>
    <w:p w14:paraId="0962972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Ingram, D. J., Coad, L., Abernethy, K. A., Maisels, F., Stokes, E. J., Bobo, K. S., Breuer, T., Gandiwa, E., Ghiurghi, A., Greengrass, E., Holmern, T., Kamgaing, T. O. W., Obiang, A. M. N., Poulsen, J. R., Schleicher, J., Nielsen, M. R., Solly, H., Vath, C. L., Waltert, M., Whitham, C. E. L., Wilkie, D. S., &amp; Scharlemann, J. P. W. (2017). Assessing Africa-wide Pangolin exploitation by scaling local data. </w:t>
      </w:r>
      <w:r w:rsidRPr="009B0448">
        <w:rPr>
          <w:rFonts w:ascii="Times New Roman" w:hAnsi="Times New Roman" w:cs="Times New Roman"/>
          <w:i/>
          <w:color w:val="auto"/>
        </w:rPr>
        <w:t>Conservation Letters</w:t>
      </w:r>
      <w:r w:rsidRPr="009B0448">
        <w:rPr>
          <w:rFonts w:ascii="Times New Roman" w:hAnsi="Times New Roman" w:cs="Times New Roman"/>
          <w:color w:val="auto"/>
        </w:rPr>
        <w:t xml:space="preserve">, 11(2), 1–9. </w:t>
      </w:r>
      <w:hyperlink r:id="rId1265" w:history="1">
        <w:r w:rsidRPr="009B0448">
          <w:rPr>
            <w:rStyle w:val="Hyperlink"/>
            <w:rFonts w:ascii="Times New Roman" w:hAnsi="Times New Roman" w:cs="Times New Roman"/>
          </w:rPr>
          <w:t>https://doi.org/10.1111/conl.12389</w:t>
        </w:r>
      </w:hyperlink>
      <w:r w:rsidRPr="009B0448">
        <w:rPr>
          <w:rFonts w:ascii="Times New Roman" w:hAnsi="Times New Roman" w:cs="Times New Roman"/>
          <w:color w:val="auto"/>
        </w:rPr>
        <w:t xml:space="preserve"> </w:t>
      </w:r>
    </w:p>
    <w:p w14:paraId="264D264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Iossa, M., Niang, P. N., &amp; Polack, A. (2008). </w:t>
      </w:r>
      <w:r w:rsidRPr="009B0448">
        <w:rPr>
          <w:rFonts w:ascii="Times New Roman" w:hAnsi="Times New Roman" w:cs="Times New Roman"/>
          <w:i/>
          <w:color w:val="auto"/>
        </w:rPr>
        <w:t>SelFISH Europe: How the economic partnership agreements will further contribute to the decline of fish stocks and exacerbating the food crisis in Senega</w:t>
      </w:r>
      <w:r w:rsidRPr="009B0448">
        <w:rPr>
          <w:rFonts w:ascii="Times New Roman" w:hAnsi="Times New Roman" w:cs="Times New Roman"/>
          <w:color w:val="auto"/>
        </w:rPr>
        <w:t>l.</w:t>
      </w:r>
      <w:r w:rsidRPr="009B0448">
        <w:rPr>
          <w:rFonts w:ascii="Times New Roman" w:hAnsi="Times New Roman" w:cs="Times New Roman"/>
        </w:rPr>
        <w:t xml:space="preserve"> </w:t>
      </w:r>
      <w:r w:rsidRPr="009B0448">
        <w:rPr>
          <w:rFonts w:ascii="Times New Roman" w:hAnsi="Times New Roman" w:cs="Times New Roman"/>
          <w:color w:val="auto"/>
        </w:rPr>
        <w:t xml:space="preserve">Retrieved from </w:t>
      </w:r>
      <w:hyperlink r:id="rId1266" w:history="1">
        <w:r w:rsidRPr="009B0448">
          <w:rPr>
            <w:rStyle w:val="Hyperlink"/>
            <w:rFonts w:ascii="Times New Roman" w:hAnsi="Times New Roman" w:cs="Times New Roman"/>
          </w:rPr>
          <w:t>http://www.actionaid.org/sites/files/actionaid/selfish_europe.pdf</w:t>
        </w:r>
      </w:hyperlink>
    </w:p>
    <w:p w14:paraId="78C268B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IPCC. (2001). </w:t>
      </w:r>
      <w:r w:rsidRPr="009B0448">
        <w:rPr>
          <w:rFonts w:ascii="Times New Roman" w:hAnsi="Times New Roman" w:cs="Times New Roman"/>
          <w:i/>
          <w:color w:val="auto"/>
        </w:rPr>
        <w:t>Climate Change 2001: The Scientific Basis. Contribution of Working Group I to the Third Assessment Report of the Intergovernmental Panel on Climate Change</w:t>
      </w:r>
      <w:r w:rsidRPr="009B0448">
        <w:rPr>
          <w:rFonts w:ascii="Times New Roman" w:hAnsi="Times New Roman" w:cs="Times New Roman"/>
          <w:color w:val="auto"/>
        </w:rPr>
        <w:t xml:space="preserve">. In J. T. Houghton, Y. Ding, D. J. Griggs, M. Noguer, P. J. van der Linden, X. Dai, K. Maskell, &amp; C. A. Johnson (Eds.). New York, USA: Cambridge University Press. Retrieved from </w:t>
      </w:r>
      <w:hyperlink r:id="rId1267" w:history="1">
        <w:r w:rsidRPr="009B0448">
          <w:rPr>
            <w:rStyle w:val="Hyperlink"/>
            <w:rFonts w:ascii="Times New Roman" w:hAnsi="Times New Roman" w:cs="Times New Roman"/>
          </w:rPr>
          <w:t>https://www.ipcc.ch/ipccreports/tar/wg1/pdf/WGI_TAR_full_report.pdf</w:t>
        </w:r>
      </w:hyperlink>
      <w:r w:rsidRPr="009B0448">
        <w:rPr>
          <w:rFonts w:ascii="Times New Roman" w:hAnsi="Times New Roman" w:cs="Times New Roman"/>
          <w:color w:val="auto"/>
        </w:rPr>
        <w:t xml:space="preserve"> </w:t>
      </w:r>
    </w:p>
    <w:p w14:paraId="5537A55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IPCC. (2007). </w:t>
      </w:r>
      <w:r w:rsidRPr="009B0448">
        <w:rPr>
          <w:rFonts w:ascii="Times New Roman" w:hAnsi="Times New Roman" w:cs="Times New Roman"/>
          <w:i/>
          <w:color w:val="auto"/>
        </w:rPr>
        <w:t>Climate change 2007: Climate change impacts, adaptation, and vulnerability. Contribution of Working Group II to the Fourth Assessment Report of the Intergovernmental Panel on Climate Change</w:t>
      </w:r>
      <w:r w:rsidRPr="009B0448">
        <w:rPr>
          <w:rFonts w:ascii="Times New Roman" w:hAnsi="Times New Roman" w:cs="Times New Roman"/>
          <w:color w:val="auto"/>
        </w:rPr>
        <w:t xml:space="preserve">. In M. L. Parry, O. F. Canziani, J. P. Palutikof, P. J. van der Linden, &amp; C. E. Hanson (Eds.). New York, USA: Cambridge University Press. Retrieved from </w:t>
      </w:r>
      <w:hyperlink r:id="rId1268" w:history="1">
        <w:r w:rsidRPr="009B0448">
          <w:rPr>
            <w:rStyle w:val="Hyperlink"/>
            <w:rFonts w:ascii="Times New Roman" w:hAnsi="Times New Roman" w:cs="Times New Roman"/>
          </w:rPr>
          <w:t>https://www.ipcc.ch/pdf/assessment-report/ar4/wg2/ar4_wg2_full_report.pdf</w:t>
        </w:r>
      </w:hyperlink>
      <w:r w:rsidRPr="009B0448">
        <w:rPr>
          <w:rFonts w:ascii="Times New Roman" w:hAnsi="Times New Roman" w:cs="Times New Roman"/>
          <w:color w:val="auto"/>
        </w:rPr>
        <w:t xml:space="preserve"> </w:t>
      </w:r>
    </w:p>
    <w:p w14:paraId="52CF06C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IPCC. (2013). </w:t>
      </w:r>
      <w:r w:rsidRPr="009B0448">
        <w:rPr>
          <w:rFonts w:ascii="Times New Roman" w:hAnsi="Times New Roman" w:cs="Times New Roman"/>
          <w:i/>
          <w:color w:val="auto"/>
        </w:rPr>
        <w:t>Climate change 2013: The physical science Basis. Contribution of Working Group I to the Fifth Assessment Report of the Intergovernmental Panel on Climate Change</w:t>
      </w:r>
      <w:r w:rsidRPr="009B0448">
        <w:rPr>
          <w:rFonts w:ascii="Times New Roman" w:hAnsi="Times New Roman" w:cs="Times New Roman"/>
          <w:color w:val="auto"/>
        </w:rPr>
        <w:t xml:space="preserve">. In T. F. Stocker, D. Qin, G. K. Plattner, M. Tignor, S. K. Allen, J. Boschung, A. Nauels, Y. Xia, V. Bex, &amp; P. M. Midgley, (Eds.). New York, USA: Cambridge University Press. Retrieved from </w:t>
      </w:r>
      <w:hyperlink r:id="rId1269" w:history="1">
        <w:r w:rsidRPr="009B0448">
          <w:rPr>
            <w:rStyle w:val="Hyperlink"/>
            <w:rFonts w:ascii="Times New Roman" w:hAnsi="Times New Roman" w:cs="Times New Roman"/>
          </w:rPr>
          <w:t>https://www.ipcc.ch/pdf/assessment-report/ar5/wg1/WG1AR5_Frontmatter_FINAL.pdf</w:t>
        </w:r>
      </w:hyperlink>
      <w:r w:rsidRPr="009B0448">
        <w:rPr>
          <w:rFonts w:ascii="Times New Roman" w:hAnsi="Times New Roman" w:cs="Times New Roman"/>
          <w:color w:val="auto"/>
        </w:rPr>
        <w:t xml:space="preserve"> </w:t>
      </w:r>
    </w:p>
    <w:p w14:paraId="6B44942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IPCC. (2014). </w:t>
      </w:r>
      <w:r w:rsidRPr="009B0448">
        <w:rPr>
          <w:rFonts w:ascii="Times New Roman" w:hAnsi="Times New Roman" w:cs="Times New Roman"/>
          <w:i/>
          <w:color w:val="auto"/>
        </w:rPr>
        <w:t>Climate change 2014: Synthesis report. Contribution of Working Groups I, II and III to the Fifth Assessment Report of the Intergovernmental Panel on Climate Change</w:t>
      </w:r>
      <w:r w:rsidRPr="009B0448">
        <w:rPr>
          <w:rFonts w:ascii="Times New Roman" w:hAnsi="Times New Roman" w:cs="Times New Roman"/>
          <w:color w:val="auto"/>
        </w:rPr>
        <w:t xml:space="preserve">. In R. K. Pachauri, &amp; L. A. Meyer, (Eds.). Geneva, Switzerland: IPCC. Retrieved from </w:t>
      </w:r>
      <w:hyperlink r:id="rId1270" w:history="1">
        <w:r w:rsidRPr="009B0448">
          <w:rPr>
            <w:rStyle w:val="Hyperlink"/>
            <w:rFonts w:ascii="Times New Roman" w:hAnsi="Times New Roman" w:cs="Times New Roman"/>
          </w:rPr>
          <w:t>https://www.ipcc.ch/pdf/assessment-report/ar5/wg3/WGIIIAR5_SPM_TS_Volume.pdf</w:t>
        </w:r>
      </w:hyperlink>
      <w:r w:rsidRPr="009B0448">
        <w:rPr>
          <w:rFonts w:ascii="Times New Roman" w:hAnsi="Times New Roman" w:cs="Times New Roman"/>
          <w:color w:val="auto"/>
        </w:rPr>
        <w:t xml:space="preserve"> </w:t>
      </w:r>
    </w:p>
    <w:p w14:paraId="40F57AE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Iritie, B. G. J. J. (2015). Economic growth and biodiversity: An overview conservation policies in Africa. </w:t>
      </w:r>
      <w:r w:rsidRPr="009B0448">
        <w:rPr>
          <w:rFonts w:ascii="Times New Roman" w:hAnsi="Times New Roman" w:cs="Times New Roman"/>
          <w:i/>
          <w:color w:val="auto"/>
        </w:rPr>
        <w:t>Journal of Sustainable Development, 8</w:t>
      </w:r>
      <w:r w:rsidRPr="009B0448">
        <w:rPr>
          <w:rFonts w:ascii="Times New Roman" w:hAnsi="Times New Roman" w:cs="Times New Roman"/>
          <w:color w:val="auto"/>
        </w:rPr>
        <w:t xml:space="preserve">(2), 196–208. </w:t>
      </w:r>
      <w:hyperlink r:id="rId1271" w:history="1">
        <w:r w:rsidRPr="009B0448">
          <w:rPr>
            <w:rStyle w:val="Hyperlink"/>
            <w:rFonts w:ascii="Times New Roman" w:hAnsi="Times New Roman" w:cs="Times New Roman"/>
          </w:rPr>
          <w:t>https://doi.org/10.5539/jsd.v8n2p196</w:t>
        </w:r>
      </w:hyperlink>
    </w:p>
    <w:p w14:paraId="2478FA2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IUCN. (2009). </w:t>
      </w:r>
      <w:r w:rsidRPr="009B0448">
        <w:rPr>
          <w:rFonts w:ascii="Times New Roman" w:hAnsi="Times New Roman" w:cs="Times New Roman"/>
          <w:i/>
          <w:color w:val="auto"/>
        </w:rPr>
        <w:t>Indigenous and community conserved areas: A bold new frontier for conservation</w:t>
      </w:r>
      <w:r w:rsidRPr="009B0448">
        <w:rPr>
          <w:rFonts w:ascii="Times New Roman" w:hAnsi="Times New Roman" w:cs="Times New Roman"/>
          <w:color w:val="auto"/>
        </w:rPr>
        <w:t xml:space="preserve">. Geneva, Switzerland: IUCN. Retrieved from </w:t>
      </w:r>
      <w:hyperlink r:id="rId1272" w:history="1">
        <w:r w:rsidRPr="009B0448">
          <w:rPr>
            <w:rStyle w:val="Hyperlink"/>
            <w:rFonts w:ascii="Times New Roman" w:hAnsi="Times New Roman" w:cs="Times New Roman"/>
          </w:rPr>
          <w:t>https://www.iucn.org/content/indigenous-and-community-conserved-areas-bold-new-frontier-conservation</w:t>
        </w:r>
      </w:hyperlink>
      <w:r w:rsidRPr="009B0448">
        <w:rPr>
          <w:rFonts w:ascii="Times New Roman" w:hAnsi="Times New Roman" w:cs="Times New Roman"/>
          <w:color w:val="auto"/>
        </w:rPr>
        <w:t xml:space="preserve"> </w:t>
      </w:r>
    </w:p>
    <w:p w14:paraId="5021D59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IUCN. (2013). </w:t>
      </w:r>
      <w:r w:rsidRPr="009B0448">
        <w:rPr>
          <w:rFonts w:ascii="Times New Roman" w:hAnsi="Times New Roman" w:cs="Times New Roman"/>
          <w:i/>
          <w:color w:val="auto"/>
        </w:rPr>
        <w:t>The IUCN Red List of threatened species. Strategic plan 2013–2020</w:t>
      </w:r>
      <w:r w:rsidRPr="009B0448">
        <w:rPr>
          <w:rFonts w:ascii="Times New Roman" w:hAnsi="Times New Roman" w:cs="Times New Roman"/>
          <w:color w:val="auto"/>
        </w:rPr>
        <w:t xml:space="preserve">. Geneva, Switzerland: IUCN. Retrieved from </w:t>
      </w:r>
      <w:hyperlink r:id="rId1273" w:history="1">
        <w:r w:rsidRPr="009B0448">
          <w:rPr>
            <w:rStyle w:val="Hyperlink"/>
            <w:rFonts w:ascii="Times New Roman" w:hAnsi="Times New Roman" w:cs="Times New Roman"/>
          </w:rPr>
          <w:t>http://cmsdocs.s3.amazonaws.com/keydocuments/red_list_strategic_plan_2013_2020.pdf</w:t>
        </w:r>
      </w:hyperlink>
      <w:r w:rsidRPr="009B0448">
        <w:rPr>
          <w:rFonts w:ascii="Times New Roman" w:hAnsi="Times New Roman" w:cs="Times New Roman"/>
          <w:color w:val="auto"/>
        </w:rPr>
        <w:t xml:space="preserve"> </w:t>
      </w:r>
    </w:p>
    <w:p w14:paraId="3D0C659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Ivanova, D., Stadler, K., Steen-Olsen, K., Wood, R., Vita, G., Tukker, A., &amp; Hertwich, E. G. (2015). Environmental impact assessment of household consumption. </w:t>
      </w:r>
      <w:r w:rsidRPr="009B0448">
        <w:rPr>
          <w:rFonts w:ascii="Times New Roman" w:hAnsi="Times New Roman" w:cs="Times New Roman"/>
          <w:i/>
          <w:color w:val="auto"/>
        </w:rPr>
        <w:t>Journal of Industrial Ecology, 20</w:t>
      </w:r>
      <w:r w:rsidRPr="009B0448">
        <w:rPr>
          <w:rFonts w:ascii="Times New Roman" w:hAnsi="Times New Roman" w:cs="Times New Roman"/>
          <w:color w:val="auto"/>
        </w:rPr>
        <w:t xml:space="preserve">(3), 526–536. </w:t>
      </w:r>
      <w:hyperlink r:id="rId1274" w:history="1">
        <w:r w:rsidRPr="009B0448">
          <w:rPr>
            <w:rStyle w:val="Hyperlink"/>
            <w:rFonts w:ascii="Times New Roman" w:hAnsi="Times New Roman" w:cs="Times New Roman"/>
          </w:rPr>
          <w:t>https://doi.org/10.1111/jiec.12371</w:t>
        </w:r>
      </w:hyperlink>
      <w:r w:rsidRPr="009B0448">
        <w:rPr>
          <w:rFonts w:ascii="Times New Roman" w:hAnsi="Times New Roman" w:cs="Times New Roman"/>
          <w:color w:val="auto"/>
        </w:rPr>
        <w:t xml:space="preserve"> </w:t>
      </w:r>
    </w:p>
    <w:p w14:paraId="1FA11F6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James, R., &amp; Washington, R. (2013) Changes in African temperature and precipitation associated with degrees of global warming. </w:t>
      </w:r>
      <w:r w:rsidRPr="009B0448">
        <w:rPr>
          <w:rFonts w:ascii="Times New Roman" w:hAnsi="Times New Roman" w:cs="Times New Roman"/>
          <w:i/>
          <w:color w:val="auto"/>
        </w:rPr>
        <w:t>Climatic Change, 117</w:t>
      </w:r>
      <w:r w:rsidRPr="009B0448">
        <w:rPr>
          <w:rFonts w:ascii="Times New Roman" w:hAnsi="Times New Roman" w:cs="Times New Roman"/>
          <w:color w:val="auto"/>
        </w:rPr>
        <w:t xml:space="preserve">, 859–872. </w:t>
      </w:r>
      <w:hyperlink r:id="rId1275" w:history="1">
        <w:r w:rsidRPr="009B0448">
          <w:rPr>
            <w:rStyle w:val="Hyperlink"/>
            <w:rFonts w:ascii="Times New Roman" w:hAnsi="Times New Roman" w:cs="Times New Roman"/>
          </w:rPr>
          <w:t>https://doi.org/10.1007/s10584-012-0581-7</w:t>
        </w:r>
      </w:hyperlink>
    </w:p>
    <w:p w14:paraId="033D8C7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Jetz, W., Wilcove, D. S., &amp; Dobson, A. P. (2007). Projected impacts of climate and land-use change on the global diversity of birds. </w:t>
      </w:r>
      <w:r w:rsidRPr="009B0448">
        <w:rPr>
          <w:rFonts w:ascii="Times New Roman" w:hAnsi="Times New Roman" w:cs="Times New Roman"/>
          <w:i/>
          <w:color w:val="auto"/>
        </w:rPr>
        <w:t>PLoS Biology, 5</w:t>
      </w:r>
      <w:r w:rsidRPr="009B0448">
        <w:rPr>
          <w:rFonts w:ascii="Times New Roman" w:hAnsi="Times New Roman" w:cs="Times New Roman"/>
          <w:color w:val="auto"/>
        </w:rPr>
        <w:t xml:space="preserve">(6), 1211–1219. </w:t>
      </w:r>
      <w:hyperlink r:id="rId1276" w:history="1">
        <w:r w:rsidRPr="009B0448">
          <w:rPr>
            <w:rStyle w:val="Hyperlink"/>
            <w:rFonts w:ascii="Times New Roman" w:hAnsi="Times New Roman" w:cs="Times New Roman"/>
          </w:rPr>
          <w:t>https://doi.org/10.1371/journal.pbio.0050157</w:t>
        </w:r>
      </w:hyperlink>
    </w:p>
    <w:p w14:paraId="6B420B2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Joffe, S., &amp; Cooke, S. (1997). </w:t>
      </w:r>
      <w:r w:rsidRPr="009B0448">
        <w:rPr>
          <w:rFonts w:ascii="Times New Roman" w:hAnsi="Times New Roman" w:cs="Times New Roman"/>
          <w:i/>
          <w:color w:val="auto"/>
        </w:rPr>
        <w:t>Management of water hyacinth and other invasive aquatic weeds. Issues for the World Bank</w:t>
      </w:r>
      <w:r w:rsidRPr="009B0448">
        <w:rPr>
          <w:rFonts w:ascii="Times New Roman" w:hAnsi="Times New Roman" w:cs="Times New Roman"/>
          <w:color w:val="auto"/>
        </w:rPr>
        <w:t xml:space="preserve">. Washington, DC: World Bank. Retrieved from </w:t>
      </w:r>
      <w:hyperlink r:id="rId1277" w:history="1">
        <w:r w:rsidRPr="009B0448">
          <w:rPr>
            <w:rStyle w:val="Hyperlink"/>
            <w:rFonts w:ascii="Times New Roman" w:hAnsi="Times New Roman" w:cs="Times New Roman"/>
          </w:rPr>
          <w:t>http://documents.worldbank.org/curated/en/925261469672208200/pdf/263280NWP0REPL1nt0of0Aquatic0Plants.pdf</w:t>
        </w:r>
      </w:hyperlink>
      <w:r w:rsidRPr="009B0448">
        <w:rPr>
          <w:rFonts w:ascii="Times New Roman" w:hAnsi="Times New Roman" w:cs="Times New Roman"/>
          <w:color w:val="auto"/>
        </w:rPr>
        <w:t xml:space="preserve"> </w:t>
      </w:r>
    </w:p>
    <w:p w14:paraId="5FB33FF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Joiris, D. V., Bigombe, L. P., &amp; Abega, S. C. (2014). </w:t>
      </w:r>
      <w:r w:rsidRPr="009B0448">
        <w:rPr>
          <w:rFonts w:ascii="Times New Roman" w:hAnsi="Times New Roman" w:cs="Times New Roman"/>
          <w:color w:val="auto"/>
        </w:rPr>
        <w:t xml:space="preserve">La gestion participative des forêts en Afrique centrale. </w:t>
      </w:r>
      <w:r w:rsidRPr="009B0448">
        <w:rPr>
          <w:rFonts w:ascii="Times New Roman" w:hAnsi="Times New Roman" w:cs="Times New Roman"/>
          <w:i/>
          <w:color w:val="auto"/>
        </w:rPr>
        <w:t>Ethnoecology, 6</w:t>
      </w:r>
      <w:r w:rsidRPr="009B0448">
        <w:rPr>
          <w:rFonts w:ascii="Times New Roman" w:hAnsi="Times New Roman" w:cs="Times New Roman"/>
          <w:color w:val="auto"/>
        </w:rPr>
        <w:t xml:space="preserve">, 1–23. </w:t>
      </w:r>
      <w:hyperlink r:id="rId1278" w:history="1">
        <w:r w:rsidRPr="009B0448">
          <w:rPr>
            <w:rStyle w:val="Hyperlink"/>
            <w:rFonts w:ascii="Times New Roman" w:hAnsi="Times New Roman" w:cs="Times New Roman"/>
          </w:rPr>
          <w:t>https://doi.org/10.4000/ethnoecologie.1960</w:t>
        </w:r>
      </w:hyperlink>
      <w:r w:rsidRPr="009B0448">
        <w:rPr>
          <w:rFonts w:ascii="Times New Roman" w:hAnsi="Times New Roman" w:cs="Times New Roman"/>
          <w:color w:val="auto"/>
        </w:rPr>
        <w:t xml:space="preserve"> </w:t>
      </w:r>
    </w:p>
    <w:p w14:paraId="7AAA0BA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Josipovic, M., Annegarn, H. J., Kneen, M. A., Pienaar, J. J., &amp; Piketh, S. J. (2010). Concentrations, distributions and critical level exceedance assessment of SO</w:t>
      </w:r>
      <w:r w:rsidRPr="009B0448">
        <w:rPr>
          <w:rFonts w:ascii="Times New Roman" w:hAnsi="Times New Roman" w:cs="Times New Roman"/>
          <w:color w:val="auto"/>
          <w:vertAlign w:val="subscript"/>
        </w:rPr>
        <w:t>2</w:t>
      </w:r>
      <w:r w:rsidRPr="009B0448">
        <w:rPr>
          <w:rFonts w:ascii="Times New Roman" w:hAnsi="Times New Roman" w:cs="Times New Roman"/>
          <w:color w:val="auto"/>
        </w:rPr>
        <w:t>, NO</w:t>
      </w:r>
      <w:r w:rsidRPr="009B0448">
        <w:rPr>
          <w:rFonts w:ascii="Times New Roman" w:hAnsi="Times New Roman" w:cs="Times New Roman"/>
          <w:color w:val="auto"/>
          <w:vertAlign w:val="subscript"/>
        </w:rPr>
        <w:t>2</w:t>
      </w:r>
      <w:r w:rsidRPr="009B0448">
        <w:rPr>
          <w:rFonts w:ascii="Times New Roman" w:hAnsi="Times New Roman" w:cs="Times New Roman"/>
          <w:color w:val="auto"/>
        </w:rPr>
        <w:t xml:space="preserve"> and O</w:t>
      </w:r>
      <w:r w:rsidRPr="009B0448">
        <w:rPr>
          <w:rFonts w:ascii="Times New Roman" w:hAnsi="Times New Roman" w:cs="Times New Roman"/>
          <w:color w:val="auto"/>
          <w:vertAlign w:val="subscript"/>
        </w:rPr>
        <w:t>3</w:t>
      </w:r>
      <w:r w:rsidRPr="009B0448">
        <w:rPr>
          <w:rFonts w:ascii="Times New Roman" w:hAnsi="Times New Roman" w:cs="Times New Roman"/>
          <w:color w:val="auto"/>
        </w:rPr>
        <w:t xml:space="preserve"> in South Africa. </w:t>
      </w:r>
      <w:r w:rsidRPr="009B0448">
        <w:rPr>
          <w:rFonts w:ascii="Times New Roman" w:hAnsi="Times New Roman" w:cs="Times New Roman"/>
          <w:i/>
          <w:color w:val="auto"/>
        </w:rPr>
        <w:t>Environmental Monitoring and Assessment, 171</w:t>
      </w:r>
      <w:r w:rsidRPr="009B0448">
        <w:rPr>
          <w:rFonts w:ascii="Times New Roman" w:hAnsi="Times New Roman" w:cs="Times New Roman"/>
          <w:color w:val="auto"/>
        </w:rPr>
        <w:t xml:space="preserve">(4), 181–196. </w:t>
      </w:r>
      <w:hyperlink r:id="rId1279" w:history="1">
        <w:r w:rsidRPr="009B0448">
          <w:rPr>
            <w:rStyle w:val="Hyperlink"/>
            <w:rFonts w:ascii="Times New Roman" w:hAnsi="Times New Roman" w:cs="Times New Roman"/>
          </w:rPr>
          <w:t>https://doi.org/10.1007/s10661-009-1270-5</w:t>
        </w:r>
      </w:hyperlink>
      <w:r w:rsidRPr="009B0448">
        <w:rPr>
          <w:rFonts w:ascii="Times New Roman" w:hAnsi="Times New Roman" w:cs="Times New Roman"/>
          <w:color w:val="auto"/>
        </w:rPr>
        <w:t xml:space="preserve"> </w:t>
      </w:r>
    </w:p>
    <w:p w14:paraId="688DB12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Kalpers, J., Williamson, E. A., Robbins, M. M., &amp; McNeilage, A. (2003). Gorillas in the crossfire: Population dynamics of the Virunga Mountain Gorillas over the past three decades. </w:t>
      </w:r>
      <w:r w:rsidRPr="009B0448">
        <w:rPr>
          <w:rFonts w:ascii="Times New Roman" w:hAnsi="Times New Roman" w:cs="Times New Roman"/>
          <w:i/>
          <w:color w:val="auto"/>
        </w:rPr>
        <w:t>Oryx, 37</w:t>
      </w:r>
      <w:r w:rsidRPr="009B0448">
        <w:rPr>
          <w:rFonts w:ascii="Times New Roman" w:hAnsi="Times New Roman" w:cs="Times New Roman"/>
          <w:color w:val="auto"/>
        </w:rPr>
        <w:t>(3), 326–37.</w:t>
      </w:r>
      <w:r w:rsidRPr="009B0448">
        <w:rPr>
          <w:rFonts w:ascii="Times New Roman" w:hAnsi="Times New Roman" w:cs="Times New Roman"/>
        </w:rPr>
        <w:t xml:space="preserve"> </w:t>
      </w:r>
      <w:hyperlink r:id="rId1280" w:history="1">
        <w:r w:rsidRPr="009B0448">
          <w:rPr>
            <w:rStyle w:val="Hyperlink"/>
            <w:rFonts w:ascii="Times New Roman" w:hAnsi="Times New Roman" w:cs="Times New Roman"/>
          </w:rPr>
          <w:t>https://doi.org/10.1017/S0030605303000589</w:t>
        </w:r>
      </w:hyperlink>
    </w:p>
    <w:p w14:paraId="1ED0FFF4"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Kanyange, N., Kimani, P., Onyango, P., Sweenarian, S., &amp; Yvergniaux, Y. (2014). </w:t>
      </w:r>
      <w:r w:rsidRPr="009B0448">
        <w:rPr>
          <w:rFonts w:ascii="Times New Roman" w:eastAsiaTheme="minorHAnsi" w:hAnsi="Times New Roman" w:cs="Times New Roman"/>
          <w:i/>
          <w:color w:val="auto"/>
        </w:rPr>
        <w:t>Performance assessment of beach management units along the coastlines of Kenya and Tanzania</w:t>
      </w:r>
      <w:r w:rsidRPr="009B0448">
        <w:rPr>
          <w:rFonts w:ascii="Times New Roman" w:eastAsiaTheme="minorHAnsi" w:hAnsi="Times New Roman" w:cs="Times New Roman"/>
          <w:color w:val="auto"/>
        </w:rPr>
        <w:t xml:space="preserve">. Rome, Italy: FAO. Retrieved from </w:t>
      </w:r>
      <w:hyperlink r:id="rId1281" w:history="1">
        <w:r w:rsidRPr="009B0448">
          <w:rPr>
            <w:rStyle w:val="Hyperlink"/>
            <w:rFonts w:ascii="Times New Roman" w:eastAsiaTheme="minorHAnsi" w:hAnsi="Times New Roman" w:cs="Times New Roman"/>
          </w:rPr>
          <w:t>http://www.fao.org/3/a-az413e.pdf</w:t>
        </w:r>
      </w:hyperlink>
    </w:p>
    <w:p w14:paraId="52F7F99F" w14:textId="77777777" w:rsidR="009B0448" w:rsidRPr="009B0448" w:rsidRDefault="009B0448" w:rsidP="009B0448">
      <w:pPr>
        <w:pStyle w:val="NoSpacing"/>
        <w:spacing w:after="120" w:line="276" w:lineRule="auto"/>
        <w:ind w:left="567" w:hanging="567"/>
        <w:rPr>
          <w:rFonts w:ascii="Times New Roman" w:hAnsi="Times New Roman" w:cs="Times New Roman"/>
          <w:i/>
          <w:color w:val="auto"/>
        </w:rPr>
      </w:pPr>
      <w:r w:rsidRPr="009B0448">
        <w:rPr>
          <w:rFonts w:ascii="Times New Roman" w:hAnsi="Times New Roman" w:cs="Times New Roman"/>
          <w:color w:val="auto"/>
        </w:rPr>
        <w:t xml:space="preserve">Kaphengst, T. (2014). </w:t>
      </w:r>
      <w:r w:rsidRPr="009B0448">
        <w:rPr>
          <w:rFonts w:ascii="Times New Roman" w:hAnsi="Times New Roman" w:cs="Times New Roman"/>
          <w:i/>
          <w:color w:val="auto"/>
        </w:rPr>
        <w:t>Towards a definition of global sustainable land-use? A discussion on theory, concepts and implications for governance</w:t>
      </w:r>
      <w:r w:rsidRPr="009B0448">
        <w:rPr>
          <w:rFonts w:ascii="Times New Roman" w:hAnsi="Times New Roman" w:cs="Times New Roman"/>
          <w:color w:val="auto"/>
        </w:rPr>
        <w:t xml:space="preserve">. Berlin, Germany: EcoLogic. Retrieved from </w:t>
      </w:r>
      <w:hyperlink r:id="rId1282" w:history="1">
        <w:r w:rsidRPr="009B0448">
          <w:rPr>
            <w:rStyle w:val="Hyperlink"/>
            <w:rFonts w:ascii="Times New Roman" w:hAnsi="Times New Roman" w:cs="Times New Roman"/>
          </w:rPr>
          <w:t>https://globalands.ecologic.eu/sites/default/files/Globalands_Discussion_Paper_Sustainable_Landuse.pdf</w:t>
        </w:r>
      </w:hyperlink>
      <w:r w:rsidRPr="009B0448">
        <w:rPr>
          <w:rFonts w:ascii="Times New Roman" w:hAnsi="Times New Roman" w:cs="Times New Roman"/>
        </w:rPr>
        <w:t xml:space="preserve"> </w:t>
      </w:r>
    </w:p>
    <w:p w14:paraId="0E303BA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Karlsson, H., Muir, D. C. G., Teixiera, C. F., Burniston, D.D., Strachan, W. M. J., Hecky, R. E., Mwita, J., Bootsma, H. A., Grift, N. P., Kidd, K. A., &amp; Rosenberg, B. (2000). Persistent chlorinated pesticides in air, water, and precipitation from the Lake Malawi area, Southern Africa. </w:t>
      </w:r>
      <w:r w:rsidRPr="009B0448">
        <w:rPr>
          <w:rFonts w:ascii="Times New Roman" w:hAnsi="Times New Roman" w:cs="Times New Roman"/>
          <w:i/>
          <w:color w:val="auto"/>
        </w:rPr>
        <w:t>Environmental Science and Technology, 34</w:t>
      </w:r>
      <w:r w:rsidRPr="009B0448">
        <w:rPr>
          <w:rFonts w:ascii="Times New Roman" w:hAnsi="Times New Roman" w:cs="Times New Roman"/>
          <w:color w:val="auto"/>
        </w:rPr>
        <w:t xml:space="preserve">(21), 4490–4495. </w:t>
      </w:r>
      <w:hyperlink r:id="rId1283" w:history="1">
        <w:r w:rsidRPr="009B0448">
          <w:rPr>
            <w:rStyle w:val="Hyperlink"/>
            <w:rFonts w:ascii="Times New Roman" w:hAnsi="Times New Roman" w:cs="Times New Roman"/>
          </w:rPr>
          <w:t>https://doi.org/10.1021/es001053j</w:t>
        </w:r>
      </w:hyperlink>
      <w:r w:rsidRPr="009B0448">
        <w:rPr>
          <w:rFonts w:ascii="Times New Roman" w:hAnsi="Times New Roman" w:cs="Times New Roman"/>
          <w:color w:val="auto"/>
        </w:rPr>
        <w:t xml:space="preserve"> </w:t>
      </w:r>
    </w:p>
    <w:p w14:paraId="6B6C546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Keesing, F., Belden, L. K., Daszak, P., Dobson, A., Harvell, C. D., Holt, R. D., Hudson, P., Jolles, A., Jones, K. E., Mitchell, C. E., Myers, S. S., Bogich, T., &amp; Ostefeld, R. (2010). Impacts of biodiversity on the emergence and transmission of infectious diseases. </w:t>
      </w:r>
      <w:r w:rsidRPr="009B0448">
        <w:rPr>
          <w:rFonts w:ascii="Times New Roman" w:hAnsi="Times New Roman" w:cs="Times New Roman"/>
          <w:i/>
          <w:color w:val="auto"/>
        </w:rPr>
        <w:t>Nature, 468,</w:t>
      </w:r>
      <w:r w:rsidRPr="009B0448">
        <w:rPr>
          <w:rFonts w:ascii="Times New Roman" w:hAnsi="Times New Roman" w:cs="Times New Roman"/>
          <w:color w:val="auto"/>
        </w:rPr>
        <w:t xml:space="preserve"> 647– 652. </w:t>
      </w:r>
      <w:hyperlink r:id="rId1284" w:history="1">
        <w:r w:rsidRPr="009B0448">
          <w:rPr>
            <w:rStyle w:val="Hyperlink"/>
            <w:rFonts w:ascii="Times New Roman" w:hAnsi="Times New Roman" w:cs="Times New Roman"/>
          </w:rPr>
          <w:t>https://doi.org/10.1038/nature09575</w:t>
        </w:r>
      </w:hyperlink>
      <w:r w:rsidRPr="009B0448">
        <w:rPr>
          <w:rFonts w:ascii="Times New Roman" w:hAnsi="Times New Roman" w:cs="Times New Roman"/>
          <w:color w:val="auto"/>
        </w:rPr>
        <w:t xml:space="preserve"> </w:t>
      </w:r>
    </w:p>
    <w:p w14:paraId="35EF914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Keiser, J., Utzinger, J., De Castro, M. C., Smith, T. A., Tanner, M., &amp; Singer, B. H. (2004). Urbanization in sub-saharan Africa and implication for malaria control. </w:t>
      </w:r>
      <w:r w:rsidRPr="009B0448">
        <w:rPr>
          <w:rFonts w:ascii="Times New Roman" w:hAnsi="Times New Roman" w:cs="Times New Roman"/>
          <w:i/>
          <w:color w:val="auto"/>
        </w:rPr>
        <w:t>The American journal of tropical medicine and hygiene, 71</w:t>
      </w:r>
      <w:r w:rsidRPr="009B0448">
        <w:rPr>
          <w:rFonts w:ascii="Times New Roman" w:hAnsi="Times New Roman" w:cs="Times New Roman"/>
          <w:color w:val="auto"/>
        </w:rPr>
        <w:t xml:space="preserve">(2), 118–127. Retrieved from </w:t>
      </w:r>
      <w:hyperlink r:id="rId1285" w:history="1">
        <w:r w:rsidRPr="009B0448">
          <w:rPr>
            <w:rStyle w:val="Hyperlink"/>
            <w:rFonts w:ascii="Times New Roman" w:hAnsi="Times New Roman" w:cs="Times New Roman"/>
          </w:rPr>
          <w:t>https://www.ncbi.nlm.nih.gov/books/NBK3775/</w:t>
        </w:r>
      </w:hyperlink>
      <w:r w:rsidRPr="009B0448">
        <w:rPr>
          <w:rFonts w:ascii="Times New Roman" w:hAnsi="Times New Roman" w:cs="Times New Roman"/>
        </w:rPr>
        <w:t xml:space="preserve"> </w:t>
      </w:r>
    </w:p>
    <w:p w14:paraId="42A4DC6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Kenner, D. (2015). </w:t>
      </w:r>
      <w:r w:rsidRPr="009B0448">
        <w:rPr>
          <w:rFonts w:ascii="Times New Roman" w:hAnsi="Times New Roman" w:cs="Times New Roman"/>
          <w:i/>
          <w:color w:val="auto"/>
        </w:rPr>
        <w:t>Inequality of overconsumption: The ecological footprint of the richest</w:t>
      </w:r>
      <w:r w:rsidRPr="009B0448">
        <w:rPr>
          <w:rFonts w:ascii="Times New Roman" w:hAnsi="Times New Roman" w:cs="Times New Roman"/>
          <w:color w:val="auto"/>
        </w:rPr>
        <w:t>. Cambridge, UK: Global Sustainability Institute, Anglia Ruskin University.</w:t>
      </w:r>
    </w:p>
    <w:p w14:paraId="49A8618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Kenya Wildlife Service. (2012). </w:t>
      </w:r>
      <w:r w:rsidRPr="009B0448">
        <w:rPr>
          <w:rFonts w:ascii="Times New Roman" w:hAnsi="Times New Roman" w:cs="Times New Roman"/>
          <w:i/>
          <w:color w:val="auto"/>
        </w:rPr>
        <w:t>Conservation and management strategy for the black rhino (Diceros bicornis michaeli) in Kenya (2012</w:t>
      </w:r>
      <w:r w:rsidRPr="009B0448">
        <w:rPr>
          <w:rFonts w:ascii="Times New Roman" w:hAnsi="Times New Roman" w:cs="Times New Roman"/>
          <w:color w:val="auto"/>
        </w:rPr>
        <w:t>–</w:t>
      </w:r>
      <w:r w:rsidRPr="009B0448">
        <w:rPr>
          <w:rFonts w:ascii="Times New Roman" w:hAnsi="Times New Roman" w:cs="Times New Roman"/>
          <w:i/>
          <w:color w:val="auto"/>
        </w:rPr>
        <w:t>2016).</w:t>
      </w:r>
      <w:r w:rsidRPr="009B0448">
        <w:rPr>
          <w:rFonts w:ascii="Times New Roman" w:hAnsi="Times New Roman" w:cs="Times New Roman"/>
          <w:color w:val="auto"/>
        </w:rPr>
        <w:t xml:space="preserve"> Nairobi, Kenya: Kenya Wildlife Service. Retrieved from </w:t>
      </w:r>
      <w:hyperlink r:id="rId1286" w:history="1">
        <w:r w:rsidRPr="009B0448">
          <w:rPr>
            <w:rStyle w:val="Hyperlink"/>
            <w:rFonts w:ascii="Times New Roman" w:hAnsi="Times New Roman" w:cs="Times New Roman"/>
          </w:rPr>
          <w:t>http://www.rhinoresourcecenter.com/pdf_files/146/1469892235.pdf</w:t>
        </w:r>
      </w:hyperlink>
      <w:r w:rsidRPr="009B0448">
        <w:rPr>
          <w:rFonts w:ascii="Times New Roman" w:hAnsi="Times New Roman" w:cs="Times New Roman"/>
          <w:color w:val="auto"/>
        </w:rPr>
        <w:t xml:space="preserve"> </w:t>
      </w:r>
    </w:p>
    <w:p w14:paraId="5BB2CA3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Kettunen, M., &amp; Brink, P. (Eds.). (2013). </w:t>
      </w:r>
      <w:r w:rsidRPr="009B0448">
        <w:rPr>
          <w:rFonts w:ascii="Times New Roman" w:hAnsi="Times New Roman" w:cs="Times New Roman"/>
          <w:i/>
          <w:color w:val="auto"/>
        </w:rPr>
        <w:t>Social and economic benefits of protected areas: An Assessment Guide</w:t>
      </w:r>
      <w:r w:rsidRPr="009B0448">
        <w:rPr>
          <w:rFonts w:ascii="Times New Roman" w:hAnsi="Times New Roman" w:cs="Times New Roman"/>
          <w:color w:val="auto"/>
        </w:rPr>
        <w:t xml:space="preserve">. London, UK: Routledg. Retrieved from </w:t>
      </w:r>
      <w:hyperlink r:id="rId1287" w:history="1">
        <w:r w:rsidRPr="009B0448">
          <w:rPr>
            <w:rStyle w:val="Hyperlink"/>
            <w:rFonts w:ascii="Times New Roman" w:hAnsi="Times New Roman" w:cs="Times New Roman"/>
          </w:rPr>
          <w:t>http://www.routledge.com/books/details/9780415632843/</w:t>
        </w:r>
      </w:hyperlink>
      <w:r w:rsidRPr="009B0448">
        <w:rPr>
          <w:rFonts w:ascii="Times New Roman" w:hAnsi="Times New Roman" w:cs="Times New Roman"/>
          <w:color w:val="auto"/>
        </w:rPr>
        <w:t xml:space="preserve"> </w:t>
      </w:r>
    </w:p>
    <w:p w14:paraId="75048D1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Kgosikoma, O. E., &amp; Mogotsi, K. (2013). Understanding the causes of bush encroachment in Africa: The key to effective management of savanna grasslands, Tropical Grasslands. </w:t>
      </w:r>
      <w:r w:rsidRPr="009B0448">
        <w:rPr>
          <w:rFonts w:ascii="Times New Roman" w:hAnsi="Times New Roman" w:cs="Times New Roman"/>
          <w:i/>
          <w:color w:val="auto"/>
        </w:rPr>
        <w:t>Forrajes Tropicales, 1</w:t>
      </w:r>
      <w:r w:rsidRPr="009B0448">
        <w:rPr>
          <w:rFonts w:ascii="Times New Roman" w:hAnsi="Times New Roman" w:cs="Times New Roman"/>
          <w:color w:val="auto"/>
        </w:rPr>
        <w:t xml:space="preserve">(2), 215–219. </w:t>
      </w:r>
      <w:hyperlink r:id="rId1288" w:history="1">
        <w:r w:rsidRPr="009B0448">
          <w:rPr>
            <w:rStyle w:val="Hyperlink"/>
            <w:rFonts w:ascii="Times New Roman" w:hAnsi="Times New Roman" w:cs="Times New Roman"/>
          </w:rPr>
          <w:t>https://doi.org/10.17138/tgft(1)215-219</w:t>
        </w:r>
      </w:hyperlink>
      <w:r w:rsidRPr="009B0448">
        <w:rPr>
          <w:rFonts w:ascii="Times New Roman" w:hAnsi="Times New Roman" w:cs="Times New Roman"/>
          <w:color w:val="auto"/>
        </w:rPr>
        <w:t xml:space="preserve"> </w:t>
      </w:r>
    </w:p>
    <w:p w14:paraId="4AA4FDB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Kiage, L. M. (2013). Perspectives on the assumed causes of land degradation in the rangelands of sub-Saharan Africa. </w:t>
      </w:r>
      <w:r w:rsidRPr="009B0448">
        <w:rPr>
          <w:rFonts w:ascii="Times New Roman" w:hAnsi="Times New Roman" w:cs="Times New Roman"/>
          <w:i/>
          <w:color w:val="auto"/>
        </w:rPr>
        <w:t>Progress in Physical Geography, 37</w:t>
      </w:r>
      <w:r w:rsidRPr="009B0448">
        <w:rPr>
          <w:rFonts w:ascii="Times New Roman" w:hAnsi="Times New Roman" w:cs="Times New Roman"/>
          <w:color w:val="auto"/>
        </w:rPr>
        <w:t xml:space="preserve">, 664–684. </w:t>
      </w:r>
      <w:hyperlink r:id="rId1289" w:history="1">
        <w:r w:rsidRPr="009B0448">
          <w:rPr>
            <w:rStyle w:val="Hyperlink"/>
            <w:rFonts w:ascii="Times New Roman" w:hAnsi="Times New Roman" w:cs="Times New Roman"/>
          </w:rPr>
          <w:t>https://doi.org/10.1177/0309133313492543</w:t>
        </w:r>
      </w:hyperlink>
      <w:r w:rsidRPr="009B0448">
        <w:rPr>
          <w:rFonts w:ascii="Times New Roman" w:hAnsi="Times New Roman" w:cs="Times New Roman"/>
          <w:color w:val="auto"/>
        </w:rPr>
        <w:t xml:space="preserve"> </w:t>
      </w:r>
    </w:p>
    <w:p w14:paraId="36A68AB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Kidd, K. A., Bootsma, H. A., Hesslein, R. H., Muir, D. C. G., &amp; Hecky, R. E. (2001). Biomagnification of DDT through the benthic and pelagic food webs of Lake Malawi, East Africa: Importance of trophic level and carbon source. </w:t>
      </w:r>
      <w:r w:rsidRPr="009B0448">
        <w:rPr>
          <w:rFonts w:ascii="Times New Roman" w:hAnsi="Times New Roman" w:cs="Times New Roman"/>
          <w:i/>
          <w:color w:val="auto"/>
        </w:rPr>
        <w:t>Environmental Science and Technology, 35</w:t>
      </w:r>
      <w:r w:rsidRPr="009B0448">
        <w:rPr>
          <w:rFonts w:ascii="Times New Roman" w:hAnsi="Times New Roman" w:cs="Times New Roman"/>
          <w:color w:val="auto"/>
        </w:rPr>
        <w:t xml:space="preserve">(1), 14–20. </w:t>
      </w:r>
      <w:hyperlink r:id="rId1290" w:history="1">
        <w:r w:rsidRPr="009B0448">
          <w:rPr>
            <w:rStyle w:val="Hyperlink"/>
            <w:rFonts w:ascii="Times New Roman" w:hAnsi="Times New Roman" w:cs="Times New Roman"/>
          </w:rPr>
          <w:t>https://doi.org/10.1021/es001119a</w:t>
        </w:r>
      </w:hyperlink>
      <w:r w:rsidRPr="009B0448">
        <w:rPr>
          <w:rFonts w:ascii="Times New Roman" w:hAnsi="Times New Roman" w:cs="Times New Roman"/>
          <w:color w:val="auto"/>
        </w:rPr>
        <w:t xml:space="preserve"> </w:t>
      </w:r>
    </w:p>
    <w:p w14:paraId="2E2510A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Kiffner, C., Wenner, C., LaViolet, A., Yeh, K., &amp; Kioko, J. (2014). From savannah to farmland: Effects of land-use on mammal communities in the Tarangire–Manyara ecosystem, Tanzania. </w:t>
      </w:r>
      <w:r w:rsidRPr="009B0448">
        <w:rPr>
          <w:rFonts w:ascii="Times New Roman" w:hAnsi="Times New Roman" w:cs="Times New Roman"/>
          <w:i/>
          <w:color w:val="auto"/>
        </w:rPr>
        <w:t>African</w:t>
      </w:r>
      <w:r w:rsidRPr="009B0448">
        <w:rPr>
          <w:rFonts w:ascii="Times New Roman" w:hAnsi="Times New Roman" w:cs="Times New Roman"/>
          <w:color w:val="auto"/>
        </w:rPr>
        <w:t xml:space="preserve"> </w:t>
      </w:r>
      <w:r w:rsidRPr="009B0448">
        <w:rPr>
          <w:rFonts w:ascii="Times New Roman" w:hAnsi="Times New Roman" w:cs="Times New Roman"/>
          <w:i/>
          <w:color w:val="auto"/>
        </w:rPr>
        <w:t>Journal of Ecology, 53</w:t>
      </w:r>
      <w:r w:rsidRPr="009B0448">
        <w:rPr>
          <w:rFonts w:ascii="Times New Roman" w:hAnsi="Times New Roman" w:cs="Times New Roman"/>
          <w:color w:val="auto"/>
        </w:rPr>
        <w:t xml:space="preserve">(2), 156–167. </w:t>
      </w:r>
      <w:hyperlink r:id="rId1291" w:history="1">
        <w:r w:rsidRPr="009B0448">
          <w:rPr>
            <w:rStyle w:val="Hyperlink"/>
            <w:rFonts w:ascii="Times New Roman" w:hAnsi="Times New Roman" w:cs="Times New Roman"/>
          </w:rPr>
          <w:t>https://doi.org/10.1111/aje.12160</w:t>
        </w:r>
      </w:hyperlink>
      <w:r w:rsidRPr="009B0448">
        <w:rPr>
          <w:rFonts w:ascii="Times New Roman" w:hAnsi="Times New Roman" w:cs="Times New Roman"/>
          <w:color w:val="auto"/>
        </w:rPr>
        <w:t xml:space="preserve"> </w:t>
      </w:r>
    </w:p>
    <w:p w14:paraId="5EFDE0D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en-US"/>
        </w:rPr>
        <w:t xml:space="preserve">Kiflom, W. G., Wandiga, S. O., Ng’ang’a, P. K., &amp; Kamau, G. N. (1999). </w:t>
      </w:r>
      <w:r w:rsidRPr="009B0448">
        <w:rPr>
          <w:rFonts w:ascii="Times New Roman" w:hAnsi="Times New Roman" w:cs="Times New Roman"/>
          <w:color w:val="auto"/>
        </w:rPr>
        <w:t xml:space="preserve">Variation of plant p,p ’-DDT uptake with age and soil type and dependence of dissipation on temperature. </w:t>
      </w:r>
      <w:r w:rsidRPr="009B0448">
        <w:rPr>
          <w:rFonts w:ascii="Times New Roman" w:hAnsi="Times New Roman" w:cs="Times New Roman"/>
          <w:i/>
          <w:color w:val="auto"/>
        </w:rPr>
        <w:t>Environment International, 25</w:t>
      </w:r>
      <w:r w:rsidRPr="009B0448">
        <w:rPr>
          <w:rFonts w:ascii="Times New Roman" w:hAnsi="Times New Roman" w:cs="Times New Roman"/>
          <w:color w:val="auto"/>
        </w:rPr>
        <w:t xml:space="preserve">(4), 479–487. </w:t>
      </w:r>
      <w:hyperlink r:id="rId1292" w:history="1">
        <w:r w:rsidRPr="009B0448">
          <w:rPr>
            <w:rStyle w:val="Hyperlink"/>
            <w:rFonts w:ascii="Times New Roman" w:hAnsi="Times New Roman" w:cs="Times New Roman"/>
          </w:rPr>
          <w:t>https://doi.org/10.1016/S0160-4120(99)00005-7</w:t>
        </w:r>
      </w:hyperlink>
    </w:p>
    <w:p w14:paraId="4CA86F9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Kipalu, P., Kone, L., Bouchra, S., Vig, S., &amp; Loyombo, W. (2016). </w:t>
      </w:r>
      <w:r w:rsidRPr="009B0448">
        <w:rPr>
          <w:rFonts w:ascii="Times New Roman" w:hAnsi="Times New Roman" w:cs="Times New Roman"/>
          <w:i/>
          <w:color w:val="auto"/>
        </w:rPr>
        <w:t>Securing forests peoples rights and tackling deforestation in the Democratic Republic of Congo. Deforestation drivers, local impacts and rights-based solutions.</w:t>
      </w:r>
      <w:r w:rsidRPr="009B0448">
        <w:rPr>
          <w:rFonts w:ascii="Times New Roman" w:hAnsi="Times New Roman" w:cs="Times New Roman"/>
          <w:color w:val="auto"/>
        </w:rPr>
        <w:t xml:space="preserve"> London, England: Forest Peoples Programme. Retrieved from </w:t>
      </w:r>
      <w:hyperlink r:id="rId1293" w:history="1">
        <w:r w:rsidRPr="009B0448">
          <w:rPr>
            <w:rStyle w:val="Hyperlink"/>
            <w:rFonts w:ascii="Times New Roman" w:hAnsi="Times New Roman" w:cs="Times New Roman"/>
          </w:rPr>
          <w:t>http://www.forestpeoples.org/sites/fpp/files/publication/2016/05/fppdrcreportinternet-2.pdf</w:t>
        </w:r>
      </w:hyperlink>
      <w:r w:rsidRPr="009B0448">
        <w:rPr>
          <w:rFonts w:ascii="Times New Roman" w:hAnsi="Times New Roman" w:cs="Times New Roman"/>
          <w:color w:val="auto"/>
        </w:rPr>
        <w:t xml:space="preserve"> </w:t>
      </w:r>
    </w:p>
    <w:p w14:paraId="74CD4CD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Kishe, M. A., &amp; Machiwa, J. F. (2003). Distribution of heavy metals in sediments of Mwanza Gulf of Lake Victoria, Tanzania. </w:t>
      </w:r>
      <w:r w:rsidRPr="009B0448">
        <w:rPr>
          <w:rFonts w:ascii="Times New Roman" w:hAnsi="Times New Roman" w:cs="Times New Roman"/>
          <w:i/>
          <w:color w:val="auto"/>
        </w:rPr>
        <w:t>Environment International, 28</w:t>
      </w:r>
      <w:r w:rsidRPr="009B0448">
        <w:rPr>
          <w:rFonts w:ascii="Times New Roman" w:hAnsi="Times New Roman" w:cs="Times New Roman"/>
          <w:color w:val="auto"/>
        </w:rPr>
        <w:t xml:space="preserve">(7), 619–625. </w:t>
      </w:r>
      <w:hyperlink r:id="rId1294" w:history="1">
        <w:r w:rsidRPr="009B0448">
          <w:rPr>
            <w:rStyle w:val="Hyperlink"/>
            <w:rFonts w:ascii="Times New Roman" w:hAnsi="Times New Roman" w:cs="Times New Roman"/>
          </w:rPr>
          <w:t>https://doi.org/10.1016/S0160-4120(02)00099-5</w:t>
        </w:r>
      </w:hyperlink>
    </w:p>
    <w:p w14:paraId="0308D5C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Klop, E., &amp; Prins, H. H. T. (2008). Diversity and species composition of West African ungulate assemblages: Effects of fire, climate and soil. </w:t>
      </w:r>
      <w:r w:rsidRPr="009B0448">
        <w:rPr>
          <w:rFonts w:ascii="Times New Roman" w:hAnsi="Times New Roman" w:cs="Times New Roman"/>
          <w:i/>
          <w:color w:val="auto"/>
        </w:rPr>
        <w:t>Global Ecology and Biogeography, 17</w:t>
      </w:r>
      <w:r w:rsidRPr="009B0448">
        <w:rPr>
          <w:rFonts w:ascii="Times New Roman" w:hAnsi="Times New Roman" w:cs="Times New Roman"/>
          <w:color w:val="auto"/>
        </w:rPr>
        <w:t xml:space="preserve">, 778–787. </w:t>
      </w:r>
      <w:hyperlink r:id="rId1295" w:history="1">
        <w:r w:rsidRPr="009B0448">
          <w:rPr>
            <w:rStyle w:val="Hyperlink"/>
            <w:rFonts w:ascii="Times New Roman" w:hAnsi="Times New Roman" w:cs="Times New Roman"/>
          </w:rPr>
          <w:t>https://doi.org/10.1111/j.1466-8238.2008.00416.x</w:t>
        </w:r>
      </w:hyperlink>
      <w:r w:rsidRPr="009B0448">
        <w:rPr>
          <w:rFonts w:ascii="Times New Roman" w:hAnsi="Times New Roman" w:cs="Times New Roman"/>
          <w:color w:val="auto"/>
        </w:rPr>
        <w:t xml:space="preserve"> </w:t>
      </w:r>
    </w:p>
    <w:p w14:paraId="04FE03D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Knee, A. (2000). </w:t>
      </w:r>
      <w:r w:rsidRPr="009B0448">
        <w:rPr>
          <w:rFonts w:ascii="Times New Roman" w:hAnsi="Times New Roman" w:cs="Times New Roman"/>
          <w:i/>
          <w:color w:val="auto"/>
        </w:rPr>
        <w:t>International spotlight on growing trade in bushmeat</w:t>
      </w:r>
      <w:r w:rsidRPr="009B0448">
        <w:rPr>
          <w:rFonts w:ascii="Times New Roman" w:hAnsi="Times New Roman" w:cs="Times New Roman"/>
          <w:color w:val="auto"/>
        </w:rPr>
        <w:t>. Gland, Switzerland: IUCN. Retrieved from</w:t>
      </w:r>
      <w:r w:rsidRPr="009B0448">
        <w:rPr>
          <w:rFonts w:ascii="Times New Roman" w:hAnsi="Times New Roman" w:cs="Times New Roman"/>
        </w:rPr>
        <w:t xml:space="preserve"> </w:t>
      </w:r>
      <w:hyperlink r:id="rId1296" w:history="1">
        <w:r w:rsidRPr="009B0448">
          <w:rPr>
            <w:rStyle w:val="Hyperlink"/>
            <w:rFonts w:ascii="Times New Roman" w:hAnsi="Times New Roman" w:cs="Times New Roman"/>
          </w:rPr>
          <w:t>https://www.iucn.org/themes/ssc/news/%20bushmeat.html</w:t>
        </w:r>
      </w:hyperlink>
      <w:r w:rsidRPr="009B0448">
        <w:rPr>
          <w:rFonts w:ascii="Times New Roman" w:hAnsi="Times New Roman" w:cs="Times New Roman"/>
          <w:color w:val="auto"/>
        </w:rPr>
        <w:t xml:space="preserve"> </w:t>
      </w:r>
    </w:p>
    <w:p w14:paraId="1FE6331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Knight-Jones, T. J. D., &amp; Rushton, J. (2013). The economic impacts of foot and mouth disease–What are they, how big are they and where do they occur? </w:t>
      </w:r>
      <w:r w:rsidRPr="009B0448">
        <w:rPr>
          <w:rFonts w:ascii="Times New Roman" w:hAnsi="Times New Roman" w:cs="Times New Roman"/>
          <w:i/>
          <w:color w:val="auto"/>
        </w:rPr>
        <w:t>Preventive Veterinary Medicine, 112(3-4)</w:t>
      </w:r>
      <w:r w:rsidRPr="009B0448">
        <w:rPr>
          <w:rFonts w:ascii="Times New Roman" w:hAnsi="Times New Roman" w:cs="Times New Roman"/>
          <w:color w:val="auto"/>
        </w:rPr>
        <w:t xml:space="preserve">, 161–173. </w:t>
      </w:r>
      <w:hyperlink r:id="rId1297" w:history="1">
        <w:r w:rsidRPr="009B0448">
          <w:rPr>
            <w:rStyle w:val="Hyperlink"/>
            <w:rFonts w:ascii="Times New Roman" w:hAnsi="Times New Roman" w:cs="Times New Roman"/>
          </w:rPr>
          <w:t>https://doi.org/10.1016/j.prevetmed.2013.07.013</w:t>
        </w:r>
      </w:hyperlink>
    </w:p>
    <w:p w14:paraId="5D41C31E"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Knox, J., Hess, T., Daccache, A., &amp; Wheeler, T. (2012). Climate change impacts on crop productivity in Africa and South Asia. </w:t>
      </w:r>
      <w:r w:rsidRPr="009B0448">
        <w:rPr>
          <w:rFonts w:ascii="Times New Roman" w:eastAsiaTheme="minorHAnsi" w:hAnsi="Times New Roman" w:cs="Times New Roman"/>
          <w:i/>
          <w:color w:val="auto"/>
        </w:rPr>
        <w:t>Environmental Research Letters, 7(3)</w:t>
      </w:r>
      <w:r w:rsidRPr="009B0448">
        <w:rPr>
          <w:rFonts w:ascii="Times New Roman" w:eastAsiaTheme="minorHAnsi" w:hAnsi="Times New Roman" w:cs="Times New Roman"/>
          <w:color w:val="auto"/>
        </w:rPr>
        <w:t xml:space="preserve">, 034032. </w:t>
      </w:r>
      <w:hyperlink r:id="rId1298" w:history="1">
        <w:r w:rsidRPr="009B0448">
          <w:rPr>
            <w:rStyle w:val="Hyperlink"/>
            <w:rFonts w:ascii="Times New Roman" w:eastAsiaTheme="minorHAnsi" w:hAnsi="Times New Roman" w:cs="Times New Roman"/>
          </w:rPr>
          <w:t>https://doi.org/10.1088/1748-9326/7/3/034032</w:t>
        </w:r>
      </w:hyperlink>
      <w:r w:rsidRPr="009B0448">
        <w:rPr>
          <w:rFonts w:ascii="Times New Roman" w:eastAsiaTheme="minorHAnsi" w:hAnsi="Times New Roman" w:cs="Times New Roman"/>
          <w:color w:val="auto"/>
        </w:rPr>
        <w:t xml:space="preserve"> </w:t>
      </w:r>
    </w:p>
    <w:p w14:paraId="3EE7507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Koné, Y. J. M., Abrii, G., Kouadio, K. N., Deiiile, B., &amp; Borges, A. V. (2009). </w:t>
      </w:r>
      <w:r w:rsidRPr="009B0448">
        <w:rPr>
          <w:rFonts w:ascii="Times New Roman" w:hAnsi="Times New Roman" w:cs="Times New Roman"/>
          <w:color w:val="auto"/>
        </w:rPr>
        <w:t xml:space="preserve">Seasonal variability of carbon dioxide in the rivers and lagoons of Ivory Coast (West Africa). </w:t>
      </w:r>
      <w:r w:rsidRPr="009B0448">
        <w:rPr>
          <w:rFonts w:ascii="Times New Roman" w:hAnsi="Times New Roman" w:cs="Times New Roman"/>
          <w:i/>
          <w:color w:val="auto"/>
        </w:rPr>
        <w:t>Estuaries and Coasts, 32</w:t>
      </w:r>
      <w:r w:rsidRPr="009B0448">
        <w:rPr>
          <w:rFonts w:ascii="Times New Roman" w:hAnsi="Times New Roman" w:cs="Times New Roman"/>
          <w:color w:val="auto"/>
        </w:rPr>
        <w:t xml:space="preserve">, 246–260. </w:t>
      </w:r>
      <w:hyperlink r:id="rId1299" w:history="1">
        <w:r w:rsidRPr="009B0448">
          <w:rPr>
            <w:rStyle w:val="Hyperlink"/>
            <w:rFonts w:ascii="Times New Roman" w:hAnsi="Times New Roman" w:cs="Times New Roman"/>
          </w:rPr>
          <w:t>https://doi.org/10.1007/s12237-008-9121-0</w:t>
        </w:r>
      </w:hyperlink>
      <w:r w:rsidRPr="009B0448">
        <w:rPr>
          <w:rFonts w:ascii="Times New Roman" w:hAnsi="Times New Roman" w:cs="Times New Roman"/>
          <w:color w:val="auto"/>
        </w:rPr>
        <w:t xml:space="preserve"> </w:t>
      </w:r>
    </w:p>
    <w:p w14:paraId="4B05EED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Kraaij, T., &amp; Ward, D. (2006). Effects of rain, nitrogen, fire and grazing on tree recruitment and early survival in bush-encroached savanna, South Africa. </w:t>
      </w:r>
      <w:r w:rsidRPr="009B0448">
        <w:rPr>
          <w:rFonts w:ascii="Times New Roman" w:hAnsi="Times New Roman" w:cs="Times New Roman"/>
          <w:i/>
          <w:color w:val="auto"/>
        </w:rPr>
        <w:t>Plant Ecology, 186</w:t>
      </w:r>
      <w:r w:rsidRPr="009B0448">
        <w:rPr>
          <w:rFonts w:ascii="Times New Roman" w:hAnsi="Times New Roman" w:cs="Times New Roman"/>
          <w:color w:val="auto"/>
        </w:rPr>
        <w:t>(2), 235–246.</w:t>
      </w:r>
      <w:r w:rsidRPr="009B0448">
        <w:rPr>
          <w:rFonts w:ascii="Times New Roman" w:hAnsi="Times New Roman" w:cs="Times New Roman"/>
        </w:rPr>
        <w:t xml:space="preserve"> </w:t>
      </w:r>
      <w:hyperlink r:id="rId1300" w:history="1">
        <w:r w:rsidRPr="009B0448">
          <w:rPr>
            <w:rStyle w:val="Hyperlink"/>
            <w:rFonts w:ascii="Times New Roman" w:hAnsi="Times New Roman" w:cs="Times New Roman"/>
          </w:rPr>
          <w:t>https://doi.org/10.1007/s11258-006-9125-4</w:t>
        </w:r>
      </w:hyperlink>
      <w:r w:rsidRPr="009B0448">
        <w:rPr>
          <w:rFonts w:ascii="Times New Roman" w:hAnsi="Times New Roman" w:cs="Times New Roman"/>
          <w:color w:val="auto"/>
        </w:rPr>
        <w:t xml:space="preserve"> </w:t>
      </w:r>
    </w:p>
    <w:p w14:paraId="3DA8AE9C"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Kueffer, C., &amp; Vos, P. (2004). </w:t>
      </w:r>
      <w:r w:rsidRPr="009B0448">
        <w:rPr>
          <w:rFonts w:ascii="Times New Roman" w:eastAsiaTheme="minorHAnsi" w:hAnsi="Times New Roman" w:cs="Times New Roman"/>
          <w:i/>
          <w:color w:val="auto"/>
        </w:rPr>
        <w:t>Case studies on the status of invasive woody plant species in the Western Indian Ocean: 5. Seychelles.</w:t>
      </w:r>
      <w:r w:rsidRPr="009B0448">
        <w:rPr>
          <w:rFonts w:ascii="Times New Roman" w:eastAsiaTheme="minorHAnsi" w:hAnsi="Times New Roman" w:cs="Times New Roman"/>
          <w:color w:val="auto"/>
        </w:rPr>
        <w:t xml:space="preserve"> Rome, Italy: FAO.</w:t>
      </w:r>
      <w:r w:rsidRPr="009B0448">
        <w:rPr>
          <w:rFonts w:ascii="Times New Roman" w:hAnsi="Times New Roman" w:cs="Times New Roman"/>
        </w:rPr>
        <w:t xml:space="preserve"> </w:t>
      </w:r>
      <w:r w:rsidRPr="009B0448">
        <w:rPr>
          <w:rFonts w:ascii="Times New Roman" w:eastAsiaTheme="minorHAnsi" w:hAnsi="Times New Roman" w:cs="Times New Roman"/>
          <w:color w:val="auto"/>
        </w:rPr>
        <w:t xml:space="preserve">Retrieved from </w:t>
      </w:r>
      <w:hyperlink r:id="rId1301" w:history="1">
        <w:r w:rsidRPr="009B0448">
          <w:rPr>
            <w:rStyle w:val="Hyperlink"/>
            <w:rFonts w:ascii="Times New Roman" w:eastAsiaTheme="minorHAnsi" w:hAnsi="Times New Roman" w:cs="Times New Roman"/>
          </w:rPr>
          <w:t>http://www.fao.org/forestry/6848-07d9a941381eb5e556c4ead52e20bd418.pdf</w:t>
        </w:r>
      </w:hyperlink>
      <w:r w:rsidRPr="009B0448">
        <w:rPr>
          <w:rFonts w:ascii="Times New Roman" w:eastAsiaTheme="minorHAnsi" w:hAnsi="Times New Roman" w:cs="Times New Roman"/>
          <w:color w:val="auto"/>
        </w:rPr>
        <w:t xml:space="preserve"> </w:t>
      </w:r>
    </w:p>
    <w:p w14:paraId="0B3F5DD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Kull, C. A., Tassin, J., &amp; Rangan, H. (2007). Multifunctional, scrubby, and invasive forests? Wattles in the highlands of Madagascar. </w:t>
      </w:r>
      <w:r w:rsidRPr="009B0448">
        <w:rPr>
          <w:rFonts w:ascii="Times New Roman" w:hAnsi="Times New Roman" w:cs="Times New Roman"/>
          <w:i/>
          <w:color w:val="auto"/>
        </w:rPr>
        <w:t>Mountain Research and Development, 27</w:t>
      </w:r>
      <w:r w:rsidRPr="009B0448">
        <w:rPr>
          <w:rFonts w:ascii="Times New Roman" w:hAnsi="Times New Roman" w:cs="Times New Roman"/>
          <w:color w:val="auto"/>
        </w:rPr>
        <w:t xml:space="preserve">, 224–231. </w:t>
      </w:r>
      <w:hyperlink r:id="rId1302" w:history="1">
        <w:r w:rsidRPr="009B0448">
          <w:rPr>
            <w:rStyle w:val="Hyperlink"/>
            <w:rFonts w:ascii="Times New Roman" w:hAnsi="Times New Roman" w:cs="Times New Roman"/>
          </w:rPr>
          <w:t>https://doi.org/10.1659/mrd.0864</w:t>
        </w:r>
      </w:hyperlink>
    </w:p>
    <w:p w14:paraId="1900637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Kull, C. A., Tassin, J., Moreau, S., Ramiamantsoa, H., Blanc-Palmard, C., &amp; Carrière, S., (2011). The introduced flora of Madagascar. </w:t>
      </w:r>
      <w:r w:rsidRPr="009B0448">
        <w:rPr>
          <w:rFonts w:ascii="Times New Roman" w:hAnsi="Times New Roman" w:cs="Times New Roman"/>
          <w:i/>
          <w:color w:val="auto"/>
        </w:rPr>
        <w:t>Biological invasions, 14</w:t>
      </w:r>
      <w:r w:rsidRPr="009B0448">
        <w:rPr>
          <w:rFonts w:ascii="Times New Roman" w:hAnsi="Times New Roman" w:cs="Times New Roman"/>
          <w:color w:val="auto"/>
        </w:rPr>
        <w:t xml:space="preserve">, 875–888. </w:t>
      </w:r>
      <w:hyperlink r:id="rId1303" w:history="1">
        <w:r w:rsidRPr="009B0448">
          <w:rPr>
            <w:rStyle w:val="Hyperlink"/>
            <w:rFonts w:ascii="Times New Roman" w:hAnsi="Times New Roman" w:cs="Times New Roman"/>
          </w:rPr>
          <w:t>https://doi.org/10.1007/s10530-011-0124-6</w:t>
        </w:r>
      </w:hyperlink>
      <w:r w:rsidRPr="009B0448">
        <w:rPr>
          <w:rFonts w:ascii="Times New Roman" w:hAnsi="Times New Roman" w:cs="Times New Roman"/>
          <w:color w:val="auto"/>
        </w:rPr>
        <w:t xml:space="preserve"> </w:t>
      </w:r>
    </w:p>
    <w:p w14:paraId="3EF49BF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Kull, C. A., Tassin, J., Rambeloarisoa, G., &amp; Sarrailh, J-M. (2008). Invasive Australian acacias on western Indian Ocean islands: A historical and ecological perspective. </w:t>
      </w:r>
      <w:r w:rsidRPr="009B0448">
        <w:rPr>
          <w:rFonts w:ascii="Times New Roman" w:hAnsi="Times New Roman" w:cs="Times New Roman"/>
          <w:i/>
          <w:color w:val="auto"/>
        </w:rPr>
        <w:t>African Journal of Ecology, 46</w:t>
      </w:r>
      <w:r w:rsidRPr="009B0448">
        <w:rPr>
          <w:rFonts w:ascii="Times New Roman" w:hAnsi="Times New Roman" w:cs="Times New Roman"/>
          <w:color w:val="auto"/>
        </w:rPr>
        <w:t xml:space="preserve">, 684-689. </w:t>
      </w:r>
      <w:hyperlink r:id="rId1304" w:history="1">
        <w:r w:rsidRPr="009B0448">
          <w:rPr>
            <w:rStyle w:val="Hyperlink"/>
            <w:rFonts w:ascii="Times New Roman" w:hAnsi="Times New Roman" w:cs="Times New Roman"/>
          </w:rPr>
          <w:t>https://doi.org/10.1111/j.1365-2028.2007.00892.x</w:t>
        </w:r>
      </w:hyperlink>
      <w:r w:rsidRPr="009B0448">
        <w:rPr>
          <w:rFonts w:ascii="Times New Roman" w:hAnsi="Times New Roman" w:cs="Times New Roman"/>
          <w:color w:val="auto"/>
        </w:rPr>
        <w:t xml:space="preserve"> </w:t>
      </w:r>
    </w:p>
    <w:p w14:paraId="490FC3AB"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lang w:val="en-US"/>
        </w:rPr>
        <w:t xml:space="preserve">Kusangaya, S., Warburton, M. L., Archer van Garderen, E., &amp; Jewitt, G. W. (2013). </w:t>
      </w:r>
      <w:r w:rsidRPr="009B0448">
        <w:rPr>
          <w:rFonts w:ascii="Times New Roman" w:eastAsiaTheme="minorHAnsi" w:hAnsi="Times New Roman" w:cs="Times New Roman"/>
          <w:color w:val="auto"/>
        </w:rPr>
        <w:t xml:space="preserve">Impacts of climate change on water resources in Southern Africa: A review. </w:t>
      </w:r>
      <w:r w:rsidRPr="009B0448">
        <w:rPr>
          <w:rFonts w:ascii="Times New Roman" w:eastAsiaTheme="minorHAnsi" w:hAnsi="Times New Roman" w:cs="Times New Roman"/>
          <w:i/>
          <w:color w:val="auto"/>
        </w:rPr>
        <w:t>Physics and Chemistry of the Earth Parts A/B/C,</w:t>
      </w:r>
      <w:r w:rsidRPr="009B0448">
        <w:rPr>
          <w:rFonts w:ascii="Times New Roman" w:eastAsiaTheme="minorHAnsi" w:hAnsi="Times New Roman" w:cs="Times New Roman"/>
          <w:color w:val="auto"/>
        </w:rPr>
        <w:t xml:space="preserve"> 67–69. </w:t>
      </w:r>
      <w:hyperlink r:id="rId1305" w:history="1">
        <w:r w:rsidRPr="009B0448">
          <w:rPr>
            <w:rStyle w:val="Hyperlink"/>
            <w:rFonts w:ascii="Times New Roman" w:eastAsiaTheme="minorHAnsi" w:hAnsi="Times New Roman" w:cs="Times New Roman"/>
          </w:rPr>
          <w:t>https://doi.org/10.1016/j.pce.2013.09.014</w:t>
        </w:r>
      </w:hyperlink>
    </w:p>
    <w:p w14:paraId="7CD263C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Lal, R. (2001). World cropland soils as a source or sink for atmospheric carbon. </w:t>
      </w:r>
      <w:r w:rsidRPr="009B0448">
        <w:rPr>
          <w:rFonts w:ascii="Times New Roman" w:hAnsi="Times New Roman" w:cs="Times New Roman"/>
          <w:i/>
          <w:color w:val="auto"/>
        </w:rPr>
        <w:t>Advances in Agronomy, 71</w:t>
      </w:r>
      <w:r w:rsidRPr="009B0448">
        <w:rPr>
          <w:rFonts w:ascii="Times New Roman" w:hAnsi="Times New Roman" w:cs="Times New Roman"/>
          <w:color w:val="auto"/>
        </w:rPr>
        <w:t>, 145</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174. Retrieved from </w:t>
      </w:r>
      <w:hyperlink r:id="rId1306" w:history="1">
        <w:r w:rsidRPr="009B0448">
          <w:rPr>
            <w:rStyle w:val="Hyperlink"/>
            <w:rFonts w:ascii="Times New Roman" w:hAnsi="Times New Roman" w:cs="Times New Roman"/>
          </w:rPr>
          <w:t>http://controverses.sciences-po.fr/climatewiki/images/2/2a/01_Lal_-_World_cropland_soils_as_a_source_or_sink.pdf</w:t>
        </w:r>
      </w:hyperlink>
      <w:r w:rsidRPr="009B0448">
        <w:rPr>
          <w:rFonts w:ascii="Times New Roman" w:hAnsi="Times New Roman" w:cs="Times New Roman"/>
          <w:color w:val="auto"/>
        </w:rPr>
        <w:t xml:space="preserve"> </w:t>
      </w:r>
    </w:p>
    <w:p w14:paraId="2E4A3E9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Lambert, M. R. K. (1997). Effects of pesticides on amphibians and reptiles in sub-Saharan Africa. </w:t>
      </w:r>
      <w:r w:rsidRPr="009B0448">
        <w:rPr>
          <w:rFonts w:ascii="Times New Roman" w:hAnsi="Times New Roman" w:cs="Times New Roman"/>
          <w:i/>
          <w:color w:val="auto"/>
        </w:rPr>
        <w:t>Reviews of Environmental Contamination and Toxicology, 150</w:t>
      </w:r>
      <w:r w:rsidRPr="009B0448">
        <w:rPr>
          <w:rFonts w:ascii="Times New Roman" w:hAnsi="Times New Roman" w:cs="Times New Roman"/>
          <w:color w:val="auto"/>
        </w:rPr>
        <w:t>, 31</w:t>
      </w:r>
      <w:r w:rsidRPr="009B0448">
        <w:rPr>
          <w:rFonts w:ascii="Times New Roman" w:eastAsiaTheme="minorHAnsi" w:hAnsi="Times New Roman" w:cs="Times New Roman"/>
          <w:color w:val="auto"/>
        </w:rPr>
        <w:t>–</w:t>
      </w:r>
      <w:r w:rsidRPr="009B0448">
        <w:rPr>
          <w:rFonts w:ascii="Times New Roman" w:hAnsi="Times New Roman" w:cs="Times New Roman"/>
          <w:color w:val="auto"/>
        </w:rPr>
        <w:t>73.</w:t>
      </w:r>
      <w:r w:rsidRPr="009B0448">
        <w:rPr>
          <w:rFonts w:ascii="Times New Roman" w:hAnsi="Times New Roman" w:cs="Times New Roman"/>
        </w:rPr>
        <w:t xml:space="preserve"> </w:t>
      </w:r>
      <w:hyperlink r:id="rId1307" w:history="1">
        <w:r w:rsidRPr="009B0448">
          <w:rPr>
            <w:rStyle w:val="Hyperlink"/>
            <w:rFonts w:ascii="Times New Roman" w:hAnsi="Times New Roman" w:cs="Times New Roman"/>
          </w:rPr>
          <w:t>https://doi.org/10.1007/978-1-4612-2278-1_2</w:t>
        </w:r>
      </w:hyperlink>
      <w:r w:rsidRPr="009B0448">
        <w:rPr>
          <w:rFonts w:ascii="Times New Roman" w:hAnsi="Times New Roman" w:cs="Times New Roman"/>
          <w:color w:val="auto"/>
        </w:rPr>
        <w:t xml:space="preserve"> </w:t>
      </w:r>
    </w:p>
    <w:p w14:paraId="714F8EA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Langton, M., Ma Rhea, Z., &amp; Palmer, L. (2005). Community-oriented protected areas for indigenous peoples and local communities. </w:t>
      </w:r>
      <w:r w:rsidRPr="009B0448">
        <w:rPr>
          <w:rFonts w:ascii="Times New Roman" w:hAnsi="Times New Roman" w:cs="Times New Roman"/>
          <w:i/>
          <w:color w:val="auto"/>
        </w:rPr>
        <w:t>Journal of Political Ecology, 12</w:t>
      </w:r>
      <w:r w:rsidRPr="009B0448">
        <w:rPr>
          <w:rFonts w:ascii="Times New Roman" w:hAnsi="Times New Roman" w:cs="Times New Roman"/>
          <w:color w:val="auto"/>
        </w:rPr>
        <w:t>, 23</w:t>
      </w:r>
      <w:r w:rsidRPr="009B0448">
        <w:rPr>
          <w:rFonts w:ascii="Times New Roman" w:eastAsiaTheme="minorHAnsi" w:hAnsi="Times New Roman" w:cs="Times New Roman"/>
          <w:color w:val="auto"/>
        </w:rPr>
        <w:t>–</w:t>
      </w:r>
      <w:r w:rsidRPr="009B0448">
        <w:rPr>
          <w:rFonts w:ascii="Times New Roman" w:hAnsi="Times New Roman" w:cs="Times New Roman"/>
          <w:color w:val="auto"/>
        </w:rPr>
        <w:t>50.</w:t>
      </w:r>
      <w:r w:rsidRPr="009B0448">
        <w:rPr>
          <w:rFonts w:ascii="Times New Roman" w:hAnsi="Times New Roman" w:cs="Times New Roman"/>
        </w:rPr>
        <w:t xml:space="preserve"> </w:t>
      </w:r>
      <w:hyperlink r:id="rId1308" w:history="1">
        <w:r w:rsidRPr="009B0448">
          <w:rPr>
            <w:rStyle w:val="Hyperlink"/>
            <w:rFonts w:ascii="Times New Roman" w:hAnsi="Times New Roman" w:cs="Times New Roman"/>
          </w:rPr>
          <w:t>https://doi.org/10.2458/v12i1.21672</w:t>
        </w:r>
      </w:hyperlink>
      <w:r w:rsidRPr="009B0448">
        <w:rPr>
          <w:rFonts w:ascii="Times New Roman" w:hAnsi="Times New Roman" w:cs="Times New Roman"/>
          <w:color w:val="auto"/>
        </w:rPr>
        <w:t xml:space="preserve"> </w:t>
      </w:r>
    </w:p>
    <w:p w14:paraId="1420832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Laurance, W. F., Sloan, S., Weng, L., &amp; Sayer, J. A. (2015). Estimating the environmental costs of Africa's massive “Development corridors.” </w:t>
      </w:r>
      <w:r w:rsidRPr="009B0448">
        <w:rPr>
          <w:rFonts w:ascii="Times New Roman" w:eastAsiaTheme="minorHAnsi" w:hAnsi="Times New Roman" w:cs="Times New Roman"/>
          <w:i/>
          <w:color w:val="auto"/>
        </w:rPr>
        <w:t>Current Biology 25</w:t>
      </w:r>
      <w:r w:rsidRPr="009B0448">
        <w:rPr>
          <w:rFonts w:ascii="Times New Roman" w:eastAsiaTheme="minorHAnsi" w:hAnsi="Times New Roman" w:cs="Times New Roman"/>
          <w:color w:val="auto"/>
        </w:rPr>
        <w:t xml:space="preserve">, 3202–3208. </w:t>
      </w:r>
      <w:hyperlink r:id="rId1309" w:history="1">
        <w:r w:rsidRPr="009B0448">
          <w:rPr>
            <w:rStyle w:val="Hyperlink"/>
            <w:rFonts w:ascii="Times New Roman" w:eastAsiaTheme="minorHAnsi" w:hAnsi="Times New Roman" w:cs="Times New Roman"/>
            <w:color w:val="0070C0"/>
          </w:rPr>
          <w:t>https://doi.org/10.1016/j.cub.2015.10.046</w:t>
        </w:r>
      </w:hyperlink>
    </w:p>
    <w:p w14:paraId="3E54F50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Lavelle, P., Dugdale, R., Scholes, R. J., Berhe, A. A., Carpenter, E., Codispoti, L., Izac, A. M., Lemoalle, J., Luizao, F., Scholes, M., Tréguer, P., &amp; Ward, B. (2005). Nutrient cycling. In R. Hassan, R. Scholes, &amp; N. Ash, (Eds.), </w:t>
      </w:r>
      <w:r w:rsidRPr="009B0448">
        <w:rPr>
          <w:rFonts w:ascii="Times New Roman" w:hAnsi="Times New Roman" w:cs="Times New Roman"/>
          <w:i/>
          <w:color w:val="auto"/>
        </w:rPr>
        <w:t>Ecosystems and human well-being: Current state and trends</w:t>
      </w:r>
      <w:r w:rsidRPr="009B0448">
        <w:rPr>
          <w:rFonts w:ascii="Times New Roman" w:hAnsi="Times New Roman" w:cs="Times New Roman"/>
          <w:color w:val="auto"/>
        </w:rPr>
        <w:t xml:space="preserve"> (pp. 333</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353). Washington, USA: Island Press. Retrieved from </w:t>
      </w:r>
      <w:hyperlink r:id="rId1310" w:history="1">
        <w:r w:rsidRPr="009B0448">
          <w:rPr>
            <w:rStyle w:val="Hyperlink"/>
            <w:rFonts w:ascii="Times New Roman" w:hAnsi="Times New Roman" w:cs="Times New Roman"/>
          </w:rPr>
          <w:t>https://islandpress.org/author/millennium-ecosystem-assessment</w:t>
        </w:r>
      </w:hyperlink>
      <w:r w:rsidRPr="009B0448">
        <w:rPr>
          <w:rFonts w:ascii="Times New Roman" w:hAnsi="Times New Roman" w:cs="Times New Roman"/>
          <w:color w:val="auto"/>
        </w:rPr>
        <w:t xml:space="preserve"> </w:t>
      </w:r>
    </w:p>
    <w:p w14:paraId="5C497A7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Lavergne, S., Mouqet, N., Thuiller, W., &amp; Ronce, O. (2010). Biodiversity and climate change: Integrating evolutionary and ecological responses of species and communities. </w:t>
      </w:r>
      <w:r w:rsidRPr="009B0448">
        <w:rPr>
          <w:rFonts w:ascii="Times New Roman" w:eastAsiaTheme="minorHAnsi" w:hAnsi="Times New Roman" w:cs="Times New Roman"/>
          <w:i/>
          <w:color w:val="auto"/>
        </w:rPr>
        <w:t>Annual Review of Ecology, Evolution and Systematics</w:t>
      </w:r>
      <w:r w:rsidRPr="009B0448">
        <w:rPr>
          <w:rFonts w:ascii="Times New Roman" w:eastAsiaTheme="minorHAnsi" w:hAnsi="Times New Roman" w:cs="Times New Roman"/>
          <w:color w:val="auto"/>
        </w:rPr>
        <w:t>, 41, 321–350.</w:t>
      </w:r>
      <w:r w:rsidRPr="009B0448">
        <w:rPr>
          <w:rFonts w:ascii="Times New Roman" w:hAnsi="Times New Roman" w:cs="Times New Roman"/>
        </w:rPr>
        <w:t xml:space="preserve"> </w:t>
      </w:r>
      <w:hyperlink r:id="rId1311" w:history="1">
        <w:r w:rsidRPr="009B0448">
          <w:rPr>
            <w:rStyle w:val="Hyperlink"/>
            <w:rFonts w:ascii="Times New Roman" w:eastAsiaTheme="minorHAnsi" w:hAnsi="Times New Roman" w:cs="Times New Roman"/>
          </w:rPr>
          <w:t>https://doi.org/10.1146/annurev-ecolsys-102209-144628</w:t>
        </w:r>
      </w:hyperlink>
      <w:r w:rsidRPr="009B0448">
        <w:rPr>
          <w:rFonts w:ascii="Times New Roman" w:eastAsiaTheme="minorHAnsi" w:hAnsi="Times New Roman" w:cs="Times New Roman"/>
          <w:color w:val="auto"/>
        </w:rPr>
        <w:t xml:space="preserve"> </w:t>
      </w:r>
    </w:p>
    <w:p w14:paraId="09EC0E6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Le Gouar, P. J., Vallet, D., David, L., Bermejo, M., Gatti, S., Levréro, F., Petit, E. J., &amp; Ménard, N. (2009). How ebola impacts genetics of western lowland Gorilla populations. </w:t>
      </w:r>
      <w:r w:rsidRPr="009B0448">
        <w:rPr>
          <w:rFonts w:ascii="Times New Roman" w:eastAsiaTheme="minorHAnsi" w:hAnsi="Times New Roman" w:cs="Times New Roman"/>
          <w:i/>
          <w:color w:val="auto"/>
        </w:rPr>
        <w:t>PLoS ONE</w:t>
      </w:r>
      <w:r w:rsidRPr="009B0448">
        <w:rPr>
          <w:rFonts w:ascii="Times New Roman" w:eastAsiaTheme="minorHAnsi" w:hAnsi="Times New Roman" w:cs="Times New Roman"/>
          <w:color w:val="auto"/>
        </w:rPr>
        <w:t xml:space="preserve">, </w:t>
      </w:r>
      <w:r w:rsidRPr="009B0448">
        <w:rPr>
          <w:rFonts w:ascii="Times New Roman" w:eastAsiaTheme="minorHAnsi" w:hAnsi="Times New Roman" w:cs="Times New Roman"/>
          <w:i/>
          <w:color w:val="auto"/>
        </w:rPr>
        <w:t>4(12):</w:t>
      </w:r>
      <w:r w:rsidRPr="009B0448">
        <w:rPr>
          <w:rFonts w:ascii="Times New Roman" w:eastAsiaTheme="minorHAnsi" w:hAnsi="Times New Roman" w:cs="Times New Roman"/>
          <w:color w:val="auto"/>
        </w:rPr>
        <w:t xml:space="preserve"> e8375, 1–12. </w:t>
      </w:r>
      <w:hyperlink r:id="rId1312" w:history="1">
        <w:r w:rsidRPr="009B0448">
          <w:rPr>
            <w:rStyle w:val="Hyperlink"/>
            <w:rFonts w:ascii="Times New Roman" w:hAnsi="Times New Roman" w:cs="Times New Roman"/>
          </w:rPr>
          <w:t>https://doi.org/10.1371/journal.pone.0008375</w:t>
        </w:r>
      </w:hyperlink>
    </w:p>
    <w:p w14:paraId="3FF18A3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Le Maitre, D. C., Forsyth, G. G., Dzikiti, S., &amp; Gush, M. B. (2016). Estimates of the impacts of invasive alien plants on water flows in South Africa. </w:t>
      </w:r>
      <w:r w:rsidRPr="009B0448">
        <w:rPr>
          <w:rFonts w:ascii="Times New Roman" w:hAnsi="Times New Roman" w:cs="Times New Roman"/>
          <w:i/>
          <w:color w:val="auto"/>
        </w:rPr>
        <w:t>Water SA</w:t>
      </w:r>
      <w:r w:rsidRPr="009B0448">
        <w:rPr>
          <w:rFonts w:ascii="Times New Roman" w:hAnsi="Times New Roman" w:cs="Times New Roman"/>
          <w:color w:val="auto"/>
        </w:rPr>
        <w:t xml:space="preserve">, </w:t>
      </w:r>
      <w:r w:rsidRPr="009B0448">
        <w:rPr>
          <w:rFonts w:ascii="Times New Roman" w:hAnsi="Times New Roman" w:cs="Times New Roman"/>
          <w:i/>
          <w:color w:val="auto"/>
        </w:rPr>
        <w:t>42</w:t>
      </w:r>
      <w:r w:rsidRPr="009B0448">
        <w:rPr>
          <w:rFonts w:ascii="Times New Roman" w:hAnsi="Times New Roman" w:cs="Times New Roman"/>
          <w:color w:val="auto"/>
        </w:rPr>
        <w:t>(4), 659</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672. </w:t>
      </w:r>
      <w:hyperlink r:id="rId1313" w:history="1">
        <w:r w:rsidRPr="009B0448">
          <w:rPr>
            <w:rStyle w:val="Hyperlink"/>
            <w:rFonts w:ascii="Times New Roman" w:hAnsi="Times New Roman" w:cs="Times New Roman"/>
          </w:rPr>
          <w:t>https://doi.org/10.4314/wsa.v42i4.17</w:t>
        </w:r>
      </w:hyperlink>
    </w:p>
    <w:p w14:paraId="304F4E8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Leadley, P., Pereira, H. M., Alkemade, R., Fernandez-Manjarrés, J. F., Proença, V., Scharlemann, J. P. W., &amp; Walpole, M. J. (2010). </w:t>
      </w:r>
      <w:r w:rsidRPr="009B0448">
        <w:rPr>
          <w:rFonts w:ascii="Times New Roman" w:hAnsi="Times New Roman" w:cs="Times New Roman"/>
          <w:i/>
          <w:color w:val="auto"/>
        </w:rPr>
        <w:t>Biodiversity Scenarios: Projections of 21st century change in biodiversity and associated ecosystem services</w:t>
      </w:r>
      <w:r w:rsidRPr="009B0448">
        <w:rPr>
          <w:rFonts w:ascii="Times New Roman" w:hAnsi="Times New Roman" w:cs="Times New Roman"/>
          <w:color w:val="auto"/>
        </w:rPr>
        <w:t xml:space="preserve">. Montreal, Canada: Secretariat of the Convention on Biological Diversity. Retrieved from </w:t>
      </w:r>
      <w:hyperlink r:id="rId1314" w:history="1">
        <w:r w:rsidRPr="009B0448">
          <w:rPr>
            <w:rStyle w:val="Hyperlink"/>
            <w:rFonts w:ascii="Times New Roman" w:hAnsi="Times New Roman" w:cs="Times New Roman"/>
          </w:rPr>
          <w:t>https://www.cbd.int/doc/publications/cbd-ts-50-en.pdf</w:t>
        </w:r>
      </w:hyperlink>
      <w:r w:rsidRPr="009B0448">
        <w:rPr>
          <w:rFonts w:ascii="Times New Roman" w:hAnsi="Times New Roman" w:cs="Times New Roman"/>
          <w:color w:val="auto"/>
        </w:rPr>
        <w:t xml:space="preserve"> </w:t>
      </w:r>
    </w:p>
    <w:p w14:paraId="6D85150B"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Lee, K., Botero, N. C., &amp; Novotny, T. (2016). Manage and mitigate punitive regulatory measures, enhance the corporate image, influence public policy: Industry efforts to shape understanding of tobacco-attributable deforestation. </w:t>
      </w:r>
      <w:r w:rsidRPr="009B0448">
        <w:rPr>
          <w:rFonts w:ascii="Times New Roman" w:eastAsiaTheme="minorHAnsi" w:hAnsi="Times New Roman" w:cs="Times New Roman"/>
          <w:i/>
          <w:color w:val="auto"/>
        </w:rPr>
        <w:t>Globalization and Health, 12</w:t>
      </w:r>
      <w:r w:rsidRPr="009B0448">
        <w:rPr>
          <w:rFonts w:ascii="Times New Roman" w:eastAsiaTheme="minorHAnsi" w:hAnsi="Times New Roman" w:cs="Times New Roman"/>
          <w:color w:val="auto"/>
        </w:rPr>
        <w:t xml:space="preserve">, 55. </w:t>
      </w:r>
      <w:hyperlink r:id="rId1315" w:history="1">
        <w:r w:rsidRPr="009B0448">
          <w:rPr>
            <w:rStyle w:val="Hyperlink"/>
            <w:rFonts w:ascii="Times New Roman" w:eastAsiaTheme="minorHAnsi" w:hAnsi="Times New Roman" w:cs="Times New Roman"/>
          </w:rPr>
          <w:t>https://doi.org/10.1186/s12992-016-0192-6</w:t>
        </w:r>
      </w:hyperlink>
      <w:r w:rsidRPr="009B0448">
        <w:rPr>
          <w:rFonts w:ascii="Times New Roman" w:eastAsiaTheme="minorHAnsi" w:hAnsi="Times New Roman" w:cs="Times New Roman"/>
          <w:color w:val="auto"/>
        </w:rPr>
        <w:t xml:space="preserve"> </w:t>
      </w:r>
    </w:p>
    <w:p w14:paraId="25852C1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Lesolle, D. (2012). </w:t>
      </w:r>
      <w:r w:rsidRPr="009B0448">
        <w:rPr>
          <w:rFonts w:ascii="Times New Roman" w:hAnsi="Times New Roman" w:cs="Times New Roman"/>
          <w:i/>
          <w:color w:val="auto"/>
        </w:rPr>
        <w:t>Southern Africa development community policy paper on climate change: Assessing the policy options for SADC member states</w:t>
      </w:r>
      <w:r w:rsidRPr="009B0448">
        <w:rPr>
          <w:rFonts w:ascii="Times New Roman" w:hAnsi="Times New Roman" w:cs="Times New Roman"/>
          <w:color w:val="auto"/>
        </w:rPr>
        <w:t>. Gaborone, Botswana: SADC.</w:t>
      </w:r>
      <w:r w:rsidRPr="009B0448">
        <w:rPr>
          <w:rFonts w:ascii="Times New Roman" w:hAnsi="Times New Roman" w:cs="Times New Roman"/>
        </w:rPr>
        <w:t xml:space="preserve"> </w:t>
      </w:r>
      <w:r w:rsidRPr="009B0448">
        <w:rPr>
          <w:rFonts w:ascii="Times New Roman" w:hAnsi="Times New Roman" w:cs="Times New Roman"/>
          <w:color w:val="auto"/>
        </w:rPr>
        <w:t xml:space="preserve">Retrieved from </w:t>
      </w:r>
      <w:hyperlink r:id="rId1316" w:history="1">
        <w:r w:rsidRPr="009B0448">
          <w:rPr>
            <w:rStyle w:val="Hyperlink"/>
            <w:rFonts w:ascii="Times New Roman" w:hAnsi="Times New Roman" w:cs="Times New Roman"/>
          </w:rPr>
          <w:t>https://www.sadc.int/files/9113/6724/7724/SADC_Policy_Paper_Climate_Change_EN_1.pdf</w:t>
        </w:r>
      </w:hyperlink>
      <w:r w:rsidRPr="009B0448">
        <w:rPr>
          <w:rFonts w:ascii="Times New Roman" w:hAnsi="Times New Roman" w:cs="Times New Roman"/>
          <w:color w:val="auto"/>
        </w:rPr>
        <w:t xml:space="preserve">  </w:t>
      </w:r>
    </w:p>
    <w:p w14:paraId="00F8B01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Letten, A. D, Ashcroft, M. B., Keith, D. A., Gollan, J. R., &amp; Ramp, D. (2013). The importance of temporal climate variability for spatial patterns in plant diversity. </w:t>
      </w:r>
      <w:r w:rsidRPr="009B0448">
        <w:rPr>
          <w:rFonts w:ascii="Times New Roman" w:eastAsiaTheme="minorHAnsi" w:hAnsi="Times New Roman" w:cs="Times New Roman"/>
          <w:i/>
          <w:color w:val="auto"/>
        </w:rPr>
        <w:t>Ecography 36</w:t>
      </w:r>
      <w:r w:rsidRPr="009B0448">
        <w:rPr>
          <w:rFonts w:ascii="Times New Roman" w:eastAsiaTheme="minorHAnsi" w:hAnsi="Times New Roman" w:cs="Times New Roman"/>
          <w:color w:val="auto"/>
        </w:rPr>
        <w:t xml:space="preserve">, 001–009. </w:t>
      </w:r>
      <w:hyperlink r:id="rId1317" w:history="1">
        <w:r w:rsidRPr="009B0448">
          <w:rPr>
            <w:rStyle w:val="Hyperlink"/>
            <w:rFonts w:ascii="Times New Roman" w:eastAsiaTheme="minorHAnsi" w:hAnsi="Times New Roman" w:cs="Times New Roman"/>
          </w:rPr>
          <w:t>https://doi.org/10.1111/j.1600-0587.2013.00346.x</w:t>
        </w:r>
      </w:hyperlink>
      <w:r w:rsidRPr="009B0448">
        <w:rPr>
          <w:rFonts w:ascii="Times New Roman" w:eastAsiaTheme="minorHAnsi" w:hAnsi="Times New Roman" w:cs="Times New Roman"/>
          <w:color w:val="auto"/>
        </w:rPr>
        <w:t xml:space="preserve"> </w:t>
      </w:r>
    </w:p>
    <w:p w14:paraId="5F883E5E"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Le Quéré, C., Raupach, M. R., Canadell, J. G., Marland, G., Bopp, L., Ciais, P., Conway, T. J., Doney, S. C., Feely, R. A., Foster, P., Friedlingstein, P., Gurney, K., Houghton, R. A., House, J. I., Huntingford, C., Levy, P. E., Lomas, M. R., Majkut, J., Metzl, N., Ometto, J. P., Peters. G. P., Prentice, I. C., Randerson, J. T., Running, S. W., Sarmiento, J. L., Schuster, U., Sitch, S., Takahashi, T., Viovy, N., van der Werf, G. R., &amp; Woodward, F. I. (2009). Trends in the sources and sinks of carbon dioxide. </w:t>
      </w:r>
      <w:r w:rsidRPr="009B0448">
        <w:rPr>
          <w:rFonts w:ascii="Times New Roman" w:hAnsi="Times New Roman" w:cs="Times New Roman"/>
          <w:i/>
          <w:color w:val="auto"/>
        </w:rPr>
        <w:t>Nature Geoscience, 2</w:t>
      </w:r>
      <w:r w:rsidRPr="009B0448">
        <w:rPr>
          <w:rFonts w:ascii="Times New Roman" w:hAnsi="Times New Roman" w:cs="Times New Roman"/>
          <w:color w:val="auto"/>
        </w:rPr>
        <w:t>, 831</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836. </w:t>
      </w:r>
      <w:hyperlink r:id="rId1318" w:history="1">
        <w:r w:rsidRPr="009B0448">
          <w:rPr>
            <w:rStyle w:val="Hyperlink"/>
            <w:rFonts w:ascii="Times New Roman" w:hAnsi="Times New Roman" w:cs="Times New Roman"/>
          </w:rPr>
          <w:t>https://doi.org/10.1038/ngeo689</w:t>
        </w:r>
      </w:hyperlink>
      <w:r w:rsidRPr="009B0448">
        <w:rPr>
          <w:rFonts w:ascii="Times New Roman" w:hAnsi="Times New Roman" w:cs="Times New Roman"/>
          <w:color w:val="auto"/>
        </w:rPr>
        <w:t xml:space="preserve"> </w:t>
      </w:r>
    </w:p>
    <w:p w14:paraId="08CD7817" w14:textId="77777777" w:rsidR="009B0448" w:rsidRPr="009B0448" w:rsidRDefault="009B0448" w:rsidP="009B0448">
      <w:pPr>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Lewis, M. (2010). Access and benefit-sharing in the wake of CBD COP10: The Nagoya Protocol and its potential implications for South Africa. </w:t>
      </w:r>
      <w:r w:rsidRPr="009B0448">
        <w:rPr>
          <w:rFonts w:ascii="Times New Roman" w:hAnsi="Times New Roman" w:cs="Times New Roman"/>
          <w:i/>
          <w:color w:val="auto"/>
        </w:rPr>
        <w:t>South African Journal of Environmental Law and Policy, 17</w:t>
      </w:r>
      <w:r w:rsidRPr="009B0448">
        <w:rPr>
          <w:rFonts w:ascii="Times New Roman" w:hAnsi="Times New Roman" w:cs="Times New Roman"/>
          <w:color w:val="auto"/>
        </w:rPr>
        <w:t>, 69</w:t>
      </w:r>
      <w:r w:rsidRPr="009B0448">
        <w:rPr>
          <w:rFonts w:ascii="Times New Roman" w:eastAsiaTheme="minorHAnsi" w:hAnsi="Times New Roman" w:cs="Times New Roman"/>
          <w:color w:val="auto"/>
        </w:rPr>
        <w:t>–</w:t>
      </w:r>
      <w:r w:rsidRPr="009B0448">
        <w:rPr>
          <w:rFonts w:ascii="Times New Roman" w:hAnsi="Times New Roman" w:cs="Times New Roman"/>
          <w:color w:val="auto"/>
        </w:rPr>
        <w:t>96.</w:t>
      </w:r>
      <w:r w:rsidRPr="009B0448">
        <w:rPr>
          <w:rFonts w:ascii="Times New Roman" w:hAnsi="Times New Roman" w:cs="Times New Roman"/>
        </w:rPr>
        <w:t xml:space="preserve"> </w:t>
      </w:r>
      <w:hyperlink r:id="rId1319" w:history="1">
        <w:r w:rsidRPr="009B0448">
          <w:rPr>
            <w:rStyle w:val="Hyperlink"/>
            <w:rFonts w:ascii="Times New Roman" w:hAnsi="Times New Roman" w:cs="Times New Roman"/>
          </w:rPr>
          <w:t>https://doi.org/10.1111/jwip.12095</w:t>
        </w:r>
      </w:hyperlink>
      <w:r w:rsidRPr="009B0448">
        <w:rPr>
          <w:rFonts w:ascii="Times New Roman" w:hAnsi="Times New Roman" w:cs="Times New Roman"/>
          <w:color w:val="auto"/>
        </w:rPr>
        <w:t xml:space="preserve"> </w:t>
      </w:r>
    </w:p>
    <w:p w14:paraId="4D84C46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Li, W., &amp; Li, Y. (2012). Managing rangeland as a complex system: How government interventions decouple social systems from ecological systems. </w:t>
      </w:r>
      <w:r w:rsidRPr="009B0448">
        <w:rPr>
          <w:rFonts w:ascii="Times New Roman" w:hAnsi="Times New Roman" w:cs="Times New Roman"/>
          <w:i/>
          <w:color w:val="auto"/>
        </w:rPr>
        <w:t>Ecology and Society, 17</w:t>
      </w:r>
      <w:r w:rsidRPr="009B0448">
        <w:rPr>
          <w:rFonts w:ascii="Times New Roman" w:hAnsi="Times New Roman" w:cs="Times New Roman"/>
          <w:color w:val="auto"/>
        </w:rPr>
        <w:t>(1), 9.</w:t>
      </w:r>
      <w:r w:rsidRPr="009B0448">
        <w:rPr>
          <w:rFonts w:ascii="Times New Roman" w:hAnsi="Times New Roman" w:cs="Times New Roman"/>
        </w:rPr>
        <w:t xml:space="preserve"> </w:t>
      </w:r>
      <w:hyperlink r:id="rId1320" w:history="1">
        <w:r w:rsidRPr="009B0448">
          <w:rPr>
            <w:rStyle w:val="Hyperlink"/>
            <w:rFonts w:ascii="Times New Roman" w:hAnsi="Times New Roman" w:cs="Times New Roman"/>
          </w:rPr>
          <w:t>https://doi.org/10.5751/ES-04531-170109</w:t>
        </w:r>
      </w:hyperlink>
      <w:r w:rsidRPr="009B0448">
        <w:rPr>
          <w:rFonts w:ascii="Times New Roman" w:hAnsi="Times New Roman" w:cs="Times New Roman"/>
          <w:color w:val="auto"/>
        </w:rPr>
        <w:t xml:space="preserve"> </w:t>
      </w:r>
    </w:p>
    <w:p w14:paraId="79705AAB" w14:textId="77777777" w:rsidR="009B0448" w:rsidRPr="009B0448" w:rsidRDefault="009B0448" w:rsidP="009B0448">
      <w:pPr>
        <w:pStyle w:val="NoSpacing"/>
        <w:spacing w:after="120" w:line="276" w:lineRule="auto"/>
        <w:ind w:left="567" w:hanging="567"/>
        <w:rPr>
          <w:rFonts w:ascii="Times New Roman" w:hAnsi="Times New Roman" w:cs="Times New Roman"/>
          <w:color w:val="auto"/>
          <w:lang w:val="en-US"/>
        </w:rPr>
      </w:pPr>
      <w:r w:rsidRPr="009B0448">
        <w:rPr>
          <w:rFonts w:ascii="Times New Roman" w:hAnsi="Times New Roman" w:cs="Times New Roman"/>
          <w:color w:val="auto"/>
        </w:rPr>
        <w:t xml:space="preserve">Lindsey, P. A., Nyirenda, V. R., Barnes, J. I., Becker, M. S., McRobb, R., Tambling, C. J., Taylor, W. A., Watson, F. G., &amp; t’Sas-Rolfes, M. (2014). Underperformance of African protected area networks and the case for new conservation models: Insights from Zambia. </w:t>
      </w:r>
      <w:r w:rsidRPr="009B0448">
        <w:rPr>
          <w:rFonts w:ascii="Times New Roman" w:hAnsi="Times New Roman" w:cs="Times New Roman"/>
          <w:i/>
          <w:color w:val="auto"/>
          <w:lang w:val="en-US"/>
        </w:rPr>
        <w:t>PLoS ONE, 9</w:t>
      </w:r>
      <w:r w:rsidRPr="009B0448">
        <w:rPr>
          <w:rFonts w:ascii="Times New Roman" w:hAnsi="Times New Roman" w:cs="Times New Roman"/>
          <w:color w:val="auto"/>
          <w:lang w:val="en-US"/>
        </w:rPr>
        <w:t>(5), 1</w:t>
      </w:r>
      <w:r w:rsidRPr="009B0448">
        <w:rPr>
          <w:rFonts w:ascii="Times New Roman" w:eastAsiaTheme="minorHAnsi" w:hAnsi="Times New Roman" w:cs="Times New Roman"/>
          <w:color w:val="auto"/>
        </w:rPr>
        <w:t>–</w:t>
      </w:r>
      <w:r w:rsidRPr="009B0448">
        <w:rPr>
          <w:rFonts w:ascii="Times New Roman" w:hAnsi="Times New Roman" w:cs="Times New Roman"/>
          <w:color w:val="auto"/>
          <w:lang w:val="en-US"/>
        </w:rPr>
        <w:t xml:space="preserve">14. </w:t>
      </w:r>
      <w:hyperlink r:id="rId1321" w:history="1">
        <w:r w:rsidRPr="009B0448">
          <w:rPr>
            <w:rStyle w:val="Hyperlink"/>
            <w:rFonts w:ascii="Times New Roman" w:hAnsi="Times New Roman" w:cs="Times New Roman"/>
            <w:lang w:val="en-US"/>
          </w:rPr>
          <w:t>https://doi.org/10.1371/journal.pone.0094109</w:t>
        </w:r>
      </w:hyperlink>
      <w:r w:rsidRPr="009B0448">
        <w:rPr>
          <w:rFonts w:ascii="Times New Roman" w:hAnsi="Times New Roman" w:cs="Times New Roman"/>
          <w:color w:val="auto"/>
          <w:lang w:val="en-US"/>
        </w:rPr>
        <w:t xml:space="preserve"> </w:t>
      </w:r>
    </w:p>
    <w:p w14:paraId="6653407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Liniger, H. P., Studer, R. M., Hauert, C., &amp; Gurtner, M. (2011). </w:t>
      </w:r>
      <w:r w:rsidRPr="009B0448">
        <w:rPr>
          <w:rFonts w:ascii="Times New Roman" w:hAnsi="Times New Roman" w:cs="Times New Roman"/>
          <w:i/>
          <w:color w:val="auto"/>
        </w:rPr>
        <w:t>Sustainable land management in practice–guidelines and best practices for sub-Saharan Africa</w:t>
      </w:r>
      <w:r w:rsidRPr="009B0448">
        <w:rPr>
          <w:rFonts w:ascii="Times New Roman" w:hAnsi="Times New Roman" w:cs="Times New Roman"/>
          <w:color w:val="auto"/>
        </w:rPr>
        <w:t xml:space="preserve">. Retrieved from </w:t>
      </w:r>
      <w:hyperlink r:id="rId1322" w:history="1">
        <w:r w:rsidRPr="009B0448">
          <w:rPr>
            <w:rStyle w:val="Hyperlink"/>
            <w:rFonts w:ascii="Times New Roman" w:hAnsi="Times New Roman" w:cs="Times New Roman"/>
          </w:rPr>
          <w:t>http://www.fao.org/docrep/014/i1861e/i1861e00.pdf</w:t>
        </w:r>
      </w:hyperlink>
    </w:p>
    <w:p w14:paraId="22DDEAAE" w14:textId="77777777" w:rsidR="009B0448" w:rsidRPr="009B0448" w:rsidRDefault="009B0448" w:rsidP="009B0448">
      <w:pPr>
        <w:pStyle w:val="NoSpacing"/>
        <w:spacing w:after="120" w:line="276" w:lineRule="auto"/>
        <w:ind w:left="567" w:hanging="567"/>
        <w:rPr>
          <w:rFonts w:ascii="Times New Roman" w:hAnsi="Times New Roman" w:cs="Times New Roman"/>
          <w:color w:val="auto"/>
          <w:lang w:val="de-DE"/>
        </w:rPr>
      </w:pPr>
      <w:r w:rsidRPr="009B0448">
        <w:rPr>
          <w:rFonts w:ascii="Times New Roman" w:hAnsi="Times New Roman" w:cs="Times New Roman"/>
          <w:color w:val="auto"/>
          <w:shd w:val="clear" w:color="auto" w:fill="FFFFFF"/>
        </w:rPr>
        <w:t xml:space="preserve">Liniger, H., &amp; Critchley, W. (2007). Improved grazing land management in Ethiopia. In H. Liniger, &amp; W. Critchley (Eds.), </w:t>
      </w:r>
      <w:r w:rsidRPr="009B0448">
        <w:rPr>
          <w:rFonts w:ascii="Times New Roman" w:hAnsi="Times New Roman" w:cs="Times New Roman"/>
          <w:i/>
          <w:color w:val="auto"/>
          <w:shd w:val="clear" w:color="auto" w:fill="FFFFFF"/>
        </w:rPr>
        <w:t>Where the land is greener: Case studies and analysis of soil and water conservation initiatives worldwide</w:t>
      </w:r>
      <w:r w:rsidRPr="009B0448">
        <w:rPr>
          <w:rFonts w:ascii="Times New Roman" w:hAnsi="Times New Roman" w:cs="Times New Roman"/>
          <w:color w:val="auto"/>
          <w:shd w:val="clear" w:color="auto" w:fill="FFFFFF"/>
        </w:rPr>
        <w:t xml:space="preserve">. </w:t>
      </w:r>
      <w:r w:rsidRPr="009B0448">
        <w:rPr>
          <w:rFonts w:ascii="Times New Roman" w:hAnsi="Times New Roman" w:cs="Times New Roman"/>
          <w:color w:val="auto"/>
          <w:shd w:val="clear" w:color="auto" w:fill="FFFFFF"/>
          <w:lang w:val="de-DE"/>
        </w:rPr>
        <w:t xml:space="preserve">Wageningen, Nerthelands: World Overview of Conservation Approaches and Technologies. </w:t>
      </w:r>
      <w:hyperlink r:id="rId1323" w:history="1">
        <w:r w:rsidRPr="009B0448">
          <w:rPr>
            <w:rStyle w:val="Hyperlink"/>
            <w:rFonts w:ascii="Times New Roman" w:hAnsi="Times New Roman" w:cs="Times New Roman"/>
            <w:shd w:val="clear" w:color="auto" w:fill="FFFFFF"/>
            <w:lang w:val="de-DE"/>
          </w:rPr>
          <w:t>https://doi.org/10.1002/ldr.827</w:t>
        </w:r>
      </w:hyperlink>
      <w:r w:rsidRPr="009B0448">
        <w:rPr>
          <w:rFonts w:ascii="Times New Roman" w:hAnsi="Times New Roman" w:cs="Times New Roman"/>
          <w:color w:val="auto"/>
          <w:shd w:val="clear" w:color="auto" w:fill="FFFFFF"/>
          <w:lang w:val="de-DE"/>
        </w:rPr>
        <w:t xml:space="preserve"> </w:t>
      </w:r>
    </w:p>
    <w:p w14:paraId="3680E4E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Linthicum, K. J., Anyamba, A., Tucker, C. J., Kelley, P. W., Myers, M. F., &amp; Peters, C. J. (1999). Climate and satellite indicators to forecast Rift Valley fever epidemics in Kenya. </w:t>
      </w:r>
      <w:r w:rsidRPr="009B0448">
        <w:rPr>
          <w:rFonts w:ascii="Times New Roman" w:hAnsi="Times New Roman" w:cs="Times New Roman"/>
          <w:i/>
          <w:color w:val="auto"/>
        </w:rPr>
        <w:t>Science, 285</w:t>
      </w:r>
      <w:r w:rsidRPr="009B0448">
        <w:rPr>
          <w:rFonts w:ascii="Times New Roman" w:hAnsi="Times New Roman" w:cs="Times New Roman"/>
          <w:color w:val="auto"/>
        </w:rPr>
        <w:t>, 397</w:t>
      </w:r>
      <w:r w:rsidRPr="009B0448">
        <w:rPr>
          <w:rFonts w:ascii="Times New Roman" w:eastAsiaTheme="minorHAnsi" w:hAnsi="Times New Roman" w:cs="Times New Roman"/>
          <w:color w:val="auto"/>
        </w:rPr>
        <w:t>–</w:t>
      </w:r>
      <w:r w:rsidRPr="009B0448">
        <w:rPr>
          <w:rFonts w:ascii="Times New Roman" w:hAnsi="Times New Roman" w:cs="Times New Roman"/>
          <w:color w:val="auto"/>
        </w:rPr>
        <w:t>400.</w:t>
      </w:r>
      <w:r w:rsidRPr="009B0448">
        <w:rPr>
          <w:rFonts w:ascii="Times New Roman" w:hAnsi="Times New Roman" w:cs="Times New Roman"/>
          <w:lang w:val="de-DE"/>
        </w:rPr>
        <w:t xml:space="preserve"> </w:t>
      </w:r>
      <w:hyperlink r:id="rId1324" w:history="1">
        <w:r w:rsidRPr="009B0448">
          <w:rPr>
            <w:rStyle w:val="Hyperlink"/>
            <w:rFonts w:ascii="Times New Roman" w:hAnsi="Times New Roman" w:cs="Times New Roman"/>
          </w:rPr>
          <w:t>https://doi.org/10.1126/science.285.5426.397</w:t>
        </w:r>
      </w:hyperlink>
      <w:r w:rsidRPr="009B0448">
        <w:rPr>
          <w:rFonts w:ascii="Times New Roman" w:hAnsi="Times New Roman" w:cs="Times New Roman"/>
          <w:color w:val="auto"/>
        </w:rPr>
        <w:t xml:space="preserve"> </w:t>
      </w:r>
    </w:p>
    <w:p w14:paraId="09DB88D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Lukamba, M. T. (2010). Natural disasters in African countries: What can we learn about them? </w:t>
      </w:r>
      <w:r w:rsidRPr="009B0448">
        <w:rPr>
          <w:rFonts w:ascii="Times New Roman" w:hAnsi="Times New Roman" w:cs="Times New Roman"/>
          <w:i/>
          <w:color w:val="auto"/>
        </w:rPr>
        <w:t>The Journal for Transdisciplinary Research in Southern Africa, 6</w:t>
      </w:r>
      <w:r w:rsidRPr="009B0448">
        <w:rPr>
          <w:rFonts w:ascii="Times New Roman" w:hAnsi="Times New Roman" w:cs="Times New Roman"/>
          <w:color w:val="auto"/>
        </w:rPr>
        <w:t>(2), 478</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495. Retrieved from </w:t>
      </w:r>
      <w:hyperlink r:id="rId1325" w:history="1">
        <w:r w:rsidRPr="009B0448">
          <w:rPr>
            <w:rStyle w:val="Hyperlink"/>
            <w:rFonts w:ascii="Times New Roman" w:hAnsi="Times New Roman" w:cs="Times New Roman"/>
          </w:rPr>
          <w:t>http://hdl.handle.net/10394/3879</w:t>
        </w:r>
      </w:hyperlink>
      <w:r w:rsidRPr="009B0448">
        <w:rPr>
          <w:rFonts w:ascii="Times New Roman" w:hAnsi="Times New Roman" w:cs="Times New Roman"/>
          <w:color w:val="auto"/>
        </w:rPr>
        <w:t xml:space="preserve"> </w:t>
      </w:r>
    </w:p>
    <w:p w14:paraId="461DFFD7" w14:textId="77777777" w:rsidR="009B0448" w:rsidRPr="009B0448" w:rsidRDefault="009B0448" w:rsidP="009B0448">
      <w:pPr>
        <w:autoSpaceDE w:val="0"/>
        <w:autoSpaceDN w:val="0"/>
        <w:adjustRightInd w:val="0"/>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Magadza, C. H. D. (2000). Climate change impacts and human settlements in Africa: Prospects for adaptation. </w:t>
      </w:r>
      <w:r w:rsidRPr="009B0448">
        <w:rPr>
          <w:rFonts w:ascii="Times New Roman" w:eastAsiaTheme="minorHAnsi" w:hAnsi="Times New Roman" w:cs="Times New Roman"/>
          <w:i/>
          <w:color w:val="auto"/>
        </w:rPr>
        <w:t>Environmental Monitoring and Assessment, 6</w:t>
      </w:r>
      <w:r w:rsidRPr="009B0448">
        <w:rPr>
          <w:rFonts w:ascii="Times New Roman" w:eastAsiaTheme="minorHAnsi" w:hAnsi="Times New Roman" w:cs="Times New Roman"/>
          <w:color w:val="auto"/>
        </w:rPr>
        <w:t xml:space="preserve">, 193–205. </w:t>
      </w:r>
      <w:hyperlink r:id="rId1326" w:history="1">
        <w:r w:rsidRPr="009B0448">
          <w:rPr>
            <w:rStyle w:val="Hyperlink"/>
            <w:rFonts w:ascii="Times New Roman" w:hAnsi="Times New Roman" w:cs="Times New Roman"/>
          </w:rPr>
          <w:t>https://doi.org/10.1023/A:1006355210516</w:t>
        </w:r>
      </w:hyperlink>
    </w:p>
    <w:p w14:paraId="07ECC37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en-US"/>
        </w:rPr>
        <w:t xml:space="preserve">Magwedere, K., Hemberger, M. Y., Hoffman, L. C., &amp; Dziva, F. (2012). </w:t>
      </w:r>
      <w:r w:rsidRPr="009B0448">
        <w:rPr>
          <w:rFonts w:ascii="Times New Roman" w:hAnsi="Times New Roman" w:cs="Times New Roman"/>
          <w:color w:val="auto"/>
        </w:rPr>
        <w:t xml:space="preserve">Zoonoses: A potential obstacle to the growing wildlife industry of Namibia. </w:t>
      </w:r>
      <w:r w:rsidRPr="009B0448">
        <w:rPr>
          <w:rFonts w:ascii="Times New Roman" w:hAnsi="Times New Roman" w:cs="Times New Roman"/>
          <w:i/>
          <w:color w:val="auto"/>
        </w:rPr>
        <w:t>Infection Ecology and Epidemiology, 2</w:t>
      </w:r>
      <w:r w:rsidRPr="009B0448">
        <w:rPr>
          <w:rFonts w:ascii="Times New Roman" w:hAnsi="Times New Roman" w:cs="Times New Roman"/>
          <w:color w:val="auto"/>
        </w:rPr>
        <w:t>, 1</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17. </w:t>
      </w:r>
      <w:hyperlink r:id="rId1327" w:history="1">
        <w:r w:rsidRPr="009B0448">
          <w:rPr>
            <w:rStyle w:val="Hyperlink"/>
            <w:rFonts w:ascii="Times New Roman" w:hAnsi="Times New Roman" w:cs="Times New Roman"/>
          </w:rPr>
          <w:t>https://doi.org/10.3402/iee.v2i0.18365</w:t>
        </w:r>
      </w:hyperlink>
      <w:r w:rsidRPr="009B0448">
        <w:rPr>
          <w:rFonts w:ascii="Times New Roman" w:hAnsi="Times New Roman" w:cs="Times New Roman"/>
          <w:color w:val="auto"/>
        </w:rPr>
        <w:t xml:space="preserve"> </w:t>
      </w:r>
    </w:p>
    <w:p w14:paraId="2114208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Mahlstein, I., Daniel, J. S., &amp; Solomon, S. (2013). Pace of shifts in climate regions increases with global temperature. </w:t>
      </w:r>
      <w:r w:rsidRPr="009B0448">
        <w:rPr>
          <w:rFonts w:ascii="Times New Roman" w:hAnsi="Times New Roman" w:cs="Times New Roman"/>
          <w:i/>
          <w:color w:val="auto"/>
        </w:rPr>
        <w:t>Nature Climate Change, 3</w:t>
      </w:r>
      <w:r w:rsidRPr="009B0448">
        <w:rPr>
          <w:rFonts w:ascii="Times New Roman" w:hAnsi="Times New Roman" w:cs="Times New Roman"/>
          <w:color w:val="auto"/>
        </w:rPr>
        <w:t>, 739</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743. </w:t>
      </w:r>
      <w:hyperlink r:id="rId1328" w:history="1">
        <w:r w:rsidRPr="009B0448">
          <w:rPr>
            <w:rStyle w:val="Hyperlink"/>
            <w:rFonts w:ascii="Times New Roman" w:hAnsi="Times New Roman" w:cs="Times New Roman"/>
          </w:rPr>
          <w:t>https://doi.org/10.1038/nclimate1876</w:t>
        </w:r>
      </w:hyperlink>
      <w:r w:rsidRPr="009B0448">
        <w:rPr>
          <w:rFonts w:ascii="Times New Roman" w:hAnsi="Times New Roman" w:cs="Times New Roman"/>
          <w:color w:val="auto"/>
        </w:rPr>
        <w:t xml:space="preserve"> </w:t>
      </w:r>
    </w:p>
    <w:p w14:paraId="1C2F87A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Maitima, J. M., Mugatha, S. M., Reid, R. S.,Gachimbi, L. N., Majule, A., Lyaruu, H., Pomery, D., Mathai, S., &amp; Mugisha, S. (2009). The linkages between land-use change, land degradation and biodiversity across East Africa. </w:t>
      </w:r>
      <w:r w:rsidRPr="009B0448">
        <w:rPr>
          <w:rFonts w:ascii="Times New Roman" w:hAnsi="Times New Roman" w:cs="Times New Roman"/>
          <w:i/>
          <w:color w:val="auto"/>
        </w:rPr>
        <w:t>African Journal of Environmental Science and Technology, 3</w:t>
      </w:r>
      <w:r w:rsidRPr="009B0448">
        <w:rPr>
          <w:rFonts w:ascii="Times New Roman" w:hAnsi="Times New Roman" w:cs="Times New Roman"/>
          <w:color w:val="auto"/>
        </w:rPr>
        <w:t>, 310</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325. Retrieved from </w:t>
      </w:r>
      <w:hyperlink r:id="rId1329" w:history="1">
        <w:r w:rsidRPr="009B0448">
          <w:rPr>
            <w:rStyle w:val="Hyperlink"/>
            <w:rFonts w:ascii="Times New Roman" w:hAnsi="Times New Roman" w:cs="Times New Roman"/>
          </w:rPr>
          <w:t>http://hdl.handle.net/10568/1934</w:t>
        </w:r>
      </w:hyperlink>
      <w:r w:rsidRPr="009B0448">
        <w:rPr>
          <w:rFonts w:ascii="Times New Roman" w:hAnsi="Times New Roman" w:cs="Times New Roman"/>
          <w:color w:val="auto"/>
        </w:rPr>
        <w:t xml:space="preserve"> </w:t>
      </w:r>
    </w:p>
    <w:p w14:paraId="66749BA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Malik, S. J. (1999). </w:t>
      </w:r>
      <w:r w:rsidRPr="009B0448">
        <w:rPr>
          <w:rFonts w:ascii="Times New Roman" w:eastAsiaTheme="minorHAnsi" w:hAnsi="Times New Roman" w:cs="Times New Roman"/>
          <w:i/>
          <w:color w:val="auto"/>
        </w:rPr>
        <w:t>Rural poverty and land degradation: what does the available literature suggest for priority setting for the consultative group on international agricultural research</w:t>
      </w:r>
      <w:r w:rsidRPr="009B0448">
        <w:rPr>
          <w:rFonts w:ascii="Times New Roman" w:eastAsiaTheme="minorHAnsi" w:hAnsi="Times New Roman" w:cs="Times New Roman"/>
          <w:color w:val="auto"/>
        </w:rPr>
        <w:t xml:space="preserve">? Vienna, Virginia: Consultative Group on International Agricultural Research. Retrieved from </w:t>
      </w:r>
      <w:hyperlink r:id="rId1330" w:history="1">
        <w:r w:rsidRPr="009B0448">
          <w:rPr>
            <w:rStyle w:val="Hyperlink"/>
            <w:rFonts w:ascii="Times New Roman" w:eastAsiaTheme="minorHAnsi" w:hAnsi="Times New Roman" w:cs="Times New Roman"/>
          </w:rPr>
          <w:t>http://hdl.handle.net/10568/78026</w:t>
        </w:r>
      </w:hyperlink>
      <w:r w:rsidRPr="009B0448">
        <w:rPr>
          <w:rFonts w:ascii="Times New Roman" w:eastAsiaTheme="minorHAnsi" w:hAnsi="Times New Roman" w:cs="Times New Roman"/>
          <w:color w:val="auto"/>
        </w:rPr>
        <w:t xml:space="preserve"> </w:t>
      </w:r>
    </w:p>
    <w:p w14:paraId="22849BD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Malthus, T. R. (1798). An essay on the principle of population. In E. Wrigley, &amp; D. Souden (Eds.), </w:t>
      </w:r>
      <w:r w:rsidRPr="009B0448">
        <w:rPr>
          <w:rFonts w:ascii="Times New Roman" w:hAnsi="Times New Roman" w:cs="Times New Roman"/>
          <w:i/>
          <w:color w:val="auto"/>
        </w:rPr>
        <w:t>The works of Thomas Robert Malthus.</w:t>
      </w:r>
      <w:r w:rsidRPr="009B0448">
        <w:rPr>
          <w:rFonts w:ascii="Times New Roman" w:hAnsi="Times New Roman" w:cs="Times New Roman"/>
          <w:color w:val="auto"/>
        </w:rPr>
        <w:t xml:space="preserve"> London: William Pickering.Retrieved from </w:t>
      </w:r>
      <w:hyperlink r:id="rId1331" w:history="1">
        <w:r w:rsidRPr="009B0448">
          <w:rPr>
            <w:rStyle w:val="Hyperlink"/>
            <w:rFonts w:ascii="Times New Roman" w:hAnsi="Times New Roman" w:cs="Times New Roman"/>
          </w:rPr>
          <w:t>http://www.esp.org/books/malthus/population/malthus.pdf</w:t>
        </w:r>
      </w:hyperlink>
      <w:r w:rsidRPr="009B0448">
        <w:rPr>
          <w:rFonts w:ascii="Times New Roman" w:hAnsi="Times New Roman" w:cs="Times New Roman"/>
          <w:color w:val="auto"/>
        </w:rPr>
        <w:t xml:space="preserve"> </w:t>
      </w:r>
    </w:p>
    <w:p w14:paraId="545BE4E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Manickum, T., &amp; John, W. (2014). Occurrence, fate and environmental risk assessment of endocrine disrupting compounds at the wastewater treatment works in Pietermaritzburg (South Africa). </w:t>
      </w:r>
      <w:r w:rsidRPr="009B0448">
        <w:rPr>
          <w:rFonts w:ascii="Times New Roman" w:hAnsi="Times New Roman" w:cs="Times New Roman"/>
          <w:i/>
          <w:color w:val="auto"/>
        </w:rPr>
        <w:t>Science of the Total Environment, 468</w:t>
      </w:r>
      <w:r w:rsidRPr="009B0448">
        <w:rPr>
          <w:rFonts w:ascii="Times New Roman" w:hAnsi="Times New Roman" w:cs="Times New Roman"/>
          <w:color w:val="auto"/>
        </w:rPr>
        <w:t>, 584</w:t>
      </w:r>
      <w:r w:rsidRPr="009B0448">
        <w:rPr>
          <w:rFonts w:ascii="Times New Roman" w:eastAsiaTheme="minorHAnsi" w:hAnsi="Times New Roman" w:cs="Times New Roman"/>
          <w:color w:val="auto"/>
        </w:rPr>
        <w:t>–</w:t>
      </w:r>
      <w:r w:rsidRPr="009B0448">
        <w:rPr>
          <w:rFonts w:ascii="Times New Roman" w:hAnsi="Times New Roman" w:cs="Times New Roman"/>
          <w:color w:val="auto"/>
        </w:rPr>
        <w:t>597.</w:t>
      </w:r>
      <w:r w:rsidRPr="009B0448">
        <w:rPr>
          <w:rFonts w:ascii="Times New Roman" w:hAnsi="Times New Roman" w:cs="Times New Roman"/>
        </w:rPr>
        <w:t xml:space="preserve"> </w:t>
      </w:r>
      <w:hyperlink r:id="rId1332" w:history="1">
        <w:r w:rsidRPr="009B0448">
          <w:rPr>
            <w:rStyle w:val="Hyperlink"/>
            <w:rFonts w:ascii="Times New Roman" w:hAnsi="Times New Roman" w:cs="Times New Roman"/>
          </w:rPr>
          <w:t>https://doi.org/10.1016/j.scitotenv.2013.08.041</w:t>
        </w:r>
      </w:hyperlink>
    </w:p>
    <w:p w14:paraId="6468F1D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Marchant, R., &amp; Hooghiemstra, H. (2004), Rapid environmental change in African and South American tropics around 4000 years before present: A review. </w:t>
      </w:r>
      <w:r w:rsidRPr="009B0448">
        <w:rPr>
          <w:rFonts w:ascii="Times New Roman" w:hAnsi="Times New Roman" w:cs="Times New Roman"/>
          <w:i/>
          <w:color w:val="auto"/>
        </w:rPr>
        <w:t>Earth Science Reviews, 66</w:t>
      </w:r>
      <w:r w:rsidRPr="009B0448">
        <w:rPr>
          <w:rFonts w:ascii="Times New Roman" w:hAnsi="Times New Roman" w:cs="Times New Roman"/>
          <w:color w:val="auto"/>
        </w:rPr>
        <w:t>, 217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260. </w:t>
      </w:r>
      <w:hyperlink r:id="rId1333" w:history="1">
        <w:r w:rsidRPr="009B0448">
          <w:rPr>
            <w:rStyle w:val="Hyperlink"/>
            <w:rFonts w:ascii="Times New Roman" w:hAnsi="Times New Roman" w:cs="Times New Roman"/>
          </w:rPr>
          <w:t>https://doi.org/10.1016/j.earscirev.2004.01.003</w:t>
        </w:r>
      </w:hyperlink>
      <w:r w:rsidRPr="009B0448">
        <w:rPr>
          <w:rFonts w:ascii="Times New Roman" w:hAnsi="Times New Roman" w:cs="Times New Roman"/>
          <w:color w:val="auto"/>
        </w:rPr>
        <w:t xml:space="preserve"> </w:t>
      </w:r>
    </w:p>
    <w:p w14:paraId="2912BE5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Maroyi, A. (2012). The casual, naturalised and invasive alien flora of Zimbabwe based on herbarium and literature records. </w:t>
      </w:r>
      <w:r w:rsidRPr="009B0448">
        <w:rPr>
          <w:rFonts w:ascii="Times New Roman" w:hAnsi="Times New Roman" w:cs="Times New Roman"/>
          <w:i/>
          <w:color w:val="auto"/>
        </w:rPr>
        <w:t>Koedoe, 54</w:t>
      </w:r>
      <w:r w:rsidRPr="009B0448">
        <w:rPr>
          <w:rFonts w:ascii="Times New Roman" w:hAnsi="Times New Roman" w:cs="Times New Roman"/>
          <w:color w:val="auto"/>
        </w:rPr>
        <w:t>(1), 30</w:t>
      </w:r>
      <w:r w:rsidRPr="009B0448">
        <w:rPr>
          <w:rFonts w:ascii="Times New Roman" w:eastAsiaTheme="minorHAnsi" w:hAnsi="Times New Roman" w:cs="Times New Roman"/>
          <w:color w:val="auto"/>
        </w:rPr>
        <w:t>–</w:t>
      </w:r>
      <w:r w:rsidRPr="009B0448">
        <w:rPr>
          <w:rFonts w:ascii="Times New Roman" w:hAnsi="Times New Roman" w:cs="Times New Roman"/>
          <w:color w:val="auto"/>
        </w:rPr>
        <w:t>36.</w:t>
      </w:r>
      <w:r w:rsidRPr="009B0448">
        <w:rPr>
          <w:rFonts w:ascii="Times New Roman" w:hAnsi="Times New Roman" w:cs="Times New Roman"/>
        </w:rPr>
        <w:t xml:space="preserve"> </w:t>
      </w:r>
      <w:hyperlink r:id="rId1334" w:history="1">
        <w:r w:rsidRPr="009B0448">
          <w:rPr>
            <w:rStyle w:val="Hyperlink"/>
            <w:rFonts w:ascii="Times New Roman" w:hAnsi="Times New Roman" w:cs="Times New Roman"/>
          </w:rPr>
          <w:t>https://doi.org/10.4102/koedoe.v54i1.1054</w:t>
        </w:r>
      </w:hyperlink>
      <w:r w:rsidRPr="009B0448">
        <w:rPr>
          <w:rFonts w:ascii="Times New Roman" w:hAnsi="Times New Roman" w:cs="Times New Roman"/>
          <w:color w:val="auto"/>
        </w:rPr>
        <w:t xml:space="preserve"> </w:t>
      </w:r>
    </w:p>
    <w:p w14:paraId="4F1CE56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Marra, P. P., Francis, C. M., Mulvihill, R. S., &amp; Moore, F. R. (2005). The influence of climate on the timing and rate of spring bird migration. </w:t>
      </w:r>
      <w:r w:rsidRPr="009B0448">
        <w:rPr>
          <w:rFonts w:ascii="Times New Roman" w:eastAsiaTheme="minorHAnsi" w:hAnsi="Times New Roman" w:cs="Times New Roman"/>
          <w:i/>
          <w:color w:val="auto"/>
        </w:rPr>
        <w:t xml:space="preserve">Oecologia, 142(2), </w:t>
      </w:r>
      <w:r w:rsidRPr="009B0448">
        <w:rPr>
          <w:rFonts w:ascii="Times New Roman" w:eastAsiaTheme="minorHAnsi" w:hAnsi="Times New Roman" w:cs="Times New Roman"/>
          <w:color w:val="auto"/>
        </w:rPr>
        <w:t>307–315.</w:t>
      </w:r>
      <w:r w:rsidRPr="009B0448">
        <w:rPr>
          <w:rFonts w:ascii="Times New Roman" w:hAnsi="Times New Roman" w:cs="Times New Roman"/>
        </w:rPr>
        <w:t xml:space="preserve"> </w:t>
      </w:r>
      <w:hyperlink r:id="rId1335" w:history="1">
        <w:r w:rsidRPr="009B0448">
          <w:rPr>
            <w:rStyle w:val="Hyperlink"/>
            <w:rFonts w:ascii="Times New Roman" w:eastAsiaTheme="minorHAnsi" w:hAnsi="Times New Roman" w:cs="Times New Roman"/>
          </w:rPr>
          <w:t>https://doi.org/10.1007/s00442-004-1725-x</w:t>
        </w:r>
      </w:hyperlink>
      <w:r w:rsidRPr="009B0448">
        <w:rPr>
          <w:rFonts w:ascii="Times New Roman" w:eastAsiaTheme="minorHAnsi" w:hAnsi="Times New Roman" w:cs="Times New Roman"/>
          <w:color w:val="auto"/>
        </w:rPr>
        <w:t xml:space="preserve"> </w:t>
      </w:r>
    </w:p>
    <w:p w14:paraId="22995312" w14:textId="77777777" w:rsidR="009B0448" w:rsidRPr="009B0448" w:rsidRDefault="009B0448" w:rsidP="009B0448">
      <w:pPr>
        <w:pStyle w:val="NoSpacing"/>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Martin, R. E., &amp; Sapsis, D. B. (1992). Fires as agents of biodiversity: Pyrodiversity promotes biodiversity. Retrieved from </w:t>
      </w:r>
      <w:hyperlink r:id="rId1336" w:history="1">
        <w:r w:rsidRPr="009B0448">
          <w:rPr>
            <w:rStyle w:val="Hyperlink"/>
            <w:rFonts w:ascii="Times New Roman" w:hAnsi="Times New Roman" w:cs="Times New Roman"/>
          </w:rPr>
          <w:t>https://www.sierraforestlegacy.org/Resources/Conservation/FireForestEcology/FireScienceResearch/FireEcology/FireEcology-Martin91.pdf</w:t>
        </w:r>
      </w:hyperlink>
      <w:r w:rsidRPr="009B0448">
        <w:rPr>
          <w:rFonts w:ascii="Times New Roman" w:eastAsia="Times New Roman" w:hAnsi="Times New Roman" w:cs="Times New Roman"/>
          <w:color w:val="auto"/>
        </w:rPr>
        <w:t xml:space="preserve"> </w:t>
      </w:r>
      <w:r w:rsidRPr="009B0448">
        <w:rPr>
          <w:rFonts w:ascii="Times New Roman" w:hAnsi="Times New Roman" w:cs="Times New Roman"/>
        </w:rPr>
        <w:t xml:space="preserve"> </w:t>
      </w:r>
    </w:p>
    <w:p w14:paraId="6F14AB4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Martin, V., Chevalier, V., Ceccato, P., Anyamba, A., &amp; De Simone, L. (2008). The impact of climate change on the epidemiology and control of Rift Valley fever vector-borne diseases Rift Valley fever and climate change. </w:t>
      </w:r>
      <w:r w:rsidRPr="009B0448">
        <w:rPr>
          <w:rFonts w:ascii="Times New Roman" w:hAnsi="Times New Roman" w:cs="Times New Roman"/>
          <w:i/>
          <w:color w:val="auto"/>
        </w:rPr>
        <w:t>Revue scientifique et technique (International Office of Epizootics), 27</w:t>
      </w:r>
      <w:r w:rsidRPr="009B0448">
        <w:rPr>
          <w:rFonts w:ascii="Times New Roman" w:hAnsi="Times New Roman" w:cs="Times New Roman"/>
          <w:color w:val="auto"/>
        </w:rPr>
        <w:t>, 413</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426. Retrieved from </w:t>
      </w:r>
      <w:hyperlink r:id="rId1337" w:history="1">
        <w:r w:rsidRPr="009B0448">
          <w:rPr>
            <w:rStyle w:val="Hyperlink"/>
            <w:rFonts w:ascii="Times New Roman" w:hAnsi="Times New Roman" w:cs="Times New Roman"/>
          </w:rPr>
          <w:t>https://www.ncbi.nlm.nih.gov/pubmed/18819669</w:t>
        </w:r>
      </w:hyperlink>
      <w:r w:rsidRPr="009B0448">
        <w:rPr>
          <w:rFonts w:ascii="Times New Roman" w:hAnsi="Times New Roman" w:cs="Times New Roman"/>
          <w:color w:val="auto"/>
        </w:rPr>
        <w:t xml:space="preserve"> </w:t>
      </w:r>
    </w:p>
    <w:p w14:paraId="06FBEFE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Marzluff, J. M. (2001). Worldwide urbanization and its effects on birds. In J. M. Marzluff, R. Bowman, &amp; R. Donnelly (Eds.), </w:t>
      </w:r>
      <w:r w:rsidRPr="009B0448">
        <w:rPr>
          <w:rFonts w:ascii="Times New Roman" w:hAnsi="Times New Roman" w:cs="Times New Roman"/>
          <w:i/>
          <w:color w:val="auto"/>
        </w:rPr>
        <w:t>Avian ecology in an urbanizing world</w:t>
      </w:r>
      <w:r w:rsidRPr="009B0448">
        <w:rPr>
          <w:rFonts w:ascii="Times New Roman" w:hAnsi="Times New Roman" w:cs="Times New Roman"/>
          <w:color w:val="auto"/>
        </w:rPr>
        <w:t xml:space="preserve"> (pp. 19</w:t>
      </w:r>
      <w:r w:rsidRPr="009B0448">
        <w:rPr>
          <w:rFonts w:ascii="Times New Roman" w:eastAsiaTheme="minorHAnsi" w:hAnsi="Times New Roman" w:cs="Times New Roman"/>
          <w:color w:val="auto"/>
        </w:rPr>
        <w:t>–</w:t>
      </w:r>
      <w:r w:rsidRPr="009B0448">
        <w:rPr>
          <w:rFonts w:ascii="Times New Roman" w:hAnsi="Times New Roman" w:cs="Times New Roman"/>
          <w:color w:val="auto"/>
        </w:rPr>
        <w:t>47). Norwell, USA: Kluwer.</w:t>
      </w:r>
      <w:r w:rsidRPr="009B0448">
        <w:rPr>
          <w:rFonts w:ascii="Times New Roman" w:hAnsi="Times New Roman" w:cs="Times New Roman"/>
        </w:rPr>
        <w:t xml:space="preserve"> </w:t>
      </w:r>
      <w:hyperlink r:id="rId1338" w:history="1">
        <w:r w:rsidRPr="009B0448">
          <w:rPr>
            <w:rStyle w:val="Hyperlink"/>
            <w:rFonts w:ascii="Times New Roman" w:hAnsi="Times New Roman" w:cs="Times New Roman"/>
          </w:rPr>
          <w:t>https://doi.org/10.1007/978-1-4615-1531-9_2</w:t>
        </w:r>
      </w:hyperlink>
      <w:r w:rsidRPr="009B0448">
        <w:rPr>
          <w:rFonts w:ascii="Times New Roman" w:hAnsi="Times New Roman" w:cs="Times New Roman"/>
          <w:color w:val="auto"/>
        </w:rPr>
        <w:t xml:space="preserve"> </w:t>
      </w:r>
    </w:p>
    <w:p w14:paraId="0A2E54F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Matiku, P. (2005). </w:t>
      </w:r>
      <w:r w:rsidRPr="009B0448">
        <w:rPr>
          <w:rFonts w:ascii="Times New Roman" w:hAnsi="Times New Roman" w:cs="Times New Roman"/>
          <w:i/>
          <w:color w:val="auto"/>
        </w:rPr>
        <w:t>The coastal forests of Kenya: Forests data, threats, socio-economic issues, values, stakeholders, challenges, strategies, investment and enabling environment</w:t>
      </w:r>
      <w:r w:rsidRPr="009B0448">
        <w:rPr>
          <w:rFonts w:ascii="Times New Roman" w:hAnsi="Times New Roman" w:cs="Times New Roman"/>
          <w:color w:val="auto"/>
        </w:rPr>
        <w:t xml:space="preserve">. Retrieved from </w:t>
      </w:r>
      <w:hyperlink r:id="rId1339" w:history="1">
        <w:r w:rsidRPr="009B0448">
          <w:rPr>
            <w:rStyle w:val="Hyperlink"/>
            <w:rFonts w:ascii="Times New Roman" w:hAnsi="Times New Roman" w:cs="Times New Roman"/>
          </w:rPr>
          <w:t>http://coastalforests.tfcg.org/pubs/National-Synthesis-Ken.pdf</w:t>
        </w:r>
      </w:hyperlink>
      <w:r w:rsidRPr="009B0448">
        <w:rPr>
          <w:rFonts w:ascii="Times New Roman" w:hAnsi="Times New Roman" w:cs="Times New Roman"/>
          <w:color w:val="auto"/>
        </w:rPr>
        <w:t xml:space="preserve"> </w:t>
      </w:r>
    </w:p>
    <w:p w14:paraId="2E7F6E5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Matson, P. A., Parton, W. J., Power, A. G., &amp; Swift, M. J. (1997). Agricultural intensification and ecosystem properties. </w:t>
      </w:r>
      <w:r w:rsidRPr="009B0448">
        <w:rPr>
          <w:rFonts w:ascii="Times New Roman" w:hAnsi="Times New Roman" w:cs="Times New Roman"/>
          <w:i/>
          <w:color w:val="auto"/>
        </w:rPr>
        <w:t>Science, 277</w:t>
      </w:r>
      <w:r w:rsidRPr="009B0448">
        <w:rPr>
          <w:rFonts w:ascii="Times New Roman" w:hAnsi="Times New Roman" w:cs="Times New Roman"/>
          <w:color w:val="auto"/>
        </w:rPr>
        <w:t>, 504</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509. </w:t>
      </w:r>
      <w:hyperlink r:id="rId1340" w:history="1">
        <w:r w:rsidRPr="009B0448">
          <w:rPr>
            <w:rStyle w:val="Hyperlink"/>
            <w:rFonts w:ascii="Times New Roman" w:hAnsi="Times New Roman" w:cs="Times New Roman"/>
          </w:rPr>
          <w:t>https://doi.org/10.1126/science.277.5325.504</w:t>
        </w:r>
      </w:hyperlink>
      <w:r w:rsidRPr="009B0448">
        <w:rPr>
          <w:rFonts w:ascii="Times New Roman" w:hAnsi="Times New Roman" w:cs="Times New Roman"/>
          <w:color w:val="auto"/>
        </w:rPr>
        <w:t xml:space="preserve"> </w:t>
      </w:r>
    </w:p>
    <w:p w14:paraId="69B8BFD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Matthews, S., &amp; Brand, K. (2004). </w:t>
      </w:r>
      <w:r w:rsidRPr="009B0448">
        <w:rPr>
          <w:rFonts w:ascii="Times New Roman" w:hAnsi="Times New Roman" w:cs="Times New Roman"/>
          <w:i/>
          <w:color w:val="auto"/>
        </w:rPr>
        <w:t>Africa invaded: The growing danger of invasive alien species</w:t>
      </w:r>
      <w:r w:rsidRPr="009B0448">
        <w:rPr>
          <w:rFonts w:ascii="Times New Roman" w:hAnsi="Times New Roman" w:cs="Times New Roman"/>
          <w:color w:val="auto"/>
        </w:rPr>
        <w:t>. Cape Town, South Africa: The Global Invasive Species Programme. Retrieved from</w:t>
      </w:r>
      <w:r w:rsidRPr="009B0448">
        <w:rPr>
          <w:rFonts w:ascii="Times New Roman" w:hAnsi="Times New Roman" w:cs="Times New Roman"/>
        </w:rPr>
        <w:t xml:space="preserve"> </w:t>
      </w:r>
      <w:hyperlink r:id="rId1341" w:history="1">
        <w:r w:rsidRPr="009B0448">
          <w:rPr>
            <w:rStyle w:val="Hyperlink"/>
            <w:rFonts w:ascii="Times New Roman" w:hAnsi="Times New Roman" w:cs="Times New Roman"/>
          </w:rPr>
          <w:t>https://portals.iucn.org/library/node/28316</w:t>
        </w:r>
      </w:hyperlink>
      <w:r w:rsidRPr="009B0448">
        <w:rPr>
          <w:rFonts w:ascii="Times New Roman" w:hAnsi="Times New Roman" w:cs="Times New Roman"/>
          <w:color w:val="auto"/>
        </w:rPr>
        <w:t xml:space="preserve">  </w:t>
      </w:r>
    </w:p>
    <w:p w14:paraId="6FA3A85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Matthews, T., Measey, G. J., &amp; Roberts, D. L. (2016). Implications of summer breeding frogs from Langebaanweg, South Africa: Regional climate evolution at 5.1 mya. </w:t>
      </w:r>
      <w:r w:rsidRPr="009B0448">
        <w:rPr>
          <w:rFonts w:ascii="Times New Roman" w:hAnsi="Times New Roman" w:cs="Times New Roman"/>
          <w:i/>
          <w:color w:val="auto"/>
        </w:rPr>
        <w:t>South African Journal of Science, 112</w:t>
      </w:r>
      <w:r w:rsidRPr="009B0448">
        <w:rPr>
          <w:rFonts w:ascii="Times New Roman" w:hAnsi="Times New Roman" w:cs="Times New Roman"/>
          <w:color w:val="auto"/>
        </w:rPr>
        <w:t>(10), 1</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7. </w:t>
      </w:r>
      <w:hyperlink r:id="rId1342" w:history="1">
        <w:r w:rsidRPr="009B0448">
          <w:rPr>
            <w:rStyle w:val="Hyperlink"/>
            <w:rFonts w:ascii="Times New Roman" w:hAnsi="Times New Roman" w:cs="Times New Roman"/>
          </w:rPr>
          <w:t>https://doi.org/10.17159/sajs.2016/20160070</w:t>
        </w:r>
      </w:hyperlink>
      <w:r w:rsidRPr="009B0448">
        <w:rPr>
          <w:rFonts w:ascii="Times New Roman" w:hAnsi="Times New Roman" w:cs="Times New Roman"/>
          <w:color w:val="auto"/>
        </w:rPr>
        <w:t xml:space="preserve"> </w:t>
      </w:r>
    </w:p>
    <w:p w14:paraId="747CFAC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en-US"/>
        </w:rPr>
        <w:t xml:space="preserve">Maundu, P., Kibet, S., Morimoto, Y., Imbumi, M., &amp; Adeka, R. (2009). </w:t>
      </w:r>
      <w:r w:rsidRPr="009B0448">
        <w:rPr>
          <w:rFonts w:ascii="Times New Roman" w:hAnsi="Times New Roman" w:cs="Times New Roman"/>
          <w:color w:val="auto"/>
        </w:rPr>
        <w:t xml:space="preserve">Impact of </w:t>
      </w:r>
      <w:r w:rsidRPr="009B0448">
        <w:rPr>
          <w:rFonts w:ascii="Times New Roman" w:hAnsi="Times New Roman" w:cs="Times New Roman"/>
          <w:i/>
          <w:color w:val="auto"/>
        </w:rPr>
        <w:t>Prosopis juliflora</w:t>
      </w:r>
      <w:r w:rsidRPr="009B0448">
        <w:rPr>
          <w:rFonts w:ascii="Times New Roman" w:hAnsi="Times New Roman" w:cs="Times New Roman"/>
          <w:color w:val="auto"/>
        </w:rPr>
        <w:t xml:space="preserve"> on Kenya's semi-arid and arid ecosystems and local livelihoods. </w:t>
      </w:r>
      <w:r w:rsidRPr="009B0448">
        <w:rPr>
          <w:rFonts w:ascii="Times New Roman" w:hAnsi="Times New Roman" w:cs="Times New Roman"/>
          <w:i/>
          <w:color w:val="auto"/>
        </w:rPr>
        <w:t>Biodiversity, 10</w:t>
      </w:r>
      <w:r w:rsidRPr="009B0448">
        <w:rPr>
          <w:rFonts w:ascii="Times New Roman" w:hAnsi="Times New Roman" w:cs="Times New Roman"/>
          <w:color w:val="auto"/>
        </w:rPr>
        <w:t>(2), 33</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50. </w:t>
      </w:r>
      <w:hyperlink r:id="rId1343" w:history="1">
        <w:r w:rsidRPr="009B0448">
          <w:rPr>
            <w:rStyle w:val="Hyperlink"/>
            <w:rFonts w:ascii="Times New Roman" w:hAnsi="Times New Roman" w:cs="Times New Roman"/>
          </w:rPr>
          <w:t>https://doi.org/10.1080/14888386.2009.9712842</w:t>
        </w:r>
      </w:hyperlink>
    </w:p>
    <w:p w14:paraId="79AD658D"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Mburu, G., &amp; Kaguna, S. (2016). Community dialogue on ILK relevant for food and water protection in Tharaka, Kenya. In M. Rou, N. Cesard, Y. C. Adou Yao, &amp; A. Oteng-Yeboah, (Eds.), </w:t>
      </w:r>
      <w:r w:rsidRPr="009B0448">
        <w:rPr>
          <w:rFonts w:ascii="Times New Roman" w:eastAsiaTheme="minorHAnsi" w:hAnsi="Times New Roman" w:cs="Times New Roman"/>
          <w:i/>
          <w:color w:val="auto"/>
        </w:rPr>
        <w:t xml:space="preserve">Indigenous and local knowledge of biodiversity and ecosystem services in Africa </w:t>
      </w:r>
      <w:r w:rsidRPr="009B0448">
        <w:rPr>
          <w:rFonts w:ascii="Times New Roman" w:eastAsiaTheme="minorHAnsi" w:hAnsi="Times New Roman" w:cs="Times New Roman"/>
          <w:color w:val="auto"/>
        </w:rPr>
        <w:t xml:space="preserve">(pp. 30–40). Paris, France: UNESCO. Retrieved from </w:t>
      </w:r>
      <w:hyperlink r:id="rId1344" w:history="1">
        <w:r w:rsidRPr="009B0448">
          <w:rPr>
            <w:rStyle w:val="Hyperlink"/>
            <w:rFonts w:ascii="Times New Roman" w:eastAsiaTheme="minorHAnsi" w:hAnsi="Times New Roman" w:cs="Times New Roman"/>
          </w:rPr>
          <w:t>http://climatefrontlines.org/sites/default/files/ipbes/IPBES_in_Africa_2015.pdf</w:t>
        </w:r>
      </w:hyperlink>
      <w:r w:rsidRPr="009B0448">
        <w:rPr>
          <w:rFonts w:ascii="Times New Roman" w:eastAsiaTheme="minorHAnsi" w:hAnsi="Times New Roman" w:cs="Times New Roman"/>
          <w:color w:val="auto"/>
        </w:rPr>
        <w:t xml:space="preserve"> </w:t>
      </w:r>
    </w:p>
    <w:p w14:paraId="0C1DDA8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McClanaban, T. R. (1987). Overfishing and coral reef degradation: A preliminary report from East Africa. </w:t>
      </w:r>
      <w:r w:rsidRPr="009B0448">
        <w:rPr>
          <w:rFonts w:ascii="Times New Roman" w:hAnsi="Times New Roman" w:cs="Times New Roman"/>
          <w:i/>
          <w:color w:val="auto"/>
        </w:rPr>
        <w:t>Conservation Biology, 1</w:t>
      </w:r>
      <w:r w:rsidRPr="009B0448">
        <w:rPr>
          <w:rFonts w:ascii="Times New Roman" w:hAnsi="Times New Roman" w:cs="Times New Roman"/>
          <w:color w:val="auto"/>
        </w:rPr>
        <w:t>(2), 97</w:t>
      </w:r>
      <w:r w:rsidRPr="009B0448">
        <w:rPr>
          <w:rFonts w:ascii="Times New Roman" w:eastAsiaTheme="minorHAnsi" w:hAnsi="Times New Roman" w:cs="Times New Roman"/>
          <w:color w:val="auto"/>
        </w:rPr>
        <w:t>–</w:t>
      </w:r>
      <w:r w:rsidRPr="009B0448">
        <w:rPr>
          <w:rFonts w:ascii="Times New Roman" w:hAnsi="Times New Roman" w:cs="Times New Roman"/>
          <w:color w:val="auto"/>
        </w:rPr>
        <w:t>99.</w:t>
      </w:r>
      <w:r w:rsidRPr="009B0448">
        <w:rPr>
          <w:rFonts w:ascii="Times New Roman" w:hAnsi="Times New Roman" w:cs="Times New Roman"/>
        </w:rPr>
        <w:t xml:space="preserve"> </w:t>
      </w:r>
      <w:hyperlink r:id="rId1345" w:history="1">
        <w:r w:rsidRPr="009B0448">
          <w:rPr>
            <w:rStyle w:val="Hyperlink"/>
            <w:rFonts w:ascii="Times New Roman" w:hAnsi="Times New Roman" w:cs="Times New Roman"/>
          </w:rPr>
          <w:t>https://doi.org/10.1111/j.1523-1739.1987.tb00019.x</w:t>
        </w:r>
      </w:hyperlink>
      <w:r w:rsidRPr="009B0448">
        <w:rPr>
          <w:rFonts w:ascii="Times New Roman" w:hAnsi="Times New Roman" w:cs="Times New Roman"/>
          <w:color w:val="auto"/>
        </w:rPr>
        <w:t xml:space="preserve"> </w:t>
      </w:r>
    </w:p>
    <w:p w14:paraId="7054E36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‎McClanaban, T. R., &amp; Young, T. P. (1996). </w:t>
      </w:r>
      <w:r w:rsidRPr="009B0448">
        <w:rPr>
          <w:rFonts w:ascii="Times New Roman" w:hAnsi="Times New Roman" w:cs="Times New Roman"/>
          <w:i/>
          <w:color w:val="auto"/>
        </w:rPr>
        <w:t>East African ecosystems and their conservation</w:t>
      </w:r>
      <w:r w:rsidRPr="009B0448">
        <w:rPr>
          <w:rFonts w:ascii="Times New Roman" w:hAnsi="Times New Roman" w:cs="Times New Roman"/>
          <w:color w:val="auto"/>
        </w:rPr>
        <w:t xml:space="preserve">. New York, USA: Oxford University Press. </w:t>
      </w:r>
    </w:p>
    <w:p w14:paraId="03A3C986"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McIvor, A. L., Spencer, T., Möller, I., &amp; Spalding. M. (2012). </w:t>
      </w:r>
      <w:r w:rsidRPr="009B0448">
        <w:rPr>
          <w:rFonts w:ascii="Times New Roman" w:eastAsiaTheme="minorHAnsi" w:hAnsi="Times New Roman" w:cs="Times New Roman"/>
          <w:i/>
          <w:color w:val="auto"/>
        </w:rPr>
        <w:t>Storm surge reduction by mangroves</w:t>
      </w:r>
      <w:r w:rsidRPr="009B0448">
        <w:rPr>
          <w:rFonts w:ascii="Times New Roman" w:eastAsiaTheme="minorHAnsi" w:hAnsi="Times New Roman" w:cs="Times New Roman"/>
          <w:color w:val="auto"/>
        </w:rPr>
        <w:t xml:space="preserve">. Cambridge, UK: The Nature Conservancy. Retrieved from </w:t>
      </w:r>
      <w:hyperlink r:id="rId1346" w:history="1">
        <w:r w:rsidRPr="009B0448">
          <w:rPr>
            <w:rStyle w:val="Hyperlink"/>
            <w:rFonts w:ascii="Times New Roman" w:hAnsi="Times New Roman" w:cs="Times New Roman"/>
          </w:rPr>
          <w:t>http://www.innovators2015.com/Resources/storm-surge-reduction-by-mangroves-report.pdf</w:t>
        </w:r>
      </w:hyperlink>
      <w:r w:rsidRPr="009B0448">
        <w:rPr>
          <w:rFonts w:ascii="Times New Roman" w:hAnsi="Times New Roman" w:cs="Times New Roman"/>
        </w:rPr>
        <w:t xml:space="preserve"> </w:t>
      </w:r>
    </w:p>
    <w:p w14:paraId="3D76BFA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McNaughton, S. J., Ruess, R. W., &amp; Seagle, S. W. (1988). Large mammals and process dynamics in African Ecosystems: Herbivorous mammals affect primary procutivity and regulate recycling balances. </w:t>
      </w:r>
      <w:r w:rsidRPr="009B0448">
        <w:rPr>
          <w:rFonts w:ascii="Times New Roman" w:hAnsi="Times New Roman" w:cs="Times New Roman"/>
          <w:i/>
          <w:color w:val="auto"/>
        </w:rPr>
        <w:t>BioScience, 38</w:t>
      </w:r>
      <w:r w:rsidRPr="009B0448">
        <w:rPr>
          <w:rFonts w:ascii="Times New Roman" w:hAnsi="Times New Roman" w:cs="Times New Roman"/>
          <w:color w:val="auto"/>
        </w:rPr>
        <w:t>(11), 794</w:t>
      </w:r>
      <w:r w:rsidRPr="009B0448">
        <w:rPr>
          <w:rFonts w:ascii="Times New Roman" w:eastAsiaTheme="minorHAnsi" w:hAnsi="Times New Roman" w:cs="Times New Roman"/>
          <w:color w:val="auto"/>
        </w:rPr>
        <w:t>–</w:t>
      </w:r>
      <w:r w:rsidRPr="009B0448">
        <w:rPr>
          <w:rFonts w:ascii="Times New Roman" w:hAnsi="Times New Roman" w:cs="Times New Roman"/>
          <w:color w:val="auto"/>
        </w:rPr>
        <w:t>800.</w:t>
      </w:r>
      <w:r w:rsidRPr="009B0448">
        <w:rPr>
          <w:rFonts w:ascii="Times New Roman" w:hAnsi="Times New Roman" w:cs="Times New Roman"/>
        </w:rPr>
        <w:t xml:space="preserve"> </w:t>
      </w:r>
      <w:hyperlink r:id="rId1347" w:history="1">
        <w:r w:rsidRPr="009B0448">
          <w:rPr>
            <w:rStyle w:val="Hyperlink"/>
            <w:rFonts w:ascii="Times New Roman" w:hAnsi="Times New Roman" w:cs="Times New Roman"/>
          </w:rPr>
          <w:t>https://doi.org/10.2307/1310789</w:t>
        </w:r>
      </w:hyperlink>
    </w:p>
    <w:p w14:paraId="0FA3E07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Mdegela, R. H., Mbuthia, P. G., Byarugaba, D. K., Mtenga, K., &amp; Kamundia, P. W. (2010). </w:t>
      </w:r>
      <w:r w:rsidRPr="009B0448">
        <w:rPr>
          <w:rFonts w:ascii="Times New Roman" w:hAnsi="Times New Roman" w:cs="Times New Roman"/>
          <w:i/>
          <w:color w:val="auto"/>
        </w:rPr>
        <w:t>Assessment of possible sources of endocrine disruptors and microbial pathogens and their impacts in the Lake Victoria Basin in the East African region</w:t>
      </w:r>
      <w:r w:rsidRPr="009B0448">
        <w:rPr>
          <w:rFonts w:ascii="Times New Roman" w:hAnsi="Times New Roman" w:cs="Times New Roman"/>
          <w:color w:val="auto"/>
        </w:rPr>
        <w:t>. Uganda:</w:t>
      </w:r>
      <w:r w:rsidRPr="009B0448">
        <w:rPr>
          <w:rFonts w:ascii="Times New Roman" w:hAnsi="Times New Roman" w:cs="Times New Roman"/>
        </w:rPr>
        <w:t xml:space="preserve"> </w:t>
      </w:r>
      <w:r w:rsidRPr="009B0448">
        <w:rPr>
          <w:rFonts w:ascii="Times New Roman" w:hAnsi="Times New Roman" w:cs="Times New Roman"/>
          <w:color w:val="auto"/>
        </w:rPr>
        <w:t xml:space="preserve">Fisheries &amp; Aquaculture Cluster Proceedings. Retrieved from </w:t>
      </w:r>
      <w:hyperlink r:id="rId1348" w:history="1">
        <w:r w:rsidRPr="009B0448">
          <w:rPr>
            <w:rStyle w:val="Hyperlink"/>
            <w:rFonts w:ascii="Times New Roman" w:hAnsi="Times New Roman" w:cs="Times New Roman"/>
          </w:rPr>
          <w:t>http://www.suaire.suanet.ac.tz:8080/xmlui/handle/123456789/1377</w:t>
        </w:r>
      </w:hyperlink>
      <w:r w:rsidRPr="009B0448">
        <w:rPr>
          <w:rFonts w:ascii="Times New Roman" w:hAnsi="Times New Roman" w:cs="Times New Roman"/>
        </w:rPr>
        <w:t xml:space="preserve"> </w:t>
      </w:r>
    </w:p>
    <w:p w14:paraId="1CE7B4F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Megevand, C., Mosnier, A., Sanders, K., Doetinchem, N., &amp; Streck, C. (2013). </w:t>
      </w:r>
      <w:r w:rsidRPr="009B0448">
        <w:rPr>
          <w:rFonts w:ascii="Times New Roman" w:hAnsi="Times New Roman" w:cs="Times New Roman"/>
          <w:i/>
          <w:color w:val="auto"/>
        </w:rPr>
        <w:t>Dynamiques de deforestation dans le bassin du Congo. Réconcilier la croissance économique et la conservation de la forêt. Banque Mondiale</w:t>
      </w:r>
      <w:r w:rsidRPr="009B0448">
        <w:rPr>
          <w:rFonts w:ascii="Times New Roman" w:hAnsi="Times New Roman" w:cs="Times New Roman"/>
          <w:color w:val="auto"/>
        </w:rPr>
        <w:t>.</w:t>
      </w:r>
      <w:r w:rsidRPr="009B0448">
        <w:rPr>
          <w:rFonts w:ascii="Times New Roman" w:hAnsi="Times New Roman" w:cs="Times New Roman"/>
        </w:rPr>
        <w:t xml:space="preserve"> </w:t>
      </w:r>
      <w:hyperlink r:id="rId1349" w:history="1">
        <w:r w:rsidRPr="009B0448">
          <w:rPr>
            <w:rStyle w:val="Hyperlink"/>
            <w:rFonts w:ascii="Times New Roman" w:hAnsi="Times New Roman" w:cs="Times New Roman"/>
          </w:rPr>
          <w:t>https://doi.org/10.1596/978-0-8213-9827-2</w:t>
        </w:r>
      </w:hyperlink>
      <w:r w:rsidRPr="009B0448">
        <w:rPr>
          <w:rFonts w:ascii="Times New Roman" w:hAnsi="Times New Roman" w:cs="Times New Roman"/>
          <w:color w:val="auto"/>
        </w:rPr>
        <w:t xml:space="preserve"> </w:t>
      </w:r>
    </w:p>
    <w:p w14:paraId="001618E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Meinert, W., de Merode, E., Homewood, K., &amp; Cowlishaw, C. (2003). The value of bushmeat and other wild foods to rural households living in extreme poverty in the Democratic Republic of the Congo. </w:t>
      </w:r>
      <w:r w:rsidRPr="009B0448">
        <w:rPr>
          <w:rFonts w:ascii="Times New Roman" w:hAnsi="Times New Roman" w:cs="Times New Roman"/>
          <w:i/>
          <w:color w:val="auto"/>
        </w:rPr>
        <w:t>Biological Conservation, 118</w:t>
      </w:r>
      <w:r w:rsidRPr="009B0448">
        <w:rPr>
          <w:rFonts w:ascii="Times New Roman" w:hAnsi="Times New Roman" w:cs="Times New Roman"/>
          <w:color w:val="auto"/>
        </w:rPr>
        <w:t>(5), 573</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581. </w:t>
      </w:r>
      <w:hyperlink r:id="rId1350" w:history="1">
        <w:r w:rsidRPr="009B0448">
          <w:rPr>
            <w:rStyle w:val="Hyperlink"/>
            <w:rFonts w:ascii="Times New Roman" w:hAnsi="Times New Roman" w:cs="Times New Roman"/>
          </w:rPr>
          <w:t>https://doi.org/10.1016/j.biocon.2003.10.005</w:t>
        </w:r>
      </w:hyperlink>
    </w:p>
    <w:p w14:paraId="6AC575E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Merbold, L., Ardö, J., Arneth, A., Scholes, R. J., Nouvellon, Y., de Grandcourt, A., Archibald, S., Bonnefond, J. M., Boulain, N., Brueggemann, N., Bruemmer, C., Cappelaere, B., Ceschai, E., El-Khidir, H. A. M., El-Tahir, B. A., Falk, U., Llyod, J., Kergoat, L., Le Dantec, V., Mougin, E., Muchinda, M., Mukelabai, M. M., Ramier, D., Roupsard, O., Timouk, E. M., Veenedaal, E. M., &amp; Kutsch, W. L. (2009). Precipitation as driver of carbon fluxes in 11 African ecosystems, </w:t>
      </w:r>
      <w:r w:rsidRPr="009B0448">
        <w:rPr>
          <w:rFonts w:ascii="Times New Roman" w:hAnsi="Times New Roman" w:cs="Times New Roman"/>
          <w:i/>
          <w:color w:val="auto"/>
        </w:rPr>
        <w:t>Biogeosciences, 6</w:t>
      </w:r>
      <w:r w:rsidRPr="009B0448">
        <w:rPr>
          <w:rFonts w:ascii="Times New Roman" w:hAnsi="Times New Roman" w:cs="Times New Roman"/>
          <w:color w:val="auto"/>
        </w:rPr>
        <w:t xml:space="preserve">, 1027–1041. </w:t>
      </w:r>
      <w:hyperlink r:id="rId1351" w:history="1">
        <w:r w:rsidRPr="009B0448">
          <w:rPr>
            <w:rStyle w:val="Hyperlink"/>
            <w:rFonts w:ascii="Times New Roman" w:hAnsi="Times New Roman" w:cs="Times New Roman"/>
          </w:rPr>
          <w:t>https://doi.org/10.5194/bg-6-1027-2009</w:t>
        </w:r>
      </w:hyperlink>
    </w:p>
    <w:p w14:paraId="344A37E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Midgley, G. F., &amp; Thuiller, W. (2007). Potential vulnerability of Namaqualand plant diversity to anthropogenic climate change. </w:t>
      </w:r>
      <w:r w:rsidRPr="009B0448">
        <w:rPr>
          <w:rFonts w:ascii="Times New Roman" w:hAnsi="Times New Roman" w:cs="Times New Roman"/>
          <w:i/>
          <w:color w:val="auto"/>
        </w:rPr>
        <w:t>Journal of Arid Environments, 70</w:t>
      </w:r>
      <w:r w:rsidRPr="009B0448">
        <w:rPr>
          <w:rFonts w:ascii="Times New Roman" w:hAnsi="Times New Roman" w:cs="Times New Roman"/>
          <w:color w:val="auto"/>
        </w:rPr>
        <w:t>, 615</w:t>
      </w:r>
      <w:r w:rsidRPr="009B0448">
        <w:rPr>
          <w:rFonts w:ascii="Times New Roman" w:eastAsiaTheme="minorHAnsi" w:hAnsi="Times New Roman" w:cs="Times New Roman"/>
          <w:color w:val="auto"/>
        </w:rPr>
        <w:t>–</w:t>
      </w:r>
      <w:r w:rsidRPr="009B0448">
        <w:rPr>
          <w:rFonts w:ascii="Times New Roman" w:hAnsi="Times New Roman" w:cs="Times New Roman"/>
          <w:color w:val="auto"/>
        </w:rPr>
        <w:t>628.</w:t>
      </w:r>
      <w:r w:rsidRPr="009B0448">
        <w:rPr>
          <w:rFonts w:ascii="Times New Roman" w:hAnsi="Times New Roman" w:cs="Times New Roman"/>
        </w:rPr>
        <w:t xml:space="preserve"> </w:t>
      </w:r>
      <w:hyperlink r:id="rId1352" w:history="1">
        <w:r w:rsidRPr="009B0448">
          <w:rPr>
            <w:rStyle w:val="Hyperlink"/>
            <w:rFonts w:ascii="Times New Roman" w:hAnsi="Times New Roman" w:cs="Times New Roman"/>
          </w:rPr>
          <w:t>https://doi.org/10.1016/j.ja</w:t>
        </w:r>
        <w:r w:rsidRPr="009B0448">
          <w:rPr>
            <w:rStyle w:val="Hyperlink"/>
            <w:rFonts w:ascii="Times New Roman" w:hAnsi="Times New Roman" w:cs="Times New Roman"/>
            <w:color w:val="0070C0"/>
          </w:rPr>
          <w:t>ridenv.200</w:t>
        </w:r>
        <w:r w:rsidRPr="009B0448">
          <w:rPr>
            <w:rStyle w:val="Hyperlink"/>
            <w:rFonts w:ascii="Times New Roman" w:hAnsi="Times New Roman" w:cs="Times New Roman"/>
          </w:rPr>
          <w:t>6.11.020</w:t>
        </w:r>
      </w:hyperlink>
    </w:p>
    <w:p w14:paraId="1E4E832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Midgley, G. F., &amp; Bond, W. (2015). Future of African terrestrial biodiversity and ecosystems under anthropogenic climate change</w:t>
      </w:r>
      <w:r w:rsidRPr="009B0448">
        <w:rPr>
          <w:rFonts w:ascii="Times New Roman" w:hAnsi="Times New Roman" w:cs="Times New Roman"/>
          <w:i/>
          <w:color w:val="auto"/>
        </w:rPr>
        <w:t>. Nature Climate Change, 5</w:t>
      </w:r>
      <w:r w:rsidRPr="009B0448">
        <w:rPr>
          <w:rFonts w:ascii="Times New Roman" w:hAnsi="Times New Roman" w:cs="Times New Roman"/>
          <w:color w:val="auto"/>
        </w:rPr>
        <w:t>, 823</w:t>
      </w:r>
      <w:r w:rsidRPr="009B0448">
        <w:rPr>
          <w:rFonts w:ascii="Times New Roman" w:eastAsiaTheme="minorHAnsi" w:hAnsi="Times New Roman" w:cs="Times New Roman"/>
          <w:color w:val="auto"/>
        </w:rPr>
        <w:t>–</w:t>
      </w:r>
      <w:r w:rsidRPr="009B0448">
        <w:rPr>
          <w:rFonts w:ascii="Times New Roman" w:hAnsi="Times New Roman" w:cs="Times New Roman"/>
          <w:color w:val="auto"/>
        </w:rPr>
        <w:t>829.</w:t>
      </w:r>
      <w:r w:rsidRPr="009B0448">
        <w:rPr>
          <w:rFonts w:ascii="Times New Roman" w:hAnsi="Times New Roman" w:cs="Times New Roman"/>
          <w:lang w:val="de-DE"/>
        </w:rPr>
        <w:t xml:space="preserve"> </w:t>
      </w:r>
      <w:hyperlink r:id="rId1353" w:history="1">
        <w:r w:rsidRPr="009B0448">
          <w:rPr>
            <w:rStyle w:val="Hyperlink"/>
            <w:rFonts w:ascii="Times New Roman" w:hAnsi="Times New Roman" w:cs="Times New Roman"/>
          </w:rPr>
          <w:t>https://doi.org/10.1038/nclimate2753</w:t>
        </w:r>
      </w:hyperlink>
      <w:r w:rsidRPr="009B0448">
        <w:rPr>
          <w:rFonts w:ascii="Times New Roman" w:hAnsi="Times New Roman" w:cs="Times New Roman"/>
          <w:color w:val="auto"/>
        </w:rPr>
        <w:t xml:space="preserve"> </w:t>
      </w:r>
    </w:p>
    <w:p w14:paraId="4509ABBC" w14:textId="77777777" w:rsidR="009B0448" w:rsidRPr="009B0448" w:rsidRDefault="009B0448" w:rsidP="009B0448">
      <w:pPr>
        <w:pStyle w:val="NoSpacing"/>
        <w:spacing w:after="120" w:line="276" w:lineRule="auto"/>
        <w:ind w:left="567" w:hanging="567"/>
        <w:rPr>
          <w:rStyle w:val="Hyperlink"/>
          <w:rFonts w:ascii="Times New Roman" w:eastAsiaTheme="minorHAnsi" w:hAnsi="Times New Roman" w:cs="Times New Roman"/>
          <w:color w:val="auto"/>
        </w:rPr>
      </w:pPr>
      <w:r w:rsidRPr="009B0448">
        <w:rPr>
          <w:rFonts w:ascii="Times New Roman" w:eastAsiaTheme="minorHAnsi" w:hAnsi="Times New Roman" w:cs="Times New Roman"/>
          <w:color w:val="auto"/>
        </w:rPr>
        <w:t>Milchunas, D. G., Mosier, A. R., Morgan, J. A., LeCain, D. R., King, J. Y., &amp; Nelson, J. A. (2005). Elevated CO</w:t>
      </w:r>
      <w:r w:rsidRPr="009B0448">
        <w:rPr>
          <w:rFonts w:ascii="Times New Roman" w:eastAsiaTheme="minorHAnsi" w:hAnsi="Times New Roman" w:cs="Times New Roman"/>
          <w:color w:val="auto"/>
          <w:vertAlign w:val="subscript"/>
        </w:rPr>
        <w:t>2</w:t>
      </w:r>
      <w:r w:rsidRPr="009B0448">
        <w:rPr>
          <w:rFonts w:ascii="Times New Roman" w:eastAsiaTheme="minorHAnsi" w:hAnsi="Times New Roman" w:cs="Times New Roman"/>
          <w:color w:val="auto"/>
        </w:rPr>
        <w:t xml:space="preserve"> and defoliation effects on a shortgrass steppe: Forage quality versus quantity for ruminants. </w:t>
      </w:r>
      <w:r w:rsidRPr="009B0448">
        <w:rPr>
          <w:rFonts w:ascii="Times New Roman" w:eastAsiaTheme="minorHAnsi" w:hAnsi="Times New Roman" w:cs="Times New Roman"/>
          <w:i/>
          <w:color w:val="auto"/>
        </w:rPr>
        <w:t>Agriculture, Ecosystems and Environment, 111</w:t>
      </w:r>
      <w:r w:rsidRPr="009B0448">
        <w:rPr>
          <w:rFonts w:ascii="Times New Roman" w:eastAsiaTheme="minorHAnsi" w:hAnsi="Times New Roman" w:cs="Times New Roman"/>
          <w:color w:val="auto"/>
        </w:rPr>
        <w:t xml:space="preserve">, 166–184. </w:t>
      </w:r>
      <w:hyperlink r:id="rId1354" w:history="1">
        <w:r w:rsidRPr="009B0448">
          <w:rPr>
            <w:rStyle w:val="Hyperlink"/>
            <w:rFonts w:ascii="Times New Roman" w:eastAsiaTheme="minorHAnsi" w:hAnsi="Times New Roman" w:cs="Times New Roman"/>
            <w:color w:val="0070C0"/>
          </w:rPr>
          <w:t>https://doi.org/10.1016/j.agee.2005.06.014</w:t>
        </w:r>
      </w:hyperlink>
    </w:p>
    <w:p w14:paraId="1F0E12DB" w14:textId="77777777" w:rsidR="009B0448" w:rsidRPr="009B0448" w:rsidRDefault="009B0448" w:rsidP="009B0448">
      <w:pPr>
        <w:autoSpaceDE w:val="0"/>
        <w:autoSpaceDN w:val="0"/>
        <w:adjustRightInd w:val="0"/>
        <w:spacing w:after="120" w:line="276" w:lineRule="auto"/>
        <w:ind w:left="567" w:hanging="567"/>
        <w:rPr>
          <w:rFonts w:ascii="Times New Roman" w:hAnsi="Times New Roman" w:cs="Times New Roman"/>
        </w:rPr>
      </w:pPr>
      <w:r w:rsidRPr="009B0448">
        <w:rPr>
          <w:rFonts w:ascii="Times New Roman" w:hAnsi="Times New Roman" w:cs="Times New Roman"/>
          <w:color w:val="auto"/>
        </w:rPr>
        <w:t xml:space="preserve">MA. (2005). </w:t>
      </w:r>
      <w:r w:rsidRPr="009B0448">
        <w:rPr>
          <w:rFonts w:ascii="Times New Roman" w:hAnsi="Times New Roman" w:cs="Times New Roman"/>
          <w:i/>
          <w:color w:val="auto"/>
        </w:rPr>
        <w:t>Ecosystems and human well-being: a framework for assessment millennium ecosystem assessment</w:t>
      </w:r>
      <w:r w:rsidRPr="009B0448">
        <w:rPr>
          <w:rFonts w:ascii="Times New Roman" w:hAnsi="Times New Roman" w:cs="Times New Roman"/>
          <w:color w:val="auto"/>
        </w:rPr>
        <w:t xml:space="preserve">. Washington, DC: Island Press. Retrieved from </w:t>
      </w:r>
      <w:hyperlink r:id="rId1355" w:history="1">
        <w:r w:rsidRPr="009B0448">
          <w:rPr>
            <w:rStyle w:val="Hyperlink"/>
            <w:rFonts w:ascii="Times New Roman" w:hAnsi="Times New Roman" w:cs="Times New Roman"/>
          </w:rPr>
          <w:t>http://pdf.wri.org/ecosystems_human_wellbeing.pdf</w:t>
        </w:r>
      </w:hyperlink>
      <w:r w:rsidRPr="009B0448">
        <w:rPr>
          <w:rFonts w:ascii="Times New Roman" w:hAnsi="Times New Roman" w:cs="Times New Roman"/>
          <w:color w:val="auto"/>
        </w:rPr>
        <w:t xml:space="preserve"> </w:t>
      </w:r>
    </w:p>
    <w:p w14:paraId="79F620F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Miller</w:t>
      </w:r>
      <w:r w:rsidRPr="009B0448">
        <w:rPr>
          <w:rFonts w:ascii="Cambria Math" w:eastAsiaTheme="minorHAnsi" w:hAnsi="Cambria Math" w:cs="Cambria Math"/>
          <w:color w:val="auto"/>
        </w:rPr>
        <w:t>‐</w:t>
      </w:r>
      <w:r w:rsidRPr="009B0448">
        <w:rPr>
          <w:rFonts w:ascii="Times New Roman" w:eastAsiaTheme="minorHAnsi" w:hAnsi="Times New Roman" w:cs="Times New Roman"/>
          <w:color w:val="auto"/>
        </w:rPr>
        <w:t>Rushing, A. J., Lloyd</w:t>
      </w:r>
      <w:r w:rsidRPr="009B0448">
        <w:rPr>
          <w:rFonts w:ascii="Cambria Math" w:eastAsiaTheme="minorHAnsi" w:hAnsi="Cambria Math" w:cs="Cambria Math"/>
          <w:color w:val="auto"/>
        </w:rPr>
        <w:t>‐</w:t>
      </w:r>
      <w:r w:rsidRPr="009B0448">
        <w:rPr>
          <w:rFonts w:ascii="Times New Roman" w:eastAsiaTheme="minorHAnsi" w:hAnsi="Times New Roman" w:cs="Times New Roman"/>
          <w:color w:val="auto"/>
        </w:rPr>
        <w:t xml:space="preserve">Evans, T. L., Primack, R. B., &amp; Satzinger, P. (2008). Bird migration times, climate change, and changing population sizes. </w:t>
      </w:r>
      <w:r w:rsidRPr="009B0448">
        <w:rPr>
          <w:rFonts w:ascii="Times New Roman" w:eastAsiaTheme="minorHAnsi" w:hAnsi="Times New Roman" w:cs="Times New Roman"/>
          <w:i/>
          <w:color w:val="auto"/>
        </w:rPr>
        <w:t>Global Change Biology, 14(9</w:t>
      </w:r>
      <w:r w:rsidRPr="009B0448">
        <w:rPr>
          <w:rFonts w:ascii="Times New Roman" w:eastAsiaTheme="minorHAnsi" w:hAnsi="Times New Roman" w:cs="Times New Roman"/>
          <w:color w:val="auto"/>
        </w:rPr>
        <w:t>), 1959–1972.</w:t>
      </w:r>
      <w:r w:rsidRPr="009B0448">
        <w:rPr>
          <w:rFonts w:ascii="Times New Roman" w:hAnsi="Times New Roman" w:cs="Times New Roman"/>
        </w:rPr>
        <w:t xml:space="preserve"> </w:t>
      </w:r>
      <w:hyperlink r:id="rId1356" w:history="1">
        <w:r w:rsidRPr="009B0448">
          <w:rPr>
            <w:rStyle w:val="Hyperlink"/>
            <w:rFonts w:ascii="Times New Roman" w:eastAsiaTheme="minorHAnsi" w:hAnsi="Times New Roman" w:cs="Times New Roman"/>
          </w:rPr>
          <w:t>https://doi.org/10.1111/j.1365-2486.2008.01619.x</w:t>
        </w:r>
      </w:hyperlink>
      <w:r w:rsidRPr="009B0448">
        <w:rPr>
          <w:rFonts w:ascii="Times New Roman" w:eastAsiaTheme="minorHAnsi" w:hAnsi="Times New Roman" w:cs="Times New Roman"/>
          <w:color w:val="auto"/>
        </w:rPr>
        <w:t xml:space="preserve"> </w:t>
      </w:r>
    </w:p>
    <w:p w14:paraId="725A9F0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Moleele, N. M., Ringrose, S., Matheson, W., &amp; Vanderpost, C. (2002). More woody plants? The status of encroachment in Botswana’s grazing areas. </w:t>
      </w:r>
      <w:r w:rsidRPr="009B0448">
        <w:rPr>
          <w:rFonts w:ascii="Times New Roman" w:hAnsi="Times New Roman" w:cs="Times New Roman"/>
          <w:i/>
          <w:color w:val="auto"/>
        </w:rPr>
        <w:t>Journal of Environmental Management, 64</w:t>
      </w:r>
      <w:r w:rsidRPr="009B0448">
        <w:rPr>
          <w:rFonts w:ascii="Times New Roman" w:hAnsi="Times New Roman" w:cs="Times New Roman"/>
          <w:color w:val="auto"/>
        </w:rPr>
        <w:t>(1), 3</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11. </w:t>
      </w:r>
      <w:hyperlink r:id="rId1357" w:history="1">
        <w:r w:rsidRPr="009B0448">
          <w:rPr>
            <w:rStyle w:val="Hyperlink"/>
            <w:rFonts w:ascii="Times New Roman" w:hAnsi="Times New Roman" w:cs="Times New Roman"/>
          </w:rPr>
          <w:t>https://doi.org/10.1006/jema.2001.0486</w:t>
        </w:r>
      </w:hyperlink>
    </w:p>
    <w:p w14:paraId="1993DBE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Moll, E. J., &amp; Trinder-Smith, T. (1992). Invasion and control of alien woody plants on the Cape Peninsula mountains, South Africa</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30 years on. </w:t>
      </w:r>
      <w:r w:rsidRPr="009B0448">
        <w:rPr>
          <w:rFonts w:ascii="Times New Roman" w:hAnsi="Times New Roman" w:cs="Times New Roman"/>
          <w:i/>
          <w:color w:val="auto"/>
        </w:rPr>
        <w:t>Biological Conservation, 60</w:t>
      </w:r>
      <w:r w:rsidRPr="009B0448">
        <w:rPr>
          <w:rFonts w:ascii="Times New Roman" w:hAnsi="Times New Roman" w:cs="Times New Roman"/>
          <w:color w:val="auto"/>
        </w:rPr>
        <w:t>, 135</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143. </w:t>
      </w:r>
      <w:hyperlink r:id="rId1358" w:history="1">
        <w:r w:rsidRPr="009B0448">
          <w:rPr>
            <w:rStyle w:val="Hyperlink"/>
            <w:rFonts w:ascii="Times New Roman" w:hAnsi="Times New Roman" w:cs="Times New Roman"/>
          </w:rPr>
          <w:t>https://doi.org/10.1016/0006-3207(92)91164-N</w:t>
        </w:r>
      </w:hyperlink>
    </w:p>
    <w:p w14:paraId="58674F2E"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Msuha, J. M., Carbone, C., Pettorelli, N., &amp; Durant, S. M. (2012). Conserving biodiversity in a changing world: Land-use change and species richness in northern Tanzania. </w:t>
      </w:r>
      <w:r w:rsidRPr="009B0448">
        <w:rPr>
          <w:rFonts w:ascii="Times New Roman" w:hAnsi="Times New Roman" w:cs="Times New Roman"/>
          <w:i/>
          <w:color w:val="auto"/>
        </w:rPr>
        <w:t>Biodiversity Conservation, 21</w:t>
      </w:r>
      <w:r w:rsidRPr="009B0448">
        <w:rPr>
          <w:rFonts w:ascii="Times New Roman" w:hAnsi="Times New Roman" w:cs="Times New Roman"/>
          <w:color w:val="auto"/>
        </w:rPr>
        <w:t>, 2747</w:t>
      </w:r>
      <w:r w:rsidRPr="009B0448">
        <w:rPr>
          <w:rFonts w:ascii="Times New Roman" w:eastAsiaTheme="minorHAnsi" w:hAnsi="Times New Roman" w:cs="Times New Roman"/>
          <w:color w:val="auto"/>
        </w:rPr>
        <w:t>–</w:t>
      </w:r>
      <w:r w:rsidRPr="009B0448">
        <w:rPr>
          <w:rFonts w:ascii="Times New Roman" w:hAnsi="Times New Roman" w:cs="Times New Roman"/>
          <w:color w:val="auto"/>
        </w:rPr>
        <w:t>2759.</w:t>
      </w:r>
      <w:r w:rsidRPr="009B0448">
        <w:rPr>
          <w:rFonts w:ascii="Times New Roman" w:hAnsi="Times New Roman" w:cs="Times New Roman"/>
        </w:rPr>
        <w:t xml:space="preserve"> </w:t>
      </w:r>
      <w:hyperlink r:id="rId1359" w:history="1">
        <w:r w:rsidRPr="009B0448">
          <w:rPr>
            <w:rStyle w:val="Hyperlink"/>
            <w:rFonts w:ascii="Times New Roman" w:hAnsi="Times New Roman" w:cs="Times New Roman"/>
          </w:rPr>
          <w:t>https://doi.org/10.1007/s10531-012-0331-1</w:t>
        </w:r>
      </w:hyperlink>
      <w:r w:rsidRPr="009B0448">
        <w:rPr>
          <w:rFonts w:ascii="Times New Roman" w:hAnsi="Times New Roman" w:cs="Times New Roman"/>
          <w:color w:val="auto"/>
        </w:rPr>
        <w:t xml:space="preserve"> </w:t>
      </w:r>
    </w:p>
    <w:p w14:paraId="0E558F0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Msuya, N., Masanja, E., &amp; Temu, A. K. (2011). Environmental burden of charcoal production and use in Dar es Salaam, Tanzania. </w:t>
      </w:r>
      <w:r w:rsidRPr="009B0448">
        <w:rPr>
          <w:rFonts w:ascii="Times New Roman" w:hAnsi="Times New Roman" w:cs="Times New Roman"/>
          <w:i/>
          <w:color w:val="auto"/>
        </w:rPr>
        <w:t>Journal of Environmental Protection, 2,</w:t>
      </w:r>
      <w:r w:rsidRPr="009B0448">
        <w:rPr>
          <w:rFonts w:ascii="Times New Roman" w:hAnsi="Times New Roman" w:cs="Times New Roman"/>
          <w:color w:val="auto"/>
        </w:rPr>
        <w:t xml:space="preserve"> 1364</w:t>
      </w:r>
      <w:r w:rsidRPr="009B0448">
        <w:rPr>
          <w:rFonts w:ascii="Times New Roman" w:eastAsiaTheme="minorHAnsi" w:hAnsi="Times New Roman" w:cs="Times New Roman"/>
          <w:color w:val="auto"/>
        </w:rPr>
        <w:t>–</w:t>
      </w:r>
      <w:r w:rsidRPr="009B0448">
        <w:rPr>
          <w:rFonts w:ascii="Times New Roman" w:hAnsi="Times New Roman" w:cs="Times New Roman"/>
          <w:color w:val="auto"/>
        </w:rPr>
        <w:t>1369.</w:t>
      </w:r>
      <w:r w:rsidRPr="009B0448">
        <w:rPr>
          <w:rFonts w:ascii="Times New Roman" w:hAnsi="Times New Roman" w:cs="Times New Roman"/>
        </w:rPr>
        <w:t xml:space="preserve"> </w:t>
      </w:r>
      <w:hyperlink r:id="rId1360" w:history="1">
        <w:r w:rsidRPr="009B0448">
          <w:rPr>
            <w:rStyle w:val="Hyperlink"/>
            <w:rFonts w:ascii="Times New Roman" w:hAnsi="Times New Roman" w:cs="Times New Roman"/>
          </w:rPr>
          <w:t>https://doi.org/10.4236/jep.2011.210158</w:t>
        </w:r>
      </w:hyperlink>
      <w:r w:rsidRPr="009B0448">
        <w:rPr>
          <w:rFonts w:ascii="Times New Roman" w:hAnsi="Times New Roman" w:cs="Times New Roman"/>
          <w:color w:val="auto"/>
        </w:rPr>
        <w:t xml:space="preserve"> </w:t>
      </w:r>
    </w:p>
    <w:p w14:paraId="035BAD1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Muchane, M. N., Karanja, D., Wambugu, G. M., Mutahi, J. M., Masiga, C. W., Mugoya, C., &amp; Muchai, M. (2012). Land-use practices and their implications on soil macro-fauna in Maasai Mara ecosystem. </w:t>
      </w:r>
      <w:r w:rsidRPr="009B0448">
        <w:rPr>
          <w:rFonts w:ascii="Times New Roman" w:hAnsi="Times New Roman" w:cs="Times New Roman"/>
          <w:i/>
          <w:color w:val="auto"/>
        </w:rPr>
        <w:t>International Journal of Biodiversity and Conservation, 4</w:t>
      </w:r>
      <w:r w:rsidRPr="009B0448">
        <w:rPr>
          <w:rFonts w:ascii="Times New Roman" w:hAnsi="Times New Roman" w:cs="Times New Roman"/>
          <w:color w:val="auto"/>
        </w:rPr>
        <w:t>(13), 500</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514. </w:t>
      </w:r>
      <w:hyperlink r:id="rId1361" w:history="1">
        <w:r w:rsidRPr="009B0448">
          <w:rPr>
            <w:rStyle w:val="Hyperlink"/>
            <w:rFonts w:ascii="Times New Roman" w:hAnsi="Times New Roman" w:cs="Times New Roman"/>
          </w:rPr>
          <w:t>https://doi.org/10.5897/IJBC12.030</w:t>
        </w:r>
      </w:hyperlink>
      <w:r w:rsidRPr="009B0448">
        <w:rPr>
          <w:rFonts w:ascii="Times New Roman" w:hAnsi="Times New Roman" w:cs="Times New Roman"/>
          <w:color w:val="auto"/>
        </w:rPr>
        <w:t xml:space="preserve"> </w:t>
      </w:r>
    </w:p>
    <w:p w14:paraId="6F0B5C9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Mucina, L., &amp; Rutherford, M. C. (2006). </w:t>
      </w:r>
      <w:r w:rsidRPr="009B0448">
        <w:rPr>
          <w:rFonts w:ascii="Times New Roman" w:eastAsiaTheme="minorHAnsi" w:hAnsi="Times New Roman" w:cs="Times New Roman"/>
          <w:i/>
          <w:color w:val="auto"/>
        </w:rPr>
        <w:t>The vegetation of South Africa, Lesotho and Swaziland</w:t>
      </w:r>
      <w:r w:rsidRPr="009B0448">
        <w:rPr>
          <w:rFonts w:ascii="Times New Roman" w:eastAsiaTheme="minorHAnsi" w:hAnsi="Times New Roman" w:cs="Times New Roman"/>
          <w:color w:val="auto"/>
        </w:rPr>
        <w:t xml:space="preserve">. </w:t>
      </w:r>
      <w:r w:rsidRPr="009B0448">
        <w:rPr>
          <w:rFonts w:ascii="Times New Roman" w:eastAsiaTheme="minorHAnsi" w:hAnsi="Times New Roman" w:cs="Times New Roman"/>
          <w:i/>
          <w:color w:val="auto"/>
        </w:rPr>
        <w:t>Strelitzia</w:t>
      </w:r>
      <w:r w:rsidRPr="009B0448">
        <w:rPr>
          <w:rFonts w:ascii="Times New Roman" w:eastAsiaTheme="minorHAnsi" w:hAnsi="Times New Roman" w:cs="Times New Roman"/>
          <w:color w:val="auto"/>
        </w:rPr>
        <w:t xml:space="preserve">, 19. Pretoria, South Africa: SANBI. Retrieved from </w:t>
      </w:r>
      <w:hyperlink r:id="rId1362" w:history="1">
        <w:r w:rsidRPr="009B0448">
          <w:rPr>
            <w:rStyle w:val="Hyperlink"/>
            <w:rFonts w:ascii="Times New Roman" w:eastAsiaTheme="minorHAnsi" w:hAnsi="Times New Roman" w:cs="Times New Roman"/>
          </w:rPr>
          <w:t>https://www.sanbi.org/wp-content/uploads/2018/05/Strelitzia-19.pdf</w:t>
        </w:r>
      </w:hyperlink>
      <w:r w:rsidRPr="009B0448">
        <w:rPr>
          <w:rFonts w:ascii="Times New Roman" w:eastAsiaTheme="minorHAnsi" w:hAnsi="Times New Roman" w:cs="Times New Roman"/>
          <w:color w:val="auto"/>
        </w:rPr>
        <w:t xml:space="preserve"> </w:t>
      </w:r>
    </w:p>
    <w:p w14:paraId="21ECBB0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Mugachia, J. C., Kanja, L., &amp; Gitau, F. (1992). Organochlorine pesticide-residues in fish from Lake Naivasha and Tana River, Kenya. </w:t>
      </w:r>
      <w:r w:rsidRPr="009B0448">
        <w:rPr>
          <w:rFonts w:ascii="Times New Roman" w:hAnsi="Times New Roman" w:cs="Times New Roman"/>
          <w:i/>
          <w:color w:val="auto"/>
        </w:rPr>
        <w:t>Bulletin of Environmental Contamination and Toxicology, 49</w:t>
      </w:r>
      <w:r w:rsidRPr="009B0448">
        <w:rPr>
          <w:rFonts w:ascii="Times New Roman" w:hAnsi="Times New Roman" w:cs="Times New Roman"/>
          <w:color w:val="auto"/>
        </w:rPr>
        <w:t>(2), 207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210. Retrieved from </w:t>
      </w:r>
      <w:hyperlink r:id="rId1363" w:history="1">
        <w:r w:rsidRPr="009B0448">
          <w:rPr>
            <w:rStyle w:val="Hyperlink"/>
            <w:rFonts w:ascii="Times New Roman" w:hAnsi="Times New Roman" w:cs="Times New Roman"/>
          </w:rPr>
          <w:t>https://www.ncbi.nlm.nih.gov/pubmed/1611241</w:t>
        </w:r>
      </w:hyperlink>
      <w:r w:rsidRPr="009B0448">
        <w:rPr>
          <w:rFonts w:ascii="Times New Roman" w:hAnsi="Times New Roman" w:cs="Times New Roman"/>
          <w:color w:val="auto"/>
        </w:rPr>
        <w:t xml:space="preserve"> </w:t>
      </w:r>
    </w:p>
    <w:p w14:paraId="11D05DE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Muhumuza, M., &amp; Balkwill, K. (2013). Factors affecting the success of conserving biodiversity in national parks</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A review of case studies from Africa marine protected areas. </w:t>
      </w:r>
      <w:r w:rsidRPr="009B0448">
        <w:rPr>
          <w:rFonts w:ascii="Times New Roman" w:hAnsi="Times New Roman" w:cs="Times New Roman"/>
          <w:i/>
          <w:color w:val="auto"/>
        </w:rPr>
        <w:t>International Journal of Biodiversity, 2013</w:t>
      </w:r>
      <w:r w:rsidRPr="009B0448">
        <w:rPr>
          <w:rFonts w:ascii="Times New Roman" w:hAnsi="Times New Roman" w:cs="Times New Roman"/>
          <w:color w:val="auto"/>
        </w:rPr>
        <w:t>, 1</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20. </w:t>
      </w:r>
      <w:hyperlink r:id="rId1364" w:history="1">
        <w:r w:rsidRPr="009B0448">
          <w:rPr>
            <w:rStyle w:val="Hyperlink"/>
            <w:rFonts w:ascii="Times New Roman" w:hAnsi="Times New Roman" w:cs="Times New Roman"/>
          </w:rPr>
          <w:t>https://doi.org/10.1155/2013/798101</w:t>
        </w:r>
      </w:hyperlink>
      <w:r w:rsidRPr="009B0448">
        <w:rPr>
          <w:rFonts w:ascii="Times New Roman" w:hAnsi="Times New Roman" w:cs="Times New Roman"/>
          <w:color w:val="auto"/>
        </w:rPr>
        <w:t xml:space="preserve"> </w:t>
      </w:r>
    </w:p>
    <w:p w14:paraId="01AF36A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Mukasa, A. D., Mutambatsere, E., Arvanitis, Y., &amp; Triki, T. (2013). </w:t>
      </w:r>
      <w:r w:rsidRPr="009B0448">
        <w:rPr>
          <w:rFonts w:ascii="Times New Roman" w:hAnsi="Times New Roman" w:cs="Times New Roman"/>
          <w:i/>
          <w:color w:val="auto"/>
        </w:rPr>
        <w:t>Development of wind energy in Africa</w:t>
      </w:r>
      <w:r w:rsidRPr="009B0448">
        <w:rPr>
          <w:rFonts w:ascii="Times New Roman" w:hAnsi="Times New Roman" w:cs="Times New Roman"/>
          <w:color w:val="auto"/>
        </w:rPr>
        <w:t xml:space="preserve">. Tunis, Tunisia: AfDB. Retrieved from </w:t>
      </w:r>
      <w:hyperlink r:id="rId1365" w:history="1">
        <w:r w:rsidRPr="009B0448">
          <w:rPr>
            <w:rStyle w:val="Hyperlink"/>
            <w:rFonts w:ascii="Times New Roman" w:hAnsi="Times New Roman" w:cs="Times New Roman"/>
          </w:rPr>
          <w:t>https://www.afdb.org/fileadmin/uploads/afdb/Documents/Publications/Working%20Paper%20170%20-%20Development%20of%20Wind%20Energy%20in%20Africa.pdf</w:t>
        </w:r>
      </w:hyperlink>
      <w:r w:rsidRPr="009B0448">
        <w:rPr>
          <w:rFonts w:ascii="Times New Roman" w:hAnsi="Times New Roman" w:cs="Times New Roman"/>
          <w:color w:val="auto"/>
        </w:rPr>
        <w:t xml:space="preserve">  </w:t>
      </w:r>
    </w:p>
    <w:p w14:paraId="39D0159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Müller, C., Cramera, W., Harea, W. L., &amp; Lotze-Campena, H. (2011). Climate change risks for African agriculture. </w:t>
      </w:r>
      <w:r w:rsidRPr="009B0448">
        <w:rPr>
          <w:rFonts w:ascii="Times New Roman" w:eastAsiaTheme="minorHAnsi" w:hAnsi="Times New Roman" w:cs="Times New Roman"/>
          <w:i/>
          <w:color w:val="auto"/>
        </w:rPr>
        <w:t>Proceedings of the National Academy of Sciences of the United States of America, 108(11)</w:t>
      </w:r>
      <w:r w:rsidRPr="009B0448">
        <w:rPr>
          <w:rFonts w:ascii="Times New Roman" w:eastAsiaTheme="minorHAnsi" w:hAnsi="Times New Roman" w:cs="Times New Roman"/>
          <w:color w:val="auto"/>
        </w:rPr>
        <w:t xml:space="preserve">, 4313–4315. </w:t>
      </w:r>
      <w:hyperlink r:id="rId1366" w:history="1">
        <w:r w:rsidRPr="009B0448">
          <w:rPr>
            <w:rStyle w:val="Hyperlink"/>
            <w:rFonts w:ascii="Times New Roman" w:eastAsiaTheme="minorHAnsi" w:hAnsi="Times New Roman" w:cs="Times New Roman"/>
          </w:rPr>
          <w:t>https://doi.org/10.1073/pnas.1015078108</w:t>
        </w:r>
      </w:hyperlink>
      <w:r w:rsidRPr="009B0448">
        <w:rPr>
          <w:rFonts w:ascii="Times New Roman" w:eastAsiaTheme="minorHAnsi" w:hAnsi="Times New Roman" w:cs="Times New Roman"/>
          <w:color w:val="auto"/>
        </w:rPr>
        <w:t xml:space="preserve"> </w:t>
      </w:r>
    </w:p>
    <w:p w14:paraId="7ED9C7F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Munnik, V. (2010). </w:t>
      </w:r>
      <w:r w:rsidRPr="009B0448">
        <w:rPr>
          <w:rFonts w:ascii="Times New Roman" w:hAnsi="Times New Roman" w:cs="Times New Roman"/>
          <w:i/>
          <w:color w:val="auto"/>
        </w:rPr>
        <w:t xml:space="preserve">The social and environmental consequences of coal mining in South Africa. A case study. </w:t>
      </w:r>
      <w:r w:rsidRPr="009B0448">
        <w:rPr>
          <w:rFonts w:ascii="Times New Roman" w:hAnsi="Times New Roman" w:cs="Times New Roman"/>
          <w:color w:val="auto"/>
        </w:rPr>
        <w:t xml:space="preserve">Retrieved from </w:t>
      </w:r>
      <w:hyperlink r:id="rId1367" w:history="1">
        <w:r w:rsidRPr="009B0448">
          <w:rPr>
            <w:rStyle w:val="Hyperlink"/>
            <w:rFonts w:ascii="Times New Roman" w:hAnsi="Times New Roman" w:cs="Times New Roman"/>
          </w:rPr>
          <w:t>http://www.bothends.org/uploaded_files/uploadlibraryitem/1case_study_South_Africa_updated.pdf</w:t>
        </w:r>
      </w:hyperlink>
    </w:p>
    <w:p w14:paraId="03D8DB0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Mutia, T. M. (2010). </w:t>
      </w:r>
      <w:r w:rsidRPr="009B0448">
        <w:rPr>
          <w:rFonts w:ascii="Times New Roman" w:hAnsi="Times New Roman" w:cs="Times New Roman"/>
          <w:i/>
          <w:color w:val="auto"/>
        </w:rPr>
        <w:t>Biodiversity conservation and geothermal development</w:t>
      </w:r>
      <w:r w:rsidRPr="009B0448">
        <w:rPr>
          <w:rFonts w:ascii="Times New Roman" w:hAnsi="Times New Roman" w:cs="Times New Roman"/>
          <w:color w:val="auto"/>
        </w:rPr>
        <w:t>. Nairobi, Kenya:</w:t>
      </w:r>
      <w:r w:rsidRPr="009B0448">
        <w:rPr>
          <w:rFonts w:ascii="Times New Roman" w:hAnsi="Times New Roman" w:cs="Times New Roman"/>
        </w:rPr>
        <w:t xml:space="preserve"> </w:t>
      </w:r>
      <w:r w:rsidRPr="009B0448">
        <w:rPr>
          <w:rFonts w:ascii="Times New Roman" w:hAnsi="Times New Roman" w:cs="Times New Roman"/>
          <w:color w:val="auto"/>
        </w:rPr>
        <w:t>Kenya Electricity Generating Co., Ltd. Retrieved from</w:t>
      </w:r>
      <w:r w:rsidRPr="009B0448">
        <w:rPr>
          <w:rFonts w:ascii="Times New Roman" w:hAnsi="Times New Roman" w:cs="Times New Roman"/>
        </w:rPr>
        <w:t xml:space="preserve"> </w:t>
      </w:r>
      <w:hyperlink r:id="rId1368" w:history="1">
        <w:r w:rsidRPr="009B0448">
          <w:rPr>
            <w:rStyle w:val="Hyperlink"/>
            <w:rFonts w:ascii="Times New Roman" w:hAnsi="Times New Roman" w:cs="Times New Roman"/>
          </w:rPr>
          <w:t>https://orkustofnun.is/gogn/unu-gtp-sc/UNU-GTP-SC-11-40.pdf</w:t>
        </w:r>
      </w:hyperlink>
      <w:r w:rsidRPr="009B0448">
        <w:rPr>
          <w:rFonts w:ascii="Times New Roman" w:hAnsi="Times New Roman" w:cs="Times New Roman"/>
          <w:color w:val="auto"/>
        </w:rPr>
        <w:t xml:space="preserve"> </w:t>
      </w:r>
    </w:p>
    <w:p w14:paraId="3157209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Mwangi, E., &amp; Swallow, B. (2005). </w:t>
      </w:r>
      <w:r w:rsidRPr="009B0448">
        <w:rPr>
          <w:rFonts w:ascii="Times New Roman" w:hAnsi="Times New Roman" w:cs="Times New Roman"/>
          <w:i/>
          <w:color w:val="auto"/>
        </w:rPr>
        <w:t>Invasion of Prosopis juliflora and local livelihoods: Case study from the lake Baringo area of Kenya</w:t>
      </w:r>
      <w:r w:rsidRPr="009B0448">
        <w:rPr>
          <w:rFonts w:ascii="Times New Roman" w:hAnsi="Times New Roman" w:cs="Times New Roman"/>
          <w:color w:val="auto"/>
        </w:rPr>
        <w:t xml:space="preserve">. Nairobi, Kenya: World Agroforestry Centre. Retrieved from </w:t>
      </w:r>
      <w:hyperlink r:id="rId1369" w:history="1">
        <w:r w:rsidRPr="009B0448">
          <w:rPr>
            <w:rStyle w:val="Hyperlink"/>
            <w:rFonts w:ascii="Times New Roman" w:hAnsi="Times New Roman" w:cs="Times New Roman"/>
          </w:rPr>
          <w:t>http://www.worldagroforestry.org/downloads/Publications/PDFS/WP13657.pdf</w:t>
        </w:r>
      </w:hyperlink>
      <w:r w:rsidRPr="009B0448">
        <w:rPr>
          <w:rFonts w:ascii="Times New Roman" w:hAnsi="Times New Roman" w:cs="Times New Roman"/>
          <w:color w:val="auto"/>
        </w:rPr>
        <w:t xml:space="preserve"> </w:t>
      </w:r>
    </w:p>
    <w:p w14:paraId="768914A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Myers, N., Mittermier, R. A., Mittermier, C. G., Da Fonseca, G. A. B., &amp; Kent, J. (2000). Biodiversity hotspots for conservation priorities. </w:t>
      </w:r>
      <w:r w:rsidRPr="009B0448">
        <w:rPr>
          <w:rFonts w:ascii="Times New Roman" w:hAnsi="Times New Roman" w:cs="Times New Roman"/>
          <w:i/>
          <w:color w:val="auto"/>
        </w:rPr>
        <w:t>Nature, 403</w:t>
      </w:r>
      <w:r w:rsidRPr="009B0448">
        <w:rPr>
          <w:rFonts w:ascii="Times New Roman" w:hAnsi="Times New Roman" w:cs="Times New Roman"/>
          <w:color w:val="auto"/>
        </w:rPr>
        <w:t>, 853</w:t>
      </w:r>
      <w:r w:rsidRPr="009B0448">
        <w:rPr>
          <w:rFonts w:ascii="Times New Roman" w:eastAsiaTheme="minorHAnsi" w:hAnsi="Times New Roman" w:cs="Times New Roman"/>
          <w:color w:val="auto"/>
        </w:rPr>
        <w:t>–</w:t>
      </w:r>
      <w:r w:rsidRPr="009B0448">
        <w:rPr>
          <w:rFonts w:ascii="Times New Roman" w:hAnsi="Times New Roman" w:cs="Times New Roman"/>
          <w:color w:val="auto"/>
        </w:rPr>
        <w:t>858.</w:t>
      </w:r>
      <w:r w:rsidRPr="009B0448">
        <w:rPr>
          <w:rFonts w:ascii="Times New Roman" w:hAnsi="Times New Roman" w:cs="Times New Roman"/>
        </w:rPr>
        <w:t xml:space="preserve"> </w:t>
      </w:r>
      <w:hyperlink r:id="rId1370" w:history="1">
        <w:r w:rsidRPr="009B0448">
          <w:rPr>
            <w:rStyle w:val="Hyperlink"/>
            <w:rFonts w:ascii="Times New Roman" w:hAnsi="Times New Roman" w:cs="Times New Roman"/>
          </w:rPr>
          <w:t>https://doi.org/10.1038/35002501</w:t>
        </w:r>
      </w:hyperlink>
      <w:r w:rsidRPr="009B0448">
        <w:rPr>
          <w:rFonts w:ascii="Times New Roman" w:hAnsi="Times New Roman" w:cs="Times New Roman"/>
          <w:color w:val="auto"/>
        </w:rPr>
        <w:t xml:space="preserve"> </w:t>
      </w:r>
    </w:p>
    <w:p w14:paraId="03EAD498"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Myhre, G., Shindell, D., Bréon, F-M., Collins, W., Fuglestvedt, J., Huang, J., Koch, D., Lamarque, J-F., Lee, D., Mendoza, B., Nakajima, T., Robock, A., Stephens, G., Takemura, T., &amp; Zhang, H. (2013). Anthropogenic and natural radiative forcing. In T. F. Stocker, D. Qin, G-K. Plattner, M. Tignor, S. K. Allen, J. Boschung, A. Nauels, Y. Xia, V. Bex, &amp; P. M. Midgley (Eds.), </w:t>
      </w:r>
      <w:r w:rsidRPr="009B0448">
        <w:rPr>
          <w:rFonts w:ascii="Times New Roman" w:eastAsiaTheme="minorHAnsi" w:hAnsi="Times New Roman" w:cs="Times New Roman"/>
          <w:i/>
          <w:color w:val="auto"/>
        </w:rPr>
        <w:t>Climate change 2013: The physical science basis. Contribution of Working Group I to the Fifth Assessment Report of the Intergovernmental Panel on Climate Change</w:t>
      </w:r>
      <w:r w:rsidRPr="009B0448">
        <w:rPr>
          <w:rFonts w:ascii="Times New Roman" w:eastAsiaTheme="minorHAnsi" w:hAnsi="Times New Roman" w:cs="Times New Roman"/>
          <w:color w:val="auto"/>
        </w:rPr>
        <w:t xml:space="preserve">. Cambridge, UK: Cambridge University Press. Retrieved from </w:t>
      </w:r>
      <w:hyperlink r:id="rId1371" w:history="1">
        <w:r w:rsidRPr="009B0448">
          <w:rPr>
            <w:rStyle w:val="Hyperlink"/>
            <w:rFonts w:ascii="Times New Roman" w:eastAsiaTheme="minorHAnsi" w:hAnsi="Times New Roman" w:cs="Times New Roman"/>
          </w:rPr>
          <w:t>https://www.ipcc.ch/pdf/assessment-report/ar5/wg1/WG1AR5_Frontmatter_FINAL.pdf</w:t>
        </w:r>
      </w:hyperlink>
      <w:r w:rsidRPr="009B0448">
        <w:rPr>
          <w:rFonts w:ascii="Times New Roman" w:eastAsiaTheme="minorHAnsi" w:hAnsi="Times New Roman" w:cs="Times New Roman"/>
          <w:color w:val="auto"/>
        </w:rPr>
        <w:t xml:space="preserve"> </w:t>
      </w:r>
    </w:p>
    <w:p w14:paraId="62EA710E"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Naidoo, R., Fisher, B., Manica, A. &amp; Balmford, A. (2016a). Estimating economic losses to tourism in Africa from the illegal killing of elephants. </w:t>
      </w:r>
      <w:r w:rsidRPr="009B0448">
        <w:rPr>
          <w:rFonts w:ascii="Times New Roman" w:eastAsiaTheme="minorHAnsi" w:hAnsi="Times New Roman" w:cs="Times New Roman"/>
          <w:i/>
          <w:color w:val="auto"/>
        </w:rPr>
        <w:t>Nature Communications, 7(13379</w:t>
      </w:r>
      <w:r w:rsidRPr="009B0448">
        <w:rPr>
          <w:rFonts w:ascii="Times New Roman" w:eastAsiaTheme="minorHAnsi" w:hAnsi="Times New Roman" w:cs="Times New Roman"/>
          <w:color w:val="auto"/>
        </w:rPr>
        <w:t xml:space="preserve">). </w:t>
      </w:r>
      <w:hyperlink r:id="rId1372" w:history="1">
        <w:r w:rsidRPr="009B0448">
          <w:rPr>
            <w:rStyle w:val="Hyperlink"/>
            <w:rFonts w:ascii="Times New Roman" w:eastAsiaTheme="minorHAnsi" w:hAnsi="Times New Roman" w:cs="Times New Roman"/>
          </w:rPr>
          <w:t>https://doi.org/10.1038/ncomms13379</w:t>
        </w:r>
      </w:hyperlink>
    </w:p>
    <w:p w14:paraId="57001BDF"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Naidoo, R., Weaver, L. C., Diggle, R. W., Matongo, G., Stuart-Hill, G., &amp; Thouless, C. (2016b). Complementary beneﬁts of tourism and hunting to communal conservancies in Namibia. </w:t>
      </w:r>
      <w:r w:rsidRPr="009B0448">
        <w:rPr>
          <w:rFonts w:ascii="Times New Roman" w:eastAsiaTheme="minorHAnsi" w:hAnsi="Times New Roman" w:cs="Times New Roman"/>
          <w:i/>
          <w:color w:val="auto"/>
        </w:rPr>
        <w:t>Conservation Biology</w:t>
      </w:r>
      <w:r w:rsidRPr="009B0448">
        <w:rPr>
          <w:rFonts w:ascii="Times New Roman" w:eastAsiaTheme="minorHAnsi" w:hAnsi="Times New Roman" w:cs="Times New Roman"/>
          <w:color w:val="auto"/>
        </w:rPr>
        <w:t xml:space="preserve">, </w:t>
      </w:r>
      <w:r w:rsidRPr="009B0448">
        <w:rPr>
          <w:rFonts w:ascii="Times New Roman" w:eastAsiaTheme="minorHAnsi" w:hAnsi="Times New Roman" w:cs="Times New Roman"/>
          <w:i/>
          <w:color w:val="auto"/>
        </w:rPr>
        <w:t>30(3</w:t>
      </w:r>
      <w:r w:rsidRPr="009B0448">
        <w:rPr>
          <w:rFonts w:ascii="Times New Roman" w:eastAsiaTheme="minorHAnsi" w:hAnsi="Times New Roman" w:cs="Times New Roman"/>
          <w:color w:val="auto"/>
        </w:rPr>
        <w:t>), 628–638.</w:t>
      </w:r>
      <w:r w:rsidRPr="009B0448">
        <w:rPr>
          <w:rFonts w:ascii="Times New Roman" w:hAnsi="Times New Roman" w:cs="Times New Roman"/>
        </w:rPr>
        <w:t xml:space="preserve"> </w:t>
      </w:r>
      <w:hyperlink r:id="rId1373" w:history="1">
        <w:r w:rsidRPr="009B0448">
          <w:rPr>
            <w:rStyle w:val="Hyperlink"/>
            <w:rFonts w:ascii="Times New Roman" w:eastAsiaTheme="minorHAnsi" w:hAnsi="Times New Roman" w:cs="Times New Roman"/>
          </w:rPr>
          <w:t>https://doi.org/10.1111/cobi.12643</w:t>
        </w:r>
      </w:hyperlink>
      <w:r w:rsidRPr="009B0448">
        <w:rPr>
          <w:rFonts w:ascii="Times New Roman" w:eastAsiaTheme="minorHAnsi" w:hAnsi="Times New Roman" w:cs="Times New Roman"/>
          <w:color w:val="auto"/>
        </w:rPr>
        <w:t xml:space="preserve"> </w:t>
      </w:r>
    </w:p>
    <w:p w14:paraId="3A3A288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Naidoo, S., Davis, C., &amp; Archer-van Garderen, E. (2013). </w:t>
      </w:r>
      <w:r w:rsidRPr="009B0448">
        <w:rPr>
          <w:rFonts w:ascii="Times New Roman" w:hAnsi="Times New Roman" w:cs="Times New Roman"/>
          <w:i/>
          <w:color w:val="auto"/>
        </w:rPr>
        <w:t>Forests, rangelands and climate change in Southern Africa. Forests and climate change</w:t>
      </w:r>
      <w:r w:rsidRPr="009B0448">
        <w:rPr>
          <w:rFonts w:ascii="Times New Roman" w:hAnsi="Times New Roman" w:cs="Times New Roman"/>
          <w:color w:val="auto"/>
        </w:rPr>
        <w:t xml:space="preserve">. Rome, Italy: FAO. Retrieved from </w:t>
      </w:r>
      <w:hyperlink r:id="rId1374" w:history="1">
        <w:r w:rsidRPr="009B0448">
          <w:rPr>
            <w:rStyle w:val="Hyperlink"/>
            <w:rFonts w:ascii="Times New Roman" w:hAnsi="Times New Roman" w:cs="Times New Roman"/>
          </w:rPr>
          <w:t>http://www.fao.org/3/a-i2970e.pdf</w:t>
        </w:r>
      </w:hyperlink>
      <w:r w:rsidRPr="009B0448">
        <w:rPr>
          <w:rFonts w:ascii="Times New Roman" w:hAnsi="Times New Roman" w:cs="Times New Roman"/>
          <w:color w:val="auto"/>
        </w:rPr>
        <w:t xml:space="preserve"> </w:t>
      </w:r>
    </w:p>
    <w:p w14:paraId="6431C02C"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Naidoo, T., Glassom, D., &amp; Smit, A. J. (2015). Plastic pollution in five urban estuaries of KwaZulu-Natal, South Africa</w:t>
      </w:r>
      <w:r w:rsidRPr="009B0448">
        <w:rPr>
          <w:rFonts w:ascii="Times New Roman" w:eastAsiaTheme="minorHAnsi" w:hAnsi="Times New Roman" w:cs="Times New Roman"/>
          <w:i/>
          <w:color w:val="auto"/>
        </w:rPr>
        <w:t>. Marine Pollution Bulletin, 101</w:t>
      </w:r>
      <w:r w:rsidRPr="009B0448">
        <w:rPr>
          <w:rFonts w:ascii="Times New Roman" w:eastAsiaTheme="minorHAnsi" w:hAnsi="Times New Roman" w:cs="Times New Roman"/>
          <w:color w:val="auto"/>
        </w:rPr>
        <w:t>, 473–480.</w:t>
      </w:r>
      <w:r w:rsidRPr="009B0448">
        <w:rPr>
          <w:rFonts w:ascii="Times New Roman" w:hAnsi="Times New Roman" w:cs="Times New Roman"/>
        </w:rPr>
        <w:t xml:space="preserve"> </w:t>
      </w:r>
      <w:hyperlink r:id="rId1375" w:history="1">
        <w:r w:rsidRPr="009B0448">
          <w:rPr>
            <w:rStyle w:val="Hyperlink"/>
            <w:rFonts w:ascii="Times New Roman" w:eastAsiaTheme="minorHAnsi" w:hAnsi="Times New Roman" w:cs="Times New Roman"/>
          </w:rPr>
          <w:t>https://doi.org/10.1016/j.marpolbul.2015.09.044</w:t>
        </w:r>
      </w:hyperlink>
    </w:p>
    <w:p w14:paraId="63A63ED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Narendrula, R., Nkongolo, K. K., &amp; Beckett, P. (2012). Comparative soil metal analyses in Sudbury (Ontario, Canada) and Lubumbashi (Katanga, DR-Congo). </w:t>
      </w:r>
      <w:r w:rsidRPr="009B0448">
        <w:rPr>
          <w:rFonts w:ascii="Times New Roman" w:hAnsi="Times New Roman" w:cs="Times New Roman"/>
          <w:i/>
          <w:color w:val="auto"/>
        </w:rPr>
        <w:t>Bulletin of Environmental Contamination and Toxicology, 88</w:t>
      </w:r>
      <w:r w:rsidRPr="009B0448">
        <w:rPr>
          <w:rFonts w:ascii="Times New Roman" w:hAnsi="Times New Roman" w:cs="Times New Roman"/>
          <w:color w:val="auto"/>
        </w:rPr>
        <w:t>(2), 187</w:t>
      </w:r>
      <w:r w:rsidRPr="009B0448">
        <w:rPr>
          <w:rFonts w:ascii="Times New Roman" w:eastAsiaTheme="minorHAnsi" w:hAnsi="Times New Roman" w:cs="Times New Roman"/>
          <w:color w:val="auto"/>
        </w:rPr>
        <w:t>–</w:t>
      </w:r>
      <w:r w:rsidRPr="009B0448">
        <w:rPr>
          <w:rFonts w:ascii="Times New Roman" w:hAnsi="Times New Roman" w:cs="Times New Roman"/>
          <w:color w:val="auto"/>
        </w:rPr>
        <w:t>192.</w:t>
      </w:r>
      <w:r w:rsidRPr="009B0448">
        <w:rPr>
          <w:rFonts w:ascii="Times New Roman" w:hAnsi="Times New Roman" w:cs="Times New Roman"/>
        </w:rPr>
        <w:t xml:space="preserve"> </w:t>
      </w:r>
      <w:hyperlink r:id="rId1376" w:history="1">
        <w:r w:rsidRPr="009B0448">
          <w:rPr>
            <w:rStyle w:val="Hyperlink"/>
            <w:rFonts w:ascii="Times New Roman" w:hAnsi="Times New Roman" w:cs="Times New Roman"/>
          </w:rPr>
          <w:t>https://doi.org/10.1007/s00128-011-0485-7</w:t>
        </w:r>
      </w:hyperlink>
      <w:r w:rsidRPr="009B0448">
        <w:rPr>
          <w:rFonts w:ascii="Times New Roman" w:hAnsi="Times New Roman" w:cs="Times New Roman"/>
          <w:color w:val="auto"/>
        </w:rPr>
        <w:t xml:space="preserve"> </w:t>
      </w:r>
    </w:p>
    <w:p w14:paraId="7BC666D1" w14:textId="77777777" w:rsidR="009B0448" w:rsidRPr="009B0448" w:rsidRDefault="009B0448" w:rsidP="009B0448">
      <w:pPr>
        <w:pStyle w:val="NoSpacing"/>
        <w:spacing w:after="120" w:line="276" w:lineRule="auto"/>
        <w:ind w:left="567" w:hanging="567"/>
        <w:rPr>
          <w:rFonts w:ascii="Times New Roman" w:hAnsi="Times New Roman" w:cs="Times New Roman"/>
          <w:color w:val="auto"/>
          <w:lang w:val="de-DE"/>
        </w:rPr>
      </w:pPr>
      <w:r w:rsidRPr="009B0448">
        <w:rPr>
          <w:rFonts w:ascii="Times New Roman" w:hAnsi="Times New Roman" w:cs="Times New Roman"/>
          <w:color w:val="auto"/>
        </w:rPr>
        <w:t xml:space="preserve">Nashida, T. (1996). Eradication of the invasive, exotic tree </w:t>
      </w:r>
      <w:r w:rsidRPr="009B0448">
        <w:rPr>
          <w:rFonts w:ascii="Times New Roman" w:hAnsi="Times New Roman" w:cs="Times New Roman"/>
          <w:i/>
          <w:color w:val="auto"/>
        </w:rPr>
        <w:t>Senna spectabilis</w:t>
      </w:r>
      <w:r w:rsidRPr="009B0448">
        <w:rPr>
          <w:rFonts w:ascii="Times New Roman" w:hAnsi="Times New Roman" w:cs="Times New Roman"/>
          <w:color w:val="auto"/>
        </w:rPr>
        <w:t xml:space="preserve"> in the Mahale mountains. </w:t>
      </w:r>
      <w:r w:rsidRPr="009B0448">
        <w:rPr>
          <w:rFonts w:ascii="Times New Roman" w:hAnsi="Times New Roman" w:cs="Times New Roman"/>
          <w:i/>
          <w:color w:val="auto"/>
          <w:lang w:val="de-DE"/>
        </w:rPr>
        <w:t>Pan Africa News, 3</w:t>
      </w:r>
      <w:r w:rsidRPr="009B0448">
        <w:rPr>
          <w:rFonts w:ascii="Times New Roman" w:hAnsi="Times New Roman" w:cs="Times New Roman"/>
          <w:color w:val="auto"/>
          <w:lang w:val="de-DE"/>
        </w:rPr>
        <w:t>(2), 6</w:t>
      </w:r>
      <w:r w:rsidRPr="009B0448">
        <w:rPr>
          <w:rFonts w:ascii="Times New Roman" w:eastAsiaTheme="minorHAnsi" w:hAnsi="Times New Roman" w:cs="Times New Roman"/>
          <w:color w:val="auto"/>
          <w:lang w:val="de-DE"/>
        </w:rPr>
        <w:t>–</w:t>
      </w:r>
      <w:r w:rsidRPr="009B0448">
        <w:rPr>
          <w:rFonts w:ascii="Times New Roman" w:hAnsi="Times New Roman" w:cs="Times New Roman"/>
          <w:color w:val="auto"/>
          <w:lang w:val="de-DE"/>
        </w:rPr>
        <w:t>7.</w:t>
      </w:r>
      <w:r w:rsidRPr="009B0448">
        <w:rPr>
          <w:rFonts w:ascii="Times New Roman" w:hAnsi="Times New Roman" w:cs="Times New Roman"/>
          <w:lang w:val="de-DE"/>
        </w:rPr>
        <w:t xml:space="preserve"> </w:t>
      </w:r>
      <w:r w:rsidRPr="009B0448">
        <w:rPr>
          <w:rFonts w:ascii="Times New Roman" w:hAnsi="Times New Roman" w:cs="Times New Roman"/>
        </w:rPr>
        <w:t xml:space="preserve">Retrieved from </w:t>
      </w:r>
      <w:hyperlink r:id="rId1377" w:history="1">
        <w:r w:rsidRPr="009B0448">
          <w:rPr>
            <w:rStyle w:val="Hyperlink"/>
            <w:rFonts w:ascii="Times New Roman" w:hAnsi="Times New Roman" w:cs="Times New Roman"/>
          </w:rPr>
          <w:t>http://hdl.handle.net/2433/143343</w:t>
        </w:r>
      </w:hyperlink>
      <w:r w:rsidRPr="009B0448">
        <w:rPr>
          <w:rFonts w:ascii="Times New Roman" w:hAnsi="Times New Roman" w:cs="Times New Roman"/>
        </w:rPr>
        <w:t xml:space="preserve"> </w:t>
      </w:r>
    </w:p>
    <w:p w14:paraId="05636B8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Nduka, J. K. C., Orisakwe, O. E., Ezenweke, L. O., Ezenwa, T. E., Chendo, M. N., &amp; Ezeabalisi, N. G. (2008). </w:t>
      </w:r>
      <w:r w:rsidRPr="009B0448">
        <w:rPr>
          <w:rFonts w:ascii="Times New Roman" w:hAnsi="Times New Roman" w:cs="Times New Roman"/>
          <w:color w:val="auto"/>
        </w:rPr>
        <w:t xml:space="preserve">Acid rain phenomenon in Niger delta region of Nigeria: Economic, biodiversity, and public health concern. </w:t>
      </w:r>
      <w:r w:rsidRPr="009B0448">
        <w:rPr>
          <w:rFonts w:ascii="Times New Roman" w:hAnsi="Times New Roman" w:cs="Times New Roman"/>
          <w:i/>
          <w:color w:val="auto"/>
        </w:rPr>
        <w:t>The Scientific World Journal, 8,</w:t>
      </w:r>
      <w:r w:rsidRPr="009B0448">
        <w:rPr>
          <w:rFonts w:ascii="Times New Roman" w:hAnsi="Times New Roman" w:cs="Times New Roman"/>
          <w:color w:val="auto"/>
        </w:rPr>
        <w:t xml:space="preserve"> 811</w:t>
      </w:r>
      <w:r w:rsidRPr="009B0448">
        <w:rPr>
          <w:rFonts w:ascii="Times New Roman" w:eastAsiaTheme="minorHAnsi" w:hAnsi="Times New Roman" w:cs="Times New Roman"/>
          <w:color w:val="auto"/>
        </w:rPr>
        <w:t>–</w:t>
      </w:r>
      <w:r w:rsidRPr="009B0448">
        <w:rPr>
          <w:rFonts w:ascii="Times New Roman" w:hAnsi="Times New Roman" w:cs="Times New Roman"/>
          <w:color w:val="auto"/>
        </w:rPr>
        <w:t>818.</w:t>
      </w:r>
      <w:r w:rsidRPr="009B0448">
        <w:rPr>
          <w:rFonts w:ascii="Times New Roman" w:hAnsi="Times New Roman" w:cs="Times New Roman"/>
          <w:color w:val="00B050"/>
        </w:rPr>
        <w:t xml:space="preserve"> </w:t>
      </w:r>
      <w:hyperlink r:id="rId1378" w:history="1">
        <w:r w:rsidRPr="009B0448">
          <w:rPr>
            <w:rStyle w:val="Hyperlink"/>
            <w:rFonts w:ascii="Times New Roman" w:hAnsi="Times New Roman" w:cs="Times New Roman"/>
          </w:rPr>
          <w:t>https://doi.org/10.1100/tsw.2008.47</w:t>
        </w:r>
      </w:hyperlink>
      <w:r w:rsidRPr="009B0448">
        <w:rPr>
          <w:rFonts w:ascii="Times New Roman" w:hAnsi="Times New Roman" w:cs="Times New Roman"/>
          <w:color w:val="auto"/>
        </w:rPr>
        <w:t xml:space="preserve"> </w:t>
      </w:r>
    </w:p>
    <w:p w14:paraId="5220901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Nellemann, C., Henriksen, R., Kreilhuber, A., Stewart, D., Kotsovou, M., Raxter, P., Mrema, E., &amp; Barrat, S. (Eds.). (2016). </w:t>
      </w:r>
      <w:r w:rsidRPr="009B0448">
        <w:rPr>
          <w:rFonts w:ascii="Times New Roman" w:hAnsi="Times New Roman" w:cs="Times New Roman"/>
          <w:i/>
          <w:color w:val="auto"/>
        </w:rPr>
        <w:t>The rise of environmental crime–A growing threat to natural resources peace, development and security</w:t>
      </w:r>
      <w:r w:rsidRPr="009B0448">
        <w:rPr>
          <w:rFonts w:ascii="Times New Roman" w:hAnsi="Times New Roman" w:cs="Times New Roman"/>
          <w:color w:val="auto"/>
        </w:rPr>
        <w:t xml:space="preserve">. Nairobi, Kenya: UNEP. Retrieved from </w:t>
      </w:r>
      <w:hyperlink r:id="rId1379" w:history="1">
        <w:r w:rsidRPr="009B0448">
          <w:rPr>
            <w:rStyle w:val="Hyperlink"/>
            <w:rFonts w:ascii="Times New Roman" w:hAnsi="Times New Roman" w:cs="Times New Roman"/>
          </w:rPr>
          <w:t>http://hdl.handle.net/20.500.11822/7662</w:t>
        </w:r>
      </w:hyperlink>
      <w:r w:rsidRPr="009B0448">
        <w:rPr>
          <w:rFonts w:ascii="Times New Roman" w:hAnsi="Times New Roman" w:cs="Times New Roman"/>
          <w:color w:val="auto"/>
        </w:rPr>
        <w:t xml:space="preserve"> </w:t>
      </w:r>
    </w:p>
    <w:p w14:paraId="4644230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Nelson, C. G., Bennett, E., Asefaw Berhe, A., Cassman, K. G., DeFries, R., Dietz, T., &amp; Zurek, M. (2005). Drivers of change in ecosystem condition and services. In S. R. Carpenter, P. L. Pingali, E. M. Bennett, &amp; M. B. Zurek, (Eds.), </w:t>
      </w:r>
      <w:r w:rsidRPr="009B0448">
        <w:rPr>
          <w:rFonts w:ascii="Times New Roman" w:hAnsi="Times New Roman" w:cs="Times New Roman"/>
          <w:i/>
          <w:color w:val="auto"/>
        </w:rPr>
        <w:t>Ecosystems and human well-being: Scenarios: findings of the scenarios working group, Millennium Ecosystem Assessment</w:t>
      </w:r>
      <w:r w:rsidRPr="009B0448">
        <w:rPr>
          <w:rFonts w:ascii="Times New Roman" w:hAnsi="Times New Roman" w:cs="Times New Roman"/>
          <w:color w:val="auto"/>
        </w:rPr>
        <w:t xml:space="preserve"> (pp. 173</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222). Washington, DC: Island press. Retrieved from </w:t>
      </w:r>
      <w:hyperlink r:id="rId1380" w:history="1">
        <w:r w:rsidRPr="009B0448">
          <w:rPr>
            <w:rStyle w:val="Hyperlink"/>
            <w:rFonts w:ascii="Times New Roman" w:hAnsi="Times New Roman" w:cs="Times New Roman"/>
          </w:rPr>
          <w:t>https://islandpress.org/book/ecosystems-and-human-well-being-scenarios</w:t>
        </w:r>
      </w:hyperlink>
      <w:r w:rsidRPr="009B0448">
        <w:rPr>
          <w:rFonts w:ascii="Times New Roman" w:hAnsi="Times New Roman" w:cs="Times New Roman"/>
          <w:color w:val="auto"/>
        </w:rPr>
        <w:t xml:space="preserve"> </w:t>
      </w:r>
    </w:p>
    <w:p w14:paraId="3F00ECF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Neufeldt, H., Dobie, P., Liyama, M., Njenga, M., Mohan, S., &amp; Neely, C. (2015). </w:t>
      </w:r>
      <w:r w:rsidRPr="009B0448">
        <w:rPr>
          <w:rFonts w:ascii="Times New Roman" w:hAnsi="Times New Roman" w:cs="Times New Roman"/>
          <w:i/>
          <w:color w:val="auto"/>
        </w:rPr>
        <w:t>Developing sustainable tree-based bioenergy systems in sub-Saharan Africa</w:t>
      </w:r>
      <w:r w:rsidRPr="009B0448">
        <w:rPr>
          <w:rFonts w:ascii="Times New Roman" w:hAnsi="Times New Roman" w:cs="Times New Roman"/>
          <w:color w:val="auto"/>
        </w:rPr>
        <w:t xml:space="preserve">. Nairobi, Kenya: World Agroforestry Centre. Retrieved from </w:t>
      </w:r>
      <w:hyperlink r:id="rId1381" w:history="1">
        <w:r w:rsidRPr="009B0448">
          <w:rPr>
            <w:rStyle w:val="Hyperlink"/>
            <w:rFonts w:ascii="Times New Roman" w:hAnsi="Times New Roman" w:cs="Times New Roman"/>
          </w:rPr>
          <w:t>http://www.greenbeltmovement.org/node/743</w:t>
        </w:r>
      </w:hyperlink>
      <w:r w:rsidRPr="009B0448">
        <w:rPr>
          <w:rFonts w:ascii="Times New Roman" w:hAnsi="Times New Roman" w:cs="Times New Roman"/>
          <w:color w:val="auto"/>
        </w:rPr>
        <w:t xml:space="preserve"> </w:t>
      </w:r>
    </w:p>
    <w:p w14:paraId="218F40EE"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New, M. (2015). </w:t>
      </w:r>
      <w:r w:rsidRPr="009B0448">
        <w:rPr>
          <w:rFonts w:ascii="Times New Roman" w:eastAsiaTheme="minorHAnsi" w:hAnsi="Times New Roman" w:cs="Times New Roman"/>
          <w:i/>
          <w:color w:val="auto"/>
        </w:rPr>
        <w:t>Are semi-arid regions climate change hot-spots? Evidence from southern Afric</w:t>
      </w:r>
      <w:r w:rsidRPr="009B0448">
        <w:rPr>
          <w:rFonts w:ascii="Times New Roman" w:eastAsiaTheme="minorHAnsi" w:hAnsi="Times New Roman" w:cs="Times New Roman"/>
          <w:color w:val="auto"/>
        </w:rPr>
        <w:t xml:space="preserve">a. Retrieved from </w:t>
      </w:r>
      <w:hyperlink r:id="rId1382" w:history="1">
        <w:r w:rsidRPr="009B0448">
          <w:rPr>
            <w:rStyle w:val="Hyperlink"/>
            <w:rFonts w:ascii="Times New Roman" w:eastAsiaTheme="minorHAnsi" w:hAnsi="Times New Roman" w:cs="Times New Roman"/>
          </w:rPr>
          <w:t>http://www.assar.uct.ac.za/node/471699</w:t>
        </w:r>
      </w:hyperlink>
    </w:p>
    <w:p w14:paraId="0FBAC0B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Nguyen, K. T. (2012). </w:t>
      </w:r>
      <w:r w:rsidRPr="009B0448">
        <w:rPr>
          <w:rFonts w:ascii="Times New Roman" w:hAnsi="Times New Roman" w:cs="Times New Roman"/>
          <w:i/>
          <w:color w:val="auto"/>
        </w:rPr>
        <w:t>What are the consequences of overfishing in West Africa and how can sustainable and flourishing fisheries be promoted</w:t>
      </w:r>
      <w:r w:rsidRPr="009B0448">
        <w:rPr>
          <w:rFonts w:ascii="Times New Roman" w:hAnsi="Times New Roman" w:cs="Times New Roman"/>
          <w:color w:val="auto"/>
        </w:rPr>
        <w:t>? (Master’s thesis). Retrieved from</w:t>
      </w:r>
      <w:r w:rsidRPr="009B0448">
        <w:rPr>
          <w:rFonts w:ascii="Times New Roman" w:hAnsi="Times New Roman" w:cs="Times New Roman"/>
        </w:rPr>
        <w:t xml:space="preserve"> </w:t>
      </w:r>
      <w:hyperlink r:id="rId1383" w:history="1">
        <w:r w:rsidRPr="009B0448">
          <w:rPr>
            <w:rStyle w:val="Hyperlink"/>
            <w:rFonts w:ascii="Times New Roman" w:hAnsi="Times New Roman" w:cs="Times New Roman"/>
          </w:rPr>
          <w:t>http://hdl.handle.net/11250/135816</w:t>
        </w:r>
      </w:hyperlink>
      <w:r w:rsidRPr="009B0448">
        <w:rPr>
          <w:rFonts w:ascii="Times New Roman" w:hAnsi="Times New Roman" w:cs="Times New Roman"/>
          <w:color w:val="auto"/>
        </w:rPr>
        <w:t>. (BE-501 2012).</w:t>
      </w:r>
    </w:p>
    <w:p w14:paraId="0A7F95D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Nion, Y. A., &amp; Toyota, K. (2015). Recent Trends in control methods for bacterial wilt diseases caused by </w:t>
      </w:r>
      <w:r w:rsidRPr="009B0448">
        <w:rPr>
          <w:rFonts w:ascii="Times New Roman" w:hAnsi="Times New Roman" w:cs="Times New Roman"/>
          <w:i/>
          <w:color w:val="auto"/>
        </w:rPr>
        <w:t>Ralstonia solanacearum</w:t>
      </w:r>
      <w:r w:rsidRPr="009B0448">
        <w:rPr>
          <w:rFonts w:ascii="Times New Roman" w:hAnsi="Times New Roman" w:cs="Times New Roman"/>
          <w:color w:val="auto"/>
        </w:rPr>
        <w:t xml:space="preserve">. </w:t>
      </w:r>
      <w:r w:rsidRPr="009B0448">
        <w:rPr>
          <w:rFonts w:ascii="Times New Roman" w:hAnsi="Times New Roman" w:cs="Times New Roman"/>
          <w:i/>
          <w:color w:val="auto"/>
        </w:rPr>
        <w:t>Microbes Environment, 30</w:t>
      </w:r>
      <w:r w:rsidRPr="009B0448">
        <w:rPr>
          <w:rFonts w:ascii="Times New Roman" w:hAnsi="Times New Roman" w:cs="Times New Roman"/>
          <w:color w:val="auto"/>
        </w:rPr>
        <w:t>, 1</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11. </w:t>
      </w:r>
      <w:hyperlink r:id="rId1384" w:history="1">
        <w:r w:rsidRPr="009B0448">
          <w:rPr>
            <w:rStyle w:val="Hyperlink"/>
            <w:rFonts w:ascii="Times New Roman" w:hAnsi="Times New Roman" w:cs="Times New Roman"/>
          </w:rPr>
          <w:t>https://doi.org/10.1264/jsme2.ME14144</w:t>
        </w:r>
      </w:hyperlink>
      <w:r w:rsidRPr="009B0448">
        <w:rPr>
          <w:rFonts w:ascii="Times New Roman" w:hAnsi="Times New Roman" w:cs="Times New Roman"/>
          <w:color w:val="auto"/>
        </w:rPr>
        <w:t xml:space="preserve"> </w:t>
      </w:r>
    </w:p>
    <w:p w14:paraId="5BA4AB94" w14:textId="77777777" w:rsidR="009B0448" w:rsidRPr="009B0448" w:rsidRDefault="009B0448" w:rsidP="009B0448">
      <w:pPr>
        <w:pStyle w:val="NoSpacing"/>
        <w:spacing w:after="120" w:line="276" w:lineRule="auto"/>
        <w:ind w:left="567" w:hanging="567"/>
        <w:rPr>
          <w:rFonts w:ascii="Times New Roman" w:hAnsi="Times New Roman" w:cs="Times New Roman"/>
          <w:color w:val="auto"/>
          <w:lang w:val="de-DE"/>
        </w:rPr>
      </w:pPr>
      <w:r w:rsidRPr="009B0448">
        <w:rPr>
          <w:rFonts w:ascii="Times New Roman" w:eastAsiaTheme="minorHAnsi" w:hAnsi="Times New Roman" w:cs="Times New Roman"/>
          <w:color w:val="auto"/>
        </w:rPr>
        <w:t>Nkonya, E., Johnson, T., Kwon, H., &amp; Kato, E. (2016). Economics of land degradation in sub-Saharan Africa. In E. Nkonya, A. Mirzabaev, &amp; J. von Braun (Eds.),</w:t>
      </w:r>
      <w:r w:rsidRPr="009B0448">
        <w:rPr>
          <w:rFonts w:ascii="Times New Roman" w:eastAsiaTheme="minorHAnsi" w:hAnsi="Times New Roman" w:cs="Times New Roman"/>
          <w:i/>
          <w:color w:val="auto"/>
        </w:rPr>
        <w:t xml:space="preserve"> Economics of land degradation and improvement–A global assessment for sustainable development</w:t>
      </w:r>
      <w:r w:rsidRPr="009B0448">
        <w:rPr>
          <w:rFonts w:ascii="Times New Roman" w:eastAsiaTheme="minorHAnsi" w:hAnsi="Times New Roman" w:cs="Times New Roman"/>
          <w:color w:val="auto"/>
        </w:rPr>
        <w:t xml:space="preserve"> (pp. 215–259). </w:t>
      </w:r>
      <w:hyperlink r:id="rId1385" w:history="1">
        <w:r w:rsidRPr="009B0448">
          <w:rPr>
            <w:rStyle w:val="Hyperlink"/>
            <w:rFonts w:ascii="Times New Roman" w:eastAsiaTheme="minorHAnsi" w:hAnsi="Times New Roman" w:cs="Times New Roman"/>
            <w:lang w:val="de-DE"/>
          </w:rPr>
          <w:t>https://doi.org/10.1007/978-3-319-19168-3_9</w:t>
        </w:r>
      </w:hyperlink>
      <w:r w:rsidRPr="009B0448">
        <w:rPr>
          <w:rFonts w:ascii="Times New Roman" w:eastAsiaTheme="minorHAnsi" w:hAnsi="Times New Roman" w:cs="Times New Roman"/>
          <w:color w:val="auto"/>
          <w:lang w:val="de-DE"/>
        </w:rPr>
        <w:t xml:space="preserve"> </w:t>
      </w:r>
    </w:p>
    <w:p w14:paraId="57572F5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Nonga, H., Mdegela, R., Lie, E., Sandvik, M., &amp; Skaare, J. (2011). </w:t>
      </w:r>
      <w:r w:rsidRPr="009B0448">
        <w:rPr>
          <w:rFonts w:ascii="Times New Roman" w:hAnsi="Times New Roman" w:cs="Times New Roman"/>
          <w:color w:val="auto"/>
        </w:rPr>
        <w:t xml:space="preserve">Assessment of farming practices and uses of agrochemicals in Lake Manyara basin, Tanzania. </w:t>
      </w:r>
      <w:r w:rsidRPr="009B0448">
        <w:rPr>
          <w:rFonts w:ascii="Times New Roman" w:hAnsi="Times New Roman" w:cs="Times New Roman"/>
          <w:i/>
          <w:color w:val="auto"/>
        </w:rPr>
        <w:t xml:space="preserve">African Journal of Agricultural Research. 6, </w:t>
      </w:r>
      <w:r w:rsidRPr="009B0448">
        <w:rPr>
          <w:rFonts w:ascii="Times New Roman" w:hAnsi="Times New Roman" w:cs="Times New Roman"/>
          <w:color w:val="auto"/>
        </w:rPr>
        <w:t>2116</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2130. </w:t>
      </w:r>
      <w:hyperlink r:id="rId1386" w:history="1">
        <w:r w:rsidRPr="009B0448">
          <w:rPr>
            <w:rStyle w:val="Hyperlink"/>
            <w:rFonts w:ascii="Times New Roman" w:hAnsi="Times New Roman" w:cs="Times New Roman"/>
          </w:rPr>
          <w:t>https://doi.org/10.5897/AJAR11.271</w:t>
        </w:r>
      </w:hyperlink>
      <w:r w:rsidRPr="009B0448">
        <w:rPr>
          <w:rFonts w:ascii="Times New Roman" w:hAnsi="Times New Roman" w:cs="Times New Roman"/>
          <w:color w:val="auto"/>
        </w:rPr>
        <w:t xml:space="preserve"> </w:t>
      </w:r>
    </w:p>
    <w:p w14:paraId="46C12AD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Ntara, C. K. (2016). African trading blocs and economic growth: A critical review of the literature. </w:t>
      </w:r>
      <w:r w:rsidRPr="009B0448">
        <w:rPr>
          <w:rFonts w:ascii="Times New Roman" w:hAnsi="Times New Roman" w:cs="Times New Roman"/>
          <w:i/>
          <w:color w:val="auto"/>
        </w:rPr>
        <w:t>International Journal of Developing and Emerging Economies, 4</w:t>
      </w:r>
      <w:r w:rsidRPr="009B0448">
        <w:rPr>
          <w:rFonts w:ascii="Times New Roman" w:hAnsi="Times New Roman" w:cs="Times New Roman"/>
          <w:color w:val="auto"/>
        </w:rPr>
        <w:t>(1): 1</w:t>
      </w:r>
      <w:r w:rsidRPr="009B0448">
        <w:rPr>
          <w:rFonts w:ascii="Times New Roman" w:eastAsiaTheme="minorHAnsi" w:hAnsi="Times New Roman" w:cs="Times New Roman"/>
          <w:color w:val="auto"/>
        </w:rPr>
        <w:t>–</w:t>
      </w:r>
      <w:r w:rsidRPr="009B0448">
        <w:rPr>
          <w:rFonts w:ascii="Times New Roman" w:hAnsi="Times New Roman" w:cs="Times New Roman"/>
          <w:color w:val="auto"/>
        </w:rPr>
        <w:t>21.</w:t>
      </w:r>
    </w:p>
    <w:p w14:paraId="7B95B0C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Nyenje, P. M., Foppen, J. W., Uhlenbrook, S., Kulabako, R., &amp; Muwanga, A. (2010). Eutrophication and nutrient release in urban areas of sub-Saharan Africa–a review. </w:t>
      </w:r>
      <w:r w:rsidRPr="009B0448">
        <w:rPr>
          <w:rFonts w:ascii="Times New Roman" w:hAnsi="Times New Roman" w:cs="Times New Roman"/>
          <w:i/>
          <w:color w:val="auto"/>
        </w:rPr>
        <w:t>Science of the Total Environment, 408</w:t>
      </w:r>
      <w:r w:rsidRPr="009B0448">
        <w:rPr>
          <w:rFonts w:ascii="Times New Roman" w:hAnsi="Times New Roman" w:cs="Times New Roman"/>
          <w:color w:val="auto"/>
        </w:rPr>
        <w:t>(3), 447–455.</w:t>
      </w:r>
      <w:r w:rsidRPr="009B0448">
        <w:rPr>
          <w:rFonts w:ascii="Times New Roman" w:hAnsi="Times New Roman" w:cs="Times New Roman"/>
        </w:rPr>
        <w:t xml:space="preserve"> </w:t>
      </w:r>
      <w:hyperlink r:id="rId1387" w:history="1">
        <w:r w:rsidRPr="009B0448">
          <w:rPr>
            <w:rStyle w:val="Hyperlink"/>
            <w:rFonts w:ascii="Times New Roman" w:hAnsi="Times New Roman" w:cs="Times New Roman"/>
          </w:rPr>
          <w:t>https://doi.org/10.1016/j.scitotenv.2009.10.020</w:t>
        </w:r>
      </w:hyperlink>
      <w:r w:rsidRPr="009B0448">
        <w:rPr>
          <w:rFonts w:ascii="Times New Roman" w:hAnsi="Times New Roman" w:cs="Times New Roman"/>
          <w:color w:val="auto"/>
        </w:rPr>
        <w:t xml:space="preserve"> </w:t>
      </w:r>
    </w:p>
    <w:p w14:paraId="38ABBC5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O’Connor, T. G., Puttick, J. R., &amp; Hoffman, M. T. (2014). Bush encroachment in southern Africa: Changes and causes. </w:t>
      </w:r>
      <w:r w:rsidRPr="009B0448">
        <w:rPr>
          <w:rFonts w:ascii="Times New Roman" w:hAnsi="Times New Roman" w:cs="Times New Roman"/>
          <w:i/>
          <w:color w:val="auto"/>
        </w:rPr>
        <w:t>African Journal of Range Forage Science, 31</w:t>
      </w:r>
      <w:r w:rsidRPr="009B0448">
        <w:rPr>
          <w:rFonts w:ascii="Times New Roman" w:hAnsi="Times New Roman" w:cs="Times New Roman"/>
          <w:color w:val="auto"/>
        </w:rPr>
        <w:t>, 67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88. </w:t>
      </w:r>
      <w:hyperlink r:id="rId1388" w:history="1">
        <w:r w:rsidRPr="009B0448">
          <w:rPr>
            <w:rStyle w:val="Hyperlink"/>
            <w:rFonts w:ascii="Times New Roman" w:hAnsi="Times New Roman" w:cs="Times New Roman"/>
          </w:rPr>
          <w:t>https://doi.org/10.2989/10220119.2014.939996</w:t>
        </w:r>
      </w:hyperlink>
    </w:p>
    <w:p w14:paraId="2F659E7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O’Hare, G., Sweeney, J., &amp; Wilby, R. (Eds.). (2005). </w:t>
      </w:r>
      <w:r w:rsidRPr="009B0448">
        <w:rPr>
          <w:rFonts w:ascii="Times New Roman" w:eastAsiaTheme="minorHAnsi" w:hAnsi="Times New Roman" w:cs="Times New Roman"/>
          <w:i/>
          <w:color w:val="auto"/>
        </w:rPr>
        <w:t>Weather, climate, and climate change: human perspectives</w:t>
      </w:r>
      <w:r w:rsidRPr="009B0448">
        <w:rPr>
          <w:rFonts w:ascii="Times New Roman" w:eastAsiaTheme="minorHAnsi" w:hAnsi="Times New Roman" w:cs="Times New Roman"/>
          <w:color w:val="auto"/>
        </w:rPr>
        <w:t xml:space="preserve">. </w:t>
      </w:r>
      <w:hyperlink r:id="rId1389" w:history="1">
        <w:r w:rsidRPr="009B0448">
          <w:rPr>
            <w:rStyle w:val="Hyperlink"/>
            <w:rFonts w:ascii="Times New Roman" w:eastAsiaTheme="minorHAnsi" w:hAnsi="Times New Roman" w:cs="Times New Roman"/>
          </w:rPr>
          <w:t>https://doi.org/10.1002/wea.180</w:t>
        </w:r>
      </w:hyperlink>
      <w:r w:rsidRPr="009B0448">
        <w:rPr>
          <w:rFonts w:ascii="Times New Roman" w:eastAsiaTheme="minorHAnsi" w:hAnsi="Times New Roman" w:cs="Times New Roman"/>
          <w:color w:val="auto"/>
        </w:rPr>
        <w:t xml:space="preserve"> </w:t>
      </w:r>
    </w:p>
    <w:p w14:paraId="687DFA6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O’Laughlin, J. (2005). Policies for risk assessment in federal land and resource management decisions. </w:t>
      </w:r>
      <w:r w:rsidRPr="009B0448">
        <w:rPr>
          <w:rFonts w:ascii="Times New Roman" w:hAnsi="Times New Roman" w:cs="Times New Roman"/>
          <w:i/>
          <w:color w:val="auto"/>
        </w:rPr>
        <w:t>Forest Ecology and Management, 211</w:t>
      </w:r>
      <w:r w:rsidRPr="009B0448">
        <w:rPr>
          <w:rFonts w:ascii="Times New Roman" w:hAnsi="Times New Roman" w:cs="Times New Roman"/>
          <w:color w:val="auto"/>
        </w:rPr>
        <w:t>, 15</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27. </w:t>
      </w:r>
      <w:hyperlink r:id="rId1390" w:history="1">
        <w:r w:rsidRPr="009B0448">
          <w:rPr>
            <w:rStyle w:val="Hyperlink"/>
            <w:rFonts w:ascii="Times New Roman" w:hAnsi="Times New Roman" w:cs="Times New Roman"/>
          </w:rPr>
          <w:t>https://doi.org/10.1016/j.foreco.2005.01.023</w:t>
        </w:r>
      </w:hyperlink>
      <w:r w:rsidRPr="009B0448">
        <w:rPr>
          <w:rFonts w:ascii="Times New Roman" w:hAnsi="Times New Roman" w:cs="Times New Roman"/>
          <w:color w:val="auto"/>
        </w:rPr>
        <w:t xml:space="preserve"> </w:t>
      </w:r>
    </w:p>
    <w:p w14:paraId="43FCF95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Oates, J. F., Abedi-Lartey, M., McGraw, W. S., Struhsaker, T. T., &amp; Whitesides, G. (2000). Extinction of a West African red colubus monkey. </w:t>
      </w:r>
      <w:r w:rsidRPr="009B0448">
        <w:rPr>
          <w:rFonts w:ascii="Times New Roman" w:hAnsi="Times New Roman" w:cs="Times New Roman"/>
          <w:i/>
          <w:color w:val="auto"/>
        </w:rPr>
        <w:t>Conservation Biology, 14</w:t>
      </w:r>
      <w:r w:rsidRPr="009B0448">
        <w:rPr>
          <w:rFonts w:ascii="Times New Roman" w:hAnsi="Times New Roman" w:cs="Times New Roman"/>
          <w:color w:val="auto"/>
        </w:rPr>
        <w:t>(5), 1526</w:t>
      </w:r>
      <w:r w:rsidRPr="009B0448">
        <w:rPr>
          <w:rFonts w:ascii="Times New Roman" w:eastAsiaTheme="minorHAnsi" w:hAnsi="Times New Roman" w:cs="Times New Roman"/>
          <w:color w:val="auto"/>
        </w:rPr>
        <w:t>–</w:t>
      </w:r>
      <w:r w:rsidRPr="009B0448">
        <w:rPr>
          <w:rFonts w:ascii="Times New Roman" w:hAnsi="Times New Roman" w:cs="Times New Roman"/>
          <w:color w:val="auto"/>
        </w:rPr>
        <w:t>1532.</w:t>
      </w:r>
      <w:r w:rsidRPr="009B0448">
        <w:rPr>
          <w:rFonts w:ascii="Times New Roman" w:hAnsi="Times New Roman" w:cs="Times New Roman"/>
        </w:rPr>
        <w:t xml:space="preserve"> </w:t>
      </w:r>
      <w:hyperlink r:id="rId1391" w:history="1">
        <w:r w:rsidRPr="009B0448">
          <w:rPr>
            <w:rStyle w:val="Hyperlink"/>
            <w:rFonts w:ascii="Times New Roman" w:hAnsi="Times New Roman" w:cs="Times New Roman"/>
          </w:rPr>
          <w:t>https://doi.org/10.1046/j.1523-1739.2000.99230.x</w:t>
        </w:r>
      </w:hyperlink>
      <w:r w:rsidRPr="009B0448">
        <w:rPr>
          <w:rFonts w:ascii="Times New Roman" w:hAnsi="Times New Roman" w:cs="Times New Roman"/>
          <w:color w:val="auto"/>
        </w:rPr>
        <w:t xml:space="preserve"> </w:t>
      </w:r>
    </w:p>
    <w:p w14:paraId="5AF6855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Obeng-Odoom, F. (2013). The state of African cities 2010: Governance, inequality and urban land markets. </w:t>
      </w:r>
      <w:r w:rsidRPr="009B0448">
        <w:rPr>
          <w:rFonts w:ascii="Times New Roman" w:hAnsi="Times New Roman" w:cs="Times New Roman"/>
          <w:i/>
          <w:color w:val="auto"/>
        </w:rPr>
        <w:t>Cities, 31</w:t>
      </w:r>
      <w:r w:rsidRPr="009B0448">
        <w:rPr>
          <w:rFonts w:ascii="Times New Roman" w:hAnsi="Times New Roman" w:cs="Times New Roman"/>
          <w:color w:val="auto"/>
        </w:rPr>
        <w:t>, 425</w:t>
      </w:r>
      <w:r w:rsidRPr="009B0448">
        <w:rPr>
          <w:rFonts w:ascii="Times New Roman" w:eastAsiaTheme="minorHAnsi" w:hAnsi="Times New Roman" w:cs="Times New Roman"/>
          <w:color w:val="auto"/>
        </w:rPr>
        <w:t>–</w:t>
      </w:r>
      <w:r w:rsidRPr="009B0448">
        <w:rPr>
          <w:rFonts w:ascii="Times New Roman" w:hAnsi="Times New Roman" w:cs="Times New Roman"/>
          <w:color w:val="auto"/>
        </w:rPr>
        <w:t>429.</w:t>
      </w:r>
      <w:r w:rsidRPr="009B0448">
        <w:rPr>
          <w:rFonts w:ascii="Times New Roman" w:hAnsi="Times New Roman" w:cs="Times New Roman"/>
        </w:rPr>
        <w:t xml:space="preserve"> </w:t>
      </w:r>
      <w:hyperlink r:id="rId1392" w:history="1">
        <w:r w:rsidRPr="009B0448">
          <w:rPr>
            <w:rStyle w:val="Hyperlink"/>
            <w:rFonts w:ascii="Times New Roman" w:hAnsi="Times New Roman" w:cs="Times New Roman"/>
          </w:rPr>
          <w:t>https://doi.org/10.1016/j.cities.2012.07.007</w:t>
        </w:r>
      </w:hyperlink>
      <w:r w:rsidRPr="009B0448">
        <w:rPr>
          <w:rFonts w:ascii="Times New Roman" w:hAnsi="Times New Roman" w:cs="Times New Roman"/>
          <w:color w:val="auto"/>
        </w:rPr>
        <w:t xml:space="preserve"> </w:t>
      </w:r>
    </w:p>
    <w:p w14:paraId="3E65B19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Oberholster, P. J., Myburgh, J. G., Govender, D., Bengis, R., &amp; Botha, A-M. (2009). Identification of toxigenic Microcystis strains after incidents of wild animal mortalities in the Kruger National Park, South Africa. </w:t>
      </w:r>
      <w:r w:rsidRPr="009B0448">
        <w:rPr>
          <w:rFonts w:ascii="Times New Roman" w:hAnsi="Times New Roman" w:cs="Times New Roman"/>
          <w:i/>
          <w:color w:val="auto"/>
        </w:rPr>
        <w:t>Ecotoxicology and Environmental Safety, 72</w:t>
      </w:r>
      <w:r w:rsidRPr="009B0448">
        <w:rPr>
          <w:rFonts w:ascii="Times New Roman" w:hAnsi="Times New Roman" w:cs="Times New Roman"/>
          <w:color w:val="auto"/>
        </w:rPr>
        <w:t>(4), 1177</w:t>
      </w:r>
      <w:r w:rsidRPr="009B0448">
        <w:rPr>
          <w:rFonts w:ascii="Times New Roman" w:eastAsiaTheme="minorHAnsi" w:hAnsi="Times New Roman" w:cs="Times New Roman"/>
          <w:color w:val="auto"/>
        </w:rPr>
        <w:t>–</w:t>
      </w:r>
      <w:r w:rsidRPr="009B0448">
        <w:rPr>
          <w:rFonts w:ascii="Times New Roman" w:hAnsi="Times New Roman" w:cs="Times New Roman"/>
          <w:color w:val="auto"/>
        </w:rPr>
        <w:t>1182.</w:t>
      </w:r>
      <w:r w:rsidRPr="009B0448">
        <w:rPr>
          <w:rFonts w:ascii="Times New Roman" w:hAnsi="Times New Roman" w:cs="Times New Roman"/>
        </w:rPr>
        <w:t xml:space="preserve"> </w:t>
      </w:r>
      <w:hyperlink r:id="rId1393" w:history="1">
        <w:r w:rsidRPr="009B0448">
          <w:rPr>
            <w:rStyle w:val="Hyperlink"/>
            <w:rFonts w:ascii="Times New Roman" w:hAnsi="Times New Roman" w:cs="Times New Roman"/>
          </w:rPr>
          <w:t>https://doi.org/10.1016/j.ecoenv.2008.12.014</w:t>
        </w:r>
      </w:hyperlink>
    </w:p>
    <w:p w14:paraId="5E5BECE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Obioha, E. E., Isiugo, P. N., Jimoh, S. O., Ikyaagba, S. O., Ngoufo, R., Serge, K. S. B. K., &amp; Waltert, M. (2012). Bush meat harvesting and human subsistence nexus in the Oban hill communities of Nigeria. </w:t>
      </w:r>
      <w:r w:rsidRPr="009B0448">
        <w:rPr>
          <w:rFonts w:ascii="Times New Roman" w:hAnsi="Times New Roman" w:cs="Times New Roman"/>
          <w:i/>
          <w:color w:val="auto"/>
        </w:rPr>
        <w:t>Journal of Human Ecology, 38</w:t>
      </w:r>
      <w:r w:rsidRPr="009B0448">
        <w:rPr>
          <w:rFonts w:ascii="Times New Roman" w:hAnsi="Times New Roman" w:cs="Times New Roman"/>
          <w:color w:val="auto"/>
        </w:rPr>
        <w:t>(1), 49</w:t>
      </w:r>
      <w:r w:rsidRPr="009B0448">
        <w:rPr>
          <w:rFonts w:ascii="Times New Roman" w:eastAsiaTheme="minorHAnsi" w:hAnsi="Times New Roman" w:cs="Times New Roman"/>
          <w:color w:val="auto"/>
        </w:rPr>
        <w:t>–</w:t>
      </w:r>
      <w:r w:rsidRPr="009B0448">
        <w:rPr>
          <w:rFonts w:ascii="Times New Roman" w:hAnsi="Times New Roman" w:cs="Times New Roman"/>
          <w:color w:val="auto"/>
        </w:rPr>
        <w:t>64.</w:t>
      </w:r>
      <w:r w:rsidRPr="009B0448">
        <w:rPr>
          <w:rFonts w:ascii="Times New Roman" w:hAnsi="Times New Roman" w:cs="Times New Roman"/>
        </w:rPr>
        <w:t xml:space="preserve"> </w:t>
      </w:r>
      <w:hyperlink r:id="rId1394" w:history="1">
        <w:r w:rsidRPr="009B0448">
          <w:rPr>
            <w:rStyle w:val="Hyperlink"/>
            <w:rFonts w:ascii="Times New Roman" w:hAnsi="Times New Roman" w:cs="Times New Roman"/>
          </w:rPr>
          <w:t>https://doi.org/10.1080/09709274.2012.11906474</w:t>
        </w:r>
      </w:hyperlink>
      <w:r w:rsidRPr="009B0448">
        <w:rPr>
          <w:rFonts w:ascii="Times New Roman" w:hAnsi="Times New Roman" w:cs="Times New Roman"/>
          <w:color w:val="auto"/>
        </w:rPr>
        <w:t xml:space="preserve"> </w:t>
      </w:r>
    </w:p>
    <w:p w14:paraId="079BAF4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Odada, E. O., Olago, D. O., Kulindwa, K., Ntiba, M., &amp; Wandiga, S. (2004). Mitigation of environmental problems in Lake Victoria, East Africa: Causal chain and policy options analyses. </w:t>
      </w:r>
      <w:r w:rsidRPr="009B0448">
        <w:rPr>
          <w:rFonts w:ascii="Times New Roman" w:hAnsi="Times New Roman" w:cs="Times New Roman"/>
          <w:i/>
          <w:color w:val="auto"/>
        </w:rPr>
        <w:t>Ambio: A Journal of the human environment, 33</w:t>
      </w:r>
      <w:r w:rsidRPr="009B0448">
        <w:rPr>
          <w:rFonts w:ascii="Times New Roman" w:hAnsi="Times New Roman" w:cs="Times New Roman"/>
          <w:color w:val="auto"/>
        </w:rPr>
        <w:t>(1), 13–23.</w:t>
      </w:r>
      <w:r w:rsidRPr="009B0448">
        <w:rPr>
          <w:rFonts w:ascii="Times New Roman" w:hAnsi="Times New Roman" w:cs="Times New Roman"/>
        </w:rPr>
        <w:t xml:space="preserve"> </w:t>
      </w:r>
      <w:hyperlink r:id="rId1395" w:history="1">
        <w:r w:rsidRPr="009B0448">
          <w:rPr>
            <w:rStyle w:val="Hyperlink"/>
            <w:rFonts w:ascii="Times New Roman" w:hAnsi="Times New Roman" w:cs="Times New Roman"/>
          </w:rPr>
          <w:t>https://doi.org/10.1579/0044-7447-33.1.13</w:t>
        </w:r>
      </w:hyperlink>
      <w:r w:rsidRPr="009B0448">
        <w:rPr>
          <w:rFonts w:ascii="Times New Roman" w:hAnsi="Times New Roman" w:cs="Times New Roman"/>
          <w:color w:val="auto"/>
        </w:rPr>
        <w:t xml:space="preserve"> </w:t>
      </w:r>
    </w:p>
    <w:p w14:paraId="7AA04FC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Odido, D., &amp; Madara, D. (2013). Emerging technologies: Use of unmanned aerial systems in the realisation of vision 2030 goals in the counties. </w:t>
      </w:r>
      <w:r w:rsidRPr="009B0448">
        <w:rPr>
          <w:rFonts w:ascii="Times New Roman" w:hAnsi="Times New Roman" w:cs="Times New Roman"/>
          <w:i/>
          <w:color w:val="auto"/>
        </w:rPr>
        <w:t>International Journal of Applied Science and Technology, 3</w:t>
      </w:r>
      <w:r w:rsidRPr="009B0448">
        <w:rPr>
          <w:rFonts w:ascii="Times New Roman" w:hAnsi="Times New Roman" w:cs="Times New Roman"/>
          <w:color w:val="auto"/>
        </w:rPr>
        <w:t>(8), 107</w:t>
      </w:r>
      <w:r w:rsidRPr="009B0448">
        <w:rPr>
          <w:rFonts w:ascii="Times New Roman" w:eastAsiaTheme="minorHAnsi" w:hAnsi="Times New Roman" w:cs="Times New Roman"/>
          <w:color w:val="auto"/>
        </w:rPr>
        <w:t>–</w:t>
      </w:r>
      <w:r w:rsidRPr="009B0448">
        <w:rPr>
          <w:rFonts w:ascii="Times New Roman" w:hAnsi="Times New Roman" w:cs="Times New Roman"/>
          <w:color w:val="auto"/>
        </w:rPr>
        <w:t>127.</w:t>
      </w:r>
      <w:r w:rsidRPr="009B0448">
        <w:rPr>
          <w:rFonts w:ascii="Times New Roman" w:hAnsi="Times New Roman" w:cs="Times New Roman"/>
        </w:rPr>
        <w:t xml:space="preserve"> </w:t>
      </w:r>
      <w:hyperlink r:id="rId1396" w:history="1">
        <w:r w:rsidRPr="009B0448">
          <w:rPr>
            <w:rStyle w:val="Hyperlink"/>
            <w:rFonts w:ascii="Times New Roman" w:hAnsi="Times New Roman" w:cs="Times New Roman"/>
          </w:rPr>
          <w:t>https://doi.org/10.1080/09709274.2012.11906474</w:t>
        </w:r>
      </w:hyperlink>
    </w:p>
    <w:p w14:paraId="73221B8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OECD. (2011). </w:t>
      </w:r>
      <w:r w:rsidRPr="009B0448">
        <w:rPr>
          <w:rFonts w:ascii="Times New Roman" w:hAnsi="Times New Roman" w:cs="Times New Roman"/>
          <w:i/>
          <w:color w:val="auto"/>
        </w:rPr>
        <w:t>Towards green growth: A summary for policy makers</w:t>
      </w:r>
      <w:r w:rsidRPr="009B0448">
        <w:rPr>
          <w:rFonts w:ascii="Times New Roman" w:hAnsi="Times New Roman" w:cs="Times New Roman"/>
          <w:color w:val="auto"/>
        </w:rPr>
        <w:t xml:space="preserve">. Paris, France: OECD. Retrieved from </w:t>
      </w:r>
      <w:hyperlink r:id="rId1397" w:history="1">
        <w:r w:rsidRPr="009B0448">
          <w:rPr>
            <w:rStyle w:val="Hyperlink"/>
            <w:rFonts w:ascii="Times New Roman" w:hAnsi="Times New Roman" w:cs="Times New Roman"/>
          </w:rPr>
          <w:t>https://www.oecd.org/greengrowth/48012345.pdf</w:t>
        </w:r>
      </w:hyperlink>
      <w:r w:rsidRPr="009B0448">
        <w:rPr>
          <w:rFonts w:ascii="Times New Roman" w:hAnsi="Times New Roman" w:cs="Times New Roman"/>
          <w:color w:val="auto"/>
        </w:rPr>
        <w:t xml:space="preserve">  </w:t>
      </w:r>
    </w:p>
    <w:p w14:paraId="7E85E7F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Ogada, M. O. (2016). Conservation for tourism in Kenyan rangelands: A new threat to pastoral community livelihoods. In UNU-IAS, &amp; IR3S/UTIAS (Eds.),</w:t>
      </w:r>
      <w:r w:rsidRPr="009B0448">
        <w:rPr>
          <w:rFonts w:ascii="Times New Roman" w:hAnsi="Times New Roman" w:cs="Times New Roman"/>
          <w:i/>
          <w:color w:val="auto"/>
        </w:rPr>
        <w:t xml:space="preserve"> Socio-ecological production landscapes and seascapes in Africa</w:t>
      </w:r>
      <w:r w:rsidRPr="009B0448">
        <w:rPr>
          <w:rFonts w:ascii="Times New Roman" w:hAnsi="Times New Roman" w:cs="Times New Roman"/>
          <w:color w:val="auto"/>
        </w:rPr>
        <w:t xml:space="preserve"> (pp. 75</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82). Tokyo, Japan: United Nations University Institute for the Advanced Study of Sustainability. Retrieved from </w:t>
      </w:r>
      <w:hyperlink r:id="rId1398" w:history="1">
        <w:r w:rsidRPr="009B0448">
          <w:rPr>
            <w:rStyle w:val="Hyperlink"/>
            <w:rFonts w:ascii="Times New Roman" w:hAnsi="Times New Roman" w:cs="Times New Roman"/>
          </w:rPr>
          <w:t>https://collections.unu.edu/eserv/UNU:5769/SEPLS_in_Africa_FINAL_lowres_web.pdf</w:t>
        </w:r>
      </w:hyperlink>
      <w:r w:rsidRPr="009B0448">
        <w:rPr>
          <w:rFonts w:ascii="Times New Roman" w:hAnsi="Times New Roman" w:cs="Times New Roman"/>
          <w:color w:val="auto"/>
        </w:rPr>
        <w:t xml:space="preserve"> </w:t>
      </w:r>
    </w:p>
    <w:p w14:paraId="722119A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Ogada, M. O., Aloo, P. A., &amp; Muruthi, P. M. (2009). The African clawless otter (</w:t>
      </w:r>
      <w:r w:rsidRPr="009B0448">
        <w:rPr>
          <w:rFonts w:ascii="Times New Roman" w:eastAsiaTheme="minorHAnsi" w:hAnsi="Times New Roman" w:cs="Times New Roman"/>
          <w:i/>
          <w:color w:val="auto"/>
        </w:rPr>
        <w:t>Aonyx capensis</w:t>
      </w:r>
      <w:r w:rsidRPr="009B0448">
        <w:rPr>
          <w:rFonts w:ascii="Times New Roman" w:eastAsiaTheme="minorHAnsi" w:hAnsi="Times New Roman" w:cs="Times New Roman"/>
          <w:color w:val="auto"/>
        </w:rPr>
        <w:t xml:space="preserve"> Schinz, 1821) and its diet as an indicator of crayfish invasion dynamics in aquatic systems. </w:t>
      </w:r>
      <w:r w:rsidRPr="009B0448">
        <w:rPr>
          <w:rFonts w:ascii="Times New Roman" w:eastAsiaTheme="minorHAnsi" w:hAnsi="Times New Roman" w:cs="Times New Roman"/>
          <w:i/>
          <w:color w:val="auto"/>
        </w:rPr>
        <w:t xml:space="preserve">African Journal of Ecology 47(1), </w:t>
      </w:r>
      <w:r w:rsidRPr="009B0448">
        <w:rPr>
          <w:rFonts w:ascii="Times New Roman" w:eastAsiaTheme="minorHAnsi" w:hAnsi="Times New Roman" w:cs="Times New Roman"/>
          <w:color w:val="auto"/>
        </w:rPr>
        <w:t>119–120</w:t>
      </w:r>
      <w:r w:rsidRPr="009B0448">
        <w:rPr>
          <w:rFonts w:ascii="Times New Roman" w:eastAsiaTheme="minorHAnsi" w:hAnsi="Times New Roman" w:cs="Times New Roman"/>
          <w:i/>
          <w:color w:val="auto"/>
        </w:rPr>
        <w:t xml:space="preserve">. </w:t>
      </w:r>
      <w:hyperlink r:id="rId1399" w:history="1">
        <w:r w:rsidRPr="009B0448">
          <w:rPr>
            <w:rStyle w:val="Hyperlink"/>
            <w:rFonts w:ascii="Times New Roman" w:eastAsiaTheme="minorHAnsi" w:hAnsi="Times New Roman" w:cs="Times New Roman"/>
          </w:rPr>
          <w:t>https://doi.org/10.1111/j.1365-2028.2007.00910.x</w:t>
        </w:r>
      </w:hyperlink>
      <w:r w:rsidRPr="009B0448">
        <w:rPr>
          <w:rFonts w:ascii="Times New Roman" w:eastAsiaTheme="minorHAnsi" w:hAnsi="Times New Roman" w:cs="Times New Roman"/>
          <w:color w:val="auto"/>
        </w:rPr>
        <w:t xml:space="preserve"> </w:t>
      </w:r>
    </w:p>
    <w:p w14:paraId="7AE18ED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Oguge, N. O. (2016). Landscape ethnoecological knowledge base and management of ecosystem services among the Samburu of Northern Kenya. In M. Rou, N. Cesard, Y. C. Adou Yao, &amp; A. Oteng-Yeboah (Eds.), </w:t>
      </w:r>
      <w:r w:rsidRPr="009B0448">
        <w:rPr>
          <w:rFonts w:ascii="Times New Roman" w:eastAsiaTheme="minorHAnsi" w:hAnsi="Times New Roman" w:cs="Times New Roman"/>
          <w:i/>
          <w:color w:val="auto"/>
        </w:rPr>
        <w:t>Indigenous and local knowledge of biodiversity and ecosystem services in Africa</w:t>
      </w:r>
      <w:r w:rsidRPr="009B0448">
        <w:rPr>
          <w:rFonts w:ascii="Times New Roman" w:eastAsiaTheme="minorHAnsi" w:hAnsi="Times New Roman" w:cs="Times New Roman"/>
          <w:color w:val="auto"/>
        </w:rPr>
        <w:t xml:space="preserve"> (pp. 18–29). Paris, France: UNESCO. Retrieved from </w:t>
      </w:r>
      <w:hyperlink r:id="rId1400" w:history="1">
        <w:r w:rsidRPr="009B0448">
          <w:rPr>
            <w:rStyle w:val="Hyperlink"/>
            <w:rFonts w:ascii="Times New Roman" w:eastAsiaTheme="minorHAnsi" w:hAnsi="Times New Roman" w:cs="Times New Roman"/>
          </w:rPr>
          <w:t>http://climatefrontlines.org/sites/default/files/ipbes/IPBES_in_Africa_2015.pdf</w:t>
        </w:r>
      </w:hyperlink>
      <w:r w:rsidRPr="009B0448">
        <w:rPr>
          <w:rFonts w:ascii="Times New Roman" w:eastAsiaTheme="minorHAnsi" w:hAnsi="Times New Roman" w:cs="Times New Roman"/>
          <w:color w:val="auto"/>
        </w:rPr>
        <w:t xml:space="preserve"> </w:t>
      </w:r>
    </w:p>
    <w:p w14:paraId="3A323F27"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Ogutu-Ohwayo, R. (1999). Nile perch in Lake Victoria: The balance between benefits and negative impacts of aliens. In O. T. Sanlund, &amp; P. J. Schei (Eds.), </w:t>
      </w:r>
      <w:r w:rsidRPr="009B0448">
        <w:rPr>
          <w:rFonts w:ascii="Times New Roman" w:eastAsiaTheme="minorHAnsi" w:hAnsi="Times New Roman" w:cs="Times New Roman"/>
          <w:i/>
          <w:color w:val="auto"/>
        </w:rPr>
        <w:t xml:space="preserve">Invasive species and biodiversity management </w:t>
      </w:r>
      <w:r w:rsidRPr="009B0448">
        <w:rPr>
          <w:rFonts w:ascii="Times New Roman" w:eastAsiaTheme="minorHAnsi" w:hAnsi="Times New Roman" w:cs="Times New Roman"/>
          <w:color w:val="auto"/>
        </w:rPr>
        <w:t>(pp. 47–63). Dordrecht, Netherlands: Kluwer Academic Publishers.</w:t>
      </w:r>
    </w:p>
    <w:p w14:paraId="34AD7BA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Okeniyia, S. O., Egwaikhideb, P. A., Akporhonorc, E. E., &amp; Obazed, I. E. (2009). Distribution of organochlorine and polychlorinated pesticide residue in water bodies of some rivers in Northern Nigeria. </w:t>
      </w:r>
      <w:r w:rsidRPr="009B0448">
        <w:rPr>
          <w:rFonts w:ascii="Times New Roman" w:hAnsi="Times New Roman" w:cs="Times New Roman"/>
          <w:i/>
          <w:color w:val="auto"/>
        </w:rPr>
        <w:t>Electronic Journal of Environmental, Agricultural and Food Chemistry, 8</w:t>
      </w:r>
      <w:r w:rsidRPr="009B0448">
        <w:rPr>
          <w:rFonts w:ascii="Times New Roman" w:hAnsi="Times New Roman" w:cs="Times New Roman"/>
          <w:color w:val="auto"/>
        </w:rPr>
        <w:t>(12), 1269</w:t>
      </w:r>
      <w:r w:rsidRPr="009B0448">
        <w:rPr>
          <w:rFonts w:ascii="Times New Roman" w:eastAsiaTheme="minorHAnsi" w:hAnsi="Times New Roman" w:cs="Times New Roman"/>
          <w:color w:val="auto"/>
        </w:rPr>
        <w:t>–</w:t>
      </w:r>
      <w:r w:rsidRPr="009B0448">
        <w:rPr>
          <w:rFonts w:ascii="Times New Roman" w:hAnsi="Times New Roman" w:cs="Times New Roman"/>
          <w:color w:val="auto"/>
        </w:rPr>
        <w:t>1274.</w:t>
      </w:r>
      <w:r w:rsidRPr="009B0448">
        <w:rPr>
          <w:rFonts w:ascii="Times New Roman" w:hAnsi="Times New Roman" w:cs="Times New Roman"/>
        </w:rPr>
        <w:t xml:space="preserve"> </w:t>
      </w:r>
      <w:hyperlink r:id="rId1401" w:history="1">
        <w:r w:rsidRPr="009B0448">
          <w:rPr>
            <w:rStyle w:val="Hyperlink"/>
            <w:rFonts w:ascii="Times New Roman" w:hAnsi="Times New Roman" w:cs="Times New Roman"/>
          </w:rPr>
          <w:t>https://doi.org/10.1186/s40550-015-0009-z</w:t>
        </w:r>
      </w:hyperlink>
    </w:p>
    <w:p w14:paraId="7E6EAB1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Olade, M. A. (1987). Heavy metal pollution and the need for monitoring: Illustrated for developing countries in West Africa, Chapter 20. In T. C. Hutchinson, &amp; K. M. Meema (Eds.), </w:t>
      </w:r>
      <w:r w:rsidRPr="009B0448">
        <w:rPr>
          <w:rFonts w:ascii="Times New Roman" w:hAnsi="Times New Roman" w:cs="Times New Roman"/>
          <w:i/>
          <w:color w:val="auto"/>
        </w:rPr>
        <w:t xml:space="preserve">Lead, Mercury, Cadmium and arsenic in the environment </w:t>
      </w:r>
      <w:r w:rsidRPr="009B0448">
        <w:rPr>
          <w:rFonts w:ascii="Times New Roman" w:hAnsi="Times New Roman" w:cs="Times New Roman"/>
          <w:color w:val="auto"/>
        </w:rPr>
        <w:t>(pp. 335</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341). Nigeria: John Wiley and Sons Ltd. Retrieved from </w:t>
      </w:r>
      <w:hyperlink r:id="rId1402" w:history="1">
        <w:r w:rsidRPr="009B0448">
          <w:rPr>
            <w:rStyle w:val="Hyperlink"/>
            <w:rFonts w:ascii="Times New Roman" w:hAnsi="Times New Roman" w:cs="Times New Roman"/>
          </w:rPr>
          <w:t>https://portals.iucn.org/library/node/24905</w:t>
        </w:r>
      </w:hyperlink>
      <w:r w:rsidRPr="009B0448">
        <w:rPr>
          <w:rFonts w:ascii="Times New Roman" w:hAnsi="Times New Roman" w:cs="Times New Roman"/>
          <w:color w:val="auto"/>
        </w:rPr>
        <w:t xml:space="preserve"> </w:t>
      </w:r>
    </w:p>
    <w:p w14:paraId="76A7366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Olago, D. O. (2001). Vegetation changes over paleo-time scales in Africa. </w:t>
      </w:r>
      <w:r w:rsidRPr="009B0448">
        <w:rPr>
          <w:rFonts w:ascii="Times New Roman" w:hAnsi="Times New Roman" w:cs="Times New Roman"/>
          <w:i/>
          <w:color w:val="auto"/>
        </w:rPr>
        <w:t>Climate Research, 17</w:t>
      </w:r>
      <w:r w:rsidRPr="009B0448">
        <w:rPr>
          <w:rFonts w:ascii="Times New Roman" w:hAnsi="Times New Roman" w:cs="Times New Roman"/>
          <w:color w:val="auto"/>
        </w:rPr>
        <w:t>, 105</w:t>
      </w:r>
      <w:r w:rsidRPr="009B0448">
        <w:rPr>
          <w:rFonts w:ascii="Times New Roman" w:eastAsiaTheme="minorHAnsi" w:hAnsi="Times New Roman" w:cs="Times New Roman"/>
          <w:color w:val="auto"/>
        </w:rPr>
        <w:t>–</w:t>
      </w:r>
      <w:r w:rsidRPr="009B0448">
        <w:rPr>
          <w:rFonts w:ascii="Times New Roman" w:hAnsi="Times New Roman" w:cs="Times New Roman"/>
          <w:color w:val="auto"/>
        </w:rPr>
        <w:t>121.</w:t>
      </w:r>
      <w:r w:rsidRPr="009B0448">
        <w:rPr>
          <w:rFonts w:ascii="Times New Roman" w:hAnsi="Times New Roman" w:cs="Times New Roman"/>
        </w:rPr>
        <w:t xml:space="preserve"> </w:t>
      </w:r>
      <w:hyperlink r:id="rId1403" w:history="1">
        <w:r w:rsidRPr="009B0448">
          <w:rPr>
            <w:rStyle w:val="Hyperlink"/>
            <w:rFonts w:ascii="Times New Roman" w:hAnsi="Times New Roman" w:cs="Times New Roman"/>
          </w:rPr>
          <w:t>https://doi.org/10.3354/cr017105</w:t>
        </w:r>
      </w:hyperlink>
      <w:r w:rsidRPr="009B0448">
        <w:rPr>
          <w:rFonts w:ascii="Times New Roman" w:hAnsi="Times New Roman" w:cs="Times New Roman"/>
          <w:color w:val="auto"/>
        </w:rPr>
        <w:t xml:space="preserve"> </w:t>
      </w:r>
    </w:p>
    <w:p w14:paraId="07DED02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Olujimi, O. O., Fatoki, O. S., Odendaal, J. P., &amp; Okonkwo, J. O. (2010). Endocrine disrupting chemicals (phenol and phthalates) in the South African environment: A need for more monitoring. </w:t>
      </w:r>
      <w:r w:rsidRPr="009B0448">
        <w:rPr>
          <w:rFonts w:ascii="Times New Roman" w:hAnsi="Times New Roman" w:cs="Times New Roman"/>
          <w:i/>
          <w:color w:val="auto"/>
        </w:rPr>
        <w:t>Water South Africa, 36</w:t>
      </w:r>
      <w:r w:rsidRPr="009B0448">
        <w:rPr>
          <w:rFonts w:ascii="Times New Roman" w:hAnsi="Times New Roman" w:cs="Times New Roman"/>
          <w:color w:val="auto"/>
        </w:rPr>
        <w:t>(5), 671</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682. </w:t>
      </w:r>
      <w:hyperlink r:id="rId1404" w:history="1">
        <w:r w:rsidRPr="009B0448">
          <w:rPr>
            <w:rStyle w:val="Hyperlink"/>
            <w:rFonts w:ascii="Times New Roman" w:hAnsi="Times New Roman" w:cs="Times New Roman"/>
          </w:rPr>
          <w:t>https://doi.org/10.4314/wsa.v36i5.62001</w:t>
        </w:r>
      </w:hyperlink>
      <w:r w:rsidRPr="009B0448">
        <w:rPr>
          <w:rFonts w:ascii="Times New Roman" w:hAnsi="Times New Roman" w:cs="Times New Roman"/>
          <w:color w:val="auto"/>
        </w:rPr>
        <w:t xml:space="preserve"> </w:t>
      </w:r>
    </w:p>
    <w:p w14:paraId="09E5488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Omwoma, S., Lalah, J. O., Virani, M., Schramm, K-W., &amp; Henkelmann, B. (2015). Dioxin-like PCBs and PCDD/Fs in surface sediments near the shore of Winam Gulf, Lake Victoria. </w:t>
      </w:r>
      <w:r w:rsidRPr="009B0448">
        <w:rPr>
          <w:rFonts w:ascii="Times New Roman" w:hAnsi="Times New Roman" w:cs="Times New Roman"/>
          <w:i/>
          <w:color w:val="auto"/>
        </w:rPr>
        <w:t>Chemosphere, 118</w:t>
      </w:r>
      <w:r w:rsidRPr="009B0448">
        <w:rPr>
          <w:rFonts w:ascii="Times New Roman" w:hAnsi="Times New Roman" w:cs="Times New Roman"/>
          <w:color w:val="auto"/>
        </w:rPr>
        <w:t>(1), 143–147.</w:t>
      </w:r>
      <w:r w:rsidRPr="009B0448">
        <w:rPr>
          <w:rFonts w:ascii="Times New Roman" w:hAnsi="Times New Roman" w:cs="Times New Roman"/>
        </w:rPr>
        <w:t xml:space="preserve"> </w:t>
      </w:r>
      <w:hyperlink r:id="rId1405" w:history="1">
        <w:r w:rsidRPr="009B0448">
          <w:rPr>
            <w:rStyle w:val="Hyperlink"/>
            <w:rFonts w:ascii="Times New Roman" w:hAnsi="Times New Roman" w:cs="Times New Roman"/>
          </w:rPr>
          <w:t>https://doi.org/10.1016/j.chemosphere.2014.07.062</w:t>
        </w:r>
      </w:hyperlink>
      <w:r w:rsidRPr="009B0448">
        <w:rPr>
          <w:rFonts w:ascii="Times New Roman" w:hAnsi="Times New Roman" w:cs="Times New Roman"/>
          <w:color w:val="auto"/>
        </w:rPr>
        <w:t xml:space="preserve"> </w:t>
      </w:r>
    </w:p>
    <w:p w14:paraId="3C1D533E"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Orindi, V. A., &amp; Murray, L. A. (2005). </w:t>
      </w:r>
      <w:r w:rsidRPr="009B0448">
        <w:rPr>
          <w:rFonts w:ascii="Times New Roman" w:hAnsi="Times New Roman" w:cs="Times New Roman"/>
          <w:i/>
          <w:color w:val="auto"/>
        </w:rPr>
        <w:t>Adapting to climate change in East Africa: A strategic approach</w:t>
      </w:r>
      <w:r w:rsidRPr="009B0448">
        <w:rPr>
          <w:rFonts w:ascii="Times New Roman" w:hAnsi="Times New Roman" w:cs="Times New Roman"/>
          <w:color w:val="auto"/>
        </w:rPr>
        <w:t xml:space="preserve">. London, UK: International Institute for Environment and Development. Retrieved from </w:t>
      </w:r>
      <w:hyperlink r:id="rId1406" w:history="1">
        <w:r w:rsidRPr="009B0448">
          <w:rPr>
            <w:rStyle w:val="Hyperlink"/>
            <w:rFonts w:ascii="Times New Roman" w:hAnsi="Times New Roman" w:cs="Times New Roman"/>
          </w:rPr>
          <w:t>http://pubs.iied.org/pdfs/9544IIED.pdf</w:t>
        </w:r>
      </w:hyperlink>
      <w:r w:rsidRPr="009B0448">
        <w:rPr>
          <w:rFonts w:ascii="Times New Roman" w:hAnsi="Times New Roman" w:cs="Times New Roman"/>
          <w:color w:val="auto"/>
        </w:rPr>
        <w:t xml:space="preserve"> </w:t>
      </w:r>
    </w:p>
    <w:p w14:paraId="4C0F3B5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Osano, O., Nzyuko, D., Tole, M., &amp; Admiraal, W. (2003). The fate of chloroacetanilide herbicides and their degradation products in the Nzoia Basin, Kenya. </w:t>
      </w:r>
      <w:r w:rsidRPr="009B0448">
        <w:rPr>
          <w:rFonts w:ascii="Times New Roman" w:hAnsi="Times New Roman" w:cs="Times New Roman"/>
          <w:i/>
          <w:color w:val="auto"/>
        </w:rPr>
        <w:t>Ambio: A Journal of the Human Environment, 32</w:t>
      </w:r>
      <w:r w:rsidRPr="009B0448">
        <w:rPr>
          <w:rFonts w:ascii="Times New Roman" w:hAnsi="Times New Roman" w:cs="Times New Roman"/>
          <w:color w:val="auto"/>
        </w:rPr>
        <w:t>(6), 424</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427. </w:t>
      </w:r>
      <w:hyperlink r:id="rId1407" w:history="1">
        <w:r w:rsidRPr="009B0448">
          <w:rPr>
            <w:rStyle w:val="Hyperlink"/>
            <w:rFonts w:ascii="Times New Roman" w:hAnsi="Times New Roman" w:cs="Times New Roman"/>
          </w:rPr>
          <w:t>https://doi.org/10.1579/0044-7447-32.6.424</w:t>
        </w:r>
      </w:hyperlink>
      <w:r w:rsidRPr="009B0448">
        <w:rPr>
          <w:rFonts w:ascii="Times New Roman" w:hAnsi="Times New Roman" w:cs="Times New Roman"/>
          <w:color w:val="auto"/>
        </w:rPr>
        <w:t xml:space="preserve"> </w:t>
      </w:r>
    </w:p>
    <w:p w14:paraId="7F63DC2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Ostrom, E. (1990). </w:t>
      </w:r>
      <w:r w:rsidRPr="009B0448">
        <w:rPr>
          <w:rFonts w:ascii="Times New Roman" w:hAnsi="Times New Roman" w:cs="Times New Roman"/>
          <w:i/>
          <w:color w:val="auto"/>
        </w:rPr>
        <w:t>Governing the commons: The evolution of institutions for collective action</w:t>
      </w:r>
      <w:r w:rsidRPr="009B0448">
        <w:rPr>
          <w:rFonts w:ascii="Times New Roman" w:hAnsi="Times New Roman" w:cs="Times New Roman"/>
          <w:color w:val="auto"/>
        </w:rPr>
        <w:t xml:space="preserve">. New York: Cambridge University Press. Retrieved from </w:t>
      </w:r>
      <w:hyperlink r:id="rId1408" w:history="1">
        <w:r w:rsidRPr="009B0448">
          <w:rPr>
            <w:rStyle w:val="Hyperlink"/>
            <w:rFonts w:ascii="Times New Roman" w:hAnsi="Times New Roman" w:cs="Times New Roman"/>
          </w:rPr>
          <w:t>http://wtf.tw/ref/ostrom_1990.pdf</w:t>
        </w:r>
      </w:hyperlink>
      <w:r w:rsidRPr="009B0448">
        <w:rPr>
          <w:rFonts w:ascii="Times New Roman" w:hAnsi="Times New Roman" w:cs="Times New Roman"/>
          <w:color w:val="auto"/>
        </w:rPr>
        <w:t xml:space="preserve"> </w:t>
      </w:r>
    </w:p>
    <w:p w14:paraId="3500DD4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Oweis, T., &amp; Hachum, A. (2006). Water harvesting and supplemental irrigation for improved water productivity of dry farming systems in West Asia and North Africa. </w:t>
      </w:r>
      <w:r w:rsidRPr="009B0448">
        <w:rPr>
          <w:rFonts w:ascii="Times New Roman" w:hAnsi="Times New Roman" w:cs="Times New Roman"/>
          <w:i/>
          <w:color w:val="auto"/>
        </w:rPr>
        <w:t>Agricultural Water Management, 80</w:t>
      </w:r>
      <w:r w:rsidRPr="009B0448">
        <w:rPr>
          <w:rFonts w:ascii="Times New Roman" w:hAnsi="Times New Roman" w:cs="Times New Roman"/>
          <w:color w:val="auto"/>
        </w:rPr>
        <w:t>(1-3), 57</w:t>
      </w:r>
      <w:r w:rsidRPr="009B0448">
        <w:rPr>
          <w:rFonts w:ascii="Times New Roman" w:eastAsiaTheme="minorHAnsi" w:hAnsi="Times New Roman" w:cs="Times New Roman"/>
          <w:color w:val="auto"/>
        </w:rPr>
        <w:t>–</w:t>
      </w:r>
      <w:r w:rsidRPr="009B0448">
        <w:rPr>
          <w:rFonts w:ascii="Times New Roman" w:hAnsi="Times New Roman" w:cs="Times New Roman"/>
          <w:color w:val="auto"/>
        </w:rPr>
        <w:t>73.</w:t>
      </w:r>
      <w:r w:rsidRPr="009B0448">
        <w:rPr>
          <w:rFonts w:ascii="Times New Roman" w:hAnsi="Times New Roman" w:cs="Times New Roman"/>
        </w:rPr>
        <w:t xml:space="preserve"> </w:t>
      </w:r>
      <w:hyperlink r:id="rId1409" w:history="1">
        <w:r w:rsidRPr="009B0448">
          <w:rPr>
            <w:rStyle w:val="Hyperlink"/>
            <w:rFonts w:ascii="Times New Roman" w:hAnsi="Times New Roman" w:cs="Times New Roman"/>
          </w:rPr>
          <w:t>https://doi.org/10.1016/j.agwat.2005.07.004</w:t>
        </w:r>
      </w:hyperlink>
    </w:p>
    <w:p w14:paraId="7D36511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Owensby, C. E., Cochran, R. C. &amp; Auen, L. M. (1996). </w:t>
      </w:r>
      <w:r w:rsidRPr="009B0448">
        <w:rPr>
          <w:rFonts w:ascii="Times New Roman" w:hAnsi="Times New Roman" w:cs="Times New Roman"/>
          <w:i/>
          <w:color w:val="auto"/>
        </w:rPr>
        <w:t>Effects of elevated carbon dioxide on forage quality for ruminants</w:t>
      </w:r>
      <w:r w:rsidRPr="009B0448">
        <w:rPr>
          <w:rFonts w:ascii="Times New Roman" w:hAnsi="Times New Roman" w:cs="Times New Roman"/>
          <w:color w:val="auto"/>
        </w:rPr>
        <w:t xml:space="preserve">. Retrieved from </w:t>
      </w:r>
      <w:hyperlink r:id="rId1410" w:history="1">
        <w:r w:rsidRPr="009B0448">
          <w:rPr>
            <w:rStyle w:val="Hyperlink"/>
            <w:rFonts w:ascii="Times New Roman" w:hAnsi="Times New Roman" w:cs="Times New Roman"/>
          </w:rPr>
          <w:t>http://spuds.agron.ksu.edu/forqualco2.pdf</w:t>
        </w:r>
      </w:hyperlink>
    </w:p>
    <w:p w14:paraId="27D2178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Owen-Smith, R. N. (1988). </w:t>
      </w:r>
      <w:r w:rsidRPr="009B0448">
        <w:rPr>
          <w:rFonts w:ascii="Times New Roman" w:hAnsi="Times New Roman" w:cs="Times New Roman"/>
          <w:i/>
          <w:color w:val="auto"/>
        </w:rPr>
        <w:t>Megaherbivores, the influence of very large body size on ecology</w:t>
      </w:r>
      <w:r w:rsidRPr="009B0448">
        <w:rPr>
          <w:rFonts w:ascii="Times New Roman" w:hAnsi="Times New Roman" w:cs="Times New Roman"/>
          <w:color w:val="auto"/>
        </w:rPr>
        <w:t xml:space="preserve">. Cambridge, UK: Cambridge University Press. Retrieved from </w:t>
      </w:r>
      <w:hyperlink r:id="rId1411" w:history="1">
        <w:r w:rsidRPr="009B0448">
          <w:rPr>
            <w:rStyle w:val="Hyperlink"/>
            <w:rFonts w:ascii="Times New Roman" w:hAnsi="Times New Roman" w:cs="Times New Roman"/>
          </w:rPr>
          <w:t>http://www.rhinoresourcecenter.com/pdf_files/136/1368291242.pdf?view</w:t>
        </w:r>
      </w:hyperlink>
      <w:r w:rsidRPr="009B0448">
        <w:rPr>
          <w:rFonts w:ascii="Times New Roman" w:hAnsi="Times New Roman" w:cs="Times New Roman"/>
          <w:color w:val="auto"/>
        </w:rPr>
        <w:t xml:space="preserve"> </w:t>
      </w:r>
    </w:p>
    <w:p w14:paraId="41DD822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Ozor, N., Acheampong, E. N., &amp; Ayodotun, B. (2016). Review of policies, legislations and institutions for biodiversity information in sub-Saharan Africa. </w:t>
      </w:r>
      <w:r w:rsidRPr="009B0448">
        <w:rPr>
          <w:rFonts w:ascii="Times New Roman" w:hAnsi="Times New Roman" w:cs="Times New Roman"/>
          <w:i/>
          <w:color w:val="auto"/>
        </w:rPr>
        <w:t>International Journal of Biodiversity and Conservation, 8</w:t>
      </w:r>
      <w:r w:rsidRPr="009B0448">
        <w:rPr>
          <w:rFonts w:ascii="Times New Roman" w:hAnsi="Times New Roman" w:cs="Times New Roman"/>
          <w:color w:val="auto"/>
        </w:rPr>
        <w:t>(6), 126</w:t>
      </w:r>
      <w:r w:rsidRPr="009B0448">
        <w:rPr>
          <w:rFonts w:ascii="Times New Roman" w:eastAsiaTheme="minorHAnsi" w:hAnsi="Times New Roman" w:cs="Times New Roman"/>
          <w:color w:val="auto"/>
        </w:rPr>
        <w:t>–</w:t>
      </w:r>
      <w:r w:rsidRPr="009B0448">
        <w:rPr>
          <w:rFonts w:ascii="Times New Roman" w:hAnsi="Times New Roman" w:cs="Times New Roman"/>
          <w:color w:val="auto"/>
        </w:rPr>
        <w:t>137.</w:t>
      </w:r>
      <w:r w:rsidRPr="009B0448">
        <w:rPr>
          <w:rFonts w:ascii="Times New Roman" w:hAnsi="Times New Roman" w:cs="Times New Roman"/>
        </w:rPr>
        <w:t xml:space="preserve"> </w:t>
      </w:r>
      <w:hyperlink r:id="rId1412" w:history="1">
        <w:r w:rsidRPr="009B0448">
          <w:rPr>
            <w:rStyle w:val="Hyperlink"/>
            <w:rFonts w:ascii="Times New Roman" w:hAnsi="Times New Roman" w:cs="Times New Roman"/>
          </w:rPr>
          <w:t>https://doi.org/10.5897/IJBC2015.0938</w:t>
        </w:r>
      </w:hyperlink>
      <w:r w:rsidRPr="009B0448">
        <w:rPr>
          <w:rFonts w:ascii="Times New Roman" w:hAnsi="Times New Roman" w:cs="Times New Roman"/>
          <w:color w:val="auto"/>
        </w:rPr>
        <w:t xml:space="preserve"> </w:t>
      </w:r>
    </w:p>
    <w:p w14:paraId="69D7633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Palmer, A. R., &amp; Bennett, J. E. (2013). Degradation of communal rangelands in South Africa: Towards an improved understanding to inform policy. </w:t>
      </w:r>
      <w:r w:rsidRPr="009B0448">
        <w:rPr>
          <w:rFonts w:ascii="Times New Roman" w:hAnsi="Times New Roman" w:cs="Times New Roman"/>
          <w:i/>
          <w:color w:val="auto"/>
        </w:rPr>
        <w:t>African Journal of Range and Forage Science, 30</w:t>
      </w:r>
      <w:r w:rsidRPr="009B0448">
        <w:rPr>
          <w:rFonts w:ascii="Times New Roman" w:hAnsi="Times New Roman" w:cs="Times New Roman"/>
          <w:color w:val="auto"/>
        </w:rPr>
        <w:t>(1), 57</w:t>
      </w:r>
      <w:r w:rsidRPr="009B0448">
        <w:rPr>
          <w:rFonts w:ascii="Times New Roman" w:eastAsiaTheme="minorHAnsi" w:hAnsi="Times New Roman" w:cs="Times New Roman"/>
          <w:color w:val="auto"/>
        </w:rPr>
        <w:t>–</w:t>
      </w:r>
      <w:r w:rsidRPr="009B0448">
        <w:rPr>
          <w:rFonts w:ascii="Times New Roman" w:hAnsi="Times New Roman" w:cs="Times New Roman"/>
          <w:color w:val="auto"/>
        </w:rPr>
        <w:t>63.</w:t>
      </w:r>
      <w:r w:rsidRPr="009B0448">
        <w:rPr>
          <w:rFonts w:ascii="Times New Roman" w:hAnsi="Times New Roman" w:cs="Times New Roman"/>
        </w:rPr>
        <w:t xml:space="preserve"> </w:t>
      </w:r>
      <w:hyperlink r:id="rId1413" w:history="1">
        <w:r w:rsidRPr="009B0448">
          <w:rPr>
            <w:rStyle w:val="Hyperlink"/>
            <w:rFonts w:ascii="Times New Roman" w:hAnsi="Times New Roman" w:cs="Times New Roman"/>
          </w:rPr>
          <w:t>https://doi.org/10.5897/IJBC2015.0938</w:t>
        </w:r>
      </w:hyperlink>
      <w:r w:rsidRPr="009B0448">
        <w:rPr>
          <w:rFonts w:ascii="Times New Roman" w:hAnsi="Times New Roman" w:cs="Times New Roman"/>
          <w:color w:val="auto"/>
        </w:rPr>
        <w:t xml:space="preserve"> </w:t>
      </w:r>
    </w:p>
    <w:p w14:paraId="07062CA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Parker, L. M., R.oss, P. M., O’Connor, W. A., Pörtner, H. O., Scanes, E, &amp; Wright, J. M. (2013). Predicting the response of molluscs to the impact of ocean acidification. </w:t>
      </w:r>
      <w:r w:rsidRPr="009B0448">
        <w:rPr>
          <w:rFonts w:ascii="Times New Roman" w:hAnsi="Times New Roman" w:cs="Times New Roman"/>
          <w:i/>
          <w:color w:val="auto"/>
        </w:rPr>
        <w:t>Biology, 2(2),</w:t>
      </w:r>
      <w:r w:rsidRPr="009B0448">
        <w:rPr>
          <w:rFonts w:ascii="Times New Roman" w:hAnsi="Times New Roman" w:cs="Times New Roman"/>
          <w:color w:val="auto"/>
        </w:rPr>
        <w:t xml:space="preserve"> 651</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692. </w:t>
      </w:r>
      <w:hyperlink r:id="rId1414" w:history="1">
        <w:r w:rsidRPr="009B0448">
          <w:rPr>
            <w:rStyle w:val="Hyperlink"/>
            <w:rFonts w:ascii="Times New Roman" w:hAnsi="Times New Roman" w:cs="Times New Roman"/>
          </w:rPr>
          <w:t>https://doi.org/10.3390/biology2020651</w:t>
        </w:r>
      </w:hyperlink>
      <w:r w:rsidRPr="009B0448">
        <w:rPr>
          <w:rFonts w:ascii="Times New Roman" w:hAnsi="Times New Roman" w:cs="Times New Roman"/>
          <w:color w:val="auto"/>
        </w:rPr>
        <w:t xml:space="preserve"> </w:t>
      </w:r>
    </w:p>
    <w:p w14:paraId="12EB6C7E"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Parnell, S., &amp; Walawege, R. (2011). Sub-Saharan African urbanization and global environmental change. </w:t>
      </w:r>
      <w:r w:rsidRPr="009B0448">
        <w:rPr>
          <w:rFonts w:ascii="Times New Roman" w:hAnsi="Times New Roman" w:cs="Times New Roman"/>
          <w:i/>
          <w:color w:val="auto"/>
        </w:rPr>
        <w:t>Global Environmental Change, 21,</w:t>
      </w:r>
      <w:r w:rsidRPr="009B0448">
        <w:rPr>
          <w:rFonts w:ascii="Times New Roman" w:hAnsi="Times New Roman" w:cs="Times New Roman"/>
          <w:color w:val="auto"/>
        </w:rPr>
        <w:t xml:space="preserve"> 12</w:t>
      </w:r>
      <w:r w:rsidRPr="009B0448">
        <w:rPr>
          <w:rFonts w:ascii="Times New Roman" w:eastAsiaTheme="minorHAnsi" w:hAnsi="Times New Roman" w:cs="Times New Roman"/>
          <w:color w:val="auto"/>
        </w:rPr>
        <w:t>–</w:t>
      </w:r>
      <w:r w:rsidRPr="009B0448">
        <w:rPr>
          <w:rFonts w:ascii="Times New Roman" w:hAnsi="Times New Roman" w:cs="Times New Roman"/>
          <w:color w:val="auto"/>
        </w:rPr>
        <w:t>20.</w:t>
      </w:r>
      <w:r w:rsidRPr="009B0448">
        <w:rPr>
          <w:rFonts w:ascii="Times New Roman" w:hAnsi="Times New Roman" w:cs="Times New Roman"/>
        </w:rPr>
        <w:t xml:space="preserve"> </w:t>
      </w:r>
      <w:hyperlink r:id="rId1415" w:history="1">
        <w:r w:rsidRPr="009B0448">
          <w:rPr>
            <w:rStyle w:val="Hyperlink"/>
            <w:rFonts w:ascii="Times New Roman" w:hAnsi="Times New Roman" w:cs="Times New Roman"/>
          </w:rPr>
          <w:t>https://doi.org/10.1016/j.gloenvcha.2011.09.014</w:t>
        </w:r>
      </w:hyperlink>
    </w:p>
    <w:p w14:paraId="6CADDA3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Pascual, U., Balvanera, P., Diaz, S., Pataki, G., Roth, E., Stenseke, M., Watson, R. T., Dessane, E. B., Islar, M., Kelemen, E., Maris, V., Quaas, M., Subramanian, S. M., Wittmer, H., Adlan, A., Ahn, S., Al-Hafedh, Y. S., Amankwah, E., Asah, T. S., Bberry, P., Bilgin, A., Breslow, S. J., Bullock, C., Càceres, D., Daly-Hassen, H., Figueroa, E., Golden, D. C., Gòmez-Baggethum, E., Gonzàlez-Jiménez, D., Houdet, J., Keune, H., Kumar, R., Ma, K., May, P. H., Mead, A., Pichis-Madruga, D., Popa, F., Preston, S., Pacheso-Balanza, D., Saarikoski, H., Strassburg, B. B., vanden Belt, M., Verma, M., &amp; Maris, V. (2017). Valuing nature’s contributions to people: The IPBES approach. </w:t>
      </w:r>
      <w:r w:rsidRPr="009B0448">
        <w:rPr>
          <w:rFonts w:ascii="Times New Roman" w:hAnsi="Times New Roman" w:cs="Times New Roman"/>
          <w:i/>
          <w:color w:val="auto"/>
        </w:rPr>
        <w:t>Current Opinion in Environmental Sustainability</w:t>
      </w:r>
      <w:r w:rsidRPr="009B0448">
        <w:rPr>
          <w:rFonts w:ascii="Times New Roman" w:hAnsi="Times New Roman" w:cs="Times New Roman"/>
          <w:color w:val="auto"/>
        </w:rPr>
        <w:t xml:space="preserve">, (26-27), 7–16. </w:t>
      </w:r>
      <w:hyperlink r:id="rId1416" w:history="1">
        <w:r w:rsidRPr="009B0448">
          <w:rPr>
            <w:rStyle w:val="Hyperlink"/>
            <w:rFonts w:ascii="Times New Roman" w:hAnsi="Times New Roman" w:cs="Times New Roman"/>
          </w:rPr>
          <w:t>https://doi.org/10.1016/j.cosust.2016.12.006</w:t>
        </w:r>
      </w:hyperlink>
    </w:p>
    <w:p w14:paraId="649A466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PATTEC. (2006). </w:t>
      </w:r>
      <w:r w:rsidRPr="009B0448">
        <w:rPr>
          <w:rFonts w:ascii="Times New Roman" w:hAnsi="Times New Roman" w:cs="Times New Roman"/>
          <w:i/>
          <w:color w:val="auto"/>
        </w:rPr>
        <w:t>PATTEC Africa action plan</w:t>
      </w:r>
      <w:r w:rsidRPr="009B0448">
        <w:rPr>
          <w:rFonts w:ascii="Times New Roman" w:hAnsi="Times New Roman" w:cs="Times New Roman"/>
          <w:color w:val="auto"/>
        </w:rPr>
        <w:t xml:space="preserve">. Addis Ababa, Ethiopia: Organization of African Unity. Retrieved from </w:t>
      </w:r>
      <w:hyperlink r:id="rId1417" w:history="1">
        <w:r w:rsidRPr="009B0448">
          <w:rPr>
            <w:rStyle w:val="Hyperlink"/>
            <w:rFonts w:ascii="Times New Roman" w:hAnsi="Times New Roman" w:cs="Times New Roman"/>
          </w:rPr>
          <w:t>https://au.int/sites/default/files/documents/32888-doc-pattec_plan_of_action2001.pdf</w:t>
        </w:r>
      </w:hyperlink>
      <w:r w:rsidRPr="009B0448">
        <w:rPr>
          <w:rFonts w:ascii="Times New Roman" w:hAnsi="Times New Roman" w:cs="Times New Roman"/>
          <w:color w:val="auto"/>
        </w:rPr>
        <w:t xml:space="preserve"> </w:t>
      </w:r>
    </w:p>
    <w:p w14:paraId="0D8BBB2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Penner, J., Adum, G. B., McElroy, M. T., Doherty-Bone, T., Hirschfeld, M., Sandberger, L., Weldon, C., Cunningham, A. A., Ohst, T., Wombwel, E., Portik, D. M., Reid, D., Hillers, A., Ofori-Boateng, C., Oduro, W., Plötner, J., Ohler, A., Leaché, A. D., &amp; Rödel, M. O. (2013). West Africa–a safe haven for frogs? A regional assessment of the chytrid fungus (</w:t>
      </w:r>
      <w:r w:rsidRPr="009B0448">
        <w:rPr>
          <w:rFonts w:ascii="Times New Roman" w:hAnsi="Times New Roman" w:cs="Times New Roman"/>
          <w:i/>
          <w:color w:val="auto"/>
        </w:rPr>
        <w:t>Batrachochytrium dendrobatidis</w:t>
      </w:r>
      <w:r w:rsidRPr="009B0448">
        <w:rPr>
          <w:rFonts w:ascii="Times New Roman" w:hAnsi="Times New Roman" w:cs="Times New Roman"/>
          <w:color w:val="auto"/>
        </w:rPr>
        <w:t xml:space="preserve">). </w:t>
      </w:r>
      <w:r w:rsidRPr="009B0448">
        <w:rPr>
          <w:rFonts w:ascii="Times New Roman" w:hAnsi="Times New Roman" w:cs="Times New Roman"/>
          <w:i/>
          <w:color w:val="auto"/>
        </w:rPr>
        <w:t>PLoS ONE 8</w:t>
      </w:r>
      <w:r w:rsidRPr="009B0448">
        <w:rPr>
          <w:rFonts w:ascii="Times New Roman" w:hAnsi="Times New Roman" w:cs="Times New Roman"/>
          <w:color w:val="auto"/>
        </w:rPr>
        <w:t xml:space="preserve">(2), e56236. </w:t>
      </w:r>
      <w:hyperlink r:id="rId1418" w:history="1">
        <w:r w:rsidRPr="009B0448">
          <w:rPr>
            <w:rStyle w:val="Hyperlink"/>
            <w:rFonts w:ascii="Times New Roman" w:hAnsi="Times New Roman" w:cs="Times New Roman"/>
          </w:rPr>
          <w:t>https://doi.org/10.1371/journal.pone.0056236</w:t>
        </w:r>
      </w:hyperlink>
      <w:r w:rsidRPr="009B0448">
        <w:rPr>
          <w:rFonts w:ascii="Times New Roman" w:hAnsi="Times New Roman" w:cs="Times New Roman"/>
          <w:color w:val="auto"/>
        </w:rPr>
        <w:t xml:space="preserve"> </w:t>
      </w:r>
    </w:p>
    <w:p w14:paraId="4497A9E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Perrings, C. (2010). </w:t>
      </w:r>
      <w:r w:rsidRPr="009B0448">
        <w:rPr>
          <w:rFonts w:ascii="Times New Roman" w:eastAsiaTheme="minorHAnsi" w:hAnsi="Times New Roman" w:cs="Times New Roman"/>
          <w:i/>
          <w:color w:val="auto"/>
        </w:rPr>
        <w:t>Biodiversity, ecosystem services, and climate change: The economic problem</w:t>
      </w:r>
      <w:r w:rsidRPr="009B0448">
        <w:rPr>
          <w:rFonts w:ascii="Times New Roman" w:eastAsiaTheme="minorHAnsi" w:hAnsi="Times New Roman" w:cs="Times New Roman"/>
          <w:color w:val="auto"/>
        </w:rPr>
        <w:t>. Washington, DC: World Bank.</w:t>
      </w:r>
      <w:r w:rsidRPr="009B0448">
        <w:rPr>
          <w:rFonts w:ascii="Times New Roman" w:hAnsi="Times New Roman" w:cs="Times New Roman"/>
        </w:rPr>
        <w:t xml:space="preserve"> </w:t>
      </w:r>
      <w:r w:rsidRPr="009B0448">
        <w:rPr>
          <w:rFonts w:ascii="Times New Roman" w:eastAsiaTheme="minorHAnsi" w:hAnsi="Times New Roman" w:cs="Times New Roman"/>
          <w:color w:val="auto"/>
        </w:rPr>
        <w:t xml:space="preserve">Retrieved from </w:t>
      </w:r>
      <w:hyperlink r:id="rId1419" w:history="1">
        <w:r w:rsidRPr="009B0448">
          <w:rPr>
            <w:rStyle w:val="Hyperlink"/>
            <w:rFonts w:ascii="Times New Roman" w:eastAsiaTheme="minorHAnsi" w:hAnsi="Times New Roman" w:cs="Times New Roman"/>
          </w:rPr>
          <w:t>http://siteresources.worldbank.org/EXTEEI/Resources/BiodiversityEcosystemsServices_CC.pdf</w:t>
        </w:r>
      </w:hyperlink>
      <w:r w:rsidRPr="009B0448">
        <w:rPr>
          <w:rFonts w:ascii="Times New Roman" w:eastAsiaTheme="minorHAnsi" w:hAnsi="Times New Roman" w:cs="Times New Roman"/>
          <w:color w:val="auto"/>
        </w:rPr>
        <w:t xml:space="preserve"> </w:t>
      </w:r>
    </w:p>
    <w:p w14:paraId="095EAC0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Perrings, C., &amp; Halkos. G. (2015). Agriculture and the threat to biodiversity in sub-Saharan Africa. </w:t>
      </w:r>
      <w:r w:rsidRPr="009B0448">
        <w:rPr>
          <w:rFonts w:ascii="Times New Roman" w:hAnsi="Times New Roman" w:cs="Times New Roman"/>
          <w:i/>
          <w:color w:val="auto"/>
        </w:rPr>
        <w:t>Environmental Research Letters 10</w:t>
      </w:r>
      <w:r w:rsidRPr="009B0448">
        <w:rPr>
          <w:rFonts w:ascii="Times New Roman" w:hAnsi="Times New Roman" w:cs="Times New Roman"/>
          <w:color w:val="auto"/>
        </w:rPr>
        <w:t>, 1</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10. </w:t>
      </w:r>
      <w:hyperlink r:id="rId1420" w:history="1">
        <w:r w:rsidRPr="009B0448">
          <w:rPr>
            <w:rStyle w:val="Hyperlink"/>
            <w:rFonts w:ascii="Times New Roman" w:hAnsi="Times New Roman" w:cs="Times New Roman"/>
          </w:rPr>
          <w:t>https://doi.org/10.1088/1748-9326/10/9/095015</w:t>
        </w:r>
      </w:hyperlink>
      <w:r w:rsidRPr="009B0448">
        <w:rPr>
          <w:rFonts w:ascii="Times New Roman" w:hAnsi="Times New Roman" w:cs="Times New Roman"/>
          <w:color w:val="auto"/>
        </w:rPr>
        <w:t xml:space="preserve"> </w:t>
      </w:r>
    </w:p>
    <w:p w14:paraId="0FF9AA70"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Pesche, D., Losch, B., &amp; Imbernon, J. (Eds.). (2016). </w:t>
      </w:r>
      <w:r w:rsidRPr="009B0448">
        <w:rPr>
          <w:rFonts w:ascii="Times New Roman" w:eastAsiaTheme="minorHAnsi" w:hAnsi="Times New Roman" w:cs="Times New Roman"/>
          <w:i/>
          <w:color w:val="auto"/>
        </w:rPr>
        <w:t>A new emerging rural world</w:t>
      </w:r>
      <w:r w:rsidRPr="009B0448">
        <w:rPr>
          <w:rFonts w:ascii="Times New Roman" w:eastAsiaTheme="minorHAnsi" w:hAnsi="Times New Roman" w:cs="Times New Roman"/>
          <w:color w:val="auto"/>
        </w:rPr>
        <w:t xml:space="preserve">. </w:t>
      </w:r>
      <w:r w:rsidRPr="009B0448">
        <w:rPr>
          <w:rFonts w:ascii="Times New Roman" w:eastAsiaTheme="minorHAnsi" w:hAnsi="Times New Roman" w:cs="Times New Roman"/>
          <w:i/>
          <w:color w:val="auto"/>
        </w:rPr>
        <w:t>An overview of rural change in Africa, atlas for the NEPAD rural futures programme (2</w:t>
      </w:r>
      <w:r w:rsidRPr="009B0448">
        <w:rPr>
          <w:rFonts w:ascii="Times New Roman" w:eastAsiaTheme="minorHAnsi" w:hAnsi="Times New Roman" w:cs="Times New Roman"/>
          <w:i/>
          <w:color w:val="auto"/>
          <w:vertAlign w:val="superscript"/>
        </w:rPr>
        <w:t>nd</w:t>
      </w:r>
      <w:r w:rsidRPr="009B0448">
        <w:rPr>
          <w:rFonts w:ascii="Times New Roman" w:eastAsiaTheme="minorHAnsi" w:hAnsi="Times New Roman" w:cs="Times New Roman"/>
          <w:i/>
          <w:color w:val="auto"/>
        </w:rPr>
        <w:t xml:space="preserve"> ed.)</w:t>
      </w:r>
      <w:r w:rsidRPr="009B0448">
        <w:rPr>
          <w:rFonts w:ascii="Times New Roman" w:eastAsiaTheme="minorHAnsi" w:hAnsi="Times New Roman" w:cs="Times New Roman"/>
          <w:color w:val="auto"/>
        </w:rPr>
        <w:t xml:space="preserve">. Montpellier, France: NEPAD Agency. Retrieved from </w:t>
      </w:r>
      <w:hyperlink r:id="rId1421" w:history="1">
        <w:r w:rsidRPr="009B0448">
          <w:rPr>
            <w:rStyle w:val="Hyperlink"/>
            <w:rFonts w:ascii="Times New Roman" w:eastAsiaTheme="minorHAnsi" w:hAnsi="Times New Roman" w:cs="Times New Roman"/>
          </w:rPr>
          <w:t>http://nepad.org/resource/new-emerging-rural-world-overview-rural-change-africa</w:t>
        </w:r>
      </w:hyperlink>
      <w:r w:rsidRPr="009B0448">
        <w:rPr>
          <w:rFonts w:ascii="Times New Roman" w:eastAsiaTheme="minorHAnsi" w:hAnsi="Times New Roman" w:cs="Times New Roman"/>
          <w:color w:val="auto"/>
        </w:rPr>
        <w:t xml:space="preserve"> </w:t>
      </w:r>
    </w:p>
    <w:p w14:paraId="780C38C4"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Petz, K., Alkemade, R., Bakkenes, M., Schulp, C. J. E., van der Velde, M., &amp; Leemans, R. (2014). Mapping and modelling trade-offs and synergies between grazing intensity and ecosystem services in rangelands using global-scale datasets and models. </w:t>
      </w:r>
      <w:r w:rsidRPr="009B0448">
        <w:rPr>
          <w:rFonts w:ascii="Times New Roman" w:eastAsiaTheme="minorHAnsi" w:hAnsi="Times New Roman" w:cs="Times New Roman"/>
          <w:i/>
          <w:color w:val="auto"/>
        </w:rPr>
        <w:t>Global Environmental Change</w:t>
      </w:r>
      <w:r w:rsidRPr="009B0448">
        <w:rPr>
          <w:rFonts w:ascii="Times New Roman" w:eastAsiaTheme="minorHAnsi" w:hAnsi="Times New Roman" w:cs="Times New Roman"/>
          <w:color w:val="auto"/>
        </w:rPr>
        <w:t xml:space="preserve">, </w:t>
      </w:r>
      <w:r w:rsidRPr="009B0448">
        <w:rPr>
          <w:rFonts w:ascii="Times New Roman" w:eastAsiaTheme="minorHAnsi" w:hAnsi="Times New Roman" w:cs="Times New Roman"/>
          <w:i/>
          <w:color w:val="auto"/>
        </w:rPr>
        <w:t>29</w:t>
      </w:r>
      <w:r w:rsidRPr="009B0448">
        <w:rPr>
          <w:rFonts w:ascii="Times New Roman" w:eastAsiaTheme="minorHAnsi" w:hAnsi="Times New Roman" w:cs="Times New Roman"/>
          <w:color w:val="auto"/>
        </w:rPr>
        <w:t xml:space="preserve">, 223–234. </w:t>
      </w:r>
      <w:hyperlink r:id="rId1422" w:history="1">
        <w:r w:rsidRPr="009B0448">
          <w:rPr>
            <w:rStyle w:val="Hyperlink"/>
            <w:rFonts w:ascii="Times New Roman" w:eastAsiaTheme="minorHAnsi" w:hAnsi="Times New Roman" w:cs="Times New Roman"/>
          </w:rPr>
          <w:t>https://doi.org/10.1016/j.gloenvcha.2014.08.007</w:t>
        </w:r>
      </w:hyperlink>
      <w:r w:rsidRPr="009B0448">
        <w:rPr>
          <w:rFonts w:ascii="Times New Roman" w:eastAsiaTheme="minorHAnsi" w:hAnsi="Times New Roman" w:cs="Times New Roman"/>
          <w:color w:val="auto"/>
        </w:rPr>
        <w:t xml:space="preserve"> </w:t>
      </w:r>
    </w:p>
    <w:p w14:paraId="07EAAC3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Pimentel, D., Lach, L., Zuniga, R., &amp; Morrison, D. (2000). Environmental and economic costs associated with non-indigenous species in the United States. </w:t>
      </w:r>
      <w:r w:rsidRPr="009B0448">
        <w:rPr>
          <w:rFonts w:ascii="Times New Roman" w:hAnsi="Times New Roman" w:cs="Times New Roman"/>
          <w:i/>
          <w:color w:val="auto"/>
        </w:rPr>
        <w:t>BioScience, 50</w:t>
      </w:r>
      <w:r w:rsidRPr="009B0448">
        <w:rPr>
          <w:rFonts w:ascii="Times New Roman" w:hAnsi="Times New Roman" w:cs="Times New Roman"/>
          <w:color w:val="auto"/>
        </w:rPr>
        <w:t>(1), 53</w:t>
      </w:r>
      <w:r w:rsidRPr="009B0448">
        <w:rPr>
          <w:rFonts w:ascii="Times New Roman" w:eastAsiaTheme="minorHAnsi" w:hAnsi="Times New Roman" w:cs="Times New Roman"/>
          <w:color w:val="auto"/>
        </w:rPr>
        <w:t>–</w:t>
      </w:r>
      <w:r w:rsidRPr="009B0448">
        <w:rPr>
          <w:rFonts w:ascii="Times New Roman" w:hAnsi="Times New Roman" w:cs="Times New Roman"/>
          <w:color w:val="auto"/>
        </w:rPr>
        <w:t>65.</w:t>
      </w:r>
      <w:r w:rsidRPr="009B0448">
        <w:rPr>
          <w:rFonts w:ascii="Times New Roman" w:hAnsi="Times New Roman" w:cs="Times New Roman"/>
        </w:rPr>
        <w:t xml:space="preserve"> </w:t>
      </w:r>
      <w:hyperlink r:id="rId1423" w:history="1">
        <w:r w:rsidRPr="009B0448">
          <w:rPr>
            <w:rStyle w:val="Hyperlink"/>
            <w:rFonts w:ascii="Times New Roman" w:hAnsi="Times New Roman" w:cs="Times New Roman"/>
          </w:rPr>
          <w:t>https://doi.org/10.1641/0006-3568(2000)050[0053:EAECON]2.3.CO;2</w:t>
        </w:r>
      </w:hyperlink>
      <w:r w:rsidRPr="009B0448">
        <w:rPr>
          <w:rFonts w:ascii="Times New Roman" w:hAnsi="Times New Roman" w:cs="Times New Roman"/>
          <w:color w:val="auto"/>
        </w:rPr>
        <w:t xml:space="preserve"> </w:t>
      </w:r>
    </w:p>
    <w:p w14:paraId="50DE95DF"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Pimentel, D., McNair, S., Janecka, J., Wightman, J., Simmonds, C., O’connell, C., Wong, E., Russel, J., Zern, T., Aquino, T., &amp; Tsomondo, T. (2001). Economic and environmental threats of alien plant, animal, and microbe invasions. </w:t>
      </w:r>
      <w:r w:rsidRPr="009B0448">
        <w:rPr>
          <w:rFonts w:ascii="Times New Roman" w:eastAsiaTheme="minorHAnsi" w:hAnsi="Times New Roman" w:cs="Times New Roman"/>
          <w:i/>
          <w:color w:val="auto"/>
        </w:rPr>
        <w:t>Agriculture, Ecosystems and Environment, 84</w:t>
      </w:r>
      <w:r w:rsidRPr="009B0448">
        <w:rPr>
          <w:rFonts w:ascii="Times New Roman" w:eastAsiaTheme="minorHAnsi" w:hAnsi="Times New Roman" w:cs="Times New Roman"/>
          <w:color w:val="auto"/>
        </w:rPr>
        <w:t xml:space="preserve">, 1–20. </w:t>
      </w:r>
      <w:hyperlink r:id="rId1424" w:history="1">
        <w:r w:rsidRPr="009B0448">
          <w:rPr>
            <w:rStyle w:val="Hyperlink"/>
            <w:rFonts w:ascii="Times New Roman" w:eastAsiaTheme="minorHAnsi" w:hAnsi="Times New Roman" w:cs="Times New Roman"/>
          </w:rPr>
          <w:t>https://doi.org/10.1641/0006-3568(2000)050[0053:EAECON]2.3.CO;2</w:t>
        </w:r>
      </w:hyperlink>
    </w:p>
    <w:p w14:paraId="0628739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Plisnier, P. D., Serneels, S., &amp; Lambin, E. F., (2000). Impact of ENSO on East African ecosystems: A multivariate analysis based on climate and remote sensing data. </w:t>
      </w:r>
      <w:r w:rsidRPr="009B0448">
        <w:rPr>
          <w:rFonts w:ascii="Times New Roman" w:eastAsiaTheme="minorHAnsi" w:hAnsi="Times New Roman" w:cs="Times New Roman"/>
          <w:i/>
          <w:color w:val="auto"/>
        </w:rPr>
        <w:t>Global Ecology and Biogeography, 9,</w:t>
      </w:r>
      <w:r w:rsidRPr="009B0448">
        <w:rPr>
          <w:rFonts w:ascii="Times New Roman" w:eastAsiaTheme="minorHAnsi" w:hAnsi="Times New Roman" w:cs="Times New Roman"/>
          <w:color w:val="auto"/>
        </w:rPr>
        <w:t xml:space="preserve"> 481–497. </w:t>
      </w:r>
      <w:hyperlink r:id="rId1425" w:history="1">
        <w:r w:rsidRPr="009B0448">
          <w:rPr>
            <w:rStyle w:val="Hyperlink"/>
            <w:rFonts w:ascii="Times New Roman" w:eastAsiaTheme="minorHAnsi" w:hAnsi="Times New Roman" w:cs="Times New Roman"/>
          </w:rPr>
          <w:t>https://doi.org/10.1046/j.1365-2699.2000.00208.x</w:t>
        </w:r>
      </w:hyperlink>
      <w:r w:rsidRPr="009B0448">
        <w:rPr>
          <w:rFonts w:ascii="Times New Roman" w:eastAsiaTheme="minorHAnsi" w:hAnsi="Times New Roman" w:cs="Times New Roman"/>
          <w:color w:val="auto"/>
        </w:rPr>
        <w:t xml:space="preserve"> </w:t>
      </w:r>
    </w:p>
    <w:p w14:paraId="58E6363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Plumptre, A. J., Kujirakwinja, D., Treves, A., Owiunji, I., &amp; Rainer, H. (2007). Transboundary conservation in the greater Virunga landscape: Its importance for landscape species. </w:t>
      </w:r>
      <w:r w:rsidRPr="009B0448">
        <w:rPr>
          <w:rFonts w:ascii="Times New Roman" w:hAnsi="Times New Roman" w:cs="Times New Roman"/>
          <w:i/>
          <w:color w:val="auto"/>
        </w:rPr>
        <w:t>Biological Conservation, 134,</w:t>
      </w:r>
      <w:r w:rsidRPr="009B0448">
        <w:rPr>
          <w:rFonts w:ascii="Times New Roman" w:hAnsi="Times New Roman" w:cs="Times New Roman"/>
          <w:color w:val="auto"/>
        </w:rPr>
        <w:t xml:space="preserve"> 279</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287. </w:t>
      </w:r>
      <w:hyperlink r:id="rId1426" w:history="1">
        <w:r w:rsidRPr="009B0448">
          <w:rPr>
            <w:rStyle w:val="Hyperlink"/>
            <w:rFonts w:ascii="Times New Roman" w:hAnsi="Times New Roman" w:cs="Times New Roman"/>
          </w:rPr>
          <w:t>https://doi.org/10.1016/j.biocon.2006.08.012</w:t>
        </w:r>
      </w:hyperlink>
    </w:p>
    <w:p w14:paraId="12BA290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Potgieter, L. J., Strasberg, D., Wilson, J. R. U., &amp; Richardson, D. M. (2014). Casuarina invasion alters primary succession on lava flows in the Mascarene Islands. </w:t>
      </w:r>
      <w:r w:rsidRPr="009B0448">
        <w:rPr>
          <w:rFonts w:ascii="Times New Roman" w:hAnsi="Times New Roman" w:cs="Times New Roman"/>
          <w:i/>
          <w:color w:val="auto"/>
        </w:rPr>
        <w:t>Biotropica, 46</w:t>
      </w:r>
      <w:r w:rsidRPr="009B0448">
        <w:rPr>
          <w:rFonts w:ascii="Times New Roman" w:hAnsi="Times New Roman" w:cs="Times New Roman"/>
          <w:color w:val="auto"/>
        </w:rPr>
        <w:t>, 268</w:t>
      </w:r>
      <w:r w:rsidRPr="009B0448">
        <w:rPr>
          <w:rFonts w:ascii="Times New Roman" w:eastAsiaTheme="minorHAnsi" w:hAnsi="Times New Roman" w:cs="Times New Roman"/>
          <w:color w:val="auto"/>
        </w:rPr>
        <w:t>–</w:t>
      </w:r>
      <w:r w:rsidRPr="009B0448">
        <w:rPr>
          <w:rFonts w:ascii="Times New Roman" w:hAnsi="Times New Roman" w:cs="Times New Roman"/>
          <w:color w:val="auto"/>
        </w:rPr>
        <w:t>275.</w:t>
      </w:r>
      <w:r w:rsidRPr="009B0448">
        <w:rPr>
          <w:rFonts w:ascii="Times New Roman" w:hAnsi="Times New Roman" w:cs="Times New Roman"/>
        </w:rPr>
        <w:t xml:space="preserve"> </w:t>
      </w:r>
      <w:hyperlink r:id="rId1427" w:history="1">
        <w:r w:rsidRPr="009B0448">
          <w:rPr>
            <w:rStyle w:val="Hyperlink"/>
            <w:rFonts w:ascii="Times New Roman" w:hAnsi="Times New Roman" w:cs="Times New Roman"/>
          </w:rPr>
          <w:t>https://doi.org/10.1111/btp.12103</w:t>
        </w:r>
      </w:hyperlink>
      <w:r w:rsidRPr="009B0448">
        <w:rPr>
          <w:rFonts w:ascii="Times New Roman" w:hAnsi="Times New Roman" w:cs="Times New Roman"/>
          <w:color w:val="auto"/>
        </w:rPr>
        <w:t xml:space="preserve"> </w:t>
      </w:r>
    </w:p>
    <w:p w14:paraId="0AC4DDF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Pounds, J. A., Bustamante, M. R., Coloma, L. A., Consuegra, J. A., Fogden, M. P. L., Foster, P. N., La Marca, E., Masters, K. L., Merino-Viteri, A., Puschendorf, R., Ron, S. R., Sànchez-Azofeifa, A. G., Still, C. J., &amp; Young, B. E. (2005). Widespread amphibian extinctions from epidemic disease driven by global warming. </w:t>
      </w:r>
      <w:r w:rsidRPr="009B0448">
        <w:rPr>
          <w:rFonts w:ascii="Times New Roman" w:hAnsi="Times New Roman" w:cs="Times New Roman"/>
          <w:i/>
          <w:color w:val="auto"/>
        </w:rPr>
        <w:t>Nature, 439</w:t>
      </w:r>
      <w:r w:rsidRPr="009B0448">
        <w:rPr>
          <w:rFonts w:ascii="Times New Roman" w:hAnsi="Times New Roman" w:cs="Times New Roman"/>
          <w:color w:val="auto"/>
        </w:rPr>
        <w:t xml:space="preserve">(12), 61–167. </w:t>
      </w:r>
      <w:hyperlink r:id="rId1428" w:history="1">
        <w:r w:rsidRPr="009B0448">
          <w:rPr>
            <w:rStyle w:val="Hyperlink"/>
            <w:rFonts w:ascii="Times New Roman" w:hAnsi="Times New Roman" w:cs="Times New Roman"/>
          </w:rPr>
          <w:t>https://doi.org/10.1038/nature04246</w:t>
        </w:r>
      </w:hyperlink>
      <w:r w:rsidRPr="009B0448">
        <w:rPr>
          <w:rFonts w:ascii="Times New Roman" w:hAnsi="Times New Roman" w:cs="Times New Roman"/>
          <w:color w:val="auto"/>
        </w:rPr>
        <w:t xml:space="preserve"> </w:t>
      </w:r>
    </w:p>
    <w:p w14:paraId="3D84203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Pratt, C. F., Consantine, K. L., &amp; Murphy, S. T. (2017). Economic impacts of invasive alien species on African smallholder livelihoods. </w:t>
      </w:r>
      <w:r w:rsidRPr="009B0448">
        <w:rPr>
          <w:rFonts w:ascii="Times New Roman" w:hAnsi="Times New Roman" w:cs="Times New Roman"/>
          <w:i/>
          <w:color w:val="auto"/>
        </w:rPr>
        <w:t>Global Food Security, 14</w:t>
      </w:r>
      <w:r w:rsidRPr="009B0448">
        <w:rPr>
          <w:rFonts w:ascii="Times New Roman" w:hAnsi="Times New Roman" w:cs="Times New Roman"/>
          <w:color w:val="auto"/>
        </w:rPr>
        <w:t>, 31</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37. </w:t>
      </w:r>
      <w:hyperlink r:id="rId1429" w:history="1">
        <w:r w:rsidRPr="009B0448">
          <w:rPr>
            <w:rStyle w:val="Hyperlink"/>
            <w:rFonts w:ascii="Times New Roman" w:hAnsi="Times New Roman" w:cs="Times New Roman"/>
          </w:rPr>
          <w:t>https://doi.org/10.1016/j.gfs.2017.01.011</w:t>
        </w:r>
      </w:hyperlink>
    </w:p>
    <w:p w14:paraId="10D42BB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Prince, S. D. (2016). Where does desertification occur? Mapping dryland degradation at regional to global scales. In R. Behnke, &amp; M. Matimore (Eds.), </w:t>
      </w:r>
      <w:r w:rsidRPr="009B0448">
        <w:rPr>
          <w:rFonts w:ascii="Times New Roman" w:hAnsi="Times New Roman" w:cs="Times New Roman"/>
          <w:i/>
          <w:color w:val="auto"/>
        </w:rPr>
        <w:t>The end of desertification?</w:t>
      </w:r>
      <w:r w:rsidRPr="009B0448">
        <w:rPr>
          <w:rFonts w:ascii="Times New Roman" w:hAnsi="Times New Roman" w:cs="Times New Roman"/>
          <w:color w:val="auto"/>
        </w:rPr>
        <w:t xml:space="preserve"> Berlin, Heidelberg: Springer. </w:t>
      </w:r>
      <w:hyperlink r:id="rId1430" w:history="1">
        <w:r w:rsidRPr="009B0448">
          <w:rPr>
            <w:rStyle w:val="Hyperlink"/>
            <w:rFonts w:ascii="Times New Roman" w:hAnsi="Times New Roman" w:cs="Times New Roman"/>
            <w:color w:val="0070C0"/>
          </w:rPr>
          <w:t>https://doi.org/10.1007/978-3-642-16014-1_9</w:t>
        </w:r>
      </w:hyperlink>
    </w:p>
    <w:p w14:paraId="369D76CD"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Pringle, R. M. (2005).The Nile perch in Lake Victoria: Local responses and adaptations. </w:t>
      </w:r>
      <w:r w:rsidRPr="009B0448">
        <w:rPr>
          <w:rFonts w:ascii="Times New Roman" w:eastAsiaTheme="minorHAnsi" w:hAnsi="Times New Roman" w:cs="Times New Roman"/>
          <w:i/>
          <w:color w:val="auto"/>
        </w:rPr>
        <w:t>Africa, 75(4)</w:t>
      </w:r>
      <w:r w:rsidRPr="009B0448">
        <w:rPr>
          <w:rFonts w:ascii="Times New Roman" w:eastAsiaTheme="minorHAnsi" w:hAnsi="Times New Roman" w:cs="Times New Roman"/>
          <w:color w:val="auto"/>
        </w:rPr>
        <w:t xml:space="preserve">, 510–538. </w:t>
      </w:r>
      <w:hyperlink r:id="rId1431" w:history="1">
        <w:r w:rsidRPr="009B0448">
          <w:rPr>
            <w:rStyle w:val="Hyperlink"/>
            <w:rFonts w:ascii="Times New Roman" w:eastAsiaTheme="minorHAnsi" w:hAnsi="Times New Roman" w:cs="Times New Roman"/>
          </w:rPr>
          <w:t>https://doi.org/10.3366/afr.2005.75.4.510</w:t>
        </w:r>
      </w:hyperlink>
    </w:p>
    <w:p w14:paraId="51E36B37" w14:textId="77777777" w:rsidR="009B0448" w:rsidRPr="009B0448" w:rsidRDefault="009B0448" w:rsidP="009B0448">
      <w:pPr>
        <w:pStyle w:val="NoSpacing"/>
        <w:spacing w:after="120" w:line="276" w:lineRule="auto"/>
        <w:ind w:left="567" w:hanging="567"/>
        <w:rPr>
          <w:rFonts w:ascii="Times New Roman" w:hAnsi="Times New Roman" w:cs="Times New Roman"/>
          <w:color w:val="auto"/>
          <w:lang w:val="de-DE"/>
        </w:rPr>
      </w:pPr>
      <w:r w:rsidRPr="009B0448">
        <w:rPr>
          <w:rFonts w:ascii="Times New Roman" w:hAnsi="Times New Roman" w:cs="Times New Roman"/>
          <w:color w:val="auto"/>
        </w:rPr>
        <w:t xml:space="preserve">Prospero, J. M., &amp; Nees, R. T. (1986). Impact of the North African drought and El Nino on mineral dust in the Barbados trade winds. </w:t>
      </w:r>
      <w:r w:rsidRPr="009B0448">
        <w:rPr>
          <w:rFonts w:ascii="Times New Roman" w:hAnsi="Times New Roman" w:cs="Times New Roman"/>
          <w:i/>
          <w:color w:val="auto"/>
          <w:lang w:val="de-DE"/>
        </w:rPr>
        <w:t>Nature, 320,</w:t>
      </w:r>
      <w:r w:rsidRPr="009B0448">
        <w:rPr>
          <w:rFonts w:ascii="Times New Roman" w:hAnsi="Times New Roman" w:cs="Times New Roman"/>
          <w:color w:val="auto"/>
          <w:lang w:val="de-DE"/>
        </w:rPr>
        <w:t>735</w:t>
      </w:r>
      <w:r w:rsidRPr="009B0448">
        <w:rPr>
          <w:rFonts w:ascii="Times New Roman" w:eastAsiaTheme="minorHAnsi" w:hAnsi="Times New Roman" w:cs="Times New Roman"/>
          <w:color w:val="auto"/>
        </w:rPr>
        <w:t>–</w:t>
      </w:r>
      <w:r w:rsidRPr="009B0448">
        <w:rPr>
          <w:rFonts w:ascii="Times New Roman" w:hAnsi="Times New Roman" w:cs="Times New Roman"/>
          <w:color w:val="auto"/>
          <w:lang w:val="de-DE"/>
        </w:rPr>
        <w:t>738.</w:t>
      </w:r>
      <w:r w:rsidRPr="009B0448">
        <w:rPr>
          <w:rFonts w:ascii="Times New Roman" w:hAnsi="Times New Roman" w:cs="Times New Roman"/>
          <w:lang w:val="de-DE"/>
        </w:rPr>
        <w:t xml:space="preserve"> </w:t>
      </w:r>
      <w:hyperlink r:id="rId1432" w:history="1">
        <w:r w:rsidRPr="009B0448">
          <w:rPr>
            <w:rStyle w:val="Hyperlink"/>
            <w:rFonts w:ascii="Times New Roman" w:hAnsi="Times New Roman" w:cs="Times New Roman"/>
          </w:rPr>
          <w:t>https://doi.org/</w:t>
        </w:r>
        <w:r w:rsidRPr="009B0448">
          <w:rPr>
            <w:rStyle w:val="Hyperlink"/>
            <w:rFonts w:ascii="Times New Roman" w:hAnsi="Times New Roman" w:cs="Times New Roman"/>
            <w:lang w:val="de-DE"/>
          </w:rPr>
          <w:t>10.1038/320735a0</w:t>
        </w:r>
      </w:hyperlink>
      <w:r w:rsidRPr="009B0448">
        <w:rPr>
          <w:rFonts w:ascii="Times New Roman" w:hAnsi="Times New Roman" w:cs="Times New Roman"/>
          <w:color w:val="auto"/>
          <w:lang w:val="de-DE"/>
        </w:rPr>
        <w:t xml:space="preserve"> </w:t>
      </w:r>
    </w:p>
    <w:p w14:paraId="1C95078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Quinn, L., de Vos, J., Fernandes-Whaley, M., Roos, C., Bouwman, H., Kylin, H., </w:t>
      </w:r>
      <w:r w:rsidRPr="009B0448">
        <w:rPr>
          <w:rFonts w:ascii="Times New Roman" w:hAnsi="Times New Roman" w:cs="Times New Roman"/>
          <w:color w:val="auto"/>
        </w:rPr>
        <w:t xml:space="preserve">Pieters, R., &amp; </w:t>
      </w:r>
      <w:r w:rsidRPr="009B0448">
        <w:rPr>
          <w:rFonts w:ascii="Times New Roman" w:hAnsi="Times New Roman" w:cs="Times New Roman"/>
          <w:color w:val="auto"/>
          <w:lang w:val="de-DE"/>
        </w:rPr>
        <w:t xml:space="preserve">van den Berg, J. (2011). </w:t>
      </w:r>
      <w:r w:rsidRPr="009B0448">
        <w:rPr>
          <w:rFonts w:ascii="Times New Roman" w:hAnsi="Times New Roman" w:cs="Times New Roman"/>
          <w:color w:val="auto"/>
        </w:rPr>
        <w:t xml:space="preserve">Pesticide use in South Africa: One of the largest importers of pesticides in Africa. In M. Stoytcheva (Ed.), </w:t>
      </w:r>
      <w:r w:rsidRPr="009B0448">
        <w:rPr>
          <w:rFonts w:ascii="Times New Roman" w:hAnsi="Times New Roman" w:cs="Times New Roman"/>
          <w:i/>
          <w:color w:val="auto"/>
        </w:rPr>
        <w:t xml:space="preserve">Pesticides in the modern world-pesticides use and management </w:t>
      </w:r>
      <w:r w:rsidRPr="009B0448">
        <w:rPr>
          <w:rFonts w:ascii="Times New Roman" w:hAnsi="Times New Roman" w:cs="Times New Roman"/>
          <w:color w:val="auto"/>
        </w:rPr>
        <w:t>(pp. 49</w:t>
      </w:r>
      <w:r w:rsidRPr="009B0448">
        <w:rPr>
          <w:rFonts w:ascii="Times New Roman" w:eastAsiaTheme="minorHAnsi" w:hAnsi="Times New Roman" w:cs="Times New Roman"/>
          <w:color w:val="auto"/>
        </w:rPr>
        <w:t>–</w:t>
      </w:r>
      <w:r w:rsidRPr="009B0448">
        <w:rPr>
          <w:rFonts w:ascii="Times New Roman" w:hAnsi="Times New Roman" w:cs="Times New Roman"/>
          <w:color w:val="auto"/>
        </w:rPr>
        <w:t>96). Rijeka, Croatia: Intech open. Retrieved from</w:t>
      </w:r>
      <w:r w:rsidRPr="009B0448">
        <w:rPr>
          <w:rFonts w:ascii="Times New Roman" w:hAnsi="Times New Roman" w:cs="Times New Roman"/>
        </w:rPr>
        <w:t xml:space="preserve"> </w:t>
      </w:r>
      <w:hyperlink r:id="rId1433" w:history="1">
        <w:r w:rsidRPr="009B0448">
          <w:rPr>
            <w:rStyle w:val="Hyperlink"/>
            <w:rFonts w:ascii="Times New Roman" w:hAnsi="Times New Roman" w:cs="Times New Roman"/>
          </w:rPr>
          <w:t>https://www.intechopen.com/books/pesticides-in-the-modern-world-pesticides-use-and-management</w:t>
        </w:r>
      </w:hyperlink>
      <w:r w:rsidRPr="009B0448">
        <w:rPr>
          <w:rFonts w:ascii="Times New Roman" w:hAnsi="Times New Roman" w:cs="Times New Roman"/>
          <w:color w:val="auto"/>
        </w:rPr>
        <w:t xml:space="preserve">  </w:t>
      </w:r>
    </w:p>
    <w:p w14:paraId="1C4EAB20"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Radhouane, L. (2013). Climate change impacts on North African countries and on some Tunisian economic sectors. </w:t>
      </w:r>
      <w:r w:rsidRPr="009B0448">
        <w:rPr>
          <w:rFonts w:ascii="Times New Roman" w:eastAsiaTheme="minorHAnsi" w:hAnsi="Times New Roman" w:cs="Times New Roman"/>
          <w:i/>
          <w:color w:val="auto"/>
        </w:rPr>
        <w:t>Journal of Agriculture and Environment for International Development, 107</w:t>
      </w:r>
      <w:r w:rsidRPr="009B0448">
        <w:rPr>
          <w:rFonts w:ascii="Times New Roman" w:eastAsiaTheme="minorHAnsi" w:hAnsi="Times New Roman" w:cs="Times New Roman"/>
          <w:color w:val="auto"/>
        </w:rPr>
        <w:t xml:space="preserve">(1), 101–113. </w:t>
      </w:r>
      <w:hyperlink r:id="rId1434" w:history="1">
        <w:r w:rsidRPr="009B0448">
          <w:rPr>
            <w:rStyle w:val="Hyperlink"/>
            <w:rFonts w:ascii="Times New Roman" w:eastAsiaTheme="minorHAnsi" w:hAnsi="Times New Roman" w:cs="Times New Roman"/>
          </w:rPr>
          <w:t>https://doi.org/10.12895/jaeid.20131.123</w:t>
        </w:r>
      </w:hyperlink>
    </w:p>
    <w:p w14:paraId="11079F61"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Ramirez-Villegas, J., &amp; Thornton, P. K (2015). </w:t>
      </w:r>
      <w:r w:rsidRPr="009B0448">
        <w:rPr>
          <w:rFonts w:ascii="Times New Roman" w:eastAsiaTheme="minorHAnsi" w:hAnsi="Times New Roman" w:cs="Times New Roman"/>
          <w:i/>
          <w:color w:val="auto"/>
        </w:rPr>
        <w:t xml:space="preserve">Climate change impacts on African crop production. </w:t>
      </w:r>
      <w:r w:rsidRPr="009B0448">
        <w:rPr>
          <w:rFonts w:ascii="Times New Roman" w:eastAsiaTheme="minorHAnsi" w:hAnsi="Times New Roman" w:cs="Times New Roman"/>
          <w:color w:val="auto"/>
        </w:rPr>
        <w:t xml:space="preserve">Copenhagen, Denmark: CGIAR. Retrieved from </w:t>
      </w:r>
      <w:hyperlink r:id="rId1435" w:history="1">
        <w:r w:rsidRPr="009B0448">
          <w:rPr>
            <w:rStyle w:val="Hyperlink"/>
            <w:rFonts w:ascii="Times New Roman" w:eastAsiaTheme="minorHAnsi" w:hAnsi="Times New Roman" w:cs="Times New Roman"/>
          </w:rPr>
          <w:t>www.ccafs.cgiar.org</w:t>
        </w:r>
      </w:hyperlink>
      <w:r w:rsidRPr="009B0448">
        <w:rPr>
          <w:rFonts w:ascii="Times New Roman" w:eastAsiaTheme="minorHAnsi" w:hAnsi="Times New Roman" w:cs="Times New Roman"/>
          <w:color w:val="auto"/>
        </w:rPr>
        <w:t xml:space="preserve"> </w:t>
      </w:r>
    </w:p>
    <w:p w14:paraId="6C79FAE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Ramlal, P. S., Bugenyi, F. W. B., Kling, G. W., Nriagu, J. O., Rudd, J. W. M., &amp; Campbell, L. M. (2003). Mercury concentrations in water, sediment, and biota from Lake Victoria, East Africa. </w:t>
      </w:r>
      <w:r w:rsidRPr="009B0448">
        <w:rPr>
          <w:rFonts w:ascii="Times New Roman" w:hAnsi="Times New Roman" w:cs="Times New Roman"/>
          <w:i/>
          <w:color w:val="auto"/>
        </w:rPr>
        <w:t>Journal of Great Lakes Research, 29</w:t>
      </w:r>
      <w:r w:rsidRPr="009B0448">
        <w:rPr>
          <w:rFonts w:ascii="Times New Roman" w:hAnsi="Times New Roman" w:cs="Times New Roman"/>
          <w:color w:val="auto"/>
        </w:rPr>
        <w:t>(2), 283</w:t>
      </w:r>
      <w:r w:rsidRPr="009B0448">
        <w:rPr>
          <w:rFonts w:ascii="Times New Roman" w:eastAsiaTheme="minorHAnsi" w:hAnsi="Times New Roman" w:cs="Times New Roman"/>
          <w:color w:val="auto"/>
        </w:rPr>
        <w:t>–</w:t>
      </w:r>
      <w:r w:rsidRPr="009B0448">
        <w:rPr>
          <w:rFonts w:ascii="Times New Roman" w:hAnsi="Times New Roman" w:cs="Times New Roman"/>
          <w:color w:val="auto"/>
        </w:rPr>
        <w:t>291.</w:t>
      </w:r>
      <w:r w:rsidRPr="009B0448">
        <w:rPr>
          <w:rFonts w:ascii="Times New Roman" w:hAnsi="Times New Roman" w:cs="Times New Roman"/>
        </w:rPr>
        <w:t xml:space="preserve"> </w:t>
      </w:r>
      <w:hyperlink r:id="rId1436" w:history="1">
        <w:r w:rsidRPr="009B0448">
          <w:rPr>
            <w:rStyle w:val="Hyperlink"/>
            <w:rFonts w:ascii="Times New Roman" w:hAnsi="Times New Roman" w:cs="Times New Roman"/>
          </w:rPr>
          <w:t>https://doi.org/10.1016/S0380-1330(03)70555-3</w:t>
        </w:r>
      </w:hyperlink>
      <w:r w:rsidRPr="009B0448">
        <w:rPr>
          <w:rFonts w:ascii="Times New Roman" w:hAnsi="Times New Roman" w:cs="Times New Roman"/>
          <w:color w:val="auto"/>
        </w:rPr>
        <w:t xml:space="preserve"> </w:t>
      </w:r>
    </w:p>
    <w:p w14:paraId="1E9BE96E"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Reardon, T., Barrett, C. B., Kelly, V., &amp; Savadogo, K. (2001). Sustainable versus unsustainable agricultural intensification in Africa: Focus on policy reforms and market conditions. In D. R. Lee, &amp; C. B. Barrett (Eds.), </w:t>
      </w:r>
      <w:r w:rsidRPr="009B0448">
        <w:rPr>
          <w:rFonts w:ascii="Times New Roman" w:eastAsiaTheme="minorHAnsi" w:hAnsi="Times New Roman" w:cs="Times New Roman"/>
          <w:i/>
          <w:color w:val="auto"/>
        </w:rPr>
        <w:t>Tradeoffs or synergies?</w:t>
      </w:r>
      <w:r w:rsidRPr="009B0448">
        <w:rPr>
          <w:rFonts w:ascii="Times New Roman" w:eastAsiaTheme="minorHAnsi" w:hAnsi="Times New Roman" w:cs="Times New Roman"/>
          <w:color w:val="auto"/>
        </w:rPr>
        <w:t xml:space="preserve"> Salt Lake City, Utah, CABI Publishing. Retrieved from</w:t>
      </w:r>
      <w:r w:rsidRPr="009B0448">
        <w:rPr>
          <w:rFonts w:ascii="Times New Roman" w:hAnsi="Times New Roman" w:cs="Times New Roman"/>
        </w:rPr>
        <w:t xml:space="preserve"> </w:t>
      </w:r>
      <w:hyperlink r:id="rId1437" w:history="1">
        <w:r w:rsidRPr="009B0448">
          <w:rPr>
            <w:rStyle w:val="Hyperlink"/>
            <w:rFonts w:ascii="Times New Roman" w:eastAsiaTheme="minorHAnsi" w:hAnsi="Times New Roman" w:cs="Times New Roman"/>
          </w:rPr>
          <w:t>https://pdfs.semanticscholar.org/9a95/8590d0f82015509300671c44161807352271.pdf</w:t>
        </w:r>
      </w:hyperlink>
      <w:r w:rsidRPr="009B0448">
        <w:rPr>
          <w:rFonts w:ascii="Times New Roman" w:eastAsiaTheme="minorHAnsi" w:hAnsi="Times New Roman" w:cs="Times New Roman"/>
          <w:color w:val="auto"/>
        </w:rPr>
        <w:t xml:space="preserve"> </w:t>
      </w:r>
    </w:p>
    <w:p w14:paraId="5E56F5B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Reynolds, J., Stafford, S. M., Lambin, E., Turner II, B. L., Mortimore, M., Batterbury, S. P. J., Downing, T.wlatabadi, H., Fernàndez, R. J., Herrick, J. E., Huber-Sannwald, E., Jiang, H., Leemans, R., Lynam, T., Maestre, F. T., Ayarza, M., &amp; Walker, B. (2007). Global desertification: Building a science for drylands development. </w:t>
      </w:r>
      <w:r w:rsidRPr="009B0448">
        <w:rPr>
          <w:rFonts w:ascii="Times New Roman" w:hAnsi="Times New Roman" w:cs="Times New Roman"/>
          <w:i/>
          <w:color w:val="auto"/>
        </w:rPr>
        <w:t>Science 316</w:t>
      </w:r>
      <w:r w:rsidRPr="009B0448">
        <w:rPr>
          <w:rFonts w:ascii="Times New Roman" w:hAnsi="Times New Roman" w:cs="Times New Roman"/>
          <w:color w:val="auto"/>
        </w:rPr>
        <w:t>, 847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851. </w:t>
      </w:r>
      <w:hyperlink r:id="rId1438" w:history="1">
        <w:r w:rsidRPr="009B0448">
          <w:rPr>
            <w:rStyle w:val="Hyperlink"/>
            <w:rFonts w:ascii="Times New Roman" w:hAnsi="Times New Roman" w:cs="Times New Roman"/>
          </w:rPr>
          <w:t>https://doi.org/10.1126/science.1131634</w:t>
        </w:r>
      </w:hyperlink>
      <w:r w:rsidRPr="009B0448">
        <w:rPr>
          <w:rFonts w:ascii="Times New Roman" w:hAnsi="Times New Roman" w:cs="Times New Roman"/>
          <w:color w:val="auto"/>
        </w:rPr>
        <w:t xml:space="preserve"> </w:t>
      </w:r>
    </w:p>
    <w:p w14:paraId="491CE4F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lang w:val="en-US"/>
        </w:rPr>
        <w:t xml:space="preserve">Ringler, C., Zhu, T., Cai, X., Koo, J., &amp; Wang, D. (2010). </w:t>
      </w:r>
      <w:r w:rsidRPr="009B0448">
        <w:rPr>
          <w:rFonts w:ascii="Times New Roman" w:eastAsiaTheme="minorHAnsi" w:hAnsi="Times New Roman" w:cs="Times New Roman"/>
          <w:i/>
          <w:color w:val="auto"/>
        </w:rPr>
        <w:t>Climate change impacts on food security in sub-Saharan Africa: Insights from comprehensive climate change scenarios</w:t>
      </w:r>
      <w:r w:rsidRPr="009B0448">
        <w:rPr>
          <w:rFonts w:ascii="Times New Roman" w:eastAsiaTheme="minorHAnsi" w:hAnsi="Times New Roman" w:cs="Times New Roman"/>
          <w:color w:val="auto"/>
        </w:rPr>
        <w:t xml:space="preserve">. Washington, DC: International Food Policy Research Institute. Retrieved from </w:t>
      </w:r>
      <w:hyperlink r:id="rId1439" w:history="1">
        <w:r w:rsidRPr="009B0448">
          <w:rPr>
            <w:rStyle w:val="Hyperlink"/>
            <w:rFonts w:ascii="Times New Roman" w:eastAsiaTheme="minorHAnsi" w:hAnsi="Times New Roman" w:cs="Times New Roman"/>
          </w:rPr>
          <w:t>http://www.cosv.org/download/centrodocumentazione/climate%20change%20impacts%20on%20food%20security.pdf</w:t>
        </w:r>
      </w:hyperlink>
      <w:r w:rsidRPr="009B0448">
        <w:rPr>
          <w:rFonts w:ascii="Times New Roman" w:eastAsiaTheme="minorHAnsi" w:hAnsi="Times New Roman" w:cs="Times New Roman"/>
          <w:color w:val="auto"/>
        </w:rPr>
        <w:t xml:space="preserve"> </w:t>
      </w:r>
    </w:p>
    <w:p w14:paraId="7487B04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Roba, A. W., &amp; Witsenburg, K. M. (2004). </w:t>
      </w:r>
      <w:r w:rsidRPr="009B0448">
        <w:rPr>
          <w:rFonts w:ascii="Times New Roman" w:hAnsi="Times New Roman" w:cs="Times New Roman"/>
          <w:i/>
          <w:color w:val="auto"/>
        </w:rPr>
        <w:t>Surviving pastoral decline: Pastoral sedentarisation, natural resource management and livelihood diversification in Marsabit District, Northern Kenya.</w:t>
      </w:r>
      <w:r w:rsidRPr="009B0448">
        <w:rPr>
          <w:rFonts w:ascii="Times New Roman" w:hAnsi="Times New Roman" w:cs="Times New Roman"/>
          <w:color w:val="auto"/>
        </w:rPr>
        <w:t xml:space="preserve"> (Doctoral dissertation). Retrieved from </w:t>
      </w:r>
      <w:hyperlink r:id="rId1440" w:history="1">
        <w:r w:rsidRPr="009B0448">
          <w:rPr>
            <w:rStyle w:val="Hyperlink"/>
            <w:rFonts w:ascii="Times New Roman" w:hAnsi="Times New Roman" w:cs="Times New Roman"/>
          </w:rPr>
          <w:t>http://hdl.handle.net/11245/1.253612</w:t>
        </w:r>
      </w:hyperlink>
      <w:r w:rsidRPr="009B0448">
        <w:rPr>
          <w:rFonts w:ascii="Times New Roman" w:hAnsi="Times New Roman" w:cs="Times New Roman"/>
          <w:color w:val="auto"/>
        </w:rPr>
        <w:t xml:space="preserve"> </w:t>
      </w:r>
    </w:p>
    <w:p w14:paraId="1481FBD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Robinson, L. W. (2013). </w:t>
      </w:r>
      <w:r w:rsidRPr="009B0448">
        <w:rPr>
          <w:rFonts w:ascii="Times New Roman" w:hAnsi="Times New Roman" w:cs="Times New Roman"/>
          <w:i/>
          <w:color w:val="auto"/>
        </w:rPr>
        <w:t>Mt. Marsabit, Kenya: An assessment of the governance system. Landscape-level ecosystem-based management working paper no. 2</w:t>
      </w:r>
      <w:r w:rsidRPr="009B0448">
        <w:rPr>
          <w:rFonts w:ascii="Times New Roman" w:hAnsi="Times New Roman" w:cs="Times New Roman"/>
          <w:color w:val="auto"/>
        </w:rPr>
        <w:t xml:space="preserve">. Institute of Coastal Research, Canada: CGIAR. Retrieved from </w:t>
      </w:r>
      <w:hyperlink r:id="rId1441" w:history="1">
        <w:r w:rsidRPr="009B0448">
          <w:rPr>
            <w:rStyle w:val="Hyperlink"/>
            <w:rFonts w:ascii="Times New Roman" w:hAnsi="Times New Roman" w:cs="Times New Roman"/>
          </w:rPr>
          <w:t>https://www2.viu.ca/landscapelevel/files/2013/10/MtMarsabit_GovernanceAssessment.pdf</w:t>
        </w:r>
      </w:hyperlink>
      <w:r w:rsidRPr="009B0448">
        <w:rPr>
          <w:rFonts w:ascii="Times New Roman" w:hAnsi="Times New Roman" w:cs="Times New Roman"/>
        </w:rPr>
        <w:t xml:space="preserve"> </w:t>
      </w:r>
    </w:p>
    <w:p w14:paraId="59A655F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Roe, D., &amp; Nelson, F. (2009). The origins and evolution of community-based natural resource management. In D. Roe, F. Nelson, &amp; C. Sandbrook (Eds.), </w:t>
      </w:r>
      <w:r w:rsidRPr="009B0448">
        <w:rPr>
          <w:rFonts w:ascii="Times New Roman" w:hAnsi="Times New Roman" w:cs="Times New Roman"/>
          <w:i/>
          <w:color w:val="auto"/>
        </w:rPr>
        <w:t>Community management of natural resources in Africa: Impacts, experiences and future directions.</w:t>
      </w:r>
      <w:r w:rsidRPr="009B0448">
        <w:rPr>
          <w:rFonts w:ascii="Times New Roman" w:hAnsi="Times New Roman" w:cs="Times New Roman"/>
          <w:color w:val="auto"/>
        </w:rPr>
        <w:t xml:space="preserve"> London, UK: International Institute for Environment and Development. Retrieved from</w:t>
      </w:r>
      <w:r w:rsidRPr="009B0448">
        <w:rPr>
          <w:rFonts w:ascii="Times New Roman" w:hAnsi="Times New Roman" w:cs="Times New Roman"/>
        </w:rPr>
        <w:t xml:space="preserve"> </w:t>
      </w:r>
      <w:hyperlink r:id="rId1442" w:history="1">
        <w:r w:rsidRPr="009B0448">
          <w:rPr>
            <w:rStyle w:val="Hyperlink"/>
            <w:rFonts w:ascii="Times New Roman" w:hAnsi="Times New Roman" w:cs="Times New Roman"/>
          </w:rPr>
          <w:t>https://www.tnrf.org/files/E-INFO_CBNRM_Bibliography_0.pdf</w:t>
        </w:r>
      </w:hyperlink>
      <w:r w:rsidRPr="009B0448">
        <w:rPr>
          <w:rFonts w:ascii="Times New Roman" w:hAnsi="Times New Roman" w:cs="Times New Roman"/>
          <w:color w:val="auto"/>
        </w:rPr>
        <w:t xml:space="preserve"> </w:t>
      </w:r>
    </w:p>
    <w:p w14:paraId="5D3CEB2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lang w:val="de-DE"/>
        </w:rPr>
        <w:t xml:space="preserve">Rohr, T., Manzoni, S., Feng, X., Menezes, R. M. C., &amp; Porporato, A. (2013). </w:t>
      </w:r>
      <w:r w:rsidRPr="009B0448">
        <w:rPr>
          <w:rFonts w:ascii="Times New Roman" w:eastAsiaTheme="minorHAnsi" w:hAnsi="Times New Roman" w:cs="Times New Roman"/>
          <w:color w:val="auto"/>
        </w:rPr>
        <w:t xml:space="preserve">Effect of rainfall seasonality on carbon storage in tropical dry ecosystems. </w:t>
      </w:r>
      <w:r w:rsidRPr="009B0448">
        <w:rPr>
          <w:rFonts w:ascii="Times New Roman" w:eastAsiaTheme="minorHAnsi" w:hAnsi="Times New Roman" w:cs="Times New Roman"/>
          <w:i/>
          <w:color w:val="auto"/>
        </w:rPr>
        <w:t>Journal of Geophysical Research, 118</w:t>
      </w:r>
      <w:r w:rsidRPr="009B0448">
        <w:rPr>
          <w:rFonts w:ascii="Times New Roman" w:eastAsiaTheme="minorHAnsi" w:hAnsi="Times New Roman" w:cs="Times New Roman"/>
          <w:color w:val="auto"/>
        </w:rPr>
        <w:t xml:space="preserve">(3), 1156–1167. </w:t>
      </w:r>
      <w:hyperlink r:id="rId1443" w:history="1">
        <w:r w:rsidRPr="009B0448">
          <w:rPr>
            <w:rStyle w:val="Hyperlink"/>
            <w:rFonts w:ascii="Times New Roman" w:eastAsiaTheme="minorHAnsi" w:hAnsi="Times New Roman" w:cs="Times New Roman"/>
          </w:rPr>
          <w:t>https://doi.org/10.1002/jgrg.20091</w:t>
        </w:r>
      </w:hyperlink>
      <w:r w:rsidRPr="009B0448">
        <w:rPr>
          <w:rFonts w:ascii="Times New Roman" w:eastAsiaTheme="minorHAnsi" w:hAnsi="Times New Roman" w:cs="Times New Roman"/>
          <w:color w:val="auto"/>
        </w:rPr>
        <w:t xml:space="preserve"> </w:t>
      </w:r>
    </w:p>
    <w:p w14:paraId="05160BC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Roué, M., Césard, N., Adou Yao, Y. C., &amp; Oteng-Yeboah, A. (Eds.). (2016). </w:t>
      </w:r>
      <w:r w:rsidRPr="009B0448">
        <w:rPr>
          <w:rFonts w:ascii="Times New Roman" w:hAnsi="Times New Roman" w:cs="Times New Roman"/>
          <w:i/>
          <w:color w:val="auto"/>
        </w:rPr>
        <w:t xml:space="preserve">Indigenous and local knowledge of biodiversity and ecosystem services in Africa. </w:t>
      </w:r>
      <w:r w:rsidRPr="009B0448">
        <w:rPr>
          <w:rFonts w:ascii="Times New Roman" w:hAnsi="Times New Roman" w:cs="Times New Roman"/>
          <w:color w:val="auto"/>
        </w:rPr>
        <w:t>Paris, France: UNESCO. Retrieved from</w:t>
      </w:r>
      <w:r w:rsidRPr="009B0448">
        <w:rPr>
          <w:rFonts w:ascii="Times New Roman" w:hAnsi="Times New Roman" w:cs="Times New Roman"/>
        </w:rPr>
        <w:t xml:space="preserve"> </w:t>
      </w:r>
      <w:hyperlink r:id="rId1444" w:history="1">
        <w:r w:rsidRPr="009B0448">
          <w:rPr>
            <w:rStyle w:val="Hyperlink"/>
            <w:rFonts w:ascii="Times New Roman" w:hAnsi="Times New Roman" w:cs="Times New Roman"/>
          </w:rPr>
          <w:t>http://climatefrontlines.org/sites/default/files/ipbes/IPBES_in_Africa_2015.pdf</w:t>
        </w:r>
      </w:hyperlink>
      <w:r w:rsidRPr="009B0448">
        <w:rPr>
          <w:rFonts w:ascii="Times New Roman" w:hAnsi="Times New Roman" w:cs="Times New Roman"/>
          <w:color w:val="auto"/>
        </w:rPr>
        <w:t xml:space="preserve"> </w:t>
      </w:r>
    </w:p>
    <w:p w14:paraId="39CE147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Rutto, J. J., Osano, O., Thuranira, E. G., Kurgat, R. K. &amp; Odenyo, V. A. O. (2013). Socio-economic and cultural determinants of human African Trypanosomiasi</w:t>
      </w:r>
      <w:r w:rsidRPr="009B0448">
        <w:rPr>
          <w:rFonts w:ascii="Times New Roman" w:eastAsiaTheme="minorHAnsi" w:hAnsi="Times New Roman" w:cs="Times New Roman"/>
          <w:i/>
          <w:color w:val="auto"/>
        </w:rPr>
        <w:t>s</w:t>
      </w:r>
      <w:r w:rsidRPr="009B0448">
        <w:rPr>
          <w:rFonts w:ascii="Times New Roman" w:eastAsiaTheme="minorHAnsi" w:hAnsi="Times New Roman" w:cs="Times New Roman"/>
          <w:color w:val="auto"/>
        </w:rPr>
        <w:t xml:space="preserve"> at the Kenya–Uganda transboundary. </w:t>
      </w:r>
      <w:r w:rsidRPr="009B0448">
        <w:rPr>
          <w:rFonts w:ascii="Times New Roman" w:eastAsiaTheme="minorHAnsi" w:hAnsi="Times New Roman" w:cs="Times New Roman"/>
          <w:i/>
          <w:color w:val="auto"/>
        </w:rPr>
        <w:t>PLoS Neglected Tropical Diseases</w:t>
      </w:r>
      <w:r w:rsidRPr="009B0448">
        <w:rPr>
          <w:rFonts w:ascii="Times New Roman" w:eastAsiaTheme="minorHAnsi" w:hAnsi="Times New Roman" w:cs="Times New Roman"/>
          <w:color w:val="auto"/>
        </w:rPr>
        <w:t xml:space="preserve">, </w:t>
      </w:r>
      <w:r w:rsidRPr="009B0448">
        <w:rPr>
          <w:rFonts w:ascii="Times New Roman" w:eastAsiaTheme="minorHAnsi" w:hAnsi="Times New Roman" w:cs="Times New Roman"/>
          <w:i/>
          <w:color w:val="auto"/>
        </w:rPr>
        <w:t>7(4):</w:t>
      </w:r>
      <w:r w:rsidRPr="009B0448">
        <w:rPr>
          <w:rFonts w:ascii="Times New Roman" w:eastAsiaTheme="minorHAnsi" w:hAnsi="Times New Roman" w:cs="Times New Roman"/>
          <w:color w:val="auto"/>
        </w:rPr>
        <w:t xml:space="preserve"> e2186. </w:t>
      </w:r>
      <w:hyperlink r:id="rId1445" w:history="1">
        <w:r w:rsidRPr="009B0448">
          <w:rPr>
            <w:rStyle w:val="Hyperlink"/>
            <w:rFonts w:ascii="Times New Roman" w:hAnsi="Times New Roman" w:cs="Times New Roman"/>
          </w:rPr>
          <w:t>https://doi.org/10.1371/journal.pntd.0002186</w:t>
        </w:r>
      </w:hyperlink>
    </w:p>
    <w:p w14:paraId="31F36D1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Rwabiteta, M. A. (2002). </w:t>
      </w:r>
      <w:r w:rsidRPr="009B0448">
        <w:rPr>
          <w:rFonts w:ascii="Times New Roman" w:hAnsi="Times New Roman" w:cs="Times New Roman"/>
          <w:i/>
          <w:color w:val="auto"/>
        </w:rPr>
        <w:t>Evaluation of community based conservation approaches. Management of protected areas in Uganda</w:t>
      </w:r>
      <w:r w:rsidRPr="009B0448">
        <w:rPr>
          <w:rFonts w:ascii="Times New Roman" w:hAnsi="Times New Roman" w:cs="Times New Roman"/>
          <w:color w:val="auto"/>
        </w:rPr>
        <w:t xml:space="preserve">. (Doctoral dissertation). Retrieved from </w:t>
      </w:r>
      <w:hyperlink r:id="rId1446" w:history="1">
        <w:r w:rsidRPr="009B0448">
          <w:rPr>
            <w:rStyle w:val="Hyperlink"/>
            <w:rFonts w:ascii="Times New Roman" w:hAnsi="Times New Roman" w:cs="Times New Roman"/>
          </w:rPr>
          <w:t>http://etd.fcla.edu/UF/UFE1000146/mugisha_a.pdf</w:t>
        </w:r>
      </w:hyperlink>
      <w:r w:rsidRPr="009B0448">
        <w:rPr>
          <w:rFonts w:ascii="Times New Roman" w:hAnsi="Times New Roman" w:cs="Times New Roman"/>
          <w:color w:val="auto"/>
        </w:rPr>
        <w:t xml:space="preserve"> </w:t>
      </w:r>
    </w:p>
    <w:p w14:paraId="62AD327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Ryan, C. M., Pritchard, R., McNicol, I., Lehmann, C., &amp; Fisher, J. (2016). Ecosystem services from Southern African woodlands and their future under global change. </w:t>
      </w:r>
      <w:r w:rsidRPr="009B0448">
        <w:rPr>
          <w:rFonts w:ascii="Times New Roman" w:hAnsi="Times New Roman" w:cs="Times New Roman"/>
          <w:i/>
          <w:iCs/>
          <w:color w:val="auto"/>
        </w:rPr>
        <w:t>. Philosophical Transactions of the Royal Society B: Biological Sciences,</w:t>
      </w:r>
      <w:r w:rsidRPr="009B0448">
        <w:rPr>
          <w:rFonts w:ascii="Times New Roman" w:hAnsi="Times New Roman" w:cs="Times New Roman"/>
          <w:color w:val="auto"/>
        </w:rPr>
        <w:t xml:space="preserve"> </w:t>
      </w:r>
      <w:r w:rsidRPr="009B0448">
        <w:rPr>
          <w:rFonts w:ascii="Times New Roman" w:hAnsi="Times New Roman" w:cs="Times New Roman"/>
          <w:i/>
          <w:color w:val="auto"/>
        </w:rPr>
        <w:t>371</w:t>
      </w:r>
      <w:r w:rsidRPr="009B0448">
        <w:rPr>
          <w:rFonts w:ascii="Times New Roman" w:hAnsi="Times New Roman" w:cs="Times New Roman"/>
          <w:color w:val="auto"/>
        </w:rPr>
        <w:t xml:space="preserve">(1703), 20150312. </w:t>
      </w:r>
      <w:hyperlink r:id="rId1447" w:history="1">
        <w:r w:rsidRPr="009B0448">
          <w:rPr>
            <w:rStyle w:val="Hyperlink"/>
            <w:rFonts w:ascii="Times New Roman" w:hAnsi="Times New Roman" w:cs="Times New Roman"/>
          </w:rPr>
          <w:t>https://doi.org/10.1098/rstb.2015.0312</w:t>
        </w:r>
      </w:hyperlink>
    </w:p>
    <w:p w14:paraId="29751B8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Saad, M. A. H. (1980). Eutrophication of Lake Mariut, a heavily polluted lake in Egypt. </w:t>
      </w:r>
      <w:r w:rsidRPr="009B0448">
        <w:rPr>
          <w:rFonts w:ascii="Times New Roman" w:hAnsi="Times New Roman" w:cs="Times New Roman"/>
          <w:i/>
          <w:color w:val="auto"/>
        </w:rPr>
        <w:t>Alexandria</w:t>
      </w:r>
      <w:r w:rsidRPr="009B0448">
        <w:rPr>
          <w:rFonts w:ascii="Times New Roman" w:hAnsi="Times New Roman" w:cs="Times New Roman"/>
          <w:color w:val="auto"/>
        </w:rPr>
        <w:t>, 275</w:t>
      </w:r>
      <w:r w:rsidRPr="009B0448">
        <w:rPr>
          <w:rFonts w:ascii="Times New Roman" w:eastAsiaTheme="minorHAnsi" w:hAnsi="Times New Roman" w:cs="Times New Roman"/>
          <w:color w:val="auto"/>
        </w:rPr>
        <w:t>–</w:t>
      </w:r>
      <w:r w:rsidRPr="009B0448">
        <w:rPr>
          <w:rFonts w:ascii="Times New Roman" w:hAnsi="Times New Roman" w:cs="Times New Roman"/>
          <w:color w:val="auto"/>
        </w:rPr>
        <w:t>292. Retrieved from</w:t>
      </w:r>
      <w:r w:rsidRPr="009B0448">
        <w:rPr>
          <w:rFonts w:ascii="Times New Roman" w:hAnsi="Times New Roman" w:cs="Times New Roman"/>
        </w:rPr>
        <w:t xml:space="preserve"> </w:t>
      </w:r>
      <w:hyperlink r:id="rId1448" w:history="1">
        <w:r w:rsidRPr="009B0448">
          <w:rPr>
            <w:rStyle w:val="Hyperlink"/>
            <w:rFonts w:ascii="Times New Roman" w:hAnsi="Times New Roman" w:cs="Times New Roman"/>
          </w:rPr>
          <w:t>http://agris.fao.org/agris-search/search.do?recordID=XF19810683325</w:t>
        </w:r>
      </w:hyperlink>
      <w:r w:rsidRPr="009B0448">
        <w:rPr>
          <w:rFonts w:ascii="Times New Roman" w:hAnsi="Times New Roman" w:cs="Times New Roman"/>
          <w:color w:val="auto"/>
        </w:rPr>
        <w:t xml:space="preserve"> </w:t>
      </w:r>
    </w:p>
    <w:p w14:paraId="0CACE06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Sala, O. E., Chapin III, F. S., Armesto, J. J., Berlow, E., Bloomfield, J., Dirzo, R., Huber-Sanwald, E., Huenneke, L., Jackson, R. B., Kinzig, A., Leemans, R., Lodge, D. M., Mooney, H. A., Oesterheld, M., Poff, N. L., Sykes, M. T., Walker, B. H., Walker, M., &amp; Wall, D. H. (2000). Global biodiversity scenarios for the year 2100. </w:t>
      </w:r>
      <w:r w:rsidRPr="009B0448">
        <w:rPr>
          <w:rFonts w:ascii="Times New Roman" w:hAnsi="Times New Roman" w:cs="Times New Roman"/>
          <w:i/>
          <w:color w:val="auto"/>
        </w:rPr>
        <w:t>Science, 287</w:t>
      </w:r>
      <w:r w:rsidRPr="009B0448">
        <w:rPr>
          <w:rFonts w:ascii="Times New Roman" w:hAnsi="Times New Roman" w:cs="Times New Roman"/>
          <w:color w:val="auto"/>
        </w:rPr>
        <w:t>, 1770</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1774. </w:t>
      </w:r>
      <w:hyperlink r:id="rId1449" w:history="1">
        <w:r w:rsidRPr="009B0448">
          <w:rPr>
            <w:rStyle w:val="Hyperlink"/>
            <w:rFonts w:ascii="Times New Roman" w:hAnsi="Times New Roman" w:cs="Times New Roman"/>
          </w:rPr>
          <w:t>https://doi.org/10.1126/science.287.5459.1770</w:t>
        </w:r>
      </w:hyperlink>
      <w:r w:rsidRPr="009B0448">
        <w:rPr>
          <w:rFonts w:ascii="Times New Roman" w:hAnsi="Times New Roman" w:cs="Times New Roman"/>
          <w:color w:val="auto"/>
        </w:rPr>
        <w:t xml:space="preserve"> </w:t>
      </w:r>
    </w:p>
    <w:p w14:paraId="5F29C6A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Sako, S. (2006). </w:t>
      </w:r>
      <w:r w:rsidRPr="009B0448">
        <w:rPr>
          <w:rFonts w:ascii="Times New Roman" w:hAnsi="Times New Roman" w:cs="Times New Roman"/>
          <w:i/>
          <w:color w:val="auto"/>
        </w:rPr>
        <w:t>Challenges facing Africa’s regional economic communities in capacity building</w:t>
      </w:r>
      <w:r w:rsidRPr="009B0448">
        <w:rPr>
          <w:rFonts w:ascii="Times New Roman" w:hAnsi="Times New Roman" w:cs="Times New Roman"/>
          <w:color w:val="auto"/>
        </w:rPr>
        <w:t xml:space="preserve">. Harare, Zimbabwe: ACBF. Retrieved from </w:t>
      </w:r>
      <w:hyperlink r:id="rId1450" w:history="1">
        <w:r w:rsidRPr="009B0448">
          <w:rPr>
            <w:rStyle w:val="Hyperlink"/>
            <w:rFonts w:ascii="Times New Roman" w:hAnsi="Times New Roman" w:cs="Times New Roman"/>
          </w:rPr>
          <w:t>http://opendocs.ids.ac.uk/opendocs/handle/123456789/2966</w:t>
        </w:r>
      </w:hyperlink>
      <w:r w:rsidRPr="009B0448">
        <w:rPr>
          <w:rFonts w:ascii="Times New Roman" w:hAnsi="Times New Roman" w:cs="Times New Roman"/>
        </w:rPr>
        <w:t xml:space="preserve"> </w:t>
      </w:r>
    </w:p>
    <w:p w14:paraId="60B5E7F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Satterthwaite, D., McGranahan, G., &amp; Tacoli, C. (2010) Urbanization and its implications for food and farming. </w:t>
      </w:r>
      <w:r w:rsidRPr="009B0448">
        <w:rPr>
          <w:rFonts w:ascii="Times New Roman" w:hAnsi="Times New Roman" w:cs="Times New Roman"/>
          <w:i/>
          <w:color w:val="auto"/>
        </w:rPr>
        <w:t>Philosophical Transactions of the Royal Society B: Biological Sciences, 365</w:t>
      </w:r>
      <w:r w:rsidRPr="009B0448">
        <w:rPr>
          <w:rFonts w:ascii="Times New Roman" w:hAnsi="Times New Roman" w:cs="Times New Roman"/>
          <w:color w:val="auto"/>
        </w:rPr>
        <w:t>, 2809</w:t>
      </w:r>
      <w:r w:rsidRPr="009B0448">
        <w:rPr>
          <w:rFonts w:ascii="Times New Roman" w:eastAsiaTheme="minorHAnsi" w:hAnsi="Times New Roman" w:cs="Times New Roman"/>
          <w:color w:val="auto"/>
        </w:rPr>
        <w:t>–</w:t>
      </w:r>
      <w:r w:rsidRPr="009B0448">
        <w:rPr>
          <w:rFonts w:ascii="Times New Roman" w:hAnsi="Times New Roman" w:cs="Times New Roman"/>
          <w:color w:val="auto"/>
        </w:rPr>
        <w:t>820.</w:t>
      </w:r>
      <w:r w:rsidRPr="009B0448">
        <w:rPr>
          <w:rFonts w:ascii="Times New Roman" w:hAnsi="Times New Roman" w:cs="Times New Roman"/>
        </w:rPr>
        <w:t xml:space="preserve"> </w:t>
      </w:r>
      <w:hyperlink r:id="rId1451" w:history="1">
        <w:r w:rsidRPr="009B0448">
          <w:rPr>
            <w:rStyle w:val="Hyperlink"/>
            <w:rFonts w:ascii="Times New Roman" w:hAnsi="Times New Roman" w:cs="Times New Roman"/>
          </w:rPr>
          <w:t>https://doi.org/10.1098/rstb.2010.0136</w:t>
        </w:r>
      </w:hyperlink>
      <w:r w:rsidRPr="009B0448">
        <w:rPr>
          <w:rFonts w:ascii="Times New Roman" w:hAnsi="Times New Roman" w:cs="Times New Roman"/>
          <w:color w:val="auto"/>
        </w:rPr>
        <w:t xml:space="preserve"> </w:t>
      </w:r>
    </w:p>
    <w:p w14:paraId="3D9050D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Schadler, M., Roeder, M., Brandl, R., &amp; Matthies, D. (2007). Interacting effects of elevated CO</w:t>
      </w:r>
      <w:r w:rsidRPr="009B0448">
        <w:rPr>
          <w:rFonts w:ascii="Times New Roman" w:hAnsi="Times New Roman" w:cs="Times New Roman"/>
          <w:color w:val="auto"/>
          <w:vertAlign w:val="subscript"/>
        </w:rPr>
        <w:t>2</w:t>
      </w:r>
      <w:r w:rsidRPr="009B0448">
        <w:rPr>
          <w:rFonts w:ascii="Times New Roman" w:hAnsi="Times New Roman" w:cs="Times New Roman"/>
          <w:color w:val="auto"/>
        </w:rPr>
        <w:t xml:space="preserve">, nutrient availability and plant species on a generalist invertebrate herbivore. </w:t>
      </w:r>
      <w:r w:rsidRPr="009B0448">
        <w:rPr>
          <w:rFonts w:ascii="Times New Roman" w:hAnsi="Times New Roman" w:cs="Times New Roman"/>
          <w:i/>
          <w:color w:val="auto"/>
        </w:rPr>
        <w:t>Global Change Biology, 13</w:t>
      </w:r>
      <w:r w:rsidRPr="009B0448">
        <w:rPr>
          <w:rFonts w:ascii="Times New Roman" w:hAnsi="Times New Roman" w:cs="Times New Roman"/>
          <w:color w:val="auto"/>
        </w:rPr>
        <w:t>(5), 1005</w:t>
      </w:r>
      <w:r w:rsidRPr="009B0448">
        <w:rPr>
          <w:rFonts w:ascii="Times New Roman" w:eastAsiaTheme="minorHAnsi" w:hAnsi="Times New Roman" w:cs="Times New Roman"/>
          <w:color w:val="auto"/>
        </w:rPr>
        <w:t>–</w:t>
      </w:r>
      <w:r w:rsidRPr="009B0448">
        <w:rPr>
          <w:rFonts w:ascii="Times New Roman" w:hAnsi="Times New Roman" w:cs="Times New Roman"/>
          <w:color w:val="auto"/>
        </w:rPr>
        <w:t>1015.</w:t>
      </w:r>
      <w:r w:rsidRPr="009B0448">
        <w:rPr>
          <w:rFonts w:ascii="Times New Roman" w:hAnsi="Times New Roman" w:cs="Times New Roman"/>
        </w:rPr>
        <w:t xml:space="preserve"> </w:t>
      </w:r>
      <w:hyperlink r:id="rId1452" w:history="1">
        <w:r w:rsidRPr="009B0448">
          <w:rPr>
            <w:rStyle w:val="Hyperlink"/>
            <w:rFonts w:ascii="Times New Roman" w:hAnsi="Times New Roman" w:cs="Times New Roman"/>
          </w:rPr>
          <w:t>https://doi.org/10.1111/j.1365-2486.2007.01319.x</w:t>
        </w:r>
      </w:hyperlink>
      <w:r w:rsidRPr="009B0448">
        <w:rPr>
          <w:rFonts w:ascii="Times New Roman" w:hAnsi="Times New Roman" w:cs="Times New Roman"/>
          <w:color w:val="auto"/>
        </w:rPr>
        <w:t xml:space="preserve"> </w:t>
      </w:r>
    </w:p>
    <w:p w14:paraId="6479E95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Scheiter, S., Langan, L., &amp; Higgins, S. I. (2013). Next-generation dynamic global vegetation models: Learning from community ecology. </w:t>
      </w:r>
      <w:r w:rsidRPr="009B0448">
        <w:rPr>
          <w:rFonts w:ascii="Times New Roman" w:hAnsi="Times New Roman" w:cs="Times New Roman"/>
          <w:i/>
          <w:color w:val="auto"/>
        </w:rPr>
        <w:t>New Phytologist, 198</w:t>
      </w:r>
      <w:r w:rsidRPr="009B0448">
        <w:rPr>
          <w:rFonts w:ascii="Times New Roman" w:hAnsi="Times New Roman" w:cs="Times New Roman"/>
          <w:color w:val="auto"/>
        </w:rPr>
        <w:t>(3), 957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969. </w:t>
      </w:r>
      <w:hyperlink r:id="rId1453" w:history="1">
        <w:r w:rsidRPr="009B0448">
          <w:rPr>
            <w:rStyle w:val="Hyperlink"/>
            <w:rFonts w:ascii="Times New Roman" w:hAnsi="Times New Roman" w:cs="Times New Roman"/>
          </w:rPr>
          <w:t>https://doi.org/10.1111/nph.12210</w:t>
        </w:r>
      </w:hyperlink>
      <w:r w:rsidRPr="009B0448">
        <w:rPr>
          <w:rFonts w:ascii="Times New Roman" w:hAnsi="Times New Roman" w:cs="Times New Roman"/>
          <w:color w:val="auto"/>
        </w:rPr>
        <w:t xml:space="preserve"> </w:t>
      </w:r>
    </w:p>
    <w:p w14:paraId="33FAD43A" w14:textId="77777777" w:rsidR="009B0448" w:rsidRPr="009B0448" w:rsidRDefault="009B0448" w:rsidP="009B0448">
      <w:pPr>
        <w:pStyle w:val="NoSpacing"/>
        <w:spacing w:after="120" w:line="276" w:lineRule="auto"/>
        <w:ind w:left="567" w:hanging="567"/>
        <w:rPr>
          <w:rFonts w:ascii="Times New Roman" w:hAnsi="Times New Roman" w:cs="Times New Roman"/>
          <w:color w:val="auto"/>
          <w:lang w:val="de-DE"/>
        </w:rPr>
      </w:pPr>
      <w:r w:rsidRPr="009B0448">
        <w:rPr>
          <w:rFonts w:ascii="Times New Roman" w:eastAsiaTheme="minorHAnsi" w:hAnsi="Times New Roman" w:cs="Times New Roman"/>
          <w:color w:val="auto"/>
        </w:rPr>
        <w:t xml:space="preserve">Scholes, R. J. (2016). Climate change and ecosystem services. Wiley interdisciplinary reviews: </w:t>
      </w:r>
      <w:r w:rsidRPr="009B0448">
        <w:rPr>
          <w:rFonts w:ascii="Times New Roman" w:eastAsiaTheme="minorHAnsi" w:hAnsi="Times New Roman" w:cs="Times New Roman"/>
          <w:i/>
          <w:color w:val="auto"/>
        </w:rPr>
        <w:t>Climate Change, 7(4)</w:t>
      </w:r>
      <w:r w:rsidRPr="009B0448">
        <w:rPr>
          <w:rFonts w:ascii="Times New Roman" w:eastAsiaTheme="minorHAnsi" w:hAnsi="Times New Roman" w:cs="Times New Roman"/>
          <w:color w:val="auto"/>
        </w:rPr>
        <w:t xml:space="preserve">, 537–550. </w:t>
      </w:r>
      <w:hyperlink r:id="rId1454" w:history="1">
        <w:r w:rsidRPr="009B0448">
          <w:rPr>
            <w:rStyle w:val="Hyperlink"/>
            <w:rFonts w:ascii="Times New Roman" w:hAnsi="Times New Roman" w:cs="Times New Roman"/>
          </w:rPr>
          <w:t>https://doi.org/10.1002/wcc.404</w:t>
        </w:r>
      </w:hyperlink>
      <w:r w:rsidRPr="009B0448">
        <w:rPr>
          <w:rFonts w:ascii="Times New Roman" w:hAnsi="Times New Roman" w:cs="Times New Roman"/>
        </w:rPr>
        <w:t xml:space="preserve"> </w:t>
      </w:r>
    </w:p>
    <w:p w14:paraId="38AC926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Scholes, R. J., Archibald, S., &amp; von Maltitz, G. (2011). </w:t>
      </w:r>
      <w:r w:rsidRPr="009B0448">
        <w:rPr>
          <w:rFonts w:ascii="Times New Roman" w:hAnsi="Times New Roman" w:cs="Times New Roman"/>
          <w:color w:val="auto"/>
        </w:rPr>
        <w:t xml:space="preserve">Emissions from fire in sub-Saharan Africa: The magnitude of sources, their variability and uncertainty. </w:t>
      </w:r>
      <w:r w:rsidRPr="009B0448">
        <w:rPr>
          <w:rFonts w:ascii="Times New Roman" w:hAnsi="Times New Roman" w:cs="Times New Roman"/>
          <w:i/>
          <w:color w:val="auto"/>
        </w:rPr>
        <w:t>Global Environmental Research, 15,</w:t>
      </w:r>
      <w:r w:rsidRPr="009B0448">
        <w:rPr>
          <w:rFonts w:ascii="Times New Roman" w:hAnsi="Times New Roman" w:cs="Times New Roman"/>
          <w:color w:val="auto"/>
        </w:rPr>
        <w:t xml:space="preserve"> 53</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63. Retrieved from </w:t>
      </w:r>
      <w:hyperlink r:id="rId1455" w:history="1">
        <w:r w:rsidRPr="009B0448">
          <w:rPr>
            <w:rStyle w:val="Hyperlink"/>
            <w:rFonts w:ascii="Times New Roman" w:hAnsi="Times New Roman" w:cs="Times New Roman"/>
          </w:rPr>
          <w:t>http://catalogue.unccd.int/192_Article_emissions_from_fire.pdf</w:t>
        </w:r>
      </w:hyperlink>
      <w:r w:rsidRPr="009B0448">
        <w:rPr>
          <w:rFonts w:ascii="Times New Roman" w:hAnsi="Times New Roman" w:cs="Times New Roman"/>
          <w:color w:val="auto"/>
        </w:rPr>
        <w:t xml:space="preserve"> </w:t>
      </w:r>
    </w:p>
    <w:p w14:paraId="4F7A6C3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Schulz, R., Peall, S. K. C., Dabrowski, J. M., &amp; Reinecke, A. J. (2001). Spray deposition of two insecticides into surface waters in a South African orchard area. </w:t>
      </w:r>
      <w:r w:rsidRPr="009B0448">
        <w:rPr>
          <w:rFonts w:ascii="Times New Roman" w:hAnsi="Times New Roman" w:cs="Times New Roman"/>
          <w:i/>
          <w:color w:val="auto"/>
        </w:rPr>
        <w:t>Journal of Environmental Quality, 30</w:t>
      </w:r>
      <w:r w:rsidRPr="009B0448">
        <w:rPr>
          <w:rFonts w:ascii="Times New Roman" w:hAnsi="Times New Roman" w:cs="Times New Roman"/>
          <w:color w:val="auto"/>
        </w:rPr>
        <w:t>(3), 814</w:t>
      </w:r>
      <w:r w:rsidRPr="009B0448">
        <w:rPr>
          <w:rFonts w:ascii="Times New Roman" w:eastAsiaTheme="minorHAnsi" w:hAnsi="Times New Roman" w:cs="Times New Roman"/>
          <w:color w:val="auto"/>
        </w:rPr>
        <w:t>–</w:t>
      </w:r>
      <w:r w:rsidRPr="009B0448">
        <w:rPr>
          <w:rFonts w:ascii="Times New Roman" w:hAnsi="Times New Roman" w:cs="Times New Roman"/>
          <w:color w:val="auto"/>
        </w:rPr>
        <w:t>822.</w:t>
      </w:r>
      <w:r w:rsidRPr="009B0448">
        <w:rPr>
          <w:rFonts w:ascii="Times New Roman" w:hAnsi="Times New Roman" w:cs="Times New Roman"/>
        </w:rPr>
        <w:t xml:space="preserve"> </w:t>
      </w:r>
      <w:hyperlink r:id="rId1456" w:history="1">
        <w:r w:rsidRPr="009B0448">
          <w:rPr>
            <w:rStyle w:val="Hyperlink"/>
            <w:rFonts w:ascii="Times New Roman" w:hAnsi="Times New Roman" w:cs="Times New Roman"/>
          </w:rPr>
          <w:t>https://doi.org/10.2134/jeq2001.303814x</w:t>
        </w:r>
      </w:hyperlink>
      <w:r w:rsidRPr="009B0448">
        <w:rPr>
          <w:rFonts w:ascii="Times New Roman" w:hAnsi="Times New Roman" w:cs="Times New Roman"/>
          <w:color w:val="auto"/>
        </w:rPr>
        <w:t xml:space="preserve"> </w:t>
      </w:r>
    </w:p>
    <w:p w14:paraId="269737AE"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Selby, R., </w:t>
      </w:r>
      <w:hyperlink r:id="rId1457" w:history="1">
        <w:r w:rsidRPr="009B0448">
          <w:rPr>
            <w:rStyle w:val="Hyperlink"/>
            <w:rFonts w:ascii="Times New Roman" w:hAnsi="Times New Roman" w:cs="Times New Roman"/>
            <w:color w:val="auto"/>
          </w:rPr>
          <w:t>Bardosh</w:t>
        </w:r>
      </w:hyperlink>
      <w:r w:rsidRPr="009B0448">
        <w:rPr>
          <w:rFonts w:ascii="Times New Roman" w:hAnsi="Times New Roman" w:cs="Times New Roman"/>
          <w:color w:val="auto"/>
        </w:rPr>
        <w:t xml:space="preserve"> K., Picozzi, K., Bardosh, W. C., &amp; Welburn, S. C. (2013). Cattle movements and trypanosomes: Restocking efforts and the spread of </w:t>
      </w:r>
      <w:r w:rsidRPr="009B0448">
        <w:rPr>
          <w:rFonts w:ascii="Times New Roman" w:hAnsi="Times New Roman" w:cs="Times New Roman"/>
          <w:i/>
          <w:color w:val="auto"/>
        </w:rPr>
        <w:t>Trypanosoma brucei</w:t>
      </w:r>
      <w:r w:rsidRPr="009B0448">
        <w:rPr>
          <w:rFonts w:ascii="Times New Roman" w:hAnsi="Times New Roman" w:cs="Times New Roman"/>
          <w:color w:val="auto"/>
        </w:rPr>
        <w:t xml:space="preserve"> rhodesiense sleeping sickness in post-conflict Uganda. </w:t>
      </w:r>
      <w:r w:rsidRPr="009B0448">
        <w:rPr>
          <w:rFonts w:ascii="Times New Roman" w:hAnsi="Times New Roman" w:cs="Times New Roman"/>
          <w:i/>
          <w:color w:val="auto"/>
        </w:rPr>
        <w:t>Parasites and Vectors</w:t>
      </w:r>
      <w:r w:rsidRPr="009B0448">
        <w:rPr>
          <w:rFonts w:ascii="Times New Roman" w:hAnsi="Times New Roman" w:cs="Times New Roman"/>
          <w:color w:val="auto"/>
        </w:rPr>
        <w:t xml:space="preserve">, </w:t>
      </w:r>
      <w:r w:rsidRPr="009B0448">
        <w:rPr>
          <w:rFonts w:ascii="Times New Roman" w:hAnsi="Times New Roman" w:cs="Times New Roman"/>
          <w:i/>
          <w:color w:val="auto"/>
        </w:rPr>
        <w:t>6</w:t>
      </w:r>
      <w:r w:rsidRPr="009B0448">
        <w:rPr>
          <w:rFonts w:ascii="Times New Roman" w:hAnsi="Times New Roman" w:cs="Times New Roman"/>
          <w:color w:val="auto"/>
        </w:rPr>
        <w:t xml:space="preserve">(1), 281. </w:t>
      </w:r>
      <w:hyperlink r:id="rId1458" w:history="1">
        <w:r w:rsidRPr="009B0448">
          <w:rPr>
            <w:rStyle w:val="Hyperlink"/>
            <w:rFonts w:ascii="Times New Roman" w:hAnsi="Times New Roman" w:cs="Times New Roman"/>
          </w:rPr>
          <w:t>https://doi.org/10.1186/1756-3305-6</w:t>
        </w:r>
        <w:r w:rsidRPr="009B0448">
          <w:rPr>
            <w:rStyle w:val="Hyperlink"/>
            <w:rFonts w:ascii="Times New Roman" w:eastAsiaTheme="minorHAnsi" w:hAnsi="Times New Roman" w:cs="Times New Roman"/>
          </w:rPr>
          <w:t>–</w:t>
        </w:r>
        <w:r w:rsidRPr="009B0448">
          <w:rPr>
            <w:rStyle w:val="Hyperlink"/>
            <w:rFonts w:ascii="Times New Roman" w:hAnsi="Times New Roman" w:cs="Times New Roman"/>
          </w:rPr>
          <w:t>281</w:t>
        </w:r>
      </w:hyperlink>
      <w:r w:rsidRPr="009B0448">
        <w:rPr>
          <w:rFonts w:ascii="Times New Roman" w:hAnsi="Times New Roman" w:cs="Times New Roman"/>
          <w:color w:val="auto"/>
        </w:rPr>
        <w:t xml:space="preserve"> </w:t>
      </w:r>
    </w:p>
    <w:p w14:paraId="123FC7A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Shackleton, C. M., Shackleton, S. E., Buiten, E., &amp; Bird, N. (2007). The importance of dry woodlands and forests in rural livelihoods and poverty alleviation in South Africa.</w:t>
      </w:r>
      <w:r w:rsidRPr="009B0448">
        <w:rPr>
          <w:rFonts w:ascii="Times New Roman" w:hAnsi="Times New Roman" w:cs="Times New Roman"/>
          <w:i/>
          <w:color w:val="auto"/>
        </w:rPr>
        <w:t xml:space="preserve"> Forest Policy and Economics, 9</w:t>
      </w:r>
      <w:r w:rsidRPr="009B0448">
        <w:rPr>
          <w:rFonts w:ascii="Times New Roman" w:hAnsi="Times New Roman" w:cs="Times New Roman"/>
          <w:color w:val="auto"/>
        </w:rPr>
        <w:t>, 558</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577. </w:t>
      </w:r>
      <w:hyperlink r:id="rId1459" w:history="1">
        <w:r w:rsidRPr="009B0448">
          <w:rPr>
            <w:rStyle w:val="Hyperlink"/>
            <w:rFonts w:ascii="Times New Roman" w:hAnsi="Times New Roman" w:cs="Times New Roman"/>
          </w:rPr>
          <w:t>https://doi.org/10.1016/j.forpol.2006.03.004</w:t>
        </w:r>
      </w:hyperlink>
      <w:r w:rsidRPr="009B0448">
        <w:rPr>
          <w:rFonts w:ascii="Times New Roman" w:hAnsi="Times New Roman" w:cs="Times New Roman"/>
          <w:color w:val="auto"/>
        </w:rPr>
        <w:t xml:space="preserve"> </w:t>
      </w:r>
    </w:p>
    <w:p w14:paraId="33DC444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Shackleton, S. E., Kirby, D., &amp; Gambiza, J. (2011). Invasive plants</w:t>
      </w:r>
      <w:r w:rsidRPr="009B0448">
        <w:rPr>
          <w:rFonts w:ascii="Times New Roman" w:eastAsiaTheme="minorHAnsi" w:hAnsi="Times New Roman" w:cs="Times New Roman"/>
          <w:color w:val="auto"/>
        </w:rPr>
        <w:t>–</w:t>
      </w:r>
      <w:r w:rsidRPr="009B0448">
        <w:rPr>
          <w:rFonts w:ascii="Times New Roman" w:hAnsi="Times New Roman" w:cs="Times New Roman"/>
          <w:color w:val="auto"/>
        </w:rPr>
        <w:t>friends or foes? Contribution of prickly pear (</w:t>
      </w:r>
      <w:r w:rsidRPr="009B0448">
        <w:rPr>
          <w:rFonts w:ascii="Times New Roman" w:hAnsi="Times New Roman" w:cs="Times New Roman"/>
          <w:i/>
          <w:color w:val="auto"/>
        </w:rPr>
        <w:t>Opuntia ficusindica</w:t>
      </w:r>
      <w:r w:rsidRPr="009B0448">
        <w:rPr>
          <w:rFonts w:ascii="Times New Roman" w:hAnsi="Times New Roman" w:cs="Times New Roman"/>
          <w:color w:val="auto"/>
        </w:rPr>
        <w:t xml:space="preserve">) to libelihoods in Makana Municipalitu, Eastern Cape, South Africa. </w:t>
      </w:r>
      <w:r w:rsidRPr="009B0448">
        <w:rPr>
          <w:rFonts w:ascii="Times New Roman" w:hAnsi="Times New Roman" w:cs="Times New Roman"/>
          <w:i/>
          <w:color w:val="auto"/>
        </w:rPr>
        <w:t>Development Southern Africa, 28,</w:t>
      </w:r>
      <w:r w:rsidRPr="009B0448">
        <w:rPr>
          <w:rFonts w:ascii="Times New Roman" w:hAnsi="Times New Roman" w:cs="Times New Roman"/>
          <w:color w:val="auto"/>
        </w:rPr>
        <w:t xml:space="preserve"> 177</w:t>
      </w:r>
      <w:r w:rsidRPr="009B0448">
        <w:rPr>
          <w:rFonts w:ascii="Times New Roman" w:eastAsiaTheme="minorHAnsi" w:hAnsi="Times New Roman" w:cs="Times New Roman"/>
          <w:color w:val="auto"/>
        </w:rPr>
        <w:t>–</w:t>
      </w:r>
      <w:r w:rsidRPr="009B0448">
        <w:rPr>
          <w:rFonts w:ascii="Times New Roman" w:hAnsi="Times New Roman" w:cs="Times New Roman"/>
          <w:color w:val="auto"/>
        </w:rPr>
        <w:t>193.</w:t>
      </w:r>
      <w:r w:rsidRPr="009B0448">
        <w:rPr>
          <w:rFonts w:ascii="Times New Roman" w:hAnsi="Times New Roman" w:cs="Times New Roman"/>
        </w:rPr>
        <w:t xml:space="preserve"> </w:t>
      </w:r>
      <w:hyperlink r:id="rId1460" w:history="1">
        <w:r w:rsidRPr="009B0448">
          <w:rPr>
            <w:rStyle w:val="Hyperlink"/>
            <w:rFonts w:ascii="Times New Roman" w:hAnsi="Times New Roman" w:cs="Times New Roman"/>
          </w:rPr>
          <w:t>https://doi.org/10.1080/0376835X.2011.570065</w:t>
        </w:r>
      </w:hyperlink>
    </w:p>
    <w:p w14:paraId="2433A75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Shackleton, S., &amp; Campbell, B. M. (2001). </w:t>
      </w:r>
      <w:r w:rsidRPr="009B0448">
        <w:rPr>
          <w:rFonts w:ascii="Times New Roman" w:hAnsi="Times New Roman" w:cs="Times New Roman"/>
          <w:i/>
          <w:color w:val="auto"/>
        </w:rPr>
        <w:t>Devolution in natural resource management: Institutional arrangements and power shifts: A synthesis of case studies from southern Africa</w:t>
      </w:r>
      <w:r w:rsidRPr="009B0448">
        <w:rPr>
          <w:rFonts w:ascii="Times New Roman" w:hAnsi="Times New Roman" w:cs="Times New Roman"/>
          <w:color w:val="auto"/>
        </w:rPr>
        <w:t>.</w:t>
      </w:r>
      <w:r w:rsidRPr="009B0448">
        <w:rPr>
          <w:rFonts w:ascii="Times New Roman" w:hAnsi="Times New Roman" w:cs="Times New Roman"/>
        </w:rPr>
        <w:t xml:space="preserve"> </w:t>
      </w:r>
      <w:r w:rsidRPr="009B0448">
        <w:rPr>
          <w:rFonts w:ascii="Times New Roman" w:hAnsi="Times New Roman" w:cs="Times New Roman"/>
          <w:color w:val="auto"/>
        </w:rPr>
        <w:t xml:space="preserve">Bogor, Indonesia: CIFOR. </w:t>
      </w:r>
      <w:hyperlink r:id="rId1461" w:history="1">
        <w:r w:rsidRPr="009B0448">
          <w:rPr>
            <w:rStyle w:val="Hyperlink"/>
            <w:rFonts w:ascii="Times New Roman" w:hAnsi="Times New Roman" w:cs="Times New Roman"/>
          </w:rPr>
          <w:t>https://doi.org/10.17528/cifor/000885</w:t>
        </w:r>
      </w:hyperlink>
      <w:r w:rsidRPr="009B0448">
        <w:rPr>
          <w:rFonts w:ascii="Times New Roman" w:hAnsi="Times New Roman" w:cs="Times New Roman"/>
          <w:color w:val="auto"/>
        </w:rPr>
        <w:t xml:space="preserve"> </w:t>
      </w:r>
    </w:p>
    <w:p w14:paraId="6CA6944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Shaw, A. P. (2009). Assessing the economics of animal trypanosomosis in Africa-history and current perspectives. Onderstepoort. </w:t>
      </w:r>
      <w:r w:rsidRPr="009B0448">
        <w:rPr>
          <w:rFonts w:ascii="Times New Roman" w:hAnsi="Times New Roman" w:cs="Times New Roman"/>
          <w:i/>
          <w:color w:val="auto"/>
        </w:rPr>
        <w:t>Journal of Veterinary Research</w:t>
      </w:r>
      <w:r w:rsidRPr="009B0448">
        <w:rPr>
          <w:rFonts w:ascii="Times New Roman" w:hAnsi="Times New Roman" w:cs="Times New Roman"/>
          <w:color w:val="auto"/>
        </w:rPr>
        <w:t>,</w:t>
      </w:r>
      <w:r w:rsidRPr="009B0448">
        <w:rPr>
          <w:rFonts w:ascii="Times New Roman" w:hAnsi="Times New Roman" w:cs="Times New Roman"/>
          <w:i/>
          <w:color w:val="auto"/>
        </w:rPr>
        <w:t xml:space="preserve"> 76</w:t>
      </w:r>
      <w:r w:rsidRPr="009B0448">
        <w:rPr>
          <w:rFonts w:ascii="Times New Roman" w:hAnsi="Times New Roman" w:cs="Times New Roman"/>
          <w:color w:val="auto"/>
        </w:rPr>
        <w:t>, 27</w:t>
      </w:r>
      <w:r w:rsidRPr="009B0448">
        <w:rPr>
          <w:rFonts w:ascii="Times New Roman" w:eastAsiaTheme="minorHAnsi" w:hAnsi="Times New Roman" w:cs="Times New Roman"/>
          <w:color w:val="auto"/>
        </w:rPr>
        <w:t>–</w:t>
      </w:r>
      <w:r w:rsidRPr="009B0448">
        <w:rPr>
          <w:rFonts w:ascii="Times New Roman" w:hAnsi="Times New Roman" w:cs="Times New Roman"/>
          <w:color w:val="auto"/>
        </w:rPr>
        <w:t>32.</w:t>
      </w:r>
      <w:r w:rsidRPr="009B0448">
        <w:rPr>
          <w:rFonts w:ascii="Times New Roman" w:hAnsi="Times New Roman" w:cs="Times New Roman"/>
        </w:rPr>
        <w:t xml:space="preserve"> </w:t>
      </w:r>
      <w:hyperlink r:id="rId1462" w:history="1">
        <w:r w:rsidRPr="009B0448">
          <w:rPr>
            <w:rStyle w:val="Hyperlink"/>
            <w:rFonts w:ascii="Times New Roman" w:hAnsi="Times New Roman" w:cs="Times New Roman"/>
          </w:rPr>
          <w:t>https://doi.org/10.1080/0376835X.2011.570065</w:t>
        </w:r>
      </w:hyperlink>
    </w:p>
    <w:p w14:paraId="4D928CE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Simmons, R. E., Barnard, P., Dean, W. R. J., Midgley, G. F., Thuiller, W., &amp; Hughe, G. (2004). Climate change and birds: Perspectives and prospects from southern Africa. </w:t>
      </w:r>
      <w:r w:rsidRPr="009B0448">
        <w:rPr>
          <w:rFonts w:ascii="Times New Roman" w:hAnsi="Times New Roman" w:cs="Times New Roman"/>
          <w:i/>
          <w:color w:val="auto"/>
        </w:rPr>
        <w:t>Ostrich-Journal of African Ornithology,</w:t>
      </w:r>
      <w:r w:rsidRPr="009B0448">
        <w:rPr>
          <w:rFonts w:ascii="Times New Roman" w:hAnsi="Times New Roman" w:cs="Times New Roman"/>
          <w:color w:val="auto"/>
        </w:rPr>
        <w:t xml:space="preserve"> </w:t>
      </w:r>
      <w:r w:rsidRPr="009B0448">
        <w:rPr>
          <w:rFonts w:ascii="Times New Roman" w:hAnsi="Times New Roman" w:cs="Times New Roman"/>
          <w:i/>
          <w:color w:val="auto"/>
        </w:rPr>
        <w:t>75</w:t>
      </w:r>
      <w:r w:rsidRPr="009B0448">
        <w:rPr>
          <w:rFonts w:ascii="Times New Roman" w:hAnsi="Times New Roman" w:cs="Times New Roman"/>
          <w:color w:val="auto"/>
        </w:rPr>
        <w:t>(4), 295</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308. </w:t>
      </w:r>
      <w:hyperlink r:id="rId1463" w:history="1">
        <w:r w:rsidRPr="009B0448">
          <w:rPr>
            <w:rStyle w:val="Hyperlink"/>
            <w:rFonts w:ascii="Times New Roman" w:hAnsi="Times New Roman" w:cs="Times New Roman"/>
          </w:rPr>
          <w:t>https://doi.org/10.2989/00306520409485458</w:t>
        </w:r>
      </w:hyperlink>
      <w:r w:rsidRPr="009B0448">
        <w:rPr>
          <w:rFonts w:ascii="Times New Roman" w:hAnsi="Times New Roman" w:cs="Times New Roman"/>
          <w:color w:val="auto"/>
        </w:rPr>
        <w:t xml:space="preserve"> </w:t>
      </w:r>
    </w:p>
    <w:p w14:paraId="0A346D89"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Sloan, S., Jenkins, C., Joppa, L., Gaveau, D., &amp; Laurance, W. (2014). Remaining natural vegetation in the global biodiversity hotspots. </w:t>
      </w:r>
      <w:r w:rsidRPr="009B0448">
        <w:rPr>
          <w:rFonts w:ascii="Times New Roman" w:eastAsiaTheme="minorHAnsi" w:hAnsi="Times New Roman" w:cs="Times New Roman"/>
          <w:i/>
          <w:color w:val="auto"/>
        </w:rPr>
        <w:t>Biological Conservation, 177</w:t>
      </w:r>
      <w:r w:rsidRPr="009B0448">
        <w:rPr>
          <w:rFonts w:ascii="Times New Roman" w:eastAsiaTheme="minorHAnsi" w:hAnsi="Times New Roman" w:cs="Times New Roman"/>
          <w:color w:val="auto"/>
        </w:rPr>
        <w:t xml:space="preserve">, 12–24. </w:t>
      </w:r>
      <w:hyperlink r:id="rId1464" w:history="1">
        <w:r w:rsidRPr="009B0448">
          <w:rPr>
            <w:rStyle w:val="Hyperlink"/>
            <w:rFonts w:ascii="Times New Roman" w:eastAsiaTheme="minorHAnsi" w:hAnsi="Times New Roman" w:cs="Times New Roman"/>
          </w:rPr>
          <w:t>https://doi.org/10.1016/j.biocon.2014.05.027</w:t>
        </w:r>
      </w:hyperlink>
    </w:p>
    <w:p w14:paraId="185ADEA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Smith, L. C., Porsch, L., &amp; Davis, M. (2015). </w:t>
      </w:r>
      <w:r w:rsidRPr="009B0448">
        <w:rPr>
          <w:rFonts w:ascii="Times New Roman" w:eastAsiaTheme="minorHAnsi" w:hAnsi="Times New Roman" w:cs="Times New Roman"/>
          <w:i/>
          <w:color w:val="auto"/>
        </w:rPr>
        <w:t>The costs of illegal wildlife trade: Elephant and rhino. A study in the framework of the EFFACE research project</w:t>
      </w:r>
      <w:r w:rsidRPr="009B0448">
        <w:rPr>
          <w:rFonts w:ascii="Times New Roman" w:eastAsiaTheme="minorHAnsi" w:hAnsi="Times New Roman" w:cs="Times New Roman"/>
          <w:color w:val="auto"/>
        </w:rPr>
        <w:t>. Berlin, Germany: Ecologic Institute. Retrieved from</w:t>
      </w:r>
      <w:r w:rsidRPr="009B0448">
        <w:rPr>
          <w:rFonts w:ascii="Times New Roman" w:hAnsi="Times New Roman" w:cs="Times New Roman"/>
        </w:rPr>
        <w:t xml:space="preserve"> </w:t>
      </w:r>
      <w:hyperlink r:id="rId1465" w:history="1">
        <w:r w:rsidRPr="009B0448">
          <w:rPr>
            <w:rStyle w:val="Hyperlink"/>
            <w:rFonts w:ascii="Times New Roman" w:eastAsiaTheme="minorHAnsi" w:hAnsi="Times New Roman" w:cs="Times New Roman"/>
          </w:rPr>
          <w:t>https://efface.eu/sites/default/files/EFFACE%20D3.2c%20-%20Quantitative%20and%20monetary%20analysis%20of%20Elephant%20and%20Rhino%20hunting.pdf</w:t>
        </w:r>
      </w:hyperlink>
      <w:r w:rsidRPr="009B0448">
        <w:rPr>
          <w:rFonts w:ascii="Times New Roman" w:eastAsiaTheme="minorHAnsi" w:hAnsi="Times New Roman" w:cs="Times New Roman"/>
          <w:color w:val="auto"/>
        </w:rPr>
        <w:t xml:space="preserve"> </w:t>
      </w:r>
    </w:p>
    <w:p w14:paraId="711CD49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Spigel, R. H., &amp; Coulter, G. W. (1996). Comparison of hydrology and physical limnology of the East African Great Lakes: Tanganyika, Malawi, Victoria, Kivu and Turkana (with reference to some North American Great Lakes). In T. C. Johnson, &amp; E. Odada (Eds.), </w:t>
      </w:r>
      <w:r w:rsidRPr="009B0448">
        <w:rPr>
          <w:rFonts w:ascii="Times New Roman" w:hAnsi="Times New Roman" w:cs="Times New Roman"/>
          <w:i/>
          <w:color w:val="auto"/>
        </w:rPr>
        <w:t>The limnology, climatology and paleoclimatology of East African Lakes</w:t>
      </w:r>
      <w:r w:rsidRPr="009B0448">
        <w:rPr>
          <w:rFonts w:ascii="Times New Roman" w:hAnsi="Times New Roman" w:cs="Times New Roman"/>
          <w:color w:val="auto"/>
        </w:rPr>
        <w:t xml:space="preserve"> (pp. 103</w:t>
      </w:r>
      <w:r w:rsidRPr="009B0448">
        <w:rPr>
          <w:rFonts w:ascii="Times New Roman" w:eastAsiaTheme="minorHAnsi" w:hAnsi="Times New Roman" w:cs="Times New Roman"/>
          <w:color w:val="auto"/>
        </w:rPr>
        <w:t>–</w:t>
      </w:r>
      <w:r w:rsidRPr="009B0448">
        <w:rPr>
          <w:rFonts w:ascii="Times New Roman" w:hAnsi="Times New Roman" w:cs="Times New Roman"/>
          <w:color w:val="auto"/>
        </w:rPr>
        <w:t>139). Toronto, Canada: Gordon and Breach.</w:t>
      </w:r>
    </w:p>
    <w:p w14:paraId="7A14342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Ssebugere, P., Kiremire, B. T., Henkelmann, B., Bernhorft, S., Kasozi, G. N., Wasswa, J., &amp; Schramm, K-W. (2013). PCDD/Fs and dioxin-like PCBs in fish species from Lake Victoria, East Africa. </w:t>
      </w:r>
      <w:r w:rsidRPr="009B0448">
        <w:rPr>
          <w:rFonts w:ascii="Times New Roman" w:hAnsi="Times New Roman" w:cs="Times New Roman"/>
          <w:i/>
          <w:color w:val="auto"/>
        </w:rPr>
        <w:t>Chemosphere, 92</w:t>
      </w:r>
      <w:r w:rsidRPr="009B0448">
        <w:rPr>
          <w:rFonts w:ascii="Times New Roman" w:hAnsi="Times New Roman" w:cs="Times New Roman"/>
          <w:color w:val="auto"/>
        </w:rPr>
        <w:t>(3), 317</w:t>
      </w:r>
      <w:r w:rsidRPr="009B0448">
        <w:rPr>
          <w:rFonts w:ascii="Times New Roman" w:eastAsiaTheme="minorHAnsi" w:hAnsi="Times New Roman" w:cs="Times New Roman"/>
          <w:color w:val="auto"/>
        </w:rPr>
        <w:t>–</w:t>
      </w:r>
      <w:r w:rsidRPr="009B0448">
        <w:rPr>
          <w:rFonts w:ascii="Times New Roman" w:hAnsi="Times New Roman" w:cs="Times New Roman"/>
          <w:color w:val="auto"/>
        </w:rPr>
        <w:t>321.</w:t>
      </w:r>
      <w:r w:rsidRPr="009B0448">
        <w:rPr>
          <w:rFonts w:ascii="Times New Roman" w:hAnsi="Times New Roman" w:cs="Times New Roman"/>
        </w:rPr>
        <w:t xml:space="preserve"> </w:t>
      </w:r>
      <w:hyperlink r:id="rId1466" w:history="1">
        <w:r w:rsidRPr="009B0448">
          <w:rPr>
            <w:rStyle w:val="Hyperlink"/>
            <w:rFonts w:ascii="Times New Roman" w:hAnsi="Times New Roman" w:cs="Times New Roman"/>
          </w:rPr>
          <w:t>https://doi.org/10.1016/j.chemosphere.2013.03.033</w:t>
        </w:r>
      </w:hyperlink>
      <w:r w:rsidRPr="009B0448">
        <w:rPr>
          <w:rFonts w:ascii="Times New Roman" w:hAnsi="Times New Roman" w:cs="Times New Roman"/>
          <w:color w:val="auto"/>
        </w:rPr>
        <w:t xml:space="preserve"> </w:t>
      </w:r>
    </w:p>
    <w:p w14:paraId="7421250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Ssemmanda, I., &amp; Vincens, A. (2002). Vegetation changes and their climatic implications for the Lake Victoria region during the late-Holocene. In E. G. Odada, &amp; D. O. Olago (Eds.), </w:t>
      </w:r>
      <w:r w:rsidRPr="009B0448">
        <w:rPr>
          <w:rFonts w:ascii="Times New Roman" w:hAnsi="Times New Roman" w:cs="Times New Roman"/>
          <w:i/>
          <w:color w:val="auto"/>
        </w:rPr>
        <w:t>The East African Great Lakes: Limnology, palaeolimnology and biodiversity</w:t>
      </w:r>
      <w:r w:rsidRPr="009B0448">
        <w:rPr>
          <w:rFonts w:ascii="Times New Roman" w:hAnsi="Times New Roman" w:cs="Times New Roman"/>
          <w:color w:val="auto"/>
        </w:rPr>
        <w:t xml:space="preserve"> (pp. 509</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523). Dordrecht, Nerthelands: Kluwer Academic Publishers. </w:t>
      </w:r>
      <w:hyperlink r:id="rId1467" w:history="1">
        <w:r w:rsidRPr="009B0448">
          <w:rPr>
            <w:rStyle w:val="Hyperlink"/>
            <w:rFonts w:ascii="Times New Roman" w:hAnsi="Times New Roman" w:cs="Times New Roman"/>
          </w:rPr>
          <w:t>https://doi.org/10.1007/0-306-48201-0_21</w:t>
        </w:r>
      </w:hyperlink>
      <w:r w:rsidRPr="009B0448">
        <w:rPr>
          <w:rFonts w:ascii="Times New Roman" w:hAnsi="Times New Roman" w:cs="Times New Roman"/>
          <w:color w:val="auto"/>
        </w:rPr>
        <w:t xml:space="preserve"> </w:t>
      </w:r>
    </w:p>
    <w:p w14:paraId="3695DF7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Stadler, J., Mungai, G., &amp; Brandl, R. (1998). Weed invasion in East Africa: Insights from herbarium records. </w:t>
      </w:r>
      <w:r w:rsidRPr="009B0448">
        <w:rPr>
          <w:rFonts w:ascii="Times New Roman" w:hAnsi="Times New Roman" w:cs="Times New Roman"/>
          <w:i/>
          <w:color w:val="auto"/>
        </w:rPr>
        <w:t>African Journal Ecology, 36</w:t>
      </w:r>
      <w:r w:rsidRPr="009B0448">
        <w:rPr>
          <w:rFonts w:ascii="Times New Roman" w:hAnsi="Times New Roman" w:cs="Times New Roman"/>
          <w:color w:val="auto"/>
        </w:rPr>
        <w:t>, 15</w:t>
      </w:r>
      <w:r w:rsidRPr="009B0448">
        <w:rPr>
          <w:rFonts w:ascii="Times New Roman" w:eastAsiaTheme="minorHAnsi" w:hAnsi="Times New Roman" w:cs="Times New Roman"/>
          <w:color w:val="auto"/>
        </w:rPr>
        <w:t>–</w:t>
      </w:r>
      <w:r w:rsidRPr="009B0448">
        <w:rPr>
          <w:rFonts w:ascii="Times New Roman" w:hAnsi="Times New Roman" w:cs="Times New Roman"/>
          <w:color w:val="auto"/>
        </w:rPr>
        <w:t>22.</w:t>
      </w:r>
      <w:r w:rsidRPr="009B0448">
        <w:rPr>
          <w:rFonts w:ascii="Times New Roman" w:hAnsi="Times New Roman" w:cs="Times New Roman"/>
        </w:rPr>
        <w:t xml:space="preserve"> </w:t>
      </w:r>
      <w:hyperlink r:id="rId1468" w:history="1">
        <w:r w:rsidRPr="009B0448">
          <w:rPr>
            <w:rStyle w:val="Hyperlink"/>
            <w:rFonts w:ascii="Times New Roman" w:hAnsi="Times New Roman" w:cs="Times New Roman"/>
          </w:rPr>
          <w:t>https://doi.org/10.1046/j.1365-2028.1998.115-89115.x</w:t>
        </w:r>
      </w:hyperlink>
      <w:r w:rsidRPr="009B0448">
        <w:rPr>
          <w:rFonts w:ascii="Times New Roman" w:hAnsi="Times New Roman" w:cs="Times New Roman"/>
          <w:color w:val="auto"/>
        </w:rPr>
        <w:t xml:space="preserve"> </w:t>
      </w:r>
    </w:p>
    <w:p w14:paraId="2EABEB4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Statista. (2016). </w:t>
      </w:r>
      <w:r w:rsidRPr="009B0448">
        <w:rPr>
          <w:rFonts w:ascii="Times New Roman" w:hAnsi="Times New Roman" w:cs="Times New Roman"/>
          <w:i/>
          <w:color w:val="auto"/>
        </w:rPr>
        <w:t>Primary Energy consumtion in Africa from 1998 to 2015 (in metric tons of oil equivalent)</w:t>
      </w:r>
      <w:r w:rsidRPr="009B0448">
        <w:rPr>
          <w:rFonts w:ascii="Times New Roman" w:hAnsi="Times New Roman" w:cs="Times New Roman"/>
          <w:color w:val="auto"/>
        </w:rPr>
        <w:t xml:space="preserve">. Retrieved from </w:t>
      </w:r>
      <w:hyperlink r:id="rId1469" w:history="1">
        <w:r w:rsidRPr="009B0448">
          <w:rPr>
            <w:rStyle w:val="Hyperlink"/>
            <w:rFonts w:ascii="Times New Roman" w:hAnsi="Times New Roman" w:cs="Times New Roman"/>
          </w:rPr>
          <w:t>http://www.statista.com/statistics/265590/primary-energy-consumption-in-africa/</w:t>
        </w:r>
      </w:hyperlink>
    </w:p>
    <w:p w14:paraId="146D91A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Stavi, I., &amp; Lal, R. (2015). Achieving zero net land degradation: Challenges and 1 opportunities. </w:t>
      </w:r>
      <w:r w:rsidRPr="009B0448">
        <w:rPr>
          <w:rFonts w:ascii="Times New Roman" w:hAnsi="Times New Roman" w:cs="Times New Roman"/>
          <w:i/>
          <w:color w:val="auto"/>
        </w:rPr>
        <w:t>Journal of Arid Environments, 112</w:t>
      </w:r>
      <w:r w:rsidRPr="009B0448">
        <w:rPr>
          <w:rFonts w:ascii="Times New Roman" w:hAnsi="Times New Roman" w:cs="Times New Roman"/>
          <w:color w:val="auto"/>
        </w:rPr>
        <w:t>, 44</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51. </w:t>
      </w:r>
      <w:hyperlink r:id="rId1470" w:history="1">
        <w:r w:rsidRPr="009B0448">
          <w:rPr>
            <w:rStyle w:val="Hyperlink"/>
            <w:rFonts w:ascii="Times New Roman" w:hAnsi="Times New Roman" w:cs="Times New Roman"/>
          </w:rPr>
          <w:t>https://doi.org/10.1046/j.1365-2028.1998.115-89115.x</w:t>
        </w:r>
      </w:hyperlink>
      <w:r w:rsidRPr="009B0448">
        <w:rPr>
          <w:rFonts w:ascii="Times New Roman" w:hAnsi="Times New Roman" w:cs="Times New Roman"/>
          <w:color w:val="auto"/>
        </w:rPr>
        <w:t xml:space="preserve"> </w:t>
      </w:r>
    </w:p>
    <w:p w14:paraId="4A78A5F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Steffen, W., Crutzen, P. J., &amp; McNeill, J. R. (2007). The anthropocene: Are humans now overwhelming the great forces of nature. </w:t>
      </w:r>
      <w:r w:rsidRPr="009B0448">
        <w:rPr>
          <w:rFonts w:ascii="Times New Roman" w:eastAsiaTheme="minorHAnsi" w:hAnsi="Times New Roman" w:cs="Times New Roman"/>
          <w:i/>
          <w:color w:val="auto"/>
        </w:rPr>
        <w:t>AMBIO: Journal of the Human Environment, 36</w:t>
      </w:r>
      <w:r w:rsidRPr="009B0448">
        <w:rPr>
          <w:rFonts w:ascii="Times New Roman" w:eastAsiaTheme="minorHAnsi" w:hAnsi="Times New Roman" w:cs="Times New Roman"/>
          <w:color w:val="auto"/>
        </w:rPr>
        <w:t>(8), 614–621.</w:t>
      </w:r>
      <w:r w:rsidRPr="009B0448">
        <w:rPr>
          <w:rFonts w:ascii="Times New Roman" w:hAnsi="Times New Roman" w:cs="Times New Roman"/>
        </w:rPr>
        <w:t xml:space="preserve"> </w:t>
      </w:r>
      <w:hyperlink r:id="rId1471" w:history="1">
        <w:r w:rsidRPr="009B0448">
          <w:rPr>
            <w:rStyle w:val="Hyperlink"/>
            <w:rFonts w:ascii="Times New Roman" w:eastAsiaTheme="minorHAnsi" w:hAnsi="Times New Roman" w:cs="Times New Roman"/>
          </w:rPr>
          <w:t>https://doi.org/10.1579/0044-7447(2007)36[614:TAAHNO]2.0.CO;2</w:t>
        </w:r>
      </w:hyperlink>
      <w:r w:rsidRPr="009B0448">
        <w:rPr>
          <w:rFonts w:ascii="Times New Roman" w:eastAsiaTheme="minorHAnsi" w:hAnsi="Times New Roman" w:cs="Times New Roman"/>
          <w:color w:val="auto"/>
        </w:rPr>
        <w:t xml:space="preserve"> </w:t>
      </w:r>
    </w:p>
    <w:p w14:paraId="1184558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Stein, B. A., &amp; Kutner, L. A. (2000). </w:t>
      </w:r>
      <w:r w:rsidRPr="009B0448">
        <w:rPr>
          <w:rFonts w:ascii="Times New Roman" w:hAnsi="Times New Roman" w:cs="Times New Roman"/>
          <w:i/>
          <w:color w:val="auto"/>
        </w:rPr>
        <w:t>Precious Heritage</w:t>
      </w:r>
      <w:r w:rsidRPr="009B0448">
        <w:rPr>
          <w:rFonts w:ascii="Times New Roman" w:hAnsi="Times New Roman" w:cs="Times New Roman"/>
          <w:color w:val="auto"/>
        </w:rPr>
        <w:t>. Oxford, United Kingdom: Oxford University Press.</w:t>
      </w:r>
    </w:p>
    <w:p w14:paraId="1CD17FC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Stolton, S., Dudley, N., Avcıoğlu Çokçalışkan, B., Hunter, D., Ivanić, K.Z., Kanga, E., Kettunen, M., Kumagai, Y., Maxted, N., Senior, J., Wong, M., Keenleyside, K., Mulrooney, D., &amp; Waithaka, J. (2015). Values and benefits of protected areas. In G.L. Worboys, M. Lockwood, A. Kothari, S. Feary, &amp; I. Pulsford (Eds.), </w:t>
      </w:r>
      <w:r w:rsidRPr="009B0448">
        <w:rPr>
          <w:rFonts w:ascii="Times New Roman" w:hAnsi="Times New Roman" w:cs="Times New Roman"/>
          <w:i/>
          <w:color w:val="auto"/>
        </w:rPr>
        <w:t>Protected area governance and management</w:t>
      </w:r>
      <w:r w:rsidRPr="009B0448">
        <w:rPr>
          <w:rFonts w:ascii="Times New Roman" w:hAnsi="Times New Roman" w:cs="Times New Roman"/>
          <w:color w:val="auto"/>
        </w:rPr>
        <w:t xml:space="preserve"> (pp. 145</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168). Canberra, Australia: ANU Press. Retrieved from </w:t>
      </w:r>
      <w:hyperlink r:id="rId1472" w:history="1">
        <w:r w:rsidRPr="009B0448">
          <w:rPr>
            <w:rStyle w:val="Hyperlink"/>
            <w:rFonts w:ascii="Times New Roman" w:hAnsi="Times New Roman" w:cs="Times New Roman"/>
          </w:rPr>
          <w:t>http://press-files.anu.edu.au/downloads/press/p312491/pdf/CHAPTER6.pdf</w:t>
        </w:r>
      </w:hyperlink>
      <w:r w:rsidRPr="009B0448">
        <w:rPr>
          <w:rFonts w:ascii="Times New Roman" w:hAnsi="Times New Roman" w:cs="Times New Roman"/>
          <w:color w:val="auto"/>
        </w:rPr>
        <w:t xml:space="preserve"> </w:t>
      </w:r>
    </w:p>
    <w:p w14:paraId="2C207C98"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0070C0"/>
        </w:rPr>
      </w:pPr>
      <w:r w:rsidRPr="009B0448">
        <w:rPr>
          <w:rFonts w:ascii="Times New Roman" w:eastAsiaTheme="minorHAnsi" w:hAnsi="Times New Roman" w:cs="Times New Roman"/>
          <w:color w:val="auto"/>
        </w:rPr>
        <w:t xml:space="preserve">Summers, J. K., Smith, L. M., Case, J. L., &amp; Linthurst, R. A. (2012). A review of the elements of human well-being with an emphasis on the contribution of ecosystem services. </w:t>
      </w:r>
      <w:r w:rsidRPr="009B0448">
        <w:rPr>
          <w:rFonts w:ascii="Times New Roman" w:eastAsiaTheme="minorHAnsi" w:hAnsi="Times New Roman" w:cs="Times New Roman"/>
          <w:i/>
          <w:color w:val="auto"/>
        </w:rPr>
        <w:t>Ambio</w:t>
      </w:r>
      <w:r w:rsidRPr="009B0448">
        <w:rPr>
          <w:rFonts w:ascii="Times New Roman" w:eastAsiaTheme="minorHAnsi" w:hAnsi="Times New Roman" w:cs="Times New Roman"/>
          <w:color w:val="auto"/>
        </w:rPr>
        <w:t xml:space="preserve">, </w:t>
      </w:r>
      <w:r w:rsidRPr="009B0448">
        <w:rPr>
          <w:rFonts w:ascii="Times New Roman" w:eastAsiaTheme="minorHAnsi" w:hAnsi="Times New Roman" w:cs="Times New Roman"/>
          <w:i/>
          <w:color w:val="auto"/>
        </w:rPr>
        <w:t>41</w:t>
      </w:r>
      <w:r w:rsidRPr="009B0448">
        <w:rPr>
          <w:rFonts w:ascii="Times New Roman" w:eastAsiaTheme="minorHAnsi" w:hAnsi="Times New Roman" w:cs="Times New Roman"/>
          <w:color w:val="auto"/>
        </w:rPr>
        <w:t xml:space="preserve">(4), 327–340. </w:t>
      </w:r>
      <w:hyperlink r:id="rId1473" w:history="1">
        <w:r w:rsidRPr="009B0448">
          <w:rPr>
            <w:rStyle w:val="Hyperlink"/>
            <w:rFonts w:ascii="Times New Roman" w:eastAsiaTheme="minorHAnsi" w:hAnsi="Times New Roman" w:cs="Times New Roman"/>
          </w:rPr>
          <w:t>https://doi.org/10.1007/s13280-012-0256-7</w:t>
        </w:r>
      </w:hyperlink>
    </w:p>
    <w:p w14:paraId="755891A2"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Swamy, V. &amp; Pinedo-Vasquez, M. (2014). </w:t>
      </w:r>
      <w:r w:rsidRPr="009B0448">
        <w:rPr>
          <w:rFonts w:ascii="Times New Roman" w:eastAsiaTheme="minorHAnsi" w:hAnsi="Times New Roman" w:cs="Times New Roman"/>
          <w:i/>
          <w:color w:val="auto"/>
        </w:rPr>
        <w:t xml:space="preserve">Bushmeat harvest in tropical forests: Knowledge base, gaps and research priorities. </w:t>
      </w:r>
      <w:r w:rsidRPr="009B0448">
        <w:rPr>
          <w:rFonts w:ascii="Times New Roman" w:eastAsiaTheme="minorHAnsi" w:hAnsi="Times New Roman" w:cs="Times New Roman"/>
          <w:color w:val="auto"/>
        </w:rPr>
        <w:t xml:space="preserve">Bogor, Indonesia: CIFOR. </w:t>
      </w:r>
      <w:hyperlink r:id="rId1474" w:history="1">
        <w:r w:rsidRPr="009B0448">
          <w:rPr>
            <w:rStyle w:val="Hyperlink"/>
            <w:rFonts w:ascii="Times New Roman" w:eastAsiaTheme="minorHAnsi" w:hAnsi="Times New Roman" w:cs="Times New Roman"/>
          </w:rPr>
          <w:t>https://doi.org/10.17528/cifor/005098</w:t>
        </w:r>
      </w:hyperlink>
      <w:r w:rsidRPr="009B0448">
        <w:rPr>
          <w:rFonts w:ascii="Times New Roman" w:eastAsiaTheme="minorHAnsi" w:hAnsi="Times New Roman" w:cs="Times New Roman"/>
          <w:color w:val="auto"/>
        </w:rPr>
        <w:t xml:space="preserve"> </w:t>
      </w:r>
    </w:p>
    <w:p w14:paraId="61D7D97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Swanepoel, F., Stroebel, A., &amp; Moyo, S. (2010). </w:t>
      </w:r>
      <w:r w:rsidRPr="009B0448">
        <w:rPr>
          <w:rFonts w:ascii="Times New Roman" w:eastAsiaTheme="minorHAnsi" w:hAnsi="Times New Roman" w:cs="Times New Roman"/>
          <w:i/>
          <w:color w:val="auto"/>
        </w:rPr>
        <w:t>The role of livestock in developing communities: enhancing multifunctionality</w:t>
      </w:r>
      <w:r w:rsidRPr="009B0448">
        <w:rPr>
          <w:rFonts w:ascii="Times New Roman" w:eastAsiaTheme="minorHAnsi" w:hAnsi="Times New Roman" w:cs="Times New Roman"/>
          <w:color w:val="auto"/>
        </w:rPr>
        <w:t xml:space="preserve">. Cape Town, South Africa: University of the Free State and Technical Centre for Agricultural and Rural Cooperation. Retrieved from </w:t>
      </w:r>
      <w:hyperlink r:id="rId1475" w:history="1">
        <w:r w:rsidRPr="009B0448">
          <w:rPr>
            <w:rStyle w:val="Hyperlink"/>
            <w:rFonts w:ascii="Times New Roman" w:eastAsiaTheme="minorHAnsi" w:hAnsi="Times New Roman" w:cs="Times New Roman"/>
          </w:rPr>
          <w:t>https://cgspace.cgiar.org/bitstream/handle/10568/3003/roleLivestockFarming.pdf?sequence=1</w:t>
        </w:r>
      </w:hyperlink>
      <w:r w:rsidRPr="009B0448">
        <w:rPr>
          <w:rFonts w:ascii="Times New Roman" w:eastAsiaTheme="minorHAnsi" w:hAnsi="Times New Roman" w:cs="Times New Roman"/>
          <w:color w:val="auto"/>
        </w:rPr>
        <w:t xml:space="preserve"> </w:t>
      </w:r>
    </w:p>
    <w:p w14:paraId="30BE1CAB" w14:textId="77777777" w:rsidR="009B0448" w:rsidRPr="009B0448" w:rsidRDefault="009B0448" w:rsidP="009B0448">
      <w:pPr>
        <w:spacing w:after="120"/>
        <w:ind w:left="567" w:hanging="567"/>
        <w:jc w:val="both"/>
        <w:rPr>
          <w:rFonts w:ascii="Times New Roman" w:hAnsi="Times New Roman" w:cs="Times New Roman"/>
        </w:rPr>
      </w:pPr>
      <w:r w:rsidRPr="009B0448">
        <w:rPr>
          <w:rFonts w:ascii="Times New Roman" w:hAnsi="Times New Roman" w:cs="Times New Roman"/>
        </w:rPr>
        <w:t xml:space="preserve">Tabor, N. J., DiMichele, W. A., Montañez, I. P., &amp; Chaney, D. S. (2013). Late paleozoic continental warming of a cold tropical basin and floristic change in western Pangea. </w:t>
      </w:r>
      <w:r w:rsidRPr="009B0448">
        <w:rPr>
          <w:rFonts w:ascii="Times New Roman" w:hAnsi="Times New Roman" w:cs="Times New Roman"/>
          <w:i/>
        </w:rPr>
        <w:t>International Journal of Coal Geology, 119</w:t>
      </w:r>
      <w:r w:rsidRPr="009B0448">
        <w:rPr>
          <w:rFonts w:ascii="Times New Roman" w:hAnsi="Times New Roman" w:cs="Times New Roman"/>
        </w:rPr>
        <w:t xml:space="preserve"> (2013) 177–186. </w:t>
      </w:r>
      <w:hyperlink r:id="rId1476" w:history="1">
        <w:r w:rsidRPr="009B0448">
          <w:rPr>
            <w:rStyle w:val="Hyperlink"/>
            <w:rFonts w:ascii="Times New Roman" w:hAnsi="Times New Roman" w:cs="Times New Roman"/>
          </w:rPr>
          <w:t>https://doi.org/10.1016/j.coal.2013.07.009</w:t>
        </w:r>
      </w:hyperlink>
    </w:p>
    <w:p w14:paraId="085EAAA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Talsness, C. E., Andrade, A. J., Kuriyama, S. N., Taylor, J. A., &amp; Vom Saal, F. S. (2009). Components of plastic: Experimental studies in animals and relevance for human health.</w:t>
      </w:r>
      <w:r w:rsidRPr="009B0448">
        <w:rPr>
          <w:rFonts w:ascii="Times New Roman" w:eastAsiaTheme="minorHAnsi" w:hAnsi="Times New Roman" w:cs="Times New Roman"/>
          <w:i/>
          <w:color w:val="auto"/>
        </w:rPr>
        <w:t xml:space="preserve"> Philosophical Transactions of the Royal Society B: Biological Sciences,</w:t>
      </w:r>
      <w:r w:rsidRPr="009B0448">
        <w:rPr>
          <w:rFonts w:ascii="Times New Roman" w:eastAsiaTheme="minorHAnsi" w:hAnsi="Times New Roman" w:cs="Times New Roman"/>
          <w:color w:val="auto"/>
        </w:rPr>
        <w:t xml:space="preserve"> </w:t>
      </w:r>
      <w:r w:rsidRPr="009B0448">
        <w:rPr>
          <w:rFonts w:ascii="Times New Roman" w:eastAsiaTheme="minorHAnsi" w:hAnsi="Times New Roman" w:cs="Times New Roman"/>
          <w:i/>
          <w:color w:val="auto"/>
        </w:rPr>
        <w:t>364</w:t>
      </w:r>
      <w:r w:rsidRPr="009B0448">
        <w:rPr>
          <w:rFonts w:ascii="Times New Roman" w:eastAsiaTheme="minorHAnsi" w:hAnsi="Times New Roman" w:cs="Times New Roman"/>
          <w:color w:val="auto"/>
        </w:rPr>
        <w:t>(1526), 2079–2096.</w:t>
      </w:r>
      <w:r w:rsidRPr="009B0448">
        <w:rPr>
          <w:rFonts w:ascii="Times New Roman" w:hAnsi="Times New Roman" w:cs="Times New Roman"/>
        </w:rPr>
        <w:t xml:space="preserve"> </w:t>
      </w:r>
      <w:hyperlink r:id="rId1477" w:history="1">
        <w:r w:rsidRPr="009B0448">
          <w:rPr>
            <w:rStyle w:val="Hyperlink"/>
            <w:rFonts w:ascii="Times New Roman" w:eastAsiaTheme="minorHAnsi" w:hAnsi="Times New Roman" w:cs="Times New Roman"/>
          </w:rPr>
          <w:t>https://doi.org/10.1098/rstb.2008.0281</w:t>
        </w:r>
      </w:hyperlink>
      <w:r w:rsidRPr="009B0448">
        <w:rPr>
          <w:rFonts w:ascii="Times New Roman" w:eastAsiaTheme="minorHAnsi" w:hAnsi="Times New Roman" w:cs="Times New Roman"/>
          <w:color w:val="auto"/>
        </w:rPr>
        <w:t xml:space="preserve"> </w:t>
      </w:r>
    </w:p>
    <w:p w14:paraId="32C6B7E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Tamado, T., &amp; Milberg, P. (2000). Weed flora in arable fields of eastern Ethiopia with emphasis on the occurrence of </w:t>
      </w:r>
      <w:r w:rsidRPr="009B0448">
        <w:rPr>
          <w:rFonts w:ascii="Times New Roman" w:hAnsi="Times New Roman" w:cs="Times New Roman"/>
          <w:i/>
          <w:color w:val="auto"/>
        </w:rPr>
        <w:t>Parthenium hysterophorus</w:t>
      </w:r>
      <w:r w:rsidRPr="009B0448">
        <w:rPr>
          <w:rFonts w:ascii="Times New Roman" w:hAnsi="Times New Roman" w:cs="Times New Roman"/>
          <w:color w:val="auto"/>
        </w:rPr>
        <w:t xml:space="preserve">. </w:t>
      </w:r>
      <w:r w:rsidRPr="009B0448">
        <w:rPr>
          <w:rFonts w:ascii="Times New Roman" w:hAnsi="Times New Roman" w:cs="Times New Roman"/>
          <w:i/>
          <w:color w:val="auto"/>
        </w:rPr>
        <w:t>Weed Research, 40</w:t>
      </w:r>
      <w:r w:rsidRPr="009B0448">
        <w:rPr>
          <w:rFonts w:ascii="Times New Roman" w:hAnsi="Times New Roman" w:cs="Times New Roman"/>
          <w:color w:val="auto"/>
        </w:rPr>
        <w:t>(6), 507</w:t>
      </w:r>
      <w:r w:rsidRPr="009B0448">
        <w:rPr>
          <w:rFonts w:ascii="Times New Roman" w:eastAsiaTheme="minorHAnsi" w:hAnsi="Times New Roman" w:cs="Times New Roman"/>
          <w:color w:val="auto"/>
        </w:rPr>
        <w:t>–</w:t>
      </w:r>
      <w:r w:rsidRPr="009B0448">
        <w:rPr>
          <w:rFonts w:ascii="Times New Roman" w:hAnsi="Times New Roman" w:cs="Times New Roman"/>
          <w:color w:val="auto"/>
        </w:rPr>
        <w:t>521.</w:t>
      </w:r>
      <w:r w:rsidRPr="009B0448">
        <w:rPr>
          <w:rFonts w:ascii="Times New Roman" w:hAnsi="Times New Roman" w:cs="Times New Roman"/>
        </w:rPr>
        <w:t xml:space="preserve"> </w:t>
      </w:r>
      <w:hyperlink r:id="rId1478" w:history="1">
        <w:r w:rsidRPr="009B0448">
          <w:rPr>
            <w:rStyle w:val="Hyperlink"/>
            <w:rFonts w:ascii="Times New Roman" w:hAnsi="Times New Roman" w:cs="Times New Roman"/>
          </w:rPr>
          <w:t>https://doi.org/10.1046/j.1365-3180.2000.00208.x</w:t>
        </w:r>
      </w:hyperlink>
      <w:r w:rsidRPr="009B0448">
        <w:rPr>
          <w:rFonts w:ascii="Times New Roman" w:hAnsi="Times New Roman" w:cs="Times New Roman"/>
          <w:color w:val="auto"/>
        </w:rPr>
        <w:t xml:space="preserve"> </w:t>
      </w:r>
    </w:p>
    <w:p w14:paraId="0C89882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Tambi, E. N., Marina, O. W., Mukhebi, A. W., &amp; Randolph, T. F. (1999). Economic impact assessment of rinderpest control in Africa. </w:t>
      </w:r>
      <w:r w:rsidRPr="009B0448">
        <w:rPr>
          <w:rFonts w:ascii="Times New Roman" w:hAnsi="Times New Roman" w:cs="Times New Roman"/>
          <w:i/>
          <w:color w:val="auto"/>
        </w:rPr>
        <w:t>Revue scientifique et technique (International Office of Epizootics), 18</w:t>
      </w:r>
      <w:r w:rsidRPr="009B0448">
        <w:rPr>
          <w:rFonts w:ascii="Times New Roman" w:hAnsi="Times New Roman" w:cs="Times New Roman"/>
          <w:color w:val="auto"/>
        </w:rPr>
        <w:t>(20), 458</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477. Retrieved from </w:t>
      </w:r>
      <w:hyperlink r:id="rId1479" w:history="1">
        <w:r w:rsidRPr="009B0448">
          <w:rPr>
            <w:rStyle w:val="Hyperlink"/>
            <w:rFonts w:ascii="Times New Roman" w:hAnsi="Times New Roman" w:cs="Times New Roman"/>
          </w:rPr>
          <w:t>https://www.ncbi.nlm.nih.gov/pubmed/10472679</w:t>
        </w:r>
      </w:hyperlink>
      <w:r w:rsidRPr="009B0448">
        <w:rPr>
          <w:rFonts w:ascii="Times New Roman" w:hAnsi="Times New Roman" w:cs="Times New Roman"/>
          <w:color w:val="auto"/>
        </w:rPr>
        <w:t xml:space="preserve"> </w:t>
      </w:r>
    </w:p>
    <w:p w14:paraId="1338662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Tadross, M., &amp; Johnston, P. (2012). </w:t>
      </w:r>
      <w:r w:rsidRPr="009B0448">
        <w:rPr>
          <w:rFonts w:ascii="Times New Roman" w:hAnsi="Times New Roman" w:cs="Times New Roman"/>
          <w:i/>
          <w:color w:val="auto"/>
        </w:rPr>
        <w:t>Sub-Saharan African cities: A five-city network to pioneer climate adaptation through participatory research and local action. Climate Change Projections for Port Louis: Adding value through downscaling</w:t>
      </w:r>
      <w:r w:rsidRPr="009B0448">
        <w:rPr>
          <w:rFonts w:ascii="Times New Roman" w:hAnsi="Times New Roman" w:cs="Times New Roman"/>
          <w:color w:val="auto"/>
        </w:rPr>
        <w:t xml:space="preserve">. Cape Town, South Africa: Assets Publishing. Retrieved from </w:t>
      </w:r>
      <w:hyperlink r:id="rId1480" w:history="1">
        <w:r w:rsidRPr="009B0448">
          <w:rPr>
            <w:rStyle w:val="Hyperlink"/>
            <w:rFonts w:ascii="Times New Roman" w:hAnsi="Times New Roman" w:cs="Times New Roman"/>
          </w:rPr>
          <w:t>https://assets.publishing.service.gov.uk/media/57a08a7640f0b649740005e4/IDL-50410.pdf</w:t>
        </w:r>
      </w:hyperlink>
      <w:r w:rsidRPr="009B0448">
        <w:rPr>
          <w:rFonts w:ascii="Times New Roman" w:hAnsi="Times New Roman" w:cs="Times New Roman"/>
          <w:color w:val="auto"/>
        </w:rPr>
        <w:t xml:space="preserve"> </w:t>
      </w:r>
    </w:p>
    <w:p w14:paraId="75B4C6C7" w14:textId="77777777" w:rsidR="009B0448" w:rsidRPr="009B0448" w:rsidRDefault="009B0448" w:rsidP="009B0448">
      <w:pPr>
        <w:pStyle w:val="NoSpacing"/>
        <w:spacing w:after="120" w:line="276" w:lineRule="auto"/>
        <w:ind w:left="567" w:hanging="567"/>
        <w:rPr>
          <w:rFonts w:ascii="Times New Roman" w:hAnsi="Times New Roman" w:cs="Times New Roman"/>
          <w:color w:val="auto"/>
          <w:lang w:val="de-DE"/>
        </w:rPr>
      </w:pPr>
      <w:r w:rsidRPr="009B0448">
        <w:rPr>
          <w:rFonts w:ascii="Times New Roman" w:hAnsi="Times New Roman" w:cs="Times New Roman"/>
          <w:color w:val="auto"/>
        </w:rPr>
        <w:t xml:space="preserve">Tassin, J., &amp; Laizé, A. (2015). Facteurs biologiques et structuraux de l’invasion de la liane Merremia peltata dans les habitats forestiers de Mayotte. </w:t>
      </w:r>
      <w:r w:rsidRPr="009B0448">
        <w:rPr>
          <w:rFonts w:ascii="Times New Roman" w:hAnsi="Times New Roman" w:cs="Times New Roman"/>
          <w:i/>
          <w:color w:val="auto"/>
          <w:lang w:val="de-DE"/>
        </w:rPr>
        <w:t>Revue d’Ecologie (Terre et Vie), 70</w:t>
      </w:r>
      <w:r w:rsidRPr="009B0448">
        <w:rPr>
          <w:rFonts w:ascii="Times New Roman" w:hAnsi="Times New Roman" w:cs="Times New Roman"/>
          <w:color w:val="auto"/>
          <w:lang w:val="de-DE"/>
        </w:rPr>
        <w:t>, 151</w:t>
      </w:r>
      <w:r w:rsidRPr="009B0448">
        <w:rPr>
          <w:rFonts w:ascii="Times New Roman" w:eastAsiaTheme="minorHAnsi" w:hAnsi="Times New Roman" w:cs="Times New Roman"/>
          <w:color w:val="auto"/>
        </w:rPr>
        <w:t>–</w:t>
      </w:r>
      <w:r w:rsidRPr="009B0448">
        <w:rPr>
          <w:rFonts w:ascii="Times New Roman" w:hAnsi="Times New Roman" w:cs="Times New Roman"/>
          <w:color w:val="auto"/>
          <w:lang w:val="de-DE"/>
        </w:rPr>
        <w:t xml:space="preserve">161. Retrieved from </w:t>
      </w:r>
      <w:hyperlink r:id="rId1481" w:history="1">
        <w:r w:rsidRPr="009B0448">
          <w:rPr>
            <w:rStyle w:val="Hyperlink"/>
            <w:rFonts w:ascii="Times New Roman" w:hAnsi="Times New Roman" w:cs="Times New Roman"/>
            <w:lang w:val="de-DE"/>
          </w:rPr>
          <w:t>http://documents.irevues.inist.fr/handle/2042/57893</w:t>
        </w:r>
      </w:hyperlink>
    </w:p>
    <w:p w14:paraId="333AB8D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Tassin, J., Rangan, H., &amp; Kull, C. A. (2012). </w:t>
      </w:r>
      <w:r w:rsidRPr="009B0448">
        <w:rPr>
          <w:rFonts w:ascii="Times New Roman" w:hAnsi="Times New Roman" w:cs="Times New Roman"/>
          <w:color w:val="auto"/>
        </w:rPr>
        <w:t xml:space="preserve">Hybrid improved tree fallows: Harnessing invasive woody legumes for agroforestry. </w:t>
      </w:r>
      <w:r w:rsidRPr="009B0448">
        <w:rPr>
          <w:rFonts w:ascii="Times New Roman" w:hAnsi="Times New Roman" w:cs="Times New Roman"/>
          <w:i/>
          <w:color w:val="auto"/>
        </w:rPr>
        <w:t>Agroforestry systems, 84</w:t>
      </w:r>
      <w:r w:rsidRPr="009B0448">
        <w:rPr>
          <w:rFonts w:ascii="Times New Roman" w:hAnsi="Times New Roman" w:cs="Times New Roman"/>
          <w:color w:val="auto"/>
        </w:rPr>
        <w:t>, 417</w:t>
      </w:r>
      <w:r w:rsidRPr="009B0448">
        <w:rPr>
          <w:rFonts w:ascii="Times New Roman" w:eastAsiaTheme="minorHAnsi" w:hAnsi="Times New Roman" w:cs="Times New Roman"/>
          <w:color w:val="auto"/>
        </w:rPr>
        <w:t>–</w:t>
      </w:r>
      <w:r w:rsidRPr="009B0448">
        <w:rPr>
          <w:rFonts w:ascii="Times New Roman" w:hAnsi="Times New Roman" w:cs="Times New Roman"/>
          <w:color w:val="auto"/>
        </w:rPr>
        <w:t>428.</w:t>
      </w:r>
      <w:r w:rsidRPr="009B0448">
        <w:rPr>
          <w:rFonts w:ascii="Times New Roman" w:hAnsi="Times New Roman" w:cs="Times New Roman"/>
        </w:rPr>
        <w:t xml:space="preserve"> </w:t>
      </w:r>
      <w:hyperlink r:id="rId1482" w:history="1">
        <w:r w:rsidRPr="009B0448">
          <w:rPr>
            <w:rStyle w:val="Hyperlink"/>
            <w:rFonts w:ascii="Times New Roman" w:hAnsi="Times New Roman" w:cs="Times New Roman"/>
          </w:rPr>
          <w:t>https://doi.org/10.1007/s10457-012-9493-9</w:t>
        </w:r>
      </w:hyperlink>
      <w:r w:rsidRPr="009B0448">
        <w:rPr>
          <w:rFonts w:ascii="Times New Roman" w:hAnsi="Times New Roman" w:cs="Times New Roman"/>
          <w:color w:val="auto"/>
        </w:rPr>
        <w:t xml:space="preserve"> </w:t>
      </w:r>
    </w:p>
    <w:p w14:paraId="6ED2671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Tassin, J., Rivière, J.-N., Cazanove, M., &amp; Bruzzese, E. (2006). Ranking of invasive woody plant species for management on Réunion Island. </w:t>
      </w:r>
      <w:r w:rsidRPr="009B0448">
        <w:rPr>
          <w:rFonts w:ascii="Times New Roman" w:hAnsi="Times New Roman" w:cs="Times New Roman"/>
          <w:i/>
          <w:color w:val="auto"/>
        </w:rPr>
        <w:t>Weed Research, 46</w:t>
      </w:r>
      <w:r w:rsidRPr="009B0448">
        <w:rPr>
          <w:rFonts w:ascii="Times New Roman" w:hAnsi="Times New Roman" w:cs="Times New Roman"/>
          <w:color w:val="auto"/>
        </w:rPr>
        <w:t>, 388</w:t>
      </w:r>
      <w:r w:rsidRPr="009B0448">
        <w:rPr>
          <w:rFonts w:ascii="Times New Roman" w:eastAsiaTheme="minorHAnsi" w:hAnsi="Times New Roman" w:cs="Times New Roman"/>
          <w:color w:val="auto"/>
        </w:rPr>
        <w:t>–</w:t>
      </w:r>
      <w:r w:rsidRPr="009B0448">
        <w:rPr>
          <w:rFonts w:ascii="Times New Roman" w:hAnsi="Times New Roman" w:cs="Times New Roman"/>
          <w:color w:val="auto"/>
        </w:rPr>
        <w:t>403.</w:t>
      </w:r>
      <w:r w:rsidRPr="009B0448">
        <w:rPr>
          <w:rFonts w:ascii="Times New Roman" w:hAnsi="Times New Roman" w:cs="Times New Roman"/>
        </w:rPr>
        <w:t xml:space="preserve"> </w:t>
      </w:r>
      <w:hyperlink r:id="rId1483" w:history="1">
        <w:r w:rsidRPr="009B0448">
          <w:rPr>
            <w:rStyle w:val="Hyperlink"/>
            <w:rFonts w:ascii="Times New Roman" w:hAnsi="Times New Roman" w:cs="Times New Roman"/>
          </w:rPr>
          <w:t>https://doi.org/10.1111/j.1365-3180.2006.00522.x</w:t>
        </w:r>
      </w:hyperlink>
      <w:r w:rsidRPr="009B0448">
        <w:rPr>
          <w:rFonts w:ascii="Times New Roman" w:hAnsi="Times New Roman" w:cs="Times New Roman"/>
          <w:color w:val="auto"/>
        </w:rPr>
        <w:t xml:space="preserve"> </w:t>
      </w:r>
    </w:p>
    <w:p w14:paraId="18C9229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Tassin, J., Triolo, J., &amp; Lavergne, C. (2007). Ornamental plant invasions in mountain forests of Reunion (</w:t>
      </w:r>
      <w:r w:rsidRPr="009B0448">
        <w:rPr>
          <w:rFonts w:ascii="Times New Roman" w:hAnsi="Times New Roman" w:cs="Times New Roman"/>
          <w:i/>
          <w:color w:val="auto"/>
        </w:rPr>
        <w:t>Mascarene Archipelago</w:t>
      </w:r>
      <w:r w:rsidRPr="009B0448">
        <w:rPr>
          <w:rFonts w:ascii="Times New Roman" w:hAnsi="Times New Roman" w:cs="Times New Roman"/>
          <w:color w:val="auto"/>
        </w:rPr>
        <w:t xml:space="preserve">): A status review and management directions. </w:t>
      </w:r>
      <w:r w:rsidRPr="009B0448">
        <w:rPr>
          <w:rFonts w:ascii="Times New Roman" w:hAnsi="Times New Roman" w:cs="Times New Roman"/>
          <w:i/>
          <w:color w:val="auto"/>
        </w:rPr>
        <w:t>African Journal of Ecology, 45</w:t>
      </w:r>
      <w:r w:rsidRPr="009B0448">
        <w:rPr>
          <w:rFonts w:ascii="Times New Roman" w:hAnsi="Times New Roman" w:cs="Times New Roman"/>
          <w:color w:val="auto"/>
        </w:rPr>
        <w:t>, 444</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447. </w:t>
      </w:r>
      <w:hyperlink r:id="rId1484" w:history="1">
        <w:r w:rsidRPr="009B0448">
          <w:rPr>
            <w:rStyle w:val="Hyperlink"/>
            <w:rFonts w:ascii="Times New Roman" w:hAnsi="Times New Roman" w:cs="Times New Roman"/>
          </w:rPr>
          <w:t>https://doi.org/10.1111/j.1365-2028.2006.00748.x</w:t>
        </w:r>
      </w:hyperlink>
      <w:r w:rsidRPr="009B0448">
        <w:rPr>
          <w:rFonts w:ascii="Times New Roman" w:hAnsi="Times New Roman" w:cs="Times New Roman"/>
          <w:color w:val="auto"/>
        </w:rPr>
        <w:t xml:space="preserve"> </w:t>
      </w:r>
    </w:p>
    <w:p w14:paraId="7741AB4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Tegen, I., &amp; Fung, I. Y. (1995). Contribution to the mineral aerosol load from land surface modiﬁcation. </w:t>
      </w:r>
      <w:r w:rsidRPr="009B0448">
        <w:rPr>
          <w:rFonts w:ascii="Times New Roman" w:hAnsi="Times New Roman" w:cs="Times New Roman"/>
          <w:i/>
          <w:color w:val="auto"/>
        </w:rPr>
        <w:t>Journal of Geophysics Research, 100</w:t>
      </w:r>
      <w:r w:rsidRPr="009B0448">
        <w:rPr>
          <w:rFonts w:ascii="Times New Roman" w:hAnsi="Times New Roman" w:cs="Times New Roman"/>
          <w:color w:val="auto"/>
        </w:rPr>
        <w:t>(18), 707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726. </w:t>
      </w:r>
      <w:hyperlink r:id="rId1485" w:history="1">
        <w:r w:rsidRPr="009B0448">
          <w:rPr>
            <w:rStyle w:val="Hyperlink"/>
            <w:rFonts w:ascii="Times New Roman" w:hAnsi="Times New Roman" w:cs="Times New Roman"/>
          </w:rPr>
          <w:t>https://doi.org/10.1029/95JD02051</w:t>
        </w:r>
      </w:hyperlink>
      <w:r w:rsidRPr="009B0448">
        <w:rPr>
          <w:rFonts w:ascii="Times New Roman" w:hAnsi="Times New Roman" w:cs="Times New Roman"/>
          <w:color w:val="auto"/>
        </w:rPr>
        <w:t xml:space="preserve"> </w:t>
      </w:r>
    </w:p>
    <w:p w14:paraId="2D550FF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Tessema, Y. A. (2012). Ecological and economic dimensions of the paradoxical invasive species-</w:t>
      </w:r>
      <w:r w:rsidRPr="009B0448">
        <w:rPr>
          <w:rFonts w:ascii="Times New Roman" w:hAnsi="Times New Roman" w:cs="Times New Roman"/>
          <w:i/>
          <w:color w:val="auto"/>
        </w:rPr>
        <w:t>Prosopis juliflora</w:t>
      </w:r>
      <w:r w:rsidRPr="009B0448">
        <w:rPr>
          <w:rFonts w:ascii="Times New Roman" w:hAnsi="Times New Roman" w:cs="Times New Roman"/>
          <w:color w:val="auto"/>
        </w:rPr>
        <w:t xml:space="preserve"> and policy challenges in Ethiopia. </w:t>
      </w:r>
      <w:r w:rsidRPr="009B0448">
        <w:rPr>
          <w:rFonts w:ascii="Times New Roman" w:hAnsi="Times New Roman" w:cs="Times New Roman"/>
          <w:i/>
          <w:color w:val="auto"/>
        </w:rPr>
        <w:t>Journal of Economics and Sustainable Development, 3</w:t>
      </w:r>
      <w:r w:rsidRPr="009B0448">
        <w:rPr>
          <w:rFonts w:ascii="Times New Roman" w:hAnsi="Times New Roman" w:cs="Times New Roman"/>
          <w:color w:val="auto"/>
        </w:rPr>
        <w:t>(8), 62</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70. Retrieved from </w:t>
      </w:r>
      <w:hyperlink r:id="rId1486" w:history="1">
        <w:r w:rsidRPr="009B0448">
          <w:rPr>
            <w:rStyle w:val="Hyperlink"/>
            <w:rFonts w:ascii="Times New Roman" w:hAnsi="Times New Roman" w:cs="Times New Roman"/>
          </w:rPr>
          <w:t>http://iiste.org/Journals/index.php/JEDS/article/viewFile/2307/2309</w:t>
        </w:r>
      </w:hyperlink>
      <w:r w:rsidRPr="009B0448">
        <w:rPr>
          <w:rFonts w:ascii="Times New Roman" w:hAnsi="Times New Roman" w:cs="Times New Roman"/>
          <w:color w:val="auto"/>
        </w:rPr>
        <w:t xml:space="preserve"> </w:t>
      </w:r>
    </w:p>
    <w:p w14:paraId="33519DA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Tews, J., Esther, A, Milton, S. J., Jeltsch, F. (2006). Linking a population model with an ecosystem model: Assessing the impact of land-use and climate change on savanna shrub cover dynamics. </w:t>
      </w:r>
      <w:r w:rsidRPr="009B0448">
        <w:rPr>
          <w:rFonts w:ascii="Times New Roman" w:hAnsi="Times New Roman" w:cs="Times New Roman"/>
          <w:i/>
          <w:color w:val="auto"/>
        </w:rPr>
        <w:t>Ecological Modelling, 195</w:t>
      </w:r>
      <w:r w:rsidRPr="009B0448">
        <w:rPr>
          <w:rFonts w:ascii="Times New Roman" w:hAnsi="Times New Roman" w:cs="Times New Roman"/>
          <w:color w:val="auto"/>
        </w:rPr>
        <w:t>, 219</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228. </w:t>
      </w:r>
      <w:hyperlink r:id="rId1487" w:history="1">
        <w:r w:rsidRPr="009B0448">
          <w:rPr>
            <w:rStyle w:val="Hyperlink"/>
            <w:rFonts w:ascii="Times New Roman" w:hAnsi="Times New Roman" w:cs="Times New Roman"/>
          </w:rPr>
          <w:t>https://doi.org/10.1016/j.ecolmodel.2005.11.025</w:t>
        </w:r>
      </w:hyperlink>
    </w:p>
    <w:p w14:paraId="5D19778A"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The guardian. (2015). </w:t>
      </w:r>
      <w:r w:rsidRPr="009B0448">
        <w:rPr>
          <w:rFonts w:ascii="Times New Roman" w:eastAsiaTheme="minorHAnsi" w:hAnsi="Times New Roman" w:cs="Times New Roman"/>
          <w:i/>
          <w:color w:val="auto"/>
        </w:rPr>
        <w:t>Deforestation 'may have started west Africa's ebola outbreak</w:t>
      </w:r>
      <w:r w:rsidRPr="009B0448">
        <w:rPr>
          <w:rFonts w:ascii="Times New Roman" w:eastAsiaTheme="minorHAnsi" w:hAnsi="Times New Roman" w:cs="Times New Roman"/>
          <w:color w:val="auto"/>
        </w:rPr>
        <w:t xml:space="preserve">. Retrieved from </w:t>
      </w:r>
      <w:hyperlink r:id="rId1488" w:history="1">
        <w:r w:rsidRPr="009B0448">
          <w:rPr>
            <w:rStyle w:val="Hyperlink"/>
            <w:rFonts w:ascii="Times New Roman" w:eastAsiaTheme="minorHAnsi" w:hAnsi="Times New Roman" w:cs="Times New Roman"/>
          </w:rPr>
          <w:t>https://www.theguardian.com/world/2015/oct/29/deforestation-might-have-started-west-africas-ebola-outbreak</w:t>
        </w:r>
      </w:hyperlink>
    </w:p>
    <w:p w14:paraId="350BD69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Thomas, C. D., Cameron, A., Green, R. E., Bakkenes, M., Beaumont, L. J., Collingham, Y. C.,</w:t>
      </w:r>
      <w:r w:rsidRPr="009B0448">
        <w:rPr>
          <w:rFonts w:ascii="Times New Roman" w:hAnsi="Times New Roman" w:cs="Times New Roman"/>
          <w:color w:val="00B050"/>
        </w:rPr>
        <w:t xml:space="preserve"> </w:t>
      </w:r>
      <w:r w:rsidRPr="009B0448">
        <w:rPr>
          <w:rFonts w:ascii="Times New Roman" w:hAnsi="Times New Roman" w:cs="Times New Roman"/>
          <w:color w:val="auto"/>
        </w:rPr>
        <w:t>Erasmus, B. F. N., de Siqueira, M. F., Grainger, A., Hannah, L., Hughes, L., Huntley, B., van Jaarsveld, A. S., Midgley, G. F., Miles, L., Ortega-Huerta, O., Peterson, A. T., Phillips, O., &amp; Williams, S. E. (2004). Extintion risk from climate change</w:t>
      </w:r>
      <w:r w:rsidRPr="009B0448">
        <w:rPr>
          <w:rFonts w:ascii="Times New Roman" w:hAnsi="Times New Roman" w:cs="Times New Roman"/>
          <w:i/>
          <w:color w:val="auto"/>
        </w:rPr>
        <w:t>. Nature, 427</w:t>
      </w:r>
      <w:r w:rsidRPr="009B0448">
        <w:rPr>
          <w:rFonts w:ascii="Times New Roman" w:hAnsi="Times New Roman" w:cs="Times New Roman"/>
          <w:color w:val="auto"/>
        </w:rPr>
        <w:t>(6970), 145</w:t>
      </w:r>
      <w:r w:rsidRPr="009B0448">
        <w:rPr>
          <w:rFonts w:ascii="Times New Roman" w:eastAsiaTheme="minorHAnsi" w:hAnsi="Times New Roman" w:cs="Times New Roman"/>
          <w:color w:val="auto"/>
        </w:rPr>
        <w:t>–</w:t>
      </w:r>
      <w:r w:rsidRPr="009B0448">
        <w:rPr>
          <w:rFonts w:ascii="Times New Roman" w:hAnsi="Times New Roman" w:cs="Times New Roman"/>
          <w:color w:val="auto"/>
        </w:rPr>
        <w:t>148</w:t>
      </w:r>
      <w:r w:rsidRPr="009B0448">
        <w:rPr>
          <w:rFonts w:ascii="Times New Roman" w:hAnsi="Times New Roman" w:cs="Times New Roman"/>
        </w:rPr>
        <w:t xml:space="preserve"> </w:t>
      </w:r>
      <w:hyperlink r:id="rId1489" w:history="1">
        <w:r w:rsidRPr="009B0448">
          <w:rPr>
            <w:rStyle w:val="Hyperlink"/>
            <w:rFonts w:ascii="Times New Roman" w:hAnsi="Times New Roman" w:cs="Times New Roman"/>
          </w:rPr>
          <w:t>https://doi.org/10.1038/nature02121</w:t>
        </w:r>
      </w:hyperlink>
      <w:r w:rsidRPr="009B0448">
        <w:rPr>
          <w:rFonts w:ascii="Times New Roman" w:hAnsi="Times New Roman" w:cs="Times New Roman"/>
          <w:color w:val="auto"/>
        </w:rPr>
        <w:t xml:space="preserve"> </w:t>
      </w:r>
    </w:p>
    <w:p w14:paraId="2234BA3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Thresh, J. M., Otim-Nape, G. W., Legg, J. P., &amp; Fargette, D. (1997). African cassava mosaicdisease: The magnitude of the problem. In A. M. Thro, &amp; M. O., Akoroda (Eds.), </w:t>
      </w:r>
      <w:r w:rsidRPr="009B0448">
        <w:rPr>
          <w:rFonts w:ascii="Times New Roman" w:hAnsi="Times New Roman" w:cs="Times New Roman"/>
          <w:i/>
          <w:color w:val="auto"/>
        </w:rPr>
        <w:t xml:space="preserve">Contributions of biotechnology to Cassava for Africa: Proceedings of the Cassava biotechnology network, third international scientific meeting. African Journal of Root and Tuber Crops (Special Issue), </w:t>
      </w:r>
      <w:r w:rsidRPr="009B0448">
        <w:rPr>
          <w:rFonts w:ascii="Times New Roman" w:hAnsi="Times New Roman" w:cs="Times New Roman"/>
          <w:color w:val="auto"/>
        </w:rPr>
        <w:t>13</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19. Retrieved from </w:t>
      </w:r>
      <w:hyperlink r:id="rId1490" w:history="1">
        <w:r w:rsidRPr="009B0448">
          <w:rPr>
            <w:rStyle w:val="Hyperlink"/>
            <w:rFonts w:ascii="Times New Roman" w:hAnsi="Times New Roman" w:cs="Times New Roman"/>
          </w:rPr>
          <w:t>https://www.cabdirect.org/cabdirect/abstract/20063044647</w:t>
        </w:r>
      </w:hyperlink>
      <w:r w:rsidRPr="009B0448">
        <w:rPr>
          <w:rFonts w:ascii="Times New Roman" w:hAnsi="Times New Roman" w:cs="Times New Roman"/>
          <w:color w:val="auto"/>
        </w:rPr>
        <w:t xml:space="preserve"> </w:t>
      </w:r>
    </w:p>
    <w:p w14:paraId="5BD9D6B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Tidjani, A. D., Bielders C. L., &amp; Ambouta, K. J. M. (2009). Seasonal dynamics of parameters determining wind erosion on rangeland in Eastern Niger. </w:t>
      </w:r>
      <w:r w:rsidRPr="009B0448">
        <w:rPr>
          <w:rFonts w:ascii="Times New Roman" w:hAnsi="Times New Roman" w:cs="Times New Roman"/>
          <w:i/>
          <w:color w:val="auto"/>
        </w:rPr>
        <w:t>Geo-Eco-Trop, International Journal of Tropical Ecology and Geography, 33</w:t>
      </w:r>
      <w:r w:rsidRPr="009B0448">
        <w:rPr>
          <w:rFonts w:ascii="Times New Roman" w:hAnsi="Times New Roman" w:cs="Times New Roman"/>
          <w:color w:val="auto"/>
        </w:rPr>
        <w:t>, 39–56.</w:t>
      </w:r>
    </w:p>
    <w:p w14:paraId="4F0FA79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Tiffen, M., Mortimore, M., &amp; Gichuki, F. (1994). More people, less erosion, environmental recovery in Kenya. </w:t>
      </w:r>
      <w:r w:rsidRPr="009B0448">
        <w:rPr>
          <w:rFonts w:ascii="Times New Roman" w:hAnsi="Times New Roman" w:cs="Times New Roman"/>
          <w:i/>
          <w:color w:val="auto"/>
        </w:rPr>
        <w:t>Land Degradation and Development, 5</w:t>
      </w:r>
      <w:r w:rsidRPr="009B0448">
        <w:rPr>
          <w:rFonts w:ascii="Times New Roman" w:hAnsi="Times New Roman" w:cs="Times New Roman"/>
          <w:color w:val="auto"/>
        </w:rPr>
        <w:t xml:space="preserve">, 59–60. </w:t>
      </w:r>
      <w:hyperlink r:id="rId1491" w:history="1">
        <w:r w:rsidRPr="009B0448">
          <w:rPr>
            <w:rStyle w:val="Hyperlink"/>
            <w:rFonts w:ascii="Times New Roman" w:hAnsi="Times New Roman" w:cs="Times New Roman"/>
          </w:rPr>
          <w:t>https://doi.org/10.1002/ldr.3400050109</w:t>
        </w:r>
      </w:hyperlink>
      <w:r w:rsidRPr="009B0448">
        <w:rPr>
          <w:rFonts w:ascii="Times New Roman" w:hAnsi="Times New Roman" w:cs="Times New Roman"/>
          <w:color w:val="auto"/>
        </w:rPr>
        <w:t xml:space="preserve"> </w:t>
      </w:r>
    </w:p>
    <w:p w14:paraId="269D15A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Torrey, B. B. (2004). </w:t>
      </w:r>
      <w:r w:rsidRPr="009B0448">
        <w:rPr>
          <w:rFonts w:ascii="Times New Roman" w:hAnsi="Times New Roman" w:cs="Times New Roman"/>
          <w:i/>
          <w:color w:val="auto"/>
        </w:rPr>
        <w:t>Urbanization: An environmental force to be reckoned with</w:t>
      </w:r>
      <w:r w:rsidRPr="009B0448">
        <w:rPr>
          <w:rFonts w:ascii="Times New Roman" w:hAnsi="Times New Roman" w:cs="Times New Roman"/>
          <w:color w:val="auto"/>
        </w:rPr>
        <w:t xml:space="preserve">. Retrieved from </w:t>
      </w:r>
      <w:hyperlink r:id="rId1492" w:history="1">
        <w:r w:rsidRPr="009B0448">
          <w:rPr>
            <w:rStyle w:val="Hyperlink"/>
            <w:rFonts w:ascii="Times New Roman" w:hAnsi="Times New Roman" w:cs="Times New Roman"/>
          </w:rPr>
          <w:t>https://www.prb.org/urbanizationanenvironmentalforcetobereckonedwith/</w:t>
        </w:r>
      </w:hyperlink>
      <w:r w:rsidRPr="009B0448">
        <w:rPr>
          <w:rFonts w:ascii="Times New Roman" w:hAnsi="Times New Roman" w:cs="Times New Roman"/>
        </w:rPr>
        <w:t xml:space="preserve"> </w:t>
      </w:r>
    </w:p>
    <w:p w14:paraId="7354CB0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Trollope, W. S. W., Hobson, F. O., Danckwertz, J. E., &amp; Van Niekerk, J. P. (1989). Encroachment and control of undesirable plants. In J. E. Danckwertz, &amp; W. R. Teague (Eds.), </w:t>
      </w:r>
      <w:r w:rsidRPr="009B0448">
        <w:rPr>
          <w:rFonts w:ascii="Times New Roman" w:hAnsi="Times New Roman" w:cs="Times New Roman"/>
          <w:i/>
          <w:color w:val="auto"/>
        </w:rPr>
        <w:t xml:space="preserve">Veld management in the Eastern Cape. </w:t>
      </w:r>
      <w:r w:rsidRPr="009B0448">
        <w:rPr>
          <w:rFonts w:ascii="Times New Roman" w:hAnsi="Times New Roman" w:cs="Times New Roman"/>
          <w:color w:val="auto"/>
        </w:rPr>
        <w:t>Pretoria, South Africa: Government Printers.</w:t>
      </w:r>
    </w:p>
    <w:p w14:paraId="16FD0B0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Tscharntke, T., Klein, A. M., Kruess, A., Steffan-Dewenter, I., &amp; Thies, C. (2005). </w:t>
      </w:r>
      <w:r w:rsidRPr="009B0448">
        <w:rPr>
          <w:rFonts w:ascii="Times New Roman" w:hAnsi="Times New Roman" w:cs="Times New Roman"/>
          <w:color w:val="auto"/>
        </w:rPr>
        <w:t xml:space="preserve">Landscape perspectives on agricultural intensification and biodiversity–ecosystem service management. </w:t>
      </w:r>
      <w:r w:rsidRPr="009B0448">
        <w:rPr>
          <w:rFonts w:ascii="Times New Roman" w:hAnsi="Times New Roman" w:cs="Times New Roman"/>
          <w:i/>
          <w:color w:val="auto"/>
        </w:rPr>
        <w:t>Ecology Letters, 8</w:t>
      </w:r>
      <w:r w:rsidRPr="009B0448">
        <w:rPr>
          <w:rFonts w:ascii="Times New Roman" w:hAnsi="Times New Roman" w:cs="Times New Roman"/>
          <w:color w:val="auto"/>
        </w:rPr>
        <w:t>, 857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874. </w:t>
      </w:r>
      <w:hyperlink r:id="rId1493" w:history="1">
        <w:r w:rsidRPr="009B0448">
          <w:rPr>
            <w:rStyle w:val="Hyperlink"/>
            <w:rFonts w:ascii="Times New Roman" w:hAnsi="Times New Roman" w:cs="Times New Roman"/>
          </w:rPr>
          <w:t>https://doi.org/10.1111/j.1461-0248.2005.00782.x</w:t>
        </w:r>
      </w:hyperlink>
      <w:r w:rsidRPr="009B0448">
        <w:rPr>
          <w:rFonts w:ascii="Times New Roman" w:hAnsi="Times New Roman" w:cs="Times New Roman"/>
          <w:color w:val="auto"/>
        </w:rPr>
        <w:t xml:space="preserve"> </w:t>
      </w:r>
    </w:p>
    <w:p w14:paraId="049CFCC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Turner, L. A. (1996). Invasive plant in chimpanzee habitat at Mahale. </w:t>
      </w:r>
      <w:r w:rsidRPr="009B0448">
        <w:rPr>
          <w:rFonts w:ascii="Times New Roman" w:hAnsi="Times New Roman" w:cs="Times New Roman"/>
          <w:i/>
          <w:color w:val="auto"/>
        </w:rPr>
        <w:t>Pan Africa News, 3</w:t>
      </w:r>
      <w:r w:rsidRPr="009B0448">
        <w:rPr>
          <w:rFonts w:ascii="Times New Roman" w:hAnsi="Times New Roman" w:cs="Times New Roman"/>
          <w:color w:val="auto"/>
        </w:rPr>
        <w:t xml:space="preserve">(1), 5. Retrieved from </w:t>
      </w:r>
      <w:hyperlink r:id="rId1494" w:history="1">
        <w:r w:rsidRPr="009B0448">
          <w:rPr>
            <w:rStyle w:val="Hyperlink"/>
            <w:rFonts w:ascii="Times New Roman" w:hAnsi="Times New Roman" w:cs="Times New Roman"/>
          </w:rPr>
          <w:t>http://mahale.main.jp/PAN/3_1/senna.html</w:t>
        </w:r>
      </w:hyperlink>
    </w:p>
    <w:p w14:paraId="159989E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Tyson, P. D. (1986). </w:t>
      </w:r>
      <w:r w:rsidRPr="009B0448">
        <w:rPr>
          <w:rFonts w:ascii="Times New Roman" w:hAnsi="Times New Roman" w:cs="Times New Roman"/>
          <w:i/>
          <w:color w:val="auto"/>
        </w:rPr>
        <w:t>Climatic change and variability in Southern Africa</w:t>
      </w:r>
      <w:r w:rsidRPr="009B0448">
        <w:rPr>
          <w:rFonts w:ascii="Times New Roman" w:hAnsi="Times New Roman" w:cs="Times New Roman"/>
          <w:color w:val="auto"/>
        </w:rPr>
        <w:t xml:space="preserve">. Cape Town, South Africa: Oxford University Press. Retireved from </w:t>
      </w:r>
      <w:hyperlink r:id="rId1495" w:history="1">
        <w:r w:rsidRPr="009B0448">
          <w:rPr>
            <w:rStyle w:val="Hyperlink"/>
            <w:rFonts w:ascii="Times New Roman" w:hAnsi="Times New Roman" w:cs="Times New Roman"/>
          </w:rPr>
          <w:t>http://mahale.main.jp/PAN/3_1/senna.html</w:t>
        </w:r>
      </w:hyperlink>
    </w:p>
    <w:p w14:paraId="3E4D0EB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UICN. (2009). </w:t>
      </w:r>
      <w:r w:rsidRPr="009B0448">
        <w:rPr>
          <w:rFonts w:ascii="Times New Roman" w:hAnsi="Times New Roman" w:cs="Times New Roman"/>
          <w:i/>
          <w:color w:val="auto"/>
        </w:rPr>
        <w:t>Les aires protégées communautaires en Afrique de l’Ouest. Quelle contribution pour la conservation?</w:t>
      </w:r>
      <w:r w:rsidRPr="009B0448">
        <w:rPr>
          <w:rFonts w:ascii="Times New Roman" w:hAnsi="Times New Roman" w:cs="Times New Roman"/>
          <w:color w:val="auto"/>
        </w:rPr>
        <w:t xml:space="preserve"> Gland, Switzerland: UICN. Retrieved from </w:t>
      </w:r>
      <w:hyperlink r:id="rId1496" w:history="1">
        <w:r w:rsidRPr="009B0448">
          <w:rPr>
            <w:rStyle w:val="Hyperlink"/>
            <w:rFonts w:ascii="Times New Roman" w:hAnsi="Times New Roman" w:cs="Times New Roman"/>
          </w:rPr>
          <w:t>https://www.iccaconsortium.org/wp-content/uploads/2015/08/example-west-africa-common-areas-iucn-fr-2009.pdf</w:t>
        </w:r>
      </w:hyperlink>
      <w:r w:rsidRPr="009B0448">
        <w:rPr>
          <w:rFonts w:ascii="Times New Roman" w:hAnsi="Times New Roman" w:cs="Times New Roman"/>
          <w:color w:val="auto"/>
        </w:rPr>
        <w:t xml:space="preserve"> </w:t>
      </w:r>
    </w:p>
    <w:p w14:paraId="2D3A05C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UNCCD. (2012). </w:t>
      </w:r>
      <w:r w:rsidRPr="009B0448">
        <w:rPr>
          <w:rFonts w:ascii="Times New Roman" w:hAnsi="Times New Roman" w:cs="Times New Roman"/>
          <w:i/>
          <w:color w:val="auto"/>
        </w:rPr>
        <w:t>Achieving land degradation neutrality at the country level</w:t>
      </w:r>
      <w:r w:rsidRPr="009B0448">
        <w:rPr>
          <w:rFonts w:ascii="Times New Roman" w:hAnsi="Times New Roman" w:cs="Times New Roman"/>
          <w:color w:val="auto"/>
        </w:rPr>
        <w:t xml:space="preserve">. Paris, France: UNCCD. Retrieved from </w:t>
      </w:r>
      <w:hyperlink r:id="rId1497" w:history="1">
        <w:r w:rsidRPr="009B0448">
          <w:rPr>
            <w:rStyle w:val="Hyperlink"/>
            <w:rFonts w:ascii="Times New Roman" w:hAnsi="Times New Roman" w:cs="Times New Roman"/>
          </w:rPr>
          <w:t>https://www.unccd.int/sites/default/files/documents/160915_ldn_rgb_small%20(1).pdf</w:t>
        </w:r>
      </w:hyperlink>
      <w:r w:rsidRPr="009B0448">
        <w:rPr>
          <w:rFonts w:ascii="Times New Roman" w:hAnsi="Times New Roman" w:cs="Times New Roman"/>
        </w:rPr>
        <w:t xml:space="preserve"> </w:t>
      </w:r>
    </w:p>
    <w:p w14:paraId="25FC7CD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UNCTAD. (2012).</w:t>
      </w:r>
      <w:r w:rsidRPr="009B0448">
        <w:rPr>
          <w:rFonts w:ascii="Times New Roman" w:hAnsi="Times New Roman" w:cs="Times New Roman"/>
          <w:i/>
          <w:color w:val="auto"/>
        </w:rPr>
        <w:t xml:space="preserve"> Economic development in Africa report: Structural transformation and sustainable development in Africa.</w:t>
      </w:r>
      <w:r w:rsidRPr="009B0448">
        <w:rPr>
          <w:rFonts w:ascii="Times New Roman" w:hAnsi="Times New Roman" w:cs="Times New Roman"/>
        </w:rPr>
        <w:t xml:space="preserve"> </w:t>
      </w:r>
      <w:r w:rsidRPr="009B0448">
        <w:rPr>
          <w:rFonts w:ascii="Times New Roman" w:hAnsi="Times New Roman" w:cs="Times New Roman"/>
          <w:color w:val="auto"/>
        </w:rPr>
        <w:t>Geneva, Switzerland: UNCTAD.</w:t>
      </w:r>
      <w:r w:rsidRPr="009B0448">
        <w:rPr>
          <w:rFonts w:ascii="Times New Roman" w:hAnsi="Times New Roman" w:cs="Times New Roman"/>
        </w:rPr>
        <w:t xml:space="preserve"> </w:t>
      </w:r>
      <w:r w:rsidRPr="009B0448">
        <w:rPr>
          <w:rFonts w:ascii="Times New Roman" w:hAnsi="Times New Roman" w:cs="Times New Roman"/>
          <w:color w:val="auto"/>
        </w:rPr>
        <w:t xml:space="preserve">Retrieved from </w:t>
      </w:r>
      <w:hyperlink r:id="rId1498" w:history="1">
        <w:r w:rsidRPr="009B0448">
          <w:rPr>
            <w:rStyle w:val="Hyperlink"/>
            <w:rFonts w:ascii="Times New Roman" w:hAnsi="Times New Roman" w:cs="Times New Roman"/>
          </w:rPr>
          <w:t>http://unctad.org/en/PublicationsLibrary/aldcafrica2012_embargo_en.pdf</w:t>
        </w:r>
      </w:hyperlink>
      <w:r w:rsidRPr="009B0448">
        <w:rPr>
          <w:rFonts w:ascii="Times New Roman" w:hAnsi="Times New Roman" w:cs="Times New Roman"/>
          <w:color w:val="auto"/>
        </w:rPr>
        <w:t xml:space="preserve"> </w:t>
      </w:r>
    </w:p>
    <w:p w14:paraId="624DD38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UNECA. (2011). </w:t>
      </w:r>
      <w:r w:rsidRPr="009B0448">
        <w:rPr>
          <w:rFonts w:ascii="Times New Roman" w:hAnsi="Times New Roman" w:cs="Times New Roman"/>
          <w:i/>
          <w:color w:val="auto"/>
        </w:rPr>
        <w:t>Governing development in Africa: The role of the state in economic transformation</w:t>
      </w:r>
      <w:r w:rsidRPr="009B0448">
        <w:rPr>
          <w:rFonts w:ascii="Times New Roman" w:hAnsi="Times New Roman" w:cs="Times New Roman"/>
          <w:color w:val="auto"/>
        </w:rPr>
        <w:t xml:space="preserve">. Addis Ababa, Ethiopia: African Union. Retrieved from </w:t>
      </w:r>
      <w:hyperlink r:id="rId1499" w:history="1">
        <w:r w:rsidRPr="009B0448">
          <w:rPr>
            <w:rStyle w:val="Hyperlink"/>
            <w:rFonts w:ascii="Times New Roman" w:hAnsi="Times New Roman" w:cs="Times New Roman"/>
          </w:rPr>
          <w:t>http://hdl.handle.net/10855/21376</w:t>
        </w:r>
      </w:hyperlink>
      <w:r w:rsidRPr="009B0448">
        <w:rPr>
          <w:rFonts w:ascii="Times New Roman" w:hAnsi="Times New Roman" w:cs="Times New Roman"/>
          <w:color w:val="auto"/>
        </w:rPr>
        <w:t xml:space="preserve"> </w:t>
      </w:r>
    </w:p>
    <w:p w14:paraId="5EB93F0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 (1985). </w:t>
      </w:r>
      <w:r w:rsidRPr="009B0448">
        <w:rPr>
          <w:rFonts w:ascii="Times New Roman" w:hAnsi="Times New Roman" w:cs="Times New Roman"/>
          <w:i/>
          <w:color w:val="auto"/>
        </w:rPr>
        <w:t>Report of the fifth meeting of the contracting parties to the Convention for the protection, management and development of the marine and coastal environment of the eastern African region</w:t>
      </w:r>
      <w:r w:rsidRPr="009B0448">
        <w:rPr>
          <w:rFonts w:ascii="Times New Roman" w:hAnsi="Times New Roman" w:cs="Times New Roman"/>
          <w:color w:val="auto"/>
        </w:rPr>
        <w:t xml:space="preserve">. Nairobi, Kenya: UNEP. </w:t>
      </w:r>
    </w:p>
    <w:p w14:paraId="03B2FC7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 (1997). </w:t>
      </w:r>
      <w:r w:rsidRPr="009B0448">
        <w:rPr>
          <w:rFonts w:ascii="Times New Roman" w:hAnsi="Times New Roman" w:cs="Times New Roman"/>
          <w:i/>
          <w:color w:val="auto"/>
        </w:rPr>
        <w:t>Global environment outlook GEO 1-6</w:t>
      </w:r>
      <w:r w:rsidRPr="009B0448">
        <w:rPr>
          <w:rFonts w:ascii="Times New Roman" w:hAnsi="Times New Roman" w:cs="Times New Roman"/>
          <w:color w:val="auto"/>
        </w:rPr>
        <w:t>. Nairobi, Kenya: UNEP.</w:t>
      </w:r>
      <w:r w:rsidRPr="009B0448">
        <w:rPr>
          <w:rFonts w:ascii="Times New Roman" w:hAnsi="Times New Roman" w:cs="Times New Roman"/>
        </w:rPr>
        <w:t xml:space="preserve"> Retrieved from </w:t>
      </w:r>
      <w:hyperlink r:id="rId1500" w:history="1">
        <w:r w:rsidRPr="009B0448">
          <w:rPr>
            <w:rStyle w:val="Hyperlink"/>
            <w:rFonts w:ascii="Times New Roman" w:hAnsi="Times New Roman" w:cs="Times New Roman"/>
          </w:rPr>
          <w:t>http://web.unep.org/geo/</w:t>
        </w:r>
      </w:hyperlink>
      <w:r w:rsidRPr="009B0448">
        <w:rPr>
          <w:rFonts w:ascii="Times New Roman" w:hAnsi="Times New Roman" w:cs="Times New Roman"/>
          <w:color w:val="auto"/>
        </w:rPr>
        <w:t xml:space="preserve"> </w:t>
      </w:r>
    </w:p>
    <w:p w14:paraId="048BC7F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 (2002). </w:t>
      </w:r>
      <w:r w:rsidRPr="009B0448">
        <w:rPr>
          <w:rFonts w:ascii="Times New Roman" w:hAnsi="Times New Roman" w:cs="Times New Roman"/>
          <w:i/>
          <w:color w:val="auto"/>
        </w:rPr>
        <w:t>Integrated assessment of trade liberalization and trade-related policies: A country study on the fisheries sector in Senegal</w:t>
      </w:r>
      <w:r w:rsidRPr="009B0448">
        <w:rPr>
          <w:rFonts w:ascii="Times New Roman" w:hAnsi="Times New Roman" w:cs="Times New Roman"/>
          <w:color w:val="auto"/>
        </w:rPr>
        <w:t xml:space="preserve">. New York: UNEP. Retrieved from </w:t>
      </w:r>
      <w:hyperlink r:id="rId1501" w:history="1">
        <w:r w:rsidRPr="009B0448">
          <w:rPr>
            <w:rStyle w:val="Hyperlink"/>
            <w:rFonts w:ascii="Times New Roman" w:hAnsi="Times New Roman" w:cs="Times New Roman"/>
          </w:rPr>
          <w:t>https://unep.ch/etu/publications/CSII_Senegal.pdf</w:t>
        </w:r>
      </w:hyperlink>
      <w:r w:rsidRPr="009B0448">
        <w:rPr>
          <w:rFonts w:ascii="Times New Roman" w:hAnsi="Times New Roman" w:cs="Times New Roman"/>
          <w:color w:val="auto"/>
        </w:rPr>
        <w:t xml:space="preserve"> </w:t>
      </w:r>
    </w:p>
    <w:p w14:paraId="0183B9DC" w14:textId="77777777" w:rsidR="009B0448" w:rsidRPr="009B0448" w:rsidRDefault="009B0448" w:rsidP="009B0448">
      <w:pPr>
        <w:autoSpaceDE w:val="0"/>
        <w:autoSpaceDN w:val="0"/>
        <w:adjustRightInd w:val="0"/>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 (2006). </w:t>
      </w:r>
      <w:r w:rsidRPr="009B0448">
        <w:rPr>
          <w:rFonts w:ascii="Times New Roman" w:hAnsi="Times New Roman" w:cs="Times New Roman"/>
          <w:i/>
          <w:color w:val="auto"/>
        </w:rPr>
        <w:t>Africa environment outlook 2: Our environment, our wealth.</w:t>
      </w:r>
      <w:r w:rsidRPr="009B0448">
        <w:rPr>
          <w:rFonts w:ascii="Times New Roman" w:hAnsi="Times New Roman" w:cs="Times New Roman"/>
          <w:color w:val="auto"/>
        </w:rPr>
        <w:t xml:space="preserve"> Nairobi, Kenya: UNEP. Retrieved from </w:t>
      </w:r>
      <w:hyperlink r:id="rId1502" w:history="1">
        <w:r w:rsidRPr="009B0448">
          <w:rPr>
            <w:rStyle w:val="Hyperlink"/>
            <w:rFonts w:ascii="Times New Roman" w:hAnsi="Times New Roman" w:cs="Times New Roman"/>
          </w:rPr>
          <w:t>http://wedocs.unep.org/handle/20.500.11822/9626</w:t>
        </w:r>
      </w:hyperlink>
    </w:p>
    <w:p w14:paraId="357DDFF3" w14:textId="77777777" w:rsidR="009B0448" w:rsidRPr="009B0448" w:rsidRDefault="009B0448" w:rsidP="009B0448">
      <w:pPr>
        <w:autoSpaceDE w:val="0"/>
        <w:autoSpaceDN w:val="0"/>
        <w:adjustRightInd w:val="0"/>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UNEP. (2012). </w:t>
      </w:r>
      <w:r w:rsidRPr="009B0448">
        <w:rPr>
          <w:rFonts w:ascii="Times New Roman" w:hAnsi="Times New Roman" w:cs="Times New Roman"/>
          <w:i/>
          <w:color w:val="auto"/>
        </w:rPr>
        <w:t>Sahel atlas of changing landscapes: Tracing trends and variations in vegetation cover and soil condition</w:t>
      </w:r>
      <w:r w:rsidRPr="009B0448">
        <w:rPr>
          <w:rFonts w:ascii="Times New Roman" w:hAnsi="Times New Roman" w:cs="Times New Roman"/>
          <w:color w:val="auto"/>
        </w:rPr>
        <w:t xml:space="preserve">. Nairobi, Kenya: UNEP. Retrieved from </w:t>
      </w:r>
      <w:hyperlink r:id="rId1503" w:history="1">
        <w:r w:rsidRPr="009B0448">
          <w:rPr>
            <w:rStyle w:val="Hyperlink"/>
            <w:rFonts w:ascii="Times New Roman" w:hAnsi="Times New Roman" w:cs="Times New Roman"/>
          </w:rPr>
          <w:t>http://hdl.handle.net/10568/34529</w:t>
        </w:r>
      </w:hyperlink>
      <w:r w:rsidRPr="009B0448">
        <w:rPr>
          <w:rFonts w:ascii="Times New Roman" w:hAnsi="Times New Roman" w:cs="Times New Roman"/>
          <w:color w:val="auto"/>
        </w:rPr>
        <w:t xml:space="preserve"> </w:t>
      </w:r>
    </w:p>
    <w:p w14:paraId="39053B81" w14:textId="77777777" w:rsidR="009B0448" w:rsidRPr="009B0448" w:rsidRDefault="009B0448" w:rsidP="009B0448">
      <w:pPr>
        <w:autoSpaceDE w:val="0"/>
        <w:autoSpaceDN w:val="0"/>
        <w:adjustRightInd w:val="0"/>
        <w:spacing w:after="120" w:line="276" w:lineRule="auto"/>
        <w:ind w:left="567" w:hanging="567"/>
        <w:rPr>
          <w:rStyle w:val="Hyperlink"/>
          <w:rFonts w:ascii="Times New Roman" w:hAnsi="Times New Roman" w:cs="Times New Roman"/>
          <w:color w:val="auto"/>
        </w:rPr>
      </w:pPr>
      <w:r w:rsidRPr="009B0448">
        <w:rPr>
          <w:rFonts w:ascii="Times New Roman" w:hAnsi="Times New Roman" w:cs="Times New Roman"/>
          <w:color w:val="auto"/>
        </w:rPr>
        <w:t xml:space="preserve">UNEP, CITES, IUCN, &amp; TRAFFIC (2013). </w:t>
      </w:r>
      <w:r w:rsidRPr="009B0448">
        <w:rPr>
          <w:rFonts w:ascii="Times New Roman" w:hAnsi="Times New Roman" w:cs="Times New Roman"/>
          <w:i/>
          <w:color w:val="auto"/>
        </w:rPr>
        <w:t>Elephants in the dust–the African elephant crisis. A rapid response assessment</w:t>
      </w:r>
      <w:r w:rsidRPr="009B0448">
        <w:rPr>
          <w:rFonts w:ascii="Times New Roman" w:hAnsi="Times New Roman" w:cs="Times New Roman"/>
          <w:color w:val="auto"/>
        </w:rPr>
        <w:t xml:space="preserve">. Nairobi, Kenya: UNEP. Retrieved from </w:t>
      </w:r>
      <w:hyperlink r:id="rId1504" w:history="1">
        <w:r w:rsidRPr="009B0448">
          <w:rPr>
            <w:rStyle w:val="Hyperlink"/>
            <w:rFonts w:ascii="Times New Roman" w:hAnsi="Times New Roman" w:cs="Times New Roman"/>
          </w:rPr>
          <w:t>http://hdl.handle.net/20.500.11822/8539</w:t>
        </w:r>
      </w:hyperlink>
      <w:r w:rsidRPr="009B0448">
        <w:rPr>
          <w:rFonts w:ascii="Times New Roman" w:hAnsi="Times New Roman" w:cs="Times New Roman"/>
          <w:color w:val="auto"/>
        </w:rPr>
        <w:t xml:space="preserve"> </w:t>
      </w:r>
    </w:p>
    <w:p w14:paraId="18C89B15" w14:textId="77777777" w:rsidR="009B0448" w:rsidRPr="009B0448" w:rsidRDefault="009B0448" w:rsidP="009B0448">
      <w:pPr>
        <w:autoSpaceDE w:val="0"/>
        <w:autoSpaceDN w:val="0"/>
        <w:adjustRightInd w:val="0"/>
        <w:spacing w:after="120" w:line="276" w:lineRule="auto"/>
        <w:ind w:left="567" w:hanging="567"/>
        <w:rPr>
          <w:rFonts w:ascii="Times New Roman" w:hAnsi="Times New Roman" w:cs="Times New Roman"/>
        </w:rPr>
      </w:pPr>
      <w:r w:rsidRPr="009B0448">
        <w:rPr>
          <w:rFonts w:ascii="Times New Roman" w:eastAsiaTheme="minorHAnsi" w:hAnsi="Times New Roman" w:cs="Times New Roman"/>
          <w:color w:val="auto"/>
        </w:rPr>
        <w:t xml:space="preserve">UNFCC. (2015). </w:t>
      </w:r>
      <w:r w:rsidRPr="009B0448">
        <w:rPr>
          <w:rFonts w:ascii="Times New Roman" w:eastAsiaTheme="minorHAnsi" w:hAnsi="Times New Roman" w:cs="Times New Roman"/>
          <w:i/>
          <w:color w:val="auto"/>
        </w:rPr>
        <w:t>Paris agreement.</w:t>
      </w:r>
      <w:r w:rsidRPr="009B0448">
        <w:rPr>
          <w:rFonts w:ascii="Times New Roman" w:eastAsiaTheme="minorHAnsi" w:hAnsi="Times New Roman" w:cs="Times New Roman"/>
          <w:color w:val="auto"/>
        </w:rPr>
        <w:t xml:space="preserve"> Retrieved from </w:t>
      </w:r>
      <w:hyperlink r:id="rId1505" w:history="1">
        <w:r w:rsidRPr="009B0448">
          <w:rPr>
            <w:rStyle w:val="Hyperlink"/>
            <w:rFonts w:ascii="Times New Roman" w:eastAsiaTheme="minorHAnsi" w:hAnsi="Times New Roman" w:cs="Times New Roman"/>
          </w:rPr>
          <w:t>https://unfccc.int/files/essential_background/convention/application/pdf/english_paris_agreement.pdf</w:t>
        </w:r>
      </w:hyperlink>
    </w:p>
    <w:p w14:paraId="62F2389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UNFPA. (2001). </w:t>
      </w:r>
      <w:r w:rsidRPr="009B0448">
        <w:rPr>
          <w:rFonts w:ascii="Times New Roman" w:hAnsi="Times New Roman" w:cs="Times New Roman"/>
          <w:i/>
          <w:color w:val="auto"/>
        </w:rPr>
        <w:t>Population, environment, poverty linkages: Operational challenges. Population and development strategy series</w:t>
      </w:r>
      <w:r w:rsidRPr="009B0448">
        <w:rPr>
          <w:rFonts w:ascii="Times New Roman" w:hAnsi="Times New Roman" w:cs="Times New Roman"/>
          <w:color w:val="auto"/>
        </w:rPr>
        <w:t xml:space="preserve">. New York, USA: UNFPA. Retrieved from </w:t>
      </w:r>
      <w:hyperlink r:id="rId1506" w:history="1">
        <w:r w:rsidRPr="009B0448">
          <w:rPr>
            <w:rStyle w:val="Hyperlink"/>
            <w:rFonts w:ascii="Times New Roman" w:hAnsi="Times New Roman" w:cs="Times New Roman"/>
          </w:rPr>
          <w:t>http://www.un.org/esa/population/publications/concise2001/C2001English.pdf</w:t>
        </w:r>
      </w:hyperlink>
      <w:r w:rsidRPr="009B0448">
        <w:rPr>
          <w:rFonts w:ascii="Times New Roman" w:hAnsi="Times New Roman" w:cs="Times New Roman"/>
          <w:color w:val="auto"/>
        </w:rPr>
        <w:t xml:space="preserve">   </w:t>
      </w:r>
    </w:p>
    <w:p w14:paraId="0171C90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UNODC. (2016). </w:t>
      </w:r>
      <w:r w:rsidRPr="009B0448">
        <w:rPr>
          <w:rFonts w:ascii="Times New Roman" w:eastAsiaTheme="minorHAnsi" w:hAnsi="Times New Roman" w:cs="Times New Roman"/>
          <w:i/>
          <w:color w:val="auto"/>
        </w:rPr>
        <w:t>World wildlife crime report trafficking in protected species.</w:t>
      </w:r>
      <w:r w:rsidRPr="009B0448">
        <w:rPr>
          <w:rFonts w:ascii="Times New Roman" w:eastAsiaTheme="minorHAnsi" w:hAnsi="Times New Roman" w:cs="Times New Roman"/>
          <w:color w:val="auto"/>
        </w:rPr>
        <w:t xml:space="preserve"> New York, USA: UNODC. Retrieved from </w:t>
      </w:r>
      <w:hyperlink r:id="rId1507" w:history="1">
        <w:r w:rsidRPr="009B0448">
          <w:rPr>
            <w:rStyle w:val="Hyperlink"/>
            <w:rFonts w:ascii="Times New Roman" w:eastAsiaTheme="minorHAnsi" w:hAnsi="Times New Roman" w:cs="Times New Roman"/>
          </w:rPr>
          <w:t>https://www.unodc.org/documents/data-and-analysis/wildlife/World_Wildlife_Crime_Report_2016_final.pdf</w:t>
        </w:r>
      </w:hyperlink>
      <w:r w:rsidRPr="009B0448">
        <w:rPr>
          <w:rFonts w:ascii="Times New Roman" w:eastAsiaTheme="minorHAnsi" w:hAnsi="Times New Roman" w:cs="Times New Roman"/>
          <w:color w:val="auto"/>
        </w:rPr>
        <w:t xml:space="preserve"> </w:t>
      </w:r>
    </w:p>
    <w:p w14:paraId="0539F90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UN. (2014). </w:t>
      </w:r>
      <w:r w:rsidRPr="009B0448">
        <w:rPr>
          <w:rFonts w:ascii="Times New Roman" w:hAnsi="Times New Roman" w:cs="Times New Roman"/>
          <w:i/>
          <w:color w:val="auto"/>
        </w:rPr>
        <w:t>Contribution to the 2014 United Nations Edonomic and Social Council (ECOSOC) integrated segment</w:t>
      </w:r>
      <w:r w:rsidRPr="009B0448">
        <w:rPr>
          <w:rFonts w:ascii="Times New Roman" w:hAnsi="Times New Roman" w:cs="Times New Roman"/>
          <w:color w:val="auto"/>
        </w:rPr>
        <w:t xml:space="preserve">. Retrieved from </w:t>
      </w:r>
      <w:hyperlink r:id="rId1508" w:history="1">
        <w:r w:rsidRPr="009B0448">
          <w:rPr>
            <w:rStyle w:val="Hyperlink"/>
            <w:rFonts w:ascii="Times New Roman" w:hAnsi="Times New Roman" w:cs="Times New Roman"/>
          </w:rPr>
          <w:t>http://www.un.org/en/ecosoc/integration/2014/</w:t>
        </w:r>
      </w:hyperlink>
      <w:r w:rsidRPr="009B0448">
        <w:rPr>
          <w:rFonts w:ascii="Times New Roman" w:hAnsi="Times New Roman" w:cs="Times New Roman"/>
          <w:color w:val="auto"/>
        </w:rPr>
        <w:t xml:space="preserve"> </w:t>
      </w:r>
    </w:p>
    <w:p w14:paraId="1C1308BD" w14:textId="77777777" w:rsidR="009B0448" w:rsidRPr="009B0448" w:rsidRDefault="009B0448" w:rsidP="009B0448">
      <w:pPr>
        <w:autoSpaceDE w:val="0"/>
        <w:autoSpaceDN w:val="0"/>
        <w:adjustRightInd w:val="0"/>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shd w:val="clear" w:color="auto" w:fill="FFFFFF"/>
        </w:rPr>
        <w:t xml:space="preserve">UNECA. (2005). </w:t>
      </w:r>
      <w:r w:rsidRPr="009B0448">
        <w:rPr>
          <w:rFonts w:ascii="Times New Roman" w:hAnsi="Times New Roman" w:cs="Times New Roman"/>
          <w:i/>
          <w:color w:val="auto"/>
          <w:shd w:val="clear" w:color="auto" w:fill="FFFFFF"/>
        </w:rPr>
        <w:t>Survey of economic and social conditions in Africa</w:t>
      </w:r>
      <w:r w:rsidRPr="009B0448">
        <w:rPr>
          <w:rFonts w:ascii="Times New Roman" w:hAnsi="Times New Roman" w:cs="Times New Roman"/>
          <w:color w:val="auto"/>
          <w:shd w:val="clear" w:color="auto" w:fill="FFFFFF"/>
        </w:rPr>
        <w:t xml:space="preserve">. </w:t>
      </w:r>
      <w:r w:rsidRPr="009B0448">
        <w:rPr>
          <w:rFonts w:ascii="Times New Roman" w:hAnsi="Times New Roman" w:cs="Times New Roman"/>
          <w:color w:val="auto"/>
        </w:rPr>
        <w:t xml:space="preserve">Addis Ababa, Ethiopia: UNECA. Retrieved from </w:t>
      </w:r>
      <w:hyperlink r:id="rId1509" w:history="1">
        <w:r w:rsidRPr="009B0448">
          <w:rPr>
            <w:rStyle w:val="Hyperlink"/>
            <w:rFonts w:ascii="Times New Roman" w:hAnsi="Times New Roman" w:cs="Times New Roman"/>
          </w:rPr>
          <w:t>https://www.uneca.org/cfm2006/pages/survey-economic-social-conditions-africa</w:t>
        </w:r>
      </w:hyperlink>
      <w:r w:rsidRPr="009B0448">
        <w:rPr>
          <w:rFonts w:ascii="Times New Roman" w:hAnsi="Times New Roman" w:cs="Times New Roman"/>
          <w:color w:val="auto"/>
        </w:rPr>
        <w:t xml:space="preserve"> </w:t>
      </w:r>
    </w:p>
    <w:p w14:paraId="21430A6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USAID. (2014). </w:t>
      </w:r>
      <w:r w:rsidRPr="009B0448">
        <w:rPr>
          <w:rFonts w:ascii="Times New Roman" w:hAnsi="Times New Roman" w:cs="Times New Roman"/>
          <w:i/>
          <w:color w:val="auto"/>
        </w:rPr>
        <w:t>West Africa: Land-use and land cover dynamic</w:t>
      </w:r>
      <w:r w:rsidRPr="009B0448">
        <w:rPr>
          <w:rFonts w:ascii="Times New Roman" w:hAnsi="Times New Roman" w:cs="Times New Roman"/>
          <w:color w:val="auto"/>
        </w:rPr>
        <w:t xml:space="preserve">. USA: USAID. Retrieved from </w:t>
      </w:r>
      <w:hyperlink r:id="rId1510" w:history="1">
        <w:r w:rsidRPr="009B0448">
          <w:rPr>
            <w:rStyle w:val="Hyperlink"/>
            <w:rFonts w:ascii="Times New Roman" w:hAnsi="Times New Roman" w:cs="Times New Roman"/>
          </w:rPr>
          <w:t>https://eros.usgs.gov/westafrica/land-cover/deforestation-upper-guinean-forest</w:t>
        </w:r>
      </w:hyperlink>
      <w:r w:rsidRPr="009B0448">
        <w:rPr>
          <w:rFonts w:ascii="Times New Roman" w:hAnsi="Times New Roman" w:cs="Times New Roman"/>
          <w:color w:val="auto"/>
        </w:rPr>
        <w:t xml:space="preserve"> </w:t>
      </w:r>
    </w:p>
    <w:p w14:paraId="23F37790"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Valéry, L., Fritz, H., Lefeuvre, J-C., &amp; Simberloff, D. (2009). Invasive species can also be native. </w:t>
      </w:r>
      <w:r w:rsidRPr="009B0448">
        <w:rPr>
          <w:rFonts w:ascii="Times New Roman" w:eastAsiaTheme="minorHAnsi" w:hAnsi="Times New Roman" w:cs="Times New Roman"/>
          <w:i/>
          <w:color w:val="auto"/>
        </w:rPr>
        <w:t>Trends in Ecology and Evolution, 24</w:t>
      </w:r>
      <w:r w:rsidRPr="009B0448">
        <w:rPr>
          <w:rFonts w:ascii="Times New Roman" w:eastAsiaTheme="minorHAnsi" w:hAnsi="Times New Roman" w:cs="Times New Roman"/>
          <w:color w:val="auto"/>
        </w:rPr>
        <w:t xml:space="preserve">(11), 585. </w:t>
      </w:r>
      <w:hyperlink r:id="rId1511" w:history="1">
        <w:r w:rsidRPr="009B0448">
          <w:rPr>
            <w:rStyle w:val="Hyperlink"/>
            <w:rFonts w:ascii="Times New Roman" w:eastAsiaTheme="minorHAnsi" w:hAnsi="Times New Roman" w:cs="Times New Roman"/>
          </w:rPr>
          <w:t>https://doi.org/10.1016/j.tree.2009.07.003</w:t>
        </w:r>
      </w:hyperlink>
    </w:p>
    <w:p w14:paraId="4E3E927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Van Aardt, W. J., &amp; Erdmann, R. (2004). </w:t>
      </w:r>
      <w:r w:rsidRPr="009B0448">
        <w:rPr>
          <w:rFonts w:ascii="Times New Roman" w:hAnsi="Times New Roman" w:cs="Times New Roman"/>
          <w:color w:val="auto"/>
        </w:rPr>
        <w:t xml:space="preserve">Heavy metals (Cd, Pb, Cu, Zn) in mudfish and sediments from three hard-water dams of the Mooi River catchment, South Africa. </w:t>
      </w:r>
      <w:r w:rsidRPr="009B0448">
        <w:rPr>
          <w:rFonts w:ascii="Times New Roman" w:hAnsi="Times New Roman" w:cs="Times New Roman"/>
          <w:i/>
          <w:color w:val="auto"/>
        </w:rPr>
        <w:t>Water South Africa, 30</w:t>
      </w:r>
      <w:r w:rsidRPr="009B0448">
        <w:rPr>
          <w:rFonts w:ascii="Times New Roman" w:hAnsi="Times New Roman" w:cs="Times New Roman"/>
          <w:color w:val="auto"/>
        </w:rPr>
        <w:t>(2), 211-218.</w:t>
      </w:r>
      <w:r w:rsidRPr="009B0448">
        <w:rPr>
          <w:rFonts w:ascii="Times New Roman" w:hAnsi="Times New Roman" w:cs="Times New Roman"/>
        </w:rPr>
        <w:t xml:space="preserve"> </w:t>
      </w:r>
      <w:hyperlink r:id="rId1512" w:history="1">
        <w:r w:rsidRPr="009B0448">
          <w:rPr>
            <w:rStyle w:val="Hyperlink"/>
            <w:rFonts w:ascii="Times New Roman" w:hAnsi="Times New Roman" w:cs="Times New Roman"/>
          </w:rPr>
          <w:t>https://doi.org/10.4314/wsa.v30i2.5066</w:t>
        </w:r>
      </w:hyperlink>
    </w:p>
    <w:p w14:paraId="518685F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en-US"/>
        </w:rPr>
        <w:t xml:space="preserve">van der Hoeven, C. A., &amp; Prins, H. H. T. (2007). </w:t>
      </w:r>
      <w:r w:rsidRPr="009B0448">
        <w:rPr>
          <w:rFonts w:ascii="Times New Roman" w:hAnsi="Times New Roman" w:cs="Times New Roman"/>
          <w:i/>
          <w:color w:val="auto"/>
        </w:rPr>
        <w:t>Invasive plant species threatens gorilla in equatorial Africa</w:t>
      </w:r>
      <w:r w:rsidRPr="009B0448">
        <w:rPr>
          <w:rFonts w:ascii="Times New Roman" w:hAnsi="Times New Roman" w:cs="Times New Roman"/>
          <w:color w:val="auto"/>
        </w:rPr>
        <w:t xml:space="preserve">. (Doctoral dissertation). Retrieved from Wageningen University, the Netherlands. </w:t>
      </w:r>
    </w:p>
    <w:p w14:paraId="30CE078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van der Werf, G. R., Randerson, J. T., Giglio, L., Collatz, G. J., Mu, M., Kasibhatla, P. S., Morton, D. C., DeFries, R. S., Jin, Y., &amp; van Leeuwen, T. T. (2010). </w:t>
      </w:r>
      <w:r w:rsidRPr="009B0448">
        <w:rPr>
          <w:rFonts w:ascii="Times New Roman" w:hAnsi="Times New Roman" w:cs="Times New Roman"/>
          <w:color w:val="auto"/>
        </w:rPr>
        <w:t>Global fire emissions and the contribution of deforestation, savanna, forest, agricultural, and peat fires (1997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2009). </w:t>
      </w:r>
      <w:r w:rsidRPr="009B0448">
        <w:rPr>
          <w:rFonts w:ascii="Times New Roman" w:hAnsi="Times New Roman" w:cs="Times New Roman"/>
          <w:i/>
          <w:iCs/>
          <w:color w:val="auto"/>
        </w:rPr>
        <w:t>Atmospheric Chemistry and Physics</w:t>
      </w:r>
      <w:r w:rsidRPr="009B0448">
        <w:rPr>
          <w:rFonts w:ascii="Times New Roman" w:hAnsi="Times New Roman" w:cs="Times New Roman"/>
          <w:color w:val="auto"/>
        </w:rPr>
        <w:t xml:space="preserve">, </w:t>
      </w:r>
      <w:r w:rsidRPr="009B0448">
        <w:rPr>
          <w:rFonts w:ascii="Times New Roman" w:hAnsi="Times New Roman" w:cs="Times New Roman"/>
          <w:i/>
          <w:iCs/>
          <w:color w:val="auto"/>
        </w:rPr>
        <w:t>10</w:t>
      </w:r>
      <w:r w:rsidRPr="009B0448">
        <w:rPr>
          <w:rFonts w:ascii="Times New Roman" w:hAnsi="Times New Roman" w:cs="Times New Roman"/>
          <w:color w:val="auto"/>
        </w:rPr>
        <w:t>, 16153</w:t>
      </w:r>
      <w:r w:rsidRPr="009B0448">
        <w:rPr>
          <w:rFonts w:ascii="Times New Roman" w:eastAsiaTheme="minorHAnsi" w:hAnsi="Times New Roman" w:cs="Times New Roman"/>
          <w:color w:val="auto"/>
        </w:rPr>
        <w:t>–</w:t>
      </w:r>
      <w:r w:rsidRPr="009B0448">
        <w:rPr>
          <w:rFonts w:ascii="Times New Roman" w:hAnsi="Times New Roman" w:cs="Times New Roman"/>
          <w:color w:val="auto"/>
        </w:rPr>
        <w:t>16230.</w:t>
      </w:r>
      <w:r w:rsidRPr="009B0448">
        <w:rPr>
          <w:rFonts w:ascii="Times New Roman" w:hAnsi="Times New Roman" w:cs="Times New Roman"/>
        </w:rPr>
        <w:t xml:space="preserve"> </w:t>
      </w:r>
      <w:hyperlink r:id="rId1513" w:history="1">
        <w:r w:rsidRPr="009B0448">
          <w:rPr>
            <w:rStyle w:val="Hyperlink"/>
            <w:rFonts w:ascii="Times New Roman" w:hAnsi="Times New Roman" w:cs="Times New Roman"/>
          </w:rPr>
          <w:t>https://doi.org/10.5194/acp-10-11707-2010</w:t>
        </w:r>
      </w:hyperlink>
      <w:r w:rsidRPr="009B0448">
        <w:rPr>
          <w:rFonts w:ascii="Times New Roman" w:hAnsi="Times New Roman" w:cs="Times New Roman"/>
          <w:color w:val="auto"/>
        </w:rPr>
        <w:t xml:space="preserve"> </w:t>
      </w:r>
    </w:p>
    <w:p w14:paraId="6B03CC1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van Kerckhoven, G., Mert, A., &amp; De Ru, J. (2014). Treatment of vertigo and postural instability using visual illusions. </w:t>
      </w:r>
      <w:r w:rsidRPr="009B0448">
        <w:rPr>
          <w:rFonts w:ascii="Times New Roman" w:hAnsi="Times New Roman" w:cs="Times New Roman"/>
          <w:i/>
          <w:color w:val="auto"/>
        </w:rPr>
        <w:t>Journal of Laryngology and Otology. 128</w:t>
      </w:r>
      <w:r w:rsidRPr="009B0448">
        <w:rPr>
          <w:rFonts w:ascii="Times New Roman" w:hAnsi="Times New Roman" w:cs="Times New Roman"/>
          <w:color w:val="auto"/>
        </w:rPr>
        <w:t>, 1</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3. </w:t>
      </w:r>
      <w:hyperlink r:id="rId1514" w:history="1">
        <w:r w:rsidRPr="009B0448">
          <w:rPr>
            <w:rStyle w:val="Hyperlink"/>
            <w:rFonts w:ascii="Times New Roman" w:hAnsi="Times New Roman" w:cs="Times New Roman"/>
          </w:rPr>
          <w:t>https://doi.org/10.1017/S0022215114002254</w:t>
        </w:r>
      </w:hyperlink>
      <w:r w:rsidRPr="009B0448">
        <w:rPr>
          <w:rFonts w:ascii="Times New Roman" w:hAnsi="Times New Roman" w:cs="Times New Roman"/>
          <w:color w:val="auto"/>
        </w:rPr>
        <w:t xml:space="preserve">  </w:t>
      </w:r>
    </w:p>
    <w:p w14:paraId="0BB9667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van Ginkel, C. E. (2011). Eutrophication: Present reality and future challenges for South Africa. </w:t>
      </w:r>
      <w:r w:rsidRPr="009B0448">
        <w:rPr>
          <w:rFonts w:ascii="Times New Roman" w:hAnsi="Times New Roman" w:cs="Times New Roman"/>
          <w:i/>
          <w:color w:val="auto"/>
        </w:rPr>
        <w:t>Water South Africa, 37</w:t>
      </w:r>
      <w:r w:rsidRPr="009B0448">
        <w:rPr>
          <w:rFonts w:ascii="Times New Roman" w:hAnsi="Times New Roman" w:cs="Times New Roman"/>
          <w:color w:val="auto"/>
        </w:rPr>
        <w:t>(5), 693</w:t>
      </w:r>
      <w:r w:rsidRPr="009B0448">
        <w:rPr>
          <w:rFonts w:ascii="Times New Roman" w:eastAsiaTheme="minorHAnsi" w:hAnsi="Times New Roman" w:cs="Times New Roman"/>
          <w:color w:val="auto"/>
        </w:rPr>
        <w:t>–</w:t>
      </w:r>
      <w:r w:rsidRPr="009B0448">
        <w:rPr>
          <w:rFonts w:ascii="Times New Roman" w:hAnsi="Times New Roman" w:cs="Times New Roman"/>
          <w:color w:val="auto"/>
        </w:rPr>
        <w:t>701.</w:t>
      </w:r>
      <w:r w:rsidRPr="009B0448">
        <w:rPr>
          <w:rFonts w:ascii="Times New Roman" w:hAnsi="Times New Roman" w:cs="Times New Roman"/>
        </w:rPr>
        <w:t xml:space="preserve"> </w:t>
      </w:r>
      <w:hyperlink r:id="rId1515" w:history="1">
        <w:r w:rsidRPr="009B0448">
          <w:rPr>
            <w:rStyle w:val="Hyperlink"/>
            <w:rFonts w:ascii="Times New Roman" w:hAnsi="Times New Roman" w:cs="Times New Roman"/>
          </w:rPr>
          <w:t>https://doi.org/10.4314/wsa.v37i5.6</w:t>
        </w:r>
      </w:hyperlink>
      <w:r w:rsidRPr="009B0448">
        <w:rPr>
          <w:rFonts w:ascii="Times New Roman" w:hAnsi="Times New Roman" w:cs="Times New Roman"/>
          <w:color w:val="auto"/>
        </w:rPr>
        <w:t xml:space="preserve"> </w:t>
      </w:r>
    </w:p>
    <w:p w14:paraId="629CFAC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van Noorden, R. (2016). Worst year ever for rhino poaching in Africa. </w:t>
      </w:r>
      <w:r w:rsidRPr="009B0448">
        <w:rPr>
          <w:rFonts w:ascii="Times New Roman" w:eastAsiaTheme="minorHAnsi" w:hAnsi="Times New Roman" w:cs="Times New Roman"/>
          <w:i/>
          <w:color w:val="auto"/>
        </w:rPr>
        <w:t>Nature News</w:t>
      </w:r>
      <w:r w:rsidRPr="009B0448">
        <w:rPr>
          <w:rFonts w:ascii="Times New Roman" w:eastAsiaTheme="minorHAnsi" w:hAnsi="Times New Roman" w:cs="Times New Roman"/>
          <w:color w:val="auto"/>
        </w:rPr>
        <w:t xml:space="preserve">. </w:t>
      </w:r>
      <w:hyperlink r:id="rId1516" w:history="1">
        <w:r w:rsidRPr="009B0448">
          <w:rPr>
            <w:rStyle w:val="Hyperlink"/>
            <w:rFonts w:ascii="Times New Roman" w:eastAsiaTheme="minorHAnsi" w:hAnsi="Times New Roman" w:cs="Times New Roman"/>
          </w:rPr>
          <w:t>https://doi.org/10.1038/nature.2016.19225</w:t>
        </w:r>
      </w:hyperlink>
      <w:r w:rsidRPr="009B0448">
        <w:rPr>
          <w:rFonts w:ascii="Times New Roman" w:eastAsiaTheme="minorHAnsi" w:hAnsi="Times New Roman" w:cs="Times New Roman"/>
          <w:color w:val="auto"/>
        </w:rPr>
        <w:t xml:space="preserve"> </w:t>
      </w:r>
    </w:p>
    <w:p w14:paraId="3B4EC2A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en-US"/>
        </w:rPr>
        <w:t xml:space="preserve">van Velzen, R., Wahlberg, N., Sosef, M. S. M., &amp; Bakker, F. T. (2013). </w:t>
      </w:r>
      <w:r w:rsidRPr="009B0448">
        <w:rPr>
          <w:rFonts w:ascii="Times New Roman" w:hAnsi="Times New Roman" w:cs="Times New Roman"/>
          <w:color w:val="auto"/>
        </w:rPr>
        <w:t xml:space="preserve">Effects of changing climate on species diversification in tropical forest butterflies of the genus </w:t>
      </w:r>
      <w:r w:rsidRPr="009B0448">
        <w:rPr>
          <w:rFonts w:ascii="Times New Roman" w:hAnsi="Times New Roman" w:cs="Times New Roman"/>
          <w:i/>
          <w:color w:val="auto"/>
        </w:rPr>
        <w:t>Cymothoe</w:t>
      </w:r>
      <w:r w:rsidRPr="009B0448">
        <w:rPr>
          <w:rFonts w:ascii="Times New Roman" w:hAnsi="Times New Roman" w:cs="Times New Roman"/>
          <w:color w:val="auto"/>
        </w:rPr>
        <w:t xml:space="preserve"> (Lepidoptera: Nymphalidae). </w:t>
      </w:r>
      <w:r w:rsidRPr="009B0448">
        <w:rPr>
          <w:rFonts w:ascii="Times New Roman" w:hAnsi="Times New Roman" w:cs="Times New Roman"/>
          <w:i/>
          <w:color w:val="auto"/>
        </w:rPr>
        <w:t xml:space="preserve">Biological Journal of the Linnean Society 108, </w:t>
      </w:r>
      <w:r w:rsidRPr="009B0448">
        <w:rPr>
          <w:rFonts w:ascii="Times New Roman" w:hAnsi="Times New Roman" w:cs="Times New Roman"/>
          <w:color w:val="auto"/>
        </w:rPr>
        <w:t>546</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564. </w:t>
      </w:r>
      <w:hyperlink r:id="rId1517" w:history="1">
        <w:r w:rsidRPr="009B0448">
          <w:rPr>
            <w:rStyle w:val="Hyperlink"/>
            <w:rFonts w:ascii="Times New Roman" w:hAnsi="Times New Roman" w:cs="Times New Roman"/>
          </w:rPr>
          <w:t>https://doi.org/10.1111/bij.12012</w:t>
        </w:r>
      </w:hyperlink>
      <w:r w:rsidRPr="009B0448">
        <w:rPr>
          <w:rFonts w:ascii="Times New Roman" w:hAnsi="Times New Roman" w:cs="Times New Roman"/>
          <w:color w:val="auto"/>
        </w:rPr>
        <w:t xml:space="preserve"> </w:t>
      </w:r>
    </w:p>
    <w:p w14:paraId="578E1FE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van Vliet, N. (2012). </w:t>
      </w:r>
      <w:r w:rsidRPr="009B0448">
        <w:rPr>
          <w:rFonts w:ascii="Times New Roman" w:hAnsi="Times New Roman" w:cs="Times New Roman"/>
          <w:i/>
          <w:color w:val="auto"/>
        </w:rPr>
        <w:t>Livelihood alternatives for the unsustainable use of bushmeat</w:t>
      </w:r>
      <w:r w:rsidRPr="009B0448">
        <w:rPr>
          <w:rFonts w:ascii="Times New Roman" w:hAnsi="Times New Roman" w:cs="Times New Roman"/>
          <w:color w:val="auto"/>
        </w:rPr>
        <w:t>. Montreal, Canada: Secretariat of the Convention on Biological Diversity. Retrieved from</w:t>
      </w:r>
      <w:r w:rsidRPr="009B0448">
        <w:rPr>
          <w:rFonts w:ascii="Times New Roman" w:hAnsi="Times New Roman" w:cs="Times New Roman"/>
        </w:rPr>
        <w:t xml:space="preserve"> </w:t>
      </w:r>
      <w:hyperlink r:id="rId1518" w:history="1">
        <w:r w:rsidRPr="009B0448">
          <w:rPr>
            <w:rStyle w:val="Hyperlink"/>
            <w:rFonts w:ascii="Times New Roman" w:hAnsi="Times New Roman" w:cs="Times New Roman"/>
          </w:rPr>
          <w:t>https://www.cbd.int/doc/publications/cbd-ts-60-en.pdf</w:t>
        </w:r>
      </w:hyperlink>
      <w:r w:rsidRPr="009B0448">
        <w:rPr>
          <w:rFonts w:ascii="Times New Roman" w:hAnsi="Times New Roman" w:cs="Times New Roman"/>
          <w:color w:val="auto"/>
        </w:rPr>
        <w:t xml:space="preserve"> </w:t>
      </w:r>
    </w:p>
    <w:p w14:paraId="026B240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van Wilgen, B. W., Richardson, D. M., Le Maitre, D. C., Marais, C., &amp; Magadlela, D. (2001). The economic consequences of alien plant invasions: Examples of impacts and approaches to sustainable management in South Africa. </w:t>
      </w:r>
      <w:r w:rsidRPr="009B0448">
        <w:rPr>
          <w:rFonts w:ascii="Times New Roman" w:hAnsi="Times New Roman" w:cs="Times New Roman"/>
          <w:i/>
          <w:color w:val="auto"/>
        </w:rPr>
        <w:t>Environment, Development and Sustainability, 3</w:t>
      </w:r>
      <w:r w:rsidRPr="009B0448">
        <w:rPr>
          <w:rFonts w:ascii="Times New Roman" w:hAnsi="Times New Roman" w:cs="Times New Roman"/>
          <w:color w:val="auto"/>
        </w:rPr>
        <w:t>(2), 145</w:t>
      </w:r>
      <w:r w:rsidRPr="009B0448">
        <w:rPr>
          <w:rFonts w:ascii="Times New Roman" w:eastAsiaTheme="minorHAnsi" w:hAnsi="Times New Roman" w:cs="Times New Roman"/>
          <w:color w:val="auto"/>
        </w:rPr>
        <w:t>–</w:t>
      </w:r>
      <w:r w:rsidRPr="009B0448">
        <w:rPr>
          <w:rFonts w:ascii="Times New Roman" w:hAnsi="Times New Roman" w:cs="Times New Roman"/>
          <w:color w:val="auto"/>
        </w:rPr>
        <w:t>168.</w:t>
      </w:r>
      <w:r w:rsidRPr="009B0448">
        <w:rPr>
          <w:rFonts w:ascii="Times New Roman" w:hAnsi="Times New Roman" w:cs="Times New Roman"/>
        </w:rPr>
        <w:t xml:space="preserve"> </w:t>
      </w:r>
      <w:hyperlink r:id="rId1519" w:history="1">
        <w:r w:rsidRPr="009B0448">
          <w:rPr>
            <w:rStyle w:val="Hyperlink"/>
            <w:rFonts w:ascii="Times New Roman" w:hAnsi="Times New Roman" w:cs="Times New Roman"/>
          </w:rPr>
          <w:t>https://doi.org/10.1023/A:1011668417953</w:t>
        </w:r>
      </w:hyperlink>
      <w:r w:rsidRPr="009B0448">
        <w:rPr>
          <w:rFonts w:ascii="Times New Roman" w:hAnsi="Times New Roman" w:cs="Times New Roman"/>
          <w:color w:val="auto"/>
        </w:rPr>
        <w:t xml:space="preserve"> </w:t>
      </w:r>
    </w:p>
    <w:p w14:paraId="6352207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Vaselli, O., Tassi, F., Tedesco, D., Cuoco, E., Nisi, B., &amp; Yalire, M. M. (2008). Environmental impact of the Nyiragongo volcanic plume after the January 2002 eruption. </w:t>
      </w:r>
      <w:r w:rsidRPr="009B0448">
        <w:rPr>
          <w:rFonts w:ascii="Times New Roman" w:hAnsi="Times New Roman" w:cs="Times New Roman"/>
          <w:i/>
          <w:color w:val="auto"/>
        </w:rPr>
        <w:t>Active Volcanism &amp; Continental Rifting, Virunga, North Kivu</w:t>
      </w:r>
      <w:r w:rsidRPr="009B0448">
        <w:rPr>
          <w:rFonts w:ascii="Times New Roman" w:hAnsi="Times New Roman" w:cs="Times New Roman"/>
          <w:color w:val="auto"/>
        </w:rPr>
        <w:t>, 97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105. Retrieved from </w:t>
      </w:r>
      <w:hyperlink r:id="rId1520" w:history="1">
        <w:r w:rsidRPr="009B0448">
          <w:rPr>
            <w:rStyle w:val="Hyperlink"/>
            <w:rFonts w:ascii="Times New Roman" w:hAnsi="Times New Roman" w:cs="Times New Roman"/>
          </w:rPr>
          <w:t>http://hdl.handle.net/11591/173498</w:t>
        </w:r>
      </w:hyperlink>
      <w:r w:rsidRPr="009B0448">
        <w:rPr>
          <w:rFonts w:ascii="Times New Roman" w:hAnsi="Times New Roman" w:cs="Times New Roman"/>
          <w:color w:val="auto"/>
        </w:rPr>
        <w:t xml:space="preserve"> </w:t>
      </w:r>
    </w:p>
    <w:p w14:paraId="60B3919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Vegter, A. C., Barletta, M., Beck, C., Borrero, J., Burton, H., Campbell, M. L., Costa, M. F., </w:t>
      </w:r>
      <w:r w:rsidRPr="009B0448">
        <w:rPr>
          <w:rFonts w:ascii="Times New Roman" w:hAnsi="Times New Roman" w:cs="Times New Roman"/>
          <w:color w:val="auto"/>
        </w:rPr>
        <w:t>Eriksen, M., Estrades, A., Gilardi, K. V. K., Hardesty, B. D., Ivar do Sul, J. A., Lavers, J. L., Lazar, B., Lebreton, L., Nichols, W. J., Ribic, C. A., Ryan, P. G., Schuyler, Q. A., Smith, S. D. A., Takada, H., Townsend, C. C. C., Wilcox, C., Young, L. C., &amp;</w:t>
      </w:r>
      <w:r w:rsidRPr="009B0448">
        <w:rPr>
          <w:rFonts w:ascii="Times New Roman" w:eastAsiaTheme="minorHAnsi" w:hAnsi="Times New Roman" w:cs="Times New Roman"/>
          <w:color w:val="auto"/>
        </w:rPr>
        <w:t xml:space="preserve"> Hamann, M. (2014). Global research priorities to mitigate plastic pollution impacts on marine wildlife. </w:t>
      </w:r>
      <w:r w:rsidRPr="009B0448">
        <w:rPr>
          <w:rFonts w:ascii="Times New Roman" w:eastAsiaTheme="minorHAnsi" w:hAnsi="Times New Roman" w:cs="Times New Roman"/>
          <w:i/>
          <w:color w:val="auto"/>
        </w:rPr>
        <w:t>Endangered Species Research, 25</w:t>
      </w:r>
      <w:r w:rsidRPr="009B0448">
        <w:rPr>
          <w:rFonts w:ascii="Times New Roman" w:eastAsiaTheme="minorHAnsi" w:hAnsi="Times New Roman" w:cs="Times New Roman"/>
          <w:color w:val="auto"/>
        </w:rPr>
        <w:t xml:space="preserve">, 225–247. </w:t>
      </w:r>
      <w:hyperlink r:id="rId1521" w:history="1">
        <w:r w:rsidRPr="009B0448">
          <w:rPr>
            <w:rStyle w:val="Hyperlink"/>
            <w:rFonts w:ascii="Times New Roman" w:eastAsiaTheme="minorHAnsi" w:hAnsi="Times New Roman" w:cs="Times New Roman"/>
          </w:rPr>
          <w:t>https://doi.org/10.3354/esr00623</w:t>
        </w:r>
      </w:hyperlink>
      <w:r w:rsidRPr="009B0448">
        <w:rPr>
          <w:rFonts w:ascii="Times New Roman" w:eastAsiaTheme="minorHAnsi" w:hAnsi="Times New Roman" w:cs="Times New Roman"/>
          <w:color w:val="auto"/>
        </w:rPr>
        <w:t xml:space="preserve"> </w:t>
      </w:r>
    </w:p>
    <w:p w14:paraId="63E4B54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Vermeulen, S., &amp; Cotula, L. (2010). </w:t>
      </w:r>
      <w:r w:rsidRPr="009B0448">
        <w:rPr>
          <w:rFonts w:ascii="Times New Roman" w:hAnsi="Times New Roman" w:cs="Times New Roman"/>
          <w:i/>
          <w:color w:val="auto"/>
        </w:rPr>
        <w:t>Making the most of agricultural investment: A survey of business models that provide opportunities for smallholders</w:t>
      </w:r>
      <w:r w:rsidRPr="009B0448">
        <w:rPr>
          <w:rFonts w:ascii="Times New Roman" w:hAnsi="Times New Roman" w:cs="Times New Roman"/>
          <w:color w:val="auto"/>
        </w:rPr>
        <w:t xml:space="preserve">. Rome, Italy: FAO. Etrieved from </w:t>
      </w:r>
      <w:hyperlink r:id="rId1522" w:history="1">
        <w:r w:rsidRPr="009B0448">
          <w:rPr>
            <w:rStyle w:val="Hyperlink"/>
            <w:rFonts w:ascii="Times New Roman" w:hAnsi="Times New Roman" w:cs="Times New Roman"/>
          </w:rPr>
          <w:t>https://www.ifad.org/documents/10180/a314bc61-46ff-4df0-be1a-a9cc9ad1b3e9</w:t>
        </w:r>
      </w:hyperlink>
      <w:r w:rsidRPr="009B0448">
        <w:rPr>
          <w:rFonts w:ascii="Times New Roman" w:hAnsi="Times New Roman" w:cs="Times New Roman"/>
          <w:color w:val="auto"/>
        </w:rPr>
        <w:t xml:space="preserve"> </w:t>
      </w:r>
    </w:p>
    <w:p w14:paraId="580B4ED1"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Villamayor, J., &amp; Mohino, E. (2015). Robust Sahel drought due to the interdecadal Pacific oscillation in CMIP5 simulations. </w:t>
      </w:r>
      <w:r w:rsidRPr="009B0448">
        <w:rPr>
          <w:rFonts w:ascii="Times New Roman" w:eastAsiaTheme="minorHAnsi" w:hAnsi="Times New Roman" w:cs="Times New Roman"/>
          <w:i/>
          <w:color w:val="auto"/>
        </w:rPr>
        <w:t>Geophysical Research Letters, 42</w:t>
      </w:r>
      <w:r w:rsidRPr="009B0448">
        <w:rPr>
          <w:rFonts w:ascii="Times New Roman" w:eastAsiaTheme="minorHAnsi" w:hAnsi="Times New Roman" w:cs="Times New Roman"/>
          <w:color w:val="auto"/>
        </w:rPr>
        <w:t xml:space="preserve">(4), 1214–1222. </w:t>
      </w:r>
      <w:hyperlink r:id="rId1523" w:history="1">
        <w:r w:rsidRPr="009B0448">
          <w:rPr>
            <w:rStyle w:val="Hyperlink"/>
            <w:rFonts w:ascii="Times New Roman" w:eastAsiaTheme="minorHAnsi" w:hAnsi="Times New Roman" w:cs="Times New Roman"/>
          </w:rPr>
          <w:t>https://doi.org/10.1002/2014GL062473</w:t>
        </w:r>
      </w:hyperlink>
      <w:r w:rsidRPr="009B0448">
        <w:rPr>
          <w:rFonts w:ascii="Times New Roman" w:eastAsiaTheme="minorHAnsi" w:hAnsi="Times New Roman" w:cs="Times New Roman"/>
          <w:color w:val="auto"/>
        </w:rPr>
        <w:t xml:space="preserve"> </w:t>
      </w:r>
    </w:p>
    <w:p w14:paraId="44DB829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Vollmer, M. K., Bootsma, H. A., Hecky, R. E., Petterson, G., Halfman, J. D., Edmond, J. M., &amp; Weiss, R. F. (2005). Deep</w:t>
      </w:r>
      <w:r w:rsidRPr="009B0448">
        <w:rPr>
          <w:rFonts w:ascii="Cambria Math" w:hAnsi="Cambria Math" w:cs="Cambria Math"/>
          <w:color w:val="auto"/>
        </w:rPr>
        <w:t>‐</w:t>
      </w:r>
      <w:r w:rsidRPr="009B0448">
        <w:rPr>
          <w:rFonts w:ascii="Times New Roman" w:hAnsi="Times New Roman" w:cs="Times New Roman"/>
          <w:color w:val="auto"/>
        </w:rPr>
        <w:t xml:space="preserve">water warming trend in Lake Malawi, East Africa. </w:t>
      </w:r>
      <w:r w:rsidRPr="009B0448">
        <w:rPr>
          <w:rFonts w:ascii="Times New Roman" w:hAnsi="Times New Roman" w:cs="Times New Roman"/>
          <w:i/>
          <w:color w:val="auto"/>
        </w:rPr>
        <w:t>Limnology and Oceanography, 50</w:t>
      </w:r>
      <w:r w:rsidRPr="009B0448">
        <w:rPr>
          <w:rFonts w:ascii="Times New Roman" w:hAnsi="Times New Roman" w:cs="Times New Roman"/>
          <w:color w:val="auto"/>
        </w:rPr>
        <w:t>(2), 727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732. </w:t>
      </w:r>
      <w:hyperlink r:id="rId1524" w:history="1">
        <w:r w:rsidRPr="009B0448">
          <w:rPr>
            <w:rStyle w:val="Hyperlink"/>
            <w:rFonts w:ascii="Times New Roman" w:hAnsi="Times New Roman" w:cs="Times New Roman"/>
          </w:rPr>
          <w:t>https://doi.org/10.4319/lo.2005.50.2.072</w:t>
        </w:r>
      </w:hyperlink>
      <w:r w:rsidRPr="009B0448">
        <w:rPr>
          <w:rFonts w:ascii="Times New Roman" w:hAnsi="Times New Roman" w:cs="Times New Roman"/>
          <w:color w:val="auto"/>
        </w:rPr>
        <w:t xml:space="preserve"> </w:t>
      </w:r>
    </w:p>
    <w:p w14:paraId="342DAC7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en-US"/>
        </w:rPr>
        <w:t xml:space="preserve">von Maltitz, G. P., Scholes, R. J. Erasmus, B., &amp; Letsoalo, A. (2007). </w:t>
      </w:r>
      <w:r w:rsidRPr="009B0448">
        <w:rPr>
          <w:rFonts w:ascii="Times New Roman" w:hAnsi="Times New Roman" w:cs="Times New Roman"/>
          <w:color w:val="auto"/>
        </w:rPr>
        <w:t>Adapting conservation strategies to accommodate climate change impacts in southern Africa. In N. Leary, J. Adejuwon, V. Barros, I. Burton, J. Kulkarni, &amp; R. Lasco (Eds.), C</w:t>
      </w:r>
      <w:r w:rsidRPr="009B0448">
        <w:rPr>
          <w:rFonts w:ascii="Times New Roman" w:hAnsi="Times New Roman" w:cs="Times New Roman"/>
          <w:i/>
          <w:color w:val="auto"/>
        </w:rPr>
        <w:t xml:space="preserve">limate change and adaptation </w:t>
      </w:r>
      <w:r w:rsidRPr="009B0448">
        <w:rPr>
          <w:rFonts w:ascii="Times New Roman" w:hAnsi="Times New Roman" w:cs="Times New Roman"/>
          <w:color w:val="auto"/>
        </w:rPr>
        <w:t>(pp. 1</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27). London: Earthscan. Retrieved from </w:t>
      </w:r>
      <w:hyperlink r:id="rId1525" w:history="1">
        <w:r w:rsidRPr="009B0448">
          <w:rPr>
            <w:rStyle w:val="Hyperlink"/>
            <w:rFonts w:ascii="Times New Roman" w:hAnsi="Times New Roman" w:cs="Times New Roman"/>
          </w:rPr>
          <w:t>https://start.org/wp-content/uploads/AIACCsummary.pdf</w:t>
        </w:r>
      </w:hyperlink>
      <w:r w:rsidRPr="009B0448">
        <w:rPr>
          <w:rFonts w:ascii="Times New Roman" w:hAnsi="Times New Roman" w:cs="Times New Roman"/>
          <w:color w:val="auto"/>
        </w:rPr>
        <w:t xml:space="preserve"> </w:t>
      </w:r>
    </w:p>
    <w:p w14:paraId="573DB09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en-US"/>
        </w:rPr>
        <w:t xml:space="preserve">von Maltitz, G., &amp; Stafford, W. (2011). </w:t>
      </w:r>
      <w:r w:rsidRPr="009B0448">
        <w:rPr>
          <w:rFonts w:ascii="Times New Roman" w:hAnsi="Times New Roman" w:cs="Times New Roman"/>
          <w:i/>
          <w:color w:val="auto"/>
        </w:rPr>
        <w:t>Assessing opportunities and constraints for biofuels development in sub-Saharan Africa</w:t>
      </w:r>
      <w:r w:rsidRPr="009B0448">
        <w:rPr>
          <w:rFonts w:ascii="Times New Roman" w:hAnsi="Times New Roman" w:cs="Times New Roman"/>
          <w:color w:val="auto"/>
        </w:rPr>
        <w:t xml:space="preserve">. Bogor, Indonesia: CIFOR. </w:t>
      </w:r>
      <w:hyperlink r:id="rId1526" w:history="1">
        <w:r w:rsidRPr="009B0448">
          <w:rPr>
            <w:rStyle w:val="Hyperlink"/>
            <w:rFonts w:ascii="Times New Roman" w:hAnsi="Times New Roman" w:cs="Times New Roman"/>
          </w:rPr>
          <w:t>https://doi.org/10.17528/cifor/003489</w:t>
        </w:r>
      </w:hyperlink>
      <w:r w:rsidRPr="009B0448">
        <w:rPr>
          <w:rFonts w:ascii="Times New Roman" w:hAnsi="Times New Roman" w:cs="Times New Roman"/>
          <w:color w:val="auto"/>
        </w:rPr>
        <w:t xml:space="preserve"> </w:t>
      </w:r>
    </w:p>
    <w:p w14:paraId="74AB56A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von Maltitz, G. P., &amp; Setzkorn, K. (2012). </w:t>
      </w:r>
      <w:r w:rsidRPr="009B0448">
        <w:rPr>
          <w:rFonts w:ascii="Times New Roman" w:hAnsi="Times New Roman" w:cs="Times New Roman"/>
          <w:color w:val="auto"/>
        </w:rPr>
        <w:t xml:space="preserve">Potential impacts of biofuels on deforestation in Southern Africa. </w:t>
      </w:r>
      <w:r w:rsidRPr="009B0448">
        <w:rPr>
          <w:rFonts w:ascii="Times New Roman" w:hAnsi="Times New Roman" w:cs="Times New Roman"/>
          <w:i/>
          <w:color w:val="auto"/>
        </w:rPr>
        <w:t>Journal of Sustainable Forestry, 31(1-2),</w:t>
      </w:r>
      <w:r w:rsidRPr="009B0448">
        <w:rPr>
          <w:rFonts w:ascii="Times New Roman" w:hAnsi="Times New Roman" w:cs="Times New Roman"/>
          <w:color w:val="auto"/>
        </w:rPr>
        <w:t xml:space="preserve"> 80</w:t>
      </w:r>
      <w:r w:rsidRPr="009B0448">
        <w:rPr>
          <w:rFonts w:ascii="Times New Roman" w:eastAsiaTheme="minorHAnsi" w:hAnsi="Times New Roman" w:cs="Times New Roman"/>
          <w:color w:val="auto"/>
        </w:rPr>
        <w:t>–</w:t>
      </w:r>
      <w:r w:rsidRPr="009B0448">
        <w:rPr>
          <w:rFonts w:ascii="Times New Roman" w:hAnsi="Times New Roman" w:cs="Times New Roman"/>
          <w:color w:val="auto"/>
        </w:rPr>
        <w:t>97.</w:t>
      </w:r>
      <w:r w:rsidRPr="009B0448">
        <w:rPr>
          <w:rFonts w:ascii="Times New Roman" w:hAnsi="Times New Roman" w:cs="Times New Roman"/>
        </w:rPr>
        <w:t xml:space="preserve"> </w:t>
      </w:r>
      <w:hyperlink r:id="rId1527" w:history="1">
        <w:r w:rsidRPr="009B0448">
          <w:rPr>
            <w:rStyle w:val="Hyperlink"/>
            <w:rFonts w:ascii="Times New Roman" w:hAnsi="Times New Roman" w:cs="Times New Roman"/>
          </w:rPr>
          <w:t>https://doi.org/10.1080/10549811.2011.566114</w:t>
        </w:r>
      </w:hyperlink>
      <w:r w:rsidRPr="009B0448">
        <w:rPr>
          <w:rFonts w:ascii="Times New Roman" w:hAnsi="Times New Roman" w:cs="Times New Roman"/>
          <w:color w:val="auto"/>
        </w:rPr>
        <w:t xml:space="preserve"> </w:t>
      </w:r>
    </w:p>
    <w:p w14:paraId="6C285CC5"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Vorster, H. H., Wissing, M. P., Venter, C. S., Kruger, H. S., Kruger, A., Malan, N. T., de Ridder, J. H., Veldman, F. J. Steyn, H. S., Margetts, B. M., &amp; MacIntyre, U. (2000). The impact of urbanization on physical, physiological and mental health of Africans in the North-West Province of South Africa: The THUSA study. </w:t>
      </w:r>
      <w:r w:rsidRPr="009B0448">
        <w:rPr>
          <w:rFonts w:ascii="Times New Roman" w:hAnsi="Times New Roman" w:cs="Times New Roman"/>
          <w:i/>
          <w:color w:val="auto"/>
        </w:rPr>
        <w:t>South African Journal of Science, 96</w:t>
      </w:r>
      <w:r w:rsidRPr="009B0448">
        <w:rPr>
          <w:rFonts w:ascii="Times New Roman" w:hAnsi="Times New Roman" w:cs="Times New Roman"/>
          <w:color w:val="auto"/>
        </w:rPr>
        <w:t xml:space="preserve">, 505–51. Retrieved from </w:t>
      </w:r>
      <w:hyperlink r:id="rId1528" w:history="1">
        <w:r w:rsidRPr="009B0448">
          <w:rPr>
            <w:rStyle w:val="Hyperlink"/>
            <w:rFonts w:ascii="Times New Roman" w:hAnsi="Times New Roman" w:cs="Times New Roman"/>
          </w:rPr>
          <w:t>https://www.cabdirect.org/cabdirect/abstract/20003034393</w:t>
        </w:r>
      </w:hyperlink>
      <w:r w:rsidRPr="009B0448">
        <w:rPr>
          <w:rFonts w:ascii="Times New Roman" w:hAnsi="Times New Roman" w:cs="Times New Roman"/>
          <w:color w:val="auto"/>
        </w:rPr>
        <w:t xml:space="preserve"> </w:t>
      </w:r>
    </w:p>
    <w:p w14:paraId="637BE79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Voyles, J., Rosenblum, E. B., &amp; Berger, L. (2011). Interactions between </w:t>
      </w:r>
      <w:r w:rsidRPr="009B0448">
        <w:rPr>
          <w:rFonts w:ascii="Times New Roman" w:eastAsiaTheme="minorHAnsi" w:hAnsi="Times New Roman" w:cs="Times New Roman"/>
          <w:i/>
          <w:color w:val="auto"/>
        </w:rPr>
        <w:t>Batrachochytrium dendrobatidis</w:t>
      </w:r>
      <w:r w:rsidRPr="009B0448">
        <w:rPr>
          <w:rFonts w:ascii="Times New Roman" w:eastAsiaTheme="minorHAnsi" w:hAnsi="Times New Roman" w:cs="Times New Roman"/>
          <w:color w:val="auto"/>
        </w:rPr>
        <w:t xml:space="preserve"> and its amphibian hosts: A review of pathogenesis and immunity. </w:t>
      </w:r>
      <w:r w:rsidRPr="009B0448">
        <w:rPr>
          <w:rFonts w:ascii="Times New Roman" w:eastAsiaTheme="minorHAnsi" w:hAnsi="Times New Roman" w:cs="Times New Roman"/>
          <w:i/>
          <w:color w:val="auto"/>
        </w:rPr>
        <w:t>Microbes and Infection</w:t>
      </w:r>
      <w:r w:rsidRPr="009B0448">
        <w:rPr>
          <w:rFonts w:ascii="Times New Roman" w:eastAsiaTheme="minorHAnsi" w:hAnsi="Times New Roman" w:cs="Times New Roman"/>
          <w:color w:val="auto"/>
        </w:rPr>
        <w:t xml:space="preserve">, </w:t>
      </w:r>
      <w:r w:rsidRPr="009B0448">
        <w:rPr>
          <w:rFonts w:ascii="Times New Roman" w:eastAsiaTheme="minorHAnsi" w:hAnsi="Times New Roman" w:cs="Times New Roman"/>
          <w:i/>
          <w:color w:val="auto"/>
        </w:rPr>
        <w:t>13</w:t>
      </w:r>
      <w:r w:rsidRPr="009B0448">
        <w:rPr>
          <w:rFonts w:ascii="Times New Roman" w:eastAsiaTheme="minorHAnsi" w:hAnsi="Times New Roman" w:cs="Times New Roman"/>
          <w:color w:val="auto"/>
        </w:rPr>
        <w:t>, 25–32.</w:t>
      </w:r>
      <w:r w:rsidRPr="009B0448">
        <w:rPr>
          <w:rFonts w:ascii="Times New Roman" w:hAnsi="Times New Roman" w:cs="Times New Roman"/>
        </w:rPr>
        <w:t xml:space="preserve"> </w:t>
      </w:r>
      <w:hyperlink r:id="rId1529" w:history="1">
        <w:r w:rsidRPr="009B0448">
          <w:rPr>
            <w:rStyle w:val="Hyperlink"/>
            <w:rFonts w:ascii="Times New Roman" w:eastAsiaTheme="minorHAnsi" w:hAnsi="Times New Roman" w:cs="Times New Roman"/>
          </w:rPr>
          <w:t>https://doi.org/10.1016/j.micinf.2010.09.015</w:t>
        </w:r>
      </w:hyperlink>
      <w:r w:rsidRPr="009B0448">
        <w:rPr>
          <w:rFonts w:ascii="Times New Roman" w:eastAsiaTheme="minorHAnsi" w:hAnsi="Times New Roman" w:cs="Times New Roman"/>
          <w:color w:val="auto"/>
        </w:rPr>
        <w:t xml:space="preserve"> </w:t>
      </w:r>
    </w:p>
    <w:p w14:paraId="236FF5E7"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Waithaka, E. (2013). Impacts of water hyacinth (</w:t>
      </w:r>
      <w:r w:rsidRPr="009B0448">
        <w:rPr>
          <w:rFonts w:ascii="Times New Roman" w:eastAsiaTheme="minorHAnsi" w:hAnsi="Times New Roman" w:cs="Times New Roman"/>
          <w:i/>
          <w:color w:val="auto"/>
        </w:rPr>
        <w:t>Eichhornia crassipes</w:t>
      </w:r>
      <w:r w:rsidRPr="009B0448">
        <w:rPr>
          <w:rFonts w:ascii="Times New Roman" w:eastAsiaTheme="minorHAnsi" w:hAnsi="Times New Roman" w:cs="Times New Roman"/>
          <w:color w:val="auto"/>
        </w:rPr>
        <w:t xml:space="preserve">) on the fishing communities of Lake Naivasha, Kenya. </w:t>
      </w:r>
      <w:r w:rsidRPr="009B0448">
        <w:rPr>
          <w:rFonts w:ascii="Times New Roman" w:eastAsiaTheme="minorHAnsi" w:hAnsi="Times New Roman" w:cs="Times New Roman"/>
          <w:i/>
          <w:color w:val="auto"/>
        </w:rPr>
        <w:t>Journal of Biodiversity of Endangered Species, 1</w:t>
      </w:r>
      <w:r w:rsidRPr="009B0448">
        <w:rPr>
          <w:rFonts w:ascii="Times New Roman" w:eastAsiaTheme="minorHAnsi" w:hAnsi="Times New Roman" w:cs="Times New Roman"/>
          <w:color w:val="auto"/>
        </w:rPr>
        <w:t xml:space="preserve">(2), 108. </w:t>
      </w:r>
      <w:hyperlink r:id="rId1530" w:history="1">
        <w:r w:rsidRPr="009B0448">
          <w:rPr>
            <w:rStyle w:val="Hyperlink"/>
            <w:rFonts w:ascii="Times New Roman" w:eastAsiaTheme="minorHAnsi" w:hAnsi="Times New Roman" w:cs="Times New Roman"/>
          </w:rPr>
          <w:t>https://doi.org/10.4172/2332-2543.1000108</w:t>
        </w:r>
      </w:hyperlink>
      <w:r w:rsidRPr="009B0448">
        <w:rPr>
          <w:rFonts w:ascii="Times New Roman" w:eastAsiaTheme="minorHAnsi" w:hAnsi="Times New Roman" w:cs="Times New Roman"/>
          <w:color w:val="auto"/>
        </w:rPr>
        <w:t xml:space="preserve"> </w:t>
      </w:r>
    </w:p>
    <w:p w14:paraId="1939704B" w14:textId="77777777" w:rsidR="009B0448" w:rsidRPr="009B0448" w:rsidRDefault="009B0448" w:rsidP="009B0448">
      <w:pPr>
        <w:pStyle w:val="NoSpacing"/>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Wamwiri, F. N., &amp; Changasi, R. E. (2016). Tsetse flies (</w:t>
      </w:r>
      <w:r w:rsidRPr="009B0448">
        <w:rPr>
          <w:rFonts w:ascii="Times New Roman" w:eastAsiaTheme="minorHAnsi" w:hAnsi="Times New Roman" w:cs="Times New Roman"/>
          <w:i/>
          <w:color w:val="auto"/>
        </w:rPr>
        <w:t>Glossina</w:t>
      </w:r>
      <w:r w:rsidRPr="009B0448">
        <w:rPr>
          <w:rFonts w:ascii="Times New Roman" w:eastAsiaTheme="minorHAnsi" w:hAnsi="Times New Roman" w:cs="Times New Roman"/>
          <w:color w:val="auto"/>
        </w:rPr>
        <w:t xml:space="preserve">) as vectors of human African Trypanosomiasis: A review. </w:t>
      </w:r>
      <w:r w:rsidRPr="009B0448">
        <w:rPr>
          <w:rFonts w:ascii="Times New Roman" w:eastAsiaTheme="minorHAnsi" w:hAnsi="Times New Roman" w:cs="Times New Roman"/>
          <w:i/>
          <w:color w:val="auto"/>
        </w:rPr>
        <w:t>BioMed research international</w:t>
      </w:r>
      <w:r w:rsidRPr="009B0448">
        <w:rPr>
          <w:rFonts w:ascii="Times New Roman" w:eastAsiaTheme="minorHAnsi" w:hAnsi="Times New Roman" w:cs="Times New Roman"/>
          <w:color w:val="auto"/>
        </w:rPr>
        <w:t xml:space="preserve">, 2016. </w:t>
      </w:r>
      <w:hyperlink r:id="rId1531" w:history="1">
        <w:r w:rsidRPr="009B0448">
          <w:rPr>
            <w:rStyle w:val="Hyperlink"/>
            <w:rFonts w:ascii="Times New Roman" w:eastAsiaTheme="minorHAnsi" w:hAnsi="Times New Roman" w:cs="Times New Roman"/>
          </w:rPr>
          <w:t>https://doi.org/10.1155/2016/6201350</w:t>
        </w:r>
      </w:hyperlink>
    </w:p>
    <w:p w14:paraId="4B95AAC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Wanda, F. M., Twongo, T., &amp; Denny, P. (2001). The impacts of water hyacinth (</w:t>
      </w:r>
      <w:r w:rsidRPr="009B0448">
        <w:rPr>
          <w:rFonts w:ascii="Times New Roman" w:eastAsiaTheme="minorHAnsi" w:hAnsi="Times New Roman" w:cs="Times New Roman"/>
          <w:i/>
          <w:color w:val="auto"/>
        </w:rPr>
        <w:t>Eichhornia crassipes</w:t>
      </w:r>
      <w:r w:rsidRPr="009B0448">
        <w:rPr>
          <w:rFonts w:ascii="Times New Roman" w:eastAsiaTheme="minorHAnsi" w:hAnsi="Times New Roman" w:cs="Times New Roman"/>
          <w:color w:val="auto"/>
        </w:rPr>
        <w:t xml:space="preserve">) (Mart) Solms on the abundance and diversity of aquatic macro invertebrates along the shores of northern Lake Victoria, Uganda. </w:t>
      </w:r>
      <w:r w:rsidRPr="009B0448">
        <w:rPr>
          <w:rFonts w:ascii="Times New Roman" w:eastAsiaTheme="minorHAnsi" w:hAnsi="Times New Roman" w:cs="Times New Roman"/>
          <w:i/>
          <w:color w:val="auto"/>
        </w:rPr>
        <w:t>Hydrobiologia, 452(1-3)</w:t>
      </w:r>
      <w:r w:rsidRPr="009B0448">
        <w:rPr>
          <w:rFonts w:ascii="Times New Roman" w:eastAsiaTheme="minorHAnsi" w:hAnsi="Times New Roman" w:cs="Times New Roman"/>
          <w:color w:val="auto"/>
        </w:rPr>
        <w:t>, 79–88.</w:t>
      </w:r>
      <w:r w:rsidRPr="009B0448">
        <w:rPr>
          <w:rFonts w:ascii="Times New Roman" w:hAnsi="Times New Roman" w:cs="Times New Roman"/>
        </w:rPr>
        <w:t xml:space="preserve"> </w:t>
      </w:r>
      <w:hyperlink r:id="rId1532" w:history="1">
        <w:r w:rsidRPr="009B0448">
          <w:rPr>
            <w:rStyle w:val="Hyperlink"/>
            <w:rFonts w:ascii="Times New Roman" w:eastAsiaTheme="minorHAnsi" w:hAnsi="Times New Roman" w:cs="Times New Roman"/>
          </w:rPr>
          <w:t>https://doi.org/10.1023/A:1011923926911</w:t>
        </w:r>
      </w:hyperlink>
      <w:r w:rsidRPr="009B0448">
        <w:rPr>
          <w:rFonts w:ascii="Times New Roman" w:eastAsiaTheme="minorHAnsi" w:hAnsi="Times New Roman" w:cs="Times New Roman"/>
          <w:color w:val="auto"/>
        </w:rPr>
        <w:t xml:space="preserve"> </w:t>
      </w:r>
    </w:p>
    <w:p w14:paraId="47C4D98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Wandiga, S. O. (2001). Use and distribution of organochlorine pesticides. The future in Africa. </w:t>
      </w:r>
      <w:r w:rsidRPr="009B0448">
        <w:rPr>
          <w:rFonts w:ascii="Times New Roman" w:hAnsi="Times New Roman" w:cs="Times New Roman"/>
          <w:i/>
          <w:color w:val="auto"/>
        </w:rPr>
        <w:t>Pure and Applied Chemistry 73</w:t>
      </w:r>
      <w:r w:rsidRPr="009B0448">
        <w:rPr>
          <w:rFonts w:ascii="Times New Roman" w:hAnsi="Times New Roman" w:cs="Times New Roman"/>
          <w:color w:val="auto"/>
        </w:rPr>
        <w:t>, 1147</w:t>
      </w:r>
      <w:r w:rsidRPr="009B0448">
        <w:rPr>
          <w:rFonts w:ascii="Times New Roman" w:eastAsiaTheme="minorHAnsi" w:hAnsi="Times New Roman" w:cs="Times New Roman"/>
          <w:color w:val="auto"/>
        </w:rPr>
        <w:t>–</w:t>
      </w:r>
      <w:r w:rsidRPr="009B0448">
        <w:rPr>
          <w:rFonts w:ascii="Times New Roman" w:hAnsi="Times New Roman" w:cs="Times New Roman"/>
          <w:color w:val="auto"/>
        </w:rPr>
        <w:t>1156.</w:t>
      </w:r>
      <w:r w:rsidRPr="009B0448">
        <w:rPr>
          <w:rFonts w:ascii="Times New Roman" w:hAnsi="Times New Roman" w:cs="Times New Roman"/>
        </w:rPr>
        <w:t xml:space="preserve"> </w:t>
      </w:r>
      <w:hyperlink r:id="rId1533" w:history="1">
        <w:r w:rsidRPr="009B0448">
          <w:rPr>
            <w:rStyle w:val="Hyperlink"/>
            <w:rFonts w:ascii="Times New Roman" w:hAnsi="Times New Roman" w:cs="Times New Roman"/>
          </w:rPr>
          <w:t>https://doi.org/10.1351/pac200173071147</w:t>
        </w:r>
      </w:hyperlink>
      <w:r w:rsidRPr="009B0448">
        <w:rPr>
          <w:rFonts w:ascii="Times New Roman" w:hAnsi="Times New Roman" w:cs="Times New Roman"/>
          <w:color w:val="auto"/>
        </w:rPr>
        <w:t xml:space="preserve"> </w:t>
      </w:r>
    </w:p>
    <w:p w14:paraId="65DAC07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Watkinson, A. R., &amp; Ormerod, S. J. (2001) Grasslands, grazing and biodiversity: Editors' introduction. </w:t>
      </w:r>
      <w:r w:rsidRPr="009B0448">
        <w:rPr>
          <w:rFonts w:ascii="Times New Roman" w:hAnsi="Times New Roman" w:cs="Times New Roman"/>
          <w:i/>
          <w:color w:val="auto"/>
        </w:rPr>
        <w:t>Journal of Applied Ecology, 38</w:t>
      </w:r>
      <w:r w:rsidRPr="009B0448">
        <w:rPr>
          <w:rFonts w:ascii="Times New Roman" w:hAnsi="Times New Roman" w:cs="Times New Roman"/>
          <w:color w:val="auto"/>
        </w:rPr>
        <w:t>, 233</w:t>
      </w:r>
      <w:r w:rsidRPr="009B0448">
        <w:rPr>
          <w:rFonts w:ascii="Times New Roman" w:eastAsiaTheme="minorHAnsi" w:hAnsi="Times New Roman" w:cs="Times New Roman"/>
          <w:color w:val="auto"/>
        </w:rPr>
        <w:t>–</w:t>
      </w:r>
      <w:r w:rsidRPr="009B0448">
        <w:rPr>
          <w:rFonts w:ascii="Times New Roman" w:hAnsi="Times New Roman" w:cs="Times New Roman"/>
          <w:color w:val="auto"/>
        </w:rPr>
        <w:t>237.</w:t>
      </w:r>
      <w:r w:rsidRPr="009B0448">
        <w:rPr>
          <w:rFonts w:ascii="Times New Roman" w:hAnsi="Times New Roman" w:cs="Times New Roman"/>
          <w:color w:val="0070C0"/>
        </w:rPr>
        <w:t xml:space="preserve"> </w:t>
      </w:r>
      <w:hyperlink r:id="rId1534" w:history="1">
        <w:r w:rsidRPr="009B0448">
          <w:rPr>
            <w:rStyle w:val="Hyperlink"/>
            <w:rFonts w:ascii="Times New Roman" w:hAnsi="Times New Roman" w:cs="Times New Roman"/>
          </w:rPr>
          <w:t>https://doi.org/10.1046/j.1365-2664.2001.00621.x</w:t>
        </w:r>
      </w:hyperlink>
    </w:p>
    <w:p w14:paraId="61E6946F" w14:textId="129618C7" w:rsidR="003677D9" w:rsidRDefault="003677D9" w:rsidP="003677D9">
      <w:pPr>
        <w:pStyle w:val="NoSpacing"/>
        <w:spacing w:after="120" w:line="276" w:lineRule="auto"/>
        <w:ind w:left="567" w:hanging="567"/>
        <w:rPr>
          <w:rFonts w:ascii="Times New Roman" w:hAnsi="Times New Roman" w:cs="Times New Roman"/>
          <w:color w:val="auto"/>
        </w:rPr>
      </w:pPr>
      <w:r>
        <w:rPr>
          <w:rFonts w:ascii="Times New Roman" w:hAnsi="Times New Roman" w:cs="Times New Roman"/>
          <w:color w:val="auto"/>
        </w:rPr>
        <w:t>UNEP-WCMC, &amp; IUCN. (2017</w:t>
      </w:r>
      <w:r w:rsidR="005E1F70" w:rsidRPr="005E1F70">
        <w:rPr>
          <w:rFonts w:ascii="Times New Roman" w:hAnsi="Times New Roman" w:cs="Times New Roman"/>
          <w:color w:val="auto"/>
        </w:rPr>
        <w:t xml:space="preserve">). </w:t>
      </w:r>
      <w:r w:rsidRPr="003677D9">
        <w:rPr>
          <w:rFonts w:ascii="Times New Roman" w:hAnsi="Times New Roman" w:cs="Times New Roman"/>
          <w:i/>
          <w:color w:val="auto"/>
        </w:rPr>
        <w:t>Protected Planet: The World Database on Protected Areas (WDPA)</w:t>
      </w:r>
      <w:r w:rsidRPr="003677D9">
        <w:rPr>
          <w:rFonts w:ascii="Times New Roman" w:hAnsi="Times New Roman" w:cs="Times New Roman"/>
          <w:color w:val="auto"/>
        </w:rPr>
        <w:t xml:space="preserve"> [On-line], [</w:t>
      </w:r>
      <w:r>
        <w:rPr>
          <w:rFonts w:ascii="Times New Roman" w:hAnsi="Times New Roman" w:cs="Times New Roman"/>
          <w:color w:val="auto"/>
        </w:rPr>
        <w:t>Jan 2017].</w:t>
      </w:r>
      <w:r w:rsidRPr="003677D9">
        <w:rPr>
          <w:rFonts w:ascii="Times New Roman" w:hAnsi="Times New Roman" w:cs="Times New Roman"/>
          <w:color w:val="auto"/>
        </w:rPr>
        <w:t xml:space="preserve"> Cambridge, UK: UNEP-WCMC and IUCN. </w:t>
      </w:r>
      <w:r>
        <w:rPr>
          <w:rFonts w:ascii="Times New Roman" w:hAnsi="Times New Roman" w:cs="Times New Roman"/>
          <w:color w:val="auto"/>
        </w:rPr>
        <w:t>Retrieved from</w:t>
      </w:r>
      <w:r w:rsidRPr="003677D9">
        <w:rPr>
          <w:rFonts w:ascii="Times New Roman" w:hAnsi="Times New Roman" w:cs="Times New Roman"/>
          <w:color w:val="auto"/>
        </w:rPr>
        <w:t xml:space="preserve"> </w:t>
      </w:r>
      <w:hyperlink r:id="rId1535" w:history="1">
        <w:r w:rsidRPr="00394D3D">
          <w:rPr>
            <w:rStyle w:val="Hyperlink"/>
            <w:rFonts w:ascii="Times New Roman" w:hAnsi="Times New Roman" w:cs="Times New Roman"/>
          </w:rPr>
          <w:t>https://www.protectedplanet.net/</w:t>
        </w:r>
      </w:hyperlink>
    </w:p>
    <w:p w14:paraId="1416E26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Weaver, L. C., &amp; Petersen, T. (2008). </w:t>
      </w:r>
      <w:r w:rsidRPr="009B0448">
        <w:rPr>
          <w:rFonts w:ascii="Times New Roman" w:hAnsi="Times New Roman" w:cs="Times New Roman"/>
          <w:i/>
          <w:color w:val="auto"/>
        </w:rPr>
        <w:t>Namibia communal area conservancies</w:t>
      </w:r>
      <w:r w:rsidRPr="009B0448">
        <w:rPr>
          <w:rFonts w:ascii="Times New Roman" w:hAnsi="Times New Roman" w:cs="Times New Roman"/>
          <w:color w:val="auto"/>
        </w:rPr>
        <w:t xml:space="preserve">. Rome, Italy: FAO. Retrieved from </w:t>
      </w:r>
      <w:hyperlink r:id="rId1536" w:history="1">
        <w:r w:rsidRPr="009B0448">
          <w:rPr>
            <w:rStyle w:val="Hyperlink"/>
            <w:rFonts w:ascii="Times New Roman" w:hAnsi="Times New Roman" w:cs="Times New Roman"/>
          </w:rPr>
          <w:t>http://www.fao.org/tempref/docrep/fao/010/aj114e/aj114e10.pdf</w:t>
        </w:r>
      </w:hyperlink>
      <w:r w:rsidRPr="009B0448">
        <w:rPr>
          <w:rFonts w:ascii="Times New Roman" w:hAnsi="Times New Roman" w:cs="Times New Roman"/>
          <w:color w:val="auto"/>
        </w:rPr>
        <w:t xml:space="preserve"> </w:t>
      </w:r>
    </w:p>
    <w:p w14:paraId="4CF7B02E"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Webb, A., &amp; Coates, D. (2012</w:t>
      </w:r>
      <w:r w:rsidRPr="009B0448">
        <w:rPr>
          <w:rFonts w:ascii="Times New Roman" w:hAnsi="Times New Roman" w:cs="Times New Roman"/>
          <w:i/>
          <w:color w:val="auto"/>
        </w:rPr>
        <w:t>). Biofuels and biodiversity. Secretariat of the Convention on Biological Diversity</w:t>
      </w:r>
      <w:r w:rsidRPr="009B0448">
        <w:rPr>
          <w:rFonts w:ascii="Times New Roman" w:hAnsi="Times New Roman" w:cs="Times New Roman"/>
          <w:color w:val="auto"/>
        </w:rPr>
        <w:t xml:space="preserve">. Montreal, Canada: Secretariat of the Convention on Biological Diversity. Retrieved from </w:t>
      </w:r>
      <w:hyperlink r:id="rId1537" w:history="1">
        <w:r w:rsidRPr="009B0448">
          <w:rPr>
            <w:rStyle w:val="Hyperlink"/>
            <w:rFonts w:ascii="Times New Roman" w:hAnsi="Times New Roman" w:cs="Times New Roman"/>
          </w:rPr>
          <w:t>https://www.cbd.int/doc/publications/cbd-ts-65-en.pdf</w:t>
        </w:r>
      </w:hyperlink>
      <w:r w:rsidRPr="009B0448">
        <w:rPr>
          <w:rFonts w:ascii="Times New Roman" w:hAnsi="Times New Roman" w:cs="Times New Roman"/>
        </w:rPr>
        <w:t xml:space="preserve"> </w:t>
      </w:r>
    </w:p>
    <w:p w14:paraId="552EA1B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Wegmann, M., Santini, L., Leutner, B., Safi, K., Rocchini, D., Bevanda, M., Latifi, H., Dech, S., &amp; Rondinini, C. (2014). </w:t>
      </w:r>
      <w:r w:rsidRPr="009B0448">
        <w:rPr>
          <w:rFonts w:ascii="Times New Roman" w:hAnsi="Times New Roman" w:cs="Times New Roman"/>
          <w:color w:val="auto"/>
        </w:rPr>
        <w:t xml:space="preserve">Role of African protected areas in maintaining connectivity for large mammals. </w:t>
      </w:r>
      <w:r w:rsidRPr="009B0448">
        <w:rPr>
          <w:rFonts w:ascii="Times New Roman" w:hAnsi="Times New Roman" w:cs="Times New Roman"/>
          <w:i/>
          <w:color w:val="auto"/>
        </w:rPr>
        <w:t xml:space="preserve"> Philosophical Transactions of the Royal Society B: Biological Sciences, 369</w:t>
      </w:r>
      <w:r w:rsidRPr="009B0448">
        <w:rPr>
          <w:rFonts w:ascii="Times New Roman" w:hAnsi="Times New Roman" w:cs="Times New Roman"/>
          <w:color w:val="auto"/>
        </w:rPr>
        <w:t>, 20130193.</w:t>
      </w:r>
      <w:r w:rsidRPr="009B0448">
        <w:rPr>
          <w:rFonts w:ascii="Times New Roman" w:hAnsi="Times New Roman" w:cs="Times New Roman"/>
        </w:rPr>
        <w:t xml:space="preserve"> </w:t>
      </w:r>
      <w:hyperlink r:id="rId1538" w:history="1">
        <w:r w:rsidRPr="009B0448">
          <w:rPr>
            <w:rStyle w:val="Hyperlink"/>
            <w:rFonts w:ascii="Times New Roman" w:hAnsi="Times New Roman" w:cs="Times New Roman"/>
          </w:rPr>
          <w:t>https://doi.org/10.1098/rstb.2013.0193</w:t>
        </w:r>
      </w:hyperlink>
      <w:r w:rsidRPr="009B0448">
        <w:rPr>
          <w:rFonts w:ascii="Times New Roman" w:hAnsi="Times New Roman" w:cs="Times New Roman"/>
          <w:color w:val="auto"/>
        </w:rPr>
        <w:t xml:space="preserve"> </w:t>
      </w:r>
    </w:p>
    <w:p w14:paraId="78FF9F02"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Wekesa, S. N., Sangula, A. K., Belsham G. J., Tjornehoj, K., Muwanika, V., Gakuya., F., Mijele, D., &amp; Siegismund, R. (2015). Characterisation of recent foot-and-mouth disease viruses from African buffalo (</w:t>
      </w:r>
      <w:r w:rsidRPr="009B0448">
        <w:rPr>
          <w:rFonts w:ascii="Times New Roman" w:hAnsi="Times New Roman" w:cs="Times New Roman"/>
          <w:i/>
          <w:color w:val="auto"/>
        </w:rPr>
        <w:t>Syncerus caffer</w:t>
      </w:r>
      <w:r w:rsidRPr="009B0448">
        <w:rPr>
          <w:rFonts w:ascii="Times New Roman" w:hAnsi="Times New Roman" w:cs="Times New Roman"/>
          <w:color w:val="auto"/>
        </w:rPr>
        <w:t xml:space="preserve">) and cattle in Kenya is consistent with independent virus populations. </w:t>
      </w:r>
      <w:r w:rsidRPr="009B0448">
        <w:rPr>
          <w:rFonts w:ascii="Times New Roman" w:hAnsi="Times New Roman" w:cs="Times New Roman"/>
          <w:i/>
          <w:color w:val="auto"/>
        </w:rPr>
        <w:t>BMC Veterinary Research</w:t>
      </w:r>
      <w:r w:rsidRPr="009B0448">
        <w:rPr>
          <w:rFonts w:ascii="Times New Roman" w:hAnsi="Times New Roman" w:cs="Times New Roman"/>
          <w:color w:val="auto"/>
        </w:rPr>
        <w:t xml:space="preserve">, </w:t>
      </w:r>
      <w:r w:rsidRPr="009B0448">
        <w:rPr>
          <w:rFonts w:ascii="Times New Roman" w:hAnsi="Times New Roman" w:cs="Times New Roman"/>
          <w:i/>
          <w:color w:val="auto"/>
        </w:rPr>
        <w:t>11</w:t>
      </w:r>
      <w:r w:rsidRPr="009B0448">
        <w:rPr>
          <w:rFonts w:ascii="Times New Roman" w:hAnsi="Times New Roman" w:cs="Times New Roman"/>
          <w:color w:val="auto"/>
        </w:rPr>
        <w:t xml:space="preserve">(17). </w:t>
      </w:r>
      <w:hyperlink r:id="rId1539" w:history="1">
        <w:r w:rsidRPr="009B0448">
          <w:rPr>
            <w:rStyle w:val="Hyperlink"/>
            <w:rFonts w:ascii="Times New Roman" w:hAnsi="Times New Roman" w:cs="Times New Roman"/>
          </w:rPr>
          <w:t>https://doi.org/10.1186/s12917-015-0333-9</w:t>
        </w:r>
      </w:hyperlink>
      <w:r w:rsidRPr="009B0448">
        <w:rPr>
          <w:rFonts w:ascii="Times New Roman" w:hAnsi="Times New Roman" w:cs="Times New Roman"/>
          <w:color w:val="auto"/>
        </w:rPr>
        <w:t xml:space="preserve"> </w:t>
      </w:r>
    </w:p>
    <w:p w14:paraId="0183F748" w14:textId="77777777" w:rsidR="009B0448" w:rsidRPr="009B0448" w:rsidRDefault="009B0448" w:rsidP="009B0448">
      <w:pPr>
        <w:spacing w:after="120"/>
        <w:ind w:left="567" w:hanging="567"/>
        <w:jc w:val="both"/>
        <w:rPr>
          <w:rFonts w:ascii="Times New Roman" w:hAnsi="Times New Roman" w:cs="Times New Roman"/>
          <w:color w:val="auto"/>
        </w:rPr>
      </w:pPr>
      <w:r w:rsidRPr="009B0448">
        <w:rPr>
          <w:rFonts w:ascii="Times New Roman" w:hAnsi="Times New Roman" w:cs="Times New Roman"/>
          <w:color w:val="auto"/>
        </w:rPr>
        <w:t xml:space="preserve">Wepener, V., Smith, N., Covaci, A., Dyke, S., &amp; Bervoets, L. (2012). Seasonal bioaccumulation of organohalogens in tigerfish, </w:t>
      </w:r>
      <w:r w:rsidRPr="009B0448">
        <w:rPr>
          <w:rFonts w:ascii="Times New Roman" w:hAnsi="Times New Roman" w:cs="Times New Roman"/>
          <w:i/>
          <w:color w:val="auto"/>
        </w:rPr>
        <w:t>Hydrocynus vittatus</w:t>
      </w:r>
      <w:r w:rsidRPr="009B0448">
        <w:rPr>
          <w:rFonts w:ascii="Times New Roman" w:hAnsi="Times New Roman" w:cs="Times New Roman"/>
          <w:color w:val="auto"/>
        </w:rPr>
        <w:t xml:space="preserve"> Castelnau, from Lake Pongolapoort, South Africa. </w:t>
      </w:r>
      <w:r w:rsidRPr="009B0448">
        <w:rPr>
          <w:rFonts w:ascii="Times New Roman" w:hAnsi="Times New Roman" w:cs="Times New Roman"/>
          <w:i/>
          <w:color w:val="auto"/>
        </w:rPr>
        <w:t>Bulletin of Environmental Contamination and Toxicology, 88</w:t>
      </w:r>
      <w:r w:rsidRPr="009B0448">
        <w:rPr>
          <w:rFonts w:ascii="Times New Roman" w:hAnsi="Times New Roman" w:cs="Times New Roman"/>
          <w:color w:val="auto"/>
        </w:rPr>
        <w:t>(2), 277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282. </w:t>
      </w:r>
      <w:hyperlink r:id="rId1540" w:history="1">
        <w:r w:rsidRPr="009B0448">
          <w:rPr>
            <w:rStyle w:val="Hyperlink"/>
            <w:rFonts w:ascii="Times New Roman" w:hAnsi="Times New Roman" w:cs="Times New Roman"/>
          </w:rPr>
          <w:t>https://doi.org/10.1007/s00128-011-0439-0</w:t>
        </w:r>
      </w:hyperlink>
      <w:r w:rsidRPr="009B0448">
        <w:rPr>
          <w:rFonts w:ascii="Times New Roman" w:hAnsi="Times New Roman" w:cs="Times New Roman"/>
          <w:color w:val="auto"/>
        </w:rPr>
        <w:t xml:space="preserve">  </w:t>
      </w:r>
    </w:p>
    <w:p w14:paraId="3EB239D5" w14:textId="77777777" w:rsidR="009B0448" w:rsidRPr="009B0448" w:rsidRDefault="009B0448" w:rsidP="009B0448">
      <w:pPr>
        <w:spacing w:after="120"/>
        <w:ind w:left="567" w:hanging="567"/>
        <w:jc w:val="both"/>
        <w:rPr>
          <w:rFonts w:ascii="Times New Roman" w:hAnsi="Times New Roman" w:cs="Times New Roman"/>
          <w:color w:val="auto"/>
        </w:rPr>
      </w:pPr>
      <w:r w:rsidRPr="009B0448">
        <w:rPr>
          <w:rFonts w:ascii="Times New Roman" w:hAnsi="Times New Roman" w:cs="Times New Roman"/>
          <w:color w:val="auto"/>
        </w:rPr>
        <w:t xml:space="preserve">Wessels, K. J. (2009). Comments on proxy global assessment of land degradation by Bai </w:t>
      </w:r>
      <w:r w:rsidRPr="009B0448">
        <w:rPr>
          <w:rFonts w:ascii="Times New Roman" w:hAnsi="Times New Roman" w:cs="Times New Roman"/>
          <w:i/>
          <w:color w:val="auto"/>
        </w:rPr>
        <w:t>et al.</w:t>
      </w:r>
      <w:r w:rsidRPr="009B0448">
        <w:rPr>
          <w:rFonts w:ascii="Times New Roman" w:hAnsi="Times New Roman" w:cs="Times New Roman"/>
          <w:color w:val="auto"/>
        </w:rPr>
        <w:t xml:space="preserve"> (2008). </w:t>
      </w:r>
      <w:r w:rsidRPr="009B0448">
        <w:rPr>
          <w:rFonts w:ascii="Times New Roman" w:hAnsi="Times New Roman" w:cs="Times New Roman"/>
          <w:i/>
          <w:color w:val="auto"/>
        </w:rPr>
        <w:t>Soil Use and Management, 25</w:t>
      </w:r>
      <w:r w:rsidRPr="009B0448">
        <w:rPr>
          <w:rFonts w:ascii="Times New Roman" w:hAnsi="Times New Roman" w:cs="Times New Roman"/>
          <w:color w:val="auto"/>
        </w:rPr>
        <w:t>, 91</w:t>
      </w:r>
      <w:r w:rsidRPr="009B0448">
        <w:rPr>
          <w:rFonts w:ascii="Times New Roman" w:eastAsiaTheme="minorHAnsi" w:hAnsi="Times New Roman" w:cs="Times New Roman"/>
          <w:color w:val="auto"/>
        </w:rPr>
        <w:t>–</w:t>
      </w:r>
      <w:r w:rsidRPr="009B0448">
        <w:rPr>
          <w:rFonts w:ascii="Times New Roman" w:hAnsi="Times New Roman" w:cs="Times New Roman"/>
          <w:color w:val="auto"/>
        </w:rPr>
        <w:t>92.</w:t>
      </w:r>
      <w:r w:rsidRPr="009B0448">
        <w:rPr>
          <w:rFonts w:ascii="Times New Roman" w:hAnsi="Times New Roman" w:cs="Times New Roman"/>
        </w:rPr>
        <w:t xml:space="preserve"> </w:t>
      </w:r>
      <w:hyperlink r:id="rId1541" w:history="1">
        <w:r w:rsidRPr="009B0448">
          <w:rPr>
            <w:rStyle w:val="Hyperlink"/>
            <w:rFonts w:ascii="Times New Roman" w:hAnsi="Times New Roman" w:cs="Times New Roman"/>
          </w:rPr>
          <w:t>https://doi.org/10.1111/j.1475-2743.2009.00195.x</w:t>
        </w:r>
      </w:hyperlink>
      <w:r w:rsidRPr="009B0448">
        <w:rPr>
          <w:rFonts w:ascii="Times New Roman" w:hAnsi="Times New Roman" w:cs="Times New Roman"/>
          <w:color w:val="auto"/>
        </w:rPr>
        <w:t xml:space="preserve"> </w:t>
      </w:r>
    </w:p>
    <w:p w14:paraId="56616E74" w14:textId="77777777" w:rsidR="009B0448" w:rsidRPr="009B0448" w:rsidRDefault="009B0448" w:rsidP="009B0448">
      <w:pPr>
        <w:spacing w:after="120"/>
        <w:ind w:left="567" w:hanging="567"/>
        <w:jc w:val="both"/>
        <w:rPr>
          <w:rFonts w:ascii="Times New Roman" w:hAnsi="Times New Roman" w:cs="Times New Roman"/>
          <w:color w:val="auto"/>
        </w:rPr>
      </w:pPr>
      <w:r w:rsidRPr="009B0448">
        <w:rPr>
          <w:rFonts w:ascii="Times New Roman" w:hAnsi="Times New Roman" w:cs="Times New Roman"/>
          <w:color w:val="auto"/>
        </w:rPr>
        <w:t xml:space="preserve">Wessels, K. J., Prince, S. D., Malherbe, J., Small, J., Frost, P. E., &amp; VanZyl, D. (2007). Can human-induced land degradation be distinguished from the effects of rainfall variability? A case study in South Africa. </w:t>
      </w:r>
      <w:r w:rsidRPr="009B0448">
        <w:rPr>
          <w:rFonts w:ascii="Times New Roman" w:hAnsi="Times New Roman" w:cs="Times New Roman"/>
          <w:i/>
          <w:color w:val="auto"/>
        </w:rPr>
        <w:t>Journal of Arid Environments, 68</w:t>
      </w:r>
      <w:r w:rsidRPr="009B0448">
        <w:rPr>
          <w:rFonts w:ascii="Times New Roman" w:hAnsi="Times New Roman" w:cs="Times New Roman"/>
          <w:color w:val="auto"/>
        </w:rPr>
        <w:t>(2), 271</w:t>
      </w:r>
      <w:r w:rsidRPr="009B0448">
        <w:rPr>
          <w:rFonts w:ascii="Times New Roman" w:eastAsiaTheme="minorHAnsi" w:hAnsi="Times New Roman" w:cs="Times New Roman"/>
          <w:color w:val="auto"/>
        </w:rPr>
        <w:t>–</w:t>
      </w:r>
      <w:r w:rsidRPr="009B0448">
        <w:rPr>
          <w:rFonts w:ascii="Times New Roman" w:hAnsi="Times New Roman" w:cs="Times New Roman"/>
          <w:color w:val="auto"/>
        </w:rPr>
        <w:t>297.</w:t>
      </w:r>
      <w:r w:rsidRPr="009B0448">
        <w:rPr>
          <w:rFonts w:ascii="Times New Roman" w:hAnsi="Times New Roman" w:cs="Times New Roman"/>
        </w:rPr>
        <w:t xml:space="preserve"> </w:t>
      </w:r>
      <w:hyperlink r:id="rId1542" w:history="1">
        <w:r w:rsidRPr="009B0448">
          <w:rPr>
            <w:rStyle w:val="Hyperlink"/>
            <w:rFonts w:ascii="Times New Roman" w:hAnsi="Times New Roman" w:cs="Times New Roman"/>
          </w:rPr>
          <w:t>https://doi.org/10.1016/j.jaridenv.2006.05.015</w:t>
        </w:r>
      </w:hyperlink>
    </w:p>
    <w:p w14:paraId="72D747C8"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West, A. G., Midgley, G. F., &amp; Bond, W. J. (2012). The reforestation of Africa? </w:t>
      </w:r>
      <w:r w:rsidRPr="009B0448">
        <w:rPr>
          <w:rFonts w:ascii="Times New Roman" w:hAnsi="Times New Roman" w:cs="Times New Roman"/>
          <w:i/>
          <w:color w:val="auto"/>
        </w:rPr>
        <w:t>South African Journal of Science, 108</w:t>
      </w:r>
      <w:r w:rsidRPr="009B0448">
        <w:rPr>
          <w:rFonts w:ascii="Times New Roman" w:hAnsi="Times New Roman" w:cs="Times New Roman"/>
          <w:color w:val="auto"/>
        </w:rPr>
        <w:t>(11</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12), 1448. </w:t>
      </w:r>
      <w:hyperlink r:id="rId1543" w:history="1">
        <w:r w:rsidRPr="009B0448">
          <w:rPr>
            <w:rStyle w:val="Hyperlink"/>
            <w:rFonts w:ascii="Times New Roman" w:hAnsi="Times New Roman" w:cs="Times New Roman"/>
          </w:rPr>
          <w:t>https://doi.org/10.2/sajs.v108i11/12.1448</w:t>
        </w:r>
      </w:hyperlink>
    </w:p>
    <w:p w14:paraId="47E9B63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Western, D., Russell, S., Cuthill, I. (2009). The status of wildlife in protected areas compared to non-protected areas of Kenya. </w:t>
      </w:r>
      <w:r w:rsidRPr="009B0448">
        <w:rPr>
          <w:rFonts w:ascii="Times New Roman" w:hAnsi="Times New Roman" w:cs="Times New Roman"/>
          <w:i/>
          <w:color w:val="auto"/>
        </w:rPr>
        <w:t>PLoS ONE, 4</w:t>
      </w:r>
      <w:r w:rsidRPr="009B0448">
        <w:rPr>
          <w:rFonts w:ascii="Times New Roman" w:hAnsi="Times New Roman" w:cs="Times New Roman"/>
          <w:color w:val="auto"/>
        </w:rPr>
        <w:t xml:space="preserve">(7): e6140. </w:t>
      </w:r>
      <w:hyperlink r:id="rId1544" w:history="1">
        <w:r w:rsidRPr="009B0448">
          <w:rPr>
            <w:rStyle w:val="Hyperlink"/>
            <w:rFonts w:ascii="Times New Roman" w:hAnsi="Times New Roman" w:cs="Times New Roman"/>
          </w:rPr>
          <w:t>https://doi.org/10.1371/journal.pone.0006140</w:t>
        </w:r>
      </w:hyperlink>
      <w:r w:rsidRPr="009B0448">
        <w:rPr>
          <w:rFonts w:ascii="Times New Roman" w:hAnsi="Times New Roman" w:cs="Times New Roman"/>
          <w:color w:val="auto"/>
        </w:rPr>
        <w:t xml:space="preserve"> </w:t>
      </w:r>
    </w:p>
    <w:p w14:paraId="6C00783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WHO, &amp; UNDP. (2009). </w:t>
      </w:r>
      <w:r w:rsidRPr="009B0448">
        <w:rPr>
          <w:rFonts w:ascii="Times New Roman" w:hAnsi="Times New Roman" w:cs="Times New Roman"/>
          <w:i/>
          <w:color w:val="auto"/>
        </w:rPr>
        <w:t>The energy access situation in developing countries: A review focusing on least developed countries and sub-Saharan Africa</w:t>
      </w:r>
      <w:r w:rsidRPr="009B0448">
        <w:rPr>
          <w:rFonts w:ascii="Times New Roman" w:hAnsi="Times New Roman" w:cs="Times New Roman"/>
          <w:color w:val="auto"/>
        </w:rPr>
        <w:t xml:space="preserve">. New York, USA: UNDP. Retrieved from </w:t>
      </w:r>
      <w:hyperlink r:id="rId1545" w:history="1">
        <w:r w:rsidRPr="009B0448">
          <w:rPr>
            <w:rStyle w:val="Hyperlink"/>
            <w:rFonts w:ascii="Times New Roman" w:hAnsi="Times New Roman" w:cs="Times New Roman"/>
          </w:rPr>
          <w:t>http://www.undp.org/energyandenvironment</w:t>
        </w:r>
      </w:hyperlink>
      <w:r w:rsidRPr="009B0448">
        <w:rPr>
          <w:rFonts w:ascii="Times New Roman" w:hAnsi="Times New Roman" w:cs="Times New Roman"/>
          <w:color w:val="auto"/>
        </w:rPr>
        <w:t xml:space="preserve"> </w:t>
      </w:r>
    </w:p>
    <w:p w14:paraId="6910586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Wild, S. (2017). Invasive pest hits Africa. </w:t>
      </w:r>
      <w:r w:rsidRPr="009B0448">
        <w:rPr>
          <w:rFonts w:ascii="Times New Roman" w:hAnsi="Times New Roman" w:cs="Times New Roman"/>
          <w:i/>
          <w:color w:val="auto"/>
        </w:rPr>
        <w:t>Nature, 543</w:t>
      </w:r>
      <w:r w:rsidRPr="009B0448">
        <w:rPr>
          <w:rFonts w:ascii="Times New Roman" w:hAnsi="Times New Roman" w:cs="Times New Roman"/>
          <w:color w:val="auto"/>
        </w:rPr>
        <w:t xml:space="preserve">, 13. Retrieved from </w:t>
      </w:r>
      <w:hyperlink r:id="rId1546" w:history="1">
        <w:r w:rsidRPr="009B0448">
          <w:rPr>
            <w:rStyle w:val="Hyperlink"/>
            <w:rFonts w:ascii="Times New Roman" w:hAnsi="Times New Roman" w:cs="Times New Roman"/>
          </w:rPr>
          <w:t>https://www.nature.com/polopoly_fs/1.21527!/menu/main/topColumns/topLeftColumn/pdf/nature.2017.21527.pdf?origin=ppub</w:t>
        </w:r>
      </w:hyperlink>
      <w:r w:rsidRPr="009B0448">
        <w:rPr>
          <w:rFonts w:ascii="Times New Roman" w:hAnsi="Times New Roman" w:cs="Times New Roman"/>
          <w:color w:val="auto"/>
        </w:rPr>
        <w:t xml:space="preserve"> </w:t>
      </w:r>
    </w:p>
    <w:p w14:paraId="331B53E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Wilkie, D. S., &amp; Carpenter, J. F. (1999). Bushmeat hunting in the Cono Basin: An assessment of impacts and options for mitigation. </w:t>
      </w:r>
      <w:r w:rsidRPr="009B0448">
        <w:rPr>
          <w:rFonts w:ascii="Times New Roman" w:hAnsi="Times New Roman" w:cs="Times New Roman"/>
          <w:i/>
          <w:color w:val="auto"/>
        </w:rPr>
        <w:t>Biodiversity and Conservation, 8</w:t>
      </w:r>
      <w:r w:rsidRPr="009B0448">
        <w:rPr>
          <w:rFonts w:ascii="Times New Roman" w:hAnsi="Times New Roman" w:cs="Times New Roman"/>
          <w:color w:val="auto"/>
        </w:rPr>
        <w:t>, 927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955. </w:t>
      </w:r>
      <w:hyperlink r:id="rId1547" w:history="1">
        <w:r w:rsidRPr="009B0448">
          <w:rPr>
            <w:rStyle w:val="Hyperlink"/>
            <w:rFonts w:ascii="Times New Roman" w:hAnsi="Times New Roman" w:cs="Times New Roman"/>
          </w:rPr>
          <w:t>https://doi.org/10.1023/A:1008877309871</w:t>
        </w:r>
      </w:hyperlink>
      <w:r w:rsidRPr="009B0448">
        <w:rPr>
          <w:rFonts w:ascii="Times New Roman" w:hAnsi="Times New Roman" w:cs="Times New Roman"/>
          <w:color w:val="auto"/>
        </w:rPr>
        <w:t xml:space="preserve"> </w:t>
      </w:r>
    </w:p>
    <w:p w14:paraId="3A6DEC5A"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Wilkie, D. S., Wieland, M., Boulet, H. Le Bel, S., Van Vliet, N., Cornelis, D., </w:t>
      </w:r>
      <w:r w:rsidRPr="009B0448">
        <w:rPr>
          <w:rFonts w:ascii="Times New Roman" w:hAnsi="Times New Roman" w:cs="Times New Roman"/>
          <w:color w:val="auto"/>
        </w:rPr>
        <w:t>BriacWarnon, V., Nasi, R., &amp;</w:t>
      </w:r>
      <w:r w:rsidRPr="009B0448">
        <w:rPr>
          <w:rFonts w:ascii="Times New Roman" w:eastAsiaTheme="minorHAnsi" w:hAnsi="Times New Roman" w:cs="Times New Roman"/>
          <w:color w:val="auto"/>
        </w:rPr>
        <w:t xml:space="preserve"> Fa, J. E. (2016). Eating and conserving bushmeat in Africa. </w:t>
      </w:r>
      <w:r w:rsidRPr="009B0448">
        <w:rPr>
          <w:rFonts w:ascii="Times New Roman" w:eastAsiaTheme="minorHAnsi" w:hAnsi="Times New Roman" w:cs="Times New Roman"/>
          <w:i/>
          <w:color w:val="auto"/>
        </w:rPr>
        <w:t>African Journal of Ecology, 54</w:t>
      </w:r>
      <w:r w:rsidRPr="009B0448">
        <w:rPr>
          <w:rFonts w:ascii="Times New Roman" w:eastAsiaTheme="minorHAnsi" w:hAnsi="Times New Roman" w:cs="Times New Roman"/>
          <w:color w:val="auto"/>
        </w:rPr>
        <w:t>, 402–414.</w:t>
      </w:r>
      <w:r w:rsidRPr="009B0448">
        <w:rPr>
          <w:rFonts w:ascii="Times New Roman" w:hAnsi="Times New Roman" w:cs="Times New Roman"/>
          <w:color w:val="auto"/>
        </w:rPr>
        <w:t xml:space="preserve"> </w:t>
      </w:r>
      <w:hyperlink r:id="rId1548" w:history="1">
        <w:r w:rsidRPr="009B0448">
          <w:rPr>
            <w:rStyle w:val="Hyperlink"/>
            <w:rFonts w:ascii="Times New Roman" w:hAnsi="Times New Roman" w:cs="Times New Roman"/>
          </w:rPr>
          <w:t>https://doi.org/10.1111/aje.12392</w:t>
        </w:r>
      </w:hyperlink>
      <w:r w:rsidRPr="009B0448">
        <w:rPr>
          <w:rFonts w:ascii="Times New Roman" w:hAnsi="Times New Roman" w:cs="Times New Roman"/>
          <w:color w:val="auto"/>
        </w:rPr>
        <w:t xml:space="preserve"> </w:t>
      </w:r>
    </w:p>
    <w:p w14:paraId="26111E1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Williams, A. P., &amp; Funk, C. (2011). A westward extension of the warm pool leads to a westward extensions of the weaker circulation, drying eastern Africa. </w:t>
      </w:r>
      <w:r w:rsidRPr="009B0448">
        <w:rPr>
          <w:rFonts w:ascii="Times New Roman" w:hAnsi="Times New Roman" w:cs="Times New Roman"/>
          <w:i/>
          <w:color w:val="auto"/>
        </w:rPr>
        <w:t>Climate Dynamics, 37</w:t>
      </w:r>
      <w:r w:rsidRPr="009B0448">
        <w:rPr>
          <w:rFonts w:ascii="Times New Roman" w:hAnsi="Times New Roman" w:cs="Times New Roman"/>
          <w:color w:val="auto"/>
        </w:rPr>
        <w:t xml:space="preserve"> (11-12), 2417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2435. </w:t>
      </w:r>
      <w:hyperlink r:id="rId1549" w:history="1">
        <w:r w:rsidRPr="009B0448">
          <w:rPr>
            <w:rStyle w:val="Hyperlink"/>
            <w:rFonts w:ascii="Times New Roman" w:hAnsi="Times New Roman" w:cs="Times New Roman"/>
          </w:rPr>
          <w:t>https://doi.org/10.1007/s00382-010-0984-y</w:t>
        </w:r>
      </w:hyperlink>
      <w:r w:rsidRPr="009B0448">
        <w:rPr>
          <w:rFonts w:ascii="Times New Roman" w:hAnsi="Times New Roman" w:cs="Times New Roman"/>
          <w:color w:val="auto"/>
        </w:rPr>
        <w:t xml:space="preserve"> </w:t>
      </w:r>
    </w:p>
    <w:p w14:paraId="79BB8F8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Witkowski, E. T. F. (1991). Effects of invasive alien acacias on nutrient cycling in the coastal lowlands of the Cape Fynbos. </w:t>
      </w:r>
      <w:r w:rsidRPr="009B0448">
        <w:rPr>
          <w:rFonts w:ascii="Times New Roman" w:hAnsi="Times New Roman" w:cs="Times New Roman"/>
          <w:i/>
          <w:color w:val="auto"/>
        </w:rPr>
        <w:t>Journal of Applied Ecology, 28</w:t>
      </w:r>
      <w:r w:rsidRPr="009B0448">
        <w:rPr>
          <w:rFonts w:ascii="Times New Roman" w:hAnsi="Times New Roman" w:cs="Times New Roman"/>
          <w:color w:val="auto"/>
        </w:rPr>
        <w:t>, 1</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15. </w:t>
      </w:r>
      <w:hyperlink r:id="rId1550" w:history="1">
        <w:r w:rsidRPr="009B0448">
          <w:rPr>
            <w:rStyle w:val="Hyperlink"/>
            <w:rFonts w:ascii="Times New Roman" w:hAnsi="Times New Roman" w:cs="Times New Roman"/>
          </w:rPr>
          <w:t>https://doi.org/10.2307/2404109</w:t>
        </w:r>
      </w:hyperlink>
      <w:r w:rsidRPr="009B0448">
        <w:rPr>
          <w:rFonts w:ascii="Times New Roman" w:hAnsi="Times New Roman" w:cs="Times New Roman"/>
        </w:rPr>
        <w:t xml:space="preserve"> </w:t>
      </w:r>
    </w:p>
    <w:p w14:paraId="2B7DF29B"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Witt, A. (2010). Africa invaded: Farmers abandon severely infested land. </w:t>
      </w:r>
      <w:r w:rsidRPr="009B0448">
        <w:rPr>
          <w:rFonts w:ascii="Times New Roman" w:hAnsi="Times New Roman" w:cs="Times New Roman"/>
          <w:i/>
          <w:color w:val="auto"/>
        </w:rPr>
        <w:t>Environmental Management</w:t>
      </w:r>
      <w:r w:rsidRPr="009B0448">
        <w:rPr>
          <w:rFonts w:ascii="Times New Roman" w:hAnsi="Times New Roman" w:cs="Times New Roman"/>
          <w:color w:val="auto"/>
        </w:rPr>
        <w:t>, 16</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20. Retrieved from </w:t>
      </w:r>
      <w:hyperlink r:id="rId1551" w:history="1">
        <w:r w:rsidRPr="009B0448">
          <w:rPr>
            <w:rStyle w:val="Hyperlink"/>
            <w:rFonts w:ascii="Times New Roman" w:hAnsi="Times New Roman" w:cs="Times New Roman"/>
          </w:rPr>
          <w:t>http://www.issg.org/pdf/publications/GISP/Resources/AfricaInvaded.pdf</w:t>
        </w:r>
      </w:hyperlink>
      <w:r w:rsidRPr="009B0448">
        <w:rPr>
          <w:rFonts w:ascii="Times New Roman" w:hAnsi="Times New Roman" w:cs="Times New Roman"/>
          <w:color w:val="auto"/>
        </w:rPr>
        <w:t xml:space="preserve"> </w:t>
      </w:r>
    </w:p>
    <w:p w14:paraId="19D0DF94"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Wittemyer, G., Northrup, J. M., Blanc, J., Douglas-Hamilton, I., Omondi, P., &amp; Burnhama, K. P. (2014). Illegal killing for ivory drives global decline in African elephants. </w:t>
      </w:r>
      <w:r w:rsidRPr="009B0448">
        <w:rPr>
          <w:rFonts w:ascii="Times New Roman" w:eastAsiaTheme="minorHAnsi" w:hAnsi="Times New Roman" w:cs="Times New Roman"/>
          <w:i/>
          <w:color w:val="auto"/>
        </w:rPr>
        <w:t>Proceedings of the National Academy of Sciences of the United States of America, 111</w:t>
      </w:r>
      <w:r w:rsidRPr="009B0448">
        <w:rPr>
          <w:rFonts w:ascii="Times New Roman" w:eastAsiaTheme="minorHAnsi" w:hAnsi="Times New Roman" w:cs="Times New Roman"/>
          <w:color w:val="auto"/>
        </w:rPr>
        <w:t xml:space="preserve">(36), 13117–13121. </w:t>
      </w:r>
      <w:hyperlink r:id="rId1552" w:history="1">
        <w:r w:rsidRPr="009B0448">
          <w:rPr>
            <w:rStyle w:val="Hyperlink"/>
            <w:rFonts w:ascii="Times New Roman" w:eastAsiaTheme="minorHAnsi" w:hAnsi="Times New Roman" w:cs="Times New Roman"/>
          </w:rPr>
          <w:t>https://doi.org/10.1073/pnas.1403984111</w:t>
        </w:r>
      </w:hyperlink>
      <w:r w:rsidRPr="009B0448">
        <w:rPr>
          <w:rFonts w:ascii="Times New Roman" w:eastAsiaTheme="minorHAnsi" w:hAnsi="Times New Roman" w:cs="Times New Roman"/>
          <w:color w:val="auto"/>
        </w:rPr>
        <w:t xml:space="preserve"> </w:t>
      </w:r>
    </w:p>
    <w:p w14:paraId="7D1DFE3D"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Wood, E. C., Tappan, G. G., &amp; Hadj, A. (2004). Understanding the drivers of agricultural land-use change in south-central Senegal. </w:t>
      </w:r>
      <w:r w:rsidRPr="009B0448">
        <w:rPr>
          <w:rFonts w:ascii="Times New Roman" w:hAnsi="Times New Roman" w:cs="Times New Roman"/>
          <w:i/>
          <w:color w:val="auto"/>
        </w:rPr>
        <w:t>Journal of Arid Environments, 59</w:t>
      </w:r>
      <w:r w:rsidRPr="009B0448">
        <w:rPr>
          <w:rFonts w:ascii="Times New Roman" w:hAnsi="Times New Roman" w:cs="Times New Roman"/>
          <w:color w:val="auto"/>
        </w:rPr>
        <w:t>(3), 565</w:t>
      </w:r>
      <w:r w:rsidRPr="009B0448">
        <w:rPr>
          <w:rFonts w:ascii="Times New Roman" w:eastAsiaTheme="minorHAnsi" w:hAnsi="Times New Roman" w:cs="Times New Roman"/>
          <w:color w:val="auto"/>
        </w:rPr>
        <w:t>–</w:t>
      </w:r>
      <w:r w:rsidRPr="009B0448">
        <w:rPr>
          <w:rFonts w:ascii="Times New Roman" w:hAnsi="Times New Roman" w:cs="Times New Roman"/>
          <w:color w:val="auto"/>
        </w:rPr>
        <w:t>582.</w:t>
      </w:r>
      <w:r w:rsidRPr="009B0448">
        <w:rPr>
          <w:rFonts w:ascii="Times New Roman" w:hAnsi="Times New Roman" w:cs="Times New Roman"/>
        </w:rPr>
        <w:t xml:space="preserve"> </w:t>
      </w:r>
      <w:hyperlink r:id="rId1553" w:history="1">
        <w:r w:rsidRPr="009B0448">
          <w:rPr>
            <w:rStyle w:val="Hyperlink"/>
            <w:rFonts w:ascii="Times New Roman" w:hAnsi="Times New Roman" w:cs="Times New Roman"/>
          </w:rPr>
          <w:t>https://doi.org/10.1016/j.jaridenv.2004.03.022</w:t>
        </w:r>
      </w:hyperlink>
      <w:r w:rsidRPr="009B0448">
        <w:rPr>
          <w:rFonts w:ascii="Times New Roman" w:hAnsi="Times New Roman" w:cs="Times New Roman"/>
          <w:color w:val="auto"/>
        </w:rPr>
        <w:t xml:space="preserve"> </w:t>
      </w:r>
    </w:p>
    <w:p w14:paraId="02AF635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Woodford, D. J., &amp; Impson, N. D. (2004). Preliminary assessment of the impact of alien rainbow trout (</w:t>
      </w:r>
      <w:r w:rsidRPr="009B0448">
        <w:rPr>
          <w:rFonts w:ascii="Times New Roman" w:eastAsiaTheme="minorHAnsi" w:hAnsi="Times New Roman" w:cs="Times New Roman"/>
          <w:i/>
          <w:color w:val="auto"/>
        </w:rPr>
        <w:t>Oncorhynchus mykiss</w:t>
      </w:r>
      <w:r w:rsidRPr="009B0448">
        <w:rPr>
          <w:rFonts w:ascii="Times New Roman" w:eastAsiaTheme="minorHAnsi" w:hAnsi="Times New Roman" w:cs="Times New Roman"/>
          <w:color w:val="auto"/>
        </w:rPr>
        <w:t xml:space="preserve">) on indigenous fishes of the upper Berg River, Western Cape Province, South Africa. </w:t>
      </w:r>
      <w:r w:rsidRPr="009B0448">
        <w:rPr>
          <w:rFonts w:ascii="Times New Roman" w:eastAsiaTheme="minorHAnsi" w:hAnsi="Times New Roman" w:cs="Times New Roman"/>
          <w:i/>
          <w:color w:val="auto"/>
        </w:rPr>
        <w:t>African Journal of Aquatic Science, 29</w:t>
      </w:r>
      <w:r w:rsidRPr="009B0448">
        <w:rPr>
          <w:rFonts w:ascii="Times New Roman" w:eastAsiaTheme="minorHAnsi" w:hAnsi="Times New Roman" w:cs="Times New Roman"/>
          <w:color w:val="auto"/>
        </w:rPr>
        <w:t xml:space="preserve">(1), 107–111. </w:t>
      </w:r>
      <w:hyperlink r:id="rId1554" w:history="1">
        <w:r w:rsidRPr="009B0448">
          <w:rPr>
            <w:rStyle w:val="Hyperlink"/>
            <w:rFonts w:ascii="Times New Roman" w:eastAsiaTheme="minorHAnsi" w:hAnsi="Times New Roman" w:cs="Times New Roman"/>
          </w:rPr>
          <w:t>https://doi.org/10.2989/16085910409503799</w:t>
        </w:r>
      </w:hyperlink>
      <w:r w:rsidRPr="009B0448">
        <w:rPr>
          <w:rFonts w:ascii="Times New Roman" w:eastAsiaTheme="minorHAnsi" w:hAnsi="Times New Roman" w:cs="Times New Roman"/>
          <w:color w:val="auto"/>
        </w:rPr>
        <w:t xml:space="preserve"> </w:t>
      </w:r>
    </w:p>
    <w:p w14:paraId="1D820FB1"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World Atlas. (2016). </w:t>
      </w:r>
      <w:r w:rsidRPr="009B0448">
        <w:rPr>
          <w:rFonts w:ascii="Times New Roman" w:hAnsi="Times New Roman" w:cs="Times New Roman"/>
          <w:i/>
          <w:color w:val="auto"/>
        </w:rPr>
        <w:t>The twenty countries with the highest population growth</w:t>
      </w:r>
      <w:r w:rsidRPr="009B0448">
        <w:rPr>
          <w:rFonts w:ascii="Times New Roman" w:hAnsi="Times New Roman" w:cs="Times New Roman"/>
          <w:color w:val="auto"/>
        </w:rPr>
        <w:t xml:space="preserve">. Retrieved from </w:t>
      </w:r>
      <w:hyperlink r:id="rId1555" w:history="1">
        <w:r w:rsidRPr="009B0448">
          <w:rPr>
            <w:rStyle w:val="Hyperlink"/>
            <w:rFonts w:ascii="Times New Roman" w:hAnsi="Times New Roman" w:cs="Times New Roman"/>
          </w:rPr>
          <w:t>http://www.worldatlas.com/articles/the-20-countries-with-the-highest-population-growth.html</w:t>
        </w:r>
      </w:hyperlink>
      <w:r w:rsidRPr="009B0448">
        <w:rPr>
          <w:rFonts w:ascii="Times New Roman" w:hAnsi="Times New Roman" w:cs="Times New Roman"/>
          <w:color w:val="auto"/>
        </w:rPr>
        <w:t xml:space="preserve"> </w:t>
      </w:r>
    </w:p>
    <w:p w14:paraId="21A0B70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World Bank. (2008). </w:t>
      </w:r>
      <w:r w:rsidRPr="009B0448">
        <w:rPr>
          <w:rFonts w:ascii="Times New Roman" w:hAnsi="Times New Roman" w:cs="Times New Roman"/>
          <w:i/>
          <w:color w:val="auto"/>
        </w:rPr>
        <w:t>Biodiversity, climate change and adaptation: Nature-based solutions from the World Bank portfolio</w:t>
      </w:r>
      <w:r w:rsidRPr="009B0448">
        <w:rPr>
          <w:rFonts w:ascii="Times New Roman" w:hAnsi="Times New Roman" w:cs="Times New Roman"/>
          <w:color w:val="auto"/>
        </w:rPr>
        <w:t xml:space="preserve">. Washington, DC, USA: World Bank. Retrieved from </w:t>
      </w:r>
      <w:hyperlink r:id="rId1556" w:history="1">
        <w:r w:rsidRPr="009B0448">
          <w:rPr>
            <w:rStyle w:val="Hyperlink"/>
            <w:rFonts w:ascii="Times New Roman" w:hAnsi="Times New Roman" w:cs="Times New Roman"/>
          </w:rPr>
          <w:t>http://documents.worldbank.org/curated/en/149141468320661795/pdf/467260WP0REPLA1sity1Sept020081final.pdf</w:t>
        </w:r>
      </w:hyperlink>
      <w:r w:rsidRPr="009B0448">
        <w:rPr>
          <w:rFonts w:ascii="Times New Roman" w:hAnsi="Times New Roman" w:cs="Times New Roman"/>
          <w:color w:val="auto"/>
        </w:rPr>
        <w:t xml:space="preserve"> </w:t>
      </w:r>
    </w:p>
    <w:p w14:paraId="2D9B0540"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eastAsiaTheme="minorHAnsi" w:hAnsi="Times New Roman" w:cs="Times New Roman"/>
          <w:color w:val="auto"/>
        </w:rPr>
        <w:t xml:space="preserve">World Bank. (2015). </w:t>
      </w:r>
      <w:r w:rsidRPr="009B0448">
        <w:rPr>
          <w:rFonts w:ascii="Times New Roman" w:eastAsiaTheme="minorHAnsi" w:hAnsi="Times New Roman" w:cs="Times New Roman"/>
          <w:i/>
          <w:color w:val="auto"/>
        </w:rPr>
        <w:t>World development indicators</w:t>
      </w:r>
      <w:r w:rsidRPr="009B0448">
        <w:rPr>
          <w:rFonts w:ascii="Times New Roman" w:eastAsiaTheme="minorHAnsi" w:hAnsi="Times New Roman" w:cs="Times New Roman"/>
          <w:color w:val="auto"/>
        </w:rPr>
        <w:t xml:space="preserve">. Washington, DC., USA: World Bank. Retrieved from </w:t>
      </w:r>
      <w:hyperlink r:id="rId1557" w:history="1">
        <w:r w:rsidRPr="009B0448">
          <w:rPr>
            <w:rStyle w:val="Hyperlink"/>
            <w:rFonts w:ascii="Times New Roman" w:eastAsiaTheme="minorHAnsi" w:hAnsi="Times New Roman" w:cs="Times New Roman"/>
          </w:rPr>
          <w:t>https://data.worldbank.org/products/wdi</w:t>
        </w:r>
      </w:hyperlink>
    </w:p>
    <w:p w14:paraId="2F254370" w14:textId="77777777" w:rsidR="009B0448" w:rsidRPr="009B0448" w:rsidRDefault="009B0448" w:rsidP="009B0448">
      <w:pPr>
        <w:autoSpaceDE w:val="0"/>
        <w:autoSpaceDN w:val="0"/>
        <w:adjustRightInd w:val="0"/>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World Population. (2013). </w:t>
      </w:r>
      <w:r w:rsidRPr="009B0448">
        <w:rPr>
          <w:rFonts w:ascii="Times New Roman" w:hAnsi="Times New Roman" w:cs="Times New Roman"/>
          <w:i/>
          <w:color w:val="auto"/>
        </w:rPr>
        <w:t>Data sheet and interactive world map illustrating key demographic variables by country and region</w:t>
      </w:r>
      <w:r w:rsidRPr="009B0448">
        <w:rPr>
          <w:rFonts w:ascii="Times New Roman" w:hAnsi="Times New Roman" w:cs="Times New Roman"/>
          <w:color w:val="auto"/>
        </w:rPr>
        <w:t xml:space="preserve">. Washington, DC: Population Reference Bureau. Retrieved from </w:t>
      </w:r>
      <w:hyperlink r:id="rId1558" w:history="1">
        <w:r w:rsidRPr="009B0448">
          <w:rPr>
            <w:rStyle w:val="Hyperlink"/>
            <w:rFonts w:ascii="Times New Roman" w:hAnsi="Times New Roman" w:cs="Times New Roman"/>
          </w:rPr>
          <w:t>http://www.worldpopdata.org/</w:t>
        </w:r>
      </w:hyperlink>
      <w:r w:rsidRPr="009B0448">
        <w:rPr>
          <w:rFonts w:ascii="Times New Roman" w:hAnsi="Times New Roman" w:cs="Times New Roman"/>
          <w:color w:val="auto"/>
        </w:rPr>
        <w:t xml:space="preserve">  </w:t>
      </w:r>
    </w:p>
    <w:p w14:paraId="4398FBB3" w14:textId="77777777" w:rsidR="009B0448" w:rsidRPr="009B0448" w:rsidRDefault="009B0448" w:rsidP="009B0448">
      <w:pPr>
        <w:autoSpaceDE w:val="0"/>
        <w:autoSpaceDN w:val="0"/>
        <w:adjustRightInd w:val="0"/>
        <w:spacing w:after="120" w:line="276" w:lineRule="auto"/>
        <w:ind w:left="567" w:hanging="567"/>
        <w:rPr>
          <w:rFonts w:ascii="Times New Roman" w:eastAsiaTheme="minorHAnsi" w:hAnsi="Times New Roman" w:cs="Times New Roman"/>
          <w:color w:val="auto"/>
        </w:rPr>
      </w:pPr>
      <w:r w:rsidRPr="009B0448">
        <w:rPr>
          <w:rFonts w:ascii="Times New Roman" w:eastAsiaTheme="minorHAnsi" w:hAnsi="Times New Roman" w:cs="Times New Roman"/>
          <w:color w:val="auto"/>
        </w:rPr>
        <w:t xml:space="preserve">Wright, H., Huq, S., &amp; Reeves, J. (2015). </w:t>
      </w:r>
      <w:r w:rsidRPr="009B0448">
        <w:rPr>
          <w:rFonts w:ascii="Times New Roman" w:eastAsiaTheme="minorHAnsi" w:hAnsi="Times New Roman" w:cs="Times New Roman"/>
          <w:i/>
          <w:color w:val="auto"/>
        </w:rPr>
        <w:t>Impact of climate change on least developed countries: Are the SDGs possible</w:t>
      </w:r>
      <w:r w:rsidRPr="009B0448">
        <w:rPr>
          <w:rFonts w:ascii="Times New Roman" w:eastAsiaTheme="minorHAnsi" w:hAnsi="Times New Roman" w:cs="Times New Roman"/>
          <w:color w:val="auto"/>
        </w:rPr>
        <w:t xml:space="preserve">? Retrieved from </w:t>
      </w:r>
      <w:hyperlink r:id="rId1559" w:history="1">
        <w:r w:rsidRPr="009B0448">
          <w:rPr>
            <w:rStyle w:val="Hyperlink"/>
            <w:rFonts w:ascii="Times New Roman" w:eastAsiaTheme="minorHAnsi" w:hAnsi="Times New Roman" w:cs="Times New Roman"/>
          </w:rPr>
          <w:t>http://pubs.iied.org/17298IIED/</w:t>
        </w:r>
      </w:hyperlink>
    </w:p>
    <w:p w14:paraId="5EFCDDF6" w14:textId="77777777" w:rsidR="009B0448" w:rsidRPr="009B0448" w:rsidRDefault="009B0448" w:rsidP="009B0448">
      <w:pPr>
        <w:autoSpaceDE w:val="0"/>
        <w:autoSpaceDN w:val="0"/>
        <w:adjustRightInd w:val="0"/>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lang w:val="de-DE"/>
        </w:rPr>
        <w:t xml:space="preserve">Wu, X., Lu, Y., Zhou, S., Chen, L., &amp; Xu, B. (2016). </w:t>
      </w:r>
      <w:r w:rsidRPr="009B0448">
        <w:rPr>
          <w:rFonts w:ascii="Times New Roman" w:hAnsi="Times New Roman" w:cs="Times New Roman"/>
          <w:color w:val="auto"/>
        </w:rPr>
        <w:t xml:space="preserve">Impact of climate change on human infectious diseases: Empirical evidence and human adaptation. </w:t>
      </w:r>
      <w:r w:rsidRPr="009B0448">
        <w:rPr>
          <w:rFonts w:ascii="Times New Roman" w:hAnsi="Times New Roman" w:cs="Times New Roman"/>
          <w:i/>
          <w:color w:val="auto"/>
        </w:rPr>
        <w:t>Environment International, 86</w:t>
      </w:r>
      <w:r w:rsidRPr="009B0448">
        <w:rPr>
          <w:rFonts w:ascii="Times New Roman" w:hAnsi="Times New Roman" w:cs="Times New Roman"/>
          <w:color w:val="auto"/>
        </w:rPr>
        <w:t>, 14</w:t>
      </w:r>
      <w:r w:rsidRPr="009B0448">
        <w:rPr>
          <w:rFonts w:ascii="Times New Roman" w:eastAsiaTheme="minorHAnsi" w:hAnsi="Times New Roman" w:cs="Times New Roman"/>
          <w:color w:val="auto"/>
        </w:rPr>
        <w:t>–</w:t>
      </w:r>
      <w:r w:rsidRPr="009B0448">
        <w:rPr>
          <w:rFonts w:ascii="Times New Roman" w:hAnsi="Times New Roman" w:cs="Times New Roman"/>
          <w:color w:val="auto"/>
        </w:rPr>
        <w:t>23.</w:t>
      </w:r>
      <w:r w:rsidRPr="009B0448">
        <w:rPr>
          <w:rFonts w:ascii="Times New Roman" w:hAnsi="Times New Roman" w:cs="Times New Roman"/>
        </w:rPr>
        <w:t xml:space="preserve"> </w:t>
      </w:r>
      <w:hyperlink r:id="rId1560" w:history="1">
        <w:r w:rsidRPr="009B0448">
          <w:rPr>
            <w:rStyle w:val="Hyperlink"/>
            <w:rFonts w:ascii="Times New Roman" w:hAnsi="Times New Roman" w:cs="Times New Roman"/>
          </w:rPr>
          <w:t>https://doi.org/10.1016/j.envint.2015.09.007</w:t>
        </w:r>
      </w:hyperlink>
    </w:p>
    <w:p w14:paraId="25DC21B3" w14:textId="77777777" w:rsidR="009B0448" w:rsidRPr="009B0448" w:rsidRDefault="009B0448" w:rsidP="009B0448">
      <w:pPr>
        <w:pStyle w:val="NoSpacing"/>
        <w:spacing w:after="120" w:line="276" w:lineRule="auto"/>
        <w:ind w:left="567" w:hanging="567"/>
        <w:rPr>
          <w:rFonts w:ascii="Times New Roman" w:hAnsi="Times New Roman" w:cs="Times New Roman"/>
        </w:rPr>
      </w:pPr>
      <w:r w:rsidRPr="009B0448">
        <w:rPr>
          <w:rFonts w:ascii="Times New Roman" w:hAnsi="Times New Roman" w:cs="Times New Roman"/>
        </w:rPr>
        <w:t xml:space="preserve">WWF. (2001). </w:t>
      </w:r>
      <w:hyperlink r:id="rId1561" w:history="1">
        <w:r w:rsidRPr="009B0448">
          <w:rPr>
            <w:rStyle w:val="Hyperlink"/>
            <w:rFonts w:ascii="Times New Roman" w:hAnsi="Times New Roman" w:cs="Times New Roman"/>
            <w:i/>
            <w:color w:val="auto"/>
          </w:rPr>
          <w:t>Madagascar subhumid forests</w:t>
        </w:r>
      </w:hyperlink>
      <w:r w:rsidRPr="009B0448">
        <w:rPr>
          <w:rFonts w:ascii="Times New Roman" w:hAnsi="Times New Roman" w:cs="Times New Roman"/>
          <w:i/>
        </w:rPr>
        <w:t>.</w:t>
      </w:r>
      <w:r w:rsidRPr="009B0448">
        <w:rPr>
          <w:rFonts w:ascii="Times New Roman" w:hAnsi="Times New Roman" w:cs="Times New Roman"/>
        </w:rPr>
        <w:t xml:space="preserve"> Washington, DC: WWF. Retrieved from </w:t>
      </w:r>
      <w:hyperlink r:id="rId1562" w:history="1">
        <w:r w:rsidRPr="009B0448">
          <w:rPr>
            <w:rStyle w:val="Hyperlink"/>
            <w:rFonts w:ascii="Times New Roman" w:hAnsi="Times New Roman" w:cs="Times New Roman"/>
          </w:rPr>
          <w:t>https://en.wikipedia.org/wiki/Madagascar_subhumid_forests</w:t>
        </w:r>
      </w:hyperlink>
      <w:r w:rsidRPr="009B0448">
        <w:rPr>
          <w:rFonts w:ascii="Times New Roman" w:hAnsi="Times New Roman" w:cs="Times New Roman"/>
        </w:rPr>
        <w:t xml:space="preserve"> </w:t>
      </w:r>
    </w:p>
    <w:p w14:paraId="0905A91F" w14:textId="77777777" w:rsidR="009B0448" w:rsidRPr="009B0448" w:rsidRDefault="009B0448" w:rsidP="009B0448">
      <w:pPr>
        <w:pStyle w:val="NoSpacing"/>
        <w:spacing w:after="120" w:line="276" w:lineRule="auto"/>
        <w:ind w:left="567" w:hanging="567"/>
        <w:rPr>
          <w:rFonts w:ascii="Times New Roman" w:hAnsi="Times New Roman" w:cs="Times New Roman"/>
        </w:rPr>
      </w:pPr>
      <w:r w:rsidRPr="009B0448">
        <w:rPr>
          <w:rFonts w:ascii="Times New Roman" w:hAnsi="Times New Roman" w:cs="Times New Roman"/>
          <w:color w:val="auto"/>
        </w:rPr>
        <w:t xml:space="preserve">WWF. (2016). </w:t>
      </w:r>
      <w:r w:rsidRPr="009B0448">
        <w:rPr>
          <w:rFonts w:ascii="Times New Roman" w:hAnsi="Times New Roman" w:cs="Times New Roman"/>
          <w:i/>
          <w:color w:val="auto"/>
        </w:rPr>
        <w:t>Huge drop in African elephant population as poaching crisis continues.</w:t>
      </w:r>
      <w:r w:rsidRPr="009B0448">
        <w:rPr>
          <w:rFonts w:ascii="Times New Roman" w:hAnsi="Times New Roman" w:cs="Times New Roman"/>
          <w:color w:val="auto"/>
        </w:rPr>
        <w:t xml:space="preserve"> Washington, DC: WWF.</w:t>
      </w:r>
      <w:r w:rsidRPr="009B0448">
        <w:rPr>
          <w:rFonts w:ascii="Times New Roman" w:hAnsi="Times New Roman" w:cs="Times New Roman"/>
        </w:rPr>
        <w:t xml:space="preserve"> Retrieved from </w:t>
      </w:r>
      <w:hyperlink r:id="rId1563" w:history="1">
        <w:r w:rsidRPr="009B0448">
          <w:rPr>
            <w:rStyle w:val="Hyperlink"/>
            <w:rFonts w:ascii="Times New Roman" w:hAnsi="Times New Roman" w:cs="Times New Roman"/>
          </w:rPr>
          <w:t>https://www.worldwildlife.org/stories/huge-drop-in-african-elephant-population-as-poaching-crisis-continues</w:t>
        </w:r>
      </w:hyperlink>
      <w:r w:rsidRPr="009B0448">
        <w:rPr>
          <w:rFonts w:ascii="Times New Roman" w:hAnsi="Times New Roman" w:cs="Times New Roman"/>
        </w:rPr>
        <w:t xml:space="preserve"> </w:t>
      </w:r>
    </w:p>
    <w:p w14:paraId="3935BC9D" w14:textId="77777777" w:rsidR="009B0448" w:rsidRPr="009B0448" w:rsidRDefault="009B0448" w:rsidP="009B0448">
      <w:pPr>
        <w:pStyle w:val="NoSpacing"/>
        <w:spacing w:after="120" w:line="276" w:lineRule="auto"/>
        <w:ind w:left="567" w:hanging="567"/>
        <w:rPr>
          <w:rFonts w:ascii="Times New Roman" w:hAnsi="Times New Roman" w:cs="Times New Roman"/>
        </w:rPr>
      </w:pPr>
      <w:r w:rsidRPr="009B0448">
        <w:rPr>
          <w:rFonts w:ascii="Times New Roman" w:hAnsi="Times New Roman" w:cs="Times New Roman"/>
          <w:color w:val="auto"/>
        </w:rPr>
        <w:t xml:space="preserve">WWF. (2017). </w:t>
      </w:r>
      <w:r w:rsidRPr="009B0448">
        <w:rPr>
          <w:rFonts w:ascii="Times New Roman" w:hAnsi="Times New Roman" w:cs="Times New Roman"/>
          <w:i/>
          <w:color w:val="auto"/>
        </w:rPr>
        <w:t>Africa deforestation.</w:t>
      </w:r>
      <w:r w:rsidRPr="009B0448">
        <w:rPr>
          <w:rFonts w:ascii="Times New Roman" w:hAnsi="Times New Roman" w:cs="Times New Roman"/>
          <w:color w:val="auto"/>
        </w:rPr>
        <w:t xml:space="preserve"> Washington, DC: WWF. Retrieved from </w:t>
      </w:r>
      <w:hyperlink r:id="rId1564" w:history="1">
        <w:r w:rsidRPr="009B0448">
          <w:rPr>
            <w:rStyle w:val="Hyperlink"/>
            <w:rFonts w:ascii="Times New Roman" w:hAnsi="Times New Roman" w:cs="Times New Roman"/>
          </w:rPr>
          <w:t>http://wwf.panda.org/about_our_earth/deforestation/deforestation_fronts/deforestation_in_the_congo_basin</w:t>
        </w:r>
      </w:hyperlink>
      <w:r w:rsidRPr="009B0448">
        <w:rPr>
          <w:rFonts w:ascii="Times New Roman" w:hAnsi="Times New Roman" w:cs="Times New Roman"/>
        </w:rPr>
        <w:t xml:space="preserve"> </w:t>
      </w:r>
    </w:p>
    <w:p w14:paraId="5D91AF45" w14:textId="77777777" w:rsidR="009B0448" w:rsidRPr="009B0448" w:rsidRDefault="009B0448" w:rsidP="009B0448">
      <w:pPr>
        <w:pStyle w:val="NoSpacing"/>
        <w:spacing w:after="120" w:line="276" w:lineRule="auto"/>
        <w:ind w:left="567" w:hanging="567"/>
        <w:rPr>
          <w:rFonts w:ascii="Times New Roman" w:hAnsi="Times New Roman" w:cs="Times New Roman"/>
        </w:rPr>
      </w:pPr>
      <w:r w:rsidRPr="009B0448">
        <w:rPr>
          <w:rFonts w:ascii="Times New Roman" w:hAnsi="Times New Roman" w:cs="Times New Roman"/>
          <w:color w:val="auto"/>
        </w:rPr>
        <w:t xml:space="preserve">WWF-US. (2003). </w:t>
      </w:r>
      <w:r w:rsidRPr="009B0448">
        <w:rPr>
          <w:rFonts w:ascii="Times New Roman" w:hAnsi="Times New Roman" w:cs="Times New Roman"/>
          <w:i/>
          <w:color w:val="auto"/>
        </w:rPr>
        <w:t>Ecoregional reports: Eastern Arc Forest. Eastern and Southern Africa Biomes</w:t>
      </w:r>
      <w:r w:rsidRPr="009B0448">
        <w:rPr>
          <w:rFonts w:ascii="Times New Roman" w:hAnsi="Times New Roman" w:cs="Times New Roman"/>
          <w:color w:val="auto"/>
        </w:rPr>
        <w:t xml:space="preserve">. Washington, DC: WWF. Retrieved from </w:t>
      </w:r>
      <w:hyperlink r:id="rId1565" w:history="1">
        <w:r w:rsidRPr="009B0448">
          <w:rPr>
            <w:rStyle w:val="Hyperlink"/>
            <w:rFonts w:ascii="Times New Roman" w:hAnsi="Times New Roman" w:cs="Times New Roman"/>
          </w:rPr>
          <w:t>https://www.worldwildlife.org/ecoregions/at0109</w:t>
        </w:r>
      </w:hyperlink>
      <w:r w:rsidRPr="009B0448">
        <w:rPr>
          <w:rFonts w:ascii="Times New Roman" w:hAnsi="Times New Roman" w:cs="Times New Roman"/>
        </w:rPr>
        <w:t xml:space="preserve"> </w:t>
      </w:r>
    </w:p>
    <w:p w14:paraId="38FDDAE9"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Yasin, J. A., Kroeze, C., &amp; Mayorga, E. (2010). Nutrients export by rivers to the coastal waters of Africa: Past and future trends. </w:t>
      </w:r>
      <w:r w:rsidRPr="009B0448">
        <w:rPr>
          <w:rFonts w:ascii="Times New Roman" w:hAnsi="Times New Roman" w:cs="Times New Roman"/>
          <w:i/>
          <w:color w:val="auto"/>
        </w:rPr>
        <w:t>Global Biogeochemical Cycles, 24</w:t>
      </w:r>
      <w:r w:rsidRPr="009B0448">
        <w:rPr>
          <w:rFonts w:ascii="Times New Roman" w:hAnsi="Times New Roman" w:cs="Times New Roman"/>
          <w:color w:val="auto"/>
        </w:rPr>
        <w:t xml:space="preserve">, GB0A07, </w:t>
      </w:r>
      <w:hyperlink r:id="rId1566" w:history="1">
        <w:r w:rsidRPr="009B0448">
          <w:rPr>
            <w:rStyle w:val="Hyperlink"/>
            <w:rFonts w:ascii="Times New Roman" w:hAnsi="Times New Roman" w:cs="Times New Roman"/>
          </w:rPr>
          <w:t>https://doi.org/10.1029/2009GB003568</w:t>
        </w:r>
      </w:hyperlink>
      <w:r w:rsidRPr="009B0448">
        <w:rPr>
          <w:rFonts w:ascii="Times New Roman" w:hAnsi="Times New Roman" w:cs="Times New Roman"/>
          <w:color w:val="auto"/>
        </w:rPr>
        <w:t xml:space="preserve"> </w:t>
      </w:r>
    </w:p>
    <w:p w14:paraId="7DC3E53F"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Yuliar, Nion, Y. A., &amp; Toyota, K. (2015). Recent trends in control methods for bacterial wilt diseases caused by </w:t>
      </w:r>
      <w:r w:rsidRPr="009B0448">
        <w:rPr>
          <w:rFonts w:ascii="Times New Roman" w:hAnsi="Times New Roman" w:cs="Times New Roman"/>
          <w:i/>
          <w:color w:val="auto"/>
        </w:rPr>
        <w:t>Ralstonia solanacearum</w:t>
      </w:r>
      <w:r w:rsidRPr="009B0448">
        <w:rPr>
          <w:rFonts w:ascii="Times New Roman" w:hAnsi="Times New Roman" w:cs="Times New Roman"/>
          <w:color w:val="auto"/>
        </w:rPr>
        <w:t xml:space="preserve">. </w:t>
      </w:r>
      <w:r w:rsidRPr="009B0448">
        <w:rPr>
          <w:rFonts w:ascii="Times New Roman" w:hAnsi="Times New Roman" w:cs="Times New Roman"/>
          <w:i/>
          <w:color w:val="auto"/>
        </w:rPr>
        <w:t>Microbes Environment, 30</w:t>
      </w:r>
      <w:r w:rsidRPr="009B0448">
        <w:rPr>
          <w:rFonts w:ascii="Times New Roman" w:hAnsi="Times New Roman" w:cs="Times New Roman"/>
          <w:color w:val="auto"/>
        </w:rPr>
        <w:t xml:space="preserve">, 1–11. </w:t>
      </w:r>
      <w:hyperlink r:id="rId1567" w:history="1">
        <w:r w:rsidRPr="009B0448">
          <w:rPr>
            <w:rStyle w:val="Hyperlink"/>
            <w:rFonts w:ascii="Times New Roman" w:hAnsi="Times New Roman" w:cs="Times New Roman"/>
          </w:rPr>
          <w:t>https://doi.org/10.1264/jsme2.ME14144</w:t>
        </w:r>
      </w:hyperlink>
      <w:r w:rsidRPr="009B0448">
        <w:rPr>
          <w:rFonts w:ascii="Times New Roman" w:hAnsi="Times New Roman" w:cs="Times New Roman"/>
          <w:color w:val="auto"/>
        </w:rPr>
        <w:t xml:space="preserve">  </w:t>
      </w:r>
    </w:p>
    <w:p w14:paraId="5F3EA276"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Young, M. H., Mogelgaard, K., &amp; Hardee, K. (2009</w:t>
      </w:r>
      <w:r w:rsidRPr="009B0448">
        <w:rPr>
          <w:rFonts w:ascii="Times New Roman" w:hAnsi="Times New Roman" w:cs="Times New Roman"/>
          <w:i/>
          <w:color w:val="auto"/>
        </w:rPr>
        <w:t>). Projecting population, projecting climate change population in IPCC Scenarios. Population action international working paper WP09-02</w:t>
      </w:r>
      <w:r w:rsidRPr="009B0448">
        <w:rPr>
          <w:rFonts w:ascii="Times New Roman" w:hAnsi="Times New Roman" w:cs="Times New Roman"/>
          <w:color w:val="auto"/>
        </w:rPr>
        <w:t xml:space="preserve">. Retrieved from </w:t>
      </w:r>
      <w:hyperlink r:id="rId1568" w:history="1">
        <w:r w:rsidRPr="009B0448">
          <w:rPr>
            <w:rStyle w:val="Hyperlink"/>
            <w:rFonts w:ascii="Times New Roman" w:hAnsi="Times New Roman" w:cs="Times New Roman"/>
          </w:rPr>
          <w:t>https://www.popline.org/node/643807</w:t>
        </w:r>
      </w:hyperlink>
      <w:r w:rsidRPr="009B0448">
        <w:rPr>
          <w:rFonts w:ascii="Times New Roman" w:hAnsi="Times New Roman" w:cs="Times New Roman"/>
        </w:rPr>
        <w:t xml:space="preserve"> </w:t>
      </w:r>
    </w:p>
    <w:p w14:paraId="00EB7D63"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r w:rsidRPr="009B0448">
        <w:rPr>
          <w:rFonts w:ascii="Times New Roman" w:hAnsi="Times New Roman" w:cs="Times New Roman"/>
          <w:color w:val="auto"/>
        </w:rPr>
        <w:t xml:space="preserve">Zhu, Z., Piao, S., Myneni, R. B., Huang, M., Zeng, Z., Canadell, J. G., Ciais, P., Sitch, S., Friedlingstein, P., Arneth, A., Cao, C., Cheng, L., Kato, E., Koven, C., Li, Y., Lian, X., Liu, Y., Liu, R., Mao, J., Pan, Y., Peng, S., Peñuelas, J., Poulter, B., Pugh, T. A. M., Stocker, B. D., Viovy, N., Wang, X., Wang, Y., Xiao, Z., Yang, H., Zaehle, S., &amp; Zeng, N. (2016). Greening of the earth and its drivers. </w:t>
      </w:r>
      <w:r w:rsidRPr="009B0448">
        <w:rPr>
          <w:rFonts w:ascii="Times New Roman" w:hAnsi="Times New Roman" w:cs="Times New Roman"/>
          <w:i/>
          <w:color w:val="auto"/>
        </w:rPr>
        <w:t>Nature Climate Change, 6</w:t>
      </w:r>
      <w:r w:rsidRPr="009B0448">
        <w:rPr>
          <w:rFonts w:ascii="Times New Roman" w:hAnsi="Times New Roman" w:cs="Times New Roman"/>
          <w:color w:val="auto"/>
        </w:rPr>
        <w:t>, 791</w:t>
      </w:r>
      <w:r w:rsidRPr="009B0448">
        <w:rPr>
          <w:rFonts w:ascii="Times New Roman" w:eastAsiaTheme="minorHAnsi" w:hAnsi="Times New Roman" w:cs="Times New Roman"/>
          <w:color w:val="auto"/>
        </w:rPr>
        <w:t>–</w:t>
      </w:r>
      <w:r w:rsidRPr="009B0448">
        <w:rPr>
          <w:rFonts w:ascii="Times New Roman" w:hAnsi="Times New Roman" w:cs="Times New Roman"/>
          <w:color w:val="auto"/>
        </w:rPr>
        <w:t>795.</w:t>
      </w:r>
      <w:r w:rsidRPr="009B0448">
        <w:rPr>
          <w:rFonts w:ascii="Times New Roman" w:hAnsi="Times New Roman" w:cs="Times New Roman"/>
        </w:rPr>
        <w:t xml:space="preserve"> </w:t>
      </w:r>
      <w:hyperlink r:id="rId1569" w:history="1">
        <w:r w:rsidRPr="009B0448">
          <w:rPr>
            <w:rStyle w:val="Hyperlink"/>
            <w:rFonts w:ascii="Times New Roman" w:hAnsi="Times New Roman" w:cs="Times New Roman"/>
          </w:rPr>
          <w:t>https://doi.org/10.1038/nclimate3004</w:t>
        </w:r>
      </w:hyperlink>
      <w:r w:rsidRPr="009B0448">
        <w:rPr>
          <w:rFonts w:ascii="Times New Roman" w:hAnsi="Times New Roman" w:cs="Times New Roman"/>
          <w:color w:val="auto"/>
        </w:rPr>
        <w:t xml:space="preserve"> </w:t>
      </w:r>
    </w:p>
    <w:p w14:paraId="2B650615" w14:textId="481DF07E" w:rsidR="009B0448" w:rsidRPr="009B0448" w:rsidRDefault="009B0448" w:rsidP="009B0448">
      <w:pPr>
        <w:pStyle w:val="NoSpacing"/>
        <w:spacing w:after="120" w:line="276" w:lineRule="auto"/>
        <w:ind w:left="567" w:hanging="567"/>
        <w:rPr>
          <w:rFonts w:ascii="Times New Roman" w:hAnsi="Times New Roman" w:cs="Times New Roman"/>
        </w:rPr>
      </w:pPr>
      <w:r w:rsidRPr="009B0448">
        <w:rPr>
          <w:rFonts w:ascii="Times New Roman" w:hAnsi="Times New Roman" w:cs="Times New Roman"/>
          <w:color w:val="auto"/>
        </w:rPr>
        <w:t xml:space="preserve">Zulu, L. C. (2010). The forbidden fuel: Charcoal, urban woodfuel demand and supply dynamics, community forest management and woodfuel policy in Malawi. </w:t>
      </w:r>
      <w:r w:rsidRPr="009B0448">
        <w:rPr>
          <w:rFonts w:ascii="Times New Roman" w:hAnsi="Times New Roman" w:cs="Times New Roman"/>
          <w:i/>
          <w:color w:val="auto"/>
        </w:rPr>
        <w:t>Energy Policy, 38</w:t>
      </w:r>
      <w:r w:rsidRPr="009B0448">
        <w:rPr>
          <w:rFonts w:ascii="Times New Roman" w:hAnsi="Times New Roman" w:cs="Times New Roman"/>
          <w:color w:val="auto"/>
        </w:rPr>
        <w:t>, 3717</w:t>
      </w:r>
      <w:r w:rsidRPr="009B0448">
        <w:rPr>
          <w:rFonts w:ascii="Times New Roman" w:eastAsiaTheme="minorHAnsi" w:hAnsi="Times New Roman" w:cs="Times New Roman"/>
          <w:color w:val="auto"/>
        </w:rPr>
        <w:t>–</w:t>
      </w:r>
      <w:r w:rsidRPr="009B0448">
        <w:rPr>
          <w:rFonts w:ascii="Times New Roman" w:hAnsi="Times New Roman" w:cs="Times New Roman"/>
          <w:color w:val="auto"/>
        </w:rPr>
        <w:t xml:space="preserve">3730. </w:t>
      </w:r>
      <w:hyperlink r:id="rId1570" w:history="1">
        <w:r w:rsidRPr="009B0448">
          <w:rPr>
            <w:rStyle w:val="Hyperlink"/>
            <w:rFonts w:ascii="Times New Roman" w:hAnsi="Times New Roman" w:cs="Times New Roman"/>
          </w:rPr>
          <w:t>https://doi.org/10.1016/j.enpol.2010.02.050</w:t>
        </w:r>
      </w:hyperlink>
      <w:r w:rsidRPr="009B0448">
        <w:rPr>
          <w:rFonts w:ascii="Times New Roman" w:hAnsi="Times New Roman" w:cs="Times New Roman"/>
        </w:rPr>
        <w:br w:type="page"/>
      </w:r>
    </w:p>
    <w:p w14:paraId="6D3E798C" w14:textId="77777777" w:rsidR="009B0448" w:rsidRPr="009B0448" w:rsidRDefault="009B0448" w:rsidP="009B0448">
      <w:pPr>
        <w:pStyle w:val="NoSpacing"/>
        <w:spacing w:after="120" w:line="276" w:lineRule="auto"/>
        <w:ind w:left="567" w:hanging="567"/>
        <w:rPr>
          <w:rFonts w:ascii="Times New Roman" w:hAnsi="Times New Roman" w:cs="Times New Roman"/>
          <w:color w:val="auto"/>
        </w:rPr>
      </w:pPr>
    </w:p>
    <w:p w14:paraId="524EEC90" w14:textId="1C22296B" w:rsidR="00991066" w:rsidRPr="009B0448" w:rsidRDefault="00A86954" w:rsidP="00A86954">
      <w:pPr>
        <w:pStyle w:val="IPBES1"/>
        <w:spacing w:before="240"/>
        <w:rPr>
          <w:color w:val="auto"/>
        </w:rPr>
      </w:pPr>
      <w:bookmarkStart w:id="357" w:name="_Toc519499991"/>
      <w:r w:rsidRPr="009B0448">
        <w:rPr>
          <w:color w:val="auto"/>
        </w:rPr>
        <w:t xml:space="preserve">Chapter 5: </w:t>
      </w:r>
      <w:r w:rsidR="00991066" w:rsidRPr="009B0448">
        <w:rPr>
          <w:color w:val="auto"/>
        </w:rPr>
        <w:t>Current and future interact</w:t>
      </w:r>
      <w:r w:rsidR="003657D7" w:rsidRPr="009B0448">
        <w:rPr>
          <w:color w:val="auto"/>
        </w:rPr>
        <w:t>ions between nature and society</w:t>
      </w:r>
      <w:bookmarkEnd w:id="357"/>
    </w:p>
    <w:p w14:paraId="0D74B0D0" w14:textId="77777777" w:rsidR="00991066" w:rsidRPr="009B0448" w:rsidRDefault="00991066" w:rsidP="00D47D3C">
      <w:pPr>
        <w:spacing w:line="276" w:lineRule="auto"/>
        <w:rPr>
          <w:rFonts w:ascii="Times New Roman" w:eastAsia="Times New Roman" w:hAnsi="Times New Roman" w:cs="Times New Roman"/>
          <w:b/>
        </w:rPr>
      </w:pPr>
      <w:r w:rsidRPr="009B0448">
        <w:rPr>
          <w:rFonts w:ascii="Times New Roman" w:eastAsia="Times New Roman" w:hAnsi="Times New Roman" w:cs="Times New Roman"/>
          <w:b/>
        </w:rPr>
        <w:t>Coordinating Lead Authors:</w:t>
      </w:r>
    </w:p>
    <w:p w14:paraId="50AFE3A5" w14:textId="61D67688" w:rsidR="00991066" w:rsidRPr="009B0448" w:rsidRDefault="00275729" w:rsidP="00D47D3C">
      <w:pPr>
        <w:spacing w:line="276" w:lineRule="auto"/>
        <w:rPr>
          <w:rFonts w:ascii="Times New Roman" w:eastAsia="Times New Roman" w:hAnsi="Times New Roman" w:cs="Times New Roman"/>
          <w:b/>
        </w:rPr>
      </w:pPr>
      <w:r w:rsidRPr="009B0448">
        <w:rPr>
          <w:rFonts w:ascii="Times New Roman" w:eastAsia="Times New Roman" w:hAnsi="Times New Roman" w:cs="Times New Roman"/>
        </w:rPr>
        <w:t xml:space="preserve">Reinette (Oonsie) Biggs (South Africa), </w:t>
      </w:r>
      <w:r w:rsidR="00991066" w:rsidRPr="009B0448">
        <w:rPr>
          <w:rFonts w:ascii="Times New Roman" w:eastAsia="Times New Roman" w:hAnsi="Times New Roman" w:cs="Times New Roman"/>
        </w:rPr>
        <w:t>Fred Kizito (Uganda)</w:t>
      </w:r>
    </w:p>
    <w:p w14:paraId="06BD00BE" w14:textId="77777777" w:rsidR="00991066" w:rsidRPr="009B0448" w:rsidRDefault="00991066" w:rsidP="00D47D3C">
      <w:pPr>
        <w:spacing w:line="276" w:lineRule="auto"/>
        <w:rPr>
          <w:rFonts w:ascii="Times New Roman" w:eastAsia="Times New Roman" w:hAnsi="Times New Roman" w:cs="Times New Roman"/>
          <w:b/>
        </w:rPr>
      </w:pPr>
    </w:p>
    <w:p w14:paraId="1BD23DA9" w14:textId="77777777" w:rsidR="00991066" w:rsidRPr="009B0448" w:rsidRDefault="00991066" w:rsidP="00D47D3C">
      <w:pPr>
        <w:spacing w:line="276" w:lineRule="auto"/>
        <w:rPr>
          <w:rFonts w:ascii="Times New Roman" w:eastAsia="Times New Roman" w:hAnsi="Times New Roman" w:cs="Times New Roman"/>
          <w:b/>
        </w:rPr>
      </w:pPr>
      <w:r w:rsidRPr="009B0448">
        <w:rPr>
          <w:rFonts w:ascii="Times New Roman" w:eastAsia="Times New Roman" w:hAnsi="Times New Roman" w:cs="Times New Roman"/>
          <w:b/>
        </w:rPr>
        <w:t>Lead Authors:</w:t>
      </w:r>
    </w:p>
    <w:p w14:paraId="6B943E8E" w14:textId="417A76CF" w:rsidR="00991066" w:rsidRPr="009B0448" w:rsidRDefault="00275729" w:rsidP="00D47D3C">
      <w:pPr>
        <w:spacing w:line="276" w:lineRule="auto"/>
        <w:rPr>
          <w:rFonts w:ascii="Times New Roman" w:eastAsia="Times New Roman" w:hAnsi="Times New Roman" w:cs="Times New Roman"/>
        </w:rPr>
      </w:pPr>
      <w:r w:rsidRPr="009B0448">
        <w:rPr>
          <w:rFonts w:ascii="Times New Roman" w:eastAsia="Times New Roman" w:hAnsi="Times New Roman" w:cs="Times New Roman"/>
        </w:rPr>
        <w:t xml:space="preserve">Kossi Adjonou (Togo), Mohammed Tawfic Ahmed (Egypt), </w:t>
      </w:r>
      <w:r w:rsidR="00991066" w:rsidRPr="009B0448">
        <w:rPr>
          <w:rFonts w:ascii="Times New Roman" w:eastAsia="Times New Roman" w:hAnsi="Times New Roman" w:cs="Times New Roman"/>
        </w:rPr>
        <w:t xml:space="preserve">Ryan Blanchard (South Africa), Kaera Coetzer (South Africa), </w:t>
      </w:r>
      <w:r w:rsidR="0062276F" w:rsidRPr="009B0448">
        <w:rPr>
          <w:rFonts w:ascii="Times New Roman" w:eastAsia="Times New Roman" w:hAnsi="Times New Roman" w:cs="Times New Roman"/>
        </w:rPr>
        <w:t xml:space="preserve">Collins Otieno </w:t>
      </w:r>
      <w:r w:rsidRPr="009B0448">
        <w:rPr>
          <w:rFonts w:ascii="Times New Roman" w:eastAsia="Times New Roman" w:hAnsi="Times New Roman" w:cs="Times New Roman"/>
        </w:rPr>
        <w:t xml:space="preserve">Handa (Kenya), Chris Dickens (South Africa), </w:t>
      </w:r>
      <w:r w:rsidR="00991066" w:rsidRPr="009B0448">
        <w:rPr>
          <w:rFonts w:ascii="Times New Roman" w:eastAsia="Times New Roman" w:hAnsi="Times New Roman" w:cs="Times New Roman"/>
        </w:rPr>
        <w:t xml:space="preserve">Maike Hamann (Germany), Patrick O'Farrell (South Africa), </w:t>
      </w:r>
      <w:r w:rsidRPr="009B0448">
        <w:rPr>
          <w:rFonts w:ascii="Times New Roman" w:eastAsia="Times New Roman" w:hAnsi="Times New Roman" w:cs="Times New Roman"/>
        </w:rPr>
        <w:t xml:space="preserve">Klaus Kellner (South Africa), </w:t>
      </w:r>
      <w:r w:rsidR="00991066" w:rsidRPr="009B0448">
        <w:rPr>
          <w:rFonts w:ascii="Times New Roman" w:eastAsia="Times New Roman" w:hAnsi="Times New Roman" w:cs="Times New Roman"/>
        </w:rPr>
        <w:t>Belinda Reyers (South Africa), Frank Matose (Zimbabwe), Karim Omar (Egypt), Jean-Fanny Sonkoue (Cameroon), Taita Terer (Kenya), Maarten Vanhove (Belgium)</w:t>
      </w:r>
    </w:p>
    <w:p w14:paraId="3130B656" w14:textId="77777777" w:rsidR="00991066" w:rsidRPr="009B0448" w:rsidRDefault="00991066" w:rsidP="00D47D3C">
      <w:pPr>
        <w:spacing w:line="276" w:lineRule="auto"/>
        <w:rPr>
          <w:rFonts w:ascii="Times New Roman" w:eastAsia="Times New Roman" w:hAnsi="Times New Roman" w:cs="Times New Roman"/>
        </w:rPr>
      </w:pPr>
    </w:p>
    <w:p w14:paraId="34CFD8AF" w14:textId="77777777" w:rsidR="00991066" w:rsidRPr="009B0448" w:rsidRDefault="00991066" w:rsidP="00D47D3C">
      <w:pPr>
        <w:spacing w:line="276" w:lineRule="auto"/>
        <w:rPr>
          <w:rFonts w:ascii="Times New Roman" w:eastAsia="Times New Roman" w:hAnsi="Times New Roman" w:cs="Times New Roman"/>
          <w:b/>
        </w:rPr>
      </w:pPr>
      <w:r w:rsidRPr="009B0448">
        <w:rPr>
          <w:rFonts w:ascii="Times New Roman" w:eastAsia="Times New Roman" w:hAnsi="Times New Roman" w:cs="Times New Roman"/>
          <w:b/>
        </w:rPr>
        <w:t>Fellow:</w:t>
      </w:r>
    </w:p>
    <w:p w14:paraId="24B88A71" w14:textId="77777777" w:rsidR="00991066" w:rsidRPr="009B0448" w:rsidRDefault="00991066" w:rsidP="00D47D3C">
      <w:pPr>
        <w:spacing w:line="276" w:lineRule="auto"/>
        <w:rPr>
          <w:rFonts w:ascii="Times New Roman" w:eastAsia="Times New Roman" w:hAnsi="Times New Roman" w:cs="Times New Roman"/>
        </w:rPr>
      </w:pPr>
      <w:r w:rsidRPr="009B0448">
        <w:rPr>
          <w:rFonts w:ascii="Times New Roman" w:eastAsia="Times New Roman" w:hAnsi="Times New Roman" w:cs="Times New Roman"/>
        </w:rPr>
        <w:t>Nadia Sitas (South Africa)</w:t>
      </w:r>
    </w:p>
    <w:p w14:paraId="56A3D4DC" w14:textId="77777777" w:rsidR="00991066" w:rsidRPr="009B0448" w:rsidRDefault="00991066" w:rsidP="00D47D3C">
      <w:pPr>
        <w:spacing w:line="276" w:lineRule="auto"/>
        <w:rPr>
          <w:rFonts w:ascii="Times New Roman" w:eastAsia="Times New Roman" w:hAnsi="Times New Roman" w:cs="Times New Roman"/>
        </w:rPr>
      </w:pPr>
    </w:p>
    <w:p w14:paraId="6629E485" w14:textId="77777777" w:rsidR="00991066" w:rsidRPr="009B0448" w:rsidRDefault="00991066" w:rsidP="00D47D3C">
      <w:pPr>
        <w:spacing w:line="276" w:lineRule="auto"/>
        <w:rPr>
          <w:rFonts w:ascii="Times New Roman" w:eastAsia="Times New Roman" w:hAnsi="Times New Roman" w:cs="Times New Roman"/>
          <w:b/>
        </w:rPr>
      </w:pPr>
      <w:r w:rsidRPr="009B0448">
        <w:rPr>
          <w:rFonts w:ascii="Times New Roman" w:eastAsia="Times New Roman" w:hAnsi="Times New Roman" w:cs="Times New Roman"/>
          <w:b/>
        </w:rPr>
        <w:t>Contributing Authors:</w:t>
      </w:r>
    </w:p>
    <w:p w14:paraId="7030B208" w14:textId="5B5E24DD" w:rsidR="00991066" w:rsidRPr="009B0448" w:rsidRDefault="00991066" w:rsidP="00D47D3C">
      <w:pPr>
        <w:spacing w:line="276" w:lineRule="auto"/>
        <w:rPr>
          <w:rFonts w:ascii="Times New Roman" w:eastAsia="Times New Roman" w:hAnsi="Times New Roman" w:cs="Times New Roman"/>
        </w:rPr>
      </w:pPr>
      <w:r w:rsidRPr="009B0448">
        <w:rPr>
          <w:rFonts w:ascii="Times New Roman" w:eastAsia="Times New Roman" w:hAnsi="Times New Roman" w:cs="Times New Roman"/>
        </w:rPr>
        <w:t xml:space="preserve">Brenton Abrahams (South Africa), Tanya Lazarova (The Netherlands), </w:t>
      </w:r>
      <w:r w:rsidRPr="009B0448">
        <w:rPr>
          <w:rFonts w:ascii="Times New Roman" w:hAnsi="Times New Roman" w:cs="Times New Roman"/>
        </w:rPr>
        <w:t>Laura Pereira</w:t>
      </w:r>
      <w:r w:rsidR="00912C70" w:rsidRPr="009B0448">
        <w:rPr>
          <w:rFonts w:ascii="Times New Roman" w:hAnsi="Times New Roman" w:cs="Times New Roman"/>
        </w:rPr>
        <w:t xml:space="preserve"> (South Africa)</w:t>
      </w:r>
    </w:p>
    <w:p w14:paraId="5928C354" w14:textId="77777777" w:rsidR="00991066" w:rsidRPr="009B0448" w:rsidRDefault="00991066" w:rsidP="00D47D3C">
      <w:pPr>
        <w:spacing w:line="276" w:lineRule="auto"/>
        <w:rPr>
          <w:rFonts w:ascii="Times New Roman" w:eastAsia="Times New Roman" w:hAnsi="Times New Roman" w:cs="Times New Roman"/>
        </w:rPr>
      </w:pPr>
    </w:p>
    <w:p w14:paraId="0BDA5EE3" w14:textId="77777777" w:rsidR="00991066" w:rsidRPr="009B0448" w:rsidRDefault="00991066" w:rsidP="00D47D3C">
      <w:pPr>
        <w:spacing w:line="276" w:lineRule="auto"/>
        <w:rPr>
          <w:rFonts w:ascii="Times New Roman" w:eastAsia="Times New Roman" w:hAnsi="Times New Roman" w:cs="Times New Roman"/>
          <w:b/>
        </w:rPr>
      </w:pPr>
      <w:r w:rsidRPr="009B0448">
        <w:rPr>
          <w:rFonts w:ascii="Times New Roman" w:eastAsia="Times New Roman" w:hAnsi="Times New Roman" w:cs="Times New Roman"/>
          <w:b/>
        </w:rPr>
        <w:t>Review Editors:</w:t>
      </w:r>
    </w:p>
    <w:p w14:paraId="5376D71F" w14:textId="77777777" w:rsidR="00991066" w:rsidRDefault="00991066" w:rsidP="00D47D3C">
      <w:pPr>
        <w:spacing w:line="276" w:lineRule="auto"/>
        <w:rPr>
          <w:rFonts w:ascii="Times New Roman" w:eastAsia="Times New Roman" w:hAnsi="Times New Roman" w:cs="Times New Roman"/>
        </w:rPr>
      </w:pPr>
      <w:r w:rsidRPr="009B0448">
        <w:rPr>
          <w:rFonts w:ascii="Times New Roman" w:eastAsia="Times New Roman" w:hAnsi="Times New Roman" w:cs="Times New Roman"/>
        </w:rPr>
        <w:t>Nicholas King (South Africa), Garry Petersen (Sweden)</w:t>
      </w:r>
    </w:p>
    <w:p w14:paraId="16D35D01" w14:textId="77777777" w:rsidR="00E8283E" w:rsidRDefault="00E8283E" w:rsidP="00D47D3C">
      <w:pPr>
        <w:spacing w:line="276" w:lineRule="auto"/>
        <w:rPr>
          <w:rFonts w:ascii="Times New Roman" w:eastAsia="Times New Roman" w:hAnsi="Times New Roman" w:cs="Times New Roman"/>
        </w:rPr>
      </w:pPr>
    </w:p>
    <w:p w14:paraId="45A3A7DC" w14:textId="77777777" w:rsidR="00E8283E" w:rsidRDefault="00E8283E" w:rsidP="00D47D3C">
      <w:pPr>
        <w:spacing w:line="276" w:lineRule="auto"/>
        <w:rPr>
          <w:rFonts w:ascii="Times New Roman" w:eastAsia="Times New Roman" w:hAnsi="Times New Roman" w:cs="Times New Roman"/>
        </w:rPr>
      </w:pPr>
    </w:p>
    <w:p w14:paraId="326B7B1D" w14:textId="77777777" w:rsidR="00E8283E" w:rsidRDefault="00E8283E" w:rsidP="00D47D3C">
      <w:pPr>
        <w:spacing w:line="276" w:lineRule="auto"/>
        <w:rPr>
          <w:rFonts w:ascii="Times New Roman" w:eastAsia="Times New Roman" w:hAnsi="Times New Roman" w:cs="Times New Roman"/>
        </w:rPr>
      </w:pPr>
    </w:p>
    <w:p w14:paraId="605ED95B" w14:textId="77777777" w:rsidR="00E8283E" w:rsidRDefault="00E8283E" w:rsidP="00D47D3C">
      <w:pPr>
        <w:spacing w:line="276" w:lineRule="auto"/>
        <w:rPr>
          <w:rFonts w:ascii="Times New Roman" w:eastAsia="Times New Roman" w:hAnsi="Times New Roman" w:cs="Times New Roman"/>
        </w:rPr>
      </w:pPr>
    </w:p>
    <w:p w14:paraId="31C55F63" w14:textId="77777777" w:rsidR="00E8283E" w:rsidRPr="009B0448" w:rsidRDefault="00E8283E" w:rsidP="00D47D3C">
      <w:pPr>
        <w:spacing w:line="276" w:lineRule="auto"/>
        <w:rPr>
          <w:rFonts w:ascii="Times New Roman" w:eastAsia="Times New Roman" w:hAnsi="Times New Roman" w:cs="Times New Roman"/>
        </w:rPr>
      </w:pPr>
    </w:p>
    <w:p w14:paraId="7BE91EF2" w14:textId="77777777" w:rsidR="00E8283E" w:rsidRPr="0020100B" w:rsidRDefault="00E8283E" w:rsidP="0020100B">
      <w:pPr>
        <w:spacing w:line="276" w:lineRule="auto"/>
        <w:rPr>
          <w:rFonts w:ascii="Times New Roman" w:eastAsia="Times New Roman" w:hAnsi="Times New Roman" w:cs="Times New Roman"/>
        </w:rPr>
      </w:pPr>
      <w:r w:rsidRPr="0020100B">
        <w:rPr>
          <w:rFonts w:ascii="Times New Roman" w:eastAsia="Times New Roman" w:hAnsi="Times New Roman" w:cs="Times New Roman"/>
        </w:rPr>
        <w:t xml:space="preserve">This chapter should be cited as: </w:t>
      </w:r>
    </w:p>
    <w:p w14:paraId="0D9F3E58" w14:textId="2501DF0E" w:rsidR="00991066" w:rsidRPr="009B0448" w:rsidRDefault="009A1E5A" w:rsidP="00E8283E">
      <w:pPr>
        <w:spacing w:line="276" w:lineRule="auto"/>
        <w:rPr>
          <w:rFonts w:ascii="Times New Roman" w:eastAsia="Times New Roman" w:hAnsi="Times New Roman" w:cs="Times New Roman"/>
          <w:b/>
          <w:sz w:val="20"/>
          <w:szCs w:val="20"/>
        </w:rPr>
      </w:pPr>
      <w:r w:rsidRPr="009B0448">
        <w:rPr>
          <w:rFonts w:ascii="Times New Roman" w:eastAsia="Times New Roman" w:hAnsi="Times New Roman" w:cs="Times New Roman"/>
        </w:rPr>
        <w:t>Biggs</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R</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Kizito</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F</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Adjonou</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K</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Ahmed</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M</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T</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Blanchard</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R</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Coetzer</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K</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Handa</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C</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O</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Dickens</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C</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Hamann</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M</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O'Farrell</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P</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Kellner</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K</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Reyers</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B</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Matose</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F</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Omar</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K</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Sonkoue</w:t>
      </w:r>
      <w:r w:rsidR="00E8283E">
        <w:rPr>
          <w:rFonts w:ascii="Times New Roman" w:eastAsia="Times New Roman" w:hAnsi="Times New Roman" w:cs="Times New Roman"/>
        </w:rPr>
        <w:t xml:space="preserve">, </w:t>
      </w:r>
      <w:r>
        <w:rPr>
          <w:rFonts w:ascii="Times New Roman" w:eastAsia="Times New Roman" w:hAnsi="Times New Roman" w:cs="Times New Roman"/>
        </w:rPr>
        <w:t>J-F</w:t>
      </w:r>
      <w:r w:rsidR="00E8283E">
        <w:rPr>
          <w:rFonts w:ascii="Times New Roman" w:eastAsia="Times New Roman" w:hAnsi="Times New Roman" w:cs="Times New Roman"/>
        </w:rPr>
        <w:t xml:space="preserve">., </w:t>
      </w:r>
      <w:r w:rsidRPr="009B0448">
        <w:rPr>
          <w:rFonts w:ascii="Times New Roman" w:eastAsia="Times New Roman" w:hAnsi="Times New Roman" w:cs="Times New Roman"/>
        </w:rPr>
        <w:t>Terer</w:t>
      </w:r>
      <w:r w:rsidR="00E8283E">
        <w:rPr>
          <w:rFonts w:ascii="Times New Roman" w:eastAsia="Times New Roman" w:hAnsi="Times New Roman" w:cs="Times New Roman"/>
        </w:rPr>
        <w:t xml:space="preserve">, </w:t>
      </w:r>
      <w:r>
        <w:rPr>
          <w:rFonts w:ascii="Times New Roman" w:eastAsia="Times New Roman" w:hAnsi="Times New Roman" w:cs="Times New Roman"/>
        </w:rPr>
        <w:t>T</w:t>
      </w:r>
      <w:r w:rsidR="00E8283E">
        <w:rPr>
          <w:rFonts w:ascii="Times New Roman" w:eastAsia="Times New Roman" w:hAnsi="Times New Roman" w:cs="Times New Roman"/>
        </w:rPr>
        <w:t xml:space="preserve">, </w:t>
      </w:r>
      <w:r w:rsidRPr="009B0448">
        <w:rPr>
          <w:rFonts w:ascii="Times New Roman" w:eastAsia="Times New Roman" w:hAnsi="Times New Roman" w:cs="Times New Roman"/>
        </w:rPr>
        <w:t>Vanhove</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M</w:t>
      </w:r>
      <w:r w:rsidR="00E8283E" w:rsidRPr="0020100B">
        <w:rPr>
          <w:rFonts w:ascii="Times New Roman" w:eastAsia="Times New Roman" w:hAnsi="Times New Roman" w:cs="Times New Roman"/>
        </w:rPr>
        <w:t xml:space="preserve">., </w:t>
      </w:r>
      <w:r w:rsidRPr="009B0448">
        <w:rPr>
          <w:rFonts w:ascii="Times New Roman" w:eastAsia="Times New Roman" w:hAnsi="Times New Roman" w:cs="Times New Roman"/>
        </w:rPr>
        <w:t>Sitas</w:t>
      </w:r>
      <w:r>
        <w:rPr>
          <w:rFonts w:ascii="Times New Roman" w:eastAsia="Times New Roman" w:hAnsi="Times New Roman" w:cs="Times New Roman"/>
        </w:rPr>
        <w:t xml:space="preserve">, N., </w:t>
      </w:r>
      <w:r w:rsidRPr="009B0448">
        <w:rPr>
          <w:rFonts w:ascii="Times New Roman" w:eastAsia="Times New Roman" w:hAnsi="Times New Roman" w:cs="Times New Roman"/>
        </w:rPr>
        <w:t>Abrahams</w:t>
      </w:r>
      <w:r>
        <w:rPr>
          <w:rFonts w:ascii="Times New Roman" w:eastAsia="Times New Roman" w:hAnsi="Times New Roman" w:cs="Times New Roman"/>
        </w:rPr>
        <w:t xml:space="preserve">, B., </w:t>
      </w:r>
      <w:r w:rsidRPr="009B0448">
        <w:rPr>
          <w:rFonts w:ascii="Times New Roman" w:eastAsia="Times New Roman" w:hAnsi="Times New Roman" w:cs="Times New Roman"/>
        </w:rPr>
        <w:t>Lazarova</w:t>
      </w:r>
      <w:r>
        <w:rPr>
          <w:rFonts w:ascii="Times New Roman" w:eastAsia="Times New Roman" w:hAnsi="Times New Roman" w:cs="Times New Roman"/>
        </w:rPr>
        <w:t>, T.,</w:t>
      </w:r>
      <w:r w:rsidRPr="009B0448">
        <w:rPr>
          <w:rFonts w:ascii="Times New Roman" w:eastAsia="Times New Roman" w:hAnsi="Times New Roman" w:cs="Times New Roman"/>
        </w:rPr>
        <w:t xml:space="preserve"> </w:t>
      </w:r>
      <w:r w:rsidR="00E8283E">
        <w:rPr>
          <w:rFonts w:ascii="Times New Roman" w:eastAsia="Times New Roman" w:hAnsi="Times New Roman" w:cs="Times New Roman"/>
        </w:rPr>
        <w:t xml:space="preserve">and </w:t>
      </w:r>
      <w:r w:rsidRPr="0020100B">
        <w:rPr>
          <w:rFonts w:ascii="Times New Roman" w:eastAsia="Times New Roman" w:hAnsi="Times New Roman" w:cs="Times New Roman"/>
        </w:rPr>
        <w:t>Pereira</w:t>
      </w:r>
      <w:r w:rsidR="00E8283E" w:rsidRPr="0020100B">
        <w:rPr>
          <w:rFonts w:ascii="Times New Roman" w:eastAsia="Times New Roman" w:hAnsi="Times New Roman" w:cs="Times New Roman"/>
        </w:rPr>
        <w:t xml:space="preserve">, </w:t>
      </w:r>
      <w:r w:rsidRPr="0020100B">
        <w:rPr>
          <w:rFonts w:ascii="Times New Roman" w:eastAsia="Times New Roman" w:hAnsi="Times New Roman" w:cs="Times New Roman"/>
        </w:rPr>
        <w:t>L</w:t>
      </w:r>
      <w:r w:rsidR="00E8283E" w:rsidRPr="0020100B">
        <w:rPr>
          <w:rFonts w:ascii="Times New Roman" w:eastAsia="Times New Roman" w:hAnsi="Times New Roman" w:cs="Times New Roman"/>
        </w:rPr>
        <w:t xml:space="preserve">. Chapter </w:t>
      </w:r>
      <w:r w:rsidR="007C1BC4" w:rsidRPr="0020100B">
        <w:rPr>
          <w:rFonts w:ascii="Times New Roman" w:eastAsia="Times New Roman" w:hAnsi="Times New Roman" w:cs="Times New Roman"/>
        </w:rPr>
        <w:t>5</w:t>
      </w:r>
      <w:r w:rsidR="00E8283E" w:rsidRPr="0020100B">
        <w:rPr>
          <w:rFonts w:ascii="Times New Roman" w:eastAsia="Times New Roman" w:hAnsi="Times New Roman" w:cs="Times New Roman"/>
        </w:rPr>
        <w:t xml:space="preserve">: </w:t>
      </w:r>
      <w:r w:rsidR="007C1BC4" w:rsidRPr="0020100B">
        <w:rPr>
          <w:rFonts w:ascii="Times New Roman" w:eastAsia="Times New Roman" w:hAnsi="Times New Roman" w:cs="Times New Roman"/>
        </w:rPr>
        <w:t>Current and future interactions between nature and society</w:t>
      </w:r>
      <w:r w:rsidR="00E8283E" w:rsidRPr="0020100B">
        <w:rPr>
          <w:rFonts w:ascii="Times New Roman" w:eastAsia="Times New Roman" w:hAnsi="Times New Roman" w:cs="Times New Roman"/>
        </w:rPr>
        <w:t xml:space="preserve">. In IPBES (2018): The IPBES regional assessment report on biodiversity and ecosystem services for Africa. Archer, E. Dziba, L., </w:t>
      </w:r>
      <w:r w:rsidR="00E8283E" w:rsidRPr="009B0448">
        <w:rPr>
          <w:rFonts w:ascii="Times New Roman" w:eastAsia="Times New Roman" w:hAnsi="Times New Roman" w:cs="Times New Roman"/>
        </w:rPr>
        <w:t>Mulongoy</w:t>
      </w:r>
      <w:r w:rsidR="00E8283E" w:rsidRPr="0020100B">
        <w:rPr>
          <w:rFonts w:ascii="Times New Roman" w:eastAsia="Times New Roman" w:hAnsi="Times New Roman" w:cs="Times New Roman"/>
        </w:rPr>
        <w:t>, K. J., Maoela, M. A., and Walters, M. (Eds.). Secretariat of the Intergovernmental Science-Policy Platform on Biodiversity and Ecosystem services, Bonn, Germany, pp. xx–xx.</w:t>
      </w:r>
      <w:r w:rsidR="00991066" w:rsidRPr="009B0448">
        <w:rPr>
          <w:rFonts w:ascii="Times New Roman" w:hAnsi="Times New Roman" w:cs="Times New Roman"/>
        </w:rPr>
        <w:br w:type="page"/>
      </w:r>
    </w:p>
    <w:p w14:paraId="37C46F07" w14:textId="117209EF" w:rsidR="00991066" w:rsidRPr="009B0448" w:rsidRDefault="003657D7" w:rsidP="004C2EEE">
      <w:pPr>
        <w:pStyle w:val="Heading3"/>
        <w:widowControl w:val="0"/>
        <w:tabs>
          <w:tab w:val="left" w:pos="2469"/>
        </w:tabs>
        <w:spacing w:before="240" w:after="240"/>
        <w:ind w:left="-11" w:firstLine="0"/>
        <w:rPr>
          <w:rFonts w:eastAsia="Calibri" w:cs="Times New Roman"/>
          <w:szCs w:val="24"/>
        </w:rPr>
      </w:pPr>
      <w:bookmarkStart w:id="358" w:name="_o8sb3vczxksc" w:colFirst="0" w:colLast="0"/>
      <w:bookmarkStart w:id="359" w:name="_Toc519499992"/>
      <w:bookmarkEnd w:id="358"/>
      <w:r w:rsidRPr="009B0448">
        <w:rPr>
          <w:rFonts w:eastAsia="Calibri" w:cs="Times New Roman"/>
          <w:szCs w:val="24"/>
        </w:rPr>
        <w:t>Executive Summary</w:t>
      </w:r>
      <w:bookmarkEnd w:id="359"/>
    </w:p>
    <w:p w14:paraId="1B63E55A" w14:textId="68B7B5E7" w:rsidR="00991066" w:rsidRPr="009B0448" w:rsidRDefault="00991066" w:rsidP="00D47D3C">
      <w:pPr>
        <w:spacing w:line="276" w:lineRule="auto"/>
        <w:jc w:val="both"/>
        <w:rPr>
          <w:rFonts w:ascii="Times New Roman" w:hAnsi="Times New Roman" w:cs="Times New Roman"/>
        </w:rPr>
      </w:pPr>
      <w:r w:rsidRPr="009B0448">
        <w:rPr>
          <w:rFonts w:ascii="Times New Roman" w:hAnsi="Times New Roman" w:cs="Times New Roman"/>
          <w:b/>
        </w:rPr>
        <w:t xml:space="preserve">Scenario planning is a key approach for exploring the longer term consequences of nature-society interactions, and are used to inform </w:t>
      </w:r>
      <w:r w:rsidR="00917FB2">
        <w:rPr>
          <w:rFonts w:ascii="Times New Roman" w:hAnsi="Times New Roman" w:cs="Times New Roman"/>
          <w:b/>
        </w:rPr>
        <w:t>policy making</w:t>
      </w:r>
      <w:r w:rsidRPr="009B0448">
        <w:rPr>
          <w:rFonts w:ascii="Times New Roman" w:hAnsi="Times New Roman" w:cs="Times New Roman"/>
          <w:b/>
        </w:rPr>
        <w:t xml:space="preserve"> about the potential risks, opportunities and </w:t>
      </w:r>
      <w:r w:rsidR="0078478B" w:rsidRPr="009B0448">
        <w:rPr>
          <w:rFonts w:ascii="Times New Roman" w:hAnsi="Times New Roman" w:cs="Times New Roman"/>
          <w:b/>
        </w:rPr>
        <w:t>trade-offs</w:t>
      </w:r>
      <w:r w:rsidRPr="009B0448">
        <w:rPr>
          <w:rFonts w:ascii="Times New Roman" w:hAnsi="Times New Roman" w:cs="Times New Roman"/>
          <w:b/>
        </w:rPr>
        <w:t xml:space="preserve"> of different possible future pathways of change. </w:t>
      </w:r>
      <w:r w:rsidRPr="009B0448">
        <w:rPr>
          <w:rFonts w:ascii="Times New Roman" w:hAnsi="Times New Roman" w:cs="Times New Roman"/>
        </w:rPr>
        <w:t>Scenarios do not aim to forecast or predict the future, but rather to highlight how different potential futures may unfold and thereby assist in the formulation and implementation of policies and interventions. This assessment identified 355 scenario studies published since 2005 that have explored the future of biodiversity and N</w:t>
      </w:r>
      <w:r w:rsidR="004B7027" w:rsidRPr="009B0448">
        <w:rPr>
          <w:rFonts w:ascii="Times New Roman" w:hAnsi="Times New Roman" w:cs="Times New Roman"/>
        </w:rPr>
        <w:t>ature’s contributions to people (NCP)</w:t>
      </w:r>
      <w:r w:rsidRPr="009B0448">
        <w:rPr>
          <w:rFonts w:ascii="Times New Roman" w:hAnsi="Times New Roman" w:cs="Times New Roman"/>
        </w:rPr>
        <w:t xml:space="preserve"> across Africa. The different scenario studies were clustered and compared in terms of five major alternative trajectories (or archetypes) of future change across Africa, respectively </w:t>
      </w:r>
      <w:r w:rsidR="00264EBF" w:rsidRPr="009B0448">
        <w:rPr>
          <w:rFonts w:ascii="Times New Roman" w:hAnsi="Times New Roman" w:cs="Times New Roman"/>
        </w:rPr>
        <w:t>emphasis</w:t>
      </w:r>
      <w:r w:rsidRPr="009B0448">
        <w:rPr>
          <w:rFonts w:ascii="Times New Roman" w:hAnsi="Times New Roman" w:cs="Times New Roman"/>
        </w:rPr>
        <w:t>ing markets, policy reform, security (fortress world), and reg</w:t>
      </w:r>
      <w:r w:rsidR="003657D7" w:rsidRPr="009B0448">
        <w:rPr>
          <w:rFonts w:ascii="Times New Roman" w:hAnsi="Times New Roman" w:cs="Times New Roman"/>
        </w:rPr>
        <w:t xml:space="preserve">ional and local sustainability {5.1.1, 5.2.1, </w:t>
      </w:r>
      <w:r w:rsidRPr="009B0448">
        <w:rPr>
          <w:rFonts w:ascii="Times New Roman" w:hAnsi="Times New Roman" w:cs="Times New Roman"/>
        </w:rPr>
        <w:t>5.3</w:t>
      </w:r>
      <w:r w:rsidR="003657D7" w:rsidRPr="009B0448">
        <w:rPr>
          <w:rFonts w:ascii="Times New Roman" w:hAnsi="Times New Roman" w:cs="Times New Roman"/>
        </w:rPr>
        <w:t>}</w:t>
      </w:r>
      <w:r w:rsidRPr="009B0448">
        <w:rPr>
          <w:rFonts w:ascii="Times New Roman" w:hAnsi="Times New Roman" w:cs="Times New Roman"/>
        </w:rPr>
        <w:t>.</w:t>
      </w:r>
    </w:p>
    <w:p w14:paraId="3558F663" w14:textId="77777777" w:rsidR="00D47D3C" w:rsidRPr="009B0448" w:rsidRDefault="00D47D3C" w:rsidP="00D47D3C">
      <w:pPr>
        <w:spacing w:line="276" w:lineRule="auto"/>
        <w:jc w:val="both"/>
        <w:rPr>
          <w:rFonts w:ascii="Times New Roman" w:hAnsi="Times New Roman" w:cs="Times New Roman"/>
          <w:b/>
        </w:rPr>
      </w:pPr>
    </w:p>
    <w:p w14:paraId="4254C9E8" w14:textId="6C5C1405" w:rsidR="003657D7" w:rsidRPr="009B0448" w:rsidRDefault="00991066" w:rsidP="00D47D3C">
      <w:pPr>
        <w:spacing w:line="276" w:lineRule="auto"/>
        <w:jc w:val="both"/>
        <w:rPr>
          <w:rFonts w:ascii="Times New Roman" w:hAnsi="Times New Roman" w:cs="Times New Roman"/>
          <w:b/>
        </w:rPr>
      </w:pPr>
      <w:r w:rsidRPr="009B0448">
        <w:rPr>
          <w:rFonts w:ascii="Times New Roman" w:hAnsi="Times New Roman" w:cs="Times New Roman"/>
          <w:b/>
        </w:rPr>
        <w:t xml:space="preserve">For Africa as a whole, drivers related to population, </w:t>
      </w:r>
      <w:r w:rsidR="00574E50" w:rsidRPr="009B0448">
        <w:rPr>
          <w:rFonts w:ascii="Times New Roman" w:hAnsi="Times New Roman" w:cs="Times New Roman"/>
          <w:b/>
        </w:rPr>
        <w:t>urbanis</w:t>
      </w:r>
      <w:r w:rsidRPr="009B0448">
        <w:rPr>
          <w:rFonts w:ascii="Times New Roman" w:hAnsi="Times New Roman" w:cs="Times New Roman"/>
          <w:b/>
        </w:rPr>
        <w:t xml:space="preserve">ation, consumption and natural resource use are expected to increase under all five major scenario trajectories assessed. </w:t>
      </w:r>
    </w:p>
    <w:p w14:paraId="6262649E" w14:textId="21BD77F2"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Similarly,</w:t>
      </w:r>
      <w:r w:rsidRPr="009B0448">
        <w:rPr>
          <w:rFonts w:ascii="Times New Roman" w:eastAsia="Times New Roman" w:hAnsi="Times New Roman" w:cs="Times New Roman"/>
          <w:b/>
        </w:rPr>
        <w:t xml:space="preserve"> </w:t>
      </w:r>
      <w:r w:rsidRPr="009B0448">
        <w:rPr>
          <w:rFonts w:ascii="Times New Roman" w:eastAsia="Times New Roman" w:hAnsi="Times New Roman" w:cs="Times New Roman"/>
        </w:rPr>
        <w:t xml:space="preserve">the impacts of climate change impacts in Africa are expected to increase under most scenarios (5.4, </w:t>
      </w:r>
      <w:r w:rsidRPr="00677752">
        <w:rPr>
          <w:rFonts w:ascii="Times New Roman" w:eastAsia="Times New Roman" w:hAnsi="Times New Roman" w:cs="Times New Roman"/>
          <w:i/>
        </w:rPr>
        <w:t>established but incomplete</w:t>
      </w:r>
      <w:r w:rsidRPr="009B0448">
        <w:rPr>
          <w:rFonts w:ascii="Times New Roman" w:eastAsia="Times New Roman" w:hAnsi="Times New Roman" w:cs="Times New Roman"/>
        </w:rPr>
        <w:t xml:space="preserve">). However, substantial variation in all key drivers is expected between regions and different scenarios. The largest populations on the continent are expected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scenarios, but remain largely rural with high direct dependence on natural resources, leading to sustained pressure on biodiversity and NCP. The lowest populations are expected under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scenarios, and are expected to be largely concentrated in large urban centres. However, increased wealth, consumption and global trade under this scenario also leads to high demand for food and</w:t>
      </w:r>
      <w:r w:rsidR="00154FAA" w:rsidRPr="009B0448">
        <w:rPr>
          <w:rFonts w:ascii="Times New Roman" w:eastAsia="Times New Roman" w:hAnsi="Times New Roman" w:cs="Times New Roman"/>
        </w:rPr>
        <w:t xml:space="preserve"> other resources across Africa {</w:t>
      </w:r>
      <w:r w:rsidRPr="009B0448">
        <w:rPr>
          <w:rFonts w:ascii="Times New Roman" w:eastAsia="Times New Roman" w:hAnsi="Times New Roman" w:cs="Times New Roman"/>
        </w:rPr>
        <w:t>5.4</w:t>
      </w:r>
      <w:r w:rsidR="00154FAA" w:rsidRPr="009B0448">
        <w:rPr>
          <w:rFonts w:ascii="Times New Roman" w:eastAsia="Times New Roman" w:hAnsi="Times New Roman" w:cs="Times New Roman"/>
        </w:rPr>
        <w:t>}</w:t>
      </w:r>
      <w:r w:rsidRPr="009B0448">
        <w:rPr>
          <w:rFonts w:ascii="Times New Roman" w:eastAsia="Times New Roman" w:hAnsi="Times New Roman" w:cs="Times New Roman"/>
        </w:rPr>
        <w:t xml:space="preserve"> </w:t>
      </w:r>
      <w:r w:rsidR="00154FAA" w:rsidRPr="009B0448">
        <w:rPr>
          <w:rFonts w:ascii="Times New Roman" w:eastAsia="Times New Roman" w:hAnsi="Times New Roman" w:cs="Times New Roman"/>
        </w:rPr>
        <w:t>(</w:t>
      </w:r>
      <w:r w:rsidRPr="009B0448">
        <w:rPr>
          <w:rFonts w:ascii="Times New Roman" w:eastAsia="Times New Roman" w:hAnsi="Times New Roman" w:cs="Times New Roman"/>
          <w:i/>
        </w:rPr>
        <w:t>established but incomplete)</w:t>
      </w:r>
      <w:r w:rsidR="00D47D3C" w:rsidRPr="009B0448">
        <w:rPr>
          <w:rFonts w:ascii="Times New Roman" w:eastAsia="Times New Roman" w:hAnsi="Times New Roman" w:cs="Times New Roman"/>
        </w:rPr>
        <w:t xml:space="preserve">. </w:t>
      </w:r>
    </w:p>
    <w:p w14:paraId="169D0B0C" w14:textId="77777777" w:rsidR="00D47D3C" w:rsidRPr="009B0448" w:rsidRDefault="00D47D3C" w:rsidP="00D47D3C">
      <w:pPr>
        <w:spacing w:line="276" w:lineRule="auto"/>
        <w:jc w:val="both"/>
        <w:rPr>
          <w:rFonts w:ascii="Times New Roman" w:eastAsia="Times New Roman" w:hAnsi="Times New Roman" w:cs="Times New Roman"/>
          <w:b/>
        </w:rPr>
      </w:pPr>
    </w:p>
    <w:p w14:paraId="73BAE0B4" w14:textId="0606EE73"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Under most future scenarios,</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b/>
        </w:rPr>
        <w:t>Africa is increasingly interconnected with the rest of the world through global markets and trade</w:t>
      </w:r>
      <w:r w:rsidR="004B7027" w:rsidRPr="009B0448">
        <w:rPr>
          <w:rFonts w:ascii="Times New Roman" w:eastAsia="Times New Roman" w:hAnsi="Times New Roman" w:cs="Times New Roman"/>
          <w:b/>
        </w:rPr>
        <w:t xml:space="preserve"> </w:t>
      </w:r>
      <w:r w:rsidR="004B7027" w:rsidRPr="009B0448">
        <w:rPr>
          <w:rFonts w:ascii="Times New Roman" w:eastAsia="Times New Roman" w:hAnsi="Times New Roman" w:cs="Times New Roman"/>
          <w:b/>
          <w:i/>
        </w:rPr>
        <w:t>(established but incomplete)</w:t>
      </w:r>
      <w:r w:rsidRPr="009B0448">
        <w:rPr>
          <w:rFonts w:ascii="Times New Roman" w:eastAsia="Times New Roman" w:hAnsi="Times New Roman" w:cs="Times New Roman"/>
          <w:b/>
        </w:rPr>
        <w:t xml:space="preserve">. </w:t>
      </w:r>
      <w:r w:rsidRPr="009B0448">
        <w:rPr>
          <w:rFonts w:ascii="Times New Roman" w:eastAsia="Times New Roman" w:hAnsi="Times New Roman" w:cs="Times New Roman"/>
        </w:rPr>
        <w:t xml:space="preserve">Connections between different </w:t>
      </w:r>
      <w:r w:rsidR="00B22D81">
        <w:rPr>
          <w:rFonts w:ascii="Times New Roman" w:eastAsia="Times New Roman" w:hAnsi="Times New Roman" w:cs="Times New Roman"/>
        </w:rPr>
        <w:t>subregion</w:t>
      </w:r>
      <w:r w:rsidRPr="009B0448">
        <w:rPr>
          <w:rFonts w:ascii="Times New Roman" w:eastAsia="Times New Roman" w:hAnsi="Times New Roman" w:cs="Times New Roman"/>
        </w:rPr>
        <w:t>s in Africa are also likely to increase. Consequently,</w:t>
      </w:r>
      <w:r w:rsidRPr="009B0448">
        <w:rPr>
          <w:rFonts w:ascii="Times New Roman" w:eastAsia="Times New Roman" w:hAnsi="Times New Roman" w:cs="Times New Roman"/>
          <w:b/>
        </w:rPr>
        <w:t xml:space="preserve"> </w:t>
      </w:r>
      <w:r w:rsidRPr="009B0448">
        <w:rPr>
          <w:rFonts w:ascii="Times New Roman" w:eastAsia="Times New Roman" w:hAnsi="Times New Roman" w:cs="Times New Roman"/>
        </w:rPr>
        <w:t xml:space="preserve">decisions and activities elsewhere in the world and in different parts of the continent may increasingly affect human well-being, NCP and biodiversity across Africa (5.8, </w:t>
      </w:r>
      <w:r w:rsidRPr="009B0448">
        <w:rPr>
          <w:rFonts w:ascii="Times New Roman" w:eastAsia="Times New Roman" w:hAnsi="Times New Roman" w:cs="Times New Roman"/>
          <w:i/>
        </w:rPr>
        <w:t>established but incomplete</w:t>
      </w:r>
      <w:r w:rsidRPr="009B0448">
        <w:rPr>
          <w:rFonts w:ascii="Times New Roman" w:eastAsia="Times New Roman" w:hAnsi="Times New Roman" w:cs="Times New Roman"/>
        </w:rPr>
        <w:t>). Large-scale resource extraction by multi-national companies are expected to lead to land grabbing, increased conflict, displacement and migration under several scenarios (5.4.4; 5.8, established but incomplete). While global trade has the potential to catalyse further economic and social development in Africa, this assessment suggests that under many scenarios the primary beneficiaries are overseas markets and investors. In the longer term, ecosystem service provision and local food security in Africa may be undermined unless trade and the distribution of its b</w:t>
      </w:r>
      <w:r w:rsidR="00154FAA" w:rsidRPr="009B0448">
        <w:rPr>
          <w:rFonts w:ascii="Times New Roman" w:eastAsia="Times New Roman" w:hAnsi="Times New Roman" w:cs="Times New Roman"/>
        </w:rPr>
        <w:t>enefits are carefully governed {</w:t>
      </w:r>
      <w:r w:rsidRPr="009B0448">
        <w:rPr>
          <w:rFonts w:ascii="Times New Roman" w:eastAsia="Times New Roman" w:hAnsi="Times New Roman" w:cs="Times New Roman"/>
        </w:rPr>
        <w:t>5.8</w:t>
      </w:r>
      <w:r w:rsidR="00154FAA" w:rsidRPr="009B0448">
        <w:rPr>
          <w:rFonts w:ascii="Times New Roman" w:eastAsia="Times New Roman" w:hAnsi="Times New Roman" w:cs="Times New Roman"/>
        </w:rPr>
        <w:t>}</w:t>
      </w:r>
      <w:r w:rsidR="004B7027" w:rsidRPr="009B0448">
        <w:rPr>
          <w:rFonts w:ascii="Times New Roman" w:eastAsia="Times New Roman" w:hAnsi="Times New Roman" w:cs="Times New Roman"/>
        </w:rPr>
        <w:t>.</w:t>
      </w:r>
      <w:r w:rsidR="00154FAA" w:rsidRPr="009B0448">
        <w:rPr>
          <w:rFonts w:ascii="Times New Roman" w:eastAsia="Times New Roman" w:hAnsi="Times New Roman" w:cs="Times New Roman"/>
        </w:rPr>
        <w:t xml:space="preserve"> </w:t>
      </w:r>
    </w:p>
    <w:p w14:paraId="30F1166C" w14:textId="77777777" w:rsidR="00D47D3C" w:rsidRPr="009B0448" w:rsidRDefault="00D47D3C" w:rsidP="00D47D3C">
      <w:pPr>
        <w:spacing w:line="276" w:lineRule="auto"/>
        <w:jc w:val="both"/>
        <w:rPr>
          <w:rFonts w:ascii="Times New Roman" w:eastAsia="Times New Roman" w:hAnsi="Times New Roman" w:cs="Times New Roman"/>
        </w:rPr>
      </w:pPr>
    </w:p>
    <w:p w14:paraId="634B5B64" w14:textId="5BE65398"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The impacts of human activities are expected to result in further losses of terrestrial, freshwater and marine biodiversity, as well most reductions in many provisioning and regulating services across Africa</w:t>
      </w:r>
      <w:r w:rsidR="004B7027" w:rsidRPr="009B0448">
        <w:rPr>
          <w:rFonts w:ascii="Times New Roman" w:eastAsia="Times New Roman" w:hAnsi="Times New Roman" w:cs="Times New Roman"/>
          <w:b/>
        </w:rPr>
        <w:t xml:space="preserve"> </w:t>
      </w:r>
      <w:r w:rsidR="004B7027" w:rsidRPr="009B0448">
        <w:rPr>
          <w:rFonts w:ascii="Times New Roman" w:eastAsia="Times New Roman" w:hAnsi="Times New Roman" w:cs="Times New Roman"/>
          <w:b/>
          <w:i/>
        </w:rPr>
        <w:t>(established, but incomplete)</w:t>
      </w:r>
      <w:r w:rsidRPr="009B0448">
        <w:rPr>
          <w:rFonts w:ascii="Times New Roman" w:eastAsia="Times New Roman" w:hAnsi="Times New Roman" w:cs="Times New Roman"/>
          <w:b/>
        </w:rPr>
        <w:t xml:space="preserve">. </w:t>
      </w:r>
      <w:r w:rsidRPr="009B0448">
        <w:rPr>
          <w:rFonts w:ascii="Times New Roman" w:eastAsia="Times New Roman" w:hAnsi="Times New Roman" w:cs="Times New Roman"/>
        </w:rPr>
        <w:t xml:space="preserve">In the </w:t>
      </w:r>
      <w:r w:rsidR="000B06FE" w:rsidRPr="009B0448">
        <w:rPr>
          <w:rFonts w:ascii="Times New Roman" w:eastAsia="Times New Roman" w:hAnsi="Times New Roman" w:cs="Times New Roman"/>
        </w:rPr>
        <w:t>short-term</w:t>
      </w:r>
      <w:r w:rsidRPr="009B0448">
        <w:rPr>
          <w:rFonts w:ascii="Times New Roman" w:eastAsia="Times New Roman" w:hAnsi="Times New Roman" w:cs="Times New Roman"/>
        </w:rPr>
        <w:t>,</w:t>
      </w:r>
      <w:r w:rsidRPr="009B0448">
        <w:rPr>
          <w:rFonts w:ascii="Times New Roman" w:eastAsia="Times New Roman" w:hAnsi="Times New Roman" w:cs="Times New Roman"/>
          <w:b/>
        </w:rPr>
        <w:t xml:space="preserve"> </w:t>
      </w:r>
      <w:r w:rsidRPr="009B0448">
        <w:rPr>
          <w:rFonts w:ascii="Times New Roman" w:eastAsia="Times New Roman" w:hAnsi="Times New Roman" w:cs="Times New Roman"/>
        </w:rPr>
        <w:t xml:space="preserve">habitat loss through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change may have more severe consequences for biodiversity and NCP than a changing </w:t>
      </w:r>
      <w:r w:rsidRPr="00677752">
        <w:rPr>
          <w:rFonts w:ascii="Times New Roman" w:eastAsia="Times New Roman" w:hAnsi="Times New Roman" w:cs="Times New Roman"/>
        </w:rPr>
        <w:t>climate.</w:t>
      </w:r>
      <w:r w:rsidR="00677752">
        <w:rPr>
          <w:rFonts w:ascii="Times New Roman" w:eastAsia="Times New Roman" w:hAnsi="Times New Roman" w:cs="Times New Roman"/>
        </w:rPr>
        <w:t xml:space="preserve"> </w:t>
      </w:r>
      <w:r w:rsidRPr="009B0448">
        <w:rPr>
          <w:rFonts w:ascii="Times New Roman" w:eastAsia="Times New Roman" w:hAnsi="Times New Roman" w:cs="Times New Roman"/>
        </w:rPr>
        <w:t>Current protected areas across Africa are generally not well aligned with future climate-related range shifts of species, implying increased resource needs to meet conservation objectives in the future. Although there is variation in the level of water availability across different scenarios and regions, water stress in Africa is expected to increase under all scenarios, particularly in the south</w:t>
      </w:r>
      <w:r w:rsidR="00154FAA" w:rsidRPr="009B0448">
        <w:rPr>
          <w:rFonts w:ascii="Times New Roman" w:eastAsia="Times New Roman" w:hAnsi="Times New Roman" w:cs="Times New Roman"/>
        </w:rPr>
        <w:t xml:space="preserve">ern African region. Similarly, </w:t>
      </w:r>
      <w:r w:rsidRPr="009B0448">
        <w:rPr>
          <w:rFonts w:ascii="Times New Roman" w:eastAsia="Times New Roman" w:hAnsi="Times New Roman" w:cs="Times New Roman"/>
        </w:rPr>
        <w:t xml:space="preserve">pollination services and regulation of climate and storm protection in Africa are likely to decrease under most scenarios. On the other hand, terrestrial food production and energy provision through biofuels is expected to increase under most future scenarios </w:t>
      </w:r>
      <w:r w:rsidR="00154FAA" w:rsidRPr="009B0448">
        <w:rPr>
          <w:rFonts w:ascii="Times New Roman" w:eastAsia="Times New Roman" w:hAnsi="Times New Roman" w:cs="Times New Roman"/>
        </w:rPr>
        <w:t>{</w:t>
      </w:r>
      <w:r w:rsidRPr="009B0448">
        <w:rPr>
          <w:rFonts w:ascii="Times New Roman" w:eastAsia="Times New Roman" w:hAnsi="Times New Roman" w:cs="Times New Roman"/>
        </w:rPr>
        <w:t>5.5</w:t>
      </w:r>
      <w:r w:rsidR="00154FAA" w:rsidRPr="009B0448">
        <w:rPr>
          <w:rFonts w:ascii="Times New Roman" w:eastAsia="Times New Roman" w:hAnsi="Times New Roman" w:cs="Times New Roman"/>
        </w:rPr>
        <w:t>}</w:t>
      </w:r>
      <w:r w:rsidR="004B7027" w:rsidRPr="009B0448">
        <w:rPr>
          <w:rFonts w:ascii="Times New Roman" w:eastAsia="Times New Roman" w:hAnsi="Times New Roman" w:cs="Times New Roman"/>
        </w:rPr>
        <w:t>.</w:t>
      </w:r>
      <w:r w:rsidR="00154FAA" w:rsidRPr="009B0448">
        <w:rPr>
          <w:rFonts w:ascii="Times New Roman" w:eastAsia="Times New Roman" w:hAnsi="Times New Roman" w:cs="Times New Roman"/>
        </w:rPr>
        <w:t xml:space="preserve"> </w:t>
      </w:r>
    </w:p>
    <w:p w14:paraId="7CAF354F" w14:textId="77777777" w:rsidR="00D47D3C" w:rsidRPr="009B0448" w:rsidRDefault="00D47D3C" w:rsidP="00D47D3C">
      <w:pPr>
        <w:spacing w:line="276" w:lineRule="auto"/>
        <w:jc w:val="both"/>
        <w:rPr>
          <w:rFonts w:ascii="Times New Roman" w:eastAsia="Times New Roman" w:hAnsi="Times New Roman" w:cs="Times New Roman"/>
        </w:rPr>
      </w:pPr>
    </w:p>
    <w:p w14:paraId="5CFDEADC" w14:textId="648590C5"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Increasing trade-offs are expected in the water-food-energy nexus</w:t>
      </w:r>
      <w:r w:rsidRPr="009B0448">
        <w:rPr>
          <w:rFonts w:ascii="Times New Roman" w:eastAsia="Times New Roman" w:hAnsi="Times New Roman" w:cs="Times New Roman"/>
        </w:rPr>
        <w:t xml:space="preserve">. The increase in trade-offs is particularly pronounced under scenarios that </w:t>
      </w:r>
      <w:r w:rsidR="00264EBF" w:rsidRPr="009B0448">
        <w:rPr>
          <w:rFonts w:ascii="Times New Roman" w:eastAsia="Times New Roman" w:hAnsi="Times New Roman" w:cs="Times New Roman"/>
        </w:rPr>
        <w:t>emphasis</w:t>
      </w:r>
      <w:r w:rsidRPr="009B0448">
        <w:rPr>
          <w:rFonts w:ascii="Times New Roman" w:eastAsia="Times New Roman" w:hAnsi="Times New Roman" w:cs="Times New Roman"/>
        </w:rPr>
        <w:t xml:space="preserve">e economic growth (5.7; 5.8, </w:t>
      </w:r>
      <w:r w:rsidRPr="009B0448">
        <w:rPr>
          <w:rFonts w:ascii="Times New Roman" w:eastAsia="Times New Roman" w:hAnsi="Times New Roman" w:cs="Times New Roman"/>
          <w:i/>
        </w:rPr>
        <w:t>established but incomplete</w:t>
      </w:r>
      <w:r w:rsidRPr="009B0448">
        <w:rPr>
          <w:rFonts w:ascii="Times New Roman" w:eastAsia="Times New Roman" w:hAnsi="Times New Roman" w:cs="Times New Roman"/>
        </w:rPr>
        <w:t xml:space="preserve">). There are more opportunities for synergies under scenarios that </w:t>
      </w:r>
      <w:r w:rsidR="00264EBF" w:rsidRPr="009B0448">
        <w:rPr>
          <w:rFonts w:ascii="Times New Roman" w:eastAsia="Times New Roman" w:hAnsi="Times New Roman" w:cs="Times New Roman"/>
        </w:rPr>
        <w:t>emphasis</w:t>
      </w:r>
      <w:r w:rsidRPr="009B0448">
        <w:rPr>
          <w:rFonts w:ascii="Times New Roman" w:eastAsia="Times New Roman" w:hAnsi="Times New Roman" w:cs="Times New Roman"/>
        </w:rPr>
        <w:t xml:space="preserve">e sustainability and the adoption and enforcement policies that increase and modernise agricultural production and access (5.7 </w:t>
      </w:r>
      <w:r w:rsidRPr="009B0448">
        <w:rPr>
          <w:rFonts w:ascii="Times New Roman" w:eastAsia="Times New Roman" w:hAnsi="Times New Roman" w:cs="Times New Roman"/>
          <w:i/>
        </w:rPr>
        <w:t>established, but incomplete</w:t>
      </w:r>
      <w:r w:rsidRPr="009B0448">
        <w:rPr>
          <w:rFonts w:ascii="Times New Roman" w:eastAsia="Times New Roman" w:hAnsi="Times New Roman" w:cs="Times New Roman"/>
        </w:rPr>
        <w:t>). Under all scenarios, achieving the goal of eradicating hunger is unlikely without compromising water quality. Energy security and access is best met under scenarios that focus on mitigating the impacts of climate change through proactive climate action and efforts to enhan</w:t>
      </w:r>
      <w:r w:rsidR="00677752">
        <w:rPr>
          <w:rFonts w:ascii="Times New Roman" w:eastAsia="Times New Roman" w:hAnsi="Times New Roman" w:cs="Times New Roman"/>
        </w:rPr>
        <w:t>ce regional sustainability (5.4;</w:t>
      </w:r>
      <w:r w:rsidRPr="009B0448">
        <w:rPr>
          <w:rFonts w:ascii="Times New Roman" w:eastAsia="Times New Roman" w:hAnsi="Times New Roman" w:cs="Times New Roman"/>
        </w:rPr>
        <w:t xml:space="preserve"> 5.7, </w:t>
      </w:r>
      <w:r w:rsidRPr="009B0448">
        <w:rPr>
          <w:rFonts w:ascii="Times New Roman" w:eastAsia="Times New Roman" w:hAnsi="Times New Roman" w:cs="Times New Roman"/>
          <w:i/>
        </w:rPr>
        <w:t>established but incomplete</w:t>
      </w:r>
      <w:r w:rsidRPr="009B0448">
        <w:rPr>
          <w:rFonts w:ascii="Times New Roman" w:eastAsia="Times New Roman" w:hAnsi="Times New Roman" w:cs="Times New Roman"/>
        </w:rPr>
        <w:t>).</w:t>
      </w:r>
    </w:p>
    <w:p w14:paraId="5631B933" w14:textId="77777777" w:rsidR="00D47D3C" w:rsidRPr="009B0448" w:rsidRDefault="00D47D3C" w:rsidP="00D47D3C">
      <w:pPr>
        <w:spacing w:line="276" w:lineRule="auto"/>
        <w:jc w:val="both"/>
        <w:rPr>
          <w:rFonts w:ascii="Times New Roman" w:eastAsia="Times New Roman" w:hAnsi="Times New Roman" w:cs="Times New Roman"/>
        </w:rPr>
      </w:pPr>
    </w:p>
    <w:p w14:paraId="1427EA78" w14:textId="2EB1213B"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Overall levels of human well-being are expected to improve under most future scenario trajectories, but Africa continues to face unique challenges</w:t>
      </w:r>
      <w:r w:rsidR="004B7027" w:rsidRPr="009B0448">
        <w:rPr>
          <w:rFonts w:ascii="Times New Roman" w:eastAsia="Times New Roman" w:hAnsi="Times New Roman" w:cs="Times New Roman"/>
        </w:rPr>
        <w:t xml:space="preserve"> </w:t>
      </w:r>
      <w:r w:rsidR="004B7027" w:rsidRPr="009B0448">
        <w:rPr>
          <w:rFonts w:ascii="Times New Roman" w:eastAsia="Times New Roman" w:hAnsi="Times New Roman" w:cs="Times New Roman"/>
          <w:b/>
          <w:i/>
        </w:rPr>
        <w:t>(established but incomplete)</w:t>
      </w:r>
      <w:r w:rsidRPr="009B0448">
        <w:rPr>
          <w:rFonts w:ascii="Times New Roman" w:eastAsia="Times New Roman" w:hAnsi="Times New Roman" w:cs="Times New Roman"/>
          <w:b/>
        </w:rPr>
        <w:t xml:space="preserve">. </w:t>
      </w:r>
      <w:r w:rsidRPr="009B0448">
        <w:rPr>
          <w:rFonts w:ascii="Times New Roman" w:eastAsia="Times New Roman" w:hAnsi="Times New Roman" w:cs="Times New Roman"/>
        </w:rPr>
        <w:t>Poverty is generally expected to decline, but major pockets of poverty persist, particularly in rural areas. Equity similarly shows mixed results, with progress towards greater equity threatened by patchy development across Africa and asset capture by foreign companies. Health is not expected to improve significantly under most scenarios, though health concerns shift from lack of access to food and medicine to problems associated with modern lifestyles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diabetes, air pollution). Security and freedom of choice are only expected to improve significantly under very particular scenario conditions where global cooperation and African national governance align effectively </w:t>
      </w:r>
      <w:r w:rsidR="004B7027" w:rsidRPr="009B0448">
        <w:rPr>
          <w:rFonts w:ascii="Times New Roman" w:eastAsia="Times New Roman" w:hAnsi="Times New Roman" w:cs="Times New Roman"/>
        </w:rPr>
        <w:t>{</w:t>
      </w:r>
      <w:r w:rsidRPr="009B0448">
        <w:rPr>
          <w:rFonts w:ascii="Times New Roman" w:eastAsia="Times New Roman" w:hAnsi="Times New Roman" w:cs="Times New Roman"/>
        </w:rPr>
        <w:t>5.5</w:t>
      </w:r>
      <w:r w:rsidR="004B7027" w:rsidRPr="009B0448">
        <w:rPr>
          <w:rFonts w:ascii="Times New Roman" w:eastAsia="Times New Roman" w:hAnsi="Times New Roman" w:cs="Times New Roman"/>
        </w:rPr>
        <w:t>}.</w:t>
      </w:r>
      <w:r w:rsidRPr="009B0448">
        <w:rPr>
          <w:rFonts w:ascii="Times New Roman" w:eastAsia="Times New Roman" w:hAnsi="Times New Roman" w:cs="Times New Roman"/>
        </w:rPr>
        <w:t xml:space="preserve"> </w:t>
      </w:r>
    </w:p>
    <w:p w14:paraId="2EE65AAF" w14:textId="77777777" w:rsidR="00D47D3C" w:rsidRPr="009B0448" w:rsidRDefault="00D47D3C" w:rsidP="00D47D3C">
      <w:pPr>
        <w:spacing w:line="276" w:lineRule="auto"/>
        <w:jc w:val="both"/>
        <w:rPr>
          <w:rFonts w:ascii="Times New Roman" w:eastAsia="Times New Roman" w:hAnsi="Times New Roman" w:cs="Times New Roman"/>
        </w:rPr>
      </w:pPr>
    </w:p>
    <w:p w14:paraId="5A5AAA53" w14:textId="06982980"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Alignment of the Agenda 2063 aspirations, S</w:t>
      </w:r>
      <w:r w:rsidR="004B7027" w:rsidRPr="009B0448">
        <w:rPr>
          <w:rFonts w:ascii="Times New Roman" w:eastAsia="Times New Roman" w:hAnsi="Times New Roman" w:cs="Times New Roman"/>
          <w:b/>
        </w:rPr>
        <w:t xml:space="preserve">ustainable </w:t>
      </w:r>
      <w:r w:rsidRPr="009B0448">
        <w:rPr>
          <w:rFonts w:ascii="Times New Roman" w:eastAsia="Times New Roman" w:hAnsi="Times New Roman" w:cs="Times New Roman"/>
          <w:b/>
        </w:rPr>
        <w:t>D</w:t>
      </w:r>
      <w:r w:rsidR="004B7027" w:rsidRPr="009B0448">
        <w:rPr>
          <w:rFonts w:ascii="Times New Roman" w:eastAsia="Times New Roman" w:hAnsi="Times New Roman" w:cs="Times New Roman"/>
          <w:b/>
        </w:rPr>
        <w:t xml:space="preserve">evelopment </w:t>
      </w:r>
      <w:r w:rsidRPr="009B0448">
        <w:rPr>
          <w:rFonts w:ascii="Times New Roman" w:eastAsia="Times New Roman" w:hAnsi="Times New Roman" w:cs="Times New Roman"/>
          <w:b/>
        </w:rPr>
        <w:t>G</w:t>
      </w:r>
      <w:r w:rsidR="004B7027" w:rsidRPr="009B0448">
        <w:rPr>
          <w:rFonts w:ascii="Times New Roman" w:eastAsia="Times New Roman" w:hAnsi="Times New Roman" w:cs="Times New Roman"/>
          <w:b/>
        </w:rPr>
        <w:t>oals</w:t>
      </w:r>
      <w:r w:rsidRPr="009B0448">
        <w:rPr>
          <w:rFonts w:ascii="Times New Roman" w:eastAsia="Times New Roman" w:hAnsi="Times New Roman" w:cs="Times New Roman"/>
          <w:b/>
        </w:rPr>
        <w:t xml:space="preserve"> and Aichi targets can facilitate interventions that achieve multiple transformative outcomes by linking the conse</w:t>
      </w:r>
      <w:r w:rsidR="000B722F" w:rsidRPr="009B0448">
        <w:rPr>
          <w:rFonts w:ascii="Times New Roman" w:eastAsia="Times New Roman" w:hAnsi="Times New Roman" w:cs="Times New Roman"/>
          <w:b/>
        </w:rPr>
        <w:t>rvation of biodiversity and NCP</w:t>
      </w:r>
      <w:r w:rsidRPr="009B0448">
        <w:rPr>
          <w:rFonts w:ascii="Times New Roman" w:eastAsia="Times New Roman" w:hAnsi="Times New Roman" w:cs="Times New Roman"/>
          <w:b/>
        </w:rPr>
        <w:t xml:space="preserve"> with enhanced human well-being in Africa</w:t>
      </w:r>
      <w:r w:rsidR="004B7027" w:rsidRPr="009B0448">
        <w:rPr>
          <w:rFonts w:ascii="Times New Roman" w:eastAsia="Times New Roman" w:hAnsi="Times New Roman" w:cs="Times New Roman"/>
        </w:rPr>
        <w:t xml:space="preserve"> </w:t>
      </w:r>
      <w:r w:rsidR="004B7027" w:rsidRPr="009B0448">
        <w:rPr>
          <w:rFonts w:ascii="Times New Roman" w:eastAsia="Times New Roman" w:hAnsi="Times New Roman" w:cs="Times New Roman"/>
          <w:b/>
          <w:i/>
        </w:rPr>
        <w:t>(established but incomplete)</w:t>
      </w:r>
      <w:r w:rsidRPr="009B0448">
        <w:rPr>
          <w:rFonts w:ascii="Times New Roman" w:eastAsia="Times New Roman" w:hAnsi="Times New Roman" w:cs="Times New Roman"/>
          <w:b/>
        </w:rPr>
        <w:t xml:space="preserve">. </w:t>
      </w:r>
      <w:r w:rsidRPr="009B0448">
        <w:rPr>
          <w:rFonts w:ascii="Times New Roman" w:eastAsia="Times New Roman" w:hAnsi="Times New Roman" w:cs="Times New Roman"/>
        </w:rPr>
        <w:t>Scenarios that prioritise sustainable development trajectories, with strong regional integration, collaboration, proactive and inclusive governance, show the potential for avoiding dependencies and lock-in behaviours associated with scenarios where rapid exploitation of th</w:t>
      </w:r>
      <w:r w:rsidR="00960484" w:rsidRPr="009B0448">
        <w:rPr>
          <w:rFonts w:ascii="Times New Roman" w:eastAsia="Times New Roman" w:hAnsi="Times New Roman" w:cs="Times New Roman"/>
        </w:rPr>
        <w:t>e natural environment for short-</w:t>
      </w:r>
      <w:r w:rsidRPr="009B0448">
        <w:rPr>
          <w:rFonts w:ascii="Times New Roman" w:eastAsia="Times New Roman" w:hAnsi="Times New Roman" w:cs="Times New Roman"/>
        </w:rPr>
        <w:t>term gains are promoted. While all of the scenarios involve trade-offs, scenarios that involve the development of strong regional institutions and good governance offer the best options for maintaining ecological integrity in support of human well</w:t>
      </w:r>
      <w:r w:rsidR="00960484" w:rsidRPr="009B0448">
        <w:rPr>
          <w:rFonts w:ascii="Times New Roman" w:eastAsia="Times New Roman" w:hAnsi="Times New Roman" w:cs="Times New Roman"/>
        </w:rPr>
        <w:t>-</w:t>
      </w:r>
      <w:r w:rsidRPr="009B0448">
        <w:rPr>
          <w:rFonts w:ascii="Times New Roman" w:eastAsia="Times New Roman" w:hAnsi="Times New Roman" w:cs="Times New Roman"/>
        </w:rPr>
        <w:t xml:space="preserve">being and sustainable development </w:t>
      </w:r>
      <w:r w:rsidR="004B7027" w:rsidRPr="009B0448">
        <w:rPr>
          <w:rFonts w:ascii="Times New Roman" w:eastAsia="Times New Roman" w:hAnsi="Times New Roman" w:cs="Times New Roman"/>
        </w:rPr>
        <w:t>{</w:t>
      </w:r>
      <w:r w:rsidRPr="009B0448">
        <w:rPr>
          <w:rFonts w:ascii="Times New Roman" w:eastAsia="Times New Roman" w:hAnsi="Times New Roman" w:cs="Times New Roman"/>
        </w:rPr>
        <w:t>5.7</w:t>
      </w:r>
      <w:r w:rsidR="004B7027" w:rsidRPr="009B0448">
        <w:rPr>
          <w:rFonts w:ascii="Times New Roman" w:eastAsia="Times New Roman" w:hAnsi="Times New Roman" w:cs="Times New Roman"/>
        </w:rPr>
        <w:t>}.</w:t>
      </w:r>
      <w:r w:rsidRPr="009B0448">
        <w:rPr>
          <w:rFonts w:ascii="Times New Roman" w:eastAsia="Times New Roman" w:hAnsi="Times New Roman" w:cs="Times New Roman"/>
        </w:rPr>
        <w:t xml:space="preserve"> </w:t>
      </w:r>
    </w:p>
    <w:p w14:paraId="1E61F450" w14:textId="77777777" w:rsidR="00D47D3C" w:rsidRPr="009B0448" w:rsidRDefault="00D47D3C" w:rsidP="00D47D3C">
      <w:pPr>
        <w:spacing w:line="276" w:lineRule="auto"/>
        <w:jc w:val="both"/>
        <w:rPr>
          <w:rFonts w:ascii="Times New Roman" w:eastAsia="Times New Roman" w:hAnsi="Times New Roman" w:cs="Times New Roman"/>
        </w:rPr>
      </w:pPr>
    </w:p>
    <w:p w14:paraId="63451CD9" w14:textId="722C2066"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 xml:space="preserve">There are currently clear gaps in the type and distribution of scenario studies in Africa, with some </w:t>
      </w:r>
      <w:r w:rsidR="00B22D81">
        <w:rPr>
          <w:rFonts w:ascii="Times New Roman" w:eastAsia="Times New Roman" w:hAnsi="Times New Roman" w:cs="Times New Roman"/>
          <w:b/>
        </w:rPr>
        <w:t>subregion</w:t>
      </w:r>
      <w:r w:rsidR="00677752">
        <w:rPr>
          <w:rFonts w:ascii="Times New Roman" w:eastAsia="Times New Roman" w:hAnsi="Times New Roman" w:cs="Times New Roman"/>
          <w:b/>
        </w:rPr>
        <w:t>s—</w:t>
      </w:r>
      <w:r w:rsidRPr="009B0448">
        <w:rPr>
          <w:rFonts w:ascii="Times New Roman" w:eastAsia="Times New Roman" w:hAnsi="Times New Roman" w:cs="Times New Roman"/>
          <w:b/>
        </w:rPr>
        <w:t>such as central</w:t>
      </w:r>
      <w:r w:rsidR="00677752">
        <w:rPr>
          <w:rFonts w:ascii="Times New Roman" w:eastAsia="Times New Roman" w:hAnsi="Times New Roman" w:cs="Times New Roman"/>
          <w:b/>
        </w:rPr>
        <w:t>, northern and western Africa—</w:t>
      </w:r>
      <w:r w:rsidRPr="009B0448">
        <w:rPr>
          <w:rFonts w:ascii="Times New Roman" w:eastAsia="Times New Roman" w:hAnsi="Times New Roman" w:cs="Times New Roman"/>
          <w:b/>
        </w:rPr>
        <w:t>being particularly poorly covered</w:t>
      </w:r>
      <w:r w:rsidR="004B7027" w:rsidRPr="009B0448">
        <w:rPr>
          <w:rFonts w:ascii="Times New Roman" w:eastAsia="Times New Roman" w:hAnsi="Times New Roman" w:cs="Times New Roman"/>
        </w:rPr>
        <w:t xml:space="preserve"> </w:t>
      </w:r>
      <w:r w:rsidR="004B7027" w:rsidRPr="009B0448">
        <w:rPr>
          <w:rFonts w:ascii="Times New Roman" w:eastAsia="Times New Roman" w:hAnsi="Times New Roman" w:cs="Times New Roman"/>
          <w:b/>
          <w:i/>
        </w:rPr>
        <w:t>(established but incomplete)</w:t>
      </w:r>
      <w:r w:rsidRPr="009B0448">
        <w:rPr>
          <w:rFonts w:ascii="Times New Roman" w:eastAsia="Times New Roman" w:hAnsi="Times New Roman" w:cs="Times New Roman"/>
          <w:b/>
        </w:rPr>
        <w:t>.</w:t>
      </w:r>
      <w:r w:rsidRPr="009B0448">
        <w:rPr>
          <w:rFonts w:ascii="Times New Roman" w:eastAsia="Times New Roman" w:hAnsi="Times New Roman" w:cs="Times New Roman"/>
        </w:rPr>
        <w:t xml:space="preserve"> Most of the studies assessed in this chapter have addressed future changes in southern Africa (37%) and eastern Africa (18%). Almost 50% of the studies focused on local scales, while 26% covered multiple countries, and 18% are part of global scenario exercises. Only 11% of the assessed studies were conducted at the national scale, which is arguably the most useful scale for decision-making. The majority of the studies (80%) have had a broad exploratory focus, with only 24% focused on assessing specific policies or interventions. Furthermore, most studies (46%) used existing scenario storylines from other (often global) studies to explore future </w:t>
      </w:r>
      <w:r w:rsidR="000B722F" w:rsidRPr="009B0448">
        <w:rPr>
          <w:rFonts w:ascii="Times New Roman" w:eastAsia="Times New Roman" w:hAnsi="Times New Roman" w:cs="Times New Roman"/>
        </w:rPr>
        <w:t>impacts on biodiversity and NCP</w:t>
      </w:r>
      <w:r w:rsidRPr="009B0448">
        <w:rPr>
          <w:rFonts w:ascii="Times New Roman" w:eastAsia="Times New Roman" w:hAnsi="Times New Roman" w:cs="Times New Roman"/>
        </w:rPr>
        <w:t xml:space="preserve"> in Africa; only 14% developed new integrated scenario storylines (5.2.2, </w:t>
      </w:r>
      <w:r w:rsidRPr="009B0448">
        <w:rPr>
          <w:rFonts w:ascii="Times New Roman" w:eastAsia="Times New Roman" w:hAnsi="Times New Roman" w:cs="Times New Roman"/>
          <w:i/>
        </w:rPr>
        <w:t>established but incomplete</w:t>
      </w:r>
      <w:r w:rsidRPr="009B0448">
        <w:rPr>
          <w:rFonts w:ascii="Times New Roman" w:eastAsia="Times New Roman" w:hAnsi="Times New Roman" w:cs="Times New Roman"/>
        </w:rPr>
        <w:t>). Fur</w:t>
      </w:r>
      <w:r w:rsidR="000B722F" w:rsidRPr="009B0448">
        <w:rPr>
          <w:rFonts w:ascii="Times New Roman" w:eastAsia="Times New Roman" w:hAnsi="Times New Roman" w:cs="Times New Roman"/>
        </w:rPr>
        <w:t>thermore, the links between NCP</w:t>
      </w:r>
      <w:r w:rsidRPr="009B0448">
        <w:rPr>
          <w:rFonts w:ascii="Times New Roman" w:eastAsia="Times New Roman" w:hAnsi="Times New Roman" w:cs="Times New Roman"/>
        </w:rPr>
        <w:t xml:space="preserve"> and human well-being are not often explored in much detail beyond climate change impacts on disease vectors and livelihoods </w:t>
      </w:r>
      <w:r w:rsidR="004B7027" w:rsidRPr="009B0448">
        <w:rPr>
          <w:rFonts w:ascii="Times New Roman" w:eastAsia="Times New Roman" w:hAnsi="Times New Roman" w:cs="Times New Roman"/>
        </w:rPr>
        <w:t>{</w:t>
      </w:r>
      <w:r w:rsidRPr="009B0448">
        <w:rPr>
          <w:rFonts w:ascii="Times New Roman" w:eastAsia="Times New Roman" w:hAnsi="Times New Roman" w:cs="Times New Roman"/>
        </w:rPr>
        <w:t>5.5</w:t>
      </w:r>
      <w:r w:rsidR="004B7027" w:rsidRPr="009B0448">
        <w:rPr>
          <w:rFonts w:ascii="Times New Roman" w:eastAsia="Times New Roman" w:hAnsi="Times New Roman" w:cs="Times New Roman"/>
        </w:rPr>
        <w:t>}.</w:t>
      </w:r>
      <w:r w:rsidRPr="009B0448">
        <w:rPr>
          <w:rFonts w:ascii="Times New Roman" w:eastAsia="Times New Roman" w:hAnsi="Times New Roman" w:cs="Times New Roman"/>
        </w:rPr>
        <w:t xml:space="preserve"> </w:t>
      </w:r>
    </w:p>
    <w:p w14:paraId="100EAF26" w14:textId="77777777" w:rsidR="00D47D3C" w:rsidRPr="009B0448" w:rsidRDefault="00D47D3C" w:rsidP="00D47D3C">
      <w:pPr>
        <w:spacing w:line="276" w:lineRule="auto"/>
        <w:jc w:val="both"/>
        <w:rPr>
          <w:rFonts w:ascii="Times New Roman" w:eastAsia="Times New Roman" w:hAnsi="Times New Roman" w:cs="Times New Roman"/>
        </w:rPr>
      </w:pPr>
    </w:p>
    <w:p w14:paraId="6D70A3D8" w14:textId="37E9E79F"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Scenario studies in Africa are heavily biased towards modelling climate change impacts, and do not sufficiently incorporate broad stakeholder participation or indigenous and local knowledge (ILK)</w:t>
      </w:r>
      <w:r w:rsidR="00D47D3C" w:rsidRPr="009B0448">
        <w:rPr>
          <w:rFonts w:ascii="Times New Roman" w:eastAsia="Times New Roman" w:hAnsi="Times New Roman" w:cs="Times New Roman"/>
          <w:b/>
        </w:rPr>
        <w:t>.</w:t>
      </w:r>
      <w:r w:rsidRPr="009B0448">
        <w:rPr>
          <w:rFonts w:ascii="Times New Roman" w:eastAsia="Times New Roman" w:hAnsi="Times New Roman" w:cs="Times New Roman"/>
        </w:rPr>
        <w:t xml:space="preserve"> Only 12% of the studies assessed included a participatory approach, and only 3% integrated ILK to some extent. In contrast, modelling exercises have been widespread (90% of studies), but mostly focus on climate change impacts (60%). The main models used in African scenario studies are correlative models (48%), followed by process-based models (29%) and expert-based models (8%) (5.2.2, </w:t>
      </w:r>
      <w:r w:rsidRPr="009B0448">
        <w:rPr>
          <w:rFonts w:ascii="Times New Roman" w:eastAsia="Times New Roman" w:hAnsi="Times New Roman" w:cs="Times New Roman"/>
          <w:i/>
        </w:rPr>
        <w:t>established but incomplete</w:t>
      </w:r>
      <w:r w:rsidRPr="009B0448">
        <w:rPr>
          <w:rFonts w:ascii="Times New Roman" w:eastAsia="Times New Roman" w:hAnsi="Times New Roman" w:cs="Times New Roman"/>
        </w:rPr>
        <w:t>). There is a critical need to broaden the scenario approaches used in the region to better incorporate ILK and participatory approaches.</w:t>
      </w:r>
    </w:p>
    <w:p w14:paraId="04A02DEE" w14:textId="77777777" w:rsidR="00D47D3C" w:rsidRPr="009B0448" w:rsidRDefault="00D47D3C" w:rsidP="00D47D3C">
      <w:pPr>
        <w:spacing w:line="276" w:lineRule="auto"/>
        <w:jc w:val="both"/>
        <w:rPr>
          <w:rFonts w:ascii="Times New Roman" w:eastAsia="Times New Roman" w:hAnsi="Times New Roman" w:cs="Times New Roman"/>
        </w:rPr>
      </w:pPr>
    </w:p>
    <w:p w14:paraId="4E1B1735" w14:textId="5897A318"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 xml:space="preserve">Concerted efforts are needed to </w:t>
      </w:r>
      <w:r w:rsidR="00264EBF" w:rsidRPr="009B0448">
        <w:rPr>
          <w:rFonts w:ascii="Times New Roman" w:eastAsia="Times New Roman" w:hAnsi="Times New Roman" w:cs="Times New Roman"/>
          <w:b/>
        </w:rPr>
        <w:t>mobilis</w:t>
      </w:r>
      <w:r w:rsidRPr="009B0448">
        <w:rPr>
          <w:rFonts w:ascii="Times New Roman" w:eastAsia="Times New Roman" w:hAnsi="Times New Roman" w:cs="Times New Roman"/>
          <w:b/>
        </w:rPr>
        <w:t xml:space="preserve">e financial resources and build the capacity of African researchers, </w:t>
      </w:r>
      <w:r w:rsidR="00917FB2">
        <w:rPr>
          <w:rFonts w:ascii="Times New Roman" w:eastAsia="Times New Roman" w:hAnsi="Times New Roman" w:cs="Times New Roman"/>
          <w:b/>
        </w:rPr>
        <w:t>policymaker</w:t>
      </w:r>
      <w:r w:rsidRPr="009B0448">
        <w:rPr>
          <w:rFonts w:ascii="Times New Roman" w:eastAsia="Times New Roman" w:hAnsi="Times New Roman" w:cs="Times New Roman"/>
          <w:b/>
        </w:rPr>
        <w:t xml:space="preserve">s and institutions to understand, carry out and use scenario analyses. </w:t>
      </w:r>
      <w:r w:rsidRPr="009B0448">
        <w:rPr>
          <w:rFonts w:ascii="Times New Roman" w:eastAsia="Times New Roman" w:hAnsi="Times New Roman" w:cs="Times New Roman"/>
        </w:rPr>
        <w:t xml:space="preserve">Although over half (56%) the studies assessed included at least one African-based author, only 19% of the studies involved only authors affiliated with African institutions. South Africa is by far the most productive African country, contributing to 29% of all studies. However, there is very little collaboration between South Africa-based authors and authors from other African countries (section 5.2.2, </w:t>
      </w:r>
      <w:r w:rsidRPr="009B0448">
        <w:rPr>
          <w:rFonts w:ascii="Times New Roman" w:eastAsia="Times New Roman" w:hAnsi="Times New Roman" w:cs="Times New Roman"/>
          <w:i/>
        </w:rPr>
        <w:t>established but incomplete</w:t>
      </w:r>
      <w:r w:rsidRPr="009B0448">
        <w:rPr>
          <w:rFonts w:ascii="Times New Roman" w:eastAsia="Times New Roman" w:hAnsi="Times New Roman" w:cs="Times New Roman"/>
        </w:rPr>
        <w:t xml:space="preserve">). Existing regional and international expertise should be leveraged to train a wider set of researchers in the use of scenario methods, and in communicating outputs of scenarios to decision-makers (5.2.2, </w:t>
      </w:r>
      <w:r w:rsidRPr="00677752">
        <w:rPr>
          <w:rFonts w:ascii="Times New Roman" w:eastAsia="Times New Roman" w:hAnsi="Times New Roman" w:cs="Times New Roman"/>
          <w:i/>
        </w:rPr>
        <w:t>u</w:t>
      </w:r>
      <w:r w:rsidRPr="009B0448">
        <w:rPr>
          <w:rFonts w:ascii="Times New Roman" w:eastAsia="Times New Roman" w:hAnsi="Times New Roman" w:cs="Times New Roman"/>
          <w:i/>
        </w:rPr>
        <w:t>nresolved</w:t>
      </w:r>
      <w:r w:rsidRPr="009B0448">
        <w:rPr>
          <w:rFonts w:ascii="Times New Roman" w:eastAsia="Times New Roman" w:hAnsi="Times New Roman" w:cs="Times New Roman"/>
        </w:rPr>
        <w:t>).</w:t>
      </w:r>
      <w:bookmarkStart w:id="360" w:name="_3rdcrjn" w:colFirst="0" w:colLast="0"/>
      <w:bookmarkEnd w:id="360"/>
      <w:r w:rsidRPr="009B0448">
        <w:rPr>
          <w:rFonts w:ascii="Times New Roman" w:hAnsi="Times New Roman" w:cs="Times New Roman"/>
        </w:rPr>
        <w:br w:type="page"/>
      </w:r>
    </w:p>
    <w:p w14:paraId="0BAACA54" w14:textId="77777777" w:rsidR="00A86954" w:rsidRPr="009B0448" w:rsidRDefault="00A86954" w:rsidP="00FA7185">
      <w:pPr>
        <w:pStyle w:val="ListParagraph"/>
        <w:keepNext/>
        <w:keepLines/>
        <w:widowControl w:val="0"/>
        <w:numPr>
          <w:ilvl w:val="0"/>
          <w:numId w:val="11"/>
        </w:numPr>
        <w:spacing w:before="240" w:after="240"/>
        <w:ind w:left="0" w:firstLine="0"/>
        <w:contextualSpacing w:val="0"/>
        <w:outlineLvl w:val="2"/>
        <w:rPr>
          <w:rFonts w:ascii="Times New Roman" w:hAnsi="Times New Roman" w:cs="Times New Roman"/>
          <w:b/>
          <w:vanish/>
          <w:color w:val="auto"/>
          <w:sz w:val="24"/>
          <w:szCs w:val="24"/>
        </w:rPr>
      </w:pPr>
      <w:bookmarkStart w:id="361" w:name="_26in1rg" w:colFirst="0" w:colLast="0"/>
      <w:bookmarkStart w:id="362" w:name="_Toc504129126"/>
      <w:bookmarkStart w:id="363" w:name="_Toc518377933"/>
      <w:bookmarkStart w:id="364" w:name="_Toc518378268"/>
      <w:bookmarkStart w:id="365" w:name="_Toc518396348"/>
      <w:bookmarkStart w:id="366" w:name="_Toc518396678"/>
      <w:bookmarkStart w:id="367" w:name="_Toc518643499"/>
      <w:bookmarkStart w:id="368" w:name="_Toc518980184"/>
      <w:bookmarkStart w:id="369" w:name="_Toc518980514"/>
      <w:bookmarkStart w:id="370" w:name="_Toc519084772"/>
      <w:bookmarkStart w:id="371" w:name="_Toc519085103"/>
      <w:bookmarkStart w:id="372" w:name="_Toc519495000"/>
      <w:bookmarkStart w:id="373" w:name="_Toc519499993"/>
      <w:bookmarkEnd w:id="361"/>
      <w:bookmarkEnd w:id="362"/>
      <w:bookmarkEnd w:id="363"/>
      <w:bookmarkEnd w:id="364"/>
      <w:bookmarkEnd w:id="365"/>
      <w:bookmarkEnd w:id="366"/>
      <w:bookmarkEnd w:id="367"/>
      <w:bookmarkEnd w:id="368"/>
      <w:bookmarkEnd w:id="369"/>
      <w:bookmarkEnd w:id="370"/>
      <w:bookmarkEnd w:id="371"/>
      <w:bookmarkEnd w:id="372"/>
      <w:bookmarkEnd w:id="373"/>
    </w:p>
    <w:p w14:paraId="06561D7F" w14:textId="49DF040A" w:rsidR="00991066" w:rsidRPr="009B0448" w:rsidRDefault="00991066" w:rsidP="00FA7185">
      <w:pPr>
        <w:pStyle w:val="Heading3"/>
        <w:widowControl w:val="0"/>
        <w:numPr>
          <w:ilvl w:val="1"/>
          <w:numId w:val="11"/>
        </w:numPr>
        <w:spacing w:before="240" w:after="240"/>
        <w:ind w:left="-1163"/>
        <w:rPr>
          <w:rFonts w:eastAsia="Calibri" w:cs="Times New Roman"/>
          <w:szCs w:val="24"/>
        </w:rPr>
      </w:pPr>
      <w:bookmarkStart w:id="374" w:name="_Toc519499994"/>
      <w:r w:rsidRPr="009B0448">
        <w:rPr>
          <w:rFonts w:eastAsia="Calibri" w:cs="Times New Roman"/>
          <w:szCs w:val="24"/>
        </w:rPr>
        <w:t>Introduction</w:t>
      </w:r>
      <w:bookmarkEnd w:id="374"/>
    </w:p>
    <w:p w14:paraId="30B636FA" w14:textId="7BC6F88A"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This chapter focuses on how interactions between nature and society could shape a range of different possible future trajectories of change across Africa over the coming decades, and the potential implications for nature, nature’s </w:t>
      </w:r>
      <w:r w:rsidRPr="00150166">
        <w:rPr>
          <w:rFonts w:ascii="Times New Roman" w:eastAsia="Times New Roman" w:hAnsi="Times New Roman" w:cs="Times New Roman"/>
        </w:rPr>
        <w:t>contributions to p</w:t>
      </w:r>
      <w:r w:rsidR="0037056E" w:rsidRPr="00150166">
        <w:rPr>
          <w:rFonts w:ascii="Times New Roman" w:eastAsia="Times New Roman" w:hAnsi="Times New Roman" w:cs="Times New Roman"/>
        </w:rPr>
        <w:t>eople (NCP</w:t>
      </w:r>
      <w:r w:rsidRPr="00150166">
        <w:rPr>
          <w:rFonts w:ascii="Times New Roman" w:eastAsia="Times New Roman" w:hAnsi="Times New Roman" w:cs="Times New Roman"/>
        </w:rPr>
        <w:t>), and good quality of life as defined in the IPBES conceptual framework (D</w:t>
      </w:r>
      <w:r w:rsidR="0037056E" w:rsidRPr="00150166">
        <w:rPr>
          <w:rFonts w:ascii="Times New Roman" w:eastAsia="Times New Roman" w:hAnsi="Times New Roman" w:cs="Times New Roman"/>
        </w:rPr>
        <w:t>í</w:t>
      </w:r>
      <w:r w:rsidRPr="00150166">
        <w:rPr>
          <w:rFonts w:ascii="Times New Roman" w:eastAsia="Times New Roman" w:hAnsi="Times New Roman" w:cs="Times New Roman"/>
        </w:rPr>
        <w:t xml:space="preserve">az </w:t>
      </w:r>
      <w:r w:rsidR="000429F8" w:rsidRPr="00150166">
        <w:rPr>
          <w:rFonts w:ascii="Times New Roman" w:eastAsia="Times New Roman" w:hAnsi="Times New Roman" w:cs="Times New Roman"/>
          <w:i/>
        </w:rPr>
        <w:t>et al.</w:t>
      </w:r>
      <w:r w:rsidRPr="00150166">
        <w:rPr>
          <w:rFonts w:ascii="Times New Roman" w:eastAsia="Times New Roman" w:hAnsi="Times New Roman" w:cs="Times New Roman"/>
        </w:rPr>
        <w:t>, 2015).</w:t>
      </w:r>
      <w:r w:rsidRPr="009B0448">
        <w:rPr>
          <w:rFonts w:ascii="Times New Roman" w:eastAsia="Times New Roman" w:hAnsi="Times New Roman" w:cs="Times New Roman"/>
        </w:rPr>
        <w:t xml:space="preserve"> We specifically explore the potential for achieving key sustainability and development-related targets in the region under different possible future development pathways, including the 2020 Aichi biodiversity targets</w:t>
      </w:r>
      <w:r w:rsidRPr="009B0448">
        <w:rPr>
          <w:rFonts w:ascii="Times New Roman" w:eastAsia="Times New Roman" w:hAnsi="Times New Roman" w:cs="Times New Roman"/>
          <w:vertAlign w:val="superscript"/>
        </w:rPr>
        <w:footnoteReference w:id="4"/>
      </w:r>
      <w:r w:rsidRPr="009B0448">
        <w:rPr>
          <w:rFonts w:ascii="Times New Roman" w:eastAsia="Times New Roman" w:hAnsi="Times New Roman" w:cs="Times New Roman"/>
        </w:rPr>
        <w:t>, the 2030 Sustainable Development Goals (SDGs)</w:t>
      </w:r>
      <w:r w:rsidRPr="009B0448">
        <w:rPr>
          <w:rFonts w:ascii="Times New Roman" w:eastAsia="Times New Roman" w:hAnsi="Times New Roman" w:cs="Times New Roman"/>
          <w:vertAlign w:val="superscript"/>
        </w:rPr>
        <w:footnoteReference w:id="5"/>
      </w:r>
      <w:r w:rsidRPr="009B0448">
        <w:rPr>
          <w:rFonts w:ascii="Times New Roman" w:eastAsia="Times New Roman" w:hAnsi="Times New Roman" w:cs="Times New Roman"/>
        </w:rPr>
        <w:t xml:space="preserve">, and the 2063 AU agenda (AU, 2015). Ongoing global and regional changes such as changing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patterns and climates discussed in Chapter 4 are likely to have far-reaching effects on NCP such as food, water and livelihood security, and the biodiversity and ecosystems that underpin them, as highlighted in Chapters 2 and 3. At the same time, human responses to global change, especially in rapidly developing regions like Africa, are likely to feedback to amplify, dampen, or redirect these changes in unexpected ways that cannot be predicted (G</w:t>
      </w:r>
      <w:r w:rsidR="00A94DCF" w:rsidRPr="009B0448">
        <w:rPr>
          <w:rFonts w:ascii="Times New Roman" w:eastAsia="Times New Roman" w:hAnsi="Times New Roman" w:cs="Times New Roman"/>
        </w:rPr>
        <w:t xml:space="preserve">underson </w:t>
      </w:r>
      <w:r w:rsidR="00024C10" w:rsidRPr="009B0448">
        <w:rPr>
          <w:rFonts w:ascii="Times New Roman" w:eastAsia="Times New Roman" w:hAnsi="Times New Roman" w:cs="Times New Roman"/>
          <w:i/>
        </w:rPr>
        <w:t>et al.</w:t>
      </w:r>
      <w:r w:rsidR="00A94DCF" w:rsidRPr="009B0448">
        <w:rPr>
          <w:rFonts w:ascii="Times New Roman" w:eastAsia="Times New Roman" w:hAnsi="Times New Roman" w:cs="Times New Roman"/>
        </w:rPr>
        <w:t>, 2002; Biggs</w:t>
      </w:r>
      <w:r w:rsidRPr="009B0448">
        <w:rPr>
          <w:rFonts w:ascii="Times New Roman" w:eastAsia="Times New Roman" w:hAnsi="Times New Roman" w:cs="Times New Roman"/>
        </w:rPr>
        <w:t xml:space="preserve"> </w:t>
      </w:r>
      <w:r w:rsidR="00A94DCF"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w:t>
      </w:r>
      <w:r w:rsidR="00A94DCF" w:rsidRPr="009B0448">
        <w:rPr>
          <w:rFonts w:ascii="Times New Roman" w:eastAsia="Times New Roman" w:hAnsi="Times New Roman" w:cs="Times New Roman"/>
        </w:rPr>
        <w:t>a</w:t>
      </w:r>
      <w:r w:rsidRPr="009B0448">
        <w:rPr>
          <w:rFonts w:ascii="Times New Roman" w:eastAsia="Times New Roman" w:hAnsi="Times New Roman" w:cs="Times New Roman"/>
        </w:rPr>
        <w:t>). While Africa has shown extraordinary growth across many development indices over the past decade (World Bank, 2013, 2016), it is therefore very difficult to know if these trends will continue, and what social, political, environmental and economic conditions will be like across Africa in the future, particularly in the medium</w:t>
      </w:r>
      <w:r w:rsidR="002621AE" w:rsidRPr="009B0448">
        <w:rPr>
          <w:rFonts w:ascii="Times New Roman" w:eastAsia="Times New Roman" w:hAnsi="Times New Roman" w:cs="Times New Roman"/>
        </w:rPr>
        <w:t>-</w:t>
      </w:r>
      <w:r w:rsidRPr="009B0448">
        <w:rPr>
          <w:rFonts w:ascii="Times New Roman" w:eastAsia="Times New Roman" w:hAnsi="Times New Roman" w:cs="Times New Roman"/>
        </w:rPr>
        <w:t xml:space="preserve"> to long</w:t>
      </w:r>
      <w:r w:rsidR="002621AE" w:rsidRPr="009B0448">
        <w:rPr>
          <w:rFonts w:ascii="Times New Roman" w:eastAsia="Times New Roman" w:hAnsi="Times New Roman" w:cs="Times New Roman"/>
        </w:rPr>
        <w:t>-</w:t>
      </w:r>
      <w:r w:rsidRPr="009B0448">
        <w:rPr>
          <w:rFonts w:ascii="Times New Roman" w:eastAsia="Times New Roman" w:hAnsi="Times New Roman" w:cs="Times New Roman"/>
        </w:rPr>
        <w:t xml:space="preserve">term. </w:t>
      </w:r>
    </w:p>
    <w:p w14:paraId="0C8763E1" w14:textId="77777777" w:rsidR="00D47D3C" w:rsidRPr="009B0448" w:rsidRDefault="00D47D3C" w:rsidP="00D47D3C">
      <w:pPr>
        <w:spacing w:line="276" w:lineRule="auto"/>
        <w:jc w:val="both"/>
        <w:rPr>
          <w:rFonts w:ascii="Times New Roman" w:eastAsia="Times New Roman" w:hAnsi="Times New Roman" w:cs="Times New Roman"/>
        </w:rPr>
      </w:pPr>
    </w:p>
    <w:p w14:paraId="5967F29E" w14:textId="40727AF0"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Scenario planning presents a particularly useful and appropr</w:t>
      </w:r>
      <w:r w:rsidR="00677752">
        <w:rPr>
          <w:rFonts w:ascii="Times New Roman" w:eastAsia="Times New Roman" w:hAnsi="Times New Roman" w:cs="Times New Roman"/>
        </w:rPr>
        <w:t>iate tool to explore the longer-</w:t>
      </w:r>
      <w:r w:rsidRPr="009B0448">
        <w:rPr>
          <w:rFonts w:ascii="Times New Roman" w:eastAsia="Times New Roman" w:hAnsi="Times New Roman" w:cs="Times New Roman"/>
        </w:rPr>
        <w:t xml:space="preserve">term future development of nature and society and their interactions (Bennett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2003; IPBES, 2016). The starting point for scenario planning is that the future is not predetermined; instead</w:t>
      </w:r>
      <w:r w:rsidR="002621AE" w:rsidRPr="009B0448">
        <w:rPr>
          <w:rFonts w:ascii="Times New Roman" w:eastAsia="Times New Roman" w:hAnsi="Times New Roman" w:cs="Times New Roman"/>
        </w:rPr>
        <w:t>,</w:t>
      </w:r>
      <w:r w:rsidRPr="009B0448">
        <w:rPr>
          <w:rFonts w:ascii="Times New Roman" w:eastAsia="Times New Roman" w:hAnsi="Times New Roman" w:cs="Times New Roman"/>
        </w:rPr>
        <w:t xml:space="preserve"> a variety of different futures are possible, depending on what decisions and actions are taken, what unexpected chance events and shocks occur, and how different interactions and feedbacks between nature and society unfold (Alcamo, 2001). Scenario planning is based on the assumption that the longer term future of large complex systems cannot be predicted or projected, and that focusing on a single most likely or best guess future is counterproductive as it causes scenario users and decision-makers to ignore large, important uncertainties and the potential for game-changing events and actions (Peterson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2003). Instead, scenario planning assumes that the best approach to understanding complex futures is to explore a range of different plausible pathways that could unfold</w:t>
      </w:r>
      <w:r w:rsidR="00FD3EB4">
        <w:rPr>
          <w:rFonts w:ascii="Times New Roman" w:eastAsia="Times New Roman" w:hAnsi="Times New Roman" w:cs="Times New Roman"/>
        </w:rPr>
        <w:t>,</w:t>
      </w:r>
      <w:r w:rsidRPr="009B0448">
        <w:rPr>
          <w:rFonts w:ascii="Times New Roman" w:eastAsia="Times New Roman" w:hAnsi="Times New Roman" w:cs="Times New Roman"/>
        </w:rPr>
        <w:t xml:space="preserve"> given different possible future conditions and system interactions (Derbyshire </w:t>
      </w:r>
      <w:r w:rsidR="00024C10" w:rsidRPr="009B0448">
        <w:rPr>
          <w:rFonts w:ascii="Times New Roman" w:eastAsia="Times New Roman" w:hAnsi="Times New Roman" w:cs="Times New Roman"/>
          <w:i/>
        </w:rPr>
        <w:t>et al.</w:t>
      </w:r>
      <w:r w:rsidR="00024C10" w:rsidRPr="009B0448">
        <w:rPr>
          <w:rFonts w:ascii="Times New Roman" w:eastAsia="Times New Roman" w:hAnsi="Times New Roman" w:cs="Times New Roman"/>
        </w:rPr>
        <w:t xml:space="preserve">, </w:t>
      </w:r>
      <w:r w:rsidRPr="009B0448">
        <w:rPr>
          <w:rFonts w:ascii="Times New Roman" w:eastAsia="Times New Roman" w:hAnsi="Times New Roman" w:cs="Times New Roman"/>
        </w:rPr>
        <w:t>2017). Rather than predicting a single, most likely future, scenario approaches therefore aim to develop a set of (usually 3</w:t>
      </w:r>
      <w:r w:rsidR="00024C10" w:rsidRPr="009B0448">
        <w:rPr>
          <w:rFonts w:ascii="Times New Roman" w:eastAsia="Times New Roman" w:hAnsi="Times New Roman" w:cs="Times New Roman"/>
        </w:rPr>
        <w:t>–</w:t>
      </w:r>
      <w:r w:rsidRPr="009B0448">
        <w:rPr>
          <w:rFonts w:ascii="Times New Roman" w:eastAsia="Times New Roman" w:hAnsi="Times New Roman" w:cs="Times New Roman"/>
        </w:rPr>
        <w:t>5) very different plausible futures that can broaden perspectives and alert research</w:t>
      </w:r>
      <w:r w:rsidR="002621AE" w:rsidRPr="009B0448">
        <w:rPr>
          <w:rFonts w:ascii="Times New Roman" w:eastAsia="Times New Roman" w:hAnsi="Times New Roman" w:cs="Times New Roman"/>
        </w:rPr>
        <w:t xml:space="preserve">ers, practitioners and </w:t>
      </w:r>
      <w:r w:rsidR="00574E50" w:rsidRPr="009B0448">
        <w:rPr>
          <w:rFonts w:ascii="Times New Roman" w:eastAsia="Times New Roman" w:hAnsi="Times New Roman" w:cs="Times New Roman"/>
        </w:rPr>
        <w:t>decision-mak</w:t>
      </w:r>
      <w:r w:rsidRPr="009B0448">
        <w:rPr>
          <w:rFonts w:ascii="Times New Roman" w:eastAsia="Times New Roman" w:hAnsi="Times New Roman" w:cs="Times New Roman"/>
        </w:rPr>
        <w:t xml:space="preserve">ers to possible future risks as well as opportunities, and thereby assist in the formulation and implementation of policies and interventions that could be robust under multiple future conditions (IPCC, 2014; IPBES, 2016; UNEP, 2016). </w:t>
      </w:r>
    </w:p>
    <w:p w14:paraId="6551C1DF" w14:textId="77777777" w:rsidR="00D47D3C" w:rsidRPr="009B0448" w:rsidRDefault="00D47D3C" w:rsidP="00D47D3C">
      <w:pPr>
        <w:spacing w:line="276" w:lineRule="auto"/>
        <w:jc w:val="both"/>
        <w:rPr>
          <w:rFonts w:ascii="Times New Roman" w:eastAsia="Times New Roman" w:hAnsi="Times New Roman" w:cs="Times New Roman"/>
        </w:rPr>
      </w:pPr>
    </w:p>
    <w:p w14:paraId="03D36A3C" w14:textId="4B1272B2"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this chapter, we undertake a comprehensive assessment of scenario studies that have been conducted to explore the future of the African region. The objective of the assessment is to explore the implications of different possible evolving relationships between nature and society over the coming decades, particularly in terms of key drivers of change, and impacts on biodiversity, NCP, human well-being, poverty and inequality. We specifically highlight the potential implications for the SDGs, Aichi targets and AU agenda, as well as priority issues such as climate change and the food-water-energy nexus that have been identified within the African context (Chapter 1). The assessment presented in this chapter aims to inform and strengthen the science-policy interface in Africa, and set the stage for exploring governance and decision-making options in Chapter 6. However, before presenting the approach and results of our assessment, we provide a short overview of scenario approaches and concepts. The concept of “scenarios” is understood in several different ways and this is often a source of confusion, particularly within the African context where researchers, policymakers and practitioners are not necessarily familiar with scenario approaches. </w:t>
      </w:r>
    </w:p>
    <w:p w14:paraId="609F3EE3" w14:textId="6182B24C"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375" w:name="_Toc519499995"/>
      <w:r w:rsidRPr="009B0448">
        <w:rPr>
          <w:rFonts w:cs="Times New Roman"/>
          <w:i w:val="0"/>
          <w:sz w:val="22"/>
          <w:szCs w:val="22"/>
        </w:rPr>
        <w:t>What are scenarios and how are they used in decision-making?</w:t>
      </w:r>
      <w:bookmarkEnd w:id="375"/>
    </w:p>
    <w:p w14:paraId="16D09AB1" w14:textId="28C8C849" w:rsidR="00154FAA"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Scenarios are plausible stories about how the future might unfold, and usually refer to plausible futures for indirect or direct drivers, or to policy interventions targeting these drivers (IPBES, 2016). Scenarios are distinguished from other approaches to future assessment, such as forecasting and risk assessment, by being specifically intended for situations in which the factors shaping the future are highly uncertain and largely uncontrollable (Peterson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2003). While assessments of status and trends (Chapter 3) rely heavily on the analysis of observations and are (with some limits) well understood by policymakers and stakeholders, good scenario work requires moving beyond projections based on past observations and trends to accounting for completely new potential relationships between social and ecological systems that may result from new technologies, policies, institutions and values (Derbyshire </w:t>
      </w:r>
      <w:r w:rsidR="00024C10" w:rsidRPr="009B0448">
        <w:rPr>
          <w:rFonts w:ascii="Times New Roman" w:eastAsia="Times New Roman" w:hAnsi="Times New Roman" w:cs="Times New Roman"/>
          <w:i/>
        </w:rPr>
        <w:t>et al.</w:t>
      </w:r>
      <w:r w:rsidR="00024C10" w:rsidRPr="009B0448">
        <w:rPr>
          <w:rFonts w:ascii="Times New Roman" w:eastAsia="Times New Roman" w:hAnsi="Times New Roman" w:cs="Times New Roman"/>
        </w:rPr>
        <w:t xml:space="preserve">, </w:t>
      </w:r>
      <w:r w:rsidRPr="009B0448">
        <w:rPr>
          <w:rFonts w:ascii="Times New Roman" w:eastAsia="Times New Roman" w:hAnsi="Times New Roman" w:cs="Times New Roman"/>
        </w:rPr>
        <w:t>2017).</w:t>
      </w:r>
    </w:p>
    <w:p w14:paraId="50E899FC" w14:textId="77777777" w:rsidR="00D47D3C" w:rsidRPr="009B0448" w:rsidRDefault="00D47D3C" w:rsidP="00D47D3C">
      <w:pPr>
        <w:spacing w:line="276" w:lineRule="auto"/>
        <w:jc w:val="both"/>
        <w:rPr>
          <w:rFonts w:ascii="Times New Roman" w:eastAsia="Times New Roman" w:hAnsi="Times New Roman" w:cs="Times New Roman"/>
        </w:rPr>
      </w:pPr>
    </w:p>
    <w:p w14:paraId="1F8A99E4" w14:textId="03B278A1"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Different policy and decision contexts require the application of different types of scenarios (IPBES, 2016, Fig</w:t>
      </w:r>
      <w:r w:rsidR="004B7027" w:rsidRPr="009B0448">
        <w:rPr>
          <w:rFonts w:ascii="Times New Roman" w:eastAsia="Times New Roman" w:hAnsi="Times New Roman" w:cs="Times New Roman"/>
        </w:rPr>
        <w:t>ure</w:t>
      </w:r>
      <w:r w:rsidRPr="009B0448">
        <w:rPr>
          <w:rFonts w:ascii="Times New Roman" w:eastAsia="Times New Roman" w:hAnsi="Times New Roman" w:cs="Times New Roman"/>
        </w:rPr>
        <w:t xml:space="preserve"> 5.1). </w:t>
      </w:r>
      <w:r w:rsidRPr="009B0448">
        <w:rPr>
          <w:rFonts w:ascii="Times New Roman" w:eastAsia="Times New Roman" w:hAnsi="Times New Roman" w:cs="Times New Roman"/>
          <w:i/>
        </w:rPr>
        <w:t>Exploratory scenarios</w:t>
      </w:r>
      <w:r w:rsidRPr="009B0448">
        <w:rPr>
          <w:rFonts w:ascii="Times New Roman" w:eastAsia="Times New Roman" w:hAnsi="Times New Roman" w:cs="Times New Roman"/>
        </w:rPr>
        <w:t xml:space="preserve"> examine a range of plausible futures based on potential trajectories of key drivers and can c</w:t>
      </w:r>
      <w:r w:rsidR="002621AE" w:rsidRPr="009B0448">
        <w:rPr>
          <w:rFonts w:ascii="Times New Roman" w:eastAsia="Times New Roman" w:hAnsi="Times New Roman" w:cs="Times New Roman"/>
        </w:rPr>
        <w:t>ontribute significantly to high-</w:t>
      </w:r>
      <w:r w:rsidRPr="009B0448">
        <w:rPr>
          <w:rFonts w:ascii="Times New Roman" w:eastAsia="Times New Roman" w:hAnsi="Times New Roman" w:cs="Times New Roman"/>
        </w:rPr>
        <w:t xml:space="preserve">level problem identification and agenda setting, as they provide a means of dealing with high levels of unpredictability and uncertainty. Exploratory scenarios typically involve the development of coherent, integrated storylines that aim to account for the relationships and dependencies amongst key drivers (Zurek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2008). Such integrated storylines, for instance</w:t>
      </w:r>
      <w:r w:rsidR="002621AE" w:rsidRPr="009B0448">
        <w:rPr>
          <w:rFonts w:ascii="Times New Roman" w:eastAsia="Times New Roman" w:hAnsi="Times New Roman" w:cs="Times New Roman"/>
        </w:rPr>
        <w:t>,</w:t>
      </w:r>
      <w:r w:rsidRPr="009B0448">
        <w:rPr>
          <w:rFonts w:ascii="Times New Roman" w:eastAsia="Times New Roman" w:hAnsi="Times New Roman" w:cs="Times New Roman"/>
        </w:rPr>
        <w:t xml:space="preserve"> the Intergovernmental Panel on Climate Change (IPCC) scenarios, or the Millennium Ecosystem Assessment scenarios (MA, 2005), do not investigate the effects of varying individual drivers, but rather consider how multiple, interconnected drivers are likely to co-evolve. For example, in most storylines, population growth tends to be correlated with greater carbon emissions and climate change, unless major technological advances are assumed. Given the substantial time and effort needed to develop coherent</w:t>
      </w:r>
      <w:r w:rsidR="002621AE" w:rsidRPr="009B0448">
        <w:rPr>
          <w:rFonts w:ascii="Times New Roman" w:eastAsia="Times New Roman" w:hAnsi="Times New Roman" w:cs="Times New Roman"/>
        </w:rPr>
        <w:t>,</w:t>
      </w:r>
      <w:r w:rsidRPr="009B0448">
        <w:rPr>
          <w:rFonts w:ascii="Times New Roman" w:eastAsia="Times New Roman" w:hAnsi="Times New Roman" w:cs="Times New Roman"/>
        </w:rPr>
        <w:t xml:space="preserve"> integrated storylines, instead of developing their own storylines, many studies use storylines from existing scenario studies to conduct detailed analyses of the impacts of these different scenarios on for instance the distribution of specific species. </w:t>
      </w:r>
    </w:p>
    <w:p w14:paraId="7EF9D18A" w14:textId="77777777" w:rsidR="00D47D3C" w:rsidRPr="009B0448" w:rsidRDefault="00D47D3C" w:rsidP="00D47D3C">
      <w:pPr>
        <w:spacing w:line="276" w:lineRule="auto"/>
        <w:jc w:val="both"/>
        <w:rPr>
          <w:rFonts w:ascii="Times New Roman" w:eastAsia="Times New Roman" w:hAnsi="Times New Roman" w:cs="Times New Roman"/>
        </w:rPr>
      </w:pPr>
    </w:p>
    <w:p w14:paraId="233E7B66" w14:textId="0EF9CB58"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contrast, </w:t>
      </w:r>
      <w:r w:rsidRPr="009B0448">
        <w:rPr>
          <w:rFonts w:ascii="Times New Roman" w:eastAsia="Times New Roman" w:hAnsi="Times New Roman" w:cs="Times New Roman"/>
          <w:i/>
        </w:rPr>
        <w:t>intervention scenarios</w:t>
      </w:r>
      <w:r w:rsidRPr="009B0448">
        <w:rPr>
          <w:rFonts w:ascii="Times New Roman" w:eastAsia="Times New Roman" w:hAnsi="Times New Roman" w:cs="Times New Roman"/>
        </w:rPr>
        <w:t xml:space="preserve"> focus on informing policy design and implementation by evaluating alternative policy or management options through target seeking or policy screening analyses (IPBES, 2016). In these studies, different management or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options are often referred to as “scenarios”. These scenarios are, however, conceptually and qualitatively distinct from the integrated scenario storylines developed in exploratory scenario studies, in which rich scenario narratives with variability across multiple issues, rather than variation in single policy options, are explored. To date, assessments at global, regional and national scales have mostly used exploratory scenarios, while intervention scenarios have been mostly applied to decision-making at national and local scales (IPBES, 2016). Finally, </w:t>
      </w:r>
      <w:r w:rsidRPr="00677752">
        <w:rPr>
          <w:rFonts w:ascii="Times New Roman" w:eastAsia="Times New Roman" w:hAnsi="Times New Roman" w:cs="Times New Roman"/>
          <w:i/>
        </w:rPr>
        <w:t>p</w:t>
      </w:r>
      <w:r w:rsidRPr="009B0448">
        <w:rPr>
          <w:rFonts w:ascii="Times New Roman" w:eastAsia="Times New Roman" w:hAnsi="Times New Roman" w:cs="Times New Roman"/>
          <w:i/>
        </w:rPr>
        <w:t>olicy evaluation scenarios</w:t>
      </w:r>
      <w:r w:rsidRPr="009B0448">
        <w:rPr>
          <w:rFonts w:ascii="Times New Roman" w:eastAsia="Times New Roman" w:hAnsi="Times New Roman" w:cs="Times New Roman"/>
        </w:rPr>
        <w:t xml:space="preserve"> are mostly employed in retrospective assessments of the extent to which outcomes actually achieved by an implemented policy match those expected based on modelled projections, thereby informing policy review. These scenarios focus on evaluating the outcomes of different policies or actions that have been undertaken.</w:t>
      </w:r>
    </w:p>
    <w:p w14:paraId="197029A1" w14:textId="77777777" w:rsidR="00D47D3C" w:rsidRPr="009B0448" w:rsidRDefault="00D47D3C" w:rsidP="00D47D3C">
      <w:pPr>
        <w:spacing w:line="276" w:lineRule="auto"/>
        <w:jc w:val="both"/>
        <w:rPr>
          <w:rFonts w:ascii="Times New Roman" w:eastAsia="Times New Roman" w:hAnsi="Times New Roman" w:cs="Times New Roman"/>
        </w:rPr>
      </w:pPr>
    </w:p>
    <w:p w14:paraId="2F10BB0B" w14:textId="523BD89A"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Another important distinction is between </w:t>
      </w:r>
      <w:r w:rsidRPr="009B0448">
        <w:rPr>
          <w:rFonts w:ascii="Times New Roman" w:eastAsia="Times New Roman" w:hAnsi="Times New Roman" w:cs="Times New Roman"/>
          <w:i/>
        </w:rPr>
        <w:t>participatory scenarios</w:t>
      </w:r>
      <w:r w:rsidRPr="009B0448">
        <w:rPr>
          <w:rFonts w:ascii="Times New Roman" w:eastAsia="Times New Roman" w:hAnsi="Times New Roman" w:cs="Times New Roman"/>
        </w:rPr>
        <w:t xml:space="preserve">, which are developed with substantial input from stakeholders, and non-participatory or </w:t>
      </w:r>
      <w:r w:rsidRPr="009B0448">
        <w:rPr>
          <w:rFonts w:ascii="Times New Roman" w:eastAsia="Times New Roman" w:hAnsi="Times New Roman" w:cs="Times New Roman"/>
          <w:i/>
        </w:rPr>
        <w:t>expert-driven</w:t>
      </w:r>
      <w:r w:rsidRPr="009B0448">
        <w:rPr>
          <w:rFonts w:ascii="Times New Roman" w:eastAsia="Times New Roman" w:hAnsi="Times New Roman" w:cs="Times New Roman"/>
        </w:rPr>
        <w:t xml:space="preserve"> scenarios. Participatory scenarios allow for the integration of stakeholder views on key drivers of future developments and enhance the relevance and acceptance of scenario findings (Kok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Participatory scenarios can also provide an important avenue for integrating </w:t>
      </w:r>
      <w:r w:rsidR="004B7027" w:rsidRPr="009B0448">
        <w:rPr>
          <w:rFonts w:ascii="Times New Roman" w:eastAsia="Times New Roman" w:hAnsi="Times New Roman" w:cs="Times New Roman"/>
        </w:rPr>
        <w:t>I</w:t>
      </w:r>
      <w:r w:rsidRPr="009B0448">
        <w:rPr>
          <w:rFonts w:ascii="Times New Roman" w:eastAsia="Times New Roman" w:hAnsi="Times New Roman" w:cs="Times New Roman"/>
        </w:rPr>
        <w:t xml:space="preserve">ndigenous and </w:t>
      </w:r>
      <w:r w:rsidR="004B7027" w:rsidRPr="009B0448">
        <w:rPr>
          <w:rFonts w:ascii="Times New Roman" w:eastAsia="Times New Roman" w:hAnsi="Times New Roman" w:cs="Times New Roman"/>
        </w:rPr>
        <w:t>L</w:t>
      </w:r>
      <w:r w:rsidRPr="009B0448">
        <w:rPr>
          <w:rFonts w:ascii="Times New Roman" w:eastAsia="Times New Roman" w:hAnsi="Times New Roman" w:cs="Times New Roman"/>
        </w:rPr>
        <w:t xml:space="preserve">ocal </w:t>
      </w:r>
      <w:r w:rsidR="004B7027" w:rsidRPr="009B0448">
        <w:rPr>
          <w:rFonts w:ascii="Times New Roman" w:eastAsia="Times New Roman" w:hAnsi="Times New Roman" w:cs="Times New Roman"/>
        </w:rPr>
        <w:t>K</w:t>
      </w:r>
      <w:r w:rsidRPr="009B0448">
        <w:rPr>
          <w:rFonts w:ascii="Times New Roman" w:eastAsia="Times New Roman" w:hAnsi="Times New Roman" w:cs="Times New Roman"/>
        </w:rPr>
        <w:t xml:space="preserve">nowledge (ILK) with scientific knowledge, which can fill important information gaps and contribute to the successful application of scenarios and models to policy design and implementation (IPBES, 2016). While participatory scenarios are usually more relevant and credible to stakeholders and policymakers, they are also often more costly and complicated to execute (Biggs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w:t>
      </w:r>
    </w:p>
    <w:p w14:paraId="6650542D" w14:textId="77777777" w:rsidR="007C6685" w:rsidRPr="009B0448" w:rsidRDefault="007C6685" w:rsidP="00D47D3C">
      <w:pPr>
        <w:spacing w:line="276" w:lineRule="auto"/>
        <w:jc w:val="both"/>
        <w:rPr>
          <w:rFonts w:ascii="Times New Roman" w:eastAsia="Times New Roman" w:hAnsi="Times New Roman" w:cs="Times New Roman"/>
        </w:rPr>
      </w:pPr>
    </w:p>
    <w:p w14:paraId="2FE4574F" w14:textId="77777777"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drawing>
          <wp:inline distT="114300" distB="114300" distL="114300" distR="114300" wp14:anchorId="0D765B72" wp14:editId="0CC2A4EA">
            <wp:extent cx="5715000" cy="4856023"/>
            <wp:effectExtent l="0" t="0" r="0" b="1905"/>
            <wp:docPr id="246"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571">
                      <a:extLst>
                        <a:ext uri="{28A0092B-C50C-407E-A947-70E740481C1C}">
                          <a14:useLocalDpi xmlns:a14="http://schemas.microsoft.com/office/drawing/2010/main" val="0"/>
                        </a:ext>
                      </a:extLst>
                    </a:blip>
                    <a:stretch>
                      <a:fillRect/>
                    </a:stretch>
                  </pic:blipFill>
                  <pic:spPr>
                    <a:xfrm>
                      <a:off x="0" y="0"/>
                      <a:ext cx="5728802" cy="4867750"/>
                    </a:xfrm>
                    <a:prstGeom prst="rect">
                      <a:avLst/>
                    </a:prstGeom>
                    <a:ln/>
                  </pic:spPr>
                </pic:pic>
              </a:graphicData>
            </a:graphic>
          </wp:inline>
        </w:drawing>
      </w:r>
    </w:p>
    <w:p w14:paraId="65F64205" w14:textId="1A925CFF" w:rsidR="00991066" w:rsidRPr="009B0448" w:rsidRDefault="00991066" w:rsidP="00A24FEA">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5.1:</w:t>
      </w:r>
      <w:r w:rsidRPr="009B0448">
        <w:rPr>
          <w:rFonts w:ascii="Times New Roman" w:eastAsia="Times New Roman" w:hAnsi="Times New Roman" w:cs="Times New Roman"/>
        </w:rPr>
        <w:t xml:space="preserve"> </w:t>
      </w:r>
      <w:r w:rsidR="00A24FEA" w:rsidRPr="009B0448">
        <w:rPr>
          <w:rFonts w:ascii="Times New Roman" w:eastAsia="Times New Roman" w:hAnsi="Times New Roman" w:cs="Times New Roman"/>
        </w:rPr>
        <w:t>Roles played by different types of scenarios corresponding to the major phases of the policy cycle. Types of scenarios are illustrated by graphs of changes in nature and nature’s benefits over time. The four major phases of the policy cycle are indicated by the labels and black arrows outside the coloured quarters of the circle. In “exploratory scenarios”, the dashed lines represent different plausible futures, often based on storylines. In “target-seeking scenarios” (also known as “normative scenarios”), the diamond represents an agreed-upon future target and the coloured dashed lines indicate scenarios that provide alternative pathways for reaching this target. In “policy-screening scenarios” (also known as “ex-ante scenarios”), the dashed lines represent various policy options under consideration. In “retrospective policy evaluation” (also known as “ex-post evaluation”), the observed trajectory of a policy implemented in the past (solid black line) is compared to scenarios that would have achieved the intended target (dashed line). Source: IPBES (2016).</w:t>
      </w:r>
    </w:p>
    <w:p w14:paraId="32BA3B22" w14:textId="77777777" w:rsidR="007C6685" w:rsidRPr="009B0448" w:rsidRDefault="007C6685" w:rsidP="00D47D3C">
      <w:pPr>
        <w:spacing w:line="276" w:lineRule="auto"/>
        <w:jc w:val="both"/>
        <w:rPr>
          <w:rFonts w:ascii="Times New Roman" w:eastAsia="Times New Roman" w:hAnsi="Times New Roman" w:cs="Times New Roman"/>
        </w:rPr>
      </w:pPr>
    </w:p>
    <w:p w14:paraId="334FAF3B" w14:textId="6B67F5E8"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i/>
        </w:rPr>
        <w:t>Models</w:t>
      </w:r>
      <w:r w:rsidRPr="009B0448">
        <w:rPr>
          <w:rFonts w:ascii="Times New Roman" w:eastAsia="Times New Roman" w:hAnsi="Times New Roman" w:cs="Times New Roman"/>
        </w:rPr>
        <w:t xml:space="preserve"> are often used as part of scenario analyses. Scenario storylines typically focus on possible futures for drivers of change or policy interventions (e.g., population growth, economic growth), and a variety of models are then used to translate these into projected changes in key drivers of environmental change (e.g.,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change, fishing pressure), consequences for biodiversity and ecosystem function (e.g., species extinctions, habitat loss), NCP (e.g., control of water flow and quality, cultural values), and human well-being (e.g., access to food, health, spiritual satisfaction) (IPBES, 2016). Models are qualitative or quantitative descriptions of key components of a system and the relationships between those components, and are directly dependent on data and knowledge for their construction and testing. As such, models tend to draw on past observations and patterns, which can limit their utility in exploring futures that entail novel interactions and feedbacks between nature and society (IPBES, 2016). </w:t>
      </w:r>
    </w:p>
    <w:p w14:paraId="022D2850" w14:textId="77777777" w:rsidR="00D47D3C" w:rsidRPr="009B0448" w:rsidRDefault="00D47D3C" w:rsidP="00D47D3C">
      <w:pPr>
        <w:spacing w:line="276" w:lineRule="auto"/>
        <w:jc w:val="both"/>
        <w:rPr>
          <w:rFonts w:ascii="Times New Roman" w:eastAsia="Times New Roman" w:hAnsi="Times New Roman" w:cs="Times New Roman"/>
        </w:rPr>
      </w:pPr>
    </w:p>
    <w:p w14:paraId="1302361D" w14:textId="546ADDEF"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As the number of scenario studies focusing on environmental futures and their implications for human societies has grown, there has been recognition that the storylines developed in different studies often have similarities. For example, the Millennium Ecosystem Assessment (MA, 2005) and the Global Environmental Outlook 4 (UNEP, 2007) each developed four different global scenarios, some of which explore similar trajectories for the future of nature and society. For instance the </w:t>
      </w:r>
      <w:r w:rsidR="006010DD" w:rsidRPr="009B0448">
        <w:rPr>
          <w:rFonts w:ascii="Times New Roman" w:eastAsia="Times New Roman" w:hAnsi="Times New Roman" w:cs="Times New Roman"/>
        </w:rPr>
        <w:t>Millennium Ecosystem Assessment</w:t>
      </w:r>
      <w:r w:rsidRPr="009B0448">
        <w:rPr>
          <w:rFonts w:ascii="Times New Roman" w:eastAsia="Times New Roman" w:hAnsi="Times New Roman" w:cs="Times New Roman"/>
        </w:rPr>
        <w:t xml:space="preserve"> “Order from Strength” scenario and the GEO-4 “Security First” scenario both explore futures where the rich and poor have become highly fragmented and security and national sovereignty trump collective action around environmental issues. Such similarities between the storylines from different scenario studies have been used to identify a set of general </w:t>
      </w:r>
      <w:r w:rsidRPr="009B0448">
        <w:rPr>
          <w:rFonts w:ascii="Times New Roman" w:eastAsia="Times New Roman" w:hAnsi="Times New Roman" w:cs="Times New Roman"/>
          <w:i/>
        </w:rPr>
        <w:t>scenario archetypes</w:t>
      </w:r>
      <w:r w:rsidRPr="009B0448">
        <w:rPr>
          <w:rFonts w:ascii="Times New Roman" w:eastAsia="Times New Roman" w:hAnsi="Times New Roman" w:cs="Times New Roman"/>
        </w:rPr>
        <w:t xml:space="preserve"> that can be used to facilitate synthesis and comparison across studies (Hunt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2012; Wardropper, 2016). Within the global environmental change field, the most widely used archetypes for comparing scenario studies are based on the Global Scenarios Group work (</w:t>
      </w:r>
      <w:r w:rsidR="0089555E" w:rsidRPr="009B0448">
        <w:rPr>
          <w:rFonts w:ascii="Times New Roman" w:eastAsia="Times New Roman" w:hAnsi="Times New Roman" w:cs="Times New Roman"/>
        </w:rPr>
        <w:t>Gallop</w:t>
      </w:r>
      <w:r w:rsidR="002B279F" w:rsidRPr="009B0448">
        <w:rPr>
          <w:rFonts w:ascii="Times New Roman" w:eastAsia="Times New Roman" w:hAnsi="Times New Roman" w:cs="Times New Roman"/>
        </w:rPr>
        <w:t>í</w:t>
      </w:r>
      <w:r w:rsidR="0089555E" w:rsidRPr="009B0448">
        <w:rPr>
          <w:rFonts w:ascii="Times New Roman" w:eastAsia="Times New Roman" w:hAnsi="Times New Roman" w:cs="Times New Roman"/>
        </w:rPr>
        <w:t>n</w:t>
      </w:r>
      <w:r w:rsidR="0089555E" w:rsidRPr="009B0448">
        <w:rPr>
          <w:rFonts w:ascii="Times New Roman" w:eastAsia="Times New Roman" w:hAnsi="Times New Roman" w:cs="Times New Roman"/>
          <w:i/>
        </w:rPr>
        <w:t xml:space="preserve"> et al.</w:t>
      </w:r>
      <w:r w:rsidR="004B7027" w:rsidRPr="009B0448">
        <w:rPr>
          <w:rFonts w:ascii="Times New Roman" w:eastAsia="Times New Roman" w:hAnsi="Times New Roman" w:cs="Times New Roman"/>
          <w:i/>
        </w:rPr>
        <w:t>,</w:t>
      </w:r>
      <w:r w:rsidR="0089555E" w:rsidRPr="009B0448">
        <w:rPr>
          <w:rFonts w:ascii="Times New Roman" w:eastAsia="Times New Roman" w:hAnsi="Times New Roman" w:cs="Times New Roman"/>
        </w:rPr>
        <w:t xml:space="preserve"> 199</w:t>
      </w:r>
      <w:r w:rsidR="001C186D" w:rsidRPr="009B0448">
        <w:rPr>
          <w:rFonts w:ascii="Times New Roman" w:eastAsia="Times New Roman" w:hAnsi="Times New Roman" w:cs="Times New Roman"/>
        </w:rPr>
        <w:t>7</w:t>
      </w:r>
      <w:r w:rsidRPr="009B0448">
        <w:rPr>
          <w:rFonts w:ascii="Times New Roman" w:eastAsia="Times New Roman" w:hAnsi="Times New Roman" w:cs="Times New Roman"/>
        </w:rPr>
        <w:t xml:space="preserve">) which identified six archetypes: </w:t>
      </w:r>
      <w:r w:rsidRPr="009B0448">
        <w:rPr>
          <w:rFonts w:ascii="Times New Roman" w:eastAsia="Times New Roman" w:hAnsi="Times New Roman" w:cs="Times New Roman"/>
          <w:i/>
        </w:rPr>
        <w:t xml:space="preserve">Policy Reform, Market Forces, Breakdown, Fortress World, Eco-Communalism </w:t>
      </w:r>
      <w:r w:rsidRPr="009B0448">
        <w:rPr>
          <w:rFonts w:ascii="Times New Roman" w:eastAsia="Times New Roman" w:hAnsi="Times New Roman" w:cs="Times New Roman"/>
        </w:rPr>
        <w:t xml:space="preserve">and </w:t>
      </w:r>
      <w:r w:rsidRPr="009B0448">
        <w:rPr>
          <w:rFonts w:ascii="Times New Roman" w:eastAsia="Times New Roman" w:hAnsi="Times New Roman" w:cs="Times New Roman"/>
          <w:i/>
        </w:rPr>
        <w:t>New Sustainability Paradigm</w:t>
      </w:r>
      <w:r w:rsidRPr="009B0448">
        <w:rPr>
          <w:rFonts w:ascii="Times New Roman" w:eastAsia="Times New Roman" w:hAnsi="Times New Roman" w:cs="Times New Roman"/>
        </w:rPr>
        <w:t xml:space="preserve">. </w:t>
      </w:r>
    </w:p>
    <w:p w14:paraId="56E2BB8B" w14:textId="6D5ED3D8"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376" w:name="_Toc519499996"/>
      <w:r w:rsidRPr="009B0448">
        <w:rPr>
          <w:rFonts w:cs="Times New Roman"/>
          <w:i w:val="0"/>
          <w:sz w:val="22"/>
          <w:szCs w:val="22"/>
        </w:rPr>
        <w:t>What lies ahead?</w:t>
      </w:r>
      <w:bookmarkEnd w:id="376"/>
    </w:p>
    <w:p w14:paraId="5341A880" w14:textId="118E5F20"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This chapter presents an assessment of scenario studies of the African region that are relevant to understanding the future of nature-society interactions and their consequences for biodiversity, NCP and quality of life on the continent. This assessment was carried out in two parts. The first part (Section 5.2) presents a systematic review of the published literature to provide an overview of the types of scenario studies that have been undertaken in Africa, and the extent to which they have addressed priority issues relevant to Africa (see Chapter 1). This section further highlights the scales and </w:t>
      </w:r>
      <w:r w:rsidR="00B22D81">
        <w:rPr>
          <w:rFonts w:ascii="Times New Roman" w:eastAsia="Times New Roman" w:hAnsi="Times New Roman" w:cs="Times New Roman"/>
        </w:rPr>
        <w:t>subregion</w:t>
      </w:r>
      <w:r w:rsidRPr="009B0448">
        <w:rPr>
          <w:rFonts w:ascii="Times New Roman" w:eastAsia="Times New Roman" w:hAnsi="Times New Roman" w:cs="Times New Roman"/>
        </w:rPr>
        <w:t xml:space="preserve">s of Africa that have been considered, the scenario development approaches used (participatory, modelling, inclusion of </w:t>
      </w:r>
      <w:r w:rsidR="004B7027" w:rsidRPr="009B0448">
        <w:rPr>
          <w:rFonts w:ascii="Times New Roman" w:eastAsia="Times New Roman" w:hAnsi="Times New Roman" w:cs="Times New Roman"/>
        </w:rPr>
        <w:t>indigenous and local knowledge)</w:t>
      </w:r>
      <w:r w:rsidRPr="009B0448">
        <w:rPr>
          <w:rFonts w:ascii="Times New Roman" w:eastAsia="Times New Roman" w:hAnsi="Times New Roman" w:cs="Times New Roman"/>
        </w:rPr>
        <w:t xml:space="preserve"> as well as the authorship of these studies as an indicator of scenario development capacity within Africa. </w:t>
      </w:r>
    </w:p>
    <w:p w14:paraId="22A9E00F" w14:textId="77777777" w:rsidR="00D47D3C" w:rsidRPr="009B0448" w:rsidRDefault="00D47D3C" w:rsidP="00D47D3C">
      <w:pPr>
        <w:spacing w:line="276" w:lineRule="auto"/>
        <w:jc w:val="both"/>
        <w:rPr>
          <w:rFonts w:ascii="Times New Roman" w:eastAsia="Times New Roman" w:hAnsi="Times New Roman" w:cs="Times New Roman"/>
        </w:rPr>
      </w:pPr>
    </w:p>
    <w:p w14:paraId="18EA0AA6" w14:textId="44AB7C3E" w:rsidR="00991066" w:rsidRPr="009B0448" w:rsidRDefault="00991066" w:rsidP="00D47D3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second part of</w:t>
      </w:r>
      <w:r w:rsidR="0089555E" w:rsidRPr="009B0448">
        <w:rPr>
          <w:rFonts w:ascii="Times New Roman" w:eastAsia="Times New Roman" w:hAnsi="Times New Roman" w:cs="Times New Roman"/>
        </w:rPr>
        <w:t xml:space="preserve"> the assessment (Sections 5.3–</w:t>
      </w:r>
      <w:r w:rsidRPr="009B0448">
        <w:rPr>
          <w:rFonts w:ascii="Times New Roman" w:eastAsia="Times New Roman" w:hAnsi="Times New Roman" w:cs="Times New Roman"/>
        </w:rPr>
        <w:t>5.7) focuses on a subset of key studies identified in the review that address the</w:t>
      </w:r>
      <w:r w:rsidR="0037056E" w:rsidRPr="009B0448">
        <w:rPr>
          <w:rFonts w:ascii="Times New Roman" w:eastAsia="Times New Roman" w:hAnsi="Times New Roman" w:cs="Times New Roman"/>
        </w:rPr>
        <w:t xml:space="preserve"> future of biodiversity and NCP</w:t>
      </w:r>
      <w:r w:rsidRPr="009B0448">
        <w:rPr>
          <w:rFonts w:ascii="Times New Roman" w:eastAsia="Times New Roman" w:hAnsi="Times New Roman" w:cs="Times New Roman"/>
        </w:rPr>
        <w:t xml:space="preserve"> across the African continent, supplemented where possible by findings from the wider set of scenario studies identified in the systematic review. In order to compare and synthesize the findings across all the different studies and scenario storylines, we classified the studies into the </w:t>
      </w:r>
      <w:r w:rsidR="006C4A0A" w:rsidRPr="009B0448">
        <w:rPr>
          <w:rFonts w:ascii="Times New Roman" w:eastAsia="Times New Roman" w:hAnsi="Times New Roman" w:cs="Times New Roman"/>
        </w:rPr>
        <w:t xml:space="preserve">Global Scenarios Group </w:t>
      </w:r>
      <w:r w:rsidRPr="009B0448">
        <w:rPr>
          <w:rFonts w:ascii="Times New Roman" w:eastAsia="Times New Roman" w:hAnsi="Times New Roman" w:cs="Times New Roman"/>
        </w:rPr>
        <w:t>scenario archetypes as described in Section 5.3. The remainder of the chapter presents the assessment of possible futures of key drivers of change (Section 5.4), the con</w:t>
      </w:r>
      <w:r w:rsidR="0037056E" w:rsidRPr="009B0448">
        <w:rPr>
          <w:rFonts w:ascii="Times New Roman" w:eastAsia="Times New Roman" w:hAnsi="Times New Roman" w:cs="Times New Roman"/>
        </w:rPr>
        <w:t>sequences for biodiversity, NCP</w:t>
      </w:r>
      <w:r w:rsidRPr="009B0448">
        <w:rPr>
          <w:rFonts w:ascii="Times New Roman" w:eastAsia="Times New Roman" w:hAnsi="Times New Roman" w:cs="Times New Roman"/>
        </w:rPr>
        <w:t xml:space="preserve"> (Section 5.5), and human well-being (Section 5.6), as well as the implications for achieving key development targets and addressing priority development issues (Section 5.7) across Africa in the 21st century, in terms of the five broad scenario archetypes the studies represent. Finally, we conclude the chapter by discussing potential trade-offs, thresholds, cross-scale linkages and tele-couplings across different potential trajectories of social-ecological change (Section 5.8).</w:t>
      </w:r>
    </w:p>
    <w:p w14:paraId="65A7351B" w14:textId="58897239" w:rsidR="00991066" w:rsidRPr="009B0448" w:rsidRDefault="00991066" w:rsidP="00FA7185">
      <w:pPr>
        <w:pStyle w:val="Heading3"/>
        <w:widowControl w:val="0"/>
        <w:numPr>
          <w:ilvl w:val="1"/>
          <w:numId w:val="11"/>
        </w:numPr>
        <w:spacing w:before="240" w:after="240"/>
        <w:ind w:left="709" w:hanging="720"/>
        <w:rPr>
          <w:rFonts w:eastAsia="Calibri" w:cs="Times New Roman"/>
          <w:szCs w:val="24"/>
        </w:rPr>
      </w:pPr>
      <w:bookmarkStart w:id="377" w:name="_3j2qqm3" w:colFirst="0" w:colLast="0"/>
      <w:bookmarkStart w:id="378" w:name="_Toc519499997"/>
      <w:bookmarkEnd w:id="377"/>
      <w:r w:rsidRPr="009B0448">
        <w:rPr>
          <w:rFonts w:eastAsia="Calibri" w:cs="Times New Roman"/>
          <w:szCs w:val="24"/>
        </w:rPr>
        <w:t>Systematic review of scenario studies in Africa</w:t>
      </w:r>
      <w:bookmarkEnd w:id="378"/>
    </w:p>
    <w:p w14:paraId="5AAD2C7E" w14:textId="2DBB5173" w:rsidR="00991066"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To assess what existing scenario studies suggest about the future trajectories of nature-society </w:t>
      </w:r>
      <w:r w:rsidR="0037056E" w:rsidRPr="009B0448">
        <w:rPr>
          <w:rFonts w:ascii="Times New Roman" w:eastAsia="Times New Roman" w:hAnsi="Times New Roman" w:cs="Times New Roman"/>
        </w:rPr>
        <w:t>interactions, biodiversity, NCP</w:t>
      </w:r>
      <w:r w:rsidRPr="009B0448">
        <w:rPr>
          <w:rFonts w:ascii="Times New Roman" w:eastAsia="Times New Roman" w:hAnsi="Times New Roman" w:cs="Times New Roman"/>
        </w:rPr>
        <w:t xml:space="preserve"> and good quality of life across Africa, a comprehensive systematic review was conducted to identify relevant studies. This section presents the approach and key findings of the review. </w:t>
      </w:r>
    </w:p>
    <w:p w14:paraId="4090B5E4" w14:textId="40E5EF98"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379" w:name="_Toc519499998"/>
      <w:r w:rsidRPr="009B0448">
        <w:rPr>
          <w:rFonts w:cs="Times New Roman"/>
          <w:i w:val="0"/>
          <w:sz w:val="22"/>
          <w:szCs w:val="22"/>
        </w:rPr>
        <w:t>Approach</w:t>
      </w:r>
      <w:bookmarkEnd w:id="379"/>
    </w:p>
    <w:p w14:paraId="0A9EB6AF" w14:textId="7D7A4808" w:rsidR="00991066"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Several complementary approaches were used to identify relevant scenario studies. First, a literature search was performed in the Web of Science database with the keywords: “Africa* AND scenario* AND (ecosystem OR biodiversity)”</w:t>
      </w:r>
      <w:r w:rsidRPr="009B0448">
        <w:rPr>
          <w:rFonts w:ascii="Times New Roman" w:eastAsia="Times New Roman" w:hAnsi="Times New Roman" w:cs="Times New Roman"/>
          <w:vertAlign w:val="superscript"/>
        </w:rPr>
        <w:footnoteReference w:id="6"/>
      </w:r>
      <w:r w:rsidRPr="009B0448">
        <w:rPr>
          <w:rFonts w:ascii="Times New Roman" w:eastAsia="Times New Roman" w:hAnsi="Times New Roman" w:cs="Times New Roman"/>
        </w:rPr>
        <w:t>. Only papers published since the Millennium Ecosystem Assessment (MA), i.e.</w:t>
      </w:r>
      <w:r w:rsidR="00D925AD">
        <w:rPr>
          <w:rFonts w:ascii="Times New Roman" w:eastAsia="Times New Roman" w:hAnsi="Times New Roman" w:cs="Times New Roman"/>
        </w:rPr>
        <w:t>,</w:t>
      </w:r>
      <w:r w:rsidRPr="009B0448">
        <w:rPr>
          <w:rFonts w:ascii="Times New Roman" w:eastAsia="Times New Roman" w:hAnsi="Times New Roman" w:cs="Times New Roman"/>
        </w:rPr>
        <w:t xml:space="preserve"> between 2005 and 2016, were included. To ensure that no key studies were missed, particularly those published in the grey literature (such as reports), the same search was repeated in Google Scholar. A further search was based on </w:t>
      </w:r>
      <w:r w:rsidR="00B92FCA" w:rsidRPr="009B0448">
        <w:rPr>
          <w:rFonts w:ascii="Times New Roman" w:eastAsia="Times New Roman" w:hAnsi="Times New Roman" w:cs="Times New Roman"/>
        </w:rPr>
        <w:t xml:space="preserve">the </w:t>
      </w:r>
      <w:r w:rsidRPr="009B0448">
        <w:rPr>
          <w:rFonts w:ascii="Times New Roman" w:eastAsia="Times New Roman" w:hAnsi="Times New Roman" w:cs="Times New Roman"/>
        </w:rPr>
        <w:t>purposive sampling of IPBES experts to identify other important documents. Finally, the French literature was searched for studies and reports published in French. Translations of the search terms were used in the French version of Google Scholar (scholar.google.fr). All papers and reports thus identified were scanned for relevance. If the study only mentioned scenarios without having analysed or explored any scenarios, or if the paper or reports did not include African study sites, the study was excluded.</w:t>
      </w:r>
    </w:p>
    <w:p w14:paraId="50256B84" w14:textId="77777777" w:rsidR="00EF2D14" w:rsidRPr="009B0448" w:rsidRDefault="00EF2D14" w:rsidP="00EF2D14">
      <w:pPr>
        <w:spacing w:line="276" w:lineRule="auto"/>
        <w:jc w:val="both"/>
        <w:rPr>
          <w:rFonts w:ascii="Times New Roman" w:eastAsia="Times New Roman" w:hAnsi="Times New Roman" w:cs="Times New Roman"/>
        </w:rPr>
      </w:pPr>
    </w:p>
    <w:p w14:paraId="05D31CA9" w14:textId="5412D67C" w:rsidR="00991066"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total, these approaches identified 355 relevant papers and reports, published between 2005 and 2016 (</w:t>
      </w:r>
      <w:r w:rsidR="00555F55" w:rsidRPr="009B0448">
        <w:rPr>
          <w:rFonts w:ascii="Times New Roman" w:eastAsia="Times New Roman" w:hAnsi="Times New Roman" w:cs="Times New Roman"/>
        </w:rPr>
        <w:t>See Supplement 5.1</w:t>
      </w:r>
      <w:r w:rsidR="00555F55" w:rsidRPr="009B0448">
        <w:rPr>
          <w:rStyle w:val="FootnoteReference"/>
          <w:rFonts w:ascii="Times New Roman" w:eastAsia="Times New Roman" w:hAnsi="Times New Roman" w:cs="Times New Roman"/>
        </w:rPr>
        <w:footnoteReference w:id="7"/>
      </w:r>
      <w:r w:rsidRPr="009B0448">
        <w:rPr>
          <w:rFonts w:ascii="Times New Roman" w:eastAsia="Times New Roman" w:hAnsi="Times New Roman" w:cs="Times New Roman"/>
        </w:rPr>
        <w:t xml:space="preserve">). These studies were then reviewed in some detail: First, the papers and reports were assessed to identify whether they represented exploratory, target-seeking, policy-screening or retrospective policy evaluation studies. </w:t>
      </w:r>
      <w:r w:rsidR="00C813C5">
        <w:rPr>
          <w:rFonts w:ascii="Times New Roman" w:eastAsia="Times New Roman" w:hAnsi="Times New Roman" w:cs="Times New Roman"/>
        </w:rPr>
        <w:t>Second, each study was categoris</w:t>
      </w:r>
      <w:r w:rsidRPr="009B0448">
        <w:rPr>
          <w:rFonts w:ascii="Times New Roman" w:eastAsia="Times New Roman" w:hAnsi="Times New Roman" w:cs="Times New Roman"/>
        </w:rPr>
        <w:t>ed based on whether new</w:t>
      </w:r>
      <w:r w:rsidR="00B92FCA" w:rsidRPr="009B0448">
        <w:rPr>
          <w:rFonts w:ascii="Times New Roman" w:eastAsia="Times New Roman" w:hAnsi="Times New Roman" w:cs="Times New Roman"/>
        </w:rPr>
        <w:t>,</w:t>
      </w:r>
      <w:r w:rsidRPr="009B0448">
        <w:rPr>
          <w:rFonts w:ascii="Times New Roman" w:eastAsia="Times New Roman" w:hAnsi="Times New Roman" w:cs="Times New Roman"/>
        </w:rPr>
        <w:t xml:space="preserve"> integrated scenario storylines were developed (which we termed a </w:t>
      </w:r>
      <w:r w:rsidRPr="009B0448">
        <w:rPr>
          <w:rFonts w:ascii="Times New Roman" w:eastAsia="Times New Roman" w:hAnsi="Times New Roman" w:cs="Times New Roman"/>
          <w:i/>
        </w:rPr>
        <w:t xml:space="preserve">type 1 </w:t>
      </w:r>
      <w:r w:rsidRPr="009B0448">
        <w:rPr>
          <w:rFonts w:ascii="Times New Roman" w:eastAsia="Times New Roman" w:hAnsi="Times New Roman" w:cs="Times New Roman"/>
        </w:rPr>
        <w:t>scenario study), whether existing scenarios (such as IPCC SRES</w:t>
      </w:r>
      <w:r w:rsidR="000A70BC" w:rsidRPr="009B0448">
        <w:rPr>
          <w:rFonts w:ascii="Times New Roman" w:eastAsia="Times New Roman" w:hAnsi="Times New Roman" w:cs="Times New Roman"/>
        </w:rPr>
        <w:t xml:space="preserve">, Nakicenovic </w:t>
      </w:r>
      <w:r w:rsidR="000429F8" w:rsidRPr="009B0448">
        <w:rPr>
          <w:rFonts w:ascii="Times New Roman" w:eastAsia="Times New Roman" w:hAnsi="Times New Roman" w:cs="Times New Roman"/>
          <w:i/>
        </w:rPr>
        <w:t>et al.</w:t>
      </w:r>
      <w:r w:rsidR="000A70BC" w:rsidRPr="009B0448">
        <w:rPr>
          <w:rFonts w:ascii="Times New Roman" w:eastAsia="Times New Roman" w:hAnsi="Times New Roman" w:cs="Times New Roman"/>
        </w:rPr>
        <w:t>, 2000</w:t>
      </w:r>
      <w:r w:rsidRPr="009B0448">
        <w:rPr>
          <w:rFonts w:ascii="Times New Roman" w:eastAsia="Times New Roman" w:hAnsi="Times New Roman" w:cs="Times New Roman"/>
        </w:rPr>
        <w:t>) were used to explore or model specific variables (e.g.</w:t>
      </w:r>
      <w:r w:rsidR="009870E9" w:rsidRPr="009B0448">
        <w:rPr>
          <w:rFonts w:ascii="Times New Roman" w:eastAsia="Times New Roman" w:hAnsi="Times New Roman" w:cs="Times New Roman"/>
        </w:rPr>
        <w:t>,</w:t>
      </w:r>
      <w:r w:rsidRPr="009B0448">
        <w:rPr>
          <w:rFonts w:ascii="Times New Roman" w:eastAsia="Times New Roman" w:hAnsi="Times New Roman" w:cs="Times New Roman"/>
        </w:rPr>
        <w:t xml:space="preserve"> species distribution) into the future (termed </w:t>
      </w:r>
      <w:r w:rsidRPr="009B0448">
        <w:rPr>
          <w:rFonts w:ascii="Times New Roman" w:eastAsia="Times New Roman" w:hAnsi="Times New Roman" w:cs="Times New Roman"/>
          <w:i/>
        </w:rPr>
        <w:t>type 2</w:t>
      </w:r>
      <w:r w:rsidRPr="009B0448">
        <w:rPr>
          <w:rFonts w:ascii="Times New Roman" w:eastAsia="Times New Roman" w:hAnsi="Times New Roman" w:cs="Times New Roman"/>
        </w:rPr>
        <w:t xml:space="preserve"> studies), or whether parameter changes and their impacts were explored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different sizes of a protected area</w:t>
      </w:r>
      <w:r w:rsidR="009870E9" w:rsidRPr="009B0448">
        <w:rPr>
          <w:rFonts w:ascii="Times New Roman" w:eastAsia="Times New Roman" w:hAnsi="Times New Roman" w:cs="Times New Roman"/>
        </w:rPr>
        <w:t>—</w:t>
      </w:r>
      <w:r w:rsidRPr="009B0448">
        <w:rPr>
          <w:rFonts w:ascii="Times New Roman" w:eastAsia="Times New Roman" w:hAnsi="Times New Roman" w:cs="Times New Roman"/>
        </w:rPr>
        <w:t>i.e.</w:t>
      </w:r>
      <w:r w:rsidR="00D925AD">
        <w:rPr>
          <w:rFonts w:ascii="Times New Roman" w:eastAsia="Times New Roman" w:hAnsi="Times New Roman" w:cs="Times New Roman"/>
        </w:rPr>
        <w:t>,</w:t>
      </w:r>
      <w:r w:rsidRPr="009B0448">
        <w:rPr>
          <w:rFonts w:ascii="Times New Roman" w:eastAsia="Times New Roman" w:hAnsi="Times New Roman" w:cs="Times New Roman"/>
        </w:rPr>
        <w:t xml:space="preserve"> different “scenarios”</w:t>
      </w:r>
      <w:r w:rsidR="009870E9" w:rsidRPr="009B0448">
        <w:rPr>
          <w:rFonts w:ascii="Times New Roman" w:eastAsia="Times New Roman" w:hAnsi="Times New Roman" w:cs="Times New Roman"/>
        </w:rPr>
        <w:t>—</w:t>
      </w:r>
      <w:r w:rsidRPr="009B0448">
        <w:rPr>
          <w:rFonts w:ascii="Times New Roman" w:eastAsia="Times New Roman" w:hAnsi="Times New Roman" w:cs="Times New Roman"/>
        </w:rPr>
        <w:t xml:space="preserve">were modelled to assess conservation impact for a certain set of species; termed </w:t>
      </w:r>
      <w:r w:rsidRPr="009B0448">
        <w:rPr>
          <w:rFonts w:ascii="Times New Roman" w:eastAsia="Times New Roman" w:hAnsi="Times New Roman" w:cs="Times New Roman"/>
          <w:i/>
        </w:rPr>
        <w:t>type 3</w:t>
      </w:r>
      <w:r w:rsidRPr="009B0448">
        <w:rPr>
          <w:rFonts w:ascii="Times New Roman" w:eastAsia="Times New Roman" w:hAnsi="Times New Roman" w:cs="Times New Roman"/>
        </w:rPr>
        <w:t xml:space="preserve"> studies). The literature identified in the systematic review included all three types of studies, and some studies represented a combination of different types. </w:t>
      </w:r>
    </w:p>
    <w:p w14:paraId="469A83DD" w14:textId="77777777" w:rsidR="00EF2D14" w:rsidRPr="009B0448" w:rsidRDefault="00EF2D14" w:rsidP="00EF2D14">
      <w:pPr>
        <w:spacing w:line="276" w:lineRule="auto"/>
        <w:jc w:val="both"/>
        <w:rPr>
          <w:rFonts w:ascii="Times New Roman" w:eastAsia="Times New Roman" w:hAnsi="Times New Roman" w:cs="Times New Roman"/>
        </w:rPr>
      </w:pPr>
    </w:p>
    <w:p w14:paraId="0EFF4502" w14:textId="70BC5241" w:rsidR="00991066"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Other information captured during the review included information on the location of the study site, and the scale of the study (local, national, regional or global). The review also noted which key issues the study addressed (e.g., food, water, energy, invasive species, or livelihoods and poverty) that pertain to the key issues identified in the IPBES Scoping Report, including the food-energy-water-livelihood nexus, land degradation, invasive species and zoonotic diseases. Other issues such as climate, </w:t>
      </w:r>
      <w:r w:rsidR="00574E50" w:rsidRPr="009B0448">
        <w:rPr>
          <w:rFonts w:ascii="Times New Roman" w:eastAsia="Times New Roman" w:hAnsi="Times New Roman" w:cs="Times New Roman"/>
        </w:rPr>
        <w:t>urbanis</w:t>
      </w:r>
      <w:r w:rsidR="00C76378" w:rsidRPr="009B0448">
        <w:rPr>
          <w:rFonts w:ascii="Times New Roman" w:eastAsia="Times New Roman" w:hAnsi="Times New Roman" w:cs="Times New Roman"/>
        </w:rPr>
        <w:t>ation</w:t>
      </w:r>
      <w:r w:rsidRPr="009B0448">
        <w:rPr>
          <w:rFonts w:ascii="Times New Roman" w:eastAsia="Times New Roman" w:hAnsi="Times New Roman" w:cs="Times New Roman"/>
        </w:rPr>
        <w:t xml:space="preserve"> and gender were captured due to their importance as factors of change and development on the African continent. It was also noted whether the study addressed issues around thresholds or trade-offs which are key to understanding interactions between nature and society.</w:t>
      </w:r>
    </w:p>
    <w:p w14:paraId="30C1981E" w14:textId="77777777" w:rsidR="00EF2D14" w:rsidRPr="009B0448" w:rsidRDefault="00EF2D14" w:rsidP="00EF2D14">
      <w:pPr>
        <w:spacing w:line="276" w:lineRule="auto"/>
        <w:jc w:val="both"/>
        <w:rPr>
          <w:rFonts w:ascii="Times New Roman" w:eastAsia="Times New Roman" w:hAnsi="Times New Roman" w:cs="Times New Roman"/>
        </w:rPr>
      </w:pPr>
    </w:p>
    <w:p w14:paraId="1FFEE572" w14:textId="1E5A2FE1" w:rsidR="007E5A5E"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review further captured the approach to scenario analysis (participatory, modelling, or including indigenous local knowledge). To understand what kind of models were used, the 301 (out of 320) modelling studies published in English were classified into three broad classes, namely correlative, process-based and expert-based models (IPBES, 2016). To assess the capacity for undertaking scenario studies in Africa, VOSviewer 1.6.5 software was used to conduct a bibliometric analysis of authorship on the subset of studies that appear in the Web of Science database (n=322). </w:t>
      </w:r>
    </w:p>
    <w:p w14:paraId="5793BAE6" w14:textId="7D585266" w:rsidR="007E5A5E" w:rsidRPr="009B0448" w:rsidRDefault="00991066" w:rsidP="00FA7185">
      <w:pPr>
        <w:pStyle w:val="111"/>
        <w:numPr>
          <w:ilvl w:val="2"/>
          <w:numId w:val="11"/>
        </w:numPr>
        <w:spacing w:before="240" w:after="240"/>
        <w:ind w:left="709" w:hanging="720"/>
        <w:rPr>
          <w:rFonts w:cs="Times New Roman"/>
          <w:i w:val="0"/>
          <w:sz w:val="22"/>
          <w:szCs w:val="22"/>
        </w:rPr>
      </w:pPr>
      <w:bookmarkStart w:id="380" w:name="_Toc519499999"/>
      <w:r w:rsidRPr="009B0448">
        <w:rPr>
          <w:rFonts w:cs="Times New Roman"/>
          <w:i w:val="0"/>
          <w:sz w:val="22"/>
          <w:szCs w:val="22"/>
        </w:rPr>
        <w:t>Key findings</w:t>
      </w:r>
      <w:bookmarkEnd w:id="380"/>
    </w:p>
    <w:p w14:paraId="1C63580F" w14:textId="1D254E66" w:rsidR="00154FAA"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355 identified studies showed a variety of patterns in terms of scenario types, geographic area, scale and themes covered, as well as scenario development approach and authorship. </w:t>
      </w:r>
    </w:p>
    <w:p w14:paraId="039306EE" w14:textId="77777777" w:rsidR="00991066" w:rsidRPr="009B0448" w:rsidRDefault="00991066" w:rsidP="00FA7185">
      <w:pPr>
        <w:pStyle w:val="111"/>
        <w:numPr>
          <w:ilvl w:val="3"/>
          <w:numId w:val="11"/>
        </w:numPr>
        <w:spacing w:before="240" w:after="240"/>
        <w:ind w:left="851" w:hanging="862"/>
        <w:rPr>
          <w:rFonts w:cs="Times New Roman"/>
          <w:sz w:val="22"/>
          <w:szCs w:val="22"/>
        </w:rPr>
      </w:pPr>
      <w:bookmarkStart w:id="381" w:name="_Toc519500000"/>
      <w:r w:rsidRPr="009B0448">
        <w:rPr>
          <w:rFonts w:cs="Times New Roman"/>
          <w:sz w:val="22"/>
          <w:szCs w:val="22"/>
        </w:rPr>
        <w:t>Types of scenario studies</w:t>
      </w:r>
      <w:bookmarkEnd w:id="381"/>
    </w:p>
    <w:p w14:paraId="3A7D7AB4" w14:textId="6DF3072E" w:rsidR="00991066"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terms of the IPBES typology of scenario research, the vast majority of reviewed studies were exploratory (80%). A fair share of studies were policy screening (17%), but only 6% were target-seeking, and 1% represented retrospective evaluations of a policy (so-called “backcasting” studies) (Fig</w:t>
      </w:r>
      <w:r w:rsidR="006C4A0A" w:rsidRPr="009B0448">
        <w:rPr>
          <w:rFonts w:ascii="Times New Roman" w:eastAsia="Times New Roman" w:hAnsi="Times New Roman" w:cs="Times New Roman"/>
        </w:rPr>
        <w:t>ure</w:t>
      </w:r>
      <w:r w:rsidRPr="009B0448">
        <w:rPr>
          <w:rFonts w:ascii="Times New Roman" w:eastAsia="Times New Roman" w:hAnsi="Times New Roman" w:cs="Times New Roman"/>
        </w:rPr>
        <w:t xml:space="preserve"> 5.1). In terms of our type 1, 2 and 3 classification of scenario studies, only 14% of the studies developed their own scenario storylines (type 1 studies). This translates to only 49 scenario exercises that constructed their own s</w:t>
      </w:r>
      <w:r w:rsidR="009870E9" w:rsidRPr="009B0448">
        <w:rPr>
          <w:rFonts w:ascii="Times New Roman" w:eastAsia="Times New Roman" w:hAnsi="Times New Roman" w:cs="Times New Roman"/>
        </w:rPr>
        <w:t xml:space="preserve">cenario narratives for Africa, or parts thereof, </w:t>
      </w:r>
      <w:r w:rsidRPr="009B0448">
        <w:rPr>
          <w:rFonts w:ascii="Times New Roman" w:eastAsia="Times New Roman" w:hAnsi="Times New Roman" w:cs="Times New Roman"/>
        </w:rPr>
        <w:t xml:space="preserve">since 2005. In terms of exploratory studies, the majority (46% of studies reviewed) based their analyses on existing scenarios (type 2 studies), rather than developing their own storylines. The IPCC climate scenarios were by far the most commonly used scenarios in these type 2 studies. Finally, almost half the reviewed literature (46%) was made up of type 3 studies, which explore the impacts of specific management-related parameter changes. These kinds of studies use the term “scenario” more loosely, often referring to different management options or changes in model </w:t>
      </w:r>
      <w:r w:rsidR="0078478B" w:rsidRPr="009B0448">
        <w:rPr>
          <w:rFonts w:ascii="Times New Roman" w:eastAsia="Times New Roman" w:hAnsi="Times New Roman" w:cs="Times New Roman"/>
        </w:rPr>
        <w:t>parameters</w:t>
      </w:r>
      <w:r w:rsidRPr="009B0448">
        <w:rPr>
          <w:rFonts w:ascii="Times New Roman" w:eastAsia="Times New Roman" w:hAnsi="Times New Roman" w:cs="Times New Roman"/>
        </w:rPr>
        <w:t xml:space="preserve"> as scenarios. Note that some studies represented a combination of different types and approaches, including for instance IPCC-based type 2 studies that also varied management </w:t>
      </w:r>
      <w:r w:rsidR="0078478B" w:rsidRPr="009B0448">
        <w:rPr>
          <w:rFonts w:ascii="Times New Roman" w:eastAsia="Times New Roman" w:hAnsi="Times New Roman" w:cs="Times New Roman"/>
        </w:rPr>
        <w:t>parameters</w:t>
      </w:r>
      <w:r w:rsidRPr="009B0448">
        <w:rPr>
          <w:rFonts w:ascii="Times New Roman" w:eastAsia="Times New Roman" w:hAnsi="Times New Roman" w:cs="Times New Roman"/>
        </w:rPr>
        <w:t xml:space="preserve"> (such as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w:t>
      </w:r>
    </w:p>
    <w:p w14:paraId="7AD93119" w14:textId="77777777" w:rsidR="00991066" w:rsidRPr="009B0448" w:rsidRDefault="00991066" w:rsidP="00FA7185">
      <w:pPr>
        <w:pStyle w:val="111"/>
        <w:numPr>
          <w:ilvl w:val="3"/>
          <w:numId w:val="11"/>
        </w:numPr>
        <w:spacing w:before="240" w:after="240"/>
        <w:ind w:left="851" w:hanging="862"/>
        <w:rPr>
          <w:rFonts w:cs="Times New Roman"/>
          <w:sz w:val="22"/>
          <w:szCs w:val="22"/>
        </w:rPr>
      </w:pPr>
      <w:bookmarkStart w:id="382" w:name="_Toc519500001"/>
      <w:r w:rsidRPr="009B0448">
        <w:rPr>
          <w:rFonts w:cs="Times New Roman"/>
          <w:sz w:val="22"/>
          <w:szCs w:val="22"/>
        </w:rPr>
        <w:t>Scale and geographic area</w:t>
      </w:r>
      <w:bookmarkEnd w:id="382"/>
    </w:p>
    <w:p w14:paraId="793D87A3" w14:textId="52844AD6" w:rsidR="00991066"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majority of scenario studies were conducted in southern Africa (37%), and by far the majority of studies were local in scale (46%) (Fig</w:t>
      </w:r>
      <w:r w:rsidR="006C4A0A" w:rsidRPr="009B0448">
        <w:rPr>
          <w:rFonts w:ascii="Times New Roman" w:eastAsia="Times New Roman" w:hAnsi="Times New Roman" w:cs="Times New Roman"/>
        </w:rPr>
        <w:t>ure</w:t>
      </w:r>
      <w:r w:rsidRPr="009B0448">
        <w:rPr>
          <w:rFonts w:ascii="Times New Roman" w:eastAsia="Times New Roman" w:hAnsi="Times New Roman" w:cs="Times New Roman"/>
        </w:rPr>
        <w:t xml:space="preserve"> 5.2). In contrast, 18% of the studies were part of or based on a global scenario study, while 8% covered all of Africa. A similar predominance of scenario studies focusing on southern Africa (and particularly South Africa) has previously been found in the French literature (FRB, 2013). This pattern of prevalence of studies in southern and eastern Africa is not unique to scenario studies, and may be explained by the relative dominance of these </w:t>
      </w:r>
      <w:r w:rsidR="00B22D81">
        <w:rPr>
          <w:rFonts w:ascii="Times New Roman" w:eastAsia="Times New Roman" w:hAnsi="Times New Roman" w:cs="Times New Roman"/>
        </w:rPr>
        <w:t>subregion</w:t>
      </w:r>
      <w:r w:rsidRPr="009B0448">
        <w:rPr>
          <w:rFonts w:ascii="Times New Roman" w:eastAsia="Times New Roman" w:hAnsi="Times New Roman" w:cs="Times New Roman"/>
        </w:rPr>
        <w:t>s in biodiversity research more generally within the African continent (</w:t>
      </w:r>
      <w:r w:rsidR="006B794E" w:rsidRPr="009B0448">
        <w:rPr>
          <w:rFonts w:ascii="Times New Roman" w:eastAsia="Times New Roman" w:hAnsi="Times New Roman" w:cs="Times New Roman"/>
        </w:rPr>
        <w:t xml:space="preserve">Wilson </w:t>
      </w:r>
      <w:r w:rsidR="006B794E" w:rsidRPr="009B0448">
        <w:rPr>
          <w:rFonts w:ascii="Times New Roman" w:eastAsia="Times New Roman" w:hAnsi="Times New Roman" w:cs="Times New Roman"/>
          <w:i/>
        </w:rPr>
        <w:t>et al.</w:t>
      </w:r>
      <w:r w:rsidR="006B794E" w:rsidRPr="009B0448">
        <w:rPr>
          <w:rFonts w:ascii="Times New Roman" w:eastAsia="Times New Roman" w:hAnsi="Times New Roman" w:cs="Times New Roman"/>
        </w:rPr>
        <w:t xml:space="preserve">, 2016; </w:t>
      </w:r>
      <w:r w:rsidRPr="009B0448">
        <w:rPr>
          <w:rFonts w:ascii="Times New Roman" w:eastAsia="Times New Roman" w:hAnsi="Times New Roman" w:cs="Times New Roman"/>
        </w:rPr>
        <w:t xml:space="preserve">Proença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w:t>
      </w:r>
      <w:r w:rsidR="00154FAA" w:rsidRPr="009B0448">
        <w:rPr>
          <w:rFonts w:ascii="Times New Roman" w:eastAsia="Times New Roman" w:hAnsi="Times New Roman" w:cs="Times New Roman"/>
        </w:rPr>
        <w:t xml:space="preserve"> 201</w:t>
      </w:r>
      <w:r w:rsidR="006B794E" w:rsidRPr="009B0448">
        <w:rPr>
          <w:rFonts w:ascii="Times New Roman" w:eastAsia="Times New Roman" w:hAnsi="Times New Roman" w:cs="Times New Roman"/>
        </w:rPr>
        <w:t>7</w:t>
      </w:r>
      <w:r w:rsidR="00154FAA" w:rsidRPr="009B0448">
        <w:rPr>
          <w:rFonts w:ascii="Times New Roman" w:eastAsia="Times New Roman" w:hAnsi="Times New Roman" w:cs="Times New Roman"/>
        </w:rPr>
        <w:t xml:space="preserve">). </w:t>
      </w:r>
    </w:p>
    <w:p w14:paraId="2DDD6280" w14:textId="77777777" w:rsidR="00EF2D14" w:rsidRPr="009B0448" w:rsidRDefault="00EF2D14" w:rsidP="00EF2D14">
      <w:pPr>
        <w:spacing w:line="276" w:lineRule="auto"/>
        <w:jc w:val="both"/>
        <w:rPr>
          <w:rFonts w:ascii="Times New Roman" w:eastAsia="Times New Roman" w:hAnsi="Times New Roman" w:cs="Times New Roman"/>
        </w:rPr>
      </w:pPr>
    </w:p>
    <w:p w14:paraId="48896649" w14:textId="660DA506" w:rsidR="00991066" w:rsidRPr="009B0448" w:rsidRDefault="00991066" w:rsidP="00EF2D14">
      <w:pPr>
        <w:spacing w:line="276" w:lineRule="auto"/>
        <w:jc w:val="both"/>
        <w:rPr>
          <w:rFonts w:ascii="Times New Roman" w:eastAsia="Times New Roman" w:hAnsi="Times New Roman" w:cs="Times New Roman"/>
          <w:sz w:val="20"/>
          <w:szCs w:val="20"/>
        </w:rPr>
      </w:pPr>
      <w:r w:rsidRPr="009B0448">
        <w:rPr>
          <w:rFonts w:ascii="Times New Roman" w:eastAsia="Times New Roman" w:hAnsi="Times New Roman" w:cs="Times New Roman"/>
          <w:noProof/>
          <w:sz w:val="20"/>
          <w:szCs w:val="20"/>
          <w:lang w:eastAsia="en-GB"/>
        </w:rPr>
        <w:drawing>
          <wp:inline distT="114300" distB="114300" distL="114300" distR="114300" wp14:anchorId="37FB40F1" wp14:editId="4C29A9B9">
            <wp:extent cx="3593204" cy="2242185"/>
            <wp:effectExtent l="0" t="0" r="7620" b="5715"/>
            <wp:docPr id="24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572">
                      <a:extLst>
                        <a:ext uri="{28A0092B-C50C-407E-A947-70E740481C1C}">
                          <a14:useLocalDpi xmlns:a14="http://schemas.microsoft.com/office/drawing/2010/main" val="0"/>
                        </a:ext>
                      </a:extLst>
                    </a:blip>
                    <a:stretch>
                      <a:fillRect/>
                    </a:stretch>
                  </pic:blipFill>
                  <pic:spPr>
                    <a:xfrm>
                      <a:off x="0" y="0"/>
                      <a:ext cx="3654436" cy="2280394"/>
                    </a:xfrm>
                    <a:prstGeom prst="rect">
                      <a:avLst/>
                    </a:prstGeom>
                    <a:ln/>
                  </pic:spPr>
                </pic:pic>
              </a:graphicData>
            </a:graphic>
          </wp:inline>
        </w:drawing>
      </w:r>
      <w:r w:rsidRPr="009B0448">
        <w:rPr>
          <w:rFonts w:ascii="Times New Roman" w:eastAsia="Times New Roman" w:hAnsi="Times New Roman" w:cs="Times New Roman"/>
          <w:noProof/>
          <w:sz w:val="20"/>
          <w:szCs w:val="20"/>
          <w:lang w:eastAsia="en-GB"/>
        </w:rPr>
        <w:drawing>
          <wp:inline distT="114300" distB="114300" distL="114300" distR="114300" wp14:anchorId="721AB440" wp14:editId="20E46F0F">
            <wp:extent cx="2097885" cy="2243728"/>
            <wp:effectExtent l="0" t="0" r="0" b="4445"/>
            <wp:docPr id="24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573">
                      <a:extLst>
                        <a:ext uri="{28A0092B-C50C-407E-A947-70E740481C1C}">
                          <a14:useLocalDpi xmlns:a14="http://schemas.microsoft.com/office/drawing/2010/main" val="0"/>
                        </a:ext>
                      </a:extLst>
                    </a:blip>
                    <a:stretch>
                      <a:fillRect/>
                    </a:stretch>
                  </pic:blipFill>
                  <pic:spPr>
                    <a:xfrm>
                      <a:off x="0" y="0"/>
                      <a:ext cx="2097885" cy="2243728"/>
                    </a:xfrm>
                    <a:prstGeom prst="rect">
                      <a:avLst/>
                    </a:prstGeom>
                    <a:ln/>
                  </pic:spPr>
                </pic:pic>
              </a:graphicData>
            </a:graphic>
          </wp:inline>
        </w:drawing>
      </w:r>
    </w:p>
    <w:p w14:paraId="17501E96" w14:textId="24B87DF0" w:rsidR="00154FAA"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 xml:space="preserve">Figure 5.2: </w:t>
      </w:r>
      <w:r w:rsidR="00A24FEA" w:rsidRPr="009B0448">
        <w:rPr>
          <w:rFonts w:ascii="Times New Roman" w:eastAsia="Times New Roman" w:hAnsi="Times New Roman" w:cs="Times New Roman"/>
        </w:rPr>
        <w:t xml:space="preserve">Percentage of studies in the systematic review covering different a) IPBES regions and </w:t>
      </w:r>
      <w:r w:rsidR="00B22D81">
        <w:rPr>
          <w:rFonts w:ascii="Times New Roman" w:eastAsia="Times New Roman" w:hAnsi="Times New Roman" w:cs="Times New Roman"/>
        </w:rPr>
        <w:t>subregion</w:t>
      </w:r>
      <w:r w:rsidR="00A24FEA" w:rsidRPr="009B0448">
        <w:rPr>
          <w:rFonts w:ascii="Times New Roman" w:eastAsia="Times New Roman" w:hAnsi="Times New Roman" w:cs="Times New Roman"/>
        </w:rPr>
        <w:t xml:space="preserve">s, and b) geographic scales. Note that some studies spanned more than one </w:t>
      </w:r>
      <w:r w:rsidR="00B22D81">
        <w:rPr>
          <w:rFonts w:ascii="Times New Roman" w:eastAsia="Times New Roman" w:hAnsi="Times New Roman" w:cs="Times New Roman"/>
        </w:rPr>
        <w:t>subregion</w:t>
      </w:r>
      <w:r w:rsidR="00A24FEA" w:rsidRPr="009B0448">
        <w:rPr>
          <w:rFonts w:ascii="Times New Roman" w:eastAsia="Times New Roman" w:hAnsi="Times New Roman" w:cs="Times New Roman"/>
        </w:rPr>
        <w:t xml:space="preserve"> and totals exceed 100%.</w:t>
      </w:r>
    </w:p>
    <w:p w14:paraId="5D781314" w14:textId="77777777" w:rsidR="00E1598D" w:rsidRPr="009B0448" w:rsidRDefault="00E1598D" w:rsidP="00FA7185">
      <w:pPr>
        <w:pStyle w:val="111"/>
        <w:numPr>
          <w:ilvl w:val="3"/>
          <w:numId w:val="11"/>
        </w:numPr>
        <w:spacing w:before="240" w:after="240"/>
        <w:ind w:left="851" w:hanging="862"/>
        <w:rPr>
          <w:rFonts w:cs="Times New Roman"/>
          <w:sz w:val="22"/>
          <w:szCs w:val="22"/>
        </w:rPr>
      </w:pPr>
      <w:bookmarkStart w:id="383" w:name="_Toc519500002"/>
      <w:r w:rsidRPr="009B0448">
        <w:rPr>
          <w:rFonts w:cs="Times New Roman"/>
          <w:sz w:val="22"/>
          <w:szCs w:val="22"/>
        </w:rPr>
        <w:t>Key issues addressed</w:t>
      </w:r>
      <w:bookmarkEnd w:id="383"/>
    </w:p>
    <w:p w14:paraId="3B43C683" w14:textId="6280CDD1" w:rsidR="00991066"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Of the key issues addressed in the studies, climate featured in 60% of the studies (Fig</w:t>
      </w:r>
      <w:r w:rsidR="006C4A0A" w:rsidRPr="009B0448">
        <w:rPr>
          <w:rFonts w:ascii="Times New Roman" w:eastAsia="Times New Roman" w:hAnsi="Times New Roman" w:cs="Times New Roman"/>
        </w:rPr>
        <w:t>ure</w:t>
      </w:r>
      <w:r w:rsidRPr="009B0448">
        <w:rPr>
          <w:rFonts w:ascii="Times New Roman" w:eastAsia="Times New Roman" w:hAnsi="Times New Roman" w:cs="Times New Roman"/>
        </w:rPr>
        <w:t xml:space="preserve"> 5.3). These results are supported by a recent global review of French studies on biodiversity scenarios, which identified climate as a driver of change in 60% of the studies considered (FRB, 2013). Other commonly occurring themes in our assessment were biodiversity and ecosystem services, with some studies focussing on specific species or ecosystem services like food production. Gender was only specifically mentioned in five of the 355 studies.</w:t>
      </w:r>
    </w:p>
    <w:p w14:paraId="01FF7EA7" w14:textId="77777777" w:rsidR="00EF2D14" w:rsidRPr="009B0448" w:rsidRDefault="00EF2D14" w:rsidP="00EF2D14">
      <w:pPr>
        <w:spacing w:line="276" w:lineRule="auto"/>
        <w:jc w:val="both"/>
        <w:rPr>
          <w:rFonts w:ascii="Times New Roman" w:eastAsia="Times New Roman" w:hAnsi="Times New Roman" w:cs="Times New Roman"/>
        </w:rPr>
      </w:pPr>
    </w:p>
    <w:p w14:paraId="32236409" w14:textId="77777777" w:rsidR="00991066" w:rsidRPr="009B0448" w:rsidRDefault="00991066" w:rsidP="001940F1">
      <w:pPr>
        <w:spacing w:line="276" w:lineRule="auto"/>
        <w:jc w:val="center"/>
        <w:rPr>
          <w:rFonts w:ascii="Times New Roman" w:eastAsia="Times New Roman" w:hAnsi="Times New Roman" w:cs="Times New Roman"/>
          <w:b/>
          <w:sz w:val="20"/>
          <w:szCs w:val="20"/>
        </w:rPr>
      </w:pPr>
      <w:r w:rsidRPr="009B0448">
        <w:rPr>
          <w:rFonts w:ascii="Times New Roman" w:eastAsia="Times New Roman" w:hAnsi="Times New Roman" w:cs="Times New Roman"/>
          <w:noProof/>
          <w:sz w:val="20"/>
          <w:szCs w:val="20"/>
          <w:lang w:eastAsia="en-GB"/>
        </w:rPr>
        <w:drawing>
          <wp:inline distT="114300" distB="114300" distL="114300" distR="114300" wp14:anchorId="62C42F10" wp14:editId="107138F4">
            <wp:extent cx="5668651" cy="3087370"/>
            <wp:effectExtent l="0" t="0" r="8255" b="0"/>
            <wp:docPr id="24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74">
                      <a:extLst>
                        <a:ext uri="{28A0092B-C50C-407E-A947-70E740481C1C}">
                          <a14:useLocalDpi xmlns:a14="http://schemas.microsoft.com/office/drawing/2010/main" val="0"/>
                        </a:ext>
                      </a:extLst>
                    </a:blip>
                    <a:stretch>
                      <a:fillRect/>
                    </a:stretch>
                  </pic:blipFill>
                  <pic:spPr>
                    <a:xfrm>
                      <a:off x="0" y="0"/>
                      <a:ext cx="5669694" cy="3087938"/>
                    </a:xfrm>
                    <a:prstGeom prst="rect">
                      <a:avLst/>
                    </a:prstGeom>
                    <a:ln/>
                  </pic:spPr>
                </pic:pic>
              </a:graphicData>
            </a:graphic>
          </wp:inline>
        </w:drawing>
      </w:r>
    </w:p>
    <w:p w14:paraId="12C17BF3" w14:textId="2638200D" w:rsidR="00991066"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 xml:space="preserve">Figure 5.3: </w:t>
      </w:r>
      <w:r w:rsidR="00A24FEA" w:rsidRPr="009B0448">
        <w:rPr>
          <w:rFonts w:ascii="Times New Roman" w:eastAsia="Times New Roman" w:hAnsi="Times New Roman" w:cs="Times New Roman"/>
        </w:rPr>
        <w:t>Percentage of scenario studies that addressed the priority issues identified in the IPBES scoping report. Note that many studies address more than one theme.</w:t>
      </w:r>
    </w:p>
    <w:p w14:paraId="41AA7CEC" w14:textId="77777777" w:rsidR="00EF2D14" w:rsidRPr="009B0448" w:rsidRDefault="00EF2D14" w:rsidP="00EF2D14">
      <w:pPr>
        <w:spacing w:line="276" w:lineRule="auto"/>
        <w:jc w:val="both"/>
        <w:rPr>
          <w:rFonts w:ascii="Times New Roman" w:eastAsia="Times New Roman" w:hAnsi="Times New Roman" w:cs="Times New Roman"/>
        </w:rPr>
      </w:pPr>
    </w:p>
    <w:p w14:paraId="448742AD" w14:textId="0981F5AE" w:rsidR="00EF2D14"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An analysis of the co-occurrence of issues indicated that climate studies were associated with biodiversity (with many studies adopting a species-specific focus), ecosystem services, degradation and water. Ecosystem service studies were closely linked to water and food production. Issues rarely considered in combination with other issues include energy, gender, </w:t>
      </w:r>
      <w:r w:rsidR="00574E50" w:rsidRPr="009B0448">
        <w:rPr>
          <w:rFonts w:ascii="Times New Roman" w:eastAsia="Times New Roman" w:hAnsi="Times New Roman" w:cs="Times New Roman"/>
        </w:rPr>
        <w:t>urbanis</w:t>
      </w:r>
      <w:r w:rsidR="00C76378" w:rsidRPr="009B0448">
        <w:rPr>
          <w:rFonts w:ascii="Times New Roman" w:eastAsia="Times New Roman" w:hAnsi="Times New Roman" w:cs="Times New Roman"/>
        </w:rPr>
        <w:t>ation</w:t>
      </w:r>
      <w:r w:rsidRPr="009B0448">
        <w:rPr>
          <w:rFonts w:ascii="Times New Roman" w:eastAsia="Times New Roman" w:hAnsi="Times New Roman" w:cs="Times New Roman"/>
        </w:rPr>
        <w:t xml:space="preserve">, invasive species and human health. These issues are recognised as areas of concern in the IPBES conceptual framework, with important relationships highlighted in other chapters in this assessment (including Chapter 1). There is significant potential for future studies to focus on the relationships between these issues using scenario analysis as a tool to provide </w:t>
      </w:r>
      <w:r w:rsidR="00E277FC" w:rsidRPr="009B0448">
        <w:rPr>
          <w:rFonts w:ascii="Times New Roman" w:eastAsia="Times New Roman" w:hAnsi="Times New Roman" w:cs="Times New Roman"/>
        </w:rPr>
        <w:t xml:space="preserve">a </w:t>
      </w:r>
      <w:r w:rsidRPr="009B0448">
        <w:rPr>
          <w:rFonts w:ascii="Times New Roman" w:eastAsia="Times New Roman" w:hAnsi="Times New Roman" w:cs="Times New Roman"/>
        </w:rPr>
        <w:t>greater understanding of their potential interactions.</w:t>
      </w:r>
    </w:p>
    <w:p w14:paraId="03928695" w14:textId="77777777" w:rsidR="00991066" w:rsidRPr="009B0448" w:rsidRDefault="00991066" w:rsidP="00FA7185">
      <w:pPr>
        <w:pStyle w:val="111"/>
        <w:numPr>
          <w:ilvl w:val="3"/>
          <w:numId w:val="11"/>
        </w:numPr>
        <w:spacing w:before="240" w:after="240"/>
        <w:ind w:left="851" w:hanging="862"/>
        <w:rPr>
          <w:rFonts w:cs="Times New Roman"/>
          <w:sz w:val="22"/>
          <w:szCs w:val="22"/>
        </w:rPr>
      </w:pPr>
      <w:bookmarkStart w:id="384" w:name="_Toc519500003"/>
      <w:r w:rsidRPr="009B0448">
        <w:rPr>
          <w:rFonts w:cs="Times New Roman"/>
          <w:sz w:val="22"/>
          <w:szCs w:val="22"/>
        </w:rPr>
        <w:t>Participatory and modelling approaches</w:t>
      </w:r>
      <w:bookmarkEnd w:id="384"/>
    </w:p>
    <w:p w14:paraId="2741A8DE" w14:textId="18924446" w:rsidR="00991066"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Of the 355 studies, only 12% used a participatory approach, where a study was classified as participatory if it involved not only the authors of the study but other stakeholders as well. Most of these participatory studies also included a modelling element, and overall, 90% of the reviewed studies made use of models.</w:t>
      </w:r>
    </w:p>
    <w:p w14:paraId="73369B7F" w14:textId="77777777" w:rsidR="00EF2D14" w:rsidRPr="009B0448" w:rsidRDefault="00EF2D14" w:rsidP="00EF2D14">
      <w:pPr>
        <w:spacing w:line="276" w:lineRule="auto"/>
        <w:jc w:val="both"/>
        <w:rPr>
          <w:rFonts w:ascii="Times New Roman" w:eastAsia="Times New Roman" w:hAnsi="Times New Roman" w:cs="Times New Roman"/>
        </w:rPr>
      </w:pPr>
    </w:p>
    <w:p w14:paraId="1CF822F8" w14:textId="52F79A62" w:rsidR="00991066"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the 301 modelling studies that were assessed, the majority used correlative models (48%), followed by process-based models (29%), and expert-based models (8%). The main advantage of correlative models is that relationships between system elements are derived inductively from empirical observations, whereas process-based models require an understanding of ecological processes before relationships are deduced, quantified or explicitly modelled. A few studies (7%) mixed multiple modelling approaches when combinations of issues were addressed. Studies using integrated or hybrid models (7%) were often associated with global or regional scale analyses, possibly because these models have larger da</w:t>
      </w:r>
      <w:r w:rsidR="00154FAA" w:rsidRPr="009B0448">
        <w:rPr>
          <w:rFonts w:ascii="Times New Roman" w:eastAsia="Times New Roman" w:hAnsi="Times New Roman" w:cs="Times New Roman"/>
        </w:rPr>
        <w:t xml:space="preserve">ta and computing requirements. </w:t>
      </w:r>
    </w:p>
    <w:p w14:paraId="76624128" w14:textId="77777777" w:rsidR="00991066" w:rsidRPr="009B0448" w:rsidRDefault="00991066" w:rsidP="00FA7185">
      <w:pPr>
        <w:pStyle w:val="111"/>
        <w:numPr>
          <w:ilvl w:val="3"/>
          <w:numId w:val="11"/>
        </w:numPr>
        <w:spacing w:before="240" w:after="240"/>
        <w:ind w:left="851" w:hanging="862"/>
        <w:rPr>
          <w:rFonts w:cs="Times New Roman"/>
          <w:sz w:val="22"/>
          <w:szCs w:val="22"/>
        </w:rPr>
      </w:pPr>
      <w:bookmarkStart w:id="385" w:name="_Toc519500004"/>
      <w:r w:rsidRPr="009B0448">
        <w:rPr>
          <w:rFonts w:cs="Times New Roman"/>
          <w:sz w:val="22"/>
          <w:szCs w:val="22"/>
        </w:rPr>
        <w:t>Inclusion of Indigenous and Local Knowledge (ILK)</w:t>
      </w:r>
      <w:bookmarkEnd w:id="385"/>
    </w:p>
    <w:p w14:paraId="65B94098" w14:textId="2F2A64C1" w:rsidR="00D32AA1" w:rsidRDefault="00991066" w:rsidP="00EF2D14">
      <w:pPr>
        <w:spacing w:line="276" w:lineRule="auto"/>
        <w:jc w:val="both"/>
        <w:rPr>
          <w:rFonts w:ascii="Times New Roman" w:eastAsia="Times New Roman" w:hAnsi="Times New Roman" w:cs="Times New Roman"/>
        </w:rPr>
      </w:pPr>
      <w:bookmarkStart w:id="386" w:name="_lhdm8tctg57u" w:colFirst="0" w:colLast="0"/>
      <w:bookmarkEnd w:id="386"/>
      <w:r w:rsidRPr="009B0448">
        <w:rPr>
          <w:rFonts w:ascii="Times New Roman" w:eastAsia="Times New Roman" w:hAnsi="Times New Roman" w:cs="Times New Roman"/>
        </w:rPr>
        <w:t xml:space="preserve">There is clearly a dearth of studies which truly integrate ILK into scenario development in the African context. In total, only 11 of the 355 studies included some aspect of ILK, either in the development of scenarios or in the analysis of the impacts of different pathways. Most of these studies (10 out of 11) were participatory, but only two incorporated ILK in the scenario development process in a thorough manner (see Box 5.1 and Dougill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In the other studies, none explicitly dealt with ILK in the modelling aspects, nor did the participants mention ILK as a driver of change in the narratives that were developed. Instead, </w:t>
      </w:r>
      <w:r w:rsidR="00E277FC" w:rsidRPr="009B0448">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inclusion of ILK involved little more than passing mention of the knowledge of stakeholders that participated in scenario modelling. </w:t>
      </w:r>
    </w:p>
    <w:p w14:paraId="4AA8A880" w14:textId="77777777" w:rsidR="00D32AA1" w:rsidRPr="009B0448" w:rsidRDefault="00D32AA1" w:rsidP="00D32AA1">
      <w:pPr>
        <w:pStyle w:val="111"/>
        <w:numPr>
          <w:ilvl w:val="3"/>
          <w:numId w:val="11"/>
        </w:numPr>
        <w:spacing w:before="240" w:after="240"/>
        <w:ind w:left="851" w:hanging="862"/>
        <w:rPr>
          <w:rFonts w:cs="Times New Roman"/>
          <w:sz w:val="22"/>
          <w:szCs w:val="22"/>
        </w:rPr>
      </w:pPr>
      <w:bookmarkStart w:id="387" w:name="_Toc519500005"/>
      <w:r w:rsidRPr="009B0448">
        <w:rPr>
          <w:rFonts w:cs="Times New Roman"/>
          <w:sz w:val="22"/>
          <w:szCs w:val="22"/>
        </w:rPr>
        <w:t>Capacity to undertake scenario studies</w:t>
      </w:r>
      <w:bookmarkEnd w:id="387"/>
    </w:p>
    <w:p w14:paraId="68A2DA96" w14:textId="76A37250" w:rsidR="00D32AA1" w:rsidRPr="009B0448" w:rsidRDefault="00D32AA1" w:rsidP="00D32AA1">
      <w:pPr>
        <w:spacing w:line="276" w:lineRule="auto"/>
        <w:jc w:val="both"/>
        <w:rPr>
          <w:rFonts w:ascii="Times New Roman" w:eastAsia="Times New Roman" w:hAnsi="Times New Roman" w:cs="Times New Roman"/>
        </w:rPr>
      </w:pPr>
      <w:bookmarkStart w:id="388" w:name="_2xcytpi" w:colFirst="0" w:colLast="0"/>
      <w:bookmarkEnd w:id="388"/>
      <w:r w:rsidRPr="009B0448">
        <w:rPr>
          <w:rFonts w:ascii="Times New Roman" w:eastAsia="Times New Roman" w:hAnsi="Times New Roman" w:cs="Times New Roman"/>
        </w:rPr>
        <w:t xml:space="preserve">Overall, 56% of the reviewed studies involved African authors (from a total of 28 African countries), but only 19% of the studies involved </w:t>
      </w:r>
      <w:r w:rsidRPr="009B0448">
        <w:rPr>
          <w:rFonts w:ascii="Times New Roman" w:eastAsia="Times New Roman" w:hAnsi="Times New Roman" w:cs="Times New Roman"/>
          <w:i/>
        </w:rPr>
        <w:t xml:space="preserve">only </w:t>
      </w:r>
      <w:r w:rsidRPr="009B0448">
        <w:rPr>
          <w:rFonts w:ascii="Times New Roman" w:eastAsia="Times New Roman" w:hAnsi="Times New Roman" w:cs="Times New Roman"/>
        </w:rPr>
        <w:t xml:space="preserve">authors affiliated with African institutions. Most of the studies assessed included authors based in the USA (n=94), closely followed by South Africa (n=92) (Fig 5.4). The only other African country represented in the ‘top ten’ countries of authorship is Kenya, in 8th position (n=23); the next African country, Ethiopia, is in 17th position with authors involved in 10 of the studies assessed (or 3%). In total, European authors contributed to 195 publications, which makes Europe the most prolific continent in terms of authorship of the studies assessed. </w:t>
      </w:r>
      <w:bookmarkStart w:id="389" w:name="_1ci93xb" w:colFirst="0" w:colLast="0"/>
      <w:bookmarkEnd w:id="389"/>
      <w:r w:rsidRPr="009B0448">
        <w:rPr>
          <w:rFonts w:ascii="Times New Roman" w:eastAsia="Times New Roman" w:hAnsi="Times New Roman" w:cs="Times New Roman"/>
        </w:rPr>
        <w:t>In terms of institutional</w:t>
      </w:r>
      <w:r>
        <w:rPr>
          <w:rFonts w:ascii="Times New Roman" w:eastAsia="Times New Roman" w:hAnsi="Times New Roman" w:cs="Times New Roman"/>
        </w:rPr>
        <w:t xml:space="preserve"> </w:t>
      </w:r>
      <w:r w:rsidRPr="009B0448">
        <w:rPr>
          <w:rFonts w:ascii="Times New Roman" w:eastAsia="Times New Roman" w:hAnsi="Times New Roman" w:cs="Times New Roman"/>
        </w:rPr>
        <w:t>affiliation, the analysis shows a concentration of scenario work in South African institutions: the six most productive institutions in terms of author affiliation are all South African, with Stellenbosch University and the University of Cape Town the only institutions involved in more than 20 publications (23 and 21 publications, respectively).</w:t>
      </w:r>
    </w:p>
    <w:p w14:paraId="10F84C07" w14:textId="77B8F1DA" w:rsidR="00EF2D14" w:rsidRPr="009B0448" w:rsidRDefault="00275E6E"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drawing>
          <wp:inline distT="0" distB="0" distL="0" distR="0" wp14:anchorId="74C6DCA8" wp14:editId="0C0C1E7B">
            <wp:extent cx="5730240" cy="7185660"/>
            <wp:effectExtent l="0" t="0" r="3810" b="0"/>
            <wp:docPr id="22" name="Picture 22" descr="D:\Desktop\Graphics feedback\Chapter 5\CHAP_5\Ch5 FINAL\B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Graphics feedback\Chapter 5\CHAP_5\Ch5 FINAL\B5.1.JPG"/>
                    <pic:cNvPicPr>
                      <a:picLocks noChangeAspect="1" noChangeArrowheads="1"/>
                    </pic:cNvPicPr>
                  </pic:nvPicPr>
                  <pic:blipFill>
                    <a:blip r:embed="rId1575">
                      <a:extLst>
                        <a:ext uri="{28A0092B-C50C-407E-A947-70E740481C1C}">
                          <a14:useLocalDpi xmlns:a14="http://schemas.microsoft.com/office/drawing/2010/main" val="0"/>
                        </a:ext>
                      </a:extLst>
                    </a:blip>
                    <a:srcRect/>
                    <a:stretch>
                      <a:fillRect/>
                    </a:stretch>
                  </pic:blipFill>
                  <pic:spPr bwMode="auto">
                    <a:xfrm>
                      <a:off x="0" y="0"/>
                      <a:ext cx="5730240" cy="7185660"/>
                    </a:xfrm>
                    <a:prstGeom prst="rect">
                      <a:avLst/>
                    </a:prstGeom>
                    <a:noFill/>
                    <a:ln>
                      <a:noFill/>
                    </a:ln>
                  </pic:spPr>
                </pic:pic>
              </a:graphicData>
            </a:graphic>
          </wp:inline>
        </w:drawing>
      </w:r>
    </w:p>
    <w:p w14:paraId="77654BB0" w14:textId="77777777" w:rsidR="00D32AA1" w:rsidRDefault="00D32AA1" w:rsidP="00EF2D14">
      <w:pPr>
        <w:spacing w:line="276" w:lineRule="auto"/>
        <w:jc w:val="both"/>
        <w:rPr>
          <w:rFonts w:ascii="Times New Roman" w:eastAsia="Times New Roman" w:hAnsi="Times New Roman" w:cs="Times New Roman"/>
        </w:rPr>
      </w:pPr>
      <w:bookmarkStart w:id="390" w:name="_1y810tw" w:colFirst="0" w:colLast="0"/>
      <w:bookmarkEnd w:id="390"/>
    </w:p>
    <w:p w14:paraId="0823A188" w14:textId="3B871B84" w:rsidR="00D32AA1"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However, collaborations between South Africa and other African countries is low: only 2 collaborative studies were found. With the exception of South Africa and, to some extent, Kenya, these findings indicate a clear lack of African-based capacity in the study of biodiversity and ecosystem service-related scenarios. Furthermore, while expertise exists in countries like South Africa, it is not being sufficiently leveraged towards building capacity across the rest of the continent </w:t>
      </w:r>
      <w:r w:rsidR="006C4A0A" w:rsidRPr="009B0448">
        <w:rPr>
          <w:rFonts w:ascii="Times New Roman" w:eastAsia="Times New Roman" w:hAnsi="Times New Roman" w:cs="Times New Roman"/>
        </w:rPr>
        <w:t>(</w:t>
      </w:r>
      <w:r w:rsidRPr="009B0448">
        <w:rPr>
          <w:rFonts w:ascii="Times New Roman" w:eastAsia="Times New Roman" w:hAnsi="Times New Roman" w:cs="Times New Roman"/>
        </w:rPr>
        <w:t xml:space="preserve">see Wilson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for similar conclusions in the field of conservation research more broadly</w:t>
      </w:r>
      <w:r w:rsidR="006C4A0A" w:rsidRPr="009B0448">
        <w:rPr>
          <w:rFonts w:ascii="Times New Roman" w:eastAsia="Times New Roman" w:hAnsi="Times New Roman" w:cs="Times New Roman"/>
        </w:rPr>
        <w:t>)</w:t>
      </w:r>
      <w:r w:rsidRPr="009B0448">
        <w:rPr>
          <w:rFonts w:ascii="Times New Roman" w:eastAsia="Times New Roman" w:hAnsi="Times New Roman" w:cs="Times New Roman"/>
        </w:rPr>
        <w:t>.</w:t>
      </w:r>
      <w:r w:rsidR="00EF2D14" w:rsidRPr="009B0448">
        <w:rPr>
          <w:rFonts w:ascii="Times New Roman" w:eastAsia="Times New Roman" w:hAnsi="Times New Roman" w:cs="Times New Roman"/>
        </w:rPr>
        <w:t xml:space="preserve"> </w:t>
      </w:r>
    </w:p>
    <w:p w14:paraId="493778F6" w14:textId="77777777" w:rsidR="00D32AA1" w:rsidRDefault="00D32AA1">
      <w:pPr>
        <w:rPr>
          <w:rFonts w:ascii="Times New Roman" w:eastAsia="Times New Roman" w:hAnsi="Times New Roman" w:cs="Times New Roman"/>
        </w:rPr>
      </w:pPr>
      <w:r>
        <w:rPr>
          <w:rFonts w:ascii="Times New Roman" w:eastAsia="Times New Roman" w:hAnsi="Times New Roman" w:cs="Times New Roman"/>
        </w:rPr>
        <w:br w:type="page"/>
      </w:r>
    </w:p>
    <w:p w14:paraId="4CC1F81A" w14:textId="77777777" w:rsidR="00991066" w:rsidRPr="009B0448" w:rsidRDefault="00991066" w:rsidP="001940F1">
      <w:pPr>
        <w:spacing w:line="276" w:lineRule="auto"/>
        <w:jc w:val="center"/>
        <w:rPr>
          <w:rFonts w:ascii="Times New Roman" w:eastAsia="Times New Roman" w:hAnsi="Times New Roman" w:cs="Times New Roman"/>
          <w:sz w:val="20"/>
          <w:szCs w:val="20"/>
        </w:rPr>
      </w:pPr>
      <w:bookmarkStart w:id="391" w:name="_3whwml4" w:colFirst="0" w:colLast="0"/>
      <w:bookmarkStart w:id="392" w:name="_2bn6wsx" w:colFirst="0" w:colLast="0"/>
      <w:bookmarkEnd w:id="391"/>
      <w:bookmarkEnd w:id="392"/>
      <w:r w:rsidRPr="009B0448">
        <w:rPr>
          <w:rFonts w:ascii="Times New Roman" w:eastAsia="Times New Roman" w:hAnsi="Times New Roman" w:cs="Times New Roman"/>
          <w:noProof/>
          <w:sz w:val="20"/>
          <w:szCs w:val="20"/>
          <w:lang w:eastAsia="en-GB"/>
        </w:rPr>
        <w:drawing>
          <wp:inline distT="114300" distB="114300" distL="114300" distR="114300" wp14:anchorId="653D7F09" wp14:editId="52F21F97">
            <wp:extent cx="5693363" cy="2782570"/>
            <wp:effectExtent l="0" t="0" r="3175" b="0"/>
            <wp:docPr id="25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576">
                      <a:extLst>
                        <a:ext uri="{28A0092B-C50C-407E-A947-70E740481C1C}">
                          <a14:useLocalDpi xmlns:a14="http://schemas.microsoft.com/office/drawing/2010/main" val="0"/>
                        </a:ext>
                      </a:extLst>
                    </a:blip>
                    <a:stretch>
                      <a:fillRect/>
                    </a:stretch>
                  </pic:blipFill>
                  <pic:spPr>
                    <a:xfrm>
                      <a:off x="0" y="0"/>
                      <a:ext cx="5732895" cy="2801891"/>
                    </a:xfrm>
                    <a:prstGeom prst="rect">
                      <a:avLst/>
                    </a:prstGeom>
                    <a:ln/>
                  </pic:spPr>
                </pic:pic>
              </a:graphicData>
            </a:graphic>
          </wp:inline>
        </w:drawing>
      </w:r>
    </w:p>
    <w:p w14:paraId="2D225B5A" w14:textId="14D603AA" w:rsidR="00E1598D" w:rsidRPr="009B0448" w:rsidRDefault="00522821" w:rsidP="00C12848">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Figure 5.4</w:t>
      </w:r>
      <w:r w:rsidR="00991066" w:rsidRPr="009B0448">
        <w:rPr>
          <w:rFonts w:ascii="Times New Roman" w:eastAsia="Times New Roman" w:hAnsi="Times New Roman" w:cs="Times New Roman"/>
          <w:b/>
        </w:rPr>
        <w:t>:</w:t>
      </w:r>
      <w:r w:rsidR="00991066" w:rsidRPr="009B0448">
        <w:rPr>
          <w:rFonts w:ascii="Times New Roman" w:eastAsia="Times New Roman" w:hAnsi="Times New Roman" w:cs="Times New Roman"/>
        </w:rPr>
        <w:t xml:space="preserve"> </w:t>
      </w:r>
      <w:r w:rsidR="00C12848" w:rsidRPr="009B0448">
        <w:rPr>
          <w:rFonts w:ascii="Times New Roman" w:eastAsia="Times New Roman" w:hAnsi="Times New Roman" w:cs="Times New Roman"/>
        </w:rPr>
        <w:t>Top ten countries in which the authors of the scenario studies included in the assessment were based, ranked by the number of studies that included at least one author based at an institution in a given country. Percentages indicate what proportion of the total studies the numbers represent (from Web of Science entries only, n = 322).</w:t>
      </w:r>
    </w:p>
    <w:p w14:paraId="6C470490" w14:textId="670B871C" w:rsidR="00991066" w:rsidRPr="009B0448" w:rsidRDefault="00991066" w:rsidP="00FA7185">
      <w:pPr>
        <w:pStyle w:val="Heading3"/>
        <w:widowControl w:val="0"/>
        <w:numPr>
          <w:ilvl w:val="1"/>
          <w:numId w:val="11"/>
        </w:numPr>
        <w:spacing w:before="240" w:after="240"/>
        <w:ind w:left="709" w:hanging="720"/>
        <w:rPr>
          <w:rFonts w:eastAsia="Calibri" w:cs="Times New Roman"/>
          <w:szCs w:val="24"/>
        </w:rPr>
      </w:pPr>
      <w:bookmarkStart w:id="393" w:name="_Toc519500006"/>
      <w:r w:rsidRPr="009B0448">
        <w:rPr>
          <w:rFonts w:eastAsia="Calibri" w:cs="Times New Roman"/>
          <w:szCs w:val="24"/>
        </w:rPr>
        <w:t>Classifying scenario studies into archetypes</w:t>
      </w:r>
      <w:bookmarkEnd w:id="393"/>
    </w:p>
    <w:p w14:paraId="7B86E66B" w14:textId="349EACDE" w:rsidR="00991066"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355 studies identified in the systematic review outline a very large number of different potential futures for Africa, across a wide range of geographical scales (Fig</w:t>
      </w:r>
      <w:r w:rsidR="006C4A0A" w:rsidRPr="009B0448">
        <w:rPr>
          <w:rFonts w:ascii="Times New Roman" w:eastAsia="Times New Roman" w:hAnsi="Times New Roman" w:cs="Times New Roman"/>
        </w:rPr>
        <w:t>ure</w:t>
      </w:r>
      <w:r w:rsidRPr="009B0448">
        <w:rPr>
          <w:rFonts w:ascii="Times New Roman" w:eastAsia="Times New Roman" w:hAnsi="Times New Roman" w:cs="Times New Roman"/>
        </w:rPr>
        <w:t xml:space="preserve"> 5.2). Each study typically explores three or more different future scenarios, and each </w:t>
      </w:r>
      <w:r w:rsidR="00E277FC" w:rsidRPr="009B0448">
        <w:rPr>
          <w:rFonts w:ascii="Times New Roman" w:eastAsia="Times New Roman" w:hAnsi="Times New Roman" w:cs="Times New Roman"/>
        </w:rPr>
        <w:t>has</w:t>
      </w:r>
      <w:r w:rsidRPr="009B0448">
        <w:rPr>
          <w:rFonts w:ascii="Times New Roman" w:eastAsia="Times New Roman" w:hAnsi="Times New Roman" w:cs="Times New Roman"/>
        </w:rPr>
        <w:t xml:space="preserve"> </w:t>
      </w:r>
      <w:r w:rsidR="00E277FC" w:rsidRPr="009B0448">
        <w:rPr>
          <w:rFonts w:ascii="Times New Roman" w:eastAsia="Times New Roman" w:hAnsi="Times New Roman" w:cs="Times New Roman"/>
        </w:rPr>
        <w:t>its</w:t>
      </w:r>
      <w:r w:rsidRPr="009B0448">
        <w:rPr>
          <w:rFonts w:ascii="Times New Roman" w:eastAsia="Times New Roman" w:hAnsi="Times New Roman" w:cs="Times New Roman"/>
        </w:rPr>
        <w:t xml:space="preserve"> own particular assumptions. In order to synthesize and assess what all these different scenarios suggest about the future trajectory of key drivers, biodiversity, </w:t>
      </w:r>
      <w:r w:rsidR="0037056E" w:rsidRPr="009B0448">
        <w:rPr>
          <w:rFonts w:ascii="Times New Roman" w:eastAsia="Times New Roman" w:hAnsi="Times New Roman" w:cs="Times New Roman"/>
        </w:rPr>
        <w:t>NCP</w:t>
      </w:r>
      <w:r w:rsidRPr="009B0448">
        <w:rPr>
          <w:rFonts w:ascii="Times New Roman" w:eastAsia="Times New Roman" w:hAnsi="Times New Roman" w:cs="Times New Roman"/>
        </w:rPr>
        <w:t xml:space="preserve">, human well-being outcomes and the implications for key policy targets in Africa, we focused on 26 scenario storylines taken from a subset of six core studies that were identified as particularly relevant to our assessment, and classified these storylines into the </w:t>
      </w:r>
      <w:r w:rsidR="006C4A0A" w:rsidRPr="009B0448">
        <w:rPr>
          <w:rFonts w:ascii="Times New Roman" w:eastAsia="Times New Roman" w:hAnsi="Times New Roman" w:cs="Times New Roman"/>
        </w:rPr>
        <w:t>Global Scenarios Group (GSG)</w:t>
      </w:r>
      <w:r w:rsidRPr="009B0448">
        <w:rPr>
          <w:rFonts w:ascii="Times New Roman" w:eastAsia="Times New Roman" w:hAnsi="Times New Roman" w:cs="Times New Roman"/>
        </w:rPr>
        <w:t xml:space="preserve"> archetypes. The six selected core studies include the WWF Ecological Futures scenarios (WWF-AfDB, 2015) that were specifically developed for Africa and also used in the GEO-6 regional assessment (UNEP, 2016), the GEO-4 global assessment (UNEP, 2007), the Millennium Ecosystem Assessment Scenarios (</w:t>
      </w:r>
      <w:r w:rsidR="009A2D88" w:rsidRPr="009B0448">
        <w:rPr>
          <w:rFonts w:ascii="Times New Roman" w:eastAsia="Times New Roman" w:hAnsi="Times New Roman" w:cs="Times New Roman"/>
        </w:rPr>
        <w:t>MA,</w:t>
      </w:r>
      <w:r w:rsidRPr="009B0448">
        <w:rPr>
          <w:rFonts w:ascii="Times New Roman" w:eastAsia="Times New Roman" w:hAnsi="Times New Roman" w:cs="Times New Roman"/>
        </w:rPr>
        <w:t xml:space="preserve"> 2005), and to a lesser extent, the IPCC climate change scenarios (Nakicenovic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2000; Moss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2008</w:t>
      </w:r>
      <w:r w:rsidR="006C4A0A" w:rsidRPr="009B0448">
        <w:rPr>
          <w:rFonts w:ascii="Times New Roman" w:eastAsia="Times New Roman" w:hAnsi="Times New Roman" w:cs="Times New Roman"/>
        </w:rPr>
        <w:t xml:space="preserve">, </w:t>
      </w:r>
      <w:r w:rsidRPr="009B0448">
        <w:rPr>
          <w:rFonts w:ascii="Times New Roman" w:eastAsia="Times New Roman" w:hAnsi="Times New Roman" w:cs="Times New Roman"/>
        </w:rPr>
        <w:t xml:space="preserve">2010; Kriegler </w:t>
      </w:r>
      <w:r w:rsidR="000429F8" w:rsidRPr="009B0448">
        <w:rPr>
          <w:rFonts w:ascii="Times New Roman" w:eastAsia="Times New Roman" w:hAnsi="Times New Roman" w:cs="Times New Roman"/>
          <w:i/>
        </w:rPr>
        <w:t>et al.</w:t>
      </w:r>
      <w:r w:rsidR="00B14815" w:rsidRPr="009B0448">
        <w:rPr>
          <w:rFonts w:ascii="Times New Roman" w:eastAsia="Times New Roman" w:hAnsi="Times New Roman" w:cs="Times New Roman"/>
        </w:rPr>
        <w:t>, 2010; v</w:t>
      </w:r>
      <w:r w:rsidRPr="009B0448">
        <w:rPr>
          <w:rFonts w:ascii="Times New Roman" w:eastAsia="Times New Roman" w:hAnsi="Times New Roman" w:cs="Times New Roman"/>
        </w:rPr>
        <w:t xml:space="preserve">an Vuuren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2012). These six studies were selected as they constitute type 1 studies that have developed their own integrated storylines, specifically address the future of biodiversity and NCP, cover the entire African continent, have been used by a substantial number of type 2 scenario studies to explore more detailed impacts and consequences of the storylines, and most have been previously classified into the GSG archetypes (</w:t>
      </w:r>
      <w:r w:rsidR="00CC4FE3" w:rsidRPr="009B0448">
        <w:rPr>
          <w:rFonts w:ascii="Times New Roman" w:eastAsia="Times New Roman" w:hAnsi="Times New Roman" w:cs="Times New Roman"/>
        </w:rPr>
        <w:t xml:space="preserve">van </w:t>
      </w:r>
      <w:r w:rsidRPr="009B0448">
        <w:rPr>
          <w:rFonts w:ascii="Times New Roman" w:eastAsia="Times New Roman" w:hAnsi="Times New Roman" w:cs="Times New Roman"/>
        </w:rPr>
        <w:t xml:space="preserve">Vuuren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2012, 2014</w:t>
      </w:r>
      <w:r w:rsidR="0061299D" w:rsidRPr="009B0448">
        <w:rPr>
          <w:rFonts w:ascii="Times New Roman" w:eastAsia="Times New Roman" w:hAnsi="Times New Roman" w:cs="Times New Roman"/>
        </w:rPr>
        <w:t>a</w:t>
      </w:r>
      <w:r w:rsidRPr="009B0448">
        <w:rPr>
          <w:rFonts w:ascii="Times New Roman" w:eastAsia="Times New Roman" w:hAnsi="Times New Roman" w:cs="Times New Roman"/>
        </w:rPr>
        <w:t>). Two of the older scenario studies (</w:t>
      </w:r>
      <w:r w:rsidR="00BE107D"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BE107D" w:rsidRPr="009B0448">
        <w:rPr>
          <w:rFonts w:ascii="Times New Roman" w:eastAsia="Times New Roman" w:hAnsi="Times New Roman" w:cs="Times New Roman"/>
        </w:rPr>
        <w:t>, 2000</w:t>
      </w:r>
      <w:r w:rsidR="00EE20F0" w:rsidRPr="009B0448">
        <w:rPr>
          <w:rFonts w:ascii="Times New Roman" w:eastAsia="Times New Roman" w:hAnsi="Times New Roman" w:cs="Times New Roman"/>
        </w:rPr>
        <w:t>; UNEP, 2007</w:t>
      </w:r>
      <w:r w:rsidRPr="009B0448">
        <w:rPr>
          <w:rFonts w:ascii="Times New Roman" w:eastAsia="Times New Roman" w:hAnsi="Times New Roman" w:cs="Times New Roman"/>
        </w:rPr>
        <w:t>) were included as several recent papers identified in the systematic review used these studies. Given the lag in publishing</w:t>
      </w:r>
      <w:r w:rsidR="00EE20F0" w:rsidRPr="009B0448">
        <w:rPr>
          <w:rFonts w:ascii="Times New Roman" w:eastAsia="Times New Roman" w:hAnsi="Times New Roman" w:cs="Times New Roman"/>
        </w:rPr>
        <w:t xml:space="preserve"> times, even though the WWF/GEO</w:t>
      </w:r>
      <w:r w:rsidRPr="009B0448">
        <w:rPr>
          <w:rFonts w:ascii="Times New Roman" w:eastAsia="Times New Roman" w:hAnsi="Times New Roman" w:cs="Times New Roman"/>
        </w:rPr>
        <w:t xml:space="preserve">6 scenarios </w:t>
      </w:r>
      <w:r w:rsidR="00EE20F0" w:rsidRPr="009B0448">
        <w:rPr>
          <w:rFonts w:ascii="Times New Roman" w:eastAsia="Times New Roman" w:hAnsi="Times New Roman" w:cs="Times New Roman"/>
        </w:rPr>
        <w:t xml:space="preserve">(WWF-AfDB, 2015; UNEP, 2016) </w:t>
      </w:r>
      <w:r w:rsidRPr="009B0448">
        <w:rPr>
          <w:rFonts w:ascii="Times New Roman" w:eastAsia="Times New Roman" w:hAnsi="Times New Roman" w:cs="Times New Roman"/>
        </w:rPr>
        <w:t>were specifically developed for Africa and are probably the most relevant to this assessment, there have been few detailed analyses of the implications of these storylines in either the original or follow-on type 2 studies to date.</w:t>
      </w:r>
    </w:p>
    <w:p w14:paraId="5B78F5FA" w14:textId="77777777" w:rsidR="00EF2D14" w:rsidRPr="009B0448" w:rsidRDefault="00EF2D14" w:rsidP="00EF2D14">
      <w:pPr>
        <w:spacing w:line="276" w:lineRule="auto"/>
        <w:jc w:val="both"/>
        <w:rPr>
          <w:rFonts w:ascii="Times New Roman" w:eastAsia="Times New Roman" w:hAnsi="Times New Roman" w:cs="Times New Roman"/>
        </w:rPr>
      </w:pPr>
    </w:p>
    <w:p w14:paraId="01429C79" w14:textId="7F4AC422" w:rsidR="00991066"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Table 5.1 gives a summary of the key differences between the five GSG archetypes covered by the storylines we assessed, as described at the global level, and Box 5.2 provides a brief description of</w:t>
      </w:r>
      <w:r w:rsidR="00EE20F0" w:rsidRPr="009B0448">
        <w:rPr>
          <w:rFonts w:ascii="Times New Roman" w:eastAsia="Times New Roman" w:hAnsi="Times New Roman" w:cs="Times New Roman"/>
        </w:rPr>
        <w:t xml:space="preserve"> each archetype. Sections 5.4–</w:t>
      </w:r>
      <w:r w:rsidRPr="009B0448">
        <w:rPr>
          <w:rFonts w:ascii="Times New Roman" w:eastAsia="Times New Roman" w:hAnsi="Times New Roman" w:cs="Times New Roman"/>
        </w:rPr>
        <w:t xml:space="preserve">5.8 provide an assessment of these archetypes specifically for Africa. To facilitate clarity and highlight the key features relevant </w:t>
      </w:r>
      <w:r w:rsidR="00E277FC" w:rsidRPr="009B0448">
        <w:rPr>
          <w:rFonts w:ascii="Times New Roman" w:eastAsia="Times New Roman" w:hAnsi="Times New Roman" w:cs="Times New Roman"/>
        </w:rPr>
        <w:t>to</w:t>
      </w:r>
      <w:r w:rsidRPr="009B0448">
        <w:rPr>
          <w:rFonts w:ascii="Times New Roman" w:eastAsia="Times New Roman" w:hAnsi="Times New Roman" w:cs="Times New Roman"/>
        </w:rPr>
        <w:t xml:space="preserve"> the African context, we renamed the GSG New Sustainability Paradigm archetype to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and the GSG Eco-Communalism archetype to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The GSG </w:t>
      </w:r>
      <w:r w:rsidRPr="009B0448">
        <w:rPr>
          <w:rFonts w:ascii="Times New Roman" w:eastAsia="Times New Roman" w:hAnsi="Times New Roman" w:cs="Times New Roman"/>
          <w:i/>
        </w:rPr>
        <w:t>Breakdown</w:t>
      </w:r>
      <w:r w:rsidRPr="009B0448">
        <w:rPr>
          <w:rFonts w:ascii="Times New Roman" w:eastAsia="Times New Roman" w:hAnsi="Times New Roman" w:cs="Times New Roman"/>
        </w:rPr>
        <w:t xml:space="preserve"> archetype was excluded, as none of the major studies we assessed had scenarios corresponding to this archetype, which represents an extremely undesirable future. Table 5.2 provides a classification of the 26 storylines from the six core studies we assessed into the five GSG archetypes. </w:t>
      </w:r>
    </w:p>
    <w:p w14:paraId="2ECD1D42" w14:textId="77777777" w:rsidR="00EF2D14" w:rsidRPr="009B0448" w:rsidRDefault="00EF2D14" w:rsidP="00EF2D14">
      <w:pPr>
        <w:spacing w:line="276" w:lineRule="auto"/>
        <w:jc w:val="both"/>
        <w:rPr>
          <w:rFonts w:ascii="Times New Roman" w:eastAsia="Times New Roman" w:hAnsi="Times New Roman" w:cs="Times New Roman"/>
        </w:rPr>
      </w:pPr>
    </w:p>
    <w:p w14:paraId="73797C56" w14:textId="03E60B4B" w:rsidR="00991066"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When classifying scenarios into archetypes, it is important to keep in mind that not all scenario storylines fit neatly into a particular archetype, and some scenarios may have elements of more than one archetype, or occasionally represent a completely different storyline not covered by the archetypes. An archetype approach can also mask differences among scenarios by </w:t>
      </w:r>
      <w:r w:rsidR="00264EBF" w:rsidRPr="009B0448">
        <w:rPr>
          <w:rFonts w:ascii="Times New Roman" w:eastAsia="Times New Roman" w:hAnsi="Times New Roman" w:cs="Times New Roman"/>
        </w:rPr>
        <w:t>emphasis</w:t>
      </w:r>
      <w:r w:rsidRPr="009B0448">
        <w:rPr>
          <w:rFonts w:ascii="Times New Roman" w:eastAsia="Times New Roman" w:hAnsi="Times New Roman" w:cs="Times New Roman"/>
        </w:rPr>
        <w:t>ing shared elements rather than addressing differences that arise from different assumptions, methods, data and goals. While taking note of these limitations, for the purpose of this assessment an archetype approach was deemed the most effective and practical way to assess and synthesize the wide diversity of potential future trajectories of change in Africa based on the key studies identified in the systematic review.</w:t>
      </w:r>
    </w:p>
    <w:p w14:paraId="79362F9A" w14:textId="77777777" w:rsidR="00EF2D14" w:rsidRPr="009B0448" w:rsidRDefault="00EF2D14" w:rsidP="00EF2D14">
      <w:pPr>
        <w:spacing w:line="276" w:lineRule="auto"/>
        <w:jc w:val="both"/>
        <w:rPr>
          <w:rFonts w:ascii="Times New Roman" w:eastAsia="Times New Roman" w:hAnsi="Times New Roman" w:cs="Times New Roman"/>
        </w:rPr>
      </w:pPr>
    </w:p>
    <w:p w14:paraId="2101D303" w14:textId="38B84E99" w:rsidR="006C4A0A"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Table 5.1:</w:t>
      </w:r>
      <w:r w:rsidRPr="009B0448">
        <w:rPr>
          <w:rFonts w:ascii="Times New Roman" w:eastAsia="Times New Roman" w:hAnsi="Times New Roman" w:cs="Times New Roman"/>
          <w:i/>
        </w:rPr>
        <w:t xml:space="preserve"> </w:t>
      </w:r>
      <w:r w:rsidR="00093E24" w:rsidRPr="009B0448">
        <w:rPr>
          <w:rFonts w:ascii="Times New Roman" w:eastAsia="Times New Roman" w:hAnsi="Times New Roman" w:cs="Times New Roman"/>
        </w:rPr>
        <w:t>Key characteristics and assumptions of the different Global Scenarios Group (GSG) archetypes, at the global level. As highlighted in the assessment presented in this chapter (sections 5.4</w:t>
      </w:r>
      <w:r w:rsidR="00084829">
        <w:rPr>
          <w:rFonts w:ascii="Times New Roman" w:eastAsia="Times New Roman" w:hAnsi="Times New Roman" w:cs="Times New Roman"/>
        </w:rPr>
        <w:t>–</w:t>
      </w:r>
      <w:r w:rsidR="00093E24" w:rsidRPr="009B0448">
        <w:rPr>
          <w:rFonts w:ascii="Times New Roman" w:eastAsia="Times New Roman" w:hAnsi="Times New Roman" w:cs="Times New Roman"/>
        </w:rPr>
        <w:t xml:space="preserve">5.8), trends within Africa may differ substantially from the global trends. Note that </w:t>
      </w:r>
      <w:r w:rsidR="00093E24" w:rsidRPr="009B0448">
        <w:rPr>
          <w:rFonts w:ascii="Times New Roman" w:eastAsia="Times New Roman" w:hAnsi="Times New Roman" w:cs="Times New Roman"/>
          <w:i/>
        </w:rPr>
        <w:t>Regional Sustainability</w:t>
      </w:r>
      <w:r w:rsidR="00093E24" w:rsidRPr="009B0448">
        <w:rPr>
          <w:rFonts w:ascii="Times New Roman" w:eastAsia="Times New Roman" w:hAnsi="Times New Roman" w:cs="Times New Roman"/>
        </w:rPr>
        <w:t xml:space="preserve"> and </w:t>
      </w:r>
      <w:r w:rsidR="00093E24" w:rsidRPr="009B0448">
        <w:rPr>
          <w:rFonts w:ascii="Times New Roman" w:eastAsia="Times New Roman" w:hAnsi="Times New Roman" w:cs="Times New Roman"/>
          <w:i/>
        </w:rPr>
        <w:t>Local Sustainability</w:t>
      </w:r>
      <w:r w:rsidR="00093E24" w:rsidRPr="009B0448">
        <w:rPr>
          <w:rFonts w:ascii="Times New Roman" w:eastAsia="Times New Roman" w:hAnsi="Times New Roman" w:cs="Times New Roman"/>
        </w:rPr>
        <w:t xml:space="preserve"> correspond to the Global Scenarios Group (GSG) archetypes New Sustainability Paradigm and Eco-Communalism respectively. Source: based on van Vuuren </w:t>
      </w:r>
      <w:r w:rsidR="00093E24" w:rsidRPr="009B0448">
        <w:rPr>
          <w:rFonts w:ascii="Times New Roman" w:eastAsia="Times New Roman" w:hAnsi="Times New Roman" w:cs="Times New Roman"/>
          <w:i/>
        </w:rPr>
        <w:t>et al.</w:t>
      </w:r>
      <w:r w:rsidR="00093E24" w:rsidRPr="009B0448">
        <w:rPr>
          <w:rFonts w:ascii="Times New Roman" w:eastAsia="Times New Roman" w:hAnsi="Times New Roman" w:cs="Times New Roman"/>
        </w:rPr>
        <w:t xml:space="preserve"> (2010).</w:t>
      </w:r>
    </w:p>
    <w:p w14:paraId="411F5741" w14:textId="563CB1D8" w:rsidR="00D03246" w:rsidRPr="009B0448" w:rsidRDefault="00093E24" w:rsidP="00EF2D14">
      <w:pPr>
        <w:spacing w:line="276" w:lineRule="auto"/>
        <w:jc w:val="both"/>
        <w:rPr>
          <w:rFonts w:ascii="Times New Roman" w:eastAsia="Times New Roman" w:hAnsi="Times New Roman" w:cs="Times New Roman"/>
        </w:rPr>
      </w:pPr>
      <w:bookmarkStart w:id="394" w:name="_1pxezwc" w:colFirst="0" w:colLast="0"/>
      <w:bookmarkEnd w:id="394"/>
      <w:r w:rsidRPr="009B0448">
        <w:rPr>
          <w:rFonts w:ascii="Times New Roman" w:eastAsia="Times New Roman" w:hAnsi="Times New Roman" w:cs="Times New Roman"/>
          <w:noProof/>
          <w:lang w:eastAsia="en-GB"/>
        </w:rPr>
        <w:drawing>
          <wp:inline distT="0" distB="0" distL="0" distR="0" wp14:anchorId="11CCF22D" wp14:editId="6B271AD1">
            <wp:extent cx="5722620" cy="2484120"/>
            <wp:effectExtent l="0" t="0" r="0" b="0"/>
            <wp:docPr id="229" name="Picture 229" descr="D:\Desktop\T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T5.1.JPG"/>
                    <pic:cNvPicPr>
                      <a:picLocks noChangeAspect="1" noChangeArrowheads="1"/>
                    </pic:cNvPicPr>
                  </pic:nvPicPr>
                  <pic:blipFill>
                    <a:blip r:embed="rId1577">
                      <a:extLst>
                        <a:ext uri="{28A0092B-C50C-407E-A947-70E740481C1C}">
                          <a14:useLocalDpi xmlns:a14="http://schemas.microsoft.com/office/drawing/2010/main" val="0"/>
                        </a:ext>
                      </a:extLst>
                    </a:blip>
                    <a:srcRect/>
                    <a:stretch>
                      <a:fillRect/>
                    </a:stretch>
                  </pic:blipFill>
                  <pic:spPr bwMode="auto">
                    <a:xfrm>
                      <a:off x="0" y="0"/>
                      <a:ext cx="5722620" cy="2484120"/>
                    </a:xfrm>
                    <a:prstGeom prst="rect">
                      <a:avLst/>
                    </a:prstGeom>
                    <a:noFill/>
                    <a:ln>
                      <a:noFill/>
                    </a:ln>
                  </pic:spPr>
                </pic:pic>
              </a:graphicData>
            </a:graphic>
          </wp:inline>
        </w:drawing>
      </w:r>
    </w:p>
    <w:p w14:paraId="03CB269B" w14:textId="53121158" w:rsidR="00093E24" w:rsidRPr="009B0448" w:rsidRDefault="00991066" w:rsidP="00D32AA1">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rPr>
        <w:t xml:space="preserve">The following sections provide an assessment of the future trajectory of key drivers (Section 5.4), biodiversity and ecosystem services (Section 5.5), human well-being outcomes (Section 5.6) and policy implications (Section 5.7) under each of the five archetypes, based on an assessment and comparison of the trends identified in each of the six core studies. Where possible, we supplemented the findings in the six core scenario reports with those from the wider set of scenario studies identified in the systematic review, particularly those of type 2 studies that have used one or more of storylines developed by the core studies. Many of these studies were conducted at local and regional levels and give insight into potential regional variations in the way the different archetypes could play out across the African continent. Among the supplementary studies included in the following sections, two noteworthy regional studies stand out in terms of their scope and/or level of participatory engagement: one that developed integrated type 1 scenarios for eastern Africa (Burundi, Ethiopia, Kenya, Rwanda, Tanzania, Uganda) (Vervoort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and a second that developed scenarios for the continent as a whole (Cilliers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w:t>
      </w:r>
      <w:r w:rsidR="00093E24" w:rsidRPr="009B0448">
        <w:rPr>
          <w:rFonts w:ascii="Times New Roman" w:eastAsia="Times New Roman" w:hAnsi="Times New Roman" w:cs="Times New Roman"/>
          <w:b/>
        </w:rPr>
        <w:br w:type="page"/>
      </w:r>
    </w:p>
    <w:p w14:paraId="2D6286AD" w14:textId="6DE3DFA8" w:rsidR="00093E24" w:rsidRPr="009B0448" w:rsidRDefault="00093E24" w:rsidP="00093E24">
      <w:pPr>
        <w:pBdr>
          <w:top w:val="none" w:sz="0" w:space="0" w:color="auto"/>
          <w:left w:val="none" w:sz="0" w:space="0" w:color="auto"/>
          <w:bottom w:val="none" w:sz="0" w:space="0" w:color="auto"/>
          <w:right w:val="none" w:sz="0" w:space="0" w:color="auto"/>
          <w:between w:val="none" w:sz="0" w:space="0" w:color="auto"/>
        </w:pBd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drawing>
          <wp:inline distT="0" distB="0" distL="0" distR="0" wp14:anchorId="64BB68C3" wp14:editId="0D9FD3A9">
            <wp:extent cx="5730240" cy="7097212"/>
            <wp:effectExtent l="0" t="0" r="3810" b="889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B5.2.JPG"/>
                    <pic:cNvPicPr>
                      <a:picLocks noChangeAspect="1" noChangeArrowheads="1"/>
                    </pic:cNvPicPr>
                  </pic:nvPicPr>
                  <pic:blipFill>
                    <a:blip r:embed="rId1578">
                      <a:extLst>
                        <a:ext uri="{28A0092B-C50C-407E-A947-70E740481C1C}">
                          <a14:useLocalDpi xmlns:a14="http://schemas.microsoft.com/office/drawing/2010/main" val="0"/>
                        </a:ext>
                      </a:extLst>
                    </a:blip>
                    <a:stretch>
                      <a:fillRect/>
                    </a:stretch>
                  </pic:blipFill>
                  <pic:spPr bwMode="auto">
                    <a:xfrm>
                      <a:off x="0" y="0"/>
                      <a:ext cx="5730240" cy="7097212"/>
                    </a:xfrm>
                    <a:prstGeom prst="rect">
                      <a:avLst/>
                    </a:prstGeom>
                    <a:noFill/>
                    <a:ln>
                      <a:noFill/>
                    </a:ln>
                  </pic:spPr>
                </pic:pic>
              </a:graphicData>
            </a:graphic>
          </wp:inline>
        </w:drawing>
      </w:r>
    </w:p>
    <w:p w14:paraId="169F1E85" w14:textId="77777777" w:rsidR="00EF2D14" w:rsidRPr="009B0448" w:rsidRDefault="00EF2D14" w:rsidP="00EF2D14">
      <w:pPr>
        <w:spacing w:line="276" w:lineRule="auto"/>
        <w:jc w:val="both"/>
        <w:rPr>
          <w:rFonts w:ascii="Times New Roman" w:eastAsia="Times New Roman" w:hAnsi="Times New Roman" w:cs="Times New Roman"/>
          <w:b/>
        </w:rPr>
      </w:pPr>
    </w:p>
    <w:p w14:paraId="0E5A8465" w14:textId="77777777" w:rsidR="00D32AA1" w:rsidRDefault="00D32AA1">
      <w:pPr>
        <w:rPr>
          <w:rFonts w:ascii="Times New Roman" w:eastAsia="Times New Roman" w:hAnsi="Times New Roman" w:cs="Times New Roman"/>
          <w:b/>
        </w:rPr>
      </w:pPr>
      <w:r>
        <w:rPr>
          <w:rFonts w:ascii="Times New Roman" w:eastAsia="Times New Roman" w:hAnsi="Times New Roman" w:cs="Times New Roman"/>
          <w:b/>
        </w:rPr>
        <w:br w:type="page"/>
      </w:r>
    </w:p>
    <w:p w14:paraId="7EFF2C35" w14:textId="77302DD0" w:rsidR="00A6521A" w:rsidRPr="009B0448" w:rsidRDefault="00991066"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 xml:space="preserve">Table 5.2: </w:t>
      </w:r>
      <w:r w:rsidR="00093E24" w:rsidRPr="009B0448">
        <w:rPr>
          <w:rFonts w:ascii="Times New Roman" w:eastAsia="Times New Roman" w:hAnsi="Times New Roman" w:cs="Times New Roman"/>
        </w:rPr>
        <w:t>Classification of the six core scenario studies assessed in this chapter into the Global Scenarios Group (GSG) archetypes. The names listed in the rows are the names of the different scenarios (e.g., Helping Hands, Going Global, Good Neighbours, All in Together) within each scenario study (e.g.</w:t>
      </w:r>
      <w:r w:rsidR="00E24BC5">
        <w:rPr>
          <w:rFonts w:ascii="Times New Roman" w:eastAsia="Times New Roman" w:hAnsi="Times New Roman" w:cs="Times New Roman"/>
        </w:rPr>
        <w:t>,</w:t>
      </w:r>
      <w:r w:rsidR="00093E24" w:rsidRPr="009B0448">
        <w:rPr>
          <w:rFonts w:ascii="Times New Roman" w:eastAsia="Times New Roman" w:hAnsi="Times New Roman" w:cs="Times New Roman"/>
        </w:rPr>
        <w:t xml:space="preserve"> WWF/GEO6). Where cells remain empty, the scenario study does not have an equivalent scenario archetype. Sources: classification based on van Vuuren </w:t>
      </w:r>
      <w:r w:rsidR="00093E24" w:rsidRPr="009B0448">
        <w:rPr>
          <w:rFonts w:ascii="Times New Roman" w:eastAsia="Times New Roman" w:hAnsi="Times New Roman" w:cs="Times New Roman"/>
          <w:i/>
        </w:rPr>
        <w:t>et al.</w:t>
      </w:r>
      <w:r w:rsidR="00093E24" w:rsidRPr="009B0448">
        <w:rPr>
          <w:rFonts w:ascii="Times New Roman" w:eastAsia="Times New Roman" w:hAnsi="Times New Roman" w:cs="Times New Roman"/>
        </w:rPr>
        <w:t xml:space="preserve"> (2012, 2014</w:t>
      </w:r>
      <w:r w:rsidR="0061299D" w:rsidRPr="009B0448">
        <w:rPr>
          <w:rFonts w:ascii="Times New Roman" w:eastAsia="Times New Roman" w:hAnsi="Times New Roman" w:cs="Times New Roman"/>
        </w:rPr>
        <w:t>a</w:t>
      </w:r>
      <w:r w:rsidR="00093E24" w:rsidRPr="009B0448">
        <w:rPr>
          <w:rFonts w:ascii="Times New Roman" w:eastAsia="Times New Roman" w:hAnsi="Times New Roman" w:cs="Times New Roman"/>
        </w:rPr>
        <w:t>).</w:t>
      </w:r>
    </w:p>
    <w:p w14:paraId="5EEA8B89" w14:textId="0D3A70E4" w:rsidR="00093E24" w:rsidRPr="009B0448" w:rsidRDefault="00093E24" w:rsidP="00EF2D14">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drawing>
          <wp:inline distT="0" distB="0" distL="0" distR="0" wp14:anchorId="735A66DB" wp14:editId="6C2CC97B">
            <wp:extent cx="5722620" cy="2004060"/>
            <wp:effectExtent l="0" t="0" r="0" b="0"/>
            <wp:docPr id="231" name="Picture 231" descr="D:\Desktop\T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T5.2.JPG"/>
                    <pic:cNvPicPr>
                      <a:picLocks noChangeAspect="1" noChangeArrowheads="1"/>
                    </pic:cNvPicPr>
                  </pic:nvPicPr>
                  <pic:blipFill>
                    <a:blip r:embed="rId1579">
                      <a:extLst>
                        <a:ext uri="{28A0092B-C50C-407E-A947-70E740481C1C}">
                          <a14:useLocalDpi xmlns:a14="http://schemas.microsoft.com/office/drawing/2010/main" val="0"/>
                        </a:ext>
                      </a:extLst>
                    </a:blip>
                    <a:srcRect/>
                    <a:stretch>
                      <a:fillRect/>
                    </a:stretch>
                  </pic:blipFill>
                  <pic:spPr bwMode="auto">
                    <a:xfrm>
                      <a:off x="0" y="0"/>
                      <a:ext cx="5722620" cy="2004060"/>
                    </a:xfrm>
                    <a:prstGeom prst="rect">
                      <a:avLst/>
                    </a:prstGeom>
                    <a:noFill/>
                    <a:ln>
                      <a:noFill/>
                    </a:ln>
                  </pic:spPr>
                </pic:pic>
              </a:graphicData>
            </a:graphic>
          </wp:inline>
        </w:drawing>
      </w:r>
    </w:p>
    <w:p w14:paraId="3FB14CC0" w14:textId="15A5209B" w:rsidR="00991066" w:rsidRPr="009B0448" w:rsidRDefault="00991066" w:rsidP="00FA7185">
      <w:pPr>
        <w:pStyle w:val="Heading3"/>
        <w:widowControl w:val="0"/>
        <w:numPr>
          <w:ilvl w:val="1"/>
          <w:numId w:val="11"/>
        </w:numPr>
        <w:spacing w:before="240" w:after="240"/>
        <w:ind w:left="709" w:hanging="720"/>
        <w:rPr>
          <w:rFonts w:eastAsia="Calibri" w:cs="Times New Roman"/>
          <w:szCs w:val="24"/>
        </w:rPr>
      </w:pPr>
      <w:bookmarkStart w:id="395" w:name="_2p2csry" w:colFirst="0" w:colLast="0"/>
      <w:bookmarkStart w:id="396" w:name="_Toc519500007"/>
      <w:bookmarkEnd w:id="395"/>
      <w:r w:rsidRPr="009B0448">
        <w:rPr>
          <w:rFonts w:eastAsia="Calibri" w:cs="Times New Roman"/>
          <w:szCs w:val="24"/>
        </w:rPr>
        <w:t>Drivers of change</w:t>
      </w:r>
      <w:bookmarkEnd w:id="396"/>
    </w:p>
    <w:p w14:paraId="0FDA2BC8" w14:textId="24D976F2"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Drivers of change refer to all those external factors that affect nature, anthropogenic assets, nature’s contributions to people, and good quality of life (D</w:t>
      </w:r>
      <w:r w:rsidR="009A06F7" w:rsidRPr="009B0448">
        <w:rPr>
          <w:rFonts w:ascii="Times New Roman" w:eastAsia="Times New Roman" w:hAnsi="Times New Roman" w:cs="Times New Roman"/>
        </w:rPr>
        <w:t>í</w:t>
      </w:r>
      <w:r w:rsidRPr="009B0448">
        <w:rPr>
          <w:rFonts w:ascii="Times New Roman" w:eastAsia="Times New Roman" w:hAnsi="Times New Roman" w:cs="Times New Roman"/>
        </w:rPr>
        <w:t xml:space="preserve">az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The IPBES conceptual framework indicates that drivers of change influence the relationships between people and nature through, a) institutions and governance systems and other indirect drivers and b) direct drivers. A detailed list of these drivers has been presented in Chapter 4, which explicitly focuses on all the major current direct and indirect drivers impacting Africa’s biodiversity and ecosystems. Scenarios provide a means to explore the future impacts of these drivers based on various assumptions that shape their direction and rate of change. </w:t>
      </w:r>
    </w:p>
    <w:p w14:paraId="60F1958B" w14:textId="77777777" w:rsidR="009A06F7" w:rsidRPr="009B0448" w:rsidRDefault="009A06F7" w:rsidP="009A06F7">
      <w:pPr>
        <w:spacing w:line="276" w:lineRule="auto"/>
        <w:jc w:val="both"/>
        <w:rPr>
          <w:rFonts w:ascii="Times New Roman" w:eastAsia="Times New Roman" w:hAnsi="Times New Roman" w:cs="Times New Roman"/>
        </w:rPr>
      </w:pPr>
    </w:p>
    <w:p w14:paraId="3FCE5CD1" w14:textId="3487D435"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This section explores the future trajectory of key drivers impacting the future of biodiversity, NCP and good quality of life in Africa under each of the five scenario archetypes presented in section 5.3, drawing primarily on the co</w:t>
      </w:r>
      <w:r w:rsidR="00C813C5">
        <w:rPr>
          <w:rFonts w:ascii="Times New Roman" w:eastAsia="Times New Roman" w:hAnsi="Times New Roman" w:cs="Times New Roman"/>
        </w:rPr>
        <w:t>re scenario studies as categoris</w:t>
      </w:r>
      <w:r w:rsidRPr="009B0448">
        <w:rPr>
          <w:rFonts w:ascii="Times New Roman" w:eastAsia="Times New Roman" w:hAnsi="Times New Roman" w:cs="Times New Roman"/>
        </w:rPr>
        <w:t xml:space="preserve">ed in Table 5.2. These studies used an exploratory approach to scenario development to explore different potential development pathways associated with different combinations of drivers and assumptions. In this section, we focus on potential future variation in the following key drivers highlighted in Chapter 4 and explored across all core scenario studies: Population, </w:t>
      </w:r>
      <w:r w:rsidR="00574E50" w:rsidRPr="009B0448">
        <w:rPr>
          <w:rFonts w:ascii="Times New Roman" w:eastAsia="Times New Roman" w:hAnsi="Times New Roman" w:cs="Times New Roman"/>
        </w:rPr>
        <w:t>urbanis</w:t>
      </w:r>
      <w:r w:rsidR="00C76378" w:rsidRPr="009B0448">
        <w:rPr>
          <w:rFonts w:ascii="Times New Roman" w:eastAsia="Times New Roman" w:hAnsi="Times New Roman" w:cs="Times New Roman"/>
        </w:rPr>
        <w:t>ation</w:t>
      </w:r>
      <w:r w:rsidRPr="009B0448">
        <w:rPr>
          <w:rFonts w:ascii="Times New Roman" w:eastAsia="Times New Roman" w:hAnsi="Times New Roman" w:cs="Times New Roman"/>
        </w:rPr>
        <w:t>, consumption and natural resource use, global trade and resource demand, and climate change. Many of these studies do not describe these drivers in quantitative detail, nor do they address their consequences for all of the major indirect and direct drivers highlighted in Chapter 4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habitat change, chemical pollution or invasive species). Despite this, the detail provided in the qualitative scenario narratives provide a means to explore a range of future possibilities (Enfors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2008) and highlight knowledge gaps in the context of Africa. A summary of the findings of each of the core studies is presented in Table 5.3.</w:t>
      </w:r>
    </w:p>
    <w:p w14:paraId="7EF7D5F2" w14:textId="77777777" w:rsidR="009A06F7" w:rsidRPr="009B0448" w:rsidRDefault="009A06F7" w:rsidP="009A06F7">
      <w:pPr>
        <w:spacing w:line="276" w:lineRule="auto"/>
        <w:jc w:val="both"/>
        <w:rPr>
          <w:rFonts w:ascii="Times New Roman" w:eastAsia="Times New Roman" w:hAnsi="Times New Roman" w:cs="Times New Roman"/>
        </w:rPr>
      </w:pPr>
    </w:p>
    <w:p w14:paraId="29CD2D0E" w14:textId="77777777" w:rsidR="00D32AA1" w:rsidRDefault="00D32AA1">
      <w:pPr>
        <w:rPr>
          <w:rFonts w:ascii="Times New Roman" w:eastAsia="Times New Roman" w:hAnsi="Times New Roman" w:cs="Times New Roman"/>
          <w:b/>
        </w:rPr>
      </w:pPr>
      <w:r>
        <w:rPr>
          <w:rFonts w:ascii="Times New Roman" w:eastAsia="Times New Roman" w:hAnsi="Times New Roman" w:cs="Times New Roman"/>
          <w:b/>
        </w:rPr>
        <w:br w:type="page"/>
      </w:r>
    </w:p>
    <w:p w14:paraId="6ACB8A80" w14:textId="4195C5AC"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 xml:space="preserve">Table 5.3: </w:t>
      </w:r>
      <w:r w:rsidR="00093E24" w:rsidRPr="009B0448">
        <w:rPr>
          <w:rFonts w:ascii="Times New Roman" w:eastAsia="Times New Roman" w:hAnsi="Times New Roman" w:cs="Times New Roman"/>
        </w:rPr>
        <w:t>Summary of the trajectories of key drivers in Africa under the different archetypes. Arrows indicate an increase (</w:t>
      </w:r>
      <w:r w:rsidR="00093E24" w:rsidRPr="009B0448">
        <w:rPr>
          <w:rFonts w:ascii="Cambria Math" w:eastAsia="Times New Roman" w:hAnsi="Cambria Math" w:cs="Cambria Math"/>
        </w:rPr>
        <w:t>↗</w:t>
      </w:r>
      <w:r w:rsidR="00093E24" w:rsidRPr="009B0448">
        <w:rPr>
          <w:rFonts w:ascii="Times New Roman" w:eastAsia="Times New Roman" w:hAnsi="Times New Roman" w:cs="Times New Roman"/>
        </w:rPr>
        <w:t>), decrease (</w:t>
      </w:r>
      <w:r w:rsidR="00093E24" w:rsidRPr="009B0448">
        <w:rPr>
          <w:rFonts w:ascii="Cambria Math" w:eastAsia="Times New Roman" w:hAnsi="Cambria Math" w:cs="Cambria Math"/>
        </w:rPr>
        <w:t>↘</w:t>
      </w:r>
      <w:r w:rsidR="00093E24" w:rsidRPr="009B0448">
        <w:rPr>
          <w:rFonts w:ascii="Times New Roman" w:eastAsia="Times New Roman" w:hAnsi="Times New Roman" w:cs="Times New Roman"/>
        </w:rPr>
        <w:t>), or no change (→) in drivers under each scenario type. Within a cell, arrows represent the main scenario reports in the following order: IPCC; MA; GEO4; WWF/GEO6. If a report does not cove</w:t>
      </w:r>
      <w:r w:rsidR="00267D79" w:rsidRPr="009B0448">
        <w:rPr>
          <w:rFonts w:ascii="Times New Roman" w:eastAsia="Times New Roman" w:hAnsi="Times New Roman" w:cs="Times New Roman"/>
        </w:rPr>
        <w:t>r an archetype, this is symbolis</w:t>
      </w:r>
      <w:r w:rsidR="00093E24" w:rsidRPr="009B0448">
        <w:rPr>
          <w:rFonts w:ascii="Times New Roman" w:eastAsia="Times New Roman" w:hAnsi="Times New Roman" w:cs="Times New Roman"/>
        </w:rPr>
        <w:t xml:space="preserve">ed by ‘0’, whilst if a report does not explicitly address a specific element, it is indicated by an ‘X’. The colour of the cell indicates the overall trend across the reports, where orange indicates </w:t>
      </w:r>
      <w:r w:rsidR="00D4358E" w:rsidRPr="009B0448">
        <w:rPr>
          <w:rFonts w:ascii="Times New Roman" w:eastAsia="Times New Roman" w:hAnsi="Times New Roman" w:cs="Times New Roman"/>
        </w:rPr>
        <w:t xml:space="preserve">an </w:t>
      </w:r>
      <w:r w:rsidR="00093E24" w:rsidRPr="009B0448">
        <w:rPr>
          <w:rFonts w:ascii="Times New Roman" w:eastAsia="Times New Roman" w:hAnsi="Times New Roman" w:cs="Times New Roman"/>
        </w:rPr>
        <w:t xml:space="preserve">overall increase in driver pressure, </w:t>
      </w:r>
      <w:r w:rsidR="00D4358E" w:rsidRPr="009B0448">
        <w:rPr>
          <w:rFonts w:ascii="Times New Roman" w:eastAsia="Times New Roman" w:hAnsi="Times New Roman" w:cs="Times New Roman"/>
        </w:rPr>
        <w:t>purple</w:t>
      </w:r>
      <w:r w:rsidR="00093E24" w:rsidRPr="009B0448">
        <w:rPr>
          <w:rFonts w:ascii="Times New Roman" w:eastAsia="Times New Roman" w:hAnsi="Times New Roman" w:cs="Times New Roman"/>
        </w:rPr>
        <w:t xml:space="preserve"> indicates contradictory trends, and no colour indicates no overall change.</w:t>
      </w:r>
    </w:p>
    <w:p w14:paraId="1D8D42C5" w14:textId="77777777" w:rsidR="00991066" w:rsidRPr="009B0448" w:rsidRDefault="00991066" w:rsidP="00093E24">
      <w:pPr>
        <w:pStyle w:val="Normalnumber"/>
      </w:pPr>
      <w:bookmarkStart w:id="397" w:name="_63pyc0baimqx" w:colFirst="0" w:colLast="0"/>
      <w:bookmarkEnd w:id="397"/>
      <w:r w:rsidRPr="009B0448">
        <w:rPr>
          <w:noProof/>
          <w:lang w:eastAsia="en-GB"/>
        </w:rPr>
        <w:drawing>
          <wp:inline distT="114300" distB="114300" distL="114300" distR="114300" wp14:anchorId="327AC374" wp14:editId="2D64C831">
            <wp:extent cx="5715000" cy="3009900"/>
            <wp:effectExtent l="0" t="0" r="0" b="0"/>
            <wp:docPr id="25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80">
                      <a:extLst>
                        <a:ext uri="{28A0092B-C50C-407E-A947-70E740481C1C}">
                          <a14:useLocalDpi xmlns:a14="http://schemas.microsoft.com/office/drawing/2010/main" val="0"/>
                        </a:ext>
                      </a:extLst>
                    </a:blip>
                    <a:stretch>
                      <a:fillRect/>
                    </a:stretch>
                  </pic:blipFill>
                  <pic:spPr>
                    <a:xfrm>
                      <a:off x="0" y="0"/>
                      <a:ext cx="5729353" cy="3017459"/>
                    </a:xfrm>
                    <a:prstGeom prst="rect">
                      <a:avLst/>
                    </a:prstGeom>
                    <a:ln/>
                  </pic:spPr>
                </pic:pic>
              </a:graphicData>
            </a:graphic>
          </wp:inline>
        </w:drawing>
      </w:r>
    </w:p>
    <w:p w14:paraId="4F473331" w14:textId="42FF6B82"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398" w:name="_2awql8prci58" w:colFirst="0" w:colLast="0"/>
      <w:bookmarkStart w:id="399" w:name="_Toc519500008"/>
      <w:bookmarkEnd w:id="398"/>
      <w:r w:rsidRPr="009B0448">
        <w:rPr>
          <w:rFonts w:cs="Times New Roman"/>
          <w:i w:val="0"/>
          <w:sz w:val="22"/>
          <w:szCs w:val="22"/>
        </w:rPr>
        <w:t>Population</w:t>
      </w:r>
      <w:bookmarkEnd w:id="399"/>
    </w:p>
    <w:p w14:paraId="7983BE68" w14:textId="1FCA8BD1"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Global trends in population growth indicate a growing but declining rate of growth towards 2100. However, Africa is recognised as having the highest rate of growth among the world regions, which is approximately twice the global average. Africa’s population is projected to grow by 270% between 2015 and 2100 (UN, 2015</w:t>
      </w:r>
      <w:r w:rsidR="00A6521A" w:rsidRPr="009B0448">
        <w:rPr>
          <w:rFonts w:ascii="Times New Roman" w:eastAsia="Times New Roman" w:hAnsi="Times New Roman" w:cs="Times New Roman"/>
        </w:rPr>
        <w:t>; Boke-Ol</w:t>
      </w:r>
      <w:r w:rsidR="001940F1" w:rsidRPr="009B0448">
        <w:rPr>
          <w:rFonts w:ascii="Times New Roman" w:eastAsia="Times New Roman" w:hAnsi="Times New Roman" w:cs="Times New Roman"/>
        </w:rPr>
        <w:t>é</w:t>
      </w:r>
      <w:r w:rsidR="00A6521A" w:rsidRPr="009B0448">
        <w:rPr>
          <w:rFonts w:ascii="Times New Roman" w:eastAsia="Times New Roman" w:hAnsi="Times New Roman" w:cs="Times New Roman"/>
        </w:rPr>
        <w:t xml:space="preserve">n </w:t>
      </w:r>
      <w:r w:rsidR="000429F8" w:rsidRPr="009B0448">
        <w:rPr>
          <w:rFonts w:ascii="Times New Roman" w:eastAsia="Times New Roman" w:hAnsi="Times New Roman" w:cs="Times New Roman"/>
          <w:i/>
        </w:rPr>
        <w:t>et al.</w:t>
      </w:r>
      <w:r w:rsidR="00A6521A" w:rsidRPr="009B0448">
        <w:rPr>
          <w:rFonts w:ascii="Times New Roman" w:eastAsia="Times New Roman" w:hAnsi="Times New Roman" w:cs="Times New Roman"/>
        </w:rPr>
        <w:t>, 2016</w:t>
      </w:r>
      <w:r w:rsidRPr="009B0448">
        <w:rPr>
          <w:rFonts w:ascii="Times New Roman" w:eastAsia="Times New Roman" w:hAnsi="Times New Roman" w:cs="Times New Roman"/>
        </w:rPr>
        <w:t xml:space="preserve">) and is expected to double by 2050, to approximately 2.5 billion people, having reached 1 billion in 2009. These recent revisions indicate a substantial increase from previous estimates for African population reflected under the </w:t>
      </w:r>
      <w:r w:rsidR="006010DD" w:rsidRPr="009B0448">
        <w:rPr>
          <w:rFonts w:ascii="Times New Roman" w:eastAsia="Times New Roman" w:hAnsi="Times New Roman" w:cs="Times New Roman"/>
        </w:rPr>
        <w:t>Millennium Ecosystem Assessment</w:t>
      </w:r>
      <w:r w:rsidRPr="009B0448">
        <w:rPr>
          <w:rFonts w:ascii="Times New Roman" w:eastAsia="Times New Roman" w:hAnsi="Times New Roman" w:cs="Times New Roman"/>
        </w:rPr>
        <w:t xml:space="preserve"> or IPCC scenarios (UN, 2015). Yet these revised estimates have not been included in the core scenario studies. For this assessment, estimates of population size in 2050 per archetype were extracted from the GEO4 report</w:t>
      </w:r>
      <w:r w:rsidR="00EE20F0" w:rsidRPr="009B0448">
        <w:rPr>
          <w:rFonts w:ascii="Times New Roman" w:eastAsia="Times New Roman" w:hAnsi="Times New Roman" w:cs="Times New Roman"/>
        </w:rPr>
        <w:t xml:space="preserve"> (UNEP, 2007)</w:t>
      </w:r>
      <w:r w:rsidRPr="009B0448">
        <w:rPr>
          <w:rFonts w:ascii="Times New Roman" w:eastAsia="Times New Roman" w:hAnsi="Times New Roman" w:cs="Times New Roman"/>
        </w:rPr>
        <w:t xml:space="preserve"> which draws results from the United Nations Population Division edition of 2007 (UN</w:t>
      </w:r>
      <w:r w:rsidR="00754EF0" w:rsidRPr="009B0448">
        <w:rPr>
          <w:rFonts w:ascii="Times New Roman" w:eastAsia="Times New Roman" w:hAnsi="Times New Roman" w:cs="Times New Roman"/>
        </w:rPr>
        <w:t>DP</w:t>
      </w:r>
      <w:r w:rsidR="00A6521A" w:rsidRPr="009B0448">
        <w:rPr>
          <w:rFonts w:ascii="Times New Roman" w:eastAsia="Times New Roman" w:hAnsi="Times New Roman" w:cs="Times New Roman"/>
        </w:rPr>
        <w:t>,</w:t>
      </w:r>
      <w:r w:rsidRPr="009B0448">
        <w:rPr>
          <w:rFonts w:ascii="Times New Roman" w:eastAsia="Times New Roman" w:hAnsi="Times New Roman" w:cs="Times New Roman"/>
        </w:rPr>
        <w:t xml:space="preserve"> 2007). Although these estimates are currently outdated, the trends in the archetypes remain relevant into the future.</w:t>
      </w:r>
    </w:p>
    <w:p w14:paraId="633B8F5D" w14:textId="77777777" w:rsidR="009A06F7" w:rsidRPr="009B0448" w:rsidRDefault="009A06F7" w:rsidP="009A06F7">
      <w:pPr>
        <w:spacing w:line="276" w:lineRule="auto"/>
        <w:jc w:val="both"/>
        <w:rPr>
          <w:rFonts w:ascii="Times New Roman" w:eastAsia="Times New Roman" w:hAnsi="Times New Roman" w:cs="Times New Roman"/>
        </w:rPr>
      </w:pPr>
    </w:p>
    <w:p w14:paraId="4E2C934B" w14:textId="3D870DD8"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For Africa, the highest population of 2.3 billion people by 2050 occurs under the Fortress World archetype. Intermediate population projections of 2 billion and 1.7 billion people occur under the Market Forces and Policy Reform archetypes respectively. The lowest projection of 1.4 billion people occurs under the Regional Sustainability archetype. The Local Sustainability archetype is not represented by the GEO4 assessment </w:t>
      </w:r>
      <w:r w:rsidR="00EE20F0" w:rsidRPr="009B0448">
        <w:rPr>
          <w:rFonts w:ascii="Times New Roman" w:eastAsia="Times New Roman" w:hAnsi="Times New Roman" w:cs="Times New Roman"/>
        </w:rPr>
        <w:t xml:space="preserve">(UNEP, 2007) </w:t>
      </w:r>
      <w:r w:rsidRPr="009B0448">
        <w:rPr>
          <w:rFonts w:ascii="Times New Roman" w:eastAsia="Times New Roman" w:hAnsi="Times New Roman" w:cs="Times New Roman"/>
        </w:rPr>
        <w:t>but based on previous projections is also meant to have the lowest population growth rates (MA</w:t>
      </w:r>
      <w:r w:rsidR="00A6521A" w:rsidRPr="009B0448">
        <w:rPr>
          <w:rFonts w:ascii="Times New Roman" w:eastAsia="Times New Roman" w:hAnsi="Times New Roman" w:cs="Times New Roman"/>
        </w:rPr>
        <w:t>,</w:t>
      </w:r>
      <w:r w:rsidRPr="009B0448">
        <w:rPr>
          <w:rFonts w:ascii="Times New Roman" w:eastAsia="Times New Roman" w:hAnsi="Times New Roman" w:cs="Times New Roman"/>
        </w:rPr>
        <w:t xml:space="preserve"> 2005).</w:t>
      </w:r>
    </w:p>
    <w:p w14:paraId="10400DFA" w14:textId="77777777" w:rsidR="009A06F7" w:rsidRPr="009B0448" w:rsidRDefault="009A06F7" w:rsidP="009A06F7">
      <w:pPr>
        <w:spacing w:line="276" w:lineRule="auto"/>
        <w:jc w:val="both"/>
        <w:rPr>
          <w:rFonts w:ascii="Times New Roman" w:eastAsia="Times New Roman" w:hAnsi="Times New Roman" w:cs="Times New Roman"/>
        </w:rPr>
      </w:pPr>
    </w:p>
    <w:p w14:paraId="1F1B734C" w14:textId="76C4B0F1" w:rsidR="00991066" w:rsidRPr="009B0448" w:rsidRDefault="00991066" w:rsidP="009A06F7">
      <w:pPr>
        <w:spacing w:line="276" w:lineRule="auto"/>
        <w:jc w:val="both"/>
        <w:rPr>
          <w:rFonts w:ascii="Times New Roman" w:eastAsia="Times New Roman" w:hAnsi="Times New Roman" w:cs="Times New Roman"/>
        </w:rPr>
      </w:pPr>
      <w:bookmarkStart w:id="400" w:name="_147n2zr" w:colFirst="0" w:colLast="0"/>
      <w:bookmarkEnd w:id="400"/>
      <w:r w:rsidRPr="009B0448">
        <w:rPr>
          <w:rFonts w:ascii="Times New Roman" w:eastAsia="Times New Roman" w:hAnsi="Times New Roman" w:cs="Times New Roman"/>
        </w:rPr>
        <w:t xml:space="preserve">All scenarios highlight the impacts of population growth on biodiversity and ecosystems presenting a major driver of environmental change across all scenario archetypes (MA, 2005; IPCC, 2007; WWF-AfDB, 2015; UNEP, 2016). </w:t>
      </w:r>
    </w:p>
    <w:p w14:paraId="7B22F649" w14:textId="45E63164" w:rsidR="00991066" w:rsidRPr="009B0448" w:rsidRDefault="00574E50" w:rsidP="00FA7185">
      <w:pPr>
        <w:pStyle w:val="111"/>
        <w:numPr>
          <w:ilvl w:val="2"/>
          <w:numId w:val="11"/>
        </w:numPr>
        <w:spacing w:before="240" w:after="240"/>
        <w:ind w:left="709" w:hanging="720"/>
        <w:rPr>
          <w:rFonts w:cs="Times New Roman"/>
          <w:i w:val="0"/>
          <w:sz w:val="22"/>
          <w:szCs w:val="22"/>
        </w:rPr>
      </w:pPr>
      <w:bookmarkStart w:id="401" w:name="_3o7alnk" w:colFirst="0" w:colLast="0"/>
      <w:bookmarkStart w:id="402" w:name="_Toc519500009"/>
      <w:bookmarkEnd w:id="401"/>
      <w:r w:rsidRPr="009B0448">
        <w:rPr>
          <w:rFonts w:cs="Times New Roman"/>
          <w:i w:val="0"/>
          <w:sz w:val="22"/>
          <w:szCs w:val="22"/>
        </w:rPr>
        <w:t>Urbanis</w:t>
      </w:r>
      <w:r w:rsidR="00991066" w:rsidRPr="009B0448">
        <w:rPr>
          <w:rFonts w:cs="Times New Roman"/>
          <w:i w:val="0"/>
          <w:sz w:val="22"/>
          <w:szCs w:val="22"/>
        </w:rPr>
        <w:t>ation</w:t>
      </w:r>
      <w:bookmarkEnd w:id="402"/>
    </w:p>
    <w:p w14:paraId="074F39E5" w14:textId="6036BD12" w:rsidR="00991066" w:rsidRPr="009B0448" w:rsidRDefault="00574E50"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Urbanis</w:t>
      </w:r>
      <w:r w:rsidR="00991066" w:rsidRPr="009B0448">
        <w:rPr>
          <w:rFonts w:ascii="Times New Roman" w:eastAsia="Times New Roman" w:hAnsi="Times New Roman" w:cs="Times New Roman"/>
        </w:rPr>
        <w:t>ation across Africa is expected to increase under all scenario archetypes presenting both opportunities and challenges for environmental mana</w:t>
      </w:r>
      <w:r w:rsidR="00051889" w:rsidRPr="009B0448">
        <w:rPr>
          <w:rFonts w:ascii="Times New Roman" w:eastAsia="Times New Roman" w:hAnsi="Times New Roman" w:cs="Times New Roman"/>
        </w:rPr>
        <w:t>gement. Current trends indicate</w:t>
      </w:r>
      <w:r w:rsidR="00991066" w:rsidRPr="009B0448">
        <w:rPr>
          <w:rFonts w:ascii="Times New Roman" w:eastAsia="Times New Roman" w:hAnsi="Times New Roman" w:cs="Times New Roman"/>
        </w:rPr>
        <w:t xml:space="preserve"> a 590% increase by 2030 in </w:t>
      </w:r>
      <w:r w:rsidRPr="009B0448">
        <w:rPr>
          <w:rFonts w:ascii="Times New Roman" w:eastAsia="Times New Roman" w:hAnsi="Times New Roman" w:cs="Times New Roman"/>
        </w:rPr>
        <w:t>urbanis</w:t>
      </w:r>
      <w:r w:rsidR="00C76378" w:rsidRPr="009B0448">
        <w:rPr>
          <w:rFonts w:ascii="Times New Roman" w:eastAsia="Times New Roman" w:hAnsi="Times New Roman" w:cs="Times New Roman"/>
        </w:rPr>
        <w:t>ation</w:t>
      </w:r>
      <w:r w:rsidR="00991066" w:rsidRPr="009B0448">
        <w:rPr>
          <w:rFonts w:ascii="Times New Roman" w:eastAsia="Times New Roman" w:hAnsi="Times New Roman" w:cs="Times New Roman"/>
        </w:rPr>
        <w:t xml:space="preserve"> compared to 2000 (Seto </w:t>
      </w:r>
      <w:r w:rsidR="000429F8" w:rsidRPr="009B0448">
        <w:rPr>
          <w:rFonts w:ascii="Times New Roman" w:eastAsia="Times New Roman" w:hAnsi="Times New Roman" w:cs="Times New Roman"/>
          <w:i/>
        </w:rPr>
        <w:t>et al.</w:t>
      </w:r>
      <w:r w:rsidR="00991066" w:rsidRPr="009B0448">
        <w:rPr>
          <w:rFonts w:ascii="Times New Roman" w:eastAsia="Times New Roman" w:hAnsi="Times New Roman" w:cs="Times New Roman"/>
        </w:rPr>
        <w:t xml:space="preserve">, 2012). Several assumptions regarding economic growth, governance structures and climate under the different archetypes have a strong influence on whether </w:t>
      </w:r>
      <w:r w:rsidRPr="009B0448">
        <w:rPr>
          <w:rFonts w:ascii="Times New Roman" w:eastAsia="Times New Roman" w:hAnsi="Times New Roman" w:cs="Times New Roman"/>
        </w:rPr>
        <w:t>urbanis</w:t>
      </w:r>
      <w:r w:rsidR="00C76378" w:rsidRPr="009B0448">
        <w:rPr>
          <w:rFonts w:ascii="Times New Roman" w:eastAsia="Times New Roman" w:hAnsi="Times New Roman" w:cs="Times New Roman"/>
        </w:rPr>
        <w:t>ation</w:t>
      </w:r>
      <w:r w:rsidR="00991066" w:rsidRPr="009B0448">
        <w:rPr>
          <w:rFonts w:ascii="Times New Roman" w:eastAsia="Times New Roman" w:hAnsi="Times New Roman" w:cs="Times New Roman"/>
        </w:rPr>
        <w:t xml:space="preserve"> is centralised around few economic and industrial economies or decentralised across expanding rural economies (WWF-AfDB, 2015). These factors also strongly contribute to rural-urban patterns of migration and re-migration (Lambin </w:t>
      </w:r>
      <w:r w:rsidR="000429F8" w:rsidRPr="009B0448">
        <w:rPr>
          <w:rFonts w:ascii="Times New Roman" w:eastAsia="Times New Roman" w:hAnsi="Times New Roman" w:cs="Times New Roman"/>
          <w:i/>
        </w:rPr>
        <w:t>et al.</w:t>
      </w:r>
      <w:r w:rsidR="00991066" w:rsidRPr="009B0448">
        <w:rPr>
          <w:rFonts w:ascii="Times New Roman" w:eastAsia="Times New Roman" w:hAnsi="Times New Roman" w:cs="Times New Roman"/>
        </w:rPr>
        <w:t xml:space="preserve">, 2014). </w:t>
      </w:r>
    </w:p>
    <w:p w14:paraId="0AFCB239" w14:textId="77777777" w:rsidR="009A06F7" w:rsidRPr="009B0448" w:rsidRDefault="009A06F7" w:rsidP="009A06F7">
      <w:pPr>
        <w:spacing w:line="276" w:lineRule="auto"/>
        <w:jc w:val="both"/>
        <w:rPr>
          <w:rFonts w:ascii="Times New Roman" w:eastAsia="Times New Roman" w:hAnsi="Times New Roman" w:cs="Times New Roman"/>
        </w:rPr>
      </w:pPr>
    </w:p>
    <w:p w14:paraId="056CC4E9" w14:textId="2B0F10FC"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Under the majority of the archetypes namely,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 xml:space="preserve">Regional Sustainability </w:t>
      </w:r>
      <w:r w:rsidRPr="009B0448">
        <w:rPr>
          <w:rFonts w:ascii="Times New Roman" w:eastAsia="Times New Roman" w:hAnsi="Times New Roman" w:cs="Times New Roman"/>
        </w:rPr>
        <w:t xml:space="preserve">and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centralised </w:t>
      </w:r>
      <w:r w:rsidR="00574E50" w:rsidRPr="009B0448">
        <w:rPr>
          <w:rFonts w:ascii="Times New Roman" w:eastAsia="Times New Roman" w:hAnsi="Times New Roman" w:cs="Times New Roman"/>
        </w:rPr>
        <w:t>urbanis</w:t>
      </w:r>
      <w:r w:rsidR="00C76378" w:rsidRPr="009B0448">
        <w:rPr>
          <w:rFonts w:ascii="Times New Roman" w:eastAsia="Times New Roman" w:hAnsi="Times New Roman" w:cs="Times New Roman"/>
        </w:rPr>
        <w:t>ation</w:t>
      </w:r>
      <w:r w:rsidRPr="009B0448">
        <w:rPr>
          <w:rFonts w:ascii="Times New Roman" w:eastAsia="Times New Roman" w:hAnsi="Times New Roman" w:cs="Times New Roman"/>
        </w:rPr>
        <w:t xml:space="preserve"> strategies, driven by economic development and population growth, occur. Under </w:t>
      </w:r>
      <w:r w:rsidRPr="009B0448">
        <w:rPr>
          <w:rFonts w:ascii="Times New Roman" w:eastAsia="Times New Roman" w:hAnsi="Times New Roman" w:cs="Times New Roman"/>
          <w:i/>
        </w:rPr>
        <w:t xml:space="preserve">Policy Reform, </w:t>
      </w:r>
      <w:r w:rsidRPr="009B0448">
        <w:rPr>
          <w:rFonts w:ascii="Times New Roman" w:eastAsia="Times New Roman" w:hAnsi="Times New Roman" w:cs="Times New Roman"/>
        </w:rPr>
        <w:t xml:space="preserve">economic growth in some cities or countries and conflict and rural poverty in others, are the main factors driving migration (MA, 2005). Under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w:t>
      </w:r>
      <w:r w:rsidR="00574E50" w:rsidRPr="009B0448">
        <w:rPr>
          <w:rFonts w:ascii="Times New Roman" w:eastAsia="Times New Roman" w:hAnsi="Times New Roman" w:cs="Times New Roman"/>
        </w:rPr>
        <w:t>urbanis</w:t>
      </w:r>
      <w:r w:rsidR="00C76378" w:rsidRPr="009B0448">
        <w:rPr>
          <w:rFonts w:ascii="Times New Roman" w:eastAsia="Times New Roman" w:hAnsi="Times New Roman" w:cs="Times New Roman"/>
        </w:rPr>
        <w:t>ation</w:t>
      </w:r>
      <w:r w:rsidRPr="009B0448">
        <w:rPr>
          <w:rFonts w:ascii="Times New Roman" w:eastAsia="Times New Roman" w:hAnsi="Times New Roman" w:cs="Times New Roman"/>
        </w:rPr>
        <w:t xml:space="preserve"> is likely to manifest as informal and unserviced settlements (WWF-AfDB, 2015), clustered a</w:t>
      </w:r>
      <w:r w:rsidR="00153219" w:rsidRPr="009B0448">
        <w:rPr>
          <w:rFonts w:ascii="Times New Roman" w:eastAsia="Times New Roman" w:hAnsi="Times New Roman" w:cs="Times New Roman"/>
        </w:rPr>
        <w:t>round economic hubs or resource-</w:t>
      </w:r>
      <w:r w:rsidRPr="009B0448">
        <w:rPr>
          <w:rFonts w:ascii="Times New Roman" w:eastAsia="Times New Roman" w:hAnsi="Times New Roman" w:cs="Times New Roman"/>
        </w:rPr>
        <w:t xml:space="preserve">rich areas with poor infrastructure development. In contrast, under the </w:t>
      </w:r>
      <w:r w:rsidRPr="009B0448">
        <w:rPr>
          <w:rFonts w:ascii="Times New Roman" w:eastAsia="Times New Roman" w:hAnsi="Times New Roman" w:cs="Times New Roman"/>
          <w:i/>
        </w:rPr>
        <w:t xml:space="preserve">Local Sustainability </w:t>
      </w:r>
      <w:r w:rsidRPr="009B0448">
        <w:rPr>
          <w:rFonts w:ascii="Times New Roman" w:eastAsia="Times New Roman" w:hAnsi="Times New Roman" w:cs="Times New Roman"/>
        </w:rPr>
        <w:t>archetype</w:t>
      </w:r>
      <w:r w:rsidR="00051889" w:rsidRPr="009B0448">
        <w:rPr>
          <w:rFonts w:ascii="Times New Roman" w:eastAsia="Times New Roman" w:hAnsi="Times New Roman" w:cs="Times New Roman"/>
        </w:rPr>
        <w:t>,</w:t>
      </w:r>
      <w:r w:rsidRPr="009B0448">
        <w:rPr>
          <w:rFonts w:ascii="Times New Roman" w:eastAsia="Times New Roman" w:hAnsi="Times New Roman" w:cs="Times New Roman"/>
        </w:rPr>
        <w:t xml:space="preserve"> a densification of rural African communities is expected at first. These large rural populations are likely to be limited by economic options, and increasingly rely on the natural resources to sustain their well-being (Sandker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Sustained overexploitation of local food supplies eventually acts as a driver of migration out of rural areas where men and young people leave for the cities, leaving behind elderly woman and children (WWF-AfDB, 2015). This reduced pressure may provide an opportunity for the replenishment of natural resources (Sandker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2012).</w:t>
      </w:r>
    </w:p>
    <w:p w14:paraId="2FAC95D4" w14:textId="77777777" w:rsidR="009A06F7" w:rsidRPr="009B0448" w:rsidRDefault="009A06F7" w:rsidP="009A06F7">
      <w:pPr>
        <w:spacing w:line="276" w:lineRule="auto"/>
        <w:jc w:val="both"/>
        <w:rPr>
          <w:rFonts w:ascii="Times New Roman" w:eastAsia="Times New Roman" w:hAnsi="Times New Roman" w:cs="Times New Roman"/>
        </w:rPr>
      </w:pPr>
    </w:p>
    <w:p w14:paraId="0E60CFAD" w14:textId="451C80BC" w:rsidR="00093E24" w:rsidRPr="009B0448" w:rsidRDefault="00991066" w:rsidP="009A06F7">
      <w:pPr>
        <w:spacing w:line="276" w:lineRule="auto"/>
        <w:jc w:val="both"/>
        <w:rPr>
          <w:rFonts w:ascii="Times New Roman" w:eastAsia="Times New Roman" w:hAnsi="Times New Roman" w:cs="Times New Roman"/>
          <w:sz w:val="20"/>
          <w:szCs w:val="20"/>
        </w:rPr>
      </w:pPr>
      <w:r w:rsidRPr="009B0448">
        <w:rPr>
          <w:rFonts w:ascii="Times New Roman" w:eastAsia="Times New Roman" w:hAnsi="Times New Roman" w:cs="Times New Roman"/>
        </w:rPr>
        <w:t xml:space="preserve">Under all archetypes, </w:t>
      </w:r>
      <w:r w:rsidR="00574E50" w:rsidRPr="009B0448">
        <w:rPr>
          <w:rFonts w:ascii="Times New Roman" w:eastAsia="Times New Roman" w:hAnsi="Times New Roman" w:cs="Times New Roman"/>
        </w:rPr>
        <w:t>urbanis</w:t>
      </w:r>
      <w:r w:rsidR="00C76378" w:rsidRPr="009B0448">
        <w:rPr>
          <w:rFonts w:ascii="Times New Roman" w:eastAsia="Times New Roman" w:hAnsi="Times New Roman" w:cs="Times New Roman"/>
        </w:rPr>
        <w:t>ation</w:t>
      </w:r>
      <w:r w:rsidRPr="009B0448">
        <w:rPr>
          <w:rFonts w:ascii="Times New Roman" w:eastAsia="Times New Roman" w:hAnsi="Times New Roman" w:cs="Times New Roman"/>
        </w:rPr>
        <w:t xml:space="preserve"> has large impacts on surrounding areas as the demand for, and pressure on, natural resources and ecosystem services increases</w:t>
      </w:r>
      <w:r w:rsidR="00677752">
        <w:rPr>
          <w:rFonts w:ascii="Times New Roman" w:eastAsia="Times New Roman" w:hAnsi="Times New Roman" w:cs="Times New Roman"/>
        </w:rPr>
        <w:t>,</w:t>
      </w:r>
      <w:r w:rsidRPr="009B0448">
        <w:rPr>
          <w:rFonts w:ascii="Times New Roman" w:eastAsia="Times New Roman" w:hAnsi="Times New Roman" w:cs="Times New Roman"/>
        </w:rPr>
        <w:t xml:space="preserve"> posing significant ecological risks. These include habitat loss, fragmentation, deforestation, loss of agricultural land, and increased demand for bushmeat and medicinal plants (MA, 2005; O’Farrell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Seto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2012</w:t>
      </w:r>
      <w:r w:rsidR="00A6521A" w:rsidRPr="009B0448">
        <w:rPr>
          <w:rFonts w:ascii="Times New Roman" w:eastAsia="Times New Roman" w:hAnsi="Times New Roman" w:cs="Times New Roman"/>
        </w:rPr>
        <w:t xml:space="preserve">; Herslund </w:t>
      </w:r>
      <w:r w:rsidR="000429F8" w:rsidRPr="009B0448">
        <w:rPr>
          <w:rFonts w:ascii="Times New Roman" w:eastAsia="Times New Roman" w:hAnsi="Times New Roman" w:cs="Times New Roman"/>
          <w:i/>
        </w:rPr>
        <w:t>et al.</w:t>
      </w:r>
      <w:r w:rsidR="00A6521A" w:rsidRPr="009B0448">
        <w:rPr>
          <w:rFonts w:ascii="Times New Roman" w:eastAsia="Times New Roman" w:hAnsi="Times New Roman" w:cs="Times New Roman"/>
        </w:rPr>
        <w:t>, 2016; IPCC, 2014</w:t>
      </w:r>
      <w:r w:rsidRPr="009B0448">
        <w:rPr>
          <w:rFonts w:ascii="Times New Roman" w:eastAsia="Times New Roman" w:hAnsi="Times New Roman" w:cs="Times New Roman"/>
        </w:rPr>
        <w:t xml:space="preserve">). These impacts are exacerbated if there is insufficient provision of adequate basic services. For example, lack of electricity means that charcoal is used as a major energy source in urban areas in Tanzania and other African cities (Swetnam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Woollen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2016), contributing to deforestation and habitat loss.</w:t>
      </w:r>
      <w:r w:rsidRPr="009B0448">
        <w:rPr>
          <w:rFonts w:ascii="Times New Roman" w:eastAsia="Times New Roman" w:hAnsi="Times New Roman" w:cs="Times New Roman"/>
          <w:sz w:val="20"/>
          <w:szCs w:val="20"/>
        </w:rPr>
        <w:t xml:space="preserve"> </w:t>
      </w:r>
    </w:p>
    <w:p w14:paraId="5570809F" w14:textId="77777777" w:rsidR="00D32AA1" w:rsidRPr="009B0448" w:rsidRDefault="00D32AA1" w:rsidP="00D32AA1">
      <w:pPr>
        <w:pStyle w:val="111"/>
        <w:numPr>
          <w:ilvl w:val="2"/>
          <w:numId w:val="11"/>
        </w:numPr>
        <w:spacing w:before="240" w:after="240"/>
        <w:ind w:left="709" w:hanging="720"/>
        <w:rPr>
          <w:rFonts w:cs="Times New Roman"/>
          <w:i w:val="0"/>
          <w:sz w:val="22"/>
          <w:szCs w:val="22"/>
        </w:rPr>
      </w:pPr>
      <w:bookmarkStart w:id="403" w:name="_Toc519500010"/>
      <w:r w:rsidRPr="009B0448">
        <w:rPr>
          <w:rFonts w:cs="Times New Roman"/>
          <w:i w:val="0"/>
          <w:sz w:val="22"/>
          <w:szCs w:val="22"/>
        </w:rPr>
        <w:t>Consumption and natural resource use</w:t>
      </w:r>
      <w:bookmarkEnd w:id="403"/>
    </w:p>
    <w:p w14:paraId="58033578" w14:textId="77777777" w:rsidR="00D32AA1" w:rsidRPr="009B0448" w:rsidRDefault="00D32AA1" w:rsidP="00D32AA1">
      <w:pPr>
        <w:spacing w:line="276" w:lineRule="auto"/>
        <w:jc w:val="both"/>
        <w:rPr>
          <w:rFonts w:ascii="Times New Roman" w:eastAsia="Times New Roman" w:hAnsi="Times New Roman" w:cs="Times New Roman"/>
          <w:color w:val="333333"/>
        </w:rPr>
      </w:pPr>
      <w:r w:rsidRPr="009B0448">
        <w:rPr>
          <w:rFonts w:ascii="Times New Roman" w:eastAsia="Times New Roman" w:hAnsi="Times New Roman" w:cs="Times New Roman"/>
        </w:rPr>
        <w:t xml:space="preserve">Future consumption patterns of natural resources across Africa are expected to change as a result of rapid population growth, increased </w:t>
      </w:r>
      <w:r w:rsidRPr="009B0448">
        <w:rPr>
          <w:rFonts w:ascii="Times New Roman" w:eastAsia="Times New Roman" w:hAnsi="Times New Roman" w:cs="Times New Roman"/>
          <w:color w:val="000000" w:themeColor="text1"/>
        </w:rPr>
        <w:t xml:space="preserve">trade, and an expanding middle class (Alcamo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2005). However, large regional differences are expected, as well as substantial differences depending on which development pathways are followed. Differences in institutions and governance systems, as well as differences in technological advances and strategic infrastructure investment in agriculture, manufacturing and other key sectors are likely to have marked impacts on the demand for food, clean water, energy, fibre and marine and freshwater fisheries, as well as habitat conversion (e.g.</w:t>
      </w:r>
      <w:r>
        <w:rPr>
          <w:rFonts w:ascii="Times New Roman" w:eastAsia="Times New Roman" w:hAnsi="Times New Roman" w:cs="Times New Roman"/>
          <w:color w:val="000000" w:themeColor="text1"/>
        </w:rPr>
        <w:t>,</w:t>
      </w:r>
      <w:r w:rsidRPr="009B0448">
        <w:rPr>
          <w:rFonts w:ascii="Times New Roman" w:eastAsia="Times New Roman" w:hAnsi="Times New Roman" w:cs="Times New Roman"/>
          <w:color w:val="000000" w:themeColor="text1"/>
        </w:rPr>
        <w:t xml:space="preserve"> degradation or restoration of land and aquatic habitats), climate change and species introductions (MA, 2005). </w:t>
      </w:r>
    </w:p>
    <w:p w14:paraId="0E27110B" w14:textId="77777777" w:rsidR="00D32AA1" w:rsidRPr="009B0448" w:rsidRDefault="00D32AA1" w:rsidP="00D32AA1">
      <w:pPr>
        <w:spacing w:line="276" w:lineRule="auto"/>
        <w:jc w:val="both"/>
        <w:rPr>
          <w:rFonts w:ascii="Times New Roman" w:eastAsia="Times New Roman" w:hAnsi="Times New Roman" w:cs="Times New Roman"/>
          <w:color w:val="333333"/>
        </w:rPr>
      </w:pPr>
    </w:p>
    <w:p w14:paraId="0BC57B50" w14:textId="77777777" w:rsidR="00D32AA1" w:rsidRPr="009B0448" w:rsidRDefault="00D32AA1" w:rsidP="00D32AA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Africa currently exceeds its biocapacity, with only 33% of the countries within acceptable limits (GEF, 2016). Rates of consumption and natural resource use are expected to increase further under all archetypes except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where consumption patterns are expected to remain steady or decrease due to poor economic growth (MA, 2005). Under this archetype, however, natural resource use remains high to provide sufficient food for dense rural communities. Natural resources are expected to remain the primary trade across the continent, sustaining current pressures on biodiversity and ecosystem services. The potential for further increases in environmental pressure is confirmed by recent modelling studies where potential increases in cropland range between 19%–120% across Africa, but could also decrease by ~27% under certain scenarios (Schmitz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Energy use per capita in Africa is expected to remain the lowest in the world under all archetypes (UNEP, 2007). </w:t>
      </w:r>
    </w:p>
    <w:p w14:paraId="6B547F2E" w14:textId="77777777" w:rsidR="00093E24" w:rsidRPr="009B0448" w:rsidRDefault="00093E24" w:rsidP="009A06F7">
      <w:pPr>
        <w:spacing w:line="276" w:lineRule="auto"/>
        <w:jc w:val="both"/>
        <w:rPr>
          <w:rFonts w:ascii="Times New Roman" w:eastAsia="Times New Roman" w:hAnsi="Times New Roman" w:cs="Times New Roman"/>
        </w:rPr>
      </w:pPr>
    </w:p>
    <w:p w14:paraId="7346F87E" w14:textId="76909EDE" w:rsidR="00093E24" w:rsidRPr="009B0448" w:rsidRDefault="00093E24"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drawing>
          <wp:inline distT="0" distB="0" distL="0" distR="0" wp14:anchorId="35FE0CDE" wp14:editId="09C6CC91">
            <wp:extent cx="5730240" cy="7164540"/>
            <wp:effectExtent l="0" t="0" r="381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B5.3.JPG"/>
                    <pic:cNvPicPr>
                      <a:picLocks noChangeAspect="1" noChangeArrowheads="1"/>
                    </pic:cNvPicPr>
                  </pic:nvPicPr>
                  <pic:blipFill>
                    <a:blip r:embed="rId1581">
                      <a:extLst>
                        <a:ext uri="{28A0092B-C50C-407E-A947-70E740481C1C}">
                          <a14:useLocalDpi xmlns:a14="http://schemas.microsoft.com/office/drawing/2010/main" val="0"/>
                        </a:ext>
                      </a:extLst>
                    </a:blip>
                    <a:stretch>
                      <a:fillRect/>
                    </a:stretch>
                  </pic:blipFill>
                  <pic:spPr bwMode="auto">
                    <a:xfrm>
                      <a:off x="0" y="0"/>
                      <a:ext cx="5730240" cy="7164540"/>
                    </a:xfrm>
                    <a:prstGeom prst="rect">
                      <a:avLst/>
                    </a:prstGeom>
                    <a:noFill/>
                    <a:ln>
                      <a:noFill/>
                    </a:ln>
                  </pic:spPr>
                </pic:pic>
              </a:graphicData>
            </a:graphic>
          </wp:inline>
        </w:drawing>
      </w:r>
    </w:p>
    <w:p w14:paraId="38CAD365" w14:textId="330BEB74" w:rsidR="00991066" w:rsidRPr="009B0448" w:rsidRDefault="00991066" w:rsidP="009A06F7">
      <w:pPr>
        <w:spacing w:line="276" w:lineRule="auto"/>
        <w:jc w:val="both"/>
        <w:rPr>
          <w:rFonts w:ascii="Times New Roman" w:eastAsia="Times New Roman" w:hAnsi="Times New Roman" w:cs="Times New Roman"/>
          <w:sz w:val="20"/>
          <w:szCs w:val="20"/>
        </w:rPr>
      </w:pPr>
      <w:r w:rsidRPr="009B0448">
        <w:rPr>
          <w:rFonts w:ascii="Times New Roman" w:hAnsi="Times New Roman" w:cs="Times New Roman"/>
          <w:sz w:val="20"/>
          <w:szCs w:val="20"/>
        </w:rPr>
        <w:br w:type="page"/>
      </w:r>
    </w:p>
    <w:p w14:paraId="32D5547C" w14:textId="012F8F17" w:rsidR="00991066" w:rsidRPr="009B0448" w:rsidRDefault="00991066" w:rsidP="009A06F7">
      <w:pPr>
        <w:spacing w:line="276" w:lineRule="auto"/>
        <w:jc w:val="both"/>
        <w:rPr>
          <w:rFonts w:ascii="Times New Roman" w:eastAsia="Times New Roman" w:hAnsi="Times New Roman" w:cs="Times New Roman"/>
        </w:rPr>
      </w:pPr>
      <w:bookmarkStart w:id="404" w:name="_23ckvvd" w:colFirst="0" w:colLast="0"/>
      <w:bookmarkEnd w:id="404"/>
      <w:r w:rsidRPr="009B0448">
        <w:rPr>
          <w:rFonts w:ascii="Times New Roman" w:eastAsia="Times New Roman" w:hAnsi="Times New Roman" w:cs="Times New Roman"/>
        </w:rPr>
        <w:t xml:space="preserve">The highest demand for food is found under the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archetype due to increased global demand for cereals and animal products, where cereals are increasingly used as livestock feed (MA, 2005). At the same time, increased yields reduce the need for the expansion of large crop areas in some locations, potentially freeing up land for bioenergy production (Smeets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Erb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Local and global demands are met by increasing agricultural intensification and aquaculture production, improving food security across the continent as most of the food is purchased rather than grown (WWF-AfDB, 2015). Similar to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reliance on natural resources remains high under the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archetype, but regional or global support is available to avoid excessive pressures on the natural environment. Under the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archetype, increased infrastructure and regional </w:t>
      </w:r>
      <w:r w:rsidR="00574E50" w:rsidRPr="009B0448">
        <w:rPr>
          <w:rFonts w:ascii="Times New Roman" w:eastAsia="Times New Roman" w:hAnsi="Times New Roman" w:cs="Times New Roman"/>
        </w:rPr>
        <w:t>urbanis</w:t>
      </w:r>
      <w:r w:rsidR="00C76378" w:rsidRPr="009B0448">
        <w:rPr>
          <w:rFonts w:ascii="Times New Roman" w:eastAsia="Times New Roman" w:hAnsi="Times New Roman" w:cs="Times New Roman"/>
        </w:rPr>
        <w:t>ation</w:t>
      </w:r>
      <w:r w:rsidR="00153219" w:rsidRPr="009B0448">
        <w:rPr>
          <w:rFonts w:ascii="Times New Roman" w:eastAsia="Times New Roman" w:hAnsi="Times New Roman" w:cs="Times New Roman"/>
        </w:rPr>
        <w:t xml:space="preserve"> are</w:t>
      </w:r>
      <w:r w:rsidRPr="009B0448">
        <w:rPr>
          <w:rFonts w:ascii="Times New Roman" w:eastAsia="Times New Roman" w:hAnsi="Times New Roman" w:cs="Times New Roman"/>
        </w:rPr>
        <w:t xml:space="preserve"> expected which promotes a change to richer consumption patterns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 including increased consumption of marine resources (WWF-AfDB, 2015). Increased agricultural yields of particular cereals, may also lead to dramatically increased consumption of meat and dairy under this</w:t>
      </w:r>
      <w:r w:rsidRPr="009B0448">
        <w:rPr>
          <w:rFonts w:ascii="Times New Roman" w:eastAsia="Times New Roman" w:hAnsi="Times New Roman" w:cs="Times New Roman"/>
          <w:i/>
        </w:rPr>
        <w:t xml:space="preserve"> </w:t>
      </w:r>
      <w:r w:rsidRPr="009B0448">
        <w:rPr>
          <w:rFonts w:ascii="Times New Roman" w:eastAsia="Times New Roman" w:hAnsi="Times New Roman" w:cs="Times New Roman"/>
        </w:rPr>
        <w:t xml:space="preserve">archetype. </w:t>
      </w:r>
    </w:p>
    <w:p w14:paraId="3D16E9E5" w14:textId="4B436F7F"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05" w:name="_ihv636" w:colFirst="0" w:colLast="0"/>
      <w:bookmarkStart w:id="406" w:name="_Toc519500011"/>
      <w:bookmarkEnd w:id="405"/>
      <w:r w:rsidRPr="009B0448">
        <w:rPr>
          <w:rFonts w:cs="Times New Roman"/>
          <w:i w:val="0"/>
          <w:sz w:val="22"/>
          <w:szCs w:val="22"/>
        </w:rPr>
        <w:t>Global trade and resource demand</w:t>
      </w:r>
      <w:bookmarkEnd w:id="406"/>
    </w:p>
    <w:p w14:paraId="3317CFA8" w14:textId="1432699C"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Natural resource extraction contributes significantly to the GDP of many African countries and has the potential to catalyse further economic and social development (Cilliers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WWF-AfDB, 2015). Uncultivated arable land in Africa is seen as a potential resource for increased agricultural production which could be used for either biofuel or meat production (Smeets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w:t>
      </w:r>
      <w:r w:rsidR="006E4CDF" w:rsidRPr="009B0448">
        <w:rPr>
          <w:rFonts w:ascii="Times New Roman" w:eastAsia="Times New Roman" w:hAnsi="Times New Roman" w:cs="Times New Roman"/>
        </w:rPr>
        <w:t>7</w:t>
      </w:r>
      <w:r w:rsidR="00A6521A" w:rsidRPr="009B0448">
        <w:rPr>
          <w:rFonts w:ascii="Times New Roman" w:eastAsia="Times New Roman" w:hAnsi="Times New Roman" w:cs="Times New Roman"/>
        </w:rPr>
        <w:t xml:space="preserve">; Pfister </w:t>
      </w:r>
      <w:r w:rsidR="000429F8" w:rsidRPr="009B0448">
        <w:rPr>
          <w:rFonts w:ascii="Times New Roman" w:eastAsia="Times New Roman" w:hAnsi="Times New Roman" w:cs="Times New Roman"/>
          <w:i/>
        </w:rPr>
        <w:t>et al.</w:t>
      </w:r>
      <w:r w:rsidR="00A6521A" w:rsidRPr="009B0448">
        <w:rPr>
          <w:rFonts w:ascii="Times New Roman" w:eastAsia="Times New Roman" w:hAnsi="Times New Roman" w:cs="Times New Roman"/>
        </w:rPr>
        <w:t>, 2011</w:t>
      </w:r>
      <w:r w:rsidRPr="009B0448">
        <w:rPr>
          <w:rFonts w:ascii="Times New Roman" w:eastAsia="Times New Roman" w:hAnsi="Times New Roman" w:cs="Times New Roman"/>
        </w:rPr>
        <w:t>). Although there is substantial potential for growth, it is linked to great uncertainties around levels of foreign direct investment, governance and political stability. Increasing demand for agricultural products (cereals or biofuels), extractives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minerals or oil), and an increased demand for land, marine and freshwater resources (Crona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2010) also presents a challenge for sustainable development and exacerbates pressures on biodiversity and ecosystem services across the continent (</w:t>
      </w:r>
      <w:r w:rsidR="00EE20F0" w:rsidRPr="009B0448">
        <w:rPr>
          <w:rFonts w:ascii="Times New Roman" w:eastAsia="Times New Roman" w:hAnsi="Times New Roman" w:cs="Times New Roman"/>
        </w:rPr>
        <w:t>UNEP, 2007</w:t>
      </w:r>
      <w:r w:rsidRPr="009B0448">
        <w:rPr>
          <w:rFonts w:ascii="Times New Roman" w:eastAsia="Times New Roman" w:hAnsi="Times New Roman" w:cs="Times New Roman"/>
        </w:rPr>
        <w:t xml:space="preserve">; WWF-AfDB, 2015). </w:t>
      </w:r>
    </w:p>
    <w:p w14:paraId="1CFD17D1" w14:textId="77777777" w:rsidR="009A06F7" w:rsidRPr="009B0448" w:rsidRDefault="009A06F7" w:rsidP="009A06F7">
      <w:pPr>
        <w:spacing w:line="276" w:lineRule="auto"/>
        <w:jc w:val="both"/>
        <w:rPr>
          <w:rFonts w:ascii="Times New Roman" w:eastAsia="Times New Roman" w:hAnsi="Times New Roman" w:cs="Times New Roman"/>
        </w:rPr>
      </w:pPr>
    </w:p>
    <w:p w14:paraId="3386353A" w14:textId="09A13E51"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Under the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archetype, high global demand for resources is driven in particular by foreign direct investment</w:t>
      </w:r>
      <w:r w:rsidR="00153219" w:rsidRPr="009B0448">
        <w:rPr>
          <w:rFonts w:ascii="Times New Roman" w:eastAsia="Times New Roman" w:hAnsi="Times New Roman" w:cs="Times New Roman"/>
        </w:rPr>
        <w:t xml:space="preserve"> and globalised trade. Resource-</w:t>
      </w:r>
      <w:r w:rsidRPr="009B0448">
        <w:rPr>
          <w:rFonts w:ascii="Times New Roman" w:eastAsia="Times New Roman" w:hAnsi="Times New Roman" w:cs="Times New Roman"/>
        </w:rPr>
        <w:t xml:space="preserve">rich areas are likely to become short-term centres of economic development resulting in large-scale land conversion activities such as mining and agriculture (WWF-AfDB, 2015). The massive expanse of underused arable land in the Sahel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and many other regions of Africa (Erb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is potentially subject to land grabbing for biofuel production. The proliferation of cash crops for a global markets increases tensions around land between small-scale farmers, pastoralists and big foreign corporations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t>
      </w:r>
    </w:p>
    <w:p w14:paraId="3487644C" w14:textId="77777777" w:rsidR="009A06F7" w:rsidRPr="009B0448" w:rsidRDefault="009A06F7" w:rsidP="009A06F7">
      <w:pPr>
        <w:spacing w:line="276" w:lineRule="auto"/>
        <w:jc w:val="both"/>
        <w:rPr>
          <w:rFonts w:ascii="Times New Roman" w:eastAsia="Times New Roman" w:hAnsi="Times New Roman" w:cs="Times New Roman"/>
        </w:rPr>
      </w:pPr>
    </w:p>
    <w:p w14:paraId="3EB4B9B4" w14:textId="52CE6658"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Under the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archetype, increased global coordination and stronger central government lead to </w:t>
      </w:r>
      <w:r w:rsidR="00153219" w:rsidRPr="009B0448">
        <w:rPr>
          <w:rFonts w:ascii="Times New Roman" w:eastAsia="Times New Roman" w:hAnsi="Times New Roman" w:cs="Times New Roman"/>
        </w:rPr>
        <w:t xml:space="preserve">the </w:t>
      </w:r>
      <w:r w:rsidRPr="009B0448">
        <w:rPr>
          <w:rFonts w:ascii="Times New Roman" w:eastAsia="Times New Roman" w:hAnsi="Times New Roman" w:cs="Times New Roman"/>
        </w:rPr>
        <w:t>improved distribution of wealth that could benefit both the environment and citizens (UNEP, 2016). However, despite agreeing to global sustainability criteria, the likelihood of negative impacts to biodiversity and ecosystem services remains high (MA, 2005; UNEP, 2016). Large</w:t>
      </w:r>
      <w:r w:rsidR="00153219" w:rsidRPr="009B0448">
        <w:rPr>
          <w:rFonts w:ascii="Times New Roman" w:eastAsia="Times New Roman" w:hAnsi="Times New Roman" w:cs="Times New Roman"/>
        </w:rPr>
        <w:t>,</w:t>
      </w:r>
      <w:r w:rsidRPr="009B0448">
        <w:rPr>
          <w:rFonts w:ascii="Times New Roman" w:eastAsia="Times New Roman" w:hAnsi="Times New Roman" w:cs="Times New Roman"/>
        </w:rPr>
        <w:t xml:space="preserve"> planned export corridors and supporting infrastructure is developed to exploit the significant mineral, oil or agricultural re</w:t>
      </w:r>
      <w:r w:rsidR="00153219" w:rsidRPr="009B0448">
        <w:rPr>
          <w:rFonts w:ascii="Times New Roman" w:eastAsia="Times New Roman" w:hAnsi="Times New Roman" w:cs="Times New Roman"/>
        </w:rPr>
        <w:t>sources across Africa. The i</w:t>
      </w:r>
      <w:r w:rsidRPr="009B0448">
        <w:rPr>
          <w:rFonts w:ascii="Times New Roman" w:eastAsia="Times New Roman" w:hAnsi="Times New Roman" w:cs="Times New Roman"/>
        </w:rPr>
        <w:t xml:space="preserve">ncreased global trade could also increase the potential for spreading invasive species, despite improved regulatory agreements (MA, 2005). </w:t>
      </w:r>
    </w:p>
    <w:p w14:paraId="491F9A5D" w14:textId="77777777" w:rsidR="009A06F7" w:rsidRPr="009B0448" w:rsidRDefault="009A06F7" w:rsidP="009A06F7">
      <w:pPr>
        <w:spacing w:line="276" w:lineRule="auto"/>
        <w:jc w:val="both"/>
        <w:rPr>
          <w:rFonts w:ascii="Times New Roman" w:eastAsia="Times New Roman" w:hAnsi="Times New Roman" w:cs="Times New Roman"/>
        </w:rPr>
      </w:pPr>
    </w:p>
    <w:p w14:paraId="3644FABE" w14:textId="7804FBB4"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Under the </w:t>
      </w:r>
      <w:r w:rsidRPr="009B0448">
        <w:rPr>
          <w:rFonts w:ascii="Times New Roman" w:eastAsia="Times New Roman" w:hAnsi="Times New Roman" w:cs="Times New Roman"/>
          <w:i/>
        </w:rPr>
        <w:t xml:space="preserve">Regional Sustainability </w:t>
      </w:r>
      <w:r w:rsidR="00153219" w:rsidRPr="009B0448">
        <w:rPr>
          <w:rFonts w:ascii="Times New Roman" w:eastAsia="Times New Roman" w:hAnsi="Times New Roman" w:cs="Times New Roman"/>
        </w:rPr>
        <w:t>archetype, (UNEP, 2016) large-</w:t>
      </w:r>
      <w:r w:rsidRPr="009B0448">
        <w:rPr>
          <w:rFonts w:ascii="Times New Roman" w:eastAsia="Times New Roman" w:hAnsi="Times New Roman" w:cs="Times New Roman"/>
        </w:rPr>
        <w:t>scale infrastructure corridors are also expected to be developed with locally sourced capital and resources, driving growth. However, both local and global trade foc</w:t>
      </w:r>
      <w:r w:rsidR="00153219" w:rsidRPr="009B0448">
        <w:rPr>
          <w:rFonts w:ascii="Times New Roman" w:eastAsia="Times New Roman" w:hAnsi="Times New Roman" w:cs="Times New Roman"/>
        </w:rPr>
        <w:t>i</w:t>
      </w:r>
      <w:r w:rsidRPr="009B0448">
        <w:rPr>
          <w:rFonts w:ascii="Times New Roman" w:eastAsia="Times New Roman" w:hAnsi="Times New Roman" w:cs="Times New Roman"/>
        </w:rPr>
        <w:t xml:space="preserve"> are likely to occur (MA, 2005; </w:t>
      </w:r>
      <w:r w:rsidR="00BE107D"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BE107D" w:rsidRPr="009B0448">
        <w:rPr>
          <w:rFonts w:ascii="Times New Roman" w:eastAsia="Times New Roman" w:hAnsi="Times New Roman" w:cs="Times New Roman"/>
        </w:rPr>
        <w:t>, 2000</w:t>
      </w:r>
      <w:r w:rsidRPr="009B0448">
        <w:rPr>
          <w:rFonts w:ascii="Times New Roman" w:eastAsia="Times New Roman" w:hAnsi="Times New Roman" w:cs="Times New Roman"/>
        </w:rPr>
        <w:t xml:space="preserve">). Both the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 xml:space="preserve">Local sustainability </w:t>
      </w:r>
      <w:r w:rsidRPr="009B0448">
        <w:rPr>
          <w:rFonts w:ascii="Times New Roman" w:eastAsia="Times New Roman" w:hAnsi="Times New Roman" w:cs="Times New Roman"/>
        </w:rPr>
        <w:t>archetypes suggest reduced global resource demand. Whereas the former is likely to be reduced due to an inward focus and low international trade, the latter is due to the increased rural focus of African countries which dissuades direct foreign investment. However, wealthier nations may still increase resource extraction in poorer nations (MA, 2005). These scenarios suggest that natural resource management is likely to be state</w:t>
      </w:r>
      <w:r w:rsidR="00153219" w:rsidRPr="009B0448">
        <w:rPr>
          <w:rFonts w:ascii="Times New Roman" w:eastAsia="Times New Roman" w:hAnsi="Times New Roman" w:cs="Times New Roman"/>
        </w:rPr>
        <w:t>-</w:t>
      </w:r>
      <w:r w:rsidRPr="009B0448">
        <w:rPr>
          <w:rFonts w:ascii="Times New Roman" w:eastAsia="Times New Roman" w:hAnsi="Times New Roman" w:cs="Times New Roman"/>
        </w:rPr>
        <w:t>owned with countries looking after their own interests and providing little protection for common goods and biodiversity.</w:t>
      </w:r>
    </w:p>
    <w:p w14:paraId="0F542863" w14:textId="2032FAB1"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07" w:name="_32hioqz" w:colFirst="0" w:colLast="0"/>
      <w:bookmarkStart w:id="408" w:name="_Toc519500012"/>
      <w:bookmarkEnd w:id="407"/>
      <w:r w:rsidRPr="009B0448">
        <w:rPr>
          <w:rFonts w:cs="Times New Roman"/>
          <w:i w:val="0"/>
          <w:sz w:val="22"/>
          <w:szCs w:val="22"/>
        </w:rPr>
        <w:t>Climate change</w:t>
      </w:r>
      <w:bookmarkEnd w:id="408"/>
    </w:p>
    <w:p w14:paraId="2A9E1DE1" w14:textId="2C850A10"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Africa is one of the most vulnerable regions to climate change, raising concern around water stress and future prospects of food production (Narain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2011; IPCC, 2014). For example, in East Africa</w:t>
      </w:r>
      <w:r w:rsidR="00153219" w:rsidRPr="009B0448">
        <w:rPr>
          <w:rFonts w:ascii="Times New Roman" w:eastAsia="Times New Roman" w:hAnsi="Times New Roman" w:cs="Times New Roman"/>
        </w:rPr>
        <w:t>,</w:t>
      </w:r>
      <w:r w:rsidRPr="009B0448">
        <w:rPr>
          <w:rFonts w:ascii="Times New Roman" w:eastAsia="Times New Roman" w:hAnsi="Times New Roman" w:cs="Times New Roman"/>
        </w:rPr>
        <w:t xml:space="preserve"> crop yields are expected to decrease between 1-15% depending on the climate scenario (Thornton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2009). In addition, pest species benefit under several global warming scenarios, worsening the threat to livelihoods and agricultural yields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the coffee berry borer, </w:t>
      </w:r>
      <w:r w:rsidRPr="009B0448">
        <w:rPr>
          <w:rFonts w:ascii="Times New Roman" w:eastAsia="Times New Roman" w:hAnsi="Times New Roman" w:cs="Times New Roman"/>
          <w:i/>
        </w:rPr>
        <w:t>Hypothenemus hampei</w:t>
      </w:r>
      <w:r w:rsidRPr="009B0448">
        <w:rPr>
          <w:rFonts w:ascii="Times New Roman" w:eastAsia="Times New Roman" w:hAnsi="Times New Roman" w:cs="Times New Roman"/>
        </w:rPr>
        <w:t xml:space="preserve">) and further complicating decision-making (Jaramillo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Sub-Saharan Africa is also considered to have the highest adaptation costs to climate change (Narain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although these costs are significantly lower compared to the costs of anticipated impacts (van Vuuren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w:t>
      </w:r>
      <w:r w:rsidR="0061299D" w:rsidRPr="009B0448">
        <w:rPr>
          <w:rFonts w:ascii="Times New Roman" w:eastAsia="Times New Roman" w:hAnsi="Times New Roman" w:cs="Times New Roman"/>
        </w:rPr>
        <w:t>b</w:t>
      </w:r>
      <w:r w:rsidRPr="009B0448">
        <w:rPr>
          <w:rFonts w:ascii="Times New Roman" w:eastAsia="Times New Roman" w:hAnsi="Times New Roman" w:cs="Times New Roman"/>
        </w:rPr>
        <w:t>). Some climate scenarios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RCP 2.6</w:t>
      </w:r>
      <w:r w:rsidR="000A70BC" w:rsidRPr="009B0448">
        <w:rPr>
          <w:rFonts w:ascii="Times New Roman" w:eastAsia="Times New Roman" w:hAnsi="Times New Roman" w:cs="Times New Roman"/>
        </w:rPr>
        <w:t xml:space="preserve">, Niang </w:t>
      </w:r>
      <w:r w:rsidR="000429F8" w:rsidRPr="009B0448">
        <w:rPr>
          <w:rFonts w:ascii="Times New Roman" w:eastAsia="Times New Roman" w:hAnsi="Times New Roman" w:cs="Times New Roman"/>
          <w:i/>
        </w:rPr>
        <w:t>et al.</w:t>
      </w:r>
      <w:r w:rsidR="000A70BC" w:rsidRPr="009B0448">
        <w:rPr>
          <w:rFonts w:ascii="Times New Roman" w:eastAsia="Times New Roman" w:hAnsi="Times New Roman" w:cs="Times New Roman"/>
        </w:rPr>
        <w:t>, 201</w:t>
      </w:r>
      <w:r w:rsidR="004711C0" w:rsidRPr="009B0448">
        <w:rPr>
          <w:rFonts w:ascii="Times New Roman" w:eastAsia="Times New Roman" w:hAnsi="Times New Roman" w:cs="Times New Roman"/>
        </w:rPr>
        <w:t>4</w:t>
      </w:r>
      <w:r w:rsidRPr="009B0448">
        <w:rPr>
          <w:rFonts w:ascii="Times New Roman" w:eastAsia="Times New Roman" w:hAnsi="Times New Roman" w:cs="Times New Roman"/>
        </w:rPr>
        <w:t>) require a large uptake in carbon neutral transport fuels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biofuels) to reduce CO</w:t>
      </w:r>
      <w:r w:rsidRPr="009B0448">
        <w:rPr>
          <w:rFonts w:ascii="Times New Roman" w:eastAsia="Times New Roman" w:hAnsi="Times New Roman" w:cs="Times New Roman"/>
          <w:vertAlign w:val="subscript"/>
        </w:rPr>
        <w:t xml:space="preserve">2 </w:t>
      </w:r>
      <w:r w:rsidRPr="009B0448">
        <w:rPr>
          <w:rFonts w:ascii="Times New Roman" w:eastAsia="Times New Roman" w:hAnsi="Times New Roman" w:cs="Times New Roman"/>
        </w:rPr>
        <w:t xml:space="preserve">emissions (Visconti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2011), some of which could be produced in Africa. While all scenarios considered adopt a global agenda for sustainable development which includes climate mitigation options, the impacts of climate change may impede much of the progress made towards improving socio-economic well-being across the continent (UNEP, 2016).</w:t>
      </w:r>
    </w:p>
    <w:p w14:paraId="0FECA5CD" w14:textId="77777777" w:rsidR="009A06F7" w:rsidRPr="009B0448" w:rsidRDefault="009A06F7" w:rsidP="009A06F7">
      <w:pPr>
        <w:spacing w:line="276" w:lineRule="auto"/>
        <w:jc w:val="both"/>
        <w:rPr>
          <w:rFonts w:ascii="Times New Roman" w:eastAsia="Times New Roman" w:hAnsi="Times New Roman" w:cs="Times New Roman"/>
        </w:rPr>
      </w:pPr>
    </w:p>
    <w:p w14:paraId="0EED1842" w14:textId="5ADBFCC1"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Across Africa, greenhouse gas emissions are expected to increase alongside increased industrialisation, deforestation and continued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and land cover change (UNEP, 2016). The highest global emissions scenarios can be found under the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archetype (i.e.</w:t>
      </w:r>
      <w:r w:rsidR="00D925AD">
        <w:rPr>
          <w:rFonts w:ascii="Times New Roman" w:eastAsia="Times New Roman" w:hAnsi="Times New Roman" w:cs="Times New Roman"/>
        </w:rPr>
        <w:t>,</w:t>
      </w:r>
      <w:r w:rsidRPr="009B0448">
        <w:rPr>
          <w:rFonts w:ascii="Times New Roman" w:eastAsia="Times New Roman" w:hAnsi="Times New Roman" w:cs="Times New Roman"/>
        </w:rPr>
        <w:t xml:space="preserve"> RCP 8.5,</w:t>
      </w:r>
      <w:r w:rsidR="000A70BC" w:rsidRPr="009B0448">
        <w:rPr>
          <w:rFonts w:ascii="Times New Roman" w:eastAsia="Times New Roman" w:hAnsi="Times New Roman" w:cs="Times New Roman"/>
        </w:rPr>
        <w:t xml:space="preserve"> Niang </w:t>
      </w:r>
      <w:r w:rsidR="000429F8" w:rsidRPr="009B0448">
        <w:rPr>
          <w:rFonts w:ascii="Times New Roman" w:eastAsia="Times New Roman" w:hAnsi="Times New Roman" w:cs="Times New Roman"/>
          <w:i/>
        </w:rPr>
        <w:t>et al.</w:t>
      </w:r>
      <w:r w:rsidR="000A70BC" w:rsidRPr="009B0448">
        <w:rPr>
          <w:rFonts w:ascii="Times New Roman" w:eastAsia="Times New Roman" w:hAnsi="Times New Roman" w:cs="Times New Roman"/>
        </w:rPr>
        <w:t>, 201</w:t>
      </w:r>
      <w:r w:rsidR="004711C0" w:rsidRPr="009B0448">
        <w:rPr>
          <w:rFonts w:ascii="Times New Roman" w:eastAsia="Times New Roman" w:hAnsi="Times New Roman" w:cs="Times New Roman"/>
        </w:rPr>
        <w:t>4</w:t>
      </w:r>
      <w:r w:rsidR="000A70BC" w:rsidRPr="009B0448">
        <w:rPr>
          <w:rFonts w:ascii="Times New Roman" w:eastAsia="Times New Roman" w:hAnsi="Times New Roman" w:cs="Times New Roman"/>
        </w:rPr>
        <w:t xml:space="preserve">; </w:t>
      </w:r>
      <w:r w:rsidRPr="009B0448">
        <w:rPr>
          <w:rFonts w:ascii="Times New Roman" w:eastAsia="Times New Roman" w:hAnsi="Times New Roman" w:cs="Times New Roman"/>
        </w:rPr>
        <w:t>IPCC SRES A1</w:t>
      </w:r>
      <w:r w:rsidR="000A70BC" w:rsidRPr="009B0448">
        <w:rPr>
          <w:rFonts w:ascii="Times New Roman" w:eastAsia="Times New Roman" w:hAnsi="Times New Roman" w:cs="Times New Roman"/>
        </w:rPr>
        <w:t xml:space="preserve">, Nakicenovic </w:t>
      </w:r>
      <w:r w:rsidR="000429F8" w:rsidRPr="009B0448">
        <w:rPr>
          <w:rFonts w:ascii="Times New Roman" w:eastAsia="Times New Roman" w:hAnsi="Times New Roman" w:cs="Times New Roman"/>
          <w:i/>
        </w:rPr>
        <w:t>et al.</w:t>
      </w:r>
      <w:r w:rsidR="000A70BC" w:rsidRPr="009B0448">
        <w:rPr>
          <w:rFonts w:ascii="Times New Roman" w:eastAsia="Times New Roman" w:hAnsi="Times New Roman" w:cs="Times New Roman"/>
        </w:rPr>
        <w:t>, 2000</w:t>
      </w:r>
      <w:r w:rsidRPr="009B0448">
        <w:rPr>
          <w:rFonts w:ascii="Times New Roman" w:eastAsia="Times New Roman" w:hAnsi="Times New Roman" w:cs="Times New Roman"/>
        </w:rPr>
        <w:t xml:space="preserve">) and the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archetype (MA, 2005), culminating in expected temperature increases of between 2.6 and 4.8 degrees relative to 1986-2005 averages (IPCC, 2014). These scenarios indicate surface warming and the likelihood of reduced annual runoff for southern Africa (Collins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 The most optimistic climate pathway (i.e.</w:t>
      </w:r>
      <w:r w:rsidR="00D925AD">
        <w:rPr>
          <w:rFonts w:ascii="Times New Roman" w:eastAsia="Times New Roman" w:hAnsi="Times New Roman" w:cs="Times New Roman"/>
        </w:rPr>
        <w:t>,</w:t>
      </w:r>
      <w:r w:rsidRPr="009B0448">
        <w:rPr>
          <w:rFonts w:ascii="Times New Roman" w:eastAsia="Times New Roman" w:hAnsi="Times New Roman" w:cs="Times New Roman"/>
        </w:rPr>
        <w:t xml:space="preserve"> RCP 2.6</w:t>
      </w:r>
      <w:r w:rsidR="000A70BC" w:rsidRPr="009B0448">
        <w:rPr>
          <w:rFonts w:ascii="Times New Roman" w:eastAsia="Times New Roman" w:hAnsi="Times New Roman" w:cs="Times New Roman"/>
        </w:rPr>
        <w:t xml:space="preserve">, Niang </w:t>
      </w:r>
      <w:r w:rsidR="000429F8" w:rsidRPr="009B0448">
        <w:rPr>
          <w:rFonts w:ascii="Times New Roman" w:eastAsia="Times New Roman" w:hAnsi="Times New Roman" w:cs="Times New Roman"/>
          <w:i/>
        </w:rPr>
        <w:t>et al.</w:t>
      </w:r>
      <w:r w:rsidR="000A70BC" w:rsidRPr="009B0448">
        <w:rPr>
          <w:rFonts w:ascii="Times New Roman" w:eastAsia="Times New Roman" w:hAnsi="Times New Roman" w:cs="Times New Roman"/>
        </w:rPr>
        <w:t>, 201</w:t>
      </w:r>
      <w:r w:rsidR="004711C0" w:rsidRPr="009B0448">
        <w:rPr>
          <w:rFonts w:ascii="Times New Roman" w:eastAsia="Times New Roman" w:hAnsi="Times New Roman" w:cs="Times New Roman"/>
        </w:rPr>
        <w:t>4</w:t>
      </w:r>
      <w:r w:rsidRPr="009B0448">
        <w:rPr>
          <w:rFonts w:ascii="Times New Roman" w:eastAsia="Times New Roman" w:hAnsi="Times New Roman" w:cs="Times New Roman"/>
        </w:rPr>
        <w:t xml:space="preserve">) can be found under the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archetype despite the continued use of fossil fuel based energy sources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oil, gas and coal). Here, climate mitigation measures are reactionary and happen too late as society responds by adapting to impacts of climate change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decreasing air quality) rather than reducing emissions early (MA, 2005).</w:t>
      </w:r>
    </w:p>
    <w:p w14:paraId="658A9114" w14:textId="77777777" w:rsidR="009A06F7" w:rsidRPr="009B0448" w:rsidRDefault="009A06F7" w:rsidP="009A06F7">
      <w:pPr>
        <w:spacing w:line="276" w:lineRule="auto"/>
        <w:jc w:val="both"/>
        <w:rPr>
          <w:rFonts w:ascii="Times New Roman" w:eastAsia="Times New Roman" w:hAnsi="Times New Roman" w:cs="Times New Roman"/>
        </w:rPr>
      </w:pPr>
    </w:p>
    <w:p w14:paraId="38C85573" w14:textId="479E8789"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Under the </w:t>
      </w:r>
      <w:r w:rsidRPr="009B0448">
        <w:rPr>
          <w:rFonts w:ascii="Times New Roman" w:eastAsia="Times New Roman" w:hAnsi="Times New Roman" w:cs="Times New Roman"/>
          <w:i/>
        </w:rPr>
        <w:t xml:space="preserve">Regional Sustainability </w:t>
      </w:r>
      <w:r w:rsidRPr="009B0448">
        <w:rPr>
          <w:rFonts w:ascii="Times New Roman" w:eastAsia="Times New Roman" w:hAnsi="Times New Roman" w:cs="Times New Roman"/>
        </w:rPr>
        <w:t>cluster of scenarios, a global agenda for sustainable development which includes a strong focus on climate mitigation is adopted. Yet, despite the adoption of a low emission scenario, reduced material usage and increased use of clean efficient technologies, temperature</w:t>
      </w:r>
      <w:r w:rsidR="00153219" w:rsidRPr="009B0448">
        <w:rPr>
          <w:rFonts w:ascii="Times New Roman" w:eastAsia="Times New Roman" w:hAnsi="Times New Roman" w:cs="Times New Roman"/>
        </w:rPr>
        <w:t>s</w:t>
      </w:r>
      <w:r w:rsidRPr="009B0448">
        <w:rPr>
          <w:rFonts w:ascii="Times New Roman" w:eastAsia="Times New Roman" w:hAnsi="Times New Roman" w:cs="Times New Roman"/>
        </w:rPr>
        <w:t xml:space="preserve"> are expected to increase between 1.1</w:t>
      </w:r>
      <w:r w:rsidR="00A6521A" w:rsidRPr="009B0448">
        <w:rPr>
          <w:rFonts w:ascii="Times New Roman" w:eastAsia="Times New Roman" w:hAnsi="Times New Roman" w:cs="Times New Roman"/>
        </w:rPr>
        <w:t>ºC</w:t>
      </w:r>
      <w:r w:rsidRPr="009B0448">
        <w:rPr>
          <w:rFonts w:ascii="Times New Roman" w:eastAsia="Times New Roman" w:hAnsi="Times New Roman" w:cs="Times New Roman"/>
        </w:rPr>
        <w:t xml:space="preserve"> and 2.6</w:t>
      </w:r>
      <w:r w:rsidR="00A6521A" w:rsidRPr="009B0448">
        <w:rPr>
          <w:rFonts w:ascii="Times New Roman" w:eastAsia="Times New Roman" w:hAnsi="Times New Roman" w:cs="Times New Roman"/>
        </w:rPr>
        <w:t>ºC</w:t>
      </w:r>
      <w:r w:rsidRPr="009B0448">
        <w:rPr>
          <w:rFonts w:ascii="Times New Roman" w:eastAsia="Times New Roman" w:hAnsi="Times New Roman" w:cs="Times New Roman"/>
        </w:rPr>
        <w:t xml:space="preserve"> (RCP 4.5, </w:t>
      </w:r>
      <w:r w:rsidR="000A70BC" w:rsidRPr="009B0448">
        <w:rPr>
          <w:rFonts w:ascii="Times New Roman" w:eastAsia="Times New Roman" w:hAnsi="Times New Roman" w:cs="Times New Roman"/>
        </w:rPr>
        <w:t xml:space="preserve">Niang </w:t>
      </w:r>
      <w:r w:rsidR="000429F8" w:rsidRPr="009B0448">
        <w:rPr>
          <w:rFonts w:ascii="Times New Roman" w:eastAsia="Times New Roman" w:hAnsi="Times New Roman" w:cs="Times New Roman"/>
          <w:i/>
        </w:rPr>
        <w:t>et al.</w:t>
      </w:r>
      <w:r w:rsidR="000A70BC" w:rsidRPr="009B0448">
        <w:rPr>
          <w:rFonts w:ascii="Times New Roman" w:eastAsia="Times New Roman" w:hAnsi="Times New Roman" w:cs="Times New Roman"/>
        </w:rPr>
        <w:t>, 201</w:t>
      </w:r>
      <w:r w:rsidR="004711C0" w:rsidRPr="009B0448">
        <w:rPr>
          <w:rFonts w:ascii="Times New Roman" w:eastAsia="Times New Roman" w:hAnsi="Times New Roman" w:cs="Times New Roman"/>
        </w:rPr>
        <w:t>4</w:t>
      </w:r>
      <w:r w:rsidRPr="009B0448">
        <w:rPr>
          <w:rFonts w:ascii="Times New Roman" w:eastAsia="Times New Roman" w:hAnsi="Times New Roman" w:cs="Times New Roman"/>
        </w:rPr>
        <w:t xml:space="preserve">). Under the </w:t>
      </w:r>
      <w:r w:rsidRPr="009B0448">
        <w:rPr>
          <w:rFonts w:ascii="Times New Roman" w:eastAsia="Times New Roman" w:hAnsi="Times New Roman" w:cs="Times New Roman"/>
          <w:i/>
        </w:rPr>
        <w:t xml:space="preserve">Local Sustainability </w:t>
      </w:r>
      <w:r w:rsidRPr="009B0448">
        <w:rPr>
          <w:rFonts w:ascii="Times New Roman" w:eastAsia="Times New Roman" w:hAnsi="Times New Roman" w:cs="Times New Roman"/>
        </w:rPr>
        <w:t>archetype de</w:t>
      </w:r>
      <w:r w:rsidR="00264EBF" w:rsidRPr="009B0448">
        <w:rPr>
          <w:rFonts w:ascii="Times New Roman" w:eastAsia="Times New Roman" w:hAnsi="Times New Roman" w:cs="Times New Roman"/>
        </w:rPr>
        <w:t>centralis</w:t>
      </w:r>
      <w:r w:rsidRPr="009B0448">
        <w:rPr>
          <w:rFonts w:ascii="Times New Roman" w:eastAsia="Times New Roman" w:hAnsi="Times New Roman" w:cs="Times New Roman"/>
        </w:rPr>
        <w:t>ed low carbon energy infrastructure is developed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micro-hydro, solar and wind). However, the timing of this adoption occurs in the latter half of the century as technology transfer is not as rapid as under the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archetype. This results in emissions peaking before they eventually decline, with an increase in temperatures ranging between 1.4</w:t>
      </w:r>
      <w:r w:rsidR="00A6521A" w:rsidRPr="009B0448">
        <w:rPr>
          <w:rFonts w:ascii="Times New Roman" w:eastAsia="Times New Roman" w:hAnsi="Times New Roman" w:cs="Times New Roman"/>
        </w:rPr>
        <w:t>ºC</w:t>
      </w:r>
      <w:r w:rsidRPr="009B0448">
        <w:rPr>
          <w:rFonts w:ascii="Times New Roman" w:eastAsia="Times New Roman" w:hAnsi="Times New Roman" w:cs="Times New Roman"/>
        </w:rPr>
        <w:t xml:space="preserve"> and 3.1</w:t>
      </w:r>
      <w:r w:rsidR="00A6521A" w:rsidRPr="009B0448">
        <w:rPr>
          <w:rFonts w:ascii="Times New Roman" w:eastAsia="Times New Roman" w:hAnsi="Times New Roman" w:cs="Times New Roman"/>
        </w:rPr>
        <w:t xml:space="preserve">ºC </w:t>
      </w:r>
      <w:r w:rsidRPr="009B0448">
        <w:rPr>
          <w:rFonts w:ascii="Times New Roman" w:eastAsia="Times New Roman" w:hAnsi="Times New Roman" w:cs="Times New Roman"/>
        </w:rPr>
        <w:t>(RCP 6</w:t>
      </w:r>
      <w:r w:rsidR="004711C0" w:rsidRPr="009B0448">
        <w:rPr>
          <w:rFonts w:ascii="Times New Roman" w:eastAsia="Times New Roman" w:hAnsi="Times New Roman" w:cs="Times New Roman"/>
        </w:rPr>
        <w:t xml:space="preserve">, Niang </w:t>
      </w:r>
      <w:r w:rsidR="000429F8" w:rsidRPr="009B0448">
        <w:rPr>
          <w:rFonts w:ascii="Times New Roman" w:eastAsia="Times New Roman" w:hAnsi="Times New Roman" w:cs="Times New Roman"/>
          <w:i/>
        </w:rPr>
        <w:t>et al.</w:t>
      </w:r>
      <w:r w:rsidR="004711C0" w:rsidRPr="009B0448">
        <w:rPr>
          <w:rFonts w:ascii="Times New Roman" w:eastAsia="Times New Roman" w:hAnsi="Times New Roman" w:cs="Times New Roman"/>
        </w:rPr>
        <w:t>, 2014</w:t>
      </w:r>
      <w:r w:rsidRPr="009B0448">
        <w:rPr>
          <w:rFonts w:ascii="Times New Roman" w:eastAsia="Times New Roman" w:hAnsi="Times New Roman" w:cs="Times New Roman"/>
        </w:rPr>
        <w:t>), enough to compound stresses on water resources and local agrarian initiatives (IPCC, 2014).</w:t>
      </w:r>
    </w:p>
    <w:p w14:paraId="7882DC77" w14:textId="0DB21319"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09" w:name="_1hmsyys" w:colFirst="0" w:colLast="0"/>
      <w:bookmarkStart w:id="410" w:name="_Toc519500013"/>
      <w:bookmarkEnd w:id="409"/>
      <w:r w:rsidRPr="009B0448">
        <w:rPr>
          <w:rFonts w:cs="Times New Roman"/>
          <w:i w:val="0"/>
          <w:sz w:val="22"/>
          <w:szCs w:val="22"/>
        </w:rPr>
        <w:t>Uncertainties, gaps and key research needs</w:t>
      </w:r>
      <w:bookmarkEnd w:id="410"/>
    </w:p>
    <w:p w14:paraId="20B37543" w14:textId="677FFD58" w:rsidR="00D0324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While most of the scenario studies agree on the direction of potential scenario drivers under particular archetypes (Table 5.3), not all studies indicate the same magnitude of change. This is due to differences in assumptions, as well as differences in the linkages between scenario storylines and models. Some studies have strong linkages between the scenario storylines and models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w:t>
      </w:r>
      <w:r w:rsidR="004711C0" w:rsidRPr="009B0448">
        <w:rPr>
          <w:rFonts w:ascii="Times New Roman" w:eastAsia="Times New Roman" w:hAnsi="Times New Roman" w:cs="Times New Roman"/>
        </w:rPr>
        <w:t>Nakicenovic, 2000; MA, 2005</w:t>
      </w:r>
      <w:r w:rsidRPr="009B0448">
        <w:rPr>
          <w:rFonts w:ascii="Times New Roman" w:eastAsia="Times New Roman" w:hAnsi="Times New Roman" w:cs="Times New Roman"/>
        </w:rPr>
        <w:t xml:space="preserve"> and IPCC assessments) while other studies are largely qualitative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WWF</w:t>
      </w:r>
      <w:r w:rsidR="004711C0" w:rsidRPr="009B0448">
        <w:rPr>
          <w:rFonts w:ascii="Times New Roman" w:eastAsia="Times New Roman" w:hAnsi="Times New Roman" w:cs="Times New Roman"/>
        </w:rPr>
        <w:t>-AfDB, 2015</w:t>
      </w:r>
      <w:r w:rsidRPr="009B0448">
        <w:rPr>
          <w:rFonts w:ascii="Times New Roman" w:eastAsia="Times New Roman" w:hAnsi="Times New Roman" w:cs="Times New Roman"/>
        </w:rPr>
        <w:t xml:space="preserve">). While more quantitative assessments can help check and refine narrative storylines, they may also constrain the potential outcomes to those based on current understanding of the relationships between key variables, such as consumption patterns and environmental impacts. </w:t>
      </w:r>
    </w:p>
    <w:p w14:paraId="3845B702" w14:textId="77777777" w:rsidR="009A06F7" w:rsidRPr="009B0448" w:rsidRDefault="009A06F7" w:rsidP="009A06F7">
      <w:pPr>
        <w:spacing w:line="276" w:lineRule="auto"/>
        <w:jc w:val="both"/>
        <w:rPr>
          <w:rFonts w:ascii="Times New Roman" w:eastAsia="Times New Roman" w:hAnsi="Times New Roman" w:cs="Times New Roman"/>
        </w:rPr>
      </w:pPr>
    </w:p>
    <w:p w14:paraId="649E7929" w14:textId="11EB2FA0"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Most of the assessments focus on a similar set of key drivers. In a comparison with Chapter 4, there are many drivers that have not been considered in scenarios of future development pathways across Africa. For example, there are a limited number of scenarios and models which consider drivers related to invasive species introductions, rapid migration due to conflicts and natural hazards, and land tenure issues linked to land and water grabbing, or scenarios that address the impacts of </w:t>
      </w:r>
      <w:r w:rsidR="00574E50" w:rsidRPr="009B0448">
        <w:rPr>
          <w:rFonts w:ascii="Times New Roman" w:eastAsia="Times New Roman" w:hAnsi="Times New Roman" w:cs="Times New Roman"/>
        </w:rPr>
        <w:t>urbanis</w:t>
      </w:r>
      <w:r w:rsidR="00C76378" w:rsidRPr="009B0448">
        <w:rPr>
          <w:rFonts w:ascii="Times New Roman" w:eastAsia="Times New Roman" w:hAnsi="Times New Roman" w:cs="Times New Roman"/>
        </w:rPr>
        <w:t>ation</w:t>
      </w:r>
      <w:r w:rsidRPr="009B0448">
        <w:rPr>
          <w:rFonts w:ascii="Times New Roman" w:eastAsia="Times New Roman" w:hAnsi="Times New Roman" w:cs="Times New Roman"/>
        </w:rPr>
        <w:t xml:space="preserve"> on energy demand, rates of charcoal consumption, sanitation needs, or pollution in Africa. The intensity and frequency of many of these underexplored drivers are likely to increase in the future and warrant further research and better incorporation into scenario studies. In addition, there are few scenarios that look at the compounding impacts of multiple drivers on the ability of social-ecological systems to provide ecosystem services (</w:t>
      </w:r>
      <w:r w:rsidR="00642805" w:rsidRPr="009B0448">
        <w:rPr>
          <w:rFonts w:ascii="Times New Roman" w:eastAsia="Times New Roman" w:hAnsi="Times New Roman" w:cs="Times New Roman"/>
        </w:rPr>
        <w:t xml:space="preserve">Adano </w:t>
      </w:r>
      <w:r w:rsidR="00642805" w:rsidRPr="009B0448">
        <w:rPr>
          <w:rFonts w:ascii="Times New Roman" w:eastAsia="Times New Roman" w:hAnsi="Times New Roman" w:cs="Times New Roman"/>
          <w:i/>
        </w:rPr>
        <w:t>et al.</w:t>
      </w:r>
      <w:r w:rsidR="00642805" w:rsidRPr="009B0448">
        <w:rPr>
          <w:rFonts w:ascii="Times New Roman" w:eastAsia="Times New Roman" w:hAnsi="Times New Roman" w:cs="Times New Roman"/>
        </w:rPr>
        <w:t>, 2011</w:t>
      </w:r>
      <w:r w:rsidRPr="009B0448">
        <w:rPr>
          <w:rFonts w:ascii="Times New Roman" w:eastAsia="Times New Roman" w:hAnsi="Times New Roman" w:cs="Times New Roman"/>
        </w:rPr>
        <w:t>).</w:t>
      </w:r>
    </w:p>
    <w:p w14:paraId="2E9B05CB" w14:textId="6E014B30" w:rsidR="00991066" w:rsidRPr="009B0448" w:rsidRDefault="00991066" w:rsidP="00FA7185">
      <w:pPr>
        <w:pStyle w:val="Heading3"/>
        <w:widowControl w:val="0"/>
        <w:numPr>
          <w:ilvl w:val="1"/>
          <w:numId w:val="11"/>
        </w:numPr>
        <w:spacing w:before="240" w:after="240"/>
        <w:ind w:left="709" w:hanging="720"/>
        <w:rPr>
          <w:rFonts w:eastAsia="Calibri" w:cs="Times New Roman"/>
          <w:szCs w:val="24"/>
        </w:rPr>
      </w:pPr>
      <w:bookmarkStart w:id="411" w:name="_41mghml" w:colFirst="0" w:colLast="0"/>
      <w:bookmarkStart w:id="412" w:name="_Toc519500014"/>
      <w:bookmarkEnd w:id="411"/>
      <w:r w:rsidRPr="009B0448">
        <w:rPr>
          <w:rFonts w:eastAsia="Calibri" w:cs="Times New Roman"/>
          <w:szCs w:val="24"/>
        </w:rPr>
        <w:t>Biodiversity and nature’s contributions to people</w:t>
      </w:r>
      <w:bookmarkEnd w:id="412"/>
    </w:p>
    <w:p w14:paraId="0C3A05CE" w14:textId="23B80DB8"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Of the major studies considered in Table 5.2, only the Millennium </w:t>
      </w:r>
      <w:r w:rsidR="00A54730" w:rsidRPr="009B0448">
        <w:rPr>
          <w:rFonts w:ascii="Times New Roman" w:eastAsia="Times New Roman" w:hAnsi="Times New Roman" w:cs="Times New Roman"/>
        </w:rPr>
        <w:t xml:space="preserve">Ecosystem </w:t>
      </w:r>
      <w:r w:rsidRPr="009B0448">
        <w:rPr>
          <w:rFonts w:ascii="Times New Roman" w:eastAsia="Times New Roman" w:hAnsi="Times New Roman" w:cs="Times New Roman"/>
        </w:rPr>
        <w:t>Assessment (MA, 2005) has provided primary analyses of the changes in biodiversity and ecosystem services as a function of possible future scenarios. The other core reports provide general observations about the likely consequences of the storylines for ecosystems (as detailed in Box 5.2), rather than specific analyses. This section therefore focuses on findings from the MA scenarios, interpreting them specifically for the African region, and complements this with primary analysis from the systematic literature review, and where possible, with additional information from the other core reports (</w:t>
      </w:r>
      <w:r w:rsidR="00BE107D"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BE107D" w:rsidRPr="009B0448">
        <w:rPr>
          <w:rFonts w:ascii="Times New Roman" w:eastAsia="Times New Roman" w:hAnsi="Times New Roman" w:cs="Times New Roman"/>
        </w:rPr>
        <w:t>, 2000;</w:t>
      </w:r>
      <w:r w:rsidRPr="009B0448">
        <w:rPr>
          <w:rFonts w:ascii="Times New Roman" w:eastAsia="Times New Roman" w:hAnsi="Times New Roman" w:cs="Times New Roman"/>
        </w:rPr>
        <w:t xml:space="preserve"> </w:t>
      </w:r>
      <w:r w:rsidR="00BE107D" w:rsidRPr="009B0448">
        <w:rPr>
          <w:rFonts w:ascii="Times New Roman" w:eastAsia="Times New Roman" w:hAnsi="Times New Roman" w:cs="Times New Roman"/>
        </w:rPr>
        <w:t xml:space="preserve">UNEP, 2007; Niang </w:t>
      </w:r>
      <w:r w:rsidR="000429F8" w:rsidRPr="009B0448">
        <w:rPr>
          <w:rFonts w:ascii="Times New Roman" w:eastAsia="Times New Roman" w:hAnsi="Times New Roman" w:cs="Times New Roman"/>
          <w:i/>
        </w:rPr>
        <w:t>et al.</w:t>
      </w:r>
      <w:r w:rsidR="002F1434" w:rsidRPr="009B0448">
        <w:rPr>
          <w:rFonts w:ascii="Times New Roman" w:eastAsia="Times New Roman" w:hAnsi="Times New Roman" w:cs="Times New Roman"/>
          <w:i/>
        </w:rPr>
        <w:t>,</w:t>
      </w:r>
      <w:r w:rsidR="00BE107D" w:rsidRPr="009B0448">
        <w:rPr>
          <w:rFonts w:ascii="Times New Roman" w:eastAsia="Times New Roman" w:hAnsi="Times New Roman" w:cs="Times New Roman"/>
        </w:rPr>
        <w:t xml:space="preserve"> 201</w:t>
      </w:r>
      <w:r w:rsidR="002F1434" w:rsidRPr="009B0448">
        <w:rPr>
          <w:rFonts w:ascii="Times New Roman" w:eastAsia="Times New Roman" w:hAnsi="Times New Roman" w:cs="Times New Roman"/>
        </w:rPr>
        <w:t>4</w:t>
      </w:r>
      <w:r w:rsidR="00BE107D" w:rsidRPr="009B0448">
        <w:rPr>
          <w:rFonts w:ascii="Times New Roman" w:eastAsia="Times New Roman" w:hAnsi="Times New Roman" w:cs="Times New Roman"/>
        </w:rPr>
        <w:t>;</w:t>
      </w:r>
      <w:r w:rsidRPr="009B0448">
        <w:rPr>
          <w:rFonts w:ascii="Times New Roman" w:eastAsia="Times New Roman" w:hAnsi="Times New Roman" w:cs="Times New Roman"/>
        </w:rPr>
        <w:t xml:space="preserve"> WWF</w:t>
      </w:r>
      <w:r w:rsidR="00BE107D" w:rsidRPr="009B0448">
        <w:rPr>
          <w:rFonts w:ascii="Times New Roman" w:eastAsia="Times New Roman" w:hAnsi="Times New Roman" w:cs="Times New Roman"/>
        </w:rPr>
        <w:t>-AfDB, 2015</w:t>
      </w:r>
      <w:r w:rsidRPr="009B0448">
        <w:rPr>
          <w:rFonts w:ascii="Times New Roman" w:eastAsia="Times New Roman" w:hAnsi="Times New Roman" w:cs="Times New Roman"/>
        </w:rPr>
        <w:t xml:space="preserve">). Findings are synthesized in terms of key ‘themes’ identified in the systematic review, and </w:t>
      </w:r>
      <w:r w:rsidR="000B06FE" w:rsidRPr="009B0448">
        <w:rPr>
          <w:rFonts w:ascii="Times New Roman" w:eastAsia="Times New Roman" w:hAnsi="Times New Roman" w:cs="Times New Roman"/>
        </w:rPr>
        <w:t>summarise</w:t>
      </w:r>
      <w:r w:rsidRPr="009B0448">
        <w:rPr>
          <w:rFonts w:ascii="Times New Roman" w:eastAsia="Times New Roman" w:hAnsi="Times New Roman" w:cs="Times New Roman"/>
        </w:rPr>
        <w:t xml:space="preserve">d in Table 5.4. </w:t>
      </w:r>
    </w:p>
    <w:p w14:paraId="752E62C9" w14:textId="77777777" w:rsidR="00D32AA1" w:rsidRPr="009B0448" w:rsidRDefault="00D32AA1" w:rsidP="00D32AA1">
      <w:pPr>
        <w:pStyle w:val="111"/>
        <w:numPr>
          <w:ilvl w:val="2"/>
          <w:numId w:val="11"/>
        </w:numPr>
        <w:spacing w:before="240" w:after="240"/>
        <w:ind w:left="709" w:hanging="720"/>
        <w:rPr>
          <w:rFonts w:cs="Times New Roman"/>
          <w:i w:val="0"/>
          <w:sz w:val="22"/>
          <w:szCs w:val="22"/>
        </w:rPr>
      </w:pPr>
      <w:bookmarkStart w:id="413" w:name="_Toc519500015"/>
      <w:r w:rsidRPr="009B0448">
        <w:rPr>
          <w:rFonts w:cs="Times New Roman"/>
          <w:i w:val="0"/>
          <w:sz w:val="22"/>
          <w:szCs w:val="22"/>
        </w:rPr>
        <w:t>Biodiversity: Habitat Loss</w:t>
      </w:r>
      <w:bookmarkEnd w:id="413"/>
    </w:p>
    <w:p w14:paraId="0F90BA93" w14:textId="007CE71A" w:rsidR="00D32AA1" w:rsidRPr="009B0448" w:rsidRDefault="00D32AA1" w:rsidP="00D32AA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Within the African context, the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archetype suggests far more severe habitat fragmentation with subsequent ecosystem loss and land degradation than the </w:t>
      </w:r>
      <w:r w:rsidRPr="009B0448">
        <w:rPr>
          <w:rFonts w:ascii="Times New Roman" w:eastAsia="Times New Roman" w:hAnsi="Times New Roman" w:cs="Times New Roman"/>
          <w:i/>
        </w:rPr>
        <w:t xml:space="preserve">Market Forces, Policy Reform, Regional Sustainability </w:t>
      </w:r>
      <w:r w:rsidRPr="009B0448">
        <w:rPr>
          <w:rFonts w:ascii="Times New Roman" w:eastAsia="Times New Roman" w:hAnsi="Times New Roman" w:cs="Times New Roman"/>
        </w:rPr>
        <w:t xml:space="preserve">or </w:t>
      </w:r>
      <w:r w:rsidRPr="009B0448">
        <w:rPr>
          <w:rFonts w:ascii="Times New Roman" w:eastAsia="Times New Roman" w:hAnsi="Times New Roman" w:cs="Times New Roman"/>
          <w:i/>
        </w:rPr>
        <w:t xml:space="preserve">Local Sustainability </w:t>
      </w:r>
      <w:r w:rsidRPr="009B0448">
        <w:rPr>
          <w:rFonts w:ascii="Times New Roman" w:eastAsia="Times New Roman" w:hAnsi="Times New Roman" w:cs="Times New Roman"/>
        </w:rPr>
        <w:t xml:space="preserve">archetypes. The MA predicts global habitat losses of 20% by 2050 under its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equivalent, (‘Order from Strength’), with warm mixed forests and savannas</w:t>
      </w:r>
      <w:r w:rsidR="00084829">
        <w:rPr>
          <w:rFonts w:ascii="Times New Roman" w:eastAsia="Times New Roman" w:hAnsi="Times New Roman" w:cs="Times New Roman"/>
        </w:rPr>
        <w:t>—</w:t>
      </w:r>
      <w:r w:rsidRPr="009B0448">
        <w:rPr>
          <w:rFonts w:ascii="Times New Roman" w:eastAsia="Times New Roman" w:hAnsi="Times New Roman" w:cs="Times New Roman"/>
        </w:rPr>
        <w:t>typically found in Africa</w:t>
      </w:r>
      <w:r w:rsidR="00084829">
        <w:rPr>
          <w:rFonts w:ascii="Times New Roman" w:eastAsia="Times New Roman" w:hAnsi="Times New Roman" w:cs="Times New Roman"/>
        </w:rPr>
        <w:t>—</w:t>
      </w:r>
      <w:r w:rsidRPr="009B0448">
        <w:rPr>
          <w:rFonts w:ascii="Times New Roman" w:eastAsia="Times New Roman" w:hAnsi="Times New Roman" w:cs="Times New Roman"/>
        </w:rPr>
        <w:t xml:space="preserve">suffering the largest losses (MA, 2005). In contrast, both the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archetypes (‘Global Orchestration’ and ‘Adapting Mosaic’ under the MA scenarios), yield intermediate habitat losses. The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has the lowest percentage habitat loss (13%) (MA, 2005), declining deforestation rates by 2050 (Alcamo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and biodiversity change is comparably lower than under other scenario archetypes (Biggs </w:t>
      </w:r>
      <w:r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w:t>
      </w:r>
    </w:p>
    <w:p w14:paraId="47CE5164" w14:textId="77777777" w:rsidR="004031E1" w:rsidRPr="009B0448" w:rsidRDefault="004031E1" w:rsidP="009A06F7">
      <w:pPr>
        <w:spacing w:line="276" w:lineRule="auto"/>
        <w:jc w:val="both"/>
        <w:rPr>
          <w:rFonts w:ascii="Times New Roman" w:eastAsia="Times New Roman" w:hAnsi="Times New Roman" w:cs="Times New Roman"/>
        </w:rPr>
      </w:pPr>
    </w:p>
    <w:p w14:paraId="7867B5C0" w14:textId="77777777" w:rsidR="00D32AA1" w:rsidRDefault="00D32AA1">
      <w:pPr>
        <w:rPr>
          <w:rFonts w:ascii="Times New Roman" w:eastAsia="Times New Roman" w:hAnsi="Times New Roman" w:cs="Times New Roman"/>
          <w:b/>
        </w:rPr>
      </w:pPr>
      <w:r>
        <w:rPr>
          <w:rFonts w:ascii="Times New Roman" w:eastAsia="Times New Roman" w:hAnsi="Times New Roman" w:cs="Times New Roman"/>
          <w:b/>
        </w:rPr>
        <w:br w:type="page"/>
      </w:r>
    </w:p>
    <w:p w14:paraId="5034FB10" w14:textId="6A7DD52B" w:rsidR="004031E1"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Table 5.4:</w:t>
      </w:r>
      <w:r w:rsidRPr="009B0448">
        <w:rPr>
          <w:rFonts w:ascii="Times New Roman" w:eastAsia="Times New Roman" w:hAnsi="Times New Roman" w:cs="Times New Roman"/>
        </w:rPr>
        <w:t xml:space="preserve"> </w:t>
      </w:r>
      <w:r w:rsidR="00C6759D" w:rsidRPr="009B0448">
        <w:rPr>
          <w:rFonts w:ascii="Times New Roman" w:eastAsia="Times New Roman" w:hAnsi="Times New Roman" w:cs="Times New Roman"/>
        </w:rPr>
        <w:t>Summary of the relative trajectories of biodiversity and nature’s contributions to people (NCP) effects across different archetypes. Arrows indicate an increase (</w:t>
      </w:r>
      <w:r w:rsidR="00C6759D" w:rsidRPr="009B0448">
        <w:rPr>
          <w:rFonts w:ascii="Cambria Math" w:eastAsia="Times New Roman" w:hAnsi="Cambria Math" w:cs="Cambria Math"/>
        </w:rPr>
        <w:t>↗</w:t>
      </w:r>
      <w:r w:rsidR="00C6759D" w:rsidRPr="009B0448">
        <w:rPr>
          <w:rFonts w:ascii="Times New Roman" w:eastAsia="Times New Roman" w:hAnsi="Times New Roman" w:cs="Times New Roman"/>
        </w:rPr>
        <w:t>), decrease (</w:t>
      </w:r>
      <w:r w:rsidR="00C6759D" w:rsidRPr="009B0448">
        <w:rPr>
          <w:rFonts w:ascii="Cambria Math" w:eastAsia="Times New Roman" w:hAnsi="Cambria Math" w:cs="Cambria Math"/>
        </w:rPr>
        <w:t>↘</w:t>
      </w:r>
      <w:r w:rsidR="00C6759D" w:rsidRPr="009B0448">
        <w:rPr>
          <w:rFonts w:ascii="Times New Roman" w:eastAsia="Times New Roman" w:hAnsi="Times New Roman" w:cs="Times New Roman"/>
        </w:rPr>
        <w:t>), or no change (→) in biodiversity and ecosystem function under each scenario type. Within a cell, arrows represent the main scenario reports in the following order: IPCC; MA; GEO4; WWF/GEO6. If a report does not cover an archetype, this is symboli</w:t>
      </w:r>
      <w:r w:rsidR="00267D79" w:rsidRPr="009B0448">
        <w:rPr>
          <w:rFonts w:ascii="Times New Roman" w:eastAsia="Times New Roman" w:hAnsi="Times New Roman" w:cs="Times New Roman"/>
        </w:rPr>
        <w:t>s</w:t>
      </w:r>
      <w:r w:rsidR="00C6759D" w:rsidRPr="009B0448">
        <w:rPr>
          <w:rFonts w:ascii="Times New Roman" w:eastAsia="Times New Roman" w:hAnsi="Times New Roman" w:cs="Times New Roman"/>
        </w:rPr>
        <w:t xml:space="preserve">ed by ‘0’, whilst if a report does not explicitly address a specific element, this is indicated by an ‘X’, or a ‘?’ to indicate knowledge gaps and uncertainties around assessment for Africa. The colour of the cell indicates the overall trend across the reports, where green indicates </w:t>
      </w:r>
      <w:r w:rsidR="00153219" w:rsidRPr="009B0448">
        <w:rPr>
          <w:rFonts w:ascii="Times New Roman" w:eastAsia="Times New Roman" w:hAnsi="Times New Roman" w:cs="Times New Roman"/>
        </w:rPr>
        <w:t xml:space="preserve">an </w:t>
      </w:r>
      <w:r w:rsidR="00C6759D" w:rsidRPr="009B0448">
        <w:rPr>
          <w:rFonts w:ascii="Times New Roman" w:eastAsia="Times New Roman" w:hAnsi="Times New Roman" w:cs="Times New Roman"/>
        </w:rPr>
        <w:t xml:space="preserve">overall increase, orange indicates overall decrease, </w:t>
      </w:r>
      <w:r w:rsidR="00D4358E" w:rsidRPr="009B0448">
        <w:rPr>
          <w:rFonts w:ascii="Times New Roman" w:eastAsia="Times New Roman" w:hAnsi="Times New Roman" w:cs="Times New Roman"/>
        </w:rPr>
        <w:t>purple</w:t>
      </w:r>
      <w:r w:rsidR="00C6759D" w:rsidRPr="009B0448">
        <w:rPr>
          <w:rFonts w:ascii="Times New Roman" w:eastAsia="Times New Roman" w:hAnsi="Times New Roman" w:cs="Times New Roman"/>
        </w:rPr>
        <w:t xml:space="preserve"> indicates contradictory trends, and no colour indicates no overall change or unknown effects.</w:t>
      </w:r>
    </w:p>
    <w:p w14:paraId="5BDAA681" w14:textId="1B907AB8" w:rsidR="00991066" w:rsidRPr="009B0448" w:rsidRDefault="00991066" w:rsidP="009A06F7">
      <w:pPr>
        <w:spacing w:line="276" w:lineRule="auto"/>
        <w:jc w:val="both"/>
        <w:rPr>
          <w:rFonts w:ascii="Times New Roman" w:eastAsia="Times New Roman" w:hAnsi="Times New Roman" w:cs="Times New Roman"/>
          <w:sz w:val="20"/>
          <w:szCs w:val="20"/>
        </w:rPr>
      </w:pPr>
      <w:r w:rsidRPr="009B0448">
        <w:rPr>
          <w:rFonts w:ascii="Times New Roman" w:eastAsia="Times New Roman" w:hAnsi="Times New Roman" w:cs="Times New Roman"/>
          <w:noProof/>
          <w:sz w:val="20"/>
          <w:szCs w:val="20"/>
          <w:lang w:eastAsia="en-GB"/>
        </w:rPr>
        <w:drawing>
          <wp:inline distT="114300" distB="114300" distL="114300" distR="114300" wp14:anchorId="0DFAE4EB" wp14:editId="0D20BE89">
            <wp:extent cx="5707380" cy="5676900"/>
            <wp:effectExtent l="0" t="0" r="7620" b="0"/>
            <wp:docPr id="25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82">
                      <a:extLst>
                        <a:ext uri="{28A0092B-C50C-407E-A947-70E740481C1C}">
                          <a14:useLocalDpi xmlns:a14="http://schemas.microsoft.com/office/drawing/2010/main" val="0"/>
                        </a:ext>
                      </a:extLst>
                    </a:blip>
                    <a:stretch>
                      <a:fillRect/>
                    </a:stretch>
                  </pic:blipFill>
                  <pic:spPr bwMode="auto">
                    <a:xfrm>
                      <a:off x="0" y="0"/>
                      <a:ext cx="5707985" cy="5677502"/>
                    </a:xfrm>
                    <a:prstGeom prst="rect">
                      <a:avLst/>
                    </a:prstGeom>
                    <a:ln>
                      <a:noFill/>
                    </a:ln>
                    <a:extLst>
                      <a:ext uri="{53640926-AAD7-44D8-BBD7-CCE9431645EC}">
                        <a14:shadowObscured xmlns:a14="http://schemas.microsoft.com/office/drawing/2010/main"/>
                      </a:ext>
                    </a:extLst>
                  </pic:spPr>
                </pic:pic>
              </a:graphicData>
            </a:graphic>
          </wp:inline>
        </w:drawing>
      </w:r>
    </w:p>
    <w:p w14:paraId="2FA55F6C" w14:textId="77777777" w:rsidR="004031E1" w:rsidRPr="009B0448" w:rsidRDefault="004031E1" w:rsidP="009A06F7">
      <w:pPr>
        <w:spacing w:line="276" w:lineRule="auto"/>
        <w:jc w:val="both"/>
        <w:rPr>
          <w:rFonts w:ascii="Times New Roman" w:eastAsia="Times New Roman" w:hAnsi="Times New Roman" w:cs="Times New Roman"/>
        </w:rPr>
      </w:pPr>
      <w:bookmarkStart w:id="414" w:name="_2grqrue" w:colFirst="0" w:colLast="0"/>
      <w:bookmarkEnd w:id="414"/>
    </w:p>
    <w:p w14:paraId="548155EB" w14:textId="24241E16"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Africa’s warm mixed forests, savanna biomes across the continent, and the broadleaf tree cover of tropical Africa, are most at risk of transformation (MA, 2005; Hua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Betts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Modelling studies indicate that under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habitat losses of ~27% may occur across tropical Africa alone, with the Congo forests contracting and fragmenting (most pronounced in Cameroon, Central African Republic, Guinea, Gabon and Uganda) and predictions of up to 76.6% and 96.7% losses in the Guinean forest block and African dry forests respectively (Aleman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In southern Africa, specifically Angola and Zambia, land transformation is more pronounced under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than under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(Biggs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2008), despite the two archetypes having similar ‘intermediate’ levels of habitat loss globally (MA, 2005). Furthermore, southern Africa shows potential losses of up to 65% of sensitive Fynbos and Succulent Karoo biomes under exacerbated climate change projections using bioclimatic appro</w:t>
      </w:r>
      <w:r w:rsidR="004031E1" w:rsidRPr="009B0448">
        <w:rPr>
          <w:rFonts w:ascii="Times New Roman" w:eastAsia="Times New Roman" w:hAnsi="Times New Roman" w:cs="Times New Roman"/>
        </w:rPr>
        <w:t xml:space="preserve">ach (Rutherford </w:t>
      </w:r>
      <w:r w:rsidR="000429F8" w:rsidRPr="009B0448">
        <w:rPr>
          <w:rFonts w:ascii="Times New Roman" w:eastAsia="Times New Roman" w:hAnsi="Times New Roman" w:cs="Times New Roman"/>
          <w:i/>
        </w:rPr>
        <w:t>et al.</w:t>
      </w:r>
      <w:r w:rsidR="004031E1" w:rsidRPr="009B0448">
        <w:rPr>
          <w:rFonts w:ascii="Times New Roman" w:eastAsia="Times New Roman" w:hAnsi="Times New Roman" w:cs="Times New Roman"/>
        </w:rPr>
        <w:t xml:space="preserve">, 2000). </w:t>
      </w:r>
      <w:r w:rsidRPr="009B0448">
        <w:rPr>
          <w:rFonts w:ascii="Times New Roman" w:eastAsia="Times New Roman" w:hAnsi="Times New Roman" w:cs="Times New Roman"/>
        </w:rPr>
        <w:t xml:space="preserve">Structural ecosystem change involving both increases and decreases in woody plant cover in South Africa savannas are also expected (Midgley </w:t>
      </w:r>
      <w:r w:rsidR="00281933"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w:t>
      </w:r>
    </w:p>
    <w:p w14:paraId="764A8AB9" w14:textId="77777777" w:rsidR="004031E1" w:rsidRPr="009B0448" w:rsidRDefault="004031E1" w:rsidP="009A06F7">
      <w:pPr>
        <w:spacing w:line="276" w:lineRule="auto"/>
        <w:jc w:val="both"/>
        <w:rPr>
          <w:rFonts w:ascii="Times New Roman" w:eastAsia="Times New Roman" w:hAnsi="Times New Roman" w:cs="Times New Roman"/>
        </w:rPr>
      </w:pPr>
    </w:p>
    <w:p w14:paraId="00C9EB52" w14:textId="51379AB5"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There is some evidence that, regardless of the archetype, habitat loss through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change may have more severe consequence in the </w:t>
      </w:r>
      <w:r w:rsidR="000B06FE" w:rsidRPr="009B0448">
        <w:rPr>
          <w:rFonts w:ascii="Times New Roman" w:eastAsia="Times New Roman" w:hAnsi="Times New Roman" w:cs="Times New Roman"/>
        </w:rPr>
        <w:t>short-term</w:t>
      </w:r>
      <w:r w:rsidRPr="009B0448">
        <w:rPr>
          <w:rFonts w:ascii="Times New Roman" w:eastAsia="Times New Roman" w:hAnsi="Times New Roman" w:cs="Times New Roman"/>
        </w:rPr>
        <w:t xml:space="preserve"> than a changing climate. Analysis of climate and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change scenarios by Jetz </w:t>
      </w:r>
      <w:r w:rsidR="000429F8" w:rsidRPr="009B0448">
        <w:rPr>
          <w:rFonts w:ascii="Times New Roman" w:eastAsia="Times New Roman" w:hAnsi="Times New Roman" w:cs="Times New Roman"/>
          <w:i/>
        </w:rPr>
        <w:t>et al.</w:t>
      </w:r>
      <w:r w:rsidR="00DD78A7" w:rsidRPr="009B0448">
        <w:rPr>
          <w:rFonts w:ascii="Times New Roman" w:eastAsia="Times New Roman" w:hAnsi="Times New Roman" w:cs="Times New Roman"/>
        </w:rPr>
        <w:t xml:space="preserve"> (2007</w:t>
      </w:r>
      <w:r w:rsidRPr="009B0448">
        <w:rPr>
          <w:rFonts w:ascii="Times New Roman" w:eastAsia="Times New Roman" w:hAnsi="Times New Roman" w:cs="Times New Roman"/>
        </w:rPr>
        <w:t xml:space="preserve">) indicate that projected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change will contribute the most to the future decline in bird populations globally, with West Africa being among the areas of greatest concern. This is particularly apparent for the coral reefs along the coast of Madagascar, where changes in sediment supply to the reefs associated with climate effects is outweighed by the effect of deforestation, regardless of the scenario (Maina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A similar effect is evident for forests and savannas across sub-Saharan Africa, where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change effects are more significant than changing precipitation by 2070 under both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 xml:space="preserve">Policy Reform </w:t>
      </w:r>
      <w:r w:rsidRPr="009B0448">
        <w:rPr>
          <w:rFonts w:ascii="Times New Roman" w:eastAsia="Times New Roman" w:hAnsi="Times New Roman" w:cs="Times New Roman"/>
        </w:rPr>
        <w:t xml:space="preserve">(Aleman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These findings highlight the need for sustainable land-use choices along with effective climate mitigation and adaptation measures to ensure </w:t>
      </w:r>
      <w:r w:rsidR="00153219" w:rsidRPr="009B0448">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long-term persistence of biodiversity. Maina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demonstrate how scenarios can be used in conjunction with habitat mapping and climate models to determine appropriate future marine resource conservation strategies (see Box 5.4).</w:t>
      </w:r>
    </w:p>
    <w:p w14:paraId="7F5C2C51" w14:textId="77777777" w:rsidR="004031E1" w:rsidRPr="009B0448" w:rsidRDefault="004031E1" w:rsidP="009A06F7">
      <w:pPr>
        <w:spacing w:line="276" w:lineRule="auto"/>
        <w:jc w:val="both"/>
        <w:rPr>
          <w:rFonts w:ascii="Times New Roman" w:eastAsia="Times New Roman" w:hAnsi="Times New Roman" w:cs="Times New Roman"/>
        </w:rPr>
      </w:pPr>
    </w:p>
    <w:p w14:paraId="3C3A58B3" w14:textId="77777777" w:rsidR="00824885" w:rsidRDefault="00991066" w:rsidP="00A23BDB">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terms of aquatic ecosystems, total anthropogenic water use may increase by as much as 170% across Africa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scenarios, pointing to higher levels of water re-use under this archetype (Wei</w:t>
      </w:r>
      <w:r w:rsidR="00562EFE" w:rsidRPr="009B0448">
        <w:rPr>
          <w:rFonts w:ascii="Times New Roman" w:eastAsia="Times New Roman" w:hAnsi="Times New Roman" w:cs="Times New Roman"/>
          <w:lang w:val="en-ZA" w:eastAsia="en-GB"/>
        </w:rPr>
        <w:t>ß</w:t>
      </w:r>
      <w:r w:rsidRPr="009B0448">
        <w:rPr>
          <w:rFonts w:ascii="Times New Roman" w:eastAsia="Times New Roman" w:hAnsi="Times New Roman" w:cs="Times New Roman"/>
        </w:rPr>
        <w:t xml:space="preserv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and deteriorating water quality (van Vliet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with severe consequences for the functionality of aquatic ecosystems, particularly wetland systems (Todd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Milzow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2009; Wei</w:t>
      </w:r>
      <w:r w:rsidR="00562EFE" w:rsidRPr="009B0448">
        <w:rPr>
          <w:rFonts w:ascii="Times New Roman" w:eastAsia="Times New Roman" w:hAnsi="Times New Roman" w:cs="Times New Roman"/>
          <w:lang w:val="en-ZA" w:eastAsia="en-GB"/>
        </w:rPr>
        <w:t>ß</w:t>
      </w:r>
      <w:r w:rsidRPr="009B0448">
        <w:rPr>
          <w:rFonts w:ascii="Times New Roman" w:eastAsia="Times New Roman" w:hAnsi="Times New Roman" w:cs="Times New Roman"/>
        </w:rPr>
        <w:t xml:space="preserv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van Vliet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 The Senegal River, Limpopo River, White Nile River, and Shebelle River basins all become categorised as ‘severe water stress[-ed]’ under this archetype, and the wetlands north of Lake Victoria become severely compromised, and are likely to become endangered by 2050 (Wei</w:t>
      </w:r>
      <w:r w:rsidR="00562EFE" w:rsidRPr="009B0448">
        <w:rPr>
          <w:rFonts w:ascii="Times New Roman" w:eastAsia="Times New Roman" w:hAnsi="Times New Roman" w:cs="Times New Roman"/>
          <w:lang w:val="en-ZA" w:eastAsia="en-GB"/>
        </w:rPr>
        <w:t>ß</w:t>
      </w:r>
      <w:r w:rsidRPr="009B0448">
        <w:rPr>
          <w:rFonts w:ascii="Times New Roman" w:eastAsia="Times New Roman" w:hAnsi="Times New Roman" w:cs="Times New Roman"/>
        </w:rPr>
        <w:t xml:space="preserv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The functionality of the Okavango Delta is at severe risk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with impacts most pronounced for minimum monthly flows. Reductions in minimum flow of 27% (2050–79) and 36% (2070–99) are predicted (compared to predictions of 20% (2050–79) and 29% (2070–99) under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effectively decreasing its functional size as woody plant species colonise the emergent dry areas (Todd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However, the contraction of the wetland is not homogenous across the Delta (regardless of the scenario), and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the central wetlands and Lake Ngami (south) are most severely affected, while changes to minimum flooding thresholds result in the Selinda Spillway (north-east) no longer being functional by 2099 (Milzow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w:t>
      </w:r>
    </w:p>
    <w:p w14:paraId="34546F41" w14:textId="77777777" w:rsidR="00D32AA1" w:rsidRPr="009B0448" w:rsidRDefault="00D32AA1" w:rsidP="00D32AA1">
      <w:pPr>
        <w:pStyle w:val="111"/>
        <w:numPr>
          <w:ilvl w:val="2"/>
          <w:numId w:val="11"/>
        </w:numPr>
        <w:spacing w:before="240" w:after="240"/>
        <w:ind w:left="709" w:hanging="720"/>
        <w:rPr>
          <w:rFonts w:cs="Times New Roman"/>
          <w:i w:val="0"/>
          <w:sz w:val="22"/>
          <w:szCs w:val="22"/>
        </w:rPr>
      </w:pPr>
      <w:bookmarkStart w:id="415" w:name="_Toc519500016"/>
      <w:r w:rsidRPr="009B0448">
        <w:rPr>
          <w:rFonts w:cs="Times New Roman"/>
          <w:i w:val="0"/>
          <w:sz w:val="22"/>
          <w:szCs w:val="22"/>
        </w:rPr>
        <w:t>Biodiversity: Species range shifts</w:t>
      </w:r>
      <w:bookmarkEnd w:id="415"/>
    </w:p>
    <w:p w14:paraId="263CEA28" w14:textId="77777777" w:rsidR="00D32AA1" w:rsidRPr="009B0448" w:rsidRDefault="00D32AA1" w:rsidP="00D32AA1">
      <w:pPr>
        <w:spacing w:line="276" w:lineRule="auto"/>
        <w:jc w:val="both"/>
        <w:rPr>
          <w:rFonts w:ascii="Times New Roman" w:eastAsia="Times New Roman" w:hAnsi="Times New Roman" w:cs="Times New Roman"/>
          <w:color w:val="000000" w:themeColor="text1"/>
        </w:rPr>
      </w:pPr>
      <w:r w:rsidRPr="009B0448">
        <w:rPr>
          <w:rFonts w:ascii="Times New Roman" w:eastAsia="Times New Roman" w:hAnsi="Times New Roman" w:cs="Times New Roman"/>
          <w:color w:val="000000" w:themeColor="text1"/>
        </w:rPr>
        <w:t xml:space="preserve">Under all scenario archetypes, there are increasing numbers of climate-affected ecosystems over time; only in the </w:t>
      </w:r>
      <w:r w:rsidRPr="009B0448">
        <w:rPr>
          <w:rFonts w:ascii="Times New Roman" w:eastAsia="Times New Roman" w:hAnsi="Times New Roman" w:cs="Times New Roman"/>
          <w:i/>
          <w:color w:val="000000" w:themeColor="text1"/>
        </w:rPr>
        <w:t>Regional Sustainability</w:t>
      </w:r>
      <w:r w:rsidRPr="009B0448">
        <w:rPr>
          <w:rFonts w:ascii="Times New Roman" w:eastAsia="Times New Roman" w:hAnsi="Times New Roman" w:cs="Times New Roman"/>
          <w:color w:val="000000" w:themeColor="text1"/>
        </w:rPr>
        <w:t xml:space="preserve"> does the number of habitats affected decrease after 2050 (in the absence of adaptation) due to greenhouse gases stabilising, and slowing temperature change (MA, 2005; WWF-AfDB, 2015; Belle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2016). The effects on species ranges and richness are more pronounced under higher emission scenarios globally (IPCC, 2014), i.e.</w:t>
      </w:r>
      <w:r>
        <w:rPr>
          <w:rFonts w:ascii="Times New Roman" w:eastAsia="Times New Roman" w:hAnsi="Times New Roman" w:cs="Times New Roman"/>
          <w:color w:val="000000" w:themeColor="text1"/>
        </w:rPr>
        <w:t>,</w:t>
      </w:r>
      <w:r w:rsidRPr="009B0448">
        <w:rPr>
          <w:rFonts w:ascii="Times New Roman" w:eastAsia="Times New Roman" w:hAnsi="Times New Roman" w:cs="Times New Roman"/>
          <w:i/>
          <w:color w:val="000000" w:themeColor="text1"/>
        </w:rPr>
        <w:t xml:space="preserve"> Regional Sustainability</w:t>
      </w:r>
      <w:r w:rsidRPr="009B0448">
        <w:rPr>
          <w:rFonts w:ascii="Times New Roman" w:eastAsia="Times New Roman" w:hAnsi="Times New Roman" w:cs="Times New Roman"/>
          <w:color w:val="000000" w:themeColor="text1"/>
        </w:rPr>
        <w:t xml:space="preserve"> (~ RCP 4.5, Niang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2014) &lt; </w:t>
      </w:r>
      <w:r w:rsidRPr="009B0448">
        <w:rPr>
          <w:rFonts w:ascii="Times New Roman" w:eastAsia="Times New Roman" w:hAnsi="Times New Roman" w:cs="Times New Roman"/>
          <w:i/>
          <w:color w:val="000000" w:themeColor="text1"/>
        </w:rPr>
        <w:t>Local Sustainability</w:t>
      </w:r>
      <w:r w:rsidRPr="009B0448">
        <w:rPr>
          <w:rFonts w:ascii="Times New Roman" w:eastAsia="Times New Roman" w:hAnsi="Times New Roman" w:cs="Times New Roman"/>
          <w:color w:val="000000" w:themeColor="text1"/>
        </w:rPr>
        <w:t xml:space="preserve"> (~RCP 6.0, Niang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2014) &lt; </w:t>
      </w:r>
      <w:r w:rsidRPr="009B0448">
        <w:rPr>
          <w:rFonts w:ascii="Times New Roman" w:eastAsia="Times New Roman" w:hAnsi="Times New Roman" w:cs="Times New Roman"/>
          <w:i/>
          <w:color w:val="000000" w:themeColor="text1"/>
        </w:rPr>
        <w:t>Market Forces</w:t>
      </w:r>
      <w:r w:rsidRPr="009B0448">
        <w:rPr>
          <w:rFonts w:ascii="Times New Roman" w:eastAsia="Times New Roman" w:hAnsi="Times New Roman" w:cs="Times New Roman"/>
          <w:color w:val="000000" w:themeColor="text1"/>
        </w:rPr>
        <w:t xml:space="preserve"> and </w:t>
      </w:r>
      <w:r w:rsidRPr="009B0448">
        <w:rPr>
          <w:rFonts w:ascii="Times New Roman" w:eastAsia="Times New Roman" w:hAnsi="Times New Roman" w:cs="Times New Roman"/>
          <w:i/>
          <w:color w:val="000000" w:themeColor="text1"/>
        </w:rPr>
        <w:t>Fortress World</w:t>
      </w:r>
      <w:r w:rsidRPr="009B0448">
        <w:rPr>
          <w:rFonts w:ascii="Times New Roman" w:eastAsia="Times New Roman" w:hAnsi="Times New Roman" w:cs="Times New Roman"/>
          <w:color w:val="000000" w:themeColor="text1"/>
        </w:rPr>
        <w:t xml:space="preserve"> (~RCP 8.5, Niang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2014). Similar patterns hold at the African level, with the </w:t>
      </w:r>
      <w:r w:rsidRPr="009B0448">
        <w:rPr>
          <w:rFonts w:ascii="Times New Roman" w:eastAsia="Times New Roman" w:hAnsi="Times New Roman" w:cs="Times New Roman"/>
          <w:i/>
          <w:color w:val="000000" w:themeColor="text1"/>
        </w:rPr>
        <w:t>Local Sustainability</w:t>
      </w:r>
      <w:r w:rsidRPr="009B0448">
        <w:rPr>
          <w:rFonts w:ascii="Times New Roman" w:eastAsia="Times New Roman" w:hAnsi="Times New Roman" w:cs="Times New Roman"/>
          <w:color w:val="000000" w:themeColor="text1"/>
        </w:rPr>
        <w:t xml:space="preserve"> and </w:t>
      </w:r>
      <w:r w:rsidRPr="009B0448">
        <w:rPr>
          <w:rFonts w:ascii="Times New Roman" w:eastAsia="Times New Roman" w:hAnsi="Times New Roman" w:cs="Times New Roman"/>
          <w:i/>
          <w:color w:val="000000" w:themeColor="text1"/>
        </w:rPr>
        <w:t xml:space="preserve">Regional Sustainability </w:t>
      </w:r>
      <w:r w:rsidRPr="009B0448">
        <w:rPr>
          <w:rFonts w:ascii="Times New Roman" w:eastAsia="Times New Roman" w:hAnsi="Times New Roman" w:cs="Times New Roman"/>
          <w:color w:val="000000" w:themeColor="text1"/>
        </w:rPr>
        <w:t>archetypes</w:t>
      </w:r>
      <w:r w:rsidRPr="009B0448">
        <w:rPr>
          <w:rFonts w:ascii="Times New Roman" w:eastAsia="Times New Roman" w:hAnsi="Times New Roman" w:cs="Times New Roman"/>
          <w:i/>
          <w:color w:val="000000" w:themeColor="text1"/>
        </w:rPr>
        <w:t xml:space="preserve"> </w:t>
      </w:r>
      <w:r w:rsidRPr="009B0448">
        <w:rPr>
          <w:rFonts w:ascii="Times New Roman" w:eastAsia="Times New Roman" w:hAnsi="Times New Roman" w:cs="Times New Roman"/>
          <w:color w:val="000000" w:themeColor="text1"/>
        </w:rPr>
        <w:t xml:space="preserve">demonstrating the same general trends of range contraction as </w:t>
      </w:r>
      <w:r w:rsidRPr="009B0448">
        <w:rPr>
          <w:rFonts w:ascii="Times New Roman" w:eastAsia="Times New Roman" w:hAnsi="Times New Roman" w:cs="Times New Roman"/>
          <w:i/>
          <w:color w:val="000000" w:themeColor="text1"/>
        </w:rPr>
        <w:t>Fortress World</w:t>
      </w:r>
      <w:r w:rsidRPr="009B0448">
        <w:rPr>
          <w:rFonts w:ascii="Times New Roman" w:eastAsia="Times New Roman" w:hAnsi="Times New Roman" w:cs="Times New Roman"/>
          <w:color w:val="000000" w:themeColor="text1"/>
        </w:rPr>
        <w:t xml:space="preserve"> and </w:t>
      </w:r>
      <w:r w:rsidRPr="009B0448">
        <w:rPr>
          <w:rFonts w:ascii="Times New Roman" w:eastAsia="Times New Roman" w:hAnsi="Times New Roman" w:cs="Times New Roman"/>
          <w:i/>
          <w:color w:val="000000" w:themeColor="text1"/>
        </w:rPr>
        <w:t>Market Forces</w:t>
      </w:r>
      <w:r w:rsidRPr="009B0448">
        <w:rPr>
          <w:rFonts w:ascii="Times New Roman" w:eastAsia="Times New Roman" w:hAnsi="Times New Roman" w:cs="Times New Roman"/>
          <w:color w:val="000000" w:themeColor="text1"/>
        </w:rPr>
        <w:t xml:space="preserve">, but with less intensity (Kuhlman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2012; Garcia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2014; Mokhatla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2015; Walther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2014; Simaika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2015). Across all archetypes, range contractions are more pronounced for localised endemics (i.e.</w:t>
      </w:r>
      <w:r>
        <w:rPr>
          <w:rFonts w:ascii="Times New Roman" w:eastAsia="Times New Roman" w:hAnsi="Times New Roman" w:cs="Times New Roman"/>
          <w:color w:val="000000" w:themeColor="text1"/>
        </w:rPr>
        <w:t>,</w:t>
      </w:r>
      <w:r w:rsidRPr="009B0448">
        <w:rPr>
          <w:rFonts w:ascii="Times New Roman" w:eastAsia="Times New Roman" w:hAnsi="Times New Roman" w:cs="Times New Roman"/>
          <w:color w:val="000000" w:themeColor="text1"/>
        </w:rPr>
        <w:t xml:space="preserve"> Houniet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2009; Busch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2012; Kuhlman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2012; Mokhatla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2015; Simaika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2015). Similar patterns are expected across all taxa, although uncertainty increases after mid-century (Baker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2015; Box 5.5), and the exact response to future climate change is species specific (Coetzee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2009; Houniet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2009; Hole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2009; Kuhlman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2012; El-Gabbas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2016; Taylor </w:t>
      </w:r>
      <w:r w:rsidRPr="009B0448">
        <w:rPr>
          <w:rFonts w:ascii="Times New Roman" w:eastAsia="Times New Roman" w:hAnsi="Times New Roman" w:cs="Times New Roman"/>
          <w:i/>
          <w:color w:val="000000" w:themeColor="text1"/>
        </w:rPr>
        <w:t>et al.</w:t>
      </w:r>
      <w:r w:rsidRPr="009B0448">
        <w:rPr>
          <w:rFonts w:ascii="Times New Roman" w:eastAsia="Times New Roman" w:hAnsi="Times New Roman" w:cs="Times New Roman"/>
          <w:color w:val="000000" w:themeColor="text1"/>
        </w:rPr>
        <w:t xml:space="preserve">, 2016). </w:t>
      </w:r>
    </w:p>
    <w:p w14:paraId="11BD0077" w14:textId="5ED5C21D" w:rsidR="00A23BDB" w:rsidRPr="009B0448" w:rsidRDefault="00A23BDB" w:rsidP="00A23BDB">
      <w:pPr>
        <w:spacing w:line="276" w:lineRule="auto"/>
        <w:jc w:val="both"/>
        <w:rPr>
          <w:rFonts w:ascii="Times New Roman" w:eastAsia="Times New Roman" w:hAnsi="Times New Roman" w:cs="Times New Roman"/>
        </w:rPr>
      </w:pPr>
    </w:p>
    <w:p w14:paraId="1E660BB0" w14:textId="62410C42" w:rsidR="00B24128" w:rsidRPr="009B0448" w:rsidRDefault="00B24128" w:rsidP="00D32AA1">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noProof/>
          <w:lang w:eastAsia="en-GB"/>
        </w:rPr>
        <w:drawing>
          <wp:inline distT="0" distB="0" distL="0" distR="0" wp14:anchorId="2C8F3BF4" wp14:editId="0D0C8031">
            <wp:extent cx="5692047" cy="7574280"/>
            <wp:effectExtent l="0" t="0" r="4445" b="762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B5.4.JPG"/>
                    <pic:cNvPicPr>
                      <a:picLocks noChangeAspect="1" noChangeArrowheads="1"/>
                    </pic:cNvPicPr>
                  </pic:nvPicPr>
                  <pic:blipFill>
                    <a:blip r:embed="rId1583">
                      <a:extLst>
                        <a:ext uri="{28A0092B-C50C-407E-A947-70E740481C1C}">
                          <a14:useLocalDpi xmlns:a14="http://schemas.microsoft.com/office/drawing/2010/main" val="0"/>
                        </a:ext>
                      </a:extLst>
                    </a:blip>
                    <a:stretch>
                      <a:fillRect/>
                    </a:stretch>
                  </pic:blipFill>
                  <pic:spPr bwMode="auto">
                    <a:xfrm>
                      <a:off x="0" y="0"/>
                      <a:ext cx="5697762" cy="7581884"/>
                    </a:xfrm>
                    <a:prstGeom prst="rect">
                      <a:avLst/>
                    </a:prstGeom>
                    <a:noFill/>
                    <a:ln>
                      <a:noFill/>
                    </a:ln>
                  </pic:spPr>
                </pic:pic>
              </a:graphicData>
            </a:graphic>
          </wp:inline>
        </w:drawing>
      </w:r>
      <w:bookmarkStart w:id="416" w:name="_m9ybx0ugde3a" w:colFirst="0" w:colLast="0"/>
      <w:bookmarkEnd w:id="416"/>
      <w:r w:rsidRPr="009B0448">
        <w:rPr>
          <w:rFonts w:ascii="Times New Roman" w:eastAsia="Times New Roman" w:hAnsi="Times New Roman" w:cs="Times New Roman"/>
          <w:b/>
        </w:rPr>
        <w:br w:type="page"/>
      </w:r>
    </w:p>
    <w:p w14:paraId="244E3DE1" w14:textId="147758BC" w:rsidR="00B24128" w:rsidRPr="009B0448" w:rsidRDefault="00B24128" w:rsidP="009A06F7">
      <w:pPr>
        <w:spacing w:line="276" w:lineRule="auto"/>
        <w:jc w:val="both"/>
        <w:rPr>
          <w:rFonts w:ascii="Times New Roman" w:eastAsia="Times New Roman" w:hAnsi="Times New Roman" w:cs="Times New Roman"/>
          <w:b/>
        </w:rPr>
      </w:pPr>
      <w:r w:rsidRPr="009B0448">
        <w:rPr>
          <w:rFonts w:ascii="Times New Roman" w:eastAsia="Times New Roman" w:hAnsi="Times New Roman" w:cs="Times New Roman"/>
          <w:b/>
          <w:noProof/>
          <w:lang w:eastAsia="en-GB"/>
        </w:rPr>
        <w:drawing>
          <wp:inline distT="0" distB="0" distL="0" distR="0" wp14:anchorId="3919175C" wp14:editId="78E3F7C4">
            <wp:extent cx="5710108" cy="6309360"/>
            <wp:effectExtent l="0" t="0" r="508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b5.5.JPG"/>
                    <pic:cNvPicPr>
                      <a:picLocks noChangeAspect="1" noChangeArrowheads="1"/>
                    </pic:cNvPicPr>
                  </pic:nvPicPr>
                  <pic:blipFill>
                    <a:blip r:embed="rId1584">
                      <a:extLst>
                        <a:ext uri="{28A0092B-C50C-407E-A947-70E740481C1C}">
                          <a14:useLocalDpi xmlns:a14="http://schemas.microsoft.com/office/drawing/2010/main" val="0"/>
                        </a:ext>
                      </a:extLst>
                    </a:blip>
                    <a:stretch>
                      <a:fillRect/>
                    </a:stretch>
                  </pic:blipFill>
                  <pic:spPr bwMode="auto">
                    <a:xfrm>
                      <a:off x="0" y="0"/>
                      <a:ext cx="5715137" cy="6314917"/>
                    </a:xfrm>
                    <a:prstGeom prst="rect">
                      <a:avLst/>
                    </a:prstGeom>
                    <a:noFill/>
                    <a:ln>
                      <a:noFill/>
                    </a:ln>
                  </pic:spPr>
                </pic:pic>
              </a:graphicData>
            </a:graphic>
          </wp:inline>
        </w:drawing>
      </w:r>
    </w:p>
    <w:p w14:paraId="68A89736" w14:textId="77777777" w:rsidR="00B24128" w:rsidRPr="009B0448" w:rsidRDefault="00B24128" w:rsidP="009A06F7">
      <w:pPr>
        <w:spacing w:line="276" w:lineRule="auto"/>
        <w:jc w:val="both"/>
        <w:rPr>
          <w:rFonts w:ascii="Times New Roman" w:eastAsia="Times New Roman" w:hAnsi="Times New Roman" w:cs="Times New Roman"/>
          <w:color w:val="000000" w:themeColor="text1"/>
        </w:rPr>
      </w:pPr>
    </w:p>
    <w:p w14:paraId="24DD1912" w14:textId="799D0419"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suggests the ‘least-bad’ scenario for African terrestrial biodiversity generally (Visconti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while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the worst (terrestrial mammals: Visconti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2011; dry argan woodlands: Alba-S</w:t>
      </w:r>
      <w:r w:rsidR="00566B67" w:rsidRPr="009B0448">
        <w:rPr>
          <w:rFonts w:ascii="Times New Roman" w:eastAsia="Times New Roman" w:hAnsi="Times New Roman" w:cs="Times New Roman"/>
        </w:rPr>
        <w:t>á</w:t>
      </w:r>
      <w:r w:rsidRPr="009B0448">
        <w:rPr>
          <w:rFonts w:ascii="Times New Roman" w:eastAsia="Times New Roman" w:hAnsi="Times New Roman" w:cs="Times New Roman"/>
        </w:rPr>
        <w:t xml:space="preserve">nchez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South African dragonfly species: Simaika </w:t>
      </w:r>
      <w:r w:rsidR="002F3BA3"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Higher temperatures under </w:t>
      </w:r>
      <w:r w:rsidRPr="009B0448">
        <w:rPr>
          <w:rFonts w:ascii="Times New Roman" w:eastAsia="Times New Roman" w:hAnsi="Times New Roman" w:cs="Times New Roman"/>
          <w:i/>
        </w:rPr>
        <w:t>Fortress World/Market Forces</w:t>
      </w:r>
      <w:r w:rsidRPr="009B0448">
        <w:rPr>
          <w:rFonts w:ascii="Times New Roman" w:eastAsia="Times New Roman" w:hAnsi="Times New Roman" w:cs="Times New Roman"/>
        </w:rPr>
        <w:t xml:space="preserve"> archetypes predict higher risks of severe change to African savanna ecosystems (Warszawski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Thickening of woody cover in South African savannas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w:t>
      </w:r>
      <w:r w:rsidR="005D4C19"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5D4C19" w:rsidRPr="009B0448">
        <w:rPr>
          <w:rFonts w:ascii="Times New Roman" w:eastAsia="Times New Roman" w:hAnsi="Times New Roman" w:cs="Times New Roman"/>
        </w:rPr>
        <w:t>, 2000;</w:t>
      </w:r>
      <w:r w:rsidRPr="009B0448">
        <w:rPr>
          <w:rFonts w:ascii="Times New Roman" w:eastAsia="Times New Roman" w:hAnsi="Times New Roman" w:cs="Times New Roman"/>
        </w:rPr>
        <w:t xml:space="preserve"> A2 scenario) (Midgley </w:t>
      </w:r>
      <w:r w:rsidR="002F3BA3"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is expected to lead to </w:t>
      </w:r>
      <w:r w:rsidR="00BD2142" w:rsidRPr="009B0448">
        <w:rPr>
          <w:rFonts w:ascii="Times New Roman" w:eastAsia="Times New Roman" w:hAnsi="Times New Roman" w:cs="Times New Roman"/>
        </w:rPr>
        <w:t xml:space="preserve">a </w:t>
      </w:r>
      <w:r w:rsidRPr="009B0448">
        <w:rPr>
          <w:rFonts w:ascii="Times New Roman" w:eastAsia="Times New Roman" w:hAnsi="Times New Roman" w:cs="Times New Roman"/>
        </w:rPr>
        <w:t xml:space="preserve">loss in bird species richness and degradation of habitat for cheetah (Muntifering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2006</w:t>
      </w:r>
      <w:r w:rsidR="00FB75BF" w:rsidRPr="009B0448">
        <w:rPr>
          <w:rFonts w:ascii="Times New Roman" w:eastAsia="Times New Roman" w:hAnsi="Times New Roman" w:cs="Times New Roman"/>
        </w:rPr>
        <w:t>; Sirami, 2009</w:t>
      </w:r>
      <w:r w:rsidRPr="009B0448">
        <w:rPr>
          <w:rFonts w:ascii="Times New Roman" w:eastAsia="Times New Roman" w:hAnsi="Times New Roman" w:cs="Times New Roman"/>
        </w:rPr>
        <w:t xml:space="preserve">). The expansion of moist Afromontane forest and Combretum–Terminalia woodlands in East Africa (Ethiopia) is possible under </w:t>
      </w:r>
      <w:r w:rsidRPr="009B0448">
        <w:rPr>
          <w:rFonts w:ascii="Times New Roman" w:eastAsia="Times New Roman" w:hAnsi="Times New Roman" w:cs="Times New Roman"/>
          <w:i/>
        </w:rPr>
        <w:t>Market Forces, Fortress World</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with a larger extent of expansion under higher emission scenarios (</w:t>
      </w:r>
      <w:r w:rsidR="00706D5E" w:rsidRPr="009B0448">
        <w:rPr>
          <w:rFonts w:ascii="Times New Roman" w:eastAsia="Times New Roman" w:hAnsi="Times New Roman" w:cs="Times New Roman"/>
        </w:rPr>
        <w:t xml:space="preserve">van </w:t>
      </w:r>
      <w:r w:rsidRPr="009B0448">
        <w:rPr>
          <w:rFonts w:ascii="Times New Roman" w:eastAsia="Times New Roman" w:hAnsi="Times New Roman" w:cs="Times New Roman"/>
        </w:rPr>
        <w:t xml:space="preserve">Breugel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In Central Africa, both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(A1Fl) and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(B2) predict increased precipitation in the Lake Chad region, but only under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(B2) is it likely sufficient to support vegetation growth, displacing the desert limit northwards (Delire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perhaps with consequences for the Great Green </w:t>
      </w:r>
      <w:r w:rsidR="008D7F78" w:rsidRPr="009B0448">
        <w:rPr>
          <w:rFonts w:ascii="Times New Roman" w:eastAsia="Times New Roman" w:hAnsi="Times New Roman" w:cs="Times New Roman"/>
        </w:rPr>
        <w:t xml:space="preserve">Wall Initiative in the Sahel. </w:t>
      </w:r>
    </w:p>
    <w:p w14:paraId="68FD096B" w14:textId="77777777" w:rsidR="004031E1" w:rsidRPr="009B0448" w:rsidRDefault="004031E1" w:rsidP="009A06F7">
      <w:pPr>
        <w:spacing w:line="276" w:lineRule="auto"/>
        <w:jc w:val="both"/>
        <w:rPr>
          <w:rFonts w:ascii="Times New Roman" w:eastAsia="Times New Roman" w:hAnsi="Times New Roman" w:cs="Times New Roman"/>
        </w:rPr>
      </w:pPr>
    </w:p>
    <w:p w14:paraId="51178F9F" w14:textId="57D2E320"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Under higher emission scenarios, xerotypic species may benefit initially from reduced water availability compared to montane species already at their climatic range limits, regardless of the specific scenario (i.e.</w:t>
      </w:r>
      <w:r w:rsidR="00D925AD">
        <w:rPr>
          <w:rFonts w:ascii="Times New Roman" w:eastAsia="Times New Roman" w:hAnsi="Times New Roman" w:cs="Times New Roman"/>
        </w:rPr>
        <w:t>,</w:t>
      </w:r>
      <w:r w:rsidRPr="009B0448">
        <w:rPr>
          <w:rFonts w:ascii="Times New Roman" w:eastAsia="Times New Roman" w:hAnsi="Times New Roman" w:cs="Times New Roman"/>
        </w:rPr>
        <w:t xml:space="preserve"> Marshall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2010), as ma</w:t>
      </w:r>
      <w:r w:rsidR="00BD2142" w:rsidRPr="009B0448">
        <w:rPr>
          <w:rFonts w:ascii="Times New Roman" w:eastAsia="Times New Roman" w:hAnsi="Times New Roman" w:cs="Times New Roman"/>
        </w:rPr>
        <w:t>n</w:t>
      </w:r>
      <w:r w:rsidRPr="009B0448">
        <w:rPr>
          <w:rFonts w:ascii="Times New Roman" w:eastAsia="Times New Roman" w:hAnsi="Times New Roman" w:cs="Times New Roman"/>
        </w:rPr>
        <w:t>y species that favour hotter temperatures,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Egyptian reptile taxa (El-Gabbas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2016). The literature shows reasonable consensus that current conservation areas across Africa are generally not well aligned with future range shifts of focal species, regardless of the scenario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Acacia</w:t>
      </w:r>
      <w:r w:rsidRPr="009B0448">
        <w:rPr>
          <w:rFonts w:ascii="Times New Roman" w:eastAsia="Times New Roman" w:hAnsi="Times New Roman" w:cs="Times New Roman"/>
        </w:rPr>
        <w:t xml:space="preserve"> spp., East Africa: Marshall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w:t>
      </w:r>
      <w:r w:rsidR="00893128" w:rsidRPr="009B0448">
        <w:rPr>
          <w:rFonts w:ascii="Times New Roman" w:eastAsia="Times New Roman" w:hAnsi="Times New Roman" w:cs="Times New Roman"/>
        </w:rPr>
        <w:t>2</w:t>
      </w:r>
      <w:r w:rsidRPr="009B0448">
        <w:rPr>
          <w:rFonts w:ascii="Times New Roman" w:eastAsia="Times New Roman" w:hAnsi="Times New Roman" w:cs="Times New Roman"/>
        </w:rPr>
        <w:t xml:space="preserve">; herpetofauna, Morocco: </w:t>
      </w:r>
      <w:r w:rsidR="009A2D88" w:rsidRPr="009B0448">
        <w:rPr>
          <w:rFonts w:ascii="Times New Roman" w:eastAsia="Times New Roman" w:hAnsi="Times New Roman" w:cs="Times New Roman"/>
        </w:rPr>
        <w:t>Martínez-Freiría</w:t>
      </w:r>
      <w:r w:rsidRPr="009B0448">
        <w:rPr>
          <w:rFonts w:ascii="Times New Roman" w:eastAsia="Times New Roman" w:hAnsi="Times New Roman" w:cs="Times New Roman"/>
        </w:rPr>
        <w:t xml:space="preserv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 South African dwarf succulents (</w:t>
      </w:r>
      <w:r w:rsidRPr="009B0448">
        <w:rPr>
          <w:rFonts w:ascii="Times New Roman" w:eastAsia="Times New Roman" w:hAnsi="Times New Roman" w:cs="Times New Roman"/>
          <w:i/>
        </w:rPr>
        <w:t>Conophytum</w:t>
      </w:r>
      <w:r w:rsidRPr="009B0448">
        <w:rPr>
          <w:rFonts w:ascii="Times New Roman" w:eastAsia="Times New Roman" w:hAnsi="Times New Roman" w:cs="Times New Roman"/>
        </w:rPr>
        <w:t xml:space="preserve"> spp.): Young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2016). This suggests the need for more expansive and more strategically targeted protected areas in the future. In South Africa, there is some indication that even under moderate to high climate change, i.e.</w:t>
      </w:r>
      <w:r w:rsidR="00D925AD">
        <w:rPr>
          <w:rFonts w:ascii="Times New Roman" w:eastAsia="Times New Roman" w:hAnsi="Times New Roman" w:cs="Times New Roman"/>
        </w:rPr>
        <w:t>,</w:t>
      </w:r>
      <w:r w:rsidRPr="009B0448">
        <w:rPr>
          <w:rFonts w:ascii="Times New Roman" w:eastAsia="Times New Roman" w:hAnsi="Times New Roman" w:cs="Times New Roman"/>
        </w:rPr>
        <w:t xml:space="preserve"> SRES A2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A1FI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and A1b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w:t>
      </w:r>
      <w:r w:rsidR="000A70BC" w:rsidRPr="009B0448">
        <w:rPr>
          <w:rFonts w:ascii="Times New Roman" w:eastAsia="Times New Roman" w:hAnsi="Times New Roman" w:cs="Times New Roman"/>
        </w:rPr>
        <w:t xml:space="preserve"> (Nakicenovic </w:t>
      </w:r>
      <w:r w:rsidR="000429F8" w:rsidRPr="009B0448">
        <w:rPr>
          <w:rFonts w:ascii="Times New Roman" w:eastAsia="Times New Roman" w:hAnsi="Times New Roman" w:cs="Times New Roman"/>
          <w:i/>
        </w:rPr>
        <w:t>et al.</w:t>
      </w:r>
      <w:r w:rsidR="000A70BC" w:rsidRPr="009B0448">
        <w:rPr>
          <w:rFonts w:ascii="Times New Roman" w:eastAsia="Times New Roman" w:hAnsi="Times New Roman" w:cs="Times New Roman"/>
        </w:rPr>
        <w:t>, 2000)</w:t>
      </w:r>
      <w:r w:rsidRPr="009B0448">
        <w:rPr>
          <w:rFonts w:ascii="Times New Roman" w:eastAsia="Times New Roman" w:hAnsi="Times New Roman" w:cs="Times New Roman"/>
        </w:rPr>
        <w:t xml:space="preserve">, conservation needs can be accommodated in the existing protected area network with comparatively minor expansion (Hannah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Young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The costs associated with ensuring effective conservation under higher emission scenarios are expected to be greater, as has been demonstrated in Madagascar (Busch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Across Madagascar, the per species cost of securing 74 forest endemics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are estimated a</w:t>
      </w:r>
      <w:r w:rsidR="000A70BC" w:rsidRPr="009B0448">
        <w:rPr>
          <w:rFonts w:ascii="Times New Roman" w:eastAsia="Times New Roman" w:hAnsi="Times New Roman" w:cs="Times New Roman"/>
        </w:rPr>
        <w:t>t to $1,242,000–5,192,300 (2000–</w:t>
      </w:r>
      <w:r w:rsidRPr="009B0448">
        <w:rPr>
          <w:rFonts w:ascii="Times New Roman" w:eastAsia="Times New Roman" w:hAnsi="Times New Roman" w:cs="Times New Roman"/>
        </w:rPr>
        <w:t xml:space="preserve">2080) compared to $935,900–4,094,600 for the same period in the lower-emissions </w:t>
      </w:r>
      <w:r w:rsidR="000A70BC" w:rsidRPr="009B0448">
        <w:rPr>
          <w:rFonts w:ascii="Times New Roman" w:eastAsia="Times New Roman" w:hAnsi="Times New Roman" w:cs="Times New Roman"/>
          <w:i/>
        </w:rPr>
        <w:t xml:space="preserve">Local </w:t>
      </w:r>
      <w:r w:rsidRPr="009B0448">
        <w:rPr>
          <w:rFonts w:ascii="Times New Roman" w:eastAsia="Times New Roman" w:hAnsi="Times New Roman" w:cs="Times New Roman"/>
          <w:i/>
        </w:rPr>
        <w:t>Sustainability</w:t>
      </w:r>
      <w:r w:rsidRPr="009B0448">
        <w:rPr>
          <w:rFonts w:ascii="Times New Roman" w:eastAsia="Times New Roman" w:hAnsi="Times New Roman" w:cs="Times New Roman"/>
        </w:rPr>
        <w:t xml:space="preserve"> archetype (Busch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2012).</w:t>
      </w:r>
    </w:p>
    <w:p w14:paraId="4E5F465B" w14:textId="77777777" w:rsidR="004031E1" w:rsidRPr="009B0448" w:rsidRDefault="004031E1" w:rsidP="009A06F7">
      <w:pPr>
        <w:spacing w:line="276" w:lineRule="auto"/>
        <w:jc w:val="both"/>
        <w:rPr>
          <w:rFonts w:ascii="Times New Roman" w:eastAsia="Times New Roman" w:hAnsi="Times New Roman" w:cs="Times New Roman"/>
        </w:rPr>
      </w:pPr>
    </w:p>
    <w:p w14:paraId="0FED9690" w14:textId="75512228"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Aquatic ecosystems show similar trends to terrestrial, with more severe consequences expected under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archetypes compared to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reductions of water and sediment inflow into wetlands cause widespread declines in migratory bird populations as aquatic ecosystems rapidly degrade (Bohensky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Studies indicate that significant unquantified endemic biodiversity in the Okavango Delta and other wetlands will be put at risk as feeder rivers lose as much as 30% of their flow by 2050 (De Wit </w:t>
      </w:r>
      <w:r w:rsidR="002F3BA3" w:rsidRPr="009B0448">
        <w:rPr>
          <w:rFonts w:ascii="Times New Roman" w:eastAsia="Times New Roman" w:hAnsi="Times New Roman" w:cs="Times New Roman"/>
          <w:i/>
        </w:rPr>
        <w:t>et al.</w:t>
      </w:r>
      <w:r w:rsidR="004031E1" w:rsidRPr="009B0448">
        <w:rPr>
          <w:rFonts w:ascii="Times New Roman" w:eastAsia="Times New Roman" w:hAnsi="Times New Roman" w:cs="Times New Roman"/>
        </w:rPr>
        <w:t>,</w:t>
      </w:r>
      <w:r w:rsidRPr="009B0448">
        <w:rPr>
          <w:rFonts w:ascii="Times New Roman" w:eastAsia="Times New Roman" w:hAnsi="Times New Roman" w:cs="Times New Roman"/>
        </w:rPr>
        <w:t xml:space="preserve"> 2006). For coastal systems, </w:t>
      </w:r>
      <w:r w:rsidRPr="009B0448">
        <w:rPr>
          <w:rFonts w:ascii="Times New Roman" w:eastAsia="Times New Roman" w:hAnsi="Times New Roman" w:cs="Times New Roman"/>
          <w:i/>
        </w:rPr>
        <w:t xml:space="preserve">Market Forces </w:t>
      </w:r>
      <w:r w:rsidRPr="009B0448">
        <w:rPr>
          <w:rFonts w:ascii="Times New Roman" w:eastAsia="Times New Roman" w:hAnsi="Times New Roman" w:cs="Times New Roman"/>
        </w:rPr>
        <w:t xml:space="preserve">and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predict sea surface accretion rates will only keep pace with expected sea level rise to 2070 (basin mangrove systems), and 2055 (fringe mangroves), with submergence and degradation likely beyond those periods. In contrast, under the lower levels of sea level rise projected under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both fringe and basin mangrove systems are expected to remain above the expected sea level rise until 2100 (Sasmito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Regionally, East African islands’ fringe mangroves are potentially most at risk (Sasmito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In South Africa, the latitudinal range limit of mangrove forests tracks consistently further south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than</w:t>
      </w:r>
      <w:r w:rsidRPr="009B0448">
        <w:rPr>
          <w:rFonts w:ascii="Times New Roman" w:eastAsia="Times New Roman" w:hAnsi="Times New Roman" w:cs="Times New Roman"/>
          <w:i/>
        </w:rPr>
        <w:t xml:space="preserve"> </w:t>
      </w:r>
      <w:r w:rsidR="004031E1" w:rsidRPr="009B0448">
        <w:rPr>
          <w:rFonts w:ascii="Times New Roman" w:eastAsia="Times New Roman" w:hAnsi="Times New Roman" w:cs="Times New Roman"/>
          <w:i/>
        </w:rPr>
        <w:t xml:space="preserve">Local </w:t>
      </w:r>
      <w:r w:rsidRPr="009B0448">
        <w:rPr>
          <w:rFonts w:ascii="Times New Roman" w:eastAsia="Times New Roman" w:hAnsi="Times New Roman" w:cs="Times New Roman"/>
          <w:i/>
        </w:rPr>
        <w:t>Sustainability</w:t>
      </w:r>
      <w:r w:rsidRPr="009B0448">
        <w:rPr>
          <w:rFonts w:ascii="Times New Roman" w:eastAsia="Times New Roman" w:hAnsi="Times New Roman" w:cs="Times New Roman"/>
        </w:rPr>
        <w:t xml:space="preserve">, with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predictions suggesting smaller initial extension southwards by 2020, reverting northwards thereafter 2050 (Quisthoudt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w:t>
      </w:r>
      <w:r w:rsidR="00867B2B" w:rsidRPr="009B0448">
        <w:rPr>
          <w:rFonts w:ascii="Times New Roman" w:eastAsia="Times New Roman" w:hAnsi="Times New Roman" w:cs="Times New Roman"/>
        </w:rPr>
        <w:t>3</w:t>
      </w:r>
      <w:r w:rsidRPr="009B0448">
        <w:rPr>
          <w:rFonts w:ascii="Times New Roman" w:eastAsia="Times New Roman" w:hAnsi="Times New Roman" w:cs="Times New Roman"/>
        </w:rPr>
        <w:t>). Within the oceans around Africa, new climate source areas (i.e.</w:t>
      </w:r>
      <w:r w:rsidR="00D925AD">
        <w:rPr>
          <w:rFonts w:ascii="Times New Roman" w:eastAsia="Times New Roman" w:hAnsi="Times New Roman" w:cs="Times New Roman"/>
        </w:rPr>
        <w:t>,</w:t>
      </w:r>
      <w:r w:rsidRPr="009B0448">
        <w:rPr>
          <w:rFonts w:ascii="Times New Roman" w:eastAsia="Times New Roman" w:hAnsi="Times New Roman" w:cs="Times New Roman"/>
        </w:rPr>
        <w:t xml:space="preserve"> locally novel climatic conditions, now isolated from areas of previously similar climate) appear at the equator, </w:t>
      </w:r>
      <w:r w:rsidR="00BD2142" w:rsidRPr="009B0448">
        <w:rPr>
          <w:rFonts w:ascii="Times New Roman" w:eastAsia="Times New Roman" w:hAnsi="Times New Roman" w:cs="Times New Roman"/>
        </w:rPr>
        <w:t>and</w:t>
      </w:r>
      <w:r w:rsidRPr="009B0448">
        <w:rPr>
          <w:rFonts w:ascii="Times New Roman" w:eastAsia="Times New Roman" w:hAnsi="Times New Roman" w:cs="Times New Roman"/>
        </w:rPr>
        <w:t xml:space="preserve"> are double in size for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compared to the low warming scenario of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(Burrows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 The appearance and size of the climate sources will have important consequences for ocean migrants tracking isotherms</w:t>
      </w:r>
      <w:r w:rsidR="00B759AD">
        <w:rPr>
          <w:rFonts w:ascii="Times New Roman" w:eastAsia="Times New Roman" w:hAnsi="Times New Roman" w:cs="Times New Roman"/>
        </w:rPr>
        <w:t>—</w:t>
      </w:r>
      <w:r w:rsidRPr="009B0448">
        <w:rPr>
          <w:rFonts w:ascii="Times New Roman" w:eastAsia="Times New Roman" w:hAnsi="Times New Roman" w:cs="Times New Roman"/>
        </w:rPr>
        <w:t xml:space="preserve">these locally novel climate conditions lack connection routes to similar climatic areas, and likely become inaccessible. Species richness here may thus decline under multiple scenarios, but more significantly in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as leaving migrants are not replaced by new arrivals (Burrows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w:t>
      </w:r>
    </w:p>
    <w:p w14:paraId="28B5D6F3" w14:textId="7130FAAE"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17" w:name="_kwjf3gv3qi10" w:colFirst="0" w:colLast="0"/>
      <w:bookmarkStart w:id="418" w:name="_Toc519500017"/>
      <w:bookmarkEnd w:id="417"/>
      <w:r w:rsidRPr="009B0448">
        <w:rPr>
          <w:rFonts w:cs="Times New Roman"/>
          <w:i w:val="0"/>
          <w:sz w:val="22"/>
          <w:szCs w:val="22"/>
        </w:rPr>
        <w:t>Provisioning services</w:t>
      </w:r>
      <w:bookmarkEnd w:id="418"/>
    </w:p>
    <w:p w14:paraId="6303EA70" w14:textId="4251282B"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literature highlights increased needs for provisioning services across Africa in the future, particularly those linked to </w:t>
      </w:r>
      <w:r w:rsidRPr="009B0448">
        <w:rPr>
          <w:rFonts w:ascii="Times New Roman" w:eastAsia="Times New Roman" w:hAnsi="Times New Roman" w:cs="Times New Roman"/>
          <w:b/>
        </w:rPr>
        <w:t>food production</w:t>
      </w:r>
      <w:r w:rsidRPr="009B0448">
        <w:rPr>
          <w:rFonts w:ascii="Times New Roman" w:eastAsia="Times New Roman" w:hAnsi="Times New Roman" w:cs="Times New Roman"/>
        </w:rPr>
        <w:t xml:space="preserve">. However, there are mixed results across scenarios and between core reports (most notable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archetypes) about whether the productivity of the agricultural system will meet this need. There is strong regional variability in crop performance across Africa, with the negative consequences of changing temperatures and rainfall most pronounced in areas south of the Sahel (Niang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and most notable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In contrast, under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high elevation areas in East Africa may experience productivity gains owing to increasing temperatures under a</w:t>
      </w:r>
      <w:r w:rsidR="004031E1" w:rsidRPr="009B0448">
        <w:rPr>
          <w:rFonts w:ascii="Times New Roman" w:eastAsia="Times New Roman" w:hAnsi="Times New Roman" w:cs="Times New Roman"/>
        </w:rPr>
        <w:t>n</w:t>
      </w:r>
      <w:r w:rsidRPr="009B0448">
        <w:rPr>
          <w:rFonts w:ascii="Times New Roman" w:eastAsia="Times New Roman" w:hAnsi="Times New Roman" w:cs="Times New Roman"/>
        </w:rPr>
        <w:t xml:space="preserve"> A1FI scenario (Niang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Under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although yield productivity may increase initially due to a focus on agricultural intensification (MA, 2005; UNEP, 2007), concerns remain about the unintended longer-term consequences of increasing productivity in the </w:t>
      </w:r>
      <w:r w:rsidR="000B06FE" w:rsidRPr="009B0448">
        <w:rPr>
          <w:rFonts w:ascii="Times New Roman" w:eastAsia="Times New Roman" w:hAnsi="Times New Roman" w:cs="Times New Roman"/>
        </w:rPr>
        <w:t>short-term</w:t>
      </w:r>
      <w:r w:rsidRPr="009B0448">
        <w:rPr>
          <w:rFonts w:ascii="Times New Roman" w:eastAsia="Times New Roman" w:hAnsi="Times New Roman" w:cs="Times New Roman"/>
        </w:rPr>
        <w:t xml:space="preserve">. Under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agricultural modernisation, incentives for low-impact agriculture and a focus on technical innovation will improve crop productivity (</w:t>
      </w:r>
      <w:r w:rsidR="00EE20F0"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EE20F0" w:rsidRPr="009B0448">
        <w:rPr>
          <w:rFonts w:ascii="Times New Roman" w:eastAsia="Times New Roman" w:hAnsi="Times New Roman" w:cs="Times New Roman"/>
        </w:rPr>
        <w:t>,</w:t>
      </w:r>
      <w:r w:rsidRPr="009B0448">
        <w:rPr>
          <w:rFonts w:ascii="Times New Roman" w:eastAsia="Times New Roman" w:hAnsi="Times New Roman" w:cs="Times New Roman"/>
        </w:rPr>
        <w:t xml:space="preserve"> 2000; MA, 2005; UNEP, 2016), and this results in less agricultural expansion and lower levels of habitat loss. However, the over-reliance on a narrow range of crop services (MA, 2005), and a dependency on cash crops (WWF-AfDB, 2015) to opt</w:t>
      </w:r>
      <w:r w:rsidR="00BD2142" w:rsidRPr="009B0448">
        <w:rPr>
          <w:rFonts w:ascii="Times New Roman" w:eastAsia="Times New Roman" w:hAnsi="Times New Roman" w:cs="Times New Roman"/>
        </w:rPr>
        <w:t>imise production efficiency, have</w:t>
      </w:r>
      <w:r w:rsidRPr="009B0448">
        <w:rPr>
          <w:rFonts w:ascii="Times New Roman" w:eastAsia="Times New Roman" w:hAnsi="Times New Roman" w:cs="Times New Roman"/>
        </w:rPr>
        <w:t xml:space="preserve"> substantial negative consequences for the longer-term resilience of the agricultural production system.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increased consumption, accompanied by slow improvements in agricultural productivity drives agricultural expansion (</w:t>
      </w:r>
      <w:r w:rsidR="00EE20F0"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EE20F0" w:rsidRPr="009B0448">
        <w:rPr>
          <w:rFonts w:ascii="Times New Roman" w:eastAsia="Times New Roman" w:hAnsi="Times New Roman" w:cs="Times New Roman"/>
        </w:rPr>
        <w:t xml:space="preserve">, </w:t>
      </w:r>
      <w:r w:rsidRPr="009B0448">
        <w:rPr>
          <w:rFonts w:ascii="Times New Roman" w:eastAsia="Times New Roman" w:hAnsi="Times New Roman" w:cs="Times New Roman"/>
        </w:rPr>
        <w:t xml:space="preserve">2000; MA, 2005; UNEP, 2007) with negative consequences for habitat integrity. Under this archetype, Visconti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suggest this expansion may be as much as ~71% to meet pasture requirements and ~56% for cropland by 2050, while Alcamo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model a possible increased demand for agricultural land in sub-Saharan Africa alone of 11 to 17 </w:t>
      </w:r>
      <w:r w:rsidR="00FB75BF" w:rsidRPr="009B0448">
        <w:rPr>
          <w:rFonts w:ascii="Times New Roman" w:eastAsia="Times New Roman" w:hAnsi="Times New Roman" w:cs="Times New Roman"/>
        </w:rPr>
        <w:t>million hectares</w:t>
      </w:r>
      <w:r w:rsidRPr="009B0448">
        <w:rPr>
          <w:rFonts w:ascii="Times New Roman" w:eastAsia="Times New Roman" w:hAnsi="Times New Roman" w:cs="Times New Roman"/>
        </w:rPr>
        <w:t xml:space="preserve"> between 2000 and 2050. In the West Sahel, this expansion of agriculture may result in increased local conflict between pastoralists and farmers over spatial resource requirements, undermining the already fragile relationship between land-users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w:t>
      </w:r>
    </w:p>
    <w:p w14:paraId="0DB0EB4C" w14:textId="77777777" w:rsidR="004031E1" w:rsidRPr="009B0448" w:rsidRDefault="004031E1" w:rsidP="009A06F7">
      <w:pPr>
        <w:spacing w:line="276" w:lineRule="auto"/>
        <w:jc w:val="both"/>
        <w:rPr>
          <w:rFonts w:ascii="Times New Roman" w:eastAsia="Times New Roman" w:hAnsi="Times New Roman" w:cs="Times New Roman"/>
        </w:rPr>
      </w:pPr>
    </w:p>
    <w:p w14:paraId="2845B370" w14:textId="5ECDC911"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contribution of </w:t>
      </w:r>
      <w:r w:rsidRPr="009B0448">
        <w:rPr>
          <w:rFonts w:ascii="Times New Roman" w:eastAsia="Times New Roman" w:hAnsi="Times New Roman" w:cs="Times New Roman"/>
          <w:b/>
        </w:rPr>
        <w:t xml:space="preserve">biofuel </w:t>
      </w:r>
      <w:r w:rsidRPr="009B0448">
        <w:rPr>
          <w:rFonts w:ascii="Times New Roman" w:eastAsia="Times New Roman" w:hAnsi="Times New Roman" w:cs="Times New Roman"/>
        </w:rPr>
        <w:t xml:space="preserve">to energy use is set to increase across archetypes after 2025/2030 (MA, 2005; UNEP, 2007), most notably under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Policy First</w:t>
      </w:r>
      <w:r w:rsidRPr="009B0448">
        <w:rPr>
          <w:rFonts w:ascii="Times New Roman" w:eastAsia="Times New Roman" w:hAnsi="Times New Roman" w:cs="Times New Roman"/>
        </w:rPr>
        <w:t xml:space="preserve">. Under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global biofuel contributions to the agricultural system increases, but in Africa, agricultural modernisation is spatially heterogeneous, resulting in inconsistent responses to ensuring local renewable energy options on the continent (UNEP, 2016). In general, significant uncertainty and knowledge gaps remain around biofuel production in Africa (Niang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 particularly with respect to socio-ecological sustainability considerations and land-use trade-offs (i.e.</w:t>
      </w:r>
      <w:r w:rsidR="00D925AD">
        <w:rPr>
          <w:rFonts w:ascii="Times New Roman" w:eastAsia="Times New Roman" w:hAnsi="Times New Roman" w:cs="Times New Roman"/>
        </w:rPr>
        <w:t>,</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food versus fuel</w:t>
      </w:r>
      <w:r w:rsidRPr="009B0448">
        <w:rPr>
          <w:rFonts w:ascii="Times New Roman" w:eastAsia="Times New Roman" w:hAnsi="Times New Roman" w:cs="Times New Roman"/>
        </w:rPr>
        <w:t xml:space="preserve">), and how trade-offs are manifest both spatially and within communities (Niang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with implications for livelihood security. </w:t>
      </w:r>
    </w:p>
    <w:p w14:paraId="7DA3D020" w14:textId="77777777" w:rsidR="004031E1" w:rsidRPr="009B0448" w:rsidRDefault="004031E1" w:rsidP="009A06F7">
      <w:pPr>
        <w:spacing w:line="276" w:lineRule="auto"/>
        <w:jc w:val="both"/>
        <w:rPr>
          <w:rFonts w:ascii="Times New Roman" w:eastAsia="Times New Roman" w:hAnsi="Times New Roman" w:cs="Times New Roman"/>
        </w:rPr>
      </w:pPr>
    </w:p>
    <w:p w14:paraId="1501A6FB" w14:textId="2101407C"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Under </w:t>
      </w:r>
      <w:r w:rsidRPr="009B0448">
        <w:rPr>
          <w:rFonts w:ascii="Times New Roman" w:eastAsia="Times New Roman" w:hAnsi="Times New Roman" w:cs="Times New Roman"/>
          <w:i/>
        </w:rPr>
        <w:t xml:space="preserve">Fortress World </w:t>
      </w:r>
      <w:r w:rsidRPr="009B0448">
        <w:rPr>
          <w:rFonts w:ascii="Times New Roman" w:eastAsia="Times New Roman" w:hAnsi="Times New Roman" w:cs="Times New Roman"/>
        </w:rPr>
        <w:t xml:space="preserve">in general, the livelihoods of the rural poor are particularly compromised as natural systems deteriorate (Bohensky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are made inaccessible through commercial activities, and unsustainable rural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choices contribute to ecosystem degradation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High levels of social inequity that exist between rich and poor, men and women, rural and urban, and different regions (UNEP, 2006; Niang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is a clear indication of government failures in ensuring equitable livelihoods, forcing communities to [over-]exploit limited water, food and fuel reserves that they can access (Bohensky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UNEP, 2006). As a result, many rural communities may resort to poaching and illegal harvesting to ensure food and energy security (Bohensky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2006; WWF-AfDB, 2015), which is concerning given current existing trends in this regard (Chapter 4).</w:t>
      </w:r>
    </w:p>
    <w:p w14:paraId="1C357629" w14:textId="77777777" w:rsidR="004031E1" w:rsidRPr="009B0448" w:rsidRDefault="004031E1" w:rsidP="009A06F7">
      <w:pPr>
        <w:spacing w:line="276" w:lineRule="auto"/>
        <w:jc w:val="both"/>
        <w:rPr>
          <w:rFonts w:ascii="Times New Roman" w:eastAsia="Times New Roman" w:hAnsi="Times New Roman" w:cs="Times New Roman"/>
        </w:rPr>
      </w:pPr>
    </w:p>
    <w:p w14:paraId="7B6FB61C" w14:textId="421E44EF"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demand for </w:t>
      </w:r>
      <w:r w:rsidRPr="009B0448">
        <w:rPr>
          <w:rFonts w:ascii="Times New Roman" w:eastAsia="Times New Roman" w:hAnsi="Times New Roman" w:cs="Times New Roman"/>
          <w:b/>
        </w:rPr>
        <w:t>marine food and feed</w:t>
      </w:r>
      <w:r w:rsidRPr="009B0448">
        <w:rPr>
          <w:rFonts w:ascii="Times New Roman" w:eastAsia="Times New Roman" w:hAnsi="Times New Roman" w:cs="Times New Roman"/>
        </w:rPr>
        <w:t xml:space="preserve"> increases under all scenarios (MA, 2005; Niang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yet in general, the productivity of marine fisheries tends to decline owing to increased fishing pressure and the negative impacts of climate change. Marine fisheries in Africa rely heavily on protective reef systems and coastal upwelling, yet ocean acidification and increasing sea surface temperatures will have likely severe negative consequences for fish stocks in these systems (Niang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Under </w:t>
      </w:r>
      <w:r w:rsidRPr="009B0448">
        <w:rPr>
          <w:rFonts w:ascii="Times New Roman" w:eastAsia="Times New Roman" w:hAnsi="Times New Roman" w:cs="Times New Roman"/>
          <w:i/>
        </w:rPr>
        <w:t>Local Sustainability (~A1B)</w:t>
      </w:r>
      <w:r w:rsidRPr="009B0448">
        <w:rPr>
          <w:rFonts w:ascii="Times New Roman" w:eastAsia="Times New Roman" w:hAnsi="Times New Roman" w:cs="Times New Roman"/>
        </w:rPr>
        <w:t xml:space="preserve"> in particular, West Africa is at considerable risk of the negative impacts of climate change, with the declines in marine resources that may result in significant consequences for the coastal economy here (Niang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 Where fisheries response indicates mixed results, this is due to a diversity in fishing strategies affecting the fish targeted (UNEP, 2007), i.e.</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harvesting of demersal versus pelagics, with models predicting clear trade-offs in the diversity of fish landed and production within the fisheries system (MA, 2005). While the increased investment in aquaculture across scenarios may potentially meet the increased demand for fish as capture fisheries deteriorate (MA, 2005), there remain concerns around the long-term sustainability of this industry (</w:t>
      </w:r>
      <w:r w:rsidR="009D7F1A" w:rsidRPr="009B0448">
        <w:rPr>
          <w:rFonts w:ascii="Times New Roman" w:eastAsia="Times New Roman" w:hAnsi="Times New Roman" w:cs="Times New Roman"/>
        </w:rPr>
        <w:t xml:space="preserve">MA, 2005; </w:t>
      </w:r>
      <w:r w:rsidRPr="009B0448">
        <w:rPr>
          <w:rFonts w:ascii="Times New Roman" w:eastAsia="Times New Roman" w:hAnsi="Times New Roman" w:cs="Times New Roman"/>
        </w:rPr>
        <w:t xml:space="preserve">UNEP, 2007; UNEP, 2016), and whether it will expand to a sufficient scale in Africa to meet the region’s increasing fish demands by 2020 (Niang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Under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the focus on the green economy instead of the blue (UNEP, 2007; UNEP, 2016), and the technological innovations of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facilitating rapid aquaculture expansion (MA,</w:t>
      </w:r>
      <w:r w:rsidR="008D7F78" w:rsidRPr="009B0448">
        <w:rPr>
          <w:rFonts w:ascii="Times New Roman" w:eastAsia="Times New Roman" w:hAnsi="Times New Roman" w:cs="Times New Roman"/>
        </w:rPr>
        <w:t xml:space="preserve"> </w:t>
      </w:r>
      <w:r w:rsidRPr="009B0448">
        <w:rPr>
          <w:rFonts w:ascii="Times New Roman" w:eastAsia="Times New Roman" w:hAnsi="Times New Roman" w:cs="Times New Roman"/>
        </w:rPr>
        <w:t xml:space="preserve">2005), may eventually reduce the harvesting pressures on capture fisheries (MA, 2005; UNEP, 2016). Yet to support this growing industry, small pelagic fish are increasingly targeted </w:t>
      </w:r>
      <w:r w:rsidR="00A030F6">
        <w:rPr>
          <w:rFonts w:ascii="Times New Roman" w:eastAsia="Times New Roman" w:hAnsi="Times New Roman" w:cs="Times New Roman"/>
        </w:rPr>
        <w:t>for aquaculture feed purposes—</w:t>
      </w:r>
      <w:r w:rsidRPr="009B0448">
        <w:rPr>
          <w:rFonts w:ascii="Times New Roman" w:eastAsia="Times New Roman" w:hAnsi="Times New Roman" w:cs="Times New Roman"/>
        </w:rPr>
        <w:t>raising the value of catches even as their weights decline (MA, 2005)</w:t>
      </w:r>
      <w:r w:rsidR="00A030F6">
        <w:rPr>
          <w:rFonts w:ascii="Times New Roman" w:eastAsia="Times New Roman" w:hAnsi="Times New Roman" w:cs="Times New Roman"/>
        </w:rPr>
        <w:t>—</w:t>
      </w:r>
      <w:r w:rsidRPr="009B0448">
        <w:rPr>
          <w:rFonts w:ascii="Times New Roman" w:eastAsia="Times New Roman" w:hAnsi="Times New Roman" w:cs="Times New Roman"/>
        </w:rPr>
        <w:t>potentially undermining the functioning of both natural marine and freshwater systems further. Additionally, the longer-term biodiversity consequences of aquaculture escapees and eutrophic</w:t>
      </w:r>
      <w:r w:rsidR="008D7F78" w:rsidRPr="009B0448">
        <w:rPr>
          <w:rFonts w:ascii="Times New Roman" w:eastAsia="Times New Roman" w:hAnsi="Times New Roman" w:cs="Times New Roman"/>
        </w:rPr>
        <w:t>ation from the industry’s waste</w:t>
      </w:r>
      <w:r w:rsidRPr="009B0448">
        <w:rPr>
          <w:rFonts w:ascii="Times New Roman" w:eastAsia="Times New Roman" w:hAnsi="Times New Roman" w:cs="Times New Roman"/>
        </w:rPr>
        <w:t xml:space="preserve"> may be substantial even as food production benefits (UNEP, 2016).</w:t>
      </w:r>
    </w:p>
    <w:p w14:paraId="01FB01AE" w14:textId="77777777" w:rsidR="004031E1" w:rsidRPr="009B0448" w:rsidRDefault="004031E1" w:rsidP="009A06F7">
      <w:pPr>
        <w:spacing w:line="276" w:lineRule="auto"/>
        <w:jc w:val="both"/>
        <w:rPr>
          <w:rFonts w:ascii="Times New Roman" w:eastAsia="Times New Roman" w:hAnsi="Times New Roman" w:cs="Times New Roman"/>
        </w:rPr>
      </w:pPr>
    </w:p>
    <w:p w14:paraId="034BD795" w14:textId="38EED45D" w:rsidR="00B239D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terms of </w:t>
      </w:r>
      <w:r w:rsidRPr="009B0448">
        <w:rPr>
          <w:rFonts w:ascii="Times New Roman" w:eastAsia="Times New Roman" w:hAnsi="Times New Roman" w:cs="Times New Roman"/>
          <w:b/>
        </w:rPr>
        <w:t>water availability</w:t>
      </w:r>
      <w:r w:rsidRPr="009B0448">
        <w:rPr>
          <w:rFonts w:ascii="Times New Roman" w:eastAsia="Times New Roman" w:hAnsi="Times New Roman" w:cs="Times New Roman"/>
        </w:rPr>
        <w:t xml:space="preserve">, analyses of the MA scenarios using two models of water availability (WaterGAP and AIM; MA, 2005) indicate that globally the differences between scenarios are modest until 2050 (with </w:t>
      </w:r>
      <w:r w:rsidRPr="009B0448">
        <w:rPr>
          <w:rFonts w:ascii="Times New Roman" w:eastAsia="Times New Roman" w:hAnsi="Times New Roman" w:cs="Times New Roman"/>
          <w:i/>
        </w:rPr>
        <w:t>Policy Reform &gt; Fortress World = Local Sustainability &gt; New Sustainability</w:t>
      </w:r>
      <w:r w:rsidRPr="009B0448">
        <w:rPr>
          <w:rFonts w:ascii="Times New Roman" w:eastAsia="Gungsuh" w:hAnsi="Times New Roman" w:cs="Times New Roman"/>
        </w:rPr>
        <w:t xml:space="preserve">), but these intensify with time. In sub-Saharan Africa, water availability drops by ≥ 50% under all scenarios by 2100, and is associated with an increase in water stress as large increases in return flows of wastewater discharge into watersheds and degrades water quality (MA, 2005). These changes may become most critical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despite this scenario being associated with lower levels of water availability and extraction than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sub-Saharan Africa has return flows increasing by 100% by 2050, affecting the largest relative total population (MA, 2005). Northern and southern Africa are also expected to become severely water</w:t>
      </w:r>
      <w:r w:rsidR="00BD2142" w:rsidRPr="009B0448">
        <w:rPr>
          <w:rFonts w:ascii="Times New Roman" w:eastAsia="Times New Roman" w:hAnsi="Times New Roman" w:cs="Times New Roman"/>
        </w:rPr>
        <w:t>-</w:t>
      </w:r>
      <w:r w:rsidRPr="009B0448">
        <w:rPr>
          <w:rFonts w:ascii="Times New Roman" w:eastAsia="Times New Roman" w:hAnsi="Times New Roman" w:cs="Times New Roman"/>
        </w:rPr>
        <w:t xml:space="preserve">stressed under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although to a lesser extent than under alternative archetypes (Alcamo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2005), and total anthropogenic water use may incr</w:t>
      </w:r>
      <w:r w:rsidR="00562EFE" w:rsidRPr="009B0448">
        <w:rPr>
          <w:rFonts w:ascii="Times New Roman" w:eastAsia="Times New Roman" w:hAnsi="Times New Roman" w:cs="Times New Roman"/>
        </w:rPr>
        <w:t>ease by 36% across Africa (Wei</w:t>
      </w:r>
      <w:r w:rsidR="00562EFE" w:rsidRPr="009B0448">
        <w:rPr>
          <w:rFonts w:ascii="Times New Roman" w:eastAsia="Times New Roman" w:hAnsi="Times New Roman" w:cs="Times New Roman"/>
          <w:lang w:val="en-ZA" w:eastAsia="en-GB"/>
        </w:rPr>
        <w:t>ß</w:t>
      </w:r>
      <w:r w:rsidRPr="009B0448">
        <w:rPr>
          <w:rFonts w:ascii="Times New Roman" w:eastAsia="Times New Roman" w:hAnsi="Times New Roman" w:cs="Times New Roman"/>
        </w:rPr>
        <w:t xml:space="preserv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w:t>
      </w:r>
      <w:r w:rsidRPr="009B0448">
        <w:rPr>
          <w:rFonts w:ascii="Times New Roman" w:eastAsia="Times New Roman" w:hAnsi="Times New Roman" w:cs="Times New Roman"/>
          <w:i/>
        </w:rPr>
        <w:t>Policy Reform</w:t>
      </w:r>
      <w:r w:rsidR="00F26ADC" w:rsidRPr="009B0448">
        <w:rPr>
          <w:rFonts w:ascii="Times New Roman" w:eastAsia="Times New Roman" w:hAnsi="Times New Roman" w:cs="Times New Roman"/>
        </w:rPr>
        <w:t xml:space="preserve"> predicts that between 15–</w:t>
      </w:r>
      <w:r w:rsidRPr="009B0448">
        <w:rPr>
          <w:rFonts w:ascii="Times New Roman" w:eastAsia="Times New Roman" w:hAnsi="Times New Roman" w:cs="Times New Roman"/>
        </w:rPr>
        <w:t xml:space="preserve">40% of Africa will experience increases in time spent under drought conditions (compared to </w:t>
      </w:r>
      <w:r w:rsidR="00F26ADC" w:rsidRPr="009B0448">
        <w:rPr>
          <w:rFonts w:ascii="Times New Roman" w:eastAsia="Times New Roman" w:hAnsi="Times New Roman" w:cs="Times New Roman"/>
          <w:i/>
        </w:rPr>
        <w:t xml:space="preserve">Local </w:t>
      </w:r>
      <w:r w:rsidRPr="009B0448">
        <w:rPr>
          <w:rFonts w:ascii="Times New Roman" w:eastAsia="Times New Roman" w:hAnsi="Times New Roman" w:cs="Times New Roman"/>
          <w:i/>
        </w:rPr>
        <w:t>Sustainability</w:t>
      </w:r>
      <w:r w:rsidR="00F26ADC" w:rsidRPr="009B0448">
        <w:rPr>
          <w:rFonts w:ascii="Times New Roman" w:eastAsia="Times New Roman" w:hAnsi="Times New Roman" w:cs="Times New Roman"/>
        </w:rPr>
        <w:t>: 20–</w:t>
      </w:r>
      <w:r w:rsidRPr="009B0448">
        <w:rPr>
          <w:rFonts w:ascii="Times New Roman" w:eastAsia="Times New Roman" w:hAnsi="Times New Roman" w:cs="Times New Roman"/>
        </w:rPr>
        <w:t xml:space="preserve">50%), but the possibility of more aggressive climate mitigation policies that manifest through technological advances under this archetype, suggest that the future patterns of drought may yet be reduced (Taylor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w:t>
      </w:r>
    </w:p>
    <w:p w14:paraId="75741949" w14:textId="77777777" w:rsidR="004031E1" w:rsidRPr="009B0448" w:rsidRDefault="004031E1" w:rsidP="009A06F7">
      <w:pPr>
        <w:spacing w:line="276" w:lineRule="auto"/>
        <w:jc w:val="both"/>
        <w:rPr>
          <w:rFonts w:ascii="Times New Roman" w:eastAsia="Times New Roman" w:hAnsi="Times New Roman" w:cs="Times New Roman"/>
        </w:rPr>
      </w:pPr>
    </w:p>
    <w:p w14:paraId="29C95C6B" w14:textId="2C7F06B7"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Environmental flows within the productive Nile River system, while still categorised as under ‘severe water stress’, improve under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compare</w:t>
      </w:r>
      <w:r w:rsidR="00562EFE" w:rsidRPr="009B0448">
        <w:rPr>
          <w:rFonts w:ascii="Times New Roman" w:eastAsia="Times New Roman" w:hAnsi="Times New Roman" w:cs="Times New Roman"/>
        </w:rPr>
        <w:t>d to scenario alternatives (Wei</w:t>
      </w:r>
      <w:r w:rsidR="00562EFE" w:rsidRPr="009B0448">
        <w:rPr>
          <w:rFonts w:ascii="Times New Roman" w:eastAsia="Times New Roman" w:hAnsi="Times New Roman" w:cs="Times New Roman"/>
          <w:lang w:val="en-ZA" w:eastAsia="en-GB"/>
        </w:rPr>
        <w:t>ß</w:t>
      </w:r>
      <w:r w:rsidRPr="009B0448">
        <w:rPr>
          <w:rFonts w:ascii="Times New Roman" w:eastAsia="Times New Roman" w:hAnsi="Times New Roman" w:cs="Times New Roman"/>
        </w:rPr>
        <w:t xml:space="preserv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2009). However, under this scenario in South Africa, river flow becomes increasingly impounded and diverted for industrial use as global markets transform the landscape, fuelling conflict over extraction needs between agriculture and industries that drive economic growth (Bohensky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Under </w:t>
      </w:r>
      <w:r w:rsidRPr="009B0448">
        <w:rPr>
          <w:rFonts w:ascii="Times New Roman" w:eastAsia="Times New Roman" w:hAnsi="Times New Roman" w:cs="Times New Roman"/>
          <w:i/>
        </w:rPr>
        <w:t xml:space="preserve">Local Sustainability, </w:t>
      </w:r>
      <w:r w:rsidRPr="009B0448">
        <w:rPr>
          <w:rFonts w:ascii="Times New Roman" w:eastAsia="Times New Roman" w:hAnsi="Times New Roman" w:cs="Times New Roman"/>
        </w:rPr>
        <w:t xml:space="preserve">the expansion of agriculture into marginal lands further degrades soil and water quality (Bohensky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decreasing watershed services by 2025 (Notter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Under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the literature indicates that the risk of decreased freshwater runoff is particularly pronounced for South and West Africa (Scholze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Taylor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 and local water and energy interventions, i.e.</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rainwater harvesting and the use of community woodlots, becomes more prevalent in rural areas (Bohensky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w:t>
      </w:r>
      <w:r w:rsidR="003C1C90" w:rsidRPr="009B0448">
        <w:rPr>
          <w:rFonts w:ascii="Times New Roman" w:eastAsia="Times New Roman" w:hAnsi="Times New Roman" w:cs="Times New Roman"/>
        </w:rPr>
        <w:t>4</w:t>
      </w:r>
      <w:r w:rsidRPr="009B0448">
        <w:rPr>
          <w:rFonts w:ascii="Times New Roman" w:eastAsia="Times New Roman" w:hAnsi="Times New Roman" w:cs="Times New Roman"/>
        </w:rPr>
        <w:t>).</w:t>
      </w:r>
    </w:p>
    <w:p w14:paraId="41ABC367" w14:textId="77777777" w:rsidR="004031E1" w:rsidRPr="009B0448" w:rsidRDefault="004031E1" w:rsidP="009A06F7">
      <w:pPr>
        <w:spacing w:line="276" w:lineRule="auto"/>
        <w:jc w:val="both"/>
        <w:rPr>
          <w:rFonts w:ascii="Times New Roman" w:eastAsia="Times New Roman" w:hAnsi="Times New Roman" w:cs="Times New Roman"/>
        </w:rPr>
      </w:pPr>
    </w:p>
    <w:p w14:paraId="2CEB4C3D" w14:textId="30CDFF6A"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De Wit </w:t>
      </w:r>
      <w:r w:rsidR="002F3BA3"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suggest that even under a relatively optimistic </w:t>
      </w:r>
      <w:r w:rsidRPr="009B0448">
        <w:rPr>
          <w:rFonts w:ascii="Times New Roman" w:eastAsia="Times New Roman" w:hAnsi="Times New Roman" w:cs="Times New Roman"/>
          <w:i/>
        </w:rPr>
        <w:t xml:space="preserve">Regional Sustainability </w:t>
      </w:r>
      <w:r w:rsidRPr="009B0448">
        <w:rPr>
          <w:rFonts w:ascii="Times New Roman" w:eastAsia="Times New Roman" w:hAnsi="Times New Roman" w:cs="Times New Roman"/>
        </w:rPr>
        <w:t xml:space="preserve">scenario (B1), a decrease in perennial rainfall would affect surface water access across 25% of Africa by 2100. Given that river channels and basin watersheds demarcate nearly 40% of the international political borders across the continent, declines in perennial flow, and thus water security, will likely have significant water governance implications. The authors suggest that precipitation in Southern, Northern and Western Africa will likely suffer the most notable declines under this scenario. Cape Town could lose almost half of its perennial water supply by the end of the century, and any precipitation changes in the narrow east-west band that separates the Sahara from Central Africa would have substantial repercussions for important water bodies, including the Nile Basin’s Sudd swamps, Niger River and Lake Chad (De Wit </w:t>
      </w:r>
      <w:r w:rsidR="002F3BA3" w:rsidRPr="009B0448">
        <w:rPr>
          <w:rFonts w:ascii="Times New Roman" w:eastAsia="Times New Roman" w:hAnsi="Times New Roman" w:cs="Times New Roman"/>
          <w:i/>
        </w:rPr>
        <w:t>et al.</w:t>
      </w:r>
      <w:r w:rsidRPr="009B0448">
        <w:rPr>
          <w:rFonts w:ascii="Times New Roman" w:eastAsia="Times New Roman" w:hAnsi="Times New Roman" w:cs="Times New Roman"/>
        </w:rPr>
        <w:t>, 2006). There may be insufficient rainfall to allow for perennial river networks in the Sahara in the medium-</w:t>
      </w:r>
      <w:r w:rsidR="000B06FE" w:rsidRPr="009B0448">
        <w:rPr>
          <w:rFonts w:ascii="Times New Roman" w:eastAsia="Times New Roman" w:hAnsi="Times New Roman" w:cs="Times New Roman"/>
        </w:rPr>
        <w:t xml:space="preserve"> to long-</w:t>
      </w:r>
      <w:r w:rsidRPr="009B0448">
        <w:rPr>
          <w:rFonts w:ascii="Times New Roman" w:eastAsia="Times New Roman" w:hAnsi="Times New Roman" w:cs="Times New Roman"/>
        </w:rPr>
        <w:t xml:space="preserve">term (De Wit </w:t>
      </w:r>
      <w:r w:rsidR="002F3BA3"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although the response of the Sahara desert’s range limit is more complex, shifting latitudinally SW-NE (De Wit </w:t>
      </w:r>
      <w:r w:rsidR="002F3BA3" w:rsidRPr="009B0448">
        <w:rPr>
          <w:rFonts w:ascii="Times New Roman" w:eastAsia="Times New Roman" w:hAnsi="Times New Roman" w:cs="Times New Roman"/>
          <w:i/>
        </w:rPr>
        <w:t>et al.</w:t>
      </w:r>
      <w:r w:rsidRPr="009B0448">
        <w:rPr>
          <w:rFonts w:ascii="Times New Roman" w:eastAsia="Times New Roman" w:hAnsi="Times New Roman" w:cs="Times New Roman"/>
        </w:rPr>
        <w:t>, 2006</w:t>
      </w:r>
      <w:r w:rsidR="00D03246" w:rsidRPr="009B0448">
        <w:rPr>
          <w:rFonts w:ascii="Times New Roman" w:eastAsia="Times New Roman" w:hAnsi="Times New Roman" w:cs="Times New Roman"/>
        </w:rPr>
        <w:t xml:space="preserve">; </w:t>
      </w:r>
      <w:r w:rsidRPr="009B0448">
        <w:rPr>
          <w:rFonts w:ascii="Times New Roman" w:eastAsia="Times New Roman" w:hAnsi="Times New Roman" w:cs="Times New Roman"/>
        </w:rPr>
        <w:t xml:space="preserve">Delire </w:t>
      </w:r>
      <w:r w:rsidR="000429F8" w:rsidRPr="009B0448">
        <w:rPr>
          <w:rFonts w:ascii="Times New Roman" w:eastAsia="Times New Roman" w:hAnsi="Times New Roman" w:cs="Times New Roman"/>
          <w:i/>
        </w:rPr>
        <w:t>et al.</w:t>
      </w:r>
      <w:r w:rsidR="009D7F1A" w:rsidRPr="009B0448">
        <w:rPr>
          <w:rFonts w:ascii="Times New Roman" w:eastAsia="Times New Roman" w:hAnsi="Times New Roman" w:cs="Times New Roman"/>
        </w:rPr>
        <w:t>,</w:t>
      </w:r>
      <w:r w:rsidRPr="009B0448">
        <w:rPr>
          <w:rFonts w:ascii="Times New Roman" w:eastAsia="Times New Roman" w:hAnsi="Times New Roman" w:cs="Times New Roman"/>
        </w:rPr>
        <w:t xml:space="preserve"> 2008). Such changes to surface water may have implications for the Great Green Wall Initiative in the Sahel (OSS, 2008). Given the political commitment to the initiative, as well as current concerns about existing water systems (O’Connor </w:t>
      </w:r>
      <w:r w:rsidR="002F3BA3"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this will need to be assessed under a range of likely climate futures. Such assessments </w:t>
      </w:r>
      <w:r w:rsidR="00B239D6" w:rsidRPr="009B0448">
        <w:rPr>
          <w:rFonts w:ascii="Times New Roman" w:eastAsia="Times New Roman" w:hAnsi="Times New Roman" w:cs="Times New Roman"/>
        </w:rPr>
        <w:t xml:space="preserve">are notably absent at present. </w:t>
      </w:r>
    </w:p>
    <w:p w14:paraId="59D8920E" w14:textId="03A5931C"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19" w:name="_1v1yuxt" w:colFirst="0" w:colLast="0"/>
      <w:bookmarkStart w:id="420" w:name="_Toc519500018"/>
      <w:bookmarkEnd w:id="419"/>
      <w:r w:rsidRPr="009B0448">
        <w:rPr>
          <w:rFonts w:cs="Times New Roman"/>
          <w:i w:val="0"/>
          <w:sz w:val="22"/>
          <w:szCs w:val="22"/>
        </w:rPr>
        <w:t>Regulating Services</w:t>
      </w:r>
      <w:bookmarkEnd w:id="420"/>
    </w:p>
    <w:p w14:paraId="64681161" w14:textId="455B25C0"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MA details the global deterioration of </w:t>
      </w:r>
      <w:r w:rsidRPr="009B0448">
        <w:rPr>
          <w:rFonts w:ascii="Times New Roman" w:eastAsia="Times New Roman" w:hAnsi="Times New Roman" w:cs="Times New Roman"/>
          <w:b/>
        </w:rPr>
        <w:t xml:space="preserve">pollination </w:t>
      </w:r>
      <w:r w:rsidRPr="009B0448">
        <w:rPr>
          <w:rFonts w:ascii="Times New Roman" w:eastAsia="Times New Roman" w:hAnsi="Times New Roman" w:cs="Times New Roman"/>
        </w:rPr>
        <w:t xml:space="preserve">services across all scenarios, as habitat losses, species range shifts and declines in species richness affect pollination effectiveness. Only under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is there a possibility of localised improvements owing to regional ecosystem management programmes, and thus the maintenance of pollination capacity at local sites. Under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engineered pollination solutions may become successful in the longer-term and play a profound role in the face of ongoing declines in pollination capacity globally, through for instance the development of self-pollinated crop strains (MA, 2005). For Africa specifically, the existence of large data gaps around wild pollinators and their services (species identity, distribution and abundance) precludes any conclusive statements about pollinator impacts for the continent (IPBES, 2016). However local declines are already evident (IPBES, 2016), which when combined with </w:t>
      </w:r>
      <w:r w:rsidRPr="009B0448">
        <w:rPr>
          <w:rFonts w:ascii="Times New Roman" w:eastAsia="Times New Roman" w:hAnsi="Times New Roman" w:cs="Times New Roman"/>
          <w:i/>
        </w:rPr>
        <w:t>i)</w:t>
      </w:r>
      <w:r w:rsidRPr="009B0448">
        <w:rPr>
          <w:rFonts w:ascii="Times New Roman" w:eastAsia="Times New Roman" w:hAnsi="Times New Roman" w:cs="Times New Roman"/>
        </w:rPr>
        <w:t xml:space="preserve"> well-established evidence that indicates that the rate of climate change under mid- to high emission scenarios will exceed the maximum speed at which many important pollinator groups (e.g., bumble bee and butterfly species) can disperse or migrate (IPBES, 2016), and </w:t>
      </w:r>
      <w:r w:rsidRPr="009B0448">
        <w:rPr>
          <w:rFonts w:ascii="Times New Roman" w:eastAsia="Times New Roman" w:hAnsi="Times New Roman" w:cs="Times New Roman"/>
          <w:i/>
        </w:rPr>
        <w:t xml:space="preserve">ii) </w:t>
      </w:r>
      <w:r w:rsidRPr="009B0448">
        <w:rPr>
          <w:rFonts w:ascii="Times New Roman" w:eastAsia="Times New Roman" w:hAnsi="Times New Roman" w:cs="Times New Roman"/>
        </w:rPr>
        <w:t>the well-established lag effect and delayed response times in ecological systems, suggests that the full impacts of climate change on pollinators and pollination services will only become apparent in several decades (IPBES, 2016), and suggests likely further deterioration of pollinator services in Africa under all scenarios.</w:t>
      </w:r>
    </w:p>
    <w:p w14:paraId="68CE20A2" w14:textId="77777777" w:rsidR="004031E1" w:rsidRPr="009B0448" w:rsidRDefault="004031E1" w:rsidP="009A06F7">
      <w:pPr>
        <w:spacing w:line="276" w:lineRule="auto"/>
        <w:jc w:val="both"/>
        <w:rPr>
          <w:rFonts w:ascii="Times New Roman" w:eastAsia="Times New Roman" w:hAnsi="Times New Roman" w:cs="Times New Roman"/>
        </w:rPr>
      </w:pPr>
    </w:p>
    <w:p w14:paraId="076F9E78" w14:textId="0A2F102B"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Technological innovation under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points to successful deliberate engineered solutions to improve the </w:t>
      </w:r>
      <w:r w:rsidRPr="009B0448">
        <w:rPr>
          <w:rFonts w:ascii="Times New Roman" w:eastAsia="Times New Roman" w:hAnsi="Times New Roman" w:cs="Times New Roman"/>
          <w:b/>
        </w:rPr>
        <w:t>regulation of climate and storm protection</w:t>
      </w:r>
      <w:r w:rsidRPr="009B0448">
        <w:rPr>
          <w:rFonts w:ascii="Times New Roman" w:eastAsia="Times New Roman" w:hAnsi="Times New Roman" w:cs="Times New Roman"/>
        </w:rPr>
        <w:t xml:space="preserve"> (MA, 2005). However, improvements in climate regulation services are largely to the benefit of wealthier countries. For the poorest countries, some of which will likely be located on the African continent, widespread deterioration of ecosystems causes general declines in</w:t>
      </w:r>
      <w:r w:rsidR="00BD2142" w:rsidRPr="009B0448">
        <w:rPr>
          <w:rFonts w:ascii="Times New Roman" w:eastAsia="Times New Roman" w:hAnsi="Times New Roman" w:cs="Times New Roman"/>
        </w:rPr>
        <w:t xml:space="preserve"> climate and storm regulation. A d</w:t>
      </w:r>
      <w:r w:rsidRPr="009B0448">
        <w:rPr>
          <w:rFonts w:ascii="Times New Roman" w:eastAsia="Times New Roman" w:hAnsi="Times New Roman" w:cs="Times New Roman"/>
        </w:rPr>
        <w:t xml:space="preserve">ecline in regulating services in poorer countries is particularly significant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with Africa highly vulnerable due to extensive losses of forest and savanna systems as agriculture is prioritised (MA, 2005). In contrast, under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the </w:t>
      </w:r>
      <w:r w:rsidR="00264EBF" w:rsidRPr="009B0448">
        <w:rPr>
          <w:rFonts w:ascii="Times New Roman" w:eastAsia="Times New Roman" w:hAnsi="Times New Roman" w:cs="Times New Roman"/>
        </w:rPr>
        <w:t>prioritis</w:t>
      </w:r>
      <w:r w:rsidRPr="009B0448">
        <w:rPr>
          <w:rFonts w:ascii="Times New Roman" w:eastAsia="Times New Roman" w:hAnsi="Times New Roman" w:cs="Times New Roman"/>
        </w:rPr>
        <w:t>ation of more integrated ecosystem management approaches and the ecological benefits that result (UNEP, 2016), lead to regional improvements in storm protection (MA, 2005). Similarly, localised conservation improvements in ‘sustainability hotspots’ supports lower rates of habitat loss in these areas (MA, 2005) and thus potential declines in regulating services.</w:t>
      </w:r>
    </w:p>
    <w:p w14:paraId="50084865" w14:textId="77777777" w:rsidR="004031E1" w:rsidRPr="009B0448" w:rsidRDefault="004031E1" w:rsidP="009A06F7">
      <w:pPr>
        <w:spacing w:line="276" w:lineRule="auto"/>
        <w:jc w:val="both"/>
        <w:rPr>
          <w:rFonts w:ascii="Times New Roman" w:eastAsia="Times New Roman" w:hAnsi="Times New Roman" w:cs="Times New Roman"/>
        </w:rPr>
      </w:pPr>
    </w:p>
    <w:p w14:paraId="7F264655" w14:textId="38628933" w:rsidR="002905CD"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Higher emission scenarios typically have larger carbon uptake rates due to faster temperature increases and higher atmospheric CO</w:t>
      </w:r>
      <w:r w:rsidRPr="009B0448">
        <w:rPr>
          <w:rFonts w:ascii="Times New Roman" w:eastAsia="Times New Roman" w:hAnsi="Times New Roman" w:cs="Times New Roman"/>
          <w:vertAlign w:val="subscript"/>
        </w:rPr>
        <w:t xml:space="preserve">2 </w:t>
      </w:r>
      <w:r w:rsidRPr="009B0448">
        <w:rPr>
          <w:rFonts w:ascii="Times New Roman" w:eastAsia="Times New Roman" w:hAnsi="Times New Roman" w:cs="Times New Roman"/>
        </w:rPr>
        <w:t>levels (Alcamo</w:t>
      </w:r>
      <w:r w:rsidR="00754EF0" w:rsidRPr="009B0448">
        <w:rPr>
          <w:rFonts w:ascii="Times New Roman" w:eastAsia="Times New Roman" w:hAnsi="Times New Roman" w:cs="Times New Roman"/>
        </w:rPr>
        <w:t xml:space="preserve"> </w:t>
      </w:r>
      <w:r w:rsidR="00754EF0"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MA, 2005), with the largest uptakes occurring in regions where extensive forests dominate (MA, 2005). </w:t>
      </w:r>
      <w:r w:rsidRPr="009B0448">
        <w:rPr>
          <w:rFonts w:ascii="Times New Roman" w:eastAsia="Times New Roman" w:hAnsi="Times New Roman" w:cs="Times New Roman"/>
          <w:i/>
        </w:rPr>
        <w:t xml:space="preserve">Policy Reform </w:t>
      </w:r>
      <w:r w:rsidRPr="009B0448">
        <w:rPr>
          <w:rFonts w:ascii="Times New Roman" w:eastAsia="Times New Roman" w:hAnsi="Times New Roman" w:cs="Times New Roman"/>
        </w:rPr>
        <w:t xml:space="preserve">prioritises old-growth forests for this reason, but there is considerable uncertainty as to the global success of such policy responses (MA, 2005). The systematic review further indicates inconsistent climate regulation benefit across the African continent under different scenarios - due to the trade-offs between temperature and water availability under different scenarios. In Central Africa, under both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archetypes (~RCP 8.5</w:t>
      </w:r>
      <w:r w:rsidR="000A70BC" w:rsidRPr="009B0448">
        <w:rPr>
          <w:rFonts w:ascii="Times New Roman" w:eastAsia="Times New Roman" w:hAnsi="Times New Roman" w:cs="Times New Roman"/>
        </w:rPr>
        <w:t xml:space="preserve">, Niang </w:t>
      </w:r>
      <w:r w:rsidR="000429F8" w:rsidRPr="009B0448">
        <w:rPr>
          <w:rFonts w:ascii="Times New Roman" w:eastAsia="Times New Roman" w:hAnsi="Times New Roman" w:cs="Times New Roman"/>
          <w:i/>
        </w:rPr>
        <w:t>et al.</w:t>
      </w:r>
      <w:r w:rsidR="000A70BC" w:rsidRPr="009B0448">
        <w:rPr>
          <w:rFonts w:ascii="Times New Roman" w:eastAsia="Times New Roman" w:hAnsi="Times New Roman" w:cs="Times New Roman"/>
        </w:rPr>
        <w:t>, 2014</w:t>
      </w:r>
      <w:r w:rsidRPr="009B0448">
        <w:rPr>
          <w:rFonts w:ascii="Times New Roman" w:eastAsia="Times New Roman" w:hAnsi="Times New Roman" w:cs="Times New Roman"/>
        </w:rPr>
        <w:t xml:space="preserve">), Net Primary Production (NPP, a proxy for carbon sequestration by plants) may increase in the woodlands of Sudan (Alam </w:t>
      </w:r>
      <w:r w:rsidR="002F3BA3"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2013). In contrast, in Southern Africa, decreased water availability may reduce NPP, regardless of any increases in tree coverage (Yu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While the savannas across Southern Africa may currently be bigger stores of organic carbon than initially thought (Dintewe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field measurements indicate that their storage effectiveness will likely decline in the future, as the region warms and dries into 2100 (Dintewe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 Given the limited evidence exploring the role that African ecosystems play in climate regulation, and how this varies under different scenarios and temperature and precipitation regimes, this points to a research gap.</w:t>
      </w:r>
    </w:p>
    <w:p w14:paraId="2186DB96" w14:textId="09334F04"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21" w:name="_Toc519500019"/>
      <w:r w:rsidRPr="009B0448">
        <w:rPr>
          <w:rFonts w:cs="Times New Roman"/>
          <w:i w:val="0"/>
          <w:sz w:val="22"/>
          <w:szCs w:val="22"/>
        </w:rPr>
        <w:t>Uncertainties, gaps and research needs</w:t>
      </w:r>
      <w:bookmarkEnd w:id="421"/>
    </w:p>
    <w:p w14:paraId="4DA2D2EC" w14:textId="5ACADF81"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scenario studies identified in the systematic review that focus on particular places or sets of species align broadly with the trends observed by the core scenario reports assessed in this chapter, with higher emissions futures having more severe consequences for biodiversity and ecosystem services. However, there is relatively little published literature that considers the full suite of scenario archetypes for Africa, and few comparable studies on the same species groups, precluding the assessment of collective responses per taxon at this time. For the most part, this results in low resolution and levels of certainty about the future of biodiversity and NCP in Africa. Specifically, there is a need for further scenarios and modelling work on tropical ecosystems that takes into account the different levels of biotic interactions and that incorporates sufficient geographical (scale issues), ecological and taxonomic resolution (Kissling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Jaramillo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w:t>
      </w:r>
    </w:p>
    <w:p w14:paraId="522B4114" w14:textId="77777777" w:rsidR="009A06F7" w:rsidRPr="009B0448" w:rsidRDefault="009A06F7" w:rsidP="009A06F7">
      <w:pPr>
        <w:spacing w:line="276" w:lineRule="auto"/>
        <w:jc w:val="both"/>
        <w:rPr>
          <w:rFonts w:ascii="Times New Roman" w:eastAsia="Times New Roman" w:hAnsi="Times New Roman" w:cs="Times New Roman"/>
        </w:rPr>
      </w:pPr>
    </w:p>
    <w:p w14:paraId="7A8281DF" w14:textId="203171D9"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climate scenarios considered by the studies identified in the systematic review, and described in this section, are mainly driven by the IPCC emissions scenarios (</w:t>
      </w:r>
      <w:r w:rsidR="000A70BC"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0A70BC" w:rsidRPr="009B0448">
        <w:rPr>
          <w:rFonts w:ascii="Times New Roman" w:eastAsia="Times New Roman" w:hAnsi="Times New Roman" w:cs="Times New Roman"/>
        </w:rPr>
        <w:t xml:space="preserve">, 2000; Niang </w:t>
      </w:r>
      <w:r w:rsidR="000429F8" w:rsidRPr="009B0448">
        <w:rPr>
          <w:rFonts w:ascii="Times New Roman" w:eastAsia="Times New Roman" w:hAnsi="Times New Roman" w:cs="Times New Roman"/>
          <w:i/>
        </w:rPr>
        <w:t>et al.</w:t>
      </w:r>
      <w:r w:rsidR="000A70BC" w:rsidRPr="009B0448">
        <w:rPr>
          <w:rFonts w:ascii="Times New Roman" w:eastAsia="Times New Roman" w:hAnsi="Times New Roman" w:cs="Times New Roman"/>
        </w:rPr>
        <w:t>, 201</w:t>
      </w:r>
      <w:r w:rsidR="004711C0" w:rsidRPr="009B0448">
        <w:rPr>
          <w:rFonts w:ascii="Times New Roman" w:eastAsia="Times New Roman" w:hAnsi="Times New Roman" w:cs="Times New Roman"/>
        </w:rPr>
        <w:t>4</w:t>
      </w:r>
      <w:r w:rsidR="000A70BC" w:rsidRPr="009B0448">
        <w:rPr>
          <w:rFonts w:ascii="Times New Roman" w:eastAsia="Times New Roman" w:hAnsi="Times New Roman" w:cs="Times New Roman"/>
        </w:rPr>
        <w:t xml:space="preserve">; </w:t>
      </w:r>
      <w:r w:rsidRPr="009B0448">
        <w:rPr>
          <w:rFonts w:ascii="Times New Roman" w:eastAsia="Times New Roman" w:hAnsi="Times New Roman" w:cs="Times New Roman"/>
        </w:rPr>
        <w:t xml:space="preserve">and IS92), and to a lesser extent, the Millennium </w:t>
      </w:r>
      <w:r w:rsidR="00A54730" w:rsidRPr="009B0448">
        <w:rPr>
          <w:rFonts w:ascii="Times New Roman" w:eastAsia="Times New Roman" w:hAnsi="Times New Roman" w:cs="Times New Roman"/>
        </w:rPr>
        <w:t xml:space="preserve">Ecosystem </w:t>
      </w:r>
      <w:r w:rsidRPr="009B0448">
        <w:rPr>
          <w:rFonts w:ascii="Times New Roman" w:eastAsia="Times New Roman" w:hAnsi="Times New Roman" w:cs="Times New Roman"/>
        </w:rPr>
        <w:t xml:space="preserve">Assessment, and the Global Environment Outlook 4. Most literature focuses on emission scenarios that fall within the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archetypes, either individually as a single representation of a possible future, or by making comparisons, i.e.</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comparing a high versus medium emissions future. This suggests a need for considering a wider set of emissions futures in future analyses. The choice of emissions frameworks in the literature to date reflect</w:t>
      </w:r>
      <w:r w:rsidR="00BD2142" w:rsidRPr="009B0448">
        <w:rPr>
          <w:rFonts w:ascii="Times New Roman" w:eastAsia="Times New Roman" w:hAnsi="Times New Roman" w:cs="Times New Roman"/>
        </w:rPr>
        <w:t>s</w:t>
      </w:r>
      <w:r w:rsidRPr="009B0448">
        <w:rPr>
          <w:rFonts w:ascii="Times New Roman" w:eastAsia="Times New Roman" w:hAnsi="Times New Roman" w:cs="Times New Roman"/>
        </w:rPr>
        <w:t xml:space="preserve"> the time-lags between </w:t>
      </w:r>
      <w:r w:rsidR="00BD2142" w:rsidRPr="009B0448">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publication date of the scenario framework and wider use by the scientific community (van Vuuren </w:t>
      </w:r>
      <w:r w:rsidR="002F3BA3" w:rsidRPr="009B0448">
        <w:rPr>
          <w:rFonts w:ascii="Times New Roman" w:eastAsia="Times New Roman" w:hAnsi="Times New Roman" w:cs="Times New Roman"/>
          <w:i/>
        </w:rPr>
        <w:t>et al.</w:t>
      </w:r>
      <w:r w:rsidRPr="009B0448">
        <w:rPr>
          <w:rFonts w:ascii="Times New Roman" w:eastAsia="Times New Roman" w:hAnsi="Times New Roman" w:cs="Times New Roman"/>
        </w:rPr>
        <w:t>, 2014</w:t>
      </w:r>
      <w:r w:rsidR="0061299D" w:rsidRPr="009B0448">
        <w:rPr>
          <w:rFonts w:ascii="Times New Roman" w:eastAsia="Times New Roman" w:hAnsi="Times New Roman" w:cs="Times New Roman"/>
        </w:rPr>
        <w:t>a</w:t>
      </w:r>
      <w:r w:rsidRPr="009B0448">
        <w:rPr>
          <w:rFonts w:ascii="Times New Roman" w:eastAsia="Times New Roman" w:hAnsi="Times New Roman" w:cs="Times New Roman"/>
        </w:rPr>
        <w:t xml:space="preserve">). Greater use of Africa specific scenarios such as the recent WWF/GEO6 </w:t>
      </w:r>
      <w:r w:rsidR="004711C0" w:rsidRPr="009B0448">
        <w:rPr>
          <w:rFonts w:ascii="Times New Roman" w:eastAsia="Times New Roman" w:hAnsi="Times New Roman" w:cs="Times New Roman"/>
        </w:rPr>
        <w:t xml:space="preserve">(WWF-AfDB, 2015; UNEP, 2016) </w:t>
      </w:r>
      <w:r w:rsidRPr="009B0448">
        <w:rPr>
          <w:rFonts w:ascii="Times New Roman" w:eastAsia="Times New Roman" w:hAnsi="Times New Roman" w:cs="Times New Roman"/>
        </w:rPr>
        <w:t xml:space="preserve">scenarios would help broaden the range of futures </w:t>
      </w:r>
      <w:r w:rsidR="00756658" w:rsidRPr="009B0448">
        <w:rPr>
          <w:rFonts w:ascii="Times New Roman" w:eastAsia="Times New Roman" w:hAnsi="Times New Roman" w:cs="Times New Roman"/>
        </w:rPr>
        <w:t>analysed</w:t>
      </w:r>
      <w:r w:rsidRPr="009B0448">
        <w:rPr>
          <w:rFonts w:ascii="Times New Roman" w:eastAsia="Times New Roman" w:hAnsi="Times New Roman" w:cs="Times New Roman"/>
        </w:rPr>
        <w:t>.</w:t>
      </w:r>
    </w:p>
    <w:p w14:paraId="5E57C8D2" w14:textId="77777777" w:rsidR="009A06F7" w:rsidRPr="009B0448" w:rsidRDefault="009A06F7" w:rsidP="009A06F7">
      <w:pPr>
        <w:spacing w:line="276" w:lineRule="auto"/>
        <w:jc w:val="both"/>
        <w:rPr>
          <w:rFonts w:ascii="Times New Roman" w:eastAsia="Times New Roman" w:hAnsi="Times New Roman" w:cs="Times New Roman"/>
        </w:rPr>
      </w:pPr>
    </w:p>
    <w:p w14:paraId="7BBD358E" w14:textId="68C0025E" w:rsidR="00991066" w:rsidRPr="009B0448" w:rsidRDefault="00991066" w:rsidP="009A06F7">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There is a strong spatial bias towards biodiversity studies in Southern Africa (South Africa specifically), and to a lesser extent, East Africa. Central Africa is most poorly represented. The direct links between biodiversity features, ecosystem services and human livelihoods are not well explored. Instead, most of the literature focuses on forecasting species’ range shifts, extinction risk and habitat loss. This points to an urgent need for making the biodiversity and ecosystem services benefit linkage more explicit in future scenarios work.</w:t>
      </w:r>
    </w:p>
    <w:p w14:paraId="24BC7802" w14:textId="477C691A" w:rsidR="00991066" w:rsidRPr="009B0448" w:rsidRDefault="00991066" w:rsidP="00FA7185">
      <w:pPr>
        <w:pStyle w:val="Heading3"/>
        <w:widowControl w:val="0"/>
        <w:numPr>
          <w:ilvl w:val="1"/>
          <w:numId w:val="11"/>
        </w:numPr>
        <w:spacing w:before="240" w:after="240"/>
        <w:ind w:left="709" w:hanging="720"/>
        <w:rPr>
          <w:rFonts w:eastAsia="Calibri" w:cs="Times New Roman"/>
          <w:szCs w:val="24"/>
        </w:rPr>
      </w:pPr>
      <w:bookmarkStart w:id="422" w:name="_2u6wntf" w:colFirst="0" w:colLast="0"/>
      <w:bookmarkStart w:id="423" w:name="_Toc519500020"/>
      <w:bookmarkEnd w:id="422"/>
      <w:r w:rsidRPr="009B0448">
        <w:rPr>
          <w:rFonts w:eastAsia="Calibri" w:cs="Times New Roman"/>
          <w:szCs w:val="24"/>
        </w:rPr>
        <w:t>Human well-being, poverty and inequality</w:t>
      </w:r>
      <w:bookmarkEnd w:id="423"/>
    </w:p>
    <w:p w14:paraId="6D549C19" w14:textId="17B419FB"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As highlighted in Chapter 2, many aspects of human well-being have improved for much of Africa’s population over the last 50 years: poverty has declined, better health care is available, and trade and education are opening up opportunities for the continent’s citizens (A</w:t>
      </w:r>
      <w:r w:rsidR="00210AA1" w:rsidRPr="009B0448">
        <w:rPr>
          <w:rFonts w:ascii="Times New Roman" w:eastAsia="Times New Roman" w:hAnsi="Times New Roman" w:cs="Times New Roman"/>
        </w:rPr>
        <w:t>f</w:t>
      </w:r>
      <w:r w:rsidRPr="009B0448">
        <w:rPr>
          <w:rFonts w:ascii="Times New Roman" w:eastAsia="Times New Roman" w:hAnsi="Times New Roman" w:cs="Times New Roman"/>
        </w:rPr>
        <w:t xml:space="preserve">DB, 2014). But it is also clear that progress has been patchy, and major challenges remain, both within and between countries. The impact of environmental change on people’s well-being in the current African context is discussed in detail in Chapter 2. Building upon this foundation, the following section considers human well-being under a range of future scenarios for Africa in 2030 and beyond. </w:t>
      </w:r>
    </w:p>
    <w:p w14:paraId="3D60695C" w14:textId="77777777" w:rsidR="0010089E" w:rsidRPr="009B0448" w:rsidRDefault="0010089E" w:rsidP="00F26ADC">
      <w:pPr>
        <w:spacing w:line="276" w:lineRule="auto"/>
        <w:jc w:val="both"/>
        <w:rPr>
          <w:rFonts w:ascii="Times New Roman" w:eastAsia="Times New Roman" w:hAnsi="Times New Roman" w:cs="Times New Roman"/>
        </w:rPr>
      </w:pPr>
    </w:p>
    <w:p w14:paraId="1AB7F42B" w14:textId="4D5ADDB5"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Of the core scenario studies in Table 5.2, the most detailed description of human well-being outcomes under the different scenario types is again provided by the MA. The other core studies assessed in this chapter talk more generally about good quality of life in terms of economic development (</w:t>
      </w:r>
      <w:r w:rsidR="005D4C19"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5D4C19" w:rsidRPr="009B0448">
        <w:rPr>
          <w:rFonts w:ascii="Times New Roman" w:eastAsia="Times New Roman" w:hAnsi="Times New Roman" w:cs="Times New Roman"/>
        </w:rPr>
        <w:t>, 2000; WWF-AfDB, 2015; UNEP, 2016</w:t>
      </w:r>
      <w:r w:rsidRPr="009B0448">
        <w:rPr>
          <w:rFonts w:ascii="Times New Roman" w:eastAsia="Times New Roman" w:hAnsi="Times New Roman" w:cs="Times New Roman"/>
        </w:rPr>
        <w:t>) or specific health-related concerns, such as air and water pollution (</w:t>
      </w:r>
      <w:r w:rsidR="005D4C19" w:rsidRPr="009B0448">
        <w:rPr>
          <w:rFonts w:ascii="Times New Roman" w:eastAsia="Times New Roman" w:hAnsi="Times New Roman" w:cs="Times New Roman"/>
        </w:rPr>
        <w:t>UNEP, 2007; WWF-AfDB, 2015; UNEP, 2016</w:t>
      </w:r>
      <w:r w:rsidRPr="009B0448">
        <w:rPr>
          <w:rFonts w:ascii="Times New Roman" w:eastAsia="Times New Roman" w:hAnsi="Times New Roman" w:cs="Times New Roman"/>
        </w:rPr>
        <w:t xml:space="preserve">). For the purposes of this section, the five scenario archetypes are discussed in light of the following human well-being outcomes, building largely on those addressed in the MA (Butler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material well-being and poverty reduction (including food, water and energy security), equity, health, security and social relations, as well as freedom and choice. Where possible, details about each of these human well-being components were extracted from the core scenarios studies </w:t>
      </w:r>
      <w:r w:rsidR="0009566D" w:rsidRPr="009B0448">
        <w:rPr>
          <w:rFonts w:ascii="Times New Roman" w:eastAsia="Times New Roman" w:hAnsi="Times New Roman" w:cs="Times New Roman"/>
        </w:rPr>
        <w:t>(presented in Table 5.2)</w:t>
      </w:r>
      <w:r w:rsidRPr="009B0448">
        <w:rPr>
          <w:rFonts w:ascii="Times New Roman" w:eastAsia="Times New Roman" w:hAnsi="Times New Roman" w:cs="Times New Roman"/>
        </w:rPr>
        <w:t xml:space="preserve"> and supplemented with relevant information from local or regional-scale studies making use of these scenario archetypes. Overall scenario trends for Africa are </w:t>
      </w:r>
      <w:r w:rsidR="000B06FE" w:rsidRPr="009B0448">
        <w:rPr>
          <w:rFonts w:ascii="Times New Roman" w:eastAsia="Times New Roman" w:hAnsi="Times New Roman" w:cs="Times New Roman"/>
        </w:rPr>
        <w:t>summarise</w:t>
      </w:r>
      <w:r w:rsidRPr="009B0448">
        <w:rPr>
          <w:rFonts w:ascii="Times New Roman" w:eastAsia="Times New Roman" w:hAnsi="Times New Roman" w:cs="Times New Roman"/>
        </w:rPr>
        <w:t>d in Table 5.5, with the acknowledg</w:t>
      </w:r>
      <w:r w:rsidR="0009566D" w:rsidRPr="009B0448">
        <w:rPr>
          <w:rFonts w:ascii="Times New Roman" w:eastAsia="Times New Roman" w:hAnsi="Times New Roman" w:cs="Times New Roman"/>
        </w:rPr>
        <w:t>e</w:t>
      </w:r>
      <w:r w:rsidRPr="009B0448">
        <w:rPr>
          <w:rFonts w:ascii="Times New Roman" w:eastAsia="Times New Roman" w:hAnsi="Times New Roman" w:cs="Times New Roman"/>
        </w:rPr>
        <w:t>ment that continent-wide trends may mask heterogeneity in outcomes for different regions, groups of people, or aspects of t</w:t>
      </w:r>
      <w:r w:rsidR="002905CD" w:rsidRPr="009B0448">
        <w:rPr>
          <w:rFonts w:ascii="Times New Roman" w:eastAsia="Times New Roman" w:hAnsi="Times New Roman" w:cs="Times New Roman"/>
        </w:rPr>
        <w:t xml:space="preserve">he human well-being component. </w:t>
      </w:r>
    </w:p>
    <w:p w14:paraId="36B6D586" w14:textId="77777777" w:rsidR="0010089E" w:rsidRPr="009B0448" w:rsidRDefault="0010089E" w:rsidP="00F26ADC">
      <w:pPr>
        <w:spacing w:line="276" w:lineRule="auto"/>
        <w:jc w:val="both"/>
        <w:rPr>
          <w:rFonts w:ascii="Times New Roman" w:eastAsia="Times New Roman" w:hAnsi="Times New Roman" w:cs="Times New Roman"/>
        </w:rPr>
      </w:pPr>
    </w:p>
    <w:p w14:paraId="1E1EDEE7" w14:textId="4DBD76A8" w:rsidR="00991066" w:rsidRPr="00D32AA1" w:rsidRDefault="00991066" w:rsidP="00D32AA1">
      <w:pPr>
        <w:spacing w:line="276" w:lineRule="auto"/>
        <w:jc w:val="both"/>
        <w:rPr>
          <w:rFonts w:ascii="Times New Roman" w:eastAsia="Times New Roman" w:hAnsi="Times New Roman" w:cs="Times New Roman"/>
          <w:b/>
          <w:i/>
        </w:rPr>
      </w:pPr>
      <w:r w:rsidRPr="00D32AA1">
        <w:rPr>
          <w:rFonts w:ascii="Times New Roman" w:eastAsia="Times New Roman" w:hAnsi="Times New Roman" w:cs="Times New Roman"/>
          <w:b/>
        </w:rPr>
        <w:t xml:space="preserve">Table 5.5: </w:t>
      </w:r>
      <w:r w:rsidR="00B24128" w:rsidRPr="00D32AA1">
        <w:rPr>
          <w:rFonts w:ascii="Times New Roman" w:eastAsia="Times New Roman" w:hAnsi="Times New Roman" w:cs="Times New Roman"/>
        </w:rPr>
        <w:t>Summary of well-being trajectories in scenario archetypes for Africa. Arrows indicate an increase (</w:t>
      </w:r>
      <w:r w:rsidR="00B24128" w:rsidRPr="00D32AA1">
        <w:rPr>
          <w:rFonts w:ascii="Cambria Math" w:eastAsia="Times New Roman" w:hAnsi="Cambria Math" w:cs="Cambria Math"/>
        </w:rPr>
        <w:t>↗</w:t>
      </w:r>
      <w:r w:rsidR="00B24128" w:rsidRPr="00D32AA1">
        <w:rPr>
          <w:rFonts w:ascii="Times New Roman" w:eastAsia="Times New Roman" w:hAnsi="Times New Roman" w:cs="Times New Roman"/>
        </w:rPr>
        <w:t>), decrease (</w:t>
      </w:r>
      <w:r w:rsidR="00B24128" w:rsidRPr="00D32AA1">
        <w:rPr>
          <w:rFonts w:ascii="Cambria Math" w:eastAsia="Times New Roman" w:hAnsi="Cambria Math" w:cs="Cambria Math"/>
        </w:rPr>
        <w:t>↘</w:t>
      </w:r>
      <w:r w:rsidR="00B24128" w:rsidRPr="00D32AA1">
        <w:rPr>
          <w:rFonts w:ascii="Times New Roman" w:eastAsia="Times New Roman" w:hAnsi="Times New Roman" w:cs="Times New Roman"/>
        </w:rPr>
        <w:t>), or no change (→) in the human well-being component under each scenario type, relative to the present. Within a cell, arrows represent the main scenario reports in the following order: IPCC; MA; GEO4; WWF/GEO6. If a report does not cover a</w:t>
      </w:r>
      <w:r w:rsidR="00C83C05" w:rsidRPr="00D32AA1">
        <w:rPr>
          <w:rFonts w:ascii="Times New Roman" w:eastAsia="Times New Roman" w:hAnsi="Times New Roman" w:cs="Times New Roman"/>
        </w:rPr>
        <w:t>n archetype, this is symbolis</w:t>
      </w:r>
      <w:r w:rsidR="00B24128" w:rsidRPr="00D32AA1">
        <w:rPr>
          <w:rFonts w:ascii="Times New Roman" w:eastAsia="Times New Roman" w:hAnsi="Times New Roman" w:cs="Times New Roman"/>
        </w:rPr>
        <w:t xml:space="preserve">ed by ‘0’, whilst if a report does not explicitly address a specific element, it is indicated by an ‘X’. The colour of the cell indicates the overall trend across the reports, where green indicates </w:t>
      </w:r>
      <w:r w:rsidR="0009566D" w:rsidRPr="00D32AA1">
        <w:rPr>
          <w:rFonts w:ascii="Times New Roman" w:eastAsia="Times New Roman" w:hAnsi="Times New Roman" w:cs="Times New Roman"/>
        </w:rPr>
        <w:t xml:space="preserve">an </w:t>
      </w:r>
      <w:r w:rsidR="00B24128" w:rsidRPr="00D32AA1">
        <w:rPr>
          <w:rFonts w:ascii="Times New Roman" w:eastAsia="Times New Roman" w:hAnsi="Times New Roman" w:cs="Times New Roman"/>
        </w:rPr>
        <w:t xml:space="preserve">overall increase, orange indicates </w:t>
      </w:r>
      <w:r w:rsidR="0009566D" w:rsidRPr="00D32AA1">
        <w:rPr>
          <w:rFonts w:ascii="Times New Roman" w:eastAsia="Times New Roman" w:hAnsi="Times New Roman" w:cs="Times New Roman"/>
        </w:rPr>
        <w:t xml:space="preserve">an </w:t>
      </w:r>
      <w:r w:rsidR="00B24128" w:rsidRPr="00D32AA1">
        <w:rPr>
          <w:rFonts w:ascii="Times New Roman" w:eastAsia="Times New Roman" w:hAnsi="Times New Roman" w:cs="Times New Roman"/>
        </w:rPr>
        <w:t xml:space="preserve">overall decrease, </w:t>
      </w:r>
      <w:r w:rsidR="00D4358E" w:rsidRPr="00D32AA1">
        <w:rPr>
          <w:rFonts w:ascii="Times New Roman" w:eastAsia="Times New Roman" w:hAnsi="Times New Roman" w:cs="Times New Roman"/>
        </w:rPr>
        <w:t>purple</w:t>
      </w:r>
      <w:r w:rsidR="00B24128" w:rsidRPr="00D32AA1">
        <w:rPr>
          <w:rFonts w:ascii="Times New Roman" w:eastAsia="Times New Roman" w:hAnsi="Times New Roman" w:cs="Times New Roman"/>
        </w:rPr>
        <w:t xml:space="preserve"> indicates contradictory trends, and no colour indicates no overall change.</w:t>
      </w:r>
    </w:p>
    <w:p w14:paraId="00718325" w14:textId="12656038" w:rsidR="00D32AA1" w:rsidRDefault="00991066" w:rsidP="00D32AA1">
      <w:pPr>
        <w:spacing w:line="276" w:lineRule="auto"/>
        <w:jc w:val="both"/>
        <w:rPr>
          <w:rFonts w:ascii="Times New Roman" w:eastAsia="Times New Roman" w:hAnsi="Times New Roman" w:cs="Times New Roman"/>
          <w:b/>
          <w:i/>
          <w:sz w:val="20"/>
          <w:szCs w:val="20"/>
        </w:rPr>
      </w:pPr>
      <w:r w:rsidRPr="009B0448">
        <w:rPr>
          <w:rFonts w:ascii="Times New Roman" w:eastAsia="Times New Roman" w:hAnsi="Times New Roman" w:cs="Times New Roman"/>
          <w:b/>
          <w:i/>
          <w:noProof/>
          <w:sz w:val="20"/>
          <w:szCs w:val="20"/>
          <w:lang w:eastAsia="en-GB"/>
        </w:rPr>
        <w:drawing>
          <wp:inline distT="114300" distB="114300" distL="114300" distR="114300" wp14:anchorId="6E41092B" wp14:editId="5B079B0F">
            <wp:extent cx="5650589" cy="2834650"/>
            <wp:effectExtent l="0" t="0" r="7620" b="3810"/>
            <wp:docPr id="5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585">
                      <a:extLst>
                        <a:ext uri="{28A0092B-C50C-407E-A947-70E740481C1C}">
                          <a14:useLocalDpi xmlns:a14="http://schemas.microsoft.com/office/drawing/2010/main" val="0"/>
                        </a:ext>
                      </a:extLst>
                    </a:blip>
                    <a:stretch>
                      <a:fillRect/>
                    </a:stretch>
                  </pic:blipFill>
                  <pic:spPr>
                    <a:xfrm>
                      <a:off x="0" y="0"/>
                      <a:ext cx="5650589" cy="2834650"/>
                    </a:xfrm>
                    <a:prstGeom prst="rect">
                      <a:avLst/>
                    </a:prstGeom>
                    <a:ln/>
                  </pic:spPr>
                </pic:pic>
              </a:graphicData>
            </a:graphic>
          </wp:inline>
        </w:drawing>
      </w:r>
      <w:r w:rsidR="00D32AA1">
        <w:rPr>
          <w:rFonts w:ascii="Times New Roman" w:eastAsia="Times New Roman" w:hAnsi="Times New Roman" w:cs="Times New Roman"/>
          <w:b/>
          <w:i/>
          <w:sz w:val="20"/>
          <w:szCs w:val="20"/>
        </w:rPr>
        <w:br w:type="page"/>
      </w:r>
    </w:p>
    <w:p w14:paraId="172944B0" w14:textId="0E8AE221"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24" w:name="_19c6y18" w:colFirst="0" w:colLast="0"/>
      <w:bookmarkStart w:id="425" w:name="_Toc519500021"/>
      <w:bookmarkEnd w:id="424"/>
      <w:r w:rsidRPr="009B0448">
        <w:rPr>
          <w:rFonts w:cs="Times New Roman"/>
          <w:i w:val="0"/>
          <w:sz w:val="22"/>
          <w:szCs w:val="22"/>
        </w:rPr>
        <w:t>Material well-being and poverty reduction</w:t>
      </w:r>
      <w:bookmarkEnd w:id="425"/>
    </w:p>
    <w:p w14:paraId="253CDC18" w14:textId="2D33BEA3"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Under three of the five scenario archetypes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global trade, technological advances and large-scale resource extraction lead to a general increase in material well-being and poverty reduction (</w:t>
      </w:r>
      <w:r w:rsidR="00043CC2" w:rsidRPr="009B0448">
        <w:rPr>
          <w:rFonts w:ascii="Times New Roman" w:eastAsia="Times New Roman" w:hAnsi="Times New Roman" w:cs="Times New Roman"/>
        </w:rPr>
        <w:t>Nakicenovic</w:t>
      </w:r>
      <w:r w:rsidR="00754EF0" w:rsidRPr="009B0448">
        <w:rPr>
          <w:rFonts w:ascii="Times New Roman" w:eastAsia="Times New Roman" w:hAnsi="Times New Roman" w:cs="Times New Roman"/>
        </w:rPr>
        <w:t xml:space="preserve"> </w:t>
      </w:r>
      <w:r w:rsidR="00754EF0" w:rsidRPr="009B0448">
        <w:rPr>
          <w:rFonts w:ascii="Times New Roman" w:eastAsia="Times New Roman" w:hAnsi="Times New Roman" w:cs="Times New Roman"/>
          <w:i/>
        </w:rPr>
        <w:t>et al.</w:t>
      </w:r>
      <w:r w:rsidR="00043CC2" w:rsidRPr="009B0448">
        <w:rPr>
          <w:rFonts w:ascii="Times New Roman" w:eastAsia="Times New Roman" w:hAnsi="Times New Roman" w:cs="Times New Roman"/>
        </w:rPr>
        <w:t>, 2000</w:t>
      </w:r>
      <w:r w:rsidRPr="009B0448">
        <w:rPr>
          <w:rFonts w:ascii="Times New Roman" w:eastAsia="Times New Roman" w:hAnsi="Times New Roman" w:cs="Times New Roman"/>
        </w:rPr>
        <w:t>; MA</w:t>
      </w:r>
      <w:r w:rsidR="00043CC2"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w:t>
      </w:r>
      <w:r w:rsidR="00043CC2" w:rsidRPr="009B0448">
        <w:rPr>
          <w:rFonts w:ascii="Times New Roman" w:eastAsia="Times New Roman" w:hAnsi="Times New Roman" w:cs="Times New Roman"/>
        </w:rPr>
        <w:t>UNEP, 2007</w:t>
      </w:r>
      <w:r w:rsidRPr="009B0448">
        <w:rPr>
          <w:rFonts w:ascii="Times New Roman" w:eastAsia="Times New Roman" w:hAnsi="Times New Roman" w:cs="Times New Roman"/>
        </w:rPr>
        <w:t xml:space="preserve">). Energy security is met in all three these archetypes; in the case of </w:t>
      </w:r>
      <w:r w:rsidRPr="009B0448">
        <w:rPr>
          <w:rFonts w:ascii="Times New Roman" w:eastAsia="Times New Roman" w:hAnsi="Times New Roman" w:cs="Times New Roman"/>
          <w:i/>
        </w:rPr>
        <w:t xml:space="preserve">Regional Sustainability, </w:t>
      </w:r>
      <w:r w:rsidRPr="009B0448">
        <w:rPr>
          <w:rFonts w:ascii="Times New Roman" w:eastAsia="Times New Roman" w:hAnsi="Times New Roman" w:cs="Times New Roman"/>
        </w:rPr>
        <w:t xml:space="preserve">through large-scale renewable energy projects in places like the Sahel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 However, in this scenario, there is also a risk of rising unemployment due to increasingly affordable robotization in the workplace (MA</w:t>
      </w:r>
      <w:r w:rsidR="00043CC2"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Globally, food security is also met under these archetypes, though the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archetype initially sees a reduction in food security for Africa’s rural population due to a focus on the production of cash crops (WWF</w:t>
      </w:r>
      <w:r w:rsidR="00043CC2" w:rsidRPr="009B0448">
        <w:rPr>
          <w:rFonts w:ascii="Times New Roman" w:eastAsia="Times New Roman" w:hAnsi="Times New Roman" w:cs="Times New Roman"/>
        </w:rPr>
        <w:t>-AfDB, 2015; UNEP, 2016</w:t>
      </w:r>
      <w:r w:rsidRPr="009B0448">
        <w:rPr>
          <w:rFonts w:ascii="Times New Roman" w:eastAsia="Times New Roman" w:hAnsi="Times New Roman" w:cs="Times New Roman"/>
        </w:rPr>
        <w:t xml:space="preserve">) and the impacts of climate change (Shah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This imbalance is potentially addressed in the longer-term through partnerships between government, business and communities. </w:t>
      </w:r>
    </w:p>
    <w:p w14:paraId="0111D772" w14:textId="77777777" w:rsidR="0010089E" w:rsidRPr="009B0448" w:rsidRDefault="0010089E" w:rsidP="00F26ADC">
      <w:pPr>
        <w:spacing w:line="276" w:lineRule="auto"/>
        <w:jc w:val="both"/>
        <w:rPr>
          <w:rFonts w:ascii="Times New Roman" w:eastAsia="Times New Roman" w:hAnsi="Times New Roman" w:cs="Times New Roman"/>
        </w:rPr>
      </w:pPr>
    </w:p>
    <w:p w14:paraId="2AD45B7D" w14:textId="7B50D7DF"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Climate change remains a challenge under most archetypes. In both the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scenarios, climate change is predicted to have negative impacts on agricultural production and farm incomes in many parts of the continent (Boko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2007), including low-lying areas in East Africa where the majority of Kenya’s farmlands are situated (Mulwa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In the </w:t>
      </w:r>
      <w:r w:rsidRPr="009B0448">
        <w:rPr>
          <w:rFonts w:ascii="Times New Roman" w:eastAsia="Times New Roman" w:hAnsi="Times New Roman" w:cs="Times New Roman"/>
          <w:i/>
        </w:rPr>
        <w:t xml:space="preserve">Local Sustainability </w:t>
      </w:r>
      <w:r w:rsidRPr="009B0448">
        <w:rPr>
          <w:rFonts w:ascii="Times New Roman" w:eastAsia="Times New Roman" w:hAnsi="Times New Roman" w:cs="Times New Roman"/>
        </w:rPr>
        <w:t xml:space="preserve">scenario archetype, diverse, climate-smart agricultural practices and </w:t>
      </w:r>
      <w:r w:rsidR="00F13B9C" w:rsidRPr="009B0448">
        <w:rPr>
          <w:rFonts w:ascii="Times New Roman" w:eastAsia="Times New Roman" w:hAnsi="Times New Roman" w:cs="Times New Roman"/>
        </w:rPr>
        <w:t>localis</w:t>
      </w:r>
      <w:r w:rsidRPr="009B0448">
        <w:rPr>
          <w:rFonts w:ascii="Times New Roman" w:eastAsia="Times New Roman" w:hAnsi="Times New Roman" w:cs="Times New Roman"/>
        </w:rPr>
        <w:t>ed water and renewable energy infrastructure developments see an improvement in livelihood, food, water, and energy security at the household level (</w:t>
      </w:r>
      <w:r w:rsidR="00210AA1" w:rsidRPr="009B0448">
        <w:rPr>
          <w:rFonts w:ascii="Times New Roman" w:eastAsia="Times New Roman" w:hAnsi="Times New Roman" w:cs="Times New Roman"/>
        </w:rPr>
        <w:t xml:space="preserve">Lambin </w:t>
      </w:r>
      <w:r w:rsidR="000429F8" w:rsidRPr="009B0448">
        <w:rPr>
          <w:rFonts w:ascii="Times New Roman" w:eastAsia="Times New Roman" w:hAnsi="Times New Roman" w:cs="Times New Roman"/>
          <w:i/>
        </w:rPr>
        <w:t>et al.</w:t>
      </w:r>
      <w:r w:rsidR="00210AA1" w:rsidRPr="009B0448">
        <w:rPr>
          <w:rFonts w:ascii="Times New Roman" w:eastAsia="Times New Roman" w:hAnsi="Times New Roman" w:cs="Times New Roman"/>
        </w:rPr>
        <w:t xml:space="preserve">, 2014; </w:t>
      </w:r>
      <w:r w:rsidRPr="009B0448">
        <w:rPr>
          <w:rFonts w:ascii="Times New Roman" w:eastAsia="Times New Roman" w:hAnsi="Times New Roman" w:cs="Times New Roman"/>
        </w:rPr>
        <w:t>WWF</w:t>
      </w:r>
      <w:r w:rsidR="00043CC2" w:rsidRPr="009B0448">
        <w:rPr>
          <w:rFonts w:ascii="Times New Roman" w:eastAsia="Times New Roman" w:hAnsi="Times New Roman" w:cs="Times New Roman"/>
        </w:rPr>
        <w:t>-AfDB, 2015; UNEP, 2016</w:t>
      </w:r>
      <w:r w:rsidRPr="009B0448">
        <w:rPr>
          <w:rFonts w:ascii="Times New Roman" w:eastAsia="Times New Roman" w:hAnsi="Times New Roman" w:cs="Times New Roman"/>
        </w:rPr>
        <w:t>). This archetype relies on</w:t>
      </w:r>
      <w:r w:rsidR="00677FEC" w:rsidRPr="009B0448">
        <w:rPr>
          <w:rFonts w:ascii="Times New Roman" w:eastAsia="Times New Roman" w:hAnsi="Times New Roman" w:cs="Times New Roman"/>
        </w:rPr>
        <w:t xml:space="preserve"> local (not global) solutions for</w:t>
      </w:r>
      <w:r w:rsidRPr="009B0448">
        <w:rPr>
          <w:rFonts w:ascii="Times New Roman" w:eastAsia="Times New Roman" w:hAnsi="Times New Roman" w:cs="Times New Roman"/>
        </w:rPr>
        <w:t xml:space="preserve"> sustainability challenges and is </w:t>
      </w:r>
      <w:r w:rsidR="00264EBF" w:rsidRPr="009B0448">
        <w:rPr>
          <w:rFonts w:ascii="Times New Roman" w:eastAsia="Times New Roman" w:hAnsi="Times New Roman" w:cs="Times New Roman"/>
        </w:rPr>
        <w:t>characteris</w:t>
      </w:r>
      <w:r w:rsidRPr="009B0448">
        <w:rPr>
          <w:rFonts w:ascii="Times New Roman" w:eastAsia="Times New Roman" w:hAnsi="Times New Roman" w:cs="Times New Roman"/>
        </w:rPr>
        <w:t>ed by intermediate levels of economic growth and population increase (</w:t>
      </w:r>
      <w:r w:rsidR="00043CC2" w:rsidRPr="009B0448">
        <w:rPr>
          <w:rFonts w:ascii="Times New Roman" w:eastAsia="Times New Roman" w:hAnsi="Times New Roman" w:cs="Times New Roman"/>
        </w:rPr>
        <w:t>Nakicenovic, 2000</w:t>
      </w:r>
      <w:r w:rsidRPr="009B0448">
        <w:rPr>
          <w:rFonts w:ascii="Times New Roman" w:eastAsia="Times New Roman" w:hAnsi="Times New Roman" w:cs="Times New Roman"/>
        </w:rPr>
        <w:t>).</w:t>
      </w:r>
    </w:p>
    <w:p w14:paraId="2482E085" w14:textId="77777777" w:rsidR="0010089E" w:rsidRPr="009B0448" w:rsidRDefault="0010089E" w:rsidP="00F26ADC">
      <w:pPr>
        <w:spacing w:line="276" w:lineRule="auto"/>
        <w:jc w:val="both"/>
        <w:rPr>
          <w:rFonts w:ascii="Times New Roman" w:eastAsia="Times New Roman" w:hAnsi="Times New Roman" w:cs="Times New Roman"/>
        </w:rPr>
      </w:pPr>
    </w:p>
    <w:p w14:paraId="2FC68AED" w14:textId="6769CA99"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only scenario archetype in which material well-being declines and poverty increases for most people in Africa is the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archetype, where the population grows rapidly and food production</w:t>
      </w:r>
      <w:r w:rsidR="00043CC2" w:rsidRPr="009B0448">
        <w:rPr>
          <w:rFonts w:ascii="Times New Roman" w:eastAsia="Times New Roman" w:hAnsi="Times New Roman" w:cs="Times New Roman"/>
        </w:rPr>
        <w:t xml:space="preserve"> cannot always keep pace (</w:t>
      </w:r>
      <w:r w:rsidRPr="009B0448">
        <w:rPr>
          <w:rFonts w:ascii="Times New Roman" w:eastAsia="Times New Roman" w:hAnsi="Times New Roman" w:cs="Times New Roman"/>
        </w:rPr>
        <w:t>MA</w:t>
      </w:r>
      <w:r w:rsidR="00043CC2" w:rsidRPr="009B0448">
        <w:rPr>
          <w:rFonts w:ascii="Times New Roman" w:eastAsia="Times New Roman" w:hAnsi="Times New Roman" w:cs="Times New Roman"/>
        </w:rPr>
        <w:t>, 2005; UNEP, 2007</w:t>
      </w:r>
      <w:r w:rsidRPr="009B0448">
        <w:rPr>
          <w:rFonts w:ascii="Times New Roman" w:eastAsia="Times New Roman" w:hAnsi="Times New Roman" w:cs="Times New Roman"/>
        </w:rPr>
        <w:t xml:space="preserve">). In this scenario, Fischer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predict a net decrease in cereal production capacity of up to 12% across sub-Saharan Africa. Due to fragmented and regionalized economies, per capita growth rate and advances in technology are slow (</w:t>
      </w:r>
      <w:r w:rsidR="00043CC2" w:rsidRPr="009B0448">
        <w:rPr>
          <w:rFonts w:ascii="Times New Roman" w:eastAsia="Times New Roman" w:hAnsi="Times New Roman" w:cs="Times New Roman"/>
        </w:rPr>
        <w:t>Nakicenovic, 2000</w:t>
      </w:r>
      <w:r w:rsidRPr="009B0448">
        <w:rPr>
          <w:rFonts w:ascii="Times New Roman" w:eastAsia="Times New Roman" w:hAnsi="Times New Roman" w:cs="Times New Roman"/>
        </w:rPr>
        <w:t>). The elite consume</w:t>
      </w:r>
      <w:r w:rsidR="00677FEC" w:rsidRPr="009B0448">
        <w:rPr>
          <w:rFonts w:ascii="Times New Roman" w:eastAsia="Times New Roman" w:hAnsi="Times New Roman" w:cs="Times New Roman"/>
        </w:rPr>
        <w:t>s</w:t>
      </w:r>
      <w:r w:rsidRPr="009B0448">
        <w:rPr>
          <w:rFonts w:ascii="Times New Roman" w:eastAsia="Times New Roman" w:hAnsi="Times New Roman" w:cs="Times New Roman"/>
        </w:rPr>
        <w:t xml:space="preserve"> most of the goods and services, while global trade collapses and poverty traps are reinforced (MA</w:t>
      </w:r>
      <w:r w:rsidR="00043CC2" w:rsidRPr="009B0448">
        <w:rPr>
          <w:rFonts w:ascii="Times New Roman" w:eastAsia="Times New Roman" w:hAnsi="Times New Roman" w:cs="Times New Roman"/>
        </w:rPr>
        <w:t>, 2005</w:t>
      </w:r>
      <w:r w:rsidRPr="009B0448">
        <w:rPr>
          <w:rFonts w:ascii="Times New Roman" w:eastAsia="Times New Roman" w:hAnsi="Times New Roman" w:cs="Times New Roman"/>
        </w:rPr>
        <w:t>). Furthermore, changes in climate and the resulting shifts in harvestable commodities (like cultivated Rooibos tea in South Africa and Argan trees in Morocco) add to the pressures ex</w:t>
      </w:r>
      <w:r w:rsidR="00677FEC" w:rsidRPr="009B0448">
        <w:rPr>
          <w:rFonts w:ascii="Times New Roman" w:eastAsia="Times New Roman" w:hAnsi="Times New Roman" w:cs="Times New Roman"/>
        </w:rPr>
        <w:t>perienced by small and resource-</w:t>
      </w:r>
      <w:r w:rsidRPr="009B0448">
        <w:rPr>
          <w:rFonts w:ascii="Times New Roman" w:eastAsia="Times New Roman" w:hAnsi="Times New Roman" w:cs="Times New Roman"/>
        </w:rPr>
        <w:t xml:space="preserve">poor farmers (Lötter </w:t>
      </w:r>
      <w:r w:rsidR="002F3BA3"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Alba-Sánchez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2015). </w:t>
      </w:r>
    </w:p>
    <w:p w14:paraId="6ECC68A2" w14:textId="4100F20A"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26" w:name="_3tbugp1" w:colFirst="0" w:colLast="0"/>
      <w:bookmarkStart w:id="427" w:name="_Toc519500022"/>
      <w:bookmarkEnd w:id="426"/>
      <w:r w:rsidRPr="009B0448">
        <w:rPr>
          <w:rFonts w:cs="Times New Roman"/>
          <w:i w:val="0"/>
          <w:sz w:val="22"/>
          <w:szCs w:val="22"/>
        </w:rPr>
        <w:t>Equity</w:t>
      </w:r>
      <w:bookmarkEnd w:id="427"/>
    </w:p>
    <w:p w14:paraId="32D6F415" w14:textId="741E1997"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Equity shows a mixed pattern across the five scenario archetypes, with inequality clearly decreasing in the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 xml:space="preserve">Regional Sustainability </w:t>
      </w:r>
      <w:r w:rsidRPr="009B0448">
        <w:rPr>
          <w:rFonts w:ascii="Times New Roman" w:eastAsia="Times New Roman" w:hAnsi="Times New Roman" w:cs="Times New Roman"/>
        </w:rPr>
        <w:t>archetypes (</w:t>
      </w:r>
      <w:r w:rsidR="00210AA1" w:rsidRPr="009B0448">
        <w:rPr>
          <w:rFonts w:ascii="Times New Roman" w:eastAsia="Times New Roman" w:hAnsi="Times New Roman" w:cs="Times New Roman"/>
        </w:rPr>
        <w:t>Nakicenovic, 2000</w:t>
      </w:r>
      <w:r w:rsidRPr="009B0448">
        <w:rPr>
          <w:rFonts w:ascii="Times New Roman" w:eastAsia="Times New Roman" w:hAnsi="Times New Roman" w:cs="Times New Roman"/>
        </w:rPr>
        <w:t xml:space="preserve">; </w:t>
      </w:r>
      <w:r w:rsidR="00210AA1" w:rsidRPr="009B0448">
        <w:rPr>
          <w:rFonts w:ascii="Times New Roman" w:eastAsia="Times New Roman" w:hAnsi="Times New Roman" w:cs="Times New Roman"/>
        </w:rPr>
        <w:t>UNEP, 2007</w:t>
      </w:r>
      <w:r w:rsidRPr="009B0448">
        <w:rPr>
          <w:rFonts w:ascii="Times New Roman" w:eastAsia="Times New Roman" w:hAnsi="Times New Roman" w:cs="Times New Roman"/>
        </w:rPr>
        <w:t>). In the former archetype, institutions that promote equity and fairness are supported, and property rights are strengthened (MA</w:t>
      </w:r>
      <w:r w:rsidR="00210AA1" w:rsidRPr="009B0448">
        <w:rPr>
          <w:rFonts w:ascii="Times New Roman" w:eastAsia="Times New Roman" w:hAnsi="Times New Roman" w:cs="Times New Roman"/>
        </w:rPr>
        <w:t>, 2005</w:t>
      </w:r>
      <w:r w:rsidRPr="009B0448">
        <w:rPr>
          <w:rFonts w:ascii="Times New Roman" w:eastAsia="Times New Roman" w:hAnsi="Times New Roman" w:cs="Times New Roman"/>
        </w:rPr>
        <w:t>). In the latter, inequality is reduced through a change in economic structures towards a service and information economy, coupled with cleaner and more resource-efficient technologies. These developments lead to the growth of the middle class in Africa (</w:t>
      </w:r>
      <w:r w:rsidR="00210AA1" w:rsidRPr="009B0448">
        <w:rPr>
          <w:rFonts w:ascii="Times New Roman" w:eastAsia="Times New Roman" w:hAnsi="Times New Roman" w:cs="Times New Roman"/>
        </w:rPr>
        <w:t>WWF-AfDB, 2015; UNEP, 2016</w:t>
      </w:r>
      <w:r w:rsidRPr="009B0448">
        <w:rPr>
          <w:rFonts w:ascii="Times New Roman" w:eastAsia="Times New Roman" w:hAnsi="Times New Roman" w:cs="Times New Roman"/>
        </w:rPr>
        <w:t>).</w:t>
      </w:r>
    </w:p>
    <w:p w14:paraId="5C524A84" w14:textId="77777777" w:rsidR="0010089E" w:rsidRPr="009B0448" w:rsidRDefault="0010089E" w:rsidP="00F26ADC">
      <w:pPr>
        <w:spacing w:line="276" w:lineRule="auto"/>
        <w:jc w:val="both"/>
        <w:rPr>
          <w:rFonts w:ascii="Times New Roman" w:eastAsia="Times New Roman" w:hAnsi="Times New Roman" w:cs="Times New Roman"/>
        </w:rPr>
      </w:pPr>
    </w:p>
    <w:p w14:paraId="7B5E8C63" w14:textId="22A6C3D3"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the </w:t>
      </w:r>
      <w:r w:rsidRPr="009B0448">
        <w:rPr>
          <w:rFonts w:ascii="Times New Roman" w:eastAsia="Times New Roman" w:hAnsi="Times New Roman" w:cs="Times New Roman"/>
          <w:i/>
        </w:rPr>
        <w:t xml:space="preserve">Market Forces </w:t>
      </w:r>
      <w:r w:rsidRPr="009B0448">
        <w:rPr>
          <w:rFonts w:ascii="Times New Roman" w:eastAsia="Times New Roman" w:hAnsi="Times New Roman" w:cs="Times New Roman"/>
        </w:rPr>
        <w:t>archetype, inequality in Africa is suggested to increase initially, as economic development occurs in patches and leaves some places behind. However, in the longer term, a focus on inclusive and green growth leads to improved development of local communities, reducing inequality to some extent (</w:t>
      </w:r>
      <w:r w:rsidR="00210AA1" w:rsidRPr="009B0448">
        <w:rPr>
          <w:rFonts w:ascii="Times New Roman" w:eastAsia="Times New Roman" w:hAnsi="Times New Roman" w:cs="Times New Roman"/>
        </w:rPr>
        <w:t>WWF-AfDB, 2015; UNEP, 2016</w:t>
      </w:r>
      <w:r w:rsidRPr="009B0448">
        <w:rPr>
          <w:rFonts w:ascii="Times New Roman" w:eastAsia="Times New Roman" w:hAnsi="Times New Roman" w:cs="Times New Roman"/>
        </w:rPr>
        <w:t xml:space="preserve">). A different picture emerges in the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archetype, which describes a more imm</w:t>
      </w:r>
      <w:r w:rsidR="00210AA1" w:rsidRPr="009B0448">
        <w:rPr>
          <w:rFonts w:ascii="Times New Roman" w:eastAsia="Times New Roman" w:hAnsi="Times New Roman" w:cs="Times New Roman"/>
        </w:rPr>
        <w:t>ediate decrease in inequality—</w:t>
      </w:r>
      <w:r w:rsidRPr="009B0448">
        <w:rPr>
          <w:rFonts w:ascii="Times New Roman" w:eastAsia="Times New Roman" w:hAnsi="Times New Roman" w:cs="Times New Roman"/>
        </w:rPr>
        <w:t>especially at the community level</w:t>
      </w:r>
      <w:r w:rsidR="00210AA1" w:rsidRPr="009B0448">
        <w:rPr>
          <w:rFonts w:ascii="Times New Roman" w:eastAsia="Times New Roman" w:hAnsi="Times New Roman" w:cs="Times New Roman"/>
        </w:rPr>
        <w:t>—</w:t>
      </w:r>
      <w:r w:rsidRPr="009B0448">
        <w:rPr>
          <w:rFonts w:ascii="Times New Roman" w:eastAsia="Times New Roman" w:hAnsi="Times New Roman" w:cs="Times New Roman"/>
        </w:rPr>
        <w:t>due to a reduction in global trade and a stronger focus on local production and consumption of goods (MA</w:t>
      </w:r>
      <w:r w:rsidR="00210AA1" w:rsidRPr="009B0448">
        <w:rPr>
          <w:rFonts w:ascii="Times New Roman" w:eastAsia="Times New Roman" w:hAnsi="Times New Roman" w:cs="Times New Roman"/>
        </w:rPr>
        <w:t>, 2005</w:t>
      </w:r>
      <w:r w:rsidRPr="009B0448">
        <w:rPr>
          <w:rFonts w:ascii="Times New Roman" w:eastAsia="Times New Roman" w:hAnsi="Times New Roman" w:cs="Times New Roman"/>
        </w:rPr>
        <w:t>). However, the situation in Africa is more mixed, because not all community members benefit equally from local innovations and practices such as eco-tourism. This could lead to pockets of conflict and is</w:t>
      </w:r>
      <w:r w:rsidR="0010089E" w:rsidRPr="009B0448">
        <w:rPr>
          <w:rFonts w:ascii="Times New Roman" w:eastAsia="Times New Roman" w:hAnsi="Times New Roman" w:cs="Times New Roman"/>
        </w:rPr>
        <w:t>sues like poaching (</w:t>
      </w:r>
      <w:r w:rsidR="00210AA1" w:rsidRPr="009B0448">
        <w:rPr>
          <w:rFonts w:ascii="Times New Roman" w:eastAsia="Times New Roman" w:hAnsi="Times New Roman" w:cs="Times New Roman"/>
        </w:rPr>
        <w:t>WWF-AfDB, 2015; UNEP, 2016</w:t>
      </w:r>
      <w:r w:rsidR="0010089E" w:rsidRPr="009B0448">
        <w:rPr>
          <w:rFonts w:ascii="Times New Roman" w:eastAsia="Times New Roman" w:hAnsi="Times New Roman" w:cs="Times New Roman"/>
        </w:rPr>
        <w:t xml:space="preserve">). </w:t>
      </w:r>
    </w:p>
    <w:p w14:paraId="405DBD9A" w14:textId="77777777" w:rsidR="0010089E" w:rsidRPr="009B0448" w:rsidRDefault="0010089E" w:rsidP="00F26ADC">
      <w:pPr>
        <w:spacing w:line="276" w:lineRule="auto"/>
        <w:jc w:val="both"/>
        <w:rPr>
          <w:rFonts w:ascii="Times New Roman" w:eastAsia="Times New Roman" w:hAnsi="Times New Roman" w:cs="Times New Roman"/>
        </w:rPr>
      </w:pPr>
    </w:p>
    <w:p w14:paraId="753CAC18" w14:textId="2BC061E4"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contrast, inequality widens across the board in the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archetype, due to protectionist, region-centred policies and trade, restricted migration, and faltering education systems in poorer countries (MA</w:t>
      </w:r>
      <w:r w:rsidR="00210AA1"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w:t>
      </w:r>
      <w:r w:rsidR="00210AA1" w:rsidRPr="009B0448">
        <w:rPr>
          <w:rFonts w:ascii="Times New Roman" w:eastAsia="Times New Roman" w:hAnsi="Times New Roman" w:cs="Times New Roman"/>
        </w:rPr>
        <w:t>UNEP, 2007</w:t>
      </w:r>
      <w:r w:rsidRPr="009B0448">
        <w:rPr>
          <w:rFonts w:ascii="Times New Roman" w:eastAsia="Times New Roman" w:hAnsi="Times New Roman" w:cs="Times New Roman"/>
        </w:rPr>
        <w:t>). There are high levels of cultural pluralism, and different regions deal with challenges of poverty differently: some choose a welfare approach, others move toward leaner governments that do not support the poor (</w:t>
      </w:r>
      <w:r w:rsidR="00210AA1" w:rsidRPr="009B0448">
        <w:rPr>
          <w:rFonts w:ascii="Times New Roman" w:eastAsia="Times New Roman" w:hAnsi="Times New Roman" w:cs="Times New Roman"/>
        </w:rPr>
        <w:t>Nakicenovic, 2000</w:t>
      </w:r>
      <w:r w:rsidRPr="009B0448">
        <w:rPr>
          <w:rFonts w:ascii="Times New Roman" w:eastAsia="Times New Roman" w:hAnsi="Times New Roman" w:cs="Times New Roman"/>
        </w:rPr>
        <w:t>).</w:t>
      </w:r>
    </w:p>
    <w:p w14:paraId="33A317EB" w14:textId="37013386"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28" w:name="_28h4qwu" w:colFirst="0" w:colLast="0"/>
      <w:bookmarkStart w:id="429" w:name="_Toc519500023"/>
      <w:bookmarkEnd w:id="428"/>
      <w:r w:rsidRPr="009B0448">
        <w:rPr>
          <w:rFonts w:cs="Times New Roman"/>
          <w:i w:val="0"/>
          <w:sz w:val="22"/>
          <w:szCs w:val="22"/>
        </w:rPr>
        <w:t>Health</w:t>
      </w:r>
      <w:bookmarkEnd w:id="429"/>
    </w:p>
    <w:p w14:paraId="12D96E50" w14:textId="5C1AC76B"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most of the scenarios, health improves on many fronts: greater overall affluence, improved public health systems and nutrition, as well as technological advances result in longer lifespans and better health in the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 xml:space="preserve">Regional Sustainability </w:t>
      </w:r>
      <w:r w:rsidRPr="009B0448">
        <w:rPr>
          <w:rFonts w:ascii="Times New Roman" w:eastAsia="Times New Roman" w:hAnsi="Times New Roman" w:cs="Times New Roman"/>
        </w:rPr>
        <w:t>archetypes (</w:t>
      </w:r>
      <w:r w:rsidR="00210AA1" w:rsidRPr="009B0448">
        <w:rPr>
          <w:rFonts w:ascii="Times New Roman" w:eastAsia="Times New Roman" w:hAnsi="Times New Roman" w:cs="Times New Roman"/>
        </w:rPr>
        <w:t>Nakicenovic, 2000</w:t>
      </w:r>
      <w:r w:rsidRPr="009B0448">
        <w:rPr>
          <w:rFonts w:ascii="Times New Roman" w:eastAsia="Times New Roman" w:hAnsi="Times New Roman" w:cs="Times New Roman"/>
        </w:rPr>
        <w:t>; MA</w:t>
      </w:r>
      <w:r w:rsidR="00210AA1"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However, pollution remains a challenge, especially in the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archetypes, where industrial and agricultural intensification in Africa result in water and air pollution in rural areas, as well as in poor urban communities (</w:t>
      </w:r>
      <w:r w:rsidR="00210AA1" w:rsidRPr="009B0448">
        <w:rPr>
          <w:rFonts w:ascii="Times New Roman" w:eastAsia="Times New Roman" w:hAnsi="Times New Roman" w:cs="Times New Roman"/>
        </w:rPr>
        <w:t>UNEP, 2007</w:t>
      </w:r>
      <w:r w:rsidRPr="009B0448">
        <w:rPr>
          <w:rFonts w:ascii="Times New Roman" w:eastAsia="Times New Roman" w:hAnsi="Times New Roman" w:cs="Times New Roman"/>
        </w:rPr>
        <w:t xml:space="preserve">; </w:t>
      </w:r>
      <w:r w:rsidR="00210AA1" w:rsidRPr="009B0448">
        <w:rPr>
          <w:rFonts w:ascii="Times New Roman" w:eastAsia="Times New Roman" w:hAnsi="Times New Roman" w:cs="Times New Roman"/>
        </w:rPr>
        <w:t>SADC, 2008; WWF-AfDB, 2015; UNEP, 2016</w:t>
      </w:r>
      <w:r w:rsidRPr="009B0448">
        <w:rPr>
          <w:rFonts w:ascii="Times New Roman" w:eastAsia="Times New Roman" w:hAnsi="Times New Roman" w:cs="Times New Roman"/>
        </w:rPr>
        <w:t xml:space="preserve">). Under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expansion of mining and unregulated coal power generation in the Gariep river basin of South Africa causes high levels of water pol</w:t>
      </w:r>
      <w:r w:rsidR="006A5647" w:rsidRPr="009B0448">
        <w:rPr>
          <w:rFonts w:ascii="Times New Roman" w:eastAsia="Times New Roman" w:hAnsi="Times New Roman" w:cs="Times New Roman"/>
        </w:rPr>
        <w:t xml:space="preserve">lution in urban areas (Bohensky, </w:t>
      </w:r>
      <w:r w:rsidRPr="009B0448">
        <w:rPr>
          <w:rFonts w:ascii="Times New Roman" w:eastAsia="Times New Roman" w:hAnsi="Times New Roman" w:cs="Times New Roman"/>
        </w:rPr>
        <w:t xml:space="preserve">2008), and climate change plus increased phosphate loads lead to water quality declines along the Tunisian coast (Lamon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Furthermore, changing climate patterns under high-emissions scenarios like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lead to changes in the distribution of infectious disease vectors such as ticks and mosquitoes. In the case of ticks, the evidence suggests range expansions across Africa f</w:t>
      </w:r>
      <w:r w:rsidR="00CC4FE3" w:rsidRPr="009B0448">
        <w:rPr>
          <w:rFonts w:ascii="Times New Roman" w:eastAsia="Times New Roman" w:hAnsi="Times New Roman" w:cs="Times New Roman"/>
        </w:rPr>
        <w:t xml:space="preserve">or multiple species (Cumming </w:t>
      </w:r>
      <w:r w:rsidR="002F3BA3"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The future distribution of malaria vectors like </w:t>
      </w:r>
      <w:r w:rsidRPr="009B0448">
        <w:rPr>
          <w:rFonts w:ascii="Times New Roman" w:eastAsia="Times New Roman" w:hAnsi="Times New Roman" w:cs="Times New Roman"/>
          <w:i/>
        </w:rPr>
        <w:t>Anopheles arabiensis</w:t>
      </w:r>
      <w:r w:rsidRPr="009B0448">
        <w:rPr>
          <w:rFonts w:ascii="Times New Roman" w:eastAsia="Times New Roman" w:hAnsi="Times New Roman" w:cs="Times New Roman"/>
        </w:rPr>
        <w:t xml:space="preserve">, on the other hand, is predicted to be significantly reduced on the continent, especially in western and central Africa (Drake </w:t>
      </w:r>
      <w:r w:rsidR="002F3BA3" w:rsidRPr="009B0448">
        <w:rPr>
          <w:rFonts w:ascii="Times New Roman" w:eastAsia="Times New Roman" w:hAnsi="Times New Roman" w:cs="Times New Roman"/>
          <w:i/>
        </w:rPr>
        <w:t>et al.</w:t>
      </w:r>
      <w:r w:rsidRPr="009B0448">
        <w:rPr>
          <w:rFonts w:ascii="Times New Roman" w:eastAsia="Times New Roman" w:hAnsi="Times New Roman" w:cs="Times New Roman"/>
        </w:rPr>
        <w:t>, 2014</w:t>
      </w:r>
      <w:r w:rsidR="00FF242D" w:rsidRPr="009B0448">
        <w:rPr>
          <w:rFonts w:ascii="Times New Roman" w:eastAsia="Times New Roman" w:hAnsi="Times New Roman" w:cs="Times New Roman"/>
        </w:rPr>
        <w:t xml:space="preserve">; </w:t>
      </w:r>
      <w:r w:rsidRPr="009B0448">
        <w:rPr>
          <w:rFonts w:ascii="Times New Roman" w:eastAsia="Times New Roman" w:hAnsi="Times New Roman" w:cs="Times New Roman"/>
        </w:rPr>
        <w:t xml:space="preserve">Box 5.6). </w:t>
      </w:r>
    </w:p>
    <w:p w14:paraId="75EFA46C" w14:textId="77777777" w:rsidR="0010089E" w:rsidRPr="009B0448" w:rsidRDefault="0010089E" w:rsidP="00F26ADC">
      <w:pPr>
        <w:spacing w:line="276" w:lineRule="auto"/>
        <w:jc w:val="both"/>
        <w:rPr>
          <w:rFonts w:ascii="Times New Roman" w:eastAsia="Times New Roman" w:hAnsi="Times New Roman" w:cs="Times New Roman"/>
        </w:rPr>
      </w:pPr>
    </w:p>
    <w:p w14:paraId="3A69A1AB" w14:textId="5CF4162E"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Pollution challenges are also experienced in the </w:t>
      </w:r>
      <w:r w:rsidRPr="009B0448">
        <w:rPr>
          <w:rFonts w:ascii="Times New Roman" w:eastAsia="Times New Roman" w:hAnsi="Times New Roman" w:cs="Times New Roman"/>
          <w:i/>
        </w:rPr>
        <w:t xml:space="preserve">Local Sustainability </w:t>
      </w:r>
      <w:r w:rsidRPr="009B0448">
        <w:rPr>
          <w:rFonts w:ascii="Times New Roman" w:eastAsia="Times New Roman" w:hAnsi="Times New Roman" w:cs="Times New Roman"/>
        </w:rPr>
        <w:t xml:space="preserve">archetype, mainly because of poorly enforced national environmental and health standards (due to a focus on local governance in this scenario, and consequently a lack of national or regional oversight and coordination). Here, poor enforcement may result in </w:t>
      </w:r>
      <w:r w:rsidR="00677FEC" w:rsidRPr="009B0448">
        <w:rPr>
          <w:rFonts w:ascii="Times New Roman" w:eastAsia="Times New Roman" w:hAnsi="Times New Roman" w:cs="Times New Roman"/>
        </w:rPr>
        <w:t>the dumping of waste into water</w:t>
      </w:r>
      <w:r w:rsidRPr="009B0448">
        <w:rPr>
          <w:rFonts w:ascii="Times New Roman" w:eastAsia="Times New Roman" w:hAnsi="Times New Roman" w:cs="Times New Roman"/>
        </w:rPr>
        <w:t xml:space="preserve">courses and increased mortalities from water-borne diseases (Bohensky, 2008). Only in the </w:t>
      </w:r>
      <w:r w:rsidRPr="009B0448">
        <w:rPr>
          <w:rFonts w:ascii="Times New Roman" w:eastAsia="Times New Roman" w:hAnsi="Times New Roman" w:cs="Times New Roman"/>
          <w:i/>
        </w:rPr>
        <w:t xml:space="preserve">Regional Sustainability </w:t>
      </w:r>
      <w:r w:rsidRPr="009B0448">
        <w:rPr>
          <w:rFonts w:ascii="Times New Roman" w:eastAsia="Times New Roman" w:hAnsi="Times New Roman" w:cs="Times New Roman"/>
        </w:rPr>
        <w:t xml:space="preserve">storyline is pollution sufficiently curbed by advances in technology </w:t>
      </w:r>
      <w:r w:rsidR="00210AA1" w:rsidRPr="009B0448">
        <w:rPr>
          <w:rFonts w:ascii="Times New Roman" w:eastAsia="Times New Roman" w:hAnsi="Times New Roman" w:cs="Times New Roman"/>
        </w:rPr>
        <w:t>(Nakicenovic, 2000</w:t>
      </w:r>
      <w:r w:rsidRPr="009B0448">
        <w:rPr>
          <w:rFonts w:ascii="Times New Roman" w:eastAsia="Times New Roman" w:hAnsi="Times New Roman" w:cs="Times New Roman"/>
        </w:rPr>
        <w:t>; MA</w:t>
      </w:r>
      <w:r w:rsidR="00210AA1" w:rsidRPr="009B0448">
        <w:rPr>
          <w:rFonts w:ascii="Times New Roman" w:eastAsia="Times New Roman" w:hAnsi="Times New Roman" w:cs="Times New Roman"/>
        </w:rPr>
        <w:t>, 2005; UNEP, 2007</w:t>
      </w:r>
      <w:r w:rsidRPr="009B0448">
        <w:rPr>
          <w:rFonts w:ascii="Times New Roman" w:eastAsia="Times New Roman" w:hAnsi="Times New Roman" w:cs="Times New Roman"/>
        </w:rPr>
        <w:t xml:space="preserve">). However, technology is a double-edged sword, resulting in health improvements such as better vaccines and gene therapy, but also increased risks such as designer drugs and the intentional, harmful spread of disease as a form of biowarfare. In addition, this scenario sees </w:t>
      </w:r>
      <w:r w:rsidR="00677FEC" w:rsidRPr="009B0448">
        <w:rPr>
          <w:rFonts w:ascii="Times New Roman" w:eastAsia="Times New Roman" w:hAnsi="Times New Roman" w:cs="Times New Roman"/>
        </w:rPr>
        <w:t xml:space="preserve">a rise in the </w:t>
      </w:r>
      <w:r w:rsidRPr="009B0448">
        <w:rPr>
          <w:rFonts w:ascii="Times New Roman" w:eastAsia="Times New Roman" w:hAnsi="Times New Roman" w:cs="Times New Roman"/>
        </w:rPr>
        <w:t>prevalence of obesity and diabetes, which in turn increases some forms of cancer (MA</w:t>
      </w:r>
      <w:r w:rsidR="00210AA1" w:rsidRPr="009B0448">
        <w:rPr>
          <w:rFonts w:ascii="Times New Roman" w:eastAsia="Times New Roman" w:hAnsi="Times New Roman" w:cs="Times New Roman"/>
        </w:rPr>
        <w:t>, 2005</w:t>
      </w:r>
      <w:r w:rsidRPr="009B0448">
        <w:rPr>
          <w:rFonts w:ascii="Times New Roman" w:eastAsia="Times New Roman" w:hAnsi="Times New Roman" w:cs="Times New Roman"/>
        </w:rPr>
        <w:t>).</w:t>
      </w:r>
    </w:p>
    <w:p w14:paraId="0583AD43" w14:textId="77777777" w:rsidR="0010089E" w:rsidRPr="009B0448" w:rsidRDefault="0010089E" w:rsidP="00F26ADC">
      <w:pPr>
        <w:spacing w:line="276" w:lineRule="auto"/>
        <w:jc w:val="both"/>
        <w:rPr>
          <w:rFonts w:ascii="Times New Roman" w:eastAsia="Times New Roman" w:hAnsi="Times New Roman" w:cs="Times New Roman"/>
        </w:rPr>
      </w:pPr>
    </w:p>
    <w:p w14:paraId="016BF637" w14:textId="236A8F83"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Other health risks include the increased outbreak of zoonotic diseases, especially in the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scenario, where people are forced into close contact with wildlife as they search for natural resources to support their dwindling livelihoods (MA</w:t>
      </w:r>
      <w:r w:rsidR="00210AA1"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For example, the incidence of human monkeypox (which can cause serious smallpox-like illness and is transmitted mainly via rodents) is projected to increase in areas like the eastern Democratic Republic of the Congo (Thomassen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 In addition, climate change under the</w:t>
      </w:r>
      <w:r w:rsidRPr="009B0448">
        <w:rPr>
          <w:rFonts w:ascii="Times New Roman" w:eastAsia="Times New Roman" w:hAnsi="Times New Roman" w:cs="Times New Roman"/>
          <w:i/>
        </w:rPr>
        <w:t xml:space="preserve"> Fortress World</w:t>
      </w:r>
      <w:r w:rsidRPr="009B0448">
        <w:rPr>
          <w:rFonts w:ascii="Times New Roman" w:eastAsia="Times New Roman" w:hAnsi="Times New Roman" w:cs="Times New Roman"/>
        </w:rPr>
        <w:t xml:space="preserve"> scenario is likely to increase the distribution and transmission of lymphatic filariasis (elephantiasis) across Africa (Slater </w:t>
      </w:r>
      <w:r w:rsidR="00754EF0"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(Box 5.6). Overall, </w:t>
      </w:r>
      <w:r w:rsidRPr="009B0448">
        <w:rPr>
          <w:rFonts w:ascii="Times New Roman" w:eastAsia="Times New Roman" w:hAnsi="Times New Roman" w:cs="Times New Roman"/>
          <w:i/>
        </w:rPr>
        <w:t xml:space="preserve">Fortress World </w:t>
      </w:r>
      <w:r w:rsidR="00A7501C" w:rsidRPr="009B0448">
        <w:rPr>
          <w:rFonts w:ascii="Times New Roman" w:eastAsia="Times New Roman" w:hAnsi="Times New Roman" w:cs="Times New Roman"/>
        </w:rPr>
        <w:t>sees much-</w:t>
      </w:r>
      <w:r w:rsidRPr="009B0448">
        <w:rPr>
          <w:rFonts w:ascii="Times New Roman" w:eastAsia="Times New Roman" w:hAnsi="Times New Roman" w:cs="Times New Roman"/>
        </w:rPr>
        <w:t xml:space="preserve">reduced health conditions for people in Africa, and infant and maternal mortality rates remain high. Food insecurity leads to substandard nutrition in the continent’s poor countries, resulting in chronic poor health for many people (Fischer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2005</w:t>
      </w:r>
      <w:r w:rsidR="00FF242D" w:rsidRPr="009B0448">
        <w:rPr>
          <w:rFonts w:ascii="Times New Roman" w:eastAsia="Times New Roman" w:hAnsi="Times New Roman" w:cs="Times New Roman"/>
        </w:rPr>
        <w:t xml:space="preserve">; </w:t>
      </w:r>
      <w:r w:rsidR="00210AA1" w:rsidRPr="009B0448">
        <w:rPr>
          <w:rFonts w:ascii="Times New Roman" w:eastAsia="Times New Roman" w:hAnsi="Times New Roman" w:cs="Times New Roman"/>
        </w:rPr>
        <w:t xml:space="preserve">UNEP, 2007; </w:t>
      </w:r>
      <w:r w:rsidR="00FF242D" w:rsidRPr="009B0448">
        <w:rPr>
          <w:rFonts w:ascii="Times New Roman" w:eastAsia="Times New Roman" w:hAnsi="Times New Roman" w:cs="Times New Roman"/>
        </w:rPr>
        <w:t xml:space="preserve">Lambin </w:t>
      </w:r>
      <w:r w:rsidR="000429F8" w:rsidRPr="009B0448">
        <w:rPr>
          <w:rFonts w:ascii="Times New Roman" w:eastAsia="Times New Roman" w:hAnsi="Times New Roman" w:cs="Times New Roman"/>
          <w:i/>
        </w:rPr>
        <w:t>et al.</w:t>
      </w:r>
      <w:r w:rsidR="00FF242D" w:rsidRPr="009B0448">
        <w:rPr>
          <w:rFonts w:ascii="Times New Roman" w:eastAsia="Times New Roman" w:hAnsi="Times New Roman" w:cs="Times New Roman"/>
        </w:rPr>
        <w:t>, 2014</w:t>
      </w:r>
      <w:r w:rsidRPr="009B0448">
        <w:rPr>
          <w:rFonts w:ascii="Times New Roman" w:eastAsia="Times New Roman" w:hAnsi="Times New Roman" w:cs="Times New Roman"/>
        </w:rPr>
        <w:t xml:space="preserve">). </w:t>
      </w:r>
    </w:p>
    <w:p w14:paraId="25D14E56" w14:textId="52647EA0"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30" w:name="_nmf14n" w:colFirst="0" w:colLast="0"/>
      <w:bookmarkStart w:id="431" w:name="_Toc519500024"/>
      <w:bookmarkEnd w:id="430"/>
      <w:r w:rsidRPr="009B0448">
        <w:rPr>
          <w:rFonts w:cs="Times New Roman"/>
          <w:i w:val="0"/>
          <w:sz w:val="22"/>
          <w:szCs w:val="22"/>
        </w:rPr>
        <w:t>Security and social relations</w:t>
      </w:r>
      <w:bookmarkEnd w:id="431"/>
    </w:p>
    <w:p w14:paraId="69B6EF1D" w14:textId="23E963BB"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Similarly, there is a rapid decline in security and social relations under the </w:t>
      </w:r>
      <w:r w:rsidRPr="009B0448">
        <w:rPr>
          <w:rFonts w:ascii="Times New Roman" w:eastAsia="Times New Roman" w:hAnsi="Times New Roman" w:cs="Times New Roman"/>
          <w:i/>
        </w:rPr>
        <w:t xml:space="preserve">Fortress World </w:t>
      </w:r>
      <w:r w:rsidRPr="009B0448">
        <w:rPr>
          <w:rFonts w:ascii="Times New Roman" w:eastAsia="Times New Roman" w:hAnsi="Times New Roman" w:cs="Times New Roman"/>
        </w:rPr>
        <w:t>archetype. Due to widening inequalities, worsening poverty, and general mistrust, social relations deteriorate at all scales, from local to international (MA</w:t>
      </w:r>
      <w:r w:rsidR="00A47607"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w:t>
      </w:r>
      <w:r w:rsidR="00A47607" w:rsidRPr="009B0448">
        <w:rPr>
          <w:rFonts w:ascii="Times New Roman" w:eastAsia="Times New Roman" w:hAnsi="Times New Roman" w:cs="Times New Roman"/>
        </w:rPr>
        <w:t>UNEP, 2007</w:t>
      </w:r>
      <w:r w:rsidRPr="009B0448">
        <w:rPr>
          <w:rFonts w:ascii="Times New Roman" w:eastAsia="Times New Roman" w:hAnsi="Times New Roman" w:cs="Times New Roman"/>
        </w:rPr>
        <w:t>). Civil society dwindles, and there is the potential for “barbarization”, i.e.</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widespread corruption and lawlessness. Countries in which order is maintained are paranoid about border security and restricting migration, fuelling prejudice and discrimination. There is a higher likelihood </w:t>
      </w:r>
      <w:r w:rsidR="00A7501C" w:rsidRPr="009B0448">
        <w:rPr>
          <w:rFonts w:ascii="Times New Roman" w:eastAsia="Times New Roman" w:hAnsi="Times New Roman" w:cs="Times New Roman"/>
        </w:rPr>
        <w:t>of</w:t>
      </w:r>
      <w:r w:rsidRPr="009B0448">
        <w:rPr>
          <w:rFonts w:ascii="Times New Roman" w:eastAsia="Times New Roman" w:hAnsi="Times New Roman" w:cs="Times New Roman"/>
        </w:rPr>
        <w:t xml:space="preserve"> terrorism, as the </w:t>
      </w:r>
      <w:r w:rsidR="00F13B9C" w:rsidRPr="009B0448">
        <w:rPr>
          <w:rFonts w:ascii="Times New Roman" w:eastAsia="Times New Roman" w:hAnsi="Times New Roman" w:cs="Times New Roman"/>
        </w:rPr>
        <w:t>marginalis</w:t>
      </w:r>
      <w:r w:rsidRPr="009B0448">
        <w:rPr>
          <w:rFonts w:ascii="Times New Roman" w:eastAsia="Times New Roman" w:hAnsi="Times New Roman" w:cs="Times New Roman"/>
        </w:rPr>
        <w:t>ed rebel against unjust systems (MA</w:t>
      </w:r>
      <w:r w:rsidR="00A47607" w:rsidRPr="009B0448">
        <w:rPr>
          <w:rFonts w:ascii="Times New Roman" w:eastAsia="Times New Roman" w:hAnsi="Times New Roman" w:cs="Times New Roman"/>
        </w:rPr>
        <w:t>, 2005</w:t>
      </w:r>
      <w:r w:rsidRPr="009B0448">
        <w:rPr>
          <w:rFonts w:ascii="Times New Roman" w:eastAsia="Times New Roman" w:hAnsi="Times New Roman" w:cs="Times New Roman"/>
        </w:rPr>
        <w:t>). But the tensions between rich and poor do not only play out at the international scale. Also within countries or regions like the Sahel and southern Africa, urban areas experience a constant flow of migrants from poor rural areas, resulting in rapid and unplanned growth of cities and the deterioration of living conditions for the non-elite (</w:t>
      </w:r>
      <w:r w:rsidR="00FF242D" w:rsidRPr="009B0448">
        <w:rPr>
          <w:rFonts w:ascii="Times New Roman" w:eastAsia="Times New Roman" w:hAnsi="Times New Roman" w:cs="Times New Roman"/>
        </w:rPr>
        <w:t xml:space="preserve">SADC, 2008 </w:t>
      </w:r>
      <w:r w:rsidRPr="009B0448">
        <w:rPr>
          <w:rFonts w:ascii="Times New Roman" w:eastAsia="Times New Roman" w:hAnsi="Times New Roman" w:cs="Times New Roman"/>
        </w:rPr>
        <w:t xml:space="preserve">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t>
      </w:r>
    </w:p>
    <w:p w14:paraId="534FE4B6" w14:textId="77777777" w:rsidR="0010089E" w:rsidRPr="009B0448" w:rsidRDefault="0010089E" w:rsidP="00F26ADC">
      <w:pPr>
        <w:spacing w:line="276" w:lineRule="auto"/>
        <w:jc w:val="both"/>
        <w:rPr>
          <w:rFonts w:ascii="Times New Roman" w:eastAsia="Times New Roman" w:hAnsi="Times New Roman" w:cs="Times New Roman"/>
        </w:rPr>
      </w:pPr>
    </w:p>
    <w:p w14:paraId="2A0027E1" w14:textId="2B5BD44A"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sharp contrast, under the </w:t>
      </w:r>
      <w:r w:rsidRPr="009B0448">
        <w:rPr>
          <w:rFonts w:ascii="Times New Roman" w:eastAsia="Times New Roman" w:hAnsi="Times New Roman" w:cs="Times New Roman"/>
          <w:i/>
        </w:rPr>
        <w:t xml:space="preserve">Regional Sustainability </w:t>
      </w:r>
      <w:r w:rsidRPr="009B0448">
        <w:rPr>
          <w:rFonts w:ascii="Times New Roman" w:eastAsia="Times New Roman" w:hAnsi="Times New Roman" w:cs="Times New Roman"/>
        </w:rPr>
        <w:t>archetype, social relations and security in Africa are well maintained, facilitated by technology (</w:t>
      </w:r>
      <w:r w:rsidR="00A47607" w:rsidRPr="009B0448">
        <w:rPr>
          <w:rFonts w:ascii="Times New Roman" w:eastAsia="Times New Roman" w:hAnsi="Times New Roman" w:cs="Times New Roman"/>
        </w:rPr>
        <w:t>Nakicenovic, 2000</w:t>
      </w:r>
      <w:r w:rsidRPr="009B0448">
        <w:rPr>
          <w:rFonts w:ascii="Times New Roman" w:eastAsia="Times New Roman" w:hAnsi="Times New Roman" w:cs="Times New Roman"/>
        </w:rPr>
        <w:t>; MA</w:t>
      </w:r>
      <w:r w:rsidR="00A47607"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w:t>
      </w:r>
      <w:r w:rsidR="00A47607" w:rsidRPr="009B0448">
        <w:rPr>
          <w:rFonts w:ascii="Times New Roman" w:eastAsia="Times New Roman" w:hAnsi="Times New Roman" w:cs="Times New Roman"/>
        </w:rPr>
        <w:t>UNEP, 2007</w:t>
      </w:r>
      <w:r w:rsidRPr="009B0448">
        <w:rPr>
          <w:rFonts w:ascii="Times New Roman" w:eastAsia="Times New Roman" w:hAnsi="Times New Roman" w:cs="Times New Roman"/>
        </w:rPr>
        <w:t>). There is a move towards civil society engagement, democratization and a strong judiciary. But technology also comes at a price, where real human interaction may suffer as a consequence of digital and virtual relationships. Globally, advances such as human cloning and “designer babies” may cause fundamental moral and ethical conflicts, as w</w:t>
      </w:r>
      <w:r w:rsidR="0010089E" w:rsidRPr="009B0448">
        <w:rPr>
          <w:rFonts w:ascii="Times New Roman" w:eastAsia="Times New Roman" w:hAnsi="Times New Roman" w:cs="Times New Roman"/>
        </w:rPr>
        <w:t>ell as behaviour changes (MA</w:t>
      </w:r>
      <w:r w:rsidR="00A47607" w:rsidRPr="009B0448">
        <w:rPr>
          <w:rFonts w:ascii="Times New Roman" w:eastAsia="Times New Roman" w:hAnsi="Times New Roman" w:cs="Times New Roman"/>
        </w:rPr>
        <w:t>, 2005</w:t>
      </w:r>
      <w:r w:rsidR="0010089E" w:rsidRPr="009B0448">
        <w:rPr>
          <w:rFonts w:ascii="Times New Roman" w:eastAsia="Times New Roman" w:hAnsi="Times New Roman" w:cs="Times New Roman"/>
        </w:rPr>
        <w:t xml:space="preserve">). </w:t>
      </w:r>
    </w:p>
    <w:p w14:paraId="74D03A5D" w14:textId="77777777" w:rsidR="0010089E" w:rsidRPr="009B0448" w:rsidRDefault="0010089E" w:rsidP="00F26ADC">
      <w:pPr>
        <w:spacing w:line="276" w:lineRule="auto"/>
        <w:jc w:val="both"/>
        <w:rPr>
          <w:rFonts w:ascii="Times New Roman" w:eastAsia="Times New Roman" w:hAnsi="Times New Roman" w:cs="Times New Roman"/>
        </w:rPr>
      </w:pPr>
    </w:p>
    <w:p w14:paraId="6306B9F4" w14:textId="50602741"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many of the scenarios (</w:t>
      </w:r>
      <w:r w:rsidRPr="009B0448">
        <w:rPr>
          <w:rFonts w:ascii="Times New Roman" w:eastAsia="Times New Roman" w:hAnsi="Times New Roman" w:cs="Times New Roman"/>
          <w:i/>
        </w:rPr>
        <w:t>Market Forces, Policy Reform</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borders are softened and migration and movement of people become freer. However, there are pockets of unrest and conflict in both the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storylines, mainly centred </w:t>
      </w:r>
      <w:r w:rsidR="00756658" w:rsidRPr="009B0448">
        <w:rPr>
          <w:rFonts w:ascii="Times New Roman" w:eastAsia="Times New Roman" w:hAnsi="Times New Roman" w:cs="Times New Roman"/>
        </w:rPr>
        <w:t>on</w:t>
      </w:r>
      <w:r w:rsidRPr="009B0448">
        <w:rPr>
          <w:rFonts w:ascii="Times New Roman" w:eastAsia="Times New Roman" w:hAnsi="Times New Roman" w:cs="Times New Roman"/>
        </w:rPr>
        <w:t xml:space="preserve"> access to resources (</w:t>
      </w:r>
      <w:r w:rsidR="00A47607" w:rsidRPr="009B0448">
        <w:rPr>
          <w:rFonts w:ascii="Times New Roman" w:eastAsia="Times New Roman" w:hAnsi="Times New Roman" w:cs="Times New Roman"/>
        </w:rPr>
        <w:t>WWF-AfDB, 2015; UNEP, 2016</w:t>
      </w:r>
      <w:r w:rsidRPr="009B0448">
        <w:rPr>
          <w:rFonts w:ascii="Times New Roman" w:eastAsia="Times New Roman" w:hAnsi="Times New Roman" w:cs="Times New Roman"/>
        </w:rPr>
        <w:t xml:space="preserve">). In the former archetype, for example, African smallholders and artisanal fishers lose their lands and jobs to large-scale commercial agriculture and fisheries. This may lead to social conflict and even local armed rebellion in some places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Under the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archetype, exploitation of African resources by foreign companies in the immediate future could lead to conflict. There is potential for unplanned and unserviced settlements to spring up around concentrated hubs of economic activity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mines), which means companies will increase security to protect their assets. The surrounding communities are forced to turn to local ecosystems for goods and services that are not provided by the companies or government, thus adding to local environmental degradation. Conflicts over access to resources may lead to illegal extraction</w:t>
      </w:r>
      <w:r w:rsidR="00A7501C" w:rsidRPr="009B0448">
        <w:rPr>
          <w:rFonts w:ascii="Times New Roman" w:eastAsia="Times New Roman" w:hAnsi="Times New Roman" w:cs="Times New Roman"/>
        </w:rPr>
        <w:t xml:space="preserve"> or </w:t>
      </w:r>
      <w:r w:rsidRPr="009B0448">
        <w:rPr>
          <w:rFonts w:ascii="Times New Roman" w:eastAsia="Times New Roman" w:hAnsi="Times New Roman" w:cs="Times New Roman"/>
        </w:rPr>
        <w:t xml:space="preserve">poaching by community members, and a general increase in crime and political instability. The key to turning this picture around in the longer term is </w:t>
      </w:r>
      <w:r w:rsidR="00A7501C" w:rsidRPr="009B0448">
        <w:rPr>
          <w:rFonts w:ascii="Times New Roman" w:eastAsia="Times New Roman" w:hAnsi="Times New Roman" w:cs="Times New Roman"/>
        </w:rPr>
        <w:t xml:space="preserve">through </w:t>
      </w:r>
      <w:r w:rsidRPr="009B0448">
        <w:rPr>
          <w:rFonts w:ascii="Times New Roman" w:eastAsia="Times New Roman" w:hAnsi="Times New Roman" w:cs="Times New Roman"/>
        </w:rPr>
        <w:t>inclusive development of local communities (</w:t>
      </w:r>
      <w:r w:rsidR="004711C0" w:rsidRPr="009B0448">
        <w:rPr>
          <w:rFonts w:ascii="Times New Roman" w:eastAsia="Times New Roman" w:hAnsi="Times New Roman" w:cs="Times New Roman"/>
        </w:rPr>
        <w:t>WWF-AfDB, 2015; UNEP, 2016</w:t>
      </w:r>
      <w:r w:rsidRPr="009B0448">
        <w:rPr>
          <w:rFonts w:ascii="Times New Roman" w:eastAsia="Times New Roman" w:hAnsi="Times New Roman" w:cs="Times New Roman"/>
        </w:rPr>
        <w:t>).</w:t>
      </w:r>
    </w:p>
    <w:p w14:paraId="2BED56D9" w14:textId="77777777" w:rsidR="0010089E" w:rsidRPr="009B0448" w:rsidRDefault="0010089E" w:rsidP="00F26ADC">
      <w:pPr>
        <w:spacing w:line="276" w:lineRule="auto"/>
        <w:jc w:val="both"/>
        <w:rPr>
          <w:rFonts w:ascii="Times New Roman" w:eastAsia="Times New Roman" w:hAnsi="Times New Roman" w:cs="Times New Roman"/>
        </w:rPr>
      </w:pPr>
    </w:p>
    <w:p w14:paraId="1418AFF8" w14:textId="1ACBD6CE"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Finally, the </w:t>
      </w:r>
      <w:r w:rsidRPr="009B0448">
        <w:rPr>
          <w:rFonts w:ascii="Times New Roman" w:eastAsia="Times New Roman" w:hAnsi="Times New Roman" w:cs="Times New Roman"/>
          <w:i/>
        </w:rPr>
        <w:t xml:space="preserve">Local Sustainability </w:t>
      </w:r>
      <w:r w:rsidRPr="009B0448">
        <w:rPr>
          <w:rFonts w:ascii="Times New Roman" w:eastAsia="Times New Roman" w:hAnsi="Times New Roman" w:cs="Times New Roman"/>
        </w:rPr>
        <w:t>archetype shows a mixed picture, with strong civil societies that support local governments, and a greater self-sufficiency of local communities, which reduces regional disputes, civil war and terrorism (MA</w:t>
      </w:r>
      <w:r w:rsidR="004711C0" w:rsidRPr="009B0448">
        <w:rPr>
          <w:rFonts w:ascii="Times New Roman" w:eastAsia="Times New Roman" w:hAnsi="Times New Roman" w:cs="Times New Roman"/>
        </w:rPr>
        <w:t>, 2005</w:t>
      </w:r>
      <w:r w:rsidRPr="009B0448">
        <w:rPr>
          <w:rFonts w:ascii="Times New Roman" w:eastAsia="Times New Roman" w:hAnsi="Times New Roman" w:cs="Times New Roman"/>
        </w:rPr>
        <w:t>). On the other hand, the emphasis on local decision-making poses a risk for international governance of common pool resources (</w:t>
      </w:r>
      <w:r w:rsidR="004711C0" w:rsidRPr="009B0448">
        <w:rPr>
          <w:rFonts w:ascii="Times New Roman" w:eastAsia="Times New Roman" w:hAnsi="Times New Roman" w:cs="Times New Roman"/>
        </w:rPr>
        <w:t>WWF-AfDB, 2015; UNEP, 2016</w:t>
      </w:r>
      <w:r w:rsidRPr="009B0448">
        <w:rPr>
          <w:rFonts w:ascii="Times New Roman" w:eastAsia="Times New Roman" w:hAnsi="Times New Roman" w:cs="Times New Roman"/>
        </w:rPr>
        <w:t>), in that a lack of regional planning and implementation may result in natural resource degradation over time, and a downward spiral of poverty for rural communities. This may lead to migration from impoverished rural areas to rapidly growing, informal urban settlements, especially by young people and men – leaving women and children behind. These dynamics have a detrim</w:t>
      </w:r>
      <w:r w:rsidR="00A7501C" w:rsidRPr="009B0448">
        <w:rPr>
          <w:rFonts w:ascii="Times New Roman" w:eastAsia="Times New Roman" w:hAnsi="Times New Roman" w:cs="Times New Roman"/>
        </w:rPr>
        <w:t>ental effect on social cohesion</w:t>
      </w:r>
      <w:r w:rsidRPr="009B0448">
        <w:rPr>
          <w:rFonts w:ascii="Times New Roman" w:eastAsia="Times New Roman" w:hAnsi="Times New Roman" w:cs="Times New Roman"/>
        </w:rPr>
        <w:t xml:space="preserve"> and could culminate in lawlessness and crime (</w:t>
      </w:r>
      <w:r w:rsidR="004711C0" w:rsidRPr="009B0448">
        <w:rPr>
          <w:rFonts w:ascii="Times New Roman" w:eastAsia="Times New Roman" w:hAnsi="Times New Roman" w:cs="Times New Roman"/>
        </w:rPr>
        <w:t>WWF-AfDB, 2015; UNEP, 2016</w:t>
      </w:r>
      <w:r w:rsidRPr="009B0448">
        <w:rPr>
          <w:rFonts w:ascii="Times New Roman" w:eastAsia="Times New Roman" w:hAnsi="Times New Roman" w:cs="Times New Roman"/>
        </w:rPr>
        <w:t>).</w:t>
      </w:r>
    </w:p>
    <w:p w14:paraId="122366E8" w14:textId="16EFE226"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32" w:name="_37m2jsg" w:colFirst="0" w:colLast="0"/>
      <w:bookmarkStart w:id="433" w:name="_Toc519500025"/>
      <w:bookmarkEnd w:id="432"/>
      <w:r w:rsidRPr="009B0448">
        <w:rPr>
          <w:rFonts w:cs="Times New Roman"/>
          <w:i w:val="0"/>
          <w:sz w:val="22"/>
          <w:szCs w:val="22"/>
        </w:rPr>
        <w:t>Freedom and choice</w:t>
      </w:r>
      <w:bookmarkEnd w:id="433"/>
    </w:p>
    <w:p w14:paraId="732F9364" w14:textId="46963CDA"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With the exception of the </w:t>
      </w:r>
      <w:r w:rsidRPr="009B0448">
        <w:rPr>
          <w:rFonts w:ascii="Times New Roman" w:eastAsia="Times New Roman" w:hAnsi="Times New Roman" w:cs="Times New Roman"/>
          <w:i/>
        </w:rPr>
        <w:t xml:space="preserve">Fortress World </w:t>
      </w:r>
      <w:r w:rsidRPr="009B0448">
        <w:rPr>
          <w:rFonts w:ascii="Times New Roman" w:eastAsia="Times New Roman" w:hAnsi="Times New Roman" w:cs="Times New Roman"/>
        </w:rPr>
        <w:t xml:space="preserve">scenario in which freedom and choice substantially deteriorate, the other scenario archetypes describe a situation in which freedom and choice generally improve, but with some caveats. The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scenario sets out the greatest improvements in terms of freedom and choice globally. Greater affluence, a focus on capacity building, and increased social and cultural interaction in a </w:t>
      </w:r>
      <w:r w:rsidR="00F13B9C" w:rsidRPr="009B0448">
        <w:rPr>
          <w:rFonts w:ascii="Times New Roman" w:eastAsia="Times New Roman" w:hAnsi="Times New Roman" w:cs="Times New Roman"/>
        </w:rPr>
        <w:t>globalis</w:t>
      </w:r>
      <w:r w:rsidRPr="009B0448">
        <w:rPr>
          <w:rFonts w:ascii="Times New Roman" w:eastAsia="Times New Roman" w:hAnsi="Times New Roman" w:cs="Times New Roman"/>
        </w:rPr>
        <w:t>ed economy make freedom and choice more palpable (</w:t>
      </w:r>
      <w:r w:rsidR="00A47607" w:rsidRPr="009B0448">
        <w:rPr>
          <w:rFonts w:ascii="Times New Roman" w:eastAsia="Times New Roman" w:hAnsi="Times New Roman" w:cs="Times New Roman"/>
        </w:rPr>
        <w:t>Nakicenovic, 2000</w:t>
      </w:r>
      <w:r w:rsidRPr="009B0448">
        <w:rPr>
          <w:rFonts w:ascii="Times New Roman" w:eastAsia="Times New Roman" w:hAnsi="Times New Roman" w:cs="Times New Roman"/>
        </w:rPr>
        <w:t>; MA</w:t>
      </w:r>
      <w:r w:rsidR="00A47607" w:rsidRPr="009B0448">
        <w:rPr>
          <w:rFonts w:ascii="Times New Roman" w:eastAsia="Times New Roman" w:hAnsi="Times New Roman" w:cs="Times New Roman"/>
        </w:rPr>
        <w:t>, 2005</w:t>
      </w:r>
      <w:r w:rsidRPr="009B0448">
        <w:rPr>
          <w:rFonts w:ascii="Times New Roman" w:eastAsia="Times New Roman" w:hAnsi="Times New Roman" w:cs="Times New Roman"/>
        </w:rPr>
        <w:t>). However, in Africa, as in certain other parts of the world</w:t>
      </w:r>
      <w:r w:rsidR="00A7501C" w:rsidRPr="009B0448">
        <w:rPr>
          <w:rFonts w:ascii="Times New Roman" w:eastAsia="Times New Roman" w:hAnsi="Times New Roman" w:cs="Times New Roman"/>
        </w:rPr>
        <w:t>,</w:t>
      </w:r>
      <w:r w:rsidRPr="009B0448">
        <w:rPr>
          <w:rFonts w:ascii="Times New Roman" w:eastAsia="Times New Roman" w:hAnsi="Times New Roman" w:cs="Times New Roman"/>
        </w:rPr>
        <w:t xml:space="preserve"> these freedoms are not as readily experienced, due to unequal economic development across the continent, and foreign hegem</w:t>
      </w:r>
      <w:r w:rsidR="0010089E" w:rsidRPr="009B0448">
        <w:rPr>
          <w:rFonts w:ascii="Times New Roman" w:eastAsia="Times New Roman" w:hAnsi="Times New Roman" w:cs="Times New Roman"/>
        </w:rPr>
        <w:t>ony over resources (</w:t>
      </w:r>
      <w:r w:rsidR="00A47607" w:rsidRPr="009B0448">
        <w:rPr>
          <w:rFonts w:ascii="Times New Roman" w:eastAsia="Times New Roman" w:hAnsi="Times New Roman" w:cs="Times New Roman"/>
        </w:rPr>
        <w:t>WWF-AfDB, 2015; UNEP, 2016</w:t>
      </w:r>
      <w:r w:rsidR="0010089E" w:rsidRPr="009B0448">
        <w:rPr>
          <w:rFonts w:ascii="Times New Roman" w:eastAsia="Times New Roman" w:hAnsi="Times New Roman" w:cs="Times New Roman"/>
        </w:rPr>
        <w:t xml:space="preserve">). </w:t>
      </w:r>
    </w:p>
    <w:p w14:paraId="14839A25" w14:textId="77777777" w:rsidR="0010089E" w:rsidRPr="009B0448" w:rsidRDefault="0010089E" w:rsidP="00F26ADC">
      <w:pPr>
        <w:spacing w:line="276" w:lineRule="auto"/>
        <w:jc w:val="both"/>
        <w:rPr>
          <w:rFonts w:ascii="Times New Roman" w:eastAsia="Times New Roman" w:hAnsi="Times New Roman" w:cs="Times New Roman"/>
        </w:rPr>
      </w:pPr>
    </w:p>
    <w:p w14:paraId="03365D9D" w14:textId="37E2932E"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Both the </w:t>
      </w:r>
      <w:r w:rsidRPr="009B0448">
        <w:rPr>
          <w:rFonts w:ascii="Times New Roman" w:eastAsia="Times New Roman" w:hAnsi="Times New Roman" w:cs="Times New Roman"/>
          <w:i/>
        </w:rPr>
        <w:t xml:space="preserve">Policy Reform </w:t>
      </w:r>
      <w:r w:rsidRPr="009B0448">
        <w:rPr>
          <w:rFonts w:ascii="Times New Roman" w:eastAsia="Times New Roman" w:hAnsi="Times New Roman" w:cs="Times New Roman"/>
        </w:rPr>
        <w:t xml:space="preserve">and </w:t>
      </w:r>
      <w:r w:rsidRPr="009B0448">
        <w:rPr>
          <w:rFonts w:ascii="Times New Roman" w:eastAsia="Times New Roman" w:hAnsi="Times New Roman" w:cs="Times New Roman"/>
          <w:i/>
        </w:rPr>
        <w:t xml:space="preserve">Regional Sustainability </w:t>
      </w:r>
      <w:r w:rsidRPr="009B0448">
        <w:rPr>
          <w:rFonts w:ascii="Times New Roman" w:eastAsia="Times New Roman" w:hAnsi="Times New Roman" w:cs="Times New Roman"/>
        </w:rPr>
        <w:t xml:space="preserve">scenarios raise the possibility of some people being displaced from their lands to make way for large-scale commercial enterprises, resulting in </w:t>
      </w:r>
      <w:r w:rsidR="00F13B9C" w:rsidRPr="009B0448">
        <w:rPr>
          <w:rFonts w:ascii="Times New Roman" w:eastAsia="Times New Roman" w:hAnsi="Times New Roman" w:cs="Times New Roman"/>
        </w:rPr>
        <w:t>marginalis</w:t>
      </w:r>
      <w:r w:rsidRPr="009B0448">
        <w:rPr>
          <w:rFonts w:ascii="Times New Roman" w:eastAsia="Times New Roman" w:hAnsi="Times New Roman" w:cs="Times New Roman"/>
        </w:rPr>
        <w:t>ation, as well as loss of knowledge and cultural identity in these communities (</w:t>
      </w:r>
      <w:r w:rsidR="00A47607" w:rsidRPr="009B0448">
        <w:rPr>
          <w:rFonts w:ascii="Times New Roman" w:eastAsia="Times New Roman" w:hAnsi="Times New Roman" w:cs="Times New Roman"/>
        </w:rPr>
        <w:t>WWF-AfDB, 2015; UNEP, 2016</w:t>
      </w:r>
      <w:r w:rsidRPr="009B0448">
        <w:rPr>
          <w:rFonts w:ascii="Times New Roman" w:eastAsia="Times New Roman" w:hAnsi="Times New Roman" w:cs="Times New Roman"/>
        </w:rPr>
        <w:t xml:space="preserve">). In the </w:t>
      </w:r>
      <w:r w:rsidRPr="009B0448">
        <w:rPr>
          <w:rFonts w:ascii="Times New Roman" w:eastAsia="Times New Roman" w:hAnsi="Times New Roman" w:cs="Times New Roman"/>
          <w:i/>
        </w:rPr>
        <w:t xml:space="preserve">Regional Sustainability </w:t>
      </w:r>
      <w:r w:rsidRPr="009B0448">
        <w:rPr>
          <w:rFonts w:ascii="Times New Roman" w:eastAsia="Times New Roman" w:hAnsi="Times New Roman" w:cs="Times New Roman"/>
        </w:rPr>
        <w:t xml:space="preserve">scenario, farmers and pastoralists may lose access to traditional communal lands in the Sahel region (due to the installation of large solar power plants), resulting in the loss of indigenous knowledge and cultural roots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In the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scenario archetype, there is a risk that fewer and fewer people feel connected to nature and lose the spiritual satisfaction a</w:t>
      </w:r>
      <w:r w:rsidR="00A7501C" w:rsidRPr="009B0448">
        <w:rPr>
          <w:rFonts w:ascii="Times New Roman" w:eastAsia="Times New Roman" w:hAnsi="Times New Roman" w:cs="Times New Roman"/>
        </w:rPr>
        <w:t>ssociated with working the land</w:t>
      </w:r>
      <w:r w:rsidRPr="009B0448">
        <w:rPr>
          <w:rFonts w:ascii="Times New Roman" w:eastAsia="Times New Roman" w:hAnsi="Times New Roman" w:cs="Times New Roman"/>
        </w:rPr>
        <w:t xml:space="preserve"> and experiencing natural environments (MA</w:t>
      </w:r>
      <w:r w:rsidR="00955495" w:rsidRPr="009B0448">
        <w:rPr>
          <w:rFonts w:ascii="Times New Roman" w:eastAsia="Times New Roman" w:hAnsi="Times New Roman" w:cs="Times New Roman"/>
        </w:rPr>
        <w:t>, 2005</w:t>
      </w:r>
      <w:r w:rsidRPr="009B0448">
        <w:rPr>
          <w:rFonts w:ascii="Times New Roman" w:eastAsia="Times New Roman" w:hAnsi="Times New Roman" w:cs="Times New Roman"/>
        </w:rPr>
        <w:t>).</w:t>
      </w:r>
    </w:p>
    <w:p w14:paraId="654A4696" w14:textId="77777777" w:rsidR="0010089E" w:rsidRPr="009B0448" w:rsidRDefault="0010089E" w:rsidP="00F26ADC">
      <w:pPr>
        <w:spacing w:line="276" w:lineRule="auto"/>
        <w:jc w:val="both"/>
        <w:rPr>
          <w:rFonts w:ascii="Times New Roman" w:eastAsia="Times New Roman" w:hAnsi="Times New Roman" w:cs="Times New Roman"/>
        </w:rPr>
      </w:pPr>
    </w:p>
    <w:p w14:paraId="57B2144B" w14:textId="189D7BE3"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w:t>
      </w:r>
      <w:r w:rsidRPr="009B0448">
        <w:rPr>
          <w:rFonts w:ascii="Times New Roman" w:eastAsia="Times New Roman" w:hAnsi="Times New Roman" w:cs="Times New Roman"/>
          <w:i/>
        </w:rPr>
        <w:t xml:space="preserve">Local Sustainability </w:t>
      </w:r>
      <w:r w:rsidRPr="009B0448">
        <w:rPr>
          <w:rFonts w:ascii="Times New Roman" w:eastAsia="Times New Roman" w:hAnsi="Times New Roman" w:cs="Times New Roman"/>
        </w:rPr>
        <w:t xml:space="preserve">archetype </w:t>
      </w:r>
      <w:r w:rsidR="00264EBF" w:rsidRPr="009B0448">
        <w:rPr>
          <w:rFonts w:ascii="Times New Roman" w:eastAsia="Times New Roman" w:hAnsi="Times New Roman" w:cs="Times New Roman"/>
        </w:rPr>
        <w:t>emphasis</w:t>
      </w:r>
      <w:r w:rsidRPr="009B0448">
        <w:rPr>
          <w:rFonts w:ascii="Times New Roman" w:eastAsia="Times New Roman" w:hAnsi="Times New Roman" w:cs="Times New Roman"/>
        </w:rPr>
        <w:t>es freedom and choice at local levels: Local social-ecological experimentation and innovation confers freedoms to community members, and learning about local ecosystem functioning is a priority (</w:t>
      </w:r>
      <w:r w:rsidR="00043CC2" w:rsidRPr="009B0448">
        <w:rPr>
          <w:rFonts w:ascii="Times New Roman" w:eastAsia="Times New Roman" w:hAnsi="Times New Roman" w:cs="Times New Roman"/>
        </w:rPr>
        <w:t>Nakicenovic, 2000</w:t>
      </w:r>
      <w:r w:rsidRPr="009B0448">
        <w:rPr>
          <w:rFonts w:ascii="Times New Roman" w:eastAsia="Times New Roman" w:hAnsi="Times New Roman" w:cs="Times New Roman"/>
        </w:rPr>
        <w:t>; MA</w:t>
      </w:r>
      <w:r w:rsidR="00043CC2"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 But this archetype also describes the risk of increased community autonomy leading to unchecked human rights violations and “othering” in local communities, as well as towards newcomers and migrants, thereby significantly reducing the freedoms, choices and security of vulnerable groups (MA</w:t>
      </w:r>
      <w:r w:rsidR="00955495" w:rsidRPr="009B0448">
        <w:rPr>
          <w:rFonts w:ascii="Times New Roman" w:eastAsia="Times New Roman" w:hAnsi="Times New Roman" w:cs="Times New Roman"/>
        </w:rPr>
        <w:t>, 2005</w:t>
      </w:r>
      <w:r w:rsidRPr="009B0448">
        <w:rPr>
          <w:rFonts w:ascii="Times New Roman" w:eastAsia="Times New Roman" w:hAnsi="Times New Roman" w:cs="Times New Roman"/>
        </w:rPr>
        <w:t>).</w:t>
      </w:r>
    </w:p>
    <w:p w14:paraId="6D82D2F6" w14:textId="77777777" w:rsidR="0010089E" w:rsidRPr="009B0448" w:rsidRDefault="0010089E" w:rsidP="00F26ADC">
      <w:pPr>
        <w:spacing w:line="276" w:lineRule="auto"/>
        <w:jc w:val="both"/>
        <w:rPr>
          <w:rFonts w:ascii="Times New Roman" w:eastAsia="Times New Roman" w:hAnsi="Times New Roman" w:cs="Times New Roman"/>
        </w:rPr>
      </w:pPr>
    </w:p>
    <w:p w14:paraId="65C16D4B" w14:textId="71BBC20C"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main risks to the freedom and choice of people in Africa in the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archetype are restrictions on migration, trade and access to resources and education (</w:t>
      </w:r>
      <w:r w:rsidR="00043CC2" w:rsidRPr="009B0448">
        <w:rPr>
          <w:rFonts w:ascii="Times New Roman" w:eastAsia="Times New Roman" w:hAnsi="Times New Roman" w:cs="Times New Roman"/>
        </w:rPr>
        <w:t>Nakicenovic, 2000</w:t>
      </w:r>
      <w:r w:rsidRPr="009B0448">
        <w:rPr>
          <w:rFonts w:ascii="Times New Roman" w:eastAsia="Times New Roman" w:hAnsi="Times New Roman" w:cs="Times New Roman"/>
        </w:rPr>
        <w:t>; MA</w:t>
      </w:r>
      <w:r w:rsidR="00043CC2"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w:t>
      </w:r>
      <w:r w:rsidR="00043CC2" w:rsidRPr="009B0448">
        <w:rPr>
          <w:rFonts w:ascii="Times New Roman" w:eastAsia="Times New Roman" w:hAnsi="Times New Roman" w:cs="Times New Roman"/>
        </w:rPr>
        <w:t>UNEP, 2007</w:t>
      </w:r>
      <w:r w:rsidRPr="009B0448">
        <w:rPr>
          <w:rFonts w:ascii="Times New Roman" w:eastAsia="Times New Roman" w:hAnsi="Times New Roman" w:cs="Times New Roman"/>
        </w:rPr>
        <w:t>). These restrictions severely limit the opportunities for a good quality of life. There is also the potential for censorship and control over communication platforms like the internet, reducing the opportunities for free speech and self-expression. Fundamentalism rises in a response to these threats to expression and participation, further limiting freedoms and choices (MA</w:t>
      </w:r>
      <w:r w:rsidR="00955495" w:rsidRPr="009B0448">
        <w:rPr>
          <w:rFonts w:ascii="Times New Roman" w:eastAsia="Times New Roman" w:hAnsi="Times New Roman" w:cs="Times New Roman"/>
        </w:rPr>
        <w:t>, 2005</w:t>
      </w:r>
      <w:r w:rsidR="00043CC2" w:rsidRPr="009B0448">
        <w:rPr>
          <w:rFonts w:ascii="Times New Roman" w:eastAsia="Times New Roman" w:hAnsi="Times New Roman" w:cs="Times New Roman"/>
        </w:rPr>
        <w:t>).</w:t>
      </w:r>
    </w:p>
    <w:p w14:paraId="488AC43E" w14:textId="39944EED"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34" w:name="_1mrcu09" w:colFirst="0" w:colLast="0"/>
      <w:bookmarkStart w:id="435" w:name="_Toc519500026"/>
      <w:bookmarkEnd w:id="434"/>
      <w:r w:rsidRPr="009B0448">
        <w:rPr>
          <w:rFonts w:cs="Times New Roman"/>
          <w:i w:val="0"/>
          <w:sz w:val="22"/>
          <w:szCs w:val="22"/>
        </w:rPr>
        <w:t>Uncertainties, gaps and research needs</w:t>
      </w:r>
      <w:bookmarkEnd w:id="435"/>
    </w:p>
    <w:p w14:paraId="0E974AE1" w14:textId="77777777"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links between biodiversity, ecosystem services and human well-being are only partly explored in the scenarios assessed in this chapter. Mostly, the scenarios paint general pictures of social-ecological trajectories for Africa, where changes in human well-being are not necessarily directly linked to changes in biodiversity or ecosystem services. With the exception of the MA, human well-being components such as equity, security, or freedom and choice are rarely considered explicitly in the context of environmental change. This lack of detail in the main scenario reports and the papers included in the systematic review points to a lack of research that considers a broad range of human well-being aspects (beyond just material well-being) in future scenarios of Africa’s biodiversity and ecosystem services.</w:t>
      </w:r>
    </w:p>
    <w:p w14:paraId="09A4B4D7" w14:textId="77777777" w:rsidR="0010089E" w:rsidRPr="009B0448" w:rsidRDefault="0010089E" w:rsidP="00F26ADC">
      <w:pPr>
        <w:spacing w:line="276" w:lineRule="auto"/>
        <w:jc w:val="both"/>
        <w:rPr>
          <w:rFonts w:ascii="Times New Roman" w:eastAsia="Times New Roman" w:hAnsi="Times New Roman" w:cs="Times New Roman"/>
        </w:rPr>
      </w:pPr>
    </w:p>
    <w:p w14:paraId="5D2050BC" w14:textId="338B4A45"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Within the existing literature, clearer links have been made between aspects such as natural resource exploitation (like mining and farming) and water or air pollution, which impacts negatively on health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WWF</w:t>
      </w:r>
      <w:r w:rsidR="00043CC2" w:rsidRPr="009B0448">
        <w:rPr>
          <w:rFonts w:ascii="Times New Roman" w:eastAsia="Times New Roman" w:hAnsi="Times New Roman" w:cs="Times New Roman"/>
        </w:rPr>
        <w:t>-AfDB, 2015; UNEP, 2016</w:t>
      </w:r>
      <w:r w:rsidRPr="009B0448">
        <w:rPr>
          <w:rFonts w:ascii="Times New Roman" w:eastAsia="Times New Roman" w:hAnsi="Times New Roman" w:cs="Times New Roman"/>
        </w:rPr>
        <w:t xml:space="preserve">), or changes in </w:t>
      </w:r>
      <w:r w:rsidR="00917FB2">
        <w:rPr>
          <w:rFonts w:ascii="Times New Roman" w:eastAsia="Times New Roman" w:hAnsi="Times New Roman" w:cs="Times New Roman"/>
        </w:rPr>
        <w:t>land-use</w:t>
      </w:r>
      <w:r w:rsidRPr="009B0448">
        <w:rPr>
          <w:rFonts w:ascii="Times New Roman" w:eastAsia="Times New Roman" w:hAnsi="Times New Roman" w:cs="Times New Roman"/>
        </w:rPr>
        <w:t xml:space="preserve"> or access to resources and the resulting loss of livelihoods for certain groups of people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w:t>
      </w:r>
      <w:r w:rsidR="00043CC2" w:rsidRPr="009B0448">
        <w:rPr>
          <w:rFonts w:ascii="Times New Roman" w:eastAsia="Times New Roman" w:hAnsi="Times New Roman" w:cs="Times New Roman"/>
        </w:rPr>
        <w:t>WWF-AfDB, 2015; UNEP, 2016</w:t>
      </w:r>
      <w:r w:rsidRPr="009B0448">
        <w:rPr>
          <w:rFonts w:ascii="Times New Roman" w:eastAsia="Times New Roman" w:hAnsi="Times New Roman" w:cs="Times New Roman"/>
        </w:rPr>
        <w:t>). However, even these links are mostly qualitatively described, with very little quantitative modelling of human well-being. The exceptions mainly deal with modelling disease incidence under climate scenarios (Box 5.6), as well as changes in agricultural production or income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Slater </w:t>
      </w:r>
      <w:r w:rsidR="001D1084"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2012; Mulwa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Compared to certain health impacts and livelihoods, the relationships between human well-being aspects such as equity or security and ecosystem condition are much more difficult to assess or model (Levy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2005; Raudsepp-Hearne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2010). This disconnect may partly explain the overall very positive human well-being outcomes described by </w:t>
      </w:r>
      <w:r w:rsidRPr="009B0448">
        <w:rPr>
          <w:rFonts w:ascii="Times New Roman" w:eastAsia="Times New Roman" w:hAnsi="Times New Roman" w:cs="Times New Roman"/>
          <w:i/>
        </w:rPr>
        <w:t xml:space="preserve">Regional Sustainability </w:t>
      </w:r>
      <w:r w:rsidRPr="009B0448">
        <w:rPr>
          <w:rFonts w:ascii="Times New Roman" w:eastAsia="Times New Roman" w:hAnsi="Times New Roman" w:cs="Times New Roman"/>
        </w:rPr>
        <w:t>(Table 5.6), even though significant negative impacts on biodiversity and ecosystem services are suggested for Africa under this scenario (</w:t>
      </w:r>
      <w:r w:rsidR="00043CC2" w:rsidRPr="009B0448">
        <w:rPr>
          <w:rFonts w:ascii="Times New Roman" w:eastAsia="Times New Roman" w:hAnsi="Times New Roman" w:cs="Times New Roman"/>
        </w:rPr>
        <w:t>WWF-AfDB, 2015; UNEP, 2016</w:t>
      </w:r>
      <w:r w:rsidRPr="009B0448">
        <w:rPr>
          <w:rFonts w:ascii="Times New Roman" w:eastAsia="Times New Roman" w:hAnsi="Times New Roman" w:cs="Times New Roman"/>
        </w:rPr>
        <w:t xml:space="preserve">). </w:t>
      </w:r>
    </w:p>
    <w:p w14:paraId="0EBA4E50" w14:textId="77777777" w:rsidR="0010089E" w:rsidRPr="009B0448" w:rsidRDefault="0010089E" w:rsidP="00F26ADC">
      <w:pPr>
        <w:spacing w:line="276" w:lineRule="auto"/>
        <w:jc w:val="both"/>
        <w:rPr>
          <w:rFonts w:ascii="Times New Roman" w:eastAsia="Times New Roman" w:hAnsi="Times New Roman" w:cs="Times New Roman"/>
        </w:rPr>
      </w:pPr>
    </w:p>
    <w:p w14:paraId="3BC62293" w14:textId="38E65B62" w:rsidR="00991066" w:rsidRPr="009B0448" w:rsidRDefault="00991066"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There is also very little regional specificity when it comes to human well-being in the different scenario studies. This is especially concerning when one considers the large differences in culture, socio-economic conditions and projected climate change impacts between different </w:t>
      </w:r>
      <w:r w:rsidR="00B22D81">
        <w:rPr>
          <w:rFonts w:ascii="Times New Roman" w:eastAsia="Times New Roman" w:hAnsi="Times New Roman" w:cs="Times New Roman"/>
        </w:rPr>
        <w:t>subregion</w:t>
      </w:r>
      <w:r w:rsidRPr="009B0448">
        <w:rPr>
          <w:rFonts w:ascii="Times New Roman" w:eastAsia="Times New Roman" w:hAnsi="Times New Roman" w:cs="Times New Roman"/>
        </w:rPr>
        <w:t xml:space="preserve">s of Africa - impacts such as water stress and concomitant water quality issues that can lead to a wide range of potential diseases, including childhood diarrhoea, a leading cause of death among African children (UNEP, 2008). The majority of scenarios also outline a tension between urban and rural areas, or the centres of development and </w:t>
      </w:r>
      <w:r w:rsidR="008A12D8" w:rsidRPr="009B0448">
        <w:rPr>
          <w:rFonts w:ascii="Times New Roman" w:eastAsia="Times New Roman" w:hAnsi="Times New Roman" w:cs="Times New Roman"/>
        </w:rPr>
        <w:t xml:space="preserve">the </w:t>
      </w:r>
      <w:r w:rsidRPr="009B0448">
        <w:rPr>
          <w:rFonts w:ascii="Times New Roman" w:eastAsia="Times New Roman" w:hAnsi="Times New Roman" w:cs="Times New Roman"/>
        </w:rPr>
        <w:t xml:space="preserve">communities “left behind”, yet these divergent trajectories are not explored in detail. Future African scenario research should address these gaps to understand differences between areas, along with carefully disaggregating well-being impacts across different groups of people. Because of the high levels of inequality on the African continent, especially in sub-Saharan Africa (Beegle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2016), scenarios of well-being impacts due to environmental change need to take into account the often fine-scale heterogeneity among Africa’s population. </w:t>
      </w:r>
    </w:p>
    <w:p w14:paraId="1C5AFB00" w14:textId="77777777" w:rsidR="0010089E" w:rsidRPr="009B0448" w:rsidRDefault="0010089E" w:rsidP="00F26ADC">
      <w:pPr>
        <w:spacing w:line="276" w:lineRule="auto"/>
        <w:jc w:val="both"/>
        <w:rPr>
          <w:rFonts w:ascii="Times New Roman" w:eastAsia="Times New Roman" w:hAnsi="Times New Roman" w:cs="Times New Roman"/>
        </w:rPr>
      </w:pPr>
    </w:p>
    <w:p w14:paraId="0A2F15CD" w14:textId="4B640E26" w:rsidR="00B24128" w:rsidRPr="009B0448" w:rsidRDefault="00B24128">
      <w:pPr>
        <w:rPr>
          <w:rFonts w:ascii="Times New Roman" w:eastAsia="Times New Roman" w:hAnsi="Times New Roman" w:cs="Times New Roman"/>
        </w:rPr>
      </w:pPr>
      <w:r w:rsidRPr="009B0448">
        <w:rPr>
          <w:rFonts w:ascii="Times New Roman" w:eastAsia="Times New Roman" w:hAnsi="Times New Roman" w:cs="Times New Roman"/>
        </w:rPr>
        <w:br w:type="page"/>
      </w:r>
    </w:p>
    <w:p w14:paraId="7AF66797" w14:textId="503F6CB2" w:rsidR="00B24128" w:rsidRPr="009B0448" w:rsidRDefault="00B24128" w:rsidP="00F26ADC">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drawing>
          <wp:inline distT="0" distB="0" distL="0" distR="0" wp14:anchorId="0FEB1E63" wp14:editId="021261D4">
            <wp:extent cx="5723919" cy="851916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b5.6.JPG"/>
                    <pic:cNvPicPr>
                      <a:picLocks noChangeAspect="1" noChangeArrowheads="1"/>
                    </pic:cNvPicPr>
                  </pic:nvPicPr>
                  <pic:blipFill>
                    <a:blip r:embed="rId1586">
                      <a:extLst>
                        <a:ext uri="{28A0092B-C50C-407E-A947-70E740481C1C}">
                          <a14:useLocalDpi xmlns:a14="http://schemas.microsoft.com/office/drawing/2010/main" val="0"/>
                        </a:ext>
                      </a:extLst>
                    </a:blip>
                    <a:stretch>
                      <a:fillRect/>
                    </a:stretch>
                  </pic:blipFill>
                  <pic:spPr bwMode="auto">
                    <a:xfrm>
                      <a:off x="0" y="0"/>
                      <a:ext cx="5728599" cy="8526125"/>
                    </a:xfrm>
                    <a:prstGeom prst="rect">
                      <a:avLst/>
                    </a:prstGeom>
                    <a:noFill/>
                    <a:ln>
                      <a:noFill/>
                    </a:ln>
                  </pic:spPr>
                </pic:pic>
              </a:graphicData>
            </a:graphic>
          </wp:inline>
        </w:drawing>
      </w:r>
    </w:p>
    <w:p w14:paraId="27CB3B4E" w14:textId="3F90444F" w:rsidR="00991066" w:rsidRPr="009B0448" w:rsidRDefault="0010089E" w:rsidP="00FA7185">
      <w:pPr>
        <w:pStyle w:val="Heading3"/>
        <w:widowControl w:val="0"/>
        <w:numPr>
          <w:ilvl w:val="1"/>
          <w:numId w:val="11"/>
        </w:numPr>
        <w:spacing w:before="240" w:after="240"/>
        <w:ind w:left="709" w:hanging="720"/>
        <w:rPr>
          <w:rFonts w:eastAsia="Calibri" w:cs="Times New Roman"/>
          <w:szCs w:val="24"/>
        </w:rPr>
      </w:pPr>
      <w:bookmarkStart w:id="436" w:name="_46r0co2" w:colFirst="0" w:colLast="0"/>
      <w:bookmarkStart w:id="437" w:name="_Toc519500027"/>
      <w:bookmarkEnd w:id="436"/>
      <w:r w:rsidRPr="009B0448">
        <w:rPr>
          <w:rFonts w:eastAsia="Calibri" w:cs="Times New Roman"/>
          <w:szCs w:val="24"/>
        </w:rPr>
        <w:t>Policy implications and options</w:t>
      </w:r>
      <w:bookmarkEnd w:id="437"/>
    </w:p>
    <w:p w14:paraId="7F347ADA" w14:textId="6BE75016" w:rsidR="00B22EAA"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assessment presented in this section focuses on key policy processes currently underway in Africa and how they might assist with addressing important development challenges outlined in the scoping report under different scenarios. Table 5.6 presents a general summary of the emerging policy implications based on the five archetypes explored in this chapter, showing the overall trends in key drivers, ecosystem integrity and human well-being outcomes as discussed in sections 5.4</w:t>
      </w:r>
      <w:r w:rsidR="00955495" w:rsidRPr="009B0448">
        <w:rPr>
          <w:rFonts w:ascii="Times New Roman" w:eastAsia="Times New Roman" w:hAnsi="Times New Roman" w:cs="Times New Roman"/>
        </w:rPr>
        <w:t>–</w:t>
      </w:r>
      <w:r w:rsidRPr="009B0448">
        <w:rPr>
          <w:rFonts w:ascii="Times New Roman" w:eastAsia="Times New Roman" w:hAnsi="Times New Roman" w:cs="Times New Roman"/>
        </w:rPr>
        <w:t>5.6. It is important to keep in mind that these summaries are not predictions of the future, but rather aim to give a sense of the range of plausible futures that could unfold on the continent, given different sets of drivers, management interventions and governance response</w:t>
      </w:r>
      <w:r w:rsidR="008A12D8" w:rsidRPr="009B0448">
        <w:rPr>
          <w:rFonts w:ascii="Times New Roman" w:eastAsia="Times New Roman" w:hAnsi="Times New Roman" w:cs="Times New Roman"/>
        </w:rPr>
        <w:t>s</w:t>
      </w:r>
      <w:r w:rsidRPr="009B0448">
        <w:rPr>
          <w:rFonts w:ascii="Times New Roman" w:eastAsia="Times New Roman" w:hAnsi="Times New Roman" w:cs="Times New Roman"/>
        </w:rPr>
        <w:t xml:space="preserve"> and their complex interactions with the environment and society.</w:t>
      </w:r>
      <w:bookmarkStart w:id="438" w:name="_tlxpcieiw99m" w:colFirst="0" w:colLast="0"/>
      <w:bookmarkEnd w:id="438"/>
    </w:p>
    <w:p w14:paraId="668341FD" w14:textId="77777777" w:rsidR="00B22EAA" w:rsidRPr="009B0448" w:rsidRDefault="00B22EAA" w:rsidP="0010089E">
      <w:pPr>
        <w:spacing w:line="276" w:lineRule="auto"/>
        <w:jc w:val="both"/>
        <w:rPr>
          <w:rFonts w:ascii="Times New Roman" w:eastAsia="Times New Roman" w:hAnsi="Times New Roman" w:cs="Times New Roman"/>
        </w:rPr>
      </w:pPr>
    </w:p>
    <w:p w14:paraId="63B43AE0" w14:textId="12BED9CC"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b/>
        </w:rPr>
        <w:t>Table 5.6:</w:t>
      </w:r>
      <w:r w:rsidR="00E87C98" w:rsidRPr="009B0448">
        <w:rPr>
          <w:rFonts w:ascii="Times New Roman" w:eastAsia="Times New Roman" w:hAnsi="Times New Roman" w:cs="Times New Roman"/>
        </w:rPr>
        <w:t xml:space="preserve"> </w:t>
      </w:r>
      <w:r w:rsidR="00652C6C" w:rsidRPr="009B0448">
        <w:rPr>
          <w:rFonts w:ascii="Times New Roman" w:eastAsia="Times New Roman" w:hAnsi="Times New Roman" w:cs="Times New Roman"/>
        </w:rPr>
        <w:t>Trends in the drivers of biodiversity loss, biodiversity, nature’s contributions to the people and human well-being under each of the archetypes used to categori</w:t>
      </w:r>
      <w:r w:rsidR="00C83C05" w:rsidRPr="009B0448">
        <w:rPr>
          <w:rFonts w:ascii="Times New Roman" w:eastAsia="Times New Roman" w:hAnsi="Times New Roman" w:cs="Times New Roman"/>
        </w:rPr>
        <w:t>s</w:t>
      </w:r>
      <w:r w:rsidR="00652C6C" w:rsidRPr="009B0448">
        <w:rPr>
          <w:rFonts w:ascii="Times New Roman" w:eastAsia="Times New Roman" w:hAnsi="Times New Roman" w:cs="Times New Roman"/>
        </w:rPr>
        <w:t>e the scenarios surveyed in Africa, with response options that could help to minimi</w:t>
      </w:r>
      <w:r w:rsidR="00E526DF" w:rsidRPr="009B0448">
        <w:rPr>
          <w:rFonts w:ascii="Times New Roman" w:eastAsia="Times New Roman" w:hAnsi="Times New Roman" w:cs="Times New Roman"/>
        </w:rPr>
        <w:t>s</w:t>
      </w:r>
      <w:r w:rsidR="00652C6C" w:rsidRPr="009B0448">
        <w:rPr>
          <w:rFonts w:ascii="Times New Roman" w:eastAsia="Times New Roman" w:hAnsi="Times New Roman" w:cs="Times New Roman"/>
        </w:rPr>
        <w:t>e some of the negative drivers towards achieving targets. This table summarises the results of the assessment of different drivers (Table 5.3), biodiversity and nature’s contributions to people (Table 5.4), as well as dimensions of human well-being trajectories (Table 5.5) under different scenario archetypes for Africa (Box 5.2). The arrows indicate an increase (</w:t>
      </w:r>
      <w:r w:rsidR="00652C6C" w:rsidRPr="009B0448">
        <w:rPr>
          <w:rFonts w:ascii="Cambria Math" w:eastAsia="Times New Roman" w:hAnsi="Cambria Math" w:cs="Cambria Math"/>
        </w:rPr>
        <w:t>↗</w:t>
      </w:r>
      <w:r w:rsidR="00652C6C" w:rsidRPr="009B0448">
        <w:rPr>
          <w:rFonts w:ascii="Times New Roman" w:eastAsia="Times New Roman" w:hAnsi="Times New Roman" w:cs="Times New Roman"/>
        </w:rPr>
        <w:t>), decrease (</w:t>
      </w:r>
      <w:r w:rsidR="00652C6C" w:rsidRPr="009B0448">
        <w:rPr>
          <w:rFonts w:ascii="Cambria Math" w:eastAsia="Times New Roman" w:hAnsi="Cambria Math" w:cs="Cambria Math"/>
        </w:rPr>
        <w:t>↘</w:t>
      </w:r>
      <w:r w:rsidR="00652C6C" w:rsidRPr="009B0448">
        <w:rPr>
          <w:rFonts w:ascii="Times New Roman" w:eastAsia="Times New Roman" w:hAnsi="Times New Roman" w:cs="Times New Roman"/>
        </w:rPr>
        <w:t xml:space="preserve">), or no change (→) under each of the different categories for each scenario type into the future. The colour of the cell indicates the overall impact of the results across the reports, where green indicates </w:t>
      </w:r>
      <w:r w:rsidR="00BD4D48" w:rsidRPr="009B0448">
        <w:rPr>
          <w:rFonts w:ascii="Times New Roman" w:eastAsia="Times New Roman" w:hAnsi="Times New Roman" w:cs="Times New Roman"/>
        </w:rPr>
        <w:t xml:space="preserve">an </w:t>
      </w:r>
      <w:r w:rsidR="00652C6C" w:rsidRPr="009B0448">
        <w:rPr>
          <w:rFonts w:ascii="Times New Roman" w:eastAsia="Times New Roman" w:hAnsi="Times New Roman" w:cs="Times New Roman"/>
        </w:rPr>
        <w:t xml:space="preserve">overall positive impact, orange indicates overall negative impact, </w:t>
      </w:r>
      <w:r w:rsidR="00D4358E" w:rsidRPr="009B0448">
        <w:rPr>
          <w:rFonts w:ascii="Times New Roman" w:eastAsia="Times New Roman" w:hAnsi="Times New Roman" w:cs="Times New Roman"/>
        </w:rPr>
        <w:t>purple</w:t>
      </w:r>
      <w:r w:rsidR="00652C6C" w:rsidRPr="009B0448">
        <w:rPr>
          <w:rFonts w:ascii="Times New Roman" w:eastAsia="Times New Roman" w:hAnsi="Times New Roman" w:cs="Times New Roman"/>
        </w:rPr>
        <w:t xml:space="preserve"> indicates contradictory trends, and no colour indicates no overall change/impact. The table shows that the impacts of all drivers are expected to increase under all scenarios, except for mixed results linked to regional and global resource demand under local sustainability. The final column outlines potential governance responses based on Table 6.2 that could help to navigate towards improving biodiversity, nature’s contributions to people and human well-being by addressing particular negative drivers in each of the scenario archetypes. The responses are not exhaustive, but showcase examples of how scenario exercises can help to elucidate policy options for achieving desirable outcomes.</w:t>
      </w:r>
    </w:p>
    <w:p w14:paraId="6E7B0897" w14:textId="49121CAE" w:rsidR="00354EA2" w:rsidRPr="009B0448" w:rsidRDefault="00354EA2"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drawing>
          <wp:inline distT="0" distB="0" distL="0" distR="0" wp14:anchorId="56E322DE" wp14:editId="4A76893C">
            <wp:extent cx="5717711" cy="2258614"/>
            <wp:effectExtent l="0" t="0" r="0" b="889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T5.6a.JPG"/>
                    <pic:cNvPicPr/>
                  </pic:nvPicPr>
                  <pic:blipFill>
                    <a:blip r:embed="rId1587">
                      <a:extLst>
                        <a:ext uri="{28A0092B-C50C-407E-A947-70E740481C1C}">
                          <a14:useLocalDpi xmlns:a14="http://schemas.microsoft.com/office/drawing/2010/main" val="0"/>
                        </a:ext>
                      </a:extLst>
                    </a:blip>
                    <a:stretch>
                      <a:fillRect/>
                    </a:stretch>
                  </pic:blipFill>
                  <pic:spPr>
                    <a:xfrm>
                      <a:off x="0" y="0"/>
                      <a:ext cx="5740325" cy="2267547"/>
                    </a:xfrm>
                    <a:prstGeom prst="rect">
                      <a:avLst/>
                    </a:prstGeom>
                  </pic:spPr>
                </pic:pic>
              </a:graphicData>
            </a:graphic>
          </wp:inline>
        </w:drawing>
      </w:r>
    </w:p>
    <w:p w14:paraId="144382B0" w14:textId="77777777" w:rsidR="00991066" w:rsidRPr="009B0448" w:rsidRDefault="00991066" w:rsidP="0010089E">
      <w:pPr>
        <w:spacing w:line="276" w:lineRule="auto"/>
        <w:jc w:val="both"/>
        <w:rPr>
          <w:rFonts w:ascii="Times New Roman" w:eastAsia="Times New Roman" w:hAnsi="Times New Roman" w:cs="Times New Roman"/>
        </w:rPr>
      </w:pPr>
      <w:bookmarkStart w:id="439" w:name="_fotet7gjc34d" w:colFirst="0" w:colLast="0"/>
      <w:bookmarkEnd w:id="439"/>
      <w:r w:rsidRPr="009B0448">
        <w:rPr>
          <w:rFonts w:ascii="Times New Roman" w:eastAsia="Times New Roman" w:hAnsi="Times New Roman" w:cs="Times New Roman"/>
          <w:noProof/>
          <w:lang w:eastAsia="en-GB"/>
        </w:rPr>
        <w:drawing>
          <wp:inline distT="114300" distB="114300" distL="114300" distR="114300" wp14:anchorId="711B97A5" wp14:editId="1DBB4296">
            <wp:extent cx="5707380" cy="5981700"/>
            <wp:effectExtent l="0" t="0" r="7620" b="0"/>
            <wp:docPr id="29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588">
                      <a:extLst>
                        <a:ext uri="{28A0092B-C50C-407E-A947-70E740481C1C}">
                          <a14:useLocalDpi xmlns:a14="http://schemas.microsoft.com/office/drawing/2010/main" val="0"/>
                        </a:ext>
                      </a:extLst>
                    </a:blip>
                    <a:stretch>
                      <a:fillRect/>
                    </a:stretch>
                  </pic:blipFill>
                  <pic:spPr>
                    <a:xfrm>
                      <a:off x="0" y="0"/>
                      <a:ext cx="5707768" cy="5982107"/>
                    </a:xfrm>
                    <a:prstGeom prst="rect">
                      <a:avLst/>
                    </a:prstGeom>
                    <a:ln/>
                  </pic:spPr>
                </pic:pic>
              </a:graphicData>
            </a:graphic>
          </wp:inline>
        </w:drawing>
      </w:r>
    </w:p>
    <w:p w14:paraId="54877A4C" w14:textId="77777777" w:rsidR="00B22EAA" w:rsidRPr="009B0448" w:rsidRDefault="00B22EAA" w:rsidP="0010089E">
      <w:pPr>
        <w:spacing w:line="276" w:lineRule="auto"/>
        <w:jc w:val="both"/>
        <w:rPr>
          <w:rFonts w:ascii="Times New Roman" w:eastAsia="Times New Roman" w:hAnsi="Times New Roman" w:cs="Times New Roman"/>
        </w:rPr>
      </w:pPr>
    </w:p>
    <w:p w14:paraId="7CF94F35" w14:textId="133879E7"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Issues related to the food-water-energy nexus, land degradation, and invasive species have many features in common, including complex combinations of drivers, interactions across local to global scales, thresholds and lag effects, which make the development, alignment and implementation of policies difficult. Furthermore, issues such as poverty alleviation, biodiversity loss and food production require collective agreements for concerted action and governance across scales that go beyond political boundaries and individual national benefit (UNEP, 2009). The Ecological Futures report led by the WWF and AfDB in 2015 explores four different scenarios of social-ecological development in Africa and outlines their key policy implications (WWF-AfDB, 2015). These scenarios were derived from a variety of multi-stakeholder and multi-sector participatory workshops and include visions aligned with key policy processes in Africa linked to NEPAD, the African Development Bank, and the United Nations Economic Commission for Africa. The resulting co-developed sc</w:t>
      </w:r>
      <w:r w:rsidR="00A54730" w:rsidRPr="009B0448">
        <w:rPr>
          <w:rFonts w:ascii="Times New Roman" w:eastAsia="Times New Roman" w:hAnsi="Times New Roman" w:cs="Times New Roman"/>
        </w:rPr>
        <w:t>enarios also underpin the GEO6 R</w:t>
      </w:r>
      <w:r w:rsidRPr="009B0448">
        <w:rPr>
          <w:rFonts w:ascii="Times New Roman" w:eastAsia="Times New Roman" w:hAnsi="Times New Roman" w:cs="Times New Roman"/>
        </w:rPr>
        <w:t xml:space="preserve">egional </w:t>
      </w:r>
      <w:r w:rsidR="00A54730" w:rsidRPr="009B0448">
        <w:rPr>
          <w:rFonts w:ascii="Times New Roman" w:eastAsia="Times New Roman" w:hAnsi="Times New Roman" w:cs="Times New Roman"/>
        </w:rPr>
        <w:t>A</w:t>
      </w:r>
      <w:r w:rsidRPr="009B0448">
        <w:rPr>
          <w:rFonts w:ascii="Times New Roman" w:eastAsia="Times New Roman" w:hAnsi="Times New Roman" w:cs="Times New Roman"/>
        </w:rPr>
        <w:t>ssessment (UNEP, 2016). Given their utility for understanding the potential impacts of various policies and interventions on the contribution of biodiversity and ecosystem services for sustaining the economy, livelihoods, food, water and energy security and good quality of life specifically in Africa, they are drawn on heavily in this section.</w:t>
      </w:r>
    </w:p>
    <w:p w14:paraId="6C6BAB52" w14:textId="77777777" w:rsidR="00B22EAA" w:rsidRPr="009B0448" w:rsidRDefault="00B22EAA" w:rsidP="0010089E">
      <w:pPr>
        <w:spacing w:line="276" w:lineRule="auto"/>
        <w:jc w:val="both"/>
        <w:rPr>
          <w:rFonts w:ascii="Times New Roman" w:eastAsia="Times New Roman" w:hAnsi="Times New Roman" w:cs="Times New Roman"/>
        </w:rPr>
      </w:pPr>
    </w:p>
    <w:p w14:paraId="0360AA14" w14:textId="171891FD"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WWF report relates to how nations and regions might co-design and align policies related to three key issues in Africa: i) economic activities (the location and intensity of agricultural and extractive and manufacturing activities); ii) human settlements (the distribution and consumptive demands of human settlements); and iii) infrastructure (the nature and extent of infrastructure that is needed to support economic activities, consumption demands, conservation activities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waste water treatment), coupled with the supply chains and trade systems that are needed to sustain the infrastructure). The location and intensity of each of these three issues are influenced by the development trajectory the continent and different countries take, and the governance mechanisms established to manage development. The scenarios specifically explore trade-offs associated with lock-in behaviours and dependencies that large-scale infrastructure projects aimed at addressing the infrastructure deficit on the continent might entail. The intensity and scale of impact of key indirect and direct drivers (see Section 5.4) in different regions and countries will alter the types of policies and governance processes (see Chapter 6) that are required to mediate these intersecting issues in Africa.</w:t>
      </w:r>
    </w:p>
    <w:p w14:paraId="79985056" w14:textId="77777777" w:rsidR="00B22EAA" w:rsidRPr="009B0448" w:rsidRDefault="00B22EAA" w:rsidP="0010089E">
      <w:pPr>
        <w:spacing w:line="276" w:lineRule="auto"/>
        <w:jc w:val="both"/>
        <w:rPr>
          <w:rFonts w:ascii="Times New Roman" w:eastAsia="Times New Roman" w:hAnsi="Times New Roman" w:cs="Times New Roman"/>
        </w:rPr>
      </w:pPr>
    </w:p>
    <w:p w14:paraId="2E6984A1" w14:textId="3849650F"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the remainder of this section</w:t>
      </w:r>
      <w:r w:rsidR="008A12D8" w:rsidRPr="009B0448">
        <w:rPr>
          <w:rFonts w:ascii="Times New Roman" w:eastAsia="Times New Roman" w:hAnsi="Times New Roman" w:cs="Times New Roman"/>
        </w:rPr>
        <w:t>,</w:t>
      </w:r>
      <w:r w:rsidRPr="009B0448">
        <w:rPr>
          <w:rFonts w:ascii="Times New Roman" w:eastAsia="Times New Roman" w:hAnsi="Times New Roman" w:cs="Times New Roman"/>
        </w:rPr>
        <w:t xml:space="preserve"> we assess the likelihood of achieving key development targets in Africa under </w:t>
      </w:r>
      <w:r w:rsidR="008A12D8" w:rsidRPr="009B0448">
        <w:rPr>
          <w:rFonts w:ascii="Times New Roman" w:eastAsia="Times New Roman" w:hAnsi="Times New Roman" w:cs="Times New Roman"/>
        </w:rPr>
        <w:t>each of the scenario archetypes</w:t>
      </w:r>
      <w:r w:rsidRPr="009B0448">
        <w:rPr>
          <w:rFonts w:ascii="Times New Roman" w:eastAsia="Times New Roman" w:hAnsi="Times New Roman" w:cs="Times New Roman"/>
        </w:rPr>
        <w:t xml:space="preserve"> and </w:t>
      </w:r>
      <w:r w:rsidR="000B06FE" w:rsidRPr="009B0448">
        <w:rPr>
          <w:rFonts w:ascii="Times New Roman" w:eastAsia="Times New Roman" w:hAnsi="Times New Roman" w:cs="Times New Roman"/>
        </w:rPr>
        <w:t>summarise</w:t>
      </w:r>
      <w:r w:rsidRPr="009B0448">
        <w:rPr>
          <w:rFonts w:ascii="Times New Roman" w:eastAsia="Times New Roman" w:hAnsi="Times New Roman" w:cs="Times New Roman"/>
        </w:rPr>
        <w:t xml:space="preserve"> these in Table 5.7. The foundation of our analysis is the African Union Agenda 2063 aspirations and how they align with the implementation of the SDGs, the Aichi </w:t>
      </w:r>
      <w:r w:rsidR="0079223F" w:rsidRPr="009B0448">
        <w:rPr>
          <w:rFonts w:ascii="Times New Roman" w:eastAsia="Times New Roman" w:hAnsi="Times New Roman" w:cs="Times New Roman"/>
        </w:rPr>
        <w:t>Biodiversity T</w:t>
      </w:r>
      <w:r w:rsidRPr="009B0448">
        <w:rPr>
          <w:rFonts w:ascii="Times New Roman" w:eastAsia="Times New Roman" w:hAnsi="Times New Roman" w:cs="Times New Roman"/>
        </w:rPr>
        <w:t>argets</w:t>
      </w:r>
      <w:r w:rsidR="00A030F6">
        <w:rPr>
          <w:rFonts w:ascii="Times New Roman" w:eastAsia="Times New Roman" w:hAnsi="Times New Roman" w:cs="Times New Roman"/>
        </w:rPr>
        <w:t xml:space="preserve"> (ABTs)</w:t>
      </w:r>
      <w:r w:rsidRPr="009B0448">
        <w:rPr>
          <w:rFonts w:ascii="Times New Roman" w:eastAsia="Times New Roman" w:hAnsi="Times New Roman" w:cs="Times New Roman"/>
        </w:rPr>
        <w:t xml:space="preserve">, and the goals of other policy frameworks such as the Sendai Framework for Disaster Risk Reduction and climate targets negotiated through the IPCC and other associated declarations. </w:t>
      </w:r>
    </w:p>
    <w:p w14:paraId="2111D348" w14:textId="4946EEF0"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40" w:name="_2lwamvv" w:colFirst="0" w:colLast="0"/>
      <w:bookmarkStart w:id="441" w:name="_Toc519500028"/>
      <w:bookmarkEnd w:id="440"/>
      <w:r w:rsidRPr="009B0448">
        <w:rPr>
          <w:rFonts w:cs="Times New Roman"/>
          <w:i w:val="0"/>
          <w:sz w:val="22"/>
          <w:szCs w:val="22"/>
        </w:rPr>
        <w:t>Food-water-energ</w:t>
      </w:r>
      <w:r w:rsidR="00B22EAA" w:rsidRPr="009B0448">
        <w:rPr>
          <w:rFonts w:cs="Times New Roman"/>
          <w:i w:val="0"/>
          <w:sz w:val="22"/>
          <w:szCs w:val="22"/>
        </w:rPr>
        <w:t xml:space="preserve">y nexus (SDGs 2, 6, 7, 12; </w:t>
      </w:r>
      <w:r w:rsidR="00A030F6">
        <w:rPr>
          <w:rFonts w:cs="Times New Roman"/>
          <w:i w:val="0"/>
          <w:sz w:val="22"/>
          <w:szCs w:val="22"/>
        </w:rPr>
        <w:t>ABTs</w:t>
      </w:r>
      <w:r w:rsidR="00B22EAA" w:rsidRPr="009B0448">
        <w:rPr>
          <w:rFonts w:cs="Times New Roman"/>
          <w:i w:val="0"/>
          <w:sz w:val="22"/>
          <w:szCs w:val="22"/>
        </w:rPr>
        <w:t xml:space="preserve"> 6, 7; Agenda 2063</w:t>
      </w:r>
      <w:r w:rsidRPr="009B0448">
        <w:rPr>
          <w:rFonts w:cs="Times New Roman"/>
          <w:i w:val="0"/>
          <w:sz w:val="22"/>
          <w:szCs w:val="22"/>
        </w:rPr>
        <w:t xml:space="preserve"> 10, 17)</w:t>
      </w:r>
      <w:bookmarkEnd w:id="441"/>
    </w:p>
    <w:p w14:paraId="43E32CE0" w14:textId="0F9121FF"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An important aspiration for a sustainable and prosperous Africa is that citizens are healthy and well-nourished. Policies aligned with increasing and modernizing agricultural production and access, including sustainable fisheries are best met under</w:t>
      </w:r>
      <w:r w:rsidR="00955495" w:rsidRPr="009B0448">
        <w:rPr>
          <w:rFonts w:ascii="Times New Roman" w:eastAsia="Times New Roman" w:hAnsi="Times New Roman" w:cs="Times New Roman"/>
          <w:i/>
        </w:rPr>
        <w:t xml:space="preserve"> Policy R</w:t>
      </w:r>
      <w:r w:rsidRPr="009B0448">
        <w:rPr>
          <w:rFonts w:ascii="Times New Roman" w:eastAsia="Times New Roman" w:hAnsi="Times New Roman" w:cs="Times New Roman"/>
          <w:i/>
        </w:rPr>
        <w:t>eform</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archetypes (MA</w:t>
      </w:r>
      <w:r w:rsidR="00955495"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w:t>
      </w:r>
      <w:r w:rsidR="004711C0" w:rsidRPr="009B0448">
        <w:rPr>
          <w:rFonts w:ascii="Times New Roman" w:eastAsia="Times New Roman" w:hAnsi="Times New Roman" w:cs="Times New Roman"/>
        </w:rPr>
        <w:t>WWF-AfDB, 2015; UNEP, 2016</w:t>
      </w:r>
      <w:r w:rsidRPr="009B0448">
        <w:rPr>
          <w:rFonts w:ascii="Times New Roman" w:eastAsia="Times New Roman" w:hAnsi="Times New Roman" w:cs="Times New Roman"/>
        </w:rPr>
        <w:t xml:space="preserve">) while least likely under conditions of </w:t>
      </w:r>
      <w:r w:rsidR="00955495" w:rsidRPr="009B0448">
        <w:rPr>
          <w:rFonts w:ascii="Times New Roman" w:eastAsia="Times New Roman" w:hAnsi="Times New Roman" w:cs="Times New Roman"/>
          <w:i/>
        </w:rPr>
        <w:t>Fortress W</w:t>
      </w:r>
      <w:r w:rsidRPr="009B0448">
        <w:rPr>
          <w:rFonts w:ascii="Times New Roman" w:eastAsia="Times New Roman" w:hAnsi="Times New Roman" w:cs="Times New Roman"/>
          <w:i/>
        </w:rPr>
        <w:t>orld</w:t>
      </w:r>
      <w:r w:rsidRPr="009B0448">
        <w:rPr>
          <w:rFonts w:ascii="Times New Roman" w:eastAsia="Times New Roman" w:hAnsi="Times New Roman" w:cs="Times New Roman"/>
        </w:rPr>
        <w:t xml:space="preserve"> (WWF</w:t>
      </w:r>
      <w:r w:rsidR="00EE20F0" w:rsidRPr="009B0448">
        <w:rPr>
          <w:rFonts w:ascii="Times New Roman" w:eastAsia="Times New Roman" w:hAnsi="Times New Roman" w:cs="Times New Roman"/>
        </w:rPr>
        <w:t>-AfDB, 2015</w:t>
      </w:r>
      <w:r w:rsidRPr="009B0448">
        <w:rPr>
          <w:rFonts w:ascii="Times New Roman" w:eastAsia="Times New Roman" w:hAnsi="Times New Roman" w:cs="Times New Roman"/>
        </w:rPr>
        <w:t xml:space="preserve">) with little change being seen through conflicting policies associated with a </w:t>
      </w:r>
      <w:r w:rsidR="00955495" w:rsidRPr="009B0448">
        <w:rPr>
          <w:rFonts w:ascii="Times New Roman" w:eastAsia="Times New Roman" w:hAnsi="Times New Roman" w:cs="Times New Roman"/>
          <w:i/>
        </w:rPr>
        <w:t>Market F</w:t>
      </w:r>
      <w:r w:rsidRPr="009B0448">
        <w:rPr>
          <w:rFonts w:ascii="Times New Roman" w:eastAsia="Times New Roman" w:hAnsi="Times New Roman" w:cs="Times New Roman"/>
          <w:i/>
        </w:rPr>
        <w:t>orces</w:t>
      </w:r>
      <w:r w:rsidRPr="009B0448">
        <w:rPr>
          <w:rFonts w:ascii="Times New Roman" w:eastAsia="Times New Roman" w:hAnsi="Times New Roman" w:cs="Times New Roman"/>
        </w:rPr>
        <w:t>-type future (MA</w:t>
      </w:r>
      <w:r w:rsidR="00955495"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 Achieving a goal of zero hunger</w:t>
      </w:r>
      <w:r w:rsidR="008A12D8" w:rsidRPr="009B0448">
        <w:rPr>
          <w:rFonts w:ascii="Times New Roman" w:eastAsia="Times New Roman" w:hAnsi="Times New Roman" w:cs="Times New Roman"/>
        </w:rPr>
        <w:t>,</w:t>
      </w:r>
      <w:r w:rsidRPr="009B0448">
        <w:rPr>
          <w:rFonts w:ascii="Times New Roman" w:eastAsia="Times New Roman" w:hAnsi="Times New Roman" w:cs="Times New Roman"/>
        </w:rPr>
        <w:t xml:space="preserve"> however, is unlikely without compromising water quantity and quality (see section 5.8 on trade-offs). </w:t>
      </w:r>
    </w:p>
    <w:p w14:paraId="5CC5BB1E" w14:textId="77777777" w:rsidR="00B22EAA" w:rsidRPr="009B0448" w:rsidRDefault="00B22EAA" w:rsidP="0010089E">
      <w:pPr>
        <w:spacing w:line="276" w:lineRule="auto"/>
        <w:jc w:val="both"/>
        <w:rPr>
          <w:rFonts w:ascii="Times New Roman" w:eastAsia="Times New Roman" w:hAnsi="Times New Roman" w:cs="Times New Roman"/>
        </w:rPr>
      </w:pPr>
    </w:p>
    <w:p w14:paraId="7D3D5E4B" w14:textId="4072E7C5"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Clean water and sanitation for Africans is best met under conditions of </w:t>
      </w:r>
      <w:r w:rsidR="00955495" w:rsidRPr="009B0448">
        <w:rPr>
          <w:rFonts w:ascii="Times New Roman" w:eastAsia="Times New Roman" w:hAnsi="Times New Roman" w:cs="Times New Roman"/>
          <w:i/>
        </w:rPr>
        <w:t>Local S</w:t>
      </w:r>
      <w:r w:rsidRPr="009B0448">
        <w:rPr>
          <w:rFonts w:ascii="Times New Roman" w:eastAsia="Times New Roman" w:hAnsi="Times New Roman" w:cs="Times New Roman"/>
          <w:i/>
        </w:rPr>
        <w:t>ustainability</w:t>
      </w:r>
      <w:r w:rsidRPr="009B0448">
        <w:rPr>
          <w:rFonts w:ascii="Times New Roman" w:eastAsia="Times New Roman" w:hAnsi="Times New Roman" w:cs="Times New Roman"/>
        </w:rPr>
        <w:t xml:space="preserve"> (</w:t>
      </w:r>
      <w:r w:rsidR="004711C0" w:rsidRPr="009B0448">
        <w:rPr>
          <w:rFonts w:ascii="Times New Roman" w:eastAsia="Times New Roman" w:hAnsi="Times New Roman" w:cs="Times New Roman"/>
        </w:rPr>
        <w:t>WWF-AfDB, 2015; UNEP, 2016</w:t>
      </w:r>
      <w:r w:rsidRPr="009B0448">
        <w:rPr>
          <w:rFonts w:ascii="Times New Roman" w:eastAsia="Times New Roman" w:hAnsi="Times New Roman" w:cs="Times New Roman"/>
        </w:rPr>
        <w:t xml:space="preserve">) and least likely under policies associated especially with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(MA</w:t>
      </w:r>
      <w:r w:rsidR="00EE20F0"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Bohensky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2006;</w:t>
      </w:r>
      <w:r w:rsidR="004711C0" w:rsidRPr="009B0448">
        <w:rPr>
          <w:rFonts w:ascii="Times New Roman" w:eastAsia="Times New Roman" w:hAnsi="Times New Roman" w:cs="Times New Roman"/>
        </w:rPr>
        <w:t xml:space="preserve"> </w:t>
      </w:r>
      <w:r w:rsidRPr="009B0448">
        <w:rPr>
          <w:rFonts w:ascii="Times New Roman" w:eastAsia="Times New Roman" w:hAnsi="Times New Roman" w:cs="Times New Roman"/>
        </w:rPr>
        <w:t xml:space="preserve">van Vliet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2013</w:t>
      </w:r>
      <w:r w:rsidR="004711C0" w:rsidRPr="009B0448">
        <w:rPr>
          <w:rFonts w:ascii="Times New Roman" w:eastAsia="Times New Roman" w:hAnsi="Times New Roman" w:cs="Times New Roman"/>
        </w:rPr>
        <w:t xml:space="preserve">; Niang </w:t>
      </w:r>
      <w:r w:rsidR="000429F8" w:rsidRPr="009B0448">
        <w:rPr>
          <w:rFonts w:ascii="Times New Roman" w:eastAsia="Times New Roman" w:hAnsi="Times New Roman" w:cs="Times New Roman"/>
          <w:i/>
        </w:rPr>
        <w:t>et al.</w:t>
      </w:r>
      <w:r w:rsidR="004711C0" w:rsidRPr="009B0448">
        <w:rPr>
          <w:rFonts w:ascii="Times New Roman" w:eastAsia="Times New Roman" w:hAnsi="Times New Roman" w:cs="Times New Roman"/>
        </w:rPr>
        <w:t>, 2014 - RCP8.5</w:t>
      </w:r>
      <w:r w:rsidR="00EE20F0" w:rsidRPr="009B0448">
        <w:rPr>
          <w:rFonts w:ascii="Times New Roman" w:eastAsia="Times New Roman" w:hAnsi="Times New Roman" w:cs="Times New Roman"/>
        </w:rPr>
        <w:t>; WWF-AfDB, 2015; UNEP, 2016</w:t>
      </w:r>
      <w:r w:rsidRPr="009B0448">
        <w:rPr>
          <w:rFonts w:ascii="Times New Roman" w:eastAsia="Times New Roman" w:hAnsi="Times New Roman" w:cs="Times New Roman"/>
        </w:rPr>
        <w:t xml:space="preserve">). Affordable and clean energy provision is most likely under the </w:t>
      </w:r>
      <w:r w:rsidRPr="009B0448">
        <w:rPr>
          <w:rFonts w:ascii="Times New Roman" w:eastAsia="Times New Roman" w:hAnsi="Times New Roman" w:cs="Times New Roman"/>
          <w:i/>
        </w:rPr>
        <w:t xml:space="preserve">Regional </w:t>
      </w:r>
      <w:r w:rsidR="00955495" w:rsidRPr="009B0448">
        <w:rPr>
          <w:rFonts w:ascii="Times New Roman" w:eastAsia="Times New Roman" w:hAnsi="Times New Roman" w:cs="Times New Roman"/>
          <w:i/>
        </w:rPr>
        <w:t>S</w:t>
      </w:r>
      <w:r w:rsidRPr="009B0448">
        <w:rPr>
          <w:rFonts w:ascii="Times New Roman" w:eastAsia="Times New Roman" w:hAnsi="Times New Roman" w:cs="Times New Roman"/>
          <w:i/>
        </w:rPr>
        <w:t>ustainability</w:t>
      </w:r>
      <w:r w:rsidRPr="009B0448">
        <w:rPr>
          <w:rFonts w:ascii="Times New Roman" w:eastAsia="Times New Roman" w:hAnsi="Times New Roman" w:cs="Times New Roman"/>
        </w:rPr>
        <w:t xml:space="preserve"> and </w:t>
      </w:r>
      <w:r w:rsidR="00955495" w:rsidRPr="009B0448">
        <w:rPr>
          <w:rFonts w:ascii="Times New Roman" w:eastAsia="Times New Roman" w:hAnsi="Times New Roman" w:cs="Times New Roman"/>
          <w:i/>
        </w:rPr>
        <w:t>Local S</w:t>
      </w:r>
      <w:r w:rsidRPr="009B0448">
        <w:rPr>
          <w:rFonts w:ascii="Times New Roman" w:eastAsia="Times New Roman" w:hAnsi="Times New Roman" w:cs="Times New Roman"/>
          <w:i/>
        </w:rPr>
        <w:t>ustainability</w:t>
      </w:r>
      <w:r w:rsidRPr="009B0448">
        <w:rPr>
          <w:rFonts w:ascii="Times New Roman" w:eastAsia="Times New Roman" w:hAnsi="Times New Roman" w:cs="Times New Roman"/>
        </w:rPr>
        <w:t xml:space="preserve"> archetypes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w:t>
      </w:r>
      <w:r w:rsidR="004711C0" w:rsidRPr="009B0448">
        <w:rPr>
          <w:rFonts w:ascii="Times New Roman" w:eastAsia="Times New Roman" w:hAnsi="Times New Roman" w:cs="Times New Roman"/>
        </w:rPr>
        <w:t>; WWF-AfDB, 2015; UNEP, 2016</w:t>
      </w:r>
      <w:r w:rsidRPr="009B0448">
        <w:rPr>
          <w:rFonts w:ascii="Times New Roman" w:eastAsia="Times New Roman" w:hAnsi="Times New Roman" w:cs="Times New Roman"/>
        </w:rPr>
        <w:t xml:space="preserve">). Trade-offs associated with climate and energy security are best addressed through climate action under </w:t>
      </w:r>
      <w:r w:rsidR="00955495" w:rsidRPr="009B0448">
        <w:rPr>
          <w:rFonts w:ascii="Times New Roman" w:eastAsia="Times New Roman" w:hAnsi="Times New Roman" w:cs="Times New Roman"/>
          <w:i/>
        </w:rPr>
        <w:t>Regional S</w:t>
      </w:r>
      <w:r w:rsidRPr="009B0448">
        <w:rPr>
          <w:rFonts w:ascii="Times New Roman" w:eastAsia="Times New Roman" w:hAnsi="Times New Roman" w:cs="Times New Roman"/>
          <w:i/>
        </w:rPr>
        <w:t>ustainability</w:t>
      </w:r>
      <w:r w:rsidRPr="009B0448">
        <w:rPr>
          <w:rFonts w:ascii="Times New Roman" w:eastAsia="Times New Roman" w:hAnsi="Times New Roman" w:cs="Times New Roman"/>
        </w:rPr>
        <w:t xml:space="preserve">, while the least climate action is associated with the </w:t>
      </w:r>
      <w:r w:rsidR="00955495" w:rsidRPr="009B0448">
        <w:rPr>
          <w:rFonts w:ascii="Times New Roman" w:eastAsia="Times New Roman" w:hAnsi="Times New Roman" w:cs="Times New Roman"/>
          <w:i/>
        </w:rPr>
        <w:t>Fortress W</w:t>
      </w:r>
      <w:r w:rsidRPr="009B0448">
        <w:rPr>
          <w:rFonts w:ascii="Times New Roman" w:eastAsia="Times New Roman" w:hAnsi="Times New Roman" w:cs="Times New Roman"/>
          <w:i/>
        </w:rPr>
        <w:t>orld</w:t>
      </w:r>
      <w:r w:rsidRPr="009B0448">
        <w:rPr>
          <w:rFonts w:ascii="Times New Roman" w:eastAsia="Times New Roman" w:hAnsi="Times New Roman" w:cs="Times New Roman"/>
        </w:rPr>
        <w:t xml:space="preserve">-type future (O’Neill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t>
      </w:r>
    </w:p>
    <w:p w14:paraId="28A85394" w14:textId="77777777" w:rsidR="00B22EAA" w:rsidRPr="009B0448" w:rsidRDefault="00B22EAA" w:rsidP="0010089E">
      <w:pPr>
        <w:spacing w:line="276" w:lineRule="auto"/>
        <w:jc w:val="both"/>
        <w:rPr>
          <w:rFonts w:ascii="Times New Roman" w:eastAsia="Times New Roman" w:hAnsi="Times New Roman" w:cs="Times New Roman"/>
        </w:rPr>
      </w:pPr>
    </w:p>
    <w:p w14:paraId="36576A0B" w14:textId="0C827C44"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It is important to understand how issues related to the food-water-energy nexus are also linked to responsible consumption and production, mediated through strong institutions and effective governance. Such policies and the institutions necessary to implement them are most prevalent under </w:t>
      </w:r>
      <w:r w:rsidRPr="009B0448">
        <w:rPr>
          <w:rFonts w:ascii="Times New Roman" w:eastAsia="Times New Roman" w:hAnsi="Times New Roman" w:cs="Times New Roman"/>
          <w:i/>
        </w:rPr>
        <w:t xml:space="preserve">Regional </w:t>
      </w:r>
      <w:r w:rsidR="00955495" w:rsidRPr="009B0448">
        <w:rPr>
          <w:rFonts w:ascii="Times New Roman" w:eastAsia="Times New Roman" w:hAnsi="Times New Roman" w:cs="Times New Roman"/>
          <w:i/>
        </w:rPr>
        <w:t>S</w:t>
      </w:r>
      <w:r w:rsidRPr="009B0448">
        <w:rPr>
          <w:rFonts w:ascii="Times New Roman" w:eastAsia="Times New Roman" w:hAnsi="Times New Roman" w:cs="Times New Roman"/>
          <w:i/>
        </w:rPr>
        <w:t>ustainability</w:t>
      </w:r>
      <w:r w:rsidRPr="009B0448">
        <w:rPr>
          <w:rFonts w:ascii="Times New Roman" w:eastAsia="Times New Roman" w:hAnsi="Times New Roman" w:cs="Times New Roman"/>
        </w:rPr>
        <w:t xml:space="preserve">, and least developed under </w:t>
      </w:r>
      <w:r w:rsidRPr="009B0448">
        <w:rPr>
          <w:rFonts w:ascii="Times New Roman" w:eastAsia="Times New Roman" w:hAnsi="Times New Roman" w:cs="Times New Roman"/>
          <w:i/>
        </w:rPr>
        <w:t xml:space="preserve">Fortress </w:t>
      </w:r>
      <w:r w:rsidR="00955495" w:rsidRPr="009B0448">
        <w:rPr>
          <w:rFonts w:ascii="Times New Roman" w:eastAsia="Times New Roman" w:hAnsi="Times New Roman" w:cs="Times New Roman"/>
          <w:i/>
        </w:rPr>
        <w:t>W</w:t>
      </w:r>
      <w:r w:rsidRPr="009B0448">
        <w:rPr>
          <w:rFonts w:ascii="Times New Roman" w:eastAsia="Times New Roman" w:hAnsi="Times New Roman" w:cs="Times New Roman"/>
          <w:i/>
        </w:rPr>
        <w:t>orld</w:t>
      </w:r>
      <w:r w:rsidRPr="009B0448">
        <w:rPr>
          <w:rFonts w:ascii="Times New Roman" w:eastAsia="Times New Roman" w:hAnsi="Times New Roman" w:cs="Times New Roman"/>
        </w:rPr>
        <w:t xml:space="preserve"> (</w:t>
      </w:r>
      <w:r w:rsidR="00043CC2" w:rsidRPr="009B0448">
        <w:rPr>
          <w:rFonts w:ascii="Times New Roman" w:eastAsia="Times New Roman" w:hAnsi="Times New Roman" w:cs="Times New Roman"/>
        </w:rPr>
        <w:t>Nakicenovic, 2000</w:t>
      </w:r>
      <w:r w:rsidRPr="009B0448">
        <w:rPr>
          <w:rFonts w:ascii="Times New Roman" w:eastAsia="Times New Roman" w:hAnsi="Times New Roman" w:cs="Times New Roman"/>
        </w:rPr>
        <w:t>; MA</w:t>
      </w:r>
      <w:r w:rsidR="00955495"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Bohensky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Overall, policies associated with the </w:t>
      </w:r>
      <w:r w:rsidRPr="009B0448">
        <w:rPr>
          <w:rFonts w:ascii="Times New Roman" w:eastAsia="Times New Roman" w:hAnsi="Times New Roman" w:cs="Times New Roman"/>
          <w:i/>
        </w:rPr>
        <w:t xml:space="preserve">Regional </w:t>
      </w:r>
      <w:r w:rsidR="00955495" w:rsidRPr="009B0448">
        <w:rPr>
          <w:rFonts w:ascii="Times New Roman" w:eastAsia="Times New Roman" w:hAnsi="Times New Roman" w:cs="Times New Roman"/>
          <w:i/>
        </w:rPr>
        <w:t>S</w:t>
      </w:r>
      <w:r w:rsidRPr="009B0448">
        <w:rPr>
          <w:rFonts w:ascii="Times New Roman" w:eastAsia="Times New Roman" w:hAnsi="Times New Roman" w:cs="Times New Roman"/>
          <w:i/>
        </w:rPr>
        <w:t>ustainability</w:t>
      </w:r>
      <w:r w:rsidRPr="009B0448">
        <w:rPr>
          <w:rFonts w:ascii="Times New Roman" w:eastAsia="Times New Roman" w:hAnsi="Times New Roman" w:cs="Times New Roman"/>
        </w:rPr>
        <w:t xml:space="preserve"> archetype are most proactive and supported by good institutions and governance arrangements, and are therefore most likely to achieve aspirations and goals</w:t>
      </w:r>
      <w:r w:rsidRPr="009B0448">
        <w:rPr>
          <w:rFonts w:ascii="Times New Roman" w:eastAsia="Times New Roman" w:hAnsi="Times New Roman" w:cs="Times New Roman"/>
          <w:vertAlign w:val="superscript"/>
        </w:rPr>
        <w:t>1</w:t>
      </w:r>
      <w:r w:rsidRPr="009B0448">
        <w:rPr>
          <w:rFonts w:ascii="Times New Roman" w:eastAsia="Times New Roman" w:hAnsi="Times New Roman" w:cs="Times New Roman"/>
        </w:rPr>
        <w:t xml:space="preserve"> stipulated in global and regional policies related to food, water and energy (Table 5.7).</w:t>
      </w:r>
    </w:p>
    <w:p w14:paraId="528BF925" w14:textId="64A0F55F"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42" w:name="_111kx3o" w:colFirst="0" w:colLast="0"/>
      <w:bookmarkStart w:id="443" w:name="_Toc519500029"/>
      <w:bookmarkEnd w:id="442"/>
      <w:r w:rsidRPr="009B0448">
        <w:rPr>
          <w:rFonts w:cs="Times New Roman"/>
          <w:i w:val="0"/>
          <w:sz w:val="22"/>
          <w:szCs w:val="22"/>
        </w:rPr>
        <w:t>Land degradation (SDG</w:t>
      </w:r>
      <w:r w:rsidR="00B22EAA" w:rsidRPr="009B0448">
        <w:rPr>
          <w:rFonts w:cs="Times New Roman"/>
          <w:i w:val="0"/>
          <w:sz w:val="22"/>
          <w:szCs w:val="22"/>
        </w:rPr>
        <w:t>s</w:t>
      </w:r>
      <w:r w:rsidRPr="009B0448">
        <w:rPr>
          <w:rFonts w:cs="Times New Roman"/>
          <w:i w:val="0"/>
          <w:sz w:val="22"/>
          <w:szCs w:val="22"/>
        </w:rPr>
        <w:t xml:space="preserve"> 12, 15; </w:t>
      </w:r>
      <w:r w:rsidR="00A030F6">
        <w:rPr>
          <w:rFonts w:cs="Times New Roman"/>
          <w:i w:val="0"/>
          <w:sz w:val="22"/>
          <w:szCs w:val="22"/>
        </w:rPr>
        <w:t>ABTs</w:t>
      </w:r>
      <w:r w:rsidR="0079223F" w:rsidRPr="009B0448">
        <w:rPr>
          <w:rFonts w:cs="Times New Roman"/>
          <w:i w:val="0"/>
          <w:sz w:val="22"/>
          <w:szCs w:val="22"/>
        </w:rPr>
        <w:t xml:space="preserve"> </w:t>
      </w:r>
      <w:r w:rsidRPr="009B0448">
        <w:rPr>
          <w:rFonts w:cs="Times New Roman"/>
          <w:i w:val="0"/>
          <w:sz w:val="22"/>
          <w:szCs w:val="22"/>
        </w:rPr>
        <w:t>5, 7, 11, 14; Agenda 2063 17)</w:t>
      </w:r>
      <w:bookmarkEnd w:id="443"/>
    </w:p>
    <w:p w14:paraId="5EE1CF6A" w14:textId="36454618"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Land degradation and associated negative </w:t>
      </w:r>
      <w:r w:rsidR="00043CC2" w:rsidRPr="009B0448">
        <w:rPr>
          <w:rFonts w:ascii="Times New Roman" w:eastAsia="Times New Roman" w:hAnsi="Times New Roman" w:cs="Times New Roman"/>
        </w:rPr>
        <w:t>impacts on biodiversity and NCP</w:t>
      </w:r>
      <w:r w:rsidRPr="009B0448">
        <w:rPr>
          <w:rFonts w:ascii="Times New Roman" w:eastAsia="Times New Roman" w:hAnsi="Times New Roman" w:cs="Times New Roman"/>
        </w:rPr>
        <w:t xml:space="preserve"> in Africa are the highest under </w:t>
      </w:r>
      <w:r w:rsidRPr="009B0448">
        <w:rPr>
          <w:rFonts w:ascii="Times New Roman" w:eastAsia="Times New Roman" w:hAnsi="Times New Roman" w:cs="Times New Roman"/>
          <w:i/>
        </w:rPr>
        <w:t xml:space="preserve">Fortress </w:t>
      </w:r>
      <w:r w:rsidR="00025EC6" w:rsidRPr="009B0448">
        <w:rPr>
          <w:rFonts w:ascii="Times New Roman" w:eastAsia="Times New Roman" w:hAnsi="Times New Roman" w:cs="Times New Roman"/>
          <w:i/>
        </w:rPr>
        <w:t>W</w:t>
      </w:r>
      <w:r w:rsidRPr="009B0448">
        <w:rPr>
          <w:rFonts w:ascii="Times New Roman" w:eastAsia="Times New Roman" w:hAnsi="Times New Roman" w:cs="Times New Roman"/>
          <w:i/>
        </w:rPr>
        <w:t xml:space="preserve">orld </w:t>
      </w:r>
      <w:r w:rsidRPr="009B0448">
        <w:rPr>
          <w:rFonts w:ascii="Times New Roman" w:eastAsia="Times New Roman" w:hAnsi="Times New Roman" w:cs="Times New Roman"/>
        </w:rPr>
        <w:t>(</w:t>
      </w:r>
      <w:r w:rsidR="00043CC2" w:rsidRPr="009B0448">
        <w:rPr>
          <w:rFonts w:ascii="Times New Roman" w:eastAsia="Times New Roman" w:hAnsi="Times New Roman" w:cs="Times New Roman"/>
        </w:rPr>
        <w:t>Nakicenovic, 2000</w:t>
      </w:r>
      <w:r w:rsidRPr="009B0448">
        <w:rPr>
          <w:rFonts w:ascii="Times New Roman" w:eastAsia="Times New Roman" w:hAnsi="Times New Roman" w:cs="Times New Roman"/>
        </w:rPr>
        <w:t xml:space="preserve">; </w:t>
      </w:r>
      <w:r w:rsidR="00043CC2" w:rsidRPr="009B0448">
        <w:rPr>
          <w:rFonts w:ascii="Times New Roman" w:eastAsia="Times New Roman" w:hAnsi="Times New Roman" w:cs="Times New Roman"/>
        </w:rPr>
        <w:t xml:space="preserve">MA, 2005; UNEP, 2007; </w:t>
      </w:r>
      <w:r w:rsidRPr="009B0448">
        <w:rPr>
          <w:rFonts w:ascii="Times New Roman" w:eastAsia="Times New Roman" w:hAnsi="Times New Roman" w:cs="Times New Roman"/>
        </w:rPr>
        <w:t xml:space="preserve">van Vliet </w:t>
      </w:r>
      <w:r w:rsidR="000429F8" w:rsidRPr="009B0448">
        <w:rPr>
          <w:rFonts w:ascii="Times New Roman" w:eastAsia="Times New Roman" w:hAnsi="Times New Roman" w:cs="Times New Roman"/>
          <w:i/>
        </w:rPr>
        <w:t>et al.</w:t>
      </w:r>
      <w:r w:rsidR="0079223F" w:rsidRPr="009B0448">
        <w:rPr>
          <w:rFonts w:ascii="Times New Roman" w:eastAsia="Times New Roman" w:hAnsi="Times New Roman" w:cs="Times New Roman"/>
        </w:rPr>
        <w:t xml:space="preserve">, </w:t>
      </w:r>
      <w:r w:rsidRPr="009B0448">
        <w:rPr>
          <w:rFonts w:ascii="Times New Roman" w:eastAsia="Times New Roman" w:hAnsi="Times New Roman" w:cs="Times New Roman"/>
        </w:rPr>
        <w:t>2013; WWF</w:t>
      </w:r>
      <w:r w:rsidR="00043CC2" w:rsidRPr="009B0448">
        <w:rPr>
          <w:rFonts w:ascii="Times New Roman" w:eastAsia="Times New Roman" w:hAnsi="Times New Roman" w:cs="Times New Roman"/>
        </w:rPr>
        <w:t>-AfDB,</w:t>
      </w:r>
      <w:r w:rsidRPr="009B0448">
        <w:rPr>
          <w:rFonts w:ascii="Times New Roman" w:eastAsia="Times New Roman" w:hAnsi="Times New Roman" w:cs="Times New Roman"/>
        </w:rPr>
        <w:t xml:space="preserve"> </w:t>
      </w:r>
      <w:r w:rsidR="00043CC2" w:rsidRPr="009B0448">
        <w:rPr>
          <w:rFonts w:ascii="Times New Roman" w:eastAsia="Times New Roman" w:hAnsi="Times New Roman" w:cs="Times New Roman"/>
        </w:rPr>
        <w:t>2015</w:t>
      </w:r>
      <w:r w:rsidRPr="009B0448">
        <w:rPr>
          <w:rFonts w:ascii="Times New Roman" w:eastAsia="Times New Roman" w:hAnsi="Times New Roman" w:cs="Times New Roman"/>
        </w:rPr>
        <w:t xml:space="preserve">), while policies associated with maintaining intact landscapes outside protected areas are the least effective under </w:t>
      </w:r>
      <w:r w:rsidR="00025EC6" w:rsidRPr="009B0448">
        <w:rPr>
          <w:rFonts w:ascii="Times New Roman" w:eastAsia="Times New Roman" w:hAnsi="Times New Roman" w:cs="Times New Roman"/>
          <w:i/>
        </w:rPr>
        <w:t>Policy R</w:t>
      </w:r>
      <w:r w:rsidRPr="009B0448">
        <w:rPr>
          <w:rFonts w:ascii="Times New Roman" w:eastAsia="Times New Roman" w:hAnsi="Times New Roman" w:cs="Times New Roman"/>
          <w:i/>
        </w:rPr>
        <w:t>eform</w:t>
      </w:r>
      <w:r w:rsidRPr="009B0448">
        <w:rPr>
          <w:rFonts w:ascii="Times New Roman" w:eastAsia="Times New Roman" w:hAnsi="Times New Roman" w:cs="Times New Roman"/>
        </w:rPr>
        <w:t xml:space="preserve"> (Biggs </w:t>
      </w:r>
      <w:r w:rsidR="000429F8" w:rsidRPr="009B0448">
        <w:rPr>
          <w:rFonts w:ascii="Times New Roman" w:eastAsia="Times New Roman" w:hAnsi="Times New Roman" w:cs="Times New Roman"/>
          <w:i/>
        </w:rPr>
        <w:t>et al.</w:t>
      </w:r>
      <w:r w:rsidR="0079223F" w:rsidRPr="009B0448">
        <w:rPr>
          <w:rFonts w:ascii="Times New Roman" w:eastAsia="Times New Roman" w:hAnsi="Times New Roman" w:cs="Times New Roman"/>
        </w:rPr>
        <w:t>,</w:t>
      </w:r>
      <w:r w:rsidRPr="009B0448">
        <w:rPr>
          <w:rFonts w:ascii="Times New Roman" w:eastAsia="Times New Roman" w:hAnsi="Times New Roman" w:cs="Times New Roman"/>
        </w:rPr>
        <w:t xml:space="preserve"> 2008; Alcamo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2011</w:t>
      </w:r>
      <w:r w:rsidR="00043CC2" w:rsidRPr="009B0448">
        <w:rPr>
          <w:rFonts w:ascii="Times New Roman" w:eastAsia="Times New Roman" w:hAnsi="Times New Roman" w:cs="Times New Roman"/>
        </w:rPr>
        <w:t>; UNEP, 2016</w:t>
      </w:r>
      <w:r w:rsidRPr="009B0448">
        <w:rPr>
          <w:rFonts w:ascii="Times New Roman" w:eastAsia="Times New Roman" w:hAnsi="Times New Roman" w:cs="Times New Roman"/>
        </w:rPr>
        <w:t xml:space="preserve">). Interventions associated with </w:t>
      </w:r>
      <w:r w:rsidRPr="009B0448">
        <w:rPr>
          <w:rFonts w:ascii="Times New Roman" w:eastAsia="Times New Roman" w:hAnsi="Times New Roman" w:cs="Times New Roman"/>
          <w:i/>
        </w:rPr>
        <w:t xml:space="preserve">Regional </w:t>
      </w:r>
      <w:r w:rsidR="00025EC6" w:rsidRPr="009B0448">
        <w:rPr>
          <w:rFonts w:ascii="Times New Roman" w:eastAsia="Times New Roman" w:hAnsi="Times New Roman" w:cs="Times New Roman"/>
          <w:i/>
        </w:rPr>
        <w:t>S</w:t>
      </w:r>
      <w:r w:rsidRPr="009B0448">
        <w:rPr>
          <w:rFonts w:ascii="Times New Roman" w:eastAsia="Times New Roman" w:hAnsi="Times New Roman" w:cs="Times New Roman"/>
          <w:i/>
        </w:rPr>
        <w:t xml:space="preserve">ustainability, Local </w:t>
      </w:r>
      <w:r w:rsidR="00025EC6" w:rsidRPr="009B0448">
        <w:rPr>
          <w:rFonts w:ascii="Times New Roman" w:eastAsia="Times New Roman" w:hAnsi="Times New Roman" w:cs="Times New Roman"/>
          <w:i/>
        </w:rPr>
        <w:t>S</w:t>
      </w:r>
      <w:r w:rsidRPr="009B0448">
        <w:rPr>
          <w:rFonts w:ascii="Times New Roman" w:eastAsia="Times New Roman" w:hAnsi="Times New Roman" w:cs="Times New Roman"/>
          <w:i/>
        </w:rPr>
        <w:t xml:space="preserve">ustainability </w:t>
      </w:r>
      <w:r w:rsidRPr="009B0448">
        <w:rPr>
          <w:rFonts w:ascii="Times New Roman" w:eastAsia="Times New Roman" w:hAnsi="Times New Roman" w:cs="Times New Roman"/>
        </w:rPr>
        <w:t>and</w:t>
      </w:r>
      <w:r w:rsidR="00025EC6" w:rsidRPr="009B0448">
        <w:rPr>
          <w:rFonts w:ascii="Times New Roman" w:eastAsia="Times New Roman" w:hAnsi="Times New Roman" w:cs="Times New Roman"/>
          <w:i/>
        </w:rPr>
        <w:t xml:space="preserve"> Market F</w:t>
      </w:r>
      <w:r w:rsidRPr="009B0448">
        <w:rPr>
          <w:rFonts w:ascii="Times New Roman" w:eastAsia="Times New Roman" w:hAnsi="Times New Roman" w:cs="Times New Roman"/>
          <w:i/>
        </w:rPr>
        <w:t>orces</w:t>
      </w:r>
      <w:r w:rsidRPr="009B0448">
        <w:rPr>
          <w:rFonts w:ascii="Times New Roman" w:eastAsia="Times New Roman" w:hAnsi="Times New Roman" w:cs="Times New Roman"/>
        </w:rPr>
        <w:t xml:space="preserve"> contribute the most to the goal of halving the rate of loss of biodiversity and preventing extinctions (</w:t>
      </w:r>
      <w:r w:rsidR="00043CC2" w:rsidRPr="009B0448">
        <w:rPr>
          <w:rFonts w:ascii="Times New Roman" w:eastAsia="Times New Roman" w:hAnsi="Times New Roman" w:cs="Times New Roman"/>
        </w:rPr>
        <w:t>Nakicenovic, 2000;</w:t>
      </w:r>
      <w:r w:rsidRPr="009B0448">
        <w:rPr>
          <w:rFonts w:ascii="Times New Roman" w:eastAsia="Times New Roman" w:hAnsi="Times New Roman" w:cs="Times New Roman"/>
        </w:rPr>
        <w:t xml:space="preserve"> </w:t>
      </w:r>
      <w:r w:rsidR="00043CC2" w:rsidRPr="009B0448">
        <w:rPr>
          <w:rFonts w:ascii="Times New Roman" w:eastAsia="Times New Roman" w:hAnsi="Times New Roman" w:cs="Times New Roman"/>
        </w:rPr>
        <w:t>UNEP, 2016</w:t>
      </w:r>
      <w:r w:rsidRPr="009B0448">
        <w:rPr>
          <w:rFonts w:ascii="Times New Roman" w:eastAsia="Times New Roman" w:hAnsi="Times New Roman" w:cs="Times New Roman"/>
        </w:rPr>
        <w:t xml:space="preserve">). The </w:t>
      </w:r>
      <w:r w:rsidR="00025EC6" w:rsidRPr="009B0448">
        <w:rPr>
          <w:rFonts w:ascii="Times New Roman" w:eastAsia="Times New Roman" w:hAnsi="Times New Roman" w:cs="Times New Roman"/>
          <w:i/>
        </w:rPr>
        <w:t>Local S</w:t>
      </w:r>
      <w:r w:rsidRPr="009B0448">
        <w:rPr>
          <w:rFonts w:ascii="Times New Roman" w:eastAsia="Times New Roman" w:hAnsi="Times New Roman" w:cs="Times New Roman"/>
          <w:i/>
        </w:rPr>
        <w:t>ustainability</w:t>
      </w:r>
      <w:r w:rsidRPr="009B0448">
        <w:rPr>
          <w:rFonts w:ascii="Times New Roman" w:eastAsia="Times New Roman" w:hAnsi="Times New Roman" w:cs="Times New Roman"/>
        </w:rPr>
        <w:t xml:space="preserve"> archetype potentially yields the best outcomes in terms of sustainable cities and communities (</w:t>
      </w:r>
      <w:r w:rsidR="00043CC2" w:rsidRPr="009B0448">
        <w:rPr>
          <w:rFonts w:ascii="Times New Roman" w:eastAsia="Times New Roman" w:hAnsi="Times New Roman" w:cs="Times New Roman"/>
        </w:rPr>
        <w:t>UNEP, 2016</w:t>
      </w:r>
      <w:r w:rsidRPr="009B0448">
        <w:rPr>
          <w:rFonts w:ascii="Times New Roman" w:eastAsia="Times New Roman" w:hAnsi="Times New Roman" w:cs="Times New Roman"/>
        </w:rPr>
        <w:t>).</w:t>
      </w:r>
    </w:p>
    <w:p w14:paraId="17DF0095" w14:textId="45AE947F" w:rsidR="00991066" w:rsidRPr="009B0448" w:rsidRDefault="00B22EAA" w:rsidP="00FA7185">
      <w:pPr>
        <w:pStyle w:val="111"/>
        <w:numPr>
          <w:ilvl w:val="2"/>
          <w:numId w:val="11"/>
        </w:numPr>
        <w:spacing w:before="240" w:after="240"/>
        <w:ind w:left="709" w:hanging="720"/>
        <w:rPr>
          <w:rFonts w:cs="Times New Roman"/>
          <w:i w:val="0"/>
          <w:sz w:val="22"/>
          <w:szCs w:val="22"/>
        </w:rPr>
      </w:pPr>
      <w:bookmarkStart w:id="444" w:name="_3l18frh" w:colFirst="0" w:colLast="0"/>
      <w:bookmarkStart w:id="445" w:name="_Toc519500030"/>
      <w:bookmarkEnd w:id="444"/>
      <w:r w:rsidRPr="009B0448">
        <w:rPr>
          <w:rFonts w:cs="Times New Roman"/>
          <w:i w:val="0"/>
          <w:sz w:val="22"/>
          <w:szCs w:val="22"/>
        </w:rPr>
        <w:t>Invasive species (S</w:t>
      </w:r>
      <w:r w:rsidR="00991066" w:rsidRPr="009B0448">
        <w:rPr>
          <w:rFonts w:cs="Times New Roman"/>
          <w:i w:val="0"/>
          <w:sz w:val="22"/>
          <w:szCs w:val="22"/>
        </w:rPr>
        <w:t>DG</w:t>
      </w:r>
      <w:r w:rsidRPr="009B0448">
        <w:rPr>
          <w:rFonts w:cs="Times New Roman"/>
          <w:i w:val="0"/>
          <w:sz w:val="22"/>
          <w:szCs w:val="22"/>
        </w:rPr>
        <w:t>s</w:t>
      </w:r>
      <w:r w:rsidR="00991066" w:rsidRPr="009B0448">
        <w:rPr>
          <w:rFonts w:cs="Times New Roman"/>
          <w:i w:val="0"/>
          <w:sz w:val="22"/>
          <w:szCs w:val="22"/>
        </w:rPr>
        <w:t xml:space="preserve"> 15; </w:t>
      </w:r>
      <w:r w:rsidR="00A030F6">
        <w:rPr>
          <w:rFonts w:cs="Times New Roman"/>
          <w:i w:val="0"/>
          <w:sz w:val="22"/>
          <w:szCs w:val="22"/>
        </w:rPr>
        <w:t>ABTs</w:t>
      </w:r>
      <w:r w:rsidR="0079223F" w:rsidRPr="009B0448">
        <w:rPr>
          <w:rFonts w:cs="Times New Roman"/>
          <w:i w:val="0"/>
          <w:sz w:val="22"/>
          <w:szCs w:val="22"/>
        </w:rPr>
        <w:t xml:space="preserve"> </w:t>
      </w:r>
      <w:r w:rsidR="00991066" w:rsidRPr="009B0448">
        <w:rPr>
          <w:rFonts w:cs="Times New Roman"/>
          <w:i w:val="0"/>
          <w:sz w:val="22"/>
          <w:szCs w:val="22"/>
        </w:rPr>
        <w:t>5, 9, 14)</w:t>
      </w:r>
      <w:bookmarkEnd w:id="445"/>
    </w:p>
    <w:p w14:paraId="61261D42" w14:textId="4C9053C5"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Policies relating to invasive species control and active restoration of landscapes are most strongly addressed within the </w:t>
      </w:r>
      <w:r w:rsidRPr="009B0448">
        <w:rPr>
          <w:rFonts w:ascii="Times New Roman" w:eastAsia="Times New Roman" w:hAnsi="Times New Roman" w:cs="Times New Roman"/>
          <w:i/>
        </w:rPr>
        <w:t xml:space="preserve">Local </w:t>
      </w:r>
      <w:r w:rsidR="00025EC6" w:rsidRPr="009B0448">
        <w:rPr>
          <w:rFonts w:ascii="Times New Roman" w:eastAsia="Times New Roman" w:hAnsi="Times New Roman" w:cs="Times New Roman"/>
          <w:i/>
        </w:rPr>
        <w:t>S</w:t>
      </w:r>
      <w:r w:rsidRPr="009B0448">
        <w:rPr>
          <w:rFonts w:ascii="Times New Roman" w:eastAsia="Times New Roman" w:hAnsi="Times New Roman" w:cs="Times New Roman"/>
          <w:i/>
        </w:rPr>
        <w:t xml:space="preserve">ustainability </w:t>
      </w:r>
      <w:r w:rsidRPr="009B0448">
        <w:rPr>
          <w:rFonts w:ascii="Times New Roman" w:eastAsia="Times New Roman" w:hAnsi="Times New Roman" w:cs="Times New Roman"/>
        </w:rPr>
        <w:t xml:space="preserve">scenarios, with the prevention of invasive species least likely under </w:t>
      </w:r>
      <w:r w:rsidR="00025EC6" w:rsidRPr="009B0448">
        <w:rPr>
          <w:rFonts w:ascii="Times New Roman" w:eastAsia="Times New Roman" w:hAnsi="Times New Roman" w:cs="Times New Roman"/>
          <w:i/>
        </w:rPr>
        <w:t>Policy R</w:t>
      </w:r>
      <w:r w:rsidRPr="009B0448">
        <w:rPr>
          <w:rFonts w:ascii="Times New Roman" w:eastAsia="Times New Roman" w:hAnsi="Times New Roman" w:cs="Times New Roman"/>
          <w:i/>
        </w:rPr>
        <w:t>eform</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 xml:space="preserve">Fortress </w:t>
      </w:r>
      <w:r w:rsidR="00025EC6" w:rsidRPr="009B0448">
        <w:rPr>
          <w:rFonts w:ascii="Times New Roman" w:eastAsia="Times New Roman" w:hAnsi="Times New Roman" w:cs="Times New Roman"/>
          <w:i/>
        </w:rPr>
        <w:t>W</w:t>
      </w:r>
      <w:r w:rsidRPr="009B0448">
        <w:rPr>
          <w:rFonts w:ascii="Times New Roman" w:eastAsia="Times New Roman" w:hAnsi="Times New Roman" w:cs="Times New Roman"/>
          <w:i/>
        </w:rPr>
        <w:t>orld</w:t>
      </w:r>
      <w:r w:rsidRPr="009B0448">
        <w:rPr>
          <w:rFonts w:ascii="Times New Roman" w:eastAsia="Times New Roman" w:hAnsi="Times New Roman" w:cs="Times New Roman"/>
        </w:rPr>
        <w:t xml:space="preserve"> (MA</w:t>
      </w:r>
      <w:r w:rsidR="00025EC6" w:rsidRPr="009B0448">
        <w:rPr>
          <w:rFonts w:ascii="Times New Roman" w:eastAsia="Times New Roman" w:hAnsi="Times New Roman" w:cs="Times New Roman"/>
        </w:rPr>
        <w:t>, 2005</w:t>
      </w:r>
      <w:r w:rsidR="00043CC2" w:rsidRPr="009B0448">
        <w:rPr>
          <w:rFonts w:ascii="Times New Roman" w:eastAsia="Times New Roman" w:hAnsi="Times New Roman" w:cs="Times New Roman"/>
        </w:rPr>
        <w:t>; UNEP, 2016</w:t>
      </w:r>
      <w:r w:rsidRPr="009B0448">
        <w:rPr>
          <w:rFonts w:ascii="Times New Roman" w:eastAsia="Times New Roman" w:hAnsi="Times New Roman" w:cs="Times New Roman"/>
        </w:rPr>
        <w:t>). Where eradication is impossible, exploiting invasive species as a resource is a potential management option. For example, the water hyacinth (</w:t>
      </w:r>
      <w:r w:rsidRPr="009B0448">
        <w:rPr>
          <w:rFonts w:ascii="Times New Roman" w:eastAsia="Times New Roman" w:hAnsi="Times New Roman" w:cs="Times New Roman"/>
          <w:i/>
        </w:rPr>
        <w:t>Eichhornia crassipes</w:t>
      </w:r>
      <w:r w:rsidRPr="009B0448">
        <w:rPr>
          <w:rFonts w:ascii="Times New Roman" w:eastAsia="Times New Roman" w:hAnsi="Times New Roman" w:cs="Times New Roman"/>
        </w:rPr>
        <w:t>), a water plant threatening freshwater ecosystem services more or less worldwide, could serve as a potential bioenergy resource in Mal</w:t>
      </w:r>
      <w:r w:rsidR="00B22EAA" w:rsidRPr="009B0448">
        <w:rPr>
          <w:rFonts w:ascii="Times New Roman" w:eastAsia="Times New Roman" w:hAnsi="Times New Roman" w:cs="Times New Roman"/>
        </w:rPr>
        <w:t xml:space="preserve">awi (Kriticos </w:t>
      </w:r>
      <w:r w:rsidR="001D1084" w:rsidRPr="009B0448">
        <w:rPr>
          <w:rFonts w:ascii="Times New Roman" w:eastAsia="Times New Roman" w:hAnsi="Times New Roman" w:cs="Times New Roman"/>
          <w:i/>
        </w:rPr>
        <w:t>et al.</w:t>
      </w:r>
      <w:r w:rsidR="00B22EAA" w:rsidRPr="009B0448">
        <w:rPr>
          <w:rFonts w:ascii="Times New Roman" w:eastAsia="Times New Roman" w:hAnsi="Times New Roman" w:cs="Times New Roman"/>
        </w:rPr>
        <w:t xml:space="preserve">, 2016). </w:t>
      </w:r>
    </w:p>
    <w:p w14:paraId="0E3D519C" w14:textId="409DD52A"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46" w:name="_206ipza" w:colFirst="0" w:colLast="0"/>
      <w:bookmarkStart w:id="447" w:name="_Toc519500031"/>
      <w:bookmarkEnd w:id="446"/>
      <w:r w:rsidRPr="009B0448">
        <w:rPr>
          <w:rFonts w:cs="Times New Roman"/>
          <w:i w:val="0"/>
          <w:sz w:val="22"/>
          <w:szCs w:val="22"/>
        </w:rPr>
        <w:t>Catchment to coast (SDG</w:t>
      </w:r>
      <w:r w:rsidR="00B22EAA" w:rsidRPr="009B0448">
        <w:rPr>
          <w:rFonts w:cs="Times New Roman"/>
          <w:i w:val="0"/>
          <w:sz w:val="22"/>
          <w:szCs w:val="22"/>
        </w:rPr>
        <w:t>s</w:t>
      </w:r>
      <w:r w:rsidRPr="009B0448">
        <w:rPr>
          <w:rFonts w:cs="Times New Roman"/>
          <w:i w:val="0"/>
          <w:sz w:val="22"/>
          <w:szCs w:val="22"/>
        </w:rPr>
        <w:t xml:space="preserve"> 6, 14)</w:t>
      </w:r>
      <w:bookmarkEnd w:id="447"/>
    </w:p>
    <w:p w14:paraId="61707EF9" w14:textId="0FCF5327"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Achieving policies associated with restoring and maintaining healthy aquatic systems are best realised </w:t>
      </w:r>
      <w:r w:rsidR="00025EC6" w:rsidRPr="009B0448">
        <w:rPr>
          <w:rFonts w:ascii="Times New Roman" w:eastAsia="Times New Roman" w:hAnsi="Times New Roman" w:cs="Times New Roman"/>
          <w:i/>
        </w:rPr>
        <w:t>Policy R</w:t>
      </w:r>
      <w:r w:rsidRPr="009B0448">
        <w:rPr>
          <w:rFonts w:ascii="Times New Roman" w:eastAsia="Times New Roman" w:hAnsi="Times New Roman" w:cs="Times New Roman"/>
          <w:i/>
        </w:rPr>
        <w:t>eform</w:t>
      </w:r>
      <w:r w:rsidRPr="009B0448">
        <w:rPr>
          <w:rFonts w:ascii="Times New Roman" w:eastAsia="Times New Roman" w:hAnsi="Times New Roman" w:cs="Times New Roman"/>
        </w:rPr>
        <w:t xml:space="preserve"> (MA</w:t>
      </w:r>
      <w:r w:rsidR="00025EC6" w:rsidRPr="009B0448">
        <w:rPr>
          <w:rFonts w:ascii="Times New Roman" w:eastAsia="Times New Roman" w:hAnsi="Times New Roman" w:cs="Times New Roman"/>
        </w:rPr>
        <w:t>, 2005</w:t>
      </w:r>
      <w:r w:rsidR="00043CC2" w:rsidRPr="009B0448">
        <w:rPr>
          <w:rFonts w:ascii="Times New Roman" w:eastAsia="Times New Roman" w:hAnsi="Times New Roman" w:cs="Times New Roman"/>
        </w:rPr>
        <w:t>; UNEP, 2016</w:t>
      </w:r>
      <w:r w:rsidRPr="009B0448">
        <w:rPr>
          <w:rFonts w:ascii="Times New Roman" w:eastAsia="Times New Roman" w:hAnsi="Times New Roman" w:cs="Times New Roman"/>
        </w:rPr>
        <w:t xml:space="preserve">) and </w:t>
      </w:r>
      <w:r w:rsidR="00025EC6" w:rsidRPr="009B0448">
        <w:rPr>
          <w:rFonts w:ascii="Times New Roman" w:eastAsia="Times New Roman" w:hAnsi="Times New Roman" w:cs="Times New Roman"/>
          <w:i/>
        </w:rPr>
        <w:t>Local S</w:t>
      </w:r>
      <w:r w:rsidRPr="009B0448">
        <w:rPr>
          <w:rFonts w:ascii="Times New Roman" w:eastAsia="Times New Roman" w:hAnsi="Times New Roman" w:cs="Times New Roman"/>
          <w:i/>
        </w:rPr>
        <w:t xml:space="preserve">ustainability, </w:t>
      </w:r>
      <w:r w:rsidRPr="009B0448">
        <w:rPr>
          <w:rFonts w:ascii="Times New Roman" w:eastAsia="Times New Roman" w:hAnsi="Times New Roman" w:cs="Times New Roman"/>
        </w:rPr>
        <w:t>which has a strong focus on sustainable use and management of water resources for development (</w:t>
      </w:r>
      <w:r w:rsidR="008F4B59"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8F4B59" w:rsidRPr="009B0448">
        <w:rPr>
          <w:rFonts w:ascii="Times New Roman" w:eastAsia="Times New Roman" w:hAnsi="Times New Roman" w:cs="Times New Roman"/>
        </w:rPr>
        <w:t xml:space="preserve">, 2000; </w:t>
      </w:r>
      <w:r w:rsidRPr="009B0448">
        <w:rPr>
          <w:rFonts w:ascii="Times New Roman" w:eastAsia="Times New Roman" w:hAnsi="Times New Roman" w:cs="Times New Roman"/>
        </w:rPr>
        <w:t>MA</w:t>
      </w:r>
      <w:r w:rsidR="00025EC6" w:rsidRPr="009B0448">
        <w:rPr>
          <w:rFonts w:ascii="Times New Roman" w:eastAsia="Times New Roman" w:hAnsi="Times New Roman" w:cs="Times New Roman"/>
        </w:rPr>
        <w:t>, 2005</w:t>
      </w:r>
      <w:r w:rsidRPr="009B0448">
        <w:rPr>
          <w:rFonts w:ascii="Times New Roman" w:eastAsia="Times New Roman" w:hAnsi="Times New Roman" w:cs="Times New Roman"/>
        </w:rPr>
        <w:t xml:space="preserve">; </w:t>
      </w:r>
      <w:r w:rsidR="008F4B59" w:rsidRPr="009B0448">
        <w:rPr>
          <w:rFonts w:ascii="Times New Roman" w:eastAsia="Times New Roman" w:hAnsi="Times New Roman" w:cs="Times New Roman"/>
        </w:rPr>
        <w:t xml:space="preserve">Lambin </w:t>
      </w:r>
      <w:r w:rsidR="000429F8" w:rsidRPr="009B0448">
        <w:rPr>
          <w:rFonts w:ascii="Times New Roman" w:eastAsia="Times New Roman" w:hAnsi="Times New Roman" w:cs="Times New Roman"/>
          <w:i/>
        </w:rPr>
        <w:t>et al.</w:t>
      </w:r>
      <w:r w:rsidR="008F4B59" w:rsidRPr="009B0448">
        <w:rPr>
          <w:rFonts w:ascii="Times New Roman" w:eastAsia="Times New Roman" w:hAnsi="Times New Roman" w:cs="Times New Roman"/>
        </w:rPr>
        <w:t xml:space="preserve">, 2014; </w:t>
      </w:r>
      <w:r w:rsidRPr="009B0448">
        <w:rPr>
          <w:rFonts w:ascii="Times New Roman" w:eastAsia="Times New Roman" w:hAnsi="Times New Roman" w:cs="Times New Roman"/>
        </w:rPr>
        <w:t>WWF</w:t>
      </w:r>
      <w:r w:rsidR="008F4B59" w:rsidRPr="009B0448">
        <w:rPr>
          <w:rFonts w:ascii="Times New Roman" w:eastAsia="Times New Roman" w:hAnsi="Times New Roman" w:cs="Times New Roman"/>
        </w:rPr>
        <w:t>-AfDB, 2015</w:t>
      </w:r>
      <w:r w:rsidRPr="009B0448">
        <w:rPr>
          <w:rFonts w:ascii="Times New Roman" w:eastAsia="Times New Roman" w:hAnsi="Times New Roman" w:cs="Times New Roman"/>
        </w:rPr>
        <w:t xml:space="preserve">). Waterborne diseases are expected to increase under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w:t>
      </w:r>
      <w:r w:rsidR="00043CC2" w:rsidRPr="009B0448">
        <w:rPr>
          <w:rFonts w:ascii="Times New Roman" w:eastAsia="Times New Roman" w:hAnsi="Times New Roman" w:cs="Times New Roman"/>
        </w:rPr>
        <w:t>UNEP, 2007</w:t>
      </w:r>
      <w:r w:rsidRPr="009B0448">
        <w:rPr>
          <w:rFonts w:ascii="Times New Roman" w:eastAsia="Times New Roman" w:hAnsi="Times New Roman" w:cs="Times New Roman"/>
        </w:rPr>
        <w:t>), with pollution of water sources, mainly from untreated wastewater being of concern across all scenarios (</w:t>
      </w:r>
      <w:r w:rsidR="00043CC2" w:rsidRPr="009B0448">
        <w:rPr>
          <w:rFonts w:ascii="Times New Roman" w:eastAsia="Times New Roman" w:hAnsi="Times New Roman" w:cs="Times New Roman"/>
        </w:rPr>
        <w:t>MA, 2005; UNEP, 2007</w:t>
      </w:r>
      <w:r w:rsidRPr="009B0448">
        <w:rPr>
          <w:rFonts w:ascii="Times New Roman" w:eastAsia="Times New Roman" w:hAnsi="Times New Roman" w:cs="Times New Roman"/>
        </w:rPr>
        <w:t xml:space="preserve">; </w:t>
      </w:r>
      <w:r w:rsidR="00043CC2" w:rsidRPr="009B0448">
        <w:rPr>
          <w:rFonts w:ascii="Times New Roman" w:eastAsia="Times New Roman" w:hAnsi="Times New Roman" w:cs="Times New Roman"/>
        </w:rPr>
        <w:t>UNEP, 2016</w:t>
      </w:r>
      <w:r w:rsidRPr="009B0448">
        <w:rPr>
          <w:rFonts w:ascii="Times New Roman" w:eastAsia="Times New Roman" w:hAnsi="Times New Roman" w:cs="Times New Roman"/>
        </w:rPr>
        <w:t>).</w:t>
      </w:r>
    </w:p>
    <w:p w14:paraId="33C4043A" w14:textId="45731239"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48" w:name="_4k668n3" w:colFirst="0" w:colLast="0"/>
      <w:bookmarkStart w:id="449" w:name="_Toc519500032"/>
      <w:bookmarkEnd w:id="448"/>
      <w:r w:rsidRPr="009B0448">
        <w:rPr>
          <w:rFonts w:cs="Times New Roman"/>
          <w:i w:val="0"/>
          <w:sz w:val="22"/>
          <w:szCs w:val="22"/>
        </w:rPr>
        <w:t>Conservation and sustainable use (SDG</w:t>
      </w:r>
      <w:r w:rsidR="00B22EAA" w:rsidRPr="009B0448">
        <w:rPr>
          <w:rFonts w:cs="Times New Roman"/>
          <w:i w:val="0"/>
          <w:sz w:val="22"/>
          <w:szCs w:val="22"/>
        </w:rPr>
        <w:t>s</w:t>
      </w:r>
      <w:r w:rsidRPr="009B0448">
        <w:rPr>
          <w:rFonts w:cs="Times New Roman"/>
          <w:i w:val="0"/>
          <w:sz w:val="22"/>
          <w:szCs w:val="22"/>
        </w:rPr>
        <w:t xml:space="preserve"> 14</w:t>
      </w:r>
      <w:r w:rsidR="00B22EAA" w:rsidRPr="009B0448">
        <w:rPr>
          <w:rFonts w:cs="Times New Roman"/>
          <w:i w:val="0"/>
          <w:sz w:val="22"/>
          <w:szCs w:val="22"/>
        </w:rPr>
        <w:t>–15;</w:t>
      </w:r>
      <w:r w:rsidRPr="009B0448">
        <w:rPr>
          <w:rFonts w:cs="Times New Roman"/>
          <w:i w:val="0"/>
          <w:sz w:val="22"/>
          <w:szCs w:val="22"/>
        </w:rPr>
        <w:t xml:space="preserve"> </w:t>
      </w:r>
      <w:r w:rsidR="00BC0CFA">
        <w:rPr>
          <w:rFonts w:cs="Times New Roman"/>
          <w:i w:val="0"/>
          <w:sz w:val="22"/>
          <w:szCs w:val="22"/>
        </w:rPr>
        <w:t>ABTs</w:t>
      </w:r>
      <w:r w:rsidRPr="009B0448">
        <w:rPr>
          <w:rFonts w:cs="Times New Roman"/>
          <w:i w:val="0"/>
          <w:sz w:val="22"/>
          <w:szCs w:val="22"/>
        </w:rPr>
        <w:t xml:space="preserve"> 5</w:t>
      </w:r>
      <w:r w:rsidR="00B22EAA" w:rsidRPr="009B0448">
        <w:rPr>
          <w:rFonts w:cs="Times New Roman"/>
          <w:i w:val="0"/>
          <w:sz w:val="22"/>
          <w:szCs w:val="22"/>
        </w:rPr>
        <w:t>–</w:t>
      </w:r>
      <w:r w:rsidRPr="009B0448">
        <w:rPr>
          <w:rFonts w:cs="Times New Roman"/>
          <w:i w:val="0"/>
          <w:sz w:val="22"/>
          <w:szCs w:val="22"/>
        </w:rPr>
        <w:t>7, 11</w:t>
      </w:r>
      <w:r w:rsidR="00B22EAA" w:rsidRPr="009B0448">
        <w:rPr>
          <w:rFonts w:cs="Times New Roman"/>
          <w:i w:val="0"/>
          <w:sz w:val="22"/>
          <w:szCs w:val="22"/>
        </w:rPr>
        <w:t>–</w:t>
      </w:r>
      <w:r w:rsidRPr="009B0448">
        <w:rPr>
          <w:rFonts w:cs="Times New Roman"/>
          <w:i w:val="0"/>
          <w:sz w:val="22"/>
          <w:szCs w:val="22"/>
        </w:rPr>
        <w:t>12)</w:t>
      </w:r>
      <w:bookmarkEnd w:id="449"/>
    </w:p>
    <w:p w14:paraId="01E302E2" w14:textId="04A7DFF2"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network of protected areas is increased under </w:t>
      </w:r>
      <w:r w:rsidR="00025EC6" w:rsidRPr="009B0448">
        <w:rPr>
          <w:rFonts w:ascii="Times New Roman" w:eastAsia="Times New Roman" w:hAnsi="Times New Roman" w:cs="Times New Roman"/>
          <w:i/>
        </w:rPr>
        <w:t>Policy R</w:t>
      </w:r>
      <w:r w:rsidRPr="009B0448">
        <w:rPr>
          <w:rFonts w:ascii="Times New Roman" w:eastAsia="Times New Roman" w:hAnsi="Times New Roman" w:cs="Times New Roman"/>
          <w:i/>
        </w:rPr>
        <w:t>eform</w:t>
      </w:r>
      <w:r w:rsidRPr="009B0448">
        <w:rPr>
          <w:rFonts w:ascii="Times New Roman" w:eastAsia="Times New Roman" w:hAnsi="Times New Roman" w:cs="Times New Roman"/>
        </w:rPr>
        <w:t xml:space="preserve"> (</w:t>
      </w:r>
      <w:r w:rsidR="00EA0108" w:rsidRPr="009B0448">
        <w:rPr>
          <w:rFonts w:ascii="Times New Roman" w:eastAsia="Times New Roman" w:hAnsi="Times New Roman" w:cs="Times New Roman"/>
        </w:rPr>
        <w:t>UNEP, 2016</w:t>
      </w:r>
      <w:r w:rsidRPr="009B0448">
        <w:rPr>
          <w:rFonts w:ascii="Times New Roman" w:eastAsia="Times New Roman" w:hAnsi="Times New Roman" w:cs="Times New Roman"/>
        </w:rPr>
        <w:t>), which helps conserve biodiversity within protected areas and buffer zones; however under this same scenario, biodiversity decreases outside of protected areas (</w:t>
      </w:r>
      <w:r w:rsidR="00EA0108" w:rsidRPr="009B0448">
        <w:rPr>
          <w:rFonts w:ascii="Times New Roman" w:eastAsia="Times New Roman" w:hAnsi="Times New Roman" w:cs="Times New Roman"/>
        </w:rPr>
        <w:t>UNEP, 2016</w:t>
      </w:r>
      <w:r w:rsidRPr="009B0448">
        <w:rPr>
          <w:rFonts w:ascii="Times New Roman" w:eastAsia="Times New Roman" w:hAnsi="Times New Roman" w:cs="Times New Roman"/>
        </w:rPr>
        <w:t xml:space="preserve">; Biggs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2008; Alcamo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as terrestrial resources are not used sustainably. The same trend is seen under </w:t>
      </w:r>
      <w:r w:rsidR="00025EC6" w:rsidRPr="009B0448">
        <w:rPr>
          <w:rFonts w:ascii="Times New Roman" w:eastAsia="Times New Roman" w:hAnsi="Times New Roman" w:cs="Times New Roman"/>
          <w:i/>
        </w:rPr>
        <w:t>Fortress W</w:t>
      </w:r>
      <w:r w:rsidRPr="009B0448">
        <w:rPr>
          <w:rFonts w:ascii="Times New Roman" w:eastAsia="Times New Roman" w:hAnsi="Times New Roman" w:cs="Times New Roman"/>
          <w:i/>
        </w:rPr>
        <w:t>orld</w:t>
      </w:r>
      <w:r w:rsidRPr="009B0448">
        <w:rPr>
          <w:rFonts w:ascii="Times New Roman" w:eastAsia="Times New Roman" w:hAnsi="Times New Roman" w:cs="Times New Roman"/>
        </w:rPr>
        <w:t xml:space="preserve"> </w:t>
      </w:r>
      <w:r w:rsidR="005D4C19"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5D4C19" w:rsidRPr="009B0448">
        <w:rPr>
          <w:rFonts w:ascii="Times New Roman" w:eastAsia="Times New Roman" w:hAnsi="Times New Roman" w:cs="Times New Roman"/>
        </w:rPr>
        <w:t>, 2000</w:t>
      </w:r>
      <w:r w:rsidRPr="009B0448">
        <w:rPr>
          <w:rFonts w:ascii="Times New Roman" w:eastAsia="Times New Roman" w:hAnsi="Times New Roman" w:cs="Times New Roman"/>
        </w:rPr>
        <w:t xml:space="preserve">; </w:t>
      </w:r>
      <w:r w:rsidR="005D4C19" w:rsidRPr="009B0448">
        <w:rPr>
          <w:rFonts w:ascii="Times New Roman" w:eastAsia="Times New Roman" w:hAnsi="Times New Roman" w:cs="Times New Roman"/>
        </w:rPr>
        <w:t xml:space="preserve">MA, 2005; </w:t>
      </w:r>
      <w:r w:rsidR="00EA0108" w:rsidRPr="009B0448">
        <w:rPr>
          <w:rFonts w:ascii="Times New Roman" w:eastAsia="Times New Roman" w:hAnsi="Times New Roman" w:cs="Times New Roman"/>
        </w:rPr>
        <w:t xml:space="preserve">van Vliet </w:t>
      </w:r>
      <w:r w:rsidR="000429F8" w:rsidRPr="009B0448">
        <w:rPr>
          <w:rFonts w:ascii="Times New Roman" w:eastAsia="Times New Roman" w:hAnsi="Times New Roman" w:cs="Times New Roman"/>
          <w:i/>
        </w:rPr>
        <w:t>et al.</w:t>
      </w:r>
      <w:r w:rsidR="00EA0108" w:rsidRPr="009B0448">
        <w:rPr>
          <w:rFonts w:ascii="Times New Roman" w:eastAsia="Times New Roman" w:hAnsi="Times New Roman" w:cs="Times New Roman"/>
        </w:rPr>
        <w:t>, 2013</w:t>
      </w:r>
      <w:r w:rsidRPr="009B0448">
        <w:rPr>
          <w:rFonts w:ascii="Times New Roman" w:eastAsia="Times New Roman" w:hAnsi="Times New Roman" w:cs="Times New Roman"/>
        </w:rPr>
        <w:t xml:space="preserve">), where unsustainable practices increase the most. Fisheries and marine resources however recover under </w:t>
      </w:r>
      <w:r w:rsidR="00025EC6" w:rsidRPr="009B0448">
        <w:rPr>
          <w:rFonts w:ascii="Times New Roman" w:eastAsia="Times New Roman" w:hAnsi="Times New Roman" w:cs="Times New Roman"/>
          <w:i/>
        </w:rPr>
        <w:t>Policy R</w:t>
      </w:r>
      <w:r w:rsidRPr="009B0448">
        <w:rPr>
          <w:rFonts w:ascii="Times New Roman" w:eastAsia="Times New Roman" w:hAnsi="Times New Roman" w:cs="Times New Roman"/>
          <w:i/>
        </w:rPr>
        <w:t>eform</w:t>
      </w:r>
      <w:r w:rsidRPr="009B0448">
        <w:rPr>
          <w:rFonts w:ascii="Times New Roman" w:eastAsia="Times New Roman" w:hAnsi="Times New Roman" w:cs="Times New Roman"/>
        </w:rPr>
        <w:t xml:space="preserve"> due to consolidation of investment into terrestrial resource extraction. Resources are used most sustainably under the </w:t>
      </w:r>
      <w:r w:rsidRPr="009B0448">
        <w:rPr>
          <w:rFonts w:ascii="Times New Roman" w:eastAsia="Times New Roman" w:hAnsi="Times New Roman" w:cs="Times New Roman"/>
          <w:i/>
        </w:rPr>
        <w:t xml:space="preserve">Regional </w:t>
      </w:r>
      <w:r w:rsidR="00025EC6" w:rsidRPr="009B0448">
        <w:rPr>
          <w:rFonts w:ascii="Times New Roman" w:eastAsia="Times New Roman" w:hAnsi="Times New Roman" w:cs="Times New Roman"/>
          <w:i/>
        </w:rPr>
        <w:t>S</w:t>
      </w:r>
      <w:r w:rsidRPr="009B0448">
        <w:rPr>
          <w:rFonts w:ascii="Times New Roman" w:eastAsia="Times New Roman" w:hAnsi="Times New Roman" w:cs="Times New Roman"/>
          <w:i/>
        </w:rPr>
        <w:t>ustainability</w:t>
      </w:r>
      <w:r w:rsidRPr="009B0448">
        <w:rPr>
          <w:rFonts w:ascii="Times New Roman" w:eastAsia="Times New Roman" w:hAnsi="Times New Roman" w:cs="Times New Roman"/>
        </w:rPr>
        <w:t xml:space="preserve"> scenario.</w:t>
      </w:r>
    </w:p>
    <w:p w14:paraId="7CF25B75" w14:textId="1EA27A8F"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50" w:name="_Toc519500033"/>
      <w:r w:rsidRPr="009B0448">
        <w:rPr>
          <w:rFonts w:cs="Times New Roman"/>
          <w:i w:val="0"/>
          <w:sz w:val="22"/>
          <w:szCs w:val="22"/>
        </w:rPr>
        <w:t>Resilience in a changing world (SDG</w:t>
      </w:r>
      <w:r w:rsidR="00B22EAA" w:rsidRPr="009B0448">
        <w:rPr>
          <w:rFonts w:cs="Times New Roman"/>
          <w:i w:val="0"/>
          <w:sz w:val="22"/>
          <w:szCs w:val="22"/>
        </w:rPr>
        <w:t>s</w:t>
      </w:r>
      <w:r w:rsidRPr="009B0448">
        <w:rPr>
          <w:rFonts w:cs="Times New Roman"/>
          <w:i w:val="0"/>
          <w:sz w:val="22"/>
          <w:szCs w:val="22"/>
        </w:rPr>
        <w:t xml:space="preserve"> </w:t>
      </w:r>
      <w:r w:rsidR="00B22EAA" w:rsidRPr="009B0448">
        <w:rPr>
          <w:rFonts w:cs="Times New Roman"/>
          <w:i w:val="0"/>
          <w:sz w:val="22"/>
          <w:szCs w:val="22"/>
        </w:rPr>
        <w:t>11, 13, 15;</w:t>
      </w:r>
      <w:r w:rsidRPr="009B0448">
        <w:rPr>
          <w:rFonts w:cs="Times New Roman"/>
          <w:i w:val="0"/>
          <w:sz w:val="22"/>
          <w:szCs w:val="22"/>
        </w:rPr>
        <w:t xml:space="preserve"> </w:t>
      </w:r>
      <w:r w:rsidR="00BC0CFA">
        <w:rPr>
          <w:rFonts w:cs="Times New Roman"/>
          <w:i w:val="0"/>
          <w:sz w:val="22"/>
          <w:szCs w:val="22"/>
        </w:rPr>
        <w:t>ABT</w:t>
      </w:r>
      <w:r w:rsidR="00B22EAA" w:rsidRPr="009B0448">
        <w:rPr>
          <w:rFonts w:cs="Times New Roman"/>
          <w:i w:val="0"/>
          <w:sz w:val="22"/>
          <w:szCs w:val="22"/>
        </w:rPr>
        <w:t xml:space="preserve"> 15;</w:t>
      </w:r>
      <w:r w:rsidRPr="009B0448">
        <w:rPr>
          <w:rFonts w:cs="Times New Roman"/>
          <w:i w:val="0"/>
          <w:sz w:val="22"/>
          <w:szCs w:val="22"/>
        </w:rPr>
        <w:t xml:space="preserve"> Agenda 2063 7.5)</w:t>
      </w:r>
      <w:bookmarkEnd w:id="450"/>
    </w:p>
    <w:p w14:paraId="78ABA305" w14:textId="3BB9FA06"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Africa’s vulnerability to climate change and the importance of moving towards ecologically sustainable development trajectories is widely </w:t>
      </w:r>
      <w:r w:rsidR="00264EBF" w:rsidRPr="009B0448">
        <w:rPr>
          <w:rFonts w:ascii="Times New Roman" w:eastAsia="Times New Roman" w:hAnsi="Times New Roman" w:cs="Times New Roman"/>
        </w:rPr>
        <w:t>recognis</w:t>
      </w:r>
      <w:r w:rsidRPr="009B0448">
        <w:rPr>
          <w:rFonts w:ascii="Times New Roman" w:eastAsia="Times New Roman" w:hAnsi="Times New Roman" w:cs="Times New Roman"/>
        </w:rPr>
        <w:t xml:space="preserve">ed (AMCEN, 2013; van der Leemputte, 2016; </w:t>
      </w:r>
      <w:r w:rsidR="00EA0108"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EA0108" w:rsidRPr="009B0448">
        <w:rPr>
          <w:rFonts w:ascii="Times New Roman" w:eastAsia="Times New Roman" w:hAnsi="Times New Roman" w:cs="Times New Roman"/>
        </w:rPr>
        <w:t>, 2000</w:t>
      </w:r>
      <w:r w:rsidRPr="009B0448">
        <w:rPr>
          <w:rFonts w:ascii="Times New Roman" w:eastAsia="Times New Roman" w:hAnsi="Times New Roman" w:cs="Times New Roman"/>
        </w:rPr>
        <w:t>). Climate change is pred</w:t>
      </w:r>
      <w:r w:rsidR="008A12D8" w:rsidRPr="009B0448">
        <w:rPr>
          <w:rFonts w:ascii="Times New Roman" w:eastAsia="Times New Roman" w:hAnsi="Times New Roman" w:cs="Times New Roman"/>
        </w:rPr>
        <w:t>icted to have far-</w:t>
      </w:r>
      <w:r w:rsidRPr="009B0448">
        <w:rPr>
          <w:rFonts w:ascii="Times New Roman" w:eastAsia="Times New Roman" w:hAnsi="Times New Roman" w:cs="Times New Roman"/>
        </w:rPr>
        <w:t>reaching consequences under all scenarios, especially with regard t</w:t>
      </w:r>
      <w:r w:rsidR="008A12D8" w:rsidRPr="009B0448">
        <w:rPr>
          <w:rFonts w:ascii="Times New Roman" w:eastAsia="Times New Roman" w:hAnsi="Times New Roman" w:cs="Times New Roman"/>
        </w:rPr>
        <w:t>o increasing pressures on water-</w:t>
      </w:r>
      <w:r w:rsidRPr="009B0448">
        <w:rPr>
          <w:rFonts w:ascii="Times New Roman" w:eastAsia="Times New Roman" w:hAnsi="Times New Roman" w:cs="Times New Roman"/>
        </w:rPr>
        <w:t xml:space="preserve">stressed catchments, land degradation and desertification, and the frequency and severity of natural hazards and extreme weather events, as well as changing species ranges and abundances in Africa. Restoration of ecosystems to enhance their resilience to future uncertainty and surprise linked to a changing climate does not feature strongly under any of the scenarios. It is best addressed under the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scenario (</w:t>
      </w:r>
      <w:r w:rsidR="00EA0108" w:rsidRPr="009B0448">
        <w:rPr>
          <w:rFonts w:ascii="Times New Roman" w:eastAsia="Times New Roman" w:hAnsi="Times New Roman" w:cs="Times New Roman"/>
        </w:rPr>
        <w:t>UNEP, 2007</w:t>
      </w:r>
      <w:r w:rsidRPr="009B0448">
        <w:rPr>
          <w:rFonts w:ascii="Times New Roman" w:eastAsia="Times New Roman" w:hAnsi="Times New Roman" w:cs="Times New Roman"/>
        </w:rPr>
        <w:t>; MA</w:t>
      </w:r>
      <w:r w:rsidR="00EA0108" w:rsidRPr="009B0448">
        <w:rPr>
          <w:rFonts w:ascii="Times New Roman" w:eastAsia="Times New Roman" w:hAnsi="Times New Roman" w:cs="Times New Roman"/>
        </w:rPr>
        <w:t>, 2005</w:t>
      </w:r>
      <w:r w:rsidRPr="009B0448">
        <w:rPr>
          <w:rFonts w:ascii="Times New Roman" w:eastAsia="Times New Roman" w:hAnsi="Times New Roman" w:cs="Times New Roman"/>
        </w:rPr>
        <w:t>), while none of the other scenarios emphasise policies and actions related to ecological restoration (</w:t>
      </w:r>
      <w:r w:rsidR="005D4C19"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5D4C19" w:rsidRPr="009B0448">
        <w:rPr>
          <w:rFonts w:ascii="Times New Roman" w:eastAsia="Times New Roman" w:hAnsi="Times New Roman" w:cs="Times New Roman"/>
        </w:rPr>
        <w:t>, 2000</w:t>
      </w:r>
      <w:r w:rsidRPr="009B0448">
        <w:rPr>
          <w:rFonts w:ascii="Times New Roman" w:eastAsia="Times New Roman" w:hAnsi="Times New Roman" w:cs="Times New Roman"/>
        </w:rPr>
        <w:t xml:space="preserve">;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2014</w:t>
      </w:r>
      <w:r w:rsidR="00043CC2" w:rsidRPr="009B0448">
        <w:rPr>
          <w:rFonts w:ascii="Times New Roman" w:eastAsia="Times New Roman" w:hAnsi="Times New Roman" w:cs="Times New Roman"/>
        </w:rPr>
        <w:t>; WWF-AfDB, 2015</w:t>
      </w:r>
      <w:r w:rsidRPr="009B0448">
        <w:rPr>
          <w:rFonts w:ascii="Times New Roman" w:eastAsia="Times New Roman" w:hAnsi="Times New Roman" w:cs="Times New Roman"/>
        </w:rPr>
        <w:t xml:space="preserve">). </w:t>
      </w:r>
      <w:r w:rsidR="00025EC6" w:rsidRPr="009B0448">
        <w:rPr>
          <w:rFonts w:ascii="Times New Roman" w:eastAsia="Times New Roman" w:hAnsi="Times New Roman" w:cs="Times New Roman"/>
          <w:i/>
        </w:rPr>
        <w:t>Local S</w:t>
      </w:r>
      <w:r w:rsidRPr="009B0448">
        <w:rPr>
          <w:rFonts w:ascii="Times New Roman" w:eastAsia="Times New Roman" w:hAnsi="Times New Roman" w:cs="Times New Roman"/>
          <w:i/>
        </w:rPr>
        <w:t xml:space="preserve">ustainability and Regional Sustainability </w:t>
      </w:r>
      <w:r w:rsidRPr="009B0448">
        <w:rPr>
          <w:rFonts w:ascii="Times New Roman" w:eastAsia="Times New Roman" w:hAnsi="Times New Roman" w:cs="Times New Roman"/>
        </w:rPr>
        <w:t>focus on reducing the vulnerability and enhancing the resilience of cities (MA</w:t>
      </w:r>
      <w:r w:rsidR="00EA0108" w:rsidRPr="009B0448">
        <w:rPr>
          <w:rFonts w:ascii="Times New Roman" w:eastAsia="Times New Roman" w:hAnsi="Times New Roman" w:cs="Times New Roman"/>
        </w:rPr>
        <w:t>, 2005; UNEP, 2016</w:t>
      </w:r>
      <w:r w:rsidRPr="009B0448">
        <w:rPr>
          <w:rFonts w:ascii="Times New Roman" w:eastAsia="Times New Roman" w:hAnsi="Times New Roman" w:cs="Times New Roman"/>
        </w:rPr>
        <w:t xml:space="preserve">;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shows the most limited climate action, especially with regards to boosting the resilience of cities (</w:t>
      </w:r>
      <w:r w:rsidR="00EA0108" w:rsidRPr="009B0448">
        <w:rPr>
          <w:rFonts w:ascii="Times New Roman" w:eastAsia="Times New Roman" w:hAnsi="Times New Roman" w:cs="Times New Roman"/>
        </w:rPr>
        <w:t>MA, 2005; UNEP, 2007</w:t>
      </w:r>
      <w:r w:rsidRPr="009B0448">
        <w:rPr>
          <w:rFonts w:ascii="Times New Roman" w:eastAsia="Times New Roman" w:hAnsi="Times New Roman" w:cs="Times New Roman"/>
        </w:rPr>
        <w:t xml:space="preserve">; </w:t>
      </w:r>
      <w:r w:rsidR="00EA0108" w:rsidRPr="009B0448">
        <w:rPr>
          <w:rFonts w:ascii="Times New Roman" w:eastAsia="Times New Roman" w:hAnsi="Times New Roman" w:cs="Times New Roman"/>
        </w:rPr>
        <w:t xml:space="preserve">van Vliet </w:t>
      </w:r>
      <w:r w:rsidR="000429F8" w:rsidRPr="009B0448">
        <w:rPr>
          <w:rFonts w:ascii="Times New Roman" w:eastAsia="Times New Roman" w:hAnsi="Times New Roman" w:cs="Times New Roman"/>
          <w:i/>
        </w:rPr>
        <w:t>et al.</w:t>
      </w:r>
      <w:r w:rsidR="00EA0108" w:rsidRPr="009B0448">
        <w:rPr>
          <w:rFonts w:ascii="Times New Roman" w:eastAsia="Times New Roman" w:hAnsi="Times New Roman" w:cs="Times New Roman"/>
        </w:rPr>
        <w:t>, 2013</w:t>
      </w:r>
      <w:r w:rsidR="00043CC2" w:rsidRPr="009B0448">
        <w:rPr>
          <w:rFonts w:ascii="Times New Roman" w:eastAsia="Times New Roman" w:hAnsi="Times New Roman" w:cs="Times New Roman"/>
        </w:rPr>
        <w:t xml:space="preserve">; Niang </w:t>
      </w:r>
      <w:r w:rsidR="000429F8" w:rsidRPr="009B0448">
        <w:rPr>
          <w:rFonts w:ascii="Times New Roman" w:eastAsia="Times New Roman" w:hAnsi="Times New Roman" w:cs="Times New Roman"/>
          <w:i/>
        </w:rPr>
        <w:t>et al.</w:t>
      </w:r>
      <w:r w:rsidR="00043CC2" w:rsidRPr="009B0448">
        <w:rPr>
          <w:rFonts w:ascii="Times New Roman" w:eastAsia="Times New Roman" w:hAnsi="Times New Roman" w:cs="Times New Roman"/>
        </w:rPr>
        <w:t>, 201</w:t>
      </w:r>
      <w:r w:rsidR="004711C0" w:rsidRPr="009B0448">
        <w:rPr>
          <w:rFonts w:ascii="Times New Roman" w:eastAsia="Times New Roman" w:hAnsi="Times New Roman" w:cs="Times New Roman"/>
        </w:rPr>
        <w:t>4</w:t>
      </w:r>
      <w:r w:rsidRPr="009B0448">
        <w:rPr>
          <w:rFonts w:ascii="Times New Roman" w:eastAsia="Times New Roman" w:hAnsi="Times New Roman" w:cs="Times New Roman"/>
        </w:rPr>
        <w:t xml:space="preserve">), followed by </w:t>
      </w:r>
      <w:r w:rsidR="00025EC6" w:rsidRPr="009B0448">
        <w:rPr>
          <w:rFonts w:ascii="Times New Roman" w:eastAsia="Times New Roman" w:hAnsi="Times New Roman" w:cs="Times New Roman"/>
          <w:i/>
        </w:rPr>
        <w:t>Market F</w:t>
      </w:r>
      <w:r w:rsidRPr="009B0448">
        <w:rPr>
          <w:rFonts w:ascii="Times New Roman" w:eastAsia="Times New Roman" w:hAnsi="Times New Roman" w:cs="Times New Roman"/>
          <w:i/>
        </w:rPr>
        <w:t xml:space="preserve">orces </w:t>
      </w:r>
      <w:r w:rsidRPr="009B0448">
        <w:rPr>
          <w:rFonts w:ascii="Times New Roman" w:eastAsia="Times New Roman" w:hAnsi="Times New Roman" w:cs="Times New Roman"/>
        </w:rPr>
        <w:t>(WWF</w:t>
      </w:r>
      <w:r w:rsidR="00043CC2" w:rsidRPr="009B0448">
        <w:rPr>
          <w:rFonts w:ascii="Times New Roman" w:eastAsia="Times New Roman" w:hAnsi="Times New Roman" w:cs="Times New Roman"/>
        </w:rPr>
        <w:t>-AfDB, 2015; UNEP, 2016</w:t>
      </w:r>
      <w:r w:rsidRPr="009B0448">
        <w:rPr>
          <w:rFonts w:ascii="Times New Roman" w:eastAsia="Times New Roman" w:hAnsi="Times New Roman" w:cs="Times New Roman"/>
        </w:rPr>
        <w:t xml:space="preserve">). Few resources are channelled into activities that enhance climate change adaptation and resilience except under </w:t>
      </w:r>
      <w:r w:rsidR="00025EC6" w:rsidRPr="009B0448">
        <w:rPr>
          <w:rFonts w:ascii="Times New Roman" w:eastAsia="Times New Roman" w:hAnsi="Times New Roman" w:cs="Times New Roman"/>
          <w:i/>
        </w:rPr>
        <w:t>Policy R</w:t>
      </w:r>
      <w:r w:rsidRPr="009B0448">
        <w:rPr>
          <w:rFonts w:ascii="Times New Roman" w:eastAsia="Times New Roman" w:hAnsi="Times New Roman" w:cs="Times New Roman"/>
          <w:i/>
        </w:rPr>
        <w:t>eform</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Regional Sustainability.</w:t>
      </w:r>
    </w:p>
    <w:p w14:paraId="6B99EFF9" w14:textId="09E4562A"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51" w:name="_1egqt2p" w:colFirst="0" w:colLast="0"/>
      <w:bookmarkStart w:id="452" w:name="_Toc519500034"/>
      <w:bookmarkEnd w:id="451"/>
      <w:r w:rsidRPr="009B0448">
        <w:rPr>
          <w:rFonts w:cs="Times New Roman"/>
          <w:i w:val="0"/>
          <w:sz w:val="22"/>
          <w:szCs w:val="22"/>
        </w:rPr>
        <w:t xml:space="preserve">Governance and institutions (SDG 16; </w:t>
      </w:r>
      <w:r w:rsidR="00BC0CFA">
        <w:rPr>
          <w:rFonts w:cs="Times New Roman"/>
          <w:i w:val="0"/>
          <w:sz w:val="22"/>
          <w:szCs w:val="22"/>
        </w:rPr>
        <w:t>ABTs</w:t>
      </w:r>
      <w:r w:rsidR="0079223F" w:rsidRPr="009B0448">
        <w:rPr>
          <w:rFonts w:cs="Times New Roman"/>
          <w:i w:val="0"/>
          <w:sz w:val="22"/>
          <w:szCs w:val="22"/>
        </w:rPr>
        <w:t xml:space="preserve"> </w:t>
      </w:r>
      <w:r w:rsidR="001C3581" w:rsidRPr="009B0448">
        <w:rPr>
          <w:rFonts w:cs="Times New Roman"/>
          <w:i w:val="0"/>
          <w:sz w:val="22"/>
          <w:szCs w:val="22"/>
        </w:rPr>
        <w:t>2, 3; Agenda 2063</w:t>
      </w:r>
      <w:r w:rsidRPr="009B0448">
        <w:rPr>
          <w:rFonts w:cs="Times New Roman"/>
          <w:i w:val="0"/>
          <w:sz w:val="22"/>
          <w:szCs w:val="22"/>
        </w:rPr>
        <w:t xml:space="preserve"> 17)</w:t>
      </w:r>
      <w:bookmarkEnd w:id="452"/>
    </w:p>
    <w:p w14:paraId="0B9818B9" w14:textId="5A47E978"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To meet the goals, targets and aspirations for a prosperous Africa, there needs to be good governance mechanisms and strong institutions to support the various policies driving development. These conditions are best met under the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archetype. In addition, addressing incentives and mai</w:t>
      </w:r>
      <w:r w:rsidR="0037056E" w:rsidRPr="009B0448">
        <w:rPr>
          <w:rFonts w:ascii="Times New Roman" w:eastAsia="Times New Roman" w:hAnsi="Times New Roman" w:cs="Times New Roman"/>
        </w:rPr>
        <w:t>nstreaming biodiversity and NCP</w:t>
      </w:r>
      <w:r w:rsidRPr="009B0448">
        <w:rPr>
          <w:rFonts w:ascii="Times New Roman" w:eastAsia="Times New Roman" w:hAnsi="Times New Roman" w:cs="Times New Roman"/>
        </w:rPr>
        <w:t xml:space="preserve"> into </w:t>
      </w:r>
      <w:r w:rsidR="00574E50" w:rsidRPr="009B0448">
        <w:rPr>
          <w:rFonts w:ascii="Times New Roman" w:eastAsia="Times New Roman" w:hAnsi="Times New Roman" w:cs="Times New Roman"/>
        </w:rPr>
        <w:t>decision-mak</w:t>
      </w:r>
      <w:r w:rsidRPr="009B0448">
        <w:rPr>
          <w:rFonts w:ascii="Times New Roman" w:eastAsia="Times New Roman" w:hAnsi="Times New Roman" w:cs="Times New Roman"/>
        </w:rPr>
        <w:t xml:space="preserve">ing processes is key to achieving many of the Convention on Biological Diversity targets. These are both considered and implemented under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while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also implement </w:t>
      </w:r>
      <w:r w:rsidR="0037056E" w:rsidRPr="009B0448">
        <w:rPr>
          <w:rFonts w:ascii="Times New Roman" w:eastAsia="Times New Roman" w:hAnsi="Times New Roman" w:cs="Times New Roman"/>
        </w:rPr>
        <w:t>actions to better integrate NCP</w:t>
      </w:r>
      <w:r w:rsidRPr="009B0448">
        <w:rPr>
          <w:rFonts w:ascii="Times New Roman" w:eastAsia="Times New Roman" w:hAnsi="Times New Roman" w:cs="Times New Roman"/>
        </w:rPr>
        <w:t xml:space="preserve"> into development decisions (</w:t>
      </w:r>
      <w:r w:rsidR="005D4C19"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5D4C19" w:rsidRPr="009B0448">
        <w:rPr>
          <w:rFonts w:ascii="Times New Roman" w:eastAsia="Times New Roman" w:hAnsi="Times New Roman" w:cs="Times New Roman"/>
        </w:rPr>
        <w:t>, 2000</w:t>
      </w:r>
      <w:r w:rsidRPr="009B0448">
        <w:rPr>
          <w:rFonts w:ascii="Times New Roman" w:eastAsia="Times New Roman" w:hAnsi="Times New Roman" w:cs="Times New Roman"/>
        </w:rPr>
        <w:t xml:space="preserve">). In contrast, </w:t>
      </w:r>
      <w:r w:rsidR="00025EC6" w:rsidRPr="009B0448">
        <w:rPr>
          <w:rFonts w:ascii="Times New Roman" w:eastAsia="Times New Roman" w:hAnsi="Times New Roman" w:cs="Times New Roman"/>
          <w:i/>
        </w:rPr>
        <w:t>Fortress W</w:t>
      </w:r>
      <w:r w:rsidRPr="009B0448">
        <w:rPr>
          <w:rFonts w:ascii="Times New Roman" w:eastAsia="Times New Roman" w:hAnsi="Times New Roman" w:cs="Times New Roman"/>
          <w:i/>
        </w:rPr>
        <w:t>orld</w:t>
      </w:r>
      <w:r w:rsidRPr="009B0448">
        <w:rPr>
          <w:rFonts w:ascii="Times New Roman" w:eastAsia="Times New Roman" w:hAnsi="Times New Roman" w:cs="Times New Roman"/>
        </w:rPr>
        <w:t xml:space="preserve"> type futures do not formally </w:t>
      </w:r>
      <w:r w:rsidR="0037056E" w:rsidRPr="009B0448">
        <w:rPr>
          <w:rFonts w:ascii="Times New Roman" w:eastAsia="Times New Roman" w:hAnsi="Times New Roman" w:cs="Times New Roman"/>
        </w:rPr>
        <w:t>recognise NCP</w:t>
      </w:r>
      <w:r w:rsidRPr="009B0448">
        <w:rPr>
          <w:rFonts w:ascii="Times New Roman" w:eastAsia="Times New Roman" w:hAnsi="Times New Roman" w:cs="Times New Roman"/>
        </w:rPr>
        <w:t xml:space="preserve"> as important contributions for development (Bohensky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Visconti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2011;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w:t>
      </w:r>
    </w:p>
    <w:p w14:paraId="672C9898" w14:textId="77777777" w:rsidR="001C3581" w:rsidRPr="009B0448" w:rsidRDefault="001C3581" w:rsidP="0010089E">
      <w:pPr>
        <w:spacing w:line="276" w:lineRule="auto"/>
        <w:jc w:val="both"/>
        <w:rPr>
          <w:rFonts w:ascii="Times New Roman" w:eastAsia="Times New Roman" w:hAnsi="Times New Roman" w:cs="Times New Roman"/>
        </w:rPr>
      </w:pPr>
    </w:p>
    <w:p w14:paraId="64F92F05" w14:textId="59E5606F" w:rsidR="00991066" w:rsidRPr="009B0448" w:rsidRDefault="00991066"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Education on sustainable consumption and production is a feature of </w:t>
      </w:r>
      <w:r w:rsidRPr="009B0448">
        <w:rPr>
          <w:rFonts w:ascii="Times New Roman" w:eastAsia="Times New Roman" w:hAnsi="Times New Roman" w:cs="Times New Roman"/>
          <w:i/>
        </w:rPr>
        <w:t xml:space="preserve">Market Forces </w:t>
      </w:r>
      <w:r w:rsidRPr="009B0448">
        <w:rPr>
          <w:rFonts w:ascii="Times New Roman" w:eastAsia="Times New Roman" w:hAnsi="Times New Roman" w:cs="Times New Roman"/>
        </w:rPr>
        <w:t xml:space="preserve">and </w:t>
      </w:r>
      <w:r w:rsidRPr="009B0448">
        <w:rPr>
          <w:rFonts w:ascii="Times New Roman" w:eastAsia="Times New Roman" w:hAnsi="Times New Roman" w:cs="Times New Roman"/>
          <w:i/>
        </w:rPr>
        <w:t xml:space="preserve">Regional Sustainability </w:t>
      </w:r>
      <w:r w:rsidRPr="009B0448">
        <w:rPr>
          <w:rFonts w:ascii="Times New Roman" w:eastAsia="Times New Roman" w:hAnsi="Times New Roman" w:cs="Times New Roman"/>
        </w:rPr>
        <w:t>futures (</w:t>
      </w:r>
      <w:r w:rsidR="005D4C19"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5D4C19" w:rsidRPr="009B0448">
        <w:rPr>
          <w:rFonts w:ascii="Times New Roman" w:eastAsia="Times New Roman" w:hAnsi="Times New Roman" w:cs="Times New Roman"/>
        </w:rPr>
        <w:t>, 2000, UNEP</w:t>
      </w:r>
      <w:r w:rsidR="006E4CDF" w:rsidRPr="009B0448">
        <w:rPr>
          <w:rFonts w:ascii="Times New Roman" w:eastAsia="Times New Roman" w:hAnsi="Times New Roman" w:cs="Times New Roman"/>
        </w:rPr>
        <w:t>,</w:t>
      </w:r>
      <w:r w:rsidR="005D4C19" w:rsidRPr="009B0448">
        <w:rPr>
          <w:rFonts w:ascii="Times New Roman" w:eastAsia="Times New Roman" w:hAnsi="Times New Roman" w:cs="Times New Roman"/>
        </w:rPr>
        <w:t xml:space="preserve"> 2007</w:t>
      </w:r>
      <w:r w:rsidRPr="009B0448">
        <w:rPr>
          <w:rFonts w:ascii="Times New Roman" w:eastAsia="Times New Roman" w:hAnsi="Times New Roman" w:cs="Times New Roman"/>
        </w:rPr>
        <w:t xml:space="preserve">), while this is not a feature of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(Bohensky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2006; </w:t>
      </w:r>
      <w:r w:rsidR="005D4C19" w:rsidRPr="009B0448">
        <w:rPr>
          <w:rFonts w:ascii="Times New Roman" w:eastAsia="Times New Roman" w:hAnsi="Times New Roman" w:cs="Times New Roman"/>
        </w:rPr>
        <w:t xml:space="preserve">UNEP, 2007; </w:t>
      </w:r>
      <w:r w:rsidRPr="009B0448">
        <w:rPr>
          <w:rFonts w:ascii="Times New Roman" w:eastAsia="Times New Roman" w:hAnsi="Times New Roman" w:cs="Times New Roman"/>
        </w:rPr>
        <w:t xml:space="preserve">Visconti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w:t>
      </w:r>
      <w:r w:rsidR="00B22EAA" w:rsidRPr="009B0448">
        <w:rPr>
          <w:rFonts w:ascii="Times New Roman" w:eastAsia="Times New Roman" w:hAnsi="Times New Roman" w:cs="Times New Roman"/>
        </w:rPr>
        <w:t xml:space="preserve"> </w:t>
      </w:r>
      <w:r w:rsidRPr="009B0448">
        <w:rPr>
          <w:rFonts w:ascii="Times New Roman" w:eastAsia="Times New Roman" w:hAnsi="Times New Roman" w:cs="Times New Roman"/>
        </w:rPr>
        <w:t xml:space="preserve">2011; Lambin </w:t>
      </w:r>
      <w:r w:rsidR="000429F8" w:rsidRPr="009B0448">
        <w:rPr>
          <w:rFonts w:ascii="Times New Roman" w:eastAsia="Times New Roman" w:hAnsi="Times New Roman" w:cs="Times New Roman"/>
          <w:i/>
        </w:rPr>
        <w:t>et al.</w:t>
      </w:r>
      <w:r w:rsidRPr="009B0448">
        <w:rPr>
          <w:rFonts w:ascii="Times New Roman" w:eastAsia="Times New Roman" w:hAnsi="Times New Roman" w:cs="Times New Roman"/>
        </w:rPr>
        <w:t xml:space="preserve">, 2014). Successful examples where efforts have been taken to mainstream nature and </w:t>
      </w:r>
      <w:r w:rsidR="0037056E" w:rsidRPr="009B0448">
        <w:rPr>
          <w:rFonts w:ascii="Times New Roman" w:eastAsia="Times New Roman" w:hAnsi="Times New Roman" w:cs="Times New Roman"/>
        </w:rPr>
        <w:t>NCP</w:t>
      </w:r>
      <w:r w:rsidRPr="009B0448">
        <w:rPr>
          <w:rFonts w:ascii="Times New Roman" w:eastAsia="Times New Roman" w:hAnsi="Times New Roman" w:cs="Times New Roman"/>
        </w:rPr>
        <w:t xml:space="preserve"> into </w:t>
      </w:r>
      <w:r w:rsidR="00574E50" w:rsidRPr="009B0448">
        <w:rPr>
          <w:rFonts w:ascii="Times New Roman" w:eastAsia="Times New Roman" w:hAnsi="Times New Roman" w:cs="Times New Roman"/>
        </w:rPr>
        <w:t>decision-mak</w:t>
      </w:r>
      <w:r w:rsidRPr="009B0448">
        <w:rPr>
          <w:rFonts w:ascii="Times New Roman" w:eastAsia="Times New Roman" w:hAnsi="Times New Roman" w:cs="Times New Roman"/>
        </w:rPr>
        <w:t xml:space="preserve">ing using scenario analyses fall under the </w:t>
      </w:r>
      <w:r w:rsidRPr="009B0448">
        <w:rPr>
          <w:rFonts w:ascii="Times New Roman" w:eastAsia="Times New Roman" w:hAnsi="Times New Roman" w:cs="Times New Roman"/>
          <w:i/>
        </w:rPr>
        <w:t xml:space="preserve">Regional </w:t>
      </w:r>
      <w:r w:rsidR="00025EC6" w:rsidRPr="009B0448">
        <w:rPr>
          <w:rFonts w:ascii="Times New Roman" w:eastAsia="Times New Roman" w:hAnsi="Times New Roman" w:cs="Times New Roman"/>
          <w:i/>
        </w:rPr>
        <w:t>S</w:t>
      </w:r>
      <w:r w:rsidRPr="009B0448">
        <w:rPr>
          <w:rFonts w:ascii="Times New Roman" w:eastAsia="Times New Roman" w:hAnsi="Times New Roman" w:cs="Times New Roman"/>
          <w:i/>
        </w:rPr>
        <w:t>ustainability</w:t>
      </w:r>
      <w:r w:rsidRPr="009B0448">
        <w:rPr>
          <w:rFonts w:ascii="Times New Roman" w:eastAsia="Times New Roman" w:hAnsi="Times New Roman" w:cs="Times New Roman"/>
        </w:rPr>
        <w:t xml:space="preserve"> archetype (Box 5.7).</w:t>
      </w:r>
    </w:p>
    <w:p w14:paraId="55A207E8" w14:textId="77777777" w:rsidR="00B22EAA" w:rsidRPr="009B0448" w:rsidRDefault="00B22EAA" w:rsidP="0010089E">
      <w:pPr>
        <w:spacing w:line="276" w:lineRule="auto"/>
        <w:jc w:val="both"/>
        <w:rPr>
          <w:rFonts w:ascii="Times New Roman" w:eastAsia="Times New Roman" w:hAnsi="Times New Roman" w:cs="Times New Roman"/>
        </w:rPr>
      </w:pPr>
    </w:p>
    <w:p w14:paraId="76ECF112" w14:textId="77777777" w:rsidR="00652C6C" w:rsidRPr="009B0448" w:rsidRDefault="00652C6C">
      <w:pPr>
        <w:rPr>
          <w:rFonts w:ascii="Times New Roman" w:eastAsia="Times New Roman" w:hAnsi="Times New Roman" w:cs="Times New Roman"/>
          <w:b/>
        </w:rPr>
      </w:pPr>
      <w:r w:rsidRPr="009B0448">
        <w:rPr>
          <w:rFonts w:ascii="Times New Roman" w:eastAsia="Times New Roman" w:hAnsi="Times New Roman" w:cs="Times New Roman"/>
          <w:b/>
        </w:rPr>
        <w:br w:type="page"/>
      </w:r>
    </w:p>
    <w:p w14:paraId="355BC64E" w14:textId="66005D57" w:rsidR="00652C6C" w:rsidRPr="009B0448" w:rsidRDefault="00652C6C" w:rsidP="0010089E">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drawing>
          <wp:inline distT="0" distB="0" distL="0" distR="0" wp14:anchorId="636583EB" wp14:editId="3E84485E">
            <wp:extent cx="7348038" cy="5707481"/>
            <wp:effectExtent l="953" t="0" r="6667" b="6668"/>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top\b5.7.JPG"/>
                    <pic:cNvPicPr>
                      <a:picLocks noChangeAspect="1" noChangeArrowheads="1"/>
                    </pic:cNvPicPr>
                  </pic:nvPicPr>
                  <pic:blipFill>
                    <a:blip r:embed="rId1589">
                      <a:extLst>
                        <a:ext uri="{28A0092B-C50C-407E-A947-70E740481C1C}">
                          <a14:useLocalDpi xmlns:a14="http://schemas.microsoft.com/office/drawing/2010/main" val="0"/>
                        </a:ext>
                      </a:extLst>
                    </a:blip>
                    <a:stretch>
                      <a:fillRect/>
                    </a:stretch>
                  </pic:blipFill>
                  <pic:spPr bwMode="auto">
                    <a:xfrm rot="16200000">
                      <a:off x="0" y="0"/>
                      <a:ext cx="7358018" cy="5715233"/>
                    </a:xfrm>
                    <a:prstGeom prst="rect">
                      <a:avLst/>
                    </a:prstGeom>
                    <a:noFill/>
                    <a:ln>
                      <a:noFill/>
                    </a:ln>
                  </pic:spPr>
                </pic:pic>
              </a:graphicData>
            </a:graphic>
          </wp:inline>
        </w:drawing>
      </w:r>
    </w:p>
    <w:p w14:paraId="3C84F2EE" w14:textId="77777777" w:rsidR="00B22EAA" w:rsidRPr="009B0448" w:rsidRDefault="00B22EAA" w:rsidP="0010089E">
      <w:pPr>
        <w:spacing w:line="276" w:lineRule="auto"/>
        <w:jc w:val="both"/>
        <w:rPr>
          <w:rFonts w:ascii="Times New Roman" w:eastAsia="Times New Roman" w:hAnsi="Times New Roman" w:cs="Times New Roman"/>
        </w:rPr>
      </w:pPr>
    </w:p>
    <w:p w14:paraId="65A50B40" w14:textId="77777777" w:rsidR="00E709D8" w:rsidRDefault="00E709D8">
      <w:pPr>
        <w:rPr>
          <w:rFonts w:ascii="Times New Roman" w:eastAsia="Times New Roman" w:hAnsi="Times New Roman" w:cs="Times New Roman"/>
          <w:b/>
        </w:rPr>
      </w:pPr>
      <w:r>
        <w:rPr>
          <w:rFonts w:ascii="Times New Roman" w:eastAsia="Times New Roman" w:hAnsi="Times New Roman" w:cs="Times New Roman"/>
          <w:b/>
        </w:rPr>
        <w:br w:type="page"/>
      </w:r>
    </w:p>
    <w:p w14:paraId="39995E95" w14:textId="43F4E23B" w:rsidR="00991066" w:rsidRDefault="00991066" w:rsidP="0010089E">
      <w:pPr>
        <w:spacing w:line="276" w:lineRule="auto"/>
        <w:jc w:val="both"/>
        <w:rPr>
          <w:rFonts w:ascii="Times New Roman" w:eastAsia="Cardo" w:hAnsi="Times New Roman" w:cs="Times New Roman"/>
        </w:rPr>
      </w:pPr>
      <w:r w:rsidRPr="009B0448">
        <w:rPr>
          <w:rFonts w:ascii="Times New Roman" w:eastAsia="Times New Roman" w:hAnsi="Times New Roman" w:cs="Times New Roman"/>
          <w:b/>
        </w:rPr>
        <w:t xml:space="preserve">Table 5.7: </w:t>
      </w:r>
      <w:r w:rsidR="00652C6C" w:rsidRPr="009B0448">
        <w:rPr>
          <w:rFonts w:ascii="Times New Roman" w:eastAsia="Cardo" w:hAnsi="Times New Roman" w:cs="Times New Roman"/>
        </w:rPr>
        <w:t xml:space="preserve">Synthesis of the likelihood of achieving key policy targets, Agenda 2063 of the African Union Aspirations for a prosperous Africa, Sustainable Development Goals and targets and Aichi Biodiversity Targets, under different scenario archetypes in Africa. This table shows the summary of the assessment (Section 5.7) that seeks to understand the likelihood of achieving aligned Agenda 2063 Aspirations (1st column), Aichi Biodiversity Targets (2nd column) and Sustainable Development Goals (3rd column) in Africa under the five different scenario archetypes (See Box 5.2, Section 5.3, Table 5.1 and Table 5.2 for more information). The colour of the cell indicates a synthesis of the overall trends found in the assessment under different scenario options where green indicates an overall increase in the likelihood of achieving the desired policies (Agenda 2063 Aspirations, Aichi Biodiversity Targets and Sustainable Development Goals), purple indicates contradictory trends found (i.e., some reports in the assessment mentioned an increase in the likelihood of achieving certain outcomes, while others reported a decrease), and orange indicates an overall decrease in the likelihood of achieving the policy outcomes. No colour in the cells represents a lack of robust information on these issues in the reports/studies. This table highlights that while there are many trade-offs to consider under each possible future scenario, there are multiple synergies and policy alignments where more desirable options for sustainable and equitable development are feasible. It also highlights that conditions and policies under a ‘Fortress World’ (see Box 5.2 for underlying assumptions) are the least likely to achieve multiple goals and targets and will ultimately result in the inability to deliver on the aspirations of Agenda 2063 for a future we want in Africa. ‘Business-as-usual’ approaches through reliance on the market forces (MF) and policy reform (PR) offer some options for achieving multiple policy goals, but fail </w:t>
      </w:r>
      <w:r w:rsidR="008A12D8" w:rsidRPr="009B0448">
        <w:rPr>
          <w:rFonts w:ascii="Times New Roman" w:eastAsia="Cardo" w:hAnsi="Times New Roman" w:cs="Times New Roman"/>
        </w:rPr>
        <w:t>to adequately conserve biodiversity</w:t>
      </w:r>
      <w:r w:rsidR="00652C6C" w:rsidRPr="009B0448">
        <w:rPr>
          <w:rFonts w:ascii="Times New Roman" w:eastAsia="Cardo" w:hAnsi="Times New Roman" w:cs="Times New Roman"/>
        </w:rPr>
        <w:t xml:space="preserve"> and resulting contributions of nature to human well-being. Conditions under a more ‘managed transformation’ type of future, through policies and practices aligned with regional sustainability and, to a lesser extent, local sustainability, are shown here to offer a greater likelihood of achieving multiple sustainable and equitable development goals, targets and aspirations. An important message from this table is that while there are more desirable pathways for decision-makers, there is no one scenario option that will achieve all the goals, targets and aspirations. Efforts to co-develop a combination of proactive policies, inclusive and responsible economic tools with a focus on a well-being economy rooted in the conservation and sustainable use of biodiversity, ecosystems and their contributions to people, are key.</w:t>
      </w:r>
      <w:r w:rsidR="00E709D8" w:rsidRPr="00E709D8">
        <w:rPr>
          <w:rFonts w:ascii="Times New Roman" w:eastAsia="Cardo" w:hAnsi="Times New Roman" w:cs="Times New Roman"/>
          <w:noProof/>
          <w:lang w:eastAsia="en-GB"/>
        </w:rPr>
        <w:t xml:space="preserve"> </w:t>
      </w:r>
    </w:p>
    <w:p w14:paraId="2200C0C7" w14:textId="1D9BDF4A" w:rsidR="00E709D8" w:rsidRDefault="00E709D8" w:rsidP="00E709D8">
      <w:pPr>
        <w:spacing w:line="276" w:lineRule="auto"/>
        <w:jc w:val="both"/>
        <w:rPr>
          <w:rFonts w:ascii="Times New Roman" w:eastAsia="Cardo" w:hAnsi="Times New Roman" w:cs="Times New Roman"/>
        </w:rPr>
      </w:pPr>
      <w:r>
        <w:rPr>
          <w:rFonts w:ascii="Times New Roman" w:eastAsia="Cardo" w:hAnsi="Times New Roman" w:cs="Times New Roman"/>
          <w:noProof/>
          <w:lang w:eastAsia="en-GB"/>
        </w:rPr>
        <w:drawing>
          <wp:inline distT="0" distB="0" distL="0" distR="0" wp14:anchorId="6DD7453B" wp14:editId="739380C6">
            <wp:extent cx="5731510" cy="3535680"/>
            <wp:effectExtent l="0" t="0" r="2540" b="762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Tab 5.7A.JPG"/>
                    <pic:cNvPicPr/>
                  </pic:nvPicPr>
                  <pic:blipFill>
                    <a:blip r:embed="rId1590">
                      <a:extLst>
                        <a:ext uri="{28A0092B-C50C-407E-A947-70E740481C1C}">
                          <a14:useLocalDpi xmlns:a14="http://schemas.microsoft.com/office/drawing/2010/main" val="0"/>
                        </a:ext>
                      </a:extLst>
                    </a:blip>
                    <a:stretch>
                      <a:fillRect/>
                    </a:stretch>
                  </pic:blipFill>
                  <pic:spPr>
                    <a:xfrm>
                      <a:off x="0" y="0"/>
                      <a:ext cx="5731510" cy="3535680"/>
                    </a:xfrm>
                    <a:prstGeom prst="rect">
                      <a:avLst/>
                    </a:prstGeom>
                  </pic:spPr>
                </pic:pic>
              </a:graphicData>
            </a:graphic>
          </wp:inline>
        </w:drawing>
      </w:r>
      <w:r>
        <w:rPr>
          <w:rFonts w:ascii="Times New Roman" w:eastAsia="Cardo" w:hAnsi="Times New Roman" w:cs="Times New Roman"/>
        </w:rPr>
        <w:br w:type="page"/>
      </w:r>
    </w:p>
    <w:p w14:paraId="4BCE5FBB" w14:textId="680A5F18" w:rsidR="00E709D8" w:rsidRDefault="00652C6C" w:rsidP="00E709D8">
      <w:pPr>
        <w:spacing w:line="276" w:lineRule="auto"/>
        <w:jc w:val="both"/>
        <w:rPr>
          <w:rFonts w:ascii="Times New Roman" w:eastAsia="Times New Roman" w:hAnsi="Times New Roman" w:cs="Times New Roman"/>
        </w:rPr>
      </w:pPr>
      <w:r w:rsidRPr="009B0448">
        <w:rPr>
          <w:rFonts w:ascii="Times New Roman" w:eastAsia="Cardo" w:hAnsi="Times New Roman" w:cs="Times New Roman"/>
          <w:noProof/>
          <w:lang w:eastAsia="en-GB"/>
        </w:rPr>
        <w:drawing>
          <wp:inline distT="0" distB="0" distL="0" distR="0" wp14:anchorId="4FF07483" wp14:editId="73CB3B5B">
            <wp:extent cx="5722620" cy="8468073"/>
            <wp:effectExtent l="0" t="0" r="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top\T5.7a.JPG"/>
                    <pic:cNvPicPr>
                      <a:picLocks noChangeAspect="1" noChangeArrowheads="1"/>
                    </pic:cNvPicPr>
                  </pic:nvPicPr>
                  <pic:blipFill>
                    <a:blip r:embed="rId1591">
                      <a:extLst>
                        <a:ext uri="{28A0092B-C50C-407E-A947-70E740481C1C}">
                          <a14:useLocalDpi xmlns:a14="http://schemas.microsoft.com/office/drawing/2010/main" val="0"/>
                        </a:ext>
                      </a:extLst>
                    </a:blip>
                    <a:stretch>
                      <a:fillRect/>
                    </a:stretch>
                  </pic:blipFill>
                  <pic:spPr bwMode="auto">
                    <a:xfrm>
                      <a:off x="0" y="0"/>
                      <a:ext cx="5726859" cy="8474346"/>
                    </a:xfrm>
                    <a:prstGeom prst="rect">
                      <a:avLst/>
                    </a:prstGeom>
                    <a:noFill/>
                    <a:ln>
                      <a:noFill/>
                    </a:ln>
                  </pic:spPr>
                </pic:pic>
              </a:graphicData>
            </a:graphic>
          </wp:inline>
        </w:drawing>
      </w:r>
      <w:r w:rsidR="00E709D8">
        <w:rPr>
          <w:rFonts w:ascii="Times New Roman" w:eastAsia="Times New Roman" w:hAnsi="Times New Roman" w:cs="Times New Roman"/>
        </w:rPr>
        <w:br w:type="page"/>
      </w:r>
    </w:p>
    <w:p w14:paraId="473B6E76" w14:textId="5BF7132E" w:rsidR="00991066" w:rsidRPr="009B0448" w:rsidRDefault="00991066" w:rsidP="00FA7185">
      <w:pPr>
        <w:pStyle w:val="Heading3"/>
        <w:widowControl w:val="0"/>
        <w:numPr>
          <w:ilvl w:val="1"/>
          <w:numId w:val="11"/>
        </w:numPr>
        <w:spacing w:before="240" w:after="240"/>
        <w:ind w:left="709" w:hanging="720"/>
        <w:rPr>
          <w:rFonts w:eastAsia="Calibri" w:cs="Times New Roman"/>
          <w:szCs w:val="24"/>
        </w:rPr>
      </w:pPr>
      <w:bookmarkStart w:id="453" w:name="_3ygebqi" w:colFirst="0" w:colLast="0"/>
      <w:bookmarkStart w:id="454" w:name="_Toc519500035"/>
      <w:bookmarkEnd w:id="453"/>
      <w:r w:rsidRPr="009B0448">
        <w:rPr>
          <w:rFonts w:eastAsia="Calibri" w:cs="Times New Roman"/>
          <w:szCs w:val="24"/>
        </w:rPr>
        <w:t xml:space="preserve">Trade-offs, Tipping Points and </w:t>
      </w:r>
      <w:r w:rsidR="000B06FE" w:rsidRPr="009B0448">
        <w:rPr>
          <w:rFonts w:eastAsia="Calibri" w:cs="Times New Roman"/>
          <w:szCs w:val="24"/>
        </w:rPr>
        <w:t>Tele-coupl</w:t>
      </w:r>
      <w:r w:rsidRPr="009B0448">
        <w:rPr>
          <w:rFonts w:eastAsia="Calibri" w:cs="Times New Roman"/>
          <w:szCs w:val="24"/>
        </w:rPr>
        <w:t>ing</w:t>
      </w:r>
      <w:bookmarkEnd w:id="454"/>
    </w:p>
    <w:p w14:paraId="4E09836D" w14:textId="2CE6A652" w:rsidR="00991066" w:rsidRPr="009B0448" w:rsidRDefault="00991066" w:rsidP="001C358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linkages and interactions between drivers, biodiversity, </w:t>
      </w:r>
      <w:r w:rsidR="0037056E" w:rsidRPr="009B0448">
        <w:rPr>
          <w:rFonts w:ascii="Times New Roman" w:eastAsia="Times New Roman" w:hAnsi="Times New Roman" w:cs="Times New Roman"/>
        </w:rPr>
        <w:t>NCP</w:t>
      </w:r>
      <w:r w:rsidRPr="009B0448">
        <w:rPr>
          <w:rFonts w:ascii="Times New Roman" w:eastAsia="Times New Roman" w:hAnsi="Times New Roman" w:cs="Times New Roman"/>
        </w:rPr>
        <w:t>, human well-being and policy resp</w:t>
      </w:r>
      <w:r w:rsidR="008A12D8" w:rsidRPr="009B0448">
        <w:rPr>
          <w:rFonts w:ascii="Times New Roman" w:eastAsia="Times New Roman" w:hAnsi="Times New Roman" w:cs="Times New Roman"/>
        </w:rPr>
        <w:t>onses are</w:t>
      </w:r>
      <w:r w:rsidRPr="009B0448">
        <w:rPr>
          <w:rFonts w:ascii="Times New Roman" w:eastAsia="Times New Roman" w:hAnsi="Times New Roman" w:cs="Times New Roman"/>
        </w:rPr>
        <w:t xml:space="preserve"> critical to understanding future trajectories of change across the African continent. Some of these interact</w:t>
      </w:r>
      <w:r w:rsidR="008A12D8" w:rsidRPr="009B0448">
        <w:rPr>
          <w:rFonts w:ascii="Times New Roman" w:eastAsia="Times New Roman" w:hAnsi="Times New Roman" w:cs="Times New Roman"/>
        </w:rPr>
        <w:t>ions are reasonably predictable</w:t>
      </w:r>
      <w:r w:rsidRPr="009B0448">
        <w:rPr>
          <w:rFonts w:ascii="Times New Roman" w:eastAsia="Times New Roman" w:hAnsi="Times New Roman" w:cs="Times New Roman"/>
        </w:rPr>
        <w:t xml:space="preserve"> and follow established understanding of cause-effect relationships. Such interactions are typically built into scenario storylines and models and underlie much of the discussion in the previous sections. However, other interactions are less predictable, less well understood, and may be difficult to plan for or respond to. Such interactions are generally poorly considered in scenario storylines. This section discusses three such interactions, namely trade-offs, tipping points and tele</w:t>
      </w:r>
      <w:r w:rsidR="008A12D8" w:rsidRPr="009B0448">
        <w:rPr>
          <w:rFonts w:ascii="Times New Roman" w:eastAsia="Times New Roman" w:hAnsi="Times New Roman" w:cs="Times New Roman"/>
        </w:rPr>
        <w:t>-</w:t>
      </w:r>
      <w:r w:rsidRPr="009B0448">
        <w:rPr>
          <w:rFonts w:ascii="Times New Roman" w:eastAsia="Times New Roman" w:hAnsi="Times New Roman" w:cs="Times New Roman"/>
        </w:rPr>
        <w:t>coupling, and provides an assessment of each of these under the five key archetypes considered in this chapter.</w:t>
      </w:r>
    </w:p>
    <w:p w14:paraId="5E03CF47" w14:textId="5BCCDD2D" w:rsidR="00991066" w:rsidRPr="009B0448" w:rsidRDefault="00991066" w:rsidP="00FA7185">
      <w:pPr>
        <w:pStyle w:val="111"/>
        <w:numPr>
          <w:ilvl w:val="2"/>
          <w:numId w:val="11"/>
        </w:numPr>
        <w:spacing w:before="240" w:after="240"/>
        <w:ind w:left="709" w:hanging="720"/>
        <w:rPr>
          <w:rFonts w:cs="Times New Roman"/>
          <w:i w:val="0"/>
          <w:sz w:val="22"/>
          <w:szCs w:val="22"/>
        </w:rPr>
      </w:pPr>
      <w:bookmarkStart w:id="455" w:name="_2dlolyb" w:colFirst="0" w:colLast="0"/>
      <w:bookmarkStart w:id="456" w:name="_Toc519500036"/>
      <w:bookmarkEnd w:id="455"/>
      <w:r w:rsidRPr="009B0448">
        <w:rPr>
          <w:rFonts w:cs="Times New Roman"/>
          <w:i w:val="0"/>
          <w:sz w:val="22"/>
          <w:szCs w:val="22"/>
        </w:rPr>
        <w:t>Trade-offs</w:t>
      </w:r>
      <w:bookmarkEnd w:id="456"/>
    </w:p>
    <w:p w14:paraId="5333B919" w14:textId="1DF913D3" w:rsidR="00991066" w:rsidRPr="009B0448" w:rsidRDefault="00991066" w:rsidP="001C358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 trade-off refers to a situation where an improvement in the status of one aspect of the environment or of human well-being is necessarily associated with a decline in or loss of another aspect. Trade-offs are the opposite of synergies or “win-win” outcomes, where the enhancement of one desirable outcome leads to enhancement of another. Trade-offs </w:t>
      </w:r>
      <w:r w:rsidR="00264EBF" w:rsidRPr="009B0448">
        <w:rPr>
          <w:rFonts w:ascii="Times New Roman" w:eastAsia="Times New Roman" w:hAnsi="Times New Roman" w:cs="Times New Roman"/>
        </w:rPr>
        <w:t>characteris</w:t>
      </w:r>
      <w:r w:rsidR="008A12D8" w:rsidRPr="009B0448">
        <w:rPr>
          <w:rFonts w:ascii="Times New Roman" w:eastAsia="Times New Roman" w:hAnsi="Times New Roman" w:cs="Times New Roman"/>
        </w:rPr>
        <w:t>e most complex systems</w:t>
      </w:r>
      <w:r w:rsidRPr="009B0448">
        <w:rPr>
          <w:rFonts w:ascii="Times New Roman" w:eastAsia="Times New Roman" w:hAnsi="Times New Roman" w:cs="Times New Roman"/>
        </w:rPr>
        <w:t xml:space="preserve"> and are important to consider when making decisions that aim to improve environmental and/or socio-economic outcomes. The scenarios studies considered in this assessment generally do not explicitly consider trade-offs, especially not between different human well-being outcomes. Nevertheless, a number of trade-offs can be anticipated based on the key drivers, and characteristic biodiversity, NCP and human well</w:t>
      </w:r>
      <w:r w:rsidR="008A12D8" w:rsidRPr="009B0448">
        <w:rPr>
          <w:rFonts w:ascii="Times New Roman" w:eastAsia="Times New Roman" w:hAnsi="Times New Roman" w:cs="Times New Roman"/>
        </w:rPr>
        <w:t>-</w:t>
      </w:r>
      <w:r w:rsidRPr="009B0448">
        <w:rPr>
          <w:rFonts w:ascii="Times New Roman" w:eastAsia="Times New Roman" w:hAnsi="Times New Roman" w:cs="Times New Roman"/>
        </w:rPr>
        <w:t>being impacts associated with each archetype. Some of these impacts and trade-offs are regulated by policy processes such as Environmental Impact Assessments and Strategic Environmental Assessments; these are not discussed here, but instead addressed in Chapter 6.</w:t>
      </w:r>
    </w:p>
    <w:p w14:paraId="5D4DE7C7" w14:textId="77777777" w:rsidR="001C3581" w:rsidRPr="009B0448" w:rsidRDefault="001C3581" w:rsidP="001C3581">
      <w:pPr>
        <w:spacing w:line="276" w:lineRule="auto"/>
        <w:jc w:val="both"/>
        <w:rPr>
          <w:rFonts w:ascii="Times New Roman" w:eastAsia="Times New Roman" w:hAnsi="Times New Roman" w:cs="Times New Roman"/>
        </w:rPr>
      </w:pPr>
    </w:p>
    <w:p w14:paraId="0250D9EA" w14:textId="407FE261" w:rsidR="00991066" w:rsidRPr="009B0448" w:rsidRDefault="00991066" w:rsidP="001C358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Under the </w:t>
      </w:r>
      <w:r w:rsidR="00025EC6" w:rsidRPr="009B0448">
        <w:rPr>
          <w:rFonts w:ascii="Times New Roman" w:eastAsia="Times New Roman" w:hAnsi="Times New Roman" w:cs="Times New Roman"/>
          <w:i/>
        </w:rPr>
        <w:t>Market F</w:t>
      </w:r>
      <w:r w:rsidRPr="009B0448">
        <w:rPr>
          <w:rFonts w:ascii="Times New Roman" w:eastAsia="Times New Roman" w:hAnsi="Times New Roman" w:cs="Times New Roman"/>
          <w:i/>
        </w:rPr>
        <w:t>orces</w:t>
      </w:r>
      <w:r w:rsidRPr="009B0448">
        <w:rPr>
          <w:rFonts w:ascii="Times New Roman" w:eastAsia="Times New Roman" w:hAnsi="Times New Roman" w:cs="Times New Roman"/>
        </w:rPr>
        <w:t xml:space="preserve"> archetype</w:t>
      </w:r>
      <w:r w:rsidRPr="009B0448">
        <w:rPr>
          <w:rFonts w:ascii="Times New Roman" w:eastAsia="Times New Roman" w:hAnsi="Times New Roman" w:cs="Times New Roman"/>
          <w:i/>
        </w:rPr>
        <w:t>,</w:t>
      </w:r>
      <w:r w:rsidRPr="009B0448">
        <w:rPr>
          <w:rFonts w:ascii="Times New Roman" w:eastAsia="Times New Roman" w:hAnsi="Times New Roman" w:cs="Times New Roman"/>
        </w:rPr>
        <w:t xml:space="preserve"> decentralised local scale investments by multinationals focus on area specific res</w:t>
      </w:r>
      <w:r w:rsidR="008A12D8" w:rsidRPr="009B0448">
        <w:rPr>
          <w:rFonts w:ascii="Times New Roman" w:eastAsia="Times New Roman" w:hAnsi="Times New Roman" w:cs="Times New Roman"/>
        </w:rPr>
        <w:t>ource extraction, such as large-</w:t>
      </w:r>
      <w:r w:rsidRPr="009B0448">
        <w:rPr>
          <w:rFonts w:ascii="Times New Roman" w:eastAsia="Times New Roman" w:hAnsi="Times New Roman" w:cs="Times New Roman"/>
        </w:rPr>
        <w:t>scale mining and commercial agriculture. Infrastructure</w:t>
      </w:r>
      <w:r w:rsidR="008A12D8" w:rsidRPr="009B0448">
        <w:rPr>
          <w:rFonts w:ascii="Times New Roman" w:eastAsia="Times New Roman" w:hAnsi="Times New Roman" w:cs="Times New Roman"/>
        </w:rPr>
        <w:t>,</w:t>
      </w:r>
      <w:r w:rsidRPr="009B0448">
        <w:rPr>
          <w:rFonts w:ascii="Times New Roman" w:eastAsia="Times New Roman" w:hAnsi="Times New Roman" w:cs="Times New Roman"/>
        </w:rPr>
        <w:t xml:space="preserve"> such as roads tha</w:t>
      </w:r>
      <w:r w:rsidR="008A12D8" w:rsidRPr="009B0448">
        <w:rPr>
          <w:rFonts w:ascii="Times New Roman" w:eastAsia="Times New Roman" w:hAnsi="Times New Roman" w:cs="Times New Roman"/>
        </w:rPr>
        <w:t>t are</w:t>
      </w:r>
      <w:r w:rsidRPr="009B0448">
        <w:rPr>
          <w:rFonts w:ascii="Times New Roman" w:eastAsia="Times New Roman" w:hAnsi="Times New Roman" w:cs="Times New Roman"/>
        </w:rPr>
        <w:t xml:space="preserve"> developed to facilitate access and extraction of goods and resources </w:t>
      </w:r>
      <w:r w:rsidR="008A12D8" w:rsidRPr="009B0448">
        <w:rPr>
          <w:rFonts w:ascii="Times New Roman" w:eastAsia="Times New Roman" w:hAnsi="Times New Roman" w:cs="Times New Roman"/>
        </w:rPr>
        <w:t>like</w:t>
      </w:r>
      <w:r w:rsidRPr="009B0448">
        <w:rPr>
          <w:rFonts w:ascii="Times New Roman" w:eastAsia="Times New Roman" w:hAnsi="Times New Roman" w:cs="Times New Roman"/>
        </w:rPr>
        <w:t xml:space="preserve"> minerals and food crops, leads to ecological degradation but also enhances the ability of people in these rural areas to access markets and basic facilities. Urban centres associated with investment (typically being port cities such as Dar es Salaam, or mining towns such as Solwezi in Zambia or Tete in Mozambique) in particular act as attractors and there is an increase in migration to these areas. Overall, under this archetype, landscape conversion and extraction takes precedence over sustained ecological function. A similar pattern is evident under the</w:t>
      </w:r>
      <w:r w:rsidRPr="00F87FF5">
        <w:rPr>
          <w:rFonts w:ascii="Times New Roman" w:eastAsia="Times New Roman" w:hAnsi="Times New Roman" w:cs="Times New Roman"/>
        </w:rPr>
        <w:t xml:space="preserve"> </w:t>
      </w:r>
      <w:r w:rsidRPr="009B0448">
        <w:rPr>
          <w:rFonts w:ascii="Times New Roman" w:eastAsia="Times New Roman" w:hAnsi="Times New Roman" w:cs="Times New Roman"/>
          <w:i/>
        </w:rPr>
        <w:t>Policy Reform</w:t>
      </w:r>
      <w:r w:rsidR="008A12D8" w:rsidRPr="009B0448">
        <w:rPr>
          <w:rFonts w:ascii="Times New Roman" w:eastAsia="Times New Roman" w:hAnsi="Times New Roman" w:cs="Times New Roman"/>
        </w:rPr>
        <w:t xml:space="preserve"> archetype. Export-</w:t>
      </w:r>
      <w:r w:rsidRPr="009B0448">
        <w:rPr>
          <w:rFonts w:ascii="Times New Roman" w:eastAsia="Times New Roman" w:hAnsi="Times New Roman" w:cs="Times New Roman"/>
        </w:rPr>
        <w:t>orientated economic growth underpinned by resource extraction results in trades-off of ecological integrity in favour of short</w:t>
      </w:r>
      <w:r w:rsidR="008A12D8" w:rsidRPr="009B0448">
        <w:rPr>
          <w:rFonts w:ascii="Times New Roman" w:eastAsia="Times New Roman" w:hAnsi="Times New Roman" w:cs="Times New Roman"/>
        </w:rPr>
        <w:t>-</w:t>
      </w:r>
      <w:r w:rsidRPr="009B0448">
        <w:rPr>
          <w:rFonts w:ascii="Times New Roman" w:eastAsia="Times New Roman" w:hAnsi="Times New Roman" w:cs="Times New Roman"/>
        </w:rPr>
        <w:t>term growth in resource areas rich, including both mineral resource extraction and agricult</w:t>
      </w:r>
      <w:r w:rsidR="0075110D" w:rsidRPr="009B0448">
        <w:rPr>
          <w:rFonts w:ascii="Times New Roman" w:eastAsia="Times New Roman" w:hAnsi="Times New Roman" w:cs="Times New Roman"/>
        </w:rPr>
        <w:t>ural production, such as export-</w:t>
      </w:r>
      <w:r w:rsidRPr="009B0448">
        <w:rPr>
          <w:rFonts w:ascii="Times New Roman" w:eastAsia="Times New Roman" w:hAnsi="Times New Roman" w:cs="Times New Roman"/>
        </w:rPr>
        <w:t>focused Cocoa production in Ghana and Côte d’Ivoire. The</w:t>
      </w:r>
      <w:r w:rsidRPr="009B0448">
        <w:rPr>
          <w:rFonts w:ascii="Times New Roman" w:eastAsia="Times New Roman" w:hAnsi="Times New Roman" w:cs="Times New Roman"/>
          <w:b/>
        </w:rPr>
        <w:t xml:space="preserve"> </w:t>
      </w:r>
      <w:r w:rsidRPr="009B0448">
        <w:rPr>
          <w:rFonts w:ascii="Times New Roman" w:eastAsia="Times New Roman" w:hAnsi="Times New Roman" w:cs="Times New Roman"/>
        </w:rPr>
        <w:t>negative consequences of these trade-offs can be mitigated to some degree by strong centralised governments that recognise the value of protected areas and ensure their continued existence and proclamation of additional protected areas wh</w:t>
      </w:r>
      <w:r w:rsidR="0075110D" w:rsidRPr="009B0448">
        <w:rPr>
          <w:rFonts w:ascii="Times New Roman" w:eastAsia="Times New Roman" w:hAnsi="Times New Roman" w:cs="Times New Roman"/>
        </w:rPr>
        <w:t>ere appropriate. However, broad-</w:t>
      </w:r>
      <w:r w:rsidRPr="009B0448">
        <w:rPr>
          <w:rFonts w:ascii="Times New Roman" w:eastAsia="Times New Roman" w:hAnsi="Times New Roman" w:cs="Times New Roman"/>
        </w:rPr>
        <w:t>scale ecological functioning beyond or outside of protected areas is</w:t>
      </w:r>
      <w:r w:rsidR="0075110D" w:rsidRPr="009B0448">
        <w:rPr>
          <w:rFonts w:ascii="Times New Roman" w:eastAsia="Times New Roman" w:hAnsi="Times New Roman" w:cs="Times New Roman"/>
        </w:rPr>
        <w:t xml:space="preserve"> traded-off in favour of export-</w:t>
      </w:r>
      <w:r w:rsidRPr="009B0448">
        <w:rPr>
          <w:rFonts w:ascii="Times New Roman" w:eastAsia="Times New Roman" w:hAnsi="Times New Roman" w:cs="Times New Roman"/>
        </w:rPr>
        <w:t xml:space="preserve">orientated development. Furthermore, local level and subsistence needs are traded-off against economies of scale with regards to agricultural production. Under this archetype, smaller farmed land parcels typical of traditional subsistence agriculture, are merged into larger farmed units, resulting in landscape homogenisation, loss of ecosystem service diversity, and greater proportions of people purchasing rather than growing their food. </w:t>
      </w:r>
    </w:p>
    <w:p w14:paraId="723F31F0" w14:textId="77777777" w:rsidR="001C3581" w:rsidRPr="009B0448" w:rsidRDefault="001C3581" w:rsidP="001C3581">
      <w:pPr>
        <w:spacing w:line="276" w:lineRule="auto"/>
        <w:jc w:val="both"/>
        <w:rPr>
          <w:rFonts w:ascii="Times New Roman" w:eastAsia="Times New Roman" w:hAnsi="Times New Roman" w:cs="Times New Roman"/>
        </w:rPr>
      </w:pPr>
    </w:p>
    <w:p w14:paraId="72C493B6" w14:textId="1DEC8119" w:rsidR="00991066" w:rsidRPr="009B0448" w:rsidRDefault="00991066" w:rsidP="001C358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w:t>
      </w:r>
      <w:r w:rsidRPr="009B0448">
        <w:rPr>
          <w:rFonts w:ascii="Times New Roman" w:eastAsia="Times New Roman" w:hAnsi="Times New Roman" w:cs="Times New Roman"/>
          <w:i/>
        </w:rPr>
        <w:t xml:space="preserve">Fortress World </w:t>
      </w:r>
      <w:r w:rsidRPr="009B0448">
        <w:rPr>
          <w:rFonts w:ascii="Times New Roman" w:eastAsia="Times New Roman" w:hAnsi="Times New Roman" w:cs="Times New Roman"/>
        </w:rPr>
        <w:t xml:space="preserve">archetype describes a fragmented, </w:t>
      </w:r>
      <w:r w:rsidR="00756658" w:rsidRPr="009B0448">
        <w:rPr>
          <w:rFonts w:ascii="Times New Roman" w:eastAsia="Times New Roman" w:hAnsi="Times New Roman" w:cs="Times New Roman"/>
        </w:rPr>
        <w:t>self-reliant</w:t>
      </w:r>
      <w:r w:rsidRPr="009B0448">
        <w:rPr>
          <w:rFonts w:ascii="Times New Roman" w:eastAsia="Times New Roman" w:hAnsi="Times New Roman" w:cs="Times New Roman"/>
        </w:rPr>
        <w:t xml:space="preserve"> future that is likely to result in </w:t>
      </w:r>
      <w:r w:rsidR="0075110D" w:rsidRPr="009B0448">
        <w:rPr>
          <w:rFonts w:ascii="Times New Roman" w:eastAsia="Times New Roman" w:hAnsi="Times New Roman" w:cs="Times New Roman"/>
        </w:rPr>
        <w:t xml:space="preserve">the </w:t>
      </w:r>
      <w:r w:rsidRPr="009B0448">
        <w:rPr>
          <w:rFonts w:ascii="Times New Roman" w:eastAsia="Times New Roman" w:hAnsi="Times New Roman" w:cs="Times New Roman"/>
        </w:rPr>
        <w:t>extensive transformation of local habitats for agricultural production, and the intensive use of ecosystems for resource extraction. Under this archetype, ecological, social and economic sustainability is traded off against national or local sovereignty. The failure to prioritise the development of sectors that hold local or national strategic advantage is likely to drive further ecosystem degradation and biodiversity loss</w:t>
      </w:r>
      <w:r w:rsidR="0062276F" w:rsidRPr="009B0448">
        <w:rPr>
          <w:rFonts w:ascii="Times New Roman" w:eastAsia="Times New Roman" w:hAnsi="Times New Roman" w:cs="Times New Roman"/>
        </w:rPr>
        <w:t>.</w:t>
      </w:r>
      <w:r w:rsidRPr="009B0448">
        <w:rPr>
          <w:rFonts w:ascii="Times New Roman" w:eastAsia="Times New Roman" w:hAnsi="Times New Roman" w:cs="Times New Roman"/>
          <w:b/>
        </w:rPr>
        <w:t xml:space="preserve"> </w:t>
      </w:r>
      <w:r w:rsidRPr="009B0448">
        <w:rPr>
          <w:rFonts w:ascii="Times New Roman" w:eastAsia="Times New Roman" w:hAnsi="Times New Roman" w:cs="Times New Roman"/>
        </w:rPr>
        <w:t xml:space="preserve">Under the </w:t>
      </w:r>
      <w:r w:rsidRPr="009B0448">
        <w:rPr>
          <w:rFonts w:ascii="Times New Roman" w:eastAsia="Times New Roman" w:hAnsi="Times New Roman" w:cs="Times New Roman"/>
          <w:i/>
        </w:rPr>
        <w:t xml:space="preserve">Regional Sustainability </w:t>
      </w:r>
      <w:r w:rsidRPr="009B0448">
        <w:rPr>
          <w:rFonts w:ascii="Times New Roman" w:eastAsia="Times New Roman" w:hAnsi="Times New Roman" w:cs="Times New Roman"/>
        </w:rPr>
        <w:t>archetype,</w:t>
      </w:r>
      <w:r w:rsidRPr="009B0448">
        <w:rPr>
          <w:rFonts w:ascii="Times New Roman" w:eastAsia="Times New Roman" w:hAnsi="Times New Roman" w:cs="Times New Roman"/>
          <w:i/>
        </w:rPr>
        <w:t xml:space="preserve"> </w:t>
      </w:r>
      <w:r w:rsidR="0075110D" w:rsidRPr="009B0448">
        <w:rPr>
          <w:rFonts w:ascii="Times New Roman" w:eastAsia="Times New Roman" w:hAnsi="Times New Roman" w:cs="Times New Roman"/>
        </w:rPr>
        <w:t>large-</w:t>
      </w:r>
      <w:r w:rsidRPr="009B0448">
        <w:rPr>
          <w:rFonts w:ascii="Times New Roman" w:eastAsia="Times New Roman" w:hAnsi="Times New Roman" w:cs="Times New Roman"/>
        </w:rPr>
        <w:t>scale investments in infrastructure development</w:t>
      </w:r>
      <w:r w:rsidR="0075110D" w:rsidRPr="009B0448">
        <w:rPr>
          <w:rFonts w:ascii="Times New Roman" w:eastAsia="Times New Roman" w:hAnsi="Times New Roman" w:cs="Times New Roman"/>
        </w:rPr>
        <w:t>s (e.g.</w:t>
      </w:r>
      <w:r w:rsidR="00E24BC5">
        <w:rPr>
          <w:rFonts w:ascii="Times New Roman" w:eastAsia="Times New Roman" w:hAnsi="Times New Roman" w:cs="Times New Roman"/>
        </w:rPr>
        <w:t>,</w:t>
      </w:r>
      <w:r w:rsidR="0075110D" w:rsidRPr="009B0448">
        <w:rPr>
          <w:rFonts w:ascii="Times New Roman" w:eastAsia="Times New Roman" w:hAnsi="Times New Roman" w:cs="Times New Roman"/>
        </w:rPr>
        <w:t xml:space="preserve"> roads and ports), large-</w:t>
      </w:r>
      <w:r w:rsidRPr="009B0448">
        <w:rPr>
          <w:rFonts w:ascii="Times New Roman" w:eastAsia="Times New Roman" w:hAnsi="Times New Roman" w:cs="Times New Roman"/>
        </w:rPr>
        <w:t>scale agricultural expansion and agricultural development policies, and natural resource extraction (e.</w:t>
      </w:r>
      <w:r w:rsidR="0075110D" w:rsidRPr="009B0448">
        <w:rPr>
          <w:rFonts w:ascii="Times New Roman" w:eastAsia="Times New Roman" w:hAnsi="Times New Roman" w:cs="Times New Roman"/>
        </w:rPr>
        <w:t>g.</w:t>
      </w:r>
      <w:r w:rsidR="00E24BC5">
        <w:rPr>
          <w:rFonts w:ascii="Times New Roman" w:eastAsia="Times New Roman" w:hAnsi="Times New Roman" w:cs="Times New Roman"/>
        </w:rPr>
        <w:t>,</w:t>
      </w:r>
      <w:r w:rsidR="0075110D" w:rsidRPr="009B0448">
        <w:rPr>
          <w:rFonts w:ascii="Times New Roman" w:eastAsia="Times New Roman" w:hAnsi="Times New Roman" w:cs="Times New Roman"/>
        </w:rPr>
        <w:t xml:space="preserve"> large-</w:t>
      </w:r>
      <w:r w:rsidRPr="009B0448">
        <w:rPr>
          <w:rFonts w:ascii="Times New Roman" w:eastAsia="Times New Roman" w:hAnsi="Times New Roman" w:cs="Times New Roman"/>
        </w:rPr>
        <w:t xml:space="preserve">scale fisheries), all result in </w:t>
      </w:r>
      <w:r w:rsidR="00756658" w:rsidRPr="009B0448">
        <w:rPr>
          <w:rFonts w:ascii="Times New Roman" w:eastAsia="Times New Roman" w:hAnsi="Times New Roman" w:cs="Times New Roman"/>
        </w:rPr>
        <w:t>trade-offs</w:t>
      </w:r>
      <w:r w:rsidRPr="009B0448">
        <w:rPr>
          <w:rFonts w:ascii="Times New Roman" w:eastAsia="Times New Roman" w:hAnsi="Times New Roman" w:cs="Times New Roman"/>
        </w:rPr>
        <w:t xml:space="preserve"> of development over conservation. Infrastructure developments facilitate the exploitation of ecosystems, which erode ecosystem services derived from natural ecosystems. Furthermore, national level development objectives such as sector and industry development (e.g.</w:t>
      </w:r>
      <w:r w:rsidR="00E24BC5">
        <w:rPr>
          <w:rFonts w:ascii="Times New Roman" w:eastAsia="Times New Roman" w:hAnsi="Times New Roman" w:cs="Times New Roman"/>
        </w:rPr>
        <w:t>,</w:t>
      </w:r>
      <w:r w:rsidRPr="009B0448">
        <w:rPr>
          <w:rFonts w:ascii="Times New Roman" w:eastAsia="Times New Roman" w:hAnsi="Times New Roman" w:cs="Times New Roman"/>
        </w:rPr>
        <w:t xml:space="preserve"> fisheries such as Tuna in the western Indian </w:t>
      </w:r>
      <w:r w:rsidR="00756658" w:rsidRPr="009B0448">
        <w:rPr>
          <w:rFonts w:ascii="Times New Roman" w:eastAsia="Times New Roman" w:hAnsi="Times New Roman" w:cs="Times New Roman"/>
        </w:rPr>
        <w:t>Ocean</w:t>
      </w:r>
      <w:r w:rsidRPr="009B0448">
        <w:rPr>
          <w:rFonts w:ascii="Times New Roman" w:eastAsia="Times New Roman" w:hAnsi="Times New Roman" w:cs="Times New Roman"/>
        </w:rPr>
        <w:t>) are prioritised over local level community development, resulting in certain communities remaining or becoming increasingly marginalised. The</w:t>
      </w:r>
      <w:r w:rsidRPr="009B0448">
        <w:rPr>
          <w:rFonts w:ascii="Times New Roman" w:eastAsia="Times New Roman" w:hAnsi="Times New Roman" w:cs="Times New Roman"/>
          <w:i/>
        </w:rPr>
        <w:t xml:space="preserve"> Local Sustainability </w:t>
      </w:r>
      <w:r w:rsidRPr="009B0448">
        <w:rPr>
          <w:rFonts w:ascii="Times New Roman" w:eastAsia="Times New Roman" w:hAnsi="Times New Roman" w:cs="Times New Roman"/>
        </w:rPr>
        <w:t>archetype is characterised by emergent and unplanned</w:t>
      </w:r>
      <w:r w:rsidR="0075110D" w:rsidRPr="009B0448">
        <w:rPr>
          <w:rFonts w:ascii="Times New Roman" w:eastAsia="Times New Roman" w:hAnsi="Times New Roman" w:cs="Times New Roman"/>
        </w:rPr>
        <w:t xml:space="preserve"> local level development. Short-</w:t>
      </w:r>
      <w:r w:rsidRPr="009B0448">
        <w:rPr>
          <w:rFonts w:ascii="Times New Roman" w:eastAsia="Times New Roman" w:hAnsi="Times New Roman" w:cs="Times New Roman"/>
        </w:rPr>
        <w:t>term basic needs relating to resource use and harvesting (such as timber extraction in the DRC fore</w:t>
      </w:r>
      <w:r w:rsidR="0075110D" w:rsidRPr="009B0448">
        <w:rPr>
          <w:rFonts w:ascii="Times New Roman" w:eastAsia="Times New Roman" w:hAnsi="Times New Roman" w:cs="Times New Roman"/>
        </w:rPr>
        <w:t>sts) are met in favour of long-</w:t>
      </w:r>
      <w:r w:rsidRPr="009B0448">
        <w:rPr>
          <w:rFonts w:ascii="Times New Roman" w:eastAsia="Times New Roman" w:hAnsi="Times New Roman" w:cs="Times New Roman"/>
        </w:rPr>
        <w:t xml:space="preserve">term sustainable use of natural resources, particularly in areas where there is lack of effective local administration. </w:t>
      </w:r>
    </w:p>
    <w:p w14:paraId="07943679" w14:textId="77777777" w:rsidR="00F87FF5" w:rsidRPr="009B0448" w:rsidRDefault="00F87FF5" w:rsidP="00FA7185">
      <w:pPr>
        <w:pStyle w:val="111"/>
        <w:numPr>
          <w:ilvl w:val="2"/>
          <w:numId w:val="11"/>
        </w:numPr>
        <w:spacing w:before="240" w:after="240"/>
        <w:ind w:left="709" w:hanging="720"/>
        <w:rPr>
          <w:rFonts w:cs="Times New Roman"/>
          <w:i w:val="0"/>
          <w:sz w:val="22"/>
          <w:szCs w:val="22"/>
        </w:rPr>
      </w:pPr>
      <w:bookmarkStart w:id="457" w:name="_Toc519500037"/>
      <w:r w:rsidRPr="009B0448">
        <w:rPr>
          <w:rFonts w:cs="Times New Roman"/>
          <w:i w:val="0"/>
          <w:sz w:val="22"/>
          <w:szCs w:val="22"/>
        </w:rPr>
        <w:t>Tipping points</w:t>
      </w:r>
      <w:bookmarkEnd w:id="457"/>
    </w:p>
    <w:p w14:paraId="5BFA6FC3" w14:textId="77777777" w:rsidR="00F87FF5" w:rsidRPr="009B0448" w:rsidRDefault="00F87FF5" w:rsidP="00F87FF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 tipping point refers to a set of ecological or social conditions where further perturbation will cause the system to reorganise into a new state with different functional relationships between key system components. This is often accompanied by rapid change, and once a tipping point is crossed, it may be difficult or impossible to return the system to its former state (Biggs </w:t>
      </w:r>
      <w:r w:rsidRPr="009B0448">
        <w:rPr>
          <w:rFonts w:ascii="Times New Roman" w:eastAsia="Times New Roman" w:hAnsi="Times New Roman" w:cs="Times New Roman"/>
          <w:i/>
        </w:rPr>
        <w:t>et al.</w:t>
      </w:r>
      <w:r w:rsidRPr="009B0448">
        <w:rPr>
          <w:rFonts w:ascii="Times New Roman" w:eastAsia="Times New Roman" w:hAnsi="Times New Roman" w:cs="Times New Roman"/>
        </w:rPr>
        <w:t>, 2015b). In the context of scenarios, the bifurcation between two different scenario trajectories is often related to a tipping point or set of tipping points. A database of social and ecological tipping points that affect the provision of ecosystem services, including the drivers and impacts on human well-being, is contained in the Regime Shifts Database</w:t>
      </w:r>
      <w:r w:rsidRPr="009B0448">
        <w:rPr>
          <w:rFonts w:ascii="Times New Roman" w:eastAsia="Times New Roman" w:hAnsi="Times New Roman" w:cs="Times New Roman"/>
          <w:vertAlign w:val="superscript"/>
        </w:rPr>
        <w:footnoteReference w:id="8"/>
      </w:r>
      <w:r w:rsidRPr="009B0448">
        <w:rPr>
          <w:rFonts w:ascii="Times New Roman" w:eastAsia="Times New Roman" w:hAnsi="Times New Roman" w:cs="Times New Roman"/>
        </w:rPr>
        <w:t>.</w:t>
      </w:r>
    </w:p>
    <w:p w14:paraId="319E6156" w14:textId="77777777" w:rsidR="00F87FF5" w:rsidRPr="009B0448" w:rsidRDefault="00F87FF5" w:rsidP="00F87FF5">
      <w:pPr>
        <w:spacing w:line="276" w:lineRule="auto"/>
        <w:jc w:val="both"/>
        <w:rPr>
          <w:rFonts w:ascii="Times New Roman" w:eastAsia="Times New Roman" w:hAnsi="Times New Roman" w:cs="Times New Roman"/>
        </w:rPr>
      </w:pPr>
    </w:p>
    <w:p w14:paraId="2408DD63" w14:textId="77777777" w:rsidR="00F87FF5" w:rsidRPr="009B0448" w:rsidRDefault="00F87FF5" w:rsidP="00F87FF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In the</w:t>
      </w:r>
      <w:r w:rsidRPr="009B0448">
        <w:rPr>
          <w:rFonts w:ascii="Times New Roman" w:eastAsia="Times New Roman" w:hAnsi="Times New Roman" w:cs="Times New Roman"/>
          <w:b/>
          <w:i/>
        </w:rPr>
        <w:t xml:space="preserve"> </w:t>
      </w:r>
      <w:r w:rsidRPr="009B0448">
        <w:rPr>
          <w:rFonts w:ascii="Times New Roman" w:eastAsia="Times New Roman" w:hAnsi="Times New Roman" w:cs="Times New Roman"/>
          <w:i/>
        </w:rPr>
        <w:t xml:space="preserve">Market Forces </w:t>
      </w:r>
      <w:r w:rsidRPr="009B0448">
        <w:rPr>
          <w:rFonts w:ascii="Times New Roman" w:eastAsia="Times New Roman" w:hAnsi="Times New Roman" w:cs="Times New Roman"/>
        </w:rPr>
        <w:t xml:space="preserve">archetype, there are potential tipping points related to local resource degradation and emerging conflict between locals and multinational companies. The focus on commercial agriculture and industry drive increased production but affect water and air quality. Environmental quality thresholds and standards relating to human health may not be met. Biodiversity and conservation tipping points are likely to be breached where illegal harvesting and extraction of resources results in the fragmentation of protected areas, and large-scale declines in species populations. These effects are likely to in turn translate into ecosystem service loss and the breaching critical service provision tipping points. Under the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biodiversity and species tipping points are likely to be reached outside of protected areas, with local endemic species being most severely affected. Water quality standards in rural areas are also likely to be breached given the focus on commercial agriculture and mining focus and their high risk of affecting water supplies. </w:t>
      </w:r>
    </w:p>
    <w:p w14:paraId="0321DAD6" w14:textId="77777777" w:rsidR="00F87FF5" w:rsidRPr="009B0448" w:rsidRDefault="00F87FF5" w:rsidP="00F87FF5">
      <w:pPr>
        <w:spacing w:line="276" w:lineRule="auto"/>
        <w:jc w:val="both"/>
        <w:rPr>
          <w:rFonts w:ascii="Times New Roman" w:eastAsia="Times New Roman" w:hAnsi="Times New Roman" w:cs="Times New Roman"/>
        </w:rPr>
      </w:pPr>
    </w:p>
    <w:p w14:paraId="44D4FC3D" w14:textId="77777777" w:rsidR="00F87FF5" w:rsidRPr="009B0448" w:rsidRDefault="00F87FF5" w:rsidP="00F87FF5">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Agricultural expansion under the self-reliant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archetype drives habitat loss, soil erosion and water pollution. The intensive and expansive transformation of landscapes and use of ecosystems will undermine ecosystem services, where the provision of clean water, the quantity of water demand, and level of pollutants are all impacted to the extent that required human health standards are not met. The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archetype highlights potential tipping points relating to biodiversity loss, landscape degradation, and air and water quality. Under the </w:t>
      </w:r>
      <w:r w:rsidRPr="009B0448">
        <w:rPr>
          <w:rFonts w:ascii="Times New Roman" w:eastAsia="Times New Roman" w:hAnsi="Times New Roman" w:cs="Times New Roman"/>
          <w:i/>
        </w:rPr>
        <w:t xml:space="preserve">Local Sustainability </w:t>
      </w:r>
      <w:r w:rsidRPr="009B0448">
        <w:rPr>
          <w:rFonts w:ascii="Times New Roman" w:eastAsia="Times New Roman" w:hAnsi="Times New Roman" w:cs="Times New Roman"/>
        </w:rPr>
        <w:t>archetype, places with weak and ineffectual local level governance and management could result in broader scale ecological tipping points being exceeded where ecosystems operate over large scales, for example in the management of large river systems.</w:t>
      </w:r>
    </w:p>
    <w:p w14:paraId="27CD7F5C" w14:textId="77777777" w:rsidR="001C3581" w:rsidRPr="009B0448" w:rsidRDefault="001C3581" w:rsidP="001C3581">
      <w:pPr>
        <w:spacing w:line="276" w:lineRule="auto"/>
        <w:jc w:val="both"/>
        <w:rPr>
          <w:rFonts w:ascii="Times New Roman" w:eastAsia="Times New Roman" w:hAnsi="Times New Roman" w:cs="Times New Roman"/>
        </w:rPr>
      </w:pPr>
    </w:p>
    <w:p w14:paraId="105E0E5B" w14:textId="0411EE2F" w:rsidR="004605A3" w:rsidRPr="009B0448" w:rsidRDefault="004605A3" w:rsidP="001C358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noProof/>
          <w:lang w:eastAsia="en-GB"/>
        </w:rPr>
        <w:drawing>
          <wp:inline distT="0" distB="0" distL="0" distR="0" wp14:anchorId="0B0B513B" wp14:editId="1A533AED">
            <wp:extent cx="5722620" cy="8221428"/>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top\b5.8.JPG"/>
                    <pic:cNvPicPr>
                      <a:picLocks noChangeAspect="1" noChangeArrowheads="1"/>
                    </pic:cNvPicPr>
                  </pic:nvPicPr>
                  <pic:blipFill>
                    <a:blip r:embed="rId1592">
                      <a:extLst>
                        <a:ext uri="{28A0092B-C50C-407E-A947-70E740481C1C}">
                          <a14:useLocalDpi xmlns:a14="http://schemas.microsoft.com/office/drawing/2010/main" val="0"/>
                        </a:ext>
                      </a:extLst>
                    </a:blip>
                    <a:stretch>
                      <a:fillRect/>
                    </a:stretch>
                  </pic:blipFill>
                  <pic:spPr bwMode="auto">
                    <a:xfrm>
                      <a:off x="0" y="0"/>
                      <a:ext cx="5731720" cy="8234502"/>
                    </a:xfrm>
                    <a:prstGeom prst="rect">
                      <a:avLst/>
                    </a:prstGeom>
                    <a:noFill/>
                    <a:ln>
                      <a:noFill/>
                    </a:ln>
                  </pic:spPr>
                </pic:pic>
              </a:graphicData>
            </a:graphic>
          </wp:inline>
        </w:drawing>
      </w:r>
    </w:p>
    <w:p w14:paraId="2197DA3D" w14:textId="2C83AD01" w:rsidR="00C57A50" w:rsidRPr="009B0448" w:rsidRDefault="000B06FE" w:rsidP="00FA7185">
      <w:pPr>
        <w:pStyle w:val="111"/>
        <w:numPr>
          <w:ilvl w:val="2"/>
          <w:numId w:val="11"/>
        </w:numPr>
        <w:spacing w:before="240" w:after="240"/>
        <w:ind w:left="709" w:hanging="720"/>
        <w:rPr>
          <w:rFonts w:cs="Times New Roman"/>
          <w:i w:val="0"/>
          <w:sz w:val="22"/>
          <w:szCs w:val="22"/>
        </w:rPr>
      </w:pPr>
      <w:bookmarkStart w:id="458" w:name="_sqyw64" w:colFirst="0" w:colLast="0"/>
      <w:bookmarkStart w:id="459" w:name="_Toc519500038"/>
      <w:bookmarkEnd w:id="458"/>
      <w:r w:rsidRPr="009B0448">
        <w:rPr>
          <w:rFonts w:cs="Times New Roman"/>
          <w:i w:val="0"/>
          <w:sz w:val="22"/>
          <w:szCs w:val="22"/>
        </w:rPr>
        <w:t>Tele-coupl</w:t>
      </w:r>
      <w:r w:rsidR="00991066" w:rsidRPr="009B0448">
        <w:rPr>
          <w:rFonts w:cs="Times New Roman"/>
          <w:i w:val="0"/>
          <w:sz w:val="22"/>
          <w:szCs w:val="22"/>
        </w:rPr>
        <w:t>ing</w:t>
      </w:r>
      <w:bookmarkEnd w:id="459"/>
    </w:p>
    <w:p w14:paraId="0709CD91" w14:textId="0B60CDCD" w:rsidR="00B239D6" w:rsidRPr="009B0448" w:rsidRDefault="000B06FE" w:rsidP="001C358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Tele-coupl</w:t>
      </w:r>
      <w:r w:rsidR="00991066" w:rsidRPr="009B0448">
        <w:rPr>
          <w:rFonts w:ascii="Times New Roman" w:eastAsia="Times New Roman" w:hAnsi="Times New Roman" w:cs="Times New Roman"/>
        </w:rPr>
        <w:t xml:space="preserve">ing refers to socioeconomic and environmental interactions over distances. It involves distant exchanges of information, energy and matter (e.g., people, goods, products, capital) at multiple spatial, temporal and </w:t>
      </w:r>
      <w:r w:rsidR="00150166">
        <w:rPr>
          <w:rFonts w:ascii="Times New Roman" w:eastAsia="Times New Roman" w:hAnsi="Times New Roman" w:cs="Times New Roman"/>
        </w:rPr>
        <w:t>organis</w:t>
      </w:r>
      <w:r w:rsidR="00991066" w:rsidRPr="009B0448">
        <w:rPr>
          <w:rFonts w:ascii="Times New Roman" w:eastAsia="Times New Roman" w:hAnsi="Times New Roman" w:cs="Times New Roman"/>
        </w:rPr>
        <w:t xml:space="preserve">ational scales. </w:t>
      </w:r>
      <w:r w:rsidRPr="009B0448">
        <w:rPr>
          <w:rFonts w:ascii="Times New Roman" w:eastAsia="Times New Roman" w:hAnsi="Times New Roman" w:cs="Times New Roman"/>
        </w:rPr>
        <w:t>Tele-coupl</w:t>
      </w:r>
      <w:r w:rsidR="00991066" w:rsidRPr="009B0448">
        <w:rPr>
          <w:rFonts w:ascii="Times New Roman" w:eastAsia="Times New Roman" w:hAnsi="Times New Roman" w:cs="Times New Roman"/>
        </w:rPr>
        <w:t>ing can lead to unexpected impacts that stem from faraway drivers that were not anticipated to have an</w:t>
      </w:r>
      <w:r w:rsidR="002905CD" w:rsidRPr="009B0448">
        <w:rPr>
          <w:rFonts w:ascii="Times New Roman" w:eastAsia="Times New Roman" w:hAnsi="Times New Roman" w:cs="Times New Roman"/>
        </w:rPr>
        <w:t xml:space="preserve"> effect in a particular region.</w:t>
      </w:r>
    </w:p>
    <w:p w14:paraId="43BCB6EF" w14:textId="77777777" w:rsidR="001C3581" w:rsidRPr="009B0448" w:rsidRDefault="001C3581" w:rsidP="001C3581">
      <w:pPr>
        <w:spacing w:line="276" w:lineRule="auto"/>
        <w:jc w:val="both"/>
        <w:rPr>
          <w:rFonts w:ascii="Times New Roman" w:eastAsia="Times New Roman" w:hAnsi="Times New Roman" w:cs="Times New Roman"/>
        </w:rPr>
      </w:pPr>
    </w:p>
    <w:p w14:paraId="1E1FED99" w14:textId="0FDDFDB5" w:rsidR="00B239D6" w:rsidRPr="009B0448" w:rsidRDefault="00991066" w:rsidP="001C358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In the </w:t>
      </w:r>
      <w:r w:rsidRPr="009B0448">
        <w:rPr>
          <w:rFonts w:ascii="Times New Roman" w:eastAsia="Times New Roman" w:hAnsi="Times New Roman" w:cs="Times New Roman"/>
          <w:i/>
        </w:rPr>
        <w:t>Market Forces</w:t>
      </w:r>
      <w:r w:rsidRPr="009B0448">
        <w:rPr>
          <w:rFonts w:ascii="Times New Roman" w:eastAsia="Times New Roman" w:hAnsi="Times New Roman" w:cs="Times New Roman"/>
        </w:rPr>
        <w:t xml:space="preserve"> archetype, multinational corporations take advantage of Africa’s open door policy by enabling the flow of resources to overseas markets. These tele</w:t>
      </w:r>
      <w:r w:rsidR="0075110D" w:rsidRPr="009B0448">
        <w:rPr>
          <w:rFonts w:ascii="Times New Roman" w:eastAsia="Times New Roman" w:hAnsi="Times New Roman" w:cs="Times New Roman"/>
        </w:rPr>
        <w:t>-</w:t>
      </w:r>
      <w:r w:rsidRPr="009B0448">
        <w:rPr>
          <w:rFonts w:ascii="Times New Roman" w:eastAsia="Times New Roman" w:hAnsi="Times New Roman" w:cs="Times New Roman"/>
        </w:rPr>
        <w:t>coupled systems typically promote extraction from Africa for the benefit of overseas markets and investors. If places and countries with a lack of regulation or law enforcement (where illegal harvesting and poaching occur) this further exace</w:t>
      </w:r>
      <w:r w:rsidR="0075110D" w:rsidRPr="009B0448">
        <w:rPr>
          <w:rFonts w:ascii="Times New Roman" w:eastAsia="Times New Roman" w:hAnsi="Times New Roman" w:cs="Times New Roman"/>
        </w:rPr>
        <w:t>rbates the outflow of resources</w:t>
      </w:r>
      <w:r w:rsidRPr="009B0448">
        <w:rPr>
          <w:rFonts w:ascii="Times New Roman" w:eastAsia="Times New Roman" w:hAnsi="Times New Roman" w:cs="Times New Roman"/>
        </w:rPr>
        <w:t xml:space="preserve"> and can erode local level food security and development. The </w:t>
      </w:r>
      <w:r w:rsidRPr="009B0448">
        <w:rPr>
          <w:rFonts w:ascii="Times New Roman" w:eastAsia="Times New Roman" w:hAnsi="Times New Roman" w:cs="Times New Roman"/>
          <w:i/>
        </w:rPr>
        <w:t>Policy Reform</w:t>
      </w:r>
      <w:r w:rsidRPr="009B0448">
        <w:rPr>
          <w:rFonts w:ascii="Times New Roman" w:eastAsia="Times New Roman" w:hAnsi="Times New Roman" w:cs="Times New Roman"/>
        </w:rPr>
        <w:t xml:space="preserve"> archetype similarly has an exp</w:t>
      </w:r>
      <w:r w:rsidR="0075110D" w:rsidRPr="009B0448">
        <w:rPr>
          <w:rFonts w:ascii="Times New Roman" w:eastAsia="Times New Roman" w:hAnsi="Times New Roman" w:cs="Times New Roman"/>
        </w:rPr>
        <w:t>ort-</w:t>
      </w:r>
      <w:r w:rsidRPr="009B0448">
        <w:rPr>
          <w:rFonts w:ascii="Times New Roman" w:eastAsia="Times New Roman" w:hAnsi="Times New Roman" w:cs="Times New Roman"/>
        </w:rPr>
        <w:t>orientated development focus that is likely to result in the establishment of tele</w:t>
      </w:r>
      <w:r w:rsidR="0075110D" w:rsidRPr="009B0448">
        <w:rPr>
          <w:rFonts w:ascii="Times New Roman" w:eastAsia="Times New Roman" w:hAnsi="Times New Roman" w:cs="Times New Roman"/>
        </w:rPr>
        <w:t>-</w:t>
      </w:r>
      <w:r w:rsidRPr="009B0448">
        <w:rPr>
          <w:rFonts w:ascii="Times New Roman" w:eastAsia="Times New Roman" w:hAnsi="Times New Roman" w:cs="Times New Roman"/>
        </w:rPr>
        <w:t>couplings with overseas markets in favour of developing regional relationships. This focus is likely to favour the extraction of resources from Africa to the benefit of overseas markets and investors, and may ultimately undermine local level food security and ecosystem service provision. Land grabbing by foreign nations may occ</w:t>
      </w:r>
      <w:r w:rsidR="002905CD" w:rsidRPr="009B0448">
        <w:rPr>
          <w:rFonts w:ascii="Times New Roman" w:eastAsia="Times New Roman" w:hAnsi="Times New Roman" w:cs="Times New Roman"/>
        </w:rPr>
        <w:t>ur under both these archetypes.</w:t>
      </w:r>
    </w:p>
    <w:p w14:paraId="39C2D746" w14:textId="77777777" w:rsidR="001C3581" w:rsidRPr="009B0448" w:rsidRDefault="001C3581" w:rsidP="001C3581">
      <w:pPr>
        <w:spacing w:line="276" w:lineRule="auto"/>
        <w:jc w:val="both"/>
        <w:rPr>
          <w:rFonts w:ascii="Times New Roman" w:eastAsia="Times New Roman" w:hAnsi="Times New Roman" w:cs="Times New Roman"/>
        </w:rPr>
      </w:pPr>
    </w:p>
    <w:p w14:paraId="640FB097" w14:textId="46615C40" w:rsidR="00991066" w:rsidRPr="009B0448" w:rsidRDefault="00991066" w:rsidP="001C358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The </w:t>
      </w:r>
      <w:r w:rsidRPr="009B0448">
        <w:rPr>
          <w:rFonts w:ascii="Times New Roman" w:eastAsia="Times New Roman" w:hAnsi="Times New Roman" w:cs="Times New Roman"/>
          <w:i/>
        </w:rPr>
        <w:t>Regional Sustainability</w:t>
      </w:r>
      <w:r w:rsidRPr="009B0448">
        <w:rPr>
          <w:rFonts w:ascii="Times New Roman" w:eastAsia="Times New Roman" w:hAnsi="Times New Roman" w:cs="Times New Roman"/>
        </w:rPr>
        <w:t xml:space="preserve"> archetype is orientated towards the policy-facilitated movement of products and resources across borders and regions within Africa and increases regional connectivity. Whilst there are economic benefits, this archetype may result in regional ecological integrity being traded-off through species invasion, landscape degradation and increased pollution. Furthermore</w:t>
      </w:r>
      <w:r w:rsidR="0075110D" w:rsidRPr="009B0448">
        <w:rPr>
          <w:rFonts w:ascii="Times New Roman" w:eastAsia="Times New Roman" w:hAnsi="Times New Roman" w:cs="Times New Roman"/>
        </w:rPr>
        <w:t>,</w:t>
      </w:r>
      <w:r w:rsidRPr="009B0448">
        <w:rPr>
          <w:rFonts w:ascii="Times New Roman" w:eastAsia="Times New Roman" w:hAnsi="Times New Roman" w:cs="Times New Roman"/>
        </w:rPr>
        <w:t xml:space="preserve"> if regional food production and trade patterns become entrenched, people or nations within Africa who no longer grow their own food will become more exposed to food shortages, particularly given anticipated climate change effects. Due to their </w:t>
      </w:r>
      <w:r w:rsidR="00F13B9C" w:rsidRPr="009B0448">
        <w:rPr>
          <w:rFonts w:ascii="Times New Roman" w:eastAsia="Times New Roman" w:hAnsi="Times New Roman" w:cs="Times New Roman"/>
        </w:rPr>
        <w:t>localis</w:t>
      </w:r>
      <w:r w:rsidRPr="009B0448">
        <w:rPr>
          <w:rFonts w:ascii="Times New Roman" w:eastAsia="Times New Roman" w:hAnsi="Times New Roman" w:cs="Times New Roman"/>
        </w:rPr>
        <w:t xml:space="preserve">ed nature, the </w:t>
      </w:r>
      <w:r w:rsidRPr="009B0448">
        <w:rPr>
          <w:rFonts w:ascii="Times New Roman" w:eastAsia="Times New Roman" w:hAnsi="Times New Roman" w:cs="Times New Roman"/>
          <w:i/>
        </w:rPr>
        <w:t>Fortress World</w:t>
      </w:r>
      <w:r w:rsidRPr="009B0448">
        <w:rPr>
          <w:rFonts w:ascii="Times New Roman" w:eastAsia="Times New Roman" w:hAnsi="Times New Roman" w:cs="Times New Roman"/>
        </w:rPr>
        <w:t xml:space="preserve">, and </w:t>
      </w:r>
      <w:r w:rsidRPr="009B0448">
        <w:rPr>
          <w:rFonts w:ascii="Times New Roman" w:eastAsia="Times New Roman" w:hAnsi="Times New Roman" w:cs="Times New Roman"/>
          <w:i/>
        </w:rPr>
        <w:t>Local Sustainability</w:t>
      </w:r>
      <w:r w:rsidRPr="009B0448">
        <w:rPr>
          <w:rFonts w:ascii="Times New Roman" w:eastAsia="Times New Roman" w:hAnsi="Times New Roman" w:cs="Times New Roman"/>
        </w:rPr>
        <w:t xml:space="preserve"> archetypes are </w:t>
      </w:r>
      <w:r w:rsidR="00264EBF" w:rsidRPr="009B0448">
        <w:rPr>
          <w:rFonts w:ascii="Times New Roman" w:eastAsia="Times New Roman" w:hAnsi="Times New Roman" w:cs="Times New Roman"/>
        </w:rPr>
        <w:t>characteris</w:t>
      </w:r>
      <w:r w:rsidRPr="009B0448">
        <w:rPr>
          <w:rFonts w:ascii="Times New Roman" w:eastAsia="Times New Roman" w:hAnsi="Times New Roman" w:cs="Times New Roman"/>
        </w:rPr>
        <w:t>ed by much weaker global and regional socioeconomic tele</w:t>
      </w:r>
      <w:r w:rsidR="0075110D" w:rsidRPr="009B0448">
        <w:rPr>
          <w:rFonts w:ascii="Times New Roman" w:eastAsia="Times New Roman" w:hAnsi="Times New Roman" w:cs="Times New Roman"/>
        </w:rPr>
        <w:t>-</w:t>
      </w:r>
      <w:r w:rsidRPr="009B0448">
        <w:rPr>
          <w:rFonts w:ascii="Times New Roman" w:eastAsia="Times New Roman" w:hAnsi="Times New Roman" w:cs="Times New Roman"/>
        </w:rPr>
        <w:t>couplings.</w:t>
      </w:r>
    </w:p>
    <w:p w14:paraId="48F6842B" w14:textId="489392A2" w:rsidR="00991066" w:rsidRPr="009B0448" w:rsidRDefault="001C3581" w:rsidP="00FA7185">
      <w:pPr>
        <w:pStyle w:val="Heading3"/>
        <w:widowControl w:val="0"/>
        <w:numPr>
          <w:ilvl w:val="1"/>
          <w:numId w:val="11"/>
        </w:numPr>
        <w:spacing w:before="240" w:after="240"/>
        <w:ind w:left="709" w:hanging="720"/>
        <w:rPr>
          <w:rFonts w:eastAsia="Calibri" w:cs="Times New Roman"/>
          <w:szCs w:val="24"/>
        </w:rPr>
      </w:pPr>
      <w:bookmarkStart w:id="460" w:name="_1rvwp1q" w:colFirst="0" w:colLast="0"/>
      <w:bookmarkStart w:id="461" w:name="_Toc519500039"/>
      <w:bookmarkEnd w:id="460"/>
      <w:r w:rsidRPr="009B0448">
        <w:rPr>
          <w:rFonts w:eastAsia="Calibri" w:cs="Times New Roman"/>
          <w:szCs w:val="24"/>
        </w:rPr>
        <w:t>Conclusion</w:t>
      </w:r>
      <w:bookmarkEnd w:id="461"/>
    </w:p>
    <w:p w14:paraId="16665F76" w14:textId="34006699" w:rsidR="00991066" w:rsidRPr="009B0448" w:rsidRDefault="00991066" w:rsidP="001C358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This chapter provides an assessment of how interactions between nature and society could shape different possible future trajectories of change across Africa in the coming decades. The assessment was achieved through a systematic review of published literature that reports on the future of biodiversity and NCP across Africa (section 5.2), and addresses the possible future trajectories of key drivers of change (section 5.4), the conseq</w:t>
      </w:r>
      <w:r w:rsidR="0037056E" w:rsidRPr="009B0448">
        <w:rPr>
          <w:rFonts w:ascii="Times New Roman" w:eastAsia="Times New Roman" w:hAnsi="Times New Roman" w:cs="Times New Roman"/>
        </w:rPr>
        <w:t>uences for biodiversity and NCP</w:t>
      </w:r>
      <w:r w:rsidRPr="009B0448">
        <w:rPr>
          <w:rFonts w:ascii="Times New Roman" w:eastAsia="Times New Roman" w:hAnsi="Times New Roman" w:cs="Times New Roman"/>
        </w:rPr>
        <w:t xml:space="preserve"> (section 5.5), as well as implications for human well-being (section 5.6) and policy options (section 5.7). The assessment is structured around a set of archetypes (outlined in section 5.3) that provide a summary of five major alternative futures for the African continent, based on how multiple, interconnected drivers are likely to co-evolve over the coming decades. These different sets of drivers are likely to trigger vary</w:t>
      </w:r>
      <w:r w:rsidR="0037056E" w:rsidRPr="009B0448">
        <w:rPr>
          <w:rFonts w:ascii="Times New Roman" w:eastAsia="Times New Roman" w:hAnsi="Times New Roman" w:cs="Times New Roman"/>
        </w:rPr>
        <w:t>ing impacts on biodiversity, NCP</w:t>
      </w:r>
      <w:r w:rsidRPr="009B0448">
        <w:rPr>
          <w:rFonts w:ascii="Times New Roman" w:eastAsia="Times New Roman" w:hAnsi="Times New Roman" w:cs="Times New Roman"/>
        </w:rPr>
        <w:t xml:space="preserve"> and human well-being, and different policy measures will be possible and necessary to respond to the challenges raised under each scenario (</w:t>
      </w:r>
      <w:r w:rsidR="000B06FE" w:rsidRPr="009B0448">
        <w:rPr>
          <w:rFonts w:ascii="Times New Roman" w:eastAsia="Times New Roman" w:hAnsi="Times New Roman" w:cs="Times New Roman"/>
        </w:rPr>
        <w:t>summarise</w:t>
      </w:r>
      <w:r w:rsidRPr="009B0448">
        <w:rPr>
          <w:rFonts w:ascii="Times New Roman" w:eastAsia="Times New Roman" w:hAnsi="Times New Roman" w:cs="Times New Roman"/>
        </w:rPr>
        <w:t>d in Table 5.6). The assessment specifically highlights which priority issues in Afr</w:t>
      </w:r>
      <w:r w:rsidR="0075110D" w:rsidRPr="009B0448">
        <w:rPr>
          <w:rFonts w:ascii="Times New Roman" w:eastAsia="Times New Roman" w:hAnsi="Times New Roman" w:cs="Times New Roman"/>
        </w:rPr>
        <w:t xml:space="preserve">ica are likely to be addressed </w:t>
      </w:r>
      <w:r w:rsidRPr="009B0448">
        <w:rPr>
          <w:rFonts w:ascii="Times New Roman" w:eastAsia="Times New Roman" w:hAnsi="Times New Roman" w:cs="Times New Roman"/>
        </w:rPr>
        <w:t>under each of the scenario archetypes, in terms of three key sets of sustainability and development targets: the 2020 Aichi Biodiversity Targets, 2030 SDGs, and the AU</w:t>
      </w:r>
      <w:r w:rsidR="002905CD" w:rsidRPr="009B0448">
        <w:rPr>
          <w:rFonts w:ascii="Times New Roman" w:eastAsia="Times New Roman" w:hAnsi="Times New Roman" w:cs="Times New Roman"/>
        </w:rPr>
        <w:t xml:space="preserve"> Agenda 2063 (Table 5.7).</w:t>
      </w:r>
    </w:p>
    <w:p w14:paraId="6CEE6F90" w14:textId="77777777" w:rsidR="00117770" w:rsidRPr="009B0448" w:rsidRDefault="00117770" w:rsidP="001C3581">
      <w:pPr>
        <w:spacing w:line="276" w:lineRule="auto"/>
        <w:jc w:val="both"/>
        <w:rPr>
          <w:rFonts w:ascii="Times New Roman" w:eastAsia="Times New Roman" w:hAnsi="Times New Roman" w:cs="Times New Roman"/>
        </w:rPr>
      </w:pPr>
    </w:p>
    <w:p w14:paraId="4A8F5E34" w14:textId="24A8930D" w:rsidR="008D7F78" w:rsidRPr="009B0448" w:rsidRDefault="00991066" w:rsidP="001C358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The scenarios presented in this chapter do not aim to identify or endorse a specific desired future, but rather to provide guidance about what plausible futures may unfold in Africa, including their associated trade-offs, potential tipping points and tele</w:t>
      </w:r>
      <w:r w:rsidR="0075110D" w:rsidRPr="009B0448">
        <w:rPr>
          <w:rFonts w:ascii="Times New Roman" w:eastAsia="Times New Roman" w:hAnsi="Times New Roman" w:cs="Times New Roman"/>
        </w:rPr>
        <w:t>-</w:t>
      </w:r>
      <w:r w:rsidRPr="009B0448">
        <w:rPr>
          <w:rFonts w:ascii="Times New Roman" w:eastAsia="Times New Roman" w:hAnsi="Times New Roman" w:cs="Times New Roman"/>
        </w:rPr>
        <w:t>couplings with the rest of the world (section 5.8). Given the complexity and multiple dimensions of nature’s interactions with society, this chapter highlights the need to co-design and co-develop best practices that respond to policy needs, while ensuring that these are appropriate to different social contexts. The scenario archetypes are not predictions of the future, but aim to illustrate a range of possible futures for the continent, and the complex interactions between current environmental and developmental conditions, existing driving forces, and potential policy interventions. Considering how uncertain the future is, the actual future that unfolds in Africa is likely to contain elements of multiple archetypes, as well as some completely new and unexpected features. However, considering a desired future for Africa through the lens of scenarios can enable decision-makers to formulate better decisions about what policy instruments to employ in order to work towards a more desired future, and to understand the potential long-term trade-offs</w:t>
      </w:r>
      <w:r w:rsidR="002905CD" w:rsidRPr="009B0448">
        <w:rPr>
          <w:rFonts w:ascii="Times New Roman" w:eastAsia="Times New Roman" w:hAnsi="Times New Roman" w:cs="Times New Roman"/>
        </w:rPr>
        <w:t xml:space="preserve"> that different choices entail.</w:t>
      </w:r>
    </w:p>
    <w:p w14:paraId="72421A0E" w14:textId="77777777" w:rsidR="00117770" w:rsidRPr="009B0448" w:rsidRDefault="00117770" w:rsidP="001C3581">
      <w:pPr>
        <w:spacing w:line="276" w:lineRule="auto"/>
        <w:jc w:val="both"/>
        <w:rPr>
          <w:rFonts w:ascii="Times New Roman" w:eastAsia="Times New Roman" w:hAnsi="Times New Roman" w:cs="Times New Roman"/>
        </w:rPr>
      </w:pPr>
    </w:p>
    <w:p w14:paraId="034D117B" w14:textId="2C36846D" w:rsidR="00991066" w:rsidRPr="009B0448" w:rsidRDefault="00991066" w:rsidP="001C358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Overall, our assessment highlights that Africa is likely to become increasingly interconnected with the rest of the world through global markets and trade. Major drivers related to population, </w:t>
      </w:r>
      <w:r w:rsidR="00574E50" w:rsidRPr="009B0448">
        <w:rPr>
          <w:rFonts w:ascii="Times New Roman" w:eastAsia="Times New Roman" w:hAnsi="Times New Roman" w:cs="Times New Roman"/>
        </w:rPr>
        <w:t>urbanis</w:t>
      </w:r>
      <w:r w:rsidRPr="009B0448">
        <w:rPr>
          <w:rFonts w:ascii="Times New Roman" w:eastAsia="Times New Roman" w:hAnsi="Times New Roman" w:cs="Times New Roman"/>
        </w:rPr>
        <w:t>ation, consumption and natural resource use are expected increase under most scenarios, leading to reduced species richness, aquatic functioning, NCP, and increasing trade-offs</w:t>
      </w:r>
      <w:r w:rsidR="0075110D" w:rsidRPr="009B0448">
        <w:rPr>
          <w:rFonts w:ascii="Times New Roman" w:eastAsia="Times New Roman" w:hAnsi="Times New Roman" w:cs="Times New Roman"/>
        </w:rPr>
        <w:t>,</w:t>
      </w:r>
      <w:r w:rsidRPr="009B0448">
        <w:rPr>
          <w:rFonts w:ascii="Times New Roman" w:eastAsia="Times New Roman" w:hAnsi="Times New Roman" w:cs="Times New Roman"/>
        </w:rPr>
        <w:t xml:space="preserve"> especially in the water-food-energy nexus. Despite these challenges, overall improvements in human well-being are expected under most scenarios, but these improvements typically come at the expense of the environment (Table 5.6). Consequently, various targets aimed at facilitating transformative changes that achieve both human well</w:t>
      </w:r>
      <w:r w:rsidR="0075110D" w:rsidRPr="009B0448">
        <w:rPr>
          <w:rFonts w:ascii="Times New Roman" w:eastAsia="Times New Roman" w:hAnsi="Times New Roman" w:cs="Times New Roman"/>
        </w:rPr>
        <w:t>-</w:t>
      </w:r>
      <w:r w:rsidRPr="009B0448">
        <w:rPr>
          <w:rFonts w:ascii="Times New Roman" w:eastAsia="Times New Roman" w:hAnsi="Times New Roman" w:cs="Times New Roman"/>
        </w:rPr>
        <w:t xml:space="preserve">being and environmental sustainability outcomes have been adopted in Africa and globally (2020 Aichi </w:t>
      </w:r>
      <w:r w:rsidR="00C57A50" w:rsidRPr="009B0448">
        <w:rPr>
          <w:rFonts w:ascii="Times New Roman" w:eastAsia="Times New Roman" w:hAnsi="Times New Roman" w:cs="Times New Roman"/>
        </w:rPr>
        <w:t xml:space="preserve">Biodiversity </w:t>
      </w:r>
      <w:r w:rsidRPr="009B0448">
        <w:rPr>
          <w:rFonts w:ascii="Times New Roman" w:eastAsia="Times New Roman" w:hAnsi="Times New Roman" w:cs="Times New Roman"/>
        </w:rPr>
        <w:t>Targets, 2030 SDGs and AU Agenda 2063).</w:t>
      </w:r>
    </w:p>
    <w:p w14:paraId="0E04DCD8" w14:textId="77777777" w:rsidR="001C3581" w:rsidRPr="009B0448" w:rsidRDefault="001C3581" w:rsidP="001C3581">
      <w:pPr>
        <w:spacing w:line="276" w:lineRule="auto"/>
        <w:jc w:val="both"/>
        <w:rPr>
          <w:rFonts w:ascii="Times New Roman" w:eastAsia="Times New Roman" w:hAnsi="Times New Roman" w:cs="Times New Roman"/>
        </w:rPr>
      </w:pPr>
    </w:p>
    <w:p w14:paraId="0F1C9DAE" w14:textId="290C646D" w:rsidR="002905CD" w:rsidRDefault="00991066" w:rsidP="001C3581">
      <w:pPr>
        <w:spacing w:line="276" w:lineRule="auto"/>
        <w:jc w:val="both"/>
        <w:rPr>
          <w:rFonts w:ascii="Times New Roman" w:eastAsia="Times New Roman" w:hAnsi="Times New Roman" w:cs="Times New Roman"/>
        </w:rPr>
      </w:pPr>
      <w:r w:rsidRPr="009B0448">
        <w:rPr>
          <w:rFonts w:ascii="Times New Roman" w:eastAsia="Times New Roman" w:hAnsi="Times New Roman" w:cs="Times New Roman"/>
        </w:rPr>
        <w:t xml:space="preserve">This chapter highlights clear gaps in the type and distribution of African scenario studies, with some </w:t>
      </w:r>
      <w:r w:rsidR="00B22D81">
        <w:rPr>
          <w:rFonts w:ascii="Times New Roman" w:eastAsia="Times New Roman" w:hAnsi="Times New Roman" w:cs="Times New Roman"/>
        </w:rPr>
        <w:t>subregion</w:t>
      </w:r>
      <w:r w:rsidRPr="009B0448">
        <w:rPr>
          <w:rFonts w:ascii="Times New Roman" w:eastAsia="Times New Roman" w:hAnsi="Times New Roman" w:cs="Times New Roman"/>
        </w:rPr>
        <w:t>s (central, north and west Africa), issues (non-climate-related) and perspectives (ILK), being particularly poorly covered. There is a major need for building the capacity of African researchers, policymakers and institutions to understand, carry out and use scenario analyses. In particular</w:t>
      </w:r>
      <w:r w:rsidR="0075110D" w:rsidRPr="009B0448">
        <w:rPr>
          <w:rFonts w:ascii="Times New Roman" w:eastAsia="Times New Roman" w:hAnsi="Times New Roman" w:cs="Times New Roman"/>
        </w:rPr>
        <w:t>,</w:t>
      </w:r>
      <w:r w:rsidRPr="009B0448">
        <w:rPr>
          <w:rFonts w:ascii="Times New Roman" w:eastAsia="Times New Roman" w:hAnsi="Times New Roman" w:cs="Times New Roman"/>
        </w:rPr>
        <w:t xml:space="preserve"> there is a need to broaden the focus of African scenario studies beyond modelling climate change impacts, and especially to better incorporate broad stakeholder participation and ILK into scenario processes. The potential for using scenarios to support decision-making in Africa, particularly around potential risks, opportunities and trade-offs of the different future pathways of change, will only be </w:t>
      </w:r>
      <w:r w:rsidR="00264EBF" w:rsidRPr="009B0448">
        <w:rPr>
          <w:rFonts w:ascii="Times New Roman" w:eastAsia="Times New Roman" w:hAnsi="Times New Roman" w:cs="Times New Roman"/>
        </w:rPr>
        <w:t>realis</w:t>
      </w:r>
      <w:r w:rsidRPr="009B0448">
        <w:rPr>
          <w:rFonts w:ascii="Times New Roman" w:eastAsia="Times New Roman" w:hAnsi="Times New Roman" w:cs="Times New Roman"/>
        </w:rPr>
        <w:t xml:space="preserve">ed if concerted efforts are taken to </w:t>
      </w:r>
      <w:r w:rsidR="00264EBF" w:rsidRPr="009B0448">
        <w:rPr>
          <w:rFonts w:ascii="Times New Roman" w:eastAsia="Times New Roman" w:hAnsi="Times New Roman" w:cs="Times New Roman"/>
        </w:rPr>
        <w:t>mobilis</w:t>
      </w:r>
      <w:r w:rsidRPr="009B0448">
        <w:rPr>
          <w:rFonts w:ascii="Times New Roman" w:eastAsia="Times New Roman" w:hAnsi="Times New Roman" w:cs="Times New Roman"/>
        </w:rPr>
        <w:t>e financial and other resources to build capacity for carrying ou</w:t>
      </w:r>
      <w:r w:rsidR="008D7F78" w:rsidRPr="009B0448">
        <w:rPr>
          <w:rFonts w:ascii="Times New Roman" w:eastAsia="Times New Roman" w:hAnsi="Times New Roman" w:cs="Times New Roman"/>
        </w:rPr>
        <w:t xml:space="preserve">t and using scenario analyses. </w:t>
      </w:r>
    </w:p>
    <w:p w14:paraId="5B758502" w14:textId="6E300BD0" w:rsidR="00DA6432" w:rsidRDefault="00DA6432" w:rsidP="001C3581">
      <w:pPr>
        <w:spacing w:line="276" w:lineRule="auto"/>
        <w:jc w:val="both"/>
        <w:rPr>
          <w:rFonts w:ascii="Times New Roman" w:eastAsia="Times New Roman" w:hAnsi="Times New Roman" w:cs="Times New Roman"/>
        </w:rPr>
      </w:pPr>
    </w:p>
    <w:p w14:paraId="4442158F" w14:textId="30D2D78F" w:rsidR="00DA6432" w:rsidRDefault="00DA6432" w:rsidP="001C3581">
      <w:pPr>
        <w:spacing w:line="276" w:lineRule="auto"/>
        <w:jc w:val="both"/>
        <w:rPr>
          <w:rFonts w:ascii="Times New Roman" w:eastAsia="Times New Roman" w:hAnsi="Times New Roman" w:cs="Times New Roman"/>
        </w:rPr>
      </w:pPr>
    </w:p>
    <w:p w14:paraId="23A45168" w14:textId="32B6FD04" w:rsidR="00DA6432" w:rsidRDefault="00DA6432" w:rsidP="001C3581">
      <w:pPr>
        <w:spacing w:line="276" w:lineRule="auto"/>
        <w:jc w:val="both"/>
        <w:rPr>
          <w:rFonts w:ascii="Times New Roman" w:eastAsia="Times New Roman" w:hAnsi="Times New Roman" w:cs="Times New Roman"/>
        </w:rPr>
      </w:pPr>
    </w:p>
    <w:p w14:paraId="3115589F" w14:textId="18D90B29" w:rsidR="00DA6432" w:rsidRDefault="00DA6432" w:rsidP="001C3581">
      <w:pPr>
        <w:spacing w:line="276" w:lineRule="auto"/>
        <w:jc w:val="both"/>
        <w:rPr>
          <w:rFonts w:ascii="Times New Roman" w:eastAsia="Times New Roman" w:hAnsi="Times New Roman" w:cs="Times New Roman"/>
        </w:rPr>
      </w:pPr>
    </w:p>
    <w:p w14:paraId="598DD56C" w14:textId="460E4EE8" w:rsidR="00DA6432" w:rsidRDefault="00DA6432" w:rsidP="001C3581">
      <w:pPr>
        <w:spacing w:line="276" w:lineRule="auto"/>
        <w:jc w:val="both"/>
        <w:rPr>
          <w:rFonts w:ascii="Times New Roman" w:eastAsia="Times New Roman" w:hAnsi="Times New Roman" w:cs="Times New Roman"/>
        </w:rPr>
      </w:pPr>
    </w:p>
    <w:p w14:paraId="2DF5FC70" w14:textId="40133FF4" w:rsidR="00DA6432" w:rsidRDefault="00DA6432" w:rsidP="001C3581">
      <w:pPr>
        <w:spacing w:line="276" w:lineRule="auto"/>
        <w:jc w:val="both"/>
        <w:rPr>
          <w:rFonts w:ascii="Times New Roman" w:eastAsia="Times New Roman" w:hAnsi="Times New Roman" w:cs="Times New Roman"/>
        </w:rPr>
      </w:pPr>
    </w:p>
    <w:p w14:paraId="3D8957BF" w14:textId="14543B99" w:rsidR="00DA6432" w:rsidRDefault="00DA6432" w:rsidP="001C3581">
      <w:pPr>
        <w:spacing w:line="276" w:lineRule="auto"/>
        <w:jc w:val="both"/>
        <w:rPr>
          <w:rFonts w:ascii="Times New Roman" w:eastAsia="Times New Roman" w:hAnsi="Times New Roman" w:cs="Times New Roman"/>
        </w:rPr>
      </w:pPr>
    </w:p>
    <w:p w14:paraId="7E7F106E" w14:textId="25436D4C" w:rsidR="00DA6432" w:rsidRDefault="00DA6432" w:rsidP="001C3581">
      <w:pPr>
        <w:spacing w:line="276" w:lineRule="auto"/>
        <w:jc w:val="both"/>
        <w:rPr>
          <w:rFonts w:ascii="Times New Roman" w:eastAsia="Times New Roman" w:hAnsi="Times New Roman" w:cs="Times New Roman"/>
        </w:rPr>
      </w:pPr>
    </w:p>
    <w:p w14:paraId="26C4C059" w14:textId="5314B660" w:rsidR="00DA6432" w:rsidRDefault="00DA6432" w:rsidP="001C3581">
      <w:pPr>
        <w:spacing w:line="276" w:lineRule="auto"/>
        <w:jc w:val="both"/>
        <w:rPr>
          <w:rFonts w:ascii="Times New Roman" w:eastAsia="Times New Roman" w:hAnsi="Times New Roman" w:cs="Times New Roman"/>
        </w:rPr>
      </w:pPr>
    </w:p>
    <w:p w14:paraId="5CA57457" w14:textId="19261A2F" w:rsidR="00DA6432" w:rsidRDefault="00DA6432" w:rsidP="001C3581">
      <w:pPr>
        <w:spacing w:line="276" w:lineRule="auto"/>
        <w:jc w:val="both"/>
        <w:rPr>
          <w:rFonts w:ascii="Times New Roman" w:eastAsia="Times New Roman" w:hAnsi="Times New Roman" w:cs="Times New Roman"/>
        </w:rPr>
      </w:pPr>
    </w:p>
    <w:p w14:paraId="65C72CF4" w14:textId="0FB64FDC" w:rsidR="00DA6432" w:rsidRDefault="00DA6432" w:rsidP="001C3581">
      <w:pPr>
        <w:spacing w:line="276" w:lineRule="auto"/>
        <w:jc w:val="both"/>
        <w:rPr>
          <w:rFonts w:ascii="Times New Roman" w:eastAsia="Times New Roman" w:hAnsi="Times New Roman" w:cs="Times New Roman"/>
        </w:rPr>
      </w:pPr>
    </w:p>
    <w:p w14:paraId="60227686" w14:textId="61A03250" w:rsidR="00DA6432" w:rsidRDefault="00DA6432" w:rsidP="001C3581">
      <w:pPr>
        <w:spacing w:line="276" w:lineRule="auto"/>
        <w:jc w:val="both"/>
        <w:rPr>
          <w:rFonts w:ascii="Times New Roman" w:eastAsia="Times New Roman" w:hAnsi="Times New Roman" w:cs="Times New Roman"/>
        </w:rPr>
      </w:pPr>
    </w:p>
    <w:p w14:paraId="59B70E03" w14:textId="7B5B1712" w:rsidR="00DA6432" w:rsidRDefault="00DA6432" w:rsidP="001C3581">
      <w:pPr>
        <w:spacing w:line="276" w:lineRule="auto"/>
        <w:jc w:val="both"/>
        <w:rPr>
          <w:rFonts w:ascii="Times New Roman" w:eastAsia="Times New Roman" w:hAnsi="Times New Roman" w:cs="Times New Roman"/>
        </w:rPr>
      </w:pPr>
    </w:p>
    <w:p w14:paraId="70910306" w14:textId="7F867621" w:rsidR="00DA6432" w:rsidRDefault="00DA6432" w:rsidP="001C3581">
      <w:pPr>
        <w:spacing w:line="276" w:lineRule="auto"/>
        <w:jc w:val="both"/>
        <w:rPr>
          <w:rFonts w:ascii="Times New Roman" w:eastAsia="Times New Roman" w:hAnsi="Times New Roman" w:cs="Times New Roman"/>
        </w:rPr>
      </w:pPr>
    </w:p>
    <w:p w14:paraId="646EBC55" w14:textId="2D12325B" w:rsidR="00DA6432" w:rsidRDefault="00DA6432" w:rsidP="001C3581">
      <w:pPr>
        <w:spacing w:line="276" w:lineRule="auto"/>
        <w:jc w:val="both"/>
        <w:rPr>
          <w:rFonts w:ascii="Times New Roman" w:eastAsia="Times New Roman" w:hAnsi="Times New Roman" w:cs="Times New Roman"/>
        </w:rPr>
      </w:pPr>
    </w:p>
    <w:p w14:paraId="2E228DCC" w14:textId="26A4EB8D" w:rsidR="00DA6432" w:rsidRDefault="00DA6432" w:rsidP="001C3581">
      <w:pPr>
        <w:spacing w:line="276" w:lineRule="auto"/>
        <w:jc w:val="both"/>
        <w:rPr>
          <w:rFonts w:ascii="Times New Roman" w:eastAsia="Times New Roman" w:hAnsi="Times New Roman" w:cs="Times New Roman"/>
        </w:rPr>
      </w:pPr>
    </w:p>
    <w:p w14:paraId="1FED4BD4" w14:textId="77777777" w:rsidR="00DA6432" w:rsidRPr="009B0448" w:rsidRDefault="00DA6432" w:rsidP="001C3581">
      <w:pPr>
        <w:spacing w:line="276" w:lineRule="auto"/>
        <w:jc w:val="both"/>
        <w:rPr>
          <w:rFonts w:ascii="Times New Roman" w:eastAsia="Times New Roman" w:hAnsi="Times New Roman" w:cs="Times New Roman"/>
        </w:rPr>
      </w:pPr>
    </w:p>
    <w:p w14:paraId="5B2C06C1" w14:textId="5D77244F" w:rsidR="00991066" w:rsidRPr="009B0448" w:rsidRDefault="00991066" w:rsidP="00FA7185">
      <w:pPr>
        <w:pStyle w:val="Heading3"/>
        <w:widowControl w:val="0"/>
        <w:numPr>
          <w:ilvl w:val="1"/>
          <w:numId w:val="11"/>
        </w:numPr>
        <w:spacing w:before="240" w:after="240"/>
        <w:ind w:left="709" w:hanging="720"/>
        <w:rPr>
          <w:rFonts w:eastAsia="Calibri" w:cs="Times New Roman"/>
          <w:szCs w:val="24"/>
        </w:rPr>
      </w:pPr>
      <w:bookmarkStart w:id="462" w:name="_Toc519500040"/>
      <w:r w:rsidRPr="009B0448">
        <w:rPr>
          <w:rFonts w:eastAsia="Calibri" w:cs="Times New Roman"/>
          <w:szCs w:val="24"/>
        </w:rPr>
        <w:t>References</w:t>
      </w:r>
      <w:bookmarkEnd w:id="462"/>
    </w:p>
    <w:p w14:paraId="14C15B9E" w14:textId="77777777" w:rsidR="00431F56" w:rsidRPr="009B0448" w:rsidRDefault="00431F56" w:rsidP="001D1084">
      <w:pPr>
        <w:spacing w:after="120" w:line="276" w:lineRule="auto"/>
        <w:ind w:left="567" w:hanging="567"/>
        <w:rPr>
          <w:rFonts w:ascii="Times New Roman" w:eastAsia="Times New Roman" w:hAnsi="Times New Roman" w:cs="Times New Roman"/>
        </w:rPr>
      </w:pPr>
      <w:bookmarkStart w:id="463" w:name="_2r0uhxc" w:colFirst="0" w:colLast="0"/>
      <w:bookmarkEnd w:id="463"/>
      <w:r w:rsidRPr="009B0448">
        <w:rPr>
          <w:rFonts w:ascii="Times New Roman" w:eastAsia="Times New Roman" w:hAnsi="Times New Roman" w:cs="Times New Roman"/>
        </w:rPr>
        <w:t xml:space="preserve">Adano, W. R., &amp; Daudi, F. (2012).Links between climate change, conflict and governance in Africa. </w:t>
      </w:r>
      <w:r w:rsidRPr="009B0448">
        <w:rPr>
          <w:rFonts w:ascii="Times New Roman" w:eastAsia="Times New Roman" w:hAnsi="Times New Roman" w:cs="Times New Roman"/>
          <w:i/>
        </w:rPr>
        <w:t>Institute for Security Studies Papers</w:t>
      </w:r>
      <w:r w:rsidRPr="009B0448">
        <w:rPr>
          <w:rFonts w:ascii="Times New Roman" w:eastAsia="Times New Roman" w:hAnsi="Times New Roman" w:cs="Times New Roman"/>
        </w:rPr>
        <w:t xml:space="preserve">, (234), 20. Retrieved from </w:t>
      </w:r>
      <w:hyperlink r:id="rId1593" w:history="1">
        <w:r w:rsidRPr="009B0448">
          <w:rPr>
            <w:rStyle w:val="Hyperlink"/>
            <w:rFonts w:ascii="Times New Roman" w:hAnsi="Times New Roman" w:cs="Times New Roman"/>
          </w:rPr>
          <w:t>https://issafrica.s3.amazonaws.com/site/uploads/Paper_234.pdf</w:t>
        </w:r>
      </w:hyperlink>
    </w:p>
    <w:p w14:paraId="58E475B8" w14:textId="174781B2"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AfDB (African Development Bank). (2014). </w:t>
      </w:r>
      <w:r w:rsidRPr="009B0448">
        <w:rPr>
          <w:rFonts w:ascii="Times New Roman" w:eastAsia="Times New Roman" w:hAnsi="Times New Roman" w:cs="Times New Roman"/>
          <w:i/>
        </w:rPr>
        <w:t>Tracking Africa’s progress in figures</w:t>
      </w:r>
      <w:r w:rsidRPr="009B0448">
        <w:rPr>
          <w:rFonts w:ascii="Times New Roman" w:eastAsia="Times New Roman" w:hAnsi="Times New Roman" w:cs="Times New Roman"/>
        </w:rPr>
        <w:t xml:space="preserve">. Statistics Department, African Development Bank. Retrieved from </w:t>
      </w:r>
      <w:hyperlink r:id="rId1594" w:history="1">
        <w:r w:rsidRPr="009B0448">
          <w:rPr>
            <w:rStyle w:val="Hyperlink"/>
            <w:rFonts w:ascii="Times New Roman" w:eastAsia="Times New Roman" w:hAnsi="Times New Roman" w:cs="Times New Roman"/>
          </w:rPr>
          <w:t>https://www.afdb.org/en/knowledge/publications/tracking-africa%E2%80%99s-progress-in-figures/</w:t>
        </w:r>
      </w:hyperlink>
    </w:p>
    <w:p w14:paraId="4F84EBF5"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Alam, S. A., &amp; Starr, M. (2013). Impacts of climate change on savannah woodland biomass carbon density and water-use: a modelling study of the Sudanese gum belt region. </w:t>
      </w:r>
      <w:r w:rsidRPr="009B0448">
        <w:rPr>
          <w:rFonts w:ascii="Times New Roman" w:eastAsia="Times New Roman" w:hAnsi="Times New Roman" w:cs="Times New Roman"/>
          <w:i/>
        </w:rPr>
        <w:t>Mitigation and Adaptation Strategies for Global Change</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18</w:t>
      </w:r>
      <w:r w:rsidRPr="009B0448">
        <w:rPr>
          <w:rFonts w:ascii="Times New Roman" w:eastAsia="Times New Roman" w:hAnsi="Times New Roman" w:cs="Times New Roman"/>
        </w:rPr>
        <w:t>(7), 979</w:t>
      </w:r>
      <w:r w:rsidRPr="009B0448">
        <w:rPr>
          <w:rFonts w:ascii="Times New Roman" w:eastAsia="Times New Roman" w:hAnsi="Times New Roman" w:cs="Times New Roman"/>
          <w:lang w:val="en-ZA" w:eastAsia="en-GB"/>
        </w:rPr>
        <w:t>–</w:t>
      </w:r>
      <w:r w:rsidRPr="009B0448">
        <w:rPr>
          <w:rFonts w:ascii="Times New Roman" w:eastAsia="Times New Roman" w:hAnsi="Times New Roman" w:cs="Times New Roman"/>
        </w:rPr>
        <w:t xml:space="preserve">999. </w:t>
      </w:r>
      <w:hyperlink r:id="rId1595" w:history="1">
        <w:r w:rsidRPr="009B0448">
          <w:rPr>
            <w:rStyle w:val="Hyperlink"/>
            <w:rFonts w:ascii="Times New Roman" w:eastAsia="Times New Roman" w:hAnsi="Times New Roman" w:cs="Times New Roman"/>
          </w:rPr>
          <w:t>https://doi.org/10.1007/s11027-012-9403-5</w:t>
        </w:r>
      </w:hyperlink>
    </w:p>
    <w:p w14:paraId="395D0739"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Alba-Sánchez, F., Antonio López-Sáez, J., Nieto-Lugilde, D., Svenning, J. C. (2015). Long-term climate forcings to assess vulnerability in North Africa dry argan woodlands. </w:t>
      </w:r>
      <w:r w:rsidRPr="009B0448">
        <w:rPr>
          <w:rFonts w:ascii="Times New Roman" w:eastAsia="Times New Roman" w:hAnsi="Times New Roman" w:cs="Times New Roman"/>
          <w:i/>
        </w:rPr>
        <w:t>Applied Vegetation Science</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18</w:t>
      </w:r>
      <w:r w:rsidRPr="009B0448">
        <w:rPr>
          <w:rFonts w:ascii="Times New Roman" w:eastAsia="Times New Roman" w:hAnsi="Times New Roman" w:cs="Times New Roman"/>
        </w:rPr>
        <w:t xml:space="preserve">, 283–296. </w:t>
      </w:r>
      <w:hyperlink r:id="rId1596" w:history="1">
        <w:r w:rsidRPr="009B0448">
          <w:rPr>
            <w:rStyle w:val="Hyperlink"/>
            <w:rFonts w:ascii="Times New Roman" w:eastAsia="Times New Roman" w:hAnsi="Times New Roman" w:cs="Times New Roman"/>
          </w:rPr>
          <w:t>https://doi.org/10.1111/avsc.12133</w:t>
        </w:r>
      </w:hyperlink>
    </w:p>
    <w:p w14:paraId="40EADACB"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Alcamo, J. (2001). S</w:t>
      </w:r>
      <w:r w:rsidRPr="009B0448">
        <w:rPr>
          <w:rFonts w:ascii="Times New Roman" w:eastAsia="Times New Roman" w:hAnsi="Times New Roman" w:cs="Times New Roman"/>
          <w:i/>
          <w:lang w:val="en-ZA" w:eastAsia="en-GB"/>
        </w:rPr>
        <w:t>cenarios as tools for international environmental assessments</w:t>
      </w:r>
      <w:r w:rsidRPr="009B0448">
        <w:rPr>
          <w:rFonts w:ascii="Times New Roman" w:eastAsia="Times New Roman" w:hAnsi="Times New Roman" w:cs="Times New Roman"/>
          <w:lang w:val="en-ZA" w:eastAsia="en-GB"/>
        </w:rPr>
        <w:t xml:space="preserve">. Environmental Issue Report No. 24. Luxembourg City, Luxembourg: Office for Official Publications of the European Communities, European Environment Agency. Retrieved from </w:t>
      </w:r>
      <w:hyperlink r:id="rId1597" w:history="1">
        <w:r w:rsidRPr="009B0448">
          <w:rPr>
            <w:rStyle w:val="Hyperlink"/>
            <w:rFonts w:ascii="Times New Roman" w:hAnsi="Times New Roman" w:cs="Times New Roman"/>
            <w:lang w:val="en-ZA" w:eastAsia="en-GB"/>
          </w:rPr>
          <w:t>https://www.eea.europa.eu/publications/environmental_issue_report_2001_24/file</w:t>
        </w:r>
      </w:hyperlink>
    </w:p>
    <w:p w14:paraId="0CD8635C"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Alcamo, J., Schaldach, R., Koch, J., Kölking, C., Lapola, D., &amp; Priess, J. (2011). Evaluation of an integrated land use change model including a scenario analysis of land use change for continental Africa. </w:t>
      </w:r>
      <w:r w:rsidRPr="009B0448">
        <w:rPr>
          <w:rFonts w:ascii="Times New Roman" w:eastAsia="Times New Roman" w:hAnsi="Times New Roman" w:cs="Times New Roman"/>
          <w:i/>
          <w:lang w:val="en-ZA" w:eastAsia="en-GB"/>
        </w:rPr>
        <w:t>Environmental Modelling Software, 26</w:t>
      </w:r>
      <w:r w:rsidRPr="009B0448">
        <w:rPr>
          <w:rFonts w:ascii="Times New Roman" w:eastAsia="Times New Roman" w:hAnsi="Times New Roman" w:cs="Times New Roman"/>
          <w:lang w:val="en-ZA" w:eastAsia="en-GB"/>
        </w:rPr>
        <w:t xml:space="preserve">(8), 1017–1027. </w:t>
      </w:r>
      <w:hyperlink r:id="rId1598" w:history="1">
        <w:r w:rsidRPr="009B0448">
          <w:rPr>
            <w:rStyle w:val="Hyperlink"/>
            <w:rFonts w:ascii="Times New Roman" w:hAnsi="Times New Roman" w:cs="Times New Roman"/>
          </w:rPr>
          <w:t>https://doi.org/10.1016/j.envsoft.2011.03.002</w:t>
        </w:r>
      </w:hyperlink>
    </w:p>
    <w:p w14:paraId="64686A15"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Alcamo, J., van Vuuren, D., Ringler, C., Cramer, W., Masui, T., Alder, J., &amp; Schulze, K. (2005). Changes in nature’s balance sheet: Model-based estimates of future worldwide ecosystem services. </w:t>
      </w:r>
      <w:r w:rsidRPr="009B0448">
        <w:rPr>
          <w:rFonts w:ascii="Times New Roman" w:eastAsia="Times New Roman" w:hAnsi="Times New Roman" w:cs="Times New Roman"/>
          <w:i/>
          <w:lang w:val="en-ZA" w:eastAsia="en-GB"/>
        </w:rPr>
        <w:t>Ecology and Society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10</w:t>
      </w:r>
      <w:r w:rsidRPr="009B0448">
        <w:rPr>
          <w:rFonts w:ascii="Times New Roman" w:eastAsia="Times New Roman" w:hAnsi="Times New Roman" w:cs="Times New Roman"/>
          <w:lang w:val="en-ZA" w:eastAsia="en-GB"/>
        </w:rPr>
        <w:t xml:space="preserve">(2), 19. Retrieved from </w:t>
      </w:r>
      <w:hyperlink r:id="rId1599" w:history="1">
        <w:r w:rsidRPr="009B0448">
          <w:rPr>
            <w:rStyle w:val="Hyperlink"/>
            <w:rFonts w:ascii="Times New Roman" w:hAnsi="Times New Roman" w:cs="Times New Roman"/>
            <w:lang w:val="en-ZA" w:eastAsia="en-GB"/>
          </w:rPr>
          <w:t>http://www.ecologyandsociety.org/vol10/iss2/art19/</w:t>
        </w:r>
      </w:hyperlink>
    </w:p>
    <w:p w14:paraId="14BA812C"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color w:val="222222"/>
          <w:lang w:val="en-ZA" w:eastAsia="en-GB"/>
        </w:rPr>
      </w:pPr>
      <w:r w:rsidRPr="009B0448">
        <w:rPr>
          <w:rFonts w:ascii="Times New Roman" w:eastAsia="Times New Roman" w:hAnsi="Times New Roman" w:cs="Times New Roman"/>
          <w:color w:val="auto"/>
          <w:highlight w:val="white"/>
          <w:lang w:val="en-ZA" w:eastAsia="en-GB"/>
        </w:rPr>
        <w:t xml:space="preserve">Aleman, J. C., Blarquez, O., &amp; Staver, C. A. (2016). Land use change outweighs projected effects of changing rainfall on tree cover in sub Saharan Africa. </w:t>
      </w:r>
      <w:r w:rsidRPr="009B0448">
        <w:rPr>
          <w:rFonts w:ascii="Times New Roman" w:eastAsia="Times New Roman" w:hAnsi="Times New Roman" w:cs="Times New Roman"/>
          <w:i/>
          <w:color w:val="auto"/>
          <w:highlight w:val="white"/>
          <w:lang w:val="en-ZA" w:eastAsia="en-GB"/>
        </w:rPr>
        <w:t>Global Change Biology</w:t>
      </w:r>
      <w:r w:rsidRPr="009B0448">
        <w:rPr>
          <w:rFonts w:ascii="Times New Roman" w:eastAsia="Times New Roman" w:hAnsi="Times New Roman" w:cs="Times New Roman"/>
          <w:color w:val="auto"/>
          <w:highlight w:val="white"/>
          <w:lang w:val="en-ZA" w:eastAsia="en-GB"/>
        </w:rPr>
        <w:t xml:space="preserve">, </w:t>
      </w:r>
      <w:r w:rsidRPr="009B0448">
        <w:rPr>
          <w:rFonts w:ascii="Times New Roman" w:eastAsia="Times New Roman" w:hAnsi="Times New Roman" w:cs="Times New Roman"/>
          <w:i/>
          <w:color w:val="auto"/>
          <w:highlight w:val="white"/>
          <w:lang w:val="en-ZA" w:eastAsia="en-GB"/>
        </w:rPr>
        <w:t>22</w:t>
      </w:r>
      <w:r w:rsidRPr="009B0448">
        <w:rPr>
          <w:rFonts w:ascii="Times New Roman" w:eastAsia="Times New Roman" w:hAnsi="Times New Roman" w:cs="Times New Roman"/>
          <w:color w:val="auto"/>
          <w:highlight w:val="white"/>
          <w:lang w:val="en-ZA" w:eastAsia="en-GB"/>
        </w:rPr>
        <w:t>(9), 3013</w:t>
      </w:r>
      <w:r w:rsidRPr="009B0448">
        <w:rPr>
          <w:rFonts w:ascii="Times New Roman" w:eastAsia="Times New Roman" w:hAnsi="Times New Roman" w:cs="Times New Roman"/>
          <w:color w:val="auto"/>
          <w:lang w:val="en-ZA" w:eastAsia="en-GB"/>
        </w:rPr>
        <w:t>–</w:t>
      </w:r>
      <w:r w:rsidRPr="009B0448">
        <w:rPr>
          <w:rFonts w:ascii="Times New Roman" w:eastAsia="Times New Roman" w:hAnsi="Times New Roman" w:cs="Times New Roman"/>
          <w:color w:val="auto"/>
          <w:highlight w:val="white"/>
          <w:lang w:val="en-ZA" w:eastAsia="en-GB"/>
        </w:rPr>
        <w:t>3025.</w:t>
      </w:r>
      <w:r w:rsidRPr="009B0448">
        <w:rPr>
          <w:rFonts w:ascii="Times New Roman" w:eastAsia="Times New Roman" w:hAnsi="Times New Roman" w:cs="Times New Roman"/>
          <w:color w:val="222222"/>
          <w:lang w:val="en-ZA" w:eastAsia="en-GB"/>
        </w:rPr>
        <w:t xml:space="preserve"> </w:t>
      </w:r>
      <w:hyperlink r:id="rId1600" w:history="1">
        <w:r w:rsidRPr="009B0448">
          <w:rPr>
            <w:rStyle w:val="Hyperlink"/>
            <w:rFonts w:ascii="Times New Roman" w:eastAsia="Times New Roman" w:hAnsi="Times New Roman" w:cs="Times New Roman"/>
            <w:lang w:val="en-ZA" w:eastAsia="en-GB"/>
          </w:rPr>
          <w:t>https://doi.org/10.1111/gcb.13299</w:t>
        </w:r>
      </w:hyperlink>
    </w:p>
    <w:p w14:paraId="51FA2AC8" w14:textId="77777777" w:rsidR="00431F56" w:rsidRPr="009B0448" w:rsidRDefault="00431F56" w:rsidP="00E57852">
      <w:pPr>
        <w:widowControl w:val="0"/>
        <w:spacing w:before="120" w:after="120" w:line="276" w:lineRule="auto"/>
        <w:ind w:left="567" w:hanging="567"/>
        <w:rPr>
          <w:rFonts w:ascii="Times New Roman" w:hAnsi="Times New Roman" w:cs="Times New Roman"/>
        </w:rPr>
      </w:pPr>
      <w:r w:rsidRPr="009B0448">
        <w:rPr>
          <w:rFonts w:ascii="Times New Roman" w:eastAsia="Times New Roman" w:hAnsi="Times New Roman" w:cs="Times New Roman"/>
          <w:lang w:val="en-ZA" w:eastAsia="en-GB"/>
        </w:rPr>
        <w:t xml:space="preserve">AMCEN. (2013). </w:t>
      </w:r>
      <w:r w:rsidRPr="009B0448">
        <w:rPr>
          <w:rFonts w:ascii="Times New Roman" w:eastAsia="Times New Roman" w:hAnsi="Times New Roman" w:cs="Times New Roman"/>
          <w:i/>
          <w:lang w:val="en-ZA" w:eastAsia="en-GB"/>
        </w:rPr>
        <w:t>Gaborone Declaration on Climate Change and Africa’s Development</w:t>
      </w:r>
      <w:r w:rsidRPr="009B0448">
        <w:rPr>
          <w:rFonts w:ascii="Times New Roman" w:eastAsia="Times New Roman" w:hAnsi="Times New Roman" w:cs="Times New Roman"/>
          <w:lang w:val="en-ZA" w:eastAsia="en-GB"/>
        </w:rPr>
        <w:t xml:space="preserve">. Retrieved from </w:t>
      </w:r>
      <w:hyperlink r:id="rId1601" w:history="1">
        <w:r w:rsidRPr="009B0448">
          <w:rPr>
            <w:rStyle w:val="Hyperlink"/>
            <w:rFonts w:ascii="Times New Roman" w:hAnsi="Times New Roman" w:cs="Times New Roman"/>
          </w:rPr>
          <w:t>http://www.gaboronedeclaration.com/gdsa-documents/the-2012-gaborone-declaration-text</w:t>
        </w:r>
      </w:hyperlink>
    </w:p>
    <w:p w14:paraId="05482489" w14:textId="1C3BCC47" w:rsidR="00431F56" w:rsidRPr="009B0448" w:rsidRDefault="00247AD0" w:rsidP="00E57852">
      <w:pPr>
        <w:widowControl w:val="0"/>
        <w:spacing w:before="120" w:after="120" w:line="276" w:lineRule="auto"/>
        <w:ind w:left="567" w:hanging="567"/>
        <w:rPr>
          <w:rFonts w:ascii="Times New Roman" w:eastAsia="Times New Roman" w:hAnsi="Times New Roman" w:cs="Times New Roman"/>
          <w:lang w:val="en-ZA" w:eastAsia="en-GB"/>
        </w:rPr>
      </w:pPr>
      <w:r>
        <w:rPr>
          <w:rFonts w:ascii="Times New Roman" w:eastAsia="Times New Roman" w:hAnsi="Times New Roman" w:cs="Times New Roman"/>
          <w:lang w:val="en-ZA" w:eastAsia="en-GB"/>
        </w:rPr>
        <w:t>AU</w:t>
      </w:r>
      <w:r w:rsidR="00431F56" w:rsidRPr="009B0448">
        <w:rPr>
          <w:rFonts w:ascii="Times New Roman" w:eastAsia="Times New Roman" w:hAnsi="Times New Roman" w:cs="Times New Roman"/>
          <w:lang w:val="en-ZA" w:eastAsia="en-GB"/>
        </w:rPr>
        <w:t xml:space="preserve">. (2015). </w:t>
      </w:r>
      <w:r w:rsidR="007663F3" w:rsidRPr="009B0448">
        <w:rPr>
          <w:rFonts w:ascii="Times New Roman" w:eastAsia="Times New Roman" w:hAnsi="Times New Roman" w:cs="Times New Roman"/>
          <w:i/>
          <w:lang w:val="en-ZA" w:eastAsia="en-GB"/>
        </w:rPr>
        <w:t>Agenda 2063: The Africa we w</w:t>
      </w:r>
      <w:r w:rsidR="00431F56" w:rsidRPr="009B0448">
        <w:rPr>
          <w:rFonts w:ascii="Times New Roman" w:eastAsia="Times New Roman" w:hAnsi="Times New Roman" w:cs="Times New Roman"/>
          <w:i/>
          <w:lang w:val="en-ZA" w:eastAsia="en-GB"/>
        </w:rPr>
        <w:t>ant</w:t>
      </w:r>
      <w:r w:rsidR="00431F56" w:rsidRPr="009B0448">
        <w:rPr>
          <w:rFonts w:ascii="Times New Roman" w:eastAsia="Times New Roman" w:hAnsi="Times New Roman" w:cs="Times New Roman"/>
          <w:lang w:val="en-ZA" w:eastAsia="en-GB"/>
        </w:rPr>
        <w:t xml:space="preserve">. </w:t>
      </w:r>
      <w:r w:rsidR="00431F56" w:rsidRPr="009B0448">
        <w:rPr>
          <w:rFonts w:ascii="Times New Roman" w:hAnsi="Times New Roman" w:cs="Times New Roman"/>
        </w:rPr>
        <w:t xml:space="preserve">Addis Ababa, Ethiopia: </w:t>
      </w:r>
      <w:r w:rsidR="00431F56" w:rsidRPr="009B0448">
        <w:rPr>
          <w:rFonts w:ascii="Times New Roman" w:eastAsia="Times New Roman" w:hAnsi="Times New Roman" w:cs="Times New Roman"/>
          <w:lang w:val="en-ZA" w:eastAsia="en-GB"/>
        </w:rPr>
        <w:t xml:space="preserve">African Union Commission. Retrieved from </w:t>
      </w:r>
      <w:hyperlink r:id="rId1602" w:history="1">
        <w:r w:rsidR="00431F56" w:rsidRPr="009B0448">
          <w:rPr>
            <w:rStyle w:val="Hyperlink"/>
            <w:rFonts w:ascii="Times New Roman" w:hAnsi="Times New Roman" w:cs="Times New Roman"/>
            <w:lang w:val="en-ZA" w:eastAsia="en-GB"/>
          </w:rPr>
          <w:t>http://archive.au.int/assets/images/agenda2063.pdf</w:t>
        </w:r>
      </w:hyperlink>
    </w:p>
    <w:p w14:paraId="3BAE4222"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Baker, D. J., Hartley, A. J., Burgess N. D., Butchart, S. H. M., Carr J. A., Smith, R. J., Belle, E., &amp; Willis, S. G., (2015). Assessing climate change impacts for vertebrate fauna across the West African protected area network using regionally appropriate climate projections. </w:t>
      </w:r>
      <w:r w:rsidRPr="009B0448">
        <w:rPr>
          <w:rFonts w:ascii="Times New Roman" w:eastAsia="Times New Roman" w:hAnsi="Times New Roman" w:cs="Times New Roman"/>
          <w:i/>
          <w:lang w:val="en-ZA" w:eastAsia="en-GB"/>
        </w:rPr>
        <w:t>Diversity and Distributions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21</w:t>
      </w:r>
      <w:r w:rsidRPr="009B0448">
        <w:rPr>
          <w:rFonts w:ascii="Times New Roman" w:eastAsia="Times New Roman" w:hAnsi="Times New Roman" w:cs="Times New Roman"/>
          <w:lang w:val="en-ZA" w:eastAsia="en-GB"/>
        </w:rPr>
        <w:t xml:space="preserve">(9), 991–1003. </w:t>
      </w:r>
      <w:hyperlink r:id="rId1603" w:history="1">
        <w:r w:rsidRPr="009B0448">
          <w:rPr>
            <w:rStyle w:val="Hyperlink"/>
            <w:rFonts w:ascii="Times New Roman" w:eastAsia="Times New Roman" w:hAnsi="Times New Roman" w:cs="Times New Roman"/>
            <w:lang w:val="en-ZA" w:eastAsia="en-GB"/>
          </w:rPr>
          <w:t>https://doi.org/10.1111/ddi.12337</w:t>
        </w:r>
      </w:hyperlink>
    </w:p>
    <w:p w14:paraId="272BEC31" w14:textId="77777777" w:rsidR="00431F56" w:rsidRPr="009B0448" w:rsidRDefault="00431F56" w:rsidP="00E57852">
      <w:pPr>
        <w:widowControl w:val="0"/>
        <w:spacing w:before="120" w:after="120" w:line="276" w:lineRule="auto"/>
        <w:ind w:left="567" w:hanging="567"/>
        <w:rPr>
          <w:rFonts w:ascii="Times New Roman" w:hAnsi="Times New Roman" w:cs="Times New Roman"/>
          <w:lang w:val="en-ZA" w:eastAsia="en-GB"/>
        </w:rPr>
      </w:pPr>
      <w:r w:rsidRPr="009B0448">
        <w:rPr>
          <w:rFonts w:ascii="Times New Roman" w:eastAsia="Times New Roman" w:hAnsi="Times New Roman" w:cs="Times New Roman"/>
          <w:lang w:val="en-ZA" w:eastAsia="en-GB"/>
        </w:rPr>
        <w:t>Beegle, K., Christiaensen, L., Dabalen, A., &amp; Gaddis, I. (2016</w:t>
      </w:r>
      <w:r w:rsidRPr="009B0448">
        <w:rPr>
          <w:rFonts w:ascii="Times New Roman" w:eastAsia="Times New Roman" w:hAnsi="Times New Roman" w:cs="Times New Roman"/>
          <w:i/>
          <w:lang w:val="en-ZA" w:eastAsia="en-GB"/>
        </w:rPr>
        <w:t xml:space="preserve">). Poverty in a Rising Africa. </w:t>
      </w:r>
      <w:r w:rsidRPr="009B0448">
        <w:rPr>
          <w:rFonts w:ascii="Times New Roman" w:eastAsia="Times New Roman" w:hAnsi="Times New Roman" w:cs="Times New Roman"/>
          <w:lang w:val="en-ZA" w:eastAsia="en-GB"/>
        </w:rPr>
        <w:t xml:space="preserve">World Bank. Washington, DC, USA. Retrieved from </w:t>
      </w:r>
      <w:hyperlink r:id="rId1604" w:history="1">
        <w:r w:rsidRPr="009B0448">
          <w:rPr>
            <w:rStyle w:val="Hyperlink"/>
            <w:rFonts w:ascii="Times New Roman" w:eastAsia="Times New Roman" w:hAnsi="Times New Roman" w:cs="Times New Roman"/>
            <w:lang w:val="en-ZA" w:eastAsia="en-GB"/>
          </w:rPr>
          <w:t>https://doi.org/</w:t>
        </w:r>
        <w:r w:rsidRPr="009B0448">
          <w:rPr>
            <w:rStyle w:val="Hyperlink"/>
            <w:rFonts w:ascii="Times New Roman" w:hAnsi="Times New Roman" w:cs="Times New Roman"/>
            <w:lang w:val="en-ZA" w:eastAsia="en-GB"/>
          </w:rPr>
          <w:t>10.1596/978-1-4648-0723-7</w:t>
        </w:r>
      </w:hyperlink>
    </w:p>
    <w:p w14:paraId="5B10E579" w14:textId="77777777" w:rsidR="00431F56" w:rsidRPr="009B0448" w:rsidRDefault="00431F56" w:rsidP="004969B6">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Belle, E. M. S., Burgess, N. D., Misrachi, M., Arnell, A., Masumbuko, B., Somda, J., Hartley, A., Jones, R., Janes, T., McSweeney, C., Mathison, C., Buontempo, C., Butchart, S., Willis, S. G., Baker, D. J., Carr, J., Hughes, A., Foden, W., Smith, R. J., Smith, J., Stolton, S., Dudley, N., Hockings, M., Mulongoy, J., &amp; Kingston, N. (2016). </w:t>
      </w:r>
      <w:r w:rsidRPr="009B0448">
        <w:rPr>
          <w:rFonts w:ascii="Times New Roman" w:eastAsia="Times New Roman" w:hAnsi="Times New Roman" w:cs="Times New Roman"/>
          <w:i/>
          <w:lang w:val="en-ZA" w:eastAsia="en-GB"/>
        </w:rPr>
        <w:t>Climate Change Impacts on Biodiversity and Protected Areas in West Africa: Summary of the main outputs of the PARCC project, Protected Areas Resilient to Climate Change in West Africa</w:t>
      </w:r>
      <w:r w:rsidRPr="009B0448">
        <w:rPr>
          <w:rFonts w:ascii="Times New Roman" w:eastAsia="Times New Roman" w:hAnsi="Times New Roman" w:cs="Times New Roman"/>
          <w:lang w:val="en-ZA" w:eastAsia="en-GB"/>
        </w:rPr>
        <w:t xml:space="preserve">. Cambridge, UK: UNEP-WCMC. Retrieved from </w:t>
      </w:r>
      <w:hyperlink r:id="rId1605" w:history="1">
        <w:r w:rsidRPr="009B0448">
          <w:rPr>
            <w:rStyle w:val="Hyperlink"/>
            <w:rFonts w:ascii="Times New Roman" w:eastAsia="Times New Roman" w:hAnsi="Times New Roman" w:cs="Times New Roman"/>
            <w:lang w:val="en-ZA" w:eastAsia="en-GB"/>
          </w:rPr>
          <w:t>http://parcc.protectedplanet.net/system/comfy/cms/files/files/000/000/163/original/PARCC_EN_WEB.pdf</w:t>
        </w:r>
      </w:hyperlink>
    </w:p>
    <w:p w14:paraId="32402C59" w14:textId="77777777" w:rsidR="00431F56" w:rsidRPr="009B0448" w:rsidRDefault="00431F56" w:rsidP="00514333">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Bennett, E. M., Carpenter, S. R., Peterson, G. D., Cumming, G. S., Zurek, M., &amp; Pingali, P. (2003). Why global scenarios need ecology. </w:t>
      </w:r>
      <w:r w:rsidRPr="009B0448">
        <w:rPr>
          <w:rFonts w:ascii="Times New Roman" w:eastAsia="Times New Roman" w:hAnsi="Times New Roman" w:cs="Times New Roman"/>
          <w:i/>
        </w:rPr>
        <w:t>Frontiers in Ecology and the Environment, 1</w:t>
      </w:r>
      <w:r w:rsidRPr="009B0448">
        <w:rPr>
          <w:rFonts w:ascii="Times New Roman" w:eastAsia="Times New Roman" w:hAnsi="Times New Roman" w:cs="Times New Roman"/>
        </w:rPr>
        <w:t xml:space="preserve">(6), 322–329. </w:t>
      </w:r>
      <w:hyperlink r:id="rId1606" w:history="1">
        <w:r w:rsidRPr="009B0448">
          <w:rPr>
            <w:rStyle w:val="Hyperlink"/>
            <w:rFonts w:ascii="Times New Roman" w:eastAsia="Times New Roman" w:hAnsi="Times New Roman" w:cs="Times New Roman"/>
          </w:rPr>
          <w:t>https://doi.org/10.1890/1540-9295(2003)001[0322:WGSNE]2.0.CO;2</w:t>
        </w:r>
      </w:hyperlink>
    </w:p>
    <w:p w14:paraId="62F2208E" w14:textId="77777777" w:rsidR="00431F56" w:rsidRPr="009B0448" w:rsidRDefault="00431F56" w:rsidP="00514333">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Betts, R. A., Golding, N., Gonzalez, P., Gornall, J., Kahana, R., Kay, G., Mitchell, L., &amp; Wiltshire, A. (2015). Climate and land use change impacts on global terrestrial ecosystems and river flows in the HadGEM2-ES Earth system model using the representative concentration pathways. </w:t>
      </w:r>
      <w:r w:rsidRPr="009B0448">
        <w:rPr>
          <w:rFonts w:ascii="Times New Roman" w:eastAsia="Times New Roman" w:hAnsi="Times New Roman" w:cs="Times New Roman"/>
          <w:i/>
        </w:rPr>
        <w:t>Biogeosciences, 12</w:t>
      </w:r>
      <w:r w:rsidRPr="009B0448">
        <w:rPr>
          <w:rFonts w:ascii="Times New Roman" w:eastAsia="Times New Roman" w:hAnsi="Times New Roman" w:cs="Times New Roman"/>
        </w:rPr>
        <w:t xml:space="preserve">(5), 1317. </w:t>
      </w:r>
      <w:hyperlink r:id="rId1607" w:history="1">
        <w:r w:rsidRPr="009B0448">
          <w:rPr>
            <w:rStyle w:val="Hyperlink"/>
            <w:rFonts w:ascii="Times New Roman" w:eastAsia="Times New Roman" w:hAnsi="Times New Roman" w:cs="Times New Roman"/>
          </w:rPr>
          <w:t>https://doi.org/10.5194/bg-12-1317-2015</w:t>
        </w:r>
      </w:hyperlink>
    </w:p>
    <w:p w14:paraId="7DD7D9B3" w14:textId="77777777" w:rsidR="00431F56" w:rsidRPr="009B0448" w:rsidRDefault="00431F56" w:rsidP="00514333">
      <w:pPr>
        <w:spacing w:after="120" w:line="276" w:lineRule="auto"/>
        <w:ind w:left="567" w:hanging="567"/>
        <w:rPr>
          <w:rFonts w:ascii="Times New Roman" w:hAnsi="Times New Roman" w:cs="Times New Roman"/>
        </w:rPr>
      </w:pPr>
      <w:r w:rsidRPr="009B0448">
        <w:rPr>
          <w:rFonts w:ascii="Times New Roman" w:eastAsia="Times New Roman" w:hAnsi="Times New Roman" w:cs="Times New Roman"/>
        </w:rPr>
        <w:t xml:space="preserve">Biggs R, Gordon, L., Raudsepp-Hearne, C., Schlüter, M., &amp; Walker, B. (2015b). Principle 3 – Manage slow variables and feedbacks. In R. Biggs, M. Schlüter &amp; M.L. Schoon (Eds), </w:t>
      </w:r>
      <w:r w:rsidRPr="009B0448">
        <w:rPr>
          <w:rFonts w:ascii="Times New Roman" w:eastAsia="Times New Roman" w:hAnsi="Times New Roman" w:cs="Times New Roman"/>
          <w:i/>
        </w:rPr>
        <w:t xml:space="preserve">Principles for Building Resilience: Sustaining Ecosystem Services in Social-Ecological Systems </w:t>
      </w:r>
      <w:r w:rsidRPr="009B0448">
        <w:rPr>
          <w:rFonts w:ascii="Times New Roman" w:eastAsia="Times New Roman" w:hAnsi="Times New Roman" w:cs="Times New Roman"/>
        </w:rPr>
        <w:t>(pp. 105–141)</w:t>
      </w:r>
      <w:r w:rsidRPr="009B0448">
        <w:rPr>
          <w:rFonts w:ascii="Times New Roman" w:eastAsia="Times New Roman" w:hAnsi="Times New Roman" w:cs="Times New Roman"/>
          <w:i/>
        </w:rPr>
        <w:t>.</w:t>
      </w:r>
      <w:r w:rsidRPr="009B0448">
        <w:rPr>
          <w:rFonts w:ascii="Times New Roman" w:eastAsia="Times New Roman" w:hAnsi="Times New Roman" w:cs="Times New Roman"/>
        </w:rPr>
        <w:t xml:space="preserve"> Cambridge, UK: Cambridge University Press. Retrieved from </w:t>
      </w:r>
      <w:hyperlink r:id="rId1608" w:history="1">
        <w:r w:rsidRPr="009B0448">
          <w:rPr>
            <w:rStyle w:val="Hyperlink"/>
            <w:rFonts w:ascii="Times New Roman" w:hAnsi="Times New Roman" w:cs="Times New Roman"/>
          </w:rPr>
          <w:t>https://doi.org/10.1017/CBO9781316014240.006</w:t>
        </w:r>
      </w:hyperlink>
    </w:p>
    <w:p w14:paraId="5CC79A5E"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Biggs, R., Raudsepp-Hearne, C., Atkinson-Palombo, C., Bohensky, E., Boyd, E., Cundill, G., Fox, H., Ingram, S., Kok, K., Sphehar, S., Tengo, M., Timmer, D., &amp; Zurek, M. (2007). Linking futures across scales: a dialog on multi-scale scenarios. </w:t>
      </w:r>
      <w:r w:rsidRPr="009B0448">
        <w:rPr>
          <w:rFonts w:ascii="Times New Roman" w:eastAsia="Times New Roman" w:hAnsi="Times New Roman" w:cs="Times New Roman"/>
          <w:i/>
          <w:lang w:val="en-ZA" w:eastAsia="en-GB"/>
        </w:rPr>
        <w:t>Ecology and Society, 12</w:t>
      </w:r>
      <w:r w:rsidRPr="009B0448">
        <w:rPr>
          <w:rFonts w:ascii="Times New Roman" w:eastAsia="Times New Roman" w:hAnsi="Times New Roman" w:cs="Times New Roman"/>
          <w:lang w:val="en-ZA" w:eastAsia="en-GB"/>
        </w:rPr>
        <w:t xml:space="preserve">(1), 17. Retrieved from </w:t>
      </w:r>
      <w:hyperlink r:id="rId1609" w:history="1">
        <w:r w:rsidRPr="009B0448">
          <w:rPr>
            <w:rStyle w:val="Hyperlink"/>
            <w:rFonts w:ascii="Times New Roman" w:hAnsi="Times New Roman" w:cs="Times New Roman"/>
            <w:lang w:val="en-ZA" w:eastAsia="en-GB"/>
          </w:rPr>
          <w:t>http://www.ecologyandsociety.org/vol12/iss1/art17/</w:t>
        </w:r>
      </w:hyperlink>
    </w:p>
    <w:p w14:paraId="7079E92E"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Biggs, R., Schlüter, M., &amp; Schoon, M. L. (Eds.). (2015a). </w:t>
      </w:r>
      <w:r w:rsidRPr="009B0448">
        <w:rPr>
          <w:rFonts w:ascii="Times New Roman" w:eastAsia="Times New Roman" w:hAnsi="Times New Roman" w:cs="Times New Roman"/>
          <w:i/>
          <w:lang w:val="en-ZA" w:eastAsia="en-GB"/>
        </w:rPr>
        <w:t>Principles for Building Resilience: Sustaining Ecosystem Services in Social-Ecological Systems</w:t>
      </w:r>
      <w:r w:rsidRPr="009B0448">
        <w:rPr>
          <w:rFonts w:ascii="Times New Roman" w:eastAsia="Times New Roman" w:hAnsi="Times New Roman" w:cs="Times New Roman"/>
          <w:lang w:val="en-ZA" w:eastAsia="en-GB"/>
        </w:rPr>
        <w:t xml:space="preserve">. </w:t>
      </w:r>
      <w:r w:rsidRPr="009B0448">
        <w:rPr>
          <w:rFonts w:ascii="Times New Roman" w:hAnsi="Times New Roman" w:cs="Times New Roman"/>
        </w:rPr>
        <w:t xml:space="preserve">Cambridge, UK: </w:t>
      </w:r>
      <w:r w:rsidRPr="009B0448">
        <w:rPr>
          <w:rFonts w:ascii="Times New Roman" w:eastAsia="Times New Roman" w:hAnsi="Times New Roman" w:cs="Times New Roman"/>
          <w:lang w:val="en-ZA" w:eastAsia="en-GB"/>
        </w:rPr>
        <w:t>Cambridge University Press.</w:t>
      </w:r>
      <w:hyperlink r:id="rId1610">
        <w:r w:rsidRPr="009B0448">
          <w:rPr>
            <w:rFonts w:ascii="Times New Roman" w:eastAsia="Times New Roman" w:hAnsi="Times New Roman" w:cs="Times New Roman"/>
          </w:rPr>
          <w:t xml:space="preserve"> </w:t>
        </w:r>
      </w:hyperlink>
      <w:r w:rsidRPr="009B0448">
        <w:rPr>
          <w:rFonts w:ascii="Times New Roman" w:eastAsia="Times New Roman" w:hAnsi="Times New Roman" w:cs="Times New Roman"/>
        </w:rPr>
        <w:t xml:space="preserve">Retrieved from </w:t>
      </w:r>
      <w:hyperlink r:id="rId1611" w:history="1">
        <w:r w:rsidRPr="009B0448">
          <w:rPr>
            <w:rStyle w:val="Hyperlink"/>
            <w:rFonts w:ascii="Times New Roman" w:hAnsi="Times New Roman" w:cs="Times New Roman"/>
          </w:rPr>
          <w:t>https://doi.org/</w:t>
        </w:r>
      </w:hyperlink>
      <w:hyperlink r:id="rId1612" w:history="1">
        <w:r w:rsidRPr="009B0448">
          <w:rPr>
            <w:rStyle w:val="Hyperlink"/>
            <w:rFonts w:ascii="Times New Roman" w:hAnsi="Times New Roman" w:cs="Times New Roman"/>
            <w:lang w:val="en-ZA" w:eastAsia="en-GB"/>
          </w:rPr>
          <w:t>10.1017/CBO9781316014240</w:t>
        </w:r>
      </w:hyperlink>
    </w:p>
    <w:p w14:paraId="0FF36C2C" w14:textId="77777777" w:rsidR="00431F56" w:rsidRPr="009B0448" w:rsidRDefault="00431F56" w:rsidP="00E57852">
      <w:pPr>
        <w:widowControl w:val="0"/>
        <w:spacing w:before="120" w:after="120" w:line="276" w:lineRule="auto"/>
        <w:ind w:left="567" w:hanging="567"/>
        <w:rPr>
          <w:rStyle w:val="Hyperlink"/>
          <w:rFonts w:ascii="Times New Roman" w:hAnsi="Times New Roman" w:cs="Times New Roman"/>
          <w:lang w:val="en-ZA" w:eastAsia="en-GB"/>
        </w:rPr>
      </w:pPr>
      <w:r w:rsidRPr="009B0448">
        <w:rPr>
          <w:rFonts w:ascii="Times New Roman" w:eastAsia="Times New Roman" w:hAnsi="Times New Roman" w:cs="Times New Roman"/>
          <w:lang w:val="en-ZA" w:eastAsia="en-GB"/>
        </w:rPr>
        <w:t xml:space="preserve">Biggs, R., Simons, H., Bakkenes, M., Scholes, R. J., Eickhout, B., van Vuuren, D., &amp; Alkemade, R. (2008). Scenarios of biodiversity loss in southern Africa in the 21st century. </w:t>
      </w:r>
      <w:r w:rsidRPr="009B0448">
        <w:rPr>
          <w:rFonts w:ascii="Times New Roman" w:eastAsia="Times New Roman" w:hAnsi="Times New Roman" w:cs="Times New Roman"/>
          <w:i/>
          <w:lang w:val="en-ZA" w:eastAsia="en-GB"/>
        </w:rPr>
        <w:t>Global Environmental Change</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18</w:t>
      </w:r>
      <w:r w:rsidRPr="009B0448">
        <w:rPr>
          <w:rFonts w:ascii="Times New Roman" w:eastAsia="Times New Roman" w:hAnsi="Times New Roman" w:cs="Times New Roman"/>
          <w:lang w:val="en-ZA" w:eastAsia="en-GB"/>
        </w:rPr>
        <w:t xml:space="preserve">(2), 296–309. </w:t>
      </w:r>
      <w:hyperlink r:id="rId1613" w:history="1">
        <w:r w:rsidRPr="009B0448">
          <w:rPr>
            <w:rStyle w:val="Hyperlink"/>
            <w:rFonts w:ascii="Times New Roman" w:hAnsi="Times New Roman" w:cs="Times New Roman"/>
            <w:lang w:val="en-ZA" w:eastAsia="en-GB"/>
          </w:rPr>
          <w:t>https://doi.org/10.1016/j.gloenvcha.2008.02.001</w:t>
        </w:r>
      </w:hyperlink>
    </w:p>
    <w:p w14:paraId="08897B2D"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Bohensky, E. L. (2008). Discovering resilient pathways for South African water management: two frameworks for a vision. </w:t>
      </w:r>
      <w:r w:rsidRPr="009B0448">
        <w:rPr>
          <w:rFonts w:ascii="Times New Roman" w:eastAsia="Times New Roman" w:hAnsi="Times New Roman" w:cs="Times New Roman"/>
          <w:i/>
          <w:lang w:val="en-ZA" w:eastAsia="en-GB"/>
        </w:rPr>
        <w:t>Ecology and Society, 13</w:t>
      </w:r>
      <w:r w:rsidRPr="009B0448">
        <w:rPr>
          <w:rFonts w:ascii="Times New Roman" w:eastAsia="Times New Roman" w:hAnsi="Times New Roman" w:cs="Times New Roman"/>
          <w:lang w:val="en-ZA" w:eastAsia="en-GB"/>
        </w:rPr>
        <w:t xml:space="preserve">(1), 19. Retrieved from </w:t>
      </w:r>
      <w:hyperlink r:id="rId1614" w:history="1">
        <w:r w:rsidRPr="009B0448">
          <w:rPr>
            <w:rStyle w:val="Hyperlink"/>
            <w:rFonts w:ascii="Times New Roman" w:hAnsi="Times New Roman" w:cs="Times New Roman"/>
            <w:lang w:val="en-ZA" w:eastAsia="en-GB"/>
          </w:rPr>
          <w:t>http://www.ecologyandsociety.org/vol13/iss1/art19/</w:t>
        </w:r>
      </w:hyperlink>
      <w:r w:rsidRPr="009B0448">
        <w:rPr>
          <w:rFonts w:ascii="Times New Roman" w:eastAsia="Times New Roman" w:hAnsi="Times New Roman" w:cs="Times New Roman"/>
          <w:lang w:val="en-ZA" w:eastAsia="en-GB"/>
        </w:rPr>
        <w:t xml:space="preserve"> </w:t>
      </w:r>
    </w:p>
    <w:p w14:paraId="1D4720C0"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Bohensky, E. L., Reyers, B., &amp; Van Jaarsveld, A. S. (2006). Future ecosystem services in a Southern African river basin: a scenario planning approach to uncertainty. </w:t>
      </w:r>
      <w:r w:rsidRPr="009B0448">
        <w:rPr>
          <w:rFonts w:ascii="Times New Roman" w:eastAsia="Times New Roman" w:hAnsi="Times New Roman" w:cs="Times New Roman"/>
          <w:i/>
          <w:lang w:val="en-ZA" w:eastAsia="en-GB"/>
        </w:rPr>
        <w:t>Conservation Biology, 20</w:t>
      </w:r>
      <w:r w:rsidRPr="009B0448">
        <w:rPr>
          <w:rFonts w:ascii="Times New Roman" w:eastAsia="Times New Roman" w:hAnsi="Times New Roman" w:cs="Times New Roman"/>
          <w:lang w:val="en-ZA" w:eastAsia="en-GB"/>
        </w:rPr>
        <w:t xml:space="preserve">(4), 1051–1061. </w:t>
      </w:r>
      <w:hyperlink r:id="rId1615" w:history="1">
        <w:r w:rsidRPr="009B0448">
          <w:rPr>
            <w:rStyle w:val="Hyperlink"/>
            <w:rFonts w:ascii="Times New Roman" w:eastAsia="Times New Roman" w:hAnsi="Times New Roman" w:cs="Times New Roman"/>
            <w:lang w:val="en-ZA" w:eastAsia="en-GB"/>
          </w:rPr>
          <w:t>https://doi.org/10.1111/j.1523-1739.2006.00475.x</w:t>
        </w:r>
      </w:hyperlink>
    </w:p>
    <w:p w14:paraId="4CC03074"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Boke-Olén, N., Abdi, A. M., Hall, O., &amp; Lehsten, V. (2016). High-resolution African population projections from radiative forcing and socio-economic models, 2000 to 2100. </w:t>
      </w:r>
      <w:r w:rsidRPr="009B0448">
        <w:rPr>
          <w:rFonts w:ascii="Times New Roman" w:eastAsia="Times New Roman" w:hAnsi="Times New Roman" w:cs="Times New Roman"/>
          <w:i/>
          <w:lang w:val="en-ZA" w:eastAsia="en-GB"/>
        </w:rPr>
        <w:t>Scientific Data 4</w:t>
      </w:r>
      <w:r w:rsidRPr="009B0448">
        <w:rPr>
          <w:rFonts w:ascii="Times New Roman" w:eastAsia="Times New Roman" w:hAnsi="Times New Roman" w:cs="Times New Roman"/>
          <w:lang w:val="en-ZA" w:eastAsia="en-GB"/>
        </w:rPr>
        <w:t>(160130)</w:t>
      </w:r>
      <w:r w:rsidRPr="009B0448">
        <w:rPr>
          <w:rFonts w:ascii="Times New Roman" w:eastAsia="Times New Roman" w:hAnsi="Times New Roman" w:cs="Times New Roman"/>
          <w:i/>
          <w:lang w:val="en-ZA" w:eastAsia="en-GB"/>
        </w:rPr>
        <w:t xml:space="preserve">. </w:t>
      </w:r>
      <w:r w:rsidRPr="009B0448">
        <w:rPr>
          <w:rFonts w:ascii="Times New Roman" w:eastAsia="Times New Roman" w:hAnsi="Times New Roman" w:cs="Times New Roman"/>
          <w:lang w:val="en-ZA" w:eastAsia="en-GB"/>
        </w:rPr>
        <w:t xml:space="preserve">Retrieved from </w:t>
      </w:r>
      <w:hyperlink r:id="rId1616" w:history="1">
        <w:hyperlink r:id="rId1617" w:history="1">
          <w:r w:rsidRPr="009B0448">
            <w:rPr>
              <w:rStyle w:val="Hyperlink"/>
              <w:rFonts w:ascii="Times New Roman" w:hAnsi="Times New Roman" w:cs="Times New Roman"/>
            </w:rPr>
            <w:t>https://doi.org/</w:t>
          </w:r>
        </w:hyperlink>
        <w:r w:rsidRPr="009B0448">
          <w:rPr>
            <w:rStyle w:val="Hyperlink"/>
            <w:rFonts w:ascii="Times New Roman" w:hAnsi="Times New Roman" w:cs="Times New Roman"/>
            <w:lang w:val="en-ZA" w:eastAsia="en-GB"/>
          </w:rPr>
          <w:t>10.18161/popcount.201610</w:t>
        </w:r>
      </w:hyperlink>
      <w:r w:rsidRPr="009B0448">
        <w:rPr>
          <w:rFonts w:ascii="Times New Roman" w:eastAsia="Times New Roman" w:hAnsi="Times New Roman" w:cs="Times New Roman"/>
          <w:lang w:val="en-ZA" w:eastAsia="en-GB"/>
        </w:rPr>
        <w:t>.</w:t>
      </w:r>
    </w:p>
    <w:p w14:paraId="040FAFA8"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Boko, M., Niang, I., Nyong, A., Vogel, C., Githeko, A., Medany, M., </w:t>
      </w:r>
      <w:r w:rsidRPr="009B0448">
        <w:rPr>
          <w:rFonts w:ascii="Times New Roman" w:eastAsia="Times New Roman" w:hAnsi="Times New Roman" w:cs="Times New Roman"/>
        </w:rPr>
        <w:t xml:space="preserve">Osman-Elasha, B., Tabo, R., </w:t>
      </w:r>
      <w:r w:rsidRPr="009B0448">
        <w:rPr>
          <w:rFonts w:ascii="Times New Roman" w:eastAsia="Times New Roman" w:hAnsi="Times New Roman" w:cs="Times New Roman"/>
          <w:lang w:val="en-ZA" w:eastAsia="en-GB"/>
        </w:rPr>
        <w:t xml:space="preserve">&amp; Yanda, B. (Eds.). (2007). </w:t>
      </w:r>
      <w:r w:rsidRPr="009B0448">
        <w:rPr>
          <w:rFonts w:ascii="Times New Roman" w:eastAsia="Times New Roman" w:hAnsi="Times New Roman" w:cs="Times New Roman"/>
          <w:i/>
          <w:lang w:val="en-ZA" w:eastAsia="en-GB"/>
        </w:rPr>
        <w:t>Africa</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 xml:space="preserve">Climate Change 2007: Impacts, Adaptation and Vulnerability. </w:t>
      </w:r>
      <w:r w:rsidRPr="009B0448">
        <w:rPr>
          <w:rFonts w:ascii="Times New Roman" w:eastAsia="Times New Roman" w:hAnsi="Times New Roman" w:cs="Times New Roman"/>
          <w:lang w:val="en-ZA" w:eastAsia="en-GB"/>
        </w:rPr>
        <w:t xml:space="preserve">Contribution of Working Group II to the Fourth Assessment Report of the Intergovernmental Panel on Climate Change (IPCC). Cambridge, UK: Cambridge University Press. Retrieved from </w:t>
      </w:r>
      <w:hyperlink r:id="rId1618" w:history="1">
        <w:r w:rsidRPr="009B0448">
          <w:rPr>
            <w:rStyle w:val="Hyperlink"/>
            <w:rFonts w:ascii="Times New Roman" w:hAnsi="Times New Roman" w:cs="Times New Roman"/>
            <w:lang w:val="en-ZA" w:eastAsia="en-GB"/>
          </w:rPr>
          <w:t>https://www.ipcc.ch/pdf/assessment-report/ar4/wg2/ar4-wg2-chapter9.pdf</w:t>
        </w:r>
      </w:hyperlink>
    </w:p>
    <w:p w14:paraId="68D26784"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Burrows, M. T., Schoeman, D. S., Richardson, A. J., Molinos, J. G., Hoffmann, A., Buckley, L. B., Moore, P. J., Brown, C. J., Bruno, J. R., Duarte, C. M., Halpern, B. S., Hoegh-Guldberg, O., Kappel, C. V., Kiessling, W., O'Connor, M. I., Pandolfi, J. M., Parmesan, C., Sydeman, W. J., Ferrier, S., Williams, K. J., &amp; Poloczanska, E. S. (2014). Geographical limits to species-range shifts are suggested by climate velocity</w:t>
      </w:r>
      <w:r w:rsidRPr="009B0448">
        <w:rPr>
          <w:rFonts w:ascii="Times New Roman" w:eastAsia="Times New Roman" w:hAnsi="Times New Roman" w:cs="Times New Roman"/>
          <w:i/>
          <w:lang w:val="en-ZA" w:eastAsia="en-GB"/>
        </w:rPr>
        <w:t>. Nature</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507</w:t>
      </w:r>
      <w:r w:rsidRPr="009B0448">
        <w:rPr>
          <w:rFonts w:ascii="Times New Roman" w:eastAsia="Times New Roman" w:hAnsi="Times New Roman" w:cs="Times New Roman"/>
          <w:lang w:val="en-ZA" w:eastAsia="en-GB"/>
        </w:rPr>
        <w:t xml:space="preserve">(7493), 492–495. </w:t>
      </w:r>
      <w:hyperlink r:id="rId1619" w:history="1">
        <w:r w:rsidRPr="009B0448">
          <w:rPr>
            <w:rStyle w:val="Hyperlink"/>
            <w:rFonts w:ascii="Times New Roman" w:hAnsi="Times New Roman" w:cs="Times New Roman"/>
            <w:lang w:val="en-ZA" w:eastAsia="en-GB"/>
          </w:rPr>
          <w:t>https://doi.org/10.1038/nature12976</w:t>
        </w:r>
      </w:hyperlink>
    </w:p>
    <w:p w14:paraId="6ADA2897"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Busch, J., Dave, R., Hannah, L. E. E., Cameron, A., Rasolohery, A., Roehrdanz, P., &amp; Schatz, G. (2012). Climate change and the cost of conserving species in Madagascar. </w:t>
      </w:r>
      <w:r w:rsidRPr="009B0448">
        <w:rPr>
          <w:rFonts w:ascii="Times New Roman" w:eastAsia="Times New Roman" w:hAnsi="Times New Roman" w:cs="Times New Roman"/>
          <w:i/>
          <w:lang w:val="en-ZA" w:eastAsia="en-GB"/>
        </w:rPr>
        <w:t>Conservation Biology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26</w:t>
      </w:r>
      <w:r w:rsidRPr="009B0448">
        <w:rPr>
          <w:rFonts w:ascii="Times New Roman" w:eastAsia="Times New Roman" w:hAnsi="Times New Roman" w:cs="Times New Roman"/>
          <w:lang w:val="en-ZA" w:eastAsia="en-GB"/>
        </w:rPr>
        <w:t xml:space="preserve">(3), 408–419. </w:t>
      </w:r>
      <w:hyperlink r:id="rId1620" w:history="1">
        <w:r w:rsidRPr="009B0448">
          <w:rPr>
            <w:rStyle w:val="Hyperlink"/>
            <w:rFonts w:ascii="Times New Roman" w:hAnsi="Times New Roman" w:cs="Times New Roman"/>
            <w:lang w:val="en-ZA" w:eastAsia="en-GB"/>
          </w:rPr>
          <w:t>https://doi.org/10.1111/j.1523-1739.2012.01838.x</w:t>
        </w:r>
      </w:hyperlink>
    </w:p>
    <w:p w14:paraId="4E540970"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Butler, C., Oluoch-Kosura, W., Corvalan, C., Fobil, J., Koren, H., Pingali, P., &amp; Rapport, D. (2005). Human well-being across scenarios</w:t>
      </w:r>
      <w:r w:rsidRPr="009B0448">
        <w:rPr>
          <w:rFonts w:ascii="Times New Roman" w:eastAsia="Times New Roman" w:hAnsi="Times New Roman" w:cs="Times New Roman"/>
          <w:i/>
          <w:lang w:val="en-ZA" w:eastAsia="en-GB"/>
        </w:rPr>
        <w:t xml:space="preserve">. </w:t>
      </w:r>
      <w:r w:rsidRPr="009B0448">
        <w:rPr>
          <w:rFonts w:ascii="Times New Roman" w:eastAsia="Times New Roman" w:hAnsi="Times New Roman" w:cs="Times New Roman"/>
          <w:lang w:val="en-ZA" w:eastAsia="en-GB"/>
        </w:rPr>
        <w:t xml:space="preserve">In S. Carpenter, P. L. Pingali, E.M. Bennett, &amp; M. B. Zurek (Eds.), </w:t>
      </w:r>
      <w:r w:rsidRPr="009B0448">
        <w:rPr>
          <w:rFonts w:ascii="Times New Roman" w:eastAsia="Times New Roman" w:hAnsi="Times New Roman" w:cs="Times New Roman"/>
          <w:i/>
          <w:lang w:val="en-ZA" w:eastAsia="en-GB"/>
        </w:rPr>
        <w:t xml:space="preserve">Ecosystems and human well-being: Scenarios. Findings of the Scenario Working Group, Volume 2 </w:t>
      </w:r>
      <w:r w:rsidRPr="009B0448">
        <w:rPr>
          <w:rFonts w:ascii="Times New Roman" w:eastAsia="Times New Roman" w:hAnsi="Times New Roman" w:cs="Times New Roman"/>
          <w:lang w:val="en-ZA" w:eastAsia="en-GB"/>
        </w:rPr>
        <w:t>(pp. 410–429)</w:t>
      </w:r>
      <w:r w:rsidRPr="009B0448">
        <w:rPr>
          <w:rFonts w:ascii="Times New Roman" w:eastAsia="Times New Roman" w:hAnsi="Times New Roman" w:cs="Times New Roman"/>
          <w:i/>
          <w:lang w:val="en-ZA" w:eastAsia="en-GB"/>
        </w:rPr>
        <w:t xml:space="preserve">. </w:t>
      </w:r>
      <w:r w:rsidRPr="009B0448">
        <w:rPr>
          <w:rFonts w:ascii="Times New Roman" w:eastAsia="Times New Roman" w:hAnsi="Times New Roman" w:cs="Times New Roman"/>
          <w:lang w:val="en-ZA" w:eastAsia="en-GB"/>
        </w:rPr>
        <w:t xml:space="preserve">Washington, DC, USA: Island Press. Retrieved from </w:t>
      </w:r>
      <w:hyperlink r:id="rId1621" w:history="1">
        <w:r w:rsidRPr="009B0448">
          <w:rPr>
            <w:rStyle w:val="Hyperlink"/>
            <w:rFonts w:ascii="Times New Roman" w:hAnsi="Times New Roman" w:cs="Times New Roman"/>
            <w:lang w:val="en-ZA" w:eastAsia="en-GB"/>
          </w:rPr>
          <w:t>https://www.millenniumassessment.org/documents/document.335.aspx.pdf</w:t>
        </w:r>
      </w:hyperlink>
    </w:p>
    <w:p w14:paraId="08FAECC6"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Cilliers, J., Hughes, B., &amp; Moyer, J. (2011). African Futures 2050: The next forty years</w:t>
      </w:r>
      <w:r w:rsidRPr="009B0448">
        <w:rPr>
          <w:rFonts w:ascii="Times New Roman" w:eastAsia="Times New Roman" w:hAnsi="Times New Roman" w:cs="Times New Roman"/>
          <w:i/>
          <w:lang w:val="en-ZA" w:eastAsia="en-GB"/>
        </w:rPr>
        <w:t>.</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Institute for Security Studies Monographs, 2011</w:t>
      </w:r>
      <w:r w:rsidRPr="009B0448">
        <w:rPr>
          <w:rFonts w:ascii="Times New Roman" w:eastAsia="Times New Roman" w:hAnsi="Times New Roman" w:cs="Times New Roman"/>
          <w:lang w:val="en-ZA" w:eastAsia="en-GB"/>
        </w:rPr>
        <w:t xml:space="preserve">(175), 102. Retrieved from </w:t>
      </w:r>
      <w:hyperlink r:id="rId1622" w:history="1">
        <w:r w:rsidRPr="009B0448">
          <w:rPr>
            <w:rStyle w:val="Hyperlink"/>
            <w:rFonts w:ascii="Times New Roman" w:eastAsia="Times New Roman" w:hAnsi="Times New Roman" w:cs="Times New Roman"/>
            <w:lang w:val="en-ZA" w:eastAsia="en-GB"/>
          </w:rPr>
          <w:t>https://www.africaportal.org/documents/3134/Mono175.pdf</w:t>
        </w:r>
      </w:hyperlink>
    </w:p>
    <w:p w14:paraId="1D5A2EAA"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Coetzee, B. W. T., Robertson, M. P., Erasmus, B. F. N., Janse v. Rensburg, B., &amp; Thuiller, W. (2009). Ensemble models predict Important Bird Areas in southern Africa will become less effective for conserving endemic birds under climate change. </w:t>
      </w:r>
      <w:r w:rsidRPr="009B0448">
        <w:rPr>
          <w:rFonts w:ascii="Times New Roman" w:eastAsia="Times New Roman" w:hAnsi="Times New Roman" w:cs="Times New Roman"/>
          <w:i/>
          <w:lang w:val="en-ZA" w:eastAsia="en-GB"/>
        </w:rPr>
        <w:t>Global Ecological Biogeography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18</w:t>
      </w:r>
      <w:r w:rsidRPr="009B0448">
        <w:rPr>
          <w:rFonts w:ascii="Times New Roman" w:eastAsia="Times New Roman" w:hAnsi="Times New Roman" w:cs="Times New Roman"/>
          <w:lang w:val="en-ZA" w:eastAsia="en-GB"/>
        </w:rPr>
        <w:t xml:space="preserve">(6), 701–710. </w:t>
      </w:r>
      <w:hyperlink r:id="rId1623" w:history="1">
        <w:r w:rsidRPr="009B0448">
          <w:rPr>
            <w:rStyle w:val="Hyperlink"/>
            <w:rFonts w:ascii="Times New Roman" w:eastAsia="Times New Roman" w:hAnsi="Times New Roman" w:cs="Times New Roman"/>
            <w:lang w:val="en-ZA" w:eastAsia="en-GB"/>
          </w:rPr>
          <w:t>https://doi.org/10.1111/j.1466-8238.2009.00485.x</w:t>
        </w:r>
      </w:hyperlink>
    </w:p>
    <w:p w14:paraId="27BCF538"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Collins, M., Knutti, R., Arblaster, J., Dufresne, J-L., Fichefet, T., Friedlingstein, P., Gao, X.,</w:t>
      </w:r>
      <w:r w:rsidRPr="009B0448">
        <w:rPr>
          <w:rFonts w:ascii="Times New Roman" w:eastAsia="Times New Roman" w:hAnsi="Times New Roman" w:cs="Times New Roman"/>
        </w:rPr>
        <w:t xml:space="preserve"> Gutowski, W. J., Johns, T., Krinner, M. Shongwe, C. Tebaldi, A. J. Weaver, A. J., </w:t>
      </w:r>
      <w:r w:rsidRPr="009B0448">
        <w:rPr>
          <w:rFonts w:ascii="Times New Roman" w:eastAsia="Times New Roman" w:hAnsi="Times New Roman" w:cs="Times New Roman"/>
          <w:lang w:val="en-ZA" w:eastAsia="en-GB"/>
        </w:rPr>
        <w:t>&amp; Wehner, M. (2013). Long-term climate change: Projections, commitments and irreversibility. In</w:t>
      </w:r>
      <w:r w:rsidRPr="009B0448">
        <w:rPr>
          <w:rFonts w:ascii="Times New Roman" w:hAnsi="Times New Roman" w:cs="Times New Roman"/>
          <w:lang w:val="en-ZA" w:eastAsia="en-GB"/>
        </w:rPr>
        <w:t xml:space="preserve"> T.F. </w:t>
      </w:r>
      <w:r w:rsidRPr="009B0448">
        <w:rPr>
          <w:rFonts w:ascii="Times New Roman" w:eastAsia="Times New Roman" w:hAnsi="Times New Roman" w:cs="Times New Roman"/>
          <w:lang w:val="en-ZA" w:eastAsia="en-GB"/>
        </w:rPr>
        <w:t xml:space="preserve">Stocker, D. Qin, G.-K. Plattner, M. Tignor, S. K. Allen, J. Boschung, A. Nauels, Y, Xia, V. Bex, &amp; P. M. Midgley (Eds.), </w:t>
      </w:r>
      <w:r w:rsidRPr="009B0448">
        <w:rPr>
          <w:rFonts w:ascii="Times New Roman" w:eastAsia="Times New Roman" w:hAnsi="Times New Roman" w:cs="Times New Roman"/>
          <w:i/>
          <w:lang w:val="en-ZA" w:eastAsia="en-GB"/>
        </w:rPr>
        <w:t>Climate Change 2013: The physical science basis</w:t>
      </w:r>
      <w:r w:rsidRPr="009B0448">
        <w:rPr>
          <w:rFonts w:ascii="Times New Roman" w:eastAsia="Times New Roman" w:hAnsi="Times New Roman" w:cs="Times New Roman"/>
          <w:lang w:val="en-ZA" w:eastAsia="en-GB"/>
        </w:rPr>
        <w:t xml:space="preserve">. Contribution of Working Group I to the Fifth Assessment Report of the Intergovernmental Panel on Climate Change. United Kingdom and New York, NY, USA: Cambridge University Press. Retrieved from </w:t>
      </w:r>
      <w:hyperlink r:id="rId1624" w:history="1">
        <w:r w:rsidRPr="009B0448">
          <w:rPr>
            <w:rStyle w:val="Hyperlink"/>
            <w:rFonts w:ascii="Times New Roman" w:eastAsia="Times New Roman" w:hAnsi="Times New Roman" w:cs="Times New Roman"/>
            <w:lang w:val="en-ZA" w:eastAsia="en-GB"/>
          </w:rPr>
          <w:t>http://www.climatechange2013.org/images/report/WG1AR5_ALL_FINAL.pdf</w:t>
        </w:r>
      </w:hyperlink>
    </w:p>
    <w:p w14:paraId="1718276F"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Crona, B., Nyström, M., Folke, C., &amp; Jiddawi. N. (2010). Middlemen, a critical social–ecological link in coastal communities of Kenya and Zanzibar. </w:t>
      </w:r>
      <w:r w:rsidRPr="009B0448">
        <w:rPr>
          <w:rFonts w:ascii="Times New Roman" w:eastAsia="Times New Roman" w:hAnsi="Times New Roman" w:cs="Times New Roman"/>
          <w:i/>
          <w:lang w:val="en-ZA" w:eastAsia="en-GB"/>
        </w:rPr>
        <w:t>Marine Policy, 34</w:t>
      </w:r>
      <w:r w:rsidRPr="009B0448">
        <w:rPr>
          <w:rFonts w:ascii="Times New Roman" w:eastAsia="Times New Roman" w:hAnsi="Times New Roman" w:cs="Times New Roman"/>
          <w:lang w:val="en-ZA" w:eastAsia="en-GB"/>
        </w:rPr>
        <w:t xml:space="preserve">(4), 761–771. </w:t>
      </w:r>
      <w:hyperlink r:id="rId1625" w:history="1">
        <w:r w:rsidRPr="009B0448">
          <w:rPr>
            <w:rStyle w:val="Hyperlink"/>
            <w:rFonts w:ascii="Times New Roman" w:hAnsi="Times New Roman" w:cs="Times New Roman"/>
            <w:lang w:val="en-ZA" w:eastAsia="en-GB"/>
          </w:rPr>
          <w:t>https://doi.org/10.1016/j.marpol.2010.01.023</w:t>
        </w:r>
      </w:hyperlink>
    </w:p>
    <w:p w14:paraId="14AD88BF"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Cumming, G. S., &amp; Van Vuuren, D. P. (2006). Will climate change affect ectoparasite species ranges? </w:t>
      </w:r>
      <w:r w:rsidRPr="009B0448">
        <w:rPr>
          <w:rFonts w:ascii="Times New Roman" w:eastAsia="Times New Roman" w:hAnsi="Times New Roman" w:cs="Times New Roman"/>
          <w:i/>
          <w:lang w:val="en-ZA" w:eastAsia="en-GB"/>
        </w:rPr>
        <w:t>Global Ecology and Biogeography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15</w:t>
      </w:r>
      <w:r w:rsidRPr="009B0448">
        <w:rPr>
          <w:rFonts w:ascii="Times New Roman" w:eastAsia="Times New Roman" w:hAnsi="Times New Roman" w:cs="Times New Roman"/>
          <w:lang w:val="en-ZA" w:eastAsia="en-GB"/>
        </w:rPr>
        <w:t xml:space="preserve">(5), 486–497. </w:t>
      </w:r>
      <w:hyperlink r:id="rId1626" w:history="1">
        <w:r w:rsidRPr="009B0448">
          <w:rPr>
            <w:rStyle w:val="Hyperlink"/>
            <w:rFonts w:ascii="Times New Roman" w:hAnsi="Times New Roman" w:cs="Times New Roman"/>
            <w:lang w:val="en-ZA" w:eastAsia="en-GB"/>
          </w:rPr>
          <w:t>https://doi.org/10.1111/j.1466-822x.200</w:t>
        </w:r>
      </w:hyperlink>
    </w:p>
    <w:p w14:paraId="6063BC6F"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color w:val="333333"/>
          <w:highlight w:val="white"/>
          <w:lang w:val="en-ZA" w:eastAsia="en-GB"/>
        </w:rPr>
      </w:pPr>
      <w:r w:rsidRPr="009B0448">
        <w:rPr>
          <w:rFonts w:ascii="Times New Roman" w:eastAsia="Times New Roman" w:hAnsi="Times New Roman" w:cs="Times New Roman"/>
          <w:color w:val="000000" w:themeColor="text1"/>
          <w:highlight w:val="white"/>
          <w:lang w:val="en-ZA" w:eastAsia="en-GB"/>
        </w:rPr>
        <w:t xml:space="preserve">de Wit, M., &amp; Stankiewicz J. (2006). Changes in surface water supply across Africa with predicted climate change. </w:t>
      </w:r>
      <w:r w:rsidRPr="009B0448">
        <w:rPr>
          <w:rFonts w:ascii="Times New Roman" w:eastAsia="Times New Roman" w:hAnsi="Times New Roman" w:cs="Times New Roman"/>
          <w:i/>
          <w:color w:val="000000" w:themeColor="text1"/>
          <w:highlight w:val="white"/>
          <w:lang w:val="en-ZA" w:eastAsia="en-GB"/>
        </w:rPr>
        <w:t>Science 311,</w:t>
      </w:r>
      <w:r w:rsidRPr="009B0448">
        <w:rPr>
          <w:rFonts w:ascii="Times New Roman" w:eastAsia="Times New Roman" w:hAnsi="Times New Roman" w:cs="Times New Roman"/>
          <w:color w:val="000000" w:themeColor="text1"/>
          <w:highlight w:val="white"/>
          <w:lang w:val="en-ZA" w:eastAsia="en-GB"/>
        </w:rPr>
        <w:t xml:space="preserve"> (5769), 1917</w:t>
      </w:r>
      <w:r w:rsidRPr="009B0448">
        <w:rPr>
          <w:rFonts w:ascii="Times New Roman" w:eastAsia="Times New Roman" w:hAnsi="Times New Roman" w:cs="Times New Roman"/>
          <w:color w:val="000000" w:themeColor="text1"/>
          <w:lang w:val="en-ZA" w:eastAsia="en-GB"/>
        </w:rPr>
        <w:t>–</w:t>
      </w:r>
      <w:r w:rsidRPr="009B0448">
        <w:rPr>
          <w:rFonts w:ascii="Times New Roman" w:eastAsia="Times New Roman" w:hAnsi="Times New Roman" w:cs="Times New Roman"/>
          <w:color w:val="000000" w:themeColor="text1"/>
          <w:highlight w:val="white"/>
          <w:lang w:val="en-ZA" w:eastAsia="en-GB"/>
        </w:rPr>
        <w:t xml:space="preserve">1921. </w:t>
      </w:r>
      <w:hyperlink r:id="rId1627" w:history="1">
        <w:r w:rsidRPr="009B0448">
          <w:rPr>
            <w:rStyle w:val="Hyperlink"/>
            <w:rFonts w:ascii="Times New Roman" w:hAnsi="Times New Roman" w:cs="Times New Roman"/>
            <w:lang w:val="en-ZA" w:eastAsia="en-GB"/>
          </w:rPr>
          <w:t>https://doi.org/10.1126/science.1119929</w:t>
        </w:r>
      </w:hyperlink>
    </w:p>
    <w:p w14:paraId="6D40DF3D"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Delire, C., Ngomanda, A., &amp; Jolly, D. (2008). Possible impacts of 21st century climate on vegetation in Central and West Africa. </w:t>
      </w:r>
      <w:r w:rsidRPr="009B0448">
        <w:rPr>
          <w:rFonts w:ascii="Times New Roman" w:eastAsia="Times New Roman" w:hAnsi="Times New Roman" w:cs="Times New Roman"/>
          <w:i/>
          <w:lang w:val="en-ZA" w:eastAsia="en-GB"/>
        </w:rPr>
        <w:t>Global and Planetary Change</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64</w:t>
      </w:r>
      <w:r w:rsidRPr="009B0448">
        <w:rPr>
          <w:rFonts w:ascii="Times New Roman" w:eastAsia="Times New Roman" w:hAnsi="Times New Roman" w:cs="Times New Roman"/>
          <w:lang w:val="en-ZA" w:eastAsia="en-GB"/>
        </w:rPr>
        <w:t xml:space="preserve">(1), 3–15. </w:t>
      </w:r>
      <w:hyperlink r:id="rId1628" w:history="1">
        <w:r w:rsidRPr="009B0448">
          <w:rPr>
            <w:rStyle w:val="Hyperlink"/>
            <w:rFonts w:ascii="Times New Roman" w:hAnsi="Times New Roman" w:cs="Times New Roman"/>
            <w:lang w:val="en-ZA" w:eastAsia="en-GB"/>
          </w:rPr>
          <w:t>https://doi.org/10.1016/j.gloplacha.2008.01.008</w:t>
        </w:r>
      </w:hyperlink>
    </w:p>
    <w:p w14:paraId="6CC11D18"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color w:val="222222"/>
          <w:lang w:val="en-ZA" w:eastAsia="en-GB"/>
        </w:rPr>
      </w:pPr>
      <w:r w:rsidRPr="009B0448">
        <w:rPr>
          <w:rFonts w:ascii="Times New Roman" w:eastAsia="Times New Roman" w:hAnsi="Times New Roman" w:cs="Times New Roman"/>
          <w:color w:val="000000" w:themeColor="text1"/>
          <w:highlight w:val="white"/>
          <w:lang w:val="en-ZA" w:eastAsia="en-GB"/>
        </w:rPr>
        <w:t xml:space="preserve">Derbyshire, J., &amp; Wright, G. (2017). Augmenting the intuitive logics scenario planning method for a more comprehensive analysis of causation. </w:t>
      </w:r>
      <w:r w:rsidRPr="009B0448">
        <w:rPr>
          <w:rFonts w:ascii="Times New Roman" w:eastAsia="Times New Roman" w:hAnsi="Times New Roman" w:cs="Times New Roman"/>
          <w:i/>
          <w:color w:val="000000" w:themeColor="text1"/>
          <w:highlight w:val="white"/>
          <w:lang w:val="en-ZA" w:eastAsia="en-GB"/>
        </w:rPr>
        <w:t>International Journal of Forecasting</w:t>
      </w:r>
      <w:r w:rsidRPr="009B0448">
        <w:rPr>
          <w:rFonts w:ascii="Times New Roman" w:eastAsia="Times New Roman" w:hAnsi="Times New Roman" w:cs="Times New Roman"/>
          <w:color w:val="000000" w:themeColor="text1"/>
          <w:highlight w:val="white"/>
          <w:lang w:val="en-ZA" w:eastAsia="en-GB"/>
        </w:rPr>
        <w:t xml:space="preserve">, </w:t>
      </w:r>
      <w:r w:rsidRPr="009B0448">
        <w:rPr>
          <w:rFonts w:ascii="Times New Roman" w:eastAsia="Times New Roman" w:hAnsi="Times New Roman" w:cs="Times New Roman"/>
          <w:i/>
          <w:color w:val="000000" w:themeColor="text1"/>
          <w:highlight w:val="white"/>
          <w:lang w:val="en-ZA" w:eastAsia="en-GB"/>
        </w:rPr>
        <w:t>33</w:t>
      </w:r>
      <w:r w:rsidRPr="009B0448">
        <w:rPr>
          <w:rFonts w:ascii="Times New Roman" w:eastAsia="Times New Roman" w:hAnsi="Times New Roman" w:cs="Times New Roman"/>
          <w:color w:val="000000" w:themeColor="text1"/>
          <w:highlight w:val="white"/>
          <w:lang w:val="en-ZA" w:eastAsia="en-GB"/>
        </w:rPr>
        <w:t>(1), 254</w:t>
      </w:r>
      <w:r w:rsidRPr="009B0448">
        <w:rPr>
          <w:rFonts w:ascii="Times New Roman" w:eastAsia="Times New Roman" w:hAnsi="Times New Roman" w:cs="Times New Roman"/>
          <w:color w:val="000000" w:themeColor="text1"/>
          <w:lang w:val="en-ZA" w:eastAsia="en-GB"/>
        </w:rPr>
        <w:t>–</w:t>
      </w:r>
      <w:r w:rsidRPr="009B0448">
        <w:rPr>
          <w:rFonts w:ascii="Times New Roman" w:eastAsia="Times New Roman" w:hAnsi="Times New Roman" w:cs="Times New Roman"/>
          <w:color w:val="000000" w:themeColor="text1"/>
          <w:highlight w:val="white"/>
          <w:lang w:val="en-ZA" w:eastAsia="en-GB"/>
        </w:rPr>
        <w:t>266.</w:t>
      </w:r>
      <w:r w:rsidRPr="009B0448">
        <w:rPr>
          <w:rFonts w:ascii="Times New Roman" w:eastAsia="Times New Roman" w:hAnsi="Times New Roman" w:cs="Times New Roman"/>
          <w:color w:val="000000" w:themeColor="text1"/>
          <w:lang w:val="en-ZA" w:eastAsia="en-GB"/>
        </w:rPr>
        <w:t xml:space="preserve"> </w:t>
      </w:r>
      <w:hyperlink r:id="rId1629" w:history="1">
        <w:r w:rsidRPr="009B0448">
          <w:rPr>
            <w:rStyle w:val="Hyperlink"/>
            <w:rFonts w:ascii="Times New Roman" w:hAnsi="Times New Roman" w:cs="Times New Roman"/>
            <w:lang w:val="en-ZA" w:eastAsia="en-GB"/>
          </w:rPr>
          <w:t>https://doi.org/10.1016/j.ijforecast.2016.01.004</w:t>
        </w:r>
      </w:hyperlink>
    </w:p>
    <w:p w14:paraId="47861E53"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Díaz, S., Demissew, S., Carabias, J., Joly, C., Lonsdale, M., Ash, N., Larigauderie, A., Adhikari, J. R., Arico, S., Baldi, A., Baetuska, A., Baste, I. A., Bilgin, A., Brondizio, E., Chan, K. M. A., Figueroa, V. E., Duraiappah, A., Fischer, M., Hill, R., Koetz, T., Leadley, P., Lyver, P., Mace, G. M., Martin-Lopez, B., Okumura, M., Pacheco, D., Pascual, U., Perez, E. S., Reyers, B., Roth, E., Saito, O., Scholes, R. J., Sharmer, N., Tallis, H., Thaman, R., Watson, R., Yahara, T., Hamid, Z. A., Akosim, C., Al–Hafedh, Allaherdiyev, R., Amankwah, E., Asah, S. T., Asfaw, Z., Bartus, G., Brooks, L. A., Cailaux, J., Dalle, G., Darmaedi, D., Drivers, A., Erpul, G., Escobar-Eyzaguirre, P., Failier, P., Fouda, A. M. M., Fu, .D., Gundimeda, H., Hashimoto, S., Homer, F., Lavorel, S., Lichtenstein, G., Mala, W. A., Mandivenyi, W., Matczak, P., Mbizvo, C., Mehrdadi, M., Metzger, J. P., Mikissa, J. B., Moller, H., Mooney, H. A., Mumby, P., Nagendra, H., Nesshover, C., Oteng–Yeboah, A. A., Pataki, G., Roue, M., Rubis, J., Schultz, M., Smith, P., Sumaila, R., Takeuchi, K., Thomas, S., Verma, M., Yeo–Chang, Y., &amp; Zlatanova, D. (2015). The IPBES conceptual framework-connecting nature to people. </w:t>
      </w:r>
      <w:r w:rsidRPr="009B0448">
        <w:rPr>
          <w:rFonts w:ascii="Times New Roman" w:eastAsia="Times New Roman" w:hAnsi="Times New Roman" w:cs="Times New Roman"/>
          <w:i/>
          <w:lang w:val="en-ZA" w:eastAsia="en-GB"/>
        </w:rPr>
        <w:t>Current Opinion in Environmental Sustainability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14</w:t>
      </w:r>
      <w:r w:rsidRPr="009B0448">
        <w:rPr>
          <w:rFonts w:ascii="Times New Roman" w:eastAsia="Times New Roman" w:hAnsi="Times New Roman" w:cs="Times New Roman"/>
          <w:lang w:val="en-ZA" w:eastAsia="en-GB"/>
        </w:rPr>
        <w:t xml:space="preserve">, 1–16. </w:t>
      </w:r>
      <w:hyperlink r:id="rId1630" w:history="1">
        <w:r w:rsidRPr="009B0448">
          <w:rPr>
            <w:rStyle w:val="Hyperlink"/>
            <w:rFonts w:ascii="Times New Roman" w:hAnsi="Times New Roman" w:cs="Times New Roman"/>
            <w:lang w:val="en-ZA" w:eastAsia="en-GB"/>
          </w:rPr>
          <w:t>https://doi.org/10.1016/j.cosust.2014.11.002</w:t>
        </w:r>
      </w:hyperlink>
    </w:p>
    <w:p w14:paraId="7F4632AF" w14:textId="77777777" w:rsidR="00431F56" w:rsidRPr="009B0448" w:rsidRDefault="00431F56" w:rsidP="00B15DD8">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Dickens, C, O’Brien, G, Quayle, L, Stassen, Kleynhans, M, Rossouw, N Rowntree, K, Mzobe, P, Lindstrom, A, Mackenzie, J, Graham, M, De Villiers, A, Crafford, J, Pearce D, Lewis, F, Gola, P (2014). </w:t>
      </w:r>
      <w:r w:rsidRPr="009B0448">
        <w:rPr>
          <w:rFonts w:ascii="Times New Roman" w:eastAsia="Times New Roman" w:hAnsi="Times New Roman" w:cs="Times New Roman"/>
          <w:i/>
        </w:rPr>
        <w:t>Instream Flow Requirements for the Senqu River– Final Report and 14 supporting reports.</w:t>
      </w:r>
      <w:r w:rsidRPr="009B0448">
        <w:rPr>
          <w:rFonts w:ascii="Times New Roman" w:eastAsia="Times New Roman" w:hAnsi="Times New Roman" w:cs="Times New Roman"/>
        </w:rPr>
        <w:t xml:space="preserve"> Contract 6001, Specialist Consultants to Undertake Baseline Studies (Flow, Water Quality and Geomorphology) and Instream Flow Requirement (IFR) Assessment for Phase 2. Reports to the Lesotho Highlands Development Authority.</w:t>
      </w:r>
    </w:p>
    <w:p w14:paraId="4313704A"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Dintewe, K., Okin, G., D'Odorico, P., Hrast, T., Mladenov, N., Handorean, A., Bhattachan, A., &amp; Caylor, K. K. (2014). Soil organic C and total N pools in the Kalahari: potential impacts of climate change on C sequestration in savannas. </w:t>
      </w:r>
      <w:r w:rsidRPr="009B0448">
        <w:rPr>
          <w:rFonts w:ascii="Times New Roman" w:eastAsia="Times New Roman" w:hAnsi="Times New Roman" w:cs="Times New Roman"/>
          <w:i/>
          <w:lang w:val="en-ZA" w:eastAsia="en-GB"/>
        </w:rPr>
        <w:t>Plant Soil</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396</w:t>
      </w:r>
      <w:r w:rsidRPr="009B0448">
        <w:rPr>
          <w:rFonts w:ascii="Times New Roman" w:eastAsia="Times New Roman" w:hAnsi="Times New Roman" w:cs="Times New Roman"/>
          <w:lang w:val="en-ZA" w:eastAsia="en-GB"/>
        </w:rPr>
        <w:t xml:space="preserve">(1/2), 27–44. </w:t>
      </w:r>
      <w:hyperlink r:id="rId1631" w:history="1">
        <w:r w:rsidRPr="009B0448">
          <w:rPr>
            <w:rStyle w:val="Hyperlink"/>
            <w:rFonts w:ascii="Times New Roman" w:hAnsi="Times New Roman" w:cs="Times New Roman"/>
            <w:lang w:val="en-ZA" w:eastAsia="en-GB"/>
          </w:rPr>
          <w:t>https://doi.org/10.1007/s11104-014-2292-5</w:t>
        </w:r>
      </w:hyperlink>
    </w:p>
    <w:p w14:paraId="5BC7A584"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Dougill, A., Fraser, E., &amp; Reed, M. (2010). Anticipating vulnerability to climate change in dryland pastoral systems: using dynamic systems models for the Kalahari. </w:t>
      </w:r>
      <w:r w:rsidRPr="009B0448">
        <w:rPr>
          <w:rFonts w:ascii="Times New Roman" w:eastAsia="Times New Roman" w:hAnsi="Times New Roman" w:cs="Times New Roman"/>
          <w:i/>
          <w:lang w:val="en-ZA" w:eastAsia="en-GB"/>
        </w:rPr>
        <w:t>Ecology and Society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15</w:t>
      </w:r>
      <w:r w:rsidRPr="009B0448">
        <w:rPr>
          <w:rFonts w:ascii="Times New Roman" w:eastAsia="Times New Roman" w:hAnsi="Times New Roman" w:cs="Times New Roman"/>
          <w:lang w:val="en-ZA" w:eastAsia="en-GB"/>
        </w:rPr>
        <w:t xml:space="preserve">(2), 17. Retrieved from </w:t>
      </w:r>
      <w:hyperlink r:id="rId1632" w:history="1">
        <w:r w:rsidRPr="009B0448">
          <w:rPr>
            <w:rStyle w:val="Hyperlink"/>
            <w:rFonts w:ascii="Times New Roman" w:hAnsi="Times New Roman" w:cs="Times New Roman"/>
            <w:lang w:val="en-ZA" w:eastAsia="en-GB"/>
          </w:rPr>
          <w:t>http://www.ecologyandsociety.org/vol15/iss2/art17/</w:t>
        </w:r>
      </w:hyperlink>
    </w:p>
    <w:p w14:paraId="1525A29B" w14:textId="77777777" w:rsidR="00431F56" w:rsidRPr="009B0448" w:rsidRDefault="00431F56" w:rsidP="006E5BDA">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Drake, J. M., &amp; Beier, J. C. (2014). Ecological niche and potential distribution of Anopheles arabiensis in Africa in 2050. </w:t>
      </w:r>
      <w:r w:rsidRPr="009B0448">
        <w:rPr>
          <w:rFonts w:ascii="Times New Roman" w:eastAsia="Times New Roman" w:hAnsi="Times New Roman" w:cs="Times New Roman"/>
          <w:i/>
          <w:lang w:val="en-ZA" w:eastAsia="en-GB"/>
        </w:rPr>
        <w:t>Malaria Journal</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13</w:t>
      </w:r>
      <w:r w:rsidRPr="009B0448">
        <w:rPr>
          <w:rFonts w:ascii="Times New Roman" w:eastAsia="Times New Roman" w:hAnsi="Times New Roman" w:cs="Times New Roman"/>
          <w:lang w:val="en-ZA" w:eastAsia="en-GB"/>
        </w:rPr>
        <w:t xml:space="preserve">(1), 213. </w:t>
      </w:r>
      <w:hyperlink r:id="rId1633" w:history="1">
        <w:r w:rsidRPr="009B0448">
          <w:rPr>
            <w:rStyle w:val="Hyperlink"/>
            <w:rFonts w:ascii="Times New Roman" w:eastAsia="Times New Roman" w:hAnsi="Times New Roman" w:cs="Times New Roman"/>
            <w:lang w:val="en-ZA" w:eastAsia="en-GB"/>
          </w:rPr>
          <w:t>https://doi.org/10.1186/1475-2875-13-213</w:t>
        </w:r>
      </w:hyperlink>
    </w:p>
    <w:p w14:paraId="5FDBCC21"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color w:val="000000" w:themeColor="text1"/>
          <w:lang w:val="en-ZA" w:eastAsia="en-GB"/>
        </w:rPr>
        <w:t xml:space="preserve">El-Gabbas, A., El Din, S. B., Zalat, S., &amp; Gilbert, F. (2016). Conserving Egypt's reptiles under climate change. </w:t>
      </w:r>
      <w:r w:rsidRPr="009B0448">
        <w:rPr>
          <w:rFonts w:ascii="Times New Roman" w:eastAsia="Times New Roman" w:hAnsi="Times New Roman" w:cs="Times New Roman"/>
          <w:i/>
          <w:color w:val="000000" w:themeColor="text1"/>
          <w:lang w:val="en-ZA" w:eastAsia="en-GB"/>
        </w:rPr>
        <w:t>Journal of Arid Environments</w:t>
      </w:r>
      <w:r w:rsidRPr="009B0448">
        <w:rPr>
          <w:rFonts w:ascii="Times New Roman" w:eastAsia="Times New Roman" w:hAnsi="Times New Roman" w:cs="Times New Roman"/>
          <w:color w:val="000000" w:themeColor="text1"/>
          <w:lang w:val="en-ZA" w:eastAsia="en-GB"/>
        </w:rPr>
        <w:t xml:space="preserve">, </w:t>
      </w:r>
      <w:r w:rsidRPr="009B0448">
        <w:rPr>
          <w:rFonts w:ascii="Times New Roman" w:eastAsia="Times New Roman" w:hAnsi="Times New Roman" w:cs="Times New Roman"/>
          <w:i/>
          <w:color w:val="000000" w:themeColor="text1"/>
          <w:lang w:val="en-ZA" w:eastAsia="en-GB"/>
        </w:rPr>
        <w:t>127</w:t>
      </w:r>
      <w:r w:rsidRPr="009B0448">
        <w:rPr>
          <w:rFonts w:ascii="Times New Roman" w:eastAsia="Times New Roman" w:hAnsi="Times New Roman" w:cs="Times New Roman"/>
          <w:color w:val="000000" w:themeColor="text1"/>
          <w:lang w:val="en-ZA" w:eastAsia="en-GB"/>
        </w:rPr>
        <w:t xml:space="preserve">, 211–221. </w:t>
      </w:r>
      <w:hyperlink r:id="rId1634" w:history="1">
        <w:r w:rsidRPr="009B0448">
          <w:rPr>
            <w:rStyle w:val="Hyperlink"/>
            <w:rFonts w:ascii="Times New Roman" w:hAnsi="Times New Roman" w:cs="Times New Roman"/>
            <w:lang w:val="en-ZA" w:eastAsia="en-GB"/>
          </w:rPr>
          <w:t>https://doi.org/10.1016/j.jaridenv.2015.12.007</w:t>
        </w:r>
      </w:hyperlink>
    </w:p>
    <w:p w14:paraId="0E32F432"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Enfors, E., Gordon, L., Peterson, G., &amp; Bossio, D. (2008). Making investments in dryland development work: participatory scenario planning in the Makanya catchment, Tanzania</w:t>
      </w:r>
      <w:r w:rsidRPr="009B0448">
        <w:rPr>
          <w:rFonts w:ascii="Times New Roman" w:eastAsia="Times New Roman" w:hAnsi="Times New Roman" w:cs="Times New Roman"/>
          <w:i/>
          <w:lang w:val="en-ZA" w:eastAsia="en-GB"/>
        </w:rPr>
        <w:t>. Ecology and Society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13</w:t>
      </w:r>
      <w:r w:rsidRPr="009B0448">
        <w:rPr>
          <w:rFonts w:ascii="Times New Roman" w:eastAsia="Times New Roman" w:hAnsi="Times New Roman" w:cs="Times New Roman"/>
          <w:lang w:val="en-ZA" w:eastAsia="en-GB"/>
        </w:rPr>
        <w:t xml:space="preserve">(2), 42. Retrieved from </w:t>
      </w:r>
      <w:hyperlink r:id="rId1635" w:history="1">
        <w:r w:rsidRPr="009B0448">
          <w:rPr>
            <w:rStyle w:val="Hyperlink"/>
            <w:rFonts w:ascii="Times New Roman" w:hAnsi="Times New Roman" w:cs="Times New Roman"/>
            <w:lang w:val="en-ZA" w:eastAsia="en-GB"/>
          </w:rPr>
          <w:t>http://www.ecologyandsociety.org/vol13/iss2/art42/</w:t>
        </w:r>
      </w:hyperlink>
    </w:p>
    <w:p w14:paraId="53CECC59"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Erb, K. H., Haberl, H., &amp; Plutzar, C. (2012). Dependency of global primary bioenergy crop potentials in 2050 on food systems, yields, biodiversity conservation and political stability. </w:t>
      </w:r>
      <w:r w:rsidRPr="009B0448">
        <w:rPr>
          <w:rFonts w:ascii="Times New Roman" w:eastAsia="Times New Roman" w:hAnsi="Times New Roman" w:cs="Times New Roman"/>
          <w:i/>
          <w:lang w:val="en-ZA" w:eastAsia="en-GB"/>
        </w:rPr>
        <w:t>Energy Policy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47</w:t>
      </w:r>
      <w:r w:rsidRPr="009B0448">
        <w:rPr>
          <w:rFonts w:ascii="Times New Roman" w:eastAsia="Times New Roman" w:hAnsi="Times New Roman" w:cs="Times New Roman"/>
          <w:lang w:val="en-ZA" w:eastAsia="en-GB"/>
        </w:rPr>
        <w:t xml:space="preserve">, 260–269. Retrieved from </w:t>
      </w:r>
      <w:hyperlink r:id="rId1636" w:history="1">
        <w:r w:rsidRPr="009B0448">
          <w:rPr>
            <w:rStyle w:val="Hyperlink"/>
            <w:rFonts w:ascii="Times New Roman" w:hAnsi="Times New Roman" w:cs="Times New Roman"/>
            <w:lang w:val="en-ZA" w:eastAsia="en-GB"/>
          </w:rPr>
          <w:t>https://doi.org/10.1016/j.enpol.2012.04.066</w:t>
        </w:r>
      </w:hyperlink>
    </w:p>
    <w:p w14:paraId="3F825649"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Fader, M., Shi, S., Bloh, W. V., Bondeau, A., &amp; Cramer, W. (2016). Mediterranean irrigation under climate change: more efficient irrigation needed to compensate for increases in irrigation water requirements. </w:t>
      </w:r>
      <w:r w:rsidRPr="009B0448">
        <w:rPr>
          <w:rFonts w:ascii="Times New Roman" w:eastAsia="Times New Roman" w:hAnsi="Times New Roman" w:cs="Times New Roman"/>
          <w:i/>
        </w:rPr>
        <w:t>Hydrology and Earth System Sciences</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20</w:t>
      </w:r>
      <w:r w:rsidRPr="009B0448">
        <w:rPr>
          <w:rFonts w:ascii="Times New Roman" w:eastAsia="Times New Roman" w:hAnsi="Times New Roman" w:cs="Times New Roman"/>
        </w:rPr>
        <w:t xml:space="preserve">(2), 953–973. </w:t>
      </w:r>
      <w:hyperlink r:id="rId1637" w:history="1">
        <w:r w:rsidRPr="009B0448">
          <w:rPr>
            <w:rStyle w:val="Hyperlink"/>
            <w:rFonts w:ascii="Times New Roman" w:eastAsia="Times New Roman" w:hAnsi="Times New Roman" w:cs="Times New Roman"/>
          </w:rPr>
          <w:t>https://doi.org/10.5194/hess-20-953-2016</w:t>
        </w:r>
      </w:hyperlink>
    </w:p>
    <w:p w14:paraId="06351433"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Fischer, G., Shah, M., Tubiello, F. N., &amp; Van Velhuizen, H. (2005). Socio-economic and climate change impacts on agriculture: an integrated assessment, 1990–2080. </w:t>
      </w:r>
      <w:r w:rsidRPr="009B0448">
        <w:rPr>
          <w:rFonts w:ascii="Times New Roman" w:eastAsia="Times New Roman" w:hAnsi="Times New Roman" w:cs="Times New Roman"/>
          <w:i/>
          <w:lang w:val="en-ZA" w:eastAsia="en-GB"/>
        </w:rPr>
        <w:t>Philosophical Transactions of the Royal Society B: Biological Sciences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360</w:t>
      </w:r>
      <w:r w:rsidRPr="009B0448">
        <w:rPr>
          <w:rFonts w:ascii="Times New Roman" w:eastAsia="Times New Roman" w:hAnsi="Times New Roman" w:cs="Times New Roman"/>
          <w:lang w:val="en-ZA" w:eastAsia="en-GB"/>
        </w:rPr>
        <w:t xml:space="preserve">(1463), 2067–2083. Retrieved from </w:t>
      </w:r>
      <w:hyperlink r:id="rId1638" w:history="1">
        <w:r w:rsidRPr="009B0448">
          <w:rPr>
            <w:rStyle w:val="Hyperlink"/>
            <w:rFonts w:ascii="Times New Roman" w:hAnsi="Times New Roman" w:cs="Times New Roman"/>
            <w:lang w:val="en-ZA" w:eastAsia="en-GB"/>
          </w:rPr>
          <w:t>http://www.jstor.org/stable/30041395</w:t>
        </w:r>
      </w:hyperlink>
    </w:p>
    <w:p w14:paraId="3D54AEA9"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Fisher, B., Turner, R. K., Burgess, N. D., Swetnam, R. D., Green, J., Green, R. E., Kajembe, G., Kulindwa, K., Lewis, S.L., Marchant, R., Marshall, A. R., Madoffe, S., Munishi, P.K.T., Morse–Jones, S., Mwakalila, S., Paavola, J., Naidoo, R., Ricketts, T., Rouget, M., Willock, S., White, S., &amp; Balmford, A. (2011). Measuring, modeling and mapping ecosystem services in the Eastern Arc Mountains of Tanzania. </w:t>
      </w:r>
      <w:r w:rsidRPr="009B0448">
        <w:rPr>
          <w:rFonts w:ascii="Times New Roman" w:eastAsia="Times New Roman" w:hAnsi="Times New Roman" w:cs="Times New Roman"/>
          <w:i/>
          <w:lang w:val="en-ZA" w:eastAsia="en-GB"/>
        </w:rPr>
        <w:t>Progress in Physical Geography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35</w:t>
      </w:r>
      <w:r w:rsidRPr="009B0448">
        <w:rPr>
          <w:rFonts w:ascii="Times New Roman" w:eastAsia="Times New Roman" w:hAnsi="Times New Roman" w:cs="Times New Roman"/>
          <w:lang w:val="en-ZA" w:eastAsia="en-GB"/>
        </w:rPr>
        <w:t xml:space="preserve">(5), 595–611. </w:t>
      </w:r>
      <w:hyperlink r:id="rId1639" w:history="1">
        <w:r w:rsidRPr="009B0448">
          <w:rPr>
            <w:rStyle w:val="Hyperlink"/>
            <w:rFonts w:ascii="Times New Roman" w:hAnsi="Times New Roman" w:cs="Times New Roman"/>
            <w:lang w:val="en-ZA" w:eastAsia="en-GB"/>
          </w:rPr>
          <w:t>https://doi.org/10.1177/0309133311422968</w:t>
        </w:r>
      </w:hyperlink>
    </w:p>
    <w:p w14:paraId="74BD63D5"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FRB (Fondation pour la Recherche sur la Biodiversite). (2013). </w:t>
      </w:r>
      <w:r w:rsidRPr="009B0448">
        <w:rPr>
          <w:rFonts w:ascii="Times New Roman" w:eastAsia="Times New Roman" w:hAnsi="Times New Roman" w:cs="Times New Roman"/>
          <w:i/>
        </w:rPr>
        <w:t>Scénarios de la biodiversité: un état des lieux des publications scientifiques françaises.</w:t>
      </w:r>
      <w:r w:rsidRPr="009B0448">
        <w:rPr>
          <w:rFonts w:ascii="Times New Roman" w:eastAsia="Times New Roman" w:hAnsi="Times New Roman" w:cs="Times New Roman"/>
        </w:rPr>
        <w:t xml:space="preserve"> Fondation pour la Recherche sur la Biodiversité (FRB). Retrieved from </w:t>
      </w:r>
      <w:hyperlink r:id="rId1640" w:history="1">
        <w:r w:rsidRPr="009B0448">
          <w:rPr>
            <w:rStyle w:val="Hyperlink"/>
            <w:rFonts w:ascii="Times New Roman" w:eastAsia="Times New Roman" w:hAnsi="Times New Roman" w:cs="Times New Roman"/>
          </w:rPr>
          <w:t>http://www.fondationbiodiversite.fr/images/stories/telechargement/MODELO/02-rapportfrb-web3.pdf</w:t>
        </w:r>
      </w:hyperlink>
    </w:p>
    <w:p w14:paraId="20ABC570"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Gallopín, G. C., Hammond, A., Raskin, P., &amp; Swart, R. (1997). </w:t>
      </w:r>
      <w:r w:rsidRPr="009B0448">
        <w:rPr>
          <w:rFonts w:ascii="Times New Roman" w:eastAsia="Times New Roman" w:hAnsi="Times New Roman" w:cs="Times New Roman"/>
          <w:i/>
        </w:rPr>
        <w:t>Branch points: Global scenarios and human choice.</w:t>
      </w:r>
      <w:r w:rsidRPr="009B0448">
        <w:rPr>
          <w:rFonts w:ascii="Times New Roman" w:eastAsia="Times New Roman" w:hAnsi="Times New Roman" w:cs="Times New Roman"/>
        </w:rPr>
        <w:t xml:space="preserve"> Stockholm, Sweden: Stockholm Environment Institute. </w:t>
      </w:r>
      <w:r w:rsidRPr="009B0448">
        <w:rPr>
          <w:rFonts w:ascii="Times New Roman" w:eastAsia="Times New Roman" w:hAnsi="Times New Roman" w:cs="Times New Roman"/>
          <w:color w:val="00000A"/>
        </w:rPr>
        <w:t xml:space="preserve">Retrieved from </w:t>
      </w:r>
      <w:hyperlink r:id="rId1641" w:history="1">
        <w:r w:rsidRPr="009B0448">
          <w:rPr>
            <w:rStyle w:val="Hyperlink"/>
            <w:rFonts w:ascii="Times New Roman" w:eastAsia="Times New Roman" w:hAnsi="Times New Roman" w:cs="Times New Roman"/>
          </w:rPr>
          <w:t>http://citeseerx.ist.psu.edu/viewdoc/download?doi=10.1.1.401.3361&amp;rep=rep1&amp;type=pdf</w:t>
        </w:r>
      </w:hyperlink>
    </w:p>
    <w:p w14:paraId="78C21241"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Galvin, K. A., Thornton, P. K., De Pinho, J. R., Sunderland, J., &amp; Boone, R. B. (2006). Integrated modeling and its potential for resolving conflicts between conservation and people in the rangelands of East Africa. </w:t>
      </w:r>
      <w:r w:rsidRPr="009B0448">
        <w:rPr>
          <w:rFonts w:ascii="Times New Roman" w:eastAsia="Times New Roman" w:hAnsi="Times New Roman" w:cs="Times New Roman"/>
          <w:i/>
        </w:rPr>
        <w:t>Human Ecology</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34</w:t>
      </w:r>
      <w:r w:rsidRPr="009B0448">
        <w:rPr>
          <w:rFonts w:ascii="Times New Roman" w:eastAsia="Times New Roman" w:hAnsi="Times New Roman" w:cs="Times New Roman"/>
        </w:rPr>
        <w:t xml:space="preserve">(2), 155–183. </w:t>
      </w:r>
      <w:hyperlink r:id="rId1642" w:history="1">
        <w:r w:rsidRPr="009B0448">
          <w:rPr>
            <w:rStyle w:val="Hyperlink"/>
            <w:rFonts w:ascii="Times New Roman" w:eastAsia="Times New Roman" w:hAnsi="Times New Roman" w:cs="Times New Roman"/>
          </w:rPr>
          <w:t>https://doi.org/10.1007/s10745-006-9012-6</w:t>
        </w:r>
      </w:hyperlink>
    </w:p>
    <w:p w14:paraId="48434D23"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Garcia, R. A., Araujo, M. B., Burgess, N. D., Foden, W. B., Gutsche, A., Rahbek, C., &amp; Cabeza, M. (2014). Matching species traits to projected threats and opportunities from climate change. </w:t>
      </w:r>
      <w:r w:rsidRPr="009B0448">
        <w:rPr>
          <w:rFonts w:ascii="Times New Roman" w:eastAsia="Times New Roman" w:hAnsi="Times New Roman" w:cs="Times New Roman"/>
          <w:i/>
          <w:lang w:val="en-ZA" w:eastAsia="en-GB"/>
        </w:rPr>
        <w:t>Journal of Biogeography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41</w:t>
      </w:r>
      <w:r w:rsidRPr="009B0448">
        <w:rPr>
          <w:rFonts w:ascii="Times New Roman" w:eastAsia="Times New Roman" w:hAnsi="Times New Roman" w:cs="Times New Roman"/>
          <w:lang w:val="en-ZA" w:eastAsia="en-GB"/>
        </w:rPr>
        <w:t xml:space="preserve">, 724–735. </w:t>
      </w:r>
      <w:hyperlink r:id="rId1643" w:history="1">
        <w:r w:rsidRPr="009B0448">
          <w:rPr>
            <w:rStyle w:val="Hyperlink"/>
            <w:rFonts w:ascii="Times New Roman" w:hAnsi="Times New Roman" w:cs="Times New Roman"/>
            <w:lang w:val="en-ZA" w:eastAsia="en-GB"/>
          </w:rPr>
          <w:t>https://doi.org/10.1111/jbi.12257</w:t>
        </w:r>
      </w:hyperlink>
    </w:p>
    <w:p w14:paraId="58F30590"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GEF (Global Ecological Footprint). (2016). Tool available at: </w:t>
      </w:r>
      <w:hyperlink r:id="rId1644" w:history="1">
        <w:r w:rsidRPr="009B0448">
          <w:rPr>
            <w:rStyle w:val="Hyperlink"/>
            <w:rFonts w:ascii="Times New Roman" w:hAnsi="Times New Roman" w:cs="Times New Roman"/>
            <w:lang w:val="en-ZA" w:eastAsia="en-GB"/>
          </w:rPr>
          <w:t>www.footprintnetwork.org</w:t>
        </w:r>
      </w:hyperlink>
    </w:p>
    <w:p w14:paraId="7E295AF2" w14:textId="77777777" w:rsidR="00431F56" w:rsidRPr="009B0448" w:rsidRDefault="00431F56" w:rsidP="007F6179">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Gunderson, L. H., &amp; Holling, C. S. (2002). </w:t>
      </w:r>
      <w:r w:rsidRPr="009B0448">
        <w:rPr>
          <w:rFonts w:ascii="Times New Roman" w:eastAsia="Times New Roman" w:hAnsi="Times New Roman" w:cs="Times New Roman"/>
          <w:i/>
          <w:lang w:val="en" w:eastAsia="en-GB"/>
        </w:rPr>
        <w:t>Panarchy: understanding transformations in human and natural systems</w:t>
      </w:r>
      <w:r w:rsidRPr="009B0448">
        <w:rPr>
          <w:rFonts w:ascii="Times New Roman" w:eastAsia="Times New Roman" w:hAnsi="Times New Roman" w:cs="Times New Roman"/>
          <w:lang w:val="en" w:eastAsia="en-GB"/>
        </w:rPr>
        <w:t>. Washington, DC: Island Press. ISBN: 9781559638579</w:t>
      </w:r>
    </w:p>
    <w:p w14:paraId="1392FCDD"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Hannah, L., Midgley, G. F., Andelman, S., Araújo, M., Hughes, G., Martinez-Meyer, E., Pearson, R., &amp; Williams, P. (2007). Protected area needs in a changing climate. </w:t>
      </w:r>
      <w:r w:rsidRPr="009B0448">
        <w:rPr>
          <w:rFonts w:ascii="Times New Roman" w:eastAsia="Times New Roman" w:hAnsi="Times New Roman" w:cs="Times New Roman"/>
          <w:i/>
          <w:lang w:val="en-ZA" w:eastAsia="en-GB"/>
        </w:rPr>
        <w:t>Frontiers in Ecology and the Environment</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5</w:t>
      </w:r>
      <w:r w:rsidRPr="009B0448">
        <w:rPr>
          <w:rFonts w:ascii="Times New Roman" w:eastAsia="Times New Roman" w:hAnsi="Times New Roman" w:cs="Times New Roman"/>
          <w:lang w:val="en-ZA" w:eastAsia="en-GB"/>
        </w:rPr>
        <w:t xml:space="preserve">(3), 131–138. </w:t>
      </w:r>
      <w:hyperlink r:id="rId1645" w:history="1">
        <w:r w:rsidRPr="009B0448">
          <w:rPr>
            <w:rStyle w:val="Hyperlink"/>
            <w:rFonts w:ascii="Times New Roman" w:eastAsia="Times New Roman" w:hAnsi="Times New Roman" w:cs="Times New Roman"/>
            <w:lang w:val="en-ZA" w:eastAsia="en-GB"/>
          </w:rPr>
          <w:t>https://doi.org/10.1890/1540-9295(2007)5[131:PANIAC]2.0.CO;2</w:t>
        </w:r>
      </w:hyperlink>
    </w:p>
    <w:p w14:paraId="08FB6302"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Herslund, L. B., Jalayer, F., Jean-Baptiste, N., Jørgensen, G., Kabisch, S., Kombe, W., Lindley, S., Patrik, K. N., Pauleit, S., Printz, A., &amp; Vedeld, T. (2016), A multi-dimensional assessment of urban vulnerability to climate change in sub-Saharan Africa. </w:t>
      </w:r>
      <w:r w:rsidRPr="009B0448">
        <w:rPr>
          <w:rFonts w:ascii="Times New Roman" w:eastAsia="Times New Roman" w:hAnsi="Times New Roman" w:cs="Times New Roman"/>
          <w:i/>
          <w:lang w:val="en-ZA" w:eastAsia="en-GB"/>
        </w:rPr>
        <w:t>Natural Hazards,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82</w:t>
      </w:r>
      <w:r w:rsidRPr="009B0448">
        <w:rPr>
          <w:rFonts w:ascii="Times New Roman" w:eastAsia="Times New Roman" w:hAnsi="Times New Roman" w:cs="Times New Roman"/>
          <w:lang w:val="en-ZA" w:eastAsia="en-GB"/>
        </w:rPr>
        <w:t xml:space="preserve">, 149–172. </w:t>
      </w:r>
      <w:hyperlink r:id="rId1646" w:history="1">
        <w:r w:rsidRPr="009B0448">
          <w:rPr>
            <w:rFonts w:ascii="Times New Roman" w:hAnsi="Times New Roman" w:cs="Times New Roman"/>
          </w:rPr>
          <w:t xml:space="preserve"> </w:t>
        </w:r>
        <w:r w:rsidRPr="009B0448">
          <w:rPr>
            <w:rStyle w:val="Hyperlink"/>
            <w:rFonts w:ascii="Times New Roman" w:hAnsi="Times New Roman" w:cs="Times New Roman"/>
            <w:lang w:val="en-ZA" w:eastAsia="en-GB"/>
          </w:rPr>
          <w:t>https://doi.org/10.1007/s11069-015-1856-x</w:t>
        </w:r>
      </w:hyperlink>
    </w:p>
    <w:p w14:paraId="2F120A76"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Hole, D. G., Willis, S. G., Pain, D. J., Fishpool, L. D., Butchart, S. H. M., Collingham, Y. C., Rahbek, C., &amp; Huntley, B. (2009). Projected impacts of climate change on a continent-wide protected area network. </w:t>
      </w:r>
      <w:r w:rsidRPr="009B0448">
        <w:rPr>
          <w:rFonts w:ascii="Times New Roman" w:eastAsia="Times New Roman" w:hAnsi="Times New Roman" w:cs="Times New Roman"/>
          <w:i/>
          <w:lang w:val="en-ZA" w:eastAsia="en-GB"/>
        </w:rPr>
        <w:t>Ecology Letters</w:t>
      </w:r>
      <w:r w:rsidRPr="009B0448">
        <w:rPr>
          <w:rFonts w:ascii="Times New Roman" w:eastAsia="Times New Roman" w:hAnsi="Times New Roman" w:cs="Times New Roman"/>
          <w:lang w:val="en-ZA" w:eastAsia="en-GB"/>
        </w:rPr>
        <w:t>,</w:t>
      </w:r>
      <w:r w:rsidRPr="009B0448">
        <w:rPr>
          <w:rFonts w:ascii="Times New Roman" w:eastAsia="Times New Roman" w:hAnsi="Times New Roman" w:cs="Times New Roman"/>
          <w:i/>
          <w:lang w:val="en-ZA" w:eastAsia="en-GB"/>
        </w:rPr>
        <w:t xml:space="preserve"> 12</w:t>
      </w:r>
      <w:r w:rsidRPr="009B0448">
        <w:rPr>
          <w:rFonts w:ascii="Times New Roman" w:eastAsia="Times New Roman" w:hAnsi="Times New Roman" w:cs="Times New Roman"/>
          <w:lang w:val="en-ZA" w:eastAsia="en-GB"/>
        </w:rPr>
        <w:t xml:space="preserve">(5), 420–431. </w:t>
      </w:r>
      <w:hyperlink r:id="rId1647" w:history="1">
        <w:r w:rsidRPr="009B0448">
          <w:rPr>
            <w:rStyle w:val="Hyperlink"/>
            <w:rFonts w:ascii="Times New Roman" w:hAnsi="Times New Roman" w:cs="Times New Roman"/>
            <w:lang w:val="en-ZA" w:eastAsia="en-GB"/>
          </w:rPr>
          <w:t>https://doi.org/10.1111/j.1461-0248.2009.01297.x</w:t>
        </w:r>
      </w:hyperlink>
    </w:p>
    <w:p w14:paraId="62281653"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Houniet, D. T., Thuiller, W., &amp; Tolley, K. A. (2009). Potential effects of predicted climate change on the endemic South African Dwarf Chameleons, Bradypodion. </w:t>
      </w:r>
      <w:r w:rsidRPr="009B0448">
        <w:rPr>
          <w:rFonts w:ascii="Times New Roman" w:eastAsia="Times New Roman" w:hAnsi="Times New Roman" w:cs="Times New Roman"/>
          <w:i/>
          <w:lang w:val="en-ZA" w:eastAsia="en-GB"/>
        </w:rPr>
        <w:t>African Journal of Herpetology,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58</w:t>
      </w:r>
      <w:r w:rsidRPr="009B0448">
        <w:rPr>
          <w:rFonts w:ascii="Times New Roman" w:eastAsia="Times New Roman" w:hAnsi="Times New Roman" w:cs="Times New Roman"/>
          <w:lang w:val="en-ZA" w:eastAsia="en-GB"/>
        </w:rPr>
        <w:t xml:space="preserve">(1), 28–35. </w:t>
      </w:r>
      <w:hyperlink r:id="rId1648" w:history="1">
        <w:r w:rsidRPr="009B0448">
          <w:rPr>
            <w:rStyle w:val="Hyperlink"/>
            <w:rFonts w:ascii="Times New Roman" w:hAnsi="Times New Roman" w:cs="Times New Roman"/>
            <w:lang w:val="en-ZA" w:eastAsia="en-GB"/>
          </w:rPr>
          <w:t>https://doi.org/10.1080/21564574.2009.9635577</w:t>
        </w:r>
      </w:hyperlink>
    </w:p>
    <w:p w14:paraId="36ED569A"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Hua, W., Chen, H., Sun, S., &amp; Zhou, L. (2015). Assessing climatic impacts of future land use and land cover change projected with the CanESM2 model. </w:t>
      </w:r>
      <w:r w:rsidRPr="009B0448">
        <w:rPr>
          <w:rFonts w:ascii="Times New Roman" w:eastAsia="Times New Roman" w:hAnsi="Times New Roman" w:cs="Times New Roman"/>
          <w:i/>
          <w:lang w:val="en-ZA" w:eastAsia="en-GB"/>
        </w:rPr>
        <w:t>International Journal of Climatology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35</w:t>
      </w:r>
      <w:r w:rsidRPr="009B0448">
        <w:rPr>
          <w:rFonts w:ascii="Times New Roman" w:eastAsia="Times New Roman" w:hAnsi="Times New Roman" w:cs="Times New Roman"/>
          <w:lang w:val="en-ZA" w:eastAsia="en-GB"/>
        </w:rPr>
        <w:t xml:space="preserve">(12), 3661–3675. </w:t>
      </w:r>
      <w:hyperlink r:id="rId1649" w:history="1">
        <w:r w:rsidRPr="009B0448">
          <w:rPr>
            <w:rStyle w:val="Hyperlink"/>
            <w:rFonts w:ascii="Times New Roman" w:hAnsi="Times New Roman" w:cs="Times New Roman"/>
            <w:lang w:val="en-ZA" w:eastAsia="en-GB"/>
          </w:rPr>
          <w:t>https://doi.org/10.1002/joc.4240</w:t>
        </w:r>
      </w:hyperlink>
    </w:p>
    <w:p w14:paraId="4A2033BA"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Hunt, D. V. L., Lombardi, D. R., Atkinson, S., Barber, A. R. G., Barnes, M., Boyko C. T., Brown, J., Bryson, J., Butler, D., Caputo, S., Caserio, M., Coles, R., Cooper, R. F. D., Farmani, R., Gaterell, M., Hale, J., Hales, C., Hewitt, C. N., Jankovic, L., Jefferson, I., Leach, J., MacKenzie, A. R., Memon, F. A., Sadler, J. P., Weingaertner, C., Whyatt, J. D., &amp; Rogers, C. D. F. (2012). Scenario archetypes: converging rather than diverging themes. </w:t>
      </w:r>
      <w:r w:rsidRPr="009B0448">
        <w:rPr>
          <w:rFonts w:ascii="Times New Roman" w:eastAsia="Times New Roman" w:hAnsi="Times New Roman" w:cs="Times New Roman"/>
          <w:i/>
          <w:lang w:val="en-ZA" w:eastAsia="en-GB"/>
        </w:rPr>
        <w:t>Sustainability, 4</w:t>
      </w:r>
      <w:r w:rsidRPr="009B0448">
        <w:rPr>
          <w:rFonts w:ascii="Times New Roman" w:eastAsia="Times New Roman" w:hAnsi="Times New Roman" w:cs="Times New Roman"/>
          <w:lang w:val="en-ZA" w:eastAsia="en-GB"/>
        </w:rPr>
        <w:t xml:space="preserve">(4), 740–772. </w:t>
      </w:r>
      <w:hyperlink r:id="rId1650" w:history="1">
        <w:r w:rsidRPr="009B0448">
          <w:rPr>
            <w:rStyle w:val="Hyperlink"/>
            <w:rFonts w:ascii="Times New Roman" w:hAnsi="Times New Roman" w:cs="Times New Roman"/>
            <w:lang w:val="en-ZA" w:eastAsia="en-GB"/>
          </w:rPr>
          <w:t>https://doi.org/10.3390/su4040740</w:t>
        </w:r>
      </w:hyperlink>
    </w:p>
    <w:p w14:paraId="506D41FB"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color w:val="auto"/>
          <w:lang w:val="en-ZA" w:eastAsia="en-GB"/>
        </w:rPr>
      </w:pPr>
      <w:r w:rsidRPr="009B0448">
        <w:rPr>
          <w:rFonts w:ascii="Times New Roman" w:eastAsia="Times New Roman" w:hAnsi="Times New Roman" w:cs="Times New Roman"/>
          <w:color w:val="auto"/>
          <w:highlight w:val="white"/>
          <w:lang w:val="en-ZA" w:eastAsia="en-GB"/>
        </w:rPr>
        <w:t xml:space="preserve">IPBES. (2016). </w:t>
      </w:r>
      <w:r w:rsidRPr="009B0448">
        <w:rPr>
          <w:rFonts w:ascii="Times New Roman" w:eastAsia="Times New Roman" w:hAnsi="Times New Roman" w:cs="Times New Roman"/>
          <w:i/>
          <w:color w:val="auto"/>
          <w:highlight w:val="white"/>
          <w:lang w:val="en-ZA" w:eastAsia="en-GB"/>
        </w:rPr>
        <w:t>Summary for policymakers of the</w:t>
      </w:r>
      <w:r w:rsidRPr="009B0448">
        <w:rPr>
          <w:rFonts w:ascii="Times New Roman" w:eastAsia="Times New Roman" w:hAnsi="Times New Roman" w:cs="Times New Roman"/>
          <w:color w:val="auto"/>
          <w:highlight w:val="white"/>
          <w:lang w:val="en-ZA" w:eastAsia="en-GB"/>
        </w:rPr>
        <w:t xml:space="preserve"> </w:t>
      </w:r>
      <w:r w:rsidRPr="009B0448">
        <w:rPr>
          <w:rFonts w:ascii="Times New Roman" w:eastAsia="Times New Roman" w:hAnsi="Times New Roman" w:cs="Times New Roman"/>
          <w:i/>
          <w:color w:val="auto"/>
          <w:highlight w:val="white"/>
          <w:lang w:val="en-ZA" w:eastAsia="en-GB"/>
        </w:rPr>
        <w:t>methodological assessment report on scenarios and models of biodiversity and ecosystem services</w:t>
      </w:r>
      <w:r w:rsidRPr="009B0448">
        <w:rPr>
          <w:rFonts w:ascii="Times New Roman" w:eastAsia="Times New Roman" w:hAnsi="Times New Roman" w:cs="Times New Roman"/>
          <w:color w:val="auto"/>
          <w:highlight w:val="white"/>
          <w:lang w:val="en-ZA" w:eastAsia="en-GB"/>
        </w:rPr>
        <w:t>. Secretariat of the Intergovernmental Science-Policy Platform on Biodiversity and Ecosystem Services, pp. 32. Bonn, Germany.</w:t>
      </w:r>
      <w:r w:rsidRPr="009B0448">
        <w:rPr>
          <w:rFonts w:ascii="Times New Roman" w:eastAsia="Times New Roman" w:hAnsi="Times New Roman" w:cs="Times New Roman"/>
          <w:color w:val="auto"/>
          <w:lang w:val="en-ZA" w:eastAsia="en-GB"/>
        </w:rPr>
        <w:t xml:space="preserve"> Retrieved from </w:t>
      </w:r>
      <w:hyperlink r:id="rId1651" w:history="1">
        <w:r w:rsidRPr="009B0448">
          <w:rPr>
            <w:rStyle w:val="Hyperlink"/>
            <w:rFonts w:ascii="Times New Roman" w:eastAsia="Times New Roman" w:hAnsi="Times New Roman" w:cs="Times New Roman"/>
            <w:lang w:val="en-ZA" w:eastAsia="en-GB"/>
          </w:rPr>
          <w:t>https://www.ipbes.net/sites/default/files/downloads/pdf/SPM_Deliverable_3c.pdf</w:t>
        </w:r>
      </w:hyperlink>
    </w:p>
    <w:p w14:paraId="0A892B1B"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IPCC (Intergovernmental Panel on Climate Change). (2007). </w:t>
      </w:r>
      <w:r w:rsidRPr="009B0448">
        <w:rPr>
          <w:rFonts w:ascii="Times New Roman" w:eastAsia="Times New Roman" w:hAnsi="Times New Roman" w:cs="Times New Roman"/>
          <w:i/>
          <w:lang w:val="en-ZA" w:eastAsia="en-GB"/>
        </w:rPr>
        <w:t>Climate Change 2007: Synthesis Report. The Fourth Assessment Report of the Intergovernmental Panel on Climate Change</w:t>
      </w:r>
      <w:r w:rsidRPr="009B0448">
        <w:rPr>
          <w:rFonts w:ascii="Times New Roman" w:eastAsia="Times New Roman" w:hAnsi="Times New Roman" w:cs="Times New Roman"/>
          <w:lang w:val="en-ZA" w:eastAsia="en-GB"/>
        </w:rPr>
        <w:t xml:space="preserve">. Cambridge: Cambridge University Press. Retrieved from </w:t>
      </w:r>
      <w:hyperlink r:id="rId1652" w:history="1">
        <w:r w:rsidRPr="009B0448">
          <w:rPr>
            <w:rStyle w:val="Hyperlink"/>
            <w:rFonts w:ascii="Times New Roman" w:eastAsia="Times New Roman" w:hAnsi="Times New Roman" w:cs="Times New Roman"/>
            <w:lang w:val="en-ZA" w:eastAsia="en-GB"/>
          </w:rPr>
          <w:t>http://www.ipcc.ch/publications_and_data/publications_ipcc_fourth_assessment_report_synthesis_report.htm</w:t>
        </w:r>
      </w:hyperlink>
    </w:p>
    <w:p w14:paraId="4B475405" w14:textId="77777777" w:rsidR="00431F56" w:rsidRPr="009B0448" w:rsidRDefault="00431F56" w:rsidP="00117770">
      <w:pPr>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auto"/>
        </w:rPr>
        <w:t xml:space="preserve">IPCC </w:t>
      </w:r>
      <w:r w:rsidRPr="009B0448">
        <w:rPr>
          <w:rFonts w:ascii="Times New Roman" w:eastAsia="Times New Roman" w:hAnsi="Times New Roman" w:cs="Times New Roman"/>
          <w:lang w:val="en-ZA" w:eastAsia="en-GB"/>
        </w:rPr>
        <w:t>(Intergovernmental Panel on Climate Change)</w:t>
      </w:r>
      <w:r w:rsidRPr="009B0448">
        <w:rPr>
          <w:rFonts w:ascii="Times New Roman" w:eastAsia="Times New Roman" w:hAnsi="Times New Roman" w:cs="Times New Roman"/>
          <w:color w:val="auto"/>
        </w:rPr>
        <w:t xml:space="preserve">. (2014). </w:t>
      </w:r>
      <w:r w:rsidRPr="009B0448">
        <w:rPr>
          <w:rFonts w:ascii="Times New Roman" w:eastAsia="Times New Roman" w:hAnsi="Times New Roman" w:cs="Times New Roman"/>
          <w:i/>
          <w:color w:val="auto"/>
        </w:rPr>
        <w:t xml:space="preserve">Climate change 2014: synthesis report. Contribution of Working Groups I, II and III to the fifth assessment report of the Intergovernmental Panel on Climate Change </w:t>
      </w:r>
      <w:r w:rsidRPr="009B0448">
        <w:rPr>
          <w:rFonts w:ascii="Times New Roman" w:eastAsia="Times New Roman" w:hAnsi="Times New Roman" w:cs="Times New Roman"/>
          <w:color w:val="auto"/>
        </w:rPr>
        <w:t>(p. 151).</w:t>
      </w:r>
      <w:r w:rsidRPr="009B0448">
        <w:rPr>
          <w:rFonts w:ascii="Times New Roman" w:eastAsia="Times New Roman" w:hAnsi="Times New Roman" w:cs="Times New Roman"/>
          <w:i/>
          <w:color w:val="auto"/>
        </w:rPr>
        <w:t xml:space="preserve"> </w:t>
      </w:r>
      <w:r w:rsidRPr="009B0448">
        <w:rPr>
          <w:rFonts w:ascii="Times New Roman" w:hAnsi="Times New Roman" w:cs="Times New Roman"/>
        </w:rPr>
        <w:t>Pachauri, R. K., Allen, M. R., Barros, V. R., Broome, J., Cramer, W., Christ, R., Church, J.A., Clarke, L., Dahe, Q., Dasgupta, P., &amp; Dubash, N. K. (Eds.)</w:t>
      </w:r>
      <w:r w:rsidRPr="009B0448">
        <w:rPr>
          <w:rFonts w:ascii="Times New Roman" w:eastAsia="Times New Roman" w:hAnsi="Times New Roman" w:cs="Times New Roman"/>
          <w:color w:val="auto"/>
        </w:rPr>
        <w:t xml:space="preserve"> Geneva, Switzerland: IPCC. Retrieved from </w:t>
      </w:r>
      <w:hyperlink r:id="rId1653" w:history="1">
        <w:r w:rsidRPr="009B0448">
          <w:rPr>
            <w:rStyle w:val="Hyperlink"/>
            <w:rFonts w:ascii="Times New Roman" w:eastAsia="Times New Roman" w:hAnsi="Times New Roman" w:cs="Times New Roman"/>
          </w:rPr>
          <w:t>http://www.ipcc.ch/pdf/assessment-report/ar5/syr/SYR_AR5_FINAL_full_wcover.pdf</w:t>
        </w:r>
      </w:hyperlink>
    </w:p>
    <w:p w14:paraId="0A6F19EA" w14:textId="77777777" w:rsidR="00431F56" w:rsidRPr="009B0448" w:rsidRDefault="00431F56" w:rsidP="00117770">
      <w:pPr>
        <w:spacing w:after="120" w:line="276" w:lineRule="auto"/>
        <w:ind w:left="567" w:hanging="567"/>
        <w:rPr>
          <w:rFonts w:ascii="Times New Roman" w:eastAsia="Times New Roman" w:hAnsi="Times New Roman" w:cs="Times New Roman"/>
          <w:color w:val="auto"/>
        </w:rPr>
      </w:pPr>
      <w:r w:rsidRPr="009B0448">
        <w:rPr>
          <w:rFonts w:ascii="Times New Roman" w:eastAsia="Times New Roman" w:hAnsi="Times New Roman" w:cs="Times New Roman"/>
          <w:color w:val="auto"/>
        </w:rPr>
        <w:t>Jaramillo, J., Muchugu, E., Vega, F. E., Davis, A., Borgemeister, C., &amp; Chabi-Olaye, A. (2011). Some like it hot: the influence and implications of climate change on coffee berry borer (</w:t>
      </w:r>
      <w:r w:rsidRPr="009B0448">
        <w:rPr>
          <w:rFonts w:ascii="Times New Roman" w:eastAsia="Times New Roman" w:hAnsi="Times New Roman" w:cs="Times New Roman"/>
          <w:i/>
          <w:color w:val="auto"/>
        </w:rPr>
        <w:t>Hypothenemus hampei</w:t>
      </w:r>
      <w:r w:rsidRPr="009B0448">
        <w:rPr>
          <w:rFonts w:ascii="Times New Roman" w:eastAsia="Times New Roman" w:hAnsi="Times New Roman" w:cs="Times New Roman"/>
          <w:color w:val="auto"/>
        </w:rPr>
        <w:t xml:space="preserve">) and coffee production in East Africa. </w:t>
      </w:r>
      <w:r w:rsidRPr="009B0448">
        <w:rPr>
          <w:rFonts w:ascii="Times New Roman" w:eastAsia="Times New Roman" w:hAnsi="Times New Roman" w:cs="Times New Roman"/>
          <w:i/>
          <w:color w:val="auto"/>
        </w:rPr>
        <w:t xml:space="preserve">PLoS </w:t>
      </w:r>
      <w:r w:rsidRPr="009B0448">
        <w:rPr>
          <w:rFonts w:ascii="Times New Roman" w:eastAsia="Times New Roman" w:hAnsi="Times New Roman" w:cs="Times New Roman"/>
          <w:i/>
        </w:rPr>
        <w:t>ONE</w:t>
      </w:r>
      <w:r w:rsidRPr="009B0448">
        <w:rPr>
          <w:rFonts w:ascii="Times New Roman" w:eastAsia="Times New Roman" w:hAnsi="Times New Roman" w:cs="Times New Roman"/>
          <w:color w:val="auto"/>
        </w:rPr>
        <w:t xml:space="preserve">, 6(9), e24528. </w:t>
      </w:r>
      <w:hyperlink r:id="rId1654" w:history="1">
        <w:r w:rsidRPr="009B0448">
          <w:rPr>
            <w:rStyle w:val="Hyperlink"/>
            <w:rFonts w:ascii="Times New Roman" w:eastAsia="Times New Roman" w:hAnsi="Times New Roman" w:cs="Times New Roman"/>
          </w:rPr>
          <w:t>https://doi.org/10.1371/journal.pone.0024528</w:t>
        </w:r>
      </w:hyperlink>
    </w:p>
    <w:p w14:paraId="6341CE2B"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color w:val="auto"/>
          <w:lang w:val="en-ZA" w:eastAsia="en-GB"/>
        </w:rPr>
      </w:pPr>
      <w:bookmarkStart w:id="464" w:name="_s9fmp0bnyml1" w:colFirst="0" w:colLast="0"/>
      <w:bookmarkEnd w:id="464"/>
      <w:r w:rsidRPr="009B0448">
        <w:rPr>
          <w:rFonts w:ascii="Times New Roman" w:eastAsia="Times New Roman" w:hAnsi="Times New Roman" w:cs="Times New Roman"/>
          <w:color w:val="auto"/>
          <w:lang w:val="en-ZA" w:eastAsia="en-GB"/>
        </w:rPr>
        <w:t xml:space="preserve">Jetz, W., Wilcove, D. S., &amp; Dobson, A. P. (2007). Projected impacts of climate change and land-use change on the global diversity of birds. </w:t>
      </w:r>
      <w:r w:rsidRPr="009B0448">
        <w:rPr>
          <w:rFonts w:ascii="Times New Roman" w:eastAsia="Times New Roman" w:hAnsi="Times New Roman" w:cs="Times New Roman"/>
          <w:i/>
          <w:color w:val="auto"/>
          <w:lang w:val="en-ZA" w:eastAsia="en-GB"/>
        </w:rPr>
        <w:t>PLoS Biology, 5</w:t>
      </w:r>
      <w:r w:rsidRPr="009B0448">
        <w:rPr>
          <w:rFonts w:ascii="Times New Roman" w:eastAsia="Times New Roman" w:hAnsi="Times New Roman" w:cs="Times New Roman"/>
          <w:color w:val="auto"/>
          <w:lang w:val="en-ZA" w:eastAsia="en-GB"/>
        </w:rPr>
        <w:t xml:space="preserve">(6), e157. </w:t>
      </w:r>
      <w:hyperlink r:id="rId1655" w:history="1">
        <w:r w:rsidRPr="009B0448">
          <w:rPr>
            <w:rStyle w:val="Hyperlink"/>
            <w:rFonts w:ascii="Times New Roman" w:hAnsi="Times New Roman" w:cs="Times New Roman"/>
            <w:lang w:val="en-ZA" w:eastAsia="en-GB"/>
          </w:rPr>
          <w:t>https://doi.org/10.1371/journal.pbio.0050157</w:t>
        </w:r>
      </w:hyperlink>
    </w:p>
    <w:p w14:paraId="6E8F2F3F"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color w:val="auto"/>
          <w:highlight w:val="white"/>
          <w:lang w:val="en-ZA" w:eastAsia="en-GB"/>
        </w:rPr>
      </w:pPr>
      <w:r w:rsidRPr="009B0448">
        <w:rPr>
          <w:rFonts w:ascii="Times New Roman" w:eastAsia="Times New Roman" w:hAnsi="Times New Roman" w:cs="Times New Roman"/>
          <w:color w:val="auto"/>
          <w:highlight w:val="white"/>
          <w:lang w:val="en-ZA" w:eastAsia="en-GB"/>
        </w:rPr>
        <w:t xml:space="preserve">Kissling, W. D., Field, R., Korntheuer, H., Heyder, U., &amp; Böhning-Gaese, K. (2010). Woody plants and the prediction of climate-change impacts on bird diversity. </w:t>
      </w:r>
      <w:r w:rsidRPr="009B0448">
        <w:rPr>
          <w:rFonts w:ascii="Times New Roman" w:eastAsia="Times New Roman" w:hAnsi="Times New Roman" w:cs="Times New Roman"/>
          <w:i/>
          <w:color w:val="auto"/>
          <w:highlight w:val="white"/>
          <w:lang w:val="en-ZA" w:eastAsia="en-GB"/>
        </w:rPr>
        <w:t>Philosophical Transactions of the Royal Society B: Biological Sciences, 365</w:t>
      </w:r>
      <w:r w:rsidRPr="009B0448">
        <w:rPr>
          <w:rFonts w:ascii="Times New Roman" w:eastAsia="Times New Roman" w:hAnsi="Times New Roman" w:cs="Times New Roman"/>
          <w:color w:val="auto"/>
          <w:highlight w:val="white"/>
          <w:lang w:val="en-ZA" w:eastAsia="en-GB"/>
        </w:rPr>
        <w:t xml:space="preserve">(1549), 2035–2045. </w:t>
      </w:r>
      <w:hyperlink r:id="rId1656" w:history="1">
        <w:r w:rsidRPr="009B0448">
          <w:rPr>
            <w:rStyle w:val="Hyperlink"/>
            <w:rFonts w:ascii="Times New Roman" w:hAnsi="Times New Roman" w:cs="Times New Roman"/>
            <w:lang w:val="en-ZA" w:eastAsia="en-GB"/>
          </w:rPr>
          <w:t>https://doi.org/</w:t>
        </w:r>
        <w:r w:rsidRPr="009B0448">
          <w:rPr>
            <w:rStyle w:val="Hyperlink"/>
            <w:rFonts w:ascii="Times New Roman" w:hAnsi="Times New Roman" w:cs="Times New Roman"/>
            <w:highlight w:val="white"/>
            <w:lang w:val="en-ZA" w:eastAsia="en-GB"/>
          </w:rPr>
          <w:t>10.1098/rstb.2010.0008</w:t>
        </w:r>
      </w:hyperlink>
    </w:p>
    <w:p w14:paraId="061465BF" w14:textId="77777777" w:rsidR="00431F56" w:rsidRPr="009B0448" w:rsidRDefault="00431F56" w:rsidP="00E57852">
      <w:pPr>
        <w:widowControl w:val="0"/>
        <w:spacing w:before="120" w:after="120" w:line="276" w:lineRule="auto"/>
        <w:ind w:left="567" w:hanging="567"/>
        <w:rPr>
          <w:rFonts w:ascii="Times New Roman" w:hAnsi="Times New Roman" w:cs="Times New Roman"/>
          <w:color w:val="0563C1"/>
          <w:u w:val="single"/>
        </w:rPr>
      </w:pPr>
      <w:r w:rsidRPr="009B0448">
        <w:rPr>
          <w:rFonts w:ascii="Times New Roman" w:eastAsia="Times New Roman" w:hAnsi="Times New Roman" w:cs="Times New Roman"/>
          <w:color w:val="auto"/>
          <w:lang w:val="en-ZA" w:eastAsia="en-GB"/>
        </w:rPr>
        <w:t>Kok, K., Biggs, R., &amp; Zurek, M. (2007). Methods for developing multiscale participatory scenarios: Insights from Southern Africa and Europe</w:t>
      </w:r>
      <w:r w:rsidRPr="009B0448">
        <w:rPr>
          <w:rFonts w:ascii="Times New Roman" w:eastAsia="Times New Roman" w:hAnsi="Times New Roman" w:cs="Times New Roman"/>
          <w:i/>
          <w:color w:val="auto"/>
          <w:lang w:val="en-ZA" w:eastAsia="en-GB"/>
        </w:rPr>
        <w:t>. Ecology and Society 13</w:t>
      </w:r>
      <w:r w:rsidRPr="009B0448">
        <w:rPr>
          <w:rFonts w:ascii="Times New Roman" w:eastAsia="Times New Roman" w:hAnsi="Times New Roman" w:cs="Times New Roman"/>
          <w:color w:val="auto"/>
          <w:lang w:val="en-ZA" w:eastAsia="en-GB"/>
        </w:rPr>
        <w:t xml:space="preserve">(1), 8. Retrieved from </w:t>
      </w:r>
      <w:hyperlink r:id="rId1657" w:history="1">
        <w:r w:rsidRPr="009B0448">
          <w:rPr>
            <w:rStyle w:val="Hyperlink"/>
            <w:rFonts w:ascii="Times New Roman" w:hAnsi="Times New Roman" w:cs="Times New Roman"/>
            <w:color w:val="0563C1"/>
          </w:rPr>
          <w:t>http://www.ecologyandsociety.org/vol12/iss1/art8/</w:t>
        </w:r>
      </w:hyperlink>
    </w:p>
    <w:p w14:paraId="57900C8E"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Kollongei, K. J., &amp; Lorentz, S. A. (2015). Modelling hydrological processes, crop yields and NPS pollution in a small sub-tropical catchment in South Africa using ACRU-NPS. </w:t>
      </w:r>
      <w:r w:rsidRPr="009B0448">
        <w:rPr>
          <w:rFonts w:ascii="Times New Roman" w:eastAsia="Times New Roman" w:hAnsi="Times New Roman" w:cs="Times New Roman"/>
          <w:i/>
        </w:rPr>
        <w:t>Hydrological Sciences Journal,</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i/>
        </w:rPr>
        <w:t>60</w:t>
      </w:r>
      <w:r w:rsidRPr="009B0448">
        <w:rPr>
          <w:rFonts w:ascii="Times New Roman" w:eastAsia="Times New Roman" w:hAnsi="Times New Roman" w:cs="Times New Roman"/>
        </w:rPr>
        <w:t>(11), 2003</w:t>
      </w:r>
      <w:r w:rsidRPr="009B0448">
        <w:rPr>
          <w:rFonts w:ascii="Times New Roman" w:eastAsia="Times New Roman" w:hAnsi="Times New Roman" w:cs="Times New Roman"/>
          <w:lang w:val="en-ZA" w:eastAsia="en-GB"/>
        </w:rPr>
        <w:t>–</w:t>
      </w:r>
      <w:r w:rsidRPr="009B0448">
        <w:rPr>
          <w:rFonts w:ascii="Times New Roman" w:eastAsia="Times New Roman" w:hAnsi="Times New Roman" w:cs="Times New Roman"/>
        </w:rPr>
        <w:t xml:space="preserve">2028. </w:t>
      </w:r>
      <w:hyperlink r:id="rId1658" w:history="1">
        <w:r w:rsidRPr="009B0448">
          <w:rPr>
            <w:rStyle w:val="Hyperlink"/>
            <w:rFonts w:ascii="Times New Roman" w:eastAsia="Times New Roman" w:hAnsi="Times New Roman" w:cs="Times New Roman"/>
          </w:rPr>
          <w:t>https://doi.org/10.1080/02626667.2015.1087644</w:t>
        </w:r>
      </w:hyperlink>
    </w:p>
    <w:p w14:paraId="4C3E77F4"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color w:val="auto"/>
          <w:lang w:val="en-ZA" w:eastAsia="en-GB"/>
        </w:rPr>
        <w:t>Kriegler, E., O’Neill, B. C., Hallegatte, S., Kram, T., Lempert, R., Moss, R. H., &amp; Wilbanks</w:t>
      </w:r>
      <w:r w:rsidRPr="009B0448">
        <w:rPr>
          <w:rFonts w:ascii="Times New Roman" w:eastAsia="Times New Roman" w:hAnsi="Times New Roman" w:cs="Times New Roman"/>
          <w:lang w:val="en-ZA" w:eastAsia="en-GB"/>
        </w:rPr>
        <w:t xml:space="preserve">, T. J. (2010). </w:t>
      </w:r>
      <w:r w:rsidRPr="009B0448">
        <w:rPr>
          <w:rFonts w:ascii="Times New Roman" w:eastAsia="Times New Roman" w:hAnsi="Times New Roman" w:cs="Times New Roman"/>
          <w:i/>
          <w:lang w:val="en-ZA" w:eastAsia="en-GB"/>
        </w:rPr>
        <w:t>Socio-economic scenario development for climate change analysis.</w:t>
      </w:r>
      <w:r w:rsidRPr="009B0448">
        <w:rPr>
          <w:rFonts w:ascii="Times New Roman" w:eastAsia="Times New Roman" w:hAnsi="Times New Roman" w:cs="Times New Roman"/>
          <w:lang w:val="en-ZA" w:eastAsia="en-GB"/>
        </w:rPr>
        <w:t xml:space="preserve"> CIRED Working Paper. DT/WP No 2010-23, October 2010. Retrieved from </w:t>
      </w:r>
      <w:hyperlink r:id="rId1659" w:history="1">
        <w:r w:rsidRPr="009B0448">
          <w:rPr>
            <w:rStyle w:val="Hyperlink"/>
            <w:rFonts w:ascii="Times New Roman" w:eastAsia="Times New Roman" w:hAnsi="Times New Roman" w:cs="Times New Roman"/>
            <w:lang w:val="en-ZA" w:eastAsia="en-GB"/>
          </w:rPr>
          <w:t>http://www.centre-cired.fr/IMG/pdf/CIREDWP-201023.pdf</w:t>
        </w:r>
      </w:hyperlink>
    </w:p>
    <w:p w14:paraId="138CB9B7"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Kriticos, D. J, &amp; Brunel, S. (2016). Assessing and Managing the Current and Future Pest Risk from Water Hyacinth, (</w:t>
      </w:r>
      <w:r w:rsidRPr="009B0448">
        <w:rPr>
          <w:rFonts w:ascii="Times New Roman" w:eastAsia="Times New Roman" w:hAnsi="Times New Roman" w:cs="Times New Roman"/>
          <w:i/>
          <w:lang w:val="en-ZA" w:eastAsia="en-GB"/>
        </w:rPr>
        <w:t>Eichhornia crassipes</w:t>
      </w:r>
      <w:r w:rsidRPr="009B0448">
        <w:rPr>
          <w:rFonts w:ascii="Times New Roman" w:eastAsia="Times New Roman" w:hAnsi="Times New Roman" w:cs="Times New Roman"/>
          <w:lang w:val="en-ZA" w:eastAsia="en-GB"/>
        </w:rPr>
        <w:t xml:space="preserve">), an Invasive Aquatic Plant Threatening the Environment and Water Security. </w:t>
      </w:r>
      <w:r w:rsidRPr="009B0448">
        <w:rPr>
          <w:rFonts w:ascii="Times New Roman" w:eastAsia="Times New Roman" w:hAnsi="Times New Roman" w:cs="Times New Roman"/>
          <w:i/>
          <w:lang w:val="en-ZA" w:eastAsia="en-GB"/>
        </w:rPr>
        <w:t xml:space="preserve">PLoS </w:t>
      </w:r>
      <w:r w:rsidRPr="009B0448">
        <w:rPr>
          <w:rFonts w:ascii="Times New Roman" w:eastAsia="Times New Roman" w:hAnsi="Times New Roman" w:cs="Times New Roman"/>
          <w:i/>
        </w:rPr>
        <w:t>ONE</w:t>
      </w:r>
      <w:r w:rsidRPr="009B0448">
        <w:rPr>
          <w:rFonts w:ascii="Times New Roman" w:eastAsia="Times New Roman" w:hAnsi="Times New Roman" w:cs="Times New Roman"/>
          <w:i/>
          <w:lang w:val="en-ZA" w:eastAsia="en-GB"/>
        </w:rPr>
        <w:t xml:space="preserve"> 11</w:t>
      </w:r>
      <w:r w:rsidRPr="009B0448">
        <w:rPr>
          <w:rFonts w:ascii="Times New Roman" w:eastAsia="Times New Roman" w:hAnsi="Times New Roman" w:cs="Times New Roman"/>
          <w:lang w:val="en-ZA" w:eastAsia="en-GB"/>
        </w:rPr>
        <w:t>(8</w:t>
      </w:r>
      <w:r w:rsidRPr="009B0448">
        <w:rPr>
          <w:rFonts w:ascii="Times New Roman" w:eastAsia="Times New Roman" w:hAnsi="Times New Roman" w:cs="Times New Roman"/>
        </w:rPr>
        <w:t xml:space="preserve">), e0120054. </w:t>
      </w:r>
      <w:hyperlink r:id="rId1660" w:history="1">
        <w:r w:rsidRPr="009B0448">
          <w:rPr>
            <w:rStyle w:val="Hyperlink"/>
            <w:rFonts w:ascii="Times New Roman" w:hAnsi="Times New Roman" w:cs="Times New Roman"/>
            <w:lang w:val="en-ZA" w:eastAsia="en-GB"/>
          </w:rPr>
          <w:t>https://doi.org/10.1371/journal.pone.0120054</w:t>
        </w:r>
      </w:hyperlink>
    </w:p>
    <w:p w14:paraId="18BD4E71"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Kuhlmann, M., Guo, D., Veldtman, R., &amp; Donaldson, J. (2012). Consequences of warming up a hotspot: species range shifts within a centre of bee diversity. </w:t>
      </w:r>
      <w:r w:rsidRPr="009B0448">
        <w:rPr>
          <w:rFonts w:ascii="Times New Roman" w:eastAsia="Times New Roman" w:hAnsi="Times New Roman" w:cs="Times New Roman"/>
          <w:i/>
          <w:lang w:val="en-ZA" w:eastAsia="en-GB"/>
        </w:rPr>
        <w:t>Diversity and Distributions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18</w:t>
      </w:r>
      <w:r w:rsidRPr="009B0448">
        <w:rPr>
          <w:rFonts w:ascii="Times New Roman" w:eastAsia="Times New Roman" w:hAnsi="Times New Roman" w:cs="Times New Roman"/>
          <w:lang w:val="en-ZA" w:eastAsia="en-GB"/>
        </w:rPr>
        <w:t>(9), 885–897.</w:t>
      </w:r>
      <w:r w:rsidRPr="009B0448">
        <w:rPr>
          <w:rFonts w:ascii="Times New Roman" w:hAnsi="Times New Roman" w:cs="Times New Roman"/>
        </w:rPr>
        <w:t xml:space="preserve"> </w:t>
      </w:r>
      <w:hyperlink r:id="rId1661" w:history="1">
        <w:r w:rsidRPr="009B0448">
          <w:rPr>
            <w:rStyle w:val="Hyperlink"/>
            <w:rFonts w:ascii="Times New Roman" w:hAnsi="Times New Roman" w:cs="Times New Roman"/>
            <w:lang w:val="en-ZA" w:eastAsia="en-GB"/>
          </w:rPr>
          <w:t>https://doi.org/10.1111/j.1472-4642.2011.00877.x</w:t>
        </w:r>
      </w:hyperlink>
    </w:p>
    <w:p w14:paraId="3176F7EE"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Lambin, E. F., D’haen, S. A. L., Mertz, O., Nielsen, J.O., &amp; Rasmussen, K. (2014). Scenarios on future land changes in the West African Sahel. </w:t>
      </w:r>
      <w:r w:rsidRPr="009B0448">
        <w:rPr>
          <w:rFonts w:ascii="Times New Roman" w:eastAsia="Times New Roman" w:hAnsi="Times New Roman" w:cs="Times New Roman"/>
          <w:i/>
          <w:lang w:val="en-ZA" w:eastAsia="en-GB"/>
        </w:rPr>
        <w:t>Geografisk Tidsskrift-Danish Journal of Geography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114</w:t>
      </w:r>
      <w:r w:rsidRPr="009B0448">
        <w:rPr>
          <w:rFonts w:ascii="Times New Roman" w:eastAsia="Times New Roman" w:hAnsi="Times New Roman" w:cs="Times New Roman"/>
          <w:lang w:val="en-ZA" w:eastAsia="en-GB"/>
        </w:rPr>
        <w:t xml:space="preserve">, 76–83. </w:t>
      </w:r>
      <w:hyperlink r:id="rId1662" w:history="1">
        <w:r w:rsidRPr="009B0448">
          <w:rPr>
            <w:rStyle w:val="Hyperlink"/>
            <w:rFonts w:ascii="Times New Roman" w:hAnsi="Times New Roman" w:cs="Times New Roman"/>
            <w:lang w:val="en-ZA" w:eastAsia="en-GB"/>
          </w:rPr>
          <w:t>https://doi.org/10.1080/00167223.2013.878229</w:t>
        </w:r>
      </w:hyperlink>
    </w:p>
    <w:p w14:paraId="3C1225C0"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Lamon, L., Rizzi, J., Bonaduce, A., Dubois, C., Lazzari, P., Ghenim, L., Gana, S., Somot, S., Li, L., Canu, D. M, Solidoro, C., Pinardi, N., &amp; Marcomini, A. (2014). An ensemble of models for identifying climate change scenarios in the Gulf of Gabes, Tunisia. </w:t>
      </w:r>
      <w:r w:rsidRPr="009B0448">
        <w:rPr>
          <w:rFonts w:ascii="Times New Roman" w:eastAsia="Times New Roman" w:hAnsi="Times New Roman" w:cs="Times New Roman"/>
          <w:i/>
          <w:lang w:val="en-ZA" w:eastAsia="en-GB"/>
        </w:rPr>
        <w:t>Regional Environmental Change, 14</w:t>
      </w:r>
      <w:r w:rsidRPr="009B0448">
        <w:rPr>
          <w:rFonts w:ascii="Times New Roman" w:eastAsia="Times New Roman" w:hAnsi="Times New Roman" w:cs="Times New Roman"/>
          <w:lang w:val="en-ZA" w:eastAsia="en-GB"/>
        </w:rPr>
        <w:t xml:space="preserve">(1), 31–40. </w:t>
      </w:r>
      <w:hyperlink r:id="rId1663" w:history="1">
        <w:r w:rsidRPr="009B0448">
          <w:rPr>
            <w:rStyle w:val="Hyperlink"/>
            <w:rFonts w:ascii="Times New Roman" w:eastAsia="Times New Roman" w:hAnsi="Times New Roman" w:cs="Times New Roman"/>
            <w:lang w:val="en-ZA" w:eastAsia="en-GB"/>
          </w:rPr>
          <w:t>https://doi.org/</w:t>
        </w:r>
        <w:r w:rsidRPr="009B0448">
          <w:rPr>
            <w:rStyle w:val="Hyperlink"/>
            <w:rFonts w:ascii="Times New Roman" w:hAnsi="Times New Roman" w:cs="Times New Roman"/>
            <w:lang w:val="en-ZA" w:eastAsia="en-GB"/>
          </w:rPr>
          <w:t>10.1007/s10113-013-0430-x</w:t>
        </w:r>
      </w:hyperlink>
    </w:p>
    <w:p w14:paraId="1F3F0ABF"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Levy, M., Babu, S., Hamilton, K., Rhoe, V., Catenazzi A., Chen, M., &amp; Reid W. V., Sengupta, D., Ximing, C., Balmford, A., &amp; Bond, W. (2005). </w:t>
      </w:r>
      <w:r w:rsidRPr="009B0448">
        <w:rPr>
          <w:rFonts w:ascii="Times New Roman" w:eastAsia="Times New Roman" w:hAnsi="Times New Roman" w:cs="Times New Roman"/>
          <w:i/>
          <w:lang w:val="en-ZA" w:eastAsia="en-GB"/>
        </w:rPr>
        <w:t xml:space="preserve">Ecosystem conditions and human well-being. </w:t>
      </w:r>
      <w:r w:rsidRPr="009B0448">
        <w:rPr>
          <w:rFonts w:ascii="Times New Roman" w:eastAsia="Times New Roman" w:hAnsi="Times New Roman" w:cs="Times New Roman"/>
          <w:lang w:val="en-ZA" w:eastAsia="en-GB"/>
        </w:rPr>
        <w:t>Chapter 5. Ecosystems and human well-being: Current state and trends: Findings of the Condition and Trends Working Group. Millennium Ecosystem Assessment Series, Volume 1, Washington, DC, USA:</w:t>
      </w:r>
      <w:r w:rsidRPr="009B0448">
        <w:rPr>
          <w:rFonts w:ascii="Times New Roman" w:hAnsi="Times New Roman" w:cs="Times New Roman"/>
          <w:lang w:val="en-ZA" w:eastAsia="en-GB"/>
        </w:rPr>
        <w:t xml:space="preserve"> </w:t>
      </w:r>
      <w:r w:rsidRPr="009B0448">
        <w:rPr>
          <w:rFonts w:ascii="Times New Roman" w:eastAsia="Times New Roman" w:hAnsi="Times New Roman" w:cs="Times New Roman"/>
          <w:lang w:val="en-ZA" w:eastAsia="en-GB"/>
        </w:rPr>
        <w:t xml:space="preserve">Island Press. Retrieved from </w:t>
      </w:r>
      <w:hyperlink r:id="rId1664" w:history="1">
        <w:r w:rsidRPr="009B0448">
          <w:rPr>
            <w:rStyle w:val="Hyperlink"/>
            <w:rFonts w:ascii="Times New Roman" w:eastAsia="Times New Roman" w:hAnsi="Times New Roman" w:cs="Times New Roman"/>
            <w:lang w:val="en-ZA" w:eastAsia="en-GB"/>
          </w:rPr>
          <w:t>https://www.millenniumassessment.org/documents/document.274.aspx.pdf</w:t>
        </w:r>
      </w:hyperlink>
    </w:p>
    <w:p w14:paraId="508C0C9D"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LHDA. (2010). L</w:t>
      </w:r>
      <w:r w:rsidRPr="009B0448">
        <w:rPr>
          <w:rFonts w:ascii="Times New Roman" w:eastAsia="Times New Roman" w:hAnsi="Times New Roman" w:cs="Times New Roman"/>
          <w:i/>
        </w:rPr>
        <w:t>esotho Highlands Water Project Phase 1: Policy for Instream Flow Requirements.</w:t>
      </w:r>
      <w:r w:rsidRPr="009B0448">
        <w:rPr>
          <w:rFonts w:ascii="Times New Roman" w:eastAsia="Times New Roman" w:hAnsi="Times New Roman" w:cs="Times New Roman"/>
        </w:rPr>
        <w:t xml:space="preserve"> Lesotho: Lesotho Highlands Development Authority. Retrieved from </w:t>
      </w:r>
      <w:hyperlink r:id="rId1665" w:history="1">
        <w:r w:rsidRPr="009B0448">
          <w:rPr>
            <w:rStyle w:val="Hyperlink"/>
            <w:rFonts w:ascii="Times New Roman" w:eastAsia="Times New Roman" w:hAnsi="Times New Roman" w:cs="Times New Roman"/>
          </w:rPr>
          <w:t>http://www.dwaf.gov.za/Docs/Other/LHWP/LHDA%20IFR%20PID%20final.pdf</w:t>
        </w:r>
      </w:hyperlink>
    </w:p>
    <w:p w14:paraId="27CCCAF6"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Lötter, D., &amp; le Maitre, D. (2014). Modelling the distribution of Aspalathus linearis (Rooibos tea): implications of climate change for livelihoods dependent on both cultivation and harvesting from the </w:t>
      </w:r>
      <w:r w:rsidRPr="009B0448">
        <w:rPr>
          <w:rFonts w:ascii="Times New Roman" w:eastAsia="Times New Roman" w:hAnsi="Times New Roman" w:cs="Times New Roman"/>
          <w:i/>
          <w:lang w:val="en-ZA" w:eastAsia="en-GB"/>
        </w:rPr>
        <w:t>wild. Ecology and Evolution, 4</w:t>
      </w:r>
      <w:r w:rsidRPr="009B0448">
        <w:rPr>
          <w:rFonts w:ascii="Times New Roman" w:eastAsia="Times New Roman" w:hAnsi="Times New Roman" w:cs="Times New Roman"/>
          <w:lang w:val="en-ZA" w:eastAsia="en-GB"/>
        </w:rPr>
        <w:t>(8), 1209–1221.</w:t>
      </w:r>
      <w:hyperlink r:id="rId1666" w:history="1">
        <w:r w:rsidRPr="009B0448">
          <w:rPr>
            <w:rFonts w:ascii="Times New Roman" w:hAnsi="Times New Roman" w:cs="Times New Roman"/>
          </w:rPr>
          <w:t xml:space="preserve"> </w:t>
        </w:r>
        <w:r w:rsidRPr="009B0448">
          <w:rPr>
            <w:rStyle w:val="Hyperlink"/>
            <w:rFonts w:ascii="Times New Roman" w:hAnsi="Times New Roman" w:cs="Times New Roman"/>
            <w:lang w:val="en-ZA" w:eastAsia="en-GB"/>
          </w:rPr>
          <w:t>https://doi.org/10.1002/ece3.985</w:t>
        </w:r>
      </w:hyperlink>
    </w:p>
    <w:p w14:paraId="769316BB"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color w:val="000000" w:themeColor="text1"/>
          <w:lang w:val="en-ZA" w:eastAsia="en-GB"/>
        </w:rPr>
      </w:pPr>
      <w:r w:rsidRPr="009B0448">
        <w:rPr>
          <w:rFonts w:ascii="Times New Roman" w:eastAsia="Times New Roman" w:hAnsi="Times New Roman" w:cs="Times New Roman"/>
          <w:color w:val="000000" w:themeColor="text1"/>
          <w:lang w:val="en-ZA" w:eastAsia="en-GB"/>
        </w:rPr>
        <w:t xml:space="preserve">MA (Millennium Ecosystem Assessment). (2005). </w:t>
      </w:r>
      <w:r w:rsidRPr="009B0448">
        <w:rPr>
          <w:rFonts w:ascii="Times New Roman" w:eastAsia="Times New Roman" w:hAnsi="Times New Roman" w:cs="Times New Roman"/>
          <w:i/>
          <w:color w:val="000000" w:themeColor="text1"/>
          <w:lang w:val="en-ZA" w:eastAsia="en-GB"/>
        </w:rPr>
        <w:t>Ecosystems and human well-being: Synthesis</w:t>
      </w:r>
      <w:r w:rsidRPr="009B0448">
        <w:rPr>
          <w:rFonts w:ascii="Times New Roman" w:eastAsia="Times New Roman" w:hAnsi="Times New Roman" w:cs="Times New Roman"/>
          <w:color w:val="000000" w:themeColor="text1"/>
          <w:lang w:val="en-ZA" w:eastAsia="en-GB"/>
        </w:rPr>
        <w:t xml:space="preserve">. Washington, DC: Island Press. Retrieved from </w:t>
      </w:r>
      <w:hyperlink r:id="rId1667" w:history="1">
        <w:r w:rsidRPr="009B0448">
          <w:rPr>
            <w:rStyle w:val="Hyperlink"/>
            <w:rFonts w:ascii="Times New Roman" w:eastAsia="Times New Roman" w:hAnsi="Times New Roman" w:cs="Times New Roman"/>
            <w:lang w:val="en-ZA" w:eastAsia="en-GB"/>
          </w:rPr>
          <w:t>https://www.millenniumassessment.org/documents/document.356.aspx.pdf</w:t>
        </w:r>
      </w:hyperlink>
    </w:p>
    <w:p w14:paraId="03DBFC33"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Maina, J. M., Jones, K. R., Hicks, C. C., McClanahan, T. R., Watson, J. E., Tuda, A. O., &amp; Andréfouët, S. (2015). Designing climate-resilient marine protected area networks by combining remotely sensed coral reef habitat with coastal multi-use maps. </w:t>
      </w:r>
      <w:r w:rsidRPr="009B0448">
        <w:rPr>
          <w:rFonts w:ascii="Times New Roman" w:eastAsia="Times New Roman" w:hAnsi="Times New Roman" w:cs="Times New Roman"/>
          <w:i/>
          <w:lang w:val="en-ZA" w:eastAsia="en-GB"/>
        </w:rPr>
        <w:t>Remote Sensing, 7</w:t>
      </w:r>
      <w:r w:rsidRPr="009B0448">
        <w:rPr>
          <w:rFonts w:ascii="Times New Roman" w:eastAsia="Times New Roman" w:hAnsi="Times New Roman" w:cs="Times New Roman"/>
          <w:lang w:val="en-ZA" w:eastAsia="en-GB"/>
        </w:rPr>
        <w:t xml:space="preserve">(12), 16571–16587. </w:t>
      </w:r>
      <w:hyperlink r:id="rId1668" w:history="1">
        <w:r w:rsidRPr="009B0448">
          <w:rPr>
            <w:rStyle w:val="Hyperlink"/>
            <w:rFonts w:ascii="Times New Roman" w:hAnsi="Times New Roman" w:cs="Times New Roman"/>
            <w:lang w:val="en-ZA" w:eastAsia="en-GB"/>
          </w:rPr>
          <w:t>https://doi.org/10.3390/rs71215849</w:t>
        </w:r>
      </w:hyperlink>
    </w:p>
    <w:p w14:paraId="2966D22C"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Maina, J., De </w:t>
      </w:r>
      <w:r w:rsidRPr="009B0448">
        <w:rPr>
          <w:rFonts w:ascii="Times New Roman" w:eastAsia="Times New Roman" w:hAnsi="Times New Roman" w:cs="Times New Roman"/>
          <w:color w:val="000000" w:themeColor="text1"/>
          <w:lang w:val="en-ZA" w:eastAsia="en-GB"/>
        </w:rPr>
        <w:t xml:space="preserve">Moel, H., Zinke, J., Madin, J., McClanahan, T., &amp; Vermaat, J. E. (2013). Human deforestation outweighs future climate change impacts of sedimentation on coral reefs. </w:t>
      </w:r>
      <w:r w:rsidRPr="009B0448">
        <w:rPr>
          <w:rFonts w:ascii="Times New Roman" w:eastAsia="Times New Roman" w:hAnsi="Times New Roman" w:cs="Times New Roman"/>
          <w:i/>
          <w:color w:val="000000" w:themeColor="text1"/>
          <w:lang w:val="en-ZA" w:eastAsia="en-GB"/>
        </w:rPr>
        <w:t>Nature Communications, 4</w:t>
      </w:r>
      <w:r w:rsidRPr="009B0448">
        <w:rPr>
          <w:rFonts w:ascii="Times New Roman" w:eastAsia="Times New Roman" w:hAnsi="Times New Roman" w:cs="Times New Roman"/>
          <w:color w:val="000000" w:themeColor="text1"/>
          <w:lang w:val="en-ZA" w:eastAsia="en-GB"/>
        </w:rPr>
        <w:t>, 1–7</w:t>
      </w:r>
      <w:r w:rsidRPr="009B0448">
        <w:rPr>
          <w:rFonts w:ascii="Times New Roman" w:eastAsia="Times New Roman" w:hAnsi="Times New Roman" w:cs="Times New Roman"/>
          <w:lang w:val="en-ZA" w:eastAsia="en-GB"/>
        </w:rPr>
        <w:t xml:space="preserve">. </w:t>
      </w:r>
      <w:hyperlink r:id="rId1669" w:history="1">
        <w:r w:rsidRPr="009B0448">
          <w:rPr>
            <w:rStyle w:val="Hyperlink"/>
            <w:rFonts w:ascii="Times New Roman" w:hAnsi="Times New Roman" w:cs="Times New Roman"/>
            <w:lang w:val="en-ZA" w:eastAsia="en-GB"/>
          </w:rPr>
          <w:t>https://doi.org/10.1038/ncomms2986</w:t>
        </w:r>
      </w:hyperlink>
    </w:p>
    <w:p w14:paraId="6899AAD0"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Marshall, A. R., Platts, P. J., Gereau, R. E., Kindeketa, W., Kang'ethe, S., &amp; Marchant, R. (2012). The genus </w:t>
      </w:r>
      <w:r w:rsidRPr="009B0448">
        <w:rPr>
          <w:rFonts w:ascii="Times New Roman" w:eastAsia="Times New Roman" w:hAnsi="Times New Roman" w:cs="Times New Roman"/>
          <w:i/>
          <w:lang w:val="en-ZA" w:eastAsia="en-GB"/>
        </w:rPr>
        <w:t>Acacia</w:t>
      </w:r>
      <w:r w:rsidRPr="009B0448">
        <w:rPr>
          <w:rFonts w:ascii="Times New Roman" w:eastAsia="Times New Roman" w:hAnsi="Times New Roman" w:cs="Times New Roman"/>
          <w:lang w:val="en-ZA" w:eastAsia="en-GB"/>
        </w:rPr>
        <w:t xml:space="preserve"> (Fabaceae) in East Africa: distribution, diversity and the protected area network. </w:t>
      </w:r>
      <w:r w:rsidRPr="009B0448">
        <w:rPr>
          <w:rFonts w:ascii="Times New Roman" w:eastAsia="Times New Roman" w:hAnsi="Times New Roman" w:cs="Times New Roman"/>
          <w:i/>
          <w:lang w:val="en-ZA" w:eastAsia="en-GB"/>
        </w:rPr>
        <w:t>Plant Ecology and Evolution</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145</w:t>
      </w:r>
      <w:r w:rsidRPr="009B0448">
        <w:rPr>
          <w:rFonts w:ascii="Times New Roman" w:eastAsia="Times New Roman" w:hAnsi="Times New Roman" w:cs="Times New Roman"/>
          <w:lang w:val="en-ZA" w:eastAsia="en-GB"/>
        </w:rPr>
        <w:t xml:space="preserve">(3), 289–301. </w:t>
      </w:r>
      <w:hyperlink r:id="rId1670" w:history="1">
        <w:r w:rsidRPr="009B0448">
          <w:rPr>
            <w:rStyle w:val="Hyperlink"/>
            <w:rFonts w:ascii="Times New Roman" w:hAnsi="Times New Roman" w:cs="Times New Roman"/>
          </w:rPr>
          <w:t>https://doi.org/10.5091/plecevo.2012.597</w:t>
        </w:r>
      </w:hyperlink>
    </w:p>
    <w:p w14:paraId="6A3ADCAE"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Martínez-Freiría, F., Argaz, H., Fahd, S., &amp; Brito, J. C. (2013). Climate change is predicted to negatively influence Moroccan endemic reptile richness. Implications for conservation in protected areas. </w:t>
      </w:r>
      <w:r w:rsidRPr="009B0448">
        <w:rPr>
          <w:rFonts w:ascii="Times New Roman" w:eastAsia="Times New Roman" w:hAnsi="Times New Roman" w:cs="Times New Roman"/>
          <w:i/>
          <w:lang w:val="en-ZA" w:eastAsia="en-GB"/>
        </w:rPr>
        <w:t>Naturwissenschaften</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100</w:t>
      </w:r>
      <w:r w:rsidRPr="009B0448">
        <w:rPr>
          <w:rFonts w:ascii="Times New Roman" w:eastAsia="Times New Roman" w:hAnsi="Times New Roman" w:cs="Times New Roman"/>
          <w:lang w:val="en-ZA" w:eastAsia="en-GB"/>
        </w:rPr>
        <w:t xml:space="preserve">(9), 877–889. </w:t>
      </w:r>
      <w:hyperlink r:id="rId1671" w:history="1">
        <w:r w:rsidRPr="009B0448">
          <w:rPr>
            <w:rStyle w:val="Hyperlink"/>
            <w:rFonts w:ascii="Times New Roman" w:hAnsi="Times New Roman" w:cs="Times New Roman"/>
            <w:lang w:val="en-ZA" w:eastAsia="en-GB"/>
          </w:rPr>
          <w:t>https://doi.org/10.1007/s00114-013-1088-4</w:t>
        </w:r>
      </w:hyperlink>
    </w:p>
    <w:p w14:paraId="6F30E75C"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color w:val="0563C1"/>
          <w:u w:val="single"/>
        </w:rPr>
      </w:pPr>
      <w:r w:rsidRPr="009B0448">
        <w:rPr>
          <w:rFonts w:ascii="Times New Roman" w:eastAsia="Times New Roman" w:hAnsi="Times New Roman" w:cs="Times New Roman"/>
          <w:lang w:val="en-ZA" w:eastAsia="en-GB"/>
        </w:rPr>
        <w:t xml:space="preserve">Midgley, G. F., &amp; Thuiller, W. (2011). Potential responses of terrestrial biodiversity in Southern Africa to anthropogenic climate change. </w:t>
      </w:r>
      <w:r w:rsidRPr="009B0448">
        <w:rPr>
          <w:rFonts w:ascii="Times New Roman" w:eastAsia="Times New Roman" w:hAnsi="Times New Roman" w:cs="Times New Roman"/>
          <w:i/>
          <w:lang w:val="en-ZA" w:eastAsia="en-GB"/>
        </w:rPr>
        <w:t>Regional Environmental Change</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11</w:t>
      </w:r>
      <w:r w:rsidRPr="009B0448">
        <w:rPr>
          <w:rFonts w:ascii="Times New Roman" w:eastAsia="Times New Roman" w:hAnsi="Times New Roman" w:cs="Times New Roman"/>
          <w:lang w:val="en-ZA" w:eastAsia="en-GB"/>
        </w:rPr>
        <w:t xml:space="preserve">(1), 127–135. Retrieved from </w:t>
      </w:r>
      <w:hyperlink r:id="rId1672" w:history="1">
        <w:r w:rsidRPr="009B0448">
          <w:rPr>
            <w:rStyle w:val="Hyperlink"/>
            <w:rFonts w:ascii="Times New Roman" w:hAnsi="Times New Roman" w:cs="Times New Roman"/>
            <w:color w:val="0563C1"/>
          </w:rPr>
          <w:t>https://doi.org/10.1007/s10113-010-0191-8</w:t>
        </w:r>
      </w:hyperlink>
    </w:p>
    <w:p w14:paraId="4228A0B2"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Milzow, C., Burg, V., &amp; Kinzelbach, W. (2010). Estimating future ecoregion distributions within the Okavango Delta Wetlands based on hydrological simulations and future climate and development scenarios. </w:t>
      </w:r>
      <w:r w:rsidRPr="009B0448">
        <w:rPr>
          <w:rFonts w:ascii="Times New Roman" w:eastAsia="Times New Roman" w:hAnsi="Times New Roman" w:cs="Times New Roman"/>
          <w:i/>
          <w:lang w:val="en-ZA" w:eastAsia="en-GB"/>
        </w:rPr>
        <w:t>Journal of Hydrology, 381</w:t>
      </w:r>
      <w:r w:rsidRPr="009B0448">
        <w:rPr>
          <w:rFonts w:ascii="Times New Roman" w:eastAsia="Times New Roman" w:hAnsi="Times New Roman" w:cs="Times New Roman"/>
          <w:lang w:val="en-ZA" w:eastAsia="en-GB"/>
        </w:rPr>
        <w:t xml:space="preserve">, 89–100. </w:t>
      </w:r>
      <w:hyperlink r:id="rId1673" w:history="1">
        <w:r w:rsidRPr="009B0448">
          <w:rPr>
            <w:rStyle w:val="Hyperlink"/>
            <w:rFonts w:ascii="Times New Roman" w:hAnsi="Times New Roman" w:cs="Times New Roman"/>
            <w:lang w:val="en-ZA" w:eastAsia="en-GB"/>
          </w:rPr>
          <w:t>https://doi.org/10.1016/j.jhydrol.2009.11.028</w:t>
        </w:r>
      </w:hyperlink>
    </w:p>
    <w:p w14:paraId="2BA99246" w14:textId="77777777" w:rsidR="00431F56" w:rsidRPr="009B0448" w:rsidRDefault="00431F56" w:rsidP="00E57852">
      <w:pPr>
        <w:widowControl w:val="0"/>
        <w:spacing w:before="120" w:after="120" w:line="276" w:lineRule="auto"/>
        <w:ind w:left="567" w:hanging="567"/>
        <w:rPr>
          <w:rFonts w:ascii="Times New Roman" w:hAnsi="Times New Roman" w:cs="Times New Roman"/>
          <w:color w:val="0563C1"/>
          <w:u w:val="single"/>
        </w:rPr>
      </w:pPr>
      <w:r w:rsidRPr="009B0448">
        <w:rPr>
          <w:rFonts w:ascii="Times New Roman" w:eastAsia="Times New Roman" w:hAnsi="Times New Roman" w:cs="Times New Roman"/>
          <w:lang w:val="en-ZA" w:eastAsia="en-GB"/>
        </w:rPr>
        <w:t xml:space="preserve">Mokhatla, M. M., Rödder, D., &amp; Measey, G. J. (2015). Assessing the effects of climate change on distributions of Cape Floristic Region amphibians. </w:t>
      </w:r>
      <w:r w:rsidRPr="009B0448">
        <w:rPr>
          <w:rFonts w:ascii="Times New Roman" w:eastAsia="Times New Roman" w:hAnsi="Times New Roman" w:cs="Times New Roman"/>
          <w:i/>
          <w:lang w:val="en-ZA" w:eastAsia="en-GB"/>
        </w:rPr>
        <w:t>South African Journal of Science, 111</w:t>
      </w:r>
      <w:r w:rsidRPr="009B0448">
        <w:rPr>
          <w:rFonts w:ascii="Times New Roman" w:eastAsia="Times New Roman" w:hAnsi="Times New Roman" w:cs="Times New Roman"/>
          <w:lang w:val="en-ZA" w:eastAsia="en-GB"/>
        </w:rPr>
        <w:t xml:space="preserve">(11–12). </w:t>
      </w:r>
      <w:hyperlink r:id="rId1674" w:history="1">
        <w:r w:rsidRPr="009B0448">
          <w:rPr>
            <w:rStyle w:val="Hyperlink"/>
            <w:rFonts w:ascii="Times New Roman" w:eastAsia="Times New Roman" w:hAnsi="Times New Roman" w:cs="Times New Roman"/>
            <w:lang w:val="en-ZA" w:eastAsia="en-GB"/>
          </w:rPr>
          <w:t>https://doi.org/</w:t>
        </w:r>
        <w:r w:rsidRPr="009B0448">
          <w:rPr>
            <w:rStyle w:val="Hyperlink"/>
            <w:rFonts w:ascii="Times New Roman" w:hAnsi="Times New Roman" w:cs="Times New Roman"/>
          </w:rPr>
          <w:t>10.17159/sajs.2015/20140389</w:t>
        </w:r>
      </w:hyperlink>
    </w:p>
    <w:p w14:paraId="235D5775"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Moss, R. H., Edmonds, J. A., Hibbard, K. A., Manning, M. R., Rose, S. K., Van Vuuren, D. P., Carter, T. R., Emori, S., Kainuma, M., Kram, T., Meehl, G. A., Mitchell, J. F. B., Nakicenovic, N., Riahi, K., Smith, S. J., Stouffer, R. J., Thomson, A. M., Weyant, J. P., &amp; Wilbanks, T. J. (2010). The next generation of scenarios for climate change research and assessment. </w:t>
      </w:r>
      <w:r w:rsidRPr="009B0448">
        <w:rPr>
          <w:rFonts w:ascii="Times New Roman" w:eastAsia="Times New Roman" w:hAnsi="Times New Roman" w:cs="Times New Roman"/>
          <w:i/>
          <w:lang w:val="en-ZA" w:eastAsia="en-GB"/>
        </w:rPr>
        <w:t>Nature</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463</w:t>
      </w:r>
      <w:r w:rsidRPr="009B0448">
        <w:rPr>
          <w:rFonts w:ascii="Times New Roman" w:eastAsia="Times New Roman" w:hAnsi="Times New Roman" w:cs="Times New Roman"/>
          <w:lang w:val="en-ZA" w:eastAsia="en-GB"/>
        </w:rPr>
        <w:t xml:space="preserve">(7282), 747–756. </w:t>
      </w:r>
      <w:hyperlink r:id="rId1675" w:history="1">
        <w:r w:rsidRPr="009B0448">
          <w:rPr>
            <w:rStyle w:val="Hyperlink"/>
            <w:rFonts w:ascii="Times New Roman" w:hAnsi="Times New Roman" w:cs="Times New Roman"/>
            <w:lang w:val="en-ZA" w:eastAsia="en-GB"/>
          </w:rPr>
          <w:t>https://doi.org/10.1038/nature08823</w:t>
        </w:r>
      </w:hyperlink>
    </w:p>
    <w:p w14:paraId="4EF0D6AE"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Moss, R., Babiker, M., Brinkman, S., Calvo, E., Carter, T., Edmonds, J., Elgizouli, I., Emori, S., Erda, L., Hibbard, K., Jones, R., Kainuma, M., Kelleher, J., Lamarque, J. F., Manning, M., Matthews, B., Meehl, J., Meyer, L., Mitchell, J., Nakicenovic, N., O’Neill, B., Pichs, R., Riahi, K., Rose, S., Runci, P., Stouffer, R., van Vuuren, D., Weyant, J., Wilbanks, T., van Ypersele, J. P., &amp; Zurek, M. (2008). </w:t>
      </w:r>
      <w:r w:rsidRPr="009B0448">
        <w:rPr>
          <w:rFonts w:ascii="Times New Roman" w:eastAsia="Times New Roman" w:hAnsi="Times New Roman" w:cs="Times New Roman"/>
          <w:i/>
          <w:lang w:val="en-ZA" w:eastAsia="en-GB"/>
        </w:rPr>
        <w:t>Towards new scenarios for analysis of emissions, climate change, impacts, and response strategies</w:t>
      </w:r>
      <w:r w:rsidRPr="009B0448">
        <w:rPr>
          <w:rFonts w:ascii="Times New Roman" w:eastAsia="Times New Roman" w:hAnsi="Times New Roman" w:cs="Times New Roman"/>
          <w:lang w:val="en-ZA" w:eastAsia="en-GB"/>
        </w:rPr>
        <w:t xml:space="preserve">. Geneva, Switzerland: Intergovernmental Panel on Climate Change. Retrieved from </w:t>
      </w:r>
      <w:hyperlink r:id="rId1676" w:history="1">
        <w:r w:rsidRPr="009B0448">
          <w:rPr>
            <w:rStyle w:val="Hyperlink"/>
            <w:rFonts w:ascii="Times New Roman" w:hAnsi="Times New Roman" w:cs="Times New Roman"/>
            <w:lang w:val="en-ZA" w:eastAsia="en-GB"/>
          </w:rPr>
          <w:t>http://vuir.vu.edu.au/id/eprint/4819</w:t>
        </w:r>
      </w:hyperlink>
    </w:p>
    <w:p w14:paraId="0868AD60"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Mulwa, R., Rao, K. P., Gummadi, S., &amp; Kilavi, M. (2016). Impacts of climate change on agricultural household welfare in Kenya. </w:t>
      </w:r>
      <w:r w:rsidRPr="009B0448">
        <w:rPr>
          <w:rFonts w:ascii="Times New Roman" w:eastAsia="Times New Roman" w:hAnsi="Times New Roman" w:cs="Times New Roman"/>
          <w:i/>
          <w:lang w:val="en-ZA" w:eastAsia="en-GB"/>
        </w:rPr>
        <w:t>Climate Research</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67</w:t>
      </w:r>
      <w:r w:rsidRPr="009B0448">
        <w:rPr>
          <w:rFonts w:ascii="Times New Roman" w:eastAsia="Times New Roman" w:hAnsi="Times New Roman" w:cs="Times New Roman"/>
          <w:lang w:val="en-ZA" w:eastAsia="en-GB"/>
        </w:rPr>
        <w:t xml:space="preserve">(2), 87–97. </w:t>
      </w:r>
      <w:hyperlink r:id="rId1677" w:history="1">
        <w:r w:rsidRPr="009B0448">
          <w:rPr>
            <w:rStyle w:val="Hyperlink"/>
            <w:rFonts w:ascii="Times New Roman" w:hAnsi="Times New Roman" w:cs="Times New Roman"/>
            <w:lang w:val="en-ZA" w:eastAsia="en-GB"/>
          </w:rPr>
          <w:t>https://doi.org/10.3354/cr01357</w:t>
        </w:r>
      </w:hyperlink>
    </w:p>
    <w:p w14:paraId="32CFFF63"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color w:val="333333"/>
          <w:highlight w:val="white"/>
          <w:lang w:val="en-ZA" w:eastAsia="en-GB"/>
        </w:rPr>
      </w:pPr>
      <w:r w:rsidRPr="009B0448">
        <w:rPr>
          <w:rFonts w:ascii="Times New Roman" w:eastAsia="Times New Roman" w:hAnsi="Times New Roman" w:cs="Times New Roman"/>
          <w:color w:val="000000" w:themeColor="text1"/>
          <w:highlight w:val="white"/>
          <w:lang w:val="en-ZA" w:eastAsia="en-GB"/>
        </w:rPr>
        <w:t>Muntifering, J. R., Dickman, A. J., Perlow, L. M., Hruska, T., Ryan, P. G., Marker, L. L., &amp; Jeo, R. M. (2006). Managing the matrix for large carnivores: a novel approach and perspective from cheetah (</w:t>
      </w:r>
      <w:r w:rsidRPr="009B0448">
        <w:rPr>
          <w:rFonts w:ascii="Times New Roman" w:eastAsia="Times New Roman" w:hAnsi="Times New Roman" w:cs="Times New Roman"/>
          <w:i/>
          <w:color w:val="000000" w:themeColor="text1"/>
          <w:highlight w:val="white"/>
          <w:lang w:val="en-ZA" w:eastAsia="en-GB"/>
        </w:rPr>
        <w:t>Acinonyx jubatus</w:t>
      </w:r>
      <w:r w:rsidRPr="009B0448">
        <w:rPr>
          <w:rFonts w:ascii="Times New Roman" w:eastAsia="Times New Roman" w:hAnsi="Times New Roman" w:cs="Times New Roman"/>
          <w:color w:val="000000" w:themeColor="text1"/>
          <w:highlight w:val="white"/>
          <w:lang w:val="en-ZA" w:eastAsia="en-GB"/>
        </w:rPr>
        <w:t xml:space="preserve">) habitat suitability modelling. </w:t>
      </w:r>
      <w:r w:rsidRPr="009B0448">
        <w:rPr>
          <w:rFonts w:ascii="Times New Roman" w:eastAsia="Times New Roman" w:hAnsi="Times New Roman" w:cs="Times New Roman"/>
          <w:i/>
          <w:color w:val="000000" w:themeColor="text1"/>
          <w:highlight w:val="white"/>
          <w:lang w:val="en-ZA" w:eastAsia="en-GB"/>
        </w:rPr>
        <w:t>Animal Conservartion, 9</w:t>
      </w:r>
      <w:r w:rsidRPr="009B0448">
        <w:rPr>
          <w:rFonts w:ascii="Times New Roman" w:eastAsia="Times New Roman" w:hAnsi="Times New Roman" w:cs="Times New Roman"/>
          <w:color w:val="000000" w:themeColor="text1"/>
          <w:highlight w:val="white"/>
          <w:lang w:val="en-ZA" w:eastAsia="en-GB"/>
        </w:rPr>
        <w:t xml:space="preserve">(1), 103–112. </w:t>
      </w:r>
      <w:hyperlink r:id="rId1678" w:history="1">
        <w:r w:rsidRPr="009B0448">
          <w:rPr>
            <w:rStyle w:val="Hyperlink"/>
            <w:rFonts w:ascii="Times New Roman" w:hAnsi="Times New Roman" w:cs="Times New Roman"/>
            <w:lang w:val="en-ZA" w:eastAsia="en-GB"/>
          </w:rPr>
          <w:t>https://doi.org/10.1111/j.1469-1795.2005.00008.x</w:t>
        </w:r>
      </w:hyperlink>
    </w:p>
    <w:p w14:paraId="708545B0"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Nakicenovic, N., Alcamo, J., Grubler, A., Riahi, K., Roehrl, R. A., Rogner, H. H., &amp; Victor, N. (2000). </w:t>
      </w:r>
      <w:r w:rsidRPr="009B0448">
        <w:rPr>
          <w:rFonts w:ascii="Times New Roman" w:eastAsia="Times New Roman" w:hAnsi="Times New Roman" w:cs="Times New Roman"/>
          <w:i/>
        </w:rPr>
        <w:t>Special Report on Emissions Scenarios (SRES), a special report of working group III of the Intergovernmental Panel on Climate Change</w:t>
      </w:r>
      <w:r w:rsidRPr="009B0448">
        <w:rPr>
          <w:rFonts w:ascii="Times New Roman" w:eastAsia="Times New Roman" w:hAnsi="Times New Roman" w:cs="Times New Roman"/>
        </w:rPr>
        <w:t xml:space="preserve">. Cambridge University Press. Retrieved from </w:t>
      </w:r>
      <w:hyperlink r:id="rId1679" w:history="1">
        <w:r w:rsidRPr="009B0448">
          <w:rPr>
            <w:rStyle w:val="Hyperlink"/>
            <w:rFonts w:ascii="Times New Roman" w:eastAsia="Times New Roman" w:hAnsi="Times New Roman" w:cs="Times New Roman"/>
          </w:rPr>
          <w:t>http://www.ipcc.ch/ipccreports/sres/emission/index.php?idp=0</w:t>
        </w:r>
      </w:hyperlink>
    </w:p>
    <w:p w14:paraId="43CF7124"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Narain, U., Margulis, S., &amp; Essam, T. (2011). Estimating costs of adaptation to climate change. </w:t>
      </w:r>
      <w:r w:rsidRPr="009B0448">
        <w:rPr>
          <w:rFonts w:ascii="Times New Roman" w:eastAsia="Times New Roman" w:hAnsi="Times New Roman" w:cs="Times New Roman"/>
          <w:i/>
          <w:lang w:val="en-ZA" w:eastAsia="en-GB"/>
        </w:rPr>
        <w:t>Climate Policy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11</w:t>
      </w:r>
      <w:r w:rsidRPr="009B0448">
        <w:rPr>
          <w:rFonts w:ascii="Times New Roman" w:eastAsia="Times New Roman" w:hAnsi="Times New Roman" w:cs="Times New Roman"/>
          <w:lang w:val="en-ZA" w:eastAsia="en-GB"/>
        </w:rPr>
        <w:t xml:space="preserve">(3), 1001–1019. </w:t>
      </w:r>
      <w:hyperlink r:id="rId1680" w:history="1">
        <w:r w:rsidRPr="009B0448">
          <w:rPr>
            <w:rStyle w:val="Hyperlink"/>
            <w:rFonts w:ascii="Times New Roman" w:hAnsi="Times New Roman" w:cs="Times New Roman"/>
            <w:lang w:val="en-ZA" w:eastAsia="en-GB"/>
          </w:rPr>
          <w:t>https://doi.org/10.1080/14693062.2011.582387</w:t>
        </w:r>
      </w:hyperlink>
    </w:p>
    <w:p w14:paraId="083443D4"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Niang, I., Ruppel, O. C., Abdrabo, M. A., Essel, A., Lennard, C., Padgham, J., &amp; Urquhart, P. (2014). Africa. In V. R. Barros, C. B. Field, D. J. Dokken, M. D. Mastrandrea, K. J. Mach, T. E. Bilir, M. Chatterjee, K. L. Ebi, Y. O. Estrada, R. C. Genova, B. Girma, E. S. Kissel, A. N. Levy, S. MacCracken, P. R. Mastrandrea, &amp; L. L. White (Eds.), </w:t>
      </w:r>
      <w:r w:rsidRPr="009B0448">
        <w:rPr>
          <w:rFonts w:ascii="Times New Roman" w:eastAsia="Times New Roman" w:hAnsi="Times New Roman" w:cs="Times New Roman"/>
          <w:i/>
          <w:lang w:val="en-ZA" w:eastAsia="en-GB"/>
        </w:rPr>
        <w:t>Climate change 2014: Impacts, adaptation, and vulnerability. Part B: Regional aspects</w:t>
      </w:r>
      <w:r w:rsidRPr="009B0448">
        <w:rPr>
          <w:rFonts w:ascii="Times New Roman" w:eastAsia="Times New Roman" w:hAnsi="Times New Roman" w:cs="Times New Roman"/>
          <w:lang w:val="en-ZA" w:eastAsia="en-GB"/>
        </w:rPr>
        <w:t xml:space="preserve"> (pp.1199–1265). Contribution of Working Group II to the fifth assessment report of the Intergovernmental Panel on Climate Change. Cambridge: Cambridge University Press. Retrieved from </w:t>
      </w:r>
      <w:hyperlink r:id="rId1681" w:history="1">
        <w:r w:rsidRPr="009B0448">
          <w:rPr>
            <w:rStyle w:val="Hyperlink"/>
            <w:rFonts w:ascii="Times New Roman" w:eastAsia="Times New Roman" w:hAnsi="Times New Roman" w:cs="Times New Roman"/>
            <w:lang w:val="en-ZA" w:eastAsia="en-GB"/>
          </w:rPr>
          <w:t>http://www.ipcc.ch/report/ar5/wg2/</w:t>
        </w:r>
      </w:hyperlink>
    </w:p>
    <w:p w14:paraId="581AD602"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Notter, B., Hurni, H., Wiesmann, U., &amp; Ngana, J. O. (2013). Evaluating watershed service availability under future management and climate change scenarios in the Pangani Basin. </w:t>
      </w:r>
      <w:r w:rsidRPr="009B0448">
        <w:rPr>
          <w:rFonts w:ascii="Times New Roman" w:eastAsia="Times New Roman" w:hAnsi="Times New Roman" w:cs="Times New Roman"/>
          <w:i/>
          <w:lang w:val="en-ZA" w:eastAsia="en-GB"/>
        </w:rPr>
        <w:t>Physics and Chemistry of the Earth, Parts A/B/C</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61</w:t>
      </w:r>
      <w:r w:rsidRPr="009B0448">
        <w:rPr>
          <w:rFonts w:ascii="Times New Roman" w:eastAsia="Times New Roman" w:hAnsi="Times New Roman" w:cs="Times New Roman"/>
          <w:lang w:val="en-ZA" w:eastAsia="en-GB"/>
        </w:rPr>
        <w:t>, 1–11.</w:t>
      </w:r>
      <w:r w:rsidRPr="009B0448">
        <w:rPr>
          <w:rFonts w:ascii="Times New Roman" w:hAnsi="Times New Roman" w:cs="Times New Roman"/>
          <w:lang w:val="en-ZA" w:eastAsia="en-GB"/>
        </w:rPr>
        <w:t xml:space="preserve"> </w:t>
      </w:r>
      <w:hyperlink r:id="rId1682" w:history="1">
        <w:r w:rsidRPr="009B0448">
          <w:rPr>
            <w:rStyle w:val="Hyperlink"/>
            <w:rFonts w:ascii="Times New Roman" w:hAnsi="Times New Roman" w:cs="Times New Roman"/>
            <w:lang w:val="en-ZA" w:eastAsia="en-GB"/>
          </w:rPr>
          <w:t>https://doi.org/10.1016/j.pce.2012.08.017</w:t>
        </w:r>
      </w:hyperlink>
    </w:p>
    <w:p w14:paraId="1890FB32"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eastAsia="en-GB"/>
        </w:rPr>
      </w:pPr>
      <w:r w:rsidRPr="009B0448">
        <w:rPr>
          <w:rFonts w:ascii="Times New Roman" w:eastAsia="Times New Roman" w:hAnsi="Times New Roman" w:cs="Times New Roman"/>
          <w:lang w:eastAsia="en-GB"/>
        </w:rPr>
        <w:t>O</w:t>
      </w:r>
      <w:r w:rsidRPr="009B0448">
        <w:rPr>
          <w:rFonts w:ascii="Times New Roman" w:eastAsia="Times New Roman" w:hAnsi="Times New Roman" w:cs="Times New Roman"/>
          <w:lang w:val="en-ZA" w:eastAsia="en-GB"/>
        </w:rPr>
        <w:t>’</w:t>
      </w:r>
      <w:r w:rsidRPr="009B0448">
        <w:rPr>
          <w:rFonts w:ascii="Times New Roman" w:eastAsia="Times New Roman" w:hAnsi="Times New Roman" w:cs="Times New Roman"/>
          <w:lang w:eastAsia="en-GB"/>
        </w:rPr>
        <w:t xml:space="preserve">Connor, D., &amp; Ford, J. (2014). Increasing the effectiveness of the ‘Great Green Wall’ as an adaptation to the effects of climate change and desertification in the Sahel. </w:t>
      </w:r>
      <w:r w:rsidRPr="009B0448">
        <w:rPr>
          <w:rFonts w:ascii="Times New Roman" w:eastAsia="Times New Roman" w:hAnsi="Times New Roman" w:cs="Times New Roman"/>
          <w:i/>
          <w:iCs/>
          <w:lang w:eastAsia="en-GB"/>
        </w:rPr>
        <w:t>Sustainability</w:t>
      </w:r>
      <w:r w:rsidRPr="009B0448">
        <w:rPr>
          <w:rFonts w:ascii="Times New Roman" w:eastAsia="Times New Roman" w:hAnsi="Times New Roman" w:cs="Times New Roman"/>
          <w:lang w:eastAsia="en-GB"/>
        </w:rPr>
        <w:t xml:space="preserve">, </w:t>
      </w:r>
      <w:r w:rsidRPr="009B0448">
        <w:rPr>
          <w:rFonts w:ascii="Times New Roman" w:eastAsia="Times New Roman" w:hAnsi="Times New Roman" w:cs="Times New Roman"/>
          <w:i/>
          <w:lang w:eastAsia="en-GB"/>
        </w:rPr>
        <w:t>6</w:t>
      </w:r>
      <w:r w:rsidRPr="009B0448">
        <w:rPr>
          <w:rFonts w:ascii="Times New Roman" w:eastAsia="Times New Roman" w:hAnsi="Times New Roman" w:cs="Times New Roman"/>
          <w:lang w:eastAsia="en-GB"/>
        </w:rPr>
        <w:t xml:space="preserve">(10), 7142–7154. </w:t>
      </w:r>
      <w:hyperlink r:id="rId1683" w:history="1">
        <w:r w:rsidRPr="009B0448">
          <w:rPr>
            <w:rStyle w:val="Hyperlink"/>
            <w:rFonts w:ascii="Times New Roman" w:hAnsi="Times New Roman" w:cs="Times New Roman"/>
            <w:lang w:eastAsia="en-GB"/>
          </w:rPr>
          <w:t>https://doi.org/10.3390/su6107142</w:t>
        </w:r>
      </w:hyperlink>
    </w:p>
    <w:p w14:paraId="0D01794B"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O’Farrell, P., Anderson, P., Le Maitre, D., &amp; Holmes, P. (2012). Insights and opportunities offered by a rapid ecosystem service assessment in promoting a conservation agenda in an urban biodiversity hotspot</w:t>
      </w:r>
      <w:r w:rsidRPr="009B0448">
        <w:rPr>
          <w:rFonts w:ascii="Times New Roman" w:eastAsia="Times New Roman" w:hAnsi="Times New Roman" w:cs="Times New Roman"/>
          <w:i/>
          <w:lang w:val="en-ZA" w:eastAsia="en-GB"/>
        </w:rPr>
        <w:t>. Ecology and Society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17</w:t>
      </w:r>
      <w:r w:rsidRPr="009B0448">
        <w:rPr>
          <w:rFonts w:ascii="Times New Roman" w:eastAsia="Times New Roman" w:hAnsi="Times New Roman" w:cs="Times New Roman"/>
          <w:lang w:val="en-ZA" w:eastAsia="en-GB"/>
        </w:rPr>
        <w:t xml:space="preserve">(3). </w:t>
      </w:r>
      <w:hyperlink r:id="rId1684" w:history="1">
        <w:r w:rsidRPr="009B0448">
          <w:rPr>
            <w:rStyle w:val="Hyperlink"/>
            <w:rFonts w:ascii="Times New Roman" w:hAnsi="Times New Roman" w:cs="Times New Roman"/>
            <w:lang w:val="en-ZA" w:eastAsia="en-GB"/>
          </w:rPr>
          <w:t>https://doi.org/10.5751/ES-04886-170327</w:t>
        </w:r>
      </w:hyperlink>
    </w:p>
    <w:p w14:paraId="0C96FAB5"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O’Neill, B. C., Kriegler, E., Ebi, K. L., Kemp-Benedict, E., Riahi, K., Rothman, D. S., van Ruijven, B. J., van Vuuren, D. P., Birkmann, J., Kok, K., &amp; Levy, M. (2017). The roads ahead: narratives for shared socioeconomic pathways describing world futures in the 21st century. </w:t>
      </w:r>
      <w:r w:rsidRPr="009B0448">
        <w:rPr>
          <w:rFonts w:ascii="Times New Roman" w:eastAsia="Times New Roman" w:hAnsi="Times New Roman" w:cs="Times New Roman"/>
          <w:i/>
        </w:rPr>
        <w:t>Global Environmental Change, 42</w:t>
      </w:r>
      <w:r w:rsidRPr="009B0448">
        <w:rPr>
          <w:rFonts w:ascii="Times New Roman" w:eastAsia="Times New Roman" w:hAnsi="Times New Roman" w:cs="Times New Roman"/>
        </w:rPr>
        <w:t xml:space="preserve">, 169–180. </w:t>
      </w:r>
      <w:hyperlink r:id="rId1685" w:history="1">
        <w:r w:rsidRPr="009B0448">
          <w:rPr>
            <w:rStyle w:val="Hyperlink"/>
            <w:rFonts w:ascii="Times New Roman" w:eastAsia="Times New Roman" w:hAnsi="Times New Roman" w:cs="Times New Roman"/>
          </w:rPr>
          <w:t>https://doi.org/10.1016/j.gloenvcha.2015.01.004</w:t>
        </w:r>
      </w:hyperlink>
    </w:p>
    <w:p w14:paraId="171C97AC"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O’Neill, B. C., Kriegler, E., Riahi, K., Ebi, K. L., Hallegatte, S., Carter, T. R., Mathur, R., &amp; van Vuuren, D. P. (2014). A new scenario framework for climate change research: The concept of shared socioeconomic pathways. </w:t>
      </w:r>
      <w:r w:rsidRPr="009B0448">
        <w:rPr>
          <w:rFonts w:ascii="Times New Roman" w:eastAsia="Times New Roman" w:hAnsi="Times New Roman" w:cs="Times New Roman"/>
          <w:i/>
          <w:lang w:val="en-ZA" w:eastAsia="en-GB"/>
        </w:rPr>
        <w:t xml:space="preserve">Climate Change, 122, </w:t>
      </w:r>
      <w:r w:rsidRPr="009B0448">
        <w:rPr>
          <w:rFonts w:ascii="Times New Roman" w:eastAsia="Times New Roman" w:hAnsi="Times New Roman" w:cs="Times New Roman"/>
          <w:lang w:val="en-ZA" w:eastAsia="en-GB"/>
        </w:rPr>
        <w:t xml:space="preserve">387–400. </w:t>
      </w:r>
      <w:hyperlink r:id="rId1686" w:history="1">
        <w:r w:rsidRPr="009B0448">
          <w:rPr>
            <w:rStyle w:val="Hyperlink"/>
            <w:rFonts w:ascii="Times New Roman" w:hAnsi="Times New Roman" w:cs="Times New Roman"/>
            <w:lang w:val="en-ZA" w:eastAsia="en-GB"/>
          </w:rPr>
          <w:t>https://doi.org/10.1007/s10584-013-0905-2</w:t>
        </w:r>
      </w:hyperlink>
    </w:p>
    <w:p w14:paraId="3EF35184"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OSS (Sahara and Sahel Observatory). (2008). </w:t>
      </w:r>
      <w:r w:rsidRPr="009B0448">
        <w:rPr>
          <w:rFonts w:ascii="Times New Roman" w:eastAsia="Times New Roman" w:hAnsi="Times New Roman" w:cs="Times New Roman"/>
          <w:i/>
          <w:lang w:val="en-ZA" w:eastAsia="en-GB"/>
        </w:rPr>
        <w:t>The Great Green Wall initiative for the Sahara and the Sahel</w:t>
      </w:r>
      <w:r w:rsidRPr="009B0448">
        <w:rPr>
          <w:rFonts w:ascii="Times New Roman" w:eastAsia="Times New Roman" w:hAnsi="Times New Roman" w:cs="Times New Roman"/>
          <w:lang w:val="en-ZA" w:eastAsia="en-GB"/>
        </w:rPr>
        <w:t xml:space="preserve">. Introductory Note 3. Tunis, Tunisia: Sahara and Sahel Observatory. Retrieved from </w:t>
      </w:r>
      <w:hyperlink r:id="rId1687" w:history="1">
        <w:r w:rsidRPr="009B0448">
          <w:rPr>
            <w:rStyle w:val="Hyperlink"/>
            <w:rFonts w:ascii="Times New Roman" w:hAnsi="Times New Roman" w:cs="Times New Roman"/>
            <w:lang w:val="en-ZA" w:eastAsia="en-GB"/>
          </w:rPr>
          <w:t>http://www.oss-online.org/pdf/imv-en.pdf</w:t>
        </w:r>
      </w:hyperlink>
      <w:r w:rsidRPr="009B0448">
        <w:rPr>
          <w:rFonts w:ascii="Times New Roman" w:eastAsia="Times New Roman" w:hAnsi="Times New Roman" w:cs="Times New Roman"/>
          <w:lang w:val="en-ZA" w:eastAsia="en-GB"/>
        </w:rPr>
        <w:t xml:space="preserve"> </w:t>
      </w:r>
    </w:p>
    <w:p w14:paraId="178AF8FE"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Pecl, G. T., Araújo, M. B., Bell, J. D., Blanchard, J., Bonebrake, T. C., Chen, I. C., Clark, T. D., Colwell, R. K., Danielsen, F., Evengård, B., &amp; Falconi, L. (2017). Biodiversity redistribution under climate change: Impacts on ecosystems and human well-being. </w:t>
      </w:r>
      <w:r w:rsidRPr="009B0448">
        <w:rPr>
          <w:rFonts w:ascii="Times New Roman" w:eastAsia="Times New Roman" w:hAnsi="Times New Roman" w:cs="Times New Roman"/>
          <w:i/>
        </w:rPr>
        <w:t>Science, 355</w:t>
      </w:r>
      <w:r w:rsidRPr="009B0448">
        <w:rPr>
          <w:rFonts w:ascii="Times New Roman" w:eastAsia="Times New Roman" w:hAnsi="Times New Roman" w:cs="Times New Roman"/>
        </w:rPr>
        <w:t xml:space="preserve">(6332), eaai9214. </w:t>
      </w:r>
      <w:hyperlink r:id="rId1688" w:history="1">
        <w:r w:rsidRPr="009B0448">
          <w:rPr>
            <w:rStyle w:val="Hyperlink"/>
            <w:rFonts w:ascii="Times New Roman" w:eastAsia="Times New Roman" w:hAnsi="Times New Roman" w:cs="Times New Roman"/>
          </w:rPr>
          <w:t>https://doi.org/10.1126/science.aai9214</w:t>
        </w:r>
      </w:hyperlink>
    </w:p>
    <w:p w14:paraId="497ED90D"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Peterson, G. D., Beard Jr, T. D., Beisner, B. E., Bennett, E. M., Carpenter, S. R., Cumming, G. S., Dent, C. L., &amp; Havlicek, T. D. (2003). Assessing future ecosystem services: a case study of the Northern Highlands Lake District, Wisconsin. </w:t>
      </w:r>
      <w:r w:rsidRPr="009B0448">
        <w:rPr>
          <w:rFonts w:ascii="Times New Roman" w:eastAsia="Times New Roman" w:hAnsi="Times New Roman" w:cs="Times New Roman"/>
          <w:i/>
        </w:rPr>
        <w:t xml:space="preserve">Conservation Ecology, </w:t>
      </w:r>
      <w:r w:rsidRPr="009B0448">
        <w:rPr>
          <w:rFonts w:ascii="Times New Roman" w:eastAsia="Times New Roman" w:hAnsi="Times New Roman" w:cs="Times New Roman"/>
          <w:b/>
          <w:i/>
        </w:rPr>
        <w:t>7</w:t>
      </w:r>
      <w:r w:rsidRPr="009B0448">
        <w:rPr>
          <w:rFonts w:ascii="Times New Roman" w:eastAsia="Times New Roman" w:hAnsi="Times New Roman" w:cs="Times New Roman"/>
        </w:rPr>
        <w:t xml:space="preserve">(3), 1. Retrieved from </w:t>
      </w:r>
      <w:hyperlink r:id="rId1689" w:history="1">
        <w:r w:rsidRPr="009B0448">
          <w:rPr>
            <w:rStyle w:val="Hyperlink"/>
            <w:rFonts w:ascii="Times New Roman" w:hAnsi="Times New Roman" w:cs="Times New Roman"/>
          </w:rPr>
          <w:t>http://www.jstor.org/stable/26271964</w:t>
        </w:r>
      </w:hyperlink>
    </w:p>
    <w:p w14:paraId="2259AB14"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Pfister, S., Bayer, P., Koehler, A., &amp; Hellweg, S. (2011). Projected water consumption in future global agriculture: scenarios and related impacts. </w:t>
      </w:r>
      <w:r w:rsidRPr="009B0448">
        <w:rPr>
          <w:rFonts w:ascii="Times New Roman" w:eastAsia="Times New Roman" w:hAnsi="Times New Roman" w:cs="Times New Roman"/>
          <w:i/>
          <w:lang w:val="en-ZA" w:eastAsia="en-GB"/>
        </w:rPr>
        <w:t>Science of the Total Environment</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409</w:t>
      </w:r>
      <w:r w:rsidRPr="009B0448">
        <w:rPr>
          <w:rFonts w:ascii="Times New Roman" w:eastAsia="Times New Roman" w:hAnsi="Times New Roman" w:cs="Times New Roman"/>
          <w:lang w:val="en-ZA" w:eastAsia="en-GB"/>
        </w:rPr>
        <w:t xml:space="preserve">(20), 4206–4216. </w:t>
      </w:r>
      <w:hyperlink r:id="rId1690" w:history="1">
        <w:r w:rsidRPr="009B0448">
          <w:rPr>
            <w:rStyle w:val="Hyperlink"/>
            <w:rFonts w:ascii="Times New Roman" w:hAnsi="Times New Roman" w:cs="Times New Roman"/>
            <w:lang w:val="en-ZA" w:eastAsia="en-GB"/>
          </w:rPr>
          <w:t>https://doi.org/10.1016/j.scitotenv.2011.07.019</w:t>
        </w:r>
      </w:hyperlink>
    </w:p>
    <w:p w14:paraId="6504F28F"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rPr>
        <w:t xml:space="preserve">Proença, V., Martin, L. J., Pereira, H. M., Fernandez, M., McRae, L., Belnap, J., Böhm, M., Brummitt, N., García-Moreno, J., Gregory, R. D., Honrado, J. P., Jürgens, N., Opige, M., Schmeller, D. S., Tiago, P., &amp; van Swaay, C. A. M. </w:t>
      </w:r>
      <w:r w:rsidRPr="009B0448">
        <w:rPr>
          <w:rFonts w:ascii="Times New Roman" w:eastAsia="Times New Roman" w:hAnsi="Times New Roman" w:cs="Times New Roman"/>
          <w:lang w:val="en-ZA" w:eastAsia="en-GB"/>
        </w:rPr>
        <w:t xml:space="preserve">(2017). Global biodiversity monitoring: From data sources to Essential Biodiversity Variables. </w:t>
      </w:r>
      <w:r w:rsidRPr="009B0448">
        <w:rPr>
          <w:rFonts w:ascii="Times New Roman" w:eastAsia="Times New Roman" w:hAnsi="Times New Roman" w:cs="Times New Roman"/>
          <w:i/>
          <w:lang w:val="en-ZA" w:eastAsia="en-GB"/>
        </w:rPr>
        <w:t>Biological Conservation</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 xml:space="preserve">213B, </w:t>
      </w:r>
      <w:r w:rsidRPr="009B0448">
        <w:rPr>
          <w:rFonts w:ascii="Times New Roman" w:eastAsia="Times New Roman" w:hAnsi="Times New Roman" w:cs="Times New Roman"/>
          <w:lang w:val="en-ZA" w:eastAsia="en-GB"/>
        </w:rPr>
        <w:t xml:space="preserve">256–263. </w:t>
      </w:r>
      <w:hyperlink r:id="rId1691" w:history="1">
        <w:r w:rsidRPr="009B0448">
          <w:rPr>
            <w:rStyle w:val="Hyperlink"/>
            <w:rFonts w:ascii="Times New Roman" w:hAnsi="Times New Roman" w:cs="Times New Roman"/>
            <w:lang w:val="en-ZA" w:eastAsia="en-GB"/>
          </w:rPr>
          <w:t>https://doi.org/10.1016/j.biocon.2016.07.014</w:t>
        </w:r>
      </w:hyperlink>
    </w:p>
    <w:p w14:paraId="09DA3F0E"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Quisthoudt, K., Adams, J., Rajkaran, A., Dahdouh-Guebas, F., Koedam, N., &amp; Randin, C. F. (2013). Disentangling the effects of global climate and regional land-use change on the current and future distribution of mangroves in South Africa. </w:t>
      </w:r>
      <w:r w:rsidRPr="009B0448">
        <w:rPr>
          <w:rFonts w:ascii="Times New Roman" w:eastAsia="Times New Roman" w:hAnsi="Times New Roman" w:cs="Times New Roman"/>
          <w:i/>
          <w:lang w:val="en-ZA" w:eastAsia="en-GB"/>
        </w:rPr>
        <w:t>Biodiversity and Conservation</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22</w:t>
      </w:r>
      <w:r w:rsidRPr="009B0448">
        <w:rPr>
          <w:rFonts w:ascii="Times New Roman" w:eastAsia="Times New Roman" w:hAnsi="Times New Roman" w:cs="Times New Roman"/>
          <w:lang w:val="en-ZA" w:eastAsia="en-GB"/>
        </w:rPr>
        <w:t xml:space="preserve">(6–7), 1369–1390. </w:t>
      </w:r>
      <w:hyperlink r:id="rId1692" w:history="1">
        <w:r w:rsidRPr="009B0448">
          <w:rPr>
            <w:rStyle w:val="Hyperlink"/>
            <w:rFonts w:ascii="Times New Roman" w:hAnsi="Times New Roman" w:cs="Times New Roman"/>
            <w:lang w:val="en-ZA" w:eastAsia="en-GB"/>
          </w:rPr>
          <w:t>https://doi.org/10.1007/s10531-013-0478-4</w:t>
        </w:r>
      </w:hyperlink>
    </w:p>
    <w:p w14:paraId="14B1AD2B"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highlight w:val="white"/>
          <w:lang w:val="en-ZA" w:eastAsia="en-GB"/>
        </w:rPr>
        <w:t>Raudsepp-Hearne, C., Peterson, G. D., Tengö, M., Bennett, E. M, Holland, T., Benessaiah, K</w:t>
      </w:r>
      <w:r w:rsidRPr="009B0448">
        <w:rPr>
          <w:rFonts w:ascii="Times New Roman" w:eastAsia="Times New Roman" w:hAnsi="Times New Roman" w:cs="Times New Roman"/>
          <w:lang w:val="en-ZA" w:eastAsia="en-GB"/>
        </w:rPr>
        <w:t>., MacDonald</w:t>
      </w:r>
      <w:r w:rsidRPr="009B0448">
        <w:rPr>
          <w:rFonts w:ascii="Times New Roman" w:eastAsia="Times New Roman" w:hAnsi="Times New Roman" w:cs="Times New Roman"/>
          <w:highlight w:val="white"/>
          <w:lang w:val="en-ZA" w:eastAsia="en-GB"/>
        </w:rPr>
        <w:t xml:space="preserve">, G.K., &amp; Pfeifer, L. (2010). Untangling the environmentalist's paradox: Why is human well-being increasing as ecosystem services degrade? </w:t>
      </w:r>
      <w:r w:rsidRPr="009B0448">
        <w:rPr>
          <w:rFonts w:ascii="Times New Roman" w:eastAsia="Times New Roman" w:hAnsi="Times New Roman" w:cs="Times New Roman"/>
          <w:i/>
          <w:highlight w:val="white"/>
          <w:lang w:val="en-ZA" w:eastAsia="en-GB"/>
        </w:rPr>
        <w:t>BioScience, 60</w:t>
      </w:r>
      <w:r w:rsidRPr="009B0448">
        <w:rPr>
          <w:rFonts w:ascii="Times New Roman" w:eastAsia="Times New Roman" w:hAnsi="Times New Roman" w:cs="Times New Roman"/>
          <w:highlight w:val="white"/>
          <w:lang w:val="en-ZA" w:eastAsia="en-GB"/>
        </w:rPr>
        <w:t xml:space="preserve"> (8), 576–589. </w:t>
      </w:r>
      <w:hyperlink r:id="rId1693" w:history="1">
        <w:r w:rsidRPr="009B0448">
          <w:rPr>
            <w:rStyle w:val="Hyperlink"/>
            <w:rFonts w:ascii="Times New Roman" w:hAnsi="Times New Roman" w:cs="Times New Roman"/>
            <w:lang w:val="en-ZA" w:eastAsia="en-GB"/>
          </w:rPr>
          <w:t>https://doi.org/</w:t>
        </w:r>
        <w:r w:rsidRPr="009B0448">
          <w:rPr>
            <w:rStyle w:val="Hyperlink"/>
            <w:rFonts w:ascii="Times New Roman" w:hAnsi="Times New Roman" w:cs="Times New Roman"/>
            <w:highlight w:val="white"/>
            <w:lang w:val="en-ZA" w:eastAsia="en-GB"/>
          </w:rPr>
          <w:t>10.1525/bio.2010.60.8.4</w:t>
        </w:r>
      </w:hyperlink>
    </w:p>
    <w:p w14:paraId="7F4CFD1F"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color w:val="auto"/>
          <w:lang w:val="en-ZA" w:eastAsia="en-GB"/>
        </w:rPr>
      </w:pPr>
      <w:r w:rsidRPr="009B0448">
        <w:rPr>
          <w:rFonts w:ascii="Times New Roman" w:eastAsia="Times New Roman" w:hAnsi="Times New Roman" w:cs="Times New Roman"/>
          <w:color w:val="auto"/>
          <w:highlight w:val="white"/>
          <w:lang w:val="en-ZA" w:eastAsia="en-GB"/>
        </w:rPr>
        <w:t xml:space="preserve">Rutherford, M.C., Midgley, G.F., Bond, W.J., &amp; Allsopp, J. (2000). Plant biodiversity: vulnerability and adaptation assessment. In G. </w:t>
      </w:r>
      <w:r w:rsidRPr="009B0448">
        <w:rPr>
          <w:rFonts w:ascii="Times New Roman" w:eastAsia="Times New Roman" w:hAnsi="Times New Roman" w:cs="Times New Roman"/>
          <w:color w:val="auto"/>
          <w:lang w:val="en-ZA" w:eastAsia="en-GB"/>
        </w:rPr>
        <w:t xml:space="preserve">Kiker </w:t>
      </w:r>
      <w:r w:rsidRPr="009B0448">
        <w:rPr>
          <w:rFonts w:ascii="Times New Roman" w:eastAsia="Times New Roman" w:hAnsi="Times New Roman" w:cs="Times New Roman"/>
          <w:color w:val="auto"/>
          <w:highlight w:val="white"/>
          <w:lang w:val="en-ZA" w:eastAsia="en-GB"/>
        </w:rPr>
        <w:t>(Ed.)</w:t>
      </w:r>
      <w:r w:rsidRPr="009B0448">
        <w:rPr>
          <w:rFonts w:ascii="Times New Roman" w:eastAsia="Times New Roman" w:hAnsi="Times New Roman" w:cs="Times New Roman"/>
          <w:color w:val="auto"/>
          <w:lang w:val="en-ZA" w:eastAsia="en-GB"/>
        </w:rPr>
        <w:t xml:space="preserve">, </w:t>
      </w:r>
      <w:r w:rsidRPr="009B0448">
        <w:rPr>
          <w:rFonts w:ascii="Times New Roman" w:eastAsia="Times New Roman" w:hAnsi="Times New Roman" w:cs="Times New Roman"/>
          <w:color w:val="auto"/>
          <w:highlight w:val="white"/>
          <w:lang w:val="en-ZA" w:eastAsia="en-GB"/>
        </w:rPr>
        <w:t>C</w:t>
      </w:r>
      <w:r w:rsidRPr="009B0448">
        <w:rPr>
          <w:rFonts w:ascii="Times New Roman" w:eastAsia="Times New Roman" w:hAnsi="Times New Roman" w:cs="Times New Roman"/>
          <w:i/>
          <w:color w:val="auto"/>
          <w:highlight w:val="white"/>
          <w:lang w:val="en-ZA" w:eastAsia="en-GB"/>
        </w:rPr>
        <w:t>limate change impacts in Southern Africa</w:t>
      </w:r>
      <w:r w:rsidRPr="009B0448">
        <w:rPr>
          <w:rFonts w:ascii="Times New Roman" w:eastAsia="Times New Roman" w:hAnsi="Times New Roman" w:cs="Times New Roman"/>
          <w:color w:val="auto"/>
          <w:highlight w:val="white"/>
          <w:lang w:val="en-ZA" w:eastAsia="en-GB"/>
        </w:rPr>
        <w:t xml:space="preserve">. </w:t>
      </w:r>
      <w:r w:rsidRPr="009B0448">
        <w:rPr>
          <w:rFonts w:ascii="Times New Roman" w:eastAsia="Times New Roman" w:hAnsi="Times New Roman" w:cs="Times New Roman"/>
          <w:i/>
          <w:color w:val="auto"/>
          <w:highlight w:val="white"/>
          <w:lang w:val="en-ZA" w:eastAsia="en-GB"/>
        </w:rPr>
        <w:t>Report to the National Climate Change Committee.</w:t>
      </w:r>
      <w:r w:rsidRPr="009B0448">
        <w:rPr>
          <w:rFonts w:ascii="Times New Roman" w:eastAsia="Times New Roman" w:hAnsi="Times New Roman" w:cs="Times New Roman"/>
          <w:color w:val="auto"/>
          <w:highlight w:val="white"/>
          <w:lang w:val="en-ZA" w:eastAsia="en-GB"/>
        </w:rPr>
        <w:t xml:space="preserve"> Pretoria, South Africa: Department of Environmental Affairs and Tourism. </w:t>
      </w:r>
      <w:r w:rsidRPr="009B0448">
        <w:rPr>
          <w:rFonts w:ascii="Times New Roman" w:eastAsia="Times New Roman" w:hAnsi="Times New Roman" w:cs="Times New Roman"/>
          <w:color w:val="auto"/>
          <w:lang w:val="en-ZA" w:eastAsia="en-GB"/>
        </w:rPr>
        <w:t xml:space="preserve">Retrieved from </w:t>
      </w:r>
      <w:hyperlink r:id="rId1694" w:history="1">
        <w:r w:rsidRPr="009B0448">
          <w:rPr>
            <w:rStyle w:val="Hyperlink"/>
            <w:rFonts w:ascii="Times New Roman" w:hAnsi="Times New Roman" w:cs="Times New Roman"/>
            <w:lang w:val="en-ZA" w:eastAsia="en-GB"/>
          </w:rPr>
          <w:t>https://www.researchgate.net/publication/281558184</w:t>
        </w:r>
      </w:hyperlink>
    </w:p>
    <w:p w14:paraId="4797786F"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SADC (Southern African Development Community). (2008). </w:t>
      </w:r>
      <w:r w:rsidRPr="009B0448">
        <w:rPr>
          <w:rFonts w:ascii="Times New Roman" w:eastAsia="Times New Roman" w:hAnsi="Times New Roman" w:cs="Times New Roman"/>
          <w:i/>
          <w:lang w:val="en-ZA" w:eastAsia="en-GB"/>
        </w:rPr>
        <w:t>Southern Africa environment outlook.</w:t>
      </w:r>
      <w:r w:rsidRPr="009B0448">
        <w:rPr>
          <w:rFonts w:ascii="Times New Roman" w:eastAsia="Times New Roman" w:hAnsi="Times New Roman" w:cs="Times New Roman"/>
          <w:lang w:val="en-ZA" w:eastAsia="en-GB"/>
        </w:rPr>
        <w:t xml:space="preserve"> Gaborone, Botswana: SADC Secretariat. Retrieved from </w:t>
      </w:r>
      <w:hyperlink r:id="rId1695" w:history="1">
        <w:r w:rsidRPr="009B0448">
          <w:rPr>
            <w:rStyle w:val="Hyperlink"/>
            <w:rFonts w:ascii="Times New Roman" w:eastAsia="Times New Roman" w:hAnsi="Times New Roman" w:cs="Times New Roman"/>
            <w:lang w:val="en-ZA" w:eastAsia="en-GB"/>
          </w:rPr>
          <w:t>https://www.sardc.net/books/SAEO/SAEO.pdf</w:t>
        </w:r>
      </w:hyperlink>
    </w:p>
    <w:p w14:paraId="18F42300"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Sandker, M., Campbell, B. M., Nzooh, Z., Sunderland, T., Amougou, V., Defo, L., &amp; Sayer, J. (2009). Exploring the effectiveness of integrated conservation and development interventions in a Central African forest landscape. </w:t>
      </w:r>
      <w:r w:rsidRPr="009B0448">
        <w:rPr>
          <w:rFonts w:ascii="Times New Roman" w:eastAsia="Times New Roman" w:hAnsi="Times New Roman" w:cs="Times New Roman"/>
          <w:i/>
          <w:lang w:val="en-ZA" w:eastAsia="en-GB"/>
        </w:rPr>
        <w:t>Biodiversity and Conservation</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18</w:t>
      </w:r>
      <w:r w:rsidRPr="009B0448">
        <w:rPr>
          <w:rFonts w:ascii="Times New Roman" w:eastAsia="Times New Roman" w:hAnsi="Times New Roman" w:cs="Times New Roman"/>
          <w:lang w:val="en-ZA" w:eastAsia="en-GB"/>
        </w:rPr>
        <w:t xml:space="preserve">(11), 2875–2892. </w:t>
      </w:r>
      <w:hyperlink r:id="rId1696" w:history="1">
        <w:r w:rsidRPr="009B0448">
          <w:rPr>
            <w:rStyle w:val="Hyperlink"/>
            <w:rFonts w:ascii="Times New Roman" w:hAnsi="Times New Roman" w:cs="Times New Roman"/>
            <w:lang w:val="en-ZA" w:eastAsia="en-GB"/>
          </w:rPr>
          <w:t>https://doi.org/10.1007/s10531-009-9613-7</w:t>
        </w:r>
      </w:hyperlink>
    </w:p>
    <w:p w14:paraId="68EF8752"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Sandker, M., Ruiz-Perez, M., &amp; Campbell, B. M. (2012). Trade-offs between biodiversity conservation and economic development in five tropical forest landscapes. </w:t>
      </w:r>
      <w:r w:rsidRPr="009B0448">
        <w:rPr>
          <w:rFonts w:ascii="Times New Roman" w:eastAsia="Times New Roman" w:hAnsi="Times New Roman" w:cs="Times New Roman"/>
          <w:i/>
          <w:lang w:val="en-ZA" w:eastAsia="en-GB"/>
        </w:rPr>
        <w:t>Environmental Management</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50</w:t>
      </w:r>
      <w:r w:rsidRPr="009B0448">
        <w:rPr>
          <w:rFonts w:ascii="Times New Roman" w:eastAsia="Times New Roman" w:hAnsi="Times New Roman" w:cs="Times New Roman"/>
          <w:lang w:val="en-ZA" w:eastAsia="en-GB"/>
        </w:rPr>
        <w:t xml:space="preserve">(4), 633–644. </w:t>
      </w:r>
      <w:hyperlink r:id="rId1697" w:history="1">
        <w:r w:rsidRPr="009B0448">
          <w:rPr>
            <w:rStyle w:val="Hyperlink"/>
            <w:rFonts w:ascii="Times New Roman" w:hAnsi="Times New Roman" w:cs="Times New Roman"/>
            <w:lang w:val="en-ZA" w:eastAsia="en-GB"/>
          </w:rPr>
          <w:t>https://doi.org/10.1007/s00267-012-9888-4</w:t>
        </w:r>
      </w:hyperlink>
    </w:p>
    <w:p w14:paraId="48274A34"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Sasmito, S. D., Murdiyarso, D., Friess, D. A., &amp; Kurnianto, S. (2015). Can mangroves keep pace with contemporary sea level rise? A global data review. </w:t>
      </w:r>
      <w:r w:rsidRPr="009B0448">
        <w:rPr>
          <w:rFonts w:ascii="Times New Roman" w:eastAsia="Times New Roman" w:hAnsi="Times New Roman" w:cs="Times New Roman"/>
          <w:i/>
          <w:lang w:val="en-ZA" w:eastAsia="en-GB"/>
        </w:rPr>
        <w:t>Wetland, Ecology and Management</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24</w:t>
      </w:r>
      <w:r w:rsidRPr="009B0448">
        <w:rPr>
          <w:rFonts w:ascii="Times New Roman" w:eastAsia="Times New Roman" w:hAnsi="Times New Roman" w:cs="Times New Roman"/>
          <w:lang w:val="en-ZA" w:eastAsia="en-GB"/>
        </w:rPr>
        <w:t xml:space="preserve">(2), 263–278. </w:t>
      </w:r>
      <w:hyperlink r:id="rId1698" w:history="1">
        <w:r w:rsidRPr="009B0448">
          <w:rPr>
            <w:rStyle w:val="Hyperlink"/>
            <w:rFonts w:ascii="Times New Roman" w:hAnsi="Times New Roman" w:cs="Times New Roman"/>
            <w:lang w:val="en-ZA" w:eastAsia="en-GB"/>
          </w:rPr>
          <w:t>https://doi.org/10.1007/s11273-015-9466-7</w:t>
        </w:r>
      </w:hyperlink>
    </w:p>
    <w:p w14:paraId="26567892"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Schmitz, C., van Meijl, H., Kyle, P., Nelson, G. C., Fujimori, S., Gurgel, A</w:t>
      </w:r>
      <w:r w:rsidRPr="009B0448">
        <w:rPr>
          <w:rFonts w:ascii="Times New Roman" w:eastAsia="Times New Roman" w:hAnsi="Times New Roman" w:cs="Times New Roman"/>
          <w:color w:val="auto"/>
          <w:lang w:val="en-ZA" w:eastAsia="en-GB"/>
        </w:rPr>
        <w:t xml:space="preserve">., Havlik, P., Heyhoe, E., d’Croz, D. M., Popp, A., Sands, R., Tabeau, A., van de Mensbrugghe, D., von Lampe, M., Wise, M., Blanc, E., Hasegawa, T., Kavallari, A., </w:t>
      </w:r>
      <w:r w:rsidRPr="009B0448">
        <w:rPr>
          <w:rFonts w:ascii="Times New Roman" w:eastAsia="Times New Roman" w:hAnsi="Times New Roman" w:cs="Times New Roman"/>
          <w:lang w:val="en-ZA" w:eastAsia="en-GB"/>
        </w:rPr>
        <w:t xml:space="preserve">&amp; Valin, H. (2014). Land-use change trajectories up to 2050: insights from a global agro-economic model comparison. </w:t>
      </w:r>
      <w:r w:rsidRPr="009B0448">
        <w:rPr>
          <w:rFonts w:ascii="Times New Roman" w:eastAsia="Times New Roman" w:hAnsi="Times New Roman" w:cs="Times New Roman"/>
          <w:i/>
          <w:lang w:val="en-ZA" w:eastAsia="en-GB"/>
        </w:rPr>
        <w:t>Agricultural Economics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45</w:t>
      </w:r>
      <w:r w:rsidRPr="009B0448">
        <w:rPr>
          <w:rFonts w:ascii="Times New Roman" w:eastAsia="Times New Roman" w:hAnsi="Times New Roman" w:cs="Times New Roman"/>
          <w:lang w:val="en-ZA" w:eastAsia="en-GB"/>
        </w:rPr>
        <w:t xml:space="preserve">, 69–84. </w:t>
      </w:r>
      <w:hyperlink r:id="rId1699" w:history="1">
        <w:r w:rsidRPr="009B0448">
          <w:rPr>
            <w:rStyle w:val="Hyperlink"/>
            <w:rFonts w:ascii="Times New Roman" w:hAnsi="Times New Roman" w:cs="Times New Roman"/>
            <w:lang w:val="en-ZA" w:eastAsia="en-GB"/>
          </w:rPr>
          <w:t>https://doi.org/10.1111/agec.12090</w:t>
        </w:r>
      </w:hyperlink>
    </w:p>
    <w:p w14:paraId="5E5C3E0C"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Scholze, M., Knorr, W., Arnell, N. W., &amp; Prentice, I. C. (2006). A climate-change risk analysis for world ecosystems. </w:t>
      </w:r>
      <w:r w:rsidRPr="009B0448">
        <w:rPr>
          <w:rFonts w:ascii="Times New Roman" w:eastAsia="Times New Roman" w:hAnsi="Times New Roman" w:cs="Times New Roman"/>
          <w:i/>
          <w:lang w:val="en-ZA" w:eastAsia="en-GB"/>
        </w:rPr>
        <w:t>Proceedings of the National Academy of Sciences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of the United States of America,</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103</w:t>
      </w:r>
      <w:r w:rsidRPr="009B0448">
        <w:rPr>
          <w:rFonts w:ascii="Times New Roman" w:eastAsia="Times New Roman" w:hAnsi="Times New Roman" w:cs="Times New Roman"/>
          <w:lang w:val="en-ZA" w:eastAsia="en-GB"/>
        </w:rPr>
        <w:t xml:space="preserve">(35), 13116–13120. </w:t>
      </w:r>
      <w:hyperlink r:id="rId1700" w:history="1">
        <w:r w:rsidRPr="009B0448">
          <w:rPr>
            <w:rStyle w:val="Hyperlink"/>
            <w:rFonts w:ascii="Times New Roman" w:hAnsi="Times New Roman" w:cs="Times New Roman"/>
            <w:lang w:val="en-ZA" w:eastAsia="en-GB"/>
          </w:rPr>
          <w:t>https://doi.org/10.1073/pnas.0601816103</w:t>
        </w:r>
      </w:hyperlink>
    </w:p>
    <w:p w14:paraId="13C5375E" w14:textId="77777777" w:rsidR="00431F56" w:rsidRPr="009B0448" w:rsidRDefault="00431F56" w:rsidP="00E14709">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Seto, K. C., Guneralp, B., &amp; Hutyara, L. R. (2012). Global forecasts of urban expansion to 2030 and direct impacts on biodiversity and carbon pools. </w:t>
      </w:r>
      <w:r w:rsidRPr="009B0448">
        <w:rPr>
          <w:rFonts w:ascii="Times New Roman" w:eastAsia="Times New Roman" w:hAnsi="Times New Roman" w:cs="Times New Roman"/>
          <w:i/>
          <w:lang w:val="en-ZA" w:eastAsia="en-GB"/>
        </w:rPr>
        <w:t>Proceedings of the National Academy of Sciences of the United States of America, 109</w:t>
      </w:r>
      <w:r w:rsidRPr="009B0448">
        <w:rPr>
          <w:rFonts w:ascii="Times New Roman" w:eastAsia="Times New Roman" w:hAnsi="Times New Roman" w:cs="Times New Roman"/>
          <w:lang w:val="en-ZA" w:eastAsia="en-GB"/>
        </w:rPr>
        <w:t xml:space="preserve">(40), 16083–16088. </w:t>
      </w:r>
      <w:hyperlink r:id="rId1701" w:history="1">
        <w:r w:rsidRPr="009B0448">
          <w:rPr>
            <w:rStyle w:val="Hyperlink"/>
            <w:rFonts w:ascii="Times New Roman" w:hAnsi="Times New Roman" w:cs="Times New Roman"/>
            <w:lang w:val="en-ZA" w:eastAsia="en-GB"/>
          </w:rPr>
          <w:t>https://doi.org/10.1073/pnas.1211658109</w:t>
        </w:r>
      </w:hyperlink>
    </w:p>
    <w:p w14:paraId="0FE9BEEF" w14:textId="04A8BFB6"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Shah, M. M., Fischer, G., &amp; van Velthuizen, H. (2008). </w:t>
      </w:r>
      <w:r w:rsidRPr="009B0448">
        <w:rPr>
          <w:rFonts w:ascii="Times New Roman" w:eastAsia="Times New Roman" w:hAnsi="Times New Roman" w:cs="Times New Roman"/>
          <w:i/>
          <w:lang w:val="en-ZA" w:eastAsia="en-GB"/>
        </w:rPr>
        <w:t>Food security and sustainable agriculture: The c</w:t>
      </w:r>
      <w:r w:rsidR="00917FB2">
        <w:rPr>
          <w:rFonts w:ascii="Times New Roman" w:eastAsia="Times New Roman" w:hAnsi="Times New Roman" w:cs="Times New Roman"/>
          <w:i/>
          <w:lang w:val="en-ZA" w:eastAsia="en-GB"/>
        </w:rPr>
        <w:t>hallenges of climate change in s</w:t>
      </w:r>
      <w:r w:rsidRPr="009B0448">
        <w:rPr>
          <w:rFonts w:ascii="Times New Roman" w:eastAsia="Times New Roman" w:hAnsi="Times New Roman" w:cs="Times New Roman"/>
          <w:i/>
          <w:lang w:val="en-ZA" w:eastAsia="en-GB"/>
        </w:rPr>
        <w:t>ub-Saharan Africa</w:t>
      </w:r>
      <w:r w:rsidRPr="009B0448">
        <w:rPr>
          <w:rFonts w:ascii="Times New Roman" w:eastAsia="Times New Roman" w:hAnsi="Times New Roman" w:cs="Times New Roman"/>
          <w:lang w:val="en-ZA" w:eastAsia="en-GB"/>
        </w:rPr>
        <w:t xml:space="preserve">. Laxenburg, Austria: International Institute for Applied Systems Analysis. Retrieved from </w:t>
      </w:r>
      <w:hyperlink r:id="rId1702" w:history="1">
        <w:r w:rsidRPr="009B0448">
          <w:rPr>
            <w:rStyle w:val="Hyperlink"/>
            <w:rFonts w:ascii="Times New Roman" w:eastAsia="Times New Roman" w:hAnsi="Times New Roman" w:cs="Times New Roman"/>
            <w:lang w:val="en-ZA" w:eastAsia="en-GB"/>
          </w:rPr>
          <w:t>https://pdfs.semanticscholar.org/6d40/162006c08e92d367a81629d9d85fc381e028.pdf</w:t>
        </w:r>
      </w:hyperlink>
    </w:p>
    <w:p w14:paraId="154E89A1"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Simaika, J. P., &amp; Samways, M. J. (2015). Predicted range shifts of dragonflies over a wide elevation gradient in the southern hemisphere. </w:t>
      </w:r>
      <w:r w:rsidRPr="009B0448">
        <w:rPr>
          <w:rFonts w:ascii="Times New Roman" w:eastAsia="Times New Roman" w:hAnsi="Times New Roman" w:cs="Times New Roman"/>
          <w:i/>
          <w:lang w:val="en-ZA" w:eastAsia="en-GB"/>
        </w:rPr>
        <w:t>Freshwater Science</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34</w:t>
      </w:r>
      <w:r w:rsidRPr="009B0448">
        <w:rPr>
          <w:rFonts w:ascii="Times New Roman" w:eastAsia="Times New Roman" w:hAnsi="Times New Roman" w:cs="Times New Roman"/>
          <w:lang w:val="en-ZA" w:eastAsia="en-GB"/>
        </w:rPr>
        <w:t xml:space="preserve">, 1133–1143. </w:t>
      </w:r>
      <w:hyperlink r:id="rId1703" w:history="1">
        <w:r w:rsidRPr="009B0448">
          <w:rPr>
            <w:rStyle w:val="Hyperlink"/>
            <w:rFonts w:ascii="Times New Roman" w:hAnsi="Times New Roman" w:cs="Times New Roman"/>
            <w:lang w:val="en-ZA" w:eastAsia="en-GB"/>
          </w:rPr>
          <w:t>https://doi.org/10.1086/682686</w:t>
        </w:r>
      </w:hyperlink>
      <w:r w:rsidRPr="009B0448">
        <w:rPr>
          <w:rFonts w:ascii="Times New Roman" w:eastAsia="Times New Roman" w:hAnsi="Times New Roman" w:cs="Times New Roman"/>
          <w:lang w:val="en-ZA" w:eastAsia="en-GB"/>
        </w:rPr>
        <w:t xml:space="preserve"> </w:t>
      </w:r>
    </w:p>
    <w:p w14:paraId="01029ED0"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color w:val="auto"/>
          <w:highlight w:val="white"/>
          <w:lang w:val="en-ZA" w:eastAsia="en-GB"/>
        </w:rPr>
      </w:pPr>
      <w:r w:rsidRPr="009B0448">
        <w:rPr>
          <w:rFonts w:ascii="Times New Roman" w:eastAsia="Times New Roman" w:hAnsi="Times New Roman" w:cs="Times New Roman"/>
          <w:color w:val="000000" w:themeColor="text1"/>
          <w:highlight w:val="white"/>
          <w:lang w:val="en-ZA" w:eastAsia="en-GB"/>
        </w:rPr>
        <w:t xml:space="preserve">Sirami, C. (2009). The impact of shrub encroachment on savanna bird diversity from local to regional scale. </w:t>
      </w:r>
      <w:r w:rsidRPr="009B0448">
        <w:rPr>
          <w:rFonts w:ascii="Times New Roman" w:eastAsia="Times New Roman" w:hAnsi="Times New Roman" w:cs="Times New Roman"/>
          <w:i/>
          <w:color w:val="000000" w:themeColor="text1"/>
          <w:highlight w:val="white"/>
          <w:lang w:val="en-ZA" w:eastAsia="en-GB"/>
        </w:rPr>
        <w:t>Diversity and Distribution 15</w:t>
      </w:r>
      <w:r w:rsidRPr="009B0448">
        <w:rPr>
          <w:rFonts w:ascii="Times New Roman" w:eastAsia="Times New Roman" w:hAnsi="Times New Roman" w:cs="Times New Roman"/>
          <w:color w:val="000000" w:themeColor="text1"/>
          <w:highlight w:val="white"/>
          <w:lang w:val="en-ZA" w:eastAsia="en-GB"/>
        </w:rPr>
        <w:t>, 948–957</w:t>
      </w:r>
      <w:r w:rsidRPr="009B0448">
        <w:rPr>
          <w:rFonts w:ascii="Times New Roman" w:eastAsia="Times New Roman" w:hAnsi="Times New Roman" w:cs="Times New Roman"/>
          <w:color w:val="auto"/>
          <w:highlight w:val="white"/>
          <w:lang w:val="en-ZA" w:eastAsia="en-GB"/>
        </w:rPr>
        <w:t xml:space="preserve">. </w:t>
      </w:r>
      <w:hyperlink r:id="rId1704" w:history="1">
        <w:r w:rsidRPr="009B0448">
          <w:rPr>
            <w:rStyle w:val="Hyperlink"/>
            <w:rFonts w:ascii="Times New Roman" w:hAnsi="Times New Roman" w:cs="Times New Roman"/>
            <w:lang w:val="en-ZA" w:eastAsia="en-GB"/>
          </w:rPr>
          <w:t>https://doi.org/10.1111/j.1472-4642.2009.00612.x</w:t>
        </w:r>
      </w:hyperlink>
    </w:p>
    <w:p w14:paraId="5C934350"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Slater, H., &amp; Michael, E. (2012). Predicting the current and future potential distributions of lymphatic filariasis in Africa using maximum entropy ecological niche modelling. </w:t>
      </w:r>
      <w:r w:rsidRPr="009B0448">
        <w:rPr>
          <w:rFonts w:ascii="Times New Roman" w:eastAsia="Times New Roman" w:hAnsi="Times New Roman" w:cs="Times New Roman"/>
          <w:i/>
          <w:lang w:val="en-ZA" w:eastAsia="en-GB"/>
        </w:rPr>
        <w:t xml:space="preserve">PLoS </w:t>
      </w:r>
      <w:r w:rsidRPr="009B0448">
        <w:rPr>
          <w:rFonts w:ascii="Times New Roman" w:eastAsia="Times New Roman" w:hAnsi="Times New Roman" w:cs="Times New Roman"/>
          <w:i/>
        </w:rPr>
        <w:t>ONE</w:t>
      </w:r>
      <w:r w:rsidRPr="009B0448">
        <w:rPr>
          <w:rFonts w:ascii="Times New Roman" w:eastAsia="Times New Roman" w:hAnsi="Times New Roman" w:cs="Times New Roman"/>
          <w:i/>
          <w:lang w:val="en-ZA" w:eastAsia="en-GB"/>
        </w:rPr>
        <w:t>, 7(</w:t>
      </w:r>
      <w:r w:rsidRPr="009B0448">
        <w:rPr>
          <w:rFonts w:ascii="Times New Roman" w:eastAsia="Times New Roman" w:hAnsi="Times New Roman" w:cs="Times New Roman"/>
          <w:lang w:val="en-ZA" w:eastAsia="en-GB"/>
        </w:rPr>
        <w:t xml:space="preserve">2), e32202. </w:t>
      </w:r>
      <w:hyperlink r:id="rId1705" w:history="1">
        <w:r w:rsidRPr="009B0448">
          <w:rPr>
            <w:rStyle w:val="Hyperlink"/>
            <w:rFonts w:ascii="Times New Roman" w:hAnsi="Times New Roman" w:cs="Times New Roman"/>
            <w:lang w:val="en-ZA" w:eastAsia="en-GB"/>
          </w:rPr>
          <w:t>https://doi.org/10.1371/journal.pone.0032202</w:t>
        </w:r>
      </w:hyperlink>
    </w:p>
    <w:p w14:paraId="188A4548"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Smeets, E. M., Faaij, A. P., Lewandowski, I. M., &amp; Turkenburg, W. C. (2007). A bottom-up assessment and review of global bio-energy potentials to 2050. </w:t>
      </w:r>
      <w:r w:rsidRPr="009B0448">
        <w:rPr>
          <w:rFonts w:ascii="Times New Roman" w:eastAsia="Times New Roman" w:hAnsi="Times New Roman" w:cs="Times New Roman"/>
          <w:i/>
          <w:lang w:val="en-ZA" w:eastAsia="en-GB"/>
        </w:rPr>
        <w:t>Progress in Energy and Combustion Science</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33</w:t>
      </w:r>
      <w:r w:rsidRPr="009B0448">
        <w:rPr>
          <w:rFonts w:ascii="Times New Roman" w:eastAsia="Times New Roman" w:hAnsi="Times New Roman" w:cs="Times New Roman"/>
          <w:lang w:val="en-ZA" w:eastAsia="en-GB"/>
        </w:rPr>
        <w:t xml:space="preserve">(1), 56–106. </w:t>
      </w:r>
      <w:hyperlink r:id="rId1706" w:history="1">
        <w:r w:rsidRPr="009B0448">
          <w:rPr>
            <w:rStyle w:val="Hyperlink"/>
            <w:rFonts w:ascii="Times New Roman" w:hAnsi="Times New Roman" w:cs="Times New Roman"/>
            <w:lang w:val="en-ZA" w:eastAsia="en-GB"/>
          </w:rPr>
          <w:t>https://doi.org/10.1016/j.pecs.2006.08.001</w:t>
        </w:r>
      </w:hyperlink>
      <w:r w:rsidRPr="009B0448">
        <w:rPr>
          <w:rFonts w:ascii="Times New Roman" w:eastAsia="Times New Roman" w:hAnsi="Times New Roman" w:cs="Times New Roman"/>
          <w:lang w:val="en-ZA" w:eastAsia="en-GB"/>
        </w:rPr>
        <w:t xml:space="preserve"> </w:t>
      </w:r>
    </w:p>
    <w:p w14:paraId="0B90ABB5"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Swetnam, R. D., Fisher, B., Mbilinyi, B. P., Munishi, P. K., Willcock, S., Ricketts, T., Mwakalila, S., Balmford, A., Burgess, N. D., Marshall, A. R., &amp; Lewis, S. L. (2011). Mapping socio-economic scenarios of land cover change: A GIS method to enable ecosystem service modelling. </w:t>
      </w:r>
      <w:r w:rsidRPr="009B0448">
        <w:rPr>
          <w:rFonts w:ascii="Times New Roman" w:eastAsia="Times New Roman" w:hAnsi="Times New Roman" w:cs="Times New Roman"/>
          <w:i/>
          <w:lang w:val="en-ZA" w:eastAsia="en-GB"/>
        </w:rPr>
        <w:t>Journal of Environmental Management, 92</w:t>
      </w:r>
      <w:r w:rsidRPr="009B0448">
        <w:rPr>
          <w:rFonts w:ascii="Times New Roman" w:eastAsia="Times New Roman" w:hAnsi="Times New Roman" w:cs="Times New Roman"/>
          <w:lang w:val="en-ZA" w:eastAsia="en-GB"/>
        </w:rPr>
        <w:t xml:space="preserve">(3), 563–574. </w:t>
      </w:r>
      <w:hyperlink r:id="rId1707" w:history="1">
        <w:r w:rsidRPr="009B0448">
          <w:rPr>
            <w:rStyle w:val="Hyperlink"/>
            <w:rFonts w:ascii="Times New Roman" w:hAnsi="Times New Roman" w:cs="Times New Roman"/>
            <w:color w:val="0563C1"/>
          </w:rPr>
          <w:t>https://doi.org/10.1016/j.jenvman.2010.09.007</w:t>
        </w:r>
      </w:hyperlink>
    </w:p>
    <w:p w14:paraId="4817FC58"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color w:val="000000" w:themeColor="text1"/>
          <w:lang w:val="en-ZA" w:eastAsia="en-GB"/>
        </w:rPr>
        <w:t xml:space="preserve">Taylor, I. H., Burke, E., McColl, L., Falloon, P. D., Harris, G. R., &amp; McNeall, D. (2013). The impact of climate mitigation on projections of future drought. </w:t>
      </w:r>
      <w:r w:rsidRPr="009B0448">
        <w:rPr>
          <w:rFonts w:ascii="Times New Roman" w:eastAsia="Times New Roman" w:hAnsi="Times New Roman" w:cs="Times New Roman"/>
          <w:i/>
          <w:color w:val="000000" w:themeColor="text1"/>
          <w:lang w:val="en-ZA" w:eastAsia="en-GB"/>
        </w:rPr>
        <w:t>Hydrology and Earth System Sciences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17</w:t>
      </w:r>
      <w:r w:rsidRPr="009B0448">
        <w:rPr>
          <w:rFonts w:ascii="Times New Roman" w:eastAsia="Times New Roman" w:hAnsi="Times New Roman" w:cs="Times New Roman"/>
          <w:lang w:val="en-ZA" w:eastAsia="en-GB"/>
        </w:rPr>
        <w:t xml:space="preserve">(6), 2339–2358. </w:t>
      </w:r>
      <w:hyperlink r:id="rId1708" w:history="1">
        <w:r w:rsidRPr="009B0448">
          <w:rPr>
            <w:rStyle w:val="Hyperlink"/>
            <w:rFonts w:ascii="Times New Roman" w:hAnsi="Times New Roman" w:cs="Times New Roman"/>
            <w:lang w:val="en-ZA" w:eastAsia="en-GB"/>
          </w:rPr>
          <w:t>https://doi.org/10.5194/hess-17-2339-2013</w:t>
        </w:r>
      </w:hyperlink>
    </w:p>
    <w:p w14:paraId="5B38A1A5"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Taylor, P. J., Nengovhela, A., Linden, J., &amp; Baxter, R. M. (2016). Past, present, and future distribution of Afromontane rodents (Muridae: </w:t>
      </w:r>
      <w:r w:rsidRPr="009B0448">
        <w:rPr>
          <w:rFonts w:ascii="Times New Roman" w:eastAsia="Times New Roman" w:hAnsi="Times New Roman" w:cs="Times New Roman"/>
          <w:i/>
          <w:lang w:val="en-ZA" w:eastAsia="en-GB"/>
        </w:rPr>
        <w:t>Otomys</w:t>
      </w:r>
      <w:r w:rsidRPr="009B0448">
        <w:rPr>
          <w:rFonts w:ascii="Times New Roman" w:eastAsia="Times New Roman" w:hAnsi="Times New Roman" w:cs="Times New Roman"/>
          <w:lang w:val="en-ZA" w:eastAsia="en-GB"/>
        </w:rPr>
        <w:t xml:space="preserve">) reflect climate-change predicted biome changes. </w:t>
      </w:r>
      <w:r w:rsidRPr="009B0448">
        <w:rPr>
          <w:rFonts w:ascii="Times New Roman" w:eastAsia="Times New Roman" w:hAnsi="Times New Roman" w:cs="Times New Roman"/>
          <w:i/>
          <w:lang w:val="en-ZA" w:eastAsia="en-GB"/>
        </w:rPr>
        <w:t>Mammalia</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80</w:t>
      </w:r>
      <w:r w:rsidRPr="009B0448">
        <w:rPr>
          <w:rFonts w:ascii="Times New Roman" w:eastAsia="Times New Roman" w:hAnsi="Times New Roman" w:cs="Times New Roman"/>
          <w:lang w:val="en-ZA" w:eastAsia="en-GB"/>
        </w:rPr>
        <w:t xml:space="preserve">(4). </w:t>
      </w:r>
      <w:hyperlink r:id="rId1709" w:history="1">
        <w:r w:rsidRPr="009B0448">
          <w:rPr>
            <w:rStyle w:val="Hyperlink"/>
            <w:rFonts w:ascii="Times New Roman" w:hAnsi="Times New Roman" w:cs="Times New Roman"/>
            <w:lang w:val="en-ZA" w:eastAsia="en-GB"/>
          </w:rPr>
          <w:t>https://doi.org/:10.1515/mammalia-2015-0033</w:t>
        </w:r>
      </w:hyperlink>
    </w:p>
    <w:p w14:paraId="269E2370"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Thomassen, H. A., Fuller, T., Asefi-Najafabady, S., Shiplacoff, J. A., Mulembakani, P. M., Blumberg, S., Johnston, S. C., Kisalu, N. K., Kinkela, T. L., Fair, J. N., Wolfe, N. D., Shongo, R. L., LeBreton, M., Meyer, H., Wright, L. L., Muyembe, J–J., Buermann, W., Okitolonda, E., Hensley, L. E., Lloyd-Smith, J. O., Smith, T. B., &amp; Rimoin, A. W. (2013). Pathogen-host associations and predicted range shifts of human monkeypox in response to climate change in Central Africa. </w:t>
      </w:r>
      <w:r w:rsidRPr="009B0448">
        <w:rPr>
          <w:rFonts w:ascii="Times New Roman" w:eastAsia="Times New Roman" w:hAnsi="Times New Roman" w:cs="Times New Roman"/>
          <w:i/>
          <w:lang w:val="en-ZA" w:eastAsia="en-GB"/>
        </w:rPr>
        <w:t xml:space="preserve">PLoS </w:t>
      </w:r>
      <w:r w:rsidRPr="009B0448">
        <w:rPr>
          <w:rFonts w:ascii="Times New Roman" w:eastAsia="Times New Roman" w:hAnsi="Times New Roman" w:cs="Times New Roman"/>
          <w:i/>
        </w:rPr>
        <w:t>ONE</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8</w:t>
      </w:r>
      <w:r w:rsidRPr="009B0448">
        <w:rPr>
          <w:rFonts w:ascii="Times New Roman" w:eastAsia="Times New Roman" w:hAnsi="Times New Roman" w:cs="Times New Roman"/>
          <w:lang w:val="en-ZA" w:eastAsia="en-GB"/>
        </w:rPr>
        <w:t xml:space="preserve">(7), e66071. </w:t>
      </w:r>
      <w:hyperlink r:id="rId1710" w:history="1">
        <w:r w:rsidRPr="009B0448">
          <w:rPr>
            <w:rStyle w:val="Hyperlink"/>
            <w:rFonts w:ascii="Times New Roman" w:hAnsi="Times New Roman" w:cs="Times New Roman"/>
            <w:lang w:val="en-ZA" w:eastAsia="en-GB"/>
          </w:rPr>
          <w:t>https://doi.org/10.1371/journal.pone.0066071</w:t>
        </w:r>
      </w:hyperlink>
    </w:p>
    <w:p w14:paraId="1BC25A21"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Thornton, P. K., Jones, P. G., Alagarswamy, G., &amp; Andresen, J. (2009). Spatial variation of crop yield response to climate change in East Africa. </w:t>
      </w:r>
      <w:r w:rsidRPr="009B0448">
        <w:rPr>
          <w:rFonts w:ascii="Times New Roman" w:eastAsia="Times New Roman" w:hAnsi="Times New Roman" w:cs="Times New Roman"/>
          <w:i/>
          <w:lang w:val="en-ZA" w:eastAsia="en-GB"/>
        </w:rPr>
        <w:t>Global Environmental Change,</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19</w:t>
      </w:r>
      <w:r w:rsidRPr="009B0448">
        <w:rPr>
          <w:rFonts w:ascii="Times New Roman" w:eastAsia="Times New Roman" w:hAnsi="Times New Roman" w:cs="Times New Roman"/>
          <w:lang w:val="en-ZA" w:eastAsia="en-GB"/>
        </w:rPr>
        <w:t xml:space="preserve">, 54–65. </w:t>
      </w:r>
      <w:hyperlink r:id="rId1711" w:history="1">
        <w:r w:rsidRPr="009B0448">
          <w:rPr>
            <w:rStyle w:val="Hyperlink"/>
            <w:rFonts w:ascii="Times New Roman" w:hAnsi="Times New Roman" w:cs="Times New Roman"/>
            <w:lang w:val="en-ZA" w:eastAsia="en-GB"/>
          </w:rPr>
          <w:t>https://doi.org/10.1016/j.gloenvcha.2008.08.005</w:t>
        </w:r>
      </w:hyperlink>
    </w:p>
    <w:p w14:paraId="0A0860AF"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Todd, M. C., Andersson, L., Hughes, D. A., Kniveton, D., Layberry, R., Murray-Hudson, M., Savenije, H. H. G., Wilk, J., &amp; Wolski, P. (2009). Simulating climate impacts on water resources: Experience from the Okavango River, southern Africa. </w:t>
      </w:r>
      <w:r w:rsidRPr="009B0448">
        <w:rPr>
          <w:rFonts w:ascii="Times New Roman" w:eastAsia="Times New Roman" w:hAnsi="Times New Roman" w:cs="Times New Roman"/>
          <w:lang w:eastAsia="en-GB"/>
        </w:rPr>
        <w:t xml:space="preserve">In S. Sorooshian, K-L. Hsu, E. Coppola, B. Tomassetti, M. Verdecchia. &amp; G. Visconti. (Eds.), </w:t>
      </w:r>
      <w:r w:rsidRPr="009B0448">
        <w:rPr>
          <w:rFonts w:ascii="Times New Roman" w:eastAsia="Times New Roman" w:hAnsi="Times New Roman" w:cs="Times New Roman"/>
          <w:i/>
          <w:lang w:eastAsia="en-GB"/>
        </w:rPr>
        <w:t>Hydrological modelling and the water cycle: coupling the atmospheric and hydrological models</w:t>
      </w:r>
      <w:r w:rsidRPr="009B0448">
        <w:rPr>
          <w:rFonts w:ascii="Times New Roman" w:eastAsia="Times New Roman" w:hAnsi="Times New Roman" w:cs="Times New Roman"/>
          <w:lang w:eastAsia="en-GB"/>
        </w:rPr>
        <w:t xml:space="preserve"> (pp. 243–265). Berlin, Germany: Springer.</w:t>
      </w:r>
      <w:r w:rsidRPr="009B0448">
        <w:rPr>
          <w:rFonts w:ascii="Times New Roman" w:eastAsia="Times New Roman" w:hAnsi="Times New Roman" w:cs="Times New Roman"/>
          <w:lang w:val="en-ZA" w:eastAsia="en-GB"/>
        </w:rPr>
        <w:t xml:space="preserve"> Retrieved from </w:t>
      </w:r>
      <w:hyperlink r:id="rId1712" w:history="1">
        <w:r w:rsidRPr="009B0448">
          <w:rPr>
            <w:rStyle w:val="Hyperlink"/>
            <w:rFonts w:ascii="Times New Roman" w:hAnsi="Times New Roman" w:cs="Times New Roman"/>
            <w:lang w:val="en-ZA" w:eastAsia="en-GB"/>
          </w:rPr>
          <w:t>http://www.springer.com/gp/book/9783540778424</w:t>
        </w:r>
      </w:hyperlink>
    </w:p>
    <w:p w14:paraId="7E71D1FE"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UN (United Nations). (2015). </w:t>
      </w:r>
      <w:r w:rsidRPr="009B0448">
        <w:rPr>
          <w:rFonts w:ascii="Times New Roman" w:eastAsia="Times New Roman" w:hAnsi="Times New Roman" w:cs="Times New Roman"/>
          <w:i/>
          <w:lang w:val="en-ZA" w:eastAsia="en-GB"/>
        </w:rPr>
        <w:t>World Population Prospects: The 2015 Revision.</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rPr>
        <w:t xml:space="preserve">New York, USA: United Nations. </w:t>
      </w:r>
      <w:r w:rsidRPr="009B0448">
        <w:rPr>
          <w:rFonts w:ascii="Times New Roman" w:eastAsia="Times New Roman" w:hAnsi="Times New Roman" w:cs="Times New Roman"/>
          <w:lang w:val="en-ZA" w:eastAsia="en-GB"/>
        </w:rPr>
        <w:t xml:space="preserve">Retrieved from </w:t>
      </w:r>
      <w:hyperlink r:id="rId1713" w:history="1">
        <w:r w:rsidRPr="009B0448">
          <w:rPr>
            <w:rStyle w:val="Hyperlink"/>
            <w:rFonts w:ascii="Times New Roman" w:hAnsi="Times New Roman" w:cs="Times New Roman"/>
            <w:lang w:val="en-ZA" w:eastAsia="en-GB"/>
          </w:rPr>
          <w:t>https://esa.un.org/unpd/wpp/publications/files/key_findings_wpp_2015.pdf</w:t>
        </w:r>
      </w:hyperlink>
      <w:r w:rsidRPr="009B0448">
        <w:rPr>
          <w:rFonts w:ascii="Times New Roman" w:eastAsia="Times New Roman" w:hAnsi="Times New Roman" w:cs="Times New Roman"/>
          <w:lang w:val="en-ZA" w:eastAsia="en-GB"/>
        </w:rPr>
        <w:t xml:space="preserve"> </w:t>
      </w:r>
    </w:p>
    <w:p w14:paraId="6F91F4DB"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UNDP (United Nations Development Programme). (2007). </w:t>
      </w:r>
      <w:r w:rsidRPr="009B0448">
        <w:rPr>
          <w:rFonts w:ascii="Times New Roman" w:eastAsia="Times New Roman" w:hAnsi="Times New Roman" w:cs="Times New Roman"/>
          <w:i/>
          <w:lang w:val="en-ZA" w:eastAsia="en-GB"/>
        </w:rPr>
        <w:t>Human Development Report 2006. Coping with water scarcity</w:t>
      </w:r>
      <w:r w:rsidRPr="009B0448">
        <w:rPr>
          <w:rFonts w:ascii="Times New Roman" w:eastAsia="Times New Roman" w:hAnsi="Times New Roman" w:cs="Times New Roman"/>
          <w:lang w:val="en-ZA" w:eastAsia="en-GB"/>
        </w:rPr>
        <w:t xml:space="preserve">. Challenge of the twenty-first century. UN-Water, New York, USA: UNDP. Retrieved from </w:t>
      </w:r>
      <w:hyperlink r:id="rId1714" w:history="1">
        <w:r w:rsidRPr="009B0448">
          <w:rPr>
            <w:rStyle w:val="Hyperlink"/>
            <w:rFonts w:ascii="Times New Roman" w:eastAsia="Times New Roman" w:hAnsi="Times New Roman" w:cs="Times New Roman"/>
            <w:lang w:val="en-ZA" w:eastAsia="en-GB"/>
          </w:rPr>
          <w:t>https://</w:t>
        </w:r>
        <w:r w:rsidRPr="009B0448">
          <w:rPr>
            <w:rStyle w:val="Hyperlink"/>
            <w:rFonts w:ascii="Times New Roman" w:hAnsi="Times New Roman" w:cs="Times New Roman"/>
            <w:lang w:val="en-ZA" w:eastAsia="en-GB"/>
          </w:rPr>
          <w:t>hdr.undp.org/hdr2006/</w:t>
        </w:r>
      </w:hyperlink>
    </w:p>
    <w:p w14:paraId="4D6B71DD"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UNEP (United Nations Environment Programme). (2002). </w:t>
      </w:r>
      <w:r w:rsidRPr="009B0448">
        <w:rPr>
          <w:rFonts w:ascii="Times New Roman" w:eastAsia="Times New Roman" w:hAnsi="Times New Roman" w:cs="Times New Roman"/>
          <w:i/>
          <w:lang w:val="en-ZA" w:eastAsia="en-GB"/>
        </w:rPr>
        <w:t>Africa Environment Outlook. Past, present and future perspectives</w:t>
      </w:r>
      <w:r w:rsidRPr="009B0448">
        <w:rPr>
          <w:rFonts w:ascii="Times New Roman" w:eastAsia="Times New Roman" w:hAnsi="Times New Roman" w:cs="Times New Roman"/>
          <w:lang w:val="en-ZA" w:eastAsia="en-GB"/>
        </w:rPr>
        <w:t xml:space="preserve">. Nairobi, Kenya: United Nations Environment Programme. Retrieved from </w:t>
      </w:r>
      <w:hyperlink r:id="rId1715" w:history="1">
        <w:r w:rsidRPr="009B0448">
          <w:rPr>
            <w:rStyle w:val="Hyperlink"/>
            <w:rFonts w:ascii="Times New Roman" w:eastAsia="Times New Roman" w:hAnsi="Times New Roman" w:cs="Times New Roman"/>
            <w:lang w:val="en-ZA" w:eastAsia="en-GB"/>
          </w:rPr>
          <w:t>http://old.grida.no/publications/other/aeo/</w:t>
        </w:r>
      </w:hyperlink>
    </w:p>
    <w:p w14:paraId="2DFC1250"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UNEP (United Nations Environment Programme). (2006). </w:t>
      </w:r>
      <w:r w:rsidRPr="009B0448">
        <w:rPr>
          <w:rFonts w:ascii="Times New Roman" w:eastAsia="Times New Roman" w:hAnsi="Times New Roman" w:cs="Times New Roman"/>
          <w:i/>
          <w:lang w:val="en-ZA" w:eastAsia="en-GB"/>
        </w:rPr>
        <w:t>Africa Environment Outlook 2: Our Environment, Our Wealth</w:t>
      </w:r>
      <w:r w:rsidRPr="009B0448">
        <w:rPr>
          <w:rFonts w:ascii="Times New Roman" w:eastAsia="Times New Roman" w:hAnsi="Times New Roman" w:cs="Times New Roman"/>
          <w:lang w:val="en-ZA" w:eastAsia="en-GB"/>
        </w:rPr>
        <w:t xml:space="preserve">. Nairobi, Kenya: United Nations Environment Programme. Retrieved from </w:t>
      </w:r>
      <w:hyperlink r:id="rId1716" w:history="1">
        <w:r w:rsidRPr="009B0448">
          <w:rPr>
            <w:rStyle w:val="Hyperlink"/>
            <w:rFonts w:ascii="Times New Roman" w:hAnsi="Times New Roman" w:cs="Times New Roman"/>
            <w:lang w:val="en-ZA" w:eastAsia="en-GB"/>
          </w:rPr>
          <w:t>http://hdl.handle.net/20.500.11822/9626</w:t>
        </w:r>
      </w:hyperlink>
      <w:r w:rsidRPr="009B0448">
        <w:rPr>
          <w:rFonts w:ascii="Times New Roman" w:eastAsia="Times New Roman" w:hAnsi="Times New Roman" w:cs="Times New Roman"/>
          <w:lang w:val="en-ZA" w:eastAsia="en-GB"/>
        </w:rPr>
        <w:t xml:space="preserve"> </w:t>
      </w:r>
    </w:p>
    <w:p w14:paraId="3A575789"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UNEP (United Nations Environment Programme). (2007). </w:t>
      </w:r>
      <w:r w:rsidRPr="009B0448">
        <w:rPr>
          <w:rFonts w:ascii="Times New Roman" w:eastAsia="Times New Roman" w:hAnsi="Times New Roman" w:cs="Times New Roman"/>
          <w:i/>
          <w:lang w:val="en-ZA" w:eastAsia="en-GB"/>
        </w:rPr>
        <w:t>Global Environment Outlook: Environment for Development (GEO4)</w:t>
      </w:r>
      <w:r w:rsidRPr="009B0448">
        <w:rPr>
          <w:rFonts w:ascii="Times New Roman" w:eastAsia="Times New Roman" w:hAnsi="Times New Roman" w:cs="Times New Roman"/>
          <w:lang w:val="en-ZA" w:eastAsia="en-GB"/>
        </w:rPr>
        <w:t xml:space="preserve">. Nairobi, Kenya: United Nations Environment Programme. Retrieved from </w:t>
      </w:r>
      <w:hyperlink r:id="rId1717" w:history="1">
        <w:r w:rsidRPr="009B0448">
          <w:rPr>
            <w:rStyle w:val="Hyperlink"/>
            <w:rFonts w:ascii="Times New Roman" w:hAnsi="Times New Roman" w:cs="Times New Roman"/>
            <w:lang w:val="en-ZA" w:eastAsia="en-GB"/>
          </w:rPr>
          <w:t>https://na.unep.net/atlas/datlas/sites/default/files/GEO-4_Report_Full_en.pdf</w:t>
        </w:r>
      </w:hyperlink>
      <w:r w:rsidRPr="009B0448">
        <w:rPr>
          <w:rFonts w:ascii="Times New Roman" w:eastAsia="Times New Roman" w:hAnsi="Times New Roman" w:cs="Times New Roman"/>
          <w:lang w:val="en-ZA" w:eastAsia="en-GB"/>
        </w:rPr>
        <w:t xml:space="preserve"> </w:t>
      </w:r>
    </w:p>
    <w:p w14:paraId="43C5FFC1"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UNEP (United Nations Environment Programme). (2008). </w:t>
      </w:r>
      <w:r w:rsidRPr="009B0448">
        <w:rPr>
          <w:rFonts w:ascii="Times New Roman" w:eastAsia="Times New Roman" w:hAnsi="Times New Roman" w:cs="Times New Roman"/>
          <w:i/>
          <w:lang w:val="en-ZA" w:eastAsia="en-GB"/>
        </w:rPr>
        <w:t>Africa: Atlas of Our Changing Environment.</w:t>
      </w:r>
      <w:r w:rsidRPr="009B0448">
        <w:rPr>
          <w:rFonts w:ascii="Times New Roman" w:eastAsia="Times New Roman" w:hAnsi="Times New Roman" w:cs="Times New Roman"/>
          <w:lang w:val="en-ZA" w:eastAsia="en-GB"/>
        </w:rPr>
        <w:t xml:space="preserve"> Division of Early Warning and Assessment (DEWA). Nairobi, Kenya: United Nations Environment Programme. Retrieved from </w:t>
      </w:r>
      <w:hyperlink r:id="rId1718" w:history="1">
        <w:r w:rsidRPr="009B0448">
          <w:rPr>
            <w:rStyle w:val="Hyperlink"/>
            <w:rFonts w:ascii="Times New Roman" w:hAnsi="Times New Roman" w:cs="Times New Roman"/>
            <w:lang w:val="en-ZA" w:eastAsia="en-GB"/>
          </w:rPr>
          <w:t>https://na.unep.net/atlas/africa/downloads/chapters/Africa_Atlas_English_Intro.pdf</w:t>
        </w:r>
      </w:hyperlink>
      <w:r w:rsidRPr="009B0448">
        <w:rPr>
          <w:rFonts w:ascii="Times New Roman" w:eastAsia="Times New Roman" w:hAnsi="Times New Roman" w:cs="Times New Roman"/>
          <w:lang w:val="en-ZA" w:eastAsia="en-GB"/>
        </w:rPr>
        <w:t xml:space="preserve"> </w:t>
      </w:r>
    </w:p>
    <w:p w14:paraId="1DF178EA"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UNEP (United Nations Environment Programme). (2009). </w:t>
      </w:r>
      <w:r w:rsidRPr="009B0448">
        <w:rPr>
          <w:rFonts w:ascii="Times New Roman" w:eastAsia="Times New Roman" w:hAnsi="Times New Roman" w:cs="Times New Roman"/>
          <w:i/>
          <w:lang w:val="en-ZA" w:eastAsia="en-GB"/>
        </w:rPr>
        <w:t>Integrated policymaking for sustainable development. A reference manual</w:t>
      </w:r>
      <w:r w:rsidRPr="009B0448">
        <w:rPr>
          <w:rFonts w:ascii="Times New Roman" w:eastAsia="Times New Roman" w:hAnsi="Times New Roman" w:cs="Times New Roman"/>
          <w:lang w:val="en-ZA" w:eastAsia="en-GB"/>
        </w:rPr>
        <w:t xml:space="preserve">. Nairobi, Kenya: United Nations Environment Programme. Retrieved from </w:t>
      </w:r>
      <w:hyperlink r:id="rId1719" w:history="1">
        <w:r w:rsidRPr="009B0448">
          <w:rPr>
            <w:rStyle w:val="Hyperlink"/>
            <w:rFonts w:ascii="Times New Roman" w:hAnsi="Times New Roman" w:cs="Times New Roman"/>
            <w:lang w:val="en-ZA" w:eastAsia="en-GB"/>
          </w:rPr>
          <w:t>https://unep.ch/etb/publications/IPSD%20manual/UNEP%20IPSD%20final.pdf</w:t>
        </w:r>
      </w:hyperlink>
      <w:r w:rsidRPr="009B0448">
        <w:rPr>
          <w:rFonts w:ascii="Times New Roman" w:eastAsia="Times New Roman" w:hAnsi="Times New Roman" w:cs="Times New Roman"/>
          <w:lang w:val="en-ZA" w:eastAsia="en-GB"/>
        </w:rPr>
        <w:t xml:space="preserve"> </w:t>
      </w:r>
    </w:p>
    <w:p w14:paraId="53B86EC4"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UNEP (United Nations Environment Programme). (2016). </w:t>
      </w:r>
      <w:r w:rsidRPr="009B0448">
        <w:rPr>
          <w:rFonts w:ascii="Times New Roman" w:eastAsia="Times New Roman" w:hAnsi="Times New Roman" w:cs="Times New Roman"/>
          <w:i/>
          <w:lang w:val="en-ZA" w:eastAsia="en-GB"/>
        </w:rPr>
        <w:t>GEO-6 Regional Assessment for Africa</w:t>
      </w:r>
      <w:r w:rsidRPr="009B0448">
        <w:rPr>
          <w:rFonts w:ascii="Times New Roman" w:eastAsia="Times New Roman" w:hAnsi="Times New Roman" w:cs="Times New Roman"/>
          <w:lang w:val="en-ZA" w:eastAsia="en-GB"/>
        </w:rPr>
        <w:t xml:space="preserve">. Nairobi, Kenya: United Nations Environment Programme. Retrieved from </w:t>
      </w:r>
      <w:hyperlink r:id="rId1720" w:history="1">
        <w:r w:rsidRPr="009B0448">
          <w:rPr>
            <w:rStyle w:val="Hyperlink"/>
            <w:rFonts w:ascii="Times New Roman" w:eastAsia="Times New Roman" w:hAnsi="Times New Roman" w:cs="Times New Roman"/>
            <w:lang w:val="en-ZA" w:eastAsia="en-GB"/>
          </w:rPr>
          <w:t>http://wedocs.unep.org/bitstream/handle/20.500.11822/7595/GEO_Africa_201611.pdf</w:t>
        </w:r>
      </w:hyperlink>
    </w:p>
    <w:p w14:paraId="657E3329"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van Breugel, P., Friis, I., Demissew, S., Lillesø, J.P.B., &amp; Kindt, R. (2016). Current and future fire regimes and their influence on natural vegetation in Ethiopia. </w:t>
      </w:r>
      <w:r w:rsidRPr="009B0448">
        <w:rPr>
          <w:rFonts w:ascii="Times New Roman" w:eastAsia="Times New Roman" w:hAnsi="Times New Roman" w:cs="Times New Roman"/>
          <w:i/>
          <w:lang w:val="en-ZA" w:eastAsia="en-GB"/>
        </w:rPr>
        <w:t>Ecosystems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19</w:t>
      </w:r>
      <w:r w:rsidRPr="009B0448">
        <w:rPr>
          <w:rFonts w:ascii="Times New Roman" w:eastAsia="Times New Roman" w:hAnsi="Times New Roman" w:cs="Times New Roman"/>
          <w:lang w:val="en-ZA" w:eastAsia="en-GB"/>
        </w:rPr>
        <w:t xml:space="preserve">, 369–386. </w:t>
      </w:r>
      <w:hyperlink r:id="rId1721" w:history="1">
        <w:r w:rsidRPr="009B0448">
          <w:rPr>
            <w:rStyle w:val="Hyperlink"/>
            <w:rFonts w:ascii="Times New Roman" w:hAnsi="Times New Roman" w:cs="Times New Roman"/>
            <w:lang w:val="en-ZA" w:eastAsia="en-GB"/>
          </w:rPr>
          <w:t>https://doi.org/10.1007/s10021-015-9938-x</w:t>
        </w:r>
      </w:hyperlink>
    </w:p>
    <w:p w14:paraId="357DA38E"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van der Leemputte, S. F. J. (2016). </w:t>
      </w:r>
      <w:r w:rsidRPr="009B0448">
        <w:rPr>
          <w:rFonts w:ascii="Times New Roman" w:eastAsia="Times New Roman" w:hAnsi="Times New Roman" w:cs="Times New Roman"/>
          <w:i/>
          <w:lang w:val="en-ZA" w:eastAsia="en-GB"/>
        </w:rPr>
        <w:t>Sendai Framework for Risk Reduction (2015–2030).</w:t>
      </w:r>
      <w:r w:rsidRPr="009B0448">
        <w:rPr>
          <w:rFonts w:ascii="Times New Roman" w:eastAsia="Times New Roman" w:hAnsi="Times New Roman" w:cs="Times New Roman"/>
          <w:lang w:val="en-ZA" w:eastAsia="en-GB"/>
        </w:rPr>
        <w:t xml:space="preserve"> Een beleidsevaluatie (Bachelor's thesis). Retrieved from </w:t>
      </w:r>
      <w:hyperlink r:id="rId1722" w:history="1">
        <w:r w:rsidRPr="009B0448">
          <w:rPr>
            <w:rStyle w:val="Hyperlink"/>
            <w:rFonts w:ascii="Times New Roman" w:hAnsi="Times New Roman" w:cs="Times New Roman"/>
            <w:lang w:val="en-ZA" w:eastAsia="en-GB"/>
          </w:rPr>
          <w:t>https://dspace.library.uu.nl/handle/1874/344806</w:t>
        </w:r>
      </w:hyperlink>
      <w:r w:rsidRPr="009B0448">
        <w:rPr>
          <w:rFonts w:ascii="Times New Roman" w:eastAsia="Times New Roman" w:hAnsi="Times New Roman" w:cs="Times New Roman"/>
          <w:lang w:val="en-ZA" w:eastAsia="en-GB"/>
        </w:rPr>
        <w:t xml:space="preserve"> </w:t>
      </w:r>
    </w:p>
    <w:p w14:paraId="2FF85B80"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van Vliet, M. T., Franssen, W. H., Yearsley, J. R., Ludwig, F., Haddeland, I., Lettenmaier, D. P., &amp; Kabat, P. (2013). Global river discharge and water temperature under climate change. </w:t>
      </w:r>
      <w:r w:rsidRPr="009B0448">
        <w:rPr>
          <w:rFonts w:ascii="Times New Roman" w:eastAsia="Times New Roman" w:hAnsi="Times New Roman" w:cs="Times New Roman"/>
          <w:i/>
          <w:lang w:val="en-ZA" w:eastAsia="en-GB"/>
        </w:rPr>
        <w:t>Global Environmental Change</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23</w:t>
      </w:r>
      <w:r w:rsidRPr="009B0448">
        <w:rPr>
          <w:rFonts w:ascii="Times New Roman" w:eastAsia="Times New Roman" w:hAnsi="Times New Roman" w:cs="Times New Roman"/>
          <w:lang w:val="en-ZA" w:eastAsia="en-GB"/>
        </w:rPr>
        <w:t xml:space="preserve">(2), 450–464. </w:t>
      </w:r>
      <w:hyperlink r:id="rId1723" w:history="1">
        <w:r w:rsidRPr="009B0448">
          <w:rPr>
            <w:rStyle w:val="Hyperlink"/>
            <w:rFonts w:ascii="Times New Roman" w:hAnsi="Times New Roman" w:cs="Times New Roman"/>
            <w:color w:val="0563C1"/>
          </w:rPr>
          <w:t>https://doi.org/10.1016/j.gloenvcha.2012.11.002</w:t>
        </w:r>
      </w:hyperlink>
    </w:p>
    <w:p w14:paraId="65DAF9F7"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color w:val="auto"/>
          <w:lang w:val="en-ZA" w:eastAsia="en-GB"/>
        </w:rPr>
      </w:pPr>
      <w:r w:rsidRPr="009B0448">
        <w:rPr>
          <w:rFonts w:ascii="Times New Roman" w:eastAsia="Times New Roman" w:hAnsi="Times New Roman" w:cs="Times New Roman"/>
          <w:color w:val="auto"/>
          <w:highlight w:val="white"/>
          <w:lang w:val="en-ZA" w:eastAsia="en-GB"/>
        </w:rPr>
        <w:t xml:space="preserve">van Vuuren, D. P., &amp; Carter, T. R. </w:t>
      </w:r>
      <w:r w:rsidRPr="009B0448">
        <w:rPr>
          <w:rFonts w:ascii="Times New Roman" w:eastAsia="Times New Roman" w:hAnsi="Times New Roman" w:cs="Times New Roman"/>
          <w:color w:val="auto"/>
          <w:lang w:val="en-ZA" w:eastAsia="en-GB"/>
        </w:rPr>
        <w:t xml:space="preserve">(2014a). Climate and socio-economic scenarios for climate change research and assessment: reconciling the new with the old. </w:t>
      </w:r>
      <w:r w:rsidRPr="009B0448">
        <w:rPr>
          <w:rFonts w:ascii="Times New Roman" w:eastAsia="Times New Roman" w:hAnsi="Times New Roman" w:cs="Times New Roman"/>
          <w:i/>
          <w:color w:val="auto"/>
          <w:lang w:val="en-ZA" w:eastAsia="en-GB"/>
        </w:rPr>
        <w:t>Climatic Change</w:t>
      </w:r>
      <w:r w:rsidRPr="009B0448">
        <w:rPr>
          <w:rFonts w:ascii="Times New Roman" w:eastAsia="Times New Roman" w:hAnsi="Times New Roman" w:cs="Times New Roman"/>
          <w:color w:val="auto"/>
          <w:lang w:val="en-ZA" w:eastAsia="en-GB"/>
        </w:rPr>
        <w:t xml:space="preserve">, </w:t>
      </w:r>
      <w:r w:rsidRPr="009B0448">
        <w:rPr>
          <w:rFonts w:ascii="Times New Roman" w:eastAsia="Times New Roman" w:hAnsi="Times New Roman" w:cs="Times New Roman"/>
          <w:i/>
          <w:color w:val="auto"/>
          <w:lang w:val="en-ZA" w:eastAsia="en-GB"/>
        </w:rPr>
        <w:t>122</w:t>
      </w:r>
      <w:r w:rsidRPr="009B0448">
        <w:rPr>
          <w:rFonts w:ascii="Times New Roman" w:eastAsia="Times New Roman" w:hAnsi="Times New Roman" w:cs="Times New Roman"/>
          <w:color w:val="auto"/>
          <w:lang w:val="en-ZA" w:eastAsia="en-GB"/>
        </w:rPr>
        <w:t xml:space="preserve">(3), 415–429. </w:t>
      </w:r>
      <w:hyperlink r:id="rId1724" w:history="1">
        <w:r w:rsidRPr="009B0448">
          <w:rPr>
            <w:rStyle w:val="Hyperlink"/>
            <w:rFonts w:ascii="Times New Roman" w:hAnsi="Times New Roman" w:cs="Times New Roman"/>
            <w:lang w:val="en-ZA" w:eastAsia="en-GB"/>
          </w:rPr>
          <w:t>https://doi.org/10.1007/s10584-013-0974-2</w:t>
        </w:r>
      </w:hyperlink>
    </w:p>
    <w:p w14:paraId="1CB468FA"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van Vuuren, D. P., Kriegler, E., O’Neill, B. C., Ebi, K. L., Riahi, K., Carter, T. R., Edmonds, J., Hallegatte, S., Kram, T., Mathur, R., &amp; Winkler, H. (2014b). A new scenario framework for Climate Change Research: scenario matrix architecture. </w:t>
      </w:r>
      <w:r w:rsidRPr="009B0448">
        <w:rPr>
          <w:rFonts w:ascii="Times New Roman" w:eastAsia="Times New Roman" w:hAnsi="Times New Roman" w:cs="Times New Roman"/>
          <w:i/>
        </w:rPr>
        <w:t>Climatic Change, 122</w:t>
      </w:r>
      <w:r w:rsidRPr="009B0448">
        <w:rPr>
          <w:rFonts w:ascii="Times New Roman" w:eastAsia="Times New Roman" w:hAnsi="Times New Roman" w:cs="Times New Roman"/>
        </w:rPr>
        <w:t xml:space="preserve">(3), 373–386. </w:t>
      </w:r>
      <w:hyperlink r:id="rId1725" w:history="1">
        <w:r w:rsidRPr="009B0448">
          <w:rPr>
            <w:rStyle w:val="Hyperlink"/>
            <w:rFonts w:ascii="Times New Roman" w:eastAsia="Times New Roman" w:hAnsi="Times New Roman" w:cs="Times New Roman"/>
          </w:rPr>
          <w:t>https://doi.org/10.1007/s10584-013-0906-1</w:t>
        </w:r>
      </w:hyperlink>
    </w:p>
    <w:p w14:paraId="502BF60B"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van Vuuren, D. P., Riahi, K., Moss, R., Edmonds, E., Thomson, A., Nakicenovic, N., Kram, T., Berkhout, R., Swart, R., Janetos, A., Rose, S.K., &amp; Arnell, N. (2012). A proposal for a new scenario framework to support research and assessment in different climate research communities. </w:t>
      </w:r>
      <w:r w:rsidRPr="009B0448">
        <w:rPr>
          <w:rFonts w:ascii="Times New Roman" w:eastAsia="Times New Roman" w:hAnsi="Times New Roman" w:cs="Times New Roman"/>
          <w:i/>
          <w:lang w:val="en-ZA" w:eastAsia="en-GB"/>
        </w:rPr>
        <w:t>Global Environmental Change, 22</w:t>
      </w:r>
      <w:r w:rsidRPr="009B0448">
        <w:rPr>
          <w:rFonts w:ascii="Times New Roman" w:eastAsia="Times New Roman" w:hAnsi="Times New Roman" w:cs="Times New Roman"/>
          <w:lang w:val="en-ZA" w:eastAsia="en-GB"/>
        </w:rPr>
        <w:t xml:space="preserve">(1), 21–35. </w:t>
      </w:r>
      <w:hyperlink r:id="rId1726" w:tgtFrame="_blank" w:tooltip="Persistent link using digital object identifier" w:history="1">
        <w:r w:rsidRPr="009B0448">
          <w:rPr>
            <w:rStyle w:val="Hyperlink"/>
            <w:rFonts w:ascii="Times New Roman" w:hAnsi="Times New Roman" w:cs="Times New Roman"/>
            <w:color w:val="0563C1"/>
          </w:rPr>
          <w:t>https://doi.org/10.1016/j.gloenvcha.2011.08.002</w:t>
        </w:r>
      </w:hyperlink>
    </w:p>
    <w:p w14:paraId="418AD8D1"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van Vuuren, D. P., Stehfest, E., den Elzen, M. G. J., van Vliet, J., &amp; Isaac, M. (2010). Exploring IMAGE model scenarios that keep greenhouse gas radiative forcing below 3 W/m2 in 2100. </w:t>
      </w:r>
      <w:r w:rsidRPr="009B0448">
        <w:rPr>
          <w:rFonts w:ascii="Times New Roman" w:eastAsia="Times New Roman" w:hAnsi="Times New Roman" w:cs="Times New Roman"/>
          <w:i/>
          <w:lang w:val="en-ZA" w:eastAsia="en-GB"/>
        </w:rPr>
        <w:t>Energy Economics, 32</w:t>
      </w:r>
      <w:r w:rsidRPr="009B0448">
        <w:rPr>
          <w:rFonts w:ascii="Times New Roman" w:eastAsia="Times New Roman" w:hAnsi="Times New Roman" w:cs="Times New Roman"/>
          <w:lang w:val="en-ZA" w:eastAsia="en-GB"/>
        </w:rPr>
        <w:t xml:space="preserve">(5), 1105–1120. </w:t>
      </w:r>
      <w:hyperlink r:id="rId1727" w:history="1">
        <w:r w:rsidRPr="009B0448">
          <w:rPr>
            <w:rStyle w:val="Hyperlink"/>
            <w:rFonts w:ascii="Times New Roman" w:hAnsi="Times New Roman" w:cs="Times New Roman"/>
            <w:color w:val="0563C1"/>
          </w:rPr>
          <w:t>https://doi.org/10.1016/j.eneco.2010.03.001</w:t>
        </w:r>
      </w:hyperlink>
    </w:p>
    <w:p w14:paraId="06AC9515"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Vervoort, J. M., Palazzo, A., Mason-D’Croz, D., Ericksen, P. J., Thornton, P. K., Kristjanson, P., Förch, W., Herrero, M., Havlik, P., Jost, C., &amp; Rowlands, H. (2013). </w:t>
      </w:r>
      <w:r w:rsidRPr="009B0448">
        <w:rPr>
          <w:rFonts w:ascii="Times New Roman" w:eastAsia="Times New Roman" w:hAnsi="Times New Roman" w:cs="Times New Roman"/>
          <w:i/>
          <w:lang w:val="en-ZA" w:eastAsia="en-GB"/>
        </w:rPr>
        <w:t>The future of food security, environments and livelihoods in eastern Africa: Four socio-economic scenarios</w:t>
      </w:r>
      <w:r w:rsidRPr="009B0448">
        <w:rPr>
          <w:rFonts w:ascii="Times New Roman" w:eastAsia="Times New Roman" w:hAnsi="Times New Roman" w:cs="Times New Roman"/>
          <w:lang w:val="en-ZA" w:eastAsia="en-GB"/>
        </w:rPr>
        <w:t xml:space="preserve">. CCAFS working paper No. 63. Copenhagen, Denmark: CGIAR Research Program on Climate Change, Agriculture and Food Security (CCAFS). Retrieved from </w:t>
      </w:r>
      <w:hyperlink r:id="rId1728" w:history="1">
        <w:r w:rsidRPr="009B0448">
          <w:rPr>
            <w:rStyle w:val="Hyperlink"/>
            <w:rFonts w:ascii="Times New Roman" w:hAnsi="Times New Roman" w:cs="Times New Roman"/>
            <w:lang w:val="en-ZA" w:eastAsia="en-GB"/>
          </w:rPr>
          <w:t>http://hdl.handle.net/10568/34864</w:t>
        </w:r>
      </w:hyperlink>
      <w:r w:rsidRPr="009B0448">
        <w:rPr>
          <w:rFonts w:ascii="Times New Roman" w:eastAsia="Times New Roman" w:hAnsi="Times New Roman" w:cs="Times New Roman"/>
          <w:lang w:val="en-ZA" w:eastAsia="en-GB"/>
        </w:rPr>
        <w:t xml:space="preserve"> </w:t>
      </w:r>
    </w:p>
    <w:p w14:paraId="25E0013A"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Visconti, P., Bakkenes, M., Baisero, D., Brooks, T., Butchart, S. H. M., Joppa, L., Alkemade, R., Di Marco, M., Santini, L., Hoffmann, M., Maiorano, L., Pressey, R. L., Arponen, A., Boitani, L., Reside, A. E., van Vuuren, D. P., &amp; Rondinini, C. (2016). Projecting global biodiversity indicators under future development scenarios. </w:t>
      </w:r>
      <w:r w:rsidRPr="009B0448">
        <w:rPr>
          <w:rFonts w:ascii="Times New Roman" w:eastAsia="Times New Roman" w:hAnsi="Times New Roman" w:cs="Times New Roman"/>
          <w:i/>
        </w:rPr>
        <w:t>Conservation Letters</w:t>
      </w:r>
      <w:r w:rsidRPr="009B0448">
        <w:rPr>
          <w:rFonts w:ascii="Times New Roman" w:eastAsia="Times New Roman" w:hAnsi="Times New Roman" w:cs="Times New Roman"/>
        </w:rPr>
        <w:t>,</w:t>
      </w:r>
      <w:r w:rsidRPr="009B0448">
        <w:rPr>
          <w:rFonts w:ascii="Times New Roman" w:eastAsia="Times New Roman" w:hAnsi="Times New Roman" w:cs="Times New Roman"/>
          <w:i/>
        </w:rPr>
        <w:t xml:space="preserve"> 9,</w:t>
      </w:r>
      <w:r w:rsidRPr="009B0448">
        <w:rPr>
          <w:rFonts w:ascii="Times New Roman" w:eastAsia="Times New Roman" w:hAnsi="Times New Roman" w:cs="Times New Roman"/>
        </w:rPr>
        <w:t xml:space="preserve"> 5–13. </w:t>
      </w:r>
      <w:hyperlink r:id="rId1729" w:history="1">
        <w:r w:rsidRPr="009B0448">
          <w:rPr>
            <w:rStyle w:val="Hyperlink"/>
            <w:rFonts w:ascii="Times New Roman" w:eastAsia="Times New Roman" w:hAnsi="Times New Roman" w:cs="Times New Roman"/>
          </w:rPr>
          <w:t>https://doi.org/10.1111/conl.12159</w:t>
        </w:r>
      </w:hyperlink>
    </w:p>
    <w:p w14:paraId="1D9BC332"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Visconti, P., Pressey, R. L., Giorgini, D., Maiorano, L., Bakkenes, M., Boitani, L., Alkemade, R., Falcucci, A., Chiozza, F., &amp; Rondinini, C. (2011). Future hotspots of terrestrial mammal loss. </w:t>
      </w:r>
      <w:r w:rsidRPr="009B0448">
        <w:rPr>
          <w:rFonts w:ascii="Times New Roman" w:eastAsia="Times New Roman" w:hAnsi="Times New Roman" w:cs="Times New Roman"/>
          <w:i/>
          <w:lang w:val="en-ZA" w:eastAsia="en-GB"/>
        </w:rPr>
        <w:t>Philosophical Transactions of the Royal Society B: Biological Sciences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366</w:t>
      </w:r>
      <w:r w:rsidRPr="009B0448">
        <w:rPr>
          <w:rFonts w:ascii="Times New Roman" w:eastAsia="Times New Roman" w:hAnsi="Times New Roman" w:cs="Times New Roman"/>
          <w:lang w:val="en-ZA" w:eastAsia="en-GB"/>
        </w:rPr>
        <w:t xml:space="preserve">(1578), 2693–2702. </w:t>
      </w:r>
      <w:hyperlink r:id="rId1730" w:history="1">
        <w:r w:rsidRPr="009B0448">
          <w:rPr>
            <w:rStyle w:val="Hyperlink"/>
            <w:rFonts w:ascii="Times New Roman" w:hAnsi="Times New Roman" w:cs="Times New Roman"/>
            <w:lang w:val="en-ZA" w:eastAsia="en-GB"/>
          </w:rPr>
          <w:t>https://doi.org/10.1098/rstb.2011.0105</w:t>
        </w:r>
      </w:hyperlink>
    </w:p>
    <w:p w14:paraId="7B9C26AF"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Walther, B. A., &amp; van Niekerk, A. (2014). Effects of climate change on species turnover and body mass frequency distributions of South African bird communities. </w:t>
      </w:r>
      <w:r w:rsidRPr="009B0448">
        <w:rPr>
          <w:rFonts w:ascii="Times New Roman" w:eastAsia="Times New Roman" w:hAnsi="Times New Roman" w:cs="Times New Roman"/>
          <w:i/>
          <w:lang w:val="en-ZA" w:eastAsia="en-GB"/>
        </w:rPr>
        <w:t>African Journal of Ecology, 53</w:t>
      </w:r>
      <w:r w:rsidRPr="009B0448">
        <w:rPr>
          <w:rFonts w:ascii="Times New Roman" w:eastAsia="Times New Roman" w:hAnsi="Times New Roman" w:cs="Times New Roman"/>
          <w:lang w:val="en-ZA" w:eastAsia="en-GB"/>
        </w:rPr>
        <w:t xml:space="preserve">, 25–35. </w:t>
      </w:r>
      <w:hyperlink r:id="rId1731" w:history="1">
        <w:r w:rsidRPr="009B0448">
          <w:rPr>
            <w:rStyle w:val="Hyperlink"/>
            <w:rFonts w:ascii="Times New Roman" w:hAnsi="Times New Roman" w:cs="Times New Roman"/>
            <w:lang w:val="en-ZA" w:eastAsia="en-GB"/>
          </w:rPr>
          <w:t>https://doi.org/10.1111/aje.12143</w:t>
        </w:r>
      </w:hyperlink>
    </w:p>
    <w:p w14:paraId="3084F964"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Wardropper, C. B., Gillon, S., Mase, A. S., McKinney, E. A., Carpenter, S. R., &amp; Rissman, A. R. (2016). Local perspectives and global archetypes in scenario development. </w:t>
      </w:r>
      <w:r w:rsidRPr="009B0448">
        <w:rPr>
          <w:rFonts w:ascii="Times New Roman" w:eastAsia="Times New Roman" w:hAnsi="Times New Roman" w:cs="Times New Roman"/>
          <w:i/>
          <w:lang w:val="en-ZA" w:eastAsia="en-GB"/>
        </w:rPr>
        <w:t>Ecology and Society, 21</w:t>
      </w:r>
      <w:r w:rsidRPr="009B0448">
        <w:rPr>
          <w:rFonts w:ascii="Times New Roman" w:eastAsia="Times New Roman" w:hAnsi="Times New Roman" w:cs="Times New Roman"/>
          <w:lang w:val="en-ZA" w:eastAsia="en-GB"/>
        </w:rPr>
        <w:t xml:space="preserve">(2), 12. </w:t>
      </w:r>
      <w:hyperlink r:id="rId1732" w:history="1">
        <w:r w:rsidRPr="009B0448">
          <w:rPr>
            <w:rStyle w:val="Hyperlink"/>
            <w:rFonts w:ascii="Times New Roman" w:hAnsi="Times New Roman" w:cs="Times New Roman"/>
          </w:rPr>
          <w:t>https://doi.org/10.5751/ES-08384-210212</w:t>
        </w:r>
      </w:hyperlink>
    </w:p>
    <w:p w14:paraId="786047DE"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Warszawski, L., Friend, A., Ostberg, S., Frieler, K., Lucht, W., Schaphoff, S., Beerling, D., Cadule, P., Ciais, P., Clark, D. B., Kahana, R., Ito, A., Keribin, R., Kleidon, A., Lomas, M., Nishina, K., Pavlick, R., Rademacher, T. T., Buechner, M., Pionetek, F., Schewe, J., Serdeczny, O., &amp; Schellnhuber, H. J. (2013). A multi-model analysis of risk of ecosystem shifts under climate change. </w:t>
      </w:r>
      <w:r w:rsidRPr="009B0448">
        <w:rPr>
          <w:rFonts w:ascii="Times New Roman" w:eastAsia="Times New Roman" w:hAnsi="Times New Roman" w:cs="Times New Roman"/>
          <w:i/>
          <w:lang w:val="en-ZA" w:eastAsia="en-GB"/>
        </w:rPr>
        <w:t>Environmental Research Letters, 8</w:t>
      </w:r>
      <w:r w:rsidRPr="009B0448">
        <w:rPr>
          <w:rFonts w:ascii="Times New Roman" w:eastAsia="Times New Roman" w:hAnsi="Times New Roman" w:cs="Times New Roman"/>
          <w:lang w:val="en-ZA" w:eastAsia="en-GB"/>
        </w:rPr>
        <w:t xml:space="preserve">(4), 044018. </w:t>
      </w:r>
      <w:hyperlink r:id="rId1733" w:history="1">
        <w:r w:rsidRPr="009B0448">
          <w:rPr>
            <w:rStyle w:val="Hyperlink"/>
            <w:rFonts w:ascii="Times New Roman" w:hAnsi="Times New Roman" w:cs="Times New Roman"/>
            <w:lang w:val="en-ZA" w:eastAsia="en-GB"/>
          </w:rPr>
          <w:t>https://doi.org/10.1088/1748-9326/8/4/044018</w:t>
        </w:r>
      </w:hyperlink>
    </w:p>
    <w:p w14:paraId="20B207FC" w14:textId="77034B00"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Weiß, M., Schaldach, R., Alcamo, J., &amp; Flörke, M. (2009). Quantifying the human appropriation of fresh water by African agriculture. </w:t>
      </w:r>
      <w:r w:rsidRPr="009B0448">
        <w:rPr>
          <w:rFonts w:ascii="Times New Roman" w:eastAsia="Times New Roman" w:hAnsi="Times New Roman" w:cs="Times New Roman"/>
          <w:i/>
          <w:lang w:val="en-ZA" w:eastAsia="en-GB"/>
        </w:rPr>
        <w:t>Ecology and Society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14</w:t>
      </w:r>
      <w:r w:rsidR="004535DD" w:rsidRPr="009B0448">
        <w:rPr>
          <w:rFonts w:ascii="Times New Roman" w:eastAsia="Times New Roman" w:hAnsi="Times New Roman" w:cs="Times New Roman"/>
          <w:lang w:val="en-ZA" w:eastAsia="en-GB"/>
        </w:rPr>
        <w:t>(2). Retrieved from</w:t>
      </w:r>
      <w:r w:rsidRPr="009B0448">
        <w:rPr>
          <w:rFonts w:ascii="Times New Roman" w:eastAsia="Times New Roman" w:hAnsi="Times New Roman" w:cs="Times New Roman"/>
          <w:lang w:val="en-ZA" w:eastAsia="en-GB"/>
        </w:rPr>
        <w:t xml:space="preserve"> </w:t>
      </w:r>
      <w:hyperlink r:id="rId1734" w:history="1">
        <w:r w:rsidRPr="009B0448">
          <w:rPr>
            <w:rStyle w:val="Hyperlink"/>
            <w:rFonts w:ascii="Times New Roman" w:hAnsi="Times New Roman" w:cs="Times New Roman"/>
            <w:color w:val="0563C1"/>
          </w:rPr>
          <w:t>http://www.ecologyandsociety.org/vol14/iss2/art25/</w:t>
        </w:r>
      </w:hyperlink>
    </w:p>
    <w:p w14:paraId="68E91D98"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color w:val="auto"/>
          <w:lang w:val="en-ZA" w:eastAsia="en-GB"/>
        </w:rPr>
      </w:pPr>
      <w:r w:rsidRPr="009B0448">
        <w:rPr>
          <w:rFonts w:ascii="Times New Roman" w:eastAsia="Times New Roman" w:hAnsi="Times New Roman" w:cs="Times New Roman"/>
          <w:color w:val="auto"/>
          <w:highlight w:val="white"/>
          <w:lang w:val="en-ZA" w:eastAsia="en-GB"/>
        </w:rPr>
        <w:t xml:space="preserve">Wilson, K. A., Auerbach, N. A., Sam, K., Magini, A. G., Moss, A. S. L., Langhans, S. D., Budiharta, S., Terzano, D., &amp; Meijaard, E. (2016). Conservation Research Is Not Happening Where It Is Most Needed. </w:t>
      </w:r>
      <w:r w:rsidRPr="009B0448">
        <w:rPr>
          <w:rFonts w:ascii="Times New Roman" w:eastAsia="Times New Roman" w:hAnsi="Times New Roman" w:cs="Times New Roman"/>
          <w:i/>
          <w:color w:val="auto"/>
          <w:highlight w:val="white"/>
          <w:lang w:val="en-ZA" w:eastAsia="en-GB"/>
        </w:rPr>
        <w:t>PLoS Biology, 14</w:t>
      </w:r>
      <w:r w:rsidRPr="009B0448">
        <w:rPr>
          <w:rFonts w:ascii="Times New Roman" w:eastAsia="Times New Roman" w:hAnsi="Times New Roman" w:cs="Times New Roman"/>
          <w:color w:val="auto"/>
          <w:highlight w:val="white"/>
          <w:lang w:val="en-ZA" w:eastAsia="en-GB"/>
        </w:rPr>
        <w:t xml:space="preserve">(3), e1002413. </w:t>
      </w:r>
      <w:hyperlink r:id="rId1735" w:history="1">
        <w:r w:rsidRPr="009B0448">
          <w:rPr>
            <w:rStyle w:val="Hyperlink"/>
            <w:rFonts w:ascii="Times New Roman" w:hAnsi="Times New Roman" w:cs="Times New Roman"/>
            <w:lang w:val="en-ZA" w:eastAsia="en-GB"/>
          </w:rPr>
          <w:t>https://doi.org/</w:t>
        </w:r>
        <w:r w:rsidRPr="009B0448">
          <w:rPr>
            <w:rStyle w:val="Hyperlink"/>
            <w:rFonts w:ascii="Times New Roman" w:hAnsi="Times New Roman" w:cs="Times New Roman"/>
            <w:highlight w:val="white"/>
            <w:lang w:val="en-ZA" w:eastAsia="en-GB"/>
          </w:rPr>
          <w:t>10.1371/journal.pbio.1002413</w:t>
        </w:r>
      </w:hyperlink>
    </w:p>
    <w:p w14:paraId="52214242"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Woollen, E., Ryan, C. M., Baumert, S., Vollmer, F., Grundy, I., Fishers, J., Fernando, J., Luz, A., Ribeiro, N., &amp; Lisboa, S. N. (2016). Charcoal production in the Mopane woodlands of Mozambique: what are the trade-offs with other ecosystem services? </w:t>
      </w:r>
      <w:r w:rsidRPr="009B0448">
        <w:rPr>
          <w:rFonts w:ascii="Times New Roman" w:eastAsia="Times New Roman" w:hAnsi="Times New Roman" w:cs="Times New Roman"/>
          <w:i/>
          <w:lang w:val="en-ZA" w:eastAsia="en-GB"/>
        </w:rPr>
        <w:t>Philosophical Transactions of the Royal Society B: Biological Sciences, 371</w:t>
      </w:r>
      <w:r w:rsidRPr="009B0448">
        <w:rPr>
          <w:rFonts w:ascii="Times New Roman" w:eastAsia="Times New Roman" w:hAnsi="Times New Roman" w:cs="Times New Roman"/>
          <w:lang w:val="en-ZA" w:eastAsia="en-GB"/>
        </w:rPr>
        <w:t>(1703), 20150315.</w:t>
      </w:r>
      <w:r w:rsidRPr="009B0448">
        <w:rPr>
          <w:rFonts w:ascii="Times New Roman" w:hAnsi="Times New Roman" w:cs="Times New Roman"/>
          <w:lang w:val="en-ZA" w:eastAsia="en-GB"/>
        </w:rPr>
        <w:t xml:space="preserve"> </w:t>
      </w:r>
      <w:hyperlink r:id="rId1736" w:history="1">
        <w:r w:rsidRPr="009B0448">
          <w:rPr>
            <w:rStyle w:val="Hyperlink"/>
            <w:rFonts w:ascii="Times New Roman" w:hAnsi="Times New Roman" w:cs="Times New Roman"/>
            <w:lang w:val="en-ZA" w:eastAsia="en-GB"/>
          </w:rPr>
          <w:t>https://doi.org/10.1098/rstb.2015.0315</w:t>
        </w:r>
      </w:hyperlink>
    </w:p>
    <w:p w14:paraId="60F7C959" w14:textId="77777777" w:rsidR="00431F56" w:rsidRPr="009B0448" w:rsidRDefault="00431F56" w:rsidP="00117770">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World Bank. (2013). </w:t>
      </w:r>
      <w:r w:rsidRPr="009B0448">
        <w:rPr>
          <w:rFonts w:ascii="Times New Roman" w:eastAsia="Times New Roman" w:hAnsi="Times New Roman" w:cs="Times New Roman"/>
          <w:i/>
        </w:rPr>
        <w:t>Africa Development Indicators 2012/13</w:t>
      </w:r>
      <w:r w:rsidRPr="009B0448">
        <w:rPr>
          <w:rFonts w:ascii="Times New Roman" w:eastAsia="Times New Roman" w:hAnsi="Times New Roman" w:cs="Times New Roman"/>
        </w:rPr>
        <w:t xml:space="preserve">. Washington, DC: World Bank. </w:t>
      </w:r>
      <w:hyperlink r:id="rId1737" w:history="1">
        <w:r w:rsidRPr="009B0448">
          <w:rPr>
            <w:rStyle w:val="Hyperlink"/>
            <w:rFonts w:ascii="Times New Roman" w:eastAsia="Times New Roman" w:hAnsi="Times New Roman" w:cs="Times New Roman"/>
          </w:rPr>
          <w:t>https://doi.org/10.1596/978-0-8213-9616-2</w:t>
        </w:r>
      </w:hyperlink>
    </w:p>
    <w:p w14:paraId="1CF44056"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World Bank. (2016). </w:t>
      </w:r>
      <w:r w:rsidRPr="009B0448">
        <w:rPr>
          <w:rFonts w:ascii="Times New Roman" w:eastAsia="Times New Roman" w:hAnsi="Times New Roman" w:cs="Times New Roman"/>
          <w:i/>
          <w:lang w:val="en-ZA" w:eastAsia="en-GB"/>
        </w:rPr>
        <w:t>World Development Indicators 2016: Featuring the Sustainable Development Goals.</w:t>
      </w:r>
      <w:r w:rsidRPr="009B0448">
        <w:rPr>
          <w:rFonts w:ascii="Times New Roman" w:eastAsia="Times New Roman" w:hAnsi="Times New Roman" w:cs="Times New Roman"/>
          <w:lang w:val="en-ZA" w:eastAsia="en-GB"/>
        </w:rPr>
        <w:t xml:space="preserve"> Washington, DC: World Bank. Retrieved from </w:t>
      </w:r>
      <w:hyperlink r:id="rId1738" w:history="1">
        <w:r w:rsidRPr="009B0448">
          <w:rPr>
            <w:rStyle w:val="Hyperlink"/>
            <w:rFonts w:ascii="Times New Roman" w:eastAsia="Times New Roman" w:hAnsi="Times New Roman" w:cs="Times New Roman"/>
            <w:lang w:val="en-ZA" w:eastAsia="en-GB"/>
          </w:rPr>
          <w:t>http://databank.worldbank.org/data/download/site-content/wdi-2016-highlights-featuring-sdgs-booklet.pdf</w:t>
        </w:r>
      </w:hyperlink>
    </w:p>
    <w:p w14:paraId="6154F763" w14:textId="77777777" w:rsidR="00431F56" w:rsidRPr="009B0448" w:rsidRDefault="00431F56" w:rsidP="00117770">
      <w:pPr>
        <w:spacing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rPr>
        <w:t xml:space="preserve">WWF-AfDB. (2015). </w:t>
      </w:r>
      <w:r w:rsidRPr="009B0448">
        <w:rPr>
          <w:rFonts w:ascii="Times New Roman" w:eastAsia="Times New Roman" w:hAnsi="Times New Roman" w:cs="Times New Roman"/>
          <w:i/>
        </w:rPr>
        <w:t>African ecological futures report 2015</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lang w:val="en-ZA" w:eastAsia="en-GB"/>
        </w:rPr>
        <w:t xml:space="preserve">Nairobi, Kenya: </w:t>
      </w:r>
      <w:r w:rsidRPr="009B0448">
        <w:rPr>
          <w:rFonts w:ascii="Times New Roman" w:eastAsia="Times New Roman" w:hAnsi="Times New Roman" w:cs="Times New Roman"/>
        </w:rPr>
        <w:t>World Wide Fund for Nature (WWF) &amp; African Development Bank (AfDB).</w:t>
      </w:r>
      <w:r w:rsidRPr="009B0448">
        <w:rPr>
          <w:rFonts w:ascii="Times New Roman" w:eastAsia="Times New Roman" w:hAnsi="Times New Roman" w:cs="Times New Roman"/>
          <w:lang w:val="en-ZA" w:eastAsia="en-GB"/>
        </w:rPr>
        <w:t xml:space="preserve"> Retrieved from </w:t>
      </w:r>
      <w:hyperlink r:id="rId1739" w:history="1">
        <w:r w:rsidRPr="009B0448">
          <w:rPr>
            <w:rStyle w:val="Hyperlink"/>
            <w:rFonts w:ascii="Times New Roman" w:hAnsi="Times New Roman" w:cs="Times New Roman"/>
            <w:lang w:val="en-ZA" w:eastAsia="en-GB"/>
          </w:rPr>
          <w:t>www.panda.org/lpr/africa2012</w:t>
        </w:r>
      </w:hyperlink>
    </w:p>
    <w:p w14:paraId="13A36A22"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bookmarkStart w:id="465" w:name="_beeoopjuj9be" w:colFirst="0" w:colLast="0"/>
      <w:bookmarkEnd w:id="465"/>
      <w:r w:rsidRPr="009B0448">
        <w:rPr>
          <w:rFonts w:ascii="Times New Roman" w:eastAsia="Times New Roman" w:hAnsi="Times New Roman" w:cs="Times New Roman"/>
          <w:lang w:val="en-ZA" w:eastAsia="en-GB"/>
        </w:rPr>
        <w:t xml:space="preserve">Young, A. J., Guo, D., Desmet, P. G., &amp; Midgley, G. F. (2016). Biodiversity and climate change: Risks to dwarf succulents in Southern Africa. </w:t>
      </w:r>
      <w:r w:rsidRPr="009B0448">
        <w:rPr>
          <w:rFonts w:ascii="Times New Roman" w:eastAsia="Times New Roman" w:hAnsi="Times New Roman" w:cs="Times New Roman"/>
          <w:i/>
          <w:lang w:val="en-ZA" w:eastAsia="en-GB"/>
        </w:rPr>
        <w:t>Journal of Arid Environments</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129,</w:t>
      </w:r>
      <w:r w:rsidRPr="009B0448">
        <w:rPr>
          <w:rFonts w:ascii="Times New Roman" w:eastAsia="Times New Roman" w:hAnsi="Times New Roman" w:cs="Times New Roman"/>
          <w:lang w:val="en-ZA" w:eastAsia="en-GB"/>
        </w:rPr>
        <w:t xml:space="preserve"> 16–24. </w:t>
      </w:r>
      <w:hyperlink r:id="rId1740" w:tgtFrame="_blank" w:tooltip="Persistent link using digital object identifier" w:history="1">
        <w:r w:rsidRPr="009B0448">
          <w:rPr>
            <w:rStyle w:val="Hyperlink"/>
            <w:rFonts w:ascii="Times New Roman" w:hAnsi="Times New Roman" w:cs="Times New Roman"/>
            <w:color w:val="0563C1"/>
          </w:rPr>
          <w:t>https://doi.org/10.1016/j.jaridenv.2016.02.005</w:t>
        </w:r>
      </w:hyperlink>
    </w:p>
    <w:p w14:paraId="7F2B53AB"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bookmarkStart w:id="466" w:name="_1664s55" w:colFirst="0" w:colLast="0"/>
      <w:bookmarkStart w:id="467" w:name="_3q5sasy" w:colFirst="0" w:colLast="0"/>
      <w:bookmarkEnd w:id="466"/>
      <w:bookmarkEnd w:id="467"/>
      <w:r w:rsidRPr="009B0448">
        <w:rPr>
          <w:rFonts w:ascii="Times New Roman" w:eastAsia="Times New Roman" w:hAnsi="Times New Roman" w:cs="Times New Roman"/>
          <w:lang w:val="en-ZA" w:eastAsia="en-GB"/>
        </w:rPr>
        <w:t xml:space="preserve">Yu, M., Wang, G.L., Parr, D. T., &amp; Ahmed, K. F. (2014). Future changes of the terrestrial ecosystem based on a dynamic vegetation model driven with RCP8.5 climate projections from 19 GCMs. </w:t>
      </w:r>
      <w:r w:rsidRPr="009B0448">
        <w:rPr>
          <w:rFonts w:ascii="Times New Roman" w:eastAsia="Times New Roman" w:hAnsi="Times New Roman" w:cs="Times New Roman"/>
          <w:i/>
          <w:lang w:val="en-ZA" w:eastAsia="en-GB"/>
        </w:rPr>
        <w:t>Climatic Change, 127</w:t>
      </w:r>
      <w:r w:rsidRPr="009B0448">
        <w:rPr>
          <w:rFonts w:ascii="Times New Roman" w:eastAsia="Times New Roman" w:hAnsi="Times New Roman" w:cs="Times New Roman"/>
          <w:lang w:val="en-ZA" w:eastAsia="en-GB"/>
        </w:rPr>
        <w:t xml:space="preserve">, 257–271. </w:t>
      </w:r>
      <w:hyperlink r:id="rId1741" w:history="1">
        <w:r w:rsidRPr="009B0448">
          <w:rPr>
            <w:rStyle w:val="Hyperlink"/>
            <w:rFonts w:ascii="Times New Roman" w:hAnsi="Times New Roman" w:cs="Times New Roman"/>
            <w:lang w:val="en-ZA" w:eastAsia="en-GB"/>
          </w:rPr>
          <w:t>https://doi.org/10.1007/s10584-014-1249-2</w:t>
        </w:r>
      </w:hyperlink>
    </w:p>
    <w:p w14:paraId="3C35C59A" w14:textId="77777777" w:rsidR="00431F56" w:rsidRPr="009B0448" w:rsidRDefault="00431F56" w:rsidP="00E57852">
      <w:pPr>
        <w:widowControl w:val="0"/>
        <w:spacing w:before="120" w:after="120" w:line="276" w:lineRule="auto"/>
        <w:ind w:left="567" w:hanging="567"/>
        <w:rPr>
          <w:rFonts w:ascii="Times New Roman" w:eastAsia="Times New Roman" w:hAnsi="Times New Roman" w:cs="Times New Roman"/>
          <w:lang w:val="en-ZA" w:eastAsia="en-GB"/>
        </w:rPr>
      </w:pPr>
      <w:bookmarkStart w:id="468" w:name="_25b2l0r" w:colFirst="0" w:colLast="0"/>
      <w:bookmarkStart w:id="469" w:name="_kgcv8k" w:colFirst="0" w:colLast="0"/>
      <w:bookmarkStart w:id="470" w:name="_43ky6rz" w:colFirst="0" w:colLast="0"/>
      <w:bookmarkEnd w:id="468"/>
      <w:bookmarkEnd w:id="469"/>
      <w:bookmarkEnd w:id="470"/>
      <w:r w:rsidRPr="009B0448">
        <w:rPr>
          <w:rFonts w:ascii="Times New Roman" w:eastAsia="Times New Roman" w:hAnsi="Times New Roman" w:cs="Times New Roman"/>
          <w:lang w:val="en-ZA" w:eastAsia="en-GB"/>
        </w:rPr>
        <w:t xml:space="preserve">Zurek. M., Biggs, R., &amp; Raudsepp-Hearne, C. (2008). Exploring future trends in ecosystem services. In J. Ranganathan, C. Raudsepp-Hearne, &amp; N. Lucas (Eds.), </w:t>
      </w:r>
      <w:r w:rsidRPr="009B0448">
        <w:rPr>
          <w:rFonts w:ascii="Times New Roman" w:eastAsia="Times New Roman" w:hAnsi="Times New Roman" w:cs="Times New Roman"/>
          <w:i/>
          <w:lang w:val="en-ZA" w:eastAsia="en-GB"/>
        </w:rPr>
        <w:t>Ecosystem services: a guide for decision-makers</w:t>
      </w:r>
      <w:r w:rsidRPr="009B0448">
        <w:rPr>
          <w:rFonts w:ascii="Times New Roman" w:eastAsia="Times New Roman" w:hAnsi="Times New Roman" w:cs="Times New Roman"/>
          <w:lang w:val="en-ZA" w:eastAsia="en-GB"/>
        </w:rPr>
        <w:t xml:space="preserve">. Washington, DC: World Resources Institute. Retrieved from </w:t>
      </w:r>
      <w:hyperlink r:id="rId1742" w:history="1">
        <w:r w:rsidRPr="009B0448">
          <w:rPr>
            <w:rStyle w:val="Hyperlink"/>
            <w:rFonts w:ascii="Times New Roman" w:eastAsia="Times New Roman" w:hAnsi="Times New Roman" w:cs="Times New Roman"/>
            <w:lang w:val="en-ZA" w:eastAsia="en-GB"/>
          </w:rPr>
          <w:t>http://pdf.wri.org/ecosystem_services_guide_for_decisionmakers.pdf</w:t>
        </w:r>
      </w:hyperlink>
    </w:p>
    <w:p w14:paraId="0AE11FCE" w14:textId="1808145F" w:rsidR="00E57852" w:rsidRPr="009B0448" w:rsidRDefault="00E57852" w:rsidP="00117770">
      <w:pPr>
        <w:spacing w:after="120" w:line="276" w:lineRule="auto"/>
        <w:ind w:left="567" w:hanging="567"/>
        <w:rPr>
          <w:rFonts w:ascii="Times New Roman" w:eastAsia="Times New Roman" w:hAnsi="Times New Roman" w:cs="Times New Roman"/>
        </w:rPr>
      </w:pPr>
      <w:bookmarkStart w:id="471" w:name="_2iq8gzs" w:colFirst="0" w:colLast="0"/>
      <w:bookmarkEnd w:id="471"/>
      <w:r w:rsidRPr="009B0448">
        <w:rPr>
          <w:rFonts w:ascii="Times New Roman" w:hAnsi="Times New Roman" w:cs="Times New Roman"/>
        </w:rPr>
        <w:br w:type="page"/>
      </w:r>
    </w:p>
    <w:p w14:paraId="3217EAD6" w14:textId="77777777" w:rsidR="001B72B0" w:rsidRDefault="00991066" w:rsidP="00E87C98">
      <w:pPr>
        <w:pStyle w:val="Heading3"/>
        <w:spacing w:line="276" w:lineRule="auto"/>
        <w:ind w:left="-11" w:firstLine="0"/>
        <w:rPr>
          <w:rFonts w:cs="Times New Roman"/>
          <w:b w:val="0"/>
          <w:sz w:val="22"/>
        </w:rPr>
      </w:pPr>
      <w:bookmarkStart w:id="472" w:name="_3hv69ve" w:colFirst="0" w:colLast="0"/>
      <w:bookmarkStart w:id="473" w:name="_Toc519500041"/>
      <w:bookmarkEnd w:id="472"/>
      <w:r w:rsidRPr="009B0448">
        <w:rPr>
          <w:rFonts w:cs="Times New Roman"/>
          <w:sz w:val="20"/>
          <w:szCs w:val="20"/>
        </w:rPr>
        <w:t>Appendix 5.1</w:t>
      </w:r>
      <w:r w:rsidR="008B46E9" w:rsidRPr="009B0448">
        <w:rPr>
          <w:rFonts w:cs="Times New Roman"/>
          <w:sz w:val="20"/>
          <w:szCs w:val="20"/>
        </w:rPr>
        <w:t xml:space="preserve">: </w:t>
      </w:r>
      <w:r w:rsidR="00E87C98" w:rsidRPr="009B0448">
        <w:rPr>
          <w:rFonts w:cs="Times New Roman"/>
          <w:b w:val="0"/>
          <w:sz w:val="22"/>
        </w:rPr>
        <w:t>Detailed analysis of the likelihood for achieving different policy targets under the five archetypes assessed in this chapter.</w:t>
      </w:r>
      <w:bookmarkEnd w:id="473"/>
      <w:r w:rsidR="00E87C98" w:rsidRPr="009B0448">
        <w:rPr>
          <w:rFonts w:cs="Times New Roman"/>
          <w:b w:val="0"/>
          <w:sz w:val="22"/>
        </w:rPr>
        <w:t xml:space="preserve"> </w:t>
      </w:r>
    </w:p>
    <w:p w14:paraId="3071BF85" w14:textId="5A98F466" w:rsidR="00991066" w:rsidRPr="001B72B0" w:rsidRDefault="00E87C98" w:rsidP="001B72B0">
      <w:pPr>
        <w:pStyle w:val="Normalnumber"/>
        <w:spacing w:line="276" w:lineRule="auto"/>
        <w:rPr>
          <w:sz w:val="22"/>
          <w:szCs w:val="22"/>
        </w:rPr>
      </w:pPr>
      <w:r w:rsidRPr="001B72B0">
        <w:rPr>
          <w:sz w:val="22"/>
          <w:szCs w:val="22"/>
        </w:rPr>
        <w:t>Arrows indicate an increase (</w:t>
      </w:r>
      <w:r w:rsidRPr="001B72B0">
        <w:rPr>
          <w:rFonts w:ascii="Cambria Math" w:hAnsi="Cambria Math" w:cs="Cambria Math"/>
          <w:sz w:val="22"/>
          <w:szCs w:val="22"/>
        </w:rPr>
        <w:t>↗</w:t>
      </w:r>
      <w:r w:rsidRPr="001B72B0">
        <w:rPr>
          <w:sz w:val="22"/>
          <w:szCs w:val="22"/>
        </w:rPr>
        <w:t>), decrease (</w:t>
      </w:r>
      <w:r w:rsidRPr="001B72B0">
        <w:rPr>
          <w:rFonts w:ascii="Cambria Math" w:hAnsi="Cambria Math" w:cs="Cambria Math"/>
          <w:sz w:val="22"/>
          <w:szCs w:val="22"/>
        </w:rPr>
        <w:t>↘</w:t>
      </w:r>
      <w:r w:rsidRPr="001B72B0">
        <w:rPr>
          <w:sz w:val="22"/>
          <w:szCs w:val="22"/>
        </w:rPr>
        <w:t xml:space="preserve">), or no change (→) in biodiversity and ecosystem function under each scenario type. The colour of the cell indicates the overall trend across the reports, where green indicates overall increase, orange indicates overall decrease, </w:t>
      </w:r>
      <w:r w:rsidR="00D4358E" w:rsidRPr="001B72B0">
        <w:rPr>
          <w:sz w:val="22"/>
          <w:szCs w:val="22"/>
        </w:rPr>
        <w:t>purple</w:t>
      </w:r>
      <w:r w:rsidRPr="001B72B0">
        <w:rPr>
          <w:sz w:val="22"/>
          <w:szCs w:val="22"/>
        </w:rPr>
        <w:t xml:space="preserve"> indicates contradictory trends, and no colour indicates no overall change or unknown effects. Some arrows are annotated to indicate the source of the finding (beyond the core reports) as follows: a) Thornton </w:t>
      </w:r>
      <w:r w:rsidRPr="001B72B0">
        <w:rPr>
          <w:i/>
          <w:sz w:val="22"/>
          <w:szCs w:val="22"/>
        </w:rPr>
        <w:t>et al.</w:t>
      </w:r>
      <w:r w:rsidRPr="001B72B0">
        <w:rPr>
          <w:sz w:val="22"/>
          <w:szCs w:val="22"/>
        </w:rPr>
        <w:t xml:space="preserve"> (2009); b) Nakicenovic </w:t>
      </w:r>
      <w:r w:rsidRPr="001B72B0">
        <w:rPr>
          <w:i/>
          <w:sz w:val="22"/>
          <w:szCs w:val="22"/>
        </w:rPr>
        <w:t>et al.</w:t>
      </w:r>
      <w:r w:rsidRPr="001B72B0">
        <w:rPr>
          <w:sz w:val="22"/>
          <w:szCs w:val="22"/>
        </w:rPr>
        <w:t xml:space="preserve"> (2000); c) Lambin </w:t>
      </w:r>
      <w:r w:rsidRPr="001B72B0">
        <w:rPr>
          <w:i/>
          <w:sz w:val="22"/>
          <w:szCs w:val="22"/>
        </w:rPr>
        <w:t>et al.</w:t>
      </w:r>
      <w:r w:rsidRPr="001B72B0">
        <w:rPr>
          <w:sz w:val="22"/>
          <w:szCs w:val="22"/>
        </w:rPr>
        <w:t xml:space="preserve"> (2014); d) Bohensky </w:t>
      </w:r>
      <w:r w:rsidRPr="001B72B0">
        <w:rPr>
          <w:i/>
          <w:sz w:val="22"/>
          <w:szCs w:val="22"/>
        </w:rPr>
        <w:t>et al.</w:t>
      </w:r>
      <w:r w:rsidRPr="001B72B0">
        <w:rPr>
          <w:sz w:val="22"/>
          <w:szCs w:val="22"/>
        </w:rPr>
        <w:t xml:space="preserve"> (2006); e) Alcamo </w:t>
      </w:r>
      <w:r w:rsidRPr="001B72B0">
        <w:rPr>
          <w:i/>
          <w:sz w:val="22"/>
          <w:szCs w:val="22"/>
        </w:rPr>
        <w:t>et al.</w:t>
      </w:r>
      <w:r w:rsidRPr="001B72B0">
        <w:rPr>
          <w:sz w:val="22"/>
          <w:szCs w:val="22"/>
        </w:rPr>
        <w:t xml:space="preserve"> (2005); f) Visconti </w:t>
      </w:r>
      <w:r w:rsidRPr="001B72B0">
        <w:rPr>
          <w:i/>
          <w:sz w:val="22"/>
          <w:szCs w:val="22"/>
        </w:rPr>
        <w:t>et al.</w:t>
      </w:r>
      <w:r w:rsidRPr="001B72B0">
        <w:rPr>
          <w:sz w:val="22"/>
          <w:szCs w:val="22"/>
        </w:rPr>
        <w:t xml:space="preserve"> (2016); g) WWF-AfDB (2015); h) Biggs </w:t>
      </w:r>
      <w:r w:rsidRPr="001B72B0">
        <w:rPr>
          <w:i/>
          <w:sz w:val="22"/>
          <w:szCs w:val="22"/>
        </w:rPr>
        <w:t>et al.</w:t>
      </w:r>
      <w:r w:rsidRPr="001B72B0">
        <w:rPr>
          <w:sz w:val="22"/>
          <w:szCs w:val="22"/>
        </w:rPr>
        <w:t xml:space="preserve"> (2008); i) Niang </w:t>
      </w:r>
      <w:r w:rsidRPr="001B72B0">
        <w:rPr>
          <w:i/>
          <w:sz w:val="22"/>
          <w:szCs w:val="22"/>
        </w:rPr>
        <w:t>et al.</w:t>
      </w:r>
      <w:r w:rsidRPr="001B72B0">
        <w:rPr>
          <w:sz w:val="22"/>
          <w:szCs w:val="22"/>
        </w:rPr>
        <w:t xml:space="preserve"> (2014</w:t>
      </w:r>
      <w:r w:rsidR="001C7966" w:rsidRPr="001B72B0">
        <w:rPr>
          <w:sz w:val="22"/>
          <w:szCs w:val="22"/>
        </w:rPr>
        <w:t xml:space="preserve">); j) Maina </w:t>
      </w:r>
      <w:r w:rsidR="001C7966" w:rsidRPr="001B72B0">
        <w:rPr>
          <w:i/>
          <w:sz w:val="22"/>
          <w:szCs w:val="22"/>
        </w:rPr>
        <w:t>et al.</w:t>
      </w:r>
      <w:r w:rsidR="001C7966" w:rsidRPr="001B72B0">
        <w:rPr>
          <w:sz w:val="22"/>
          <w:szCs w:val="22"/>
        </w:rPr>
        <w:t xml:space="preserve"> (2013); k) O’</w:t>
      </w:r>
      <w:r w:rsidRPr="001B72B0">
        <w:rPr>
          <w:sz w:val="22"/>
          <w:szCs w:val="22"/>
        </w:rPr>
        <w:t xml:space="preserve">Neill </w:t>
      </w:r>
      <w:r w:rsidRPr="001B72B0">
        <w:rPr>
          <w:i/>
          <w:sz w:val="22"/>
          <w:szCs w:val="22"/>
        </w:rPr>
        <w:t>et al.</w:t>
      </w:r>
      <w:r w:rsidRPr="001B72B0">
        <w:rPr>
          <w:sz w:val="22"/>
          <w:szCs w:val="22"/>
        </w:rPr>
        <w:t xml:space="preserve"> (2017).</w:t>
      </w:r>
    </w:p>
    <w:p w14:paraId="7B998EF0" w14:textId="35CB55DA" w:rsidR="00354EA2" w:rsidRPr="009B0448" w:rsidRDefault="001C7966" w:rsidP="0026175D">
      <w:pPr>
        <w:spacing w:after="100" w:afterAutospacing="1" w:line="276" w:lineRule="auto"/>
        <w:jc w:val="both"/>
        <w:rPr>
          <w:rFonts w:ascii="Times New Roman" w:eastAsia="Times New Roman" w:hAnsi="Times New Roman" w:cs="Times New Roman"/>
          <w:b/>
          <w:color w:val="333333"/>
        </w:rPr>
      </w:pPr>
      <w:bookmarkStart w:id="474" w:name="_2w5ecyt" w:colFirst="0" w:colLast="0"/>
      <w:bookmarkEnd w:id="474"/>
      <w:r w:rsidRPr="009B0448">
        <w:rPr>
          <w:rFonts w:ascii="Times New Roman" w:hAnsi="Times New Roman" w:cs="Times New Roman"/>
          <w:noProof/>
          <w:lang w:eastAsia="en-GB"/>
        </w:rPr>
        <w:drawing>
          <wp:inline distT="0" distB="0" distL="0" distR="0" wp14:anchorId="28EE4EEB" wp14:editId="43D04705">
            <wp:extent cx="5676948" cy="3902314"/>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esktop\App5.1.JPG"/>
                    <pic:cNvPicPr>
                      <a:picLocks noChangeAspect="1" noChangeArrowheads="1"/>
                    </pic:cNvPicPr>
                  </pic:nvPicPr>
                  <pic:blipFill>
                    <a:blip r:embed="rId1743">
                      <a:extLst>
                        <a:ext uri="{28A0092B-C50C-407E-A947-70E740481C1C}">
                          <a14:useLocalDpi xmlns:a14="http://schemas.microsoft.com/office/drawing/2010/main" val="0"/>
                        </a:ext>
                      </a:extLst>
                    </a:blip>
                    <a:stretch>
                      <a:fillRect/>
                    </a:stretch>
                  </pic:blipFill>
                  <pic:spPr bwMode="auto">
                    <a:xfrm>
                      <a:off x="0" y="0"/>
                      <a:ext cx="5676948" cy="3902314"/>
                    </a:xfrm>
                    <a:prstGeom prst="rect">
                      <a:avLst/>
                    </a:prstGeom>
                    <a:noFill/>
                    <a:ln>
                      <a:noFill/>
                    </a:ln>
                    <a:extLst>
                      <a:ext uri="{53640926-AAD7-44D8-BBD7-CCE9431645EC}">
                        <a14:shadowObscured xmlns:a14="http://schemas.microsoft.com/office/drawing/2010/main"/>
                      </a:ext>
                    </a:extLst>
                  </pic:spPr>
                </pic:pic>
              </a:graphicData>
            </a:graphic>
          </wp:inline>
        </w:drawing>
      </w:r>
      <w:r w:rsidR="00354EA2" w:rsidRPr="009B0448">
        <w:rPr>
          <w:rFonts w:ascii="Times New Roman" w:eastAsia="Times New Roman" w:hAnsi="Times New Roman" w:cs="Times New Roman"/>
          <w:b/>
          <w:noProof/>
          <w:color w:val="333333"/>
          <w:lang w:eastAsia="en-GB"/>
        </w:rPr>
        <w:drawing>
          <wp:inline distT="0" distB="0" distL="0" distR="0" wp14:anchorId="53FE206F" wp14:editId="7EDB1229">
            <wp:extent cx="5676900" cy="253936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Graphics feedback\Chapter 5\CHAP_5\Ch5 FINAL\A5.1b.JPG"/>
                    <pic:cNvPicPr>
                      <a:picLocks noChangeAspect="1" noChangeArrowheads="1"/>
                    </pic:cNvPicPr>
                  </pic:nvPicPr>
                  <pic:blipFill>
                    <a:blip r:embed="rId1744">
                      <a:extLst>
                        <a:ext uri="{28A0092B-C50C-407E-A947-70E740481C1C}">
                          <a14:useLocalDpi xmlns:a14="http://schemas.microsoft.com/office/drawing/2010/main" val="0"/>
                        </a:ext>
                      </a:extLst>
                    </a:blip>
                    <a:stretch>
                      <a:fillRect/>
                    </a:stretch>
                  </pic:blipFill>
                  <pic:spPr bwMode="auto">
                    <a:xfrm>
                      <a:off x="0" y="0"/>
                      <a:ext cx="5678130" cy="2539915"/>
                    </a:xfrm>
                    <a:prstGeom prst="rect">
                      <a:avLst/>
                    </a:prstGeom>
                    <a:noFill/>
                    <a:ln>
                      <a:noFill/>
                    </a:ln>
                  </pic:spPr>
                </pic:pic>
              </a:graphicData>
            </a:graphic>
          </wp:inline>
        </w:drawing>
      </w:r>
    </w:p>
    <w:p w14:paraId="5E504675" w14:textId="4D777A3F" w:rsidR="00991066" w:rsidRPr="009B0448" w:rsidRDefault="00991066" w:rsidP="002905CD">
      <w:pPr>
        <w:spacing w:after="100" w:afterAutospacing="1" w:line="276" w:lineRule="auto"/>
        <w:ind w:hanging="30"/>
        <w:jc w:val="both"/>
        <w:rPr>
          <w:rFonts w:ascii="Times New Roman" w:eastAsia="Times New Roman" w:hAnsi="Times New Roman" w:cs="Times New Roman"/>
          <w:b/>
          <w:color w:val="333333"/>
        </w:rPr>
      </w:pPr>
      <w:r w:rsidRPr="009B0448">
        <w:rPr>
          <w:rFonts w:ascii="Times New Roman" w:eastAsia="Times New Roman" w:hAnsi="Times New Roman" w:cs="Times New Roman"/>
          <w:b/>
          <w:color w:val="333333"/>
        </w:rPr>
        <w:br w:type="page"/>
      </w:r>
    </w:p>
    <w:p w14:paraId="0D1A5429" w14:textId="6448D07C" w:rsidR="008D1599" w:rsidRPr="009B0448" w:rsidRDefault="00A86954" w:rsidP="00A86954">
      <w:pPr>
        <w:pStyle w:val="IPBES1"/>
        <w:spacing w:before="240"/>
        <w:rPr>
          <w:color w:val="auto"/>
        </w:rPr>
      </w:pPr>
      <w:bookmarkStart w:id="475" w:name="_Toc519500042"/>
      <w:r w:rsidRPr="009B0448">
        <w:rPr>
          <w:color w:val="auto"/>
        </w:rPr>
        <w:t xml:space="preserve">Chapter 6: </w:t>
      </w:r>
      <w:r w:rsidR="008D1599" w:rsidRPr="009B0448">
        <w:rPr>
          <w:color w:val="auto"/>
        </w:rPr>
        <w:t xml:space="preserve">Options for governance and </w:t>
      </w:r>
      <w:r w:rsidR="00574E50" w:rsidRPr="009B0448">
        <w:rPr>
          <w:color w:val="auto"/>
        </w:rPr>
        <w:t>decision-mak</w:t>
      </w:r>
      <w:r w:rsidR="008D1599" w:rsidRPr="009B0448">
        <w:rPr>
          <w:color w:val="auto"/>
        </w:rPr>
        <w:t>ing across scales and sectors</w:t>
      </w:r>
      <w:bookmarkEnd w:id="475"/>
    </w:p>
    <w:p w14:paraId="32ACFE56" w14:textId="77777777" w:rsidR="00F83B61" w:rsidRPr="009B0448" w:rsidRDefault="00F83B61" w:rsidP="008D1599">
      <w:pPr>
        <w:spacing w:line="276" w:lineRule="auto"/>
        <w:jc w:val="both"/>
        <w:rPr>
          <w:rFonts w:ascii="Times New Roman" w:hAnsi="Times New Roman" w:cs="Times New Roman"/>
          <w:b/>
        </w:rPr>
      </w:pPr>
      <w:r w:rsidRPr="009B0448">
        <w:rPr>
          <w:rFonts w:ascii="Times New Roman" w:hAnsi="Times New Roman" w:cs="Times New Roman"/>
          <w:b/>
        </w:rPr>
        <w:t>Coordinating Lead Authors:</w:t>
      </w:r>
    </w:p>
    <w:p w14:paraId="31A606E7" w14:textId="344C47BF" w:rsidR="00F83B61" w:rsidRPr="009B0448" w:rsidRDefault="00F83B61" w:rsidP="008D1599">
      <w:pPr>
        <w:spacing w:line="276" w:lineRule="auto"/>
        <w:jc w:val="both"/>
        <w:rPr>
          <w:rFonts w:ascii="Times New Roman" w:hAnsi="Times New Roman" w:cs="Times New Roman"/>
        </w:rPr>
      </w:pPr>
      <w:r w:rsidRPr="009B0448">
        <w:rPr>
          <w:rFonts w:ascii="Times New Roman" w:hAnsi="Times New Roman" w:cs="Times New Roman"/>
        </w:rPr>
        <w:t>Lindsay C. Stringer (</w:t>
      </w:r>
      <w:r w:rsidR="00A14C68" w:rsidRPr="009B0448">
        <w:rPr>
          <w:rFonts w:ascii="Times New Roman" w:hAnsi="Times New Roman" w:cs="Times New Roman"/>
        </w:rPr>
        <w:t>United Kingdom</w:t>
      </w:r>
      <w:r w:rsidRPr="009B0448">
        <w:rPr>
          <w:rFonts w:ascii="Times New Roman" w:hAnsi="Times New Roman" w:cs="Times New Roman"/>
        </w:rPr>
        <w:t>), Balgis Osman</w:t>
      </w:r>
      <w:r w:rsidRPr="009B0448">
        <w:rPr>
          <w:rFonts w:ascii="Cambria Math" w:hAnsi="Cambria Math" w:cs="Cambria Math"/>
        </w:rPr>
        <w:t>‐</w:t>
      </w:r>
      <w:r w:rsidRPr="009B0448">
        <w:rPr>
          <w:rFonts w:ascii="Times New Roman" w:hAnsi="Times New Roman" w:cs="Times New Roman"/>
        </w:rPr>
        <w:t>Elasha (Sudan), Fabrice DeClerck (Belgium)</w:t>
      </w:r>
    </w:p>
    <w:p w14:paraId="4963A7B4" w14:textId="77777777" w:rsidR="00F83B61" w:rsidRPr="009B0448" w:rsidRDefault="00F83B61" w:rsidP="008D1599">
      <w:pPr>
        <w:spacing w:line="276" w:lineRule="auto"/>
        <w:jc w:val="both"/>
        <w:rPr>
          <w:rFonts w:ascii="Times New Roman" w:hAnsi="Times New Roman" w:cs="Times New Roman"/>
        </w:rPr>
      </w:pPr>
    </w:p>
    <w:p w14:paraId="0F2591CA" w14:textId="77777777" w:rsidR="00F83B61" w:rsidRPr="009B0448" w:rsidRDefault="00F83B61" w:rsidP="008D1599">
      <w:pPr>
        <w:spacing w:line="276" w:lineRule="auto"/>
        <w:jc w:val="both"/>
        <w:rPr>
          <w:rFonts w:ascii="Times New Roman" w:hAnsi="Times New Roman" w:cs="Times New Roman"/>
          <w:b/>
        </w:rPr>
      </w:pPr>
      <w:r w:rsidRPr="009B0448">
        <w:rPr>
          <w:rFonts w:ascii="Times New Roman" w:hAnsi="Times New Roman" w:cs="Times New Roman"/>
          <w:b/>
        </w:rPr>
        <w:t>Lead Authors:</w:t>
      </w:r>
    </w:p>
    <w:p w14:paraId="2F56AD5A" w14:textId="4EB2181F" w:rsidR="00F83B61" w:rsidRPr="009B0448" w:rsidRDefault="00F83B61" w:rsidP="008D1599">
      <w:pPr>
        <w:spacing w:line="276" w:lineRule="auto"/>
        <w:jc w:val="both"/>
        <w:rPr>
          <w:rFonts w:ascii="Times New Roman" w:hAnsi="Times New Roman" w:cs="Times New Roman"/>
        </w:rPr>
      </w:pPr>
      <w:r w:rsidRPr="009B0448">
        <w:rPr>
          <w:rFonts w:ascii="Times New Roman" w:hAnsi="Times New Roman" w:cs="Times New Roman"/>
        </w:rPr>
        <w:t xml:space="preserve">Fredrick Ouma Ayuke (Kenya), </w:t>
      </w:r>
      <w:r w:rsidR="009023B7" w:rsidRPr="009B0448">
        <w:rPr>
          <w:rFonts w:ascii="Times New Roman" w:hAnsi="Times New Roman" w:cs="Times New Roman"/>
        </w:rPr>
        <w:t xml:space="preserve">Mulubrhan Balehegn Gebremikael (Ethiopia), </w:t>
      </w:r>
      <w:r w:rsidRPr="009B0448">
        <w:rPr>
          <w:rFonts w:ascii="Times New Roman" w:hAnsi="Times New Roman" w:cs="Times New Roman"/>
        </w:rPr>
        <w:t>Aliyu Salisu Barau (Nigeria), Mekuria Argaw Denboba (Ethiopia), Mamadou Diallo (Senegal), Ernest Lytia Molua (Cameroon), Gertrude Ngenda (Zambia), Laura Pereira (South Africa), Sebataolo John Rahlao (Lesotho)</w:t>
      </w:r>
    </w:p>
    <w:p w14:paraId="2B452DAA" w14:textId="77777777" w:rsidR="00F83B61" w:rsidRPr="009B0448" w:rsidRDefault="00F83B61" w:rsidP="008D1599">
      <w:pPr>
        <w:spacing w:line="276" w:lineRule="auto"/>
        <w:jc w:val="both"/>
        <w:rPr>
          <w:rFonts w:ascii="Times New Roman" w:hAnsi="Times New Roman" w:cs="Times New Roman"/>
        </w:rPr>
      </w:pPr>
    </w:p>
    <w:p w14:paraId="17F58FAD" w14:textId="77777777" w:rsidR="00F83B61" w:rsidRPr="009B0448" w:rsidRDefault="00F83B61" w:rsidP="008D1599">
      <w:pPr>
        <w:spacing w:line="276" w:lineRule="auto"/>
        <w:jc w:val="both"/>
        <w:rPr>
          <w:rFonts w:ascii="Times New Roman" w:hAnsi="Times New Roman" w:cs="Times New Roman"/>
          <w:b/>
        </w:rPr>
      </w:pPr>
      <w:r w:rsidRPr="009B0448">
        <w:rPr>
          <w:rFonts w:ascii="Times New Roman" w:hAnsi="Times New Roman" w:cs="Times New Roman"/>
          <w:b/>
        </w:rPr>
        <w:t>Fellows:</w:t>
      </w:r>
    </w:p>
    <w:p w14:paraId="4295AD2C" w14:textId="77777777" w:rsidR="00F83B61" w:rsidRPr="009B0448" w:rsidRDefault="00F83B61" w:rsidP="008D1599">
      <w:pPr>
        <w:spacing w:line="276" w:lineRule="auto"/>
        <w:jc w:val="both"/>
        <w:rPr>
          <w:rFonts w:ascii="Times New Roman" w:hAnsi="Times New Roman" w:cs="Times New Roman"/>
        </w:rPr>
      </w:pPr>
      <w:r w:rsidRPr="009B0448">
        <w:rPr>
          <w:rFonts w:ascii="Times New Roman" w:hAnsi="Times New Roman" w:cs="Times New Roman"/>
        </w:rPr>
        <w:t>Martha Mphatso Kalemba (Malawi), Joyce Atieno Ojino (Kenya)</w:t>
      </w:r>
    </w:p>
    <w:p w14:paraId="03215C36" w14:textId="77777777" w:rsidR="00F83B61" w:rsidRPr="009B0448" w:rsidRDefault="00F83B61" w:rsidP="008D1599">
      <w:pPr>
        <w:spacing w:line="276" w:lineRule="auto"/>
        <w:jc w:val="both"/>
        <w:rPr>
          <w:rFonts w:ascii="Times New Roman" w:hAnsi="Times New Roman" w:cs="Times New Roman"/>
        </w:rPr>
      </w:pPr>
    </w:p>
    <w:p w14:paraId="31DB3452" w14:textId="77777777" w:rsidR="00F83B61" w:rsidRPr="009B0448" w:rsidRDefault="00F83B61" w:rsidP="008D1599">
      <w:pPr>
        <w:spacing w:line="276" w:lineRule="auto"/>
        <w:jc w:val="both"/>
        <w:rPr>
          <w:rFonts w:ascii="Times New Roman" w:hAnsi="Times New Roman" w:cs="Times New Roman"/>
          <w:b/>
        </w:rPr>
      </w:pPr>
      <w:r w:rsidRPr="009B0448">
        <w:rPr>
          <w:rFonts w:ascii="Times New Roman" w:hAnsi="Times New Roman" w:cs="Times New Roman"/>
          <w:b/>
        </w:rPr>
        <w:t>Contributing Authors:</w:t>
      </w:r>
    </w:p>
    <w:p w14:paraId="41730A2E" w14:textId="569CA094" w:rsidR="00F83B61" w:rsidRPr="009B0448" w:rsidRDefault="008327C3" w:rsidP="008D1599">
      <w:pPr>
        <w:spacing w:line="276" w:lineRule="auto"/>
        <w:jc w:val="both"/>
        <w:rPr>
          <w:rFonts w:ascii="Times New Roman" w:hAnsi="Times New Roman" w:cs="Times New Roman"/>
        </w:rPr>
      </w:pPr>
      <w:r w:rsidRPr="009B0448">
        <w:rPr>
          <w:rFonts w:ascii="Times New Roman" w:hAnsi="Times New Roman" w:cs="Times New Roman"/>
        </w:rPr>
        <w:t xml:space="preserve">Dyhia Belhabib (Canada), Nadia Sitas (South Africa), Lena Strauβ (Germany), </w:t>
      </w:r>
      <w:r w:rsidR="00F83B61" w:rsidRPr="009B0448">
        <w:rPr>
          <w:rFonts w:ascii="Times New Roman" w:hAnsi="Times New Roman" w:cs="Times New Roman"/>
        </w:rPr>
        <w:t>Caroline Ward (</w:t>
      </w:r>
      <w:r w:rsidR="00A14C68" w:rsidRPr="009B0448">
        <w:rPr>
          <w:rFonts w:ascii="Times New Roman" w:hAnsi="Times New Roman" w:cs="Times New Roman"/>
        </w:rPr>
        <w:t>United Kingdom</w:t>
      </w:r>
      <w:r w:rsidRPr="009B0448">
        <w:rPr>
          <w:rFonts w:ascii="Times New Roman" w:hAnsi="Times New Roman" w:cs="Times New Roman"/>
        </w:rPr>
        <w:t>)</w:t>
      </w:r>
    </w:p>
    <w:p w14:paraId="755A4FC3" w14:textId="77777777" w:rsidR="00F83B61" w:rsidRPr="009B0448" w:rsidRDefault="00F83B61" w:rsidP="008D1599">
      <w:pPr>
        <w:spacing w:line="276" w:lineRule="auto"/>
        <w:jc w:val="both"/>
        <w:rPr>
          <w:rFonts w:ascii="Times New Roman" w:hAnsi="Times New Roman" w:cs="Times New Roman"/>
        </w:rPr>
      </w:pPr>
    </w:p>
    <w:p w14:paraId="24B2EFDE" w14:textId="77777777" w:rsidR="00F83B61" w:rsidRPr="009B0448" w:rsidRDefault="00F83B61" w:rsidP="008D1599">
      <w:pPr>
        <w:spacing w:line="276" w:lineRule="auto"/>
        <w:jc w:val="both"/>
        <w:rPr>
          <w:rFonts w:ascii="Times New Roman" w:hAnsi="Times New Roman" w:cs="Times New Roman"/>
          <w:b/>
        </w:rPr>
      </w:pPr>
      <w:r w:rsidRPr="009B0448">
        <w:rPr>
          <w:rFonts w:ascii="Times New Roman" w:hAnsi="Times New Roman" w:cs="Times New Roman"/>
          <w:b/>
        </w:rPr>
        <w:t>Review Editors:</w:t>
      </w:r>
    </w:p>
    <w:p w14:paraId="7FA8CD38" w14:textId="77777777" w:rsidR="00F83B61" w:rsidRPr="009B0448" w:rsidRDefault="00F83B61" w:rsidP="008D1599">
      <w:pPr>
        <w:spacing w:line="276" w:lineRule="auto"/>
        <w:jc w:val="both"/>
        <w:rPr>
          <w:rFonts w:ascii="Times New Roman" w:hAnsi="Times New Roman" w:cs="Times New Roman"/>
        </w:rPr>
      </w:pPr>
      <w:r w:rsidRPr="009B0448">
        <w:rPr>
          <w:rFonts w:ascii="Times New Roman" w:hAnsi="Times New Roman" w:cs="Times New Roman"/>
        </w:rPr>
        <w:t>Lapologang Magole (Botswana), Coleen Vogel (South Africa)</w:t>
      </w:r>
    </w:p>
    <w:p w14:paraId="01561D97" w14:textId="77777777" w:rsidR="00145965" w:rsidRDefault="00145965" w:rsidP="00145965">
      <w:pPr>
        <w:spacing w:line="276" w:lineRule="auto"/>
        <w:jc w:val="both"/>
        <w:rPr>
          <w:rFonts w:ascii="Times New Roman" w:eastAsia="Times New Roman" w:hAnsi="Times New Roman" w:cs="Times New Roman"/>
        </w:rPr>
      </w:pPr>
    </w:p>
    <w:p w14:paraId="5FB9D011" w14:textId="77777777" w:rsidR="00145965" w:rsidRDefault="00145965" w:rsidP="00145965">
      <w:pPr>
        <w:spacing w:line="276" w:lineRule="auto"/>
        <w:jc w:val="both"/>
        <w:rPr>
          <w:rFonts w:ascii="Times New Roman" w:eastAsia="Times New Roman" w:hAnsi="Times New Roman" w:cs="Times New Roman"/>
        </w:rPr>
      </w:pPr>
    </w:p>
    <w:p w14:paraId="76700E71" w14:textId="77777777" w:rsidR="00145965" w:rsidRDefault="00145965" w:rsidP="00145965">
      <w:pPr>
        <w:spacing w:line="276" w:lineRule="auto"/>
        <w:jc w:val="both"/>
        <w:rPr>
          <w:rFonts w:ascii="Times New Roman" w:eastAsia="Times New Roman" w:hAnsi="Times New Roman" w:cs="Times New Roman"/>
        </w:rPr>
      </w:pPr>
    </w:p>
    <w:p w14:paraId="43E6EA6E" w14:textId="77777777" w:rsidR="00145965" w:rsidRDefault="00145965" w:rsidP="00145965">
      <w:pPr>
        <w:spacing w:line="276" w:lineRule="auto"/>
        <w:jc w:val="both"/>
        <w:rPr>
          <w:rFonts w:ascii="Times New Roman" w:eastAsia="Times New Roman" w:hAnsi="Times New Roman" w:cs="Times New Roman"/>
        </w:rPr>
      </w:pPr>
    </w:p>
    <w:p w14:paraId="0CBC4EAA" w14:textId="77777777" w:rsidR="00145965" w:rsidRPr="00E9484D" w:rsidRDefault="00145965" w:rsidP="00145965">
      <w:pPr>
        <w:spacing w:line="276" w:lineRule="auto"/>
        <w:jc w:val="both"/>
        <w:rPr>
          <w:rFonts w:ascii="Times New Roman" w:eastAsia="Times New Roman" w:hAnsi="Times New Roman" w:cs="Times New Roman"/>
        </w:rPr>
      </w:pPr>
    </w:p>
    <w:p w14:paraId="2F2274EC" w14:textId="77777777" w:rsidR="00145965" w:rsidRPr="00E9484D" w:rsidRDefault="00145965" w:rsidP="00145965">
      <w:pPr>
        <w:spacing w:line="276" w:lineRule="auto"/>
        <w:jc w:val="both"/>
        <w:rPr>
          <w:rFonts w:ascii="Times New Roman" w:hAnsi="Times New Roman" w:cs="Times New Roman"/>
        </w:rPr>
      </w:pPr>
      <w:r w:rsidRPr="00E9484D">
        <w:rPr>
          <w:rFonts w:ascii="Times New Roman" w:hAnsi="Times New Roman" w:cs="Times New Roman"/>
        </w:rPr>
        <w:t xml:space="preserve">This chapter should be cited as: </w:t>
      </w:r>
    </w:p>
    <w:p w14:paraId="09D5D8AE" w14:textId="76064D1D" w:rsidR="00F83B61" w:rsidRPr="009B0448" w:rsidRDefault="00145965" w:rsidP="00145965">
      <w:pPr>
        <w:spacing w:line="276" w:lineRule="auto"/>
        <w:jc w:val="both"/>
        <w:rPr>
          <w:rFonts w:ascii="Times New Roman" w:hAnsi="Times New Roman" w:cs="Times New Roman"/>
          <w:sz w:val="20"/>
          <w:szCs w:val="20"/>
        </w:rPr>
      </w:pPr>
      <w:r w:rsidRPr="009B0448">
        <w:rPr>
          <w:rFonts w:ascii="Times New Roman" w:hAnsi="Times New Roman" w:cs="Times New Roman"/>
        </w:rPr>
        <w:t>Stringer</w:t>
      </w:r>
      <w:r w:rsidRPr="00E9484D">
        <w:rPr>
          <w:rFonts w:ascii="Times New Roman" w:hAnsi="Times New Roman" w:cs="Times New Roman"/>
        </w:rPr>
        <w:t xml:space="preserve">, </w:t>
      </w:r>
      <w:r>
        <w:rPr>
          <w:rFonts w:ascii="Times New Roman" w:hAnsi="Times New Roman" w:cs="Times New Roman"/>
        </w:rPr>
        <w:t>L</w:t>
      </w:r>
      <w:r w:rsidRPr="00E9484D">
        <w:rPr>
          <w:rFonts w:ascii="Times New Roman" w:hAnsi="Times New Roman" w:cs="Times New Roman"/>
        </w:rPr>
        <w:t>.</w:t>
      </w:r>
      <w:r>
        <w:rPr>
          <w:rFonts w:ascii="Times New Roman" w:hAnsi="Times New Roman" w:cs="Times New Roman"/>
        </w:rPr>
        <w:t xml:space="preserve"> C.</w:t>
      </w:r>
      <w:r w:rsidRPr="00E9484D">
        <w:rPr>
          <w:rFonts w:ascii="Times New Roman" w:hAnsi="Times New Roman" w:cs="Times New Roman"/>
        </w:rPr>
        <w:t xml:space="preserve">, </w:t>
      </w:r>
      <w:r w:rsidRPr="009B0448">
        <w:rPr>
          <w:rFonts w:ascii="Times New Roman" w:hAnsi="Times New Roman" w:cs="Times New Roman"/>
        </w:rPr>
        <w:t>Osman</w:t>
      </w:r>
      <w:r w:rsidRPr="0020100B">
        <w:rPr>
          <w:rFonts w:ascii="Cambria Math" w:hAnsi="Cambria Math" w:cs="Cambria Math"/>
        </w:rPr>
        <w:t>‐</w:t>
      </w:r>
      <w:r w:rsidRPr="009B0448">
        <w:rPr>
          <w:rFonts w:ascii="Times New Roman" w:hAnsi="Times New Roman" w:cs="Times New Roman"/>
        </w:rPr>
        <w:t>Elasha</w:t>
      </w:r>
      <w:r w:rsidRPr="00E9484D">
        <w:rPr>
          <w:rFonts w:ascii="Times New Roman" w:hAnsi="Times New Roman" w:cs="Times New Roman"/>
        </w:rPr>
        <w:t xml:space="preserve">, </w:t>
      </w:r>
      <w:r>
        <w:rPr>
          <w:rFonts w:ascii="Times New Roman" w:hAnsi="Times New Roman" w:cs="Times New Roman"/>
        </w:rPr>
        <w:t>B</w:t>
      </w:r>
      <w:r w:rsidRPr="00E9484D">
        <w:rPr>
          <w:rFonts w:ascii="Times New Roman" w:hAnsi="Times New Roman" w:cs="Times New Roman"/>
        </w:rPr>
        <w:t xml:space="preserve">., </w:t>
      </w:r>
      <w:r w:rsidRPr="009B0448">
        <w:rPr>
          <w:rFonts w:ascii="Times New Roman" w:hAnsi="Times New Roman" w:cs="Times New Roman"/>
        </w:rPr>
        <w:t>DeClerck</w:t>
      </w:r>
      <w:r w:rsidRPr="00E9484D">
        <w:rPr>
          <w:rFonts w:ascii="Times New Roman" w:hAnsi="Times New Roman" w:cs="Times New Roman"/>
        </w:rPr>
        <w:t xml:space="preserve">, </w:t>
      </w:r>
      <w:r>
        <w:rPr>
          <w:rFonts w:ascii="Times New Roman" w:hAnsi="Times New Roman" w:cs="Times New Roman"/>
        </w:rPr>
        <w:t>F</w:t>
      </w:r>
      <w:r w:rsidRPr="00E9484D">
        <w:rPr>
          <w:rFonts w:ascii="Times New Roman" w:hAnsi="Times New Roman" w:cs="Times New Roman"/>
        </w:rPr>
        <w:t xml:space="preserve">., </w:t>
      </w:r>
      <w:r w:rsidRPr="009B0448">
        <w:rPr>
          <w:rFonts w:ascii="Times New Roman" w:hAnsi="Times New Roman" w:cs="Times New Roman"/>
        </w:rPr>
        <w:t>Ayuke</w:t>
      </w:r>
      <w:r w:rsidRPr="00E9484D">
        <w:rPr>
          <w:rFonts w:ascii="Times New Roman" w:hAnsi="Times New Roman" w:cs="Times New Roman"/>
        </w:rPr>
        <w:t xml:space="preserve">, </w:t>
      </w:r>
      <w:r>
        <w:rPr>
          <w:rFonts w:ascii="Times New Roman" w:hAnsi="Times New Roman" w:cs="Times New Roman"/>
        </w:rPr>
        <w:t>F. O</w:t>
      </w:r>
      <w:r w:rsidRPr="00E9484D">
        <w:rPr>
          <w:rFonts w:ascii="Times New Roman" w:hAnsi="Times New Roman" w:cs="Times New Roman"/>
        </w:rPr>
        <w:t xml:space="preserve">., </w:t>
      </w:r>
      <w:r w:rsidRPr="009B0448">
        <w:rPr>
          <w:rFonts w:ascii="Times New Roman" w:hAnsi="Times New Roman" w:cs="Times New Roman"/>
        </w:rPr>
        <w:t>Gebremikael</w:t>
      </w:r>
      <w:r w:rsidRPr="00E9484D">
        <w:rPr>
          <w:rFonts w:ascii="Times New Roman" w:hAnsi="Times New Roman" w:cs="Times New Roman"/>
        </w:rPr>
        <w:t xml:space="preserve">, </w:t>
      </w:r>
      <w:r>
        <w:rPr>
          <w:rFonts w:ascii="Times New Roman" w:hAnsi="Times New Roman" w:cs="Times New Roman"/>
        </w:rPr>
        <w:t>M. B</w:t>
      </w:r>
      <w:r w:rsidRPr="00E9484D">
        <w:rPr>
          <w:rFonts w:ascii="Times New Roman" w:hAnsi="Times New Roman" w:cs="Times New Roman"/>
        </w:rPr>
        <w:t xml:space="preserve">., </w:t>
      </w:r>
      <w:r w:rsidRPr="009B0448">
        <w:rPr>
          <w:rFonts w:ascii="Times New Roman" w:hAnsi="Times New Roman" w:cs="Times New Roman"/>
        </w:rPr>
        <w:t>Barau</w:t>
      </w:r>
      <w:r w:rsidRPr="00E9484D">
        <w:rPr>
          <w:rFonts w:ascii="Times New Roman" w:hAnsi="Times New Roman" w:cs="Times New Roman"/>
        </w:rPr>
        <w:t xml:space="preserve">, </w:t>
      </w:r>
      <w:r>
        <w:rPr>
          <w:rFonts w:ascii="Times New Roman" w:hAnsi="Times New Roman" w:cs="Times New Roman"/>
        </w:rPr>
        <w:t>A. S</w:t>
      </w:r>
      <w:r w:rsidRPr="00E9484D">
        <w:rPr>
          <w:rFonts w:ascii="Times New Roman" w:hAnsi="Times New Roman" w:cs="Times New Roman"/>
        </w:rPr>
        <w:t xml:space="preserve">., </w:t>
      </w:r>
      <w:r w:rsidRPr="009B0448">
        <w:rPr>
          <w:rFonts w:ascii="Times New Roman" w:hAnsi="Times New Roman" w:cs="Times New Roman"/>
        </w:rPr>
        <w:t>Denboba</w:t>
      </w:r>
      <w:r w:rsidRPr="00E9484D">
        <w:rPr>
          <w:rFonts w:ascii="Times New Roman" w:hAnsi="Times New Roman" w:cs="Times New Roman"/>
        </w:rPr>
        <w:t xml:space="preserve">, </w:t>
      </w:r>
      <w:r>
        <w:rPr>
          <w:rFonts w:ascii="Times New Roman" w:hAnsi="Times New Roman" w:cs="Times New Roman"/>
        </w:rPr>
        <w:t>M. A</w:t>
      </w:r>
      <w:r w:rsidRPr="00E9484D">
        <w:rPr>
          <w:rFonts w:ascii="Times New Roman" w:hAnsi="Times New Roman" w:cs="Times New Roman"/>
        </w:rPr>
        <w:t xml:space="preserve">., </w:t>
      </w:r>
      <w:r w:rsidRPr="009B0448">
        <w:rPr>
          <w:rFonts w:ascii="Times New Roman" w:hAnsi="Times New Roman" w:cs="Times New Roman"/>
        </w:rPr>
        <w:t>Diallo</w:t>
      </w:r>
      <w:r w:rsidRPr="00E9484D">
        <w:rPr>
          <w:rFonts w:ascii="Times New Roman" w:hAnsi="Times New Roman" w:cs="Times New Roman"/>
        </w:rPr>
        <w:t xml:space="preserve">, </w:t>
      </w:r>
      <w:r>
        <w:rPr>
          <w:rFonts w:ascii="Times New Roman" w:hAnsi="Times New Roman" w:cs="Times New Roman"/>
        </w:rPr>
        <w:t>M.</w:t>
      </w:r>
      <w:r w:rsidRPr="00E9484D">
        <w:rPr>
          <w:rFonts w:ascii="Times New Roman" w:hAnsi="Times New Roman" w:cs="Times New Roman"/>
        </w:rPr>
        <w:t xml:space="preserve">, </w:t>
      </w:r>
      <w:r w:rsidRPr="009B0448">
        <w:rPr>
          <w:rFonts w:ascii="Times New Roman" w:hAnsi="Times New Roman" w:cs="Times New Roman"/>
        </w:rPr>
        <w:t>Molua</w:t>
      </w:r>
      <w:r w:rsidRPr="00E9484D">
        <w:rPr>
          <w:rFonts w:ascii="Times New Roman" w:hAnsi="Times New Roman" w:cs="Times New Roman"/>
        </w:rPr>
        <w:t xml:space="preserve">, </w:t>
      </w:r>
      <w:r>
        <w:rPr>
          <w:rFonts w:ascii="Times New Roman" w:hAnsi="Times New Roman" w:cs="Times New Roman"/>
        </w:rPr>
        <w:t>E. L.,</w:t>
      </w:r>
      <w:r w:rsidRPr="00145965">
        <w:rPr>
          <w:rFonts w:ascii="Times New Roman" w:hAnsi="Times New Roman" w:cs="Times New Roman"/>
        </w:rPr>
        <w:t xml:space="preserve"> </w:t>
      </w:r>
      <w:r>
        <w:rPr>
          <w:rFonts w:ascii="Times New Roman" w:hAnsi="Times New Roman" w:cs="Times New Roman"/>
        </w:rPr>
        <w:t>Ngenda, G</w:t>
      </w:r>
      <w:r w:rsidRPr="00E9484D">
        <w:rPr>
          <w:rFonts w:ascii="Times New Roman" w:hAnsi="Times New Roman" w:cs="Times New Roman"/>
        </w:rPr>
        <w:t>.</w:t>
      </w:r>
      <w:r>
        <w:rPr>
          <w:rFonts w:ascii="Times New Roman" w:hAnsi="Times New Roman" w:cs="Times New Roman"/>
        </w:rPr>
        <w:t>,</w:t>
      </w:r>
      <w:r w:rsidRPr="00E9484D">
        <w:rPr>
          <w:rFonts w:ascii="Times New Roman" w:hAnsi="Times New Roman" w:cs="Times New Roman"/>
        </w:rPr>
        <w:t xml:space="preserve"> </w:t>
      </w:r>
      <w:r w:rsidRPr="009B0448">
        <w:rPr>
          <w:rFonts w:ascii="Times New Roman" w:hAnsi="Times New Roman" w:cs="Times New Roman"/>
        </w:rPr>
        <w:t>Pereira</w:t>
      </w:r>
      <w:r>
        <w:rPr>
          <w:rFonts w:ascii="Times New Roman" w:hAnsi="Times New Roman" w:cs="Times New Roman"/>
        </w:rPr>
        <w:t xml:space="preserve">, L., </w:t>
      </w:r>
      <w:r w:rsidRPr="009B0448">
        <w:rPr>
          <w:rFonts w:ascii="Times New Roman" w:hAnsi="Times New Roman" w:cs="Times New Roman"/>
        </w:rPr>
        <w:t>Rahlao</w:t>
      </w:r>
      <w:r>
        <w:rPr>
          <w:rFonts w:ascii="Times New Roman" w:hAnsi="Times New Roman" w:cs="Times New Roman"/>
        </w:rPr>
        <w:t xml:space="preserve">, S. J., </w:t>
      </w:r>
      <w:r w:rsidRPr="009B0448">
        <w:rPr>
          <w:rFonts w:ascii="Times New Roman" w:hAnsi="Times New Roman" w:cs="Times New Roman"/>
        </w:rPr>
        <w:t>Kalemba</w:t>
      </w:r>
      <w:r w:rsidRPr="00E9484D">
        <w:rPr>
          <w:rFonts w:ascii="Times New Roman" w:hAnsi="Times New Roman" w:cs="Times New Roman"/>
        </w:rPr>
        <w:t xml:space="preserve">, </w:t>
      </w:r>
      <w:r>
        <w:rPr>
          <w:rFonts w:ascii="Times New Roman" w:hAnsi="Times New Roman" w:cs="Times New Roman"/>
        </w:rPr>
        <w:t>M. M.</w:t>
      </w:r>
      <w:r w:rsidRPr="00E9484D">
        <w:rPr>
          <w:rFonts w:ascii="Times New Roman" w:hAnsi="Times New Roman" w:cs="Times New Roman"/>
        </w:rPr>
        <w:t xml:space="preserve">, </w:t>
      </w:r>
      <w:r w:rsidRPr="009B0448">
        <w:rPr>
          <w:rFonts w:ascii="Times New Roman" w:hAnsi="Times New Roman" w:cs="Times New Roman"/>
        </w:rPr>
        <w:t>Ojino</w:t>
      </w:r>
      <w:r>
        <w:rPr>
          <w:rFonts w:ascii="Times New Roman" w:hAnsi="Times New Roman" w:cs="Times New Roman"/>
        </w:rPr>
        <w:t xml:space="preserve">, J. A., </w:t>
      </w:r>
      <w:r w:rsidRPr="0020100B">
        <w:rPr>
          <w:rFonts w:ascii="Times New Roman" w:hAnsi="Times New Roman" w:cs="Times New Roman"/>
        </w:rPr>
        <w:t xml:space="preserve">Belhabib, D., Sitas, N, </w:t>
      </w:r>
      <w:r w:rsidRPr="009B0448">
        <w:rPr>
          <w:rFonts w:ascii="Times New Roman" w:hAnsi="Times New Roman" w:cs="Times New Roman"/>
        </w:rPr>
        <w:t>Strauβ</w:t>
      </w:r>
      <w:r>
        <w:rPr>
          <w:rFonts w:ascii="Times New Roman" w:hAnsi="Times New Roman" w:cs="Times New Roman"/>
        </w:rPr>
        <w:t xml:space="preserve">, L., </w:t>
      </w:r>
      <w:r w:rsidRPr="0020100B">
        <w:rPr>
          <w:rFonts w:ascii="Times New Roman" w:hAnsi="Times New Roman" w:cs="Times New Roman"/>
        </w:rPr>
        <w:t xml:space="preserve">and </w:t>
      </w:r>
      <w:r w:rsidRPr="009B0448">
        <w:rPr>
          <w:rFonts w:ascii="Times New Roman" w:hAnsi="Times New Roman" w:cs="Times New Roman"/>
        </w:rPr>
        <w:t>Ward</w:t>
      </w:r>
      <w:r>
        <w:rPr>
          <w:rFonts w:ascii="Times New Roman" w:hAnsi="Times New Roman" w:cs="Times New Roman"/>
        </w:rPr>
        <w:t>, C.</w:t>
      </w:r>
      <w:r w:rsidRPr="009B0448">
        <w:rPr>
          <w:rFonts w:ascii="Times New Roman" w:hAnsi="Times New Roman" w:cs="Times New Roman"/>
        </w:rPr>
        <w:t xml:space="preserve"> </w:t>
      </w:r>
      <w:r w:rsidRPr="00E9484D">
        <w:rPr>
          <w:rFonts w:ascii="Times New Roman" w:hAnsi="Times New Roman" w:cs="Times New Roman"/>
        </w:rPr>
        <w:t xml:space="preserve">Chapter </w:t>
      </w:r>
      <w:r>
        <w:rPr>
          <w:rFonts w:ascii="Times New Roman" w:hAnsi="Times New Roman" w:cs="Times New Roman"/>
        </w:rPr>
        <w:t>6</w:t>
      </w:r>
      <w:r w:rsidRPr="00E9484D">
        <w:rPr>
          <w:rFonts w:ascii="Times New Roman" w:hAnsi="Times New Roman" w:cs="Times New Roman"/>
        </w:rPr>
        <w:t xml:space="preserve">: </w:t>
      </w:r>
      <w:r w:rsidRPr="00145965">
        <w:rPr>
          <w:rFonts w:ascii="Times New Roman" w:hAnsi="Times New Roman" w:cs="Times New Roman"/>
        </w:rPr>
        <w:t>Options for governance and decision-making across scales and sectors</w:t>
      </w:r>
      <w:r w:rsidRPr="00147708">
        <w:rPr>
          <w:rFonts w:ascii="Times New Roman" w:hAnsi="Times New Roman" w:cs="Times New Roman"/>
        </w:rPr>
        <w:t>. In IPBES (2018): The IPBES regional assessment report on biodiversity and ecosystem services for Africa.</w:t>
      </w:r>
      <w:r w:rsidRPr="00E9484D">
        <w:rPr>
          <w:rFonts w:ascii="Times New Roman" w:hAnsi="Times New Roman" w:cs="Times New Roman"/>
        </w:rPr>
        <w:t xml:space="preserve"> </w:t>
      </w:r>
      <w:r>
        <w:rPr>
          <w:rFonts w:ascii="Times New Roman" w:hAnsi="Times New Roman" w:cs="Times New Roman"/>
        </w:rPr>
        <w:t>Archer</w:t>
      </w:r>
      <w:r w:rsidRPr="00E9484D">
        <w:rPr>
          <w:rFonts w:ascii="Times New Roman" w:hAnsi="Times New Roman" w:cs="Times New Roman"/>
        </w:rPr>
        <w:t xml:space="preserve">, </w:t>
      </w:r>
      <w:r>
        <w:rPr>
          <w:rFonts w:ascii="Times New Roman" w:hAnsi="Times New Roman" w:cs="Times New Roman"/>
        </w:rPr>
        <w:t xml:space="preserve">E. Dziba, L., </w:t>
      </w:r>
      <w:r w:rsidRPr="0020100B">
        <w:rPr>
          <w:rFonts w:ascii="Times New Roman" w:hAnsi="Times New Roman" w:cs="Times New Roman"/>
        </w:rPr>
        <w:t>Mulongoy</w:t>
      </w:r>
      <w:r w:rsidRPr="00E9484D">
        <w:rPr>
          <w:rFonts w:ascii="Times New Roman" w:hAnsi="Times New Roman" w:cs="Times New Roman"/>
        </w:rPr>
        <w:t xml:space="preserve">, </w:t>
      </w:r>
      <w:r>
        <w:rPr>
          <w:rFonts w:ascii="Times New Roman" w:hAnsi="Times New Roman" w:cs="Times New Roman"/>
        </w:rPr>
        <w:t xml:space="preserve">K. J., </w:t>
      </w:r>
      <w:r w:rsidRPr="003E3A9C">
        <w:rPr>
          <w:rFonts w:ascii="Times New Roman" w:hAnsi="Times New Roman" w:cs="Times New Roman"/>
        </w:rPr>
        <w:t>Maoela</w:t>
      </w:r>
      <w:r w:rsidRPr="00E9484D">
        <w:rPr>
          <w:rFonts w:ascii="Times New Roman" w:hAnsi="Times New Roman" w:cs="Times New Roman"/>
        </w:rPr>
        <w:t xml:space="preserve">, </w:t>
      </w:r>
      <w:r>
        <w:rPr>
          <w:rFonts w:ascii="Times New Roman" w:hAnsi="Times New Roman" w:cs="Times New Roman"/>
        </w:rPr>
        <w:t xml:space="preserve">M. </w:t>
      </w:r>
      <w:r w:rsidRPr="003E3A9C">
        <w:rPr>
          <w:rFonts w:ascii="Times New Roman" w:hAnsi="Times New Roman" w:cs="Times New Roman"/>
        </w:rPr>
        <w:t>A</w:t>
      </w:r>
      <w:r>
        <w:rPr>
          <w:rFonts w:ascii="Times New Roman" w:hAnsi="Times New Roman" w:cs="Times New Roman"/>
        </w:rPr>
        <w:t>.,</w:t>
      </w:r>
      <w:r w:rsidRPr="00E9484D">
        <w:rPr>
          <w:rFonts w:ascii="Times New Roman" w:hAnsi="Times New Roman" w:cs="Times New Roman"/>
        </w:rPr>
        <w:t xml:space="preserve"> and </w:t>
      </w:r>
      <w:r>
        <w:rPr>
          <w:rFonts w:ascii="Times New Roman" w:hAnsi="Times New Roman" w:cs="Times New Roman"/>
        </w:rPr>
        <w:t>Walters, M. (E</w:t>
      </w:r>
      <w:r w:rsidRPr="00E9484D">
        <w:rPr>
          <w:rFonts w:ascii="Times New Roman" w:hAnsi="Times New Roman" w:cs="Times New Roman"/>
        </w:rPr>
        <w:t xml:space="preserve">ds.). Secretariat of the Intergovernmental Science-Policy Platform on Biodiversity and Ecosystem </w:t>
      </w:r>
      <w:r>
        <w:rPr>
          <w:rFonts w:ascii="Times New Roman" w:hAnsi="Times New Roman" w:cs="Times New Roman"/>
        </w:rPr>
        <w:t>services, Bonn, Germany, pp. xx–</w:t>
      </w:r>
      <w:r w:rsidRPr="00E9484D">
        <w:rPr>
          <w:rFonts w:ascii="Times New Roman" w:hAnsi="Times New Roman" w:cs="Times New Roman"/>
        </w:rPr>
        <w:t>xx.</w:t>
      </w:r>
      <w:r w:rsidR="00F83B61" w:rsidRPr="009B0448">
        <w:rPr>
          <w:rFonts w:ascii="Times New Roman" w:hAnsi="Times New Roman" w:cs="Times New Roman"/>
          <w:sz w:val="20"/>
          <w:szCs w:val="20"/>
        </w:rPr>
        <w:br w:type="page"/>
      </w:r>
    </w:p>
    <w:p w14:paraId="3F22B40B" w14:textId="0BF2A29F" w:rsidR="00F83B61" w:rsidRPr="009B0448" w:rsidRDefault="00F83B61" w:rsidP="004C2EEE">
      <w:pPr>
        <w:pStyle w:val="Heading3"/>
        <w:widowControl w:val="0"/>
        <w:tabs>
          <w:tab w:val="left" w:pos="2469"/>
        </w:tabs>
        <w:spacing w:before="240" w:after="240"/>
        <w:ind w:left="-11" w:firstLine="0"/>
        <w:rPr>
          <w:rFonts w:eastAsia="Calibri" w:cs="Times New Roman"/>
          <w:szCs w:val="24"/>
        </w:rPr>
      </w:pPr>
      <w:bookmarkStart w:id="476" w:name="_30j0zll" w:colFirst="0" w:colLast="0"/>
      <w:bookmarkStart w:id="477" w:name="_Toc502937677"/>
      <w:bookmarkStart w:id="478" w:name="_Toc519500043"/>
      <w:bookmarkEnd w:id="476"/>
      <w:r w:rsidRPr="009B0448">
        <w:rPr>
          <w:rFonts w:eastAsia="Calibri" w:cs="Times New Roman"/>
          <w:szCs w:val="24"/>
        </w:rPr>
        <w:t>Executive summary</w:t>
      </w:r>
      <w:bookmarkEnd w:id="477"/>
      <w:bookmarkEnd w:id="478"/>
    </w:p>
    <w:p w14:paraId="14F548D4" w14:textId="3DF7086B"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b/>
        </w:rPr>
        <w:t xml:space="preserve">African populations share a close relationship with, and are highly dependent on, biodiversity and ecosystem services. A major challenge lies in managing and governing this human-environment relationship for Africa’s transformation towards sustainability and resilience </w:t>
      </w:r>
      <w:r w:rsidRPr="009B0448">
        <w:rPr>
          <w:rFonts w:ascii="Times New Roman" w:hAnsi="Times New Roman" w:cs="Times New Roman"/>
          <w:b/>
          <w:i/>
        </w:rPr>
        <w:t>(high agreement, robust evidence).</w:t>
      </w:r>
      <w:r w:rsidR="007373CC" w:rsidRPr="009B0448">
        <w:rPr>
          <w:rFonts w:ascii="Times New Roman" w:hAnsi="Times New Roman" w:cs="Times New Roman"/>
        </w:rPr>
        <w:t xml:space="preserve"> </w:t>
      </w:r>
      <w:r w:rsidRPr="009B0448">
        <w:rPr>
          <w:rFonts w:ascii="Times New Roman" w:hAnsi="Times New Roman" w:cs="Times New Roman"/>
        </w:rPr>
        <w:t>A wide variety of governance options exist in Africa for the conservation of biodiversity and sustainable delivery of ecosystem services and benefits to people under a range of future scenarios</w:t>
      </w:r>
      <w:r w:rsidRPr="009B0448">
        <w:rPr>
          <w:rStyle w:val="CommentReference"/>
          <w:rFonts w:ascii="Times New Roman" w:hAnsi="Times New Roman" w:cs="Times New Roman"/>
          <w:sz w:val="22"/>
          <w:szCs w:val="22"/>
        </w:rPr>
        <w:t>.</w:t>
      </w:r>
      <w:r w:rsidRPr="009B0448">
        <w:rPr>
          <w:rFonts w:ascii="Times New Roman" w:hAnsi="Times New Roman" w:cs="Times New Roman"/>
        </w:rPr>
        <w:t xml:space="preserve"> Progress in achieving the Strategic Plan for Biodiversity 2011–2020 and Aichi Biodiversity Targets, the 2030 Sustainable Development Goals and African Union Agenda 2063, will be shaped by the governance choices made on the continent (Chapter 5, Table 5.7). Good environmental governance is critical for enabling Africa’s diversity to deliver ecosystem services to people. A polycentric governance system has always been practiced in Africa and has addressed different interests in managing natural resources. It is grounded in the processes of accountability through stakeholder and actor engagement, harnesses co-benefits and value added, and addresses trade-offs. As such, it entails working across scales, sectors, values and knowledge systems including indigenous and local knowledge and institutions and adaptive management. It also involves building a sense of social responsibility and vigorously pursuing ‘no regrets’ options, particularly in relation to drivers of changes (identified in Chapter 4) {6.1, 6.2.1, 6.4.5}. </w:t>
      </w:r>
    </w:p>
    <w:p w14:paraId="797ED9D7" w14:textId="77777777" w:rsidR="009F0016" w:rsidRPr="009B0448" w:rsidRDefault="009F0016" w:rsidP="009F0016">
      <w:pPr>
        <w:spacing w:line="276" w:lineRule="auto"/>
        <w:jc w:val="both"/>
        <w:rPr>
          <w:rFonts w:ascii="Times New Roman" w:hAnsi="Times New Roman" w:cs="Times New Roman"/>
          <w:b/>
        </w:rPr>
      </w:pPr>
    </w:p>
    <w:p w14:paraId="50B43D26" w14:textId="12753819"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b/>
        </w:rPr>
        <w:t>African countries are party to a number of global environmental agreements and have made high-level commitments to achieve their targets.</w:t>
      </w:r>
      <w:r w:rsidR="00F45C80" w:rsidRPr="009B0448">
        <w:rPr>
          <w:rFonts w:ascii="Times New Roman" w:hAnsi="Times New Roman" w:cs="Times New Roman"/>
        </w:rPr>
        <w:t xml:space="preserve"> </w:t>
      </w:r>
      <w:r w:rsidRPr="009B0448">
        <w:rPr>
          <w:rFonts w:ascii="Times New Roman" w:hAnsi="Times New Roman" w:cs="Times New Roman"/>
        </w:rPr>
        <w:t xml:space="preserve">The commitments made aim to improve the conservation and sustainable use of biological resources. The implementation of the agreements by African parties needs to be supported by financial, human and infrastructure capacity and accompanied by efforts to mainstream biodiversity, ecosystem services and nature's contributions to people into regional, </w:t>
      </w:r>
      <w:r w:rsidR="00B22D81">
        <w:rPr>
          <w:rFonts w:ascii="Times New Roman" w:hAnsi="Times New Roman" w:cs="Times New Roman"/>
        </w:rPr>
        <w:t>subregion</w:t>
      </w:r>
      <w:r w:rsidRPr="009B0448">
        <w:rPr>
          <w:rFonts w:ascii="Times New Roman" w:hAnsi="Times New Roman" w:cs="Times New Roman"/>
        </w:rPr>
        <w:t>al, national and sectoral development frameworks {6.2.1, 6.3}.</w:t>
      </w:r>
    </w:p>
    <w:p w14:paraId="4D4EC951" w14:textId="77777777" w:rsidR="009F0016" w:rsidRPr="009B0448" w:rsidRDefault="009F0016" w:rsidP="009F0016">
      <w:pPr>
        <w:spacing w:line="276" w:lineRule="auto"/>
        <w:jc w:val="both"/>
        <w:rPr>
          <w:rFonts w:ascii="Times New Roman" w:hAnsi="Times New Roman" w:cs="Times New Roman"/>
        </w:rPr>
      </w:pPr>
    </w:p>
    <w:p w14:paraId="47A844D3" w14:textId="529A0EBE"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b/>
        </w:rPr>
        <w:t xml:space="preserve">Domestication and effective implementation of commitments on environmental global agreements is important for African countries to attain sustainable development </w:t>
      </w:r>
      <w:r w:rsidRPr="009B0448">
        <w:rPr>
          <w:rFonts w:ascii="Times New Roman" w:hAnsi="Times New Roman" w:cs="Times New Roman"/>
          <w:b/>
          <w:i/>
        </w:rPr>
        <w:t>(high agreement, robust evidence).</w:t>
      </w:r>
      <w:r w:rsidR="00F45C80" w:rsidRPr="009B0448">
        <w:rPr>
          <w:rFonts w:ascii="Times New Roman" w:hAnsi="Times New Roman" w:cs="Times New Roman"/>
        </w:rPr>
        <w:t xml:space="preserve"> </w:t>
      </w:r>
      <w:r w:rsidRPr="009B0448">
        <w:rPr>
          <w:rFonts w:ascii="Times New Roman" w:hAnsi="Times New Roman" w:cs="Times New Roman"/>
        </w:rPr>
        <w:t xml:space="preserve">Regional integration policies are extremely important considering the shared resources and the transboundary nature of Africa’s freshwater and terrestrial ecosystems including transhumant systems. National policies must balance these higher-level needs with policies that support ecosystem service delivery to constituents. Polycentric governance and </w:t>
      </w:r>
      <w:r w:rsidR="00574E50" w:rsidRPr="009B0448">
        <w:rPr>
          <w:rFonts w:ascii="Times New Roman" w:hAnsi="Times New Roman" w:cs="Times New Roman"/>
        </w:rPr>
        <w:t>decision-mak</w:t>
      </w:r>
      <w:r w:rsidRPr="009B0448">
        <w:rPr>
          <w:rFonts w:ascii="Times New Roman" w:hAnsi="Times New Roman" w:cs="Times New Roman"/>
        </w:rPr>
        <w:t xml:space="preserve">ing at and across multiple policy sectors and levels will be necessary in order to tackle related challenges, and can highlight opportunities for adopting innovative African approaches towards good environmental governance. </w:t>
      </w:r>
    </w:p>
    <w:p w14:paraId="628E0782" w14:textId="77777777" w:rsidR="009F0016" w:rsidRPr="009B0448" w:rsidRDefault="009F0016" w:rsidP="009F0016">
      <w:pPr>
        <w:spacing w:line="276" w:lineRule="auto"/>
        <w:jc w:val="both"/>
        <w:rPr>
          <w:rFonts w:ascii="Times New Roman" w:hAnsi="Times New Roman" w:cs="Times New Roman"/>
        </w:rPr>
      </w:pPr>
    </w:p>
    <w:p w14:paraId="01452BB6" w14:textId="6EF05AEA"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b/>
        </w:rPr>
        <w:t xml:space="preserve">Indigenous people and their livelihoods are underrepresented and overlooked in international agreements and commitments </w:t>
      </w:r>
      <w:r w:rsidRPr="009B0448">
        <w:rPr>
          <w:rFonts w:ascii="Times New Roman" w:hAnsi="Times New Roman" w:cs="Times New Roman"/>
          <w:b/>
          <w:i/>
        </w:rPr>
        <w:t>(high agreement, medium evidence).</w:t>
      </w:r>
      <w:r w:rsidR="00F45C80" w:rsidRPr="009B0448">
        <w:rPr>
          <w:rFonts w:ascii="Times New Roman" w:hAnsi="Times New Roman" w:cs="Times New Roman"/>
        </w:rPr>
        <w:t xml:space="preserve"> </w:t>
      </w:r>
      <w:r w:rsidRPr="009B0448">
        <w:rPr>
          <w:rFonts w:ascii="Times New Roman" w:hAnsi="Times New Roman" w:cs="Times New Roman"/>
        </w:rPr>
        <w:t xml:space="preserve">In the African context, where people are highly dependent on biodiversity and ecosystem services for their everyday well-being, it is critical to incorporate indigenous and local knowledge in policy decisions around the management of nature’s contributions to people. Only three of the existing agreements reported in this chapter (Table 6.2) are specific to indigenous people's rights and livelihoods and offer opportunities for only limited positive impacts. Policy processes would benefit from </w:t>
      </w:r>
      <w:r w:rsidR="001778ED" w:rsidRPr="009B0448">
        <w:rPr>
          <w:rFonts w:ascii="Times New Roman" w:hAnsi="Times New Roman" w:cs="Times New Roman"/>
        </w:rPr>
        <w:t xml:space="preserve">the </w:t>
      </w:r>
      <w:r w:rsidRPr="009B0448">
        <w:rPr>
          <w:rFonts w:ascii="Times New Roman" w:hAnsi="Times New Roman" w:cs="Times New Roman"/>
        </w:rPr>
        <w:t>explicit inclusion of indigenous people’s organisations such the Indigenous Peoples of Africa Coordinating Committee to ensure the inclusiveness and relevance of existing and new regulatory instruments.</w:t>
      </w:r>
    </w:p>
    <w:p w14:paraId="7DC2F352" w14:textId="77777777" w:rsidR="009F0016" w:rsidRPr="009B0448" w:rsidRDefault="009F0016" w:rsidP="009F0016">
      <w:pPr>
        <w:spacing w:line="276" w:lineRule="auto"/>
        <w:jc w:val="both"/>
        <w:rPr>
          <w:rFonts w:ascii="Times New Roman" w:hAnsi="Times New Roman" w:cs="Times New Roman"/>
        </w:rPr>
      </w:pPr>
    </w:p>
    <w:p w14:paraId="56C49C2B" w14:textId="26488535"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b/>
        </w:rPr>
        <w:t xml:space="preserve">Weak institutions in many African countries undermine governance of biodiversity and ecosystem services. There is need to prioritise environmental governance across scales in order to support </w:t>
      </w:r>
      <w:r w:rsidR="001778ED" w:rsidRPr="009B0448">
        <w:rPr>
          <w:rFonts w:ascii="Times New Roman" w:hAnsi="Times New Roman" w:cs="Times New Roman"/>
          <w:b/>
        </w:rPr>
        <w:t xml:space="preserve">the </w:t>
      </w:r>
      <w:r w:rsidRPr="009B0448">
        <w:rPr>
          <w:rFonts w:ascii="Times New Roman" w:hAnsi="Times New Roman" w:cs="Times New Roman"/>
          <w:b/>
        </w:rPr>
        <w:t xml:space="preserve">equitable use of resources and conservation </w:t>
      </w:r>
      <w:r w:rsidRPr="009B0448">
        <w:rPr>
          <w:rFonts w:ascii="Times New Roman" w:hAnsi="Times New Roman" w:cs="Times New Roman"/>
          <w:b/>
          <w:i/>
        </w:rPr>
        <w:t>(high agreement, medium evidence).</w:t>
      </w:r>
      <w:r w:rsidR="00E1071B" w:rsidRPr="009B0448">
        <w:rPr>
          <w:rFonts w:ascii="Times New Roman" w:hAnsi="Times New Roman" w:cs="Times New Roman"/>
        </w:rPr>
        <w:t xml:space="preserve"> </w:t>
      </w:r>
      <w:r w:rsidRPr="009B0448">
        <w:rPr>
          <w:rFonts w:ascii="Times New Roman" w:hAnsi="Times New Roman" w:cs="Times New Roman"/>
        </w:rPr>
        <w:t xml:space="preserve">Institutional failures are among the main drivers of biodiversity loss and ecosystem degradation. Proposals to correct institutional failures, including market failures such as environmental externalities, and legal and policy failures such as the absence of secure property rights or distorted subsidies, must be both practicable and lead to better protection of biodiversity while balancing the ecological footprint of Africa’s growing population and industrialisation ambitions. Good environmental governance requires integration, coordination, harnessing synergies between formal and indigenous governance, and managing conflicts. It entails coordination in planning and implementation to diminish elements of uncertainty, reduce competition over resources and reinforce coherence and positive impacts, as well as allowing for analysis of cross-sectoral trade-offs in </w:t>
      </w:r>
      <w:r w:rsidR="00574E50" w:rsidRPr="009B0448">
        <w:rPr>
          <w:rFonts w:ascii="Times New Roman" w:hAnsi="Times New Roman" w:cs="Times New Roman"/>
        </w:rPr>
        <w:t>decision-mak</w:t>
      </w:r>
      <w:r w:rsidRPr="009B0448">
        <w:rPr>
          <w:rFonts w:ascii="Times New Roman" w:hAnsi="Times New Roman" w:cs="Times New Roman"/>
        </w:rPr>
        <w:t>ing to achieve ecosystem sustainability.</w:t>
      </w:r>
    </w:p>
    <w:p w14:paraId="3AFD7C9D" w14:textId="77777777" w:rsidR="009F0016" w:rsidRPr="009B0448" w:rsidRDefault="009F0016" w:rsidP="009F0016">
      <w:pPr>
        <w:spacing w:line="276" w:lineRule="auto"/>
        <w:jc w:val="both"/>
        <w:rPr>
          <w:rFonts w:ascii="Times New Roman" w:hAnsi="Times New Roman" w:cs="Times New Roman"/>
        </w:rPr>
      </w:pPr>
    </w:p>
    <w:p w14:paraId="717D1A9C" w14:textId="67D4FEC9"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b/>
        </w:rPr>
        <w:t>Governance options that harness synergies and deliver multiple benefits can help to balance patterns of access and allocation of ecosystem services in Africa. Such governance linkages may also contribute towards poverty reduction and support resilience building more widely</w:t>
      </w:r>
      <w:r w:rsidRPr="009B0448">
        <w:rPr>
          <w:rFonts w:ascii="Times New Roman" w:hAnsi="Times New Roman" w:cs="Times New Roman"/>
          <w:b/>
          <w:i/>
        </w:rPr>
        <w:t xml:space="preserve"> (hi</w:t>
      </w:r>
      <w:r w:rsidR="007373CC" w:rsidRPr="009B0448">
        <w:rPr>
          <w:rFonts w:ascii="Times New Roman" w:hAnsi="Times New Roman" w:cs="Times New Roman"/>
          <w:b/>
          <w:i/>
        </w:rPr>
        <w:t>gh agreement, robust evidence).</w:t>
      </w:r>
      <w:r w:rsidRPr="009B0448">
        <w:rPr>
          <w:rFonts w:ascii="Times New Roman" w:hAnsi="Times New Roman" w:cs="Times New Roman"/>
        </w:rPr>
        <w:t>Harnessing synergies in multilateral agreements, protocols, Sustainable Development Goals and related targets and initiatives can foster</w:t>
      </w:r>
      <w:r w:rsidR="001778ED" w:rsidRPr="009B0448">
        <w:rPr>
          <w:rFonts w:ascii="Times New Roman" w:hAnsi="Times New Roman" w:cs="Times New Roman"/>
        </w:rPr>
        <w:t xml:space="preserve"> the</w:t>
      </w:r>
      <w:r w:rsidRPr="009B0448">
        <w:rPr>
          <w:rFonts w:ascii="Times New Roman" w:hAnsi="Times New Roman" w:cs="Times New Roman"/>
        </w:rPr>
        <w:t xml:space="preserve"> effective implementation of policies and strategies at different levels and scales and help to improve efficiency in the use and allocation of limited resources. Using existing entry points in spatial planning and </w:t>
      </w:r>
      <w:r w:rsidR="00917FB2">
        <w:rPr>
          <w:rFonts w:ascii="Times New Roman" w:hAnsi="Times New Roman" w:cs="Times New Roman"/>
        </w:rPr>
        <w:t>land-use</w:t>
      </w:r>
      <w:r w:rsidRPr="009B0448">
        <w:rPr>
          <w:rFonts w:ascii="Times New Roman" w:hAnsi="Times New Roman" w:cs="Times New Roman"/>
        </w:rPr>
        <w:t xml:space="preserve"> and management to leverage synergies can be particularly effective for policy implementation at regional and national levels. Africa’s radical transformation towards sustainability in line with the 2030 Agenda for Sustainable Development and Agenda 2063 will depend on investments targeting multi-stakeholder, multi-level adaptive governance {6.3}.</w:t>
      </w:r>
    </w:p>
    <w:p w14:paraId="29A25533" w14:textId="77777777" w:rsidR="009F0016" w:rsidRPr="009B0448" w:rsidRDefault="009F0016" w:rsidP="009F0016">
      <w:pPr>
        <w:spacing w:line="276" w:lineRule="auto"/>
        <w:jc w:val="both"/>
        <w:rPr>
          <w:rFonts w:ascii="Times New Roman" w:hAnsi="Times New Roman" w:cs="Times New Roman"/>
          <w:b/>
          <w:i/>
        </w:rPr>
      </w:pPr>
    </w:p>
    <w:p w14:paraId="03A1380E" w14:textId="2F14133D" w:rsidR="00F83B61" w:rsidRPr="009B0448" w:rsidRDefault="00F83B61" w:rsidP="009F0016">
      <w:pPr>
        <w:spacing w:line="276" w:lineRule="auto"/>
        <w:jc w:val="both"/>
        <w:rPr>
          <w:rFonts w:ascii="Times New Roman" w:hAnsi="Times New Roman" w:cs="Times New Roman"/>
          <w:i/>
        </w:rPr>
      </w:pPr>
      <w:r w:rsidRPr="009B0448">
        <w:rPr>
          <w:rFonts w:ascii="Times New Roman" w:hAnsi="Times New Roman" w:cs="Times New Roman"/>
          <w:b/>
        </w:rPr>
        <w:t xml:space="preserve">Different policy instruments and governance options that address specific drivers (identified in Chapter 4), together with scenarios, (identified in Chapter 5) exist. However, challenges and opportunities arise, with choices creating or reinforcing particular patterns of ‘winners’ (who make gains) and ‘losers’ (who bear costs) </w:t>
      </w:r>
      <w:r w:rsidRPr="009B0448">
        <w:rPr>
          <w:rFonts w:ascii="Times New Roman" w:hAnsi="Times New Roman" w:cs="Times New Roman"/>
          <w:b/>
          <w:i/>
        </w:rPr>
        <w:t>(medium agreement, medium evidence).</w:t>
      </w:r>
      <w:r w:rsidR="00E1071B" w:rsidRPr="009B0448">
        <w:rPr>
          <w:rFonts w:ascii="Times New Roman" w:hAnsi="Times New Roman" w:cs="Times New Roman"/>
        </w:rPr>
        <w:t xml:space="preserve"> </w:t>
      </w:r>
      <w:r w:rsidRPr="009B0448">
        <w:rPr>
          <w:rFonts w:ascii="Times New Roman" w:hAnsi="Times New Roman" w:cs="Times New Roman"/>
        </w:rPr>
        <w:t xml:space="preserve">It is necessary to develop a suite of responses and to be aware that there is no single “correct” policy pathway. Rather, it is important to take steps so that policies are synergistic and coherent, and that new policies are able to make up for the weaknesses inherent in existing ones. Challenges to the sustainable provision of biodiversity and ecosystem services such that nature can continue to support Africa's human well-being are significant, requiring specific policy instruments that target conservation of unique and globally important biodiversity, and better articulation of nature’s specific benefits to people, as captured in the Sustainable Development Goals. Challenges of population growth, food security, </w:t>
      </w:r>
      <w:r w:rsidR="00574E50" w:rsidRPr="009B0448">
        <w:rPr>
          <w:rFonts w:ascii="Times New Roman" w:hAnsi="Times New Roman" w:cs="Times New Roman"/>
        </w:rPr>
        <w:t>urbanis</w:t>
      </w:r>
      <w:r w:rsidR="00C76378" w:rsidRPr="009B0448">
        <w:rPr>
          <w:rFonts w:ascii="Times New Roman" w:hAnsi="Times New Roman" w:cs="Times New Roman"/>
        </w:rPr>
        <w:t>ation</w:t>
      </w:r>
      <w:r w:rsidRPr="009B0448">
        <w:rPr>
          <w:rFonts w:ascii="Times New Roman" w:hAnsi="Times New Roman" w:cs="Times New Roman"/>
        </w:rPr>
        <w:t xml:space="preserve">, climate change, land degradation, ineffective/poor governance and path-dependent (unsustainable) historical development decisions, mean that achieving governance that works for both nature and society is not straightforward. Articulating clear </w:t>
      </w:r>
      <w:r w:rsidR="00E24BC5" w:rsidRPr="009B0448">
        <w:rPr>
          <w:rFonts w:ascii="Times New Roman" w:hAnsi="Times New Roman" w:cs="Times New Roman"/>
        </w:rPr>
        <w:t>processes, which</w:t>
      </w:r>
      <w:r w:rsidRPr="009B0448">
        <w:rPr>
          <w:rFonts w:ascii="Times New Roman" w:hAnsi="Times New Roman" w:cs="Times New Roman"/>
        </w:rPr>
        <w:t xml:space="preserve"> allow the environment to contribute to food security through Africa’s agricultural biodiversity, supporting ecosystem services (e.g.</w:t>
      </w:r>
      <w:r w:rsidR="00E24BC5">
        <w:rPr>
          <w:rFonts w:ascii="Times New Roman" w:hAnsi="Times New Roman" w:cs="Times New Roman"/>
        </w:rPr>
        <w:t>,</w:t>
      </w:r>
      <w:r w:rsidRPr="009B0448">
        <w:rPr>
          <w:rFonts w:ascii="Times New Roman" w:hAnsi="Times New Roman" w:cs="Times New Roman"/>
        </w:rPr>
        <w:t xml:space="preserve"> pollination, pest control, soil carbon), land restoration, and increased resilience to climate change, are critical to inform the </w:t>
      </w:r>
      <w:r w:rsidR="00574E50" w:rsidRPr="009B0448">
        <w:rPr>
          <w:rFonts w:ascii="Times New Roman" w:hAnsi="Times New Roman" w:cs="Times New Roman"/>
        </w:rPr>
        <w:t>decision-mak</w:t>
      </w:r>
      <w:r w:rsidRPr="009B0448">
        <w:rPr>
          <w:rFonts w:ascii="Times New Roman" w:hAnsi="Times New Roman" w:cs="Times New Roman"/>
        </w:rPr>
        <w:t xml:space="preserve">ing process. Placing justice and fairness concerns at the centre of the continent’s governance priorities can help to improve both the environment and human well-being, while also achieving key international biodiversity and development targets </w:t>
      </w:r>
      <w:r w:rsidRPr="009B0448">
        <w:rPr>
          <w:rFonts w:ascii="Times New Roman" w:hAnsi="Times New Roman" w:cs="Times New Roman"/>
          <w:i/>
        </w:rPr>
        <w:t>(high agreement, robust evidence)</w:t>
      </w:r>
      <w:r w:rsidRPr="009B0448">
        <w:rPr>
          <w:rFonts w:ascii="Times New Roman" w:hAnsi="Times New Roman" w:cs="Times New Roman"/>
        </w:rPr>
        <w:t xml:space="preserve"> {6.1, 6.2, 6.4.6}</w:t>
      </w:r>
      <w:r w:rsidRPr="009B0448">
        <w:rPr>
          <w:rFonts w:ascii="Times New Roman" w:hAnsi="Times New Roman" w:cs="Times New Roman"/>
          <w:i/>
        </w:rPr>
        <w:t>.</w:t>
      </w:r>
    </w:p>
    <w:p w14:paraId="53AB47EA" w14:textId="77777777" w:rsidR="009F0016" w:rsidRPr="009B0448" w:rsidRDefault="009F0016" w:rsidP="009F0016">
      <w:pPr>
        <w:spacing w:line="276" w:lineRule="auto"/>
        <w:jc w:val="both"/>
        <w:rPr>
          <w:rFonts w:ascii="Times New Roman" w:hAnsi="Times New Roman" w:cs="Times New Roman"/>
        </w:rPr>
      </w:pPr>
    </w:p>
    <w:p w14:paraId="6DF20F92" w14:textId="09926C92"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b/>
        </w:rPr>
        <w:t xml:space="preserve">Delivering environmental justice and fairness in access to Africa’s diverse biodiversity and ecosystem services lies at the core of ‘good environmental governance’ on the continent </w:t>
      </w:r>
      <w:r w:rsidRPr="009B0448">
        <w:rPr>
          <w:rFonts w:ascii="Times New Roman" w:hAnsi="Times New Roman" w:cs="Times New Roman"/>
          <w:b/>
          <w:i/>
        </w:rPr>
        <w:t xml:space="preserve">(high agreement, robust evidence). </w:t>
      </w:r>
      <w:r w:rsidRPr="009B0448">
        <w:rPr>
          <w:rFonts w:ascii="Times New Roman" w:hAnsi="Times New Roman" w:cs="Times New Roman"/>
        </w:rPr>
        <w:t>Creating an enabling environment for the prioritisation and selection of appropriate policy and governance options depends on addressing political, legal, institutional and economic limitations as well as improving capacities and resources. Strategic adaptive management systems, that incorporate different knowledge</w:t>
      </w:r>
      <w:r w:rsidR="006C3685" w:rsidRPr="009B0448">
        <w:rPr>
          <w:rFonts w:ascii="Times New Roman" w:hAnsi="Times New Roman" w:cs="Times New Roman"/>
        </w:rPr>
        <w:t xml:space="preserve"> systems, are critical to ensuring</w:t>
      </w:r>
      <w:r w:rsidRPr="009B0448">
        <w:rPr>
          <w:rFonts w:ascii="Times New Roman" w:hAnsi="Times New Roman" w:cs="Times New Roman"/>
        </w:rPr>
        <w:t xml:space="preserve"> sustainability of the ecological system and human well-being. Avoiding a ‘tragedy of the commons’ requires effective institutional responses that can enable environmental resources to be managed so that they contribute towards human well-being without eroding natural capital {6.5}.</w:t>
      </w:r>
    </w:p>
    <w:p w14:paraId="6CF2B34C" w14:textId="77777777" w:rsidR="009F0016" w:rsidRPr="009B0448" w:rsidRDefault="009F0016" w:rsidP="009F0016">
      <w:pPr>
        <w:spacing w:line="276" w:lineRule="auto"/>
        <w:jc w:val="both"/>
        <w:rPr>
          <w:rFonts w:ascii="Times New Roman" w:hAnsi="Times New Roman" w:cs="Times New Roman"/>
        </w:rPr>
      </w:pPr>
    </w:p>
    <w:p w14:paraId="1659720F" w14:textId="77777777" w:rsidR="00F83B61" w:rsidRPr="009B0448" w:rsidRDefault="00F83B61" w:rsidP="009F0016">
      <w:pPr>
        <w:spacing w:line="276" w:lineRule="auto"/>
        <w:jc w:val="both"/>
        <w:rPr>
          <w:rFonts w:ascii="Times New Roman" w:hAnsi="Times New Roman" w:cs="Times New Roman"/>
          <w:b/>
        </w:rPr>
      </w:pPr>
      <w:r w:rsidRPr="009B0448">
        <w:rPr>
          <w:rFonts w:ascii="Times New Roman" w:hAnsi="Times New Roman" w:cs="Times New Roman"/>
          <w:b/>
        </w:rPr>
        <w:t xml:space="preserve">The African context is complex both environmentally and in terms of multiple governance systems, layers of policies, and different socio-economic trajectories that can be adopted. Policy options need to navigate across these levels and layers and adapt to include multiple interests from the international to local level. </w:t>
      </w:r>
    </w:p>
    <w:p w14:paraId="00796BEA" w14:textId="77777777" w:rsidR="00F83B61" w:rsidRPr="009B0448" w:rsidRDefault="00F83B61" w:rsidP="009F0016">
      <w:pPr>
        <w:spacing w:line="276" w:lineRule="auto"/>
        <w:jc w:val="both"/>
        <w:rPr>
          <w:rFonts w:ascii="Times New Roman" w:hAnsi="Times New Roman" w:cs="Times New Roman"/>
          <w:b/>
          <w:sz w:val="20"/>
          <w:szCs w:val="20"/>
        </w:rPr>
      </w:pPr>
      <w:r w:rsidRPr="009B0448">
        <w:rPr>
          <w:rFonts w:ascii="Times New Roman" w:hAnsi="Times New Roman" w:cs="Times New Roman"/>
          <w:sz w:val="20"/>
          <w:szCs w:val="20"/>
        </w:rPr>
        <w:br w:type="page"/>
      </w:r>
    </w:p>
    <w:p w14:paraId="682BA404" w14:textId="77777777" w:rsidR="00A86954" w:rsidRPr="009B0448" w:rsidRDefault="00A86954" w:rsidP="00FA7185">
      <w:pPr>
        <w:pStyle w:val="ListParagraph"/>
        <w:keepNext/>
        <w:keepLines/>
        <w:widowControl w:val="0"/>
        <w:numPr>
          <w:ilvl w:val="0"/>
          <w:numId w:val="11"/>
        </w:numPr>
        <w:spacing w:before="240" w:after="240"/>
        <w:contextualSpacing w:val="0"/>
        <w:outlineLvl w:val="2"/>
        <w:rPr>
          <w:rFonts w:ascii="Times New Roman" w:hAnsi="Times New Roman" w:cs="Times New Roman"/>
          <w:b/>
          <w:vanish/>
          <w:color w:val="auto"/>
          <w:sz w:val="24"/>
          <w:szCs w:val="24"/>
        </w:rPr>
      </w:pPr>
      <w:bookmarkStart w:id="479" w:name="_Toc504129177"/>
      <w:bookmarkStart w:id="480" w:name="_Toc518377984"/>
      <w:bookmarkStart w:id="481" w:name="_Toc518378319"/>
      <w:bookmarkStart w:id="482" w:name="_Toc518396399"/>
      <w:bookmarkStart w:id="483" w:name="_Toc518396729"/>
      <w:bookmarkStart w:id="484" w:name="_Toc518643550"/>
      <w:bookmarkStart w:id="485" w:name="_Toc518980235"/>
      <w:bookmarkStart w:id="486" w:name="_Toc518980565"/>
      <w:bookmarkStart w:id="487" w:name="_Toc519084823"/>
      <w:bookmarkStart w:id="488" w:name="_Toc519085154"/>
      <w:bookmarkStart w:id="489" w:name="_Toc519495051"/>
      <w:bookmarkStart w:id="490" w:name="_Toc502937678"/>
      <w:bookmarkStart w:id="491" w:name="_Toc519500044"/>
      <w:bookmarkEnd w:id="479"/>
      <w:bookmarkEnd w:id="480"/>
      <w:bookmarkEnd w:id="481"/>
      <w:bookmarkEnd w:id="482"/>
      <w:bookmarkEnd w:id="483"/>
      <w:bookmarkEnd w:id="484"/>
      <w:bookmarkEnd w:id="485"/>
      <w:bookmarkEnd w:id="486"/>
      <w:bookmarkEnd w:id="487"/>
      <w:bookmarkEnd w:id="488"/>
      <w:bookmarkEnd w:id="489"/>
      <w:bookmarkEnd w:id="491"/>
    </w:p>
    <w:p w14:paraId="4D2DA7E7" w14:textId="598F43DF" w:rsidR="00F83B61" w:rsidRPr="009B0448" w:rsidRDefault="00F83B61" w:rsidP="00FA7185">
      <w:pPr>
        <w:pStyle w:val="Heading3"/>
        <w:widowControl w:val="0"/>
        <w:numPr>
          <w:ilvl w:val="1"/>
          <w:numId w:val="11"/>
        </w:numPr>
        <w:spacing w:before="240" w:after="240"/>
        <w:ind w:left="-1163"/>
        <w:rPr>
          <w:rFonts w:eastAsia="Calibri" w:cs="Times New Roman"/>
          <w:szCs w:val="24"/>
        </w:rPr>
      </w:pPr>
      <w:bookmarkStart w:id="492" w:name="_Toc519500045"/>
      <w:r w:rsidRPr="009B0448">
        <w:rPr>
          <w:rFonts w:eastAsia="Calibri" w:cs="Times New Roman"/>
          <w:szCs w:val="24"/>
        </w:rPr>
        <w:t>Introduction</w:t>
      </w:r>
      <w:bookmarkEnd w:id="490"/>
      <w:bookmarkEnd w:id="492"/>
    </w:p>
    <w:p w14:paraId="6B8F3616" w14:textId="51581D7A" w:rsidR="00F83B61" w:rsidRPr="009B0448" w:rsidRDefault="00F83B61" w:rsidP="009F0016">
      <w:pPr>
        <w:shd w:val="clear" w:color="auto" w:fill="FFFFFF"/>
        <w:spacing w:line="276" w:lineRule="auto"/>
        <w:jc w:val="both"/>
        <w:rPr>
          <w:rFonts w:ascii="Times New Roman" w:hAnsi="Times New Roman" w:cs="Times New Roman"/>
        </w:rPr>
      </w:pPr>
      <w:r w:rsidRPr="009B0448">
        <w:rPr>
          <w:rFonts w:ascii="Times New Roman" w:hAnsi="Times New Roman" w:cs="Times New Roman"/>
        </w:rPr>
        <w:t>African populations share a close relationship with, and depend upon, biodiversity and ecosystem services for all their human needs. Maathai (2010) noted that Africa’s resource conflicts are often fuelled by the need to access nature’s benefits in order to sustain livelihoods. There is a critical link between the way natural resources are managed, and peace and security (Gleditsch, 1998). A major challenge lies in managing and governing this human-environment relationship for Africa’s radical transformation towards sustainability. Enabling environmental justice and fairness in access to Africa’s diverse biodiversity and ecosystem services lies at the core of ‘good environmental governance’ on the continent, in which transparency, accountability, participation, social justice, and sustainable development principles are integrated (Feris, 2010). Avoiding a perceived or actual ‘tragedy of the commons’ (Hardin, 1968) requires effective governance responses that can enable environmental resources to be managed so that they contribute towards human well-being without eroding natural capital. Useful lessons may be learned by rekindling traditional African natural resource management methods, which by virtue of being flexible and having strict provisions, are considered by some as largely capable of avoiding a ‘tragedy of the commons’ (Hardin, 1968). In addition to the African Union Agenda 2063 (AU, 2015), the Sustainable Development Goals (UN, 2015) and the Convention on Biological Diversity’s Aichi Biodiversity Targets (CBD Secretariat, 2010) offer valuable international opportunities for framing Africa’s diverse biodiversity as a key asset that can, and must, be sustainably and equitably accessed and used in order to reduce inequality and poverty. Nevertheless, there are historical and structural challenges in transforming Africa’s environmental governance, and a multitude of environmental frameworks and institutions on the continent (see Chapter 1). Critically</w:t>
      </w:r>
      <w:r w:rsidR="006C3685" w:rsidRPr="009B0448">
        <w:rPr>
          <w:rFonts w:ascii="Times New Roman" w:hAnsi="Times New Roman" w:cs="Times New Roman"/>
        </w:rPr>
        <w:t>, progress towards policy goals</w:t>
      </w:r>
      <w:r w:rsidRPr="009B0448">
        <w:rPr>
          <w:rFonts w:ascii="Times New Roman" w:hAnsi="Times New Roman" w:cs="Times New Roman"/>
        </w:rPr>
        <w:t xml:space="preserve"> will be shaped by the governance choices made. </w:t>
      </w:r>
    </w:p>
    <w:p w14:paraId="553378F8" w14:textId="77777777" w:rsidR="009F0016" w:rsidRPr="009B0448" w:rsidRDefault="009F0016" w:rsidP="009F0016">
      <w:pPr>
        <w:shd w:val="clear" w:color="auto" w:fill="FFFFFF"/>
        <w:spacing w:line="276" w:lineRule="auto"/>
        <w:jc w:val="both"/>
        <w:rPr>
          <w:rFonts w:ascii="Times New Roman" w:hAnsi="Times New Roman" w:cs="Times New Roman"/>
        </w:rPr>
      </w:pPr>
    </w:p>
    <w:p w14:paraId="534C9546" w14:textId="29AE980D"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Africa’s encounters with a range of civilisations have precipitated into the concept of Africa’s Triple Heritage: dependent, culturally mixed, and politically unstable (Mazrui, 2014). The influences and confluences of these civilisations have affected the structures and functioning of the institutions that govern biodiversity and ecosystem services. Institutions simply refer to conventions, norms and rules that help to determine patterns of resource use (Short, 2007), and can be either formal or informal. The current state of biodiversity and ecosystem services on the African continent (Chapter 1) is a consequence of its history and evolution of human and natural processes (Ash </w:t>
      </w:r>
      <w:r w:rsidR="000429F8" w:rsidRPr="009B0448">
        <w:rPr>
          <w:rFonts w:ascii="Times New Roman" w:hAnsi="Times New Roman" w:cs="Times New Roman"/>
          <w:i/>
        </w:rPr>
        <w:t>et al.</w:t>
      </w:r>
      <w:r w:rsidRPr="009B0448">
        <w:rPr>
          <w:rFonts w:ascii="Times New Roman" w:hAnsi="Times New Roman" w:cs="Times New Roman"/>
        </w:rPr>
        <w:t xml:space="preserve">, 2010). A good understanding of current and future governance and planning for biodiversity and ecosystem services depends on the legacy of past decisions. Experiences of various African countries reveal that effective conservation and protection of ecosystem services in the past has been lacking. This has been partly due to insufficient recognition of belief systems, customs, land tenure systems and rights to use these resources by former colonial administrations, and has perpetuated post-independence (Akuffo, 2011; Vonada </w:t>
      </w:r>
      <w:r w:rsidR="000429F8" w:rsidRPr="009B0448">
        <w:rPr>
          <w:rFonts w:ascii="Times New Roman" w:hAnsi="Times New Roman" w:cs="Times New Roman"/>
          <w:i/>
        </w:rPr>
        <w:t>et al.</w:t>
      </w:r>
      <w:r w:rsidRPr="009B0448">
        <w:rPr>
          <w:rFonts w:ascii="Times New Roman" w:hAnsi="Times New Roman" w:cs="Times New Roman"/>
        </w:rPr>
        <w:t xml:space="preserve">, 2011; Muhumuza </w:t>
      </w:r>
      <w:r w:rsidR="000429F8" w:rsidRPr="009B0448">
        <w:rPr>
          <w:rFonts w:ascii="Times New Roman" w:hAnsi="Times New Roman" w:cs="Times New Roman"/>
          <w:i/>
        </w:rPr>
        <w:t>et al.</w:t>
      </w:r>
      <w:r w:rsidRPr="009B0448">
        <w:rPr>
          <w:rFonts w:ascii="Times New Roman" w:hAnsi="Times New Roman" w:cs="Times New Roman"/>
        </w:rPr>
        <w:t xml:space="preserve">, 2013; see Chapter 1). </w:t>
      </w:r>
    </w:p>
    <w:p w14:paraId="32B4A9F2" w14:textId="77777777" w:rsidR="009F0016" w:rsidRPr="009B0448" w:rsidRDefault="009F0016" w:rsidP="009F0016">
      <w:pPr>
        <w:spacing w:line="276" w:lineRule="auto"/>
        <w:jc w:val="both"/>
        <w:rPr>
          <w:rFonts w:ascii="Times New Roman" w:hAnsi="Times New Roman" w:cs="Times New Roman"/>
        </w:rPr>
      </w:pPr>
    </w:p>
    <w:p w14:paraId="056A0312" w14:textId="3032D3EB"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The colonisation of African countries and shifts towards a globalised economy, alongside post-independence centralisation, brought about unprecedented governance changes. For example, changes in the traditional institutions governing land tenure systems have deprived many African communities of their rights to use, as well as their rights to apply local knowledge and indigenous knowledge systems to the management of biodiversity and ecosystem services (e.g.</w:t>
      </w:r>
      <w:r w:rsidR="00E24BC5">
        <w:rPr>
          <w:rFonts w:ascii="Times New Roman" w:hAnsi="Times New Roman" w:cs="Times New Roman"/>
        </w:rPr>
        <w:t>,</w:t>
      </w:r>
      <w:r w:rsidRPr="009B0448">
        <w:rPr>
          <w:rFonts w:ascii="Times New Roman" w:hAnsi="Times New Roman" w:cs="Times New Roman"/>
        </w:rPr>
        <w:t xml:space="preserve"> Dalle </w:t>
      </w:r>
      <w:r w:rsidR="000429F8" w:rsidRPr="009B0448">
        <w:rPr>
          <w:rFonts w:ascii="Times New Roman" w:hAnsi="Times New Roman" w:cs="Times New Roman"/>
          <w:i/>
        </w:rPr>
        <w:t>et al.</w:t>
      </w:r>
      <w:r w:rsidRPr="009B0448">
        <w:rPr>
          <w:rFonts w:ascii="Times New Roman" w:hAnsi="Times New Roman" w:cs="Times New Roman"/>
        </w:rPr>
        <w:t xml:space="preserve"> (2005) and Dixon (2008) on Ethiopia; Cormier-Salem </w:t>
      </w:r>
      <w:r w:rsidR="000429F8" w:rsidRPr="009B0448">
        <w:rPr>
          <w:rFonts w:ascii="Times New Roman" w:hAnsi="Times New Roman" w:cs="Times New Roman"/>
          <w:i/>
        </w:rPr>
        <w:t>et al.</w:t>
      </w:r>
      <w:r w:rsidRPr="009B0448">
        <w:rPr>
          <w:rFonts w:ascii="Times New Roman" w:hAnsi="Times New Roman" w:cs="Times New Roman"/>
        </w:rPr>
        <w:t xml:space="preserve"> (2010) on Senegal and Guinea Bissau). It is important to seek holistic means of integrating local, regional, and international approaches to valuing biodiversity and ecosystem services, in the context of diverse African indigenous and local knowledge systems that are well suited to environmental conservation. </w:t>
      </w:r>
    </w:p>
    <w:p w14:paraId="57E87950" w14:textId="77777777" w:rsidR="009F0016" w:rsidRPr="009B0448" w:rsidRDefault="009F0016" w:rsidP="009F0016">
      <w:pPr>
        <w:spacing w:line="276" w:lineRule="auto"/>
        <w:jc w:val="both"/>
        <w:rPr>
          <w:rFonts w:ascii="Times New Roman" w:hAnsi="Times New Roman" w:cs="Times New Roman"/>
        </w:rPr>
      </w:pPr>
    </w:p>
    <w:p w14:paraId="79C9D94B" w14:textId="5921D1CB"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This chapter recognises the importance of taking a polycentric governance approach to assessing options, where multiple autonomous bodies, often across different sectors and operating at multiple levels and over different time frames, interact within a specific policy arena (Biggs </w:t>
      </w:r>
      <w:r w:rsidR="000429F8" w:rsidRPr="009B0448">
        <w:rPr>
          <w:rFonts w:ascii="Times New Roman" w:hAnsi="Times New Roman" w:cs="Times New Roman"/>
          <w:i/>
        </w:rPr>
        <w:t>et al.</w:t>
      </w:r>
      <w:r w:rsidRPr="009B0448">
        <w:rPr>
          <w:rFonts w:ascii="Times New Roman" w:hAnsi="Times New Roman" w:cs="Times New Roman"/>
        </w:rPr>
        <w:t xml:space="preserve">, 2015) and where space for plural perspectives can be created. A polycentric approach is an alternative to top-down approaches that can be insensitive to local constraints and bottom-up approaches that are sometimes inadequate for dealing with issues at higher levels (Termeer </w:t>
      </w:r>
      <w:r w:rsidR="000429F8" w:rsidRPr="009B0448">
        <w:rPr>
          <w:rFonts w:ascii="Times New Roman" w:hAnsi="Times New Roman" w:cs="Times New Roman"/>
          <w:i/>
        </w:rPr>
        <w:t>et al.</w:t>
      </w:r>
      <w:r w:rsidRPr="009B0448">
        <w:rPr>
          <w:rFonts w:ascii="Times New Roman" w:hAnsi="Times New Roman" w:cs="Times New Roman"/>
        </w:rPr>
        <w:t xml:space="preserve">, 2010). This chapter highlights the need for systems-based environmental governance and assesses governance options for Africa, to maintain and improve the continent’s rich biodiversity and ecosystem services. The structure of the chapter is presented below (Figure 6.1). </w:t>
      </w:r>
    </w:p>
    <w:p w14:paraId="0C82C815" w14:textId="77777777" w:rsidR="009F0016" w:rsidRPr="009B0448" w:rsidRDefault="009F0016" w:rsidP="009F0016">
      <w:pPr>
        <w:spacing w:line="276" w:lineRule="auto"/>
        <w:jc w:val="both"/>
        <w:rPr>
          <w:rFonts w:ascii="Times New Roman" w:hAnsi="Times New Roman" w:cs="Times New Roman"/>
        </w:rPr>
      </w:pPr>
    </w:p>
    <w:p w14:paraId="194E44A5" w14:textId="2FB97505"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The chapter begins by setting out the governance context of biodiversity and ecosystem services in Africa, considering both polycentric and adaptive governance. It then presents an assessment of the existing multi-level policy context at continental, </w:t>
      </w:r>
      <w:r w:rsidR="00B22D81">
        <w:rPr>
          <w:rFonts w:ascii="Times New Roman" w:hAnsi="Times New Roman" w:cs="Times New Roman"/>
        </w:rPr>
        <w:t>subregion</w:t>
      </w:r>
      <w:r w:rsidRPr="009B0448">
        <w:rPr>
          <w:rFonts w:ascii="Times New Roman" w:hAnsi="Times New Roman" w:cs="Times New Roman"/>
        </w:rPr>
        <w:t xml:space="preserve">al and national levels. Options and mechanisms for mainstreaming biodiversity and ecosystem services into national development initiatives, strategic assessments, economic and financial </w:t>
      </w:r>
      <w:r w:rsidR="00574E50" w:rsidRPr="009B0448">
        <w:rPr>
          <w:rFonts w:ascii="Times New Roman" w:hAnsi="Times New Roman" w:cs="Times New Roman"/>
        </w:rPr>
        <w:t>decision-mak</w:t>
      </w:r>
      <w:r w:rsidRPr="009B0448">
        <w:rPr>
          <w:rFonts w:ascii="Times New Roman" w:hAnsi="Times New Roman" w:cs="Times New Roman"/>
        </w:rPr>
        <w:t>ing are set out and some of the key benefits of mainstreaming biodiversity and ecosystem services are provided. Eco</w:t>
      </w:r>
      <w:r w:rsidR="00C83C05" w:rsidRPr="009B0448">
        <w:rPr>
          <w:rFonts w:ascii="Times New Roman" w:hAnsi="Times New Roman" w:cs="Times New Roman"/>
        </w:rPr>
        <w:t>nomic and financial instruments;</w:t>
      </w:r>
      <w:r w:rsidRPr="009B0448">
        <w:rPr>
          <w:rFonts w:ascii="Times New Roman" w:hAnsi="Times New Roman" w:cs="Times New Roman"/>
        </w:rPr>
        <w:t xml:space="preserve"> legal, </w:t>
      </w:r>
      <w:r w:rsidR="00C83C05" w:rsidRPr="009B0448">
        <w:rPr>
          <w:rFonts w:ascii="Times New Roman" w:hAnsi="Times New Roman" w:cs="Times New Roman"/>
        </w:rPr>
        <w:t xml:space="preserve">regulatory and rights-based instruments; </w:t>
      </w:r>
      <w:r w:rsidRPr="009B0448">
        <w:rPr>
          <w:rFonts w:ascii="Times New Roman" w:hAnsi="Times New Roman" w:cs="Times New Roman"/>
        </w:rPr>
        <w:t>and social and cultural instruments</w:t>
      </w:r>
      <w:r w:rsidR="00C83C05" w:rsidRPr="009B0448">
        <w:rPr>
          <w:rFonts w:ascii="Times New Roman" w:hAnsi="Times New Roman" w:cs="Times New Roman"/>
        </w:rPr>
        <w:t>,</w:t>
      </w:r>
      <w:r w:rsidRPr="009B0448">
        <w:rPr>
          <w:rFonts w:ascii="Times New Roman" w:hAnsi="Times New Roman" w:cs="Times New Roman"/>
        </w:rPr>
        <w:t xml:space="preserve"> that serve policy </w:t>
      </w:r>
      <w:r w:rsidR="00C83C05" w:rsidRPr="009B0448">
        <w:rPr>
          <w:rFonts w:ascii="Times New Roman" w:hAnsi="Times New Roman" w:cs="Times New Roman"/>
        </w:rPr>
        <w:t xml:space="preserve">and </w:t>
      </w:r>
      <w:r w:rsidR="00574E50" w:rsidRPr="009B0448">
        <w:rPr>
          <w:rFonts w:ascii="Times New Roman" w:hAnsi="Times New Roman" w:cs="Times New Roman"/>
        </w:rPr>
        <w:t>decision-mak</w:t>
      </w:r>
      <w:r w:rsidRPr="009B0448">
        <w:rPr>
          <w:rFonts w:ascii="Times New Roman" w:hAnsi="Times New Roman" w:cs="Times New Roman"/>
        </w:rPr>
        <w:t>ing in improving biodiversity and ecosystem services management</w:t>
      </w:r>
      <w:r w:rsidR="00C83C05" w:rsidRPr="009B0448">
        <w:rPr>
          <w:rFonts w:ascii="Times New Roman" w:hAnsi="Times New Roman" w:cs="Times New Roman"/>
        </w:rPr>
        <w:t>,</w:t>
      </w:r>
      <w:r w:rsidRPr="009B0448">
        <w:rPr>
          <w:rFonts w:ascii="Times New Roman" w:hAnsi="Times New Roman" w:cs="Times New Roman"/>
        </w:rPr>
        <w:t xml:space="preserve"> are then discussed. Subsequently, the necessary frameworks and inputs such as capacities, tools, methodologies and resources in creating an enabling environment for biodiversity and ecosystem services governance are discussed. Building on the information outlined in SPM Table 2, Tables 5.6 and 5.7, and Appendix 5.1 where policy options in response to scenario archetypes are outlined, the chapter then summarises key policy instruments for achieving biodiversity and ecosystem services specific policy goals. </w:t>
      </w:r>
    </w:p>
    <w:p w14:paraId="10429530" w14:textId="77777777" w:rsidR="009F0016" w:rsidRPr="009B0448" w:rsidRDefault="009F0016" w:rsidP="009F0016">
      <w:pPr>
        <w:spacing w:line="276" w:lineRule="auto"/>
        <w:jc w:val="both"/>
        <w:rPr>
          <w:rFonts w:ascii="Times New Roman" w:hAnsi="Times New Roman" w:cs="Times New Roman"/>
        </w:rPr>
      </w:pPr>
    </w:p>
    <w:p w14:paraId="6A794BA2" w14:textId="2BCD8B22" w:rsidR="008D48A7" w:rsidRPr="009B0448" w:rsidRDefault="008D48A7"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075F69C7" wp14:editId="763E1469">
            <wp:extent cx="5731510" cy="2990353"/>
            <wp:effectExtent l="0" t="0" r="2540" b="635"/>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Fig 6.1.JPG"/>
                    <pic:cNvPicPr/>
                  </pic:nvPicPr>
                  <pic:blipFill>
                    <a:blip r:embed="rId1745">
                      <a:extLst>
                        <a:ext uri="{28A0092B-C50C-407E-A947-70E740481C1C}">
                          <a14:useLocalDpi xmlns:a14="http://schemas.microsoft.com/office/drawing/2010/main" val="0"/>
                        </a:ext>
                      </a:extLst>
                    </a:blip>
                    <a:stretch>
                      <a:fillRect/>
                    </a:stretch>
                  </pic:blipFill>
                  <pic:spPr>
                    <a:xfrm>
                      <a:off x="0" y="0"/>
                      <a:ext cx="5731510" cy="2990353"/>
                    </a:xfrm>
                    <a:prstGeom prst="rect">
                      <a:avLst/>
                    </a:prstGeom>
                  </pic:spPr>
                </pic:pic>
              </a:graphicData>
            </a:graphic>
          </wp:inline>
        </w:drawing>
      </w:r>
    </w:p>
    <w:p w14:paraId="479B878C" w14:textId="3D061735" w:rsidR="008D48A7" w:rsidRPr="009B0448" w:rsidRDefault="008D48A7" w:rsidP="009F0016">
      <w:pPr>
        <w:spacing w:line="276" w:lineRule="auto"/>
        <w:jc w:val="both"/>
        <w:rPr>
          <w:rFonts w:ascii="Times New Roman" w:hAnsi="Times New Roman" w:cs="Times New Roman"/>
        </w:rPr>
      </w:pPr>
      <w:r w:rsidRPr="009B0448">
        <w:rPr>
          <w:rFonts w:ascii="Times New Roman" w:hAnsi="Times New Roman" w:cs="Times New Roman"/>
          <w:b/>
        </w:rPr>
        <w:t xml:space="preserve">Figure 6.1: </w:t>
      </w:r>
      <w:r w:rsidRPr="009B0448">
        <w:rPr>
          <w:rFonts w:ascii="Times New Roman" w:hAnsi="Times New Roman" w:cs="Times New Roman"/>
        </w:rPr>
        <w:t xml:space="preserve">The flow and development of chapter 6. The </w:t>
      </w:r>
      <w:r w:rsidR="006E27E7">
        <w:rPr>
          <w:rFonts w:ascii="Times New Roman" w:hAnsi="Times New Roman" w:cs="Times New Roman"/>
        </w:rPr>
        <w:t xml:space="preserve">left </w:t>
      </w:r>
      <w:r w:rsidRPr="009B0448">
        <w:rPr>
          <w:rFonts w:ascii="Times New Roman" w:hAnsi="Times New Roman" w:cs="Times New Roman"/>
        </w:rPr>
        <w:t xml:space="preserve">panel shows the complex situation in Africa as laid out in Chapter 1. The </w:t>
      </w:r>
      <w:r w:rsidR="006E27E7" w:rsidRPr="006E27E7">
        <w:rPr>
          <w:rFonts w:ascii="Times New Roman" w:hAnsi="Times New Roman" w:cs="Times New Roman"/>
        </w:rPr>
        <w:t>green</w:t>
      </w:r>
      <w:r w:rsidRPr="009B0448">
        <w:rPr>
          <w:rFonts w:ascii="Times New Roman" w:hAnsi="Times New Roman" w:cs="Times New Roman"/>
        </w:rPr>
        <w:t xml:space="preserve"> </w:t>
      </w:r>
      <w:r w:rsidR="006E27E7">
        <w:rPr>
          <w:rFonts w:ascii="Times New Roman" w:hAnsi="Times New Roman" w:cs="Times New Roman"/>
        </w:rPr>
        <w:t>box</w:t>
      </w:r>
      <w:r w:rsidRPr="009B0448">
        <w:rPr>
          <w:rFonts w:ascii="Times New Roman" w:hAnsi="Times New Roman" w:cs="Times New Roman"/>
        </w:rPr>
        <w:t xml:space="preserve"> represents the policy context within which Africa must work towards achieving various goals at multiple scales. There are a number of policy instruments (in the </w:t>
      </w:r>
      <w:r w:rsidR="006E27E7">
        <w:rPr>
          <w:rFonts w:ascii="Times New Roman" w:hAnsi="Times New Roman" w:cs="Times New Roman"/>
        </w:rPr>
        <w:t>purple</w:t>
      </w:r>
      <w:r w:rsidRPr="009B0448">
        <w:rPr>
          <w:rFonts w:ascii="Times New Roman" w:hAnsi="Times New Roman" w:cs="Times New Roman"/>
        </w:rPr>
        <w:t xml:space="preserve"> </w:t>
      </w:r>
      <w:r w:rsidR="006E27E7">
        <w:rPr>
          <w:rFonts w:ascii="Times New Roman" w:hAnsi="Times New Roman" w:cs="Times New Roman"/>
        </w:rPr>
        <w:t>box</w:t>
      </w:r>
      <w:r w:rsidRPr="009B0448">
        <w:rPr>
          <w:rFonts w:ascii="Times New Roman" w:hAnsi="Times New Roman" w:cs="Times New Roman"/>
        </w:rPr>
        <w:t>) that can be used to guide Africa towards these goals, but in order for the policy instruments to work and the goals to be attained there needs to be an enabling environment (</w:t>
      </w:r>
      <w:r w:rsidR="006E27E7">
        <w:rPr>
          <w:rFonts w:ascii="Times New Roman" w:hAnsi="Times New Roman" w:cs="Times New Roman"/>
        </w:rPr>
        <w:t>orange</w:t>
      </w:r>
      <w:r w:rsidRPr="009B0448">
        <w:rPr>
          <w:rFonts w:ascii="Times New Roman" w:hAnsi="Times New Roman" w:cs="Times New Roman"/>
        </w:rPr>
        <w:t xml:space="preserve"> </w:t>
      </w:r>
      <w:r w:rsidR="006E27E7">
        <w:rPr>
          <w:rFonts w:ascii="Times New Roman" w:hAnsi="Times New Roman" w:cs="Times New Roman"/>
        </w:rPr>
        <w:t>box</w:t>
      </w:r>
      <w:r w:rsidRPr="009B0448">
        <w:rPr>
          <w:rFonts w:ascii="Times New Roman" w:hAnsi="Times New Roman" w:cs="Times New Roman"/>
        </w:rPr>
        <w:t xml:space="preserve">). </w:t>
      </w:r>
      <w:r w:rsidR="006E27E7">
        <w:rPr>
          <w:rFonts w:ascii="Times New Roman" w:hAnsi="Times New Roman" w:cs="Times New Roman"/>
        </w:rPr>
        <w:t xml:space="preserve">Together, the elements in the boxes can guide Africa towards a </w:t>
      </w:r>
      <w:r w:rsidR="00B93083">
        <w:rPr>
          <w:rFonts w:ascii="Times New Roman" w:hAnsi="Times New Roman" w:cs="Times New Roman"/>
        </w:rPr>
        <w:t>desirable future (see Figure 6.7</w:t>
      </w:r>
      <w:r w:rsidR="006E27E7">
        <w:rPr>
          <w:rFonts w:ascii="Times New Roman" w:hAnsi="Times New Roman" w:cs="Times New Roman"/>
        </w:rPr>
        <w:t>).</w:t>
      </w:r>
    </w:p>
    <w:p w14:paraId="1871F718" w14:textId="77777777" w:rsidR="00F83B61" w:rsidRPr="009B0448" w:rsidRDefault="00F83B61" w:rsidP="00FA7185">
      <w:pPr>
        <w:pStyle w:val="Heading3"/>
        <w:widowControl w:val="0"/>
        <w:numPr>
          <w:ilvl w:val="1"/>
          <w:numId w:val="11"/>
        </w:numPr>
        <w:spacing w:before="240" w:after="240"/>
        <w:ind w:left="709" w:hanging="720"/>
        <w:rPr>
          <w:rFonts w:eastAsia="Calibri" w:cs="Times New Roman"/>
          <w:szCs w:val="24"/>
        </w:rPr>
      </w:pPr>
      <w:bookmarkStart w:id="493" w:name="_Toc502937679"/>
      <w:bookmarkStart w:id="494" w:name="_Toc519500046"/>
      <w:r w:rsidRPr="009B0448">
        <w:rPr>
          <w:rFonts w:eastAsia="Calibri" w:cs="Times New Roman"/>
          <w:szCs w:val="24"/>
        </w:rPr>
        <w:t>Governance of biodiversity and ecosystem services in Africa</w:t>
      </w:r>
      <w:bookmarkEnd w:id="493"/>
      <w:bookmarkEnd w:id="494"/>
    </w:p>
    <w:p w14:paraId="67210B04" w14:textId="235FE9FB"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The governance and policy context provides a hierarchical, multi-level framing to address current challenges in maintaining and sustainably using Africa’s natural capital over the different time frames of their implementation. At the national level, African countries have developed policies and strategies to respond to and align with global, regional and </w:t>
      </w:r>
      <w:r w:rsidR="00B22D81">
        <w:rPr>
          <w:rFonts w:ascii="Times New Roman" w:hAnsi="Times New Roman" w:cs="Times New Roman"/>
        </w:rPr>
        <w:t>subregion</w:t>
      </w:r>
      <w:r w:rsidRPr="009B0448">
        <w:rPr>
          <w:rFonts w:ascii="Times New Roman" w:hAnsi="Times New Roman" w:cs="Times New Roman"/>
        </w:rPr>
        <w:t xml:space="preserve">al scale development policies and strategies. However, ecosystems are dynamic, so it is imperative to identify which governance arrangements can be used to deal with future conditions, aspirations and uncertainties, especially as inter-linked systems often have non-linear feedbacks that can lead to irreversible changes in systems or regime shifts (Duit </w:t>
      </w:r>
      <w:r w:rsidR="000429F8" w:rsidRPr="009B0448">
        <w:rPr>
          <w:rFonts w:ascii="Times New Roman" w:hAnsi="Times New Roman" w:cs="Times New Roman"/>
          <w:i/>
        </w:rPr>
        <w:t>et al.</w:t>
      </w:r>
      <w:r w:rsidRPr="009B0448">
        <w:rPr>
          <w:rFonts w:ascii="Times New Roman" w:hAnsi="Times New Roman" w:cs="Times New Roman"/>
        </w:rPr>
        <w:t xml:space="preserve">, 2008). A key opportunity arises to integrate the concept of adaptive, flexible governance systems that can deal with future uncertainties into more mainstream governance approaches to ecosystem management (Berkes </w:t>
      </w:r>
      <w:r w:rsidR="000429F8" w:rsidRPr="009B0448">
        <w:rPr>
          <w:rFonts w:ascii="Times New Roman" w:hAnsi="Times New Roman" w:cs="Times New Roman"/>
          <w:i/>
        </w:rPr>
        <w:t>et al.</w:t>
      </w:r>
      <w:r w:rsidRPr="009B0448">
        <w:rPr>
          <w:rFonts w:ascii="Times New Roman" w:hAnsi="Times New Roman" w:cs="Times New Roman"/>
        </w:rPr>
        <w:t xml:space="preserve">, 2003; Chapin </w:t>
      </w:r>
      <w:r w:rsidR="000429F8" w:rsidRPr="009B0448">
        <w:rPr>
          <w:rFonts w:ascii="Times New Roman" w:hAnsi="Times New Roman" w:cs="Times New Roman"/>
          <w:i/>
        </w:rPr>
        <w:t>et al.</w:t>
      </w:r>
      <w:r w:rsidRPr="009B0448">
        <w:rPr>
          <w:rFonts w:ascii="Times New Roman" w:hAnsi="Times New Roman" w:cs="Times New Roman"/>
        </w:rPr>
        <w:t xml:space="preserve">, 2009; Novellie </w:t>
      </w:r>
      <w:r w:rsidR="000429F8" w:rsidRPr="009B0448">
        <w:rPr>
          <w:rFonts w:ascii="Times New Roman" w:hAnsi="Times New Roman" w:cs="Times New Roman"/>
          <w:i/>
        </w:rPr>
        <w:t>et al.</w:t>
      </w:r>
      <w:r w:rsidRPr="009B0448">
        <w:rPr>
          <w:rFonts w:ascii="Times New Roman" w:hAnsi="Times New Roman" w:cs="Times New Roman"/>
        </w:rPr>
        <w:t>, 2016). Furthermore, there is a need to deal with the transboundary nature of ecosystems and in particular the strong inter-dependencies of the food-energy-water nexus and other complex challenges noted in earlier chapters (see e.g.</w:t>
      </w:r>
      <w:r w:rsidR="00E24BC5">
        <w:rPr>
          <w:rFonts w:ascii="Times New Roman" w:hAnsi="Times New Roman" w:cs="Times New Roman"/>
        </w:rPr>
        <w:t>,</w:t>
      </w:r>
      <w:r w:rsidRPr="009B0448">
        <w:rPr>
          <w:rFonts w:ascii="Times New Roman" w:hAnsi="Times New Roman" w:cs="Times New Roman"/>
        </w:rPr>
        <w:t xml:space="preserve"> Chapters 1 and 4).</w:t>
      </w:r>
    </w:p>
    <w:p w14:paraId="656217D2" w14:textId="77777777" w:rsidR="009F0016" w:rsidRPr="009B0448" w:rsidRDefault="009F0016" w:rsidP="009F0016">
      <w:pPr>
        <w:spacing w:line="276" w:lineRule="auto"/>
        <w:jc w:val="both"/>
        <w:rPr>
          <w:rFonts w:ascii="Times New Roman" w:hAnsi="Times New Roman" w:cs="Times New Roman"/>
        </w:rPr>
      </w:pPr>
    </w:p>
    <w:p w14:paraId="0168358F" w14:textId="2948835E"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Adaptive governance has been put forward as a way in which to manage and cope with multiple and cross-scale interactions in social-ecological systems, especially during periods of abrupt change (Folke </w:t>
      </w:r>
      <w:r w:rsidR="000429F8" w:rsidRPr="009B0448">
        <w:rPr>
          <w:rFonts w:ascii="Times New Roman" w:hAnsi="Times New Roman" w:cs="Times New Roman"/>
          <w:i/>
        </w:rPr>
        <w:t>et al.</w:t>
      </w:r>
      <w:r w:rsidRPr="009B0448">
        <w:rPr>
          <w:rFonts w:ascii="Times New Roman" w:hAnsi="Times New Roman" w:cs="Times New Roman"/>
        </w:rPr>
        <w:t xml:space="preserve">, 2005). Key aspects of adaptive governance include the emergence of ‘bridging organisations’ that can lower the costs of collaboration and conflict resolution. They can also assist the development of policy and legislation that can support actors within the system to self-organise and therefore react more quickly, effectively and creatively to shocks (Folke </w:t>
      </w:r>
      <w:r w:rsidR="000429F8" w:rsidRPr="009B0448">
        <w:rPr>
          <w:rFonts w:ascii="Times New Roman" w:hAnsi="Times New Roman" w:cs="Times New Roman"/>
          <w:i/>
        </w:rPr>
        <w:t>et al.</w:t>
      </w:r>
      <w:r w:rsidRPr="009B0448">
        <w:rPr>
          <w:rFonts w:ascii="Times New Roman" w:hAnsi="Times New Roman" w:cs="Times New Roman"/>
        </w:rPr>
        <w:t xml:space="preserve">, 2005; Olsson </w:t>
      </w:r>
      <w:r w:rsidR="000429F8" w:rsidRPr="009B0448">
        <w:rPr>
          <w:rFonts w:ascii="Times New Roman" w:hAnsi="Times New Roman" w:cs="Times New Roman"/>
          <w:i/>
        </w:rPr>
        <w:t>et al.</w:t>
      </w:r>
      <w:r w:rsidRPr="009B0448">
        <w:rPr>
          <w:rFonts w:ascii="Times New Roman" w:hAnsi="Times New Roman" w:cs="Times New Roman"/>
        </w:rPr>
        <w:t>, 2006). Polycentric governance arrangements are important for being able</w:t>
      </w:r>
      <w:r w:rsidR="0011592E" w:rsidRPr="009B0448">
        <w:rPr>
          <w:rFonts w:ascii="Times New Roman" w:hAnsi="Times New Roman" w:cs="Times New Roman"/>
        </w:rPr>
        <w:t xml:space="preserve"> to realise adaptive governance</w:t>
      </w:r>
      <w:r w:rsidRPr="009B0448">
        <w:rPr>
          <w:rFonts w:ascii="Times New Roman" w:hAnsi="Times New Roman" w:cs="Times New Roman"/>
        </w:rPr>
        <w:t xml:space="preserve"> and facilitate collective action in tackling global environmental problems, such as climate change and deforestation, at multiple levels (Ostrom, 2010; Schoon </w:t>
      </w:r>
      <w:r w:rsidR="000429F8" w:rsidRPr="009B0448">
        <w:rPr>
          <w:rFonts w:ascii="Times New Roman" w:hAnsi="Times New Roman" w:cs="Times New Roman"/>
          <w:i/>
        </w:rPr>
        <w:t>et al.</w:t>
      </w:r>
      <w:r w:rsidRPr="009B0448">
        <w:rPr>
          <w:rFonts w:ascii="Times New Roman" w:hAnsi="Times New Roman" w:cs="Times New Roman"/>
        </w:rPr>
        <w:t xml:space="preserve">, 2015). </w:t>
      </w:r>
    </w:p>
    <w:p w14:paraId="7F38B4C4" w14:textId="77777777" w:rsidR="009F0016" w:rsidRPr="009B0448" w:rsidRDefault="009F0016" w:rsidP="009F0016">
      <w:pPr>
        <w:spacing w:line="276" w:lineRule="auto"/>
        <w:jc w:val="both"/>
        <w:rPr>
          <w:rFonts w:ascii="Times New Roman" w:hAnsi="Times New Roman" w:cs="Times New Roman"/>
        </w:rPr>
      </w:pPr>
    </w:p>
    <w:p w14:paraId="1D7B3457" w14:textId="162E0949"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The flexible institutional arrangements of polycentric governance systems are often criticised for being inefficient because they are non-hierarchical and complex in their organisation. Yet, in practice, they provide a framework that enables resource users at multiple levels to draw on general principles to craft new institutions that cope with changing situations on the ground (e.g.</w:t>
      </w:r>
      <w:r w:rsidR="00E24BC5">
        <w:rPr>
          <w:rFonts w:ascii="Times New Roman" w:hAnsi="Times New Roman" w:cs="Times New Roman"/>
        </w:rPr>
        <w:t>,</w:t>
      </w:r>
      <w:r w:rsidRPr="009B0448">
        <w:rPr>
          <w:rFonts w:ascii="Times New Roman" w:hAnsi="Times New Roman" w:cs="Times New Roman"/>
        </w:rPr>
        <w:t xml:space="preserve"> Folke </w:t>
      </w:r>
      <w:r w:rsidR="000429F8" w:rsidRPr="009B0448">
        <w:rPr>
          <w:rFonts w:ascii="Times New Roman" w:hAnsi="Times New Roman" w:cs="Times New Roman"/>
          <w:i/>
        </w:rPr>
        <w:t>et al.</w:t>
      </w:r>
      <w:r w:rsidRPr="009B0448">
        <w:rPr>
          <w:rFonts w:ascii="Times New Roman" w:hAnsi="Times New Roman" w:cs="Times New Roman"/>
        </w:rPr>
        <w:t xml:space="preserve">, 2005; Barau </w:t>
      </w:r>
      <w:r w:rsidR="000429F8" w:rsidRPr="009B0448">
        <w:rPr>
          <w:rFonts w:ascii="Times New Roman" w:hAnsi="Times New Roman" w:cs="Times New Roman"/>
          <w:i/>
        </w:rPr>
        <w:t>et al.</w:t>
      </w:r>
      <w:r w:rsidRPr="009B0448">
        <w:rPr>
          <w:rFonts w:ascii="Times New Roman" w:hAnsi="Times New Roman" w:cs="Times New Roman"/>
        </w:rPr>
        <w:t xml:space="preserve">, 2016; Novellie </w:t>
      </w:r>
      <w:r w:rsidR="000429F8" w:rsidRPr="009B0448">
        <w:rPr>
          <w:rFonts w:ascii="Times New Roman" w:hAnsi="Times New Roman" w:cs="Times New Roman"/>
          <w:i/>
        </w:rPr>
        <w:t>et al.</w:t>
      </w:r>
      <w:r w:rsidRPr="009B0448">
        <w:rPr>
          <w:rFonts w:ascii="Times New Roman" w:hAnsi="Times New Roman" w:cs="Times New Roman"/>
        </w:rPr>
        <w:t xml:space="preserve">, 2016; Ward </w:t>
      </w:r>
      <w:r w:rsidR="000429F8" w:rsidRPr="009B0448">
        <w:rPr>
          <w:rFonts w:ascii="Times New Roman" w:hAnsi="Times New Roman" w:cs="Times New Roman"/>
          <w:i/>
        </w:rPr>
        <w:t>et al.</w:t>
      </w:r>
      <w:r w:rsidRPr="009B0448">
        <w:rPr>
          <w:rFonts w:ascii="Times New Roman" w:hAnsi="Times New Roman" w:cs="Times New Roman"/>
        </w:rPr>
        <w:t>, 201</w:t>
      </w:r>
      <w:r w:rsidR="00FC4F0D" w:rsidRPr="009B0448">
        <w:rPr>
          <w:rFonts w:ascii="Times New Roman" w:hAnsi="Times New Roman" w:cs="Times New Roman"/>
        </w:rPr>
        <w:t>8a</w:t>
      </w:r>
      <w:r w:rsidRPr="009B0448">
        <w:rPr>
          <w:rFonts w:ascii="Times New Roman" w:hAnsi="Times New Roman" w:cs="Times New Roman"/>
        </w:rPr>
        <w:t xml:space="preserve">; Figure 6.2). Furthermore, polycentricity provides a governance structure that can enable learning and experimentation, participation, connectivity and diversity, which are important characteristics for building resilient ecosystems (Schoon </w:t>
      </w:r>
      <w:r w:rsidR="000429F8" w:rsidRPr="009B0448">
        <w:rPr>
          <w:rFonts w:ascii="Times New Roman" w:hAnsi="Times New Roman" w:cs="Times New Roman"/>
          <w:i/>
        </w:rPr>
        <w:t>et al.</w:t>
      </w:r>
      <w:r w:rsidRPr="009B0448">
        <w:rPr>
          <w:rFonts w:ascii="Times New Roman" w:hAnsi="Times New Roman" w:cs="Times New Roman"/>
        </w:rPr>
        <w:t>, 2015). In the African context</w:t>
      </w:r>
      <w:r w:rsidR="0011592E" w:rsidRPr="009B0448">
        <w:rPr>
          <w:rFonts w:ascii="Times New Roman" w:hAnsi="Times New Roman" w:cs="Times New Roman"/>
        </w:rPr>
        <w:t>,</w:t>
      </w:r>
      <w:r w:rsidRPr="009B0448">
        <w:rPr>
          <w:rFonts w:ascii="Times New Roman" w:hAnsi="Times New Roman" w:cs="Times New Roman"/>
        </w:rPr>
        <w:t xml:space="preserve"> it is even more important to create these plural governance spaces that acknowledge diverse and multiple knowledge systems and framings of nature (see also section 6.5.3 and Figure 6.5). However, building polycentric governance systems is not a simple task and can be derailed by conflicting interests. </w:t>
      </w:r>
    </w:p>
    <w:p w14:paraId="3D7BCF78" w14:textId="77777777" w:rsidR="009F0016" w:rsidRPr="009B0448" w:rsidRDefault="009F0016" w:rsidP="009F0016">
      <w:pPr>
        <w:spacing w:line="276" w:lineRule="auto"/>
        <w:jc w:val="both"/>
        <w:rPr>
          <w:rFonts w:ascii="Times New Roman" w:hAnsi="Times New Roman" w:cs="Times New Roman"/>
        </w:rPr>
      </w:pPr>
    </w:p>
    <w:p w14:paraId="7D739232" w14:textId="0FD2B047" w:rsidR="00466AAB" w:rsidRPr="009B0448" w:rsidRDefault="00860A38"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20C14732" wp14:editId="1E4B69AA">
            <wp:extent cx="5731510" cy="259334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 6.2.JPG"/>
                    <pic:cNvPicPr/>
                  </pic:nvPicPr>
                  <pic:blipFill>
                    <a:blip r:embed="rId1746">
                      <a:extLst>
                        <a:ext uri="{28A0092B-C50C-407E-A947-70E740481C1C}">
                          <a14:useLocalDpi xmlns:a14="http://schemas.microsoft.com/office/drawing/2010/main" val="0"/>
                        </a:ext>
                      </a:extLst>
                    </a:blip>
                    <a:stretch>
                      <a:fillRect/>
                    </a:stretch>
                  </pic:blipFill>
                  <pic:spPr>
                    <a:xfrm>
                      <a:off x="0" y="0"/>
                      <a:ext cx="5731510" cy="2593340"/>
                    </a:xfrm>
                    <a:prstGeom prst="rect">
                      <a:avLst/>
                    </a:prstGeom>
                  </pic:spPr>
                </pic:pic>
              </a:graphicData>
            </a:graphic>
          </wp:inline>
        </w:drawing>
      </w:r>
    </w:p>
    <w:p w14:paraId="722A0F7C" w14:textId="62B7A792" w:rsidR="00860A38" w:rsidRPr="009B0448" w:rsidRDefault="00860A38" w:rsidP="009F0016">
      <w:pPr>
        <w:spacing w:line="276" w:lineRule="auto"/>
        <w:jc w:val="both"/>
        <w:rPr>
          <w:rFonts w:ascii="Times New Roman" w:hAnsi="Times New Roman" w:cs="Times New Roman"/>
        </w:rPr>
      </w:pPr>
      <w:r w:rsidRPr="009B0448">
        <w:rPr>
          <w:rFonts w:ascii="Times New Roman" w:hAnsi="Times New Roman" w:cs="Times New Roman"/>
          <w:b/>
        </w:rPr>
        <w:t>Figure 6.2:</w:t>
      </w:r>
      <w:r w:rsidRPr="009B0448">
        <w:rPr>
          <w:rFonts w:ascii="Times New Roman" w:hAnsi="Times New Roman" w:cs="Times New Roman"/>
        </w:rPr>
        <w:t xml:space="preserve"> Polycentric and adaptive governance from ‘weak’ to ‘strong’ polycentricity across the four adaptive processes of strategic adaptive management. The figures a, b, c and d illustrate different processes of polycentric coordination and order: (a) illustrates a simple communication network that allows for mutual adjustment in multi-actor settings; (b) illustrates a stronger form of coordination as it combines communication linkages (dotted lines), with formal partnerships arrangements (solid lines); (c) denotes a stronger form of polycentricity involving tangible joint projects/experiments between actors (shaded areas) often with overlap; and (d) is the strongest form of polycentric order, and involves strong formal ties between key actors as well as a suite of joint projects, and the evolution of rules. Some external communication linkages to peripheral actors (dotted lines) co-exist with this stronger form of polycentric order often denoted as the ‘polycentric system’. Colours illustrate the diversity of actors, and sizes are rough illustrations of the importance that different actors (nodes) play in the evolving network. These different configurations are important to understand at different stages of the adaptive management cycle as different configurations may be more appropriate depending on the level of co-production of knowledge it requires. Source: Galaz </w:t>
      </w:r>
      <w:r w:rsidRPr="009B0448">
        <w:rPr>
          <w:rFonts w:ascii="Times New Roman" w:hAnsi="Times New Roman" w:cs="Times New Roman"/>
          <w:i/>
        </w:rPr>
        <w:t>et al.</w:t>
      </w:r>
      <w:r w:rsidRPr="009B0448">
        <w:rPr>
          <w:rFonts w:ascii="Times New Roman" w:hAnsi="Times New Roman" w:cs="Times New Roman"/>
        </w:rPr>
        <w:t xml:space="preserve"> (2012).</w:t>
      </w:r>
    </w:p>
    <w:p w14:paraId="57DAC898" w14:textId="77777777" w:rsidR="00860A38" w:rsidRPr="009B0448" w:rsidRDefault="00860A38" w:rsidP="009F0016">
      <w:pPr>
        <w:spacing w:line="276" w:lineRule="auto"/>
        <w:jc w:val="both"/>
        <w:rPr>
          <w:rFonts w:ascii="Times New Roman" w:hAnsi="Times New Roman" w:cs="Times New Roman"/>
        </w:rPr>
      </w:pPr>
    </w:p>
    <w:p w14:paraId="2B21132A" w14:textId="204DADD9"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As governance becomes more polycentric and networked, the active alignment of political and institutional factors becomes necessary, both across the same level (horizontal integration) and between different institutional levels (vertical integration) (Varis </w:t>
      </w:r>
      <w:r w:rsidR="000429F8" w:rsidRPr="009B0448">
        <w:rPr>
          <w:rFonts w:ascii="Times New Roman" w:hAnsi="Times New Roman" w:cs="Times New Roman"/>
          <w:i/>
        </w:rPr>
        <w:t>et al.</w:t>
      </w:r>
      <w:r w:rsidRPr="009B0448">
        <w:rPr>
          <w:rFonts w:ascii="Times New Roman" w:hAnsi="Times New Roman" w:cs="Times New Roman"/>
        </w:rPr>
        <w:t xml:space="preserve">, 2014). While institutions and platforms that facilitate cross-sector interaction and learning can assist with this (see Stringer </w:t>
      </w:r>
      <w:r w:rsidR="000429F8" w:rsidRPr="009B0448">
        <w:rPr>
          <w:rFonts w:ascii="Times New Roman" w:hAnsi="Times New Roman" w:cs="Times New Roman"/>
          <w:i/>
        </w:rPr>
        <w:t>et al.</w:t>
      </w:r>
      <w:r w:rsidRPr="009B0448">
        <w:rPr>
          <w:rFonts w:ascii="Times New Roman" w:hAnsi="Times New Roman" w:cs="Times New Roman"/>
        </w:rPr>
        <w:t xml:space="preserve"> (2014) for examples of multi-stakeholder coordination platforms linked to managing climate change in Zimbabwe and Zambia), in the absence of such mechanisms, policy conflicts, competition for scarce resources and duplication of efforts can ensue (Stringer </w:t>
      </w:r>
      <w:r w:rsidR="000429F8" w:rsidRPr="009B0448">
        <w:rPr>
          <w:rFonts w:ascii="Times New Roman" w:hAnsi="Times New Roman" w:cs="Times New Roman"/>
          <w:i/>
        </w:rPr>
        <w:t>et al.</w:t>
      </w:r>
      <w:r w:rsidRPr="009B0448">
        <w:rPr>
          <w:rFonts w:ascii="Times New Roman" w:hAnsi="Times New Roman" w:cs="Times New Roman"/>
        </w:rPr>
        <w:t xml:space="preserve">, 2009; 2012). Ostrom (2010) highlights that devolving some decision-making to the local level whilst being able to maintain higher-level strategy is an important component for governing natural resources. This is particularly the case in situations with complex mixes of public and private </w:t>
      </w:r>
      <w:r w:rsidR="00574E50" w:rsidRPr="009B0448">
        <w:rPr>
          <w:rFonts w:ascii="Times New Roman" w:hAnsi="Times New Roman" w:cs="Times New Roman"/>
        </w:rPr>
        <w:t>decision-mak</w:t>
      </w:r>
      <w:r w:rsidRPr="009B0448">
        <w:rPr>
          <w:rFonts w:ascii="Times New Roman" w:hAnsi="Times New Roman" w:cs="Times New Roman"/>
        </w:rPr>
        <w:t xml:space="preserve">ing. Box 6.1 provides an example of the challenges in implementing such a polycentric governance in Guinea (Abe </w:t>
      </w:r>
      <w:r w:rsidR="000429F8" w:rsidRPr="009B0448">
        <w:rPr>
          <w:rFonts w:ascii="Times New Roman" w:hAnsi="Times New Roman" w:cs="Times New Roman"/>
          <w:i/>
        </w:rPr>
        <w:t>et al.</w:t>
      </w:r>
      <w:r w:rsidRPr="009B0448">
        <w:rPr>
          <w:rFonts w:ascii="Times New Roman" w:hAnsi="Times New Roman" w:cs="Times New Roman"/>
        </w:rPr>
        <w:t xml:space="preserve">, 2016). Other African countries provide further insights. Muller (2012) and Pollard </w:t>
      </w:r>
      <w:r w:rsidR="000429F8" w:rsidRPr="009B0448">
        <w:rPr>
          <w:rFonts w:ascii="Times New Roman" w:hAnsi="Times New Roman" w:cs="Times New Roman"/>
          <w:i/>
        </w:rPr>
        <w:t>et al.</w:t>
      </w:r>
      <w:r w:rsidRPr="009B0448">
        <w:rPr>
          <w:rFonts w:ascii="Times New Roman" w:hAnsi="Times New Roman" w:cs="Times New Roman"/>
        </w:rPr>
        <w:t xml:space="preserve">, (2011) focus on adaptive water governance in South Africa, while Ethiopia allows its regional states and indigenous institutions to be involved in </w:t>
      </w:r>
      <w:r w:rsidR="00574E50" w:rsidRPr="009B0448">
        <w:rPr>
          <w:rFonts w:ascii="Times New Roman" w:hAnsi="Times New Roman" w:cs="Times New Roman"/>
        </w:rPr>
        <w:t>decision-mak</w:t>
      </w:r>
      <w:r w:rsidRPr="009B0448">
        <w:rPr>
          <w:rFonts w:ascii="Times New Roman" w:hAnsi="Times New Roman" w:cs="Times New Roman"/>
        </w:rPr>
        <w:t xml:space="preserve">ing (Hailu </w:t>
      </w:r>
      <w:r w:rsidR="000429F8" w:rsidRPr="009B0448">
        <w:rPr>
          <w:rFonts w:ascii="Times New Roman" w:hAnsi="Times New Roman" w:cs="Times New Roman"/>
          <w:i/>
        </w:rPr>
        <w:t>et al.</w:t>
      </w:r>
      <w:r w:rsidRPr="009B0448">
        <w:rPr>
          <w:rFonts w:ascii="Times New Roman" w:hAnsi="Times New Roman" w:cs="Times New Roman"/>
        </w:rPr>
        <w:t xml:space="preserve">, 2008). </w:t>
      </w:r>
    </w:p>
    <w:p w14:paraId="6F76EE89" w14:textId="77777777" w:rsidR="009F0016" w:rsidRPr="009B0448" w:rsidRDefault="009F0016" w:rsidP="009F0016">
      <w:pPr>
        <w:spacing w:line="276" w:lineRule="auto"/>
        <w:jc w:val="both"/>
        <w:rPr>
          <w:rFonts w:ascii="Times New Roman" w:hAnsi="Times New Roman" w:cs="Times New Roman"/>
        </w:rPr>
      </w:pPr>
    </w:p>
    <w:p w14:paraId="3B5CE575" w14:textId="77777777" w:rsidR="00F83B61" w:rsidRPr="009B0448" w:rsidRDefault="00F83B61" w:rsidP="009F0016">
      <w:pPr>
        <w:spacing w:line="276" w:lineRule="auto"/>
        <w:jc w:val="both"/>
        <w:rPr>
          <w:rFonts w:ascii="Times New Roman" w:hAnsi="Times New Roman" w:cs="Times New Roman"/>
          <w:sz w:val="20"/>
          <w:szCs w:val="20"/>
        </w:rPr>
      </w:pPr>
      <w:r w:rsidRPr="009B0448">
        <w:rPr>
          <w:rFonts w:ascii="Times New Roman" w:hAnsi="Times New Roman" w:cs="Times New Roman"/>
          <w:noProof/>
          <w:sz w:val="20"/>
          <w:szCs w:val="20"/>
          <w:lang w:eastAsia="en-GB"/>
        </w:rPr>
        <mc:AlternateContent>
          <mc:Choice Requires="wps">
            <w:drawing>
              <wp:inline distT="0" distB="0" distL="0" distR="0" wp14:anchorId="1B5AFCFF" wp14:editId="60C52011">
                <wp:extent cx="5728996" cy="4879910"/>
                <wp:effectExtent l="0" t="0" r="24130" b="16510"/>
                <wp:docPr id="1" name="Rectangle 1"/>
                <wp:cNvGraphicFramePr/>
                <a:graphic xmlns:a="http://schemas.openxmlformats.org/drawingml/2006/main">
                  <a:graphicData uri="http://schemas.microsoft.com/office/word/2010/wordprocessingShape">
                    <wps:wsp>
                      <wps:cNvSpPr/>
                      <wps:spPr>
                        <a:xfrm>
                          <a:off x="0" y="0"/>
                          <a:ext cx="5728996" cy="4879910"/>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3A6AD4FD" w14:textId="77777777" w:rsidR="00BC0CFA" w:rsidRDefault="00BC0CFA" w:rsidP="009F0016">
                            <w:pPr>
                              <w:spacing w:line="276" w:lineRule="auto"/>
                              <w:jc w:val="both"/>
                              <w:textDirection w:val="btLr"/>
                              <w:rPr>
                                <w:rFonts w:ascii="Times New Roman" w:eastAsia="Times New Roman" w:hAnsi="Times New Roman" w:cs="Times New Roman"/>
                                <w:b/>
                              </w:rPr>
                            </w:pPr>
                            <w:r w:rsidRPr="00466AAB">
                              <w:rPr>
                                <w:rFonts w:ascii="Times New Roman" w:eastAsia="Times New Roman" w:hAnsi="Times New Roman" w:cs="Times New Roman"/>
                                <w:b/>
                              </w:rPr>
                              <w:t>Box 6.1: Polycentric governance in the Gulf of Guinea</w:t>
                            </w:r>
                            <w:r w:rsidRPr="00466AAB">
                              <w:rPr>
                                <w:rFonts w:ascii="Times New Roman" w:hAnsi="Times New Roman" w:cs="Times New Roman"/>
                              </w:rPr>
                              <w:t xml:space="preserve"> </w:t>
                            </w:r>
                            <w:r w:rsidRPr="00466AAB">
                              <w:rPr>
                                <w:rFonts w:ascii="Times New Roman" w:eastAsia="Times New Roman" w:hAnsi="Times New Roman" w:cs="Times New Roman"/>
                                <w:b/>
                              </w:rPr>
                              <w:t>Large Marine Ecosystem</w:t>
                            </w:r>
                          </w:p>
                          <w:p w14:paraId="62BD5386" w14:textId="77777777" w:rsidR="00BC0CFA" w:rsidRPr="00466AAB" w:rsidRDefault="00BC0CFA" w:rsidP="009F0016">
                            <w:pPr>
                              <w:spacing w:line="276" w:lineRule="auto"/>
                              <w:jc w:val="both"/>
                              <w:textDirection w:val="btLr"/>
                              <w:rPr>
                                <w:rFonts w:ascii="Times New Roman" w:eastAsia="Times New Roman" w:hAnsi="Times New Roman" w:cs="Times New Roman"/>
                                <w:b/>
                              </w:rPr>
                            </w:pPr>
                          </w:p>
                          <w:p w14:paraId="2F79BD7C" w14:textId="148D1C63" w:rsidR="00BC0CFA" w:rsidRDefault="00BC0CFA" w:rsidP="009F0016">
                            <w:pPr>
                              <w:spacing w:line="276" w:lineRule="auto"/>
                              <w:jc w:val="both"/>
                              <w:rPr>
                                <w:rFonts w:ascii="Times New Roman" w:hAnsi="Times New Roman" w:cs="Times New Roman"/>
                              </w:rPr>
                            </w:pPr>
                            <w:r w:rsidRPr="00466AAB">
                              <w:rPr>
                                <w:rFonts w:ascii="Times New Roman" w:hAnsi="Times New Roman" w:cs="Times New Roman"/>
                              </w:rPr>
                              <w:t xml:space="preserve">Out of a region-wide concern to curb continued degradation of the marine ecosystems and the risk of coastal erosion, 16 countries sharing the Gulf of Guinea Large Marine Ecosystem collectively initiated a trans-boundary project with a governance model that targeted actions to improve the socioeconomic conditions of the population across the shared coastal marine ecosystem. The broad objectives of the project were to recover depleted fishery stocks and ensure their sustainable utilisation, to reduce further pollution of the ocean and restore and maintain a healthy ecosystem. The success of the governance structure and institutional arrangement was centred on strength of the collective decision-making body, the steering committee formed by the member </w:t>
                            </w:r>
                            <w:r>
                              <w:rPr>
                                <w:rFonts w:ascii="Times New Roman" w:hAnsi="Times New Roman" w:cs="Times New Roman"/>
                              </w:rPr>
                              <w:t>countries, with a real decision-</w:t>
                            </w:r>
                            <w:r w:rsidRPr="00466AAB">
                              <w:rPr>
                                <w:rFonts w:ascii="Times New Roman" w:hAnsi="Times New Roman" w:cs="Times New Roman"/>
                              </w:rPr>
                              <w:t xml:space="preserve">making exercise by the countries over the management of their coastal marine ecosystem. The governance model resulted in more transparency and built trust among the participating countries easing access to disputed boundaries, which were access-restricted even for research purposes. The multilevel stakeholders (international, regional, national and sub-national) engagement in the governance structure underpinned the success of the project. One unique feature that built support for the initiative was its ‘middle out’ approach rather than a typical ‘top-down’ approach. The ‘middle out’ approach basically started building a network of large marine ecosystem professionals from the different levels of governance. This network worked together with those access to policy </w:t>
                            </w:r>
                            <w:r>
                              <w:rPr>
                                <w:rFonts w:ascii="Times New Roman" w:hAnsi="Times New Roman" w:cs="Times New Roman"/>
                              </w:rPr>
                              <w:t>decision-mak</w:t>
                            </w:r>
                            <w:r w:rsidRPr="00466AAB">
                              <w:rPr>
                                <w:rFonts w:ascii="Times New Roman" w:hAnsi="Times New Roman" w:cs="Times New Roman"/>
                              </w:rPr>
                              <w:t xml:space="preserve">ers, as well as engaging with the grassroots actors who utilise the marine ecosystem resources. </w:t>
                            </w:r>
                          </w:p>
                          <w:p w14:paraId="7E99862C" w14:textId="77777777" w:rsidR="00BC0CFA" w:rsidRPr="00466AAB" w:rsidRDefault="00BC0CFA" w:rsidP="009F0016">
                            <w:pPr>
                              <w:spacing w:line="276" w:lineRule="auto"/>
                              <w:jc w:val="both"/>
                              <w:rPr>
                                <w:rFonts w:ascii="Times New Roman" w:hAnsi="Times New Roman" w:cs="Times New Roman"/>
                              </w:rPr>
                            </w:pPr>
                          </w:p>
                          <w:p w14:paraId="497C779A" w14:textId="77777777" w:rsidR="00BC0CFA" w:rsidRPr="00466AAB" w:rsidRDefault="00BC0CFA" w:rsidP="009F0016">
                            <w:pPr>
                              <w:spacing w:line="276" w:lineRule="auto"/>
                              <w:jc w:val="both"/>
                              <w:rPr>
                                <w:rFonts w:ascii="Times New Roman" w:hAnsi="Times New Roman" w:cs="Times New Roman"/>
                              </w:rPr>
                            </w:pPr>
                            <w:r w:rsidRPr="00466AAB">
                              <w:rPr>
                                <w:rFonts w:ascii="Times New Roman" w:hAnsi="Times New Roman" w:cs="Times New Roman"/>
                              </w:rPr>
                              <w:t>Challenges faced by the project, including interruptions of funding, were successfully managed and the effort eventually culminated in the creation of a commission by a protocol to the Convention for the Cooperation in the Protection and Development of the Marine and Coastal Environment of the West and Central and Southern African Region in 2012. The resulting agreement is called the Abidjan Convention.</w:t>
                            </w:r>
                          </w:p>
                        </w:txbxContent>
                      </wps:txbx>
                      <wps:bodyPr wrap="square" lIns="91425" tIns="45700" rIns="91425" bIns="45700" anchor="t" anchorCtr="0">
                        <a:noAutofit/>
                      </wps:bodyPr>
                    </wps:wsp>
                  </a:graphicData>
                </a:graphic>
              </wp:inline>
            </w:drawing>
          </mc:Choice>
          <mc:Fallback>
            <w:pict>
              <v:rect w14:anchorId="1B5AFCFF" id="Rectangle 1" o:spid="_x0000_s1039" style="width:451.1pt;height:38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" fillcolor="#f2f2f2 [3052]">
                <v:textbox inset="2.53958mm,1.2694mm,2.53958mm,1.2694mm">
                  <w:txbxContent>
                    <w:p w14:paraId="3A6AD4FD" w14:textId="77777777" w:rsidR="00BC0CFA" w:rsidRDefault="00BC0CFA" w:rsidP="009F0016">
                      <w:pPr>
                        <w:spacing w:line="276" w:lineRule="auto"/>
                        <w:jc w:val="both"/>
                        <w:textDirection w:val="btLr"/>
                        <w:rPr>
                          <w:rFonts w:ascii="Times New Roman" w:eastAsia="Times New Roman" w:hAnsi="Times New Roman" w:cs="Times New Roman"/>
                          <w:b/>
                        </w:rPr>
                      </w:pPr>
                      <w:r w:rsidRPr="00466AAB">
                        <w:rPr>
                          <w:rFonts w:ascii="Times New Roman" w:eastAsia="Times New Roman" w:hAnsi="Times New Roman" w:cs="Times New Roman"/>
                          <w:b/>
                        </w:rPr>
                        <w:t>Box 6.1: Polycentric governance in the Gulf of Guinea</w:t>
                      </w:r>
                      <w:r w:rsidRPr="00466AAB">
                        <w:rPr>
                          <w:rFonts w:ascii="Times New Roman" w:hAnsi="Times New Roman" w:cs="Times New Roman"/>
                        </w:rPr>
                        <w:t xml:space="preserve"> </w:t>
                      </w:r>
                      <w:r w:rsidRPr="00466AAB">
                        <w:rPr>
                          <w:rFonts w:ascii="Times New Roman" w:eastAsia="Times New Roman" w:hAnsi="Times New Roman" w:cs="Times New Roman"/>
                          <w:b/>
                        </w:rPr>
                        <w:t>Large Marine Ecosystem</w:t>
                      </w:r>
                    </w:p>
                    <w:p w14:paraId="62BD5386" w14:textId="77777777" w:rsidR="00BC0CFA" w:rsidRPr="00466AAB" w:rsidRDefault="00BC0CFA" w:rsidP="009F0016">
                      <w:pPr>
                        <w:spacing w:line="276" w:lineRule="auto"/>
                        <w:jc w:val="both"/>
                        <w:textDirection w:val="btLr"/>
                        <w:rPr>
                          <w:rFonts w:ascii="Times New Roman" w:eastAsia="Times New Roman" w:hAnsi="Times New Roman" w:cs="Times New Roman"/>
                          <w:b/>
                        </w:rPr>
                      </w:pPr>
                    </w:p>
                    <w:p w14:paraId="2F79BD7C" w14:textId="148D1C63" w:rsidR="00BC0CFA" w:rsidRDefault="00BC0CFA" w:rsidP="009F0016">
                      <w:pPr>
                        <w:spacing w:line="276" w:lineRule="auto"/>
                        <w:jc w:val="both"/>
                        <w:rPr>
                          <w:rFonts w:ascii="Times New Roman" w:hAnsi="Times New Roman" w:cs="Times New Roman"/>
                        </w:rPr>
                      </w:pPr>
                      <w:r w:rsidRPr="00466AAB">
                        <w:rPr>
                          <w:rFonts w:ascii="Times New Roman" w:hAnsi="Times New Roman" w:cs="Times New Roman"/>
                        </w:rPr>
                        <w:t xml:space="preserve">Out of a region-wide concern to curb continued degradation of the marine ecosystems and the risk of coastal erosion, 16 countries sharing the Gulf of Guinea Large Marine Ecosystem collectively initiated a trans-boundary project with a governance model that targeted actions to improve the socioeconomic conditions of the population across the shared coastal marine ecosystem. The broad objectives of the project were to recover depleted fishery stocks and ensure their sustainable utilisation, to reduce further pollution of the ocean and restore and maintain a healthy ecosystem. The success of the governance structure and institutional arrangement was centred on strength of the collective decision-making body, the steering committee formed by the member </w:t>
                      </w:r>
                      <w:r>
                        <w:rPr>
                          <w:rFonts w:ascii="Times New Roman" w:hAnsi="Times New Roman" w:cs="Times New Roman"/>
                        </w:rPr>
                        <w:t>countries, with a real decision-</w:t>
                      </w:r>
                      <w:r w:rsidRPr="00466AAB">
                        <w:rPr>
                          <w:rFonts w:ascii="Times New Roman" w:hAnsi="Times New Roman" w:cs="Times New Roman"/>
                        </w:rPr>
                        <w:t xml:space="preserve">making exercise by the countries over the management of their coastal marine ecosystem. The governance model resulted in more transparency and built trust among the participating countries easing access to disputed boundaries, which were access-restricted even for research purposes. The multilevel stakeholders (international, regional, national and sub-national) engagement in the governance structure underpinned the success of the project. One unique feature that built support for the initiative was its ‘middle out’ approach rather than a typical ‘top-down’ approach. The ‘middle out’ approach basically started building a network of large marine ecosystem professionals from the different levels of governance. This network worked together with those access to policy </w:t>
                      </w:r>
                      <w:r>
                        <w:rPr>
                          <w:rFonts w:ascii="Times New Roman" w:hAnsi="Times New Roman" w:cs="Times New Roman"/>
                        </w:rPr>
                        <w:t>decision-mak</w:t>
                      </w:r>
                      <w:r w:rsidRPr="00466AAB">
                        <w:rPr>
                          <w:rFonts w:ascii="Times New Roman" w:hAnsi="Times New Roman" w:cs="Times New Roman"/>
                        </w:rPr>
                        <w:t xml:space="preserve">ers, as well as engaging with the grassroots actors who utilise the marine ecosystem resources. </w:t>
                      </w:r>
                    </w:p>
                    <w:p w14:paraId="7E99862C" w14:textId="77777777" w:rsidR="00BC0CFA" w:rsidRPr="00466AAB" w:rsidRDefault="00BC0CFA" w:rsidP="009F0016">
                      <w:pPr>
                        <w:spacing w:line="276" w:lineRule="auto"/>
                        <w:jc w:val="both"/>
                        <w:rPr>
                          <w:rFonts w:ascii="Times New Roman" w:hAnsi="Times New Roman" w:cs="Times New Roman"/>
                        </w:rPr>
                      </w:pPr>
                    </w:p>
                    <w:p w14:paraId="497C779A" w14:textId="77777777" w:rsidR="00BC0CFA" w:rsidRPr="00466AAB" w:rsidRDefault="00BC0CFA" w:rsidP="009F0016">
                      <w:pPr>
                        <w:spacing w:line="276" w:lineRule="auto"/>
                        <w:jc w:val="both"/>
                        <w:rPr>
                          <w:rFonts w:ascii="Times New Roman" w:hAnsi="Times New Roman" w:cs="Times New Roman"/>
                        </w:rPr>
                      </w:pPr>
                      <w:r w:rsidRPr="00466AAB">
                        <w:rPr>
                          <w:rFonts w:ascii="Times New Roman" w:hAnsi="Times New Roman" w:cs="Times New Roman"/>
                        </w:rPr>
                        <w:t>Challenges faced by the project, including interruptions of funding, were successfully managed and the effort eventually culminated in the creation of a commission by a protocol to the Convention for the Cooperation in the Protection and Development of the Marine and Coastal Environment of the West and Central and Southern African Region in 2012. The resulting agreement is called the Abidjan Convention.</w:t>
                      </w:r>
                    </w:p>
                  </w:txbxContent>
                </v:textbox>
                <w10:anchorlock/>
              </v:rect>
            </w:pict>
          </mc:Fallback>
        </mc:AlternateContent>
      </w:r>
    </w:p>
    <w:p w14:paraId="75DB8062" w14:textId="77777777" w:rsidR="00F83B61" w:rsidRPr="009B0448" w:rsidRDefault="00F83B61" w:rsidP="00FA7185">
      <w:pPr>
        <w:pStyle w:val="Heading3"/>
        <w:widowControl w:val="0"/>
        <w:numPr>
          <w:ilvl w:val="1"/>
          <w:numId w:val="11"/>
        </w:numPr>
        <w:spacing w:before="240" w:after="240"/>
        <w:ind w:left="709" w:hanging="720"/>
        <w:rPr>
          <w:rFonts w:eastAsia="Calibri" w:cs="Times New Roman"/>
          <w:szCs w:val="24"/>
        </w:rPr>
      </w:pPr>
      <w:bookmarkStart w:id="495" w:name="_Toc502937680"/>
      <w:bookmarkStart w:id="496" w:name="_Toc519500047"/>
      <w:r w:rsidRPr="009B0448">
        <w:rPr>
          <w:rFonts w:eastAsia="Calibri" w:cs="Times New Roman"/>
          <w:szCs w:val="24"/>
        </w:rPr>
        <w:t>Assessing the existing multi-level policy context for the governance of Africa’s biodiversity and ecosystem services</w:t>
      </w:r>
      <w:bookmarkEnd w:id="495"/>
      <w:bookmarkEnd w:id="496"/>
    </w:p>
    <w:p w14:paraId="00D9295D" w14:textId="62F60B2A"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Section 6.3.1 assesses the international agreements that constitute the current global policy framework within which Africa’s polycentric governance options can be defined. It then evaluates the continent’s progress towards the Convention on Biological Diversity’s Aichi Biodiversity Targets, highlighting the links between these and the Sustainable Development Goals. Section 6.3.2 assesses the </w:t>
      </w:r>
      <w:r w:rsidR="00B22D81">
        <w:rPr>
          <w:rFonts w:ascii="Times New Roman" w:hAnsi="Times New Roman" w:cs="Times New Roman"/>
        </w:rPr>
        <w:t>subregion</w:t>
      </w:r>
      <w:r w:rsidRPr="009B0448">
        <w:rPr>
          <w:rFonts w:ascii="Times New Roman" w:hAnsi="Times New Roman" w:cs="Times New Roman"/>
        </w:rPr>
        <w:t xml:space="preserve">al level policy context and 6.3.3 focuses on the national level. </w:t>
      </w:r>
    </w:p>
    <w:p w14:paraId="26148EB5" w14:textId="77777777" w:rsidR="00F83B61" w:rsidRPr="009B0448" w:rsidRDefault="00F83B61" w:rsidP="00FA7185">
      <w:pPr>
        <w:pStyle w:val="111"/>
        <w:numPr>
          <w:ilvl w:val="2"/>
          <w:numId w:val="11"/>
        </w:numPr>
        <w:spacing w:before="240" w:after="240"/>
        <w:ind w:left="709" w:hanging="720"/>
        <w:rPr>
          <w:rFonts w:cs="Times New Roman"/>
          <w:i w:val="0"/>
          <w:sz w:val="22"/>
          <w:szCs w:val="22"/>
        </w:rPr>
      </w:pPr>
      <w:bookmarkStart w:id="497" w:name="_Toc502937681"/>
      <w:bookmarkStart w:id="498" w:name="_Toc519500048"/>
      <w:r w:rsidRPr="009B0448">
        <w:rPr>
          <w:rFonts w:cs="Times New Roman"/>
          <w:i w:val="0"/>
          <w:sz w:val="22"/>
          <w:szCs w:val="22"/>
        </w:rPr>
        <w:t>The international policy context</w:t>
      </w:r>
      <w:bookmarkEnd w:id="497"/>
      <w:bookmarkEnd w:id="498"/>
    </w:p>
    <w:p w14:paraId="7DB378E3" w14:textId="7F26F26F"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Maintaining and improving Africa’s rich biodiversity and ecological infrastructure is essential to address the cross-cutting challenges identified in previous chapters (e.g.</w:t>
      </w:r>
      <w:r w:rsidR="00E24BC5">
        <w:rPr>
          <w:rFonts w:ascii="Times New Roman" w:hAnsi="Times New Roman" w:cs="Times New Roman"/>
        </w:rPr>
        <w:t>,</w:t>
      </w:r>
      <w:r w:rsidRPr="009B0448">
        <w:rPr>
          <w:rFonts w:ascii="Times New Roman" w:hAnsi="Times New Roman" w:cs="Times New Roman"/>
        </w:rPr>
        <w:t xml:space="preserve"> see Chapters 1 and 4), enabling nature’s endurance, humans to live well in balance with nature, and the sustainable use of biodiversity and ecosystem services. The IPBES document on policy support tools and </w:t>
      </w:r>
      <w:r w:rsidRPr="009B0448">
        <w:rPr>
          <w:rFonts w:ascii="Times New Roman" w:hAnsi="Times New Roman" w:cs="Times New Roman"/>
          <w:color w:val="auto"/>
        </w:rPr>
        <w:t xml:space="preserve">methodologies (IPBES, 2016a) identifies </w:t>
      </w:r>
      <w:r w:rsidRPr="009B0448">
        <w:rPr>
          <w:rFonts w:ascii="Times New Roman" w:hAnsi="Times New Roman" w:cs="Times New Roman"/>
        </w:rPr>
        <w:t>several Multilateral Environmental Agreements to which most African countries are signatories and that have relevance to biodiversity and ecosystem services, some of which also link to human development. These are set out in Table 6.1, alongside the other Rio Conventions (United Nations Convention to Combat Desertification, United Nations Framework Convention on Climate Change) in terms of their links to biodiversity and ecosystem services in Africa.</w:t>
      </w:r>
    </w:p>
    <w:p w14:paraId="056C09EA" w14:textId="77777777" w:rsidR="009F0016" w:rsidRPr="009B0448" w:rsidRDefault="009F0016" w:rsidP="009F0016">
      <w:pPr>
        <w:spacing w:line="276" w:lineRule="auto"/>
        <w:jc w:val="both"/>
        <w:rPr>
          <w:rFonts w:ascii="Times New Roman" w:hAnsi="Times New Roman" w:cs="Times New Roman"/>
        </w:rPr>
      </w:pPr>
    </w:p>
    <w:p w14:paraId="2F9D6A9C" w14:textId="25BE61C5"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Under the Convention on Biological Diversity, African nations address biodiversity and ecosystem services via the Strategic Plan for Biodiversity 2011–2020 (CBD Secretariat, 2010), through their strategies, plans, programmes and projects, legislation and other measures. The Strategic Plan comprises a shared vision, mission, strategic goals and 20 targets, serving as a flexible framework for establishing national and regional targets and promoting </w:t>
      </w:r>
      <w:r w:rsidR="0011592E" w:rsidRPr="009B0448">
        <w:rPr>
          <w:rFonts w:ascii="Times New Roman" w:hAnsi="Times New Roman" w:cs="Times New Roman"/>
        </w:rPr>
        <w:t xml:space="preserve">the </w:t>
      </w:r>
      <w:r w:rsidRPr="009B0448">
        <w:rPr>
          <w:rFonts w:ascii="Times New Roman" w:hAnsi="Times New Roman" w:cs="Times New Roman"/>
        </w:rPr>
        <w:t xml:space="preserve">coherent and effective implementation of the Convention on Biological Diversity objectives. Figure 6.3 summarises Africa’s progress in relation to the Aichi Biodiversity Targets (see also Appendix 6.1), and demonstrates particularly that the continent has made important progress in awareness-raising about biodiversity by NGOs. There is also an improved understanding of metrics and tools for biodiversity stocktaking, recognising that as consumption of natural resources increases in Africa, the role of indigenous knowledge, science, and technology have also become more critical. </w:t>
      </w:r>
    </w:p>
    <w:p w14:paraId="0749D2BD" w14:textId="77777777" w:rsidR="00FC4B42" w:rsidRPr="009B0448" w:rsidRDefault="00FC4B42" w:rsidP="009F0016">
      <w:pPr>
        <w:spacing w:line="276" w:lineRule="auto"/>
        <w:jc w:val="both"/>
        <w:rPr>
          <w:rFonts w:ascii="Times New Roman" w:hAnsi="Times New Roman" w:cs="Times New Roman"/>
        </w:rPr>
      </w:pPr>
    </w:p>
    <w:p w14:paraId="1CC51267" w14:textId="6EAAA381" w:rsidR="009F0016" w:rsidRPr="009B0448" w:rsidRDefault="00FC4B42" w:rsidP="009F0016">
      <w:pPr>
        <w:spacing w:line="276" w:lineRule="auto"/>
        <w:jc w:val="both"/>
        <w:rPr>
          <w:rFonts w:ascii="Times New Roman" w:hAnsi="Times New Roman" w:cs="Times New Roman"/>
        </w:rPr>
      </w:pPr>
      <w:r w:rsidRPr="009B0448">
        <w:rPr>
          <w:rFonts w:ascii="Times New Roman" w:hAnsi="Times New Roman" w:cs="Times New Roman"/>
          <w:b/>
        </w:rPr>
        <w:t>Table 6.1:</w:t>
      </w:r>
      <w:r w:rsidRPr="009B0448">
        <w:rPr>
          <w:rFonts w:ascii="Times New Roman" w:hAnsi="Times New Roman" w:cs="Times New Roman"/>
        </w:rPr>
        <w:t xml:space="preserve"> </w:t>
      </w:r>
      <w:r w:rsidR="00D65826" w:rsidRPr="009B0448">
        <w:rPr>
          <w:rFonts w:ascii="Times New Roman" w:hAnsi="Times New Roman" w:cs="Times New Roman"/>
        </w:rPr>
        <w:t>Links between key multilateral environmental agreements and related protocols, key agreements on indigenous and local knowledge, and biodiversity and ecosystem services in Africa.</w:t>
      </w:r>
    </w:p>
    <w:tbl>
      <w:tblPr>
        <w:tblStyle w:val="9"/>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0"/>
        <w:gridCol w:w="2839"/>
        <w:gridCol w:w="4907"/>
      </w:tblGrid>
      <w:tr w:rsidR="00F83B61" w:rsidRPr="009B0448" w14:paraId="3CB9FB32" w14:textId="77777777" w:rsidTr="00FC4B42">
        <w:tc>
          <w:tcPr>
            <w:tcW w:w="1276" w:type="dxa"/>
            <w:shd w:val="clear" w:color="auto" w:fill="DBDBDB" w:themeFill="accent3" w:themeFillTint="66"/>
          </w:tcPr>
          <w:p w14:paraId="56B2807B"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Multilateral Environmental Agreement</w:t>
            </w:r>
          </w:p>
        </w:tc>
        <w:tc>
          <w:tcPr>
            <w:tcW w:w="2857" w:type="dxa"/>
            <w:shd w:val="clear" w:color="auto" w:fill="DBDBDB" w:themeFill="accent3" w:themeFillTint="66"/>
          </w:tcPr>
          <w:p w14:paraId="18F7CD3F"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Focus and overview</w:t>
            </w:r>
          </w:p>
        </w:tc>
        <w:tc>
          <w:tcPr>
            <w:tcW w:w="4939" w:type="dxa"/>
            <w:shd w:val="clear" w:color="auto" w:fill="DBDBDB" w:themeFill="accent3" w:themeFillTint="66"/>
          </w:tcPr>
          <w:p w14:paraId="7589A633"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Links to biodiversity and ecosystem services in Africa</w:t>
            </w:r>
          </w:p>
        </w:tc>
      </w:tr>
      <w:tr w:rsidR="00F83B61" w:rsidRPr="009B0448" w14:paraId="2EABC710" w14:textId="77777777" w:rsidTr="00FC4B42">
        <w:trPr>
          <w:trHeight w:val="270"/>
        </w:trPr>
        <w:tc>
          <w:tcPr>
            <w:tcW w:w="1276" w:type="dxa"/>
            <w:shd w:val="clear" w:color="auto" w:fill="DBDBDB" w:themeFill="accent3" w:themeFillTint="66"/>
          </w:tcPr>
          <w:p w14:paraId="45E692FE"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 xml:space="preserve">CBD - </w:t>
            </w:r>
            <w:r w:rsidRPr="009B0448">
              <w:rPr>
                <w:rFonts w:ascii="Times New Roman" w:hAnsi="Times New Roman" w:cs="Times New Roman"/>
                <w:b/>
                <w:i/>
                <w:color w:val="auto"/>
                <w:sz w:val="22"/>
                <w:szCs w:val="22"/>
              </w:rPr>
              <w:t>Convention on Biological Diversity</w:t>
            </w:r>
          </w:p>
        </w:tc>
        <w:tc>
          <w:tcPr>
            <w:tcW w:w="2857" w:type="dxa"/>
          </w:tcPr>
          <w:p w14:paraId="39A1EE58" w14:textId="1703B8DF"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The United Nations </w:t>
            </w:r>
            <w:r w:rsidRPr="009B0448">
              <w:rPr>
                <w:rFonts w:ascii="Times New Roman" w:hAnsi="Times New Roman" w:cs="Times New Roman"/>
                <w:i/>
                <w:color w:val="auto"/>
                <w:sz w:val="22"/>
                <w:szCs w:val="22"/>
              </w:rPr>
              <w:t>Convention on Biological Diversity</w:t>
            </w:r>
            <w:r w:rsidRPr="009B0448">
              <w:rPr>
                <w:rFonts w:ascii="Times New Roman" w:hAnsi="Times New Roman" w:cs="Times New Roman"/>
                <w:color w:val="auto"/>
                <w:sz w:val="22"/>
                <w:szCs w:val="22"/>
              </w:rPr>
              <w:t xml:space="preserve"> (CBD Secretariat, 2010) has three objectives: i) to conserve biological diversity; ii) to use its </w:t>
            </w:r>
            <w:r w:rsidR="0011592E" w:rsidRPr="009B0448">
              <w:rPr>
                <w:rFonts w:ascii="Times New Roman" w:hAnsi="Times New Roman" w:cs="Times New Roman"/>
                <w:color w:val="auto"/>
                <w:sz w:val="22"/>
                <w:szCs w:val="22"/>
              </w:rPr>
              <w:t>components in a sustainable way,</w:t>
            </w:r>
            <w:r w:rsidRPr="009B0448">
              <w:rPr>
                <w:rFonts w:ascii="Times New Roman" w:hAnsi="Times New Roman" w:cs="Times New Roman"/>
                <w:color w:val="auto"/>
                <w:sz w:val="22"/>
                <w:szCs w:val="22"/>
              </w:rPr>
              <w:t xml:space="preserve"> and</w:t>
            </w:r>
            <w:r w:rsidR="0011592E" w:rsidRPr="009B0448">
              <w:rPr>
                <w:rFonts w:ascii="Times New Roman" w:hAnsi="Times New Roman" w:cs="Times New Roman"/>
                <w:color w:val="auto"/>
                <w:sz w:val="22"/>
                <w:szCs w:val="22"/>
              </w:rPr>
              <w:t>;</w:t>
            </w:r>
            <w:r w:rsidRPr="009B0448">
              <w:rPr>
                <w:rFonts w:ascii="Times New Roman" w:hAnsi="Times New Roman" w:cs="Times New Roman"/>
                <w:color w:val="auto"/>
                <w:sz w:val="22"/>
                <w:szCs w:val="22"/>
              </w:rPr>
              <w:t xml:space="preserve"> iii) to share fairly and equitably the benefits arising from the use of genetic resources. The Convention also has three protocols; the Cartagena Protocol on Biosafety, the Nagoya Kuala Lumpur Supplementary Protocol on Liability and Redress and the Nagoya Protocol on Access to Genetic Resources and the Fair and Equitable Sharing of Benefits Arising from their Use. The Strategic Plan for Biodiversity 2011–2020 is a ten-year framework for action by all countries and stakeholders to save biodiversity and enhance its benefits for people. It is a flexible framework used for developing national targets, based on the Aichi Biodiversity Targets. National targets are developed taking into account countries’ priorities and capacities and their contribution to the collective efforts to reach the global Aichi Biodiversity Targets. </w:t>
            </w:r>
          </w:p>
        </w:tc>
        <w:tc>
          <w:tcPr>
            <w:tcW w:w="4939" w:type="dxa"/>
          </w:tcPr>
          <w:p w14:paraId="1441782B" w14:textId="65E2FEDA"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Africa, being immensely rich in biodiversity, supports nearly a quarter of global biodiversity, much of which plays a vital role in promoting ecosystem services (UNEP-WCMC, 2016). Although considerable progress has been made in the conservation of Africa’s biodiversity, high population growth rates, rapid </w:t>
            </w:r>
            <w:r w:rsidR="00574E50" w:rsidRPr="009B0448">
              <w:rPr>
                <w:rFonts w:ascii="Times New Roman" w:hAnsi="Times New Roman" w:cs="Times New Roman"/>
                <w:color w:val="auto"/>
                <w:sz w:val="22"/>
                <w:szCs w:val="22"/>
              </w:rPr>
              <w:t>urbanis</w:t>
            </w:r>
            <w:r w:rsidR="00C76378" w:rsidRPr="009B0448">
              <w:rPr>
                <w:rFonts w:ascii="Times New Roman" w:hAnsi="Times New Roman" w:cs="Times New Roman"/>
                <w:color w:val="auto"/>
                <w:sz w:val="22"/>
                <w:szCs w:val="22"/>
              </w:rPr>
              <w:t>ation</w:t>
            </w:r>
            <w:r w:rsidRPr="009B0448">
              <w:rPr>
                <w:rFonts w:ascii="Times New Roman" w:hAnsi="Times New Roman" w:cs="Times New Roman"/>
                <w:color w:val="auto"/>
                <w:sz w:val="22"/>
                <w:szCs w:val="22"/>
              </w:rPr>
              <w:t xml:space="preserve"> and agricultural expansion, pose enormous challenges in reconciling environmental and economic issues with human well-being. In view of these challenges, there is a need to look into how national</w:t>
            </w:r>
            <w:r w:rsidR="0011592E" w:rsidRPr="009B0448">
              <w:rPr>
                <w:rFonts w:ascii="Times New Roman" w:hAnsi="Times New Roman" w:cs="Times New Roman"/>
                <w:color w:val="auto"/>
                <w:sz w:val="22"/>
                <w:szCs w:val="22"/>
              </w:rPr>
              <w:t xml:space="preserve"> governments and other decision-</w:t>
            </w:r>
            <w:r w:rsidRPr="009B0448">
              <w:rPr>
                <w:rFonts w:ascii="Times New Roman" w:hAnsi="Times New Roman" w:cs="Times New Roman"/>
                <w:color w:val="auto"/>
                <w:sz w:val="22"/>
                <w:szCs w:val="22"/>
              </w:rPr>
              <w:t xml:space="preserve">makers can be involved to enhance and facilitate implementation of the Strategic Plan for Biodiversity 2011-2020 as well as progress towards attainment of Aichi Biodiversity Targets. National Biodiversity Strategies and Action Plans are vital instruments in the implementation of the </w:t>
            </w:r>
            <w:r w:rsidRPr="009B0448">
              <w:rPr>
                <w:rFonts w:ascii="Times New Roman" w:hAnsi="Times New Roman" w:cs="Times New Roman"/>
                <w:i/>
                <w:color w:val="auto"/>
                <w:sz w:val="22"/>
                <w:szCs w:val="22"/>
              </w:rPr>
              <w:t>Convention on Biological Diversity</w:t>
            </w:r>
            <w:r w:rsidRPr="009B0448">
              <w:rPr>
                <w:rFonts w:ascii="Times New Roman" w:hAnsi="Times New Roman" w:cs="Times New Roman"/>
                <w:color w:val="auto"/>
                <w:sz w:val="22"/>
                <w:szCs w:val="22"/>
              </w:rPr>
              <w:t xml:space="preserve"> at the national level as stipulated in Article 6 of the </w:t>
            </w:r>
            <w:r w:rsidRPr="009B0448">
              <w:rPr>
                <w:rFonts w:ascii="Times New Roman" w:hAnsi="Times New Roman" w:cs="Times New Roman"/>
                <w:i/>
                <w:color w:val="auto"/>
                <w:sz w:val="22"/>
                <w:szCs w:val="22"/>
              </w:rPr>
              <w:t>Convention on Biological Diversity</w:t>
            </w:r>
            <w:r w:rsidRPr="009B0448">
              <w:rPr>
                <w:rFonts w:ascii="Times New Roman" w:hAnsi="Times New Roman" w:cs="Times New Roman"/>
                <w:color w:val="auto"/>
                <w:sz w:val="22"/>
                <w:szCs w:val="22"/>
              </w:rPr>
              <w:t xml:space="preserve">. It is commendable that 54 African countries are parties to the </w:t>
            </w:r>
            <w:r w:rsidRPr="009B0448">
              <w:rPr>
                <w:rFonts w:ascii="Times New Roman" w:hAnsi="Times New Roman" w:cs="Times New Roman"/>
                <w:i/>
                <w:color w:val="auto"/>
                <w:sz w:val="22"/>
                <w:szCs w:val="22"/>
              </w:rPr>
              <w:t>Convention on Biological Diversity</w:t>
            </w:r>
            <w:r w:rsidRPr="009B0448">
              <w:rPr>
                <w:rFonts w:ascii="Times New Roman" w:hAnsi="Times New Roman" w:cs="Times New Roman"/>
                <w:color w:val="auto"/>
                <w:sz w:val="22"/>
                <w:szCs w:val="22"/>
              </w:rPr>
              <w:t>, 39 to the Nagoya Protocol on Access and Benefit Sharing, 49 to the Cartagena Protocol on Biosafety and 18 to the Nagoya Kuala Lumpur Supplementary Protocol on Liability and Redress. Although 51 African countries have developed National Biodiversity Strategies and Action Plans, some of which are under revision, in revised or completed forms, a few countries are still at the inception stage, preparing their first drafts (</w:t>
            </w:r>
            <w:hyperlink r:id="rId1747" w:history="1">
              <w:r w:rsidRPr="009B0448">
                <w:rPr>
                  <w:rStyle w:val="Hyperlink"/>
                  <w:rFonts w:ascii="Times New Roman" w:hAnsi="Times New Roman" w:cs="Times New Roman"/>
                  <w:sz w:val="22"/>
                  <w:szCs w:val="22"/>
                </w:rPr>
                <w:t>https://www.cbd.int/nbsap/default.shtml</w:t>
              </w:r>
            </w:hyperlink>
            <w:r w:rsidRPr="009B0448">
              <w:rPr>
                <w:rFonts w:ascii="Times New Roman" w:hAnsi="Times New Roman" w:cs="Times New Roman"/>
                <w:color w:val="auto"/>
                <w:sz w:val="22"/>
                <w:szCs w:val="22"/>
              </w:rPr>
              <w:t xml:space="preserve">). As such, concerted efforts are still needed in order to support plans for biodiversity conservation. These can be achieved through </w:t>
            </w:r>
            <w:r w:rsidR="0011592E" w:rsidRPr="009B0448">
              <w:rPr>
                <w:rFonts w:ascii="Times New Roman" w:hAnsi="Times New Roman" w:cs="Times New Roman"/>
                <w:color w:val="auto"/>
                <w:sz w:val="22"/>
                <w:szCs w:val="22"/>
              </w:rPr>
              <w:t xml:space="preserve">the </w:t>
            </w:r>
            <w:r w:rsidRPr="009B0448">
              <w:rPr>
                <w:rFonts w:ascii="Times New Roman" w:hAnsi="Times New Roman" w:cs="Times New Roman"/>
                <w:color w:val="auto"/>
                <w:sz w:val="22"/>
                <w:szCs w:val="22"/>
              </w:rPr>
              <w:t>regular update of the national biodiversity strategies and actions plans, and by facilitating policy coherence and mainstreaming of biodiversity within and across sectors, innovation and piloting of new ideas and encouraging the mobilisation of resources (UNEP-WCMC, 2016).</w:t>
            </w:r>
          </w:p>
        </w:tc>
      </w:tr>
      <w:tr w:rsidR="00F83B61" w:rsidRPr="009B0448" w14:paraId="4CCEA32F" w14:textId="77777777" w:rsidTr="00FC4B42">
        <w:tc>
          <w:tcPr>
            <w:tcW w:w="1276" w:type="dxa"/>
            <w:shd w:val="clear" w:color="auto" w:fill="DBDBDB" w:themeFill="accent3" w:themeFillTint="66"/>
          </w:tcPr>
          <w:p w14:paraId="0F00888F"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 xml:space="preserve">UNFCCC - </w:t>
            </w:r>
            <w:r w:rsidRPr="009B0448">
              <w:rPr>
                <w:rFonts w:ascii="Times New Roman" w:hAnsi="Times New Roman" w:cs="Times New Roman"/>
                <w:b/>
                <w:i/>
                <w:color w:val="auto"/>
                <w:sz w:val="22"/>
                <w:szCs w:val="22"/>
              </w:rPr>
              <w:t>United Nations</w:t>
            </w:r>
            <w:r w:rsidRPr="009B0448">
              <w:rPr>
                <w:rFonts w:ascii="Times New Roman" w:hAnsi="Times New Roman" w:cs="Times New Roman"/>
                <w:b/>
                <w:color w:val="auto"/>
                <w:sz w:val="22"/>
                <w:szCs w:val="22"/>
              </w:rPr>
              <w:t xml:space="preserve"> </w:t>
            </w:r>
            <w:r w:rsidRPr="009B0448">
              <w:rPr>
                <w:rFonts w:ascii="Times New Roman" w:hAnsi="Times New Roman" w:cs="Times New Roman"/>
                <w:b/>
                <w:i/>
                <w:color w:val="auto"/>
                <w:sz w:val="22"/>
                <w:szCs w:val="22"/>
              </w:rPr>
              <w:t>Framework Convention on Climate Change</w:t>
            </w:r>
          </w:p>
        </w:tc>
        <w:tc>
          <w:tcPr>
            <w:tcW w:w="2857" w:type="dxa"/>
          </w:tcPr>
          <w:p w14:paraId="22837DF7" w14:textId="05CB34A9"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The </w:t>
            </w:r>
            <w:r w:rsidRPr="009B0448">
              <w:rPr>
                <w:rFonts w:ascii="Times New Roman" w:hAnsi="Times New Roman" w:cs="Times New Roman"/>
                <w:i/>
                <w:color w:val="auto"/>
                <w:sz w:val="22"/>
                <w:szCs w:val="22"/>
              </w:rPr>
              <w:t>United Nations</w:t>
            </w:r>
            <w:r w:rsidRPr="009B0448">
              <w:rPr>
                <w:rFonts w:ascii="Times New Roman" w:hAnsi="Times New Roman" w:cs="Times New Roman"/>
                <w:color w:val="auto"/>
                <w:sz w:val="22"/>
                <w:szCs w:val="22"/>
              </w:rPr>
              <w:t xml:space="preserve"> </w:t>
            </w:r>
            <w:r w:rsidRPr="009B0448">
              <w:rPr>
                <w:rFonts w:ascii="Times New Roman" w:hAnsi="Times New Roman" w:cs="Times New Roman"/>
                <w:i/>
                <w:color w:val="auto"/>
                <w:sz w:val="22"/>
                <w:szCs w:val="22"/>
              </w:rPr>
              <w:t xml:space="preserve">Framework Convention on Climate Change </w:t>
            </w:r>
            <w:r w:rsidRPr="009B0448">
              <w:rPr>
                <w:rFonts w:ascii="Times New Roman" w:hAnsi="Times New Roman" w:cs="Times New Roman"/>
                <w:color w:val="auto"/>
                <w:sz w:val="22"/>
                <w:szCs w:val="22"/>
              </w:rPr>
              <w:t>(UN, 1992) provides</w:t>
            </w:r>
            <w:r w:rsidR="0011592E" w:rsidRPr="009B0448">
              <w:rPr>
                <w:rFonts w:ascii="Times New Roman" w:hAnsi="Times New Roman" w:cs="Times New Roman"/>
                <w:color w:val="auto"/>
                <w:sz w:val="22"/>
                <w:szCs w:val="22"/>
              </w:rPr>
              <w:t xml:space="preserve"> an overall framework for inter</w:t>
            </w:r>
            <w:r w:rsidRPr="009B0448">
              <w:rPr>
                <w:rFonts w:ascii="Times New Roman" w:hAnsi="Times New Roman" w:cs="Times New Roman"/>
                <w:color w:val="auto"/>
                <w:sz w:val="22"/>
                <w:szCs w:val="22"/>
              </w:rPr>
              <w:t xml:space="preserve">governmental efforts to address climate change. Its overall objective is to stabilise greenhouse gas concentrations in the atmosphere at a level that will prevent dangerous human interference with the climate system. The </w:t>
            </w:r>
            <w:r w:rsidRPr="009B0448">
              <w:rPr>
                <w:rFonts w:ascii="Times New Roman" w:hAnsi="Times New Roman" w:cs="Times New Roman"/>
                <w:i/>
                <w:color w:val="auto"/>
                <w:sz w:val="22"/>
                <w:szCs w:val="22"/>
              </w:rPr>
              <w:t>United Nations</w:t>
            </w:r>
            <w:r w:rsidRPr="009B0448">
              <w:rPr>
                <w:rFonts w:ascii="Times New Roman" w:hAnsi="Times New Roman" w:cs="Times New Roman"/>
                <w:color w:val="auto"/>
                <w:sz w:val="22"/>
                <w:szCs w:val="22"/>
              </w:rPr>
              <w:t xml:space="preserve"> </w:t>
            </w:r>
            <w:r w:rsidRPr="009B0448">
              <w:rPr>
                <w:rFonts w:ascii="Times New Roman" w:hAnsi="Times New Roman" w:cs="Times New Roman"/>
                <w:i/>
                <w:color w:val="auto"/>
                <w:sz w:val="22"/>
                <w:szCs w:val="22"/>
              </w:rPr>
              <w:t xml:space="preserve">Framework Convention on Climate Change </w:t>
            </w:r>
            <w:r w:rsidRPr="009B0448">
              <w:rPr>
                <w:rFonts w:ascii="Times New Roman" w:hAnsi="Times New Roman" w:cs="Times New Roman"/>
                <w:color w:val="auto"/>
                <w:sz w:val="22"/>
                <w:szCs w:val="22"/>
              </w:rPr>
              <w:t xml:space="preserve">has 196 parties and is the parent treaty of the 1997 Kyoto Protocol, ratified by 192 of the </w:t>
            </w:r>
            <w:r w:rsidRPr="009B0448">
              <w:rPr>
                <w:rFonts w:ascii="Times New Roman" w:hAnsi="Times New Roman" w:cs="Times New Roman"/>
                <w:i/>
                <w:color w:val="auto"/>
                <w:sz w:val="22"/>
                <w:szCs w:val="22"/>
              </w:rPr>
              <w:t>United Nations</w:t>
            </w:r>
            <w:r w:rsidRPr="009B0448">
              <w:rPr>
                <w:rFonts w:ascii="Times New Roman" w:hAnsi="Times New Roman" w:cs="Times New Roman"/>
                <w:color w:val="auto"/>
                <w:sz w:val="22"/>
                <w:szCs w:val="22"/>
              </w:rPr>
              <w:t xml:space="preserve"> </w:t>
            </w:r>
            <w:r w:rsidRPr="009B0448">
              <w:rPr>
                <w:rFonts w:ascii="Times New Roman" w:hAnsi="Times New Roman" w:cs="Times New Roman"/>
                <w:i/>
                <w:color w:val="auto"/>
                <w:sz w:val="22"/>
                <w:szCs w:val="22"/>
              </w:rPr>
              <w:t xml:space="preserve">Framework Convention on Climate Change </w:t>
            </w:r>
            <w:r w:rsidRPr="009B0448">
              <w:rPr>
                <w:rFonts w:ascii="Times New Roman" w:hAnsi="Times New Roman" w:cs="Times New Roman"/>
                <w:color w:val="auto"/>
                <w:sz w:val="22"/>
                <w:szCs w:val="22"/>
              </w:rPr>
              <w:t>Parties.</w:t>
            </w:r>
          </w:p>
        </w:tc>
        <w:tc>
          <w:tcPr>
            <w:tcW w:w="4939" w:type="dxa"/>
          </w:tcPr>
          <w:p w14:paraId="2984200F" w14:textId="33212748" w:rsidR="00F83B61" w:rsidRPr="009B0448" w:rsidRDefault="00F83B61" w:rsidP="0011592E">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All 54 African countries are parties to the </w:t>
            </w:r>
            <w:r w:rsidRPr="009B0448">
              <w:rPr>
                <w:rFonts w:ascii="Times New Roman" w:hAnsi="Times New Roman" w:cs="Times New Roman"/>
                <w:i/>
                <w:color w:val="auto"/>
                <w:sz w:val="22"/>
                <w:szCs w:val="22"/>
              </w:rPr>
              <w:t>United Nations</w:t>
            </w:r>
            <w:r w:rsidRPr="009B0448">
              <w:rPr>
                <w:rFonts w:ascii="Times New Roman" w:hAnsi="Times New Roman" w:cs="Times New Roman"/>
                <w:color w:val="auto"/>
                <w:sz w:val="22"/>
                <w:szCs w:val="22"/>
              </w:rPr>
              <w:t xml:space="preserve"> </w:t>
            </w:r>
            <w:r w:rsidRPr="009B0448">
              <w:rPr>
                <w:rFonts w:ascii="Times New Roman" w:hAnsi="Times New Roman" w:cs="Times New Roman"/>
                <w:i/>
                <w:color w:val="auto"/>
                <w:sz w:val="22"/>
                <w:szCs w:val="22"/>
              </w:rPr>
              <w:t>Framework Convention on Climate Change</w:t>
            </w:r>
            <w:r w:rsidRPr="009B0448">
              <w:rPr>
                <w:rFonts w:ascii="Times New Roman" w:hAnsi="Times New Roman" w:cs="Times New Roman"/>
                <w:color w:val="auto"/>
                <w:sz w:val="22"/>
                <w:szCs w:val="22"/>
              </w:rPr>
              <w:t xml:space="preserve">. Projections suggest biodiversity losses will be exacerbated directly due to impacts of climate change on habitats. Africa has been centre stage in many </w:t>
            </w:r>
            <w:r w:rsidRPr="009B0448">
              <w:rPr>
                <w:rFonts w:ascii="Times New Roman" w:hAnsi="Times New Roman" w:cs="Times New Roman"/>
                <w:i/>
                <w:color w:val="auto"/>
                <w:sz w:val="22"/>
                <w:szCs w:val="22"/>
              </w:rPr>
              <w:t>United Nations</w:t>
            </w:r>
            <w:r w:rsidRPr="009B0448">
              <w:rPr>
                <w:rFonts w:ascii="Times New Roman" w:hAnsi="Times New Roman" w:cs="Times New Roman"/>
                <w:color w:val="auto"/>
                <w:sz w:val="22"/>
                <w:szCs w:val="22"/>
              </w:rPr>
              <w:t xml:space="preserve"> </w:t>
            </w:r>
            <w:r w:rsidRPr="009B0448">
              <w:rPr>
                <w:rFonts w:ascii="Times New Roman" w:hAnsi="Times New Roman" w:cs="Times New Roman"/>
                <w:i/>
                <w:color w:val="auto"/>
                <w:sz w:val="22"/>
                <w:szCs w:val="22"/>
              </w:rPr>
              <w:t xml:space="preserve">Framework Convention on Climate Change </w:t>
            </w:r>
            <w:r w:rsidRPr="009B0448">
              <w:rPr>
                <w:rFonts w:ascii="Times New Roman" w:hAnsi="Times New Roman" w:cs="Times New Roman"/>
                <w:color w:val="auto"/>
                <w:sz w:val="22"/>
                <w:szCs w:val="22"/>
              </w:rPr>
              <w:t>decisions on mitigation, adaptation, climate finance, technology transfer, amongst others. For example, the Reducing Emissions from Deforesta</w:t>
            </w:r>
            <w:r w:rsidR="00E514D7" w:rsidRPr="009B0448">
              <w:rPr>
                <w:rFonts w:ascii="Times New Roman" w:hAnsi="Times New Roman" w:cs="Times New Roman"/>
                <w:color w:val="auto"/>
                <w:sz w:val="22"/>
                <w:szCs w:val="22"/>
              </w:rPr>
              <w:t>tion and forest Degradation in d</w:t>
            </w:r>
            <w:r w:rsidRPr="009B0448">
              <w:rPr>
                <w:rFonts w:ascii="Times New Roman" w:hAnsi="Times New Roman" w:cs="Times New Roman"/>
                <w:color w:val="auto"/>
                <w:sz w:val="22"/>
                <w:szCs w:val="22"/>
              </w:rPr>
              <w:t>eveloping countries (REDD+) agreed in Cancun in 2010 was based on Africa’s diverse and dense forest ecosystems. Rural African communities who rely largely on ecosystems are most likely to lose their livelihoods due to the negative consequences of climate change and extremes. However, local level adaptation options are generally ecosystem-based and could contribute to increas</w:t>
            </w:r>
            <w:r w:rsidR="0011592E" w:rsidRPr="009B0448">
              <w:rPr>
                <w:rFonts w:ascii="Times New Roman" w:hAnsi="Times New Roman" w:cs="Times New Roman"/>
                <w:color w:val="auto"/>
                <w:sz w:val="22"/>
                <w:szCs w:val="22"/>
              </w:rPr>
              <w:t>ed</w:t>
            </w:r>
            <w:r w:rsidRPr="009B0448">
              <w:rPr>
                <w:rFonts w:ascii="Times New Roman" w:hAnsi="Times New Roman" w:cs="Times New Roman"/>
                <w:color w:val="auto"/>
                <w:sz w:val="22"/>
                <w:szCs w:val="22"/>
              </w:rPr>
              <w:t xml:space="preserve"> ecosystem resilience, biodiversity conservation, carbon sequestration and ecological integrity (CBD Secretariat, 2009).</w:t>
            </w:r>
          </w:p>
        </w:tc>
      </w:tr>
      <w:tr w:rsidR="00F83B61" w:rsidRPr="009B0448" w14:paraId="1C8E2C43" w14:textId="77777777" w:rsidTr="00FC4B42">
        <w:tc>
          <w:tcPr>
            <w:tcW w:w="1276" w:type="dxa"/>
            <w:shd w:val="clear" w:color="auto" w:fill="DBDBDB" w:themeFill="accent3" w:themeFillTint="66"/>
          </w:tcPr>
          <w:p w14:paraId="2E5723B5"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 xml:space="preserve">UNCCD - </w:t>
            </w:r>
            <w:r w:rsidRPr="009B0448">
              <w:rPr>
                <w:rFonts w:ascii="Times New Roman" w:hAnsi="Times New Roman" w:cs="Times New Roman"/>
                <w:b/>
                <w:i/>
                <w:color w:val="auto"/>
                <w:sz w:val="22"/>
                <w:szCs w:val="22"/>
              </w:rPr>
              <w:t>United Nations</w:t>
            </w:r>
            <w:r w:rsidRPr="009B0448">
              <w:rPr>
                <w:rFonts w:ascii="Times New Roman" w:hAnsi="Times New Roman" w:cs="Times New Roman"/>
                <w:b/>
                <w:color w:val="auto"/>
                <w:sz w:val="22"/>
                <w:szCs w:val="22"/>
              </w:rPr>
              <w:t xml:space="preserve"> </w:t>
            </w:r>
            <w:r w:rsidRPr="009B0448">
              <w:rPr>
                <w:rFonts w:ascii="Times New Roman" w:hAnsi="Times New Roman" w:cs="Times New Roman"/>
                <w:b/>
                <w:i/>
                <w:color w:val="auto"/>
                <w:sz w:val="22"/>
                <w:szCs w:val="22"/>
              </w:rPr>
              <w:t>Convention to Combat Desertification</w:t>
            </w:r>
          </w:p>
        </w:tc>
        <w:tc>
          <w:tcPr>
            <w:tcW w:w="2857" w:type="dxa"/>
          </w:tcPr>
          <w:p w14:paraId="6001A43A" w14:textId="77777777"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The </w:t>
            </w:r>
            <w:r w:rsidRPr="009B0448">
              <w:rPr>
                <w:rFonts w:ascii="Times New Roman" w:hAnsi="Times New Roman" w:cs="Times New Roman"/>
                <w:i/>
                <w:color w:val="auto"/>
                <w:sz w:val="22"/>
                <w:szCs w:val="22"/>
              </w:rPr>
              <w:t>United Nations</w:t>
            </w:r>
            <w:r w:rsidRPr="009B0448">
              <w:rPr>
                <w:rFonts w:ascii="Times New Roman" w:hAnsi="Times New Roman" w:cs="Times New Roman"/>
                <w:color w:val="auto"/>
                <w:sz w:val="22"/>
                <w:szCs w:val="22"/>
              </w:rPr>
              <w:t xml:space="preserve"> </w:t>
            </w:r>
            <w:r w:rsidRPr="009B0448">
              <w:rPr>
                <w:rFonts w:ascii="Times New Roman" w:hAnsi="Times New Roman" w:cs="Times New Roman"/>
                <w:i/>
                <w:color w:val="auto"/>
                <w:sz w:val="22"/>
                <w:szCs w:val="22"/>
              </w:rPr>
              <w:t>Convention to Combat Desertification</w:t>
            </w:r>
            <w:r w:rsidRPr="009B0448">
              <w:rPr>
                <w:rFonts w:ascii="Times New Roman" w:hAnsi="Times New Roman" w:cs="Times New Roman"/>
                <w:color w:val="auto"/>
                <w:sz w:val="22"/>
                <w:szCs w:val="22"/>
              </w:rPr>
              <w:t xml:space="preserve"> (UNCCD Secretariat, 1994) aims to combat desertification and mitigate the effects of drought in countries experiencing serious drought and/or desertification, particularly in Africa, through effective action at all levels, supported by international cooperation and partnership arrangements, in the framework of an integrated approach consistent with Agenda 21, with a view to contributing to the achievement of sustainable development in affected countries. </w:t>
            </w:r>
          </w:p>
        </w:tc>
        <w:tc>
          <w:tcPr>
            <w:tcW w:w="4939" w:type="dxa"/>
          </w:tcPr>
          <w:p w14:paraId="3A063E3B" w14:textId="77777777"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The </w:t>
            </w:r>
            <w:r w:rsidRPr="009B0448">
              <w:rPr>
                <w:rFonts w:ascii="Times New Roman" w:hAnsi="Times New Roman" w:cs="Times New Roman"/>
                <w:i/>
                <w:color w:val="auto"/>
                <w:sz w:val="22"/>
                <w:szCs w:val="22"/>
              </w:rPr>
              <w:t>United Nations</w:t>
            </w:r>
            <w:r w:rsidRPr="009B0448">
              <w:rPr>
                <w:rFonts w:ascii="Times New Roman" w:hAnsi="Times New Roman" w:cs="Times New Roman"/>
                <w:color w:val="auto"/>
                <w:sz w:val="22"/>
                <w:szCs w:val="22"/>
              </w:rPr>
              <w:t xml:space="preserve"> </w:t>
            </w:r>
            <w:r w:rsidRPr="009B0448">
              <w:rPr>
                <w:rFonts w:ascii="Times New Roman" w:hAnsi="Times New Roman" w:cs="Times New Roman"/>
                <w:i/>
                <w:color w:val="auto"/>
                <w:sz w:val="22"/>
                <w:szCs w:val="22"/>
              </w:rPr>
              <w:t>Convention to Combat Desertification</w:t>
            </w:r>
            <w:r w:rsidRPr="009B0448">
              <w:rPr>
                <w:rFonts w:ascii="Times New Roman" w:hAnsi="Times New Roman" w:cs="Times New Roman"/>
                <w:color w:val="auto"/>
                <w:sz w:val="22"/>
                <w:szCs w:val="22"/>
              </w:rPr>
              <w:t xml:space="preserve"> appreciates that Africa is especially vulnerable to land degradation and drought and provides a framework for action to prevent and reverse degradation through sustainable land management and restoration of degraded ecosystems and the services they provide. Achieving this objective involves long-term integrated strategies that focus on improved productivity of land, and the rehabilitation, conservation and sustainable management of land and water resources, leading to improved living conditions, in particular at the community level. Africa has its own Annex to the </w:t>
            </w:r>
            <w:r w:rsidRPr="009B0448">
              <w:rPr>
                <w:rFonts w:ascii="Times New Roman" w:hAnsi="Times New Roman" w:cs="Times New Roman"/>
                <w:i/>
                <w:color w:val="auto"/>
                <w:sz w:val="22"/>
                <w:szCs w:val="22"/>
              </w:rPr>
              <w:t>United Nations</w:t>
            </w:r>
            <w:r w:rsidRPr="009B0448">
              <w:rPr>
                <w:rFonts w:ascii="Times New Roman" w:hAnsi="Times New Roman" w:cs="Times New Roman"/>
                <w:color w:val="auto"/>
                <w:sz w:val="22"/>
                <w:szCs w:val="22"/>
              </w:rPr>
              <w:t xml:space="preserve"> </w:t>
            </w:r>
            <w:r w:rsidRPr="009B0448">
              <w:rPr>
                <w:rFonts w:ascii="Times New Roman" w:hAnsi="Times New Roman" w:cs="Times New Roman"/>
                <w:i/>
                <w:color w:val="auto"/>
                <w:sz w:val="22"/>
                <w:szCs w:val="22"/>
              </w:rPr>
              <w:t>Convention to Combat Desertification</w:t>
            </w:r>
            <w:r w:rsidRPr="009B0448">
              <w:rPr>
                <w:rFonts w:ascii="Times New Roman" w:hAnsi="Times New Roman" w:cs="Times New Roman"/>
                <w:color w:val="auto"/>
                <w:sz w:val="22"/>
                <w:szCs w:val="22"/>
              </w:rPr>
              <w:t xml:space="preserve">, highlighting the particular problems experienced by the continent. All United Nations member states in Africa are parties to the </w:t>
            </w:r>
            <w:r w:rsidRPr="009B0448">
              <w:rPr>
                <w:rFonts w:ascii="Times New Roman" w:hAnsi="Times New Roman" w:cs="Times New Roman"/>
                <w:i/>
                <w:color w:val="auto"/>
                <w:sz w:val="22"/>
                <w:szCs w:val="22"/>
              </w:rPr>
              <w:t>United Nations</w:t>
            </w:r>
            <w:r w:rsidRPr="009B0448">
              <w:rPr>
                <w:rFonts w:ascii="Times New Roman" w:hAnsi="Times New Roman" w:cs="Times New Roman"/>
                <w:color w:val="auto"/>
                <w:sz w:val="22"/>
                <w:szCs w:val="22"/>
              </w:rPr>
              <w:t xml:space="preserve"> </w:t>
            </w:r>
            <w:r w:rsidRPr="009B0448">
              <w:rPr>
                <w:rFonts w:ascii="Times New Roman" w:hAnsi="Times New Roman" w:cs="Times New Roman"/>
                <w:i/>
                <w:color w:val="auto"/>
                <w:sz w:val="22"/>
                <w:szCs w:val="22"/>
              </w:rPr>
              <w:t>Convention to Combat Desertification</w:t>
            </w:r>
            <w:r w:rsidRPr="009B0448">
              <w:rPr>
                <w:rFonts w:ascii="Times New Roman" w:hAnsi="Times New Roman" w:cs="Times New Roman"/>
                <w:color w:val="auto"/>
                <w:sz w:val="22"/>
                <w:szCs w:val="22"/>
              </w:rPr>
              <w:t xml:space="preserve">. Conservation and use of biodiversity for its ecosystems services remains one of the primary means of protecting and restoring land from desertification. </w:t>
            </w:r>
          </w:p>
        </w:tc>
      </w:tr>
      <w:tr w:rsidR="00F83B61" w:rsidRPr="009B0448" w14:paraId="7610ED9A" w14:textId="77777777" w:rsidTr="00FC4B42">
        <w:tc>
          <w:tcPr>
            <w:tcW w:w="1276" w:type="dxa"/>
            <w:shd w:val="clear" w:color="auto" w:fill="DBDBDB" w:themeFill="accent3" w:themeFillTint="66"/>
          </w:tcPr>
          <w:p w14:paraId="1544BD1E"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Ramsar Convention</w:t>
            </w:r>
          </w:p>
        </w:tc>
        <w:tc>
          <w:tcPr>
            <w:tcW w:w="2857" w:type="dxa"/>
          </w:tcPr>
          <w:p w14:paraId="0917D2E9" w14:textId="77777777"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The </w:t>
            </w:r>
            <w:r w:rsidRPr="009B0448">
              <w:rPr>
                <w:rFonts w:ascii="Times New Roman" w:hAnsi="Times New Roman" w:cs="Times New Roman"/>
                <w:i/>
                <w:color w:val="auto"/>
                <w:sz w:val="22"/>
                <w:szCs w:val="22"/>
              </w:rPr>
              <w:t>Ramsar Convention</w:t>
            </w:r>
            <w:r w:rsidRPr="009B0448">
              <w:rPr>
                <w:rFonts w:ascii="Times New Roman" w:hAnsi="Times New Roman" w:cs="Times New Roman"/>
                <w:color w:val="auto"/>
                <w:sz w:val="22"/>
                <w:szCs w:val="22"/>
              </w:rPr>
              <w:t xml:space="preserve"> of 1971 is the world’s oldest Multilateral Environmental Agreement. It provides a framework for national actions and international cooperation in order to conserve and wisely use wetlands and their resources (Ramsar Convention, 1971).</w:t>
            </w:r>
          </w:p>
        </w:tc>
        <w:tc>
          <w:tcPr>
            <w:tcW w:w="4939" w:type="dxa"/>
          </w:tcPr>
          <w:p w14:paraId="7202F228" w14:textId="77777777"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There are currently 386 Ramsar sites in Africa in which sites’ locations, uses and potentials are documented. Many of these, such as the Barotse floodplain are driven by flood pulse ecosystem services which provide the primary sources of nutrition, irrigation water, and wildlife habitat in the region. It is nevertheless difficult to say if African governments and conservation agencies have successfully implemented the principles of wise use in wetlands.</w:t>
            </w:r>
          </w:p>
        </w:tc>
      </w:tr>
      <w:tr w:rsidR="00F83B61" w:rsidRPr="009B0448" w14:paraId="04632411" w14:textId="77777777" w:rsidTr="00FC4B42">
        <w:tc>
          <w:tcPr>
            <w:tcW w:w="1276" w:type="dxa"/>
            <w:shd w:val="clear" w:color="auto" w:fill="DBDBDB" w:themeFill="accent3" w:themeFillTint="66"/>
          </w:tcPr>
          <w:p w14:paraId="02781D91"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 xml:space="preserve">CITES - </w:t>
            </w:r>
            <w:r w:rsidRPr="009B0448">
              <w:rPr>
                <w:rFonts w:ascii="Times New Roman" w:hAnsi="Times New Roman" w:cs="Times New Roman"/>
                <w:b/>
                <w:i/>
                <w:color w:val="auto"/>
                <w:sz w:val="22"/>
                <w:szCs w:val="22"/>
              </w:rPr>
              <w:t>Convention on the Illegal Trade of Endangered Species</w:t>
            </w:r>
          </w:p>
        </w:tc>
        <w:tc>
          <w:tcPr>
            <w:tcW w:w="2857" w:type="dxa"/>
          </w:tcPr>
          <w:p w14:paraId="5512F773" w14:textId="77777777"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The aim of the </w:t>
            </w:r>
            <w:r w:rsidRPr="009B0448">
              <w:rPr>
                <w:rFonts w:ascii="Times New Roman" w:hAnsi="Times New Roman" w:cs="Times New Roman"/>
                <w:i/>
                <w:color w:val="auto"/>
                <w:sz w:val="22"/>
                <w:szCs w:val="22"/>
              </w:rPr>
              <w:t>Convention on the Illegal Trade of Endangered Species</w:t>
            </w:r>
            <w:r w:rsidRPr="009B0448">
              <w:rPr>
                <w:rFonts w:ascii="Times New Roman" w:hAnsi="Times New Roman" w:cs="Times New Roman"/>
                <w:color w:val="auto"/>
                <w:sz w:val="22"/>
                <w:szCs w:val="22"/>
              </w:rPr>
              <w:t xml:space="preserve"> (CITES, 1973) is to ensure that global trading of wild animals and plants does not threaten their very existence. The </w:t>
            </w:r>
            <w:r w:rsidRPr="009B0448">
              <w:rPr>
                <w:rFonts w:ascii="Times New Roman" w:hAnsi="Times New Roman" w:cs="Times New Roman"/>
                <w:i/>
                <w:color w:val="auto"/>
                <w:sz w:val="22"/>
                <w:szCs w:val="22"/>
              </w:rPr>
              <w:t>Convention on the Illegal Trade of Endangered Species</w:t>
            </w:r>
            <w:r w:rsidRPr="009B0448">
              <w:rPr>
                <w:rFonts w:ascii="Times New Roman" w:hAnsi="Times New Roman" w:cs="Times New Roman"/>
                <w:color w:val="auto"/>
                <w:sz w:val="22"/>
                <w:szCs w:val="22"/>
              </w:rPr>
              <w:t xml:space="preserve"> works by subjecting international trade in specimens of selected species to certain controls. All import, export, re-export and introduction from the range of species covered by the Convention has to be authorised through a licensing system. Each Party to the Convention must designate one or more Management Authorities in charge of administering that licensing system and one or more Scientific Authorities to advise them on the effects of trade on the status of the species.</w:t>
            </w:r>
          </w:p>
        </w:tc>
        <w:tc>
          <w:tcPr>
            <w:tcW w:w="4939" w:type="dxa"/>
          </w:tcPr>
          <w:p w14:paraId="53ABE453" w14:textId="0D62A597" w:rsidR="00F83B61" w:rsidRPr="009B0448" w:rsidRDefault="00F83B61" w:rsidP="00CD633D">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All African countries</w:t>
            </w:r>
            <w:r w:rsidR="00CD633D" w:rsidRPr="009B0448">
              <w:rPr>
                <w:rFonts w:ascii="Times New Roman" w:hAnsi="Times New Roman" w:cs="Times New Roman"/>
                <w:color w:val="auto"/>
                <w:sz w:val="22"/>
                <w:szCs w:val="22"/>
              </w:rPr>
              <w:t>,</w:t>
            </w:r>
            <w:r w:rsidRPr="009B0448">
              <w:rPr>
                <w:rFonts w:ascii="Times New Roman" w:hAnsi="Times New Roman" w:cs="Times New Roman"/>
                <w:color w:val="auto"/>
                <w:sz w:val="22"/>
                <w:szCs w:val="22"/>
              </w:rPr>
              <w:t xml:space="preserve"> except South Sudan</w:t>
            </w:r>
            <w:r w:rsidR="00FC4F0D" w:rsidRPr="009B0448">
              <w:rPr>
                <w:rFonts w:ascii="Times New Roman" w:hAnsi="Times New Roman" w:cs="Times New Roman"/>
                <w:color w:val="auto"/>
                <w:sz w:val="22"/>
                <w:szCs w:val="22"/>
              </w:rPr>
              <w:t>,</w:t>
            </w:r>
            <w:r w:rsidRPr="009B0448">
              <w:rPr>
                <w:rFonts w:ascii="Times New Roman" w:hAnsi="Times New Roman" w:cs="Times New Roman"/>
                <w:color w:val="auto"/>
                <w:sz w:val="22"/>
                <w:szCs w:val="22"/>
              </w:rPr>
              <w:t xml:space="preserve"> are signatories to </w:t>
            </w:r>
            <w:r w:rsidRPr="009B0448">
              <w:rPr>
                <w:rFonts w:ascii="Times New Roman" w:hAnsi="Times New Roman" w:cs="Times New Roman"/>
                <w:i/>
                <w:color w:val="auto"/>
                <w:sz w:val="22"/>
                <w:szCs w:val="22"/>
              </w:rPr>
              <w:t>Convention on the Illegal Trade of Endangered Species</w:t>
            </w:r>
            <w:r w:rsidRPr="009B0448">
              <w:rPr>
                <w:rFonts w:ascii="Times New Roman" w:hAnsi="Times New Roman" w:cs="Times New Roman"/>
                <w:color w:val="auto"/>
                <w:sz w:val="22"/>
                <w:szCs w:val="22"/>
              </w:rPr>
              <w:t xml:space="preserve">. African wildlife and products are particularly susceptible to illegal trade, and the focus on </w:t>
            </w:r>
            <w:r w:rsidRPr="009B0448">
              <w:rPr>
                <w:rFonts w:ascii="Times New Roman" w:hAnsi="Times New Roman" w:cs="Times New Roman"/>
                <w:i/>
                <w:color w:val="auto"/>
                <w:sz w:val="22"/>
                <w:szCs w:val="22"/>
              </w:rPr>
              <w:t>Convention on the Illegal Trade of Endangered Species</w:t>
            </w:r>
            <w:r w:rsidRPr="009B0448">
              <w:rPr>
                <w:rFonts w:ascii="Times New Roman" w:hAnsi="Times New Roman" w:cs="Times New Roman"/>
                <w:color w:val="auto"/>
                <w:sz w:val="22"/>
                <w:szCs w:val="22"/>
              </w:rPr>
              <w:t xml:space="preserve"> cont</w:t>
            </w:r>
            <w:r w:rsidR="00AF4CB5" w:rsidRPr="009B0448">
              <w:rPr>
                <w:rFonts w:ascii="Times New Roman" w:hAnsi="Times New Roman" w:cs="Times New Roman"/>
                <w:color w:val="auto"/>
                <w:sz w:val="22"/>
                <w:szCs w:val="22"/>
              </w:rPr>
              <w:t>rols – including elephant ivory</w:t>
            </w:r>
            <w:r w:rsidRPr="009B0448">
              <w:rPr>
                <w:rFonts w:ascii="Times New Roman" w:hAnsi="Times New Roman" w:cs="Times New Roman"/>
                <w:color w:val="auto"/>
                <w:sz w:val="22"/>
                <w:szCs w:val="22"/>
              </w:rPr>
              <w:t xml:space="preserve"> and rhinoceros horns. There are 4063 animal and plant species that are listed by </w:t>
            </w:r>
            <w:r w:rsidRPr="009B0448">
              <w:rPr>
                <w:rFonts w:ascii="Times New Roman" w:hAnsi="Times New Roman" w:cs="Times New Roman"/>
                <w:i/>
                <w:color w:val="auto"/>
                <w:sz w:val="22"/>
                <w:szCs w:val="22"/>
              </w:rPr>
              <w:t>Convention on the Illegal Trade of Endangered Species</w:t>
            </w:r>
            <w:r w:rsidRPr="009B0448">
              <w:rPr>
                <w:rFonts w:ascii="Times New Roman" w:hAnsi="Times New Roman" w:cs="Times New Roman"/>
                <w:color w:val="auto"/>
                <w:sz w:val="22"/>
                <w:szCs w:val="22"/>
              </w:rPr>
              <w:t xml:space="preserve"> for Africa (</w:t>
            </w:r>
            <w:hyperlink r:id="rId1748" w:history="1">
              <w:r w:rsidRPr="009B0448">
                <w:rPr>
                  <w:rStyle w:val="Hyperlink"/>
                  <w:rFonts w:ascii="Times New Roman" w:hAnsi="Times New Roman" w:cs="Times New Roman"/>
                  <w:sz w:val="22"/>
                  <w:szCs w:val="22"/>
                </w:rPr>
                <w:t>http://checklist.cites.org/#/en</w:t>
              </w:r>
            </w:hyperlink>
            <w:r w:rsidRPr="009B0448">
              <w:rPr>
                <w:rFonts w:ascii="Times New Roman" w:hAnsi="Times New Roman" w:cs="Times New Roman"/>
                <w:color w:val="auto"/>
                <w:sz w:val="22"/>
                <w:szCs w:val="22"/>
              </w:rPr>
              <w:t xml:space="preserve">), the third most populous regional list following Asia and Central and South America and the Caribbean. Despite its challenges, </w:t>
            </w:r>
            <w:r w:rsidRPr="009B0448">
              <w:rPr>
                <w:rFonts w:ascii="Times New Roman" w:hAnsi="Times New Roman" w:cs="Times New Roman"/>
                <w:i/>
                <w:color w:val="auto"/>
                <w:sz w:val="22"/>
                <w:szCs w:val="22"/>
              </w:rPr>
              <w:t>Convention on the Illegal Trade of Endangered Species</w:t>
            </w:r>
            <w:r w:rsidRPr="009B0448">
              <w:rPr>
                <w:rFonts w:ascii="Times New Roman" w:hAnsi="Times New Roman" w:cs="Times New Roman"/>
                <w:color w:val="auto"/>
                <w:sz w:val="22"/>
                <w:szCs w:val="22"/>
              </w:rPr>
              <w:t xml:space="preserve">-based approaches to biodiversity conservation are well established, receive strong international support, and have a significant impact on the public perception of the country in question. </w:t>
            </w:r>
          </w:p>
        </w:tc>
      </w:tr>
      <w:tr w:rsidR="00F83B61" w:rsidRPr="009B0448" w14:paraId="3DF521F4" w14:textId="77777777" w:rsidTr="00FC4B42">
        <w:tc>
          <w:tcPr>
            <w:tcW w:w="1276" w:type="dxa"/>
            <w:shd w:val="clear" w:color="auto" w:fill="DBDBDB" w:themeFill="accent3" w:themeFillTint="66"/>
          </w:tcPr>
          <w:p w14:paraId="6A6B4078"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 xml:space="preserve">CMS - </w:t>
            </w:r>
            <w:r w:rsidRPr="009B0448">
              <w:rPr>
                <w:rFonts w:ascii="Times New Roman" w:hAnsi="Times New Roman" w:cs="Times New Roman"/>
                <w:b/>
                <w:i/>
                <w:color w:val="auto"/>
                <w:sz w:val="22"/>
                <w:szCs w:val="22"/>
              </w:rPr>
              <w:t>Convention on Conservation of Migratory Species of Wild Animals</w:t>
            </w:r>
          </w:p>
        </w:tc>
        <w:tc>
          <w:tcPr>
            <w:tcW w:w="2857" w:type="dxa"/>
          </w:tcPr>
          <w:p w14:paraId="2F952073" w14:textId="77777777"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The </w:t>
            </w:r>
            <w:r w:rsidRPr="009B0448">
              <w:rPr>
                <w:rFonts w:ascii="Times New Roman" w:hAnsi="Times New Roman" w:cs="Times New Roman"/>
                <w:i/>
                <w:color w:val="auto"/>
                <w:sz w:val="22"/>
                <w:szCs w:val="22"/>
              </w:rPr>
              <w:t xml:space="preserve">Convention on Conservation of Migratory Species of Wild Animals </w:t>
            </w:r>
            <w:r w:rsidRPr="009B0448">
              <w:rPr>
                <w:rFonts w:ascii="Times New Roman" w:hAnsi="Times New Roman" w:cs="Times New Roman"/>
                <w:color w:val="auto"/>
                <w:sz w:val="22"/>
                <w:szCs w:val="22"/>
              </w:rPr>
              <w:t xml:space="preserve">(CMS, 1979), or the Bonn Convention aims to conserve terrestrial, marine and avian migratory species throughout their range. Parties to the </w:t>
            </w:r>
            <w:r w:rsidRPr="009B0448">
              <w:rPr>
                <w:rFonts w:ascii="Times New Roman" w:hAnsi="Times New Roman" w:cs="Times New Roman"/>
                <w:i/>
                <w:color w:val="auto"/>
                <w:sz w:val="22"/>
                <w:szCs w:val="22"/>
              </w:rPr>
              <w:t>Convention on Conservation of Migratory Species of Wild Animals</w:t>
            </w:r>
            <w:r w:rsidRPr="009B0448">
              <w:rPr>
                <w:rFonts w:ascii="Times New Roman" w:hAnsi="Times New Roman" w:cs="Times New Roman"/>
                <w:color w:val="auto"/>
                <w:sz w:val="22"/>
                <w:szCs w:val="22"/>
              </w:rPr>
              <w:t xml:space="preserve"> work together to conserve migratory species and their habitats by providing strict protection for the most endangered migratory species, by concluding regional multilateral agreements for the conservation and management of specific species or categories of species, and by undertaking co-operative research and conservation activities.</w:t>
            </w:r>
          </w:p>
        </w:tc>
        <w:tc>
          <w:tcPr>
            <w:tcW w:w="4939" w:type="dxa"/>
          </w:tcPr>
          <w:p w14:paraId="070AA1FD" w14:textId="283AC2F6" w:rsidR="00F83B61" w:rsidRPr="009B0448" w:rsidRDefault="00F83B61" w:rsidP="00AF4CB5">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Africa retains some of the largest and best-known land migrations made by mammals. Migrations by birds between Africa </w:t>
            </w:r>
            <w:r w:rsidR="00AF4CB5" w:rsidRPr="009B0448">
              <w:rPr>
                <w:rFonts w:ascii="Times New Roman" w:hAnsi="Times New Roman" w:cs="Times New Roman"/>
                <w:color w:val="auto"/>
                <w:sz w:val="22"/>
                <w:szCs w:val="22"/>
              </w:rPr>
              <w:t>and</w:t>
            </w:r>
            <w:r w:rsidRPr="009B0448">
              <w:rPr>
                <w:rFonts w:ascii="Times New Roman" w:hAnsi="Times New Roman" w:cs="Times New Roman"/>
                <w:color w:val="auto"/>
                <w:sz w:val="22"/>
                <w:szCs w:val="22"/>
              </w:rPr>
              <w:t xml:space="preserve"> both Asia and Europe are numerous and include amongst others the Black Sea Mediterranean flyway, the East Atlantic Flyway and the West Asian - East African flyway. These migrations are critical to biodiversity conservation, and in some cases, such as the Wildebeest migration, generate significant revenue through environmental tourism. Conservation of this biodiversity requires coordination between governments to facilitate movement </w:t>
            </w:r>
            <w:r w:rsidR="00AF4CB5" w:rsidRPr="009B0448">
              <w:rPr>
                <w:rFonts w:ascii="Times New Roman" w:hAnsi="Times New Roman" w:cs="Times New Roman"/>
                <w:color w:val="auto"/>
                <w:sz w:val="22"/>
                <w:szCs w:val="22"/>
              </w:rPr>
              <w:t>across</w:t>
            </w:r>
            <w:r w:rsidRPr="009B0448">
              <w:rPr>
                <w:rFonts w:ascii="Times New Roman" w:hAnsi="Times New Roman" w:cs="Times New Roman"/>
                <w:color w:val="auto"/>
                <w:sz w:val="22"/>
                <w:szCs w:val="22"/>
              </w:rPr>
              <w:t xml:space="preserve"> borders as well as </w:t>
            </w:r>
            <w:r w:rsidR="00917FB2">
              <w:rPr>
                <w:rFonts w:ascii="Times New Roman" w:hAnsi="Times New Roman" w:cs="Times New Roman"/>
                <w:color w:val="auto"/>
                <w:sz w:val="22"/>
                <w:szCs w:val="22"/>
              </w:rPr>
              <w:t>land-use</w:t>
            </w:r>
            <w:r w:rsidRPr="009B0448">
              <w:rPr>
                <w:rFonts w:ascii="Times New Roman" w:hAnsi="Times New Roman" w:cs="Times New Roman"/>
                <w:color w:val="auto"/>
                <w:sz w:val="22"/>
                <w:szCs w:val="22"/>
              </w:rPr>
              <w:t xml:space="preserve"> change policies that limit conflict between open migratory pathways and either agricultural or infrastructure development (including fencing). </w:t>
            </w:r>
          </w:p>
        </w:tc>
      </w:tr>
      <w:tr w:rsidR="00F83B61" w:rsidRPr="009B0448" w14:paraId="3661B529" w14:textId="77777777" w:rsidTr="00FC4B42">
        <w:tc>
          <w:tcPr>
            <w:tcW w:w="1276" w:type="dxa"/>
            <w:shd w:val="clear" w:color="auto" w:fill="DBDBDB" w:themeFill="accent3" w:themeFillTint="66"/>
          </w:tcPr>
          <w:p w14:paraId="00246C94"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 xml:space="preserve">ITPGRFA - </w:t>
            </w:r>
            <w:r w:rsidRPr="009B0448">
              <w:rPr>
                <w:rFonts w:ascii="Times New Roman" w:hAnsi="Times New Roman" w:cs="Times New Roman"/>
                <w:b/>
                <w:i/>
                <w:color w:val="auto"/>
                <w:sz w:val="22"/>
                <w:szCs w:val="22"/>
              </w:rPr>
              <w:t>International Treaty on Plant Genetic Resources for Food and Agriculture</w:t>
            </w:r>
          </w:p>
        </w:tc>
        <w:tc>
          <w:tcPr>
            <w:tcW w:w="2857" w:type="dxa"/>
          </w:tcPr>
          <w:p w14:paraId="10662291" w14:textId="77777777"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The </w:t>
            </w:r>
            <w:r w:rsidRPr="009B0448">
              <w:rPr>
                <w:rFonts w:ascii="Times New Roman" w:hAnsi="Times New Roman" w:cs="Times New Roman"/>
                <w:i/>
                <w:color w:val="auto"/>
                <w:sz w:val="22"/>
                <w:szCs w:val="22"/>
              </w:rPr>
              <w:t>International Treaty on Plant Genetic Resources for Food and Agriculture</w:t>
            </w:r>
            <w:r w:rsidRPr="009B0448">
              <w:rPr>
                <w:rFonts w:ascii="Times New Roman" w:hAnsi="Times New Roman" w:cs="Times New Roman"/>
                <w:color w:val="auto"/>
                <w:sz w:val="22"/>
                <w:szCs w:val="22"/>
              </w:rPr>
              <w:t xml:space="preserve"> (FAO, 2009) is an international agreement that aims to guarantee food security through the conservation, exchange and sustainable use of the world's plant genetic resources for food and agriculture, as well as fair and equitable benefit sharing arising from its use. </w:t>
            </w:r>
          </w:p>
        </w:tc>
        <w:tc>
          <w:tcPr>
            <w:tcW w:w="4939" w:type="dxa"/>
          </w:tcPr>
          <w:p w14:paraId="3948BC04" w14:textId="7D4EDE4F"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Africa is the centre of origin for more than 20 commonly traded crops (e.g.</w:t>
            </w:r>
            <w:r w:rsidR="00E24BC5">
              <w:rPr>
                <w:rFonts w:ascii="Times New Roman" w:hAnsi="Times New Roman" w:cs="Times New Roman"/>
                <w:color w:val="auto"/>
                <w:sz w:val="22"/>
                <w:szCs w:val="22"/>
              </w:rPr>
              <w:t>,</w:t>
            </w:r>
            <w:r w:rsidRPr="009B0448">
              <w:rPr>
                <w:rFonts w:ascii="Times New Roman" w:hAnsi="Times New Roman" w:cs="Times New Roman"/>
                <w:color w:val="auto"/>
                <w:sz w:val="22"/>
                <w:szCs w:val="22"/>
              </w:rPr>
              <w:t xml:space="preserve"> millet, sorghum, coffee, yams, cotton, okra), and crops with important nutritional, climate adaptation and market potential (e.g.</w:t>
            </w:r>
            <w:r w:rsidR="00E24BC5">
              <w:rPr>
                <w:rFonts w:ascii="Times New Roman" w:hAnsi="Times New Roman" w:cs="Times New Roman"/>
                <w:color w:val="auto"/>
                <w:sz w:val="22"/>
                <w:szCs w:val="22"/>
              </w:rPr>
              <w:t>,</w:t>
            </w:r>
            <w:r w:rsidRPr="009B0448">
              <w:rPr>
                <w:rFonts w:ascii="Times New Roman" w:hAnsi="Times New Roman" w:cs="Times New Roman"/>
                <w:color w:val="auto"/>
                <w:sz w:val="22"/>
                <w:szCs w:val="22"/>
              </w:rPr>
              <w:t xml:space="preserve"> teff, enset, fonio). Countless local species are used in day-to-day culinary traditions and are gaining increasing attention for their contribution to local dietary diversity and nutrition, as well as global interest in novelty crops and superfoods. The drought tolerance traits of sorghum and millet are driving a growing interest in the cultivation of these plants outside Africa in response to climate change or reduced access to groundwater. The treaty ensures that the benefits of trading such crops are received by ‘custodian’ farmers that have cultivated them. Smallholder farmers in Africa are notably dependent on </w:t>
            </w:r>
            <w:r w:rsidR="00AF4CB5" w:rsidRPr="009B0448">
              <w:rPr>
                <w:rFonts w:ascii="Times New Roman" w:hAnsi="Times New Roman" w:cs="Times New Roman"/>
                <w:color w:val="auto"/>
                <w:sz w:val="22"/>
                <w:szCs w:val="22"/>
              </w:rPr>
              <w:t xml:space="preserve">the </w:t>
            </w:r>
            <w:r w:rsidRPr="009B0448">
              <w:rPr>
                <w:rFonts w:ascii="Times New Roman" w:hAnsi="Times New Roman" w:cs="Times New Roman"/>
                <w:color w:val="auto"/>
                <w:sz w:val="22"/>
                <w:szCs w:val="22"/>
              </w:rPr>
              <w:t xml:space="preserve">local trade of seeds and varieties. The Treaty seeks to ensure the continued capacity to trade seeds between individuals. </w:t>
            </w:r>
          </w:p>
        </w:tc>
      </w:tr>
      <w:tr w:rsidR="00F83B61" w:rsidRPr="009B0448" w14:paraId="5151F352" w14:textId="77777777" w:rsidTr="00FC4B42">
        <w:tc>
          <w:tcPr>
            <w:tcW w:w="1276" w:type="dxa"/>
            <w:shd w:val="clear" w:color="auto" w:fill="DBDBDB" w:themeFill="accent3" w:themeFillTint="66"/>
          </w:tcPr>
          <w:p w14:paraId="5D6FAB6D"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 xml:space="preserve">WHC - </w:t>
            </w:r>
            <w:r w:rsidRPr="009B0448">
              <w:rPr>
                <w:rFonts w:ascii="Times New Roman" w:hAnsi="Times New Roman" w:cs="Times New Roman"/>
                <w:b/>
                <w:i/>
                <w:color w:val="auto"/>
                <w:sz w:val="22"/>
                <w:szCs w:val="22"/>
              </w:rPr>
              <w:t>World Heritage Convention</w:t>
            </w:r>
          </w:p>
        </w:tc>
        <w:tc>
          <w:tcPr>
            <w:tcW w:w="2857" w:type="dxa"/>
          </w:tcPr>
          <w:p w14:paraId="20106405" w14:textId="77777777"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The </w:t>
            </w:r>
            <w:r w:rsidRPr="009B0448">
              <w:rPr>
                <w:rFonts w:ascii="Times New Roman" w:hAnsi="Times New Roman" w:cs="Times New Roman"/>
                <w:i/>
                <w:color w:val="auto"/>
                <w:sz w:val="22"/>
                <w:szCs w:val="22"/>
              </w:rPr>
              <w:t xml:space="preserve">World Heritage Convention </w:t>
            </w:r>
            <w:r w:rsidRPr="009B0448">
              <w:rPr>
                <w:rFonts w:ascii="Times New Roman" w:hAnsi="Times New Roman" w:cs="Times New Roman"/>
                <w:color w:val="auto"/>
                <w:sz w:val="22"/>
                <w:szCs w:val="22"/>
              </w:rPr>
              <w:t xml:space="preserve">(UNESCO, 1972), also known as The Convention on the Protection of the World’s Cultural and Natural Heritage was adopted by the United Nations Educational, Scientific and Cultural Organisation in 1972. The instrument aims to inventory, recognise and protect unique and irreplaceable locations of universal value. Through this convention, parties agree to amongst others: adopt a general policy giving cultural and natural heritage a function in the life of the community and to integrate the protection of that heritage into comprehensive planning programs, and set up services for the protection, conservation and interpretation of that heritage. </w:t>
            </w:r>
          </w:p>
        </w:tc>
        <w:tc>
          <w:tcPr>
            <w:tcW w:w="4939" w:type="dxa"/>
          </w:tcPr>
          <w:p w14:paraId="2FD9CB1D" w14:textId="10322C61"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Africa is home to 135 listed World Cultural and Natural Heritage sites across 37 countries. These sites, however, are in danger or threat</w:t>
            </w:r>
            <w:r w:rsidR="00AF4CB5" w:rsidRPr="009B0448">
              <w:rPr>
                <w:rFonts w:ascii="Times New Roman" w:hAnsi="Times New Roman" w:cs="Times New Roman"/>
                <w:color w:val="auto"/>
                <w:sz w:val="22"/>
                <w:szCs w:val="22"/>
              </w:rPr>
              <w:t>ened by one or a combination of</w:t>
            </w:r>
            <w:r w:rsidRPr="009B0448">
              <w:rPr>
                <w:rFonts w:ascii="Times New Roman" w:hAnsi="Times New Roman" w:cs="Times New Roman"/>
                <w:color w:val="auto"/>
                <w:sz w:val="22"/>
                <w:szCs w:val="22"/>
              </w:rPr>
              <w:t xml:space="preserve"> accelerated deterioration, large-scale public or private projects development, rapid </w:t>
            </w:r>
            <w:r w:rsidR="00574E50" w:rsidRPr="009B0448">
              <w:rPr>
                <w:rFonts w:ascii="Times New Roman" w:hAnsi="Times New Roman" w:cs="Times New Roman"/>
                <w:color w:val="auto"/>
                <w:sz w:val="22"/>
                <w:szCs w:val="22"/>
              </w:rPr>
              <w:t>urbanis</w:t>
            </w:r>
            <w:r w:rsidR="00C76378" w:rsidRPr="009B0448">
              <w:rPr>
                <w:rFonts w:ascii="Times New Roman" w:hAnsi="Times New Roman" w:cs="Times New Roman"/>
                <w:color w:val="auto"/>
                <w:sz w:val="22"/>
                <w:szCs w:val="22"/>
              </w:rPr>
              <w:t>ation</w:t>
            </w:r>
            <w:r w:rsidRPr="009B0448">
              <w:rPr>
                <w:rFonts w:ascii="Times New Roman" w:hAnsi="Times New Roman" w:cs="Times New Roman"/>
                <w:color w:val="auto"/>
                <w:sz w:val="22"/>
                <w:szCs w:val="22"/>
              </w:rPr>
              <w:t xml:space="preserve"> and increased tourism, changes in </w:t>
            </w:r>
            <w:r w:rsidR="00917FB2">
              <w:rPr>
                <w:rFonts w:ascii="Times New Roman" w:hAnsi="Times New Roman" w:cs="Times New Roman"/>
                <w:color w:val="auto"/>
                <w:sz w:val="22"/>
                <w:szCs w:val="22"/>
              </w:rPr>
              <w:t>land-use</w:t>
            </w:r>
            <w:r w:rsidRPr="009B0448">
              <w:rPr>
                <w:rFonts w:ascii="Times New Roman" w:hAnsi="Times New Roman" w:cs="Times New Roman"/>
                <w:color w:val="auto"/>
                <w:sz w:val="22"/>
                <w:szCs w:val="22"/>
              </w:rPr>
              <w:t xml:space="preserve"> and tenure, armed conflict, fires, earthquakes, landslides, volcanic eruptions, floods, tidal waves and changes in water levels. In view of this, parties to the </w:t>
            </w:r>
            <w:r w:rsidRPr="009B0448">
              <w:rPr>
                <w:rFonts w:ascii="Times New Roman" w:hAnsi="Times New Roman" w:cs="Times New Roman"/>
                <w:i/>
                <w:color w:val="auto"/>
                <w:sz w:val="22"/>
                <w:szCs w:val="22"/>
              </w:rPr>
              <w:t>World Heritage Convention</w:t>
            </w:r>
            <w:r w:rsidRPr="009B0448">
              <w:rPr>
                <w:rFonts w:ascii="Times New Roman" w:hAnsi="Times New Roman" w:cs="Times New Roman"/>
                <w:color w:val="auto"/>
                <w:sz w:val="22"/>
                <w:szCs w:val="22"/>
              </w:rPr>
              <w:t xml:space="preserve"> pledge to conserve the cultural and natural sites within their borders that are recognised by the Convention as being of exceptional and universal value. In return, the international community helps to protect these treasures. In adherence to the treaty, Parties identify and nominate properties in their national territory to be considered for inscription on the World Heritage list. In doing so, they provide details of how the property is protected and a management plan for its upkeep. Parties are also expected to protect the World Heritage values of the properties inscribed and are encouraged to report periodically on their condition. Because it is the responsibility of member countries to safeguard World Heritage properties in their jurisdiction, they work closely with the World Heritage Committee which also compiles the List of World Heritage in danger.</w:t>
            </w:r>
          </w:p>
        </w:tc>
      </w:tr>
      <w:tr w:rsidR="00F83B61" w:rsidRPr="009B0448" w14:paraId="04ADDDAC" w14:textId="77777777" w:rsidTr="00FC4B42">
        <w:tc>
          <w:tcPr>
            <w:tcW w:w="1276" w:type="dxa"/>
            <w:shd w:val="clear" w:color="auto" w:fill="DBDBDB" w:themeFill="accent3" w:themeFillTint="66"/>
          </w:tcPr>
          <w:p w14:paraId="4FF07E2F"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UNDRIP - United Nations Declaration on the Rights of Indigenous People</w:t>
            </w:r>
          </w:p>
        </w:tc>
        <w:tc>
          <w:tcPr>
            <w:tcW w:w="2857" w:type="dxa"/>
          </w:tcPr>
          <w:p w14:paraId="5825B268" w14:textId="46F27296"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eastAsia="Times New Roman" w:hAnsi="Times New Roman" w:cs="Times New Roman"/>
                <w:color w:val="auto"/>
                <w:sz w:val="22"/>
                <w:szCs w:val="22"/>
                <w:shd w:val="clear" w:color="auto" w:fill="FFFFFF"/>
              </w:rPr>
              <w:t xml:space="preserve">The </w:t>
            </w:r>
            <w:r w:rsidRPr="009B0448">
              <w:rPr>
                <w:rFonts w:ascii="Times New Roman" w:eastAsia="Times New Roman" w:hAnsi="Times New Roman" w:cs="Times New Roman"/>
                <w:i/>
                <w:color w:val="auto"/>
                <w:sz w:val="22"/>
                <w:szCs w:val="22"/>
                <w:shd w:val="clear" w:color="auto" w:fill="FFFFFF"/>
              </w:rPr>
              <w:t>United Nations Declaration on the Rights of Indigenous People</w:t>
            </w:r>
            <w:r w:rsidRPr="009B0448">
              <w:rPr>
                <w:rFonts w:ascii="Times New Roman" w:eastAsia="Times New Roman" w:hAnsi="Times New Roman" w:cs="Times New Roman"/>
                <w:color w:val="auto"/>
                <w:sz w:val="22"/>
                <w:szCs w:val="22"/>
                <w:shd w:val="clear" w:color="auto" w:fill="FFFFFF"/>
                <w:lang w:val="en-US"/>
              </w:rPr>
              <w:t xml:space="preserve"> (</w:t>
            </w:r>
            <w:r w:rsidR="00AB1FBF" w:rsidRPr="009B0448">
              <w:rPr>
                <w:rFonts w:ascii="Times New Roman" w:eastAsia="Times New Roman" w:hAnsi="Times New Roman" w:cs="Times New Roman"/>
                <w:color w:val="auto"/>
                <w:sz w:val="22"/>
                <w:szCs w:val="22"/>
                <w:shd w:val="clear" w:color="auto" w:fill="FFFFFF"/>
                <w:lang w:val="en-US"/>
              </w:rPr>
              <w:t>UN, 2008</w:t>
            </w:r>
            <w:r w:rsidRPr="009B0448">
              <w:rPr>
                <w:rFonts w:ascii="Times New Roman" w:eastAsia="Times New Roman" w:hAnsi="Times New Roman" w:cs="Times New Roman"/>
                <w:color w:val="auto"/>
                <w:sz w:val="22"/>
                <w:szCs w:val="22"/>
                <w:shd w:val="clear" w:color="auto" w:fill="FFFFFF"/>
                <w:lang w:val="en-US"/>
              </w:rPr>
              <w:t xml:space="preserve">) </w:t>
            </w:r>
            <w:r w:rsidRPr="009B0448">
              <w:rPr>
                <w:rFonts w:ascii="Times New Roman" w:eastAsia="Times New Roman" w:hAnsi="Times New Roman" w:cs="Times New Roman"/>
                <w:color w:val="auto"/>
                <w:sz w:val="22"/>
                <w:szCs w:val="22"/>
                <w:shd w:val="clear" w:color="auto" w:fill="FFFFFF"/>
              </w:rPr>
              <w:t>is an international instrument to enshrine the rights that “constitute the minimum standards for the survival, dignity and well-being of the indigenous peoples of the world.”</w:t>
            </w:r>
          </w:p>
        </w:tc>
        <w:tc>
          <w:tcPr>
            <w:tcW w:w="4939" w:type="dxa"/>
          </w:tcPr>
          <w:p w14:paraId="393A17BF" w14:textId="451B2A2B"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Indigenous peoples are unique holders of knowledge on biodiversity and ecosystem services. By codifying the rights of indigenous people worldwide, protection against forced land dispossession, for self-determination, secured land tenure, right for cultural expression, and any form of association with land, nature and biodiversity the </w:t>
            </w:r>
            <w:r w:rsidRPr="009B0448">
              <w:rPr>
                <w:rFonts w:ascii="Times New Roman" w:eastAsia="Times New Roman" w:hAnsi="Times New Roman" w:cs="Times New Roman"/>
                <w:i/>
                <w:color w:val="auto"/>
                <w:sz w:val="22"/>
                <w:szCs w:val="22"/>
                <w:shd w:val="clear" w:color="auto" w:fill="FFFFFF"/>
              </w:rPr>
              <w:t>United Nations Declaration on the Rights of Indigenous People</w:t>
            </w:r>
            <w:r w:rsidRPr="009B0448">
              <w:rPr>
                <w:rFonts w:ascii="Times New Roman" w:hAnsi="Times New Roman" w:cs="Times New Roman"/>
                <w:color w:val="auto"/>
                <w:sz w:val="22"/>
                <w:szCs w:val="22"/>
              </w:rPr>
              <w:t xml:space="preserve"> provides improved opportunities for indigenous people to continue to care for and nurture their bio-cultural heritages, thereby contributing to biodiversi</w:t>
            </w:r>
            <w:r w:rsidR="00425C23" w:rsidRPr="009B0448">
              <w:rPr>
                <w:rFonts w:ascii="Times New Roman" w:hAnsi="Times New Roman" w:cs="Times New Roman"/>
                <w:color w:val="auto"/>
                <w:sz w:val="22"/>
                <w:szCs w:val="22"/>
              </w:rPr>
              <w:t>ty conservation (Cittadino, 2014</w:t>
            </w:r>
            <w:r w:rsidRPr="009B0448">
              <w:rPr>
                <w:rFonts w:ascii="Times New Roman" w:hAnsi="Times New Roman" w:cs="Times New Roman"/>
                <w:color w:val="auto"/>
                <w:sz w:val="22"/>
                <w:szCs w:val="22"/>
              </w:rPr>
              <w:t xml:space="preserve">; Wright </w:t>
            </w:r>
            <w:r w:rsidR="000429F8" w:rsidRPr="009B0448">
              <w:rPr>
                <w:rFonts w:ascii="Times New Roman" w:hAnsi="Times New Roman" w:cs="Times New Roman"/>
                <w:i/>
                <w:color w:val="auto"/>
                <w:sz w:val="22"/>
                <w:szCs w:val="22"/>
              </w:rPr>
              <w:t>et al.</w:t>
            </w:r>
            <w:r w:rsidRPr="009B0448">
              <w:rPr>
                <w:rFonts w:ascii="Times New Roman" w:hAnsi="Times New Roman" w:cs="Times New Roman"/>
                <w:color w:val="auto"/>
                <w:sz w:val="22"/>
                <w:szCs w:val="22"/>
              </w:rPr>
              <w:t xml:space="preserve">, 2014). </w:t>
            </w:r>
          </w:p>
        </w:tc>
      </w:tr>
      <w:tr w:rsidR="00F83B61" w:rsidRPr="009B0448" w14:paraId="3A0BE88B" w14:textId="77777777" w:rsidTr="00FC4B42">
        <w:tc>
          <w:tcPr>
            <w:tcW w:w="1276" w:type="dxa"/>
            <w:shd w:val="clear" w:color="auto" w:fill="DBDBDB" w:themeFill="accent3" w:themeFillTint="66"/>
          </w:tcPr>
          <w:p w14:paraId="1D1DB673"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Swakopmund Protocol</w:t>
            </w:r>
          </w:p>
        </w:tc>
        <w:tc>
          <w:tcPr>
            <w:tcW w:w="2857" w:type="dxa"/>
          </w:tcPr>
          <w:p w14:paraId="17ED1EA4" w14:textId="36286C2F"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As part of the African Regional Intellectual Property Organisation, the </w:t>
            </w:r>
            <w:r w:rsidR="00AF4CB5" w:rsidRPr="009B0448">
              <w:rPr>
                <w:rFonts w:ascii="Times New Roman" w:hAnsi="Times New Roman" w:cs="Times New Roman"/>
                <w:i/>
                <w:color w:val="auto"/>
                <w:sz w:val="22"/>
                <w:szCs w:val="22"/>
              </w:rPr>
              <w:t>Swakopmund P</w:t>
            </w:r>
            <w:r w:rsidRPr="009B0448">
              <w:rPr>
                <w:rFonts w:ascii="Times New Roman" w:hAnsi="Times New Roman" w:cs="Times New Roman"/>
                <w:i/>
                <w:color w:val="auto"/>
                <w:sz w:val="22"/>
                <w:szCs w:val="22"/>
              </w:rPr>
              <w:t>rotocol on the Protection of Traditional Knowledge and Expression of Folklore</w:t>
            </w:r>
            <w:r w:rsidRPr="009B0448">
              <w:rPr>
                <w:rFonts w:ascii="Times New Roman" w:hAnsi="Times New Roman" w:cs="Times New Roman"/>
                <w:color w:val="auto"/>
                <w:sz w:val="22"/>
                <w:szCs w:val="22"/>
              </w:rPr>
              <w:t xml:space="preserve"> (ARIPO </w:t>
            </w:r>
            <w:r w:rsidR="000429F8" w:rsidRPr="009B0448">
              <w:rPr>
                <w:rFonts w:ascii="Times New Roman" w:hAnsi="Times New Roman" w:cs="Times New Roman"/>
                <w:i/>
                <w:color w:val="auto"/>
                <w:sz w:val="22"/>
                <w:szCs w:val="22"/>
              </w:rPr>
              <w:t>et al.</w:t>
            </w:r>
            <w:r w:rsidRPr="009B0448">
              <w:rPr>
                <w:rFonts w:ascii="Times New Roman" w:hAnsi="Times New Roman" w:cs="Times New Roman"/>
                <w:color w:val="auto"/>
                <w:sz w:val="22"/>
                <w:szCs w:val="22"/>
              </w:rPr>
              <w:t>, 2010) codifies the protection of traditional knowledge held by African indigenous people from commercial exploitation by national and multinational corporations and provides ways of compensating or benefiting indigenous people for the use of their traditional knowledge.</w:t>
            </w:r>
          </w:p>
        </w:tc>
        <w:tc>
          <w:tcPr>
            <w:tcW w:w="4939" w:type="dxa"/>
          </w:tcPr>
          <w:p w14:paraId="7EBD2A47" w14:textId="77777777"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By protecting the traditional knowledge of indigenous people in Africa, this protocol enables the conservation and protection of biodiversity, sacred places, specific fauna and flora from commercial and other forms of exploitation, thereby contributing to their protection </w:t>
            </w:r>
            <w:r w:rsidRPr="009B0448">
              <w:rPr>
                <w:rFonts w:ascii="Times New Roman" w:hAnsi="Times New Roman" w:cs="Times New Roman"/>
              </w:rPr>
              <w:fldChar w:fldCharType="begin"/>
            </w:r>
            <w:r w:rsidRPr="009B0448">
              <w:rPr>
                <w:rFonts w:ascii="Times New Roman" w:hAnsi="Times New Roman" w:cs="Times New Roman"/>
                <w:color w:val="auto"/>
                <w:sz w:val="22"/>
                <w:szCs w:val="22"/>
              </w:rPr>
              <w:instrText xml:space="preserve"> ADDIN EN.CITE &lt;EndNote&gt;&lt;Cite&gt;&lt;Author&gt;Hinz&lt;/Author&gt;&lt;Year&gt;2012&lt;/Year&gt;&lt;RecNum&gt;273&lt;/RecNum&gt;&lt;DisplayText&gt;(Hinz, 2012)&lt;/DisplayText&gt;&lt;record&gt;&lt;rec-number&gt;273&lt;/rec-number&gt;&lt;foreign-keys&gt;&lt;key app="EN" db-id="txzxa2sdbfxaf3etw07xp5rdvev92rs2exva"&gt;273&lt;/key&gt;&lt;/foreign-keys&gt;&lt;ref-type name="Journal Article"&gt;17&lt;/ref-type&gt;&lt;contributors&gt;&lt;authors&gt;&lt;author&gt;Hinz, Manfred O&lt;/author&gt;&lt;/authors&gt;&lt;/contributors&gt;&lt;titles&gt;&lt;title&gt;The Swakopmund Protocol on the Protection of Traditional Knowledge and Expressions of Folklore&lt;/title&gt;&lt;secondary-title&gt;Namibia Law Journal&lt;/secondary-title&gt;&lt;/titles&gt;&lt;periodical&gt;&lt;full-title&gt;Namibia Law Journal&lt;/full-title&gt;&lt;/periodical&gt;&lt;volume&gt;3&lt;/volume&gt;&lt;number&gt;1&lt;/number&gt;&lt;dates&gt;&lt;year&gt;2012&lt;/year&gt;&lt;/dates&gt;&lt;urls&gt;&lt;/urls&gt;&lt;/record&gt;&lt;/Cite&gt;&lt;/EndNote&gt;</w:instrText>
            </w:r>
            <w:r w:rsidRPr="009B0448">
              <w:rPr>
                <w:rFonts w:ascii="Times New Roman" w:hAnsi="Times New Roman" w:cs="Times New Roman"/>
              </w:rPr>
              <w:fldChar w:fldCharType="separate"/>
            </w:r>
            <w:r w:rsidRPr="009B0448">
              <w:rPr>
                <w:rFonts w:ascii="Times New Roman" w:hAnsi="Times New Roman" w:cs="Times New Roman"/>
                <w:noProof/>
                <w:color w:val="auto"/>
                <w:sz w:val="22"/>
                <w:szCs w:val="22"/>
              </w:rPr>
              <w:t>(</w:t>
            </w:r>
            <w:hyperlink w:anchor="_ENREF_22" w:tooltip="Hinz, 2012 #273" w:history="1">
              <w:r w:rsidRPr="009B0448">
                <w:rPr>
                  <w:rFonts w:ascii="Times New Roman" w:hAnsi="Times New Roman" w:cs="Times New Roman"/>
                  <w:noProof/>
                  <w:color w:val="auto"/>
                  <w:sz w:val="22"/>
                  <w:szCs w:val="22"/>
                </w:rPr>
                <w:t>Hinz, 2012</w:t>
              </w:r>
            </w:hyperlink>
            <w:r w:rsidRPr="009B0448">
              <w:rPr>
                <w:rFonts w:ascii="Times New Roman" w:hAnsi="Times New Roman" w:cs="Times New Roman"/>
                <w:noProof/>
                <w:color w:val="auto"/>
                <w:sz w:val="22"/>
                <w:szCs w:val="22"/>
              </w:rPr>
              <w:t>)</w:t>
            </w:r>
            <w:r w:rsidRPr="009B0448">
              <w:rPr>
                <w:rFonts w:ascii="Times New Roman" w:hAnsi="Times New Roman" w:cs="Times New Roman"/>
              </w:rPr>
              <w:fldChar w:fldCharType="end"/>
            </w:r>
          </w:p>
        </w:tc>
      </w:tr>
      <w:tr w:rsidR="00F83B61" w:rsidRPr="009B0448" w14:paraId="599D97B4" w14:textId="77777777" w:rsidTr="00FC4B42">
        <w:tc>
          <w:tcPr>
            <w:tcW w:w="1276" w:type="dxa"/>
            <w:shd w:val="clear" w:color="auto" w:fill="DBDBDB" w:themeFill="accent3" w:themeFillTint="66"/>
          </w:tcPr>
          <w:p w14:paraId="75E4F4FC" w14:textId="77777777" w:rsidR="00F83B61" w:rsidRPr="009B0448" w:rsidRDefault="00F83B61" w:rsidP="00FC4B42">
            <w:pPr>
              <w:spacing w:line="276" w:lineRule="auto"/>
              <w:rPr>
                <w:rFonts w:ascii="Times New Roman" w:hAnsi="Times New Roman" w:cs="Times New Roman"/>
                <w:b/>
                <w:color w:val="auto"/>
                <w:sz w:val="22"/>
                <w:szCs w:val="22"/>
              </w:rPr>
            </w:pPr>
            <w:r w:rsidRPr="009B0448">
              <w:rPr>
                <w:rFonts w:ascii="Times New Roman" w:hAnsi="Times New Roman" w:cs="Times New Roman"/>
                <w:b/>
                <w:color w:val="auto"/>
                <w:sz w:val="22"/>
                <w:szCs w:val="22"/>
              </w:rPr>
              <w:t>AUPFP - African Union Policy Framework for Pastoralism</w:t>
            </w:r>
          </w:p>
        </w:tc>
        <w:tc>
          <w:tcPr>
            <w:tcW w:w="2857" w:type="dxa"/>
            <w:tcBorders>
              <w:bottom w:val="single" w:sz="4" w:space="0" w:color="000000"/>
            </w:tcBorders>
          </w:tcPr>
          <w:p w14:paraId="6B97553D" w14:textId="77777777"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 xml:space="preserve">The </w:t>
            </w:r>
            <w:r w:rsidRPr="009B0448">
              <w:rPr>
                <w:rFonts w:ascii="Times New Roman" w:hAnsi="Times New Roman" w:cs="Times New Roman"/>
                <w:i/>
                <w:color w:val="auto"/>
                <w:sz w:val="22"/>
                <w:szCs w:val="22"/>
              </w:rPr>
              <w:t>African Union Policy Framework for Pastoralism</w:t>
            </w:r>
            <w:r w:rsidRPr="009B0448">
              <w:rPr>
                <w:rFonts w:ascii="Times New Roman" w:hAnsi="Times New Roman" w:cs="Times New Roman"/>
                <w:color w:val="auto"/>
                <w:sz w:val="22"/>
                <w:szCs w:val="22"/>
              </w:rPr>
              <w:t xml:space="preserve"> (AU, 2010) aims to secure, protect and improve the lives, livelihoods and rights of African pastoralists. The policy framework emphasises the need to fully involve pastoralist women and men in the national and regional development processes from which they are supposed to benefit. It emphasises the regional nature of many pastoralist ecosystems in Africa and therefore, the need to support and harmonise policies across the Regional Economic Communities and Member States. </w:t>
            </w:r>
          </w:p>
        </w:tc>
        <w:tc>
          <w:tcPr>
            <w:tcW w:w="4939" w:type="dxa"/>
            <w:tcBorders>
              <w:bottom w:val="single" w:sz="4" w:space="0" w:color="000000"/>
            </w:tcBorders>
          </w:tcPr>
          <w:p w14:paraId="27AE025E" w14:textId="24A83A55" w:rsidR="00F83B61" w:rsidRPr="009B0448" w:rsidRDefault="00F83B61" w:rsidP="00FC4B42">
            <w:pPr>
              <w:spacing w:line="276" w:lineRule="auto"/>
              <w:rPr>
                <w:rFonts w:ascii="Times New Roman" w:hAnsi="Times New Roman" w:cs="Times New Roman"/>
                <w:color w:val="auto"/>
                <w:sz w:val="22"/>
                <w:szCs w:val="22"/>
              </w:rPr>
            </w:pPr>
            <w:r w:rsidRPr="009B0448">
              <w:rPr>
                <w:rFonts w:ascii="Times New Roman" w:hAnsi="Times New Roman" w:cs="Times New Roman"/>
                <w:color w:val="auto"/>
                <w:sz w:val="22"/>
                <w:szCs w:val="22"/>
              </w:rPr>
              <w:t>Through a plan or proposition to secure sustainable pastoralism that allows traditional movement of pastoralists across large expanses of drylands, enabling them to follow traditional grazing cycles, the framework promises to encourage pastoralism that avoids the 'tragedy of the commons', where regulated pastoralism enables the utilisation of rangelands, without causing land degradation and biodiversity loss</w:t>
            </w:r>
            <w:r w:rsidRPr="009B0448">
              <w:rPr>
                <w:rFonts w:ascii="Times New Roman" w:hAnsi="Times New Roman" w:cs="Times New Roman"/>
              </w:rPr>
              <w:fldChar w:fldCharType="begin"/>
            </w:r>
            <w:r w:rsidRPr="009B0448">
              <w:rPr>
                <w:rFonts w:ascii="Times New Roman" w:hAnsi="Times New Roman" w:cs="Times New Roman"/>
                <w:color w:val="auto"/>
                <w:sz w:val="22"/>
                <w:szCs w:val="22"/>
              </w:rPr>
              <w:instrText xml:space="preserve"> ADDIN EN.CITE &lt;EndNote&gt;&lt;Cite&gt;&lt;Author&gt;Union&lt;/Author&gt;&lt;Year&gt;2010&lt;/Year&gt;&lt;RecNum&gt;347&lt;/RecNum&gt;&lt;DisplayText&gt;(Union, 2010)&lt;/DisplayText&gt;&lt;record&gt;&lt;rec-number&gt;347&lt;/rec-number&gt;&lt;foreign-keys&gt;&lt;key app="EN" db-id="txzxa2sdbfxaf3etw07xp5rdvev92rs2exva"&gt;347&lt;/key&gt;&lt;/foreign-keys&gt;&lt;ref-type name="Book"&gt;6&lt;/ref-type&gt;&lt;contributors&gt;&lt;authors&gt;&lt;author&gt;Union, African&lt;/author&gt;&lt;/authors&gt;&lt;/contributors&gt;&lt;titles&gt;&lt;title&gt;Policy framework for pastoralism in Africa: securing, protecting and improving the lives, livelihoods and rights of pastoralist communities&lt;/title&gt;&lt;/titles&gt;&lt;dates&gt;&lt;year&gt;2010&lt;/year&gt;&lt;/dates&gt;&lt;publisher&gt;Department of Rural Economy and Agriculture, African Union Commission&lt;/publisher&gt;&lt;urls&gt;&lt;/urls&gt;&lt;/record&gt;&lt;/Cite&gt;&lt;/EndNote&gt;</w:instrText>
            </w:r>
            <w:r w:rsidRPr="009B0448">
              <w:rPr>
                <w:rFonts w:ascii="Times New Roman" w:hAnsi="Times New Roman" w:cs="Times New Roman"/>
              </w:rPr>
              <w:fldChar w:fldCharType="end"/>
            </w:r>
            <w:r w:rsidRPr="009B0448">
              <w:rPr>
                <w:rFonts w:ascii="Times New Roman" w:hAnsi="Times New Roman" w:cs="Times New Roman"/>
                <w:color w:val="auto"/>
                <w:sz w:val="22"/>
                <w:szCs w:val="22"/>
              </w:rPr>
              <w:t xml:space="preserve">. The policy framework has the following two objectives: (1) Secure and protect the lives, livelihoods and rights of pastoral peoples and ensure continent-wide commitment to </w:t>
            </w:r>
            <w:r w:rsidR="00AF4CB5" w:rsidRPr="009B0448">
              <w:rPr>
                <w:rFonts w:ascii="Times New Roman" w:hAnsi="Times New Roman" w:cs="Times New Roman"/>
                <w:color w:val="auto"/>
                <w:sz w:val="22"/>
                <w:szCs w:val="22"/>
              </w:rPr>
              <w:t xml:space="preserve">the </w:t>
            </w:r>
            <w:r w:rsidRPr="009B0448">
              <w:rPr>
                <w:rFonts w:ascii="Times New Roman" w:hAnsi="Times New Roman" w:cs="Times New Roman"/>
                <w:color w:val="auto"/>
                <w:sz w:val="22"/>
                <w:szCs w:val="22"/>
              </w:rPr>
              <w:t>political, social and economic development of pastoral communities and pastoral areas; and (2) reinforce the contribution of pastoral livestock to national, regional and continent-wide economies.</w:t>
            </w:r>
          </w:p>
        </w:tc>
      </w:tr>
    </w:tbl>
    <w:p w14:paraId="0DD1C024" w14:textId="77777777" w:rsidR="00F83B61" w:rsidRPr="009B0448" w:rsidRDefault="00F83B61" w:rsidP="009F0016">
      <w:pPr>
        <w:spacing w:line="276" w:lineRule="auto"/>
        <w:jc w:val="both"/>
        <w:rPr>
          <w:rFonts w:ascii="Times New Roman" w:hAnsi="Times New Roman" w:cs="Times New Roman"/>
          <w:sz w:val="20"/>
          <w:szCs w:val="20"/>
        </w:rPr>
      </w:pPr>
    </w:p>
    <w:p w14:paraId="1FA78310" w14:textId="77777777" w:rsidR="00E709D8" w:rsidRPr="009B0448" w:rsidRDefault="00E709D8" w:rsidP="00E709D8">
      <w:pPr>
        <w:spacing w:line="276" w:lineRule="auto"/>
        <w:jc w:val="both"/>
        <w:rPr>
          <w:rFonts w:ascii="Times New Roman" w:hAnsi="Times New Roman" w:cs="Times New Roman"/>
        </w:rPr>
      </w:pPr>
      <w:r w:rsidRPr="009B0448">
        <w:rPr>
          <w:rFonts w:ascii="Times New Roman" w:hAnsi="Times New Roman" w:cs="Times New Roman"/>
        </w:rPr>
        <w:t>The SDGs (2015–2030) provide a further important international framing to the continent’s environmental governance. They stipulate various measures and actions to be taken by national governments, directly targeted towards the protection, restoration, conservation and sustainable utilisation of ecosystems and biodiversity resources. They also support responsible consumption and production. Key to biodiversity and ecosystem services approaches in Africa is demonstrating how investments in SDG 15 (focused on protection, restoration and promotion of sustainable utilisation of terrestrial ecosystems, sustainable management of forests, combating desertification, and reversing land degradation and biodiversity loss) significantly contribute to human well-being (e.g.</w:t>
      </w:r>
      <w:r>
        <w:rPr>
          <w:rFonts w:ascii="Times New Roman" w:hAnsi="Times New Roman" w:cs="Times New Roman"/>
        </w:rPr>
        <w:t>,</w:t>
      </w:r>
      <w:r w:rsidRPr="009B0448">
        <w:rPr>
          <w:rFonts w:ascii="Times New Roman" w:hAnsi="Times New Roman" w:cs="Times New Roman"/>
        </w:rPr>
        <w:t xml:space="preserve"> SDGs 1, 2, 3, 6, and 7, on poverty reduction, food security, health, watershed management, energy production and ensuring economic growth without harming the environment). In addition, SDGs 11, 13 and 14 focus on building resilience to climate change impacts by strengthening adaptive capacity, policy responses and through conservation and sustainable utilisation of coastal and marine ecosystem resources. </w:t>
      </w:r>
    </w:p>
    <w:p w14:paraId="23000C44" w14:textId="0F88C47A" w:rsidR="00714EFF" w:rsidRPr="009B0448" w:rsidRDefault="00714EFF">
      <w:pPr>
        <w:rPr>
          <w:rFonts w:ascii="Times New Roman" w:hAnsi="Times New Roman" w:cs="Times New Roman"/>
          <w:sz w:val="20"/>
          <w:szCs w:val="20"/>
        </w:rPr>
      </w:pPr>
      <w:r w:rsidRPr="009B0448">
        <w:rPr>
          <w:rFonts w:ascii="Times New Roman" w:hAnsi="Times New Roman" w:cs="Times New Roman"/>
          <w:sz w:val="20"/>
          <w:szCs w:val="20"/>
        </w:rPr>
        <w:br w:type="page"/>
      </w:r>
    </w:p>
    <w:p w14:paraId="0CE6278F" w14:textId="77777777" w:rsidR="00F83B61" w:rsidRPr="009B0448" w:rsidRDefault="00F83B61" w:rsidP="009F0016">
      <w:pPr>
        <w:spacing w:line="276" w:lineRule="auto"/>
        <w:jc w:val="both"/>
        <w:rPr>
          <w:rFonts w:ascii="Times New Roman" w:hAnsi="Times New Roman" w:cs="Times New Roman"/>
          <w:sz w:val="20"/>
          <w:szCs w:val="20"/>
        </w:rPr>
      </w:pPr>
    </w:p>
    <w:p w14:paraId="1BC70352" w14:textId="0B483491" w:rsidR="00AB1FBF" w:rsidRPr="009B0448" w:rsidRDefault="00AB1FBF" w:rsidP="009F0016">
      <w:pPr>
        <w:spacing w:line="276" w:lineRule="auto"/>
        <w:jc w:val="both"/>
        <w:rPr>
          <w:rFonts w:ascii="Times New Roman" w:hAnsi="Times New Roman" w:cs="Times New Roman"/>
          <w:b/>
        </w:rPr>
      </w:pPr>
      <w:r w:rsidRPr="009B0448">
        <w:rPr>
          <w:rFonts w:ascii="Times New Roman" w:hAnsi="Times New Roman" w:cs="Times New Roman"/>
          <w:b/>
          <w:noProof/>
          <w:lang w:eastAsia="en-GB"/>
        </w:rPr>
        <w:drawing>
          <wp:inline distT="0" distB="0" distL="0" distR="0" wp14:anchorId="43299E8F" wp14:editId="227F125F">
            <wp:extent cx="5681557" cy="2680335"/>
            <wp:effectExtent l="0" t="0" r="0" b="5715"/>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To pop in\Figure 6.3 option b.JPG"/>
                    <pic:cNvPicPr>
                      <a:picLocks noChangeAspect="1" noChangeArrowheads="1"/>
                    </pic:cNvPicPr>
                  </pic:nvPicPr>
                  <pic:blipFill rotWithShape="1">
                    <a:blip r:embed="rId1749">
                      <a:extLst>
                        <a:ext uri="{28A0092B-C50C-407E-A947-70E740481C1C}">
                          <a14:useLocalDpi xmlns:a14="http://schemas.microsoft.com/office/drawing/2010/main" val="0"/>
                        </a:ext>
                      </a:extLst>
                    </a:blip>
                    <a:srcRect l="966"/>
                    <a:stretch/>
                  </pic:blipFill>
                  <pic:spPr bwMode="auto">
                    <a:xfrm>
                      <a:off x="0" y="0"/>
                      <a:ext cx="5687074" cy="2682938"/>
                    </a:xfrm>
                    <a:prstGeom prst="rect">
                      <a:avLst/>
                    </a:prstGeom>
                    <a:noFill/>
                    <a:ln>
                      <a:noFill/>
                    </a:ln>
                    <a:extLst>
                      <a:ext uri="{53640926-AAD7-44D8-BBD7-CCE9431645EC}">
                        <a14:shadowObscured xmlns:a14="http://schemas.microsoft.com/office/drawing/2010/main"/>
                      </a:ext>
                    </a:extLst>
                  </pic:spPr>
                </pic:pic>
              </a:graphicData>
            </a:graphic>
          </wp:inline>
        </w:drawing>
      </w:r>
    </w:p>
    <w:p w14:paraId="24A3FD50" w14:textId="664B9690" w:rsidR="00D65826" w:rsidRPr="009B0448" w:rsidRDefault="00D65826" w:rsidP="009F0016">
      <w:pPr>
        <w:spacing w:line="276" w:lineRule="auto"/>
        <w:jc w:val="both"/>
        <w:rPr>
          <w:rFonts w:ascii="Times New Roman" w:hAnsi="Times New Roman" w:cs="Times New Roman"/>
          <w:b/>
        </w:rPr>
      </w:pPr>
      <w:r w:rsidRPr="009B0448">
        <w:rPr>
          <w:rFonts w:ascii="Times New Roman" w:hAnsi="Times New Roman" w:cs="Times New Roman"/>
          <w:b/>
          <w:noProof/>
          <w:lang w:eastAsia="en-GB"/>
        </w:rPr>
        <w:drawing>
          <wp:inline distT="0" distB="0" distL="0" distR="0" wp14:anchorId="7CDBF8BC" wp14:editId="0F5D761C">
            <wp:extent cx="5689946" cy="4640580"/>
            <wp:effectExtent l="0" t="0" r="6350" b="762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Fig 6.3b.JPG"/>
                    <pic:cNvPicPr/>
                  </pic:nvPicPr>
                  <pic:blipFill rotWithShape="1">
                    <a:blip r:embed="rId1750">
                      <a:extLst>
                        <a:ext uri="{28A0092B-C50C-407E-A947-70E740481C1C}">
                          <a14:useLocalDpi xmlns:a14="http://schemas.microsoft.com/office/drawing/2010/main" val="0"/>
                        </a:ext>
                      </a:extLst>
                    </a:blip>
                    <a:srcRect l="725" t="3333"/>
                    <a:stretch/>
                  </pic:blipFill>
                  <pic:spPr bwMode="auto">
                    <a:xfrm>
                      <a:off x="0" y="0"/>
                      <a:ext cx="5689946" cy="4640580"/>
                    </a:xfrm>
                    <a:prstGeom prst="rect">
                      <a:avLst/>
                    </a:prstGeom>
                    <a:ln>
                      <a:noFill/>
                    </a:ln>
                    <a:extLst>
                      <a:ext uri="{53640926-AAD7-44D8-BBD7-CCE9431645EC}">
                        <a14:shadowObscured xmlns:a14="http://schemas.microsoft.com/office/drawing/2010/main"/>
                      </a:ext>
                    </a:extLst>
                  </pic:spPr>
                </pic:pic>
              </a:graphicData>
            </a:graphic>
          </wp:inline>
        </w:drawing>
      </w:r>
    </w:p>
    <w:p w14:paraId="77B34664" w14:textId="5D1B2EDE" w:rsidR="0025359B" w:rsidRPr="009B0448" w:rsidRDefault="0025359B" w:rsidP="009F0016">
      <w:pPr>
        <w:spacing w:line="276" w:lineRule="auto"/>
        <w:jc w:val="both"/>
        <w:rPr>
          <w:rFonts w:ascii="Times New Roman" w:hAnsi="Times New Roman" w:cs="Times New Roman"/>
        </w:rPr>
      </w:pPr>
      <w:r w:rsidRPr="009B0448">
        <w:rPr>
          <w:rFonts w:ascii="Times New Roman" w:hAnsi="Times New Roman" w:cs="Times New Roman"/>
          <w:b/>
        </w:rPr>
        <w:t xml:space="preserve">Figure 6.3: </w:t>
      </w:r>
      <w:r w:rsidR="00295FCA" w:rsidRPr="009B0448">
        <w:rPr>
          <w:rFonts w:ascii="Times New Roman" w:hAnsi="Times New Roman" w:cs="Times New Roman"/>
        </w:rPr>
        <w:t>Overview of the current and anticipated contribution of African countries towards the achievement of the Aichi Biodiversity Targets based on the fifth national reports submitted to the secretariat of the Convention on Biological Diversity as of September 2017 (50 African States). The figure paints a mixed picture with progress towards some targets substantially outperforming that of others. For example, there are wor</w:t>
      </w:r>
      <w:r w:rsidR="00574F87">
        <w:rPr>
          <w:rFonts w:ascii="Times New Roman" w:hAnsi="Times New Roman" w:cs="Times New Roman"/>
        </w:rPr>
        <w:t>rying trends where more than 50%</w:t>
      </w:r>
      <w:r w:rsidR="00295FCA" w:rsidRPr="009B0448">
        <w:rPr>
          <w:rFonts w:ascii="Times New Roman" w:hAnsi="Times New Roman" w:cs="Times New Roman"/>
        </w:rPr>
        <w:t xml:space="preserve"> of countries are not on course to meet Targets (e.g., Targets 3, 4, 6, 12 and 20 show no countries on track). Of particular concern </w:t>
      </w:r>
      <w:r w:rsidR="00574F87">
        <w:rPr>
          <w:rFonts w:ascii="Times New Roman" w:hAnsi="Times New Roman" w:cs="Times New Roman"/>
        </w:rPr>
        <w:t xml:space="preserve">is target 5, where more than 25% </w:t>
      </w:r>
      <w:r w:rsidR="00295FCA" w:rsidRPr="009B0448">
        <w:rPr>
          <w:rFonts w:ascii="Times New Roman" w:hAnsi="Times New Roman" w:cs="Times New Roman"/>
        </w:rPr>
        <w:t>of countries are moving away from the target, while targets 2, 3, 4, 5, 6, 7, 8, 9, 10, 12, 13, 14, and 15 show no significant change for more than 25</w:t>
      </w:r>
      <w:r w:rsidR="00574F87">
        <w:rPr>
          <w:rFonts w:ascii="Times New Roman" w:hAnsi="Times New Roman" w:cs="Times New Roman"/>
        </w:rPr>
        <w:t xml:space="preserve">% </w:t>
      </w:r>
      <w:r w:rsidR="00295FCA" w:rsidRPr="009B0448">
        <w:rPr>
          <w:rFonts w:ascii="Times New Roman" w:hAnsi="Times New Roman" w:cs="Times New Roman"/>
        </w:rPr>
        <w:t>of countries. Overall, progress is being made, but at an insufficient rate by more than 50</w:t>
      </w:r>
      <w:r w:rsidR="00574F87">
        <w:rPr>
          <w:rFonts w:ascii="Times New Roman" w:hAnsi="Times New Roman" w:cs="Times New Roman"/>
        </w:rPr>
        <w:t>%</w:t>
      </w:r>
      <w:r w:rsidR="00295FCA" w:rsidRPr="009B0448">
        <w:rPr>
          <w:rFonts w:ascii="Times New Roman" w:hAnsi="Times New Roman" w:cs="Times New Roman"/>
        </w:rPr>
        <w:t xml:space="preserve"> of countries towards Targets 1, 2, 11, 12, 14, 15, 17 and 19. Target 16, however, has one country set to exceed the target. All targets face a lack of information on progress from some countries. Source: adapted from UNEP-WCMC (2016).</w:t>
      </w:r>
    </w:p>
    <w:p w14:paraId="4F5FBC54" w14:textId="77777777" w:rsidR="009F0016" w:rsidRPr="009B0448" w:rsidRDefault="009F0016" w:rsidP="009F0016">
      <w:pPr>
        <w:spacing w:line="276" w:lineRule="auto"/>
        <w:jc w:val="both"/>
        <w:rPr>
          <w:rFonts w:ascii="Times New Roman" w:hAnsi="Times New Roman" w:cs="Times New Roman"/>
        </w:rPr>
      </w:pPr>
    </w:p>
    <w:p w14:paraId="0028A937" w14:textId="5A853A13"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Overall, there is a complex international policy landscape in which Africa’s polycentric environmental governance options are situated. Despite the multi-scale, polycentric complexity, decision-making about biodiversity and ecosystem services at smaller scales plays a central role in making progress towards these global targets. Using existing entry points within these international agreements to leverage synergy can be particularly effective for policy implementation at regional and </w:t>
      </w:r>
      <w:r w:rsidR="00B22D81">
        <w:rPr>
          <w:rFonts w:ascii="Times New Roman" w:hAnsi="Times New Roman" w:cs="Times New Roman"/>
        </w:rPr>
        <w:t>subregion</w:t>
      </w:r>
      <w:r w:rsidRPr="009B0448">
        <w:rPr>
          <w:rFonts w:ascii="Times New Roman" w:hAnsi="Times New Roman" w:cs="Times New Roman"/>
        </w:rPr>
        <w:t xml:space="preserve">al levels, ensuring a resource efficient approach (Akhtar-Schuster </w:t>
      </w:r>
      <w:r w:rsidR="000429F8" w:rsidRPr="009B0448">
        <w:rPr>
          <w:rFonts w:ascii="Times New Roman" w:hAnsi="Times New Roman" w:cs="Times New Roman"/>
          <w:i/>
        </w:rPr>
        <w:t>et al.</w:t>
      </w:r>
      <w:r w:rsidRPr="009B0448">
        <w:rPr>
          <w:rFonts w:ascii="Times New Roman" w:hAnsi="Times New Roman" w:cs="Times New Roman"/>
        </w:rPr>
        <w:t>, 2011). However, globally there is a still a weakness in policy implementation and enforcement, complicated by issues such as corruption.</w:t>
      </w:r>
    </w:p>
    <w:p w14:paraId="32F0551C" w14:textId="7BCEDAFF" w:rsidR="00F83B61" w:rsidRPr="009B0448" w:rsidRDefault="00F83B61" w:rsidP="00FA7185">
      <w:pPr>
        <w:pStyle w:val="111"/>
        <w:numPr>
          <w:ilvl w:val="2"/>
          <w:numId w:val="11"/>
        </w:numPr>
        <w:spacing w:before="240" w:after="240"/>
        <w:ind w:left="709" w:hanging="720"/>
        <w:rPr>
          <w:rFonts w:cs="Times New Roman"/>
          <w:i w:val="0"/>
          <w:sz w:val="22"/>
          <w:szCs w:val="22"/>
        </w:rPr>
      </w:pPr>
      <w:bookmarkStart w:id="499" w:name="_Toc502937682"/>
      <w:bookmarkStart w:id="500" w:name="_Toc519500049"/>
      <w:r w:rsidRPr="009B0448">
        <w:rPr>
          <w:rFonts w:cs="Times New Roman"/>
          <w:i w:val="0"/>
          <w:sz w:val="22"/>
          <w:szCs w:val="22"/>
        </w:rPr>
        <w:t xml:space="preserve">Africa’s regional and </w:t>
      </w:r>
      <w:r w:rsidR="00B22D81">
        <w:rPr>
          <w:rFonts w:cs="Times New Roman"/>
          <w:i w:val="0"/>
          <w:sz w:val="22"/>
          <w:szCs w:val="22"/>
        </w:rPr>
        <w:t>subregion</w:t>
      </w:r>
      <w:r w:rsidRPr="009B0448">
        <w:rPr>
          <w:rFonts w:cs="Times New Roman"/>
          <w:i w:val="0"/>
          <w:sz w:val="22"/>
          <w:szCs w:val="22"/>
        </w:rPr>
        <w:t>al policy context</w:t>
      </w:r>
      <w:bookmarkEnd w:id="499"/>
      <w:bookmarkEnd w:id="500"/>
    </w:p>
    <w:p w14:paraId="48FDDA81" w14:textId="61612086"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The main policy at the continental scale is Agenda 2063, which sets out an African approach. Through this, Africa can effectively learn from the past, build on current progress and harness opportunities in the short and medium terms to ensure positive socio-economic transformation in the next 50 years. The continental governance structure, supported by other policies and initiatives, offers opportunities to ensure that there is more effective balance in the use and conservation of biodiversity and ecosystem services in the region. This is important because many African countries share cross-border systems such as lakes, rivers and wetlands (e.g.</w:t>
      </w:r>
      <w:r w:rsidR="00E24BC5">
        <w:rPr>
          <w:rFonts w:ascii="Times New Roman" w:hAnsi="Times New Roman" w:cs="Times New Roman"/>
        </w:rPr>
        <w:t>,</w:t>
      </w:r>
      <w:r w:rsidRPr="009B0448">
        <w:rPr>
          <w:rFonts w:ascii="Times New Roman" w:hAnsi="Times New Roman" w:cs="Times New Roman"/>
        </w:rPr>
        <w:t xml:space="preserve"> the Okavango Basin/delta, Lake Chad Basin, Victoria Basin/lake, Nile Basin/delta and Niger Basin/delta, Congo Basin, Volta Basin), as well as national parks and sanctuaries that are rich and diverse in flora and fauna. Appendix 6.2 summarises some of the transboundary natural resources and their corresponding governance agreements.</w:t>
      </w:r>
    </w:p>
    <w:p w14:paraId="7F1C9326" w14:textId="77777777" w:rsidR="009F0016" w:rsidRPr="009B0448" w:rsidRDefault="009F0016" w:rsidP="009F0016">
      <w:pPr>
        <w:spacing w:line="276" w:lineRule="auto"/>
        <w:jc w:val="both"/>
        <w:rPr>
          <w:rFonts w:ascii="Times New Roman" w:hAnsi="Times New Roman" w:cs="Times New Roman"/>
        </w:rPr>
      </w:pPr>
    </w:p>
    <w:p w14:paraId="1DA39768" w14:textId="2B1AFB5A"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Managing these natural resources requires coordinated cross-border governance structures as well as regional and </w:t>
      </w:r>
      <w:r w:rsidR="00B22D81">
        <w:rPr>
          <w:rFonts w:ascii="Times New Roman" w:hAnsi="Times New Roman" w:cs="Times New Roman"/>
        </w:rPr>
        <w:t>subregion</w:t>
      </w:r>
      <w:r w:rsidRPr="009B0448">
        <w:rPr>
          <w:rFonts w:ascii="Times New Roman" w:hAnsi="Times New Roman" w:cs="Times New Roman"/>
        </w:rPr>
        <w:t>al cooperation agreements. Box 6.2 provides examples of these relating to transboundary water and land resources governance; Box 6.3 presents examples of fisheri</w:t>
      </w:r>
      <w:r w:rsidR="00AF4CB5" w:rsidRPr="009B0448">
        <w:rPr>
          <w:rFonts w:ascii="Times New Roman" w:hAnsi="Times New Roman" w:cs="Times New Roman"/>
        </w:rPr>
        <w:t>es regulatory instruments,</w:t>
      </w:r>
      <w:r w:rsidRPr="009B0448">
        <w:rPr>
          <w:rFonts w:ascii="Times New Roman" w:hAnsi="Times New Roman" w:cs="Times New Roman"/>
        </w:rPr>
        <w:t xml:space="preserve"> and</w:t>
      </w:r>
      <w:r w:rsidR="00AF4CB5" w:rsidRPr="009B0448">
        <w:rPr>
          <w:rFonts w:ascii="Times New Roman" w:hAnsi="Times New Roman" w:cs="Times New Roman"/>
        </w:rPr>
        <w:t>;</w:t>
      </w:r>
      <w:r w:rsidRPr="009B0448">
        <w:rPr>
          <w:rFonts w:ascii="Times New Roman" w:hAnsi="Times New Roman" w:cs="Times New Roman"/>
        </w:rPr>
        <w:t xml:space="preserve"> Box 6.4 considers the conservation of genetic resources at a regional level. Most of the institutions and policies are linked to regional economic groupings, for example, the Southern African Development Community’s Regional </w:t>
      </w:r>
      <w:r w:rsidR="00071380" w:rsidRPr="009B0448">
        <w:rPr>
          <w:rFonts w:ascii="Times New Roman" w:hAnsi="Times New Roman" w:cs="Times New Roman"/>
        </w:rPr>
        <w:t>Biodiversity Strategy (SADC, 2008</w:t>
      </w:r>
      <w:r w:rsidRPr="009B0448">
        <w:rPr>
          <w:rFonts w:ascii="Times New Roman" w:hAnsi="Times New Roman" w:cs="Times New Roman"/>
        </w:rPr>
        <w:t>), and the Regional Strategic Action Plan for Integrated Water Resources Development and Management (SADC, 2016), while Central Africa’s Forest Commission (COMIFAC, 2014) coordinates the implementation of decisions of the Council of Ministers of its member states regarding conservation and sustainable management of forest ecosystems in the Central Africa region.</w:t>
      </w:r>
    </w:p>
    <w:p w14:paraId="06460DD9" w14:textId="77777777" w:rsidR="009F0016" w:rsidRPr="009B0448" w:rsidRDefault="009F0016" w:rsidP="009F0016">
      <w:pPr>
        <w:spacing w:line="276" w:lineRule="auto"/>
        <w:jc w:val="both"/>
        <w:rPr>
          <w:rFonts w:ascii="Times New Roman" w:hAnsi="Times New Roman" w:cs="Times New Roman"/>
        </w:rPr>
      </w:pPr>
    </w:p>
    <w:p w14:paraId="5FEB5DEF" w14:textId="77777777" w:rsidR="00F83B61" w:rsidRPr="009B0448" w:rsidRDefault="00F83B61" w:rsidP="009F0016">
      <w:pPr>
        <w:spacing w:line="276" w:lineRule="auto"/>
        <w:jc w:val="both"/>
        <w:rPr>
          <w:rFonts w:ascii="Times New Roman" w:hAnsi="Times New Roman" w:cs="Times New Roman"/>
          <w:sz w:val="20"/>
          <w:szCs w:val="20"/>
        </w:rPr>
      </w:pPr>
      <w:r w:rsidRPr="009B0448">
        <w:rPr>
          <w:rFonts w:ascii="Times New Roman" w:hAnsi="Times New Roman" w:cs="Times New Roman"/>
          <w:noProof/>
          <w:sz w:val="20"/>
          <w:szCs w:val="20"/>
          <w:lang w:eastAsia="en-GB"/>
        </w:rPr>
        <mc:AlternateContent>
          <mc:Choice Requires="wps">
            <w:drawing>
              <wp:inline distT="0" distB="0" distL="0" distR="0" wp14:anchorId="66AE88EE" wp14:editId="074100B5">
                <wp:extent cx="5928360" cy="9302621"/>
                <wp:effectExtent l="0" t="0" r="15240" b="13335"/>
                <wp:docPr id="24" name="Rectangle 24"/>
                <wp:cNvGraphicFramePr/>
                <a:graphic xmlns:a="http://schemas.openxmlformats.org/drawingml/2006/main">
                  <a:graphicData uri="http://schemas.microsoft.com/office/word/2010/wordprocessingShape">
                    <wps:wsp>
                      <wps:cNvSpPr/>
                      <wps:spPr>
                        <a:xfrm>
                          <a:off x="0" y="0"/>
                          <a:ext cx="5928360" cy="9302621"/>
                        </a:xfrm>
                        <a:prstGeom prst="rect">
                          <a:avLst/>
                        </a:prstGeom>
                        <a:solidFill>
                          <a:schemeClr val="bg1">
                            <a:lumMod val="95000"/>
                          </a:schemeClr>
                        </a:solidFill>
                        <a:ln w="9525" cap="flat" cmpd="sng">
                          <a:solidFill>
                            <a:srgbClr val="525252"/>
                          </a:solidFill>
                          <a:prstDash val="solid"/>
                          <a:miter/>
                          <a:headEnd type="none" w="med" len="med"/>
                          <a:tailEnd type="none" w="med" len="med"/>
                        </a:ln>
                      </wps:spPr>
                      <wps:txbx>
                        <w:txbxContent>
                          <w:p w14:paraId="2E0B60E6" w14:textId="77777777" w:rsidR="00BC0CFA" w:rsidRDefault="00BC0CFA" w:rsidP="00200B60">
                            <w:pPr>
                              <w:spacing w:line="276" w:lineRule="auto"/>
                              <w:jc w:val="both"/>
                              <w:textDirection w:val="btLr"/>
                              <w:rPr>
                                <w:rFonts w:ascii="Times New Roman" w:eastAsia="Times New Roman" w:hAnsi="Times New Roman" w:cs="Times New Roman"/>
                                <w:b/>
                              </w:rPr>
                            </w:pPr>
                            <w:r w:rsidRPr="00200B60">
                              <w:rPr>
                                <w:rFonts w:ascii="Times New Roman" w:eastAsia="Times New Roman" w:hAnsi="Times New Roman" w:cs="Times New Roman"/>
                                <w:b/>
                              </w:rPr>
                              <w:t>Box 6.2: Examples of transboundary water and land resource governance in Africa</w:t>
                            </w:r>
                          </w:p>
                          <w:p w14:paraId="05DCD36F" w14:textId="77777777" w:rsidR="00BC0CFA" w:rsidRPr="00200B60" w:rsidRDefault="00BC0CFA" w:rsidP="00200B60">
                            <w:pPr>
                              <w:spacing w:line="276" w:lineRule="auto"/>
                              <w:jc w:val="both"/>
                              <w:textDirection w:val="btLr"/>
                              <w:rPr>
                                <w:rFonts w:ascii="Times New Roman" w:hAnsi="Times New Roman" w:cs="Times New Roman"/>
                              </w:rPr>
                            </w:pPr>
                          </w:p>
                          <w:p w14:paraId="29A8B4D6" w14:textId="6CD1C0DC" w:rsidR="00BC0CFA" w:rsidRDefault="00BC0CFA" w:rsidP="00200B60">
                            <w:pPr>
                              <w:spacing w:line="276" w:lineRule="auto"/>
                              <w:jc w:val="both"/>
                              <w:textDirection w:val="btLr"/>
                              <w:rPr>
                                <w:rFonts w:ascii="Times New Roman" w:hAnsi="Times New Roman" w:cs="Times New Roman"/>
                              </w:rPr>
                            </w:pPr>
                            <w:r w:rsidRPr="00200B60">
                              <w:rPr>
                                <w:rFonts w:ascii="Times New Roman" w:hAnsi="Times New Roman" w:cs="Times New Roman"/>
                              </w:rPr>
                              <w:t>The Lake Tanganyika Basin, Lake Victoria Basin and Upper Nile Basin all have trans-boundary agreements/conventions and governing authorities. The Convention on the Sustainable Management of Lake Tanganyika sets out the rights and duties of Burundi, Democrat</w:t>
                            </w:r>
                            <w:r>
                              <w:rPr>
                                <w:rFonts w:ascii="Times New Roman" w:hAnsi="Times New Roman" w:cs="Times New Roman"/>
                              </w:rPr>
                              <w:t>ic R</w:t>
                            </w:r>
                            <w:r w:rsidRPr="00200B60">
                              <w:rPr>
                                <w:rFonts w:ascii="Times New Roman" w:hAnsi="Times New Roman" w:cs="Times New Roman"/>
                              </w:rPr>
                              <w:t>epublic of Congo, Tanzania, and Zambia, establishing institutional structures for co-operative management. The Nile Basin Initiative aims to achieve sustainable socio-economic development through equitable utilisation of, and benefit from, common Nile Basin water resources, including the Upper and Blue Nile rivers and their catchments. The East African Community Lake Victoria Basin Commission was established in 2001 to promote, facilitate and coordinate activities of different actors towards sustainable development and poverty eradication of the Lake Victoria Basin (International Waters Governance, n.d.). The Volta Basin Authority, representing the six riparian countries in the Volta watersheds, has established an ambitious Strategic Action Plan for which half the budget and activities target restoration of ecosystem functions and conservation (UNEP-GEF Volta project, 2013).</w:t>
                            </w:r>
                          </w:p>
                          <w:p w14:paraId="7FB60B4F" w14:textId="77777777" w:rsidR="00BC0CFA" w:rsidRPr="00200B60" w:rsidRDefault="00BC0CFA" w:rsidP="00200B60">
                            <w:pPr>
                              <w:spacing w:line="276" w:lineRule="auto"/>
                              <w:jc w:val="both"/>
                              <w:textDirection w:val="btLr"/>
                              <w:rPr>
                                <w:rFonts w:ascii="Times New Roman" w:hAnsi="Times New Roman" w:cs="Times New Roman"/>
                              </w:rPr>
                            </w:pPr>
                          </w:p>
                          <w:p w14:paraId="323469DF" w14:textId="1B8BDDC9" w:rsidR="00BC0CFA" w:rsidRDefault="00BC0CFA" w:rsidP="00200B60">
                            <w:pPr>
                              <w:spacing w:line="276" w:lineRule="auto"/>
                              <w:jc w:val="both"/>
                              <w:textDirection w:val="btLr"/>
                              <w:rPr>
                                <w:rFonts w:ascii="Times New Roman" w:hAnsi="Times New Roman" w:cs="Times New Roman"/>
                              </w:rPr>
                            </w:pPr>
                            <w:r w:rsidRPr="00200B60">
                              <w:rPr>
                                <w:rFonts w:ascii="Times New Roman" w:hAnsi="Times New Roman" w:cs="Times New Roman"/>
                              </w:rPr>
                              <w:t xml:space="preserve">A notable example from West Africa is the New Partnership for Africa’s Development and its Great Green Wall of the Sahara and Sahel initiative supported by the Global Environment Facility (GEF </w:t>
                            </w:r>
                            <w:r w:rsidRPr="000429F8">
                              <w:rPr>
                                <w:rFonts w:ascii="Times New Roman" w:hAnsi="Times New Roman" w:cs="Times New Roman"/>
                                <w:i/>
                              </w:rPr>
                              <w:t>et al.</w:t>
                            </w:r>
                            <w:r w:rsidRPr="00200B60">
                              <w:rPr>
                                <w:rFonts w:ascii="Times New Roman" w:hAnsi="Times New Roman" w:cs="Times New Roman"/>
                              </w:rPr>
                              <w:t>, 2011). The Great Green Wall of the Sahara and Sahel involves reforesting a 15 km strip of land stretching 7,100 km from Dakar, Senegal to Djibouti and the use of sustainable land management practices to enhance productivity (</w:t>
                            </w:r>
                            <w:hyperlink r:id="rId1751" w:history="1">
                              <w:r w:rsidRPr="00200B60">
                                <w:rPr>
                                  <w:rStyle w:val="Hyperlink"/>
                                  <w:rFonts w:ascii="Times New Roman" w:hAnsi="Times New Roman" w:cs="Times New Roman"/>
                                </w:rPr>
                                <w:t>http://www.greatgreenwallinitiative.org</w:t>
                              </w:r>
                            </w:hyperlink>
                            <w:r w:rsidRPr="00200B60">
                              <w:rPr>
                                <w:rFonts w:ascii="Times New Roman" w:hAnsi="Times New Roman" w:cs="Times New Roman"/>
                              </w:rPr>
                              <w:t xml:space="preserve">). Specific ecosystem services targeted include carbon sequestration (climate change mitigation), nitrogen fixation, soil retention, regulation of climate extremes (floods and droughts) and provision of habitat for biodiversity (Abdou, 2014). Endorsed in 2007 by African Heads of State and Government, the Great Green Wall for the Sahara and the Sahel Initiative aims to reverse land degradation and desertification in the Sahel and Sahara, whilst mitigating social, economic and environmental crises for the region’s most vulnerable people (Hertsgaard, 2011). The Initiative has since evolved into a regional vision of sustainable landscapes that generate multiple economic and environmental benefits and help build the resilience of the Sahel, where over half the population lives on less than $1.25 per day, and nearly 70% depend on the services provided by land resources. A new push for Africa’s Great Green Wall Initiative also involved the establishment of a regional hub for the World Bank Sahel and West Africa program to share knowledge and strengthen institutional capacity. Through Global Environment Facility funded initiative, the project dubbed ‘Building Resilience through Innovation, Communication and Knowledge Services’, provides operational, technical and knowledge services to partner countries under World Bank Sahel and West Africa program. The ‘Building Resilience through Innovation, Communication and Knowledge Services’ project is a strategic effort designed to boost resilience in the Sahel and help countries and communities adapt to the challenges posed by a changing climate and rapidly degrading natural resource base. The overall aim is to enhance the resilience of landscapes and livelihoods and in doing so, contribute to poverty reduction, food and water security and curb natural resource degradation (O’Connor </w:t>
                            </w:r>
                            <w:r w:rsidRPr="000429F8">
                              <w:rPr>
                                <w:rFonts w:ascii="Times New Roman" w:hAnsi="Times New Roman" w:cs="Times New Roman"/>
                                <w:i/>
                              </w:rPr>
                              <w:t>et al.</w:t>
                            </w:r>
                            <w:r w:rsidRPr="00200B60">
                              <w:rPr>
                                <w:rFonts w:ascii="Times New Roman" w:hAnsi="Times New Roman" w:cs="Times New Roman"/>
                              </w:rPr>
                              <w:t>, 2014).</w:t>
                            </w:r>
                          </w:p>
                          <w:p w14:paraId="0C6E54C0" w14:textId="77777777" w:rsidR="00BC0CFA" w:rsidRPr="00200B60" w:rsidRDefault="00BC0CFA" w:rsidP="00200B60">
                            <w:pPr>
                              <w:spacing w:line="276" w:lineRule="auto"/>
                              <w:jc w:val="both"/>
                              <w:textDirection w:val="btLr"/>
                              <w:rPr>
                                <w:rFonts w:ascii="Times New Roman" w:hAnsi="Times New Roman" w:cs="Times New Roman"/>
                              </w:rPr>
                            </w:pPr>
                          </w:p>
                          <w:p w14:paraId="4DB6D6BF" w14:textId="77777777" w:rsidR="00BC0CFA" w:rsidRPr="00200B60" w:rsidRDefault="00BC0CFA" w:rsidP="00200B60">
                            <w:pPr>
                              <w:spacing w:line="276" w:lineRule="auto"/>
                              <w:jc w:val="both"/>
                              <w:textDirection w:val="btLr"/>
                              <w:rPr>
                                <w:rFonts w:ascii="Times New Roman" w:hAnsi="Times New Roman" w:cs="Times New Roman"/>
                              </w:rPr>
                            </w:pPr>
                            <w:r w:rsidRPr="00200B60">
                              <w:rPr>
                                <w:rFonts w:ascii="Times New Roman" w:hAnsi="Times New Roman" w:cs="Times New Roman"/>
                              </w:rPr>
                              <w:t xml:space="preserve">At local level, regional institutions have formulated key recommendations for participating countries, including capitalisation and sharing of experiences acquired in the establishment of the green belts; consideration of existing initiatives and the development of synergies, complementarities and sound coordination with on-going projects and programmes to avoid duplication and improve interventions effectiveness; application of integrated and comprehensive approaches of planning which clarify and strengthen links between the different dimensions of the environment and areas of intervention; and the need to involve local communities, as indigenous and local communities remain fundamental in the successful implementation of the Great Green Wall for the Sahara and the Sahel Initiative. Scientific evidence assessing the effectiveness of the strategy at meeting both conservation and development goals is nevertheless lacking. </w:t>
                            </w:r>
                          </w:p>
                        </w:txbxContent>
                      </wps:txbx>
                      <wps:bodyPr wrap="square" lIns="91425" tIns="45700" rIns="91425" bIns="45700" anchor="t" anchorCtr="0">
                        <a:noAutofit/>
                      </wps:bodyPr>
                    </wps:wsp>
                  </a:graphicData>
                </a:graphic>
              </wp:inline>
            </w:drawing>
          </mc:Choice>
          <mc:Fallback>
            <w:pict>
              <v:rect w14:anchorId="66AE88EE" id="Rectangle 24" o:spid="_x0000_s1040" style="width:466.8pt;height:7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" fillcolor="#f2f2f2 [3052]" strokecolor="#525252">
                <v:textbox inset="2.53958mm,1.2694mm,2.53958mm,1.2694mm">
                  <w:txbxContent>
                    <w:p w14:paraId="2E0B60E6" w14:textId="77777777" w:rsidR="00BC0CFA" w:rsidRDefault="00BC0CFA" w:rsidP="00200B60">
                      <w:pPr>
                        <w:spacing w:line="276" w:lineRule="auto"/>
                        <w:jc w:val="both"/>
                        <w:textDirection w:val="btLr"/>
                        <w:rPr>
                          <w:rFonts w:ascii="Times New Roman" w:eastAsia="Times New Roman" w:hAnsi="Times New Roman" w:cs="Times New Roman"/>
                          <w:b/>
                        </w:rPr>
                      </w:pPr>
                      <w:r w:rsidRPr="00200B60">
                        <w:rPr>
                          <w:rFonts w:ascii="Times New Roman" w:eastAsia="Times New Roman" w:hAnsi="Times New Roman" w:cs="Times New Roman"/>
                          <w:b/>
                        </w:rPr>
                        <w:t>Box 6.2: Examples of transboundary water and land resource governance in Africa</w:t>
                      </w:r>
                    </w:p>
                    <w:p w14:paraId="05DCD36F" w14:textId="77777777" w:rsidR="00BC0CFA" w:rsidRPr="00200B60" w:rsidRDefault="00BC0CFA" w:rsidP="00200B60">
                      <w:pPr>
                        <w:spacing w:line="276" w:lineRule="auto"/>
                        <w:jc w:val="both"/>
                        <w:textDirection w:val="btLr"/>
                        <w:rPr>
                          <w:rFonts w:ascii="Times New Roman" w:hAnsi="Times New Roman" w:cs="Times New Roman"/>
                        </w:rPr>
                      </w:pPr>
                    </w:p>
                    <w:p w14:paraId="29A8B4D6" w14:textId="6CD1C0DC" w:rsidR="00BC0CFA" w:rsidRDefault="00BC0CFA" w:rsidP="00200B60">
                      <w:pPr>
                        <w:spacing w:line="276" w:lineRule="auto"/>
                        <w:jc w:val="both"/>
                        <w:textDirection w:val="btLr"/>
                        <w:rPr>
                          <w:rFonts w:ascii="Times New Roman" w:hAnsi="Times New Roman" w:cs="Times New Roman"/>
                        </w:rPr>
                      </w:pPr>
                      <w:r w:rsidRPr="00200B60">
                        <w:rPr>
                          <w:rFonts w:ascii="Times New Roman" w:hAnsi="Times New Roman" w:cs="Times New Roman"/>
                        </w:rPr>
                        <w:t>The Lake Tanganyika Basin, Lake Victoria Basin and Upper Nile Basin all have trans-boundary agreements/conventions and governing authorities. The Convention on the Sustainable Management of Lake Tanganyika sets out the rights and duties of Burundi, Democrat</w:t>
                      </w:r>
                      <w:r>
                        <w:rPr>
                          <w:rFonts w:ascii="Times New Roman" w:hAnsi="Times New Roman" w:cs="Times New Roman"/>
                        </w:rPr>
                        <w:t>ic R</w:t>
                      </w:r>
                      <w:r w:rsidRPr="00200B60">
                        <w:rPr>
                          <w:rFonts w:ascii="Times New Roman" w:hAnsi="Times New Roman" w:cs="Times New Roman"/>
                        </w:rPr>
                        <w:t>epublic of Congo, Tanzania, and Zambia, establishing institutional structures for co-operative management. The Nile Basin Initiative aims to achieve sustainable socio-economic development through equitable utilisation of, and benefit from, common Nile Basin water resources, including the Upper and Blue Nile rivers and their catchments. The East African Community Lake Victoria Basin Commission was established in 2001 to promote, facilitate and coordinate activities of different actors towards sustainable development and poverty eradication of the Lake Victoria Basin (International Waters Governance, n.d.). The Volta Basin Authority, representing the six riparian countries in the Volta watersheds, has established an ambitious Strategic Action Plan for which half the budget and activities target restoration of ecosystem functions and conservation (UNEP-GEF Volta project, 2013).</w:t>
                      </w:r>
                    </w:p>
                    <w:p w14:paraId="7FB60B4F" w14:textId="77777777" w:rsidR="00BC0CFA" w:rsidRPr="00200B60" w:rsidRDefault="00BC0CFA" w:rsidP="00200B60">
                      <w:pPr>
                        <w:spacing w:line="276" w:lineRule="auto"/>
                        <w:jc w:val="both"/>
                        <w:textDirection w:val="btLr"/>
                        <w:rPr>
                          <w:rFonts w:ascii="Times New Roman" w:hAnsi="Times New Roman" w:cs="Times New Roman"/>
                        </w:rPr>
                      </w:pPr>
                    </w:p>
                    <w:p w14:paraId="323469DF" w14:textId="1B8BDDC9" w:rsidR="00BC0CFA" w:rsidRDefault="00BC0CFA" w:rsidP="00200B60">
                      <w:pPr>
                        <w:spacing w:line="276" w:lineRule="auto"/>
                        <w:jc w:val="both"/>
                        <w:textDirection w:val="btLr"/>
                        <w:rPr>
                          <w:rFonts w:ascii="Times New Roman" w:hAnsi="Times New Roman" w:cs="Times New Roman"/>
                        </w:rPr>
                      </w:pPr>
                      <w:r w:rsidRPr="00200B60">
                        <w:rPr>
                          <w:rFonts w:ascii="Times New Roman" w:hAnsi="Times New Roman" w:cs="Times New Roman"/>
                        </w:rPr>
                        <w:t xml:space="preserve">A notable example from West Africa is the New Partnership for Africa’s Development and its Great Green Wall of the Sahara and Sahel initiative supported by the Global Environment Facility (GEF </w:t>
                      </w:r>
                      <w:r w:rsidRPr="000429F8">
                        <w:rPr>
                          <w:rFonts w:ascii="Times New Roman" w:hAnsi="Times New Roman" w:cs="Times New Roman"/>
                          <w:i/>
                        </w:rPr>
                        <w:t>et al.</w:t>
                      </w:r>
                      <w:r w:rsidRPr="00200B60">
                        <w:rPr>
                          <w:rFonts w:ascii="Times New Roman" w:hAnsi="Times New Roman" w:cs="Times New Roman"/>
                        </w:rPr>
                        <w:t>, 2011). The Great Green Wall of the Sahara and Sahel involves reforesting a 15 km strip of land stretching 7,100 km from Dakar, Senegal to Djibouti and the use of sustainable land management practices to enhance productivity (</w:t>
                      </w:r>
                      <w:hyperlink r:id="rId1752" w:history="1">
                        <w:r w:rsidRPr="00200B60">
                          <w:rPr>
                            <w:rStyle w:val="Hyperlink"/>
                            <w:rFonts w:ascii="Times New Roman" w:hAnsi="Times New Roman" w:cs="Times New Roman"/>
                          </w:rPr>
                          <w:t>http://www.greatgreenwallinitiative.org</w:t>
                        </w:r>
                      </w:hyperlink>
                      <w:r w:rsidRPr="00200B60">
                        <w:rPr>
                          <w:rFonts w:ascii="Times New Roman" w:hAnsi="Times New Roman" w:cs="Times New Roman"/>
                        </w:rPr>
                        <w:t xml:space="preserve">). Specific ecosystem services targeted include carbon sequestration (climate change mitigation), nitrogen fixation, soil retention, regulation of climate extremes (floods and droughts) and provision of habitat for biodiversity (Abdou, 2014). Endorsed in 2007 by African Heads of State and Government, the Great Green Wall for the Sahara and the Sahel Initiative aims to reverse land degradation and desertification in the Sahel and Sahara, whilst mitigating social, economic and environmental crises for the region’s most vulnerable people (Hertsgaard, 2011). The Initiative has since evolved into a regional vision of sustainable landscapes that generate multiple economic and environmental benefits and help build the resilience of the Sahel, where over half the population lives on less than $1.25 per day, and nearly 70% depend on the services provided by land resources. A new push for Africa’s Great Green Wall Initiative also involved the establishment of a regional hub for the World Bank Sahel and West Africa program to share knowledge and strengthen institutional capacity. Through Global Environment Facility funded initiative, the project dubbed ‘Building Resilience through Innovation, Communication and Knowledge Services’, provides operational, technical and knowledge services to partner countries under World Bank Sahel and West Africa program. The ‘Building Resilience through Innovation, Communication and Knowledge Services’ project is a strategic effort designed to boost resilience in the Sahel and help countries and communities adapt to the challenges posed by a changing climate and rapidly degrading natural resource base. The overall aim is to enhance the resilience of landscapes and livelihoods and in doing so, contribute to poverty reduction, food and water security and curb natural resource degradation (O’Connor </w:t>
                      </w:r>
                      <w:r w:rsidRPr="000429F8">
                        <w:rPr>
                          <w:rFonts w:ascii="Times New Roman" w:hAnsi="Times New Roman" w:cs="Times New Roman"/>
                          <w:i/>
                        </w:rPr>
                        <w:t>et al.</w:t>
                      </w:r>
                      <w:r w:rsidRPr="00200B60">
                        <w:rPr>
                          <w:rFonts w:ascii="Times New Roman" w:hAnsi="Times New Roman" w:cs="Times New Roman"/>
                        </w:rPr>
                        <w:t>, 2014).</w:t>
                      </w:r>
                    </w:p>
                    <w:p w14:paraId="0C6E54C0" w14:textId="77777777" w:rsidR="00BC0CFA" w:rsidRPr="00200B60" w:rsidRDefault="00BC0CFA" w:rsidP="00200B60">
                      <w:pPr>
                        <w:spacing w:line="276" w:lineRule="auto"/>
                        <w:jc w:val="both"/>
                        <w:textDirection w:val="btLr"/>
                        <w:rPr>
                          <w:rFonts w:ascii="Times New Roman" w:hAnsi="Times New Roman" w:cs="Times New Roman"/>
                        </w:rPr>
                      </w:pPr>
                    </w:p>
                    <w:p w14:paraId="4DB6D6BF" w14:textId="77777777" w:rsidR="00BC0CFA" w:rsidRPr="00200B60" w:rsidRDefault="00BC0CFA" w:rsidP="00200B60">
                      <w:pPr>
                        <w:spacing w:line="276" w:lineRule="auto"/>
                        <w:jc w:val="both"/>
                        <w:textDirection w:val="btLr"/>
                        <w:rPr>
                          <w:rFonts w:ascii="Times New Roman" w:hAnsi="Times New Roman" w:cs="Times New Roman"/>
                        </w:rPr>
                      </w:pPr>
                      <w:r w:rsidRPr="00200B60">
                        <w:rPr>
                          <w:rFonts w:ascii="Times New Roman" w:hAnsi="Times New Roman" w:cs="Times New Roman"/>
                        </w:rPr>
                        <w:t xml:space="preserve">At local level, regional institutions have formulated key recommendations for participating countries, including capitalisation and sharing of experiences acquired in the establishment of the green belts; consideration of existing initiatives and the development of synergies, complementarities and sound coordination with on-going projects and programmes to avoid duplication and improve interventions effectiveness; application of integrated and comprehensive approaches of planning which clarify and strengthen links between the different dimensions of the environment and areas of intervention; and the need to involve local communities, as indigenous and local communities remain fundamental in the successful implementation of the Great Green Wall for the Sahara and the Sahel Initiative. Scientific evidence assessing the effectiveness of the strategy at meeting both conservation and development goals is nevertheless lacking. </w:t>
                      </w:r>
                    </w:p>
                  </w:txbxContent>
                </v:textbox>
                <w10:anchorlock/>
              </v:rect>
            </w:pict>
          </mc:Fallback>
        </mc:AlternateContent>
      </w:r>
    </w:p>
    <w:p w14:paraId="637F8DBD" w14:textId="77777777" w:rsidR="00F83B61" w:rsidRPr="009B0448" w:rsidRDefault="00F83B61" w:rsidP="009F0016">
      <w:pPr>
        <w:spacing w:line="276" w:lineRule="auto"/>
        <w:jc w:val="both"/>
        <w:rPr>
          <w:rFonts w:ascii="Times New Roman" w:hAnsi="Times New Roman" w:cs="Times New Roman"/>
          <w:sz w:val="20"/>
          <w:szCs w:val="20"/>
        </w:rPr>
      </w:pPr>
    </w:p>
    <w:p w14:paraId="2F6D656D"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sz w:val="20"/>
          <w:szCs w:val="20"/>
          <w:lang w:eastAsia="en-GB"/>
        </w:rPr>
        <mc:AlternateContent>
          <mc:Choice Requires="wps">
            <w:drawing>
              <wp:inline distT="0" distB="0" distL="0" distR="0" wp14:anchorId="242DD034" wp14:editId="3B6C51C0">
                <wp:extent cx="5803641" cy="2062066"/>
                <wp:effectExtent l="0" t="0" r="26035" b="14605"/>
                <wp:docPr id="2" name="Rectangle 2"/>
                <wp:cNvGraphicFramePr/>
                <a:graphic xmlns:a="http://schemas.openxmlformats.org/drawingml/2006/main">
                  <a:graphicData uri="http://schemas.microsoft.com/office/word/2010/wordprocessingShape">
                    <wps:wsp>
                      <wps:cNvSpPr/>
                      <wps:spPr>
                        <a:xfrm>
                          <a:off x="0" y="0"/>
                          <a:ext cx="5803641" cy="2062066"/>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4A388E4C" w14:textId="77777777" w:rsidR="00BC0CFA" w:rsidRDefault="00BC0CFA" w:rsidP="00200B60">
                            <w:pPr>
                              <w:jc w:val="both"/>
                              <w:textDirection w:val="btLr"/>
                              <w:rPr>
                                <w:rFonts w:ascii="Times New Roman" w:eastAsia="Times New Roman" w:hAnsi="Times New Roman" w:cs="Times New Roman"/>
                                <w:b/>
                              </w:rPr>
                            </w:pPr>
                            <w:r w:rsidRPr="00466AAB">
                              <w:rPr>
                                <w:rFonts w:ascii="Times New Roman" w:eastAsia="Times New Roman" w:hAnsi="Times New Roman" w:cs="Times New Roman"/>
                                <w:b/>
                              </w:rPr>
                              <w:t>Box 6.3: Examples of fisheries and fishery regulatory instruments</w:t>
                            </w:r>
                          </w:p>
                          <w:p w14:paraId="2343FD58" w14:textId="77777777" w:rsidR="00BC0CFA" w:rsidRPr="00466AAB" w:rsidRDefault="00BC0CFA" w:rsidP="00200B60">
                            <w:pPr>
                              <w:jc w:val="both"/>
                              <w:textDirection w:val="btLr"/>
                              <w:rPr>
                                <w:rFonts w:ascii="Times New Roman" w:eastAsia="Times New Roman" w:hAnsi="Times New Roman" w:cs="Times New Roman"/>
                                <w:b/>
                              </w:rPr>
                            </w:pPr>
                          </w:p>
                          <w:p w14:paraId="76B7C98E" w14:textId="2F3E2A2B" w:rsidR="00BC0CFA" w:rsidRPr="00466AAB" w:rsidRDefault="00BC0CFA" w:rsidP="00200B60">
                            <w:pPr>
                              <w:spacing w:line="276" w:lineRule="auto"/>
                              <w:ind w:right="-11"/>
                              <w:jc w:val="both"/>
                              <w:textDirection w:val="btLr"/>
                              <w:rPr>
                                <w:rFonts w:ascii="Times New Roman" w:hAnsi="Times New Roman" w:cs="Times New Roman"/>
                              </w:rPr>
                            </w:pPr>
                            <w:r w:rsidRPr="00466AAB">
                              <w:rPr>
                                <w:rFonts w:ascii="Times New Roman" w:hAnsi="Times New Roman" w:cs="Times New Roman"/>
                              </w:rPr>
                              <w:t>The Common Market for Eastern and Southern Africa’s Fisheries and Aquaculture Strategy aims to achieve long</w:t>
                            </w:r>
                            <w:r>
                              <w:rPr>
                                <w:rFonts w:ascii="Times New Roman" w:hAnsi="Times New Roman" w:cs="Times New Roman"/>
                              </w:rPr>
                              <w:t>-</w:t>
                            </w:r>
                            <w:r w:rsidRPr="00466AAB">
                              <w:rPr>
                                <w:rFonts w:ascii="Times New Roman" w:hAnsi="Times New Roman" w:cs="Times New Roman"/>
                              </w:rPr>
                              <w:t>term productivity of fisheries and aquaculture, to strengthen food security and the trade benefits of fish products to domestic, regional and international markets, as well as ensuring alignment of programmes and projects in the sector.</w:t>
                            </w:r>
                            <w:r w:rsidRPr="00466AAB">
                              <w:rPr>
                                <w:rFonts w:ascii="Times New Roman" w:hAnsi="Times New Roman" w:cs="Times New Roman"/>
                                <w:i/>
                              </w:rPr>
                              <w:t xml:space="preserve"> </w:t>
                            </w:r>
                            <w:r w:rsidRPr="00466AAB">
                              <w:rPr>
                                <w:rFonts w:ascii="Times New Roman" w:hAnsi="Times New Roman" w:cs="Times New Roman"/>
                              </w:rPr>
                              <w:t>Similarly, the South West Indian Ocean Fisheries Commission promotes</w:t>
                            </w:r>
                            <w:r w:rsidRPr="00466AAB">
                              <w:rPr>
                                <w:rFonts w:ascii="Times New Roman" w:hAnsi="Times New Roman" w:cs="Times New Roman"/>
                                <w:i/>
                              </w:rPr>
                              <w:t xml:space="preserve"> </w:t>
                            </w:r>
                            <w:r w:rsidRPr="00466AAB">
                              <w:rPr>
                                <w:rFonts w:ascii="Times New Roman" w:hAnsi="Times New Roman" w:cs="Times New Roman"/>
                              </w:rPr>
                              <w:t>sustainable use of the living marine resources of the South West Indian Ocean region (</w:t>
                            </w:r>
                            <w:r w:rsidRPr="00466AAB">
                              <w:rPr>
                                <w:rStyle w:val="Hyperlink"/>
                                <w:rFonts w:ascii="Times New Roman" w:eastAsia="Times New Roman" w:hAnsi="Times New Roman" w:cs="Times New Roman"/>
                              </w:rPr>
                              <w:t>www.fao.org/fishery/rfb/swiofc/en</w:t>
                            </w:r>
                            <w:r w:rsidRPr="00466AAB">
                              <w:rPr>
                                <w:rFonts w:ascii="Times New Roman" w:hAnsi="Times New Roman" w:cs="Times New Roman"/>
                              </w:rPr>
                              <w:t>), while the Indian Ocean Tuna Commission, headquartered in Victoria, Seychelles, promotes cooperation among Members to ensure conservation and optimum utilisation of stocks of tuna and tuna-like species, encouraging sustainable development of fisheries based on such stocks in the Indian Ocean and adjacent seas (</w:t>
                            </w:r>
                            <w:r w:rsidRPr="00466AAB">
                              <w:rPr>
                                <w:rStyle w:val="Hyperlink"/>
                                <w:rFonts w:ascii="Times New Roman" w:eastAsia="Times New Roman" w:hAnsi="Times New Roman" w:cs="Times New Roman"/>
                              </w:rPr>
                              <w:t>www.iotc.org</w:t>
                            </w:r>
                            <w:r w:rsidRPr="00466AAB">
                              <w:rPr>
                                <w:rFonts w:ascii="Times New Roman" w:hAnsi="Times New Roman" w:cs="Times New Roman"/>
                              </w:rPr>
                              <w:t xml:space="preserve">). </w:t>
                            </w:r>
                          </w:p>
                        </w:txbxContent>
                      </wps:txbx>
                      <wps:bodyPr wrap="square" lIns="91425" tIns="45700" rIns="91425" bIns="45700" anchor="t" anchorCtr="0">
                        <a:noAutofit/>
                      </wps:bodyPr>
                    </wps:wsp>
                  </a:graphicData>
                </a:graphic>
              </wp:inline>
            </w:drawing>
          </mc:Choice>
          <mc:Fallback>
            <w:pict>
              <v:rect w14:anchorId="242DD034" id="Rectangle 2" o:spid="_x0000_s1041" style="width:457pt;height:16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" fillcolor="#f2f2f2 [3052]">
                <v:textbox inset="2.53958mm,1.2694mm,2.53958mm,1.2694mm">
                  <w:txbxContent>
                    <w:p w14:paraId="4A388E4C" w14:textId="77777777" w:rsidR="00BC0CFA" w:rsidRDefault="00BC0CFA" w:rsidP="00200B60">
                      <w:pPr>
                        <w:jc w:val="both"/>
                        <w:textDirection w:val="btLr"/>
                        <w:rPr>
                          <w:rFonts w:ascii="Times New Roman" w:eastAsia="Times New Roman" w:hAnsi="Times New Roman" w:cs="Times New Roman"/>
                          <w:b/>
                        </w:rPr>
                      </w:pPr>
                      <w:r w:rsidRPr="00466AAB">
                        <w:rPr>
                          <w:rFonts w:ascii="Times New Roman" w:eastAsia="Times New Roman" w:hAnsi="Times New Roman" w:cs="Times New Roman"/>
                          <w:b/>
                        </w:rPr>
                        <w:t>Box 6.3: Examples of fisheries and fishery regulatory instruments</w:t>
                      </w:r>
                    </w:p>
                    <w:p w14:paraId="2343FD58" w14:textId="77777777" w:rsidR="00BC0CFA" w:rsidRPr="00466AAB" w:rsidRDefault="00BC0CFA" w:rsidP="00200B60">
                      <w:pPr>
                        <w:jc w:val="both"/>
                        <w:textDirection w:val="btLr"/>
                        <w:rPr>
                          <w:rFonts w:ascii="Times New Roman" w:eastAsia="Times New Roman" w:hAnsi="Times New Roman" w:cs="Times New Roman"/>
                          <w:b/>
                        </w:rPr>
                      </w:pPr>
                    </w:p>
                    <w:p w14:paraId="76B7C98E" w14:textId="2F3E2A2B" w:rsidR="00BC0CFA" w:rsidRPr="00466AAB" w:rsidRDefault="00BC0CFA" w:rsidP="00200B60">
                      <w:pPr>
                        <w:spacing w:line="276" w:lineRule="auto"/>
                        <w:ind w:right="-11"/>
                        <w:jc w:val="both"/>
                        <w:textDirection w:val="btLr"/>
                        <w:rPr>
                          <w:rFonts w:ascii="Times New Roman" w:hAnsi="Times New Roman" w:cs="Times New Roman"/>
                        </w:rPr>
                      </w:pPr>
                      <w:r w:rsidRPr="00466AAB">
                        <w:rPr>
                          <w:rFonts w:ascii="Times New Roman" w:hAnsi="Times New Roman" w:cs="Times New Roman"/>
                        </w:rPr>
                        <w:t>The Common Market for Eastern and Southern Africa’s Fisheries and Aquaculture Strategy aims to achieve long</w:t>
                      </w:r>
                      <w:r>
                        <w:rPr>
                          <w:rFonts w:ascii="Times New Roman" w:hAnsi="Times New Roman" w:cs="Times New Roman"/>
                        </w:rPr>
                        <w:t>-</w:t>
                      </w:r>
                      <w:r w:rsidRPr="00466AAB">
                        <w:rPr>
                          <w:rFonts w:ascii="Times New Roman" w:hAnsi="Times New Roman" w:cs="Times New Roman"/>
                        </w:rPr>
                        <w:t>term productivity of fisheries and aquaculture, to strengthen food security and the trade benefits of fish products to domestic, regional and international markets, as well as ensuring alignment of programmes and projects in the sector.</w:t>
                      </w:r>
                      <w:r w:rsidRPr="00466AAB">
                        <w:rPr>
                          <w:rFonts w:ascii="Times New Roman" w:hAnsi="Times New Roman" w:cs="Times New Roman"/>
                          <w:i/>
                        </w:rPr>
                        <w:t xml:space="preserve"> </w:t>
                      </w:r>
                      <w:r w:rsidRPr="00466AAB">
                        <w:rPr>
                          <w:rFonts w:ascii="Times New Roman" w:hAnsi="Times New Roman" w:cs="Times New Roman"/>
                        </w:rPr>
                        <w:t>Similarly, the South West Indian Ocean Fisheries Commission promotes</w:t>
                      </w:r>
                      <w:r w:rsidRPr="00466AAB">
                        <w:rPr>
                          <w:rFonts w:ascii="Times New Roman" w:hAnsi="Times New Roman" w:cs="Times New Roman"/>
                          <w:i/>
                        </w:rPr>
                        <w:t xml:space="preserve"> </w:t>
                      </w:r>
                      <w:r w:rsidRPr="00466AAB">
                        <w:rPr>
                          <w:rFonts w:ascii="Times New Roman" w:hAnsi="Times New Roman" w:cs="Times New Roman"/>
                        </w:rPr>
                        <w:t>sustainable use of the living marine resources of the South West Indian Ocean region (</w:t>
                      </w:r>
                      <w:r w:rsidRPr="00466AAB">
                        <w:rPr>
                          <w:rStyle w:val="Hyperlink"/>
                          <w:rFonts w:ascii="Times New Roman" w:eastAsia="Times New Roman" w:hAnsi="Times New Roman" w:cs="Times New Roman"/>
                        </w:rPr>
                        <w:t>www.fao.org/fishery/rfb/swiofc/en</w:t>
                      </w:r>
                      <w:r w:rsidRPr="00466AAB">
                        <w:rPr>
                          <w:rFonts w:ascii="Times New Roman" w:hAnsi="Times New Roman" w:cs="Times New Roman"/>
                        </w:rPr>
                        <w:t>), while the Indian Ocean Tuna Commission, headquartered in Victoria, Seychelles, promotes cooperation among Members to ensure conservation and optimum utilisation of stocks of tuna and tuna-like species, encouraging sustainable development of fisheries based on such stocks in the Indian Ocean and adjacent seas (</w:t>
                      </w:r>
                      <w:r w:rsidRPr="00466AAB">
                        <w:rPr>
                          <w:rStyle w:val="Hyperlink"/>
                          <w:rFonts w:ascii="Times New Roman" w:eastAsia="Times New Roman" w:hAnsi="Times New Roman" w:cs="Times New Roman"/>
                        </w:rPr>
                        <w:t>www.iotc.org</w:t>
                      </w:r>
                      <w:r w:rsidRPr="00466AAB">
                        <w:rPr>
                          <w:rFonts w:ascii="Times New Roman" w:hAnsi="Times New Roman" w:cs="Times New Roman"/>
                        </w:rPr>
                        <w:t xml:space="preserve">). </w:t>
                      </w:r>
                    </w:p>
                  </w:txbxContent>
                </v:textbox>
                <w10:anchorlock/>
              </v:rect>
            </w:pict>
          </mc:Fallback>
        </mc:AlternateContent>
      </w:r>
    </w:p>
    <w:p w14:paraId="12D8D14E" w14:textId="77777777" w:rsidR="00F83B61" w:rsidRPr="009B0448" w:rsidRDefault="00F83B61" w:rsidP="009F0016">
      <w:pPr>
        <w:spacing w:line="276" w:lineRule="auto"/>
        <w:jc w:val="both"/>
        <w:rPr>
          <w:rFonts w:ascii="Times New Roman" w:hAnsi="Times New Roman" w:cs="Times New Roman"/>
        </w:rPr>
      </w:pPr>
    </w:p>
    <w:p w14:paraId="22E2547C"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68138EF2" wp14:editId="1BF05120">
                <wp:extent cx="5803265" cy="2108718"/>
                <wp:effectExtent l="0" t="0" r="26035" b="25400"/>
                <wp:docPr id="25" name="Rectangle 25"/>
                <wp:cNvGraphicFramePr/>
                <a:graphic xmlns:a="http://schemas.openxmlformats.org/drawingml/2006/main">
                  <a:graphicData uri="http://schemas.microsoft.com/office/word/2010/wordprocessingShape">
                    <wps:wsp>
                      <wps:cNvSpPr/>
                      <wps:spPr>
                        <a:xfrm>
                          <a:off x="0" y="0"/>
                          <a:ext cx="5803265" cy="2108718"/>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68C3DFBF" w14:textId="3FEC561F" w:rsidR="00BC0CFA" w:rsidRDefault="00BC0CFA" w:rsidP="00200B60">
                            <w:pPr>
                              <w:jc w:val="both"/>
                              <w:textDirection w:val="btLr"/>
                              <w:rPr>
                                <w:rFonts w:ascii="Times New Roman" w:hAnsi="Times New Roman" w:cs="Times New Roman"/>
                                <w:b/>
                              </w:rPr>
                            </w:pPr>
                            <w:r w:rsidRPr="00200B60">
                              <w:rPr>
                                <w:rFonts w:ascii="Times New Roman" w:hAnsi="Times New Roman" w:cs="Times New Roman"/>
                                <w:b/>
                              </w:rPr>
                              <w:t>Box 6.4</w:t>
                            </w:r>
                            <w:r>
                              <w:rPr>
                                <w:rFonts w:ascii="Times New Roman" w:hAnsi="Times New Roman" w:cs="Times New Roman"/>
                                <w:b/>
                              </w:rPr>
                              <w:t>:</w:t>
                            </w:r>
                            <w:r w:rsidRPr="00200B60">
                              <w:rPr>
                                <w:rFonts w:ascii="Times New Roman" w:hAnsi="Times New Roman" w:cs="Times New Roman"/>
                                <w:b/>
                              </w:rPr>
                              <w:t xml:space="preserve"> The Southern African Development Community’s Plant Genetic </w:t>
                            </w:r>
                            <w:r w:rsidRPr="00200B60">
                              <w:rPr>
                                <w:rFonts w:ascii="Times New Roman" w:eastAsia="Times New Roman" w:hAnsi="Times New Roman" w:cs="Times New Roman"/>
                                <w:b/>
                              </w:rPr>
                              <w:t>Resource</w:t>
                            </w:r>
                            <w:r w:rsidRPr="00200B60">
                              <w:rPr>
                                <w:rFonts w:ascii="Times New Roman" w:hAnsi="Times New Roman" w:cs="Times New Roman"/>
                                <w:b/>
                              </w:rPr>
                              <w:t xml:space="preserve"> Centre</w:t>
                            </w:r>
                          </w:p>
                          <w:p w14:paraId="5F8B46C9" w14:textId="77777777" w:rsidR="00BC0CFA" w:rsidRPr="00200B60" w:rsidRDefault="00BC0CFA" w:rsidP="00200B60">
                            <w:pPr>
                              <w:jc w:val="both"/>
                              <w:textDirection w:val="btLr"/>
                              <w:rPr>
                                <w:rFonts w:ascii="Times New Roman" w:hAnsi="Times New Roman" w:cs="Times New Roman"/>
                              </w:rPr>
                            </w:pPr>
                          </w:p>
                          <w:p w14:paraId="3D6B99D3" w14:textId="4876A596" w:rsidR="00BC0CFA" w:rsidRPr="00200B60" w:rsidRDefault="00BC0CFA" w:rsidP="00200B60">
                            <w:pPr>
                              <w:spacing w:line="276" w:lineRule="auto"/>
                              <w:ind w:right="34"/>
                              <w:jc w:val="both"/>
                              <w:textDirection w:val="btLr"/>
                              <w:rPr>
                                <w:rFonts w:ascii="Times New Roman" w:hAnsi="Times New Roman" w:cs="Times New Roman"/>
                              </w:rPr>
                            </w:pPr>
                            <w:r w:rsidRPr="00200B60">
                              <w:rPr>
                                <w:rFonts w:ascii="Times New Roman" w:hAnsi="Times New Roman" w:cs="Times New Roman"/>
                              </w:rPr>
                              <w:t>The Southern African Development Community’s Plant Genetic Resource Centre is a regional gene bank that works with plant genetics centres in each Southern African Development Community member state to conserve and preserve genetic diversity and viability of southern African plant stocks. The centre now holds more than 18,000 diverse crop and wild relative accessions and is increasing its collection of traditional crop varieties and wild species. Other gene banks in Africa are located in Tanzania, Egypt and Sudan. Ensuring genetic retention of species and variability provides a buffer to local agriculture against shocks such as drought, flood, climate change or civil unrest. Regional fisheries bodies and agreements are also important for the region’s management of biodiversity and ecosystem services (</w:t>
                            </w:r>
                            <w:hyperlink r:id="rId1753" w:history="1">
                              <w:r w:rsidRPr="00200B60">
                                <w:rPr>
                                  <w:rStyle w:val="Hyperlink"/>
                                  <w:rFonts w:ascii="Times New Roman" w:eastAsia="Times New Roman" w:hAnsi="Times New Roman" w:cs="Times New Roman"/>
                                </w:rPr>
                                <w:t>www.spgrc.org.zm/</w:t>
                              </w:r>
                            </w:hyperlink>
                            <w:r w:rsidRPr="00200B60">
                              <w:rPr>
                                <w:rFonts w:ascii="Times New Roman" w:hAnsi="Times New Roman" w:cs="Times New Roman"/>
                              </w:rPr>
                              <w:t>).</w:t>
                            </w:r>
                          </w:p>
                        </w:txbxContent>
                      </wps:txbx>
                      <wps:bodyPr wrap="square" lIns="91425" tIns="45700" rIns="91425" bIns="45700" anchor="t" anchorCtr="0">
                        <a:noAutofit/>
                      </wps:bodyPr>
                    </wps:wsp>
                  </a:graphicData>
                </a:graphic>
              </wp:inline>
            </w:drawing>
          </mc:Choice>
          <mc:Fallback>
            <w:pict>
              <v:rect w14:anchorId="68138EF2" id="Rectangle 25" o:spid="_x0000_s1042" style="width:456.95pt;height:166.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" fillcolor="#f2f2f2 [3052]">
                <v:textbox inset="2.53958mm,1.2694mm,2.53958mm,1.2694mm">
                  <w:txbxContent>
                    <w:p w14:paraId="68C3DFBF" w14:textId="3FEC561F" w:rsidR="00BC0CFA" w:rsidRDefault="00BC0CFA" w:rsidP="00200B60">
                      <w:pPr>
                        <w:jc w:val="both"/>
                        <w:textDirection w:val="btLr"/>
                        <w:rPr>
                          <w:rFonts w:ascii="Times New Roman" w:hAnsi="Times New Roman" w:cs="Times New Roman"/>
                          <w:b/>
                        </w:rPr>
                      </w:pPr>
                      <w:r w:rsidRPr="00200B60">
                        <w:rPr>
                          <w:rFonts w:ascii="Times New Roman" w:hAnsi="Times New Roman" w:cs="Times New Roman"/>
                          <w:b/>
                        </w:rPr>
                        <w:t>Box 6.4</w:t>
                      </w:r>
                      <w:r>
                        <w:rPr>
                          <w:rFonts w:ascii="Times New Roman" w:hAnsi="Times New Roman" w:cs="Times New Roman"/>
                          <w:b/>
                        </w:rPr>
                        <w:t>:</w:t>
                      </w:r>
                      <w:r w:rsidRPr="00200B60">
                        <w:rPr>
                          <w:rFonts w:ascii="Times New Roman" w:hAnsi="Times New Roman" w:cs="Times New Roman"/>
                          <w:b/>
                        </w:rPr>
                        <w:t xml:space="preserve"> The Southern African Development Community’s Plant Genetic </w:t>
                      </w:r>
                      <w:r w:rsidRPr="00200B60">
                        <w:rPr>
                          <w:rFonts w:ascii="Times New Roman" w:eastAsia="Times New Roman" w:hAnsi="Times New Roman" w:cs="Times New Roman"/>
                          <w:b/>
                        </w:rPr>
                        <w:t>Resource</w:t>
                      </w:r>
                      <w:r w:rsidRPr="00200B60">
                        <w:rPr>
                          <w:rFonts w:ascii="Times New Roman" w:hAnsi="Times New Roman" w:cs="Times New Roman"/>
                          <w:b/>
                        </w:rPr>
                        <w:t xml:space="preserve"> Centre</w:t>
                      </w:r>
                    </w:p>
                    <w:p w14:paraId="5F8B46C9" w14:textId="77777777" w:rsidR="00BC0CFA" w:rsidRPr="00200B60" w:rsidRDefault="00BC0CFA" w:rsidP="00200B60">
                      <w:pPr>
                        <w:jc w:val="both"/>
                        <w:textDirection w:val="btLr"/>
                        <w:rPr>
                          <w:rFonts w:ascii="Times New Roman" w:hAnsi="Times New Roman" w:cs="Times New Roman"/>
                        </w:rPr>
                      </w:pPr>
                    </w:p>
                    <w:p w14:paraId="3D6B99D3" w14:textId="4876A596" w:rsidR="00BC0CFA" w:rsidRPr="00200B60" w:rsidRDefault="00BC0CFA" w:rsidP="00200B60">
                      <w:pPr>
                        <w:spacing w:line="276" w:lineRule="auto"/>
                        <w:ind w:right="34"/>
                        <w:jc w:val="both"/>
                        <w:textDirection w:val="btLr"/>
                        <w:rPr>
                          <w:rFonts w:ascii="Times New Roman" w:hAnsi="Times New Roman" w:cs="Times New Roman"/>
                        </w:rPr>
                      </w:pPr>
                      <w:r w:rsidRPr="00200B60">
                        <w:rPr>
                          <w:rFonts w:ascii="Times New Roman" w:hAnsi="Times New Roman" w:cs="Times New Roman"/>
                        </w:rPr>
                        <w:t>The Southern African Development Community’s Plant Genetic Resource Centre is a regional gene bank that works with plant genetics centres in each Southern African Development Community member state to conserve and preserve genetic diversity and viability of southern African plant stocks. The centre now holds more than 18,000 diverse crop and wild relative accessions and is increasing its collection of traditional crop varieties and wild species. Other gene banks in Africa are located in Tanzania, Egypt and Sudan. Ensuring genetic retention of species and variability provides a buffer to local agriculture against shocks such as drought, flood, climate change or civil unrest. Regional fisheries bodies and agreements are also important for the region’s management of biodiversity and ecosystem services (</w:t>
                      </w:r>
                      <w:hyperlink r:id="rId1754" w:history="1">
                        <w:r w:rsidRPr="00200B60">
                          <w:rPr>
                            <w:rStyle w:val="Hyperlink"/>
                            <w:rFonts w:ascii="Times New Roman" w:eastAsia="Times New Roman" w:hAnsi="Times New Roman" w:cs="Times New Roman"/>
                          </w:rPr>
                          <w:t>www.spgrc.org.zm/</w:t>
                        </w:r>
                      </w:hyperlink>
                      <w:r w:rsidRPr="00200B60">
                        <w:rPr>
                          <w:rFonts w:ascii="Times New Roman" w:hAnsi="Times New Roman" w:cs="Times New Roman"/>
                        </w:rPr>
                        <w:t>).</w:t>
                      </w:r>
                    </w:p>
                  </w:txbxContent>
                </v:textbox>
                <w10:anchorlock/>
              </v:rect>
            </w:pict>
          </mc:Fallback>
        </mc:AlternateContent>
      </w:r>
    </w:p>
    <w:p w14:paraId="5FCFE6E5" w14:textId="77777777" w:rsidR="00F83B61" w:rsidRPr="009B0448" w:rsidRDefault="00F83B61" w:rsidP="00FA7185">
      <w:pPr>
        <w:pStyle w:val="111"/>
        <w:numPr>
          <w:ilvl w:val="2"/>
          <w:numId w:val="11"/>
        </w:numPr>
        <w:spacing w:before="240" w:after="240"/>
        <w:ind w:left="709" w:hanging="720"/>
        <w:rPr>
          <w:rFonts w:cs="Times New Roman"/>
          <w:i w:val="0"/>
          <w:sz w:val="22"/>
          <w:szCs w:val="22"/>
        </w:rPr>
      </w:pPr>
      <w:bookmarkStart w:id="501" w:name="_Toc502937683"/>
      <w:bookmarkStart w:id="502" w:name="_Toc519500050"/>
      <w:r w:rsidRPr="009B0448">
        <w:rPr>
          <w:rFonts w:cs="Times New Roman"/>
          <w:i w:val="0"/>
          <w:sz w:val="22"/>
          <w:szCs w:val="22"/>
        </w:rPr>
        <w:t>National level strategies and action plans</w:t>
      </w:r>
      <w:bookmarkEnd w:id="501"/>
      <w:bookmarkEnd w:id="502"/>
    </w:p>
    <w:p w14:paraId="45D9D4D4" w14:textId="57C66311"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The United Nations General Assembly has stressed the need for enhanced cooperation among the Rio Conventions in implementation at national and sub-national levels. This is reiterated in the Sustainable Development Goals, encouraging coordination and cooperation between multilateral environmental agreements. Through </w:t>
      </w:r>
      <w:r w:rsidR="00AF4CB5" w:rsidRPr="009B0448">
        <w:rPr>
          <w:rFonts w:ascii="Times New Roman" w:hAnsi="Times New Roman" w:cs="Times New Roman"/>
        </w:rPr>
        <w:t xml:space="preserve">the </w:t>
      </w:r>
      <w:r w:rsidRPr="009B0448">
        <w:rPr>
          <w:rFonts w:ascii="Times New Roman" w:hAnsi="Times New Roman" w:cs="Times New Roman"/>
        </w:rPr>
        <w:t>preparation of National Biodiversity Strategies and Action Plans, national and sectoral policies have responded to international agreements such as the Convention on Biological Diversity, alongside the United Nations Convention to Combat Desertification’s National Action Programmes and the United Nations Framework Convention on Climate Change’s National Adaptation Plans, and Intended Nationally Determined Contributions. Together, these agreements can help to align policies to achieve desir</w:t>
      </w:r>
      <w:r w:rsidR="00AF4CB5" w:rsidRPr="009B0448">
        <w:rPr>
          <w:rFonts w:ascii="Times New Roman" w:hAnsi="Times New Roman" w:cs="Times New Roman"/>
        </w:rPr>
        <w:t>ed</w:t>
      </w:r>
      <w:r w:rsidRPr="009B0448">
        <w:rPr>
          <w:rFonts w:ascii="Times New Roman" w:hAnsi="Times New Roman" w:cs="Times New Roman"/>
        </w:rPr>
        <w:t xml:space="preserve"> outcomes for biodiversity, climate change and desertification within the broader context of sustainable development. For example, ecosystem-based adaptation can help to achieve the goals of multiple multilateral environmental agreements through national level implementation (Box 6.5).</w:t>
      </w:r>
    </w:p>
    <w:p w14:paraId="50C6A999" w14:textId="77777777" w:rsidR="00F83B61" w:rsidRPr="009B0448" w:rsidRDefault="00F83B61" w:rsidP="009F0016">
      <w:pPr>
        <w:spacing w:line="276" w:lineRule="auto"/>
        <w:jc w:val="both"/>
        <w:rPr>
          <w:rFonts w:ascii="Times New Roman" w:hAnsi="Times New Roman" w:cs="Times New Roman"/>
        </w:rPr>
      </w:pPr>
    </w:p>
    <w:p w14:paraId="70653197" w14:textId="77777777" w:rsidR="00F83B61" w:rsidRPr="009B0448" w:rsidRDefault="00F83B61" w:rsidP="00200B60">
      <w:pPr>
        <w:spacing w:line="276" w:lineRule="auto"/>
        <w:jc w:val="both"/>
        <w:rPr>
          <w:rFonts w:ascii="Times New Roman" w:hAnsi="Times New Roman" w:cs="Times New Roman"/>
        </w:rPr>
      </w:pPr>
      <w:r w:rsidRPr="009B0448">
        <w:rPr>
          <w:rFonts w:ascii="Times New Roman" w:hAnsi="Times New Roman" w:cs="Times New Roman"/>
          <w:noProof/>
          <w:sz w:val="20"/>
          <w:szCs w:val="20"/>
          <w:lang w:eastAsia="en-GB"/>
        </w:rPr>
        <mc:AlternateContent>
          <mc:Choice Requires="wps">
            <w:drawing>
              <wp:inline distT="0" distB="0" distL="0" distR="0" wp14:anchorId="6325FAC1" wp14:editId="47F29E93">
                <wp:extent cx="5727700" cy="3209731"/>
                <wp:effectExtent l="0" t="0" r="25400" b="10160"/>
                <wp:docPr id="41" name="Text Box 41"/>
                <wp:cNvGraphicFramePr/>
                <a:graphic xmlns:a="http://schemas.openxmlformats.org/drawingml/2006/main">
                  <a:graphicData uri="http://schemas.microsoft.com/office/word/2010/wordprocessingShape">
                    <wps:wsp>
                      <wps:cNvSpPr txBox="1"/>
                      <wps:spPr>
                        <a:xfrm>
                          <a:off x="0" y="0"/>
                          <a:ext cx="5727700" cy="3209731"/>
                        </a:xfrm>
                        <a:prstGeom prst="rect">
                          <a:avLst/>
                        </a:prstGeom>
                        <a:solidFill>
                          <a:schemeClr val="bg1">
                            <a:lumMod val="95000"/>
                          </a:schemeClr>
                        </a:solidFill>
                        <a:ln w="6350">
                          <a:solidFill>
                            <a:prstClr val="black"/>
                          </a:solidFill>
                        </a:ln>
                        <a:effectLst/>
                      </wps:spPr>
                      <wps:txbx>
                        <w:txbxContent>
                          <w:p w14:paraId="61DB4B39" w14:textId="23E5EA80" w:rsidR="00BC0CFA" w:rsidRDefault="00BC0CFA" w:rsidP="00200B60">
                            <w:pPr>
                              <w:rPr>
                                <w:rStyle w:val="fontstyle01"/>
                                <w:rFonts w:ascii="Times New Roman" w:hAnsi="Times New Roman" w:cs="Times New Roman"/>
                                <w:b/>
                              </w:rPr>
                            </w:pPr>
                            <w:r>
                              <w:rPr>
                                <w:rStyle w:val="fontstyle01"/>
                                <w:rFonts w:ascii="Times New Roman" w:hAnsi="Times New Roman" w:cs="Times New Roman"/>
                                <w:b/>
                              </w:rPr>
                              <w:t>Box 6.5: Ecosystem-based adaptation to climate c</w:t>
                            </w:r>
                            <w:r w:rsidRPr="00466AAB">
                              <w:rPr>
                                <w:rStyle w:val="fontstyle01"/>
                                <w:rFonts w:ascii="Times New Roman" w:hAnsi="Times New Roman" w:cs="Times New Roman"/>
                                <w:b/>
                              </w:rPr>
                              <w:t>hange</w:t>
                            </w:r>
                          </w:p>
                          <w:p w14:paraId="7EA30DD3" w14:textId="77777777" w:rsidR="00BC0CFA" w:rsidRPr="00466AAB" w:rsidRDefault="00BC0CFA" w:rsidP="00200B60">
                            <w:pPr>
                              <w:rPr>
                                <w:rStyle w:val="fontstyle01"/>
                                <w:rFonts w:ascii="Times New Roman" w:hAnsi="Times New Roman" w:cs="Times New Roman"/>
                                <w:b/>
                              </w:rPr>
                            </w:pPr>
                          </w:p>
                          <w:p w14:paraId="527C5ECD" w14:textId="01D09389" w:rsidR="00BC0CFA" w:rsidRDefault="00BC0CFA" w:rsidP="00200B60">
                            <w:pPr>
                              <w:spacing w:line="276" w:lineRule="auto"/>
                              <w:jc w:val="both"/>
                              <w:rPr>
                                <w:rStyle w:val="fontstyle21"/>
                                <w:rFonts w:ascii="Times New Roman" w:hAnsi="Times New Roman" w:cs="Times New Roman"/>
                                <w:bCs/>
                                <w:i w:val="0"/>
                              </w:rPr>
                            </w:pPr>
                            <w:r w:rsidRPr="00466AAB">
                              <w:rPr>
                                <w:rStyle w:val="fontstyle01"/>
                                <w:rFonts w:ascii="Times New Roman" w:hAnsi="Times New Roman" w:cs="Times New Roman"/>
                              </w:rPr>
                              <w:t>A very important link between climate change and biodiversity is ecosystem-based adaptation, which provides for conservation, restoration and sustainable use of biodiversity while supporting societies adapt to climate change impacts (S</w:t>
                            </w:r>
                            <w:r w:rsidRPr="00466AAB">
                              <w:rPr>
                                <w:rFonts w:ascii="Times New Roman" w:hAnsi="Times New Roman" w:cs="Times New Roman"/>
                              </w:rPr>
                              <w:t>carano, 2017)</w:t>
                            </w:r>
                            <w:r w:rsidRPr="00466AAB">
                              <w:rPr>
                                <w:rStyle w:val="fontstyle01"/>
                                <w:rFonts w:ascii="Times New Roman" w:hAnsi="Times New Roman" w:cs="Times New Roman"/>
                              </w:rPr>
                              <w:t xml:space="preserve">. </w:t>
                            </w:r>
                            <w:r w:rsidRPr="008F6929">
                              <w:rPr>
                                <w:rStyle w:val="fontstyle21"/>
                                <w:rFonts w:ascii="Times New Roman" w:hAnsi="Times New Roman" w:cs="Times New Roman"/>
                                <w:i w:val="0"/>
                              </w:rPr>
                              <w:t xml:space="preserve">Ecosystem-based adaptation is defined as </w:t>
                            </w:r>
                            <w:r w:rsidRPr="00466AAB">
                              <w:rPr>
                                <w:rStyle w:val="fontstyle21"/>
                                <w:rFonts w:ascii="Times New Roman" w:hAnsi="Times New Roman" w:cs="Times New Roman"/>
                              </w:rPr>
                              <w:t xml:space="preserve">“the plans/measures that aim at integrating the use of biodiversity and ecosystem services into an overall adaptation strategy. It can be cost-effective and generate social, economic and cultural co-benefits and contribute to the conservation of biodiversity” </w:t>
                            </w:r>
                            <w:r w:rsidRPr="00466AAB">
                              <w:rPr>
                                <w:rStyle w:val="fontstyle21"/>
                                <w:rFonts w:ascii="Times New Roman" w:hAnsi="Times New Roman" w:cs="Times New Roman"/>
                                <w:i w:val="0"/>
                              </w:rPr>
                              <w:t>(</w:t>
                            </w:r>
                            <w:r w:rsidRPr="00466AAB">
                              <w:rPr>
                                <w:rStyle w:val="fontstyle21"/>
                                <w:rFonts w:ascii="Times New Roman" w:hAnsi="Times New Roman" w:cs="Times New Roman"/>
                                <w:bCs/>
                                <w:i w:val="0"/>
                              </w:rPr>
                              <w:t>Doswald, 2014).</w:t>
                            </w:r>
                          </w:p>
                          <w:p w14:paraId="50564246" w14:textId="77777777" w:rsidR="00BC0CFA" w:rsidRPr="00466AAB" w:rsidRDefault="00BC0CFA" w:rsidP="00200B60">
                            <w:pPr>
                              <w:spacing w:line="276" w:lineRule="auto"/>
                              <w:jc w:val="both"/>
                              <w:rPr>
                                <w:rStyle w:val="fontstyle21"/>
                                <w:rFonts w:ascii="Times New Roman" w:hAnsi="Times New Roman" w:cs="Times New Roman"/>
                                <w:bCs/>
                              </w:rPr>
                            </w:pPr>
                          </w:p>
                          <w:p w14:paraId="2B67C6EC" w14:textId="77777777" w:rsidR="00BC0CFA" w:rsidRPr="00466AAB" w:rsidRDefault="00BC0CFA" w:rsidP="00200B60">
                            <w:pPr>
                              <w:spacing w:line="276" w:lineRule="auto"/>
                              <w:jc w:val="both"/>
                              <w:rPr>
                                <w:rFonts w:ascii="Times New Roman" w:hAnsi="Times New Roman" w:cs="Times New Roman"/>
                              </w:rPr>
                            </w:pPr>
                            <w:r w:rsidRPr="00466AAB">
                              <w:rPr>
                                <w:rStyle w:val="fontstyle01"/>
                                <w:rFonts w:ascii="Times New Roman" w:hAnsi="Times New Roman" w:cs="Times New Roman"/>
                              </w:rPr>
                              <w:t>Ecosystem-based adaptation measures implemented in many African countries include awareness creation and  capacity building for sustainable management of natural resources, use of information and knowledge from all sources, including traditional knowledge, innovations and practices, design of policy measures to protect and control over-extraction of timber trees; establishment of protected areas, watershed management, shelterbelts and agroforestry. These measures have demonstrated multiple economic, environmental, social and cultural benefits by ensuring livelihood sustenance and food security, conservation of biodiversity, sustainable water management, and disaster risk reduction, among other benefits (</w:t>
                            </w:r>
                            <w:hyperlink r:id="rId1755" w:history="1">
                              <w:r w:rsidRPr="00466AAB">
                                <w:rPr>
                                  <w:rStyle w:val="Hyperlink"/>
                                  <w:rFonts w:ascii="Times New Roman" w:hAnsi="Times New Roman" w:cs="Times New Roman"/>
                                </w:rPr>
                                <w:t>http://unfccc.int/4159.php</w:t>
                              </w:r>
                            </w:hyperlink>
                            <w:r w:rsidRPr="00466AAB">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325FAC1" id="Text Box 41" o:spid="_x0000_s1043" type="#_x0000_t202" style="width:451pt;height:2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" fillcolor="#f2f2f2 [3052]" strokeweight=".5pt">
                <v:textbox>
                  <w:txbxContent>
                    <w:p w14:paraId="61DB4B39" w14:textId="23E5EA80" w:rsidR="00BC0CFA" w:rsidRDefault="00BC0CFA" w:rsidP="00200B60">
                      <w:pPr>
                        <w:rPr>
                          <w:rStyle w:val="fontstyle01"/>
                          <w:rFonts w:ascii="Times New Roman" w:hAnsi="Times New Roman" w:cs="Times New Roman"/>
                          <w:b/>
                        </w:rPr>
                      </w:pPr>
                      <w:r>
                        <w:rPr>
                          <w:rStyle w:val="fontstyle01"/>
                          <w:rFonts w:ascii="Times New Roman" w:hAnsi="Times New Roman" w:cs="Times New Roman"/>
                          <w:b/>
                        </w:rPr>
                        <w:t>Box 6.5: Ecosystem-based adaptation to climate c</w:t>
                      </w:r>
                      <w:r w:rsidRPr="00466AAB">
                        <w:rPr>
                          <w:rStyle w:val="fontstyle01"/>
                          <w:rFonts w:ascii="Times New Roman" w:hAnsi="Times New Roman" w:cs="Times New Roman"/>
                          <w:b/>
                        </w:rPr>
                        <w:t>hange</w:t>
                      </w:r>
                    </w:p>
                    <w:p w14:paraId="7EA30DD3" w14:textId="77777777" w:rsidR="00BC0CFA" w:rsidRPr="00466AAB" w:rsidRDefault="00BC0CFA" w:rsidP="00200B60">
                      <w:pPr>
                        <w:rPr>
                          <w:rStyle w:val="fontstyle01"/>
                          <w:rFonts w:ascii="Times New Roman" w:hAnsi="Times New Roman" w:cs="Times New Roman"/>
                          <w:b/>
                        </w:rPr>
                      </w:pPr>
                    </w:p>
                    <w:p w14:paraId="527C5ECD" w14:textId="01D09389" w:rsidR="00BC0CFA" w:rsidRDefault="00BC0CFA" w:rsidP="00200B60">
                      <w:pPr>
                        <w:spacing w:line="276" w:lineRule="auto"/>
                        <w:jc w:val="both"/>
                        <w:rPr>
                          <w:rStyle w:val="fontstyle21"/>
                          <w:rFonts w:ascii="Times New Roman" w:hAnsi="Times New Roman" w:cs="Times New Roman"/>
                          <w:bCs/>
                          <w:i w:val="0"/>
                        </w:rPr>
                      </w:pPr>
                      <w:r w:rsidRPr="00466AAB">
                        <w:rPr>
                          <w:rStyle w:val="fontstyle01"/>
                          <w:rFonts w:ascii="Times New Roman" w:hAnsi="Times New Roman" w:cs="Times New Roman"/>
                        </w:rPr>
                        <w:t>A very important link between climate change and biodiversity is ecosystem-based adaptation, which provides for conservation, restoration and sustainable use of biodiversity while supporting societies adapt to climate change impacts (S</w:t>
                      </w:r>
                      <w:r w:rsidRPr="00466AAB">
                        <w:rPr>
                          <w:rFonts w:ascii="Times New Roman" w:hAnsi="Times New Roman" w:cs="Times New Roman"/>
                        </w:rPr>
                        <w:t>carano, 2017)</w:t>
                      </w:r>
                      <w:r w:rsidRPr="00466AAB">
                        <w:rPr>
                          <w:rStyle w:val="fontstyle01"/>
                          <w:rFonts w:ascii="Times New Roman" w:hAnsi="Times New Roman" w:cs="Times New Roman"/>
                        </w:rPr>
                        <w:t xml:space="preserve">. </w:t>
                      </w:r>
                      <w:r w:rsidRPr="008F6929">
                        <w:rPr>
                          <w:rStyle w:val="fontstyle21"/>
                          <w:rFonts w:ascii="Times New Roman" w:hAnsi="Times New Roman" w:cs="Times New Roman"/>
                          <w:i w:val="0"/>
                        </w:rPr>
                        <w:t xml:space="preserve">Ecosystem-based adaptation is defined as </w:t>
                      </w:r>
                      <w:r w:rsidRPr="00466AAB">
                        <w:rPr>
                          <w:rStyle w:val="fontstyle21"/>
                          <w:rFonts w:ascii="Times New Roman" w:hAnsi="Times New Roman" w:cs="Times New Roman"/>
                        </w:rPr>
                        <w:t xml:space="preserve">“the plans/measures that aim at integrating the use of biodiversity and ecosystem services into an overall adaptation strategy. It can be cost-effective and generate social, economic and cultural co-benefits and contribute to the conservation of biodiversity” </w:t>
                      </w:r>
                      <w:r w:rsidRPr="00466AAB">
                        <w:rPr>
                          <w:rStyle w:val="fontstyle21"/>
                          <w:rFonts w:ascii="Times New Roman" w:hAnsi="Times New Roman" w:cs="Times New Roman"/>
                          <w:i w:val="0"/>
                        </w:rPr>
                        <w:t>(</w:t>
                      </w:r>
                      <w:r w:rsidRPr="00466AAB">
                        <w:rPr>
                          <w:rStyle w:val="fontstyle21"/>
                          <w:rFonts w:ascii="Times New Roman" w:hAnsi="Times New Roman" w:cs="Times New Roman"/>
                          <w:bCs/>
                          <w:i w:val="0"/>
                        </w:rPr>
                        <w:t>Doswald, 2014).</w:t>
                      </w:r>
                    </w:p>
                    <w:p w14:paraId="50564246" w14:textId="77777777" w:rsidR="00BC0CFA" w:rsidRPr="00466AAB" w:rsidRDefault="00BC0CFA" w:rsidP="00200B60">
                      <w:pPr>
                        <w:spacing w:line="276" w:lineRule="auto"/>
                        <w:jc w:val="both"/>
                        <w:rPr>
                          <w:rStyle w:val="fontstyle21"/>
                          <w:rFonts w:ascii="Times New Roman" w:hAnsi="Times New Roman" w:cs="Times New Roman"/>
                          <w:bCs/>
                        </w:rPr>
                      </w:pPr>
                    </w:p>
                    <w:p w14:paraId="2B67C6EC" w14:textId="77777777" w:rsidR="00BC0CFA" w:rsidRPr="00466AAB" w:rsidRDefault="00BC0CFA" w:rsidP="00200B60">
                      <w:pPr>
                        <w:spacing w:line="276" w:lineRule="auto"/>
                        <w:jc w:val="both"/>
                        <w:rPr>
                          <w:rFonts w:ascii="Times New Roman" w:hAnsi="Times New Roman" w:cs="Times New Roman"/>
                        </w:rPr>
                      </w:pPr>
                      <w:r w:rsidRPr="00466AAB">
                        <w:rPr>
                          <w:rStyle w:val="fontstyle01"/>
                          <w:rFonts w:ascii="Times New Roman" w:hAnsi="Times New Roman" w:cs="Times New Roman"/>
                        </w:rPr>
                        <w:t>Ecosystem-based adaptation measures implemented in many African countries include awareness creation and  capacity building for sustainable management of natural resources, use of information and knowledge from all sources, including traditional knowledge, innovations and practices, design of policy measures to protect and control over-extraction of timber trees; establishment of protected areas, watershed management, shelterbelts and agroforestry. These measures have demonstrated multiple economic, environmental, social and cultural benefits by ensuring livelihood sustenance and food security, conservation of biodiversity, sustainable water management, and disaster risk reduction, among other benefits (</w:t>
                      </w:r>
                      <w:hyperlink r:id="rId1756" w:history="1">
                        <w:r w:rsidRPr="00466AAB">
                          <w:rPr>
                            <w:rStyle w:val="Hyperlink"/>
                            <w:rFonts w:ascii="Times New Roman" w:hAnsi="Times New Roman" w:cs="Times New Roman"/>
                          </w:rPr>
                          <w:t>http://unfccc.int/4159.php</w:t>
                        </w:r>
                      </w:hyperlink>
                      <w:r w:rsidRPr="00466AAB">
                        <w:rPr>
                          <w:rFonts w:ascii="Times New Roman" w:hAnsi="Times New Roman" w:cs="Times New Roman"/>
                        </w:rPr>
                        <w:t>).</w:t>
                      </w:r>
                    </w:p>
                  </w:txbxContent>
                </v:textbox>
                <w10:anchorlock/>
              </v:shape>
            </w:pict>
          </mc:Fallback>
        </mc:AlternateContent>
      </w:r>
    </w:p>
    <w:p w14:paraId="752C53FB" w14:textId="77777777" w:rsidR="00F83B61" w:rsidRPr="009B0448" w:rsidRDefault="00F83B61" w:rsidP="009F0016">
      <w:pPr>
        <w:spacing w:line="276" w:lineRule="auto"/>
        <w:jc w:val="both"/>
        <w:rPr>
          <w:rFonts w:ascii="Times New Roman" w:hAnsi="Times New Roman" w:cs="Times New Roman"/>
        </w:rPr>
      </w:pPr>
    </w:p>
    <w:p w14:paraId="409EB434" w14:textId="66299B08"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National Biodiversity Strategies and Action Plans act as national instruments to incorporate biodiversity strategy into development planning. As stipulated in Aichi </w:t>
      </w:r>
      <w:r w:rsidR="00E1071B" w:rsidRPr="009B0448">
        <w:rPr>
          <w:rFonts w:ascii="Times New Roman" w:hAnsi="Times New Roman" w:cs="Times New Roman"/>
        </w:rPr>
        <w:t xml:space="preserve">biodiversity </w:t>
      </w:r>
      <w:r w:rsidRPr="009B0448">
        <w:rPr>
          <w:rFonts w:ascii="Times New Roman" w:hAnsi="Times New Roman" w:cs="Times New Roman"/>
        </w:rPr>
        <w:t>target 17, each party to the Convention on Biological Diversity is expected to have developed, adopted or started implementation of National Biodiversity Strategies and Action Plans by 2015. Fifty-one African countries have National Biodiversity Strategies and Action Plans, some of which are under revision, in revised or completed forms. Some countries (e.g.</w:t>
      </w:r>
      <w:r w:rsidR="00E24BC5">
        <w:rPr>
          <w:rFonts w:ascii="Times New Roman" w:hAnsi="Times New Roman" w:cs="Times New Roman"/>
        </w:rPr>
        <w:t>,</w:t>
      </w:r>
      <w:r w:rsidRPr="009B0448">
        <w:rPr>
          <w:rFonts w:ascii="Times New Roman" w:hAnsi="Times New Roman" w:cs="Times New Roman"/>
        </w:rPr>
        <w:t xml:space="preserve"> Libyan Arab Jamahiriya, Somalia and South Sudan) have their first National Biodiversity Strategies and Action Plans under development at the time of writing this assessment. As of 2015, 49 African countries had reported their revised National Biodiversity Strategies and Action Plans to the Convention on Biological Diversity (with national targets for the period 2010–2020). National targets (e.g., reduction of habitat loss by 10%, increase conservation of threatened or endangered species by 30%, reduce impacts of mining on biodiversity, etc.) are well aligned to meeting many of the Aichi Biodiversity Targets by 2020. Nevertheless, moving towards effective national-scale implementation of global multilateral agreements is highly challenging. </w:t>
      </w:r>
    </w:p>
    <w:p w14:paraId="488DE6D1" w14:textId="77777777" w:rsidR="009F0016" w:rsidRPr="009B0448" w:rsidRDefault="009F0016" w:rsidP="009F0016">
      <w:pPr>
        <w:spacing w:line="276" w:lineRule="auto"/>
        <w:jc w:val="both"/>
        <w:rPr>
          <w:rFonts w:ascii="Times New Roman" w:hAnsi="Times New Roman" w:cs="Times New Roman"/>
        </w:rPr>
      </w:pPr>
    </w:p>
    <w:p w14:paraId="32F05D18" w14:textId="77777777" w:rsidR="00F83B61" w:rsidRPr="009B0448" w:rsidRDefault="00F83B61" w:rsidP="009F0016">
      <w:pPr>
        <w:spacing w:line="276" w:lineRule="auto"/>
        <w:jc w:val="both"/>
        <w:rPr>
          <w:rFonts w:ascii="Times New Roman" w:hAnsi="Times New Roman" w:cs="Times New Roman"/>
        </w:rPr>
      </w:pPr>
      <w:bookmarkStart w:id="503" w:name="_2s8eyo1" w:colFirst="0" w:colLast="0"/>
      <w:bookmarkEnd w:id="503"/>
      <w:r w:rsidRPr="009B0448">
        <w:rPr>
          <w:rFonts w:ascii="Times New Roman" w:hAnsi="Times New Roman" w:cs="Times New Roman"/>
        </w:rPr>
        <w:t xml:space="preserve">According to UNEP (2015), improved coordination between national institutions responsible for various multilateral environmental agreements and relevant ministerial departments and agencies, is critical to the implementation of biodiversity and ecosystem services management strategies in a synergistic way within a polycentric governance system. Synergy can be harnessed between multilateral environmental agreements through mainstreaming national strategies into national and regional development plans, and projects for sustainable development. In turn, mainstreaming can help to identify and mitigate trade-offs. It requires coordinated efforts from many stakeholders (public and private), including intergovernmental and governmental institutions, NGOs, the private sector and local communities, in order to identify solutions to interlinked problems. Such an approach can also help to integrate decision-making across scales from the local to the international. </w:t>
      </w:r>
    </w:p>
    <w:p w14:paraId="4A3027A0" w14:textId="77777777" w:rsidR="00F83B61" w:rsidRPr="009B0448" w:rsidRDefault="00F83B61" w:rsidP="00FA7185">
      <w:pPr>
        <w:pStyle w:val="Heading3"/>
        <w:widowControl w:val="0"/>
        <w:numPr>
          <w:ilvl w:val="1"/>
          <w:numId w:val="11"/>
        </w:numPr>
        <w:spacing w:before="240" w:after="240"/>
        <w:ind w:left="709" w:hanging="720"/>
        <w:rPr>
          <w:rFonts w:eastAsia="Calibri" w:cs="Times New Roman"/>
          <w:szCs w:val="24"/>
        </w:rPr>
      </w:pPr>
      <w:bookmarkStart w:id="504" w:name="_Toc502937684"/>
      <w:bookmarkStart w:id="505" w:name="_Toc519500051"/>
      <w:r w:rsidRPr="009B0448">
        <w:rPr>
          <w:rFonts w:eastAsia="Calibri" w:cs="Times New Roman"/>
          <w:szCs w:val="24"/>
        </w:rPr>
        <w:t>Mainstreaming biodiversity and ecosystem services</w:t>
      </w:r>
      <w:bookmarkEnd w:id="504"/>
      <w:bookmarkEnd w:id="505"/>
    </w:p>
    <w:p w14:paraId="346D1106" w14:textId="28C41C99"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The post-2015 agenda provides an opportunity to guide development pathways to benefit both biodiversity and poverty alleviation for the many smallholders in Africa, who depend on ecosystems for income, jobs, and food. It focuses particular attention on the status of the numerous female smallholders who face severely restricted opportunity space. Lack of consideration of biodiversity and ecosystem services when making major economic decisions produces a risk associated with crossing tipping points that arise from continued loss of biodiversity. One example of a possible tipping point in Africa is the Sahel, where pressure from climate change, land degradation and over-use of limited water resources threatens to degrade the area, which will further exacerbate desertification (Lambin </w:t>
      </w:r>
      <w:r w:rsidR="000429F8" w:rsidRPr="009B0448">
        <w:rPr>
          <w:rFonts w:ascii="Times New Roman" w:hAnsi="Times New Roman" w:cs="Times New Roman"/>
          <w:i/>
        </w:rPr>
        <w:t>et al.</w:t>
      </w:r>
      <w:r w:rsidRPr="009B0448">
        <w:rPr>
          <w:rFonts w:ascii="Times New Roman" w:hAnsi="Times New Roman" w:cs="Times New Roman"/>
        </w:rPr>
        <w:t>, 2014). This degradation and loss of vegetative cover is likely to have severe impacts resulting in the loss of biodiversity providing soil carbon, and loss of hydrological ecosystem services which are the foundations of food, fibre and water production in Sahelian Africa (CBD</w:t>
      </w:r>
      <w:r w:rsidRPr="009B0448">
        <w:rPr>
          <w:rFonts w:ascii="Times New Roman" w:hAnsi="Times New Roman" w:cs="Times New Roman"/>
          <w:color w:val="auto"/>
        </w:rPr>
        <w:t xml:space="preserve"> Secretariat</w:t>
      </w:r>
      <w:r w:rsidRPr="009B0448">
        <w:rPr>
          <w:rFonts w:ascii="Times New Roman" w:hAnsi="Times New Roman" w:cs="Times New Roman"/>
        </w:rPr>
        <w:t xml:space="preserve">, 2010; Lambin </w:t>
      </w:r>
      <w:r w:rsidR="000429F8" w:rsidRPr="009B0448">
        <w:rPr>
          <w:rFonts w:ascii="Times New Roman" w:hAnsi="Times New Roman" w:cs="Times New Roman"/>
          <w:i/>
        </w:rPr>
        <w:t>et al.</w:t>
      </w:r>
      <w:r w:rsidRPr="009B0448">
        <w:rPr>
          <w:rFonts w:ascii="Times New Roman" w:hAnsi="Times New Roman" w:cs="Times New Roman"/>
        </w:rPr>
        <w:t xml:space="preserve">, 2014). </w:t>
      </w:r>
    </w:p>
    <w:p w14:paraId="13BF0CF3" w14:textId="77777777" w:rsidR="00200B60" w:rsidRPr="009B0448" w:rsidRDefault="00200B60" w:rsidP="009F0016">
      <w:pPr>
        <w:spacing w:line="276" w:lineRule="auto"/>
        <w:jc w:val="both"/>
        <w:rPr>
          <w:rFonts w:ascii="Times New Roman" w:hAnsi="Times New Roman" w:cs="Times New Roman"/>
        </w:rPr>
      </w:pPr>
    </w:p>
    <w:p w14:paraId="5537C775" w14:textId="12B6971C"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This section examines options for mainstreaming biodiversity and ecosystem services. Some countries have embedded biodiversity considerations into policies, strategies and practices of key public and private actors that impact or rely on biodiversity, so that it is conserved, and sustainably used, locally, regionally and globally (Huntley </w:t>
      </w:r>
      <w:r w:rsidR="000429F8" w:rsidRPr="009B0448">
        <w:rPr>
          <w:rFonts w:ascii="Times New Roman" w:hAnsi="Times New Roman" w:cs="Times New Roman"/>
          <w:i/>
        </w:rPr>
        <w:t>et al.</w:t>
      </w:r>
      <w:r w:rsidRPr="009B0448">
        <w:rPr>
          <w:rFonts w:ascii="Times New Roman" w:hAnsi="Times New Roman" w:cs="Times New Roman"/>
        </w:rPr>
        <w:t xml:space="preserve">, 2014; Redford </w:t>
      </w:r>
      <w:r w:rsidR="000429F8" w:rsidRPr="009B0448">
        <w:rPr>
          <w:rFonts w:ascii="Times New Roman" w:hAnsi="Times New Roman" w:cs="Times New Roman"/>
          <w:i/>
        </w:rPr>
        <w:t>et al.</w:t>
      </w:r>
      <w:r w:rsidRPr="009B0448">
        <w:rPr>
          <w:rFonts w:ascii="Times New Roman" w:hAnsi="Times New Roman" w:cs="Times New Roman"/>
        </w:rPr>
        <w:t xml:space="preserve">, 2015). </w:t>
      </w:r>
    </w:p>
    <w:p w14:paraId="57EBAF4A" w14:textId="77777777" w:rsidR="00F83B61" w:rsidRPr="009B0448" w:rsidRDefault="00F83B61" w:rsidP="00FA7185">
      <w:pPr>
        <w:pStyle w:val="111"/>
        <w:numPr>
          <w:ilvl w:val="2"/>
          <w:numId w:val="11"/>
        </w:numPr>
        <w:spacing w:before="240" w:after="240"/>
        <w:ind w:left="709" w:hanging="720"/>
        <w:rPr>
          <w:rFonts w:cs="Times New Roman"/>
          <w:i w:val="0"/>
          <w:sz w:val="22"/>
          <w:szCs w:val="22"/>
        </w:rPr>
      </w:pPr>
      <w:bookmarkStart w:id="506" w:name="_Toc502937685"/>
      <w:bookmarkStart w:id="507" w:name="_Toc519500052"/>
      <w:r w:rsidRPr="009B0448">
        <w:rPr>
          <w:rFonts w:cs="Times New Roman"/>
          <w:i w:val="0"/>
          <w:sz w:val="22"/>
          <w:szCs w:val="22"/>
        </w:rPr>
        <w:t>National development processes</w:t>
      </w:r>
      <w:bookmarkEnd w:id="506"/>
      <w:bookmarkEnd w:id="507"/>
    </w:p>
    <w:p w14:paraId="6FD9CDC1" w14:textId="785BD141" w:rsidR="009F0016"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Integrating biodiversity and ecosystem services into development planning can be achieved in a variety of ways. However, there is still a challenge for African countries to coordinate and integrate development objectives with biodiversity conservation. Examples such as the Poverty and Conservation Learning Group (involving International Institute for Environment and Development) and Poverty Environment Initiative (Box 6.6) have nevertheless paved a way for countries like Malawi, Mozambique and Mauritania to mainstream poverty-environment linkages into national development plans (UNDP-UNEP, 2013). </w:t>
      </w:r>
    </w:p>
    <w:p w14:paraId="027C8398" w14:textId="77777777" w:rsidR="00F83B61" w:rsidRPr="009B0448" w:rsidRDefault="00F83B61" w:rsidP="00200B60">
      <w:pPr>
        <w:spacing w:line="276" w:lineRule="auto"/>
        <w:jc w:val="both"/>
        <w:rPr>
          <w:rFonts w:ascii="Times New Roman" w:hAnsi="Times New Roman" w:cs="Times New Roman"/>
          <w:sz w:val="20"/>
          <w:szCs w:val="20"/>
        </w:rPr>
      </w:pPr>
      <w:r w:rsidRPr="009B0448">
        <w:rPr>
          <w:rFonts w:ascii="Times New Roman" w:hAnsi="Times New Roman" w:cs="Times New Roman"/>
          <w:noProof/>
          <w:sz w:val="20"/>
          <w:szCs w:val="20"/>
          <w:lang w:eastAsia="en-GB"/>
        </w:rPr>
        <mc:AlternateContent>
          <mc:Choice Requires="wps">
            <w:drawing>
              <wp:inline distT="0" distB="0" distL="0" distR="0" wp14:anchorId="156F5846" wp14:editId="3C96B8AC">
                <wp:extent cx="5867400" cy="4711959"/>
                <wp:effectExtent l="0" t="0" r="19050" b="12700"/>
                <wp:docPr id="4" name="Rectangle 4"/>
                <wp:cNvGraphicFramePr/>
                <a:graphic xmlns:a="http://schemas.openxmlformats.org/drawingml/2006/main">
                  <a:graphicData uri="http://schemas.microsoft.com/office/word/2010/wordprocessingShape">
                    <wps:wsp>
                      <wps:cNvSpPr/>
                      <wps:spPr>
                        <a:xfrm>
                          <a:off x="0" y="0"/>
                          <a:ext cx="5867400" cy="4711959"/>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0CF5670C" w14:textId="3019E065" w:rsidR="00BC0CFA" w:rsidRDefault="00BC0CFA" w:rsidP="00200B60">
                            <w:pPr>
                              <w:spacing w:line="276" w:lineRule="auto"/>
                              <w:textDirection w:val="btLr"/>
                              <w:rPr>
                                <w:rFonts w:ascii="Times New Roman" w:hAnsi="Times New Roman" w:cs="Times New Roman"/>
                              </w:rPr>
                            </w:pPr>
                            <w:r w:rsidRPr="00466AAB">
                              <w:rPr>
                                <w:rFonts w:ascii="Times New Roman" w:hAnsi="Times New Roman" w:cs="Times New Roman"/>
                                <w:b/>
                              </w:rPr>
                              <w:t xml:space="preserve">Box 6.6: </w:t>
                            </w:r>
                            <w:r w:rsidRPr="00D65826">
                              <w:rPr>
                                <w:rFonts w:ascii="Times New Roman" w:hAnsi="Times New Roman" w:cs="Times New Roman"/>
                                <w:b/>
                              </w:rPr>
                              <w:t xml:space="preserve">Malawi Poverty Environment Initiative. </w:t>
                            </w:r>
                            <w:r w:rsidRPr="00D65826">
                              <w:rPr>
                                <w:rFonts w:ascii="Times New Roman" w:hAnsi="Times New Roman" w:cs="Times New Roman"/>
                              </w:rPr>
                              <w:t>Source: UNDP-UNEP (2013).</w:t>
                            </w:r>
                          </w:p>
                          <w:p w14:paraId="7B8A396C" w14:textId="77777777" w:rsidR="00BC0CFA" w:rsidRPr="00466AAB" w:rsidRDefault="00BC0CFA" w:rsidP="00200B60">
                            <w:pPr>
                              <w:spacing w:line="276" w:lineRule="auto"/>
                              <w:textDirection w:val="btLr"/>
                              <w:rPr>
                                <w:rFonts w:ascii="Times New Roman" w:hAnsi="Times New Roman" w:cs="Times New Roman"/>
                              </w:rPr>
                            </w:pPr>
                          </w:p>
                          <w:p w14:paraId="3D7EECC9" w14:textId="77777777" w:rsidR="00BC0CFA" w:rsidRDefault="00BC0CFA" w:rsidP="00200B60">
                            <w:pPr>
                              <w:spacing w:line="276" w:lineRule="auto"/>
                              <w:jc w:val="both"/>
                              <w:textDirection w:val="btLr"/>
                              <w:rPr>
                                <w:rFonts w:ascii="Times New Roman" w:hAnsi="Times New Roman" w:cs="Times New Roman"/>
                              </w:rPr>
                            </w:pPr>
                            <w:r w:rsidRPr="00466AAB">
                              <w:rPr>
                                <w:rFonts w:ascii="Times New Roman" w:hAnsi="Times New Roman" w:cs="Times New Roman"/>
                              </w:rPr>
                              <w:t>Prompted by a natural resources economic analysis and evidence of poverty-environment linkages, the government of Malawi has shifted the course of its national development planning. In January 2011 a study initiated by the Poverty-Environment Initiative, a joint programme of the United Nations Development Programme and United Nations Environment Programme, established for the first time the costs and benefits of sustainable and unsustainable natural resource management in Malawi. This quantification was done in four areas of forestry, fisheries, wildlife and soils. The findings showed that unsustainable natural resource use is costing the country the equivalent of 5.3% of GDP each year, more than the total funding allocated to education and health ministries in the national budget. Soil erosion alone reduces agricultural productivity by 6%, and if this yield was recovered, an additional 1.88 million people would have been lifted out of poverty by 2015. The study also revealed the untapped potential of the country’s wealth of natural resources for tackling extreme poverty.</w:t>
                            </w:r>
                          </w:p>
                          <w:p w14:paraId="658A090E" w14:textId="77777777" w:rsidR="00BC0CFA" w:rsidRPr="00466AAB" w:rsidRDefault="00BC0CFA" w:rsidP="00200B60">
                            <w:pPr>
                              <w:spacing w:line="276" w:lineRule="auto"/>
                              <w:jc w:val="both"/>
                              <w:textDirection w:val="btLr"/>
                              <w:rPr>
                                <w:rFonts w:ascii="Times New Roman" w:hAnsi="Times New Roman" w:cs="Times New Roman"/>
                              </w:rPr>
                            </w:pPr>
                          </w:p>
                          <w:p w14:paraId="68ABAE0D" w14:textId="77777777" w:rsidR="00BC0CFA" w:rsidRPr="00466AAB" w:rsidRDefault="00BC0CFA" w:rsidP="00200B60">
                            <w:pPr>
                              <w:spacing w:line="276" w:lineRule="auto"/>
                              <w:jc w:val="both"/>
                              <w:textDirection w:val="btLr"/>
                              <w:rPr>
                                <w:rFonts w:ascii="Times New Roman" w:hAnsi="Times New Roman" w:cs="Times New Roman"/>
                              </w:rPr>
                            </w:pPr>
                            <w:r w:rsidRPr="00466AAB">
                              <w:rPr>
                                <w:rFonts w:ascii="Times New Roman" w:hAnsi="Times New Roman" w:cs="Times New Roman"/>
                              </w:rPr>
                              <w:t xml:space="preserve">The study marked a turning point for both the government and its development partners. The economic analysis not only demonstrated the macro-economic contribution of natural resources to GDP but showed the links between investing in ecosystems and poverty alleviation and has marked a shift in the way government institutions understand the issues. The Poverty-Environment Initiative revealed that the most effective way to mainstream ecosystem management and poverty alleviation into government processes is to get the issues into the core of planning agendas and processes. As a result of the study, Malawi’s Growth and Development Strategy II for 2011–2016 identified climate change and natural resource management as one of nine priority areas for the country. This shift in direction at the national level also prompted change across the sectors. As long as the momentum for change is not lost, most policies and plans in Malawi will take into account the linkages that exist between poverty alleviation and natural resources management. </w:t>
                            </w:r>
                          </w:p>
                        </w:txbxContent>
                      </wps:txbx>
                      <wps:bodyPr lIns="91425" tIns="45700" rIns="91425" bIns="45700" anchor="t" anchorCtr="0"/>
                    </wps:wsp>
                  </a:graphicData>
                </a:graphic>
              </wp:inline>
            </w:drawing>
          </mc:Choice>
          <mc:Fallback>
            <w:pict>
              <v:rect w14:anchorId="156F5846" id="Rectangle 4" o:spid="_x0000_s1044" style="width:462pt;height:3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" fillcolor="#f2f2f2 [3052]">
                <v:textbox inset="2.53958mm,1.2694mm,2.53958mm,1.2694mm">
                  <w:txbxContent>
                    <w:p w14:paraId="0CF5670C" w14:textId="3019E065" w:rsidR="00BC0CFA" w:rsidRDefault="00BC0CFA" w:rsidP="00200B60">
                      <w:pPr>
                        <w:spacing w:line="276" w:lineRule="auto"/>
                        <w:textDirection w:val="btLr"/>
                        <w:rPr>
                          <w:rFonts w:ascii="Times New Roman" w:hAnsi="Times New Roman" w:cs="Times New Roman"/>
                        </w:rPr>
                      </w:pPr>
                      <w:r w:rsidRPr="00466AAB">
                        <w:rPr>
                          <w:rFonts w:ascii="Times New Roman" w:hAnsi="Times New Roman" w:cs="Times New Roman"/>
                          <w:b/>
                        </w:rPr>
                        <w:t xml:space="preserve">Box 6.6: </w:t>
                      </w:r>
                      <w:r w:rsidRPr="00D65826">
                        <w:rPr>
                          <w:rFonts w:ascii="Times New Roman" w:hAnsi="Times New Roman" w:cs="Times New Roman"/>
                          <w:b/>
                        </w:rPr>
                        <w:t xml:space="preserve">Malawi Poverty Environment Initiative. </w:t>
                      </w:r>
                      <w:r w:rsidRPr="00D65826">
                        <w:rPr>
                          <w:rFonts w:ascii="Times New Roman" w:hAnsi="Times New Roman" w:cs="Times New Roman"/>
                        </w:rPr>
                        <w:t>Source: UNDP-UNEP (2013).</w:t>
                      </w:r>
                    </w:p>
                    <w:p w14:paraId="7B8A396C" w14:textId="77777777" w:rsidR="00BC0CFA" w:rsidRPr="00466AAB" w:rsidRDefault="00BC0CFA" w:rsidP="00200B60">
                      <w:pPr>
                        <w:spacing w:line="276" w:lineRule="auto"/>
                        <w:textDirection w:val="btLr"/>
                        <w:rPr>
                          <w:rFonts w:ascii="Times New Roman" w:hAnsi="Times New Roman" w:cs="Times New Roman"/>
                        </w:rPr>
                      </w:pPr>
                    </w:p>
                    <w:p w14:paraId="3D7EECC9" w14:textId="77777777" w:rsidR="00BC0CFA" w:rsidRDefault="00BC0CFA" w:rsidP="00200B60">
                      <w:pPr>
                        <w:spacing w:line="276" w:lineRule="auto"/>
                        <w:jc w:val="both"/>
                        <w:textDirection w:val="btLr"/>
                        <w:rPr>
                          <w:rFonts w:ascii="Times New Roman" w:hAnsi="Times New Roman" w:cs="Times New Roman"/>
                        </w:rPr>
                      </w:pPr>
                      <w:r w:rsidRPr="00466AAB">
                        <w:rPr>
                          <w:rFonts w:ascii="Times New Roman" w:hAnsi="Times New Roman" w:cs="Times New Roman"/>
                        </w:rPr>
                        <w:t>Prompted by a natural resources economic analysis and evidence of poverty-environment linkages, the government of Malawi has shifted the course of its national development planning. In January 2011 a study initiated by the Poverty-Environment Initiative, a joint programme of the United Nations Development Programme and United Nations Environment Programme, established for the first time the costs and benefits of sustainable and unsustainable natural resource management in Malawi. This quantification was done in four areas of forestry, fisheries, wildlife and soils. The findings showed that unsustainable natural resource use is costing the country the equivalent of 5.3% of GDP each year, more than the total funding allocated to education and health ministries in the national budget. Soil erosion alone reduces agricultural productivity by 6%, and if this yield was recovered, an additional 1.88 million people would have been lifted out of poverty by 2015. The study also revealed the untapped potential of the country’s wealth of natural resources for tackling extreme poverty.</w:t>
                      </w:r>
                    </w:p>
                    <w:p w14:paraId="658A090E" w14:textId="77777777" w:rsidR="00BC0CFA" w:rsidRPr="00466AAB" w:rsidRDefault="00BC0CFA" w:rsidP="00200B60">
                      <w:pPr>
                        <w:spacing w:line="276" w:lineRule="auto"/>
                        <w:jc w:val="both"/>
                        <w:textDirection w:val="btLr"/>
                        <w:rPr>
                          <w:rFonts w:ascii="Times New Roman" w:hAnsi="Times New Roman" w:cs="Times New Roman"/>
                        </w:rPr>
                      </w:pPr>
                    </w:p>
                    <w:p w14:paraId="68ABAE0D" w14:textId="77777777" w:rsidR="00BC0CFA" w:rsidRPr="00466AAB" w:rsidRDefault="00BC0CFA" w:rsidP="00200B60">
                      <w:pPr>
                        <w:spacing w:line="276" w:lineRule="auto"/>
                        <w:jc w:val="both"/>
                        <w:textDirection w:val="btLr"/>
                        <w:rPr>
                          <w:rFonts w:ascii="Times New Roman" w:hAnsi="Times New Roman" w:cs="Times New Roman"/>
                        </w:rPr>
                      </w:pPr>
                      <w:r w:rsidRPr="00466AAB">
                        <w:rPr>
                          <w:rFonts w:ascii="Times New Roman" w:hAnsi="Times New Roman" w:cs="Times New Roman"/>
                        </w:rPr>
                        <w:t xml:space="preserve">The study marked a turning point for both the government and its development partners. The economic analysis not only demonstrated the macro-economic contribution of natural resources to GDP but showed the links between investing in ecosystems and poverty alleviation and has marked a shift in the way government institutions understand the issues. The Poverty-Environment Initiative revealed that the most effective way to mainstream ecosystem management and poverty alleviation into government processes is to get the issues into the core of planning agendas and processes. As a result of the study, Malawi’s Growth and Development Strategy II for 2011–2016 identified climate change and natural resource management as one of nine priority areas for the country. This shift in direction at the national level also prompted change across the sectors. As long as the momentum for change is not lost, most policies and plans in Malawi will take into account the linkages that exist between poverty alleviation and natural resources management. </w:t>
                      </w:r>
                    </w:p>
                  </w:txbxContent>
                </v:textbox>
                <w10:anchorlock/>
              </v:rect>
            </w:pict>
          </mc:Fallback>
        </mc:AlternateContent>
      </w:r>
    </w:p>
    <w:p w14:paraId="7DD11B22" w14:textId="77777777" w:rsidR="00F83B61" w:rsidRPr="009B0448" w:rsidRDefault="00F83B61" w:rsidP="009F0016">
      <w:pPr>
        <w:spacing w:line="276" w:lineRule="auto"/>
        <w:jc w:val="both"/>
        <w:rPr>
          <w:rFonts w:ascii="Times New Roman" w:hAnsi="Times New Roman" w:cs="Times New Roman"/>
          <w:sz w:val="20"/>
          <w:szCs w:val="20"/>
        </w:rPr>
      </w:pPr>
    </w:p>
    <w:p w14:paraId="265EDF20" w14:textId="77777777" w:rsidR="00E709D8" w:rsidRDefault="00F83B61" w:rsidP="00E709D8">
      <w:pPr>
        <w:spacing w:line="276" w:lineRule="auto"/>
        <w:jc w:val="both"/>
        <w:rPr>
          <w:rFonts w:ascii="Times New Roman" w:hAnsi="Times New Roman" w:cs="Times New Roman"/>
        </w:rPr>
      </w:pPr>
      <w:r w:rsidRPr="009B0448">
        <w:rPr>
          <w:rFonts w:ascii="Times New Roman" w:hAnsi="Times New Roman" w:cs="Times New Roman"/>
        </w:rPr>
        <w:t xml:space="preserve">Other countries such as Mali, Botswana and Tanzania have even gone further to include biodiversity and ecosystem services into their Poverty Reduction Strategies. Figure 6.4 shows the degree to which biodiversity is reflected in the Poverty Reduction Strategy Papers of different African countries (UNEP-WCMC, 2016). </w:t>
      </w:r>
    </w:p>
    <w:p w14:paraId="16ADA260" w14:textId="77777777" w:rsidR="00E709D8" w:rsidRDefault="00E709D8" w:rsidP="00E709D8">
      <w:pPr>
        <w:spacing w:line="276" w:lineRule="auto"/>
        <w:jc w:val="both"/>
        <w:rPr>
          <w:rFonts w:ascii="Times New Roman" w:hAnsi="Times New Roman" w:cs="Times New Roman"/>
        </w:rPr>
      </w:pPr>
    </w:p>
    <w:p w14:paraId="09349905" w14:textId="5B38E3FD" w:rsidR="00E709D8" w:rsidRDefault="00E709D8" w:rsidP="00E709D8">
      <w:pPr>
        <w:spacing w:line="276" w:lineRule="auto"/>
        <w:jc w:val="both"/>
        <w:rPr>
          <w:rFonts w:ascii="Times New Roman" w:hAnsi="Times New Roman" w:cs="Times New Roman"/>
        </w:rPr>
      </w:pPr>
      <w:r w:rsidRPr="009B0448">
        <w:rPr>
          <w:rFonts w:ascii="Times New Roman" w:hAnsi="Times New Roman" w:cs="Times New Roman"/>
        </w:rPr>
        <w:t xml:space="preserve">In many countries, the most important national sectors have legislation, action plans and programmes which are developed with a wide range of stakeholders (GEF </w:t>
      </w:r>
      <w:r w:rsidRPr="009B0448">
        <w:rPr>
          <w:rFonts w:ascii="Times New Roman" w:hAnsi="Times New Roman" w:cs="Times New Roman"/>
          <w:i/>
        </w:rPr>
        <w:t>et al.</w:t>
      </w:r>
      <w:r w:rsidRPr="009B0448">
        <w:rPr>
          <w:rFonts w:ascii="Times New Roman" w:hAnsi="Times New Roman" w:cs="Times New Roman"/>
        </w:rPr>
        <w:t>, 2007). Mainstreaming biodiversity and ecosystem services into sectoral legislation and plans not only benefits biodiversity but also benefits other sectors because they reinforce the sustainability impacts of legislated activities. Countries like Guinea-Bissau, Malawi, Seychelles, Cameroon (see Box 6.7) and Sierra Leone have incorporated biodiversity conservation into development plans in agriculture and forestry (UNEP-WCMC, 2016).</w:t>
      </w:r>
    </w:p>
    <w:p w14:paraId="308F4A69" w14:textId="77777777" w:rsidR="00E709D8" w:rsidRDefault="00E709D8">
      <w:pPr>
        <w:rPr>
          <w:rFonts w:ascii="Times New Roman" w:hAnsi="Times New Roman" w:cs="Times New Roman"/>
        </w:rPr>
      </w:pPr>
      <w:r>
        <w:rPr>
          <w:rFonts w:ascii="Times New Roman" w:hAnsi="Times New Roman" w:cs="Times New Roman"/>
        </w:rPr>
        <w:br w:type="page"/>
      </w:r>
    </w:p>
    <w:p w14:paraId="78B6E048" w14:textId="31648141" w:rsidR="00F82299" w:rsidRPr="009B0448" w:rsidRDefault="005E1DA1" w:rsidP="00E709D8">
      <w:pPr>
        <w:spacing w:line="276" w:lineRule="auto"/>
        <w:jc w:val="center"/>
        <w:rPr>
          <w:rFonts w:ascii="Times New Roman" w:hAnsi="Times New Roman" w:cs="Times New Roman"/>
          <w:b/>
        </w:rPr>
      </w:pPr>
      <w:r w:rsidRPr="009B0448">
        <w:rPr>
          <w:rFonts w:ascii="Times New Roman" w:hAnsi="Times New Roman" w:cs="Times New Roman"/>
          <w:noProof/>
          <w:lang w:eastAsia="en-GB"/>
        </w:rPr>
        <w:drawing>
          <wp:anchor distT="0" distB="0" distL="114300" distR="114300" simplePos="0" relativeHeight="251774976" behindDoc="0" locked="0" layoutInCell="1" allowOverlap="1" wp14:anchorId="48DFBD5C" wp14:editId="6EF17600">
            <wp:simplePos x="0" y="0"/>
            <wp:positionH relativeFrom="column">
              <wp:posOffset>822960</wp:posOffset>
            </wp:positionH>
            <wp:positionV relativeFrom="paragraph">
              <wp:posOffset>4050278</wp:posOffset>
            </wp:positionV>
            <wp:extent cx="784860" cy="603002"/>
            <wp:effectExtent l="0" t="0" r="0" b="6985"/>
            <wp:wrapNone/>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Fig 6.4legend.JPG"/>
                    <pic:cNvPicPr/>
                  </pic:nvPicPr>
                  <pic:blipFill>
                    <a:blip r:embed="rId1757">
                      <a:extLst>
                        <a:ext uri="{28A0092B-C50C-407E-A947-70E740481C1C}">
                          <a14:useLocalDpi xmlns:a14="http://schemas.microsoft.com/office/drawing/2010/main" val="0"/>
                        </a:ext>
                      </a:extLst>
                    </a:blip>
                    <a:stretch>
                      <a:fillRect/>
                    </a:stretch>
                  </pic:blipFill>
                  <pic:spPr>
                    <a:xfrm>
                      <a:off x="0" y="0"/>
                      <a:ext cx="791855" cy="608376"/>
                    </a:xfrm>
                    <a:prstGeom prst="rect">
                      <a:avLst/>
                    </a:prstGeom>
                  </pic:spPr>
                </pic:pic>
              </a:graphicData>
            </a:graphic>
            <wp14:sizeRelH relativeFrom="margin">
              <wp14:pctWidth>0</wp14:pctWidth>
            </wp14:sizeRelH>
            <wp14:sizeRelV relativeFrom="margin">
              <wp14:pctHeight>0</wp14:pctHeight>
            </wp14:sizeRelV>
          </wp:anchor>
        </w:drawing>
      </w:r>
      <w:r w:rsidR="0025359B" w:rsidRPr="009B0448">
        <w:rPr>
          <w:rFonts w:ascii="Times New Roman" w:hAnsi="Times New Roman" w:cs="Times New Roman"/>
          <w:noProof/>
          <w:lang w:eastAsia="en-GB"/>
        </w:rPr>
        <w:drawing>
          <wp:inline distT="0" distB="0" distL="0" distR="0" wp14:anchorId="3004056C" wp14:editId="71DA4E99">
            <wp:extent cx="5386941" cy="4887234"/>
            <wp:effectExtent l="0" t="0" r="4445" b="889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cuments\IPBES TSU Africa\Assessments\Africa Assessment\Finalising\Graphics\Ch6\AF_Figure 6.4 - version a-jpg.jpg"/>
                    <pic:cNvPicPr>
                      <a:picLocks noChangeAspect="1" noChangeArrowheads="1"/>
                    </pic:cNvPicPr>
                  </pic:nvPicPr>
                  <pic:blipFill>
                    <a:blip r:embed="rId1758">
                      <a:extLst>
                        <a:ext uri="{28A0092B-C50C-407E-A947-70E740481C1C}">
                          <a14:useLocalDpi xmlns:a14="http://schemas.microsoft.com/office/drawing/2010/main" val="0"/>
                        </a:ext>
                      </a:extLst>
                    </a:blip>
                    <a:stretch>
                      <a:fillRect/>
                    </a:stretch>
                  </pic:blipFill>
                  <pic:spPr bwMode="auto">
                    <a:xfrm>
                      <a:off x="0" y="0"/>
                      <a:ext cx="5415590" cy="4913225"/>
                    </a:xfrm>
                    <a:prstGeom prst="rect">
                      <a:avLst/>
                    </a:prstGeom>
                    <a:noFill/>
                    <a:ln>
                      <a:noFill/>
                    </a:ln>
                    <a:extLst>
                      <a:ext uri="{53640926-AAD7-44D8-BBD7-CCE9431645EC}">
                        <a14:shadowObscured xmlns:a14="http://schemas.microsoft.com/office/drawing/2010/main"/>
                      </a:ext>
                    </a:extLst>
                  </pic:spPr>
                </pic:pic>
              </a:graphicData>
            </a:graphic>
          </wp:inline>
        </w:drawing>
      </w:r>
    </w:p>
    <w:p w14:paraId="3C94A1B1" w14:textId="0261C267" w:rsidR="0025359B" w:rsidRPr="009B0448" w:rsidRDefault="0025359B" w:rsidP="009F0016">
      <w:pPr>
        <w:spacing w:line="276" w:lineRule="auto"/>
        <w:jc w:val="both"/>
        <w:rPr>
          <w:rFonts w:ascii="Times New Roman" w:hAnsi="Times New Roman" w:cs="Times New Roman"/>
        </w:rPr>
      </w:pPr>
      <w:r w:rsidRPr="009B0448">
        <w:rPr>
          <w:rFonts w:ascii="Times New Roman" w:hAnsi="Times New Roman" w:cs="Times New Roman"/>
          <w:b/>
        </w:rPr>
        <w:t>Figure 6.4</w:t>
      </w:r>
      <w:r w:rsidRPr="009B0448">
        <w:rPr>
          <w:rFonts w:ascii="Times New Roman" w:hAnsi="Times New Roman" w:cs="Times New Roman"/>
        </w:rPr>
        <w:t xml:space="preserve"> </w:t>
      </w:r>
      <w:r w:rsidR="005E1DA1" w:rsidRPr="009B0448">
        <w:rPr>
          <w:rFonts w:ascii="Times New Roman" w:hAnsi="Times New Roman" w:cs="Times New Roman"/>
        </w:rPr>
        <w:t>Integration of biodiversity and ecosystem services into Poverty Reduction Strategy Papers in Africa, scored from 0-3, using a scale where 0 means that biodiversity is not reflected and 3 means its importance is strongly reflected. Source: UNEP-WCMC (2016).</w:t>
      </w:r>
    </w:p>
    <w:p w14:paraId="40BFC851" w14:textId="77777777" w:rsidR="009F0016" w:rsidRPr="009B0448" w:rsidRDefault="009F0016" w:rsidP="009F0016">
      <w:pPr>
        <w:spacing w:line="276" w:lineRule="auto"/>
        <w:jc w:val="both"/>
        <w:rPr>
          <w:rFonts w:ascii="Times New Roman" w:hAnsi="Times New Roman" w:cs="Times New Roman"/>
        </w:rPr>
      </w:pPr>
    </w:p>
    <w:p w14:paraId="69EBF35D" w14:textId="03388F96" w:rsidR="00E709D8" w:rsidRDefault="00F83B61" w:rsidP="00E709D8">
      <w:pPr>
        <w:spacing w:line="276" w:lineRule="auto"/>
        <w:jc w:val="both"/>
        <w:rPr>
          <w:rFonts w:ascii="Times New Roman" w:hAnsi="Times New Roman" w:cs="Times New Roman"/>
          <w:b/>
        </w:rPr>
      </w:pPr>
      <w:r w:rsidRPr="009B0448">
        <w:rPr>
          <w:rFonts w:ascii="Times New Roman" w:hAnsi="Times New Roman" w:cs="Times New Roman"/>
          <w:noProof/>
          <w:lang w:eastAsia="en-GB"/>
        </w:rPr>
        <mc:AlternateContent>
          <mc:Choice Requires="wps">
            <w:drawing>
              <wp:inline distT="0" distB="0" distL="0" distR="0" wp14:anchorId="48F598A0" wp14:editId="2B742326">
                <wp:extent cx="5721927" cy="3219061"/>
                <wp:effectExtent l="0" t="0" r="12700" b="19685"/>
                <wp:docPr id="30" name="Rectangle 30"/>
                <wp:cNvGraphicFramePr/>
                <a:graphic xmlns:a="http://schemas.openxmlformats.org/drawingml/2006/main">
                  <a:graphicData uri="http://schemas.microsoft.com/office/word/2010/wordprocessingShape">
                    <wps:wsp>
                      <wps:cNvSpPr/>
                      <wps:spPr>
                        <a:xfrm>
                          <a:off x="0" y="0"/>
                          <a:ext cx="5721927" cy="3219061"/>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67840100" w14:textId="5F51DDAD" w:rsidR="00BC0CFA" w:rsidRDefault="00BC0CFA" w:rsidP="00200B60">
                            <w:pPr>
                              <w:textDirection w:val="btLr"/>
                              <w:rPr>
                                <w:rFonts w:ascii="Times New Roman" w:hAnsi="Times New Roman" w:cs="Times New Roman"/>
                              </w:rPr>
                            </w:pPr>
                            <w:r w:rsidRPr="00466AAB">
                              <w:rPr>
                                <w:rFonts w:ascii="Times New Roman" w:hAnsi="Times New Roman" w:cs="Times New Roman"/>
                                <w:b/>
                              </w:rPr>
                              <w:t xml:space="preserve">Box 6.7: </w:t>
                            </w:r>
                            <w:r w:rsidRPr="005A6695">
                              <w:rPr>
                                <w:rFonts w:ascii="Times New Roman" w:hAnsi="Times New Roman" w:cs="Times New Roman"/>
                                <w:b/>
                              </w:rPr>
                              <w:t xml:space="preserve">Mainstreaming biodiversity in Cameroon. </w:t>
                            </w:r>
                            <w:r w:rsidRPr="005A6695">
                              <w:rPr>
                                <w:rFonts w:ascii="Times New Roman" w:hAnsi="Times New Roman" w:cs="Times New Roman"/>
                              </w:rPr>
                              <w:t>Source: UNEP-WCMC (2016).</w:t>
                            </w:r>
                          </w:p>
                          <w:p w14:paraId="771B70FC" w14:textId="77777777" w:rsidR="00BC0CFA" w:rsidRPr="00466AAB" w:rsidRDefault="00BC0CFA" w:rsidP="00200B60">
                            <w:pPr>
                              <w:textDirection w:val="btLr"/>
                              <w:rPr>
                                <w:rFonts w:ascii="Times New Roman" w:hAnsi="Times New Roman" w:cs="Times New Roman"/>
                              </w:rPr>
                            </w:pPr>
                          </w:p>
                          <w:p w14:paraId="4E2750B0" w14:textId="1FA4D154" w:rsidR="00BC0CFA" w:rsidRPr="00466AAB" w:rsidRDefault="00BC0CFA" w:rsidP="00200B60">
                            <w:pPr>
                              <w:spacing w:line="276" w:lineRule="auto"/>
                              <w:jc w:val="both"/>
                              <w:rPr>
                                <w:rFonts w:ascii="Times New Roman" w:hAnsi="Times New Roman" w:cs="Times New Roman"/>
                              </w:rPr>
                            </w:pPr>
                            <w:r w:rsidRPr="00466AAB">
                              <w:rPr>
                                <w:rFonts w:ascii="Times New Roman" w:hAnsi="Times New Roman" w:cs="Times New Roman"/>
                              </w:rPr>
                              <w:t>Cameroon’s national Strategy Document on Growth and Employment</w:t>
                            </w:r>
                            <w:r w:rsidRPr="00466AAB">
                              <w:rPr>
                                <w:rFonts w:ascii="Times New Roman" w:hAnsi="Times New Roman" w:cs="Times New Roman"/>
                                <w:i/>
                              </w:rPr>
                              <w:t xml:space="preserve"> </w:t>
                            </w:r>
                            <w:r w:rsidRPr="00466AAB">
                              <w:rPr>
                                <w:rFonts w:ascii="Times New Roman" w:hAnsi="Times New Roman" w:cs="Times New Roman"/>
                              </w:rPr>
                              <w:t xml:space="preserve">is the country’s framework for economic development. The Government of Cameroon included its Forest and Environment Sector Programme in the Strategy Document on Growth and Employment, to mainstream biodiversity into its economic development. The main components of the Forest and Environment Sector Programme are: i) knowledge of research and ecological monitoring; ii) development of production forest from state domains and products; iii) preservation of biodiversity and increasing the value of wildlife products; iv) community management of forestry and wildlife resources; v) environmental management of development operations; and vi) institutional strengthening, training and research. Subsequently, the Ministry of Forestry, the main body in charge of the Forest and Environment Sector Programme, assigned the task of implementing key components of the Forest and Environment Sector Programme to the Ministry of Social Affairs, the body responsible for improving the living standard of indigenous people (Eyebe </w:t>
                            </w:r>
                            <w:r w:rsidRPr="000429F8">
                              <w:rPr>
                                <w:rFonts w:ascii="Times New Roman" w:hAnsi="Times New Roman" w:cs="Times New Roman"/>
                                <w:i/>
                              </w:rPr>
                              <w:t>et al.</w:t>
                            </w:r>
                            <w:r w:rsidRPr="00466AAB">
                              <w:rPr>
                                <w:rFonts w:ascii="Times New Roman" w:hAnsi="Times New Roman" w:cs="Times New Roman"/>
                              </w:rPr>
                              <w:t>, 2012). Through the collaboration between the Ministry of Forestry and the Ministry of Social Affairs, and by incorporating the Forest and Environment Sector Programme into the Strategy Document on Growth and Employment, Cameroon has demonstrated that biodiversity can be mainstreamed into development sectors.</w:t>
                            </w:r>
                          </w:p>
                        </w:txbxContent>
                      </wps:txbx>
                      <wps:bodyPr lIns="91425" tIns="45700" rIns="91425" bIns="45700" anchor="t" anchorCtr="0"/>
                    </wps:wsp>
                  </a:graphicData>
                </a:graphic>
              </wp:inline>
            </w:drawing>
          </mc:Choice>
          <mc:Fallback>
            <w:pict>
              <v:rect w14:anchorId="48F598A0" id="Rectangle 30" o:spid="_x0000_s1045" style="width:450.55pt;height:25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" fillcolor="#f2f2f2 [3052]">
                <v:textbox inset="2.53958mm,1.2694mm,2.53958mm,1.2694mm">
                  <w:txbxContent>
                    <w:p w14:paraId="67840100" w14:textId="5F51DDAD" w:rsidR="00BC0CFA" w:rsidRDefault="00BC0CFA" w:rsidP="00200B60">
                      <w:pPr>
                        <w:textDirection w:val="btLr"/>
                        <w:rPr>
                          <w:rFonts w:ascii="Times New Roman" w:hAnsi="Times New Roman" w:cs="Times New Roman"/>
                        </w:rPr>
                      </w:pPr>
                      <w:r w:rsidRPr="00466AAB">
                        <w:rPr>
                          <w:rFonts w:ascii="Times New Roman" w:hAnsi="Times New Roman" w:cs="Times New Roman"/>
                          <w:b/>
                        </w:rPr>
                        <w:t xml:space="preserve">Box 6.7: </w:t>
                      </w:r>
                      <w:r w:rsidRPr="005A6695">
                        <w:rPr>
                          <w:rFonts w:ascii="Times New Roman" w:hAnsi="Times New Roman" w:cs="Times New Roman"/>
                          <w:b/>
                        </w:rPr>
                        <w:t xml:space="preserve">Mainstreaming biodiversity in Cameroon. </w:t>
                      </w:r>
                      <w:r w:rsidRPr="005A6695">
                        <w:rPr>
                          <w:rFonts w:ascii="Times New Roman" w:hAnsi="Times New Roman" w:cs="Times New Roman"/>
                        </w:rPr>
                        <w:t>Source: UNEP-WCMC (2016).</w:t>
                      </w:r>
                    </w:p>
                    <w:p w14:paraId="771B70FC" w14:textId="77777777" w:rsidR="00BC0CFA" w:rsidRPr="00466AAB" w:rsidRDefault="00BC0CFA" w:rsidP="00200B60">
                      <w:pPr>
                        <w:textDirection w:val="btLr"/>
                        <w:rPr>
                          <w:rFonts w:ascii="Times New Roman" w:hAnsi="Times New Roman" w:cs="Times New Roman"/>
                        </w:rPr>
                      </w:pPr>
                    </w:p>
                    <w:p w14:paraId="4E2750B0" w14:textId="1FA4D154" w:rsidR="00BC0CFA" w:rsidRPr="00466AAB" w:rsidRDefault="00BC0CFA" w:rsidP="00200B60">
                      <w:pPr>
                        <w:spacing w:line="276" w:lineRule="auto"/>
                        <w:jc w:val="both"/>
                        <w:rPr>
                          <w:rFonts w:ascii="Times New Roman" w:hAnsi="Times New Roman" w:cs="Times New Roman"/>
                        </w:rPr>
                      </w:pPr>
                      <w:r w:rsidRPr="00466AAB">
                        <w:rPr>
                          <w:rFonts w:ascii="Times New Roman" w:hAnsi="Times New Roman" w:cs="Times New Roman"/>
                        </w:rPr>
                        <w:t>Cameroon’s national Strategy Document on Growth and Employment</w:t>
                      </w:r>
                      <w:r w:rsidRPr="00466AAB">
                        <w:rPr>
                          <w:rFonts w:ascii="Times New Roman" w:hAnsi="Times New Roman" w:cs="Times New Roman"/>
                          <w:i/>
                        </w:rPr>
                        <w:t xml:space="preserve"> </w:t>
                      </w:r>
                      <w:r w:rsidRPr="00466AAB">
                        <w:rPr>
                          <w:rFonts w:ascii="Times New Roman" w:hAnsi="Times New Roman" w:cs="Times New Roman"/>
                        </w:rPr>
                        <w:t xml:space="preserve">is the country’s framework for economic development. The Government of Cameroon included its Forest and Environment Sector Programme in the Strategy Document on Growth and Employment, to mainstream biodiversity into its economic development. The main components of the Forest and Environment Sector Programme are: i) knowledge of research and ecological monitoring; ii) development of production forest from state domains and products; iii) preservation of biodiversity and increasing the value of wildlife products; iv) community management of forestry and wildlife resources; v) environmental management of development operations; and vi) institutional strengthening, training and research. Subsequently, the Ministry of Forestry, the main body in charge of the Forest and Environment Sector Programme, assigned the task of implementing key components of the Forest and Environment Sector Programme to the Ministry of Social Affairs, the body responsible for improving the living standard of indigenous people (Eyebe </w:t>
                      </w:r>
                      <w:r w:rsidRPr="000429F8">
                        <w:rPr>
                          <w:rFonts w:ascii="Times New Roman" w:hAnsi="Times New Roman" w:cs="Times New Roman"/>
                          <w:i/>
                        </w:rPr>
                        <w:t>et al.</w:t>
                      </w:r>
                      <w:r w:rsidRPr="00466AAB">
                        <w:rPr>
                          <w:rFonts w:ascii="Times New Roman" w:hAnsi="Times New Roman" w:cs="Times New Roman"/>
                        </w:rPr>
                        <w:t>, 2012). Through the collaboration between the Ministry of Forestry and the Ministry of Social Affairs, and by incorporating the Forest and Environment Sector Programme into the Strategy Document on Growth and Employment, Cameroon has demonstrated that biodiversity can be mainstreamed into development sectors.</w:t>
                      </w:r>
                    </w:p>
                  </w:txbxContent>
                </v:textbox>
                <w10:anchorlock/>
              </v:rect>
            </w:pict>
          </mc:Fallback>
        </mc:AlternateContent>
      </w:r>
      <w:r w:rsidR="00E709D8">
        <w:rPr>
          <w:rFonts w:ascii="Times New Roman" w:hAnsi="Times New Roman" w:cs="Times New Roman"/>
          <w:b/>
        </w:rPr>
        <w:br w:type="page"/>
      </w:r>
    </w:p>
    <w:p w14:paraId="4B4A5A66" w14:textId="77777777" w:rsidR="00F83B61" w:rsidRPr="009B0448" w:rsidRDefault="00F83B61" w:rsidP="00FA7185">
      <w:pPr>
        <w:pStyle w:val="111"/>
        <w:numPr>
          <w:ilvl w:val="2"/>
          <w:numId w:val="11"/>
        </w:numPr>
        <w:spacing w:before="240" w:after="240"/>
        <w:ind w:left="709" w:hanging="720"/>
        <w:rPr>
          <w:rFonts w:cs="Times New Roman"/>
          <w:i w:val="0"/>
          <w:sz w:val="22"/>
          <w:szCs w:val="22"/>
        </w:rPr>
      </w:pPr>
      <w:bookmarkStart w:id="508" w:name="_Toc502937686"/>
      <w:bookmarkStart w:id="509" w:name="_Toc519500053"/>
      <w:r w:rsidRPr="009B0448">
        <w:rPr>
          <w:rFonts w:cs="Times New Roman"/>
          <w:i w:val="0"/>
          <w:sz w:val="22"/>
          <w:szCs w:val="22"/>
        </w:rPr>
        <w:t>Strategic Environmental Assessments and Environmental Impact Assessment</w:t>
      </w:r>
      <w:bookmarkEnd w:id="508"/>
      <w:bookmarkEnd w:id="509"/>
    </w:p>
    <w:p w14:paraId="7E7AEA3F"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At regional and national levels, using Strategic Environmental Assessments for the purpose of including ecosystem services in planning provides an opportunity to mainstream ecosystem services into decisions at the strategic level (Ganeletti, 2011; see Box 6.8). A number of countries including Ethiopia, Kenya and Mauritius, have incorporated Strategic Environmental Assessments in their legal frameworks (UNEP-WCMC, 2016), though in several nations it is less explicit.</w:t>
      </w:r>
    </w:p>
    <w:p w14:paraId="4B40328B" w14:textId="77777777" w:rsidR="009F0016" w:rsidRPr="009B0448" w:rsidRDefault="009F0016" w:rsidP="009F0016">
      <w:pPr>
        <w:spacing w:line="276" w:lineRule="auto"/>
        <w:jc w:val="both"/>
        <w:rPr>
          <w:rFonts w:ascii="Times New Roman" w:hAnsi="Times New Roman" w:cs="Times New Roman"/>
        </w:rPr>
      </w:pPr>
    </w:p>
    <w:p w14:paraId="0FB394A2" w14:textId="77777777" w:rsidR="00200B60"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714CD043" wp14:editId="58366328">
                <wp:extent cx="5682343" cy="2015413"/>
                <wp:effectExtent l="0" t="0" r="13970" b="19685"/>
                <wp:docPr id="5" name="Rectangle 5"/>
                <wp:cNvGraphicFramePr/>
                <a:graphic xmlns:a="http://schemas.openxmlformats.org/drawingml/2006/main">
                  <a:graphicData uri="http://schemas.microsoft.com/office/word/2010/wordprocessingShape">
                    <wps:wsp>
                      <wps:cNvSpPr/>
                      <wps:spPr>
                        <a:xfrm>
                          <a:off x="0" y="0"/>
                          <a:ext cx="5682343" cy="2015413"/>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60690AF6" w14:textId="4464A9AC" w:rsidR="00BC0CFA" w:rsidRPr="00F82299" w:rsidRDefault="00BC0CFA" w:rsidP="00200B60">
                            <w:pPr>
                              <w:spacing w:line="276" w:lineRule="auto"/>
                              <w:jc w:val="both"/>
                              <w:textDirection w:val="btLr"/>
                              <w:rPr>
                                <w:rFonts w:ascii="Times New Roman" w:hAnsi="Times New Roman" w:cs="Times New Roman"/>
                              </w:rPr>
                            </w:pPr>
                            <w:r w:rsidRPr="00F82299">
                              <w:rPr>
                                <w:rFonts w:ascii="Times New Roman" w:hAnsi="Times New Roman" w:cs="Times New Roman"/>
                                <w:b/>
                              </w:rPr>
                              <w:t xml:space="preserve">Box 6.8: </w:t>
                            </w:r>
                            <w:r w:rsidRPr="005A6695">
                              <w:rPr>
                                <w:rFonts w:ascii="Times New Roman" w:hAnsi="Times New Roman" w:cs="Times New Roman"/>
                                <w:b/>
                              </w:rPr>
                              <w:t xml:space="preserve">Spatial biodiversity planning in South Africa. </w:t>
                            </w:r>
                            <w:r w:rsidRPr="005A6695">
                              <w:rPr>
                                <w:rFonts w:ascii="Times New Roman" w:hAnsi="Times New Roman" w:cs="Times New Roman"/>
                              </w:rPr>
                              <w:t xml:space="preserve">Source: Driver </w:t>
                            </w:r>
                            <w:r w:rsidRPr="005A6695">
                              <w:rPr>
                                <w:rFonts w:ascii="Times New Roman" w:hAnsi="Times New Roman" w:cs="Times New Roman"/>
                                <w:i/>
                              </w:rPr>
                              <w:t>et al.</w:t>
                            </w:r>
                            <w:r w:rsidRPr="005A6695">
                              <w:rPr>
                                <w:rFonts w:ascii="Times New Roman" w:hAnsi="Times New Roman" w:cs="Times New Roman"/>
                              </w:rPr>
                              <w:t xml:space="preserve"> (2012).</w:t>
                            </w:r>
                          </w:p>
                          <w:p w14:paraId="38D65BC1" w14:textId="77777777" w:rsidR="00BC0CFA" w:rsidRPr="00F82299" w:rsidRDefault="00BC0CFA" w:rsidP="00206D1D">
                            <w:pPr>
                              <w:jc w:val="both"/>
                              <w:textDirection w:val="btLr"/>
                              <w:rPr>
                                <w:rFonts w:ascii="Times New Roman" w:hAnsi="Times New Roman" w:cs="Times New Roman"/>
                              </w:rPr>
                            </w:pPr>
                          </w:p>
                          <w:p w14:paraId="128AD388" w14:textId="2C6A8EA6" w:rsidR="00BC0CFA" w:rsidRPr="00F82299" w:rsidRDefault="00BC0CFA" w:rsidP="00200B60">
                            <w:pPr>
                              <w:spacing w:line="276" w:lineRule="auto"/>
                              <w:jc w:val="both"/>
                              <w:textDirection w:val="btLr"/>
                              <w:rPr>
                                <w:rFonts w:ascii="Times New Roman" w:hAnsi="Times New Roman" w:cs="Times New Roman"/>
                              </w:rPr>
                            </w:pPr>
                            <w:r w:rsidRPr="00F82299">
                              <w:rPr>
                                <w:rFonts w:ascii="Times New Roman" w:hAnsi="Times New Roman" w:cs="Times New Roman"/>
                              </w:rPr>
                              <w:t xml:space="preserve">South Africa’s National Spatial Biodiversity Assessment identifies priority biodiversity conservation areas to guide subsequent land-use policy and decision-making at national, provincial, and municipal levels. Action Plans have been developed for certain priority areas such as the Cape region. The new Grasslands Project aims to promote </w:t>
                            </w:r>
                            <w:r>
                              <w:rPr>
                                <w:rFonts w:ascii="Times New Roman" w:hAnsi="Times New Roman" w:cs="Times New Roman"/>
                              </w:rPr>
                              <w:t>land-use</w:t>
                            </w:r>
                            <w:r w:rsidRPr="00F82299">
                              <w:rPr>
                                <w:rFonts w:ascii="Times New Roman" w:hAnsi="Times New Roman" w:cs="Times New Roman"/>
                              </w:rPr>
                              <w:t xml:space="preserve"> opportunities compatible with the maintenance of biodiversity and to protect the most vulnerable high biodiversity sites. The National Spatial Biodiversity </w:t>
                            </w:r>
                            <w:r>
                              <w:rPr>
                                <w:rFonts w:ascii="Times New Roman" w:hAnsi="Times New Roman" w:cs="Times New Roman"/>
                              </w:rPr>
                              <w:t>Assessment targets are aimed at</w:t>
                            </w:r>
                            <w:r w:rsidRPr="00F82299">
                              <w:rPr>
                                <w:rFonts w:ascii="Times New Roman" w:hAnsi="Times New Roman" w:cs="Times New Roman"/>
                              </w:rPr>
                              <w:t xml:space="preserve"> 1) reducing loss and degradation of natural habitat in priority areas; 2) protecting critical ecosystems; and 3) restoring and enhancing ecological infrastructure.</w:t>
                            </w:r>
                          </w:p>
                        </w:txbxContent>
                      </wps:txbx>
                      <wps:bodyPr lIns="91425" tIns="45700" rIns="91425" bIns="45700" anchor="t" anchorCtr="0">
                        <a:spAutoFit/>
                      </wps:bodyPr>
                    </wps:wsp>
                  </a:graphicData>
                </a:graphic>
              </wp:inline>
            </w:drawing>
          </mc:Choice>
          <mc:Fallback>
            <w:pict>
              <v:rect w14:anchorId="714CD043" id="Rectangle 5" o:spid="_x0000_s1046" style="width:447.45pt;height:15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" fillcolor="#f2f2f2 [3052]">
                <v:textbox style="mso-fit-shape-to-text:t" inset="2.53958mm,1.2694mm,2.53958mm,1.2694mm">
                  <w:txbxContent>
                    <w:p w14:paraId="60690AF6" w14:textId="4464A9AC" w:rsidR="00BC0CFA" w:rsidRPr="00F82299" w:rsidRDefault="00BC0CFA" w:rsidP="00200B60">
                      <w:pPr>
                        <w:spacing w:line="276" w:lineRule="auto"/>
                        <w:jc w:val="both"/>
                        <w:textDirection w:val="btLr"/>
                        <w:rPr>
                          <w:rFonts w:ascii="Times New Roman" w:hAnsi="Times New Roman" w:cs="Times New Roman"/>
                        </w:rPr>
                      </w:pPr>
                      <w:r w:rsidRPr="00F82299">
                        <w:rPr>
                          <w:rFonts w:ascii="Times New Roman" w:hAnsi="Times New Roman" w:cs="Times New Roman"/>
                          <w:b/>
                        </w:rPr>
                        <w:t xml:space="preserve">Box 6.8: </w:t>
                      </w:r>
                      <w:r w:rsidRPr="005A6695">
                        <w:rPr>
                          <w:rFonts w:ascii="Times New Roman" w:hAnsi="Times New Roman" w:cs="Times New Roman"/>
                          <w:b/>
                        </w:rPr>
                        <w:t xml:space="preserve">Spatial biodiversity planning in South Africa. </w:t>
                      </w:r>
                      <w:r w:rsidRPr="005A6695">
                        <w:rPr>
                          <w:rFonts w:ascii="Times New Roman" w:hAnsi="Times New Roman" w:cs="Times New Roman"/>
                        </w:rPr>
                        <w:t xml:space="preserve">Source: Driver </w:t>
                      </w:r>
                      <w:r w:rsidRPr="005A6695">
                        <w:rPr>
                          <w:rFonts w:ascii="Times New Roman" w:hAnsi="Times New Roman" w:cs="Times New Roman"/>
                          <w:i/>
                        </w:rPr>
                        <w:t>et al.</w:t>
                      </w:r>
                      <w:r w:rsidRPr="005A6695">
                        <w:rPr>
                          <w:rFonts w:ascii="Times New Roman" w:hAnsi="Times New Roman" w:cs="Times New Roman"/>
                        </w:rPr>
                        <w:t xml:space="preserve"> (2012).</w:t>
                      </w:r>
                    </w:p>
                    <w:p w14:paraId="38D65BC1" w14:textId="77777777" w:rsidR="00BC0CFA" w:rsidRPr="00F82299" w:rsidRDefault="00BC0CFA" w:rsidP="00206D1D">
                      <w:pPr>
                        <w:jc w:val="both"/>
                        <w:textDirection w:val="btLr"/>
                        <w:rPr>
                          <w:rFonts w:ascii="Times New Roman" w:hAnsi="Times New Roman" w:cs="Times New Roman"/>
                        </w:rPr>
                      </w:pPr>
                    </w:p>
                    <w:p w14:paraId="128AD388" w14:textId="2C6A8EA6" w:rsidR="00BC0CFA" w:rsidRPr="00F82299" w:rsidRDefault="00BC0CFA" w:rsidP="00200B60">
                      <w:pPr>
                        <w:spacing w:line="276" w:lineRule="auto"/>
                        <w:jc w:val="both"/>
                        <w:textDirection w:val="btLr"/>
                        <w:rPr>
                          <w:rFonts w:ascii="Times New Roman" w:hAnsi="Times New Roman" w:cs="Times New Roman"/>
                        </w:rPr>
                      </w:pPr>
                      <w:r w:rsidRPr="00F82299">
                        <w:rPr>
                          <w:rFonts w:ascii="Times New Roman" w:hAnsi="Times New Roman" w:cs="Times New Roman"/>
                        </w:rPr>
                        <w:t xml:space="preserve">South Africa’s National Spatial Biodiversity Assessment identifies priority biodiversity conservation areas to guide subsequent land-use policy and decision-making at national, provincial, and municipal levels. Action Plans have been developed for certain priority areas such as the Cape region. The new Grasslands Project aims to promote </w:t>
                      </w:r>
                      <w:r>
                        <w:rPr>
                          <w:rFonts w:ascii="Times New Roman" w:hAnsi="Times New Roman" w:cs="Times New Roman"/>
                        </w:rPr>
                        <w:t>land-use</w:t>
                      </w:r>
                      <w:r w:rsidRPr="00F82299">
                        <w:rPr>
                          <w:rFonts w:ascii="Times New Roman" w:hAnsi="Times New Roman" w:cs="Times New Roman"/>
                        </w:rPr>
                        <w:t xml:space="preserve"> opportunities compatible with the maintenance of biodiversity and to protect the most vulnerable high biodiversity sites. The National Spatial Biodiversity </w:t>
                      </w:r>
                      <w:r>
                        <w:rPr>
                          <w:rFonts w:ascii="Times New Roman" w:hAnsi="Times New Roman" w:cs="Times New Roman"/>
                        </w:rPr>
                        <w:t>Assessment targets are aimed at</w:t>
                      </w:r>
                      <w:r w:rsidRPr="00F82299">
                        <w:rPr>
                          <w:rFonts w:ascii="Times New Roman" w:hAnsi="Times New Roman" w:cs="Times New Roman"/>
                        </w:rPr>
                        <w:t xml:space="preserve"> 1) reducing loss and degradation of natural habitat in priority areas; 2) protecting critical ecosystems; and 3) restoring and enhancing ecological infrastructure.</w:t>
                      </w:r>
                    </w:p>
                  </w:txbxContent>
                </v:textbox>
                <w10:anchorlock/>
              </v:rect>
            </w:pict>
          </mc:Fallback>
        </mc:AlternateContent>
      </w:r>
    </w:p>
    <w:p w14:paraId="4AA7DA03" w14:textId="77777777" w:rsidR="00200B60" w:rsidRPr="009B0448" w:rsidRDefault="00200B60" w:rsidP="009F0016">
      <w:pPr>
        <w:spacing w:line="276" w:lineRule="auto"/>
        <w:jc w:val="both"/>
        <w:rPr>
          <w:rFonts w:ascii="Times New Roman" w:hAnsi="Times New Roman" w:cs="Times New Roman"/>
        </w:rPr>
      </w:pPr>
    </w:p>
    <w:p w14:paraId="78DFD39D" w14:textId="4B95CDFE" w:rsidR="009F0016"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Environmental Impact Assessment offers another approach and has been w</w:t>
      </w:r>
      <w:r w:rsidR="00E362DA" w:rsidRPr="009B0448">
        <w:rPr>
          <w:rFonts w:ascii="Times New Roman" w:hAnsi="Times New Roman" w:cs="Times New Roman"/>
        </w:rPr>
        <w:t>idely used in Africa since 1995</w:t>
      </w:r>
      <w:r w:rsidRPr="009B0448">
        <w:rPr>
          <w:rFonts w:ascii="Times New Roman" w:hAnsi="Times New Roman" w:cs="Times New Roman"/>
        </w:rPr>
        <w:t xml:space="preserve"> when African Ministers of Environment endorsed its use at the African Ministerial Conference on the Environment. Numerous Environmental Impact Assessments have been conducted for different development projects and at least 48 African countries have enacted environmental laws, most including specific requirements for Environmental Impact Assessments (UNEP-WCMC, 2016). Environmental Impact Assessments thus provide a promising opportunity for mainstreaming biodiversity and ecosystem services with an emphasis on preventing biodiversity and ecosystem service losses and enhancing nature’s contributions to people. However, while there are doubts about </w:t>
      </w:r>
      <w:r w:rsidR="00E362DA" w:rsidRPr="009B0448">
        <w:rPr>
          <w:rFonts w:ascii="Times New Roman" w:hAnsi="Times New Roman" w:cs="Times New Roman"/>
        </w:rPr>
        <w:t>the ability of activity or site-</w:t>
      </w:r>
      <w:r w:rsidRPr="009B0448">
        <w:rPr>
          <w:rFonts w:ascii="Times New Roman" w:hAnsi="Times New Roman" w:cs="Times New Roman"/>
        </w:rPr>
        <w:t xml:space="preserve">specific Environmental Impact Assessments to fully report on the implications of project proposals on biodiversity and the ecosystem services that biodiversity provides and underpins, it nevertheless provides a useful entry point for their consideration within projects (de Villiers </w:t>
      </w:r>
      <w:r w:rsidR="000429F8" w:rsidRPr="009B0448">
        <w:rPr>
          <w:rFonts w:ascii="Times New Roman" w:hAnsi="Times New Roman" w:cs="Times New Roman"/>
          <w:i/>
        </w:rPr>
        <w:t>et al.</w:t>
      </w:r>
      <w:r w:rsidRPr="009B0448">
        <w:rPr>
          <w:rFonts w:ascii="Times New Roman" w:hAnsi="Times New Roman" w:cs="Times New Roman"/>
        </w:rPr>
        <w:t xml:space="preserve">, 2008). </w:t>
      </w:r>
    </w:p>
    <w:p w14:paraId="1F36058D" w14:textId="77777777" w:rsidR="00F83B61" w:rsidRPr="009B0448" w:rsidRDefault="00F83B61" w:rsidP="00FA7185">
      <w:pPr>
        <w:pStyle w:val="111"/>
        <w:numPr>
          <w:ilvl w:val="2"/>
          <w:numId w:val="11"/>
        </w:numPr>
        <w:spacing w:before="240" w:after="240"/>
        <w:ind w:left="709" w:hanging="720"/>
        <w:rPr>
          <w:rFonts w:cs="Times New Roman"/>
          <w:i w:val="0"/>
          <w:sz w:val="22"/>
          <w:szCs w:val="22"/>
        </w:rPr>
      </w:pPr>
      <w:bookmarkStart w:id="510" w:name="_Toc502937687"/>
      <w:bookmarkStart w:id="511" w:name="_Toc519500054"/>
      <w:r w:rsidRPr="009B0448">
        <w:rPr>
          <w:rFonts w:cs="Times New Roman"/>
          <w:i w:val="0"/>
          <w:sz w:val="22"/>
          <w:szCs w:val="22"/>
        </w:rPr>
        <w:t>Benefits of mainstreaming biodiversity and ecosystem services</w:t>
      </w:r>
      <w:bookmarkEnd w:id="510"/>
      <w:bookmarkEnd w:id="511"/>
    </w:p>
    <w:p w14:paraId="767FA5FF"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Considering that the activities of several sectors across scales have an impact on biodiversity and ecosystem services, the wider benefits of mainstreaming biodiversity into plans, policies and financial activities cannot be overemphasised. Without mainstreaming biodiversity into the various sectors, the best efforts at sustaining production sectors’ activities are likely to be threatened. An example of benefits from mainstreaming can be found in a study from Uganda, which showed that ecosystem services provided by the Nakivubo Swamp to the Greater City of Kampala, were estimated to have a value of $2 million a year in terms of water purification benefits- equal to the cost of building the infrastructure required to provide a similar service. In comparison, the cost estimation of managing the wetland to enhance its capacity to provide waste treatment services was $235,000 per year. These benefits identified through the study resulted in the reversal of the decision of the Ugandan Government to drain and reclaim the wetlands (UNEP-WCMC, 2016).</w:t>
      </w:r>
    </w:p>
    <w:p w14:paraId="7322D75C" w14:textId="77777777" w:rsidR="009F0016" w:rsidRPr="009B0448" w:rsidRDefault="009F0016" w:rsidP="009F0016">
      <w:pPr>
        <w:spacing w:line="276" w:lineRule="auto"/>
        <w:jc w:val="both"/>
        <w:rPr>
          <w:rFonts w:ascii="Times New Roman" w:hAnsi="Times New Roman" w:cs="Times New Roman"/>
        </w:rPr>
      </w:pPr>
    </w:p>
    <w:p w14:paraId="76097520"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It is important that information generated from the assessment of natural capital accounts is used to inform policy decisions to support the mainstreaming of biodiversity and ecosystem services across sectors. Impacts can be further enhanced by disseminating results from these natural capital account assessments with various stakeholders (WAVES, 2013; Box 6.9; Chapter 2).</w:t>
      </w:r>
    </w:p>
    <w:p w14:paraId="378C35BE" w14:textId="77777777" w:rsidR="00200B60" w:rsidRPr="009B0448" w:rsidRDefault="00200B60" w:rsidP="009F0016">
      <w:pPr>
        <w:spacing w:line="276" w:lineRule="auto"/>
        <w:jc w:val="both"/>
        <w:rPr>
          <w:rFonts w:ascii="Times New Roman" w:hAnsi="Times New Roman" w:cs="Times New Roman"/>
        </w:rPr>
      </w:pPr>
    </w:p>
    <w:p w14:paraId="0925CC3F" w14:textId="77777777" w:rsidR="00F83B61" w:rsidRPr="009B0448" w:rsidRDefault="00F83B61" w:rsidP="009F0016">
      <w:pPr>
        <w:spacing w:line="276" w:lineRule="auto"/>
        <w:jc w:val="both"/>
        <w:rPr>
          <w:rFonts w:ascii="Times New Roman" w:hAnsi="Times New Roman" w:cs="Times New Roman"/>
          <w:b/>
        </w:rPr>
      </w:pPr>
      <w:r w:rsidRPr="009B0448">
        <w:rPr>
          <w:rFonts w:ascii="Times New Roman" w:hAnsi="Times New Roman" w:cs="Times New Roman"/>
          <w:noProof/>
          <w:lang w:eastAsia="en-GB"/>
        </w:rPr>
        <mc:AlternateContent>
          <mc:Choice Requires="wps">
            <w:drawing>
              <wp:inline distT="0" distB="0" distL="0" distR="0" wp14:anchorId="364675FD" wp14:editId="7BAC0490">
                <wp:extent cx="5727700" cy="1996751"/>
                <wp:effectExtent l="0" t="0" r="25400" b="22860"/>
                <wp:docPr id="6" name="Rectangle 6"/>
                <wp:cNvGraphicFramePr/>
                <a:graphic xmlns:a="http://schemas.openxmlformats.org/drawingml/2006/main">
                  <a:graphicData uri="http://schemas.microsoft.com/office/word/2010/wordprocessingShape">
                    <wps:wsp>
                      <wps:cNvSpPr/>
                      <wps:spPr>
                        <a:xfrm>
                          <a:off x="0" y="0"/>
                          <a:ext cx="5727700" cy="1996751"/>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5AE00887" w14:textId="6308D36E" w:rsidR="00BC0CFA" w:rsidRDefault="00BC0CFA" w:rsidP="00200B60">
                            <w:pPr>
                              <w:spacing w:line="276" w:lineRule="auto"/>
                              <w:jc w:val="both"/>
                              <w:textDirection w:val="btLr"/>
                              <w:rPr>
                                <w:rFonts w:ascii="Times New Roman" w:hAnsi="Times New Roman" w:cs="Times New Roman"/>
                              </w:rPr>
                            </w:pPr>
                            <w:r w:rsidRPr="00F82299">
                              <w:rPr>
                                <w:rFonts w:ascii="Times New Roman" w:hAnsi="Times New Roman" w:cs="Times New Roman"/>
                                <w:b/>
                              </w:rPr>
                              <w:t xml:space="preserve">Box 6.9: </w:t>
                            </w:r>
                            <w:r w:rsidRPr="005A6695">
                              <w:rPr>
                                <w:rFonts w:ascii="Times New Roman" w:hAnsi="Times New Roman" w:cs="Times New Roman"/>
                                <w:b/>
                              </w:rPr>
                              <w:t xml:space="preserve">Implementing the System of Environmental-Economic Accounting in Africa. </w:t>
                            </w:r>
                            <w:r w:rsidRPr="005A6695">
                              <w:rPr>
                                <w:rFonts w:ascii="Times New Roman" w:hAnsi="Times New Roman" w:cs="Times New Roman"/>
                              </w:rPr>
                              <w:t>Source: UNEP-WCMC (2016).</w:t>
                            </w:r>
                          </w:p>
                          <w:p w14:paraId="22779534" w14:textId="77777777" w:rsidR="00BC0CFA" w:rsidRPr="00F82299" w:rsidRDefault="00BC0CFA" w:rsidP="00200B60">
                            <w:pPr>
                              <w:spacing w:line="276" w:lineRule="auto"/>
                              <w:jc w:val="both"/>
                              <w:textDirection w:val="btLr"/>
                              <w:rPr>
                                <w:rFonts w:ascii="Times New Roman" w:hAnsi="Times New Roman" w:cs="Times New Roman"/>
                              </w:rPr>
                            </w:pPr>
                          </w:p>
                          <w:p w14:paraId="5FB410A9" w14:textId="77777777" w:rsidR="00BC0CFA" w:rsidRPr="00F82299" w:rsidRDefault="00BC0CFA" w:rsidP="00200B60">
                            <w:pPr>
                              <w:spacing w:line="276" w:lineRule="auto"/>
                              <w:jc w:val="both"/>
                              <w:textDirection w:val="btLr"/>
                              <w:rPr>
                                <w:rFonts w:ascii="Times New Roman" w:hAnsi="Times New Roman" w:cs="Times New Roman"/>
                              </w:rPr>
                            </w:pPr>
                            <w:r w:rsidRPr="00F82299">
                              <w:rPr>
                                <w:rFonts w:ascii="Times New Roman" w:hAnsi="Times New Roman" w:cs="Times New Roman"/>
                              </w:rPr>
                              <w:t xml:space="preserve">The </w:t>
                            </w:r>
                            <w:r w:rsidRPr="00F82299">
                              <w:rPr>
                                <w:rFonts w:ascii="Times New Roman" w:hAnsi="Times New Roman" w:cs="Times New Roman"/>
                                <w:i/>
                              </w:rPr>
                              <w:t>Wealth Accounting and Valuation of Ecosystem Services</w:t>
                            </w:r>
                            <w:r w:rsidRPr="00F82299">
                              <w:rPr>
                                <w:rFonts w:ascii="Times New Roman" w:hAnsi="Times New Roman" w:cs="Times New Roman"/>
                              </w:rPr>
                              <w:t xml:space="preserve"> partnership initiated in 2010 aimed to mainstream natural resources into development planning and national economic accounts. The partnership has supported three African countries, Botswana, Madagascar and Rwanda, in developing accounting methodologies that take into account natural capital. Botswana has detailed water accounts for 2010–11 and 2011–12 that account for the supply and use of water. This can lead to programmes that support the efficient use of scarce natural resources that would contribute to conservation and sustainable use of biodiversity (World Bank, 2013).</w:t>
                            </w:r>
                          </w:p>
                        </w:txbxContent>
                      </wps:txbx>
                      <wps:bodyPr lIns="91425" tIns="45700" rIns="91425" bIns="45700" anchor="t" anchorCtr="0"/>
                    </wps:wsp>
                  </a:graphicData>
                </a:graphic>
              </wp:inline>
            </w:drawing>
          </mc:Choice>
          <mc:Fallback>
            <w:pict>
              <v:rect w14:anchorId="364675FD" id="Rectangle 6" o:spid="_x0000_s1047" style="width:451pt;height:15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" fillcolor="#f2f2f2 [3052]">
                <v:textbox inset="2.53958mm,1.2694mm,2.53958mm,1.2694mm">
                  <w:txbxContent>
                    <w:p w14:paraId="5AE00887" w14:textId="6308D36E" w:rsidR="00BC0CFA" w:rsidRDefault="00BC0CFA" w:rsidP="00200B60">
                      <w:pPr>
                        <w:spacing w:line="276" w:lineRule="auto"/>
                        <w:jc w:val="both"/>
                        <w:textDirection w:val="btLr"/>
                        <w:rPr>
                          <w:rFonts w:ascii="Times New Roman" w:hAnsi="Times New Roman" w:cs="Times New Roman"/>
                        </w:rPr>
                      </w:pPr>
                      <w:r w:rsidRPr="00F82299">
                        <w:rPr>
                          <w:rFonts w:ascii="Times New Roman" w:hAnsi="Times New Roman" w:cs="Times New Roman"/>
                          <w:b/>
                        </w:rPr>
                        <w:t xml:space="preserve">Box 6.9: </w:t>
                      </w:r>
                      <w:r w:rsidRPr="005A6695">
                        <w:rPr>
                          <w:rFonts w:ascii="Times New Roman" w:hAnsi="Times New Roman" w:cs="Times New Roman"/>
                          <w:b/>
                        </w:rPr>
                        <w:t xml:space="preserve">Implementing the System of Environmental-Economic Accounting in Africa. </w:t>
                      </w:r>
                      <w:r w:rsidRPr="005A6695">
                        <w:rPr>
                          <w:rFonts w:ascii="Times New Roman" w:hAnsi="Times New Roman" w:cs="Times New Roman"/>
                        </w:rPr>
                        <w:t>Source: UNEP-WCMC (2016).</w:t>
                      </w:r>
                    </w:p>
                    <w:p w14:paraId="22779534" w14:textId="77777777" w:rsidR="00BC0CFA" w:rsidRPr="00F82299" w:rsidRDefault="00BC0CFA" w:rsidP="00200B60">
                      <w:pPr>
                        <w:spacing w:line="276" w:lineRule="auto"/>
                        <w:jc w:val="both"/>
                        <w:textDirection w:val="btLr"/>
                        <w:rPr>
                          <w:rFonts w:ascii="Times New Roman" w:hAnsi="Times New Roman" w:cs="Times New Roman"/>
                        </w:rPr>
                      </w:pPr>
                    </w:p>
                    <w:p w14:paraId="5FB410A9" w14:textId="77777777" w:rsidR="00BC0CFA" w:rsidRPr="00F82299" w:rsidRDefault="00BC0CFA" w:rsidP="00200B60">
                      <w:pPr>
                        <w:spacing w:line="276" w:lineRule="auto"/>
                        <w:jc w:val="both"/>
                        <w:textDirection w:val="btLr"/>
                        <w:rPr>
                          <w:rFonts w:ascii="Times New Roman" w:hAnsi="Times New Roman" w:cs="Times New Roman"/>
                        </w:rPr>
                      </w:pPr>
                      <w:r w:rsidRPr="00F82299">
                        <w:rPr>
                          <w:rFonts w:ascii="Times New Roman" w:hAnsi="Times New Roman" w:cs="Times New Roman"/>
                        </w:rPr>
                        <w:t xml:space="preserve">The </w:t>
                      </w:r>
                      <w:r w:rsidRPr="00F82299">
                        <w:rPr>
                          <w:rFonts w:ascii="Times New Roman" w:hAnsi="Times New Roman" w:cs="Times New Roman"/>
                          <w:i/>
                        </w:rPr>
                        <w:t>Wealth Accounting and Valuation of Ecosystem Services</w:t>
                      </w:r>
                      <w:r w:rsidRPr="00F82299">
                        <w:rPr>
                          <w:rFonts w:ascii="Times New Roman" w:hAnsi="Times New Roman" w:cs="Times New Roman"/>
                        </w:rPr>
                        <w:t xml:space="preserve"> partnership initiated in 2010 aimed to mainstream natural resources into development planning and national economic accounts. The partnership has supported three African countries, Botswana, Madagascar and Rwanda, in developing accounting methodologies that take into account natural capital. Botswana has detailed water accounts for 2010–11 and 2011–12 that account for the supply and use of water. This can lead to programmes that support the efficient use of scarce natural resources that would contribute to conservation and sustainable use of biodiversity (World Bank, 2013).</w:t>
                      </w:r>
                    </w:p>
                  </w:txbxContent>
                </v:textbox>
                <w10:anchorlock/>
              </v:rect>
            </w:pict>
          </mc:Fallback>
        </mc:AlternateContent>
      </w:r>
    </w:p>
    <w:p w14:paraId="18F6966A" w14:textId="77777777" w:rsidR="00200B60" w:rsidRPr="009B0448" w:rsidRDefault="00200B60" w:rsidP="009F0016">
      <w:pPr>
        <w:spacing w:line="276" w:lineRule="auto"/>
        <w:jc w:val="both"/>
        <w:rPr>
          <w:rFonts w:ascii="Times New Roman" w:hAnsi="Times New Roman" w:cs="Times New Roman"/>
        </w:rPr>
      </w:pPr>
    </w:p>
    <w:p w14:paraId="050C29DE"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It is critical to monitor and evaluate mainstreaming efforts to determine benefits for biodiversity and ecosystem services, poverty alleviation and development outcomes. Monitoring and evaluation are generally difficult and where there are no nationally agreed upon baselines, it is difficult to develop targets and indicators. There is thus a need to develop monitoring and evaluation frameworks including indicators for biodiversity and ecosystem services mainstreaming in Africa. Policy instruments are vital in supporting this and are considered in the next section.</w:t>
      </w:r>
    </w:p>
    <w:p w14:paraId="3EAEDC00" w14:textId="77777777" w:rsidR="00F83B61" w:rsidRPr="009B0448" w:rsidRDefault="00F83B61" w:rsidP="00FA7185">
      <w:pPr>
        <w:pStyle w:val="Heading3"/>
        <w:widowControl w:val="0"/>
        <w:numPr>
          <w:ilvl w:val="1"/>
          <w:numId w:val="11"/>
        </w:numPr>
        <w:spacing w:before="240" w:after="240"/>
        <w:ind w:left="709" w:hanging="720"/>
        <w:rPr>
          <w:rFonts w:eastAsia="Calibri" w:cs="Times New Roman"/>
          <w:szCs w:val="24"/>
        </w:rPr>
      </w:pPr>
      <w:bookmarkStart w:id="512" w:name="_Toc502937688"/>
      <w:bookmarkStart w:id="513" w:name="_Toc519500055"/>
      <w:r w:rsidRPr="009B0448">
        <w:rPr>
          <w:rFonts w:eastAsia="Calibri" w:cs="Times New Roman"/>
          <w:szCs w:val="24"/>
        </w:rPr>
        <w:t>Policy instruments</w:t>
      </w:r>
      <w:bookmarkEnd w:id="512"/>
      <w:bookmarkEnd w:id="513"/>
    </w:p>
    <w:p w14:paraId="553AC83C" w14:textId="555E416E"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There is a range of policy instruments available and under development to help ensure that nature’s contributions to people are manifested and have real impact. These are classified as economic and financial instrument</w:t>
      </w:r>
      <w:r w:rsidR="00E362DA" w:rsidRPr="009B0448">
        <w:rPr>
          <w:rFonts w:ascii="Times New Roman" w:hAnsi="Times New Roman" w:cs="Times New Roman"/>
        </w:rPr>
        <w:t>s, legal regulatory, and rights-</w:t>
      </w:r>
      <w:r w:rsidRPr="009B0448">
        <w:rPr>
          <w:rFonts w:ascii="Times New Roman" w:hAnsi="Times New Roman" w:cs="Times New Roman"/>
        </w:rPr>
        <w:t>based instruments, institutional aspects and socio-cultural perspectives, and multi-stakeholder approaches. The latter are particularly relevant to bottom-up based approaches and fit for polycentric governance processes in the region; these include community-based natu</w:t>
      </w:r>
      <w:r w:rsidR="00E362DA" w:rsidRPr="009B0448">
        <w:rPr>
          <w:rFonts w:ascii="Times New Roman" w:hAnsi="Times New Roman" w:cs="Times New Roman"/>
        </w:rPr>
        <w:t>ral resource management, public-</w:t>
      </w:r>
      <w:r w:rsidRPr="009B0448">
        <w:rPr>
          <w:rFonts w:ascii="Times New Roman" w:hAnsi="Times New Roman" w:cs="Times New Roman"/>
        </w:rPr>
        <w:t xml:space="preserve">private partnerships, and co-management approaches. Economic and financial instruments emphasise the value of biodiversity and ecosystem services; they facilitate </w:t>
      </w:r>
      <w:r w:rsidR="00E362DA" w:rsidRPr="009B0448">
        <w:rPr>
          <w:rFonts w:ascii="Times New Roman" w:hAnsi="Times New Roman" w:cs="Times New Roman"/>
        </w:rPr>
        <w:t xml:space="preserve">the </w:t>
      </w:r>
      <w:r w:rsidRPr="009B0448">
        <w:rPr>
          <w:rFonts w:ascii="Times New Roman" w:hAnsi="Times New Roman" w:cs="Times New Roman"/>
        </w:rPr>
        <w:t>integration of nature into development planning</w:t>
      </w:r>
      <w:r w:rsidR="00E362DA" w:rsidRPr="009B0448">
        <w:rPr>
          <w:rFonts w:ascii="Times New Roman" w:hAnsi="Times New Roman" w:cs="Times New Roman"/>
        </w:rPr>
        <w:t xml:space="preserve"> by articulating benefits in </w:t>
      </w:r>
      <w:r w:rsidRPr="009B0448">
        <w:rPr>
          <w:rFonts w:ascii="Times New Roman" w:hAnsi="Times New Roman" w:cs="Times New Roman"/>
        </w:rPr>
        <w:t>economic terms. Economic valuatio</w:t>
      </w:r>
      <w:r w:rsidR="00E362DA" w:rsidRPr="009B0448">
        <w:rPr>
          <w:rFonts w:ascii="Times New Roman" w:hAnsi="Times New Roman" w:cs="Times New Roman"/>
        </w:rPr>
        <w:t>n is a complementary tool</w:t>
      </w:r>
      <w:r w:rsidRPr="009B0448">
        <w:rPr>
          <w:rFonts w:ascii="Times New Roman" w:hAnsi="Times New Roman" w:cs="Times New Roman"/>
        </w:rPr>
        <w:t xml:space="preserve"> but is not fully capable of capturing the diversity of benefits nature makes to well-being. </w:t>
      </w:r>
    </w:p>
    <w:p w14:paraId="4B2096A3" w14:textId="77777777" w:rsidR="00F83B61" w:rsidRPr="009B0448" w:rsidRDefault="00F83B61" w:rsidP="00FA7185">
      <w:pPr>
        <w:pStyle w:val="111"/>
        <w:numPr>
          <w:ilvl w:val="2"/>
          <w:numId w:val="11"/>
        </w:numPr>
        <w:spacing w:before="240" w:after="240"/>
        <w:ind w:left="709" w:hanging="720"/>
        <w:rPr>
          <w:rFonts w:cs="Times New Roman"/>
          <w:i w:val="0"/>
          <w:sz w:val="22"/>
          <w:szCs w:val="22"/>
        </w:rPr>
      </w:pPr>
      <w:bookmarkStart w:id="514" w:name="_Toc502937689"/>
      <w:bookmarkStart w:id="515" w:name="_Toc519500056"/>
      <w:r w:rsidRPr="009B0448">
        <w:rPr>
          <w:rFonts w:cs="Times New Roman"/>
          <w:i w:val="0"/>
          <w:sz w:val="22"/>
          <w:szCs w:val="22"/>
        </w:rPr>
        <w:t>Economic and financial instruments</w:t>
      </w:r>
      <w:bookmarkEnd w:id="514"/>
      <w:bookmarkEnd w:id="515"/>
    </w:p>
    <w:p w14:paraId="3C3FDA2F" w14:textId="57035F0F"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There is continued debate on whether ecosystems should be viewed as economic assets that produce a flow of beneficial goods and services over time (Barbier, 2013). However, the benefits that biodiversity and ecosystem services provide to human populations are sometimes insufficiently taken into account by decision-makers in African development policies, in part because their contribution to national economies and transitions out of poverty are not always well demonstrated. Costs of biodiversity and ecosystem service loss are rarely internalised (Challender </w:t>
      </w:r>
      <w:r w:rsidR="000429F8" w:rsidRPr="009B0448">
        <w:rPr>
          <w:rFonts w:ascii="Times New Roman" w:hAnsi="Times New Roman" w:cs="Times New Roman"/>
          <w:i/>
        </w:rPr>
        <w:t>et al.</w:t>
      </w:r>
      <w:r w:rsidRPr="009B0448">
        <w:rPr>
          <w:rFonts w:ascii="Times New Roman" w:hAnsi="Times New Roman" w:cs="Times New Roman"/>
        </w:rPr>
        <w:t xml:space="preserve">, 2015). The interaction of market, policy, institutional and livelihood failures promotes under-valuation of biodiversity and environmental assets, causing public and private sectors to fail to appreciate or account for the cost of biodiversity loss and ecosystem degradation (Barbier, 1994; Dixon </w:t>
      </w:r>
      <w:r w:rsidR="000429F8" w:rsidRPr="009B0448">
        <w:rPr>
          <w:rFonts w:ascii="Times New Roman" w:hAnsi="Times New Roman" w:cs="Times New Roman"/>
          <w:i/>
        </w:rPr>
        <w:t>et al.</w:t>
      </w:r>
      <w:r w:rsidRPr="009B0448">
        <w:rPr>
          <w:rFonts w:ascii="Times New Roman" w:hAnsi="Times New Roman" w:cs="Times New Roman"/>
        </w:rPr>
        <w:t>, 1994</w:t>
      </w:r>
      <w:r w:rsidR="00CE1135" w:rsidRPr="009B0448">
        <w:rPr>
          <w:rFonts w:ascii="Times New Roman" w:hAnsi="Times New Roman" w:cs="Times New Roman"/>
        </w:rPr>
        <w:t xml:space="preserve">; Barbier </w:t>
      </w:r>
      <w:r w:rsidR="000429F8" w:rsidRPr="009B0448">
        <w:rPr>
          <w:rFonts w:ascii="Times New Roman" w:hAnsi="Times New Roman" w:cs="Times New Roman"/>
          <w:i/>
        </w:rPr>
        <w:t>et al.</w:t>
      </w:r>
      <w:r w:rsidR="00CE1135" w:rsidRPr="009B0448">
        <w:rPr>
          <w:rFonts w:ascii="Times New Roman" w:hAnsi="Times New Roman" w:cs="Times New Roman"/>
        </w:rPr>
        <w:t>, 199</w:t>
      </w:r>
      <w:r w:rsidR="004573D7" w:rsidRPr="009B0448">
        <w:rPr>
          <w:rFonts w:ascii="Times New Roman" w:hAnsi="Times New Roman" w:cs="Times New Roman"/>
        </w:rPr>
        <w:t>7</w:t>
      </w:r>
      <w:r w:rsidRPr="009B0448">
        <w:rPr>
          <w:rFonts w:ascii="Times New Roman" w:hAnsi="Times New Roman" w:cs="Times New Roman"/>
        </w:rPr>
        <w:t xml:space="preserve">). </w:t>
      </w:r>
    </w:p>
    <w:p w14:paraId="1AACC861" w14:textId="77777777" w:rsidR="009F0016" w:rsidRPr="009B0448" w:rsidRDefault="009F0016" w:rsidP="009F0016">
      <w:pPr>
        <w:spacing w:line="276" w:lineRule="auto"/>
        <w:jc w:val="both"/>
        <w:rPr>
          <w:rFonts w:ascii="Times New Roman" w:hAnsi="Times New Roman" w:cs="Times New Roman"/>
        </w:rPr>
      </w:pPr>
    </w:p>
    <w:p w14:paraId="7D644008" w14:textId="613744D5"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Recognition has grown that economic concepts and instruments can substantially improve the status of biodiversity and ecosystems, as well as support social prosperity and a green economy (Albers </w:t>
      </w:r>
      <w:r w:rsidR="000429F8" w:rsidRPr="009B0448">
        <w:rPr>
          <w:rFonts w:ascii="Times New Roman" w:hAnsi="Times New Roman" w:cs="Times New Roman"/>
          <w:i/>
        </w:rPr>
        <w:t>et al.</w:t>
      </w:r>
      <w:r w:rsidRPr="009B0448">
        <w:rPr>
          <w:rFonts w:ascii="Times New Roman" w:hAnsi="Times New Roman" w:cs="Times New Roman"/>
        </w:rPr>
        <w:t>, 1996; IIED, 200</w:t>
      </w:r>
      <w:r w:rsidR="00E362DA" w:rsidRPr="009B0448">
        <w:rPr>
          <w:rFonts w:ascii="Times New Roman" w:hAnsi="Times New Roman" w:cs="Times New Roman"/>
        </w:rPr>
        <w:t>3; also see Chapter 2). A c</w:t>
      </w:r>
      <w:r w:rsidRPr="009B0448">
        <w:rPr>
          <w:rFonts w:ascii="Times New Roman" w:hAnsi="Times New Roman" w:cs="Times New Roman"/>
        </w:rPr>
        <w:t xml:space="preserve">learer understanding of the benefits that ecosystem services provide to populations in the African context can fuel sustainable development and improve social welfare (AfDB-WWF, 2012) especially in sub-Saharan Africa, where many biodiversity hotspots coincide with poor and growing human populations. Economic incentives can significantly promote biodiversity conservation policies (Amin, 2016). </w:t>
      </w:r>
    </w:p>
    <w:p w14:paraId="718FF0B3" w14:textId="77777777" w:rsidR="009F0016" w:rsidRPr="009B0448" w:rsidRDefault="009F0016" w:rsidP="009F0016">
      <w:pPr>
        <w:spacing w:line="276" w:lineRule="auto"/>
        <w:jc w:val="both"/>
        <w:rPr>
          <w:rFonts w:ascii="Times New Roman" w:hAnsi="Times New Roman" w:cs="Times New Roman"/>
        </w:rPr>
      </w:pPr>
    </w:p>
    <w:p w14:paraId="3E9CEF21" w14:textId="18D7B80B"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Economic instruments can also be effectively employed to address economic drivers (see Chapter 4</w:t>
      </w:r>
      <w:r w:rsidR="00F943B8" w:rsidRPr="009B0448">
        <w:rPr>
          <w:rFonts w:ascii="Times New Roman" w:hAnsi="Times New Roman" w:cs="Times New Roman"/>
        </w:rPr>
        <w:t>, section 4.4.3</w:t>
      </w:r>
      <w:r w:rsidRPr="009B0448">
        <w:rPr>
          <w:rFonts w:ascii="Times New Roman" w:hAnsi="Times New Roman" w:cs="Times New Roman"/>
        </w:rPr>
        <w:t>) of biodiversity loss and ecosystem degradation. Once the specific drivers are known, relevant economic and financial instruments can be selected to help shift people’s behaviour towards promoting biodiversity conservation. Emerton (2014) notes that conservation actions involving behaviour change usually need to be economically attractive for those expected to adopt them, either as a standalone activity or related to alternative (unsustainable) options. Incentives can be broadly considered as direct (e.g.</w:t>
      </w:r>
      <w:r w:rsidR="00E24BC5">
        <w:rPr>
          <w:rFonts w:ascii="Times New Roman" w:hAnsi="Times New Roman" w:cs="Times New Roman"/>
        </w:rPr>
        <w:t>,</w:t>
      </w:r>
      <w:r w:rsidRPr="009B0448">
        <w:rPr>
          <w:rFonts w:ascii="Times New Roman" w:hAnsi="Times New Roman" w:cs="Times New Roman"/>
        </w:rPr>
        <w:t xml:space="preserve"> rewards for changes in behaviour) and indirect (e.g.</w:t>
      </w:r>
      <w:r w:rsidR="00E24BC5">
        <w:rPr>
          <w:rFonts w:ascii="Times New Roman" w:hAnsi="Times New Roman" w:cs="Times New Roman"/>
        </w:rPr>
        <w:t>,</w:t>
      </w:r>
      <w:r w:rsidRPr="009B0448">
        <w:rPr>
          <w:rFonts w:ascii="Times New Roman" w:hAnsi="Times New Roman" w:cs="Times New Roman"/>
        </w:rPr>
        <w:t xml:space="preserve"> creating enabling conditions that lead to behavioural change). It is important that incentives consider the “specific groups, activities and sectors which they aim to work on” and that they are “based on practically implementable actions, and…acceptable and sustainable within the broader social, political and cultural context within which they are being applied” (Emerton, 2000, p. 19). In this regard, South Africa provides a useful example that links eradication of invasive alien species with poverty alleviation and livelihood diversification (Box 6.10, Chapter 1). Alternatively, mechanisms that penalise people for their actions leading to biodiversity loss, such as taxes, charges and fees, or disincentives, can be applied to support sustainable resource extraction or use rates, or to produce revenue in support of ecosystem service conservation (Panayotou, 1994). </w:t>
      </w:r>
    </w:p>
    <w:p w14:paraId="4E01D591" w14:textId="77777777" w:rsidR="009F0016" w:rsidRPr="009B0448" w:rsidRDefault="009F0016" w:rsidP="009F0016">
      <w:pPr>
        <w:spacing w:line="276" w:lineRule="auto"/>
        <w:jc w:val="both"/>
        <w:rPr>
          <w:rFonts w:ascii="Times New Roman" w:hAnsi="Times New Roman" w:cs="Times New Roman"/>
        </w:rPr>
      </w:pPr>
    </w:p>
    <w:p w14:paraId="6CDD0C43"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718A3391" wp14:editId="5463B949">
                <wp:extent cx="5727700" cy="2519265"/>
                <wp:effectExtent l="0" t="0" r="25400" b="14605"/>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2519265"/>
                        </a:xfrm>
                        <a:prstGeom prst="rect">
                          <a:avLst/>
                        </a:prstGeom>
                        <a:solidFill>
                          <a:schemeClr val="bg1">
                            <a:lumMod val="95000"/>
                          </a:schemeClr>
                        </a:solidFill>
                        <a:ln w="9525">
                          <a:solidFill>
                            <a:srgbClr val="000000"/>
                          </a:solidFill>
                          <a:miter lim="800000"/>
                          <a:headEnd/>
                          <a:tailEnd/>
                        </a:ln>
                      </wps:spPr>
                      <wps:txbx>
                        <w:txbxContent>
                          <w:p w14:paraId="2B142775" w14:textId="77777777" w:rsidR="00BC0CFA" w:rsidRDefault="00BC0CFA" w:rsidP="00C5034A">
                            <w:pPr>
                              <w:spacing w:line="276" w:lineRule="auto"/>
                              <w:rPr>
                                <w:rFonts w:ascii="Times New Roman" w:hAnsi="Times New Roman" w:cs="Times New Roman"/>
                                <w:b/>
                              </w:rPr>
                            </w:pPr>
                            <w:r w:rsidRPr="00F82299">
                              <w:rPr>
                                <w:rFonts w:ascii="Times New Roman" w:hAnsi="Times New Roman" w:cs="Times New Roman"/>
                                <w:b/>
                              </w:rPr>
                              <w:t>Box 6.10: Incentives to tackle invasive species in South Africa</w:t>
                            </w:r>
                          </w:p>
                          <w:p w14:paraId="35A4AB7F" w14:textId="77777777" w:rsidR="00BC0CFA" w:rsidRPr="00C5034A" w:rsidRDefault="00BC0CFA" w:rsidP="00C5034A">
                            <w:pPr>
                              <w:spacing w:line="276" w:lineRule="auto"/>
                              <w:rPr>
                                <w:rFonts w:ascii="Times New Roman" w:hAnsi="Times New Roman" w:cs="Times New Roman"/>
                              </w:rPr>
                            </w:pPr>
                          </w:p>
                          <w:p w14:paraId="3F3A718B" w14:textId="0753CEF8" w:rsidR="00BC0CFA" w:rsidRPr="00F82299" w:rsidRDefault="00BC0CFA" w:rsidP="00C5034A">
                            <w:pPr>
                              <w:spacing w:line="276" w:lineRule="auto"/>
                              <w:jc w:val="both"/>
                            </w:pPr>
                            <w:r w:rsidRPr="00F82299">
                              <w:rPr>
                                <w:rFonts w:ascii="Times New Roman" w:hAnsi="Times New Roman" w:cs="Times New Roman"/>
                              </w:rPr>
                              <w:t xml:space="preserve">The South African government’s Working for Water programme, founded in 1995, employed marginal communities, mostly unskilled women in rural communities, to clear woody invasive alien plants such as Australian acacia species (wattles), </w:t>
                            </w:r>
                            <w:r w:rsidRPr="00F82299">
                              <w:rPr>
                                <w:rFonts w:ascii="Times New Roman" w:hAnsi="Times New Roman" w:cs="Times New Roman"/>
                                <w:i/>
                              </w:rPr>
                              <w:t>Pinus</w:t>
                            </w:r>
                            <w:r w:rsidRPr="00F82299">
                              <w:rPr>
                                <w:rFonts w:ascii="Times New Roman" w:hAnsi="Times New Roman" w:cs="Times New Roman"/>
                              </w:rPr>
                              <w:t xml:space="preserve"> spp., </w:t>
                            </w:r>
                            <w:r w:rsidRPr="00F82299">
                              <w:rPr>
                                <w:rFonts w:ascii="Times New Roman" w:hAnsi="Times New Roman" w:cs="Times New Roman"/>
                                <w:i/>
                              </w:rPr>
                              <w:t>Eucalyptus camaldulensis</w:t>
                            </w:r>
                            <w:r w:rsidRPr="00F82299">
                              <w:rPr>
                                <w:rFonts w:ascii="Times New Roman" w:hAnsi="Times New Roman" w:cs="Times New Roman"/>
                              </w:rPr>
                              <w:t xml:space="preserve">, </w:t>
                            </w:r>
                            <w:r w:rsidRPr="00F82299">
                              <w:rPr>
                                <w:rFonts w:ascii="Times New Roman" w:hAnsi="Times New Roman" w:cs="Times New Roman"/>
                                <w:i/>
                              </w:rPr>
                              <w:t>Hakea</w:t>
                            </w:r>
                            <w:r w:rsidRPr="00F82299">
                              <w:rPr>
                                <w:rFonts w:ascii="Times New Roman" w:hAnsi="Times New Roman" w:cs="Times New Roman"/>
                              </w:rPr>
                              <w:t xml:space="preserve"> spp., </w:t>
                            </w:r>
                            <w:r w:rsidRPr="00F82299">
                              <w:rPr>
                                <w:rFonts w:ascii="Times New Roman" w:hAnsi="Times New Roman" w:cs="Times New Roman"/>
                                <w:i/>
                              </w:rPr>
                              <w:t xml:space="preserve">Prosopis </w:t>
                            </w:r>
                            <w:r w:rsidRPr="00F82299">
                              <w:rPr>
                                <w:rFonts w:ascii="Times New Roman" w:hAnsi="Times New Roman" w:cs="Times New Roman"/>
                              </w:rPr>
                              <w:t xml:space="preserve">spp., and water weeds (e.g. </w:t>
                            </w:r>
                            <w:r w:rsidRPr="00F82299">
                              <w:rPr>
                                <w:rFonts w:ascii="Times New Roman" w:hAnsi="Times New Roman" w:cs="Times New Roman"/>
                                <w:i/>
                              </w:rPr>
                              <w:t>Eichhornia crassipes</w:t>
                            </w:r>
                            <w:r w:rsidRPr="00F82299">
                              <w:rPr>
                                <w:rFonts w:ascii="Times New Roman" w:hAnsi="Times New Roman" w:cs="Times New Roman"/>
                              </w:rPr>
                              <w:t xml:space="preserve">), thus protecting biodiversity and ecosystem services while at the same time providing employment and securing water supplies (Richardson </w:t>
                            </w:r>
                            <w:r w:rsidRPr="000429F8">
                              <w:rPr>
                                <w:rFonts w:ascii="Times New Roman" w:hAnsi="Times New Roman" w:cs="Times New Roman"/>
                                <w:i/>
                              </w:rPr>
                              <w:t>et al.</w:t>
                            </w:r>
                            <w:r w:rsidRPr="00F82299">
                              <w:rPr>
                                <w:rFonts w:ascii="Times New Roman" w:hAnsi="Times New Roman" w:cs="Times New Roman"/>
                              </w:rPr>
                              <w:t xml:space="preserve">, 2004). In 2014, the government had a national list of invasive alien species (total 559) in four categories for management under the National Environmental Management Biodiversity Act (Act 10 of 2004) and its Alien and Invasive Species Regulations. Invasive alien species are sometimes considered the single biggest threat to South Africa’s biodiversity (Richardson </w:t>
                            </w:r>
                            <w:r w:rsidRPr="000429F8">
                              <w:rPr>
                                <w:rFonts w:ascii="Times New Roman" w:hAnsi="Times New Roman" w:cs="Times New Roman"/>
                                <w:i/>
                              </w:rPr>
                              <w:t>et al.</w:t>
                            </w:r>
                            <w:r w:rsidRPr="00F82299">
                              <w:rPr>
                                <w:rFonts w:ascii="Times New Roman" w:hAnsi="Times New Roman" w:cs="Times New Roman"/>
                              </w:rPr>
                              <w:t xml:space="preserve">, 2004; van Wilgen </w:t>
                            </w:r>
                            <w:r w:rsidRPr="000429F8">
                              <w:rPr>
                                <w:rFonts w:ascii="Times New Roman" w:hAnsi="Times New Roman" w:cs="Times New Roman"/>
                                <w:i/>
                              </w:rPr>
                              <w:t>et al.</w:t>
                            </w:r>
                            <w:r w:rsidRPr="00F82299">
                              <w:rPr>
                                <w:rFonts w:ascii="Times New Roman" w:hAnsi="Times New Roman" w:cs="Times New Roman"/>
                              </w:rPr>
                              <w:t xml:space="preserve">, 2014a; van Wilgen </w:t>
                            </w:r>
                            <w:r w:rsidRPr="000429F8">
                              <w:rPr>
                                <w:rFonts w:ascii="Times New Roman" w:hAnsi="Times New Roman" w:cs="Times New Roman"/>
                                <w:i/>
                              </w:rPr>
                              <w:t>et al.</w:t>
                            </w:r>
                            <w:r w:rsidRPr="00F82299">
                              <w:rPr>
                                <w:rFonts w:ascii="Times New Roman" w:hAnsi="Times New Roman" w:cs="Times New Roman"/>
                              </w:rPr>
                              <w:t>, 2014b). This governance option thus tackled an ecosystem dis-service by seeking to improve ecosystem services.</w:t>
                            </w:r>
                          </w:p>
                        </w:txbxContent>
                      </wps:txbx>
                      <wps:bodyPr rot="0" vert="horz" wrap="square" lIns="91440" tIns="45720" rIns="91440" bIns="45720" anchor="t" anchorCtr="0">
                        <a:noAutofit/>
                      </wps:bodyPr>
                    </wps:wsp>
                  </a:graphicData>
                </a:graphic>
              </wp:inline>
            </w:drawing>
          </mc:Choice>
          <mc:Fallback>
            <w:pict>
              <v:shape w14:anchorId="718A3391" id="Text Box 2" o:spid="_x0000_s1048" type="#_x0000_t202" style="width:451pt;height:19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" fillcolor="#f2f2f2 [3052]">
                <v:textbox>
                  <w:txbxContent>
                    <w:p w14:paraId="2B142775" w14:textId="77777777" w:rsidR="00BC0CFA" w:rsidRDefault="00BC0CFA" w:rsidP="00C5034A">
                      <w:pPr>
                        <w:spacing w:line="276" w:lineRule="auto"/>
                        <w:rPr>
                          <w:rFonts w:ascii="Times New Roman" w:hAnsi="Times New Roman" w:cs="Times New Roman"/>
                          <w:b/>
                        </w:rPr>
                      </w:pPr>
                      <w:r w:rsidRPr="00F82299">
                        <w:rPr>
                          <w:rFonts w:ascii="Times New Roman" w:hAnsi="Times New Roman" w:cs="Times New Roman"/>
                          <w:b/>
                        </w:rPr>
                        <w:t>Box 6.10: Incentives to tackle invasive species in South Africa</w:t>
                      </w:r>
                    </w:p>
                    <w:p w14:paraId="35A4AB7F" w14:textId="77777777" w:rsidR="00BC0CFA" w:rsidRPr="00C5034A" w:rsidRDefault="00BC0CFA" w:rsidP="00C5034A">
                      <w:pPr>
                        <w:spacing w:line="276" w:lineRule="auto"/>
                        <w:rPr>
                          <w:rFonts w:ascii="Times New Roman" w:hAnsi="Times New Roman" w:cs="Times New Roman"/>
                        </w:rPr>
                      </w:pPr>
                    </w:p>
                    <w:p w14:paraId="3F3A718B" w14:textId="0753CEF8" w:rsidR="00BC0CFA" w:rsidRPr="00F82299" w:rsidRDefault="00BC0CFA" w:rsidP="00C5034A">
                      <w:pPr>
                        <w:spacing w:line="276" w:lineRule="auto"/>
                        <w:jc w:val="both"/>
                      </w:pPr>
                      <w:r w:rsidRPr="00F82299">
                        <w:rPr>
                          <w:rFonts w:ascii="Times New Roman" w:hAnsi="Times New Roman" w:cs="Times New Roman"/>
                        </w:rPr>
                        <w:t xml:space="preserve">The South African government’s Working for Water programme, founded in 1995, employed marginal communities, mostly unskilled women in rural communities, to clear woody invasive alien plants such as Australian acacia species (wattles), </w:t>
                      </w:r>
                      <w:r w:rsidRPr="00F82299">
                        <w:rPr>
                          <w:rFonts w:ascii="Times New Roman" w:hAnsi="Times New Roman" w:cs="Times New Roman"/>
                          <w:i/>
                        </w:rPr>
                        <w:t>Pinus</w:t>
                      </w:r>
                      <w:r w:rsidRPr="00F82299">
                        <w:rPr>
                          <w:rFonts w:ascii="Times New Roman" w:hAnsi="Times New Roman" w:cs="Times New Roman"/>
                        </w:rPr>
                        <w:t xml:space="preserve"> spp., </w:t>
                      </w:r>
                      <w:r w:rsidRPr="00F82299">
                        <w:rPr>
                          <w:rFonts w:ascii="Times New Roman" w:hAnsi="Times New Roman" w:cs="Times New Roman"/>
                          <w:i/>
                        </w:rPr>
                        <w:t>Eucalyptus camaldulensis</w:t>
                      </w:r>
                      <w:r w:rsidRPr="00F82299">
                        <w:rPr>
                          <w:rFonts w:ascii="Times New Roman" w:hAnsi="Times New Roman" w:cs="Times New Roman"/>
                        </w:rPr>
                        <w:t xml:space="preserve">, </w:t>
                      </w:r>
                      <w:r w:rsidRPr="00F82299">
                        <w:rPr>
                          <w:rFonts w:ascii="Times New Roman" w:hAnsi="Times New Roman" w:cs="Times New Roman"/>
                          <w:i/>
                        </w:rPr>
                        <w:t>Hakea</w:t>
                      </w:r>
                      <w:r w:rsidRPr="00F82299">
                        <w:rPr>
                          <w:rFonts w:ascii="Times New Roman" w:hAnsi="Times New Roman" w:cs="Times New Roman"/>
                        </w:rPr>
                        <w:t xml:space="preserve"> spp., </w:t>
                      </w:r>
                      <w:r w:rsidRPr="00F82299">
                        <w:rPr>
                          <w:rFonts w:ascii="Times New Roman" w:hAnsi="Times New Roman" w:cs="Times New Roman"/>
                          <w:i/>
                        </w:rPr>
                        <w:t xml:space="preserve">Prosopis </w:t>
                      </w:r>
                      <w:r w:rsidRPr="00F82299">
                        <w:rPr>
                          <w:rFonts w:ascii="Times New Roman" w:hAnsi="Times New Roman" w:cs="Times New Roman"/>
                        </w:rPr>
                        <w:t xml:space="preserve">spp., and water weeds (e.g. </w:t>
                      </w:r>
                      <w:r w:rsidRPr="00F82299">
                        <w:rPr>
                          <w:rFonts w:ascii="Times New Roman" w:hAnsi="Times New Roman" w:cs="Times New Roman"/>
                          <w:i/>
                        </w:rPr>
                        <w:t>Eichhornia crassipes</w:t>
                      </w:r>
                      <w:r w:rsidRPr="00F82299">
                        <w:rPr>
                          <w:rFonts w:ascii="Times New Roman" w:hAnsi="Times New Roman" w:cs="Times New Roman"/>
                        </w:rPr>
                        <w:t xml:space="preserve">), thus protecting biodiversity and ecosystem services while at the same time providing employment and securing water supplies (Richardson </w:t>
                      </w:r>
                      <w:r w:rsidRPr="000429F8">
                        <w:rPr>
                          <w:rFonts w:ascii="Times New Roman" w:hAnsi="Times New Roman" w:cs="Times New Roman"/>
                          <w:i/>
                        </w:rPr>
                        <w:t>et al.</w:t>
                      </w:r>
                      <w:r w:rsidRPr="00F82299">
                        <w:rPr>
                          <w:rFonts w:ascii="Times New Roman" w:hAnsi="Times New Roman" w:cs="Times New Roman"/>
                        </w:rPr>
                        <w:t xml:space="preserve">, 2004). In 2014, the government had a national list of invasive alien species (total 559) in four categories for management under the National Environmental Management Biodiversity Act (Act 10 of 2004) and its Alien and Invasive Species Regulations. Invasive alien species are sometimes considered the single biggest threat to South Africa’s biodiversity (Richardson </w:t>
                      </w:r>
                      <w:r w:rsidRPr="000429F8">
                        <w:rPr>
                          <w:rFonts w:ascii="Times New Roman" w:hAnsi="Times New Roman" w:cs="Times New Roman"/>
                          <w:i/>
                        </w:rPr>
                        <w:t>et al.</w:t>
                      </w:r>
                      <w:r w:rsidRPr="00F82299">
                        <w:rPr>
                          <w:rFonts w:ascii="Times New Roman" w:hAnsi="Times New Roman" w:cs="Times New Roman"/>
                        </w:rPr>
                        <w:t xml:space="preserve">, 2004; van Wilgen </w:t>
                      </w:r>
                      <w:r w:rsidRPr="000429F8">
                        <w:rPr>
                          <w:rFonts w:ascii="Times New Roman" w:hAnsi="Times New Roman" w:cs="Times New Roman"/>
                          <w:i/>
                        </w:rPr>
                        <w:t>et al.</w:t>
                      </w:r>
                      <w:r w:rsidRPr="00F82299">
                        <w:rPr>
                          <w:rFonts w:ascii="Times New Roman" w:hAnsi="Times New Roman" w:cs="Times New Roman"/>
                        </w:rPr>
                        <w:t xml:space="preserve">, 2014a; van Wilgen </w:t>
                      </w:r>
                      <w:r w:rsidRPr="000429F8">
                        <w:rPr>
                          <w:rFonts w:ascii="Times New Roman" w:hAnsi="Times New Roman" w:cs="Times New Roman"/>
                          <w:i/>
                        </w:rPr>
                        <w:t>et al.</w:t>
                      </w:r>
                      <w:r w:rsidRPr="00F82299">
                        <w:rPr>
                          <w:rFonts w:ascii="Times New Roman" w:hAnsi="Times New Roman" w:cs="Times New Roman"/>
                        </w:rPr>
                        <w:t>, 2014b). This governance option thus tackled an ecosystem dis-service by seeking to improve ecosystem services.</w:t>
                      </w:r>
                    </w:p>
                  </w:txbxContent>
                </v:textbox>
                <w10:anchorlock/>
              </v:shape>
            </w:pict>
          </mc:Fallback>
        </mc:AlternateContent>
      </w:r>
    </w:p>
    <w:p w14:paraId="1F388B5C" w14:textId="77777777" w:rsidR="009F0016" w:rsidRPr="009B0448" w:rsidRDefault="009F0016" w:rsidP="009F0016">
      <w:pPr>
        <w:spacing w:line="276" w:lineRule="auto"/>
        <w:jc w:val="both"/>
        <w:rPr>
          <w:rFonts w:ascii="Times New Roman" w:hAnsi="Times New Roman" w:cs="Times New Roman"/>
        </w:rPr>
      </w:pPr>
    </w:p>
    <w:p w14:paraId="3A11FD76" w14:textId="574717EB" w:rsidR="009F0016"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Economic instruments operate in different ways and through different mechanisms to correct the broader distortions and failures in markets, policies, laws, institutions and livelihoods comprising economic causes of biodiversity loss and degradation. The table in Appendix 6.3 provides several examples of economic incentives and financial instruments and their application in Africa, complementing those found in the boxes throughout this section. A key goal is to ensure people take account of the full economic value of biodiversity and the full economic costs associated with its loss. This needs to be considered when they produce, consume and trade biodiversity and ecosystem services. Total economic values need to be reflected in profits, prices and the returns they produce. </w:t>
      </w:r>
    </w:p>
    <w:p w14:paraId="5F356A36" w14:textId="77777777" w:rsidR="009F0016" w:rsidRPr="009B0448" w:rsidRDefault="009F0016" w:rsidP="009F0016">
      <w:pPr>
        <w:spacing w:line="276" w:lineRule="auto"/>
        <w:jc w:val="both"/>
        <w:rPr>
          <w:rFonts w:ascii="Times New Roman" w:hAnsi="Times New Roman" w:cs="Times New Roman"/>
        </w:rPr>
      </w:pPr>
    </w:p>
    <w:p w14:paraId="11DEC056"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Key economic instruments include property rights, markets and charge systems, fiscal instruments, bonds and deposits, and livelihood support. Property rights grant or allocate rights to own, use and manage biodiversity (see Box 6.11), dealing with the fact that market failure is due in part to the absence of well defined, secure and transferable rights over land and biological resources. Common examples of such instruments include allocation of legal rights, tenure, leases and concessions over the ownership, management and use of biological resources or biodiversity.</w:t>
      </w:r>
    </w:p>
    <w:p w14:paraId="5D6D87DB" w14:textId="77777777" w:rsidR="009F0016" w:rsidRPr="009B0448" w:rsidRDefault="009F0016" w:rsidP="009F0016">
      <w:pPr>
        <w:spacing w:line="276" w:lineRule="auto"/>
        <w:jc w:val="both"/>
        <w:rPr>
          <w:rFonts w:ascii="Times New Roman" w:hAnsi="Times New Roman" w:cs="Times New Roman"/>
        </w:rPr>
      </w:pPr>
    </w:p>
    <w:p w14:paraId="7E00241F"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5729D6BA" wp14:editId="137C3B9F">
                <wp:extent cx="5725886" cy="1726163"/>
                <wp:effectExtent l="0" t="0" r="27305" b="26670"/>
                <wp:docPr id="9" name="Rectangle 9"/>
                <wp:cNvGraphicFramePr/>
                <a:graphic xmlns:a="http://schemas.openxmlformats.org/drawingml/2006/main">
                  <a:graphicData uri="http://schemas.microsoft.com/office/word/2010/wordprocessingShape">
                    <wps:wsp>
                      <wps:cNvSpPr/>
                      <wps:spPr>
                        <a:xfrm>
                          <a:off x="0" y="0"/>
                          <a:ext cx="5725886" cy="1726163"/>
                        </a:xfrm>
                        <a:prstGeom prst="rect">
                          <a:avLst/>
                        </a:prstGeom>
                        <a:solidFill>
                          <a:schemeClr val="bg1">
                            <a:lumMod val="95000"/>
                          </a:schemeClr>
                        </a:solidFill>
                        <a:ln w="9525" cap="flat" cmpd="sng">
                          <a:solidFill>
                            <a:schemeClr val="tx1"/>
                          </a:solidFill>
                          <a:prstDash val="solid"/>
                          <a:miter/>
                          <a:headEnd type="none" w="med" len="med"/>
                          <a:tailEnd type="none" w="med" len="med"/>
                        </a:ln>
                      </wps:spPr>
                      <wps:txbx>
                        <w:txbxContent>
                          <w:p w14:paraId="11C40989" w14:textId="77777777" w:rsidR="00BC0CFA" w:rsidRDefault="00BC0CFA" w:rsidP="00C5034A">
                            <w:pPr>
                              <w:spacing w:line="276" w:lineRule="auto"/>
                              <w:jc w:val="both"/>
                              <w:textDirection w:val="btLr"/>
                              <w:rPr>
                                <w:rFonts w:ascii="Times New Roman" w:hAnsi="Times New Roman" w:cs="Times New Roman"/>
                                <w:b/>
                              </w:rPr>
                            </w:pPr>
                            <w:r w:rsidRPr="00F82299">
                              <w:rPr>
                                <w:rFonts w:ascii="Times New Roman" w:hAnsi="Times New Roman" w:cs="Times New Roman"/>
                                <w:b/>
                              </w:rPr>
                              <w:t>Box 6.11: Property rights for access to biodiversity in South Africa</w:t>
                            </w:r>
                          </w:p>
                          <w:p w14:paraId="2007F03F" w14:textId="77777777" w:rsidR="00BC0CFA" w:rsidRPr="00F82299" w:rsidRDefault="00BC0CFA" w:rsidP="00C5034A">
                            <w:pPr>
                              <w:spacing w:line="276" w:lineRule="auto"/>
                              <w:jc w:val="both"/>
                              <w:textDirection w:val="btLr"/>
                              <w:rPr>
                                <w:rFonts w:ascii="Times New Roman" w:hAnsi="Times New Roman" w:cs="Times New Roman"/>
                                <w:b/>
                              </w:rPr>
                            </w:pPr>
                          </w:p>
                          <w:p w14:paraId="28AE8318" w14:textId="76F2B77D" w:rsidR="00BC0CFA" w:rsidRPr="00F82299" w:rsidRDefault="00BC0CFA" w:rsidP="00C5034A">
                            <w:pPr>
                              <w:spacing w:line="276" w:lineRule="auto"/>
                              <w:jc w:val="both"/>
                              <w:textDirection w:val="btLr"/>
                              <w:rPr>
                                <w:rFonts w:ascii="Times New Roman" w:hAnsi="Times New Roman" w:cs="Times New Roman"/>
                              </w:rPr>
                            </w:pPr>
                            <w:r w:rsidRPr="00F82299">
                              <w:rPr>
                                <w:rFonts w:ascii="Times New Roman" w:hAnsi="Times New Roman" w:cs="Times New Roman"/>
                              </w:rPr>
                              <w:t>The allocation of community property rights in National Parks and Forest Reserves is particularly widespread (through joint- or participatory forest management etc.). For example, in South Africa, the land upon which Richtersveld National Park lies is owned and occupied by local Nama villages. These communities have leased the land to t</w:t>
                            </w:r>
                            <w:r>
                              <w:rPr>
                                <w:rFonts w:ascii="Times New Roman" w:hAnsi="Times New Roman" w:cs="Times New Roman"/>
                              </w:rPr>
                              <w:t>he government</w:t>
                            </w:r>
                            <w:r w:rsidRPr="00F82299">
                              <w:rPr>
                                <w:rFonts w:ascii="Times New Roman" w:hAnsi="Times New Roman" w:cs="Times New Roman"/>
                              </w:rPr>
                              <w:t xml:space="preserve"> while retaining the right to graze an agreed </w:t>
                            </w:r>
                            <w:r>
                              <w:rPr>
                                <w:rFonts w:ascii="Times New Roman" w:hAnsi="Times New Roman" w:cs="Times New Roman"/>
                              </w:rPr>
                              <w:t>amount</w:t>
                            </w:r>
                            <w:r w:rsidRPr="00F82299">
                              <w:rPr>
                                <w:rFonts w:ascii="Times New Roman" w:hAnsi="Times New Roman" w:cs="Times New Roman"/>
                              </w:rPr>
                              <w:t xml:space="preserve"> of livestock in the park and to engage in the controlled harvest of certain natural resources. Lease payments are deposited into a trust that has been appointed by the community to manage this resource.</w:t>
                            </w:r>
                          </w:p>
                        </w:txbxContent>
                      </wps:txbx>
                      <wps:bodyPr lIns="91425" tIns="45700" rIns="91425" bIns="45700" anchor="t" anchorCtr="0">
                        <a:noAutofit/>
                      </wps:bodyPr>
                    </wps:wsp>
                  </a:graphicData>
                </a:graphic>
              </wp:inline>
            </w:drawing>
          </mc:Choice>
          <mc:Fallback>
            <w:pict>
              <v:rect w14:anchorId="5729D6BA" id="Rectangle 9" o:spid="_x0000_s1049" style="width:450.85pt;height:13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" fillcolor="#f2f2f2 [3052]" strokecolor="black [3213]">
                <v:textbox inset="2.53958mm,1.2694mm,2.53958mm,1.2694mm">
                  <w:txbxContent>
                    <w:p w14:paraId="11C40989" w14:textId="77777777" w:rsidR="00BC0CFA" w:rsidRDefault="00BC0CFA" w:rsidP="00C5034A">
                      <w:pPr>
                        <w:spacing w:line="276" w:lineRule="auto"/>
                        <w:jc w:val="both"/>
                        <w:textDirection w:val="btLr"/>
                        <w:rPr>
                          <w:rFonts w:ascii="Times New Roman" w:hAnsi="Times New Roman" w:cs="Times New Roman"/>
                          <w:b/>
                        </w:rPr>
                      </w:pPr>
                      <w:r w:rsidRPr="00F82299">
                        <w:rPr>
                          <w:rFonts w:ascii="Times New Roman" w:hAnsi="Times New Roman" w:cs="Times New Roman"/>
                          <w:b/>
                        </w:rPr>
                        <w:t>Box 6.11: Property rights for access to biodiversity in South Africa</w:t>
                      </w:r>
                    </w:p>
                    <w:p w14:paraId="2007F03F" w14:textId="77777777" w:rsidR="00BC0CFA" w:rsidRPr="00F82299" w:rsidRDefault="00BC0CFA" w:rsidP="00C5034A">
                      <w:pPr>
                        <w:spacing w:line="276" w:lineRule="auto"/>
                        <w:jc w:val="both"/>
                        <w:textDirection w:val="btLr"/>
                        <w:rPr>
                          <w:rFonts w:ascii="Times New Roman" w:hAnsi="Times New Roman" w:cs="Times New Roman"/>
                          <w:b/>
                        </w:rPr>
                      </w:pPr>
                    </w:p>
                    <w:p w14:paraId="28AE8318" w14:textId="76F2B77D" w:rsidR="00BC0CFA" w:rsidRPr="00F82299" w:rsidRDefault="00BC0CFA" w:rsidP="00C5034A">
                      <w:pPr>
                        <w:spacing w:line="276" w:lineRule="auto"/>
                        <w:jc w:val="both"/>
                        <w:textDirection w:val="btLr"/>
                        <w:rPr>
                          <w:rFonts w:ascii="Times New Roman" w:hAnsi="Times New Roman" w:cs="Times New Roman"/>
                        </w:rPr>
                      </w:pPr>
                      <w:r w:rsidRPr="00F82299">
                        <w:rPr>
                          <w:rFonts w:ascii="Times New Roman" w:hAnsi="Times New Roman" w:cs="Times New Roman"/>
                        </w:rPr>
                        <w:t>The allocation of community property rights in National Parks and Forest Reserves is particularly widespread (through joint- or participatory forest management etc.). For example, in South Africa, the land upon which Richtersveld National Park lies is owned and occupied by local Nama villages. These communities have leased the land to t</w:t>
                      </w:r>
                      <w:r>
                        <w:rPr>
                          <w:rFonts w:ascii="Times New Roman" w:hAnsi="Times New Roman" w:cs="Times New Roman"/>
                        </w:rPr>
                        <w:t>he government</w:t>
                      </w:r>
                      <w:r w:rsidRPr="00F82299">
                        <w:rPr>
                          <w:rFonts w:ascii="Times New Roman" w:hAnsi="Times New Roman" w:cs="Times New Roman"/>
                        </w:rPr>
                        <w:t xml:space="preserve"> while retaining the right to graze an agreed </w:t>
                      </w:r>
                      <w:r>
                        <w:rPr>
                          <w:rFonts w:ascii="Times New Roman" w:hAnsi="Times New Roman" w:cs="Times New Roman"/>
                        </w:rPr>
                        <w:t>amount</w:t>
                      </w:r>
                      <w:r w:rsidRPr="00F82299">
                        <w:rPr>
                          <w:rFonts w:ascii="Times New Roman" w:hAnsi="Times New Roman" w:cs="Times New Roman"/>
                        </w:rPr>
                        <w:t xml:space="preserve"> of livestock in the park and to engage in the controlled harvest of certain natural resources. Lease payments are deposited into a trust that has been appointed by the community to manage this resource.</w:t>
                      </w:r>
                    </w:p>
                  </w:txbxContent>
                </v:textbox>
                <w10:anchorlock/>
              </v:rect>
            </w:pict>
          </mc:Fallback>
        </mc:AlternateContent>
      </w:r>
    </w:p>
    <w:p w14:paraId="376B02EE" w14:textId="77777777" w:rsidR="009F0016" w:rsidRPr="009B0448" w:rsidRDefault="009F0016" w:rsidP="009F0016">
      <w:pPr>
        <w:spacing w:line="276" w:lineRule="auto"/>
        <w:jc w:val="both"/>
        <w:rPr>
          <w:rFonts w:ascii="Times New Roman" w:hAnsi="Times New Roman" w:cs="Times New Roman"/>
        </w:rPr>
      </w:pPr>
    </w:p>
    <w:p w14:paraId="723D4CD7" w14:textId="207ADEF3"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Market and charge systems aim to overcome the distortions and weaknesses in prices and markets that send signals to producers and consumers that encourage them to degrade biodiversity because it is cheaper, easier or more profitable to do so in the </w:t>
      </w:r>
      <w:r w:rsidR="000B06FE" w:rsidRPr="009B0448">
        <w:rPr>
          <w:rFonts w:ascii="Times New Roman" w:hAnsi="Times New Roman" w:cs="Times New Roman"/>
        </w:rPr>
        <w:t>short-term</w:t>
      </w:r>
      <w:r w:rsidRPr="009B0448">
        <w:rPr>
          <w:rFonts w:ascii="Times New Roman" w:hAnsi="Times New Roman" w:cs="Times New Roman"/>
        </w:rPr>
        <w:t xml:space="preserve">. They entail trading in biodiversity goods and services and giving them a price that reflects their relative scarcity, costs and benefits. Examples of market instruments include tradable rights, shares and quotas in biological resources and environmental quality (fishing quotas, pollution permits or development rights), hunting permits, and setting new charges or rationalising existing charges (park entry fees, biological resource utilisation licenses, etc.). Box 6.12 provides an example from Mozambique. </w:t>
      </w:r>
    </w:p>
    <w:p w14:paraId="1F5C237A" w14:textId="77777777" w:rsidR="009F0016" w:rsidRPr="009B0448" w:rsidRDefault="009F0016" w:rsidP="009F0016">
      <w:pPr>
        <w:spacing w:line="276" w:lineRule="auto"/>
        <w:jc w:val="both"/>
        <w:rPr>
          <w:rFonts w:ascii="Times New Roman" w:hAnsi="Times New Roman" w:cs="Times New Roman"/>
        </w:rPr>
      </w:pPr>
    </w:p>
    <w:p w14:paraId="586BC883"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7FEFF76D" wp14:editId="0AE12475">
                <wp:extent cx="5727700" cy="1399592"/>
                <wp:effectExtent l="0" t="0" r="25400" b="10160"/>
                <wp:docPr id="10" name="Rectangle 10"/>
                <wp:cNvGraphicFramePr/>
                <a:graphic xmlns:a="http://schemas.openxmlformats.org/drawingml/2006/main">
                  <a:graphicData uri="http://schemas.microsoft.com/office/word/2010/wordprocessingShape">
                    <wps:wsp>
                      <wps:cNvSpPr/>
                      <wps:spPr>
                        <a:xfrm>
                          <a:off x="0" y="0"/>
                          <a:ext cx="5727700" cy="1399592"/>
                        </a:xfrm>
                        <a:prstGeom prst="rect">
                          <a:avLst/>
                        </a:prstGeom>
                        <a:solidFill>
                          <a:schemeClr val="bg1">
                            <a:lumMod val="95000"/>
                          </a:schemeClr>
                        </a:solidFill>
                        <a:ln w="9525" cap="flat" cmpd="sng">
                          <a:solidFill>
                            <a:schemeClr val="tx1"/>
                          </a:solidFill>
                          <a:prstDash val="solid"/>
                          <a:miter/>
                          <a:headEnd type="none" w="med" len="med"/>
                          <a:tailEnd type="none" w="med" len="med"/>
                        </a:ln>
                      </wps:spPr>
                      <wps:txbx>
                        <w:txbxContent>
                          <w:p w14:paraId="63FA792F" w14:textId="77777777" w:rsidR="00BC0CFA" w:rsidRDefault="00BC0CFA" w:rsidP="00C5034A">
                            <w:pPr>
                              <w:spacing w:line="276" w:lineRule="auto"/>
                              <w:jc w:val="both"/>
                              <w:textDirection w:val="btLr"/>
                              <w:rPr>
                                <w:rFonts w:ascii="Times New Roman" w:hAnsi="Times New Roman" w:cs="Times New Roman"/>
                                <w:b/>
                              </w:rPr>
                            </w:pPr>
                            <w:r w:rsidRPr="00F82299">
                              <w:rPr>
                                <w:rFonts w:ascii="Times New Roman" w:hAnsi="Times New Roman" w:cs="Times New Roman"/>
                                <w:b/>
                              </w:rPr>
                              <w:t>Box 6.12: Access to marine resources in Mozambique</w:t>
                            </w:r>
                          </w:p>
                          <w:p w14:paraId="27E1F235" w14:textId="77777777" w:rsidR="00BC0CFA" w:rsidRPr="00F82299" w:rsidRDefault="00BC0CFA" w:rsidP="00C5034A">
                            <w:pPr>
                              <w:spacing w:line="276" w:lineRule="auto"/>
                              <w:jc w:val="both"/>
                              <w:textDirection w:val="btLr"/>
                              <w:rPr>
                                <w:rFonts w:ascii="Times New Roman" w:hAnsi="Times New Roman" w:cs="Times New Roman"/>
                                <w:b/>
                              </w:rPr>
                            </w:pPr>
                          </w:p>
                          <w:p w14:paraId="1B07DC8A" w14:textId="77777777" w:rsidR="00BC0CFA" w:rsidRPr="00F82299" w:rsidRDefault="00BC0CFA" w:rsidP="00C5034A">
                            <w:pPr>
                              <w:spacing w:line="276" w:lineRule="auto"/>
                              <w:jc w:val="both"/>
                              <w:textDirection w:val="btLr"/>
                              <w:rPr>
                                <w:rFonts w:ascii="Times New Roman" w:hAnsi="Times New Roman" w:cs="Times New Roman"/>
                              </w:rPr>
                            </w:pPr>
                            <w:r w:rsidRPr="00F82299">
                              <w:rPr>
                                <w:rFonts w:ascii="Times New Roman" w:hAnsi="Times New Roman" w:cs="Times New Roman"/>
                              </w:rPr>
                              <w:t>In the Bazaruto Archipelago in Mozambique—one of the country’s most vulnerable, diverse and valuable marine areas—a number of new markets and enterprises have been promoted among local fishing communities as a way of stimulating sustainable biological resource use, and in order to compensate for the economic losses in land and natural resources incurred by the establishment of a National Park.</w:t>
                            </w:r>
                          </w:p>
                        </w:txbxContent>
                      </wps:txbx>
                      <wps:bodyPr wrap="square" lIns="91425" tIns="45700" rIns="91425" bIns="45700" anchor="t" anchorCtr="0">
                        <a:noAutofit/>
                      </wps:bodyPr>
                    </wps:wsp>
                  </a:graphicData>
                </a:graphic>
              </wp:inline>
            </w:drawing>
          </mc:Choice>
          <mc:Fallback>
            <w:pict>
              <v:rect w14:anchorId="7FEFF76D" id="Rectangle 10" o:spid="_x0000_s1050" style="width:451pt;height:11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" fillcolor="#f2f2f2 [3052]" strokecolor="black [3213]">
                <v:textbox inset="2.53958mm,1.2694mm,2.53958mm,1.2694mm">
                  <w:txbxContent>
                    <w:p w14:paraId="63FA792F" w14:textId="77777777" w:rsidR="00BC0CFA" w:rsidRDefault="00BC0CFA" w:rsidP="00C5034A">
                      <w:pPr>
                        <w:spacing w:line="276" w:lineRule="auto"/>
                        <w:jc w:val="both"/>
                        <w:textDirection w:val="btLr"/>
                        <w:rPr>
                          <w:rFonts w:ascii="Times New Roman" w:hAnsi="Times New Roman" w:cs="Times New Roman"/>
                          <w:b/>
                        </w:rPr>
                      </w:pPr>
                      <w:r w:rsidRPr="00F82299">
                        <w:rPr>
                          <w:rFonts w:ascii="Times New Roman" w:hAnsi="Times New Roman" w:cs="Times New Roman"/>
                          <w:b/>
                        </w:rPr>
                        <w:t>Box 6.12: Access to marine resources in Mozambique</w:t>
                      </w:r>
                    </w:p>
                    <w:p w14:paraId="27E1F235" w14:textId="77777777" w:rsidR="00BC0CFA" w:rsidRPr="00F82299" w:rsidRDefault="00BC0CFA" w:rsidP="00C5034A">
                      <w:pPr>
                        <w:spacing w:line="276" w:lineRule="auto"/>
                        <w:jc w:val="both"/>
                        <w:textDirection w:val="btLr"/>
                        <w:rPr>
                          <w:rFonts w:ascii="Times New Roman" w:hAnsi="Times New Roman" w:cs="Times New Roman"/>
                          <w:b/>
                        </w:rPr>
                      </w:pPr>
                    </w:p>
                    <w:p w14:paraId="1B07DC8A" w14:textId="77777777" w:rsidR="00BC0CFA" w:rsidRPr="00F82299" w:rsidRDefault="00BC0CFA" w:rsidP="00C5034A">
                      <w:pPr>
                        <w:spacing w:line="276" w:lineRule="auto"/>
                        <w:jc w:val="both"/>
                        <w:textDirection w:val="btLr"/>
                        <w:rPr>
                          <w:rFonts w:ascii="Times New Roman" w:hAnsi="Times New Roman" w:cs="Times New Roman"/>
                        </w:rPr>
                      </w:pPr>
                      <w:r w:rsidRPr="00F82299">
                        <w:rPr>
                          <w:rFonts w:ascii="Times New Roman" w:hAnsi="Times New Roman" w:cs="Times New Roman"/>
                        </w:rPr>
                        <w:t>In the Bazaruto Archipelago in Mozambique—one of the country’s most vulnerable, diverse and valuable marine areas—a number of new markets and enterprises have been promoted among local fishing communities as a way of stimulating sustainable biological resource use, and in order to compensate for the economic losses in land and natural resources incurred by the establishment of a National Park.</w:t>
                      </w:r>
                    </w:p>
                  </w:txbxContent>
                </v:textbox>
                <w10:anchorlock/>
              </v:rect>
            </w:pict>
          </mc:Fallback>
        </mc:AlternateContent>
      </w:r>
    </w:p>
    <w:p w14:paraId="2CC9CFF2" w14:textId="77777777" w:rsidR="009F0016" w:rsidRPr="009B0448" w:rsidRDefault="009F0016" w:rsidP="009F0016">
      <w:pPr>
        <w:spacing w:line="276" w:lineRule="auto"/>
        <w:jc w:val="both"/>
        <w:rPr>
          <w:rFonts w:ascii="Times New Roman" w:hAnsi="Times New Roman" w:cs="Times New Roman"/>
        </w:rPr>
      </w:pPr>
    </w:p>
    <w:p w14:paraId="7F93A335" w14:textId="4C0D4FCD"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Fiscal measures aim at discouraging or encouraging the consumption and production of certain goods and products that have an impact on biodiversity. The measure could be to raise and spend budgetary revenues on increasing or lowering the relative prices of different products. Typical fiscal measures are taxes and subsidies (see Box 6.13), for example, attaching high tax rates on biodiversity-depleting </w:t>
      </w:r>
      <w:r w:rsidR="00917FB2">
        <w:rPr>
          <w:rFonts w:ascii="Times New Roman" w:hAnsi="Times New Roman" w:cs="Times New Roman"/>
        </w:rPr>
        <w:t>land-use</w:t>
      </w:r>
      <w:r w:rsidRPr="009B0448">
        <w:rPr>
          <w:rFonts w:ascii="Times New Roman" w:hAnsi="Times New Roman" w:cs="Times New Roman"/>
        </w:rPr>
        <w:t xml:space="preserve">s, equipment, inputs and products, or providing subsidies to biodiversity conserving technologies, </w:t>
      </w:r>
      <w:r w:rsidR="00917FB2">
        <w:rPr>
          <w:rFonts w:ascii="Times New Roman" w:hAnsi="Times New Roman" w:cs="Times New Roman"/>
        </w:rPr>
        <w:t>land-use</w:t>
      </w:r>
      <w:r w:rsidRPr="009B0448">
        <w:rPr>
          <w:rFonts w:ascii="Times New Roman" w:hAnsi="Times New Roman" w:cs="Times New Roman"/>
        </w:rPr>
        <w:t xml:space="preserve">s and enterprises. </w:t>
      </w:r>
    </w:p>
    <w:p w14:paraId="553B3B79" w14:textId="77777777" w:rsidR="009F0016" w:rsidRPr="009B0448" w:rsidRDefault="009F0016" w:rsidP="009F0016">
      <w:pPr>
        <w:spacing w:line="276" w:lineRule="auto"/>
        <w:jc w:val="both"/>
        <w:rPr>
          <w:rFonts w:ascii="Times New Roman" w:hAnsi="Times New Roman" w:cs="Times New Roman"/>
        </w:rPr>
      </w:pPr>
    </w:p>
    <w:p w14:paraId="53A54EFA"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35F311AF" wp14:editId="09DB0B0B">
                <wp:extent cx="5727700" cy="1548882"/>
                <wp:effectExtent l="0" t="0" r="25400" b="13335"/>
                <wp:docPr id="31" name="Rectangle 31"/>
                <wp:cNvGraphicFramePr/>
                <a:graphic xmlns:a="http://schemas.openxmlformats.org/drawingml/2006/main">
                  <a:graphicData uri="http://schemas.microsoft.com/office/word/2010/wordprocessingShape">
                    <wps:wsp>
                      <wps:cNvSpPr/>
                      <wps:spPr>
                        <a:xfrm>
                          <a:off x="0" y="0"/>
                          <a:ext cx="5727700" cy="1548882"/>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1616E1C7" w14:textId="77777777" w:rsidR="00BC0CFA" w:rsidRDefault="00BC0CFA" w:rsidP="00C5034A">
                            <w:pPr>
                              <w:spacing w:line="276" w:lineRule="auto"/>
                              <w:jc w:val="both"/>
                              <w:textDirection w:val="btLr"/>
                              <w:rPr>
                                <w:rFonts w:ascii="Times New Roman" w:hAnsi="Times New Roman" w:cs="Times New Roman"/>
                                <w:b/>
                              </w:rPr>
                            </w:pPr>
                            <w:r w:rsidRPr="00F82299">
                              <w:rPr>
                                <w:rFonts w:ascii="Times New Roman" w:hAnsi="Times New Roman" w:cs="Times New Roman"/>
                                <w:b/>
                              </w:rPr>
                              <w:t>Box 6.13: Biodiversity management: role of taxation and fiscal policies</w:t>
                            </w:r>
                          </w:p>
                          <w:p w14:paraId="3B0EF4F2" w14:textId="77777777" w:rsidR="00BC0CFA" w:rsidRPr="00F82299" w:rsidRDefault="00BC0CFA" w:rsidP="00C5034A">
                            <w:pPr>
                              <w:spacing w:line="276" w:lineRule="auto"/>
                              <w:jc w:val="both"/>
                              <w:textDirection w:val="btLr"/>
                              <w:rPr>
                                <w:rFonts w:ascii="Times New Roman" w:hAnsi="Times New Roman" w:cs="Times New Roman"/>
                                <w:b/>
                              </w:rPr>
                            </w:pPr>
                          </w:p>
                          <w:p w14:paraId="06E04445" w14:textId="77777777" w:rsidR="00BC0CFA" w:rsidRPr="00F82299" w:rsidRDefault="00BC0CFA" w:rsidP="00C5034A">
                            <w:pPr>
                              <w:spacing w:line="276" w:lineRule="auto"/>
                              <w:jc w:val="both"/>
                              <w:textDirection w:val="btLr"/>
                              <w:rPr>
                                <w:rFonts w:ascii="Times New Roman" w:hAnsi="Times New Roman" w:cs="Times New Roman"/>
                              </w:rPr>
                            </w:pPr>
                            <w:r w:rsidRPr="00F82299">
                              <w:rPr>
                                <w:rFonts w:ascii="Times New Roman" w:hAnsi="Times New Roman" w:cs="Times New Roman"/>
                              </w:rPr>
                              <w:t>In Ethiopia and Eritrea, energy taxes and subsidies are used as incentives to encourage the use of energy-saving technologies to reduce deforestation for firewood and charcoal. These governments have implemented a series of fiscal reforms in the energy sector which aim to make wood fuel and wood-based cooking technologies more expensive to users. The reforms include subsidies for kerosene, promoting energy efficient wood fuel cooking stoves, and the dismantling of duties on imported solar equipment.</w:t>
                            </w:r>
                          </w:p>
                        </w:txbxContent>
                      </wps:txbx>
                      <wps:bodyPr wrap="square" lIns="91425" tIns="45700" rIns="91425" bIns="45700" anchor="t" anchorCtr="0">
                        <a:noAutofit/>
                      </wps:bodyPr>
                    </wps:wsp>
                  </a:graphicData>
                </a:graphic>
              </wp:inline>
            </w:drawing>
          </mc:Choice>
          <mc:Fallback>
            <w:pict>
              <v:rect w14:anchorId="35F311AF" id="Rectangle 31" o:spid="_x0000_s1051" style="width:451pt;height:12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" fillcolor="#f2f2f2 [3052]">
                <v:textbox inset="2.53958mm,1.2694mm,2.53958mm,1.2694mm">
                  <w:txbxContent>
                    <w:p w14:paraId="1616E1C7" w14:textId="77777777" w:rsidR="00BC0CFA" w:rsidRDefault="00BC0CFA" w:rsidP="00C5034A">
                      <w:pPr>
                        <w:spacing w:line="276" w:lineRule="auto"/>
                        <w:jc w:val="both"/>
                        <w:textDirection w:val="btLr"/>
                        <w:rPr>
                          <w:rFonts w:ascii="Times New Roman" w:hAnsi="Times New Roman" w:cs="Times New Roman"/>
                          <w:b/>
                        </w:rPr>
                      </w:pPr>
                      <w:r w:rsidRPr="00F82299">
                        <w:rPr>
                          <w:rFonts w:ascii="Times New Roman" w:hAnsi="Times New Roman" w:cs="Times New Roman"/>
                          <w:b/>
                        </w:rPr>
                        <w:t>Box 6.13: Biodiversity management: role of taxation and fiscal policies</w:t>
                      </w:r>
                    </w:p>
                    <w:p w14:paraId="3B0EF4F2" w14:textId="77777777" w:rsidR="00BC0CFA" w:rsidRPr="00F82299" w:rsidRDefault="00BC0CFA" w:rsidP="00C5034A">
                      <w:pPr>
                        <w:spacing w:line="276" w:lineRule="auto"/>
                        <w:jc w:val="both"/>
                        <w:textDirection w:val="btLr"/>
                        <w:rPr>
                          <w:rFonts w:ascii="Times New Roman" w:hAnsi="Times New Roman" w:cs="Times New Roman"/>
                          <w:b/>
                        </w:rPr>
                      </w:pPr>
                    </w:p>
                    <w:p w14:paraId="06E04445" w14:textId="77777777" w:rsidR="00BC0CFA" w:rsidRPr="00F82299" w:rsidRDefault="00BC0CFA" w:rsidP="00C5034A">
                      <w:pPr>
                        <w:spacing w:line="276" w:lineRule="auto"/>
                        <w:jc w:val="both"/>
                        <w:textDirection w:val="btLr"/>
                        <w:rPr>
                          <w:rFonts w:ascii="Times New Roman" w:hAnsi="Times New Roman" w:cs="Times New Roman"/>
                        </w:rPr>
                      </w:pPr>
                      <w:r w:rsidRPr="00F82299">
                        <w:rPr>
                          <w:rFonts w:ascii="Times New Roman" w:hAnsi="Times New Roman" w:cs="Times New Roman"/>
                        </w:rPr>
                        <w:t>In Ethiopia and Eritrea, energy taxes and subsidies are used as incentives to encourage the use of energy-saving technologies to reduce deforestation for firewood and charcoal. These governments have implemented a series of fiscal reforms in the energy sector which aim to make wood fuel and wood-based cooking technologies more expensive to users. The reforms include subsidies for kerosene, promoting energy efficient wood fuel cooking stoves, and the dismantling of duties on imported solar equipment.</w:t>
                      </w:r>
                    </w:p>
                  </w:txbxContent>
                </v:textbox>
                <w10:anchorlock/>
              </v:rect>
            </w:pict>
          </mc:Fallback>
        </mc:AlternateContent>
      </w:r>
    </w:p>
    <w:p w14:paraId="5C657283" w14:textId="77777777" w:rsidR="009F0016" w:rsidRPr="009B0448" w:rsidRDefault="009F0016" w:rsidP="009F0016">
      <w:pPr>
        <w:spacing w:line="276" w:lineRule="auto"/>
        <w:jc w:val="both"/>
        <w:rPr>
          <w:rFonts w:ascii="Times New Roman" w:hAnsi="Times New Roman" w:cs="Times New Roman"/>
        </w:rPr>
      </w:pPr>
    </w:p>
    <w:p w14:paraId="614269CF" w14:textId="2DD0201D"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Bonds and deposits are product surcharges which shift the responsibility for biodiversity depletion to individual producers and consumers. They are levied on activities that run the risk of harming biodiversity and require the person carrying out these activities to pay a bond or deposit before they start, refundable against the possibility of this damage occurring. By charging in advance for possible biodiversity damage, bonds and deposits provide funds for covering the costs of this damage and ensure that producers or consumers cover the cost themselves. They also present an incentive to avoid negatively affecting biodiversity and can be applied to natural resource-based industries such as forestry, mining, fisheries and other extractive utilisation activities as a tool to discourage negative biodiversity impacts at the same time as promoting efficiency in resource utilisation (Boxes 6.14 and 6.15).</w:t>
      </w:r>
    </w:p>
    <w:p w14:paraId="3AE6F876" w14:textId="77777777" w:rsidR="009F0016" w:rsidRPr="009B0448" w:rsidRDefault="009F0016" w:rsidP="009F0016">
      <w:pPr>
        <w:spacing w:line="276" w:lineRule="auto"/>
        <w:jc w:val="both"/>
        <w:rPr>
          <w:rFonts w:ascii="Times New Roman" w:hAnsi="Times New Roman" w:cs="Times New Roman"/>
        </w:rPr>
      </w:pPr>
    </w:p>
    <w:p w14:paraId="3CE67595"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43FBCEE1" wp14:editId="0D869ED7">
                <wp:extent cx="5727700" cy="4497356"/>
                <wp:effectExtent l="0" t="0" r="25400" b="17780"/>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4497356"/>
                        </a:xfrm>
                        <a:prstGeom prst="rect">
                          <a:avLst/>
                        </a:prstGeom>
                        <a:solidFill>
                          <a:schemeClr val="bg1">
                            <a:lumMod val="95000"/>
                          </a:schemeClr>
                        </a:solidFill>
                        <a:ln w="9525">
                          <a:solidFill>
                            <a:srgbClr val="000000"/>
                          </a:solidFill>
                          <a:miter lim="800000"/>
                          <a:headEnd/>
                          <a:tailEnd/>
                        </a:ln>
                      </wps:spPr>
                      <wps:txbx>
                        <w:txbxContent>
                          <w:p w14:paraId="14AFB05E" w14:textId="12A8A482" w:rsidR="00BC0CFA" w:rsidRPr="005A6695" w:rsidRDefault="00BC0CFA" w:rsidP="007F251D">
                            <w:pPr>
                              <w:spacing w:line="276" w:lineRule="auto"/>
                              <w:jc w:val="both"/>
                              <w:rPr>
                                <w:rFonts w:ascii="Times New Roman" w:hAnsi="Times New Roman" w:cs="Times New Roman"/>
                              </w:rPr>
                            </w:pPr>
                            <w:r w:rsidRPr="00F82299">
                              <w:rPr>
                                <w:rFonts w:ascii="Times New Roman" w:hAnsi="Times New Roman" w:cs="Times New Roman"/>
                                <w:b/>
                              </w:rPr>
                              <w:t xml:space="preserve">Box 6.14: </w:t>
                            </w:r>
                            <w:r w:rsidRPr="005A6695">
                              <w:rPr>
                                <w:rFonts w:ascii="Times New Roman" w:hAnsi="Times New Roman" w:cs="Times New Roman"/>
                                <w:b/>
                              </w:rPr>
                              <w:t xml:space="preserve">Case study of forestry taxation in Liberia. </w:t>
                            </w:r>
                            <w:r w:rsidRPr="005A6695">
                              <w:rPr>
                                <w:rFonts w:ascii="Times New Roman" w:hAnsi="Times New Roman" w:cs="Times New Roman"/>
                              </w:rPr>
                              <w:t xml:space="preserve">Sources: FAO (2004); Schwidrowski </w:t>
                            </w:r>
                            <w:r w:rsidRPr="005A6695">
                              <w:rPr>
                                <w:rFonts w:ascii="Times New Roman" w:hAnsi="Times New Roman" w:cs="Times New Roman"/>
                                <w:i/>
                              </w:rPr>
                              <w:t>et al.</w:t>
                            </w:r>
                            <w:r w:rsidRPr="005A6695">
                              <w:rPr>
                                <w:rFonts w:ascii="Times New Roman" w:hAnsi="Times New Roman" w:cs="Times New Roman"/>
                              </w:rPr>
                              <w:t xml:space="preserve"> (2005).</w:t>
                            </w:r>
                          </w:p>
                          <w:p w14:paraId="059E52D1" w14:textId="77777777" w:rsidR="00BC0CFA" w:rsidRPr="00F82299" w:rsidRDefault="00BC0CFA" w:rsidP="007F251D">
                            <w:pPr>
                              <w:spacing w:line="276" w:lineRule="auto"/>
                              <w:jc w:val="both"/>
                              <w:rPr>
                                <w:rFonts w:ascii="Times New Roman" w:eastAsia="Times New Roman" w:hAnsi="Times New Roman" w:cs="Times New Roman"/>
                                <w:b/>
                              </w:rPr>
                            </w:pPr>
                          </w:p>
                          <w:p w14:paraId="330DB581" w14:textId="5A5EA8E6" w:rsidR="00BC0CFA" w:rsidRPr="00F82299" w:rsidRDefault="00BC0CFA" w:rsidP="007F251D">
                            <w:pPr>
                              <w:spacing w:line="276" w:lineRule="auto"/>
                              <w:jc w:val="both"/>
                              <w:rPr>
                                <w:rFonts w:ascii="Times New Roman" w:hAnsi="Times New Roman" w:cs="Times New Roman"/>
                              </w:rPr>
                            </w:pPr>
                            <w:r w:rsidRPr="00F82299">
                              <w:rPr>
                                <w:rFonts w:ascii="Times New Roman" w:hAnsi="Times New Roman" w:cs="Times New Roman"/>
                              </w:rPr>
                              <w:t>Liberia is well-endowed with valuable forest resources, and the sector has made an important contribution to GDP over the past few decades. Liberia’s forest resources are significant, containing a number of valuable species—such as African mahogany—that are in high demand on world markets. Timber activity began in the late 1960s, driven by low stumpage fees and the establishment of basic road infrastructure that opened access to forest areas. During the first half of the 1980s, the timber sector remained stagnant because of the weak global demand in key markets but also because of political instability in Liberia. The sector had recovered somewhat by the late 1980s, but the outbreak of civil strife interrupted the sector’s formal activities until peace was restored in 1997. Thereafter, logging activity recovered very rapidly, driven also by the demand for charcoal and firewood, reflecting the breakdown of the country’s regular electricity supply. The surge in logging soon raised concerns about its sustainability. Liberia enacted many charges and regulations for the purpose of forest product utilisation. Government has increasingly adopted pre-harvest fees such as concession fees and area fees. Over time, the number of taxes, charges, and fees on forestry activity has proliferated, driven particularly by the introduction of new taxes for specific purposes. Some of these related to severance charges ($1.50/m3), reforestation charges ($5.00/m3) and conservation charges ($4.00/m3). Apart from these charges on timber products, non-timber forest products also attract charges of various levels. Fines occupy a very important position as a source of revenue to the country. Timber companies are also financially committed under concessions to the construction of schools, clinics, or roads. Furthermore, it became common practice for timber companies to undertake certain tasks that were originally the responsibility of the government, such as road construction, and they were granted ta</w:t>
                            </w:r>
                            <w:r>
                              <w:rPr>
                                <w:rFonts w:ascii="Times New Roman" w:hAnsi="Times New Roman" w:cs="Times New Roman"/>
                              </w:rPr>
                              <w:t>x credits for those activities</w:t>
                            </w:r>
                            <w:r w:rsidRPr="00F82299">
                              <w:rPr>
                                <w:rFonts w:ascii="Times New Roman" w:hAnsi="Times New Roman" w:cs="Times New Roman"/>
                              </w:rPr>
                              <w:t>.</w:t>
                            </w:r>
                          </w:p>
                        </w:txbxContent>
                      </wps:txbx>
                      <wps:bodyPr rot="0" vert="horz" wrap="square" lIns="91440" tIns="45720" rIns="91440" bIns="45720" anchor="t" anchorCtr="0">
                        <a:noAutofit/>
                      </wps:bodyPr>
                    </wps:wsp>
                  </a:graphicData>
                </a:graphic>
              </wp:inline>
            </w:drawing>
          </mc:Choice>
          <mc:Fallback>
            <w:pict>
              <v:shape w14:anchorId="43FBCEE1" id="_x0000_s1052" type="#_x0000_t202" style="width:451pt;height:35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" fillcolor="#f2f2f2 [3052]">
                <v:textbox>
                  <w:txbxContent>
                    <w:p w14:paraId="14AFB05E" w14:textId="12A8A482" w:rsidR="00BC0CFA" w:rsidRPr="005A6695" w:rsidRDefault="00BC0CFA" w:rsidP="007F251D">
                      <w:pPr>
                        <w:spacing w:line="276" w:lineRule="auto"/>
                        <w:jc w:val="both"/>
                        <w:rPr>
                          <w:rFonts w:ascii="Times New Roman" w:hAnsi="Times New Roman" w:cs="Times New Roman"/>
                        </w:rPr>
                      </w:pPr>
                      <w:r w:rsidRPr="00F82299">
                        <w:rPr>
                          <w:rFonts w:ascii="Times New Roman" w:hAnsi="Times New Roman" w:cs="Times New Roman"/>
                          <w:b/>
                        </w:rPr>
                        <w:t xml:space="preserve">Box 6.14: </w:t>
                      </w:r>
                      <w:r w:rsidRPr="005A6695">
                        <w:rPr>
                          <w:rFonts w:ascii="Times New Roman" w:hAnsi="Times New Roman" w:cs="Times New Roman"/>
                          <w:b/>
                        </w:rPr>
                        <w:t xml:space="preserve">Case study of forestry taxation in Liberia. </w:t>
                      </w:r>
                      <w:r w:rsidRPr="005A6695">
                        <w:rPr>
                          <w:rFonts w:ascii="Times New Roman" w:hAnsi="Times New Roman" w:cs="Times New Roman"/>
                        </w:rPr>
                        <w:t xml:space="preserve">Sources: FAO (2004); Schwidrowski </w:t>
                      </w:r>
                      <w:r w:rsidRPr="005A6695">
                        <w:rPr>
                          <w:rFonts w:ascii="Times New Roman" w:hAnsi="Times New Roman" w:cs="Times New Roman"/>
                          <w:i/>
                        </w:rPr>
                        <w:t>et al.</w:t>
                      </w:r>
                      <w:r w:rsidRPr="005A6695">
                        <w:rPr>
                          <w:rFonts w:ascii="Times New Roman" w:hAnsi="Times New Roman" w:cs="Times New Roman"/>
                        </w:rPr>
                        <w:t xml:space="preserve"> (2005).</w:t>
                      </w:r>
                    </w:p>
                    <w:p w14:paraId="059E52D1" w14:textId="77777777" w:rsidR="00BC0CFA" w:rsidRPr="00F82299" w:rsidRDefault="00BC0CFA" w:rsidP="007F251D">
                      <w:pPr>
                        <w:spacing w:line="276" w:lineRule="auto"/>
                        <w:jc w:val="both"/>
                        <w:rPr>
                          <w:rFonts w:ascii="Times New Roman" w:eastAsia="Times New Roman" w:hAnsi="Times New Roman" w:cs="Times New Roman"/>
                          <w:b/>
                        </w:rPr>
                      </w:pPr>
                    </w:p>
                    <w:p w14:paraId="330DB581" w14:textId="5A5EA8E6" w:rsidR="00BC0CFA" w:rsidRPr="00F82299" w:rsidRDefault="00BC0CFA" w:rsidP="007F251D">
                      <w:pPr>
                        <w:spacing w:line="276" w:lineRule="auto"/>
                        <w:jc w:val="both"/>
                        <w:rPr>
                          <w:rFonts w:ascii="Times New Roman" w:hAnsi="Times New Roman" w:cs="Times New Roman"/>
                        </w:rPr>
                      </w:pPr>
                      <w:r w:rsidRPr="00F82299">
                        <w:rPr>
                          <w:rFonts w:ascii="Times New Roman" w:hAnsi="Times New Roman" w:cs="Times New Roman"/>
                        </w:rPr>
                        <w:t>Liberia is well-endowed with valuable forest resources, and the sector has made an important contribution to GDP over the past few decades. Liberia’s forest resources are significant, containing a number of valuable species—such as African mahogany—that are in high demand on world markets. Timber activity began in the late 1960s, driven by low stumpage fees and the establishment of basic road infrastructure that opened access to forest areas. During the first half of the 1980s, the timber sector remained stagnant because of the weak global demand in key markets but also because of political instability in Liberia. The sector had recovered somewhat by the late 1980s, but the outbreak of civil strife interrupted the sector’s formal activities until peace was restored in 1997. Thereafter, logging activity recovered very rapidly, driven also by the demand for charcoal and firewood, reflecting the breakdown of the country’s regular electricity supply. The surge in logging soon raised concerns about its sustainability. Liberia enacted many charges and regulations for the purpose of forest product utilisation. Government has increasingly adopted pre-harvest fees such as concession fees and area fees. Over time, the number of taxes, charges, and fees on forestry activity has proliferated, driven particularly by the introduction of new taxes for specific purposes. Some of these related to severance charges ($1.50/m3), reforestation charges ($5.00/m3) and conservation charges ($4.00/m3). Apart from these charges on timber products, non-timber forest products also attract charges of various levels. Fines occupy a very important position as a source of revenue to the country. Timber companies are also financially committed under concessions to the construction of schools, clinics, or roads. Furthermore, it became common practice for timber companies to undertake certain tasks that were originally the responsibility of the government, such as road construction, and they were granted ta</w:t>
                      </w:r>
                      <w:r>
                        <w:rPr>
                          <w:rFonts w:ascii="Times New Roman" w:hAnsi="Times New Roman" w:cs="Times New Roman"/>
                        </w:rPr>
                        <w:t>x credits for those activities</w:t>
                      </w:r>
                      <w:r w:rsidRPr="00F82299">
                        <w:rPr>
                          <w:rFonts w:ascii="Times New Roman" w:hAnsi="Times New Roman" w:cs="Times New Roman"/>
                        </w:rPr>
                        <w:t>.</w:t>
                      </w:r>
                    </w:p>
                  </w:txbxContent>
                </v:textbox>
                <w10:anchorlock/>
              </v:shape>
            </w:pict>
          </mc:Fallback>
        </mc:AlternateContent>
      </w:r>
    </w:p>
    <w:p w14:paraId="49D69DC9" w14:textId="77777777" w:rsidR="009F0016" w:rsidRPr="009B0448" w:rsidRDefault="009F0016" w:rsidP="009F0016">
      <w:pPr>
        <w:spacing w:line="276" w:lineRule="auto"/>
        <w:jc w:val="both"/>
        <w:rPr>
          <w:rFonts w:ascii="Times New Roman" w:hAnsi="Times New Roman" w:cs="Times New Roman"/>
        </w:rPr>
      </w:pPr>
    </w:p>
    <w:p w14:paraId="71FCBA9D"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5BFA25FC" wp14:editId="6FDB90AF">
                <wp:extent cx="5737860" cy="1604866"/>
                <wp:effectExtent l="0" t="0" r="15240" b="14605"/>
                <wp:docPr id="42" name="Rectangle 42"/>
                <wp:cNvGraphicFramePr/>
                <a:graphic xmlns:a="http://schemas.openxmlformats.org/drawingml/2006/main">
                  <a:graphicData uri="http://schemas.microsoft.com/office/word/2010/wordprocessingShape">
                    <wps:wsp>
                      <wps:cNvSpPr/>
                      <wps:spPr>
                        <a:xfrm>
                          <a:off x="0" y="0"/>
                          <a:ext cx="5737860" cy="1604866"/>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7AE5AB82" w14:textId="77777777" w:rsidR="00BC0CFA" w:rsidRDefault="00BC0CFA" w:rsidP="007F251D">
                            <w:pPr>
                              <w:spacing w:line="276" w:lineRule="auto"/>
                              <w:jc w:val="both"/>
                              <w:textDirection w:val="btLr"/>
                              <w:rPr>
                                <w:rFonts w:ascii="Times New Roman" w:hAnsi="Times New Roman" w:cs="Times New Roman"/>
                                <w:b/>
                              </w:rPr>
                            </w:pPr>
                            <w:r w:rsidRPr="00F82299">
                              <w:rPr>
                                <w:rFonts w:ascii="Times New Roman" w:hAnsi="Times New Roman" w:cs="Times New Roman"/>
                                <w:b/>
                              </w:rPr>
                              <w:t>Box 6.15: Regulating biodiversity exploitation in Democratic Republic of Congo</w:t>
                            </w:r>
                          </w:p>
                          <w:p w14:paraId="44EBB009" w14:textId="77777777" w:rsidR="00BC0CFA" w:rsidRPr="00F82299" w:rsidRDefault="00BC0CFA" w:rsidP="007F251D">
                            <w:pPr>
                              <w:spacing w:line="276" w:lineRule="auto"/>
                              <w:jc w:val="both"/>
                              <w:textDirection w:val="btLr"/>
                              <w:rPr>
                                <w:rFonts w:ascii="Times New Roman" w:hAnsi="Times New Roman" w:cs="Times New Roman"/>
                                <w:b/>
                              </w:rPr>
                            </w:pPr>
                          </w:p>
                          <w:p w14:paraId="57F1A092" w14:textId="77777777" w:rsidR="00BC0CFA" w:rsidRPr="00F82299" w:rsidRDefault="00BC0CFA" w:rsidP="007F251D">
                            <w:pPr>
                              <w:spacing w:line="276" w:lineRule="auto"/>
                              <w:jc w:val="both"/>
                              <w:textDirection w:val="btLr"/>
                              <w:rPr>
                                <w:rFonts w:ascii="Times New Roman" w:hAnsi="Times New Roman" w:cs="Times New Roman"/>
                              </w:rPr>
                            </w:pPr>
                            <w:r w:rsidRPr="00F82299">
                              <w:rPr>
                                <w:rFonts w:ascii="Times New Roman" w:hAnsi="Times New Roman" w:cs="Times New Roman"/>
                              </w:rPr>
                              <w:t>In the Democratic Republic of Congo, a form of deposit bond on commercial forestry operations was established in the early 1990s. This arrangement grants an “interim concession license” which requires loggers to complete various forestry planning and management operations, including forest inventory and investigation of efficient harvesting and processing techniques. If the concessionaire does not make the necessary investments within 3 years, the interim license is cancelled and monies are not refunded.</w:t>
                            </w:r>
                          </w:p>
                        </w:txbxContent>
                      </wps:txbx>
                      <wps:bodyPr wrap="square" lIns="91425" tIns="45700" rIns="91425" bIns="45700" anchor="t" anchorCtr="0">
                        <a:noAutofit/>
                      </wps:bodyPr>
                    </wps:wsp>
                  </a:graphicData>
                </a:graphic>
              </wp:inline>
            </w:drawing>
          </mc:Choice>
          <mc:Fallback>
            <w:pict>
              <v:rect w14:anchorId="5BFA25FC" id="Rectangle 42" o:spid="_x0000_s1053" style="width:451.8pt;height:12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" fillcolor="#f2f2f2 [3052]">
                <v:textbox inset="2.53958mm,1.2694mm,2.53958mm,1.2694mm">
                  <w:txbxContent>
                    <w:p w14:paraId="7AE5AB82" w14:textId="77777777" w:rsidR="00BC0CFA" w:rsidRDefault="00BC0CFA" w:rsidP="007F251D">
                      <w:pPr>
                        <w:spacing w:line="276" w:lineRule="auto"/>
                        <w:jc w:val="both"/>
                        <w:textDirection w:val="btLr"/>
                        <w:rPr>
                          <w:rFonts w:ascii="Times New Roman" w:hAnsi="Times New Roman" w:cs="Times New Roman"/>
                          <w:b/>
                        </w:rPr>
                      </w:pPr>
                      <w:r w:rsidRPr="00F82299">
                        <w:rPr>
                          <w:rFonts w:ascii="Times New Roman" w:hAnsi="Times New Roman" w:cs="Times New Roman"/>
                          <w:b/>
                        </w:rPr>
                        <w:t>Box 6.15: Regulating biodiversity exploitation in Democratic Republic of Congo</w:t>
                      </w:r>
                    </w:p>
                    <w:p w14:paraId="44EBB009" w14:textId="77777777" w:rsidR="00BC0CFA" w:rsidRPr="00F82299" w:rsidRDefault="00BC0CFA" w:rsidP="007F251D">
                      <w:pPr>
                        <w:spacing w:line="276" w:lineRule="auto"/>
                        <w:jc w:val="both"/>
                        <w:textDirection w:val="btLr"/>
                        <w:rPr>
                          <w:rFonts w:ascii="Times New Roman" w:hAnsi="Times New Roman" w:cs="Times New Roman"/>
                          <w:b/>
                        </w:rPr>
                      </w:pPr>
                    </w:p>
                    <w:p w14:paraId="57F1A092" w14:textId="77777777" w:rsidR="00BC0CFA" w:rsidRPr="00F82299" w:rsidRDefault="00BC0CFA" w:rsidP="007F251D">
                      <w:pPr>
                        <w:spacing w:line="276" w:lineRule="auto"/>
                        <w:jc w:val="both"/>
                        <w:textDirection w:val="btLr"/>
                        <w:rPr>
                          <w:rFonts w:ascii="Times New Roman" w:hAnsi="Times New Roman" w:cs="Times New Roman"/>
                        </w:rPr>
                      </w:pPr>
                      <w:r w:rsidRPr="00F82299">
                        <w:rPr>
                          <w:rFonts w:ascii="Times New Roman" w:hAnsi="Times New Roman" w:cs="Times New Roman"/>
                        </w:rPr>
                        <w:t>In the Democratic Republic of Congo, a form of deposit bond on commercial forestry operations was established in the early 1990s. This arrangement grants an “interim concession license” which requires loggers to complete various forestry planning and management operations, including forest inventory and investigation of efficient harvesting and processing techniques. If the concessionaire does not make the necessary investments within 3 years, the interim license is cancelled and monies are not refunded.</w:t>
                      </w:r>
                    </w:p>
                  </w:txbxContent>
                </v:textbox>
                <w10:anchorlock/>
              </v:rect>
            </w:pict>
          </mc:Fallback>
        </mc:AlternateContent>
      </w:r>
    </w:p>
    <w:p w14:paraId="496FF678" w14:textId="77777777" w:rsidR="009F0016" w:rsidRPr="009B0448" w:rsidRDefault="009F0016" w:rsidP="009F0016">
      <w:pPr>
        <w:spacing w:line="276" w:lineRule="auto"/>
        <w:jc w:val="both"/>
        <w:rPr>
          <w:rFonts w:ascii="Times New Roman" w:hAnsi="Times New Roman" w:cs="Times New Roman"/>
        </w:rPr>
      </w:pPr>
    </w:p>
    <w:p w14:paraId="3CC65AAF"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Livelihood measures acknowledge that livelihoods, and in particular their constraints and shortfalls, can sometimes drive people to degrade natural resources in the search for scarce subsistence, income and employment (see also Chapter 4). By strengthening livelihoods, diversifying them and making them more secure, these measures aim to decrease reliance on biodiversity and put people in a position where they will choose, and can afford, to curtail economic activities that degrade the environment. </w:t>
      </w:r>
    </w:p>
    <w:p w14:paraId="674F3A40" w14:textId="77777777" w:rsidR="009F0016" w:rsidRPr="009B0448" w:rsidRDefault="009F0016" w:rsidP="009F0016">
      <w:pPr>
        <w:spacing w:line="276" w:lineRule="auto"/>
        <w:jc w:val="both"/>
        <w:rPr>
          <w:rFonts w:ascii="Times New Roman" w:hAnsi="Times New Roman" w:cs="Times New Roman"/>
        </w:rPr>
      </w:pPr>
    </w:p>
    <w:p w14:paraId="14E492F3"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These include direct incentives that encourage sustainable use and indirect incentives including diversifying income options and reducing reliance on non-renewable extractive activities with strong biodiversity impacts. A good example of such an instrument is community benefit-sharing, which is a widely-used livelihood incentive for biodiversity conservation, using revenues generated by protected areas to finance development activities in adjacent rural areas (Box 6.16).</w:t>
      </w:r>
    </w:p>
    <w:p w14:paraId="657A8F3A" w14:textId="77777777" w:rsidR="009F0016" w:rsidRPr="009B0448" w:rsidRDefault="009F0016" w:rsidP="009F0016">
      <w:pPr>
        <w:spacing w:line="276" w:lineRule="auto"/>
        <w:jc w:val="both"/>
        <w:rPr>
          <w:rFonts w:ascii="Times New Roman" w:hAnsi="Times New Roman" w:cs="Times New Roman"/>
        </w:rPr>
      </w:pPr>
    </w:p>
    <w:p w14:paraId="5AA71342"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7EC4264C" wp14:editId="4223C459">
                <wp:extent cx="5737860" cy="1763486"/>
                <wp:effectExtent l="0" t="0" r="15240" b="27305"/>
                <wp:docPr id="35" name="Rectangle 35"/>
                <wp:cNvGraphicFramePr/>
                <a:graphic xmlns:a="http://schemas.openxmlformats.org/drawingml/2006/main">
                  <a:graphicData uri="http://schemas.microsoft.com/office/word/2010/wordprocessingShape">
                    <wps:wsp>
                      <wps:cNvSpPr/>
                      <wps:spPr>
                        <a:xfrm>
                          <a:off x="0" y="0"/>
                          <a:ext cx="5737860" cy="1763486"/>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722CCE25" w14:textId="77777777" w:rsidR="00BC0CFA" w:rsidRDefault="00BC0CFA" w:rsidP="007F251D">
                            <w:pPr>
                              <w:spacing w:line="276" w:lineRule="auto"/>
                              <w:jc w:val="both"/>
                              <w:textDirection w:val="btLr"/>
                              <w:rPr>
                                <w:rFonts w:ascii="Times New Roman" w:hAnsi="Times New Roman" w:cs="Times New Roman"/>
                                <w:b/>
                              </w:rPr>
                            </w:pPr>
                            <w:r w:rsidRPr="00F82299">
                              <w:rPr>
                                <w:rFonts w:ascii="Times New Roman" w:hAnsi="Times New Roman" w:cs="Times New Roman"/>
                                <w:b/>
                              </w:rPr>
                              <w:t>Box 6.16: Biodiversity benefit-sharing</w:t>
                            </w:r>
                          </w:p>
                          <w:p w14:paraId="5DABDB8D" w14:textId="77777777" w:rsidR="00BC0CFA" w:rsidRPr="00F82299" w:rsidRDefault="00BC0CFA" w:rsidP="007F251D">
                            <w:pPr>
                              <w:spacing w:line="276" w:lineRule="auto"/>
                              <w:jc w:val="both"/>
                              <w:textDirection w:val="btLr"/>
                              <w:rPr>
                                <w:rFonts w:ascii="Times New Roman" w:hAnsi="Times New Roman" w:cs="Times New Roman"/>
                                <w:b/>
                              </w:rPr>
                            </w:pPr>
                          </w:p>
                          <w:p w14:paraId="3BED4A44" w14:textId="77777777" w:rsidR="00BC0CFA" w:rsidRPr="00F82299" w:rsidRDefault="00BC0CFA" w:rsidP="007F251D">
                            <w:pPr>
                              <w:spacing w:line="276" w:lineRule="auto"/>
                              <w:jc w:val="both"/>
                              <w:textDirection w:val="btLr"/>
                              <w:rPr>
                                <w:rFonts w:ascii="Times New Roman" w:hAnsi="Times New Roman" w:cs="Times New Roman"/>
                              </w:rPr>
                            </w:pPr>
                            <w:r w:rsidRPr="00F82299">
                              <w:rPr>
                                <w:rFonts w:ascii="Times New Roman" w:hAnsi="Times New Roman" w:cs="Times New Roman"/>
                              </w:rPr>
                              <w:t>Forest and wildlife departments in East Africa (e.g., in Ethiopia and Kenya), engage in benefit-sharing activities around protected area buffer zones. Kenya Wildlife Service’s revenue sharing policy is typical, using a Wildlife Development Fund as a mechanism to distribute some of the revenues earned from protected areas to local communities (from entrance fees). A significant amount of money was spent on community-related activities in protected area buffers zones, including water, education, health, livestock and enterprise development as well as the provision of famine relief.</w:t>
                            </w:r>
                          </w:p>
                        </w:txbxContent>
                      </wps:txbx>
                      <wps:bodyPr wrap="square" lIns="91425" tIns="45700" rIns="91425" bIns="45700" anchor="t" anchorCtr="0">
                        <a:noAutofit/>
                      </wps:bodyPr>
                    </wps:wsp>
                  </a:graphicData>
                </a:graphic>
              </wp:inline>
            </w:drawing>
          </mc:Choice>
          <mc:Fallback>
            <w:pict>
              <v:rect w14:anchorId="7EC4264C" id="Rectangle 35" o:spid="_x0000_s1054" style="width:451.8pt;height:13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" fillcolor="#f2f2f2 [3052]">
                <v:textbox inset="2.53958mm,1.2694mm,2.53958mm,1.2694mm">
                  <w:txbxContent>
                    <w:p w14:paraId="722CCE25" w14:textId="77777777" w:rsidR="00BC0CFA" w:rsidRDefault="00BC0CFA" w:rsidP="007F251D">
                      <w:pPr>
                        <w:spacing w:line="276" w:lineRule="auto"/>
                        <w:jc w:val="both"/>
                        <w:textDirection w:val="btLr"/>
                        <w:rPr>
                          <w:rFonts w:ascii="Times New Roman" w:hAnsi="Times New Roman" w:cs="Times New Roman"/>
                          <w:b/>
                        </w:rPr>
                      </w:pPr>
                      <w:r w:rsidRPr="00F82299">
                        <w:rPr>
                          <w:rFonts w:ascii="Times New Roman" w:hAnsi="Times New Roman" w:cs="Times New Roman"/>
                          <w:b/>
                        </w:rPr>
                        <w:t>Box 6.16: Biodiversity benefit-sharing</w:t>
                      </w:r>
                    </w:p>
                    <w:p w14:paraId="5DABDB8D" w14:textId="77777777" w:rsidR="00BC0CFA" w:rsidRPr="00F82299" w:rsidRDefault="00BC0CFA" w:rsidP="007F251D">
                      <w:pPr>
                        <w:spacing w:line="276" w:lineRule="auto"/>
                        <w:jc w:val="both"/>
                        <w:textDirection w:val="btLr"/>
                        <w:rPr>
                          <w:rFonts w:ascii="Times New Roman" w:hAnsi="Times New Roman" w:cs="Times New Roman"/>
                          <w:b/>
                        </w:rPr>
                      </w:pPr>
                    </w:p>
                    <w:p w14:paraId="3BED4A44" w14:textId="77777777" w:rsidR="00BC0CFA" w:rsidRPr="00F82299" w:rsidRDefault="00BC0CFA" w:rsidP="007F251D">
                      <w:pPr>
                        <w:spacing w:line="276" w:lineRule="auto"/>
                        <w:jc w:val="both"/>
                        <w:textDirection w:val="btLr"/>
                        <w:rPr>
                          <w:rFonts w:ascii="Times New Roman" w:hAnsi="Times New Roman" w:cs="Times New Roman"/>
                        </w:rPr>
                      </w:pPr>
                      <w:r w:rsidRPr="00F82299">
                        <w:rPr>
                          <w:rFonts w:ascii="Times New Roman" w:hAnsi="Times New Roman" w:cs="Times New Roman"/>
                        </w:rPr>
                        <w:t>Forest and wildlife departments in East Africa (e.g., in Ethiopia and Kenya), engage in benefit-sharing activities around protected area buffer zones. Kenya Wildlife Service’s revenue sharing policy is typical, using a Wildlife Development Fund as a mechanism to distribute some of the revenues earned from protected areas to local communities (from entrance fees). A significant amount of money was spent on community-related activities in protected area buffers zones, including water, education, health, livestock and enterprise development as well as the provision of famine relief.</w:t>
                      </w:r>
                    </w:p>
                  </w:txbxContent>
                </v:textbox>
                <w10:anchorlock/>
              </v:rect>
            </w:pict>
          </mc:Fallback>
        </mc:AlternateContent>
      </w:r>
    </w:p>
    <w:p w14:paraId="29D58614" w14:textId="77777777" w:rsidR="009F0016" w:rsidRPr="009B0448" w:rsidRDefault="009F0016" w:rsidP="009F0016">
      <w:pPr>
        <w:spacing w:line="276" w:lineRule="auto"/>
        <w:jc w:val="both"/>
        <w:rPr>
          <w:rFonts w:ascii="Times New Roman" w:hAnsi="Times New Roman" w:cs="Times New Roman"/>
        </w:rPr>
      </w:pPr>
    </w:p>
    <w:p w14:paraId="09A869F3"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Other instruments such as subsidies, tradable permits, eco-labelling, liability and compensation schemes are incentive-based and include pricing mechanisms to stimulate biodiversity conservation and enhance the provision of ecosystem services. They can target both consumption side and production side actors and stakeholders (Box 6.17). </w:t>
      </w:r>
    </w:p>
    <w:p w14:paraId="7F857737" w14:textId="77777777" w:rsidR="009F0016" w:rsidRPr="009B0448" w:rsidRDefault="009F0016" w:rsidP="009F0016">
      <w:pPr>
        <w:spacing w:line="276" w:lineRule="auto"/>
        <w:jc w:val="both"/>
        <w:rPr>
          <w:rFonts w:ascii="Times New Roman" w:hAnsi="Times New Roman" w:cs="Times New Roman"/>
        </w:rPr>
      </w:pPr>
    </w:p>
    <w:p w14:paraId="08735343"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44DADE19" wp14:editId="4014A88A">
                <wp:extent cx="5737860" cy="2304661"/>
                <wp:effectExtent l="0" t="0" r="15240" b="19685"/>
                <wp:docPr id="297" name="Rectangle 297"/>
                <wp:cNvGraphicFramePr/>
                <a:graphic xmlns:a="http://schemas.openxmlformats.org/drawingml/2006/main">
                  <a:graphicData uri="http://schemas.microsoft.com/office/word/2010/wordprocessingShape">
                    <wps:wsp>
                      <wps:cNvSpPr/>
                      <wps:spPr>
                        <a:xfrm>
                          <a:off x="0" y="0"/>
                          <a:ext cx="5737860" cy="2304661"/>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5199DA68" w14:textId="44BDF1E0" w:rsidR="00BC0CFA" w:rsidRDefault="00BC0CFA" w:rsidP="007F251D">
                            <w:pPr>
                              <w:spacing w:line="276" w:lineRule="auto"/>
                              <w:jc w:val="both"/>
                              <w:textDirection w:val="btLr"/>
                              <w:rPr>
                                <w:rFonts w:ascii="Times New Roman" w:hAnsi="Times New Roman" w:cs="Times New Roman"/>
                              </w:rPr>
                            </w:pPr>
                            <w:r w:rsidRPr="00F82299">
                              <w:rPr>
                                <w:rFonts w:ascii="Times New Roman" w:hAnsi="Times New Roman" w:cs="Times New Roman"/>
                                <w:b/>
                              </w:rPr>
                              <w:t xml:space="preserve">Box 6.17: </w:t>
                            </w:r>
                            <w:r w:rsidRPr="004B3FBD">
                              <w:rPr>
                                <w:rFonts w:ascii="Times New Roman" w:hAnsi="Times New Roman" w:cs="Times New Roman"/>
                                <w:b/>
                              </w:rPr>
                              <w:t xml:space="preserve">Sustainable consumption: Managed marine protected area network, Madagascar. </w:t>
                            </w:r>
                            <w:r w:rsidRPr="004B3FBD">
                              <w:rPr>
                                <w:rFonts w:ascii="Times New Roman" w:hAnsi="Times New Roman" w:cs="Times New Roman"/>
                              </w:rPr>
                              <w:t>Source: Harris (2007).</w:t>
                            </w:r>
                          </w:p>
                          <w:p w14:paraId="73F1D2C3" w14:textId="77777777" w:rsidR="00BC0CFA" w:rsidRPr="00F82299" w:rsidRDefault="00BC0CFA" w:rsidP="007F251D">
                            <w:pPr>
                              <w:spacing w:line="276" w:lineRule="auto"/>
                              <w:jc w:val="both"/>
                              <w:textDirection w:val="btLr"/>
                              <w:rPr>
                                <w:rFonts w:ascii="Times New Roman" w:hAnsi="Times New Roman" w:cs="Times New Roman"/>
                              </w:rPr>
                            </w:pPr>
                          </w:p>
                          <w:p w14:paraId="165CB674" w14:textId="77777777" w:rsidR="00BC0CFA" w:rsidRPr="00F82299" w:rsidRDefault="00BC0CFA" w:rsidP="007F251D">
                            <w:pPr>
                              <w:spacing w:line="276" w:lineRule="auto"/>
                              <w:jc w:val="both"/>
                              <w:textDirection w:val="btLr"/>
                              <w:rPr>
                                <w:rFonts w:ascii="Times New Roman" w:hAnsi="Times New Roman" w:cs="Times New Roman"/>
                              </w:rPr>
                            </w:pPr>
                            <w:r w:rsidRPr="00F82299">
                              <w:rPr>
                                <w:rFonts w:ascii="Times New Roman" w:hAnsi="Times New Roman" w:cs="Times New Roman"/>
                              </w:rPr>
                              <w:t>In order to preserve local ecosystems and maintain traditional livelihoods and fisheries, Village leaders in the community of Andavadoaka partnered with marine conservationists to develop sustainable harvesting of octopus so as to protect local ecosystems and maintain traditional livelihoods. A plan was developed using both modern scientific methods and traditional ecological knowledge. This led to the seasonal bans on octopus harvesting and the establishment of marine protected areas that also include no-take zones. This initiative has resulted in increased number and size of the octopus caught. The project has been scaled-up to include twelve other communities to create a marine protected area network. The community is also engaged in eco-tourism activities for extra income.</w:t>
                            </w:r>
                          </w:p>
                        </w:txbxContent>
                      </wps:txbx>
                      <wps:bodyPr lIns="91425" tIns="45700" rIns="91425" bIns="45700" anchor="t" anchorCtr="0"/>
                    </wps:wsp>
                  </a:graphicData>
                </a:graphic>
              </wp:inline>
            </w:drawing>
          </mc:Choice>
          <mc:Fallback>
            <w:pict>
              <v:rect w14:anchorId="44DADE19" id="Rectangle 297" o:spid="_x0000_s1055" style="width:451.8pt;height:18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" fillcolor="#f2f2f2 [3052]">
                <v:textbox inset="2.53958mm,1.2694mm,2.53958mm,1.2694mm">
                  <w:txbxContent>
                    <w:p w14:paraId="5199DA68" w14:textId="44BDF1E0" w:rsidR="00BC0CFA" w:rsidRDefault="00BC0CFA" w:rsidP="007F251D">
                      <w:pPr>
                        <w:spacing w:line="276" w:lineRule="auto"/>
                        <w:jc w:val="both"/>
                        <w:textDirection w:val="btLr"/>
                        <w:rPr>
                          <w:rFonts w:ascii="Times New Roman" w:hAnsi="Times New Roman" w:cs="Times New Roman"/>
                        </w:rPr>
                      </w:pPr>
                      <w:r w:rsidRPr="00F82299">
                        <w:rPr>
                          <w:rFonts w:ascii="Times New Roman" w:hAnsi="Times New Roman" w:cs="Times New Roman"/>
                          <w:b/>
                        </w:rPr>
                        <w:t xml:space="preserve">Box 6.17: </w:t>
                      </w:r>
                      <w:r w:rsidRPr="004B3FBD">
                        <w:rPr>
                          <w:rFonts w:ascii="Times New Roman" w:hAnsi="Times New Roman" w:cs="Times New Roman"/>
                          <w:b/>
                        </w:rPr>
                        <w:t xml:space="preserve">Sustainable consumption: Managed marine protected area network, Madagascar. </w:t>
                      </w:r>
                      <w:r w:rsidRPr="004B3FBD">
                        <w:rPr>
                          <w:rFonts w:ascii="Times New Roman" w:hAnsi="Times New Roman" w:cs="Times New Roman"/>
                        </w:rPr>
                        <w:t>Source: Harris (2007).</w:t>
                      </w:r>
                    </w:p>
                    <w:p w14:paraId="73F1D2C3" w14:textId="77777777" w:rsidR="00BC0CFA" w:rsidRPr="00F82299" w:rsidRDefault="00BC0CFA" w:rsidP="007F251D">
                      <w:pPr>
                        <w:spacing w:line="276" w:lineRule="auto"/>
                        <w:jc w:val="both"/>
                        <w:textDirection w:val="btLr"/>
                        <w:rPr>
                          <w:rFonts w:ascii="Times New Roman" w:hAnsi="Times New Roman" w:cs="Times New Roman"/>
                        </w:rPr>
                      </w:pPr>
                    </w:p>
                    <w:p w14:paraId="165CB674" w14:textId="77777777" w:rsidR="00BC0CFA" w:rsidRPr="00F82299" w:rsidRDefault="00BC0CFA" w:rsidP="007F251D">
                      <w:pPr>
                        <w:spacing w:line="276" w:lineRule="auto"/>
                        <w:jc w:val="both"/>
                        <w:textDirection w:val="btLr"/>
                        <w:rPr>
                          <w:rFonts w:ascii="Times New Roman" w:hAnsi="Times New Roman" w:cs="Times New Roman"/>
                        </w:rPr>
                      </w:pPr>
                      <w:r w:rsidRPr="00F82299">
                        <w:rPr>
                          <w:rFonts w:ascii="Times New Roman" w:hAnsi="Times New Roman" w:cs="Times New Roman"/>
                        </w:rPr>
                        <w:t>In order to preserve local ecosystems and maintain traditional livelihoods and fisheries, Village leaders in the community of Andavadoaka partnered with marine conservationists to develop sustainable harvesting of octopus so as to protect local ecosystems and maintain traditional livelihoods. A plan was developed using both modern scientific methods and traditional ecological knowledge. This led to the seasonal bans on octopus harvesting and the establishment of marine protected areas that also include no-take zones. This initiative has resulted in increased number and size of the octopus caught. The project has been scaled-up to include twelve other communities to create a marine protected area network. The community is also engaged in eco-tourism activities for extra income.</w:t>
                      </w:r>
                    </w:p>
                  </w:txbxContent>
                </v:textbox>
                <w10:anchorlock/>
              </v:rect>
            </w:pict>
          </mc:Fallback>
        </mc:AlternateContent>
      </w:r>
    </w:p>
    <w:p w14:paraId="096A4BE3" w14:textId="77777777" w:rsidR="009F0016" w:rsidRPr="009B0448" w:rsidRDefault="009F0016" w:rsidP="009F0016">
      <w:pPr>
        <w:spacing w:line="276" w:lineRule="auto"/>
        <w:jc w:val="both"/>
        <w:rPr>
          <w:rFonts w:ascii="Times New Roman" w:hAnsi="Times New Roman" w:cs="Times New Roman"/>
        </w:rPr>
      </w:pPr>
    </w:p>
    <w:p w14:paraId="07A04878" w14:textId="7F31B3DD"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Mainstreaming biodiversity into production and consumption practices can be assisted through the participation of relevant stakeholders in the development and review of guidelines for sustainable management (GEF </w:t>
      </w:r>
      <w:r w:rsidR="000429F8" w:rsidRPr="009B0448">
        <w:rPr>
          <w:rFonts w:ascii="Times New Roman" w:hAnsi="Times New Roman" w:cs="Times New Roman"/>
          <w:i/>
        </w:rPr>
        <w:t>et al.</w:t>
      </w:r>
      <w:r w:rsidRPr="009B0448">
        <w:rPr>
          <w:rFonts w:ascii="Times New Roman" w:hAnsi="Times New Roman" w:cs="Times New Roman"/>
        </w:rPr>
        <w:t xml:space="preserve">, 2007). Such guidelines can include standards, codes and good practices to support sustainable resource management. The African Ministerial Conference on the Environment launched the African 10-Year Framework of Programmes on sustainable consumption and production to assist African countries to achieve sustainable consumption and production. One of the key initiatives launched by the </w:t>
      </w:r>
      <w:r w:rsidR="007F251D" w:rsidRPr="009B0448">
        <w:rPr>
          <w:rFonts w:ascii="Times New Roman" w:hAnsi="Times New Roman" w:cs="Times New Roman"/>
        </w:rPr>
        <w:t xml:space="preserve">10-Year Framework of Programmes </w:t>
      </w:r>
      <w:r w:rsidRPr="009B0448">
        <w:rPr>
          <w:rFonts w:ascii="Times New Roman" w:hAnsi="Times New Roman" w:cs="Times New Roman"/>
        </w:rPr>
        <w:t xml:space="preserve">is the African Eco-labelling Mechanism. In addition, National Cleaner Production Centres have been established in countries such as Cape Verde, Egypt, Kenya, Ethiopia, Ghana and Morocco amongst others. These centres are responsible for capacity building, demonstrating the economic and environmental benefits of sustainable consumption and production and promoting new business opportunities (UNEP-WCMC, 2016). Box 6.18 showcases involvement with the private sector. </w:t>
      </w:r>
    </w:p>
    <w:p w14:paraId="3C75153E" w14:textId="77777777" w:rsidR="009F0016" w:rsidRPr="009B0448" w:rsidRDefault="009F0016" w:rsidP="009F0016">
      <w:pPr>
        <w:spacing w:line="276" w:lineRule="auto"/>
        <w:jc w:val="both"/>
        <w:rPr>
          <w:rFonts w:ascii="Times New Roman" w:hAnsi="Times New Roman" w:cs="Times New Roman"/>
        </w:rPr>
      </w:pPr>
    </w:p>
    <w:p w14:paraId="0F99A369"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2F5D4BB5" wp14:editId="72E3044F">
                <wp:extent cx="5727700" cy="2705878"/>
                <wp:effectExtent l="0" t="0" r="25400" b="18415"/>
                <wp:docPr id="36" name="Rectangle 36"/>
                <wp:cNvGraphicFramePr/>
                <a:graphic xmlns:a="http://schemas.openxmlformats.org/drawingml/2006/main">
                  <a:graphicData uri="http://schemas.microsoft.com/office/word/2010/wordprocessingShape">
                    <wps:wsp>
                      <wps:cNvSpPr/>
                      <wps:spPr>
                        <a:xfrm>
                          <a:off x="0" y="0"/>
                          <a:ext cx="5727700" cy="2705878"/>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38F9D352" w14:textId="4592E094" w:rsidR="00BC0CFA" w:rsidRDefault="00BC0CFA" w:rsidP="007F251D">
                            <w:pPr>
                              <w:spacing w:line="276" w:lineRule="auto"/>
                              <w:jc w:val="both"/>
                              <w:textDirection w:val="btLr"/>
                              <w:rPr>
                                <w:rFonts w:ascii="Times New Roman" w:hAnsi="Times New Roman" w:cs="Times New Roman"/>
                              </w:rPr>
                            </w:pPr>
                            <w:r w:rsidRPr="00F82299">
                              <w:rPr>
                                <w:rFonts w:ascii="Times New Roman" w:hAnsi="Times New Roman" w:cs="Times New Roman"/>
                                <w:b/>
                              </w:rPr>
                              <w:t>Box 6.18: Engagement with private sector in South Africa</w:t>
                            </w:r>
                            <w:r>
                              <w:rPr>
                                <w:rFonts w:ascii="Times New Roman" w:hAnsi="Times New Roman" w:cs="Times New Roman"/>
                                <w:b/>
                              </w:rPr>
                              <w:t>.</w:t>
                            </w:r>
                            <w:r w:rsidRPr="00F82299">
                              <w:rPr>
                                <w:rFonts w:ascii="Times New Roman" w:hAnsi="Times New Roman" w:cs="Times New Roman"/>
                                <w:b/>
                              </w:rPr>
                              <w:t xml:space="preserve"> </w:t>
                            </w:r>
                            <w:r>
                              <w:rPr>
                                <w:rFonts w:ascii="Times New Roman" w:hAnsi="Times New Roman" w:cs="Times New Roman"/>
                              </w:rPr>
                              <w:t xml:space="preserve">Source: </w:t>
                            </w:r>
                            <w:r w:rsidRPr="00F82299">
                              <w:rPr>
                                <w:rFonts w:ascii="Times New Roman" w:hAnsi="Times New Roman" w:cs="Times New Roman"/>
                              </w:rPr>
                              <w:t xml:space="preserve">IIED </w:t>
                            </w:r>
                            <w:r w:rsidRPr="000429F8">
                              <w:rPr>
                                <w:rFonts w:ascii="Times New Roman" w:hAnsi="Times New Roman" w:cs="Times New Roman"/>
                                <w:i/>
                              </w:rPr>
                              <w:t>et al.</w:t>
                            </w:r>
                            <w:r w:rsidRPr="00F82299">
                              <w:rPr>
                                <w:rFonts w:ascii="Times New Roman" w:hAnsi="Times New Roman" w:cs="Times New Roman"/>
                              </w:rPr>
                              <w:t xml:space="preserve"> </w:t>
                            </w:r>
                            <w:r>
                              <w:rPr>
                                <w:rFonts w:ascii="Times New Roman" w:hAnsi="Times New Roman" w:cs="Times New Roman"/>
                              </w:rPr>
                              <w:t>(</w:t>
                            </w:r>
                            <w:r w:rsidRPr="00F82299">
                              <w:rPr>
                                <w:rFonts w:ascii="Times New Roman" w:hAnsi="Times New Roman" w:cs="Times New Roman"/>
                              </w:rPr>
                              <w:t>2015)</w:t>
                            </w:r>
                            <w:r>
                              <w:rPr>
                                <w:rFonts w:ascii="Times New Roman" w:hAnsi="Times New Roman" w:cs="Times New Roman"/>
                              </w:rPr>
                              <w:t>.</w:t>
                            </w:r>
                          </w:p>
                          <w:p w14:paraId="24ED4509" w14:textId="77777777" w:rsidR="00BC0CFA" w:rsidRPr="00F82299" w:rsidRDefault="00BC0CFA" w:rsidP="007F251D">
                            <w:pPr>
                              <w:spacing w:line="276" w:lineRule="auto"/>
                              <w:jc w:val="both"/>
                              <w:textDirection w:val="btLr"/>
                              <w:rPr>
                                <w:rFonts w:ascii="Times New Roman" w:hAnsi="Times New Roman" w:cs="Times New Roman"/>
                              </w:rPr>
                            </w:pPr>
                          </w:p>
                          <w:p w14:paraId="632CB426" w14:textId="41243B0B" w:rsidR="00BC0CFA" w:rsidRPr="00F82299" w:rsidRDefault="00BC0CFA" w:rsidP="007F251D">
                            <w:pPr>
                              <w:spacing w:line="276" w:lineRule="auto"/>
                              <w:jc w:val="both"/>
                              <w:textDirection w:val="btLr"/>
                              <w:rPr>
                                <w:rFonts w:ascii="Times New Roman" w:hAnsi="Times New Roman" w:cs="Times New Roman"/>
                              </w:rPr>
                            </w:pPr>
                            <w:r w:rsidRPr="00F82299">
                              <w:rPr>
                                <w:rFonts w:ascii="Times New Roman" w:hAnsi="Times New Roman" w:cs="Times New Roman"/>
                              </w:rPr>
                              <w:t xml:space="preserve">Biodiversity and mining, </w:t>
                            </w:r>
                            <w:r>
                              <w:rPr>
                                <w:rFonts w:ascii="Times New Roman" w:hAnsi="Times New Roman" w:cs="Times New Roman"/>
                              </w:rPr>
                              <w:t>is</w:t>
                            </w:r>
                            <w:r w:rsidRPr="00F82299">
                              <w:rPr>
                                <w:rFonts w:ascii="Times New Roman" w:hAnsi="Times New Roman" w:cs="Times New Roman"/>
                              </w:rPr>
                              <w:t xml:space="preserve"> important to South Africa’s economy, </w:t>
                            </w:r>
                            <w:r>
                              <w:rPr>
                                <w:rFonts w:ascii="Times New Roman" w:hAnsi="Times New Roman" w:cs="Times New Roman"/>
                              </w:rPr>
                              <w:t>resulting</w:t>
                            </w:r>
                            <w:r w:rsidRPr="00F82299">
                              <w:rPr>
                                <w:rFonts w:ascii="Times New Roman" w:hAnsi="Times New Roman" w:cs="Times New Roman"/>
                              </w:rPr>
                              <w:t xml:space="preserve"> in controversies between mining companies and civil society groups. This led to a joint initiative by the conflicting groups and the government to establish mutually agreed solutions. The South African Mining and Biodiversity Forum brought together industry, civil society, government and academic representatives to discuss the generation of a set of guidelines for the management of biodiversity and mining activities. Consensus</w:t>
                            </w:r>
                            <w:r>
                              <w:rPr>
                                <w:rFonts w:ascii="Times New Roman" w:hAnsi="Times New Roman" w:cs="Times New Roman"/>
                              </w:rPr>
                              <w:t>-</w:t>
                            </w:r>
                            <w:r w:rsidRPr="00F82299">
                              <w:rPr>
                                <w:rFonts w:ascii="Times New Roman" w:hAnsi="Times New Roman" w:cs="Times New Roman"/>
                              </w:rPr>
                              <w:t xml:space="preserve">based and voluntary guidelines were preferred to regulation. The guidelines were framed to create an understanding of the ecological needs the mining companies while acknowledging existing business risks and opportunities. The guidelines were launched in May 2013 at an event attended by the Minister of Water and Environmental Affairs, the Minister of Mineral Resources, the Chamber of Mines and the and South African National Biodiversity Institute. This collaboration demonstrated a new attitude among policymakers towards the country’s shared natural assets. </w:t>
                            </w:r>
                          </w:p>
                        </w:txbxContent>
                      </wps:txbx>
                      <wps:bodyPr lIns="91425" tIns="45700" rIns="91425" bIns="45700" anchor="t" anchorCtr="0"/>
                    </wps:wsp>
                  </a:graphicData>
                </a:graphic>
              </wp:inline>
            </w:drawing>
          </mc:Choice>
          <mc:Fallback>
            <w:pict>
              <v:rect w14:anchorId="2F5D4BB5" id="Rectangle 36" o:spid="_x0000_s1056" style="width:451pt;height:21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" fillcolor="#f2f2f2 [3052]">
                <v:textbox inset="2.53958mm,1.2694mm,2.53958mm,1.2694mm">
                  <w:txbxContent>
                    <w:p w14:paraId="38F9D352" w14:textId="4592E094" w:rsidR="00BC0CFA" w:rsidRDefault="00BC0CFA" w:rsidP="007F251D">
                      <w:pPr>
                        <w:spacing w:line="276" w:lineRule="auto"/>
                        <w:jc w:val="both"/>
                        <w:textDirection w:val="btLr"/>
                        <w:rPr>
                          <w:rFonts w:ascii="Times New Roman" w:hAnsi="Times New Roman" w:cs="Times New Roman"/>
                        </w:rPr>
                      </w:pPr>
                      <w:r w:rsidRPr="00F82299">
                        <w:rPr>
                          <w:rFonts w:ascii="Times New Roman" w:hAnsi="Times New Roman" w:cs="Times New Roman"/>
                          <w:b/>
                        </w:rPr>
                        <w:t>Box 6.18: Engagement with private sector in South Africa</w:t>
                      </w:r>
                      <w:r>
                        <w:rPr>
                          <w:rFonts w:ascii="Times New Roman" w:hAnsi="Times New Roman" w:cs="Times New Roman"/>
                          <w:b/>
                        </w:rPr>
                        <w:t>.</w:t>
                      </w:r>
                      <w:r w:rsidRPr="00F82299">
                        <w:rPr>
                          <w:rFonts w:ascii="Times New Roman" w:hAnsi="Times New Roman" w:cs="Times New Roman"/>
                          <w:b/>
                        </w:rPr>
                        <w:t xml:space="preserve"> </w:t>
                      </w:r>
                      <w:r>
                        <w:rPr>
                          <w:rFonts w:ascii="Times New Roman" w:hAnsi="Times New Roman" w:cs="Times New Roman"/>
                        </w:rPr>
                        <w:t xml:space="preserve">Source: </w:t>
                      </w:r>
                      <w:r w:rsidRPr="00F82299">
                        <w:rPr>
                          <w:rFonts w:ascii="Times New Roman" w:hAnsi="Times New Roman" w:cs="Times New Roman"/>
                        </w:rPr>
                        <w:t xml:space="preserve">IIED </w:t>
                      </w:r>
                      <w:r w:rsidRPr="000429F8">
                        <w:rPr>
                          <w:rFonts w:ascii="Times New Roman" w:hAnsi="Times New Roman" w:cs="Times New Roman"/>
                          <w:i/>
                        </w:rPr>
                        <w:t>et al.</w:t>
                      </w:r>
                      <w:r w:rsidRPr="00F82299">
                        <w:rPr>
                          <w:rFonts w:ascii="Times New Roman" w:hAnsi="Times New Roman" w:cs="Times New Roman"/>
                        </w:rPr>
                        <w:t xml:space="preserve"> </w:t>
                      </w:r>
                      <w:r>
                        <w:rPr>
                          <w:rFonts w:ascii="Times New Roman" w:hAnsi="Times New Roman" w:cs="Times New Roman"/>
                        </w:rPr>
                        <w:t>(</w:t>
                      </w:r>
                      <w:r w:rsidRPr="00F82299">
                        <w:rPr>
                          <w:rFonts w:ascii="Times New Roman" w:hAnsi="Times New Roman" w:cs="Times New Roman"/>
                        </w:rPr>
                        <w:t>2015)</w:t>
                      </w:r>
                      <w:r>
                        <w:rPr>
                          <w:rFonts w:ascii="Times New Roman" w:hAnsi="Times New Roman" w:cs="Times New Roman"/>
                        </w:rPr>
                        <w:t>.</w:t>
                      </w:r>
                    </w:p>
                    <w:p w14:paraId="24ED4509" w14:textId="77777777" w:rsidR="00BC0CFA" w:rsidRPr="00F82299" w:rsidRDefault="00BC0CFA" w:rsidP="007F251D">
                      <w:pPr>
                        <w:spacing w:line="276" w:lineRule="auto"/>
                        <w:jc w:val="both"/>
                        <w:textDirection w:val="btLr"/>
                        <w:rPr>
                          <w:rFonts w:ascii="Times New Roman" w:hAnsi="Times New Roman" w:cs="Times New Roman"/>
                        </w:rPr>
                      </w:pPr>
                    </w:p>
                    <w:p w14:paraId="632CB426" w14:textId="41243B0B" w:rsidR="00BC0CFA" w:rsidRPr="00F82299" w:rsidRDefault="00BC0CFA" w:rsidP="007F251D">
                      <w:pPr>
                        <w:spacing w:line="276" w:lineRule="auto"/>
                        <w:jc w:val="both"/>
                        <w:textDirection w:val="btLr"/>
                        <w:rPr>
                          <w:rFonts w:ascii="Times New Roman" w:hAnsi="Times New Roman" w:cs="Times New Roman"/>
                        </w:rPr>
                      </w:pPr>
                      <w:r w:rsidRPr="00F82299">
                        <w:rPr>
                          <w:rFonts w:ascii="Times New Roman" w:hAnsi="Times New Roman" w:cs="Times New Roman"/>
                        </w:rPr>
                        <w:t xml:space="preserve">Biodiversity and mining, </w:t>
                      </w:r>
                      <w:r>
                        <w:rPr>
                          <w:rFonts w:ascii="Times New Roman" w:hAnsi="Times New Roman" w:cs="Times New Roman"/>
                        </w:rPr>
                        <w:t>is</w:t>
                      </w:r>
                      <w:r w:rsidRPr="00F82299">
                        <w:rPr>
                          <w:rFonts w:ascii="Times New Roman" w:hAnsi="Times New Roman" w:cs="Times New Roman"/>
                        </w:rPr>
                        <w:t xml:space="preserve"> important to South Africa’s economy, </w:t>
                      </w:r>
                      <w:r>
                        <w:rPr>
                          <w:rFonts w:ascii="Times New Roman" w:hAnsi="Times New Roman" w:cs="Times New Roman"/>
                        </w:rPr>
                        <w:t>resulting</w:t>
                      </w:r>
                      <w:r w:rsidRPr="00F82299">
                        <w:rPr>
                          <w:rFonts w:ascii="Times New Roman" w:hAnsi="Times New Roman" w:cs="Times New Roman"/>
                        </w:rPr>
                        <w:t xml:space="preserve"> in controversies between mining companies and civil society groups. This led to a joint initiative by the conflicting groups and the government to establish mutually agreed solutions. The South African Mining and Biodiversity Forum brought together industry, civil society, government and academic representatives to discuss the generation of a set of guidelines for the management of biodiversity and mining activities. Consensus</w:t>
                      </w:r>
                      <w:r>
                        <w:rPr>
                          <w:rFonts w:ascii="Times New Roman" w:hAnsi="Times New Roman" w:cs="Times New Roman"/>
                        </w:rPr>
                        <w:t>-</w:t>
                      </w:r>
                      <w:r w:rsidRPr="00F82299">
                        <w:rPr>
                          <w:rFonts w:ascii="Times New Roman" w:hAnsi="Times New Roman" w:cs="Times New Roman"/>
                        </w:rPr>
                        <w:t xml:space="preserve">based and voluntary guidelines were preferred to regulation. The guidelines were framed to create an understanding of the ecological needs the mining companies while acknowledging existing business risks and opportunities. The guidelines were launched in May 2013 at an event attended by the Minister of Water and Environmental Affairs, the Minister of Mineral Resources, the Chamber of Mines and the and South African National Biodiversity Institute. This collaboration demonstrated a new attitude among policymakers towards the country’s shared natural assets. </w:t>
                      </w:r>
                    </w:p>
                  </w:txbxContent>
                </v:textbox>
                <w10:anchorlock/>
              </v:rect>
            </w:pict>
          </mc:Fallback>
        </mc:AlternateContent>
      </w:r>
    </w:p>
    <w:p w14:paraId="72BCB7DF" w14:textId="77777777" w:rsidR="009F0016" w:rsidRPr="009B0448" w:rsidRDefault="009F0016" w:rsidP="009F0016">
      <w:pPr>
        <w:spacing w:line="276" w:lineRule="auto"/>
        <w:jc w:val="both"/>
        <w:rPr>
          <w:rFonts w:ascii="Times New Roman" w:hAnsi="Times New Roman" w:cs="Times New Roman"/>
        </w:rPr>
      </w:pPr>
    </w:p>
    <w:p w14:paraId="764CDA8B"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Another approach of growing importance is that of geographical indications, which point to the origin of particular products and imply that they contain specific properties or characteristics (Box 6.19). Biodiversity and ecosystem service conservation benefit when these indications of geographic origin include references to practices and places where specific commodities are produced in harmony with the environment. </w:t>
      </w:r>
    </w:p>
    <w:p w14:paraId="4CE6E9BC" w14:textId="77777777" w:rsidR="009F0016" w:rsidRPr="009B0448" w:rsidRDefault="009F0016" w:rsidP="009F0016">
      <w:pPr>
        <w:spacing w:line="276" w:lineRule="auto"/>
        <w:jc w:val="both"/>
        <w:rPr>
          <w:rFonts w:ascii="Times New Roman" w:hAnsi="Times New Roman" w:cs="Times New Roman"/>
        </w:rPr>
      </w:pPr>
    </w:p>
    <w:p w14:paraId="409A79B4"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6CD9556A" wp14:editId="4C36560F">
                <wp:extent cx="5737860" cy="3275045"/>
                <wp:effectExtent l="0" t="0" r="15240" b="20955"/>
                <wp:docPr id="37" name="Rectangle 37"/>
                <wp:cNvGraphicFramePr/>
                <a:graphic xmlns:a="http://schemas.openxmlformats.org/drawingml/2006/main">
                  <a:graphicData uri="http://schemas.microsoft.com/office/word/2010/wordprocessingShape">
                    <wps:wsp>
                      <wps:cNvSpPr/>
                      <wps:spPr>
                        <a:xfrm>
                          <a:off x="0" y="0"/>
                          <a:ext cx="5737860" cy="3275045"/>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5E336B15" w14:textId="77777777" w:rsidR="00BC0CFA" w:rsidRDefault="00BC0CFA" w:rsidP="00AB1FBF">
                            <w:pPr>
                              <w:spacing w:line="276" w:lineRule="auto"/>
                              <w:jc w:val="both"/>
                              <w:textDirection w:val="btLr"/>
                              <w:rPr>
                                <w:rFonts w:ascii="Times New Roman" w:hAnsi="Times New Roman" w:cs="Times New Roman"/>
                                <w:b/>
                              </w:rPr>
                            </w:pPr>
                            <w:r w:rsidRPr="00F82299">
                              <w:rPr>
                                <w:rFonts w:ascii="Times New Roman" w:hAnsi="Times New Roman" w:cs="Times New Roman"/>
                                <w:b/>
                              </w:rPr>
                              <w:t>Box 6.19: Geographical Indications for biodiversity conservation</w:t>
                            </w:r>
                          </w:p>
                          <w:p w14:paraId="39DCF677" w14:textId="77777777" w:rsidR="00BC0CFA" w:rsidRPr="00F82299" w:rsidRDefault="00BC0CFA" w:rsidP="00AB1FBF">
                            <w:pPr>
                              <w:spacing w:line="276" w:lineRule="auto"/>
                              <w:jc w:val="both"/>
                              <w:textDirection w:val="btLr"/>
                              <w:rPr>
                                <w:rFonts w:ascii="Times New Roman" w:hAnsi="Times New Roman" w:cs="Times New Roman"/>
                                <w:b/>
                              </w:rPr>
                            </w:pPr>
                          </w:p>
                          <w:p w14:paraId="759FFBE9" w14:textId="21D27CAB" w:rsidR="00BC0CFA" w:rsidRPr="00F82299" w:rsidRDefault="00BC0CFA" w:rsidP="00AB1FBF">
                            <w:pPr>
                              <w:spacing w:line="276" w:lineRule="auto"/>
                              <w:jc w:val="both"/>
                              <w:textDirection w:val="btLr"/>
                              <w:rPr>
                                <w:rFonts w:ascii="Times New Roman" w:hAnsi="Times New Roman" w:cs="Times New Roman"/>
                              </w:rPr>
                            </w:pPr>
                            <w:r w:rsidRPr="00F82299">
                              <w:rPr>
                                <w:rFonts w:ascii="Times New Roman" w:hAnsi="Times New Roman" w:cs="Times New Roman"/>
                              </w:rPr>
                              <w:t xml:space="preserve">Systems of Geographical Indications could be used to promote conservation of biodiversity. Cormier-Salem </w:t>
                            </w:r>
                            <w:r w:rsidRPr="000429F8">
                              <w:rPr>
                                <w:rFonts w:ascii="Times New Roman" w:hAnsi="Times New Roman" w:cs="Times New Roman"/>
                                <w:i/>
                              </w:rPr>
                              <w:t>et al.</w:t>
                            </w:r>
                            <w:r w:rsidRPr="00F82299">
                              <w:rPr>
                                <w:rFonts w:ascii="Times New Roman" w:hAnsi="Times New Roman" w:cs="Times New Roman"/>
                              </w:rPr>
                              <w:t xml:space="preserve"> (2010) assert that it has been used as a response to the problem of resolving both biodiversity erosion and local poverty, notably in countries such as in Senegal and Guinea Bissau. Though market-based incentives have been invoked by expert institutions e.g. the World Bank, International Monetary Fund, FAO, there is increasing acknowledg</w:t>
                            </w:r>
                            <w:r>
                              <w:rPr>
                                <w:rFonts w:ascii="Times New Roman" w:hAnsi="Times New Roman" w:cs="Times New Roman"/>
                              </w:rPr>
                              <w:t>e</w:t>
                            </w:r>
                            <w:r w:rsidRPr="00F82299">
                              <w:rPr>
                                <w:rFonts w:ascii="Times New Roman" w:hAnsi="Times New Roman" w:cs="Times New Roman"/>
                              </w:rPr>
                              <w:t>ment by some policymakers of GI as potential policy tool to improve environmental incomes. Among these incentives, local speciality enhancement schemes are being implemented whether legal (i.e.</w:t>
                            </w:r>
                            <w:r>
                              <w:rPr>
                                <w:rFonts w:ascii="Times New Roman" w:hAnsi="Times New Roman" w:cs="Times New Roman"/>
                              </w:rPr>
                              <w:t>,</w:t>
                            </w:r>
                            <w:r w:rsidRPr="00F82299">
                              <w:rPr>
                                <w:rFonts w:ascii="Times New Roman" w:hAnsi="Times New Roman" w:cs="Times New Roman"/>
                              </w:rPr>
                              <w:t xml:space="preserve"> fights against usurping of a product’s name, counterfeiting, and the protection of intellectual property rights), commercial (i.e.</w:t>
                            </w:r>
                            <w:r>
                              <w:rPr>
                                <w:rFonts w:ascii="Times New Roman" w:hAnsi="Times New Roman" w:cs="Times New Roman"/>
                              </w:rPr>
                              <w:t>,</w:t>
                            </w:r>
                            <w:r w:rsidRPr="00F82299">
                              <w:rPr>
                                <w:rFonts w:ascii="Times New Roman" w:hAnsi="Times New Roman" w:cs="Times New Roman"/>
                              </w:rPr>
                              <w:t xml:space="preserve"> eco-labelling, product promotion and livelihood improvement), and patrimonial (i.e.</w:t>
                            </w:r>
                            <w:r>
                              <w:rPr>
                                <w:rFonts w:ascii="Times New Roman" w:hAnsi="Times New Roman" w:cs="Times New Roman"/>
                              </w:rPr>
                              <w:t>,</w:t>
                            </w:r>
                            <w:r w:rsidRPr="00F82299">
                              <w:rPr>
                                <w:rFonts w:ascii="Times New Roman" w:hAnsi="Times New Roman" w:cs="Times New Roman"/>
                              </w:rPr>
                              <w:t xml:space="preserve"> conservation of the various levels of biodiversity e.g. genes, animal species and vegetal varieties, ecosystems and landscapes, traditions and know-how). In general, however, these tools need to be applied cautiously and properly adapted to the needs of African nations. Countries could learn from the experiences of the South African wine industry (see Cormier-Salem, 1999; Barjolle et al, 2002; Jasanoff </w:t>
                            </w:r>
                            <w:r w:rsidRPr="000429F8">
                              <w:rPr>
                                <w:rFonts w:ascii="Times New Roman" w:hAnsi="Times New Roman" w:cs="Times New Roman"/>
                                <w:i/>
                              </w:rPr>
                              <w:t>et al.</w:t>
                            </w:r>
                            <w:r w:rsidRPr="00F82299">
                              <w:rPr>
                                <w:rFonts w:ascii="Times New Roman" w:hAnsi="Times New Roman" w:cs="Times New Roman"/>
                              </w:rPr>
                              <w:t xml:space="preserve">, 2004; Roussel et al, 2007; Muchnik </w:t>
                            </w:r>
                            <w:r w:rsidRPr="000429F8">
                              <w:rPr>
                                <w:rFonts w:ascii="Times New Roman" w:hAnsi="Times New Roman" w:cs="Times New Roman"/>
                                <w:i/>
                              </w:rPr>
                              <w:t>et al.</w:t>
                            </w:r>
                            <w:r w:rsidRPr="00F82299">
                              <w:rPr>
                                <w:rFonts w:ascii="Times New Roman" w:hAnsi="Times New Roman" w:cs="Times New Roman"/>
                              </w:rPr>
                              <w:t xml:space="preserve">, 2008; Cormier-Salem </w:t>
                            </w:r>
                            <w:r w:rsidRPr="000429F8">
                              <w:rPr>
                                <w:rFonts w:ascii="Times New Roman" w:hAnsi="Times New Roman" w:cs="Times New Roman"/>
                                <w:i/>
                              </w:rPr>
                              <w:t>et al.</w:t>
                            </w:r>
                            <w:r w:rsidRPr="00F82299">
                              <w:rPr>
                                <w:rFonts w:ascii="Times New Roman" w:hAnsi="Times New Roman" w:cs="Times New Roman"/>
                              </w:rPr>
                              <w:t>, 2010).</w:t>
                            </w:r>
                          </w:p>
                        </w:txbxContent>
                      </wps:txbx>
                      <wps:bodyPr wrap="square" lIns="91425" tIns="45700" rIns="91425" bIns="45700" anchor="t" anchorCtr="0">
                        <a:noAutofit/>
                      </wps:bodyPr>
                    </wps:wsp>
                  </a:graphicData>
                </a:graphic>
              </wp:inline>
            </w:drawing>
          </mc:Choice>
          <mc:Fallback>
            <w:pict>
              <v:rect w14:anchorId="6CD9556A" id="Rectangle 37" o:spid="_x0000_s1057" style="width:451.8pt;height:25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" fillcolor="#f2f2f2 [3052]">
                <v:textbox inset="2.53958mm,1.2694mm,2.53958mm,1.2694mm">
                  <w:txbxContent>
                    <w:p w14:paraId="5E336B15" w14:textId="77777777" w:rsidR="00BC0CFA" w:rsidRDefault="00BC0CFA" w:rsidP="00AB1FBF">
                      <w:pPr>
                        <w:spacing w:line="276" w:lineRule="auto"/>
                        <w:jc w:val="both"/>
                        <w:textDirection w:val="btLr"/>
                        <w:rPr>
                          <w:rFonts w:ascii="Times New Roman" w:hAnsi="Times New Roman" w:cs="Times New Roman"/>
                          <w:b/>
                        </w:rPr>
                      </w:pPr>
                      <w:r w:rsidRPr="00F82299">
                        <w:rPr>
                          <w:rFonts w:ascii="Times New Roman" w:hAnsi="Times New Roman" w:cs="Times New Roman"/>
                          <w:b/>
                        </w:rPr>
                        <w:t>Box 6.19: Geographical Indications for biodiversity conservation</w:t>
                      </w:r>
                    </w:p>
                    <w:p w14:paraId="39DCF677" w14:textId="77777777" w:rsidR="00BC0CFA" w:rsidRPr="00F82299" w:rsidRDefault="00BC0CFA" w:rsidP="00AB1FBF">
                      <w:pPr>
                        <w:spacing w:line="276" w:lineRule="auto"/>
                        <w:jc w:val="both"/>
                        <w:textDirection w:val="btLr"/>
                        <w:rPr>
                          <w:rFonts w:ascii="Times New Roman" w:hAnsi="Times New Roman" w:cs="Times New Roman"/>
                          <w:b/>
                        </w:rPr>
                      </w:pPr>
                    </w:p>
                    <w:p w14:paraId="759FFBE9" w14:textId="21D27CAB" w:rsidR="00BC0CFA" w:rsidRPr="00F82299" w:rsidRDefault="00BC0CFA" w:rsidP="00AB1FBF">
                      <w:pPr>
                        <w:spacing w:line="276" w:lineRule="auto"/>
                        <w:jc w:val="both"/>
                        <w:textDirection w:val="btLr"/>
                        <w:rPr>
                          <w:rFonts w:ascii="Times New Roman" w:hAnsi="Times New Roman" w:cs="Times New Roman"/>
                        </w:rPr>
                      </w:pPr>
                      <w:r w:rsidRPr="00F82299">
                        <w:rPr>
                          <w:rFonts w:ascii="Times New Roman" w:hAnsi="Times New Roman" w:cs="Times New Roman"/>
                        </w:rPr>
                        <w:t xml:space="preserve">Systems of Geographical Indications could be used to promote conservation of biodiversity. Cormier-Salem </w:t>
                      </w:r>
                      <w:r w:rsidRPr="000429F8">
                        <w:rPr>
                          <w:rFonts w:ascii="Times New Roman" w:hAnsi="Times New Roman" w:cs="Times New Roman"/>
                          <w:i/>
                        </w:rPr>
                        <w:t>et al.</w:t>
                      </w:r>
                      <w:r w:rsidRPr="00F82299">
                        <w:rPr>
                          <w:rFonts w:ascii="Times New Roman" w:hAnsi="Times New Roman" w:cs="Times New Roman"/>
                        </w:rPr>
                        <w:t xml:space="preserve"> (2010) assert that it has been used as a response to the problem of resolving both biodiversity erosion and local poverty, notably in countries such as in Senegal and Guinea Bissau. Though market-based incentives have been invoked by expert institutions e.g. the World Bank, International Monetary Fund, FAO, there is increasing acknowledg</w:t>
                      </w:r>
                      <w:r>
                        <w:rPr>
                          <w:rFonts w:ascii="Times New Roman" w:hAnsi="Times New Roman" w:cs="Times New Roman"/>
                        </w:rPr>
                        <w:t>e</w:t>
                      </w:r>
                      <w:r w:rsidRPr="00F82299">
                        <w:rPr>
                          <w:rFonts w:ascii="Times New Roman" w:hAnsi="Times New Roman" w:cs="Times New Roman"/>
                        </w:rPr>
                        <w:t>ment by some policymakers of GI as potential policy tool to improve environmental incomes. Among these incentives, local speciality enhancement schemes are being implemented whether legal (i.e.</w:t>
                      </w:r>
                      <w:r>
                        <w:rPr>
                          <w:rFonts w:ascii="Times New Roman" w:hAnsi="Times New Roman" w:cs="Times New Roman"/>
                        </w:rPr>
                        <w:t>,</w:t>
                      </w:r>
                      <w:r w:rsidRPr="00F82299">
                        <w:rPr>
                          <w:rFonts w:ascii="Times New Roman" w:hAnsi="Times New Roman" w:cs="Times New Roman"/>
                        </w:rPr>
                        <w:t xml:space="preserve"> fights against usurping of a product’s name, counterfeiting, and the protection of intellectual property rights), commercial (i.e.</w:t>
                      </w:r>
                      <w:r>
                        <w:rPr>
                          <w:rFonts w:ascii="Times New Roman" w:hAnsi="Times New Roman" w:cs="Times New Roman"/>
                        </w:rPr>
                        <w:t>,</w:t>
                      </w:r>
                      <w:r w:rsidRPr="00F82299">
                        <w:rPr>
                          <w:rFonts w:ascii="Times New Roman" w:hAnsi="Times New Roman" w:cs="Times New Roman"/>
                        </w:rPr>
                        <w:t xml:space="preserve"> eco-labelling, product promotion and livelihood improvement), and patrimonial (i.e.</w:t>
                      </w:r>
                      <w:r>
                        <w:rPr>
                          <w:rFonts w:ascii="Times New Roman" w:hAnsi="Times New Roman" w:cs="Times New Roman"/>
                        </w:rPr>
                        <w:t>,</w:t>
                      </w:r>
                      <w:r w:rsidRPr="00F82299">
                        <w:rPr>
                          <w:rFonts w:ascii="Times New Roman" w:hAnsi="Times New Roman" w:cs="Times New Roman"/>
                        </w:rPr>
                        <w:t xml:space="preserve"> conservation of the various levels of biodiversity e.g. genes, animal species and vegetal varieties, ecosystems and landscapes, traditions and know-how). In general, however, these tools need to be applied cautiously and properly adapted to the needs of African nations. Countries could learn from the experiences of the South African wine industry (see Cormier-Salem, 1999; Barjolle et al, 2002; Jasanoff </w:t>
                      </w:r>
                      <w:r w:rsidRPr="000429F8">
                        <w:rPr>
                          <w:rFonts w:ascii="Times New Roman" w:hAnsi="Times New Roman" w:cs="Times New Roman"/>
                          <w:i/>
                        </w:rPr>
                        <w:t>et al.</w:t>
                      </w:r>
                      <w:r w:rsidRPr="00F82299">
                        <w:rPr>
                          <w:rFonts w:ascii="Times New Roman" w:hAnsi="Times New Roman" w:cs="Times New Roman"/>
                        </w:rPr>
                        <w:t xml:space="preserve">, 2004; Roussel et al, 2007; Muchnik </w:t>
                      </w:r>
                      <w:r w:rsidRPr="000429F8">
                        <w:rPr>
                          <w:rFonts w:ascii="Times New Roman" w:hAnsi="Times New Roman" w:cs="Times New Roman"/>
                          <w:i/>
                        </w:rPr>
                        <w:t>et al.</w:t>
                      </w:r>
                      <w:r w:rsidRPr="00F82299">
                        <w:rPr>
                          <w:rFonts w:ascii="Times New Roman" w:hAnsi="Times New Roman" w:cs="Times New Roman"/>
                        </w:rPr>
                        <w:t xml:space="preserve">, 2008; Cormier-Salem </w:t>
                      </w:r>
                      <w:r w:rsidRPr="000429F8">
                        <w:rPr>
                          <w:rFonts w:ascii="Times New Roman" w:hAnsi="Times New Roman" w:cs="Times New Roman"/>
                          <w:i/>
                        </w:rPr>
                        <w:t>et al.</w:t>
                      </w:r>
                      <w:r w:rsidRPr="00F82299">
                        <w:rPr>
                          <w:rFonts w:ascii="Times New Roman" w:hAnsi="Times New Roman" w:cs="Times New Roman"/>
                        </w:rPr>
                        <w:t>, 2010).</w:t>
                      </w:r>
                    </w:p>
                  </w:txbxContent>
                </v:textbox>
                <w10:anchorlock/>
              </v:rect>
            </w:pict>
          </mc:Fallback>
        </mc:AlternateContent>
      </w:r>
    </w:p>
    <w:p w14:paraId="51A1B7B9" w14:textId="77777777" w:rsidR="009F0016" w:rsidRPr="009B0448" w:rsidRDefault="009F0016" w:rsidP="009F0016">
      <w:pPr>
        <w:spacing w:line="276" w:lineRule="auto"/>
        <w:jc w:val="both"/>
        <w:rPr>
          <w:rFonts w:ascii="Times New Roman" w:hAnsi="Times New Roman" w:cs="Times New Roman"/>
        </w:rPr>
      </w:pPr>
    </w:p>
    <w:p w14:paraId="6DC24E00"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For most sub-Saharan African countries, decentralisation policy is accompanied by a transfer of competences on the management of natural resources and the environment giving greater responsibility and power to local institutions. In Senegal, for example, local and regional authorities have been given the power to deliberate and recover the duties and taxes associated with the environment. This proximity management creates partnerships between local authorities and the private sector, which is now investing in conservation and human welfare. The strengthening of decentralisation stems from the political will to improve governance. Such political will has as its corollary the recognition of customary or traditional norms that more effectively protect wood, endangered species and forests, community heritage areas and other natural resources. Further information on the use of economic policy instruments to manage environmental degradation in Senegal is shown in Box 6.20. </w:t>
      </w:r>
    </w:p>
    <w:p w14:paraId="441219A9" w14:textId="77777777" w:rsidR="009F0016" w:rsidRPr="009B0448" w:rsidRDefault="009F0016" w:rsidP="009F0016">
      <w:pPr>
        <w:spacing w:line="276" w:lineRule="auto"/>
        <w:jc w:val="both"/>
        <w:rPr>
          <w:rFonts w:ascii="Times New Roman" w:hAnsi="Times New Roman" w:cs="Times New Roman"/>
        </w:rPr>
      </w:pPr>
    </w:p>
    <w:p w14:paraId="2C8ECD3C"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12241FA0" wp14:editId="079CE497">
                <wp:extent cx="5737860" cy="2556588"/>
                <wp:effectExtent l="0" t="0" r="15240" b="15240"/>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2556588"/>
                        </a:xfrm>
                        <a:prstGeom prst="rect">
                          <a:avLst/>
                        </a:prstGeom>
                        <a:solidFill>
                          <a:schemeClr val="bg1">
                            <a:lumMod val="95000"/>
                          </a:schemeClr>
                        </a:solidFill>
                        <a:ln w="9525">
                          <a:solidFill>
                            <a:srgbClr val="000000"/>
                          </a:solidFill>
                          <a:miter lim="800000"/>
                          <a:headEnd/>
                          <a:tailEnd/>
                        </a:ln>
                      </wps:spPr>
                      <wps:txbx>
                        <w:txbxContent>
                          <w:p w14:paraId="55396032" w14:textId="77777777" w:rsidR="00BC0CFA" w:rsidRDefault="00BC0CFA" w:rsidP="007F251D">
                            <w:pPr>
                              <w:spacing w:line="276" w:lineRule="auto"/>
                              <w:jc w:val="both"/>
                              <w:rPr>
                                <w:rFonts w:ascii="Times New Roman" w:hAnsi="Times New Roman" w:cs="Times New Roman"/>
                                <w:b/>
                              </w:rPr>
                            </w:pPr>
                            <w:r w:rsidRPr="00F82299">
                              <w:rPr>
                                <w:rFonts w:ascii="Times New Roman" w:hAnsi="Times New Roman" w:cs="Times New Roman"/>
                                <w:b/>
                              </w:rPr>
                              <w:t>Box 6.20: Policy instruments to manage environmental degradation in Senegal</w:t>
                            </w:r>
                          </w:p>
                          <w:p w14:paraId="28FA2F3A" w14:textId="77777777" w:rsidR="00BC0CFA" w:rsidRPr="00F82299" w:rsidRDefault="00BC0CFA" w:rsidP="007F251D">
                            <w:pPr>
                              <w:spacing w:line="276" w:lineRule="auto"/>
                              <w:jc w:val="both"/>
                              <w:rPr>
                                <w:rFonts w:ascii="Times New Roman" w:hAnsi="Times New Roman" w:cs="Times New Roman"/>
                                <w:b/>
                              </w:rPr>
                            </w:pPr>
                          </w:p>
                          <w:p w14:paraId="608C4092" w14:textId="4AFE9673" w:rsidR="00BC0CFA" w:rsidRPr="00F82299" w:rsidRDefault="00BC0CFA" w:rsidP="007F251D">
                            <w:pPr>
                              <w:spacing w:line="276" w:lineRule="auto"/>
                              <w:jc w:val="both"/>
                            </w:pPr>
                            <w:r w:rsidRPr="00F82299">
                              <w:rPr>
                                <w:rFonts w:ascii="Times New Roman" w:hAnsi="Times New Roman" w:cs="Times New Roman"/>
                              </w:rPr>
                              <w:t xml:space="preserve">Empowered by the decentralization process, the populations of the southern region of Senegal, for example, were the first to denounce the illegal and illicit exploitation of the forest resources of this part of the country. Most of the illegal exploiters came from The Gambia, where this activity is prohibited. The response of rural populations in Senegal reveals the need for </w:t>
                            </w:r>
                            <w:r>
                              <w:rPr>
                                <w:rFonts w:ascii="Times New Roman" w:hAnsi="Times New Roman" w:cs="Times New Roman"/>
                              </w:rPr>
                              <w:t>subregion</w:t>
                            </w:r>
                            <w:r w:rsidRPr="00F82299">
                              <w:rPr>
                                <w:rFonts w:ascii="Times New Roman" w:hAnsi="Times New Roman" w:cs="Times New Roman"/>
                              </w:rPr>
                              <w:t xml:space="preserve">al collaboration between countries. In terms of mineral resource exploitation in Senegal, the country uses a range of management tools such as quotas, licenses and permits (Bromley, 1991; Brooks </w:t>
                            </w:r>
                            <w:r w:rsidRPr="000429F8">
                              <w:rPr>
                                <w:rFonts w:ascii="Times New Roman" w:hAnsi="Times New Roman" w:cs="Times New Roman"/>
                                <w:i/>
                              </w:rPr>
                              <w:t>et al.</w:t>
                            </w:r>
                            <w:r w:rsidRPr="00F82299">
                              <w:rPr>
                                <w:rFonts w:ascii="Times New Roman" w:hAnsi="Times New Roman" w:cs="Times New Roman"/>
                              </w:rPr>
                              <w:t>, 2001), which give rise to the payment of duties and taxes, and which limit respectively the quantities, the number of users and the rights of access and use of the resource. Currently, reforms are underway with respect to subsidies granted to mining companies and on improving transparency through the involvement of the local population and civil society in order to combat corruption and the acquisition of natural resources by foreign multinational companies.</w:t>
                            </w:r>
                          </w:p>
                        </w:txbxContent>
                      </wps:txbx>
                      <wps:bodyPr rot="0" vert="horz" wrap="square" lIns="91440" tIns="45720" rIns="91440" bIns="45720" anchor="t" anchorCtr="0">
                        <a:noAutofit/>
                      </wps:bodyPr>
                    </wps:wsp>
                  </a:graphicData>
                </a:graphic>
              </wp:inline>
            </w:drawing>
          </mc:Choice>
          <mc:Fallback>
            <w:pict>
              <v:shape w14:anchorId="12241FA0" id="_x0000_s1058" type="#_x0000_t202" style="width:451.8pt;height:20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" fillcolor="#f2f2f2 [3052]">
                <v:textbox>
                  <w:txbxContent>
                    <w:p w14:paraId="55396032" w14:textId="77777777" w:rsidR="00BC0CFA" w:rsidRDefault="00BC0CFA" w:rsidP="007F251D">
                      <w:pPr>
                        <w:spacing w:line="276" w:lineRule="auto"/>
                        <w:jc w:val="both"/>
                        <w:rPr>
                          <w:rFonts w:ascii="Times New Roman" w:hAnsi="Times New Roman" w:cs="Times New Roman"/>
                          <w:b/>
                        </w:rPr>
                      </w:pPr>
                      <w:r w:rsidRPr="00F82299">
                        <w:rPr>
                          <w:rFonts w:ascii="Times New Roman" w:hAnsi="Times New Roman" w:cs="Times New Roman"/>
                          <w:b/>
                        </w:rPr>
                        <w:t>Box 6.20: Policy instruments to manage environmental degradation in Senegal</w:t>
                      </w:r>
                    </w:p>
                    <w:p w14:paraId="28FA2F3A" w14:textId="77777777" w:rsidR="00BC0CFA" w:rsidRPr="00F82299" w:rsidRDefault="00BC0CFA" w:rsidP="007F251D">
                      <w:pPr>
                        <w:spacing w:line="276" w:lineRule="auto"/>
                        <w:jc w:val="both"/>
                        <w:rPr>
                          <w:rFonts w:ascii="Times New Roman" w:hAnsi="Times New Roman" w:cs="Times New Roman"/>
                          <w:b/>
                        </w:rPr>
                      </w:pPr>
                    </w:p>
                    <w:p w14:paraId="608C4092" w14:textId="4AFE9673" w:rsidR="00BC0CFA" w:rsidRPr="00F82299" w:rsidRDefault="00BC0CFA" w:rsidP="007F251D">
                      <w:pPr>
                        <w:spacing w:line="276" w:lineRule="auto"/>
                        <w:jc w:val="both"/>
                      </w:pPr>
                      <w:r w:rsidRPr="00F82299">
                        <w:rPr>
                          <w:rFonts w:ascii="Times New Roman" w:hAnsi="Times New Roman" w:cs="Times New Roman"/>
                        </w:rPr>
                        <w:t xml:space="preserve">Empowered by the decentralization process, the populations of the southern region of Senegal, for example, were the first to denounce the illegal and illicit exploitation of the forest resources of this part of the country. Most of the illegal exploiters came from The Gambia, where this activity is prohibited. The response of rural populations in Senegal reveals the need for </w:t>
                      </w:r>
                      <w:r>
                        <w:rPr>
                          <w:rFonts w:ascii="Times New Roman" w:hAnsi="Times New Roman" w:cs="Times New Roman"/>
                        </w:rPr>
                        <w:t>subregion</w:t>
                      </w:r>
                      <w:r w:rsidRPr="00F82299">
                        <w:rPr>
                          <w:rFonts w:ascii="Times New Roman" w:hAnsi="Times New Roman" w:cs="Times New Roman"/>
                        </w:rPr>
                        <w:t xml:space="preserve">al collaboration between countries. In terms of mineral resource exploitation in Senegal, the country uses a range of management tools such as quotas, licenses and permits (Bromley, 1991; Brooks </w:t>
                      </w:r>
                      <w:r w:rsidRPr="000429F8">
                        <w:rPr>
                          <w:rFonts w:ascii="Times New Roman" w:hAnsi="Times New Roman" w:cs="Times New Roman"/>
                          <w:i/>
                        </w:rPr>
                        <w:t>et al.</w:t>
                      </w:r>
                      <w:r w:rsidRPr="00F82299">
                        <w:rPr>
                          <w:rFonts w:ascii="Times New Roman" w:hAnsi="Times New Roman" w:cs="Times New Roman"/>
                        </w:rPr>
                        <w:t>, 2001), which give rise to the payment of duties and taxes, and which limit respectively the quantities, the number of users and the rights of access and use of the resource. Currently, reforms are underway with respect to subsidies granted to mining companies and on improving transparency through the involvement of the local population and civil society in order to combat corruption and the acquisition of natural resources by foreign multinational companies.</w:t>
                      </w:r>
                    </w:p>
                  </w:txbxContent>
                </v:textbox>
                <w10:anchorlock/>
              </v:shape>
            </w:pict>
          </mc:Fallback>
        </mc:AlternateContent>
      </w:r>
    </w:p>
    <w:p w14:paraId="056F3FFD" w14:textId="77777777" w:rsidR="009F0016" w:rsidRPr="009B0448" w:rsidRDefault="009F0016" w:rsidP="009F0016">
      <w:pPr>
        <w:spacing w:line="276" w:lineRule="auto"/>
        <w:jc w:val="both"/>
        <w:rPr>
          <w:rFonts w:ascii="Times New Roman" w:hAnsi="Times New Roman" w:cs="Times New Roman"/>
        </w:rPr>
      </w:pPr>
    </w:p>
    <w:p w14:paraId="0A120A70" w14:textId="7E74BE52"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Economic measures for biodiversity conservation must always be accompanied by broader supportive measures that reduce the ecological footprint through education, politics, information, awareness and social organisation (</w:t>
      </w:r>
      <w:r w:rsidR="00CE1135" w:rsidRPr="009B0448">
        <w:rPr>
          <w:rFonts w:ascii="Times New Roman" w:hAnsi="Times New Roman" w:cs="Times New Roman"/>
        </w:rPr>
        <w:t xml:space="preserve">Bromley, 1991; </w:t>
      </w:r>
      <w:r w:rsidRPr="009B0448">
        <w:rPr>
          <w:rFonts w:ascii="Times New Roman" w:hAnsi="Times New Roman" w:cs="Times New Roman"/>
        </w:rPr>
        <w:t xml:space="preserve">Albers </w:t>
      </w:r>
      <w:r w:rsidR="000429F8" w:rsidRPr="009B0448">
        <w:rPr>
          <w:rFonts w:ascii="Times New Roman" w:hAnsi="Times New Roman" w:cs="Times New Roman"/>
          <w:i/>
        </w:rPr>
        <w:t>et al.</w:t>
      </w:r>
      <w:r w:rsidRPr="009B0448">
        <w:rPr>
          <w:rFonts w:ascii="Times New Roman" w:hAnsi="Times New Roman" w:cs="Times New Roman"/>
        </w:rPr>
        <w:t xml:space="preserve">, 1996; Jasanoff </w:t>
      </w:r>
      <w:r w:rsidR="000429F8" w:rsidRPr="009B0448">
        <w:rPr>
          <w:rFonts w:ascii="Times New Roman" w:hAnsi="Times New Roman" w:cs="Times New Roman"/>
          <w:i/>
        </w:rPr>
        <w:t>et al.</w:t>
      </w:r>
      <w:r w:rsidRPr="009B0448">
        <w:rPr>
          <w:rFonts w:ascii="Times New Roman" w:hAnsi="Times New Roman" w:cs="Times New Roman"/>
        </w:rPr>
        <w:t xml:space="preserve">, 2004; World Bank </w:t>
      </w:r>
      <w:r w:rsidR="000429F8" w:rsidRPr="009B0448">
        <w:rPr>
          <w:rFonts w:ascii="Times New Roman" w:hAnsi="Times New Roman" w:cs="Times New Roman"/>
          <w:i/>
        </w:rPr>
        <w:t>et al.</w:t>
      </w:r>
      <w:r w:rsidRPr="009B0448">
        <w:rPr>
          <w:rFonts w:ascii="Times New Roman" w:hAnsi="Times New Roman" w:cs="Times New Roman"/>
        </w:rPr>
        <w:t>, 2004). They may encompass efforts through national and global processes relating to public sector management, macroeconomic and sectoral policy reforms, proactiveness in implementing environmental agreements and favourable donor arrangements to enhance the conditions of national and local economies (</w:t>
      </w:r>
      <w:r w:rsidR="00CE1135" w:rsidRPr="009B0448">
        <w:rPr>
          <w:rFonts w:ascii="Times New Roman" w:hAnsi="Times New Roman" w:cs="Times New Roman"/>
        </w:rPr>
        <w:t>Costanza</w:t>
      </w:r>
      <w:r w:rsidR="006F0B0F" w:rsidRPr="009B0448">
        <w:rPr>
          <w:rFonts w:ascii="Times New Roman" w:hAnsi="Times New Roman" w:cs="Times New Roman"/>
        </w:rPr>
        <w:t xml:space="preserve"> </w:t>
      </w:r>
      <w:r w:rsidR="006F0B0F" w:rsidRPr="009B0448">
        <w:rPr>
          <w:rFonts w:ascii="Times New Roman" w:hAnsi="Times New Roman" w:cs="Times New Roman"/>
          <w:i/>
        </w:rPr>
        <w:t>et al.</w:t>
      </w:r>
      <w:r w:rsidR="00CE1135" w:rsidRPr="009B0448">
        <w:rPr>
          <w:rFonts w:ascii="Times New Roman" w:hAnsi="Times New Roman" w:cs="Times New Roman"/>
        </w:rPr>
        <w:t xml:space="preserve">, 1997; McNeely, 1993; Myers </w:t>
      </w:r>
      <w:r w:rsidR="000429F8" w:rsidRPr="009B0448">
        <w:rPr>
          <w:rFonts w:ascii="Times New Roman" w:hAnsi="Times New Roman" w:cs="Times New Roman"/>
          <w:i/>
        </w:rPr>
        <w:t>et al.</w:t>
      </w:r>
      <w:r w:rsidR="00CE1135" w:rsidRPr="009B0448">
        <w:rPr>
          <w:rFonts w:ascii="Times New Roman" w:hAnsi="Times New Roman" w:cs="Times New Roman"/>
        </w:rPr>
        <w:t xml:space="preserve">, 2000; </w:t>
      </w:r>
      <w:r w:rsidRPr="009B0448">
        <w:rPr>
          <w:rFonts w:ascii="Times New Roman" w:hAnsi="Times New Roman" w:cs="Times New Roman"/>
        </w:rPr>
        <w:t xml:space="preserve">Bagnoli </w:t>
      </w:r>
      <w:r w:rsidR="000429F8" w:rsidRPr="009B0448">
        <w:rPr>
          <w:rFonts w:ascii="Times New Roman" w:hAnsi="Times New Roman" w:cs="Times New Roman"/>
          <w:i/>
        </w:rPr>
        <w:t>et al.</w:t>
      </w:r>
      <w:r w:rsidRPr="009B0448">
        <w:rPr>
          <w:rFonts w:ascii="Times New Roman" w:hAnsi="Times New Roman" w:cs="Times New Roman"/>
        </w:rPr>
        <w:t xml:space="preserve">, 2008). Equally important instruments to support economic incentive measures for biodiversity conservation include legal, policy, institutional and social measures, as well as agreements, enforcement, and accreditation (Bromley, 1991; Brooks </w:t>
      </w:r>
      <w:r w:rsidR="000429F8" w:rsidRPr="009B0448">
        <w:rPr>
          <w:rFonts w:ascii="Times New Roman" w:hAnsi="Times New Roman" w:cs="Times New Roman"/>
          <w:i/>
        </w:rPr>
        <w:t>et al.</w:t>
      </w:r>
      <w:r w:rsidRPr="009B0448">
        <w:rPr>
          <w:rFonts w:ascii="Times New Roman" w:hAnsi="Times New Roman" w:cs="Times New Roman"/>
        </w:rPr>
        <w:t>, 2001). Any instrument to incentivise or financialise biodiversity and ecosystem services needs to be as innovative and sensitive as possible in order to reduce conflicts between conflicting stakeholder interests, while constantly assessing impacts on biodiversity and ecosystem services.</w:t>
      </w:r>
    </w:p>
    <w:p w14:paraId="71271937" w14:textId="6677ABBD" w:rsidR="00F83B61" w:rsidRPr="009B0448" w:rsidRDefault="00DE16B7" w:rsidP="00FA7185">
      <w:pPr>
        <w:pStyle w:val="111"/>
        <w:numPr>
          <w:ilvl w:val="2"/>
          <w:numId w:val="11"/>
        </w:numPr>
        <w:spacing w:before="240" w:after="240"/>
        <w:ind w:left="709" w:hanging="720"/>
        <w:rPr>
          <w:rFonts w:cs="Times New Roman"/>
          <w:i w:val="0"/>
          <w:sz w:val="22"/>
          <w:szCs w:val="22"/>
        </w:rPr>
      </w:pPr>
      <w:bookmarkStart w:id="516" w:name="_Toc502937690"/>
      <w:bookmarkStart w:id="517" w:name="_Toc519500057"/>
      <w:r w:rsidRPr="009B0448">
        <w:rPr>
          <w:rFonts w:cs="Times New Roman"/>
          <w:i w:val="0"/>
          <w:sz w:val="22"/>
          <w:szCs w:val="22"/>
        </w:rPr>
        <w:t>Legal, regulatory and rights-</w:t>
      </w:r>
      <w:r w:rsidR="00F83B61" w:rsidRPr="009B0448">
        <w:rPr>
          <w:rFonts w:cs="Times New Roman"/>
          <w:i w:val="0"/>
          <w:sz w:val="22"/>
          <w:szCs w:val="22"/>
        </w:rPr>
        <w:t>based instruments</w:t>
      </w:r>
      <w:bookmarkEnd w:id="516"/>
      <w:bookmarkEnd w:id="517"/>
    </w:p>
    <w:p w14:paraId="03FF4B78" w14:textId="5961DA3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To ensure sustainable development, preserve biodiversity and improve the use of ecosystem services and quality of life, both national and international legal instruments should be used effectively (Prevoste </w:t>
      </w:r>
      <w:r w:rsidR="000429F8" w:rsidRPr="009B0448">
        <w:rPr>
          <w:rFonts w:ascii="Times New Roman" w:hAnsi="Times New Roman" w:cs="Times New Roman"/>
          <w:i/>
        </w:rPr>
        <w:t>et al.</w:t>
      </w:r>
      <w:r w:rsidRPr="009B0448">
        <w:rPr>
          <w:rFonts w:ascii="Times New Roman" w:hAnsi="Times New Roman" w:cs="Times New Roman"/>
        </w:rPr>
        <w:t xml:space="preserve">, 2016). Political interests at all levels play a major role in the formulation of laws and decrees creating protected areas and species, or instituting codes for biodiversity and ecosystem service protection. The State plays an important role, particularly since biodiversity often exhibits the characteristics of a public good (Aubertin </w:t>
      </w:r>
      <w:r w:rsidR="000429F8" w:rsidRPr="009B0448">
        <w:rPr>
          <w:rFonts w:ascii="Times New Roman" w:hAnsi="Times New Roman" w:cs="Times New Roman"/>
          <w:i/>
        </w:rPr>
        <w:t>et al.</w:t>
      </w:r>
      <w:r w:rsidRPr="009B0448">
        <w:rPr>
          <w:rFonts w:ascii="Times New Roman" w:hAnsi="Times New Roman" w:cs="Times New Roman"/>
        </w:rPr>
        <w:t xml:space="preserve">, 2009). Supporting legislation should be properly designed with </w:t>
      </w:r>
      <w:r w:rsidR="00DE16B7" w:rsidRPr="009B0448">
        <w:rPr>
          <w:rFonts w:ascii="Times New Roman" w:hAnsi="Times New Roman" w:cs="Times New Roman"/>
        </w:rPr>
        <w:t xml:space="preserve">the </w:t>
      </w:r>
      <w:r w:rsidRPr="009B0448">
        <w:rPr>
          <w:rFonts w:ascii="Times New Roman" w:hAnsi="Times New Roman" w:cs="Times New Roman"/>
        </w:rPr>
        <w:t xml:space="preserve">appropriate technical capacity to be able to establish protection objectives, reduce degradation and promote environmental improvements that are compatible with sustainable exploitation of natural resources and while ensuring compliance (Lamarque </w:t>
      </w:r>
      <w:r w:rsidR="000429F8" w:rsidRPr="009B0448">
        <w:rPr>
          <w:rFonts w:ascii="Times New Roman" w:hAnsi="Times New Roman" w:cs="Times New Roman"/>
          <w:i/>
        </w:rPr>
        <w:t>et al.</w:t>
      </w:r>
      <w:r w:rsidRPr="009B0448">
        <w:rPr>
          <w:rFonts w:ascii="Times New Roman" w:hAnsi="Times New Roman" w:cs="Times New Roman"/>
        </w:rPr>
        <w:t xml:space="preserve">, 1973). </w:t>
      </w:r>
    </w:p>
    <w:p w14:paraId="5ECC7F5B" w14:textId="77777777" w:rsidR="009F0016" w:rsidRPr="009B0448" w:rsidRDefault="009F0016" w:rsidP="009F0016">
      <w:pPr>
        <w:spacing w:line="276" w:lineRule="auto"/>
        <w:jc w:val="both"/>
        <w:rPr>
          <w:rFonts w:ascii="Times New Roman" w:hAnsi="Times New Roman" w:cs="Times New Roman"/>
        </w:rPr>
      </w:pPr>
    </w:p>
    <w:p w14:paraId="1672F50A" w14:textId="05018B26"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There has been remarkable progress in the past 20 years in the development of environmental policies and laws in Africa, although strategies and levels of implementation within and between countries differ. Over 25 African countries now have constitutional provisions on the environment, while 43 countries have framework environmental laws (AMCEN, 2014</w:t>
      </w:r>
      <w:r w:rsidR="001E7CD8" w:rsidRPr="009B0448">
        <w:rPr>
          <w:rFonts w:ascii="Times New Roman" w:hAnsi="Times New Roman" w:cs="Times New Roman"/>
        </w:rPr>
        <w:t>a</w:t>
      </w:r>
      <w:r w:rsidRPr="009B0448">
        <w:rPr>
          <w:rFonts w:ascii="Times New Roman" w:hAnsi="Times New Roman" w:cs="Times New Roman"/>
        </w:rPr>
        <w:t xml:space="preserve">). Most of these countries have also developed tools and strategies to ensure that environmental laws are implemented. </w:t>
      </w:r>
    </w:p>
    <w:p w14:paraId="663EBB78" w14:textId="77777777" w:rsidR="009F0016" w:rsidRPr="009B0448" w:rsidRDefault="009F0016" w:rsidP="009F0016">
      <w:pPr>
        <w:spacing w:line="276" w:lineRule="auto"/>
        <w:jc w:val="both"/>
        <w:rPr>
          <w:rFonts w:ascii="Times New Roman" w:hAnsi="Times New Roman" w:cs="Times New Roman"/>
        </w:rPr>
      </w:pPr>
    </w:p>
    <w:p w14:paraId="58EE39CD" w14:textId="6C9E1CE3"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A tight regulatory framework defining the scope and extent of resource use is a precondition for reversing biodiversity losses. At times such measures can be controversial though, as illustrated through reoccurring conflicts between </w:t>
      </w:r>
      <w:r w:rsidR="00DE16B7" w:rsidRPr="009B0448">
        <w:rPr>
          <w:rFonts w:ascii="Times New Roman" w:hAnsi="Times New Roman" w:cs="Times New Roman"/>
        </w:rPr>
        <w:t xml:space="preserve">the </w:t>
      </w:r>
      <w:r w:rsidRPr="009B0448">
        <w:rPr>
          <w:rFonts w:ascii="Times New Roman" w:hAnsi="Times New Roman" w:cs="Times New Roman"/>
        </w:rPr>
        <w:t xml:space="preserve">allocation of hunting permits and calls for hunting bans. Botswana banned hunting in 2014 and now has more than 230,000 elephants which many perceive as having negative impacts on agriculture and livelihoods (Mbaiwa, 2017). The ban on safari hunting resulted in the loss of income and jobs to the local communities, a loss of rural livelihoods, loss of game meat, increasing poaching incidents, negative attitudes towards wildlife conservation and </w:t>
      </w:r>
      <w:r w:rsidR="00917FB2">
        <w:rPr>
          <w:rFonts w:ascii="Times New Roman" w:hAnsi="Times New Roman" w:cs="Times New Roman"/>
        </w:rPr>
        <w:t>land-use</w:t>
      </w:r>
      <w:r w:rsidRPr="009B0448">
        <w:rPr>
          <w:rFonts w:ascii="Times New Roman" w:hAnsi="Times New Roman" w:cs="Times New Roman"/>
        </w:rPr>
        <w:t xml:space="preserve"> tenure changes (Mbaiwa, 2017).</w:t>
      </w:r>
    </w:p>
    <w:p w14:paraId="0FAADCA3" w14:textId="77777777" w:rsidR="009F0016" w:rsidRPr="009B0448" w:rsidRDefault="009F0016" w:rsidP="009F0016">
      <w:pPr>
        <w:spacing w:line="276" w:lineRule="auto"/>
        <w:jc w:val="both"/>
        <w:rPr>
          <w:rFonts w:ascii="Times New Roman" w:hAnsi="Times New Roman" w:cs="Times New Roman"/>
        </w:rPr>
      </w:pPr>
    </w:p>
    <w:p w14:paraId="3002A855"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Regulation remains the most widely used instrument for biodiversity and ecosystem protection. The regulatory toolkit includes a series of ‘command-and-control’ restrictions, mandatory requirements and procedures by government that directly limit certain actions or impacts and damages to threatened species. There are three basic types of regulatory instruments for biodiversity and ecosystem services:</w:t>
      </w:r>
    </w:p>
    <w:p w14:paraId="3F90CD9F" w14:textId="77777777" w:rsidR="00F83B61" w:rsidRPr="009B0448" w:rsidRDefault="00F83B61" w:rsidP="009F0016">
      <w:pPr>
        <w:widowControl w:val="0"/>
        <w:numPr>
          <w:ilvl w:val="0"/>
          <w:numId w:val="6"/>
        </w:numPr>
        <w:spacing w:line="276" w:lineRule="auto"/>
        <w:ind w:hanging="360"/>
        <w:jc w:val="both"/>
        <w:rPr>
          <w:rFonts w:ascii="Times New Roman" w:hAnsi="Times New Roman" w:cs="Times New Roman"/>
        </w:rPr>
      </w:pPr>
      <w:r w:rsidRPr="009B0448">
        <w:rPr>
          <w:rFonts w:ascii="Times New Roman" w:hAnsi="Times New Roman" w:cs="Times New Roman"/>
        </w:rPr>
        <w:t>Management prescriptions for good practice in natural resource exploitation or regulation of emissions through emissions standards, ambient quality standards and technical standards;</w:t>
      </w:r>
    </w:p>
    <w:p w14:paraId="312D161E" w14:textId="26BC3E10" w:rsidR="00F83B61" w:rsidRPr="009B0448" w:rsidRDefault="00F83B61" w:rsidP="009F0016">
      <w:pPr>
        <w:widowControl w:val="0"/>
        <w:numPr>
          <w:ilvl w:val="0"/>
          <w:numId w:val="6"/>
        </w:numPr>
        <w:spacing w:line="276" w:lineRule="auto"/>
        <w:ind w:hanging="360"/>
        <w:jc w:val="both"/>
        <w:rPr>
          <w:rFonts w:ascii="Times New Roman" w:hAnsi="Times New Roman" w:cs="Times New Roman"/>
        </w:rPr>
      </w:pPr>
      <w:r w:rsidRPr="009B0448">
        <w:rPr>
          <w:rFonts w:ascii="Times New Roman" w:hAnsi="Times New Roman" w:cs="Times New Roman"/>
        </w:rPr>
        <w:t>Restrictions on the use of products (e.g.</w:t>
      </w:r>
      <w:r w:rsidR="00E24BC5">
        <w:rPr>
          <w:rFonts w:ascii="Times New Roman" w:hAnsi="Times New Roman" w:cs="Times New Roman"/>
        </w:rPr>
        <w:t>,</w:t>
      </w:r>
      <w:r w:rsidRPr="009B0448">
        <w:rPr>
          <w:rFonts w:ascii="Times New Roman" w:hAnsi="Times New Roman" w:cs="Times New Roman"/>
        </w:rPr>
        <w:t xml:space="preserve"> illegally logged timber, activities damaging to endangered species etc.) or establishing production standards (certification, best practice codes etc.);</w:t>
      </w:r>
    </w:p>
    <w:p w14:paraId="29B65012" w14:textId="5A7AFAB2" w:rsidR="00F83B61" w:rsidRPr="009B0448" w:rsidRDefault="00F83B61" w:rsidP="009F0016">
      <w:pPr>
        <w:widowControl w:val="0"/>
        <w:numPr>
          <w:ilvl w:val="0"/>
          <w:numId w:val="6"/>
        </w:numPr>
        <w:spacing w:line="276" w:lineRule="auto"/>
        <w:ind w:hanging="360"/>
        <w:jc w:val="both"/>
        <w:rPr>
          <w:rFonts w:ascii="Times New Roman" w:hAnsi="Times New Roman" w:cs="Times New Roman"/>
        </w:rPr>
      </w:pPr>
      <w:r w:rsidRPr="009B0448">
        <w:rPr>
          <w:rFonts w:ascii="Times New Roman" w:hAnsi="Times New Roman" w:cs="Times New Roman"/>
        </w:rPr>
        <w:t xml:space="preserve">Spatial planning which involves regulation of </w:t>
      </w:r>
      <w:r w:rsidR="00917FB2">
        <w:rPr>
          <w:rFonts w:ascii="Times New Roman" w:hAnsi="Times New Roman" w:cs="Times New Roman"/>
        </w:rPr>
        <w:t>land-use</w:t>
      </w:r>
      <w:r w:rsidRPr="009B0448">
        <w:rPr>
          <w:rFonts w:ascii="Times New Roman" w:hAnsi="Times New Roman" w:cs="Times New Roman"/>
        </w:rPr>
        <w:t xml:space="preserve">s that have direct implications for ecosystem services or habitats. </w:t>
      </w:r>
    </w:p>
    <w:p w14:paraId="28DF1E3A" w14:textId="77777777" w:rsidR="009F0016" w:rsidRPr="009B0448" w:rsidRDefault="009F0016" w:rsidP="007F251D">
      <w:pPr>
        <w:widowControl w:val="0"/>
        <w:spacing w:line="276" w:lineRule="auto"/>
        <w:jc w:val="both"/>
        <w:rPr>
          <w:rFonts w:ascii="Times New Roman" w:hAnsi="Times New Roman" w:cs="Times New Roman"/>
        </w:rPr>
      </w:pPr>
    </w:p>
    <w:p w14:paraId="45906000" w14:textId="4151B7CB"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However, regulation needs to be compatible with sustainable exploitation and comply with good practices, as well as connecting to conventions and agreements linked to laws at other levels, and key standards. For example, the ISO 14000 family of standards addresses various aspects of environmental management (NQA, 2017). It provides practical tools for companies and organisations to identify and control their environmental impact and constantly improve their environmental performance. </w:t>
      </w:r>
      <w:r w:rsidRPr="009B0448">
        <w:rPr>
          <w:rFonts w:ascii="Times New Roman" w:hAnsi="Times New Roman" w:cs="Times New Roman"/>
          <w:sz w:val="20"/>
          <w:szCs w:val="20"/>
        </w:rPr>
        <w:t>ISO 140001</w:t>
      </w:r>
      <w:r w:rsidRPr="009B0448">
        <w:rPr>
          <w:rFonts w:ascii="Times New Roman" w:hAnsi="Times New Roman" w:cs="Times New Roman"/>
        </w:rPr>
        <w:t xml:space="preserve">, is a practical tool to help organisations identify and control environmental impacts and improve performance. This certification helps with environmental policy, sustainability, resource and asset management, legal compliance, carbon footprint and impact reduction, pollution prevention, corporate social responsibility, cultural awareness and change management, brand reputation (see </w:t>
      </w:r>
      <w:hyperlink r:id="rId1759">
        <w:r w:rsidRPr="009B0448">
          <w:rPr>
            <w:rStyle w:val="Hyperlink"/>
            <w:rFonts w:ascii="Times New Roman" w:eastAsia="Times New Roman" w:hAnsi="Times New Roman" w:cs="Times New Roman"/>
          </w:rPr>
          <w:t>https://www.nqa.com/en-us/certification/standards/iso-14001-2004</w:t>
        </w:r>
      </w:hyperlink>
      <w:r w:rsidRPr="009B0448">
        <w:rPr>
          <w:rFonts w:ascii="Times New Roman" w:hAnsi="Times New Roman" w:cs="Times New Roman"/>
        </w:rPr>
        <w:t xml:space="preserve">). Another example is ISO 50001 (NRC, 2011), which provides organisations with a structured framework to manage energy such that it can increase energy efficiency, reduce costs and improve energy performance (see </w:t>
      </w:r>
      <w:hyperlink r:id="rId1760">
        <w:r w:rsidRPr="009B0448">
          <w:rPr>
            <w:rStyle w:val="Hyperlink"/>
            <w:rFonts w:ascii="Times New Roman" w:eastAsia="Times New Roman" w:hAnsi="Times New Roman" w:cs="Times New Roman"/>
          </w:rPr>
          <w:t>http://www.nrcan.gc.ca/energy/efficiency/industry/cipec/5379</w:t>
        </w:r>
      </w:hyperlink>
      <w:r w:rsidRPr="009B0448">
        <w:rPr>
          <w:rFonts w:ascii="Times New Roman" w:hAnsi="Times New Roman" w:cs="Times New Roman"/>
        </w:rPr>
        <w:t xml:space="preserve">). </w:t>
      </w:r>
    </w:p>
    <w:p w14:paraId="7704BD83" w14:textId="77777777" w:rsidR="00C21A1B" w:rsidRPr="009B0448" w:rsidRDefault="00C21A1B" w:rsidP="009F0016">
      <w:pPr>
        <w:spacing w:line="276" w:lineRule="auto"/>
        <w:jc w:val="both"/>
        <w:rPr>
          <w:rFonts w:ascii="Times New Roman" w:hAnsi="Times New Roman" w:cs="Times New Roman"/>
        </w:rPr>
      </w:pPr>
    </w:p>
    <w:p w14:paraId="2B4C4A29" w14:textId="02D3581F"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Laws and regulations further interface </w:t>
      </w:r>
      <w:r w:rsidR="00DE16B7" w:rsidRPr="009B0448">
        <w:rPr>
          <w:rFonts w:ascii="Times New Roman" w:hAnsi="Times New Roman" w:cs="Times New Roman"/>
        </w:rPr>
        <w:t>with rights-</w:t>
      </w:r>
      <w:r w:rsidRPr="009B0448">
        <w:rPr>
          <w:rFonts w:ascii="Times New Roman" w:hAnsi="Times New Roman" w:cs="Times New Roman"/>
        </w:rPr>
        <w:t>based instruments and customary norms. Nevertheless, while conservation projects target both ecosystems’ and species’ impacts on human well-being, in general, laws in Africa do not take a rights-based approach. This absence severely restricts community capacity to benefit directly and equitably from biodiversity through, for example, bioprospecting of plant species. It has been over four decades since the Kinshasa Resolution (1975) when African governments recognised the rights of indigenous communities and the importance of indigenous knowledge in natural resource conservation and management (Colchester, 2004). This resolution noted the importance of traditional ways of life and land ownership and called on governments to maintain and encourage customary ways of living. It urged governments to devise means by which indigenous peoples could bring their lands into conservation areas without relinquishing their ownership, use, and tenure rights. It also noted that indigenous peoples should not normally be displaced from their traditional lands in the establishment of protected areas, nor should protected areas be established without adequate consultation with the peoples to be directly affected. The same resolution was recalled in 1982 at the World National Parks Congress in Bali, Indonesia, which affirmed the rights of traditional societies to "social, economic, cultural, and spiritual self-determination" and "to participate in decisions affecting the land and natural resources on which they depend." The resolution advocated "the implementation of joint management arrangements between societies which have traditionally managed resources and protected area authorities (Colchester, 2004).</w:t>
      </w:r>
    </w:p>
    <w:p w14:paraId="0BE73178" w14:textId="77777777" w:rsidR="00C21A1B" w:rsidRPr="009B0448" w:rsidRDefault="00C21A1B" w:rsidP="009F0016">
      <w:pPr>
        <w:spacing w:line="276" w:lineRule="auto"/>
        <w:jc w:val="both"/>
        <w:rPr>
          <w:rFonts w:ascii="Times New Roman" w:hAnsi="Times New Roman" w:cs="Times New Roman"/>
        </w:rPr>
      </w:pPr>
    </w:p>
    <w:p w14:paraId="471542F5"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A further key step for Africa is found in the Swakopmund Protocol on the Protection of Traditional Knowledge and Expressions of Folklore within the Framework of the African Regional Intellectual Property Organisation, which was adopted in 2010 and entered into force in January 2012 (Colchester, 2004). It aims to: (a) protect traditional knowledge holders from any infringement on their rights as recognised within the protocol, and (b) protect cultural expressions against misappropriation, misuse and/or exploitation. The protocol employs a broad definition of traditional knowledge and folklore, along with a unique set of protections. Specifically, the holders of traditional knowledge under the protocol are deemed beneficiaries, and receive exclusive rights over the authorisation of use of their traditional knowledge, prevention of the exploitation of traditional knowledge without prior informed consent, the institution of legal proceedings to remedy infringements of rights protected under the protocol, and fair and equitable benefit-sharing arising from the commercial use of their traditional knowledge. Protocols such as this are vital for Africa, where traditional knowledge and indigenous and local knowledge remain important in the management of natural resources. Traditional knowledge and indigenous and local knowledge are examined in further in section 6.5.3.</w:t>
      </w:r>
    </w:p>
    <w:p w14:paraId="15B67FC2" w14:textId="77777777" w:rsidR="00F83B61" w:rsidRPr="009B0448" w:rsidRDefault="00F83B61" w:rsidP="00FA7185">
      <w:pPr>
        <w:pStyle w:val="111"/>
        <w:numPr>
          <w:ilvl w:val="2"/>
          <w:numId w:val="11"/>
        </w:numPr>
        <w:spacing w:before="240" w:after="240"/>
        <w:ind w:left="709" w:hanging="720"/>
        <w:rPr>
          <w:rFonts w:cs="Times New Roman"/>
          <w:i w:val="0"/>
          <w:sz w:val="22"/>
          <w:szCs w:val="22"/>
        </w:rPr>
      </w:pPr>
      <w:bookmarkStart w:id="518" w:name="_Toc502937691"/>
      <w:bookmarkStart w:id="519" w:name="_Toc519500058"/>
      <w:r w:rsidRPr="009B0448">
        <w:rPr>
          <w:rFonts w:cs="Times New Roman"/>
          <w:i w:val="0"/>
          <w:sz w:val="22"/>
          <w:szCs w:val="22"/>
        </w:rPr>
        <w:t>Institutional aspects and social and cultural conditions</w:t>
      </w:r>
      <w:bookmarkEnd w:id="518"/>
      <w:bookmarkEnd w:id="519"/>
    </w:p>
    <w:p w14:paraId="154FE549" w14:textId="5BE50B51"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Institutions can be considered as constraints devised by humans to structure human interaction (North, 1994). Informal institutions are those that do not depend on the state for execution or enforcement (Colding </w:t>
      </w:r>
      <w:r w:rsidR="000429F8" w:rsidRPr="009B0448">
        <w:rPr>
          <w:rFonts w:ascii="Times New Roman" w:hAnsi="Times New Roman" w:cs="Times New Roman"/>
          <w:i/>
        </w:rPr>
        <w:t>et al.</w:t>
      </w:r>
      <w:r w:rsidRPr="009B0448">
        <w:rPr>
          <w:rFonts w:ascii="Times New Roman" w:hAnsi="Times New Roman" w:cs="Times New Roman"/>
        </w:rPr>
        <w:t>, 2001). They can include taboos and social norms. Informal institutions governing the use of environmental resources are present in many societies, and in certain conditions (relatively constant group membership, long-term residence in an area, and heavy reliance on natural resources) have led to the development of successful natural resource management (Ostrom, 1999</w:t>
      </w:r>
      <w:r w:rsidR="00CE1135" w:rsidRPr="009B0448">
        <w:rPr>
          <w:rFonts w:ascii="Times New Roman" w:hAnsi="Times New Roman" w:cs="Times New Roman"/>
        </w:rPr>
        <w:t xml:space="preserve">; Jones </w:t>
      </w:r>
      <w:r w:rsidR="000429F8" w:rsidRPr="009B0448">
        <w:rPr>
          <w:rFonts w:ascii="Times New Roman" w:hAnsi="Times New Roman" w:cs="Times New Roman"/>
          <w:i/>
        </w:rPr>
        <w:t>et al.</w:t>
      </w:r>
      <w:r w:rsidR="00CE1135" w:rsidRPr="009B0448">
        <w:rPr>
          <w:rFonts w:ascii="Times New Roman" w:hAnsi="Times New Roman" w:cs="Times New Roman"/>
        </w:rPr>
        <w:t>, 2008</w:t>
      </w:r>
      <w:r w:rsidRPr="009B0448">
        <w:rPr>
          <w:rFonts w:ascii="Times New Roman" w:hAnsi="Times New Roman" w:cs="Times New Roman"/>
        </w:rPr>
        <w:t xml:space="preserve">). The literature nevertheless suggests they can have both positive and negative impacts (Box 6.21, Box 6.22). </w:t>
      </w:r>
    </w:p>
    <w:p w14:paraId="3F618B35" w14:textId="77777777" w:rsidR="00C21A1B" w:rsidRPr="009B0448" w:rsidRDefault="00C21A1B" w:rsidP="009F0016">
      <w:pPr>
        <w:spacing w:line="276" w:lineRule="auto"/>
        <w:jc w:val="both"/>
        <w:rPr>
          <w:rFonts w:ascii="Times New Roman" w:hAnsi="Times New Roman" w:cs="Times New Roman"/>
        </w:rPr>
      </w:pPr>
    </w:p>
    <w:p w14:paraId="5DB8804E" w14:textId="221FDB2A" w:rsidR="00372283" w:rsidRDefault="00372283" w:rsidP="009F0016">
      <w:pPr>
        <w:spacing w:line="276" w:lineRule="auto"/>
        <w:jc w:val="both"/>
        <w:rPr>
          <w:rFonts w:ascii="Times New Roman" w:hAnsi="Times New Roman" w:cs="Times New Roman"/>
        </w:rPr>
      </w:pPr>
      <w:r w:rsidRPr="009B0448">
        <w:rPr>
          <w:rFonts w:ascii="Times New Roman" w:hAnsi="Times New Roman" w:cs="Times New Roman"/>
        </w:rPr>
        <w:t>African societies have rich social and cultural norms, characterised b</w:t>
      </w:r>
      <w:r w:rsidR="00DE16B7" w:rsidRPr="009B0448">
        <w:rPr>
          <w:rFonts w:ascii="Times New Roman" w:hAnsi="Times New Roman" w:cs="Times New Roman"/>
        </w:rPr>
        <w:t>y peaceful co-existing and high-</w:t>
      </w:r>
      <w:r w:rsidRPr="009B0448">
        <w:rPr>
          <w:rFonts w:ascii="Times New Roman" w:hAnsi="Times New Roman" w:cs="Times New Roman"/>
        </w:rPr>
        <w:t xml:space="preserve">value cultural traditions and institutions (see Chapter 1). In particular, many of the stories and narratives within African culture create a pathway for instilling environmental ethics and the communication of environmental values (Barau </w:t>
      </w:r>
      <w:r w:rsidR="000429F8" w:rsidRPr="009B0448">
        <w:rPr>
          <w:rFonts w:ascii="Times New Roman" w:hAnsi="Times New Roman" w:cs="Times New Roman"/>
          <w:i/>
        </w:rPr>
        <w:t>et al.</w:t>
      </w:r>
      <w:r w:rsidRPr="009B0448">
        <w:rPr>
          <w:rFonts w:ascii="Times New Roman" w:hAnsi="Times New Roman" w:cs="Times New Roman"/>
        </w:rPr>
        <w:t>, 2016), which in turn play an instrumental part in shaping informal institutions, behaviours and roles in society with regard to conserving biodiversity and ecosystems. An example is the 'Gali saree' or camel praise songs, embedded in many social norms, activities and routine daily life of Afar that teach and instil knowledge of nature, biodiversity and 'biophilia' or love for nature to young pastoralists, thereby contributing to positive community behaviours towards nature (Balehegn, 2016).</w:t>
      </w:r>
    </w:p>
    <w:p w14:paraId="586EFEF0" w14:textId="77777777" w:rsidR="0024575E" w:rsidRPr="009B0448" w:rsidRDefault="0024575E" w:rsidP="009F0016">
      <w:pPr>
        <w:spacing w:line="276" w:lineRule="auto"/>
        <w:jc w:val="both"/>
        <w:rPr>
          <w:rFonts w:ascii="Times New Roman" w:hAnsi="Times New Roman" w:cs="Times New Roman"/>
        </w:rPr>
      </w:pPr>
    </w:p>
    <w:p w14:paraId="3C1BCD2E" w14:textId="77777777" w:rsidR="0024575E" w:rsidRPr="009B0448" w:rsidRDefault="0024575E" w:rsidP="0024575E">
      <w:pPr>
        <w:spacing w:line="276" w:lineRule="auto"/>
        <w:jc w:val="both"/>
        <w:rPr>
          <w:rFonts w:ascii="Times New Roman" w:hAnsi="Times New Roman" w:cs="Times New Roman"/>
        </w:rPr>
      </w:pPr>
      <w:r w:rsidRPr="009B0448">
        <w:rPr>
          <w:rFonts w:ascii="Times New Roman" w:hAnsi="Times New Roman" w:cs="Times New Roman"/>
        </w:rPr>
        <w:t xml:space="preserve">As globalisation processes have spread and property rights have followed a privatisation trajectory, social and cultural conditions and traditional institutions have changed, with the traditional </w:t>
      </w:r>
      <w:r>
        <w:rPr>
          <w:rFonts w:ascii="Times New Roman" w:hAnsi="Times New Roman" w:cs="Times New Roman"/>
        </w:rPr>
        <w:t>organis</w:t>
      </w:r>
      <w:r w:rsidRPr="009B0448">
        <w:rPr>
          <w:rFonts w:ascii="Times New Roman" w:hAnsi="Times New Roman" w:cs="Times New Roman"/>
        </w:rPr>
        <w:t>ation of African societies giving way to the state and the market (Box 6.23). The local social and cultural systems responsible for managing forests, biodiversity and ecosystems have consequently altered, with impacts on the sustainable management of biodiversity and ecosystem services and important consequences for the social and cultural context of governance and decision-making. In the African context, where people are closely dependent on biodiversity and ecosystem services for their everyday well-being, it is critical to incorporate indigenous and local knowledge in policy decisions around the management of biodiversity and ecosystem services to avoid such damage.</w:t>
      </w:r>
    </w:p>
    <w:p w14:paraId="119B33E2" w14:textId="77777777" w:rsidR="0024575E" w:rsidRPr="009B0448" w:rsidRDefault="0024575E" w:rsidP="0024575E">
      <w:pPr>
        <w:spacing w:line="276" w:lineRule="auto"/>
        <w:jc w:val="both"/>
        <w:rPr>
          <w:rFonts w:ascii="Times New Roman" w:hAnsi="Times New Roman" w:cs="Times New Roman"/>
        </w:rPr>
      </w:pPr>
    </w:p>
    <w:p w14:paraId="79842626" w14:textId="5A1D201F" w:rsidR="00372283" w:rsidRPr="009B0448" w:rsidRDefault="0024575E" w:rsidP="0024575E">
      <w:pPr>
        <w:spacing w:line="276" w:lineRule="auto"/>
        <w:jc w:val="both"/>
        <w:rPr>
          <w:rFonts w:ascii="Times New Roman" w:hAnsi="Times New Roman" w:cs="Times New Roman"/>
        </w:rPr>
      </w:pPr>
      <w:r w:rsidRPr="009B0448">
        <w:rPr>
          <w:rFonts w:ascii="Times New Roman" w:hAnsi="Times New Roman" w:cs="Times New Roman"/>
        </w:rPr>
        <w:t xml:space="preserve">Many studies in Africa indicate the consistency and similarity of indigenous knowledge with scientific knowledge (Box 6.24). For instance, local knowledge was considered as effective as remotely sensed data in determining </w:t>
      </w:r>
      <w:r>
        <w:rPr>
          <w:rFonts w:ascii="Times New Roman" w:hAnsi="Times New Roman" w:cs="Times New Roman"/>
        </w:rPr>
        <w:t>land-use</w:t>
      </w:r>
      <w:r w:rsidRPr="009B0448">
        <w:rPr>
          <w:rFonts w:ascii="Times New Roman" w:hAnsi="Times New Roman" w:cs="Times New Roman"/>
        </w:rPr>
        <w:t xml:space="preserve"> and land cover changes, and in classifying </w:t>
      </w:r>
      <w:r>
        <w:rPr>
          <w:rFonts w:ascii="Times New Roman" w:hAnsi="Times New Roman" w:cs="Times New Roman"/>
        </w:rPr>
        <w:t>land-use</w:t>
      </w:r>
      <w:r w:rsidRPr="009B0448">
        <w:rPr>
          <w:rFonts w:ascii="Times New Roman" w:hAnsi="Times New Roman" w:cs="Times New Roman"/>
        </w:rPr>
        <w:t xml:space="preserve"> types in participatory GIS studies (Tripathi et al, 2004). Similarly, traditional drought forecasting in many African countries (Ziervogel </w:t>
      </w:r>
      <w:r w:rsidRPr="009B0448">
        <w:rPr>
          <w:rFonts w:ascii="Times New Roman" w:hAnsi="Times New Roman" w:cs="Times New Roman"/>
          <w:i/>
        </w:rPr>
        <w:t>et al.</w:t>
      </w:r>
      <w:r w:rsidRPr="009B0448">
        <w:rPr>
          <w:rFonts w:ascii="Times New Roman" w:hAnsi="Times New Roman" w:cs="Times New Roman"/>
        </w:rPr>
        <w:t xml:space="preserve">, 2010; Le Fur </w:t>
      </w:r>
      <w:r w:rsidRPr="009B0448">
        <w:rPr>
          <w:rFonts w:ascii="Times New Roman" w:hAnsi="Times New Roman" w:cs="Times New Roman"/>
          <w:i/>
        </w:rPr>
        <w:t>et al.</w:t>
      </w:r>
      <w:r w:rsidRPr="009B0448">
        <w:rPr>
          <w:rFonts w:ascii="Times New Roman" w:hAnsi="Times New Roman" w:cs="Times New Roman"/>
        </w:rPr>
        <w:t xml:space="preserve">, 2011; Chisadza </w:t>
      </w:r>
      <w:r w:rsidRPr="009B0448">
        <w:rPr>
          <w:rFonts w:ascii="Times New Roman" w:hAnsi="Times New Roman" w:cs="Times New Roman"/>
          <w:i/>
        </w:rPr>
        <w:t>et al.</w:t>
      </w:r>
      <w:r w:rsidRPr="009B0448">
        <w:rPr>
          <w:rFonts w:ascii="Times New Roman" w:hAnsi="Times New Roman" w:cs="Times New Roman"/>
        </w:rPr>
        <w:t xml:space="preserve">, 2015), was as effective as, and in some cases more effective, than scientific techniques (Balehegn, 2016). Del Rio </w:t>
      </w:r>
      <w:r w:rsidRPr="009B0448">
        <w:rPr>
          <w:rFonts w:ascii="Times New Roman" w:hAnsi="Times New Roman" w:cs="Times New Roman"/>
          <w:i/>
        </w:rPr>
        <w:t>et al.</w:t>
      </w:r>
      <w:r w:rsidRPr="009B0448">
        <w:rPr>
          <w:rFonts w:ascii="Times New Roman" w:hAnsi="Times New Roman" w:cs="Times New Roman"/>
        </w:rPr>
        <w:t xml:space="preserve"> (2016) conducted participatory mapping of the Barotse floodplain and found a strong correlation between the indigenous and local knowledge typology and risk of crop failure to drought and to flooding demonstrating the clear functional basis for the Barotse typology originating from many generations of observation and experience. There are also findings that suggest that when communities monitor natural resources, their results are similar to those of scientists. </w:t>
      </w:r>
    </w:p>
    <w:p w14:paraId="072053D0" w14:textId="77777777" w:rsidR="00F83B61" w:rsidRPr="009B0448" w:rsidRDefault="00F83B61" w:rsidP="009F0016">
      <w:pPr>
        <w:spacing w:line="276" w:lineRule="auto"/>
        <w:jc w:val="both"/>
        <w:rPr>
          <w:rFonts w:ascii="Times New Roman" w:hAnsi="Times New Roman" w:cs="Times New Roman"/>
          <w:b/>
        </w:rPr>
      </w:pPr>
      <w:r w:rsidRPr="009B0448">
        <w:rPr>
          <w:rFonts w:ascii="Times New Roman" w:hAnsi="Times New Roman" w:cs="Times New Roman"/>
          <w:noProof/>
          <w:lang w:eastAsia="en-GB"/>
        </w:rPr>
        <mc:AlternateContent>
          <mc:Choice Requires="wps">
            <w:drawing>
              <wp:inline distT="0" distB="0" distL="0" distR="0" wp14:anchorId="7497A7C7" wp14:editId="58B7ABA4">
                <wp:extent cx="5721927" cy="8409709"/>
                <wp:effectExtent l="0" t="0" r="12700" b="10795"/>
                <wp:docPr id="293" name="Rectangle 293"/>
                <wp:cNvGraphicFramePr/>
                <a:graphic xmlns:a="http://schemas.openxmlformats.org/drawingml/2006/main">
                  <a:graphicData uri="http://schemas.microsoft.com/office/word/2010/wordprocessingShape">
                    <wps:wsp>
                      <wps:cNvSpPr/>
                      <wps:spPr>
                        <a:xfrm>
                          <a:off x="0" y="0"/>
                          <a:ext cx="5721927" cy="8409709"/>
                        </a:xfrm>
                        <a:prstGeom prst="rect">
                          <a:avLst/>
                        </a:prstGeom>
                        <a:solidFill>
                          <a:schemeClr val="bg1">
                            <a:lumMod val="95000"/>
                          </a:schemeClr>
                        </a:solidFill>
                        <a:ln w="9525" cap="flat" cmpd="sng">
                          <a:solidFill>
                            <a:srgbClr val="525252"/>
                          </a:solidFill>
                          <a:prstDash val="solid"/>
                          <a:miter/>
                          <a:headEnd type="none" w="med" len="med"/>
                          <a:tailEnd type="none" w="med" len="med"/>
                        </a:ln>
                      </wps:spPr>
                      <wps:txbx>
                        <w:txbxContent>
                          <w:p w14:paraId="3B051609" w14:textId="77777777" w:rsidR="00BC0CFA" w:rsidRDefault="00BC0CFA" w:rsidP="00547D47">
                            <w:pPr>
                              <w:spacing w:line="276" w:lineRule="auto"/>
                              <w:jc w:val="both"/>
                              <w:textDirection w:val="btLr"/>
                              <w:rPr>
                                <w:rFonts w:ascii="Times New Roman" w:hAnsi="Times New Roman" w:cs="Times New Roman"/>
                                <w:b/>
                              </w:rPr>
                            </w:pPr>
                            <w:r w:rsidRPr="00F82299">
                              <w:rPr>
                                <w:rFonts w:ascii="Times New Roman" w:hAnsi="Times New Roman" w:cs="Times New Roman"/>
                                <w:b/>
                              </w:rPr>
                              <w:t>Box 6.21: Informal institutions and customary norms can have both positive and negative effects on biodiversity and ecosystem services</w:t>
                            </w:r>
                          </w:p>
                          <w:p w14:paraId="3CFF876C" w14:textId="77777777" w:rsidR="00BC0CFA" w:rsidRPr="00DE16B7" w:rsidRDefault="00BC0CFA" w:rsidP="00547D47">
                            <w:pPr>
                              <w:spacing w:line="276" w:lineRule="auto"/>
                              <w:jc w:val="both"/>
                              <w:textDirection w:val="btLr"/>
                              <w:rPr>
                                <w:rFonts w:ascii="Times New Roman" w:hAnsi="Times New Roman" w:cs="Times New Roman"/>
                              </w:rPr>
                            </w:pPr>
                          </w:p>
                          <w:p w14:paraId="4D2B2F03" w14:textId="575B9F1B" w:rsidR="00BC0CFA" w:rsidRDefault="00BC0CFA" w:rsidP="00547D47">
                            <w:pPr>
                              <w:spacing w:line="276" w:lineRule="auto"/>
                              <w:jc w:val="both"/>
                              <w:rPr>
                                <w:rFonts w:ascii="Times New Roman" w:hAnsi="Times New Roman" w:cs="Times New Roman"/>
                              </w:rPr>
                            </w:pPr>
                            <w:r w:rsidRPr="00F82299">
                              <w:rPr>
                                <w:rFonts w:ascii="Times New Roman" w:hAnsi="Times New Roman" w:cs="Times New Roman"/>
                              </w:rPr>
                              <w:t>In Madagascar, ‘Fadys’ are system</w:t>
                            </w:r>
                            <w:r>
                              <w:rPr>
                                <w:rFonts w:ascii="Times New Roman" w:hAnsi="Times New Roman" w:cs="Times New Roman"/>
                              </w:rPr>
                              <w:t>s</w:t>
                            </w:r>
                            <w:r w:rsidRPr="00F82299">
                              <w:rPr>
                                <w:rFonts w:ascii="Times New Roman" w:hAnsi="Times New Roman" w:cs="Times New Roman"/>
                              </w:rPr>
                              <w:t xml:space="preserve"> of informal institutions </w:t>
                            </w:r>
                            <w:r>
                              <w:rPr>
                                <w:rFonts w:ascii="Times New Roman" w:hAnsi="Times New Roman" w:cs="Times New Roman"/>
                              </w:rPr>
                              <w:t xml:space="preserve">that </w:t>
                            </w:r>
                            <w:r w:rsidRPr="00F82299">
                              <w:rPr>
                                <w:rFonts w:ascii="Times New Roman" w:hAnsi="Times New Roman" w:cs="Times New Roman"/>
                              </w:rPr>
                              <w:t xml:space="preserve">can make certain behaviours ‘taboo’ or forbidden, and are a strong part of Malagasy culture. They can vary from encouraging good manners, to strict rules linked to spiritual and ancestral beliefs and many are related to plant and animal species and natural resources (Jones </w:t>
                            </w:r>
                            <w:r w:rsidRPr="000429F8">
                              <w:rPr>
                                <w:rFonts w:ascii="Times New Roman" w:hAnsi="Times New Roman" w:cs="Times New Roman"/>
                                <w:i/>
                              </w:rPr>
                              <w:t>et al.</w:t>
                            </w:r>
                            <w:r w:rsidRPr="00F82299">
                              <w:rPr>
                                <w:rFonts w:ascii="Times New Roman" w:hAnsi="Times New Roman" w:cs="Times New Roman"/>
                              </w:rPr>
                              <w:t>, 2008). Breaking fadys risks supernatural retribution, affecting individuals or leading to wider consequences; for example</w:t>
                            </w:r>
                            <w:r>
                              <w:rPr>
                                <w:rFonts w:ascii="Times New Roman" w:hAnsi="Times New Roman" w:cs="Times New Roman"/>
                              </w:rPr>
                              <w:t>,</w:t>
                            </w:r>
                            <w:r w:rsidRPr="00F82299">
                              <w:rPr>
                                <w:rFonts w:ascii="Times New Roman" w:hAnsi="Times New Roman" w:cs="Times New Roman"/>
                              </w:rPr>
                              <w:t xml:space="preserve"> a river drying up in western Madagascar was blamed on migrants breaking the fady banning pig farming in the region (Scales, 2012).</w:t>
                            </w:r>
                          </w:p>
                          <w:p w14:paraId="31FB1A72" w14:textId="77777777" w:rsidR="00BC0CFA" w:rsidRPr="00F82299" w:rsidRDefault="00BC0CFA" w:rsidP="00547D47">
                            <w:pPr>
                              <w:spacing w:line="276" w:lineRule="auto"/>
                              <w:jc w:val="both"/>
                              <w:rPr>
                                <w:rFonts w:ascii="Times New Roman" w:hAnsi="Times New Roman" w:cs="Times New Roman"/>
                              </w:rPr>
                            </w:pPr>
                          </w:p>
                          <w:p w14:paraId="703032EB" w14:textId="23057507" w:rsidR="00BC0CFA" w:rsidRDefault="00BC0CFA" w:rsidP="00547D47">
                            <w:pPr>
                              <w:spacing w:line="276" w:lineRule="auto"/>
                              <w:jc w:val="both"/>
                              <w:textDirection w:val="btLr"/>
                              <w:rPr>
                                <w:rFonts w:ascii="Times New Roman" w:hAnsi="Times New Roman" w:cs="Times New Roman"/>
                              </w:rPr>
                            </w:pPr>
                            <w:r w:rsidRPr="00F82299">
                              <w:rPr>
                                <w:rFonts w:ascii="Times New Roman" w:hAnsi="Times New Roman" w:cs="Times New Roman"/>
                              </w:rPr>
                              <w:t xml:space="preserve">Fadys can protect endemic species and habitats: Jones </w:t>
                            </w:r>
                            <w:r w:rsidRPr="000429F8">
                              <w:rPr>
                                <w:rFonts w:ascii="Times New Roman" w:hAnsi="Times New Roman" w:cs="Times New Roman"/>
                                <w:i/>
                              </w:rPr>
                              <w:t>et al.</w:t>
                            </w:r>
                            <w:r w:rsidRPr="00F82299">
                              <w:rPr>
                                <w:rFonts w:ascii="Times New Roman" w:hAnsi="Times New Roman" w:cs="Times New Roman"/>
                              </w:rPr>
                              <w:t>, (2008) concluded that in their study area in Eastern Madagascar, fadys provided significant protection to 5 species considered threatened according to IUCN. It is fady to kill many lemur species because they are believed to represent Malagasy ancestors, and fossa (</w:t>
                            </w:r>
                            <w:r w:rsidRPr="00F82299">
                              <w:rPr>
                                <w:rFonts w:ascii="Times New Roman" w:hAnsi="Times New Roman" w:cs="Times New Roman"/>
                                <w:i/>
                              </w:rPr>
                              <w:t xml:space="preserve">Cryptoprocta ferox, </w:t>
                            </w:r>
                            <w:r w:rsidRPr="00F9557E">
                              <w:rPr>
                                <w:rFonts w:ascii="Times New Roman" w:hAnsi="Times New Roman" w:cs="Times New Roman"/>
                              </w:rPr>
                              <w:t>Vulnerable</w:t>
                            </w:r>
                            <w:r>
                              <w:rPr>
                                <w:rFonts w:ascii="Times New Roman" w:hAnsi="Times New Roman" w:cs="Times New Roman"/>
                              </w:rPr>
                              <w:t>)</w:t>
                            </w:r>
                            <w:r w:rsidRPr="00F82299">
                              <w:rPr>
                                <w:rFonts w:ascii="Times New Roman" w:hAnsi="Times New Roman" w:cs="Times New Roman"/>
                              </w:rPr>
                              <w:t xml:space="preserve"> are fady to eat because they predate on lemurs i.e.</w:t>
                            </w:r>
                            <w:r>
                              <w:rPr>
                                <w:rFonts w:ascii="Times New Roman" w:hAnsi="Times New Roman" w:cs="Times New Roman"/>
                              </w:rPr>
                              <w:t>,</w:t>
                            </w:r>
                            <w:r w:rsidRPr="00F82299">
                              <w:rPr>
                                <w:rFonts w:ascii="Times New Roman" w:hAnsi="Times New Roman" w:cs="Times New Roman"/>
                              </w:rPr>
                              <w:t xml:space="preserve"> eat the bodies of ancestors (Jones </w:t>
                            </w:r>
                            <w:r w:rsidRPr="000429F8">
                              <w:rPr>
                                <w:rFonts w:ascii="Times New Roman" w:hAnsi="Times New Roman" w:cs="Times New Roman"/>
                                <w:i/>
                              </w:rPr>
                              <w:t>et al.</w:t>
                            </w:r>
                            <w:r w:rsidRPr="00F82299">
                              <w:rPr>
                                <w:rFonts w:ascii="Times New Roman" w:hAnsi="Times New Roman" w:cs="Times New Roman"/>
                              </w:rPr>
                              <w:t>, 2008).</w:t>
                            </w:r>
                          </w:p>
                          <w:p w14:paraId="09325A97" w14:textId="77777777" w:rsidR="00BC0CFA" w:rsidRPr="00F82299" w:rsidRDefault="00BC0CFA" w:rsidP="00547D47">
                            <w:pPr>
                              <w:spacing w:line="276" w:lineRule="auto"/>
                              <w:jc w:val="both"/>
                              <w:textDirection w:val="btLr"/>
                              <w:rPr>
                                <w:rFonts w:ascii="Times New Roman" w:hAnsi="Times New Roman" w:cs="Times New Roman"/>
                              </w:rPr>
                            </w:pPr>
                          </w:p>
                          <w:p w14:paraId="19421C3A" w14:textId="6AA7AAF2" w:rsidR="00BC0CFA" w:rsidRDefault="00BC0CFA" w:rsidP="00547D47">
                            <w:pPr>
                              <w:spacing w:line="276" w:lineRule="auto"/>
                              <w:jc w:val="both"/>
                              <w:rPr>
                                <w:rFonts w:ascii="Times New Roman" w:hAnsi="Times New Roman" w:cs="Times New Roman"/>
                              </w:rPr>
                            </w:pPr>
                            <w:r w:rsidRPr="00F82299">
                              <w:rPr>
                                <w:rFonts w:ascii="Times New Roman" w:hAnsi="Times New Roman" w:cs="Times New Roman"/>
                              </w:rPr>
                              <w:t xml:space="preserve">When surveying hunting and consumption in Eastern Madagascar, Jenkins </w:t>
                            </w:r>
                            <w:r w:rsidRPr="000429F8">
                              <w:rPr>
                                <w:rFonts w:ascii="Times New Roman" w:hAnsi="Times New Roman" w:cs="Times New Roman"/>
                                <w:i/>
                              </w:rPr>
                              <w:t>et al.</w:t>
                            </w:r>
                            <w:r w:rsidRPr="00F82299">
                              <w:rPr>
                                <w:rFonts w:ascii="Times New Roman" w:hAnsi="Times New Roman" w:cs="Times New Roman"/>
                              </w:rPr>
                              <w:t xml:space="preserve"> (2011) found that species reported as fady to eat by a high proportion of </w:t>
                            </w:r>
                            <w:r>
                              <w:rPr>
                                <w:rFonts w:ascii="Times New Roman" w:hAnsi="Times New Roman" w:cs="Times New Roman"/>
                              </w:rPr>
                              <w:t>respondents</w:t>
                            </w:r>
                            <w:r w:rsidRPr="00F82299">
                              <w:rPr>
                                <w:rFonts w:ascii="Times New Roman" w:hAnsi="Times New Roman" w:cs="Times New Roman"/>
                              </w:rPr>
                              <w:t>, tended to be eaten less frequently. Fadys may also offer protection to important habitats, with some areas of forest where people are not allowed to collect wood, clear forest or even travel through in cases where they contain family tombs (Scales, 2012).</w:t>
                            </w:r>
                          </w:p>
                          <w:p w14:paraId="6BC9F7CB" w14:textId="77777777" w:rsidR="00BC0CFA" w:rsidRPr="00F82299" w:rsidRDefault="00BC0CFA" w:rsidP="00547D47">
                            <w:pPr>
                              <w:spacing w:line="276" w:lineRule="auto"/>
                              <w:jc w:val="both"/>
                              <w:rPr>
                                <w:rFonts w:ascii="Times New Roman" w:hAnsi="Times New Roman" w:cs="Times New Roman"/>
                              </w:rPr>
                            </w:pPr>
                          </w:p>
                          <w:p w14:paraId="2A388FA8" w14:textId="7FCCB99D" w:rsidR="00BC0CFA" w:rsidRDefault="00BC0CFA" w:rsidP="00547D47">
                            <w:pPr>
                              <w:spacing w:line="276" w:lineRule="auto"/>
                              <w:jc w:val="both"/>
                              <w:rPr>
                                <w:rFonts w:ascii="Times New Roman" w:hAnsi="Times New Roman" w:cs="Times New Roman"/>
                              </w:rPr>
                            </w:pPr>
                            <w:r w:rsidRPr="00F82299">
                              <w:rPr>
                                <w:rFonts w:ascii="Times New Roman" w:hAnsi="Times New Roman" w:cs="Times New Roman"/>
                              </w:rPr>
                              <w:t>However, fadys can also threaten wildlife: Beliefs that seeing an aye-aye (</w:t>
                            </w:r>
                            <w:r w:rsidRPr="00F82299">
                              <w:rPr>
                                <w:rFonts w:ascii="Times New Roman" w:hAnsi="Times New Roman" w:cs="Times New Roman"/>
                                <w:i/>
                              </w:rPr>
                              <w:t>Daubentonia madagascariensis</w:t>
                            </w:r>
                            <w:r w:rsidRPr="00F82299">
                              <w:rPr>
                                <w:rFonts w:ascii="Times New Roman" w:hAnsi="Times New Roman" w:cs="Times New Roman"/>
                              </w:rPr>
                              <w:t xml:space="preserve">, </w:t>
                            </w:r>
                            <w:r w:rsidRPr="00AB1FBF">
                              <w:rPr>
                                <w:rFonts w:ascii="Times New Roman" w:hAnsi="Times New Roman" w:cs="Times New Roman"/>
                              </w:rPr>
                              <w:t>Endangered</w:t>
                            </w:r>
                            <w:r>
                              <w:rPr>
                                <w:rFonts w:ascii="Times New Roman" w:hAnsi="Times New Roman" w:cs="Times New Roman"/>
                              </w:rPr>
                              <w:t>)</w:t>
                            </w:r>
                            <w:r w:rsidRPr="00AB1FBF">
                              <w:rPr>
                                <w:rFonts w:ascii="Times New Roman" w:hAnsi="Times New Roman" w:cs="Times New Roman"/>
                              </w:rPr>
                              <w:t xml:space="preserve"> </w:t>
                            </w:r>
                            <w:r w:rsidRPr="00F82299">
                              <w:rPr>
                                <w:rFonts w:ascii="Times New Roman" w:hAnsi="Times New Roman" w:cs="Times New Roman"/>
                              </w:rPr>
                              <w:t>will result in sickness and death (Goodman, 2015) can lead to the killing those straying close to villages in parts of Madagascar. Little has been published on other fadys or cultural beliefs that may have negative outcomes for biodiversity, but there are particular snake species viewed as dangerous, despite not being venomous, and these can be killed out of fear (Tingle, 2012).</w:t>
                            </w:r>
                          </w:p>
                          <w:p w14:paraId="3E3415A4" w14:textId="77777777" w:rsidR="00BC0CFA" w:rsidRPr="00F82299" w:rsidRDefault="00BC0CFA" w:rsidP="00547D47">
                            <w:pPr>
                              <w:spacing w:line="276" w:lineRule="auto"/>
                              <w:jc w:val="both"/>
                              <w:rPr>
                                <w:rFonts w:ascii="Times New Roman" w:hAnsi="Times New Roman" w:cs="Times New Roman"/>
                              </w:rPr>
                            </w:pPr>
                          </w:p>
                          <w:p w14:paraId="343724B2" w14:textId="0BB2CFDE" w:rsidR="00BC0CFA" w:rsidRPr="00F82299" w:rsidRDefault="00BC0CFA" w:rsidP="00547D47">
                            <w:pPr>
                              <w:spacing w:line="276" w:lineRule="auto"/>
                              <w:jc w:val="both"/>
                              <w:rPr>
                                <w:rFonts w:ascii="Times New Roman" w:hAnsi="Times New Roman" w:cs="Times New Roman"/>
                              </w:rPr>
                            </w:pPr>
                            <w:r w:rsidRPr="00F82299">
                              <w:rPr>
                                <w:rFonts w:ascii="Times New Roman" w:hAnsi="Times New Roman" w:cs="Times New Roman"/>
                              </w:rPr>
                              <w:t xml:space="preserve">Over-reliance on informal institutions for biodiversity protection should be avoided: There can be a danger in relying too much on informal institutions alone for protection of biodiversity. Jones </w:t>
                            </w:r>
                            <w:r w:rsidRPr="000429F8">
                              <w:rPr>
                                <w:rFonts w:ascii="Times New Roman" w:hAnsi="Times New Roman" w:cs="Times New Roman"/>
                                <w:i/>
                              </w:rPr>
                              <w:t>et al.</w:t>
                            </w:r>
                            <w:r w:rsidRPr="00F82299">
                              <w:rPr>
                                <w:rFonts w:ascii="Times New Roman" w:hAnsi="Times New Roman" w:cs="Times New Roman"/>
                              </w:rPr>
                              <w:t xml:space="preserve">, (2008) found evidence that fadys can evolve and change in response to economic drivers, e.g. a fady on selling wild-harvested species broke down in response to failed harvests. Jenkins </w:t>
                            </w:r>
                            <w:r w:rsidRPr="000429F8">
                              <w:rPr>
                                <w:rFonts w:ascii="Times New Roman" w:hAnsi="Times New Roman" w:cs="Times New Roman"/>
                                <w:i/>
                              </w:rPr>
                              <w:t>et al.</w:t>
                            </w:r>
                            <w:r w:rsidRPr="00F82299">
                              <w:rPr>
                                <w:rFonts w:ascii="Times New Roman" w:hAnsi="Times New Roman" w:cs="Times New Roman"/>
                              </w:rPr>
                              <w:t xml:space="preserve">, (2011) documented increased in bushmeat consumption in eastern Madagascar, which included many typically fady species. Areas where consumption increased tended to have rapid recent immigration and economic development. Immigration leading to social change can weaken traditional beliefs (Jenkins </w:t>
                            </w:r>
                            <w:r w:rsidRPr="000429F8">
                              <w:rPr>
                                <w:rFonts w:ascii="Times New Roman" w:hAnsi="Times New Roman" w:cs="Times New Roman"/>
                                <w:i/>
                              </w:rPr>
                              <w:t>et al.</w:t>
                            </w:r>
                            <w:r w:rsidRPr="00F82299">
                              <w:rPr>
                                <w:rFonts w:ascii="Times New Roman" w:hAnsi="Times New Roman" w:cs="Times New Roman"/>
                              </w:rPr>
                              <w:t>, 2013). Fadys may be very specific, only applying to certain people or areas. For example</w:t>
                            </w:r>
                            <w:r>
                              <w:rPr>
                                <w:rFonts w:ascii="Times New Roman" w:hAnsi="Times New Roman" w:cs="Times New Roman"/>
                              </w:rPr>
                              <w:t>, Kaufmann</w:t>
                            </w:r>
                            <w:r w:rsidRPr="00F82299">
                              <w:rPr>
                                <w:rFonts w:ascii="Times New Roman" w:hAnsi="Times New Roman" w:cs="Times New Roman"/>
                              </w:rPr>
                              <w:t xml:space="preserve"> (2014) found that a fady protecting radiated tortoises (</w:t>
                            </w:r>
                            <w:r w:rsidRPr="00AB1FBF">
                              <w:rPr>
                                <w:rFonts w:ascii="Times New Roman" w:hAnsi="Times New Roman" w:cs="Times New Roman"/>
                                <w:i/>
                              </w:rPr>
                              <w:t xml:space="preserve">Astrochelys </w:t>
                            </w:r>
                            <w:r>
                              <w:rPr>
                                <w:rFonts w:ascii="Times New Roman" w:hAnsi="Times New Roman" w:cs="Times New Roman"/>
                                <w:i/>
                              </w:rPr>
                              <w:t>radiate,</w:t>
                            </w:r>
                            <w:r w:rsidRPr="00F82299">
                              <w:rPr>
                                <w:rFonts w:ascii="Times New Roman" w:hAnsi="Times New Roman" w:cs="Times New Roman"/>
                              </w:rPr>
                              <w:t xml:space="preserve"> </w:t>
                            </w:r>
                            <w:r w:rsidRPr="00AB1FBF">
                              <w:rPr>
                                <w:rFonts w:ascii="Times New Roman" w:hAnsi="Times New Roman" w:cs="Times New Roman"/>
                              </w:rPr>
                              <w:t>Critically Endangered</w:t>
                            </w:r>
                            <w:r>
                              <w:rPr>
                                <w:rFonts w:ascii="Times New Roman" w:hAnsi="Times New Roman" w:cs="Times New Roman"/>
                              </w:rPr>
                              <w:t>)</w:t>
                            </w:r>
                            <w:r w:rsidRPr="00F82299">
                              <w:rPr>
                                <w:rFonts w:ascii="Times New Roman" w:hAnsi="Times New Roman" w:cs="Times New Roman"/>
                              </w:rPr>
                              <w:t xml:space="preserve"> was only prevalent in a few local villages, and the tortoises were still being killed in large numbers by other people passing through. Fadys may also break down where local people lose the right to manage their natural resources. After a clamp-down by park officials on tavy (slash and burn agriculture) in Ranomafana National Park, villagers were observed killing a radio-collared sifaka (</w:t>
                            </w:r>
                            <w:r w:rsidRPr="00F82299">
                              <w:rPr>
                                <w:rFonts w:ascii="Times New Roman" w:hAnsi="Times New Roman" w:cs="Times New Roman"/>
                                <w:i/>
                              </w:rPr>
                              <w:t>Propithecus edwardsi,</w:t>
                            </w:r>
                            <w:r w:rsidRPr="00F82299">
                              <w:rPr>
                                <w:rFonts w:ascii="Times New Roman" w:hAnsi="Times New Roman" w:cs="Times New Roman"/>
                              </w:rPr>
                              <w:t xml:space="preserve"> </w:t>
                            </w:r>
                            <w:r w:rsidRPr="00AB1FBF">
                              <w:rPr>
                                <w:rFonts w:ascii="Times New Roman" w:hAnsi="Times New Roman" w:cs="Times New Roman"/>
                              </w:rPr>
                              <w:t>Endangered</w:t>
                            </w:r>
                            <w:r w:rsidRPr="00F82299">
                              <w:rPr>
                                <w:rFonts w:ascii="Times New Roman" w:hAnsi="Times New Roman" w:cs="Times New Roman"/>
                              </w:rPr>
                              <w:t xml:space="preserve">), which is normally fady to kill, in order to express their anger to park officials after being excluded from an area of forest (Jones </w:t>
                            </w:r>
                            <w:r w:rsidRPr="000429F8">
                              <w:rPr>
                                <w:rFonts w:ascii="Times New Roman" w:hAnsi="Times New Roman" w:cs="Times New Roman"/>
                                <w:i/>
                              </w:rPr>
                              <w:t>et al.</w:t>
                            </w:r>
                            <w:r w:rsidRPr="00F82299">
                              <w:rPr>
                                <w:rFonts w:ascii="Times New Roman" w:hAnsi="Times New Roman" w:cs="Times New Roman"/>
                              </w:rPr>
                              <w:t>, 2008).</w:t>
                            </w:r>
                          </w:p>
                        </w:txbxContent>
                      </wps:txbx>
                      <wps:bodyPr lIns="91425" tIns="45700" rIns="91425" bIns="45700" anchor="t" anchorCtr="0">
                        <a:noAutofit/>
                      </wps:bodyPr>
                    </wps:wsp>
                  </a:graphicData>
                </a:graphic>
              </wp:inline>
            </w:drawing>
          </mc:Choice>
          <mc:Fallback>
            <w:pict>
              <v:rect w14:anchorId="7497A7C7" id="Rectangle 293" o:spid="_x0000_s1059" style="width:450.55pt;height:66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" fillcolor="#f2f2f2 [3052]" strokecolor="#525252">
                <v:textbox inset="2.53958mm,1.2694mm,2.53958mm,1.2694mm">
                  <w:txbxContent>
                    <w:p w14:paraId="3B051609" w14:textId="77777777" w:rsidR="00BC0CFA" w:rsidRDefault="00BC0CFA" w:rsidP="00547D47">
                      <w:pPr>
                        <w:spacing w:line="276" w:lineRule="auto"/>
                        <w:jc w:val="both"/>
                        <w:textDirection w:val="btLr"/>
                        <w:rPr>
                          <w:rFonts w:ascii="Times New Roman" w:hAnsi="Times New Roman" w:cs="Times New Roman"/>
                          <w:b/>
                        </w:rPr>
                      </w:pPr>
                      <w:r w:rsidRPr="00F82299">
                        <w:rPr>
                          <w:rFonts w:ascii="Times New Roman" w:hAnsi="Times New Roman" w:cs="Times New Roman"/>
                          <w:b/>
                        </w:rPr>
                        <w:t>Box 6.21: Informal institutions and customary norms can have both positive and negative effects on biodiversity and ecosystem services</w:t>
                      </w:r>
                    </w:p>
                    <w:p w14:paraId="3CFF876C" w14:textId="77777777" w:rsidR="00BC0CFA" w:rsidRPr="00DE16B7" w:rsidRDefault="00BC0CFA" w:rsidP="00547D47">
                      <w:pPr>
                        <w:spacing w:line="276" w:lineRule="auto"/>
                        <w:jc w:val="both"/>
                        <w:textDirection w:val="btLr"/>
                        <w:rPr>
                          <w:rFonts w:ascii="Times New Roman" w:hAnsi="Times New Roman" w:cs="Times New Roman"/>
                        </w:rPr>
                      </w:pPr>
                    </w:p>
                    <w:p w14:paraId="4D2B2F03" w14:textId="575B9F1B" w:rsidR="00BC0CFA" w:rsidRDefault="00BC0CFA" w:rsidP="00547D47">
                      <w:pPr>
                        <w:spacing w:line="276" w:lineRule="auto"/>
                        <w:jc w:val="both"/>
                        <w:rPr>
                          <w:rFonts w:ascii="Times New Roman" w:hAnsi="Times New Roman" w:cs="Times New Roman"/>
                        </w:rPr>
                      </w:pPr>
                      <w:r w:rsidRPr="00F82299">
                        <w:rPr>
                          <w:rFonts w:ascii="Times New Roman" w:hAnsi="Times New Roman" w:cs="Times New Roman"/>
                        </w:rPr>
                        <w:t>In Madagascar, ‘Fadys’ are system</w:t>
                      </w:r>
                      <w:r>
                        <w:rPr>
                          <w:rFonts w:ascii="Times New Roman" w:hAnsi="Times New Roman" w:cs="Times New Roman"/>
                        </w:rPr>
                        <w:t>s</w:t>
                      </w:r>
                      <w:r w:rsidRPr="00F82299">
                        <w:rPr>
                          <w:rFonts w:ascii="Times New Roman" w:hAnsi="Times New Roman" w:cs="Times New Roman"/>
                        </w:rPr>
                        <w:t xml:space="preserve"> of informal institutions </w:t>
                      </w:r>
                      <w:r>
                        <w:rPr>
                          <w:rFonts w:ascii="Times New Roman" w:hAnsi="Times New Roman" w:cs="Times New Roman"/>
                        </w:rPr>
                        <w:t xml:space="preserve">that </w:t>
                      </w:r>
                      <w:r w:rsidRPr="00F82299">
                        <w:rPr>
                          <w:rFonts w:ascii="Times New Roman" w:hAnsi="Times New Roman" w:cs="Times New Roman"/>
                        </w:rPr>
                        <w:t xml:space="preserve">can make certain behaviours ‘taboo’ or forbidden, and are a strong part of Malagasy culture. They can vary from encouraging good manners, to strict rules linked to spiritual and ancestral beliefs and many are related to plant and animal species and natural resources (Jones </w:t>
                      </w:r>
                      <w:r w:rsidRPr="000429F8">
                        <w:rPr>
                          <w:rFonts w:ascii="Times New Roman" w:hAnsi="Times New Roman" w:cs="Times New Roman"/>
                          <w:i/>
                        </w:rPr>
                        <w:t>et al.</w:t>
                      </w:r>
                      <w:r w:rsidRPr="00F82299">
                        <w:rPr>
                          <w:rFonts w:ascii="Times New Roman" w:hAnsi="Times New Roman" w:cs="Times New Roman"/>
                        </w:rPr>
                        <w:t>, 2008). Breaking fadys risks supernatural retribution, affecting individuals or leading to wider consequences; for example</w:t>
                      </w:r>
                      <w:r>
                        <w:rPr>
                          <w:rFonts w:ascii="Times New Roman" w:hAnsi="Times New Roman" w:cs="Times New Roman"/>
                        </w:rPr>
                        <w:t>,</w:t>
                      </w:r>
                      <w:r w:rsidRPr="00F82299">
                        <w:rPr>
                          <w:rFonts w:ascii="Times New Roman" w:hAnsi="Times New Roman" w:cs="Times New Roman"/>
                        </w:rPr>
                        <w:t xml:space="preserve"> a river drying up in western Madagascar was blamed on migrants breaking the fady banning pig farming in the region (Scales, 2012).</w:t>
                      </w:r>
                    </w:p>
                    <w:p w14:paraId="31FB1A72" w14:textId="77777777" w:rsidR="00BC0CFA" w:rsidRPr="00F82299" w:rsidRDefault="00BC0CFA" w:rsidP="00547D47">
                      <w:pPr>
                        <w:spacing w:line="276" w:lineRule="auto"/>
                        <w:jc w:val="both"/>
                        <w:rPr>
                          <w:rFonts w:ascii="Times New Roman" w:hAnsi="Times New Roman" w:cs="Times New Roman"/>
                        </w:rPr>
                      </w:pPr>
                    </w:p>
                    <w:p w14:paraId="703032EB" w14:textId="23057507" w:rsidR="00BC0CFA" w:rsidRDefault="00BC0CFA" w:rsidP="00547D47">
                      <w:pPr>
                        <w:spacing w:line="276" w:lineRule="auto"/>
                        <w:jc w:val="both"/>
                        <w:textDirection w:val="btLr"/>
                        <w:rPr>
                          <w:rFonts w:ascii="Times New Roman" w:hAnsi="Times New Roman" w:cs="Times New Roman"/>
                        </w:rPr>
                      </w:pPr>
                      <w:r w:rsidRPr="00F82299">
                        <w:rPr>
                          <w:rFonts w:ascii="Times New Roman" w:hAnsi="Times New Roman" w:cs="Times New Roman"/>
                        </w:rPr>
                        <w:t xml:space="preserve">Fadys can protect endemic species and habitats: Jones </w:t>
                      </w:r>
                      <w:r w:rsidRPr="000429F8">
                        <w:rPr>
                          <w:rFonts w:ascii="Times New Roman" w:hAnsi="Times New Roman" w:cs="Times New Roman"/>
                          <w:i/>
                        </w:rPr>
                        <w:t>et al.</w:t>
                      </w:r>
                      <w:r w:rsidRPr="00F82299">
                        <w:rPr>
                          <w:rFonts w:ascii="Times New Roman" w:hAnsi="Times New Roman" w:cs="Times New Roman"/>
                        </w:rPr>
                        <w:t>, (2008) concluded that in their study area in Eastern Madagascar, fadys provided significant protection to 5 species considered threatened according to IUCN. It is fady to kill many lemur species because they are believed to represent Malagasy ancestors, and fossa (</w:t>
                      </w:r>
                      <w:r w:rsidRPr="00F82299">
                        <w:rPr>
                          <w:rFonts w:ascii="Times New Roman" w:hAnsi="Times New Roman" w:cs="Times New Roman"/>
                          <w:i/>
                        </w:rPr>
                        <w:t xml:space="preserve">Cryptoprocta ferox, </w:t>
                      </w:r>
                      <w:r w:rsidRPr="00F9557E">
                        <w:rPr>
                          <w:rFonts w:ascii="Times New Roman" w:hAnsi="Times New Roman" w:cs="Times New Roman"/>
                        </w:rPr>
                        <w:t>Vulnerable</w:t>
                      </w:r>
                      <w:r>
                        <w:rPr>
                          <w:rFonts w:ascii="Times New Roman" w:hAnsi="Times New Roman" w:cs="Times New Roman"/>
                        </w:rPr>
                        <w:t>)</w:t>
                      </w:r>
                      <w:r w:rsidRPr="00F82299">
                        <w:rPr>
                          <w:rFonts w:ascii="Times New Roman" w:hAnsi="Times New Roman" w:cs="Times New Roman"/>
                        </w:rPr>
                        <w:t xml:space="preserve"> are fady to eat because they predate on lemurs i.e.</w:t>
                      </w:r>
                      <w:r>
                        <w:rPr>
                          <w:rFonts w:ascii="Times New Roman" w:hAnsi="Times New Roman" w:cs="Times New Roman"/>
                        </w:rPr>
                        <w:t>,</w:t>
                      </w:r>
                      <w:r w:rsidRPr="00F82299">
                        <w:rPr>
                          <w:rFonts w:ascii="Times New Roman" w:hAnsi="Times New Roman" w:cs="Times New Roman"/>
                        </w:rPr>
                        <w:t xml:space="preserve"> eat the bodies of ancestors (Jones </w:t>
                      </w:r>
                      <w:r w:rsidRPr="000429F8">
                        <w:rPr>
                          <w:rFonts w:ascii="Times New Roman" w:hAnsi="Times New Roman" w:cs="Times New Roman"/>
                          <w:i/>
                        </w:rPr>
                        <w:t>et al.</w:t>
                      </w:r>
                      <w:r w:rsidRPr="00F82299">
                        <w:rPr>
                          <w:rFonts w:ascii="Times New Roman" w:hAnsi="Times New Roman" w:cs="Times New Roman"/>
                        </w:rPr>
                        <w:t>, 2008).</w:t>
                      </w:r>
                    </w:p>
                    <w:p w14:paraId="09325A97" w14:textId="77777777" w:rsidR="00BC0CFA" w:rsidRPr="00F82299" w:rsidRDefault="00BC0CFA" w:rsidP="00547D47">
                      <w:pPr>
                        <w:spacing w:line="276" w:lineRule="auto"/>
                        <w:jc w:val="both"/>
                        <w:textDirection w:val="btLr"/>
                        <w:rPr>
                          <w:rFonts w:ascii="Times New Roman" w:hAnsi="Times New Roman" w:cs="Times New Roman"/>
                        </w:rPr>
                      </w:pPr>
                    </w:p>
                    <w:p w14:paraId="19421C3A" w14:textId="6AA7AAF2" w:rsidR="00BC0CFA" w:rsidRDefault="00BC0CFA" w:rsidP="00547D47">
                      <w:pPr>
                        <w:spacing w:line="276" w:lineRule="auto"/>
                        <w:jc w:val="both"/>
                        <w:rPr>
                          <w:rFonts w:ascii="Times New Roman" w:hAnsi="Times New Roman" w:cs="Times New Roman"/>
                        </w:rPr>
                      </w:pPr>
                      <w:r w:rsidRPr="00F82299">
                        <w:rPr>
                          <w:rFonts w:ascii="Times New Roman" w:hAnsi="Times New Roman" w:cs="Times New Roman"/>
                        </w:rPr>
                        <w:t xml:space="preserve">When surveying hunting and consumption in Eastern Madagascar, Jenkins </w:t>
                      </w:r>
                      <w:r w:rsidRPr="000429F8">
                        <w:rPr>
                          <w:rFonts w:ascii="Times New Roman" w:hAnsi="Times New Roman" w:cs="Times New Roman"/>
                          <w:i/>
                        </w:rPr>
                        <w:t>et al.</w:t>
                      </w:r>
                      <w:r w:rsidRPr="00F82299">
                        <w:rPr>
                          <w:rFonts w:ascii="Times New Roman" w:hAnsi="Times New Roman" w:cs="Times New Roman"/>
                        </w:rPr>
                        <w:t xml:space="preserve"> (2011) found that species reported as fady to eat by a high proportion of </w:t>
                      </w:r>
                      <w:r>
                        <w:rPr>
                          <w:rFonts w:ascii="Times New Roman" w:hAnsi="Times New Roman" w:cs="Times New Roman"/>
                        </w:rPr>
                        <w:t>respondents</w:t>
                      </w:r>
                      <w:r w:rsidRPr="00F82299">
                        <w:rPr>
                          <w:rFonts w:ascii="Times New Roman" w:hAnsi="Times New Roman" w:cs="Times New Roman"/>
                        </w:rPr>
                        <w:t>, tended to be eaten less frequently. Fadys may also offer protection to important habitats, with some areas of forest where people are not allowed to collect wood, clear forest or even travel through in cases where they contain family tombs (Scales, 2012).</w:t>
                      </w:r>
                    </w:p>
                    <w:p w14:paraId="6BC9F7CB" w14:textId="77777777" w:rsidR="00BC0CFA" w:rsidRPr="00F82299" w:rsidRDefault="00BC0CFA" w:rsidP="00547D47">
                      <w:pPr>
                        <w:spacing w:line="276" w:lineRule="auto"/>
                        <w:jc w:val="both"/>
                        <w:rPr>
                          <w:rFonts w:ascii="Times New Roman" w:hAnsi="Times New Roman" w:cs="Times New Roman"/>
                        </w:rPr>
                      </w:pPr>
                    </w:p>
                    <w:p w14:paraId="2A388FA8" w14:textId="7FCCB99D" w:rsidR="00BC0CFA" w:rsidRDefault="00BC0CFA" w:rsidP="00547D47">
                      <w:pPr>
                        <w:spacing w:line="276" w:lineRule="auto"/>
                        <w:jc w:val="both"/>
                        <w:rPr>
                          <w:rFonts w:ascii="Times New Roman" w:hAnsi="Times New Roman" w:cs="Times New Roman"/>
                        </w:rPr>
                      </w:pPr>
                      <w:r w:rsidRPr="00F82299">
                        <w:rPr>
                          <w:rFonts w:ascii="Times New Roman" w:hAnsi="Times New Roman" w:cs="Times New Roman"/>
                        </w:rPr>
                        <w:t>However, fadys can also threaten wildlife: Beliefs that seeing an aye-aye (</w:t>
                      </w:r>
                      <w:r w:rsidRPr="00F82299">
                        <w:rPr>
                          <w:rFonts w:ascii="Times New Roman" w:hAnsi="Times New Roman" w:cs="Times New Roman"/>
                          <w:i/>
                        </w:rPr>
                        <w:t>Daubentonia madagascariensis</w:t>
                      </w:r>
                      <w:r w:rsidRPr="00F82299">
                        <w:rPr>
                          <w:rFonts w:ascii="Times New Roman" w:hAnsi="Times New Roman" w:cs="Times New Roman"/>
                        </w:rPr>
                        <w:t xml:space="preserve">, </w:t>
                      </w:r>
                      <w:r w:rsidRPr="00AB1FBF">
                        <w:rPr>
                          <w:rFonts w:ascii="Times New Roman" w:hAnsi="Times New Roman" w:cs="Times New Roman"/>
                        </w:rPr>
                        <w:t>Endangered</w:t>
                      </w:r>
                      <w:r>
                        <w:rPr>
                          <w:rFonts w:ascii="Times New Roman" w:hAnsi="Times New Roman" w:cs="Times New Roman"/>
                        </w:rPr>
                        <w:t>)</w:t>
                      </w:r>
                      <w:r w:rsidRPr="00AB1FBF">
                        <w:rPr>
                          <w:rFonts w:ascii="Times New Roman" w:hAnsi="Times New Roman" w:cs="Times New Roman"/>
                        </w:rPr>
                        <w:t xml:space="preserve"> </w:t>
                      </w:r>
                      <w:r w:rsidRPr="00F82299">
                        <w:rPr>
                          <w:rFonts w:ascii="Times New Roman" w:hAnsi="Times New Roman" w:cs="Times New Roman"/>
                        </w:rPr>
                        <w:t>will result in sickness and death (Goodman, 2015) can lead to the killing those straying close to villages in parts of Madagascar. Little has been published on other fadys or cultural beliefs that may have negative outcomes for biodiversity, but there are particular snake species viewed as dangerous, despite not being venomous, and these can be killed out of fear (Tingle, 2012).</w:t>
                      </w:r>
                    </w:p>
                    <w:p w14:paraId="3E3415A4" w14:textId="77777777" w:rsidR="00BC0CFA" w:rsidRPr="00F82299" w:rsidRDefault="00BC0CFA" w:rsidP="00547D47">
                      <w:pPr>
                        <w:spacing w:line="276" w:lineRule="auto"/>
                        <w:jc w:val="both"/>
                        <w:rPr>
                          <w:rFonts w:ascii="Times New Roman" w:hAnsi="Times New Roman" w:cs="Times New Roman"/>
                        </w:rPr>
                      </w:pPr>
                    </w:p>
                    <w:p w14:paraId="343724B2" w14:textId="0BB2CFDE" w:rsidR="00BC0CFA" w:rsidRPr="00F82299" w:rsidRDefault="00BC0CFA" w:rsidP="00547D47">
                      <w:pPr>
                        <w:spacing w:line="276" w:lineRule="auto"/>
                        <w:jc w:val="both"/>
                        <w:rPr>
                          <w:rFonts w:ascii="Times New Roman" w:hAnsi="Times New Roman" w:cs="Times New Roman"/>
                        </w:rPr>
                      </w:pPr>
                      <w:r w:rsidRPr="00F82299">
                        <w:rPr>
                          <w:rFonts w:ascii="Times New Roman" w:hAnsi="Times New Roman" w:cs="Times New Roman"/>
                        </w:rPr>
                        <w:t xml:space="preserve">Over-reliance on informal institutions for biodiversity protection should be avoided: There can be a danger in relying too much on informal institutions alone for protection of biodiversity. Jones </w:t>
                      </w:r>
                      <w:r w:rsidRPr="000429F8">
                        <w:rPr>
                          <w:rFonts w:ascii="Times New Roman" w:hAnsi="Times New Roman" w:cs="Times New Roman"/>
                          <w:i/>
                        </w:rPr>
                        <w:t>et al.</w:t>
                      </w:r>
                      <w:r w:rsidRPr="00F82299">
                        <w:rPr>
                          <w:rFonts w:ascii="Times New Roman" w:hAnsi="Times New Roman" w:cs="Times New Roman"/>
                        </w:rPr>
                        <w:t xml:space="preserve">, (2008) found evidence that fadys can evolve and change in response to economic drivers, e.g. a fady on selling wild-harvested species broke down in response to failed harvests. Jenkins </w:t>
                      </w:r>
                      <w:r w:rsidRPr="000429F8">
                        <w:rPr>
                          <w:rFonts w:ascii="Times New Roman" w:hAnsi="Times New Roman" w:cs="Times New Roman"/>
                          <w:i/>
                        </w:rPr>
                        <w:t>et al.</w:t>
                      </w:r>
                      <w:r w:rsidRPr="00F82299">
                        <w:rPr>
                          <w:rFonts w:ascii="Times New Roman" w:hAnsi="Times New Roman" w:cs="Times New Roman"/>
                        </w:rPr>
                        <w:t xml:space="preserve">, (2011) documented increased in bushmeat consumption in eastern Madagascar, which included many typically fady species. Areas where consumption increased tended to have rapid recent immigration and economic development. Immigration leading to social change can weaken traditional beliefs (Jenkins </w:t>
                      </w:r>
                      <w:r w:rsidRPr="000429F8">
                        <w:rPr>
                          <w:rFonts w:ascii="Times New Roman" w:hAnsi="Times New Roman" w:cs="Times New Roman"/>
                          <w:i/>
                        </w:rPr>
                        <w:t>et al.</w:t>
                      </w:r>
                      <w:r w:rsidRPr="00F82299">
                        <w:rPr>
                          <w:rFonts w:ascii="Times New Roman" w:hAnsi="Times New Roman" w:cs="Times New Roman"/>
                        </w:rPr>
                        <w:t>, 2013). Fadys may be very specific, only applying to certain people or areas. For example</w:t>
                      </w:r>
                      <w:r>
                        <w:rPr>
                          <w:rFonts w:ascii="Times New Roman" w:hAnsi="Times New Roman" w:cs="Times New Roman"/>
                        </w:rPr>
                        <w:t>, Kaufmann</w:t>
                      </w:r>
                      <w:r w:rsidRPr="00F82299">
                        <w:rPr>
                          <w:rFonts w:ascii="Times New Roman" w:hAnsi="Times New Roman" w:cs="Times New Roman"/>
                        </w:rPr>
                        <w:t xml:space="preserve"> (2014) found that a fady protecting radiated tortoises (</w:t>
                      </w:r>
                      <w:r w:rsidRPr="00AB1FBF">
                        <w:rPr>
                          <w:rFonts w:ascii="Times New Roman" w:hAnsi="Times New Roman" w:cs="Times New Roman"/>
                          <w:i/>
                        </w:rPr>
                        <w:t xml:space="preserve">Astrochelys </w:t>
                      </w:r>
                      <w:r>
                        <w:rPr>
                          <w:rFonts w:ascii="Times New Roman" w:hAnsi="Times New Roman" w:cs="Times New Roman"/>
                          <w:i/>
                        </w:rPr>
                        <w:t>radiate,</w:t>
                      </w:r>
                      <w:r w:rsidRPr="00F82299">
                        <w:rPr>
                          <w:rFonts w:ascii="Times New Roman" w:hAnsi="Times New Roman" w:cs="Times New Roman"/>
                        </w:rPr>
                        <w:t xml:space="preserve"> </w:t>
                      </w:r>
                      <w:r w:rsidRPr="00AB1FBF">
                        <w:rPr>
                          <w:rFonts w:ascii="Times New Roman" w:hAnsi="Times New Roman" w:cs="Times New Roman"/>
                        </w:rPr>
                        <w:t>Critically Endangered</w:t>
                      </w:r>
                      <w:r>
                        <w:rPr>
                          <w:rFonts w:ascii="Times New Roman" w:hAnsi="Times New Roman" w:cs="Times New Roman"/>
                        </w:rPr>
                        <w:t>)</w:t>
                      </w:r>
                      <w:r w:rsidRPr="00F82299">
                        <w:rPr>
                          <w:rFonts w:ascii="Times New Roman" w:hAnsi="Times New Roman" w:cs="Times New Roman"/>
                        </w:rPr>
                        <w:t xml:space="preserve"> was only prevalent in a few local villages, and the tortoises were still being killed in large numbers by other people passing through. Fadys may also break down where local people lose the right to manage their natural resources. After a clamp-down by park officials on tavy (slash and burn agriculture) in Ranomafana National Park, villagers were observed killing a radio-collared sifaka (</w:t>
                      </w:r>
                      <w:r w:rsidRPr="00F82299">
                        <w:rPr>
                          <w:rFonts w:ascii="Times New Roman" w:hAnsi="Times New Roman" w:cs="Times New Roman"/>
                          <w:i/>
                        </w:rPr>
                        <w:t>Propithecus edwardsi,</w:t>
                      </w:r>
                      <w:r w:rsidRPr="00F82299">
                        <w:rPr>
                          <w:rFonts w:ascii="Times New Roman" w:hAnsi="Times New Roman" w:cs="Times New Roman"/>
                        </w:rPr>
                        <w:t xml:space="preserve"> </w:t>
                      </w:r>
                      <w:r w:rsidRPr="00AB1FBF">
                        <w:rPr>
                          <w:rFonts w:ascii="Times New Roman" w:hAnsi="Times New Roman" w:cs="Times New Roman"/>
                        </w:rPr>
                        <w:t>Endangered</w:t>
                      </w:r>
                      <w:r w:rsidRPr="00F82299">
                        <w:rPr>
                          <w:rFonts w:ascii="Times New Roman" w:hAnsi="Times New Roman" w:cs="Times New Roman"/>
                        </w:rPr>
                        <w:t xml:space="preserve">), which is normally fady to kill, in order to express their anger to park officials after being excluded from an area of forest (Jones </w:t>
                      </w:r>
                      <w:r w:rsidRPr="000429F8">
                        <w:rPr>
                          <w:rFonts w:ascii="Times New Roman" w:hAnsi="Times New Roman" w:cs="Times New Roman"/>
                          <w:i/>
                        </w:rPr>
                        <w:t>et al.</w:t>
                      </w:r>
                      <w:r w:rsidRPr="00F82299">
                        <w:rPr>
                          <w:rFonts w:ascii="Times New Roman" w:hAnsi="Times New Roman" w:cs="Times New Roman"/>
                        </w:rPr>
                        <w:t>, 2008).</w:t>
                      </w:r>
                    </w:p>
                  </w:txbxContent>
                </v:textbox>
                <w10:anchorlock/>
              </v:rect>
            </w:pict>
          </mc:Fallback>
        </mc:AlternateContent>
      </w:r>
    </w:p>
    <w:p w14:paraId="35AF00A1" w14:textId="77777777" w:rsidR="00F83B61" w:rsidRPr="009B0448" w:rsidRDefault="00F83B61" w:rsidP="009F0016">
      <w:pPr>
        <w:spacing w:line="276" w:lineRule="auto"/>
        <w:jc w:val="both"/>
        <w:rPr>
          <w:rFonts w:ascii="Times New Roman" w:hAnsi="Times New Roman" w:cs="Times New Roman"/>
        </w:rPr>
      </w:pPr>
    </w:p>
    <w:p w14:paraId="15B80040"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6C4EC44D" wp14:editId="51E5FF5F">
                <wp:extent cx="5727700" cy="4749282"/>
                <wp:effectExtent l="0" t="0" r="25400" b="13335"/>
                <wp:docPr id="38" name="Rectangle 38"/>
                <wp:cNvGraphicFramePr/>
                <a:graphic xmlns:a="http://schemas.openxmlformats.org/drawingml/2006/main">
                  <a:graphicData uri="http://schemas.microsoft.com/office/word/2010/wordprocessingShape">
                    <wps:wsp>
                      <wps:cNvSpPr/>
                      <wps:spPr>
                        <a:xfrm>
                          <a:off x="0" y="0"/>
                          <a:ext cx="5727700" cy="4749282"/>
                        </a:xfrm>
                        <a:prstGeom prst="rect">
                          <a:avLst/>
                        </a:prstGeom>
                        <a:solidFill>
                          <a:schemeClr val="bg1">
                            <a:lumMod val="95000"/>
                          </a:schemeClr>
                        </a:solidFill>
                        <a:ln w="9525" cap="flat" cmpd="sng">
                          <a:solidFill>
                            <a:srgbClr val="000000"/>
                          </a:solidFill>
                          <a:prstDash val="solid"/>
                          <a:miter/>
                          <a:headEnd type="none" w="med" len="med"/>
                          <a:tailEnd type="none" w="med" len="med"/>
                        </a:ln>
                      </wps:spPr>
                      <wps:txbx>
                        <w:txbxContent>
                          <w:p w14:paraId="65FA4726" w14:textId="77777777" w:rsidR="00BC0CFA" w:rsidRDefault="00BC0CFA" w:rsidP="00D972A5">
                            <w:pPr>
                              <w:spacing w:line="276" w:lineRule="auto"/>
                              <w:jc w:val="both"/>
                              <w:rPr>
                                <w:rFonts w:ascii="Times New Roman" w:hAnsi="Times New Roman" w:cs="Times New Roman"/>
                                <w:b/>
                              </w:rPr>
                            </w:pPr>
                            <w:r w:rsidRPr="00372283">
                              <w:rPr>
                                <w:rFonts w:ascii="Times New Roman" w:hAnsi="Times New Roman" w:cs="Times New Roman"/>
                                <w:b/>
                              </w:rPr>
                              <w:t>Box 6.22: The role of informal institutions in natural resource management</w:t>
                            </w:r>
                          </w:p>
                          <w:p w14:paraId="76D896C4" w14:textId="77777777" w:rsidR="00BC0CFA" w:rsidRPr="00372283" w:rsidRDefault="00BC0CFA" w:rsidP="00D972A5">
                            <w:pPr>
                              <w:spacing w:line="276" w:lineRule="auto"/>
                              <w:jc w:val="both"/>
                              <w:rPr>
                                <w:rFonts w:ascii="Times New Roman" w:hAnsi="Times New Roman" w:cs="Times New Roman"/>
                                <w:b/>
                              </w:rPr>
                            </w:pPr>
                          </w:p>
                          <w:p w14:paraId="032BA136" w14:textId="36D68B44" w:rsidR="00BC0CFA" w:rsidRDefault="00BC0CFA" w:rsidP="00D972A5">
                            <w:pPr>
                              <w:spacing w:line="276" w:lineRule="auto"/>
                              <w:jc w:val="both"/>
                              <w:rPr>
                                <w:rFonts w:ascii="Times New Roman" w:hAnsi="Times New Roman" w:cs="Times New Roman"/>
                              </w:rPr>
                            </w:pPr>
                            <w:r w:rsidRPr="00372283">
                              <w:rPr>
                                <w:rFonts w:ascii="Times New Roman" w:hAnsi="Times New Roman" w:cs="Times New Roman"/>
                              </w:rPr>
                              <w:t xml:space="preserve">Institutions and traditions among Afar communities include: 1) the </w:t>
                            </w:r>
                            <w:r w:rsidRPr="00372283">
                              <w:rPr>
                                <w:rFonts w:ascii="Times New Roman" w:hAnsi="Times New Roman" w:cs="Times New Roman"/>
                                <w:i/>
                              </w:rPr>
                              <w:t>Adda</w:t>
                            </w:r>
                            <w:r w:rsidRPr="00372283">
                              <w:rPr>
                                <w:rFonts w:ascii="Times New Roman" w:hAnsi="Times New Roman" w:cs="Times New Roman"/>
                              </w:rPr>
                              <w:t xml:space="preserve"> or a traditional Afar ruling system, where knowledgeable elders called ‘</w:t>
                            </w:r>
                            <w:r w:rsidRPr="00372283">
                              <w:rPr>
                                <w:rFonts w:ascii="Times New Roman" w:hAnsi="Times New Roman" w:cs="Times New Roman"/>
                                <w:i/>
                              </w:rPr>
                              <w:t>Asayamaras</w:t>
                            </w:r>
                            <w:r w:rsidRPr="00372283">
                              <w:rPr>
                                <w:rFonts w:ascii="Times New Roman" w:hAnsi="Times New Roman" w:cs="Times New Roman"/>
                              </w:rPr>
                              <w:t xml:space="preserve">’, respected and trusted by the community, direct almost all parts of life of Afar pastoral communities </w:t>
                            </w:r>
                            <w:r w:rsidRPr="00372283">
                              <w:rPr>
                                <w:rFonts w:ascii="Times New Roman" w:hAnsi="Times New Roman" w:cs="Times New Roman"/>
                                <w:noProof/>
                              </w:rPr>
                              <w:t xml:space="preserve">(Hailu </w:t>
                            </w:r>
                            <w:r w:rsidRPr="000429F8">
                              <w:rPr>
                                <w:rFonts w:ascii="Times New Roman" w:hAnsi="Times New Roman" w:cs="Times New Roman"/>
                                <w:i/>
                                <w:noProof/>
                              </w:rPr>
                              <w:t>et al.</w:t>
                            </w:r>
                            <w:r w:rsidRPr="00372283">
                              <w:rPr>
                                <w:rFonts w:ascii="Times New Roman" w:hAnsi="Times New Roman" w:cs="Times New Roman"/>
                                <w:noProof/>
                              </w:rPr>
                              <w:t>, 2008)</w:t>
                            </w:r>
                            <w:r w:rsidRPr="00372283">
                              <w:rPr>
                                <w:rFonts w:ascii="Times New Roman" w:hAnsi="Times New Roman" w:cs="Times New Roman"/>
                              </w:rPr>
                              <w:t xml:space="preserve">; 2) The </w:t>
                            </w:r>
                            <w:r w:rsidRPr="00372283">
                              <w:rPr>
                                <w:rFonts w:ascii="Times New Roman" w:hAnsi="Times New Roman" w:cs="Times New Roman"/>
                                <w:i/>
                              </w:rPr>
                              <w:t>Edo</w:t>
                            </w:r>
                            <w:r w:rsidRPr="00372283">
                              <w:rPr>
                                <w:rFonts w:ascii="Times New Roman" w:hAnsi="Times New Roman" w:cs="Times New Roman"/>
                              </w:rPr>
                              <w:t xml:space="preserve">, which is a traditional range scouting, is practiced whenever Afar pastoralists are faced with the prospects of unpredictable future weather'. The 'Edo's' or traditional rangeland scouts, usually strong young men of the village, who are sent to different places to collect information about weather, rangeland condition, local politics and other information relevant to the livelihoods of the pastoral communities </w:t>
                            </w:r>
                            <w:r w:rsidRPr="00372283">
                              <w:rPr>
                                <w:rFonts w:ascii="Times New Roman" w:hAnsi="Times New Roman" w:cs="Times New Roman"/>
                                <w:noProof/>
                              </w:rPr>
                              <w:t xml:space="preserve">(Tesfay </w:t>
                            </w:r>
                            <w:r w:rsidRPr="000429F8">
                              <w:rPr>
                                <w:rFonts w:ascii="Times New Roman" w:hAnsi="Times New Roman" w:cs="Times New Roman"/>
                                <w:i/>
                                <w:noProof/>
                              </w:rPr>
                              <w:t>et al.</w:t>
                            </w:r>
                            <w:r w:rsidRPr="00372283">
                              <w:rPr>
                                <w:rFonts w:ascii="Times New Roman" w:hAnsi="Times New Roman" w:cs="Times New Roman"/>
                                <w:noProof/>
                              </w:rPr>
                              <w:t>, 2004)</w:t>
                            </w:r>
                            <w:r>
                              <w:rPr>
                                <w:rFonts w:ascii="Times New Roman" w:hAnsi="Times New Roman" w:cs="Times New Roman"/>
                              </w:rPr>
                              <w:t>,</w:t>
                            </w:r>
                            <w:r w:rsidRPr="00372283">
                              <w:rPr>
                                <w:rFonts w:ascii="Times New Roman" w:hAnsi="Times New Roman" w:cs="Times New Roman"/>
                              </w:rPr>
                              <w:t xml:space="preserve"> and</w:t>
                            </w:r>
                            <w:r>
                              <w:rPr>
                                <w:rFonts w:ascii="Times New Roman" w:hAnsi="Times New Roman" w:cs="Times New Roman"/>
                              </w:rPr>
                              <w:t>;</w:t>
                            </w:r>
                            <w:r w:rsidRPr="00372283">
                              <w:rPr>
                                <w:rFonts w:ascii="Times New Roman" w:hAnsi="Times New Roman" w:cs="Times New Roman"/>
                              </w:rPr>
                              <w:t xml:space="preserve"> 3) The ‘</w:t>
                            </w:r>
                            <w:r w:rsidRPr="00372283">
                              <w:rPr>
                                <w:rFonts w:ascii="Times New Roman" w:hAnsi="Times New Roman" w:cs="Times New Roman"/>
                                <w:i/>
                              </w:rPr>
                              <w:t>Dagu’</w:t>
                            </w:r>
                            <w:r w:rsidRPr="00372283">
                              <w:rPr>
                                <w:rFonts w:ascii="Times New Roman" w:hAnsi="Times New Roman" w:cs="Times New Roman"/>
                              </w:rPr>
                              <w:t xml:space="preserve"> is an effective and reputable traditional human based information and knowledge sharing network, through which anything anywhere that is relevant to the pastoral life of the Afar, is made to reach to relevant individuals and households </w:t>
                            </w:r>
                            <w:r>
                              <w:rPr>
                                <w:rFonts w:ascii="Times New Roman" w:hAnsi="Times New Roman" w:cs="Times New Roman"/>
                                <w:noProof/>
                              </w:rPr>
                              <w:t>(Yimer, 2013</w:t>
                            </w:r>
                            <w:r w:rsidRPr="00372283">
                              <w:rPr>
                                <w:rFonts w:ascii="Times New Roman" w:hAnsi="Times New Roman" w:cs="Times New Roman"/>
                                <w:noProof/>
                              </w:rPr>
                              <w:t>)</w:t>
                            </w:r>
                            <w:r w:rsidRPr="00372283">
                              <w:rPr>
                                <w:rFonts w:ascii="Times New Roman" w:hAnsi="Times New Roman" w:cs="Times New Roman"/>
                              </w:rPr>
                              <w:t xml:space="preserve">. </w:t>
                            </w:r>
                          </w:p>
                          <w:p w14:paraId="3F609247" w14:textId="77777777" w:rsidR="00BC0CFA" w:rsidRPr="00372283" w:rsidRDefault="00BC0CFA" w:rsidP="00D972A5">
                            <w:pPr>
                              <w:spacing w:line="276" w:lineRule="auto"/>
                              <w:jc w:val="both"/>
                              <w:rPr>
                                <w:rFonts w:ascii="Times New Roman" w:hAnsi="Times New Roman" w:cs="Times New Roman"/>
                              </w:rPr>
                            </w:pPr>
                          </w:p>
                          <w:p w14:paraId="59E73201" w14:textId="030EEDB4" w:rsidR="00BC0CFA" w:rsidRPr="00372283" w:rsidRDefault="00BC0CFA" w:rsidP="00D972A5">
                            <w:pPr>
                              <w:spacing w:line="276" w:lineRule="auto"/>
                              <w:jc w:val="both"/>
                              <w:rPr>
                                <w:rFonts w:ascii="Times New Roman" w:hAnsi="Times New Roman" w:cs="Times New Roman"/>
                              </w:rPr>
                            </w:pPr>
                            <w:r w:rsidRPr="00372283">
                              <w:rPr>
                                <w:rFonts w:ascii="Times New Roman" w:hAnsi="Times New Roman" w:cs="Times New Roman"/>
                              </w:rPr>
                              <w:t xml:space="preserve">When any village or community in the Afar land is faced with the prospect of uncertain weather and a question of how to utilize and manage rangeland resources, information about future weather is collected from observation of biophysical entities and by traditional experts. The </w:t>
                            </w:r>
                            <w:r w:rsidRPr="00372283">
                              <w:rPr>
                                <w:rFonts w:ascii="Times New Roman" w:hAnsi="Times New Roman" w:cs="Times New Roman"/>
                                <w:i/>
                              </w:rPr>
                              <w:t>Adda</w:t>
                            </w:r>
                            <w:r w:rsidRPr="00372283">
                              <w:rPr>
                                <w:rFonts w:ascii="Times New Roman" w:hAnsi="Times New Roman" w:cs="Times New Roman"/>
                              </w:rPr>
                              <w:t xml:space="preserve"> elders also gather to discuss what to do on the basis of this information. They most commonly decide to send strong, experienced herders who are versed in the traditional techniques of weather forecasting to collect information about weather in far located rangelands </w:t>
                            </w:r>
                            <w:r w:rsidRPr="00372283">
                              <w:rPr>
                                <w:rFonts w:ascii="Times New Roman" w:hAnsi="Times New Roman" w:cs="Times New Roman"/>
                                <w:noProof/>
                              </w:rPr>
                              <w:t xml:space="preserve">(Tesfay </w:t>
                            </w:r>
                            <w:r w:rsidRPr="000429F8">
                              <w:rPr>
                                <w:rFonts w:ascii="Times New Roman" w:hAnsi="Times New Roman" w:cs="Times New Roman"/>
                                <w:i/>
                                <w:noProof/>
                              </w:rPr>
                              <w:t>et al.</w:t>
                            </w:r>
                            <w:r w:rsidRPr="00372283">
                              <w:rPr>
                                <w:rFonts w:ascii="Times New Roman" w:hAnsi="Times New Roman" w:cs="Times New Roman"/>
                                <w:noProof/>
                              </w:rPr>
                              <w:t>, 2004)</w:t>
                            </w:r>
                            <w:r w:rsidRPr="00372283">
                              <w:rPr>
                                <w:rFonts w:ascii="Times New Roman" w:hAnsi="Times New Roman" w:cs="Times New Roman"/>
                              </w:rPr>
                              <w:t>. The individuals sent for rangeland scouting (</w:t>
                            </w:r>
                            <w:r w:rsidRPr="00372283">
                              <w:rPr>
                                <w:rFonts w:ascii="Times New Roman" w:hAnsi="Times New Roman" w:cs="Times New Roman"/>
                                <w:i/>
                              </w:rPr>
                              <w:t>Edo</w:t>
                            </w:r>
                            <w:r w:rsidRPr="00372283">
                              <w:rPr>
                                <w:rFonts w:ascii="Times New Roman" w:hAnsi="Times New Roman" w:cs="Times New Roman"/>
                              </w:rPr>
                              <w:t xml:space="preserve">) make detailed observations about the plants, soil, atmosphere, </w:t>
                            </w:r>
                            <w:r>
                              <w:rPr>
                                <w:rFonts w:ascii="Times New Roman" w:hAnsi="Times New Roman" w:cs="Times New Roman"/>
                              </w:rPr>
                              <w:t xml:space="preserve">and the </w:t>
                            </w:r>
                            <w:r w:rsidRPr="00372283">
                              <w:rPr>
                                <w:rFonts w:ascii="Times New Roman" w:hAnsi="Times New Roman" w:cs="Times New Roman"/>
                              </w:rPr>
                              <w:t>condition of animals in the far located areas they are visiting. All observations for special indicators such as special plants, insects, birds and environmental variables are made to come to conclusion about the possible near future weather conditions in the rangeland they are visiting. The individuals in the '</w:t>
                            </w:r>
                            <w:r w:rsidRPr="00372283">
                              <w:rPr>
                                <w:rFonts w:ascii="Times New Roman" w:hAnsi="Times New Roman" w:cs="Times New Roman"/>
                                <w:i/>
                              </w:rPr>
                              <w:t>Edo</w:t>
                            </w:r>
                            <w:r w:rsidRPr="00372283">
                              <w:rPr>
                                <w:rFonts w:ascii="Times New Roman" w:hAnsi="Times New Roman" w:cs="Times New Roman"/>
                              </w:rPr>
                              <w:t xml:space="preserve">' make </w:t>
                            </w:r>
                            <w:r>
                              <w:rPr>
                                <w:rFonts w:ascii="Times New Roman" w:hAnsi="Times New Roman" w:cs="Times New Roman"/>
                              </w:rPr>
                              <w:t xml:space="preserve">a </w:t>
                            </w:r>
                            <w:r w:rsidRPr="00372283">
                              <w:rPr>
                                <w:rFonts w:ascii="Times New Roman" w:hAnsi="Times New Roman" w:cs="Times New Roman"/>
                              </w:rPr>
                              <w:t xml:space="preserve">detailed analysis of different observations to come up with a recommendation that they will report back to the </w:t>
                            </w:r>
                            <w:r w:rsidRPr="00372283">
                              <w:rPr>
                                <w:rFonts w:ascii="Times New Roman" w:hAnsi="Times New Roman" w:cs="Times New Roman"/>
                                <w:i/>
                              </w:rPr>
                              <w:t>Adda</w:t>
                            </w:r>
                            <w:r w:rsidRPr="00372283">
                              <w:rPr>
                                <w:rFonts w:ascii="Times New Roman" w:hAnsi="Times New Roman" w:cs="Times New Roman"/>
                              </w:rPr>
                              <w:t xml:space="preserve"> elders.</w:t>
                            </w:r>
                          </w:p>
                        </w:txbxContent>
                      </wps:txbx>
                      <wps:bodyPr lIns="91425" tIns="45700" rIns="91425" bIns="45700" anchor="t" anchorCtr="0"/>
                    </wps:wsp>
                  </a:graphicData>
                </a:graphic>
              </wp:inline>
            </w:drawing>
          </mc:Choice>
          <mc:Fallback>
            <w:pict>
              <v:rect w14:anchorId="6C4EC44D" id="Rectangle 38" o:spid="_x0000_s1060" style="width:451pt;height:37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" fillcolor="#f2f2f2 [3052]">
                <v:textbox inset="2.53958mm,1.2694mm,2.53958mm,1.2694mm">
                  <w:txbxContent>
                    <w:p w14:paraId="65FA4726" w14:textId="77777777" w:rsidR="00BC0CFA" w:rsidRDefault="00BC0CFA" w:rsidP="00D972A5">
                      <w:pPr>
                        <w:spacing w:line="276" w:lineRule="auto"/>
                        <w:jc w:val="both"/>
                        <w:rPr>
                          <w:rFonts w:ascii="Times New Roman" w:hAnsi="Times New Roman" w:cs="Times New Roman"/>
                          <w:b/>
                        </w:rPr>
                      </w:pPr>
                      <w:r w:rsidRPr="00372283">
                        <w:rPr>
                          <w:rFonts w:ascii="Times New Roman" w:hAnsi="Times New Roman" w:cs="Times New Roman"/>
                          <w:b/>
                        </w:rPr>
                        <w:t>Box 6.22: The role of informal institutions in natural resource management</w:t>
                      </w:r>
                    </w:p>
                    <w:p w14:paraId="76D896C4" w14:textId="77777777" w:rsidR="00BC0CFA" w:rsidRPr="00372283" w:rsidRDefault="00BC0CFA" w:rsidP="00D972A5">
                      <w:pPr>
                        <w:spacing w:line="276" w:lineRule="auto"/>
                        <w:jc w:val="both"/>
                        <w:rPr>
                          <w:rFonts w:ascii="Times New Roman" w:hAnsi="Times New Roman" w:cs="Times New Roman"/>
                          <w:b/>
                        </w:rPr>
                      </w:pPr>
                    </w:p>
                    <w:p w14:paraId="032BA136" w14:textId="36D68B44" w:rsidR="00BC0CFA" w:rsidRDefault="00BC0CFA" w:rsidP="00D972A5">
                      <w:pPr>
                        <w:spacing w:line="276" w:lineRule="auto"/>
                        <w:jc w:val="both"/>
                        <w:rPr>
                          <w:rFonts w:ascii="Times New Roman" w:hAnsi="Times New Roman" w:cs="Times New Roman"/>
                        </w:rPr>
                      </w:pPr>
                      <w:r w:rsidRPr="00372283">
                        <w:rPr>
                          <w:rFonts w:ascii="Times New Roman" w:hAnsi="Times New Roman" w:cs="Times New Roman"/>
                        </w:rPr>
                        <w:t xml:space="preserve">Institutions and traditions among Afar communities include: 1) the </w:t>
                      </w:r>
                      <w:r w:rsidRPr="00372283">
                        <w:rPr>
                          <w:rFonts w:ascii="Times New Roman" w:hAnsi="Times New Roman" w:cs="Times New Roman"/>
                          <w:i/>
                        </w:rPr>
                        <w:t>Adda</w:t>
                      </w:r>
                      <w:r w:rsidRPr="00372283">
                        <w:rPr>
                          <w:rFonts w:ascii="Times New Roman" w:hAnsi="Times New Roman" w:cs="Times New Roman"/>
                        </w:rPr>
                        <w:t xml:space="preserve"> or a traditional Afar ruling system, where knowledgeable elders called ‘</w:t>
                      </w:r>
                      <w:r w:rsidRPr="00372283">
                        <w:rPr>
                          <w:rFonts w:ascii="Times New Roman" w:hAnsi="Times New Roman" w:cs="Times New Roman"/>
                          <w:i/>
                        </w:rPr>
                        <w:t>Asayamaras</w:t>
                      </w:r>
                      <w:r w:rsidRPr="00372283">
                        <w:rPr>
                          <w:rFonts w:ascii="Times New Roman" w:hAnsi="Times New Roman" w:cs="Times New Roman"/>
                        </w:rPr>
                        <w:t xml:space="preserve">’, respected and trusted by the community, direct almost all parts of life of Afar pastoral communities </w:t>
                      </w:r>
                      <w:r w:rsidRPr="00372283">
                        <w:rPr>
                          <w:rFonts w:ascii="Times New Roman" w:hAnsi="Times New Roman" w:cs="Times New Roman"/>
                          <w:noProof/>
                        </w:rPr>
                        <w:t xml:space="preserve">(Hailu </w:t>
                      </w:r>
                      <w:r w:rsidRPr="000429F8">
                        <w:rPr>
                          <w:rFonts w:ascii="Times New Roman" w:hAnsi="Times New Roman" w:cs="Times New Roman"/>
                          <w:i/>
                          <w:noProof/>
                        </w:rPr>
                        <w:t>et al.</w:t>
                      </w:r>
                      <w:r w:rsidRPr="00372283">
                        <w:rPr>
                          <w:rFonts w:ascii="Times New Roman" w:hAnsi="Times New Roman" w:cs="Times New Roman"/>
                          <w:noProof/>
                        </w:rPr>
                        <w:t>, 2008)</w:t>
                      </w:r>
                      <w:r w:rsidRPr="00372283">
                        <w:rPr>
                          <w:rFonts w:ascii="Times New Roman" w:hAnsi="Times New Roman" w:cs="Times New Roman"/>
                        </w:rPr>
                        <w:t xml:space="preserve">; 2) The </w:t>
                      </w:r>
                      <w:r w:rsidRPr="00372283">
                        <w:rPr>
                          <w:rFonts w:ascii="Times New Roman" w:hAnsi="Times New Roman" w:cs="Times New Roman"/>
                          <w:i/>
                        </w:rPr>
                        <w:t>Edo</w:t>
                      </w:r>
                      <w:r w:rsidRPr="00372283">
                        <w:rPr>
                          <w:rFonts w:ascii="Times New Roman" w:hAnsi="Times New Roman" w:cs="Times New Roman"/>
                        </w:rPr>
                        <w:t xml:space="preserve">, which is a traditional range scouting, is practiced whenever Afar pastoralists are faced with the prospects of unpredictable future weather'. The 'Edo's' or traditional rangeland scouts, usually strong young men of the village, who are sent to different places to collect information about weather, rangeland condition, local politics and other information relevant to the livelihoods of the pastoral communities </w:t>
                      </w:r>
                      <w:r w:rsidRPr="00372283">
                        <w:rPr>
                          <w:rFonts w:ascii="Times New Roman" w:hAnsi="Times New Roman" w:cs="Times New Roman"/>
                          <w:noProof/>
                        </w:rPr>
                        <w:t xml:space="preserve">(Tesfay </w:t>
                      </w:r>
                      <w:r w:rsidRPr="000429F8">
                        <w:rPr>
                          <w:rFonts w:ascii="Times New Roman" w:hAnsi="Times New Roman" w:cs="Times New Roman"/>
                          <w:i/>
                          <w:noProof/>
                        </w:rPr>
                        <w:t>et al.</w:t>
                      </w:r>
                      <w:r w:rsidRPr="00372283">
                        <w:rPr>
                          <w:rFonts w:ascii="Times New Roman" w:hAnsi="Times New Roman" w:cs="Times New Roman"/>
                          <w:noProof/>
                        </w:rPr>
                        <w:t>, 2004)</w:t>
                      </w:r>
                      <w:r>
                        <w:rPr>
                          <w:rFonts w:ascii="Times New Roman" w:hAnsi="Times New Roman" w:cs="Times New Roman"/>
                        </w:rPr>
                        <w:t>,</w:t>
                      </w:r>
                      <w:r w:rsidRPr="00372283">
                        <w:rPr>
                          <w:rFonts w:ascii="Times New Roman" w:hAnsi="Times New Roman" w:cs="Times New Roman"/>
                        </w:rPr>
                        <w:t xml:space="preserve"> and</w:t>
                      </w:r>
                      <w:r>
                        <w:rPr>
                          <w:rFonts w:ascii="Times New Roman" w:hAnsi="Times New Roman" w:cs="Times New Roman"/>
                        </w:rPr>
                        <w:t>;</w:t>
                      </w:r>
                      <w:r w:rsidRPr="00372283">
                        <w:rPr>
                          <w:rFonts w:ascii="Times New Roman" w:hAnsi="Times New Roman" w:cs="Times New Roman"/>
                        </w:rPr>
                        <w:t xml:space="preserve"> 3) The ‘</w:t>
                      </w:r>
                      <w:r w:rsidRPr="00372283">
                        <w:rPr>
                          <w:rFonts w:ascii="Times New Roman" w:hAnsi="Times New Roman" w:cs="Times New Roman"/>
                          <w:i/>
                        </w:rPr>
                        <w:t>Dagu’</w:t>
                      </w:r>
                      <w:r w:rsidRPr="00372283">
                        <w:rPr>
                          <w:rFonts w:ascii="Times New Roman" w:hAnsi="Times New Roman" w:cs="Times New Roman"/>
                        </w:rPr>
                        <w:t xml:space="preserve"> is an effective and reputable traditional human based information and knowledge sharing network, through which anything anywhere that is relevant to the pastoral life of the Afar, is made to reach to relevant individuals and households </w:t>
                      </w:r>
                      <w:r>
                        <w:rPr>
                          <w:rFonts w:ascii="Times New Roman" w:hAnsi="Times New Roman" w:cs="Times New Roman"/>
                          <w:noProof/>
                        </w:rPr>
                        <w:t>(Yimer, 2013</w:t>
                      </w:r>
                      <w:r w:rsidRPr="00372283">
                        <w:rPr>
                          <w:rFonts w:ascii="Times New Roman" w:hAnsi="Times New Roman" w:cs="Times New Roman"/>
                          <w:noProof/>
                        </w:rPr>
                        <w:t>)</w:t>
                      </w:r>
                      <w:r w:rsidRPr="00372283">
                        <w:rPr>
                          <w:rFonts w:ascii="Times New Roman" w:hAnsi="Times New Roman" w:cs="Times New Roman"/>
                        </w:rPr>
                        <w:t xml:space="preserve">. </w:t>
                      </w:r>
                    </w:p>
                    <w:p w14:paraId="3F609247" w14:textId="77777777" w:rsidR="00BC0CFA" w:rsidRPr="00372283" w:rsidRDefault="00BC0CFA" w:rsidP="00D972A5">
                      <w:pPr>
                        <w:spacing w:line="276" w:lineRule="auto"/>
                        <w:jc w:val="both"/>
                        <w:rPr>
                          <w:rFonts w:ascii="Times New Roman" w:hAnsi="Times New Roman" w:cs="Times New Roman"/>
                        </w:rPr>
                      </w:pPr>
                    </w:p>
                    <w:p w14:paraId="59E73201" w14:textId="030EEDB4" w:rsidR="00BC0CFA" w:rsidRPr="00372283" w:rsidRDefault="00BC0CFA" w:rsidP="00D972A5">
                      <w:pPr>
                        <w:spacing w:line="276" w:lineRule="auto"/>
                        <w:jc w:val="both"/>
                        <w:rPr>
                          <w:rFonts w:ascii="Times New Roman" w:hAnsi="Times New Roman" w:cs="Times New Roman"/>
                        </w:rPr>
                      </w:pPr>
                      <w:r w:rsidRPr="00372283">
                        <w:rPr>
                          <w:rFonts w:ascii="Times New Roman" w:hAnsi="Times New Roman" w:cs="Times New Roman"/>
                        </w:rPr>
                        <w:t xml:space="preserve">When any village or community in the Afar land is faced with the prospect of uncertain weather and a question of how to utilize and manage rangeland resources, information about future weather is collected from observation of biophysical entities and by traditional experts. The </w:t>
                      </w:r>
                      <w:r w:rsidRPr="00372283">
                        <w:rPr>
                          <w:rFonts w:ascii="Times New Roman" w:hAnsi="Times New Roman" w:cs="Times New Roman"/>
                          <w:i/>
                        </w:rPr>
                        <w:t>Adda</w:t>
                      </w:r>
                      <w:r w:rsidRPr="00372283">
                        <w:rPr>
                          <w:rFonts w:ascii="Times New Roman" w:hAnsi="Times New Roman" w:cs="Times New Roman"/>
                        </w:rPr>
                        <w:t xml:space="preserve"> elders also gather to discuss what to do on the basis of this information. They most commonly decide to send strong, experienced herders who are versed in the traditional techniques of weather forecasting to collect information about weather in far located rangelands </w:t>
                      </w:r>
                      <w:r w:rsidRPr="00372283">
                        <w:rPr>
                          <w:rFonts w:ascii="Times New Roman" w:hAnsi="Times New Roman" w:cs="Times New Roman"/>
                          <w:noProof/>
                        </w:rPr>
                        <w:t xml:space="preserve">(Tesfay </w:t>
                      </w:r>
                      <w:r w:rsidRPr="000429F8">
                        <w:rPr>
                          <w:rFonts w:ascii="Times New Roman" w:hAnsi="Times New Roman" w:cs="Times New Roman"/>
                          <w:i/>
                          <w:noProof/>
                        </w:rPr>
                        <w:t>et al.</w:t>
                      </w:r>
                      <w:r w:rsidRPr="00372283">
                        <w:rPr>
                          <w:rFonts w:ascii="Times New Roman" w:hAnsi="Times New Roman" w:cs="Times New Roman"/>
                          <w:noProof/>
                        </w:rPr>
                        <w:t>, 2004)</w:t>
                      </w:r>
                      <w:r w:rsidRPr="00372283">
                        <w:rPr>
                          <w:rFonts w:ascii="Times New Roman" w:hAnsi="Times New Roman" w:cs="Times New Roman"/>
                        </w:rPr>
                        <w:t>. The individuals sent for rangeland scouting (</w:t>
                      </w:r>
                      <w:r w:rsidRPr="00372283">
                        <w:rPr>
                          <w:rFonts w:ascii="Times New Roman" w:hAnsi="Times New Roman" w:cs="Times New Roman"/>
                          <w:i/>
                        </w:rPr>
                        <w:t>Edo</w:t>
                      </w:r>
                      <w:r w:rsidRPr="00372283">
                        <w:rPr>
                          <w:rFonts w:ascii="Times New Roman" w:hAnsi="Times New Roman" w:cs="Times New Roman"/>
                        </w:rPr>
                        <w:t xml:space="preserve">) make detailed observations about the plants, soil, atmosphere, </w:t>
                      </w:r>
                      <w:r>
                        <w:rPr>
                          <w:rFonts w:ascii="Times New Roman" w:hAnsi="Times New Roman" w:cs="Times New Roman"/>
                        </w:rPr>
                        <w:t xml:space="preserve">and the </w:t>
                      </w:r>
                      <w:r w:rsidRPr="00372283">
                        <w:rPr>
                          <w:rFonts w:ascii="Times New Roman" w:hAnsi="Times New Roman" w:cs="Times New Roman"/>
                        </w:rPr>
                        <w:t>condition of animals in the far located areas they are visiting. All observations for special indicators such as special plants, insects, birds and environmental variables are made to come to conclusion about the possible near future weather conditions in the rangeland they are visiting. The individuals in the '</w:t>
                      </w:r>
                      <w:r w:rsidRPr="00372283">
                        <w:rPr>
                          <w:rFonts w:ascii="Times New Roman" w:hAnsi="Times New Roman" w:cs="Times New Roman"/>
                          <w:i/>
                        </w:rPr>
                        <w:t>Edo</w:t>
                      </w:r>
                      <w:r w:rsidRPr="00372283">
                        <w:rPr>
                          <w:rFonts w:ascii="Times New Roman" w:hAnsi="Times New Roman" w:cs="Times New Roman"/>
                        </w:rPr>
                        <w:t xml:space="preserve">' make </w:t>
                      </w:r>
                      <w:r>
                        <w:rPr>
                          <w:rFonts w:ascii="Times New Roman" w:hAnsi="Times New Roman" w:cs="Times New Roman"/>
                        </w:rPr>
                        <w:t xml:space="preserve">a </w:t>
                      </w:r>
                      <w:r w:rsidRPr="00372283">
                        <w:rPr>
                          <w:rFonts w:ascii="Times New Roman" w:hAnsi="Times New Roman" w:cs="Times New Roman"/>
                        </w:rPr>
                        <w:t xml:space="preserve">detailed analysis of different observations to come up with a recommendation that they will report back to the </w:t>
                      </w:r>
                      <w:r w:rsidRPr="00372283">
                        <w:rPr>
                          <w:rFonts w:ascii="Times New Roman" w:hAnsi="Times New Roman" w:cs="Times New Roman"/>
                          <w:i/>
                        </w:rPr>
                        <w:t>Adda</w:t>
                      </w:r>
                      <w:r w:rsidRPr="00372283">
                        <w:rPr>
                          <w:rFonts w:ascii="Times New Roman" w:hAnsi="Times New Roman" w:cs="Times New Roman"/>
                        </w:rPr>
                        <w:t xml:space="preserve"> elders.</w:t>
                      </w:r>
                    </w:p>
                  </w:txbxContent>
                </v:textbox>
                <w10:anchorlock/>
              </v:rect>
            </w:pict>
          </mc:Fallback>
        </mc:AlternateContent>
      </w:r>
    </w:p>
    <w:p w14:paraId="00F5CEED" w14:textId="77777777" w:rsidR="00C21A1B" w:rsidRPr="009B0448" w:rsidRDefault="00C21A1B" w:rsidP="009F0016">
      <w:pPr>
        <w:spacing w:line="276" w:lineRule="auto"/>
        <w:jc w:val="both"/>
        <w:rPr>
          <w:rFonts w:ascii="Times New Roman" w:hAnsi="Times New Roman" w:cs="Times New Roman"/>
        </w:rPr>
      </w:pPr>
    </w:p>
    <w:p w14:paraId="4161EF6D" w14:textId="2F5025BE" w:rsidR="00F83B61" w:rsidRPr="009B0448" w:rsidRDefault="0024575E" w:rsidP="009F0016">
      <w:pPr>
        <w:spacing w:line="276" w:lineRule="auto"/>
        <w:jc w:val="both"/>
        <w:rPr>
          <w:rFonts w:ascii="Times New Roman" w:hAnsi="Times New Roman" w:cs="Times New Roman"/>
        </w:rPr>
      </w:pPr>
      <w:r w:rsidRPr="009B0448">
        <w:rPr>
          <w:rFonts w:ascii="Times New Roman" w:hAnsi="Times New Roman" w:cs="Times New Roman"/>
        </w:rPr>
        <w:t xml:space="preserve">This is because they know their forests better from years of </w:t>
      </w:r>
      <w:r w:rsidR="00F83B61" w:rsidRPr="009B0448">
        <w:rPr>
          <w:rFonts w:ascii="Times New Roman" w:hAnsi="Times New Roman" w:cs="Times New Roman"/>
        </w:rPr>
        <w:t xml:space="preserve">experience in using and managing them. However, this only applies when monitoring of forests is related to a local perspective (Danielsen </w:t>
      </w:r>
      <w:r w:rsidR="000429F8" w:rsidRPr="009B0448">
        <w:rPr>
          <w:rFonts w:ascii="Times New Roman" w:hAnsi="Times New Roman" w:cs="Times New Roman"/>
          <w:i/>
        </w:rPr>
        <w:t>et al.</w:t>
      </w:r>
      <w:r w:rsidR="00F83B61" w:rsidRPr="009B0448">
        <w:rPr>
          <w:rFonts w:ascii="Times New Roman" w:hAnsi="Times New Roman" w:cs="Times New Roman"/>
        </w:rPr>
        <w:t>, 2014). Other studies have established discrepancies among the two knowledge systems e.g.</w:t>
      </w:r>
      <w:r w:rsidR="0091139F">
        <w:rPr>
          <w:rFonts w:ascii="Times New Roman" w:hAnsi="Times New Roman" w:cs="Times New Roman"/>
        </w:rPr>
        <w:t>,</w:t>
      </w:r>
      <w:r w:rsidR="00F83B61" w:rsidRPr="009B0448">
        <w:rPr>
          <w:rFonts w:ascii="Times New Roman" w:hAnsi="Times New Roman" w:cs="Times New Roman"/>
        </w:rPr>
        <w:t xml:space="preserve"> in weather forecasting, (</w:t>
      </w:r>
      <w:r w:rsidR="00EC44DA" w:rsidRPr="009B0448">
        <w:rPr>
          <w:rFonts w:ascii="Times New Roman" w:hAnsi="Times New Roman" w:cs="Times New Roman"/>
        </w:rPr>
        <w:t xml:space="preserve">Ziervogel </w:t>
      </w:r>
      <w:r w:rsidR="000429F8" w:rsidRPr="009B0448">
        <w:rPr>
          <w:rFonts w:ascii="Times New Roman" w:hAnsi="Times New Roman" w:cs="Times New Roman"/>
          <w:i/>
        </w:rPr>
        <w:t>et al.</w:t>
      </w:r>
      <w:r w:rsidR="00EC44DA" w:rsidRPr="009B0448">
        <w:rPr>
          <w:rFonts w:ascii="Times New Roman" w:hAnsi="Times New Roman" w:cs="Times New Roman"/>
        </w:rPr>
        <w:t xml:space="preserve">, 2010; Simelton </w:t>
      </w:r>
      <w:r w:rsidR="000429F8" w:rsidRPr="009B0448">
        <w:rPr>
          <w:rFonts w:ascii="Times New Roman" w:hAnsi="Times New Roman" w:cs="Times New Roman"/>
          <w:i/>
        </w:rPr>
        <w:t>et al.</w:t>
      </w:r>
      <w:r w:rsidR="00EC44DA" w:rsidRPr="009B0448">
        <w:rPr>
          <w:rFonts w:ascii="Times New Roman" w:hAnsi="Times New Roman" w:cs="Times New Roman"/>
        </w:rPr>
        <w:t xml:space="preserve">, 2013; </w:t>
      </w:r>
      <w:r w:rsidR="00F83B61" w:rsidRPr="009B0448">
        <w:rPr>
          <w:rFonts w:ascii="Times New Roman" w:hAnsi="Times New Roman" w:cs="Times New Roman"/>
        </w:rPr>
        <w:t xml:space="preserve">Chisadza </w:t>
      </w:r>
      <w:r w:rsidR="000429F8" w:rsidRPr="009B0448">
        <w:rPr>
          <w:rFonts w:ascii="Times New Roman" w:hAnsi="Times New Roman" w:cs="Times New Roman"/>
          <w:i/>
        </w:rPr>
        <w:t>et al.</w:t>
      </w:r>
      <w:r w:rsidR="00F83B61" w:rsidRPr="009B0448">
        <w:rPr>
          <w:rFonts w:ascii="Times New Roman" w:hAnsi="Times New Roman" w:cs="Times New Roman"/>
        </w:rPr>
        <w:t>, 2015</w:t>
      </w:r>
      <w:r w:rsidR="00EC44DA" w:rsidRPr="009B0448">
        <w:rPr>
          <w:rFonts w:ascii="Times New Roman" w:hAnsi="Times New Roman" w:cs="Times New Roman"/>
        </w:rPr>
        <w:t>)</w:t>
      </w:r>
      <w:r w:rsidR="00F83B61" w:rsidRPr="009B0448">
        <w:rPr>
          <w:rFonts w:ascii="Times New Roman" w:hAnsi="Times New Roman" w:cs="Times New Roman"/>
        </w:rPr>
        <w:t xml:space="preserve"> and valuation of plant species (Balehegn </w:t>
      </w:r>
      <w:r w:rsidR="000429F8" w:rsidRPr="009B0448">
        <w:rPr>
          <w:rFonts w:ascii="Times New Roman" w:hAnsi="Times New Roman" w:cs="Times New Roman"/>
          <w:i/>
        </w:rPr>
        <w:t>et al.</w:t>
      </w:r>
      <w:r w:rsidR="00F83B61" w:rsidRPr="009B0448">
        <w:rPr>
          <w:rFonts w:ascii="Times New Roman" w:hAnsi="Times New Roman" w:cs="Times New Roman"/>
        </w:rPr>
        <w:t>, 2015). Discrepancies can result from differences in the nature of the two knowledge systems (e.g.</w:t>
      </w:r>
      <w:r w:rsidR="0091139F">
        <w:rPr>
          <w:rFonts w:ascii="Times New Roman" w:hAnsi="Times New Roman" w:cs="Times New Roman"/>
        </w:rPr>
        <w:t>,</w:t>
      </w:r>
      <w:r w:rsidR="00F83B61" w:rsidRPr="009B0448">
        <w:rPr>
          <w:rFonts w:ascii="Times New Roman" w:hAnsi="Times New Roman" w:cs="Times New Roman"/>
        </w:rPr>
        <w:t xml:space="preserve"> variables observed), the system and approach to </w:t>
      </w:r>
      <w:r w:rsidR="00CD0976" w:rsidRPr="009B0448">
        <w:rPr>
          <w:rFonts w:ascii="Times New Roman" w:hAnsi="Times New Roman" w:cs="Times New Roman"/>
        </w:rPr>
        <w:t xml:space="preserve">the </w:t>
      </w:r>
      <w:r w:rsidR="00F83B61" w:rsidRPr="009B0448">
        <w:rPr>
          <w:rFonts w:ascii="Times New Roman" w:hAnsi="Times New Roman" w:cs="Times New Roman"/>
        </w:rPr>
        <w:t xml:space="preserve">comparison, or inherent failure of one or both of the systems to actually depict or perceive reality (Balehegn </w:t>
      </w:r>
      <w:r w:rsidR="000429F8" w:rsidRPr="009B0448">
        <w:rPr>
          <w:rFonts w:ascii="Times New Roman" w:hAnsi="Times New Roman" w:cs="Times New Roman"/>
          <w:i/>
        </w:rPr>
        <w:t>et al.</w:t>
      </w:r>
      <w:r w:rsidR="00F83B61" w:rsidRPr="009B0448">
        <w:rPr>
          <w:rFonts w:ascii="Times New Roman" w:hAnsi="Times New Roman" w:cs="Times New Roman"/>
        </w:rPr>
        <w:t>, 2015). Nevertheless, in many local settings</w:t>
      </w:r>
      <w:r w:rsidR="00CD0976" w:rsidRPr="009B0448">
        <w:rPr>
          <w:rFonts w:ascii="Times New Roman" w:hAnsi="Times New Roman" w:cs="Times New Roman"/>
        </w:rPr>
        <w:t>,</w:t>
      </w:r>
      <w:r w:rsidR="00F83B61" w:rsidRPr="009B0448">
        <w:rPr>
          <w:rFonts w:ascii="Times New Roman" w:hAnsi="Times New Roman" w:cs="Times New Roman"/>
        </w:rPr>
        <w:t xml:space="preserve"> indigenous knowledge has been observed to be more practical, accurate, locally relevant in terms of scale and </w:t>
      </w:r>
      <w:r w:rsidR="00756658" w:rsidRPr="009B0448">
        <w:rPr>
          <w:rFonts w:ascii="Times New Roman" w:hAnsi="Times New Roman" w:cs="Times New Roman"/>
        </w:rPr>
        <w:t>parameters</w:t>
      </w:r>
      <w:r w:rsidR="00F83B61" w:rsidRPr="009B0448">
        <w:rPr>
          <w:rFonts w:ascii="Times New Roman" w:hAnsi="Times New Roman" w:cs="Times New Roman"/>
        </w:rPr>
        <w:t xml:space="preserve">, as well as more understandable, interpretable and affordable (Roncoli </w:t>
      </w:r>
      <w:r w:rsidR="000429F8" w:rsidRPr="009B0448">
        <w:rPr>
          <w:rFonts w:ascii="Times New Roman" w:hAnsi="Times New Roman" w:cs="Times New Roman"/>
          <w:i/>
        </w:rPr>
        <w:t>et al.</w:t>
      </w:r>
      <w:r w:rsidR="00F83B61" w:rsidRPr="009B0448">
        <w:rPr>
          <w:rFonts w:ascii="Times New Roman" w:hAnsi="Times New Roman" w:cs="Times New Roman"/>
        </w:rPr>
        <w:t xml:space="preserve">, 2002). Most interesting however is the complementarity between the two knowledge systems, which facilitates </w:t>
      </w:r>
      <w:r w:rsidR="00CD0976" w:rsidRPr="009B0448">
        <w:rPr>
          <w:rFonts w:ascii="Times New Roman" w:hAnsi="Times New Roman" w:cs="Times New Roman"/>
        </w:rPr>
        <w:t xml:space="preserve">a </w:t>
      </w:r>
      <w:r w:rsidR="00F83B61" w:rsidRPr="009B0448">
        <w:rPr>
          <w:rFonts w:ascii="Times New Roman" w:hAnsi="Times New Roman" w:cs="Times New Roman"/>
        </w:rPr>
        <w:t xml:space="preserve">deeper understanding of the coupled interactions between nature and its contributions to people, and highlights the risks of decoupling indigenous and local knowledge and conservation. </w:t>
      </w:r>
    </w:p>
    <w:p w14:paraId="711000E8" w14:textId="77777777" w:rsidR="00C21A1B" w:rsidRPr="009B0448" w:rsidRDefault="00C21A1B" w:rsidP="009F0016">
      <w:pPr>
        <w:spacing w:line="276" w:lineRule="auto"/>
        <w:jc w:val="both"/>
        <w:rPr>
          <w:rFonts w:ascii="Times New Roman" w:hAnsi="Times New Roman" w:cs="Times New Roman"/>
        </w:rPr>
      </w:pPr>
    </w:p>
    <w:p w14:paraId="3F3A06A7"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eastAsia="Times New Roman" w:hAnsi="Times New Roman" w:cs="Times New Roman"/>
          <w:b/>
          <w:noProof/>
          <w:lang w:eastAsia="en-GB"/>
        </w:rPr>
        <mc:AlternateContent>
          <mc:Choice Requires="wps">
            <w:drawing>
              <wp:inline distT="0" distB="0" distL="0" distR="0" wp14:anchorId="02F1A284" wp14:editId="6408C43F">
                <wp:extent cx="6186196" cy="9012382"/>
                <wp:effectExtent l="0" t="0" r="24130" b="17780"/>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6196" cy="9012382"/>
                        </a:xfrm>
                        <a:prstGeom prst="rect">
                          <a:avLst/>
                        </a:prstGeom>
                        <a:solidFill>
                          <a:schemeClr val="bg1">
                            <a:lumMod val="95000"/>
                          </a:schemeClr>
                        </a:solidFill>
                        <a:ln w="9525">
                          <a:solidFill>
                            <a:srgbClr val="000000"/>
                          </a:solidFill>
                          <a:miter lim="800000"/>
                          <a:headEnd/>
                          <a:tailEnd/>
                        </a:ln>
                      </wps:spPr>
                      <wps:txbx>
                        <w:txbxContent>
                          <w:p w14:paraId="72C4CCF9" w14:textId="77777777" w:rsidR="00BC0CFA" w:rsidRDefault="00BC0CFA" w:rsidP="00D972A5">
                            <w:pPr>
                              <w:spacing w:line="276" w:lineRule="auto"/>
                              <w:jc w:val="both"/>
                              <w:rPr>
                                <w:rFonts w:ascii="Times New Roman" w:hAnsi="Times New Roman" w:cs="Times New Roman"/>
                                <w:b/>
                              </w:rPr>
                            </w:pPr>
                            <w:r w:rsidRPr="00372283">
                              <w:rPr>
                                <w:rFonts w:ascii="Times New Roman" w:hAnsi="Times New Roman" w:cs="Times New Roman"/>
                                <w:b/>
                              </w:rPr>
                              <w:t>Box 6.23: Multinational agricultural land acquisitions (land grabs) are leading to disappearance of the commons, local institutions, land degradation and other forms of injustices</w:t>
                            </w:r>
                          </w:p>
                          <w:p w14:paraId="6C56F5F0" w14:textId="77777777" w:rsidR="00BC0CFA" w:rsidRPr="00372283" w:rsidRDefault="00BC0CFA" w:rsidP="00D972A5">
                            <w:pPr>
                              <w:spacing w:line="276" w:lineRule="auto"/>
                              <w:jc w:val="both"/>
                              <w:rPr>
                                <w:rFonts w:ascii="Times New Roman" w:hAnsi="Times New Roman" w:cs="Times New Roman"/>
                                <w:b/>
                              </w:rPr>
                            </w:pPr>
                          </w:p>
                          <w:p w14:paraId="02F854D6" w14:textId="0E60E76D" w:rsidR="00BC0CFA" w:rsidRDefault="00BC0CFA" w:rsidP="00D972A5">
                            <w:pPr>
                              <w:spacing w:line="276" w:lineRule="auto"/>
                              <w:jc w:val="both"/>
                              <w:rPr>
                                <w:rFonts w:ascii="Times New Roman" w:hAnsi="Times New Roman" w:cs="Times New Roman"/>
                                <w:color w:val="000000" w:themeColor="text1"/>
                              </w:rPr>
                            </w:pPr>
                            <w:r w:rsidRPr="00372283">
                              <w:rPr>
                                <w:rFonts w:ascii="Times New Roman" w:hAnsi="Times New Roman" w:cs="Times New Roman"/>
                                <w:color w:val="000000" w:themeColor="text1"/>
                              </w:rPr>
                              <w:t xml:space="preserve">The food, fuel </w:t>
                            </w:r>
                            <w:r>
                              <w:rPr>
                                <w:rFonts w:ascii="Times New Roman" w:hAnsi="Times New Roman" w:cs="Times New Roman"/>
                                <w:color w:val="000000" w:themeColor="text1"/>
                              </w:rPr>
                              <w:t>and financial crisis of the mid-</w:t>
                            </w:r>
                            <w:r w:rsidRPr="00372283">
                              <w:rPr>
                                <w:rFonts w:ascii="Times New Roman" w:hAnsi="Times New Roman" w:cs="Times New Roman"/>
                                <w:color w:val="000000" w:themeColor="text1"/>
                              </w:rPr>
                              <w:t xml:space="preserve">2000s has resulted in a global rush to purchase and lease fertile African land (Anseeuw, 2013). This explosion of commercial land transactions and land speculation has been dubbed by many as 'land grabbing’ instead of the depoliticised term ‘large-scale land investment’ (Borras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2012). Africa has been the centre of most of the land grabbing that has taken place (Cotula, 2012). According to the Land Matrix report (Nolte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2016), 422 land deals have been concluded on the continent, covering 10 million hectares. An important issue with regard to land grabbing in Africa is that it is usually done based on arguments of unused land, no man's land or wasteland (Hall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2015). However, because of the nature of traditional </w:t>
                            </w:r>
                            <w:r>
                              <w:rPr>
                                <w:rFonts w:ascii="Times New Roman" w:hAnsi="Times New Roman" w:cs="Times New Roman"/>
                                <w:color w:val="000000" w:themeColor="text1"/>
                              </w:rPr>
                              <w:t>land-use</w:t>
                            </w:r>
                            <w:r w:rsidRPr="00372283">
                              <w:rPr>
                                <w:rFonts w:ascii="Times New Roman" w:hAnsi="Times New Roman" w:cs="Times New Roman"/>
                                <w:color w:val="000000" w:themeColor="text1"/>
                              </w:rPr>
                              <w:t xml:space="preserve"> in many African indigenous communities being communal, rotational or </w:t>
                            </w:r>
                            <w:r>
                              <w:rPr>
                                <w:rFonts w:ascii="Times New Roman" w:hAnsi="Times New Roman" w:cs="Times New Roman"/>
                                <w:color w:val="000000" w:themeColor="text1"/>
                              </w:rPr>
                              <w:t>pastoral, what appears to be unused, under-utilis</w:t>
                            </w:r>
                            <w:r w:rsidRPr="00372283">
                              <w:rPr>
                                <w:rFonts w:ascii="Times New Roman" w:hAnsi="Times New Roman" w:cs="Times New Roman"/>
                                <w:color w:val="000000" w:themeColor="text1"/>
                              </w:rPr>
                              <w:t xml:space="preserve">ed, or ambiguously owned land in a given time may not be so (Geisler, 2012). The impetus to increase agricultural yield on the African continent has placed a significant proportion of natural habitats that have never been cultivated throughout history, into the category of cultivable or arable. Such labelling resulted in 30-40% of remaining forest in Central Africa to be under concession (Clark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2009). Therefore, it provides an additional impetus for justifying the leasing of ‘low-productivity’ communal lands to capital</w:t>
                            </w:r>
                            <w:r>
                              <w:rPr>
                                <w:rFonts w:ascii="Times New Roman" w:hAnsi="Times New Roman" w:cs="Times New Roman"/>
                                <w:color w:val="000000" w:themeColor="text1"/>
                              </w:rPr>
                              <w:t>-</w:t>
                            </w:r>
                            <w:r w:rsidRPr="00372283">
                              <w:rPr>
                                <w:rFonts w:ascii="Times New Roman" w:hAnsi="Times New Roman" w:cs="Times New Roman"/>
                                <w:color w:val="000000" w:themeColor="text1"/>
                              </w:rPr>
                              <w:t>intensive in</w:t>
                            </w:r>
                            <w:r>
                              <w:rPr>
                                <w:rFonts w:ascii="Times New Roman" w:hAnsi="Times New Roman" w:cs="Times New Roman"/>
                                <w:color w:val="000000" w:themeColor="text1"/>
                              </w:rPr>
                              <w:t>vestors (Balehegn, 2015). Large-</w:t>
                            </w:r>
                            <w:r w:rsidRPr="00372283">
                              <w:rPr>
                                <w:rFonts w:ascii="Times New Roman" w:hAnsi="Times New Roman" w:cs="Times New Roman"/>
                                <w:color w:val="000000" w:themeColor="text1"/>
                              </w:rPr>
                              <w:t>scale land grabbers (investors) usually fence their newly acquired land and physically exclude wildlife, livestock and local people, causing a breakdown of traditional strategies and utilization and ecological balance of the land, causing pressure on other areas. For instance</w:t>
                            </w:r>
                            <w:r>
                              <w:rPr>
                                <w:rFonts w:ascii="Times New Roman" w:hAnsi="Times New Roman" w:cs="Times New Roman"/>
                                <w:color w:val="000000" w:themeColor="text1"/>
                              </w:rPr>
                              <w:t>,</w:t>
                            </w:r>
                            <w:r w:rsidRPr="00372283">
                              <w:rPr>
                                <w:rFonts w:ascii="Times New Roman" w:hAnsi="Times New Roman" w:cs="Times New Roman"/>
                                <w:color w:val="000000" w:themeColor="text1"/>
                              </w:rPr>
                              <w:t xml:space="preserve"> in the Gabmella regional state of Ethiopia, 90,000 households were relocated through resettlement and land investment displacements, resulting in a loss of traditional livelihood for over one million people and enormous ecological pressure on newly resettled areas (Horne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2011). Moreover, the way land deals are being implemented in different African countries </w:t>
                            </w:r>
                            <w:r>
                              <w:rPr>
                                <w:rFonts w:ascii="Times New Roman" w:hAnsi="Times New Roman" w:cs="Times New Roman"/>
                                <w:color w:val="000000" w:themeColor="text1"/>
                              </w:rPr>
                              <w:t>is</w:t>
                            </w:r>
                            <w:r w:rsidRPr="00372283">
                              <w:rPr>
                                <w:rFonts w:ascii="Times New Roman" w:hAnsi="Times New Roman" w:cs="Times New Roman"/>
                                <w:color w:val="000000" w:themeColor="text1"/>
                              </w:rPr>
                              <w:t xml:space="preserve"> marred by corruption where local uses and issues of biodiversity protection are deliberately overlooked by officials in charge of the land deals (Cotula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2009). For</w:t>
                            </w:r>
                            <w:r>
                              <w:rPr>
                                <w:rFonts w:ascii="Times New Roman" w:hAnsi="Times New Roman" w:cs="Times New Roman"/>
                                <w:color w:val="000000" w:themeColor="text1"/>
                              </w:rPr>
                              <w:t xml:space="preserve"> instance, due to lack of legal </w:t>
                            </w:r>
                            <w:r w:rsidRPr="00372283">
                              <w:rPr>
                                <w:rFonts w:ascii="Times New Roman" w:hAnsi="Times New Roman" w:cs="Times New Roman"/>
                                <w:color w:val="000000" w:themeColor="text1"/>
                              </w:rPr>
                              <w:t>provisions in th</w:t>
                            </w:r>
                            <w:r>
                              <w:rPr>
                                <w:rFonts w:ascii="Times New Roman" w:hAnsi="Times New Roman" w:cs="Times New Roman"/>
                                <w:color w:val="000000" w:themeColor="text1"/>
                              </w:rPr>
                              <w:t>e agreements, in Ethiopia large-</w:t>
                            </w:r>
                            <w:r w:rsidRPr="00372283">
                              <w:rPr>
                                <w:rFonts w:ascii="Times New Roman" w:hAnsi="Times New Roman" w:cs="Times New Roman"/>
                                <w:color w:val="000000" w:themeColor="text1"/>
                              </w:rPr>
                              <w:t>scale investors (usually foreign) clear natural vegetation with machinery and then burn the clear</w:t>
                            </w:r>
                            <w:r>
                              <w:rPr>
                                <w:rFonts w:ascii="Times New Roman" w:hAnsi="Times New Roman" w:cs="Times New Roman"/>
                                <w:color w:val="000000" w:themeColor="text1"/>
                              </w:rPr>
                              <w:t>ed wood and debris, while small-</w:t>
                            </w:r>
                            <w:r w:rsidRPr="00372283">
                              <w:rPr>
                                <w:rFonts w:ascii="Times New Roman" w:hAnsi="Times New Roman" w:cs="Times New Roman"/>
                                <w:color w:val="000000" w:themeColor="text1"/>
                              </w:rPr>
                              <w:t xml:space="preserve">scale local investors generally clear forest, convert it to charcoal and carry out the illegal, but lucrative business of charcoal selling (Horne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2011). </w:t>
                            </w:r>
                          </w:p>
                          <w:p w14:paraId="5F25F744" w14:textId="77777777" w:rsidR="00BC0CFA" w:rsidRPr="00372283" w:rsidRDefault="00BC0CFA" w:rsidP="00D972A5">
                            <w:pPr>
                              <w:spacing w:line="276" w:lineRule="auto"/>
                              <w:jc w:val="both"/>
                              <w:rPr>
                                <w:rFonts w:ascii="Times New Roman" w:hAnsi="Times New Roman" w:cs="Times New Roman"/>
                                <w:color w:val="000000" w:themeColor="text1"/>
                              </w:rPr>
                            </w:pPr>
                          </w:p>
                          <w:p w14:paraId="76BCF934" w14:textId="308D9919" w:rsidR="00BC0CFA" w:rsidRDefault="00BC0CFA" w:rsidP="00D972A5">
                            <w:pPr>
                              <w:spacing w:line="276" w:lineRule="auto"/>
                              <w:jc w:val="both"/>
                              <w:rPr>
                                <w:rFonts w:ascii="Times New Roman" w:hAnsi="Times New Roman" w:cs="Times New Roman"/>
                                <w:color w:val="000000" w:themeColor="text1"/>
                              </w:rPr>
                            </w:pPr>
                            <w:r w:rsidRPr="00372283">
                              <w:rPr>
                                <w:rFonts w:ascii="Times New Roman" w:hAnsi="Times New Roman" w:cs="Times New Roman"/>
                                <w:color w:val="000000" w:themeColor="text1"/>
                              </w:rPr>
                              <w:t>For example, such land grabbing, instead of fulfilling their intended objectives of local food product</w:t>
                            </w:r>
                            <w:r>
                              <w:rPr>
                                <w:rFonts w:ascii="Times New Roman" w:hAnsi="Times New Roman" w:cs="Times New Roman"/>
                                <w:color w:val="000000" w:themeColor="text1"/>
                              </w:rPr>
                              <w:t>ion</w:t>
                            </w:r>
                            <w:r w:rsidRPr="00372283">
                              <w:rPr>
                                <w:rFonts w:ascii="Times New Roman" w:hAnsi="Times New Roman" w:cs="Times New Roman"/>
                                <w:color w:val="000000" w:themeColor="text1"/>
                              </w:rPr>
                              <w:t>, ha</w:t>
                            </w:r>
                            <w:r>
                              <w:rPr>
                                <w:rFonts w:ascii="Times New Roman" w:hAnsi="Times New Roman" w:cs="Times New Roman"/>
                                <w:color w:val="000000" w:themeColor="text1"/>
                              </w:rPr>
                              <w:t>s</w:t>
                            </w:r>
                            <w:r w:rsidRPr="00372283">
                              <w:rPr>
                                <w:rFonts w:ascii="Times New Roman" w:hAnsi="Times New Roman" w:cs="Times New Roman"/>
                                <w:color w:val="000000" w:themeColor="text1"/>
                              </w:rPr>
                              <w:t xml:space="preserve"> resulted in 7,100 ha of Mabria forest being cleared for sugarcane in Uganda. This clearance is predicted to threaten 312 plant species, 287 butterfly species and 199 bird species that are available in the forest (Senelwa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2012). Similarly, a leasing of an upstream water source in Tanzania has resulted in a pollution of water pollution affecting 45,000 local consumers (Arduino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2012). </w:t>
                            </w:r>
                          </w:p>
                          <w:p w14:paraId="4E8BC7F0" w14:textId="77777777" w:rsidR="00BC0CFA" w:rsidRPr="00372283" w:rsidRDefault="00BC0CFA" w:rsidP="00D972A5">
                            <w:pPr>
                              <w:spacing w:line="276" w:lineRule="auto"/>
                              <w:jc w:val="both"/>
                              <w:rPr>
                                <w:rFonts w:ascii="Times New Roman" w:hAnsi="Times New Roman" w:cs="Times New Roman"/>
                                <w:color w:val="000000" w:themeColor="text1"/>
                              </w:rPr>
                            </w:pPr>
                          </w:p>
                          <w:p w14:paraId="3EDAD62B" w14:textId="738AC89D" w:rsidR="00BC0CFA" w:rsidRPr="00372283" w:rsidRDefault="00BC0CFA" w:rsidP="00D972A5">
                            <w:pPr>
                              <w:spacing w:line="276" w:lineRule="auto"/>
                              <w:jc w:val="both"/>
                              <w:rPr>
                                <w:rFonts w:ascii="Times New Roman" w:hAnsi="Times New Roman" w:cs="Times New Roman"/>
                                <w:color w:val="000000" w:themeColor="text1"/>
                              </w:rPr>
                            </w:pPr>
                            <w:r w:rsidRPr="00372283">
                              <w:rPr>
                                <w:rFonts w:ascii="Times New Roman" w:hAnsi="Times New Roman" w:cs="Times New Roman"/>
                                <w:color w:val="000000" w:themeColor="text1"/>
                              </w:rPr>
                              <w:t xml:space="preserve">Despite seemingly being ignored by many African nations, there are many global agreements that can be adopted and implemented for effectively curbing the impact of land grabbing on communities and biodiversity. New mechanisms designed to assist smallholder in accessing inputs and integrating into global commodity chains, of international regulations e.g. the European Union Renewable Energy Directives (Jacobsson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2009) and Renewable Fuel Standard program (EPA, 2010) should be encouraged. In doing so the host governments not only obtain the much sought-after cash and technology (through international land deals) but also will largely enhance the rehabilitation of abandoned or degraded areas. African states can also sign and strictly implement many international agreements and certifications that can guide responsible investment in land. Examples of such investments that can be applied based on the specific state of land and biodiversity in countries include: the Roundtable on Sustainable Palm Oil (Laurance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2010; Schoute</w:t>
                            </w:r>
                            <w:r>
                              <w:rPr>
                                <w:rFonts w:ascii="Times New Roman" w:hAnsi="Times New Roman" w:cs="Times New Roman"/>
                                <w:color w:val="000000" w:themeColor="text1"/>
                              </w:rPr>
                              <w:t xml:space="preserve">n </w:t>
                            </w:r>
                            <w:r w:rsidRPr="000429F8">
                              <w:rPr>
                                <w:rFonts w:ascii="Times New Roman" w:hAnsi="Times New Roman" w:cs="Times New Roman"/>
                                <w:i/>
                                <w:color w:val="000000" w:themeColor="text1"/>
                              </w:rPr>
                              <w:t>et al.</w:t>
                            </w:r>
                            <w:r>
                              <w:rPr>
                                <w:rFonts w:ascii="Times New Roman" w:hAnsi="Times New Roman" w:cs="Times New Roman"/>
                                <w:color w:val="000000" w:themeColor="text1"/>
                              </w:rPr>
                              <w:t>, 2011), Roundtable on R</w:t>
                            </w:r>
                            <w:r w:rsidRPr="00372283">
                              <w:rPr>
                                <w:rFonts w:ascii="Times New Roman" w:hAnsi="Times New Roman" w:cs="Times New Roman"/>
                                <w:color w:val="000000" w:themeColor="text1"/>
                              </w:rPr>
                              <w:t xml:space="preserve">esponsible Soy (Schouten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2012), Bonsucro certification and its local implementation (Moura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2012; Cockburn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2017), and the Soy Moratorium initiative (Leão, 2009).</w:t>
                            </w:r>
                          </w:p>
                        </w:txbxContent>
                      </wps:txbx>
                      <wps:bodyPr rot="0" vert="horz" wrap="square" lIns="91440" tIns="45720" rIns="91440" bIns="45720" anchor="t" anchorCtr="0">
                        <a:noAutofit/>
                      </wps:bodyPr>
                    </wps:wsp>
                  </a:graphicData>
                </a:graphic>
              </wp:inline>
            </w:drawing>
          </mc:Choice>
          <mc:Fallback>
            <w:pict>
              <v:shape w14:anchorId="02F1A284" id="_x0000_s1061" type="#_x0000_t202" style="width:487.1pt;height:70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" fillcolor="#f2f2f2 [3052]">
                <v:textbox>
                  <w:txbxContent>
                    <w:p w14:paraId="72C4CCF9" w14:textId="77777777" w:rsidR="00BC0CFA" w:rsidRDefault="00BC0CFA" w:rsidP="00D972A5">
                      <w:pPr>
                        <w:spacing w:line="276" w:lineRule="auto"/>
                        <w:jc w:val="both"/>
                        <w:rPr>
                          <w:rFonts w:ascii="Times New Roman" w:hAnsi="Times New Roman" w:cs="Times New Roman"/>
                          <w:b/>
                        </w:rPr>
                      </w:pPr>
                      <w:r w:rsidRPr="00372283">
                        <w:rPr>
                          <w:rFonts w:ascii="Times New Roman" w:hAnsi="Times New Roman" w:cs="Times New Roman"/>
                          <w:b/>
                        </w:rPr>
                        <w:t>Box 6.23: Multinational agricultural land acquisitions (land grabs) are leading to disappearance of the commons, local institutions, land degradation and other forms of injustices</w:t>
                      </w:r>
                    </w:p>
                    <w:p w14:paraId="6C56F5F0" w14:textId="77777777" w:rsidR="00BC0CFA" w:rsidRPr="00372283" w:rsidRDefault="00BC0CFA" w:rsidP="00D972A5">
                      <w:pPr>
                        <w:spacing w:line="276" w:lineRule="auto"/>
                        <w:jc w:val="both"/>
                        <w:rPr>
                          <w:rFonts w:ascii="Times New Roman" w:hAnsi="Times New Roman" w:cs="Times New Roman"/>
                          <w:b/>
                        </w:rPr>
                      </w:pPr>
                    </w:p>
                    <w:p w14:paraId="02F854D6" w14:textId="0E60E76D" w:rsidR="00BC0CFA" w:rsidRDefault="00BC0CFA" w:rsidP="00D972A5">
                      <w:pPr>
                        <w:spacing w:line="276" w:lineRule="auto"/>
                        <w:jc w:val="both"/>
                        <w:rPr>
                          <w:rFonts w:ascii="Times New Roman" w:hAnsi="Times New Roman" w:cs="Times New Roman"/>
                          <w:color w:val="000000" w:themeColor="text1"/>
                        </w:rPr>
                      </w:pPr>
                      <w:r w:rsidRPr="00372283">
                        <w:rPr>
                          <w:rFonts w:ascii="Times New Roman" w:hAnsi="Times New Roman" w:cs="Times New Roman"/>
                          <w:color w:val="000000" w:themeColor="text1"/>
                        </w:rPr>
                        <w:t xml:space="preserve">The food, fuel </w:t>
                      </w:r>
                      <w:r>
                        <w:rPr>
                          <w:rFonts w:ascii="Times New Roman" w:hAnsi="Times New Roman" w:cs="Times New Roman"/>
                          <w:color w:val="000000" w:themeColor="text1"/>
                        </w:rPr>
                        <w:t>and financial crisis of the mid-</w:t>
                      </w:r>
                      <w:r w:rsidRPr="00372283">
                        <w:rPr>
                          <w:rFonts w:ascii="Times New Roman" w:hAnsi="Times New Roman" w:cs="Times New Roman"/>
                          <w:color w:val="000000" w:themeColor="text1"/>
                        </w:rPr>
                        <w:t xml:space="preserve">2000s has resulted in a global rush to purchase and lease fertile African land (Anseeuw, 2013). This explosion of commercial land transactions and land speculation has been dubbed by many as 'land grabbing’ instead of the depoliticised term ‘large-scale land investment’ (Borras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2012). Africa has been the centre of most of the land grabbing that has taken place (Cotula, 2012). According to the Land Matrix report (Nolte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2016), 422 land deals have been concluded on the continent, covering 10 million hectares. An important issue with regard to land grabbing in Africa is that it is usually done based on arguments of unused land, no man's land or wasteland (Hall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2015). However, because of the nature of traditional </w:t>
                      </w:r>
                      <w:r>
                        <w:rPr>
                          <w:rFonts w:ascii="Times New Roman" w:hAnsi="Times New Roman" w:cs="Times New Roman"/>
                          <w:color w:val="000000" w:themeColor="text1"/>
                        </w:rPr>
                        <w:t>land-use</w:t>
                      </w:r>
                      <w:r w:rsidRPr="00372283">
                        <w:rPr>
                          <w:rFonts w:ascii="Times New Roman" w:hAnsi="Times New Roman" w:cs="Times New Roman"/>
                          <w:color w:val="000000" w:themeColor="text1"/>
                        </w:rPr>
                        <w:t xml:space="preserve"> in many African indigenous communities being communal, rotational or </w:t>
                      </w:r>
                      <w:r>
                        <w:rPr>
                          <w:rFonts w:ascii="Times New Roman" w:hAnsi="Times New Roman" w:cs="Times New Roman"/>
                          <w:color w:val="000000" w:themeColor="text1"/>
                        </w:rPr>
                        <w:t>pastoral, what appears to be unused, under-utilis</w:t>
                      </w:r>
                      <w:r w:rsidRPr="00372283">
                        <w:rPr>
                          <w:rFonts w:ascii="Times New Roman" w:hAnsi="Times New Roman" w:cs="Times New Roman"/>
                          <w:color w:val="000000" w:themeColor="text1"/>
                        </w:rPr>
                        <w:t xml:space="preserve">ed, or ambiguously owned land in a given time may not be so (Geisler, 2012). The impetus to increase agricultural yield on the African continent has placed a significant proportion of natural habitats that have never been cultivated throughout history, into the category of cultivable or arable. Such labelling resulted in 30-40% of remaining forest in Central Africa to be under concession (Clark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2009). Therefore, it provides an additional impetus for justifying the leasing of ‘low-productivity’ communal lands to capital</w:t>
                      </w:r>
                      <w:r>
                        <w:rPr>
                          <w:rFonts w:ascii="Times New Roman" w:hAnsi="Times New Roman" w:cs="Times New Roman"/>
                          <w:color w:val="000000" w:themeColor="text1"/>
                        </w:rPr>
                        <w:t>-</w:t>
                      </w:r>
                      <w:r w:rsidRPr="00372283">
                        <w:rPr>
                          <w:rFonts w:ascii="Times New Roman" w:hAnsi="Times New Roman" w:cs="Times New Roman"/>
                          <w:color w:val="000000" w:themeColor="text1"/>
                        </w:rPr>
                        <w:t>intensive in</w:t>
                      </w:r>
                      <w:r>
                        <w:rPr>
                          <w:rFonts w:ascii="Times New Roman" w:hAnsi="Times New Roman" w:cs="Times New Roman"/>
                          <w:color w:val="000000" w:themeColor="text1"/>
                        </w:rPr>
                        <w:t>vestors (Balehegn, 2015). Large-</w:t>
                      </w:r>
                      <w:r w:rsidRPr="00372283">
                        <w:rPr>
                          <w:rFonts w:ascii="Times New Roman" w:hAnsi="Times New Roman" w:cs="Times New Roman"/>
                          <w:color w:val="000000" w:themeColor="text1"/>
                        </w:rPr>
                        <w:t>scale land grabbers (investors) usually fence their newly acquired land and physically exclude wildlife, livestock and local people, causing a breakdown of traditional strategies and utilization and ecological balance of the land, causing pressure on other areas. For instance</w:t>
                      </w:r>
                      <w:r>
                        <w:rPr>
                          <w:rFonts w:ascii="Times New Roman" w:hAnsi="Times New Roman" w:cs="Times New Roman"/>
                          <w:color w:val="000000" w:themeColor="text1"/>
                        </w:rPr>
                        <w:t>,</w:t>
                      </w:r>
                      <w:r w:rsidRPr="00372283">
                        <w:rPr>
                          <w:rFonts w:ascii="Times New Roman" w:hAnsi="Times New Roman" w:cs="Times New Roman"/>
                          <w:color w:val="000000" w:themeColor="text1"/>
                        </w:rPr>
                        <w:t xml:space="preserve"> in the Gabmella regional state of Ethiopia, 90,000 households were relocated through resettlement and land investment displacements, resulting in a loss of traditional livelihood for over one million people and enormous ecological pressure on newly resettled areas (Horne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2011). Moreover, the way land deals are being implemented in different African countries </w:t>
                      </w:r>
                      <w:r>
                        <w:rPr>
                          <w:rFonts w:ascii="Times New Roman" w:hAnsi="Times New Roman" w:cs="Times New Roman"/>
                          <w:color w:val="000000" w:themeColor="text1"/>
                        </w:rPr>
                        <w:t>is</w:t>
                      </w:r>
                      <w:r w:rsidRPr="00372283">
                        <w:rPr>
                          <w:rFonts w:ascii="Times New Roman" w:hAnsi="Times New Roman" w:cs="Times New Roman"/>
                          <w:color w:val="000000" w:themeColor="text1"/>
                        </w:rPr>
                        <w:t xml:space="preserve"> marred by corruption where local uses and issues of biodiversity protection are deliberately overlooked by officials in charge of the land deals (Cotula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2009). For</w:t>
                      </w:r>
                      <w:r>
                        <w:rPr>
                          <w:rFonts w:ascii="Times New Roman" w:hAnsi="Times New Roman" w:cs="Times New Roman"/>
                          <w:color w:val="000000" w:themeColor="text1"/>
                        </w:rPr>
                        <w:t xml:space="preserve"> instance, due to lack of legal </w:t>
                      </w:r>
                      <w:r w:rsidRPr="00372283">
                        <w:rPr>
                          <w:rFonts w:ascii="Times New Roman" w:hAnsi="Times New Roman" w:cs="Times New Roman"/>
                          <w:color w:val="000000" w:themeColor="text1"/>
                        </w:rPr>
                        <w:t>provisions in th</w:t>
                      </w:r>
                      <w:r>
                        <w:rPr>
                          <w:rFonts w:ascii="Times New Roman" w:hAnsi="Times New Roman" w:cs="Times New Roman"/>
                          <w:color w:val="000000" w:themeColor="text1"/>
                        </w:rPr>
                        <w:t>e agreements, in Ethiopia large-</w:t>
                      </w:r>
                      <w:r w:rsidRPr="00372283">
                        <w:rPr>
                          <w:rFonts w:ascii="Times New Roman" w:hAnsi="Times New Roman" w:cs="Times New Roman"/>
                          <w:color w:val="000000" w:themeColor="text1"/>
                        </w:rPr>
                        <w:t>scale investors (usually foreign) clear natural vegetation with machinery and then burn the clear</w:t>
                      </w:r>
                      <w:r>
                        <w:rPr>
                          <w:rFonts w:ascii="Times New Roman" w:hAnsi="Times New Roman" w:cs="Times New Roman"/>
                          <w:color w:val="000000" w:themeColor="text1"/>
                        </w:rPr>
                        <w:t>ed wood and debris, while small-</w:t>
                      </w:r>
                      <w:r w:rsidRPr="00372283">
                        <w:rPr>
                          <w:rFonts w:ascii="Times New Roman" w:hAnsi="Times New Roman" w:cs="Times New Roman"/>
                          <w:color w:val="000000" w:themeColor="text1"/>
                        </w:rPr>
                        <w:t xml:space="preserve">scale local investors generally clear forest, convert it to charcoal and carry out the illegal, but lucrative business of charcoal selling (Horne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2011). </w:t>
                      </w:r>
                    </w:p>
                    <w:p w14:paraId="5F25F744" w14:textId="77777777" w:rsidR="00BC0CFA" w:rsidRPr="00372283" w:rsidRDefault="00BC0CFA" w:rsidP="00D972A5">
                      <w:pPr>
                        <w:spacing w:line="276" w:lineRule="auto"/>
                        <w:jc w:val="both"/>
                        <w:rPr>
                          <w:rFonts w:ascii="Times New Roman" w:hAnsi="Times New Roman" w:cs="Times New Roman"/>
                          <w:color w:val="000000" w:themeColor="text1"/>
                        </w:rPr>
                      </w:pPr>
                    </w:p>
                    <w:p w14:paraId="76BCF934" w14:textId="308D9919" w:rsidR="00BC0CFA" w:rsidRDefault="00BC0CFA" w:rsidP="00D972A5">
                      <w:pPr>
                        <w:spacing w:line="276" w:lineRule="auto"/>
                        <w:jc w:val="both"/>
                        <w:rPr>
                          <w:rFonts w:ascii="Times New Roman" w:hAnsi="Times New Roman" w:cs="Times New Roman"/>
                          <w:color w:val="000000" w:themeColor="text1"/>
                        </w:rPr>
                      </w:pPr>
                      <w:r w:rsidRPr="00372283">
                        <w:rPr>
                          <w:rFonts w:ascii="Times New Roman" w:hAnsi="Times New Roman" w:cs="Times New Roman"/>
                          <w:color w:val="000000" w:themeColor="text1"/>
                        </w:rPr>
                        <w:t>For example, such land grabbing, instead of fulfilling their intended objectives of local food product</w:t>
                      </w:r>
                      <w:r>
                        <w:rPr>
                          <w:rFonts w:ascii="Times New Roman" w:hAnsi="Times New Roman" w:cs="Times New Roman"/>
                          <w:color w:val="000000" w:themeColor="text1"/>
                        </w:rPr>
                        <w:t>ion</w:t>
                      </w:r>
                      <w:r w:rsidRPr="00372283">
                        <w:rPr>
                          <w:rFonts w:ascii="Times New Roman" w:hAnsi="Times New Roman" w:cs="Times New Roman"/>
                          <w:color w:val="000000" w:themeColor="text1"/>
                        </w:rPr>
                        <w:t>, ha</w:t>
                      </w:r>
                      <w:r>
                        <w:rPr>
                          <w:rFonts w:ascii="Times New Roman" w:hAnsi="Times New Roman" w:cs="Times New Roman"/>
                          <w:color w:val="000000" w:themeColor="text1"/>
                        </w:rPr>
                        <w:t>s</w:t>
                      </w:r>
                      <w:r w:rsidRPr="00372283">
                        <w:rPr>
                          <w:rFonts w:ascii="Times New Roman" w:hAnsi="Times New Roman" w:cs="Times New Roman"/>
                          <w:color w:val="000000" w:themeColor="text1"/>
                        </w:rPr>
                        <w:t xml:space="preserve"> resulted in 7,100 ha of Mabria forest being cleared for sugarcane in Uganda. This clearance is predicted to threaten 312 plant species, 287 butterfly species and 199 bird species that are available in the forest (Senelwa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2012). Similarly, a leasing of an upstream water source in Tanzania has resulted in a pollution of water pollution affecting 45,000 local consumers (Arduino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2012). </w:t>
                      </w:r>
                    </w:p>
                    <w:p w14:paraId="4E8BC7F0" w14:textId="77777777" w:rsidR="00BC0CFA" w:rsidRPr="00372283" w:rsidRDefault="00BC0CFA" w:rsidP="00D972A5">
                      <w:pPr>
                        <w:spacing w:line="276" w:lineRule="auto"/>
                        <w:jc w:val="both"/>
                        <w:rPr>
                          <w:rFonts w:ascii="Times New Roman" w:hAnsi="Times New Roman" w:cs="Times New Roman"/>
                          <w:color w:val="000000" w:themeColor="text1"/>
                        </w:rPr>
                      </w:pPr>
                    </w:p>
                    <w:p w14:paraId="3EDAD62B" w14:textId="738AC89D" w:rsidR="00BC0CFA" w:rsidRPr="00372283" w:rsidRDefault="00BC0CFA" w:rsidP="00D972A5">
                      <w:pPr>
                        <w:spacing w:line="276" w:lineRule="auto"/>
                        <w:jc w:val="both"/>
                        <w:rPr>
                          <w:rFonts w:ascii="Times New Roman" w:hAnsi="Times New Roman" w:cs="Times New Roman"/>
                          <w:color w:val="000000" w:themeColor="text1"/>
                        </w:rPr>
                      </w:pPr>
                      <w:r w:rsidRPr="00372283">
                        <w:rPr>
                          <w:rFonts w:ascii="Times New Roman" w:hAnsi="Times New Roman" w:cs="Times New Roman"/>
                          <w:color w:val="000000" w:themeColor="text1"/>
                        </w:rPr>
                        <w:t xml:space="preserve">Despite seemingly being ignored by many African nations, there are many global agreements that can be adopted and implemented for effectively curbing the impact of land grabbing on communities and biodiversity. New mechanisms designed to assist smallholder in accessing inputs and integrating into global commodity chains, of international regulations e.g. the European Union Renewable Energy Directives (Jacobsson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2009) and Renewable Fuel Standard program (EPA, 2010) should be encouraged. In doing so the host governments not only obtain the much sought-after cash and technology (through international land deals) but also will largely enhance the rehabilitation of abandoned or degraded areas. African states can also sign and strictly implement many international agreements and certifications that can guide responsible investment in land. Examples of such investments that can be applied based on the specific state of land and biodiversity in countries include: the Roundtable on Sustainable Palm Oil (Laurance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2010; Schoute</w:t>
                      </w:r>
                      <w:r>
                        <w:rPr>
                          <w:rFonts w:ascii="Times New Roman" w:hAnsi="Times New Roman" w:cs="Times New Roman"/>
                          <w:color w:val="000000" w:themeColor="text1"/>
                        </w:rPr>
                        <w:t xml:space="preserve">n </w:t>
                      </w:r>
                      <w:r w:rsidRPr="000429F8">
                        <w:rPr>
                          <w:rFonts w:ascii="Times New Roman" w:hAnsi="Times New Roman" w:cs="Times New Roman"/>
                          <w:i/>
                          <w:color w:val="000000" w:themeColor="text1"/>
                        </w:rPr>
                        <w:t>et al.</w:t>
                      </w:r>
                      <w:r>
                        <w:rPr>
                          <w:rFonts w:ascii="Times New Roman" w:hAnsi="Times New Roman" w:cs="Times New Roman"/>
                          <w:color w:val="000000" w:themeColor="text1"/>
                        </w:rPr>
                        <w:t>, 2011), Roundtable on R</w:t>
                      </w:r>
                      <w:r w:rsidRPr="00372283">
                        <w:rPr>
                          <w:rFonts w:ascii="Times New Roman" w:hAnsi="Times New Roman" w:cs="Times New Roman"/>
                          <w:color w:val="000000" w:themeColor="text1"/>
                        </w:rPr>
                        <w:t xml:space="preserve">esponsible Soy (Schouten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2012), Bonsucro certification and its local implementation (Moura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2012; Cockburn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2017), and the Soy Moratorium initiative (Leão, 2009).</w:t>
                      </w:r>
                    </w:p>
                  </w:txbxContent>
                </v:textbox>
                <w10:anchorlock/>
              </v:shape>
            </w:pict>
          </mc:Fallback>
        </mc:AlternateContent>
      </w:r>
    </w:p>
    <w:p w14:paraId="09D4FD49" w14:textId="0CEE1664"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It is repeatedly underscored that local experts’ knowledge should be used as a supplement to or in hybridisation with scientific knowledge, or there should be co-production of knowledge while considering capacity building in conservation and natural resource management (</w:t>
      </w:r>
      <w:r w:rsidR="00EC44DA" w:rsidRPr="009B0448">
        <w:rPr>
          <w:rFonts w:ascii="Times New Roman" w:hAnsi="Times New Roman" w:cs="Times New Roman"/>
        </w:rPr>
        <w:t xml:space="preserve">Johannes, 1998; </w:t>
      </w:r>
      <w:r w:rsidRPr="009B0448">
        <w:rPr>
          <w:rFonts w:ascii="Times New Roman" w:hAnsi="Times New Roman" w:cs="Times New Roman"/>
        </w:rPr>
        <w:t xml:space="preserve">Mercer </w:t>
      </w:r>
      <w:r w:rsidR="000429F8" w:rsidRPr="009B0448">
        <w:rPr>
          <w:rFonts w:ascii="Times New Roman" w:hAnsi="Times New Roman" w:cs="Times New Roman"/>
          <w:i/>
        </w:rPr>
        <w:t>et al.</w:t>
      </w:r>
      <w:r w:rsidRPr="009B0448">
        <w:rPr>
          <w:rFonts w:ascii="Times New Roman" w:hAnsi="Times New Roman" w:cs="Times New Roman"/>
        </w:rPr>
        <w:t xml:space="preserve">, 2007; </w:t>
      </w:r>
      <w:r w:rsidR="00EC44DA" w:rsidRPr="009B0448">
        <w:rPr>
          <w:rFonts w:ascii="Times New Roman" w:hAnsi="Times New Roman" w:cs="Times New Roman"/>
        </w:rPr>
        <w:t xml:space="preserve">Glasson </w:t>
      </w:r>
      <w:r w:rsidR="000429F8" w:rsidRPr="009B0448">
        <w:rPr>
          <w:rFonts w:ascii="Times New Roman" w:hAnsi="Times New Roman" w:cs="Times New Roman"/>
          <w:i/>
        </w:rPr>
        <w:t>et al.</w:t>
      </w:r>
      <w:r w:rsidR="00EC44DA" w:rsidRPr="009B0448">
        <w:rPr>
          <w:rFonts w:ascii="Times New Roman" w:hAnsi="Times New Roman" w:cs="Times New Roman"/>
        </w:rPr>
        <w:t xml:space="preserve">, 2010; </w:t>
      </w:r>
      <w:r w:rsidRPr="009B0448">
        <w:rPr>
          <w:rFonts w:ascii="Times New Roman" w:hAnsi="Times New Roman" w:cs="Times New Roman"/>
        </w:rPr>
        <w:t xml:space="preserve">Silvano </w:t>
      </w:r>
      <w:r w:rsidR="000429F8" w:rsidRPr="009B0448">
        <w:rPr>
          <w:rFonts w:ascii="Times New Roman" w:hAnsi="Times New Roman" w:cs="Times New Roman"/>
          <w:i/>
        </w:rPr>
        <w:t>et al.</w:t>
      </w:r>
      <w:r w:rsidRPr="009B0448">
        <w:rPr>
          <w:rFonts w:ascii="Times New Roman" w:hAnsi="Times New Roman" w:cs="Times New Roman"/>
        </w:rPr>
        <w:t xml:space="preserve">, 2010; Tengö </w:t>
      </w:r>
      <w:r w:rsidR="000429F8" w:rsidRPr="009B0448">
        <w:rPr>
          <w:rFonts w:ascii="Times New Roman" w:hAnsi="Times New Roman" w:cs="Times New Roman"/>
          <w:i/>
        </w:rPr>
        <w:t>et al.</w:t>
      </w:r>
      <w:r w:rsidRPr="009B0448">
        <w:rPr>
          <w:rFonts w:ascii="Times New Roman" w:hAnsi="Times New Roman" w:cs="Times New Roman"/>
        </w:rPr>
        <w:t xml:space="preserve">, 2014; Pereira </w:t>
      </w:r>
      <w:r w:rsidR="000429F8" w:rsidRPr="009B0448">
        <w:rPr>
          <w:rFonts w:ascii="Times New Roman" w:hAnsi="Times New Roman" w:cs="Times New Roman"/>
          <w:i/>
        </w:rPr>
        <w:t>et al.</w:t>
      </w:r>
      <w:r w:rsidRPr="009B0448">
        <w:rPr>
          <w:rFonts w:ascii="Times New Roman" w:hAnsi="Times New Roman" w:cs="Times New Roman"/>
        </w:rPr>
        <w:t xml:space="preserve">, 2017; Stringer </w:t>
      </w:r>
      <w:r w:rsidR="000429F8" w:rsidRPr="009B0448">
        <w:rPr>
          <w:rFonts w:ascii="Times New Roman" w:hAnsi="Times New Roman" w:cs="Times New Roman"/>
          <w:i/>
        </w:rPr>
        <w:t>et al.</w:t>
      </w:r>
      <w:r w:rsidRPr="009B0448">
        <w:rPr>
          <w:rFonts w:ascii="Times New Roman" w:hAnsi="Times New Roman" w:cs="Times New Roman"/>
        </w:rPr>
        <w:t xml:space="preserve">, 2017). Although there is limited literature using the terminology ‘Nature’s Contributions to People (NCP)’ as an alternative expression to facilitate consideration of plural knowledges about nature, African societies are inherently coupled to the environment, though this is not always emphasised. Figure 6.5 shows the combination or hybridisation of knowledge from different sources (indigenous, science and others) (Tengö </w:t>
      </w:r>
      <w:r w:rsidR="000429F8" w:rsidRPr="009B0448">
        <w:rPr>
          <w:rFonts w:ascii="Times New Roman" w:hAnsi="Times New Roman" w:cs="Times New Roman"/>
          <w:i/>
        </w:rPr>
        <w:t>et al.</w:t>
      </w:r>
      <w:r w:rsidRPr="009B0448">
        <w:rPr>
          <w:rFonts w:ascii="Times New Roman" w:hAnsi="Times New Roman" w:cs="Times New Roman"/>
        </w:rPr>
        <w:t xml:space="preserve">, 2014) alongside the key processes that can facilitate their combination (Stringer </w:t>
      </w:r>
      <w:r w:rsidR="000429F8" w:rsidRPr="009B0448">
        <w:rPr>
          <w:rFonts w:ascii="Times New Roman" w:hAnsi="Times New Roman" w:cs="Times New Roman"/>
          <w:i/>
        </w:rPr>
        <w:t>et al.</w:t>
      </w:r>
      <w:r w:rsidRPr="009B0448">
        <w:rPr>
          <w:rFonts w:ascii="Times New Roman" w:hAnsi="Times New Roman" w:cs="Times New Roman"/>
        </w:rPr>
        <w:t xml:space="preserve">, 2017). </w:t>
      </w:r>
    </w:p>
    <w:p w14:paraId="0DFFC7EF" w14:textId="77777777" w:rsidR="00C21A1B" w:rsidRPr="009B0448" w:rsidRDefault="00C21A1B" w:rsidP="009F0016">
      <w:pPr>
        <w:spacing w:line="276" w:lineRule="auto"/>
        <w:jc w:val="both"/>
        <w:rPr>
          <w:rFonts w:ascii="Times New Roman" w:hAnsi="Times New Roman" w:cs="Times New Roman"/>
        </w:rPr>
      </w:pPr>
    </w:p>
    <w:p w14:paraId="2E6F2AC7"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578470E8" wp14:editId="51D22F18">
                <wp:extent cx="5715000" cy="3984171"/>
                <wp:effectExtent l="0" t="0" r="19050" b="16510"/>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3984171"/>
                        </a:xfrm>
                        <a:prstGeom prst="rect">
                          <a:avLst/>
                        </a:prstGeom>
                        <a:solidFill>
                          <a:schemeClr val="bg1">
                            <a:lumMod val="95000"/>
                          </a:schemeClr>
                        </a:solidFill>
                        <a:ln w="9525">
                          <a:solidFill>
                            <a:srgbClr val="000000"/>
                          </a:solidFill>
                          <a:miter lim="800000"/>
                          <a:headEnd/>
                          <a:tailEnd/>
                        </a:ln>
                      </wps:spPr>
                      <wps:txbx>
                        <w:txbxContent>
                          <w:p w14:paraId="2A1896D6" w14:textId="77777777" w:rsidR="00BC0CFA" w:rsidRDefault="00BC0CFA" w:rsidP="00D972A5">
                            <w:pPr>
                              <w:spacing w:line="276" w:lineRule="auto"/>
                              <w:rPr>
                                <w:rFonts w:ascii="Times New Roman" w:hAnsi="Times New Roman" w:cs="Times New Roman"/>
                                <w:b/>
                              </w:rPr>
                            </w:pPr>
                            <w:r w:rsidRPr="00372283">
                              <w:rPr>
                                <w:rFonts w:ascii="Times New Roman" w:hAnsi="Times New Roman" w:cs="Times New Roman"/>
                                <w:b/>
                              </w:rPr>
                              <w:t>Box 6.24: Linking scientific and indigenous knowledge</w:t>
                            </w:r>
                          </w:p>
                          <w:p w14:paraId="12527AE9" w14:textId="77777777" w:rsidR="00BC0CFA" w:rsidRPr="00372283" w:rsidRDefault="00BC0CFA" w:rsidP="00D972A5">
                            <w:pPr>
                              <w:spacing w:line="276" w:lineRule="auto"/>
                              <w:rPr>
                                <w:rFonts w:ascii="Times New Roman" w:hAnsi="Times New Roman" w:cs="Times New Roman"/>
                                <w:b/>
                              </w:rPr>
                            </w:pPr>
                          </w:p>
                          <w:p w14:paraId="41BBBDD0" w14:textId="46E4C16D" w:rsidR="00BC0CFA" w:rsidRDefault="00BC0CFA" w:rsidP="00D972A5">
                            <w:pPr>
                              <w:spacing w:line="276" w:lineRule="auto"/>
                              <w:jc w:val="both"/>
                              <w:rPr>
                                <w:rFonts w:ascii="Times New Roman" w:hAnsi="Times New Roman" w:cs="Times New Roman"/>
                                <w:color w:val="000000" w:themeColor="text1"/>
                              </w:rPr>
                            </w:pPr>
                            <w:r w:rsidRPr="00372283">
                              <w:rPr>
                                <w:rFonts w:ascii="Times New Roman" w:hAnsi="Times New Roman" w:cs="Times New Roman"/>
                                <w:color w:val="000000" w:themeColor="text1"/>
                                <w:lang w:val="fr-FR"/>
                              </w:rPr>
                              <w:t xml:space="preserve">In Nigeria, Ayeni </w:t>
                            </w:r>
                            <w:r w:rsidRPr="000429F8">
                              <w:rPr>
                                <w:rFonts w:ascii="Times New Roman" w:hAnsi="Times New Roman" w:cs="Times New Roman"/>
                                <w:i/>
                                <w:color w:val="000000" w:themeColor="text1"/>
                                <w:lang w:val="fr-FR"/>
                              </w:rPr>
                              <w:t>et al.</w:t>
                            </w:r>
                            <w:r w:rsidRPr="00372283">
                              <w:rPr>
                                <w:rFonts w:ascii="Times New Roman" w:hAnsi="Times New Roman" w:cs="Times New Roman"/>
                                <w:color w:val="000000" w:themeColor="text1"/>
                                <w:lang w:val="fr-FR"/>
                              </w:rPr>
                              <w:t xml:space="preserve"> </w:t>
                            </w:r>
                            <w:r w:rsidRPr="00372283">
                              <w:rPr>
                                <w:rFonts w:ascii="Times New Roman" w:hAnsi="Times New Roman" w:cs="Times New Roman"/>
                                <w:color w:val="000000" w:themeColor="text1"/>
                              </w:rPr>
                              <w:t>(2016) showed a high consistency between indigenous people's perception of land cover changes, remotely sensed land cover products, and climate and surface water situations. Participatory approaches involving communities and local experts in assessing the impact of environmental change can</w:t>
                            </w:r>
                            <w:r>
                              <w:rPr>
                                <w:rFonts w:ascii="Times New Roman" w:hAnsi="Times New Roman" w:cs="Times New Roman"/>
                                <w:color w:val="000000" w:themeColor="text1"/>
                              </w:rPr>
                              <w:t>,</w:t>
                            </w:r>
                            <w:r w:rsidRPr="00372283">
                              <w:rPr>
                                <w:rFonts w:ascii="Times New Roman" w:hAnsi="Times New Roman" w:cs="Times New Roman"/>
                                <w:color w:val="000000" w:themeColor="text1"/>
                              </w:rPr>
                              <w:t xml:space="preserve"> therefore</w:t>
                            </w:r>
                            <w:r>
                              <w:rPr>
                                <w:rFonts w:ascii="Times New Roman" w:hAnsi="Times New Roman" w:cs="Times New Roman"/>
                                <w:color w:val="000000" w:themeColor="text1"/>
                              </w:rPr>
                              <w:t>,</w:t>
                            </w:r>
                            <w:r w:rsidRPr="00372283">
                              <w:rPr>
                                <w:rFonts w:ascii="Times New Roman" w:hAnsi="Times New Roman" w:cs="Times New Roman"/>
                                <w:color w:val="000000" w:themeColor="text1"/>
                              </w:rPr>
                              <w:t xml:space="preserve"> provide important insights into forest e</w:t>
                            </w:r>
                            <w:r>
                              <w:rPr>
                                <w:rFonts w:ascii="Times New Roman" w:hAnsi="Times New Roman" w:cs="Times New Roman"/>
                                <w:color w:val="000000" w:themeColor="text1"/>
                              </w:rPr>
                              <w:t>cosystem services such as fresh</w:t>
                            </w:r>
                            <w:r w:rsidRPr="00372283">
                              <w:rPr>
                                <w:rFonts w:ascii="Times New Roman" w:hAnsi="Times New Roman" w:cs="Times New Roman"/>
                                <w:color w:val="000000" w:themeColor="text1"/>
                              </w:rPr>
                              <w:t xml:space="preserve">water provision. </w:t>
                            </w:r>
                          </w:p>
                          <w:p w14:paraId="0141EAF4" w14:textId="77777777" w:rsidR="00BC0CFA" w:rsidRPr="00372283" w:rsidRDefault="00BC0CFA" w:rsidP="00D972A5">
                            <w:pPr>
                              <w:spacing w:line="276" w:lineRule="auto"/>
                              <w:jc w:val="both"/>
                              <w:rPr>
                                <w:rFonts w:ascii="Times New Roman" w:hAnsi="Times New Roman" w:cs="Times New Roman"/>
                                <w:color w:val="000000" w:themeColor="text1"/>
                              </w:rPr>
                            </w:pPr>
                          </w:p>
                          <w:p w14:paraId="4478C91A" w14:textId="46C3C5E6" w:rsidR="00BC0CFA" w:rsidRPr="00CE5B6C" w:rsidRDefault="00BC0CFA" w:rsidP="00D972A5">
                            <w:pPr>
                              <w:spacing w:line="276" w:lineRule="auto"/>
                              <w:jc w:val="both"/>
                              <w:rPr>
                                <w:rFonts w:ascii="Times New Roman" w:hAnsi="Times New Roman" w:cs="Times New Roman"/>
                                <w:color w:val="000000" w:themeColor="text1"/>
                                <w:sz w:val="20"/>
                                <w:szCs w:val="20"/>
                              </w:rPr>
                            </w:pPr>
                            <w:r w:rsidRPr="00372283">
                              <w:rPr>
                                <w:rFonts w:ascii="Times New Roman" w:hAnsi="Times New Roman" w:cs="Times New Roman"/>
                                <w:color w:val="000000" w:themeColor="text1"/>
                                <w:lang w:val="fr-FR"/>
                              </w:rPr>
                              <w:t xml:space="preserve">In Tanzania, Gaspare </w:t>
                            </w:r>
                            <w:r w:rsidRPr="000429F8">
                              <w:rPr>
                                <w:rFonts w:ascii="Times New Roman" w:hAnsi="Times New Roman" w:cs="Times New Roman"/>
                                <w:i/>
                                <w:color w:val="000000" w:themeColor="text1"/>
                                <w:lang w:val="fr-FR"/>
                              </w:rPr>
                              <w:t>et al.</w:t>
                            </w:r>
                            <w:r w:rsidRPr="00372283">
                              <w:rPr>
                                <w:rFonts w:ascii="Times New Roman" w:hAnsi="Times New Roman" w:cs="Times New Roman"/>
                                <w:color w:val="000000" w:themeColor="text1"/>
                                <w:lang w:val="fr-FR"/>
                              </w:rPr>
                              <w:t xml:space="preserve"> </w:t>
                            </w:r>
                            <w:r w:rsidRPr="00372283">
                              <w:rPr>
                                <w:rFonts w:ascii="Times New Roman" w:hAnsi="Times New Roman" w:cs="Times New Roman"/>
                                <w:color w:val="000000" w:themeColor="text1"/>
                              </w:rPr>
                              <w:t>(2015) compared traditional ecological knowledge with conventional scientific knowledge regarding the types of grouper (</w:t>
                            </w:r>
                            <w:r w:rsidRPr="00372283">
                              <w:rPr>
                                <w:rFonts w:ascii="Times New Roman" w:hAnsi="Times New Roman" w:cs="Times New Roman"/>
                                <w:i/>
                                <w:color w:val="000000" w:themeColor="text1"/>
                              </w:rPr>
                              <w:t>Epinephelinae</w:t>
                            </w:r>
                            <w:r w:rsidRPr="00372283">
                              <w:rPr>
                                <w:rFonts w:ascii="Times New Roman" w:hAnsi="Times New Roman" w:cs="Times New Roman"/>
                                <w:color w:val="000000" w:themeColor="text1"/>
                              </w:rPr>
                              <w:t xml:space="preserve">), a fish species utilized by communities, and when they are caught. This information is of considerable value to fisheries managers and policy makers. Most of the resource-use patterns and effort exerted revealed in qualitative data collected about groupers on Mafia Island is consistent with that reported by Fischer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(1984). However, information on specific grouper species caught using ‘nets’ (as defined in this study) is lacking. In this case, fishers' traditional ecological knowledge is the only available source of information to complement conventional scientific data. The results indicated that confirmed scientific data and elicited knowledge that was new to both traditional ecological knowledge and science. It nevertheless highlighted some differences between traditional ecological knowledge and science (e.g. on spawning behaviour). Discrepancies in the two knowledge systems can be attributed to factors including observational scale differences, as well as methodological differences in gathering data (e.g. in sample sizes). </w:t>
                            </w:r>
                          </w:p>
                        </w:txbxContent>
                      </wps:txbx>
                      <wps:bodyPr rot="0" vert="horz" wrap="square" lIns="91440" tIns="45720" rIns="91440" bIns="45720" anchor="t" anchorCtr="0">
                        <a:noAutofit/>
                      </wps:bodyPr>
                    </wps:wsp>
                  </a:graphicData>
                </a:graphic>
              </wp:inline>
            </w:drawing>
          </mc:Choice>
          <mc:Fallback>
            <w:pict>
              <v:shape w14:anchorId="578470E8" id="Text Box 39" o:spid="_x0000_s1062" type="#_x0000_t202" style="width:450pt;height:31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" fillcolor="#f2f2f2 [3052]">
                <v:textbox>
                  <w:txbxContent>
                    <w:p w14:paraId="2A1896D6" w14:textId="77777777" w:rsidR="00BC0CFA" w:rsidRDefault="00BC0CFA" w:rsidP="00D972A5">
                      <w:pPr>
                        <w:spacing w:line="276" w:lineRule="auto"/>
                        <w:rPr>
                          <w:rFonts w:ascii="Times New Roman" w:hAnsi="Times New Roman" w:cs="Times New Roman"/>
                          <w:b/>
                        </w:rPr>
                      </w:pPr>
                      <w:r w:rsidRPr="00372283">
                        <w:rPr>
                          <w:rFonts w:ascii="Times New Roman" w:hAnsi="Times New Roman" w:cs="Times New Roman"/>
                          <w:b/>
                        </w:rPr>
                        <w:t>Box 6.24: Linking scientific and indigenous knowledge</w:t>
                      </w:r>
                    </w:p>
                    <w:p w14:paraId="12527AE9" w14:textId="77777777" w:rsidR="00BC0CFA" w:rsidRPr="00372283" w:rsidRDefault="00BC0CFA" w:rsidP="00D972A5">
                      <w:pPr>
                        <w:spacing w:line="276" w:lineRule="auto"/>
                        <w:rPr>
                          <w:rFonts w:ascii="Times New Roman" w:hAnsi="Times New Roman" w:cs="Times New Roman"/>
                          <w:b/>
                        </w:rPr>
                      </w:pPr>
                    </w:p>
                    <w:p w14:paraId="41BBBDD0" w14:textId="46E4C16D" w:rsidR="00BC0CFA" w:rsidRDefault="00BC0CFA" w:rsidP="00D972A5">
                      <w:pPr>
                        <w:spacing w:line="276" w:lineRule="auto"/>
                        <w:jc w:val="both"/>
                        <w:rPr>
                          <w:rFonts w:ascii="Times New Roman" w:hAnsi="Times New Roman" w:cs="Times New Roman"/>
                          <w:color w:val="000000" w:themeColor="text1"/>
                        </w:rPr>
                      </w:pPr>
                      <w:r w:rsidRPr="00372283">
                        <w:rPr>
                          <w:rFonts w:ascii="Times New Roman" w:hAnsi="Times New Roman" w:cs="Times New Roman"/>
                          <w:color w:val="000000" w:themeColor="text1"/>
                          <w:lang w:val="fr-FR"/>
                        </w:rPr>
                        <w:t xml:space="preserve">In Nigeria, Ayeni </w:t>
                      </w:r>
                      <w:r w:rsidRPr="000429F8">
                        <w:rPr>
                          <w:rFonts w:ascii="Times New Roman" w:hAnsi="Times New Roman" w:cs="Times New Roman"/>
                          <w:i/>
                          <w:color w:val="000000" w:themeColor="text1"/>
                          <w:lang w:val="fr-FR"/>
                        </w:rPr>
                        <w:t>et al.</w:t>
                      </w:r>
                      <w:r w:rsidRPr="00372283">
                        <w:rPr>
                          <w:rFonts w:ascii="Times New Roman" w:hAnsi="Times New Roman" w:cs="Times New Roman"/>
                          <w:color w:val="000000" w:themeColor="text1"/>
                          <w:lang w:val="fr-FR"/>
                        </w:rPr>
                        <w:t xml:space="preserve"> </w:t>
                      </w:r>
                      <w:r w:rsidRPr="00372283">
                        <w:rPr>
                          <w:rFonts w:ascii="Times New Roman" w:hAnsi="Times New Roman" w:cs="Times New Roman"/>
                          <w:color w:val="000000" w:themeColor="text1"/>
                        </w:rPr>
                        <w:t>(2016) showed a high consistency between indigenous people's perception of land cover changes, remotely sensed land cover products, and climate and surface water situations. Participatory approaches involving communities and local experts in assessing the impact of environmental change can</w:t>
                      </w:r>
                      <w:r>
                        <w:rPr>
                          <w:rFonts w:ascii="Times New Roman" w:hAnsi="Times New Roman" w:cs="Times New Roman"/>
                          <w:color w:val="000000" w:themeColor="text1"/>
                        </w:rPr>
                        <w:t>,</w:t>
                      </w:r>
                      <w:r w:rsidRPr="00372283">
                        <w:rPr>
                          <w:rFonts w:ascii="Times New Roman" w:hAnsi="Times New Roman" w:cs="Times New Roman"/>
                          <w:color w:val="000000" w:themeColor="text1"/>
                        </w:rPr>
                        <w:t xml:space="preserve"> therefore</w:t>
                      </w:r>
                      <w:r>
                        <w:rPr>
                          <w:rFonts w:ascii="Times New Roman" w:hAnsi="Times New Roman" w:cs="Times New Roman"/>
                          <w:color w:val="000000" w:themeColor="text1"/>
                        </w:rPr>
                        <w:t>,</w:t>
                      </w:r>
                      <w:r w:rsidRPr="00372283">
                        <w:rPr>
                          <w:rFonts w:ascii="Times New Roman" w:hAnsi="Times New Roman" w:cs="Times New Roman"/>
                          <w:color w:val="000000" w:themeColor="text1"/>
                        </w:rPr>
                        <w:t xml:space="preserve"> provide important insights into forest e</w:t>
                      </w:r>
                      <w:r>
                        <w:rPr>
                          <w:rFonts w:ascii="Times New Roman" w:hAnsi="Times New Roman" w:cs="Times New Roman"/>
                          <w:color w:val="000000" w:themeColor="text1"/>
                        </w:rPr>
                        <w:t>cosystem services such as fresh</w:t>
                      </w:r>
                      <w:r w:rsidRPr="00372283">
                        <w:rPr>
                          <w:rFonts w:ascii="Times New Roman" w:hAnsi="Times New Roman" w:cs="Times New Roman"/>
                          <w:color w:val="000000" w:themeColor="text1"/>
                        </w:rPr>
                        <w:t xml:space="preserve">water provision. </w:t>
                      </w:r>
                    </w:p>
                    <w:p w14:paraId="0141EAF4" w14:textId="77777777" w:rsidR="00BC0CFA" w:rsidRPr="00372283" w:rsidRDefault="00BC0CFA" w:rsidP="00D972A5">
                      <w:pPr>
                        <w:spacing w:line="276" w:lineRule="auto"/>
                        <w:jc w:val="both"/>
                        <w:rPr>
                          <w:rFonts w:ascii="Times New Roman" w:hAnsi="Times New Roman" w:cs="Times New Roman"/>
                          <w:color w:val="000000" w:themeColor="text1"/>
                        </w:rPr>
                      </w:pPr>
                    </w:p>
                    <w:p w14:paraId="4478C91A" w14:textId="46C3C5E6" w:rsidR="00BC0CFA" w:rsidRPr="00CE5B6C" w:rsidRDefault="00BC0CFA" w:rsidP="00D972A5">
                      <w:pPr>
                        <w:spacing w:line="276" w:lineRule="auto"/>
                        <w:jc w:val="both"/>
                        <w:rPr>
                          <w:rFonts w:ascii="Times New Roman" w:hAnsi="Times New Roman" w:cs="Times New Roman"/>
                          <w:color w:val="000000" w:themeColor="text1"/>
                          <w:sz w:val="20"/>
                          <w:szCs w:val="20"/>
                        </w:rPr>
                      </w:pPr>
                      <w:r w:rsidRPr="00372283">
                        <w:rPr>
                          <w:rFonts w:ascii="Times New Roman" w:hAnsi="Times New Roman" w:cs="Times New Roman"/>
                          <w:color w:val="000000" w:themeColor="text1"/>
                          <w:lang w:val="fr-FR"/>
                        </w:rPr>
                        <w:t xml:space="preserve">In Tanzania, Gaspare </w:t>
                      </w:r>
                      <w:r w:rsidRPr="000429F8">
                        <w:rPr>
                          <w:rFonts w:ascii="Times New Roman" w:hAnsi="Times New Roman" w:cs="Times New Roman"/>
                          <w:i/>
                          <w:color w:val="000000" w:themeColor="text1"/>
                          <w:lang w:val="fr-FR"/>
                        </w:rPr>
                        <w:t>et al.</w:t>
                      </w:r>
                      <w:r w:rsidRPr="00372283">
                        <w:rPr>
                          <w:rFonts w:ascii="Times New Roman" w:hAnsi="Times New Roman" w:cs="Times New Roman"/>
                          <w:color w:val="000000" w:themeColor="text1"/>
                          <w:lang w:val="fr-FR"/>
                        </w:rPr>
                        <w:t xml:space="preserve"> </w:t>
                      </w:r>
                      <w:r w:rsidRPr="00372283">
                        <w:rPr>
                          <w:rFonts w:ascii="Times New Roman" w:hAnsi="Times New Roman" w:cs="Times New Roman"/>
                          <w:color w:val="000000" w:themeColor="text1"/>
                        </w:rPr>
                        <w:t>(2015) compared traditional ecological knowledge with conventional scientific knowledge regarding the types of grouper (</w:t>
                      </w:r>
                      <w:r w:rsidRPr="00372283">
                        <w:rPr>
                          <w:rFonts w:ascii="Times New Roman" w:hAnsi="Times New Roman" w:cs="Times New Roman"/>
                          <w:i/>
                          <w:color w:val="000000" w:themeColor="text1"/>
                        </w:rPr>
                        <w:t>Epinephelinae</w:t>
                      </w:r>
                      <w:r w:rsidRPr="00372283">
                        <w:rPr>
                          <w:rFonts w:ascii="Times New Roman" w:hAnsi="Times New Roman" w:cs="Times New Roman"/>
                          <w:color w:val="000000" w:themeColor="text1"/>
                        </w:rPr>
                        <w:t xml:space="preserve">), a fish species utilized by communities, and when they are caught. This information is of considerable value to fisheries managers and policy makers. Most of the resource-use patterns and effort exerted revealed in qualitative data collected about groupers on Mafia Island is consistent with that reported by Fischer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(1984). However, information on specific grouper species caught using ‘nets’ (as defined in this study) is lacking. In this case, fishers' traditional ecological knowledge is the only available source of information to complement conventional scientific data. The results indicated that confirmed scientific data and elicited knowledge that was new to both traditional ecological knowledge and science. It nevertheless highlighted some differences between traditional ecological knowledge and science (e.g. on spawning behaviour). Discrepancies in the two knowledge systems can be attributed to factors including observational scale differences, as well as methodological differences in gathering data (e.g. in sample sizes). </w:t>
                      </w:r>
                    </w:p>
                  </w:txbxContent>
                </v:textbox>
                <w10:anchorlock/>
              </v:shape>
            </w:pict>
          </mc:Fallback>
        </mc:AlternateContent>
      </w:r>
    </w:p>
    <w:p w14:paraId="646189C1" w14:textId="77777777" w:rsidR="004B3FBD" w:rsidRPr="009B0448" w:rsidRDefault="004B3FBD" w:rsidP="009F0016">
      <w:pPr>
        <w:spacing w:line="276" w:lineRule="auto"/>
        <w:jc w:val="both"/>
        <w:rPr>
          <w:rFonts w:ascii="Times New Roman" w:hAnsi="Times New Roman" w:cs="Times New Roman"/>
        </w:rPr>
      </w:pPr>
    </w:p>
    <w:p w14:paraId="7CF1ED24" w14:textId="7221DF4B" w:rsidR="004B3FBD" w:rsidRPr="009B0448" w:rsidRDefault="004B3FBD" w:rsidP="004B3FBD">
      <w:pPr>
        <w:spacing w:line="276" w:lineRule="auto"/>
        <w:jc w:val="both"/>
        <w:rPr>
          <w:rFonts w:ascii="Times New Roman" w:hAnsi="Times New Roman" w:cs="Times New Roman"/>
          <w:color w:val="000000" w:themeColor="text1"/>
        </w:rPr>
      </w:pPr>
      <w:r w:rsidRPr="009B0448">
        <w:rPr>
          <w:rFonts w:ascii="Times New Roman" w:hAnsi="Times New Roman" w:cs="Times New Roman"/>
        </w:rPr>
        <w:t xml:space="preserve">Such approaches to hybridising traditional knowledge and science/ technology enable the production of a knowledge system that is both locally relevant and scientifically accurate (Glasson </w:t>
      </w:r>
      <w:r w:rsidRPr="009B0448">
        <w:rPr>
          <w:rFonts w:ascii="Times New Roman" w:hAnsi="Times New Roman" w:cs="Times New Roman"/>
          <w:i/>
        </w:rPr>
        <w:t>et al.</w:t>
      </w:r>
      <w:r w:rsidRPr="009B0448">
        <w:rPr>
          <w:rFonts w:ascii="Times New Roman" w:hAnsi="Times New Roman" w:cs="Times New Roman"/>
        </w:rPr>
        <w:t xml:space="preserve">, 2010; Balehegn </w:t>
      </w:r>
      <w:r w:rsidRPr="009B0448">
        <w:rPr>
          <w:rFonts w:ascii="Times New Roman" w:hAnsi="Times New Roman" w:cs="Times New Roman"/>
          <w:i/>
        </w:rPr>
        <w:t>et al.</w:t>
      </w:r>
      <w:r w:rsidRPr="009B0448">
        <w:rPr>
          <w:rFonts w:ascii="Times New Roman" w:hAnsi="Times New Roman" w:cs="Times New Roman"/>
        </w:rPr>
        <w:t>, 2015). Hybrid knowledge systems that successfully incorporate both indigenous and scientific knowledge on an equal footing are very rare. However, some examples of inclusive or integrated knowledge system include the use of cyber tracker for biodiversity monitoring by Kalahari desert bushmen (</w:t>
      </w:r>
      <w:hyperlink r:id="rId1761">
        <w:r w:rsidRPr="009B0448">
          <w:rPr>
            <w:rStyle w:val="Hyperlink"/>
            <w:rFonts w:ascii="Times New Roman" w:hAnsi="Times New Roman" w:cs="Times New Roman"/>
          </w:rPr>
          <w:t>http://www.cybertracker.org</w:t>
        </w:r>
      </w:hyperlink>
      <w:r w:rsidRPr="009B0448">
        <w:rPr>
          <w:rStyle w:val="Hyperlink"/>
          <w:rFonts w:ascii="Times New Roman" w:hAnsi="Times New Roman" w:cs="Times New Roman"/>
        </w:rPr>
        <w:t>/</w:t>
      </w:r>
      <w:r w:rsidRPr="009B0448">
        <w:rPr>
          <w:rFonts w:ascii="Times New Roman" w:hAnsi="Times New Roman" w:cs="Times New Roman"/>
        </w:rPr>
        <w:t xml:space="preserve">) and the co-production of weather forecasting knowledge for training farmers and scientists to improve the accuracy of weather prediction at various scales (Zuma-Netshiukhwi </w:t>
      </w:r>
      <w:r w:rsidRPr="009B0448">
        <w:rPr>
          <w:rFonts w:ascii="Times New Roman" w:hAnsi="Times New Roman" w:cs="Times New Roman"/>
          <w:i/>
        </w:rPr>
        <w:t>et al.</w:t>
      </w:r>
      <w:r w:rsidRPr="009B0448">
        <w:rPr>
          <w:rFonts w:ascii="Times New Roman" w:hAnsi="Times New Roman" w:cs="Times New Roman"/>
        </w:rPr>
        <w:t xml:space="preserve">, 2013); combining indigenous and scientific knowledge for improved weather forecasting in Tanzania (Mahoo </w:t>
      </w:r>
      <w:r w:rsidRPr="009B0448">
        <w:rPr>
          <w:rFonts w:ascii="Times New Roman" w:hAnsi="Times New Roman" w:cs="Times New Roman"/>
          <w:i/>
        </w:rPr>
        <w:t>et al.</w:t>
      </w:r>
      <w:r w:rsidRPr="009B0448">
        <w:rPr>
          <w:rFonts w:ascii="Times New Roman" w:hAnsi="Times New Roman" w:cs="Times New Roman"/>
        </w:rPr>
        <w:t xml:space="preserve">, 2011), and the Nganyi project in Kenya (Ouma </w:t>
      </w:r>
      <w:r w:rsidRPr="009B0448">
        <w:rPr>
          <w:rFonts w:ascii="Times New Roman" w:hAnsi="Times New Roman" w:cs="Times New Roman"/>
          <w:i/>
        </w:rPr>
        <w:t>et al.</w:t>
      </w:r>
      <w:r w:rsidRPr="009B0448">
        <w:rPr>
          <w:rFonts w:ascii="Times New Roman" w:hAnsi="Times New Roman" w:cs="Times New Roman"/>
        </w:rPr>
        <w:t xml:space="preserve">, 2015), as well as the production of integrated knowledge (science and indigenous and local knowledge) for monitoring </w:t>
      </w:r>
      <w:r w:rsidR="00917FB2">
        <w:rPr>
          <w:rFonts w:ascii="Times New Roman" w:hAnsi="Times New Roman" w:cs="Times New Roman"/>
        </w:rPr>
        <w:t>land-use</w:t>
      </w:r>
      <w:r w:rsidRPr="009B0448">
        <w:rPr>
          <w:rFonts w:ascii="Times New Roman" w:hAnsi="Times New Roman" w:cs="Times New Roman"/>
        </w:rPr>
        <w:t xml:space="preserve"> and land cover changes in South Africa (Chalmers </w:t>
      </w:r>
      <w:r w:rsidRPr="009B0448">
        <w:rPr>
          <w:rFonts w:ascii="Times New Roman" w:hAnsi="Times New Roman" w:cs="Times New Roman"/>
          <w:i/>
        </w:rPr>
        <w:t>et al.</w:t>
      </w:r>
      <w:r w:rsidRPr="009B0448">
        <w:rPr>
          <w:rFonts w:ascii="Times New Roman" w:hAnsi="Times New Roman" w:cs="Times New Roman"/>
        </w:rPr>
        <w:t xml:space="preserve">, 2007). </w:t>
      </w:r>
      <w:r w:rsidRPr="009B0448">
        <w:rPr>
          <w:rFonts w:ascii="Times New Roman" w:hAnsi="Times New Roman" w:cs="Times New Roman"/>
          <w:color w:val="000000" w:themeColor="text1"/>
        </w:rPr>
        <w:t xml:space="preserve">In Guinea, Le Fur </w:t>
      </w:r>
      <w:r w:rsidRPr="009B0448">
        <w:rPr>
          <w:rFonts w:ascii="Times New Roman" w:hAnsi="Times New Roman" w:cs="Times New Roman"/>
          <w:i/>
          <w:color w:val="000000" w:themeColor="text1"/>
        </w:rPr>
        <w:t>et al.</w:t>
      </w:r>
      <w:r w:rsidRPr="009B0448">
        <w:rPr>
          <w:rFonts w:ascii="Times New Roman" w:hAnsi="Times New Roman" w:cs="Times New Roman"/>
          <w:color w:val="000000" w:themeColor="text1"/>
        </w:rPr>
        <w:t xml:space="preserve"> (2011) showed that ILK could complement scientific studies in describing the seabed, be used as a source of new scientific investigation, provide information on nursery location, and could substitute scientific surveys on fish diets provided the level of validity is identical, and constitute a satisfactory proxy for understanding trophic webs. </w:t>
      </w:r>
    </w:p>
    <w:p w14:paraId="28A5E063" w14:textId="77777777" w:rsidR="00C21A1B" w:rsidRPr="009B0448" w:rsidRDefault="00C21A1B" w:rsidP="009F0016">
      <w:pPr>
        <w:spacing w:line="276" w:lineRule="auto"/>
        <w:jc w:val="both"/>
        <w:rPr>
          <w:rFonts w:ascii="Times New Roman" w:hAnsi="Times New Roman" w:cs="Times New Roman"/>
        </w:rPr>
      </w:pPr>
    </w:p>
    <w:p w14:paraId="74EDD02F" w14:textId="6C8782C4" w:rsidR="004B3FBD" w:rsidRPr="009B0448" w:rsidRDefault="004B3FBD" w:rsidP="004B3FBD">
      <w:pPr>
        <w:spacing w:line="276" w:lineRule="auto"/>
        <w:jc w:val="center"/>
        <w:rPr>
          <w:rFonts w:ascii="Times New Roman" w:hAnsi="Times New Roman" w:cs="Times New Roman"/>
        </w:rPr>
      </w:pPr>
      <w:r w:rsidRPr="009B0448">
        <w:rPr>
          <w:rFonts w:ascii="Times New Roman" w:hAnsi="Times New Roman" w:cs="Times New Roman"/>
          <w:noProof/>
          <w:lang w:eastAsia="en-GB"/>
        </w:rPr>
        <w:drawing>
          <wp:inline distT="0" distB="0" distL="0" distR="0" wp14:anchorId="25B0962F" wp14:editId="77655380">
            <wp:extent cx="5635854" cy="4396347"/>
            <wp:effectExtent l="0" t="0" r="3175" b="4445"/>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Fig 6.5.JPG"/>
                    <pic:cNvPicPr/>
                  </pic:nvPicPr>
                  <pic:blipFill rotWithShape="1">
                    <a:blip r:embed="rId1762">
                      <a:extLst>
                        <a:ext uri="{28A0092B-C50C-407E-A947-70E740481C1C}">
                          <a14:useLocalDpi xmlns:a14="http://schemas.microsoft.com/office/drawing/2010/main" val="0"/>
                        </a:ext>
                      </a:extLst>
                    </a:blip>
                    <a:srcRect t="12009"/>
                    <a:stretch/>
                  </pic:blipFill>
                  <pic:spPr bwMode="auto">
                    <a:xfrm>
                      <a:off x="0" y="0"/>
                      <a:ext cx="5667190" cy="4420791"/>
                    </a:xfrm>
                    <a:prstGeom prst="rect">
                      <a:avLst/>
                    </a:prstGeom>
                    <a:ln>
                      <a:noFill/>
                    </a:ln>
                    <a:extLst>
                      <a:ext uri="{53640926-AAD7-44D8-BBD7-CCE9431645EC}">
                        <a14:shadowObscured xmlns:a14="http://schemas.microsoft.com/office/drawing/2010/main"/>
                      </a:ext>
                    </a:extLst>
                  </pic:spPr>
                </pic:pic>
              </a:graphicData>
            </a:graphic>
          </wp:inline>
        </w:drawing>
      </w:r>
    </w:p>
    <w:p w14:paraId="1C36AA83" w14:textId="5249B82C" w:rsidR="004B3FBD" w:rsidRPr="009B0448" w:rsidRDefault="004B3FBD" w:rsidP="00835B42">
      <w:pPr>
        <w:spacing w:line="276" w:lineRule="auto"/>
        <w:jc w:val="both"/>
        <w:rPr>
          <w:rFonts w:ascii="Times New Roman" w:hAnsi="Times New Roman" w:cs="Times New Roman"/>
        </w:rPr>
      </w:pPr>
      <w:r w:rsidRPr="009B0448">
        <w:rPr>
          <w:rFonts w:ascii="Times New Roman" w:hAnsi="Times New Roman" w:cs="Times New Roman"/>
          <w:b/>
        </w:rPr>
        <w:t xml:space="preserve">Figure 6.5: </w:t>
      </w:r>
      <w:r w:rsidRPr="009B0448">
        <w:rPr>
          <w:rFonts w:ascii="Times New Roman" w:hAnsi="Times New Roman" w:cs="Times New Roman"/>
        </w:rPr>
        <w:t xml:space="preserve">The combination or hybridisation of knowledge from different sources (indigenous, science and others) and the key processes that can facilitate their combination. Sources: adapted from Tengö </w:t>
      </w:r>
      <w:r w:rsidRPr="009B0448">
        <w:rPr>
          <w:rFonts w:ascii="Times New Roman" w:hAnsi="Times New Roman" w:cs="Times New Roman"/>
          <w:i/>
        </w:rPr>
        <w:t>et al.</w:t>
      </w:r>
      <w:r w:rsidRPr="009B0448">
        <w:rPr>
          <w:rFonts w:ascii="Times New Roman" w:hAnsi="Times New Roman" w:cs="Times New Roman"/>
        </w:rPr>
        <w:t xml:space="preserve"> (2014); Stringer </w:t>
      </w:r>
      <w:r w:rsidRPr="009B0448">
        <w:rPr>
          <w:rFonts w:ascii="Times New Roman" w:hAnsi="Times New Roman" w:cs="Times New Roman"/>
          <w:i/>
        </w:rPr>
        <w:t>et al.</w:t>
      </w:r>
      <w:r w:rsidRPr="009B0448">
        <w:rPr>
          <w:rFonts w:ascii="Times New Roman" w:hAnsi="Times New Roman" w:cs="Times New Roman"/>
        </w:rPr>
        <w:t xml:space="preserve"> (2017).</w:t>
      </w:r>
    </w:p>
    <w:p w14:paraId="2BE528E1" w14:textId="77777777" w:rsidR="00372283" w:rsidRPr="009B0448" w:rsidRDefault="00372283" w:rsidP="009F0016">
      <w:pPr>
        <w:spacing w:line="276" w:lineRule="auto"/>
        <w:jc w:val="both"/>
        <w:rPr>
          <w:rFonts w:ascii="Times New Roman" w:hAnsi="Times New Roman" w:cs="Times New Roman"/>
        </w:rPr>
      </w:pPr>
    </w:p>
    <w:p w14:paraId="733A28AF" w14:textId="12183F35"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Such approaches can be extremely useful where capacity, data and resources are lacking, making the codification of local ecological knowledge highly practical (Johannes, 1998; Silvano </w:t>
      </w:r>
      <w:r w:rsidR="000429F8" w:rsidRPr="009B0448">
        <w:rPr>
          <w:rFonts w:ascii="Times New Roman" w:hAnsi="Times New Roman" w:cs="Times New Roman"/>
          <w:i/>
        </w:rPr>
        <w:t>et al.</w:t>
      </w:r>
      <w:r w:rsidRPr="009B0448">
        <w:rPr>
          <w:rFonts w:ascii="Times New Roman" w:hAnsi="Times New Roman" w:cs="Times New Roman"/>
        </w:rPr>
        <w:t xml:space="preserve">, 2010), particularly in fisheries studies for which the cost of obtaining data is an important consideration (Cury </w:t>
      </w:r>
      <w:r w:rsidR="000429F8" w:rsidRPr="009B0448">
        <w:rPr>
          <w:rFonts w:ascii="Times New Roman" w:hAnsi="Times New Roman" w:cs="Times New Roman"/>
          <w:i/>
        </w:rPr>
        <w:t>et al.</w:t>
      </w:r>
      <w:r w:rsidRPr="009B0448">
        <w:rPr>
          <w:rFonts w:ascii="Times New Roman" w:hAnsi="Times New Roman" w:cs="Times New Roman"/>
        </w:rPr>
        <w:t xml:space="preserve">, 2005; Garcia </w:t>
      </w:r>
      <w:r w:rsidR="000429F8" w:rsidRPr="009B0448">
        <w:rPr>
          <w:rFonts w:ascii="Times New Roman" w:hAnsi="Times New Roman" w:cs="Times New Roman"/>
          <w:i/>
        </w:rPr>
        <w:t>et al.</w:t>
      </w:r>
      <w:r w:rsidRPr="009B0448">
        <w:rPr>
          <w:rFonts w:ascii="Times New Roman" w:hAnsi="Times New Roman" w:cs="Times New Roman"/>
        </w:rPr>
        <w:t xml:space="preserve">, 2005). Local ecological knowledge could help to provide answers to questions relating to the identification of sensitive areas in terms of ecosystem productivity (Aswani </w:t>
      </w:r>
      <w:r w:rsidR="000429F8" w:rsidRPr="009B0448">
        <w:rPr>
          <w:rFonts w:ascii="Times New Roman" w:hAnsi="Times New Roman" w:cs="Times New Roman"/>
          <w:i/>
        </w:rPr>
        <w:t>et al.</w:t>
      </w:r>
      <w:r w:rsidRPr="009B0448">
        <w:rPr>
          <w:rFonts w:ascii="Times New Roman" w:hAnsi="Times New Roman" w:cs="Times New Roman"/>
        </w:rPr>
        <w:t>, 2004, 2006), for which diverse knowledge along entire coasts could be obtained.</w:t>
      </w:r>
    </w:p>
    <w:p w14:paraId="0C397868" w14:textId="77777777" w:rsidR="00C21A1B" w:rsidRPr="009B0448" w:rsidRDefault="00C21A1B" w:rsidP="009F0016">
      <w:pPr>
        <w:spacing w:line="276" w:lineRule="auto"/>
        <w:jc w:val="both"/>
        <w:rPr>
          <w:rFonts w:ascii="Times New Roman" w:hAnsi="Times New Roman" w:cs="Times New Roman"/>
        </w:rPr>
      </w:pPr>
    </w:p>
    <w:p w14:paraId="30009760" w14:textId="1EA9A151"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Despite these advantages, a number of challenges remain in increasing the use of indigenous and local knowledge. There is a need for capacity building for those institutions tasked with the management of biodiversity and ecosystem services to identify and absorb relevant indigenous and local knowledge. Furthermore, it necessitates the fine-tuning of processes such as stakeholder engagement, participation, knowledge exchange and co-production, which are key vehicles for learning, information dissemination and communication. The importance of communication in the management of common assets such as biodiversity and ecosystem services cannot be over-emphasised. There are nevertheless suggestions that combining indigenous knowledge with western science would displace indigenous knowledge from its context or place-based significance, rendering it less useful (Tsegaye </w:t>
      </w:r>
      <w:r w:rsidR="000429F8" w:rsidRPr="009B0448">
        <w:rPr>
          <w:rFonts w:ascii="Times New Roman" w:hAnsi="Times New Roman" w:cs="Times New Roman"/>
          <w:i/>
        </w:rPr>
        <w:t>et al.</w:t>
      </w:r>
      <w:r w:rsidRPr="009B0448">
        <w:rPr>
          <w:rFonts w:ascii="Times New Roman" w:hAnsi="Times New Roman" w:cs="Times New Roman"/>
        </w:rPr>
        <w:t>, 2009). Moreover, there is widespread and steady inter-generational degradation of indigenous traditional knowledge in many African communities. Therefore, indigenous traditional knowledge needs not only incorporation or hybridisation w</w:t>
      </w:r>
      <w:r w:rsidR="00EA0D49" w:rsidRPr="009B0448">
        <w:rPr>
          <w:rFonts w:ascii="Times New Roman" w:hAnsi="Times New Roman" w:cs="Times New Roman"/>
        </w:rPr>
        <w:t>ith science</w:t>
      </w:r>
      <w:r w:rsidRPr="009B0448">
        <w:rPr>
          <w:rFonts w:ascii="Times New Roman" w:hAnsi="Times New Roman" w:cs="Times New Roman"/>
        </w:rPr>
        <w:t xml:space="preserve"> but also conservation in its own right (see chapter 1).</w:t>
      </w:r>
    </w:p>
    <w:p w14:paraId="21BC10AC" w14:textId="77777777" w:rsidR="00F83B61" w:rsidRPr="009B0448" w:rsidRDefault="00F83B61" w:rsidP="00FA7185">
      <w:pPr>
        <w:pStyle w:val="111"/>
        <w:numPr>
          <w:ilvl w:val="3"/>
          <w:numId w:val="11"/>
        </w:numPr>
        <w:spacing w:before="240" w:after="240"/>
        <w:ind w:left="851" w:hanging="862"/>
        <w:rPr>
          <w:rFonts w:cs="Times New Roman"/>
          <w:sz w:val="22"/>
          <w:szCs w:val="22"/>
        </w:rPr>
      </w:pPr>
      <w:bookmarkStart w:id="520" w:name="_Toc502937692"/>
      <w:bookmarkStart w:id="521" w:name="_Toc519500059"/>
      <w:r w:rsidRPr="009B0448">
        <w:rPr>
          <w:rFonts w:cs="Times New Roman"/>
          <w:sz w:val="22"/>
          <w:szCs w:val="22"/>
        </w:rPr>
        <w:t>Multi-stakeholder governance approaches</w:t>
      </w:r>
      <w:bookmarkEnd w:id="520"/>
      <w:bookmarkEnd w:id="521"/>
    </w:p>
    <w:p w14:paraId="46D8654F" w14:textId="77777777" w:rsidR="00F83B61" w:rsidRPr="009B0448" w:rsidRDefault="00F83B61" w:rsidP="00FA7185">
      <w:pPr>
        <w:pStyle w:val="111"/>
        <w:numPr>
          <w:ilvl w:val="4"/>
          <w:numId w:val="11"/>
        </w:numPr>
        <w:spacing w:before="240" w:after="240"/>
        <w:ind w:left="851" w:hanging="862"/>
        <w:rPr>
          <w:rFonts w:cs="Times New Roman"/>
          <w:b w:val="0"/>
          <w:sz w:val="22"/>
          <w:szCs w:val="22"/>
        </w:rPr>
      </w:pPr>
      <w:bookmarkStart w:id="522" w:name="_Toc502937693"/>
      <w:bookmarkStart w:id="523" w:name="_Toc519500060"/>
      <w:r w:rsidRPr="009B0448">
        <w:rPr>
          <w:rFonts w:cs="Times New Roman"/>
          <w:b w:val="0"/>
          <w:sz w:val="22"/>
          <w:szCs w:val="22"/>
        </w:rPr>
        <w:t>Co-management</w:t>
      </w:r>
      <w:bookmarkEnd w:id="522"/>
      <w:bookmarkEnd w:id="523"/>
    </w:p>
    <w:p w14:paraId="76B364D5" w14:textId="2130B76B"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One increasing way of integrating different knowledge and stakeholder perspectives in Africa’s polycentric governance context is through co-management approaches. Co-management refers to governance that is shared </w:t>
      </w:r>
      <w:r w:rsidR="00EA0D49" w:rsidRPr="009B0448">
        <w:rPr>
          <w:rFonts w:ascii="Times New Roman" w:hAnsi="Times New Roman" w:cs="Times New Roman"/>
        </w:rPr>
        <w:t>among</w:t>
      </w:r>
      <w:r w:rsidRPr="009B0448">
        <w:rPr>
          <w:rFonts w:ascii="Times New Roman" w:hAnsi="Times New Roman" w:cs="Times New Roman"/>
        </w:rPr>
        <w:t xml:space="preserve"> stakeholders in diverse ways through decentralisation of power and </w:t>
      </w:r>
      <w:r w:rsidR="00574E50" w:rsidRPr="009B0448">
        <w:rPr>
          <w:rFonts w:ascii="Times New Roman" w:hAnsi="Times New Roman" w:cs="Times New Roman"/>
        </w:rPr>
        <w:t>decision-mak</w:t>
      </w:r>
      <w:r w:rsidRPr="009B0448">
        <w:rPr>
          <w:rFonts w:ascii="Times New Roman" w:hAnsi="Times New Roman" w:cs="Times New Roman"/>
        </w:rPr>
        <w:t xml:space="preserve">ing. This kind of approach is increasingly seen in wildlife and fisheries sectors, as well as in the governance of transboundary resources. However, it is not yet fully utilised in the same ways as in other regions such as Europe (Stöhr </w:t>
      </w:r>
      <w:r w:rsidR="000429F8" w:rsidRPr="009B0448">
        <w:rPr>
          <w:rFonts w:ascii="Times New Roman" w:hAnsi="Times New Roman" w:cs="Times New Roman"/>
          <w:i/>
        </w:rPr>
        <w:t>et al.</w:t>
      </w:r>
      <w:r w:rsidRPr="009B0448">
        <w:rPr>
          <w:rFonts w:ascii="Times New Roman" w:hAnsi="Times New Roman" w:cs="Times New Roman"/>
        </w:rPr>
        <w:t>, 2014). In some cases, authority sits with a government agency that is required to engage or consult other stakeholders in decision-making, drawing on their knowledge and expertise (e.g.</w:t>
      </w:r>
      <w:r w:rsidR="0091139F">
        <w:rPr>
          <w:rFonts w:ascii="Times New Roman" w:hAnsi="Times New Roman" w:cs="Times New Roman"/>
        </w:rPr>
        <w:t>,</w:t>
      </w:r>
      <w:r w:rsidRPr="009B0448">
        <w:rPr>
          <w:rFonts w:ascii="Times New Roman" w:hAnsi="Times New Roman" w:cs="Times New Roman"/>
        </w:rPr>
        <w:t xml:space="preserve"> the Lake Chad Basin Commission and the East Africa Trans-Boundary Parks Authorities, amongst others). In other cases, multiple stakeholders (sometimes including local communities) participate in a management body that has responsibility for decision-making (e.g.</w:t>
      </w:r>
      <w:r w:rsidR="0091139F">
        <w:rPr>
          <w:rFonts w:ascii="Times New Roman" w:hAnsi="Times New Roman" w:cs="Times New Roman"/>
        </w:rPr>
        <w:t>,</w:t>
      </w:r>
      <w:r w:rsidRPr="009B0448">
        <w:rPr>
          <w:rFonts w:ascii="Times New Roman" w:hAnsi="Times New Roman" w:cs="Times New Roman"/>
        </w:rPr>
        <w:t xml:space="preserve"> Tanji Bird Reserve in the Gambia (Wicander, 2015)). In the Afar rangeland management process in Ethiopia, indigenous/customary institutions work side by side with government and religious institutions to solve and address conflicts arising from rangeland resource utilisation/sharing (Hailu </w:t>
      </w:r>
      <w:r w:rsidR="000429F8" w:rsidRPr="009B0448">
        <w:rPr>
          <w:rFonts w:ascii="Times New Roman" w:hAnsi="Times New Roman" w:cs="Times New Roman"/>
          <w:i/>
        </w:rPr>
        <w:t>et al.</w:t>
      </w:r>
      <w:r w:rsidRPr="009B0448">
        <w:rPr>
          <w:rFonts w:ascii="Times New Roman" w:hAnsi="Times New Roman" w:cs="Times New Roman"/>
        </w:rPr>
        <w:t>, 2008). Co-management approaches are particularly useful in areas where conservation and development objectives sometimes conflict, and can help to balance differing objectives. There are nevertheless critiques that many such institutional approaches, including those that are devolved to the local level, present social justice issues, in particular by insufficiently involving participation of groups such as women and youth (see e.g.</w:t>
      </w:r>
      <w:r w:rsidR="0091139F">
        <w:rPr>
          <w:rFonts w:ascii="Times New Roman" w:hAnsi="Times New Roman" w:cs="Times New Roman"/>
        </w:rPr>
        <w:t>,</w:t>
      </w:r>
      <w:r w:rsidRPr="009B0448">
        <w:rPr>
          <w:rFonts w:ascii="Times New Roman" w:hAnsi="Times New Roman" w:cs="Times New Roman"/>
        </w:rPr>
        <w:t xml:space="preserve"> Hope (2012) who provides a useful review of approaches to engage the youth in Kenya) and that they can reinforce elite capture. </w:t>
      </w:r>
    </w:p>
    <w:p w14:paraId="13CCDE6A" w14:textId="77777777" w:rsidR="00C21A1B" w:rsidRPr="009B0448" w:rsidRDefault="00C21A1B" w:rsidP="00D972A5">
      <w:pPr>
        <w:spacing w:line="276" w:lineRule="auto"/>
        <w:jc w:val="both"/>
        <w:rPr>
          <w:rFonts w:ascii="Times New Roman" w:hAnsi="Times New Roman" w:cs="Times New Roman"/>
        </w:rPr>
      </w:pPr>
    </w:p>
    <w:p w14:paraId="63BF3790" w14:textId="4EE01EC3"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Indeed, involving local communities in protected area co-management has increased globally, in order to minimise costs on local communities from conservation interventions.  This sharing of power and responsibilities aims to increase legitimacy, inclusivity, representation and empower marginalised groups (Berkes, 2009). A g</w:t>
      </w:r>
      <w:r w:rsidR="00EA0D49" w:rsidRPr="009B0448">
        <w:rPr>
          <w:rFonts w:ascii="Times New Roman" w:hAnsi="Times New Roman" w:cs="Times New Roman"/>
        </w:rPr>
        <w:t>lobal review of protected areas</w:t>
      </w:r>
      <w:r w:rsidRPr="009B0448">
        <w:rPr>
          <w:rFonts w:ascii="Times New Roman" w:hAnsi="Times New Roman" w:cs="Times New Roman"/>
        </w:rPr>
        <w:t xml:space="preserve"> found that co-managed approaches were more likely to have positive outcomes for biodiversity and local livelihoods (Oldekop </w:t>
      </w:r>
      <w:r w:rsidR="000429F8" w:rsidRPr="009B0448">
        <w:rPr>
          <w:rFonts w:ascii="Times New Roman" w:hAnsi="Times New Roman" w:cs="Times New Roman"/>
          <w:i/>
        </w:rPr>
        <w:t>et al.</w:t>
      </w:r>
      <w:r w:rsidRPr="009B0448">
        <w:rPr>
          <w:rFonts w:ascii="Times New Roman" w:hAnsi="Times New Roman" w:cs="Times New Roman"/>
        </w:rPr>
        <w:t xml:space="preserve">, 2016). Yet other studies suggest that these approaches can be susceptible to elite capture, increasing inequalities and marginalisation of some stakeholders (Persha </w:t>
      </w:r>
      <w:r w:rsidR="000429F8" w:rsidRPr="009B0448">
        <w:rPr>
          <w:rFonts w:ascii="Times New Roman" w:hAnsi="Times New Roman" w:cs="Times New Roman"/>
          <w:i/>
        </w:rPr>
        <w:t>et al.</w:t>
      </w:r>
      <w:r w:rsidRPr="009B0448">
        <w:rPr>
          <w:rFonts w:ascii="Times New Roman" w:hAnsi="Times New Roman" w:cs="Times New Roman"/>
        </w:rPr>
        <w:t xml:space="preserve">, 2014). For example, a study in Madagascar found that households perceived limited benefits and high costs to participating in co-management, and an uneven distribution of these within and between communities. Poorer households and villages further from roads and markets were more likely to report costs to co-management (Ward </w:t>
      </w:r>
      <w:r w:rsidR="000429F8" w:rsidRPr="009B0448">
        <w:rPr>
          <w:rFonts w:ascii="Times New Roman" w:hAnsi="Times New Roman" w:cs="Times New Roman"/>
          <w:i/>
        </w:rPr>
        <w:t>et al.</w:t>
      </w:r>
      <w:r w:rsidRPr="009B0448">
        <w:rPr>
          <w:rFonts w:ascii="Times New Roman" w:hAnsi="Times New Roman" w:cs="Times New Roman"/>
        </w:rPr>
        <w:t xml:space="preserve">, </w:t>
      </w:r>
      <w:r w:rsidR="001E7CD8" w:rsidRPr="009B0448">
        <w:rPr>
          <w:rFonts w:ascii="Times New Roman" w:hAnsi="Times New Roman" w:cs="Times New Roman"/>
        </w:rPr>
        <w:t>2018</w:t>
      </w:r>
      <w:r w:rsidR="00FC4F0D" w:rsidRPr="009B0448">
        <w:rPr>
          <w:rFonts w:ascii="Times New Roman" w:hAnsi="Times New Roman" w:cs="Times New Roman"/>
        </w:rPr>
        <w:t>b</w:t>
      </w:r>
      <w:r w:rsidRPr="009B0448">
        <w:rPr>
          <w:rFonts w:ascii="Times New Roman" w:hAnsi="Times New Roman" w:cs="Times New Roman"/>
        </w:rPr>
        <w:t xml:space="preserve">). This highlights that to prevent exacerbation of pre-existing inequalities there is a need for co-management approaches to understand the heterogeneous nature of communities, and </w:t>
      </w:r>
      <w:r w:rsidR="00EA0D49" w:rsidRPr="009B0448">
        <w:rPr>
          <w:rFonts w:ascii="Times New Roman" w:hAnsi="Times New Roman" w:cs="Times New Roman"/>
        </w:rPr>
        <w:t xml:space="preserve">to </w:t>
      </w:r>
      <w:r w:rsidRPr="009B0448">
        <w:rPr>
          <w:rFonts w:ascii="Times New Roman" w:hAnsi="Times New Roman" w:cs="Times New Roman"/>
        </w:rPr>
        <w:t xml:space="preserve">ensure that involvement of local communities is representative and inclusive. Mechanisms that can help to reduce elite capture include safeguards such as waiving costs of fees and licenses for poorer participants in co-management (Blomley </w:t>
      </w:r>
      <w:r w:rsidR="000429F8" w:rsidRPr="009B0448">
        <w:rPr>
          <w:rFonts w:ascii="Times New Roman" w:hAnsi="Times New Roman" w:cs="Times New Roman"/>
          <w:i/>
        </w:rPr>
        <w:t>et al.</w:t>
      </w:r>
      <w:r w:rsidRPr="009B0448">
        <w:rPr>
          <w:rFonts w:ascii="Times New Roman" w:hAnsi="Times New Roman" w:cs="Times New Roman"/>
        </w:rPr>
        <w:t>, 2009).</w:t>
      </w:r>
    </w:p>
    <w:p w14:paraId="39C37BF6" w14:textId="77777777" w:rsidR="00F83B61" w:rsidRPr="009B0448" w:rsidRDefault="00F83B61" w:rsidP="00FA7185">
      <w:pPr>
        <w:pStyle w:val="111"/>
        <w:numPr>
          <w:ilvl w:val="4"/>
          <w:numId w:val="11"/>
        </w:numPr>
        <w:spacing w:before="240" w:after="240"/>
        <w:ind w:left="851" w:hanging="862"/>
        <w:rPr>
          <w:rFonts w:cs="Times New Roman"/>
          <w:b w:val="0"/>
          <w:sz w:val="22"/>
          <w:szCs w:val="22"/>
        </w:rPr>
      </w:pPr>
      <w:bookmarkStart w:id="524" w:name="_Toc502937694"/>
      <w:bookmarkStart w:id="525" w:name="_Toc519500061"/>
      <w:r w:rsidRPr="009B0448">
        <w:rPr>
          <w:rFonts w:cs="Times New Roman"/>
          <w:b w:val="0"/>
          <w:sz w:val="22"/>
          <w:szCs w:val="22"/>
        </w:rPr>
        <w:t>Public-private partnerships</w:t>
      </w:r>
      <w:bookmarkEnd w:id="524"/>
      <w:bookmarkEnd w:id="525"/>
    </w:p>
    <w:p w14:paraId="1B774E62" w14:textId="0BF5E4F0"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Another policy approach that requires institutional development involves public-private partnerships, which can be developed to address shared conservation and ecosystem service management goals (see also the example in Appendix 6.3). In Malawi, public-private partnerships were successfully used to reverse poaching, agricultural encroachment and deforestation in Majete wildlife reserve (Trimble, 2015). In 2003, the Malawian government awarded Johannesburg-based African Parks a contract to provide management expertise, as well as resources, equipment, and capacity building for the rangers. By the year 2015, about 2,559 animals including 217 elephants had been stocked into the reserve. The public-private partnership</w:t>
      </w:r>
      <w:r w:rsidR="00EA0D49" w:rsidRPr="009B0448">
        <w:rPr>
          <w:rFonts w:ascii="Times New Roman" w:hAnsi="Times New Roman" w:cs="Times New Roman"/>
        </w:rPr>
        <w:t>’</w:t>
      </w:r>
      <w:r w:rsidRPr="009B0448">
        <w:rPr>
          <w:rFonts w:ascii="Times New Roman" w:hAnsi="Times New Roman" w:cs="Times New Roman"/>
        </w:rPr>
        <w:t>s success in this case is being used as a model for other reserves in Africa (Trimble, 2015). In another case, the Nairobi Water Fund brings together many partners and or stakeholders (e.g.</w:t>
      </w:r>
      <w:r w:rsidR="0091139F">
        <w:rPr>
          <w:rFonts w:ascii="Times New Roman" w:hAnsi="Times New Roman" w:cs="Times New Roman"/>
        </w:rPr>
        <w:t>,</w:t>
      </w:r>
      <w:r w:rsidRPr="009B0448">
        <w:rPr>
          <w:rFonts w:ascii="Times New Roman" w:hAnsi="Times New Roman" w:cs="Times New Roman"/>
        </w:rPr>
        <w:t xml:space="preserve"> the Nairobi City Water &amp; Sewerage Company, Kenya Electricity Generating Company, Pentair Inc., Coca-Cola, East Africa Breweries Ltd, International Centre for Tropical Agriculture, The Government of Kenya, Water Resources Management Authority, Tana &amp; Athi Rivers Development Authority, International Fund for Agriculture and Frigoken Kenya Ltd), to link upstream agricultural practices to downstream water quality. The Tana River supplies water to 95% of Nairobi’s population, as well as another five million people living in the watershed. It supports important agricultural areas and provides half of the country’s hydropower output. Deforestation and </w:t>
      </w:r>
      <w:r w:rsidR="00917FB2">
        <w:rPr>
          <w:rFonts w:ascii="Times New Roman" w:hAnsi="Times New Roman" w:cs="Times New Roman"/>
        </w:rPr>
        <w:t>land-use</w:t>
      </w:r>
      <w:r w:rsidRPr="009B0448">
        <w:rPr>
          <w:rFonts w:ascii="Times New Roman" w:hAnsi="Times New Roman" w:cs="Times New Roman"/>
        </w:rPr>
        <w:t xml:space="preserve"> conversion for agriculture have degraded natural areas that previously stored water, thus increasing runoff and soil erosion, reducing land productivity and increasing sediments in rivers, which affects water supplies. Management of the ecosystem services in this project includes a $10 million investment in water fund-led conservation, and intervention measures are expected to deliver $21.5 million in economic benefits over a 30-year timeframe.</w:t>
      </w:r>
    </w:p>
    <w:p w14:paraId="357D3790" w14:textId="77777777" w:rsidR="00C21A1B" w:rsidRPr="009B0448" w:rsidRDefault="00C21A1B" w:rsidP="009F0016">
      <w:pPr>
        <w:spacing w:line="276" w:lineRule="auto"/>
        <w:jc w:val="both"/>
        <w:rPr>
          <w:rFonts w:ascii="Times New Roman" w:hAnsi="Times New Roman" w:cs="Times New Roman"/>
        </w:rPr>
      </w:pPr>
    </w:p>
    <w:p w14:paraId="5C1C6441" w14:textId="5C542594"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However, public-private partnerships are not always effective, especially in cases where the private partner fails to keep their commitments and fails to understand local ethno-politics or does not craft a working relationship with local or indigenous communities. This is exemplified by the case of the African Parks Network in the Nech-sar and Omo National parks in Ethiopia, where the African Parks Network failed to make any investment in improving the condition of the park and local communities (Blonk, 2008). According to a local official in Ethiopia, African Parks Network’s approach was described as ‘exploitation of poverty in Africa’ where the local population had little or no say in the fate of the parks, and usually had to move away, leaving communities feeling that animals are put above people to sustain the European myth of ‘the wild’, without allowing for human inhabitants and their livelihoods (Blonk, 2008). Lambooy </w:t>
      </w:r>
      <w:r w:rsidR="000429F8" w:rsidRPr="009B0448">
        <w:rPr>
          <w:rFonts w:ascii="Times New Roman" w:hAnsi="Times New Roman" w:cs="Times New Roman"/>
          <w:i/>
        </w:rPr>
        <w:t>et al.</w:t>
      </w:r>
      <w:r w:rsidRPr="009B0448">
        <w:rPr>
          <w:rFonts w:ascii="Times New Roman" w:hAnsi="Times New Roman" w:cs="Times New Roman"/>
        </w:rPr>
        <w:t>, (2011) identified a plethora of further challenges that limit the effectiveness of public-private partnerships in biodiversity conservation in Africa. These include lack of exchange of information and knowledge between the private sector and conservationists, high risks for private partners, high transaction cost for private partners, lack of management capacity and entrepreneurship among private partners, and very high transaction cost for private partners. It is therefore important that public-private partnerships in natural resource conservation</w:t>
      </w:r>
      <w:r w:rsidR="00EA0D49" w:rsidRPr="009B0448">
        <w:rPr>
          <w:rFonts w:ascii="Times New Roman" w:hAnsi="Times New Roman" w:cs="Times New Roman"/>
        </w:rPr>
        <w:t xml:space="preserve"> start with the development of</w:t>
      </w:r>
      <w:r w:rsidRPr="009B0448">
        <w:rPr>
          <w:rFonts w:ascii="Times New Roman" w:hAnsi="Times New Roman" w:cs="Times New Roman"/>
        </w:rPr>
        <w:t xml:space="preserve"> common understandings among government, local communities and other stakeholders, with each partn</w:t>
      </w:r>
      <w:r w:rsidR="00EA0D49" w:rsidRPr="009B0448">
        <w:rPr>
          <w:rFonts w:ascii="Times New Roman" w:hAnsi="Times New Roman" w:cs="Times New Roman"/>
        </w:rPr>
        <w:t>er being open to compromise. S</w:t>
      </w:r>
      <w:r w:rsidRPr="009B0448">
        <w:rPr>
          <w:rFonts w:ascii="Times New Roman" w:hAnsi="Times New Roman" w:cs="Times New Roman"/>
        </w:rPr>
        <w:t xml:space="preserve">trong legal frameworks that can assure all parties are committed is a pre-requisite. </w:t>
      </w:r>
    </w:p>
    <w:p w14:paraId="483F0228" w14:textId="77777777" w:rsidR="00F83B61" w:rsidRPr="009B0448" w:rsidRDefault="00F83B61" w:rsidP="00FA7185">
      <w:pPr>
        <w:pStyle w:val="111"/>
        <w:numPr>
          <w:ilvl w:val="4"/>
          <w:numId w:val="11"/>
        </w:numPr>
        <w:spacing w:before="240" w:after="240"/>
        <w:ind w:left="851" w:hanging="862"/>
        <w:rPr>
          <w:rFonts w:cs="Times New Roman"/>
          <w:b w:val="0"/>
          <w:sz w:val="22"/>
          <w:szCs w:val="22"/>
        </w:rPr>
      </w:pPr>
      <w:bookmarkStart w:id="526" w:name="_Toc502937695"/>
      <w:bookmarkStart w:id="527" w:name="_Toc519500062"/>
      <w:r w:rsidRPr="009B0448">
        <w:rPr>
          <w:rFonts w:cs="Times New Roman"/>
          <w:b w:val="0"/>
          <w:sz w:val="22"/>
          <w:szCs w:val="22"/>
        </w:rPr>
        <w:t>Community-Based Natural Resource Management</w:t>
      </w:r>
      <w:bookmarkEnd w:id="526"/>
      <w:bookmarkEnd w:id="527"/>
    </w:p>
    <w:p w14:paraId="34428BA1" w14:textId="4CCC4974"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Many of the more devolved governance approaches can be broadly labelled as community management (e.g.</w:t>
      </w:r>
      <w:r w:rsidR="0091139F">
        <w:rPr>
          <w:rFonts w:ascii="Times New Roman" w:hAnsi="Times New Roman" w:cs="Times New Roman"/>
        </w:rPr>
        <w:t>,</w:t>
      </w:r>
      <w:r w:rsidRPr="009B0448">
        <w:rPr>
          <w:rFonts w:ascii="Times New Roman" w:hAnsi="Times New Roman" w:cs="Times New Roman"/>
        </w:rPr>
        <w:t xml:space="preserve"> community forests in Central Africa and communal lands in South Africa) or community-based natural resource management (often seen in Namibia, Botswana and Zimbabwe) (Ribot, 2003; Roe </w:t>
      </w:r>
      <w:r w:rsidR="000429F8" w:rsidRPr="009B0448">
        <w:rPr>
          <w:rFonts w:ascii="Times New Roman" w:hAnsi="Times New Roman" w:cs="Times New Roman"/>
          <w:i/>
        </w:rPr>
        <w:t>et al.</w:t>
      </w:r>
      <w:r w:rsidRPr="009B0448">
        <w:rPr>
          <w:rFonts w:ascii="Times New Roman" w:hAnsi="Times New Roman" w:cs="Times New Roman"/>
        </w:rPr>
        <w:t xml:space="preserve">, 2009). These approaches have increasingly been used in the agriculture, wildlife, forestry and fisheries sectors. Many African countries used wildlife protection and management as one of the community-based natural resource management goals. Community-based natural resource management passes decision-making authority over biodiversity and ecosystem services to local communities and can drive important institutional reforms and power redistributions (Roe </w:t>
      </w:r>
      <w:r w:rsidR="000429F8" w:rsidRPr="009B0448">
        <w:rPr>
          <w:rFonts w:ascii="Times New Roman" w:hAnsi="Times New Roman" w:cs="Times New Roman"/>
          <w:i/>
        </w:rPr>
        <w:t>et al.</w:t>
      </w:r>
      <w:r w:rsidRPr="009B0448">
        <w:rPr>
          <w:rFonts w:ascii="Times New Roman" w:hAnsi="Times New Roman" w:cs="Times New Roman"/>
        </w:rPr>
        <w:t xml:space="preserve">, 2009). Community-based natural resource management also theoretically provides a space for indigenous and local knowledge to have a greater influence (Gadgil </w:t>
      </w:r>
      <w:r w:rsidR="000429F8" w:rsidRPr="009B0448">
        <w:rPr>
          <w:rFonts w:ascii="Times New Roman" w:hAnsi="Times New Roman" w:cs="Times New Roman"/>
          <w:i/>
        </w:rPr>
        <w:t>et al.</w:t>
      </w:r>
      <w:r w:rsidRPr="009B0448">
        <w:rPr>
          <w:rFonts w:ascii="Times New Roman" w:hAnsi="Times New Roman" w:cs="Times New Roman"/>
        </w:rPr>
        <w:t xml:space="preserve">, 1993). Figure 6.6 sets out the core characteristics of community-based natural resource management. </w:t>
      </w:r>
    </w:p>
    <w:p w14:paraId="1FC96BDA" w14:textId="77777777" w:rsidR="00C21A1B" w:rsidRPr="009B0448" w:rsidRDefault="00C21A1B" w:rsidP="009F0016">
      <w:pPr>
        <w:spacing w:line="276" w:lineRule="auto"/>
        <w:jc w:val="both"/>
        <w:rPr>
          <w:rFonts w:ascii="Times New Roman" w:hAnsi="Times New Roman" w:cs="Times New Roman"/>
        </w:rPr>
      </w:pPr>
    </w:p>
    <w:p w14:paraId="4F49624E" w14:textId="54176EB5" w:rsidR="00F83B61" w:rsidRPr="009B0448" w:rsidRDefault="004320D4" w:rsidP="004320D4">
      <w:pPr>
        <w:spacing w:line="276" w:lineRule="auto"/>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19F61050" wp14:editId="03C6E600">
            <wp:extent cx="5679292" cy="3740727"/>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To pop in\Fig 6.6.JPG"/>
                    <pic:cNvPicPr>
                      <a:picLocks noChangeAspect="1" noChangeArrowheads="1"/>
                    </pic:cNvPicPr>
                  </pic:nvPicPr>
                  <pic:blipFill rotWithShape="1">
                    <a:blip r:embed="rId1763">
                      <a:extLst>
                        <a:ext uri="{28A0092B-C50C-407E-A947-70E740481C1C}">
                          <a14:useLocalDpi xmlns:a14="http://schemas.microsoft.com/office/drawing/2010/main" val="0"/>
                        </a:ext>
                      </a:extLst>
                    </a:blip>
                    <a:srcRect t="6628"/>
                    <a:stretch/>
                  </pic:blipFill>
                  <pic:spPr bwMode="auto">
                    <a:xfrm>
                      <a:off x="0" y="0"/>
                      <a:ext cx="5691450" cy="3748735"/>
                    </a:xfrm>
                    <a:prstGeom prst="rect">
                      <a:avLst/>
                    </a:prstGeom>
                    <a:noFill/>
                    <a:ln>
                      <a:noFill/>
                    </a:ln>
                    <a:extLst>
                      <a:ext uri="{53640926-AAD7-44D8-BBD7-CCE9431645EC}">
                        <a14:shadowObscured xmlns:a14="http://schemas.microsoft.com/office/drawing/2010/main"/>
                      </a:ext>
                    </a:extLst>
                  </pic:spPr>
                </pic:pic>
              </a:graphicData>
            </a:graphic>
          </wp:inline>
        </w:drawing>
      </w:r>
    </w:p>
    <w:p w14:paraId="4D4D1D48" w14:textId="01C79768" w:rsidR="00F83B61" w:rsidRPr="009B0448" w:rsidRDefault="00F83B61" w:rsidP="009F0016">
      <w:pPr>
        <w:tabs>
          <w:tab w:val="left" w:pos="6720"/>
        </w:tabs>
        <w:spacing w:line="276" w:lineRule="auto"/>
        <w:jc w:val="both"/>
        <w:rPr>
          <w:rFonts w:ascii="Times New Roman" w:hAnsi="Times New Roman" w:cs="Times New Roman"/>
        </w:rPr>
      </w:pPr>
      <w:r w:rsidRPr="009B0448">
        <w:rPr>
          <w:rFonts w:ascii="Times New Roman" w:hAnsi="Times New Roman" w:cs="Times New Roman"/>
          <w:b/>
        </w:rPr>
        <w:t>Figure 6.6:</w:t>
      </w:r>
      <w:r w:rsidRPr="009B0448">
        <w:rPr>
          <w:rFonts w:ascii="Times New Roman" w:hAnsi="Times New Roman" w:cs="Times New Roman"/>
        </w:rPr>
        <w:t xml:space="preserve"> Characteristics of community-based natural resource management</w:t>
      </w:r>
      <w:r w:rsidR="00835B42" w:rsidRPr="009B0448">
        <w:rPr>
          <w:rFonts w:ascii="Times New Roman" w:hAnsi="Times New Roman" w:cs="Times New Roman"/>
        </w:rPr>
        <w:t xml:space="preserve"> (CBNRM)</w:t>
      </w:r>
      <w:r w:rsidRPr="009B0448">
        <w:rPr>
          <w:rFonts w:ascii="Times New Roman" w:hAnsi="Times New Roman" w:cs="Times New Roman"/>
        </w:rPr>
        <w:t>.</w:t>
      </w:r>
    </w:p>
    <w:p w14:paraId="0D3B4A30" w14:textId="77777777" w:rsidR="00C21A1B" w:rsidRPr="009B0448" w:rsidRDefault="00C21A1B" w:rsidP="009F0016">
      <w:pPr>
        <w:tabs>
          <w:tab w:val="left" w:pos="6720"/>
        </w:tabs>
        <w:spacing w:line="276" w:lineRule="auto"/>
        <w:jc w:val="both"/>
        <w:rPr>
          <w:rFonts w:ascii="Times New Roman" w:hAnsi="Times New Roman" w:cs="Times New Roman"/>
        </w:rPr>
      </w:pPr>
    </w:p>
    <w:p w14:paraId="38601F44" w14:textId="3F519C19"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The literature presents a very mixed picture of the success of community-based natural resource management. In Tanzania, community-based forest management has been considered most effective because it provides sufficient incentives for com</w:t>
      </w:r>
      <w:r w:rsidR="00EA0D49" w:rsidRPr="009B0448">
        <w:rPr>
          <w:rFonts w:ascii="Times New Roman" w:hAnsi="Times New Roman" w:cs="Times New Roman"/>
        </w:rPr>
        <w:t>munities to participate in long-</w:t>
      </w:r>
      <w:r w:rsidRPr="009B0448">
        <w:rPr>
          <w:rFonts w:ascii="Times New Roman" w:hAnsi="Times New Roman" w:cs="Times New Roman"/>
        </w:rPr>
        <w:t>term forest management. Community-based forest management has improved management of unreserved forests because villagers own the land and retain full rights to benefit from natural resources. Joint forest management initiatives in Tanzania, where central or local governments own land, perform slightly better than exclusive state</w:t>
      </w:r>
      <w:r w:rsidR="00EA0D49" w:rsidRPr="009B0448">
        <w:rPr>
          <w:rFonts w:ascii="Times New Roman" w:hAnsi="Times New Roman" w:cs="Times New Roman"/>
        </w:rPr>
        <w:t>-</w:t>
      </w:r>
      <w:r w:rsidRPr="009B0448">
        <w:rPr>
          <w:rFonts w:ascii="Times New Roman" w:hAnsi="Times New Roman" w:cs="Times New Roman"/>
        </w:rPr>
        <w:t xml:space="preserve">managed forests, though their viability remains uncertain. This is because joint forest management is considered restrictive and the guidelines on benefit sharing are vague, resulting in minimal transfer of benefits to communities and </w:t>
      </w:r>
      <w:r w:rsidR="00692DF8" w:rsidRPr="009B0448">
        <w:rPr>
          <w:rFonts w:ascii="Times New Roman" w:hAnsi="Times New Roman" w:cs="Times New Roman"/>
        </w:rPr>
        <w:t>i</w:t>
      </w:r>
      <w:r w:rsidRPr="009B0448">
        <w:rPr>
          <w:rFonts w:ascii="Times New Roman" w:hAnsi="Times New Roman" w:cs="Times New Roman"/>
        </w:rPr>
        <w:t xml:space="preserve">nequitable transfer of management costs to resource managers (Blomley </w:t>
      </w:r>
      <w:r w:rsidR="000429F8" w:rsidRPr="009B0448">
        <w:rPr>
          <w:rFonts w:ascii="Times New Roman" w:hAnsi="Times New Roman" w:cs="Times New Roman"/>
          <w:i/>
        </w:rPr>
        <w:t>et al.</w:t>
      </w:r>
      <w:r w:rsidRPr="009B0448">
        <w:rPr>
          <w:rFonts w:ascii="Times New Roman" w:hAnsi="Times New Roman" w:cs="Times New Roman"/>
        </w:rPr>
        <w:t>, 2009).</w:t>
      </w:r>
    </w:p>
    <w:p w14:paraId="3699CB8F" w14:textId="77777777" w:rsidR="00C21A1B" w:rsidRPr="009B0448" w:rsidRDefault="00C21A1B" w:rsidP="009F0016">
      <w:pPr>
        <w:spacing w:line="276" w:lineRule="auto"/>
        <w:jc w:val="both"/>
        <w:rPr>
          <w:rFonts w:ascii="Times New Roman" w:hAnsi="Times New Roman" w:cs="Times New Roman"/>
        </w:rPr>
      </w:pPr>
    </w:p>
    <w:p w14:paraId="382F8C7D" w14:textId="29DC8B4C"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In Francophone West Africa, community-based natural resource management encompasses the Gestion de Terroirs approach, which links conservation with local development (Binot </w:t>
      </w:r>
      <w:r w:rsidR="000429F8" w:rsidRPr="009B0448">
        <w:rPr>
          <w:rFonts w:ascii="Times New Roman" w:hAnsi="Times New Roman" w:cs="Times New Roman"/>
          <w:i/>
        </w:rPr>
        <w:t>et al.</w:t>
      </w:r>
      <w:r w:rsidRPr="009B0448">
        <w:rPr>
          <w:rFonts w:ascii="Times New Roman" w:hAnsi="Times New Roman" w:cs="Times New Roman"/>
        </w:rPr>
        <w:t>, 2009). Positive reports about this approach come from the fan-palm ecosystems in Niger which support both agricultural and pastoral livelihoods, as well as providing provisioning and pollination services. Before the introduction of Gestion de Terroirs, the area was state managed, with few benefits gained by local communities. By developing a new institutional framework for community-based ecosystem management, which included establishing new management agencies, environmental protection crews and harnessing communities’ own efforts, local incomes substantially increased due to improved palm wood marketing and employment in environmental protection, whilst, at the same time, resulted in the regeneration of more than 3</w:t>
      </w:r>
      <w:r w:rsidR="0061658B" w:rsidRPr="009B0448">
        <w:rPr>
          <w:rFonts w:ascii="Times New Roman" w:hAnsi="Times New Roman" w:cs="Times New Roman"/>
        </w:rPr>
        <w:t>,</w:t>
      </w:r>
      <w:r w:rsidRPr="009B0448">
        <w:rPr>
          <w:rFonts w:ascii="Times New Roman" w:hAnsi="Times New Roman" w:cs="Times New Roman"/>
        </w:rPr>
        <w:t>000 h</w:t>
      </w:r>
      <w:r w:rsidR="0061658B" w:rsidRPr="009B0448">
        <w:rPr>
          <w:rFonts w:ascii="Times New Roman" w:hAnsi="Times New Roman" w:cs="Times New Roman"/>
        </w:rPr>
        <w:t>ectares</w:t>
      </w:r>
      <w:r w:rsidRPr="009B0448">
        <w:rPr>
          <w:rFonts w:ascii="Times New Roman" w:hAnsi="Times New Roman" w:cs="Times New Roman"/>
        </w:rPr>
        <w:t xml:space="preserve"> of land (Binot </w:t>
      </w:r>
      <w:r w:rsidR="000429F8" w:rsidRPr="009B0448">
        <w:rPr>
          <w:rFonts w:ascii="Times New Roman" w:hAnsi="Times New Roman" w:cs="Times New Roman"/>
          <w:i/>
        </w:rPr>
        <w:t>et al.</w:t>
      </w:r>
      <w:r w:rsidRPr="009B0448">
        <w:rPr>
          <w:rFonts w:ascii="Times New Roman" w:hAnsi="Times New Roman" w:cs="Times New Roman"/>
        </w:rPr>
        <w:t xml:space="preserve">, 2009). In addition, cases of conservation such as Hirola in Kenya have been analysed and compared with other successful cases of community-based natural resource management around the world and it was found that all the successful cases have the commonality of being initiated by local communities themselves, and not by external pushes (Measham </w:t>
      </w:r>
      <w:r w:rsidR="000429F8" w:rsidRPr="009B0448">
        <w:rPr>
          <w:rFonts w:ascii="Times New Roman" w:hAnsi="Times New Roman" w:cs="Times New Roman"/>
          <w:i/>
        </w:rPr>
        <w:t>et al.</w:t>
      </w:r>
      <w:r w:rsidRPr="009B0448">
        <w:rPr>
          <w:rFonts w:ascii="Times New Roman" w:hAnsi="Times New Roman" w:cs="Times New Roman"/>
        </w:rPr>
        <w:t xml:space="preserve">, 2013). In the Hirola case which aims at conserving the last living representative of the </w:t>
      </w:r>
      <w:r w:rsidRPr="009B0448">
        <w:rPr>
          <w:rFonts w:ascii="Times New Roman" w:hAnsi="Times New Roman" w:cs="Times New Roman"/>
          <w:i/>
        </w:rPr>
        <w:t xml:space="preserve">Beatragus </w:t>
      </w:r>
      <w:r w:rsidRPr="009B0448">
        <w:rPr>
          <w:rFonts w:ascii="Times New Roman" w:hAnsi="Times New Roman" w:cs="Times New Roman"/>
        </w:rPr>
        <w:t>genus, one of the largest antelopes in Africa, the communities requested the establishment of the Hirola conserv</w:t>
      </w:r>
      <w:r w:rsidR="00692DF8" w:rsidRPr="009B0448">
        <w:rPr>
          <w:rFonts w:ascii="Times New Roman" w:hAnsi="Times New Roman" w:cs="Times New Roman"/>
        </w:rPr>
        <w:t>ation programme. This community-</w:t>
      </w:r>
      <w:r w:rsidRPr="009B0448">
        <w:rPr>
          <w:rFonts w:ascii="Times New Roman" w:hAnsi="Times New Roman" w:cs="Times New Roman"/>
        </w:rPr>
        <w:t xml:space="preserve">driven programme has ensured the implementation of socially acceptable conservation measures. Pastoralists in eastern Kenya have been more supportive of several rangeland restoration practices which improve Hirola habitat alongside local livelihoods (Ali, 2016). This has ensured the willingness of communities to enact the measures required which emphasises the need for local ownership in conservation initiatives. When community-based natural resource management is initiated out of necessity by local communities, then, local communities use all resources at their disposal (including ILK) to spearhead the success of projects. This emphasises the need for local ownership and initiatives. When these factors are lacking, community-based natural resource management can fail. </w:t>
      </w:r>
    </w:p>
    <w:p w14:paraId="452308A9" w14:textId="77777777" w:rsidR="00C21A1B" w:rsidRPr="009B0448" w:rsidRDefault="00C21A1B" w:rsidP="009F0016">
      <w:pPr>
        <w:spacing w:line="276" w:lineRule="auto"/>
        <w:jc w:val="both"/>
        <w:rPr>
          <w:rFonts w:ascii="Times New Roman" w:hAnsi="Times New Roman" w:cs="Times New Roman"/>
        </w:rPr>
      </w:pPr>
    </w:p>
    <w:p w14:paraId="51AC126E" w14:textId="542AC819"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Despite many positive reports in the literature, community-based natural resource management has drawn considerable critique (e.g.</w:t>
      </w:r>
      <w:r w:rsidR="0091139F">
        <w:rPr>
          <w:rFonts w:ascii="Times New Roman" w:hAnsi="Times New Roman" w:cs="Times New Roman"/>
        </w:rPr>
        <w:t>,</w:t>
      </w:r>
      <w:r w:rsidRPr="009B0448">
        <w:rPr>
          <w:rFonts w:ascii="Times New Roman" w:hAnsi="Times New Roman" w:cs="Times New Roman"/>
        </w:rPr>
        <w:t xml:space="preserve"> Logan </w:t>
      </w:r>
      <w:r w:rsidR="000429F8" w:rsidRPr="009B0448">
        <w:rPr>
          <w:rFonts w:ascii="Times New Roman" w:hAnsi="Times New Roman" w:cs="Times New Roman"/>
          <w:i/>
        </w:rPr>
        <w:t>et al.</w:t>
      </w:r>
      <w:r w:rsidRPr="009B0448">
        <w:rPr>
          <w:rFonts w:ascii="Times New Roman" w:hAnsi="Times New Roman" w:cs="Times New Roman"/>
        </w:rPr>
        <w:t xml:space="preserve">, 2002; </w:t>
      </w:r>
      <w:r w:rsidR="0061658B" w:rsidRPr="009B0448">
        <w:rPr>
          <w:rFonts w:ascii="Times New Roman" w:hAnsi="Times New Roman" w:cs="Times New Roman"/>
        </w:rPr>
        <w:t xml:space="preserve">Frost </w:t>
      </w:r>
      <w:r w:rsidR="000429F8" w:rsidRPr="009B0448">
        <w:rPr>
          <w:rFonts w:ascii="Times New Roman" w:hAnsi="Times New Roman" w:cs="Times New Roman"/>
          <w:i/>
        </w:rPr>
        <w:t>et al.</w:t>
      </w:r>
      <w:r w:rsidR="0061658B" w:rsidRPr="009B0448">
        <w:rPr>
          <w:rFonts w:ascii="Times New Roman" w:hAnsi="Times New Roman" w:cs="Times New Roman"/>
        </w:rPr>
        <w:t xml:space="preserve">, 2008; </w:t>
      </w:r>
      <w:r w:rsidRPr="009B0448">
        <w:rPr>
          <w:rFonts w:ascii="Times New Roman" w:hAnsi="Times New Roman" w:cs="Times New Roman"/>
        </w:rPr>
        <w:t xml:space="preserve">Shackleton </w:t>
      </w:r>
      <w:r w:rsidR="000429F8" w:rsidRPr="009B0448">
        <w:rPr>
          <w:rFonts w:ascii="Times New Roman" w:hAnsi="Times New Roman" w:cs="Times New Roman"/>
          <w:i/>
        </w:rPr>
        <w:t>et al.</w:t>
      </w:r>
      <w:r w:rsidRPr="009B0448">
        <w:rPr>
          <w:rFonts w:ascii="Times New Roman" w:hAnsi="Times New Roman" w:cs="Times New Roman"/>
        </w:rPr>
        <w:t xml:space="preserve">, 2010; Pailler </w:t>
      </w:r>
      <w:r w:rsidR="000429F8" w:rsidRPr="009B0448">
        <w:rPr>
          <w:rFonts w:ascii="Times New Roman" w:hAnsi="Times New Roman" w:cs="Times New Roman"/>
          <w:i/>
        </w:rPr>
        <w:t>et al.</w:t>
      </w:r>
      <w:r w:rsidRPr="009B0448">
        <w:rPr>
          <w:rFonts w:ascii="Times New Roman" w:hAnsi="Times New Roman" w:cs="Times New Roman"/>
        </w:rPr>
        <w:t>, 2015). For example, the establishment of new, decentralised committees can sometimes conflict with traditional community governance systems, as found in Benin and Swaziland (</w:t>
      </w:r>
      <w:r w:rsidR="0061658B" w:rsidRPr="009B0448">
        <w:rPr>
          <w:rFonts w:ascii="Times New Roman" w:hAnsi="Times New Roman" w:cs="Times New Roman"/>
        </w:rPr>
        <w:t xml:space="preserve">Stringer </w:t>
      </w:r>
      <w:r w:rsidR="000429F8" w:rsidRPr="009B0448">
        <w:rPr>
          <w:rFonts w:ascii="Times New Roman" w:hAnsi="Times New Roman" w:cs="Times New Roman"/>
          <w:i/>
        </w:rPr>
        <w:t>et al.</w:t>
      </w:r>
      <w:r w:rsidR="0061658B" w:rsidRPr="009B0448">
        <w:rPr>
          <w:rFonts w:ascii="Times New Roman" w:hAnsi="Times New Roman" w:cs="Times New Roman"/>
        </w:rPr>
        <w:t xml:space="preserve">, 2007; </w:t>
      </w:r>
      <w:r w:rsidRPr="009B0448">
        <w:rPr>
          <w:rFonts w:ascii="Times New Roman" w:hAnsi="Times New Roman" w:cs="Times New Roman"/>
        </w:rPr>
        <w:t xml:space="preserve">Mongbo, 2008). Conflicts arise due to the need to redistribute power and authority, but this is opposed by some groups at the local level, particularly if such redistribution challenges traditional structures and processes. These situations can be difficult to manage, particularly if older and younger generations take different positions. </w:t>
      </w:r>
    </w:p>
    <w:p w14:paraId="6C1021D2" w14:textId="77777777" w:rsidR="00C21A1B" w:rsidRPr="009B0448" w:rsidRDefault="00C21A1B" w:rsidP="009F0016">
      <w:pPr>
        <w:spacing w:line="276" w:lineRule="auto"/>
        <w:jc w:val="both"/>
        <w:rPr>
          <w:rFonts w:ascii="Times New Roman" w:hAnsi="Times New Roman" w:cs="Times New Roman"/>
        </w:rPr>
      </w:pPr>
    </w:p>
    <w:p w14:paraId="6756E753" w14:textId="0388114D"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Opportunities for harnessing local, indigenous and traditional knowledge are not always taken in community-based natural resource management. Despite theoretical possibilities that it offers improved involvement of indigenous and local knowledge, in most African countries, this continues to be only a claim devoid of practical implementation (Shackleton </w:t>
      </w:r>
      <w:r w:rsidR="000429F8" w:rsidRPr="009B0448">
        <w:rPr>
          <w:rFonts w:ascii="Times New Roman" w:hAnsi="Times New Roman" w:cs="Times New Roman"/>
          <w:i/>
        </w:rPr>
        <w:t>et al.</w:t>
      </w:r>
      <w:r w:rsidRPr="009B0448">
        <w:rPr>
          <w:rFonts w:ascii="Times New Roman" w:hAnsi="Times New Roman" w:cs="Times New Roman"/>
        </w:rPr>
        <w:t xml:space="preserve">, 2002). In many cases, </w:t>
      </w:r>
      <w:r w:rsidR="00692DF8" w:rsidRPr="009B0448">
        <w:rPr>
          <w:rFonts w:ascii="Times New Roman" w:hAnsi="Times New Roman" w:cs="Times New Roman"/>
        </w:rPr>
        <w:t xml:space="preserve">the </w:t>
      </w:r>
      <w:r w:rsidRPr="009B0448">
        <w:rPr>
          <w:rFonts w:ascii="Times New Roman" w:hAnsi="Times New Roman" w:cs="Times New Roman"/>
        </w:rPr>
        <w:t xml:space="preserve">true and beneficial involvement of indigenous knowledge and indigenous people is recommended in some ideal or hypothetical situation where indigenous and local knowledge is said to be able to provide potential support, as opposed to actually being used (Davis </w:t>
      </w:r>
      <w:r w:rsidR="000429F8" w:rsidRPr="009B0448">
        <w:rPr>
          <w:rFonts w:ascii="Times New Roman" w:hAnsi="Times New Roman" w:cs="Times New Roman"/>
          <w:i/>
        </w:rPr>
        <w:t>et al.</w:t>
      </w:r>
      <w:r w:rsidRPr="009B0448">
        <w:rPr>
          <w:rFonts w:ascii="Times New Roman" w:hAnsi="Times New Roman" w:cs="Times New Roman"/>
        </w:rPr>
        <w:t>, 2003). This is mainly because of the nature of indigenous knowledge, which is abstract, subjective and authoritative; this makes it difficult to be amenable to established scientific methodologies and approaches (</w:t>
      </w:r>
      <w:r w:rsidR="0061658B" w:rsidRPr="009B0448">
        <w:rPr>
          <w:rFonts w:ascii="Times New Roman" w:hAnsi="Times New Roman" w:cs="Times New Roman"/>
        </w:rPr>
        <w:t xml:space="preserve">Cocks, 2006; </w:t>
      </w:r>
      <w:r w:rsidRPr="009B0448">
        <w:rPr>
          <w:rFonts w:ascii="Times New Roman" w:hAnsi="Times New Roman" w:cs="Times New Roman"/>
        </w:rPr>
        <w:t>Briggs, 2008). It is important to note that the losers in this are not only the indigenous African communities, who are deprived of opportunities for participation but also the resource management sector which misses the multifaceted benefits that could have been obtained by involving local and indigenous knowledge (Berkes, 2004).</w:t>
      </w:r>
    </w:p>
    <w:p w14:paraId="41EE5ABE" w14:textId="77777777" w:rsidR="00C21A1B" w:rsidRPr="009B0448" w:rsidRDefault="00C21A1B" w:rsidP="009F0016">
      <w:pPr>
        <w:spacing w:line="276" w:lineRule="auto"/>
        <w:jc w:val="both"/>
        <w:rPr>
          <w:rFonts w:ascii="Times New Roman" w:hAnsi="Times New Roman" w:cs="Times New Roman"/>
        </w:rPr>
      </w:pPr>
    </w:p>
    <w:p w14:paraId="59E1DBBA" w14:textId="084B4293"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Community-based natural resource management initiatives can also fail because their design and selection do not take into account financial viability, or insufficiently consider the costs of undertaking sustainable ecosystem management. This can be detrimental </w:t>
      </w:r>
      <w:r w:rsidR="00692DF8" w:rsidRPr="009B0448">
        <w:rPr>
          <w:rFonts w:ascii="Times New Roman" w:hAnsi="Times New Roman" w:cs="Times New Roman"/>
        </w:rPr>
        <w:t>to</w:t>
      </w:r>
      <w:r w:rsidRPr="009B0448">
        <w:rPr>
          <w:rFonts w:ascii="Times New Roman" w:hAnsi="Times New Roman" w:cs="Times New Roman"/>
        </w:rPr>
        <w:t xml:space="preserve"> local participation in projects which contain financial incentives as a design element. The Tchuma Tchato project, Mozambique, and the community-based natural resource management programme in the Kwandu Conservancy, Namibia, revealed that benefits were often deficient in value and volume. In addition, many households believed that benefits were inequitably shared (Suich, 2013). Effective stakeholder engagement is essential to ensure that relevant issues are included and addressed; as well as being cautious in that existing policies and instruments that are relevant for conservation will not always originate only from environmental policies, but might stem from different sectoral policies, e.g.</w:t>
      </w:r>
      <w:r w:rsidR="0091139F">
        <w:rPr>
          <w:rFonts w:ascii="Times New Roman" w:hAnsi="Times New Roman" w:cs="Times New Roman"/>
        </w:rPr>
        <w:t>,</w:t>
      </w:r>
      <w:r w:rsidRPr="009B0448">
        <w:rPr>
          <w:rFonts w:ascii="Times New Roman" w:hAnsi="Times New Roman" w:cs="Times New Roman"/>
        </w:rPr>
        <w:t xml:space="preserve"> agriculture and forestry, energy, transport or trade policy, and from local communities. </w:t>
      </w:r>
    </w:p>
    <w:p w14:paraId="701C02C3" w14:textId="77777777" w:rsidR="00C21A1B" w:rsidRPr="009B0448" w:rsidRDefault="00C21A1B" w:rsidP="009F0016">
      <w:pPr>
        <w:spacing w:line="276" w:lineRule="auto"/>
        <w:jc w:val="both"/>
        <w:rPr>
          <w:rFonts w:ascii="Times New Roman" w:hAnsi="Times New Roman" w:cs="Times New Roman"/>
        </w:rPr>
      </w:pPr>
    </w:p>
    <w:p w14:paraId="3D447495" w14:textId="0007869E"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A growing number of positive examples of</w:t>
      </w:r>
      <w:r w:rsidR="00692DF8" w:rsidRPr="009B0448">
        <w:rPr>
          <w:rFonts w:ascii="Times New Roman" w:hAnsi="Times New Roman" w:cs="Times New Roman"/>
        </w:rPr>
        <w:t xml:space="preserve"> decentralisation and community-</w:t>
      </w:r>
      <w:r w:rsidRPr="009B0448">
        <w:rPr>
          <w:rFonts w:ascii="Times New Roman" w:hAnsi="Times New Roman" w:cs="Times New Roman"/>
        </w:rPr>
        <w:t xml:space="preserve">based management exist in Africa, even though cases of successful community-based natural resource management where indigenous and local knowledge has been integrated and utilised remain lacking (Measham </w:t>
      </w:r>
      <w:r w:rsidR="000429F8" w:rsidRPr="009B0448">
        <w:rPr>
          <w:rFonts w:ascii="Times New Roman" w:hAnsi="Times New Roman" w:cs="Times New Roman"/>
          <w:i/>
        </w:rPr>
        <w:t>et al.</w:t>
      </w:r>
      <w:r w:rsidRPr="009B0448">
        <w:rPr>
          <w:rFonts w:ascii="Times New Roman" w:hAnsi="Times New Roman" w:cs="Times New Roman"/>
        </w:rPr>
        <w:t xml:space="preserve">, 2013). Important lessons can be derived from community-based natural resource management projects in Africa for the governance of biodiversity and ecosystem services (Snively, 2012; Pailler </w:t>
      </w:r>
      <w:r w:rsidR="000429F8" w:rsidRPr="009B0448">
        <w:rPr>
          <w:rFonts w:ascii="Times New Roman" w:hAnsi="Times New Roman" w:cs="Times New Roman"/>
          <w:i/>
        </w:rPr>
        <w:t>et al.</w:t>
      </w:r>
      <w:r w:rsidRPr="009B0448">
        <w:rPr>
          <w:rFonts w:ascii="Times New Roman" w:hAnsi="Times New Roman" w:cs="Times New Roman"/>
        </w:rPr>
        <w:t xml:space="preserve">, 2015). </w:t>
      </w:r>
    </w:p>
    <w:p w14:paraId="06393A38" w14:textId="77777777" w:rsidR="00F83B61" w:rsidRPr="009B0448" w:rsidRDefault="00F83B61" w:rsidP="00FA7185">
      <w:pPr>
        <w:pStyle w:val="Heading3"/>
        <w:widowControl w:val="0"/>
        <w:numPr>
          <w:ilvl w:val="1"/>
          <w:numId w:val="11"/>
        </w:numPr>
        <w:spacing w:before="240" w:after="240"/>
        <w:ind w:left="709" w:hanging="720"/>
        <w:rPr>
          <w:rFonts w:eastAsia="Calibri" w:cs="Times New Roman"/>
          <w:szCs w:val="24"/>
        </w:rPr>
      </w:pPr>
      <w:bookmarkStart w:id="528" w:name="_Toc502937696"/>
      <w:bookmarkStart w:id="529" w:name="_Toc519500063"/>
      <w:r w:rsidRPr="009B0448">
        <w:rPr>
          <w:rFonts w:eastAsia="Calibri" w:cs="Times New Roman"/>
          <w:szCs w:val="24"/>
        </w:rPr>
        <w:t>Creating an enabling environment for the governance of ecosystem services and biodiversity</w:t>
      </w:r>
      <w:bookmarkEnd w:id="528"/>
      <w:bookmarkEnd w:id="529"/>
    </w:p>
    <w:p w14:paraId="5C7B31C3" w14:textId="683CBE6C"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Key to the development of appropriate policy mixes for the governance of the continent’s biodiversity and ecosystem services is an enabling environment: “the combination of contextual elements allowing progress to be made towards a clearly defined goal” (Akhtar-Schuster </w:t>
      </w:r>
      <w:r w:rsidR="000429F8" w:rsidRPr="009B0448">
        <w:rPr>
          <w:rFonts w:ascii="Times New Roman" w:hAnsi="Times New Roman" w:cs="Times New Roman"/>
          <w:i/>
        </w:rPr>
        <w:t>et al.</w:t>
      </w:r>
      <w:r w:rsidRPr="009B0448">
        <w:rPr>
          <w:rFonts w:ascii="Times New Roman" w:hAnsi="Times New Roman" w:cs="Times New Roman"/>
        </w:rPr>
        <w:t xml:space="preserve">, 2011: 300). It is important to identify key determinants for the effective development, uptake and implementation of particular governance and institutional options, and understand the limitations to their effectiveness. This section assesses the importance of capacity (including resources) and tools, drawing on examples from across the continent. </w:t>
      </w:r>
    </w:p>
    <w:p w14:paraId="7D30E140" w14:textId="77777777" w:rsidR="00F83B61" w:rsidRPr="009B0448" w:rsidRDefault="00F83B61" w:rsidP="00FA7185">
      <w:pPr>
        <w:pStyle w:val="111"/>
        <w:numPr>
          <w:ilvl w:val="2"/>
          <w:numId w:val="11"/>
        </w:numPr>
        <w:spacing w:before="240" w:after="240"/>
        <w:ind w:left="709" w:hanging="720"/>
        <w:rPr>
          <w:rFonts w:cs="Times New Roman"/>
          <w:i w:val="0"/>
          <w:sz w:val="22"/>
          <w:szCs w:val="22"/>
        </w:rPr>
      </w:pPr>
      <w:bookmarkStart w:id="530" w:name="_Toc502937697"/>
      <w:bookmarkStart w:id="531" w:name="_Toc519500064"/>
      <w:r w:rsidRPr="009B0448">
        <w:rPr>
          <w:rFonts w:cs="Times New Roman"/>
          <w:i w:val="0"/>
          <w:sz w:val="22"/>
          <w:szCs w:val="22"/>
        </w:rPr>
        <w:t>Tools and methodologies supporting policy design</w:t>
      </w:r>
      <w:bookmarkEnd w:id="530"/>
      <w:bookmarkEnd w:id="531"/>
    </w:p>
    <w:p w14:paraId="0AF05246" w14:textId="14D59894"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Policy making does not follow defined steps and is increasingly reliant on support tools and methodologies which can help both to build capacity and guide policy </w:t>
      </w:r>
      <w:r w:rsidR="00574E50" w:rsidRPr="009B0448">
        <w:rPr>
          <w:rFonts w:ascii="Times New Roman" w:hAnsi="Times New Roman" w:cs="Times New Roman"/>
        </w:rPr>
        <w:t>decision-mak</w:t>
      </w:r>
      <w:r w:rsidRPr="009B0448">
        <w:rPr>
          <w:rFonts w:ascii="Times New Roman" w:hAnsi="Times New Roman" w:cs="Times New Roman"/>
        </w:rPr>
        <w:t>ing. In Africa</w:t>
      </w:r>
      <w:r w:rsidR="00692DF8" w:rsidRPr="009B0448">
        <w:rPr>
          <w:rFonts w:ascii="Times New Roman" w:hAnsi="Times New Roman" w:cs="Times New Roman"/>
        </w:rPr>
        <w:t>,</w:t>
      </w:r>
      <w:r w:rsidRPr="009B0448">
        <w:rPr>
          <w:rFonts w:ascii="Times New Roman" w:hAnsi="Times New Roman" w:cs="Times New Roman"/>
        </w:rPr>
        <w:t xml:space="preserve"> these include </w:t>
      </w:r>
      <w:r w:rsidR="00FD45F2" w:rsidRPr="009B0448">
        <w:rPr>
          <w:rFonts w:ascii="Times New Roman" w:hAnsi="Times New Roman" w:cs="Times New Roman"/>
        </w:rPr>
        <w:t>‘</w:t>
      </w:r>
      <w:r w:rsidRPr="009B0448">
        <w:rPr>
          <w:rFonts w:ascii="Times New Roman" w:hAnsi="Times New Roman" w:cs="Times New Roman"/>
        </w:rPr>
        <w:t>Biodiversity Monitoring Transect Analysis in Africa</w:t>
      </w:r>
      <w:r w:rsidR="00FD45F2" w:rsidRPr="009B0448">
        <w:rPr>
          <w:rFonts w:ascii="Times New Roman" w:hAnsi="Times New Roman" w:cs="Times New Roman"/>
        </w:rPr>
        <w:t>’</w:t>
      </w:r>
      <w:r w:rsidRPr="009B0448">
        <w:rPr>
          <w:rFonts w:ascii="Times New Roman" w:hAnsi="Times New Roman" w:cs="Times New Roman"/>
        </w:rPr>
        <w:t xml:space="preserve"> which uses spatial data through GIS and remote sensing and scientific support to improve governance and conservation of Africa’s biodiversity (</w:t>
      </w:r>
      <w:hyperlink r:id="rId1764" w:history="1">
        <w:r w:rsidRPr="009B0448">
          <w:rPr>
            <w:rStyle w:val="Hyperlink"/>
            <w:rFonts w:ascii="Times New Roman" w:hAnsi="Times New Roman" w:cs="Times New Roman"/>
          </w:rPr>
          <w:t>http://www.biota-africa.org</w:t>
        </w:r>
      </w:hyperlink>
      <w:r w:rsidRPr="009B0448">
        <w:rPr>
          <w:rFonts w:ascii="Times New Roman" w:hAnsi="Times New Roman" w:cs="Times New Roman"/>
        </w:rPr>
        <w:t>). Other tools used include the ones used by South Africa’s biodiversity research group under the Council for Scientific and Industrial Research and departments of biological sciences in several universities across the country. Universities in the continent also use similar tools while other stakeholders engage in emerging platforms such as the Ecosystem-Based Adaptation for Food Security Assembly which was created following the unanimous adoption of the Nairobi Action Agenda and the constitution of the Ecosystem-Based Adaptation for Food Security Assembly by several stakeholders in 2015 (Box 6.25).</w:t>
      </w:r>
    </w:p>
    <w:p w14:paraId="7DA2E793" w14:textId="77777777" w:rsidR="00C21A1B" w:rsidRPr="009B0448" w:rsidRDefault="00C21A1B" w:rsidP="009F0016">
      <w:pPr>
        <w:spacing w:line="276" w:lineRule="auto"/>
        <w:jc w:val="both"/>
        <w:rPr>
          <w:rFonts w:ascii="Times New Roman" w:hAnsi="Times New Roman" w:cs="Times New Roman"/>
        </w:rPr>
      </w:pPr>
    </w:p>
    <w:p w14:paraId="4090FE21" w14:textId="37AB78A1"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The IPBES (IPBES, 2016a; see also references therein) summarises seven families of policy support tools and methodologies according to their focus and use in: 1) assembling data and knowledge (including monitoring); 2) assessment and evaluation; 3) public discussion, involvement and participatory processes; 4) selection and design of policy instruments; 5) implementation, outreach and enforcement; 6) training and capacity building; and 7) social learning, innovation and adaptive governance. The availability and use of the best available data and information is critical in making policy decisions. Voluntary guidance meant to improve access to biodiversity</w:t>
      </w:r>
      <w:r w:rsidR="00692DF8" w:rsidRPr="009B0448">
        <w:rPr>
          <w:rFonts w:ascii="Times New Roman" w:hAnsi="Times New Roman" w:cs="Times New Roman"/>
        </w:rPr>
        <w:t>-</w:t>
      </w:r>
      <w:r w:rsidRPr="009B0448">
        <w:rPr>
          <w:rFonts w:ascii="Times New Roman" w:hAnsi="Times New Roman" w:cs="Times New Roman"/>
        </w:rPr>
        <w:t>related data and information include</w:t>
      </w:r>
      <w:r w:rsidR="004320D4" w:rsidRPr="009B0448">
        <w:rPr>
          <w:rStyle w:val="FootnoteReference"/>
          <w:rFonts w:ascii="Times New Roman" w:hAnsi="Times New Roman" w:cs="Times New Roman"/>
        </w:rPr>
        <w:footnoteReference w:id="9"/>
      </w:r>
      <w:r w:rsidR="004320D4" w:rsidRPr="009B0448">
        <w:rPr>
          <w:rFonts w:ascii="Times New Roman" w:hAnsi="Times New Roman" w:cs="Times New Roman"/>
        </w:rPr>
        <w:t>:</w:t>
      </w:r>
    </w:p>
    <w:p w14:paraId="15720265" w14:textId="77777777" w:rsidR="00F83B61" w:rsidRPr="009B0448" w:rsidRDefault="00F83B61" w:rsidP="009F0016">
      <w:pPr>
        <w:widowControl w:val="0"/>
        <w:numPr>
          <w:ilvl w:val="0"/>
          <w:numId w:val="6"/>
        </w:numPr>
        <w:spacing w:line="276" w:lineRule="auto"/>
        <w:ind w:hanging="360"/>
        <w:jc w:val="both"/>
        <w:rPr>
          <w:rFonts w:ascii="Times New Roman" w:hAnsi="Times New Roman" w:cs="Times New Roman"/>
        </w:rPr>
      </w:pPr>
      <w:r w:rsidRPr="009B0448">
        <w:rPr>
          <w:rFonts w:ascii="Times New Roman" w:hAnsi="Times New Roman" w:cs="Times New Roman"/>
        </w:rPr>
        <w:t xml:space="preserve">use of common standards to enable integration and discovery of diverse data sets, government regulation and policy incentives to facilitate publication of publicly funded research and unrestricted access; </w:t>
      </w:r>
    </w:p>
    <w:p w14:paraId="51D29E54" w14:textId="483F7E8C" w:rsidR="00F83B61" w:rsidRPr="009B0448" w:rsidRDefault="00F83B61" w:rsidP="009F0016">
      <w:pPr>
        <w:widowControl w:val="0"/>
        <w:numPr>
          <w:ilvl w:val="0"/>
          <w:numId w:val="6"/>
        </w:numPr>
        <w:spacing w:line="276" w:lineRule="auto"/>
        <w:ind w:hanging="360"/>
        <w:jc w:val="both"/>
        <w:rPr>
          <w:rFonts w:ascii="Times New Roman" w:hAnsi="Times New Roman" w:cs="Times New Roman"/>
        </w:rPr>
      </w:pPr>
      <w:r w:rsidRPr="009B0448">
        <w:rPr>
          <w:rFonts w:ascii="Times New Roman" w:hAnsi="Times New Roman" w:cs="Times New Roman"/>
        </w:rPr>
        <w:t xml:space="preserve">digitisation of natural history collections; </w:t>
      </w:r>
    </w:p>
    <w:p w14:paraId="1810DADA" w14:textId="77777777" w:rsidR="00F83B61" w:rsidRPr="009B0448" w:rsidRDefault="00F83B61" w:rsidP="009F0016">
      <w:pPr>
        <w:widowControl w:val="0"/>
        <w:numPr>
          <w:ilvl w:val="0"/>
          <w:numId w:val="6"/>
        </w:numPr>
        <w:spacing w:line="276" w:lineRule="auto"/>
        <w:ind w:hanging="360"/>
        <w:jc w:val="both"/>
        <w:rPr>
          <w:rFonts w:ascii="Times New Roman" w:hAnsi="Times New Roman" w:cs="Times New Roman"/>
        </w:rPr>
      </w:pPr>
      <w:r w:rsidRPr="009B0448">
        <w:rPr>
          <w:rFonts w:ascii="Times New Roman" w:hAnsi="Times New Roman" w:cs="Times New Roman"/>
        </w:rPr>
        <w:t xml:space="preserve">establishment of national biodiversity information facilities to promote coordination and sharing of data among stakeholders; </w:t>
      </w:r>
    </w:p>
    <w:p w14:paraId="59A8AAF8" w14:textId="6C59F60E" w:rsidR="00F83B61" w:rsidRPr="009B0448" w:rsidRDefault="00F83B61" w:rsidP="009F0016">
      <w:pPr>
        <w:widowControl w:val="0"/>
        <w:numPr>
          <w:ilvl w:val="0"/>
          <w:numId w:val="6"/>
        </w:numPr>
        <w:spacing w:line="276" w:lineRule="auto"/>
        <w:ind w:hanging="360"/>
        <w:jc w:val="both"/>
        <w:rPr>
          <w:rFonts w:ascii="Times New Roman" w:hAnsi="Times New Roman" w:cs="Times New Roman"/>
        </w:rPr>
      </w:pPr>
      <w:r w:rsidRPr="009B0448">
        <w:rPr>
          <w:rFonts w:ascii="Times New Roman" w:hAnsi="Times New Roman" w:cs="Times New Roman"/>
        </w:rPr>
        <w:t xml:space="preserve">enhancing capacity in biodiversity informatics through training programmes and through national, regional and global workshops, and collaboration through networks such as the Global Biodiversity Information Facility, as a means of increasing availability of data and filling knowledge gaps; </w:t>
      </w:r>
    </w:p>
    <w:p w14:paraId="36B3DAC4" w14:textId="19A9AA79" w:rsidR="00F83B61" w:rsidRPr="009B0448" w:rsidRDefault="00F83B61" w:rsidP="009F0016">
      <w:pPr>
        <w:widowControl w:val="0"/>
        <w:numPr>
          <w:ilvl w:val="0"/>
          <w:numId w:val="6"/>
        </w:numPr>
        <w:spacing w:line="276" w:lineRule="auto"/>
        <w:ind w:hanging="360"/>
        <w:jc w:val="both"/>
        <w:rPr>
          <w:rFonts w:ascii="Times New Roman" w:hAnsi="Times New Roman" w:cs="Times New Roman"/>
        </w:rPr>
      </w:pPr>
      <w:r w:rsidRPr="009B0448">
        <w:rPr>
          <w:rFonts w:ascii="Times New Roman" w:hAnsi="Times New Roman" w:cs="Times New Roman"/>
        </w:rPr>
        <w:t xml:space="preserve">public engagement in biodiversity observation through citizen science networks to enhance public awareness and to broaden the evidence base for research and </w:t>
      </w:r>
      <w:r w:rsidR="00574E50" w:rsidRPr="009B0448">
        <w:rPr>
          <w:rFonts w:ascii="Times New Roman" w:hAnsi="Times New Roman" w:cs="Times New Roman"/>
        </w:rPr>
        <w:t>decision-mak</w:t>
      </w:r>
      <w:r w:rsidRPr="009B0448">
        <w:rPr>
          <w:rFonts w:ascii="Times New Roman" w:hAnsi="Times New Roman" w:cs="Times New Roman"/>
        </w:rPr>
        <w:t>ing;</w:t>
      </w:r>
    </w:p>
    <w:p w14:paraId="2CDC4F8C" w14:textId="77777777" w:rsidR="00F83B61" w:rsidRPr="009B0448" w:rsidRDefault="00F83B61" w:rsidP="009F0016">
      <w:pPr>
        <w:widowControl w:val="0"/>
        <w:numPr>
          <w:ilvl w:val="0"/>
          <w:numId w:val="6"/>
        </w:numPr>
        <w:spacing w:line="276" w:lineRule="auto"/>
        <w:ind w:hanging="360"/>
        <w:jc w:val="both"/>
        <w:rPr>
          <w:rFonts w:ascii="Times New Roman" w:hAnsi="Times New Roman" w:cs="Times New Roman"/>
        </w:rPr>
      </w:pPr>
      <w:r w:rsidRPr="009B0448">
        <w:rPr>
          <w:rFonts w:ascii="Times New Roman" w:hAnsi="Times New Roman" w:cs="Times New Roman"/>
        </w:rPr>
        <w:t xml:space="preserve">encouraging sharing of data obtained from the private sector; </w:t>
      </w:r>
    </w:p>
    <w:p w14:paraId="1AE46622" w14:textId="4A45AC90" w:rsidR="00F83B61" w:rsidRPr="009B0448" w:rsidRDefault="00F83B61" w:rsidP="009F0016">
      <w:pPr>
        <w:widowControl w:val="0"/>
        <w:numPr>
          <w:ilvl w:val="0"/>
          <w:numId w:val="6"/>
        </w:numPr>
        <w:spacing w:line="276" w:lineRule="auto"/>
        <w:ind w:hanging="360"/>
        <w:jc w:val="both"/>
        <w:rPr>
          <w:rFonts w:ascii="Times New Roman" w:hAnsi="Times New Roman" w:cs="Times New Roman"/>
        </w:rPr>
      </w:pPr>
      <w:r w:rsidRPr="009B0448">
        <w:rPr>
          <w:rFonts w:ascii="Times New Roman" w:hAnsi="Times New Roman" w:cs="Times New Roman"/>
        </w:rPr>
        <w:t>developing national platforms for data discovery, visualisation and use, e.g.</w:t>
      </w:r>
      <w:r w:rsidR="0091139F">
        <w:rPr>
          <w:rFonts w:ascii="Times New Roman" w:hAnsi="Times New Roman" w:cs="Times New Roman"/>
        </w:rPr>
        <w:t>,</w:t>
      </w:r>
      <w:r w:rsidRPr="009B0448">
        <w:rPr>
          <w:rFonts w:ascii="Times New Roman" w:hAnsi="Times New Roman" w:cs="Times New Roman"/>
        </w:rPr>
        <w:t xml:space="preserve"> through websites and portals; </w:t>
      </w:r>
    </w:p>
    <w:p w14:paraId="472EE9A3" w14:textId="77777777" w:rsidR="00F83B61" w:rsidRPr="009B0448" w:rsidRDefault="00F83B61" w:rsidP="009F0016">
      <w:pPr>
        <w:widowControl w:val="0"/>
        <w:numPr>
          <w:ilvl w:val="0"/>
          <w:numId w:val="6"/>
        </w:numPr>
        <w:spacing w:line="276" w:lineRule="auto"/>
        <w:ind w:hanging="360"/>
        <w:jc w:val="both"/>
        <w:rPr>
          <w:rFonts w:ascii="Times New Roman" w:hAnsi="Times New Roman" w:cs="Times New Roman"/>
        </w:rPr>
      </w:pPr>
      <w:r w:rsidRPr="009B0448">
        <w:rPr>
          <w:rFonts w:ascii="Times New Roman" w:hAnsi="Times New Roman" w:cs="Times New Roman"/>
        </w:rPr>
        <w:t>analysis of data and information gaps for prioritisation of new data mobilisation; and</w:t>
      </w:r>
    </w:p>
    <w:p w14:paraId="6DC5F066" w14:textId="6DF9DBC3" w:rsidR="00F83B61" w:rsidRPr="009B0448" w:rsidRDefault="00F83B61" w:rsidP="009F0016">
      <w:pPr>
        <w:widowControl w:val="0"/>
        <w:numPr>
          <w:ilvl w:val="0"/>
          <w:numId w:val="6"/>
        </w:numPr>
        <w:spacing w:line="276" w:lineRule="auto"/>
        <w:ind w:hanging="360"/>
        <w:jc w:val="both"/>
        <w:rPr>
          <w:rFonts w:ascii="Times New Roman" w:hAnsi="Times New Roman" w:cs="Times New Roman"/>
        </w:rPr>
      </w:pPr>
      <w:r w:rsidRPr="009B0448">
        <w:rPr>
          <w:rFonts w:ascii="Times New Roman" w:hAnsi="Times New Roman" w:cs="Times New Roman"/>
        </w:rPr>
        <w:t>engagement with and support of both regional and global networks (e.g.</w:t>
      </w:r>
      <w:r w:rsidR="0091139F">
        <w:rPr>
          <w:rFonts w:ascii="Times New Roman" w:hAnsi="Times New Roman" w:cs="Times New Roman"/>
        </w:rPr>
        <w:t>,</w:t>
      </w:r>
      <w:r w:rsidRPr="009B0448">
        <w:rPr>
          <w:rFonts w:ascii="Times New Roman" w:hAnsi="Times New Roman" w:cs="Times New Roman"/>
        </w:rPr>
        <w:t xml:space="preserve"> the Global Biodiversity Information Facility, the Ocean Biogeographic Information System and the Group on Earth Observations Biodiversity Observation network for data mobilisation and access.</w:t>
      </w:r>
    </w:p>
    <w:p w14:paraId="6D9AF29A" w14:textId="77777777" w:rsidR="00C21A1B" w:rsidRPr="009B0448" w:rsidRDefault="00C21A1B" w:rsidP="00C21A1B">
      <w:pPr>
        <w:widowControl w:val="0"/>
        <w:spacing w:line="276" w:lineRule="auto"/>
        <w:ind w:left="360"/>
        <w:jc w:val="both"/>
        <w:rPr>
          <w:rFonts w:ascii="Times New Roman" w:hAnsi="Times New Roman" w:cs="Times New Roman"/>
        </w:rPr>
      </w:pPr>
    </w:p>
    <w:p w14:paraId="05E73787"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mc:AlternateContent>
          <mc:Choice Requires="wps">
            <w:drawing>
              <wp:inline distT="0" distB="0" distL="0" distR="0" wp14:anchorId="77F4CE25" wp14:editId="7AFB4B82">
                <wp:extent cx="5747657" cy="3825551"/>
                <wp:effectExtent l="0" t="0" r="24765" b="22860"/>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7657" cy="3825551"/>
                        </a:xfrm>
                        <a:prstGeom prst="rect">
                          <a:avLst/>
                        </a:prstGeom>
                        <a:solidFill>
                          <a:schemeClr val="bg1">
                            <a:lumMod val="95000"/>
                          </a:schemeClr>
                        </a:solidFill>
                        <a:ln w="9525">
                          <a:solidFill>
                            <a:srgbClr val="000000"/>
                          </a:solidFill>
                          <a:miter lim="800000"/>
                          <a:headEnd/>
                          <a:tailEnd/>
                        </a:ln>
                      </wps:spPr>
                      <wps:txbx>
                        <w:txbxContent>
                          <w:p w14:paraId="7EF22C98" w14:textId="77777777" w:rsidR="00BC0CFA" w:rsidRDefault="00BC0CFA" w:rsidP="00FD45F2">
                            <w:pPr>
                              <w:spacing w:line="276" w:lineRule="auto"/>
                              <w:jc w:val="both"/>
                              <w:rPr>
                                <w:rFonts w:ascii="Times New Roman" w:hAnsi="Times New Roman" w:cs="Times New Roman"/>
                                <w:b/>
                                <w:color w:val="000000" w:themeColor="text1"/>
                              </w:rPr>
                            </w:pPr>
                            <w:r w:rsidRPr="00372283">
                              <w:rPr>
                                <w:rFonts w:ascii="Times New Roman" w:hAnsi="Times New Roman" w:cs="Times New Roman"/>
                                <w:b/>
                                <w:color w:val="000000" w:themeColor="text1"/>
                              </w:rPr>
                              <w:t>Box 6.25: The Ecosystem-Based Adaptation for Food Security in Africa assembly (EBAFOSA)</w:t>
                            </w:r>
                          </w:p>
                          <w:p w14:paraId="6622A4E9" w14:textId="77777777" w:rsidR="00BC0CFA" w:rsidRPr="00372283" w:rsidRDefault="00BC0CFA" w:rsidP="00FD45F2">
                            <w:pPr>
                              <w:spacing w:line="276" w:lineRule="auto"/>
                              <w:jc w:val="both"/>
                              <w:rPr>
                                <w:rFonts w:ascii="Times New Roman" w:hAnsi="Times New Roman" w:cs="Times New Roman"/>
                                <w:b/>
                                <w:color w:val="000000" w:themeColor="text1"/>
                              </w:rPr>
                            </w:pPr>
                          </w:p>
                          <w:p w14:paraId="0DEE3E86" w14:textId="13C9B641" w:rsidR="00BC0CFA" w:rsidRDefault="00BC0CFA" w:rsidP="00FD45F2">
                            <w:pPr>
                              <w:spacing w:line="276" w:lineRule="auto"/>
                              <w:jc w:val="both"/>
                              <w:rPr>
                                <w:rFonts w:ascii="Times New Roman" w:hAnsi="Times New Roman" w:cs="Times New Roman"/>
                                <w:color w:val="000000" w:themeColor="text1"/>
                              </w:rPr>
                            </w:pPr>
                            <w:r w:rsidRPr="00372283">
                              <w:rPr>
                                <w:rFonts w:ascii="Times New Roman" w:hAnsi="Times New Roman" w:cs="Times New Roman"/>
                                <w:color w:val="000000" w:themeColor="text1"/>
                              </w:rPr>
                              <w:t>EBAFOSA is a tool aimed at promoting investments in ecological techniques that improve agricultural productivity without negatively affecting the ecosystem’s capacity to sustain future productivity. EBAFOSA has provided a platform, in the 16 countries that have so far launched the framework, where stakeholders forge mutually benef</w:t>
                            </w:r>
                            <w:r>
                              <w:rPr>
                                <w:rFonts w:ascii="Times New Roman" w:hAnsi="Times New Roman" w:cs="Times New Roman"/>
                                <w:color w:val="000000" w:themeColor="text1"/>
                              </w:rPr>
                              <w:t>itting partnerships aimed at up</w:t>
                            </w:r>
                            <w:r w:rsidRPr="00372283">
                              <w:rPr>
                                <w:rFonts w:ascii="Times New Roman" w:hAnsi="Times New Roman" w:cs="Times New Roman"/>
                                <w:color w:val="000000" w:themeColor="text1"/>
                              </w:rPr>
                              <w:t xml:space="preserve">scaling ecosystem-based adaptation driven agriculture and its value chains into policy and implementation through country driven processes to ensure food security, climate adaptation and enhanced productivity of ecosystems. It has also focused on enhancing value addition to create income and job opportunities, especially for the youth who form 60% of the unemployed in Africa (Munang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2015). </w:t>
                            </w:r>
                          </w:p>
                          <w:p w14:paraId="77327796" w14:textId="77777777" w:rsidR="00BC0CFA" w:rsidRPr="00372283" w:rsidRDefault="00BC0CFA" w:rsidP="00FD45F2">
                            <w:pPr>
                              <w:spacing w:line="276" w:lineRule="auto"/>
                              <w:jc w:val="both"/>
                              <w:rPr>
                                <w:rFonts w:ascii="Times New Roman" w:hAnsi="Times New Roman" w:cs="Times New Roman"/>
                                <w:color w:val="000000" w:themeColor="text1"/>
                              </w:rPr>
                            </w:pPr>
                          </w:p>
                          <w:p w14:paraId="6A8B7A2C" w14:textId="5166C737" w:rsidR="00BC0CFA" w:rsidRPr="00372283" w:rsidRDefault="00BC0CFA" w:rsidP="00FD45F2">
                            <w:pPr>
                              <w:spacing w:line="276" w:lineRule="auto"/>
                              <w:jc w:val="both"/>
                              <w:rPr>
                                <w:rFonts w:ascii="Times New Roman" w:hAnsi="Times New Roman" w:cs="Times New Roman"/>
                              </w:rPr>
                            </w:pPr>
                            <w:r w:rsidRPr="00372283">
                              <w:rPr>
                                <w:rFonts w:ascii="Times New Roman" w:hAnsi="Times New Roman" w:cs="Times New Roman"/>
                                <w:color w:val="000000" w:themeColor="text1"/>
                              </w:rPr>
                              <w:t>In Cote d’Ivoire, EBAFOSA has helped establish partnerships amongst various actors in developing clean energy and markets to build on the ‘Attieké d'Or’ initiative to incentivise</w:t>
                            </w:r>
                            <w:r>
                              <w:rPr>
                                <w:rFonts w:ascii="Times New Roman" w:hAnsi="Times New Roman" w:cs="Times New Roman"/>
                                <w:color w:val="000000" w:themeColor="text1"/>
                              </w:rPr>
                              <w:t xml:space="preserve"> use of climate resilient, high-</w:t>
                            </w:r>
                            <w:r w:rsidRPr="00372283">
                              <w:rPr>
                                <w:rFonts w:ascii="Times New Roman" w:hAnsi="Times New Roman" w:cs="Times New Roman"/>
                                <w:color w:val="000000" w:themeColor="text1"/>
                              </w:rPr>
                              <w:t>value cassava crop in all high potential areas</w:t>
                            </w:r>
                            <w:r>
                              <w:rPr>
                                <w:rFonts w:ascii="Times New Roman" w:hAnsi="Times New Roman" w:cs="Times New Roman"/>
                                <w:color w:val="000000" w:themeColor="text1"/>
                              </w:rPr>
                              <w:t>—</w:t>
                            </w:r>
                            <w:r w:rsidRPr="00372283">
                              <w:rPr>
                                <w:rFonts w:ascii="Times New Roman" w:hAnsi="Times New Roman" w:cs="Times New Roman"/>
                                <w:color w:val="000000" w:themeColor="text1"/>
                              </w:rPr>
                              <w:t xml:space="preserve">starting with the city of Divo and the Tonkpi Region. This has resulted in enhancement of biophysical &amp; socioeconomic resilience at community level whilst contributing to economic growth (UNEP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2017). In Malawi, on the other hand, through EBAFOSA an inter-agency task force has been formed and it has identified key existing policies for amendment towards complemen</w:t>
                            </w:r>
                            <w:r>
                              <w:rPr>
                                <w:rFonts w:ascii="Times New Roman" w:hAnsi="Times New Roman" w:cs="Times New Roman"/>
                                <w:color w:val="000000" w:themeColor="text1"/>
                              </w:rPr>
                              <w:t>ting establishment of Ecosystem-</w:t>
                            </w:r>
                            <w:r w:rsidRPr="00372283">
                              <w:rPr>
                                <w:rFonts w:ascii="Times New Roman" w:hAnsi="Times New Roman" w:cs="Times New Roman"/>
                                <w:color w:val="000000" w:themeColor="text1"/>
                              </w:rPr>
                              <w:t xml:space="preserve">Based Adaptation agro-industrial zones that will be powered by clean energy (UNEP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2017).</w:t>
                            </w:r>
                          </w:p>
                        </w:txbxContent>
                      </wps:txbx>
                      <wps:bodyPr rot="0" vert="horz" wrap="square" lIns="91440" tIns="45720" rIns="91440" bIns="45720" anchor="t" anchorCtr="0">
                        <a:noAutofit/>
                      </wps:bodyPr>
                    </wps:wsp>
                  </a:graphicData>
                </a:graphic>
              </wp:inline>
            </w:drawing>
          </mc:Choice>
          <mc:Fallback>
            <w:pict>
              <v:shape w14:anchorId="77F4CE25" id="_x0000_s1063" type="#_x0000_t202" style="width:452.55pt;height:30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" fillcolor="#f2f2f2 [3052]">
                <v:textbox>
                  <w:txbxContent>
                    <w:p w14:paraId="7EF22C98" w14:textId="77777777" w:rsidR="00BC0CFA" w:rsidRDefault="00BC0CFA" w:rsidP="00FD45F2">
                      <w:pPr>
                        <w:spacing w:line="276" w:lineRule="auto"/>
                        <w:jc w:val="both"/>
                        <w:rPr>
                          <w:rFonts w:ascii="Times New Roman" w:hAnsi="Times New Roman" w:cs="Times New Roman"/>
                          <w:b/>
                          <w:color w:val="000000" w:themeColor="text1"/>
                        </w:rPr>
                      </w:pPr>
                      <w:r w:rsidRPr="00372283">
                        <w:rPr>
                          <w:rFonts w:ascii="Times New Roman" w:hAnsi="Times New Roman" w:cs="Times New Roman"/>
                          <w:b/>
                          <w:color w:val="000000" w:themeColor="text1"/>
                        </w:rPr>
                        <w:t>Box 6.25: The Ecosystem-Based Adaptation for Food Security in Africa assembly (EBAFOSA)</w:t>
                      </w:r>
                    </w:p>
                    <w:p w14:paraId="6622A4E9" w14:textId="77777777" w:rsidR="00BC0CFA" w:rsidRPr="00372283" w:rsidRDefault="00BC0CFA" w:rsidP="00FD45F2">
                      <w:pPr>
                        <w:spacing w:line="276" w:lineRule="auto"/>
                        <w:jc w:val="both"/>
                        <w:rPr>
                          <w:rFonts w:ascii="Times New Roman" w:hAnsi="Times New Roman" w:cs="Times New Roman"/>
                          <w:b/>
                          <w:color w:val="000000" w:themeColor="text1"/>
                        </w:rPr>
                      </w:pPr>
                    </w:p>
                    <w:p w14:paraId="0DEE3E86" w14:textId="13C9B641" w:rsidR="00BC0CFA" w:rsidRDefault="00BC0CFA" w:rsidP="00FD45F2">
                      <w:pPr>
                        <w:spacing w:line="276" w:lineRule="auto"/>
                        <w:jc w:val="both"/>
                        <w:rPr>
                          <w:rFonts w:ascii="Times New Roman" w:hAnsi="Times New Roman" w:cs="Times New Roman"/>
                          <w:color w:val="000000" w:themeColor="text1"/>
                        </w:rPr>
                      </w:pPr>
                      <w:r w:rsidRPr="00372283">
                        <w:rPr>
                          <w:rFonts w:ascii="Times New Roman" w:hAnsi="Times New Roman" w:cs="Times New Roman"/>
                          <w:color w:val="000000" w:themeColor="text1"/>
                        </w:rPr>
                        <w:t>EBAFOSA is a tool aimed at promoting investments in ecological techniques that improve agricultural productivity without negatively affecting the ecosystem’s capacity to sustain future productivity. EBAFOSA has provided a platform, in the 16 countries that have so far launched the framework, where stakeholders forge mutually benef</w:t>
                      </w:r>
                      <w:r>
                        <w:rPr>
                          <w:rFonts w:ascii="Times New Roman" w:hAnsi="Times New Roman" w:cs="Times New Roman"/>
                          <w:color w:val="000000" w:themeColor="text1"/>
                        </w:rPr>
                        <w:t>itting partnerships aimed at up</w:t>
                      </w:r>
                      <w:r w:rsidRPr="00372283">
                        <w:rPr>
                          <w:rFonts w:ascii="Times New Roman" w:hAnsi="Times New Roman" w:cs="Times New Roman"/>
                          <w:color w:val="000000" w:themeColor="text1"/>
                        </w:rPr>
                        <w:t xml:space="preserve">scaling ecosystem-based adaptation driven agriculture and its value chains into policy and implementation through country driven processes to ensure food security, climate adaptation and enhanced productivity of ecosystems. It has also focused on enhancing value addition to create income and job opportunities, especially for the youth who form 60% of the unemployed in Africa (Munang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xml:space="preserve">, 2015). </w:t>
                      </w:r>
                    </w:p>
                    <w:p w14:paraId="77327796" w14:textId="77777777" w:rsidR="00BC0CFA" w:rsidRPr="00372283" w:rsidRDefault="00BC0CFA" w:rsidP="00FD45F2">
                      <w:pPr>
                        <w:spacing w:line="276" w:lineRule="auto"/>
                        <w:jc w:val="both"/>
                        <w:rPr>
                          <w:rFonts w:ascii="Times New Roman" w:hAnsi="Times New Roman" w:cs="Times New Roman"/>
                          <w:color w:val="000000" w:themeColor="text1"/>
                        </w:rPr>
                      </w:pPr>
                    </w:p>
                    <w:p w14:paraId="6A8B7A2C" w14:textId="5166C737" w:rsidR="00BC0CFA" w:rsidRPr="00372283" w:rsidRDefault="00BC0CFA" w:rsidP="00FD45F2">
                      <w:pPr>
                        <w:spacing w:line="276" w:lineRule="auto"/>
                        <w:jc w:val="both"/>
                        <w:rPr>
                          <w:rFonts w:ascii="Times New Roman" w:hAnsi="Times New Roman" w:cs="Times New Roman"/>
                        </w:rPr>
                      </w:pPr>
                      <w:r w:rsidRPr="00372283">
                        <w:rPr>
                          <w:rFonts w:ascii="Times New Roman" w:hAnsi="Times New Roman" w:cs="Times New Roman"/>
                          <w:color w:val="000000" w:themeColor="text1"/>
                        </w:rPr>
                        <w:t>In Cote d’Ivoire, EBAFOSA has helped establish partnerships amongst various actors in developing clean energy and markets to build on the ‘Attieké d'Or’ initiative to incentivise</w:t>
                      </w:r>
                      <w:r>
                        <w:rPr>
                          <w:rFonts w:ascii="Times New Roman" w:hAnsi="Times New Roman" w:cs="Times New Roman"/>
                          <w:color w:val="000000" w:themeColor="text1"/>
                        </w:rPr>
                        <w:t xml:space="preserve"> use of climate resilient, high-</w:t>
                      </w:r>
                      <w:r w:rsidRPr="00372283">
                        <w:rPr>
                          <w:rFonts w:ascii="Times New Roman" w:hAnsi="Times New Roman" w:cs="Times New Roman"/>
                          <w:color w:val="000000" w:themeColor="text1"/>
                        </w:rPr>
                        <w:t>value cassava crop in all high potential areas</w:t>
                      </w:r>
                      <w:r>
                        <w:rPr>
                          <w:rFonts w:ascii="Times New Roman" w:hAnsi="Times New Roman" w:cs="Times New Roman"/>
                          <w:color w:val="000000" w:themeColor="text1"/>
                        </w:rPr>
                        <w:t>—</w:t>
                      </w:r>
                      <w:r w:rsidRPr="00372283">
                        <w:rPr>
                          <w:rFonts w:ascii="Times New Roman" w:hAnsi="Times New Roman" w:cs="Times New Roman"/>
                          <w:color w:val="000000" w:themeColor="text1"/>
                        </w:rPr>
                        <w:t xml:space="preserve">starting with the city of Divo and the Tonkpi Region. This has resulted in enhancement of biophysical &amp; socioeconomic resilience at community level whilst contributing to economic growth (UNEP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2017). In Malawi, on the other hand, through EBAFOSA an inter-agency task force has been formed and it has identified key existing policies for amendment towards complemen</w:t>
                      </w:r>
                      <w:r>
                        <w:rPr>
                          <w:rFonts w:ascii="Times New Roman" w:hAnsi="Times New Roman" w:cs="Times New Roman"/>
                          <w:color w:val="000000" w:themeColor="text1"/>
                        </w:rPr>
                        <w:t>ting establishment of Ecosystem-</w:t>
                      </w:r>
                      <w:r w:rsidRPr="00372283">
                        <w:rPr>
                          <w:rFonts w:ascii="Times New Roman" w:hAnsi="Times New Roman" w:cs="Times New Roman"/>
                          <w:color w:val="000000" w:themeColor="text1"/>
                        </w:rPr>
                        <w:t xml:space="preserve">Based Adaptation agro-industrial zones that will be powered by clean energy (UNEP </w:t>
                      </w:r>
                      <w:r w:rsidRPr="000429F8">
                        <w:rPr>
                          <w:rFonts w:ascii="Times New Roman" w:hAnsi="Times New Roman" w:cs="Times New Roman"/>
                          <w:i/>
                          <w:color w:val="000000" w:themeColor="text1"/>
                        </w:rPr>
                        <w:t>et al.</w:t>
                      </w:r>
                      <w:r w:rsidRPr="00372283">
                        <w:rPr>
                          <w:rFonts w:ascii="Times New Roman" w:hAnsi="Times New Roman" w:cs="Times New Roman"/>
                          <w:color w:val="000000" w:themeColor="text1"/>
                        </w:rPr>
                        <w:t>, 2017).</w:t>
                      </w:r>
                    </w:p>
                  </w:txbxContent>
                </v:textbox>
                <w10:anchorlock/>
              </v:shape>
            </w:pict>
          </mc:Fallback>
        </mc:AlternateContent>
      </w:r>
    </w:p>
    <w:p w14:paraId="0DE65635" w14:textId="77777777" w:rsidR="00C21A1B" w:rsidRPr="009B0448" w:rsidRDefault="00C21A1B" w:rsidP="009F0016">
      <w:pPr>
        <w:spacing w:line="276" w:lineRule="auto"/>
        <w:jc w:val="both"/>
        <w:rPr>
          <w:rFonts w:ascii="Times New Roman" w:hAnsi="Times New Roman" w:cs="Times New Roman"/>
        </w:rPr>
      </w:pPr>
    </w:p>
    <w:p w14:paraId="3A147388"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In addition to tools and protocols on data-sharing, the tools developed under the Convention on Biological Diversity are used to assist countries and other stakeholders in conserving and sustainably using biodiversity. Greater application of these tools could be of significant help in safeguarding biodiversity and avoiding the worst impacts of its loss. </w:t>
      </w:r>
    </w:p>
    <w:p w14:paraId="5885F3F6" w14:textId="77777777" w:rsidR="00C21A1B" w:rsidRPr="009B0448" w:rsidRDefault="00C21A1B" w:rsidP="009F0016">
      <w:pPr>
        <w:spacing w:line="276" w:lineRule="auto"/>
        <w:jc w:val="both"/>
        <w:rPr>
          <w:rFonts w:ascii="Times New Roman" w:hAnsi="Times New Roman" w:cs="Times New Roman"/>
        </w:rPr>
      </w:pPr>
    </w:p>
    <w:p w14:paraId="61EBFE92" w14:textId="382523D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The analysis of tools and methodologies presented in this section follows a conceptual framework of the Integrated Policymaking cycle (UNEP, 2009) and IPBES conceptual framework (Díaz </w:t>
      </w:r>
      <w:r w:rsidR="000429F8" w:rsidRPr="009B0448">
        <w:rPr>
          <w:rFonts w:ascii="Times New Roman" w:hAnsi="Times New Roman" w:cs="Times New Roman"/>
          <w:i/>
        </w:rPr>
        <w:t>et al.</w:t>
      </w:r>
      <w:r w:rsidRPr="009B0448">
        <w:rPr>
          <w:rFonts w:ascii="Times New Roman" w:hAnsi="Times New Roman" w:cs="Times New Roman"/>
        </w:rPr>
        <w:t xml:space="preserve">, 2015). The Integrated Policymaking cycle identifies five steps in policy making and implementation: 1) Problem identification; 2) Policy formulation; 3) Decision-making; 4) Implementation; and 5) Monitoring and Evaluation. </w:t>
      </w:r>
    </w:p>
    <w:p w14:paraId="35920A18" w14:textId="77777777" w:rsidR="00F83B61" w:rsidRPr="009B0448" w:rsidRDefault="00F83B61" w:rsidP="00FA7185">
      <w:pPr>
        <w:pStyle w:val="111"/>
        <w:numPr>
          <w:ilvl w:val="3"/>
          <w:numId w:val="11"/>
        </w:numPr>
        <w:spacing w:before="240" w:after="240"/>
        <w:ind w:left="851" w:hanging="862"/>
        <w:rPr>
          <w:rFonts w:cs="Times New Roman"/>
          <w:sz w:val="22"/>
          <w:szCs w:val="22"/>
        </w:rPr>
      </w:pPr>
      <w:bookmarkStart w:id="532" w:name="_Toc502937698"/>
      <w:bookmarkStart w:id="533" w:name="_Toc519500065"/>
      <w:r w:rsidRPr="009B0448">
        <w:rPr>
          <w:rFonts w:cs="Times New Roman"/>
          <w:sz w:val="22"/>
          <w:szCs w:val="22"/>
        </w:rPr>
        <w:t>Problem identification</w:t>
      </w:r>
      <w:bookmarkEnd w:id="532"/>
      <w:bookmarkEnd w:id="533"/>
    </w:p>
    <w:p w14:paraId="3E9A1981" w14:textId="2570C4AC"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As many countries in Africa are experiencing transitions in their demographic, </w:t>
      </w:r>
      <w:r w:rsidR="00574E50" w:rsidRPr="009B0448">
        <w:rPr>
          <w:rFonts w:ascii="Times New Roman" w:hAnsi="Times New Roman" w:cs="Times New Roman"/>
        </w:rPr>
        <w:t>urbanis</w:t>
      </w:r>
      <w:r w:rsidR="00C76378" w:rsidRPr="009B0448">
        <w:rPr>
          <w:rFonts w:ascii="Times New Roman" w:hAnsi="Times New Roman" w:cs="Times New Roman"/>
        </w:rPr>
        <w:t>ation</w:t>
      </w:r>
      <w:r w:rsidRPr="009B0448">
        <w:rPr>
          <w:rFonts w:ascii="Times New Roman" w:hAnsi="Times New Roman" w:cs="Times New Roman"/>
        </w:rPr>
        <w:t xml:space="preserve"> and economic development patterns (see Chapters 1 and 4), a careful policymaking approach is needed for Africa’s biodiversity and ecosystem services. Problem identification takes place in the context of public policy, covering issues, potential and current, which affect various stakeholders, and that can benefit from policy intervention (UNECA, 2015). Some of the most common tools and methods used to identify these problems include vulnerability assessments, the DPSIR framework, scenarios and other forecasting tools (e.g.</w:t>
      </w:r>
      <w:r w:rsidR="0091139F">
        <w:rPr>
          <w:rFonts w:ascii="Times New Roman" w:hAnsi="Times New Roman" w:cs="Times New Roman"/>
        </w:rPr>
        <w:t>,</w:t>
      </w:r>
      <w:r w:rsidRPr="009B0448">
        <w:rPr>
          <w:rFonts w:ascii="Times New Roman" w:hAnsi="Times New Roman" w:cs="Times New Roman"/>
        </w:rPr>
        <w:t xml:space="preserve"> see Chapter 5). DPSIR is an acronym for driving forces-pressure-state-impact-response and it has been used since 1995 by European environmental agencies to develop indicators, map causal relations and policy options (Maxim </w:t>
      </w:r>
      <w:r w:rsidR="000429F8" w:rsidRPr="009B0448">
        <w:rPr>
          <w:rFonts w:ascii="Times New Roman" w:hAnsi="Times New Roman" w:cs="Times New Roman"/>
          <w:i/>
        </w:rPr>
        <w:t>et al.</w:t>
      </w:r>
      <w:r w:rsidRPr="009B0448">
        <w:rPr>
          <w:rFonts w:ascii="Times New Roman" w:hAnsi="Times New Roman" w:cs="Times New Roman"/>
        </w:rPr>
        <w:t xml:space="preserve">, 2009). Vulnerability assessments have been carried out for decades in relation to poverty, natural hazards and more recently climate impacts (Kelly </w:t>
      </w:r>
      <w:r w:rsidR="000429F8" w:rsidRPr="009B0448">
        <w:rPr>
          <w:rFonts w:ascii="Times New Roman" w:hAnsi="Times New Roman" w:cs="Times New Roman"/>
          <w:i/>
        </w:rPr>
        <w:t>et al.</w:t>
      </w:r>
      <w:r w:rsidRPr="009B0448">
        <w:rPr>
          <w:rFonts w:ascii="Times New Roman" w:hAnsi="Times New Roman" w:cs="Times New Roman"/>
        </w:rPr>
        <w:t xml:space="preserve">, 2000). Vulnerability assessment, DPSIR and forecasting tools can take into account local perspectives in problem identification and can use participatory approaches. </w:t>
      </w:r>
    </w:p>
    <w:p w14:paraId="38D13B16" w14:textId="77777777" w:rsidR="00F83B61" w:rsidRPr="009B0448" w:rsidRDefault="00F83B61" w:rsidP="00FA7185">
      <w:pPr>
        <w:pStyle w:val="111"/>
        <w:numPr>
          <w:ilvl w:val="3"/>
          <w:numId w:val="11"/>
        </w:numPr>
        <w:spacing w:before="240" w:after="240"/>
        <w:ind w:left="851" w:hanging="862"/>
        <w:rPr>
          <w:rFonts w:cs="Times New Roman"/>
          <w:sz w:val="22"/>
          <w:szCs w:val="22"/>
        </w:rPr>
      </w:pPr>
      <w:bookmarkStart w:id="534" w:name="_Toc502937699"/>
      <w:bookmarkStart w:id="535" w:name="_Toc519500066"/>
      <w:r w:rsidRPr="009B0448">
        <w:rPr>
          <w:rFonts w:cs="Times New Roman"/>
          <w:sz w:val="22"/>
          <w:szCs w:val="22"/>
        </w:rPr>
        <w:t>Policy formulation</w:t>
      </w:r>
      <w:bookmarkEnd w:id="534"/>
      <w:bookmarkEnd w:id="535"/>
    </w:p>
    <w:p w14:paraId="4DD490EF" w14:textId="13EBDF2D"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Policy formulation includes identifying public policy alternatives to address the problem of focus, and following selection processes that narrow the options to deliver the final policy solution (Hai, 2013). Market and non-market valuation methodologies play an increasingly important role in policy making, with the valuation methodologies typically presented in typologies (see Pearce</w:t>
      </w:r>
      <w:r w:rsidR="000B1275" w:rsidRPr="009B0448">
        <w:rPr>
          <w:rFonts w:ascii="Times New Roman" w:hAnsi="Times New Roman" w:cs="Times New Roman"/>
        </w:rPr>
        <w:t xml:space="preserve"> </w:t>
      </w:r>
      <w:r w:rsidR="000B1275" w:rsidRPr="009B0448">
        <w:rPr>
          <w:rFonts w:ascii="Times New Roman" w:hAnsi="Times New Roman" w:cs="Times New Roman"/>
          <w:i/>
        </w:rPr>
        <w:t>et al.</w:t>
      </w:r>
      <w:r w:rsidRPr="009B0448">
        <w:rPr>
          <w:rFonts w:ascii="Times New Roman" w:hAnsi="Times New Roman" w:cs="Times New Roman"/>
        </w:rPr>
        <w:t xml:space="preserve">, 2002; </w:t>
      </w:r>
      <w:r w:rsidR="0061658B" w:rsidRPr="009B0448">
        <w:rPr>
          <w:rFonts w:ascii="Times New Roman" w:hAnsi="Times New Roman" w:cs="Times New Roman"/>
        </w:rPr>
        <w:t xml:space="preserve">World Bank </w:t>
      </w:r>
      <w:r w:rsidR="000429F8" w:rsidRPr="009B0448">
        <w:rPr>
          <w:rFonts w:ascii="Times New Roman" w:hAnsi="Times New Roman" w:cs="Times New Roman"/>
          <w:i/>
        </w:rPr>
        <w:t>et al.</w:t>
      </w:r>
      <w:r w:rsidR="0061658B" w:rsidRPr="009B0448">
        <w:rPr>
          <w:rFonts w:ascii="Times New Roman" w:hAnsi="Times New Roman" w:cs="Times New Roman"/>
        </w:rPr>
        <w:t xml:space="preserve">, 2004; </w:t>
      </w:r>
      <w:r w:rsidRPr="009B0448">
        <w:rPr>
          <w:rFonts w:ascii="Times New Roman" w:hAnsi="Times New Roman" w:cs="Times New Roman"/>
        </w:rPr>
        <w:t xml:space="preserve">van Beukering </w:t>
      </w:r>
      <w:r w:rsidR="000429F8" w:rsidRPr="009B0448">
        <w:rPr>
          <w:rFonts w:ascii="Times New Roman" w:hAnsi="Times New Roman" w:cs="Times New Roman"/>
          <w:i/>
        </w:rPr>
        <w:t>et al.</w:t>
      </w:r>
      <w:r w:rsidRPr="009B0448">
        <w:rPr>
          <w:rFonts w:ascii="Times New Roman" w:hAnsi="Times New Roman" w:cs="Times New Roman"/>
        </w:rPr>
        <w:t>, 2007). These also complement decision-support frameworks (e.g.</w:t>
      </w:r>
      <w:r w:rsidR="0091139F">
        <w:rPr>
          <w:rFonts w:ascii="Times New Roman" w:hAnsi="Times New Roman" w:cs="Times New Roman"/>
        </w:rPr>
        <w:t>,</w:t>
      </w:r>
      <w:r w:rsidRPr="009B0448">
        <w:rPr>
          <w:rFonts w:ascii="Times New Roman" w:hAnsi="Times New Roman" w:cs="Times New Roman"/>
        </w:rPr>
        <w:t xml:space="preserve"> cost-benefit analysis and multi</w:t>
      </w:r>
      <w:r w:rsidR="00692DF8" w:rsidRPr="009B0448">
        <w:rPr>
          <w:rFonts w:ascii="Times New Roman" w:hAnsi="Times New Roman" w:cs="Times New Roman"/>
        </w:rPr>
        <w:t>-</w:t>
      </w:r>
      <w:r w:rsidRPr="009B0448">
        <w:rPr>
          <w:rFonts w:ascii="Times New Roman" w:hAnsi="Times New Roman" w:cs="Times New Roman"/>
        </w:rPr>
        <w:t>criteria analysis) with a number of appraisal techniques that can collect and analyse qualitative information (e.g.</w:t>
      </w:r>
      <w:r w:rsidR="0091139F">
        <w:rPr>
          <w:rFonts w:ascii="Times New Roman" w:hAnsi="Times New Roman" w:cs="Times New Roman"/>
        </w:rPr>
        <w:t>,</w:t>
      </w:r>
      <w:r w:rsidRPr="009B0448">
        <w:rPr>
          <w:rFonts w:ascii="Times New Roman" w:hAnsi="Times New Roman" w:cs="Times New Roman"/>
        </w:rPr>
        <w:t xml:space="preserve"> questionnaires, interviews, focus groups, citizen’s juries, participatory appraisal, Q-methodology, expert opinions). The strength of multi</w:t>
      </w:r>
      <w:r w:rsidR="00692DF8" w:rsidRPr="009B0448">
        <w:rPr>
          <w:rFonts w:ascii="Times New Roman" w:hAnsi="Times New Roman" w:cs="Times New Roman"/>
        </w:rPr>
        <w:t>-</w:t>
      </w:r>
      <w:r w:rsidRPr="009B0448">
        <w:rPr>
          <w:rFonts w:ascii="Times New Roman" w:hAnsi="Times New Roman" w:cs="Times New Roman"/>
        </w:rPr>
        <w:t>criteria analysis as a decision-making tool allows inclusion of a full range of social, environmental, technical, economic and financial criteria, and is different from the use of cost-benefit analysis which typically focuses on economic efficiency.</w:t>
      </w:r>
    </w:p>
    <w:p w14:paraId="6EC907C6" w14:textId="77777777" w:rsidR="00F83B61" w:rsidRPr="009B0448" w:rsidRDefault="00F83B61" w:rsidP="00FA7185">
      <w:pPr>
        <w:pStyle w:val="111"/>
        <w:numPr>
          <w:ilvl w:val="3"/>
          <w:numId w:val="11"/>
        </w:numPr>
        <w:spacing w:before="240" w:after="240"/>
        <w:ind w:left="851" w:hanging="862"/>
        <w:rPr>
          <w:rFonts w:cs="Times New Roman"/>
          <w:sz w:val="22"/>
          <w:szCs w:val="22"/>
        </w:rPr>
      </w:pPr>
      <w:bookmarkStart w:id="536" w:name="_Toc502937700"/>
      <w:bookmarkStart w:id="537" w:name="_Toc519500067"/>
      <w:r w:rsidRPr="009B0448">
        <w:rPr>
          <w:rFonts w:cs="Times New Roman"/>
          <w:sz w:val="22"/>
          <w:szCs w:val="22"/>
        </w:rPr>
        <w:t>Decision-making</w:t>
      </w:r>
      <w:bookmarkEnd w:id="536"/>
      <w:bookmarkEnd w:id="537"/>
    </w:p>
    <w:p w14:paraId="313C26CD" w14:textId="49F7745B"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Decisions can both exacerbate and address environmental problems in Africa (Boon, 2015). Toth (2004) contends that </w:t>
      </w:r>
      <w:r w:rsidR="00574E50" w:rsidRPr="009B0448">
        <w:rPr>
          <w:rFonts w:ascii="Times New Roman" w:hAnsi="Times New Roman" w:cs="Times New Roman"/>
        </w:rPr>
        <w:t>decision-mak</w:t>
      </w:r>
      <w:r w:rsidRPr="009B0448">
        <w:rPr>
          <w:rFonts w:ascii="Times New Roman" w:hAnsi="Times New Roman" w:cs="Times New Roman"/>
        </w:rPr>
        <w:t xml:space="preserve">ing needs to be underpinned by the use of the best available information about the biophysical characteristics of the ecosystem for which the decision is being made, their changes and their socio-economic effects, the social context and values with which the environmental problem is imbued, including cumulative and cross-scale effects. Environmental policy decision-making should be undertaken in a participatory manner involving local and indigenous communities (Dyer </w:t>
      </w:r>
      <w:r w:rsidR="000429F8" w:rsidRPr="009B0448">
        <w:rPr>
          <w:rFonts w:ascii="Times New Roman" w:hAnsi="Times New Roman" w:cs="Times New Roman"/>
          <w:i/>
        </w:rPr>
        <w:t>et al.</w:t>
      </w:r>
      <w:r w:rsidRPr="009B0448">
        <w:rPr>
          <w:rFonts w:ascii="Times New Roman" w:hAnsi="Times New Roman" w:cs="Times New Roman"/>
        </w:rPr>
        <w:t xml:space="preserve">, 2013; Leventon </w:t>
      </w:r>
      <w:r w:rsidR="000429F8" w:rsidRPr="009B0448">
        <w:rPr>
          <w:rFonts w:ascii="Times New Roman" w:hAnsi="Times New Roman" w:cs="Times New Roman"/>
          <w:i/>
        </w:rPr>
        <w:t>et al.</w:t>
      </w:r>
      <w:r w:rsidRPr="009B0448">
        <w:rPr>
          <w:rFonts w:ascii="Times New Roman" w:hAnsi="Times New Roman" w:cs="Times New Roman"/>
        </w:rPr>
        <w:t xml:space="preserve">, 2014) in line with principles of good governance. It also leads to enhanced trust between the different actors involved (de Vente </w:t>
      </w:r>
      <w:r w:rsidR="000429F8" w:rsidRPr="009B0448">
        <w:rPr>
          <w:rFonts w:ascii="Times New Roman" w:hAnsi="Times New Roman" w:cs="Times New Roman"/>
          <w:i/>
        </w:rPr>
        <w:t>et al.</w:t>
      </w:r>
      <w:r w:rsidRPr="009B0448">
        <w:rPr>
          <w:rFonts w:ascii="Times New Roman" w:hAnsi="Times New Roman" w:cs="Times New Roman"/>
        </w:rPr>
        <w:t xml:space="preserve">, 2016) and allows for the recognition of values, vulnerability concerns, cross-scale effects and context (Toth, 2004) and helps to identify and resolve trade-offs, leading to more just distribution of costs and benefits. It can also help to deliver implementation on the ground. </w:t>
      </w:r>
    </w:p>
    <w:p w14:paraId="6BA9414A" w14:textId="77777777" w:rsidR="00F83B61" w:rsidRPr="009B0448" w:rsidRDefault="00F83B61" w:rsidP="00FA7185">
      <w:pPr>
        <w:pStyle w:val="111"/>
        <w:numPr>
          <w:ilvl w:val="3"/>
          <w:numId w:val="11"/>
        </w:numPr>
        <w:spacing w:before="240" w:after="240"/>
        <w:ind w:left="851" w:hanging="862"/>
        <w:rPr>
          <w:rFonts w:cs="Times New Roman"/>
          <w:sz w:val="22"/>
          <w:szCs w:val="22"/>
        </w:rPr>
      </w:pPr>
      <w:bookmarkStart w:id="538" w:name="_Toc502937701"/>
      <w:bookmarkStart w:id="539" w:name="_Toc519500068"/>
      <w:r w:rsidRPr="009B0448">
        <w:rPr>
          <w:rFonts w:cs="Times New Roman"/>
          <w:sz w:val="22"/>
          <w:szCs w:val="22"/>
        </w:rPr>
        <w:t>Policy implementation</w:t>
      </w:r>
      <w:bookmarkEnd w:id="538"/>
      <w:bookmarkEnd w:id="539"/>
    </w:p>
    <w:p w14:paraId="573AA446"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The African Ministerial Conference on the Environment’s Report (AMCEN, 2014b) on enhancing the implementation and effectiveness of environmental law in Africa, identified administrative, socio-economic and legal causes as drivers of low implementation, weak enforcement and the ineffectiveness of laws and policies implementation in Africa. Serious concerns are still being raised about how the capacity in the areas of planning and financial, human and technical resources will be addressed (AMCEN, 2014b).</w:t>
      </w:r>
    </w:p>
    <w:p w14:paraId="753D253B" w14:textId="77777777" w:rsidR="00C21A1B" w:rsidRPr="009B0448" w:rsidRDefault="00C21A1B" w:rsidP="009F0016">
      <w:pPr>
        <w:spacing w:line="276" w:lineRule="auto"/>
        <w:jc w:val="both"/>
        <w:rPr>
          <w:rFonts w:ascii="Times New Roman" w:hAnsi="Times New Roman" w:cs="Times New Roman"/>
        </w:rPr>
      </w:pPr>
    </w:p>
    <w:p w14:paraId="1040E938" w14:textId="61F52CF8"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In terms of capacity building, at </w:t>
      </w:r>
      <w:r w:rsidR="00692DF8" w:rsidRPr="009B0448">
        <w:rPr>
          <w:rFonts w:ascii="Times New Roman" w:hAnsi="Times New Roman" w:cs="Times New Roman"/>
        </w:rPr>
        <w:t xml:space="preserve">a </w:t>
      </w:r>
      <w:r w:rsidRPr="009B0448">
        <w:rPr>
          <w:rFonts w:ascii="Times New Roman" w:hAnsi="Times New Roman" w:cs="Times New Roman"/>
        </w:rPr>
        <w:t xml:space="preserve">national and regional level, United Nations agencies and other global and regional partners, institutions and organisations have supported several African countries in the areas of environmental law and policy implementation. Capacity building for implementation takes place during the development of instruments like the National Biodiversity Strategies and Action Plans, National Biodiversity Reports, resource mobilisation strategies and several other national, regional and </w:t>
      </w:r>
      <w:r w:rsidR="00B22D81">
        <w:rPr>
          <w:rFonts w:ascii="Times New Roman" w:hAnsi="Times New Roman" w:cs="Times New Roman"/>
        </w:rPr>
        <w:t>subregion</w:t>
      </w:r>
      <w:r w:rsidRPr="009B0448">
        <w:rPr>
          <w:rFonts w:ascii="Times New Roman" w:hAnsi="Times New Roman" w:cs="Times New Roman"/>
        </w:rPr>
        <w:t xml:space="preserve">al projects focus on national capacity building and </w:t>
      </w:r>
      <w:r w:rsidR="00692DF8" w:rsidRPr="009B0448">
        <w:rPr>
          <w:rFonts w:ascii="Times New Roman" w:hAnsi="Times New Roman" w:cs="Times New Roman"/>
        </w:rPr>
        <w:t xml:space="preserve">the </w:t>
      </w:r>
      <w:r w:rsidRPr="009B0448">
        <w:rPr>
          <w:rFonts w:ascii="Times New Roman" w:hAnsi="Times New Roman" w:cs="Times New Roman"/>
        </w:rPr>
        <w:t>establishment of institutions.</w:t>
      </w:r>
    </w:p>
    <w:p w14:paraId="45CA4C9B" w14:textId="77777777" w:rsidR="00C21A1B" w:rsidRPr="009B0448" w:rsidRDefault="00C21A1B" w:rsidP="009F0016">
      <w:pPr>
        <w:spacing w:line="276" w:lineRule="auto"/>
        <w:jc w:val="both"/>
        <w:rPr>
          <w:rFonts w:ascii="Times New Roman" w:hAnsi="Times New Roman" w:cs="Times New Roman"/>
        </w:rPr>
      </w:pPr>
    </w:p>
    <w:p w14:paraId="1CEA6B8B" w14:textId="38287D24"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NEPAD</w:t>
      </w:r>
      <w:r w:rsidR="00550D7B" w:rsidRPr="009B0448">
        <w:rPr>
          <w:rFonts w:ascii="Times New Roman" w:hAnsi="Times New Roman" w:cs="Times New Roman"/>
        </w:rPr>
        <w:t>’s</w:t>
      </w:r>
      <w:r w:rsidRPr="009B0448">
        <w:rPr>
          <w:rFonts w:ascii="Times New Roman" w:hAnsi="Times New Roman" w:cs="Times New Roman"/>
        </w:rPr>
        <w:t>, Action Plan for the Environment Initiative contains a detailed implementation plan assigning institutions within the Africa Region roles and responsibilities (NEPAD, 2003). The Plan has costed activities which can be presented to potential funders. From the Action Plan, Africa Flagship projects have been developed. The flagships put conserving biodiversity and reducing ecosystem service loss as a priority (NEPAD, 2003).</w:t>
      </w:r>
    </w:p>
    <w:p w14:paraId="682C83E4" w14:textId="77777777" w:rsidR="00F83B61" w:rsidRPr="009B0448" w:rsidRDefault="00F83B61" w:rsidP="00FA7185">
      <w:pPr>
        <w:pStyle w:val="111"/>
        <w:numPr>
          <w:ilvl w:val="3"/>
          <w:numId w:val="11"/>
        </w:numPr>
        <w:spacing w:before="240" w:after="240"/>
        <w:ind w:left="851" w:hanging="862"/>
        <w:rPr>
          <w:rFonts w:cs="Times New Roman"/>
          <w:sz w:val="22"/>
          <w:szCs w:val="22"/>
        </w:rPr>
      </w:pPr>
      <w:bookmarkStart w:id="540" w:name="_Toc502937702"/>
      <w:bookmarkStart w:id="541" w:name="_Toc519500069"/>
      <w:r w:rsidRPr="009B0448">
        <w:rPr>
          <w:rFonts w:cs="Times New Roman"/>
          <w:sz w:val="22"/>
          <w:szCs w:val="22"/>
        </w:rPr>
        <w:t>Policy monitoring and evaluation</w:t>
      </w:r>
      <w:bookmarkEnd w:id="540"/>
      <w:bookmarkEnd w:id="541"/>
    </w:p>
    <w:p w14:paraId="0ECCBE36" w14:textId="6722F09E"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Various methods and approaches have been developed to monitor the impact of policies, to identify gaps and potential unintended consequences/side effects of policy interventions, and plan alternative mitigation actions to ensure the achievement of initial desired goals. Processes such as knowledge co-creation and co-production (Ayre </w:t>
      </w:r>
      <w:r w:rsidR="000429F8" w:rsidRPr="009B0448">
        <w:rPr>
          <w:rFonts w:ascii="Times New Roman" w:hAnsi="Times New Roman" w:cs="Times New Roman"/>
          <w:i/>
        </w:rPr>
        <w:t>et al.</w:t>
      </w:r>
      <w:r w:rsidRPr="009B0448">
        <w:rPr>
          <w:rFonts w:ascii="Times New Roman" w:hAnsi="Times New Roman" w:cs="Times New Roman"/>
        </w:rPr>
        <w:t xml:space="preserve">, 2015), and approaches such as participatory rural appraisal can provide useful inputs to the monitoring and evaluation process and facilitate assessment of progress towards desired future goals. </w:t>
      </w:r>
    </w:p>
    <w:p w14:paraId="5FA9E52C" w14:textId="77777777" w:rsidR="00F83B61" w:rsidRPr="009B0448" w:rsidRDefault="00F83B61" w:rsidP="00FA7185">
      <w:pPr>
        <w:pStyle w:val="111"/>
        <w:numPr>
          <w:ilvl w:val="2"/>
          <w:numId w:val="11"/>
        </w:numPr>
        <w:spacing w:before="240" w:after="240"/>
        <w:ind w:left="709" w:hanging="720"/>
        <w:rPr>
          <w:rFonts w:cs="Times New Roman"/>
          <w:i w:val="0"/>
          <w:sz w:val="22"/>
          <w:szCs w:val="22"/>
        </w:rPr>
      </w:pPr>
      <w:bookmarkStart w:id="542" w:name="_Toc502937703"/>
      <w:bookmarkStart w:id="543" w:name="_Toc519500070"/>
      <w:r w:rsidRPr="009B0448">
        <w:rPr>
          <w:rFonts w:cs="Times New Roman"/>
          <w:i w:val="0"/>
          <w:sz w:val="22"/>
          <w:szCs w:val="22"/>
        </w:rPr>
        <w:t>Capacity and resources</w:t>
      </w:r>
      <w:bookmarkEnd w:id="542"/>
      <w:bookmarkEnd w:id="543"/>
    </w:p>
    <w:p w14:paraId="13C9B4BC" w14:textId="3C256CC0"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Governance of biodiversity and ecosystem services requires capacity (financial, institutional, technical, information and communication capacity) as well as processes such as stakeholder engagement, participation, knowledge exchange and co-production, capacity building and the indispensable people working in the various fields of biodiversity and ecosystem management (King </w:t>
      </w:r>
      <w:r w:rsidR="000429F8" w:rsidRPr="009B0448">
        <w:rPr>
          <w:rFonts w:ascii="Times New Roman" w:hAnsi="Times New Roman" w:cs="Times New Roman"/>
          <w:i/>
        </w:rPr>
        <w:t>et al.</w:t>
      </w:r>
      <w:r w:rsidRPr="009B0448">
        <w:rPr>
          <w:rFonts w:ascii="Times New Roman" w:hAnsi="Times New Roman" w:cs="Times New Roman"/>
        </w:rPr>
        <w:t>, 2007). Investments in these areas are particularly vital under options appropriate to less ce</w:t>
      </w:r>
      <w:r w:rsidR="0020796B" w:rsidRPr="009B0448">
        <w:rPr>
          <w:rFonts w:ascii="Times New Roman" w:hAnsi="Times New Roman" w:cs="Times New Roman"/>
        </w:rPr>
        <w:t xml:space="preserve">ntralised governance contexts. </w:t>
      </w:r>
      <w:r w:rsidRPr="009B0448">
        <w:rPr>
          <w:rFonts w:ascii="Times New Roman" w:hAnsi="Times New Roman" w:cs="Times New Roman"/>
        </w:rPr>
        <w:t>Building capacity in the governance of biodiversity and ecosystem services requires the identification of new approaches and tools that are aligned to local knowledge.</w:t>
      </w:r>
    </w:p>
    <w:p w14:paraId="7CE9C007" w14:textId="77777777" w:rsidR="00C21A1B" w:rsidRPr="009B0448" w:rsidRDefault="00C21A1B" w:rsidP="009F0016">
      <w:pPr>
        <w:spacing w:line="276" w:lineRule="auto"/>
        <w:jc w:val="both"/>
        <w:rPr>
          <w:rFonts w:ascii="Times New Roman" w:hAnsi="Times New Roman" w:cs="Times New Roman"/>
        </w:rPr>
      </w:pPr>
    </w:p>
    <w:p w14:paraId="4A850769" w14:textId="7583AA02"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Capacity to develop and implement policies for the management of biodiversity and ecosystem services is a baseline requirement for an enabling environment. Technical capacity (the knowledge, skills of individuals, access to tools and technology) is also important. In Africa, interdisciplinary studies and projects focusing on </w:t>
      </w:r>
      <w:r w:rsidR="00692DF8" w:rsidRPr="009B0448">
        <w:rPr>
          <w:rFonts w:ascii="Times New Roman" w:hAnsi="Times New Roman" w:cs="Times New Roman"/>
        </w:rPr>
        <w:t xml:space="preserve">the </w:t>
      </w:r>
      <w:r w:rsidRPr="009B0448">
        <w:rPr>
          <w:rFonts w:ascii="Times New Roman" w:hAnsi="Times New Roman" w:cs="Times New Roman"/>
        </w:rPr>
        <w:t xml:space="preserve">deployment of science and technology, and the understanding and documentation of the state of biodiversity, have been undertaken mostly through State of the Environment reports and in some cases the respective Atlases. Resources (financial, human, technological including ICT and other innovations; indigenous and local knowledge) are also essential but in the African context are relatively scarce despite a growing number of data sources (Google Earth) and tools (InVEST, Rios, MESH) being open source and open access (see also chapters 1 and 5). </w:t>
      </w:r>
    </w:p>
    <w:p w14:paraId="2E78D810" w14:textId="77777777" w:rsidR="00C21A1B" w:rsidRPr="009B0448" w:rsidRDefault="00C21A1B" w:rsidP="009F0016">
      <w:pPr>
        <w:spacing w:line="276" w:lineRule="auto"/>
        <w:jc w:val="both"/>
        <w:rPr>
          <w:rFonts w:ascii="Times New Roman" w:hAnsi="Times New Roman" w:cs="Times New Roman"/>
        </w:rPr>
      </w:pPr>
    </w:p>
    <w:p w14:paraId="247E3327" w14:textId="2D5D5E16"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The effective management and governance of biodiversity and ecosystem services would greatly benefit from the availability of financial, human and technological resources (ICT and other innovations). Dependen</w:t>
      </w:r>
      <w:r w:rsidR="00692DF8" w:rsidRPr="009B0448">
        <w:rPr>
          <w:rFonts w:ascii="Times New Roman" w:hAnsi="Times New Roman" w:cs="Times New Roman"/>
        </w:rPr>
        <w:t>ce on donor funding and project-</w:t>
      </w:r>
      <w:r w:rsidRPr="009B0448">
        <w:rPr>
          <w:rFonts w:ascii="Times New Roman" w:hAnsi="Times New Roman" w:cs="Times New Roman"/>
        </w:rPr>
        <w:t xml:space="preserve">based management usually does not lead to sustainability of project activities once the donor leaves or the project ends (Lambert, 2006). Emerging new financing mechanisms (environmental fiscal reforms, payment for ecosystems services, biodiversity offsets, green markets or markets for green products, biodiversity in climate change funding and biodiversity in international development financing) and the emphasis on biodiversity conservation practices will greatly enhance biodiversity and ecosystem services. </w:t>
      </w:r>
    </w:p>
    <w:p w14:paraId="6D0599AE" w14:textId="77777777" w:rsidR="00C21A1B" w:rsidRPr="009B0448" w:rsidRDefault="00C21A1B" w:rsidP="009F0016">
      <w:pPr>
        <w:spacing w:line="276" w:lineRule="auto"/>
        <w:jc w:val="both"/>
        <w:rPr>
          <w:rFonts w:ascii="Times New Roman" w:hAnsi="Times New Roman" w:cs="Times New Roman"/>
        </w:rPr>
      </w:pPr>
    </w:p>
    <w:p w14:paraId="12D38383" w14:textId="73FB9215"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Identifying new approaches requires that African countries have knowledge on their actual financial needs in terms of how much is needed and where it is most needed. Financial assessments are used to determine exactly how much is required for biodiversity conservation and whether the investments made translate into positive conservation, ecosystem service, and well</w:t>
      </w:r>
      <w:r w:rsidR="00FD3265" w:rsidRPr="009B0448">
        <w:rPr>
          <w:rFonts w:ascii="Times New Roman" w:hAnsi="Times New Roman" w:cs="Times New Roman"/>
        </w:rPr>
        <w:t>-</w:t>
      </w:r>
      <w:r w:rsidRPr="009B0448">
        <w:rPr>
          <w:rFonts w:ascii="Times New Roman" w:hAnsi="Times New Roman" w:cs="Times New Roman"/>
        </w:rPr>
        <w:t xml:space="preserve">being impacts. Botswana, Uganda, Zambia and a few other African countries are participating in a Biodiversity Finance Initiative, a new United Nations Development programme global partnership seeking to address the biodiversity finance challenge in a comprehensive manner, providing support for countries to enhance financial management for biodiversity and ecosystems. The initiative uses detailed country assessments of biodiversity policies, strategies and expenditure reports to inform development of biodiversity financial plans using innovative methodologies and consultations with national and global experts.  These kinds of assessments are important for ensuring that countries are able to determine the existing resources and come up with innovative strategies for mobilising more resources for biodiversity and ecosystem services. For example, Uganda’s Guidelines and Action Plan for Financing Biodiversity Conservation encourages the Government and stakeholders to utilise opportunities available within international and national regulatory and institutional frameworks to achieve optimal resource mobilisation for biodiversity conservation in the country. The action plans clearly indicate the amount of funding and the type of human resources required to achieve specific biodiversity and ecosystem services goals. It establishes a resource mobilisation focal point responsible for executing actions to generate the resources and ensures local communities are involved in the process (NEMA, 2015). If this is replicated in other African countries, it could create effective resource mobilisation actions and allow for redefining approaches to biodiversity and ecosystem services. </w:t>
      </w:r>
    </w:p>
    <w:p w14:paraId="0AE58713" w14:textId="77777777" w:rsidR="00C21A1B" w:rsidRPr="009B0448" w:rsidRDefault="00C21A1B" w:rsidP="009F0016">
      <w:pPr>
        <w:spacing w:line="276" w:lineRule="auto"/>
        <w:jc w:val="both"/>
        <w:rPr>
          <w:rFonts w:ascii="Times New Roman" w:hAnsi="Times New Roman" w:cs="Times New Roman"/>
        </w:rPr>
      </w:pPr>
    </w:p>
    <w:p w14:paraId="6EEA5D35" w14:textId="1513E05E"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Capacity is also needed for policy implementation. A national level approach has been driven forward by the United Nations Development Programme and Global Environment Facility through National Capacity Self Assessments in 146 countries. Egypt, for instance, assessed its implementation status of United Nations Convention to Combat Desertification, United Nations Convention on Biological Diversity, and United Nations Framework Convention on Climate Change from 2005 to 2008. Capacity constraints were identified in order to prioritise action with regards to the Rio Conventions (Bellamy </w:t>
      </w:r>
      <w:r w:rsidR="000429F8" w:rsidRPr="009B0448">
        <w:rPr>
          <w:rFonts w:ascii="Times New Roman" w:hAnsi="Times New Roman" w:cs="Times New Roman"/>
          <w:i/>
        </w:rPr>
        <w:t>et al.</w:t>
      </w:r>
      <w:r w:rsidRPr="009B0448">
        <w:rPr>
          <w:rFonts w:ascii="Times New Roman" w:hAnsi="Times New Roman" w:cs="Times New Roman"/>
        </w:rPr>
        <w:t>, 2010).</w:t>
      </w:r>
      <w:bookmarkStart w:id="544" w:name="_sb0jwtlvtzam" w:colFirst="0" w:colLast="0"/>
      <w:bookmarkEnd w:id="544"/>
    </w:p>
    <w:p w14:paraId="227B95E2" w14:textId="77777777" w:rsidR="00C21A1B" w:rsidRPr="009B0448" w:rsidRDefault="00C21A1B" w:rsidP="009F0016">
      <w:pPr>
        <w:spacing w:line="276" w:lineRule="auto"/>
        <w:jc w:val="both"/>
        <w:rPr>
          <w:rFonts w:ascii="Times New Roman" w:hAnsi="Times New Roman" w:cs="Times New Roman"/>
        </w:rPr>
      </w:pPr>
    </w:p>
    <w:p w14:paraId="0BE9FABD" w14:textId="3155728A" w:rsidR="00F83B61" w:rsidRPr="009B0448" w:rsidRDefault="00F83B61" w:rsidP="009F0016">
      <w:pPr>
        <w:spacing w:line="276" w:lineRule="auto"/>
        <w:jc w:val="both"/>
        <w:rPr>
          <w:rFonts w:ascii="Times New Roman" w:hAnsi="Times New Roman" w:cs="Times New Roman"/>
        </w:rPr>
      </w:pPr>
      <w:bookmarkStart w:id="545" w:name="_4i7ojhp" w:colFirst="0" w:colLast="0"/>
      <w:bookmarkEnd w:id="545"/>
      <w:r w:rsidRPr="009B0448">
        <w:rPr>
          <w:rFonts w:ascii="Times New Roman" w:hAnsi="Times New Roman" w:cs="Times New Roman"/>
        </w:rPr>
        <w:t xml:space="preserve">The next section focuses on scenarios as tools for decision-making which can effectively harness existing capacities and resources, and be used at various stages in the policy cycle to inform </w:t>
      </w:r>
      <w:r w:rsidR="00574E50" w:rsidRPr="009B0448">
        <w:rPr>
          <w:rFonts w:ascii="Times New Roman" w:hAnsi="Times New Roman" w:cs="Times New Roman"/>
        </w:rPr>
        <w:t>decision-mak</w:t>
      </w:r>
      <w:r w:rsidRPr="009B0448">
        <w:rPr>
          <w:rFonts w:ascii="Times New Roman" w:hAnsi="Times New Roman" w:cs="Times New Roman"/>
        </w:rPr>
        <w:t xml:space="preserve">ing by exploring options and alternatives. </w:t>
      </w:r>
    </w:p>
    <w:p w14:paraId="2A44DFDB" w14:textId="77777777" w:rsidR="00F83B61" w:rsidRPr="009B0448" w:rsidRDefault="00F83B61" w:rsidP="00FA7185">
      <w:pPr>
        <w:pStyle w:val="Heading3"/>
        <w:widowControl w:val="0"/>
        <w:numPr>
          <w:ilvl w:val="1"/>
          <w:numId w:val="11"/>
        </w:numPr>
        <w:spacing w:before="240" w:after="240"/>
        <w:ind w:left="709" w:hanging="720"/>
        <w:rPr>
          <w:rFonts w:eastAsia="Calibri" w:cs="Times New Roman"/>
          <w:szCs w:val="24"/>
        </w:rPr>
      </w:pPr>
      <w:bookmarkStart w:id="546" w:name="_Toc502937704"/>
      <w:bookmarkStart w:id="547" w:name="_Toc519500071"/>
      <w:r w:rsidRPr="009B0448">
        <w:rPr>
          <w:rFonts w:eastAsia="Calibri" w:cs="Times New Roman"/>
          <w:szCs w:val="24"/>
        </w:rPr>
        <w:t>Scenarios as tools for decision-making</w:t>
      </w:r>
      <w:bookmarkEnd w:id="546"/>
      <w:bookmarkEnd w:id="547"/>
    </w:p>
    <w:p w14:paraId="2F4C9B11" w14:textId="112A7A64"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Scenario analysis and modelling have been suggested as important policy support tools for enhancing decision-making about the longer-term future, especially given the uncertainty in social-ecological systems (see Chapter 5 of this assessment; MA, 2005; Vervoort </w:t>
      </w:r>
      <w:r w:rsidR="000429F8" w:rsidRPr="009B0448">
        <w:rPr>
          <w:rFonts w:ascii="Times New Roman" w:hAnsi="Times New Roman" w:cs="Times New Roman"/>
          <w:i/>
        </w:rPr>
        <w:t>et al.</w:t>
      </w:r>
      <w:r w:rsidRPr="009B0448">
        <w:rPr>
          <w:rFonts w:ascii="Times New Roman" w:hAnsi="Times New Roman" w:cs="Times New Roman"/>
        </w:rPr>
        <w:t xml:space="preserve">, 2014; WWF-AfDB, 2015). Scenarios can be used to guide specific planning and policy development by testing assumptions and generating new policy ideas (Vervoort </w:t>
      </w:r>
      <w:r w:rsidR="000429F8" w:rsidRPr="009B0448">
        <w:rPr>
          <w:rFonts w:ascii="Times New Roman" w:hAnsi="Times New Roman" w:cs="Times New Roman"/>
          <w:i/>
        </w:rPr>
        <w:t>et al.</w:t>
      </w:r>
      <w:r w:rsidRPr="009B0448">
        <w:rPr>
          <w:rFonts w:ascii="Times New Roman" w:hAnsi="Times New Roman" w:cs="Times New Roman"/>
        </w:rPr>
        <w:t xml:space="preserve">, 2014; Figure 6.5). The inherent uncertainty and diversity of potential futures </w:t>
      </w:r>
      <w:r w:rsidR="00A625AA" w:rsidRPr="009B0448">
        <w:rPr>
          <w:rFonts w:ascii="Times New Roman" w:hAnsi="Times New Roman" w:cs="Times New Roman"/>
        </w:rPr>
        <w:t>are</w:t>
      </w:r>
      <w:r w:rsidRPr="009B0448">
        <w:rPr>
          <w:rFonts w:ascii="Times New Roman" w:hAnsi="Times New Roman" w:cs="Times New Roman"/>
        </w:rPr>
        <w:t xml:space="preserve"> challenging for designing policies. Policy options are only a first step toward acting on the insights generated by the scenarios (UNEP, 2016). Because a set of scenarios offers the opportunity to explore diverse future contexts, each with their own challenges and possibilities, they can be used to make elements of plans more robust (feasible under future conditions) and/or adaptable to future eventualities.</w:t>
      </w:r>
    </w:p>
    <w:p w14:paraId="32BF6B8C" w14:textId="77777777" w:rsidR="00FD45F2" w:rsidRPr="009B0448" w:rsidRDefault="00FD45F2" w:rsidP="009F0016">
      <w:pPr>
        <w:spacing w:line="276" w:lineRule="auto"/>
        <w:jc w:val="both"/>
        <w:rPr>
          <w:rFonts w:ascii="Times New Roman" w:hAnsi="Times New Roman" w:cs="Times New Roman"/>
        </w:rPr>
      </w:pPr>
    </w:p>
    <w:p w14:paraId="0EEE112C" w14:textId="619600AB"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Scenarios are distinguished from other approaches for future </w:t>
      </w:r>
      <w:r w:rsidR="00574E50" w:rsidRPr="009B0448">
        <w:rPr>
          <w:rFonts w:ascii="Times New Roman" w:hAnsi="Times New Roman" w:cs="Times New Roman"/>
        </w:rPr>
        <w:t>decision-mak</w:t>
      </w:r>
      <w:r w:rsidRPr="009B0448">
        <w:rPr>
          <w:rFonts w:ascii="Times New Roman" w:hAnsi="Times New Roman" w:cs="Times New Roman"/>
        </w:rPr>
        <w:t xml:space="preserve">ing, such as forecasting and risk assessment, by being specifically intended for situations in which the factors shaping the future are highly uncertain and largely uncontrollable (Peterson </w:t>
      </w:r>
      <w:r w:rsidR="000429F8" w:rsidRPr="009B0448">
        <w:rPr>
          <w:rFonts w:ascii="Times New Roman" w:hAnsi="Times New Roman" w:cs="Times New Roman"/>
          <w:i/>
        </w:rPr>
        <w:t>et al.</w:t>
      </w:r>
      <w:r w:rsidRPr="009B0448">
        <w:rPr>
          <w:rFonts w:ascii="Times New Roman" w:hAnsi="Times New Roman" w:cs="Times New Roman"/>
        </w:rPr>
        <w:t xml:space="preserve">, 2003, Biggs </w:t>
      </w:r>
      <w:r w:rsidR="000429F8" w:rsidRPr="009B0448">
        <w:rPr>
          <w:rFonts w:ascii="Times New Roman" w:hAnsi="Times New Roman" w:cs="Times New Roman"/>
          <w:i/>
        </w:rPr>
        <w:t>et al.</w:t>
      </w:r>
      <w:r w:rsidRPr="009B0448">
        <w:rPr>
          <w:rFonts w:ascii="Times New Roman" w:hAnsi="Times New Roman" w:cs="Times New Roman"/>
        </w:rPr>
        <w:t xml:space="preserve">, 2007). The main goals of using scenarios in assessments of biodiversity and ecosystem services and their contributions to human well-being are to synthesise knowledge and advance systems understanding; to alert </w:t>
      </w:r>
      <w:r w:rsidR="00574E50" w:rsidRPr="009B0448">
        <w:rPr>
          <w:rFonts w:ascii="Times New Roman" w:hAnsi="Times New Roman" w:cs="Times New Roman"/>
        </w:rPr>
        <w:t>decision-mak</w:t>
      </w:r>
      <w:r w:rsidRPr="009B0448">
        <w:rPr>
          <w:rFonts w:ascii="Times New Roman" w:hAnsi="Times New Roman" w:cs="Times New Roman"/>
        </w:rPr>
        <w:t xml:space="preserve">ers to undesirable future impacts of global changes such as habitat loss and degradation; to provide decision support for developing adaptive governance strategies; and to explore the implications of alternative social-ecological development pathways and policy options (IPBES, 2016b). </w:t>
      </w:r>
    </w:p>
    <w:p w14:paraId="58298591" w14:textId="77777777" w:rsidR="00C21A1B" w:rsidRPr="009B0448" w:rsidRDefault="00C21A1B" w:rsidP="009F0016">
      <w:pPr>
        <w:spacing w:line="276" w:lineRule="auto"/>
        <w:jc w:val="both"/>
        <w:rPr>
          <w:rFonts w:ascii="Times New Roman" w:hAnsi="Times New Roman" w:cs="Times New Roman"/>
        </w:rPr>
      </w:pPr>
    </w:p>
    <w:p w14:paraId="79C0ACC4" w14:textId="3F572737" w:rsidR="00F83B61" w:rsidRPr="009B0448" w:rsidRDefault="00790CD1" w:rsidP="009F0016">
      <w:pPr>
        <w:spacing w:line="276" w:lineRule="auto"/>
        <w:jc w:val="both"/>
        <w:rPr>
          <w:rFonts w:ascii="Times New Roman" w:hAnsi="Times New Roman" w:cs="Times New Roman"/>
        </w:rPr>
      </w:pPr>
      <w:r w:rsidRPr="009B0448">
        <w:rPr>
          <w:rFonts w:ascii="Times New Roman" w:hAnsi="Times New Roman" w:cs="Times New Roman"/>
        </w:rPr>
        <w:t xml:space="preserve">The </w:t>
      </w:r>
      <w:r w:rsidR="00F83B61" w:rsidRPr="009B0448">
        <w:rPr>
          <w:rFonts w:ascii="Times New Roman" w:hAnsi="Times New Roman" w:cs="Times New Roman"/>
        </w:rPr>
        <w:t xml:space="preserve">IPBES </w:t>
      </w:r>
      <w:r w:rsidRPr="009B0448">
        <w:rPr>
          <w:rFonts w:ascii="Times New Roman" w:hAnsi="Times New Roman" w:cs="Times New Roman"/>
        </w:rPr>
        <w:t>Methodological Assessment Report on Scenarios and Models of Biodiversity and Ecosystem Services</w:t>
      </w:r>
      <w:r w:rsidR="00F83B61" w:rsidRPr="009B0448">
        <w:rPr>
          <w:rFonts w:ascii="Times New Roman" w:hAnsi="Times New Roman" w:cs="Times New Roman"/>
        </w:rPr>
        <w:t xml:space="preserve"> (IPBES, 2016b) highlights the important role that scenarios play in the decision-making process. Figure 5.1 shows that scenarios are helpful across the four major phases of the policy cycle relating to agenda setting, design, implementation and review. However, as highlighted by Chapter 5 (Section 5.2.2) most regional scenarios developed for Africa are ‘exploratory scenarios’ (80%) that explore plausible futures. Of those scenarios included in the assessment, 17% of them were policy screening, however</w:t>
      </w:r>
      <w:r w:rsidR="00A625AA" w:rsidRPr="009B0448">
        <w:rPr>
          <w:rFonts w:ascii="Times New Roman" w:hAnsi="Times New Roman" w:cs="Times New Roman"/>
        </w:rPr>
        <w:t>,</w:t>
      </w:r>
      <w:r w:rsidR="00F83B61" w:rsidRPr="009B0448">
        <w:rPr>
          <w:rFonts w:ascii="Times New Roman" w:hAnsi="Times New Roman" w:cs="Times New Roman"/>
        </w:rPr>
        <w:t xml:space="preserve"> only 6% were target-seeking and only 1% represented retrospective evaluations of a policy (Section 5.2.2). An example of a policy screening scenario makes use of a global agricultural </w:t>
      </w:r>
      <w:r w:rsidR="00917FB2">
        <w:rPr>
          <w:rFonts w:ascii="Times New Roman" w:hAnsi="Times New Roman" w:cs="Times New Roman"/>
        </w:rPr>
        <w:t>land-use</w:t>
      </w:r>
      <w:r w:rsidR="00F83B61" w:rsidRPr="009B0448">
        <w:rPr>
          <w:rFonts w:ascii="Times New Roman" w:hAnsi="Times New Roman" w:cs="Times New Roman"/>
        </w:rPr>
        <w:t xml:space="preserve"> model that was developed under two forest conservation scenarios reflecting two different policy goals, namely: maximising forest carbon storage and minimising impacts on agricultural production (Krause </w:t>
      </w:r>
      <w:r w:rsidR="000429F8" w:rsidRPr="009B0448">
        <w:rPr>
          <w:rFonts w:ascii="Times New Roman" w:hAnsi="Times New Roman" w:cs="Times New Roman"/>
          <w:i/>
        </w:rPr>
        <w:t>et al.</w:t>
      </w:r>
      <w:r w:rsidR="00F83B61" w:rsidRPr="009B0448">
        <w:rPr>
          <w:rFonts w:ascii="Times New Roman" w:hAnsi="Times New Roman" w:cs="Times New Roman"/>
        </w:rPr>
        <w:t>, 2013). The results of these scenarios show that conserving undisturbed natural forest appears to be a low-cost option for reducing greenhouse gas emissions. There are no other regional scenario exercises that explicitly deal with testing policies—either through a target-seeking, policy-screening or retrospective policy evaluation process.</w:t>
      </w:r>
    </w:p>
    <w:p w14:paraId="6FB0E392" w14:textId="77777777" w:rsidR="00F83B61" w:rsidRPr="009B0448" w:rsidRDefault="00F83B61" w:rsidP="00FA7185">
      <w:pPr>
        <w:pStyle w:val="111"/>
        <w:numPr>
          <w:ilvl w:val="2"/>
          <w:numId w:val="11"/>
        </w:numPr>
        <w:spacing w:before="240" w:after="240"/>
        <w:ind w:left="709" w:hanging="720"/>
        <w:rPr>
          <w:rFonts w:cs="Times New Roman"/>
          <w:i w:val="0"/>
          <w:sz w:val="22"/>
          <w:szCs w:val="22"/>
        </w:rPr>
      </w:pPr>
      <w:bookmarkStart w:id="548" w:name="_Toc502937705"/>
      <w:bookmarkStart w:id="549" w:name="_Toc519500072"/>
      <w:r w:rsidRPr="009B0448">
        <w:rPr>
          <w:rFonts w:cs="Times New Roman"/>
          <w:i w:val="0"/>
          <w:sz w:val="22"/>
          <w:szCs w:val="22"/>
        </w:rPr>
        <w:t>Policy implications under the different scenario archetypes</w:t>
      </w:r>
      <w:bookmarkEnd w:id="548"/>
      <w:bookmarkEnd w:id="549"/>
    </w:p>
    <w:p w14:paraId="7017485B" w14:textId="703A1F3C"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Chapter 5 of this assessment outlines five scenario archetypes (Fortress World, Market Forces, Policy Reform Local Sustainability, Regional Sustainability) and analyses how achieving specific biodiversity, ecosystem services and development targets in Africa can be enabled under the contextual assumptions of these 5 archetypal futures (Box 5.2, Section 5.7 and Table 5.7.). Potential governance responses under these archetypes are discussed in Table 5.6. The following section highlights some implications for </w:t>
      </w:r>
      <w:r w:rsidR="00917FB2">
        <w:rPr>
          <w:rFonts w:ascii="Times New Roman" w:hAnsi="Times New Roman" w:cs="Times New Roman"/>
        </w:rPr>
        <w:t>policy making</w:t>
      </w:r>
      <w:r w:rsidRPr="009B0448">
        <w:rPr>
          <w:rFonts w:ascii="Times New Roman" w:hAnsi="Times New Roman" w:cs="Times New Roman"/>
        </w:rPr>
        <w:t xml:space="preserve"> based on these archetypes, linking more specifically to key policy goals that relate to biodiversity and ecosystem </w:t>
      </w:r>
      <w:r w:rsidRPr="009B0448">
        <w:rPr>
          <w:rFonts w:ascii="Times New Roman" w:hAnsi="Times New Roman" w:cs="Times New Roman"/>
          <w:color w:val="auto"/>
        </w:rPr>
        <w:t>services in Africa (Table SPM 2, Table SPM 4, Table 5.7, Figure 6.7 below). The majority of the assessment undertak</w:t>
      </w:r>
      <w:r w:rsidRPr="009B0448">
        <w:rPr>
          <w:rFonts w:ascii="Times New Roman" w:hAnsi="Times New Roman" w:cs="Times New Roman"/>
        </w:rPr>
        <w:t xml:space="preserve">en in Chapter 5 used six core studies for the assessment, including: to a lesser extent, the Intergovernmental Panel on Climate Change’s (IPCC) climate change scenarios (Nakicenovic </w:t>
      </w:r>
      <w:r w:rsidR="000429F8" w:rsidRPr="009B0448">
        <w:rPr>
          <w:rFonts w:ascii="Times New Roman" w:hAnsi="Times New Roman" w:cs="Times New Roman"/>
          <w:i/>
        </w:rPr>
        <w:t>et al.</w:t>
      </w:r>
      <w:r w:rsidRPr="009B0448">
        <w:rPr>
          <w:rFonts w:ascii="Times New Roman" w:hAnsi="Times New Roman" w:cs="Times New Roman"/>
        </w:rPr>
        <w:t xml:space="preserve">, 2000; Moss </w:t>
      </w:r>
      <w:r w:rsidR="000429F8" w:rsidRPr="009B0448">
        <w:rPr>
          <w:rFonts w:ascii="Times New Roman" w:hAnsi="Times New Roman" w:cs="Times New Roman"/>
          <w:i/>
        </w:rPr>
        <w:t>et al.</w:t>
      </w:r>
      <w:r w:rsidRPr="009B0448">
        <w:rPr>
          <w:rFonts w:ascii="Times New Roman" w:hAnsi="Times New Roman" w:cs="Times New Roman"/>
        </w:rPr>
        <w:t xml:space="preserve">, 2008, 2010; Kriegler </w:t>
      </w:r>
      <w:r w:rsidR="000429F8" w:rsidRPr="009B0448">
        <w:rPr>
          <w:rFonts w:ascii="Times New Roman" w:hAnsi="Times New Roman" w:cs="Times New Roman"/>
          <w:i/>
        </w:rPr>
        <w:t>et al.</w:t>
      </w:r>
      <w:r w:rsidR="00CC4FE3" w:rsidRPr="009B0448">
        <w:rPr>
          <w:rFonts w:ascii="Times New Roman" w:hAnsi="Times New Roman" w:cs="Times New Roman"/>
        </w:rPr>
        <w:t>, 2010; v</w:t>
      </w:r>
      <w:r w:rsidRPr="009B0448">
        <w:rPr>
          <w:rFonts w:ascii="Times New Roman" w:hAnsi="Times New Roman" w:cs="Times New Roman"/>
        </w:rPr>
        <w:t xml:space="preserve">an Vuuren </w:t>
      </w:r>
      <w:r w:rsidR="000429F8" w:rsidRPr="009B0448">
        <w:rPr>
          <w:rFonts w:ascii="Times New Roman" w:hAnsi="Times New Roman" w:cs="Times New Roman"/>
          <w:i/>
        </w:rPr>
        <w:t>et al.</w:t>
      </w:r>
      <w:r w:rsidRPr="009B0448">
        <w:rPr>
          <w:rFonts w:ascii="Times New Roman" w:hAnsi="Times New Roman" w:cs="Times New Roman"/>
        </w:rPr>
        <w:t>, 2012); the Millennium Ecosystem Assessment (MA) Scenarios (</w:t>
      </w:r>
      <w:r w:rsidR="009A2D88" w:rsidRPr="009B0448">
        <w:rPr>
          <w:rFonts w:ascii="Times New Roman" w:hAnsi="Times New Roman" w:cs="Times New Roman"/>
        </w:rPr>
        <w:t>MA</w:t>
      </w:r>
      <w:r w:rsidRPr="009B0448">
        <w:rPr>
          <w:rFonts w:ascii="Times New Roman" w:hAnsi="Times New Roman" w:cs="Times New Roman"/>
        </w:rPr>
        <w:t xml:space="preserve">, 2005); the Global Environment Outlook 4 (GEO-4) global assessment (UNEP, 2007); and the World Wide Fund for Nature (WWF) Ecological Futures scenarios (WWF-AfDB, 2015) that were specifically developed for Africa and also used in the sixth Global Environment Outlook (GEO-6) regional assessment (UNEP, 2016) (Section 5.3). </w:t>
      </w:r>
    </w:p>
    <w:p w14:paraId="483FAFB0" w14:textId="77777777" w:rsidR="00F83B61" w:rsidRPr="009B0448" w:rsidRDefault="00F83B61" w:rsidP="00FA7185">
      <w:pPr>
        <w:pStyle w:val="111"/>
        <w:numPr>
          <w:ilvl w:val="3"/>
          <w:numId w:val="11"/>
        </w:numPr>
        <w:spacing w:before="240" w:after="240"/>
        <w:ind w:left="851" w:hanging="862"/>
        <w:rPr>
          <w:rFonts w:cs="Times New Roman"/>
          <w:sz w:val="22"/>
          <w:szCs w:val="22"/>
        </w:rPr>
      </w:pPr>
      <w:bookmarkStart w:id="550" w:name="_Toc502937706"/>
      <w:bookmarkStart w:id="551" w:name="_Toc519500073"/>
      <w:r w:rsidRPr="009B0448">
        <w:rPr>
          <w:rFonts w:cs="Times New Roman"/>
          <w:sz w:val="22"/>
          <w:szCs w:val="22"/>
        </w:rPr>
        <w:t>Policy reform</w:t>
      </w:r>
      <w:bookmarkEnd w:id="550"/>
      <w:bookmarkEnd w:id="551"/>
    </w:p>
    <w:p w14:paraId="4E43CAAE" w14:textId="5418A4AF"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Under this type of future there is an increased need for proactive legal and regulatory instruments (e.g.</w:t>
      </w:r>
      <w:r w:rsidR="0091139F">
        <w:rPr>
          <w:rFonts w:ascii="Times New Roman" w:hAnsi="Times New Roman" w:cs="Times New Roman"/>
        </w:rPr>
        <w:t>,</w:t>
      </w:r>
      <w:r w:rsidRPr="009B0448">
        <w:rPr>
          <w:rFonts w:ascii="Times New Roman" w:hAnsi="Times New Roman" w:cs="Times New Roman"/>
        </w:rPr>
        <w:t xml:space="preserve"> Protected area zoning, access and benefit sharing legislation; see also section 6.5.2) and economic and financial instruments (e.g.</w:t>
      </w:r>
      <w:r w:rsidR="0091139F">
        <w:rPr>
          <w:rFonts w:ascii="Times New Roman" w:hAnsi="Times New Roman" w:cs="Times New Roman"/>
        </w:rPr>
        <w:t>,</w:t>
      </w:r>
      <w:r w:rsidRPr="009B0448">
        <w:rPr>
          <w:rFonts w:ascii="Times New Roman" w:hAnsi="Times New Roman" w:cs="Times New Roman"/>
        </w:rPr>
        <w:t xml:space="preserve"> certification schemes, carbon taxes; see section 6.5.1) that mediate the impacts of intensive agriculture, extractive industries and associated infrastructure (e.g.</w:t>
      </w:r>
      <w:r w:rsidR="0091139F">
        <w:rPr>
          <w:rFonts w:ascii="Times New Roman" w:hAnsi="Times New Roman" w:cs="Times New Roman"/>
        </w:rPr>
        <w:t>,</w:t>
      </w:r>
      <w:r w:rsidRPr="009B0448">
        <w:rPr>
          <w:rFonts w:ascii="Times New Roman" w:hAnsi="Times New Roman" w:cs="Times New Roman"/>
        </w:rPr>
        <w:t xml:space="preserve"> transport, water and energy). Policy reform envisions a more globally connected world where local economies are boosted and policies aligned with a green economy can potentially flourish, relieving pressure on marine resources which aligns with enhancing Sustainable Development Goal 14: Life below water (WWF-AfDB, 2015). Protected areas increase based on the political recognition that healthy ecosystems underpin development, however biodiversity outside these protected ‘islands’ declines. Trade-offs between some of the ecosystem services linked to Sustainable Development Goals (e.g.</w:t>
      </w:r>
      <w:r w:rsidR="0091139F">
        <w:rPr>
          <w:rFonts w:ascii="Times New Roman" w:hAnsi="Times New Roman" w:cs="Times New Roman"/>
        </w:rPr>
        <w:t>,</w:t>
      </w:r>
      <w:r w:rsidRPr="009B0448">
        <w:rPr>
          <w:rFonts w:ascii="Times New Roman" w:hAnsi="Times New Roman" w:cs="Times New Roman"/>
        </w:rPr>
        <w:t xml:space="preserve"> Sustainable Development Goal 2: Zero hunger and Sustainable Development Goal 6: Clean water and sanitation) and Aichi Biodiversity Targets (e.g.</w:t>
      </w:r>
      <w:r w:rsidR="0091139F">
        <w:rPr>
          <w:rFonts w:ascii="Times New Roman" w:hAnsi="Times New Roman" w:cs="Times New Roman"/>
        </w:rPr>
        <w:t>,</w:t>
      </w:r>
      <w:r w:rsidRPr="009B0448">
        <w:rPr>
          <w:rFonts w:ascii="Times New Roman" w:hAnsi="Times New Roman" w:cs="Times New Roman"/>
        </w:rPr>
        <w:t xml:space="preserve"> Target 5: Reduce habitat loss and degradation) are the most apparent related to these scenario types. </w:t>
      </w:r>
      <w:r w:rsidR="00574E50" w:rsidRPr="009B0448">
        <w:rPr>
          <w:rFonts w:ascii="Times New Roman" w:hAnsi="Times New Roman" w:cs="Times New Roman"/>
        </w:rPr>
        <w:t>Decision-mak</w:t>
      </w:r>
      <w:r w:rsidRPr="009B0448">
        <w:rPr>
          <w:rFonts w:ascii="Times New Roman" w:hAnsi="Times New Roman" w:cs="Times New Roman"/>
        </w:rPr>
        <w:t xml:space="preserve">ers in Africa under this scenario need to pay careful attention to </w:t>
      </w:r>
      <w:r w:rsidR="000B06FE" w:rsidRPr="009B0448">
        <w:rPr>
          <w:rFonts w:ascii="Times New Roman" w:hAnsi="Times New Roman" w:cs="Times New Roman"/>
        </w:rPr>
        <w:t>tele-coupl</w:t>
      </w:r>
      <w:r w:rsidRPr="009B0448">
        <w:rPr>
          <w:rFonts w:ascii="Times New Roman" w:hAnsi="Times New Roman" w:cs="Times New Roman"/>
        </w:rPr>
        <w:t xml:space="preserve">ing, for example, the impacts of biofuels grown locally for foreign markets (Liu </w:t>
      </w:r>
      <w:r w:rsidR="000429F8" w:rsidRPr="009B0448">
        <w:rPr>
          <w:rFonts w:ascii="Times New Roman" w:hAnsi="Times New Roman" w:cs="Times New Roman"/>
          <w:i/>
        </w:rPr>
        <w:t>et al.</w:t>
      </w:r>
      <w:r w:rsidRPr="009B0448">
        <w:rPr>
          <w:rFonts w:ascii="Times New Roman" w:hAnsi="Times New Roman" w:cs="Times New Roman"/>
        </w:rPr>
        <w:t>, 2013) or diversion of river flows benefiting global markets at the expense of local livelihoods (Bohensky, 2006). Policies need to be proactively put in place to mitigate potential sustainability challenges associated with these transnational deals promoting Sustainable Development Goal 12: Responsible consumption and production.</w:t>
      </w:r>
    </w:p>
    <w:p w14:paraId="4BF5EDD5" w14:textId="77777777" w:rsidR="00C21A1B" w:rsidRPr="009B0448" w:rsidRDefault="00C21A1B" w:rsidP="009F0016">
      <w:pPr>
        <w:spacing w:line="276" w:lineRule="auto"/>
        <w:jc w:val="both"/>
        <w:rPr>
          <w:rFonts w:ascii="Times New Roman" w:hAnsi="Times New Roman" w:cs="Times New Roman"/>
        </w:rPr>
      </w:pPr>
    </w:p>
    <w:p w14:paraId="7304AB2E" w14:textId="4AA99D84"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While development under these scenarios is mainly at the expense of the environment, an African future under policy reform aligns well with the key targets of the New Partnership for Africa's Development and Blueprint for an Integrated Approach to implement Agenda 2063, and can potentially rapidly achieve some of the development objectives as there is slow population growth and strong policies which can help to reduce poverty (Sustainable Development Goal 1: No poverty) and inequality (Sustainable Development Goal 10: Reduced inequalities) and invest in public goods (Sustainable Development Goal 4: Quality education and infrastructure Sustainable Development Goal 9: Industry, innovation and infrastructure). Under policy reform, rapid technological development increases access to water by as much as 3 fold (Alcamo </w:t>
      </w:r>
      <w:r w:rsidR="000429F8" w:rsidRPr="009B0448">
        <w:rPr>
          <w:rFonts w:ascii="Times New Roman" w:hAnsi="Times New Roman" w:cs="Times New Roman"/>
          <w:i/>
        </w:rPr>
        <w:t>et al.</w:t>
      </w:r>
      <w:r w:rsidRPr="009B0448">
        <w:rPr>
          <w:rFonts w:ascii="Times New Roman" w:hAnsi="Times New Roman" w:cs="Times New Roman"/>
        </w:rPr>
        <w:t xml:space="preserve">, 2005). However, this comes with a projected 3–5 fold increase in waste-water discharge in sub-Saharan Africa, which will require additional policy and infrastructure interventions to ensure that poor water quality does not impact on human and environmental health (Alcamo </w:t>
      </w:r>
      <w:r w:rsidR="000429F8" w:rsidRPr="009B0448">
        <w:rPr>
          <w:rFonts w:ascii="Times New Roman" w:hAnsi="Times New Roman" w:cs="Times New Roman"/>
          <w:i/>
        </w:rPr>
        <w:t>et al.</w:t>
      </w:r>
      <w:r w:rsidRPr="009B0448">
        <w:rPr>
          <w:rFonts w:ascii="Times New Roman" w:hAnsi="Times New Roman" w:cs="Times New Roman"/>
        </w:rPr>
        <w:t xml:space="preserve">, 2005; MA, 2005). Policies that promote spatial and cross-sector investment and planning can minimise the impacts large-scale infrastructure development has on ecosystems, especially with the risk of climate variability. This scenario focuses on building resilience by encouraging policies that promote economic diversification and reduce market failure, but at the same time needs to strengthen environmental regulation to avoid the dependence on a few resources that can rapidly be depleted (Alcamo </w:t>
      </w:r>
      <w:r w:rsidR="000429F8" w:rsidRPr="009B0448">
        <w:rPr>
          <w:rFonts w:ascii="Times New Roman" w:hAnsi="Times New Roman" w:cs="Times New Roman"/>
          <w:i/>
        </w:rPr>
        <w:t>et al.</w:t>
      </w:r>
      <w:r w:rsidRPr="009B0448">
        <w:rPr>
          <w:rFonts w:ascii="Times New Roman" w:hAnsi="Times New Roman" w:cs="Times New Roman"/>
        </w:rPr>
        <w:t>, 2005). Under policy reform, governments actively work together with the private sector and civil society to co-develop new policies to strengthen economic growth (UNEP, 2007). It is vital that indigenous knowledge is integrated into this cooperation (see also section 6.5.3.1 on multi-stakeholder governance).</w:t>
      </w:r>
    </w:p>
    <w:p w14:paraId="1527EDD0" w14:textId="77777777" w:rsidR="00F83B61" w:rsidRPr="009B0448" w:rsidRDefault="00F83B61" w:rsidP="00FA7185">
      <w:pPr>
        <w:pStyle w:val="111"/>
        <w:numPr>
          <w:ilvl w:val="3"/>
          <w:numId w:val="11"/>
        </w:numPr>
        <w:spacing w:before="240" w:after="240"/>
        <w:ind w:left="851" w:hanging="862"/>
        <w:rPr>
          <w:rFonts w:cs="Times New Roman"/>
          <w:sz w:val="22"/>
          <w:szCs w:val="22"/>
        </w:rPr>
      </w:pPr>
      <w:bookmarkStart w:id="552" w:name="_Toc502937707"/>
      <w:bookmarkStart w:id="553" w:name="_Toc519500074"/>
      <w:r w:rsidRPr="009B0448">
        <w:rPr>
          <w:rFonts w:cs="Times New Roman"/>
          <w:sz w:val="22"/>
          <w:szCs w:val="22"/>
        </w:rPr>
        <w:t>Market forces</w:t>
      </w:r>
      <w:bookmarkEnd w:id="552"/>
      <w:bookmarkEnd w:id="553"/>
    </w:p>
    <w:p w14:paraId="37DAFFD5" w14:textId="5D3C34C2"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In this scenario, economic development in Africa is most rapidly achieved under a market forces scenario based on policies which create open markets and see the government and private sector promoting the exploitation of the abundant natural resource base for global trade (</w:t>
      </w:r>
      <w:r w:rsidR="0061658B" w:rsidRPr="009B0448">
        <w:rPr>
          <w:rFonts w:ascii="Times New Roman" w:hAnsi="Times New Roman" w:cs="Times New Roman"/>
        </w:rPr>
        <w:t xml:space="preserve">Nakicenovic </w:t>
      </w:r>
      <w:r w:rsidR="000429F8" w:rsidRPr="009B0448">
        <w:rPr>
          <w:rFonts w:ascii="Times New Roman" w:hAnsi="Times New Roman" w:cs="Times New Roman"/>
          <w:i/>
        </w:rPr>
        <w:t>et al.</w:t>
      </w:r>
      <w:r w:rsidR="0061658B" w:rsidRPr="009B0448">
        <w:rPr>
          <w:rFonts w:ascii="Times New Roman" w:hAnsi="Times New Roman" w:cs="Times New Roman"/>
        </w:rPr>
        <w:t xml:space="preserve">, 2000; </w:t>
      </w:r>
      <w:r w:rsidRPr="009B0448">
        <w:rPr>
          <w:rFonts w:ascii="Times New Roman" w:hAnsi="Times New Roman" w:cs="Times New Roman"/>
        </w:rPr>
        <w:t xml:space="preserve">UNEP, 2007, 2016; van Vuuren </w:t>
      </w:r>
      <w:r w:rsidR="000429F8" w:rsidRPr="009B0448">
        <w:rPr>
          <w:rFonts w:ascii="Times New Roman" w:hAnsi="Times New Roman" w:cs="Times New Roman"/>
          <w:i/>
        </w:rPr>
        <w:t>et al.</w:t>
      </w:r>
      <w:r w:rsidRPr="009B0448">
        <w:rPr>
          <w:rFonts w:ascii="Times New Roman" w:hAnsi="Times New Roman" w:cs="Times New Roman"/>
        </w:rPr>
        <w:t xml:space="preserve">, 2012; WWF-AfDB, 2015). While there is also rapid technology development, there are limited investments in alternative energy and as nations abandon their climate agreements (which is at odds with Sustainable Development Goal 13), fossil fuels are used intensively to power development (Nakicenovic </w:t>
      </w:r>
      <w:r w:rsidR="000429F8" w:rsidRPr="009B0448">
        <w:rPr>
          <w:rFonts w:ascii="Times New Roman" w:hAnsi="Times New Roman" w:cs="Times New Roman"/>
          <w:i/>
        </w:rPr>
        <w:t>et al.</w:t>
      </w:r>
      <w:r w:rsidRPr="009B0448">
        <w:rPr>
          <w:rFonts w:ascii="Times New Roman" w:hAnsi="Times New Roman" w:cs="Times New Roman"/>
        </w:rPr>
        <w:t xml:space="preserve">, 2000; UNEP, 2007; van Vuuren </w:t>
      </w:r>
      <w:r w:rsidR="000429F8" w:rsidRPr="009B0448">
        <w:rPr>
          <w:rFonts w:ascii="Times New Roman" w:hAnsi="Times New Roman" w:cs="Times New Roman"/>
          <w:i/>
        </w:rPr>
        <w:t>et al.</w:t>
      </w:r>
      <w:r w:rsidRPr="009B0448">
        <w:rPr>
          <w:rFonts w:ascii="Times New Roman" w:hAnsi="Times New Roman" w:cs="Times New Roman"/>
        </w:rPr>
        <w:t xml:space="preserve">, 2012). Rapid economic growth can potentially benefit many people in the </w:t>
      </w:r>
      <w:r w:rsidR="000B06FE" w:rsidRPr="009B0448">
        <w:rPr>
          <w:rFonts w:ascii="Times New Roman" w:hAnsi="Times New Roman" w:cs="Times New Roman"/>
        </w:rPr>
        <w:t>short-term</w:t>
      </w:r>
      <w:r w:rsidRPr="009B0448">
        <w:rPr>
          <w:rFonts w:ascii="Times New Roman" w:hAnsi="Times New Roman" w:cs="Times New Roman"/>
        </w:rPr>
        <w:t xml:space="preserve">, with inequality lessening (see section 5.5); promoting Sustainable Development Goals 1, 3, and 10. However, unless there are efforts from </w:t>
      </w:r>
      <w:r w:rsidR="00574E50" w:rsidRPr="009B0448">
        <w:rPr>
          <w:rFonts w:ascii="Times New Roman" w:hAnsi="Times New Roman" w:cs="Times New Roman"/>
        </w:rPr>
        <w:t>decision-mak</w:t>
      </w:r>
      <w:r w:rsidRPr="009B0448">
        <w:rPr>
          <w:rFonts w:ascii="Times New Roman" w:hAnsi="Times New Roman" w:cs="Times New Roman"/>
        </w:rPr>
        <w:t>ers to strengthen policies which promote ecosystem stewardship aligned with global conventions (e.g.</w:t>
      </w:r>
      <w:r w:rsidR="0091139F">
        <w:rPr>
          <w:rFonts w:ascii="Times New Roman" w:hAnsi="Times New Roman" w:cs="Times New Roman"/>
        </w:rPr>
        <w:t>,</w:t>
      </w:r>
      <w:r w:rsidRPr="009B0448">
        <w:rPr>
          <w:rFonts w:ascii="Times New Roman" w:hAnsi="Times New Roman" w:cs="Times New Roman"/>
        </w:rPr>
        <w:t xml:space="preserve"> Strategic Goal A–C of the Aichi Biodiversity Targets and Sustainable Development Goals 6, 12, 14 and 15) there may also be rapid ecosystem transformation. Such transformation places long-term sustainable development, based on extractive industries, in jeopardy, and could fuel tensions between the private sector and local and indigenous communities (UNEP, 2016). To mitigate these negative impacts on local livelihoods, policy options that address issues related to weak centralised governance, limited environmental regulation, illegal or unsustainable harvesting or poaching are needed. Such options include adaptive governance and co-management (see sections 6.1 and 6.5.3.1). More innovative governance partnerships which include those between business, communities and government are needed to strengthen the resilience of infrastructure and spatial planning processes (Sustainable Development Goals 16 and 17). Here, policies linked to Strategic Environmental Assessments can be helpful as they can mediate potential conflicts between resource users and assist in mitigating the impacts of future global economic and climate variability (WWF-AfDB, 2015; UNEP, 2016). Strong cross-sectoral, national frameworks for regional and international trade agreements with a foundation of policies that incentivise the maintenance of ecological functions can potentially fast-track sustainable development, especially in areas with limited regulatory capacity (e.g.</w:t>
      </w:r>
      <w:r w:rsidR="0091139F">
        <w:rPr>
          <w:rFonts w:ascii="Times New Roman" w:hAnsi="Times New Roman" w:cs="Times New Roman"/>
        </w:rPr>
        <w:t>,</w:t>
      </w:r>
      <w:r w:rsidRPr="009B0448">
        <w:rPr>
          <w:rFonts w:ascii="Times New Roman" w:hAnsi="Times New Roman" w:cs="Times New Roman"/>
        </w:rPr>
        <w:t xml:space="preserve"> Box 6.16, East African example of Payment for Ecosystem Services in Appendix 6.3). Strong economic growth enables more equitable division of resources and together with slower population growth results in communities that are less vulnerable to the impacts of climate change (van Vuuren </w:t>
      </w:r>
      <w:r w:rsidR="000429F8" w:rsidRPr="009B0448">
        <w:rPr>
          <w:rFonts w:ascii="Times New Roman" w:hAnsi="Times New Roman" w:cs="Times New Roman"/>
          <w:i/>
        </w:rPr>
        <w:t>et al.</w:t>
      </w:r>
      <w:r w:rsidRPr="009B0448">
        <w:rPr>
          <w:rFonts w:ascii="Times New Roman" w:hAnsi="Times New Roman" w:cs="Times New Roman"/>
        </w:rPr>
        <w:t>, 2014).</w:t>
      </w:r>
    </w:p>
    <w:p w14:paraId="67955BDA" w14:textId="77777777" w:rsidR="00F83B61" w:rsidRPr="009B0448" w:rsidRDefault="00F83B61" w:rsidP="00FA7185">
      <w:pPr>
        <w:pStyle w:val="111"/>
        <w:numPr>
          <w:ilvl w:val="3"/>
          <w:numId w:val="11"/>
        </w:numPr>
        <w:spacing w:before="240" w:after="240"/>
        <w:ind w:left="851" w:hanging="862"/>
        <w:rPr>
          <w:rFonts w:cs="Times New Roman"/>
          <w:sz w:val="22"/>
          <w:szCs w:val="22"/>
        </w:rPr>
      </w:pPr>
      <w:bookmarkStart w:id="554" w:name="_Toc502937708"/>
      <w:bookmarkStart w:id="555" w:name="_Toc519500075"/>
      <w:r w:rsidRPr="009B0448">
        <w:rPr>
          <w:rFonts w:cs="Times New Roman"/>
          <w:sz w:val="22"/>
          <w:szCs w:val="22"/>
        </w:rPr>
        <w:t>Local Sustainability</w:t>
      </w:r>
      <w:bookmarkEnd w:id="554"/>
      <w:bookmarkEnd w:id="555"/>
    </w:p>
    <w:p w14:paraId="67F1B35A" w14:textId="2BA33924"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A future under a local sustainability scenario favours policies that proactively facilitate environmental protection, social equality and human well</w:t>
      </w:r>
      <w:r w:rsidR="00A625AA" w:rsidRPr="009B0448">
        <w:rPr>
          <w:rFonts w:ascii="Times New Roman" w:hAnsi="Times New Roman" w:cs="Times New Roman"/>
        </w:rPr>
        <w:t>-</w:t>
      </w:r>
      <w:r w:rsidRPr="009B0448">
        <w:rPr>
          <w:rFonts w:ascii="Times New Roman" w:hAnsi="Times New Roman" w:cs="Times New Roman"/>
        </w:rPr>
        <w:t>being at local levels (MA, 2005; UNEP, 2016). This type of future is aligned with multiple Sustainable Development Goals, especially since development activities will be implemented at national and local levels. This archetype enables the most rapid advancement towards to Aichi Biodiversity Targets (especially targets 5, 7, 11 and 14) and the United Nations Convention to Combat Desertification, aligned to Sustainable Development Goal 15. It is further associated with a reduction in habitat loss due to an assumption of low population growth and eventual adoption of sustainable practices. Proactive policies linked to reforestation see the expansion of forest cover by 2100 on the whole (</w:t>
      </w:r>
      <w:r w:rsidR="005D4C19" w:rsidRPr="009B0448">
        <w:rPr>
          <w:rFonts w:ascii="Times New Roman" w:eastAsia="Times New Roman" w:hAnsi="Times New Roman" w:cs="Times New Roman"/>
        </w:rPr>
        <w:t xml:space="preserve">Nakicenovic </w:t>
      </w:r>
      <w:r w:rsidR="000429F8" w:rsidRPr="009B0448">
        <w:rPr>
          <w:rFonts w:ascii="Times New Roman" w:eastAsia="Times New Roman" w:hAnsi="Times New Roman" w:cs="Times New Roman"/>
          <w:i/>
        </w:rPr>
        <w:t>et al.</w:t>
      </w:r>
      <w:r w:rsidR="005D4C19" w:rsidRPr="009B0448">
        <w:rPr>
          <w:rFonts w:ascii="Times New Roman" w:eastAsia="Times New Roman" w:hAnsi="Times New Roman" w:cs="Times New Roman"/>
        </w:rPr>
        <w:t>, 2000, scenario</w:t>
      </w:r>
      <w:r w:rsidRPr="009B0448">
        <w:rPr>
          <w:rFonts w:ascii="Times New Roman" w:hAnsi="Times New Roman" w:cs="Times New Roman"/>
        </w:rPr>
        <w:t xml:space="preserve"> B2). Agriculture is localised, cooperative and governed</w:t>
      </w:r>
      <w:r w:rsidR="00A625AA" w:rsidRPr="009B0448">
        <w:rPr>
          <w:rFonts w:ascii="Times New Roman" w:hAnsi="Times New Roman" w:cs="Times New Roman"/>
        </w:rPr>
        <w:t xml:space="preserve"> through participatory decision-</w:t>
      </w:r>
      <w:r w:rsidRPr="009B0448">
        <w:rPr>
          <w:rFonts w:ascii="Times New Roman" w:hAnsi="Times New Roman" w:cs="Times New Roman"/>
        </w:rPr>
        <w:t>making processes, however</w:t>
      </w:r>
      <w:r w:rsidR="00A625AA" w:rsidRPr="009B0448">
        <w:rPr>
          <w:rFonts w:ascii="Times New Roman" w:hAnsi="Times New Roman" w:cs="Times New Roman"/>
        </w:rPr>
        <w:t>,</w:t>
      </w:r>
      <w:r w:rsidRPr="009B0448">
        <w:rPr>
          <w:rFonts w:ascii="Times New Roman" w:hAnsi="Times New Roman" w:cs="Times New Roman"/>
        </w:rPr>
        <w:t xml:space="preserve"> these small-scale agricultural areas are fragmented and degradation continues outside these areas. Cumulatively the impacts of small-scale agriculture’s effects on regional sustainability need consideration, alongside coherence in local land management, particularly when also addressing impacts that disasters (e.g.</w:t>
      </w:r>
      <w:r w:rsidR="0091139F">
        <w:rPr>
          <w:rFonts w:ascii="Times New Roman" w:hAnsi="Times New Roman" w:cs="Times New Roman"/>
        </w:rPr>
        <w:t>,</w:t>
      </w:r>
      <w:r w:rsidRPr="009B0448">
        <w:rPr>
          <w:rFonts w:ascii="Times New Roman" w:hAnsi="Times New Roman" w:cs="Times New Roman"/>
        </w:rPr>
        <w:t xml:space="preserve"> droughts or conflict) might have beyond the local scale. Policies focusing on investment mechanisms that enable financial and technical support for local ecosystem-based schemes (e.g.</w:t>
      </w:r>
      <w:r w:rsidR="0091139F">
        <w:rPr>
          <w:rFonts w:ascii="Times New Roman" w:hAnsi="Times New Roman" w:cs="Times New Roman"/>
        </w:rPr>
        <w:t>,</w:t>
      </w:r>
      <w:r w:rsidRPr="009B0448">
        <w:rPr>
          <w:rFonts w:ascii="Times New Roman" w:hAnsi="Times New Roman" w:cs="Times New Roman"/>
        </w:rPr>
        <w:t xml:space="preserve"> payments for ecosystem services) which link to international markets can strengthen more sustainable development in Africa (WWF-AfDB, 2015). Harnessing capacity and resources from key international organisations like the Consultative Group on International Agricultural Research and its various programmes, especially that on Water, Land and Ecosystems, African institutions like NEPAD and the African Union as well as </w:t>
      </w:r>
      <w:r w:rsidR="00B22D81">
        <w:rPr>
          <w:rFonts w:ascii="Times New Roman" w:hAnsi="Times New Roman" w:cs="Times New Roman"/>
        </w:rPr>
        <w:t>subregion</w:t>
      </w:r>
      <w:r w:rsidRPr="009B0448">
        <w:rPr>
          <w:rFonts w:ascii="Times New Roman" w:hAnsi="Times New Roman" w:cs="Times New Roman"/>
        </w:rPr>
        <w:t>al organisations like the Central African Forest Commission, to strengthen local institutions and empower local stakeholders with planning tools and technology, is critical for endogenous, equitable development in Africa. A focus on regional network weaving and integration of efforts is especially critical to ensure alignment with the aspirations of Agenda 2063. Policies which favour decentralised governance mechanisms and align with international frameworks (e.g.</w:t>
      </w:r>
      <w:r w:rsidR="0091139F">
        <w:rPr>
          <w:rFonts w:ascii="Times New Roman" w:hAnsi="Times New Roman" w:cs="Times New Roman"/>
        </w:rPr>
        <w:t>,</w:t>
      </w:r>
      <w:r w:rsidRPr="009B0448">
        <w:rPr>
          <w:rFonts w:ascii="Times New Roman" w:hAnsi="Times New Roman" w:cs="Times New Roman"/>
        </w:rPr>
        <w:t xml:space="preserve"> Sendai framework for Disaster Risk Reduction 2015–2030 (UNISDR, 2015) can assist with balancing trade-offs associated with agriculture and human settlements on ecosystems and enable more resilient futures, especially in the light of changing climates.</w:t>
      </w:r>
    </w:p>
    <w:p w14:paraId="3E7A78E2" w14:textId="77777777" w:rsidR="00F83B61" w:rsidRPr="009B0448" w:rsidRDefault="00F83B61" w:rsidP="00FA7185">
      <w:pPr>
        <w:pStyle w:val="111"/>
        <w:numPr>
          <w:ilvl w:val="3"/>
          <w:numId w:val="11"/>
        </w:numPr>
        <w:spacing w:before="240" w:after="240"/>
        <w:ind w:left="851" w:hanging="862"/>
        <w:rPr>
          <w:rFonts w:cs="Times New Roman"/>
          <w:sz w:val="22"/>
          <w:szCs w:val="22"/>
        </w:rPr>
      </w:pPr>
      <w:bookmarkStart w:id="556" w:name="_Toc502937709"/>
      <w:bookmarkStart w:id="557" w:name="_Toc519500076"/>
      <w:r w:rsidRPr="009B0448">
        <w:rPr>
          <w:rFonts w:cs="Times New Roman"/>
          <w:sz w:val="22"/>
          <w:szCs w:val="22"/>
        </w:rPr>
        <w:t>Fortress world</w:t>
      </w:r>
      <w:bookmarkEnd w:id="556"/>
      <w:bookmarkEnd w:id="557"/>
    </w:p>
    <w:p w14:paraId="7B7C533C" w14:textId="2D03DC88"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A future which focuses </w:t>
      </w:r>
      <w:r w:rsidRPr="009B0448">
        <w:rPr>
          <w:rFonts w:ascii="Times New Roman" w:hAnsi="Times New Roman" w:cs="Times New Roman"/>
          <w:color w:val="auto"/>
        </w:rPr>
        <w:t>on strengthening regional and local identities through strong national governments with the main objective to strengthen security is still a plausible trajectory for Africa (</w:t>
      </w:r>
      <w:r w:rsidR="0061658B" w:rsidRPr="009B0448">
        <w:rPr>
          <w:rFonts w:ascii="Times New Roman" w:eastAsia="Arial" w:hAnsi="Times New Roman" w:cs="Times New Roman"/>
          <w:color w:val="auto"/>
        </w:rPr>
        <w:t xml:space="preserve">Nakicenovic </w:t>
      </w:r>
      <w:r w:rsidR="000429F8" w:rsidRPr="009B0448">
        <w:rPr>
          <w:rFonts w:ascii="Times New Roman" w:eastAsia="Arial" w:hAnsi="Times New Roman" w:cs="Times New Roman"/>
          <w:i/>
          <w:color w:val="auto"/>
        </w:rPr>
        <w:t>et al.</w:t>
      </w:r>
      <w:r w:rsidR="0061658B" w:rsidRPr="009B0448">
        <w:rPr>
          <w:rFonts w:ascii="Times New Roman" w:eastAsia="Arial" w:hAnsi="Times New Roman" w:cs="Times New Roman"/>
          <w:color w:val="auto"/>
        </w:rPr>
        <w:t xml:space="preserve">, 2000; </w:t>
      </w:r>
      <w:r w:rsidRPr="009B0448">
        <w:rPr>
          <w:rFonts w:ascii="Times New Roman" w:hAnsi="Times New Roman" w:cs="Times New Roman"/>
          <w:color w:val="auto"/>
        </w:rPr>
        <w:t>MA, 2005; UNEP</w:t>
      </w:r>
      <w:r w:rsidR="006E4CDF" w:rsidRPr="009B0448">
        <w:rPr>
          <w:rFonts w:ascii="Times New Roman" w:hAnsi="Times New Roman" w:cs="Times New Roman"/>
          <w:color w:val="auto"/>
        </w:rPr>
        <w:t>,</w:t>
      </w:r>
      <w:r w:rsidRPr="009B0448">
        <w:rPr>
          <w:rFonts w:ascii="Times New Roman" w:hAnsi="Times New Roman" w:cs="Times New Roman"/>
          <w:color w:val="auto"/>
        </w:rPr>
        <w:t xml:space="preserve"> 2007). Within this scenario, environmental policies are mostly reactive and geared towards facilitating regional economic growth and there is rapid population growth. Under a fortress world future, habitat loss, mainly due to policies which promote extensive agriculture, are the highest relative to other scenarios, resulting in limited ability to achieve multiple Aichi Biodiversity Targets (targets 5, 7, 12, 15) and those Sustainable Development Goals strongly associated with maintaining ecological integrity (Sustainable Development Goals 11, 14, 15). Under this scenario, countries endowed with high </w:t>
      </w:r>
      <w:r w:rsidRPr="009B0448">
        <w:rPr>
          <w:rFonts w:ascii="Times New Roman" w:hAnsi="Times New Roman" w:cs="Times New Roman"/>
        </w:rPr>
        <w:t xml:space="preserve">levels of biodiversity and ecosystem services are able to develop faster, increasing species loss and local extinction rates (at odds with </w:t>
      </w:r>
      <w:r w:rsidRPr="009B0448">
        <w:rPr>
          <w:rFonts w:ascii="Times New Roman" w:hAnsi="Times New Roman" w:cs="Times New Roman"/>
          <w:color w:val="auto"/>
        </w:rPr>
        <w:t xml:space="preserve">Biodiversity Target </w:t>
      </w:r>
      <w:r w:rsidRPr="009B0448">
        <w:rPr>
          <w:rFonts w:ascii="Times New Roman" w:hAnsi="Times New Roman" w:cs="Times New Roman"/>
        </w:rPr>
        <w:t xml:space="preserve">12). There are few policies promoting inter-regional trade and the government and the private </w:t>
      </w:r>
      <w:r w:rsidRPr="009B0448">
        <w:rPr>
          <w:rFonts w:ascii="Times New Roman" w:hAnsi="Times New Roman" w:cs="Times New Roman"/>
          <w:color w:val="auto"/>
        </w:rPr>
        <w:t>sector compete for control, with the elite remaining powerful and poverty worsening in many communities (impacting Sustainable Development Goal 10). Under this scenario, which envisions fragmented and slower per capita growth and technological change (</w:t>
      </w:r>
      <w:r w:rsidRPr="009B0448">
        <w:rPr>
          <w:rFonts w:ascii="Times New Roman" w:eastAsia="Arial" w:hAnsi="Times New Roman" w:cs="Times New Roman"/>
          <w:color w:val="auto"/>
        </w:rPr>
        <w:t xml:space="preserve">Nakicenovic </w:t>
      </w:r>
      <w:r w:rsidR="000429F8" w:rsidRPr="009B0448">
        <w:rPr>
          <w:rFonts w:ascii="Times New Roman" w:eastAsia="Arial" w:hAnsi="Times New Roman" w:cs="Times New Roman"/>
          <w:i/>
          <w:color w:val="auto"/>
        </w:rPr>
        <w:t>et al.</w:t>
      </w:r>
      <w:r w:rsidRPr="009B0448">
        <w:rPr>
          <w:rFonts w:ascii="Times New Roman" w:eastAsia="Arial" w:hAnsi="Times New Roman" w:cs="Times New Roman"/>
          <w:color w:val="auto"/>
        </w:rPr>
        <w:t>, 2000</w:t>
      </w:r>
      <w:r w:rsidRPr="009B0448">
        <w:rPr>
          <w:rFonts w:ascii="Times New Roman" w:hAnsi="Times New Roman" w:cs="Times New Roman"/>
          <w:color w:val="auto"/>
        </w:rPr>
        <w:t>) with associated lower carbon emissions, policies are needed around climate adaptation as there is limited adaptive capac</w:t>
      </w:r>
      <w:r w:rsidR="00A625AA" w:rsidRPr="009B0448">
        <w:rPr>
          <w:rFonts w:ascii="Times New Roman" w:hAnsi="Times New Roman" w:cs="Times New Roman"/>
          <w:color w:val="auto"/>
        </w:rPr>
        <w:t>ity to address existing climate-</w:t>
      </w:r>
      <w:r w:rsidRPr="009B0448">
        <w:rPr>
          <w:rFonts w:ascii="Times New Roman" w:hAnsi="Times New Roman" w:cs="Times New Roman"/>
          <w:color w:val="auto"/>
        </w:rPr>
        <w:t>related impacts</w:t>
      </w:r>
      <w:r w:rsidRPr="009B0448">
        <w:rPr>
          <w:rFonts w:ascii="Times New Roman" w:hAnsi="Times New Roman" w:cs="Times New Roman"/>
          <w:b/>
          <w:color w:val="auto"/>
        </w:rPr>
        <w:t xml:space="preserve"> </w:t>
      </w:r>
      <w:r w:rsidRPr="009B0448">
        <w:rPr>
          <w:rFonts w:ascii="Times New Roman" w:hAnsi="Times New Roman" w:cs="Times New Roman"/>
          <w:color w:val="auto"/>
        </w:rPr>
        <w:t xml:space="preserve">(limited action on Sustainable Development Goal 13) (van Vuuren </w:t>
      </w:r>
      <w:r w:rsidR="000429F8" w:rsidRPr="009B0448">
        <w:rPr>
          <w:rFonts w:ascii="Times New Roman" w:hAnsi="Times New Roman" w:cs="Times New Roman"/>
          <w:i/>
          <w:color w:val="auto"/>
        </w:rPr>
        <w:t>et al.</w:t>
      </w:r>
      <w:r w:rsidRPr="009B0448">
        <w:rPr>
          <w:rFonts w:ascii="Times New Roman" w:hAnsi="Times New Roman" w:cs="Times New Roman"/>
          <w:color w:val="auto"/>
        </w:rPr>
        <w:t xml:space="preserve">, 2014). Similarly, policies are needed that improve catchment management practices such as better regulation and application of agrochemicals </w:t>
      </w:r>
      <w:r w:rsidRPr="009B0448">
        <w:rPr>
          <w:rFonts w:ascii="Times New Roman" w:hAnsi="Times New Roman" w:cs="Times New Roman"/>
        </w:rPr>
        <w:t xml:space="preserve">under agricultural intensification, combined with riparian forest conservation to reduce the risk of runoff-driven water pollution (limiting </w:t>
      </w:r>
      <w:r w:rsidRPr="009B0448">
        <w:rPr>
          <w:rFonts w:ascii="Times New Roman" w:hAnsi="Times New Roman" w:cs="Times New Roman"/>
          <w:color w:val="auto"/>
        </w:rPr>
        <w:t xml:space="preserve">Sustainable Development Goals </w:t>
      </w:r>
      <w:r w:rsidRPr="009B0448">
        <w:rPr>
          <w:rFonts w:ascii="Times New Roman" w:hAnsi="Times New Roman" w:cs="Times New Roman"/>
        </w:rPr>
        <w:t>6 and 2).</w:t>
      </w:r>
    </w:p>
    <w:p w14:paraId="6B921C88" w14:textId="77777777" w:rsidR="00F83B61" w:rsidRPr="009B0448" w:rsidRDefault="00F83B61" w:rsidP="00FA7185">
      <w:pPr>
        <w:pStyle w:val="111"/>
        <w:numPr>
          <w:ilvl w:val="3"/>
          <w:numId w:val="11"/>
        </w:numPr>
        <w:spacing w:before="240" w:after="240"/>
        <w:ind w:left="851" w:hanging="862"/>
        <w:rPr>
          <w:rFonts w:cs="Times New Roman"/>
          <w:sz w:val="22"/>
          <w:szCs w:val="22"/>
        </w:rPr>
      </w:pPr>
      <w:bookmarkStart w:id="558" w:name="_Toc502937710"/>
      <w:bookmarkStart w:id="559" w:name="_Toc519500077"/>
      <w:r w:rsidRPr="009B0448">
        <w:rPr>
          <w:rFonts w:cs="Times New Roman"/>
          <w:sz w:val="22"/>
          <w:szCs w:val="22"/>
        </w:rPr>
        <w:t>Regional Sustainability</w:t>
      </w:r>
      <w:bookmarkEnd w:id="558"/>
      <w:bookmarkEnd w:id="559"/>
    </w:p>
    <w:p w14:paraId="5F5D716F" w14:textId="01848374"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In this scenario the future of Africa is based on </w:t>
      </w:r>
      <w:r w:rsidRPr="009B0448">
        <w:rPr>
          <w:rFonts w:ascii="Times New Roman" w:hAnsi="Times New Roman" w:cs="Times New Roman"/>
          <w:color w:val="auto"/>
        </w:rPr>
        <w:t>policies which support intra-regional trade for development with the main objective to contribute towards global or regional sustainability. There is an emphasis on evidence-based policy making with strong, capacitated regional governance systems and a focus on policies linked to strategic planning and implementation of infrastructure that has limited impact on sensitive ecosystems (e.g.</w:t>
      </w:r>
      <w:r w:rsidR="0091139F">
        <w:rPr>
          <w:rFonts w:ascii="Times New Roman" w:hAnsi="Times New Roman" w:cs="Times New Roman"/>
          <w:color w:val="auto"/>
        </w:rPr>
        <w:t>,</w:t>
      </w:r>
      <w:r w:rsidRPr="009B0448">
        <w:rPr>
          <w:rFonts w:ascii="Times New Roman" w:hAnsi="Times New Roman" w:cs="Times New Roman"/>
          <w:color w:val="auto"/>
        </w:rPr>
        <w:t xml:space="preserve"> Strategic Environmental Assessments and Environmental Impact Assessments) (</w:t>
      </w:r>
      <w:r w:rsidRPr="009B0448">
        <w:rPr>
          <w:rFonts w:ascii="Times New Roman" w:hAnsi="Times New Roman" w:cs="Times New Roman"/>
        </w:rPr>
        <w:t>WWF-AfDB, 2015</w:t>
      </w:r>
      <w:r w:rsidRPr="009B0448">
        <w:rPr>
          <w:rFonts w:ascii="Times New Roman" w:hAnsi="Times New Roman" w:cs="Times New Roman"/>
          <w:color w:val="auto"/>
        </w:rPr>
        <w:t>). Technology advances are rapidly directed towards more proactive environmentally friendly practices (Sustainable Development Goal 12) with high land productivity from often engineered ecosystems (MA, 2005; UNEP, 2007) and lower carbon emissions (contributing to Sustainable Development Goals 2, 13) (</w:t>
      </w:r>
      <w:r w:rsidRPr="009B0448">
        <w:rPr>
          <w:rFonts w:ascii="Times New Roman" w:eastAsia="Arial" w:hAnsi="Times New Roman" w:cs="Times New Roman"/>
          <w:color w:val="auto"/>
        </w:rPr>
        <w:t xml:space="preserve">Nakicenovic </w:t>
      </w:r>
      <w:r w:rsidR="000429F8" w:rsidRPr="009B0448">
        <w:rPr>
          <w:rFonts w:ascii="Times New Roman" w:eastAsia="Arial" w:hAnsi="Times New Roman" w:cs="Times New Roman"/>
          <w:i/>
          <w:color w:val="auto"/>
        </w:rPr>
        <w:t>et al.</w:t>
      </w:r>
      <w:r w:rsidRPr="009B0448">
        <w:rPr>
          <w:rFonts w:ascii="Times New Roman" w:eastAsia="Arial" w:hAnsi="Times New Roman" w:cs="Times New Roman"/>
          <w:color w:val="auto"/>
        </w:rPr>
        <w:t xml:space="preserve">, 2000; van Vuuren </w:t>
      </w:r>
      <w:r w:rsidR="000429F8" w:rsidRPr="009B0448">
        <w:rPr>
          <w:rFonts w:ascii="Times New Roman" w:eastAsia="Arial" w:hAnsi="Times New Roman" w:cs="Times New Roman"/>
          <w:i/>
          <w:color w:val="auto"/>
        </w:rPr>
        <w:t>et al.</w:t>
      </w:r>
      <w:r w:rsidRPr="009B0448">
        <w:rPr>
          <w:rFonts w:ascii="Times New Roman" w:eastAsia="Arial" w:hAnsi="Times New Roman" w:cs="Times New Roman"/>
          <w:color w:val="auto"/>
        </w:rPr>
        <w:t>, 2014</w:t>
      </w:r>
      <w:r w:rsidRPr="009B0448">
        <w:rPr>
          <w:rFonts w:ascii="Times New Roman" w:hAnsi="Times New Roman" w:cs="Times New Roman"/>
          <w:color w:val="auto"/>
        </w:rPr>
        <w:t>) allowing for improved mitigation and adaptation of climate change. While the needs for increased infrastructure to support development increase, there is strong transboundary collaboration, investment and cooperation, aligned with national priorities. These aspects facilitate development in a more equitable manner (Sustainable Development Goals 10, 16) and permit resources to be used more efficiently (</w:t>
      </w:r>
      <w:r w:rsidRPr="009B0448">
        <w:rPr>
          <w:rFonts w:ascii="Times New Roman" w:hAnsi="Times New Roman" w:cs="Times New Roman"/>
        </w:rPr>
        <w:t>WWF-AfDB, 2015</w:t>
      </w:r>
      <w:r w:rsidRPr="009B0448">
        <w:rPr>
          <w:rFonts w:ascii="Times New Roman" w:hAnsi="Times New Roman" w:cs="Times New Roman"/>
          <w:color w:val="auto"/>
        </w:rPr>
        <w:t xml:space="preserve">). In this scenario, regions work together to improve human well-being and ecosystem resilience (UNEP, 2007). </w:t>
      </w:r>
      <w:r w:rsidRPr="009B0448">
        <w:rPr>
          <w:rFonts w:ascii="Times New Roman" w:hAnsi="Times New Roman" w:cs="Times New Roman"/>
        </w:rPr>
        <w:t>However, success of this scenario is undermined if policies promoting conservation and infrastructure development are not aligned and well-coordinated with each other.</w:t>
      </w:r>
    </w:p>
    <w:p w14:paraId="1ED59C0C" w14:textId="77777777" w:rsidR="00F83B61" w:rsidRPr="009B0448" w:rsidRDefault="00F83B61" w:rsidP="00FA7185">
      <w:pPr>
        <w:pStyle w:val="111"/>
        <w:numPr>
          <w:ilvl w:val="2"/>
          <w:numId w:val="11"/>
        </w:numPr>
        <w:spacing w:before="240" w:after="240"/>
        <w:ind w:left="709" w:hanging="720"/>
        <w:rPr>
          <w:rFonts w:cs="Times New Roman"/>
          <w:i w:val="0"/>
          <w:sz w:val="22"/>
          <w:szCs w:val="22"/>
        </w:rPr>
      </w:pPr>
      <w:bookmarkStart w:id="560" w:name="_Toc502937711"/>
      <w:bookmarkStart w:id="561" w:name="_Toc519500078"/>
      <w:r w:rsidRPr="009B0448">
        <w:rPr>
          <w:rFonts w:cs="Times New Roman"/>
          <w:i w:val="0"/>
          <w:sz w:val="22"/>
          <w:szCs w:val="22"/>
        </w:rPr>
        <w:t>Governance responses under uncertain futures</w:t>
      </w:r>
      <w:bookmarkEnd w:id="560"/>
      <w:bookmarkEnd w:id="561"/>
    </w:p>
    <w:p w14:paraId="03D04158" w14:textId="0ED6A24B"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There is a need to avoid duplication of effort, refrain from competition for the same resources, enhance efficiency, and instead to tap into the potential for shared knowledge management to harness co-benefits and reduce trade-offs. Such efforts require consideration of policy and institutional interplay, both at and across different scales and levels of governance (</w:t>
      </w:r>
      <w:r w:rsidR="00E61337" w:rsidRPr="009B0448">
        <w:rPr>
          <w:rFonts w:ascii="Times New Roman" w:hAnsi="Times New Roman" w:cs="Times New Roman"/>
        </w:rPr>
        <w:t xml:space="preserve">Young, 2002; </w:t>
      </w:r>
      <w:r w:rsidRPr="009B0448">
        <w:rPr>
          <w:rFonts w:ascii="Times New Roman" w:hAnsi="Times New Roman" w:cs="Times New Roman"/>
        </w:rPr>
        <w:t>Oberth</w:t>
      </w:r>
      <w:r w:rsidR="00086A79" w:rsidRPr="009B0448">
        <w:rPr>
          <w:rFonts w:ascii="Times New Roman" w:hAnsi="Times New Roman" w:cs="Times New Roman"/>
        </w:rPr>
        <w:t>ü</w:t>
      </w:r>
      <w:r w:rsidRPr="009B0448">
        <w:rPr>
          <w:rFonts w:ascii="Times New Roman" w:hAnsi="Times New Roman" w:cs="Times New Roman"/>
        </w:rPr>
        <w:t xml:space="preserve">r </w:t>
      </w:r>
      <w:r w:rsidR="000429F8" w:rsidRPr="009B0448">
        <w:rPr>
          <w:rFonts w:ascii="Times New Roman" w:hAnsi="Times New Roman" w:cs="Times New Roman"/>
          <w:i/>
        </w:rPr>
        <w:t>et al.</w:t>
      </w:r>
      <w:r w:rsidRPr="009B0448">
        <w:rPr>
          <w:rFonts w:ascii="Times New Roman" w:hAnsi="Times New Roman" w:cs="Times New Roman"/>
        </w:rPr>
        <w:t>, 2006). The key take-away policy implications from looking at the scenarios are that it is necessary to have a suite of responses available and that there is no ideal policy pathway that is any better than any other. Rather, it is important to ensure that policies are synergistic and coherent, where relevant and appropriate, and that one policy is enabled to make up for the weaknesses inherent in another policy.</w:t>
      </w:r>
    </w:p>
    <w:p w14:paraId="2C9D62D3" w14:textId="77777777" w:rsidR="00C21A1B" w:rsidRPr="009B0448" w:rsidRDefault="00C21A1B" w:rsidP="009F0016">
      <w:pPr>
        <w:spacing w:line="276" w:lineRule="auto"/>
        <w:jc w:val="both"/>
        <w:rPr>
          <w:rFonts w:ascii="Times New Roman" w:hAnsi="Times New Roman" w:cs="Times New Roman"/>
        </w:rPr>
      </w:pPr>
    </w:p>
    <w:p w14:paraId="083EAC85" w14:textId="5E7D6BFC"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As described in section 6.5, an array of policy instruments is available to enhance the opportunities from, and address the challenges associated with, biodiversity and ecosystem services. These instruments include legal and regulatory instruments (e.g.</w:t>
      </w:r>
      <w:r w:rsidR="0091139F">
        <w:rPr>
          <w:rFonts w:ascii="Times New Roman" w:hAnsi="Times New Roman" w:cs="Times New Roman"/>
        </w:rPr>
        <w:t>,</w:t>
      </w:r>
      <w:r w:rsidRPr="009B0448">
        <w:rPr>
          <w:rFonts w:ascii="Times New Roman" w:hAnsi="Times New Roman" w:cs="Times New Roman"/>
        </w:rPr>
        <w:t xml:space="preserve"> environmental legislation, protected area establishment, land suitability zoning, and access and benefit sharing legislation), rights-based instruments and customary norms (e.g.</w:t>
      </w:r>
      <w:r w:rsidR="0091139F">
        <w:rPr>
          <w:rFonts w:ascii="Times New Roman" w:hAnsi="Times New Roman" w:cs="Times New Roman"/>
        </w:rPr>
        <w:t>,</w:t>
      </w:r>
      <w:r w:rsidRPr="009B0448">
        <w:rPr>
          <w:rFonts w:ascii="Times New Roman" w:hAnsi="Times New Roman" w:cs="Times New Roman"/>
        </w:rPr>
        <w:t xml:space="preserve"> access and benefit sharing legislation, particular land ownership and tenure), economic and financial instruments (e.g.</w:t>
      </w:r>
      <w:r w:rsidR="0091139F">
        <w:rPr>
          <w:rFonts w:ascii="Times New Roman" w:hAnsi="Times New Roman" w:cs="Times New Roman"/>
        </w:rPr>
        <w:t>,</w:t>
      </w:r>
      <w:r w:rsidRPr="009B0448">
        <w:rPr>
          <w:rFonts w:ascii="Times New Roman" w:hAnsi="Times New Roman" w:cs="Times New Roman"/>
        </w:rPr>
        <w:t xml:space="preserve"> taxes and charges), and social and cultural instruments (e.g.</w:t>
      </w:r>
      <w:r w:rsidR="0091139F">
        <w:rPr>
          <w:rFonts w:ascii="Times New Roman" w:hAnsi="Times New Roman" w:cs="Times New Roman"/>
        </w:rPr>
        <w:t>,</w:t>
      </w:r>
      <w:r w:rsidRPr="009B0448">
        <w:rPr>
          <w:rFonts w:ascii="Times New Roman" w:hAnsi="Times New Roman" w:cs="Times New Roman"/>
        </w:rPr>
        <w:t xml:space="preserve"> precedence or lack thereof over formalised legal systems). Such policy instruments can either be applied independently or in combination. Building on Table 5.7 in Chapter 5, Table 6.2 provides examples of policy instruments for addressing the combination of the Sustainable Development Goals and Aichi Biodiversity Targets under the African Union’s Agenda 2063 aspirations. In this table, based on a combination of expert opinion and available literature, some examples of potential policy instruments that could be useful in meeting these biodiversity and ecosystem services and development goals are provided. Whilst all policy needs to be context specific, here, </w:t>
      </w:r>
      <w:r w:rsidR="00A625AA" w:rsidRPr="009B0448">
        <w:rPr>
          <w:rFonts w:ascii="Times New Roman" w:hAnsi="Times New Roman" w:cs="Times New Roman"/>
        </w:rPr>
        <w:t xml:space="preserve">the </w:t>
      </w:r>
      <w:r w:rsidRPr="009B0448">
        <w:rPr>
          <w:rFonts w:ascii="Times New Roman" w:hAnsi="Times New Roman" w:cs="Times New Roman"/>
        </w:rPr>
        <w:t>emphasis is placed on those instruments that target sustainable development more widely and that are attuned to Africa’s social-ecological heterogeneity.</w:t>
      </w:r>
    </w:p>
    <w:p w14:paraId="2CE50348" w14:textId="77777777" w:rsidR="00C21A1B" w:rsidRPr="009B0448" w:rsidRDefault="00C21A1B" w:rsidP="009F0016">
      <w:pPr>
        <w:spacing w:line="276" w:lineRule="auto"/>
        <w:jc w:val="both"/>
        <w:rPr>
          <w:rFonts w:ascii="Times New Roman" w:hAnsi="Times New Roman" w:cs="Times New Roman"/>
        </w:rPr>
      </w:pPr>
    </w:p>
    <w:p w14:paraId="5A7D9459" w14:textId="77777777" w:rsidR="00835B42" w:rsidRPr="009B0448" w:rsidRDefault="00835B42">
      <w:pPr>
        <w:rPr>
          <w:rFonts w:ascii="Times New Roman" w:hAnsi="Times New Roman" w:cs="Times New Roman"/>
          <w:b/>
        </w:rPr>
      </w:pPr>
      <w:r w:rsidRPr="009B0448">
        <w:rPr>
          <w:rFonts w:ascii="Times New Roman" w:hAnsi="Times New Roman" w:cs="Times New Roman"/>
          <w:b/>
        </w:rPr>
        <w:br w:type="page"/>
      </w:r>
    </w:p>
    <w:p w14:paraId="3CE1071F" w14:textId="1EB0F00D" w:rsidR="00D91112" w:rsidRPr="009B0448" w:rsidRDefault="0025359B" w:rsidP="009F0016">
      <w:pPr>
        <w:spacing w:line="276" w:lineRule="auto"/>
        <w:jc w:val="both"/>
        <w:rPr>
          <w:rFonts w:ascii="Times New Roman" w:hAnsi="Times New Roman" w:cs="Times New Roman"/>
        </w:rPr>
      </w:pPr>
      <w:r w:rsidRPr="009B0448">
        <w:rPr>
          <w:rFonts w:ascii="Times New Roman" w:hAnsi="Times New Roman" w:cs="Times New Roman"/>
          <w:b/>
        </w:rPr>
        <w:t>Table 6.2:</w:t>
      </w:r>
      <w:r w:rsidRPr="009B0448">
        <w:rPr>
          <w:rFonts w:ascii="Times New Roman" w:hAnsi="Times New Roman" w:cs="Times New Roman"/>
        </w:rPr>
        <w:t xml:space="preserve"> A non-exhaustive set of policy instruments to address an integrated set of environmental and biodiversity goals for Africa</w:t>
      </w:r>
      <w:r w:rsidR="00C21A1B" w:rsidRPr="009B0448">
        <w:rPr>
          <w:rFonts w:ascii="Times New Roman" w:hAnsi="Times New Roman" w:cs="Times New Roman"/>
        </w:rPr>
        <w:t>.</w:t>
      </w:r>
    </w:p>
    <w:p w14:paraId="04F5F4C6" w14:textId="7EC67B9D" w:rsidR="00835B42" w:rsidRPr="009B0448" w:rsidRDefault="00835B42"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1F812C0D" wp14:editId="56934392">
            <wp:extent cx="5731510" cy="6833772"/>
            <wp:effectExtent l="0" t="0" r="2540" b="5715"/>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Table 6.2a.JPG"/>
                    <pic:cNvPicPr/>
                  </pic:nvPicPr>
                  <pic:blipFill rotWithShape="1">
                    <a:blip r:embed="rId1765">
                      <a:extLst>
                        <a:ext uri="{28A0092B-C50C-407E-A947-70E740481C1C}">
                          <a14:useLocalDpi xmlns:a14="http://schemas.microsoft.com/office/drawing/2010/main" val="0"/>
                        </a:ext>
                      </a:extLst>
                    </a:blip>
                    <a:srcRect t="7488"/>
                    <a:stretch/>
                  </pic:blipFill>
                  <pic:spPr bwMode="auto">
                    <a:xfrm>
                      <a:off x="0" y="0"/>
                      <a:ext cx="5731510" cy="6833772"/>
                    </a:xfrm>
                    <a:prstGeom prst="rect">
                      <a:avLst/>
                    </a:prstGeom>
                    <a:ln>
                      <a:noFill/>
                    </a:ln>
                    <a:extLst>
                      <a:ext uri="{53640926-AAD7-44D8-BBD7-CCE9431645EC}">
                        <a14:shadowObscured xmlns:a14="http://schemas.microsoft.com/office/drawing/2010/main"/>
                      </a:ext>
                    </a:extLst>
                  </pic:spPr>
                </pic:pic>
              </a:graphicData>
            </a:graphic>
          </wp:inline>
        </w:drawing>
      </w:r>
    </w:p>
    <w:p w14:paraId="65C92266" w14:textId="520737CA" w:rsidR="00D91112" w:rsidRPr="009B0448" w:rsidRDefault="00D91112"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2E7EBA8C" wp14:editId="7FBFAEEB">
            <wp:extent cx="5742709" cy="8446801"/>
            <wp:effectExtent l="0" t="0" r="0" b="0"/>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Table 6.2b.JPG"/>
                    <pic:cNvPicPr/>
                  </pic:nvPicPr>
                  <pic:blipFill>
                    <a:blip r:embed="rId1766">
                      <a:extLst>
                        <a:ext uri="{28A0092B-C50C-407E-A947-70E740481C1C}">
                          <a14:useLocalDpi xmlns:a14="http://schemas.microsoft.com/office/drawing/2010/main" val="0"/>
                        </a:ext>
                      </a:extLst>
                    </a:blip>
                    <a:stretch>
                      <a:fillRect/>
                    </a:stretch>
                  </pic:blipFill>
                  <pic:spPr>
                    <a:xfrm>
                      <a:off x="0" y="0"/>
                      <a:ext cx="5744971" cy="8450128"/>
                    </a:xfrm>
                    <a:prstGeom prst="rect">
                      <a:avLst/>
                    </a:prstGeom>
                  </pic:spPr>
                </pic:pic>
              </a:graphicData>
            </a:graphic>
          </wp:inline>
        </w:drawing>
      </w:r>
      <w:r w:rsidRPr="009B0448">
        <w:rPr>
          <w:rFonts w:ascii="Times New Roman" w:hAnsi="Times New Roman" w:cs="Times New Roman"/>
          <w:noProof/>
          <w:lang w:eastAsia="en-GB"/>
        </w:rPr>
        <w:drawing>
          <wp:inline distT="0" distB="0" distL="0" distR="0" wp14:anchorId="4FB11F95" wp14:editId="5EF55660">
            <wp:extent cx="5763491" cy="5440567"/>
            <wp:effectExtent l="0" t="0" r="8890" b="8255"/>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Table 6.2c.JPG"/>
                    <pic:cNvPicPr/>
                  </pic:nvPicPr>
                  <pic:blipFill>
                    <a:blip r:embed="rId1767">
                      <a:extLst>
                        <a:ext uri="{28A0092B-C50C-407E-A947-70E740481C1C}">
                          <a14:useLocalDpi xmlns:a14="http://schemas.microsoft.com/office/drawing/2010/main" val="0"/>
                        </a:ext>
                      </a:extLst>
                    </a:blip>
                    <a:stretch>
                      <a:fillRect/>
                    </a:stretch>
                  </pic:blipFill>
                  <pic:spPr>
                    <a:xfrm>
                      <a:off x="0" y="0"/>
                      <a:ext cx="5776082" cy="5452452"/>
                    </a:xfrm>
                    <a:prstGeom prst="rect">
                      <a:avLst/>
                    </a:prstGeom>
                  </pic:spPr>
                </pic:pic>
              </a:graphicData>
            </a:graphic>
          </wp:inline>
        </w:drawing>
      </w:r>
    </w:p>
    <w:p w14:paraId="5FC65E0F" w14:textId="77777777" w:rsidR="00F83B61" w:rsidRPr="009B0448" w:rsidRDefault="00F83B61" w:rsidP="00FA7185">
      <w:pPr>
        <w:pStyle w:val="Heading3"/>
        <w:widowControl w:val="0"/>
        <w:numPr>
          <w:ilvl w:val="1"/>
          <w:numId w:val="11"/>
        </w:numPr>
        <w:spacing w:before="240" w:after="240"/>
        <w:ind w:left="709" w:hanging="720"/>
        <w:rPr>
          <w:rFonts w:eastAsia="Calibri" w:cs="Times New Roman"/>
          <w:szCs w:val="24"/>
        </w:rPr>
      </w:pPr>
      <w:bookmarkStart w:id="562" w:name="_Toc502937712"/>
      <w:bookmarkStart w:id="563" w:name="_Toc519500079"/>
      <w:r w:rsidRPr="009B0448">
        <w:rPr>
          <w:rFonts w:eastAsia="Calibri" w:cs="Times New Roman"/>
          <w:szCs w:val="24"/>
        </w:rPr>
        <w:t>Conclusion</w:t>
      </w:r>
      <w:bookmarkEnd w:id="562"/>
      <w:bookmarkEnd w:id="563"/>
    </w:p>
    <w:p w14:paraId="58134163" w14:textId="77777777" w:rsidR="00F83B61" w:rsidRPr="009B0448" w:rsidRDefault="00F83B61" w:rsidP="009F0016">
      <w:pPr>
        <w:spacing w:line="276" w:lineRule="auto"/>
        <w:jc w:val="both"/>
        <w:rPr>
          <w:rFonts w:ascii="Times New Roman" w:hAnsi="Times New Roman" w:cs="Times New Roman"/>
        </w:rPr>
      </w:pPr>
      <w:bookmarkStart w:id="564" w:name="_qsh70q" w:colFirst="0" w:colLast="0"/>
      <w:bookmarkEnd w:id="564"/>
      <w:r w:rsidRPr="009B0448">
        <w:rPr>
          <w:rFonts w:ascii="Times New Roman" w:hAnsi="Times New Roman" w:cs="Times New Roman"/>
        </w:rPr>
        <w:t>This chapter has assessed existing policies and governance options and actions in response to the current status of biodiversity and ecosystem services and trends and direct and indirect drivers of change (see chapters 3 and 4). It provided analysis of key policy instruments and governance options linked to specific scenarios identified in chapter 5. It assessed the links between relevant international agreements and initiatives and their mainstreaming across scales and sectors; analysed policy instruments and their application to the African context and considered the important role of indigenous and local knowledge in understanding nature’s contributions to people. It highlighted the importance of creating an enabling environment for evidence-based decision-making, policy design and reviewed some of the existing policy support tools and methodologies.</w:t>
      </w:r>
    </w:p>
    <w:p w14:paraId="0EFE51AA" w14:textId="77777777" w:rsidR="00C21A1B" w:rsidRPr="009B0448" w:rsidRDefault="00C21A1B" w:rsidP="009F0016">
      <w:pPr>
        <w:spacing w:line="276" w:lineRule="auto"/>
        <w:jc w:val="both"/>
        <w:rPr>
          <w:rFonts w:ascii="Times New Roman" w:hAnsi="Times New Roman" w:cs="Times New Roman"/>
        </w:rPr>
      </w:pPr>
    </w:p>
    <w:p w14:paraId="6C9474E9" w14:textId="335A98AD"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Avoiding a perceived or real ‘tragedy of the commons’ requires effective institutional responses that can enable environmental resources to be managed so that they contribute towards human well-being without eroding natural capital. Many indigenous African systems are well placed to do this. Generally, the existence of weak institutional and human capacity undermine efforts for good governance of biodiversity and ecosystem services and nature’s contributions to people, emphasising the need to prioritise environmental governance across scales in order to support </w:t>
      </w:r>
      <w:r w:rsidR="00A625AA" w:rsidRPr="009B0448">
        <w:rPr>
          <w:rFonts w:ascii="Times New Roman" w:hAnsi="Times New Roman" w:cs="Times New Roman"/>
        </w:rPr>
        <w:t xml:space="preserve">the </w:t>
      </w:r>
      <w:r w:rsidRPr="009B0448">
        <w:rPr>
          <w:rFonts w:ascii="Times New Roman" w:hAnsi="Times New Roman" w:cs="Times New Roman"/>
        </w:rPr>
        <w:t xml:space="preserve">equitable use of resources and conservation. </w:t>
      </w:r>
    </w:p>
    <w:p w14:paraId="4D8F8DA5" w14:textId="77777777" w:rsidR="00C21A1B" w:rsidRPr="009B0448" w:rsidRDefault="00C21A1B" w:rsidP="009F0016">
      <w:pPr>
        <w:spacing w:line="276" w:lineRule="auto"/>
        <w:jc w:val="both"/>
        <w:rPr>
          <w:rFonts w:ascii="Times New Roman" w:hAnsi="Times New Roman" w:cs="Times New Roman"/>
        </w:rPr>
      </w:pPr>
    </w:p>
    <w:p w14:paraId="7E5C2E63" w14:textId="1520154F"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Africans depend on biodiversity and ecosystem services for their livelihoods and well</w:t>
      </w:r>
      <w:r w:rsidR="00FD3265" w:rsidRPr="009B0448">
        <w:rPr>
          <w:rFonts w:ascii="Times New Roman" w:hAnsi="Times New Roman" w:cs="Times New Roman"/>
        </w:rPr>
        <w:t>-</w:t>
      </w:r>
      <w:r w:rsidRPr="009B0448">
        <w:rPr>
          <w:rFonts w:ascii="Times New Roman" w:hAnsi="Times New Roman" w:cs="Times New Roman"/>
        </w:rPr>
        <w:t>being. Many of Africa’s political, legal, institutional, economic, and social contexts present a major challenge for the sustainable management of natural resources. They are further manifested by different challenges faced by the population in Africa including devastating land degradation, population growth, invasive species and climate change.</w:t>
      </w:r>
    </w:p>
    <w:p w14:paraId="1739D733" w14:textId="77777777" w:rsidR="00C21A1B" w:rsidRPr="009B0448" w:rsidRDefault="00C21A1B" w:rsidP="009F0016">
      <w:pPr>
        <w:spacing w:line="276" w:lineRule="auto"/>
        <w:jc w:val="both"/>
        <w:rPr>
          <w:rFonts w:ascii="Times New Roman" w:hAnsi="Times New Roman" w:cs="Times New Roman"/>
        </w:rPr>
      </w:pPr>
    </w:p>
    <w:p w14:paraId="2A6A14E4"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Efforts have been taken by African countries to address issues of biodiversity conservation and ecosystem services preservation though signing and ratifying international agreements. This has resulted in African governments making high-level commitments to achieve their targets. However, despite their importance to local development, peace and security, issues of importance and relevance to indigenous and local people have not been incorporated into many of the agreements, while those that focused on indigenous issues, bringing little or no change to indigenous people's rights and livelihoods. The low level of domestication of these commitments has constrained the effective implementation and the achievement of agreed targets. Efforts towards poverty reduction and scaling up of resilience will benefit from harnessing synergies between agreements to deliver multiple benefits, which can help to balance patterns of access and allocation of ecosystem services. Moreover, an enabling environment that embraces Africa’s diversity will help to ensure justice and fairness in access to the continent’s diverse biodiversity and ecosystem services.</w:t>
      </w:r>
    </w:p>
    <w:p w14:paraId="2101745B" w14:textId="77777777" w:rsidR="00C21A1B" w:rsidRPr="009B0448" w:rsidRDefault="00C21A1B" w:rsidP="009F0016">
      <w:pPr>
        <w:spacing w:line="276" w:lineRule="auto"/>
        <w:jc w:val="both"/>
        <w:rPr>
          <w:rFonts w:ascii="Times New Roman" w:hAnsi="Times New Roman" w:cs="Times New Roman"/>
        </w:rPr>
      </w:pPr>
    </w:p>
    <w:p w14:paraId="7F763E93" w14:textId="646F1BC9"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This chapter represents one of the few assessments of the status of policy options and institutions, especially with regards to scenarios, on African biodiversity and ecosystem services. There is genera</w:t>
      </w:r>
      <w:r w:rsidR="00A625AA" w:rsidRPr="009B0448">
        <w:rPr>
          <w:rFonts w:ascii="Times New Roman" w:hAnsi="Times New Roman" w:cs="Times New Roman"/>
        </w:rPr>
        <w:t>lly a dearth of accessible peer-</w:t>
      </w:r>
      <w:r w:rsidRPr="009B0448">
        <w:rPr>
          <w:rFonts w:ascii="Times New Roman" w:hAnsi="Times New Roman" w:cs="Times New Roman"/>
        </w:rPr>
        <w:t>reviewed and/or grey literature to suppo</w:t>
      </w:r>
      <w:r w:rsidR="00A625AA" w:rsidRPr="009B0448">
        <w:rPr>
          <w:rFonts w:ascii="Times New Roman" w:hAnsi="Times New Roman" w:cs="Times New Roman"/>
        </w:rPr>
        <w:t>rt a comprehensive assessment of</w:t>
      </w:r>
      <w:r w:rsidRPr="009B0448">
        <w:rPr>
          <w:rFonts w:ascii="Times New Roman" w:hAnsi="Times New Roman" w:cs="Times New Roman"/>
        </w:rPr>
        <w:t xml:space="preserve"> policy and governance. It has therefore created challenges in exploring these issues and creates an opportunity for more frequent, comprehensive and extensive assessments. It also presents an opportunity to develop case studies and pilot projects that explore the different policy options and instruments specifically in the African context.</w:t>
      </w:r>
    </w:p>
    <w:p w14:paraId="4FD97CB5" w14:textId="77777777" w:rsidR="00C21A1B" w:rsidRPr="009B0448" w:rsidRDefault="00C21A1B" w:rsidP="009F0016">
      <w:pPr>
        <w:spacing w:line="276" w:lineRule="auto"/>
        <w:jc w:val="both"/>
        <w:rPr>
          <w:rFonts w:ascii="Times New Roman" w:hAnsi="Times New Roman" w:cs="Times New Roman"/>
        </w:rPr>
      </w:pPr>
    </w:p>
    <w:p w14:paraId="4B4DA770" w14:textId="19644884"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Due to science-policy implementation disconnects, most research findings have not yet been taken up and translated into action. More co-engaged efforts and co-production of knowledge between practice, policy, science and </w:t>
      </w:r>
      <w:r w:rsidR="004C733D" w:rsidRPr="009B0448">
        <w:rPr>
          <w:rFonts w:ascii="Times New Roman" w:hAnsi="Times New Roman" w:cs="Times New Roman"/>
        </w:rPr>
        <w:t>ILK</w:t>
      </w:r>
      <w:r w:rsidRPr="009B0448">
        <w:rPr>
          <w:rFonts w:ascii="Times New Roman" w:hAnsi="Times New Roman" w:cs="Times New Roman"/>
        </w:rPr>
        <w:t xml:space="preserve"> systems, are needed to ensure a high level of awareness and the achievement of commitments, particularly among policy makers. For example, the use of the different concepts associated with biodiversity and ecosystem services, especially associated with the use of scenarios, may be confusing to policy makers and constrain their translation into policy options. It is important that Africa develop its own common understanding and interpretation of the different concepts to inform decisions and facilitate the design of appropriate policies. Finally, there is not enough collaboration or sharing of information and lessons learned among countries in the various regions in Africa. Effective c</w:t>
      </w:r>
      <w:r w:rsidR="00A625AA" w:rsidRPr="009B0448">
        <w:rPr>
          <w:rFonts w:ascii="Times New Roman" w:hAnsi="Times New Roman" w:cs="Times New Roman"/>
        </w:rPr>
        <w:t>ooperation and lesson-sharing are</w:t>
      </w:r>
      <w:r w:rsidRPr="009B0448">
        <w:rPr>
          <w:rFonts w:ascii="Times New Roman" w:hAnsi="Times New Roman" w:cs="Times New Roman"/>
        </w:rPr>
        <w:t xml:space="preserve"> needed. It is equally important to ensure a platform for collaborative initiatives to ensure synergies. In this regard, the role of regional institutions cannot be overemphasised.</w:t>
      </w:r>
    </w:p>
    <w:p w14:paraId="659207B0" w14:textId="77777777" w:rsidR="00C21A1B" w:rsidRPr="009B0448" w:rsidRDefault="00C21A1B" w:rsidP="009F0016">
      <w:pPr>
        <w:spacing w:line="276" w:lineRule="auto"/>
        <w:jc w:val="both"/>
        <w:rPr>
          <w:rFonts w:ascii="Times New Roman" w:hAnsi="Times New Roman" w:cs="Times New Roman"/>
        </w:rPr>
      </w:pPr>
    </w:p>
    <w:p w14:paraId="686203A5" w14:textId="77777777" w:rsidR="00F83B61" w:rsidRPr="009B0448" w:rsidRDefault="00F83B61" w:rsidP="009F0016">
      <w:pPr>
        <w:spacing w:line="276" w:lineRule="auto"/>
        <w:jc w:val="both"/>
        <w:rPr>
          <w:rFonts w:ascii="Times New Roman" w:hAnsi="Times New Roman" w:cs="Times New Roman"/>
        </w:rPr>
      </w:pPr>
      <w:r w:rsidRPr="009B0448">
        <w:rPr>
          <w:rFonts w:ascii="Times New Roman" w:hAnsi="Times New Roman" w:cs="Times New Roman"/>
        </w:rPr>
        <w:t xml:space="preserve">Africa has an ambitious development agenda that is critically tied to maintaining and sustainably harnessing its diverse natural systems and ecosystem services. In order to achieve this agenda, it is necessary for all stakeholders to make use of effective policies that minimise trade-offs and maximise synergies under uncertainty so as to achieve a desirable and prosperous future for Africa (Figure 6.7). </w:t>
      </w:r>
    </w:p>
    <w:p w14:paraId="2E3DE645" w14:textId="77777777" w:rsidR="00C21A1B" w:rsidRPr="009B0448" w:rsidRDefault="00C21A1B" w:rsidP="009F0016">
      <w:pPr>
        <w:spacing w:line="276" w:lineRule="auto"/>
        <w:jc w:val="both"/>
        <w:rPr>
          <w:rFonts w:ascii="Times New Roman" w:hAnsi="Times New Roman" w:cs="Times New Roman"/>
        </w:rPr>
      </w:pPr>
    </w:p>
    <w:p w14:paraId="35806D29" w14:textId="040A893F" w:rsidR="0025359B" w:rsidRPr="009B0448" w:rsidRDefault="0025359B" w:rsidP="009F0016">
      <w:pPr>
        <w:spacing w:line="276" w:lineRule="auto"/>
        <w:jc w:val="both"/>
        <w:rPr>
          <w:rFonts w:ascii="Times New Roman" w:hAnsi="Times New Roman" w:cs="Times New Roman"/>
        </w:rPr>
      </w:pPr>
      <w:r w:rsidRPr="009B0448">
        <w:rPr>
          <w:rFonts w:ascii="Times New Roman" w:hAnsi="Times New Roman" w:cs="Times New Roman"/>
          <w:noProof/>
          <w:lang w:eastAsia="en-GB"/>
        </w:rPr>
        <w:drawing>
          <wp:inline distT="0" distB="0" distL="0" distR="0" wp14:anchorId="233FF281" wp14:editId="795C7DA2">
            <wp:extent cx="5727700" cy="3246755"/>
            <wp:effectExtent l="0" t="0" r="635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E1.jpg"/>
                    <pic:cNvPicPr/>
                  </pic:nvPicPr>
                  <pic:blipFill>
                    <a:blip r:embed="rId1768" cstate="print">
                      <a:extLst>
                        <a:ext uri="{28A0092B-C50C-407E-A947-70E740481C1C}">
                          <a14:useLocalDpi xmlns:a14="http://schemas.microsoft.com/office/drawing/2010/main" val="0"/>
                        </a:ext>
                      </a:extLst>
                    </a:blip>
                    <a:stretch>
                      <a:fillRect/>
                    </a:stretch>
                  </pic:blipFill>
                  <pic:spPr>
                    <a:xfrm>
                      <a:off x="0" y="0"/>
                      <a:ext cx="5731216" cy="3248748"/>
                    </a:xfrm>
                    <a:prstGeom prst="rect">
                      <a:avLst/>
                    </a:prstGeom>
                  </pic:spPr>
                </pic:pic>
              </a:graphicData>
            </a:graphic>
          </wp:inline>
        </w:drawing>
      </w:r>
    </w:p>
    <w:p w14:paraId="1AE89257" w14:textId="3F222036" w:rsidR="00372283" w:rsidRDefault="0025359B" w:rsidP="009F0016">
      <w:pPr>
        <w:spacing w:line="276" w:lineRule="auto"/>
        <w:jc w:val="both"/>
        <w:rPr>
          <w:rFonts w:ascii="Times New Roman" w:hAnsi="Times New Roman" w:cs="Times New Roman"/>
        </w:rPr>
      </w:pPr>
      <w:r w:rsidRPr="009B0448">
        <w:rPr>
          <w:rFonts w:ascii="Times New Roman" w:hAnsi="Times New Roman" w:cs="Times New Roman"/>
          <w:b/>
        </w:rPr>
        <w:t>Figure 6.7:</w:t>
      </w:r>
      <w:r w:rsidRPr="009B0448">
        <w:rPr>
          <w:rFonts w:ascii="Times New Roman" w:hAnsi="Times New Roman" w:cs="Times New Roman"/>
        </w:rPr>
        <w:t xml:space="preserve"> </w:t>
      </w:r>
      <w:r w:rsidR="00D91112" w:rsidRPr="009B0448">
        <w:rPr>
          <w:rFonts w:ascii="Times New Roman" w:hAnsi="Times New Roman" w:cs="Times New Roman"/>
        </w:rPr>
        <w:t>Summary of how effective global and regional agenda-setting combined with relevant decision-making tools can achieve desired future outcomes for Africa. Achieving a desirable and equitable future for Africa is based on an existing set of regional and global goals and targets. By using scenarios as a tool to think about how futures could play out, an enabling policy environm</w:t>
      </w:r>
      <w:r w:rsidR="00264EBF" w:rsidRPr="009B0448">
        <w:rPr>
          <w:rFonts w:ascii="Times New Roman" w:hAnsi="Times New Roman" w:cs="Times New Roman"/>
        </w:rPr>
        <w:t>ent can be co-created to maximis</w:t>
      </w:r>
      <w:r w:rsidR="00D91112" w:rsidRPr="009B0448">
        <w:rPr>
          <w:rFonts w:ascii="Times New Roman" w:hAnsi="Times New Roman" w:cs="Times New Roman"/>
        </w:rPr>
        <w:t>e synergies and coherence between actions and minimi</w:t>
      </w:r>
      <w:r w:rsidR="00E526DF" w:rsidRPr="009B0448">
        <w:rPr>
          <w:rFonts w:ascii="Times New Roman" w:hAnsi="Times New Roman" w:cs="Times New Roman"/>
        </w:rPr>
        <w:t>s</w:t>
      </w:r>
      <w:r w:rsidR="00D91112" w:rsidRPr="009B0448">
        <w:rPr>
          <w:rFonts w:ascii="Times New Roman" w:hAnsi="Times New Roman" w:cs="Times New Roman"/>
        </w:rPr>
        <w:t xml:space="preserve">e trade-offs. This figure starts with a set of existing targets and objectives (Agenda 2063 of the African Union, the Sustainable Development Goals, the Aichi Biodiversity Targets and other globally agreed goals) that the majority of African nations have agreed to and that are necessary to achieve in order for the continent to reach a desirable future; some of these are cross-cutting because they aim to achieve institutional reform (e.g., Aichi Biodiversity Targets 2, 3, 18, 19 and 20 and Sustainable Development Goals 16 and 17) (See Table 5.7). Recognition of the cross-cutting institutional targets is critical as they focus on what needs to be done within and between institutions if a more desirable future is to be achieved. They not only map onto one cluster of targets e.g., around water or energy, but are necessary to achieve them all. To aid thinking about how to reach this agenda, there are a set of scenario archetypes that help us to </w:t>
      </w:r>
      <w:r w:rsidR="00F13B9C" w:rsidRPr="009B0448">
        <w:rPr>
          <w:rFonts w:ascii="Times New Roman" w:hAnsi="Times New Roman" w:cs="Times New Roman"/>
        </w:rPr>
        <w:t>conceptualis</w:t>
      </w:r>
      <w:r w:rsidR="00D91112" w:rsidRPr="009B0448">
        <w:rPr>
          <w:rFonts w:ascii="Times New Roman" w:hAnsi="Times New Roman" w:cs="Times New Roman"/>
        </w:rPr>
        <w:t xml:space="preserve">e potential futures that could arise under different conditions and the trade-offs between each of these (See Box 5.2). None of these scenarios offer the desired future that we want; some of them get us closer to a desirable future than others, but the future is uncertain and a complex articulation of aspects of all these potential scenarios. In this light, scenarios are useful tools to help us think about the type of enabling environment necessary for achieving certain goals. Looking at the targets through the lens of the scenario archetypes enables decision-makers to make more informed decisions about what policy instruments could be employed (See Table 5.6), explicitly highlighting trade-offs and directing attention to specific synergies and coherence. The figure </w:t>
      </w:r>
      <w:r w:rsidR="000B06FE" w:rsidRPr="009B0448">
        <w:rPr>
          <w:rFonts w:ascii="Times New Roman" w:hAnsi="Times New Roman" w:cs="Times New Roman"/>
        </w:rPr>
        <w:t>summarise</w:t>
      </w:r>
      <w:r w:rsidR="00D91112" w:rsidRPr="009B0448">
        <w:rPr>
          <w:rFonts w:ascii="Times New Roman" w:hAnsi="Times New Roman" w:cs="Times New Roman"/>
        </w:rPr>
        <w:t xml:space="preserve">s how agenda-setting should be accompanied by effective decision-making that </w:t>
      </w:r>
      <w:r w:rsidR="00264EBF" w:rsidRPr="009B0448">
        <w:rPr>
          <w:rFonts w:ascii="Times New Roman" w:hAnsi="Times New Roman" w:cs="Times New Roman"/>
        </w:rPr>
        <w:t>recognis</w:t>
      </w:r>
      <w:r w:rsidR="00D91112" w:rsidRPr="009B0448">
        <w:rPr>
          <w:rFonts w:ascii="Times New Roman" w:hAnsi="Times New Roman" w:cs="Times New Roman"/>
        </w:rPr>
        <w:t>es future uncertainties in order to employ relevant policy instruments to achieve a desirable future.</w:t>
      </w:r>
    </w:p>
    <w:p w14:paraId="1B3A82EC" w14:textId="1CC1B118" w:rsidR="00DA6432" w:rsidRDefault="00DA6432" w:rsidP="009F0016">
      <w:pPr>
        <w:spacing w:line="276" w:lineRule="auto"/>
        <w:jc w:val="both"/>
        <w:rPr>
          <w:rFonts w:ascii="Times New Roman" w:hAnsi="Times New Roman" w:cs="Times New Roman"/>
        </w:rPr>
      </w:pPr>
    </w:p>
    <w:p w14:paraId="4DB3A7A8" w14:textId="77777777" w:rsidR="00DA6432" w:rsidRPr="009B0448" w:rsidRDefault="00DA6432" w:rsidP="009F0016">
      <w:pPr>
        <w:spacing w:line="276" w:lineRule="auto"/>
        <w:jc w:val="both"/>
        <w:rPr>
          <w:rFonts w:ascii="Times New Roman" w:hAnsi="Times New Roman" w:cs="Times New Roman"/>
        </w:rPr>
      </w:pPr>
    </w:p>
    <w:p w14:paraId="4C8B8710" w14:textId="77777777" w:rsidR="00F83B61" w:rsidRPr="009B0448" w:rsidRDefault="00F83B61" w:rsidP="00FA7185">
      <w:pPr>
        <w:pStyle w:val="Heading3"/>
        <w:widowControl w:val="0"/>
        <w:numPr>
          <w:ilvl w:val="1"/>
          <w:numId w:val="11"/>
        </w:numPr>
        <w:spacing w:before="240" w:after="240"/>
        <w:ind w:left="709" w:hanging="720"/>
        <w:rPr>
          <w:rFonts w:eastAsia="Calibri" w:cs="Times New Roman"/>
          <w:szCs w:val="24"/>
        </w:rPr>
      </w:pPr>
      <w:bookmarkStart w:id="565" w:name="_Toc502937713"/>
      <w:bookmarkStart w:id="566" w:name="_Toc519500080"/>
      <w:r w:rsidRPr="009B0448">
        <w:rPr>
          <w:rFonts w:eastAsia="Calibri" w:cs="Times New Roman"/>
          <w:szCs w:val="24"/>
        </w:rPr>
        <w:t>References</w:t>
      </w:r>
      <w:bookmarkEnd w:id="565"/>
      <w:bookmarkEnd w:id="566"/>
    </w:p>
    <w:p w14:paraId="08865100" w14:textId="77777777" w:rsidR="001D0597" w:rsidRPr="009B0448" w:rsidRDefault="001D0597" w:rsidP="009F0016">
      <w:pPr>
        <w:spacing w:after="120" w:line="276" w:lineRule="auto"/>
        <w:ind w:left="567" w:hanging="567"/>
        <w:rPr>
          <w:rStyle w:val="HTMLCite"/>
          <w:rFonts w:ascii="Times New Roman" w:hAnsi="Times New Roman" w:cs="Times New Roman"/>
          <w:i w:val="0"/>
        </w:rPr>
      </w:pPr>
      <w:r w:rsidRPr="009B0448">
        <w:rPr>
          <w:rFonts w:ascii="Times New Roman" w:hAnsi="Times New Roman" w:cs="Times New Roman"/>
        </w:rPr>
        <w:t xml:space="preserve">Abdou, M. (2014). The Great Green Wall of Sahara and Sahel initiative: climate change and gender issues. </w:t>
      </w:r>
      <w:r w:rsidRPr="009B0448">
        <w:rPr>
          <w:rFonts w:ascii="Times New Roman" w:hAnsi="Times New Roman" w:cs="Times New Roman"/>
          <w:i/>
        </w:rPr>
        <w:t>African Forest Forum, Working Paper Series</w:t>
      </w:r>
      <w:r w:rsidRPr="009B0448">
        <w:rPr>
          <w:rFonts w:ascii="Times New Roman" w:hAnsi="Times New Roman" w:cs="Times New Roman"/>
        </w:rPr>
        <w:t xml:space="preserve">, </w:t>
      </w:r>
      <w:r w:rsidRPr="009B0448">
        <w:rPr>
          <w:rFonts w:ascii="Times New Roman" w:hAnsi="Times New Roman" w:cs="Times New Roman"/>
          <w:i/>
        </w:rPr>
        <w:t>2</w:t>
      </w:r>
      <w:r w:rsidRPr="009B0448">
        <w:rPr>
          <w:rFonts w:ascii="Times New Roman" w:hAnsi="Times New Roman" w:cs="Times New Roman"/>
        </w:rPr>
        <w:t xml:space="preserve">(2), 34pp. Retrieved from </w:t>
      </w:r>
      <w:hyperlink r:id="rId1769" w:history="1">
        <w:r w:rsidRPr="009B0448">
          <w:rPr>
            <w:rStyle w:val="Hyperlink"/>
            <w:rFonts w:ascii="Times New Roman" w:hAnsi="Times New Roman" w:cs="Times New Roman"/>
          </w:rPr>
          <w:t>www.afforum.org/sites/default/files/English/English_79.pdf</w:t>
        </w:r>
      </w:hyperlink>
    </w:p>
    <w:p w14:paraId="23DE2CEA" w14:textId="77777777" w:rsidR="001D0597" w:rsidRPr="009B0448" w:rsidRDefault="001D0597" w:rsidP="009F0016">
      <w:pPr>
        <w:spacing w:after="120" w:line="276" w:lineRule="auto"/>
        <w:ind w:left="567" w:hanging="567"/>
        <w:rPr>
          <w:rStyle w:val="Hyperlink"/>
          <w:rFonts w:ascii="Times New Roman" w:hAnsi="Times New Roman" w:cs="Times New Roman"/>
        </w:rPr>
      </w:pPr>
      <w:r w:rsidRPr="009B0448">
        <w:rPr>
          <w:rFonts w:ascii="Times New Roman" w:hAnsi="Times New Roman" w:cs="Times New Roman"/>
        </w:rPr>
        <w:t xml:space="preserve">Abdulla, A., Gomei, M., Hyrenbach, D., Notarbartolo-di-Sciara, G., &amp; Agardy, T. (2009). Challenges facing a network of representative marine protected areas in the Mediterranean: Prioritizing the protection of underrepresented habitats. </w:t>
      </w:r>
      <w:r w:rsidRPr="009B0448">
        <w:rPr>
          <w:rFonts w:ascii="Times New Roman" w:hAnsi="Times New Roman" w:cs="Times New Roman"/>
          <w:i/>
        </w:rPr>
        <w:t>ICES Journal of Marine Science</w:t>
      </w:r>
      <w:r w:rsidRPr="009B0448">
        <w:rPr>
          <w:rFonts w:ascii="Times New Roman" w:hAnsi="Times New Roman" w:cs="Times New Roman"/>
        </w:rPr>
        <w:t xml:space="preserve">, </w:t>
      </w:r>
      <w:r w:rsidRPr="009B0448">
        <w:rPr>
          <w:rFonts w:ascii="Times New Roman" w:hAnsi="Times New Roman" w:cs="Times New Roman"/>
          <w:i/>
        </w:rPr>
        <w:t>66</w:t>
      </w:r>
      <w:r w:rsidRPr="009B0448">
        <w:rPr>
          <w:rFonts w:ascii="Times New Roman" w:hAnsi="Times New Roman" w:cs="Times New Roman"/>
        </w:rPr>
        <w:t xml:space="preserve">, 22–28. </w:t>
      </w:r>
      <w:hyperlink r:id="rId1770" w:history="1">
        <w:r w:rsidRPr="009B0448">
          <w:rPr>
            <w:rStyle w:val="Hyperlink"/>
            <w:rFonts w:ascii="Times New Roman" w:hAnsi="Times New Roman" w:cs="Times New Roman"/>
          </w:rPr>
          <w:t>https://doi.org/10.1093/icesjms/fsn164</w:t>
        </w:r>
      </w:hyperlink>
    </w:p>
    <w:p w14:paraId="1D6DE487"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Abe, J., Ajao, E. A., Brown, B., &amp; Donkor, S. (2016). Local to regional polycentric levels of governance of the Guinea Current Large Marine Ecosystem. </w:t>
      </w:r>
      <w:r w:rsidRPr="009B0448">
        <w:rPr>
          <w:rFonts w:ascii="Times New Roman" w:hAnsi="Times New Roman" w:cs="Times New Roman"/>
          <w:i/>
          <w:iCs/>
        </w:rPr>
        <w:t>Environmental Development</w:t>
      </w:r>
      <w:r w:rsidRPr="009B0448">
        <w:rPr>
          <w:rFonts w:ascii="Times New Roman" w:hAnsi="Times New Roman" w:cs="Times New Roman"/>
        </w:rPr>
        <w:t xml:space="preserve">, </w:t>
      </w:r>
      <w:r w:rsidRPr="009B0448">
        <w:rPr>
          <w:rFonts w:ascii="Times New Roman" w:hAnsi="Times New Roman" w:cs="Times New Roman"/>
          <w:i/>
        </w:rPr>
        <w:t>17</w:t>
      </w:r>
      <w:r w:rsidRPr="009B0448">
        <w:rPr>
          <w:rFonts w:ascii="Times New Roman" w:hAnsi="Times New Roman" w:cs="Times New Roman"/>
        </w:rPr>
        <w:t xml:space="preserve">, 287–295. </w:t>
      </w:r>
      <w:hyperlink r:id="rId1771" w:history="1">
        <w:r w:rsidRPr="009B0448">
          <w:rPr>
            <w:rStyle w:val="Hyperlink"/>
            <w:rFonts w:ascii="Times New Roman" w:hAnsi="Times New Roman" w:cs="Times New Roman"/>
          </w:rPr>
          <w:t>https://doi.org/10.1016/j.envdev.2015.06.006</w:t>
        </w:r>
      </w:hyperlink>
    </w:p>
    <w:p w14:paraId="1BE4C88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AfDB (African Development Bank). (2013). </w:t>
      </w:r>
      <w:r w:rsidRPr="009B0448">
        <w:rPr>
          <w:rFonts w:ascii="Times New Roman" w:hAnsi="Times New Roman" w:cs="Times New Roman"/>
          <w:i/>
        </w:rPr>
        <w:t>AfDB’s integrated safeguards system: Policy statement and operational safeguards</w:t>
      </w:r>
      <w:r w:rsidRPr="009B0448">
        <w:rPr>
          <w:rFonts w:ascii="Times New Roman" w:hAnsi="Times New Roman" w:cs="Times New Roman"/>
        </w:rPr>
        <w:t xml:space="preserve">. Tunisia: African Development Bank. Retrieved from </w:t>
      </w:r>
      <w:hyperlink r:id="rId1772" w:history="1">
        <w:r w:rsidRPr="009B0448">
          <w:rPr>
            <w:rStyle w:val="Hyperlink"/>
            <w:rFonts w:ascii="Times New Roman" w:hAnsi="Times New Roman" w:cs="Times New Roman"/>
          </w:rPr>
          <w:t>https://www.afdb.org/fileadmin/uploads/afdb/Documents/Policy-Documents/December_2013_-_AfDB%E2%80%99S_Integrated_Safeguards_System___Policy_Statement_and_Operational_Safeguards.pdf</w:t>
        </w:r>
      </w:hyperlink>
    </w:p>
    <w:p w14:paraId="32ED2FA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AfDB-WWF. (2012).</w:t>
      </w:r>
      <w:r w:rsidRPr="009B0448">
        <w:rPr>
          <w:rFonts w:ascii="Times New Roman" w:hAnsi="Times New Roman" w:cs="Times New Roman"/>
          <w:i/>
          <w:iCs/>
        </w:rPr>
        <w:t xml:space="preserve"> Africa ecological footprint report – Green infrastructure for Africa’s ecological security.</w:t>
      </w:r>
      <w:r w:rsidRPr="009B0448">
        <w:rPr>
          <w:rFonts w:ascii="Times New Roman" w:hAnsi="Times New Roman" w:cs="Times New Roman"/>
        </w:rPr>
        <w:t xml:space="preserve"> African Development Bank-World Wide Fund for Nature, pp.72. Retrieved from </w:t>
      </w:r>
      <w:hyperlink r:id="rId1773" w:history="1">
        <w:r w:rsidRPr="009B0448">
          <w:rPr>
            <w:rStyle w:val="Hyperlink"/>
            <w:rFonts w:ascii="Times New Roman" w:hAnsi="Times New Roman" w:cs="Times New Roman"/>
          </w:rPr>
          <w:t>http://www.footprintnetwork.org/images/uploads/africa_ecological_footprint_report.pdf</w:t>
        </w:r>
      </w:hyperlink>
    </w:p>
    <w:p w14:paraId="50498F8D" w14:textId="77777777" w:rsidR="001D0597" w:rsidRPr="009B0448" w:rsidRDefault="001D0597" w:rsidP="00651CFC">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Akhtar-Schuster, M., Thomas, R. J., Stringer, L. C., Chasek, P., &amp; Seely, M. (2011). Improving the enabling environment to combat land degradation: Institutional, financial, legal and science policy challenges and solutions. </w:t>
      </w:r>
      <w:r w:rsidRPr="009B0448">
        <w:rPr>
          <w:rFonts w:ascii="Times New Roman" w:hAnsi="Times New Roman" w:cs="Times New Roman"/>
          <w:i/>
          <w:iCs/>
        </w:rPr>
        <w:t>Land Degradation and Development</w:t>
      </w:r>
      <w:r w:rsidRPr="009B0448">
        <w:rPr>
          <w:rFonts w:ascii="Times New Roman" w:hAnsi="Times New Roman" w:cs="Times New Roman"/>
        </w:rPr>
        <w:t xml:space="preserve">, </w:t>
      </w:r>
      <w:r w:rsidRPr="009B0448">
        <w:rPr>
          <w:rFonts w:ascii="Times New Roman" w:hAnsi="Times New Roman" w:cs="Times New Roman"/>
          <w:i/>
        </w:rPr>
        <w:t>22</w:t>
      </w:r>
      <w:r w:rsidRPr="009B0448">
        <w:rPr>
          <w:rFonts w:ascii="Times New Roman" w:hAnsi="Times New Roman" w:cs="Times New Roman"/>
        </w:rPr>
        <w:t xml:space="preserve">(2), 299–312. </w:t>
      </w:r>
      <w:hyperlink r:id="rId1774" w:history="1">
        <w:r w:rsidRPr="009B0448">
          <w:rPr>
            <w:rStyle w:val="Hyperlink"/>
            <w:rFonts w:ascii="Times New Roman" w:hAnsi="Times New Roman" w:cs="Times New Roman"/>
          </w:rPr>
          <w:t>https://doi.org/10.1002/ldr.1058</w:t>
        </w:r>
      </w:hyperlink>
    </w:p>
    <w:p w14:paraId="3115006C"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Akuffo, K. (2011). The conception of land ownership in African customary law and its implications for development. </w:t>
      </w:r>
      <w:r w:rsidRPr="009B0448">
        <w:rPr>
          <w:rFonts w:ascii="Times New Roman" w:hAnsi="Times New Roman" w:cs="Times New Roman"/>
          <w:i/>
          <w:iCs/>
        </w:rPr>
        <w:t>African Journal of International and Comparative Law</w:t>
      </w:r>
      <w:r w:rsidRPr="009B0448">
        <w:rPr>
          <w:rFonts w:ascii="Times New Roman" w:hAnsi="Times New Roman" w:cs="Times New Roman"/>
        </w:rPr>
        <w:t xml:space="preserve">, </w:t>
      </w:r>
      <w:r w:rsidRPr="009B0448">
        <w:rPr>
          <w:rFonts w:ascii="Times New Roman" w:hAnsi="Times New Roman" w:cs="Times New Roman"/>
          <w:i/>
        </w:rPr>
        <w:t>17</w:t>
      </w:r>
      <w:r w:rsidRPr="009B0448">
        <w:rPr>
          <w:rFonts w:ascii="Times New Roman" w:hAnsi="Times New Roman" w:cs="Times New Roman"/>
        </w:rPr>
        <w:t xml:space="preserve">(1), 57–78. </w:t>
      </w:r>
      <w:hyperlink r:id="rId1775" w:history="1">
        <w:r w:rsidRPr="009B0448">
          <w:rPr>
            <w:rStyle w:val="Hyperlink"/>
            <w:rFonts w:ascii="Times New Roman" w:hAnsi="Times New Roman" w:cs="Times New Roman"/>
          </w:rPr>
          <w:t>https://doi.org/10.3366/E0954889009000280</w:t>
        </w:r>
      </w:hyperlink>
    </w:p>
    <w:p w14:paraId="0DBDEDC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de-DE"/>
        </w:rPr>
        <w:t xml:space="preserve">Albers, H. J., Fisher, A. C., &amp; Hanemann, W. M. (1996). </w:t>
      </w:r>
      <w:r w:rsidRPr="009B0448">
        <w:rPr>
          <w:rFonts w:ascii="Times New Roman" w:hAnsi="Times New Roman" w:cs="Times New Roman"/>
        </w:rPr>
        <w:t xml:space="preserve">Valuation and management of tropical forests. </w:t>
      </w:r>
      <w:r w:rsidRPr="009B0448">
        <w:rPr>
          <w:rFonts w:ascii="Times New Roman" w:hAnsi="Times New Roman" w:cs="Times New Roman"/>
          <w:i/>
          <w:iCs/>
        </w:rPr>
        <w:t>Environmental and Resource Economics</w:t>
      </w:r>
      <w:r w:rsidRPr="009B0448">
        <w:rPr>
          <w:rFonts w:ascii="Times New Roman" w:hAnsi="Times New Roman" w:cs="Times New Roman"/>
        </w:rPr>
        <w:t xml:space="preserve">, </w:t>
      </w:r>
      <w:r w:rsidRPr="009B0448">
        <w:rPr>
          <w:rFonts w:ascii="Times New Roman" w:hAnsi="Times New Roman" w:cs="Times New Roman"/>
          <w:i/>
        </w:rPr>
        <w:t>8,</w:t>
      </w:r>
      <w:r w:rsidRPr="009B0448">
        <w:rPr>
          <w:rFonts w:ascii="Times New Roman" w:hAnsi="Times New Roman" w:cs="Times New Roman"/>
        </w:rPr>
        <w:t xml:space="preserve"> 39–61. </w:t>
      </w:r>
      <w:hyperlink r:id="rId1776" w:history="1">
        <w:r w:rsidRPr="009B0448">
          <w:rPr>
            <w:rStyle w:val="Hyperlink"/>
            <w:rFonts w:ascii="Times New Roman" w:hAnsi="Times New Roman" w:cs="Times New Roman"/>
          </w:rPr>
          <w:t>https://doi.org/10.1007/BF00340652</w:t>
        </w:r>
      </w:hyperlink>
    </w:p>
    <w:p w14:paraId="4A589EA6" w14:textId="77777777" w:rsidR="001D0597" w:rsidRPr="009B0448" w:rsidRDefault="001D0597" w:rsidP="00E253EF">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Alcamo, J., van Vuuren, D., Ringler, C., Cramer, W., Masui, T., Alder, J., &amp; Schulze, K. (2005). Changes in nature’s balance sheet: Model-based estimates of future worldwide ecosystem services. </w:t>
      </w:r>
      <w:r w:rsidRPr="009B0448">
        <w:rPr>
          <w:rFonts w:ascii="Times New Roman" w:eastAsia="Times New Roman" w:hAnsi="Times New Roman" w:cs="Times New Roman"/>
          <w:i/>
          <w:lang w:val="en-ZA" w:eastAsia="en-GB"/>
        </w:rPr>
        <w:t>Ecology and Society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10</w:t>
      </w:r>
      <w:r w:rsidRPr="009B0448">
        <w:rPr>
          <w:rFonts w:ascii="Times New Roman" w:eastAsia="Times New Roman" w:hAnsi="Times New Roman" w:cs="Times New Roman"/>
          <w:lang w:val="en-ZA" w:eastAsia="en-GB"/>
        </w:rPr>
        <w:t xml:space="preserve">(2), 19. Retrieved from </w:t>
      </w:r>
      <w:hyperlink r:id="rId1777" w:history="1">
        <w:r w:rsidRPr="009B0448">
          <w:rPr>
            <w:rStyle w:val="Hyperlink"/>
            <w:rFonts w:ascii="Times New Roman" w:hAnsi="Times New Roman" w:cs="Times New Roman"/>
            <w:lang w:val="en-ZA" w:eastAsia="en-GB"/>
          </w:rPr>
          <w:t>http://www.ecologyandsociety.org/vol10/iss2/art19/</w:t>
        </w:r>
      </w:hyperlink>
    </w:p>
    <w:p w14:paraId="44CB2397"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Ali, A. H. (2016). </w:t>
      </w:r>
      <w:r w:rsidRPr="009B0448">
        <w:rPr>
          <w:rFonts w:ascii="Times New Roman" w:hAnsi="Times New Roman" w:cs="Times New Roman"/>
          <w:i/>
          <w:iCs/>
        </w:rPr>
        <w:t>Range collapse, demography, and conservation of the critically endangered Hirola antelope in Kenya.</w:t>
      </w:r>
      <w:r w:rsidRPr="009B0448">
        <w:rPr>
          <w:rFonts w:ascii="Times New Roman" w:hAnsi="Times New Roman" w:cs="Times New Roman"/>
        </w:rPr>
        <w:t xml:space="preserve"> Laramie, WY, USA: University of Wyoming. Retrieved from </w:t>
      </w:r>
      <w:hyperlink r:id="rId1778" w:history="1">
        <w:r w:rsidRPr="009B0448">
          <w:rPr>
            <w:rStyle w:val="Hyperlink"/>
            <w:rFonts w:ascii="Times New Roman" w:hAnsi="Times New Roman" w:cs="Times New Roman"/>
          </w:rPr>
          <w:t>http://www.hirolaconservation.org/images/scientific-publications/Dissertation.pdf</w:t>
        </w:r>
      </w:hyperlink>
    </w:p>
    <w:p w14:paraId="4021372A"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AMCEN (African Ministerial Council on the Environment). (2014a). </w:t>
      </w:r>
      <w:r w:rsidRPr="009B0448">
        <w:rPr>
          <w:rFonts w:ascii="Times New Roman" w:hAnsi="Times New Roman" w:cs="Times New Roman"/>
          <w:i/>
        </w:rPr>
        <w:t>Addressing climate change challenges in Africa: A practical guide towards sustainable development</w:t>
      </w:r>
      <w:r w:rsidRPr="009B0448">
        <w:rPr>
          <w:rFonts w:ascii="Times New Roman" w:hAnsi="Times New Roman" w:cs="Times New Roman"/>
        </w:rPr>
        <w:t>.</w:t>
      </w:r>
      <w:r w:rsidRPr="009B0448">
        <w:rPr>
          <w:rFonts w:ascii="Times New Roman" w:hAnsi="Times New Roman" w:cs="Times New Roman"/>
          <w:i/>
        </w:rPr>
        <w:t xml:space="preserve"> </w:t>
      </w:r>
      <w:r w:rsidRPr="009B0448">
        <w:rPr>
          <w:rFonts w:ascii="Times New Roman" w:hAnsi="Times New Roman" w:cs="Times New Roman"/>
        </w:rPr>
        <w:t xml:space="preserve">Nairobi, Kenya: African Ministerial Council on the Environment. Retrieved from </w:t>
      </w:r>
      <w:hyperlink r:id="rId1779" w:history="1">
        <w:r w:rsidRPr="009B0448">
          <w:rPr>
            <w:rStyle w:val="Hyperlink"/>
            <w:rFonts w:ascii="Times New Roman" w:hAnsi="Times New Roman" w:cs="Times New Roman"/>
          </w:rPr>
          <w:t>http://www.unep.org/roa/amcen/docs/publications/guidebook</w:t>
        </w:r>
      </w:hyperlink>
    </w:p>
    <w:p w14:paraId="554E21E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AMCEN (African Ministerial Council on the Environment). (2014b). </w:t>
      </w:r>
      <w:r w:rsidRPr="009B0448">
        <w:rPr>
          <w:rFonts w:ascii="Times New Roman" w:hAnsi="Times New Roman" w:cs="Times New Roman"/>
          <w:i/>
        </w:rPr>
        <w:t>Enhancing the implementation and effectiveness of environmental law in Africa.</w:t>
      </w:r>
      <w:r w:rsidRPr="009B0448">
        <w:rPr>
          <w:rFonts w:ascii="Times New Roman" w:hAnsi="Times New Roman" w:cs="Times New Roman"/>
        </w:rPr>
        <w:t xml:space="preserve"> AMCEN/15/EGM/7. Nairobi, Kenya: African Ministerial Council on the Environment. Retrieved from </w:t>
      </w:r>
      <w:hyperlink r:id="rId1780" w:history="1">
        <w:r w:rsidRPr="009B0448">
          <w:rPr>
            <w:rStyle w:val="Hyperlink"/>
            <w:rFonts w:ascii="Times New Roman" w:hAnsi="Times New Roman" w:cs="Times New Roman"/>
          </w:rPr>
          <w:t>https://wedocs.unep.org/bitstream/handle/20.500.11822/20569/AMCEN_15_EGM_7_Advance.pdf?sequence=1&amp;isAllowed=y</w:t>
        </w:r>
      </w:hyperlink>
    </w:p>
    <w:p w14:paraId="31772DA7"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Amin, A. (2016). Exploring the role of economic incentives and spillover effects in biodiversity conservation policies in sub-Saharan Africa. </w:t>
      </w:r>
      <w:r w:rsidRPr="009B0448">
        <w:rPr>
          <w:rFonts w:ascii="Times New Roman" w:hAnsi="Times New Roman" w:cs="Times New Roman"/>
          <w:i/>
          <w:iCs/>
        </w:rPr>
        <w:t>Ecological Economics,</w:t>
      </w:r>
      <w:r w:rsidRPr="009B0448">
        <w:rPr>
          <w:rFonts w:ascii="Times New Roman" w:hAnsi="Times New Roman" w:cs="Times New Roman"/>
        </w:rPr>
        <w:t xml:space="preserve"> </w:t>
      </w:r>
      <w:r w:rsidRPr="009B0448">
        <w:rPr>
          <w:rFonts w:ascii="Times New Roman" w:hAnsi="Times New Roman" w:cs="Times New Roman"/>
          <w:i/>
        </w:rPr>
        <w:t>127</w:t>
      </w:r>
      <w:r w:rsidRPr="009B0448">
        <w:rPr>
          <w:rFonts w:ascii="Times New Roman" w:hAnsi="Times New Roman" w:cs="Times New Roman"/>
        </w:rPr>
        <w:t xml:space="preserve">, 185–191. </w:t>
      </w:r>
      <w:hyperlink r:id="rId1781" w:history="1">
        <w:r w:rsidRPr="009B0448">
          <w:rPr>
            <w:rStyle w:val="Hyperlink"/>
            <w:rFonts w:ascii="Times New Roman" w:hAnsi="Times New Roman" w:cs="Times New Roman"/>
          </w:rPr>
          <w:t>https://doi.org/10.1016/j.ecolecon.2016.03.018</w:t>
        </w:r>
      </w:hyperlink>
    </w:p>
    <w:p w14:paraId="441F22E1"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Anseeuw, W. (2013). The rush for land in Africa: Resource grabbing or green revolution? </w:t>
      </w:r>
      <w:r w:rsidRPr="009B0448">
        <w:rPr>
          <w:rFonts w:ascii="Times New Roman" w:hAnsi="Times New Roman" w:cs="Times New Roman"/>
          <w:i/>
        </w:rPr>
        <w:t>South African</w:t>
      </w:r>
      <w:r w:rsidRPr="009B0448">
        <w:rPr>
          <w:rFonts w:ascii="Times New Roman" w:hAnsi="Times New Roman" w:cs="Times New Roman"/>
        </w:rPr>
        <w:t xml:space="preserve"> </w:t>
      </w:r>
      <w:r w:rsidRPr="009B0448">
        <w:rPr>
          <w:rFonts w:ascii="Times New Roman" w:hAnsi="Times New Roman" w:cs="Times New Roman"/>
          <w:i/>
        </w:rPr>
        <w:t>Journal of International Affairs</w:t>
      </w:r>
      <w:r w:rsidRPr="009B0448">
        <w:rPr>
          <w:rFonts w:ascii="Times New Roman" w:hAnsi="Times New Roman" w:cs="Times New Roman"/>
        </w:rPr>
        <w:t xml:space="preserve">, </w:t>
      </w:r>
      <w:r w:rsidRPr="009B0448">
        <w:rPr>
          <w:rFonts w:ascii="Times New Roman" w:hAnsi="Times New Roman" w:cs="Times New Roman"/>
          <w:i/>
        </w:rPr>
        <w:t>20</w:t>
      </w:r>
      <w:r w:rsidRPr="009B0448">
        <w:rPr>
          <w:rFonts w:ascii="Times New Roman" w:hAnsi="Times New Roman" w:cs="Times New Roman"/>
        </w:rPr>
        <w:t xml:space="preserve">(1), 159–177. </w:t>
      </w:r>
      <w:hyperlink r:id="rId1782" w:history="1">
        <w:r w:rsidRPr="009B0448">
          <w:rPr>
            <w:rStyle w:val="Hyperlink"/>
            <w:rFonts w:ascii="Times New Roman" w:hAnsi="Times New Roman" w:cs="Times New Roman"/>
          </w:rPr>
          <w:t>https://doi.org/10.1080/10220461.2013.780326</w:t>
        </w:r>
      </w:hyperlink>
    </w:p>
    <w:p w14:paraId="7989E8F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Arduino, S., Colombo, G., Ocampo, O. M., &amp; Panzeri, L. (2012). Contamination of community potable water from land grabbing: A case study from rural Tanzania. </w:t>
      </w:r>
      <w:r w:rsidRPr="009B0448">
        <w:rPr>
          <w:rFonts w:ascii="Times New Roman" w:hAnsi="Times New Roman" w:cs="Times New Roman"/>
          <w:i/>
        </w:rPr>
        <w:t>Water Alternatives, 5</w:t>
      </w:r>
      <w:r w:rsidRPr="009B0448">
        <w:rPr>
          <w:rFonts w:ascii="Times New Roman" w:hAnsi="Times New Roman" w:cs="Times New Roman"/>
        </w:rPr>
        <w:t xml:space="preserve">(2), 344–359. Retrieved from </w:t>
      </w:r>
      <w:hyperlink r:id="rId1783" w:history="1">
        <w:r w:rsidRPr="009B0448">
          <w:rPr>
            <w:rStyle w:val="Hyperlink"/>
            <w:rFonts w:ascii="Times New Roman" w:hAnsi="Times New Roman" w:cs="Times New Roman"/>
          </w:rPr>
          <w:t>http://www.water-alternatives.org/index.php/volume5/v5issue2/173-a5-2-9/file</w:t>
        </w:r>
      </w:hyperlink>
    </w:p>
    <w:p w14:paraId="3ABAC2F7"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ARIPO, &amp; Center for History and New Media. (2010). </w:t>
      </w:r>
      <w:r w:rsidRPr="009B0448">
        <w:rPr>
          <w:rFonts w:ascii="Times New Roman" w:hAnsi="Times New Roman" w:cs="Times New Roman"/>
          <w:i/>
        </w:rPr>
        <w:t>Swakopmund protocol on the protection of traditional knowledge and expressions of folklore</w:t>
      </w:r>
      <w:r w:rsidRPr="009B0448">
        <w:rPr>
          <w:rFonts w:ascii="Times New Roman" w:hAnsi="Times New Roman" w:cs="Times New Roman"/>
        </w:rPr>
        <w:t xml:space="preserve">. </w:t>
      </w:r>
      <w:r w:rsidRPr="009B0448">
        <w:rPr>
          <w:rFonts w:ascii="Times New Roman" w:hAnsi="Times New Roman" w:cs="Times New Roman"/>
          <w:lang w:val="de-DE"/>
        </w:rPr>
        <w:t xml:space="preserve">Swakopmund, Namibia. Retrieved from </w:t>
      </w:r>
      <w:hyperlink r:id="rId1784" w:history="1">
        <w:r w:rsidRPr="009B0448">
          <w:rPr>
            <w:rStyle w:val="Hyperlink"/>
            <w:rFonts w:ascii="Times New Roman" w:hAnsi="Times New Roman" w:cs="Times New Roman"/>
          </w:rPr>
          <w:t>http://www.wipo.int/edocs/lexdocs/treaties/en/ap010/trt_ap010.pdf</w:t>
        </w:r>
      </w:hyperlink>
    </w:p>
    <w:p w14:paraId="29D64DFB"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Ash, N., Blanco, B., Brown, C., Garcia, K., Henrichs, T., Lucas, N., Raudsepp-Hearne, C., Simpson, R. D., Scholes, R., Tomich, T. D., Vira, B., &amp; Zurek, M. (2010). </w:t>
      </w:r>
      <w:r w:rsidRPr="009B0448">
        <w:rPr>
          <w:rFonts w:ascii="Times New Roman" w:hAnsi="Times New Roman" w:cs="Times New Roman"/>
          <w:i/>
          <w:iCs/>
        </w:rPr>
        <w:t>Ecosystems and human well-being: A manual for assessment practitioners</w:t>
      </w:r>
      <w:r w:rsidRPr="009B0448">
        <w:rPr>
          <w:rFonts w:ascii="Times New Roman" w:hAnsi="Times New Roman" w:cs="Times New Roman"/>
        </w:rPr>
        <w:t xml:space="preserve">. Washington DC, USA: Island Press. Retrieved from </w:t>
      </w:r>
      <w:hyperlink r:id="rId1785" w:history="1">
        <w:r w:rsidRPr="009B0448">
          <w:rPr>
            <w:rStyle w:val="Hyperlink"/>
            <w:rFonts w:ascii="Times New Roman" w:hAnsi="Times New Roman" w:cs="Times New Roman"/>
          </w:rPr>
          <w:t>http://www.ecosystemassessments.net/resources/ecosystems-and-human-well-being-a-manual-for-assessment-practitioners.pdf</w:t>
        </w:r>
      </w:hyperlink>
    </w:p>
    <w:p w14:paraId="1D7A5E4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Aswani, S., &amp; Hamilton, R. (2004). Integrated indigenous ecological knowledge and customary sea tenure with marine and social science for conservation of bumphead parrotfish (</w:t>
      </w:r>
      <w:r w:rsidRPr="009B0448">
        <w:rPr>
          <w:rFonts w:ascii="Times New Roman" w:hAnsi="Times New Roman" w:cs="Times New Roman"/>
          <w:i/>
          <w:iCs/>
        </w:rPr>
        <w:t>Bolbometopon muricatum</w:t>
      </w:r>
      <w:r w:rsidRPr="009B0448">
        <w:rPr>
          <w:rFonts w:ascii="Times New Roman" w:hAnsi="Times New Roman" w:cs="Times New Roman"/>
        </w:rPr>
        <w:t xml:space="preserve">) in the Roviana Lagoon, Solomon Islands. </w:t>
      </w:r>
      <w:r w:rsidRPr="009B0448">
        <w:rPr>
          <w:rFonts w:ascii="Times New Roman" w:hAnsi="Times New Roman" w:cs="Times New Roman"/>
          <w:i/>
          <w:iCs/>
        </w:rPr>
        <w:t>Environmental Conservation</w:t>
      </w:r>
      <w:r w:rsidRPr="009B0448">
        <w:rPr>
          <w:rFonts w:ascii="Times New Roman" w:hAnsi="Times New Roman" w:cs="Times New Roman"/>
        </w:rPr>
        <w:t xml:space="preserve">, </w:t>
      </w:r>
      <w:r w:rsidRPr="009B0448">
        <w:rPr>
          <w:rFonts w:ascii="Times New Roman" w:hAnsi="Times New Roman" w:cs="Times New Roman"/>
          <w:i/>
        </w:rPr>
        <w:t>31</w:t>
      </w:r>
      <w:r w:rsidRPr="009B0448">
        <w:rPr>
          <w:rFonts w:ascii="Times New Roman" w:hAnsi="Times New Roman" w:cs="Times New Roman"/>
        </w:rPr>
        <w:t xml:space="preserve">(1), 69–83. </w:t>
      </w:r>
      <w:hyperlink r:id="rId1786" w:history="1">
        <w:r w:rsidRPr="009B0448">
          <w:rPr>
            <w:rStyle w:val="Hyperlink"/>
            <w:rFonts w:ascii="Times New Roman" w:hAnsi="Times New Roman" w:cs="Times New Roman"/>
          </w:rPr>
          <w:t>https://doi.org/10.1017/S037689290400116X</w:t>
        </w:r>
      </w:hyperlink>
    </w:p>
    <w:p w14:paraId="7A7F268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Aswani, S., &amp; Lauer, M. (2006). Benthic mapping using local aerial photo interpretation and resident taxa inventories for designing marine protected areas. </w:t>
      </w:r>
      <w:r w:rsidRPr="009B0448">
        <w:rPr>
          <w:rFonts w:ascii="Times New Roman" w:hAnsi="Times New Roman" w:cs="Times New Roman"/>
          <w:i/>
          <w:iCs/>
        </w:rPr>
        <w:t>Environmental Conservation</w:t>
      </w:r>
      <w:r w:rsidRPr="009B0448">
        <w:rPr>
          <w:rFonts w:ascii="Times New Roman" w:hAnsi="Times New Roman" w:cs="Times New Roman"/>
        </w:rPr>
        <w:t xml:space="preserve">, </w:t>
      </w:r>
      <w:r w:rsidRPr="009B0448">
        <w:rPr>
          <w:rFonts w:ascii="Times New Roman" w:hAnsi="Times New Roman" w:cs="Times New Roman"/>
          <w:i/>
        </w:rPr>
        <w:t>33</w:t>
      </w:r>
      <w:r w:rsidRPr="009B0448">
        <w:rPr>
          <w:rFonts w:ascii="Times New Roman" w:hAnsi="Times New Roman" w:cs="Times New Roman"/>
        </w:rPr>
        <w:t xml:space="preserve">(3), 263–273. </w:t>
      </w:r>
      <w:hyperlink r:id="rId1787" w:history="1">
        <w:r w:rsidRPr="009B0448">
          <w:rPr>
            <w:rStyle w:val="Hyperlink"/>
            <w:rFonts w:ascii="Times New Roman" w:hAnsi="Times New Roman" w:cs="Times New Roman"/>
          </w:rPr>
          <w:t>https://doi.org/10.1017/S0376892906003183</w:t>
        </w:r>
      </w:hyperlink>
    </w:p>
    <w:p w14:paraId="7AF4E77F" w14:textId="7C1636D6" w:rsidR="001D0597" w:rsidRPr="009B0448" w:rsidRDefault="00247AD0" w:rsidP="009F0016">
      <w:pPr>
        <w:spacing w:after="120" w:line="276" w:lineRule="auto"/>
        <w:ind w:left="567" w:hanging="567"/>
        <w:rPr>
          <w:rFonts w:ascii="Times New Roman" w:hAnsi="Times New Roman" w:cs="Times New Roman"/>
        </w:rPr>
      </w:pPr>
      <w:r>
        <w:rPr>
          <w:rFonts w:ascii="Times New Roman" w:hAnsi="Times New Roman" w:cs="Times New Roman"/>
        </w:rPr>
        <w:t>AU</w:t>
      </w:r>
      <w:r w:rsidR="001D0597" w:rsidRPr="009B0448">
        <w:rPr>
          <w:rFonts w:ascii="Times New Roman" w:eastAsia="Times New Roman" w:hAnsi="Times New Roman" w:cs="Times New Roman"/>
          <w:lang w:val="en-ZA" w:eastAsia="en-GB"/>
        </w:rPr>
        <w:t>.</w:t>
      </w:r>
      <w:r w:rsidR="001D0597" w:rsidRPr="009B0448">
        <w:rPr>
          <w:rFonts w:ascii="Times New Roman" w:hAnsi="Times New Roman" w:cs="Times New Roman"/>
        </w:rPr>
        <w:t xml:space="preserve"> (2010). </w:t>
      </w:r>
      <w:r w:rsidR="001D0597" w:rsidRPr="009B0448">
        <w:rPr>
          <w:rFonts w:ascii="Times New Roman" w:hAnsi="Times New Roman" w:cs="Times New Roman"/>
          <w:i/>
        </w:rPr>
        <w:t>Policy framework for pastoralism in Africa: Securing, protecting and improving the lives, livelihoods and rights of pastoralist communities</w:t>
      </w:r>
      <w:r w:rsidR="001D0597" w:rsidRPr="009B0448">
        <w:rPr>
          <w:rFonts w:ascii="Times New Roman" w:hAnsi="Times New Roman" w:cs="Times New Roman"/>
        </w:rPr>
        <w:t>. Addis Ababa, Ethiopia: Department of Rural Economy and Agriculture, African Union</w:t>
      </w:r>
      <w:r w:rsidR="00C003B0" w:rsidRPr="009B0448">
        <w:rPr>
          <w:rFonts w:ascii="Times New Roman" w:hAnsi="Times New Roman" w:cs="Times New Roman"/>
        </w:rPr>
        <w:t xml:space="preserve"> Commission</w:t>
      </w:r>
      <w:r w:rsidR="001D0597" w:rsidRPr="009B0448">
        <w:rPr>
          <w:rFonts w:ascii="Times New Roman" w:hAnsi="Times New Roman" w:cs="Times New Roman"/>
        </w:rPr>
        <w:t xml:space="preserve">. Retrieved from </w:t>
      </w:r>
      <w:hyperlink r:id="rId1788" w:history="1">
        <w:r w:rsidR="001D0597" w:rsidRPr="009B0448">
          <w:rPr>
            <w:rStyle w:val="Hyperlink"/>
            <w:rFonts w:ascii="Times New Roman" w:hAnsi="Times New Roman" w:cs="Times New Roman"/>
          </w:rPr>
          <w:t>https://au.int/sites/default/files/documents/30240-doc-policy_framework_for_pastoralism.pdf</w:t>
        </w:r>
      </w:hyperlink>
    </w:p>
    <w:p w14:paraId="2061DBAA" w14:textId="128014A0" w:rsidR="001D0597" w:rsidRPr="009B0448" w:rsidRDefault="00247AD0" w:rsidP="00E253EF">
      <w:pPr>
        <w:widowControl w:val="0"/>
        <w:spacing w:before="120" w:after="120" w:line="276" w:lineRule="auto"/>
        <w:ind w:left="567" w:hanging="567"/>
        <w:rPr>
          <w:rFonts w:ascii="Times New Roman" w:eastAsia="Times New Roman" w:hAnsi="Times New Roman" w:cs="Times New Roman"/>
          <w:lang w:val="en-ZA" w:eastAsia="en-GB"/>
        </w:rPr>
      </w:pPr>
      <w:r>
        <w:rPr>
          <w:rFonts w:ascii="Times New Roman" w:eastAsia="Times New Roman" w:hAnsi="Times New Roman" w:cs="Times New Roman"/>
          <w:lang w:val="en-ZA" w:eastAsia="en-GB"/>
        </w:rPr>
        <w:t>AU</w:t>
      </w:r>
      <w:r w:rsidR="001D0597" w:rsidRPr="009B0448">
        <w:rPr>
          <w:rFonts w:ascii="Times New Roman" w:eastAsia="Times New Roman" w:hAnsi="Times New Roman" w:cs="Times New Roman"/>
          <w:lang w:val="en-ZA" w:eastAsia="en-GB"/>
        </w:rPr>
        <w:t xml:space="preserve">. (2015). </w:t>
      </w:r>
      <w:r w:rsidR="001D0597" w:rsidRPr="009B0448">
        <w:rPr>
          <w:rFonts w:ascii="Times New Roman" w:eastAsia="Times New Roman" w:hAnsi="Times New Roman" w:cs="Times New Roman"/>
          <w:i/>
          <w:lang w:val="en-ZA" w:eastAsia="en-GB"/>
        </w:rPr>
        <w:t>Agenda 2063: The Africa we want</w:t>
      </w:r>
      <w:r w:rsidR="001D0597" w:rsidRPr="009B0448">
        <w:rPr>
          <w:rFonts w:ascii="Times New Roman" w:eastAsia="Times New Roman" w:hAnsi="Times New Roman" w:cs="Times New Roman"/>
          <w:lang w:val="en-ZA" w:eastAsia="en-GB"/>
        </w:rPr>
        <w:t xml:space="preserve">. </w:t>
      </w:r>
      <w:r w:rsidR="001D0597" w:rsidRPr="009B0448">
        <w:rPr>
          <w:rFonts w:ascii="Times New Roman" w:hAnsi="Times New Roman" w:cs="Times New Roman"/>
        </w:rPr>
        <w:t xml:space="preserve">Addis Ababa, Ethiopia: </w:t>
      </w:r>
      <w:r w:rsidR="001D0597" w:rsidRPr="009B0448">
        <w:rPr>
          <w:rFonts w:ascii="Times New Roman" w:eastAsia="Times New Roman" w:hAnsi="Times New Roman" w:cs="Times New Roman"/>
          <w:lang w:val="en-ZA" w:eastAsia="en-GB"/>
        </w:rPr>
        <w:t xml:space="preserve">African Union Commission. Retrieved from </w:t>
      </w:r>
      <w:hyperlink r:id="rId1789" w:history="1">
        <w:r w:rsidR="001D0597" w:rsidRPr="009B0448">
          <w:rPr>
            <w:rStyle w:val="Hyperlink"/>
            <w:rFonts w:ascii="Times New Roman" w:hAnsi="Times New Roman" w:cs="Times New Roman"/>
            <w:lang w:val="en-ZA" w:eastAsia="en-GB"/>
          </w:rPr>
          <w:t>http://archive.au.int/assets/images/agenda2063.pdf</w:t>
        </w:r>
      </w:hyperlink>
    </w:p>
    <w:p w14:paraId="6534CB38"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Aubertin, C., &amp; Vandevelde, J. C. (2009). </w:t>
      </w:r>
      <w:r w:rsidRPr="009B0448">
        <w:rPr>
          <w:rFonts w:ascii="Times New Roman" w:hAnsi="Times New Roman" w:cs="Times New Roman"/>
          <w:lang w:val="fr-FR"/>
        </w:rPr>
        <w:t xml:space="preserve">Approche économique de la biodiversité et des services liés aux écosystèmes. </w:t>
      </w:r>
      <w:r w:rsidRPr="009B0448">
        <w:rPr>
          <w:rFonts w:ascii="Times New Roman" w:hAnsi="Times New Roman" w:cs="Times New Roman"/>
        </w:rPr>
        <w:t xml:space="preserve">Contribution à la décision publique. </w:t>
      </w:r>
      <w:r w:rsidRPr="009B0448">
        <w:rPr>
          <w:rFonts w:ascii="Times New Roman" w:hAnsi="Times New Roman" w:cs="Times New Roman"/>
          <w:i/>
          <w:iCs/>
        </w:rPr>
        <w:t>Natures Sciences Sociétés</w:t>
      </w:r>
      <w:r w:rsidRPr="009B0448">
        <w:rPr>
          <w:rFonts w:ascii="Times New Roman" w:hAnsi="Times New Roman" w:cs="Times New Roman"/>
        </w:rPr>
        <w:t xml:space="preserve">, </w:t>
      </w:r>
      <w:r w:rsidRPr="009B0448">
        <w:rPr>
          <w:rFonts w:ascii="Times New Roman" w:hAnsi="Times New Roman" w:cs="Times New Roman"/>
          <w:i/>
          <w:iCs/>
        </w:rPr>
        <w:t>17</w:t>
      </w:r>
      <w:r w:rsidRPr="009B0448">
        <w:rPr>
          <w:rFonts w:ascii="Times New Roman" w:hAnsi="Times New Roman" w:cs="Times New Roman"/>
        </w:rPr>
        <w:t xml:space="preserve">(4), 435–438. </w:t>
      </w:r>
      <w:hyperlink r:id="rId1790" w:history="1">
        <w:r w:rsidRPr="009B0448">
          <w:rPr>
            <w:rStyle w:val="Hyperlink"/>
            <w:rFonts w:ascii="Times New Roman" w:hAnsi="Times New Roman" w:cs="Times New Roman"/>
          </w:rPr>
          <w:t>https://doi.org/10.1051/nss/2009056</w:t>
        </w:r>
      </w:hyperlink>
    </w:p>
    <w:p w14:paraId="3565019B"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Ayeni, A. O., Cho, M. A., Mathieu, R., &amp; Adegoke, J. O. (2016). The local experts' perception of environmental change and its impacts on surface water in Southwestern Nigeria. </w:t>
      </w:r>
      <w:r w:rsidRPr="009B0448">
        <w:rPr>
          <w:rFonts w:ascii="Times New Roman" w:hAnsi="Times New Roman" w:cs="Times New Roman"/>
          <w:i/>
          <w:iCs/>
        </w:rPr>
        <w:t>Environmental Development</w:t>
      </w:r>
      <w:r w:rsidRPr="009B0448">
        <w:rPr>
          <w:rFonts w:ascii="Times New Roman" w:hAnsi="Times New Roman" w:cs="Times New Roman"/>
        </w:rPr>
        <w:t xml:space="preserve">, </w:t>
      </w:r>
      <w:r w:rsidRPr="009B0448">
        <w:rPr>
          <w:rFonts w:ascii="Times New Roman" w:hAnsi="Times New Roman" w:cs="Times New Roman"/>
          <w:i/>
          <w:iCs/>
        </w:rPr>
        <w:t>17</w:t>
      </w:r>
      <w:r w:rsidRPr="009B0448">
        <w:rPr>
          <w:rFonts w:ascii="Times New Roman" w:hAnsi="Times New Roman" w:cs="Times New Roman"/>
        </w:rPr>
        <w:t xml:space="preserve">, 33–47. </w:t>
      </w:r>
      <w:hyperlink r:id="rId1791" w:history="1">
        <w:r w:rsidRPr="009B0448">
          <w:rPr>
            <w:rStyle w:val="Hyperlink"/>
            <w:rFonts w:ascii="Times New Roman" w:hAnsi="Times New Roman" w:cs="Times New Roman"/>
          </w:rPr>
          <w:t>https://doi.org/10.1016/j.envdev.2015.09.007</w:t>
        </w:r>
      </w:hyperlink>
    </w:p>
    <w:p w14:paraId="7EFB5E1D"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Ayre, M., &amp; Nettle, R. (2015). Doing integration in catchment management research: Insights into a dynamic learning process. </w:t>
      </w:r>
      <w:r w:rsidRPr="009B0448">
        <w:rPr>
          <w:rFonts w:ascii="Times New Roman" w:hAnsi="Times New Roman" w:cs="Times New Roman"/>
          <w:i/>
          <w:iCs/>
        </w:rPr>
        <w:t>Environmental Science &amp; Policy</w:t>
      </w:r>
      <w:r w:rsidRPr="009B0448">
        <w:rPr>
          <w:rFonts w:ascii="Times New Roman" w:hAnsi="Times New Roman" w:cs="Times New Roman"/>
        </w:rPr>
        <w:t xml:space="preserve">, </w:t>
      </w:r>
      <w:r w:rsidRPr="009B0448">
        <w:rPr>
          <w:rFonts w:ascii="Times New Roman" w:hAnsi="Times New Roman" w:cs="Times New Roman"/>
          <w:i/>
        </w:rPr>
        <w:t>47</w:t>
      </w:r>
      <w:r w:rsidRPr="009B0448">
        <w:rPr>
          <w:rFonts w:ascii="Times New Roman" w:hAnsi="Times New Roman" w:cs="Times New Roman"/>
        </w:rPr>
        <w:t xml:space="preserve">, 18–31. </w:t>
      </w:r>
      <w:hyperlink r:id="rId1792" w:tgtFrame="_blank" w:tooltip="Persistent link using digital object identifier" w:history="1">
        <w:r w:rsidRPr="009B0448">
          <w:rPr>
            <w:rStyle w:val="Hyperlink"/>
            <w:rFonts w:ascii="Times New Roman" w:hAnsi="Times New Roman" w:cs="Times New Roman"/>
          </w:rPr>
          <w:t>https://doi.org/10.1016/j.envsci.2014.10.011</w:t>
        </w:r>
      </w:hyperlink>
    </w:p>
    <w:p w14:paraId="0C56715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Bagnoli, P., Goeschl, T., &amp; Kovács, E. (2008). </w:t>
      </w:r>
      <w:r w:rsidRPr="009B0448">
        <w:rPr>
          <w:rFonts w:ascii="Times New Roman" w:hAnsi="Times New Roman" w:cs="Times New Roman"/>
          <w:i/>
          <w:iCs/>
        </w:rPr>
        <w:t>People and biodiversity policies: Impacts, issues and strategies for policy action</w:t>
      </w:r>
      <w:r w:rsidRPr="009B0448">
        <w:rPr>
          <w:rFonts w:ascii="Times New Roman" w:hAnsi="Times New Roman" w:cs="Times New Roman"/>
        </w:rPr>
        <w:t xml:space="preserve">. Paris, France: OECD Publishing. Retrieved from </w:t>
      </w:r>
      <w:hyperlink r:id="rId1793" w:history="1">
        <w:r w:rsidRPr="009B0448">
          <w:rPr>
            <w:rStyle w:val="Hyperlink"/>
            <w:rFonts w:ascii="Times New Roman" w:hAnsi="Times New Roman" w:cs="Times New Roman"/>
          </w:rPr>
          <w:t>https://doi.org/10.1787/9789264034341-en</w:t>
        </w:r>
      </w:hyperlink>
    </w:p>
    <w:p w14:paraId="6B46617B"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en-US"/>
        </w:rPr>
        <w:t xml:space="preserve">Balehegn, M. (2015). Unintended consequences: the ecological repercussions of land grabbing in sub-Saharan Africa. </w:t>
      </w:r>
      <w:r w:rsidRPr="009B0448">
        <w:rPr>
          <w:rFonts w:ascii="Times New Roman" w:hAnsi="Times New Roman" w:cs="Times New Roman"/>
          <w:i/>
          <w:lang w:val="en-US"/>
        </w:rPr>
        <w:t>Environment: Science and Policy for Sustainable Development,</w:t>
      </w:r>
      <w:r w:rsidRPr="009B0448">
        <w:rPr>
          <w:rFonts w:ascii="Times New Roman" w:hAnsi="Times New Roman" w:cs="Times New Roman"/>
          <w:lang w:val="en-US"/>
        </w:rPr>
        <w:t xml:space="preserve"> </w:t>
      </w:r>
      <w:r w:rsidRPr="009B0448">
        <w:rPr>
          <w:rFonts w:ascii="Times New Roman" w:hAnsi="Times New Roman" w:cs="Times New Roman"/>
          <w:i/>
          <w:lang w:val="en-US"/>
        </w:rPr>
        <w:t>57</w:t>
      </w:r>
      <w:r w:rsidRPr="009B0448">
        <w:rPr>
          <w:rFonts w:ascii="Times New Roman" w:hAnsi="Times New Roman" w:cs="Times New Roman"/>
          <w:lang w:val="en-US"/>
        </w:rPr>
        <w:t xml:space="preserve">, 4–21. </w:t>
      </w:r>
    </w:p>
    <w:p w14:paraId="06168DD8" w14:textId="77777777" w:rsidR="001D0597" w:rsidRPr="009B0448" w:rsidRDefault="001D0597" w:rsidP="009F0016">
      <w:pPr>
        <w:spacing w:after="120" w:line="276" w:lineRule="auto"/>
        <w:ind w:left="567" w:hanging="567"/>
        <w:rPr>
          <w:rFonts w:ascii="Times New Roman" w:hAnsi="Times New Roman" w:cs="Times New Roman"/>
          <w:lang w:val="en-US"/>
        </w:rPr>
      </w:pPr>
      <w:r w:rsidRPr="009B0448">
        <w:rPr>
          <w:rFonts w:ascii="Times New Roman" w:hAnsi="Times New Roman" w:cs="Times New Roman"/>
          <w:lang w:val="en-US"/>
        </w:rPr>
        <w:t xml:space="preserve">Balehegn, M. (2016). Ecological and social wisdom in camel praise poetry sung by Afar nomads of Ethiopia. </w:t>
      </w:r>
      <w:r w:rsidRPr="009B0448">
        <w:rPr>
          <w:rFonts w:ascii="Times New Roman" w:hAnsi="Times New Roman" w:cs="Times New Roman"/>
          <w:i/>
          <w:lang w:val="en-US"/>
        </w:rPr>
        <w:t>Journal of Ethnobiology,</w:t>
      </w:r>
      <w:r w:rsidRPr="009B0448">
        <w:rPr>
          <w:rFonts w:ascii="Times New Roman" w:hAnsi="Times New Roman" w:cs="Times New Roman"/>
          <w:lang w:val="en-US"/>
        </w:rPr>
        <w:t xml:space="preserve"> </w:t>
      </w:r>
      <w:r w:rsidRPr="009B0448">
        <w:rPr>
          <w:rFonts w:ascii="Times New Roman" w:hAnsi="Times New Roman" w:cs="Times New Roman"/>
          <w:i/>
          <w:lang w:val="en-US"/>
        </w:rPr>
        <w:t>36</w:t>
      </w:r>
      <w:r w:rsidRPr="009B0448">
        <w:rPr>
          <w:rFonts w:ascii="Times New Roman" w:hAnsi="Times New Roman" w:cs="Times New Roman"/>
          <w:lang w:val="en-US"/>
        </w:rPr>
        <w:t xml:space="preserve">, 457–472. </w:t>
      </w:r>
      <w:hyperlink r:id="rId1794" w:history="1">
        <w:r w:rsidRPr="009B0448">
          <w:rPr>
            <w:rStyle w:val="Hyperlink"/>
            <w:rFonts w:ascii="Times New Roman" w:hAnsi="Times New Roman" w:cs="Times New Roman"/>
            <w:lang w:val="en-US"/>
          </w:rPr>
          <w:t>https://doi.org/10.2993/0278-0771-36.2.457</w:t>
        </w:r>
      </w:hyperlink>
    </w:p>
    <w:p w14:paraId="2A4C4926"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Balehegn, M., Eik, L. O., &amp; Tesfay, Y. (2015). There is more in fodder trees than their nutritional values: local valuation of indigenous fodder trees and shrubs by pastoral and agrarian communities in northern Ethiopia. </w:t>
      </w:r>
      <w:r w:rsidRPr="009B0448">
        <w:rPr>
          <w:rFonts w:ascii="Times New Roman" w:hAnsi="Times New Roman" w:cs="Times New Roman"/>
          <w:i/>
        </w:rPr>
        <w:t>Forests, Trees and Livelihoods, 24</w:t>
      </w:r>
      <w:r w:rsidRPr="009B0448">
        <w:rPr>
          <w:rFonts w:ascii="Times New Roman" w:hAnsi="Times New Roman" w:cs="Times New Roman"/>
        </w:rPr>
        <w:t xml:space="preserve">(2), 112–127. </w:t>
      </w:r>
      <w:hyperlink r:id="rId1795" w:history="1">
        <w:r w:rsidRPr="009B0448">
          <w:rPr>
            <w:rStyle w:val="Hyperlink"/>
            <w:rFonts w:ascii="Times New Roman" w:hAnsi="Times New Roman" w:cs="Times New Roman"/>
          </w:rPr>
          <w:t>https://doi.org/10.1080/14728028.2014.993431</w:t>
        </w:r>
      </w:hyperlink>
    </w:p>
    <w:p w14:paraId="4B9EFAB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Barau, A. S., Stringer, L. C., &amp; Adamu, A. U. (2016). Environmental ethics and future oriented transformation to sustainability in sub-Saharan Africa. </w:t>
      </w:r>
      <w:r w:rsidRPr="009B0448">
        <w:rPr>
          <w:rFonts w:ascii="Times New Roman" w:hAnsi="Times New Roman" w:cs="Times New Roman"/>
          <w:i/>
        </w:rPr>
        <w:t>J</w:t>
      </w:r>
      <w:r w:rsidRPr="009B0448">
        <w:rPr>
          <w:rFonts w:ascii="Times New Roman" w:hAnsi="Times New Roman" w:cs="Times New Roman"/>
          <w:i/>
          <w:iCs/>
        </w:rPr>
        <w:t>ournal of Cleaner Production</w:t>
      </w:r>
      <w:r w:rsidRPr="009B0448">
        <w:rPr>
          <w:rFonts w:ascii="Times New Roman" w:hAnsi="Times New Roman" w:cs="Times New Roman"/>
        </w:rPr>
        <w:t xml:space="preserve">, </w:t>
      </w:r>
      <w:r w:rsidRPr="009B0448">
        <w:rPr>
          <w:rFonts w:ascii="Times New Roman" w:hAnsi="Times New Roman" w:cs="Times New Roman"/>
          <w:i/>
        </w:rPr>
        <w:t xml:space="preserve">135, </w:t>
      </w:r>
      <w:r w:rsidRPr="009B0448">
        <w:rPr>
          <w:rFonts w:ascii="Times New Roman" w:hAnsi="Times New Roman" w:cs="Times New Roman"/>
        </w:rPr>
        <w:t xml:space="preserve">1539–1547. </w:t>
      </w:r>
      <w:hyperlink r:id="rId1796" w:history="1">
        <w:r w:rsidRPr="009B0448">
          <w:rPr>
            <w:rStyle w:val="Hyperlink"/>
            <w:rFonts w:ascii="Times New Roman" w:hAnsi="Times New Roman" w:cs="Times New Roman"/>
          </w:rPr>
          <w:t>https://doi.org/10.1016/j.jclepro.2016.03.053</w:t>
        </w:r>
      </w:hyperlink>
    </w:p>
    <w:p w14:paraId="2D042182"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Barbier, E. B. (1994). Valuing environmental functions: Tropical wetlands.</w:t>
      </w:r>
      <w:r w:rsidRPr="009B0448">
        <w:rPr>
          <w:rFonts w:ascii="Times New Roman" w:hAnsi="Times New Roman" w:cs="Times New Roman"/>
          <w:i/>
          <w:iCs/>
        </w:rPr>
        <w:t xml:space="preserve"> Land Economics</w:t>
      </w:r>
      <w:r w:rsidRPr="009B0448">
        <w:rPr>
          <w:rFonts w:ascii="Times New Roman" w:hAnsi="Times New Roman" w:cs="Times New Roman"/>
        </w:rPr>
        <w:t xml:space="preserve">, </w:t>
      </w:r>
      <w:r w:rsidRPr="009B0448">
        <w:rPr>
          <w:rFonts w:ascii="Times New Roman" w:hAnsi="Times New Roman" w:cs="Times New Roman"/>
          <w:i/>
        </w:rPr>
        <w:t>70</w:t>
      </w:r>
      <w:r w:rsidRPr="009B0448">
        <w:rPr>
          <w:rFonts w:ascii="Times New Roman" w:hAnsi="Times New Roman" w:cs="Times New Roman"/>
        </w:rPr>
        <w:t xml:space="preserve">(2), 155–173. Retrieved fom </w:t>
      </w:r>
      <w:hyperlink r:id="rId1797" w:history="1">
        <w:r w:rsidRPr="009B0448">
          <w:rPr>
            <w:rStyle w:val="Hyperlink"/>
            <w:rFonts w:ascii="Times New Roman" w:hAnsi="Times New Roman" w:cs="Times New Roman"/>
          </w:rPr>
          <w:t>http://www.jstor.org/stable/3146319</w:t>
        </w:r>
      </w:hyperlink>
    </w:p>
    <w:p w14:paraId="12863D77" w14:textId="77777777" w:rsidR="001D0597" w:rsidRPr="009B0448" w:rsidRDefault="001D0597" w:rsidP="005E17B5">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ind w:left="567" w:hanging="567"/>
        <w:rPr>
          <w:rFonts w:ascii="Times New Roman" w:hAnsi="Times New Roman" w:cs="Times New Roman"/>
          <w:lang w:val="fr-FR"/>
        </w:rPr>
      </w:pPr>
      <w:r w:rsidRPr="009B0448">
        <w:rPr>
          <w:rFonts w:ascii="Times New Roman" w:hAnsi="Times New Roman" w:cs="Times New Roman"/>
        </w:rPr>
        <w:t xml:space="preserve">Barbier, E. B. (2013). Wealth accounting, ecological capital and ecosystem services. </w:t>
      </w:r>
      <w:r w:rsidRPr="009B0448">
        <w:rPr>
          <w:rFonts w:ascii="Times New Roman" w:hAnsi="Times New Roman" w:cs="Times New Roman"/>
          <w:i/>
          <w:iCs/>
          <w:lang w:val="fr-FR"/>
        </w:rPr>
        <w:t>Environment and Development Economics</w:t>
      </w:r>
      <w:r w:rsidRPr="009B0448">
        <w:rPr>
          <w:rFonts w:ascii="Times New Roman" w:hAnsi="Times New Roman" w:cs="Times New Roman"/>
          <w:lang w:val="fr-FR"/>
        </w:rPr>
        <w:t xml:space="preserve">, </w:t>
      </w:r>
      <w:r w:rsidRPr="009B0448">
        <w:rPr>
          <w:rFonts w:ascii="Times New Roman" w:hAnsi="Times New Roman" w:cs="Times New Roman"/>
          <w:i/>
          <w:lang w:val="fr-FR"/>
        </w:rPr>
        <w:t>18</w:t>
      </w:r>
      <w:r w:rsidRPr="009B0448">
        <w:rPr>
          <w:rFonts w:ascii="Times New Roman" w:hAnsi="Times New Roman" w:cs="Times New Roman"/>
          <w:lang w:val="fr-FR"/>
        </w:rPr>
        <w:t xml:space="preserve">(2), 133–161. </w:t>
      </w:r>
      <w:hyperlink r:id="rId1798" w:history="1">
        <w:r w:rsidRPr="009B0448">
          <w:rPr>
            <w:rStyle w:val="Hyperlink"/>
            <w:rFonts w:ascii="Times New Roman" w:hAnsi="Times New Roman" w:cs="Times New Roman"/>
            <w:lang w:val="fr-FR"/>
          </w:rPr>
          <w:t>https://doi.org/10.1017/S1355770X12000551</w:t>
        </w:r>
      </w:hyperlink>
    </w:p>
    <w:p w14:paraId="42F0AB6A" w14:textId="546133E3" w:rsidR="001D0597" w:rsidRPr="009B0448" w:rsidRDefault="001D0597" w:rsidP="009F0016">
      <w:pPr>
        <w:spacing w:after="120" w:line="276" w:lineRule="auto"/>
        <w:ind w:left="567" w:hanging="567"/>
        <w:rPr>
          <w:rFonts w:ascii="Times New Roman" w:hAnsi="Times New Roman" w:cs="Times New Roman"/>
          <w:i/>
          <w:iCs/>
        </w:rPr>
      </w:pPr>
      <w:r w:rsidRPr="009B0448">
        <w:rPr>
          <w:rFonts w:ascii="Times New Roman" w:hAnsi="Times New Roman" w:cs="Times New Roman"/>
        </w:rPr>
        <w:t xml:space="preserve">Barbier, E. B., Acreman, M. C., &amp; Knowler, D. (1997). </w:t>
      </w:r>
      <w:r w:rsidRPr="009B0448">
        <w:rPr>
          <w:rFonts w:ascii="Times New Roman" w:hAnsi="Times New Roman" w:cs="Times New Roman"/>
          <w:i/>
          <w:iCs/>
        </w:rPr>
        <w:t>Economic valuation of wetlands: a guide for policy makers and planners.</w:t>
      </w:r>
      <w:r w:rsidRPr="009B0448">
        <w:rPr>
          <w:rFonts w:ascii="Times New Roman" w:hAnsi="Times New Roman" w:cs="Times New Roman"/>
        </w:rPr>
        <w:t xml:space="preserve"> Gland, Switzerland: Ramsar Convention Bureau. Retrieved from </w:t>
      </w:r>
      <w:hyperlink r:id="rId1799" w:history="1">
        <w:r w:rsidRPr="009B0448">
          <w:rPr>
            <w:rStyle w:val="Hyperlink"/>
            <w:rFonts w:ascii="Times New Roman" w:hAnsi="Times New Roman" w:cs="Times New Roman"/>
          </w:rPr>
          <w:t>https://www.ramsar.org/sites/default/files/documents/pdf/lib/lib_valuation_e.pdf</w:t>
        </w:r>
      </w:hyperlink>
    </w:p>
    <w:p w14:paraId="25ECC94B" w14:textId="77777777" w:rsidR="001D0597" w:rsidRPr="009B0448" w:rsidRDefault="001D0597" w:rsidP="005E17B5">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ind w:left="567" w:hanging="567"/>
        <w:rPr>
          <w:rFonts w:ascii="Times New Roman" w:hAnsi="Times New Roman" w:cs="Times New Roman"/>
        </w:rPr>
      </w:pPr>
      <w:r w:rsidRPr="009B0448">
        <w:rPr>
          <w:rFonts w:ascii="Times New Roman" w:hAnsi="Times New Roman" w:cs="Times New Roman"/>
        </w:rPr>
        <w:t xml:space="preserve">Barjolle, D., &amp; Sylvander, B. (2002). Some factors of success for origin labelled products in agri-food supply chains in Europe: market, internal resources and institutions. </w:t>
      </w:r>
      <w:r w:rsidRPr="009B0448">
        <w:rPr>
          <w:rFonts w:ascii="Times New Roman" w:hAnsi="Times New Roman" w:cs="Times New Roman"/>
          <w:i/>
        </w:rPr>
        <w:t>Economies et Sociétés</w:t>
      </w:r>
      <w:r w:rsidRPr="009B0448">
        <w:rPr>
          <w:rFonts w:ascii="Times New Roman" w:hAnsi="Times New Roman" w:cs="Times New Roman"/>
        </w:rPr>
        <w:t xml:space="preserve">, </w:t>
      </w:r>
      <w:r w:rsidRPr="009B0448">
        <w:rPr>
          <w:rFonts w:ascii="Times New Roman" w:hAnsi="Times New Roman" w:cs="Times New Roman"/>
          <w:i/>
        </w:rPr>
        <w:t>25</w:t>
      </w:r>
      <w:r w:rsidRPr="009B0448">
        <w:rPr>
          <w:rFonts w:ascii="Times New Roman" w:hAnsi="Times New Roman" w:cs="Times New Roman"/>
        </w:rPr>
        <w:t xml:space="preserve">(9–10), 1441. Retrieved from </w:t>
      </w:r>
      <w:hyperlink r:id="rId1800" w:anchor="download" w:history="1">
        <w:r w:rsidRPr="009B0448">
          <w:rPr>
            <w:rStyle w:val="Hyperlink"/>
            <w:rFonts w:ascii="Times New Roman" w:hAnsi="Times New Roman" w:cs="Times New Roman"/>
          </w:rPr>
          <w:t>https://ideas.repec.org/p/ags/eaae67/241033.html#download</w:t>
        </w:r>
      </w:hyperlink>
    </w:p>
    <w:p w14:paraId="07F2F62D"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Bellamy, J. J., &amp; Hill, K. (2010). </w:t>
      </w:r>
      <w:r w:rsidRPr="009B0448">
        <w:rPr>
          <w:rFonts w:ascii="Times New Roman" w:hAnsi="Times New Roman" w:cs="Times New Roman"/>
          <w:i/>
          <w:iCs/>
        </w:rPr>
        <w:t>National capacity self-assessments: Results and lessons learned for global environmental sustainability</w:t>
      </w:r>
      <w:r w:rsidRPr="009B0448">
        <w:rPr>
          <w:rFonts w:ascii="Times New Roman" w:hAnsi="Times New Roman" w:cs="Times New Roman"/>
        </w:rPr>
        <w:t xml:space="preserve">. New York, NY, USA: Global Support Programme, Bureau for Development Policy, United Nations Development Programme. Retrieved from </w:t>
      </w:r>
      <w:hyperlink r:id="rId1801" w:history="1">
        <w:r w:rsidRPr="009B0448">
          <w:rPr>
            <w:rStyle w:val="Hyperlink"/>
            <w:rFonts w:ascii="Times New Roman" w:hAnsi="Times New Roman" w:cs="Times New Roman"/>
          </w:rPr>
          <w:t>https://www.thegef.org/sites/default/files/publications/NCSA-SR-web-100913_2.pdf</w:t>
        </w:r>
      </w:hyperlink>
    </w:p>
    <w:p w14:paraId="0EDACB1B"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Berkes, F. (2004). Rethinking community-based conservation. </w:t>
      </w:r>
      <w:r w:rsidRPr="009B0448">
        <w:rPr>
          <w:rFonts w:ascii="Times New Roman" w:hAnsi="Times New Roman" w:cs="Times New Roman"/>
          <w:i/>
        </w:rPr>
        <w:t>Conservation Biology, 18</w:t>
      </w:r>
      <w:r w:rsidRPr="009B0448">
        <w:rPr>
          <w:rFonts w:ascii="Times New Roman" w:hAnsi="Times New Roman" w:cs="Times New Roman"/>
        </w:rPr>
        <w:t xml:space="preserve">(3), 621–630. </w:t>
      </w:r>
      <w:hyperlink r:id="rId1802" w:history="1">
        <w:r w:rsidRPr="009B0448">
          <w:rPr>
            <w:rStyle w:val="Hyperlink"/>
            <w:rFonts w:ascii="Times New Roman" w:hAnsi="Times New Roman" w:cs="Times New Roman"/>
          </w:rPr>
          <w:t>https://doi.org/10.1111/j.1523-1739.2004.00077.x</w:t>
        </w:r>
      </w:hyperlink>
    </w:p>
    <w:p w14:paraId="7AAE8B78"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Berkes, F. (2009). Evolution of co-management: role of knowledge generation, bridging organizations and social learning. </w:t>
      </w:r>
      <w:r w:rsidRPr="009B0448">
        <w:rPr>
          <w:rFonts w:ascii="Times New Roman" w:hAnsi="Times New Roman" w:cs="Times New Roman"/>
          <w:i/>
        </w:rPr>
        <w:t>Journal of Environmental Management</w:t>
      </w:r>
      <w:r w:rsidRPr="009B0448">
        <w:rPr>
          <w:rFonts w:ascii="Times New Roman" w:hAnsi="Times New Roman" w:cs="Times New Roman"/>
        </w:rPr>
        <w:t xml:space="preserve">, </w:t>
      </w:r>
      <w:r w:rsidRPr="009B0448">
        <w:rPr>
          <w:rFonts w:ascii="Times New Roman" w:hAnsi="Times New Roman" w:cs="Times New Roman"/>
          <w:i/>
        </w:rPr>
        <w:t>90</w:t>
      </w:r>
      <w:r w:rsidRPr="009B0448">
        <w:rPr>
          <w:rFonts w:ascii="Times New Roman" w:hAnsi="Times New Roman" w:cs="Times New Roman"/>
        </w:rPr>
        <w:t xml:space="preserve">, 1692–1702. </w:t>
      </w:r>
      <w:hyperlink r:id="rId1803" w:history="1">
        <w:r w:rsidRPr="009B0448">
          <w:rPr>
            <w:rStyle w:val="Hyperlink"/>
            <w:rFonts w:ascii="Times New Roman" w:hAnsi="Times New Roman" w:cs="Times New Roman"/>
          </w:rPr>
          <w:t>https://doi.org/10.1016/j.jenvman.2008.12.001</w:t>
        </w:r>
      </w:hyperlink>
    </w:p>
    <w:p w14:paraId="1529716F"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Berkes, F., &amp; Colding, J., &amp; Folke, C. (Eds.). (2003). </w:t>
      </w:r>
      <w:r w:rsidRPr="009B0448">
        <w:rPr>
          <w:rFonts w:ascii="Times New Roman" w:hAnsi="Times New Roman" w:cs="Times New Roman"/>
          <w:i/>
        </w:rPr>
        <w:t xml:space="preserve">Navigating social-ecological systems: Building resilience for complexity and change. </w:t>
      </w:r>
      <w:r w:rsidRPr="009B0448">
        <w:rPr>
          <w:rFonts w:ascii="Times New Roman" w:hAnsi="Times New Roman" w:cs="Times New Roman"/>
        </w:rPr>
        <w:t xml:space="preserve">Cambridge, UK: Cambridge University Press. </w:t>
      </w:r>
      <w:hyperlink r:id="rId1804" w:history="1">
        <w:r w:rsidRPr="009B0448">
          <w:rPr>
            <w:rStyle w:val="Hyperlink"/>
            <w:rFonts w:ascii="Times New Roman" w:hAnsi="Times New Roman" w:cs="Times New Roman"/>
          </w:rPr>
          <w:t>https://doi.org/10.1017/CBO9780511541957</w:t>
        </w:r>
      </w:hyperlink>
    </w:p>
    <w:p w14:paraId="71F16618"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Biggs, R., Raudsepp-Hearne, C., Atkinson-Palombo, C., Bohensky, E., Boyd, E., Cundill, G., Fox, H., Ingram, S., Kok, K., Spehar, S., &amp; Tengö, M. (2007). Linking futures across scales: a dialog on multiscale scenarios. </w:t>
      </w:r>
      <w:r w:rsidRPr="009B0448">
        <w:rPr>
          <w:rFonts w:ascii="Times New Roman" w:hAnsi="Times New Roman" w:cs="Times New Roman"/>
          <w:i/>
        </w:rPr>
        <w:t>Ecology and Society</w:t>
      </w:r>
      <w:r w:rsidRPr="009B0448">
        <w:rPr>
          <w:rFonts w:ascii="Times New Roman" w:hAnsi="Times New Roman" w:cs="Times New Roman"/>
        </w:rPr>
        <w:t xml:space="preserve">, </w:t>
      </w:r>
      <w:r w:rsidRPr="009B0448">
        <w:rPr>
          <w:rFonts w:ascii="Times New Roman" w:hAnsi="Times New Roman" w:cs="Times New Roman"/>
          <w:i/>
        </w:rPr>
        <w:t>12</w:t>
      </w:r>
      <w:r w:rsidRPr="009B0448">
        <w:rPr>
          <w:rFonts w:ascii="Times New Roman" w:hAnsi="Times New Roman" w:cs="Times New Roman"/>
        </w:rPr>
        <w:t xml:space="preserve">(1), 17. Retrieved from </w:t>
      </w:r>
      <w:hyperlink r:id="rId1805" w:history="1">
        <w:r w:rsidRPr="009B0448">
          <w:rPr>
            <w:rStyle w:val="Hyperlink"/>
            <w:rFonts w:ascii="Times New Roman" w:hAnsi="Times New Roman" w:cs="Times New Roman"/>
          </w:rPr>
          <w:t>http://www.ecologyandsociety.org/vol12/iss1/art17/</w:t>
        </w:r>
      </w:hyperlink>
    </w:p>
    <w:p w14:paraId="54E69E74" w14:textId="77777777" w:rsidR="001D0597" w:rsidRPr="009B0448" w:rsidRDefault="001D0597" w:rsidP="00E253EF">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Biggs, R., Schlüter, M., &amp; Schoon, M. L. (Eds.). (2015a). </w:t>
      </w:r>
      <w:r w:rsidRPr="009B0448">
        <w:rPr>
          <w:rFonts w:ascii="Times New Roman" w:eastAsia="Times New Roman" w:hAnsi="Times New Roman" w:cs="Times New Roman"/>
          <w:i/>
          <w:lang w:val="en-ZA" w:eastAsia="en-GB"/>
        </w:rPr>
        <w:t>Principles for building resilience: sustaining ecosystem services in social-ecological systems</w:t>
      </w:r>
      <w:r w:rsidRPr="009B0448">
        <w:rPr>
          <w:rFonts w:ascii="Times New Roman" w:eastAsia="Times New Roman" w:hAnsi="Times New Roman" w:cs="Times New Roman"/>
          <w:lang w:val="en-ZA" w:eastAsia="en-GB"/>
        </w:rPr>
        <w:t xml:space="preserve">. </w:t>
      </w:r>
      <w:r w:rsidRPr="009B0448">
        <w:rPr>
          <w:rFonts w:ascii="Times New Roman" w:hAnsi="Times New Roman" w:cs="Times New Roman"/>
        </w:rPr>
        <w:t xml:space="preserve">Cambridge, UK: </w:t>
      </w:r>
      <w:r w:rsidRPr="009B0448">
        <w:rPr>
          <w:rFonts w:ascii="Times New Roman" w:eastAsia="Times New Roman" w:hAnsi="Times New Roman" w:cs="Times New Roman"/>
          <w:lang w:val="en-ZA" w:eastAsia="en-GB"/>
        </w:rPr>
        <w:t>Cambridge University Press.</w:t>
      </w:r>
      <w:hyperlink r:id="rId1806">
        <w:r w:rsidRPr="009B0448">
          <w:rPr>
            <w:rFonts w:ascii="Times New Roman" w:eastAsia="Times New Roman" w:hAnsi="Times New Roman" w:cs="Times New Roman"/>
          </w:rPr>
          <w:t xml:space="preserve"> </w:t>
        </w:r>
      </w:hyperlink>
      <w:r w:rsidRPr="009B0448">
        <w:rPr>
          <w:rFonts w:ascii="Times New Roman" w:eastAsia="Times New Roman" w:hAnsi="Times New Roman" w:cs="Times New Roman"/>
        </w:rPr>
        <w:t xml:space="preserve">Retrieved from </w:t>
      </w:r>
      <w:hyperlink r:id="rId1807" w:history="1">
        <w:r w:rsidRPr="009B0448">
          <w:rPr>
            <w:rStyle w:val="Hyperlink"/>
            <w:rFonts w:ascii="Times New Roman" w:hAnsi="Times New Roman" w:cs="Times New Roman"/>
          </w:rPr>
          <w:t>https://doi.org/</w:t>
        </w:r>
      </w:hyperlink>
      <w:hyperlink r:id="rId1808" w:history="1">
        <w:r w:rsidRPr="009B0448">
          <w:rPr>
            <w:rStyle w:val="Hyperlink"/>
            <w:rFonts w:ascii="Times New Roman" w:hAnsi="Times New Roman" w:cs="Times New Roman"/>
            <w:lang w:val="en-ZA" w:eastAsia="en-GB"/>
          </w:rPr>
          <w:t>10.1017/CBO9781316014240</w:t>
        </w:r>
      </w:hyperlink>
    </w:p>
    <w:p w14:paraId="2E59AC2C" w14:textId="77777777" w:rsidR="001D0597" w:rsidRPr="009B0448" w:rsidRDefault="001D0597" w:rsidP="00B00E5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Binot, A., Blomley, T., Coad, L., Nelson, F., Roe, D., &amp; Sandbrook C. (2009). Community involvement in natural resources management in Africa: Regional overviews. In D. Roe, F. Nelson, &amp; C. Sandbrook. (Eds.), </w:t>
      </w:r>
      <w:r w:rsidRPr="009B0448">
        <w:rPr>
          <w:rFonts w:ascii="Times New Roman" w:hAnsi="Times New Roman" w:cs="Times New Roman"/>
          <w:i/>
          <w:iCs/>
        </w:rPr>
        <w:t>Community management of natural resources in Africa: Impacts, experiences and future directions</w:t>
      </w:r>
      <w:r w:rsidRPr="009B0448">
        <w:rPr>
          <w:rFonts w:ascii="Times New Roman" w:hAnsi="Times New Roman" w:cs="Times New Roman"/>
        </w:rPr>
        <w:t xml:space="preserve">. Natural Resource Issues No. 18. London, UK: IIED. Retrieved from </w:t>
      </w:r>
      <w:hyperlink r:id="rId1809" w:history="1">
        <w:r w:rsidRPr="009B0448">
          <w:rPr>
            <w:rStyle w:val="Hyperlink"/>
            <w:rFonts w:ascii="Times New Roman" w:hAnsi="Times New Roman" w:cs="Times New Roman"/>
          </w:rPr>
          <w:t>http://pubs.iied.org/pdfs/17503IIED.pdf</w:t>
        </w:r>
      </w:hyperlink>
    </w:p>
    <w:p w14:paraId="412EDA4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Blomley, T., &amp; Iddi, S. (2009). </w:t>
      </w:r>
      <w:r w:rsidRPr="009B0448">
        <w:rPr>
          <w:rFonts w:ascii="Times New Roman" w:hAnsi="Times New Roman" w:cs="Times New Roman"/>
          <w:i/>
          <w:iCs/>
        </w:rPr>
        <w:t>Participatory forest management in Tanzania: 1993–2009: Lessons learned and experiences to date</w:t>
      </w:r>
      <w:r w:rsidRPr="009B0448">
        <w:rPr>
          <w:rFonts w:ascii="Times New Roman" w:hAnsi="Times New Roman" w:cs="Times New Roman"/>
        </w:rPr>
        <w:t xml:space="preserve">. United Kingdom of Tanzania: URT, Ministry of Natural Resources and Tourism, Forestry and Beekeeping Division. Retrieved from </w:t>
      </w:r>
      <w:hyperlink r:id="rId1810" w:history="1">
        <w:r w:rsidRPr="009B0448">
          <w:rPr>
            <w:rStyle w:val="Hyperlink"/>
            <w:rFonts w:ascii="Times New Roman" w:hAnsi="Times New Roman" w:cs="Times New Roman"/>
          </w:rPr>
          <w:t>http://www.tzonline.org/pdf/participatoryforestmanagement2009.pdf</w:t>
        </w:r>
      </w:hyperlink>
    </w:p>
    <w:p w14:paraId="3D784B1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Blomley, T., Edwards, K., Kingazi, S., Lukumbuzya, K., Mäkelä, M., &amp; Vesa, L. (2016). </w:t>
      </w:r>
      <w:r w:rsidRPr="009B0448">
        <w:rPr>
          <w:rFonts w:ascii="Times New Roman" w:hAnsi="Times New Roman" w:cs="Times New Roman"/>
          <w:i/>
        </w:rPr>
        <w:t>REDD+ hits the ground: Lessons learned from Tanzania’s REDD+ pilot projects.</w:t>
      </w:r>
      <w:r w:rsidRPr="009B0448">
        <w:rPr>
          <w:rFonts w:ascii="Times New Roman" w:hAnsi="Times New Roman" w:cs="Times New Roman"/>
        </w:rPr>
        <w:t xml:space="preserve"> Natural Resource Issues No. 32. London, UK: IIED. Retrieved from </w:t>
      </w:r>
      <w:hyperlink r:id="rId1811" w:history="1">
        <w:r w:rsidRPr="009B0448">
          <w:rPr>
            <w:rStyle w:val="Hyperlink"/>
            <w:rFonts w:ascii="Times New Roman" w:hAnsi="Times New Roman" w:cs="Times New Roman"/>
          </w:rPr>
          <w:t>http://pubs.iied.org/pdfs/16614IIED.pdf</w:t>
        </w:r>
      </w:hyperlink>
    </w:p>
    <w:p w14:paraId="4AE5191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Blonk, M. (2008, August). </w:t>
      </w:r>
      <w:r w:rsidRPr="009B0448">
        <w:rPr>
          <w:rFonts w:ascii="Times New Roman" w:hAnsi="Times New Roman" w:cs="Times New Roman"/>
          <w:i/>
        </w:rPr>
        <w:t>Indigenous peoples vs. ‘the business model’: Why African Parks Network is pulling out of Ethiopia.</w:t>
      </w:r>
      <w:r w:rsidRPr="009B0448">
        <w:rPr>
          <w:rFonts w:ascii="Times New Roman" w:hAnsi="Times New Roman" w:cs="Times New Roman"/>
        </w:rPr>
        <w:t xml:space="preserve"> Retrieved from </w:t>
      </w:r>
      <w:hyperlink r:id="rId1812" w:history="1">
        <w:r w:rsidRPr="009B0448">
          <w:rPr>
            <w:rStyle w:val="Hyperlink"/>
            <w:rFonts w:ascii="Times New Roman" w:hAnsi="Times New Roman" w:cs="Times New Roman"/>
          </w:rPr>
          <w:t>http://www.matthijsblonk.nl/paginas/AfricanParksEthiopieEng.htm</w:t>
        </w:r>
      </w:hyperlink>
    </w:p>
    <w:p w14:paraId="51FFF3CC"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Bohensky, E. L. (2006).</w:t>
      </w:r>
      <w:r w:rsidRPr="009B0448">
        <w:rPr>
          <w:rFonts w:ascii="Times New Roman" w:hAnsi="Times New Roman" w:cs="Times New Roman"/>
          <w:i/>
          <w:iCs/>
        </w:rPr>
        <w:t xml:space="preserve"> A social-ecological systems perspective on water management in South Africa</w:t>
      </w:r>
      <w:r w:rsidRPr="009B0448">
        <w:rPr>
          <w:rFonts w:ascii="Times New Roman" w:hAnsi="Times New Roman" w:cs="Times New Roman"/>
        </w:rPr>
        <w:t xml:space="preserve">. Doctoral Thesis. Pretoria, South Africa: University of Pretoria. Retrieved from </w:t>
      </w:r>
      <w:hyperlink r:id="rId1813" w:history="1">
        <w:r w:rsidRPr="009B0448">
          <w:rPr>
            <w:rStyle w:val="Hyperlink"/>
            <w:rFonts w:ascii="Times New Roman" w:hAnsi="Times New Roman" w:cs="Times New Roman"/>
          </w:rPr>
          <w:t>https://repository.up.ac.za/bitstream/handle/2263/30315/Complete.pdf?sequence=10</w:t>
        </w:r>
      </w:hyperlink>
    </w:p>
    <w:p w14:paraId="6338C9A6"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Boon, E. K. (2015). Integrating environment into decision making in Africa. In E. K. Boon (Ed.), </w:t>
      </w:r>
      <w:r w:rsidRPr="009B0448">
        <w:rPr>
          <w:rFonts w:ascii="Times New Roman" w:hAnsi="Times New Roman" w:cs="Times New Roman"/>
          <w:i/>
        </w:rPr>
        <w:t xml:space="preserve">Area studies (regional sustainable development review): Africa - Volume II. </w:t>
      </w:r>
      <w:r w:rsidRPr="009B0448">
        <w:rPr>
          <w:rFonts w:ascii="Times New Roman" w:hAnsi="Times New Roman" w:cs="Times New Roman"/>
        </w:rPr>
        <w:t xml:space="preserve">Accra, Ghana: EOLSS Publications. </w:t>
      </w:r>
    </w:p>
    <w:p w14:paraId="149CDEC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Borras Jr, S. M., &amp; Franco, J. C. (2012). Global land grabbing and trajectories of agrarian change: A preliminary analysis. </w:t>
      </w:r>
      <w:r w:rsidRPr="009B0448">
        <w:rPr>
          <w:rFonts w:ascii="Times New Roman" w:hAnsi="Times New Roman" w:cs="Times New Roman"/>
          <w:i/>
        </w:rPr>
        <w:t>Journal of Agrarian Change</w:t>
      </w:r>
      <w:r w:rsidRPr="009B0448">
        <w:rPr>
          <w:rFonts w:ascii="Times New Roman" w:hAnsi="Times New Roman" w:cs="Times New Roman"/>
        </w:rPr>
        <w:t xml:space="preserve">, </w:t>
      </w:r>
      <w:r w:rsidRPr="009B0448">
        <w:rPr>
          <w:rFonts w:ascii="Times New Roman" w:hAnsi="Times New Roman" w:cs="Times New Roman"/>
          <w:i/>
        </w:rPr>
        <w:t>12</w:t>
      </w:r>
      <w:r w:rsidRPr="009B0448">
        <w:rPr>
          <w:rFonts w:ascii="Times New Roman" w:hAnsi="Times New Roman" w:cs="Times New Roman"/>
        </w:rPr>
        <w:t xml:space="preserve">(1), 34–59. </w:t>
      </w:r>
      <w:hyperlink r:id="rId1814" w:history="1">
        <w:r w:rsidRPr="009B0448">
          <w:rPr>
            <w:rStyle w:val="Hyperlink"/>
            <w:rFonts w:ascii="Times New Roman" w:hAnsi="Times New Roman" w:cs="Times New Roman"/>
          </w:rPr>
          <w:t>https://doi.org/10.1111/j.1471-0366.2011.00339.x</w:t>
        </w:r>
      </w:hyperlink>
    </w:p>
    <w:p w14:paraId="611AC989" w14:textId="77777777" w:rsidR="001D0597" w:rsidRPr="009B0448" w:rsidRDefault="001D0597" w:rsidP="009F0016">
      <w:pPr>
        <w:spacing w:after="120" w:line="276" w:lineRule="auto"/>
        <w:ind w:left="567" w:hanging="567"/>
        <w:rPr>
          <w:rFonts w:ascii="Times New Roman" w:eastAsia="Times New Roman" w:hAnsi="Times New Roman" w:cs="Times New Roman"/>
        </w:rPr>
      </w:pPr>
      <w:r w:rsidRPr="009B0448">
        <w:rPr>
          <w:rFonts w:ascii="Times New Roman" w:hAnsi="Times New Roman" w:cs="Times New Roman"/>
        </w:rPr>
        <w:t xml:space="preserve">Briggs, J. (2008). Indigenous knowledge and development. In V. Desai, &amp; R. B. Potter (Eds.), </w:t>
      </w:r>
      <w:r w:rsidRPr="009B0448">
        <w:rPr>
          <w:rFonts w:ascii="Times New Roman" w:hAnsi="Times New Roman" w:cs="Times New Roman"/>
          <w:i/>
        </w:rPr>
        <w:t xml:space="preserve">The companion to development studies </w:t>
      </w:r>
      <w:r w:rsidRPr="009B0448">
        <w:rPr>
          <w:rFonts w:ascii="Times New Roman" w:hAnsi="Times New Roman" w:cs="Times New Roman"/>
        </w:rPr>
        <w:t>(pp.107–111)</w:t>
      </w:r>
      <w:r w:rsidRPr="009B0448">
        <w:rPr>
          <w:rFonts w:ascii="Times New Roman" w:hAnsi="Times New Roman" w:cs="Times New Roman"/>
          <w:i/>
        </w:rPr>
        <w:t xml:space="preserve">. </w:t>
      </w:r>
      <w:r w:rsidRPr="009B0448">
        <w:rPr>
          <w:rFonts w:ascii="Times New Roman" w:hAnsi="Times New Roman" w:cs="Times New Roman"/>
        </w:rPr>
        <w:t xml:space="preserve">London, UK: Hodder Education. </w:t>
      </w:r>
    </w:p>
    <w:p w14:paraId="5BB27FC8"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Bromley, D. W. (1991). </w:t>
      </w:r>
      <w:r w:rsidRPr="009B0448">
        <w:rPr>
          <w:rFonts w:ascii="Times New Roman" w:hAnsi="Times New Roman" w:cs="Times New Roman"/>
          <w:i/>
        </w:rPr>
        <w:t>Environment and economy: Property rights and public policy</w:t>
      </w:r>
      <w:r w:rsidRPr="009B0448">
        <w:rPr>
          <w:rFonts w:ascii="Times New Roman" w:hAnsi="Times New Roman" w:cs="Times New Roman"/>
        </w:rPr>
        <w:t xml:space="preserve">. Oxford, UK: Basil Blackwell Ltd. </w:t>
      </w:r>
    </w:p>
    <w:p w14:paraId="69DD14E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Brooks, T., Balmford, A., Burgess, N., Fjeldsa, J., Hansen, L. A., Moore, J., Rahbek, C., &amp; Williams, P. (2001). Toward a blueprint for conservation in Africa.</w:t>
      </w:r>
      <w:r w:rsidRPr="009B0448">
        <w:rPr>
          <w:rFonts w:ascii="Times New Roman" w:hAnsi="Times New Roman" w:cs="Times New Roman"/>
          <w:i/>
          <w:iCs/>
        </w:rPr>
        <w:t xml:space="preserve"> BioScience,</w:t>
      </w:r>
      <w:r w:rsidRPr="009B0448">
        <w:rPr>
          <w:rFonts w:ascii="Times New Roman" w:hAnsi="Times New Roman" w:cs="Times New Roman"/>
        </w:rPr>
        <w:t xml:space="preserve"> </w:t>
      </w:r>
      <w:r w:rsidRPr="009B0448">
        <w:rPr>
          <w:rFonts w:ascii="Times New Roman" w:hAnsi="Times New Roman" w:cs="Times New Roman"/>
          <w:i/>
        </w:rPr>
        <w:t>51</w:t>
      </w:r>
      <w:r w:rsidRPr="009B0448">
        <w:rPr>
          <w:rFonts w:ascii="Times New Roman" w:hAnsi="Times New Roman" w:cs="Times New Roman"/>
        </w:rPr>
        <w:t xml:space="preserve">(8), 613–624. </w:t>
      </w:r>
      <w:hyperlink r:id="rId1815" w:history="1">
        <w:r w:rsidRPr="009B0448">
          <w:rPr>
            <w:rStyle w:val="Hyperlink"/>
            <w:rFonts w:ascii="Times New Roman" w:hAnsi="Times New Roman" w:cs="Times New Roman"/>
          </w:rPr>
          <w:t>https://doi.org/10.1641/0006-3568(2001)051[0613:TABFCI]2.0.CO;2</w:t>
        </w:r>
      </w:hyperlink>
    </w:p>
    <w:p w14:paraId="6177449F"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CBD Secretariat, &amp; GIZ. (2011). </w:t>
      </w:r>
      <w:r w:rsidRPr="009B0448">
        <w:rPr>
          <w:rFonts w:ascii="Times New Roman" w:hAnsi="Times New Roman" w:cs="Times New Roman"/>
          <w:i/>
        </w:rPr>
        <w:t>Biodiversity and livelihoods, REDD-plus benefits</w:t>
      </w:r>
      <w:r w:rsidRPr="009B0448">
        <w:rPr>
          <w:rFonts w:ascii="Times New Roman" w:hAnsi="Times New Roman" w:cs="Times New Roman"/>
        </w:rPr>
        <w:t xml:space="preserve">. Montréal, Canada: Secretariat of the Convention on Biological Diversity and Deutsche Gesellschaft für Internationale Zusammenarbeit (giz) GmbH. Retrieved from </w:t>
      </w:r>
      <w:hyperlink r:id="rId1816" w:history="1">
        <w:r w:rsidRPr="009B0448">
          <w:rPr>
            <w:rStyle w:val="Hyperlink"/>
            <w:rFonts w:ascii="Times New Roman" w:hAnsi="Times New Roman" w:cs="Times New Roman"/>
          </w:rPr>
          <w:t>https://www.cbd.int/doc/publications/for-redd-en.pdf</w:t>
        </w:r>
      </w:hyperlink>
    </w:p>
    <w:p w14:paraId="379060C7"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CBD Secretariat. (2009). </w:t>
      </w:r>
      <w:r w:rsidRPr="009B0448">
        <w:rPr>
          <w:rFonts w:ascii="Times New Roman" w:hAnsi="Times New Roman" w:cs="Times New Roman"/>
          <w:i/>
          <w:iCs/>
        </w:rPr>
        <w:t>Biodiversity, development and poverty alleviation: Recognising the biodiversity for human well-being</w:t>
      </w:r>
      <w:r w:rsidRPr="009B0448">
        <w:rPr>
          <w:rFonts w:ascii="Times New Roman" w:hAnsi="Times New Roman" w:cs="Times New Roman"/>
        </w:rPr>
        <w:t xml:space="preserve">. Montréal, Canada: Secretariat of the Convention on Biological Diversity. Retrieved from </w:t>
      </w:r>
      <w:hyperlink r:id="rId1817" w:history="1">
        <w:r w:rsidRPr="009B0448">
          <w:rPr>
            <w:rStyle w:val="Hyperlink"/>
            <w:rFonts w:ascii="Times New Roman" w:hAnsi="Times New Roman" w:cs="Times New Roman"/>
          </w:rPr>
          <w:t>https://www.cbd.int/doc/bioday/2010/idb-2010-booklet-en.pdf</w:t>
        </w:r>
      </w:hyperlink>
    </w:p>
    <w:p w14:paraId="38DD840A" w14:textId="77777777" w:rsidR="001D0597" w:rsidRPr="009B0448" w:rsidRDefault="001D0597" w:rsidP="009F0016">
      <w:pPr>
        <w:spacing w:after="120" w:line="276" w:lineRule="auto"/>
        <w:ind w:left="567" w:hanging="567"/>
        <w:rPr>
          <w:rFonts w:ascii="Times New Roman" w:hAnsi="Times New Roman" w:cs="Times New Roman"/>
        </w:rPr>
      </w:pPr>
      <w:bookmarkStart w:id="567" w:name="_Hlk490217982"/>
      <w:r w:rsidRPr="009B0448">
        <w:rPr>
          <w:rFonts w:ascii="Times New Roman" w:hAnsi="Times New Roman" w:cs="Times New Roman"/>
        </w:rPr>
        <w:t>CBD Secretariat. (2010).</w:t>
      </w:r>
      <w:bookmarkEnd w:id="567"/>
      <w:r w:rsidRPr="009B0448">
        <w:rPr>
          <w:rFonts w:ascii="Times New Roman" w:hAnsi="Times New Roman" w:cs="Times New Roman"/>
        </w:rPr>
        <w:t xml:space="preserve"> </w:t>
      </w:r>
      <w:r w:rsidRPr="009B0448">
        <w:rPr>
          <w:rFonts w:ascii="Times New Roman" w:hAnsi="Times New Roman" w:cs="Times New Roman"/>
          <w:i/>
          <w:iCs/>
        </w:rPr>
        <w:t>The strategic plan for biodiversity 2011–2020 and the Aichi biodiversity targets</w:t>
      </w:r>
      <w:r w:rsidRPr="009B0448">
        <w:rPr>
          <w:rFonts w:ascii="Times New Roman" w:hAnsi="Times New Roman" w:cs="Times New Roman"/>
        </w:rPr>
        <w:t xml:space="preserve">. Document UNEP/CBD/COP/DEC/X/2. Nagoya, Japan: Secretariat of the Convention on Biological Diversity. Retrieved from </w:t>
      </w:r>
      <w:hyperlink r:id="rId1818" w:history="1">
        <w:r w:rsidRPr="009B0448">
          <w:rPr>
            <w:rStyle w:val="Hyperlink"/>
            <w:rFonts w:ascii="Times New Roman" w:hAnsi="Times New Roman" w:cs="Times New Roman"/>
          </w:rPr>
          <w:t>https://www.cbd.int/doc/decisions/cop-10/cop-10-dec-02-en.pdf</w:t>
        </w:r>
      </w:hyperlink>
    </w:p>
    <w:p w14:paraId="251F53F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CBD Secretariat. (2014). </w:t>
      </w:r>
      <w:r w:rsidRPr="009B0448">
        <w:rPr>
          <w:rFonts w:ascii="Times New Roman" w:hAnsi="Times New Roman" w:cs="Times New Roman"/>
          <w:i/>
        </w:rPr>
        <w:t>Global Biodiversity Outlook 4</w:t>
      </w:r>
      <w:r w:rsidRPr="009B0448">
        <w:rPr>
          <w:rFonts w:ascii="Times New Roman" w:hAnsi="Times New Roman" w:cs="Times New Roman"/>
        </w:rPr>
        <w:t xml:space="preserve">. Montréal, Canada: Secretariat of the Convention on Biological Diversity. Retrieved from </w:t>
      </w:r>
      <w:hyperlink r:id="rId1819" w:history="1">
        <w:r w:rsidRPr="009B0448">
          <w:rPr>
            <w:rStyle w:val="Hyperlink"/>
            <w:rFonts w:ascii="Times New Roman" w:hAnsi="Times New Roman" w:cs="Times New Roman"/>
          </w:rPr>
          <w:t>https://www.cbd.int/gbo/gbo4/publication/gbo4-en.pdf</w:t>
        </w:r>
      </w:hyperlink>
    </w:p>
    <w:p w14:paraId="3DE60161"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Challender, D. W. S., Harrop, S. R., &amp; MacMillan, D. C. (2015). Towards informed and multi-faceted wildlife trade interventions. </w:t>
      </w:r>
      <w:r w:rsidRPr="009B0448">
        <w:rPr>
          <w:rFonts w:ascii="Times New Roman" w:hAnsi="Times New Roman" w:cs="Times New Roman"/>
          <w:i/>
          <w:iCs/>
        </w:rPr>
        <w:t xml:space="preserve">Global Ecology and Conservation, </w:t>
      </w:r>
      <w:r w:rsidRPr="009B0448">
        <w:rPr>
          <w:rFonts w:ascii="Times New Roman" w:hAnsi="Times New Roman" w:cs="Times New Roman"/>
          <w:i/>
        </w:rPr>
        <w:t>3</w:t>
      </w:r>
      <w:r w:rsidRPr="009B0448">
        <w:rPr>
          <w:rFonts w:ascii="Times New Roman" w:hAnsi="Times New Roman" w:cs="Times New Roman"/>
        </w:rPr>
        <w:t xml:space="preserve">, 129–148. </w:t>
      </w:r>
      <w:hyperlink r:id="rId1820" w:history="1">
        <w:r w:rsidRPr="009B0448">
          <w:rPr>
            <w:rStyle w:val="Hyperlink"/>
            <w:rFonts w:ascii="Times New Roman" w:hAnsi="Times New Roman" w:cs="Times New Roman"/>
          </w:rPr>
          <w:t>https://doi.org/10.1016/j.gecco.2014.11.010</w:t>
        </w:r>
      </w:hyperlink>
    </w:p>
    <w:p w14:paraId="3BCFB25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Chalmers, N., &amp; Fabricius, C. (2007)</w:t>
      </w:r>
      <w:r w:rsidRPr="009B0448">
        <w:rPr>
          <w:rFonts w:ascii="Times New Roman" w:hAnsi="Times New Roman" w:cs="Times New Roman"/>
          <w:i/>
          <w:iCs/>
        </w:rPr>
        <w:t>.</w:t>
      </w:r>
      <w:r w:rsidRPr="009B0448">
        <w:rPr>
          <w:rFonts w:ascii="Times New Roman" w:hAnsi="Times New Roman" w:cs="Times New Roman"/>
        </w:rPr>
        <w:t xml:space="preserve"> Expert and generalist local knowledge about land-cover change on South Africa’s Wild Coast: Can local ecological knowledge add value to science? </w:t>
      </w:r>
      <w:r w:rsidRPr="009B0448">
        <w:rPr>
          <w:rFonts w:ascii="Times New Roman" w:hAnsi="Times New Roman" w:cs="Times New Roman"/>
          <w:i/>
          <w:iCs/>
        </w:rPr>
        <w:t>Ecology and Society, 12</w:t>
      </w:r>
      <w:r w:rsidRPr="009B0448">
        <w:rPr>
          <w:rFonts w:ascii="Times New Roman" w:hAnsi="Times New Roman" w:cs="Times New Roman"/>
        </w:rPr>
        <w:t xml:space="preserve">(1), 10. Retrieved from </w:t>
      </w:r>
      <w:hyperlink r:id="rId1821" w:history="1">
        <w:r w:rsidRPr="009B0448">
          <w:rPr>
            <w:rStyle w:val="Hyperlink"/>
            <w:rFonts w:ascii="Times New Roman" w:hAnsi="Times New Roman" w:cs="Times New Roman"/>
          </w:rPr>
          <w:t>http://www.ecologyandsociety.org/vol12/iss1/art10/</w:t>
        </w:r>
      </w:hyperlink>
    </w:p>
    <w:p w14:paraId="29FA889B"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Chapin III, F. S., Carpenter, S. R., Kofinas, G. P., Folke, C., Abel, N., Clark, W. C., Olsson, P., Smith, D. M. S., Walker, B., Young, O. R., Berkes, F., Biggs, O., Grove, M., Naylor, R. L. , Pinkerton, E., Steffen, W., &amp; Swanson, F. J. (2009). Ecosystem stewardship: Sustainability strategies for a rapidly changing planet. </w:t>
      </w:r>
      <w:r w:rsidRPr="009B0448">
        <w:rPr>
          <w:rFonts w:ascii="Times New Roman" w:hAnsi="Times New Roman" w:cs="Times New Roman"/>
          <w:i/>
          <w:iCs/>
        </w:rPr>
        <w:t>Trends in Ecology and Evolution</w:t>
      </w:r>
      <w:r w:rsidRPr="009B0448">
        <w:rPr>
          <w:rFonts w:ascii="Times New Roman" w:hAnsi="Times New Roman" w:cs="Times New Roman"/>
        </w:rPr>
        <w:t xml:space="preserve">, </w:t>
      </w:r>
      <w:r w:rsidRPr="009B0448">
        <w:rPr>
          <w:rFonts w:ascii="Times New Roman" w:hAnsi="Times New Roman" w:cs="Times New Roman"/>
          <w:i/>
        </w:rPr>
        <w:t>25</w:t>
      </w:r>
      <w:r w:rsidRPr="009B0448">
        <w:rPr>
          <w:rFonts w:ascii="Times New Roman" w:hAnsi="Times New Roman" w:cs="Times New Roman"/>
        </w:rPr>
        <w:t xml:space="preserve">(4), 241–249. </w:t>
      </w:r>
      <w:hyperlink r:id="rId1822" w:history="1">
        <w:r w:rsidRPr="009B0448">
          <w:rPr>
            <w:rStyle w:val="Hyperlink"/>
            <w:rFonts w:ascii="Times New Roman" w:hAnsi="Times New Roman" w:cs="Times New Roman"/>
          </w:rPr>
          <w:t>https://doi.org/10.1016/j.tree.2009.10.008</w:t>
        </w:r>
      </w:hyperlink>
    </w:p>
    <w:p w14:paraId="0B576E97"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Chisadza, B., Tumbare, M. J., Nyabeze, W. R., &amp; Nhapi, I. (2015). Linkages between local knowledge drought forecasting indicators and scientific drought forecasting parametres in the Limpopo River Basin in southern Africa. </w:t>
      </w:r>
      <w:r w:rsidRPr="009B0448">
        <w:rPr>
          <w:rFonts w:ascii="Times New Roman" w:hAnsi="Times New Roman" w:cs="Times New Roman"/>
          <w:i/>
          <w:iCs/>
        </w:rPr>
        <w:t>International Journal of Disaster Risk Reduction</w:t>
      </w:r>
      <w:r w:rsidRPr="009B0448">
        <w:rPr>
          <w:rFonts w:ascii="Times New Roman" w:hAnsi="Times New Roman" w:cs="Times New Roman"/>
        </w:rPr>
        <w:t xml:space="preserve">, </w:t>
      </w:r>
      <w:r w:rsidRPr="009B0448">
        <w:rPr>
          <w:rFonts w:ascii="Times New Roman" w:hAnsi="Times New Roman" w:cs="Times New Roman"/>
          <w:i/>
        </w:rPr>
        <w:t>12</w:t>
      </w:r>
      <w:r w:rsidRPr="009B0448">
        <w:rPr>
          <w:rFonts w:ascii="Times New Roman" w:hAnsi="Times New Roman" w:cs="Times New Roman"/>
        </w:rPr>
        <w:t xml:space="preserve">, 226–233. </w:t>
      </w:r>
      <w:hyperlink r:id="rId1823" w:history="1">
        <w:r w:rsidRPr="009B0448">
          <w:rPr>
            <w:rStyle w:val="Hyperlink"/>
            <w:rFonts w:ascii="Times New Roman" w:hAnsi="Times New Roman" w:cs="Times New Roman"/>
          </w:rPr>
          <w:t>https://doi.org/10.1016/j.ijdrr.2015.01.007</w:t>
        </w:r>
      </w:hyperlink>
    </w:p>
    <w:p w14:paraId="343A46E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CITES. (1973). </w:t>
      </w:r>
      <w:r w:rsidRPr="009B0448">
        <w:rPr>
          <w:rFonts w:ascii="Times New Roman" w:hAnsi="Times New Roman" w:cs="Times New Roman"/>
          <w:i/>
        </w:rPr>
        <w:t>Convention on International Trade in Endangered Species of Wild Fauna and Flora.</w:t>
      </w:r>
      <w:r w:rsidRPr="009B0448">
        <w:rPr>
          <w:rFonts w:ascii="Times New Roman" w:hAnsi="Times New Roman" w:cs="Times New Roman"/>
        </w:rPr>
        <w:t xml:space="preserve"> Retrieved from </w:t>
      </w:r>
      <w:hyperlink r:id="rId1824" w:history="1">
        <w:r w:rsidRPr="009B0448">
          <w:rPr>
            <w:rStyle w:val="Hyperlink"/>
            <w:rFonts w:ascii="Times New Roman" w:hAnsi="Times New Roman" w:cs="Times New Roman"/>
          </w:rPr>
          <w:t>https://www.cites.org/sites/default/files/eng/disc/CITES-Convention-EN.pdf</w:t>
        </w:r>
      </w:hyperlink>
    </w:p>
    <w:p w14:paraId="3ABE3680" w14:textId="77777777" w:rsidR="001D0597" w:rsidRPr="009B0448" w:rsidRDefault="001D0597" w:rsidP="009F0016">
      <w:pPr>
        <w:spacing w:after="120" w:line="276" w:lineRule="auto"/>
        <w:ind w:left="567" w:hanging="567"/>
        <w:rPr>
          <w:rFonts w:ascii="Times New Roman" w:hAnsi="Times New Roman" w:cs="Times New Roman"/>
          <w:lang w:val="en-US"/>
        </w:rPr>
      </w:pPr>
      <w:bookmarkStart w:id="568" w:name="_ENREF_10"/>
      <w:r w:rsidRPr="009B0448">
        <w:rPr>
          <w:rFonts w:ascii="Times New Roman" w:hAnsi="Times New Roman" w:cs="Times New Roman"/>
          <w:lang w:val="en-US"/>
        </w:rPr>
        <w:t>Cittadino, F. (2014). Applying A UNDRIP Lens to the CBD: A More Comprehensive Understanding of Benefit-Sharing.</w:t>
      </w:r>
      <w:bookmarkEnd w:id="568"/>
      <w:r w:rsidRPr="009B0448">
        <w:rPr>
          <w:rFonts w:ascii="Times New Roman" w:hAnsi="Times New Roman" w:cs="Times New Roman"/>
          <w:lang w:val="en-US"/>
        </w:rPr>
        <w:t xml:space="preserve"> </w:t>
      </w:r>
      <w:r w:rsidRPr="009B0448">
        <w:rPr>
          <w:rFonts w:ascii="Times New Roman" w:hAnsi="Times New Roman" w:cs="Times New Roman"/>
          <w:i/>
          <w:lang w:val="en-US"/>
        </w:rPr>
        <w:t>Indigenous Policy Journal</w:t>
      </w:r>
      <w:r w:rsidRPr="009B0448">
        <w:rPr>
          <w:rFonts w:ascii="Times New Roman" w:hAnsi="Times New Roman" w:cs="Times New Roman"/>
          <w:lang w:val="en-US"/>
        </w:rPr>
        <w:t xml:space="preserve">, </w:t>
      </w:r>
      <w:r w:rsidRPr="009B0448">
        <w:rPr>
          <w:rFonts w:ascii="Times New Roman" w:hAnsi="Times New Roman" w:cs="Times New Roman"/>
          <w:i/>
          <w:lang w:val="en-US"/>
        </w:rPr>
        <w:t>24</w:t>
      </w:r>
      <w:r w:rsidRPr="009B0448">
        <w:rPr>
          <w:rFonts w:ascii="Times New Roman" w:hAnsi="Times New Roman" w:cs="Times New Roman"/>
          <w:lang w:val="en-US"/>
        </w:rPr>
        <w:t xml:space="preserve">, (4). Retrieved from </w:t>
      </w:r>
      <w:hyperlink r:id="rId1825" w:history="1">
        <w:r w:rsidRPr="009B0448">
          <w:rPr>
            <w:rStyle w:val="Hyperlink"/>
            <w:rFonts w:ascii="Times New Roman" w:hAnsi="Times New Roman" w:cs="Times New Roman"/>
            <w:lang w:val="en-US"/>
          </w:rPr>
          <w:t>https://ssrn.com/abstract=2814902</w:t>
        </w:r>
      </w:hyperlink>
    </w:p>
    <w:p w14:paraId="2E3DA3A5" w14:textId="77777777" w:rsidR="001D0597" w:rsidRPr="009B0448" w:rsidRDefault="001D0597" w:rsidP="009F0016">
      <w:pPr>
        <w:spacing w:after="120" w:line="276" w:lineRule="auto"/>
        <w:ind w:left="567" w:hanging="567"/>
        <w:rPr>
          <w:rFonts w:ascii="Times New Roman" w:hAnsi="Times New Roman" w:cs="Times New Roman"/>
          <w:lang w:val="en-US"/>
        </w:rPr>
      </w:pPr>
      <w:r w:rsidRPr="009B0448">
        <w:rPr>
          <w:rFonts w:ascii="Times New Roman" w:hAnsi="Times New Roman" w:cs="Times New Roman"/>
          <w:lang w:val="en-US"/>
        </w:rPr>
        <w:t xml:space="preserve">Clark, C. J., Poulsen, J. R., Malonga, R., &amp; Elkan, J. P. W. (2009). Logging Concessions Can Extend the Conservation Estate for Central African Tropical Forests. </w:t>
      </w:r>
      <w:r w:rsidRPr="009B0448">
        <w:rPr>
          <w:rFonts w:ascii="Times New Roman" w:hAnsi="Times New Roman" w:cs="Times New Roman"/>
          <w:i/>
          <w:lang w:val="en-US"/>
        </w:rPr>
        <w:t>Conservation Biology,</w:t>
      </w:r>
      <w:r w:rsidRPr="009B0448">
        <w:rPr>
          <w:rFonts w:ascii="Times New Roman" w:hAnsi="Times New Roman" w:cs="Times New Roman"/>
          <w:lang w:val="en-US"/>
        </w:rPr>
        <w:t xml:space="preserve"> </w:t>
      </w:r>
      <w:r w:rsidRPr="009B0448">
        <w:rPr>
          <w:rFonts w:ascii="Times New Roman" w:hAnsi="Times New Roman" w:cs="Times New Roman"/>
          <w:i/>
          <w:lang w:val="en-US"/>
        </w:rPr>
        <w:t>23</w:t>
      </w:r>
      <w:r w:rsidRPr="009B0448">
        <w:rPr>
          <w:rFonts w:ascii="Times New Roman" w:hAnsi="Times New Roman" w:cs="Times New Roman"/>
          <w:lang w:val="en-US"/>
        </w:rPr>
        <w:t xml:space="preserve">, 1281–1293. </w:t>
      </w:r>
      <w:hyperlink r:id="rId1826" w:history="1">
        <w:r w:rsidRPr="009B0448">
          <w:rPr>
            <w:rStyle w:val="Hyperlink"/>
            <w:rFonts w:ascii="Times New Roman" w:hAnsi="Times New Roman" w:cs="Times New Roman"/>
            <w:lang w:val="en-US"/>
          </w:rPr>
          <w:t>https://doi.org/10.1111/j.1523-1739.2009.01243.x</w:t>
        </w:r>
      </w:hyperlink>
    </w:p>
    <w:p w14:paraId="0DBBADF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CMS. (1979). </w:t>
      </w:r>
      <w:r w:rsidRPr="009B0448">
        <w:rPr>
          <w:rFonts w:ascii="Times New Roman" w:hAnsi="Times New Roman" w:cs="Times New Roman"/>
          <w:i/>
        </w:rPr>
        <w:t>Convention on the Conservation of Migratory Species of Wild Animals</w:t>
      </w:r>
      <w:r w:rsidRPr="009B0448">
        <w:rPr>
          <w:rFonts w:ascii="Times New Roman" w:hAnsi="Times New Roman" w:cs="Times New Roman"/>
        </w:rPr>
        <w:t xml:space="preserve">. Retrieved from </w:t>
      </w:r>
      <w:hyperlink r:id="rId1827" w:history="1">
        <w:r w:rsidRPr="009B0448">
          <w:rPr>
            <w:rStyle w:val="Hyperlink"/>
            <w:rFonts w:ascii="Times New Roman" w:hAnsi="Times New Roman" w:cs="Times New Roman"/>
          </w:rPr>
          <w:t>http://www.cms.int/sites/default/files/instrument/CMS-text.en_.PDF</w:t>
        </w:r>
      </w:hyperlink>
    </w:p>
    <w:p w14:paraId="740C7E1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Cockburn, J., Koopman, V., Pereira, L. M., &amp; van Niekerk, J. (2017). Institutional bricolage to address sustainability challenges in the South African sugarcane industry: a case study of the SUSFARMS</w:t>
      </w:r>
      <w:r w:rsidRPr="009B0448">
        <w:rPr>
          <w:rFonts w:ascii="Times New Roman" w:hAnsi="Times New Roman" w:cs="Times New Roman"/>
          <w:vertAlign w:val="superscript"/>
        </w:rPr>
        <w:t>®</w:t>
      </w:r>
      <w:r w:rsidRPr="009B0448">
        <w:rPr>
          <w:rFonts w:ascii="Times New Roman" w:hAnsi="Times New Roman" w:cs="Times New Roman"/>
        </w:rPr>
        <w:t xml:space="preserve"> initiative in the Midlands area of KwaZulu-Natal, South Africa. In L.M. Pereira, C. McElroy, A. Littaye, &amp; A. Girard (Eds), </w:t>
      </w:r>
      <w:r w:rsidRPr="009B0448">
        <w:rPr>
          <w:rFonts w:ascii="Times New Roman" w:hAnsi="Times New Roman" w:cs="Times New Roman"/>
          <w:i/>
        </w:rPr>
        <w:t xml:space="preserve">Food, energy and water sustainability: Emergent governance strategies </w:t>
      </w:r>
      <w:r w:rsidRPr="009B0448">
        <w:rPr>
          <w:rFonts w:ascii="Times New Roman" w:hAnsi="Times New Roman" w:cs="Times New Roman"/>
        </w:rPr>
        <w:t>(pp. 133–151). Oxford, U.K: Earthscan Routledge. ISBN 9781138904095.</w:t>
      </w:r>
    </w:p>
    <w:p w14:paraId="1E4F2C01" w14:textId="77777777" w:rsidR="001D0597" w:rsidRPr="009B0448" w:rsidRDefault="001D0597" w:rsidP="009F0016">
      <w:pPr>
        <w:spacing w:after="120" w:line="276" w:lineRule="auto"/>
        <w:ind w:left="567" w:hanging="567"/>
        <w:rPr>
          <w:rFonts w:ascii="Times New Roman" w:hAnsi="Times New Roman" w:cs="Times New Roman"/>
          <w:lang w:val="en-US"/>
        </w:rPr>
      </w:pPr>
      <w:r w:rsidRPr="009B0448">
        <w:rPr>
          <w:rFonts w:ascii="Times New Roman" w:hAnsi="Times New Roman" w:cs="Times New Roman"/>
          <w:lang w:val="en-US"/>
        </w:rPr>
        <w:t xml:space="preserve">Cocks, M. (2006). Biocultural Diversity: Moving Beyond the Realm of ‘Indigenous’ and ‘Local’ People. </w:t>
      </w:r>
      <w:r w:rsidRPr="009B0448">
        <w:rPr>
          <w:rFonts w:ascii="Times New Roman" w:hAnsi="Times New Roman" w:cs="Times New Roman"/>
          <w:i/>
          <w:lang w:val="en-US"/>
        </w:rPr>
        <w:t>Human Ecology,</w:t>
      </w:r>
      <w:r w:rsidRPr="009B0448">
        <w:rPr>
          <w:rFonts w:ascii="Times New Roman" w:hAnsi="Times New Roman" w:cs="Times New Roman"/>
          <w:lang w:val="en-US"/>
        </w:rPr>
        <w:t xml:space="preserve"> </w:t>
      </w:r>
      <w:r w:rsidRPr="009B0448">
        <w:rPr>
          <w:rFonts w:ascii="Times New Roman" w:hAnsi="Times New Roman" w:cs="Times New Roman"/>
          <w:i/>
          <w:lang w:val="en-US"/>
        </w:rPr>
        <w:t>34</w:t>
      </w:r>
      <w:r w:rsidRPr="009B0448">
        <w:rPr>
          <w:rFonts w:ascii="Times New Roman" w:hAnsi="Times New Roman" w:cs="Times New Roman"/>
          <w:lang w:val="en-US"/>
        </w:rPr>
        <w:t xml:space="preserve">, 185–200. </w:t>
      </w:r>
      <w:hyperlink r:id="rId1828" w:history="1">
        <w:r w:rsidRPr="009B0448">
          <w:rPr>
            <w:rStyle w:val="Hyperlink"/>
            <w:rFonts w:ascii="Times New Roman" w:hAnsi="Times New Roman" w:cs="Times New Roman"/>
            <w:lang w:val="en-US"/>
          </w:rPr>
          <w:t>https://doi.org/10.1007/s10745-006-9013-5</w:t>
        </w:r>
      </w:hyperlink>
    </w:p>
    <w:p w14:paraId="5E57D371" w14:textId="77777777" w:rsidR="001D0597" w:rsidRPr="009B0448" w:rsidRDefault="001D0597" w:rsidP="009F0016">
      <w:pPr>
        <w:spacing w:after="120" w:line="276" w:lineRule="auto"/>
        <w:ind w:left="567" w:hanging="567"/>
        <w:rPr>
          <w:rFonts w:ascii="Times New Roman" w:hAnsi="Times New Roman" w:cs="Times New Roman"/>
          <w:lang w:val="en-US"/>
        </w:rPr>
      </w:pPr>
      <w:bookmarkStart w:id="569" w:name="_ENREF_13"/>
      <w:r w:rsidRPr="009B0448">
        <w:rPr>
          <w:rFonts w:ascii="Times New Roman" w:hAnsi="Times New Roman" w:cs="Times New Roman"/>
          <w:lang w:val="en-US"/>
        </w:rPr>
        <w:t xml:space="preserve">Colchester, M. (2004). Conservation policy and indigenous peoples. </w:t>
      </w:r>
      <w:r w:rsidRPr="009B0448">
        <w:rPr>
          <w:rFonts w:ascii="Times New Roman" w:hAnsi="Times New Roman" w:cs="Times New Roman"/>
          <w:i/>
          <w:lang w:val="en-US"/>
        </w:rPr>
        <w:t>Environmental Science &amp; Policy,</w:t>
      </w:r>
      <w:r w:rsidRPr="009B0448">
        <w:rPr>
          <w:rFonts w:ascii="Times New Roman" w:hAnsi="Times New Roman" w:cs="Times New Roman"/>
          <w:lang w:val="en-US"/>
        </w:rPr>
        <w:t xml:space="preserve"> </w:t>
      </w:r>
      <w:r w:rsidRPr="009B0448">
        <w:rPr>
          <w:rFonts w:ascii="Times New Roman" w:hAnsi="Times New Roman" w:cs="Times New Roman"/>
          <w:i/>
          <w:lang w:val="en-US"/>
        </w:rPr>
        <w:t>7</w:t>
      </w:r>
      <w:r w:rsidRPr="009B0448">
        <w:rPr>
          <w:rFonts w:ascii="Times New Roman" w:hAnsi="Times New Roman" w:cs="Times New Roman"/>
          <w:lang w:val="en-US"/>
        </w:rPr>
        <w:t>, 145–153.</w:t>
      </w:r>
      <w:bookmarkEnd w:id="569"/>
      <w:r w:rsidRPr="009B0448">
        <w:rPr>
          <w:rFonts w:ascii="Times New Roman" w:hAnsi="Times New Roman" w:cs="Times New Roman"/>
          <w:lang w:val="en-US"/>
        </w:rPr>
        <w:t xml:space="preserve"> </w:t>
      </w:r>
      <w:hyperlink r:id="rId1829" w:history="1">
        <w:r w:rsidRPr="009B0448">
          <w:rPr>
            <w:rStyle w:val="Hyperlink"/>
            <w:rFonts w:ascii="Times New Roman" w:hAnsi="Times New Roman" w:cs="Times New Roman"/>
            <w:lang w:val="en-US"/>
          </w:rPr>
          <w:t>https://doi.org/10.1016/j.envsci.2004.02.004</w:t>
        </w:r>
      </w:hyperlink>
    </w:p>
    <w:p w14:paraId="6A576EEA"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Colding, J., &amp; Folke, C. (2001). Social taboos: ‘invisible’ systems of local resource management and biological conservation. </w:t>
      </w:r>
      <w:r w:rsidRPr="009B0448">
        <w:rPr>
          <w:rFonts w:ascii="Times New Roman" w:hAnsi="Times New Roman" w:cs="Times New Roman"/>
          <w:i/>
          <w:iCs/>
        </w:rPr>
        <w:t>Ecological Applications</w:t>
      </w:r>
      <w:r w:rsidRPr="009B0448">
        <w:rPr>
          <w:rFonts w:ascii="Times New Roman" w:hAnsi="Times New Roman" w:cs="Times New Roman"/>
        </w:rPr>
        <w:t xml:space="preserve">, </w:t>
      </w:r>
      <w:r w:rsidRPr="009B0448">
        <w:rPr>
          <w:rFonts w:ascii="Times New Roman" w:hAnsi="Times New Roman" w:cs="Times New Roman"/>
          <w:i/>
        </w:rPr>
        <w:t>11</w:t>
      </w:r>
      <w:r w:rsidRPr="009B0448">
        <w:rPr>
          <w:rFonts w:ascii="Times New Roman" w:hAnsi="Times New Roman" w:cs="Times New Roman"/>
        </w:rPr>
        <w:t xml:space="preserve">(2), 584–600. </w:t>
      </w:r>
      <w:hyperlink r:id="rId1830" w:history="1">
        <w:r w:rsidRPr="009B0448">
          <w:rPr>
            <w:rStyle w:val="Hyperlink"/>
            <w:rFonts w:ascii="Times New Roman" w:hAnsi="Times New Roman" w:cs="Times New Roman"/>
          </w:rPr>
          <w:t>https://doi.org/10.2307/3060911</w:t>
        </w:r>
      </w:hyperlink>
    </w:p>
    <w:p w14:paraId="3746F12F"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COMIFAC. (2014). </w:t>
      </w:r>
      <w:r w:rsidRPr="009B0448">
        <w:rPr>
          <w:rFonts w:ascii="Times New Roman" w:hAnsi="Times New Roman" w:cs="Times New Roman"/>
          <w:i/>
        </w:rPr>
        <w:t>Plan de convergence pour la gestion durable des ecosystemes forestiers D’Afrique centrale</w:t>
      </w:r>
      <w:r w:rsidRPr="009B0448">
        <w:rPr>
          <w:rFonts w:ascii="Times New Roman" w:hAnsi="Times New Roman" w:cs="Times New Roman"/>
        </w:rPr>
        <w:t xml:space="preserve"> 2015–2025. Retrieved from </w:t>
      </w:r>
      <w:hyperlink r:id="rId1831" w:history="1">
        <w:r w:rsidRPr="009B0448">
          <w:rPr>
            <w:rStyle w:val="Hyperlink"/>
            <w:rFonts w:ascii="Times New Roman" w:hAnsi="Times New Roman" w:cs="Times New Roman"/>
          </w:rPr>
          <w:t>http://pfbc-cbfp.org/docs/key_docs/Plan_de_Convergence_COMIFAC_2015-2025_02072014_fr.pdf</w:t>
        </w:r>
      </w:hyperlink>
    </w:p>
    <w:p w14:paraId="379F5A5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Cormier-Salem, M.-C., Bernatets, C., &amp; Sarr, O. (2010). Mangrove system sustainability: public incentives and local strategies in West Africa. In C. T. Hoanh, &amp; B. W. Szuster (Eds.), </w:t>
      </w:r>
      <w:r w:rsidRPr="009B0448">
        <w:rPr>
          <w:rFonts w:ascii="Times New Roman" w:hAnsi="Times New Roman" w:cs="Times New Roman"/>
          <w:i/>
          <w:iCs/>
        </w:rPr>
        <w:t>Tropical deltas and coastal zones: Food production, communities and environment at the land–water interface</w:t>
      </w:r>
      <w:r w:rsidRPr="009B0448">
        <w:rPr>
          <w:rFonts w:ascii="Times New Roman" w:hAnsi="Times New Roman" w:cs="Times New Roman"/>
        </w:rPr>
        <w:t xml:space="preserve"> (pp. 409–421). Oxfodrshire, UK: CABI. ISBN 9781845936181.</w:t>
      </w:r>
    </w:p>
    <w:p w14:paraId="7758786A" w14:textId="77777777" w:rsidR="001D0597" w:rsidRPr="009B0448" w:rsidRDefault="001D0597" w:rsidP="009F0016">
      <w:pPr>
        <w:spacing w:after="120" w:line="276" w:lineRule="auto"/>
        <w:ind w:left="567" w:hanging="567"/>
        <w:rPr>
          <w:rFonts w:ascii="Times New Roman" w:hAnsi="Times New Roman" w:cs="Times New Roman"/>
          <w:lang w:val="fr-FR"/>
        </w:rPr>
      </w:pPr>
      <w:r w:rsidRPr="009B0448">
        <w:rPr>
          <w:rFonts w:ascii="Times New Roman" w:hAnsi="Times New Roman" w:cs="Times New Roman"/>
        </w:rPr>
        <w:t xml:space="preserve">Cormier-Salem, M-C. (1999). </w:t>
      </w:r>
      <w:r w:rsidRPr="009B0448">
        <w:rPr>
          <w:rFonts w:ascii="Times New Roman" w:hAnsi="Times New Roman" w:cs="Times New Roman"/>
          <w:i/>
          <w:iCs/>
        </w:rPr>
        <w:t xml:space="preserve">Rivières du Sud. </w:t>
      </w:r>
      <w:r w:rsidRPr="009B0448">
        <w:rPr>
          <w:rFonts w:ascii="Times New Roman" w:hAnsi="Times New Roman" w:cs="Times New Roman"/>
          <w:i/>
          <w:iCs/>
          <w:lang w:val="fr-FR"/>
        </w:rPr>
        <w:t>Sociétés et mangroves ouest- africains</w:t>
      </w:r>
      <w:r w:rsidRPr="009B0448">
        <w:rPr>
          <w:rFonts w:ascii="Times New Roman" w:hAnsi="Times New Roman" w:cs="Times New Roman"/>
          <w:lang w:val="fr-FR"/>
        </w:rPr>
        <w:t>. Paris, France: IRD. ISBN 2-709914255.</w:t>
      </w:r>
    </w:p>
    <w:p w14:paraId="1810740B"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Costanza, R., d’Arge, R., de Groot, R., Farber, S., Grasso, M., Hannon, B., Limburg, K., Naeem, S., O'neill, R. V., Paruelo, J., Raskin, R. G., Sutton, P., &amp; van den Belt, M. (1997). </w:t>
      </w:r>
      <w:r w:rsidRPr="009B0448">
        <w:rPr>
          <w:rFonts w:ascii="Times New Roman" w:hAnsi="Times New Roman" w:cs="Times New Roman"/>
        </w:rPr>
        <w:t xml:space="preserve">The value of the world’s ecosystem services and natural capital. </w:t>
      </w:r>
      <w:r w:rsidRPr="009B0448">
        <w:rPr>
          <w:rFonts w:ascii="Times New Roman" w:hAnsi="Times New Roman" w:cs="Times New Roman"/>
          <w:i/>
          <w:iCs/>
        </w:rPr>
        <w:t>Science</w:t>
      </w:r>
      <w:r w:rsidRPr="009B0448">
        <w:rPr>
          <w:rFonts w:ascii="Times New Roman" w:hAnsi="Times New Roman" w:cs="Times New Roman"/>
        </w:rPr>
        <w:t xml:space="preserve">, </w:t>
      </w:r>
      <w:r w:rsidRPr="009B0448">
        <w:rPr>
          <w:rFonts w:ascii="Times New Roman" w:hAnsi="Times New Roman" w:cs="Times New Roman"/>
          <w:i/>
        </w:rPr>
        <w:t>387</w:t>
      </w:r>
      <w:r w:rsidRPr="009B0448">
        <w:rPr>
          <w:rFonts w:ascii="Times New Roman" w:hAnsi="Times New Roman" w:cs="Times New Roman"/>
        </w:rPr>
        <w:t xml:space="preserve">, 253–260. </w:t>
      </w:r>
      <w:hyperlink r:id="rId1832" w:history="1">
        <w:r w:rsidRPr="009B0448">
          <w:rPr>
            <w:rStyle w:val="Hyperlink"/>
            <w:rFonts w:ascii="Times New Roman" w:hAnsi="Times New Roman" w:cs="Times New Roman"/>
          </w:rPr>
          <w:t>https://doi.org/10.1038/387253a0</w:t>
        </w:r>
      </w:hyperlink>
    </w:p>
    <w:p w14:paraId="4A40957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Cotula, L. (2012). The international political economy of the global land rush: A critical appraisal of trends, scale, geography and drivers. </w:t>
      </w:r>
      <w:r w:rsidRPr="009B0448">
        <w:rPr>
          <w:rFonts w:ascii="Times New Roman" w:hAnsi="Times New Roman" w:cs="Times New Roman"/>
          <w:i/>
        </w:rPr>
        <w:t>The Journal of Peasant Studies, 39</w:t>
      </w:r>
      <w:r w:rsidRPr="009B0448">
        <w:rPr>
          <w:rFonts w:ascii="Times New Roman" w:hAnsi="Times New Roman" w:cs="Times New Roman"/>
        </w:rPr>
        <w:t xml:space="preserve">(3–4), 649–680. </w:t>
      </w:r>
      <w:hyperlink r:id="rId1833" w:history="1">
        <w:r w:rsidRPr="009B0448">
          <w:rPr>
            <w:rStyle w:val="Hyperlink"/>
            <w:rFonts w:ascii="Times New Roman" w:hAnsi="Times New Roman" w:cs="Times New Roman"/>
          </w:rPr>
          <w:t>https://doi.org/10.1080/03066150.2012.674940</w:t>
        </w:r>
      </w:hyperlink>
    </w:p>
    <w:p w14:paraId="2AB2333F"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Cotula, L., &amp; Vermeulen, S. (2009). Deal or no deal: the outlook for agricultural land investment in Africa. </w:t>
      </w:r>
      <w:r w:rsidRPr="009B0448">
        <w:rPr>
          <w:rFonts w:ascii="Times New Roman" w:hAnsi="Times New Roman" w:cs="Times New Roman"/>
          <w:i/>
        </w:rPr>
        <w:t>International Affairs, 85</w:t>
      </w:r>
      <w:r w:rsidRPr="009B0448">
        <w:rPr>
          <w:rFonts w:ascii="Times New Roman" w:hAnsi="Times New Roman" w:cs="Times New Roman"/>
        </w:rPr>
        <w:t xml:space="preserve">(6), 1233–1247. </w:t>
      </w:r>
      <w:hyperlink r:id="rId1834" w:history="1">
        <w:r w:rsidRPr="009B0448">
          <w:rPr>
            <w:rStyle w:val="Hyperlink"/>
            <w:rFonts w:ascii="Times New Roman" w:hAnsi="Times New Roman" w:cs="Times New Roman"/>
          </w:rPr>
          <w:t>https://doi.org/10.1111/j.1468-2346.2009.00859.x</w:t>
        </w:r>
      </w:hyperlink>
    </w:p>
    <w:p w14:paraId="1164C2E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Cury, P., Shannon, L. J., Roux, J.-P., Daskalov, G. M., Jarre, A., Moloney, C. L., &amp; Pauly, D. (2005). Trophodynamic indicators for an ecosystem approach to fisheries. </w:t>
      </w:r>
      <w:r w:rsidRPr="009B0448">
        <w:rPr>
          <w:rFonts w:ascii="Times New Roman" w:hAnsi="Times New Roman" w:cs="Times New Roman"/>
          <w:i/>
          <w:iCs/>
        </w:rPr>
        <w:t>ICES Journal of Marine Science,</w:t>
      </w:r>
      <w:r w:rsidRPr="009B0448">
        <w:rPr>
          <w:rFonts w:ascii="Times New Roman" w:hAnsi="Times New Roman" w:cs="Times New Roman"/>
        </w:rPr>
        <w:t xml:space="preserve"> </w:t>
      </w:r>
      <w:r w:rsidRPr="009B0448">
        <w:rPr>
          <w:rFonts w:ascii="Times New Roman" w:hAnsi="Times New Roman" w:cs="Times New Roman"/>
          <w:i/>
        </w:rPr>
        <w:t>62</w:t>
      </w:r>
      <w:r w:rsidRPr="009B0448">
        <w:rPr>
          <w:rFonts w:ascii="Times New Roman" w:hAnsi="Times New Roman" w:cs="Times New Roman"/>
        </w:rPr>
        <w:t xml:space="preserve">(3), 430–442. </w:t>
      </w:r>
      <w:hyperlink r:id="rId1835" w:history="1">
        <w:r w:rsidRPr="009B0448">
          <w:rPr>
            <w:rStyle w:val="Hyperlink"/>
            <w:rFonts w:ascii="Times New Roman" w:hAnsi="Times New Roman" w:cs="Times New Roman"/>
          </w:rPr>
          <w:t>https://doi.org/10.1016/j.icesjms.2004.12.006</w:t>
        </w:r>
      </w:hyperlink>
    </w:p>
    <w:p w14:paraId="619577D9"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de-DE"/>
        </w:rPr>
        <w:t xml:space="preserve">Dalle, G., Isselstein, J., &amp; Maass, B. L. (2005). </w:t>
      </w:r>
      <w:r w:rsidRPr="009B0448">
        <w:rPr>
          <w:rFonts w:ascii="Times New Roman" w:hAnsi="Times New Roman" w:cs="Times New Roman"/>
        </w:rPr>
        <w:t xml:space="preserve">Indigenous ecological knowledge of Borana pastoralists in southern Ethiopia and current challenges. </w:t>
      </w:r>
      <w:r w:rsidRPr="009B0448">
        <w:rPr>
          <w:rFonts w:ascii="Times New Roman" w:hAnsi="Times New Roman" w:cs="Times New Roman"/>
          <w:i/>
          <w:iCs/>
        </w:rPr>
        <w:t>International Journal of Sustainable Development &amp; World Ecology</w:t>
      </w:r>
      <w:r w:rsidRPr="009B0448">
        <w:rPr>
          <w:rFonts w:ascii="Times New Roman" w:hAnsi="Times New Roman" w:cs="Times New Roman"/>
        </w:rPr>
        <w:t xml:space="preserve">, </w:t>
      </w:r>
      <w:r w:rsidRPr="009B0448">
        <w:rPr>
          <w:rFonts w:ascii="Times New Roman" w:hAnsi="Times New Roman" w:cs="Times New Roman"/>
          <w:i/>
        </w:rPr>
        <w:t>12</w:t>
      </w:r>
      <w:r w:rsidRPr="009B0448">
        <w:rPr>
          <w:rFonts w:ascii="Times New Roman" w:hAnsi="Times New Roman" w:cs="Times New Roman"/>
        </w:rPr>
        <w:t xml:space="preserve">, 1–18. </w:t>
      </w:r>
      <w:hyperlink r:id="rId1836" w:history="1">
        <w:r w:rsidRPr="009B0448">
          <w:rPr>
            <w:rStyle w:val="Hyperlink"/>
            <w:rFonts w:ascii="Times New Roman" w:hAnsi="Times New Roman" w:cs="Times New Roman"/>
          </w:rPr>
          <w:t>https://doi.org/10.1080/13504500609469666</w:t>
        </w:r>
      </w:hyperlink>
    </w:p>
    <w:p w14:paraId="3E23A39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Danielsen, F., Jensen, P. M., Burgess, N. D., Altamirano, R., Alviola, P. A., Andrianandrasana, H., Danielsen, F., Jensen, P. M., Burgess, N. D., Altamirano, R., Alviola, P. A., Andrianandrasana, H., Brashares, J. S., Burton, A. C., Coronado, I., Corpuz, N., Enghoff, M., Fjeldså, J., Funder, M., Holt, H., Hübertz, H., Jensen, A. E., Lewis, R., Massao, J., Mendoza, M. M., Ngaga, Y., Pipper, C. B., Poulsen, M. K., Rueda, R. M., Sam, M. K., Skielboe, T., Sørensen, M., Young, R., &amp; Enghoff, M. (2014). A multicountry assessment of tropical resource monitoring by local communities. </w:t>
      </w:r>
      <w:r w:rsidRPr="009B0448">
        <w:rPr>
          <w:rFonts w:ascii="Times New Roman" w:hAnsi="Times New Roman" w:cs="Times New Roman"/>
          <w:i/>
          <w:iCs/>
        </w:rPr>
        <w:t>BioScience</w:t>
      </w:r>
      <w:r w:rsidRPr="009B0448">
        <w:rPr>
          <w:rFonts w:ascii="Times New Roman" w:hAnsi="Times New Roman" w:cs="Times New Roman"/>
        </w:rPr>
        <w:t xml:space="preserve">, </w:t>
      </w:r>
      <w:r w:rsidRPr="009B0448">
        <w:rPr>
          <w:rFonts w:ascii="Times New Roman" w:hAnsi="Times New Roman" w:cs="Times New Roman"/>
          <w:i/>
          <w:iCs/>
        </w:rPr>
        <w:t>64</w:t>
      </w:r>
      <w:r w:rsidRPr="009B0448">
        <w:rPr>
          <w:rFonts w:ascii="Times New Roman" w:hAnsi="Times New Roman" w:cs="Times New Roman"/>
        </w:rPr>
        <w:t xml:space="preserve">(3), 236–251. </w:t>
      </w:r>
      <w:hyperlink r:id="rId1837" w:history="1">
        <w:r w:rsidRPr="009B0448">
          <w:rPr>
            <w:rStyle w:val="Hyperlink"/>
            <w:rFonts w:ascii="Times New Roman" w:hAnsi="Times New Roman" w:cs="Times New Roman"/>
          </w:rPr>
          <w:t>https://doi.org/10.1093/biosci/biu001</w:t>
        </w:r>
      </w:hyperlink>
    </w:p>
    <w:p w14:paraId="78469C1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Davis, A., &amp; Wagner, J. R. (2003). Who knows? On the importance of identifying “experts” when researching local ecological knowledge. </w:t>
      </w:r>
      <w:r w:rsidRPr="009B0448">
        <w:rPr>
          <w:rFonts w:ascii="Times New Roman" w:hAnsi="Times New Roman" w:cs="Times New Roman"/>
          <w:i/>
          <w:iCs/>
        </w:rPr>
        <w:t>Human Ecology,</w:t>
      </w:r>
      <w:r w:rsidRPr="009B0448">
        <w:rPr>
          <w:rFonts w:ascii="Times New Roman" w:hAnsi="Times New Roman" w:cs="Times New Roman"/>
        </w:rPr>
        <w:t xml:space="preserve"> </w:t>
      </w:r>
      <w:r w:rsidRPr="009B0448">
        <w:rPr>
          <w:rFonts w:ascii="Times New Roman" w:hAnsi="Times New Roman" w:cs="Times New Roman"/>
          <w:i/>
        </w:rPr>
        <w:t>31</w:t>
      </w:r>
      <w:r w:rsidRPr="009B0448">
        <w:rPr>
          <w:rFonts w:ascii="Times New Roman" w:hAnsi="Times New Roman" w:cs="Times New Roman"/>
        </w:rPr>
        <w:t xml:space="preserve">(3), 463–489. </w:t>
      </w:r>
      <w:hyperlink r:id="rId1838" w:history="1">
        <w:r w:rsidRPr="009B0448">
          <w:rPr>
            <w:rStyle w:val="Hyperlink"/>
            <w:rFonts w:ascii="Times New Roman" w:hAnsi="Times New Roman" w:cs="Times New Roman"/>
          </w:rPr>
          <w:t>https://doi.org/10.1023/A:1025075923297</w:t>
        </w:r>
      </w:hyperlink>
    </w:p>
    <w:p w14:paraId="47DECA7D"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de Vente, J., Reed, M. S., Stringer, L. C., Valente, S., &amp; Newig, J. (2016). How does the context and design of participatory decision making processes affect their outcomes? Evidence from sustainable land management in global drylands. </w:t>
      </w:r>
      <w:r w:rsidRPr="009B0448">
        <w:rPr>
          <w:rFonts w:ascii="Times New Roman" w:hAnsi="Times New Roman" w:cs="Times New Roman"/>
          <w:i/>
          <w:iCs/>
        </w:rPr>
        <w:t>Ecology and Society</w:t>
      </w:r>
      <w:r w:rsidRPr="009B0448">
        <w:rPr>
          <w:rFonts w:ascii="Times New Roman" w:hAnsi="Times New Roman" w:cs="Times New Roman"/>
        </w:rPr>
        <w:t xml:space="preserve">, </w:t>
      </w:r>
      <w:r w:rsidRPr="009B0448">
        <w:rPr>
          <w:rFonts w:ascii="Times New Roman" w:hAnsi="Times New Roman" w:cs="Times New Roman"/>
          <w:i/>
        </w:rPr>
        <w:t>21</w:t>
      </w:r>
      <w:r w:rsidRPr="009B0448">
        <w:rPr>
          <w:rFonts w:ascii="Times New Roman" w:hAnsi="Times New Roman" w:cs="Times New Roman"/>
        </w:rPr>
        <w:t xml:space="preserve">(2), 24. </w:t>
      </w:r>
      <w:hyperlink r:id="rId1839" w:history="1">
        <w:r w:rsidRPr="009B0448">
          <w:rPr>
            <w:rStyle w:val="Hyperlink"/>
            <w:rFonts w:ascii="Times New Roman" w:eastAsia="Times New Roman" w:hAnsi="Times New Roman" w:cs="Times New Roman"/>
          </w:rPr>
          <w:t>http://dx.doi.org/10.5751/ES-08053-210224</w:t>
        </w:r>
      </w:hyperlink>
    </w:p>
    <w:p w14:paraId="490AF6CD"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de Villiers, C., Brownlie, S., &amp; Manuel, J. (2008). </w:t>
      </w:r>
      <w:r w:rsidRPr="009B0448">
        <w:rPr>
          <w:rFonts w:ascii="Times New Roman" w:hAnsi="Times New Roman" w:cs="Times New Roman"/>
        </w:rPr>
        <w:t xml:space="preserve">Biodiversity mainstreaming and EIA: Art, Science or Myth? In </w:t>
      </w:r>
      <w:r w:rsidRPr="009B0448">
        <w:rPr>
          <w:rFonts w:ascii="Times New Roman" w:hAnsi="Times New Roman" w:cs="Times New Roman"/>
          <w:i/>
        </w:rPr>
        <w:t>The art and science of impact assessment 28th annual conference of the International Association for Impact Assessment: Proceedings of a conference, Perth, 2008</w:t>
      </w:r>
      <w:r w:rsidRPr="009B0448">
        <w:rPr>
          <w:rFonts w:ascii="Times New Roman" w:hAnsi="Times New Roman" w:cs="Times New Roman"/>
        </w:rPr>
        <w:t>.</w:t>
      </w:r>
      <w:r w:rsidRPr="009B0448">
        <w:rPr>
          <w:rFonts w:ascii="Times New Roman" w:hAnsi="Times New Roman" w:cs="Times New Roman"/>
          <w:highlight w:val="darkCyan"/>
        </w:rPr>
        <w:t xml:space="preserve"> </w:t>
      </w:r>
      <w:r w:rsidRPr="009B0448">
        <w:rPr>
          <w:rFonts w:ascii="Times New Roman" w:hAnsi="Times New Roman" w:cs="Times New Roman"/>
        </w:rPr>
        <w:t xml:space="preserve">IAIA. Retrieved from </w:t>
      </w:r>
      <w:hyperlink r:id="rId1840" w:history="1">
        <w:r w:rsidRPr="009B0448">
          <w:rPr>
            <w:rStyle w:val="Hyperlink"/>
            <w:rFonts w:ascii="Times New Roman" w:hAnsi="Times New Roman" w:cs="Times New Roman"/>
          </w:rPr>
          <w:t>http://conferences.iaia.org/2008/pdf/IAIA08Proceedings/IAIA08ConcurrentSessions/CS6-2_Biodiversity-Mainstreaming-EIA_deVilliers.pdf</w:t>
        </w:r>
      </w:hyperlink>
    </w:p>
    <w:p w14:paraId="44AAE4B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Del Rio, T., Estrada-Carmona, N., de Groot, J., &amp; Willemen, L. (2016). </w:t>
      </w:r>
      <w:r w:rsidRPr="009B0448">
        <w:rPr>
          <w:rFonts w:ascii="Times New Roman" w:hAnsi="Times New Roman" w:cs="Times New Roman"/>
          <w:i/>
        </w:rPr>
        <w:t>Mapping vital ecosystem services by integrating local knowledge and remote sensing data: Case study in the Barotse Floodplain</w:t>
      </w:r>
      <w:r w:rsidRPr="009B0448">
        <w:rPr>
          <w:rFonts w:ascii="Times New Roman" w:hAnsi="Times New Roman" w:cs="Times New Roman"/>
        </w:rPr>
        <w:t xml:space="preserve">, </w:t>
      </w:r>
      <w:r w:rsidRPr="009B0448">
        <w:rPr>
          <w:rFonts w:ascii="Times New Roman" w:hAnsi="Times New Roman" w:cs="Times New Roman"/>
          <w:i/>
        </w:rPr>
        <w:t>Zambia</w:t>
      </w:r>
      <w:r w:rsidRPr="009B0448">
        <w:rPr>
          <w:rFonts w:ascii="Times New Roman" w:hAnsi="Times New Roman" w:cs="Times New Roman"/>
        </w:rPr>
        <w:t xml:space="preserve">. Poster presented at the European ecosystem services conference: Helping nature to help us. 19–23 September 2016, Antwerp, Belgium. Retrieved from </w:t>
      </w:r>
      <w:hyperlink r:id="rId1841" w:history="1">
        <w:r w:rsidRPr="009B0448">
          <w:rPr>
            <w:rStyle w:val="Hyperlink"/>
            <w:rFonts w:ascii="Times New Roman" w:hAnsi="Times New Roman" w:cs="Times New Roman"/>
          </w:rPr>
          <w:t>https://www.aanmelder.nl/i/doc/6f851ab78a056c2c8ceacd3dd7bebd55?forcedownload=True</w:t>
        </w:r>
      </w:hyperlink>
    </w:p>
    <w:p w14:paraId="6B1472C7" w14:textId="77777777" w:rsidR="001D0597" w:rsidRPr="009B0448" w:rsidRDefault="001D0597" w:rsidP="00D04F1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Díaz, S., Demissew, S., Carabias, J., Joly, C., Lonsdale, M., Ash, N., Larigauderie, A., Adhikari, J. R., Arico, S., Baldi, A., Baetuska, A., Baste, I. A., Bilgin, A., Brondizio, E., Chan, K. M. A., Figueroa, V. E., Duraiappah, A., Fischer, M., Hill, R., Koetz, T., Leadley, P., Lyver, P., Mace, G. M., Martin-Lopez, B., Okumura, M., Pacheco, D., Pascual, U., Perez, E. S., Reyers, B., Roth, E., Saito, O., Scholes, R. J., Sharmer, N., Tallis, H., Thaman, R., Watson, R., Yahara, T., Hamid, Z. A., Akosim, C., Al–Hafedh, Allaherdiyev, R., Amankwah, E., Asah, S. T., Asfaw, Z., Bartus, G., Brooks, L. A., Cailaux, J., Dalle, G., Darmaedi, D., Drivers, A., Erpul, G., Escobar-Eyzaguirre, P., Failier, P., Fouda, A. M. M., Fu, .D., Gundimeda, H., Hashimoto, S., Homer, F., Lavorel, S., Lichtenstein, G., Mala, W. A., Mandivenyi, W., Matczak, P., Mbizvo, C., Mehrdadi, M., Metzger, J. P., Mikissa, J. B., Moller, H., Mooney, H. A., Mumby, P., Nagendra, H., Nesshover, C., Oteng–Yeboah, A. A., Pataki, G., Roue, M., Rubis, J., Schultz, M., Smith, P., Sumaila, R., Takeuchi, K., Thomas, S., Verma, M., Yeo–Chang, Y., &amp; Zlatanova, D. (2015). The IPBES conceptual framework-connecting nature to people. </w:t>
      </w:r>
      <w:r w:rsidRPr="009B0448">
        <w:rPr>
          <w:rFonts w:ascii="Times New Roman" w:eastAsia="Times New Roman" w:hAnsi="Times New Roman" w:cs="Times New Roman"/>
          <w:i/>
          <w:lang w:val="en-ZA" w:eastAsia="en-GB"/>
        </w:rPr>
        <w:t>Current Opinion in Environmental Sustainability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14</w:t>
      </w:r>
      <w:r w:rsidRPr="009B0448">
        <w:rPr>
          <w:rFonts w:ascii="Times New Roman" w:eastAsia="Times New Roman" w:hAnsi="Times New Roman" w:cs="Times New Roman"/>
          <w:lang w:val="en-ZA" w:eastAsia="en-GB"/>
        </w:rPr>
        <w:t xml:space="preserve">, 1–16. </w:t>
      </w:r>
      <w:hyperlink r:id="rId1842" w:history="1">
        <w:r w:rsidRPr="009B0448">
          <w:rPr>
            <w:rStyle w:val="Hyperlink"/>
            <w:rFonts w:ascii="Times New Roman" w:hAnsi="Times New Roman" w:cs="Times New Roman"/>
            <w:lang w:val="en-ZA" w:eastAsia="en-GB"/>
          </w:rPr>
          <w:t>https://doi.org/10.1016/j.cosust.2014.11.002</w:t>
        </w:r>
      </w:hyperlink>
    </w:p>
    <w:p w14:paraId="0A842EA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Dixon, A. B. (2008). The resilience and sustainability of local wetland management institutions in Illubabor and Western Wellega, Ethiopia. </w:t>
      </w:r>
      <w:r w:rsidRPr="009B0448">
        <w:rPr>
          <w:rFonts w:ascii="Times New Roman" w:hAnsi="Times New Roman" w:cs="Times New Roman"/>
          <w:i/>
          <w:iCs/>
        </w:rPr>
        <w:t>Singapore Journal of Tropical Geography</w:t>
      </w:r>
      <w:r w:rsidRPr="009B0448">
        <w:rPr>
          <w:rFonts w:ascii="Times New Roman" w:hAnsi="Times New Roman" w:cs="Times New Roman"/>
        </w:rPr>
        <w:t xml:space="preserve">, </w:t>
      </w:r>
      <w:r w:rsidRPr="009B0448">
        <w:rPr>
          <w:rFonts w:ascii="Times New Roman" w:hAnsi="Times New Roman" w:cs="Times New Roman"/>
          <w:i/>
        </w:rPr>
        <w:t>29</w:t>
      </w:r>
      <w:r w:rsidRPr="009B0448">
        <w:rPr>
          <w:rFonts w:ascii="Times New Roman" w:hAnsi="Times New Roman" w:cs="Times New Roman"/>
        </w:rPr>
        <w:t xml:space="preserve">, 341–356. </w:t>
      </w:r>
      <w:hyperlink r:id="rId1843" w:history="1">
        <w:r w:rsidRPr="009B0448">
          <w:rPr>
            <w:rStyle w:val="Hyperlink"/>
            <w:rFonts w:ascii="Times New Roman" w:hAnsi="Times New Roman" w:cs="Times New Roman"/>
          </w:rPr>
          <w:t>https://doi.org/10.1111/j.1467-9493.2008.00343.x</w:t>
        </w:r>
      </w:hyperlink>
    </w:p>
    <w:p w14:paraId="0BFDDDE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Dixon, J. A., Carpenter, R. A., Fallon Scura, L. A., Sherman, P. B., &amp; Manipomoke, S. (1994). </w:t>
      </w:r>
      <w:r w:rsidRPr="009B0448">
        <w:rPr>
          <w:rFonts w:ascii="Times New Roman" w:hAnsi="Times New Roman" w:cs="Times New Roman"/>
          <w:i/>
          <w:iCs/>
        </w:rPr>
        <w:t>Economic Analysis of Environmental Impacts</w:t>
      </w:r>
      <w:r w:rsidRPr="009B0448">
        <w:rPr>
          <w:rFonts w:ascii="Times New Roman" w:hAnsi="Times New Roman" w:cs="Times New Roman"/>
        </w:rPr>
        <w:t>. New York, NY, USA: Earthscan Publications. ISBN 9781134046850.</w:t>
      </w:r>
    </w:p>
    <w:p w14:paraId="2536098F" w14:textId="77777777" w:rsidR="001D0597" w:rsidRPr="009B0448" w:rsidRDefault="001D0597" w:rsidP="00342F6B">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Dogley, D. (2011). Seychelles response to the Aichi Biodiversity Targets. </w:t>
      </w:r>
      <w:r w:rsidRPr="009B0448">
        <w:rPr>
          <w:rFonts w:ascii="Times New Roman" w:hAnsi="Times New Roman" w:cs="Times New Roman"/>
          <w:i/>
        </w:rPr>
        <w:t>Aichi Targets Newsletter, 1</w:t>
      </w:r>
      <w:r w:rsidRPr="009B0448">
        <w:rPr>
          <w:rFonts w:ascii="Times New Roman" w:hAnsi="Times New Roman" w:cs="Times New Roman"/>
        </w:rPr>
        <w:t xml:space="preserve">(2), 10. Retrieved from </w:t>
      </w:r>
      <w:hyperlink r:id="rId1844" w:history="1">
        <w:r w:rsidRPr="009B0448">
          <w:rPr>
            <w:rStyle w:val="Hyperlink"/>
            <w:rFonts w:ascii="Times New Roman" w:hAnsi="Times New Roman" w:cs="Times New Roman"/>
          </w:rPr>
          <w:t>https://www.cbd.int/doc/newsletters/news-jbf-2011-11-en.pdf</w:t>
        </w:r>
      </w:hyperlink>
    </w:p>
    <w:p w14:paraId="2519805A"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Doswald, N., Munroe, R., Roe, D., Giuliani, A., Castelli, I., Stephens, J., Moller, I., Spencer, T., Vira, B., &amp; Reid, H. (2014). Effectiveness of ecosystem-based approaches for adaptation: review of the evidence-base. </w:t>
      </w:r>
      <w:r w:rsidRPr="009B0448">
        <w:rPr>
          <w:rFonts w:ascii="Times New Roman" w:hAnsi="Times New Roman" w:cs="Times New Roman"/>
          <w:i/>
        </w:rPr>
        <w:t>Climate and Development, 6</w:t>
      </w:r>
      <w:r w:rsidRPr="009B0448">
        <w:rPr>
          <w:rFonts w:ascii="Times New Roman" w:hAnsi="Times New Roman" w:cs="Times New Roman"/>
        </w:rPr>
        <w:t xml:space="preserve">(2), 185–201. </w:t>
      </w:r>
      <w:hyperlink r:id="rId1845" w:history="1">
        <w:r w:rsidRPr="009B0448">
          <w:rPr>
            <w:rStyle w:val="Hyperlink"/>
            <w:rFonts w:ascii="Times New Roman" w:hAnsi="Times New Roman" w:cs="Times New Roman"/>
          </w:rPr>
          <w:t>https://doi.org/10.1080/17565529.2013.867247</w:t>
        </w:r>
      </w:hyperlink>
    </w:p>
    <w:p w14:paraId="5E5DC885" w14:textId="77777777" w:rsidR="001D0597" w:rsidRPr="009B0448" w:rsidRDefault="001D0597" w:rsidP="004A52C8">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Driver, A., Sink, K.J., Nel, J.L., Holness, S., Van Niekerk, L., Daniels, F., Jonas, Z., Majiedt, P.A., Harris, L., &amp; Maze, K. (2012). </w:t>
      </w:r>
      <w:r w:rsidRPr="009B0448">
        <w:rPr>
          <w:rFonts w:ascii="Times New Roman" w:hAnsi="Times New Roman" w:cs="Times New Roman"/>
          <w:i/>
        </w:rPr>
        <w:t>National Biodiversity Assessment 2011: An assessment of South Africa’s biodiversity and ecosystems</w:t>
      </w:r>
      <w:r w:rsidRPr="009B0448">
        <w:rPr>
          <w:rFonts w:ascii="Times New Roman" w:hAnsi="Times New Roman" w:cs="Times New Roman"/>
        </w:rPr>
        <w:t xml:space="preserve">. </w:t>
      </w:r>
      <w:r w:rsidRPr="009B0448">
        <w:rPr>
          <w:rFonts w:ascii="Times New Roman" w:hAnsi="Times New Roman" w:cs="Times New Roman"/>
          <w:i/>
        </w:rPr>
        <w:t>Synthesis Report</w:t>
      </w:r>
      <w:r w:rsidRPr="009B0448">
        <w:rPr>
          <w:rFonts w:ascii="Times New Roman" w:hAnsi="Times New Roman" w:cs="Times New Roman"/>
        </w:rPr>
        <w:t xml:space="preserve">. South African National Biodiversity Institute and Department of Environmental Affairs, Pretoria, South Africa: DEA-SANBI. Retrieved from </w:t>
      </w:r>
      <w:hyperlink r:id="rId1846" w:history="1">
        <w:r w:rsidRPr="009B0448">
          <w:rPr>
            <w:rFonts w:ascii="Times New Roman" w:hAnsi="Times New Roman" w:cs="Times New Roman"/>
            <w:color w:val="0563C1" w:themeColor="hyperlink"/>
            <w:u w:val="single"/>
          </w:rPr>
          <w:t>http://biodiversityadvisor.sanbi.org/wp-content/uploads/2015/11/2012NBA2011_report.pdf</w:t>
        </w:r>
      </w:hyperlink>
    </w:p>
    <w:p w14:paraId="4EE28FA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Duit, V., &amp; Galaz, V. (2008). Governance and complexity- emerging issues of governance theory. </w:t>
      </w:r>
      <w:r w:rsidRPr="009B0448">
        <w:rPr>
          <w:rFonts w:ascii="Times New Roman" w:hAnsi="Times New Roman" w:cs="Times New Roman"/>
          <w:i/>
          <w:iCs/>
        </w:rPr>
        <w:t>Governance</w:t>
      </w:r>
      <w:r w:rsidRPr="009B0448">
        <w:rPr>
          <w:rFonts w:ascii="Times New Roman" w:hAnsi="Times New Roman" w:cs="Times New Roman"/>
        </w:rPr>
        <w:t xml:space="preserve">, </w:t>
      </w:r>
      <w:r w:rsidRPr="009B0448">
        <w:rPr>
          <w:rFonts w:ascii="Times New Roman" w:hAnsi="Times New Roman" w:cs="Times New Roman"/>
          <w:i/>
        </w:rPr>
        <w:t>21</w:t>
      </w:r>
      <w:r w:rsidRPr="009B0448">
        <w:rPr>
          <w:rFonts w:ascii="Times New Roman" w:hAnsi="Times New Roman" w:cs="Times New Roman"/>
        </w:rPr>
        <w:t xml:space="preserve">(3), 311–335. </w:t>
      </w:r>
      <w:hyperlink r:id="rId1847" w:history="1">
        <w:r w:rsidRPr="009B0448">
          <w:rPr>
            <w:rStyle w:val="Hyperlink"/>
            <w:rFonts w:ascii="Times New Roman" w:hAnsi="Times New Roman" w:cs="Times New Roman"/>
          </w:rPr>
          <w:t>https://doi.org/10.1111/j.1468-0491.2008.00402.x</w:t>
        </w:r>
      </w:hyperlink>
    </w:p>
    <w:p w14:paraId="64ACC9E2"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Dyer, J. C., Leventon, J., Stringer, L. C., Dougill, A. J., Syampungani, S., Nshimbi, M., Chama, F., &amp; Kafwifwi, A. (2013). Partnership models for climate compatible development: experiences from Zambia. </w:t>
      </w:r>
      <w:r w:rsidRPr="009B0448">
        <w:rPr>
          <w:rFonts w:ascii="Times New Roman" w:hAnsi="Times New Roman" w:cs="Times New Roman"/>
          <w:i/>
          <w:iCs/>
        </w:rPr>
        <w:t>Resources,</w:t>
      </w:r>
      <w:r w:rsidRPr="009B0448">
        <w:rPr>
          <w:rFonts w:ascii="Times New Roman" w:hAnsi="Times New Roman" w:cs="Times New Roman"/>
        </w:rPr>
        <w:t xml:space="preserve"> </w:t>
      </w:r>
      <w:r w:rsidRPr="009B0448">
        <w:rPr>
          <w:rFonts w:ascii="Times New Roman" w:hAnsi="Times New Roman" w:cs="Times New Roman"/>
          <w:i/>
        </w:rPr>
        <w:t>2</w:t>
      </w:r>
      <w:r w:rsidRPr="009B0448">
        <w:rPr>
          <w:rFonts w:ascii="Times New Roman" w:hAnsi="Times New Roman" w:cs="Times New Roman"/>
        </w:rPr>
        <w:t xml:space="preserve">(1), 1–38. </w:t>
      </w:r>
      <w:hyperlink r:id="rId1848" w:history="1">
        <w:r w:rsidRPr="009B0448">
          <w:rPr>
            <w:rStyle w:val="Hyperlink"/>
            <w:rFonts w:ascii="Times New Roman" w:hAnsi="Times New Roman" w:cs="Times New Roman"/>
          </w:rPr>
          <w:t>https://doi.org/10.3390/resources2010001</w:t>
        </w:r>
      </w:hyperlink>
    </w:p>
    <w:p w14:paraId="53C9DE5C"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Emerton, L. (2000). </w:t>
      </w:r>
      <w:r w:rsidRPr="009B0448">
        <w:rPr>
          <w:rFonts w:ascii="Times New Roman" w:hAnsi="Times New Roman" w:cs="Times New Roman"/>
          <w:i/>
        </w:rPr>
        <w:t>Using Economic Incentives for Biodiversity Conservation</w:t>
      </w:r>
      <w:r w:rsidRPr="009B0448">
        <w:rPr>
          <w:rFonts w:ascii="Times New Roman" w:hAnsi="Times New Roman" w:cs="Times New Roman"/>
        </w:rPr>
        <w:t xml:space="preserve">. </w:t>
      </w:r>
      <w:r w:rsidRPr="009B0448">
        <w:rPr>
          <w:rFonts w:ascii="Times New Roman" w:hAnsi="Times New Roman" w:cs="Times New Roman"/>
          <w:lang w:val="de-DE"/>
        </w:rPr>
        <w:t xml:space="preserve">IUCN. 26pp. Retrieved from </w:t>
      </w:r>
      <w:hyperlink r:id="rId1849" w:history="1">
        <w:r w:rsidRPr="009B0448">
          <w:rPr>
            <w:rStyle w:val="Hyperlink"/>
            <w:rFonts w:ascii="Times New Roman" w:hAnsi="Times New Roman" w:cs="Times New Roman"/>
          </w:rPr>
          <w:t>https://testportals.iucn.org/library/sites/library/files/documents/PDF-2000-002.pdf</w:t>
        </w:r>
      </w:hyperlink>
    </w:p>
    <w:p w14:paraId="0264418C"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Emerton, L. (2014). </w:t>
      </w:r>
      <w:r w:rsidRPr="009B0448">
        <w:rPr>
          <w:rFonts w:ascii="Times New Roman" w:hAnsi="Times New Roman" w:cs="Times New Roman"/>
          <w:i/>
        </w:rPr>
        <w:t>Bringing the economics of land degradation back to the farm level: A conceptual framework for addressing the costs and benefits of sustainable land management</w:t>
      </w:r>
      <w:r w:rsidRPr="009B0448">
        <w:rPr>
          <w:rFonts w:ascii="Times New Roman" w:hAnsi="Times New Roman" w:cs="Times New Roman"/>
        </w:rPr>
        <w:t xml:space="preserve">. CIAT Working Paper No. 226. Cali, Colombia: International Center for Tropical Agriculture. Retrieved from </w:t>
      </w:r>
      <w:hyperlink r:id="rId1850" w:history="1">
        <w:r w:rsidRPr="009B0448">
          <w:rPr>
            <w:rStyle w:val="Hyperlink"/>
            <w:rFonts w:ascii="Times New Roman" w:hAnsi="Times New Roman" w:cs="Times New Roman"/>
          </w:rPr>
          <w:t>http://hdl.handle.net/10568/43674</w:t>
        </w:r>
      </w:hyperlink>
    </w:p>
    <w:p w14:paraId="5B334E55" w14:textId="77777777" w:rsidR="001D0597" w:rsidRPr="009B0448" w:rsidRDefault="001D0597" w:rsidP="004A52C8">
      <w:pPr>
        <w:spacing w:after="120" w:line="276" w:lineRule="auto"/>
        <w:ind w:left="567" w:hanging="567"/>
        <w:rPr>
          <w:rFonts w:ascii="Times New Roman" w:hAnsi="Times New Roman" w:cs="Times New Roman"/>
          <w:lang w:val="en-US"/>
        </w:rPr>
      </w:pPr>
      <w:r w:rsidRPr="009B0448">
        <w:rPr>
          <w:rFonts w:ascii="Times New Roman" w:hAnsi="Times New Roman" w:cs="Times New Roman"/>
          <w:lang w:val="en-US"/>
        </w:rPr>
        <w:t xml:space="preserve">EPA (Environmental Protection Agency). (2010). </w:t>
      </w:r>
      <w:r w:rsidRPr="009B0448">
        <w:rPr>
          <w:rFonts w:ascii="Times New Roman" w:hAnsi="Times New Roman" w:cs="Times New Roman"/>
          <w:i/>
          <w:lang w:val="en-US"/>
        </w:rPr>
        <w:t>Regulatory impact analysis:</w:t>
      </w:r>
      <w:r w:rsidRPr="009B0448">
        <w:rPr>
          <w:rFonts w:ascii="Times New Roman" w:hAnsi="Times New Roman" w:cs="Times New Roman"/>
          <w:lang w:val="en-US"/>
        </w:rPr>
        <w:t xml:space="preserve"> </w:t>
      </w:r>
      <w:r w:rsidRPr="009B0448">
        <w:rPr>
          <w:rFonts w:ascii="Times New Roman" w:hAnsi="Times New Roman" w:cs="Times New Roman"/>
          <w:i/>
          <w:lang w:val="en-US"/>
        </w:rPr>
        <w:t>Renewable fuel standard program (RFS2)</w:t>
      </w:r>
      <w:r w:rsidRPr="009B0448">
        <w:rPr>
          <w:rFonts w:ascii="Times New Roman" w:hAnsi="Times New Roman" w:cs="Times New Roman"/>
          <w:lang w:val="en-US"/>
        </w:rPr>
        <w:t xml:space="preserve">. Washington, DC, USA: Environmental Protection Agency. Retrieved from </w:t>
      </w:r>
      <w:hyperlink r:id="rId1851" w:history="1">
        <w:r w:rsidRPr="009B0448">
          <w:rPr>
            <w:rFonts w:ascii="Times New Roman" w:hAnsi="Times New Roman" w:cs="Times New Roman"/>
            <w:color w:val="0563C1" w:themeColor="hyperlink"/>
            <w:u w:val="single"/>
            <w:lang w:val="en-US"/>
          </w:rPr>
          <w:t>https://www.epa.gov/sites/production/files/2015-08/documents/420r07004.pdf</w:t>
        </w:r>
      </w:hyperlink>
    </w:p>
    <w:p w14:paraId="5A50EEBE" w14:textId="77777777" w:rsidR="001D0597" w:rsidRPr="009B0448" w:rsidRDefault="001D0597" w:rsidP="00594423">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Eyebe, A. J., Simeon, A. E., Angu, K. A., &amp; Endamana, D. (2012). </w:t>
      </w:r>
      <w:r w:rsidRPr="009B0448">
        <w:rPr>
          <w:rFonts w:ascii="Times New Roman" w:hAnsi="Times New Roman" w:cs="Times New Roman"/>
          <w:i/>
        </w:rPr>
        <w:t>Integrating biodiversity conservation into National Development Policy: A case study for Cameroon.</w:t>
      </w:r>
      <w:r w:rsidRPr="009B0448">
        <w:rPr>
          <w:rFonts w:ascii="Times New Roman" w:hAnsi="Times New Roman" w:cs="Times New Roman"/>
        </w:rPr>
        <w:t xml:space="preserve"> PCLG discussion Paper No 09. Retrieved from </w:t>
      </w:r>
      <w:hyperlink r:id="rId1852" w:history="1">
        <w:r w:rsidRPr="009B0448">
          <w:rPr>
            <w:rFonts w:ascii="Times New Roman" w:hAnsi="Times New Roman" w:cs="Times New Roman"/>
            <w:color w:val="0563C1" w:themeColor="hyperlink"/>
            <w:u w:val="single"/>
          </w:rPr>
          <w:t>http://pubs.iied.org/pdfs/G03722.pdf</w:t>
        </w:r>
      </w:hyperlink>
    </w:p>
    <w:p w14:paraId="6DE3D406"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FAO. (2004). </w:t>
      </w:r>
      <w:r w:rsidRPr="009B0448">
        <w:rPr>
          <w:rFonts w:ascii="Times New Roman" w:hAnsi="Times New Roman" w:cs="Times New Roman"/>
          <w:i/>
        </w:rPr>
        <w:t>The forest revenue system and government expenditure on forestry in Liberia</w:t>
      </w:r>
      <w:r w:rsidRPr="009B0448">
        <w:rPr>
          <w:rFonts w:ascii="Times New Roman" w:hAnsi="Times New Roman" w:cs="Times New Roman"/>
        </w:rPr>
        <w:t xml:space="preserve">. Working Paper No. 13. Rome, Italy: Food and Agriculture Organization of the United Nations. Retrieved from </w:t>
      </w:r>
      <w:hyperlink r:id="rId1853" w:history="1">
        <w:r w:rsidRPr="009B0448">
          <w:rPr>
            <w:rStyle w:val="Hyperlink"/>
            <w:rFonts w:ascii="Times New Roman" w:hAnsi="Times New Roman" w:cs="Times New Roman"/>
          </w:rPr>
          <w:t>http://www.fao.org/tempref/docrep/fao/007/ad494e/ad494e00.pdf</w:t>
        </w:r>
      </w:hyperlink>
    </w:p>
    <w:p w14:paraId="5849E4B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FAO. (2009). </w:t>
      </w:r>
      <w:r w:rsidRPr="009B0448">
        <w:rPr>
          <w:rFonts w:ascii="Times New Roman" w:hAnsi="Times New Roman" w:cs="Times New Roman"/>
          <w:i/>
        </w:rPr>
        <w:t xml:space="preserve">International treaty on plant genetic resources for food and agriculture. </w:t>
      </w:r>
      <w:r w:rsidRPr="009B0448">
        <w:rPr>
          <w:rFonts w:ascii="Times New Roman" w:hAnsi="Times New Roman" w:cs="Times New Roman"/>
        </w:rPr>
        <w:t xml:space="preserve">Rome, Italy: Food and Agriculture Organization of the United Nations. Retrieved from </w:t>
      </w:r>
      <w:hyperlink r:id="rId1854" w:history="1">
        <w:r w:rsidRPr="009B0448">
          <w:rPr>
            <w:rStyle w:val="Hyperlink"/>
            <w:rFonts w:ascii="Times New Roman" w:hAnsi="Times New Roman" w:cs="Times New Roman"/>
          </w:rPr>
          <w:t>http://www.fao.org/3/a-i0510e.pdf</w:t>
        </w:r>
      </w:hyperlink>
    </w:p>
    <w:p w14:paraId="25D70D2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FAO. (2013). </w:t>
      </w:r>
      <w:r w:rsidRPr="009B0448">
        <w:rPr>
          <w:rFonts w:ascii="Times New Roman" w:hAnsi="Times New Roman" w:cs="Times New Roman"/>
          <w:i/>
        </w:rPr>
        <w:t>FAO statistical yearbook 2012: Africa food and agriculture.</w:t>
      </w:r>
      <w:r w:rsidRPr="009B0448">
        <w:rPr>
          <w:rFonts w:ascii="Times New Roman" w:hAnsi="Times New Roman" w:cs="Times New Roman"/>
        </w:rPr>
        <w:t xml:space="preserve"> Accra, Ghana: Food and Agriculture Organization of the United Nations. Retrieved from </w:t>
      </w:r>
      <w:hyperlink r:id="rId1855" w:history="1">
        <w:r w:rsidRPr="009B0448">
          <w:rPr>
            <w:rStyle w:val="Hyperlink"/>
            <w:rFonts w:ascii="Times New Roman" w:hAnsi="Times New Roman" w:cs="Times New Roman"/>
          </w:rPr>
          <w:t>http://www.fao.org/docrep/018/i3137e/i3137e.pdf</w:t>
        </w:r>
      </w:hyperlink>
    </w:p>
    <w:p w14:paraId="46215E0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Feris, L. A. (2010). The role of good environmental governance in the sustainable development of South Africa. </w:t>
      </w:r>
      <w:r w:rsidRPr="009B0448">
        <w:rPr>
          <w:rFonts w:ascii="Times New Roman" w:hAnsi="Times New Roman" w:cs="Times New Roman"/>
          <w:i/>
          <w:iCs/>
        </w:rPr>
        <w:t>PER: Potchefstroomse Elektroniese Regsblad</w:t>
      </w:r>
      <w:r w:rsidRPr="009B0448">
        <w:rPr>
          <w:rFonts w:ascii="Times New Roman" w:hAnsi="Times New Roman" w:cs="Times New Roman"/>
        </w:rPr>
        <w:t xml:space="preserve">, </w:t>
      </w:r>
      <w:r w:rsidRPr="009B0448">
        <w:rPr>
          <w:rFonts w:ascii="Times New Roman" w:hAnsi="Times New Roman" w:cs="Times New Roman"/>
          <w:i/>
          <w:iCs/>
        </w:rPr>
        <w:t>13</w:t>
      </w:r>
      <w:r w:rsidRPr="009B0448">
        <w:rPr>
          <w:rFonts w:ascii="Times New Roman" w:hAnsi="Times New Roman" w:cs="Times New Roman"/>
        </w:rPr>
        <w:t xml:space="preserve">(1), 73–234. Retrieved from </w:t>
      </w:r>
      <w:hyperlink r:id="rId1856" w:history="1">
        <w:r w:rsidRPr="009B0448">
          <w:rPr>
            <w:rStyle w:val="Hyperlink"/>
            <w:rFonts w:ascii="Times New Roman" w:hAnsi="Times New Roman" w:cs="Times New Roman"/>
          </w:rPr>
          <w:t>http://www.scielo.org.za/pdf/pelj/v13n1/03.pdf</w:t>
        </w:r>
      </w:hyperlink>
    </w:p>
    <w:p w14:paraId="091FFA0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Fischer, W., &amp; Bianchi, G. (1984). </w:t>
      </w:r>
      <w:r w:rsidRPr="009B0448">
        <w:rPr>
          <w:rFonts w:ascii="Times New Roman" w:hAnsi="Times New Roman" w:cs="Times New Roman"/>
          <w:i/>
        </w:rPr>
        <w:t>FAO species identification sheets for fishery purposes: West Indian Ocean</w:t>
      </w:r>
      <w:r w:rsidRPr="009B0448">
        <w:rPr>
          <w:rFonts w:ascii="Times New Roman" w:hAnsi="Times New Roman" w:cs="Times New Roman"/>
        </w:rPr>
        <w:t xml:space="preserve">. Rome, Italy: Food and Agriculture Organization of the United Nations. Retrieved from </w:t>
      </w:r>
      <w:hyperlink r:id="rId1857" w:history="1">
        <w:r w:rsidRPr="009B0448">
          <w:rPr>
            <w:rStyle w:val="Hyperlink"/>
            <w:rFonts w:ascii="Times New Roman" w:hAnsi="Times New Roman" w:cs="Times New Roman"/>
          </w:rPr>
          <w:t>ftp://ftp.fao.org/docrep/fao/009/ad468e/ad468e.zip</w:t>
        </w:r>
      </w:hyperlink>
    </w:p>
    <w:p w14:paraId="2AC676D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Folke, C., Hahn, T., Olsson, P., &amp; Norberg, J. (2005). Adaptive Governance of Social-Ecological Systems. </w:t>
      </w:r>
      <w:r w:rsidRPr="009B0448">
        <w:rPr>
          <w:rFonts w:ascii="Times New Roman" w:hAnsi="Times New Roman" w:cs="Times New Roman"/>
          <w:i/>
          <w:iCs/>
        </w:rPr>
        <w:t>Annual Review of Environment and Resources</w:t>
      </w:r>
      <w:r w:rsidRPr="009B0448">
        <w:rPr>
          <w:rFonts w:ascii="Times New Roman" w:hAnsi="Times New Roman" w:cs="Times New Roman"/>
        </w:rPr>
        <w:t xml:space="preserve">, </w:t>
      </w:r>
      <w:r w:rsidRPr="009B0448">
        <w:rPr>
          <w:rFonts w:ascii="Times New Roman" w:hAnsi="Times New Roman" w:cs="Times New Roman"/>
          <w:i/>
        </w:rPr>
        <w:t>30</w:t>
      </w:r>
      <w:r w:rsidRPr="009B0448">
        <w:rPr>
          <w:rFonts w:ascii="Times New Roman" w:hAnsi="Times New Roman" w:cs="Times New Roman"/>
        </w:rPr>
        <w:t xml:space="preserve">(1), 441–473. </w:t>
      </w:r>
      <w:hyperlink r:id="rId1858" w:history="1">
        <w:r w:rsidRPr="009B0448">
          <w:rPr>
            <w:rStyle w:val="Hyperlink"/>
            <w:rFonts w:ascii="Times New Roman" w:hAnsi="Times New Roman" w:cs="Times New Roman"/>
          </w:rPr>
          <w:t>https://doi.org/10.1146/annurev.energy.30.050504.14451</w:t>
        </w:r>
      </w:hyperlink>
    </w:p>
    <w:p w14:paraId="1ACAE437" w14:textId="77777777" w:rsidR="001D0597" w:rsidRPr="009B0448" w:rsidRDefault="001D0597" w:rsidP="009F0016">
      <w:pPr>
        <w:spacing w:after="120" w:line="276" w:lineRule="auto"/>
        <w:ind w:left="567" w:hanging="567"/>
        <w:rPr>
          <w:rFonts w:ascii="Times New Roman" w:hAnsi="Times New Roman" w:cs="Times New Roman"/>
          <w:color w:val="0563C1" w:themeColor="hyperlink"/>
          <w:u w:val="single"/>
        </w:rPr>
      </w:pPr>
      <w:r w:rsidRPr="009B0448">
        <w:rPr>
          <w:rFonts w:ascii="Times New Roman" w:hAnsi="Times New Roman" w:cs="Times New Roman"/>
        </w:rPr>
        <w:t xml:space="preserve">Frost, P. G. H., &amp; Bond, I. (2008). The Campfire programme in Zimbabwe: Payments for wildlife services. </w:t>
      </w:r>
      <w:r w:rsidRPr="009B0448">
        <w:rPr>
          <w:rFonts w:ascii="Times New Roman" w:hAnsi="Times New Roman" w:cs="Times New Roman"/>
          <w:i/>
          <w:iCs/>
        </w:rPr>
        <w:t>Ecological Economics</w:t>
      </w:r>
      <w:r w:rsidRPr="009B0448">
        <w:rPr>
          <w:rFonts w:ascii="Times New Roman" w:hAnsi="Times New Roman" w:cs="Times New Roman"/>
        </w:rPr>
        <w:t xml:space="preserve">, </w:t>
      </w:r>
      <w:r w:rsidRPr="009B0448">
        <w:rPr>
          <w:rFonts w:ascii="Times New Roman" w:hAnsi="Times New Roman" w:cs="Times New Roman"/>
          <w:i/>
        </w:rPr>
        <w:t>65</w:t>
      </w:r>
      <w:r w:rsidRPr="009B0448">
        <w:rPr>
          <w:rFonts w:ascii="Times New Roman" w:hAnsi="Times New Roman" w:cs="Times New Roman"/>
        </w:rPr>
        <w:t xml:space="preserve">, 776–787. </w:t>
      </w:r>
      <w:hyperlink r:id="rId1859" w:history="1">
        <w:r w:rsidRPr="009B0448">
          <w:rPr>
            <w:rFonts w:ascii="Times New Roman" w:hAnsi="Times New Roman" w:cs="Times New Roman"/>
            <w:color w:val="0563C1" w:themeColor="hyperlink"/>
            <w:u w:val="single"/>
          </w:rPr>
          <w:t>https://doi.org/10.1016/j.ecolecon.2007.09.018</w:t>
        </w:r>
      </w:hyperlink>
    </w:p>
    <w:p w14:paraId="74A1C2FB"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Gadgil, M., Berkes, F., &amp; Folke, C. (1993). Indigenous knowledge for biodiversity conservation. </w:t>
      </w:r>
      <w:r w:rsidRPr="009B0448">
        <w:rPr>
          <w:rFonts w:ascii="Times New Roman" w:hAnsi="Times New Roman" w:cs="Times New Roman"/>
          <w:i/>
          <w:iCs/>
        </w:rPr>
        <w:t>Ambio</w:t>
      </w:r>
      <w:r w:rsidRPr="009B0448">
        <w:rPr>
          <w:rFonts w:ascii="Times New Roman" w:hAnsi="Times New Roman" w:cs="Times New Roman"/>
        </w:rPr>
        <w:t xml:space="preserve">, </w:t>
      </w:r>
      <w:r w:rsidRPr="009B0448">
        <w:rPr>
          <w:rFonts w:ascii="Times New Roman" w:hAnsi="Times New Roman" w:cs="Times New Roman"/>
          <w:i/>
        </w:rPr>
        <w:t>22</w:t>
      </w:r>
      <w:r w:rsidRPr="009B0448">
        <w:rPr>
          <w:rFonts w:ascii="Times New Roman" w:hAnsi="Times New Roman" w:cs="Times New Roman"/>
        </w:rPr>
        <w:t xml:space="preserve">, 151–156. Retrieved from </w:t>
      </w:r>
      <w:hyperlink r:id="rId1860" w:history="1">
        <w:r w:rsidRPr="009B0448">
          <w:rPr>
            <w:rStyle w:val="Hyperlink"/>
            <w:rFonts w:ascii="Times New Roman" w:hAnsi="Times New Roman" w:cs="Times New Roman"/>
          </w:rPr>
          <w:t>http://www.jstor.org/stable/4314060</w:t>
        </w:r>
      </w:hyperlink>
    </w:p>
    <w:p w14:paraId="7CC20F71"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Galaz, V., Crona, B., Österblom, H., Olsson, P. &amp; Folke, C. (2012). Polycentric systems and interacting planetary boundaries—Emerging governance of climate change–ocean acidification–marine biodiversity. </w:t>
      </w:r>
      <w:r w:rsidRPr="009B0448">
        <w:rPr>
          <w:rFonts w:ascii="Times New Roman" w:hAnsi="Times New Roman" w:cs="Times New Roman"/>
          <w:i/>
          <w:iCs/>
        </w:rPr>
        <w:t>Ecological Economics</w:t>
      </w:r>
      <w:r w:rsidRPr="009B0448">
        <w:rPr>
          <w:rFonts w:ascii="Times New Roman" w:hAnsi="Times New Roman" w:cs="Times New Roman"/>
        </w:rPr>
        <w:t xml:space="preserve">, </w:t>
      </w:r>
      <w:r w:rsidRPr="009B0448">
        <w:rPr>
          <w:rFonts w:ascii="Times New Roman" w:hAnsi="Times New Roman" w:cs="Times New Roman"/>
          <w:i/>
          <w:iCs/>
        </w:rPr>
        <w:t>81</w:t>
      </w:r>
      <w:r w:rsidRPr="009B0448">
        <w:rPr>
          <w:rFonts w:ascii="Times New Roman" w:hAnsi="Times New Roman" w:cs="Times New Roman"/>
        </w:rPr>
        <w:t xml:space="preserve">, 21–32. </w:t>
      </w:r>
      <w:hyperlink r:id="rId1861" w:history="1">
        <w:r w:rsidRPr="009B0448">
          <w:rPr>
            <w:rStyle w:val="Hyperlink"/>
            <w:rFonts w:ascii="Times New Roman" w:hAnsi="Times New Roman" w:cs="Times New Roman"/>
          </w:rPr>
          <w:t>https://doi.org/10.1016/j.ecolecon.2011.11.012</w:t>
        </w:r>
      </w:hyperlink>
    </w:p>
    <w:p w14:paraId="3BD7506C"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Ganeletti, D. (2011). Reasons and options for integrating ecosystem services in strategic environmental assessment of spatial planning. </w:t>
      </w:r>
      <w:r w:rsidRPr="009B0448">
        <w:rPr>
          <w:rFonts w:ascii="Times New Roman" w:hAnsi="Times New Roman" w:cs="Times New Roman"/>
          <w:i/>
        </w:rPr>
        <w:t xml:space="preserve">International Journal of Biodiversity Science, </w:t>
      </w:r>
      <w:r w:rsidRPr="009B0448">
        <w:rPr>
          <w:rFonts w:ascii="Times New Roman" w:hAnsi="Times New Roman" w:cs="Times New Roman"/>
          <w:i/>
          <w:iCs/>
        </w:rPr>
        <w:t>Ecosystem Services &amp; Management</w:t>
      </w:r>
      <w:r w:rsidRPr="009B0448">
        <w:rPr>
          <w:rFonts w:ascii="Times New Roman" w:hAnsi="Times New Roman" w:cs="Times New Roman"/>
        </w:rPr>
        <w:t xml:space="preserve">, </w:t>
      </w:r>
      <w:r w:rsidRPr="009B0448">
        <w:rPr>
          <w:rFonts w:ascii="Times New Roman" w:hAnsi="Times New Roman" w:cs="Times New Roman"/>
          <w:i/>
        </w:rPr>
        <w:t>7</w:t>
      </w:r>
      <w:r w:rsidRPr="009B0448">
        <w:rPr>
          <w:rFonts w:ascii="Times New Roman" w:hAnsi="Times New Roman" w:cs="Times New Roman"/>
        </w:rPr>
        <w:t xml:space="preserve">(3), 143–149. </w:t>
      </w:r>
      <w:hyperlink r:id="rId1862" w:history="1">
        <w:r w:rsidRPr="009B0448">
          <w:rPr>
            <w:rStyle w:val="Hyperlink"/>
            <w:rFonts w:ascii="Times New Roman" w:hAnsi="Times New Roman" w:cs="Times New Roman"/>
          </w:rPr>
          <w:t>https://doi.org/10.1080/21513732.2011.617711</w:t>
        </w:r>
      </w:hyperlink>
    </w:p>
    <w:p w14:paraId="4E35082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Garcia, S. M., &amp; Cochrane, K. L. (2005). </w:t>
      </w:r>
      <w:r w:rsidRPr="009B0448">
        <w:rPr>
          <w:rFonts w:ascii="Times New Roman" w:hAnsi="Times New Roman" w:cs="Times New Roman"/>
        </w:rPr>
        <w:t xml:space="preserve">Ecosystem approach to fisheries: a review of implementation guidelines. </w:t>
      </w:r>
      <w:r w:rsidRPr="009B0448">
        <w:rPr>
          <w:rFonts w:ascii="Times New Roman" w:hAnsi="Times New Roman" w:cs="Times New Roman"/>
          <w:i/>
          <w:iCs/>
        </w:rPr>
        <w:t>ICES Journal of Marine Science</w:t>
      </w:r>
      <w:r w:rsidRPr="009B0448">
        <w:rPr>
          <w:rFonts w:ascii="Times New Roman" w:hAnsi="Times New Roman" w:cs="Times New Roman"/>
        </w:rPr>
        <w:t xml:space="preserve"> </w:t>
      </w:r>
      <w:r w:rsidRPr="009B0448">
        <w:rPr>
          <w:rFonts w:ascii="Times New Roman" w:hAnsi="Times New Roman" w:cs="Times New Roman"/>
          <w:i/>
        </w:rPr>
        <w:t>62</w:t>
      </w:r>
      <w:r w:rsidRPr="009B0448">
        <w:rPr>
          <w:rFonts w:ascii="Times New Roman" w:hAnsi="Times New Roman" w:cs="Times New Roman"/>
        </w:rPr>
        <w:t xml:space="preserve">(3), 311–318. </w:t>
      </w:r>
      <w:hyperlink r:id="rId1863" w:history="1">
        <w:r w:rsidRPr="009B0448">
          <w:rPr>
            <w:rStyle w:val="Hyperlink"/>
            <w:rFonts w:ascii="Times New Roman" w:hAnsi="Times New Roman" w:cs="Times New Roman"/>
          </w:rPr>
          <w:t>https://doi.org/10.1016/j.icesjms.2004.12.003</w:t>
        </w:r>
      </w:hyperlink>
    </w:p>
    <w:p w14:paraId="63861CCD"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Gaspare, L., Bryceson, I., &amp; Mgaya, Y. D. (2015). Temporal and spatial trends in size, biomass and abundance of groupers (Epinephelinae) in Mafia Island Marine Park: Fishers’ perceptions and underwater visual census surveys. </w:t>
      </w:r>
      <w:r w:rsidRPr="009B0448">
        <w:rPr>
          <w:rFonts w:ascii="Times New Roman" w:hAnsi="Times New Roman" w:cs="Times New Roman"/>
          <w:i/>
          <w:iCs/>
        </w:rPr>
        <w:t>Fisheries Management and Ecology</w:t>
      </w:r>
      <w:r w:rsidRPr="009B0448">
        <w:rPr>
          <w:rFonts w:ascii="Times New Roman" w:hAnsi="Times New Roman" w:cs="Times New Roman"/>
        </w:rPr>
        <w:t xml:space="preserve">, </w:t>
      </w:r>
      <w:r w:rsidRPr="009B0448">
        <w:rPr>
          <w:rFonts w:ascii="Times New Roman" w:hAnsi="Times New Roman" w:cs="Times New Roman"/>
          <w:i/>
          <w:iCs/>
        </w:rPr>
        <w:t>22</w:t>
      </w:r>
      <w:r w:rsidRPr="009B0448">
        <w:rPr>
          <w:rFonts w:ascii="Times New Roman" w:hAnsi="Times New Roman" w:cs="Times New Roman"/>
        </w:rPr>
        <w:t xml:space="preserve">(4), 337–348. </w:t>
      </w:r>
      <w:hyperlink r:id="rId1864" w:history="1">
        <w:r w:rsidRPr="009B0448">
          <w:rPr>
            <w:rStyle w:val="Hyperlink"/>
            <w:rFonts w:ascii="Times New Roman" w:hAnsi="Times New Roman" w:cs="Times New Roman"/>
          </w:rPr>
          <w:t>https://doi.org/10.1111/fme.12133</w:t>
        </w:r>
      </w:hyperlink>
    </w:p>
    <w:p w14:paraId="2B0BC881" w14:textId="77777777" w:rsidR="001D0597" w:rsidRPr="009B0448" w:rsidRDefault="001D0597" w:rsidP="00E50812">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GEF, TERRAFRICA, &amp; the World Bank. (2011). </w:t>
      </w:r>
      <w:r w:rsidRPr="009B0448">
        <w:rPr>
          <w:rFonts w:ascii="Times New Roman" w:hAnsi="Times New Roman" w:cs="Times New Roman"/>
          <w:i/>
        </w:rPr>
        <w:t xml:space="preserve">Sahel and West Africa program in support of the Great Green Wall Initiative: To expand sustainable land and water management in targeted landscapes and climate vulnerable areas. </w:t>
      </w:r>
      <w:r w:rsidRPr="009B0448">
        <w:rPr>
          <w:rFonts w:ascii="Times New Roman" w:hAnsi="Times New Roman" w:cs="Times New Roman"/>
        </w:rPr>
        <w:t xml:space="preserve">Washington, DC, USA: The World Bank Group. Retrieved from </w:t>
      </w:r>
      <w:hyperlink r:id="rId1865" w:history="1">
        <w:r w:rsidRPr="009B0448">
          <w:rPr>
            <w:rStyle w:val="Hyperlink"/>
            <w:rFonts w:ascii="Times New Roman" w:hAnsi="Times New Roman" w:cs="Times New Roman"/>
          </w:rPr>
          <w:t>http://www.nepad.org/resource/sahel-and-west-africa-program-support-great-green-wall-initiative</w:t>
        </w:r>
      </w:hyperlink>
    </w:p>
    <w:p w14:paraId="7E17C32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GEF, UNEP, &amp; CBD </w:t>
      </w:r>
      <w:r w:rsidRPr="009B0448">
        <w:rPr>
          <w:rFonts w:ascii="Times New Roman" w:hAnsi="Times New Roman" w:cs="Times New Roman"/>
          <w:color w:val="auto"/>
        </w:rPr>
        <w:t>Secretariat</w:t>
      </w:r>
      <w:r w:rsidRPr="009B0448">
        <w:rPr>
          <w:rFonts w:ascii="Times New Roman" w:hAnsi="Times New Roman" w:cs="Times New Roman"/>
        </w:rPr>
        <w:t xml:space="preserve">. (2007). </w:t>
      </w:r>
      <w:r w:rsidRPr="009B0448">
        <w:rPr>
          <w:rFonts w:ascii="Times New Roman" w:hAnsi="Times New Roman" w:cs="Times New Roman"/>
          <w:i/>
          <w:iCs/>
        </w:rPr>
        <w:t>Mainstreaming biodiversity into sectoral and cross-sectoral strategies, plans and programmes.</w:t>
      </w:r>
      <w:r w:rsidRPr="009B0448">
        <w:rPr>
          <w:rFonts w:ascii="Times New Roman" w:hAnsi="Times New Roman" w:cs="Times New Roman"/>
        </w:rPr>
        <w:t xml:space="preserve"> Montréal, Canada: Secretariat of the Convention on Biological Diversity. Retrieved from </w:t>
      </w:r>
      <w:hyperlink r:id="rId1866" w:history="1">
        <w:r w:rsidRPr="009B0448">
          <w:rPr>
            <w:rStyle w:val="Hyperlink"/>
            <w:rFonts w:ascii="Times New Roman" w:eastAsia="Times New Roman" w:hAnsi="Times New Roman" w:cs="Times New Roman"/>
          </w:rPr>
          <w:t>https://www.cbd.int/doc/training/nbsap/b3-train-mainstream-en.pdf</w:t>
        </w:r>
      </w:hyperlink>
    </w:p>
    <w:p w14:paraId="70A64AD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GEF. (2014). </w:t>
      </w:r>
      <w:r w:rsidRPr="009B0448">
        <w:rPr>
          <w:rFonts w:ascii="Times New Roman" w:hAnsi="Times New Roman" w:cs="Times New Roman"/>
          <w:i/>
        </w:rPr>
        <w:t>GEF 2020: Strategy for the Global Environment Facility</w:t>
      </w:r>
      <w:r w:rsidRPr="009B0448">
        <w:rPr>
          <w:rFonts w:ascii="Times New Roman" w:hAnsi="Times New Roman" w:cs="Times New Roman"/>
        </w:rPr>
        <w:t xml:space="preserve">, pp. 1–81 Washington, DC, USA: Global Environment Facility. Retrieved from </w:t>
      </w:r>
      <w:hyperlink r:id="rId1867" w:history="1">
        <w:r w:rsidRPr="009B0448">
          <w:rPr>
            <w:rStyle w:val="Hyperlink"/>
            <w:rFonts w:ascii="Times New Roman" w:hAnsi="Times New Roman" w:cs="Times New Roman"/>
          </w:rPr>
          <w:t>https://www.thegef.org/sites/default/files/publications/GEF-2020Strategies-March2015_CRA_WEB_2.pdf</w:t>
        </w:r>
      </w:hyperlink>
    </w:p>
    <w:p w14:paraId="36910ED1" w14:textId="77777777" w:rsidR="001D0597" w:rsidRPr="009B0448" w:rsidRDefault="001D0597" w:rsidP="009F0016">
      <w:pPr>
        <w:spacing w:after="120" w:line="276" w:lineRule="auto"/>
        <w:ind w:left="567" w:hanging="567"/>
        <w:rPr>
          <w:rFonts w:ascii="Times New Roman" w:hAnsi="Times New Roman" w:cs="Times New Roman"/>
          <w:lang w:val="en-US"/>
        </w:rPr>
      </w:pPr>
      <w:bookmarkStart w:id="570" w:name="_ENREF_19"/>
      <w:r w:rsidRPr="009B0448">
        <w:rPr>
          <w:rFonts w:ascii="Times New Roman" w:hAnsi="Times New Roman" w:cs="Times New Roman"/>
          <w:lang w:val="en-US"/>
        </w:rPr>
        <w:t xml:space="preserve">Geisler, C. (2012). New terra nullius narratives and the gentrification of Africa’s “Empty Lands. </w:t>
      </w:r>
      <w:r w:rsidRPr="009B0448">
        <w:rPr>
          <w:rFonts w:ascii="Times New Roman" w:hAnsi="Times New Roman" w:cs="Times New Roman"/>
          <w:i/>
          <w:lang w:val="en-US"/>
        </w:rPr>
        <w:t>Journal of World-Systems Research</w:t>
      </w:r>
      <w:r w:rsidRPr="009B0448">
        <w:rPr>
          <w:rFonts w:ascii="Times New Roman" w:hAnsi="Times New Roman" w:cs="Times New Roman"/>
          <w:lang w:val="en-US"/>
        </w:rPr>
        <w:t xml:space="preserve">, </w:t>
      </w:r>
      <w:r w:rsidRPr="009B0448">
        <w:rPr>
          <w:rFonts w:ascii="Times New Roman" w:hAnsi="Times New Roman" w:cs="Times New Roman"/>
          <w:i/>
          <w:lang w:val="en-US"/>
        </w:rPr>
        <w:t>18</w:t>
      </w:r>
      <w:r w:rsidRPr="009B0448">
        <w:rPr>
          <w:rFonts w:ascii="Times New Roman" w:hAnsi="Times New Roman" w:cs="Times New Roman"/>
          <w:lang w:val="en-US"/>
        </w:rPr>
        <w:t>(1), 15–29.</w:t>
      </w:r>
      <w:bookmarkEnd w:id="570"/>
      <w:r w:rsidRPr="009B0448">
        <w:rPr>
          <w:rFonts w:ascii="Times New Roman" w:hAnsi="Times New Roman" w:cs="Times New Roman"/>
          <w:lang w:val="en-US"/>
        </w:rPr>
        <w:t xml:space="preserve"> </w:t>
      </w:r>
      <w:hyperlink r:id="rId1868" w:history="1">
        <w:r w:rsidRPr="009B0448">
          <w:rPr>
            <w:rFonts w:ascii="Times New Roman" w:hAnsi="Times New Roman" w:cs="Times New Roman"/>
            <w:color w:val="0563C1" w:themeColor="hyperlink"/>
            <w:u w:val="single"/>
            <w:lang w:val="en-US"/>
          </w:rPr>
          <w:t>https://doi.org/10.5195/jwsr.2012.484</w:t>
        </w:r>
      </w:hyperlink>
    </w:p>
    <w:p w14:paraId="75F22823" w14:textId="77777777" w:rsidR="001D0597" w:rsidRPr="009B0448" w:rsidRDefault="001D0597" w:rsidP="009F0016">
      <w:pPr>
        <w:spacing w:after="120" w:line="276" w:lineRule="auto"/>
        <w:ind w:left="567" w:hanging="567"/>
        <w:rPr>
          <w:rFonts w:ascii="Times New Roman" w:hAnsi="Times New Roman" w:cs="Times New Roman"/>
          <w:lang w:val="en-US"/>
        </w:rPr>
      </w:pPr>
      <w:r w:rsidRPr="009B0448">
        <w:rPr>
          <w:rFonts w:ascii="Times New Roman" w:hAnsi="Times New Roman" w:cs="Times New Roman"/>
          <w:lang w:val="fr-FR"/>
        </w:rPr>
        <w:t xml:space="preserve">Glasson, G. E., Mhango, N., Phiri, A., &amp; Lanier, M. (2010). </w:t>
      </w:r>
      <w:r w:rsidRPr="009B0448">
        <w:rPr>
          <w:rFonts w:ascii="Times New Roman" w:hAnsi="Times New Roman" w:cs="Times New Roman"/>
          <w:lang w:val="en-US"/>
        </w:rPr>
        <w:t xml:space="preserve">Sustainability science education in Africa: Negotiating indigenous ways of living with nature in the third space. </w:t>
      </w:r>
      <w:r w:rsidRPr="009B0448">
        <w:rPr>
          <w:rFonts w:ascii="Times New Roman" w:hAnsi="Times New Roman" w:cs="Times New Roman"/>
          <w:i/>
          <w:lang w:val="en-US"/>
        </w:rPr>
        <w:t>International Journal of Science Education,</w:t>
      </w:r>
      <w:r w:rsidRPr="009B0448">
        <w:rPr>
          <w:rFonts w:ascii="Times New Roman" w:hAnsi="Times New Roman" w:cs="Times New Roman"/>
          <w:lang w:val="en-US"/>
        </w:rPr>
        <w:t xml:space="preserve"> </w:t>
      </w:r>
      <w:r w:rsidRPr="009B0448">
        <w:rPr>
          <w:rFonts w:ascii="Times New Roman" w:hAnsi="Times New Roman" w:cs="Times New Roman"/>
          <w:i/>
          <w:lang w:val="en-US"/>
        </w:rPr>
        <w:t>32</w:t>
      </w:r>
      <w:r w:rsidRPr="009B0448">
        <w:rPr>
          <w:rFonts w:ascii="Times New Roman" w:hAnsi="Times New Roman" w:cs="Times New Roman"/>
          <w:lang w:val="en-US"/>
        </w:rPr>
        <w:t xml:space="preserve">, 125–141. </w:t>
      </w:r>
      <w:hyperlink r:id="rId1869" w:history="1">
        <w:r w:rsidRPr="009B0448">
          <w:rPr>
            <w:rStyle w:val="Hyperlink"/>
            <w:rFonts w:ascii="Times New Roman" w:hAnsi="Times New Roman" w:cs="Times New Roman"/>
            <w:lang w:val="en-US"/>
          </w:rPr>
          <w:t>https://doi.org/10.1080/09500690902981269</w:t>
        </w:r>
      </w:hyperlink>
    </w:p>
    <w:p w14:paraId="65FABA1A"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Gleditsch, N. P. (1998). Armed conflict and the environment: a critique of the literature. </w:t>
      </w:r>
      <w:r w:rsidRPr="009B0448">
        <w:rPr>
          <w:rFonts w:ascii="Times New Roman" w:hAnsi="Times New Roman" w:cs="Times New Roman"/>
          <w:i/>
          <w:iCs/>
        </w:rPr>
        <w:t>Journal of Peace Research</w:t>
      </w:r>
      <w:r w:rsidRPr="009B0448">
        <w:rPr>
          <w:rFonts w:ascii="Times New Roman" w:hAnsi="Times New Roman" w:cs="Times New Roman"/>
        </w:rPr>
        <w:t xml:space="preserve">, </w:t>
      </w:r>
      <w:r w:rsidRPr="009B0448">
        <w:rPr>
          <w:rFonts w:ascii="Times New Roman" w:hAnsi="Times New Roman" w:cs="Times New Roman"/>
          <w:i/>
        </w:rPr>
        <w:t>35</w:t>
      </w:r>
      <w:r w:rsidRPr="009B0448">
        <w:rPr>
          <w:rFonts w:ascii="Times New Roman" w:hAnsi="Times New Roman" w:cs="Times New Roman"/>
        </w:rPr>
        <w:t xml:space="preserve">(3), 381–400. Retrieved from </w:t>
      </w:r>
      <w:hyperlink r:id="rId1870" w:history="1">
        <w:r w:rsidRPr="009B0448">
          <w:rPr>
            <w:rStyle w:val="Hyperlink"/>
            <w:rFonts w:ascii="Times New Roman" w:hAnsi="Times New Roman" w:cs="Times New Roman"/>
          </w:rPr>
          <w:t>http://www.jstor.org/stable/424942</w:t>
        </w:r>
      </w:hyperlink>
    </w:p>
    <w:p w14:paraId="5EC26D28"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Goodman, S. M. (2015). Remains of an aye-aye (</w:t>
      </w:r>
      <w:r w:rsidRPr="009B0448">
        <w:rPr>
          <w:rFonts w:ascii="Times New Roman" w:hAnsi="Times New Roman" w:cs="Times New Roman"/>
          <w:i/>
        </w:rPr>
        <w:t>Daubentonia madagascariensis</w:t>
      </w:r>
      <w:r w:rsidRPr="009B0448">
        <w:rPr>
          <w:rFonts w:ascii="Times New Roman" w:hAnsi="Times New Roman" w:cs="Times New Roman"/>
        </w:rPr>
        <w:t xml:space="preserve">) at the edge of the Parc National d’Ankarana, Région Diana. </w:t>
      </w:r>
      <w:r w:rsidRPr="009B0448">
        <w:rPr>
          <w:rFonts w:ascii="Times New Roman" w:hAnsi="Times New Roman" w:cs="Times New Roman"/>
          <w:i/>
        </w:rPr>
        <w:t>Malagasy Nature</w:t>
      </w:r>
      <w:r w:rsidRPr="009B0448">
        <w:rPr>
          <w:rFonts w:ascii="Times New Roman" w:hAnsi="Times New Roman" w:cs="Times New Roman"/>
        </w:rPr>
        <w:t xml:space="preserve">, 9: 107–108. Retrieved from </w:t>
      </w:r>
      <w:hyperlink r:id="rId1871" w:history="1">
        <w:r w:rsidRPr="009B0448">
          <w:rPr>
            <w:rStyle w:val="Hyperlink"/>
            <w:rFonts w:ascii="Times New Roman" w:hAnsi="Times New Roman" w:cs="Times New Roman"/>
          </w:rPr>
          <w:t>http://www.vahatra.mg/volume9.html</w:t>
        </w:r>
      </w:hyperlink>
    </w:p>
    <w:p w14:paraId="63E27F1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Hai, D. P. (2013). </w:t>
      </w:r>
      <w:r w:rsidRPr="009B0448">
        <w:rPr>
          <w:rFonts w:ascii="Times New Roman" w:hAnsi="Times New Roman" w:cs="Times New Roman"/>
          <w:i/>
          <w:iCs/>
        </w:rPr>
        <w:t>Process of public policy formation in developing countries</w:t>
      </w:r>
      <w:r w:rsidRPr="009B0448">
        <w:rPr>
          <w:rFonts w:ascii="Times New Roman" w:hAnsi="Times New Roman" w:cs="Times New Roman"/>
        </w:rPr>
        <w:t xml:space="preserve">. Vietnam: Graduate Academy of Social Science. Retrieved from </w:t>
      </w:r>
      <w:hyperlink r:id="rId1872" w:history="1">
        <w:r w:rsidRPr="009B0448">
          <w:rPr>
            <w:rStyle w:val="Hyperlink"/>
            <w:rFonts w:ascii="Times New Roman" w:hAnsi="Times New Roman" w:cs="Times New Roman"/>
          </w:rPr>
          <w:t>http://archives.ippapublicpolicy.org/IMG/pdf/panel_11_s1_hai_phu_do.pdf</w:t>
        </w:r>
      </w:hyperlink>
    </w:p>
    <w:p w14:paraId="03322385" w14:textId="77777777" w:rsidR="001D0597" w:rsidRPr="009B0448" w:rsidRDefault="001D0597" w:rsidP="009F0016">
      <w:pPr>
        <w:spacing w:after="120" w:line="276" w:lineRule="auto"/>
        <w:ind w:left="567" w:hanging="567"/>
        <w:rPr>
          <w:rFonts w:ascii="Times New Roman" w:hAnsi="Times New Roman" w:cs="Times New Roman"/>
          <w:lang w:val="de-DE"/>
        </w:rPr>
      </w:pPr>
      <w:r w:rsidRPr="009B0448">
        <w:rPr>
          <w:rFonts w:ascii="Times New Roman" w:hAnsi="Times New Roman" w:cs="Times New Roman"/>
          <w:lang w:val="en-US"/>
        </w:rPr>
        <w:t xml:space="preserve">Hailu, M., Kassa, G., &amp; Balehegn, M. (2008). Traditional goverance systems and their operational linkage with formal governing structures in Aba'ala Wereda, Northern Afar. In E. Brems, &amp; C. V. Beken (Eds.), </w:t>
      </w:r>
      <w:r w:rsidRPr="009B0448">
        <w:rPr>
          <w:rFonts w:ascii="Times New Roman" w:hAnsi="Times New Roman" w:cs="Times New Roman"/>
          <w:i/>
          <w:lang w:val="en-US"/>
        </w:rPr>
        <w:t xml:space="preserve">Federalism and the protection of human right in Ethiopia </w:t>
      </w:r>
      <w:r w:rsidRPr="009B0448">
        <w:rPr>
          <w:rFonts w:ascii="Times New Roman" w:hAnsi="Times New Roman" w:cs="Times New Roman"/>
          <w:lang w:val="en-US"/>
        </w:rPr>
        <w:t>(pp. 10211</w:t>
      </w:r>
      <w:r w:rsidRPr="009B0448">
        <w:rPr>
          <w:rFonts w:ascii="Times New Roman" w:hAnsi="Times New Roman" w:cs="Times New Roman"/>
        </w:rPr>
        <w:t>–</w:t>
      </w:r>
      <w:r w:rsidRPr="009B0448">
        <w:rPr>
          <w:rFonts w:ascii="Times New Roman" w:hAnsi="Times New Roman" w:cs="Times New Roman"/>
          <w:lang w:val="en-US"/>
        </w:rPr>
        <w:t>10232)</w:t>
      </w:r>
      <w:r w:rsidRPr="009B0448">
        <w:rPr>
          <w:rFonts w:ascii="Times New Roman" w:hAnsi="Times New Roman" w:cs="Times New Roman"/>
          <w:i/>
          <w:lang w:val="en-US"/>
        </w:rPr>
        <w:t>.</w:t>
      </w:r>
      <w:r w:rsidRPr="009B0448">
        <w:rPr>
          <w:rFonts w:ascii="Times New Roman" w:hAnsi="Times New Roman" w:cs="Times New Roman"/>
          <w:lang w:val="en-US"/>
        </w:rPr>
        <w:t xml:space="preserve"> </w:t>
      </w:r>
      <w:r w:rsidRPr="009B0448">
        <w:rPr>
          <w:rFonts w:ascii="Times New Roman" w:hAnsi="Times New Roman" w:cs="Times New Roman"/>
          <w:lang w:val="de-DE"/>
        </w:rPr>
        <w:t xml:space="preserve">Vienna, Zürich, Berlin: LIT Verlag GmbH. </w:t>
      </w:r>
    </w:p>
    <w:p w14:paraId="3589657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de-DE"/>
        </w:rPr>
        <w:t xml:space="preserve">Hall, R., Edelman, M., Borras Jr, S. M., Scoones, I., White, B., &amp; Wolford, W. (2015). </w:t>
      </w:r>
      <w:r w:rsidRPr="009B0448">
        <w:rPr>
          <w:rFonts w:ascii="Times New Roman" w:hAnsi="Times New Roman" w:cs="Times New Roman"/>
        </w:rPr>
        <w:t xml:space="preserve">Resistance, acquiescence or incorporation? An introduction to land grabbing and political reactions ‘from below’. </w:t>
      </w:r>
      <w:r w:rsidRPr="009B0448">
        <w:rPr>
          <w:rFonts w:ascii="Times New Roman" w:hAnsi="Times New Roman" w:cs="Times New Roman"/>
          <w:i/>
        </w:rPr>
        <w:t>Journal of Peasant Studies</w:t>
      </w:r>
      <w:r w:rsidRPr="009B0448">
        <w:rPr>
          <w:rFonts w:ascii="Times New Roman" w:hAnsi="Times New Roman" w:cs="Times New Roman"/>
        </w:rPr>
        <w:t xml:space="preserve">, 42(3–4), 467–488. </w:t>
      </w:r>
      <w:hyperlink r:id="rId1873" w:history="1">
        <w:r w:rsidRPr="009B0448">
          <w:rPr>
            <w:rStyle w:val="Hyperlink"/>
            <w:rFonts w:ascii="Times New Roman" w:hAnsi="Times New Roman" w:cs="Times New Roman"/>
          </w:rPr>
          <w:t>https://doi.org/10.1080/03066150.2015.1036746</w:t>
        </w:r>
      </w:hyperlink>
    </w:p>
    <w:p w14:paraId="7305FF9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Hardin, C. (1968). The Tragedy of the Commons. </w:t>
      </w:r>
      <w:r w:rsidRPr="009B0448">
        <w:rPr>
          <w:rFonts w:ascii="Times New Roman" w:hAnsi="Times New Roman" w:cs="Times New Roman"/>
          <w:i/>
          <w:iCs/>
        </w:rPr>
        <w:t>Science</w:t>
      </w:r>
      <w:r w:rsidRPr="009B0448">
        <w:rPr>
          <w:rFonts w:ascii="Times New Roman" w:hAnsi="Times New Roman" w:cs="Times New Roman"/>
        </w:rPr>
        <w:t xml:space="preserve">, </w:t>
      </w:r>
      <w:r w:rsidRPr="009B0448">
        <w:rPr>
          <w:rFonts w:ascii="Times New Roman" w:hAnsi="Times New Roman" w:cs="Times New Roman"/>
          <w:i/>
        </w:rPr>
        <w:t xml:space="preserve">162 </w:t>
      </w:r>
      <w:r w:rsidRPr="009B0448">
        <w:rPr>
          <w:rFonts w:ascii="Times New Roman" w:hAnsi="Times New Roman" w:cs="Times New Roman"/>
        </w:rPr>
        <w:t xml:space="preserve">(3859), 1243–1248. </w:t>
      </w:r>
      <w:hyperlink r:id="rId1874" w:history="1">
        <w:r w:rsidRPr="009B0448">
          <w:rPr>
            <w:rStyle w:val="Hyperlink"/>
            <w:rFonts w:ascii="Times New Roman" w:hAnsi="Times New Roman" w:cs="Times New Roman"/>
          </w:rPr>
          <w:t>https://doi.org/10.1126/science.162.3859.1243</w:t>
        </w:r>
      </w:hyperlink>
    </w:p>
    <w:p w14:paraId="482A21C9"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Harris, A. (2007). “To live with the sea” Development of the Velondriake Community-Managed Protected Area Network, Southwest Madagascar. </w:t>
      </w:r>
      <w:r w:rsidRPr="009B0448">
        <w:rPr>
          <w:rFonts w:ascii="Times New Roman" w:hAnsi="Times New Roman" w:cs="Times New Roman"/>
          <w:i/>
        </w:rPr>
        <w:t>Madagascar Conservation &amp; Development</w:t>
      </w:r>
      <w:r w:rsidRPr="009B0448">
        <w:rPr>
          <w:rFonts w:ascii="Times New Roman" w:hAnsi="Times New Roman" w:cs="Times New Roman"/>
        </w:rPr>
        <w:t xml:space="preserve">, 2, 43. </w:t>
      </w:r>
      <w:hyperlink r:id="rId1875" w:history="1">
        <w:r w:rsidRPr="009B0448">
          <w:rPr>
            <w:rStyle w:val="Hyperlink"/>
            <w:rFonts w:ascii="Times New Roman" w:hAnsi="Times New Roman" w:cs="Times New Roman"/>
          </w:rPr>
          <w:t>https://doi.org/10.4314/239</w:t>
        </w:r>
      </w:hyperlink>
    </w:p>
    <w:p w14:paraId="135EFA3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Hertsgaard, M. (2011). A Great Green Wall for Africa? </w:t>
      </w:r>
      <w:r w:rsidRPr="009B0448">
        <w:rPr>
          <w:rFonts w:ascii="Times New Roman" w:hAnsi="Times New Roman" w:cs="Times New Roman"/>
          <w:i/>
          <w:iCs/>
        </w:rPr>
        <w:t>The Nation</w:t>
      </w:r>
      <w:r w:rsidRPr="009B0448">
        <w:rPr>
          <w:rFonts w:ascii="Times New Roman" w:hAnsi="Times New Roman" w:cs="Times New Roman"/>
        </w:rPr>
        <w:t xml:space="preserve">, </w:t>
      </w:r>
      <w:r w:rsidRPr="009B0448">
        <w:rPr>
          <w:rFonts w:ascii="Times New Roman" w:hAnsi="Times New Roman" w:cs="Times New Roman"/>
          <w:i/>
        </w:rPr>
        <w:t>293</w:t>
      </w:r>
      <w:r w:rsidRPr="009B0448">
        <w:rPr>
          <w:rFonts w:ascii="Times New Roman" w:hAnsi="Times New Roman" w:cs="Times New Roman"/>
        </w:rPr>
        <w:t xml:space="preserve">(21), 22–26. Retrieved from </w:t>
      </w:r>
      <w:hyperlink r:id="rId1876" w:history="1">
        <w:r w:rsidRPr="009B0448">
          <w:rPr>
            <w:rStyle w:val="Hyperlink"/>
            <w:rFonts w:ascii="Times New Roman" w:hAnsi="Times New Roman" w:cs="Times New Roman"/>
          </w:rPr>
          <w:t>https://www.thenation.com/article/great-green-wall-africa/</w:t>
        </w:r>
      </w:hyperlink>
    </w:p>
    <w:p w14:paraId="3DB18318"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Hinz, M. O. (2012). The ascertainment of customary law: what is ascertainment of customary law and what is it for? The experience of the customary law ascertainment project in Namibia. </w:t>
      </w:r>
      <w:r w:rsidRPr="009B0448">
        <w:rPr>
          <w:rFonts w:ascii="Times New Roman" w:hAnsi="Times New Roman" w:cs="Times New Roman"/>
          <w:i/>
        </w:rPr>
        <w:t>Oñati Socio-Legal Series, 2</w:t>
      </w:r>
      <w:r w:rsidRPr="009B0448">
        <w:rPr>
          <w:rFonts w:ascii="Times New Roman" w:hAnsi="Times New Roman" w:cs="Times New Roman"/>
        </w:rPr>
        <w:t xml:space="preserve">, (7). Retrieved from </w:t>
      </w:r>
      <w:hyperlink r:id="rId1877" w:history="1">
        <w:r w:rsidRPr="009B0448">
          <w:rPr>
            <w:rStyle w:val="Hyperlink"/>
            <w:rFonts w:ascii="Times New Roman" w:hAnsi="Times New Roman" w:cs="Times New Roman"/>
          </w:rPr>
          <w:t>https://ssrn.com/abstract=2100337</w:t>
        </w:r>
      </w:hyperlink>
    </w:p>
    <w:p w14:paraId="5DFF004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Hope Sr, K. R. (2012). Engaging the youth in Kenya: empowerment, education, and employment. </w:t>
      </w:r>
      <w:r w:rsidRPr="009B0448">
        <w:rPr>
          <w:rFonts w:ascii="Times New Roman" w:hAnsi="Times New Roman" w:cs="Times New Roman"/>
          <w:i/>
          <w:iCs/>
        </w:rPr>
        <w:t>International Journal of Adolescence and Youth,</w:t>
      </w:r>
      <w:r w:rsidRPr="009B0448">
        <w:rPr>
          <w:rFonts w:ascii="Times New Roman" w:hAnsi="Times New Roman" w:cs="Times New Roman"/>
        </w:rPr>
        <w:t xml:space="preserve"> </w:t>
      </w:r>
      <w:r w:rsidRPr="009B0448">
        <w:rPr>
          <w:rFonts w:ascii="Times New Roman" w:hAnsi="Times New Roman" w:cs="Times New Roman"/>
          <w:i/>
        </w:rPr>
        <w:t>17</w:t>
      </w:r>
      <w:r w:rsidRPr="009B0448">
        <w:rPr>
          <w:rFonts w:ascii="Times New Roman" w:hAnsi="Times New Roman" w:cs="Times New Roman"/>
        </w:rPr>
        <w:t xml:space="preserve">(4), 221–236. </w:t>
      </w:r>
      <w:hyperlink r:id="rId1878" w:history="1">
        <w:r w:rsidRPr="009B0448">
          <w:rPr>
            <w:rStyle w:val="Hyperlink"/>
            <w:rFonts w:ascii="Times New Roman" w:hAnsi="Times New Roman" w:cs="Times New Roman"/>
          </w:rPr>
          <w:t>https://doi.org/10.1080/02673843.2012.657657</w:t>
        </w:r>
      </w:hyperlink>
    </w:p>
    <w:p w14:paraId="1ABA14A9" w14:textId="77777777" w:rsidR="001D0597" w:rsidRPr="009B0448" w:rsidRDefault="001D0597" w:rsidP="009F0016">
      <w:pPr>
        <w:spacing w:after="120" w:line="276" w:lineRule="auto"/>
        <w:ind w:left="567" w:hanging="567"/>
        <w:rPr>
          <w:rFonts w:ascii="Times New Roman" w:hAnsi="Times New Roman" w:cs="Times New Roman"/>
          <w:lang w:val="en-US"/>
        </w:rPr>
      </w:pPr>
      <w:r w:rsidRPr="009B0448">
        <w:rPr>
          <w:rFonts w:ascii="Times New Roman" w:hAnsi="Times New Roman" w:cs="Times New Roman"/>
          <w:lang w:val="en-US"/>
        </w:rPr>
        <w:t xml:space="preserve">Horne, F., &amp; Mousseau, F. (2011). </w:t>
      </w:r>
      <w:r w:rsidRPr="009B0448">
        <w:rPr>
          <w:rFonts w:ascii="Times New Roman" w:hAnsi="Times New Roman" w:cs="Times New Roman"/>
          <w:i/>
          <w:lang w:val="en-US"/>
        </w:rPr>
        <w:t>Understanding land investment deals in Africa: Country report, Ethiopia</w:t>
      </w:r>
      <w:r w:rsidRPr="009B0448">
        <w:rPr>
          <w:rFonts w:ascii="Times New Roman" w:hAnsi="Times New Roman" w:cs="Times New Roman"/>
          <w:lang w:val="en-US"/>
        </w:rPr>
        <w:t xml:space="preserve">. Oakland, CA, USA: The Oakland Institute. Retrieved from </w:t>
      </w:r>
      <w:hyperlink r:id="rId1879" w:history="1">
        <w:r w:rsidRPr="009B0448">
          <w:rPr>
            <w:rStyle w:val="Hyperlink"/>
            <w:rFonts w:ascii="Times New Roman" w:hAnsi="Times New Roman" w:cs="Times New Roman"/>
            <w:lang w:val="en-US"/>
          </w:rPr>
          <w:t>https://www.oaklandinstitute.org/sites/oaklandinstitute.org/files/OI_Ethiopa_Land_Investment_report.pdf</w:t>
        </w:r>
      </w:hyperlink>
    </w:p>
    <w:p w14:paraId="6FB756B5" w14:textId="77777777" w:rsidR="001D0597" w:rsidRPr="009B0448" w:rsidRDefault="001D0597" w:rsidP="00AC4A6F">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Huff, A. (2015). </w:t>
      </w:r>
      <w:r w:rsidRPr="009B0448">
        <w:rPr>
          <w:rFonts w:ascii="Times New Roman" w:hAnsi="Times New Roman" w:cs="Times New Roman"/>
          <w:i/>
        </w:rPr>
        <w:t>Green development, natural resource financialization and emerging conflict in southern Africa with examples from implementation contexts in Madagascar, Tanzania and South Africa</w:t>
      </w:r>
      <w:r w:rsidRPr="009B0448">
        <w:rPr>
          <w:rFonts w:ascii="Times New Roman" w:hAnsi="Times New Roman" w:cs="Times New Roman"/>
        </w:rPr>
        <w:t xml:space="preserve">. IDS Evidence Report no. 148. Institute of Development Studies. Retrieved from </w:t>
      </w:r>
      <w:hyperlink r:id="rId1880" w:history="1">
        <w:r w:rsidRPr="009B0448">
          <w:rPr>
            <w:rStyle w:val="Hyperlink"/>
            <w:rFonts w:ascii="Times New Roman" w:hAnsi="Times New Roman" w:cs="Times New Roman"/>
          </w:rPr>
          <w:t>https://opendocs.ids.ac.uk/opendocs/bitstream/handle/123456789/6936/ER148_GreenDevelopmentNaturalResourceFinancializationandEmergingConflictinSouthernAfrica.pdf</w:t>
        </w:r>
      </w:hyperlink>
    </w:p>
    <w:p w14:paraId="67864A3F"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Huntley, B. J., &amp; Redford, K. H. (2014). </w:t>
      </w:r>
      <w:r w:rsidRPr="009B0448">
        <w:rPr>
          <w:rFonts w:ascii="Times New Roman" w:hAnsi="Times New Roman" w:cs="Times New Roman"/>
          <w:i/>
        </w:rPr>
        <w:t>Mainstreaming biodiversity in practice: a STAP advisory document</w:t>
      </w:r>
      <w:r w:rsidRPr="009B0448">
        <w:rPr>
          <w:rFonts w:ascii="Times New Roman" w:hAnsi="Times New Roman" w:cs="Times New Roman"/>
        </w:rPr>
        <w:t xml:space="preserve">. Washington, DC, USA: Global Environment Facility. Retrieved from </w:t>
      </w:r>
      <w:hyperlink r:id="rId1881" w:history="1">
        <w:r w:rsidRPr="009B0448">
          <w:rPr>
            <w:rFonts w:ascii="Times New Roman" w:hAnsi="Times New Roman" w:cs="Times New Roman"/>
            <w:color w:val="0563C1" w:themeColor="hyperlink"/>
            <w:u w:val="single"/>
          </w:rPr>
          <w:t>http://www.thegef.org/sites/default/files/publications/Mainstreaming-Biodiversity-LowRes_1.pdf</w:t>
        </w:r>
      </w:hyperlink>
    </w:p>
    <w:p w14:paraId="25DB53B1"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IIED, &amp; UNEP-WCMC. (2015). </w:t>
      </w:r>
      <w:r w:rsidRPr="009B0448">
        <w:rPr>
          <w:rFonts w:ascii="Times New Roman" w:hAnsi="Times New Roman" w:cs="Times New Roman"/>
          <w:i/>
          <w:iCs/>
        </w:rPr>
        <w:t>Stories of change: Mainstreaming biodiversity and development</w:t>
      </w:r>
      <w:r w:rsidRPr="009B0448">
        <w:rPr>
          <w:rFonts w:ascii="Times New Roman" w:hAnsi="Times New Roman" w:cs="Times New Roman"/>
        </w:rPr>
        <w:t xml:space="preserve">. London, UK: International Institute for Environment and Development. Retrieved from </w:t>
      </w:r>
      <w:hyperlink r:id="rId1882" w:history="1">
        <w:r w:rsidRPr="009B0448">
          <w:rPr>
            <w:rStyle w:val="Hyperlink"/>
            <w:rFonts w:ascii="Times New Roman" w:hAnsi="Times New Roman" w:cs="Times New Roman"/>
          </w:rPr>
          <w:t>http://pubs.iied.org/pdfs/17305IIED.pdf</w:t>
        </w:r>
      </w:hyperlink>
    </w:p>
    <w:p w14:paraId="6A2669F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IIED. (2003). </w:t>
      </w:r>
      <w:r w:rsidRPr="009B0448">
        <w:rPr>
          <w:rFonts w:ascii="Times New Roman" w:hAnsi="Times New Roman" w:cs="Times New Roman"/>
          <w:i/>
          <w:iCs/>
        </w:rPr>
        <w:t>Valuing forests: A Review of methods and applications in developing countries</w:t>
      </w:r>
      <w:r w:rsidRPr="009B0448">
        <w:rPr>
          <w:rFonts w:ascii="Times New Roman" w:hAnsi="Times New Roman" w:cs="Times New Roman"/>
        </w:rPr>
        <w:t xml:space="preserve">. London, UK: International Institute for Environment and Development. Retrieved from </w:t>
      </w:r>
      <w:hyperlink r:id="rId1883" w:history="1">
        <w:r w:rsidRPr="009B0448">
          <w:rPr>
            <w:rStyle w:val="Hyperlink"/>
            <w:rFonts w:ascii="Times New Roman" w:hAnsi="Times New Roman" w:cs="Times New Roman"/>
          </w:rPr>
          <w:t>http://pubs.iied.org/pdfs/8116IIED.pdf</w:t>
        </w:r>
      </w:hyperlink>
    </w:p>
    <w:p w14:paraId="5EBD140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International Waters Governance. (n.d.). Lake Victoria Basin Commission and the Lake Victoria Fisheries Organization. Retrieved 10 August 2017, from </w:t>
      </w:r>
      <w:hyperlink r:id="rId1884" w:history="1">
        <w:r w:rsidRPr="009B0448">
          <w:rPr>
            <w:rStyle w:val="Hyperlink"/>
            <w:rFonts w:ascii="Times New Roman" w:hAnsi="Times New Roman" w:cs="Times New Roman"/>
          </w:rPr>
          <w:t>http://www.internationalwatersgovernance.com/lake-victoria-basin-commission-and-the-lake-victoria-fisheries-organization.html</w:t>
        </w:r>
      </w:hyperlink>
    </w:p>
    <w:p w14:paraId="16B754AD" w14:textId="77777777" w:rsidR="001D0597" w:rsidRPr="009B0448" w:rsidRDefault="001D0597" w:rsidP="009F0016">
      <w:pPr>
        <w:spacing w:after="120" w:line="276" w:lineRule="auto"/>
        <w:ind w:left="567" w:hanging="567"/>
        <w:rPr>
          <w:rFonts w:ascii="Times New Roman" w:hAnsi="Times New Roman" w:cs="Times New Roman"/>
        </w:rPr>
      </w:pPr>
      <w:bookmarkStart w:id="571" w:name="_Hlk490219116"/>
      <w:r w:rsidRPr="009B0448">
        <w:rPr>
          <w:rFonts w:ascii="Times New Roman" w:hAnsi="Times New Roman" w:cs="Times New Roman"/>
        </w:rPr>
        <w:t xml:space="preserve">IPBES. (2016a). </w:t>
      </w:r>
      <w:bookmarkEnd w:id="571"/>
      <w:r w:rsidRPr="009B0448">
        <w:rPr>
          <w:rFonts w:ascii="Times New Roman" w:hAnsi="Times New Roman" w:cs="Times New Roman"/>
          <w:i/>
        </w:rPr>
        <w:t>Work on policy support tools and methodologies.</w:t>
      </w:r>
      <w:r w:rsidRPr="009B0448">
        <w:rPr>
          <w:rFonts w:ascii="Times New Roman" w:hAnsi="Times New Roman" w:cs="Times New Roman"/>
        </w:rPr>
        <w:t xml:space="preserve"> Deliverable 4 (c). Retrieved from </w:t>
      </w:r>
      <w:hyperlink r:id="rId1885" w:history="1">
        <w:r w:rsidRPr="009B0448">
          <w:rPr>
            <w:rStyle w:val="Hyperlink"/>
            <w:rFonts w:ascii="Times New Roman" w:hAnsi="Times New Roman" w:cs="Times New Roman"/>
          </w:rPr>
          <w:t>https://www.ipbes.net/sites/default/files/downloads/IPBES-4-12_EN.pdf</w:t>
        </w:r>
      </w:hyperlink>
    </w:p>
    <w:p w14:paraId="1238206E" w14:textId="77777777" w:rsidR="001D0597" w:rsidRPr="009B0448" w:rsidRDefault="001D0597" w:rsidP="00D04F12">
      <w:pPr>
        <w:widowControl w:val="0"/>
        <w:spacing w:before="120" w:after="120" w:line="276" w:lineRule="auto"/>
        <w:ind w:left="567" w:hanging="567"/>
        <w:rPr>
          <w:rFonts w:ascii="Times New Roman" w:eastAsia="Times New Roman" w:hAnsi="Times New Roman" w:cs="Times New Roman"/>
          <w:color w:val="auto"/>
          <w:lang w:val="en-ZA" w:eastAsia="en-GB"/>
        </w:rPr>
      </w:pPr>
      <w:r w:rsidRPr="009B0448">
        <w:rPr>
          <w:rFonts w:ascii="Times New Roman" w:eastAsia="Times New Roman" w:hAnsi="Times New Roman" w:cs="Times New Roman"/>
          <w:color w:val="auto"/>
          <w:lang w:val="en-ZA" w:eastAsia="en-GB"/>
        </w:rPr>
        <w:t>IPBES</w:t>
      </w:r>
      <w:r w:rsidRPr="009B0448">
        <w:rPr>
          <w:rFonts w:ascii="Times New Roman" w:eastAsia="Times New Roman" w:hAnsi="Times New Roman" w:cs="Times New Roman"/>
          <w:color w:val="auto"/>
          <w:highlight w:val="white"/>
          <w:lang w:val="en-ZA" w:eastAsia="en-GB"/>
        </w:rPr>
        <w:t xml:space="preserve">. (2016b). </w:t>
      </w:r>
      <w:r w:rsidRPr="009B0448">
        <w:rPr>
          <w:rFonts w:ascii="Times New Roman" w:eastAsia="Times New Roman" w:hAnsi="Times New Roman" w:cs="Times New Roman"/>
          <w:i/>
          <w:color w:val="auto"/>
          <w:highlight w:val="white"/>
          <w:lang w:val="en-ZA" w:eastAsia="en-GB"/>
        </w:rPr>
        <w:t>Summary for policymakers of the</w:t>
      </w:r>
      <w:r w:rsidRPr="009B0448">
        <w:rPr>
          <w:rFonts w:ascii="Times New Roman" w:eastAsia="Times New Roman" w:hAnsi="Times New Roman" w:cs="Times New Roman"/>
          <w:color w:val="auto"/>
          <w:highlight w:val="white"/>
          <w:lang w:val="en-ZA" w:eastAsia="en-GB"/>
        </w:rPr>
        <w:t xml:space="preserve"> </w:t>
      </w:r>
      <w:r w:rsidRPr="009B0448">
        <w:rPr>
          <w:rFonts w:ascii="Times New Roman" w:eastAsia="Times New Roman" w:hAnsi="Times New Roman" w:cs="Times New Roman"/>
          <w:i/>
          <w:color w:val="auto"/>
          <w:highlight w:val="white"/>
          <w:lang w:val="en-ZA" w:eastAsia="en-GB"/>
        </w:rPr>
        <w:t>methodological assessment report on scenarios and models of biodiversity and ecosystem services</w:t>
      </w:r>
      <w:r w:rsidRPr="009B0448">
        <w:rPr>
          <w:rFonts w:ascii="Times New Roman" w:eastAsia="Times New Roman" w:hAnsi="Times New Roman" w:cs="Times New Roman"/>
          <w:color w:val="auto"/>
          <w:highlight w:val="white"/>
          <w:lang w:val="en-ZA" w:eastAsia="en-GB"/>
        </w:rPr>
        <w:t>. Secretariat of the Intergovernmental Science-Policy Platform on Biodiversity and Ecosystem Services, pp. 32. Bonn, Germany.</w:t>
      </w:r>
      <w:r w:rsidRPr="009B0448">
        <w:rPr>
          <w:rFonts w:ascii="Times New Roman" w:eastAsia="Times New Roman" w:hAnsi="Times New Roman" w:cs="Times New Roman"/>
          <w:color w:val="auto"/>
          <w:lang w:val="en-ZA" w:eastAsia="en-GB"/>
        </w:rPr>
        <w:t xml:space="preserve"> Retrieved from </w:t>
      </w:r>
      <w:hyperlink r:id="rId1886" w:history="1">
        <w:r w:rsidRPr="009B0448">
          <w:rPr>
            <w:rStyle w:val="Hyperlink"/>
            <w:rFonts w:ascii="Times New Roman" w:eastAsia="Times New Roman" w:hAnsi="Times New Roman" w:cs="Times New Roman"/>
            <w:lang w:val="en-ZA" w:eastAsia="en-GB"/>
          </w:rPr>
          <w:t>https://www.ipbes.net/sites/default/files/downloads/pdf/SPM_Deliverable_3c.pdf</w:t>
        </w:r>
      </w:hyperlink>
    </w:p>
    <w:p w14:paraId="0E40DC8D" w14:textId="77777777" w:rsidR="001D0597" w:rsidRPr="009B0448" w:rsidRDefault="001D0597" w:rsidP="009F0016">
      <w:pPr>
        <w:spacing w:after="120" w:line="276" w:lineRule="auto"/>
        <w:ind w:left="567" w:hanging="567"/>
        <w:rPr>
          <w:rFonts w:ascii="Times New Roman" w:hAnsi="Times New Roman" w:cs="Times New Roman"/>
          <w:lang w:val="de-DE"/>
        </w:rPr>
      </w:pPr>
      <w:r w:rsidRPr="009B0448">
        <w:rPr>
          <w:rFonts w:ascii="Times New Roman" w:hAnsi="Times New Roman" w:cs="Times New Roman"/>
        </w:rPr>
        <w:t xml:space="preserve">IUCN. (2014). </w:t>
      </w:r>
      <w:r w:rsidRPr="009B0448">
        <w:rPr>
          <w:rFonts w:ascii="Times New Roman" w:hAnsi="Times New Roman" w:cs="Times New Roman"/>
          <w:i/>
          <w:iCs/>
        </w:rPr>
        <w:t>Biodiversity offsets technical study paper</w:t>
      </w:r>
      <w:r w:rsidRPr="009B0448">
        <w:rPr>
          <w:rFonts w:ascii="Times New Roman" w:hAnsi="Times New Roman" w:cs="Times New Roman"/>
        </w:rPr>
        <w:t xml:space="preserve">. </w:t>
      </w:r>
      <w:r w:rsidRPr="009B0448">
        <w:rPr>
          <w:rFonts w:ascii="Times New Roman" w:hAnsi="Times New Roman" w:cs="Times New Roman"/>
          <w:lang w:val="de-DE"/>
        </w:rPr>
        <w:t xml:space="preserve">Gland, Switzerland: IUCN. Retrieved from </w:t>
      </w:r>
      <w:hyperlink r:id="rId1887" w:history="1">
        <w:r w:rsidRPr="009B0448">
          <w:rPr>
            <w:rStyle w:val="Hyperlink"/>
            <w:rFonts w:ascii="Times New Roman" w:hAnsi="Times New Roman" w:cs="Times New Roman"/>
            <w:lang w:val="de-DE"/>
          </w:rPr>
          <w:t>http://cmsdata.iucn.org/downloads/final_biodiversity_offsets_paper__9nov2014_1.pdf</w:t>
        </w:r>
      </w:hyperlink>
    </w:p>
    <w:p w14:paraId="6959D6BA"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de-DE"/>
        </w:rPr>
        <w:t xml:space="preserve">Jacobsson, S., Bergek, A., Finon, D., Lauber, V., Mitchell, C., Toke, D., &amp; Verbruggen, A. (2009). </w:t>
      </w:r>
      <w:r w:rsidRPr="009B0448">
        <w:rPr>
          <w:rFonts w:ascii="Times New Roman" w:hAnsi="Times New Roman" w:cs="Times New Roman"/>
        </w:rPr>
        <w:t xml:space="preserve">EU renewable energy support policy: Faith or facts? </w:t>
      </w:r>
      <w:r w:rsidRPr="009B0448">
        <w:rPr>
          <w:rFonts w:ascii="Times New Roman" w:hAnsi="Times New Roman" w:cs="Times New Roman"/>
          <w:i/>
        </w:rPr>
        <w:t>Energy Policy, 37</w:t>
      </w:r>
      <w:r w:rsidRPr="009B0448">
        <w:rPr>
          <w:rFonts w:ascii="Times New Roman" w:hAnsi="Times New Roman" w:cs="Times New Roman"/>
        </w:rPr>
        <w:t xml:space="preserve">(6), 2143–2146. </w:t>
      </w:r>
      <w:hyperlink r:id="rId1888" w:history="1">
        <w:r w:rsidRPr="009B0448">
          <w:rPr>
            <w:rStyle w:val="Hyperlink"/>
            <w:rFonts w:ascii="Times New Roman" w:hAnsi="Times New Roman" w:cs="Times New Roman"/>
          </w:rPr>
          <w:t>https://doi.org/10.1016/j.enpol.2009.02.043</w:t>
        </w:r>
      </w:hyperlink>
    </w:p>
    <w:p w14:paraId="368F7EA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Jasanoff, S., &amp; Martello, M. (2004). </w:t>
      </w:r>
      <w:r w:rsidRPr="009B0448">
        <w:rPr>
          <w:rFonts w:ascii="Times New Roman" w:hAnsi="Times New Roman" w:cs="Times New Roman"/>
          <w:i/>
          <w:iCs/>
        </w:rPr>
        <w:t>Earthly politics: Local and global in environmental governance</w:t>
      </w:r>
      <w:r w:rsidRPr="009B0448">
        <w:rPr>
          <w:rFonts w:ascii="Times New Roman" w:hAnsi="Times New Roman" w:cs="Times New Roman"/>
        </w:rPr>
        <w:t>. Cambridge, MA, USA: MIT Press. ISBN 9780262600590.</w:t>
      </w:r>
    </w:p>
    <w:p w14:paraId="39FB9C46" w14:textId="77777777" w:rsidR="001D0597" w:rsidRPr="009B0448" w:rsidRDefault="001D0597" w:rsidP="000849FA">
      <w:pPr>
        <w:spacing w:after="120" w:line="276" w:lineRule="auto"/>
        <w:ind w:left="567" w:hanging="567"/>
        <w:rPr>
          <w:rFonts w:ascii="Times New Roman" w:hAnsi="Times New Roman" w:cs="Times New Roman"/>
          <w:color w:val="0563C1" w:themeColor="hyperlink"/>
          <w:u w:val="single"/>
        </w:rPr>
      </w:pPr>
      <w:r w:rsidRPr="009B0448">
        <w:rPr>
          <w:rFonts w:ascii="Times New Roman" w:hAnsi="Times New Roman" w:cs="Times New Roman"/>
        </w:rPr>
        <w:t xml:space="preserve">Jenkins, C. ., Sanders, N. ., Andersen, A. N., Arnan, X., Bruhl, C. A., Cerda, X., Ellison, A. M., Fisher, B. L., Fitzpatrick, M. C., Gotelli, N. J., Gove, A. D., Guenard, B., Lattke, J. E., Lessard, J–P., McGlynn, T. P., Menke, S. B., Parr, C. L., Philpott, S. M., Vasconcelos, H. L., Weiser, M. D., &amp; Dunn, R. R. (2011). Global diversity in light of climate change: the case of ants. </w:t>
      </w:r>
      <w:r w:rsidRPr="009B0448">
        <w:rPr>
          <w:rFonts w:ascii="Times New Roman" w:hAnsi="Times New Roman" w:cs="Times New Roman"/>
          <w:i/>
          <w:iCs/>
        </w:rPr>
        <w:t xml:space="preserve">Diversity and Distributions, </w:t>
      </w:r>
      <w:r w:rsidRPr="009B0448">
        <w:rPr>
          <w:rFonts w:ascii="Times New Roman" w:hAnsi="Times New Roman" w:cs="Times New Roman"/>
          <w:i/>
        </w:rPr>
        <w:t>17(</w:t>
      </w:r>
      <w:r w:rsidRPr="009B0448">
        <w:rPr>
          <w:rFonts w:ascii="Times New Roman" w:hAnsi="Times New Roman" w:cs="Times New Roman"/>
        </w:rPr>
        <w:t xml:space="preserve">4), 652–662. </w:t>
      </w:r>
      <w:hyperlink r:id="rId1889" w:history="1">
        <w:r w:rsidRPr="009B0448">
          <w:rPr>
            <w:rStyle w:val="Hyperlink"/>
            <w:rFonts w:ascii="Times New Roman" w:hAnsi="Times New Roman" w:cs="Times New Roman"/>
          </w:rPr>
          <w:t>https://doi.org/10.1111/j.1472-4642.2011.00770.x</w:t>
        </w:r>
      </w:hyperlink>
    </w:p>
    <w:p w14:paraId="04A6F2B7"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Jenkins, C. N., Pimm, S. L., &amp; Joppa, L. N. (2013). Global patterns of terrestrial vertebrate diversity and conservation.</w:t>
      </w:r>
      <w:r w:rsidRPr="009B0448">
        <w:rPr>
          <w:rFonts w:ascii="Times New Roman" w:hAnsi="Times New Roman" w:cs="Times New Roman"/>
          <w:i/>
          <w:iCs/>
        </w:rPr>
        <w:t xml:space="preserve"> Ecology</w:t>
      </w:r>
      <w:r w:rsidRPr="009B0448">
        <w:rPr>
          <w:rFonts w:ascii="Times New Roman" w:hAnsi="Times New Roman" w:cs="Times New Roman"/>
        </w:rPr>
        <w:t xml:space="preserve">, </w:t>
      </w:r>
      <w:r w:rsidRPr="009B0448">
        <w:rPr>
          <w:rFonts w:ascii="Times New Roman" w:hAnsi="Times New Roman" w:cs="Times New Roman"/>
          <w:i/>
        </w:rPr>
        <w:t>110</w:t>
      </w:r>
      <w:r w:rsidRPr="009B0448">
        <w:rPr>
          <w:rFonts w:ascii="Times New Roman" w:hAnsi="Times New Roman" w:cs="Times New Roman"/>
        </w:rPr>
        <w:t xml:space="preserve">(28), 2602–2610. </w:t>
      </w:r>
      <w:hyperlink r:id="rId1890" w:history="1">
        <w:r w:rsidRPr="009B0448">
          <w:rPr>
            <w:rStyle w:val="Hyperlink"/>
            <w:rFonts w:ascii="Times New Roman" w:hAnsi="Times New Roman" w:cs="Times New Roman"/>
          </w:rPr>
          <w:t>https://doi.org/10.1111/j.1472-4642.2011.00770.x</w:t>
        </w:r>
      </w:hyperlink>
    </w:p>
    <w:p w14:paraId="13B9FC5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Jenner, N., &amp; Balmforth, Z. (2015). </w:t>
      </w:r>
      <w:r w:rsidRPr="009B0448">
        <w:rPr>
          <w:rFonts w:ascii="Times New Roman" w:hAnsi="Times New Roman" w:cs="Times New Roman"/>
          <w:i/>
          <w:iCs/>
        </w:rPr>
        <w:t>Biodiversity offsets: lessons learnt from policy and practice</w:t>
      </w:r>
      <w:r w:rsidRPr="009B0448">
        <w:rPr>
          <w:rFonts w:ascii="Times New Roman" w:hAnsi="Times New Roman" w:cs="Times New Roman"/>
        </w:rPr>
        <w:t xml:space="preserve">. </w:t>
      </w:r>
      <w:r w:rsidRPr="009B0448">
        <w:rPr>
          <w:rFonts w:ascii="Times New Roman" w:hAnsi="Times New Roman" w:cs="Times New Roman"/>
          <w:i/>
        </w:rPr>
        <w:t xml:space="preserve">Country summary report: South Africa. </w:t>
      </w:r>
      <w:r w:rsidRPr="009B0448">
        <w:rPr>
          <w:rFonts w:ascii="Times New Roman" w:hAnsi="Times New Roman" w:cs="Times New Roman"/>
        </w:rPr>
        <w:t xml:space="preserve">Business &amp; Biodiversity Programme, Fauna &amp; Flora International. Retrieved from </w:t>
      </w:r>
      <w:hyperlink r:id="rId1891" w:history="1">
        <w:r w:rsidRPr="009B0448">
          <w:rPr>
            <w:rStyle w:val="Hyperlink"/>
            <w:rFonts w:ascii="Times New Roman" w:hAnsi="Times New Roman" w:cs="Times New Roman"/>
          </w:rPr>
          <w:t>https://live-fauna-flora-international.pantheonsite.io/wp-content/uploads/old-images/FFI-2015-Biodiversity-Offsets-South-Africa.pdf</w:t>
        </w:r>
      </w:hyperlink>
    </w:p>
    <w:p w14:paraId="6111A536"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Johannes, R. E. (1998). The case for data-less marine resource management: examples from tropical nearshore fin fisheries. </w:t>
      </w:r>
      <w:r w:rsidRPr="009B0448">
        <w:rPr>
          <w:rFonts w:ascii="Times New Roman" w:hAnsi="Times New Roman" w:cs="Times New Roman"/>
          <w:i/>
          <w:iCs/>
        </w:rPr>
        <w:t>Trends in Ecology &amp; Evolution</w:t>
      </w:r>
      <w:r w:rsidRPr="009B0448">
        <w:rPr>
          <w:rFonts w:ascii="Times New Roman" w:hAnsi="Times New Roman" w:cs="Times New Roman"/>
        </w:rPr>
        <w:t xml:space="preserve">, </w:t>
      </w:r>
      <w:r w:rsidRPr="009B0448">
        <w:rPr>
          <w:rFonts w:ascii="Times New Roman" w:hAnsi="Times New Roman" w:cs="Times New Roman"/>
          <w:i/>
        </w:rPr>
        <w:t>13</w:t>
      </w:r>
      <w:r w:rsidRPr="009B0448">
        <w:rPr>
          <w:rFonts w:ascii="Times New Roman" w:hAnsi="Times New Roman" w:cs="Times New Roman"/>
        </w:rPr>
        <w:t xml:space="preserve">(6), 243–246. </w:t>
      </w:r>
      <w:hyperlink r:id="rId1892" w:history="1">
        <w:r w:rsidRPr="009B0448">
          <w:rPr>
            <w:rStyle w:val="Hyperlink"/>
            <w:rFonts w:ascii="Times New Roman" w:hAnsi="Times New Roman" w:cs="Times New Roman"/>
          </w:rPr>
          <w:t>https://doi.org/10.1016/S0169-5347(98)01384-6</w:t>
        </w:r>
      </w:hyperlink>
    </w:p>
    <w:p w14:paraId="7CFBF722"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Jones, J. P. G., Andriamarovololona, M. M., &amp; Hockley, N. (2008). The importance of taboos and social norms to conservation in Madagascar. </w:t>
      </w:r>
      <w:r w:rsidRPr="009B0448">
        <w:rPr>
          <w:rFonts w:ascii="Times New Roman" w:hAnsi="Times New Roman" w:cs="Times New Roman"/>
          <w:i/>
          <w:iCs/>
        </w:rPr>
        <w:t>Conservation Biology</w:t>
      </w:r>
      <w:r w:rsidRPr="009B0448">
        <w:rPr>
          <w:rFonts w:ascii="Times New Roman" w:hAnsi="Times New Roman" w:cs="Times New Roman"/>
        </w:rPr>
        <w:t xml:space="preserve">, </w:t>
      </w:r>
      <w:r w:rsidRPr="009B0448">
        <w:rPr>
          <w:rFonts w:ascii="Times New Roman" w:hAnsi="Times New Roman" w:cs="Times New Roman"/>
          <w:i/>
        </w:rPr>
        <w:t>22</w:t>
      </w:r>
      <w:r w:rsidRPr="009B0448">
        <w:rPr>
          <w:rFonts w:ascii="Times New Roman" w:hAnsi="Times New Roman" w:cs="Times New Roman"/>
        </w:rPr>
        <w:t xml:space="preserve">(4), 976–986. </w:t>
      </w:r>
      <w:hyperlink r:id="rId1893" w:history="1">
        <w:r w:rsidRPr="009B0448">
          <w:rPr>
            <w:rStyle w:val="Hyperlink"/>
            <w:rFonts w:ascii="Times New Roman" w:hAnsi="Times New Roman" w:cs="Times New Roman"/>
          </w:rPr>
          <w:t>https://doi.org/10.1111/j.1523-1739.2008.00970.x</w:t>
        </w:r>
      </w:hyperlink>
    </w:p>
    <w:p w14:paraId="6944D07B"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Kaufmann, J. C. (2014). Contrasting visions of nature and landscapes. In I.R. Scales (Ed.), </w:t>
      </w:r>
      <w:r w:rsidRPr="009B0448">
        <w:rPr>
          <w:rFonts w:ascii="Times New Roman" w:hAnsi="Times New Roman" w:cs="Times New Roman"/>
          <w:i/>
          <w:iCs/>
        </w:rPr>
        <w:t>Conservation and Environmental Management in Madagascar</w:t>
      </w:r>
      <w:r w:rsidRPr="009B0448">
        <w:rPr>
          <w:rFonts w:ascii="Times New Roman" w:hAnsi="Times New Roman" w:cs="Times New Roman"/>
        </w:rPr>
        <w:t xml:space="preserve"> (pp.320–341). London and New York: Routledge. ISBN 9781136309083.</w:t>
      </w:r>
    </w:p>
    <w:p w14:paraId="0FFEE5B7"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Kelly, P. M., &amp; Adger, W. N. (2000). Theory and practice in assessing vulnerability to climate change and facilitating adaptation. </w:t>
      </w:r>
      <w:r w:rsidRPr="009B0448">
        <w:rPr>
          <w:rFonts w:ascii="Times New Roman" w:hAnsi="Times New Roman" w:cs="Times New Roman"/>
          <w:i/>
          <w:iCs/>
        </w:rPr>
        <w:t>Climatic Change</w:t>
      </w:r>
      <w:r w:rsidRPr="009B0448">
        <w:rPr>
          <w:rFonts w:ascii="Times New Roman" w:hAnsi="Times New Roman" w:cs="Times New Roman"/>
        </w:rPr>
        <w:t xml:space="preserve">, </w:t>
      </w:r>
      <w:r w:rsidRPr="009B0448">
        <w:rPr>
          <w:rFonts w:ascii="Times New Roman" w:hAnsi="Times New Roman" w:cs="Times New Roman"/>
          <w:i/>
          <w:iCs/>
        </w:rPr>
        <w:t>47</w:t>
      </w:r>
      <w:r w:rsidRPr="009B0448">
        <w:rPr>
          <w:rFonts w:ascii="Times New Roman" w:hAnsi="Times New Roman" w:cs="Times New Roman"/>
        </w:rPr>
        <w:t xml:space="preserve">(4), 325–352. </w:t>
      </w:r>
      <w:hyperlink r:id="rId1894" w:history="1">
        <w:r w:rsidRPr="009B0448">
          <w:rPr>
            <w:rStyle w:val="Hyperlink"/>
            <w:rFonts w:ascii="Times New Roman" w:hAnsi="Times New Roman" w:cs="Times New Roman"/>
          </w:rPr>
          <w:t>https://doi.org/10.1023/A:1005627828199</w:t>
        </w:r>
      </w:hyperlink>
    </w:p>
    <w:p w14:paraId="40BF4797"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King, N., Biggs, H., &amp; Loon, R. (2007) Seeking common ground: How natural and social scientists might jointly create an overlapping worldview for sustainable livelihoods: A South African perspective. </w:t>
      </w:r>
      <w:r w:rsidRPr="009B0448">
        <w:rPr>
          <w:rFonts w:ascii="Times New Roman" w:hAnsi="Times New Roman" w:cs="Times New Roman"/>
          <w:i/>
        </w:rPr>
        <w:t>Conservation &amp; Society</w:t>
      </w:r>
      <w:r w:rsidRPr="009B0448">
        <w:rPr>
          <w:rFonts w:ascii="Times New Roman" w:hAnsi="Times New Roman" w:cs="Times New Roman"/>
        </w:rPr>
        <w:t xml:space="preserve">, </w:t>
      </w:r>
      <w:r w:rsidRPr="009B0448">
        <w:rPr>
          <w:rFonts w:ascii="Times New Roman" w:hAnsi="Times New Roman" w:cs="Times New Roman"/>
          <w:i/>
        </w:rPr>
        <w:t>5</w:t>
      </w:r>
      <w:r w:rsidRPr="009B0448">
        <w:rPr>
          <w:rFonts w:ascii="Times New Roman" w:hAnsi="Times New Roman" w:cs="Times New Roman"/>
        </w:rPr>
        <w:t xml:space="preserve">(1): 88–114. Retrieved from </w:t>
      </w:r>
      <w:hyperlink r:id="rId1895" w:history="1">
        <w:r w:rsidRPr="009B0448">
          <w:rPr>
            <w:rStyle w:val="Hyperlink"/>
            <w:rFonts w:ascii="Times New Roman" w:hAnsi="Times New Roman" w:cs="Times New Roman"/>
          </w:rPr>
          <w:t>http://www.conservationandsociety.org/text.asp?2007/5/1/88/49225</w:t>
        </w:r>
      </w:hyperlink>
    </w:p>
    <w:p w14:paraId="052A48D8"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Krause, M., Lotze-Campen, H., Popp, A., Dietrich, J. P., &amp; Bonsch, M. (2013). Conservation of undisturbed natural forests and economic impacts on agriculture. </w:t>
      </w:r>
      <w:r w:rsidRPr="009B0448">
        <w:rPr>
          <w:rFonts w:ascii="Times New Roman" w:hAnsi="Times New Roman" w:cs="Times New Roman"/>
          <w:i/>
          <w:iCs/>
        </w:rPr>
        <w:t>Land Use Policy</w:t>
      </w:r>
      <w:r w:rsidRPr="009B0448">
        <w:rPr>
          <w:rFonts w:ascii="Times New Roman" w:hAnsi="Times New Roman" w:cs="Times New Roman"/>
        </w:rPr>
        <w:t xml:space="preserve">, </w:t>
      </w:r>
      <w:r w:rsidRPr="009B0448">
        <w:rPr>
          <w:rFonts w:ascii="Times New Roman" w:hAnsi="Times New Roman" w:cs="Times New Roman"/>
          <w:i/>
          <w:iCs/>
        </w:rPr>
        <w:t>30</w:t>
      </w:r>
      <w:r w:rsidRPr="009B0448">
        <w:rPr>
          <w:rFonts w:ascii="Times New Roman" w:hAnsi="Times New Roman" w:cs="Times New Roman"/>
        </w:rPr>
        <w:t xml:space="preserve">(1), 344–354. </w:t>
      </w:r>
      <w:hyperlink r:id="rId1896" w:history="1">
        <w:r w:rsidRPr="009B0448">
          <w:rPr>
            <w:rStyle w:val="Hyperlink"/>
            <w:rFonts w:ascii="Times New Roman" w:eastAsia="Times New Roman" w:hAnsi="Times New Roman" w:cs="Times New Roman"/>
          </w:rPr>
          <w:t>https://doi.org/10.1016/j.landusepol.2012.03.020</w:t>
        </w:r>
      </w:hyperlink>
      <w:r w:rsidRPr="009B0448">
        <w:rPr>
          <w:rFonts w:ascii="Times New Roman" w:hAnsi="Times New Roman" w:cs="Times New Roman"/>
        </w:rPr>
        <w:t>.</w:t>
      </w:r>
    </w:p>
    <w:p w14:paraId="423949E8" w14:textId="77777777" w:rsidR="001D0597" w:rsidRPr="009B0448" w:rsidRDefault="001D0597" w:rsidP="00D04F1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color w:val="auto"/>
          <w:lang w:val="en-ZA" w:eastAsia="en-GB"/>
        </w:rPr>
        <w:t>Kriegler, E., O’Neill, B. C., Hallegatte, S., Kram, T., Lempert, R., Moss, R. H., &amp; Wilbanks</w:t>
      </w:r>
      <w:r w:rsidRPr="009B0448">
        <w:rPr>
          <w:rFonts w:ascii="Times New Roman" w:eastAsia="Times New Roman" w:hAnsi="Times New Roman" w:cs="Times New Roman"/>
          <w:lang w:val="en-ZA" w:eastAsia="en-GB"/>
        </w:rPr>
        <w:t xml:space="preserve">, T. J. (2010). </w:t>
      </w:r>
      <w:r w:rsidRPr="009B0448">
        <w:rPr>
          <w:rFonts w:ascii="Times New Roman" w:eastAsia="Times New Roman" w:hAnsi="Times New Roman" w:cs="Times New Roman"/>
          <w:i/>
          <w:lang w:val="en-ZA" w:eastAsia="en-GB"/>
        </w:rPr>
        <w:t>Socio-economic scenario development for climate change analysis.</w:t>
      </w:r>
      <w:r w:rsidRPr="009B0448">
        <w:rPr>
          <w:rFonts w:ascii="Times New Roman" w:eastAsia="Times New Roman" w:hAnsi="Times New Roman" w:cs="Times New Roman"/>
          <w:lang w:val="en-ZA" w:eastAsia="en-GB"/>
        </w:rPr>
        <w:t xml:space="preserve"> CIRED Working Paper. DT/WP No 2010-23, October 2010. Retrieved from </w:t>
      </w:r>
      <w:hyperlink r:id="rId1897" w:history="1">
        <w:r w:rsidRPr="009B0448">
          <w:rPr>
            <w:rStyle w:val="Hyperlink"/>
            <w:rFonts w:ascii="Times New Roman" w:eastAsia="Times New Roman" w:hAnsi="Times New Roman" w:cs="Times New Roman"/>
            <w:lang w:val="en-ZA" w:eastAsia="en-GB"/>
          </w:rPr>
          <w:t>http://www.centre-cired.fr/IMG/pdf/CIREDWP-201023.pdf</w:t>
        </w:r>
      </w:hyperlink>
    </w:p>
    <w:p w14:paraId="2AD50F0B"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Lamarque, J., Pacteau, B., Constantin, F., &amp; Macrez, R. (1973). </w:t>
      </w:r>
      <w:r w:rsidRPr="009B0448">
        <w:rPr>
          <w:rFonts w:ascii="Times New Roman" w:hAnsi="Times New Roman" w:cs="Times New Roman"/>
          <w:i/>
          <w:iCs/>
          <w:lang w:val="fr-FR"/>
        </w:rPr>
        <w:t>Droit de la protection de la nature et de l'environnement</w:t>
      </w:r>
      <w:r w:rsidRPr="009B0448">
        <w:rPr>
          <w:rFonts w:ascii="Times New Roman" w:hAnsi="Times New Roman" w:cs="Times New Roman"/>
          <w:lang w:val="fr-FR"/>
        </w:rPr>
        <w:t xml:space="preserve"> (Vol. 20). Paris, France: </w:t>
      </w:r>
      <w:r w:rsidRPr="009B0448">
        <w:rPr>
          <w:rFonts w:ascii="Times New Roman" w:hAnsi="Times New Roman" w:cs="Times New Roman"/>
        </w:rPr>
        <w:t>LGDJ.</w:t>
      </w:r>
    </w:p>
    <w:p w14:paraId="4AAED098"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Lambert, A. (2006). </w:t>
      </w:r>
      <w:r w:rsidRPr="009B0448">
        <w:rPr>
          <w:rFonts w:ascii="Times New Roman" w:hAnsi="Times New Roman" w:cs="Times New Roman"/>
          <w:i/>
        </w:rPr>
        <w:t>Sustainable financing for environmental projects in Africa: Some ideas and considerations.</w:t>
      </w:r>
      <w:r w:rsidRPr="009B0448">
        <w:rPr>
          <w:rFonts w:ascii="Times New Roman" w:hAnsi="Times New Roman" w:cs="Times New Roman"/>
        </w:rPr>
        <w:t xml:space="preserve"> A paper prepared for the 11th Regular Session of AMCEN, Brazzavile, Congo, 22–26 May 2016. Available at </w:t>
      </w:r>
      <w:hyperlink r:id="rId1898" w:history="1">
        <w:r w:rsidRPr="009B0448">
          <w:rPr>
            <w:rStyle w:val="Hyperlink"/>
            <w:rFonts w:ascii="Times New Roman" w:hAnsi="Times New Roman" w:cs="Times New Roman"/>
          </w:rPr>
          <w:t>www.unep.org</w:t>
        </w:r>
      </w:hyperlink>
    </w:p>
    <w:p w14:paraId="2F852884" w14:textId="77777777" w:rsidR="001D0597" w:rsidRPr="009B0448" w:rsidRDefault="001D0597" w:rsidP="00D04F1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Lambin, E. F., D’haen, S. A. L., Mertz, O., Nielsen, J.O., &amp; Rasmussen, K. (2014). Scenarios on future land changes in the West African Sahel. </w:t>
      </w:r>
      <w:r w:rsidRPr="009B0448">
        <w:rPr>
          <w:rFonts w:ascii="Times New Roman" w:eastAsia="Times New Roman" w:hAnsi="Times New Roman" w:cs="Times New Roman"/>
          <w:i/>
          <w:lang w:val="en-ZA" w:eastAsia="en-GB"/>
        </w:rPr>
        <w:t>Geografisk Tidsskrift-Danish Journal of Geography</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114</w:t>
      </w:r>
      <w:r w:rsidRPr="009B0448">
        <w:rPr>
          <w:rFonts w:ascii="Times New Roman" w:eastAsia="Times New Roman" w:hAnsi="Times New Roman" w:cs="Times New Roman"/>
          <w:lang w:val="en-ZA" w:eastAsia="en-GB"/>
        </w:rPr>
        <w:t xml:space="preserve">, 76–83. </w:t>
      </w:r>
      <w:hyperlink r:id="rId1899" w:history="1">
        <w:r w:rsidRPr="009B0448">
          <w:rPr>
            <w:rStyle w:val="Hyperlink"/>
            <w:rFonts w:ascii="Times New Roman" w:hAnsi="Times New Roman" w:cs="Times New Roman"/>
            <w:lang w:val="en-ZA" w:eastAsia="en-GB"/>
          </w:rPr>
          <w:t>https://doi.org/10.1080/00167223.2013.878229</w:t>
        </w:r>
      </w:hyperlink>
    </w:p>
    <w:p w14:paraId="22702CD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Lambooy, T., &amp; Levashova, Y. (2011). Opportunities and challenges for private sector entrepreneurship and investment in biodiversity, ecosystem services and nature conservation. </w:t>
      </w:r>
      <w:r w:rsidRPr="009B0448">
        <w:rPr>
          <w:rFonts w:ascii="Times New Roman" w:hAnsi="Times New Roman" w:cs="Times New Roman"/>
          <w:i/>
          <w:iCs/>
        </w:rPr>
        <w:t>International Journal of Biodiversity Science, Ecosystem Services &amp; Management, 7</w:t>
      </w:r>
      <w:r w:rsidRPr="009B0448">
        <w:rPr>
          <w:rFonts w:ascii="Times New Roman" w:hAnsi="Times New Roman" w:cs="Times New Roman"/>
        </w:rPr>
        <w:t xml:space="preserve">(4), 301–318. </w:t>
      </w:r>
      <w:hyperlink r:id="rId1900" w:history="1">
        <w:r w:rsidRPr="009B0448">
          <w:rPr>
            <w:rStyle w:val="Hyperlink"/>
            <w:rFonts w:ascii="Times New Roman" w:hAnsi="Times New Roman" w:cs="Times New Roman"/>
          </w:rPr>
          <w:t>https://doi.org/10.1080/21513732.2011.629632</w:t>
        </w:r>
      </w:hyperlink>
    </w:p>
    <w:p w14:paraId="4475FD1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Laurance, W. F., Koh, L. P., Butler, R., Sodhi, N. S., Bradshaw, C. J., Neidel, J. D., Consunji, H., &amp; Mateo, J. V. (2010). Improving the performance of the roundtable on sustainable palm oil for nature conservation. </w:t>
      </w:r>
      <w:r w:rsidRPr="009B0448">
        <w:rPr>
          <w:rFonts w:ascii="Times New Roman" w:hAnsi="Times New Roman" w:cs="Times New Roman"/>
          <w:i/>
        </w:rPr>
        <w:t>Conservation Biology, 24</w:t>
      </w:r>
      <w:r w:rsidRPr="009B0448">
        <w:rPr>
          <w:rFonts w:ascii="Times New Roman" w:hAnsi="Times New Roman" w:cs="Times New Roman"/>
        </w:rPr>
        <w:t xml:space="preserve">(2), 377–381. </w:t>
      </w:r>
      <w:hyperlink r:id="rId1901" w:history="1">
        <w:r w:rsidRPr="009B0448">
          <w:rPr>
            <w:rStyle w:val="Hyperlink"/>
            <w:rFonts w:ascii="Times New Roman" w:hAnsi="Times New Roman" w:cs="Times New Roman"/>
          </w:rPr>
          <w:t>https://doi.org/10.1111/j.1523-1739.2010.01448.x</w:t>
        </w:r>
      </w:hyperlink>
    </w:p>
    <w:p w14:paraId="7D7C31C6"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Le Fur, J., Guilavogui, A., &amp; Teitelbaum, A. (2011). </w:t>
      </w:r>
      <w:r w:rsidRPr="009B0448">
        <w:rPr>
          <w:rFonts w:ascii="Times New Roman" w:hAnsi="Times New Roman" w:cs="Times New Roman"/>
        </w:rPr>
        <w:t xml:space="preserve">Contribution of local fishermen to improving knowledge of the marine ecosystem and resources in the Republic of Guinea, West Africa. </w:t>
      </w:r>
      <w:r w:rsidRPr="009B0448">
        <w:rPr>
          <w:rFonts w:ascii="Times New Roman" w:hAnsi="Times New Roman" w:cs="Times New Roman"/>
          <w:i/>
          <w:iCs/>
        </w:rPr>
        <w:t>Canada Journal of Fisheries and Aquatic Science, 68</w:t>
      </w:r>
      <w:r w:rsidRPr="009B0448">
        <w:rPr>
          <w:rFonts w:ascii="Times New Roman" w:hAnsi="Times New Roman" w:cs="Times New Roman"/>
        </w:rPr>
        <w:t xml:space="preserve">, 1454–1469. </w:t>
      </w:r>
      <w:hyperlink r:id="rId1902" w:history="1">
        <w:r w:rsidRPr="009B0448">
          <w:rPr>
            <w:rStyle w:val="Hyperlink"/>
            <w:rFonts w:ascii="Times New Roman" w:hAnsi="Times New Roman" w:cs="Times New Roman"/>
          </w:rPr>
          <w:t>https://doi.org/10.1139/f2011-061</w:t>
        </w:r>
      </w:hyperlink>
    </w:p>
    <w:p w14:paraId="208E7CE1"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Leão, L. (2009). </w:t>
      </w:r>
      <w:r w:rsidRPr="009B0448">
        <w:rPr>
          <w:rFonts w:ascii="Times New Roman" w:hAnsi="Times New Roman" w:cs="Times New Roman"/>
          <w:i/>
        </w:rPr>
        <w:t>Soy moratorium reduces plantings on new deforestations to less than 1%.</w:t>
      </w:r>
      <w:r w:rsidRPr="009B0448">
        <w:rPr>
          <w:rFonts w:ascii="Times New Roman" w:hAnsi="Times New Roman" w:cs="Times New Roman"/>
        </w:rPr>
        <w:t xml:space="preserve"> </w:t>
      </w:r>
      <w:r w:rsidRPr="009B0448">
        <w:rPr>
          <w:rFonts w:ascii="Times New Roman" w:hAnsi="Times New Roman" w:cs="Times New Roman"/>
          <w:iCs/>
        </w:rPr>
        <w:t>ASCOM, Ministry of Environment</w:t>
      </w:r>
      <w:r w:rsidRPr="009B0448">
        <w:rPr>
          <w:rFonts w:ascii="Times New Roman" w:hAnsi="Times New Roman" w:cs="Times New Roman"/>
        </w:rPr>
        <w:t xml:space="preserve">. Retrieved from </w:t>
      </w:r>
      <w:hyperlink r:id="rId1903" w:history="1">
        <w:r w:rsidRPr="009B0448">
          <w:rPr>
            <w:rStyle w:val="Hyperlink"/>
            <w:rFonts w:ascii="Times New Roman" w:hAnsi="Times New Roman" w:cs="Times New Roman"/>
          </w:rPr>
          <w:t>http://www.abiove.com.br/english/sustent/imm_nota_ministerio_abr09_us.pdf</w:t>
        </w:r>
      </w:hyperlink>
    </w:p>
    <w:p w14:paraId="155998A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Leventon, J., Kalaba, F. K., Dyer, J. C., Stringer, L. C., &amp; Dougill, A. J. (2014). Delivering community benefits through REDD+: lessons from joint forest management in Zambia. </w:t>
      </w:r>
      <w:r w:rsidRPr="009B0448">
        <w:rPr>
          <w:rFonts w:ascii="Times New Roman" w:hAnsi="Times New Roman" w:cs="Times New Roman"/>
          <w:i/>
          <w:iCs/>
        </w:rPr>
        <w:t>Forest Policy and Economics</w:t>
      </w:r>
      <w:r w:rsidRPr="009B0448">
        <w:rPr>
          <w:rFonts w:ascii="Times New Roman" w:hAnsi="Times New Roman" w:cs="Times New Roman"/>
        </w:rPr>
        <w:t xml:space="preserve">, </w:t>
      </w:r>
      <w:r w:rsidRPr="009B0448">
        <w:rPr>
          <w:rFonts w:ascii="Times New Roman" w:hAnsi="Times New Roman" w:cs="Times New Roman"/>
          <w:i/>
          <w:iCs/>
        </w:rPr>
        <w:t>44</w:t>
      </w:r>
      <w:r w:rsidRPr="009B0448">
        <w:rPr>
          <w:rFonts w:ascii="Times New Roman" w:hAnsi="Times New Roman" w:cs="Times New Roman"/>
        </w:rPr>
        <w:t xml:space="preserve">, 10–17. </w:t>
      </w:r>
      <w:hyperlink r:id="rId1904" w:history="1">
        <w:r w:rsidRPr="009B0448">
          <w:rPr>
            <w:rStyle w:val="Hyperlink"/>
            <w:rFonts w:ascii="Times New Roman" w:hAnsi="Times New Roman" w:cs="Times New Roman"/>
          </w:rPr>
          <w:t>https://doi.org/10.1016/j.forpol.2014.03.005</w:t>
        </w:r>
      </w:hyperlink>
    </w:p>
    <w:p w14:paraId="294150FA" w14:textId="77777777" w:rsidR="001D0597" w:rsidRPr="009B0448" w:rsidRDefault="001D0597" w:rsidP="009F0016">
      <w:pPr>
        <w:spacing w:after="120" w:line="276" w:lineRule="auto"/>
        <w:ind w:left="567" w:hanging="567"/>
        <w:rPr>
          <w:rFonts w:ascii="Times New Roman" w:hAnsi="Times New Roman" w:cs="Times New Roman"/>
          <w:lang w:val="en"/>
        </w:rPr>
      </w:pPr>
      <w:r w:rsidRPr="009B0448">
        <w:rPr>
          <w:rFonts w:ascii="Times New Roman" w:hAnsi="Times New Roman" w:cs="Times New Roman"/>
          <w:lang w:val="de-DE"/>
        </w:rPr>
        <w:t xml:space="preserve">Liu, J., Hull, V., Batistella, M., DeFries, R., Dietz, T., Fu, F., Hertel, T. W., Izaurralde, R. C., Lambin, E. F., Li, S., Martinelli, L. A., McConnell, W. J., Moran, E. F., Naylor, R., Ouyang, Z., Polenske, K. R., Reenberg, A., Rocha, D. D, Simmons, C., Verburg, P. H., Vitousek, P. M., Zhang, F., &amp; Zhu, C. </w:t>
      </w:r>
      <w:r w:rsidRPr="009B0448">
        <w:rPr>
          <w:rFonts w:ascii="Times New Roman" w:hAnsi="Times New Roman" w:cs="Times New Roman"/>
        </w:rPr>
        <w:t xml:space="preserve">(2013). Framing sustainability in telecoupled world. </w:t>
      </w:r>
      <w:r w:rsidRPr="009B0448">
        <w:rPr>
          <w:rFonts w:ascii="Times New Roman" w:hAnsi="Times New Roman" w:cs="Times New Roman"/>
          <w:i/>
          <w:iCs/>
        </w:rPr>
        <w:t xml:space="preserve">Ecology and Society, </w:t>
      </w:r>
      <w:r w:rsidRPr="009B0448">
        <w:rPr>
          <w:rFonts w:ascii="Times New Roman" w:hAnsi="Times New Roman" w:cs="Times New Roman"/>
          <w:i/>
        </w:rPr>
        <w:t>18</w:t>
      </w:r>
      <w:r w:rsidRPr="009B0448">
        <w:rPr>
          <w:rFonts w:ascii="Times New Roman" w:hAnsi="Times New Roman" w:cs="Times New Roman"/>
        </w:rPr>
        <w:t>(2), 26.</w:t>
      </w:r>
      <w:r w:rsidRPr="009B0448">
        <w:rPr>
          <w:rFonts w:ascii="Times New Roman" w:hAnsi="Times New Roman" w:cs="Times New Roman"/>
          <w:lang w:val="en"/>
        </w:rPr>
        <w:t xml:space="preserve"> </w:t>
      </w:r>
      <w:hyperlink r:id="rId1905" w:history="1">
        <w:r w:rsidRPr="009B0448">
          <w:rPr>
            <w:rStyle w:val="Hyperlink"/>
            <w:rFonts w:ascii="Times New Roman" w:hAnsi="Times New Roman" w:cs="Times New Roman"/>
            <w:lang w:val="en"/>
          </w:rPr>
          <w:t>https://doi.org/10.5751/ES-05873-180226</w:t>
        </w:r>
      </w:hyperlink>
    </w:p>
    <w:p w14:paraId="49CC3D4B"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Logan, B. I., &amp; Moseley, W. G. (2002). The political ecology of poverty alleviation in Zimbabwe's Communal Areas Management Programme for Indigenous Resources (CAMPFIRE). </w:t>
      </w:r>
      <w:r w:rsidRPr="009B0448">
        <w:rPr>
          <w:rFonts w:ascii="Times New Roman" w:hAnsi="Times New Roman" w:cs="Times New Roman"/>
          <w:i/>
          <w:iCs/>
        </w:rPr>
        <w:t>Geoforum</w:t>
      </w:r>
      <w:r w:rsidRPr="009B0448">
        <w:rPr>
          <w:rFonts w:ascii="Times New Roman" w:hAnsi="Times New Roman" w:cs="Times New Roman"/>
        </w:rPr>
        <w:t xml:space="preserve">, </w:t>
      </w:r>
      <w:r w:rsidRPr="009B0448">
        <w:rPr>
          <w:rFonts w:ascii="Times New Roman" w:hAnsi="Times New Roman" w:cs="Times New Roman"/>
          <w:i/>
        </w:rPr>
        <w:t>33</w:t>
      </w:r>
      <w:r w:rsidRPr="009B0448">
        <w:rPr>
          <w:rFonts w:ascii="Times New Roman" w:hAnsi="Times New Roman" w:cs="Times New Roman"/>
        </w:rPr>
        <w:t xml:space="preserve">, 1–14. </w:t>
      </w:r>
      <w:hyperlink r:id="rId1906" w:history="1">
        <w:r w:rsidRPr="009B0448">
          <w:rPr>
            <w:rStyle w:val="Hyperlink"/>
            <w:rFonts w:ascii="Times New Roman" w:hAnsi="Times New Roman" w:cs="Times New Roman"/>
          </w:rPr>
          <w:t>https://doi.org/10.1016/S0016-7185(01)00027-6</w:t>
        </w:r>
      </w:hyperlink>
    </w:p>
    <w:p w14:paraId="3B58421C" w14:textId="77777777" w:rsidR="001D0597" w:rsidRPr="009B0448" w:rsidRDefault="001D0597" w:rsidP="00D04F12">
      <w:pPr>
        <w:widowControl w:val="0"/>
        <w:spacing w:before="120" w:after="120" w:line="276" w:lineRule="auto"/>
        <w:ind w:left="567" w:hanging="567"/>
        <w:rPr>
          <w:rFonts w:ascii="Times New Roman" w:eastAsia="Times New Roman" w:hAnsi="Times New Roman" w:cs="Times New Roman"/>
          <w:color w:val="000000" w:themeColor="text1"/>
          <w:lang w:val="en-ZA" w:eastAsia="en-GB"/>
        </w:rPr>
      </w:pPr>
      <w:r w:rsidRPr="009B0448">
        <w:rPr>
          <w:rFonts w:ascii="Times New Roman" w:eastAsia="Times New Roman" w:hAnsi="Times New Roman" w:cs="Times New Roman"/>
          <w:color w:val="000000" w:themeColor="text1"/>
          <w:lang w:val="en-ZA" w:eastAsia="en-GB"/>
        </w:rPr>
        <w:t xml:space="preserve">MA (Millennium Ecosystem Assessment). (2005). </w:t>
      </w:r>
      <w:r w:rsidRPr="009B0448">
        <w:rPr>
          <w:rFonts w:ascii="Times New Roman" w:eastAsia="Times New Roman" w:hAnsi="Times New Roman" w:cs="Times New Roman"/>
          <w:i/>
          <w:color w:val="000000" w:themeColor="text1"/>
          <w:lang w:val="en-ZA" w:eastAsia="en-GB"/>
        </w:rPr>
        <w:t>Ecosystems and human well-being: Synthesis</w:t>
      </w:r>
      <w:r w:rsidRPr="009B0448">
        <w:rPr>
          <w:rFonts w:ascii="Times New Roman" w:eastAsia="Times New Roman" w:hAnsi="Times New Roman" w:cs="Times New Roman"/>
          <w:color w:val="000000" w:themeColor="text1"/>
          <w:lang w:val="en-ZA" w:eastAsia="en-GB"/>
        </w:rPr>
        <w:t xml:space="preserve">. Washington, DC: Island Press. Retrieved from </w:t>
      </w:r>
      <w:hyperlink r:id="rId1907" w:history="1">
        <w:r w:rsidRPr="009B0448">
          <w:rPr>
            <w:rStyle w:val="Hyperlink"/>
            <w:rFonts w:ascii="Times New Roman" w:eastAsia="Times New Roman" w:hAnsi="Times New Roman" w:cs="Times New Roman"/>
            <w:lang w:val="en-ZA" w:eastAsia="en-GB"/>
          </w:rPr>
          <w:t>https://www.millenniumassessment.org/documents/document.356.aspx.pdf</w:t>
        </w:r>
      </w:hyperlink>
    </w:p>
    <w:p w14:paraId="43ECFA2C"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Maathai, W. M. (2010). Replenishing the Earth: Spiritual values for healing ourselves and the world. New York, NY, USA: Crown Publishing. ISBN 9780307591142.</w:t>
      </w:r>
    </w:p>
    <w:p w14:paraId="75464731"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Mahoo, H., &amp; Mpeta, E. (2011). </w:t>
      </w:r>
      <w:r w:rsidRPr="009B0448">
        <w:rPr>
          <w:rFonts w:ascii="Times New Roman" w:hAnsi="Times New Roman" w:cs="Times New Roman"/>
          <w:i/>
        </w:rPr>
        <w:t>Combining indigenous and scientific weather forecasting knowledge in climate risk management in semi-arid areas of Tanzania.</w:t>
      </w:r>
      <w:r w:rsidRPr="009B0448">
        <w:rPr>
          <w:rFonts w:ascii="Times New Roman" w:hAnsi="Times New Roman" w:cs="Times New Roman"/>
        </w:rPr>
        <w:t xml:space="preserve"> Presentation made at a Workshop on 'Achieving Benefits of Enhanced Service Delivery by National Meteorological Services in Eastern and Southern Africa'. </w:t>
      </w:r>
      <w:r w:rsidRPr="009B0448">
        <w:rPr>
          <w:rFonts w:ascii="Times New Roman" w:hAnsi="Times New Roman" w:cs="Times New Roman"/>
          <w:lang w:val="de-DE"/>
        </w:rPr>
        <w:t xml:space="preserve">Dar es Salaam, 21–24 February. Retrieved from </w:t>
      </w:r>
      <w:hyperlink r:id="rId1908" w:history="1">
        <w:r w:rsidRPr="009B0448">
          <w:rPr>
            <w:rStyle w:val="Hyperlink"/>
            <w:rFonts w:ascii="Times New Roman" w:hAnsi="Times New Roman" w:cs="Times New Roman"/>
          </w:rPr>
          <w:t>https://www.wmo.int/pages/prog/amp/pwsp/documents/Mahoo_Sokoine.pdf</w:t>
        </w:r>
      </w:hyperlink>
    </w:p>
    <w:p w14:paraId="24262182"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Maxim, L., Spangenberg, J. H., &amp; O'Connor, M. (2009). </w:t>
      </w:r>
      <w:r w:rsidRPr="009B0448">
        <w:rPr>
          <w:rFonts w:ascii="Times New Roman" w:hAnsi="Times New Roman" w:cs="Times New Roman"/>
        </w:rPr>
        <w:t xml:space="preserve">An analysis of risks for biodiversity under the DPSIR framework. </w:t>
      </w:r>
      <w:r w:rsidRPr="009B0448">
        <w:rPr>
          <w:rFonts w:ascii="Times New Roman" w:hAnsi="Times New Roman" w:cs="Times New Roman"/>
          <w:i/>
          <w:iCs/>
        </w:rPr>
        <w:t>Ecological Economics</w:t>
      </w:r>
      <w:r w:rsidRPr="009B0448">
        <w:rPr>
          <w:rFonts w:ascii="Times New Roman" w:hAnsi="Times New Roman" w:cs="Times New Roman"/>
        </w:rPr>
        <w:t xml:space="preserve">, </w:t>
      </w:r>
      <w:r w:rsidRPr="009B0448">
        <w:rPr>
          <w:rFonts w:ascii="Times New Roman" w:hAnsi="Times New Roman" w:cs="Times New Roman"/>
          <w:i/>
          <w:iCs/>
        </w:rPr>
        <w:t>69</w:t>
      </w:r>
      <w:r w:rsidRPr="009B0448">
        <w:rPr>
          <w:rFonts w:ascii="Times New Roman" w:hAnsi="Times New Roman" w:cs="Times New Roman"/>
        </w:rPr>
        <w:t xml:space="preserve">(1), 12–23. </w:t>
      </w:r>
      <w:hyperlink r:id="rId1909" w:history="1">
        <w:r w:rsidRPr="009B0448">
          <w:rPr>
            <w:rStyle w:val="Hyperlink"/>
            <w:rFonts w:ascii="Times New Roman" w:hAnsi="Times New Roman" w:cs="Times New Roman"/>
          </w:rPr>
          <w:t>https://doi.org/10.1016/j.ecolecon.2009.03.017</w:t>
        </w:r>
      </w:hyperlink>
    </w:p>
    <w:p w14:paraId="65E031B2"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Mayaux, P., Pekel, J. F., Desclee, B., Donnay, F., Lupi, A., Achard, F., Clerici, M., Bodart, C., Brink, A., Nasi R, &amp; Belward, A. (2013). State and evolution of the African rainforests between 1990 and 2010. </w:t>
      </w:r>
      <w:r w:rsidRPr="009B0448">
        <w:rPr>
          <w:rFonts w:ascii="Times New Roman" w:eastAsia="Times New Roman" w:hAnsi="Times New Roman" w:cs="Times New Roman"/>
          <w:i/>
          <w:lang w:val="en-ZA" w:eastAsia="en-GB"/>
        </w:rPr>
        <w:t>Philosophical Transactions of the Royal Society B: Biological Sciences</w:t>
      </w:r>
      <w:r w:rsidRPr="009B0448">
        <w:rPr>
          <w:rFonts w:ascii="Times New Roman" w:hAnsi="Times New Roman" w:cs="Times New Roman"/>
        </w:rPr>
        <w:t xml:space="preserve">, </w:t>
      </w:r>
      <w:r w:rsidRPr="009B0448">
        <w:rPr>
          <w:rFonts w:ascii="Times New Roman" w:hAnsi="Times New Roman" w:cs="Times New Roman"/>
          <w:i/>
        </w:rPr>
        <w:t>368</w:t>
      </w:r>
      <w:r w:rsidRPr="009B0448">
        <w:rPr>
          <w:rFonts w:ascii="Times New Roman" w:hAnsi="Times New Roman" w:cs="Times New Roman"/>
        </w:rPr>
        <w:t xml:space="preserve">(1625). </w:t>
      </w:r>
      <w:hyperlink r:id="rId1910" w:history="1">
        <w:r w:rsidRPr="009B0448">
          <w:rPr>
            <w:rStyle w:val="Hyperlink"/>
            <w:rFonts w:ascii="Times New Roman" w:hAnsi="Times New Roman" w:cs="Times New Roman"/>
          </w:rPr>
          <w:t>https://doi.org/10.1098/rstb.2012.0300</w:t>
        </w:r>
      </w:hyperlink>
    </w:p>
    <w:p w14:paraId="64DF5FB7"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Mazrui, A. A. (2014). </w:t>
      </w:r>
      <w:r w:rsidRPr="009B0448">
        <w:rPr>
          <w:rFonts w:ascii="Times New Roman" w:hAnsi="Times New Roman" w:cs="Times New Roman"/>
          <w:i/>
          <w:iCs/>
        </w:rPr>
        <w:t>African thought in comparative perspective.</w:t>
      </w:r>
      <w:r w:rsidRPr="009B0448">
        <w:rPr>
          <w:rFonts w:ascii="Times New Roman" w:hAnsi="Times New Roman" w:cs="Times New Roman"/>
        </w:rPr>
        <w:t xml:space="preserve"> Newcastle upon Tyne, UK: Cambridge Scholars Publishing. ISBN 9781443853934.</w:t>
      </w:r>
    </w:p>
    <w:p w14:paraId="6867D87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Mbaiwa, J. E. (2017). Effects of the safari hunting tourism ban on rural livelihoods and wildlife conservation in Northern Botswana. </w:t>
      </w:r>
      <w:r w:rsidRPr="009B0448">
        <w:rPr>
          <w:rFonts w:ascii="Times New Roman" w:hAnsi="Times New Roman" w:cs="Times New Roman"/>
          <w:i/>
          <w:iCs/>
        </w:rPr>
        <w:t>South African Geographical Journal</w:t>
      </w:r>
      <w:r w:rsidRPr="009B0448">
        <w:rPr>
          <w:rFonts w:ascii="Times New Roman" w:hAnsi="Times New Roman" w:cs="Times New Roman"/>
        </w:rPr>
        <w:t xml:space="preserve">, 1–21. </w:t>
      </w:r>
      <w:hyperlink r:id="rId1911" w:history="1">
        <w:r w:rsidRPr="009B0448">
          <w:rPr>
            <w:rStyle w:val="Hyperlink"/>
            <w:rFonts w:ascii="Times New Roman" w:hAnsi="Times New Roman" w:cs="Times New Roman"/>
          </w:rPr>
          <w:t>https://doi.org/10.1080/03736245.2017.1299639</w:t>
        </w:r>
      </w:hyperlink>
    </w:p>
    <w:p w14:paraId="72E7C656"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McNeely, J. A. (1993). Economic incentives for conserving biodiversity: lessons for Africa. </w:t>
      </w:r>
      <w:r w:rsidRPr="009B0448">
        <w:rPr>
          <w:rFonts w:ascii="Times New Roman" w:hAnsi="Times New Roman" w:cs="Times New Roman"/>
          <w:i/>
          <w:iCs/>
        </w:rPr>
        <w:t>Ambio</w:t>
      </w:r>
      <w:r w:rsidRPr="009B0448">
        <w:rPr>
          <w:rFonts w:ascii="Times New Roman" w:hAnsi="Times New Roman" w:cs="Times New Roman"/>
        </w:rPr>
        <w:t xml:space="preserve">, </w:t>
      </w:r>
      <w:r w:rsidRPr="009B0448">
        <w:rPr>
          <w:rFonts w:ascii="Times New Roman" w:hAnsi="Times New Roman" w:cs="Times New Roman"/>
          <w:i/>
        </w:rPr>
        <w:t>22</w:t>
      </w:r>
      <w:r w:rsidRPr="009B0448">
        <w:rPr>
          <w:rFonts w:ascii="Times New Roman" w:hAnsi="Times New Roman" w:cs="Times New Roman"/>
        </w:rPr>
        <w:t xml:space="preserve">(2–3), 144–150. Retrieved from </w:t>
      </w:r>
      <w:hyperlink r:id="rId1912" w:history="1">
        <w:r w:rsidRPr="009B0448">
          <w:rPr>
            <w:rStyle w:val="Hyperlink"/>
            <w:rFonts w:ascii="Times New Roman" w:hAnsi="Times New Roman" w:cs="Times New Roman"/>
          </w:rPr>
          <w:t>http://www.jstor.org/stable/4314059</w:t>
        </w:r>
      </w:hyperlink>
    </w:p>
    <w:p w14:paraId="40B0B62C"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Measham, T. G., &amp; Lumbasi, J. A. (2013). Success factors for community-based natural resource management (CBNRM): Lessons from Kenya and Australia. </w:t>
      </w:r>
      <w:r w:rsidRPr="009B0448">
        <w:rPr>
          <w:rFonts w:ascii="Times New Roman" w:hAnsi="Times New Roman" w:cs="Times New Roman"/>
          <w:i/>
          <w:iCs/>
        </w:rPr>
        <w:t>Environmental Management</w:t>
      </w:r>
      <w:r w:rsidRPr="009B0448">
        <w:rPr>
          <w:rFonts w:ascii="Times New Roman" w:hAnsi="Times New Roman" w:cs="Times New Roman"/>
        </w:rPr>
        <w:t xml:space="preserve">, </w:t>
      </w:r>
      <w:r w:rsidRPr="009B0448">
        <w:rPr>
          <w:rFonts w:ascii="Times New Roman" w:hAnsi="Times New Roman" w:cs="Times New Roman"/>
          <w:i/>
        </w:rPr>
        <w:t>52</w:t>
      </w:r>
      <w:r w:rsidRPr="009B0448">
        <w:rPr>
          <w:rFonts w:ascii="Times New Roman" w:hAnsi="Times New Roman" w:cs="Times New Roman"/>
        </w:rPr>
        <w:t xml:space="preserve">(3), 649–659. </w:t>
      </w:r>
      <w:hyperlink r:id="rId1913" w:history="1">
        <w:r w:rsidRPr="009B0448">
          <w:rPr>
            <w:rStyle w:val="Hyperlink"/>
            <w:rFonts w:ascii="Times New Roman" w:hAnsi="Times New Roman" w:cs="Times New Roman"/>
          </w:rPr>
          <w:t>https://doi.org/10.1007/s00267-013-0114-9</w:t>
        </w:r>
      </w:hyperlink>
    </w:p>
    <w:p w14:paraId="5649833C"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Mercer, J., Dominey-Howes, D., Kelman, I., &amp; Lloyd, K. (2007). The potential for combining indigenous and western knowledge in reducing vulnerability to environmental hazards in small island developing states. </w:t>
      </w:r>
      <w:r w:rsidRPr="009B0448">
        <w:rPr>
          <w:rFonts w:ascii="Times New Roman" w:hAnsi="Times New Roman" w:cs="Times New Roman"/>
          <w:i/>
        </w:rPr>
        <w:t>Environmental Hazards, 7</w:t>
      </w:r>
      <w:r w:rsidRPr="009B0448">
        <w:rPr>
          <w:rFonts w:ascii="Times New Roman" w:hAnsi="Times New Roman" w:cs="Times New Roman"/>
        </w:rPr>
        <w:t xml:space="preserve">(4), 245–256. </w:t>
      </w:r>
      <w:hyperlink r:id="rId1914" w:history="1">
        <w:r w:rsidRPr="009B0448">
          <w:rPr>
            <w:rStyle w:val="Hyperlink"/>
            <w:rFonts w:ascii="Times New Roman" w:hAnsi="Times New Roman" w:cs="Times New Roman"/>
          </w:rPr>
          <w:t>https://doi.org/10.1016/j.envhaz.2006.11.001</w:t>
        </w:r>
      </w:hyperlink>
    </w:p>
    <w:p w14:paraId="5D3C790D"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Mongbo, R. (2008). State building and local democracy in Benin: Two cases of decentralised forest management. </w:t>
      </w:r>
      <w:r w:rsidRPr="009B0448">
        <w:rPr>
          <w:rFonts w:ascii="Times New Roman" w:hAnsi="Times New Roman" w:cs="Times New Roman"/>
          <w:i/>
          <w:iCs/>
        </w:rPr>
        <w:t>Conservation and Society</w:t>
      </w:r>
      <w:r w:rsidRPr="009B0448">
        <w:rPr>
          <w:rFonts w:ascii="Times New Roman" w:hAnsi="Times New Roman" w:cs="Times New Roman"/>
          <w:i/>
        </w:rPr>
        <w:t>, 6</w:t>
      </w:r>
      <w:r w:rsidRPr="009B0448">
        <w:rPr>
          <w:rFonts w:ascii="Times New Roman" w:hAnsi="Times New Roman" w:cs="Times New Roman"/>
        </w:rPr>
        <w:t xml:space="preserve">, 49–61. Retrieved from </w:t>
      </w:r>
      <w:hyperlink r:id="rId1915" w:history="1">
        <w:r w:rsidRPr="009B0448">
          <w:rPr>
            <w:rStyle w:val="Hyperlink"/>
            <w:rFonts w:ascii="Times New Roman" w:hAnsi="Times New Roman" w:cs="Times New Roman"/>
          </w:rPr>
          <w:t>http://www.conservationandsociety.org/text.asp?2008/6/1/49/49201</w:t>
        </w:r>
      </w:hyperlink>
    </w:p>
    <w:p w14:paraId="73FCC2E8"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Moseley, W. G. (2010). Engaging the public imagination: Geographers in the OP-ED pages. </w:t>
      </w:r>
      <w:r w:rsidRPr="009B0448">
        <w:rPr>
          <w:rFonts w:ascii="Times New Roman" w:hAnsi="Times New Roman" w:cs="Times New Roman"/>
          <w:i/>
        </w:rPr>
        <w:t>Geographical Reviews, 100</w:t>
      </w:r>
      <w:r w:rsidRPr="009B0448">
        <w:rPr>
          <w:rFonts w:ascii="Times New Roman" w:hAnsi="Times New Roman" w:cs="Times New Roman"/>
        </w:rPr>
        <w:t xml:space="preserve">(1), 109–121. </w:t>
      </w:r>
      <w:hyperlink r:id="rId1916" w:history="1">
        <w:r w:rsidRPr="009B0448">
          <w:rPr>
            <w:rStyle w:val="Hyperlink"/>
            <w:rFonts w:ascii="Times New Roman" w:hAnsi="Times New Roman" w:cs="Times New Roman"/>
          </w:rPr>
          <w:t>https://doi.org/10.1111/j.1931-0846.2010.00009.x</w:t>
        </w:r>
      </w:hyperlink>
    </w:p>
    <w:p w14:paraId="42CE40A8" w14:textId="77777777" w:rsidR="001D0597" w:rsidRPr="009B0448" w:rsidRDefault="001D0597" w:rsidP="00D04F1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Moss, R. H., Edmonds, J. A., Hibbard, K. A., Manning, M. R., Rose, S. K., Van Vuuren, D. P., Carter, T. R., Emori, S., Kainuma, M., Kram, T., Meehl, G. A., Mitchell, J. F. B., Nakicenovic, N., Riahi, K., Smith, S. J., Stouffer, R. J., Thomson, A. M., Weyant, J. P., &amp; Wilbanks, T. J. (2010). The next generation of scenarios for climate change research and assessment. </w:t>
      </w:r>
      <w:r w:rsidRPr="009B0448">
        <w:rPr>
          <w:rFonts w:ascii="Times New Roman" w:eastAsia="Times New Roman" w:hAnsi="Times New Roman" w:cs="Times New Roman"/>
          <w:i/>
          <w:lang w:val="en-ZA" w:eastAsia="en-GB"/>
        </w:rPr>
        <w:t>Nature</w:t>
      </w:r>
      <w:r w:rsidRPr="009B0448">
        <w:rPr>
          <w:rFonts w:ascii="Times New Roman" w:eastAsia="Times New Roman" w:hAnsi="Times New Roman" w:cs="Times New Roman"/>
          <w:lang w:val="en-ZA" w:eastAsia="en-GB"/>
        </w:rPr>
        <w:t xml:space="preserve">, </w:t>
      </w:r>
      <w:r w:rsidRPr="009B0448">
        <w:rPr>
          <w:rFonts w:ascii="Times New Roman" w:eastAsia="Times New Roman" w:hAnsi="Times New Roman" w:cs="Times New Roman"/>
          <w:i/>
          <w:lang w:val="en-ZA" w:eastAsia="en-GB"/>
        </w:rPr>
        <w:t>463</w:t>
      </w:r>
      <w:r w:rsidRPr="009B0448">
        <w:rPr>
          <w:rFonts w:ascii="Times New Roman" w:eastAsia="Times New Roman" w:hAnsi="Times New Roman" w:cs="Times New Roman"/>
          <w:lang w:val="en-ZA" w:eastAsia="en-GB"/>
        </w:rPr>
        <w:t xml:space="preserve">(7282), 747–756. </w:t>
      </w:r>
      <w:hyperlink r:id="rId1917" w:history="1">
        <w:r w:rsidRPr="009B0448">
          <w:rPr>
            <w:rStyle w:val="Hyperlink"/>
            <w:rFonts w:ascii="Times New Roman" w:hAnsi="Times New Roman" w:cs="Times New Roman"/>
            <w:lang w:val="en-ZA" w:eastAsia="en-GB"/>
          </w:rPr>
          <w:t>https://doi.org/10.1038/nature08823</w:t>
        </w:r>
      </w:hyperlink>
    </w:p>
    <w:p w14:paraId="7D9348F7" w14:textId="77777777" w:rsidR="001D0597" w:rsidRPr="009B0448" w:rsidRDefault="001D0597" w:rsidP="00D04F1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Moss, R., Babiker, M., Brinkman, S., Calvo, E., Carter, T., Edmonds, J., Elgizouli, I., Emori, S., Erda, L., Hibbard, K., Jones, R., Kainuma, M., Kelleher, J., Lamarque, J. F., Manning, M., Matthews, B., Meehl, J., Meyer, L., Mitchell, J., Nakicenovic, N., O’Neill, B., Pichs, R., Riahi, K., Rose, S., Runci, P., Stouffer, R., van Vuuren, D., Weyant, J., Wilbanks, T., van Ypersele, J. P., &amp; Zurek, M. (2008). </w:t>
      </w:r>
      <w:r w:rsidRPr="009B0448">
        <w:rPr>
          <w:rFonts w:ascii="Times New Roman" w:eastAsia="Times New Roman" w:hAnsi="Times New Roman" w:cs="Times New Roman"/>
          <w:i/>
          <w:lang w:val="en-ZA" w:eastAsia="en-GB"/>
        </w:rPr>
        <w:t>Towards new scenarios for analysis of emissions, climate change, impacts, and response strategies</w:t>
      </w:r>
      <w:r w:rsidRPr="009B0448">
        <w:rPr>
          <w:rFonts w:ascii="Times New Roman" w:eastAsia="Times New Roman" w:hAnsi="Times New Roman" w:cs="Times New Roman"/>
          <w:lang w:val="en-ZA" w:eastAsia="en-GB"/>
        </w:rPr>
        <w:t xml:space="preserve">. Geneva, Switzerland: Intergovernmental Panel on Climate Change. Retrieved from </w:t>
      </w:r>
      <w:hyperlink r:id="rId1918" w:history="1">
        <w:r w:rsidRPr="009B0448">
          <w:rPr>
            <w:rStyle w:val="Hyperlink"/>
            <w:rFonts w:ascii="Times New Roman" w:hAnsi="Times New Roman" w:cs="Times New Roman"/>
            <w:lang w:val="en-ZA" w:eastAsia="en-GB"/>
          </w:rPr>
          <w:t>http://vuir.vu.edu.au/id/eprint/4819</w:t>
        </w:r>
      </w:hyperlink>
    </w:p>
    <w:p w14:paraId="16632711"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Moura, P. T., &amp; Chaddad, F. R. (2012). </w:t>
      </w:r>
      <w:r w:rsidRPr="009B0448">
        <w:rPr>
          <w:rFonts w:ascii="Times New Roman" w:hAnsi="Times New Roman" w:cs="Times New Roman"/>
        </w:rPr>
        <w:t xml:space="preserve">Collective action and the governance of multistakeholder initiatives: a case study of Bonsucro. </w:t>
      </w:r>
      <w:r w:rsidRPr="009B0448">
        <w:rPr>
          <w:rFonts w:ascii="Times New Roman" w:hAnsi="Times New Roman" w:cs="Times New Roman"/>
          <w:i/>
          <w:iCs/>
        </w:rPr>
        <w:t>Journal on Chain and Network Science</w:t>
      </w:r>
      <w:r w:rsidRPr="009B0448">
        <w:rPr>
          <w:rFonts w:ascii="Times New Roman" w:hAnsi="Times New Roman" w:cs="Times New Roman"/>
        </w:rPr>
        <w:t xml:space="preserve">, </w:t>
      </w:r>
      <w:r w:rsidRPr="009B0448">
        <w:rPr>
          <w:rFonts w:ascii="Times New Roman" w:hAnsi="Times New Roman" w:cs="Times New Roman"/>
          <w:i/>
          <w:iCs/>
        </w:rPr>
        <w:t>12</w:t>
      </w:r>
      <w:r w:rsidRPr="009B0448">
        <w:rPr>
          <w:rFonts w:ascii="Times New Roman" w:hAnsi="Times New Roman" w:cs="Times New Roman"/>
        </w:rPr>
        <w:t xml:space="preserve">(1), 13–24. </w:t>
      </w:r>
      <w:hyperlink r:id="rId1919" w:history="1">
        <w:r w:rsidRPr="009B0448">
          <w:rPr>
            <w:rStyle w:val="Hyperlink"/>
            <w:rFonts w:ascii="Times New Roman" w:hAnsi="Times New Roman" w:cs="Times New Roman"/>
          </w:rPr>
          <w:t>https://doi.org/10.3920/JCNS2012.x002</w:t>
        </w:r>
      </w:hyperlink>
    </w:p>
    <w:p w14:paraId="74DE6A0D"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Muchnik, J., Sanz, J., &amp; Torres, G. (2008). </w:t>
      </w:r>
      <w:r w:rsidRPr="009B0448">
        <w:rPr>
          <w:rFonts w:ascii="Times New Roman" w:hAnsi="Times New Roman" w:cs="Times New Roman"/>
          <w:lang w:val="fr-FR"/>
        </w:rPr>
        <w:t xml:space="preserve">Systèmes agroalimentaires localisés: état des recherches et perspectives. </w:t>
      </w:r>
      <w:r w:rsidRPr="009B0448">
        <w:rPr>
          <w:rFonts w:ascii="Times New Roman" w:hAnsi="Times New Roman" w:cs="Times New Roman"/>
          <w:i/>
          <w:iCs/>
        </w:rPr>
        <w:t>Cahiers Agricultures</w:t>
      </w:r>
      <w:r w:rsidRPr="009B0448">
        <w:rPr>
          <w:rFonts w:ascii="Times New Roman" w:hAnsi="Times New Roman" w:cs="Times New Roman"/>
        </w:rPr>
        <w:t xml:space="preserve">, </w:t>
      </w:r>
      <w:r w:rsidRPr="009B0448">
        <w:rPr>
          <w:rFonts w:ascii="Times New Roman" w:hAnsi="Times New Roman" w:cs="Times New Roman"/>
          <w:i/>
        </w:rPr>
        <w:t>17</w:t>
      </w:r>
      <w:r w:rsidRPr="009B0448">
        <w:rPr>
          <w:rFonts w:ascii="Times New Roman" w:hAnsi="Times New Roman" w:cs="Times New Roman"/>
        </w:rPr>
        <w:t xml:space="preserve">(6), 513–519. </w:t>
      </w:r>
      <w:hyperlink r:id="rId1920" w:history="1">
        <w:r w:rsidRPr="009B0448">
          <w:rPr>
            <w:rStyle w:val="Hyperlink"/>
            <w:rFonts w:ascii="Times New Roman" w:hAnsi="Times New Roman" w:cs="Times New Roman"/>
          </w:rPr>
          <w:t>https://doi.org/10.1684/agr.2008.0251</w:t>
        </w:r>
      </w:hyperlink>
    </w:p>
    <w:p w14:paraId="13975B61"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Muhumuza, M., &amp; Balkwill, K. (2013). Factors affecting the success of conserving biodiversity in national parks: A review of case studies from Africa. </w:t>
      </w:r>
      <w:r w:rsidRPr="009B0448">
        <w:rPr>
          <w:rFonts w:ascii="Times New Roman" w:hAnsi="Times New Roman" w:cs="Times New Roman"/>
          <w:i/>
          <w:iCs/>
        </w:rPr>
        <w:t>International Journal of Biodiversity</w:t>
      </w:r>
      <w:r w:rsidRPr="009B0448">
        <w:rPr>
          <w:rFonts w:ascii="Times New Roman" w:hAnsi="Times New Roman" w:cs="Times New Roman"/>
        </w:rPr>
        <w:t xml:space="preserve">, </w:t>
      </w:r>
      <w:r w:rsidRPr="009B0448">
        <w:rPr>
          <w:rFonts w:ascii="Times New Roman" w:hAnsi="Times New Roman" w:cs="Times New Roman"/>
          <w:i/>
        </w:rPr>
        <w:t xml:space="preserve">2013, </w:t>
      </w:r>
      <w:r w:rsidRPr="009B0448">
        <w:rPr>
          <w:rFonts w:ascii="Times New Roman" w:hAnsi="Times New Roman" w:cs="Times New Roman"/>
        </w:rPr>
        <w:t xml:space="preserve">Article ID 798101, 20 pages. </w:t>
      </w:r>
      <w:hyperlink r:id="rId1921" w:history="1">
        <w:r w:rsidRPr="009B0448">
          <w:rPr>
            <w:rStyle w:val="Hyperlink"/>
            <w:rFonts w:ascii="Times New Roman" w:hAnsi="Times New Roman" w:cs="Times New Roman"/>
          </w:rPr>
          <w:t>https://doi.org/10.1155/2013/798101</w:t>
        </w:r>
      </w:hyperlink>
    </w:p>
    <w:p w14:paraId="3099460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Muller, M. (2012). Polycentric governance: water management in South Africa. </w:t>
      </w:r>
      <w:r w:rsidRPr="009B0448">
        <w:rPr>
          <w:rFonts w:ascii="Times New Roman" w:hAnsi="Times New Roman" w:cs="Times New Roman"/>
          <w:i/>
        </w:rPr>
        <w:t>Proceedings of the Institution of Civil Engineers Management, Procurement and Law, 165</w:t>
      </w:r>
      <w:r w:rsidRPr="009B0448">
        <w:rPr>
          <w:rFonts w:ascii="Times New Roman" w:hAnsi="Times New Roman" w:cs="Times New Roman"/>
        </w:rPr>
        <w:t xml:space="preserve">, 1–8. </w:t>
      </w:r>
      <w:hyperlink r:id="rId1922" w:history="1">
        <w:r w:rsidRPr="009B0448">
          <w:rPr>
            <w:rStyle w:val="Hyperlink"/>
            <w:rFonts w:ascii="Times New Roman" w:hAnsi="Times New Roman" w:cs="Times New Roman"/>
          </w:rPr>
          <w:t>https://doi.org/10.1680/mpal.11.00018</w:t>
        </w:r>
      </w:hyperlink>
    </w:p>
    <w:p w14:paraId="032006FC"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de-DE"/>
        </w:rPr>
        <w:t xml:space="preserve">Munang, R., Mgendi, R., Alverson, K., O’Brien-Onyeka, M., Ochieng, C., Molua, E., Ottichilo ,W., Mugerwa, K., Bunch, R., Bogale, A., Bekele, W., Sudarkasa, M., Badiane, O., Ayuk, E., Amis, M., Tabot-Tabot, E., Kinney, K., Kwangwari, C., Luganda, P., Aidoo, K., Mulangu, F., &amp; Kariuki, J. </w:t>
      </w:r>
      <w:r w:rsidRPr="009B0448">
        <w:rPr>
          <w:rFonts w:ascii="Times New Roman" w:hAnsi="Times New Roman" w:cs="Times New Roman"/>
        </w:rPr>
        <w:t xml:space="preserve">(2015). Ecosystem-based Adaptation (EbA) for food security in Africa: Towards a comprehensive strategic framework to upscale and out-scale EbA-driven agriculture in Africa. Nairobi, Kenya: United Nations Environment Programme (UNEP). </w:t>
      </w:r>
    </w:p>
    <w:p w14:paraId="7EB8AADD"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Myers, N., Mittermeier, R. A., Mittermeier, C. G., da Fonseca, G. A. B., &amp; Kent, J. (2000). Biodiversity hotspots for conservation priorities. </w:t>
      </w:r>
      <w:r w:rsidRPr="009B0448">
        <w:rPr>
          <w:rFonts w:ascii="Times New Roman" w:hAnsi="Times New Roman" w:cs="Times New Roman"/>
          <w:i/>
          <w:iCs/>
        </w:rPr>
        <w:t>Nature</w:t>
      </w:r>
      <w:r w:rsidRPr="009B0448">
        <w:rPr>
          <w:rFonts w:ascii="Times New Roman" w:hAnsi="Times New Roman" w:cs="Times New Roman"/>
        </w:rPr>
        <w:t xml:space="preserve">, </w:t>
      </w:r>
      <w:r w:rsidRPr="009B0448">
        <w:rPr>
          <w:rFonts w:ascii="Times New Roman" w:hAnsi="Times New Roman" w:cs="Times New Roman"/>
          <w:i/>
        </w:rPr>
        <w:t>403</w:t>
      </w:r>
      <w:r w:rsidRPr="009B0448">
        <w:rPr>
          <w:rFonts w:ascii="Times New Roman" w:hAnsi="Times New Roman" w:cs="Times New Roman"/>
        </w:rPr>
        <w:t xml:space="preserve">(6772), 853–858. </w:t>
      </w:r>
      <w:hyperlink r:id="rId1923" w:history="1">
        <w:r w:rsidRPr="009B0448">
          <w:rPr>
            <w:rStyle w:val="Hyperlink"/>
            <w:rFonts w:ascii="Times New Roman" w:hAnsi="Times New Roman" w:cs="Times New Roman"/>
          </w:rPr>
          <w:t>https://doi.org/10.1038/35002501</w:t>
        </w:r>
      </w:hyperlink>
    </w:p>
    <w:p w14:paraId="0D7FDEC5" w14:textId="77777777" w:rsidR="001D0597" w:rsidRPr="009B0448" w:rsidRDefault="001D0597" w:rsidP="00D04F12">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Nakicenovic, N., Alcamo, J., Grubler, A., Riahi, K., Roehrl, R. A., Rogner, H. H., &amp; Victor, N. (2000). </w:t>
      </w:r>
      <w:r w:rsidRPr="009B0448">
        <w:rPr>
          <w:rFonts w:ascii="Times New Roman" w:eastAsia="Times New Roman" w:hAnsi="Times New Roman" w:cs="Times New Roman"/>
          <w:i/>
        </w:rPr>
        <w:t>Special Report on Emissions Scenarios (SRES), a special report of working group III of the Intergovernmental Panel on Climate Change</w:t>
      </w:r>
      <w:r w:rsidRPr="009B0448">
        <w:rPr>
          <w:rFonts w:ascii="Times New Roman" w:eastAsia="Times New Roman" w:hAnsi="Times New Roman" w:cs="Times New Roman"/>
        </w:rPr>
        <w:t xml:space="preserve">. Cambridge University Press. Retrieved from </w:t>
      </w:r>
      <w:hyperlink r:id="rId1924" w:history="1">
        <w:r w:rsidRPr="009B0448">
          <w:rPr>
            <w:rStyle w:val="Hyperlink"/>
            <w:rFonts w:ascii="Times New Roman" w:eastAsia="Times New Roman" w:hAnsi="Times New Roman" w:cs="Times New Roman"/>
          </w:rPr>
          <w:t>http://www.ipcc.ch/ipccreports/sres/emission/index.php?idp=0</w:t>
        </w:r>
      </w:hyperlink>
    </w:p>
    <w:p w14:paraId="7D91E722"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Namirembe, S., Leimona, B., van Noordwijk, M., Bernard, F., &amp; Bacwayo, K. E. (2014). Co-investment paradigms as alternatives to payments for tree-based ecosystem services in Africa. </w:t>
      </w:r>
      <w:r w:rsidRPr="009B0448">
        <w:rPr>
          <w:rFonts w:ascii="Times New Roman" w:hAnsi="Times New Roman" w:cs="Times New Roman"/>
          <w:i/>
          <w:iCs/>
        </w:rPr>
        <w:t>Current Opinion in Environmental Sustainability</w:t>
      </w:r>
      <w:r w:rsidRPr="009B0448">
        <w:rPr>
          <w:rFonts w:ascii="Times New Roman" w:hAnsi="Times New Roman" w:cs="Times New Roman"/>
        </w:rPr>
        <w:t xml:space="preserve">, </w:t>
      </w:r>
      <w:r w:rsidRPr="009B0448">
        <w:rPr>
          <w:rFonts w:ascii="Times New Roman" w:hAnsi="Times New Roman" w:cs="Times New Roman"/>
          <w:i/>
        </w:rPr>
        <w:t>6</w:t>
      </w:r>
      <w:r w:rsidRPr="009B0448">
        <w:rPr>
          <w:rFonts w:ascii="Times New Roman" w:hAnsi="Times New Roman" w:cs="Times New Roman"/>
        </w:rPr>
        <w:t xml:space="preserve">, 89–97. </w:t>
      </w:r>
      <w:hyperlink r:id="rId1925" w:history="1">
        <w:r w:rsidRPr="009B0448">
          <w:rPr>
            <w:rStyle w:val="Hyperlink"/>
            <w:rFonts w:ascii="Times New Roman" w:hAnsi="Times New Roman" w:cs="Times New Roman"/>
          </w:rPr>
          <w:t>https://doi.org/10.1016/j.cosust.2013.10.016</w:t>
        </w:r>
      </w:hyperlink>
    </w:p>
    <w:p w14:paraId="615CECB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NEMA. (2015). </w:t>
      </w:r>
      <w:r w:rsidRPr="009B0448">
        <w:rPr>
          <w:rFonts w:ascii="Times New Roman" w:hAnsi="Times New Roman" w:cs="Times New Roman"/>
          <w:i/>
        </w:rPr>
        <w:t>Guidelines and action plan for financing biodiversity conservation in Uganda, 2015–2025.</w:t>
      </w:r>
      <w:r w:rsidRPr="009B0448">
        <w:rPr>
          <w:rFonts w:ascii="Times New Roman" w:hAnsi="Times New Roman" w:cs="Times New Roman"/>
        </w:rPr>
        <w:t xml:space="preserve"> Kampala, Uganda: National Environment Management Authority. Retrieved from </w:t>
      </w:r>
      <w:hyperlink r:id="rId1926" w:history="1">
        <w:r w:rsidRPr="009B0448">
          <w:rPr>
            <w:rStyle w:val="Hyperlink"/>
            <w:rFonts w:ascii="Times New Roman" w:hAnsi="Times New Roman" w:cs="Times New Roman"/>
          </w:rPr>
          <w:t>http://www.biodiversityfinance.net/sites/default/files/content/knowledge_products/BIOFIN%20-%20Guideline%20and%20Action%20Plan%20web.pdf</w:t>
        </w:r>
      </w:hyperlink>
    </w:p>
    <w:p w14:paraId="44F177DA" w14:textId="77777777" w:rsidR="001D0597" w:rsidRPr="009B0448" w:rsidRDefault="001D0597" w:rsidP="009F0016">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NEPAD. (2003). </w:t>
      </w:r>
      <w:r w:rsidRPr="009B0448">
        <w:rPr>
          <w:rFonts w:ascii="Times New Roman" w:eastAsia="Times New Roman" w:hAnsi="Times New Roman" w:cs="Times New Roman"/>
          <w:i/>
        </w:rPr>
        <w:t xml:space="preserve">The New Partnership for Africa's Development’s (NEPAD), Action Plan for the Environment Initiative. </w:t>
      </w:r>
      <w:r w:rsidRPr="009B0448">
        <w:rPr>
          <w:rFonts w:ascii="Times New Roman" w:eastAsia="Times New Roman" w:hAnsi="Times New Roman" w:cs="Times New Roman"/>
        </w:rPr>
        <w:t xml:space="preserve">Retrieved from </w:t>
      </w:r>
      <w:hyperlink r:id="rId1927" w:history="1">
        <w:r w:rsidRPr="009B0448">
          <w:rPr>
            <w:rStyle w:val="Hyperlink"/>
            <w:rFonts w:ascii="Times New Roman" w:eastAsia="Times New Roman" w:hAnsi="Times New Roman" w:cs="Times New Roman"/>
          </w:rPr>
          <w:t>http://www.nepad.org/download/file/fid/3072%20</w:t>
        </w:r>
      </w:hyperlink>
    </w:p>
    <w:p w14:paraId="7E8FC474" w14:textId="77777777" w:rsidR="001D0597" w:rsidRPr="009B0448" w:rsidRDefault="001D0597" w:rsidP="00585E60">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Nolte, K., Chamberlain, W., &amp; Giger, M. (2016). </w:t>
      </w:r>
      <w:r w:rsidRPr="009B0448">
        <w:rPr>
          <w:rFonts w:ascii="Times New Roman" w:hAnsi="Times New Roman" w:cs="Times New Roman"/>
          <w:i/>
        </w:rPr>
        <w:t xml:space="preserve">International land deals for agriculture. fresh insights from the land matrix: Analytical report II. </w:t>
      </w:r>
      <w:r w:rsidRPr="009B0448">
        <w:rPr>
          <w:rFonts w:ascii="Times New Roman" w:hAnsi="Times New Roman" w:cs="Times New Roman"/>
        </w:rPr>
        <w:t xml:space="preserve">Bern, Montpellier, Hamburg, Pretoria: Centre for Development and Environment, University of Bern; Centre de coopération internationale en recherche agronomique pour le développement; German Institute of Global and Area Studies; University of Pretoria; Bern Open Publishing. Retrieved from </w:t>
      </w:r>
      <w:hyperlink r:id="rId1928" w:history="1">
        <w:r w:rsidRPr="009B0448">
          <w:rPr>
            <w:rStyle w:val="Hyperlink"/>
            <w:rFonts w:ascii="Times New Roman" w:hAnsi="Times New Roman" w:cs="Times New Roman"/>
          </w:rPr>
          <w:t>https://doi.org/10.7892/boris.85304</w:t>
        </w:r>
      </w:hyperlink>
    </w:p>
    <w:p w14:paraId="6C70834F"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North, D. C. (1994). Economic performance through time. </w:t>
      </w:r>
      <w:r w:rsidRPr="009B0448">
        <w:rPr>
          <w:rFonts w:ascii="Times New Roman" w:hAnsi="Times New Roman" w:cs="Times New Roman"/>
          <w:i/>
          <w:iCs/>
        </w:rPr>
        <w:t>The American Economics Review</w:t>
      </w:r>
      <w:r w:rsidRPr="009B0448">
        <w:rPr>
          <w:rFonts w:ascii="Times New Roman" w:hAnsi="Times New Roman" w:cs="Times New Roman"/>
        </w:rPr>
        <w:t xml:space="preserve">, </w:t>
      </w:r>
      <w:r w:rsidRPr="009B0448">
        <w:rPr>
          <w:rFonts w:ascii="Times New Roman" w:hAnsi="Times New Roman" w:cs="Times New Roman"/>
          <w:i/>
        </w:rPr>
        <w:t>84</w:t>
      </w:r>
      <w:r w:rsidRPr="009B0448">
        <w:rPr>
          <w:rFonts w:ascii="Times New Roman" w:hAnsi="Times New Roman" w:cs="Times New Roman"/>
        </w:rPr>
        <w:t xml:space="preserve">(3), 359–368. Retrieved from </w:t>
      </w:r>
      <w:hyperlink r:id="rId1929" w:history="1">
        <w:r w:rsidRPr="009B0448">
          <w:rPr>
            <w:rStyle w:val="Hyperlink"/>
            <w:rFonts w:ascii="Times New Roman" w:hAnsi="Times New Roman" w:cs="Times New Roman"/>
          </w:rPr>
          <w:t>http://www.jstor.org/stable/2118057</w:t>
        </w:r>
      </w:hyperlink>
    </w:p>
    <w:p w14:paraId="336A6091"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Novellie, P., Biggs, H., &amp; Roux, D. (2016). National laws and policies can enable or confound adaptive governance: Examples from South African national parks. </w:t>
      </w:r>
      <w:r w:rsidRPr="009B0448">
        <w:rPr>
          <w:rFonts w:ascii="Times New Roman" w:hAnsi="Times New Roman" w:cs="Times New Roman"/>
          <w:i/>
          <w:iCs/>
        </w:rPr>
        <w:t>Environmental Science &amp; Policy</w:t>
      </w:r>
      <w:r w:rsidRPr="009B0448">
        <w:rPr>
          <w:rFonts w:ascii="Times New Roman" w:hAnsi="Times New Roman" w:cs="Times New Roman"/>
        </w:rPr>
        <w:t xml:space="preserve">, </w:t>
      </w:r>
      <w:r w:rsidRPr="009B0448">
        <w:rPr>
          <w:rFonts w:ascii="Times New Roman" w:hAnsi="Times New Roman" w:cs="Times New Roman"/>
          <w:i/>
          <w:iCs/>
        </w:rPr>
        <w:t>66</w:t>
      </w:r>
      <w:r w:rsidRPr="009B0448">
        <w:rPr>
          <w:rFonts w:ascii="Times New Roman" w:hAnsi="Times New Roman" w:cs="Times New Roman"/>
        </w:rPr>
        <w:t xml:space="preserve">, 40–46. </w:t>
      </w:r>
      <w:hyperlink r:id="rId1930" w:history="1">
        <w:r w:rsidRPr="009B0448">
          <w:rPr>
            <w:rStyle w:val="Hyperlink"/>
            <w:rFonts w:ascii="Times New Roman" w:hAnsi="Times New Roman" w:cs="Times New Roman"/>
          </w:rPr>
          <w:t>https://doi.org/10.1016/j.envsci.2016.08.005</w:t>
        </w:r>
      </w:hyperlink>
    </w:p>
    <w:p w14:paraId="13075FB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NQA. (2017). </w:t>
      </w:r>
      <w:r w:rsidRPr="009B0448">
        <w:rPr>
          <w:rFonts w:ascii="Times New Roman" w:hAnsi="Times New Roman" w:cs="Times New Roman"/>
          <w:i/>
        </w:rPr>
        <w:t>ISO 14001 Environmental Certification Standard</w:t>
      </w:r>
      <w:r w:rsidRPr="009B0448">
        <w:rPr>
          <w:rFonts w:ascii="Times New Roman" w:hAnsi="Times New Roman" w:cs="Times New Roman"/>
        </w:rPr>
        <w:t xml:space="preserve">. Retrieved from </w:t>
      </w:r>
      <w:hyperlink r:id="rId1931" w:history="1">
        <w:r w:rsidRPr="009B0448">
          <w:rPr>
            <w:rStyle w:val="Hyperlink"/>
            <w:rFonts w:ascii="Times New Roman" w:hAnsi="Times New Roman" w:cs="Times New Roman"/>
          </w:rPr>
          <w:t>https://www.nqa.com/en-us/certification/standards/iso-14001-2004</w:t>
        </w:r>
      </w:hyperlink>
    </w:p>
    <w:p w14:paraId="1CEEA19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NRC. (2011). </w:t>
      </w:r>
      <w:r w:rsidRPr="009B0448">
        <w:rPr>
          <w:rFonts w:ascii="Times New Roman" w:hAnsi="Times New Roman" w:cs="Times New Roman"/>
          <w:i/>
        </w:rPr>
        <w:t>ISO 50001 Energy Management Systems Standard.</w:t>
      </w:r>
      <w:r w:rsidRPr="009B0448">
        <w:rPr>
          <w:rFonts w:ascii="Times New Roman" w:hAnsi="Times New Roman" w:cs="Times New Roman"/>
        </w:rPr>
        <w:t xml:space="preserve"> Retrieved from </w:t>
      </w:r>
      <w:hyperlink r:id="rId1932" w:history="1">
        <w:r w:rsidRPr="009B0448">
          <w:rPr>
            <w:rStyle w:val="Hyperlink"/>
            <w:rFonts w:ascii="Times New Roman" w:hAnsi="Times New Roman" w:cs="Times New Roman"/>
          </w:rPr>
          <w:t>http://www.nrcan.gc.ca/energy/efficiency/industry/cipec/5379</w:t>
        </w:r>
      </w:hyperlink>
    </w:p>
    <w:p w14:paraId="09B97EEA" w14:textId="77777777" w:rsidR="001D0597" w:rsidRPr="009B0448" w:rsidRDefault="001D0597" w:rsidP="00D04F12">
      <w:pPr>
        <w:widowControl w:val="0"/>
        <w:spacing w:before="120" w:after="120" w:line="276" w:lineRule="auto"/>
        <w:ind w:left="567" w:hanging="567"/>
        <w:rPr>
          <w:rFonts w:ascii="Times New Roman" w:eastAsia="Times New Roman" w:hAnsi="Times New Roman" w:cs="Times New Roman"/>
          <w:lang w:eastAsia="en-GB"/>
        </w:rPr>
      </w:pPr>
      <w:r w:rsidRPr="009B0448">
        <w:rPr>
          <w:rFonts w:ascii="Times New Roman" w:eastAsia="Times New Roman" w:hAnsi="Times New Roman" w:cs="Times New Roman"/>
          <w:lang w:eastAsia="en-GB"/>
        </w:rPr>
        <w:t>O</w:t>
      </w:r>
      <w:r w:rsidRPr="009B0448">
        <w:rPr>
          <w:rFonts w:ascii="Times New Roman" w:eastAsia="Times New Roman" w:hAnsi="Times New Roman" w:cs="Times New Roman"/>
          <w:lang w:val="en-ZA" w:eastAsia="en-GB"/>
        </w:rPr>
        <w:t>’</w:t>
      </w:r>
      <w:r w:rsidRPr="009B0448">
        <w:rPr>
          <w:rFonts w:ascii="Times New Roman" w:eastAsia="Times New Roman" w:hAnsi="Times New Roman" w:cs="Times New Roman"/>
          <w:lang w:eastAsia="en-GB"/>
        </w:rPr>
        <w:t xml:space="preserve">Connor, D., &amp; Ford, J. (2014). Increasing the effectiveness of the ‘Great Green Wall’ as an adaptation to the effects of climate change and desertification in the Sahel. </w:t>
      </w:r>
      <w:r w:rsidRPr="009B0448">
        <w:rPr>
          <w:rFonts w:ascii="Times New Roman" w:eastAsia="Times New Roman" w:hAnsi="Times New Roman" w:cs="Times New Roman"/>
          <w:i/>
          <w:iCs/>
          <w:lang w:eastAsia="en-GB"/>
        </w:rPr>
        <w:t>Sustainability</w:t>
      </w:r>
      <w:r w:rsidRPr="009B0448">
        <w:rPr>
          <w:rFonts w:ascii="Times New Roman" w:eastAsia="Times New Roman" w:hAnsi="Times New Roman" w:cs="Times New Roman"/>
          <w:lang w:eastAsia="en-GB"/>
        </w:rPr>
        <w:t xml:space="preserve">, </w:t>
      </w:r>
      <w:r w:rsidRPr="009B0448">
        <w:rPr>
          <w:rFonts w:ascii="Times New Roman" w:eastAsia="Times New Roman" w:hAnsi="Times New Roman" w:cs="Times New Roman"/>
          <w:i/>
          <w:lang w:eastAsia="en-GB"/>
        </w:rPr>
        <w:t>6</w:t>
      </w:r>
      <w:r w:rsidRPr="009B0448">
        <w:rPr>
          <w:rFonts w:ascii="Times New Roman" w:eastAsia="Times New Roman" w:hAnsi="Times New Roman" w:cs="Times New Roman"/>
          <w:lang w:eastAsia="en-GB"/>
        </w:rPr>
        <w:t xml:space="preserve">(10), 7142–7154. </w:t>
      </w:r>
      <w:hyperlink r:id="rId1933" w:history="1">
        <w:r w:rsidRPr="009B0448">
          <w:rPr>
            <w:rStyle w:val="Hyperlink"/>
            <w:rFonts w:ascii="Times New Roman" w:hAnsi="Times New Roman" w:cs="Times New Roman"/>
            <w:lang w:eastAsia="en-GB"/>
          </w:rPr>
          <w:t>https://doi.org/10.3390/su6107142</w:t>
        </w:r>
      </w:hyperlink>
    </w:p>
    <w:p w14:paraId="2C4689D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Oberthür, S., &amp; Gehring, T. (2006). </w:t>
      </w:r>
      <w:r w:rsidRPr="009B0448">
        <w:rPr>
          <w:rFonts w:ascii="Times New Roman" w:hAnsi="Times New Roman" w:cs="Times New Roman"/>
          <w:i/>
        </w:rPr>
        <w:t>Institutional interaction in global environmental governance: Synergy and conflict among international and EU policies.</w:t>
      </w:r>
      <w:r w:rsidRPr="009B0448">
        <w:rPr>
          <w:rFonts w:ascii="Times New Roman" w:hAnsi="Times New Roman" w:cs="Times New Roman"/>
        </w:rPr>
        <w:t xml:space="preserve"> Cambridge, MA, USA: The MIT Press. ISBN 9780262051156.</w:t>
      </w:r>
    </w:p>
    <w:p w14:paraId="2921A9E2"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Obst, C. (2015). Reflections on natural capital accounting at the national level: advances in the system of environmental-economic accounting. </w:t>
      </w:r>
      <w:r w:rsidRPr="009B0448">
        <w:rPr>
          <w:rFonts w:ascii="Times New Roman" w:hAnsi="Times New Roman" w:cs="Times New Roman"/>
          <w:i/>
          <w:iCs/>
        </w:rPr>
        <w:t>Sustainability Accounting, Management and Policy Journal</w:t>
      </w:r>
      <w:r w:rsidRPr="009B0448">
        <w:rPr>
          <w:rFonts w:ascii="Times New Roman" w:hAnsi="Times New Roman" w:cs="Times New Roman"/>
        </w:rPr>
        <w:t xml:space="preserve">, </w:t>
      </w:r>
      <w:r w:rsidRPr="009B0448">
        <w:rPr>
          <w:rFonts w:ascii="Times New Roman" w:hAnsi="Times New Roman" w:cs="Times New Roman"/>
          <w:i/>
        </w:rPr>
        <w:t>6</w:t>
      </w:r>
      <w:r w:rsidRPr="009B0448">
        <w:rPr>
          <w:rFonts w:ascii="Times New Roman" w:hAnsi="Times New Roman" w:cs="Times New Roman"/>
        </w:rPr>
        <w:t xml:space="preserve">(3), 315–339. </w:t>
      </w:r>
      <w:hyperlink r:id="rId1934" w:history="1">
        <w:r w:rsidRPr="009B0448">
          <w:rPr>
            <w:rStyle w:val="Hyperlink"/>
            <w:rFonts w:ascii="Times New Roman" w:hAnsi="Times New Roman" w:cs="Times New Roman"/>
          </w:rPr>
          <w:t>https://doi.org/10.1108/SAMPJ-04-2014-0020</w:t>
        </w:r>
      </w:hyperlink>
    </w:p>
    <w:p w14:paraId="0B7F1B39"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OECD. (2016). </w:t>
      </w:r>
      <w:r w:rsidRPr="009B0448">
        <w:rPr>
          <w:rFonts w:ascii="Times New Roman" w:hAnsi="Times New Roman" w:cs="Times New Roman"/>
          <w:i/>
        </w:rPr>
        <w:t>Biodiversity offsets: Effective design and implementation.</w:t>
      </w:r>
      <w:r w:rsidRPr="009B0448">
        <w:rPr>
          <w:rFonts w:ascii="Times New Roman" w:hAnsi="Times New Roman" w:cs="Times New Roman"/>
        </w:rPr>
        <w:t xml:space="preserve"> Paris, France: OECD Publishing. Retrieved from </w:t>
      </w:r>
      <w:hyperlink r:id="rId1935" w:history="1">
        <w:r w:rsidRPr="009B0448">
          <w:rPr>
            <w:rStyle w:val="Hyperlink"/>
            <w:rFonts w:ascii="Times New Roman" w:hAnsi="Times New Roman" w:cs="Times New Roman"/>
          </w:rPr>
          <w:t>https://doi.org/10.1787/9789264222519-en</w:t>
        </w:r>
      </w:hyperlink>
    </w:p>
    <w:p w14:paraId="2643FE3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OECD. (2017). </w:t>
      </w:r>
      <w:r w:rsidRPr="009B0448">
        <w:rPr>
          <w:rFonts w:ascii="Times New Roman" w:hAnsi="Times New Roman" w:cs="Times New Roman"/>
          <w:i/>
        </w:rPr>
        <w:t>Environmental fiscal reform: Progress, prospects and pitfalls.</w:t>
      </w:r>
      <w:r w:rsidRPr="009B0448">
        <w:rPr>
          <w:rFonts w:ascii="Times New Roman" w:hAnsi="Times New Roman" w:cs="Times New Roman"/>
        </w:rPr>
        <w:t xml:space="preserve"> OECD report for the G7 environment ministers, June 2017. Retrieved from </w:t>
      </w:r>
      <w:hyperlink r:id="rId1936" w:history="1">
        <w:r w:rsidRPr="009B0448">
          <w:rPr>
            <w:rStyle w:val="Hyperlink"/>
            <w:rFonts w:ascii="Times New Roman" w:hAnsi="Times New Roman" w:cs="Times New Roman"/>
          </w:rPr>
          <w:t>https://www.oecd.org/tax/tax-policy/environmental-fiscal-reform-G7-environment-ministerial-meeting-june-2017.pdf</w:t>
        </w:r>
      </w:hyperlink>
    </w:p>
    <w:p w14:paraId="197BAF9D"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Oldekop, J. A., Holmes, G., Harris, W. E., &amp; Evans, K. L. (2016). A global assessment of the social and conservation outcomes of protected areas. </w:t>
      </w:r>
      <w:r w:rsidRPr="009B0448">
        <w:rPr>
          <w:rFonts w:ascii="Times New Roman" w:hAnsi="Times New Roman" w:cs="Times New Roman"/>
          <w:i/>
          <w:iCs/>
        </w:rPr>
        <w:t>Conservation Biology</w:t>
      </w:r>
      <w:r w:rsidRPr="009B0448">
        <w:rPr>
          <w:rFonts w:ascii="Times New Roman" w:hAnsi="Times New Roman" w:cs="Times New Roman"/>
        </w:rPr>
        <w:t xml:space="preserve">, </w:t>
      </w:r>
      <w:r w:rsidRPr="009B0448">
        <w:rPr>
          <w:rFonts w:ascii="Times New Roman" w:hAnsi="Times New Roman" w:cs="Times New Roman"/>
          <w:i/>
          <w:iCs/>
        </w:rPr>
        <w:t>30</w:t>
      </w:r>
      <w:r w:rsidRPr="009B0448">
        <w:rPr>
          <w:rFonts w:ascii="Times New Roman" w:hAnsi="Times New Roman" w:cs="Times New Roman"/>
        </w:rPr>
        <w:t xml:space="preserve">(1), 133–141. </w:t>
      </w:r>
      <w:hyperlink r:id="rId1937" w:history="1">
        <w:r w:rsidRPr="009B0448">
          <w:rPr>
            <w:rStyle w:val="Hyperlink"/>
            <w:rFonts w:ascii="Times New Roman" w:hAnsi="Times New Roman" w:cs="Times New Roman"/>
          </w:rPr>
          <w:t>https://doi.org/10.1111/cobi.12568</w:t>
        </w:r>
      </w:hyperlink>
    </w:p>
    <w:p w14:paraId="390CDFA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Olsson, P., Gunderson, L. H., Carpenter, S. R., Ryan, P., Lebel, L., Folke, C., &amp; Holling, C. S. (2006). Shooting the rapids: Navigating transitions to adaptive governance of social-ecological systems. </w:t>
      </w:r>
      <w:r w:rsidRPr="009B0448">
        <w:rPr>
          <w:rFonts w:ascii="Times New Roman" w:hAnsi="Times New Roman" w:cs="Times New Roman"/>
          <w:i/>
          <w:iCs/>
        </w:rPr>
        <w:t>Ecology and Society</w:t>
      </w:r>
      <w:r w:rsidRPr="009B0448">
        <w:rPr>
          <w:rFonts w:ascii="Times New Roman" w:hAnsi="Times New Roman" w:cs="Times New Roman"/>
        </w:rPr>
        <w:t xml:space="preserve">, </w:t>
      </w:r>
      <w:r w:rsidRPr="009B0448">
        <w:rPr>
          <w:rFonts w:ascii="Times New Roman" w:hAnsi="Times New Roman" w:cs="Times New Roman"/>
          <w:i/>
        </w:rPr>
        <w:t>11</w:t>
      </w:r>
      <w:r w:rsidRPr="009B0448">
        <w:rPr>
          <w:rFonts w:ascii="Times New Roman" w:hAnsi="Times New Roman" w:cs="Times New Roman"/>
        </w:rPr>
        <w:t xml:space="preserve">(1), 18. Retrieved from </w:t>
      </w:r>
      <w:hyperlink r:id="rId1938" w:history="1">
        <w:r w:rsidRPr="009B0448">
          <w:rPr>
            <w:rStyle w:val="Hyperlink"/>
            <w:rFonts w:ascii="Times New Roman" w:hAnsi="Times New Roman" w:cs="Times New Roman"/>
          </w:rPr>
          <w:t>http://www.ecologyandsociety.org/vol11/iss1/art18/</w:t>
        </w:r>
      </w:hyperlink>
    </w:p>
    <w:p w14:paraId="3DEC8CF7"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Ostrom, E. (1999). Coping with tragedies of the commons. </w:t>
      </w:r>
      <w:r w:rsidRPr="009B0448">
        <w:rPr>
          <w:rFonts w:ascii="Times New Roman" w:hAnsi="Times New Roman" w:cs="Times New Roman"/>
          <w:i/>
          <w:iCs/>
        </w:rPr>
        <w:t>Annual Review of Political Science</w:t>
      </w:r>
      <w:r w:rsidRPr="009B0448">
        <w:rPr>
          <w:rFonts w:ascii="Times New Roman" w:hAnsi="Times New Roman" w:cs="Times New Roman"/>
        </w:rPr>
        <w:t xml:space="preserve">, </w:t>
      </w:r>
      <w:r w:rsidRPr="009B0448">
        <w:rPr>
          <w:rFonts w:ascii="Times New Roman" w:hAnsi="Times New Roman" w:cs="Times New Roman"/>
          <w:i/>
        </w:rPr>
        <w:t>2</w:t>
      </w:r>
      <w:r w:rsidRPr="009B0448">
        <w:rPr>
          <w:rFonts w:ascii="Times New Roman" w:hAnsi="Times New Roman" w:cs="Times New Roman"/>
        </w:rPr>
        <w:t xml:space="preserve">, 493–535. </w:t>
      </w:r>
      <w:hyperlink r:id="rId1939" w:history="1">
        <w:r w:rsidRPr="009B0448">
          <w:rPr>
            <w:rStyle w:val="Hyperlink"/>
            <w:rFonts w:ascii="Times New Roman" w:hAnsi="Times New Roman" w:cs="Times New Roman"/>
          </w:rPr>
          <w:t>https://doi.org/10.1146/annurev.polisci.2.1.493</w:t>
        </w:r>
      </w:hyperlink>
    </w:p>
    <w:p w14:paraId="36E8B94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Ostrom, E. (2010). Beyond markets and states: Polycentric governance of complex economic systems. </w:t>
      </w:r>
      <w:r w:rsidRPr="009B0448">
        <w:rPr>
          <w:rFonts w:ascii="Times New Roman" w:hAnsi="Times New Roman" w:cs="Times New Roman"/>
          <w:i/>
          <w:iCs/>
        </w:rPr>
        <w:t>American Economic Review</w:t>
      </w:r>
      <w:r w:rsidRPr="009B0448">
        <w:rPr>
          <w:rFonts w:ascii="Times New Roman" w:hAnsi="Times New Roman" w:cs="Times New Roman"/>
        </w:rPr>
        <w:t xml:space="preserve">, </w:t>
      </w:r>
      <w:r w:rsidRPr="009B0448">
        <w:rPr>
          <w:rFonts w:ascii="Times New Roman" w:hAnsi="Times New Roman" w:cs="Times New Roman"/>
          <w:i/>
        </w:rPr>
        <w:t>100</w:t>
      </w:r>
      <w:r w:rsidRPr="009B0448">
        <w:rPr>
          <w:rFonts w:ascii="Times New Roman" w:hAnsi="Times New Roman" w:cs="Times New Roman"/>
        </w:rPr>
        <w:t xml:space="preserve">, 1–33. </w:t>
      </w:r>
      <w:hyperlink r:id="rId1940" w:history="1">
        <w:r w:rsidRPr="009B0448">
          <w:rPr>
            <w:rStyle w:val="Hyperlink"/>
            <w:rFonts w:ascii="Times New Roman" w:hAnsi="Times New Roman" w:cs="Times New Roman"/>
          </w:rPr>
          <w:t>https://doi.org/10.1080/19186444.2010.11658229</w:t>
        </w:r>
      </w:hyperlink>
    </w:p>
    <w:p w14:paraId="1918683B"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Ouma, G., Ogallo, L., Onyango, M., Mwangi, S., Wayumba, G., Mbeva, J., Ochieng, P., Pala, A., &amp; Nyamenya, P. (2015). </w:t>
      </w:r>
      <w:r w:rsidRPr="009B0448">
        <w:rPr>
          <w:rFonts w:ascii="Times New Roman" w:hAnsi="Times New Roman" w:cs="Times New Roman"/>
          <w:i/>
        </w:rPr>
        <w:t>Community-based climate monitoring services and early warning system: The Case of the Nganyi Community.</w:t>
      </w:r>
      <w:r w:rsidRPr="009B0448">
        <w:rPr>
          <w:rFonts w:ascii="Times New Roman" w:hAnsi="Times New Roman" w:cs="Times New Roman"/>
        </w:rPr>
        <w:t xml:space="preserve"> </w:t>
      </w:r>
      <w:r w:rsidRPr="009B0448">
        <w:rPr>
          <w:rFonts w:ascii="Times New Roman" w:hAnsi="Times New Roman" w:cs="Times New Roman"/>
          <w:i/>
        </w:rPr>
        <w:t>UNISDR Scientific and Technical Advisory Group Case Studies 2015</w:t>
      </w:r>
      <w:r w:rsidRPr="009B0448">
        <w:rPr>
          <w:rFonts w:ascii="Times New Roman" w:hAnsi="Times New Roman" w:cs="Times New Roman"/>
        </w:rPr>
        <w:t xml:space="preserve">. </w:t>
      </w:r>
      <w:r w:rsidRPr="009B0448">
        <w:rPr>
          <w:rFonts w:ascii="Times New Roman" w:hAnsi="Times New Roman" w:cs="Times New Roman"/>
          <w:iCs/>
        </w:rPr>
        <w:t>UNISDR Scientific and Technical Advisory Group</w:t>
      </w:r>
      <w:r w:rsidRPr="009B0448">
        <w:rPr>
          <w:rFonts w:ascii="Times New Roman" w:hAnsi="Times New Roman" w:cs="Times New Roman"/>
        </w:rPr>
        <w:t xml:space="preserve">. Retrieved from </w:t>
      </w:r>
      <w:hyperlink r:id="rId1941" w:history="1">
        <w:r w:rsidRPr="009B0448">
          <w:rPr>
            <w:rStyle w:val="Hyperlink"/>
            <w:rFonts w:ascii="Times New Roman" w:hAnsi="Times New Roman" w:cs="Times New Roman"/>
          </w:rPr>
          <w:t>https://www.preventionweb.net/files/workspace/7935_ogalloera.pdf</w:t>
        </w:r>
      </w:hyperlink>
    </w:p>
    <w:p w14:paraId="586362F1"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Pailler, S., Naidoo, R., Burgess, N. D., Freeman, O. E., &amp; Fisher, B. (2015) Impacts of Community-Based Natural Resource Management on Wealth, Food Security and Child Health in Tanzania. </w:t>
      </w:r>
      <w:r w:rsidRPr="009B0448">
        <w:rPr>
          <w:rFonts w:ascii="Times New Roman" w:hAnsi="Times New Roman" w:cs="Times New Roman"/>
          <w:i/>
        </w:rPr>
        <w:t>PLoS ONE,</w:t>
      </w:r>
      <w:r w:rsidRPr="009B0448">
        <w:rPr>
          <w:rFonts w:ascii="Times New Roman" w:hAnsi="Times New Roman" w:cs="Times New Roman"/>
        </w:rPr>
        <w:t xml:space="preserve"> </w:t>
      </w:r>
      <w:r w:rsidRPr="009B0448">
        <w:rPr>
          <w:rFonts w:ascii="Times New Roman" w:hAnsi="Times New Roman" w:cs="Times New Roman"/>
          <w:i/>
        </w:rPr>
        <w:t>10</w:t>
      </w:r>
      <w:r w:rsidRPr="009B0448">
        <w:rPr>
          <w:rFonts w:ascii="Times New Roman" w:hAnsi="Times New Roman" w:cs="Times New Roman"/>
        </w:rPr>
        <w:t xml:space="preserve">(7): e0133252. </w:t>
      </w:r>
      <w:hyperlink r:id="rId1942" w:history="1">
        <w:r w:rsidRPr="009B0448">
          <w:rPr>
            <w:rStyle w:val="Hyperlink"/>
            <w:rFonts w:ascii="Times New Roman" w:hAnsi="Times New Roman" w:cs="Times New Roman"/>
          </w:rPr>
          <w:t>https://doi.org/10.1371/journal.pone.0133252</w:t>
        </w:r>
      </w:hyperlink>
    </w:p>
    <w:p w14:paraId="77D7AAA3" w14:textId="77777777" w:rsidR="001D0597" w:rsidRPr="009B0448" w:rsidRDefault="001D0597" w:rsidP="009F0016">
      <w:pPr>
        <w:spacing w:after="120" w:line="276" w:lineRule="auto"/>
        <w:ind w:left="567" w:hanging="567"/>
        <w:rPr>
          <w:rFonts w:ascii="Times New Roman" w:eastAsia="Times New Roman" w:hAnsi="Times New Roman" w:cs="Times New Roman"/>
        </w:rPr>
      </w:pPr>
      <w:r w:rsidRPr="009B0448">
        <w:rPr>
          <w:rFonts w:ascii="Times New Roman" w:hAnsi="Times New Roman" w:cs="Times New Roman"/>
        </w:rPr>
        <w:t xml:space="preserve">Panayotou, T. (1994). Economic instruments for natural resources management in less developed countries. In A. Markandya (Ed.), </w:t>
      </w:r>
      <w:r w:rsidRPr="009B0448">
        <w:rPr>
          <w:rFonts w:ascii="Times New Roman" w:hAnsi="Times New Roman" w:cs="Times New Roman"/>
          <w:i/>
          <w:iCs/>
        </w:rPr>
        <w:t xml:space="preserve">Policies for sustainable development: Four essays </w:t>
      </w:r>
      <w:r w:rsidRPr="009B0448">
        <w:rPr>
          <w:rFonts w:ascii="Times New Roman" w:hAnsi="Times New Roman" w:cs="Times New Roman"/>
          <w:iCs/>
        </w:rPr>
        <w:t>(pp. 205-268)</w:t>
      </w:r>
      <w:r w:rsidRPr="009B0448">
        <w:rPr>
          <w:rFonts w:ascii="Times New Roman" w:hAnsi="Times New Roman" w:cs="Times New Roman"/>
          <w:i/>
        </w:rPr>
        <w:t xml:space="preserve">. </w:t>
      </w:r>
      <w:r w:rsidRPr="009B0448">
        <w:rPr>
          <w:rFonts w:ascii="Times New Roman" w:hAnsi="Times New Roman" w:cs="Times New Roman"/>
        </w:rPr>
        <w:t xml:space="preserve">FAO Economic and Social Development Paper, 121. Rome, Italy: FAO. </w:t>
      </w:r>
    </w:p>
    <w:p w14:paraId="27BA2F6B"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Pavageau, C., &amp; Tiani, A. M. (2014). </w:t>
      </w:r>
      <w:r w:rsidRPr="009B0448">
        <w:rPr>
          <w:rFonts w:ascii="Times New Roman" w:hAnsi="Times New Roman" w:cs="Times New Roman"/>
          <w:i/>
        </w:rPr>
        <w:t xml:space="preserve">Implementing REDD+ and adaptation to climate change in the Congo Basin. Review of projects, initiatives and opportunities for synergies. </w:t>
      </w:r>
      <w:r w:rsidRPr="009B0448">
        <w:rPr>
          <w:rFonts w:ascii="Times New Roman" w:hAnsi="Times New Roman" w:cs="Times New Roman"/>
        </w:rPr>
        <w:t xml:space="preserve">Working Paper 162. Bogor, Indonesia: CIFOR. Retrieved from </w:t>
      </w:r>
      <w:hyperlink r:id="rId1943" w:history="1">
        <w:r w:rsidRPr="009B0448">
          <w:rPr>
            <w:rStyle w:val="Hyperlink"/>
            <w:rFonts w:ascii="Times New Roman" w:hAnsi="Times New Roman" w:cs="Times New Roman"/>
          </w:rPr>
          <w:t>http://www.cifor.org/publications/pdf_files/WPapers/WP162Pavageau.pdf</w:t>
        </w:r>
      </w:hyperlink>
    </w:p>
    <w:p w14:paraId="2CB9ED9F"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Pearce, D. &amp; Özdemiroglu, E. </w:t>
      </w:r>
      <w:r w:rsidRPr="009B0448">
        <w:rPr>
          <w:rFonts w:ascii="Times New Roman" w:hAnsi="Times New Roman" w:cs="Times New Roman"/>
        </w:rPr>
        <w:t xml:space="preserve">(2002). </w:t>
      </w:r>
      <w:r w:rsidRPr="009B0448">
        <w:rPr>
          <w:rFonts w:ascii="Times New Roman" w:hAnsi="Times New Roman" w:cs="Times New Roman"/>
          <w:i/>
          <w:iCs/>
        </w:rPr>
        <w:t>Economic valuation with stated preference techniques: Summary guide</w:t>
      </w:r>
      <w:r w:rsidRPr="009B0448">
        <w:rPr>
          <w:rFonts w:ascii="Times New Roman" w:hAnsi="Times New Roman" w:cs="Times New Roman"/>
        </w:rPr>
        <w:t xml:space="preserve">. London, UK: Department for Transport, Local Government and the Regions. Retrieved from </w:t>
      </w:r>
      <w:hyperlink r:id="rId1944" w:history="1">
        <w:r w:rsidRPr="009B0448">
          <w:rPr>
            <w:rStyle w:val="Hyperlink"/>
            <w:rFonts w:ascii="Times New Roman" w:hAnsi="Times New Roman" w:cs="Times New Roman"/>
          </w:rPr>
          <w:t>http://www.communities.gov.uk/documents/corporate/pdf/146871.pdf</w:t>
        </w:r>
      </w:hyperlink>
    </w:p>
    <w:p w14:paraId="73DDA6C1"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Pereira, L. M., McElroy, C., Littaye, A., and Girard, A. (Eds). (2017) </w:t>
      </w:r>
      <w:r w:rsidRPr="009B0448">
        <w:rPr>
          <w:rFonts w:ascii="Times New Roman" w:hAnsi="Times New Roman" w:cs="Times New Roman"/>
          <w:i/>
        </w:rPr>
        <w:t>Food, energy and water sustainability: Emergent governance strategies.</w:t>
      </w:r>
      <w:r w:rsidRPr="009B0448">
        <w:rPr>
          <w:rFonts w:ascii="Times New Roman" w:hAnsi="Times New Roman" w:cs="Times New Roman"/>
        </w:rPr>
        <w:t xml:space="preserve"> Oxford, UK: Routledge. ISBN 9781317446187.</w:t>
      </w:r>
    </w:p>
    <w:p w14:paraId="19532A9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Persha, L., &amp; Andersson, K. (2014). Elite capture risk and mitigation in decentralized forest governance regimes. </w:t>
      </w:r>
      <w:r w:rsidRPr="009B0448">
        <w:rPr>
          <w:rFonts w:ascii="Times New Roman" w:hAnsi="Times New Roman" w:cs="Times New Roman"/>
          <w:i/>
          <w:iCs/>
        </w:rPr>
        <w:t>Global Environmental Change</w:t>
      </w:r>
      <w:r w:rsidRPr="009B0448">
        <w:rPr>
          <w:rFonts w:ascii="Times New Roman" w:hAnsi="Times New Roman" w:cs="Times New Roman"/>
        </w:rPr>
        <w:t xml:space="preserve">, </w:t>
      </w:r>
      <w:r w:rsidRPr="009B0448">
        <w:rPr>
          <w:rFonts w:ascii="Times New Roman" w:hAnsi="Times New Roman" w:cs="Times New Roman"/>
          <w:i/>
          <w:iCs/>
        </w:rPr>
        <w:t>24</w:t>
      </w:r>
      <w:r w:rsidRPr="009B0448">
        <w:rPr>
          <w:rFonts w:ascii="Times New Roman" w:hAnsi="Times New Roman" w:cs="Times New Roman"/>
        </w:rPr>
        <w:t xml:space="preserve">, 265–276. </w:t>
      </w:r>
      <w:hyperlink r:id="rId1945" w:history="1">
        <w:r w:rsidRPr="009B0448">
          <w:rPr>
            <w:rStyle w:val="Hyperlink"/>
            <w:rFonts w:ascii="Times New Roman" w:hAnsi="Times New Roman" w:cs="Times New Roman"/>
          </w:rPr>
          <w:t>https://doi.org/10.1016/j.gloenvcha.2013.12.005</w:t>
        </w:r>
      </w:hyperlink>
    </w:p>
    <w:p w14:paraId="2695625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Peterson, G. D., Beard Jr, T. D., Beisner, B. E., Bennett, E. M., Carpenter, S. R., Cumming, G. S., Dent, C. L, &amp; Havlicek, T. D. (2003). Assessing future ecosystem services: a case study of the Northern Highlands Lake District, Wisconsin. </w:t>
      </w:r>
      <w:r w:rsidRPr="009B0448">
        <w:rPr>
          <w:rFonts w:ascii="Times New Roman" w:hAnsi="Times New Roman" w:cs="Times New Roman"/>
          <w:i/>
        </w:rPr>
        <w:t>Conservation Ecology</w:t>
      </w:r>
      <w:r w:rsidRPr="009B0448">
        <w:rPr>
          <w:rFonts w:ascii="Times New Roman" w:hAnsi="Times New Roman" w:cs="Times New Roman"/>
        </w:rPr>
        <w:t xml:space="preserve">, </w:t>
      </w:r>
      <w:r w:rsidRPr="009B0448">
        <w:rPr>
          <w:rFonts w:ascii="Times New Roman" w:hAnsi="Times New Roman" w:cs="Times New Roman"/>
          <w:i/>
        </w:rPr>
        <w:t>7</w:t>
      </w:r>
      <w:r w:rsidRPr="009B0448">
        <w:rPr>
          <w:rFonts w:ascii="Times New Roman" w:hAnsi="Times New Roman" w:cs="Times New Roman"/>
        </w:rPr>
        <w:t xml:space="preserve">(3), 1. Retrieved from </w:t>
      </w:r>
      <w:hyperlink r:id="rId1946" w:history="1">
        <w:r w:rsidRPr="009B0448">
          <w:rPr>
            <w:rStyle w:val="Hyperlink"/>
            <w:rFonts w:ascii="Times New Roman" w:hAnsi="Times New Roman" w:cs="Times New Roman"/>
          </w:rPr>
          <w:t>http://www.consecol.org/vol7/iss3/art1/</w:t>
        </w:r>
      </w:hyperlink>
    </w:p>
    <w:p w14:paraId="4BEA264D"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Pollard, S., &amp; Du Toit, D. (2011). </w:t>
      </w:r>
      <w:r w:rsidRPr="009B0448">
        <w:rPr>
          <w:rFonts w:ascii="Times New Roman" w:hAnsi="Times New Roman" w:cs="Times New Roman"/>
        </w:rPr>
        <w:t xml:space="preserve">Towards adaptive integrated water resources management in southern Africa: the role of self-organisation and multi-scale feedbacks for learning and responsiveness in the Letaba and Crocodile catchments. </w:t>
      </w:r>
      <w:r w:rsidRPr="009B0448">
        <w:rPr>
          <w:rFonts w:ascii="Times New Roman" w:hAnsi="Times New Roman" w:cs="Times New Roman"/>
          <w:i/>
          <w:iCs/>
        </w:rPr>
        <w:t>Water Resources Management</w:t>
      </w:r>
      <w:r w:rsidRPr="009B0448">
        <w:rPr>
          <w:rFonts w:ascii="Times New Roman" w:hAnsi="Times New Roman" w:cs="Times New Roman"/>
        </w:rPr>
        <w:t xml:space="preserve">, </w:t>
      </w:r>
      <w:r w:rsidRPr="009B0448">
        <w:rPr>
          <w:rFonts w:ascii="Times New Roman" w:hAnsi="Times New Roman" w:cs="Times New Roman"/>
          <w:i/>
          <w:iCs/>
        </w:rPr>
        <w:t>25</w:t>
      </w:r>
      <w:r w:rsidRPr="009B0448">
        <w:rPr>
          <w:rFonts w:ascii="Times New Roman" w:hAnsi="Times New Roman" w:cs="Times New Roman"/>
        </w:rPr>
        <w:t xml:space="preserve">(15), 4019–4035. </w:t>
      </w:r>
      <w:hyperlink r:id="rId1947" w:history="1">
        <w:r w:rsidRPr="009B0448">
          <w:rPr>
            <w:rStyle w:val="Hyperlink"/>
            <w:rFonts w:ascii="Times New Roman" w:hAnsi="Times New Roman" w:cs="Times New Roman"/>
          </w:rPr>
          <w:t>https://doi.org/10.1007/s11269-011-9904-0</w:t>
        </w:r>
      </w:hyperlink>
    </w:p>
    <w:p w14:paraId="70CC467D" w14:textId="77777777" w:rsidR="001D0597" w:rsidRPr="009B0448" w:rsidRDefault="001D0597" w:rsidP="009F0016">
      <w:pPr>
        <w:spacing w:after="120" w:line="276" w:lineRule="auto"/>
        <w:ind w:left="567" w:hanging="567"/>
        <w:rPr>
          <w:rFonts w:ascii="Times New Roman" w:hAnsi="Times New Roman" w:cs="Times New Roman"/>
          <w:lang w:val="fr-FR"/>
        </w:rPr>
      </w:pPr>
      <w:r w:rsidRPr="009B0448">
        <w:rPr>
          <w:rFonts w:ascii="Times New Roman" w:hAnsi="Times New Roman" w:cs="Times New Roman"/>
          <w:lang w:val="fr-FR"/>
        </w:rPr>
        <w:t xml:space="preserve">Prevost, B., Rivaud, A., &amp; Michelot, A. (2016). Économie politique des services écosystémiques: de l’analyse économique aux évolutions juridiques. </w:t>
      </w:r>
      <w:r w:rsidRPr="009B0448">
        <w:rPr>
          <w:rFonts w:ascii="Times New Roman" w:hAnsi="Times New Roman" w:cs="Times New Roman"/>
          <w:i/>
          <w:iCs/>
          <w:lang w:val="fr-FR"/>
        </w:rPr>
        <w:t>Revue de la régulation: Capitalisme, institutions, pouvoirs</w:t>
      </w:r>
      <w:r w:rsidRPr="009B0448">
        <w:rPr>
          <w:rFonts w:ascii="Times New Roman" w:hAnsi="Times New Roman" w:cs="Times New Roman"/>
          <w:i/>
          <w:lang w:val="fr-FR"/>
        </w:rPr>
        <w:t>, 19</w:t>
      </w:r>
      <w:r w:rsidRPr="009B0448">
        <w:rPr>
          <w:rFonts w:ascii="Times New Roman" w:hAnsi="Times New Roman" w:cs="Times New Roman"/>
          <w:lang w:val="fr-FR"/>
        </w:rPr>
        <w:t xml:space="preserve">. Retrieved from </w:t>
      </w:r>
      <w:hyperlink r:id="rId1948" w:history="1">
        <w:r w:rsidRPr="009B0448">
          <w:rPr>
            <w:rStyle w:val="Hyperlink"/>
            <w:rFonts w:ascii="Times New Roman" w:hAnsi="Times New Roman" w:cs="Times New Roman"/>
            <w:lang w:val="fr-FR"/>
          </w:rPr>
          <w:t>https://journals.openedition.org/regulation/11848</w:t>
        </w:r>
      </w:hyperlink>
    </w:p>
    <w:p w14:paraId="67B9268A"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Ramsar Convention. (1971). </w:t>
      </w:r>
      <w:r w:rsidRPr="009B0448">
        <w:rPr>
          <w:rFonts w:ascii="Times New Roman" w:hAnsi="Times New Roman" w:cs="Times New Roman"/>
          <w:i/>
          <w:iCs/>
        </w:rPr>
        <w:t>Ramsar Convention on Wetlands of International Importance</w:t>
      </w:r>
      <w:r w:rsidRPr="009B0448">
        <w:rPr>
          <w:rFonts w:ascii="Times New Roman" w:hAnsi="Times New Roman" w:cs="Times New Roman"/>
        </w:rPr>
        <w:t xml:space="preserve">. Gland Ramsar Convention Secretariat. Retrieved from </w:t>
      </w:r>
      <w:hyperlink r:id="rId1949" w:history="1">
        <w:r w:rsidRPr="009B0448">
          <w:rPr>
            <w:rStyle w:val="Hyperlink"/>
            <w:rFonts w:ascii="Times New Roman" w:hAnsi="Times New Roman" w:cs="Times New Roman"/>
          </w:rPr>
          <w:t>https://www.ramsar.org/sites/default/files/documents/library/current_convention_text_e.pdf</w:t>
        </w:r>
      </w:hyperlink>
    </w:p>
    <w:p w14:paraId="45086329"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Redford, K. H., Huntley, B. J., Roe, D., Hammond, T., Zimsky, M., Lovejoy, T. E., Da Fonseca, G. A., Rodriguez, C. M., &amp; Cowling, R. M. (2015). Mainstreaming biodiversity: conservation for the twenty-first century. </w:t>
      </w:r>
      <w:r w:rsidRPr="009B0448">
        <w:rPr>
          <w:rFonts w:ascii="Times New Roman" w:hAnsi="Times New Roman" w:cs="Times New Roman"/>
          <w:i/>
          <w:iCs/>
        </w:rPr>
        <w:t>Frontiers in Ecology and Evolution</w:t>
      </w:r>
      <w:r w:rsidRPr="009B0448">
        <w:rPr>
          <w:rFonts w:ascii="Times New Roman" w:hAnsi="Times New Roman" w:cs="Times New Roman"/>
        </w:rPr>
        <w:t xml:space="preserve">, </w:t>
      </w:r>
      <w:r w:rsidRPr="009B0448">
        <w:rPr>
          <w:rFonts w:ascii="Times New Roman" w:hAnsi="Times New Roman" w:cs="Times New Roman"/>
          <w:i/>
          <w:iCs/>
        </w:rPr>
        <w:t>3</w:t>
      </w:r>
      <w:r w:rsidRPr="009B0448">
        <w:rPr>
          <w:rFonts w:ascii="Times New Roman" w:hAnsi="Times New Roman" w:cs="Times New Roman"/>
        </w:rPr>
        <w:t xml:space="preserve">,137 </w:t>
      </w:r>
      <w:hyperlink r:id="rId1950" w:history="1">
        <w:r w:rsidRPr="009B0448">
          <w:rPr>
            <w:rStyle w:val="Hyperlink"/>
            <w:rFonts w:ascii="Times New Roman" w:hAnsi="Times New Roman" w:cs="Times New Roman"/>
          </w:rPr>
          <w:t>https://doi.org/10.3389/fevo.2015.00137</w:t>
        </w:r>
      </w:hyperlink>
    </w:p>
    <w:p w14:paraId="6DD0EC5D" w14:textId="26EC1BB6"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Ribot, J.C. (2003). Democratic decentralisation of natural resources: Institutional choice and di</w:t>
      </w:r>
      <w:r w:rsidR="00917FB2">
        <w:rPr>
          <w:rFonts w:ascii="Times New Roman" w:hAnsi="Times New Roman" w:cs="Times New Roman"/>
        </w:rPr>
        <w:t>scretionary power transfers in s</w:t>
      </w:r>
      <w:r w:rsidRPr="009B0448">
        <w:rPr>
          <w:rFonts w:ascii="Times New Roman" w:hAnsi="Times New Roman" w:cs="Times New Roman"/>
        </w:rPr>
        <w:t xml:space="preserve">ub-Saharan Africa. </w:t>
      </w:r>
      <w:r w:rsidRPr="009B0448">
        <w:rPr>
          <w:rFonts w:ascii="Times New Roman" w:hAnsi="Times New Roman" w:cs="Times New Roman"/>
          <w:i/>
          <w:iCs/>
        </w:rPr>
        <w:t>Public Administration and Development</w:t>
      </w:r>
      <w:r w:rsidRPr="009B0448">
        <w:rPr>
          <w:rFonts w:ascii="Times New Roman" w:hAnsi="Times New Roman" w:cs="Times New Roman"/>
        </w:rPr>
        <w:t xml:space="preserve">, </w:t>
      </w:r>
      <w:r w:rsidRPr="009B0448">
        <w:rPr>
          <w:rFonts w:ascii="Times New Roman" w:hAnsi="Times New Roman" w:cs="Times New Roman"/>
          <w:i/>
        </w:rPr>
        <w:t>23</w:t>
      </w:r>
      <w:r w:rsidRPr="009B0448">
        <w:rPr>
          <w:rFonts w:ascii="Times New Roman" w:hAnsi="Times New Roman" w:cs="Times New Roman"/>
        </w:rPr>
        <w:t xml:space="preserve">, 53–65. </w:t>
      </w:r>
      <w:hyperlink r:id="rId1951" w:history="1">
        <w:r w:rsidRPr="009B0448">
          <w:rPr>
            <w:rStyle w:val="Hyperlink"/>
            <w:rFonts w:ascii="Times New Roman" w:hAnsi="Times New Roman" w:cs="Times New Roman"/>
          </w:rPr>
          <w:t>https://doi.org/10.1002/pad.259</w:t>
        </w:r>
      </w:hyperlink>
    </w:p>
    <w:p w14:paraId="0308AF2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Richardson, D. M., &amp; van Wilgen, B. W. (2004). Invasive alien plants in South Africa: How well do we understand the ecological impacts? </w:t>
      </w:r>
      <w:r w:rsidRPr="009B0448">
        <w:rPr>
          <w:rFonts w:ascii="Times New Roman" w:hAnsi="Times New Roman" w:cs="Times New Roman"/>
          <w:i/>
          <w:iCs/>
        </w:rPr>
        <w:t>South African Journal of Science</w:t>
      </w:r>
      <w:r w:rsidRPr="009B0448">
        <w:rPr>
          <w:rFonts w:ascii="Times New Roman" w:hAnsi="Times New Roman" w:cs="Times New Roman"/>
        </w:rPr>
        <w:t xml:space="preserve">, </w:t>
      </w:r>
      <w:r w:rsidRPr="009B0448">
        <w:rPr>
          <w:rFonts w:ascii="Times New Roman" w:hAnsi="Times New Roman" w:cs="Times New Roman"/>
          <w:i/>
        </w:rPr>
        <w:t>100</w:t>
      </w:r>
      <w:r w:rsidRPr="009B0448">
        <w:rPr>
          <w:rFonts w:ascii="Times New Roman" w:hAnsi="Times New Roman" w:cs="Times New Roman"/>
        </w:rPr>
        <w:t xml:space="preserve">(1), 45–52. Retrieved from </w:t>
      </w:r>
      <w:hyperlink r:id="rId1952" w:history="1">
        <w:r w:rsidRPr="009B0448">
          <w:rPr>
            <w:rStyle w:val="Hyperlink"/>
            <w:rFonts w:ascii="Times New Roman" w:hAnsi="Times New Roman" w:cs="Times New Roman"/>
          </w:rPr>
          <w:t>http://hdl.handle.net/10520/EJC96214</w:t>
        </w:r>
      </w:hyperlink>
    </w:p>
    <w:p w14:paraId="7F339539"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Roe D., Nelson, F., &amp; Sandbrook, C. (Eds.). (2009). </w:t>
      </w:r>
      <w:r w:rsidRPr="009B0448">
        <w:rPr>
          <w:rFonts w:ascii="Times New Roman" w:hAnsi="Times New Roman" w:cs="Times New Roman"/>
          <w:i/>
          <w:iCs/>
        </w:rPr>
        <w:t>Community management of natural resources in Africa: Impacts, experiences and future directions.</w:t>
      </w:r>
      <w:r w:rsidRPr="009B0448">
        <w:rPr>
          <w:rFonts w:ascii="Times New Roman" w:hAnsi="Times New Roman" w:cs="Times New Roman"/>
        </w:rPr>
        <w:t xml:space="preserve"> Natural Resource Issues No. 18, London, UK: International Institute for Environment and Development. Retrieved from </w:t>
      </w:r>
      <w:hyperlink r:id="rId1953" w:history="1">
        <w:r w:rsidRPr="009B0448">
          <w:rPr>
            <w:rStyle w:val="Hyperlink"/>
            <w:rFonts w:ascii="Times New Roman" w:hAnsi="Times New Roman" w:cs="Times New Roman"/>
          </w:rPr>
          <w:t>http://pubs.iied.org/pdfs/17503IIED.pdf</w:t>
        </w:r>
      </w:hyperlink>
    </w:p>
    <w:p w14:paraId="78F09ECC"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Roncoli, C., Ingram, K., &amp; Kirshen, P. (2002). </w:t>
      </w:r>
      <w:r w:rsidRPr="009B0448">
        <w:rPr>
          <w:rFonts w:ascii="Times New Roman" w:hAnsi="Times New Roman" w:cs="Times New Roman"/>
        </w:rPr>
        <w:t>Reading the rains: local knowledge and rainfall forecasting in Burkina Faso.</w:t>
      </w:r>
      <w:r w:rsidRPr="009B0448">
        <w:rPr>
          <w:rFonts w:ascii="Times New Roman" w:hAnsi="Times New Roman" w:cs="Times New Roman"/>
          <w:i/>
          <w:iCs/>
        </w:rPr>
        <w:t xml:space="preserve"> An International Journal of Society and Natural Resources,</w:t>
      </w:r>
      <w:r w:rsidRPr="009B0448">
        <w:rPr>
          <w:rFonts w:ascii="Times New Roman" w:hAnsi="Times New Roman" w:cs="Times New Roman"/>
        </w:rPr>
        <w:t xml:space="preserve"> </w:t>
      </w:r>
      <w:r w:rsidRPr="009B0448">
        <w:rPr>
          <w:rFonts w:ascii="Times New Roman" w:hAnsi="Times New Roman" w:cs="Times New Roman"/>
          <w:i/>
          <w:iCs/>
        </w:rPr>
        <w:t>15</w:t>
      </w:r>
      <w:r w:rsidRPr="009B0448">
        <w:rPr>
          <w:rFonts w:ascii="Times New Roman" w:hAnsi="Times New Roman" w:cs="Times New Roman"/>
        </w:rPr>
        <w:t xml:space="preserve">(5), 409–427. </w:t>
      </w:r>
      <w:hyperlink r:id="rId1954" w:history="1">
        <w:r w:rsidRPr="009B0448">
          <w:rPr>
            <w:rStyle w:val="Hyperlink"/>
            <w:rFonts w:ascii="Times New Roman" w:hAnsi="Times New Roman" w:cs="Times New Roman"/>
          </w:rPr>
          <w:t>https://doi.org/10.1080/08941920252866774</w:t>
        </w:r>
      </w:hyperlink>
    </w:p>
    <w:p w14:paraId="4208E907"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Roussel, B., &amp; Verdeaux, F. (2007). Natural patrimony and local communities in Ethiopia: Advantages and limitations of a system of geographical indications. </w:t>
      </w:r>
      <w:r w:rsidRPr="009B0448">
        <w:rPr>
          <w:rFonts w:ascii="Times New Roman" w:hAnsi="Times New Roman" w:cs="Times New Roman"/>
          <w:i/>
          <w:iCs/>
        </w:rPr>
        <w:t>Africa</w:t>
      </w:r>
      <w:r w:rsidRPr="009B0448">
        <w:rPr>
          <w:rFonts w:ascii="Times New Roman" w:hAnsi="Times New Roman" w:cs="Times New Roman"/>
        </w:rPr>
        <w:t xml:space="preserve">, </w:t>
      </w:r>
      <w:r w:rsidRPr="009B0448">
        <w:rPr>
          <w:rFonts w:ascii="Times New Roman" w:hAnsi="Times New Roman" w:cs="Times New Roman"/>
          <w:i/>
        </w:rPr>
        <w:t>77</w:t>
      </w:r>
      <w:r w:rsidRPr="009B0448">
        <w:rPr>
          <w:rFonts w:ascii="Times New Roman" w:hAnsi="Times New Roman" w:cs="Times New Roman"/>
        </w:rPr>
        <w:t xml:space="preserve">(1), 130–150. </w:t>
      </w:r>
      <w:hyperlink r:id="rId1955" w:history="1">
        <w:r w:rsidRPr="009B0448">
          <w:rPr>
            <w:rStyle w:val="Hyperlink"/>
            <w:rFonts w:ascii="Times New Roman" w:hAnsi="Times New Roman" w:cs="Times New Roman"/>
          </w:rPr>
          <w:t>https://doi.org/10.3366/afr.2007.77.1.130</w:t>
        </w:r>
      </w:hyperlink>
    </w:p>
    <w:p w14:paraId="6AE08130" w14:textId="77777777" w:rsidR="001D0597" w:rsidRPr="009B0448" w:rsidRDefault="001D0597" w:rsidP="009F0016">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SADC. (2008). Southern African Development Community: Regional biodiversity strategy. Retrieved from </w:t>
      </w:r>
      <w:hyperlink r:id="rId1956" w:history="1">
        <w:r w:rsidRPr="009B0448">
          <w:rPr>
            <w:rStyle w:val="Hyperlink"/>
            <w:rFonts w:ascii="Times New Roman" w:eastAsia="Times New Roman" w:hAnsi="Times New Roman" w:cs="Times New Roman"/>
          </w:rPr>
          <w:t>http://www.wcs-ahead.org/documents/sadc_strategy.pdf</w:t>
        </w:r>
      </w:hyperlink>
    </w:p>
    <w:p w14:paraId="41C911DD" w14:textId="77777777" w:rsidR="001D0597" w:rsidRPr="009B0448" w:rsidRDefault="001D0597" w:rsidP="009F0016">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SADC. (2016). Regional strategic action plan on integrated water resources development and management phase IV, RSAP IV, Gaborone, Botswana. Retrieved from </w:t>
      </w:r>
      <w:hyperlink r:id="rId1957" w:history="1">
        <w:r w:rsidRPr="009B0448">
          <w:rPr>
            <w:rStyle w:val="Hyperlink"/>
            <w:rFonts w:ascii="Times New Roman" w:eastAsia="Times New Roman" w:hAnsi="Times New Roman" w:cs="Times New Roman"/>
          </w:rPr>
          <w:t>https://www.sadc.int/files/9914/6823/9107/SADC_Water_4th_Regional_Strategic_Action_Plan_English_version.pdf</w:t>
        </w:r>
      </w:hyperlink>
    </w:p>
    <w:p w14:paraId="59BF15D6"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Scales, I. R. (2012). Lost in translation: Conflicting views of deforestation, land use and identity in Western Madagascar. </w:t>
      </w:r>
      <w:r w:rsidRPr="009B0448">
        <w:rPr>
          <w:rFonts w:ascii="Times New Roman" w:hAnsi="Times New Roman" w:cs="Times New Roman"/>
          <w:i/>
          <w:iCs/>
        </w:rPr>
        <w:t>The Geographical Journal</w:t>
      </w:r>
      <w:r w:rsidRPr="009B0448">
        <w:rPr>
          <w:rFonts w:ascii="Times New Roman" w:hAnsi="Times New Roman" w:cs="Times New Roman"/>
        </w:rPr>
        <w:t xml:space="preserve">, </w:t>
      </w:r>
      <w:r w:rsidRPr="009B0448">
        <w:rPr>
          <w:rFonts w:ascii="Times New Roman" w:hAnsi="Times New Roman" w:cs="Times New Roman"/>
          <w:i/>
        </w:rPr>
        <w:t>178</w:t>
      </w:r>
      <w:r w:rsidRPr="009B0448">
        <w:rPr>
          <w:rFonts w:ascii="Times New Roman" w:hAnsi="Times New Roman" w:cs="Times New Roman"/>
        </w:rPr>
        <w:t xml:space="preserve">(1), 67–79. </w:t>
      </w:r>
      <w:hyperlink r:id="rId1958" w:history="1">
        <w:r w:rsidRPr="009B0448">
          <w:rPr>
            <w:rStyle w:val="Hyperlink"/>
            <w:rFonts w:ascii="Times New Roman" w:hAnsi="Times New Roman" w:cs="Times New Roman"/>
          </w:rPr>
          <w:t>https://doi.org/10.1111/j.1475-4959.2011.00432.x</w:t>
        </w:r>
      </w:hyperlink>
    </w:p>
    <w:p w14:paraId="12B5A8AF"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Scarano, F. R. (2017). Ecosystem-based adaptation to climate change: concept, scalability and a role for conservation science. </w:t>
      </w:r>
      <w:r w:rsidRPr="009B0448">
        <w:rPr>
          <w:rFonts w:ascii="Times New Roman" w:hAnsi="Times New Roman" w:cs="Times New Roman"/>
          <w:i/>
          <w:iCs/>
        </w:rPr>
        <w:t>Perspectives in Ecology and Conservation</w:t>
      </w:r>
      <w:r w:rsidRPr="009B0448">
        <w:rPr>
          <w:rFonts w:ascii="Times New Roman" w:hAnsi="Times New Roman" w:cs="Times New Roman"/>
        </w:rPr>
        <w:t xml:space="preserve">, </w:t>
      </w:r>
      <w:r w:rsidRPr="009B0448">
        <w:rPr>
          <w:rFonts w:ascii="Times New Roman" w:hAnsi="Times New Roman" w:cs="Times New Roman"/>
          <w:i/>
        </w:rPr>
        <w:t>15</w:t>
      </w:r>
      <w:r w:rsidRPr="009B0448">
        <w:rPr>
          <w:rFonts w:ascii="Times New Roman" w:hAnsi="Times New Roman" w:cs="Times New Roman"/>
        </w:rPr>
        <w:t xml:space="preserve">(2), 65–73. </w:t>
      </w:r>
      <w:hyperlink r:id="rId1959" w:history="1">
        <w:r w:rsidRPr="009B0448">
          <w:rPr>
            <w:rStyle w:val="Hyperlink"/>
            <w:rFonts w:ascii="Times New Roman" w:hAnsi="Times New Roman" w:cs="Times New Roman"/>
          </w:rPr>
          <w:t>https://doi.org/10.1016/j.pecon.2017.05.003</w:t>
        </w:r>
      </w:hyperlink>
    </w:p>
    <w:p w14:paraId="5E14F14D"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Schomers, S., &amp; Matzdorf, B. (2013). Payments for ecosystem services: A review and comparison of developing and industrialized countries. </w:t>
      </w:r>
      <w:r w:rsidRPr="009B0448">
        <w:rPr>
          <w:rFonts w:ascii="Times New Roman" w:hAnsi="Times New Roman" w:cs="Times New Roman"/>
          <w:i/>
          <w:iCs/>
        </w:rPr>
        <w:t>Ecosystem Services</w:t>
      </w:r>
      <w:r w:rsidRPr="009B0448">
        <w:rPr>
          <w:rFonts w:ascii="Times New Roman" w:hAnsi="Times New Roman" w:cs="Times New Roman"/>
        </w:rPr>
        <w:t xml:space="preserve">, </w:t>
      </w:r>
      <w:r w:rsidRPr="009B0448">
        <w:rPr>
          <w:rFonts w:ascii="Times New Roman" w:hAnsi="Times New Roman" w:cs="Times New Roman"/>
          <w:i/>
        </w:rPr>
        <w:t>6</w:t>
      </w:r>
      <w:r w:rsidRPr="009B0448">
        <w:rPr>
          <w:rFonts w:ascii="Times New Roman" w:hAnsi="Times New Roman" w:cs="Times New Roman"/>
        </w:rPr>
        <w:t xml:space="preserve">, 16–30. </w:t>
      </w:r>
      <w:hyperlink r:id="rId1960" w:history="1">
        <w:r w:rsidRPr="009B0448">
          <w:rPr>
            <w:rStyle w:val="Hyperlink"/>
            <w:rFonts w:ascii="Times New Roman" w:hAnsi="Times New Roman" w:cs="Times New Roman"/>
          </w:rPr>
          <w:t>https://doi.org/10.1016/j.ecoser.2013.01.002</w:t>
        </w:r>
      </w:hyperlink>
    </w:p>
    <w:p w14:paraId="647A0BDC" w14:textId="77777777" w:rsidR="001D0597" w:rsidRPr="009B0448" w:rsidRDefault="001D0597" w:rsidP="009F0016">
      <w:pPr>
        <w:spacing w:after="120" w:line="276" w:lineRule="auto"/>
        <w:ind w:left="567" w:hanging="567"/>
        <w:rPr>
          <w:rFonts w:ascii="Times New Roman" w:hAnsi="Times New Roman" w:cs="Times New Roman"/>
          <w:iCs/>
        </w:rPr>
      </w:pPr>
      <w:r w:rsidRPr="009B0448">
        <w:rPr>
          <w:rFonts w:ascii="Times New Roman" w:hAnsi="Times New Roman" w:cs="Times New Roman"/>
        </w:rPr>
        <w:t xml:space="preserve">Schoon, M. L., Robards, M. D., Brown, K., Engle, N., Meek, C. L., &amp; Biggs, R. (2015). Politics and the resilience of ecosystem services. In R. Biggs, M. Schlüter &amp; M. L. Schoon (Eds.), </w:t>
      </w:r>
      <w:r w:rsidRPr="009B0448">
        <w:rPr>
          <w:rFonts w:ascii="Times New Roman" w:hAnsi="Times New Roman" w:cs="Times New Roman"/>
          <w:i/>
          <w:iCs/>
        </w:rPr>
        <w:t xml:space="preserve">Principles for building resilience: Sustaining ecosystem services in social-ecological systems </w:t>
      </w:r>
      <w:r w:rsidRPr="009B0448">
        <w:rPr>
          <w:rFonts w:ascii="Times New Roman" w:hAnsi="Times New Roman" w:cs="Times New Roman"/>
          <w:iCs/>
        </w:rPr>
        <w:t>(pp.</w:t>
      </w:r>
      <w:r w:rsidRPr="009B0448">
        <w:rPr>
          <w:rFonts w:ascii="Times New Roman" w:hAnsi="Times New Roman" w:cs="Times New Roman"/>
        </w:rPr>
        <w:t>32–49)</w:t>
      </w:r>
      <w:r w:rsidRPr="009B0448">
        <w:rPr>
          <w:rFonts w:ascii="Times New Roman" w:hAnsi="Times New Roman" w:cs="Times New Roman"/>
          <w:i/>
          <w:iCs/>
        </w:rPr>
        <w:t xml:space="preserve">. </w:t>
      </w:r>
      <w:r w:rsidRPr="009B0448">
        <w:rPr>
          <w:rFonts w:ascii="Times New Roman" w:hAnsi="Times New Roman" w:cs="Times New Roman"/>
          <w:iCs/>
        </w:rPr>
        <w:t xml:space="preserve">Cambridge, UK: Cambridge University Press. Retrieved from </w:t>
      </w:r>
      <w:hyperlink r:id="rId1961" w:history="1">
        <w:r w:rsidRPr="009B0448">
          <w:rPr>
            <w:rStyle w:val="Hyperlink"/>
            <w:rFonts w:ascii="Times New Roman" w:hAnsi="Times New Roman" w:cs="Times New Roman"/>
            <w:iCs/>
          </w:rPr>
          <w:t>https://doi.org/10.1017/CBO9781316014240.003</w:t>
        </w:r>
      </w:hyperlink>
    </w:p>
    <w:p w14:paraId="3925DE8C"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Schouten, G., &amp; Glasbergen, P. (2011). Creating legitimacy in global private governance: The case of the roundtable on sustainable palm oil. </w:t>
      </w:r>
      <w:r w:rsidRPr="009B0448">
        <w:rPr>
          <w:rFonts w:ascii="Times New Roman" w:hAnsi="Times New Roman" w:cs="Times New Roman"/>
          <w:i/>
          <w:iCs/>
        </w:rPr>
        <w:t>Ecological economics</w:t>
      </w:r>
      <w:r w:rsidRPr="009B0448">
        <w:rPr>
          <w:rFonts w:ascii="Times New Roman" w:hAnsi="Times New Roman" w:cs="Times New Roman"/>
        </w:rPr>
        <w:t xml:space="preserve">, </w:t>
      </w:r>
      <w:r w:rsidRPr="009B0448">
        <w:rPr>
          <w:rFonts w:ascii="Times New Roman" w:hAnsi="Times New Roman" w:cs="Times New Roman"/>
          <w:i/>
          <w:iCs/>
        </w:rPr>
        <w:t>70</w:t>
      </w:r>
      <w:r w:rsidRPr="009B0448">
        <w:rPr>
          <w:rFonts w:ascii="Times New Roman" w:hAnsi="Times New Roman" w:cs="Times New Roman"/>
        </w:rPr>
        <w:t xml:space="preserve">(11), 1891–1899. </w:t>
      </w:r>
      <w:hyperlink r:id="rId1962" w:history="1">
        <w:r w:rsidRPr="009B0448">
          <w:rPr>
            <w:rStyle w:val="Hyperlink"/>
            <w:rFonts w:ascii="Times New Roman" w:hAnsi="Times New Roman" w:cs="Times New Roman"/>
          </w:rPr>
          <w:t>https://doi.org/10.1016/j.ecolecon.2011.03.012</w:t>
        </w:r>
      </w:hyperlink>
    </w:p>
    <w:p w14:paraId="7CD782B6"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Schouten, G., &amp; Glasbergen, P. (2012). Private multi-stakeholder governance in the agricultural market place: an analysis of legitimization processes of the roundtables on sustainable palm oil and responsible soy. </w:t>
      </w:r>
      <w:r w:rsidRPr="009B0448">
        <w:rPr>
          <w:rFonts w:ascii="Times New Roman" w:hAnsi="Times New Roman" w:cs="Times New Roman"/>
          <w:i/>
        </w:rPr>
        <w:t>International Food and Agribusiness Management Review, 15, Special Issue B</w:t>
      </w:r>
      <w:r w:rsidRPr="009B0448">
        <w:rPr>
          <w:rFonts w:ascii="Times New Roman" w:hAnsi="Times New Roman" w:cs="Times New Roman"/>
        </w:rPr>
        <w:t xml:space="preserve">, 53–78. Retrieved from </w:t>
      </w:r>
      <w:hyperlink r:id="rId1963" w:history="1">
        <w:r w:rsidRPr="009B0448">
          <w:rPr>
            <w:rStyle w:val="Hyperlink"/>
            <w:rFonts w:ascii="Times New Roman" w:hAnsi="Times New Roman" w:cs="Times New Roman"/>
          </w:rPr>
          <w:t>https://www.ifama.org/resources/Documents/v15ib/Schouten-Glasbergen.pdf</w:t>
        </w:r>
      </w:hyperlink>
    </w:p>
    <w:p w14:paraId="72BE88DC"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Schwidrowski, A., &amp; Saji, T. (2005). </w:t>
      </w:r>
      <w:r w:rsidRPr="009B0448">
        <w:rPr>
          <w:rFonts w:ascii="Times New Roman" w:hAnsi="Times New Roman" w:cs="Times New Roman"/>
          <w:i/>
          <w:iCs/>
        </w:rPr>
        <w:t>Forestry taxation in Africa: The case of Liberia</w:t>
      </w:r>
      <w:r w:rsidRPr="009B0448">
        <w:rPr>
          <w:rFonts w:ascii="Times New Roman" w:hAnsi="Times New Roman" w:cs="Times New Roman"/>
        </w:rPr>
        <w:t xml:space="preserve">. IMF Working Paper WP/05/156. International Monetary Fund. Retrieved from </w:t>
      </w:r>
      <w:hyperlink r:id="rId1964" w:history="1">
        <w:r w:rsidRPr="009B0448">
          <w:rPr>
            <w:rStyle w:val="Hyperlink"/>
            <w:rFonts w:ascii="Times New Roman" w:hAnsi="Times New Roman" w:cs="Times New Roman"/>
          </w:rPr>
          <w:t>https://www.imf.org/external/pubs/ft/wp/2005/wp05156.pdf</w:t>
        </w:r>
      </w:hyperlink>
    </w:p>
    <w:p w14:paraId="12954CCC" w14:textId="77777777" w:rsidR="001D0597" w:rsidRPr="009B0448" w:rsidRDefault="001D0597" w:rsidP="00B8023B">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SCP Clearing House. (2018). </w:t>
      </w:r>
      <w:r w:rsidRPr="009B0448">
        <w:rPr>
          <w:rFonts w:ascii="Times New Roman" w:hAnsi="Times New Roman" w:cs="Times New Roman"/>
          <w:i/>
        </w:rPr>
        <w:t>Global SCP Initiatives Database</w:t>
      </w:r>
      <w:r w:rsidRPr="009B0448">
        <w:rPr>
          <w:rFonts w:ascii="Times New Roman" w:hAnsi="Times New Roman" w:cs="Times New Roman"/>
        </w:rPr>
        <w:t xml:space="preserve">. Retrieved from </w:t>
      </w:r>
      <w:hyperlink r:id="rId1965" w:history="1">
        <w:r w:rsidRPr="009B0448">
          <w:rPr>
            <w:rStyle w:val="Hyperlink"/>
            <w:rFonts w:ascii="Times New Roman" w:hAnsi="Times New Roman" w:cs="Times New Roman"/>
          </w:rPr>
          <w:t>http://www.oneplanetnetwork.org/initiatives</w:t>
        </w:r>
      </w:hyperlink>
    </w:p>
    <w:p w14:paraId="04AFDEB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Senelwa, K., Etiégni, L., Osano, O., Balozi, K., &amp; Imo, M. (2012). </w:t>
      </w:r>
      <w:r w:rsidRPr="009B0448">
        <w:rPr>
          <w:rFonts w:ascii="Times New Roman" w:hAnsi="Times New Roman" w:cs="Times New Roman"/>
        </w:rPr>
        <w:t>Environmental impacts of biofuel production in Africa.</w:t>
      </w:r>
      <w:r w:rsidRPr="009B0448">
        <w:rPr>
          <w:rFonts w:ascii="Times New Roman" w:hAnsi="Times New Roman" w:cs="Times New Roman"/>
          <w:i/>
        </w:rPr>
        <w:t xml:space="preserve"> </w:t>
      </w:r>
      <w:r w:rsidRPr="009B0448">
        <w:rPr>
          <w:rFonts w:ascii="Times New Roman" w:hAnsi="Times New Roman" w:cs="Times New Roman"/>
        </w:rPr>
        <w:t xml:space="preserve">In R. Janssen &amp; D. Rutz, </w:t>
      </w:r>
      <w:r w:rsidRPr="009B0448">
        <w:rPr>
          <w:rFonts w:ascii="Times New Roman" w:hAnsi="Times New Roman" w:cs="Times New Roman"/>
          <w:i/>
        </w:rPr>
        <w:t>Bioenergy for sustainable development in Africa</w:t>
      </w:r>
      <w:r w:rsidRPr="009B0448">
        <w:rPr>
          <w:rFonts w:ascii="Times New Roman" w:hAnsi="Times New Roman" w:cs="Times New Roman"/>
        </w:rPr>
        <w:t xml:space="preserve"> (pp. 237–245). Dordrecht, Netherlands: Springer. </w:t>
      </w:r>
      <w:hyperlink r:id="rId1966" w:history="1">
        <w:r w:rsidRPr="009B0448">
          <w:rPr>
            <w:rStyle w:val="Hyperlink"/>
            <w:rFonts w:ascii="Times New Roman" w:hAnsi="Times New Roman" w:cs="Times New Roman"/>
          </w:rPr>
          <w:t>https://doi.org/10.1007/978-94-007-2181-4_20</w:t>
        </w:r>
      </w:hyperlink>
    </w:p>
    <w:p w14:paraId="6A00CE13" w14:textId="77777777" w:rsidR="001D0597" w:rsidRPr="009B0448" w:rsidRDefault="001D0597" w:rsidP="00A62AC2">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Shackleton, C. M., Willis, T. J., Brown, K., &amp; Polunin, N. V. C. (2010). Reflecting on the next generation of models for community-based natural resources management. </w:t>
      </w:r>
      <w:r w:rsidRPr="009B0448">
        <w:rPr>
          <w:rFonts w:ascii="Times New Roman" w:hAnsi="Times New Roman" w:cs="Times New Roman"/>
          <w:i/>
          <w:iCs/>
        </w:rPr>
        <w:t>Environmental Conservation</w:t>
      </w:r>
      <w:r w:rsidRPr="009B0448">
        <w:rPr>
          <w:rFonts w:ascii="Times New Roman" w:hAnsi="Times New Roman" w:cs="Times New Roman"/>
        </w:rPr>
        <w:t xml:space="preserve">, </w:t>
      </w:r>
      <w:r w:rsidRPr="009B0448">
        <w:rPr>
          <w:rFonts w:ascii="Times New Roman" w:hAnsi="Times New Roman" w:cs="Times New Roman"/>
          <w:i/>
        </w:rPr>
        <w:t>37</w:t>
      </w:r>
      <w:r w:rsidRPr="009B0448">
        <w:rPr>
          <w:rFonts w:ascii="Times New Roman" w:hAnsi="Times New Roman" w:cs="Times New Roman"/>
        </w:rPr>
        <w:t xml:space="preserve">(1), 1–4. </w:t>
      </w:r>
      <w:hyperlink r:id="rId1967" w:history="1">
        <w:r w:rsidRPr="009B0448">
          <w:rPr>
            <w:rStyle w:val="Hyperlink"/>
            <w:rFonts w:ascii="Times New Roman" w:hAnsi="Times New Roman" w:cs="Times New Roman"/>
          </w:rPr>
          <w:t>https://doi.org/10.1017/S0376892910000366</w:t>
        </w:r>
      </w:hyperlink>
    </w:p>
    <w:p w14:paraId="3BEEB1CD"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Shackleton, S., Campbell, B., Wollenberg, E., &amp; Edmunds, D. (2002). </w:t>
      </w:r>
      <w:r w:rsidRPr="009B0448">
        <w:rPr>
          <w:rFonts w:ascii="Times New Roman" w:hAnsi="Times New Roman" w:cs="Times New Roman"/>
          <w:i/>
          <w:iCs/>
        </w:rPr>
        <w:t>Devolution and community-based natural resource management: creating space for local people to participate and benefit?</w:t>
      </w:r>
      <w:r w:rsidRPr="009B0448">
        <w:rPr>
          <w:rFonts w:ascii="Times New Roman" w:hAnsi="Times New Roman" w:cs="Times New Roman"/>
        </w:rPr>
        <w:t xml:space="preserve"> ODI Natural Resource Perspectives no. 76, London, UK: The Overseas Development Institute. Retrieved from </w:t>
      </w:r>
      <w:hyperlink r:id="rId1968" w:history="1">
        <w:r w:rsidRPr="009B0448">
          <w:rPr>
            <w:rStyle w:val="Hyperlink"/>
            <w:rFonts w:ascii="Times New Roman" w:hAnsi="Times New Roman" w:cs="Times New Roman"/>
          </w:rPr>
          <w:t>https://www.odi.org/sites/odi.org.uk/files/odi-assets/publications-opinion-files/2811.pdf</w:t>
        </w:r>
      </w:hyperlink>
    </w:p>
    <w:p w14:paraId="4F27EBD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Short, A. (2007). Thinking institutionally about land-use change, land management and the environment: A study of road management in the North coast region of California. In T. Kluvánková-Oravaská, V. Chobotová, J. Jilková, &amp; P. Sauer (Eds.), </w:t>
      </w:r>
      <w:r w:rsidRPr="009B0448">
        <w:rPr>
          <w:rFonts w:ascii="Times New Roman" w:hAnsi="Times New Roman" w:cs="Times New Roman"/>
          <w:i/>
        </w:rPr>
        <w:t>Institutional analysis of sustainability problems: Emerging Theories and Methods in Sustainability Research, Proceedings of THEMES II</w:t>
      </w:r>
      <w:r w:rsidRPr="009B0448">
        <w:rPr>
          <w:rFonts w:ascii="Times New Roman" w:hAnsi="Times New Roman" w:cs="Times New Roman"/>
        </w:rPr>
        <w:t xml:space="preserve"> (pp. 21–41). Slovakia: Slovak Academy of Sciences. </w:t>
      </w:r>
    </w:p>
    <w:p w14:paraId="498EDC2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Silvano, R. A. M., &amp; Begossi, A. (2010). What can be learned from fishers? An integrated survey of fisher’s local ecological knowledge and bluefish (</w:t>
      </w:r>
      <w:r w:rsidRPr="009B0448">
        <w:rPr>
          <w:rFonts w:ascii="Times New Roman" w:hAnsi="Times New Roman" w:cs="Times New Roman"/>
          <w:i/>
        </w:rPr>
        <w:t>Pomatomus saltatrix</w:t>
      </w:r>
      <w:r w:rsidRPr="009B0448">
        <w:rPr>
          <w:rFonts w:ascii="Times New Roman" w:hAnsi="Times New Roman" w:cs="Times New Roman"/>
        </w:rPr>
        <w:t xml:space="preserve">) biology on the Brazilian coast. </w:t>
      </w:r>
      <w:r w:rsidRPr="009B0448">
        <w:rPr>
          <w:rFonts w:ascii="Times New Roman" w:hAnsi="Times New Roman" w:cs="Times New Roman"/>
          <w:i/>
          <w:iCs/>
        </w:rPr>
        <w:t>Hydrobiologia</w:t>
      </w:r>
      <w:r w:rsidRPr="009B0448">
        <w:rPr>
          <w:rFonts w:ascii="Times New Roman" w:hAnsi="Times New Roman" w:cs="Times New Roman"/>
        </w:rPr>
        <w:t xml:space="preserve">, </w:t>
      </w:r>
      <w:r w:rsidRPr="009B0448">
        <w:rPr>
          <w:rFonts w:ascii="Times New Roman" w:hAnsi="Times New Roman" w:cs="Times New Roman"/>
          <w:i/>
        </w:rPr>
        <w:t>637</w:t>
      </w:r>
      <w:r w:rsidRPr="009B0448">
        <w:rPr>
          <w:rFonts w:ascii="Times New Roman" w:hAnsi="Times New Roman" w:cs="Times New Roman"/>
        </w:rPr>
        <w:t xml:space="preserve">(1), 3–18. </w:t>
      </w:r>
      <w:hyperlink r:id="rId1969" w:history="1">
        <w:r w:rsidRPr="009B0448">
          <w:rPr>
            <w:rStyle w:val="Hyperlink"/>
            <w:rFonts w:ascii="Times New Roman" w:hAnsi="Times New Roman" w:cs="Times New Roman"/>
          </w:rPr>
          <w:t>https://doi.org/10.1007/s10750-009-9979-2</w:t>
        </w:r>
      </w:hyperlink>
    </w:p>
    <w:p w14:paraId="08A0066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fr-FR"/>
        </w:rPr>
        <w:t xml:space="preserve">Simelton, E., Quinn, C. H., Batisani, N., Dougill, A. J., Dyer, J. C., Fraser, E. D. G., Mkwambisi, D., Sallu, S., &amp; </w:t>
      </w:r>
      <w:r w:rsidRPr="009B0448">
        <w:rPr>
          <w:rFonts w:ascii="Times New Roman" w:hAnsi="Times New Roman" w:cs="Times New Roman"/>
        </w:rPr>
        <w:t xml:space="preserve">Stringer, L. C. (2013). Is rainfall really changing? Farmers’ perceptions, meteorological data and policy implications. </w:t>
      </w:r>
      <w:r w:rsidRPr="009B0448">
        <w:rPr>
          <w:rFonts w:ascii="Times New Roman" w:hAnsi="Times New Roman" w:cs="Times New Roman"/>
          <w:i/>
          <w:iCs/>
        </w:rPr>
        <w:t>Climate and Development</w:t>
      </w:r>
      <w:r w:rsidRPr="009B0448">
        <w:rPr>
          <w:rFonts w:ascii="Times New Roman" w:hAnsi="Times New Roman" w:cs="Times New Roman"/>
        </w:rPr>
        <w:t xml:space="preserve">, </w:t>
      </w:r>
      <w:r w:rsidRPr="009B0448">
        <w:rPr>
          <w:rFonts w:ascii="Times New Roman" w:hAnsi="Times New Roman" w:cs="Times New Roman"/>
          <w:i/>
        </w:rPr>
        <w:t>5</w:t>
      </w:r>
      <w:r w:rsidRPr="009B0448">
        <w:rPr>
          <w:rFonts w:ascii="Times New Roman" w:hAnsi="Times New Roman" w:cs="Times New Roman"/>
        </w:rPr>
        <w:t xml:space="preserve">(2), 123–138. </w:t>
      </w:r>
      <w:hyperlink r:id="rId1970" w:history="1">
        <w:r w:rsidRPr="009B0448">
          <w:rPr>
            <w:rStyle w:val="Hyperlink"/>
            <w:rFonts w:ascii="Times New Roman" w:hAnsi="Times New Roman" w:cs="Times New Roman"/>
          </w:rPr>
          <w:t>https://doi.org/10.1080/17565529.2012.751893</w:t>
        </w:r>
      </w:hyperlink>
    </w:p>
    <w:p w14:paraId="7E236A05" w14:textId="77777777" w:rsidR="001D0597" w:rsidRPr="009B0448" w:rsidRDefault="001D0597" w:rsidP="009F0016">
      <w:pPr>
        <w:tabs>
          <w:tab w:val="left" w:pos="1728"/>
        </w:tabs>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Snively, S. W. (2012). Environmental laws of Namibia: Constitutions, conservation, and cheetahs. </w:t>
      </w:r>
      <w:r w:rsidRPr="009B0448">
        <w:rPr>
          <w:rFonts w:ascii="Times New Roman" w:eastAsia="Times New Roman" w:hAnsi="Times New Roman" w:cs="Times New Roman"/>
          <w:i/>
        </w:rPr>
        <w:t>Probate &amp; Property, 26</w:t>
      </w:r>
      <w:r w:rsidRPr="009B0448">
        <w:rPr>
          <w:rFonts w:ascii="Times New Roman" w:eastAsia="Times New Roman" w:hAnsi="Times New Roman" w:cs="Times New Roman"/>
        </w:rPr>
        <w:t>(3), 44–49. ISSN 01640372.</w:t>
      </w:r>
    </w:p>
    <w:p w14:paraId="2FA74DA2"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Stöhr, C., Lundholm, C., Crona, B., &amp; Chabay, I. (2014). Stakeholder participation and sustainable fisheries: an integrative framework for assessing adaptive co-management processes. </w:t>
      </w:r>
      <w:r w:rsidRPr="009B0448">
        <w:rPr>
          <w:rFonts w:ascii="Times New Roman" w:hAnsi="Times New Roman" w:cs="Times New Roman"/>
          <w:i/>
          <w:iCs/>
        </w:rPr>
        <w:t>Ecology and Society,</w:t>
      </w:r>
      <w:r w:rsidRPr="009B0448">
        <w:rPr>
          <w:rFonts w:ascii="Times New Roman" w:hAnsi="Times New Roman" w:cs="Times New Roman"/>
        </w:rPr>
        <w:t xml:space="preserve"> </w:t>
      </w:r>
      <w:r w:rsidRPr="009B0448">
        <w:rPr>
          <w:rFonts w:ascii="Times New Roman" w:hAnsi="Times New Roman" w:cs="Times New Roman"/>
          <w:i/>
        </w:rPr>
        <w:t>19</w:t>
      </w:r>
      <w:r w:rsidRPr="009B0448">
        <w:rPr>
          <w:rFonts w:ascii="Times New Roman" w:hAnsi="Times New Roman" w:cs="Times New Roman"/>
        </w:rPr>
        <w:t xml:space="preserve">(3), 14. </w:t>
      </w:r>
      <w:hyperlink r:id="rId1971" w:history="1">
        <w:r w:rsidRPr="009B0448">
          <w:rPr>
            <w:rStyle w:val="Hyperlink"/>
            <w:rFonts w:ascii="Times New Roman" w:hAnsi="Times New Roman" w:cs="Times New Roman"/>
          </w:rPr>
          <w:t>https://doi.org/10.5751/ES-06638-190314</w:t>
        </w:r>
      </w:hyperlink>
    </w:p>
    <w:p w14:paraId="405A1798"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Stringer, L. C., Dougill, A. J., Dyer, J. C., Vincent, K., Fritzsche, F., Leventon, J., Falcão, M. P., Manyakaidze, P., Syampungani, S., Powell, P., &amp; Kalaba, G. (2014). Advancing climate compatible development: lessons from southern Africa. </w:t>
      </w:r>
      <w:r w:rsidRPr="009B0448">
        <w:rPr>
          <w:rFonts w:ascii="Times New Roman" w:hAnsi="Times New Roman" w:cs="Times New Roman"/>
          <w:i/>
          <w:iCs/>
        </w:rPr>
        <w:t>Regional Environmental Change</w:t>
      </w:r>
      <w:r w:rsidRPr="009B0448">
        <w:rPr>
          <w:rFonts w:ascii="Times New Roman" w:hAnsi="Times New Roman" w:cs="Times New Roman"/>
        </w:rPr>
        <w:t xml:space="preserve">, </w:t>
      </w:r>
      <w:r w:rsidRPr="009B0448">
        <w:rPr>
          <w:rFonts w:ascii="Times New Roman" w:hAnsi="Times New Roman" w:cs="Times New Roman"/>
          <w:i/>
        </w:rPr>
        <w:t>14</w:t>
      </w:r>
      <w:r w:rsidRPr="009B0448">
        <w:rPr>
          <w:rFonts w:ascii="Times New Roman" w:hAnsi="Times New Roman" w:cs="Times New Roman"/>
        </w:rPr>
        <w:t xml:space="preserve">(2), 713–725. </w:t>
      </w:r>
      <w:hyperlink r:id="rId1972" w:history="1">
        <w:r w:rsidRPr="009B0448">
          <w:rPr>
            <w:rStyle w:val="Hyperlink"/>
            <w:rFonts w:ascii="Times New Roman" w:hAnsi="Times New Roman" w:cs="Times New Roman"/>
          </w:rPr>
          <w:t>https://doi.org/10.1007/s10113-013-0533-4</w:t>
        </w:r>
      </w:hyperlink>
    </w:p>
    <w:p w14:paraId="5B47F098"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Stringer, L. C., Dougill, A. J., Mkwambisi, D. D., Dyer, J. C., Kalaba, F. K., &amp; Mngoli, M. (2012). Challenges and opportunities for carbon management in Malawi and Zambia. </w:t>
      </w:r>
      <w:r w:rsidRPr="009B0448">
        <w:rPr>
          <w:rFonts w:ascii="Times New Roman" w:hAnsi="Times New Roman" w:cs="Times New Roman"/>
          <w:i/>
          <w:iCs/>
        </w:rPr>
        <w:t>Carbon Management</w:t>
      </w:r>
      <w:r w:rsidRPr="009B0448">
        <w:rPr>
          <w:rFonts w:ascii="Times New Roman" w:hAnsi="Times New Roman" w:cs="Times New Roman"/>
        </w:rPr>
        <w:t xml:space="preserve">, </w:t>
      </w:r>
      <w:r w:rsidRPr="009B0448">
        <w:rPr>
          <w:rFonts w:ascii="Times New Roman" w:hAnsi="Times New Roman" w:cs="Times New Roman"/>
          <w:i/>
        </w:rPr>
        <w:t>3</w:t>
      </w:r>
      <w:r w:rsidRPr="009B0448">
        <w:rPr>
          <w:rFonts w:ascii="Times New Roman" w:hAnsi="Times New Roman" w:cs="Times New Roman"/>
        </w:rPr>
        <w:t xml:space="preserve">(2), 159–173. </w:t>
      </w:r>
      <w:hyperlink r:id="rId1973" w:history="1">
        <w:r w:rsidRPr="009B0448">
          <w:rPr>
            <w:rStyle w:val="Hyperlink"/>
            <w:rFonts w:ascii="Times New Roman" w:hAnsi="Times New Roman" w:cs="Times New Roman"/>
          </w:rPr>
          <w:t>https://doi.org/10.4155/cmt.12.14</w:t>
        </w:r>
      </w:hyperlink>
    </w:p>
    <w:p w14:paraId="71E5D0E8"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Stringer, L. C., Dyer, J., Reed, M. S., Dougill, A. J., Twyman, C., &amp; Mkwambisi, D. (2009). Adaptations to climate change, drought and desertification: insights to enhance policy in southern Africa. </w:t>
      </w:r>
      <w:r w:rsidRPr="009B0448">
        <w:rPr>
          <w:rFonts w:ascii="Times New Roman" w:hAnsi="Times New Roman" w:cs="Times New Roman"/>
          <w:i/>
          <w:iCs/>
        </w:rPr>
        <w:t>Environmental Science and Policy</w:t>
      </w:r>
      <w:r w:rsidRPr="009B0448">
        <w:rPr>
          <w:rFonts w:ascii="Times New Roman" w:hAnsi="Times New Roman" w:cs="Times New Roman"/>
        </w:rPr>
        <w:t xml:space="preserve">, </w:t>
      </w:r>
      <w:r w:rsidRPr="009B0448">
        <w:rPr>
          <w:rFonts w:ascii="Times New Roman" w:hAnsi="Times New Roman" w:cs="Times New Roman"/>
          <w:i/>
        </w:rPr>
        <w:t>12</w:t>
      </w:r>
      <w:r w:rsidRPr="009B0448">
        <w:rPr>
          <w:rFonts w:ascii="Times New Roman" w:hAnsi="Times New Roman" w:cs="Times New Roman"/>
        </w:rPr>
        <w:t xml:space="preserve">, 748–765. </w:t>
      </w:r>
      <w:hyperlink r:id="rId1974" w:history="1">
        <w:r w:rsidRPr="009B0448">
          <w:rPr>
            <w:rStyle w:val="Hyperlink"/>
            <w:rFonts w:ascii="Times New Roman" w:hAnsi="Times New Roman" w:cs="Times New Roman"/>
          </w:rPr>
          <w:t>https://doi.org/10.1016/j.envsci.2009.04.002</w:t>
        </w:r>
      </w:hyperlink>
    </w:p>
    <w:p w14:paraId="188C3E62"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Stringer, L. C., Reed, M. S., Fleskens, L., Thomas, R. J., Le, Q. B., &amp; Lala</w:t>
      </w:r>
      <w:r w:rsidRPr="009B0448">
        <w:rPr>
          <w:rFonts w:ascii="Cambria Math" w:hAnsi="Cambria Math" w:cs="Cambria Math"/>
        </w:rPr>
        <w:t>‐</w:t>
      </w:r>
      <w:r w:rsidRPr="009B0448">
        <w:rPr>
          <w:rFonts w:ascii="Times New Roman" w:hAnsi="Times New Roman" w:cs="Times New Roman"/>
        </w:rPr>
        <w:t xml:space="preserve">Pritchard, T. (2017). A new dryland development paradigm grounded in empirical analysis of dryland systems science. </w:t>
      </w:r>
      <w:r w:rsidRPr="009B0448">
        <w:rPr>
          <w:rFonts w:ascii="Times New Roman" w:hAnsi="Times New Roman" w:cs="Times New Roman"/>
          <w:i/>
        </w:rPr>
        <w:t>Land Degradation &amp; Development, 28</w:t>
      </w:r>
      <w:r w:rsidRPr="009B0448">
        <w:rPr>
          <w:rFonts w:ascii="Times New Roman" w:hAnsi="Times New Roman" w:cs="Times New Roman"/>
        </w:rPr>
        <w:t xml:space="preserve">, 1952–1961. </w:t>
      </w:r>
      <w:hyperlink r:id="rId1975" w:history="1">
        <w:r w:rsidRPr="009B0448">
          <w:rPr>
            <w:rStyle w:val="Hyperlink"/>
            <w:rFonts w:ascii="Times New Roman" w:hAnsi="Times New Roman" w:cs="Times New Roman"/>
          </w:rPr>
          <w:t>https://doi.org/10.1002/ldr.2716</w:t>
        </w:r>
      </w:hyperlink>
    </w:p>
    <w:p w14:paraId="5741F0D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Stringer, L. C., Twyman, C., &amp; Thomas, D. S. G. (2007). Combating land degradation through participatory means: the case of Swaziland. </w:t>
      </w:r>
      <w:r w:rsidRPr="009B0448">
        <w:rPr>
          <w:rFonts w:ascii="Times New Roman" w:hAnsi="Times New Roman" w:cs="Times New Roman"/>
          <w:i/>
          <w:iCs/>
        </w:rPr>
        <w:t>Ambio</w:t>
      </w:r>
      <w:r w:rsidRPr="009B0448">
        <w:rPr>
          <w:rFonts w:ascii="Times New Roman" w:hAnsi="Times New Roman" w:cs="Times New Roman"/>
        </w:rPr>
        <w:t xml:space="preserve">, </w:t>
      </w:r>
      <w:r w:rsidRPr="009B0448">
        <w:rPr>
          <w:rFonts w:ascii="Times New Roman" w:hAnsi="Times New Roman" w:cs="Times New Roman"/>
          <w:i/>
        </w:rPr>
        <w:t>36</w:t>
      </w:r>
      <w:r w:rsidRPr="009B0448">
        <w:rPr>
          <w:rFonts w:ascii="Times New Roman" w:hAnsi="Times New Roman" w:cs="Times New Roman"/>
        </w:rPr>
        <w:t xml:space="preserve">, 387–393. </w:t>
      </w:r>
      <w:hyperlink r:id="rId1976" w:history="1">
        <w:r w:rsidRPr="009B0448">
          <w:rPr>
            <w:rStyle w:val="Hyperlink"/>
            <w:rFonts w:ascii="Times New Roman" w:hAnsi="Times New Roman" w:cs="Times New Roman"/>
          </w:rPr>
          <w:t>https://doi.org/10.1579/0044-7447(2007)36[387:CLDTPM]2.0.CO;2</w:t>
        </w:r>
      </w:hyperlink>
    </w:p>
    <w:p w14:paraId="17C2687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Suich, H. (2013). The effectiveness of economic incentives for sustaining community based natural resource management. </w:t>
      </w:r>
      <w:r w:rsidRPr="009B0448">
        <w:rPr>
          <w:rFonts w:ascii="Times New Roman" w:hAnsi="Times New Roman" w:cs="Times New Roman"/>
          <w:i/>
          <w:iCs/>
        </w:rPr>
        <w:t>Land Use Policy</w:t>
      </w:r>
      <w:r w:rsidRPr="009B0448">
        <w:rPr>
          <w:rFonts w:ascii="Times New Roman" w:hAnsi="Times New Roman" w:cs="Times New Roman"/>
        </w:rPr>
        <w:t xml:space="preserve">, </w:t>
      </w:r>
      <w:r w:rsidRPr="009B0448">
        <w:rPr>
          <w:rFonts w:ascii="Times New Roman" w:hAnsi="Times New Roman" w:cs="Times New Roman"/>
          <w:i/>
          <w:color w:val="auto"/>
        </w:rPr>
        <w:t>31</w:t>
      </w:r>
      <w:r w:rsidRPr="009B0448">
        <w:rPr>
          <w:rFonts w:ascii="Times New Roman" w:hAnsi="Times New Roman" w:cs="Times New Roman"/>
          <w:i/>
        </w:rPr>
        <w:t>,</w:t>
      </w:r>
      <w:r w:rsidRPr="009B0448">
        <w:rPr>
          <w:rFonts w:ascii="Times New Roman" w:hAnsi="Times New Roman" w:cs="Times New Roman"/>
        </w:rPr>
        <w:t xml:space="preserve"> 441–449. </w:t>
      </w:r>
      <w:hyperlink r:id="rId1977" w:history="1">
        <w:r w:rsidRPr="009B0448">
          <w:rPr>
            <w:rStyle w:val="Hyperlink"/>
            <w:rFonts w:ascii="Times New Roman" w:hAnsi="Times New Roman" w:cs="Times New Roman"/>
          </w:rPr>
          <w:t>https://doi.org/10.1016/j.landusepol.2012.08.008</w:t>
        </w:r>
      </w:hyperlink>
    </w:p>
    <w:p w14:paraId="182F563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Tengö, M., Brondizio, E. S., Elmqvist, T., Malmer, P., &amp; Spierenburg, M. (2014). Connecting diverse knowledge systems for enhanced ecosystem governance: The multiple evidence base approach. </w:t>
      </w:r>
      <w:r w:rsidRPr="009B0448">
        <w:rPr>
          <w:rFonts w:ascii="Times New Roman" w:hAnsi="Times New Roman" w:cs="Times New Roman"/>
          <w:i/>
          <w:iCs/>
        </w:rPr>
        <w:t>Ambio, 43</w:t>
      </w:r>
      <w:r w:rsidRPr="009B0448">
        <w:rPr>
          <w:rFonts w:ascii="Times New Roman" w:hAnsi="Times New Roman" w:cs="Times New Roman"/>
        </w:rPr>
        <w:t xml:space="preserve">, 579–591. </w:t>
      </w:r>
      <w:hyperlink r:id="rId1978" w:history="1">
        <w:r w:rsidRPr="009B0448">
          <w:rPr>
            <w:rStyle w:val="Hyperlink"/>
            <w:rFonts w:ascii="Times New Roman" w:hAnsi="Times New Roman" w:cs="Times New Roman"/>
          </w:rPr>
          <w:t>https://doi.org/10.1007/s13280-014-0501-3</w:t>
        </w:r>
      </w:hyperlink>
    </w:p>
    <w:p w14:paraId="6B0AFE1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Termeer, C., Dewulf, A., &amp; Lieshout, M. (2010). Disentangling scale approaches in governance research: comparing monocentric, multilevel, and adaptive governance. </w:t>
      </w:r>
      <w:r w:rsidRPr="009B0448">
        <w:rPr>
          <w:rFonts w:ascii="Times New Roman" w:hAnsi="Times New Roman" w:cs="Times New Roman"/>
          <w:i/>
          <w:iCs/>
        </w:rPr>
        <w:t>Ecology and Society</w:t>
      </w:r>
      <w:r w:rsidRPr="009B0448">
        <w:rPr>
          <w:rFonts w:ascii="Times New Roman" w:hAnsi="Times New Roman" w:cs="Times New Roman"/>
        </w:rPr>
        <w:t xml:space="preserve">, </w:t>
      </w:r>
      <w:r w:rsidRPr="009B0448">
        <w:rPr>
          <w:rFonts w:ascii="Times New Roman" w:hAnsi="Times New Roman" w:cs="Times New Roman"/>
          <w:i/>
          <w:iCs/>
        </w:rPr>
        <w:t>15</w:t>
      </w:r>
      <w:r w:rsidRPr="009B0448">
        <w:rPr>
          <w:rFonts w:ascii="Times New Roman" w:hAnsi="Times New Roman" w:cs="Times New Roman"/>
        </w:rPr>
        <w:t xml:space="preserve">(4). Retrieved from </w:t>
      </w:r>
      <w:hyperlink r:id="rId1979" w:history="1">
        <w:r w:rsidRPr="009B0448">
          <w:rPr>
            <w:rStyle w:val="Hyperlink"/>
            <w:rFonts w:ascii="Times New Roman" w:hAnsi="Times New Roman" w:cs="Times New Roman"/>
          </w:rPr>
          <w:t>http://www.ecologyandsociety.org/vol15/iss4/art29/</w:t>
        </w:r>
      </w:hyperlink>
    </w:p>
    <w:p w14:paraId="1FC22267" w14:textId="77777777" w:rsidR="001D0597" w:rsidRPr="009B0448" w:rsidRDefault="001D0597" w:rsidP="009F0016">
      <w:pPr>
        <w:spacing w:after="120" w:line="276" w:lineRule="auto"/>
        <w:ind w:left="567" w:hanging="567"/>
        <w:rPr>
          <w:rFonts w:ascii="Times New Roman" w:hAnsi="Times New Roman" w:cs="Times New Roman"/>
          <w:lang w:val="en-US"/>
        </w:rPr>
      </w:pPr>
      <w:bookmarkStart w:id="572" w:name="_ENREF_39"/>
      <w:r w:rsidRPr="009B0448">
        <w:rPr>
          <w:rFonts w:ascii="Times New Roman" w:hAnsi="Times New Roman" w:cs="Times New Roman"/>
          <w:lang w:val="en-US"/>
        </w:rPr>
        <w:t xml:space="preserve">Tesfay, Y. &amp; Tafere, K. (2004). </w:t>
      </w:r>
      <w:r w:rsidRPr="009B0448">
        <w:rPr>
          <w:rFonts w:ascii="Times New Roman" w:hAnsi="Times New Roman" w:cs="Times New Roman"/>
          <w:i/>
          <w:lang w:val="en-US"/>
        </w:rPr>
        <w:t>Indigenous rangeland resources and conflict management by the North Afar pastoral groups in Ethiopia.</w:t>
      </w:r>
      <w:r w:rsidRPr="009B0448">
        <w:rPr>
          <w:rFonts w:ascii="Times New Roman" w:hAnsi="Times New Roman" w:cs="Times New Roman"/>
          <w:lang w:val="en-US"/>
        </w:rPr>
        <w:t xml:space="preserve"> DCG Report No.31.</w:t>
      </w:r>
      <w:bookmarkEnd w:id="572"/>
      <w:r w:rsidRPr="009B0448">
        <w:rPr>
          <w:rFonts w:ascii="Times New Roman" w:hAnsi="Times New Roman" w:cs="Times New Roman"/>
          <w:lang w:val="en-US"/>
        </w:rPr>
        <w:t xml:space="preserve"> Ethiopia: </w:t>
      </w:r>
      <w:r w:rsidRPr="009B0448">
        <w:rPr>
          <w:rFonts w:ascii="Times New Roman" w:hAnsi="Times New Roman" w:cs="Times New Roman"/>
        </w:rPr>
        <w:t>Drylands Coordination Group</w:t>
      </w:r>
      <w:r w:rsidRPr="009B0448">
        <w:rPr>
          <w:rFonts w:ascii="Times New Roman" w:hAnsi="Times New Roman" w:cs="Times New Roman"/>
          <w:lang w:val="en-US"/>
        </w:rPr>
        <w:t xml:space="preserve">. Retrieved from </w:t>
      </w:r>
      <w:hyperlink r:id="rId1980" w:history="1">
        <w:r w:rsidRPr="009B0448">
          <w:rPr>
            <w:rStyle w:val="Hyperlink"/>
            <w:rFonts w:ascii="Times New Roman" w:hAnsi="Times New Roman" w:cs="Times New Roman"/>
            <w:lang w:val="en-US"/>
          </w:rPr>
          <w:t>http://www.drylands-group.org/noop/file.php?id=319</w:t>
        </w:r>
      </w:hyperlink>
    </w:p>
    <w:p w14:paraId="75AE9ADD" w14:textId="77777777" w:rsidR="001D0597" w:rsidRPr="009B0448" w:rsidRDefault="001D0597" w:rsidP="009F0016">
      <w:pPr>
        <w:spacing w:after="120" w:line="276" w:lineRule="auto"/>
        <w:ind w:left="567" w:hanging="567"/>
        <w:rPr>
          <w:rFonts w:ascii="Times New Roman" w:hAnsi="Times New Roman" w:cs="Times New Roman"/>
          <w:lang w:val="en-US"/>
        </w:rPr>
      </w:pPr>
      <w:r w:rsidRPr="009B0448">
        <w:rPr>
          <w:rFonts w:ascii="Times New Roman" w:hAnsi="Times New Roman" w:cs="Times New Roman"/>
          <w:lang w:val="en-US"/>
        </w:rPr>
        <w:t xml:space="preserve">Tietenberg, T. (2003). The tradable-permits approach to protecting the commons: Lessons for climate change. </w:t>
      </w:r>
      <w:r w:rsidRPr="009B0448">
        <w:rPr>
          <w:rFonts w:ascii="Times New Roman" w:hAnsi="Times New Roman" w:cs="Times New Roman"/>
          <w:i/>
          <w:lang w:val="en-US"/>
        </w:rPr>
        <w:t>Oxford Review of Economic Policy</w:t>
      </w:r>
      <w:r w:rsidRPr="009B0448">
        <w:rPr>
          <w:rFonts w:ascii="Times New Roman" w:hAnsi="Times New Roman" w:cs="Times New Roman"/>
          <w:lang w:val="en-US"/>
        </w:rPr>
        <w:t xml:space="preserve">, </w:t>
      </w:r>
      <w:r w:rsidRPr="009B0448">
        <w:rPr>
          <w:rFonts w:ascii="Times New Roman" w:hAnsi="Times New Roman" w:cs="Times New Roman"/>
          <w:i/>
          <w:lang w:val="en-US"/>
        </w:rPr>
        <w:t>19</w:t>
      </w:r>
      <w:r w:rsidRPr="009B0448">
        <w:rPr>
          <w:rFonts w:ascii="Times New Roman" w:hAnsi="Times New Roman" w:cs="Times New Roman"/>
          <w:lang w:val="en-US"/>
        </w:rPr>
        <w:t xml:space="preserve">(3), 400–419. </w:t>
      </w:r>
      <w:hyperlink r:id="rId1981" w:history="1">
        <w:r w:rsidRPr="009B0448">
          <w:rPr>
            <w:rStyle w:val="Hyperlink"/>
            <w:rFonts w:ascii="Times New Roman" w:hAnsi="Times New Roman" w:cs="Times New Roman"/>
            <w:lang w:val="en-US"/>
          </w:rPr>
          <w:t>https://doi.org/10.1093/oxrep/19.3.400</w:t>
        </w:r>
      </w:hyperlink>
    </w:p>
    <w:p w14:paraId="4677FB22"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Tingle, J. L. (2012). Field observations on the behavioural ecology of the Madagascan Leaf-Nosed Snake, </w:t>
      </w:r>
      <w:r w:rsidRPr="009B0448">
        <w:rPr>
          <w:rFonts w:ascii="Times New Roman" w:hAnsi="Times New Roman" w:cs="Times New Roman"/>
          <w:i/>
        </w:rPr>
        <w:t>Langaha madagascariensis</w:t>
      </w:r>
      <w:r w:rsidRPr="009B0448">
        <w:rPr>
          <w:rFonts w:ascii="Times New Roman" w:hAnsi="Times New Roman" w:cs="Times New Roman"/>
        </w:rPr>
        <w:t xml:space="preserve">. </w:t>
      </w:r>
      <w:r w:rsidRPr="009B0448">
        <w:rPr>
          <w:rFonts w:ascii="Times New Roman" w:hAnsi="Times New Roman" w:cs="Times New Roman"/>
          <w:i/>
          <w:iCs/>
        </w:rPr>
        <w:t>Herpetological Conservation &amp; Biology</w:t>
      </w:r>
      <w:r w:rsidRPr="009B0448">
        <w:rPr>
          <w:rFonts w:ascii="Times New Roman" w:hAnsi="Times New Roman" w:cs="Times New Roman"/>
        </w:rPr>
        <w:t xml:space="preserve">, </w:t>
      </w:r>
      <w:r w:rsidRPr="009B0448">
        <w:rPr>
          <w:rFonts w:ascii="Times New Roman" w:hAnsi="Times New Roman" w:cs="Times New Roman"/>
          <w:i/>
          <w:iCs/>
        </w:rPr>
        <w:t>7</w:t>
      </w:r>
      <w:r w:rsidRPr="009B0448">
        <w:rPr>
          <w:rFonts w:ascii="Times New Roman" w:hAnsi="Times New Roman" w:cs="Times New Roman"/>
        </w:rPr>
        <w:t xml:space="preserve">, 442–448. Retrieved from </w:t>
      </w:r>
      <w:hyperlink r:id="rId1982" w:history="1">
        <w:r w:rsidRPr="009B0448">
          <w:rPr>
            <w:rStyle w:val="Hyperlink"/>
            <w:rFonts w:ascii="Times New Roman" w:hAnsi="Times New Roman" w:cs="Times New Roman"/>
          </w:rPr>
          <w:t>http://herpconbio.org/Volume_7/Issue_3/Tingle_2012.pdf</w:t>
        </w:r>
      </w:hyperlink>
    </w:p>
    <w:p w14:paraId="03EA2218"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Toth, F. L. (2004). </w:t>
      </w:r>
      <w:r w:rsidRPr="009B0448">
        <w:rPr>
          <w:rFonts w:ascii="Times New Roman" w:hAnsi="Times New Roman" w:cs="Times New Roman"/>
          <w:i/>
          <w:iCs/>
        </w:rPr>
        <w:t>Environmental management: from assessment to decision making</w:t>
      </w:r>
      <w:r w:rsidRPr="009B0448">
        <w:rPr>
          <w:rFonts w:ascii="Times New Roman" w:hAnsi="Times New Roman" w:cs="Times New Roman"/>
        </w:rPr>
        <w:t xml:space="preserve">. Interim report IP04-076 IIASA, Laxenburg, Austria: IIASA. Retrieved from </w:t>
      </w:r>
      <w:hyperlink r:id="rId1983" w:history="1">
        <w:r w:rsidRPr="009B0448">
          <w:rPr>
            <w:rStyle w:val="Hyperlink"/>
            <w:rFonts w:ascii="Times New Roman" w:hAnsi="Times New Roman" w:cs="Times New Roman"/>
          </w:rPr>
          <w:t>http://pure.iiasa.ac.at/7374/1/IR-04-076.pdf</w:t>
        </w:r>
      </w:hyperlink>
    </w:p>
    <w:p w14:paraId="482AA4EC"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Trimble, M. (2015, March). </w:t>
      </w:r>
      <w:r w:rsidRPr="009B0448">
        <w:rPr>
          <w:rFonts w:ascii="Times New Roman" w:hAnsi="Times New Roman" w:cs="Times New Roman"/>
          <w:i/>
        </w:rPr>
        <w:t>Private sector to the rescue? Malawi’s changing conservation landscape</w:t>
      </w:r>
      <w:r w:rsidRPr="009B0448">
        <w:rPr>
          <w:rFonts w:ascii="Times New Roman" w:hAnsi="Times New Roman" w:cs="Times New Roman"/>
        </w:rPr>
        <w:t xml:space="preserve">. Retrieved from </w:t>
      </w:r>
      <w:hyperlink r:id="rId1984" w:history="1">
        <w:r w:rsidRPr="009B0448">
          <w:rPr>
            <w:rStyle w:val="Hyperlink"/>
            <w:rFonts w:ascii="Times New Roman" w:hAnsi="Times New Roman" w:cs="Times New Roman"/>
          </w:rPr>
          <w:t>http://contributoria.com/issue/2015-03/54a4f91991e4fdad46000007.html</w:t>
        </w:r>
      </w:hyperlink>
    </w:p>
    <w:p w14:paraId="2705C009"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Tripathi, N., &amp; Bhattarya, S. (2004). Integrating indigenous knowledge and GIS for the participatory natural resource management: State-of-the-practice. </w:t>
      </w:r>
      <w:r w:rsidRPr="009B0448">
        <w:rPr>
          <w:rFonts w:ascii="Times New Roman" w:hAnsi="Times New Roman" w:cs="Times New Roman"/>
          <w:i/>
          <w:iCs/>
        </w:rPr>
        <w:t>The Electronic Journal on Information Systems in Developing Countries, 17</w:t>
      </w:r>
      <w:r w:rsidRPr="009B0448">
        <w:rPr>
          <w:rFonts w:ascii="Times New Roman" w:hAnsi="Times New Roman" w:cs="Times New Roman"/>
        </w:rPr>
        <w:t xml:space="preserve">(3), 1–13. </w:t>
      </w:r>
      <w:hyperlink r:id="rId1985" w:history="1">
        <w:r w:rsidRPr="009B0448">
          <w:rPr>
            <w:rStyle w:val="Hyperlink"/>
            <w:rFonts w:ascii="Times New Roman" w:hAnsi="Times New Roman" w:cs="Times New Roman"/>
          </w:rPr>
          <w:t>https://doi.org/10.1002/j.1681-4835.2004.tb00112.x</w:t>
        </w:r>
      </w:hyperlink>
    </w:p>
    <w:p w14:paraId="22A4EBFE" w14:textId="77777777" w:rsidR="001D0597" w:rsidRPr="009B0448" w:rsidRDefault="001D0597" w:rsidP="009F0016">
      <w:pPr>
        <w:spacing w:after="120" w:line="276" w:lineRule="auto"/>
        <w:ind w:left="567" w:hanging="567"/>
        <w:rPr>
          <w:rFonts w:ascii="Times New Roman" w:hAnsi="Times New Roman" w:cs="Times New Roman"/>
          <w:lang w:val="en-US"/>
        </w:rPr>
      </w:pPr>
      <w:r w:rsidRPr="009B0448">
        <w:rPr>
          <w:rFonts w:ascii="Times New Roman" w:hAnsi="Times New Roman" w:cs="Times New Roman"/>
          <w:lang w:val="en-US"/>
        </w:rPr>
        <w:t xml:space="preserve">Tsegaye, D., Moe, S. R., &amp; Haile, M. (2009). Livestock browsing, not water limitations, contributes to recruitment failure of </w:t>
      </w:r>
      <w:r w:rsidRPr="009B0448">
        <w:rPr>
          <w:rFonts w:ascii="Times New Roman" w:hAnsi="Times New Roman" w:cs="Times New Roman"/>
          <w:i/>
          <w:lang w:val="en-US"/>
        </w:rPr>
        <w:t>Dobera glabra</w:t>
      </w:r>
      <w:r w:rsidRPr="009B0448">
        <w:rPr>
          <w:rFonts w:ascii="Times New Roman" w:hAnsi="Times New Roman" w:cs="Times New Roman"/>
          <w:lang w:val="en-US"/>
        </w:rPr>
        <w:t xml:space="preserve"> in semiarid Ethiopia. </w:t>
      </w:r>
      <w:r w:rsidRPr="009B0448">
        <w:rPr>
          <w:rFonts w:ascii="Times New Roman" w:hAnsi="Times New Roman" w:cs="Times New Roman"/>
          <w:i/>
          <w:lang w:val="en-US"/>
        </w:rPr>
        <w:t>Rangeland Ecology &amp; Management,</w:t>
      </w:r>
      <w:r w:rsidRPr="009B0448">
        <w:rPr>
          <w:rFonts w:ascii="Times New Roman" w:hAnsi="Times New Roman" w:cs="Times New Roman"/>
          <w:lang w:val="en-US"/>
        </w:rPr>
        <w:t xml:space="preserve"> </w:t>
      </w:r>
      <w:r w:rsidRPr="009B0448">
        <w:rPr>
          <w:rFonts w:ascii="Times New Roman" w:hAnsi="Times New Roman" w:cs="Times New Roman"/>
          <w:i/>
          <w:lang w:val="en-US"/>
        </w:rPr>
        <w:t>62</w:t>
      </w:r>
      <w:r w:rsidRPr="009B0448">
        <w:rPr>
          <w:rFonts w:ascii="Times New Roman" w:hAnsi="Times New Roman" w:cs="Times New Roman"/>
          <w:lang w:val="en-US"/>
        </w:rPr>
        <w:t xml:space="preserve">, 540–549. </w:t>
      </w:r>
      <w:hyperlink r:id="rId1986" w:history="1">
        <w:r w:rsidRPr="009B0448">
          <w:rPr>
            <w:rStyle w:val="Hyperlink"/>
            <w:rFonts w:ascii="Times New Roman" w:hAnsi="Times New Roman" w:cs="Times New Roman"/>
            <w:lang w:val="en-US"/>
          </w:rPr>
          <w:t>https://doi.org/10.2111/08-219.1</w:t>
        </w:r>
      </w:hyperlink>
    </w:p>
    <w:p w14:paraId="2BFE3722"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UN </w:t>
      </w:r>
      <w:r w:rsidRPr="009B0448">
        <w:rPr>
          <w:rFonts w:ascii="Times New Roman" w:eastAsia="Times New Roman" w:hAnsi="Times New Roman" w:cs="Times New Roman"/>
          <w:lang w:val="en-ZA" w:eastAsia="en-GB"/>
        </w:rPr>
        <w:t>(United Nations).</w:t>
      </w:r>
      <w:r w:rsidRPr="009B0448">
        <w:rPr>
          <w:rFonts w:ascii="Times New Roman" w:hAnsi="Times New Roman" w:cs="Times New Roman"/>
        </w:rPr>
        <w:t xml:space="preserve"> (1992). </w:t>
      </w:r>
      <w:r w:rsidRPr="009B0448">
        <w:rPr>
          <w:rFonts w:ascii="Times New Roman" w:hAnsi="Times New Roman" w:cs="Times New Roman"/>
          <w:i/>
        </w:rPr>
        <w:t>United Nations Framework Convention on Climate Change.</w:t>
      </w:r>
      <w:r w:rsidRPr="009B0448">
        <w:rPr>
          <w:rFonts w:ascii="Times New Roman" w:hAnsi="Times New Roman" w:cs="Times New Roman"/>
        </w:rPr>
        <w:t xml:space="preserve"> United Nations. Retrieved from </w:t>
      </w:r>
      <w:hyperlink r:id="rId1987" w:history="1">
        <w:r w:rsidRPr="009B0448">
          <w:rPr>
            <w:rStyle w:val="Hyperlink"/>
            <w:rFonts w:ascii="Times New Roman" w:hAnsi="Times New Roman" w:cs="Times New Roman"/>
          </w:rPr>
          <w:t>http://unfccc.int/files/essential_background/background_publications_htmlpdf/application/pdf/conveng.pdf</w:t>
        </w:r>
      </w:hyperlink>
    </w:p>
    <w:p w14:paraId="5295CE3F"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UN </w:t>
      </w:r>
      <w:r w:rsidRPr="009B0448">
        <w:rPr>
          <w:rFonts w:ascii="Times New Roman" w:eastAsia="Times New Roman" w:hAnsi="Times New Roman" w:cs="Times New Roman"/>
          <w:lang w:val="en-ZA" w:eastAsia="en-GB"/>
        </w:rPr>
        <w:t>(United Nations).</w:t>
      </w:r>
      <w:r w:rsidRPr="009B0448">
        <w:rPr>
          <w:rFonts w:ascii="Times New Roman" w:hAnsi="Times New Roman" w:cs="Times New Roman"/>
        </w:rPr>
        <w:t xml:space="preserve"> (1995). </w:t>
      </w:r>
      <w:r w:rsidRPr="009B0448">
        <w:rPr>
          <w:rFonts w:ascii="Times New Roman" w:hAnsi="Times New Roman" w:cs="Times New Roman"/>
          <w:i/>
        </w:rPr>
        <w:t>Agreement for the implementation of the provisions of the united nations convention on the law of the sea of 10 December 1982 relating to the conservation and management of straddling fish stocks and highly migratory fish stocks</w:t>
      </w:r>
      <w:r w:rsidRPr="009B0448">
        <w:rPr>
          <w:rFonts w:ascii="Times New Roman" w:hAnsi="Times New Roman" w:cs="Times New Roman"/>
        </w:rPr>
        <w:t xml:space="preserve">. A/CONF.164/37. United Nations. Retrieved from </w:t>
      </w:r>
      <w:hyperlink r:id="rId1988" w:history="1">
        <w:r w:rsidRPr="009B0448">
          <w:rPr>
            <w:rStyle w:val="Hyperlink"/>
            <w:rFonts w:ascii="Times New Roman" w:hAnsi="Times New Roman" w:cs="Times New Roman"/>
          </w:rPr>
          <w:t>http://www.un.org/depts/los/convention_agreements/texts/fish_stocks_agreement/CONF164_37.htm</w:t>
        </w:r>
      </w:hyperlink>
    </w:p>
    <w:p w14:paraId="581617E2" w14:textId="77777777" w:rsidR="001D0597" w:rsidRPr="009B0448" w:rsidRDefault="001D0597" w:rsidP="009F0016">
      <w:pPr>
        <w:spacing w:after="120" w:line="276" w:lineRule="auto"/>
        <w:ind w:left="567" w:hanging="567"/>
        <w:rPr>
          <w:rFonts w:ascii="Times New Roman" w:hAnsi="Times New Roman" w:cs="Times New Roman"/>
          <w:lang w:val="fr-FR"/>
        </w:rPr>
      </w:pPr>
      <w:r w:rsidRPr="009B0448">
        <w:rPr>
          <w:rFonts w:ascii="Times New Roman" w:hAnsi="Times New Roman" w:cs="Times New Roman"/>
          <w:lang w:val="fr-FR"/>
        </w:rPr>
        <w:t xml:space="preserve">UN </w:t>
      </w:r>
      <w:r w:rsidRPr="009B0448">
        <w:rPr>
          <w:rFonts w:ascii="Times New Roman" w:eastAsia="Times New Roman" w:hAnsi="Times New Roman" w:cs="Times New Roman"/>
          <w:lang w:val="en-ZA" w:eastAsia="en-GB"/>
        </w:rPr>
        <w:t xml:space="preserve">(United Nations). </w:t>
      </w:r>
      <w:r w:rsidRPr="009B0448">
        <w:rPr>
          <w:rFonts w:ascii="Times New Roman" w:hAnsi="Times New Roman" w:cs="Times New Roman"/>
          <w:lang w:val="fr-FR"/>
        </w:rPr>
        <w:t xml:space="preserve">(2008). </w:t>
      </w:r>
      <w:r w:rsidRPr="009B0448">
        <w:rPr>
          <w:rFonts w:ascii="Times New Roman" w:hAnsi="Times New Roman" w:cs="Times New Roman"/>
          <w:i/>
          <w:lang w:val="fr-FR"/>
        </w:rPr>
        <w:t>United Nations Declaration on the Rights of Indigenous Peoples</w:t>
      </w:r>
      <w:r w:rsidRPr="009B0448">
        <w:rPr>
          <w:rFonts w:ascii="Times New Roman" w:hAnsi="Times New Roman" w:cs="Times New Roman"/>
          <w:lang w:val="fr-FR"/>
        </w:rPr>
        <w:t xml:space="preserve">. </w:t>
      </w:r>
      <w:r w:rsidRPr="009B0448">
        <w:rPr>
          <w:rFonts w:ascii="Times New Roman" w:hAnsi="Times New Roman" w:cs="Times New Roman"/>
        </w:rPr>
        <w:t xml:space="preserve">United Nations. </w:t>
      </w:r>
      <w:r w:rsidRPr="009B0448">
        <w:rPr>
          <w:rFonts w:ascii="Times New Roman" w:hAnsi="Times New Roman" w:cs="Times New Roman"/>
          <w:lang w:val="fr-FR"/>
        </w:rPr>
        <w:t xml:space="preserve">Retrieved from </w:t>
      </w:r>
      <w:hyperlink r:id="rId1989" w:history="1">
        <w:r w:rsidRPr="009B0448">
          <w:rPr>
            <w:rStyle w:val="Hyperlink"/>
            <w:rFonts w:ascii="Times New Roman" w:hAnsi="Times New Roman" w:cs="Times New Roman"/>
            <w:lang w:val="fr-FR"/>
          </w:rPr>
          <w:t>http://www.un.org/esa/socdev/unpfii/documents/DRIPS_en.pdf</w:t>
        </w:r>
      </w:hyperlink>
    </w:p>
    <w:p w14:paraId="629F208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UN </w:t>
      </w:r>
      <w:r w:rsidRPr="009B0448">
        <w:rPr>
          <w:rFonts w:ascii="Times New Roman" w:eastAsia="Times New Roman" w:hAnsi="Times New Roman" w:cs="Times New Roman"/>
          <w:lang w:val="en-ZA" w:eastAsia="en-GB"/>
        </w:rPr>
        <w:t xml:space="preserve">(United Nations). </w:t>
      </w:r>
      <w:r w:rsidRPr="009B0448">
        <w:rPr>
          <w:rFonts w:ascii="Times New Roman" w:hAnsi="Times New Roman" w:cs="Times New Roman"/>
        </w:rPr>
        <w:t xml:space="preserve">(2015). </w:t>
      </w:r>
      <w:r w:rsidRPr="009B0448">
        <w:rPr>
          <w:rFonts w:ascii="Times New Roman" w:hAnsi="Times New Roman" w:cs="Times New Roman"/>
          <w:i/>
        </w:rPr>
        <w:t>Transforming our world: The 2030 agenda for sustainable development</w:t>
      </w:r>
      <w:r w:rsidRPr="009B0448">
        <w:rPr>
          <w:rFonts w:ascii="Times New Roman" w:hAnsi="Times New Roman" w:cs="Times New Roman"/>
        </w:rPr>
        <w:t xml:space="preserve">. A/RES/70/1, 21 October 2015. United Nations. Retrieved from </w:t>
      </w:r>
      <w:hyperlink r:id="rId1990" w:history="1">
        <w:r w:rsidRPr="009B0448">
          <w:rPr>
            <w:rStyle w:val="Hyperlink"/>
            <w:rFonts w:ascii="Times New Roman" w:hAnsi="Times New Roman" w:cs="Times New Roman"/>
          </w:rPr>
          <w:t>https://sustainabledevelopment.un.org/content/documents/21252030%20Agenda%20for%20Sustainable%20Development%20web.pdf</w:t>
        </w:r>
      </w:hyperlink>
    </w:p>
    <w:p w14:paraId="0DAEC1D1"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UNCCD Secretariat. (1994). </w:t>
      </w:r>
      <w:r w:rsidRPr="009B0448">
        <w:rPr>
          <w:rFonts w:ascii="Times New Roman" w:hAnsi="Times New Roman" w:cs="Times New Roman"/>
          <w:i/>
        </w:rPr>
        <w:t>United Nations convention to combat desertification in countries experiencing serious drought and/or desertification, particularly in Africa.</w:t>
      </w:r>
      <w:r w:rsidRPr="009B0448">
        <w:rPr>
          <w:rFonts w:ascii="Times New Roman" w:hAnsi="Times New Roman" w:cs="Times New Roman"/>
        </w:rPr>
        <w:t xml:space="preserve"> Bonn, Germany: Permanent Secretariat UNCCD. Retrieved from </w:t>
      </w:r>
      <w:hyperlink r:id="rId1991" w:history="1">
        <w:r w:rsidRPr="009B0448">
          <w:rPr>
            <w:rStyle w:val="Hyperlink"/>
            <w:rFonts w:ascii="Times New Roman" w:hAnsi="Times New Roman" w:cs="Times New Roman"/>
          </w:rPr>
          <w:t>http://www2.unccd.int/sites/default/files/relevant-links/2017-01/UNCCD_Convention_ENG_0.pdf</w:t>
        </w:r>
      </w:hyperlink>
    </w:p>
    <w:p w14:paraId="044E374F"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UNDP-UNEP. (2013). </w:t>
      </w:r>
      <w:r w:rsidRPr="009B0448">
        <w:rPr>
          <w:rFonts w:ascii="Times New Roman" w:hAnsi="Times New Roman" w:cs="Times New Roman"/>
          <w:i/>
        </w:rPr>
        <w:t>Stories of Change</w:t>
      </w:r>
      <w:r w:rsidRPr="009B0448">
        <w:rPr>
          <w:rFonts w:ascii="Times New Roman" w:hAnsi="Times New Roman" w:cs="Times New Roman"/>
        </w:rPr>
        <w:t xml:space="preserve"> </w:t>
      </w:r>
      <w:r w:rsidRPr="009B0448">
        <w:rPr>
          <w:rFonts w:ascii="Times New Roman" w:hAnsi="Times New Roman" w:cs="Times New Roman"/>
          <w:i/>
        </w:rPr>
        <w:t>from the Joint UNDP-UNEP Poverty Environment Initiative</w:t>
      </w:r>
      <w:r w:rsidRPr="009B0448">
        <w:rPr>
          <w:rFonts w:ascii="Times New Roman" w:hAnsi="Times New Roman" w:cs="Times New Roman"/>
        </w:rPr>
        <w:t xml:space="preserve">. Nairobi, Kenya. Retrieved from </w:t>
      </w:r>
      <w:hyperlink r:id="rId1992" w:history="1">
        <w:r w:rsidRPr="009B0448">
          <w:rPr>
            <w:rStyle w:val="Hyperlink"/>
            <w:rFonts w:ascii="Times New Roman" w:hAnsi="Times New Roman" w:cs="Times New Roman"/>
          </w:rPr>
          <w:t>http://www.unpei.org/sites/default/files/publications/STORIES%20OF%20CHANGE%20PEI_Final%20Signed%20june2013.pdf</w:t>
        </w:r>
      </w:hyperlink>
    </w:p>
    <w:p w14:paraId="47AC9702"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UNECA (2015). </w:t>
      </w:r>
      <w:r w:rsidRPr="009B0448">
        <w:rPr>
          <w:rFonts w:ascii="Times New Roman" w:hAnsi="Times New Roman" w:cs="Times New Roman"/>
          <w:i/>
        </w:rPr>
        <w:t>Integrated assessment methodologies and tools for inclusive green economy analysis in Africa</w:t>
      </w:r>
      <w:r w:rsidRPr="009B0448">
        <w:rPr>
          <w:rFonts w:ascii="Times New Roman" w:hAnsi="Times New Roman" w:cs="Times New Roman"/>
        </w:rPr>
        <w:t xml:space="preserve">. Addis Ababa, Ethiopia: UNECA. Retrieved from </w:t>
      </w:r>
      <w:hyperlink r:id="rId1993" w:history="1">
        <w:r w:rsidRPr="009B0448">
          <w:rPr>
            <w:rStyle w:val="Hyperlink"/>
            <w:rFonts w:ascii="Times New Roman" w:eastAsia="Times New Roman" w:hAnsi="Times New Roman" w:cs="Times New Roman"/>
          </w:rPr>
          <w:t>http://hdl.handle.net/10855/22877</w:t>
        </w:r>
      </w:hyperlink>
    </w:p>
    <w:p w14:paraId="432A023D" w14:textId="77777777" w:rsidR="001D0597" w:rsidRPr="009B0448" w:rsidRDefault="001D0597" w:rsidP="00D04F1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UNEP (United Nations Environment Programme). (2007). </w:t>
      </w:r>
      <w:r w:rsidRPr="009B0448">
        <w:rPr>
          <w:rFonts w:ascii="Times New Roman" w:eastAsia="Times New Roman" w:hAnsi="Times New Roman" w:cs="Times New Roman"/>
          <w:i/>
          <w:lang w:val="en-ZA" w:eastAsia="en-GB"/>
        </w:rPr>
        <w:t>Global Environment Outlook: Environment for Development (GEO4)</w:t>
      </w:r>
      <w:r w:rsidRPr="009B0448">
        <w:rPr>
          <w:rFonts w:ascii="Times New Roman" w:eastAsia="Times New Roman" w:hAnsi="Times New Roman" w:cs="Times New Roman"/>
          <w:lang w:val="en-ZA" w:eastAsia="en-GB"/>
        </w:rPr>
        <w:t xml:space="preserve">. Nairobi, Kenya: United Nations Environment Programme. Retrieved from </w:t>
      </w:r>
      <w:hyperlink r:id="rId1994" w:history="1">
        <w:r w:rsidRPr="009B0448">
          <w:rPr>
            <w:rStyle w:val="Hyperlink"/>
            <w:rFonts w:ascii="Times New Roman" w:hAnsi="Times New Roman" w:cs="Times New Roman"/>
            <w:lang w:val="en-ZA" w:eastAsia="en-GB"/>
          </w:rPr>
          <w:t>https://na.unep.net/atlas/datlas/sites/default/files/GEO-4_Report_Full_en.pdf</w:t>
        </w:r>
      </w:hyperlink>
      <w:r w:rsidRPr="009B0448">
        <w:rPr>
          <w:rFonts w:ascii="Times New Roman" w:eastAsia="Times New Roman" w:hAnsi="Times New Roman" w:cs="Times New Roman"/>
          <w:lang w:val="en-ZA" w:eastAsia="en-GB"/>
        </w:rPr>
        <w:t xml:space="preserve"> </w:t>
      </w:r>
    </w:p>
    <w:p w14:paraId="3DA4C82F" w14:textId="77777777" w:rsidR="001D0597" w:rsidRPr="009B0448" w:rsidRDefault="001D0597" w:rsidP="00D04F1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UNEP (United Nations Environment Programme). (2009). </w:t>
      </w:r>
      <w:r w:rsidRPr="009B0448">
        <w:rPr>
          <w:rFonts w:ascii="Times New Roman" w:eastAsia="Times New Roman" w:hAnsi="Times New Roman" w:cs="Times New Roman"/>
          <w:i/>
          <w:lang w:val="en-ZA" w:eastAsia="en-GB"/>
        </w:rPr>
        <w:t>Integrated policymaking for sustainable development. A reference manual</w:t>
      </w:r>
      <w:r w:rsidRPr="009B0448">
        <w:rPr>
          <w:rFonts w:ascii="Times New Roman" w:eastAsia="Times New Roman" w:hAnsi="Times New Roman" w:cs="Times New Roman"/>
          <w:lang w:val="en-ZA" w:eastAsia="en-GB"/>
        </w:rPr>
        <w:t xml:space="preserve">. Nairobi, Kenya: United Nations Environment Programme. Retrieved from </w:t>
      </w:r>
      <w:hyperlink r:id="rId1995" w:history="1">
        <w:r w:rsidRPr="009B0448">
          <w:rPr>
            <w:rStyle w:val="Hyperlink"/>
            <w:rFonts w:ascii="Times New Roman" w:hAnsi="Times New Roman" w:cs="Times New Roman"/>
            <w:lang w:val="en-ZA" w:eastAsia="en-GB"/>
          </w:rPr>
          <w:t>https://unep.ch/etb/publications/IPSD%20manual/UNEP%20IPSD%20final.pdf</w:t>
        </w:r>
      </w:hyperlink>
      <w:r w:rsidRPr="009B0448">
        <w:rPr>
          <w:rFonts w:ascii="Times New Roman" w:eastAsia="Times New Roman" w:hAnsi="Times New Roman" w:cs="Times New Roman"/>
          <w:lang w:val="en-ZA" w:eastAsia="en-GB"/>
        </w:rPr>
        <w:t xml:space="preserve"> </w:t>
      </w:r>
    </w:p>
    <w:p w14:paraId="75A08DBC" w14:textId="77777777" w:rsidR="001D0597" w:rsidRPr="009B0448" w:rsidRDefault="001D0597" w:rsidP="009F0016">
      <w:pPr>
        <w:spacing w:after="120" w:line="276" w:lineRule="auto"/>
        <w:ind w:left="567" w:hanging="567"/>
        <w:rPr>
          <w:rFonts w:ascii="Times New Roman" w:eastAsia="Times New Roman" w:hAnsi="Times New Roman" w:cs="Times New Roman"/>
          <w:lang w:val="en-ZA" w:eastAsia="en-GB"/>
        </w:rPr>
      </w:pPr>
      <w:r w:rsidRPr="009B0448">
        <w:rPr>
          <w:rFonts w:ascii="Times New Roman" w:hAnsi="Times New Roman" w:cs="Times New Roman"/>
        </w:rPr>
        <w:t xml:space="preserve">UNEP </w:t>
      </w:r>
      <w:r w:rsidRPr="009B0448">
        <w:rPr>
          <w:rFonts w:ascii="Times New Roman" w:eastAsia="Times New Roman" w:hAnsi="Times New Roman" w:cs="Times New Roman"/>
          <w:lang w:val="en-ZA" w:eastAsia="en-GB"/>
        </w:rPr>
        <w:t xml:space="preserve">(United Nations Environment Programme). </w:t>
      </w:r>
      <w:r w:rsidRPr="009B0448">
        <w:rPr>
          <w:rFonts w:ascii="Times New Roman" w:hAnsi="Times New Roman" w:cs="Times New Roman"/>
        </w:rPr>
        <w:t xml:space="preserve">(2015). </w:t>
      </w:r>
      <w:r w:rsidRPr="009B0448">
        <w:rPr>
          <w:rFonts w:ascii="Times New Roman" w:hAnsi="Times New Roman" w:cs="Times New Roman"/>
          <w:i/>
        </w:rPr>
        <w:t>Source book of opportunities for enhancing cooperation among the biodiversity-related convention at the regional and national levels</w:t>
      </w:r>
      <w:r w:rsidRPr="009B0448">
        <w:rPr>
          <w:rFonts w:ascii="Times New Roman" w:hAnsi="Times New Roman" w:cs="Times New Roman"/>
        </w:rPr>
        <w:t xml:space="preserve">. </w:t>
      </w:r>
      <w:r w:rsidRPr="009B0448">
        <w:rPr>
          <w:rFonts w:ascii="Times New Roman" w:eastAsia="Times New Roman" w:hAnsi="Times New Roman" w:cs="Times New Roman"/>
          <w:lang w:val="en-ZA" w:eastAsia="en-GB"/>
        </w:rPr>
        <w:t xml:space="preserve">Nairobi, Kenya: United Nations Environment Programme. Retrieved from </w:t>
      </w:r>
      <w:hyperlink r:id="rId1996" w:history="1">
        <w:r w:rsidRPr="009B0448">
          <w:rPr>
            <w:rStyle w:val="Hyperlink"/>
            <w:rFonts w:ascii="Times New Roman" w:eastAsia="Times New Roman" w:hAnsi="Times New Roman" w:cs="Times New Roman"/>
            <w:lang w:val="en-ZA" w:eastAsia="en-GB"/>
          </w:rPr>
          <w:t>https://nationalmeasynergies.files.wordpress.com/2015/06/sourcebook-web.pdf</w:t>
        </w:r>
      </w:hyperlink>
    </w:p>
    <w:p w14:paraId="2B6A5D42" w14:textId="77777777" w:rsidR="001D0597" w:rsidRPr="009B0448" w:rsidRDefault="001D0597" w:rsidP="00D04F12">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UNEP (United Nations Environment Programme). (2016). </w:t>
      </w:r>
      <w:r w:rsidRPr="009B0448">
        <w:rPr>
          <w:rFonts w:ascii="Times New Roman" w:eastAsia="Times New Roman" w:hAnsi="Times New Roman" w:cs="Times New Roman"/>
          <w:i/>
          <w:lang w:val="en-ZA" w:eastAsia="en-GB"/>
        </w:rPr>
        <w:t>GEO-6 Regional Assessment for Africa</w:t>
      </w:r>
      <w:r w:rsidRPr="009B0448">
        <w:rPr>
          <w:rFonts w:ascii="Times New Roman" w:eastAsia="Times New Roman" w:hAnsi="Times New Roman" w:cs="Times New Roman"/>
          <w:lang w:val="en-ZA" w:eastAsia="en-GB"/>
        </w:rPr>
        <w:t xml:space="preserve">. Nairobi, Kenya: United Nations Environment Programme. Retrieved from </w:t>
      </w:r>
      <w:hyperlink r:id="rId1997" w:history="1">
        <w:r w:rsidRPr="009B0448">
          <w:rPr>
            <w:rStyle w:val="Hyperlink"/>
            <w:rFonts w:ascii="Times New Roman" w:eastAsia="Times New Roman" w:hAnsi="Times New Roman" w:cs="Times New Roman"/>
            <w:lang w:val="en-ZA" w:eastAsia="en-GB"/>
          </w:rPr>
          <w:t>http://wedocs.unep.org/bitstream/handle/20.500.11822/7595/GEO_Africa_201611.pdf</w:t>
        </w:r>
      </w:hyperlink>
    </w:p>
    <w:p w14:paraId="2A887F79" w14:textId="77777777" w:rsidR="001D0597" w:rsidRPr="009B0448" w:rsidRDefault="001D0597" w:rsidP="009F0016">
      <w:pPr>
        <w:spacing w:after="120" w:line="276" w:lineRule="auto"/>
        <w:ind w:left="567" w:hanging="567"/>
        <w:rPr>
          <w:rFonts w:ascii="Times New Roman" w:hAnsi="Times New Roman" w:cs="Times New Roman"/>
          <w:lang w:val="en-CA"/>
        </w:rPr>
      </w:pPr>
      <w:r w:rsidRPr="009B0448">
        <w:rPr>
          <w:rFonts w:ascii="Times New Roman" w:hAnsi="Times New Roman" w:cs="Times New Roman"/>
          <w:lang w:val="fr-FR"/>
        </w:rPr>
        <w:t xml:space="preserve">UNEP, ACTS, &amp; AU. (2017). </w:t>
      </w:r>
      <w:r w:rsidRPr="009B0448">
        <w:rPr>
          <w:rFonts w:ascii="Times New Roman" w:hAnsi="Times New Roman" w:cs="Times New Roman"/>
          <w:lang w:val="en-CA"/>
        </w:rPr>
        <w:t xml:space="preserve">EBAFOSA Country Achievements. EBAFOSA. Retrieved from </w:t>
      </w:r>
      <w:hyperlink r:id="rId1998" w:history="1">
        <w:r w:rsidRPr="009B0448">
          <w:rPr>
            <w:rStyle w:val="Hyperlink"/>
            <w:rFonts w:ascii="Times New Roman" w:hAnsi="Times New Roman" w:cs="Times New Roman"/>
            <w:lang w:val="en-CA"/>
          </w:rPr>
          <w:t>http://www.ebafosa.org/index.php/news-media/publications/?override=1</w:t>
        </w:r>
      </w:hyperlink>
    </w:p>
    <w:p w14:paraId="518F1E4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UNEP-GEF Volta Project</w:t>
      </w:r>
      <w:r w:rsidRPr="009B0448">
        <w:rPr>
          <w:rFonts w:ascii="Times New Roman" w:hAnsi="Times New Roman" w:cs="Times New Roman"/>
          <w:i/>
          <w:iCs/>
        </w:rPr>
        <w:t xml:space="preserve">. </w:t>
      </w:r>
      <w:r w:rsidRPr="009B0448">
        <w:rPr>
          <w:rFonts w:ascii="Times New Roman" w:hAnsi="Times New Roman" w:cs="Times New Roman"/>
          <w:iCs/>
        </w:rPr>
        <w:t>(</w:t>
      </w:r>
      <w:r w:rsidRPr="009B0448">
        <w:rPr>
          <w:rFonts w:ascii="Times New Roman" w:hAnsi="Times New Roman" w:cs="Times New Roman"/>
        </w:rPr>
        <w:t>2013)</w:t>
      </w:r>
      <w:r w:rsidRPr="009B0448">
        <w:rPr>
          <w:rFonts w:ascii="Times New Roman" w:hAnsi="Times New Roman" w:cs="Times New Roman"/>
          <w:i/>
          <w:iCs/>
        </w:rPr>
        <w:t xml:space="preserve">. </w:t>
      </w:r>
      <w:r w:rsidRPr="009B0448">
        <w:rPr>
          <w:rFonts w:ascii="Times New Roman" w:hAnsi="Times New Roman" w:cs="Times New Roman"/>
          <w:i/>
        </w:rPr>
        <w:t>Volta Basin Transboundary Diagnostic Analysis</w:t>
      </w:r>
      <w:r w:rsidRPr="009B0448">
        <w:rPr>
          <w:rFonts w:ascii="Times New Roman" w:hAnsi="Times New Roman" w:cs="Times New Roman"/>
        </w:rPr>
        <w:t xml:space="preserve">. </w:t>
      </w:r>
      <w:r w:rsidRPr="009B0448">
        <w:rPr>
          <w:rFonts w:ascii="Times New Roman" w:hAnsi="Times New Roman" w:cs="Times New Roman"/>
          <w:iCs/>
          <w:lang w:val="de-DE"/>
        </w:rPr>
        <w:t xml:space="preserve">UNEP/GEF/Volta/RR 4/2013. Retrieved from </w:t>
      </w:r>
      <w:hyperlink r:id="rId1999" w:history="1">
        <w:r w:rsidRPr="009B0448">
          <w:rPr>
            <w:rStyle w:val="Hyperlink"/>
            <w:rFonts w:ascii="Times New Roman" w:hAnsi="Times New Roman" w:cs="Times New Roman"/>
            <w:iCs/>
          </w:rPr>
          <w:t>http://old.iwlearn.net/iw-projects/1111/reports/volta-basin-transboundary-diagnostic-analysis-tda</w:t>
        </w:r>
      </w:hyperlink>
    </w:p>
    <w:p w14:paraId="7A892AAF"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UNEP-WCMC, &amp; IUCN. (2017). </w:t>
      </w:r>
      <w:r w:rsidRPr="009B0448">
        <w:rPr>
          <w:rFonts w:ascii="Times New Roman" w:hAnsi="Times New Roman" w:cs="Times New Roman"/>
          <w:i/>
        </w:rPr>
        <w:t>Protected Planet</w:t>
      </w:r>
      <w:r w:rsidRPr="009B0448">
        <w:rPr>
          <w:rFonts w:ascii="Times New Roman" w:hAnsi="Times New Roman" w:cs="Times New Roman"/>
        </w:rPr>
        <w:t xml:space="preserve">. Cambridge, UK: UNEP-WCMC and IUCN. Accessed at </w:t>
      </w:r>
      <w:hyperlink r:id="rId2000" w:history="1">
        <w:r w:rsidRPr="009B0448">
          <w:rPr>
            <w:rStyle w:val="Hyperlink"/>
            <w:rFonts w:ascii="Times New Roman" w:hAnsi="Times New Roman" w:cs="Times New Roman"/>
          </w:rPr>
          <w:t>www.protectedplanet.net</w:t>
        </w:r>
      </w:hyperlink>
      <w:r w:rsidRPr="009B0448">
        <w:rPr>
          <w:rFonts w:ascii="Times New Roman" w:hAnsi="Times New Roman" w:cs="Times New Roman"/>
        </w:rPr>
        <w:t>.</w:t>
      </w:r>
    </w:p>
    <w:p w14:paraId="7B3771CF"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UNEP-WCMC. (2016). </w:t>
      </w:r>
      <w:r w:rsidRPr="009B0448">
        <w:rPr>
          <w:rFonts w:ascii="Times New Roman" w:hAnsi="Times New Roman" w:cs="Times New Roman"/>
          <w:i/>
        </w:rPr>
        <w:t>The State of Biodiversity in Africa: A mid-term review of progress towards the Aichi Biodiversity Targets</w:t>
      </w:r>
      <w:r w:rsidRPr="009B0448">
        <w:rPr>
          <w:rFonts w:ascii="Times New Roman" w:hAnsi="Times New Roman" w:cs="Times New Roman"/>
        </w:rPr>
        <w:t xml:space="preserve">. Cambridge, UK: UNEP-WCMC. Retrieved from </w:t>
      </w:r>
      <w:hyperlink r:id="rId2001" w:history="1">
        <w:r w:rsidRPr="009B0448">
          <w:rPr>
            <w:rStyle w:val="Hyperlink"/>
            <w:rFonts w:ascii="Times New Roman" w:hAnsi="Times New Roman" w:cs="Times New Roman"/>
          </w:rPr>
          <w:t>https://wedocs.unep.org/rest/bitstreams/32269/retrieve</w:t>
        </w:r>
      </w:hyperlink>
    </w:p>
    <w:p w14:paraId="19160451"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UNESCO. (1972). </w:t>
      </w:r>
      <w:r w:rsidRPr="009B0448">
        <w:rPr>
          <w:rFonts w:ascii="Times New Roman" w:hAnsi="Times New Roman" w:cs="Times New Roman"/>
          <w:i/>
        </w:rPr>
        <w:t>Convention concerning the protection of the world cultural and natural heritage</w:t>
      </w:r>
      <w:r w:rsidRPr="009B0448">
        <w:rPr>
          <w:rFonts w:ascii="Times New Roman" w:hAnsi="Times New Roman" w:cs="Times New Roman"/>
        </w:rPr>
        <w:t xml:space="preserve">. United Nations Educational, Scientific and Cultural Organisation. Retrieved from </w:t>
      </w:r>
      <w:hyperlink r:id="rId2002" w:history="1">
        <w:r w:rsidRPr="009B0448">
          <w:rPr>
            <w:rStyle w:val="Hyperlink"/>
            <w:rFonts w:ascii="Times New Roman" w:hAnsi="Times New Roman" w:cs="Times New Roman"/>
          </w:rPr>
          <w:t>http://whc.unesco.org/archive/convention-en.pdf</w:t>
        </w:r>
      </w:hyperlink>
    </w:p>
    <w:p w14:paraId="7CB0637A" w14:textId="77777777" w:rsidR="001D0597" w:rsidRPr="009B0448" w:rsidRDefault="001D0597" w:rsidP="009F0016">
      <w:pPr>
        <w:spacing w:after="120" w:line="276" w:lineRule="auto"/>
        <w:ind w:left="567" w:hanging="567"/>
        <w:rPr>
          <w:rFonts w:ascii="Times New Roman" w:hAnsi="Times New Roman" w:cs="Times New Roman"/>
          <w:lang w:val="de-DE"/>
        </w:rPr>
      </w:pPr>
      <w:r w:rsidRPr="009B0448">
        <w:rPr>
          <w:rFonts w:ascii="Times New Roman" w:hAnsi="Times New Roman" w:cs="Times New Roman"/>
        </w:rPr>
        <w:t xml:space="preserve">UNISDR. (2015). Sendai Framework for Disaster Risk Reduction 2015–2030. Retrieved from </w:t>
      </w:r>
      <w:hyperlink r:id="rId2003" w:history="1">
        <w:r w:rsidRPr="009B0448">
          <w:rPr>
            <w:rStyle w:val="Hyperlink"/>
            <w:rFonts w:ascii="Times New Roman" w:hAnsi="Times New Roman" w:cs="Times New Roman"/>
            <w:lang w:val="de-DE"/>
          </w:rPr>
          <w:t>http://www.unisdr.org/files/43291_sendaiframeworkfordrren.pdf</w:t>
        </w:r>
      </w:hyperlink>
    </w:p>
    <w:p w14:paraId="15E5272D"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de-DE"/>
        </w:rPr>
        <w:t xml:space="preserve">van Beukering, P., Brander, L., Tompkins, E., &amp; McKenzie, E. (2007). </w:t>
      </w:r>
      <w:r w:rsidRPr="009B0448">
        <w:rPr>
          <w:rFonts w:ascii="Times New Roman" w:hAnsi="Times New Roman" w:cs="Times New Roman"/>
          <w:i/>
        </w:rPr>
        <w:t>Valuing the environment in small islands: An environmental economics toolkit</w:t>
      </w:r>
      <w:r w:rsidRPr="009B0448">
        <w:rPr>
          <w:rFonts w:ascii="Times New Roman" w:hAnsi="Times New Roman" w:cs="Times New Roman"/>
        </w:rPr>
        <w:t xml:space="preserve">. ISBN 978 1 86107 5949. Retrieved from </w:t>
      </w:r>
      <w:hyperlink r:id="rId2004" w:anchor="download" w:history="1">
        <w:r w:rsidRPr="009B0448">
          <w:rPr>
            <w:rStyle w:val="Hyperlink"/>
            <w:rFonts w:ascii="Times New Roman" w:hAnsi="Times New Roman" w:cs="Times New Roman"/>
          </w:rPr>
          <w:t>http://jncc.defra.gov.uk/page-4065#download</w:t>
        </w:r>
      </w:hyperlink>
    </w:p>
    <w:p w14:paraId="131C9389" w14:textId="77777777" w:rsidR="001D0597" w:rsidRPr="009B0448" w:rsidRDefault="001D0597" w:rsidP="00F2503B">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 xml:space="preserve">van Vuuren, D. P., Kriegler, E., O’Neill, B. C., Ebi, K. L., Riahi, K., Carter, T. R., Edmonds, J., Hallegatte, S., Kram, T., Mathur, R., &amp; Winkler, H. (2014). A new scenario framework for Climate Change Research: scenario matrix architecture. </w:t>
      </w:r>
      <w:r w:rsidRPr="009B0448">
        <w:rPr>
          <w:rFonts w:ascii="Times New Roman" w:eastAsia="Times New Roman" w:hAnsi="Times New Roman" w:cs="Times New Roman"/>
          <w:i/>
        </w:rPr>
        <w:t>Climatic Change, 122</w:t>
      </w:r>
      <w:r w:rsidRPr="009B0448">
        <w:rPr>
          <w:rFonts w:ascii="Times New Roman" w:eastAsia="Times New Roman" w:hAnsi="Times New Roman" w:cs="Times New Roman"/>
        </w:rPr>
        <w:t xml:space="preserve">(3), 373–386. </w:t>
      </w:r>
      <w:hyperlink r:id="rId2005" w:history="1">
        <w:r w:rsidRPr="009B0448">
          <w:rPr>
            <w:rStyle w:val="Hyperlink"/>
            <w:rFonts w:ascii="Times New Roman" w:eastAsia="Times New Roman" w:hAnsi="Times New Roman" w:cs="Times New Roman"/>
          </w:rPr>
          <w:t>https://doi.org/10.1007/s10584-013-0906-1</w:t>
        </w:r>
      </w:hyperlink>
    </w:p>
    <w:p w14:paraId="4A54AC5C" w14:textId="77777777" w:rsidR="001D0597" w:rsidRPr="009B0448" w:rsidRDefault="001D0597" w:rsidP="00F2503B">
      <w:pPr>
        <w:widowControl w:val="0"/>
        <w:spacing w:before="120"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lang w:val="en-ZA" w:eastAsia="en-GB"/>
        </w:rPr>
        <w:t xml:space="preserve">van Vuuren, D. P., Riahi, K., Moss, R., Edmonds, E., Thomson, A., Nakicenovic, N., Kram, T., Berkhout, R., Swart, R., Janetos, A., Rose, S.K., &amp; Arnell, N. (2012). A proposal for a new scenario framework to support research and assessment in different climate research communities. </w:t>
      </w:r>
      <w:r w:rsidRPr="009B0448">
        <w:rPr>
          <w:rFonts w:ascii="Times New Roman" w:eastAsia="Times New Roman" w:hAnsi="Times New Roman" w:cs="Times New Roman"/>
          <w:i/>
          <w:lang w:val="en-ZA" w:eastAsia="en-GB"/>
        </w:rPr>
        <w:t>Global Environmental Change, 22</w:t>
      </w:r>
      <w:r w:rsidRPr="009B0448">
        <w:rPr>
          <w:rFonts w:ascii="Times New Roman" w:eastAsia="Times New Roman" w:hAnsi="Times New Roman" w:cs="Times New Roman"/>
          <w:lang w:val="en-ZA" w:eastAsia="en-GB"/>
        </w:rPr>
        <w:t xml:space="preserve">(1), 21–35. </w:t>
      </w:r>
      <w:hyperlink r:id="rId2006" w:tgtFrame="_blank" w:tooltip="Persistent link using digital object identifier" w:history="1">
        <w:r w:rsidRPr="009B0448">
          <w:rPr>
            <w:rStyle w:val="Hyperlink"/>
            <w:rFonts w:ascii="Times New Roman" w:hAnsi="Times New Roman" w:cs="Times New Roman"/>
            <w:color w:val="0563C1"/>
          </w:rPr>
          <w:t>https://doi.org/10.1016/j.gloenvcha.2011.08.002</w:t>
        </w:r>
      </w:hyperlink>
    </w:p>
    <w:p w14:paraId="2D652B1A"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van Wilgen, B. W., &amp; Richardson, D. M. (2014b). Challenges and trade-offs in the management of invasive alien trees. </w:t>
      </w:r>
      <w:r w:rsidRPr="009B0448">
        <w:rPr>
          <w:rFonts w:ascii="Times New Roman" w:hAnsi="Times New Roman" w:cs="Times New Roman"/>
          <w:i/>
          <w:iCs/>
        </w:rPr>
        <w:t>Biological Invasions,</w:t>
      </w:r>
      <w:r w:rsidRPr="009B0448">
        <w:rPr>
          <w:rFonts w:ascii="Times New Roman" w:hAnsi="Times New Roman" w:cs="Times New Roman"/>
        </w:rPr>
        <w:t xml:space="preserve"> </w:t>
      </w:r>
      <w:r w:rsidRPr="009B0448">
        <w:rPr>
          <w:rFonts w:ascii="Times New Roman" w:hAnsi="Times New Roman" w:cs="Times New Roman"/>
          <w:i/>
        </w:rPr>
        <w:t>16</w:t>
      </w:r>
      <w:r w:rsidRPr="009B0448">
        <w:rPr>
          <w:rFonts w:ascii="Times New Roman" w:hAnsi="Times New Roman" w:cs="Times New Roman"/>
        </w:rPr>
        <w:t xml:space="preserve">(3), 721–734. </w:t>
      </w:r>
      <w:hyperlink r:id="rId2007" w:history="1">
        <w:r w:rsidRPr="009B0448">
          <w:rPr>
            <w:rStyle w:val="Hyperlink"/>
            <w:rFonts w:ascii="Times New Roman" w:hAnsi="Times New Roman" w:cs="Times New Roman"/>
          </w:rPr>
          <w:t>https://doi.org/10.1007/s10530-013-0615-8</w:t>
        </w:r>
      </w:hyperlink>
    </w:p>
    <w:p w14:paraId="1D334A9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van Wilgen, B. W., Davies, S. J., &amp; Richardson, D. M. (2014a). Invasion science for society: A decade of contributions from the Centre for Invasion Biology. </w:t>
      </w:r>
      <w:r w:rsidRPr="009B0448">
        <w:rPr>
          <w:rFonts w:ascii="Times New Roman" w:hAnsi="Times New Roman" w:cs="Times New Roman"/>
          <w:i/>
          <w:iCs/>
        </w:rPr>
        <w:t>South African Journal of Science</w:t>
      </w:r>
      <w:r w:rsidRPr="009B0448">
        <w:rPr>
          <w:rFonts w:ascii="Times New Roman" w:hAnsi="Times New Roman" w:cs="Times New Roman"/>
        </w:rPr>
        <w:t xml:space="preserve">, </w:t>
      </w:r>
      <w:r w:rsidRPr="009B0448">
        <w:rPr>
          <w:rFonts w:ascii="Times New Roman" w:hAnsi="Times New Roman" w:cs="Times New Roman"/>
          <w:i/>
          <w:iCs/>
        </w:rPr>
        <w:t>110</w:t>
      </w:r>
      <w:r w:rsidRPr="009B0448">
        <w:rPr>
          <w:rFonts w:ascii="Times New Roman" w:hAnsi="Times New Roman" w:cs="Times New Roman"/>
        </w:rPr>
        <w:t xml:space="preserve"> (7–8), 1–12. </w:t>
      </w:r>
      <w:hyperlink r:id="rId2008" w:history="1">
        <w:r w:rsidRPr="009B0448">
          <w:rPr>
            <w:rStyle w:val="Hyperlink"/>
            <w:rFonts w:ascii="Times New Roman" w:hAnsi="Times New Roman" w:cs="Times New Roman"/>
          </w:rPr>
          <w:t>https://doi.org/10.1590/sajs.2014/a0074</w:t>
        </w:r>
      </w:hyperlink>
    </w:p>
    <w:p w14:paraId="53C0EA34"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Varis, O., Enckell, K., &amp; Keskinen, M. (2014). Integrated water resources management: horizontal and vertical explorations and the ‘water in all policies’ approach. </w:t>
      </w:r>
      <w:r w:rsidRPr="009B0448">
        <w:rPr>
          <w:rFonts w:ascii="Times New Roman" w:hAnsi="Times New Roman" w:cs="Times New Roman"/>
          <w:i/>
          <w:iCs/>
        </w:rPr>
        <w:t>International Journal of Water Resources Development</w:t>
      </w:r>
      <w:r w:rsidRPr="009B0448">
        <w:rPr>
          <w:rFonts w:ascii="Times New Roman" w:hAnsi="Times New Roman" w:cs="Times New Roman"/>
        </w:rPr>
        <w:t xml:space="preserve">, </w:t>
      </w:r>
      <w:r w:rsidRPr="009B0448">
        <w:rPr>
          <w:rFonts w:ascii="Times New Roman" w:hAnsi="Times New Roman" w:cs="Times New Roman"/>
          <w:i/>
          <w:iCs/>
        </w:rPr>
        <w:t>30</w:t>
      </w:r>
      <w:r w:rsidRPr="009B0448">
        <w:rPr>
          <w:rFonts w:ascii="Times New Roman" w:hAnsi="Times New Roman" w:cs="Times New Roman"/>
        </w:rPr>
        <w:t xml:space="preserve">(3), 433–444. </w:t>
      </w:r>
      <w:hyperlink r:id="rId2009" w:history="1">
        <w:r w:rsidRPr="009B0448">
          <w:rPr>
            <w:rStyle w:val="Hyperlink"/>
            <w:rFonts w:ascii="Times New Roman" w:hAnsi="Times New Roman" w:cs="Times New Roman"/>
          </w:rPr>
          <w:t>https://doi.org/10.1080/07900627.2014.912130</w:t>
        </w:r>
      </w:hyperlink>
    </w:p>
    <w:p w14:paraId="2AE5AFF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de-DE"/>
        </w:rPr>
        <w:t>Vervoort, J. M., Thornton, P. K., Kristjanson, P., Förch, W., Ericksen, P. J., Kok, K., Ingram, J. S., Herrero, M., Palazzo, A., Helfgott, A. E., Wilkinson, A., Havlík, P., Mason-D’Croz, D., &amp; Jost, C.</w:t>
      </w:r>
      <w:r w:rsidRPr="009B0448">
        <w:rPr>
          <w:rFonts w:ascii="Times New Roman" w:hAnsi="Times New Roman" w:cs="Times New Roman"/>
        </w:rPr>
        <w:t xml:space="preserve"> (2014). Challenges to scenario-guided adaptive action on food security under climate change. </w:t>
      </w:r>
      <w:r w:rsidRPr="009B0448">
        <w:rPr>
          <w:rFonts w:ascii="Times New Roman" w:hAnsi="Times New Roman" w:cs="Times New Roman"/>
          <w:i/>
          <w:iCs/>
        </w:rPr>
        <w:t>Global Environmental Change</w:t>
      </w:r>
      <w:r w:rsidRPr="009B0448">
        <w:rPr>
          <w:rFonts w:ascii="Times New Roman" w:hAnsi="Times New Roman" w:cs="Times New Roman"/>
        </w:rPr>
        <w:t xml:space="preserve">, </w:t>
      </w:r>
      <w:r w:rsidRPr="009B0448">
        <w:rPr>
          <w:rFonts w:ascii="Times New Roman" w:hAnsi="Times New Roman" w:cs="Times New Roman"/>
          <w:i/>
        </w:rPr>
        <w:t>28</w:t>
      </w:r>
      <w:r w:rsidRPr="009B0448">
        <w:rPr>
          <w:rFonts w:ascii="Times New Roman" w:hAnsi="Times New Roman" w:cs="Times New Roman"/>
        </w:rPr>
        <w:t xml:space="preserve">, 383–394. </w:t>
      </w:r>
      <w:hyperlink r:id="rId2010" w:history="1">
        <w:r w:rsidRPr="009B0448">
          <w:rPr>
            <w:rStyle w:val="Hyperlink"/>
            <w:rFonts w:ascii="Times New Roman" w:hAnsi="Times New Roman" w:cs="Times New Roman"/>
          </w:rPr>
          <w:t>https://doi.org/10.1016/j.gloenvcha.2014.03.001</w:t>
        </w:r>
      </w:hyperlink>
    </w:p>
    <w:p w14:paraId="489BB5B3"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de-DE"/>
        </w:rPr>
        <w:t xml:space="preserve">Vonada, R., Herbert, T., &amp; Waage, S. (2011). </w:t>
      </w:r>
      <w:r w:rsidRPr="009B0448">
        <w:rPr>
          <w:rFonts w:ascii="Times New Roman" w:hAnsi="Times New Roman" w:cs="Times New Roman"/>
          <w:i/>
          <w:iCs/>
        </w:rPr>
        <w:t>Introduction to payments for ecosystem services: A reference book for Uganda.</w:t>
      </w:r>
      <w:r w:rsidRPr="009B0448">
        <w:rPr>
          <w:rFonts w:ascii="Times New Roman" w:hAnsi="Times New Roman" w:cs="Times New Roman"/>
        </w:rPr>
        <w:t xml:space="preserve"> Uganda: Forest Trends and the Katoomba Group. Retrieved from </w:t>
      </w:r>
      <w:hyperlink r:id="rId2011" w:history="1">
        <w:r w:rsidRPr="009B0448">
          <w:rPr>
            <w:rStyle w:val="Hyperlink"/>
            <w:rFonts w:ascii="Times New Roman" w:hAnsi="Times New Roman" w:cs="Times New Roman"/>
          </w:rPr>
          <w:t>http://www.katoombagroup.org/documents/cds/uganda_2011/Introduction%20to%20Ecosystem%20Services%20and%20Climate%20Change/Learning_About_ES_FINAL.pdf</w:t>
        </w:r>
      </w:hyperlink>
    </w:p>
    <w:p w14:paraId="18966541" w14:textId="77777777" w:rsidR="001D0597" w:rsidRPr="009B0448" w:rsidRDefault="001D0597" w:rsidP="009F0016">
      <w:pPr>
        <w:spacing w:after="120" w:line="276" w:lineRule="auto"/>
        <w:ind w:left="567" w:hanging="567"/>
        <w:rPr>
          <w:rFonts w:ascii="Times New Roman" w:eastAsia="Times New Roman" w:hAnsi="Times New Roman" w:cs="Times New Roman"/>
        </w:rPr>
      </w:pPr>
      <w:r w:rsidRPr="009B0448">
        <w:rPr>
          <w:rFonts w:ascii="Times New Roman" w:eastAsia="Times New Roman" w:hAnsi="Times New Roman" w:cs="Times New Roman"/>
        </w:rPr>
        <w:t>Ward, C., Holmes, G., &amp; Stringer, L. C. (2018a). Perceived barriers to and drivers of community participation in protected</w:t>
      </w:r>
      <w:r w:rsidRPr="009B0448">
        <w:rPr>
          <w:rFonts w:ascii="Cambria Math" w:eastAsia="Times New Roman" w:hAnsi="Cambria Math" w:cs="Cambria Math"/>
        </w:rPr>
        <w:t>‐</w:t>
      </w:r>
      <w:r w:rsidRPr="009B0448">
        <w:rPr>
          <w:rFonts w:ascii="Times New Roman" w:eastAsia="Times New Roman" w:hAnsi="Times New Roman" w:cs="Times New Roman"/>
        </w:rPr>
        <w:t xml:space="preserve">area governance. </w:t>
      </w:r>
      <w:r w:rsidRPr="009B0448">
        <w:rPr>
          <w:rFonts w:ascii="Times New Roman" w:eastAsia="Times New Roman" w:hAnsi="Times New Roman" w:cs="Times New Roman"/>
          <w:i/>
        </w:rPr>
        <w:t>Conservation Biology, 32</w:t>
      </w:r>
      <w:r w:rsidRPr="009B0448">
        <w:rPr>
          <w:rFonts w:ascii="Times New Roman" w:eastAsia="Times New Roman" w:hAnsi="Times New Roman" w:cs="Times New Roman"/>
        </w:rPr>
        <w:t xml:space="preserve">(2), 437–446. </w:t>
      </w:r>
      <w:hyperlink r:id="rId2012" w:history="1">
        <w:r w:rsidRPr="009B0448">
          <w:rPr>
            <w:rStyle w:val="Hyperlink"/>
            <w:rFonts w:ascii="Times New Roman" w:eastAsia="Times New Roman" w:hAnsi="Times New Roman" w:cs="Times New Roman"/>
          </w:rPr>
          <w:t>https://doi.org/10.1111/cobi.13000</w:t>
        </w:r>
      </w:hyperlink>
    </w:p>
    <w:p w14:paraId="5CB71E31" w14:textId="77777777" w:rsidR="001D0597" w:rsidRPr="009B0448" w:rsidRDefault="001D0597" w:rsidP="009F0016">
      <w:pPr>
        <w:spacing w:after="120" w:line="276" w:lineRule="auto"/>
        <w:ind w:left="567" w:hanging="567"/>
        <w:rPr>
          <w:rFonts w:ascii="Times New Roman" w:eastAsia="Times New Roman" w:hAnsi="Times New Roman" w:cs="Times New Roman"/>
          <w:i/>
        </w:rPr>
      </w:pPr>
      <w:r w:rsidRPr="009B0448">
        <w:rPr>
          <w:rFonts w:ascii="Times New Roman" w:eastAsia="Times New Roman" w:hAnsi="Times New Roman" w:cs="Times New Roman"/>
        </w:rPr>
        <w:t xml:space="preserve">Ward, C., Stringer, L. C., &amp; Holmes, G., (2018b). Changing governance, changing inequalities: protected area co-management and access to ecosystem services. </w:t>
      </w:r>
      <w:r w:rsidRPr="009B0448">
        <w:rPr>
          <w:rFonts w:ascii="Times New Roman" w:eastAsia="Times New Roman" w:hAnsi="Times New Roman" w:cs="Times New Roman"/>
          <w:i/>
        </w:rPr>
        <w:t>Ecosystem Services, 30</w:t>
      </w:r>
      <w:r w:rsidRPr="009B0448">
        <w:rPr>
          <w:rFonts w:ascii="Times New Roman" w:eastAsia="Times New Roman" w:hAnsi="Times New Roman" w:cs="Times New Roman"/>
        </w:rPr>
        <w:t>, 137</w:t>
      </w:r>
      <w:r w:rsidRPr="009B0448">
        <w:rPr>
          <w:rFonts w:ascii="Times New Roman" w:hAnsi="Times New Roman" w:cs="Times New Roman"/>
        </w:rPr>
        <w:t>–</w:t>
      </w:r>
      <w:r w:rsidRPr="009B0448">
        <w:rPr>
          <w:rFonts w:ascii="Times New Roman" w:eastAsia="Times New Roman" w:hAnsi="Times New Roman" w:cs="Times New Roman"/>
        </w:rPr>
        <w:t>148</w:t>
      </w:r>
      <w:r w:rsidRPr="009B0448">
        <w:rPr>
          <w:rFonts w:ascii="Times New Roman" w:eastAsia="Times New Roman" w:hAnsi="Times New Roman" w:cs="Times New Roman"/>
          <w:i/>
        </w:rPr>
        <w:t xml:space="preserve">. </w:t>
      </w:r>
      <w:hyperlink r:id="rId2013" w:history="1">
        <w:r w:rsidRPr="009B0448">
          <w:rPr>
            <w:rStyle w:val="Hyperlink"/>
            <w:rFonts w:ascii="Times New Roman" w:eastAsia="Times New Roman" w:hAnsi="Times New Roman" w:cs="Times New Roman"/>
          </w:rPr>
          <w:t>https://doi.org/10.1016/j.ecoser.2018.01.014</w:t>
        </w:r>
      </w:hyperlink>
    </w:p>
    <w:p w14:paraId="780E24C0"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WAVES. (2013). </w:t>
      </w:r>
      <w:r w:rsidRPr="009B0448">
        <w:rPr>
          <w:rFonts w:ascii="Times New Roman" w:hAnsi="Times New Roman" w:cs="Times New Roman"/>
          <w:i/>
        </w:rPr>
        <w:t>Moving beyond GDP: How to factor natural capital into decision making.</w:t>
      </w:r>
      <w:r w:rsidRPr="009B0448">
        <w:rPr>
          <w:rFonts w:ascii="Times New Roman" w:hAnsi="Times New Roman" w:cs="Times New Roman"/>
        </w:rPr>
        <w:t xml:space="preserve"> Washington DC, USA. World Bank Group. Retrieved from </w:t>
      </w:r>
      <w:hyperlink r:id="rId2014" w:history="1">
        <w:r w:rsidRPr="009B0448">
          <w:rPr>
            <w:rStyle w:val="Hyperlink"/>
            <w:rFonts w:ascii="Times New Roman" w:hAnsi="Times New Roman" w:cs="Times New Roman"/>
          </w:rPr>
          <w:t>http://www.wavespartnership.org/sites/waves/files/images/Moving_Beyond_GDP.pdf</w:t>
        </w:r>
      </w:hyperlink>
    </w:p>
    <w:p w14:paraId="51A4C99E"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WAVES. (2015). </w:t>
      </w:r>
      <w:r w:rsidRPr="009B0448">
        <w:rPr>
          <w:rFonts w:ascii="Times New Roman" w:hAnsi="Times New Roman" w:cs="Times New Roman"/>
          <w:i/>
        </w:rPr>
        <w:t>A smarter GDP:</w:t>
      </w:r>
      <w:r w:rsidRPr="009B0448">
        <w:rPr>
          <w:rFonts w:ascii="Times New Roman" w:hAnsi="Times New Roman" w:cs="Times New Roman"/>
        </w:rPr>
        <w:t xml:space="preserve"> </w:t>
      </w:r>
      <w:r w:rsidRPr="009B0448">
        <w:rPr>
          <w:rFonts w:ascii="Times New Roman" w:hAnsi="Times New Roman" w:cs="Times New Roman"/>
          <w:i/>
        </w:rPr>
        <w:t>Factoring natural capital into economic decision-making</w:t>
      </w:r>
      <w:r w:rsidRPr="009B0448">
        <w:rPr>
          <w:rFonts w:ascii="Times New Roman" w:hAnsi="Times New Roman" w:cs="Times New Roman"/>
        </w:rPr>
        <w:t xml:space="preserve">. Washington DC, USA. World Bank Group. Retrieved from </w:t>
      </w:r>
      <w:hyperlink r:id="rId2015" w:history="1">
        <w:r w:rsidRPr="009B0448">
          <w:rPr>
            <w:rStyle w:val="Hyperlink"/>
            <w:rFonts w:ascii="Times New Roman" w:hAnsi="Times New Roman" w:cs="Times New Roman"/>
          </w:rPr>
          <w:t>http://www.wavespartnership.org/sites/waves/files/images/A_Smarter_GDP.pdf</w:t>
        </w:r>
      </w:hyperlink>
    </w:p>
    <w:p w14:paraId="39D7939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Wicander, S. (2015). </w:t>
      </w:r>
      <w:r w:rsidRPr="009B0448">
        <w:rPr>
          <w:rFonts w:ascii="Times New Roman" w:hAnsi="Times New Roman" w:cs="Times New Roman"/>
          <w:i/>
        </w:rPr>
        <w:t>State governance of protected areas in Africa. Case studies, lessons learned and conditions of success.</w:t>
      </w:r>
      <w:r w:rsidRPr="009B0448">
        <w:rPr>
          <w:rFonts w:ascii="Times New Roman" w:hAnsi="Times New Roman" w:cs="Times New Roman"/>
        </w:rPr>
        <w:t xml:space="preserve"> Cambridge, UK: UNEP-WCMC. Retrieved from </w:t>
      </w:r>
      <w:hyperlink r:id="rId2016" w:history="1">
        <w:r w:rsidRPr="009B0448">
          <w:rPr>
            <w:rStyle w:val="Hyperlink"/>
            <w:rFonts w:ascii="Times New Roman" w:hAnsi="Times New Roman" w:cs="Times New Roman"/>
          </w:rPr>
          <w:t>http://papaco.org/wp-content/uploads/2015/04/PAPACO-study-20_GOVERNANCE-STUDY-3-FINAL-REPORT-STATE.pdf</w:t>
        </w:r>
      </w:hyperlink>
    </w:p>
    <w:p w14:paraId="1E458529"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World Bank, IUCN &amp; TNC. (2004). </w:t>
      </w:r>
      <w:r w:rsidRPr="009B0448">
        <w:rPr>
          <w:rFonts w:ascii="Times New Roman" w:hAnsi="Times New Roman" w:cs="Times New Roman"/>
          <w:i/>
          <w:iCs/>
        </w:rPr>
        <w:t>How much is an ecosystem worth? Assessing the economic value of conservation</w:t>
      </w:r>
      <w:r w:rsidRPr="009B0448">
        <w:rPr>
          <w:rFonts w:ascii="Times New Roman" w:hAnsi="Times New Roman" w:cs="Times New Roman"/>
        </w:rPr>
        <w:t xml:space="preserve">. Washington DC, USA. World Bank Group. Retrieved from </w:t>
      </w:r>
      <w:hyperlink r:id="rId2017" w:history="1">
        <w:r w:rsidRPr="009B0448">
          <w:rPr>
            <w:rStyle w:val="Hyperlink"/>
            <w:rFonts w:ascii="Times New Roman" w:hAnsi="Times New Roman" w:cs="Times New Roman"/>
          </w:rPr>
          <w:t>http://biodiversityeconomics.org/document.rm?id=710</w:t>
        </w:r>
      </w:hyperlink>
    </w:p>
    <w:p w14:paraId="6C123B0D" w14:textId="1F061E74"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World Bank. (2013). </w:t>
      </w:r>
      <w:r w:rsidRPr="009B0448">
        <w:rPr>
          <w:rFonts w:ascii="Times New Roman" w:hAnsi="Times New Roman" w:cs="Times New Roman"/>
          <w:i/>
          <w:iCs/>
        </w:rPr>
        <w:t>The Global Partnership on Wealth Accounting and the Valuation of Ecosystem Services: Annual Report</w:t>
      </w:r>
      <w:r w:rsidR="00D925AD">
        <w:rPr>
          <w:rFonts w:ascii="Times New Roman" w:hAnsi="Times New Roman" w:cs="Times New Roman"/>
        </w:rPr>
        <w:t>. Washington, D</w:t>
      </w:r>
      <w:r w:rsidRPr="009B0448">
        <w:rPr>
          <w:rFonts w:ascii="Times New Roman" w:hAnsi="Times New Roman" w:cs="Times New Roman"/>
        </w:rPr>
        <w:t xml:space="preserve">C, USA: World Bank Group. Retrieved from </w:t>
      </w:r>
      <w:hyperlink r:id="rId2018" w:history="1">
        <w:r w:rsidRPr="009B0448">
          <w:rPr>
            <w:rStyle w:val="Hyperlink"/>
            <w:rFonts w:ascii="Times New Roman" w:hAnsi="Times New Roman" w:cs="Times New Roman"/>
          </w:rPr>
          <w:t>https://www.wavespartnership.org/en/knowledge-center/waves-annual-report-2013</w:t>
        </w:r>
      </w:hyperlink>
    </w:p>
    <w:p w14:paraId="127054AA" w14:textId="2F2C222C"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World Bank. (2015). </w:t>
      </w:r>
      <w:r w:rsidRPr="009B0448">
        <w:rPr>
          <w:rFonts w:ascii="Times New Roman" w:hAnsi="Times New Roman" w:cs="Times New Roman"/>
          <w:i/>
        </w:rPr>
        <w:t>A National Biodiversity Offset Scheme: A Road Map for Liberia's Mining Sector</w:t>
      </w:r>
      <w:r w:rsidRPr="009B0448">
        <w:rPr>
          <w:rFonts w:ascii="Times New Roman" w:hAnsi="Times New Roman" w:cs="Times New Roman"/>
        </w:rPr>
        <w:t xml:space="preserve">. Washington, DC, USA: World Bank Group. Retrieved from </w:t>
      </w:r>
      <w:hyperlink r:id="rId2019" w:history="1">
        <w:r w:rsidRPr="009B0448">
          <w:rPr>
            <w:rStyle w:val="Hyperlink"/>
            <w:rFonts w:ascii="Times New Roman" w:hAnsi="Times New Roman" w:cs="Times New Roman"/>
          </w:rPr>
          <w:t>http://documents.worldbank.org/curated/en/183611467991015452/A-national-biodiversity-offset-scheme-a-road-map-for-Liberia-s-mining-sector</w:t>
        </w:r>
      </w:hyperlink>
    </w:p>
    <w:p w14:paraId="7A6CC9CF" w14:textId="77777777" w:rsidR="001D0597" w:rsidRPr="009B0448" w:rsidRDefault="001D0597" w:rsidP="009F0016">
      <w:pPr>
        <w:spacing w:after="120" w:line="276" w:lineRule="auto"/>
        <w:ind w:left="567" w:hanging="567"/>
        <w:rPr>
          <w:rFonts w:ascii="Times New Roman" w:hAnsi="Times New Roman" w:cs="Times New Roman"/>
          <w:lang w:val="en-US"/>
        </w:rPr>
      </w:pPr>
      <w:r w:rsidRPr="009B0448">
        <w:rPr>
          <w:rFonts w:ascii="Times New Roman" w:hAnsi="Times New Roman" w:cs="Times New Roman"/>
          <w:lang w:val="en-US"/>
        </w:rPr>
        <w:t xml:space="preserve">Wright, C., Tomaselli, A., &amp; Ganoza, S. O. (2014). Developments and challenges to the undeclaration on the rights of indigenous peoples five years on: Insights on biodiversity and case studies in Bangladesh, Brazil, Japan and Uganda: an introduction to the special issue. </w:t>
      </w:r>
      <w:r w:rsidRPr="009B0448">
        <w:rPr>
          <w:rFonts w:ascii="Times New Roman" w:hAnsi="Times New Roman" w:cs="Times New Roman"/>
          <w:i/>
          <w:lang w:val="en-US"/>
        </w:rPr>
        <w:t>Indigenous Policy Journal,</w:t>
      </w:r>
      <w:r w:rsidRPr="009B0448">
        <w:rPr>
          <w:rFonts w:ascii="Times New Roman" w:hAnsi="Times New Roman" w:cs="Times New Roman"/>
          <w:lang w:val="en-US"/>
        </w:rPr>
        <w:t xml:space="preserve"> </w:t>
      </w:r>
      <w:r w:rsidRPr="009B0448">
        <w:rPr>
          <w:rFonts w:ascii="Times New Roman" w:hAnsi="Times New Roman" w:cs="Times New Roman"/>
          <w:i/>
          <w:lang w:val="en-US"/>
        </w:rPr>
        <w:t>24</w:t>
      </w:r>
      <w:r w:rsidRPr="009B0448">
        <w:rPr>
          <w:rFonts w:ascii="Times New Roman" w:hAnsi="Times New Roman" w:cs="Times New Roman"/>
          <w:lang w:val="en-US"/>
        </w:rPr>
        <w:t xml:space="preserve">. Retrieved from </w:t>
      </w:r>
      <w:hyperlink r:id="rId2020" w:history="1">
        <w:r w:rsidRPr="009B0448">
          <w:rPr>
            <w:rStyle w:val="Hyperlink"/>
            <w:rFonts w:ascii="Times New Roman" w:hAnsi="Times New Roman" w:cs="Times New Roman"/>
            <w:lang w:val="en-US"/>
          </w:rPr>
          <w:t>http://www.indigenouspolicy.org/index.php/ipj/article/view/229</w:t>
        </w:r>
      </w:hyperlink>
    </w:p>
    <w:p w14:paraId="3A86F20D" w14:textId="77777777" w:rsidR="001D0597" w:rsidRPr="009B0448" w:rsidRDefault="001D0597" w:rsidP="00F2503B">
      <w:pPr>
        <w:spacing w:after="120" w:line="276" w:lineRule="auto"/>
        <w:ind w:left="567" w:hanging="567"/>
        <w:rPr>
          <w:rFonts w:ascii="Times New Roman" w:eastAsia="Times New Roman" w:hAnsi="Times New Roman" w:cs="Times New Roman"/>
          <w:lang w:val="en-ZA" w:eastAsia="en-GB"/>
        </w:rPr>
      </w:pPr>
      <w:r w:rsidRPr="009B0448">
        <w:rPr>
          <w:rFonts w:ascii="Times New Roman" w:eastAsia="Times New Roman" w:hAnsi="Times New Roman" w:cs="Times New Roman"/>
        </w:rPr>
        <w:t xml:space="preserve">WWF-AfDB. (2015). </w:t>
      </w:r>
      <w:r w:rsidRPr="009B0448">
        <w:rPr>
          <w:rFonts w:ascii="Times New Roman" w:eastAsia="Times New Roman" w:hAnsi="Times New Roman" w:cs="Times New Roman"/>
          <w:i/>
        </w:rPr>
        <w:t>African ecological futures report 2015</w:t>
      </w:r>
      <w:r w:rsidRPr="009B0448">
        <w:rPr>
          <w:rFonts w:ascii="Times New Roman" w:eastAsia="Times New Roman" w:hAnsi="Times New Roman" w:cs="Times New Roman"/>
        </w:rPr>
        <w:t xml:space="preserve">. </w:t>
      </w:r>
      <w:r w:rsidRPr="009B0448">
        <w:rPr>
          <w:rFonts w:ascii="Times New Roman" w:eastAsia="Times New Roman" w:hAnsi="Times New Roman" w:cs="Times New Roman"/>
          <w:lang w:val="en-ZA" w:eastAsia="en-GB"/>
        </w:rPr>
        <w:t xml:space="preserve">Nairobi, Kenya: </w:t>
      </w:r>
      <w:r w:rsidRPr="009B0448">
        <w:rPr>
          <w:rFonts w:ascii="Times New Roman" w:eastAsia="Times New Roman" w:hAnsi="Times New Roman" w:cs="Times New Roman"/>
        </w:rPr>
        <w:t>World Wide Fund for Nature (WWF) &amp; African Development Bank (AfDB).</w:t>
      </w:r>
      <w:r w:rsidRPr="009B0448">
        <w:rPr>
          <w:rFonts w:ascii="Times New Roman" w:eastAsia="Times New Roman" w:hAnsi="Times New Roman" w:cs="Times New Roman"/>
          <w:lang w:val="en-ZA" w:eastAsia="en-GB"/>
        </w:rPr>
        <w:t xml:space="preserve"> Retrieved from </w:t>
      </w:r>
      <w:hyperlink r:id="rId2021" w:history="1">
        <w:r w:rsidRPr="009B0448">
          <w:rPr>
            <w:rStyle w:val="Hyperlink"/>
            <w:rFonts w:ascii="Times New Roman" w:hAnsi="Times New Roman" w:cs="Times New Roman"/>
            <w:lang w:val="en-ZA" w:eastAsia="en-GB"/>
          </w:rPr>
          <w:t>www.panda.org/lpr/africa2012</w:t>
        </w:r>
      </w:hyperlink>
    </w:p>
    <w:p w14:paraId="6600AD4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Yimer, M. E. (2013). </w:t>
      </w:r>
      <w:r w:rsidRPr="009B0448">
        <w:rPr>
          <w:rFonts w:ascii="Times New Roman" w:hAnsi="Times New Roman" w:cs="Times New Roman"/>
          <w:i/>
        </w:rPr>
        <w:t>'Dagu' as a cultural regulator among the Afar people: The communication aspect</w:t>
      </w:r>
      <w:r w:rsidRPr="009B0448">
        <w:rPr>
          <w:rFonts w:ascii="Times New Roman" w:hAnsi="Times New Roman" w:cs="Times New Roman"/>
        </w:rPr>
        <w:t>. LAP LAMBERT Academic Publishing. ISBN: 978-3-659-33212-8</w:t>
      </w:r>
    </w:p>
    <w:p w14:paraId="43041405"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Young, O. R., (2002). </w:t>
      </w:r>
      <w:r w:rsidRPr="009B0448">
        <w:rPr>
          <w:rFonts w:ascii="Times New Roman" w:hAnsi="Times New Roman" w:cs="Times New Roman"/>
          <w:i/>
        </w:rPr>
        <w:t>The institutional dimensions of environmental change: Fit, interplay and scale</w:t>
      </w:r>
      <w:r w:rsidRPr="009B0448">
        <w:rPr>
          <w:rFonts w:ascii="Times New Roman" w:hAnsi="Times New Roman" w:cs="Times New Roman"/>
        </w:rPr>
        <w:t>. Cambridge, MA: The MIT Press. ISBN: 9780262740241</w:t>
      </w:r>
    </w:p>
    <w:p w14:paraId="0E80E97F" w14:textId="77777777" w:rsidR="001D0597" w:rsidRPr="009B0448" w:rsidRDefault="001D0597" w:rsidP="00776E94">
      <w:pPr>
        <w:spacing w:after="120" w:line="276" w:lineRule="auto"/>
        <w:ind w:left="567" w:hanging="567"/>
        <w:rPr>
          <w:rFonts w:ascii="Times New Roman" w:hAnsi="Times New Roman" w:cs="Times New Roman"/>
        </w:rPr>
      </w:pPr>
      <w:r w:rsidRPr="009B0448">
        <w:rPr>
          <w:rFonts w:ascii="Times New Roman" w:hAnsi="Times New Roman" w:cs="Times New Roman"/>
        </w:rPr>
        <w:t xml:space="preserve">Ziervogel, G., &amp; Opere, A. (Eds.). (2010). </w:t>
      </w:r>
      <w:r w:rsidRPr="009B0448">
        <w:rPr>
          <w:rFonts w:ascii="Times New Roman" w:hAnsi="Times New Roman" w:cs="Times New Roman"/>
          <w:i/>
          <w:iCs/>
        </w:rPr>
        <w:t>Integrating meteorological and indigenous knowledge-based seasonal weather forecasts in the agricultural sector</w:t>
      </w:r>
      <w:r w:rsidRPr="009B0448">
        <w:rPr>
          <w:rFonts w:ascii="Times New Roman" w:hAnsi="Times New Roman" w:cs="Times New Roman"/>
        </w:rPr>
        <w:t xml:space="preserve">: </w:t>
      </w:r>
      <w:r w:rsidRPr="009B0448">
        <w:rPr>
          <w:rFonts w:ascii="Times New Roman" w:hAnsi="Times New Roman" w:cs="Times New Roman"/>
          <w:i/>
        </w:rPr>
        <w:t>Lessons from participatory action research in sub-Saharan Africa</w:t>
      </w:r>
      <w:r w:rsidRPr="009B0448">
        <w:rPr>
          <w:rFonts w:ascii="Times New Roman" w:hAnsi="Times New Roman" w:cs="Times New Roman"/>
        </w:rPr>
        <w:t xml:space="preserve">. Climate change adaptation in Africa learning paper series. Ottawa, Canada: International Development Research Centre. Retrieved from </w:t>
      </w:r>
      <w:hyperlink r:id="rId2022" w:history="1">
        <w:r w:rsidRPr="009B0448">
          <w:rPr>
            <w:rStyle w:val="Hyperlink"/>
            <w:rFonts w:ascii="Times New Roman" w:hAnsi="Times New Roman" w:cs="Times New Roman"/>
          </w:rPr>
          <w:t>https://www.idrc.ca/sites/default/files/sp/Documents%20EN/CCAA-seasonal-forecasting.pdf</w:t>
        </w:r>
      </w:hyperlink>
    </w:p>
    <w:p w14:paraId="028A7346" w14:textId="77777777" w:rsidR="001D0597" w:rsidRPr="009B0448" w:rsidRDefault="001D0597" w:rsidP="009F0016">
      <w:pPr>
        <w:spacing w:after="120" w:line="276" w:lineRule="auto"/>
        <w:ind w:left="567" w:hanging="567"/>
        <w:rPr>
          <w:rFonts w:ascii="Times New Roman" w:hAnsi="Times New Roman" w:cs="Times New Roman"/>
        </w:rPr>
      </w:pPr>
      <w:r w:rsidRPr="009B0448">
        <w:rPr>
          <w:rFonts w:ascii="Times New Roman" w:hAnsi="Times New Roman" w:cs="Times New Roman"/>
          <w:lang w:val="de-DE"/>
        </w:rPr>
        <w:t xml:space="preserve">Zuma-Netshiukhwi, G., Stigter, K., &amp; Walker, S. (2013). </w:t>
      </w:r>
      <w:r w:rsidRPr="009B0448">
        <w:rPr>
          <w:rFonts w:ascii="Times New Roman" w:hAnsi="Times New Roman" w:cs="Times New Roman"/>
        </w:rPr>
        <w:t xml:space="preserve">Use of traditional weather/climate knowledge by farmers in the South-Western Free State of South Africa: Agrometeorological learning by scientists. </w:t>
      </w:r>
      <w:r w:rsidRPr="009B0448">
        <w:rPr>
          <w:rFonts w:ascii="Times New Roman" w:hAnsi="Times New Roman" w:cs="Times New Roman"/>
          <w:i/>
          <w:iCs/>
        </w:rPr>
        <w:t>Atmosphere</w:t>
      </w:r>
      <w:r w:rsidRPr="009B0448">
        <w:rPr>
          <w:rFonts w:ascii="Times New Roman" w:hAnsi="Times New Roman" w:cs="Times New Roman"/>
        </w:rPr>
        <w:t xml:space="preserve">, </w:t>
      </w:r>
      <w:r w:rsidRPr="009B0448">
        <w:rPr>
          <w:rFonts w:ascii="Times New Roman" w:hAnsi="Times New Roman" w:cs="Times New Roman"/>
          <w:i/>
        </w:rPr>
        <w:t>4</w:t>
      </w:r>
      <w:r w:rsidRPr="009B0448">
        <w:rPr>
          <w:rFonts w:ascii="Times New Roman" w:hAnsi="Times New Roman" w:cs="Times New Roman"/>
        </w:rPr>
        <w:t xml:space="preserve">, 383–410. </w:t>
      </w:r>
      <w:hyperlink r:id="rId2023" w:history="1">
        <w:r w:rsidRPr="009B0448">
          <w:rPr>
            <w:rStyle w:val="Hyperlink"/>
            <w:rFonts w:ascii="Times New Roman" w:hAnsi="Times New Roman" w:cs="Times New Roman"/>
          </w:rPr>
          <w:t>https://doi.org/10.3390/atmos4040383</w:t>
        </w:r>
      </w:hyperlink>
    </w:p>
    <w:p w14:paraId="5508D1CD" w14:textId="77777777" w:rsidR="00F83B61" w:rsidRPr="009B0448" w:rsidRDefault="00F83B61" w:rsidP="00F83B61">
      <w:pPr>
        <w:spacing w:after="120"/>
        <w:rPr>
          <w:rFonts w:ascii="Times New Roman" w:eastAsia="Times New Roman" w:hAnsi="Times New Roman" w:cs="Times New Roman"/>
          <w:sz w:val="20"/>
          <w:szCs w:val="20"/>
        </w:rPr>
      </w:pPr>
      <w:r w:rsidRPr="009B0448">
        <w:rPr>
          <w:rFonts w:ascii="Times New Roman" w:eastAsia="Times New Roman" w:hAnsi="Times New Roman" w:cs="Times New Roman"/>
          <w:sz w:val="20"/>
          <w:szCs w:val="20"/>
        </w:rPr>
        <w:br w:type="page"/>
      </w:r>
    </w:p>
    <w:p w14:paraId="4E6591E5" w14:textId="77777777" w:rsidR="00F83B61" w:rsidRPr="009B0448" w:rsidRDefault="00F83B61" w:rsidP="00F83B61">
      <w:pPr>
        <w:pStyle w:val="Heading3"/>
        <w:ind w:left="-11" w:firstLine="0"/>
        <w:rPr>
          <w:rFonts w:cs="Times New Roman"/>
          <w:b w:val="0"/>
          <w:sz w:val="22"/>
        </w:rPr>
      </w:pPr>
      <w:bookmarkStart w:id="573" w:name="_Toc502937714"/>
      <w:bookmarkStart w:id="574" w:name="_Toc519500081"/>
      <w:r w:rsidRPr="009B0448">
        <w:rPr>
          <w:rFonts w:cs="Times New Roman"/>
          <w:sz w:val="22"/>
        </w:rPr>
        <w:t>Appendix 6.1: Africa’s progress in relation to the Aichi biodiversity targets.</w:t>
      </w:r>
      <w:bookmarkEnd w:id="573"/>
      <w:bookmarkEnd w:id="574"/>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691"/>
        <w:gridCol w:w="7325"/>
      </w:tblGrid>
      <w:tr w:rsidR="00F83B61" w:rsidRPr="009B0448" w14:paraId="0A7CEA74" w14:textId="77777777" w:rsidTr="009F0016">
        <w:trPr>
          <w:trHeight w:val="1000"/>
        </w:trPr>
        <w:tc>
          <w:tcPr>
            <w:tcW w:w="1701" w:type="dxa"/>
            <w:shd w:val="clear" w:color="auto" w:fill="DBDBDB" w:themeFill="accent3" w:themeFillTint="66"/>
          </w:tcPr>
          <w:p w14:paraId="299AD1AA"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1: Awareness of biodiversity increased</w:t>
            </w:r>
          </w:p>
        </w:tc>
        <w:tc>
          <w:tcPr>
            <w:tcW w:w="7371" w:type="dxa"/>
          </w:tcPr>
          <w:p w14:paraId="336A2792" w14:textId="491C8297"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African countries experience ongoing poaching activities, unsustainable management of land and water, reclamation of wetlands and other human activities that deplete natural resources and drive biodiversity loss. NGOs have developed ongoing activities to raise awareness of biodiversity and ecosystem service value in the region, helping decision-makers to weigh ecological, socio-cultural and economic values for development options, including conservation and sustainable use of natural resources. Indeed, according to the Green Africa Directory</w:t>
            </w:r>
            <w:r w:rsidR="00077F17" w:rsidRPr="009B0448">
              <w:rPr>
                <w:rFonts w:ascii="Times New Roman" w:hAnsi="Times New Roman" w:cs="Times New Roman"/>
              </w:rPr>
              <w:t>,</w:t>
            </w:r>
            <w:r w:rsidRPr="009B0448">
              <w:rPr>
                <w:rFonts w:ascii="Times New Roman" w:hAnsi="Times New Roman" w:cs="Times New Roman"/>
              </w:rPr>
              <w:t xml:space="preserve"> there are more 50 African NGOs creating awareness on biodiversity and ecosystem services – see </w:t>
            </w:r>
            <w:hyperlink r:id="rId2024" w:history="1">
              <w:r w:rsidRPr="009B0448">
                <w:rPr>
                  <w:rStyle w:val="Hyperlink"/>
                  <w:rFonts w:ascii="Times New Roman" w:hAnsi="Times New Roman" w:cs="Times New Roman"/>
                </w:rPr>
                <w:t>http://www.greenafricadirectory.org/listingtype/biodiversity-conservation-organisations/</w:t>
              </w:r>
            </w:hyperlink>
            <w:r w:rsidRPr="009B0448">
              <w:rPr>
                <w:rFonts w:ascii="Times New Roman" w:hAnsi="Times New Roman" w:cs="Times New Roman"/>
              </w:rPr>
              <w:t xml:space="preserve">. The IUCN also leads an NGO Forum on Nature Conservation. </w:t>
            </w:r>
          </w:p>
        </w:tc>
      </w:tr>
      <w:tr w:rsidR="00F83B61" w:rsidRPr="009B0448" w14:paraId="6BD79D83" w14:textId="77777777" w:rsidTr="009F0016">
        <w:tc>
          <w:tcPr>
            <w:tcW w:w="1701" w:type="dxa"/>
            <w:shd w:val="clear" w:color="auto" w:fill="DBDBDB" w:themeFill="accent3" w:themeFillTint="66"/>
          </w:tcPr>
          <w:p w14:paraId="753B1285"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2: Biodiversity values integrated</w:t>
            </w:r>
          </w:p>
        </w:tc>
        <w:tc>
          <w:tcPr>
            <w:tcW w:w="7371" w:type="dxa"/>
          </w:tcPr>
          <w:p w14:paraId="764262DD" w14:textId="499A17C3"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African countries are starting to use multiple natural capital accounting (NCA) tools to evaluate their biodiversity values and integrate them into national accounting, including ecosystem accounts, land and water accounts and location-specific tourism accounts. While challenges remain, these kinds of approaches help policymakers assess who ‘wins’ and ‘loses’ from ecosystem changes (WAVES, 2013) and provide complementary measures to GDP (Obst, 2015). In Zambia</w:t>
            </w:r>
            <w:r w:rsidR="00077F17" w:rsidRPr="009B0448">
              <w:rPr>
                <w:rFonts w:ascii="Times New Roman" w:hAnsi="Times New Roman" w:cs="Times New Roman"/>
              </w:rPr>
              <w:t>,</w:t>
            </w:r>
            <w:r w:rsidRPr="009B0448">
              <w:rPr>
                <w:rFonts w:ascii="Times New Roman" w:hAnsi="Times New Roman" w:cs="Times New Roman"/>
              </w:rPr>
              <w:t xml:space="preserve"> the Reducing Emissions from Deforestation and Forest Degradation (REDD+) project has tried to put a value on the country’s Forest reserves. Zambia’s NBSAP also alludes to the values of biodiversity other than forest resources, including wetlands and wetlands resources, agro-ecosystems and agro-biodiversity resources as well as wildlife. The regulatory value of forest resources, for example in sediment retention by forests, is</w:t>
            </w:r>
            <w:r w:rsidR="00E07584" w:rsidRPr="009B0448">
              <w:rPr>
                <w:rFonts w:ascii="Times New Roman" w:hAnsi="Times New Roman" w:cs="Times New Roman"/>
              </w:rPr>
              <w:t xml:space="preserve"> estimated at 274 million tons</w:t>
            </w:r>
            <w:r w:rsidRPr="009B0448">
              <w:rPr>
                <w:rFonts w:ascii="Times New Roman" w:hAnsi="Times New Roman" w:cs="Times New Roman"/>
              </w:rPr>
              <w:t>, generating a cost saving of $237 million per annum (Zambia’s Second NBSAP-2 2015–2025). TEEB country studies in Liberia and Tanzania identify the ecosystem services vital to meeting countries’ policy priorities and makes recommendations on how these services can be integrated into policies. The System of Environmental-Economic Accounting (SEEA) is also starting to be used as an international standard for producing national statistics on the environment and its relationship with the economy. The Wealth Accounting and the Evaluation of Ecosystem Services (WAVES) approach promotes sustainable development by ensuring that natural resources are mainstreamed in development planning and national economic accounts. WAVES helps countries to adopt and implement SEEA and has been applied in Botswana, Madagascar and Rwanda. Botswana aims to use natural capital as a diversification tool while Madagascar wants to tap into its biodiversity for sustainable growth. Rwanda wants to use NCA as a tool to realise sustainable development (WAVES, 2015). Environmental Impact Assessment (EIA) and Strategic Environmental Assessment (SEA) have a</w:t>
            </w:r>
            <w:r w:rsidR="00077F17" w:rsidRPr="009B0448">
              <w:rPr>
                <w:rFonts w:ascii="Times New Roman" w:hAnsi="Times New Roman" w:cs="Times New Roman"/>
              </w:rPr>
              <w:t>lso been widely used since 1995</w:t>
            </w:r>
            <w:r w:rsidRPr="009B0448">
              <w:rPr>
                <w:rFonts w:ascii="Times New Roman" w:hAnsi="Times New Roman" w:cs="Times New Roman"/>
              </w:rPr>
              <w:t xml:space="preserve"> when African ministers of environment endorsed their use at the African Ministerial Conference on the Environment (AMCEN). </w:t>
            </w:r>
          </w:p>
        </w:tc>
      </w:tr>
      <w:tr w:rsidR="00F83B61" w:rsidRPr="009B0448" w14:paraId="2F84FECF" w14:textId="77777777" w:rsidTr="009F0016">
        <w:tc>
          <w:tcPr>
            <w:tcW w:w="1701" w:type="dxa"/>
            <w:shd w:val="clear" w:color="auto" w:fill="DBDBDB" w:themeFill="accent3" w:themeFillTint="66"/>
          </w:tcPr>
          <w:p w14:paraId="49C293B7"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3: Incentives reformed</w:t>
            </w:r>
          </w:p>
        </w:tc>
        <w:tc>
          <w:tcPr>
            <w:tcW w:w="7371" w:type="dxa"/>
          </w:tcPr>
          <w:p w14:paraId="48A9A753" w14:textId="77777777"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African nations generally have fewer formal subsidies and incentive systems compared with other regions, yet are affected by subsidies and incentives elsewhere, making it hard for African countries to compete. REDD+ has emerged as an incentive opportunity for Africa. However, there is also a need to address subsidies that harm biodiversity, while also allowing Africa to develop greater food security and economic development.</w:t>
            </w:r>
          </w:p>
        </w:tc>
      </w:tr>
      <w:tr w:rsidR="00F83B61" w:rsidRPr="009B0448" w14:paraId="28937F20" w14:textId="77777777" w:rsidTr="009F0016">
        <w:tc>
          <w:tcPr>
            <w:tcW w:w="1701" w:type="dxa"/>
            <w:shd w:val="clear" w:color="auto" w:fill="DBDBDB" w:themeFill="accent3" w:themeFillTint="66"/>
          </w:tcPr>
          <w:p w14:paraId="1C301502"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4: Sustainable consumption and production</w:t>
            </w:r>
          </w:p>
        </w:tc>
        <w:tc>
          <w:tcPr>
            <w:tcW w:w="7371" w:type="dxa"/>
          </w:tcPr>
          <w:p w14:paraId="7BA29DFA" w14:textId="3364C23C" w:rsidR="00F83B61" w:rsidRPr="009B0448" w:rsidRDefault="00F83B61" w:rsidP="00782DF0">
            <w:pPr>
              <w:spacing w:line="276" w:lineRule="auto"/>
              <w:ind w:right="-15"/>
              <w:rPr>
                <w:rFonts w:ascii="Times New Roman" w:hAnsi="Times New Roman" w:cs="Times New Roman"/>
              </w:rPr>
            </w:pPr>
            <w:r w:rsidRPr="009B0448">
              <w:rPr>
                <w:rFonts w:ascii="Times New Roman" w:hAnsi="Times New Roman" w:cs="Times New Roman"/>
              </w:rPr>
              <w:t>Consumption of natural resources in Africa remains the lowest globally. However, Africa’s consumption is growing, in line with human population increases, and this is putting increasing pressure on its ecosystems. Africa as a whole is predicted to soon show a bio</w:t>
            </w:r>
            <w:r w:rsidR="00077F17" w:rsidRPr="009B0448">
              <w:rPr>
                <w:rFonts w:ascii="Times New Roman" w:hAnsi="Times New Roman" w:cs="Times New Roman"/>
              </w:rPr>
              <w:t>-</w:t>
            </w:r>
            <w:r w:rsidRPr="009B0448">
              <w:rPr>
                <w:rFonts w:ascii="Times New Roman" w:hAnsi="Times New Roman" w:cs="Times New Roman"/>
              </w:rPr>
              <w:t>capacity deficit, where consumption footprints are greater than ecosystem capacity to provide goods, services and handle waste (AfDB-WWF, 2012). In response, an international process on achieving Sustainable Consumption and Production (SCP) has been launched. Africa has</w:t>
            </w:r>
            <w:r w:rsidR="00782DF0" w:rsidRPr="009B0448">
              <w:rPr>
                <w:rFonts w:ascii="Times New Roman" w:hAnsi="Times New Roman" w:cs="Times New Roman"/>
              </w:rPr>
              <w:t xml:space="preserve"> been active in this, hosting 162</w:t>
            </w:r>
            <w:r w:rsidRPr="009B0448">
              <w:rPr>
                <w:rFonts w:ascii="Times New Roman" w:hAnsi="Times New Roman" w:cs="Times New Roman"/>
              </w:rPr>
              <w:t xml:space="preserve"> of 1,0</w:t>
            </w:r>
            <w:r w:rsidR="00782DF0" w:rsidRPr="009B0448">
              <w:rPr>
                <w:rFonts w:ascii="Times New Roman" w:hAnsi="Times New Roman" w:cs="Times New Roman"/>
              </w:rPr>
              <w:t>15</w:t>
            </w:r>
            <w:r w:rsidRPr="009B0448">
              <w:rPr>
                <w:rFonts w:ascii="Times New Roman" w:hAnsi="Times New Roman" w:cs="Times New Roman"/>
              </w:rPr>
              <w:t xml:space="preserve"> SCP initiatives globally (SCP Clearing House, 201</w:t>
            </w:r>
            <w:r w:rsidR="00782DF0" w:rsidRPr="009B0448">
              <w:rPr>
                <w:rFonts w:ascii="Times New Roman" w:hAnsi="Times New Roman" w:cs="Times New Roman"/>
              </w:rPr>
              <w:t>8</w:t>
            </w:r>
            <w:r w:rsidRPr="009B0448">
              <w:rPr>
                <w:rFonts w:ascii="Times New Roman" w:hAnsi="Times New Roman" w:cs="Times New Roman"/>
              </w:rPr>
              <w:t>). At the regional level, the African 10-Year Framework of Programmes (10-YFP) on Sustainable Consumption and Production launched by AMCEN, as part of the 2012 Marrakech Process on the 10-YFP, provides political impetus for the achievement of SCP in Africa. The Africa Roundtable on Sustainable Consumption and Production (ARSCP), a regional non-governmental not-for-profit organisation, has an overall objective to facilitate</w:t>
            </w:r>
            <w:r w:rsidR="00077F17" w:rsidRPr="009B0448">
              <w:rPr>
                <w:rFonts w:ascii="Times New Roman" w:hAnsi="Times New Roman" w:cs="Times New Roman"/>
              </w:rPr>
              <w:t xml:space="preserve"> the</w:t>
            </w:r>
            <w:r w:rsidRPr="009B0448">
              <w:rPr>
                <w:rFonts w:ascii="Times New Roman" w:hAnsi="Times New Roman" w:cs="Times New Roman"/>
              </w:rPr>
              <w:t xml:space="preserve"> development of national and regional capacities for SCP and promote effective implementation of the concepts and tools of SCP in African countries.</w:t>
            </w:r>
          </w:p>
        </w:tc>
      </w:tr>
      <w:tr w:rsidR="00F83B61" w:rsidRPr="009B0448" w14:paraId="70B8132C" w14:textId="77777777" w:rsidTr="009F0016">
        <w:tc>
          <w:tcPr>
            <w:tcW w:w="1701" w:type="dxa"/>
            <w:shd w:val="clear" w:color="auto" w:fill="DBDBDB" w:themeFill="accent3" w:themeFillTint="66"/>
          </w:tcPr>
          <w:p w14:paraId="3D80B97B"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5: Habitat loss halved or reduced</w:t>
            </w:r>
          </w:p>
        </w:tc>
        <w:tc>
          <w:tcPr>
            <w:tcW w:w="7371" w:type="dxa"/>
          </w:tcPr>
          <w:p w14:paraId="0E5868C5" w14:textId="12E0EE78" w:rsidR="00F83B61" w:rsidRPr="009B0448" w:rsidRDefault="00F83B61" w:rsidP="00075B39">
            <w:pPr>
              <w:spacing w:line="276" w:lineRule="auto"/>
              <w:rPr>
                <w:rFonts w:ascii="Times New Roman" w:hAnsi="Times New Roman" w:cs="Times New Roman"/>
              </w:rPr>
            </w:pPr>
            <w:r w:rsidRPr="009B0448">
              <w:rPr>
                <w:rFonts w:ascii="Times New Roman" w:hAnsi="Times New Roman" w:cs="Times New Roman"/>
              </w:rPr>
              <w:t>Despite positive efforts in many countries noting improvements in reducing habitat loss, mangrove and forest loss is continuing across Africa. Overall rates of loss indicate that several countries are moving away from reaching Target 5. Between 2001 and 2013 annual average tree cover loss for the African region was 0.2</w:t>
            </w:r>
            <w:r w:rsidR="004D219E" w:rsidRPr="009B0448">
              <w:rPr>
                <w:rFonts w:ascii="Times New Roman" w:hAnsi="Times New Roman" w:cs="Times New Roman"/>
              </w:rPr>
              <w:t>%</w:t>
            </w:r>
            <w:r w:rsidRPr="009B0448">
              <w:rPr>
                <w:rFonts w:ascii="Times New Roman" w:hAnsi="Times New Roman" w:cs="Times New Roman"/>
              </w:rPr>
              <w:t xml:space="preserve"> and 2.57</w:t>
            </w:r>
            <w:r w:rsidR="004D219E" w:rsidRPr="009B0448">
              <w:rPr>
                <w:rFonts w:ascii="Times New Roman" w:hAnsi="Times New Roman" w:cs="Times New Roman"/>
              </w:rPr>
              <w:t>%</w:t>
            </w:r>
            <w:r w:rsidRPr="009B0448">
              <w:rPr>
                <w:rFonts w:ascii="Times New Roman" w:hAnsi="Times New Roman" w:cs="Times New Roman"/>
              </w:rPr>
              <w:t xml:space="preserve"> of the total forest cover was lost during this period. In many places</w:t>
            </w:r>
            <w:r w:rsidR="00077F17" w:rsidRPr="009B0448">
              <w:rPr>
                <w:rFonts w:ascii="Times New Roman" w:hAnsi="Times New Roman" w:cs="Times New Roman"/>
              </w:rPr>
              <w:t>,</w:t>
            </w:r>
            <w:r w:rsidRPr="009B0448">
              <w:rPr>
                <w:rFonts w:ascii="Times New Roman" w:hAnsi="Times New Roman" w:cs="Times New Roman"/>
              </w:rPr>
              <w:t xml:space="preserve"> these changes are being driven by rapid population growth and </w:t>
            </w:r>
            <w:r w:rsidR="00574E50" w:rsidRPr="009B0448">
              <w:rPr>
                <w:rFonts w:ascii="Times New Roman" w:hAnsi="Times New Roman" w:cs="Times New Roman"/>
              </w:rPr>
              <w:t>urbanis</w:t>
            </w:r>
            <w:r w:rsidR="00C76378" w:rsidRPr="009B0448">
              <w:rPr>
                <w:rFonts w:ascii="Times New Roman" w:hAnsi="Times New Roman" w:cs="Times New Roman"/>
              </w:rPr>
              <w:t>ation</w:t>
            </w:r>
            <w:r w:rsidRPr="009B0448">
              <w:rPr>
                <w:rFonts w:ascii="Times New Roman" w:hAnsi="Times New Roman" w:cs="Times New Roman"/>
              </w:rPr>
              <w:t xml:space="preserve"> (CBD </w:t>
            </w:r>
            <w:r w:rsidR="001324AD" w:rsidRPr="009B0448">
              <w:rPr>
                <w:rFonts w:ascii="Times New Roman" w:hAnsi="Times New Roman" w:cs="Times New Roman"/>
              </w:rPr>
              <w:t xml:space="preserve">Secretariat, </w:t>
            </w:r>
            <w:r w:rsidR="00B77A3F" w:rsidRPr="009B0448">
              <w:rPr>
                <w:rFonts w:ascii="Times New Roman" w:hAnsi="Times New Roman" w:cs="Times New Roman"/>
              </w:rPr>
              <w:t>201</w:t>
            </w:r>
            <w:r w:rsidR="00075B39" w:rsidRPr="009B0448">
              <w:rPr>
                <w:rFonts w:ascii="Times New Roman" w:hAnsi="Times New Roman" w:cs="Times New Roman"/>
              </w:rPr>
              <w:t>4</w:t>
            </w:r>
            <w:r w:rsidRPr="009B0448">
              <w:rPr>
                <w:rFonts w:ascii="Times New Roman" w:hAnsi="Times New Roman" w:cs="Times New Roman"/>
              </w:rPr>
              <w:t>). Although loss continues in most countries, efforts are underway to reduce the rate of loss of forests and mangroves. Tanzania, Swaziland, Eritrea and Uganda proposed in their fifth national reports to increase and develop protected areas in order to rehabilitate forests in their countries. In other countries like Burkina Faso</w:t>
            </w:r>
            <w:r w:rsidR="00077F17" w:rsidRPr="009B0448">
              <w:rPr>
                <w:rFonts w:ascii="Times New Roman" w:hAnsi="Times New Roman" w:cs="Times New Roman"/>
              </w:rPr>
              <w:t>,</w:t>
            </w:r>
            <w:r w:rsidRPr="009B0448">
              <w:rPr>
                <w:rFonts w:ascii="Times New Roman" w:hAnsi="Times New Roman" w:cs="Times New Roman"/>
              </w:rPr>
              <w:t xml:space="preserve"> there are efforts to promote dry season agriculture whilst in the Seychelles efforts are underway to promote a shift from forestry to ecotourism and fisheries. Other notable improvements in habitat loss can be noted in the Congo Basin in Central Africa where a study based on satellite images has revealed that deforestation rates have fallen by about a third since 2000, with fewer than 2,000 km</w:t>
            </w:r>
            <w:r w:rsidRPr="009B0448">
              <w:rPr>
                <w:rFonts w:ascii="Times New Roman" w:hAnsi="Times New Roman" w:cs="Times New Roman"/>
                <w:vertAlign w:val="superscript"/>
              </w:rPr>
              <w:t>2</w:t>
            </w:r>
            <w:r w:rsidRPr="009B0448">
              <w:rPr>
                <w:rFonts w:ascii="Times New Roman" w:hAnsi="Times New Roman" w:cs="Times New Roman"/>
              </w:rPr>
              <w:t xml:space="preserve"> of rainforest lost every year between 2000 and 2010 (Mayaux </w:t>
            </w:r>
            <w:r w:rsidR="000429F8" w:rsidRPr="009B0448">
              <w:rPr>
                <w:rFonts w:ascii="Times New Roman" w:hAnsi="Times New Roman" w:cs="Times New Roman"/>
                <w:i/>
              </w:rPr>
              <w:t>et al.</w:t>
            </w:r>
            <w:r w:rsidRPr="009B0448">
              <w:rPr>
                <w:rFonts w:ascii="Times New Roman" w:hAnsi="Times New Roman" w:cs="Times New Roman"/>
              </w:rPr>
              <w:t xml:space="preserve">, 2013). This is due to the network of protected areas, forest gains on the margins of the Congo Basin forest, and the reduced expansion of commercial agriculture in the ten members of COMIFAC – Burundi, Cameroon, Chad, Congo, Democratic Republic of Congo, Central African Republic, Equatorial Guinea, Gabon, Rwanda, and São Tomé and Principe. </w:t>
            </w:r>
          </w:p>
        </w:tc>
      </w:tr>
      <w:tr w:rsidR="00F83B61" w:rsidRPr="009B0448" w14:paraId="21E42D21" w14:textId="77777777" w:rsidTr="009F0016">
        <w:tc>
          <w:tcPr>
            <w:tcW w:w="1701" w:type="dxa"/>
            <w:shd w:val="clear" w:color="auto" w:fill="DBDBDB" w:themeFill="accent3" w:themeFillTint="66"/>
          </w:tcPr>
          <w:p w14:paraId="60C4755F"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6: Sustainable management of marine living resources</w:t>
            </w:r>
          </w:p>
        </w:tc>
        <w:tc>
          <w:tcPr>
            <w:tcW w:w="7371" w:type="dxa"/>
          </w:tcPr>
          <w:p w14:paraId="6BD7970C" w14:textId="77777777"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 xml:space="preserve">The achievement of this target is important in Africa as fishing is an important source of nutrition and income in the region. The main issues to be tackled are overfishing, bad fishing practices and pollution. According to the fifth national reports submitted to the CBD, most African countries are increasingly focusing their national policies on recovery plans for depleted fish stocks rather than on managing and reducing impacts of fishing practices. Some countries maintain subsidies of fishing fleets despite negative implications and the 1995 Fish Stocks Agreement (UN, 1995). There are initiatives by the FAO Fish Programme such as the </w:t>
            </w:r>
            <w:r w:rsidRPr="009B0448">
              <w:rPr>
                <w:rFonts w:ascii="Times New Roman" w:hAnsi="Times New Roman" w:cs="Times New Roman"/>
                <w:i/>
              </w:rPr>
              <w:t>Strengthening the Knowledge Base for and implementing an Ecosystem Approach to Marine Fisheries in Developing Countries</w:t>
            </w:r>
            <w:r w:rsidRPr="009B0448">
              <w:rPr>
                <w:rFonts w:ascii="Times New Roman" w:hAnsi="Times New Roman" w:cs="Times New Roman"/>
              </w:rPr>
              <w:t>. This programme supported Cote d’Ivoire to approve the Beach Seine fishery management plan in 2014, to contribute to the sustainable use of coastal fishery resources. Certification of fishery products such as that by the Marine Stewardship Council (MSC) has been used to promote sustainable fisheries in South Africa. There are nevertheless few fisheries in Africa that have been certified due to constraints that include mismatch between the reality of small-scale artisanal fisheries and the modern certification requirements.</w:t>
            </w:r>
          </w:p>
          <w:p w14:paraId="48CAA9E2" w14:textId="21694C0D"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For most small-scale fisheries in developing countries, devolution of governance of fisheries to indigenous and local communities, shared governance and co-management have been found to produce successful outcomes. Examples of responsible stewardship and management of marine ecosystems include coastal communities thro</w:t>
            </w:r>
            <w:r w:rsidR="0008132A">
              <w:rPr>
                <w:rFonts w:ascii="Times New Roman" w:hAnsi="Times New Roman" w:cs="Times New Roman"/>
              </w:rPr>
              <w:t>ugh networks of several Locally-</w:t>
            </w:r>
            <w:r w:rsidRPr="009B0448">
              <w:rPr>
                <w:rFonts w:ascii="Times New Roman" w:hAnsi="Times New Roman" w:cs="Times New Roman"/>
              </w:rPr>
              <w:t>Managed Marine Areas (LMMAs) in Kenya, Tanzania and Senegal. Despite progress being made by African countries to achieve target 6, achieving sustainable fisheries remains a challenge. This is worsened by the presence of subsidised fleets in some regions of Africa, illegal fishing boats and slow progress with certification.</w:t>
            </w:r>
          </w:p>
        </w:tc>
      </w:tr>
      <w:tr w:rsidR="00F83B61" w:rsidRPr="009B0448" w14:paraId="598A9E27" w14:textId="77777777" w:rsidTr="009F0016">
        <w:tc>
          <w:tcPr>
            <w:tcW w:w="1701" w:type="dxa"/>
            <w:shd w:val="clear" w:color="auto" w:fill="DBDBDB" w:themeFill="accent3" w:themeFillTint="66"/>
          </w:tcPr>
          <w:p w14:paraId="49A3FF4A"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7: Sustainable agriculture, aquaculture and forestry</w:t>
            </w:r>
          </w:p>
        </w:tc>
        <w:tc>
          <w:tcPr>
            <w:tcW w:w="7371" w:type="dxa"/>
          </w:tcPr>
          <w:p w14:paraId="33858B7B" w14:textId="7652185C"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There has been some successful effort to enhance the sustainability of forestry. However, the lack of data on sustainable agriculture and aquaculture has affected reporting of the extent and trends of these two sectors. The fifth national reports to the CBD suggest that in general, unsustainable agriculture, aquaculture and forestry are the main pressures on biodiversity whilst also recognising that these sectors are the major employers in Africa thus contributing to human well</w:t>
            </w:r>
            <w:r w:rsidR="00077F17" w:rsidRPr="009B0448">
              <w:rPr>
                <w:rFonts w:ascii="Times New Roman" w:hAnsi="Times New Roman" w:cs="Times New Roman"/>
              </w:rPr>
              <w:t>-</w:t>
            </w:r>
            <w:r w:rsidRPr="009B0448">
              <w:rPr>
                <w:rFonts w:ascii="Times New Roman" w:hAnsi="Times New Roman" w:cs="Times New Roman"/>
              </w:rPr>
              <w:t xml:space="preserve">being. In countries such as Burkina Faso, Ethiopia, Madagascar, Mozambique and Tanzania, over 75 % of people are employed in agriculture, while in Congo, Egypt, Morocco and Senegal, 30–45 % of employed people work in agriculture </w:t>
            </w:r>
            <w:r w:rsidR="003353AA" w:rsidRPr="009B0448">
              <w:rPr>
                <w:rFonts w:ascii="Times New Roman" w:hAnsi="Times New Roman" w:cs="Times New Roman"/>
              </w:rPr>
              <w:t>(FAO, 2013</w:t>
            </w:r>
            <w:r w:rsidRPr="009B0448">
              <w:rPr>
                <w:rFonts w:ascii="Times New Roman" w:hAnsi="Times New Roman" w:cs="Times New Roman"/>
              </w:rPr>
              <w:t>).</w:t>
            </w:r>
          </w:p>
          <w:p w14:paraId="2544C01B" w14:textId="0CA836A7" w:rsidR="00F83B61" w:rsidRPr="009B0448" w:rsidRDefault="00F83B61" w:rsidP="00075B39">
            <w:pPr>
              <w:spacing w:line="276" w:lineRule="auto"/>
              <w:rPr>
                <w:rFonts w:ascii="Times New Roman" w:hAnsi="Times New Roman" w:cs="Times New Roman"/>
              </w:rPr>
            </w:pPr>
            <w:r w:rsidRPr="009B0448">
              <w:rPr>
                <w:rFonts w:ascii="Times New Roman" w:hAnsi="Times New Roman" w:cs="Times New Roman"/>
              </w:rPr>
              <w:t>Several countries are promoting community</w:t>
            </w:r>
            <w:r w:rsidR="00077F17" w:rsidRPr="009B0448">
              <w:rPr>
                <w:rFonts w:ascii="Times New Roman" w:hAnsi="Times New Roman" w:cs="Times New Roman"/>
              </w:rPr>
              <w:t>-</w:t>
            </w:r>
            <w:r w:rsidRPr="009B0448">
              <w:rPr>
                <w:rFonts w:ascii="Times New Roman" w:hAnsi="Times New Roman" w:cs="Times New Roman"/>
              </w:rPr>
              <w:t xml:space="preserve">based conservation agriculture (Swaziland) and organic farming (Egypt), and the setting up of guidelines for sustainable practices (South Africa). Similarly, in Burundi, Uganda, </w:t>
            </w:r>
            <w:r w:rsidR="00077F17" w:rsidRPr="009B0448">
              <w:rPr>
                <w:rFonts w:ascii="Times New Roman" w:hAnsi="Times New Roman" w:cs="Times New Roman"/>
              </w:rPr>
              <w:t>Sierra Leone and the Seychelles</w:t>
            </w:r>
            <w:r w:rsidRPr="009B0448">
              <w:rPr>
                <w:rFonts w:ascii="Times New Roman" w:hAnsi="Times New Roman" w:cs="Times New Roman"/>
              </w:rPr>
              <w:t xml:space="preserve"> policies promoting sustainable forestry are in place and in Malawi, reforestation practices include national tree planting days. Use of forest concessions in the Congo Basin has helped to promote more sustainable forest management by providin</w:t>
            </w:r>
            <w:r w:rsidR="00077F17" w:rsidRPr="009B0448">
              <w:rPr>
                <w:rFonts w:ascii="Times New Roman" w:hAnsi="Times New Roman" w:cs="Times New Roman"/>
              </w:rPr>
              <w:t>g logging companies with a long-</w:t>
            </w:r>
            <w:r w:rsidRPr="009B0448">
              <w:rPr>
                <w:rFonts w:ascii="Times New Roman" w:hAnsi="Times New Roman" w:cs="Times New Roman"/>
              </w:rPr>
              <w:t xml:space="preserve">term interest in managing the resource effectively. Further, the use of certification schemes, such as those promoted by the Forest Stewardship Council (FSC), </w:t>
            </w:r>
            <w:r w:rsidR="00077F17" w:rsidRPr="009B0448">
              <w:rPr>
                <w:rFonts w:ascii="Times New Roman" w:hAnsi="Times New Roman" w:cs="Times New Roman"/>
              </w:rPr>
              <w:t>is</w:t>
            </w:r>
            <w:r w:rsidRPr="009B0448">
              <w:rPr>
                <w:rFonts w:ascii="Times New Roman" w:hAnsi="Times New Roman" w:cs="Times New Roman"/>
              </w:rPr>
              <w:t xml:space="preserve"> also helping to promote sustainable management (CBD</w:t>
            </w:r>
            <w:r w:rsidR="001324AD" w:rsidRPr="009B0448">
              <w:rPr>
                <w:rFonts w:ascii="Times New Roman" w:hAnsi="Times New Roman" w:cs="Times New Roman"/>
              </w:rPr>
              <w:t xml:space="preserve"> Secretariat</w:t>
            </w:r>
            <w:r w:rsidRPr="009B0448">
              <w:rPr>
                <w:rFonts w:ascii="Times New Roman" w:hAnsi="Times New Roman" w:cs="Times New Roman"/>
              </w:rPr>
              <w:t>, 201</w:t>
            </w:r>
            <w:r w:rsidR="00075B39" w:rsidRPr="009B0448">
              <w:rPr>
                <w:rFonts w:ascii="Times New Roman" w:hAnsi="Times New Roman" w:cs="Times New Roman"/>
              </w:rPr>
              <w:t>4</w:t>
            </w:r>
            <w:r w:rsidRPr="009B0448">
              <w:rPr>
                <w:rFonts w:ascii="Times New Roman" w:hAnsi="Times New Roman" w:cs="Times New Roman"/>
              </w:rPr>
              <w:t>).</w:t>
            </w:r>
          </w:p>
        </w:tc>
      </w:tr>
      <w:tr w:rsidR="00F83B61" w:rsidRPr="009B0448" w14:paraId="6D4ED390" w14:textId="77777777" w:rsidTr="009F0016">
        <w:tc>
          <w:tcPr>
            <w:tcW w:w="1701" w:type="dxa"/>
            <w:shd w:val="clear" w:color="auto" w:fill="DBDBDB" w:themeFill="accent3" w:themeFillTint="66"/>
          </w:tcPr>
          <w:p w14:paraId="35E22FE9" w14:textId="1A9B6E86"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8: Pollution reduced</w:t>
            </w:r>
          </w:p>
        </w:tc>
        <w:tc>
          <w:tcPr>
            <w:tcW w:w="7371" w:type="dxa"/>
          </w:tcPr>
          <w:p w14:paraId="4154CD25" w14:textId="00A5CDA6"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 xml:space="preserve">To address challenges with nitrogen and phosphorous, 37 African countries adopted the </w:t>
            </w:r>
            <w:r w:rsidRPr="009B0448">
              <w:rPr>
                <w:rFonts w:ascii="Times New Roman" w:hAnsi="Times New Roman" w:cs="Times New Roman"/>
                <w:i/>
              </w:rPr>
              <w:t xml:space="preserve">Kampala Statement for Action on Reactive Nitrogen in Africa and Globally </w:t>
            </w:r>
            <w:r w:rsidRPr="009B0448">
              <w:rPr>
                <w:rFonts w:ascii="Times New Roman" w:hAnsi="Times New Roman" w:cs="Times New Roman"/>
              </w:rPr>
              <w:t xml:space="preserve">in 2013.The three issues addressed by the statement include (a) improving soil fertility status, nutrient use and supply; (b) acting on nutrient and </w:t>
            </w:r>
            <w:r w:rsidR="00F13B9C" w:rsidRPr="009B0448">
              <w:rPr>
                <w:rFonts w:ascii="Times New Roman" w:hAnsi="Times New Roman" w:cs="Times New Roman"/>
              </w:rPr>
              <w:t>fertilis</w:t>
            </w:r>
            <w:r w:rsidRPr="009B0448">
              <w:rPr>
                <w:rFonts w:ascii="Times New Roman" w:hAnsi="Times New Roman" w:cs="Times New Roman"/>
              </w:rPr>
              <w:t xml:space="preserve">er policy; and (c) reducing nitrogen’s contribution to </w:t>
            </w:r>
            <w:r w:rsidR="00077F17" w:rsidRPr="009B0448">
              <w:rPr>
                <w:rFonts w:ascii="Times New Roman" w:hAnsi="Times New Roman" w:cs="Times New Roman"/>
              </w:rPr>
              <w:t xml:space="preserve">the </w:t>
            </w:r>
            <w:r w:rsidRPr="009B0448">
              <w:rPr>
                <w:rFonts w:ascii="Times New Roman" w:hAnsi="Times New Roman" w:cs="Times New Roman"/>
              </w:rPr>
              <w:t>degradation of water bodies and air pollution. Other sustainable land and water management measures being used by African countries include agroforestry in Malawi and Senegal; conservat</w:t>
            </w:r>
            <w:r w:rsidR="00077F17" w:rsidRPr="009B0448">
              <w:rPr>
                <w:rFonts w:ascii="Times New Roman" w:hAnsi="Times New Roman" w:cs="Times New Roman"/>
              </w:rPr>
              <w:t>ion agriculture in Zambia; rain</w:t>
            </w:r>
            <w:r w:rsidRPr="009B0448">
              <w:rPr>
                <w:rFonts w:ascii="Times New Roman" w:hAnsi="Times New Roman" w:cs="Times New Roman"/>
              </w:rPr>
              <w:t xml:space="preserve">water harvesting in Burkina Faso; and integrated soil fertility management in West Africa. These practices have delivered positive results for soil quality and crop yields. Micro-dosing that involves combining conventional agriculture with improved seed varieties to reduce the amount of </w:t>
            </w:r>
            <w:r w:rsidR="00F13B9C" w:rsidRPr="009B0448">
              <w:rPr>
                <w:rFonts w:ascii="Times New Roman" w:hAnsi="Times New Roman" w:cs="Times New Roman"/>
              </w:rPr>
              <w:t>fertilis</w:t>
            </w:r>
            <w:r w:rsidRPr="009B0448">
              <w:rPr>
                <w:rFonts w:ascii="Times New Roman" w:hAnsi="Times New Roman" w:cs="Times New Roman"/>
              </w:rPr>
              <w:t>er used, has been used in Mali, Burkina Faso and Niger.</w:t>
            </w:r>
          </w:p>
        </w:tc>
      </w:tr>
      <w:tr w:rsidR="00F83B61" w:rsidRPr="009B0448" w14:paraId="5419E5E1" w14:textId="77777777" w:rsidTr="009F0016">
        <w:tc>
          <w:tcPr>
            <w:tcW w:w="1701" w:type="dxa"/>
            <w:shd w:val="clear" w:color="auto" w:fill="DBDBDB" w:themeFill="accent3" w:themeFillTint="66"/>
          </w:tcPr>
          <w:p w14:paraId="04173453"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9: Invasive alien species prevented and controlled</w:t>
            </w:r>
          </w:p>
        </w:tc>
        <w:tc>
          <w:tcPr>
            <w:tcW w:w="7371" w:type="dxa"/>
          </w:tcPr>
          <w:p w14:paraId="093F151E" w14:textId="60F50F6C"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Efforts are underway to manage invasive alien species (IAS) in African countries. For example, Ethiopia, Malawi, Mali, Niger, Rwanda, South Africa and Uganda have programmes for</w:t>
            </w:r>
            <w:r w:rsidR="00077F17" w:rsidRPr="009B0448">
              <w:rPr>
                <w:rFonts w:ascii="Times New Roman" w:hAnsi="Times New Roman" w:cs="Times New Roman"/>
              </w:rPr>
              <w:t xml:space="preserve"> the</w:t>
            </w:r>
            <w:r w:rsidRPr="009B0448">
              <w:rPr>
                <w:rFonts w:ascii="Times New Roman" w:hAnsi="Times New Roman" w:cs="Times New Roman"/>
              </w:rPr>
              <w:t xml:space="preserve"> management of IAS. Other countries like Burkina Faso have established species lists. Egypt and Benin have allocated resources to study IAS and Sierra Leone, Somalia, Sudan and Swaziland have implemente</w:t>
            </w:r>
            <w:r w:rsidR="00077F17" w:rsidRPr="009B0448">
              <w:rPr>
                <w:rFonts w:ascii="Times New Roman" w:hAnsi="Times New Roman" w:cs="Times New Roman"/>
              </w:rPr>
              <w:t>d programs to raise awareness of</w:t>
            </w:r>
            <w:r w:rsidRPr="009B0448">
              <w:rPr>
                <w:rFonts w:ascii="Times New Roman" w:hAnsi="Times New Roman" w:cs="Times New Roman"/>
              </w:rPr>
              <w:t xml:space="preserve"> the effects of IAS.</w:t>
            </w:r>
          </w:p>
        </w:tc>
      </w:tr>
      <w:tr w:rsidR="00F83B61" w:rsidRPr="009B0448" w14:paraId="0E92BE90" w14:textId="77777777" w:rsidTr="009F0016">
        <w:tc>
          <w:tcPr>
            <w:tcW w:w="1701" w:type="dxa"/>
            <w:shd w:val="clear" w:color="auto" w:fill="DBDBDB" w:themeFill="accent3" w:themeFillTint="66"/>
          </w:tcPr>
          <w:p w14:paraId="0094DB9C"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10: Pressures on vulnerable ecosystems reduced</w:t>
            </w:r>
          </w:p>
        </w:tc>
        <w:tc>
          <w:tcPr>
            <w:tcW w:w="7371" w:type="dxa"/>
          </w:tcPr>
          <w:p w14:paraId="69B98E3E" w14:textId="77777777"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Coral bleaching and damage to coral reefs has been well studied in East Africa and the Indian Ocean. Climate impacts on other vulnerable ecosystems, such as mountain peaks are also studied, for example, the retreat of ice on Mt Kilimanjaro. There is insufficient information on this target in the African region to assess progress.</w:t>
            </w:r>
          </w:p>
        </w:tc>
      </w:tr>
      <w:tr w:rsidR="00F83B61" w:rsidRPr="009B0448" w14:paraId="58115C0B" w14:textId="77777777" w:rsidTr="009F0016">
        <w:tc>
          <w:tcPr>
            <w:tcW w:w="1701" w:type="dxa"/>
            <w:shd w:val="clear" w:color="auto" w:fill="DBDBDB" w:themeFill="accent3" w:themeFillTint="66"/>
          </w:tcPr>
          <w:p w14:paraId="2EA557AE"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11: Protected areas increased and improved</w:t>
            </w:r>
          </w:p>
        </w:tc>
        <w:tc>
          <w:tcPr>
            <w:tcW w:w="7371" w:type="dxa"/>
          </w:tcPr>
          <w:p w14:paraId="18217EFD" w14:textId="708E09F1"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 xml:space="preserve">Most African countries have already achieved, or are likely to achieve by 2020, elements of Target 11. Seychelles for example, surpassed the area suggested by Target 11 in 2011 when its government declared new protected areas in the archipelago, which resulted in over half of its total land area becoming protected areas (PAs) (Dogley, 2011). However, barriers still remain due to lack of institutional capacities, disparities in governance, social capital, and availability of ecological data. Twenty-two African countries and territories have over 17% of their land covered by PAs (including Reunion Island) and 4 have over 10% of their marine extent covered by PAs (including Mayotte) (UNEP-WCMC </w:t>
            </w:r>
            <w:r w:rsidR="000429F8" w:rsidRPr="009B0448">
              <w:rPr>
                <w:rFonts w:ascii="Times New Roman" w:hAnsi="Times New Roman" w:cs="Times New Roman"/>
                <w:i/>
              </w:rPr>
              <w:t>et al.</w:t>
            </w:r>
            <w:r w:rsidRPr="009B0448">
              <w:rPr>
                <w:rFonts w:ascii="Times New Roman" w:hAnsi="Times New Roman" w:cs="Times New Roman"/>
              </w:rPr>
              <w:t>, 2017). The unavailability of data makes it difficult to identify and develop protected areas because many countries cannot afford to undertake comprehensive and detailed r</w:t>
            </w:r>
            <w:r w:rsidR="00077F17" w:rsidRPr="009B0448">
              <w:rPr>
                <w:rFonts w:ascii="Times New Roman" w:hAnsi="Times New Roman" w:cs="Times New Roman"/>
              </w:rPr>
              <w:t xml:space="preserve">esearch (Abdulla </w:t>
            </w:r>
            <w:r w:rsidR="000429F8" w:rsidRPr="009B0448">
              <w:rPr>
                <w:rFonts w:ascii="Times New Roman" w:hAnsi="Times New Roman" w:cs="Times New Roman"/>
                <w:i/>
              </w:rPr>
              <w:t>et al.</w:t>
            </w:r>
            <w:r w:rsidR="008C0A8D" w:rsidRPr="009B0448">
              <w:rPr>
                <w:rFonts w:ascii="Times New Roman" w:hAnsi="Times New Roman" w:cs="Times New Roman"/>
                <w:i/>
              </w:rPr>
              <w:t>,</w:t>
            </w:r>
            <w:r w:rsidR="00077F17" w:rsidRPr="009B0448">
              <w:rPr>
                <w:rFonts w:ascii="Times New Roman" w:hAnsi="Times New Roman" w:cs="Times New Roman"/>
              </w:rPr>
              <w:t xml:space="preserve"> 2009). The f</w:t>
            </w:r>
            <w:r w:rsidRPr="009B0448">
              <w:rPr>
                <w:rFonts w:ascii="Times New Roman" w:hAnsi="Times New Roman" w:cs="Times New Roman"/>
              </w:rPr>
              <w:t>ocus in the expansion of reserves has been through</w:t>
            </w:r>
            <w:r w:rsidR="00077F17" w:rsidRPr="009B0448">
              <w:rPr>
                <w:rFonts w:ascii="Times New Roman" w:hAnsi="Times New Roman" w:cs="Times New Roman"/>
              </w:rPr>
              <w:t xml:space="preserve"> the</w:t>
            </w:r>
            <w:r w:rsidRPr="009B0448">
              <w:rPr>
                <w:rFonts w:ascii="Times New Roman" w:hAnsi="Times New Roman" w:cs="Times New Roman"/>
              </w:rPr>
              <w:t xml:space="preserve"> promotion of community-based forest and wildlife management, through engagement and management of local communities and through Indigenous and Community Conserved Areas (ICCAs) (</w:t>
            </w:r>
            <w:hyperlink r:id="rId2025" w:history="1">
              <w:r w:rsidRPr="009B0448">
                <w:rPr>
                  <w:rStyle w:val="Hyperlink"/>
                  <w:rFonts w:ascii="Times New Roman" w:hAnsi="Times New Roman" w:cs="Times New Roman"/>
                </w:rPr>
                <w:t>http://www.iccaregistry.org</w:t>
              </w:r>
            </w:hyperlink>
            <w:r w:rsidRPr="009B0448">
              <w:rPr>
                <w:rFonts w:ascii="Times New Roman" w:hAnsi="Times New Roman" w:cs="Times New Roman"/>
              </w:rPr>
              <w:t>). This kind of conservation management has provided a way for local people to benefit from conservation in countries like Namibia, whilst at the same time leading to increases in animal populations. Other undesirable outcomes, however, have included crop raiding by animals whose numbers have increased, and inadequate or insignificant benefits to the local communities.</w:t>
            </w:r>
          </w:p>
        </w:tc>
      </w:tr>
      <w:tr w:rsidR="00F83B61" w:rsidRPr="009B0448" w14:paraId="6F8BD0A9" w14:textId="77777777" w:rsidTr="009F0016">
        <w:tc>
          <w:tcPr>
            <w:tcW w:w="1701" w:type="dxa"/>
            <w:shd w:val="clear" w:color="auto" w:fill="DBDBDB" w:themeFill="accent3" w:themeFillTint="66"/>
          </w:tcPr>
          <w:p w14:paraId="2D04EB50"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12: Extinction prevented</w:t>
            </w:r>
          </w:p>
        </w:tc>
        <w:tc>
          <w:tcPr>
            <w:tcW w:w="7371" w:type="dxa"/>
          </w:tcPr>
          <w:p w14:paraId="30C42352" w14:textId="77777777" w:rsidR="00F83B61" w:rsidRPr="009B0448" w:rsidRDefault="00F83B61" w:rsidP="00F83B61">
            <w:pPr>
              <w:spacing w:line="276" w:lineRule="auto"/>
              <w:rPr>
                <w:rFonts w:ascii="Times New Roman" w:eastAsia="Constantia" w:hAnsi="Times New Roman" w:cs="Times New Roman"/>
              </w:rPr>
            </w:pPr>
            <w:r w:rsidRPr="009B0448">
              <w:rPr>
                <w:rFonts w:ascii="Times New Roman" w:hAnsi="Times New Roman" w:cs="Times New Roman"/>
              </w:rPr>
              <w:t xml:space="preserve">There is limited information to assess progress towards this target in Africa, although comprehensive data on extinction risk are now available through the IUCN Red List (see </w:t>
            </w:r>
            <w:hyperlink r:id="rId2026" w:history="1">
              <w:r w:rsidRPr="009B0448">
                <w:rPr>
                  <w:rStyle w:val="Hyperlink"/>
                  <w:rFonts w:ascii="Times New Roman" w:hAnsi="Times New Roman" w:cs="Times New Roman"/>
                </w:rPr>
                <w:t>https://www.nature.com/articles/sdata20167</w:t>
              </w:r>
            </w:hyperlink>
            <w:r w:rsidRPr="009B0448">
              <w:rPr>
                <w:rFonts w:ascii="Times New Roman" w:hAnsi="Times New Roman" w:cs="Times New Roman"/>
              </w:rPr>
              <w:t xml:space="preserve">). Similar to global trends, there is an indication that no progress is being made towards the prevention of the extinction of known threatened species. Populations of many species are still declining due to pressure from illegal trade in wildlife. CITES is working with a number of African countries in relation to wildlife crime. For example, </w:t>
            </w:r>
            <w:r w:rsidRPr="009B0448">
              <w:rPr>
                <w:rFonts w:ascii="Times New Roman" w:hAnsi="Times New Roman" w:cs="Times New Roman"/>
                <w:i/>
              </w:rPr>
              <w:t>Operation Cobra II</w:t>
            </w:r>
            <w:r w:rsidRPr="009B0448">
              <w:rPr>
                <w:rFonts w:ascii="Times New Roman" w:hAnsi="Times New Roman" w:cs="Times New Roman"/>
              </w:rPr>
              <w:t xml:space="preserve"> led by Interpol, development of </w:t>
            </w:r>
            <w:r w:rsidRPr="009B0448">
              <w:rPr>
                <w:rFonts w:ascii="Times New Roman" w:hAnsi="Times New Roman" w:cs="Times New Roman"/>
                <w:i/>
              </w:rPr>
              <w:t>National Ivory Action Plans</w:t>
            </w:r>
            <w:r w:rsidRPr="009B0448">
              <w:rPr>
                <w:rFonts w:ascii="Times New Roman" w:hAnsi="Times New Roman" w:cs="Times New Roman"/>
              </w:rPr>
              <w:t xml:space="preserve">, production of </w:t>
            </w:r>
            <w:r w:rsidRPr="009B0448">
              <w:rPr>
                <w:rFonts w:ascii="Times New Roman" w:hAnsi="Times New Roman" w:cs="Times New Roman"/>
                <w:i/>
              </w:rPr>
              <w:t>14 Urgent measures</w:t>
            </w:r>
            <w:r w:rsidRPr="009B0448">
              <w:rPr>
                <w:rFonts w:ascii="Times New Roman" w:hAnsi="Times New Roman" w:cs="Times New Roman"/>
              </w:rPr>
              <w:t xml:space="preserve"> in 2013, a monitoring programme called the </w:t>
            </w:r>
            <w:r w:rsidRPr="009B0448">
              <w:rPr>
                <w:rFonts w:ascii="Times New Roman" w:hAnsi="Times New Roman" w:cs="Times New Roman"/>
                <w:i/>
              </w:rPr>
              <w:t>Monitoring of Illegal Killing of Elephants (MIKE)</w:t>
            </w:r>
            <w:r w:rsidRPr="009B0448">
              <w:rPr>
                <w:rFonts w:ascii="Times New Roman" w:hAnsi="Times New Roman" w:cs="Times New Roman"/>
              </w:rPr>
              <w:t xml:space="preserve"> and the </w:t>
            </w:r>
            <w:r w:rsidRPr="009B0448">
              <w:rPr>
                <w:rFonts w:ascii="Times New Roman" w:hAnsi="Times New Roman" w:cs="Times New Roman"/>
                <w:i/>
              </w:rPr>
              <w:t>Wildlife Enforcement Monitoring System</w:t>
            </w:r>
            <w:r w:rsidRPr="009B0448">
              <w:rPr>
                <w:rFonts w:ascii="Times New Roman" w:hAnsi="Times New Roman" w:cs="Times New Roman"/>
              </w:rPr>
              <w:t xml:space="preserve"> (WEMS). At a regional level, there are conservation measures such as the</w:t>
            </w:r>
            <w:r w:rsidRPr="009B0448">
              <w:rPr>
                <w:rFonts w:ascii="Times New Roman" w:hAnsi="Times New Roman" w:cs="Times New Roman"/>
                <w:i/>
              </w:rPr>
              <w:t xml:space="preserve"> Regional Action Plan for the Conservation of the Cross River Gorilla</w:t>
            </w:r>
            <w:r w:rsidRPr="009B0448">
              <w:rPr>
                <w:rFonts w:ascii="Times New Roman" w:hAnsi="Times New Roman" w:cs="Times New Roman"/>
              </w:rPr>
              <w:t xml:space="preserve"> aimed at addressing the continued loss of gorillas by increasing the budget for law enforcement and deployment of eco-guards.</w:t>
            </w:r>
          </w:p>
        </w:tc>
      </w:tr>
      <w:tr w:rsidR="00F83B61" w:rsidRPr="009B0448" w14:paraId="4EC67DA6" w14:textId="77777777" w:rsidTr="009F0016">
        <w:tc>
          <w:tcPr>
            <w:tcW w:w="1701" w:type="dxa"/>
            <w:shd w:val="clear" w:color="auto" w:fill="DBDBDB" w:themeFill="accent3" w:themeFillTint="66"/>
          </w:tcPr>
          <w:p w14:paraId="61D0D55C"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13: Genetic diversity maintained</w:t>
            </w:r>
          </w:p>
        </w:tc>
        <w:tc>
          <w:tcPr>
            <w:tcW w:w="7371" w:type="dxa"/>
          </w:tcPr>
          <w:p w14:paraId="23960EE7" w14:textId="77777777"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 xml:space="preserve">The genetic diversity of Africa’s crops and livestock remains high. However, there have been some local declines but is still lower than in most regions. A number of actions have been undertaken in African countries to effectively capture and assess plant genetic resources. Molecular technologies have been adopted in Malawi, Namibia, Niger, Tanzania Zimbabwe Benin, Burkina Faso, Ethiopia and Kenya whilst conservation of indigenous, medicinal and traditional plant species has been promoted in Uganda and Nigeria. However, to effectively meet this target, more action needs to be undertaken. There is need to implement the Second Global Plan of Action for Plant Genetic Resources for Food and Agriculture and adopt existing and emerging information, computing, genomic technologies as possible responses to a conserve Africa’s plant and animal genetic resources. Existing initiatives like Plant Breeding Capacity Building (GIPB), Biosciences Eastern and Central Africa (BECA) and the Southern African Development Community (SADC) Plant Genetic Resources Centre (SPGRC; </w:t>
            </w:r>
            <w:hyperlink r:id="rId2027" w:history="1">
              <w:r w:rsidRPr="009B0448">
                <w:rPr>
                  <w:rStyle w:val="Hyperlink"/>
                  <w:rFonts w:ascii="Times New Roman" w:hAnsi="Times New Roman" w:cs="Times New Roman"/>
                </w:rPr>
                <w:t>http://www.spgrc.org.zm/</w:t>
              </w:r>
            </w:hyperlink>
            <w:r w:rsidRPr="009B0448">
              <w:rPr>
                <w:rFonts w:ascii="Times New Roman" w:hAnsi="Times New Roman" w:cs="Times New Roman"/>
              </w:rPr>
              <w:t xml:space="preserve">) need to be supported to improve the institutional capacity of breeding systems, breeders and existing facilities. </w:t>
            </w:r>
          </w:p>
        </w:tc>
      </w:tr>
      <w:tr w:rsidR="00F83B61" w:rsidRPr="009B0448" w14:paraId="289C34CC" w14:textId="77777777" w:rsidTr="009F0016">
        <w:tc>
          <w:tcPr>
            <w:tcW w:w="1701" w:type="dxa"/>
            <w:shd w:val="clear" w:color="auto" w:fill="DBDBDB" w:themeFill="accent3" w:themeFillTint="66"/>
          </w:tcPr>
          <w:p w14:paraId="2FCF18F4"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14: Ecosystem Services</w:t>
            </w:r>
          </w:p>
        </w:tc>
        <w:tc>
          <w:tcPr>
            <w:tcW w:w="7371" w:type="dxa"/>
          </w:tcPr>
          <w:p w14:paraId="36FD25B4" w14:textId="0ADE3DE9"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African countries receive many benefits from biodiversity and in terms of ecosystem services to support livelihoods and well</w:t>
            </w:r>
            <w:r w:rsidR="00FD3265" w:rsidRPr="009B0448">
              <w:rPr>
                <w:rFonts w:ascii="Times New Roman" w:hAnsi="Times New Roman" w:cs="Times New Roman"/>
              </w:rPr>
              <w:t>-</w:t>
            </w:r>
            <w:r w:rsidRPr="009B0448">
              <w:rPr>
                <w:rFonts w:ascii="Times New Roman" w:hAnsi="Times New Roman" w:cs="Times New Roman"/>
              </w:rPr>
              <w:t>being. However, the information base on the status and trends in ecosystem services in Africa is weak and considerable work is needed to assess how these services are changing in Africa and what actions are being taken to address negative changes.</w:t>
            </w:r>
          </w:p>
        </w:tc>
      </w:tr>
      <w:tr w:rsidR="00F83B61" w:rsidRPr="009B0448" w14:paraId="0FC11EFC" w14:textId="77777777" w:rsidTr="009F0016">
        <w:tc>
          <w:tcPr>
            <w:tcW w:w="1701" w:type="dxa"/>
            <w:shd w:val="clear" w:color="auto" w:fill="DBDBDB" w:themeFill="accent3" w:themeFillTint="66"/>
          </w:tcPr>
          <w:p w14:paraId="0BA237C0"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15: Ecosystems restored and resilience enhanced</w:t>
            </w:r>
          </w:p>
        </w:tc>
        <w:tc>
          <w:tcPr>
            <w:tcW w:w="7371" w:type="dxa"/>
          </w:tcPr>
          <w:p w14:paraId="694178B8" w14:textId="055DF280" w:rsidR="00F83B61" w:rsidRPr="009B0448" w:rsidRDefault="00F83B61" w:rsidP="00077F17">
            <w:pPr>
              <w:spacing w:line="276" w:lineRule="auto"/>
              <w:rPr>
                <w:rFonts w:ascii="Times New Roman" w:hAnsi="Times New Roman" w:cs="Times New Roman"/>
              </w:rPr>
            </w:pPr>
            <w:r w:rsidRPr="009B0448">
              <w:rPr>
                <w:rFonts w:ascii="Times New Roman" w:hAnsi="Times New Roman" w:cs="Times New Roman"/>
              </w:rPr>
              <w:t>Although there is not much data to measure the progress towards this target, the fifth National reports to the CBD have indicated the efforts that most African countries are taking to build ecosystem resilience. Most efforts have been through farmer-managed natural regeneration practices, mangrove restoration, and many other activities. Countries that have restoration projects including reforestation include Morocco, Niger, the Seychelles Algeria, Benin, Chad and Sudan. Others like Burundi and Côte D’Ivoire have initiated the process of determining carbon sequestration of forestry ecosystem through</w:t>
            </w:r>
            <w:r w:rsidR="00077F17" w:rsidRPr="009B0448">
              <w:rPr>
                <w:rFonts w:ascii="Times New Roman" w:hAnsi="Times New Roman" w:cs="Times New Roman"/>
              </w:rPr>
              <w:t xml:space="preserve"> the</w:t>
            </w:r>
            <w:r w:rsidRPr="009B0448">
              <w:rPr>
                <w:rFonts w:ascii="Times New Roman" w:hAnsi="Times New Roman" w:cs="Times New Roman"/>
              </w:rPr>
              <w:t xml:space="preserve"> integration of REDD+. AFR100, (the African Forest Landscape Restoration Initiative) was launched at UNFCCC COP21 and represents a regional effort aimed at restoring 100 million hectares of land in Africa by 2030. Currently, participating countries include Malawi Ethiopia, Kenya, Liberia, Madagascar Democratic Republic of Congo, Malawi, Rwanda, Togo and Uganda. </w:t>
            </w:r>
            <w:r w:rsidR="00077F17" w:rsidRPr="009B0448">
              <w:rPr>
                <w:rFonts w:ascii="Times New Roman" w:hAnsi="Times New Roman" w:cs="Times New Roman"/>
              </w:rPr>
              <w:t>Further</w:t>
            </w:r>
            <w:r w:rsidRPr="009B0448">
              <w:rPr>
                <w:rFonts w:ascii="Times New Roman" w:hAnsi="Times New Roman" w:cs="Times New Roman"/>
              </w:rPr>
              <w:t xml:space="preserve"> action is however still need</w:t>
            </w:r>
            <w:r w:rsidR="00077F17" w:rsidRPr="009B0448">
              <w:rPr>
                <w:rFonts w:ascii="Times New Roman" w:hAnsi="Times New Roman" w:cs="Times New Roman"/>
              </w:rPr>
              <w:t>ed</w:t>
            </w:r>
            <w:r w:rsidRPr="009B0448">
              <w:rPr>
                <w:rFonts w:ascii="Times New Roman" w:hAnsi="Times New Roman" w:cs="Times New Roman"/>
              </w:rPr>
              <w:t xml:space="preserve"> for African countries to meet this target by 2020. </w:t>
            </w:r>
          </w:p>
        </w:tc>
      </w:tr>
      <w:tr w:rsidR="00F83B61" w:rsidRPr="009B0448" w14:paraId="067A0231" w14:textId="77777777" w:rsidTr="009F0016">
        <w:trPr>
          <w:trHeight w:val="260"/>
        </w:trPr>
        <w:tc>
          <w:tcPr>
            <w:tcW w:w="1701" w:type="dxa"/>
            <w:shd w:val="clear" w:color="auto" w:fill="DBDBDB" w:themeFill="accent3" w:themeFillTint="66"/>
          </w:tcPr>
          <w:p w14:paraId="7ECE71D9"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16: Access to and sharing benefits from genetic resources</w:t>
            </w:r>
          </w:p>
        </w:tc>
        <w:tc>
          <w:tcPr>
            <w:tcW w:w="7371" w:type="dxa"/>
          </w:tcPr>
          <w:p w14:paraId="50F29CE6" w14:textId="002CDA84" w:rsidR="00F83B61" w:rsidRPr="009B0448" w:rsidRDefault="00F83B61" w:rsidP="00077F17">
            <w:pPr>
              <w:spacing w:line="276" w:lineRule="auto"/>
              <w:rPr>
                <w:rFonts w:ascii="Times New Roman" w:hAnsi="Times New Roman" w:cs="Times New Roman"/>
              </w:rPr>
            </w:pPr>
            <w:r w:rsidRPr="009B0448">
              <w:rPr>
                <w:rFonts w:ascii="Times New Roman" w:hAnsi="Times New Roman" w:cs="Times New Roman"/>
              </w:rPr>
              <w:t>Twenty six countries have ratified the Nagoya Protocol and others are in the process of ratification. The COMIFAC project under UNEP helped ten countries in central Africa member of COMIFAC to ratify and implement the Nagoya Protocol. It aims for 70% of parliamentarians to be trained on the importance of ABS by 2016 and for at least 9 COMIFAC countries to have implementation strategies and action plans and execute activities by 2017. African countries nevertheless face several difficulties including lack of capacity in drafting legal and policy frameworks in order to integrate ABS into their national legislation.</w:t>
            </w:r>
          </w:p>
        </w:tc>
      </w:tr>
      <w:tr w:rsidR="00F83B61" w:rsidRPr="009B0448" w14:paraId="2DD9238D" w14:textId="77777777" w:rsidTr="009F0016">
        <w:tc>
          <w:tcPr>
            <w:tcW w:w="1701" w:type="dxa"/>
            <w:shd w:val="clear" w:color="auto" w:fill="DBDBDB" w:themeFill="accent3" w:themeFillTint="66"/>
          </w:tcPr>
          <w:p w14:paraId="11B2D517"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17: Biodiversity Strategies and Action Plans</w:t>
            </w:r>
          </w:p>
        </w:tc>
        <w:tc>
          <w:tcPr>
            <w:tcW w:w="7371" w:type="dxa"/>
          </w:tcPr>
          <w:p w14:paraId="14A58B2E" w14:textId="77777777"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Most of the post-2010 NBSAPs are developed and adopted at the national level, providing policy guidance on countries’ actions on biodiversity and delivering action. Updating of NBSAPs not only helps Africa achieve Target 17, but will also aid countries to develop national poverty reduction strategies, national accounting, and other development plans. Updating and implementing NBSAPs fundamentally serves as an effective tool for mainstreaming biodiversity into broader national and local strategies, plans and policies.</w:t>
            </w:r>
          </w:p>
        </w:tc>
      </w:tr>
      <w:tr w:rsidR="00F83B61" w:rsidRPr="009B0448" w14:paraId="5247E125" w14:textId="77777777" w:rsidTr="009F0016">
        <w:tc>
          <w:tcPr>
            <w:tcW w:w="1701" w:type="dxa"/>
            <w:shd w:val="clear" w:color="auto" w:fill="DBDBDB" w:themeFill="accent3" w:themeFillTint="66"/>
          </w:tcPr>
          <w:p w14:paraId="7E35A8C4"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18: Traditional knowledge</w:t>
            </w:r>
          </w:p>
        </w:tc>
        <w:tc>
          <w:tcPr>
            <w:tcW w:w="7371" w:type="dxa"/>
          </w:tcPr>
          <w:p w14:paraId="6B987185" w14:textId="1CDA824F" w:rsidR="00F83B61" w:rsidRPr="009B0448" w:rsidRDefault="00F83B61" w:rsidP="00077F17">
            <w:pPr>
              <w:spacing w:line="276" w:lineRule="auto"/>
              <w:rPr>
                <w:rFonts w:ascii="Times New Roman" w:hAnsi="Times New Roman" w:cs="Times New Roman"/>
              </w:rPr>
            </w:pPr>
            <w:r w:rsidRPr="009B0448">
              <w:rPr>
                <w:rFonts w:ascii="Times New Roman" w:hAnsi="Times New Roman" w:cs="Times New Roman"/>
              </w:rPr>
              <w:t xml:space="preserve">Traditional knowledge is very important in Africa where many people remain closely connected to the land where they have lived for millennia and there are numerous </w:t>
            </w:r>
            <w:r w:rsidR="00077F17" w:rsidRPr="009B0448">
              <w:rPr>
                <w:rFonts w:ascii="Times New Roman" w:hAnsi="Times New Roman" w:cs="Times New Roman"/>
              </w:rPr>
              <w:t>distinct</w:t>
            </w:r>
            <w:r w:rsidRPr="009B0448">
              <w:rPr>
                <w:rFonts w:ascii="Times New Roman" w:hAnsi="Times New Roman" w:cs="Times New Roman"/>
              </w:rPr>
              <w:t xml:space="preserve"> ethnic and language groups in the continent and its offshore islands. Language diversity in Africa started to decline after 1980 as people increasingly moved to large cities and the impacts of globalisation were starting to be felt. 338 languages in 34 African countries are now recorded as Vulnerable, Endangered or Extinct (Moseley, 2010), with Sudan having the highest number of threatened languages. Community-based natural resource management is one of the major ways to both conserve natural resources and promote traditional knowledge and is being increasingly utilised in Africa.</w:t>
            </w:r>
          </w:p>
        </w:tc>
      </w:tr>
      <w:tr w:rsidR="00F83B61" w:rsidRPr="009B0448" w14:paraId="1E0C2FB8" w14:textId="77777777" w:rsidTr="009F0016">
        <w:tc>
          <w:tcPr>
            <w:tcW w:w="1701" w:type="dxa"/>
            <w:shd w:val="clear" w:color="auto" w:fill="DBDBDB" w:themeFill="accent3" w:themeFillTint="66"/>
          </w:tcPr>
          <w:p w14:paraId="2A951C96"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19: Sharing information and knowledge</w:t>
            </w:r>
          </w:p>
        </w:tc>
        <w:tc>
          <w:tcPr>
            <w:tcW w:w="7371" w:type="dxa"/>
          </w:tcPr>
          <w:p w14:paraId="35767FA8" w14:textId="1211A0D9"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Knowledge, science and technology play a crucial role in assessing the status of biodiversity, identifying threats and setting priorities for conservation and sustainable use. In Africa, key information is still missing and data collection is limited. Between 2008 and 2014 the number of occurrences of Africa</w:t>
            </w:r>
            <w:r w:rsidR="00077F17" w:rsidRPr="009B0448">
              <w:rPr>
                <w:rFonts w:ascii="Times New Roman" w:hAnsi="Times New Roman" w:cs="Times New Roman"/>
              </w:rPr>
              <w:t>n species records integrated in</w:t>
            </w:r>
            <w:r w:rsidRPr="009B0448">
              <w:rPr>
                <w:rFonts w:ascii="Times New Roman" w:hAnsi="Times New Roman" w:cs="Times New Roman"/>
              </w:rPr>
              <w:t>to Global Biodiversity Information Facility (GBIF) increased from around 5 million to almost 20 million. However, many African species records are held in non-African institutions, and therefore the figures inaccurately reflect the data mobilisation capacity within the region.</w:t>
            </w:r>
          </w:p>
        </w:tc>
      </w:tr>
      <w:tr w:rsidR="00F83B61" w:rsidRPr="009B0448" w14:paraId="652DB4C5" w14:textId="77777777" w:rsidTr="009F0016">
        <w:tc>
          <w:tcPr>
            <w:tcW w:w="1701" w:type="dxa"/>
            <w:shd w:val="clear" w:color="auto" w:fill="DBDBDB" w:themeFill="accent3" w:themeFillTint="66"/>
          </w:tcPr>
          <w:p w14:paraId="548F5798" w14:textId="77777777" w:rsidR="00F83B61" w:rsidRPr="009B0448" w:rsidRDefault="00F83B61" w:rsidP="00F83B61">
            <w:pPr>
              <w:spacing w:line="276" w:lineRule="auto"/>
              <w:rPr>
                <w:rFonts w:ascii="Times New Roman" w:hAnsi="Times New Roman" w:cs="Times New Roman"/>
                <w:b/>
              </w:rPr>
            </w:pPr>
            <w:r w:rsidRPr="009B0448">
              <w:rPr>
                <w:rFonts w:ascii="Times New Roman" w:hAnsi="Times New Roman" w:cs="Times New Roman"/>
                <w:b/>
              </w:rPr>
              <w:t>Target 20: Mobilising resources from all sources</w:t>
            </w:r>
          </w:p>
        </w:tc>
        <w:tc>
          <w:tcPr>
            <w:tcW w:w="7371" w:type="dxa"/>
          </w:tcPr>
          <w:p w14:paraId="1A205370" w14:textId="2F8A01FA" w:rsidR="00F83B61" w:rsidRPr="009B0448" w:rsidRDefault="00F83B61" w:rsidP="00F83B61">
            <w:pPr>
              <w:spacing w:line="276" w:lineRule="auto"/>
              <w:rPr>
                <w:rFonts w:ascii="Times New Roman" w:hAnsi="Times New Roman" w:cs="Times New Roman"/>
              </w:rPr>
            </w:pPr>
            <w:r w:rsidRPr="009B0448">
              <w:rPr>
                <w:rFonts w:ascii="Times New Roman" w:hAnsi="Times New Roman" w:cs="Times New Roman"/>
              </w:rPr>
              <w:t>Serving as the major source of funding for developing countries to meet their obligations under the Convention on Biological Diversity (CBD), the major international financial mechanism assisting Africa for biodiversity conservation is the Global Environment Facility (GEF). GEF funds have been and are being utilised for 985 projects in Africa, of which 369 projects are based on biodiversity focal areas (GEF, 201</w:t>
            </w:r>
            <w:r w:rsidR="004334FE" w:rsidRPr="009B0448">
              <w:rPr>
                <w:rFonts w:ascii="Times New Roman" w:hAnsi="Times New Roman" w:cs="Times New Roman"/>
              </w:rPr>
              <w:t>4</w:t>
            </w:r>
            <w:r w:rsidRPr="009B0448">
              <w:rPr>
                <w:rFonts w:ascii="Times New Roman" w:hAnsi="Times New Roman" w:cs="Times New Roman"/>
              </w:rPr>
              <w:t>). The biodiversity projects are most commonly focused on mainstreaming biodiversity into laws, policies and regulations. African governments are pursuing other innovative ways of mobilising resources for biodiversity conservation.</w:t>
            </w:r>
          </w:p>
        </w:tc>
      </w:tr>
    </w:tbl>
    <w:p w14:paraId="257CD58A" w14:textId="77777777" w:rsidR="00F83B61" w:rsidRPr="009B0448" w:rsidRDefault="00F83B61" w:rsidP="00F83B61">
      <w:pPr>
        <w:rPr>
          <w:rFonts w:ascii="Times New Roman" w:eastAsia="Times New Roman" w:hAnsi="Times New Roman" w:cs="Times New Roman"/>
          <w:sz w:val="20"/>
          <w:szCs w:val="20"/>
        </w:rPr>
      </w:pPr>
      <w:r w:rsidRPr="009B0448">
        <w:rPr>
          <w:rFonts w:ascii="Times New Roman" w:eastAsia="Times New Roman" w:hAnsi="Times New Roman" w:cs="Times New Roman"/>
          <w:sz w:val="20"/>
          <w:szCs w:val="20"/>
        </w:rPr>
        <w:br w:type="page"/>
      </w:r>
    </w:p>
    <w:p w14:paraId="4118DF28" w14:textId="095BF39D" w:rsidR="00F83B61" w:rsidRPr="009B0448" w:rsidRDefault="00F83B61" w:rsidP="00F83B61">
      <w:pPr>
        <w:pStyle w:val="Heading3"/>
        <w:ind w:left="-11" w:firstLine="0"/>
        <w:rPr>
          <w:rFonts w:cs="Times New Roman"/>
          <w:b w:val="0"/>
          <w:sz w:val="22"/>
        </w:rPr>
      </w:pPr>
      <w:bookmarkStart w:id="575" w:name="_Toc502937715"/>
      <w:bookmarkStart w:id="576" w:name="_Toc519500082"/>
      <w:r w:rsidRPr="009B0448">
        <w:rPr>
          <w:rFonts w:cs="Times New Roman"/>
          <w:sz w:val="22"/>
        </w:rPr>
        <w:t>Appendix 6.2: Policies and initiatives in Africa to support transboundary ecosystem governance</w:t>
      </w:r>
      <w:bookmarkEnd w:id="575"/>
      <w:r w:rsidR="00F9601E" w:rsidRPr="009B0448">
        <w:rPr>
          <w:rFonts w:cs="Times New Roman"/>
          <w:sz w:val="22"/>
        </w:rPr>
        <w:t>.</w:t>
      </w:r>
      <w:bookmarkEnd w:id="576"/>
    </w:p>
    <w:tbl>
      <w:tblPr>
        <w:tblpPr w:leftFromText="180" w:rightFromText="180" w:vertAnchor="text" w:horzAnchor="margin" w:tblpY="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985"/>
        <w:gridCol w:w="3268"/>
        <w:gridCol w:w="3763"/>
      </w:tblGrid>
      <w:tr w:rsidR="00F83B61" w:rsidRPr="009B0448" w14:paraId="5ABE3B62" w14:textId="77777777" w:rsidTr="00B65F3C">
        <w:tc>
          <w:tcPr>
            <w:tcW w:w="1995" w:type="dxa"/>
            <w:shd w:val="clear" w:color="auto" w:fill="DBDBDB" w:themeFill="accent3" w:themeFillTint="66"/>
            <w:tcMar>
              <w:top w:w="100" w:type="dxa"/>
              <w:left w:w="100" w:type="dxa"/>
              <w:bottom w:w="100" w:type="dxa"/>
              <w:right w:w="100" w:type="dxa"/>
            </w:tcMar>
          </w:tcPr>
          <w:p w14:paraId="7235DB11" w14:textId="77777777" w:rsidR="00F83B61" w:rsidRPr="009B0448" w:rsidRDefault="00F83B61" w:rsidP="00F83B61">
            <w:pPr>
              <w:spacing w:line="276" w:lineRule="auto"/>
              <w:ind w:left="160" w:right="160"/>
              <w:rPr>
                <w:rFonts w:ascii="Times New Roman" w:hAnsi="Times New Roman" w:cs="Times New Roman"/>
                <w:b/>
              </w:rPr>
            </w:pPr>
            <w:r w:rsidRPr="009B0448">
              <w:rPr>
                <w:rFonts w:ascii="Times New Roman" w:hAnsi="Times New Roman" w:cs="Times New Roman"/>
                <w:b/>
              </w:rPr>
              <w:t>Policies and initiatives</w:t>
            </w:r>
          </w:p>
        </w:tc>
        <w:tc>
          <w:tcPr>
            <w:tcW w:w="3287" w:type="dxa"/>
            <w:shd w:val="clear" w:color="auto" w:fill="DBDBDB" w:themeFill="accent3" w:themeFillTint="66"/>
            <w:tcMar>
              <w:top w:w="100" w:type="dxa"/>
              <w:left w:w="100" w:type="dxa"/>
              <w:bottom w:w="100" w:type="dxa"/>
              <w:right w:w="100" w:type="dxa"/>
            </w:tcMar>
          </w:tcPr>
          <w:p w14:paraId="17221DB4" w14:textId="77777777" w:rsidR="00F83B61" w:rsidRPr="009B0448" w:rsidRDefault="00F83B61" w:rsidP="00F83B61">
            <w:pPr>
              <w:spacing w:line="276" w:lineRule="auto"/>
              <w:ind w:left="160" w:right="160"/>
              <w:rPr>
                <w:rFonts w:ascii="Times New Roman" w:hAnsi="Times New Roman" w:cs="Times New Roman"/>
                <w:b/>
              </w:rPr>
            </w:pPr>
            <w:r w:rsidRPr="009B0448">
              <w:rPr>
                <w:rFonts w:ascii="Times New Roman" w:hAnsi="Times New Roman" w:cs="Times New Roman"/>
                <w:b/>
              </w:rPr>
              <w:t>Description</w:t>
            </w:r>
          </w:p>
        </w:tc>
        <w:tc>
          <w:tcPr>
            <w:tcW w:w="3785" w:type="dxa"/>
            <w:shd w:val="clear" w:color="auto" w:fill="DBDBDB" w:themeFill="accent3" w:themeFillTint="66"/>
          </w:tcPr>
          <w:p w14:paraId="12DA460E" w14:textId="77777777" w:rsidR="00F83B61" w:rsidRPr="009B0448" w:rsidRDefault="00F83B61" w:rsidP="00F83B61">
            <w:pPr>
              <w:spacing w:line="276" w:lineRule="auto"/>
              <w:ind w:left="160" w:right="160"/>
              <w:rPr>
                <w:rFonts w:ascii="Times New Roman" w:hAnsi="Times New Roman" w:cs="Times New Roman"/>
                <w:b/>
              </w:rPr>
            </w:pPr>
            <w:r w:rsidRPr="009B0448">
              <w:rPr>
                <w:rFonts w:ascii="Times New Roman" w:hAnsi="Times New Roman" w:cs="Times New Roman"/>
                <w:b/>
              </w:rPr>
              <w:t>Institution</w:t>
            </w:r>
          </w:p>
        </w:tc>
      </w:tr>
      <w:tr w:rsidR="00F83B61" w:rsidRPr="009B0448" w14:paraId="221B4F52" w14:textId="77777777" w:rsidTr="00B65F3C">
        <w:tc>
          <w:tcPr>
            <w:tcW w:w="1995" w:type="dxa"/>
            <w:tcMar>
              <w:top w:w="100" w:type="dxa"/>
              <w:left w:w="100" w:type="dxa"/>
              <w:bottom w:w="100" w:type="dxa"/>
              <w:right w:w="100" w:type="dxa"/>
            </w:tcMar>
          </w:tcPr>
          <w:p w14:paraId="4EF91690"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Agenda 2063 for Africa</w:t>
            </w:r>
          </w:p>
        </w:tc>
        <w:tc>
          <w:tcPr>
            <w:tcW w:w="3287" w:type="dxa"/>
            <w:tcMar>
              <w:top w:w="100" w:type="dxa"/>
              <w:left w:w="100" w:type="dxa"/>
              <w:bottom w:w="100" w:type="dxa"/>
              <w:right w:w="100" w:type="dxa"/>
            </w:tcMar>
          </w:tcPr>
          <w:p w14:paraId="44E364BC"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Aspiration 1 and 3 – Ensures positive socio economic transformation</w:t>
            </w:r>
          </w:p>
        </w:tc>
        <w:tc>
          <w:tcPr>
            <w:tcW w:w="3785" w:type="dxa"/>
          </w:tcPr>
          <w:p w14:paraId="629C52A4" w14:textId="3D688D02"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 xml:space="preserve">NEPAD, </w:t>
            </w:r>
            <w:r w:rsidR="00935358" w:rsidRPr="009B0448">
              <w:rPr>
                <w:rFonts w:ascii="Times New Roman" w:hAnsi="Times New Roman" w:cs="Times New Roman"/>
              </w:rPr>
              <w:t xml:space="preserve">Regional Economic Communities </w:t>
            </w:r>
            <w:r w:rsidR="00935358">
              <w:rPr>
                <w:rFonts w:ascii="Times New Roman" w:hAnsi="Times New Roman" w:cs="Times New Roman"/>
              </w:rPr>
              <w:t>(</w:t>
            </w:r>
            <w:r w:rsidRPr="009B0448">
              <w:rPr>
                <w:rFonts w:ascii="Times New Roman" w:hAnsi="Times New Roman" w:cs="Times New Roman"/>
              </w:rPr>
              <w:t>RECs</w:t>
            </w:r>
            <w:r w:rsidR="00935358">
              <w:rPr>
                <w:rFonts w:ascii="Times New Roman" w:hAnsi="Times New Roman" w:cs="Times New Roman"/>
              </w:rPr>
              <w:t>)</w:t>
            </w:r>
            <w:r w:rsidRPr="009B0448">
              <w:rPr>
                <w:rFonts w:ascii="Times New Roman" w:hAnsi="Times New Roman" w:cs="Times New Roman"/>
              </w:rPr>
              <w:t xml:space="preserve"> and Member States</w:t>
            </w:r>
          </w:p>
        </w:tc>
      </w:tr>
      <w:tr w:rsidR="00F83B61" w:rsidRPr="009B0448" w14:paraId="0AF4D2F8" w14:textId="77777777" w:rsidTr="00B65F3C">
        <w:trPr>
          <w:trHeight w:val="1837"/>
        </w:trPr>
        <w:tc>
          <w:tcPr>
            <w:tcW w:w="1995" w:type="dxa"/>
            <w:tcMar>
              <w:top w:w="100" w:type="dxa"/>
              <w:left w:w="100" w:type="dxa"/>
              <w:bottom w:w="100" w:type="dxa"/>
              <w:right w:w="100" w:type="dxa"/>
            </w:tcMar>
          </w:tcPr>
          <w:p w14:paraId="0CBECC4B"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NEPAD Strategy 2014 – 2017 / NEPAD/AU/ AMCEN Initiative on environment</w:t>
            </w:r>
          </w:p>
        </w:tc>
        <w:tc>
          <w:tcPr>
            <w:tcW w:w="3287" w:type="dxa"/>
            <w:tcMar>
              <w:top w:w="100" w:type="dxa"/>
              <w:left w:w="100" w:type="dxa"/>
              <w:bottom w:w="100" w:type="dxa"/>
              <w:right w:w="100" w:type="dxa"/>
            </w:tcMar>
          </w:tcPr>
          <w:p w14:paraId="0EB00203"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 xml:space="preserve">Contains regional priorities based on national issues. </w:t>
            </w:r>
          </w:p>
          <w:p w14:paraId="1149D960" w14:textId="77777777" w:rsidR="00F83B61" w:rsidRPr="009B0448" w:rsidRDefault="00F83B61" w:rsidP="00F83B61">
            <w:pPr>
              <w:spacing w:line="276" w:lineRule="auto"/>
              <w:ind w:left="160" w:right="160"/>
              <w:rPr>
                <w:rFonts w:ascii="Times New Roman" w:hAnsi="Times New Roman" w:cs="Times New Roman"/>
              </w:rPr>
            </w:pPr>
          </w:p>
          <w:p w14:paraId="5924F8C3"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Promotion of regional development through integration at sub regional level.</w:t>
            </w:r>
          </w:p>
        </w:tc>
        <w:tc>
          <w:tcPr>
            <w:tcW w:w="3785" w:type="dxa"/>
          </w:tcPr>
          <w:p w14:paraId="7A683637" w14:textId="4C5D96A1" w:rsidR="00F83B61" w:rsidRPr="009B0448" w:rsidRDefault="00F83B61" w:rsidP="00935358">
            <w:pPr>
              <w:spacing w:line="276" w:lineRule="auto"/>
              <w:ind w:left="160" w:right="160"/>
              <w:rPr>
                <w:rFonts w:ascii="Times New Roman" w:hAnsi="Times New Roman" w:cs="Times New Roman"/>
              </w:rPr>
            </w:pPr>
            <w:r w:rsidRPr="009B0448">
              <w:rPr>
                <w:rFonts w:ascii="Times New Roman" w:hAnsi="Times New Roman" w:cs="Times New Roman"/>
              </w:rPr>
              <w:t xml:space="preserve">NEPAD, </w:t>
            </w:r>
            <w:r w:rsidR="00935358">
              <w:rPr>
                <w:rFonts w:ascii="Times New Roman" w:hAnsi="Times New Roman" w:cs="Times New Roman"/>
              </w:rPr>
              <w:t>RECs</w:t>
            </w:r>
            <w:r w:rsidRPr="009B0448">
              <w:rPr>
                <w:rFonts w:ascii="Times New Roman" w:hAnsi="Times New Roman" w:cs="Times New Roman"/>
              </w:rPr>
              <w:t xml:space="preserve"> and Member States.</w:t>
            </w:r>
          </w:p>
        </w:tc>
      </w:tr>
      <w:tr w:rsidR="00F83B61" w:rsidRPr="009B0448" w14:paraId="6CF13F7F" w14:textId="77777777" w:rsidTr="00B65F3C">
        <w:tc>
          <w:tcPr>
            <w:tcW w:w="1995" w:type="dxa"/>
            <w:tcMar>
              <w:top w:w="100" w:type="dxa"/>
              <w:left w:w="100" w:type="dxa"/>
              <w:bottom w:w="100" w:type="dxa"/>
              <w:right w:w="100" w:type="dxa"/>
            </w:tcMar>
          </w:tcPr>
          <w:p w14:paraId="6D4E38A7"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Transboundary River and Lake Basin Commissions</w:t>
            </w:r>
          </w:p>
        </w:tc>
        <w:tc>
          <w:tcPr>
            <w:tcW w:w="3287" w:type="dxa"/>
            <w:tcMar>
              <w:top w:w="100" w:type="dxa"/>
              <w:left w:w="100" w:type="dxa"/>
              <w:bottom w:w="100" w:type="dxa"/>
              <w:right w:w="100" w:type="dxa"/>
            </w:tcMar>
          </w:tcPr>
          <w:p w14:paraId="6CE04039"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Protection of the resources of the transboundary water resources (biodiversity and ecosystems)</w:t>
            </w:r>
          </w:p>
        </w:tc>
        <w:tc>
          <w:tcPr>
            <w:tcW w:w="3785" w:type="dxa"/>
          </w:tcPr>
          <w:p w14:paraId="720CB7BA"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Lake Chad, Lake Victoria, Nile River, Niger River, Okavango, Limpopo, Zambezi, Senegal River etc.,</w:t>
            </w:r>
          </w:p>
        </w:tc>
      </w:tr>
      <w:tr w:rsidR="00F83B61" w:rsidRPr="009B0448" w14:paraId="2AD5F7EA" w14:textId="77777777" w:rsidTr="00B65F3C">
        <w:tc>
          <w:tcPr>
            <w:tcW w:w="1995" w:type="dxa"/>
            <w:tcMar>
              <w:top w:w="100" w:type="dxa"/>
              <w:left w:w="100" w:type="dxa"/>
              <w:bottom w:w="100" w:type="dxa"/>
              <w:right w:w="100" w:type="dxa"/>
            </w:tcMar>
          </w:tcPr>
          <w:p w14:paraId="7E1DDEBF"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Transfrontier conservation areas (TFCA)</w:t>
            </w:r>
          </w:p>
        </w:tc>
        <w:tc>
          <w:tcPr>
            <w:tcW w:w="3287" w:type="dxa"/>
            <w:tcMar>
              <w:top w:w="100" w:type="dxa"/>
              <w:left w:w="100" w:type="dxa"/>
              <w:bottom w:w="100" w:type="dxa"/>
              <w:right w:w="100" w:type="dxa"/>
            </w:tcMar>
          </w:tcPr>
          <w:p w14:paraId="5AF75014"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Protection of transboundary terrestrial resources (biodiversity and Ecosystems)</w:t>
            </w:r>
          </w:p>
        </w:tc>
        <w:tc>
          <w:tcPr>
            <w:tcW w:w="3785" w:type="dxa"/>
          </w:tcPr>
          <w:p w14:paraId="5CC7F17F"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Maloti-Drakensberg Transfrontier Conservation and Development Area, Great Limpopo Transfrontier Conservation Area, Niger Delta,</w:t>
            </w:r>
          </w:p>
          <w:p w14:paraId="7D8873FE"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Ruwenzori, Mount Elgon.</w:t>
            </w:r>
          </w:p>
          <w:p w14:paraId="76D6D5D3"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COMIFAC, Miombo Trans-frontier Commission.</w:t>
            </w:r>
          </w:p>
        </w:tc>
      </w:tr>
      <w:tr w:rsidR="00F83B61" w:rsidRPr="009B0448" w14:paraId="6B77110E" w14:textId="77777777" w:rsidTr="00B65F3C">
        <w:tc>
          <w:tcPr>
            <w:tcW w:w="1995" w:type="dxa"/>
            <w:tcMar>
              <w:top w:w="100" w:type="dxa"/>
              <w:left w:w="100" w:type="dxa"/>
              <w:bottom w:w="100" w:type="dxa"/>
              <w:right w:w="100" w:type="dxa"/>
            </w:tcMar>
          </w:tcPr>
          <w:p w14:paraId="6D949403"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Landscape Commissions</w:t>
            </w:r>
          </w:p>
        </w:tc>
        <w:tc>
          <w:tcPr>
            <w:tcW w:w="3287" w:type="dxa"/>
            <w:tcMar>
              <w:top w:w="100" w:type="dxa"/>
              <w:left w:w="100" w:type="dxa"/>
              <w:bottom w:w="100" w:type="dxa"/>
              <w:right w:w="100" w:type="dxa"/>
            </w:tcMar>
          </w:tcPr>
          <w:p w14:paraId="77FF2648"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Conservation of National Resources.</w:t>
            </w:r>
          </w:p>
          <w:p w14:paraId="126C8747"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Reforestation</w:t>
            </w:r>
          </w:p>
        </w:tc>
        <w:tc>
          <w:tcPr>
            <w:tcW w:w="3785" w:type="dxa"/>
          </w:tcPr>
          <w:p w14:paraId="688E70A7"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Algiers and Maputo convention</w:t>
            </w:r>
          </w:p>
          <w:p w14:paraId="3B84A9E9" w14:textId="0CACCEE6" w:rsidR="00F83B61" w:rsidRPr="009B0448" w:rsidRDefault="00935358" w:rsidP="00F83B61">
            <w:pPr>
              <w:spacing w:line="276" w:lineRule="auto"/>
              <w:ind w:left="160" w:right="160"/>
              <w:rPr>
                <w:rFonts w:ascii="Times New Roman" w:hAnsi="Times New Roman" w:cs="Times New Roman"/>
              </w:rPr>
            </w:pPr>
            <w:r w:rsidRPr="00935358">
              <w:rPr>
                <w:rFonts w:ascii="Times New Roman" w:hAnsi="Times New Roman" w:cs="Times New Roman"/>
              </w:rPr>
              <w:t xml:space="preserve">Great Green Wall for the Sahara and the Sahel Initiative </w:t>
            </w:r>
            <w:r>
              <w:rPr>
                <w:rFonts w:ascii="Times New Roman" w:hAnsi="Times New Roman" w:cs="Times New Roman"/>
              </w:rPr>
              <w:t>(</w:t>
            </w:r>
            <w:r w:rsidR="00F83B61" w:rsidRPr="009B0448">
              <w:rPr>
                <w:rFonts w:ascii="Times New Roman" w:hAnsi="Times New Roman" w:cs="Times New Roman"/>
              </w:rPr>
              <w:t>GGWSSI</w:t>
            </w:r>
            <w:r>
              <w:rPr>
                <w:rFonts w:ascii="Times New Roman" w:hAnsi="Times New Roman" w:cs="Times New Roman"/>
              </w:rPr>
              <w:t>)</w:t>
            </w:r>
          </w:p>
        </w:tc>
      </w:tr>
      <w:tr w:rsidR="00F83B61" w:rsidRPr="009B0448" w14:paraId="6AFBCEA3" w14:textId="77777777" w:rsidTr="00B65F3C">
        <w:tc>
          <w:tcPr>
            <w:tcW w:w="1995" w:type="dxa"/>
            <w:tcMar>
              <w:top w:w="100" w:type="dxa"/>
              <w:left w:w="100" w:type="dxa"/>
              <w:bottom w:w="100" w:type="dxa"/>
              <w:right w:w="100" w:type="dxa"/>
            </w:tcMar>
          </w:tcPr>
          <w:p w14:paraId="51D635E1"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Terrestrial Commissions</w:t>
            </w:r>
          </w:p>
        </w:tc>
        <w:tc>
          <w:tcPr>
            <w:tcW w:w="3287" w:type="dxa"/>
            <w:tcMar>
              <w:top w:w="100" w:type="dxa"/>
              <w:left w:w="100" w:type="dxa"/>
              <w:bottom w:w="100" w:type="dxa"/>
              <w:right w:w="100" w:type="dxa"/>
            </w:tcMar>
          </w:tcPr>
          <w:p w14:paraId="21DDD2E1"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Conserving genetic Biodiversity through gene banks</w:t>
            </w:r>
          </w:p>
        </w:tc>
        <w:tc>
          <w:tcPr>
            <w:tcW w:w="3785" w:type="dxa"/>
          </w:tcPr>
          <w:p w14:paraId="55EFC8EB"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 xml:space="preserve">SADC Plant Genetic Resources </w:t>
            </w:r>
          </w:p>
        </w:tc>
      </w:tr>
      <w:tr w:rsidR="00F83B61" w:rsidRPr="009B0448" w14:paraId="5B250E04" w14:textId="77777777" w:rsidTr="00B65F3C">
        <w:tc>
          <w:tcPr>
            <w:tcW w:w="1995" w:type="dxa"/>
            <w:tcMar>
              <w:top w:w="100" w:type="dxa"/>
              <w:left w:w="100" w:type="dxa"/>
              <w:bottom w:w="100" w:type="dxa"/>
              <w:right w:w="100" w:type="dxa"/>
            </w:tcMar>
          </w:tcPr>
          <w:p w14:paraId="5933394D"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Aquatic (Fresh and Marine)</w:t>
            </w:r>
          </w:p>
        </w:tc>
        <w:tc>
          <w:tcPr>
            <w:tcW w:w="3287" w:type="dxa"/>
            <w:tcMar>
              <w:top w:w="100" w:type="dxa"/>
              <w:left w:w="100" w:type="dxa"/>
              <w:bottom w:w="100" w:type="dxa"/>
              <w:right w:w="100" w:type="dxa"/>
            </w:tcMar>
          </w:tcPr>
          <w:p w14:paraId="1D2A2301"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 xml:space="preserve">COMESA fisheries and Aquaculture Strategy, </w:t>
            </w:r>
          </w:p>
          <w:p w14:paraId="748DA3A5"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 xml:space="preserve">Tuna Commission,  </w:t>
            </w:r>
          </w:p>
          <w:p w14:paraId="78CBD950"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Protection, Management and Development of Marine and Coastal Resources</w:t>
            </w:r>
          </w:p>
        </w:tc>
        <w:tc>
          <w:tcPr>
            <w:tcW w:w="3785" w:type="dxa"/>
          </w:tcPr>
          <w:p w14:paraId="3F5CD350" w14:textId="7C4734A6" w:rsidR="00F83B61" w:rsidRPr="009B0448" w:rsidRDefault="00935358" w:rsidP="00F83B61">
            <w:pPr>
              <w:spacing w:line="276" w:lineRule="auto"/>
              <w:ind w:left="160" w:right="160"/>
              <w:rPr>
                <w:rFonts w:ascii="Times New Roman" w:hAnsi="Times New Roman" w:cs="Times New Roman"/>
              </w:rPr>
            </w:pPr>
            <w:r>
              <w:rPr>
                <w:rFonts w:ascii="Times New Roman" w:hAnsi="Times New Roman" w:cs="Times New Roman"/>
              </w:rPr>
              <w:t>COMESA</w:t>
            </w:r>
          </w:p>
          <w:p w14:paraId="67238AA3" w14:textId="77777777" w:rsidR="00F83B61" w:rsidRPr="009B0448" w:rsidRDefault="00F83B61" w:rsidP="00F83B61">
            <w:pPr>
              <w:spacing w:line="276" w:lineRule="auto"/>
              <w:ind w:left="160" w:right="160"/>
              <w:rPr>
                <w:rFonts w:ascii="Times New Roman" w:hAnsi="Times New Roman" w:cs="Times New Roman"/>
              </w:rPr>
            </w:pPr>
          </w:p>
          <w:p w14:paraId="598A829A"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South West Indian</w:t>
            </w:r>
          </w:p>
          <w:p w14:paraId="31C143A9" w14:textId="77777777" w:rsidR="00F83B61" w:rsidRPr="009B0448" w:rsidRDefault="00F83B61" w:rsidP="00F83B61">
            <w:pPr>
              <w:spacing w:line="276" w:lineRule="auto"/>
              <w:ind w:left="160" w:right="160"/>
              <w:rPr>
                <w:rFonts w:ascii="Times New Roman" w:hAnsi="Times New Roman" w:cs="Times New Roman"/>
              </w:rPr>
            </w:pPr>
          </w:p>
          <w:p w14:paraId="5E4D6B95" w14:textId="77777777" w:rsidR="00F83B61" w:rsidRPr="009B0448" w:rsidRDefault="00F83B61" w:rsidP="00F83B61">
            <w:pPr>
              <w:spacing w:line="276" w:lineRule="auto"/>
              <w:ind w:left="160" w:right="160"/>
              <w:rPr>
                <w:rFonts w:ascii="Times New Roman" w:hAnsi="Times New Roman" w:cs="Times New Roman"/>
              </w:rPr>
            </w:pPr>
            <w:r w:rsidRPr="009B0448">
              <w:rPr>
                <w:rFonts w:ascii="Times New Roman" w:hAnsi="Times New Roman" w:cs="Times New Roman"/>
              </w:rPr>
              <w:t>Nairobi and Abidjan Convention</w:t>
            </w:r>
          </w:p>
        </w:tc>
      </w:tr>
    </w:tbl>
    <w:p w14:paraId="379795F5" w14:textId="77777777" w:rsidR="00F83B61" w:rsidRPr="009B0448" w:rsidRDefault="00F83B61" w:rsidP="00F83B61">
      <w:pPr>
        <w:rPr>
          <w:rFonts w:ascii="Times New Roman" w:eastAsia="Times New Roman" w:hAnsi="Times New Roman" w:cs="Times New Roman"/>
          <w:sz w:val="20"/>
          <w:szCs w:val="20"/>
        </w:rPr>
      </w:pPr>
      <w:r w:rsidRPr="009B0448">
        <w:rPr>
          <w:rFonts w:ascii="Times New Roman" w:eastAsia="Times New Roman" w:hAnsi="Times New Roman" w:cs="Times New Roman"/>
          <w:sz w:val="20"/>
          <w:szCs w:val="20"/>
        </w:rPr>
        <w:br w:type="page"/>
      </w:r>
    </w:p>
    <w:p w14:paraId="4D609E10" w14:textId="410BD2B5" w:rsidR="00F83B61" w:rsidRPr="009B0448" w:rsidRDefault="00F83B61" w:rsidP="00F83B61">
      <w:pPr>
        <w:pStyle w:val="Heading3"/>
        <w:ind w:left="-11" w:firstLine="0"/>
        <w:rPr>
          <w:rFonts w:cs="Times New Roman"/>
          <w:b w:val="0"/>
          <w:sz w:val="22"/>
        </w:rPr>
      </w:pPr>
      <w:bookmarkStart w:id="577" w:name="_Toc502937716"/>
      <w:bookmarkStart w:id="578" w:name="_Toc519500083"/>
      <w:r w:rsidRPr="009B0448">
        <w:rPr>
          <w:rFonts w:cs="Times New Roman"/>
          <w:sz w:val="22"/>
        </w:rPr>
        <w:t>Appendix 6.3: Examples of economic incentives and financial instruments and their application in Africa</w:t>
      </w:r>
      <w:bookmarkEnd w:id="577"/>
      <w:r w:rsidR="00F9601E" w:rsidRPr="009B0448">
        <w:rPr>
          <w:rFonts w:cs="Times New Roman"/>
          <w:sz w:val="22"/>
        </w:rPr>
        <w:t>.</w:t>
      </w:r>
      <w:bookmarkEnd w:id="578"/>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438"/>
        <w:gridCol w:w="3758"/>
        <w:gridCol w:w="3820"/>
      </w:tblGrid>
      <w:tr w:rsidR="00F83B61" w:rsidRPr="009B0448" w14:paraId="44F54EA0" w14:textId="77777777" w:rsidTr="00B65F3C">
        <w:tc>
          <w:tcPr>
            <w:tcW w:w="1438" w:type="dxa"/>
            <w:shd w:val="clear" w:color="auto" w:fill="DBDBDB" w:themeFill="accent3" w:themeFillTint="66"/>
          </w:tcPr>
          <w:p w14:paraId="0E9C9F49" w14:textId="77777777" w:rsidR="00F83B61" w:rsidRPr="009B0448" w:rsidRDefault="00F83B61" w:rsidP="00F83B61">
            <w:pPr>
              <w:rPr>
                <w:rFonts w:ascii="Times New Roman" w:hAnsi="Times New Roman" w:cs="Times New Roman"/>
                <w:b/>
              </w:rPr>
            </w:pPr>
            <w:r w:rsidRPr="009B0448">
              <w:rPr>
                <w:rFonts w:ascii="Times New Roman" w:hAnsi="Times New Roman" w:cs="Times New Roman"/>
                <w:b/>
              </w:rPr>
              <w:t>Instrument</w:t>
            </w:r>
          </w:p>
        </w:tc>
        <w:tc>
          <w:tcPr>
            <w:tcW w:w="3758" w:type="dxa"/>
            <w:shd w:val="clear" w:color="auto" w:fill="DBDBDB" w:themeFill="accent3" w:themeFillTint="66"/>
          </w:tcPr>
          <w:p w14:paraId="29977456" w14:textId="77777777" w:rsidR="00F83B61" w:rsidRPr="009B0448" w:rsidRDefault="00F83B61" w:rsidP="00F83B61">
            <w:pPr>
              <w:rPr>
                <w:rFonts w:ascii="Times New Roman" w:hAnsi="Times New Roman" w:cs="Times New Roman"/>
                <w:b/>
              </w:rPr>
            </w:pPr>
            <w:r w:rsidRPr="009B0448">
              <w:rPr>
                <w:rFonts w:ascii="Times New Roman" w:hAnsi="Times New Roman" w:cs="Times New Roman"/>
                <w:b/>
              </w:rPr>
              <w:t>Description</w:t>
            </w:r>
          </w:p>
        </w:tc>
        <w:tc>
          <w:tcPr>
            <w:tcW w:w="3820" w:type="dxa"/>
            <w:shd w:val="clear" w:color="auto" w:fill="DBDBDB" w:themeFill="accent3" w:themeFillTint="66"/>
          </w:tcPr>
          <w:p w14:paraId="3256BF4A" w14:textId="77777777" w:rsidR="00F83B61" w:rsidRPr="009B0448" w:rsidRDefault="00F83B61" w:rsidP="00F83B61">
            <w:pPr>
              <w:rPr>
                <w:rFonts w:ascii="Times New Roman" w:hAnsi="Times New Roman" w:cs="Times New Roman"/>
                <w:b/>
              </w:rPr>
            </w:pPr>
            <w:r w:rsidRPr="009B0448">
              <w:rPr>
                <w:rFonts w:ascii="Times New Roman" w:hAnsi="Times New Roman" w:cs="Times New Roman"/>
                <w:b/>
              </w:rPr>
              <w:t>Illustrative applications in Africa</w:t>
            </w:r>
          </w:p>
        </w:tc>
      </w:tr>
      <w:tr w:rsidR="00F83B61" w:rsidRPr="009B0448" w14:paraId="0A33E2A5" w14:textId="77777777" w:rsidTr="00B65F3C">
        <w:tc>
          <w:tcPr>
            <w:tcW w:w="1438" w:type="dxa"/>
          </w:tcPr>
          <w:p w14:paraId="11D63AAD" w14:textId="77777777" w:rsidR="00F83B61" w:rsidRPr="009B0448" w:rsidRDefault="00F83B61" w:rsidP="00F83B61">
            <w:pPr>
              <w:rPr>
                <w:rFonts w:ascii="Times New Roman" w:hAnsi="Times New Roman" w:cs="Times New Roman"/>
              </w:rPr>
            </w:pPr>
            <w:r w:rsidRPr="009B0448">
              <w:rPr>
                <w:rFonts w:ascii="Times New Roman" w:hAnsi="Times New Roman" w:cs="Times New Roman"/>
              </w:rPr>
              <w:t>Payments for ecosystem services (PES)</w:t>
            </w:r>
          </w:p>
        </w:tc>
        <w:tc>
          <w:tcPr>
            <w:tcW w:w="3758" w:type="dxa"/>
          </w:tcPr>
          <w:p w14:paraId="6295BD90" w14:textId="4697AE00" w:rsidR="00F83B61" w:rsidRPr="009B0448" w:rsidRDefault="00F83B61" w:rsidP="00F83B61">
            <w:pPr>
              <w:rPr>
                <w:rFonts w:ascii="Times New Roman" w:hAnsi="Times New Roman" w:cs="Times New Roman"/>
              </w:rPr>
            </w:pPr>
            <w:r w:rsidRPr="009B0448">
              <w:rPr>
                <w:rFonts w:ascii="Times New Roman" w:hAnsi="Times New Roman" w:cs="Times New Roman"/>
              </w:rPr>
              <w:t xml:space="preserve">PES schemes represent agreements in which beneficiaries of particular ecosystem services pay the providers of those services (Schomers </w:t>
            </w:r>
            <w:r w:rsidR="000429F8" w:rsidRPr="009B0448">
              <w:rPr>
                <w:rFonts w:ascii="Times New Roman" w:hAnsi="Times New Roman" w:cs="Times New Roman"/>
                <w:i/>
              </w:rPr>
              <w:t>et al.</w:t>
            </w:r>
            <w:r w:rsidRPr="009B0448">
              <w:rPr>
                <w:rFonts w:ascii="Times New Roman" w:hAnsi="Times New Roman" w:cs="Times New Roman"/>
              </w:rPr>
              <w:t>, 2013). Since their inception in the late 1990s, several PES schemes globally have influenced land-use change. Fewer studies have demonstrated impacts in increasing service provision, and fewer still the impacts on livelihoods. While significant risks and benefits of PES continue to be discussed, their capacity to link service providers to beneficiaries remain</w:t>
            </w:r>
            <w:r w:rsidR="00017A7E" w:rsidRPr="009B0448">
              <w:rPr>
                <w:rFonts w:ascii="Times New Roman" w:hAnsi="Times New Roman" w:cs="Times New Roman"/>
              </w:rPr>
              <w:t>s</w:t>
            </w:r>
            <w:r w:rsidRPr="009B0448">
              <w:rPr>
                <w:rFonts w:ascii="Times New Roman" w:hAnsi="Times New Roman" w:cs="Times New Roman"/>
              </w:rPr>
              <w:t xml:space="preserve"> a powerful means of incentivising change through conservation. </w:t>
            </w:r>
          </w:p>
        </w:tc>
        <w:tc>
          <w:tcPr>
            <w:tcW w:w="3820" w:type="dxa"/>
          </w:tcPr>
          <w:p w14:paraId="2596186D" w14:textId="0CA49557" w:rsidR="00F83B61" w:rsidRPr="009B0448" w:rsidRDefault="00F83B61" w:rsidP="00F83B61">
            <w:pPr>
              <w:rPr>
                <w:rFonts w:ascii="Times New Roman" w:hAnsi="Times New Roman" w:cs="Times New Roman"/>
              </w:rPr>
            </w:pPr>
            <w:r w:rsidRPr="009B0448">
              <w:rPr>
                <w:rFonts w:ascii="Times New Roman" w:hAnsi="Times New Roman" w:cs="Times New Roman"/>
              </w:rPr>
              <w:t xml:space="preserve">Namirembe </w:t>
            </w:r>
            <w:r w:rsidR="000429F8" w:rsidRPr="009B0448">
              <w:rPr>
                <w:rFonts w:ascii="Times New Roman" w:hAnsi="Times New Roman" w:cs="Times New Roman"/>
                <w:i/>
              </w:rPr>
              <w:t>et al.</w:t>
            </w:r>
            <w:r w:rsidRPr="009B0448">
              <w:rPr>
                <w:rFonts w:ascii="Times New Roman" w:hAnsi="Times New Roman" w:cs="Times New Roman"/>
              </w:rPr>
              <w:t>, (2014) review 50 tree -based ecosystem service projects including co-investment, commodification, and compensation for carbon, water, habitat for biodiversity, and bundled services. Water Funds (e.g.</w:t>
            </w:r>
            <w:r w:rsidR="0091139F">
              <w:rPr>
                <w:rFonts w:ascii="Times New Roman" w:hAnsi="Times New Roman" w:cs="Times New Roman"/>
              </w:rPr>
              <w:t>,</w:t>
            </w:r>
            <w:r w:rsidRPr="009B0448">
              <w:rPr>
                <w:rFonts w:ascii="Times New Roman" w:hAnsi="Times New Roman" w:cs="Times New Roman"/>
              </w:rPr>
              <w:t xml:space="preserve"> the Nairobi Water Fund, and Tana Basin management) involve the private sector in incentivising land-use change upstream of urban drinking water sources. Tourism companies pay communities for the protection of wildlife (Tanzania, Kenya, Namibia, Zimbabwe (Campfire), Zambia (ADMADE). Revenue from wildlife accounts for up to 24% of GNP.</w:t>
            </w:r>
          </w:p>
        </w:tc>
      </w:tr>
      <w:tr w:rsidR="00F83B61" w:rsidRPr="009B0448" w14:paraId="549C7985" w14:textId="77777777" w:rsidTr="00B65F3C">
        <w:tc>
          <w:tcPr>
            <w:tcW w:w="1438" w:type="dxa"/>
            <w:hideMark/>
          </w:tcPr>
          <w:p w14:paraId="038A8DA4" w14:textId="77777777" w:rsidR="00F83B61" w:rsidRPr="009B0448" w:rsidRDefault="00F83B61" w:rsidP="00F83B61">
            <w:pPr>
              <w:rPr>
                <w:rFonts w:ascii="Times New Roman" w:hAnsi="Times New Roman" w:cs="Times New Roman"/>
                <w:color w:val="auto"/>
              </w:rPr>
            </w:pPr>
            <w:r w:rsidRPr="009B0448">
              <w:rPr>
                <w:rFonts w:ascii="Times New Roman" w:hAnsi="Times New Roman" w:cs="Times New Roman"/>
                <w:color w:val="auto"/>
              </w:rPr>
              <w:t>REDD+</w:t>
            </w:r>
          </w:p>
        </w:tc>
        <w:tc>
          <w:tcPr>
            <w:tcW w:w="3758" w:type="dxa"/>
            <w:hideMark/>
          </w:tcPr>
          <w:p w14:paraId="75687ACE" w14:textId="7BC0D490" w:rsidR="00F83B61" w:rsidRPr="009B0448" w:rsidRDefault="00F83B61" w:rsidP="00935358">
            <w:pPr>
              <w:rPr>
                <w:rFonts w:ascii="Times New Roman" w:hAnsi="Times New Roman" w:cs="Times New Roman"/>
                <w:color w:val="auto"/>
              </w:rPr>
            </w:pPr>
            <w:r w:rsidRPr="009B0448">
              <w:rPr>
                <w:rFonts w:ascii="Times New Roman" w:hAnsi="Times New Roman" w:cs="Times New Roman"/>
                <w:color w:val="auto"/>
              </w:rPr>
              <w:t>REDD</w:t>
            </w:r>
            <w:r w:rsidR="00935358">
              <w:rPr>
                <w:rFonts w:ascii="Times New Roman" w:hAnsi="Times New Roman" w:cs="Times New Roman"/>
                <w:color w:val="auto"/>
              </w:rPr>
              <w:t>+</w:t>
            </w:r>
            <w:r w:rsidRPr="009B0448">
              <w:rPr>
                <w:rFonts w:ascii="Times New Roman" w:hAnsi="Times New Roman" w:cs="Times New Roman"/>
                <w:color w:val="auto"/>
              </w:rPr>
              <w:t xml:space="preserve"> has been developed as an innovative way of mitigating climate change whilst at the same time generating considerable benefits for biodiversity and ecosystem services with </w:t>
            </w:r>
            <w:r w:rsidR="00017A7E" w:rsidRPr="009B0448">
              <w:rPr>
                <w:rFonts w:ascii="Times New Roman" w:hAnsi="Times New Roman" w:cs="Times New Roman"/>
                <w:color w:val="auto"/>
              </w:rPr>
              <w:t xml:space="preserve">the </w:t>
            </w:r>
            <w:r w:rsidRPr="009B0448">
              <w:rPr>
                <w:rFonts w:ascii="Times New Roman" w:hAnsi="Times New Roman" w:cs="Times New Roman"/>
                <w:color w:val="auto"/>
              </w:rPr>
              <w:t>potential to extend the benefits to indigenous and local communities. Achievement of these multiple benefits requires close coordination between relevant stakeholders including local, international and national players. Activities aimed at achieving Afforestation and reforestation in the context of REDD</w:t>
            </w:r>
            <w:r w:rsidR="00935358">
              <w:rPr>
                <w:rFonts w:ascii="Times New Roman" w:hAnsi="Times New Roman" w:cs="Times New Roman"/>
                <w:color w:val="auto"/>
              </w:rPr>
              <w:t>+</w:t>
            </w:r>
            <w:r w:rsidRPr="009B0448">
              <w:rPr>
                <w:rFonts w:ascii="Times New Roman" w:hAnsi="Times New Roman" w:cs="Times New Roman"/>
                <w:color w:val="auto"/>
              </w:rPr>
              <w:t xml:space="preserve"> therefore, if effectively implemented have potential to enhance ecological connectivity which is important in ecosystems adaptation (CBD Secretariat </w:t>
            </w:r>
            <w:r w:rsidR="000429F8" w:rsidRPr="009B0448">
              <w:rPr>
                <w:rFonts w:ascii="Times New Roman" w:hAnsi="Times New Roman" w:cs="Times New Roman"/>
                <w:i/>
                <w:color w:val="auto"/>
              </w:rPr>
              <w:t>et al.</w:t>
            </w:r>
            <w:r w:rsidRPr="009B0448">
              <w:rPr>
                <w:rFonts w:ascii="Times New Roman" w:hAnsi="Times New Roman" w:cs="Times New Roman"/>
                <w:color w:val="auto"/>
              </w:rPr>
              <w:t>, 2011)</w:t>
            </w:r>
          </w:p>
        </w:tc>
        <w:tc>
          <w:tcPr>
            <w:tcW w:w="3820" w:type="dxa"/>
            <w:hideMark/>
          </w:tcPr>
          <w:p w14:paraId="443C33D0" w14:textId="7C3C1938" w:rsidR="00F83B61" w:rsidRPr="009B0448" w:rsidRDefault="00F83B61" w:rsidP="00F83B61">
            <w:pPr>
              <w:rPr>
                <w:rFonts w:ascii="Times New Roman" w:hAnsi="Times New Roman" w:cs="Times New Roman"/>
                <w:color w:val="auto"/>
              </w:rPr>
            </w:pPr>
            <w:r w:rsidRPr="009B0448">
              <w:rPr>
                <w:rFonts w:ascii="Times New Roman" w:hAnsi="Times New Roman" w:cs="Times New Roman"/>
                <w:color w:val="auto"/>
              </w:rPr>
              <w:t>Tanzania with the support of the government of Norway has piloted 9 REDD+ projects across Tanzania between 2009 and 2015. The pilots revealed the need for Tanzania to adapt participatory forest management to a REDD+ context which created funding and implementation opportunities for scaling up participatory forest management in various parts of the country. The pilots also showed that the REDD+ process contributed to strengthen</w:t>
            </w:r>
            <w:r w:rsidR="00017A7E" w:rsidRPr="009B0448">
              <w:rPr>
                <w:rFonts w:ascii="Times New Roman" w:hAnsi="Times New Roman" w:cs="Times New Roman"/>
                <w:color w:val="auto"/>
              </w:rPr>
              <w:t>ing</w:t>
            </w:r>
            <w:r w:rsidRPr="009B0448">
              <w:rPr>
                <w:rFonts w:ascii="Times New Roman" w:hAnsi="Times New Roman" w:cs="Times New Roman"/>
                <w:color w:val="auto"/>
              </w:rPr>
              <w:t xml:space="preserve"> forest mana</w:t>
            </w:r>
            <w:r w:rsidR="00017A7E" w:rsidRPr="009B0448">
              <w:rPr>
                <w:rFonts w:ascii="Times New Roman" w:hAnsi="Times New Roman" w:cs="Times New Roman"/>
                <w:color w:val="auto"/>
              </w:rPr>
              <w:t>gement rights through community-</w:t>
            </w:r>
            <w:r w:rsidRPr="009B0448">
              <w:rPr>
                <w:rFonts w:ascii="Times New Roman" w:hAnsi="Times New Roman" w:cs="Times New Roman"/>
                <w:color w:val="auto"/>
              </w:rPr>
              <w:t xml:space="preserve">based forest management. However, of the 9 pilot projects that were under the project, only 3 managed to produce </w:t>
            </w:r>
            <w:r w:rsidR="00935358">
              <w:rPr>
                <w:rFonts w:ascii="Times New Roman" w:hAnsi="Times New Roman" w:cs="Times New Roman"/>
                <w:color w:val="auto"/>
              </w:rPr>
              <w:t>(</w:t>
            </w:r>
            <w:r w:rsidR="00935358" w:rsidRPr="00935358">
              <w:rPr>
                <w:rFonts w:ascii="Times New Roman" w:hAnsi="Times New Roman" w:cs="Times New Roman"/>
                <w:color w:val="auto"/>
              </w:rPr>
              <w:t>Project Design Documen</w:t>
            </w:r>
            <w:r w:rsidR="00935358">
              <w:rPr>
                <w:rFonts w:ascii="Times New Roman" w:hAnsi="Times New Roman" w:cs="Times New Roman"/>
                <w:color w:val="auto"/>
              </w:rPr>
              <w:t>ts)</w:t>
            </w:r>
            <w:r w:rsidR="00935358" w:rsidRPr="00935358">
              <w:rPr>
                <w:rFonts w:ascii="Times New Roman" w:hAnsi="Times New Roman" w:cs="Times New Roman"/>
                <w:color w:val="auto"/>
              </w:rPr>
              <w:t xml:space="preserve"> </w:t>
            </w:r>
            <w:r w:rsidR="00935358">
              <w:rPr>
                <w:rFonts w:ascii="Times New Roman" w:hAnsi="Times New Roman" w:cs="Times New Roman"/>
                <w:color w:val="auto"/>
              </w:rPr>
              <w:t>PDD</w:t>
            </w:r>
            <w:r w:rsidRPr="009B0448">
              <w:rPr>
                <w:rFonts w:ascii="Times New Roman" w:hAnsi="Times New Roman" w:cs="Times New Roman"/>
                <w:color w:val="auto"/>
              </w:rPr>
              <w:t xml:space="preserve">s to support the sale of carbon credits. By 2015 however, none of these projects had managed to sell credits on the voluntary market. (Blomley </w:t>
            </w:r>
            <w:r w:rsidR="000429F8" w:rsidRPr="009B0448">
              <w:rPr>
                <w:rFonts w:ascii="Times New Roman" w:hAnsi="Times New Roman" w:cs="Times New Roman"/>
                <w:i/>
                <w:color w:val="auto"/>
              </w:rPr>
              <w:t>et al.</w:t>
            </w:r>
            <w:r w:rsidRPr="009B0448">
              <w:rPr>
                <w:rFonts w:ascii="Times New Roman" w:hAnsi="Times New Roman" w:cs="Times New Roman"/>
                <w:color w:val="auto"/>
              </w:rPr>
              <w:t xml:space="preserve">, 2016). </w:t>
            </w:r>
          </w:p>
        </w:tc>
      </w:tr>
      <w:tr w:rsidR="00F83B61" w:rsidRPr="009B0448" w14:paraId="12AC5ECE" w14:textId="77777777" w:rsidTr="00B65F3C">
        <w:tc>
          <w:tcPr>
            <w:tcW w:w="1438" w:type="dxa"/>
          </w:tcPr>
          <w:p w14:paraId="11EEBDAF" w14:textId="77777777" w:rsidR="00F83B61" w:rsidRPr="009B0448" w:rsidRDefault="00F83B61" w:rsidP="00F83B61">
            <w:pPr>
              <w:rPr>
                <w:rFonts w:ascii="Times New Roman" w:hAnsi="Times New Roman" w:cs="Times New Roman"/>
              </w:rPr>
            </w:pPr>
            <w:r w:rsidRPr="009B0448">
              <w:rPr>
                <w:rFonts w:ascii="Times New Roman" w:hAnsi="Times New Roman" w:cs="Times New Roman"/>
              </w:rPr>
              <w:t>Overseas Development Assistance (ODA),</w:t>
            </w:r>
          </w:p>
        </w:tc>
        <w:tc>
          <w:tcPr>
            <w:tcW w:w="3758" w:type="dxa"/>
          </w:tcPr>
          <w:p w14:paraId="0EEF984D" w14:textId="77777777" w:rsidR="00F83B61" w:rsidRPr="009B0448" w:rsidRDefault="00F83B61" w:rsidP="00F83B61">
            <w:pPr>
              <w:rPr>
                <w:rFonts w:ascii="Times New Roman" w:hAnsi="Times New Roman" w:cs="Times New Roman"/>
              </w:rPr>
            </w:pPr>
            <w:r w:rsidRPr="009B0448">
              <w:rPr>
                <w:rFonts w:ascii="Times New Roman" w:hAnsi="Times New Roman" w:cs="Times New Roman"/>
              </w:rPr>
              <w:t xml:space="preserve">ODA has been a growing means of supporting biodiversity and ecosystem services. The Global Environment Facility (GEF) plays a key role in linking environmental quality and national development priorities through its role as the financial mechanism for the CBD, UNFCCC, and UNCCD amongst others. </w:t>
            </w:r>
          </w:p>
        </w:tc>
        <w:tc>
          <w:tcPr>
            <w:tcW w:w="3820" w:type="dxa"/>
          </w:tcPr>
          <w:p w14:paraId="18B27E84" w14:textId="72278CE2" w:rsidR="00F83B61" w:rsidRPr="009B0448" w:rsidRDefault="00F83B61" w:rsidP="00017A7E">
            <w:pPr>
              <w:rPr>
                <w:rFonts w:ascii="Times New Roman" w:hAnsi="Times New Roman" w:cs="Times New Roman"/>
              </w:rPr>
            </w:pPr>
            <w:r w:rsidRPr="009B0448">
              <w:rPr>
                <w:rFonts w:ascii="Times New Roman" w:hAnsi="Times New Roman" w:cs="Times New Roman"/>
              </w:rPr>
              <w:t>The Volta Basin Authority with the financial support of the World Bank and the GEF has a $10 million project investing in large</w:t>
            </w:r>
            <w:r w:rsidR="00017A7E" w:rsidRPr="009B0448">
              <w:rPr>
                <w:rFonts w:ascii="Times New Roman" w:hAnsi="Times New Roman" w:cs="Times New Roman"/>
              </w:rPr>
              <w:t>-</w:t>
            </w:r>
            <w:r w:rsidRPr="009B0448">
              <w:rPr>
                <w:rFonts w:ascii="Times New Roman" w:hAnsi="Times New Roman" w:cs="Times New Roman"/>
              </w:rPr>
              <w:t xml:space="preserve">scale “conservation and restoration of ecosystem function” including ten specific restoration activities that link environmental health with the water management priorities of the basin authority. </w:t>
            </w:r>
          </w:p>
        </w:tc>
      </w:tr>
      <w:tr w:rsidR="00F83B61" w:rsidRPr="009B0448" w14:paraId="0855A419" w14:textId="77777777" w:rsidTr="00B65F3C">
        <w:tc>
          <w:tcPr>
            <w:tcW w:w="1438" w:type="dxa"/>
          </w:tcPr>
          <w:p w14:paraId="79BDB7EF" w14:textId="77777777" w:rsidR="00F83B61" w:rsidRPr="009B0448" w:rsidRDefault="00F83B61" w:rsidP="00F83B61">
            <w:pPr>
              <w:rPr>
                <w:rFonts w:ascii="Times New Roman" w:hAnsi="Times New Roman" w:cs="Times New Roman"/>
              </w:rPr>
            </w:pPr>
            <w:r w:rsidRPr="009B0448">
              <w:rPr>
                <w:rFonts w:ascii="Times New Roman" w:eastAsia="Times New Roman" w:hAnsi="Times New Roman" w:cs="Times New Roman"/>
              </w:rPr>
              <w:t>Emissions reductions trading</w:t>
            </w:r>
          </w:p>
        </w:tc>
        <w:tc>
          <w:tcPr>
            <w:tcW w:w="3758" w:type="dxa"/>
          </w:tcPr>
          <w:p w14:paraId="7E464761" w14:textId="77777777" w:rsidR="00F83B61" w:rsidRPr="009B0448" w:rsidRDefault="00F83B61" w:rsidP="00F83B61">
            <w:pPr>
              <w:rPr>
                <w:rFonts w:ascii="Times New Roman" w:hAnsi="Times New Roman" w:cs="Times New Roman"/>
              </w:rPr>
            </w:pPr>
            <w:r w:rsidRPr="009B0448">
              <w:rPr>
                <w:rFonts w:ascii="Times New Roman" w:eastAsia="Times New Roman" w:hAnsi="Times New Roman" w:cs="Times New Roman"/>
              </w:rPr>
              <w:t>A market mechanism where emissions permits or allowances are distributed through trading. This is a global instrument introduced in the early 1990s to reduce national and trans-boundary air pollution (GHGs) through trading of certified carbon credits.</w:t>
            </w:r>
          </w:p>
        </w:tc>
        <w:tc>
          <w:tcPr>
            <w:tcW w:w="3820" w:type="dxa"/>
          </w:tcPr>
          <w:p w14:paraId="692D424E" w14:textId="77777777" w:rsidR="00F83B61" w:rsidRPr="009B0448" w:rsidRDefault="00F83B61" w:rsidP="00F83B61">
            <w:pPr>
              <w:rPr>
                <w:rFonts w:ascii="Times New Roman" w:hAnsi="Times New Roman" w:cs="Times New Roman"/>
              </w:rPr>
            </w:pPr>
            <w:r w:rsidRPr="009B0448">
              <w:rPr>
                <w:rFonts w:ascii="Times New Roman" w:eastAsia="Times New Roman" w:hAnsi="Times New Roman" w:cs="Times New Roman"/>
              </w:rPr>
              <w:t xml:space="preserve">Examples from Africa are scanty and not as successful as those assessed in Asia and Latin America. However, the mechanism has shown promising results in Ethiopia (afforestation and reforestation) and Kenya (soil carbon). </w:t>
            </w:r>
          </w:p>
        </w:tc>
      </w:tr>
      <w:tr w:rsidR="00F83B61" w:rsidRPr="009B0448" w14:paraId="3219B5A2" w14:textId="77777777" w:rsidTr="00B65F3C">
        <w:trPr>
          <w:trHeight w:val="3945"/>
        </w:trPr>
        <w:tc>
          <w:tcPr>
            <w:tcW w:w="1438" w:type="dxa"/>
          </w:tcPr>
          <w:p w14:paraId="58850CED" w14:textId="77777777" w:rsidR="00F83B61" w:rsidRPr="009B0448" w:rsidRDefault="00F83B61" w:rsidP="00F83B61">
            <w:pPr>
              <w:rPr>
                <w:rFonts w:ascii="Times New Roman" w:hAnsi="Times New Roman" w:cs="Times New Roman"/>
              </w:rPr>
            </w:pPr>
            <w:r w:rsidRPr="009B0448">
              <w:rPr>
                <w:rFonts w:ascii="Times New Roman" w:hAnsi="Times New Roman" w:cs="Times New Roman"/>
              </w:rPr>
              <w:t>Carbon taxes and payments</w:t>
            </w:r>
          </w:p>
        </w:tc>
        <w:tc>
          <w:tcPr>
            <w:tcW w:w="3758" w:type="dxa"/>
          </w:tcPr>
          <w:p w14:paraId="034DC2A2" w14:textId="77777777" w:rsidR="00F83B61" w:rsidRPr="009B0448" w:rsidRDefault="00F83B61" w:rsidP="00F83B61">
            <w:pPr>
              <w:rPr>
                <w:rFonts w:ascii="Times New Roman" w:hAnsi="Times New Roman" w:cs="Times New Roman"/>
              </w:rPr>
            </w:pPr>
            <w:r w:rsidRPr="009B0448">
              <w:rPr>
                <w:rFonts w:ascii="Times New Roman" w:hAnsi="Times New Roman" w:cs="Times New Roman"/>
              </w:rPr>
              <w:t xml:space="preserve">Carbon taxes and payments are of interest particularly through REDD+ mechanisms and because they target a regulating ecosystem service. </w:t>
            </w:r>
          </w:p>
        </w:tc>
        <w:tc>
          <w:tcPr>
            <w:tcW w:w="3820" w:type="dxa"/>
          </w:tcPr>
          <w:p w14:paraId="59306EDB" w14:textId="483532AA" w:rsidR="00F83B61" w:rsidRPr="009B0448" w:rsidRDefault="00F83B61" w:rsidP="00F83B61">
            <w:pPr>
              <w:rPr>
                <w:rFonts w:ascii="Times New Roman" w:hAnsi="Times New Roman" w:cs="Times New Roman"/>
              </w:rPr>
            </w:pPr>
            <w:r w:rsidRPr="009B0448">
              <w:rPr>
                <w:rFonts w:ascii="Times New Roman" w:hAnsi="Times New Roman" w:cs="Times New Roman"/>
              </w:rPr>
              <w:t xml:space="preserve">For Africa in particular, financial incentives to conserve central African forests to offset the emissions from non-African countries will be reviewed. In the Congo Basin, the Earth’s second-largest tropical forest extending over six countries, several large-scale REDD+ initiatives are implemented. The Forest Carbon Partnership Facility (FCPF), the REDD+ Partnership, the UN-REDD Programme, the Congo Basin Forest Fund (CBFF), and the Forest Investment Program (FIP) support the shared vision of offsetting the emissions from non-African countries by financially rewarding local stakeholders for enhanced forest management. While REDD was initially focused on reducing emissions from deforestation and forest degradation, REDD+ additionally aims to conserve and enhance forest carbon stocks and to promote sustainable forest management, which positively affects biodiversity conservation (Pavageau </w:t>
            </w:r>
            <w:r w:rsidR="000429F8" w:rsidRPr="009B0448">
              <w:rPr>
                <w:rFonts w:ascii="Times New Roman" w:hAnsi="Times New Roman" w:cs="Times New Roman"/>
                <w:i/>
              </w:rPr>
              <w:t>et al.</w:t>
            </w:r>
            <w:r w:rsidRPr="009B0448">
              <w:rPr>
                <w:rFonts w:ascii="Times New Roman" w:hAnsi="Times New Roman" w:cs="Times New Roman"/>
              </w:rPr>
              <w:t>, 2014).</w:t>
            </w:r>
          </w:p>
        </w:tc>
      </w:tr>
      <w:tr w:rsidR="00F83B61" w:rsidRPr="009B0448" w14:paraId="391870DA" w14:textId="77777777" w:rsidTr="00B65F3C">
        <w:tblPrEx>
          <w:tblLook w:val="04A0" w:firstRow="1" w:lastRow="0" w:firstColumn="1" w:lastColumn="0" w:noHBand="0" w:noVBand="1"/>
        </w:tblPrEx>
        <w:tc>
          <w:tcPr>
            <w:tcW w:w="1438" w:type="dxa"/>
          </w:tcPr>
          <w:p w14:paraId="1F59CBD0" w14:textId="77777777" w:rsidR="00F83B61" w:rsidRPr="009B0448" w:rsidRDefault="00F83B61" w:rsidP="00F83B61">
            <w:pPr>
              <w:rPr>
                <w:rFonts w:ascii="Times New Roman" w:hAnsi="Times New Roman" w:cs="Times New Roman"/>
              </w:rPr>
            </w:pPr>
            <w:r w:rsidRPr="009B0448">
              <w:rPr>
                <w:rFonts w:ascii="Times New Roman" w:hAnsi="Times New Roman" w:cs="Times New Roman"/>
              </w:rPr>
              <w:t>Bans or permanent conservation easements</w:t>
            </w:r>
          </w:p>
        </w:tc>
        <w:tc>
          <w:tcPr>
            <w:tcW w:w="3758" w:type="dxa"/>
          </w:tcPr>
          <w:p w14:paraId="52ECBABC" w14:textId="65C10DCC" w:rsidR="00F83B61" w:rsidRPr="009B0448" w:rsidRDefault="00F83B61" w:rsidP="00017A7E">
            <w:pPr>
              <w:rPr>
                <w:rFonts w:ascii="Times New Roman" w:hAnsi="Times New Roman" w:cs="Times New Roman"/>
              </w:rPr>
            </w:pPr>
            <w:r w:rsidRPr="009B0448">
              <w:rPr>
                <w:rFonts w:ascii="Times New Roman" w:hAnsi="Times New Roman" w:cs="Times New Roman"/>
              </w:rPr>
              <w:t>Permanent conservation easements guarantee that a tract of land will not be used or farmed. This usually involves an annotation in the property title or at the land registry office</w:t>
            </w:r>
            <w:r w:rsidR="00017A7E" w:rsidRPr="009B0448">
              <w:rPr>
                <w:rFonts w:ascii="Times New Roman" w:hAnsi="Times New Roman" w:cs="Times New Roman"/>
              </w:rPr>
              <w:t>—</w:t>
            </w:r>
            <w:r w:rsidRPr="009B0448">
              <w:rPr>
                <w:rFonts w:ascii="Times New Roman" w:hAnsi="Times New Roman" w:cs="Times New Roman"/>
              </w:rPr>
              <w:t>national parks would be in this category. The negative counterpart of easements</w:t>
            </w:r>
            <w:r w:rsidR="00017A7E" w:rsidRPr="009B0448">
              <w:rPr>
                <w:rFonts w:ascii="Times New Roman" w:hAnsi="Times New Roman" w:cs="Times New Roman"/>
              </w:rPr>
              <w:t>—</w:t>
            </w:r>
            <w:r w:rsidRPr="009B0448">
              <w:rPr>
                <w:rFonts w:ascii="Times New Roman" w:hAnsi="Times New Roman" w:cs="Times New Roman"/>
              </w:rPr>
              <w:t>bans</w:t>
            </w:r>
            <w:r w:rsidR="00017A7E" w:rsidRPr="009B0448">
              <w:rPr>
                <w:rFonts w:ascii="Times New Roman" w:hAnsi="Times New Roman" w:cs="Times New Roman"/>
              </w:rPr>
              <w:t>—</w:t>
            </w:r>
            <w:r w:rsidRPr="009B0448">
              <w:rPr>
                <w:rFonts w:ascii="Times New Roman" w:hAnsi="Times New Roman" w:cs="Times New Roman"/>
              </w:rPr>
              <w:t>can ensure that products harmful to health or environmental quality such as pesticides are not used.</w:t>
            </w:r>
          </w:p>
        </w:tc>
        <w:tc>
          <w:tcPr>
            <w:tcW w:w="3820" w:type="dxa"/>
          </w:tcPr>
          <w:p w14:paraId="5EC4A5C5" w14:textId="77777777" w:rsidR="00F83B61" w:rsidRPr="009B0448" w:rsidRDefault="00F83B61" w:rsidP="00F83B61">
            <w:pPr>
              <w:rPr>
                <w:rFonts w:ascii="Times New Roman" w:hAnsi="Times New Roman" w:cs="Times New Roman"/>
              </w:rPr>
            </w:pPr>
            <w:r w:rsidRPr="009B0448">
              <w:rPr>
                <w:rFonts w:ascii="Times New Roman" w:hAnsi="Times New Roman" w:cs="Times New Roman"/>
              </w:rPr>
              <w:t>The ban on plastic bags in Rwanda immensely contributed towards reduced environmental pollution. Such measures may prove effective but may also bear actions of strong monitoring and regulatory measures, which might be costly to enforce.</w:t>
            </w:r>
          </w:p>
        </w:tc>
      </w:tr>
      <w:tr w:rsidR="00F83B61" w:rsidRPr="009B0448" w14:paraId="3C99D21F" w14:textId="77777777" w:rsidTr="00B65F3C">
        <w:tblPrEx>
          <w:tblLook w:val="04A0" w:firstRow="1" w:lastRow="0" w:firstColumn="1" w:lastColumn="0" w:noHBand="0" w:noVBand="1"/>
        </w:tblPrEx>
        <w:tc>
          <w:tcPr>
            <w:tcW w:w="1438" w:type="dxa"/>
          </w:tcPr>
          <w:p w14:paraId="79AE1F74" w14:textId="77777777" w:rsidR="00F83B61" w:rsidRPr="009B0448" w:rsidRDefault="00F83B61" w:rsidP="00F83B61">
            <w:pPr>
              <w:rPr>
                <w:rFonts w:ascii="Times New Roman" w:hAnsi="Times New Roman" w:cs="Times New Roman"/>
              </w:rPr>
            </w:pPr>
            <w:r w:rsidRPr="009B0448">
              <w:rPr>
                <w:rFonts w:ascii="Times New Roman" w:hAnsi="Times New Roman" w:cs="Times New Roman"/>
              </w:rPr>
              <w:t>Resource use fees</w:t>
            </w:r>
          </w:p>
        </w:tc>
        <w:tc>
          <w:tcPr>
            <w:tcW w:w="3758" w:type="dxa"/>
          </w:tcPr>
          <w:p w14:paraId="27F99130" w14:textId="6E6EF1B1" w:rsidR="00F83B61" w:rsidRPr="009B0448" w:rsidRDefault="00F83B61" w:rsidP="00F83B61">
            <w:pPr>
              <w:rPr>
                <w:rFonts w:ascii="Times New Roman" w:hAnsi="Times New Roman" w:cs="Times New Roman"/>
              </w:rPr>
            </w:pPr>
            <w:r w:rsidRPr="009B0448">
              <w:rPr>
                <w:rFonts w:ascii="Times New Roman" w:hAnsi="Times New Roman" w:cs="Times New Roman"/>
              </w:rPr>
              <w:t>Resources use fees are conservation approaches whereby resource users pay royalty fees to holders of protected areas in return for a particular service or resource use within the protected areas. One example is trophy</w:t>
            </w:r>
            <w:r w:rsidR="00017A7E" w:rsidRPr="009B0448">
              <w:rPr>
                <w:rFonts w:ascii="Times New Roman" w:hAnsi="Times New Roman" w:cs="Times New Roman"/>
              </w:rPr>
              <w:t xml:space="preserve"> hunting. This is widely practis</w:t>
            </w:r>
            <w:r w:rsidRPr="009B0448">
              <w:rPr>
                <w:rFonts w:ascii="Times New Roman" w:hAnsi="Times New Roman" w:cs="Times New Roman"/>
              </w:rPr>
              <w:t xml:space="preserve">ed globally and individuals can be granted the right to hunt a certain wildlife species or to collect a certain wild plant material for economic, social and recreation purposes. The revenue collected is invested in infrastructure and management capacity building.  </w:t>
            </w:r>
          </w:p>
        </w:tc>
        <w:tc>
          <w:tcPr>
            <w:tcW w:w="3820" w:type="dxa"/>
          </w:tcPr>
          <w:p w14:paraId="2C43B595" w14:textId="2F450641" w:rsidR="00F83B61" w:rsidRPr="009B0448" w:rsidRDefault="00F83B61" w:rsidP="00F83B61">
            <w:pPr>
              <w:rPr>
                <w:rFonts w:ascii="Times New Roman" w:hAnsi="Times New Roman" w:cs="Times New Roman"/>
              </w:rPr>
            </w:pPr>
            <w:r w:rsidRPr="009B0448">
              <w:rPr>
                <w:rFonts w:ascii="Times New Roman" w:hAnsi="Times New Roman" w:cs="Times New Roman"/>
              </w:rPr>
              <w:t>Community-based conservation programmes which establish an economic value for wildlife and provide incentives for sustainable use are an increasingly popular mechanism for returning to local communities the responsibility of managing their natural resources. Trophy hunting</w:t>
            </w:r>
            <w:r w:rsidR="00017A7E" w:rsidRPr="009B0448">
              <w:rPr>
                <w:rFonts w:ascii="Times New Roman" w:hAnsi="Times New Roman" w:cs="Times New Roman"/>
              </w:rPr>
              <w:t>,</w:t>
            </w:r>
            <w:r w:rsidRPr="009B0448">
              <w:rPr>
                <w:rFonts w:ascii="Times New Roman" w:hAnsi="Times New Roman" w:cs="Times New Roman"/>
              </w:rPr>
              <w:t xml:space="preserve"> in particular</w:t>
            </w:r>
            <w:r w:rsidR="00017A7E" w:rsidRPr="009B0448">
              <w:rPr>
                <w:rFonts w:ascii="Times New Roman" w:hAnsi="Times New Roman" w:cs="Times New Roman"/>
              </w:rPr>
              <w:t>,</w:t>
            </w:r>
            <w:r w:rsidRPr="009B0448">
              <w:rPr>
                <w:rFonts w:ascii="Times New Roman" w:hAnsi="Times New Roman" w:cs="Times New Roman"/>
              </w:rPr>
              <w:t xml:space="preserve"> has been identified as a rewarding form of wildlife use which may provide both community benefits and incent</w:t>
            </w:r>
            <w:r w:rsidR="00017A7E" w:rsidRPr="009B0448">
              <w:rPr>
                <w:rFonts w:ascii="Times New Roman" w:hAnsi="Times New Roman" w:cs="Times New Roman"/>
              </w:rPr>
              <w:t>ives for wildlife conservation.</w:t>
            </w:r>
            <w:r w:rsidRPr="009B0448">
              <w:rPr>
                <w:rFonts w:ascii="Times New Roman" w:hAnsi="Times New Roman" w:cs="Times New Roman"/>
              </w:rPr>
              <w:t xml:space="preserve"> This has been implemented many southern African countries and studies suggest that it is not a sustainable form of wildlife protection. As has been observed in Tanzania, Botswana, Zambia, Zimbabwe and Namibia, the following conditions must be fulfilled to be successful: scientifically-determined wildlife population estimates, comprehensive quotas which are enforced, reputable and honest outfitters, transparent and accountable revenue collection and disbursement mechanisms, competent management and oversight of the industry, and fair distribution of proceeds at the local level.</w:t>
            </w:r>
          </w:p>
        </w:tc>
      </w:tr>
      <w:tr w:rsidR="00F83B61" w:rsidRPr="009B0448" w14:paraId="2C424A1B" w14:textId="77777777" w:rsidTr="00B65F3C">
        <w:tblPrEx>
          <w:tblLook w:val="04A0" w:firstRow="1" w:lastRow="0" w:firstColumn="1" w:lastColumn="0" w:noHBand="0" w:noVBand="1"/>
        </w:tblPrEx>
        <w:tc>
          <w:tcPr>
            <w:tcW w:w="1438" w:type="dxa"/>
          </w:tcPr>
          <w:p w14:paraId="741EC38E" w14:textId="77777777" w:rsidR="00F83B61" w:rsidRPr="009B0448" w:rsidRDefault="00F83B61" w:rsidP="00F83B61">
            <w:pPr>
              <w:rPr>
                <w:rFonts w:ascii="Times New Roman" w:hAnsi="Times New Roman" w:cs="Times New Roman"/>
              </w:rPr>
            </w:pPr>
            <w:r w:rsidRPr="009B0448">
              <w:rPr>
                <w:rFonts w:ascii="Times New Roman" w:hAnsi="Times New Roman" w:cs="Times New Roman"/>
              </w:rPr>
              <w:t>Tradable permits</w:t>
            </w:r>
          </w:p>
        </w:tc>
        <w:tc>
          <w:tcPr>
            <w:tcW w:w="3758" w:type="dxa"/>
          </w:tcPr>
          <w:p w14:paraId="5B4105B0" w14:textId="696877A3" w:rsidR="00F83B61" w:rsidRPr="009B0448" w:rsidRDefault="00F83B61" w:rsidP="00017A7E">
            <w:pPr>
              <w:rPr>
                <w:rFonts w:ascii="Times New Roman" w:hAnsi="Times New Roman" w:cs="Times New Roman"/>
              </w:rPr>
            </w:pPr>
            <w:r w:rsidRPr="009B0448">
              <w:rPr>
                <w:rFonts w:ascii="Times New Roman" w:hAnsi="Times New Roman" w:cs="Times New Roman"/>
              </w:rPr>
              <w:t>Unique to the African context is the sale of permits to harvest African wildlife. Permits allowing the hunting of biodiversity, particularly Africa’s mega</w:t>
            </w:r>
            <w:r w:rsidR="00017A7E" w:rsidRPr="009B0448">
              <w:rPr>
                <w:rFonts w:ascii="Times New Roman" w:hAnsi="Times New Roman" w:cs="Times New Roman"/>
              </w:rPr>
              <w:t>-</w:t>
            </w:r>
            <w:r w:rsidRPr="009B0448">
              <w:rPr>
                <w:rFonts w:ascii="Times New Roman" w:hAnsi="Times New Roman" w:cs="Times New Roman"/>
              </w:rPr>
              <w:t xml:space="preserve">fauna, many of which are threatened or endangered, are largely controversial but have provided hundreds of thousands of dollars to conservation efforts. </w:t>
            </w:r>
          </w:p>
        </w:tc>
        <w:tc>
          <w:tcPr>
            <w:tcW w:w="3820" w:type="dxa"/>
          </w:tcPr>
          <w:p w14:paraId="68840860" w14:textId="2101E893" w:rsidR="00F83B61" w:rsidRPr="009B0448" w:rsidRDefault="00F83B61" w:rsidP="00017A7E">
            <w:pPr>
              <w:rPr>
                <w:rFonts w:ascii="Times New Roman" w:hAnsi="Times New Roman" w:cs="Times New Roman"/>
              </w:rPr>
            </w:pPr>
            <w:r w:rsidRPr="009B0448">
              <w:rPr>
                <w:rFonts w:ascii="Times New Roman" w:hAnsi="Times New Roman" w:cs="Times New Roman"/>
              </w:rPr>
              <w:t>While controversial, the financing from permits can be used to support conservation efforts (e.g.</w:t>
            </w:r>
            <w:r w:rsidR="0091139F">
              <w:rPr>
                <w:rFonts w:ascii="Times New Roman" w:hAnsi="Times New Roman" w:cs="Times New Roman"/>
              </w:rPr>
              <w:t>,</w:t>
            </w:r>
            <w:r w:rsidRPr="009B0448">
              <w:rPr>
                <w:rFonts w:ascii="Times New Roman" w:hAnsi="Times New Roman" w:cs="Times New Roman"/>
              </w:rPr>
              <w:t xml:space="preserve"> the hunting permit for a single black rhino was valued at $350,000). Unique to the African context is the sale of permits to harvest African wildlife. Permits allowi</w:t>
            </w:r>
            <w:r w:rsidR="00017A7E" w:rsidRPr="009B0448">
              <w:rPr>
                <w:rFonts w:ascii="Times New Roman" w:hAnsi="Times New Roman" w:cs="Times New Roman"/>
              </w:rPr>
              <w:t>ng the hunting of Africa’s mega-</w:t>
            </w:r>
            <w:r w:rsidRPr="009B0448">
              <w:rPr>
                <w:rFonts w:ascii="Times New Roman" w:hAnsi="Times New Roman" w:cs="Times New Roman"/>
              </w:rPr>
              <w:t>fauna, many of which are threatened or endangered. The mechanism is largely controversial but has provided hundreds of thousands of dollars to conservation efforts. The premise is that an appropriately defined tradable-permit system can minimise the cost of reaching a predefined environmental target (Tietenberg, 2003). It is expected that in a perfectly competitive market, permits will flow towards their highest-valued use, and those that would receive lower value from using the permits would have an incentive to trade them to someone who would value them more. Overall, such trade benefits both parties. However, the potential of this system to protect the economic value of the resource, rather than the resource itself, has attracted criticism.</w:t>
            </w:r>
          </w:p>
        </w:tc>
      </w:tr>
      <w:tr w:rsidR="00F83B61" w:rsidRPr="009B0448" w14:paraId="64FDB63A" w14:textId="77777777" w:rsidTr="00B65F3C">
        <w:tblPrEx>
          <w:tblLook w:val="04A0" w:firstRow="1" w:lastRow="0" w:firstColumn="1" w:lastColumn="0" w:noHBand="0" w:noVBand="1"/>
        </w:tblPrEx>
        <w:tc>
          <w:tcPr>
            <w:tcW w:w="1438" w:type="dxa"/>
          </w:tcPr>
          <w:p w14:paraId="0621B19F" w14:textId="77777777" w:rsidR="00F83B61" w:rsidRPr="009B0448" w:rsidRDefault="00F83B61" w:rsidP="00F83B61">
            <w:pPr>
              <w:rPr>
                <w:rFonts w:ascii="Times New Roman" w:hAnsi="Times New Roman" w:cs="Times New Roman"/>
              </w:rPr>
            </w:pPr>
            <w:r w:rsidRPr="009B0448">
              <w:rPr>
                <w:rFonts w:ascii="Times New Roman" w:hAnsi="Times New Roman" w:cs="Times New Roman"/>
              </w:rPr>
              <w:t>Offsetting schemes</w:t>
            </w:r>
          </w:p>
        </w:tc>
        <w:tc>
          <w:tcPr>
            <w:tcW w:w="3758" w:type="dxa"/>
          </w:tcPr>
          <w:p w14:paraId="55A7E2FF" w14:textId="0CA653F5" w:rsidR="00F83B61" w:rsidRPr="009B0448" w:rsidRDefault="00F83B61" w:rsidP="00F83B61">
            <w:pPr>
              <w:rPr>
                <w:rFonts w:ascii="Times New Roman" w:hAnsi="Times New Roman" w:cs="Times New Roman"/>
              </w:rPr>
            </w:pPr>
            <w:r w:rsidRPr="009B0448">
              <w:rPr>
                <w:rFonts w:ascii="Times New Roman" w:hAnsi="Times New Roman" w:cs="Times New Roman"/>
              </w:rPr>
              <w:t>The concept of "Biodiversity offset scheme" is designed to compensate for biodiversity loss or degradation caused by development projects in a particular area through tantamount restoration actions and habitat expansion elsewhere. The "offsets" can be traded and a project developer can compensate by buying "credits</w:t>
            </w:r>
            <w:r w:rsidR="00017A7E" w:rsidRPr="009B0448">
              <w:rPr>
                <w:rFonts w:ascii="Times New Roman" w:hAnsi="Times New Roman" w:cs="Times New Roman"/>
              </w:rPr>
              <w:t>" from reserve managers or land</w:t>
            </w:r>
            <w:r w:rsidRPr="009B0448">
              <w:rPr>
                <w:rFonts w:ascii="Times New Roman" w:hAnsi="Times New Roman" w:cs="Times New Roman"/>
              </w:rPr>
              <w:t>owners who have managed and conserved biodiversity according to set standards. The approach has been increasingly integrated into government and lender policies (IUCN, 2014). Despite the potential to advance biodiversity conservation, the scheme is not popularly implemented.  There are concerns that it will undermine existing approaches and negatively encourages development against biodiversity conservation goals. The argument is there are hardly any success stories or empirical evidence and more uncertainty over the offset outcomes (IUCN, 2014). As governments and business seek to address the impacts of development projects on biodiversity, biodiversity offsets emerge as attractive option attracting increasing interest.  They are largely based on the polluter pays principle.  Biodiversity offsets are structured to compensate for critical damage to biodiversity through internalising the external costs of biodiversity loss and enforcing the payment of this cost in compe</w:t>
            </w:r>
            <w:r w:rsidR="001E7CD8" w:rsidRPr="009B0448">
              <w:rPr>
                <w:rFonts w:ascii="Times New Roman" w:hAnsi="Times New Roman" w:cs="Times New Roman"/>
              </w:rPr>
              <w:t>nsation for the loss (OECD, 2016</w:t>
            </w:r>
            <w:r w:rsidRPr="009B0448">
              <w:rPr>
                <w:rFonts w:ascii="Times New Roman" w:hAnsi="Times New Roman" w:cs="Times New Roman"/>
              </w:rPr>
              <w:t>).</w:t>
            </w:r>
          </w:p>
        </w:tc>
        <w:tc>
          <w:tcPr>
            <w:tcW w:w="3820" w:type="dxa"/>
          </w:tcPr>
          <w:p w14:paraId="24BC405B" w14:textId="0312C264" w:rsidR="00F83B61" w:rsidRPr="009B0448" w:rsidRDefault="00F83B61" w:rsidP="00017A7E">
            <w:pPr>
              <w:rPr>
                <w:rFonts w:ascii="Times New Roman" w:hAnsi="Times New Roman" w:cs="Times New Roman"/>
              </w:rPr>
            </w:pPr>
            <w:r w:rsidRPr="009B0448">
              <w:rPr>
                <w:rFonts w:ascii="Times New Roman" w:hAnsi="Times New Roman" w:cs="Times New Roman"/>
              </w:rPr>
              <w:t xml:space="preserve">A good case example in Africa is Liberia, where a national biodiversity offset scheme has been prepared for the mining sector by the World Bank Group (World Bank, 2015). In an effort to conserve protected areas (particularly forest areas) facing competing </w:t>
            </w:r>
            <w:r w:rsidR="00917FB2">
              <w:rPr>
                <w:rFonts w:ascii="Times New Roman" w:hAnsi="Times New Roman" w:cs="Times New Roman"/>
              </w:rPr>
              <w:t>land-use</w:t>
            </w:r>
            <w:r w:rsidRPr="009B0448">
              <w:rPr>
                <w:rFonts w:ascii="Times New Roman" w:hAnsi="Times New Roman" w:cs="Times New Roman"/>
              </w:rPr>
              <w:t xml:space="preserve">s such as commercial forestry (logging), mining and agriculture, a national biodiversity offset scheme is currently proposed for the mining sector and biodiversity conservation credits are to be established before any mining project is implemented. Projects will be required to purchase credits that are made available through the scheme. However, the impact is yet to be seen in the years ahead. Another example is found in South Africa, where a biodiversity offsetting scheme has been exercised for the last six years (Jenner </w:t>
            </w:r>
            <w:r w:rsidR="000429F8" w:rsidRPr="009B0448">
              <w:rPr>
                <w:rFonts w:ascii="Times New Roman" w:hAnsi="Times New Roman" w:cs="Times New Roman"/>
                <w:i/>
              </w:rPr>
              <w:t>et al.</w:t>
            </w:r>
            <w:r w:rsidRPr="009B0448">
              <w:rPr>
                <w:rFonts w:ascii="Times New Roman" w:hAnsi="Times New Roman" w:cs="Times New Roman"/>
              </w:rPr>
              <w:t>, 2015). The most common objective adopted in offset programmes is to deliver “No Net Loss” to</w:t>
            </w:r>
            <w:r w:rsidR="00017A7E" w:rsidRPr="009B0448">
              <w:rPr>
                <w:rFonts w:ascii="Times New Roman" w:hAnsi="Times New Roman" w:cs="Times New Roman"/>
              </w:rPr>
              <w:t>,</w:t>
            </w:r>
            <w:r w:rsidRPr="009B0448">
              <w:rPr>
                <w:rFonts w:ascii="Times New Roman" w:hAnsi="Times New Roman" w:cs="Times New Roman"/>
              </w:rPr>
              <w:t xml:space="preserve"> for example, ecosystem function or a specific species (fauna or flora) etc. The AfDB Operational Safeguard 3 seeks to deliver a net benefit or no net loss on biodiversity and natural habitats. In this regard</w:t>
            </w:r>
            <w:r w:rsidR="00017A7E" w:rsidRPr="009B0448">
              <w:rPr>
                <w:rFonts w:ascii="Times New Roman" w:hAnsi="Times New Roman" w:cs="Times New Roman"/>
              </w:rPr>
              <w:t>,</w:t>
            </w:r>
            <w:r w:rsidRPr="009B0448">
              <w:rPr>
                <w:rFonts w:ascii="Times New Roman" w:hAnsi="Times New Roman" w:cs="Times New Roman"/>
              </w:rPr>
              <w:t xml:space="preserve"> biodiversity offsets are meant to be carried out as the final step of the mitigation pyramid (avoid, </w:t>
            </w:r>
            <w:r w:rsidR="00017A7E" w:rsidRPr="009B0448">
              <w:rPr>
                <w:rFonts w:ascii="Times New Roman" w:hAnsi="Times New Roman" w:cs="Times New Roman"/>
              </w:rPr>
              <w:t>minimise, restore and offset)—</w:t>
            </w:r>
            <w:r w:rsidRPr="009B0448">
              <w:rPr>
                <w:rFonts w:ascii="Times New Roman" w:hAnsi="Times New Roman" w:cs="Times New Roman"/>
              </w:rPr>
              <w:t xml:space="preserve">to help meet a scheme’s environmental objectives (AfDB, 2013). In South Africa, ecosystem mapping and classification has underlined the development and implementation of technical attributes of offsetting policy and has proved to be a crucial enabling factor in the design of offsets that are planned for biodiversity (Jenner </w:t>
            </w:r>
            <w:r w:rsidR="000429F8" w:rsidRPr="009B0448">
              <w:rPr>
                <w:rFonts w:ascii="Times New Roman" w:hAnsi="Times New Roman" w:cs="Times New Roman"/>
                <w:i/>
              </w:rPr>
              <w:t>et al.</w:t>
            </w:r>
            <w:r w:rsidRPr="009B0448">
              <w:rPr>
                <w:rFonts w:ascii="Times New Roman" w:hAnsi="Times New Roman" w:cs="Times New Roman"/>
              </w:rPr>
              <w:t xml:space="preserve">, 2015). Most African countries are undertaking significant infrastructural projects (roads, highways, dams, bridges, etc.) accompanied with ecosystem degradation significantly impacting the natural capital without real offsetting mechanisms. African biodiversity offsets are however attracting increasing interest as governments and the private sector seek to address biodiversity loss occurring through development activities. The African banking system could be better placed to play </w:t>
            </w:r>
            <w:r w:rsidR="00017A7E" w:rsidRPr="009B0448">
              <w:rPr>
                <w:rFonts w:ascii="Times New Roman" w:hAnsi="Times New Roman" w:cs="Times New Roman"/>
              </w:rPr>
              <w:t xml:space="preserve">an </w:t>
            </w:r>
            <w:r w:rsidRPr="009B0448">
              <w:rPr>
                <w:rFonts w:ascii="Times New Roman" w:hAnsi="Times New Roman" w:cs="Times New Roman"/>
              </w:rPr>
              <w:t>active role in addressing ecosystem conservation. The African Development Bank is contributing to increased awareness amongst policy makers to closely align environmental impacts with those causing the damage and engaging the private sector, not only in financing conservation but also in implementing conservation solutions. This increases the possibility of governments allowing development in sensitive environments while assuring no net loss of ecosystem services and biodiversity and still gains the economic benefits of development. Types of biodiversity offsets considered include One-off offsets, In-lieu fees, and Bio-banking. Yet, markets in the continent remain underdeveloped for biodiversity mitigation and conservation. In Madagascar, Rio Tinto on its extraction at the Rio Tinto ilmenite mine is investing in biodiversity offsets at several forests (littoral and non-littoral) sites covering almost 6,000 ha of forest. If the project proceeds as planned, a net positive impact will be achieved thanks to biodiversity offset provisions.</w:t>
            </w:r>
          </w:p>
        </w:tc>
      </w:tr>
      <w:tr w:rsidR="00F83B61" w:rsidRPr="009B0448" w14:paraId="7C5130A1" w14:textId="77777777" w:rsidTr="00B65F3C">
        <w:tblPrEx>
          <w:tblLook w:val="04A0" w:firstRow="1" w:lastRow="0" w:firstColumn="1" w:lastColumn="0" w:noHBand="0" w:noVBand="1"/>
        </w:tblPrEx>
        <w:tc>
          <w:tcPr>
            <w:tcW w:w="1438" w:type="dxa"/>
          </w:tcPr>
          <w:p w14:paraId="7444C0BC" w14:textId="77777777" w:rsidR="00F83B61" w:rsidRPr="009B0448" w:rsidRDefault="00F83B61" w:rsidP="00F83B61">
            <w:pPr>
              <w:rPr>
                <w:rFonts w:ascii="Times New Roman" w:hAnsi="Times New Roman" w:cs="Times New Roman"/>
              </w:rPr>
            </w:pPr>
            <w:r w:rsidRPr="009B0448">
              <w:rPr>
                <w:rFonts w:ascii="Times New Roman" w:hAnsi="Times New Roman" w:cs="Times New Roman"/>
              </w:rPr>
              <w:t>Taxes and fiscal incentives</w:t>
            </w:r>
          </w:p>
        </w:tc>
        <w:tc>
          <w:tcPr>
            <w:tcW w:w="3758" w:type="dxa"/>
          </w:tcPr>
          <w:p w14:paraId="0CA2DB32" w14:textId="3973CA34" w:rsidR="00F83B61" w:rsidRPr="009B0448" w:rsidRDefault="00F83B61" w:rsidP="008F6929">
            <w:pPr>
              <w:rPr>
                <w:rFonts w:ascii="Times New Roman" w:hAnsi="Times New Roman" w:cs="Times New Roman"/>
              </w:rPr>
            </w:pPr>
            <w:r w:rsidRPr="009B0448">
              <w:rPr>
                <w:rFonts w:ascii="Times New Roman" w:hAnsi="Times New Roman" w:cs="Times New Roman"/>
              </w:rPr>
              <w:t>Environmental taxes are defined as: “Any compulsory, unrequited payment to general government levied on tax-bases deemed to be of particular environmental relevance” (OECD, 2017), where the tax bases “include energy products, motor vehicles, waste, measured or estimated emissions, natural resources etc.” Taxes are used to address market failures and externalities: impacts on ecosystems that are side-effects of production and consumption, and which do not enter into the calculations of those responsible for the processes. Where the effects are negative, externalities are costs. By levying a tax or charge on the activity giving rise to the effect, the external cost can be partially or wholly internalised.</w:t>
            </w:r>
          </w:p>
        </w:tc>
        <w:tc>
          <w:tcPr>
            <w:tcW w:w="3820" w:type="dxa"/>
          </w:tcPr>
          <w:p w14:paraId="5EBFBA0B" w14:textId="77777777" w:rsidR="00F83B61" w:rsidRPr="009B0448" w:rsidRDefault="00F83B61" w:rsidP="00F83B61">
            <w:pPr>
              <w:rPr>
                <w:rFonts w:ascii="Times New Roman" w:hAnsi="Times New Roman" w:cs="Times New Roman"/>
              </w:rPr>
            </w:pPr>
            <w:r w:rsidRPr="009B0448">
              <w:rPr>
                <w:rFonts w:ascii="Times New Roman" w:hAnsi="Times New Roman" w:cs="Times New Roman"/>
              </w:rPr>
              <w:t>Examples in Africa mainly relate to the forestry sector to promote sustainable forest management. The most common taxation takes the form of concession fees, royalty fees, stumpage fees, and export levies. Ghana applies some of these taxes as post-harvest fees (e.g., on processed wood products, sawn wood or plywood) and Cameroon applies concession fees on an annual basis on the area of forest land given out on concession.</w:t>
            </w:r>
          </w:p>
        </w:tc>
      </w:tr>
      <w:tr w:rsidR="00F83B61" w:rsidRPr="009B0448" w14:paraId="04F126F6" w14:textId="77777777" w:rsidTr="009F0016">
        <w:tblPrEx>
          <w:tblLook w:val="04A0" w:firstRow="1" w:lastRow="0" w:firstColumn="1" w:lastColumn="0" w:noHBand="0" w:noVBand="1"/>
        </w:tblPrEx>
        <w:trPr>
          <w:trHeight w:val="837"/>
        </w:trPr>
        <w:tc>
          <w:tcPr>
            <w:tcW w:w="1438" w:type="dxa"/>
          </w:tcPr>
          <w:p w14:paraId="51C37B43" w14:textId="77777777" w:rsidR="00F83B61" w:rsidRPr="009B0448" w:rsidRDefault="00F83B61" w:rsidP="00F83B61">
            <w:pPr>
              <w:rPr>
                <w:rFonts w:ascii="Times New Roman" w:hAnsi="Times New Roman" w:cs="Times New Roman"/>
              </w:rPr>
            </w:pPr>
            <w:r w:rsidRPr="009B0448">
              <w:rPr>
                <w:rFonts w:ascii="Times New Roman" w:hAnsi="Times New Roman" w:cs="Times New Roman"/>
              </w:rPr>
              <w:t>Trade and foreign investments (green economy)</w:t>
            </w:r>
          </w:p>
        </w:tc>
        <w:tc>
          <w:tcPr>
            <w:tcW w:w="3758" w:type="dxa"/>
          </w:tcPr>
          <w:p w14:paraId="535C8D09" w14:textId="61440B32" w:rsidR="00F83B61" w:rsidRPr="009B0448" w:rsidRDefault="00F83B61" w:rsidP="00AC4A6F">
            <w:pPr>
              <w:rPr>
                <w:rFonts w:ascii="Times New Roman" w:hAnsi="Times New Roman" w:cs="Times New Roman"/>
              </w:rPr>
            </w:pPr>
            <w:r w:rsidRPr="009B0448">
              <w:rPr>
                <w:rFonts w:ascii="Times New Roman" w:hAnsi="Times New Roman" w:cs="Times New Roman"/>
              </w:rPr>
              <w:t>Movement towards a green economy can reduce the impact of economic growth on biodiversity and ecosystem services. However, this is distinct from approaches that finance or recognise the values of biodiversity and ecosystem services. A green economy approach reduces negative externalities on the environment, aiming to “rebuild natural capital (e.g.</w:t>
            </w:r>
            <w:r w:rsidR="0091139F">
              <w:rPr>
                <w:rFonts w:ascii="Times New Roman" w:hAnsi="Times New Roman" w:cs="Times New Roman"/>
              </w:rPr>
              <w:t>,</w:t>
            </w:r>
            <w:r w:rsidRPr="009B0448">
              <w:rPr>
                <w:rFonts w:ascii="Times New Roman" w:hAnsi="Times New Roman" w:cs="Times New Roman"/>
              </w:rPr>
              <w:t xml:space="preserve"> biodiversity and ecosystem services) as a critical economic asset and source of public benefits, especially for poor people whose livelihoods and securit</w:t>
            </w:r>
            <w:r w:rsidR="00017A7E" w:rsidRPr="009B0448">
              <w:rPr>
                <w:rFonts w:ascii="Times New Roman" w:hAnsi="Times New Roman" w:cs="Times New Roman"/>
              </w:rPr>
              <w:t>y depend strongly on nature” (</w:t>
            </w:r>
            <w:r w:rsidR="00AC4A6F" w:rsidRPr="009B0448">
              <w:rPr>
                <w:rFonts w:ascii="Times New Roman" w:hAnsi="Times New Roman" w:cs="Times New Roman"/>
              </w:rPr>
              <w:t>Huff</w:t>
            </w:r>
            <w:r w:rsidRPr="009B0448">
              <w:rPr>
                <w:rFonts w:ascii="Times New Roman" w:hAnsi="Times New Roman" w:cs="Times New Roman"/>
              </w:rPr>
              <w:t>, 2015)</w:t>
            </w:r>
            <w:r w:rsidR="00017A7E" w:rsidRPr="009B0448">
              <w:rPr>
                <w:rFonts w:ascii="Times New Roman" w:hAnsi="Times New Roman" w:cs="Times New Roman"/>
              </w:rPr>
              <w:t>, whereas ecosystem service-</w:t>
            </w:r>
            <w:r w:rsidRPr="009B0448">
              <w:rPr>
                <w:rFonts w:ascii="Times New Roman" w:hAnsi="Times New Roman" w:cs="Times New Roman"/>
              </w:rPr>
              <w:t xml:space="preserve">based approaches value the positive externalities of the environment on economic growth. </w:t>
            </w:r>
          </w:p>
        </w:tc>
        <w:tc>
          <w:tcPr>
            <w:tcW w:w="3820" w:type="dxa"/>
          </w:tcPr>
          <w:p w14:paraId="209B67FD" w14:textId="0A6E550F" w:rsidR="00F83B61" w:rsidRPr="009B0448" w:rsidRDefault="00F83B61" w:rsidP="00017A7E">
            <w:pPr>
              <w:rPr>
                <w:rFonts w:ascii="Times New Roman" w:hAnsi="Times New Roman" w:cs="Times New Roman"/>
              </w:rPr>
            </w:pPr>
            <w:r w:rsidRPr="009B0448">
              <w:rPr>
                <w:rFonts w:ascii="Times New Roman" w:hAnsi="Times New Roman" w:cs="Times New Roman"/>
              </w:rPr>
              <w:t>The Southern Agricultural Growth Corridor of Tanzania (SAGCOT) is a project managed by the office of the vice president of Tanzania. It aims to reconcile conservation, agricultural development and livelihood objectives, linking policy, private capital investments with conservation, economic growth and ecosystem services in a risk-sharing public-private partnership. The ecosystem service approach is applied in the context to ensure that agriculture and livelihood dependencies on ecosystem services are accounted for and acknowledged. Presently, WWF and IUCN are collaborating with the SAGCOT Centre to ensure a minimal biodiversity and ecosystem services impact (</w:t>
            </w:r>
            <w:r w:rsidR="00017A7E" w:rsidRPr="009B0448">
              <w:rPr>
                <w:rFonts w:ascii="Times New Roman" w:hAnsi="Times New Roman" w:cs="Times New Roman"/>
              </w:rPr>
              <w:t>since</w:t>
            </w:r>
            <w:r w:rsidRPr="009B0448">
              <w:rPr>
                <w:rFonts w:ascii="Times New Roman" w:hAnsi="Times New Roman" w:cs="Times New Roman"/>
              </w:rPr>
              <w:t xml:space="preserve"> there is controversy </w:t>
            </w:r>
            <w:r w:rsidR="00017A7E" w:rsidRPr="009B0448">
              <w:rPr>
                <w:rFonts w:ascii="Times New Roman" w:hAnsi="Times New Roman" w:cs="Times New Roman"/>
              </w:rPr>
              <w:t>whether</w:t>
            </w:r>
            <w:r w:rsidRPr="009B0448">
              <w:rPr>
                <w:rFonts w:ascii="Times New Roman" w:hAnsi="Times New Roman" w:cs="Times New Roman"/>
              </w:rPr>
              <w:t xml:space="preserve"> SAGCOT is about "green growth", due to e.g.</w:t>
            </w:r>
            <w:r w:rsidR="0091139F">
              <w:rPr>
                <w:rFonts w:ascii="Times New Roman" w:hAnsi="Times New Roman" w:cs="Times New Roman"/>
              </w:rPr>
              <w:t>,</w:t>
            </w:r>
            <w:r w:rsidRPr="009B0448">
              <w:rPr>
                <w:rFonts w:ascii="Times New Roman" w:hAnsi="Times New Roman" w:cs="Times New Roman"/>
              </w:rPr>
              <w:t xml:space="preserve"> impact on water availability).</w:t>
            </w:r>
          </w:p>
        </w:tc>
      </w:tr>
    </w:tbl>
    <w:p w14:paraId="224D1CF0" w14:textId="77777777" w:rsidR="003F49CC" w:rsidRPr="009B0448" w:rsidRDefault="003F49CC">
      <w:pPr>
        <w:rPr>
          <w:rFonts w:ascii="Times New Roman" w:hAnsi="Times New Roman" w:cs="Times New Roman"/>
        </w:rPr>
      </w:pPr>
      <w:r w:rsidRPr="009B0448">
        <w:rPr>
          <w:rFonts w:ascii="Times New Roman" w:hAnsi="Times New Roman" w:cs="Times New Roman"/>
        </w:rPr>
        <w:br w:type="page"/>
      </w:r>
    </w:p>
    <w:p w14:paraId="02EA9E62" w14:textId="42F85179" w:rsidR="0024575E" w:rsidRPr="00DE2C02" w:rsidRDefault="004A35B7" w:rsidP="00BF0DAE">
      <w:pPr>
        <w:pStyle w:val="Heading1"/>
        <w:rPr>
          <w:sz w:val="22"/>
          <w:szCs w:val="22"/>
        </w:rPr>
        <w:sectPr w:rsidR="0024575E" w:rsidRPr="00DE2C02" w:rsidSect="002D0F82">
          <w:pgSz w:w="11906" w:h="16838"/>
          <w:pgMar w:top="1276" w:right="1440" w:bottom="1440" w:left="1440" w:header="142" w:footer="720" w:gutter="0"/>
          <w:cols w:space="720"/>
          <w:docGrid w:linePitch="299"/>
        </w:sectPr>
      </w:pPr>
      <w:bookmarkStart w:id="579" w:name="_Toc519500084"/>
      <w:r>
        <w:t>Glossary of terms</w:t>
      </w:r>
      <w:bookmarkEnd w:id="579"/>
      <w:r w:rsidR="0024575E" w:rsidRPr="0024575E">
        <w:t xml:space="preserve"> </w:t>
      </w:r>
    </w:p>
    <w:p w14:paraId="1326FF84" w14:textId="77777777" w:rsidR="00BF0DAE" w:rsidRDefault="00BF0DAE" w:rsidP="0024575E">
      <w:pPr>
        <w:pStyle w:val="Normal-pool"/>
        <w:pBdr>
          <w:bottom w:val="single" w:sz="4" w:space="1" w:color="auto"/>
        </w:pBdr>
        <w:rPr>
          <w:b/>
          <w:sz w:val="22"/>
          <w:szCs w:val="22"/>
        </w:rPr>
      </w:pPr>
    </w:p>
    <w:p w14:paraId="7DCAD9A2" w14:textId="77777777" w:rsidR="0024575E" w:rsidRPr="00DE2C02" w:rsidRDefault="0024575E" w:rsidP="0024575E">
      <w:pPr>
        <w:pStyle w:val="Normal-pool"/>
        <w:pBdr>
          <w:bottom w:val="single" w:sz="4" w:space="1" w:color="auto"/>
        </w:pBdr>
        <w:rPr>
          <w:b/>
          <w:sz w:val="22"/>
          <w:szCs w:val="22"/>
        </w:rPr>
      </w:pPr>
      <w:r w:rsidRPr="00DE2C02">
        <w:rPr>
          <w:b/>
          <w:sz w:val="22"/>
          <w:szCs w:val="22"/>
        </w:rPr>
        <w:t>A</w:t>
      </w:r>
    </w:p>
    <w:p w14:paraId="6A0C195B" w14:textId="77777777" w:rsidR="0024575E" w:rsidRPr="00DE2C02" w:rsidRDefault="0024575E" w:rsidP="0024575E">
      <w:pPr>
        <w:pStyle w:val="Normal-pool"/>
        <w:rPr>
          <w:sz w:val="22"/>
          <w:szCs w:val="22"/>
        </w:rPr>
      </w:pPr>
    </w:p>
    <w:p w14:paraId="6D35B26A" w14:textId="77777777" w:rsidR="0024575E" w:rsidRPr="00DE2C02" w:rsidRDefault="0024575E" w:rsidP="0024575E">
      <w:pPr>
        <w:pStyle w:val="Normal-pool"/>
        <w:rPr>
          <w:b/>
          <w:sz w:val="22"/>
          <w:szCs w:val="22"/>
        </w:rPr>
      </w:pPr>
      <w:r w:rsidRPr="00DE2C02">
        <w:rPr>
          <w:b/>
          <w:sz w:val="22"/>
          <w:szCs w:val="22"/>
        </w:rPr>
        <w:t>Acceptance</w:t>
      </w:r>
    </w:p>
    <w:p w14:paraId="400A7E19" w14:textId="77777777" w:rsidR="0024575E" w:rsidRPr="00DE2C02" w:rsidRDefault="0024575E" w:rsidP="0024575E">
      <w:pPr>
        <w:pStyle w:val="Normal-pool"/>
        <w:rPr>
          <w:sz w:val="22"/>
          <w:szCs w:val="22"/>
        </w:rPr>
      </w:pPr>
      <w:r w:rsidRPr="00DE2C02">
        <w:rPr>
          <w:sz w:val="22"/>
          <w:szCs w:val="22"/>
        </w:rPr>
        <w:t>Acceptance of the Platform’s outputs at a session of the Plenary signifies that the material has not been subjected to line-by-line discussion and agreement, but nevertheless presents a comprehensive and balanced view of the subject matter.</w:t>
      </w:r>
    </w:p>
    <w:p w14:paraId="6D946D01" w14:textId="77777777" w:rsidR="0024575E" w:rsidRPr="00DE2C02" w:rsidRDefault="0024575E" w:rsidP="0024575E">
      <w:pPr>
        <w:pStyle w:val="Normal-pool"/>
        <w:rPr>
          <w:sz w:val="22"/>
          <w:szCs w:val="22"/>
        </w:rPr>
      </w:pPr>
    </w:p>
    <w:p w14:paraId="7226BD17" w14:textId="77777777" w:rsidR="0024575E" w:rsidRPr="00DE2C02" w:rsidRDefault="0024575E" w:rsidP="0024575E">
      <w:pPr>
        <w:pStyle w:val="Normal-pool"/>
        <w:rPr>
          <w:b/>
          <w:sz w:val="22"/>
          <w:szCs w:val="22"/>
        </w:rPr>
      </w:pPr>
      <w:r w:rsidRPr="00DE2C02">
        <w:rPr>
          <w:b/>
          <w:sz w:val="22"/>
          <w:szCs w:val="22"/>
        </w:rPr>
        <w:t>Accountability</w:t>
      </w:r>
    </w:p>
    <w:p w14:paraId="533113C4" w14:textId="77777777" w:rsidR="0024575E" w:rsidRPr="00DE2C02" w:rsidRDefault="0024575E" w:rsidP="0024575E">
      <w:pPr>
        <w:pStyle w:val="Normal-pool"/>
        <w:rPr>
          <w:sz w:val="22"/>
          <w:szCs w:val="22"/>
        </w:rPr>
      </w:pPr>
      <w:r w:rsidRPr="00DE2C02">
        <w:rPr>
          <w:sz w:val="22"/>
          <w:szCs w:val="22"/>
        </w:rPr>
        <w:t>Is an assurance that an individual or an organization will be evaluated on their performance or behaviour related to something for which they are responsible.</w:t>
      </w:r>
    </w:p>
    <w:p w14:paraId="1CD01C26" w14:textId="77777777" w:rsidR="0024575E" w:rsidRPr="00DE2C02" w:rsidRDefault="0024575E" w:rsidP="0024575E">
      <w:pPr>
        <w:pStyle w:val="Normal-pool"/>
        <w:rPr>
          <w:b/>
          <w:sz w:val="22"/>
          <w:szCs w:val="22"/>
        </w:rPr>
      </w:pPr>
    </w:p>
    <w:p w14:paraId="76D49E64" w14:textId="77777777" w:rsidR="0024575E" w:rsidRPr="00DE2C02" w:rsidRDefault="0024575E" w:rsidP="0024575E">
      <w:pPr>
        <w:pStyle w:val="Normal-pool"/>
        <w:rPr>
          <w:b/>
          <w:sz w:val="22"/>
          <w:szCs w:val="22"/>
        </w:rPr>
      </w:pPr>
      <w:r w:rsidRPr="00DE2C02">
        <w:rPr>
          <w:b/>
          <w:sz w:val="22"/>
          <w:szCs w:val="22"/>
        </w:rPr>
        <w:t>Adoption</w:t>
      </w:r>
    </w:p>
    <w:p w14:paraId="55CD5232" w14:textId="77777777" w:rsidR="0024575E" w:rsidRPr="00DE2C02" w:rsidRDefault="0024575E" w:rsidP="0024575E">
      <w:pPr>
        <w:pStyle w:val="Normal-pool"/>
        <w:rPr>
          <w:sz w:val="22"/>
          <w:szCs w:val="22"/>
        </w:rPr>
      </w:pPr>
      <w:r w:rsidRPr="00DE2C02">
        <w:rPr>
          <w:sz w:val="22"/>
          <w:szCs w:val="22"/>
        </w:rPr>
        <w:t>Adoption of an IPBES report is a process of section-by-section (and not line-by-line) endorsement, as described in section 3.9, at a session of the Plenary.</w:t>
      </w:r>
    </w:p>
    <w:p w14:paraId="40D72959" w14:textId="77777777" w:rsidR="0024575E" w:rsidRPr="00DE2C02" w:rsidRDefault="0024575E" w:rsidP="0024575E">
      <w:pPr>
        <w:pStyle w:val="Normal-pool"/>
        <w:rPr>
          <w:sz w:val="22"/>
          <w:szCs w:val="22"/>
        </w:rPr>
      </w:pPr>
    </w:p>
    <w:p w14:paraId="195A055D" w14:textId="77777777" w:rsidR="0024575E" w:rsidRPr="00DE2C02" w:rsidRDefault="0024575E" w:rsidP="0024575E">
      <w:pPr>
        <w:pStyle w:val="Normal-pool"/>
        <w:rPr>
          <w:b/>
          <w:sz w:val="22"/>
          <w:szCs w:val="22"/>
        </w:rPr>
      </w:pPr>
      <w:r w:rsidRPr="00DE2C02">
        <w:rPr>
          <w:b/>
          <w:sz w:val="22"/>
          <w:szCs w:val="22"/>
        </w:rPr>
        <w:t>Agro-ecological zones</w:t>
      </w:r>
    </w:p>
    <w:p w14:paraId="2D8C85F2" w14:textId="77777777" w:rsidR="0024575E" w:rsidRPr="00DE2C02" w:rsidRDefault="0024575E" w:rsidP="0024575E">
      <w:pPr>
        <w:pStyle w:val="Normal-pool"/>
        <w:rPr>
          <w:sz w:val="22"/>
          <w:szCs w:val="22"/>
        </w:rPr>
      </w:pPr>
      <w:r w:rsidRPr="00DE2C02">
        <w:rPr>
          <w:sz w:val="22"/>
          <w:szCs w:val="22"/>
        </w:rPr>
        <w:t>Geographic areas with homogeneous sets of climatic parameters and natural resource characteristics, such as rainfall, solar radiation, soil types and soil qualities, which correspond to a level of agricultural potential.</w:t>
      </w:r>
    </w:p>
    <w:p w14:paraId="02FB617F" w14:textId="77777777" w:rsidR="0024575E" w:rsidRPr="00DE2C02" w:rsidRDefault="0024575E" w:rsidP="0024575E">
      <w:pPr>
        <w:pStyle w:val="Normal-pool"/>
        <w:rPr>
          <w:sz w:val="22"/>
          <w:szCs w:val="22"/>
        </w:rPr>
      </w:pPr>
    </w:p>
    <w:p w14:paraId="00D7EAAE" w14:textId="77777777" w:rsidR="0024575E" w:rsidRPr="00DE2C02" w:rsidRDefault="0024575E" w:rsidP="0024575E">
      <w:pPr>
        <w:pStyle w:val="Normal-pool"/>
        <w:rPr>
          <w:b/>
          <w:sz w:val="22"/>
          <w:szCs w:val="22"/>
        </w:rPr>
      </w:pPr>
      <w:r w:rsidRPr="00DE2C02">
        <w:rPr>
          <w:b/>
          <w:sz w:val="22"/>
          <w:szCs w:val="22"/>
        </w:rPr>
        <w:t>Alliance for Zero Extinction sites</w:t>
      </w:r>
    </w:p>
    <w:p w14:paraId="7652C8C3" w14:textId="77777777" w:rsidR="0024575E" w:rsidRPr="00DE2C02" w:rsidRDefault="0024575E" w:rsidP="0024575E">
      <w:pPr>
        <w:pStyle w:val="Normal-pool"/>
        <w:rPr>
          <w:sz w:val="22"/>
          <w:szCs w:val="22"/>
        </w:rPr>
      </w:pPr>
      <w:r w:rsidRPr="00DE2C02">
        <w:rPr>
          <w:sz w:val="22"/>
          <w:szCs w:val="22"/>
        </w:rPr>
        <w:t>Refer to sites containing 95% or more of the remaining population of one or more species listed as endangered or critically endangered on the IUCN Red List of Threatened Species.</w:t>
      </w:r>
    </w:p>
    <w:p w14:paraId="60ECD07A" w14:textId="77777777" w:rsidR="0024575E" w:rsidRPr="00DE2C02" w:rsidRDefault="0024575E" w:rsidP="0024575E">
      <w:pPr>
        <w:pStyle w:val="Normal-pool"/>
        <w:rPr>
          <w:sz w:val="22"/>
          <w:szCs w:val="22"/>
        </w:rPr>
      </w:pPr>
    </w:p>
    <w:p w14:paraId="07DF0DF4" w14:textId="77777777" w:rsidR="00BF0DAE" w:rsidRDefault="00BF0DAE" w:rsidP="0024575E">
      <w:pPr>
        <w:pStyle w:val="Normal-pool"/>
        <w:rPr>
          <w:b/>
          <w:sz w:val="22"/>
          <w:szCs w:val="22"/>
        </w:rPr>
      </w:pPr>
    </w:p>
    <w:p w14:paraId="7806B7DA" w14:textId="77777777" w:rsidR="0024575E" w:rsidRPr="00DE2C02" w:rsidRDefault="0024575E" w:rsidP="0024575E">
      <w:pPr>
        <w:pStyle w:val="Normal-pool"/>
        <w:rPr>
          <w:b/>
          <w:sz w:val="22"/>
          <w:szCs w:val="22"/>
        </w:rPr>
      </w:pPr>
      <w:r w:rsidRPr="00DE2C02">
        <w:rPr>
          <w:b/>
          <w:sz w:val="22"/>
          <w:szCs w:val="22"/>
        </w:rPr>
        <w:t>Approval</w:t>
      </w:r>
    </w:p>
    <w:p w14:paraId="34C816BD" w14:textId="77777777" w:rsidR="0024575E" w:rsidRPr="00DE2C02" w:rsidRDefault="0024575E" w:rsidP="0024575E">
      <w:pPr>
        <w:pStyle w:val="Normal-pool"/>
        <w:rPr>
          <w:sz w:val="22"/>
          <w:szCs w:val="22"/>
        </w:rPr>
      </w:pPr>
      <w:r w:rsidRPr="00DE2C02">
        <w:rPr>
          <w:sz w:val="22"/>
          <w:szCs w:val="22"/>
        </w:rPr>
        <w:t>Approval of the Platform’s outputs signifies that the material has been subject to detailed, line-by-line discussion and agreement by consensus at a session of the Plenary.</w:t>
      </w:r>
    </w:p>
    <w:p w14:paraId="7B1D23E7" w14:textId="77777777" w:rsidR="0024575E" w:rsidRPr="00DE2C02" w:rsidRDefault="0024575E" w:rsidP="0024575E">
      <w:pPr>
        <w:pStyle w:val="Normal-pool"/>
        <w:rPr>
          <w:sz w:val="22"/>
          <w:szCs w:val="22"/>
        </w:rPr>
      </w:pPr>
    </w:p>
    <w:p w14:paraId="27F74D8E" w14:textId="77777777" w:rsidR="0024575E" w:rsidRPr="00DE2C02" w:rsidRDefault="0024575E" w:rsidP="0024575E">
      <w:pPr>
        <w:pStyle w:val="Normal-pool"/>
        <w:rPr>
          <w:b/>
          <w:sz w:val="22"/>
          <w:szCs w:val="22"/>
        </w:rPr>
      </w:pPr>
      <w:r w:rsidRPr="00DE2C02">
        <w:rPr>
          <w:b/>
          <w:sz w:val="22"/>
          <w:szCs w:val="22"/>
        </w:rPr>
        <w:t>Archetypes</w:t>
      </w:r>
    </w:p>
    <w:p w14:paraId="55670525" w14:textId="77777777" w:rsidR="0024575E" w:rsidRPr="00DE2C02" w:rsidRDefault="0024575E" w:rsidP="0024575E">
      <w:pPr>
        <w:pStyle w:val="Normal-pool"/>
        <w:rPr>
          <w:sz w:val="22"/>
          <w:szCs w:val="22"/>
        </w:rPr>
      </w:pPr>
      <w:r w:rsidRPr="00DE2C02">
        <w:rPr>
          <w:sz w:val="22"/>
          <w:szCs w:val="22"/>
        </w:rPr>
        <w:t>In the context of scenarios, an over-arching scenario that embodies common characteristics of a number of more specific scenarios.</w:t>
      </w:r>
    </w:p>
    <w:p w14:paraId="6C3D3DFF" w14:textId="77777777" w:rsidR="0024575E" w:rsidRPr="00DE2C02" w:rsidRDefault="0024575E" w:rsidP="0024575E">
      <w:pPr>
        <w:pStyle w:val="Normal-pool"/>
        <w:rPr>
          <w:sz w:val="22"/>
          <w:szCs w:val="22"/>
        </w:rPr>
      </w:pPr>
    </w:p>
    <w:p w14:paraId="04804C83" w14:textId="77777777" w:rsidR="0024575E" w:rsidRPr="00DE2C02" w:rsidRDefault="0024575E" w:rsidP="0024575E">
      <w:pPr>
        <w:pStyle w:val="Normal-pool"/>
        <w:rPr>
          <w:b/>
          <w:sz w:val="22"/>
          <w:szCs w:val="22"/>
        </w:rPr>
      </w:pPr>
      <w:r w:rsidRPr="00DE2C02">
        <w:rPr>
          <w:b/>
          <w:sz w:val="22"/>
          <w:szCs w:val="22"/>
        </w:rPr>
        <w:t xml:space="preserve">Arid ecosystems </w:t>
      </w:r>
    </w:p>
    <w:p w14:paraId="4903EE38" w14:textId="77777777" w:rsidR="0024575E" w:rsidRPr="00DE2C02" w:rsidRDefault="0024575E" w:rsidP="0024575E">
      <w:pPr>
        <w:pStyle w:val="Normal-pool"/>
        <w:rPr>
          <w:sz w:val="22"/>
          <w:szCs w:val="22"/>
        </w:rPr>
      </w:pPr>
      <w:r w:rsidRPr="00DE2C02">
        <w:rPr>
          <w:sz w:val="22"/>
          <w:szCs w:val="22"/>
        </w:rPr>
        <w:t>Those in which water availability severely constrains ecological activity.</w:t>
      </w:r>
    </w:p>
    <w:p w14:paraId="36D6AFC3" w14:textId="77777777" w:rsidR="0024575E" w:rsidRPr="00DE2C02" w:rsidRDefault="0024575E" w:rsidP="0024575E">
      <w:pPr>
        <w:pStyle w:val="Normal-pool"/>
        <w:rPr>
          <w:sz w:val="22"/>
          <w:szCs w:val="22"/>
        </w:rPr>
      </w:pPr>
    </w:p>
    <w:p w14:paraId="6521A860" w14:textId="77777777" w:rsidR="0024575E" w:rsidRPr="00DE2C02" w:rsidRDefault="0024575E" w:rsidP="0024575E">
      <w:pPr>
        <w:pStyle w:val="Normal-pool"/>
        <w:rPr>
          <w:b/>
          <w:sz w:val="22"/>
          <w:szCs w:val="22"/>
        </w:rPr>
      </w:pPr>
      <w:r w:rsidRPr="00DE2C02">
        <w:rPr>
          <w:b/>
          <w:sz w:val="22"/>
          <w:szCs w:val="22"/>
        </w:rPr>
        <w:t>Aridification</w:t>
      </w:r>
    </w:p>
    <w:p w14:paraId="5745513A" w14:textId="77777777" w:rsidR="0024575E" w:rsidRDefault="0024575E" w:rsidP="0024575E">
      <w:pPr>
        <w:pStyle w:val="Normal-pool"/>
        <w:rPr>
          <w:sz w:val="22"/>
          <w:szCs w:val="22"/>
        </w:rPr>
      </w:pPr>
      <w:r w:rsidRPr="00DE2C02">
        <w:rPr>
          <w:sz w:val="22"/>
          <w:szCs w:val="22"/>
        </w:rPr>
        <w:t>A chronic reduction in soil moisture caused by an increase of mean annual temperature or a decrease in yearly precipitation.</w:t>
      </w:r>
    </w:p>
    <w:p w14:paraId="466AAF4C" w14:textId="77777777" w:rsidR="0024575E" w:rsidRPr="00DE2C02" w:rsidRDefault="0024575E" w:rsidP="0024575E">
      <w:pPr>
        <w:pStyle w:val="Normal-pool"/>
        <w:rPr>
          <w:sz w:val="22"/>
          <w:szCs w:val="22"/>
        </w:rPr>
      </w:pPr>
    </w:p>
    <w:p w14:paraId="05D3DD0A" w14:textId="77777777" w:rsidR="0024575E" w:rsidRPr="00DE2C02" w:rsidRDefault="0024575E" w:rsidP="0024575E">
      <w:pPr>
        <w:pStyle w:val="Normal-pool"/>
        <w:pBdr>
          <w:bottom w:val="single" w:sz="4" w:space="1" w:color="auto"/>
        </w:pBdr>
        <w:rPr>
          <w:b/>
          <w:sz w:val="22"/>
          <w:szCs w:val="22"/>
        </w:rPr>
      </w:pPr>
      <w:r w:rsidRPr="00DE2C02">
        <w:rPr>
          <w:b/>
          <w:sz w:val="22"/>
          <w:szCs w:val="22"/>
        </w:rPr>
        <w:t>B</w:t>
      </w:r>
    </w:p>
    <w:p w14:paraId="2BD387B9" w14:textId="77777777" w:rsidR="0024575E" w:rsidRPr="00DE2C02" w:rsidRDefault="0024575E" w:rsidP="0024575E">
      <w:pPr>
        <w:pStyle w:val="Normal-pool"/>
        <w:rPr>
          <w:b/>
          <w:sz w:val="22"/>
          <w:szCs w:val="22"/>
        </w:rPr>
      </w:pPr>
    </w:p>
    <w:p w14:paraId="6D0A9BCC" w14:textId="77777777" w:rsidR="0024575E" w:rsidRPr="00DE2C02" w:rsidRDefault="0024575E" w:rsidP="0024575E">
      <w:pPr>
        <w:pStyle w:val="Normal-pool"/>
        <w:rPr>
          <w:b/>
          <w:sz w:val="22"/>
          <w:szCs w:val="22"/>
        </w:rPr>
      </w:pPr>
      <w:r w:rsidRPr="00DE2C02">
        <w:rPr>
          <w:b/>
          <w:sz w:val="22"/>
          <w:szCs w:val="22"/>
        </w:rPr>
        <w:t>Baseline</w:t>
      </w:r>
    </w:p>
    <w:p w14:paraId="4B07C7E9" w14:textId="77777777" w:rsidR="0024575E" w:rsidRPr="00DE2C02" w:rsidRDefault="0024575E" w:rsidP="0024575E">
      <w:pPr>
        <w:pStyle w:val="Normal-pool"/>
        <w:rPr>
          <w:sz w:val="22"/>
          <w:szCs w:val="22"/>
        </w:rPr>
      </w:pPr>
      <w:r w:rsidRPr="00DE2C02">
        <w:rPr>
          <w:sz w:val="22"/>
          <w:szCs w:val="22"/>
        </w:rPr>
        <w:t>A minimum or starting point with which to compare other information (e.g., for comparisons between past and present or before and after an intervention).</w:t>
      </w:r>
    </w:p>
    <w:p w14:paraId="048D1794" w14:textId="77777777" w:rsidR="0024575E" w:rsidRPr="00DE2C02" w:rsidRDefault="0024575E" w:rsidP="0024575E">
      <w:pPr>
        <w:pStyle w:val="Normal-pool"/>
        <w:rPr>
          <w:sz w:val="22"/>
          <w:szCs w:val="22"/>
        </w:rPr>
      </w:pPr>
    </w:p>
    <w:p w14:paraId="33CE4BC1" w14:textId="77777777" w:rsidR="0024575E" w:rsidRPr="00DE2C02" w:rsidRDefault="0024575E" w:rsidP="0024575E">
      <w:pPr>
        <w:pStyle w:val="Normal-pool"/>
        <w:rPr>
          <w:b/>
          <w:sz w:val="22"/>
          <w:szCs w:val="22"/>
        </w:rPr>
      </w:pPr>
      <w:r w:rsidRPr="00DE2C02">
        <w:rPr>
          <w:b/>
          <w:sz w:val="22"/>
          <w:szCs w:val="22"/>
        </w:rPr>
        <w:t xml:space="preserve">Biodiversity </w:t>
      </w:r>
    </w:p>
    <w:p w14:paraId="0C3CED6E" w14:textId="77777777" w:rsidR="0024575E" w:rsidRPr="00DE2C02" w:rsidRDefault="0024575E" w:rsidP="0024575E">
      <w:pPr>
        <w:pStyle w:val="Normal-pool"/>
        <w:rPr>
          <w:sz w:val="22"/>
          <w:szCs w:val="22"/>
        </w:rPr>
      </w:pPr>
      <w:r w:rsidRPr="00DE2C02">
        <w:rPr>
          <w:sz w:val="22"/>
          <w:szCs w:val="22"/>
        </w:rPr>
        <w:t>The variability among living organisms from all sources including terrestrial, marine and other aquatic ecosystems and the ecological complexes of which they are a part. This includes variation in genetic, phenotypic, phylogenetic, and functional attributes, as well as changes in abundance and distribution over time and space within and among species, biological communities and ecosystems.</w:t>
      </w:r>
    </w:p>
    <w:p w14:paraId="186D3EEC" w14:textId="77777777" w:rsidR="0024575E" w:rsidRPr="00DE2C02" w:rsidRDefault="0024575E" w:rsidP="0024575E">
      <w:pPr>
        <w:pStyle w:val="Normal-pool"/>
        <w:rPr>
          <w:sz w:val="22"/>
          <w:szCs w:val="22"/>
        </w:rPr>
      </w:pPr>
    </w:p>
    <w:p w14:paraId="3213B2C9" w14:textId="77777777" w:rsidR="0024575E" w:rsidRPr="00DE2C02" w:rsidRDefault="0024575E" w:rsidP="0024575E">
      <w:pPr>
        <w:pStyle w:val="Normal-pool"/>
        <w:rPr>
          <w:b/>
          <w:sz w:val="22"/>
          <w:szCs w:val="22"/>
        </w:rPr>
      </w:pPr>
      <w:r w:rsidRPr="00DE2C02">
        <w:rPr>
          <w:b/>
          <w:sz w:val="22"/>
          <w:szCs w:val="22"/>
        </w:rPr>
        <w:t>Biodiversity hotspot</w:t>
      </w:r>
    </w:p>
    <w:p w14:paraId="38BE94B3" w14:textId="77777777" w:rsidR="0024575E" w:rsidRPr="00DE2C02" w:rsidRDefault="0024575E" w:rsidP="0024575E">
      <w:pPr>
        <w:pStyle w:val="Normal-pool"/>
        <w:rPr>
          <w:sz w:val="22"/>
          <w:szCs w:val="22"/>
        </w:rPr>
      </w:pPr>
      <w:r w:rsidRPr="00DE2C02">
        <w:rPr>
          <w:sz w:val="22"/>
          <w:szCs w:val="22"/>
        </w:rPr>
        <w:t xml:space="preserve">A generic term for an area high in such biodiversity attributes as species richness or endemism. It may also be used in assessments as a precise term applied to geographic areas defined according to two criteria (Myers </w:t>
      </w:r>
      <w:r w:rsidRPr="00DE2C02">
        <w:rPr>
          <w:i/>
          <w:sz w:val="22"/>
          <w:szCs w:val="22"/>
        </w:rPr>
        <w:t>et al</w:t>
      </w:r>
      <w:r w:rsidRPr="00DE2C02">
        <w:rPr>
          <w:sz w:val="22"/>
          <w:szCs w:val="22"/>
        </w:rPr>
        <w:t>., 2000): (i) containing at least 1,500 species of the world's 300,000 vascular plant species as endemics, and (ii) being under threat, in having lost 70% of its primary vegetation.</w:t>
      </w:r>
    </w:p>
    <w:p w14:paraId="025B5C0A" w14:textId="77777777" w:rsidR="0024575E" w:rsidRPr="00DE2C02" w:rsidRDefault="0024575E" w:rsidP="0024575E">
      <w:pPr>
        <w:pStyle w:val="Normal-pool"/>
        <w:rPr>
          <w:sz w:val="22"/>
          <w:szCs w:val="22"/>
        </w:rPr>
      </w:pPr>
    </w:p>
    <w:p w14:paraId="05E6AA47" w14:textId="77777777" w:rsidR="0024575E" w:rsidRPr="00DE2C02" w:rsidRDefault="0024575E" w:rsidP="0024575E">
      <w:pPr>
        <w:pStyle w:val="Normal-pool"/>
        <w:rPr>
          <w:b/>
          <w:sz w:val="22"/>
          <w:szCs w:val="22"/>
        </w:rPr>
      </w:pPr>
      <w:r w:rsidRPr="00DE2C02">
        <w:rPr>
          <w:b/>
          <w:sz w:val="22"/>
          <w:szCs w:val="22"/>
        </w:rPr>
        <w:t xml:space="preserve">Biomass </w:t>
      </w:r>
    </w:p>
    <w:p w14:paraId="7D1F1393" w14:textId="77777777" w:rsidR="0024575E" w:rsidRPr="00DE2C02" w:rsidRDefault="0024575E" w:rsidP="0024575E">
      <w:pPr>
        <w:pStyle w:val="Normal-pool"/>
        <w:rPr>
          <w:sz w:val="22"/>
          <w:szCs w:val="22"/>
        </w:rPr>
      </w:pPr>
      <w:r w:rsidRPr="00DE2C02">
        <w:rPr>
          <w:sz w:val="22"/>
          <w:szCs w:val="22"/>
        </w:rPr>
        <w:t>The mass of non-fossilized and biodegradable organic material originating from plants, animals and micro-organisms in a given area or volume.</w:t>
      </w:r>
    </w:p>
    <w:p w14:paraId="2C3EDE90" w14:textId="77777777" w:rsidR="0024575E" w:rsidRPr="00DE2C02" w:rsidRDefault="0024575E" w:rsidP="0024575E">
      <w:pPr>
        <w:pStyle w:val="Normal-pool"/>
        <w:rPr>
          <w:sz w:val="22"/>
          <w:szCs w:val="22"/>
        </w:rPr>
      </w:pPr>
    </w:p>
    <w:p w14:paraId="02ED01B9" w14:textId="77777777" w:rsidR="0024575E" w:rsidRPr="00DE2C02" w:rsidRDefault="0024575E" w:rsidP="0024575E">
      <w:pPr>
        <w:pStyle w:val="Normal-pool"/>
        <w:rPr>
          <w:b/>
          <w:sz w:val="22"/>
          <w:szCs w:val="22"/>
        </w:rPr>
      </w:pPr>
      <w:r w:rsidRPr="00DE2C02">
        <w:rPr>
          <w:b/>
          <w:sz w:val="22"/>
          <w:szCs w:val="22"/>
        </w:rPr>
        <w:t xml:space="preserve">Biome </w:t>
      </w:r>
    </w:p>
    <w:p w14:paraId="5967CDA7" w14:textId="77777777" w:rsidR="0024575E" w:rsidRPr="00DE2C02" w:rsidRDefault="0024575E" w:rsidP="0024575E">
      <w:pPr>
        <w:pStyle w:val="Normal-pool"/>
        <w:rPr>
          <w:sz w:val="22"/>
          <w:szCs w:val="22"/>
        </w:rPr>
      </w:pPr>
      <w:r w:rsidRPr="00DE2C02">
        <w:rPr>
          <w:sz w:val="22"/>
          <w:szCs w:val="22"/>
        </w:rPr>
        <w:t xml:space="preserve">Biomes are global-scale zones, generally defined by the type of plant life that they support in response to average rainfall and temperature patterns. For example, tundra, coral reefs or savannas. </w:t>
      </w:r>
    </w:p>
    <w:p w14:paraId="7E496964" w14:textId="77777777" w:rsidR="0024575E" w:rsidRPr="00DE2C02" w:rsidRDefault="0024575E" w:rsidP="0024575E">
      <w:pPr>
        <w:pStyle w:val="Normal-pool"/>
        <w:rPr>
          <w:sz w:val="22"/>
          <w:szCs w:val="22"/>
        </w:rPr>
      </w:pPr>
    </w:p>
    <w:p w14:paraId="615D1D7C" w14:textId="77777777" w:rsidR="0024575E" w:rsidRPr="00DE2C02" w:rsidRDefault="0024575E" w:rsidP="0024575E">
      <w:pPr>
        <w:pStyle w:val="Normal-pool"/>
        <w:rPr>
          <w:b/>
          <w:sz w:val="22"/>
          <w:szCs w:val="22"/>
        </w:rPr>
      </w:pPr>
      <w:r w:rsidRPr="00DE2C02">
        <w:rPr>
          <w:b/>
          <w:sz w:val="22"/>
          <w:szCs w:val="22"/>
        </w:rPr>
        <w:t>Bushmeat</w:t>
      </w:r>
    </w:p>
    <w:p w14:paraId="4C40F723" w14:textId="77777777" w:rsidR="0024575E" w:rsidRPr="00DE2C02" w:rsidRDefault="0024575E" w:rsidP="0024575E">
      <w:pPr>
        <w:pStyle w:val="Normal-pool"/>
        <w:rPr>
          <w:sz w:val="22"/>
          <w:szCs w:val="22"/>
        </w:rPr>
      </w:pPr>
      <w:r w:rsidRPr="00DE2C02">
        <w:rPr>
          <w:sz w:val="22"/>
          <w:szCs w:val="22"/>
        </w:rPr>
        <w:t>Meat for human consumption derived from wild animals.</w:t>
      </w:r>
    </w:p>
    <w:p w14:paraId="7355D26D" w14:textId="77777777" w:rsidR="0024575E" w:rsidRPr="00DE2C02" w:rsidRDefault="0024575E" w:rsidP="0024575E">
      <w:pPr>
        <w:pStyle w:val="Normal-pool"/>
        <w:rPr>
          <w:sz w:val="22"/>
          <w:szCs w:val="22"/>
        </w:rPr>
      </w:pPr>
    </w:p>
    <w:p w14:paraId="3E76A233" w14:textId="77777777" w:rsidR="0024575E" w:rsidRPr="00DE2C02" w:rsidRDefault="0024575E" w:rsidP="0024575E">
      <w:pPr>
        <w:pStyle w:val="Normal-pool"/>
        <w:rPr>
          <w:b/>
          <w:sz w:val="22"/>
          <w:szCs w:val="22"/>
        </w:rPr>
      </w:pPr>
      <w:r w:rsidRPr="00DE2C02">
        <w:rPr>
          <w:b/>
          <w:sz w:val="22"/>
          <w:szCs w:val="22"/>
        </w:rPr>
        <w:t>Bushmeat hunting</w:t>
      </w:r>
    </w:p>
    <w:p w14:paraId="68394914" w14:textId="77777777" w:rsidR="0024575E" w:rsidRDefault="0024575E" w:rsidP="0024575E">
      <w:pPr>
        <w:pStyle w:val="Normal-pool"/>
        <w:rPr>
          <w:sz w:val="22"/>
          <w:szCs w:val="22"/>
        </w:rPr>
      </w:pPr>
      <w:r w:rsidRPr="00DE2C02">
        <w:rPr>
          <w:sz w:val="22"/>
          <w:szCs w:val="22"/>
        </w:rPr>
        <w:t>Bushmeat (or wild meat) hunting is a form of hunting that entails the harvesting of wild animals for food and for non-food purposes, including for medicinal use.</w:t>
      </w:r>
    </w:p>
    <w:p w14:paraId="48FF7C25" w14:textId="77777777" w:rsidR="0024575E" w:rsidRPr="00DE2C02" w:rsidRDefault="0024575E" w:rsidP="0024575E">
      <w:pPr>
        <w:pStyle w:val="Normal-pool"/>
        <w:pBdr>
          <w:bottom w:val="single" w:sz="4" w:space="1" w:color="auto"/>
        </w:pBdr>
        <w:rPr>
          <w:b/>
          <w:sz w:val="22"/>
          <w:szCs w:val="22"/>
        </w:rPr>
      </w:pPr>
      <w:r w:rsidRPr="00DE2C02">
        <w:rPr>
          <w:b/>
          <w:sz w:val="22"/>
          <w:szCs w:val="22"/>
        </w:rPr>
        <w:t>C</w:t>
      </w:r>
    </w:p>
    <w:p w14:paraId="0C4A860A" w14:textId="77777777" w:rsidR="0024575E" w:rsidRPr="00DE2C02" w:rsidRDefault="0024575E" w:rsidP="0024575E">
      <w:pPr>
        <w:pStyle w:val="Normal-pool"/>
        <w:rPr>
          <w:sz w:val="22"/>
          <w:szCs w:val="22"/>
        </w:rPr>
      </w:pPr>
    </w:p>
    <w:p w14:paraId="2204E502" w14:textId="77777777" w:rsidR="0024575E" w:rsidRPr="00DE2C02" w:rsidRDefault="0024575E" w:rsidP="0024575E">
      <w:pPr>
        <w:pStyle w:val="Normal-pool"/>
        <w:rPr>
          <w:b/>
          <w:sz w:val="22"/>
          <w:szCs w:val="22"/>
        </w:rPr>
      </w:pPr>
      <w:r w:rsidRPr="00DE2C02">
        <w:rPr>
          <w:b/>
          <w:sz w:val="22"/>
          <w:szCs w:val="22"/>
        </w:rPr>
        <w:t xml:space="preserve">Carbon footprint </w:t>
      </w:r>
    </w:p>
    <w:p w14:paraId="30D23A1F" w14:textId="77777777" w:rsidR="0024575E" w:rsidRPr="00DE2C02" w:rsidRDefault="0024575E" w:rsidP="0024575E">
      <w:pPr>
        <w:pStyle w:val="Normal-pool"/>
        <w:rPr>
          <w:sz w:val="22"/>
          <w:szCs w:val="22"/>
        </w:rPr>
      </w:pPr>
      <w:r w:rsidRPr="00DE2C02">
        <w:rPr>
          <w:sz w:val="22"/>
          <w:szCs w:val="22"/>
        </w:rPr>
        <w:t>A measure of the total amount of carbon dioxide emissions, including carbon dioxide equivalents, that is directly and indirectly caused by an activity or is accumulated over the life stages of a product.</w:t>
      </w:r>
    </w:p>
    <w:p w14:paraId="0C0C7A2D" w14:textId="77777777" w:rsidR="0024575E" w:rsidRPr="00DE2C02" w:rsidRDefault="0024575E" w:rsidP="0024575E">
      <w:pPr>
        <w:pStyle w:val="Normal-pool"/>
        <w:rPr>
          <w:sz w:val="22"/>
          <w:szCs w:val="22"/>
        </w:rPr>
      </w:pPr>
    </w:p>
    <w:p w14:paraId="55B7CBB1" w14:textId="77777777" w:rsidR="0024575E" w:rsidRPr="00DE2C02" w:rsidRDefault="0024575E" w:rsidP="0024575E">
      <w:pPr>
        <w:pStyle w:val="Normal-pool"/>
        <w:rPr>
          <w:b/>
          <w:sz w:val="22"/>
          <w:szCs w:val="22"/>
        </w:rPr>
      </w:pPr>
      <w:r w:rsidRPr="00DE2C02">
        <w:rPr>
          <w:b/>
          <w:sz w:val="22"/>
          <w:szCs w:val="22"/>
        </w:rPr>
        <w:t>Carbon-lock-in phase</w:t>
      </w:r>
    </w:p>
    <w:p w14:paraId="070E19C0" w14:textId="77777777" w:rsidR="0024575E" w:rsidRPr="00DE2C02" w:rsidRDefault="0024575E" w:rsidP="0024575E">
      <w:pPr>
        <w:pStyle w:val="Normal-pool"/>
        <w:rPr>
          <w:sz w:val="22"/>
          <w:szCs w:val="22"/>
        </w:rPr>
      </w:pPr>
      <w:r w:rsidRPr="00DE2C02">
        <w:rPr>
          <w:sz w:val="22"/>
          <w:szCs w:val="22"/>
        </w:rPr>
        <w:t>Refers to the tendency for certain carbon-intensive technological systems to persist over time, ‘locking out’ lower-carbon alternatives, and owing to a combination of linked technical, economic, and institutional factors.</w:t>
      </w:r>
    </w:p>
    <w:p w14:paraId="42FE8310" w14:textId="77777777" w:rsidR="0024575E" w:rsidRPr="00DE2C02" w:rsidRDefault="0024575E" w:rsidP="0024575E">
      <w:pPr>
        <w:pStyle w:val="Normal-pool"/>
        <w:rPr>
          <w:sz w:val="22"/>
          <w:szCs w:val="22"/>
        </w:rPr>
      </w:pPr>
    </w:p>
    <w:p w14:paraId="38F6CC03" w14:textId="77777777" w:rsidR="0024575E" w:rsidRPr="00DE2C02" w:rsidRDefault="0024575E" w:rsidP="0024575E">
      <w:pPr>
        <w:pStyle w:val="Normal-pool"/>
        <w:rPr>
          <w:b/>
          <w:sz w:val="22"/>
          <w:szCs w:val="22"/>
        </w:rPr>
      </w:pPr>
      <w:r w:rsidRPr="00DE2C02">
        <w:rPr>
          <w:b/>
          <w:sz w:val="22"/>
          <w:szCs w:val="22"/>
        </w:rPr>
        <w:t>Climate variability</w:t>
      </w:r>
    </w:p>
    <w:p w14:paraId="6EFD68B4" w14:textId="77777777" w:rsidR="0024575E" w:rsidRPr="00DE2C02" w:rsidRDefault="0024575E" w:rsidP="0024575E">
      <w:pPr>
        <w:pStyle w:val="Normal-pool"/>
        <w:rPr>
          <w:sz w:val="22"/>
          <w:szCs w:val="22"/>
        </w:rPr>
      </w:pPr>
      <w:r w:rsidRPr="00DE2C02">
        <w:rPr>
          <w:sz w:val="22"/>
          <w:szCs w:val="22"/>
        </w:rPr>
        <w:t xml:space="preserve">Is defined as variations in the mean state and other statistics of the climate on all temporal and spatial scale, beyond individual weather events. </w:t>
      </w:r>
    </w:p>
    <w:p w14:paraId="0AA6A486" w14:textId="77777777" w:rsidR="0024575E" w:rsidRPr="00DE2C02" w:rsidRDefault="0024575E" w:rsidP="0024575E">
      <w:pPr>
        <w:pStyle w:val="Normal-pool"/>
        <w:rPr>
          <w:sz w:val="22"/>
          <w:szCs w:val="22"/>
        </w:rPr>
      </w:pPr>
    </w:p>
    <w:p w14:paraId="36026825" w14:textId="77777777" w:rsidR="0024575E" w:rsidRPr="00DE2C02" w:rsidRDefault="0024575E" w:rsidP="0024575E">
      <w:pPr>
        <w:pStyle w:val="Normal-pool"/>
        <w:rPr>
          <w:sz w:val="22"/>
          <w:szCs w:val="22"/>
        </w:rPr>
      </w:pPr>
      <w:r w:rsidRPr="00DE2C02">
        <w:rPr>
          <w:b/>
          <w:sz w:val="22"/>
          <w:szCs w:val="22"/>
        </w:rPr>
        <w:t>Climate change</w:t>
      </w:r>
      <w:r w:rsidRPr="00DE2C02">
        <w:rPr>
          <w:sz w:val="22"/>
          <w:szCs w:val="22"/>
        </w:rPr>
        <w:t xml:space="preserve"> </w:t>
      </w:r>
    </w:p>
    <w:p w14:paraId="15622784" w14:textId="77777777" w:rsidR="0024575E" w:rsidRPr="00DE2C02" w:rsidRDefault="0024575E" w:rsidP="0024575E">
      <w:pPr>
        <w:pStyle w:val="Normal-pool"/>
        <w:rPr>
          <w:sz w:val="22"/>
          <w:szCs w:val="22"/>
        </w:rPr>
      </w:pPr>
      <w:r w:rsidRPr="00DE2C02">
        <w:rPr>
          <w:sz w:val="22"/>
          <w:szCs w:val="22"/>
        </w:rPr>
        <w:t xml:space="preserve">As defined in Article 1 of the UNFCCC, "a change of climate which is attributed directly or indirectly to human activity that alters the composition of the global atmosphere and which is in addition to natural climate variability observed over comparable time periods </w:t>
      </w:r>
    </w:p>
    <w:p w14:paraId="71929EC9" w14:textId="77777777" w:rsidR="0024575E" w:rsidRPr="00DE2C02" w:rsidRDefault="0024575E" w:rsidP="0024575E">
      <w:pPr>
        <w:pStyle w:val="Normal-pool"/>
        <w:rPr>
          <w:b/>
          <w:sz w:val="22"/>
          <w:szCs w:val="22"/>
        </w:rPr>
      </w:pPr>
    </w:p>
    <w:p w14:paraId="20E268D4" w14:textId="77777777" w:rsidR="0024575E" w:rsidRPr="00DE2C02" w:rsidRDefault="0024575E" w:rsidP="0024575E">
      <w:pPr>
        <w:pStyle w:val="Normal-pool"/>
        <w:rPr>
          <w:b/>
          <w:sz w:val="22"/>
          <w:szCs w:val="22"/>
        </w:rPr>
      </w:pPr>
      <w:r w:rsidRPr="00DE2C02">
        <w:rPr>
          <w:b/>
          <w:sz w:val="22"/>
          <w:szCs w:val="22"/>
        </w:rPr>
        <w:t xml:space="preserve">Co-benefits </w:t>
      </w:r>
    </w:p>
    <w:p w14:paraId="28DC3E65" w14:textId="77777777" w:rsidR="0024575E" w:rsidRPr="00DE2C02" w:rsidRDefault="0024575E" w:rsidP="0024575E">
      <w:pPr>
        <w:pStyle w:val="Normal-pool"/>
        <w:rPr>
          <w:sz w:val="22"/>
          <w:szCs w:val="22"/>
        </w:rPr>
      </w:pPr>
      <w:r w:rsidRPr="00DE2C02">
        <w:rPr>
          <w:sz w:val="22"/>
          <w:szCs w:val="22"/>
        </w:rPr>
        <w:t xml:space="preserve">Refers to benefits of development plans or sectoral policies and measures. </w:t>
      </w:r>
    </w:p>
    <w:p w14:paraId="24527712" w14:textId="77777777" w:rsidR="0024575E" w:rsidRPr="00DE2C02" w:rsidRDefault="0024575E" w:rsidP="0024575E">
      <w:pPr>
        <w:pStyle w:val="Normal-pool"/>
        <w:rPr>
          <w:sz w:val="22"/>
          <w:szCs w:val="22"/>
        </w:rPr>
      </w:pPr>
    </w:p>
    <w:p w14:paraId="0AAEA0DE" w14:textId="77777777" w:rsidR="0024575E" w:rsidRPr="00DE2C02" w:rsidRDefault="0024575E" w:rsidP="0024575E">
      <w:pPr>
        <w:pStyle w:val="Normal-pool"/>
        <w:rPr>
          <w:b/>
          <w:sz w:val="22"/>
          <w:szCs w:val="22"/>
        </w:rPr>
      </w:pPr>
      <w:r w:rsidRPr="00DE2C02">
        <w:rPr>
          <w:b/>
          <w:sz w:val="22"/>
          <w:szCs w:val="22"/>
        </w:rPr>
        <w:t>Community-based natural resource management</w:t>
      </w:r>
    </w:p>
    <w:p w14:paraId="685E2862" w14:textId="77777777" w:rsidR="0024575E" w:rsidRPr="00DE2C02" w:rsidRDefault="0024575E" w:rsidP="0024575E">
      <w:pPr>
        <w:pStyle w:val="Normal-pool"/>
        <w:rPr>
          <w:sz w:val="22"/>
          <w:szCs w:val="22"/>
        </w:rPr>
      </w:pPr>
      <w:r w:rsidRPr="00DE2C02">
        <w:rPr>
          <w:sz w:val="22"/>
          <w:szCs w:val="22"/>
        </w:rPr>
        <w:t>Community-based natural resource management: an approach to natural resource management that involves the full participation of indigenous peoples’ and local communities and resource users in decision-making activities, and the incorporation of local institutions, customary practices, and knowledge systems in management, regulatory, and enforcement processes. Under this approach, community-based monitoring and information systems are initiatives by indigenous peoples and local community organisations to monitor their community’s well-being and the state of their territories and natural resources, applying a mix of traditional knowledge and innovative tools and approaches.</w:t>
      </w:r>
    </w:p>
    <w:p w14:paraId="7F40193B" w14:textId="77777777" w:rsidR="0024575E" w:rsidRPr="00DE2C02" w:rsidRDefault="0024575E" w:rsidP="0024575E">
      <w:pPr>
        <w:pStyle w:val="Normal-pool"/>
        <w:rPr>
          <w:sz w:val="22"/>
          <w:szCs w:val="22"/>
        </w:rPr>
      </w:pPr>
    </w:p>
    <w:p w14:paraId="5914E046" w14:textId="77777777" w:rsidR="0024575E" w:rsidRPr="00DE2C02" w:rsidRDefault="0024575E" w:rsidP="0024575E">
      <w:pPr>
        <w:pStyle w:val="Normal-pool"/>
        <w:rPr>
          <w:b/>
          <w:sz w:val="22"/>
          <w:szCs w:val="22"/>
        </w:rPr>
      </w:pPr>
      <w:r w:rsidRPr="00DE2C02">
        <w:rPr>
          <w:b/>
          <w:sz w:val="22"/>
          <w:szCs w:val="22"/>
        </w:rPr>
        <w:t xml:space="preserve">Corridor </w:t>
      </w:r>
    </w:p>
    <w:p w14:paraId="10ECB061" w14:textId="77777777" w:rsidR="0024575E" w:rsidRPr="00DE2C02" w:rsidRDefault="0024575E" w:rsidP="0024575E">
      <w:pPr>
        <w:pStyle w:val="Normal-pool"/>
        <w:rPr>
          <w:sz w:val="22"/>
          <w:szCs w:val="22"/>
        </w:rPr>
      </w:pPr>
      <w:r w:rsidRPr="00DE2C02">
        <w:rPr>
          <w:sz w:val="22"/>
          <w:szCs w:val="22"/>
        </w:rPr>
        <w:t>A geographically defined area which allows species to move between landscapes, ecosystems and habitats, natural or modified, and ensures the maintenance of biodiversity and ecological and evolutionary processes.</w:t>
      </w:r>
    </w:p>
    <w:p w14:paraId="63372FA2" w14:textId="77777777" w:rsidR="0024575E" w:rsidRPr="00DE2C02" w:rsidRDefault="0024575E" w:rsidP="0024575E">
      <w:pPr>
        <w:pStyle w:val="Normal-pool"/>
        <w:rPr>
          <w:sz w:val="22"/>
          <w:szCs w:val="22"/>
        </w:rPr>
      </w:pPr>
    </w:p>
    <w:p w14:paraId="572B551C" w14:textId="77777777" w:rsidR="0024575E" w:rsidRPr="00DE2C02" w:rsidRDefault="0024575E" w:rsidP="0024575E">
      <w:pPr>
        <w:pStyle w:val="Normal-pool"/>
        <w:rPr>
          <w:b/>
          <w:sz w:val="22"/>
          <w:szCs w:val="22"/>
        </w:rPr>
      </w:pPr>
      <w:r w:rsidRPr="00DE2C02">
        <w:rPr>
          <w:b/>
          <w:sz w:val="22"/>
          <w:szCs w:val="22"/>
        </w:rPr>
        <w:t xml:space="preserve">Cross-scale Analysis </w:t>
      </w:r>
    </w:p>
    <w:p w14:paraId="346CE54B" w14:textId="77777777" w:rsidR="0024575E" w:rsidRDefault="0024575E" w:rsidP="0024575E">
      <w:pPr>
        <w:pStyle w:val="Normal-pool"/>
        <w:rPr>
          <w:sz w:val="22"/>
          <w:szCs w:val="22"/>
        </w:rPr>
      </w:pPr>
      <w:r w:rsidRPr="00DE2C02">
        <w:rPr>
          <w:sz w:val="22"/>
          <w:szCs w:val="22"/>
        </w:rPr>
        <w:t>Cross-scale effects are the result of spatial and/or temporal processes interacting with other processes at another scale. These interactions create emergent effects that can be difficult to predict.</w:t>
      </w:r>
    </w:p>
    <w:p w14:paraId="1CF3A3AD" w14:textId="77777777" w:rsidR="00BF0DAE" w:rsidRDefault="00BF0DAE" w:rsidP="0024575E">
      <w:pPr>
        <w:pStyle w:val="Normal-pool"/>
        <w:pBdr>
          <w:bottom w:val="single" w:sz="4" w:space="1" w:color="auto"/>
        </w:pBdr>
        <w:rPr>
          <w:b/>
          <w:sz w:val="22"/>
          <w:szCs w:val="22"/>
        </w:rPr>
      </w:pPr>
    </w:p>
    <w:p w14:paraId="1F3CEFC7" w14:textId="77777777" w:rsidR="0024575E" w:rsidRPr="00DE2C02" w:rsidRDefault="0024575E" w:rsidP="0024575E">
      <w:pPr>
        <w:pStyle w:val="Normal-pool"/>
        <w:pBdr>
          <w:bottom w:val="single" w:sz="4" w:space="1" w:color="auto"/>
        </w:pBdr>
        <w:rPr>
          <w:b/>
          <w:sz w:val="22"/>
          <w:szCs w:val="22"/>
        </w:rPr>
      </w:pPr>
      <w:r w:rsidRPr="00DE2C02">
        <w:rPr>
          <w:b/>
          <w:sz w:val="22"/>
          <w:szCs w:val="22"/>
        </w:rPr>
        <w:t>D</w:t>
      </w:r>
    </w:p>
    <w:p w14:paraId="7FC75C36" w14:textId="77777777" w:rsidR="0024575E" w:rsidRPr="00DE2C02" w:rsidRDefault="0024575E" w:rsidP="0024575E">
      <w:pPr>
        <w:pStyle w:val="Normal-pool"/>
        <w:rPr>
          <w:b/>
          <w:sz w:val="22"/>
          <w:szCs w:val="22"/>
        </w:rPr>
      </w:pPr>
    </w:p>
    <w:p w14:paraId="1E29894B" w14:textId="77777777" w:rsidR="0024575E" w:rsidRPr="00DE2C02" w:rsidRDefault="0024575E" w:rsidP="0024575E">
      <w:pPr>
        <w:pStyle w:val="Normal-pool"/>
        <w:rPr>
          <w:b/>
          <w:sz w:val="22"/>
          <w:szCs w:val="22"/>
        </w:rPr>
      </w:pPr>
      <w:r w:rsidRPr="00DE2C02">
        <w:rPr>
          <w:b/>
          <w:sz w:val="22"/>
          <w:szCs w:val="22"/>
        </w:rPr>
        <w:t xml:space="preserve">Deforestation </w:t>
      </w:r>
    </w:p>
    <w:p w14:paraId="3A84B785" w14:textId="77777777" w:rsidR="0024575E" w:rsidRPr="00DE2C02" w:rsidRDefault="0024575E" w:rsidP="0024575E">
      <w:pPr>
        <w:pStyle w:val="Normal-pool"/>
        <w:rPr>
          <w:sz w:val="22"/>
          <w:szCs w:val="22"/>
        </w:rPr>
      </w:pPr>
      <w:r w:rsidRPr="00DE2C02">
        <w:rPr>
          <w:sz w:val="22"/>
          <w:szCs w:val="22"/>
        </w:rPr>
        <w:t>Human-induced conversion of forested land to non</w:t>
      </w:r>
      <w:r>
        <w:rPr>
          <w:sz w:val="22"/>
          <w:szCs w:val="22"/>
        </w:rPr>
        <w:t>-</w:t>
      </w:r>
      <w:r w:rsidRPr="00DE2C02">
        <w:rPr>
          <w:sz w:val="22"/>
          <w:szCs w:val="22"/>
        </w:rPr>
        <w:t xml:space="preserve">forested land. Deforestation can be permanent, when this change is definitive, or temporary when this change is part of a cycle that includes natural or assisted regeneration. </w:t>
      </w:r>
    </w:p>
    <w:p w14:paraId="108148C7" w14:textId="77777777" w:rsidR="0024575E" w:rsidRPr="00DE2C02" w:rsidRDefault="0024575E" w:rsidP="0024575E">
      <w:pPr>
        <w:pStyle w:val="Normal-pool"/>
        <w:rPr>
          <w:sz w:val="22"/>
          <w:szCs w:val="22"/>
        </w:rPr>
      </w:pPr>
    </w:p>
    <w:p w14:paraId="4AD1BD81" w14:textId="77777777" w:rsidR="0024575E" w:rsidRPr="00DE2C02" w:rsidRDefault="0024575E" w:rsidP="0024575E">
      <w:pPr>
        <w:pStyle w:val="Normal-pool"/>
        <w:rPr>
          <w:b/>
          <w:sz w:val="22"/>
          <w:szCs w:val="22"/>
        </w:rPr>
      </w:pPr>
      <w:r w:rsidRPr="00DE2C02">
        <w:rPr>
          <w:b/>
          <w:sz w:val="22"/>
          <w:szCs w:val="22"/>
        </w:rPr>
        <w:t xml:space="preserve">Domestication of agreements’ commitment </w:t>
      </w:r>
    </w:p>
    <w:p w14:paraId="6B5FD514" w14:textId="77777777" w:rsidR="0024575E" w:rsidRPr="00DE2C02" w:rsidRDefault="0024575E" w:rsidP="0024575E">
      <w:pPr>
        <w:pStyle w:val="Normal-pool"/>
        <w:rPr>
          <w:sz w:val="22"/>
          <w:szCs w:val="22"/>
        </w:rPr>
      </w:pPr>
      <w:r w:rsidRPr="00DE2C02">
        <w:rPr>
          <w:sz w:val="22"/>
          <w:szCs w:val="22"/>
        </w:rPr>
        <w:t>Refer to measures taken to give global agreement the power and the force of national legal systems and regulations to enable and facilitate their applicability in the national context while ensuring full compliance with international commitments.</w:t>
      </w:r>
    </w:p>
    <w:p w14:paraId="567E4A96" w14:textId="77777777" w:rsidR="0024575E" w:rsidRPr="00DE2C02" w:rsidRDefault="0024575E" w:rsidP="0024575E">
      <w:pPr>
        <w:pStyle w:val="Normal-pool"/>
        <w:rPr>
          <w:sz w:val="22"/>
          <w:szCs w:val="22"/>
        </w:rPr>
      </w:pPr>
    </w:p>
    <w:p w14:paraId="4600531B" w14:textId="77777777" w:rsidR="0024575E" w:rsidRPr="00DE2C02" w:rsidRDefault="0024575E" w:rsidP="0024575E">
      <w:pPr>
        <w:pStyle w:val="Normal-pool"/>
        <w:rPr>
          <w:b/>
          <w:sz w:val="22"/>
          <w:szCs w:val="22"/>
        </w:rPr>
      </w:pPr>
      <w:r w:rsidRPr="00DE2C02">
        <w:rPr>
          <w:b/>
          <w:sz w:val="22"/>
          <w:szCs w:val="22"/>
        </w:rPr>
        <w:t>Driver</w:t>
      </w:r>
    </w:p>
    <w:p w14:paraId="1580FAE4" w14:textId="77777777" w:rsidR="0024575E" w:rsidRPr="00DE2C02" w:rsidRDefault="0024575E" w:rsidP="0024575E">
      <w:pPr>
        <w:rPr>
          <w:rFonts w:ascii="Times New Roman" w:hAnsi="Times New Roman" w:cs="Times New Roman"/>
        </w:rPr>
      </w:pPr>
      <w:r w:rsidRPr="00DE2C02">
        <w:rPr>
          <w:rFonts w:ascii="Times New Roman" w:hAnsi="Times New Roman" w:cs="Times New Roman"/>
        </w:rPr>
        <w:t xml:space="preserve">In the context of IPBES, drivers of change are all the factors that, directly or indirectly, cause changes in nature, anthropogenic assets, nature’s contributions to people and a good quality of life. </w:t>
      </w:r>
    </w:p>
    <w:p w14:paraId="1025CCA1" w14:textId="77777777" w:rsidR="0024575E" w:rsidRPr="00DE2C02" w:rsidRDefault="0024575E" w:rsidP="0024575E">
      <w:pPr>
        <w:rPr>
          <w:rFonts w:ascii="Times New Roman" w:hAnsi="Times New Roman" w:cs="Times New Roman"/>
        </w:rPr>
      </w:pPr>
    </w:p>
    <w:p w14:paraId="15280120" w14:textId="77777777" w:rsidR="0024575E" w:rsidRPr="00DE2C02" w:rsidRDefault="0024575E" w:rsidP="0024575E">
      <w:pPr>
        <w:rPr>
          <w:rFonts w:ascii="Times New Roman" w:hAnsi="Times New Roman" w:cs="Times New Roman"/>
        </w:rPr>
      </w:pPr>
      <w:r w:rsidRPr="00DE2C02">
        <w:rPr>
          <w:rFonts w:ascii="Times New Roman" w:hAnsi="Times New Roman" w:cs="Times New Roman"/>
        </w:rPr>
        <w:t xml:space="preserve">Direct drivers of change can be both natural and anthropogenic. </w:t>
      </w:r>
    </w:p>
    <w:p w14:paraId="3ABFEACA" w14:textId="77777777" w:rsidR="0024575E" w:rsidRPr="00DE2C02" w:rsidRDefault="0024575E" w:rsidP="0024575E">
      <w:pPr>
        <w:rPr>
          <w:rFonts w:ascii="Times New Roman" w:hAnsi="Times New Roman" w:cs="Times New Roman"/>
        </w:rPr>
      </w:pPr>
    </w:p>
    <w:p w14:paraId="6F9F09C4" w14:textId="77777777" w:rsidR="0024575E" w:rsidRPr="00DE2C02" w:rsidRDefault="0024575E" w:rsidP="0024575E">
      <w:pPr>
        <w:rPr>
          <w:rFonts w:ascii="Times New Roman" w:hAnsi="Times New Roman" w:cs="Times New Roman"/>
        </w:rPr>
      </w:pPr>
      <w:r w:rsidRPr="00DE2C02">
        <w:rPr>
          <w:rFonts w:ascii="Times New Roman" w:hAnsi="Times New Roman" w:cs="Times New Roman"/>
          <w:b/>
        </w:rPr>
        <w:t>Direct drivers</w:t>
      </w:r>
      <w:r w:rsidRPr="00DE2C02">
        <w:rPr>
          <w:rFonts w:ascii="Times New Roman" w:hAnsi="Times New Roman" w:cs="Times New Roman"/>
        </w:rPr>
        <w:t xml:space="preserve"> have direct physical (mechanical, chemical, noise, light etc.) and behaviour-affecting impacts on nature. They include, inter-alia, climate change, pollution, different types of land use change, invasive alien species and zoonoses, and exploitation.</w:t>
      </w:r>
    </w:p>
    <w:p w14:paraId="4346A1DC" w14:textId="77777777" w:rsidR="0024575E" w:rsidRPr="00DE2C02" w:rsidRDefault="0024575E" w:rsidP="0024575E">
      <w:pPr>
        <w:pStyle w:val="Normal-pool"/>
        <w:rPr>
          <w:b/>
          <w:sz w:val="22"/>
          <w:szCs w:val="22"/>
        </w:rPr>
      </w:pPr>
    </w:p>
    <w:p w14:paraId="07BC3FEE" w14:textId="77777777" w:rsidR="0024575E" w:rsidRDefault="0024575E" w:rsidP="0024575E">
      <w:pPr>
        <w:pStyle w:val="Normal-pool"/>
        <w:rPr>
          <w:sz w:val="22"/>
          <w:szCs w:val="22"/>
        </w:rPr>
      </w:pPr>
      <w:r w:rsidRPr="00DE2C02">
        <w:rPr>
          <w:b/>
          <w:sz w:val="22"/>
          <w:szCs w:val="22"/>
        </w:rPr>
        <w:t>Indirect drivers</w:t>
      </w:r>
      <w:r w:rsidRPr="00DE2C02">
        <w:rPr>
          <w:sz w:val="22"/>
          <w:szCs w:val="22"/>
        </w:rPr>
        <w:t xml:space="preserve"> are drivers that operate diffusely by altering and influencing direct drivers as well as other indirect drivers. They do not impact nature directly. Rather, they do it by affecting the level, direction or rate of direct drivers. Interactions between indirect and direct drivers create different chains of relationship, attribution, and impacts, which may vary according to type, intensity, duration, and distance. These relationships can also lead to different types of spill-over effects. Global indirect drivers include economic, demographic, governance, technological and cultural ones, among others. Special attention is given, among indirect drivers, to the role of institutions (both formal and informal) and impacts of the patterns of production, supply and consumption on nature, nature’s contributions to people and good quality of life. </w:t>
      </w:r>
    </w:p>
    <w:p w14:paraId="36DB74A1" w14:textId="77777777" w:rsidR="0024575E" w:rsidRPr="00DE2C02" w:rsidRDefault="0024575E" w:rsidP="0024575E">
      <w:pPr>
        <w:pStyle w:val="Normal-pool"/>
        <w:rPr>
          <w:sz w:val="22"/>
          <w:szCs w:val="22"/>
        </w:rPr>
      </w:pPr>
    </w:p>
    <w:p w14:paraId="1C161543" w14:textId="77777777" w:rsidR="0024575E" w:rsidRPr="00DE2C02" w:rsidRDefault="0024575E" w:rsidP="0024575E">
      <w:pPr>
        <w:pStyle w:val="Normal-pool"/>
        <w:pBdr>
          <w:bottom w:val="single" w:sz="4" w:space="1" w:color="auto"/>
        </w:pBdr>
        <w:rPr>
          <w:b/>
          <w:sz w:val="22"/>
          <w:szCs w:val="22"/>
        </w:rPr>
      </w:pPr>
      <w:r w:rsidRPr="00DE2C02">
        <w:rPr>
          <w:b/>
          <w:sz w:val="22"/>
          <w:szCs w:val="22"/>
        </w:rPr>
        <w:t>E</w:t>
      </w:r>
    </w:p>
    <w:p w14:paraId="163A7DD7" w14:textId="77777777" w:rsidR="0024575E" w:rsidRPr="00DE2C02" w:rsidRDefault="0024575E" w:rsidP="0024575E">
      <w:pPr>
        <w:pStyle w:val="Normal-pool"/>
        <w:rPr>
          <w:sz w:val="22"/>
          <w:szCs w:val="22"/>
        </w:rPr>
      </w:pPr>
    </w:p>
    <w:p w14:paraId="5CFA540E" w14:textId="77777777" w:rsidR="0024575E" w:rsidRPr="00DE2C02" w:rsidRDefault="0024575E" w:rsidP="0024575E">
      <w:pPr>
        <w:pStyle w:val="Normal-pool"/>
        <w:rPr>
          <w:b/>
          <w:sz w:val="22"/>
          <w:szCs w:val="22"/>
        </w:rPr>
      </w:pPr>
      <w:r w:rsidRPr="00DE2C02">
        <w:rPr>
          <w:b/>
          <w:sz w:val="22"/>
          <w:szCs w:val="22"/>
        </w:rPr>
        <w:t>Eco-labelling</w:t>
      </w:r>
    </w:p>
    <w:p w14:paraId="0A778AB6" w14:textId="77777777" w:rsidR="0024575E" w:rsidRPr="00DE2C02" w:rsidRDefault="0024575E" w:rsidP="0024575E">
      <w:pPr>
        <w:pStyle w:val="Normal-pool"/>
        <w:rPr>
          <w:sz w:val="22"/>
          <w:szCs w:val="22"/>
        </w:rPr>
      </w:pPr>
      <w:r w:rsidRPr="00DE2C02">
        <w:rPr>
          <w:sz w:val="22"/>
          <w:szCs w:val="22"/>
        </w:rPr>
        <w:t>"Is only one type of environmental labelling, and refers specifically to the provision of information to consumers about the relative environmental quality of a product”.</w:t>
      </w:r>
    </w:p>
    <w:p w14:paraId="271111A1" w14:textId="77777777" w:rsidR="0024575E" w:rsidRPr="00DE2C02" w:rsidRDefault="0024575E" w:rsidP="0024575E">
      <w:pPr>
        <w:pStyle w:val="Normal-pool"/>
        <w:rPr>
          <w:sz w:val="22"/>
          <w:szCs w:val="22"/>
        </w:rPr>
      </w:pPr>
    </w:p>
    <w:p w14:paraId="54DE1917" w14:textId="77777777" w:rsidR="0024575E" w:rsidRPr="00DE2C02" w:rsidRDefault="0024575E" w:rsidP="0024575E">
      <w:pPr>
        <w:pStyle w:val="Normal-pool"/>
        <w:rPr>
          <w:b/>
          <w:sz w:val="22"/>
          <w:szCs w:val="22"/>
        </w:rPr>
      </w:pPr>
      <w:r w:rsidRPr="00DE2C02">
        <w:rPr>
          <w:b/>
          <w:sz w:val="22"/>
          <w:szCs w:val="22"/>
        </w:rPr>
        <w:t>Ecological footprint</w:t>
      </w:r>
    </w:p>
    <w:p w14:paraId="67756BC2" w14:textId="77777777" w:rsidR="0024575E" w:rsidRPr="00DE2C02" w:rsidRDefault="0024575E" w:rsidP="0024575E">
      <w:pPr>
        <w:pStyle w:val="Normal-pool"/>
        <w:rPr>
          <w:sz w:val="22"/>
          <w:szCs w:val="22"/>
        </w:rPr>
      </w:pPr>
      <w:r w:rsidRPr="00DE2C02">
        <w:rPr>
          <w:sz w:val="22"/>
          <w:szCs w:val="22"/>
        </w:rPr>
        <w:t>A measure of the amount of biologically productive land and water required to support the demands of a population or productive activity. Ecological footprints can be calculated at any scale: for an activity, a person, a community, a city, a region, a nation or humanity as a whole.</w:t>
      </w:r>
    </w:p>
    <w:p w14:paraId="1EB3DA9A" w14:textId="77777777" w:rsidR="0024575E" w:rsidRPr="00DE2C02" w:rsidRDefault="0024575E" w:rsidP="0024575E">
      <w:pPr>
        <w:pStyle w:val="Normal-pool"/>
        <w:rPr>
          <w:sz w:val="22"/>
          <w:szCs w:val="22"/>
        </w:rPr>
      </w:pPr>
    </w:p>
    <w:p w14:paraId="74D619B6" w14:textId="77777777" w:rsidR="0024575E" w:rsidRPr="00DE2C02" w:rsidRDefault="0024575E" w:rsidP="0024575E">
      <w:pPr>
        <w:rPr>
          <w:rFonts w:ascii="Times New Roman" w:hAnsi="Times New Roman" w:cs="Times New Roman"/>
          <w:b/>
        </w:rPr>
      </w:pPr>
      <w:r w:rsidRPr="00DE2C02">
        <w:rPr>
          <w:rFonts w:ascii="Times New Roman" w:hAnsi="Times New Roman" w:cs="Times New Roman"/>
          <w:b/>
        </w:rPr>
        <w:t xml:space="preserve">Eco-region </w:t>
      </w:r>
    </w:p>
    <w:p w14:paraId="54A55E2A" w14:textId="77777777" w:rsidR="0024575E" w:rsidRPr="00DE2C02" w:rsidRDefault="0024575E" w:rsidP="0024575E">
      <w:pPr>
        <w:rPr>
          <w:rFonts w:ascii="Times New Roman" w:hAnsi="Times New Roman" w:cs="Times New Roman"/>
        </w:rPr>
      </w:pPr>
      <w:r w:rsidRPr="00DE2C02">
        <w:rPr>
          <w:rFonts w:ascii="Times New Roman" w:hAnsi="Times New Roman" w:cs="Times New Roman"/>
        </w:rPr>
        <w:t>A large area of land or water that contains a geographically distinct assemblage of natural communities that:</w:t>
      </w:r>
    </w:p>
    <w:p w14:paraId="671A659F" w14:textId="77777777" w:rsidR="0024575E" w:rsidRPr="00DE2C02" w:rsidRDefault="0024575E" w:rsidP="0024575E">
      <w:pPr>
        <w:rPr>
          <w:rFonts w:ascii="Times New Roman" w:hAnsi="Times New Roman" w:cs="Times New Roman"/>
        </w:rPr>
      </w:pPr>
    </w:p>
    <w:p w14:paraId="7AB961F8" w14:textId="77777777" w:rsidR="0024575E" w:rsidRPr="00DE2C02" w:rsidRDefault="0024575E" w:rsidP="0024575E">
      <w:pPr>
        <w:pStyle w:val="ListParagraph"/>
        <w:numPr>
          <w:ilvl w:val="0"/>
          <w:numId w:val="22"/>
        </w:numPr>
        <w:ind w:left="360"/>
        <w:rPr>
          <w:rFonts w:ascii="Times New Roman" w:hAnsi="Times New Roman" w:cs="Times New Roman"/>
        </w:rPr>
      </w:pPr>
      <w:r w:rsidRPr="00DE2C02">
        <w:rPr>
          <w:rFonts w:ascii="Times New Roman" w:hAnsi="Times New Roman" w:cs="Times New Roman"/>
        </w:rPr>
        <w:t>Share a large majority of their species and ecological dynamics;</w:t>
      </w:r>
    </w:p>
    <w:p w14:paraId="34F065CC" w14:textId="77777777" w:rsidR="0024575E" w:rsidRPr="00DE2C02" w:rsidRDefault="0024575E" w:rsidP="0024575E">
      <w:pPr>
        <w:pStyle w:val="ListParagraph"/>
        <w:numPr>
          <w:ilvl w:val="0"/>
          <w:numId w:val="22"/>
        </w:numPr>
        <w:ind w:left="360"/>
        <w:rPr>
          <w:rFonts w:ascii="Times New Roman" w:hAnsi="Times New Roman" w:cs="Times New Roman"/>
        </w:rPr>
      </w:pPr>
      <w:r w:rsidRPr="00DE2C02">
        <w:rPr>
          <w:rFonts w:ascii="Times New Roman" w:hAnsi="Times New Roman" w:cs="Times New Roman"/>
        </w:rPr>
        <w:t>Share similar environmental conditions, and;</w:t>
      </w:r>
    </w:p>
    <w:p w14:paraId="057E22F2" w14:textId="77777777" w:rsidR="0024575E" w:rsidRPr="00DE2C02" w:rsidRDefault="0024575E" w:rsidP="0024575E">
      <w:pPr>
        <w:pStyle w:val="Normal-pool"/>
        <w:rPr>
          <w:sz w:val="22"/>
          <w:szCs w:val="22"/>
        </w:rPr>
      </w:pPr>
    </w:p>
    <w:p w14:paraId="530F5D9A" w14:textId="77777777" w:rsidR="0024575E" w:rsidRPr="00DE2C02" w:rsidRDefault="0024575E" w:rsidP="0024575E">
      <w:pPr>
        <w:pStyle w:val="Normal-pool"/>
        <w:rPr>
          <w:sz w:val="22"/>
          <w:szCs w:val="22"/>
        </w:rPr>
      </w:pPr>
      <w:r w:rsidRPr="00DE2C02">
        <w:rPr>
          <w:sz w:val="22"/>
          <w:szCs w:val="22"/>
        </w:rPr>
        <w:t xml:space="preserve">Interact ecologically in ways that are critical for their long-term persistence (source: WWF). In contrast to biomes, an ecoregion is generally geographically specific, at a much finer scale. For example, the “East African Montane Forest” eco-region of Kenya (WWF eco-region classification) is a geographically specific and coherent example of the globally occurring “tropical and subtropical forest” biome. </w:t>
      </w:r>
    </w:p>
    <w:p w14:paraId="0F86C5EC" w14:textId="77777777" w:rsidR="0024575E" w:rsidRPr="00DE2C02" w:rsidRDefault="0024575E" w:rsidP="0024575E">
      <w:pPr>
        <w:pStyle w:val="Normal-pool"/>
        <w:rPr>
          <w:sz w:val="22"/>
          <w:szCs w:val="22"/>
        </w:rPr>
      </w:pPr>
    </w:p>
    <w:p w14:paraId="4063B491" w14:textId="77777777" w:rsidR="0024575E" w:rsidRPr="00DE2C02" w:rsidRDefault="0024575E" w:rsidP="0024575E">
      <w:pPr>
        <w:pStyle w:val="Normal-pool"/>
        <w:rPr>
          <w:b/>
          <w:sz w:val="22"/>
          <w:szCs w:val="22"/>
        </w:rPr>
      </w:pPr>
      <w:r w:rsidRPr="00DE2C02">
        <w:rPr>
          <w:b/>
          <w:sz w:val="22"/>
          <w:szCs w:val="22"/>
        </w:rPr>
        <w:t>Ecosystem</w:t>
      </w:r>
    </w:p>
    <w:p w14:paraId="4C13039B" w14:textId="77777777" w:rsidR="0024575E" w:rsidRPr="00DE2C02" w:rsidRDefault="0024575E" w:rsidP="0024575E">
      <w:pPr>
        <w:pStyle w:val="Normal-pool"/>
        <w:rPr>
          <w:sz w:val="22"/>
          <w:szCs w:val="22"/>
        </w:rPr>
      </w:pPr>
      <w:r w:rsidRPr="00DE2C02">
        <w:rPr>
          <w:sz w:val="22"/>
          <w:szCs w:val="22"/>
        </w:rPr>
        <w:t xml:space="preserve">A dynamic complex of plant, animal and micro-organism communities and their non-living environment interacting as a functional unit. </w:t>
      </w:r>
    </w:p>
    <w:p w14:paraId="107E1E7D" w14:textId="77777777" w:rsidR="0024575E" w:rsidRPr="00DE2C02" w:rsidRDefault="0024575E" w:rsidP="0024575E">
      <w:pPr>
        <w:pStyle w:val="Normal-pool"/>
        <w:rPr>
          <w:sz w:val="22"/>
          <w:szCs w:val="22"/>
        </w:rPr>
      </w:pPr>
    </w:p>
    <w:p w14:paraId="51645855" w14:textId="77777777" w:rsidR="0024575E" w:rsidRPr="00DE2C02" w:rsidRDefault="0024575E" w:rsidP="0024575E">
      <w:pPr>
        <w:pStyle w:val="Normal-pool"/>
        <w:rPr>
          <w:b/>
          <w:sz w:val="22"/>
          <w:szCs w:val="22"/>
        </w:rPr>
      </w:pPr>
      <w:r w:rsidRPr="00DE2C02">
        <w:rPr>
          <w:b/>
          <w:sz w:val="22"/>
          <w:szCs w:val="22"/>
        </w:rPr>
        <w:t xml:space="preserve">Ecosystem function </w:t>
      </w:r>
    </w:p>
    <w:p w14:paraId="119D9431" w14:textId="77777777" w:rsidR="0024575E" w:rsidRPr="00DE2C02" w:rsidRDefault="0024575E" w:rsidP="0024575E">
      <w:pPr>
        <w:pStyle w:val="Normal-pool"/>
        <w:rPr>
          <w:sz w:val="22"/>
          <w:szCs w:val="22"/>
        </w:rPr>
      </w:pPr>
      <w:r w:rsidRPr="00DE2C02">
        <w:rPr>
          <w:sz w:val="22"/>
          <w:szCs w:val="22"/>
        </w:rPr>
        <w:t xml:space="preserve">The flow of energy and materials through the biotic and abiotic components of an ecosystem. It includes many processes such as biomass production, trophic transfer through plants and animals, nutrient cycling, water dynamics and heat transfer. </w:t>
      </w:r>
    </w:p>
    <w:p w14:paraId="6F82AEC8" w14:textId="77777777" w:rsidR="00BF0DAE" w:rsidRDefault="00BF0DAE" w:rsidP="0024575E">
      <w:pPr>
        <w:pStyle w:val="Normal-pool"/>
        <w:rPr>
          <w:b/>
          <w:sz w:val="22"/>
          <w:szCs w:val="22"/>
        </w:rPr>
      </w:pPr>
    </w:p>
    <w:p w14:paraId="0243A55D" w14:textId="77777777" w:rsidR="0024575E" w:rsidRPr="00DE2C02" w:rsidRDefault="0024575E" w:rsidP="0024575E">
      <w:pPr>
        <w:pStyle w:val="Normal-pool"/>
        <w:rPr>
          <w:b/>
          <w:sz w:val="22"/>
          <w:szCs w:val="22"/>
        </w:rPr>
      </w:pPr>
      <w:r w:rsidRPr="00DE2C02">
        <w:rPr>
          <w:b/>
          <w:sz w:val="22"/>
          <w:szCs w:val="22"/>
        </w:rPr>
        <w:t>Ecosystem services</w:t>
      </w:r>
    </w:p>
    <w:p w14:paraId="782BA3FE" w14:textId="77777777" w:rsidR="0024575E" w:rsidRPr="00DE2C02" w:rsidRDefault="0024575E" w:rsidP="0024575E">
      <w:pPr>
        <w:pStyle w:val="Normal-pool"/>
        <w:rPr>
          <w:sz w:val="22"/>
          <w:szCs w:val="22"/>
        </w:rPr>
      </w:pPr>
      <w:r w:rsidRPr="00DE2C02">
        <w:rPr>
          <w:sz w:val="22"/>
          <w:szCs w:val="22"/>
        </w:rPr>
        <w:t>The benefits people obtain from ecosystems. These include provisioning services such as food and water; regulating services such as flood and disease control; cultural services such as spiritual, recreational, and cultural benefits; and supporting services such as nutrient cycling that maintain the conditions for life on Earth. The concept ‘‘ecosystem goods and services’’ is synonymous with ecosystem services.</w:t>
      </w:r>
    </w:p>
    <w:p w14:paraId="3D3F44DB" w14:textId="77777777" w:rsidR="0024575E" w:rsidRPr="00DE2C02" w:rsidRDefault="0024575E" w:rsidP="0024575E">
      <w:pPr>
        <w:pStyle w:val="Normal-pool"/>
        <w:rPr>
          <w:sz w:val="22"/>
          <w:szCs w:val="22"/>
        </w:rPr>
      </w:pPr>
    </w:p>
    <w:p w14:paraId="3F416099" w14:textId="77777777" w:rsidR="0024575E" w:rsidRPr="00DE2C02" w:rsidRDefault="0024575E" w:rsidP="0024575E">
      <w:pPr>
        <w:pStyle w:val="Normal-pool"/>
        <w:rPr>
          <w:b/>
          <w:sz w:val="22"/>
          <w:szCs w:val="22"/>
        </w:rPr>
      </w:pPr>
      <w:r w:rsidRPr="00DE2C02">
        <w:rPr>
          <w:b/>
          <w:sz w:val="22"/>
          <w:szCs w:val="22"/>
        </w:rPr>
        <w:t xml:space="preserve">Ecotourism </w:t>
      </w:r>
    </w:p>
    <w:p w14:paraId="4A239BA8" w14:textId="77777777" w:rsidR="0024575E" w:rsidRPr="00DE2C02" w:rsidRDefault="0024575E" w:rsidP="0024575E">
      <w:pPr>
        <w:pStyle w:val="Normal-pool"/>
        <w:rPr>
          <w:sz w:val="22"/>
          <w:szCs w:val="22"/>
        </w:rPr>
      </w:pPr>
      <w:r w:rsidRPr="00DE2C02">
        <w:rPr>
          <w:sz w:val="22"/>
          <w:szCs w:val="22"/>
        </w:rPr>
        <w:t xml:space="preserve">Sustainable travel undertaken to access sites or regions of unique natural or ecological quality, promoting their conservation, low visitor impact, and socio-economic involvement of local populations. </w:t>
      </w:r>
    </w:p>
    <w:p w14:paraId="53176036" w14:textId="77777777" w:rsidR="0024575E" w:rsidRPr="00DE2C02" w:rsidRDefault="0024575E" w:rsidP="0024575E">
      <w:pPr>
        <w:pStyle w:val="Normal-pool"/>
        <w:rPr>
          <w:sz w:val="22"/>
          <w:szCs w:val="22"/>
        </w:rPr>
      </w:pPr>
    </w:p>
    <w:p w14:paraId="42D2CBD6" w14:textId="77777777" w:rsidR="0024575E" w:rsidRPr="00DE2C02" w:rsidRDefault="0024575E" w:rsidP="0024575E">
      <w:pPr>
        <w:pStyle w:val="Normal-pool"/>
        <w:rPr>
          <w:b/>
          <w:sz w:val="22"/>
          <w:szCs w:val="22"/>
        </w:rPr>
      </w:pPr>
      <w:r w:rsidRPr="00DE2C02">
        <w:rPr>
          <w:b/>
          <w:sz w:val="22"/>
          <w:szCs w:val="22"/>
        </w:rPr>
        <w:t xml:space="preserve">Endangered species </w:t>
      </w:r>
    </w:p>
    <w:p w14:paraId="2BE2B0E0" w14:textId="77777777" w:rsidR="0024575E" w:rsidRPr="00DE2C02" w:rsidRDefault="0024575E" w:rsidP="0024575E">
      <w:pPr>
        <w:pStyle w:val="Normal-pool"/>
        <w:rPr>
          <w:sz w:val="22"/>
          <w:szCs w:val="22"/>
        </w:rPr>
      </w:pPr>
      <w:r w:rsidRPr="00DE2C02">
        <w:rPr>
          <w:sz w:val="22"/>
          <w:szCs w:val="22"/>
        </w:rPr>
        <w:t xml:space="preserve">A species at risk of extinction in the wild. </w:t>
      </w:r>
    </w:p>
    <w:p w14:paraId="32A85CF0" w14:textId="77777777" w:rsidR="0024575E" w:rsidRPr="00DE2C02" w:rsidRDefault="0024575E" w:rsidP="0024575E">
      <w:pPr>
        <w:pStyle w:val="Normal-pool"/>
        <w:rPr>
          <w:sz w:val="22"/>
          <w:szCs w:val="22"/>
        </w:rPr>
      </w:pPr>
    </w:p>
    <w:p w14:paraId="00023BAF" w14:textId="77777777" w:rsidR="0024575E" w:rsidRPr="00DE2C02" w:rsidRDefault="0024575E" w:rsidP="0024575E">
      <w:pPr>
        <w:pStyle w:val="Normal-pool"/>
        <w:rPr>
          <w:b/>
          <w:sz w:val="22"/>
          <w:szCs w:val="22"/>
        </w:rPr>
      </w:pPr>
      <w:r w:rsidRPr="00DE2C02">
        <w:rPr>
          <w:b/>
          <w:sz w:val="22"/>
          <w:szCs w:val="22"/>
        </w:rPr>
        <w:t>Endemism</w:t>
      </w:r>
    </w:p>
    <w:p w14:paraId="70B8498A" w14:textId="77777777" w:rsidR="0024575E" w:rsidRPr="00DE2C02" w:rsidRDefault="0024575E" w:rsidP="0024575E">
      <w:pPr>
        <w:pStyle w:val="Normal-pool"/>
        <w:rPr>
          <w:sz w:val="22"/>
          <w:szCs w:val="22"/>
        </w:rPr>
      </w:pPr>
      <w:r w:rsidRPr="00DE2C02">
        <w:rPr>
          <w:sz w:val="22"/>
          <w:szCs w:val="22"/>
        </w:rPr>
        <w:t xml:space="preserve">The ecological state of a species being unique to a defined geographic location, such as an island, nation, country or other defined zone, or habitat type; organisms that are indigenous to a place are not endemic to it if they are also found elsewhere. </w:t>
      </w:r>
    </w:p>
    <w:p w14:paraId="68EA3056" w14:textId="77777777" w:rsidR="0024575E" w:rsidRPr="00DE2C02" w:rsidRDefault="0024575E" w:rsidP="0024575E">
      <w:pPr>
        <w:pStyle w:val="Normal-pool"/>
        <w:rPr>
          <w:sz w:val="22"/>
          <w:szCs w:val="22"/>
        </w:rPr>
      </w:pPr>
    </w:p>
    <w:p w14:paraId="7B4D4EF2" w14:textId="77777777" w:rsidR="0024575E" w:rsidRPr="00DE2C02" w:rsidRDefault="0024575E" w:rsidP="0024575E">
      <w:pPr>
        <w:pStyle w:val="Normal-pool"/>
        <w:rPr>
          <w:b/>
          <w:sz w:val="22"/>
          <w:szCs w:val="22"/>
        </w:rPr>
      </w:pPr>
      <w:r w:rsidRPr="00DE2C02">
        <w:rPr>
          <w:b/>
          <w:sz w:val="22"/>
          <w:szCs w:val="22"/>
        </w:rPr>
        <w:t xml:space="preserve">Energy security </w:t>
      </w:r>
    </w:p>
    <w:p w14:paraId="5FDA95D8" w14:textId="77777777" w:rsidR="0024575E" w:rsidRPr="00DE2C02" w:rsidRDefault="0024575E" w:rsidP="0024575E">
      <w:pPr>
        <w:pStyle w:val="Normal-pool"/>
        <w:rPr>
          <w:sz w:val="22"/>
          <w:szCs w:val="22"/>
        </w:rPr>
      </w:pPr>
      <w:r w:rsidRPr="00DE2C02">
        <w:rPr>
          <w:sz w:val="22"/>
          <w:szCs w:val="22"/>
        </w:rPr>
        <w:t xml:space="preserve">Access to clean, reliable and affordable energy services for cooking and heating, lighting, communications and productive uses. </w:t>
      </w:r>
    </w:p>
    <w:p w14:paraId="3334D07B" w14:textId="77777777" w:rsidR="00BF0DAE" w:rsidRDefault="00BF0DAE" w:rsidP="0024575E">
      <w:pPr>
        <w:pStyle w:val="Normal-pool"/>
        <w:rPr>
          <w:b/>
          <w:sz w:val="22"/>
          <w:szCs w:val="22"/>
        </w:rPr>
      </w:pPr>
    </w:p>
    <w:p w14:paraId="00F9E068" w14:textId="77777777" w:rsidR="0024575E" w:rsidRPr="00DE2C02" w:rsidRDefault="0024575E" w:rsidP="0024575E">
      <w:pPr>
        <w:pStyle w:val="Normal-pool"/>
        <w:rPr>
          <w:b/>
          <w:sz w:val="22"/>
          <w:szCs w:val="22"/>
        </w:rPr>
      </w:pPr>
      <w:r w:rsidRPr="00DE2C02">
        <w:rPr>
          <w:b/>
          <w:sz w:val="22"/>
          <w:szCs w:val="22"/>
        </w:rPr>
        <w:t>Environmental assets</w:t>
      </w:r>
    </w:p>
    <w:p w14:paraId="0D22A66A" w14:textId="77777777" w:rsidR="0024575E" w:rsidRPr="00DE2C02" w:rsidRDefault="0024575E" w:rsidP="0024575E">
      <w:pPr>
        <w:pStyle w:val="Normal-pool"/>
        <w:rPr>
          <w:sz w:val="22"/>
          <w:szCs w:val="22"/>
        </w:rPr>
      </w:pPr>
      <w:r w:rsidRPr="00DE2C02">
        <w:rPr>
          <w:sz w:val="22"/>
          <w:szCs w:val="22"/>
        </w:rPr>
        <w:t>Naturally occurring living and non-living entities of the Earth, together comprising the bio-physical environment, that jointly deliver ecosystem services to the benefit of current and future generation.</w:t>
      </w:r>
    </w:p>
    <w:p w14:paraId="0556DF91" w14:textId="77777777" w:rsidR="0024575E" w:rsidRPr="00DE2C02" w:rsidRDefault="0024575E" w:rsidP="0024575E">
      <w:pPr>
        <w:pStyle w:val="Normal-pool"/>
        <w:rPr>
          <w:sz w:val="22"/>
          <w:szCs w:val="22"/>
        </w:rPr>
      </w:pPr>
    </w:p>
    <w:p w14:paraId="35AC686D" w14:textId="77777777" w:rsidR="00DA6D59" w:rsidRDefault="00DA6D59" w:rsidP="0024575E">
      <w:pPr>
        <w:pStyle w:val="Normal-pool"/>
        <w:rPr>
          <w:b/>
          <w:sz w:val="22"/>
          <w:szCs w:val="22"/>
        </w:rPr>
      </w:pPr>
    </w:p>
    <w:p w14:paraId="322EEDD9" w14:textId="77777777" w:rsidR="00DA6D59" w:rsidRDefault="00DA6D59" w:rsidP="0024575E">
      <w:pPr>
        <w:pStyle w:val="Normal-pool"/>
        <w:rPr>
          <w:b/>
          <w:sz w:val="22"/>
          <w:szCs w:val="22"/>
        </w:rPr>
      </w:pPr>
    </w:p>
    <w:p w14:paraId="70CB7F59" w14:textId="079ADB5A" w:rsidR="0024575E" w:rsidRPr="00DE2C02" w:rsidRDefault="0024575E" w:rsidP="0024575E">
      <w:pPr>
        <w:pStyle w:val="Normal-pool"/>
        <w:rPr>
          <w:b/>
          <w:sz w:val="22"/>
          <w:szCs w:val="22"/>
        </w:rPr>
      </w:pPr>
      <w:r w:rsidRPr="00DE2C02">
        <w:rPr>
          <w:b/>
          <w:sz w:val="22"/>
          <w:szCs w:val="22"/>
        </w:rPr>
        <w:t>Equity</w:t>
      </w:r>
    </w:p>
    <w:p w14:paraId="49E16E55" w14:textId="77777777" w:rsidR="0024575E" w:rsidRPr="00DE2C02" w:rsidRDefault="0024575E" w:rsidP="0024575E">
      <w:pPr>
        <w:pStyle w:val="Normal-pool"/>
        <w:rPr>
          <w:sz w:val="22"/>
          <w:szCs w:val="22"/>
        </w:rPr>
      </w:pPr>
      <w:r w:rsidRPr="00DE2C02">
        <w:rPr>
          <w:sz w:val="22"/>
          <w:szCs w:val="22"/>
        </w:rPr>
        <w:t xml:space="preserve">Equity comprises three interlinked dimensions: </w:t>
      </w:r>
    </w:p>
    <w:p w14:paraId="685291D0" w14:textId="77777777" w:rsidR="0024575E" w:rsidRPr="00DE2C02" w:rsidRDefault="0024575E" w:rsidP="0024575E">
      <w:pPr>
        <w:pStyle w:val="Normal-pool"/>
        <w:numPr>
          <w:ilvl w:val="0"/>
          <w:numId w:val="29"/>
        </w:numPr>
        <w:rPr>
          <w:sz w:val="22"/>
          <w:szCs w:val="22"/>
        </w:rPr>
      </w:pPr>
      <w:r w:rsidRPr="00DE2C02">
        <w:rPr>
          <w:b/>
          <w:sz w:val="22"/>
          <w:szCs w:val="22"/>
        </w:rPr>
        <w:t>Distributive equity</w:t>
      </w:r>
      <w:r w:rsidRPr="00DE2C02">
        <w:rPr>
          <w:sz w:val="22"/>
          <w:szCs w:val="22"/>
        </w:rPr>
        <w:t xml:space="preserve"> highlights the need to consider not just the allocation of benefits, but also of costs and risks. Decisions about distribution can be justified on the basis of equality, social welfare, merit or need.</w:t>
      </w:r>
    </w:p>
    <w:p w14:paraId="42B0B7B9" w14:textId="77777777" w:rsidR="0024575E" w:rsidRPr="00DE2C02" w:rsidRDefault="0024575E" w:rsidP="0024575E">
      <w:pPr>
        <w:pStyle w:val="Normal-pool"/>
        <w:numPr>
          <w:ilvl w:val="0"/>
          <w:numId w:val="29"/>
        </w:numPr>
        <w:rPr>
          <w:sz w:val="22"/>
          <w:szCs w:val="22"/>
        </w:rPr>
      </w:pPr>
      <w:r w:rsidRPr="00DE2C02">
        <w:rPr>
          <w:b/>
          <w:sz w:val="22"/>
          <w:szCs w:val="22"/>
        </w:rPr>
        <w:t>Procedural equity</w:t>
      </w:r>
      <w:r w:rsidRPr="00DE2C02">
        <w:rPr>
          <w:sz w:val="22"/>
          <w:szCs w:val="22"/>
        </w:rPr>
        <w:t xml:space="preserve"> encompasses fairness in political processes and participation in decision-making.</w:t>
      </w:r>
    </w:p>
    <w:p w14:paraId="108501E9" w14:textId="77777777" w:rsidR="0024575E" w:rsidRPr="00DE2C02" w:rsidRDefault="0024575E" w:rsidP="0024575E">
      <w:pPr>
        <w:pStyle w:val="Normal-pool"/>
        <w:numPr>
          <w:ilvl w:val="0"/>
          <w:numId w:val="29"/>
        </w:numPr>
        <w:rPr>
          <w:sz w:val="22"/>
          <w:szCs w:val="22"/>
        </w:rPr>
      </w:pPr>
      <w:r w:rsidRPr="00DE2C02">
        <w:rPr>
          <w:b/>
          <w:sz w:val="22"/>
          <w:szCs w:val="22"/>
        </w:rPr>
        <w:t xml:space="preserve">Contextual </w:t>
      </w:r>
      <w:r w:rsidRPr="00DE2C02">
        <w:rPr>
          <w:sz w:val="22"/>
          <w:szCs w:val="22"/>
        </w:rPr>
        <w:t>equity recognises the fact that the playing field is never level, but that people’s capabilities and their access to resources and power determine the extent to which they are able to utilise procedural equity to determine the best distributive outcome for themselves.</w:t>
      </w:r>
    </w:p>
    <w:p w14:paraId="59A708FB" w14:textId="77777777" w:rsidR="0024575E" w:rsidRPr="00DE2C02" w:rsidRDefault="0024575E" w:rsidP="0024575E">
      <w:pPr>
        <w:pStyle w:val="Normal-pool"/>
        <w:rPr>
          <w:sz w:val="22"/>
          <w:szCs w:val="22"/>
        </w:rPr>
      </w:pPr>
    </w:p>
    <w:p w14:paraId="78106E01" w14:textId="77777777" w:rsidR="0024575E" w:rsidRPr="00DE2C02" w:rsidRDefault="0024575E" w:rsidP="0024575E">
      <w:pPr>
        <w:pStyle w:val="Normal-pool"/>
        <w:rPr>
          <w:b/>
          <w:sz w:val="22"/>
          <w:szCs w:val="22"/>
        </w:rPr>
      </w:pPr>
      <w:r w:rsidRPr="00DE2C02">
        <w:rPr>
          <w:b/>
          <w:sz w:val="22"/>
          <w:szCs w:val="22"/>
        </w:rPr>
        <w:t>Exclusive Economic Zone</w:t>
      </w:r>
    </w:p>
    <w:p w14:paraId="295920FD" w14:textId="77777777" w:rsidR="0024575E" w:rsidRDefault="0024575E" w:rsidP="0024575E">
      <w:pPr>
        <w:pStyle w:val="Normal-pool"/>
        <w:rPr>
          <w:sz w:val="22"/>
          <w:szCs w:val="22"/>
        </w:rPr>
      </w:pPr>
      <w:r w:rsidRPr="00DE2C02">
        <w:rPr>
          <w:sz w:val="22"/>
          <w:szCs w:val="22"/>
        </w:rPr>
        <w:t>An Exclusive Economic Zone (EEZ) is a concept adopted at the Third United Nations Conference on the Law of the Sea (1982), whereby a coastal State assumes jurisdiction over the exploration and exploitation of marine resources in its adjacent section of the continental shelf, taken to be a band extending 200 miles from the shore. The Exclusive Economic Zone comprises an area which extends either from the coast, or in federal systems from the seaward boundaries of the constituent states (3 to 12 nautical miles, in most cases) to 200 nautical miles (370 kilometres) off the coast. Within this area, nations claim and exercise sovereign rights and exclusive fishery management authority over all fish and all Continental Shelf fishery resources.</w:t>
      </w:r>
    </w:p>
    <w:p w14:paraId="26522F04" w14:textId="77777777" w:rsidR="0024575E" w:rsidRPr="00DE2C02" w:rsidRDefault="0024575E" w:rsidP="0024575E">
      <w:pPr>
        <w:pStyle w:val="Normal-pool"/>
        <w:rPr>
          <w:sz w:val="22"/>
          <w:szCs w:val="22"/>
        </w:rPr>
      </w:pPr>
    </w:p>
    <w:p w14:paraId="39E2622D" w14:textId="77777777" w:rsidR="0024575E" w:rsidRPr="00DE2C02" w:rsidRDefault="0024575E" w:rsidP="0024575E">
      <w:pPr>
        <w:pStyle w:val="Normal-pool"/>
        <w:pBdr>
          <w:bottom w:val="single" w:sz="4" w:space="1" w:color="auto"/>
        </w:pBdr>
        <w:rPr>
          <w:b/>
          <w:sz w:val="22"/>
          <w:szCs w:val="22"/>
        </w:rPr>
      </w:pPr>
      <w:r w:rsidRPr="00DE2C02">
        <w:rPr>
          <w:b/>
          <w:sz w:val="22"/>
          <w:szCs w:val="22"/>
        </w:rPr>
        <w:t>F</w:t>
      </w:r>
    </w:p>
    <w:p w14:paraId="3CDD3B41" w14:textId="77777777" w:rsidR="0024575E" w:rsidRPr="00DE2C02" w:rsidRDefault="0024575E" w:rsidP="0024575E">
      <w:pPr>
        <w:pStyle w:val="Normal-pool"/>
        <w:rPr>
          <w:sz w:val="22"/>
          <w:szCs w:val="22"/>
        </w:rPr>
      </w:pPr>
    </w:p>
    <w:p w14:paraId="0E36FD77" w14:textId="77777777" w:rsidR="0024575E" w:rsidRPr="00DE2C02" w:rsidRDefault="0024575E" w:rsidP="0024575E">
      <w:pPr>
        <w:pStyle w:val="Normal-pool"/>
        <w:rPr>
          <w:b/>
          <w:sz w:val="22"/>
          <w:szCs w:val="22"/>
        </w:rPr>
      </w:pPr>
      <w:r w:rsidRPr="00DE2C02">
        <w:rPr>
          <w:b/>
          <w:sz w:val="22"/>
          <w:szCs w:val="22"/>
        </w:rPr>
        <w:t>Feedback</w:t>
      </w:r>
    </w:p>
    <w:p w14:paraId="6EA67154" w14:textId="77777777" w:rsidR="0024575E" w:rsidRPr="00DE2C02" w:rsidRDefault="0024575E" w:rsidP="0024575E">
      <w:pPr>
        <w:pStyle w:val="Normal-pool"/>
        <w:rPr>
          <w:sz w:val="22"/>
          <w:szCs w:val="22"/>
        </w:rPr>
      </w:pPr>
      <w:r w:rsidRPr="00DE2C02">
        <w:rPr>
          <w:sz w:val="22"/>
          <w:szCs w:val="22"/>
        </w:rPr>
        <w:t>The modification or control of a process or system by its results or effects.</w:t>
      </w:r>
    </w:p>
    <w:p w14:paraId="02569F14" w14:textId="77777777" w:rsidR="0024575E" w:rsidRPr="00DE2C02" w:rsidRDefault="0024575E" w:rsidP="0024575E">
      <w:pPr>
        <w:pStyle w:val="Normal-pool"/>
        <w:rPr>
          <w:sz w:val="22"/>
          <w:szCs w:val="22"/>
        </w:rPr>
      </w:pPr>
    </w:p>
    <w:p w14:paraId="5021639C" w14:textId="77777777" w:rsidR="0024575E" w:rsidRPr="00DE2C02" w:rsidRDefault="0024575E" w:rsidP="0024575E">
      <w:pPr>
        <w:pStyle w:val="Normal-pool"/>
        <w:rPr>
          <w:b/>
          <w:sz w:val="22"/>
          <w:szCs w:val="22"/>
        </w:rPr>
      </w:pPr>
      <w:r w:rsidRPr="00DE2C02">
        <w:rPr>
          <w:b/>
          <w:sz w:val="22"/>
          <w:szCs w:val="22"/>
        </w:rPr>
        <w:t>Food security</w:t>
      </w:r>
    </w:p>
    <w:p w14:paraId="2BF72AFF" w14:textId="77777777" w:rsidR="0024575E" w:rsidRPr="00DE2C02" w:rsidRDefault="0024575E" w:rsidP="0024575E">
      <w:pPr>
        <w:pStyle w:val="Normal-pool"/>
        <w:rPr>
          <w:sz w:val="22"/>
          <w:szCs w:val="22"/>
        </w:rPr>
      </w:pPr>
      <w:r w:rsidRPr="00DE2C02">
        <w:rPr>
          <w:sz w:val="22"/>
          <w:szCs w:val="22"/>
        </w:rPr>
        <w:t>The World Food Summit of 1996 defined food security as existing “when all people at all times have access to sufficient, safe, nutritious food to maintain a healthy and active life”.</w:t>
      </w:r>
    </w:p>
    <w:p w14:paraId="44394284" w14:textId="77777777" w:rsidR="0024575E" w:rsidRPr="00DE2C02" w:rsidRDefault="0024575E" w:rsidP="0024575E">
      <w:pPr>
        <w:pStyle w:val="Normal-pool"/>
        <w:rPr>
          <w:sz w:val="22"/>
          <w:szCs w:val="22"/>
        </w:rPr>
      </w:pPr>
    </w:p>
    <w:p w14:paraId="63B99F89" w14:textId="77777777" w:rsidR="0024575E" w:rsidRPr="00DE2C02" w:rsidRDefault="0024575E" w:rsidP="0024575E">
      <w:pPr>
        <w:pStyle w:val="Normal-pool"/>
        <w:rPr>
          <w:b/>
          <w:sz w:val="22"/>
          <w:szCs w:val="22"/>
        </w:rPr>
      </w:pPr>
      <w:r w:rsidRPr="00DE2C02">
        <w:rPr>
          <w:b/>
          <w:sz w:val="22"/>
          <w:szCs w:val="22"/>
        </w:rPr>
        <w:t>Forest</w:t>
      </w:r>
    </w:p>
    <w:p w14:paraId="632A45F3" w14:textId="77777777" w:rsidR="0024575E" w:rsidRPr="00DE2C02" w:rsidRDefault="0024575E" w:rsidP="0024575E">
      <w:pPr>
        <w:pStyle w:val="Normal-pool"/>
        <w:rPr>
          <w:sz w:val="22"/>
          <w:szCs w:val="22"/>
        </w:rPr>
      </w:pPr>
      <w:r w:rsidRPr="00DE2C02">
        <w:rPr>
          <w:sz w:val="22"/>
          <w:szCs w:val="22"/>
        </w:rPr>
        <w:t>A minimum area of land of 0.05–1.0 hectares with tree crown cover (or equivalent stocking level) of more than 10–30 per cent with trees with the potential to reach a minimum height of 2–5 metres at maturity in situ. A forest may consist either of closed forest formations where trees of various stories and undergrowth cover a high proportion of the ground or open forest.</w:t>
      </w:r>
    </w:p>
    <w:p w14:paraId="67CA6CCB" w14:textId="77777777" w:rsidR="0024575E" w:rsidRPr="00DE2C02" w:rsidRDefault="0024575E" w:rsidP="0024575E">
      <w:pPr>
        <w:pStyle w:val="Normal-pool"/>
        <w:rPr>
          <w:sz w:val="22"/>
          <w:szCs w:val="22"/>
        </w:rPr>
      </w:pPr>
    </w:p>
    <w:p w14:paraId="5BBC88B4" w14:textId="77777777" w:rsidR="0024575E" w:rsidRPr="00DE2C02" w:rsidRDefault="0024575E" w:rsidP="0024575E">
      <w:pPr>
        <w:pStyle w:val="Normal-pool"/>
        <w:rPr>
          <w:b/>
          <w:sz w:val="22"/>
          <w:szCs w:val="22"/>
        </w:rPr>
      </w:pPr>
      <w:r w:rsidRPr="00DE2C02">
        <w:rPr>
          <w:b/>
          <w:sz w:val="22"/>
          <w:szCs w:val="22"/>
        </w:rPr>
        <w:t>Forest degradation</w:t>
      </w:r>
    </w:p>
    <w:p w14:paraId="6AD53CE0" w14:textId="77777777" w:rsidR="0024575E" w:rsidRDefault="0024575E" w:rsidP="0024575E">
      <w:pPr>
        <w:pStyle w:val="Normal-pool"/>
        <w:rPr>
          <w:sz w:val="22"/>
          <w:szCs w:val="22"/>
        </w:rPr>
      </w:pPr>
      <w:r w:rsidRPr="00DE2C02">
        <w:rPr>
          <w:sz w:val="22"/>
          <w:szCs w:val="22"/>
        </w:rPr>
        <w:t>A reduction in the capacity of a forest to produce ecosystem services such as carbon storage and wood products as a result of anthropogenic and environmental changes.</w:t>
      </w:r>
    </w:p>
    <w:p w14:paraId="760CB6CA" w14:textId="77777777" w:rsidR="0024575E" w:rsidRPr="00DE2C02" w:rsidRDefault="0024575E" w:rsidP="0024575E">
      <w:pPr>
        <w:pStyle w:val="Normal-pool"/>
        <w:rPr>
          <w:sz w:val="22"/>
          <w:szCs w:val="22"/>
        </w:rPr>
      </w:pPr>
    </w:p>
    <w:p w14:paraId="60CD6036" w14:textId="77777777" w:rsidR="0024575E" w:rsidRPr="00DE2C02" w:rsidRDefault="0024575E" w:rsidP="0024575E">
      <w:pPr>
        <w:pStyle w:val="Normal-pool"/>
        <w:pBdr>
          <w:bottom w:val="single" w:sz="4" w:space="1" w:color="auto"/>
        </w:pBdr>
        <w:rPr>
          <w:b/>
          <w:sz w:val="22"/>
          <w:szCs w:val="22"/>
        </w:rPr>
      </w:pPr>
      <w:r w:rsidRPr="00DE2C02">
        <w:rPr>
          <w:b/>
          <w:sz w:val="22"/>
          <w:szCs w:val="22"/>
        </w:rPr>
        <w:t>G</w:t>
      </w:r>
    </w:p>
    <w:p w14:paraId="41F0E922" w14:textId="77777777" w:rsidR="0024575E" w:rsidRPr="00DE2C02" w:rsidRDefault="0024575E" w:rsidP="0024575E">
      <w:pPr>
        <w:pStyle w:val="Normal-pool"/>
        <w:rPr>
          <w:sz w:val="22"/>
          <w:szCs w:val="22"/>
        </w:rPr>
      </w:pPr>
    </w:p>
    <w:p w14:paraId="522C9E4F" w14:textId="77777777" w:rsidR="0024575E" w:rsidRPr="00DE2C02" w:rsidRDefault="0024575E" w:rsidP="0024575E">
      <w:pPr>
        <w:pStyle w:val="Normal-pool"/>
        <w:rPr>
          <w:b/>
          <w:sz w:val="22"/>
          <w:szCs w:val="22"/>
        </w:rPr>
      </w:pPr>
      <w:r w:rsidRPr="00DE2C02">
        <w:rPr>
          <w:b/>
          <w:sz w:val="22"/>
          <w:szCs w:val="22"/>
        </w:rPr>
        <w:t>Good governance</w:t>
      </w:r>
    </w:p>
    <w:p w14:paraId="14C21831" w14:textId="77777777" w:rsidR="0024575E" w:rsidRPr="00DE2C02" w:rsidRDefault="0024575E" w:rsidP="0024575E">
      <w:pPr>
        <w:pStyle w:val="Normal-pool"/>
        <w:rPr>
          <w:sz w:val="22"/>
          <w:szCs w:val="22"/>
        </w:rPr>
      </w:pPr>
      <w:r w:rsidRPr="00DE2C02">
        <w:rPr>
          <w:sz w:val="22"/>
          <w:szCs w:val="22"/>
        </w:rPr>
        <w:t>The governance (as described above) which entails sound public sector management (efficiency, effectiveness and economy), accountability, exchange and free flow of information (transparency), and a legal framework for development (justice, respect for human rights and liberties).</w:t>
      </w:r>
    </w:p>
    <w:p w14:paraId="7526BAF5" w14:textId="77777777" w:rsidR="0024575E" w:rsidRPr="00DE2C02" w:rsidRDefault="0024575E" w:rsidP="0024575E">
      <w:pPr>
        <w:pStyle w:val="Normal-pool"/>
        <w:rPr>
          <w:sz w:val="22"/>
          <w:szCs w:val="22"/>
        </w:rPr>
      </w:pPr>
    </w:p>
    <w:p w14:paraId="69DF3AD1" w14:textId="77777777" w:rsidR="0024575E" w:rsidRPr="00DE2C02" w:rsidRDefault="0024575E" w:rsidP="0024575E">
      <w:pPr>
        <w:pStyle w:val="Normal-pool"/>
        <w:rPr>
          <w:sz w:val="22"/>
          <w:szCs w:val="22"/>
        </w:rPr>
      </w:pPr>
      <w:r w:rsidRPr="00DE2C02">
        <w:rPr>
          <w:sz w:val="22"/>
          <w:szCs w:val="22"/>
        </w:rPr>
        <w:t xml:space="preserve">In the development literature, the term ‘good governance’ is frequently used to denote a necessary pre-condition for creating an enabling environment for poverty reduction and sustainable human development. </w:t>
      </w:r>
    </w:p>
    <w:p w14:paraId="33E060D5" w14:textId="77777777" w:rsidR="0024575E" w:rsidRPr="00DE2C02" w:rsidRDefault="0024575E" w:rsidP="0024575E">
      <w:pPr>
        <w:pStyle w:val="Normal-pool"/>
        <w:rPr>
          <w:sz w:val="22"/>
          <w:szCs w:val="22"/>
        </w:rPr>
      </w:pPr>
    </w:p>
    <w:p w14:paraId="41EF9D5A" w14:textId="77777777" w:rsidR="0024575E" w:rsidRPr="00DE2C02" w:rsidRDefault="0024575E" w:rsidP="0024575E">
      <w:pPr>
        <w:pStyle w:val="Normal-pool"/>
        <w:rPr>
          <w:b/>
          <w:sz w:val="22"/>
          <w:szCs w:val="22"/>
        </w:rPr>
      </w:pPr>
      <w:r w:rsidRPr="00DE2C02">
        <w:rPr>
          <w:b/>
          <w:sz w:val="22"/>
          <w:szCs w:val="22"/>
        </w:rPr>
        <w:t>Good quality of life</w:t>
      </w:r>
    </w:p>
    <w:p w14:paraId="20745499" w14:textId="77777777" w:rsidR="0024575E" w:rsidRPr="00DE2C02" w:rsidRDefault="0024575E" w:rsidP="0024575E">
      <w:pPr>
        <w:pStyle w:val="Normal-pool"/>
        <w:rPr>
          <w:sz w:val="22"/>
          <w:szCs w:val="22"/>
        </w:rPr>
      </w:pPr>
      <w:r w:rsidRPr="00DE2C02">
        <w:rPr>
          <w:sz w:val="22"/>
          <w:szCs w:val="22"/>
        </w:rPr>
        <w:t>Within the context of the IPBES Conceptual Framework–the achievement of a fulfilled human life, a notion which may varies strongly across different societies and groups within societies. It is a context-dependent state of individuals and human groups, comprising aspects such as access to food, water, energy and livelihood security, and also health, good social relationships and equity, security, cultural identity, and freedom of choice and action. “Living in harmony with nature”, “living-well in balance and harmony with Mother Earth” and “human well-being” are examples of different perspectives on a “Good quality of life”.</w:t>
      </w:r>
    </w:p>
    <w:p w14:paraId="29DE2F53" w14:textId="77777777" w:rsidR="0024575E" w:rsidRPr="00DE2C02" w:rsidRDefault="0024575E" w:rsidP="0024575E">
      <w:pPr>
        <w:pStyle w:val="Normal-pool"/>
        <w:rPr>
          <w:sz w:val="22"/>
          <w:szCs w:val="22"/>
        </w:rPr>
      </w:pPr>
    </w:p>
    <w:p w14:paraId="4BCA5067" w14:textId="77777777" w:rsidR="0024575E" w:rsidRPr="00DE2C02" w:rsidRDefault="0024575E" w:rsidP="0024575E">
      <w:pPr>
        <w:pStyle w:val="Normal-pool"/>
        <w:rPr>
          <w:b/>
          <w:sz w:val="22"/>
          <w:szCs w:val="22"/>
        </w:rPr>
      </w:pPr>
      <w:r w:rsidRPr="00DE2C02">
        <w:rPr>
          <w:b/>
          <w:sz w:val="22"/>
          <w:szCs w:val="22"/>
        </w:rPr>
        <w:t>Governance</w:t>
      </w:r>
    </w:p>
    <w:p w14:paraId="2B7B63AC" w14:textId="77777777" w:rsidR="0024575E" w:rsidRPr="00DE2C02" w:rsidRDefault="0024575E" w:rsidP="0024575E">
      <w:pPr>
        <w:pStyle w:val="Normal-pool"/>
        <w:rPr>
          <w:sz w:val="22"/>
          <w:szCs w:val="22"/>
        </w:rPr>
      </w:pPr>
      <w:r w:rsidRPr="00DE2C02">
        <w:rPr>
          <w:sz w:val="22"/>
          <w:szCs w:val="22"/>
        </w:rPr>
        <w:t>The way the rules, norms and actions in a given organization are structured, sustained, and regulated.</w:t>
      </w:r>
    </w:p>
    <w:p w14:paraId="37AB98AC" w14:textId="77777777" w:rsidR="0024575E" w:rsidRPr="00DE2C02" w:rsidRDefault="0024575E" w:rsidP="0024575E">
      <w:pPr>
        <w:pStyle w:val="Normal-pool"/>
        <w:rPr>
          <w:sz w:val="22"/>
          <w:szCs w:val="22"/>
        </w:rPr>
      </w:pPr>
      <w:r w:rsidRPr="00DE2C02">
        <w:rPr>
          <w:sz w:val="22"/>
          <w:szCs w:val="22"/>
        </w:rPr>
        <w:t>Governance options</w:t>
      </w:r>
      <w:r w:rsidRPr="00DE2C02">
        <w:rPr>
          <w:sz w:val="22"/>
          <w:szCs w:val="22"/>
        </w:rPr>
        <w:tab/>
        <w:t>Refers to recommendation of options to be considered in changing the government structure that would allow relevant stakeholders to ultimately determine their future.</w:t>
      </w:r>
    </w:p>
    <w:p w14:paraId="0F62DB5D" w14:textId="77777777" w:rsidR="00035800" w:rsidRDefault="00035800" w:rsidP="0024575E">
      <w:pPr>
        <w:pStyle w:val="Normal-pool"/>
        <w:rPr>
          <w:b/>
          <w:sz w:val="22"/>
          <w:szCs w:val="22"/>
        </w:rPr>
      </w:pPr>
    </w:p>
    <w:p w14:paraId="4D0CDA7F" w14:textId="77777777" w:rsidR="0024575E" w:rsidRPr="00DE2C02" w:rsidRDefault="0024575E" w:rsidP="0024575E">
      <w:pPr>
        <w:pStyle w:val="Normal-pool"/>
        <w:rPr>
          <w:b/>
          <w:sz w:val="22"/>
          <w:szCs w:val="22"/>
        </w:rPr>
      </w:pPr>
      <w:r w:rsidRPr="00DE2C02">
        <w:rPr>
          <w:b/>
          <w:sz w:val="22"/>
          <w:szCs w:val="22"/>
        </w:rPr>
        <w:t>Grassland</w:t>
      </w:r>
    </w:p>
    <w:p w14:paraId="01271614" w14:textId="77777777" w:rsidR="0024575E" w:rsidRDefault="0024575E" w:rsidP="0024575E">
      <w:pPr>
        <w:pStyle w:val="Normal-pool"/>
        <w:rPr>
          <w:sz w:val="22"/>
          <w:szCs w:val="22"/>
        </w:rPr>
      </w:pPr>
      <w:r w:rsidRPr="00DE2C02">
        <w:rPr>
          <w:sz w:val="22"/>
          <w:szCs w:val="22"/>
        </w:rPr>
        <w:t>Type of ecosystem characterised by a more or less closed herbaceous (non-woody) vegetation layer, sometimes with a shrub layer, but–in contrast to savannas–without, or with very few, trees. Different types of grasslands are found under a broad range of climatic conditions.</w:t>
      </w:r>
    </w:p>
    <w:p w14:paraId="707C631A" w14:textId="77777777" w:rsidR="0024575E" w:rsidRPr="00DE2C02" w:rsidRDefault="0024575E" w:rsidP="0024575E">
      <w:pPr>
        <w:pStyle w:val="Normal-pool"/>
        <w:rPr>
          <w:sz w:val="22"/>
          <w:szCs w:val="22"/>
        </w:rPr>
      </w:pPr>
    </w:p>
    <w:p w14:paraId="6EF2C09F" w14:textId="77777777" w:rsidR="0024575E" w:rsidRPr="00DE2C02" w:rsidRDefault="0024575E" w:rsidP="0024575E">
      <w:pPr>
        <w:pStyle w:val="Normal-pool"/>
        <w:pBdr>
          <w:bottom w:val="single" w:sz="4" w:space="1" w:color="auto"/>
        </w:pBdr>
        <w:rPr>
          <w:b/>
          <w:sz w:val="22"/>
          <w:szCs w:val="22"/>
        </w:rPr>
      </w:pPr>
      <w:r w:rsidRPr="00DE2C02">
        <w:rPr>
          <w:b/>
          <w:sz w:val="22"/>
          <w:szCs w:val="22"/>
        </w:rPr>
        <w:t>H</w:t>
      </w:r>
    </w:p>
    <w:p w14:paraId="71D48E6B" w14:textId="77777777" w:rsidR="0024575E" w:rsidRPr="00DE2C02" w:rsidRDefault="0024575E" w:rsidP="0024575E">
      <w:pPr>
        <w:pStyle w:val="Normal-pool"/>
        <w:rPr>
          <w:sz w:val="22"/>
          <w:szCs w:val="22"/>
        </w:rPr>
      </w:pPr>
    </w:p>
    <w:p w14:paraId="0268860D" w14:textId="77777777" w:rsidR="0024575E" w:rsidRPr="00DE2C02" w:rsidRDefault="0024575E" w:rsidP="0024575E">
      <w:pPr>
        <w:pStyle w:val="Normal-pool"/>
        <w:rPr>
          <w:b/>
          <w:sz w:val="22"/>
          <w:szCs w:val="22"/>
        </w:rPr>
      </w:pPr>
      <w:r w:rsidRPr="00DE2C02">
        <w:rPr>
          <w:b/>
          <w:sz w:val="22"/>
          <w:szCs w:val="22"/>
        </w:rPr>
        <w:t>Habitat</w:t>
      </w:r>
    </w:p>
    <w:p w14:paraId="7EEB58D7" w14:textId="77777777" w:rsidR="0024575E" w:rsidRPr="00DE2C02" w:rsidRDefault="0024575E" w:rsidP="0024575E">
      <w:pPr>
        <w:pStyle w:val="Normal-pool"/>
        <w:rPr>
          <w:sz w:val="22"/>
          <w:szCs w:val="22"/>
        </w:rPr>
      </w:pPr>
      <w:r w:rsidRPr="00DE2C02">
        <w:rPr>
          <w:sz w:val="22"/>
          <w:szCs w:val="22"/>
        </w:rPr>
        <w:t>The place or type of site where an organism or population naturally occurs. Also used to mean the environmental attributes required by a particular species or its ecological niche.</w:t>
      </w:r>
    </w:p>
    <w:p w14:paraId="25BC322F" w14:textId="77777777" w:rsidR="0024575E" w:rsidRPr="00DE2C02" w:rsidRDefault="0024575E" w:rsidP="0024575E">
      <w:pPr>
        <w:pStyle w:val="Normal-pool"/>
        <w:rPr>
          <w:sz w:val="22"/>
          <w:szCs w:val="22"/>
        </w:rPr>
      </w:pPr>
    </w:p>
    <w:p w14:paraId="3FDE0C37" w14:textId="77777777" w:rsidR="0024575E" w:rsidRPr="00DE2C02" w:rsidRDefault="0024575E" w:rsidP="0024575E">
      <w:pPr>
        <w:pStyle w:val="Normal-pool"/>
        <w:rPr>
          <w:b/>
          <w:sz w:val="22"/>
          <w:szCs w:val="22"/>
        </w:rPr>
      </w:pPr>
      <w:r w:rsidRPr="00DE2C02">
        <w:rPr>
          <w:b/>
          <w:sz w:val="22"/>
          <w:szCs w:val="22"/>
        </w:rPr>
        <w:t>Habitat degradation</w:t>
      </w:r>
    </w:p>
    <w:p w14:paraId="44877D56" w14:textId="77777777" w:rsidR="0024575E" w:rsidRPr="00DE2C02" w:rsidRDefault="0024575E" w:rsidP="0024575E">
      <w:pPr>
        <w:pStyle w:val="Normal-pool"/>
        <w:rPr>
          <w:sz w:val="22"/>
          <w:szCs w:val="22"/>
        </w:rPr>
      </w:pPr>
      <w:r w:rsidRPr="00DE2C02">
        <w:rPr>
          <w:sz w:val="22"/>
          <w:szCs w:val="22"/>
        </w:rPr>
        <w:t>A general term describing the set of processes by which habitat quality is reduced. Habitat degradation may occur through natural processes (e.g., drought, heat, cold) and through human activities (forestry, agriculture, urbanization).</w:t>
      </w:r>
    </w:p>
    <w:p w14:paraId="1CE0208A" w14:textId="77777777" w:rsidR="0024575E" w:rsidRPr="00DE2C02" w:rsidRDefault="0024575E" w:rsidP="0024575E">
      <w:pPr>
        <w:pStyle w:val="Normal-pool"/>
        <w:rPr>
          <w:sz w:val="22"/>
          <w:szCs w:val="22"/>
        </w:rPr>
      </w:pPr>
    </w:p>
    <w:p w14:paraId="5D4D0EDF" w14:textId="77777777" w:rsidR="0024575E" w:rsidRPr="00DE2C02" w:rsidRDefault="0024575E" w:rsidP="0024575E">
      <w:pPr>
        <w:pStyle w:val="Normal-pool"/>
        <w:rPr>
          <w:b/>
          <w:sz w:val="22"/>
          <w:szCs w:val="22"/>
        </w:rPr>
      </w:pPr>
      <w:r w:rsidRPr="00DE2C02">
        <w:rPr>
          <w:b/>
          <w:sz w:val="22"/>
          <w:szCs w:val="22"/>
        </w:rPr>
        <w:t>Habitat fragmentation</w:t>
      </w:r>
    </w:p>
    <w:p w14:paraId="70405873" w14:textId="77777777" w:rsidR="0024575E" w:rsidRPr="00DE2C02" w:rsidRDefault="0024575E" w:rsidP="0024575E">
      <w:pPr>
        <w:pStyle w:val="Normal-pool"/>
        <w:rPr>
          <w:sz w:val="22"/>
          <w:szCs w:val="22"/>
        </w:rPr>
      </w:pPr>
      <w:r w:rsidRPr="00DE2C02">
        <w:rPr>
          <w:sz w:val="22"/>
          <w:szCs w:val="22"/>
        </w:rPr>
        <w:t>A general term describing the set of processes by which habitat loss results in the division of continuous habitats into a greater number of smaller patches of lesser total and isolated from each other by a matrix of dissimilar habitats. Habitat fragmentation may occur through natural processes (e.g., forest and grassland fires, flooding) and through human activities (forestry, agriculture, urbanization).</w:t>
      </w:r>
    </w:p>
    <w:p w14:paraId="6F8E3301" w14:textId="77777777" w:rsidR="0024575E" w:rsidRPr="00DE2C02" w:rsidRDefault="0024575E" w:rsidP="0024575E">
      <w:pPr>
        <w:pStyle w:val="Normal-pool"/>
        <w:rPr>
          <w:sz w:val="22"/>
          <w:szCs w:val="22"/>
        </w:rPr>
      </w:pPr>
    </w:p>
    <w:p w14:paraId="3D4797B0" w14:textId="77777777" w:rsidR="0024575E" w:rsidRPr="00DE2C02" w:rsidRDefault="0024575E" w:rsidP="0024575E">
      <w:pPr>
        <w:pStyle w:val="Normal-pool"/>
        <w:rPr>
          <w:b/>
          <w:sz w:val="22"/>
          <w:szCs w:val="22"/>
        </w:rPr>
      </w:pPr>
      <w:r w:rsidRPr="00DE2C02">
        <w:rPr>
          <w:b/>
          <w:sz w:val="22"/>
          <w:szCs w:val="22"/>
        </w:rPr>
        <w:t>Harmonization</w:t>
      </w:r>
    </w:p>
    <w:p w14:paraId="7E930B2F" w14:textId="77777777" w:rsidR="0024575E" w:rsidRDefault="0024575E" w:rsidP="0024575E">
      <w:pPr>
        <w:pStyle w:val="Normal-pool"/>
        <w:rPr>
          <w:sz w:val="22"/>
          <w:szCs w:val="22"/>
        </w:rPr>
      </w:pPr>
      <w:r w:rsidRPr="00DE2C02">
        <w:rPr>
          <w:sz w:val="22"/>
          <w:szCs w:val="22"/>
        </w:rPr>
        <w:t>The process of bringing together, and comparing, models or scenarios to make them compatible or consistent with one another.</w:t>
      </w:r>
    </w:p>
    <w:p w14:paraId="0DEAD645" w14:textId="77777777" w:rsidR="0024575E" w:rsidRPr="00DE2C02" w:rsidRDefault="0024575E" w:rsidP="0024575E">
      <w:pPr>
        <w:pStyle w:val="Normal-pool"/>
        <w:rPr>
          <w:sz w:val="22"/>
          <w:szCs w:val="22"/>
        </w:rPr>
      </w:pPr>
    </w:p>
    <w:p w14:paraId="052AC147" w14:textId="77777777" w:rsidR="0024575E" w:rsidRPr="00DE2C02" w:rsidRDefault="0024575E" w:rsidP="0024575E">
      <w:pPr>
        <w:pStyle w:val="Normal-pool"/>
        <w:pBdr>
          <w:bottom w:val="single" w:sz="4" w:space="1" w:color="auto"/>
        </w:pBdr>
        <w:rPr>
          <w:b/>
          <w:sz w:val="22"/>
          <w:szCs w:val="22"/>
        </w:rPr>
      </w:pPr>
      <w:r w:rsidRPr="00DE2C02">
        <w:rPr>
          <w:b/>
          <w:sz w:val="22"/>
          <w:szCs w:val="22"/>
        </w:rPr>
        <w:t>I</w:t>
      </w:r>
    </w:p>
    <w:p w14:paraId="54457AB6" w14:textId="77777777" w:rsidR="0024575E" w:rsidRPr="00DE2C02" w:rsidRDefault="0024575E" w:rsidP="0024575E">
      <w:pPr>
        <w:pStyle w:val="Normal-pool"/>
        <w:rPr>
          <w:sz w:val="22"/>
          <w:szCs w:val="22"/>
        </w:rPr>
      </w:pPr>
    </w:p>
    <w:p w14:paraId="0881819F" w14:textId="77777777" w:rsidR="0024575E" w:rsidRPr="00DE2C02" w:rsidRDefault="0024575E" w:rsidP="0024575E">
      <w:pPr>
        <w:pStyle w:val="Normal-pool"/>
        <w:rPr>
          <w:b/>
          <w:sz w:val="22"/>
          <w:szCs w:val="22"/>
        </w:rPr>
      </w:pPr>
      <w:r w:rsidRPr="00DE2C02">
        <w:rPr>
          <w:b/>
          <w:sz w:val="22"/>
          <w:szCs w:val="22"/>
        </w:rPr>
        <w:t>Impact assessment</w:t>
      </w:r>
    </w:p>
    <w:p w14:paraId="6B565AA5" w14:textId="77777777" w:rsidR="0024575E" w:rsidRPr="00DE2C02" w:rsidRDefault="0024575E" w:rsidP="0024575E">
      <w:pPr>
        <w:pStyle w:val="Normal-pool"/>
        <w:rPr>
          <w:sz w:val="22"/>
          <w:szCs w:val="22"/>
        </w:rPr>
      </w:pPr>
      <w:r w:rsidRPr="00DE2C02">
        <w:rPr>
          <w:sz w:val="22"/>
          <w:szCs w:val="22"/>
        </w:rPr>
        <w:t>A formal, evidence-based procedure that assesses the economic, social, and environmental effects of public policy or of any human activity.</w:t>
      </w:r>
    </w:p>
    <w:p w14:paraId="6AE05A62" w14:textId="77777777" w:rsidR="0024575E" w:rsidRPr="00DE2C02" w:rsidRDefault="0024575E" w:rsidP="0024575E">
      <w:pPr>
        <w:pStyle w:val="Normal-pool"/>
        <w:rPr>
          <w:sz w:val="22"/>
          <w:szCs w:val="22"/>
        </w:rPr>
      </w:pPr>
    </w:p>
    <w:p w14:paraId="3BF857EA" w14:textId="77777777" w:rsidR="0024575E" w:rsidRPr="00DE2C02" w:rsidRDefault="0024575E" w:rsidP="0024575E">
      <w:pPr>
        <w:pStyle w:val="Normal-pool"/>
        <w:rPr>
          <w:b/>
          <w:sz w:val="22"/>
          <w:szCs w:val="22"/>
        </w:rPr>
      </w:pPr>
      <w:r w:rsidRPr="00DE2C02">
        <w:rPr>
          <w:b/>
          <w:sz w:val="22"/>
          <w:szCs w:val="22"/>
        </w:rPr>
        <w:t>Important Bird &amp; Biodiversity Areas</w:t>
      </w:r>
    </w:p>
    <w:p w14:paraId="41517EA7" w14:textId="77777777" w:rsidR="0024575E" w:rsidRPr="00DE2C02" w:rsidRDefault="0024575E" w:rsidP="0024575E">
      <w:pPr>
        <w:pStyle w:val="Normal-pool"/>
        <w:rPr>
          <w:sz w:val="22"/>
          <w:szCs w:val="22"/>
        </w:rPr>
      </w:pPr>
      <w:r w:rsidRPr="00DE2C02">
        <w:rPr>
          <w:sz w:val="22"/>
          <w:szCs w:val="22"/>
        </w:rPr>
        <w:t>A Key Biodiversity Area identified using an internationally agreed set of criteria as being globally important for bird populations.</w:t>
      </w:r>
    </w:p>
    <w:p w14:paraId="6E74B3EB" w14:textId="77777777" w:rsidR="0024575E" w:rsidRPr="00DE2C02" w:rsidRDefault="0024575E" w:rsidP="0024575E">
      <w:pPr>
        <w:pStyle w:val="Normal-pool"/>
        <w:rPr>
          <w:sz w:val="22"/>
          <w:szCs w:val="22"/>
        </w:rPr>
      </w:pPr>
    </w:p>
    <w:p w14:paraId="0E2723C1" w14:textId="77777777" w:rsidR="0024575E" w:rsidRPr="00DE2C02" w:rsidRDefault="0024575E" w:rsidP="0024575E">
      <w:pPr>
        <w:pStyle w:val="Normal-pool"/>
        <w:rPr>
          <w:b/>
          <w:sz w:val="22"/>
          <w:szCs w:val="22"/>
        </w:rPr>
      </w:pPr>
      <w:r w:rsidRPr="00DE2C02">
        <w:rPr>
          <w:b/>
          <w:sz w:val="22"/>
          <w:szCs w:val="22"/>
        </w:rPr>
        <w:t>Indicators</w:t>
      </w:r>
    </w:p>
    <w:p w14:paraId="0E934D73" w14:textId="77777777" w:rsidR="0024575E" w:rsidRPr="00DE2C02" w:rsidRDefault="0024575E" w:rsidP="0024575E">
      <w:pPr>
        <w:pStyle w:val="Normal-pool"/>
        <w:rPr>
          <w:sz w:val="22"/>
          <w:szCs w:val="22"/>
        </w:rPr>
      </w:pPr>
      <w:r w:rsidRPr="00DE2C02">
        <w:rPr>
          <w:sz w:val="22"/>
          <w:szCs w:val="22"/>
        </w:rPr>
        <w:t>A quantitative or qualitative factor or variable that provides a simple, measurable and quantifiable characteristic or attribute responding in a known and communicable way to a changing environmental condition, to a changing ecological process or function, or to a changing element of biodiversity.</w:t>
      </w:r>
    </w:p>
    <w:p w14:paraId="440F004E" w14:textId="77777777" w:rsidR="0024575E" w:rsidRPr="00DE2C02" w:rsidRDefault="0024575E" w:rsidP="0024575E">
      <w:pPr>
        <w:pStyle w:val="Normal-pool"/>
        <w:rPr>
          <w:sz w:val="22"/>
          <w:szCs w:val="22"/>
        </w:rPr>
      </w:pPr>
    </w:p>
    <w:p w14:paraId="0E8B8DC6" w14:textId="77777777" w:rsidR="0024575E" w:rsidRPr="00DE2C02" w:rsidRDefault="0024575E" w:rsidP="0024575E">
      <w:pPr>
        <w:pStyle w:val="Normal-pool"/>
        <w:rPr>
          <w:b/>
          <w:sz w:val="22"/>
          <w:szCs w:val="22"/>
        </w:rPr>
      </w:pPr>
      <w:r w:rsidRPr="00DE2C02">
        <w:rPr>
          <w:b/>
          <w:sz w:val="22"/>
          <w:szCs w:val="22"/>
        </w:rPr>
        <w:t>Indigenous and local knowledge systems</w:t>
      </w:r>
    </w:p>
    <w:p w14:paraId="1ACAABD0" w14:textId="77777777" w:rsidR="0024575E" w:rsidRDefault="0024575E" w:rsidP="0024575E">
      <w:pPr>
        <w:pStyle w:val="Normal-pool"/>
        <w:rPr>
          <w:sz w:val="22"/>
          <w:szCs w:val="22"/>
        </w:rPr>
      </w:pPr>
      <w:r w:rsidRPr="00DE2C02">
        <w:rPr>
          <w:sz w:val="22"/>
          <w:szCs w:val="22"/>
        </w:rPr>
        <w:t>Indigenous and local knowledge systems are social and ecological knowledge practices and beliefs pertaining to the relationship of living beings, including people, with one another and with their environments. Such knowledge can provide information, methods, theory and practice for sustainable ecosystem management.</w:t>
      </w:r>
    </w:p>
    <w:p w14:paraId="5E8643CB" w14:textId="77777777" w:rsidR="00035800" w:rsidRPr="00DE2C02" w:rsidRDefault="00035800" w:rsidP="0024575E">
      <w:pPr>
        <w:pStyle w:val="Normal-pool"/>
        <w:rPr>
          <w:sz w:val="22"/>
          <w:szCs w:val="22"/>
        </w:rPr>
      </w:pPr>
    </w:p>
    <w:p w14:paraId="6C2E1DF5" w14:textId="77777777" w:rsidR="0024575E" w:rsidRPr="00DE2C02" w:rsidRDefault="0024575E" w:rsidP="0024575E">
      <w:pPr>
        <w:pStyle w:val="Normal-pool"/>
        <w:rPr>
          <w:b/>
          <w:sz w:val="22"/>
          <w:szCs w:val="22"/>
        </w:rPr>
      </w:pPr>
      <w:r w:rsidRPr="00DE2C02">
        <w:rPr>
          <w:b/>
          <w:sz w:val="22"/>
          <w:szCs w:val="22"/>
        </w:rPr>
        <w:t>Indigenous people</w:t>
      </w:r>
    </w:p>
    <w:p w14:paraId="40402036" w14:textId="77777777" w:rsidR="0024575E" w:rsidRPr="00DE2C02" w:rsidRDefault="0024575E" w:rsidP="0024575E">
      <w:pPr>
        <w:pStyle w:val="Normal-pool"/>
        <w:numPr>
          <w:ilvl w:val="0"/>
          <w:numId w:val="30"/>
        </w:numPr>
        <w:rPr>
          <w:sz w:val="22"/>
          <w:szCs w:val="22"/>
        </w:rPr>
      </w:pPr>
      <w:r w:rsidRPr="00DE2C02">
        <w:rPr>
          <w:sz w:val="22"/>
          <w:szCs w:val="22"/>
        </w:rPr>
        <w:t>Are the holders of unique languages, knowledge systems and beliefs and possess invaluable knowledge of practices for the sustainable management of natural resources based on their traditional values, visions, needs and priorities.</w:t>
      </w:r>
    </w:p>
    <w:p w14:paraId="77209A25" w14:textId="77777777" w:rsidR="0024575E" w:rsidRPr="00DE2C02" w:rsidRDefault="0024575E" w:rsidP="0024575E">
      <w:pPr>
        <w:pStyle w:val="Normal-pool"/>
        <w:numPr>
          <w:ilvl w:val="0"/>
          <w:numId w:val="30"/>
        </w:numPr>
        <w:rPr>
          <w:sz w:val="22"/>
          <w:szCs w:val="22"/>
        </w:rPr>
      </w:pPr>
      <w:r w:rsidRPr="00DE2C02">
        <w:rPr>
          <w:sz w:val="22"/>
          <w:szCs w:val="22"/>
        </w:rPr>
        <w:t>Are inheritors and practitioners of unique cultures and ways of relating to people and the environments.</w:t>
      </w:r>
    </w:p>
    <w:p w14:paraId="38C6782D" w14:textId="77777777" w:rsidR="0024575E" w:rsidRPr="00DE2C02" w:rsidRDefault="0024575E" w:rsidP="0024575E">
      <w:pPr>
        <w:pStyle w:val="Normal-pool"/>
        <w:numPr>
          <w:ilvl w:val="0"/>
          <w:numId w:val="30"/>
        </w:numPr>
        <w:rPr>
          <w:sz w:val="22"/>
          <w:szCs w:val="22"/>
        </w:rPr>
      </w:pPr>
      <w:r w:rsidRPr="00DE2C02">
        <w:rPr>
          <w:sz w:val="22"/>
          <w:szCs w:val="22"/>
        </w:rPr>
        <w:t>Indigenous people have retained social, cultural, economic and political characteristics that are distinct from those of the dominant societies in which they live.</w:t>
      </w:r>
    </w:p>
    <w:p w14:paraId="30FD1E35" w14:textId="77777777" w:rsidR="0024575E" w:rsidRPr="00DE2C02" w:rsidRDefault="0024575E" w:rsidP="0024575E">
      <w:pPr>
        <w:pStyle w:val="Normal-pool"/>
        <w:rPr>
          <w:sz w:val="22"/>
          <w:szCs w:val="22"/>
        </w:rPr>
      </w:pPr>
    </w:p>
    <w:p w14:paraId="797C9225" w14:textId="77777777" w:rsidR="0024575E" w:rsidRPr="00DE2C02" w:rsidRDefault="0024575E" w:rsidP="0024575E">
      <w:pPr>
        <w:pStyle w:val="Normal-pool"/>
        <w:rPr>
          <w:b/>
          <w:sz w:val="22"/>
          <w:szCs w:val="22"/>
        </w:rPr>
      </w:pPr>
      <w:r w:rsidRPr="00DE2C02">
        <w:rPr>
          <w:b/>
          <w:sz w:val="22"/>
          <w:szCs w:val="22"/>
        </w:rPr>
        <w:t>Institutions</w:t>
      </w:r>
    </w:p>
    <w:p w14:paraId="3AFF8CCE" w14:textId="77777777" w:rsidR="0024575E" w:rsidRPr="00DE2C02" w:rsidRDefault="0024575E" w:rsidP="0024575E">
      <w:pPr>
        <w:pStyle w:val="Normal-pool"/>
        <w:rPr>
          <w:sz w:val="22"/>
          <w:szCs w:val="22"/>
        </w:rPr>
      </w:pPr>
      <w:r w:rsidRPr="00DE2C02">
        <w:rPr>
          <w:sz w:val="22"/>
          <w:szCs w:val="22"/>
        </w:rPr>
        <w:t>Encompasses all formal and informal interactions among stakeholders and social structures that determine how decisions are taken and implemented, how power is exercised, and how responsibilities are distributed.</w:t>
      </w:r>
    </w:p>
    <w:p w14:paraId="78C97BF2" w14:textId="77777777" w:rsidR="0024575E" w:rsidRPr="00DE2C02" w:rsidRDefault="0024575E" w:rsidP="0024575E">
      <w:pPr>
        <w:pStyle w:val="Normal-pool"/>
        <w:rPr>
          <w:sz w:val="22"/>
          <w:szCs w:val="22"/>
        </w:rPr>
      </w:pPr>
    </w:p>
    <w:p w14:paraId="64A4ED32" w14:textId="77777777" w:rsidR="0024575E" w:rsidRPr="00DE2C02" w:rsidRDefault="0024575E" w:rsidP="0024575E">
      <w:pPr>
        <w:pStyle w:val="Normal-pool"/>
        <w:rPr>
          <w:b/>
          <w:sz w:val="22"/>
          <w:szCs w:val="22"/>
        </w:rPr>
      </w:pPr>
      <w:r w:rsidRPr="00DE2C02">
        <w:rPr>
          <w:b/>
          <w:sz w:val="22"/>
          <w:szCs w:val="22"/>
        </w:rPr>
        <w:t>Integrated Landscape management</w:t>
      </w:r>
    </w:p>
    <w:p w14:paraId="262C81CA" w14:textId="77777777" w:rsidR="0024575E" w:rsidRPr="00DE2C02" w:rsidRDefault="0024575E" w:rsidP="0024575E">
      <w:pPr>
        <w:pStyle w:val="Normal-pool"/>
        <w:rPr>
          <w:sz w:val="22"/>
          <w:szCs w:val="22"/>
        </w:rPr>
      </w:pPr>
      <w:r w:rsidRPr="00DE2C02">
        <w:rPr>
          <w:sz w:val="22"/>
          <w:szCs w:val="22"/>
        </w:rPr>
        <w:t>Refers to long-term collaboration among different groups of land managers and stakeholders to achieve the multiple objectives required from the landscape.</w:t>
      </w:r>
    </w:p>
    <w:p w14:paraId="147BE812" w14:textId="77777777" w:rsidR="0024575E" w:rsidRPr="00DE2C02" w:rsidRDefault="0024575E" w:rsidP="0024575E">
      <w:pPr>
        <w:pStyle w:val="Normal-pool"/>
        <w:rPr>
          <w:sz w:val="22"/>
          <w:szCs w:val="22"/>
        </w:rPr>
      </w:pPr>
    </w:p>
    <w:p w14:paraId="7082AB2A" w14:textId="12BD91CF" w:rsidR="0024575E" w:rsidRPr="00DE2C02" w:rsidRDefault="00DA6D59" w:rsidP="0024575E">
      <w:pPr>
        <w:pStyle w:val="Normal-pool"/>
        <w:rPr>
          <w:b/>
          <w:sz w:val="22"/>
          <w:szCs w:val="22"/>
        </w:rPr>
      </w:pPr>
      <w:r>
        <w:rPr>
          <w:b/>
          <w:sz w:val="22"/>
          <w:szCs w:val="22"/>
        </w:rPr>
        <w:t>I</w:t>
      </w:r>
      <w:r w:rsidR="0024575E" w:rsidRPr="00DE2C02">
        <w:rPr>
          <w:b/>
          <w:sz w:val="22"/>
          <w:szCs w:val="22"/>
        </w:rPr>
        <w:t>nvasive alien species</w:t>
      </w:r>
    </w:p>
    <w:p w14:paraId="5FED660A" w14:textId="77777777" w:rsidR="0024575E" w:rsidRPr="00DE2C02" w:rsidRDefault="0024575E" w:rsidP="0024575E">
      <w:pPr>
        <w:pStyle w:val="Normal-pool"/>
        <w:rPr>
          <w:sz w:val="22"/>
          <w:szCs w:val="22"/>
        </w:rPr>
      </w:pPr>
      <w:r w:rsidRPr="00DE2C02">
        <w:rPr>
          <w:sz w:val="22"/>
          <w:szCs w:val="22"/>
        </w:rPr>
        <w:t>Species whose introduction and/or spread by human action outside their natural distribution threatens biological diversity, food security, and human health and well-being. “Alien” refers to the species’ having been introduced outside its natural distribution (“exotic”, “non-native” and “non-indigenous” are synonyms for “alien”). “Invasive” means “tending to expand into and modify ecosystems to which it has been introduced”. Thus, a species may be alien without being invasive, or, in the case of a species native to a region, it may increase and become invasive, without actually being an alien species.</w:t>
      </w:r>
    </w:p>
    <w:p w14:paraId="31706A2C" w14:textId="77777777" w:rsidR="0024575E" w:rsidRPr="00DE2C02" w:rsidRDefault="0024575E" w:rsidP="0024575E">
      <w:pPr>
        <w:pStyle w:val="Normal-pool"/>
        <w:rPr>
          <w:sz w:val="22"/>
          <w:szCs w:val="22"/>
        </w:rPr>
      </w:pPr>
    </w:p>
    <w:p w14:paraId="40A5D9F9" w14:textId="77777777" w:rsidR="0024575E" w:rsidRPr="00DE2C02" w:rsidRDefault="0024575E" w:rsidP="0024575E">
      <w:pPr>
        <w:pStyle w:val="Normal-pool"/>
        <w:rPr>
          <w:b/>
          <w:sz w:val="22"/>
          <w:szCs w:val="22"/>
        </w:rPr>
      </w:pPr>
      <w:r w:rsidRPr="00DE2C02">
        <w:rPr>
          <w:b/>
          <w:sz w:val="22"/>
          <w:szCs w:val="22"/>
        </w:rPr>
        <w:t>IPBES Conceptual Framework</w:t>
      </w:r>
    </w:p>
    <w:p w14:paraId="35A803F1" w14:textId="77777777" w:rsidR="0024575E" w:rsidRDefault="0024575E" w:rsidP="0024575E">
      <w:pPr>
        <w:pStyle w:val="Normal-pool"/>
        <w:rPr>
          <w:sz w:val="22"/>
          <w:szCs w:val="22"/>
        </w:rPr>
      </w:pPr>
      <w:r w:rsidRPr="00DE2C02">
        <w:rPr>
          <w:sz w:val="22"/>
          <w:szCs w:val="22"/>
        </w:rPr>
        <w:t xml:space="preserve">The Platform’s conceptual framework has been designed to build shared understanding across disciplines, knowledge systems and stakeholders of the interplay between biodiversity and ecosystem drivers, and of the role they play in building a good quality of life through nature’s contributions to people. </w:t>
      </w:r>
    </w:p>
    <w:p w14:paraId="09AC1044" w14:textId="77777777" w:rsidR="0024575E" w:rsidRPr="00DE2C02" w:rsidRDefault="0024575E" w:rsidP="0024575E">
      <w:pPr>
        <w:pStyle w:val="Normal-pool"/>
        <w:rPr>
          <w:sz w:val="22"/>
          <w:szCs w:val="22"/>
        </w:rPr>
      </w:pPr>
    </w:p>
    <w:p w14:paraId="6A0804A7" w14:textId="77777777" w:rsidR="0024575E" w:rsidRPr="00DE2C02" w:rsidRDefault="0024575E" w:rsidP="0024575E">
      <w:pPr>
        <w:pStyle w:val="Normal-pool"/>
        <w:pBdr>
          <w:bottom w:val="single" w:sz="4" w:space="1" w:color="auto"/>
        </w:pBdr>
        <w:rPr>
          <w:b/>
          <w:sz w:val="22"/>
          <w:szCs w:val="22"/>
        </w:rPr>
      </w:pPr>
      <w:r w:rsidRPr="00DE2C02">
        <w:rPr>
          <w:b/>
          <w:sz w:val="22"/>
          <w:szCs w:val="22"/>
        </w:rPr>
        <w:t>K</w:t>
      </w:r>
    </w:p>
    <w:p w14:paraId="50A7789F" w14:textId="77777777" w:rsidR="0024575E" w:rsidRPr="00DE2C02" w:rsidRDefault="0024575E" w:rsidP="0024575E">
      <w:pPr>
        <w:pStyle w:val="Normal-pool"/>
        <w:rPr>
          <w:b/>
          <w:sz w:val="22"/>
          <w:szCs w:val="22"/>
        </w:rPr>
      </w:pPr>
    </w:p>
    <w:p w14:paraId="43CB5290" w14:textId="77777777" w:rsidR="0024575E" w:rsidRPr="00DE2C02" w:rsidRDefault="0024575E" w:rsidP="0024575E">
      <w:pPr>
        <w:pStyle w:val="Normal-pool"/>
        <w:rPr>
          <w:b/>
          <w:sz w:val="22"/>
          <w:szCs w:val="22"/>
        </w:rPr>
      </w:pPr>
      <w:r w:rsidRPr="00DE2C02">
        <w:rPr>
          <w:b/>
          <w:sz w:val="22"/>
          <w:szCs w:val="22"/>
        </w:rPr>
        <w:t>Key Biodiversity Areas</w:t>
      </w:r>
    </w:p>
    <w:p w14:paraId="6A2B403E" w14:textId="77777777" w:rsidR="0024575E" w:rsidRPr="00DE2C02" w:rsidRDefault="0024575E" w:rsidP="0024575E">
      <w:pPr>
        <w:pStyle w:val="Normal-pool"/>
        <w:rPr>
          <w:sz w:val="22"/>
          <w:szCs w:val="22"/>
        </w:rPr>
      </w:pPr>
      <w:r w:rsidRPr="00DE2C02">
        <w:rPr>
          <w:sz w:val="22"/>
          <w:szCs w:val="22"/>
        </w:rPr>
        <w:t>Sites contributing significantly to the global persistence of biodiversity. They represent the most important sites for biodiversity worldwide, and are identified nationally using globally standardised criteria and thresholds.</w:t>
      </w:r>
    </w:p>
    <w:p w14:paraId="184C73E0" w14:textId="77777777" w:rsidR="0024575E" w:rsidRPr="00DE2C02" w:rsidRDefault="0024575E" w:rsidP="0024575E">
      <w:pPr>
        <w:pStyle w:val="Normal-pool"/>
        <w:rPr>
          <w:sz w:val="22"/>
          <w:szCs w:val="22"/>
        </w:rPr>
      </w:pPr>
    </w:p>
    <w:p w14:paraId="48061AB0" w14:textId="77777777" w:rsidR="0024575E" w:rsidRPr="00DE2C02" w:rsidRDefault="0024575E" w:rsidP="0024575E">
      <w:pPr>
        <w:pStyle w:val="Normal-pool"/>
        <w:rPr>
          <w:b/>
          <w:sz w:val="22"/>
          <w:szCs w:val="22"/>
        </w:rPr>
      </w:pPr>
      <w:r w:rsidRPr="00DE2C02">
        <w:rPr>
          <w:b/>
          <w:sz w:val="22"/>
          <w:szCs w:val="22"/>
        </w:rPr>
        <w:t>Knowledge systems</w:t>
      </w:r>
    </w:p>
    <w:p w14:paraId="2D3AA243" w14:textId="77777777" w:rsidR="0024575E" w:rsidRPr="00DE2C02" w:rsidRDefault="0024575E" w:rsidP="0024575E">
      <w:pPr>
        <w:pStyle w:val="Normal-pool"/>
        <w:rPr>
          <w:sz w:val="22"/>
          <w:szCs w:val="22"/>
        </w:rPr>
      </w:pPr>
      <w:r w:rsidRPr="00DE2C02">
        <w:rPr>
          <w:sz w:val="22"/>
          <w:szCs w:val="22"/>
        </w:rPr>
        <w:t>A body of propositions that are adhered to, whether formally or informally, and are routinely used to claim truth. They are organised structures and dynamic processes:</w:t>
      </w:r>
    </w:p>
    <w:p w14:paraId="3D6FB364" w14:textId="77777777" w:rsidR="0024575E" w:rsidRPr="00DE2C02" w:rsidRDefault="0024575E" w:rsidP="0024575E">
      <w:pPr>
        <w:pStyle w:val="Normal-pool"/>
        <w:numPr>
          <w:ilvl w:val="0"/>
          <w:numId w:val="31"/>
        </w:numPr>
        <w:rPr>
          <w:sz w:val="22"/>
          <w:szCs w:val="22"/>
        </w:rPr>
      </w:pPr>
      <w:r w:rsidRPr="00DE2C02">
        <w:rPr>
          <w:sz w:val="22"/>
          <w:szCs w:val="22"/>
        </w:rPr>
        <w:t>generating and representing content, components, classes, or types of knowledge, that are</w:t>
      </w:r>
    </w:p>
    <w:p w14:paraId="0141CF03" w14:textId="77777777" w:rsidR="0024575E" w:rsidRPr="00DE2C02" w:rsidRDefault="0024575E" w:rsidP="0024575E">
      <w:pPr>
        <w:pStyle w:val="Normal-pool"/>
        <w:numPr>
          <w:ilvl w:val="0"/>
          <w:numId w:val="31"/>
        </w:numPr>
        <w:rPr>
          <w:sz w:val="22"/>
          <w:szCs w:val="22"/>
        </w:rPr>
      </w:pPr>
      <w:r w:rsidRPr="00DE2C02">
        <w:rPr>
          <w:sz w:val="22"/>
          <w:szCs w:val="22"/>
        </w:rPr>
        <w:t>domain-specific or characterised by domain-relevant features as defined by the user or consumer,</w:t>
      </w:r>
    </w:p>
    <w:p w14:paraId="54AF44BC" w14:textId="77777777" w:rsidR="0024575E" w:rsidRPr="00DE2C02" w:rsidRDefault="0024575E" w:rsidP="0024575E">
      <w:pPr>
        <w:pStyle w:val="Normal-pool"/>
        <w:numPr>
          <w:ilvl w:val="0"/>
          <w:numId w:val="31"/>
        </w:numPr>
        <w:rPr>
          <w:sz w:val="22"/>
          <w:szCs w:val="22"/>
        </w:rPr>
      </w:pPr>
      <w:r w:rsidRPr="00DE2C02">
        <w:rPr>
          <w:sz w:val="22"/>
          <w:szCs w:val="22"/>
        </w:rPr>
        <w:t>reinforced by a set of logical relationships that connect the content of knowledge to its value (utility),</w:t>
      </w:r>
    </w:p>
    <w:p w14:paraId="62ECC54D" w14:textId="77777777" w:rsidR="0024575E" w:rsidRPr="00DE2C02" w:rsidRDefault="0024575E" w:rsidP="0024575E">
      <w:pPr>
        <w:pStyle w:val="Normal-pool"/>
        <w:numPr>
          <w:ilvl w:val="0"/>
          <w:numId w:val="31"/>
        </w:numPr>
        <w:rPr>
          <w:sz w:val="22"/>
          <w:szCs w:val="22"/>
        </w:rPr>
      </w:pPr>
      <w:r w:rsidRPr="00DE2C02">
        <w:rPr>
          <w:sz w:val="22"/>
          <w:szCs w:val="22"/>
        </w:rPr>
        <w:t>enhanced by a set of iterative processes that enable the evolution, revision, adaptation, and advances, and,</w:t>
      </w:r>
    </w:p>
    <w:p w14:paraId="3059FA95" w14:textId="77777777" w:rsidR="0024575E" w:rsidRDefault="0024575E" w:rsidP="0024575E">
      <w:pPr>
        <w:pStyle w:val="Normal-pool"/>
        <w:numPr>
          <w:ilvl w:val="0"/>
          <w:numId w:val="31"/>
        </w:numPr>
        <w:rPr>
          <w:sz w:val="22"/>
          <w:szCs w:val="22"/>
        </w:rPr>
      </w:pPr>
      <w:r w:rsidRPr="00DE2C02">
        <w:rPr>
          <w:sz w:val="22"/>
          <w:szCs w:val="22"/>
        </w:rPr>
        <w:t>subject to criteria of relevance, reliability, and quality.</w:t>
      </w:r>
    </w:p>
    <w:p w14:paraId="18912DC5" w14:textId="77777777" w:rsidR="0024575E" w:rsidRPr="00DE2C02" w:rsidRDefault="0024575E" w:rsidP="0024575E">
      <w:pPr>
        <w:pStyle w:val="Normal-pool"/>
        <w:rPr>
          <w:sz w:val="22"/>
          <w:szCs w:val="22"/>
        </w:rPr>
      </w:pPr>
    </w:p>
    <w:p w14:paraId="1495A347" w14:textId="77777777" w:rsidR="0024575E" w:rsidRPr="00DE2C02" w:rsidRDefault="0024575E" w:rsidP="0024575E">
      <w:pPr>
        <w:pStyle w:val="Normal-pool"/>
        <w:pBdr>
          <w:bottom w:val="single" w:sz="4" w:space="1" w:color="auto"/>
        </w:pBdr>
        <w:rPr>
          <w:b/>
          <w:sz w:val="22"/>
          <w:szCs w:val="22"/>
        </w:rPr>
      </w:pPr>
      <w:r w:rsidRPr="00DE2C02">
        <w:rPr>
          <w:b/>
          <w:sz w:val="22"/>
          <w:szCs w:val="22"/>
        </w:rPr>
        <w:t>L</w:t>
      </w:r>
    </w:p>
    <w:p w14:paraId="4BA5A3EC" w14:textId="77777777" w:rsidR="0024575E" w:rsidRPr="00DE2C02" w:rsidRDefault="0024575E" w:rsidP="0024575E">
      <w:pPr>
        <w:pStyle w:val="Normal-pool"/>
        <w:rPr>
          <w:sz w:val="22"/>
          <w:szCs w:val="22"/>
        </w:rPr>
      </w:pPr>
    </w:p>
    <w:p w14:paraId="2C8E795D" w14:textId="77777777" w:rsidR="0024575E" w:rsidRPr="00DE2C02" w:rsidRDefault="0024575E" w:rsidP="0024575E">
      <w:pPr>
        <w:pStyle w:val="Normal-pool"/>
        <w:rPr>
          <w:b/>
          <w:sz w:val="22"/>
          <w:szCs w:val="22"/>
        </w:rPr>
      </w:pPr>
      <w:r w:rsidRPr="00DE2C02">
        <w:rPr>
          <w:b/>
          <w:sz w:val="22"/>
          <w:szCs w:val="22"/>
        </w:rPr>
        <w:t>Land degradation</w:t>
      </w:r>
    </w:p>
    <w:p w14:paraId="70D2BC73" w14:textId="77777777" w:rsidR="0024575E" w:rsidRPr="00DE2C02" w:rsidRDefault="0024575E" w:rsidP="0024575E">
      <w:pPr>
        <w:pStyle w:val="Normal-pool"/>
        <w:rPr>
          <w:sz w:val="22"/>
          <w:szCs w:val="22"/>
        </w:rPr>
      </w:pPr>
      <w:r w:rsidRPr="00DE2C02">
        <w:rPr>
          <w:sz w:val="22"/>
          <w:szCs w:val="22"/>
        </w:rPr>
        <w:t>Refers to the many processes that drive the decline or loss in biodiversity, ecosystem functions or their benefits to people and includes the degradation of all terrestrial ecosystems.</w:t>
      </w:r>
    </w:p>
    <w:p w14:paraId="5F94758C" w14:textId="77777777" w:rsidR="0024575E" w:rsidRPr="00DE2C02" w:rsidRDefault="0024575E" w:rsidP="0024575E">
      <w:pPr>
        <w:pStyle w:val="Normal-pool"/>
        <w:rPr>
          <w:sz w:val="22"/>
          <w:szCs w:val="22"/>
        </w:rPr>
      </w:pPr>
    </w:p>
    <w:p w14:paraId="5D6E59BE" w14:textId="77777777" w:rsidR="0024575E" w:rsidRPr="00DE2C02" w:rsidRDefault="0024575E" w:rsidP="0024575E">
      <w:pPr>
        <w:pStyle w:val="Normal-pool"/>
        <w:rPr>
          <w:b/>
          <w:sz w:val="22"/>
          <w:szCs w:val="22"/>
        </w:rPr>
      </w:pPr>
      <w:r w:rsidRPr="00DE2C02">
        <w:rPr>
          <w:b/>
          <w:sz w:val="22"/>
          <w:szCs w:val="22"/>
        </w:rPr>
        <w:t>Land Use</w:t>
      </w:r>
    </w:p>
    <w:p w14:paraId="6D75BEB7" w14:textId="77777777" w:rsidR="0024575E" w:rsidRPr="00DE2C02" w:rsidRDefault="0024575E" w:rsidP="0024575E">
      <w:pPr>
        <w:pStyle w:val="Normal-pool"/>
        <w:rPr>
          <w:sz w:val="22"/>
          <w:szCs w:val="22"/>
        </w:rPr>
      </w:pPr>
      <w:r w:rsidRPr="00DE2C02">
        <w:rPr>
          <w:sz w:val="22"/>
          <w:szCs w:val="22"/>
        </w:rPr>
        <w:t>The human use of a specific area for a certain purpose (such as residential; agriculture; recreation; industrial, etc.). Influenced by, but not synonymous with, land cover. Land use change refers to a change in the use or management of land by humans, which may lead to a change in land cover.</w:t>
      </w:r>
    </w:p>
    <w:p w14:paraId="59225383" w14:textId="77777777" w:rsidR="0024575E" w:rsidRPr="00DE2C02" w:rsidRDefault="0024575E" w:rsidP="0024575E">
      <w:pPr>
        <w:pStyle w:val="Normal-pool"/>
        <w:rPr>
          <w:sz w:val="22"/>
          <w:szCs w:val="22"/>
        </w:rPr>
      </w:pPr>
    </w:p>
    <w:p w14:paraId="14EAAB20" w14:textId="77777777" w:rsidR="0024575E" w:rsidRPr="00DE2C02" w:rsidRDefault="0024575E" w:rsidP="0024575E">
      <w:pPr>
        <w:pStyle w:val="Normal-pool"/>
        <w:rPr>
          <w:b/>
          <w:sz w:val="22"/>
          <w:szCs w:val="22"/>
        </w:rPr>
      </w:pPr>
      <w:r w:rsidRPr="00DE2C02">
        <w:rPr>
          <w:b/>
          <w:sz w:val="22"/>
          <w:szCs w:val="22"/>
        </w:rPr>
        <w:t>Living in harmony with nature</w:t>
      </w:r>
    </w:p>
    <w:p w14:paraId="09B398A2" w14:textId="77777777" w:rsidR="0024575E" w:rsidRDefault="0024575E" w:rsidP="0024575E">
      <w:pPr>
        <w:pStyle w:val="Normal-pool"/>
        <w:rPr>
          <w:sz w:val="22"/>
          <w:szCs w:val="22"/>
        </w:rPr>
      </w:pPr>
      <w:r w:rsidRPr="00DE2C02">
        <w:rPr>
          <w:sz w:val="22"/>
          <w:szCs w:val="22"/>
        </w:rPr>
        <w:t>Within the context of the IPBES Conceptual Framework–a perspective on good quality of life based on the interdependence that exists among human beings, other living species and elements of nature. It implies that we should live peacefully alongside all other organisms even though we may need to exploit other organisms to some degree.</w:t>
      </w:r>
    </w:p>
    <w:p w14:paraId="14E6AF46" w14:textId="77777777" w:rsidR="0024575E" w:rsidRPr="00DE2C02" w:rsidRDefault="0024575E" w:rsidP="0024575E">
      <w:pPr>
        <w:pStyle w:val="Normal-pool"/>
        <w:rPr>
          <w:sz w:val="22"/>
          <w:szCs w:val="22"/>
        </w:rPr>
      </w:pPr>
    </w:p>
    <w:p w14:paraId="70DEC34E" w14:textId="77777777" w:rsidR="0024575E" w:rsidRPr="00DE2C02" w:rsidRDefault="0024575E" w:rsidP="0024575E">
      <w:pPr>
        <w:pStyle w:val="Normal-pool"/>
        <w:pBdr>
          <w:bottom w:val="single" w:sz="4" w:space="1" w:color="auto"/>
        </w:pBdr>
        <w:rPr>
          <w:b/>
          <w:sz w:val="22"/>
          <w:szCs w:val="22"/>
        </w:rPr>
      </w:pPr>
      <w:r w:rsidRPr="00DE2C02">
        <w:rPr>
          <w:b/>
          <w:sz w:val="22"/>
          <w:szCs w:val="22"/>
        </w:rPr>
        <w:t>M</w:t>
      </w:r>
    </w:p>
    <w:p w14:paraId="2CF76DFD" w14:textId="77777777" w:rsidR="0024575E" w:rsidRPr="00DE2C02" w:rsidRDefault="0024575E" w:rsidP="0024575E">
      <w:pPr>
        <w:pStyle w:val="Normal-pool"/>
        <w:rPr>
          <w:sz w:val="22"/>
          <w:szCs w:val="22"/>
        </w:rPr>
      </w:pPr>
    </w:p>
    <w:p w14:paraId="2B43570E" w14:textId="77777777" w:rsidR="0024575E" w:rsidRPr="00DE2C02" w:rsidRDefault="0024575E" w:rsidP="0024575E">
      <w:pPr>
        <w:pStyle w:val="Normal-pool"/>
        <w:rPr>
          <w:b/>
          <w:sz w:val="22"/>
          <w:szCs w:val="22"/>
        </w:rPr>
      </w:pPr>
      <w:r w:rsidRPr="00DE2C02">
        <w:rPr>
          <w:b/>
          <w:sz w:val="22"/>
          <w:szCs w:val="22"/>
        </w:rPr>
        <w:t>Mainstreaming biodiversity</w:t>
      </w:r>
    </w:p>
    <w:p w14:paraId="516F8D40" w14:textId="77777777" w:rsidR="0024575E" w:rsidRPr="00DE2C02" w:rsidRDefault="0024575E" w:rsidP="0024575E">
      <w:pPr>
        <w:pStyle w:val="Normal-pool"/>
        <w:rPr>
          <w:sz w:val="22"/>
          <w:szCs w:val="22"/>
        </w:rPr>
      </w:pPr>
      <w:r w:rsidRPr="00DE2C02">
        <w:rPr>
          <w:sz w:val="22"/>
          <w:szCs w:val="22"/>
        </w:rPr>
        <w:t>Mainstreaming, in the context of biodiversity, means integrating actions or policies related to biodiversity into broader development processes or policies such as those aimed at poverty reduction, or tackling climate change.</w:t>
      </w:r>
    </w:p>
    <w:p w14:paraId="3F8AAFEF" w14:textId="77777777" w:rsidR="0024575E" w:rsidRPr="00DE2C02" w:rsidRDefault="0024575E" w:rsidP="0024575E">
      <w:pPr>
        <w:pStyle w:val="Normal-pool"/>
        <w:rPr>
          <w:sz w:val="22"/>
          <w:szCs w:val="22"/>
        </w:rPr>
      </w:pPr>
    </w:p>
    <w:p w14:paraId="468C3BF1" w14:textId="77777777" w:rsidR="0024575E" w:rsidRPr="00DE2C02" w:rsidRDefault="0024575E" w:rsidP="0024575E">
      <w:pPr>
        <w:pStyle w:val="Normal-pool"/>
        <w:rPr>
          <w:b/>
          <w:sz w:val="22"/>
          <w:szCs w:val="22"/>
        </w:rPr>
      </w:pPr>
      <w:r w:rsidRPr="00DE2C02">
        <w:rPr>
          <w:b/>
          <w:sz w:val="22"/>
          <w:szCs w:val="22"/>
        </w:rPr>
        <w:t>Market failures</w:t>
      </w:r>
    </w:p>
    <w:p w14:paraId="0CE45768" w14:textId="77777777" w:rsidR="0024575E" w:rsidRPr="00DE2C02" w:rsidRDefault="0024575E" w:rsidP="0024575E">
      <w:pPr>
        <w:pStyle w:val="Normal-pool"/>
        <w:rPr>
          <w:sz w:val="22"/>
          <w:szCs w:val="22"/>
        </w:rPr>
      </w:pPr>
      <w:r w:rsidRPr="00DE2C02">
        <w:rPr>
          <w:sz w:val="22"/>
          <w:szCs w:val="22"/>
        </w:rPr>
        <w:t>Refers to situations whereby the market fails to give efficient allocation of resources, due to non-fulfilment of free and competitive market structure.</w:t>
      </w:r>
    </w:p>
    <w:p w14:paraId="2EF9F5DE" w14:textId="77777777" w:rsidR="0024575E" w:rsidRPr="00DE2C02" w:rsidRDefault="0024575E" w:rsidP="0024575E">
      <w:pPr>
        <w:pStyle w:val="Normal-pool"/>
        <w:rPr>
          <w:sz w:val="22"/>
          <w:szCs w:val="22"/>
        </w:rPr>
      </w:pPr>
    </w:p>
    <w:p w14:paraId="465A0B42" w14:textId="77777777" w:rsidR="0024575E" w:rsidRPr="00DE2C02" w:rsidRDefault="0024575E" w:rsidP="0024575E">
      <w:pPr>
        <w:pStyle w:val="Normal-pool"/>
        <w:rPr>
          <w:b/>
          <w:sz w:val="22"/>
          <w:szCs w:val="22"/>
        </w:rPr>
      </w:pPr>
      <w:r w:rsidRPr="00DE2C02">
        <w:rPr>
          <w:b/>
          <w:sz w:val="22"/>
          <w:szCs w:val="22"/>
        </w:rPr>
        <w:t>Market forces</w:t>
      </w:r>
    </w:p>
    <w:p w14:paraId="076EB301" w14:textId="77777777" w:rsidR="0024575E" w:rsidRPr="00DE2C02" w:rsidRDefault="0024575E" w:rsidP="0024575E">
      <w:pPr>
        <w:pStyle w:val="Normal-pool"/>
        <w:rPr>
          <w:sz w:val="22"/>
          <w:szCs w:val="22"/>
        </w:rPr>
      </w:pPr>
      <w:r w:rsidRPr="00DE2C02">
        <w:rPr>
          <w:sz w:val="22"/>
          <w:szCs w:val="22"/>
        </w:rPr>
        <w:t xml:space="preserve">Refer to economic factors affecting the price of, demand for, and availability of a commodity. </w:t>
      </w:r>
    </w:p>
    <w:p w14:paraId="3CD5E08A" w14:textId="77777777" w:rsidR="0024575E" w:rsidRPr="00DE2C02" w:rsidRDefault="0024575E" w:rsidP="0024575E">
      <w:pPr>
        <w:pStyle w:val="Normal-pool"/>
        <w:rPr>
          <w:sz w:val="22"/>
          <w:szCs w:val="22"/>
        </w:rPr>
      </w:pPr>
    </w:p>
    <w:p w14:paraId="7413EA4B" w14:textId="77777777" w:rsidR="0024575E" w:rsidRPr="00DE2C02" w:rsidRDefault="0024575E" w:rsidP="0024575E">
      <w:pPr>
        <w:pStyle w:val="Normal-pool"/>
        <w:rPr>
          <w:b/>
          <w:sz w:val="22"/>
          <w:szCs w:val="22"/>
        </w:rPr>
      </w:pPr>
      <w:r w:rsidRPr="00DE2C02">
        <w:rPr>
          <w:b/>
          <w:sz w:val="22"/>
          <w:szCs w:val="22"/>
        </w:rPr>
        <w:t>Millennium Ecosystem Assessment</w:t>
      </w:r>
    </w:p>
    <w:p w14:paraId="3B10291F" w14:textId="77777777" w:rsidR="0024575E" w:rsidRPr="00DE2C02" w:rsidRDefault="0024575E" w:rsidP="0024575E">
      <w:pPr>
        <w:pStyle w:val="Normal-pool"/>
        <w:rPr>
          <w:sz w:val="22"/>
          <w:szCs w:val="22"/>
        </w:rPr>
      </w:pPr>
      <w:r w:rsidRPr="00DE2C02">
        <w:rPr>
          <w:sz w:val="22"/>
          <w:szCs w:val="22"/>
        </w:rPr>
        <w:t>The Millennium Ecosystem Assessment is a major assessment of the human impact on the environment published in 2005.</w:t>
      </w:r>
    </w:p>
    <w:p w14:paraId="7606570F" w14:textId="77777777" w:rsidR="0024575E" w:rsidRPr="00DE2C02" w:rsidRDefault="0024575E" w:rsidP="0024575E">
      <w:pPr>
        <w:pStyle w:val="Normal-pool"/>
        <w:rPr>
          <w:sz w:val="22"/>
          <w:szCs w:val="22"/>
        </w:rPr>
      </w:pPr>
    </w:p>
    <w:p w14:paraId="6C46E19E" w14:textId="77777777" w:rsidR="0024575E" w:rsidRPr="00DE2C02" w:rsidRDefault="0024575E" w:rsidP="0024575E">
      <w:pPr>
        <w:pStyle w:val="Normal-pool"/>
        <w:rPr>
          <w:b/>
          <w:sz w:val="22"/>
          <w:szCs w:val="22"/>
        </w:rPr>
      </w:pPr>
      <w:r w:rsidRPr="00DE2C02">
        <w:rPr>
          <w:b/>
          <w:sz w:val="22"/>
          <w:szCs w:val="22"/>
        </w:rPr>
        <w:t>Models</w:t>
      </w:r>
    </w:p>
    <w:p w14:paraId="764A5E4F" w14:textId="77777777" w:rsidR="0024575E" w:rsidRPr="00DE2C02" w:rsidRDefault="0024575E" w:rsidP="0024575E">
      <w:pPr>
        <w:pStyle w:val="Normal-pool"/>
        <w:rPr>
          <w:sz w:val="22"/>
          <w:szCs w:val="22"/>
        </w:rPr>
      </w:pPr>
      <w:r w:rsidRPr="00DE2C02">
        <w:rPr>
          <w:sz w:val="22"/>
          <w:szCs w:val="22"/>
        </w:rPr>
        <w:t>Qualitative or quantitative representations of key components of a system and of relationships between these components. Benchmarking (of models) is the process of systematically comparing sets of model predictions against measured data in order to evaluate model performance. Validation (of models) typically refers to checking model outputs for consistency with observations. However, since models cannot be validated in the formal sense of the term (i.e., proven to be true), some scientists prefer to use the words "benchmarking" or “evaluation".</w:t>
      </w:r>
    </w:p>
    <w:p w14:paraId="1E10FCE7" w14:textId="77777777" w:rsidR="0024575E" w:rsidRPr="00DE2C02" w:rsidRDefault="0024575E" w:rsidP="0024575E">
      <w:pPr>
        <w:pStyle w:val="Normal-pool"/>
        <w:rPr>
          <w:sz w:val="22"/>
          <w:szCs w:val="22"/>
        </w:rPr>
      </w:pPr>
    </w:p>
    <w:p w14:paraId="0CC2FBAB" w14:textId="77777777" w:rsidR="0024575E" w:rsidRPr="00DE2C02" w:rsidRDefault="0024575E" w:rsidP="0024575E">
      <w:pPr>
        <w:pStyle w:val="Normal-pool"/>
        <w:rPr>
          <w:sz w:val="22"/>
          <w:szCs w:val="22"/>
        </w:rPr>
      </w:pPr>
      <w:r w:rsidRPr="00DE2C02">
        <w:rPr>
          <w:sz w:val="22"/>
          <w:szCs w:val="22"/>
        </w:rPr>
        <w:t>A dynamic model is a model that describes changes through time of a specific process.</w:t>
      </w:r>
    </w:p>
    <w:p w14:paraId="2F3D891E" w14:textId="77777777" w:rsidR="0024575E" w:rsidRPr="00DE2C02" w:rsidRDefault="0024575E" w:rsidP="0024575E">
      <w:pPr>
        <w:pStyle w:val="Normal-pool"/>
        <w:rPr>
          <w:sz w:val="22"/>
          <w:szCs w:val="22"/>
        </w:rPr>
      </w:pPr>
    </w:p>
    <w:p w14:paraId="66C20E00" w14:textId="77777777" w:rsidR="0024575E" w:rsidRPr="00DE2C02" w:rsidRDefault="0024575E" w:rsidP="0024575E">
      <w:pPr>
        <w:pStyle w:val="Normal-pool"/>
        <w:rPr>
          <w:sz w:val="22"/>
          <w:szCs w:val="22"/>
        </w:rPr>
      </w:pPr>
      <w:r w:rsidRPr="00DE2C02">
        <w:rPr>
          <w:sz w:val="22"/>
          <w:szCs w:val="22"/>
        </w:rPr>
        <w:t>A process-based model (also known as “mechanistic model”) is a model in which relationships are described in terms of explicitly stated processes or mechanisms based on established scientific understanding, and model parameters therefore have clear ecological interpretation, defined beforehand.</w:t>
      </w:r>
    </w:p>
    <w:p w14:paraId="3DA0087E" w14:textId="77777777" w:rsidR="0024575E" w:rsidRPr="00DE2C02" w:rsidRDefault="0024575E" w:rsidP="0024575E">
      <w:pPr>
        <w:pStyle w:val="Normal-pool"/>
        <w:rPr>
          <w:sz w:val="22"/>
          <w:szCs w:val="22"/>
        </w:rPr>
      </w:pPr>
    </w:p>
    <w:p w14:paraId="3F72923B" w14:textId="77777777" w:rsidR="0024575E" w:rsidRPr="00DE2C02" w:rsidRDefault="0024575E" w:rsidP="0024575E">
      <w:pPr>
        <w:pStyle w:val="Normal-pool"/>
        <w:rPr>
          <w:sz w:val="22"/>
          <w:szCs w:val="22"/>
        </w:rPr>
      </w:pPr>
      <w:r w:rsidRPr="00DE2C02">
        <w:rPr>
          <w:sz w:val="22"/>
          <w:szCs w:val="22"/>
        </w:rPr>
        <w:t>Hybrid models are models that combine correlative and process-based modelling approaches.</w:t>
      </w:r>
    </w:p>
    <w:p w14:paraId="2960ADB6" w14:textId="77777777" w:rsidR="0024575E" w:rsidRPr="00DE2C02" w:rsidRDefault="0024575E" w:rsidP="0024575E">
      <w:pPr>
        <w:pStyle w:val="Normal-pool"/>
        <w:rPr>
          <w:sz w:val="22"/>
          <w:szCs w:val="22"/>
        </w:rPr>
      </w:pPr>
    </w:p>
    <w:p w14:paraId="7CF4F582" w14:textId="77777777" w:rsidR="0024575E" w:rsidRPr="00DE2C02" w:rsidRDefault="0024575E" w:rsidP="0024575E">
      <w:pPr>
        <w:pStyle w:val="Normal-pool"/>
        <w:rPr>
          <w:sz w:val="22"/>
          <w:szCs w:val="22"/>
        </w:rPr>
      </w:pPr>
      <w:r w:rsidRPr="00DE2C02">
        <w:rPr>
          <w:sz w:val="22"/>
          <w:szCs w:val="22"/>
        </w:rPr>
        <w:t>A correlative model (also known as “statistical model”) is a model in which available empirical data are used to estimate values for parameters that do not have predefined ecological meaning, and for which processes are implicit rather than explicit.</w:t>
      </w:r>
    </w:p>
    <w:p w14:paraId="5C7B66A0" w14:textId="77777777" w:rsidR="0024575E" w:rsidRPr="00DE2C02" w:rsidRDefault="0024575E" w:rsidP="0024575E">
      <w:pPr>
        <w:pStyle w:val="Normal-pool"/>
        <w:rPr>
          <w:sz w:val="22"/>
          <w:szCs w:val="22"/>
        </w:rPr>
      </w:pPr>
    </w:p>
    <w:p w14:paraId="051CDF45" w14:textId="77777777" w:rsidR="0024575E" w:rsidRPr="00DE2C02" w:rsidRDefault="0024575E" w:rsidP="0024575E">
      <w:pPr>
        <w:pStyle w:val="Normal-pool"/>
        <w:rPr>
          <w:sz w:val="22"/>
          <w:szCs w:val="22"/>
        </w:rPr>
      </w:pPr>
      <w:r w:rsidRPr="00DE2C02">
        <w:rPr>
          <w:sz w:val="22"/>
          <w:szCs w:val="22"/>
        </w:rPr>
        <w:t>Integrated assessment models are interdisciplinary models that aim to describe the complex relationships between environmental, social, and economic drivers that determine current and future state of the ecosystem and the effects of global change, in order to derive policy-relevant insights. One of the essential characteristics of integrated assessments is the simultaneous consideration of the multiple dimensions of environmental problems.</w:t>
      </w:r>
    </w:p>
    <w:p w14:paraId="3FAE170F" w14:textId="77777777" w:rsidR="0024575E" w:rsidRPr="00DE2C02" w:rsidRDefault="0024575E" w:rsidP="0024575E">
      <w:pPr>
        <w:pStyle w:val="Normal-pool"/>
        <w:rPr>
          <w:sz w:val="22"/>
          <w:szCs w:val="22"/>
        </w:rPr>
      </w:pPr>
    </w:p>
    <w:p w14:paraId="14B76EBF" w14:textId="77777777" w:rsidR="0024575E" w:rsidRPr="00DE2C02" w:rsidRDefault="0024575E" w:rsidP="0024575E">
      <w:pPr>
        <w:pStyle w:val="Normal-pool"/>
        <w:rPr>
          <w:b/>
          <w:sz w:val="22"/>
          <w:szCs w:val="22"/>
        </w:rPr>
      </w:pPr>
      <w:r w:rsidRPr="00DE2C02">
        <w:rPr>
          <w:b/>
          <w:sz w:val="22"/>
          <w:szCs w:val="22"/>
        </w:rPr>
        <w:t>Mitigation</w:t>
      </w:r>
    </w:p>
    <w:p w14:paraId="5C205620" w14:textId="77777777" w:rsidR="0024575E" w:rsidRPr="00DE2C02" w:rsidRDefault="0024575E" w:rsidP="0024575E">
      <w:pPr>
        <w:pStyle w:val="Normal-pool"/>
        <w:rPr>
          <w:sz w:val="22"/>
          <w:szCs w:val="22"/>
        </w:rPr>
      </w:pPr>
      <w:r w:rsidRPr="00DE2C02">
        <w:rPr>
          <w:sz w:val="22"/>
          <w:szCs w:val="22"/>
        </w:rPr>
        <w:t>In the context of IPBES, an intervention to reduce negative or unsustainable uses of biodiversity and ecosystems.</w:t>
      </w:r>
    </w:p>
    <w:p w14:paraId="5F94E111" w14:textId="77777777" w:rsidR="0024575E" w:rsidRPr="00DE2C02" w:rsidRDefault="0024575E" w:rsidP="0024575E">
      <w:pPr>
        <w:pStyle w:val="Normal-pool"/>
        <w:rPr>
          <w:sz w:val="22"/>
          <w:szCs w:val="22"/>
        </w:rPr>
      </w:pPr>
    </w:p>
    <w:p w14:paraId="6D8B220A" w14:textId="77777777" w:rsidR="0024575E" w:rsidRPr="00DE2C02" w:rsidRDefault="0024575E" w:rsidP="0024575E">
      <w:pPr>
        <w:pStyle w:val="Normal-pool"/>
        <w:rPr>
          <w:b/>
          <w:sz w:val="22"/>
          <w:szCs w:val="22"/>
        </w:rPr>
      </w:pPr>
      <w:r w:rsidRPr="00DE2C02">
        <w:rPr>
          <w:b/>
          <w:sz w:val="22"/>
          <w:szCs w:val="22"/>
        </w:rPr>
        <w:t>Mother Earth</w:t>
      </w:r>
    </w:p>
    <w:p w14:paraId="0DA5C3CF" w14:textId="77777777" w:rsidR="0024575E" w:rsidRDefault="0024575E" w:rsidP="0024575E">
      <w:pPr>
        <w:pStyle w:val="Normal-pool"/>
        <w:rPr>
          <w:sz w:val="22"/>
          <w:szCs w:val="22"/>
        </w:rPr>
      </w:pPr>
      <w:r w:rsidRPr="00DE2C02">
        <w:rPr>
          <w:sz w:val="22"/>
          <w:szCs w:val="22"/>
        </w:rPr>
        <w:t>An expression used in a number of countries and regions to refer to the planet Earth and the entity that sustains all living things found in nature with which humans have an indivisible, interdependent physical and spiritual relationship (see "nature").</w:t>
      </w:r>
    </w:p>
    <w:p w14:paraId="0EAED7EB" w14:textId="77777777" w:rsidR="0024575E" w:rsidRPr="00DE2C02" w:rsidRDefault="0024575E" w:rsidP="0024575E">
      <w:pPr>
        <w:pStyle w:val="Normal-pool"/>
        <w:rPr>
          <w:sz w:val="22"/>
          <w:szCs w:val="22"/>
        </w:rPr>
      </w:pPr>
    </w:p>
    <w:p w14:paraId="649DFB0E" w14:textId="77777777" w:rsidR="0024575E" w:rsidRPr="00DE2C02" w:rsidRDefault="0024575E" w:rsidP="0024575E">
      <w:pPr>
        <w:pStyle w:val="Normal-pool"/>
        <w:pBdr>
          <w:bottom w:val="single" w:sz="4" w:space="1" w:color="auto"/>
        </w:pBdr>
        <w:rPr>
          <w:b/>
          <w:sz w:val="22"/>
          <w:szCs w:val="22"/>
        </w:rPr>
      </w:pPr>
      <w:r w:rsidRPr="00DE2C02">
        <w:rPr>
          <w:b/>
          <w:sz w:val="22"/>
          <w:szCs w:val="22"/>
        </w:rPr>
        <w:t>N</w:t>
      </w:r>
    </w:p>
    <w:p w14:paraId="1BB53A21" w14:textId="77777777" w:rsidR="0024575E" w:rsidRPr="00DE2C02" w:rsidRDefault="0024575E" w:rsidP="0024575E">
      <w:pPr>
        <w:pStyle w:val="Normal-pool"/>
        <w:rPr>
          <w:sz w:val="22"/>
          <w:szCs w:val="22"/>
        </w:rPr>
      </w:pPr>
    </w:p>
    <w:p w14:paraId="1283C900" w14:textId="77777777" w:rsidR="0024575E" w:rsidRPr="00DE2C02" w:rsidRDefault="0024575E" w:rsidP="0024575E">
      <w:pPr>
        <w:pStyle w:val="Normal-pool"/>
        <w:rPr>
          <w:b/>
          <w:sz w:val="22"/>
          <w:szCs w:val="22"/>
        </w:rPr>
      </w:pPr>
      <w:r w:rsidRPr="00DE2C02">
        <w:rPr>
          <w:b/>
          <w:sz w:val="22"/>
          <w:szCs w:val="22"/>
        </w:rPr>
        <w:t>Native species</w:t>
      </w:r>
    </w:p>
    <w:p w14:paraId="64C2C3A3" w14:textId="77777777" w:rsidR="0024575E" w:rsidRPr="00DE2C02" w:rsidRDefault="0024575E" w:rsidP="0024575E">
      <w:pPr>
        <w:pStyle w:val="Normal-pool"/>
        <w:rPr>
          <w:sz w:val="22"/>
          <w:szCs w:val="22"/>
        </w:rPr>
      </w:pPr>
      <w:r w:rsidRPr="00DE2C02">
        <w:rPr>
          <w:sz w:val="22"/>
          <w:szCs w:val="22"/>
        </w:rPr>
        <w:t>Indigenous species of animals or plants that naturally occur in a given region or ecosystem.</w:t>
      </w:r>
    </w:p>
    <w:p w14:paraId="1ED83EBA" w14:textId="77777777" w:rsidR="0024575E" w:rsidRPr="00DE2C02" w:rsidRDefault="0024575E" w:rsidP="0024575E">
      <w:pPr>
        <w:pStyle w:val="Normal-pool"/>
        <w:rPr>
          <w:sz w:val="22"/>
          <w:szCs w:val="22"/>
        </w:rPr>
      </w:pPr>
    </w:p>
    <w:p w14:paraId="3B8BD3AB" w14:textId="77777777" w:rsidR="00DA6D59" w:rsidRDefault="00DA6D59" w:rsidP="0024575E">
      <w:pPr>
        <w:pStyle w:val="Normal-pool"/>
        <w:rPr>
          <w:b/>
          <w:sz w:val="22"/>
          <w:szCs w:val="22"/>
        </w:rPr>
      </w:pPr>
    </w:p>
    <w:p w14:paraId="7E441E69" w14:textId="77777777" w:rsidR="00DA6D59" w:rsidRDefault="00DA6D59" w:rsidP="0024575E">
      <w:pPr>
        <w:pStyle w:val="Normal-pool"/>
        <w:rPr>
          <w:b/>
          <w:sz w:val="22"/>
          <w:szCs w:val="22"/>
        </w:rPr>
      </w:pPr>
    </w:p>
    <w:p w14:paraId="68EB185F" w14:textId="77777777" w:rsidR="0024575E" w:rsidRPr="00DE2C02" w:rsidRDefault="0024575E" w:rsidP="0024575E">
      <w:pPr>
        <w:pStyle w:val="Normal-pool"/>
        <w:rPr>
          <w:b/>
          <w:sz w:val="22"/>
          <w:szCs w:val="22"/>
        </w:rPr>
      </w:pPr>
      <w:r w:rsidRPr="00DE2C02">
        <w:rPr>
          <w:b/>
          <w:sz w:val="22"/>
          <w:szCs w:val="22"/>
        </w:rPr>
        <w:t>Nature's contributions to people</w:t>
      </w:r>
    </w:p>
    <w:p w14:paraId="1E12D433" w14:textId="77777777" w:rsidR="0024575E" w:rsidRDefault="0024575E" w:rsidP="0024575E">
      <w:pPr>
        <w:pStyle w:val="Normal-pool"/>
        <w:rPr>
          <w:sz w:val="22"/>
          <w:szCs w:val="22"/>
        </w:rPr>
      </w:pPr>
      <w:r w:rsidRPr="00DE2C02">
        <w:rPr>
          <w:sz w:val="22"/>
          <w:szCs w:val="22"/>
        </w:rPr>
        <w:t>Nature's contributions to people (NCP) are all the contributions, both positive and negative, of living nature (i.e., diversity of organisms, ecosystems, and their associated ecological and evolutionary processes) to the quality of life for people. Beneficial contributions from nature include such things as food provision, water purification, flood control, and artistic inspiration, whereas detrimental contributions include disease transmission and predation that damages people or their assets. Many NCP may be perceived as benefits or detriments depending on the cultural, temporal or spatial context.</w:t>
      </w:r>
    </w:p>
    <w:p w14:paraId="258B4703" w14:textId="77777777" w:rsidR="0024575E" w:rsidRPr="00DE2C02" w:rsidRDefault="0024575E" w:rsidP="0024575E">
      <w:pPr>
        <w:pStyle w:val="Normal-pool"/>
        <w:rPr>
          <w:sz w:val="22"/>
          <w:szCs w:val="22"/>
        </w:rPr>
      </w:pPr>
    </w:p>
    <w:p w14:paraId="6B30032C" w14:textId="77777777" w:rsidR="0024575E" w:rsidRPr="00DE2C02" w:rsidRDefault="0024575E" w:rsidP="0024575E">
      <w:pPr>
        <w:pStyle w:val="Normal-pool"/>
        <w:pBdr>
          <w:bottom w:val="single" w:sz="4" w:space="1" w:color="auto"/>
        </w:pBdr>
        <w:rPr>
          <w:b/>
          <w:sz w:val="22"/>
          <w:szCs w:val="22"/>
        </w:rPr>
      </w:pPr>
      <w:r w:rsidRPr="00DE2C02">
        <w:rPr>
          <w:b/>
          <w:sz w:val="22"/>
          <w:szCs w:val="22"/>
        </w:rPr>
        <w:t>O</w:t>
      </w:r>
    </w:p>
    <w:p w14:paraId="2BF69AF5" w14:textId="77777777" w:rsidR="0024575E" w:rsidRPr="00DE2C02" w:rsidRDefault="0024575E" w:rsidP="0024575E">
      <w:pPr>
        <w:pStyle w:val="Normal-pool"/>
        <w:rPr>
          <w:sz w:val="22"/>
          <w:szCs w:val="22"/>
        </w:rPr>
      </w:pPr>
    </w:p>
    <w:p w14:paraId="2EA3791B" w14:textId="77777777" w:rsidR="0024575E" w:rsidRPr="00DE2C02" w:rsidRDefault="0024575E" w:rsidP="0024575E">
      <w:pPr>
        <w:pStyle w:val="Normal-pool"/>
        <w:rPr>
          <w:b/>
          <w:sz w:val="22"/>
          <w:szCs w:val="22"/>
        </w:rPr>
      </w:pPr>
      <w:r w:rsidRPr="00DE2C02">
        <w:rPr>
          <w:b/>
          <w:sz w:val="22"/>
          <w:szCs w:val="22"/>
        </w:rPr>
        <w:t>Overexploitation</w:t>
      </w:r>
    </w:p>
    <w:p w14:paraId="5069BAF4" w14:textId="77777777" w:rsidR="0024575E" w:rsidRDefault="0024575E" w:rsidP="0024575E">
      <w:pPr>
        <w:pStyle w:val="Normal-pool"/>
        <w:rPr>
          <w:sz w:val="22"/>
          <w:szCs w:val="22"/>
        </w:rPr>
      </w:pPr>
      <w:r w:rsidRPr="00DE2C02">
        <w:rPr>
          <w:sz w:val="22"/>
          <w:szCs w:val="22"/>
        </w:rPr>
        <w:t>Means harvesting species from the wild at rates faster than natural populations can recover. Includes overfishing, and overgrazing.</w:t>
      </w:r>
    </w:p>
    <w:p w14:paraId="0335FAAF" w14:textId="77777777" w:rsidR="0024575E" w:rsidRPr="00DE2C02" w:rsidRDefault="0024575E" w:rsidP="0024575E">
      <w:pPr>
        <w:pStyle w:val="Normal-pool"/>
        <w:rPr>
          <w:sz w:val="22"/>
          <w:szCs w:val="22"/>
        </w:rPr>
      </w:pPr>
    </w:p>
    <w:p w14:paraId="26C9AB14" w14:textId="7CFBB56D" w:rsidR="0024575E" w:rsidRPr="00DE2C02" w:rsidRDefault="0024575E" w:rsidP="0024575E">
      <w:pPr>
        <w:pStyle w:val="Normal-pool"/>
        <w:pBdr>
          <w:bottom w:val="single" w:sz="4" w:space="1" w:color="auto"/>
        </w:pBdr>
        <w:rPr>
          <w:b/>
          <w:sz w:val="22"/>
          <w:szCs w:val="22"/>
        </w:rPr>
      </w:pPr>
      <w:r w:rsidRPr="00DE2C02">
        <w:rPr>
          <w:b/>
          <w:sz w:val="22"/>
          <w:szCs w:val="22"/>
        </w:rPr>
        <w:t>P</w:t>
      </w:r>
    </w:p>
    <w:p w14:paraId="21B4D424" w14:textId="77777777" w:rsidR="0024575E" w:rsidRPr="00DE2C02" w:rsidRDefault="0024575E" w:rsidP="0024575E">
      <w:pPr>
        <w:pStyle w:val="Normal-pool"/>
        <w:rPr>
          <w:sz w:val="22"/>
          <w:szCs w:val="22"/>
        </w:rPr>
      </w:pPr>
    </w:p>
    <w:p w14:paraId="313B338F" w14:textId="77777777" w:rsidR="0024575E" w:rsidRPr="00DE2C02" w:rsidRDefault="0024575E" w:rsidP="0024575E">
      <w:pPr>
        <w:pStyle w:val="Normal-pool"/>
        <w:rPr>
          <w:b/>
          <w:sz w:val="22"/>
          <w:szCs w:val="22"/>
        </w:rPr>
      </w:pPr>
      <w:r w:rsidRPr="00DE2C02">
        <w:rPr>
          <w:b/>
          <w:sz w:val="22"/>
          <w:szCs w:val="22"/>
        </w:rPr>
        <w:t>Polycentric governance system</w:t>
      </w:r>
    </w:p>
    <w:p w14:paraId="4735BD8E" w14:textId="77777777" w:rsidR="0024575E" w:rsidRPr="00DE2C02" w:rsidRDefault="0024575E" w:rsidP="0024575E">
      <w:pPr>
        <w:pStyle w:val="Normal-pool"/>
        <w:rPr>
          <w:sz w:val="22"/>
          <w:szCs w:val="22"/>
        </w:rPr>
      </w:pPr>
      <w:r w:rsidRPr="00DE2C02">
        <w:rPr>
          <w:sz w:val="22"/>
          <w:szCs w:val="22"/>
        </w:rPr>
        <w:t>Refers the organisation of small-, medium-, and large-scale democratic units that each may exercise considerable independence to make and enforce rules within a circumscribed scope of authority for a specified geographical area. Some units may be general-purpose governments whereas others may be highly specialized.</w:t>
      </w:r>
    </w:p>
    <w:p w14:paraId="73B5CACC" w14:textId="77777777" w:rsidR="0024575E" w:rsidRPr="00DE2C02" w:rsidRDefault="0024575E" w:rsidP="0024575E">
      <w:pPr>
        <w:pStyle w:val="Normal-pool"/>
        <w:rPr>
          <w:sz w:val="22"/>
          <w:szCs w:val="22"/>
        </w:rPr>
      </w:pPr>
    </w:p>
    <w:p w14:paraId="2031E8A0" w14:textId="77777777" w:rsidR="0024575E" w:rsidRPr="00DE2C02" w:rsidRDefault="0024575E" w:rsidP="0024575E">
      <w:pPr>
        <w:pStyle w:val="Normal-pool"/>
        <w:rPr>
          <w:b/>
          <w:sz w:val="22"/>
          <w:szCs w:val="22"/>
        </w:rPr>
      </w:pPr>
      <w:r w:rsidRPr="00DE2C02">
        <w:rPr>
          <w:b/>
          <w:sz w:val="22"/>
          <w:szCs w:val="22"/>
        </w:rPr>
        <w:t>Protected area</w:t>
      </w:r>
    </w:p>
    <w:p w14:paraId="35B606FC" w14:textId="77777777" w:rsidR="0024575E" w:rsidRPr="00DE2C02" w:rsidRDefault="0024575E" w:rsidP="0024575E">
      <w:pPr>
        <w:pStyle w:val="Normal-pool"/>
        <w:rPr>
          <w:sz w:val="22"/>
          <w:szCs w:val="22"/>
        </w:rPr>
      </w:pPr>
      <w:r w:rsidRPr="00DE2C02">
        <w:rPr>
          <w:sz w:val="22"/>
          <w:szCs w:val="22"/>
        </w:rPr>
        <w:t>A protected area is a clearly defined geographical space, recognised, dedicated and managed, through legal or other effective means, to achieve the long-term conservation of nature with associated ecosystem services and cultural values.</w:t>
      </w:r>
    </w:p>
    <w:p w14:paraId="2336C89E" w14:textId="77777777" w:rsidR="0024575E" w:rsidRPr="00DE2C02" w:rsidRDefault="0024575E" w:rsidP="0024575E">
      <w:pPr>
        <w:pStyle w:val="Normal-pool"/>
        <w:rPr>
          <w:sz w:val="22"/>
          <w:szCs w:val="22"/>
        </w:rPr>
      </w:pPr>
    </w:p>
    <w:p w14:paraId="07BB0B6D" w14:textId="77777777" w:rsidR="0024575E" w:rsidRPr="00DE2C02" w:rsidRDefault="0024575E" w:rsidP="0024575E">
      <w:pPr>
        <w:pStyle w:val="Normal-pool"/>
        <w:rPr>
          <w:b/>
          <w:sz w:val="22"/>
          <w:szCs w:val="22"/>
        </w:rPr>
      </w:pPr>
      <w:r w:rsidRPr="00DE2C02">
        <w:rPr>
          <w:b/>
          <w:sz w:val="22"/>
          <w:szCs w:val="22"/>
        </w:rPr>
        <w:t>Provisioning services</w:t>
      </w:r>
    </w:p>
    <w:p w14:paraId="21B5F509" w14:textId="18D0CA4D" w:rsidR="0024575E" w:rsidRPr="00DE2C02" w:rsidRDefault="0024575E" w:rsidP="0024575E">
      <w:pPr>
        <w:pStyle w:val="Normal-pool"/>
        <w:rPr>
          <w:sz w:val="22"/>
          <w:szCs w:val="22"/>
        </w:rPr>
      </w:pPr>
      <w:r w:rsidRPr="00DE2C02">
        <w:rPr>
          <w:sz w:val="22"/>
          <w:szCs w:val="22"/>
        </w:rPr>
        <w:t>The products people obtain from ecosystems; may include food, freshwater, timber, fibres, medicinal plants.</w:t>
      </w:r>
    </w:p>
    <w:p w14:paraId="5C860EDE" w14:textId="77777777" w:rsidR="0024575E" w:rsidRPr="00DE2C02" w:rsidRDefault="0024575E" w:rsidP="0024575E">
      <w:pPr>
        <w:pStyle w:val="Normal-pool"/>
        <w:rPr>
          <w:sz w:val="22"/>
          <w:szCs w:val="22"/>
        </w:rPr>
      </w:pPr>
    </w:p>
    <w:p w14:paraId="1DF5481F" w14:textId="77777777" w:rsidR="0024575E" w:rsidRPr="00DE2C02" w:rsidRDefault="0024575E" w:rsidP="0024575E">
      <w:pPr>
        <w:pStyle w:val="Normal-pool"/>
        <w:pBdr>
          <w:bottom w:val="single" w:sz="4" w:space="1" w:color="auto"/>
        </w:pBdr>
        <w:rPr>
          <w:b/>
          <w:sz w:val="22"/>
          <w:szCs w:val="22"/>
        </w:rPr>
      </w:pPr>
      <w:r w:rsidRPr="00DE2C02">
        <w:rPr>
          <w:b/>
          <w:sz w:val="22"/>
          <w:szCs w:val="22"/>
        </w:rPr>
        <w:t>R</w:t>
      </w:r>
    </w:p>
    <w:p w14:paraId="65DC8F32" w14:textId="77777777" w:rsidR="0024575E" w:rsidRPr="00DE2C02" w:rsidRDefault="0024575E" w:rsidP="0024575E">
      <w:pPr>
        <w:pStyle w:val="Normal-pool"/>
        <w:rPr>
          <w:sz w:val="22"/>
          <w:szCs w:val="22"/>
        </w:rPr>
      </w:pPr>
    </w:p>
    <w:p w14:paraId="596E6B5F" w14:textId="77777777" w:rsidR="0024575E" w:rsidRPr="00DE2C02" w:rsidRDefault="0024575E" w:rsidP="0024575E">
      <w:pPr>
        <w:pStyle w:val="Normal-pool"/>
        <w:rPr>
          <w:b/>
          <w:sz w:val="22"/>
          <w:szCs w:val="22"/>
        </w:rPr>
      </w:pPr>
      <w:r w:rsidRPr="00DE2C02">
        <w:rPr>
          <w:b/>
          <w:sz w:val="22"/>
          <w:szCs w:val="22"/>
        </w:rPr>
        <w:t>Ramsar sites</w:t>
      </w:r>
    </w:p>
    <w:p w14:paraId="7C19FF2A" w14:textId="77777777" w:rsidR="0024575E" w:rsidRPr="00DE2C02" w:rsidRDefault="0024575E" w:rsidP="0024575E">
      <w:pPr>
        <w:pStyle w:val="Normal-pool"/>
        <w:rPr>
          <w:sz w:val="22"/>
          <w:szCs w:val="22"/>
        </w:rPr>
      </w:pPr>
      <w:r w:rsidRPr="00DE2C02">
        <w:rPr>
          <w:sz w:val="22"/>
          <w:szCs w:val="22"/>
        </w:rPr>
        <w:t>A Ramsar site is a wetland site designated of international importance especially as Waterfowl Habitat under the Ramsa</w:t>
      </w:r>
      <w:r>
        <w:rPr>
          <w:sz w:val="22"/>
          <w:szCs w:val="22"/>
        </w:rPr>
        <w:t>r</w:t>
      </w:r>
      <w:r w:rsidRPr="00DE2C02">
        <w:rPr>
          <w:sz w:val="22"/>
          <w:szCs w:val="22"/>
        </w:rPr>
        <w:t xml:space="preserve"> Convention, an intergovernmental environment treaty established in 1975 by UNESCO, coming into force in 1975.</w:t>
      </w:r>
    </w:p>
    <w:p w14:paraId="0C5EDE6E" w14:textId="77777777" w:rsidR="0024575E" w:rsidRPr="00DE2C02" w:rsidRDefault="0024575E" w:rsidP="0024575E">
      <w:pPr>
        <w:pStyle w:val="Normal-pool"/>
        <w:rPr>
          <w:sz w:val="22"/>
          <w:szCs w:val="22"/>
        </w:rPr>
      </w:pPr>
    </w:p>
    <w:p w14:paraId="2E87D24B" w14:textId="77777777" w:rsidR="0024575E" w:rsidRPr="00DE2C02" w:rsidRDefault="0024575E" w:rsidP="0024575E">
      <w:pPr>
        <w:pStyle w:val="Normal-pool"/>
        <w:rPr>
          <w:sz w:val="22"/>
          <w:szCs w:val="22"/>
        </w:rPr>
      </w:pPr>
      <w:r w:rsidRPr="00DE2C02">
        <w:rPr>
          <w:sz w:val="22"/>
          <w:szCs w:val="22"/>
        </w:rPr>
        <w:t>Ramsar site refers to a wetland of international significance in terms of ecology, botany, zoology, limnology or hydrology. Such site meets at least one of the criteria of Identifying Wetlands of International Importance set by Ramsar Convention and is designated by appropriate national authority to be added to Ramsar list.</w:t>
      </w:r>
    </w:p>
    <w:p w14:paraId="2B9B40CB" w14:textId="77777777" w:rsidR="0024575E" w:rsidRPr="00DE2C02" w:rsidRDefault="0024575E" w:rsidP="0024575E">
      <w:pPr>
        <w:pStyle w:val="Normal-pool"/>
        <w:rPr>
          <w:sz w:val="22"/>
          <w:szCs w:val="22"/>
        </w:rPr>
      </w:pPr>
    </w:p>
    <w:p w14:paraId="7E117266" w14:textId="77777777" w:rsidR="0024575E" w:rsidRPr="00DE2C02" w:rsidRDefault="0024575E" w:rsidP="0024575E">
      <w:pPr>
        <w:pStyle w:val="Normal-pool"/>
        <w:rPr>
          <w:b/>
          <w:sz w:val="22"/>
          <w:szCs w:val="22"/>
        </w:rPr>
      </w:pPr>
      <w:r w:rsidRPr="00DE2C02">
        <w:rPr>
          <w:b/>
          <w:sz w:val="22"/>
          <w:szCs w:val="22"/>
        </w:rPr>
        <w:t>Resilience</w:t>
      </w:r>
    </w:p>
    <w:p w14:paraId="7E5EBE45" w14:textId="77777777" w:rsidR="0024575E" w:rsidRPr="00DE2C02" w:rsidRDefault="0024575E" w:rsidP="0024575E">
      <w:pPr>
        <w:pStyle w:val="Normal-pool"/>
        <w:rPr>
          <w:sz w:val="22"/>
          <w:szCs w:val="22"/>
        </w:rPr>
      </w:pPr>
      <w:r w:rsidRPr="00DE2C02">
        <w:rPr>
          <w:sz w:val="22"/>
          <w:szCs w:val="22"/>
        </w:rPr>
        <w:t>The level of disturbance that an ecosystem or society can undergo without crossing a threshold to a situation with different structure or outputs. Resilience depends on factors such as ecological dynamics as well as the organizational and institutional capacity to understand, manage, and respond to these dynamics.</w:t>
      </w:r>
    </w:p>
    <w:p w14:paraId="13B649CA" w14:textId="77777777" w:rsidR="0024575E" w:rsidRPr="00DE2C02" w:rsidRDefault="0024575E" w:rsidP="0024575E">
      <w:pPr>
        <w:pStyle w:val="Normal-pool"/>
        <w:rPr>
          <w:sz w:val="22"/>
          <w:szCs w:val="22"/>
        </w:rPr>
      </w:pPr>
    </w:p>
    <w:p w14:paraId="53399370" w14:textId="77777777" w:rsidR="0024575E" w:rsidRPr="00DE2C02" w:rsidRDefault="0024575E" w:rsidP="0024575E">
      <w:pPr>
        <w:pStyle w:val="Normal-pool"/>
        <w:rPr>
          <w:b/>
          <w:sz w:val="22"/>
          <w:szCs w:val="22"/>
        </w:rPr>
      </w:pPr>
      <w:r w:rsidRPr="00DE2C02">
        <w:rPr>
          <w:b/>
          <w:sz w:val="22"/>
          <w:szCs w:val="22"/>
        </w:rPr>
        <w:t>Restoration</w:t>
      </w:r>
    </w:p>
    <w:p w14:paraId="62DA0D59" w14:textId="77777777" w:rsidR="0024575E" w:rsidRPr="00DE2C02" w:rsidRDefault="0024575E" w:rsidP="0024575E">
      <w:pPr>
        <w:pStyle w:val="Normal-pool"/>
        <w:rPr>
          <w:sz w:val="22"/>
          <w:szCs w:val="22"/>
        </w:rPr>
      </w:pPr>
      <w:r w:rsidRPr="00DE2C02">
        <w:rPr>
          <w:sz w:val="22"/>
          <w:szCs w:val="22"/>
        </w:rPr>
        <w:t>Any intentional activities that initiates or accelerates the recovery of an ecosystem from a degraded state.</w:t>
      </w:r>
    </w:p>
    <w:p w14:paraId="623EEB1E" w14:textId="77777777" w:rsidR="0024575E" w:rsidRPr="00DE2C02" w:rsidRDefault="0024575E" w:rsidP="0024575E">
      <w:pPr>
        <w:pStyle w:val="Normal-pool"/>
        <w:rPr>
          <w:sz w:val="22"/>
          <w:szCs w:val="22"/>
        </w:rPr>
      </w:pPr>
    </w:p>
    <w:p w14:paraId="22CECB4C" w14:textId="77777777" w:rsidR="0024575E" w:rsidRPr="00DE2C02" w:rsidRDefault="0024575E" w:rsidP="0024575E">
      <w:pPr>
        <w:pStyle w:val="Normal-pool"/>
        <w:rPr>
          <w:b/>
          <w:sz w:val="22"/>
          <w:szCs w:val="22"/>
        </w:rPr>
      </w:pPr>
      <w:r w:rsidRPr="00DE2C02">
        <w:rPr>
          <w:b/>
          <w:sz w:val="22"/>
          <w:szCs w:val="22"/>
        </w:rPr>
        <w:t>Richness</w:t>
      </w:r>
    </w:p>
    <w:p w14:paraId="7259DD93" w14:textId="77777777" w:rsidR="0024575E" w:rsidRDefault="0024575E" w:rsidP="0024575E">
      <w:pPr>
        <w:pStyle w:val="Normal-pool"/>
        <w:rPr>
          <w:sz w:val="22"/>
          <w:szCs w:val="22"/>
        </w:rPr>
      </w:pPr>
      <w:r w:rsidRPr="00DE2C02">
        <w:rPr>
          <w:sz w:val="22"/>
          <w:szCs w:val="22"/>
        </w:rPr>
        <w:t>The number of biological entities (species, genotypes, etc.) within a given sample. Sometimes used as synonym of species diversity.</w:t>
      </w:r>
    </w:p>
    <w:p w14:paraId="2D573F5D" w14:textId="77777777" w:rsidR="0024575E" w:rsidRPr="00DE2C02" w:rsidRDefault="0024575E" w:rsidP="0024575E">
      <w:pPr>
        <w:pStyle w:val="Normal-pool"/>
        <w:rPr>
          <w:sz w:val="22"/>
          <w:szCs w:val="22"/>
        </w:rPr>
      </w:pPr>
    </w:p>
    <w:p w14:paraId="0726AE20" w14:textId="77777777" w:rsidR="0024575E" w:rsidRPr="00DE2C02" w:rsidRDefault="0024575E" w:rsidP="0024575E">
      <w:pPr>
        <w:pStyle w:val="Normal-pool"/>
        <w:pBdr>
          <w:bottom w:val="single" w:sz="4" w:space="1" w:color="auto"/>
        </w:pBdr>
        <w:rPr>
          <w:b/>
          <w:sz w:val="22"/>
          <w:szCs w:val="22"/>
        </w:rPr>
      </w:pPr>
      <w:r w:rsidRPr="00DE2C02">
        <w:rPr>
          <w:b/>
          <w:sz w:val="22"/>
          <w:szCs w:val="22"/>
        </w:rPr>
        <w:t>S</w:t>
      </w:r>
    </w:p>
    <w:p w14:paraId="71F2C535" w14:textId="77777777" w:rsidR="0024575E" w:rsidRPr="00DE2C02" w:rsidRDefault="0024575E" w:rsidP="0024575E">
      <w:pPr>
        <w:pStyle w:val="Normal-pool"/>
        <w:rPr>
          <w:sz w:val="22"/>
          <w:szCs w:val="22"/>
        </w:rPr>
      </w:pPr>
    </w:p>
    <w:p w14:paraId="09847C51" w14:textId="77777777" w:rsidR="0024575E" w:rsidRPr="00DE2C02" w:rsidRDefault="0024575E" w:rsidP="0024575E">
      <w:pPr>
        <w:pStyle w:val="Normal-pool"/>
        <w:rPr>
          <w:b/>
          <w:sz w:val="22"/>
          <w:szCs w:val="22"/>
        </w:rPr>
      </w:pPr>
      <w:r w:rsidRPr="00DE2C02">
        <w:rPr>
          <w:b/>
          <w:sz w:val="22"/>
          <w:szCs w:val="22"/>
        </w:rPr>
        <w:t>Savanna</w:t>
      </w:r>
    </w:p>
    <w:p w14:paraId="3AA1DEDB" w14:textId="77777777" w:rsidR="0024575E" w:rsidRPr="00DE2C02" w:rsidRDefault="0024575E" w:rsidP="0024575E">
      <w:pPr>
        <w:pStyle w:val="Normal-pool"/>
        <w:rPr>
          <w:sz w:val="22"/>
          <w:szCs w:val="22"/>
        </w:rPr>
      </w:pPr>
      <w:r w:rsidRPr="00DE2C02">
        <w:rPr>
          <w:sz w:val="22"/>
          <w:szCs w:val="22"/>
        </w:rPr>
        <w:t>Ecosystem characterised by a continuous layer of herbaceous plants, mostly grasses, and a discontinuous upper layer of trees that may vary in density.</w:t>
      </w:r>
    </w:p>
    <w:p w14:paraId="6EEF5092" w14:textId="77777777" w:rsidR="0024575E" w:rsidRPr="00DE2C02" w:rsidRDefault="0024575E" w:rsidP="0024575E">
      <w:pPr>
        <w:pStyle w:val="Normal-pool"/>
        <w:rPr>
          <w:sz w:val="22"/>
          <w:szCs w:val="22"/>
        </w:rPr>
      </w:pPr>
    </w:p>
    <w:p w14:paraId="6DF2E926" w14:textId="77777777" w:rsidR="0024575E" w:rsidRPr="00DE2C02" w:rsidRDefault="0024575E" w:rsidP="0024575E">
      <w:pPr>
        <w:pStyle w:val="Normal-pool"/>
        <w:rPr>
          <w:b/>
          <w:sz w:val="22"/>
          <w:szCs w:val="22"/>
        </w:rPr>
      </w:pPr>
      <w:r w:rsidRPr="00DE2C02">
        <w:rPr>
          <w:b/>
          <w:sz w:val="22"/>
          <w:szCs w:val="22"/>
        </w:rPr>
        <w:t>Scenario</w:t>
      </w:r>
    </w:p>
    <w:p w14:paraId="1AE7373D" w14:textId="77777777" w:rsidR="0024575E" w:rsidRPr="00DE2C02" w:rsidRDefault="0024575E" w:rsidP="0024575E">
      <w:pPr>
        <w:pStyle w:val="Normal-pool"/>
        <w:rPr>
          <w:sz w:val="22"/>
          <w:szCs w:val="22"/>
        </w:rPr>
      </w:pPr>
      <w:r w:rsidRPr="00DE2C02">
        <w:rPr>
          <w:sz w:val="22"/>
          <w:szCs w:val="22"/>
        </w:rPr>
        <w:t xml:space="preserve">Representations of possible futures for one or more components of a system, particularly for drivers of change in nature and nature’s benefits, including alternative policy or management options. </w:t>
      </w:r>
    </w:p>
    <w:p w14:paraId="333EF04F" w14:textId="77777777" w:rsidR="0024575E" w:rsidRPr="00DE2C02" w:rsidRDefault="0024575E" w:rsidP="0024575E">
      <w:pPr>
        <w:pStyle w:val="Normal-pool"/>
        <w:rPr>
          <w:sz w:val="22"/>
          <w:szCs w:val="22"/>
        </w:rPr>
      </w:pPr>
    </w:p>
    <w:p w14:paraId="1095D5AD" w14:textId="77777777" w:rsidR="0024575E" w:rsidRPr="00DE2C02" w:rsidRDefault="0024575E" w:rsidP="0024575E">
      <w:pPr>
        <w:pStyle w:val="Normal-pool"/>
        <w:rPr>
          <w:sz w:val="22"/>
          <w:szCs w:val="22"/>
        </w:rPr>
      </w:pPr>
      <w:r w:rsidRPr="00DE2C02">
        <w:rPr>
          <w:sz w:val="22"/>
          <w:szCs w:val="22"/>
        </w:rPr>
        <w:t xml:space="preserve">Exploratory scenarios (also known as “explorative scenarios” or “descriptive scenarios”) are scenarios that examine a range of plausible futures, based on potential trajectories of drivers–either indirect (e.g., socio-political, economic and technological factors) or direct (e.g., habitat conversion, climate change). </w:t>
      </w:r>
    </w:p>
    <w:p w14:paraId="5F33128E" w14:textId="77777777" w:rsidR="0024575E" w:rsidRPr="00DE2C02" w:rsidRDefault="0024575E" w:rsidP="0024575E">
      <w:pPr>
        <w:pStyle w:val="Normal-pool"/>
        <w:rPr>
          <w:sz w:val="22"/>
          <w:szCs w:val="22"/>
        </w:rPr>
      </w:pPr>
    </w:p>
    <w:p w14:paraId="455BC114" w14:textId="77777777" w:rsidR="0024575E" w:rsidRPr="00DE2C02" w:rsidRDefault="0024575E" w:rsidP="0024575E">
      <w:pPr>
        <w:pStyle w:val="Normal-pool"/>
        <w:rPr>
          <w:sz w:val="22"/>
          <w:szCs w:val="22"/>
        </w:rPr>
      </w:pPr>
      <w:r w:rsidRPr="00DE2C02">
        <w:rPr>
          <w:sz w:val="22"/>
          <w:szCs w:val="22"/>
        </w:rPr>
        <w:t>Target-seeking scenarios (also known as “goal-seeking scenarios” or “normative scenarios”) are scenarios that start with the definition of a clear objective, or a set of objectives, specified either in terms of achievable targets, or as an objective function to be optimized, and then identify different pathways to achieving this outcome (e.g., through backcasting).</w:t>
      </w:r>
    </w:p>
    <w:p w14:paraId="6C0B00E4" w14:textId="77777777" w:rsidR="0024575E" w:rsidRPr="00DE2C02" w:rsidRDefault="0024575E" w:rsidP="0024575E">
      <w:pPr>
        <w:pStyle w:val="Normal-pool"/>
        <w:rPr>
          <w:sz w:val="22"/>
          <w:szCs w:val="22"/>
        </w:rPr>
      </w:pPr>
    </w:p>
    <w:p w14:paraId="7D2E28DB" w14:textId="77777777" w:rsidR="0024575E" w:rsidRPr="00DE2C02" w:rsidRDefault="0024575E" w:rsidP="0024575E">
      <w:pPr>
        <w:pStyle w:val="Normal-pool"/>
        <w:rPr>
          <w:sz w:val="22"/>
          <w:szCs w:val="22"/>
        </w:rPr>
      </w:pPr>
      <w:r w:rsidRPr="00DE2C02">
        <w:rPr>
          <w:sz w:val="22"/>
          <w:szCs w:val="22"/>
        </w:rPr>
        <w:t>Intervention scenarios are scenarios that evaluate alternative policy or management options–either through target seeking (also known as “goal seeking” or “normative scenario analysis”) or through policy screening (also known as “ex-ante assessment”). Policy-evaluation scenarios are scenarios, including counterfactual scenarios, used in ex-post assessments of the gap between policy objectives and actual policy results, as part of the policy-review phase of the policy cycle. Policy-screening scenarios are scenarios used in ex-ante assessments, to forecast the effects of alternative policy or management options (interventions) on environmental outcomes.</w:t>
      </w:r>
    </w:p>
    <w:p w14:paraId="6EE2477A" w14:textId="77777777" w:rsidR="0024575E" w:rsidRPr="00DE2C02" w:rsidRDefault="0024575E" w:rsidP="0024575E">
      <w:pPr>
        <w:pStyle w:val="Normal-pool"/>
        <w:rPr>
          <w:sz w:val="22"/>
          <w:szCs w:val="22"/>
        </w:rPr>
      </w:pPr>
    </w:p>
    <w:p w14:paraId="79DCFF24" w14:textId="77777777" w:rsidR="0024575E" w:rsidRPr="00DE2C02" w:rsidRDefault="0024575E" w:rsidP="0024575E">
      <w:pPr>
        <w:pStyle w:val="Normal-pool"/>
        <w:rPr>
          <w:b/>
          <w:sz w:val="22"/>
          <w:szCs w:val="22"/>
        </w:rPr>
      </w:pPr>
      <w:r w:rsidRPr="00DE2C02">
        <w:rPr>
          <w:b/>
          <w:sz w:val="22"/>
          <w:szCs w:val="22"/>
        </w:rPr>
        <w:t>Socioecological system</w:t>
      </w:r>
    </w:p>
    <w:p w14:paraId="2E34F09B" w14:textId="77777777" w:rsidR="0024575E" w:rsidRPr="00DE2C02" w:rsidRDefault="0024575E" w:rsidP="0024575E">
      <w:pPr>
        <w:pStyle w:val="Normal-pool"/>
        <w:rPr>
          <w:sz w:val="22"/>
          <w:szCs w:val="22"/>
        </w:rPr>
      </w:pPr>
      <w:r w:rsidRPr="00DE2C02">
        <w:rPr>
          <w:sz w:val="22"/>
          <w:szCs w:val="22"/>
        </w:rPr>
        <w:t>An ecosystem, the management of this ecosystem by actors and organizations, and the rules, social norms, and conventions underlying this management.</w:t>
      </w:r>
    </w:p>
    <w:p w14:paraId="3FFF2CC5" w14:textId="77777777" w:rsidR="0024575E" w:rsidRPr="00DE2C02" w:rsidRDefault="0024575E" w:rsidP="0024575E">
      <w:pPr>
        <w:pStyle w:val="Normal-pool"/>
        <w:rPr>
          <w:sz w:val="22"/>
          <w:szCs w:val="22"/>
        </w:rPr>
      </w:pPr>
    </w:p>
    <w:p w14:paraId="3B655FD4" w14:textId="77777777" w:rsidR="0024575E" w:rsidRPr="00DE2C02" w:rsidRDefault="0024575E" w:rsidP="0024575E">
      <w:pPr>
        <w:pStyle w:val="Normal-pool"/>
        <w:rPr>
          <w:b/>
          <w:sz w:val="22"/>
          <w:szCs w:val="22"/>
        </w:rPr>
      </w:pPr>
      <w:r w:rsidRPr="00DE2C02">
        <w:rPr>
          <w:b/>
          <w:sz w:val="22"/>
          <w:szCs w:val="22"/>
        </w:rPr>
        <w:t>Social responsibility</w:t>
      </w:r>
    </w:p>
    <w:p w14:paraId="3B1A0ED3" w14:textId="77777777" w:rsidR="0024575E" w:rsidRPr="00DE2C02" w:rsidRDefault="0024575E" w:rsidP="0024575E">
      <w:pPr>
        <w:pStyle w:val="Normal-pool"/>
        <w:rPr>
          <w:sz w:val="22"/>
          <w:szCs w:val="22"/>
        </w:rPr>
      </w:pPr>
      <w:r w:rsidRPr="00DE2C02">
        <w:rPr>
          <w:sz w:val="22"/>
          <w:szCs w:val="22"/>
        </w:rPr>
        <w:t>Refers to "transparent social practices that are based on ethical values, compliance with legal requirements, and respect for people, communities, and the environment”.</w:t>
      </w:r>
    </w:p>
    <w:p w14:paraId="71B78114" w14:textId="77777777" w:rsidR="0024575E" w:rsidRPr="00DE2C02" w:rsidRDefault="0024575E" w:rsidP="0024575E">
      <w:pPr>
        <w:pStyle w:val="Normal-pool"/>
        <w:rPr>
          <w:sz w:val="22"/>
          <w:szCs w:val="22"/>
        </w:rPr>
      </w:pPr>
    </w:p>
    <w:p w14:paraId="27DFC099" w14:textId="77777777" w:rsidR="0024575E" w:rsidRPr="00DE2C02" w:rsidRDefault="0024575E" w:rsidP="0024575E">
      <w:pPr>
        <w:pStyle w:val="Normal-pool"/>
        <w:rPr>
          <w:b/>
          <w:sz w:val="22"/>
          <w:szCs w:val="22"/>
        </w:rPr>
      </w:pPr>
      <w:r w:rsidRPr="00DE2C02">
        <w:rPr>
          <w:b/>
          <w:sz w:val="22"/>
          <w:szCs w:val="22"/>
        </w:rPr>
        <w:t>Stakeholders</w:t>
      </w:r>
    </w:p>
    <w:p w14:paraId="4DEC6973" w14:textId="77777777" w:rsidR="0024575E" w:rsidRPr="00DE2C02" w:rsidRDefault="0024575E" w:rsidP="0024575E">
      <w:pPr>
        <w:pStyle w:val="Normal-pool"/>
        <w:rPr>
          <w:sz w:val="22"/>
          <w:szCs w:val="22"/>
        </w:rPr>
      </w:pPr>
      <w:r w:rsidRPr="00DE2C02">
        <w:rPr>
          <w:sz w:val="22"/>
          <w:szCs w:val="22"/>
        </w:rPr>
        <w:t>Any individuals, groups or organizations who affect, or could be affected (whether positively or negatively) by a particular issue and its associated policies, decisions and action.</w:t>
      </w:r>
    </w:p>
    <w:p w14:paraId="01963FA4" w14:textId="77777777" w:rsidR="0024575E" w:rsidRPr="00DE2C02" w:rsidRDefault="0024575E" w:rsidP="0024575E">
      <w:pPr>
        <w:pStyle w:val="Normal-pool"/>
        <w:rPr>
          <w:sz w:val="22"/>
          <w:szCs w:val="22"/>
        </w:rPr>
      </w:pPr>
    </w:p>
    <w:p w14:paraId="7C142867" w14:textId="77777777" w:rsidR="0024575E" w:rsidRPr="00DE2C02" w:rsidRDefault="0024575E" w:rsidP="0024575E">
      <w:pPr>
        <w:pStyle w:val="Normal-pool"/>
        <w:rPr>
          <w:b/>
          <w:sz w:val="22"/>
          <w:szCs w:val="22"/>
        </w:rPr>
      </w:pPr>
      <w:r w:rsidRPr="00DE2C02">
        <w:rPr>
          <w:b/>
          <w:sz w:val="22"/>
          <w:szCs w:val="22"/>
        </w:rPr>
        <w:t>Summary for policymakers</w:t>
      </w:r>
    </w:p>
    <w:p w14:paraId="2C5EEF9B" w14:textId="77777777" w:rsidR="0024575E" w:rsidRPr="00DE2C02" w:rsidRDefault="0024575E" w:rsidP="0024575E">
      <w:pPr>
        <w:pStyle w:val="Normal-pool"/>
        <w:rPr>
          <w:sz w:val="22"/>
          <w:szCs w:val="22"/>
        </w:rPr>
      </w:pPr>
      <w:r w:rsidRPr="00DE2C02">
        <w:rPr>
          <w:sz w:val="22"/>
          <w:szCs w:val="22"/>
        </w:rPr>
        <w:t>Is a component of any report, providing a policy-relevant but not policy prescriptive summary of that report</w:t>
      </w:r>
      <w:r>
        <w:rPr>
          <w:sz w:val="22"/>
          <w:szCs w:val="22"/>
        </w:rPr>
        <w:t>.</w:t>
      </w:r>
    </w:p>
    <w:p w14:paraId="511AD9CF" w14:textId="77777777" w:rsidR="0024575E" w:rsidRPr="00DE2C02" w:rsidRDefault="0024575E" w:rsidP="0024575E">
      <w:pPr>
        <w:pStyle w:val="Normal-pool"/>
        <w:rPr>
          <w:sz w:val="22"/>
          <w:szCs w:val="22"/>
        </w:rPr>
      </w:pPr>
    </w:p>
    <w:p w14:paraId="0E22C580" w14:textId="77777777" w:rsidR="0024575E" w:rsidRPr="00DE2C02" w:rsidRDefault="0024575E" w:rsidP="0024575E">
      <w:pPr>
        <w:pStyle w:val="Normal-pool"/>
        <w:rPr>
          <w:b/>
          <w:sz w:val="22"/>
          <w:szCs w:val="22"/>
        </w:rPr>
      </w:pPr>
      <w:r w:rsidRPr="00DE2C02">
        <w:rPr>
          <w:b/>
          <w:sz w:val="22"/>
          <w:szCs w:val="22"/>
        </w:rPr>
        <w:t>Supporting material</w:t>
      </w:r>
    </w:p>
    <w:p w14:paraId="66FF772B" w14:textId="77777777" w:rsidR="0024575E" w:rsidRPr="00DE2C02" w:rsidRDefault="0024575E" w:rsidP="0024575E">
      <w:pPr>
        <w:pStyle w:val="Normal-pool"/>
        <w:rPr>
          <w:sz w:val="22"/>
          <w:szCs w:val="22"/>
        </w:rPr>
      </w:pPr>
      <w:r w:rsidRPr="00DE2C02">
        <w:rPr>
          <w:sz w:val="22"/>
          <w:szCs w:val="22"/>
        </w:rPr>
        <w:t xml:space="preserve">Consists of four categories: </w:t>
      </w:r>
    </w:p>
    <w:p w14:paraId="718BAB3F" w14:textId="77777777" w:rsidR="0024575E" w:rsidRPr="00DE2C02" w:rsidRDefault="0024575E" w:rsidP="0024575E">
      <w:pPr>
        <w:pStyle w:val="Normal-pool"/>
        <w:numPr>
          <w:ilvl w:val="0"/>
          <w:numId w:val="32"/>
        </w:numPr>
        <w:rPr>
          <w:sz w:val="22"/>
          <w:szCs w:val="22"/>
        </w:rPr>
      </w:pPr>
      <w:r w:rsidRPr="00DE2C02">
        <w:rPr>
          <w:sz w:val="22"/>
          <w:szCs w:val="22"/>
        </w:rPr>
        <w:t>Intercultural and inter</w:t>
      </w:r>
      <w:r>
        <w:rPr>
          <w:sz w:val="22"/>
          <w:szCs w:val="22"/>
        </w:rPr>
        <w:t>-</w:t>
      </w:r>
      <w:r w:rsidRPr="00DE2C02">
        <w:rPr>
          <w:sz w:val="22"/>
          <w:szCs w:val="22"/>
        </w:rPr>
        <w:t>scientific dialogue reports that are based on the material generated at the eco</w:t>
      </w:r>
      <w:r>
        <w:rPr>
          <w:sz w:val="22"/>
          <w:szCs w:val="22"/>
        </w:rPr>
        <w:t>-</w:t>
      </w:r>
      <w:r w:rsidRPr="00DE2C02">
        <w:rPr>
          <w:sz w:val="22"/>
          <w:szCs w:val="22"/>
        </w:rPr>
        <w:t xml:space="preserve">regional level by discussions between members of academic, indigenous and social organizations and that take into account the different approaches, visions and knowledge systems that exist as well as the various views and approaches to sustainable development; </w:t>
      </w:r>
    </w:p>
    <w:p w14:paraId="16358F0B" w14:textId="77777777" w:rsidR="0024575E" w:rsidRPr="00DE2C02" w:rsidRDefault="0024575E" w:rsidP="0024575E">
      <w:pPr>
        <w:pStyle w:val="Normal-pool"/>
        <w:numPr>
          <w:ilvl w:val="0"/>
          <w:numId w:val="32"/>
        </w:numPr>
        <w:rPr>
          <w:sz w:val="22"/>
          <w:szCs w:val="22"/>
        </w:rPr>
      </w:pPr>
      <w:r w:rsidRPr="00DE2C02">
        <w:rPr>
          <w:sz w:val="22"/>
          <w:szCs w:val="22"/>
        </w:rPr>
        <w:t xml:space="preserve">Workshop proceedings and materials that are either commissioned or supported by the Platform; </w:t>
      </w:r>
    </w:p>
    <w:p w14:paraId="1FBD55EA" w14:textId="77777777" w:rsidR="0024575E" w:rsidRPr="00DE2C02" w:rsidRDefault="0024575E" w:rsidP="0024575E">
      <w:pPr>
        <w:pStyle w:val="Normal-pool"/>
        <w:numPr>
          <w:ilvl w:val="0"/>
          <w:numId w:val="32"/>
        </w:numPr>
        <w:rPr>
          <w:sz w:val="22"/>
          <w:szCs w:val="22"/>
        </w:rPr>
      </w:pPr>
      <w:r w:rsidRPr="00DE2C02">
        <w:rPr>
          <w:sz w:val="22"/>
          <w:szCs w:val="22"/>
        </w:rPr>
        <w:t>Software or databases that facilitate the use of the Platform’s reports;</w:t>
      </w:r>
    </w:p>
    <w:p w14:paraId="3D95BF56" w14:textId="77777777" w:rsidR="0024575E" w:rsidRPr="00DE2C02" w:rsidRDefault="0024575E" w:rsidP="0024575E">
      <w:pPr>
        <w:pStyle w:val="Normal-pool"/>
        <w:numPr>
          <w:ilvl w:val="0"/>
          <w:numId w:val="32"/>
        </w:numPr>
        <w:rPr>
          <w:sz w:val="22"/>
          <w:szCs w:val="22"/>
        </w:rPr>
      </w:pPr>
      <w:r w:rsidRPr="00DE2C02">
        <w:rPr>
          <w:sz w:val="22"/>
          <w:szCs w:val="22"/>
        </w:rPr>
        <w:t>Guidance materials (guidance notes and guidance documents) that assist in the preparation of comprehensive and scientifically sound Platform reports and technical papers.</w:t>
      </w:r>
    </w:p>
    <w:p w14:paraId="34DA0B1A" w14:textId="77777777" w:rsidR="0024575E" w:rsidRPr="00DE2C02" w:rsidRDefault="0024575E" w:rsidP="0024575E">
      <w:pPr>
        <w:pStyle w:val="Normal-pool"/>
        <w:rPr>
          <w:sz w:val="22"/>
          <w:szCs w:val="22"/>
        </w:rPr>
      </w:pPr>
    </w:p>
    <w:p w14:paraId="2BE8BB83" w14:textId="77777777" w:rsidR="0024575E" w:rsidRPr="00DE2C02" w:rsidRDefault="0024575E" w:rsidP="0024575E">
      <w:pPr>
        <w:pStyle w:val="Normal-pool"/>
        <w:rPr>
          <w:b/>
          <w:sz w:val="22"/>
          <w:szCs w:val="22"/>
        </w:rPr>
      </w:pPr>
      <w:r w:rsidRPr="00DE2C02">
        <w:rPr>
          <w:b/>
          <w:sz w:val="22"/>
          <w:szCs w:val="22"/>
        </w:rPr>
        <w:t>Sustainability</w:t>
      </w:r>
    </w:p>
    <w:p w14:paraId="1A6E6CFB" w14:textId="77777777" w:rsidR="0024575E" w:rsidRPr="00DE2C02" w:rsidRDefault="0024575E" w:rsidP="0024575E">
      <w:pPr>
        <w:pStyle w:val="Normal-pool"/>
        <w:rPr>
          <w:sz w:val="22"/>
          <w:szCs w:val="22"/>
        </w:rPr>
      </w:pPr>
      <w:r w:rsidRPr="00DE2C02">
        <w:rPr>
          <w:sz w:val="22"/>
          <w:szCs w:val="22"/>
        </w:rPr>
        <w:t>A characteristic or state whereby the needs of the present and local population can be met without compromising the ability of future generations or populations in other locations to meet their needs.</w:t>
      </w:r>
    </w:p>
    <w:p w14:paraId="19578B3D" w14:textId="77777777" w:rsidR="0024575E" w:rsidRPr="00DE2C02" w:rsidRDefault="0024575E" w:rsidP="0024575E">
      <w:pPr>
        <w:pStyle w:val="Normal-pool"/>
        <w:rPr>
          <w:sz w:val="22"/>
          <w:szCs w:val="22"/>
        </w:rPr>
      </w:pPr>
    </w:p>
    <w:p w14:paraId="4E856386" w14:textId="77777777" w:rsidR="0024575E" w:rsidRPr="00DE2C02" w:rsidRDefault="0024575E" w:rsidP="0024575E">
      <w:pPr>
        <w:pStyle w:val="Normal-pool"/>
        <w:rPr>
          <w:b/>
          <w:sz w:val="22"/>
          <w:szCs w:val="22"/>
        </w:rPr>
      </w:pPr>
      <w:r w:rsidRPr="00DE2C02">
        <w:rPr>
          <w:b/>
          <w:sz w:val="22"/>
          <w:szCs w:val="22"/>
        </w:rPr>
        <w:t>Sustainable use (of biodiversity and its components)</w:t>
      </w:r>
    </w:p>
    <w:p w14:paraId="6E47E6A4" w14:textId="77777777" w:rsidR="0024575E" w:rsidRPr="00DE2C02" w:rsidRDefault="0024575E" w:rsidP="0024575E">
      <w:pPr>
        <w:pStyle w:val="Normal-pool"/>
        <w:rPr>
          <w:sz w:val="22"/>
          <w:szCs w:val="22"/>
        </w:rPr>
      </w:pPr>
      <w:r w:rsidRPr="00DE2C02">
        <w:rPr>
          <w:sz w:val="22"/>
          <w:szCs w:val="22"/>
        </w:rPr>
        <w:t>The use of components of biological diversity in a way and at a rate that does not lead to the long-term decline of biological diversity, thereby maintaining its potential to meet the needs and aspirations of present and future generations.</w:t>
      </w:r>
    </w:p>
    <w:p w14:paraId="57680F0C" w14:textId="77777777" w:rsidR="0024575E" w:rsidRPr="00DE2C02" w:rsidRDefault="0024575E" w:rsidP="0024575E">
      <w:pPr>
        <w:pStyle w:val="Normal-pool"/>
        <w:rPr>
          <w:sz w:val="22"/>
          <w:szCs w:val="22"/>
        </w:rPr>
      </w:pPr>
    </w:p>
    <w:p w14:paraId="4E1627BC" w14:textId="77777777" w:rsidR="0024575E" w:rsidRPr="00DE2C02" w:rsidRDefault="0024575E" w:rsidP="0024575E">
      <w:pPr>
        <w:pStyle w:val="Normal-pool"/>
        <w:rPr>
          <w:b/>
          <w:sz w:val="22"/>
          <w:szCs w:val="22"/>
        </w:rPr>
      </w:pPr>
      <w:r w:rsidRPr="00DE2C02">
        <w:rPr>
          <w:b/>
          <w:sz w:val="22"/>
          <w:szCs w:val="22"/>
        </w:rPr>
        <w:t>Susta</w:t>
      </w:r>
      <w:r>
        <w:rPr>
          <w:b/>
          <w:sz w:val="22"/>
          <w:szCs w:val="22"/>
        </w:rPr>
        <w:t>inable Development Goals (SDGs)</w:t>
      </w:r>
    </w:p>
    <w:p w14:paraId="42FF321C" w14:textId="77777777" w:rsidR="0024575E" w:rsidRDefault="0024575E" w:rsidP="0024575E">
      <w:pPr>
        <w:pStyle w:val="Normal-pool"/>
        <w:rPr>
          <w:sz w:val="22"/>
          <w:szCs w:val="22"/>
        </w:rPr>
      </w:pPr>
      <w:r w:rsidRPr="00DE2C02">
        <w:rPr>
          <w:sz w:val="22"/>
          <w:szCs w:val="22"/>
        </w:rPr>
        <w:t>A set of goals adopted by the United Nations in 2015 to end poverty, protect the planet, and ensure prosperity for all, as part of the 2030 Agenda for Sustainable Development.</w:t>
      </w:r>
    </w:p>
    <w:p w14:paraId="492958EF" w14:textId="77777777" w:rsidR="0024575E" w:rsidRPr="00DE2C02" w:rsidRDefault="0024575E" w:rsidP="0024575E">
      <w:pPr>
        <w:pStyle w:val="Normal-pool"/>
        <w:rPr>
          <w:sz w:val="22"/>
          <w:szCs w:val="22"/>
        </w:rPr>
      </w:pPr>
    </w:p>
    <w:p w14:paraId="52459BEB" w14:textId="77777777" w:rsidR="0024575E" w:rsidRPr="00DE2C02" w:rsidRDefault="0024575E" w:rsidP="0024575E">
      <w:pPr>
        <w:pStyle w:val="Normal-pool"/>
        <w:pBdr>
          <w:bottom w:val="single" w:sz="4" w:space="1" w:color="auto"/>
        </w:pBdr>
        <w:rPr>
          <w:b/>
          <w:sz w:val="22"/>
          <w:szCs w:val="22"/>
        </w:rPr>
      </w:pPr>
      <w:r w:rsidRPr="00DE2C02">
        <w:rPr>
          <w:b/>
          <w:sz w:val="22"/>
          <w:szCs w:val="22"/>
        </w:rPr>
        <w:t>T</w:t>
      </w:r>
    </w:p>
    <w:p w14:paraId="537B7111" w14:textId="77777777" w:rsidR="0024575E" w:rsidRPr="00DE2C02" w:rsidRDefault="0024575E" w:rsidP="0024575E">
      <w:pPr>
        <w:pStyle w:val="Normal-pool"/>
        <w:rPr>
          <w:sz w:val="22"/>
          <w:szCs w:val="22"/>
        </w:rPr>
      </w:pPr>
    </w:p>
    <w:p w14:paraId="41AD8C31" w14:textId="77777777" w:rsidR="0024575E" w:rsidRPr="00DE2C02" w:rsidRDefault="0024575E" w:rsidP="0024575E">
      <w:pPr>
        <w:pStyle w:val="Normal-pool"/>
        <w:rPr>
          <w:b/>
          <w:sz w:val="22"/>
          <w:szCs w:val="22"/>
        </w:rPr>
      </w:pPr>
      <w:r w:rsidRPr="00DE2C02">
        <w:rPr>
          <w:b/>
          <w:sz w:val="22"/>
          <w:szCs w:val="22"/>
        </w:rPr>
        <w:t>Tele-coupling</w:t>
      </w:r>
    </w:p>
    <w:p w14:paraId="39E806AC" w14:textId="77777777" w:rsidR="0024575E" w:rsidRPr="00DE2C02" w:rsidRDefault="0024575E" w:rsidP="0024575E">
      <w:pPr>
        <w:pStyle w:val="Normal-pool"/>
        <w:rPr>
          <w:sz w:val="22"/>
          <w:szCs w:val="22"/>
        </w:rPr>
      </w:pPr>
      <w:r w:rsidRPr="00DE2C02">
        <w:rPr>
          <w:sz w:val="22"/>
          <w:szCs w:val="22"/>
        </w:rPr>
        <w:t>Tele-coupling refers to socioeconomic and environmental interactions over distances. It involves distant exchanges of information, energy and matter (e.g., people, goods, products, capital) at multiple spatial, temporal and organizational scales.</w:t>
      </w:r>
    </w:p>
    <w:p w14:paraId="1554CA48" w14:textId="77777777" w:rsidR="0024575E" w:rsidRPr="00DE2C02" w:rsidRDefault="0024575E" w:rsidP="0024575E">
      <w:pPr>
        <w:pStyle w:val="Normal-pool"/>
        <w:rPr>
          <w:sz w:val="22"/>
          <w:szCs w:val="22"/>
        </w:rPr>
      </w:pPr>
    </w:p>
    <w:p w14:paraId="164F9370" w14:textId="77777777" w:rsidR="00DA6D59" w:rsidRDefault="00DA6D59" w:rsidP="0024575E">
      <w:pPr>
        <w:pStyle w:val="Normal-pool"/>
        <w:rPr>
          <w:b/>
          <w:sz w:val="22"/>
          <w:szCs w:val="22"/>
        </w:rPr>
      </w:pPr>
    </w:p>
    <w:p w14:paraId="70E0DECE" w14:textId="77777777" w:rsidR="0024575E" w:rsidRPr="00DE2C02" w:rsidRDefault="0024575E" w:rsidP="0024575E">
      <w:pPr>
        <w:pStyle w:val="Normal-pool"/>
        <w:rPr>
          <w:b/>
          <w:sz w:val="22"/>
          <w:szCs w:val="22"/>
        </w:rPr>
      </w:pPr>
      <w:r w:rsidRPr="00DE2C02">
        <w:rPr>
          <w:b/>
          <w:sz w:val="22"/>
          <w:szCs w:val="22"/>
        </w:rPr>
        <w:t>Threatened species</w:t>
      </w:r>
    </w:p>
    <w:p w14:paraId="7DD07CF1" w14:textId="77777777" w:rsidR="0024575E" w:rsidRPr="00DE2C02" w:rsidRDefault="0024575E" w:rsidP="0024575E">
      <w:pPr>
        <w:pStyle w:val="Normal-pool"/>
        <w:rPr>
          <w:sz w:val="22"/>
          <w:szCs w:val="22"/>
        </w:rPr>
      </w:pPr>
      <w:r w:rsidRPr="00DE2C02">
        <w:rPr>
          <w:sz w:val="22"/>
          <w:szCs w:val="22"/>
        </w:rPr>
        <w:t>In the IUCN Red List terminology, a threatened species is any species listed in the Red List categories Critically Endangered, Endangered, or Vulnerable.</w:t>
      </w:r>
    </w:p>
    <w:p w14:paraId="42563059" w14:textId="77777777" w:rsidR="0024575E" w:rsidRPr="00DE2C02" w:rsidRDefault="0024575E" w:rsidP="0024575E">
      <w:pPr>
        <w:pStyle w:val="Normal-pool"/>
        <w:rPr>
          <w:sz w:val="22"/>
          <w:szCs w:val="22"/>
        </w:rPr>
      </w:pPr>
    </w:p>
    <w:p w14:paraId="7F89977A" w14:textId="77777777" w:rsidR="0024575E" w:rsidRPr="00DE2C02" w:rsidRDefault="0024575E" w:rsidP="0024575E">
      <w:pPr>
        <w:pStyle w:val="Normal-pool"/>
        <w:rPr>
          <w:b/>
          <w:sz w:val="22"/>
          <w:szCs w:val="22"/>
        </w:rPr>
      </w:pPr>
      <w:r w:rsidRPr="00DE2C02">
        <w:rPr>
          <w:b/>
          <w:sz w:val="22"/>
          <w:szCs w:val="22"/>
        </w:rPr>
        <w:t>Tipping point</w:t>
      </w:r>
    </w:p>
    <w:p w14:paraId="5C8518A8" w14:textId="77777777" w:rsidR="0024575E" w:rsidRPr="00DE2C02" w:rsidRDefault="0024575E" w:rsidP="0024575E">
      <w:pPr>
        <w:pStyle w:val="Normal-pool"/>
        <w:rPr>
          <w:sz w:val="22"/>
          <w:szCs w:val="22"/>
        </w:rPr>
      </w:pPr>
      <w:r w:rsidRPr="00DE2C02">
        <w:rPr>
          <w:sz w:val="22"/>
          <w:szCs w:val="22"/>
        </w:rPr>
        <w:t>A set of conditions of an ecological or social system where further perturbation will cause rapid change and prevent the system from returning to its former state.</w:t>
      </w:r>
    </w:p>
    <w:p w14:paraId="790FD040" w14:textId="77777777" w:rsidR="0024575E" w:rsidRPr="00DE2C02" w:rsidRDefault="0024575E" w:rsidP="0024575E">
      <w:pPr>
        <w:pStyle w:val="Normal-pool"/>
        <w:rPr>
          <w:sz w:val="22"/>
          <w:szCs w:val="22"/>
        </w:rPr>
      </w:pPr>
    </w:p>
    <w:p w14:paraId="6EB524AD" w14:textId="77777777" w:rsidR="0024575E" w:rsidRPr="00DE2C02" w:rsidRDefault="0024575E" w:rsidP="0024575E">
      <w:pPr>
        <w:pStyle w:val="Normal-pool"/>
        <w:rPr>
          <w:b/>
          <w:sz w:val="22"/>
          <w:szCs w:val="22"/>
        </w:rPr>
      </w:pPr>
      <w:r w:rsidRPr="00DE2C02">
        <w:rPr>
          <w:b/>
          <w:sz w:val="22"/>
          <w:szCs w:val="22"/>
        </w:rPr>
        <w:t>Trade-off</w:t>
      </w:r>
    </w:p>
    <w:p w14:paraId="364D03C0" w14:textId="77777777" w:rsidR="0024575E" w:rsidRPr="00DE2C02" w:rsidRDefault="0024575E" w:rsidP="0024575E">
      <w:pPr>
        <w:pStyle w:val="Normal-pool"/>
        <w:rPr>
          <w:sz w:val="22"/>
          <w:szCs w:val="22"/>
        </w:rPr>
      </w:pPr>
      <w:r w:rsidRPr="00DE2C02">
        <w:rPr>
          <w:sz w:val="22"/>
          <w:szCs w:val="22"/>
        </w:rPr>
        <w:t>A trade-off is a situation where an improvement in the status of one aspect of the environment or of human well-being is necessarily associated with a decline in or loss of a different aspect. Trade-offs characterise most complex systems, and are important to consider when making decisions that aim to improve environmental and/or socio-economic outcomes. Trade-offs are distinct from synergies (the latter are also referred to as “win-win” scenarios): synergies arise when the enhancement of one desirable outcome leads to enhancement of another.</w:t>
      </w:r>
    </w:p>
    <w:p w14:paraId="43959CD0" w14:textId="77777777" w:rsidR="0024575E" w:rsidRPr="00DE2C02" w:rsidRDefault="0024575E" w:rsidP="0024575E">
      <w:pPr>
        <w:pStyle w:val="Normal-pool"/>
        <w:rPr>
          <w:sz w:val="22"/>
          <w:szCs w:val="22"/>
        </w:rPr>
      </w:pPr>
    </w:p>
    <w:p w14:paraId="5DADBD04" w14:textId="77777777" w:rsidR="0024575E" w:rsidRPr="00DE2C02" w:rsidRDefault="0024575E" w:rsidP="0024575E">
      <w:pPr>
        <w:pStyle w:val="Normal-pool"/>
        <w:rPr>
          <w:b/>
          <w:sz w:val="22"/>
          <w:szCs w:val="22"/>
        </w:rPr>
      </w:pPr>
      <w:r w:rsidRPr="00DE2C02">
        <w:rPr>
          <w:b/>
          <w:sz w:val="22"/>
          <w:szCs w:val="22"/>
        </w:rPr>
        <w:t>Transformation</w:t>
      </w:r>
    </w:p>
    <w:p w14:paraId="6D391A0B" w14:textId="77777777" w:rsidR="0024575E" w:rsidRDefault="0024575E" w:rsidP="0024575E">
      <w:pPr>
        <w:pStyle w:val="Normal-pool"/>
        <w:rPr>
          <w:sz w:val="22"/>
          <w:szCs w:val="22"/>
        </w:rPr>
      </w:pPr>
      <w:r w:rsidRPr="00DE2C02">
        <w:rPr>
          <w:sz w:val="22"/>
          <w:szCs w:val="22"/>
        </w:rPr>
        <w:t>In an organizational context, it refers to profound and radical change that orients an organization in a new direction and takes it to an entirely different level of effectiveness.</w:t>
      </w:r>
    </w:p>
    <w:p w14:paraId="42A8FECC" w14:textId="77777777" w:rsidR="0024575E" w:rsidRPr="00DE2C02" w:rsidRDefault="0024575E" w:rsidP="0024575E">
      <w:pPr>
        <w:pStyle w:val="Normal-pool"/>
        <w:rPr>
          <w:sz w:val="22"/>
          <w:szCs w:val="22"/>
        </w:rPr>
      </w:pPr>
    </w:p>
    <w:p w14:paraId="0944FAFC" w14:textId="77777777" w:rsidR="0024575E" w:rsidRPr="00DE2C02" w:rsidRDefault="0024575E" w:rsidP="0024575E">
      <w:pPr>
        <w:pStyle w:val="Normal-pool"/>
        <w:pBdr>
          <w:bottom w:val="single" w:sz="4" w:space="1" w:color="auto"/>
        </w:pBdr>
        <w:rPr>
          <w:b/>
          <w:sz w:val="22"/>
          <w:szCs w:val="22"/>
        </w:rPr>
      </w:pPr>
      <w:r w:rsidRPr="00DE2C02">
        <w:rPr>
          <w:b/>
          <w:sz w:val="22"/>
          <w:szCs w:val="22"/>
        </w:rPr>
        <w:t>U</w:t>
      </w:r>
    </w:p>
    <w:p w14:paraId="365D57DC" w14:textId="77777777" w:rsidR="0024575E" w:rsidRPr="00DE2C02" w:rsidRDefault="0024575E" w:rsidP="0024575E">
      <w:pPr>
        <w:pStyle w:val="Normal-pool"/>
        <w:rPr>
          <w:sz w:val="22"/>
          <w:szCs w:val="22"/>
        </w:rPr>
      </w:pPr>
    </w:p>
    <w:p w14:paraId="3600633F" w14:textId="77777777" w:rsidR="0024575E" w:rsidRPr="00DE2C02" w:rsidRDefault="0024575E" w:rsidP="0024575E">
      <w:pPr>
        <w:pStyle w:val="Normal-pool"/>
        <w:rPr>
          <w:b/>
          <w:sz w:val="22"/>
          <w:szCs w:val="22"/>
        </w:rPr>
      </w:pPr>
      <w:r w:rsidRPr="00DE2C02">
        <w:rPr>
          <w:b/>
          <w:sz w:val="22"/>
          <w:szCs w:val="22"/>
        </w:rPr>
        <w:t>Uncertainty</w:t>
      </w:r>
    </w:p>
    <w:p w14:paraId="47EC36F0" w14:textId="77777777" w:rsidR="0024575E" w:rsidRPr="00DE2C02" w:rsidRDefault="0024575E" w:rsidP="0024575E">
      <w:pPr>
        <w:pStyle w:val="Normal-pool"/>
        <w:rPr>
          <w:sz w:val="22"/>
          <w:szCs w:val="22"/>
        </w:rPr>
      </w:pPr>
      <w:r w:rsidRPr="00DE2C02">
        <w:rPr>
          <w:sz w:val="22"/>
          <w:szCs w:val="22"/>
        </w:rPr>
        <w:t>Any situation in which the current state of knowledge is such that:</w:t>
      </w:r>
    </w:p>
    <w:p w14:paraId="4C0460DD" w14:textId="77777777" w:rsidR="0024575E" w:rsidRPr="00DE2C02" w:rsidRDefault="0024575E" w:rsidP="0024575E">
      <w:pPr>
        <w:pStyle w:val="Normal-pool"/>
        <w:numPr>
          <w:ilvl w:val="0"/>
          <w:numId w:val="33"/>
        </w:numPr>
        <w:rPr>
          <w:sz w:val="22"/>
          <w:szCs w:val="22"/>
        </w:rPr>
      </w:pPr>
      <w:r w:rsidRPr="00DE2C02">
        <w:rPr>
          <w:sz w:val="22"/>
          <w:szCs w:val="22"/>
        </w:rPr>
        <w:t xml:space="preserve">the order or nature of things is unknown, </w:t>
      </w:r>
    </w:p>
    <w:p w14:paraId="5F04E9A8" w14:textId="77777777" w:rsidR="0024575E" w:rsidRPr="00DE2C02" w:rsidRDefault="0024575E" w:rsidP="0024575E">
      <w:pPr>
        <w:pStyle w:val="Normal-pool"/>
        <w:numPr>
          <w:ilvl w:val="0"/>
          <w:numId w:val="33"/>
        </w:numPr>
        <w:rPr>
          <w:sz w:val="22"/>
          <w:szCs w:val="22"/>
        </w:rPr>
      </w:pPr>
      <w:r w:rsidRPr="00DE2C02">
        <w:rPr>
          <w:sz w:val="22"/>
          <w:szCs w:val="22"/>
        </w:rPr>
        <w:t xml:space="preserve">the consequences, extent, or magnitude of circumstances, conditions, or events is unpredictable, and </w:t>
      </w:r>
    </w:p>
    <w:p w14:paraId="5A84B709" w14:textId="77777777" w:rsidR="0024575E" w:rsidRPr="00DE2C02" w:rsidRDefault="0024575E" w:rsidP="0024575E">
      <w:pPr>
        <w:pStyle w:val="Normal-pool"/>
        <w:numPr>
          <w:ilvl w:val="0"/>
          <w:numId w:val="33"/>
        </w:numPr>
        <w:rPr>
          <w:sz w:val="22"/>
          <w:szCs w:val="22"/>
        </w:rPr>
      </w:pPr>
      <w:r w:rsidRPr="00DE2C02">
        <w:rPr>
          <w:sz w:val="22"/>
          <w:szCs w:val="22"/>
        </w:rPr>
        <w:t>credible probabilities to possible outcomes cannot be assigned.</w:t>
      </w:r>
    </w:p>
    <w:p w14:paraId="306EA86A" w14:textId="77777777" w:rsidR="0024575E" w:rsidRPr="00DE2C02" w:rsidRDefault="0024575E" w:rsidP="0024575E">
      <w:pPr>
        <w:pStyle w:val="Normal-pool"/>
        <w:rPr>
          <w:sz w:val="22"/>
          <w:szCs w:val="22"/>
        </w:rPr>
      </w:pPr>
    </w:p>
    <w:p w14:paraId="203FC3AD" w14:textId="77777777" w:rsidR="0024575E" w:rsidRPr="00DE2C02" w:rsidRDefault="0024575E" w:rsidP="0024575E">
      <w:pPr>
        <w:pStyle w:val="Normal-pool"/>
        <w:rPr>
          <w:sz w:val="22"/>
          <w:szCs w:val="22"/>
        </w:rPr>
      </w:pPr>
      <w:r w:rsidRPr="00DE2C02">
        <w:rPr>
          <w:sz w:val="22"/>
          <w:szCs w:val="22"/>
        </w:rPr>
        <w:t>Uncertainty can result from lack of information or from disagreement about what is known or even knowable. Uncertainty can be represented by quantitative measures (e.g., a range of values calculated by various models) or by qualitative statements (e.g., reflecting the judgment of a team of experts).</w:t>
      </w:r>
    </w:p>
    <w:p w14:paraId="49427D2B" w14:textId="77777777" w:rsidR="0024575E" w:rsidRPr="00DE2C02" w:rsidRDefault="0024575E" w:rsidP="0024575E">
      <w:pPr>
        <w:pStyle w:val="Normal-pool"/>
        <w:rPr>
          <w:sz w:val="22"/>
          <w:szCs w:val="22"/>
        </w:rPr>
      </w:pPr>
    </w:p>
    <w:p w14:paraId="16C8B2BD" w14:textId="77777777" w:rsidR="0024575E" w:rsidRPr="00DE2C02" w:rsidRDefault="0024575E" w:rsidP="0024575E">
      <w:pPr>
        <w:pStyle w:val="Normal-pool"/>
        <w:rPr>
          <w:b/>
          <w:sz w:val="22"/>
          <w:szCs w:val="22"/>
        </w:rPr>
      </w:pPr>
      <w:r w:rsidRPr="00DE2C02">
        <w:rPr>
          <w:b/>
          <w:sz w:val="22"/>
          <w:szCs w:val="22"/>
        </w:rPr>
        <w:t>Units of analysis</w:t>
      </w:r>
    </w:p>
    <w:p w14:paraId="2C7DC784" w14:textId="77777777" w:rsidR="0024575E" w:rsidRPr="00DE2C02" w:rsidRDefault="0024575E" w:rsidP="0024575E">
      <w:pPr>
        <w:pStyle w:val="Normal-pool"/>
        <w:rPr>
          <w:sz w:val="22"/>
          <w:szCs w:val="22"/>
        </w:rPr>
      </w:pPr>
      <w:r w:rsidRPr="00DE2C02">
        <w:rPr>
          <w:sz w:val="22"/>
          <w:szCs w:val="22"/>
        </w:rPr>
        <w:t xml:space="preserve">The IPBES Units of Analysis result from subdividing the Earth’s surface into units solely for the purposes of analysis. The following have been identified: </w:t>
      </w:r>
    </w:p>
    <w:p w14:paraId="705BD809" w14:textId="77777777" w:rsidR="0024575E" w:rsidRPr="00DE2C02" w:rsidRDefault="0024575E" w:rsidP="0024575E">
      <w:pPr>
        <w:pStyle w:val="Normal-pool"/>
        <w:rPr>
          <w:sz w:val="22"/>
          <w:szCs w:val="22"/>
        </w:rPr>
      </w:pPr>
    </w:p>
    <w:p w14:paraId="0E7BBD3F" w14:textId="77777777" w:rsidR="0024575E" w:rsidRPr="00DE2C02" w:rsidRDefault="0024575E" w:rsidP="0024575E">
      <w:pPr>
        <w:pStyle w:val="Normal-pool"/>
        <w:rPr>
          <w:sz w:val="22"/>
          <w:szCs w:val="22"/>
        </w:rPr>
      </w:pPr>
      <w:r w:rsidRPr="00DE2C02">
        <w:rPr>
          <w:sz w:val="22"/>
          <w:szCs w:val="22"/>
        </w:rPr>
        <w:t>IPBES units of analysis (terrestrial):</w:t>
      </w:r>
    </w:p>
    <w:p w14:paraId="3C17C39F" w14:textId="77777777" w:rsidR="0024575E" w:rsidRPr="00DE2C02" w:rsidRDefault="0024575E" w:rsidP="0024575E">
      <w:pPr>
        <w:pStyle w:val="Normal-pool"/>
        <w:numPr>
          <w:ilvl w:val="0"/>
          <w:numId w:val="34"/>
        </w:numPr>
        <w:rPr>
          <w:sz w:val="22"/>
          <w:szCs w:val="22"/>
        </w:rPr>
      </w:pPr>
      <w:r w:rsidRPr="00DE2C02">
        <w:rPr>
          <w:sz w:val="22"/>
          <w:szCs w:val="22"/>
        </w:rPr>
        <w:t>Tropical and subtropical dry and humid forests</w:t>
      </w:r>
    </w:p>
    <w:p w14:paraId="76B88B44" w14:textId="77777777" w:rsidR="0024575E" w:rsidRPr="00DE2C02" w:rsidRDefault="0024575E" w:rsidP="0024575E">
      <w:pPr>
        <w:pStyle w:val="Normal-pool"/>
        <w:numPr>
          <w:ilvl w:val="0"/>
          <w:numId w:val="34"/>
        </w:numPr>
        <w:rPr>
          <w:sz w:val="22"/>
          <w:szCs w:val="22"/>
        </w:rPr>
      </w:pPr>
      <w:r w:rsidRPr="00DE2C02">
        <w:rPr>
          <w:sz w:val="22"/>
          <w:szCs w:val="22"/>
        </w:rPr>
        <w:t>Temperate and boreal forests and woodlands</w:t>
      </w:r>
    </w:p>
    <w:p w14:paraId="20C3AE1C" w14:textId="77777777" w:rsidR="0024575E" w:rsidRPr="00DE2C02" w:rsidRDefault="0024575E" w:rsidP="0024575E">
      <w:pPr>
        <w:pStyle w:val="Normal-pool"/>
        <w:numPr>
          <w:ilvl w:val="0"/>
          <w:numId w:val="34"/>
        </w:numPr>
        <w:rPr>
          <w:sz w:val="22"/>
          <w:szCs w:val="22"/>
        </w:rPr>
      </w:pPr>
      <w:r w:rsidRPr="00DE2C02">
        <w:rPr>
          <w:sz w:val="22"/>
          <w:szCs w:val="22"/>
        </w:rPr>
        <w:t>Mediterranean forests, woodlands and scrub</w:t>
      </w:r>
    </w:p>
    <w:p w14:paraId="0DFB2C23" w14:textId="77777777" w:rsidR="0024575E" w:rsidRPr="00DE2C02" w:rsidRDefault="0024575E" w:rsidP="0024575E">
      <w:pPr>
        <w:pStyle w:val="Normal-pool"/>
        <w:numPr>
          <w:ilvl w:val="0"/>
          <w:numId w:val="34"/>
        </w:numPr>
        <w:rPr>
          <w:sz w:val="22"/>
          <w:szCs w:val="22"/>
        </w:rPr>
      </w:pPr>
      <w:r w:rsidRPr="00DE2C02">
        <w:rPr>
          <w:sz w:val="22"/>
          <w:szCs w:val="22"/>
        </w:rPr>
        <w:t>Tundra and High Mountain habitats</w:t>
      </w:r>
    </w:p>
    <w:p w14:paraId="77D8E486" w14:textId="77777777" w:rsidR="0024575E" w:rsidRPr="00DE2C02" w:rsidRDefault="0024575E" w:rsidP="0024575E">
      <w:pPr>
        <w:pStyle w:val="Normal-pool"/>
        <w:numPr>
          <w:ilvl w:val="0"/>
          <w:numId w:val="34"/>
        </w:numPr>
        <w:rPr>
          <w:sz w:val="22"/>
          <w:szCs w:val="22"/>
        </w:rPr>
      </w:pPr>
      <w:r w:rsidRPr="00DE2C02">
        <w:rPr>
          <w:sz w:val="22"/>
          <w:szCs w:val="22"/>
        </w:rPr>
        <w:t>Tropical and subtropical savannas and grasslands</w:t>
      </w:r>
    </w:p>
    <w:p w14:paraId="56C3D028" w14:textId="77777777" w:rsidR="0024575E" w:rsidRPr="00DE2C02" w:rsidRDefault="0024575E" w:rsidP="0024575E">
      <w:pPr>
        <w:pStyle w:val="Normal-pool"/>
        <w:numPr>
          <w:ilvl w:val="0"/>
          <w:numId w:val="34"/>
        </w:numPr>
        <w:rPr>
          <w:sz w:val="22"/>
          <w:szCs w:val="22"/>
        </w:rPr>
      </w:pPr>
      <w:r w:rsidRPr="00DE2C02">
        <w:rPr>
          <w:sz w:val="22"/>
          <w:szCs w:val="22"/>
        </w:rPr>
        <w:t>Temperate Grasslands</w:t>
      </w:r>
    </w:p>
    <w:p w14:paraId="31156287" w14:textId="77777777" w:rsidR="0024575E" w:rsidRPr="00DE2C02" w:rsidRDefault="0024575E" w:rsidP="0024575E">
      <w:pPr>
        <w:pStyle w:val="Normal-pool"/>
        <w:numPr>
          <w:ilvl w:val="0"/>
          <w:numId w:val="34"/>
        </w:numPr>
        <w:rPr>
          <w:sz w:val="22"/>
          <w:szCs w:val="22"/>
        </w:rPr>
      </w:pPr>
      <w:r w:rsidRPr="00DE2C02">
        <w:rPr>
          <w:sz w:val="22"/>
          <w:szCs w:val="22"/>
        </w:rPr>
        <w:t>Deserts and xeric shrublands</w:t>
      </w:r>
    </w:p>
    <w:p w14:paraId="1C71A046" w14:textId="77777777" w:rsidR="0024575E" w:rsidRPr="00DE2C02" w:rsidRDefault="0024575E" w:rsidP="0024575E">
      <w:pPr>
        <w:pStyle w:val="Normal-pool"/>
        <w:numPr>
          <w:ilvl w:val="0"/>
          <w:numId w:val="34"/>
        </w:numPr>
        <w:rPr>
          <w:sz w:val="22"/>
          <w:szCs w:val="22"/>
        </w:rPr>
      </w:pPr>
      <w:r w:rsidRPr="00DE2C02">
        <w:rPr>
          <w:sz w:val="22"/>
          <w:szCs w:val="22"/>
        </w:rPr>
        <w:t>Wetlands–peatlands, mires, bogs</w:t>
      </w:r>
    </w:p>
    <w:p w14:paraId="4E1E5EFE" w14:textId="77777777" w:rsidR="0024575E" w:rsidRPr="00DE2C02" w:rsidRDefault="0024575E" w:rsidP="0024575E">
      <w:pPr>
        <w:pStyle w:val="Normal-pool"/>
        <w:numPr>
          <w:ilvl w:val="0"/>
          <w:numId w:val="34"/>
        </w:numPr>
        <w:rPr>
          <w:sz w:val="22"/>
          <w:szCs w:val="22"/>
        </w:rPr>
      </w:pPr>
      <w:r w:rsidRPr="00DE2C02">
        <w:rPr>
          <w:sz w:val="22"/>
          <w:szCs w:val="22"/>
        </w:rPr>
        <w:t>Urban/Semi-urban</w:t>
      </w:r>
    </w:p>
    <w:p w14:paraId="7E2F0DA3" w14:textId="77777777" w:rsidR="0024575E" w:rsidRPr="00DE2C02" w:rsidRDefault="0024575E" w:rsidP="0024575E">
      <w:pPr>
        <w:pStyle w:val="Normal-pool"/>
        <w:numPr>
          <w:ilvl w:val="0"/>
          <w:numId w:val="34"/>
        </w:numPr>
        <w:rPr>
          <w:sz w:val="22"/>
          <w:szCs w:val="22"/>
        </w:rPr>
      </w:pPr>
      <w:r w:rsidRPr="00DE2C02">
        <w:rPr>
          <w:sz w:val="22"/>
          <w:szCs w:val="22"/>
        </w:rPr>
        <w:t>Cultivated areas (incl. cropping, intensive livestock farming etc.)</w:t>
      </w:r>
    </w:p>
    <w:p w14:paraId="6E2B1E79" w14:textId="77777777" w:rsidR="0024575E" w:rsidRPr="00DE2C02" w:rsidRDefault="0024575E" w:rsidP="0024575E">
      <w:pPr>
        <w:pStyle w:val="Normal-pool"/>
        <w:rPr>
          <w:sz w:val="22"/>
          <w:szCs w:val="22"/>
        </w:rPr>
      </w:pPr>
    </w:p>
    <w:p w14:paraId="073CF655" w14:textId="77777777" w:rsidR="0024575E" w:rsidRPr="00DE2C02" w:rsidRDefault="0024575E" w:rsidP="0024575E">
      <w:pPr>
        <w:pStyle w:val="Normal-pool"/>
        <w:rPr>
          <w:sz w:val="22"/>
          <w:szCs w:val="22"/>
        </w:rPr>
      </w:pPr>
      <w:r w:rsidRPr="00DE2C02">
        <w:rPr>
          <w:sz w:val="22"/>
          <w:szCs w:val="22"/>
        </w:rPr>
        <w:t>IPBES units of analysis (aquatic, including both marine and freshwater units):</w:t>
      </w:r>
    </w:p>
    <w:p w14:paraId="48C2BD6C" w14:textId="77777777" w:rsidR="0024575E" w:rsidRPr="00DE2C02" w:rsidRDefault="0024575E" w:rsidP="0024575E">
      <w:pPr>
        <w:pStyle w:val="Normal-pool"/>
        <w:numPr>
          <w:ilvl w:val="0"/>
          <w:numId w:val="35"/>
        </w:numPr>
        <w:rPr>
          <w:sz w:val="22"/>
          <w:szCs w:val="22"/>
        </w:rPr>
      </w:pPr>
      <w:r w:rsidRPr="00DE2C02">
        <w:rPr>
          <w:sz w:val="22"/>
          <w:szCs w:val="22"/>
        </w:rPr>
        <w:t>Cryosphere</w:t>
      </w:r>
    </w:p>
    <w:p w14:paraId="71E9A7F5" w14:textId="77777777" w:rsidR="0024575E" w:rsidRPr="00DE2C02" w:rsidRDefault="0024575E" w:rsidP="0024575E">
      <w:pPr>
        <w:pStyle w:val="Normal-pool"/>
        <w:numPr>
          <w:ilvl w:val="0"/>
          <w:numId w:val="35"/>
        </w:numPr>
        <w:rPr>
          <w:sz w:val="22"/>
          <w:szCs w:val="22"/>
        </w:rPr>
      </w:pPr>
      <w:r w:rsidRPr="00DE2C02">
        <w:rPr>
          <w:sz w:val="22"/>
          <w:szCs w:val="22"/>
        </w:rPr>
        <w:t xml:space="preserve">Aquaculture areas </w:t>
      </w:r>
    </w:p>
    <w:p w14:paraId="2BDD4609" w14:textId="77777777" w:rsidR="0024575E" w:rsidRPr="00DE2C02" w:rsidRDefault="0024575E" w:rsidP="0024575E">
      <w:pPr>
        <w:pStyle w:val="Normal-pool"/>
        <w:numPr>
          <w:ilvl w:val="0"/>
          <w:numId w:val="35"/>
        </w:numPr>
        <w:rPr>
          <w:sz w:val="22"/>
          <w:szCs w:val="22"/>
        </w:rPr>
      </w:pPr>
      <w:r w:rsidRPr="00DE2C02">
        <w:rPr>
          <w:sz w:val="22"/>
          <w:szCs w:val="22"/>
        </w:rPr>
        <w:t xml:space="preserve">Inland surface waters and water bodies/freshwater </w:t>
      </w:r>
    </w:p>
    <w:p w14:paraId="62D48DA0" w14:textId="77777777" w:rsidR="0024575E" w:rsidRPr="00DE2C02" w:rsidRDefault="0024575E" w:rsidP="0024575E">
      <w:pPr>
        <w:pStyle w:val="Normal-pool"/>
        <w:numPr>
          <w:ilvl w:val="0"/>
          <w:numId w:val="35"/>
        </w:numPr>
        <w:rPr>
          <w:sz w:val="22"/>
          <w:szCs w:val="22"/>
        </w:rPr>
      </w:pPr>
      <w:r w:rsidRPr="00DE2C02">
        <w:rPr>
          <w:sz w:val="22"/>
          <w:szCs w:val="22"/>
        </w:rPr>
        <w:t xml:space="preserve">Shelf ecosystems (neritic and intertidal/littoral zone) </w:t>
      </w:r>
    </w:p>
    <w:p w14:paraId="0F4A2279" w14:textId="77777777" w:rsidR="0024575E" w:rsidRPr="00DE2C02" w:rsidRDefault="0024575E" w:rsidP="0024575E">
      <w:pPr>
        <w:pStyle w:val="Normal-pool"/>
        <w:numPr>
          <w:ilvl w:val="0"/>
          <w:numId w:val="35"/>
        </w:numPr>
        <w:rPr>
          <w:sz w:val="22"/>
          <w:szCs w:val="22"/>
        </w:rPr>
      </w:pPr>
      <w:r w:rsidRPr="00DE2C02">
        <w:rPr>
          <w:sz w:val="22"/>
          <w:szCs w:val="22"/>
        </w:rPr>
        <w:t>Open ocean pelagic systems (euphotic zone)</w:t>
      </w:r>
    </w:p>
    <w:p w14:paraId="2A192C4A" w14:textId="77777777" w:rsidR="0024575E" w:rsidRPr="00DE2C02" w:rsidRDefault="0024575E" w:rsidP="0024575E">
      <w:pPr>
        <w:pStyle w:val="Normal-pool"/>
        <w:numPr>
          <w:ilvl w:val="0"/>
          <w:numId w:val="35"/>
        </w:numPr>
        <w:rPr>
          <w:sz w:val="22"/>
          <w:szCs w:val="22"/>
        </w:rPr>
      </w:pPr>
      <w:r w:rsidRPr="00DE2C02">
        <w:rPr>
          <w:sz w:val="22"/>
          <w:szCs w:val="22"/>
        </w:rPr>
        <w:t>Deep-Sea</w:t>
      </w:r>
    </w:p>
    <w:p w14:paraId="22C4CC6E" w14:textId="77777777" w:rsidR="0024575E" w:rsidRPr="00DE2C02" w:rsidRDefault="0024575E" w:rsidP="0024575E">
      <w:pPr>
        <w:pStyle w:val="Normal-pool"/>
        <w:numPr>
          <w:ilvl w:val="0"/>
          <w:numId w:val="35"/>
        </w:numPr>
        <w:rPr>
          <w:sz w:val="22"/>
          <w:szCs w:val="22"/>
        </w:rPr>
      </w:pPr>
      <w:r w:rsidRPr="00DE2C02">
        <w:rPr>
          <w:sz w:val="22"/>
          <w:szCs w:val="22"/>
        </w:rPr>
        <w:t>Coastal areas intensively used for multiple purposes by humans</w:t>
      </w:r>
    </w:p>
    <w:p w14:paraId="72E35E9E" w14:textId="77777777" w:rsidR="0024575E" w:rsidRPr="00DE2C02" w:rsidRDefault="0024575E" w:rsidP="0024575E">
      <w:pPr>
        <w:pStyle w:val="Normal-pool"/>
        <w:rPr>
          <w:sz w:val="22"/>
          <w:szCs w:val="22"/>
        </w:rPr>
      </w:pPr>
    </w:p>
    <w:p w14:paraId="17B1B841" w14:textId="77777777" w:rsidR="0024575E" w:rsidRDefault="0024575E" w:rsidP="0024575E">
      <w:pPr>
        <w:pStyle w:val="Normal-pool"/>
        <w:rPr>
          <w:sz w:val="22"/>
          <w:szCs w:val="22"/>
        </w:rPr>
      </w:pPr>
      <w:r w:rsidRPr="00DE2C02">
        <w:rPr>
          <w:sz w:val="22"/>
          <w:szCs w:val="22"/>
        </w:rPr>
        <w:t>These IPBES terrestrial and aquatic units of analysis serve as a framework for comparison within and across assessments and represent a pragmatic solution, which may evolve as the work of IPBES develops. The IPBES terrestrial and aquatic units of analysis serve the purposes of IPBES, and are not intended to be prescriptive for other purposes.</w:t>
      </w:r>
    </w:p>
    <w:p w14:paraId="6133286F" w14:textId="77777777" w:rsidR="0024575E" w:rsidRPr="00DE2C02" w:rsidRDefault="0024575E" w:rsidP="0024575E">
      <w:pPr>
        <w:pStyle w:val="Normal-pool"/>
        <w:rPr>
          <w:sz w:val="22"/>
          <w:szCs w:val="22"/>
        </w:rPr>
      </w:pPr>
    </w:p>
    <w:p w14:paraId="02A32762" w14:textId="77777777" w:rsidR="0024575E" w:rsidRPr="00DE2C02" w:rsidRDefault="0024575E" w:rsidP="0024575E">
      <w:pPr>
        <w:pStyle w:val="Normal-pool"/>
        <w:pBdr>
          <w:bottom w:val="single" w:sz="4" w:space="1" w:color="auto"/>
        </w:pBdr>
        <w:rPr>
          <w:b/>
          <w:sz w:val="22"/>
          <w:szCs w:val="22"/>
        </w:rPr>
      </w:pPr>
      <w:r w:rsidRPr="00DE2C02">
        <w:rPr>
          <w:b/>
          <w:sz w:val="22"/>
          <w:szCs w:val="22"/>
        </w:rPr>
        <w:t>V</w:t>
      </w:r>
    </w:p>
    <w:p w14:paraId="482A9425" w14:textId="77777777" w:rsidR="0024575E" w:rsidRPr="00DE2C02" w:rsidRDefault="0024575E" w:rsidP="0024575E">
      <w:pPr>
        <w:pStyle w:val="Normal-pool"/>
        <w:rPr>
          <w:sz w:val="22"/>
          <w:szCs w:val="22"/>
        </w:rPr>
      </w:pPr>
    </w:p>
    <w:p w14:paraId="24823C77" w14:textId="77777777" w:rsidR="0024575E" w:rsidRPr="00DE2C02" w:rsidRDefault="0024575E" w:rsidP="0024575E">
      <w:pPr>
        <w:pStyle w:val="Normal-pool"/>
        <w:rPr>
          <w:b/>
          <w:sz w:val="22"/>
          <w:szCs w:val="22"/>
        </w:rPr>
      </w:pPr>
      <w:r w:rsidRPr="00DE2C02">
        <w:rPr>
          <w:b/>
          <w:sz w:val="22"/>
          <w:szCs w:val="22"/>
        </w:rPr>
        <w:t>Values</w:t>
      </w:r>
    </w:p>
    <w:p w14:paraId="335676BA" w14:textId="77777777" w:rsidR="0024575E" w:rsidRPr="00DE2C02" w:rsidRDefault="0024575E" w:rsidP="0024575E">
      <w:pPr>
        <w:pStyle w:val="Normal-pool"/>
        <w:rPr>
          <w:sz w:val="22"/>
          <w:szCs w:val="22"/>
        </w:rPr>
      </w:pPr>
      <w:r w:rsidRPr="00DE2C02">
        <w:rPr>
          <w:sz w:val="22"/>
          <w:szCs w:val="22"/>
        </w:rPr>
        <w:t xml:space="preserve">Value systems: Set of values according to which people, societies and organizations regulate their behaviour. Value systems can be identified in both individuals and social groups (Pascual </w:t>
      </w:r>
      <w:r w:rsidRPr="00DE2C02">
        <w:rPr>
          <w:i/>
          <w:sz w:val="22"/>
          <w:szCs w:val="22"/>
        </w:rPr>
        <w:t>et al</w:t>
      </w:r>
      <w:r w:rsidRPr="00DE2C02">
        <w:rPr>
          <w:sz w:val="22"/>
          <w:szCs w:val="22"/>
        </w:rPr>
        <w:t>., 2017).</w:t>
      </w:r>
    </w:p>
    <w:p w14:paraId="17157AB7" w14:textId="77777777" w:rsidR="0024575E" w:rsidRPr="00DE2C02" w:rsidRDefault="0024575E" w:rsidP="0024575E">
      <w:pPr>
        <w:pStyle w:val="Normal-pool"/>
        <w:rPr>
          <w:sz w:val="22"/>
          <w:szCs w:val="22"/>
        </w:rPr>
      </w:pPr>
    </w:p>
    <w:p w14:paraId="2E117A59" w14:textId="77777777" w:rsidR="0024575E" w:rsidRPr="00DE2C02" w:rsidRDefault="0024575E" w:rsidP="0024575E">
      <w:pPr>
        <w:pStyle w:val="Normal-pool"/>
        <w:rPr>
          <w:sz w:val="22"/>
          <w:szCs w:val="22"/>
        </w:rPr>
      </w:pPr>
      <w:r w:rsidRPr="00DE2C02">
        <w:rPr>
          <w:sz w:val="22"/>
          <w:szCs w:val="22"/>
        </w:rPr>
        <w:t>Value (as principle): A value can be a principle or core belief underpinning rules and moral judgments. Values as principles vary from one culture to another and also between individuals and groups (IPBES/4/INF/13).</w:t>
      </w:r>
    </w:p>
    <w:p w14:paraId="6F8F8730" w14:textId="77777777" w:rsidR="0024575E" w:rsidRPr="00DE2C02" w:rsidRDefault="0024575E" w:rsidP="0024575E">
      <w:pPr>
        <w:pStyle w:val="Normal-pool"/>
        <w:rPr>
          <w:sz w:val="22"/>
          <w:szCs w:val="22"/>
        </w:rPr>
      </w:pPr>
    </w:p>
    <w:p w14:paraId="70423AFD" w14:textId="77777777" w:rsidR="0024575E" w:rsidRPr="00DE2C02" w:rsidRDefault="0024575E" w:rsidP="0024575E">
      <w:pPr>
        <w:pStyle w:val="Normal-pool"/>
        <w:rPr>
          <w:sz w:val="22"/>
          <w:szCs w:val="22"/>
        </w:rPr>
      </w:pPr>
      <w:r w:rsidRPr="00DE2C02">
        <w:rPr>
          <w:sz w:val="22"/>
          <w:szCs w:val="22"/>
        </w:rPr>
        <w:t xml:space="preserve">Value (as preference): A value can be the preference someone has for something or for a particular state of the world. Preference involves the act of making comparisons, either explicitly or implicitly. Preference refers to the importance attributed to one entity relative to another one (IPBES/4/INF/13). </w:t>
      </w:r>
    </w:p>
    <w:p w14:paraId="37DDF42C" w14:textId="77777777" w:rsidR="0024575E" w:rsidRPr="00DE2C02" w:rsidRDefault="0024575E" w:rsidP="0024575E">
      <w:pPr>
        <w:pStyle w:val="Normal-pool"/>
        <w:rPr>
          <w:sz w:val="22"/>
          <w:szCs w:val="22"/>
        </w:rPr>
      </w:pPr>
    </w:p>
    <w:p w14:paraId="58ED03FD" w14:textId="77777777" w:rsidR="0024575E" w:rsidRPr="00DE2C02" w:rsidRDefault="0024575E" w:rsidP="0024575E">
      <w:pPr>
        <w:pStyle w:val="Normal-pool"/>
        <w:rPr>
          <w:sz w:val="22"/>
          <w:szCs w:val="22"/>
        </w:rPr>
      </w:pPr>
      <w:r w:rsidRPr="00DE2C02">
        <w:rPr>
          <w:sz w:val="22"/>
          <w:szCs w:val="22"/>
        </w:rPr>
        <w:t>Value (as importance): A value can be the importance of something for itself or for others, now or in the future, close by or at a distance. This importance can be considered in three broad classes:</w:t>
      </w:r>
    </w:p>
    <w:p w14:paraId="17BEF01B" w14:textId="77777777" w:rsidR="0024575E" w:rsidRPr="00DE2C02" w:rsidRDefault="0024575E" w:rsidP="0024575E">
      <w:pPr>
        <w:pStyle w:val="Normal-pool"/>
        <w:numPr>
          <w:ilvl w:val="0"/>
          <w:numId w:val="36"/>
        </w:numPr>
        <w:rPr>
          <w:sz w:val="22"/>
          <w:szCs w:val="22"/>
        </w:rPr>
      </w:pPr>
      <w:r w:rsidRPr="00DE2C02">
        <w:rPr>
          <w:sz w:val="22"/>
          <w:szCs w:val="22"/>
        </w:rPr>
        <w:t>The importance that something has subjectively, and may be based on experience.</w:t>
      </w:r>
    </w:p>
    <w:p w14:paraId="130E0491" w14:textId="77777777" w:rsidR="0024575E" w:rsidRPr="00DE2C02" w:rsidRDefault="0024575E" w:rsidP="0024575E">
      <w:pPr>
        <w:pStyle w:val="Normal-pool"/>
        <w:numPr>
          <w:ilvl w:val="0"/>
          <w:numId w:val="36"/>
        </w:numPr>
        <w:rPr>
          <w:sz w:val="22"/>
          <w:szCs w:val="22"/>
        </w:rPr>
      </w:pPr>
      <w:r w:rsidRPr="00DE2C02">
        <w:rPr>
          <w:sz w:val="22"/>
          <w:szCs w:val="22"/>
        </w:rPr>
        <w:t>The importance that something has in meeting objective needs.</w:t>
      </w:r>
    </w:p>
    <w:p w14:paraId="1BD1F077" w14:textId="77777777" w:rsidR="0024575E" w:rsidRPr="00DE2C02" w:rsidRDefault="0024575E" w:rsidP="0024575E">
      <w:pPr>
        <w:pStyle w:val="Normal-pool"/>
        <w:numPr>
          <w:ilvl w:val="0"/>
          <w:numId w:val="36"/>
        </w:numPr>
        <w:rPr>
          <w:sz w:val="22"/>
          <w:szCs w:val="22"/>
        </w:rPr>
      </w:pPr>
      <w:r w:rsidRPr="00DE2C02">
        <w:rPr>
          <w:sz w:val="22"/>
          <w:szCs w:val="22"/>
        </w:rPr>
        <w:t>The intrinsic value of something (IPBES/4/INF/13).</w:t>
      </w:r>
    </w:p>
    <w:p w14:paraId="6002CB23" w14:textId="77777777" w:rsidR="0024575E" w:rsidRPr="00DE2C02" w:rsidRDefault="0024575E" w:rsidP="0024575E">
      <w:pPr>
        <w:pStyle w:val="Normal-pool"/>
        <w:rPr>
          <w:sz w:val="22"/>
          <w:szCs w:val="22"/>
        </w:rPr>
      </w:pPr>
    </w:p>
    <w:p w14:paraId="6637E99C" w14:textId="77777777" w:rsidR="0024575E" w:rsidRPr="00DE2C02" w:rsidRDefault="0024575E" w:rsidP="0024575E">
      <w:pPr>
        <w:pStyle w:val="Normal-pool"/>
        <w:rPr>
          <w:sz w:val="22"/>
          <w:szCs w:val="22"/>
        </w:rPr>
      </w:pPr>
      <w:r w:rsidRPr="00DE2C02">
        <w:rPr>
          <w:sz w:val="22"/>
          <w:szCs w:val="22"/>
        </w:rPr>
        <w:t>Value (as measure): A value can be a measure. In the biophysical sciences, any quantified measure can be seen as a value (IPBES/4/INF/13).</w:t>
      </w:r>
    </w:p>
    <w:p w14:paraId="0A09F518" w14:textId="77777777" w:rsidR="0024575E" w:rsidRPr="00DE2C02" w:rsidRDefault="0024575E" w:rsidP="0024575E">
      <w:pPr>
        <w:pStyle w:val="Normal-pool"/>
        <w:rPr>
          <w:sz w:val="22"/>
          <w:szCs w:val="22"/>
        </w:rPr>
      </w:pPr>
    </w:p>
    <w:p w14:paraId="3B0C5104" w14:textId="77777777" w:rsidR="0024575E" w:rsidRPr="00DE2C02" w:rsidRDefault="0024575E" w:rsidP="0024575E">
      <w:pPr>
        <w:pStyle w:val="Normal-pool"/>
        <w:rPr>
          <w:sz w:val="22"/>
          <w:szCs w:val="22"/>
        </w:rPr>
      </w:pPr>
      <w:r w:rsidRPr="00DE2C02">
        <w:rPr>
          <w:sz w:val="22"/>
          <w:szCs w:val="22"/>
        </w:rPr>
        <w:t>Non-anthropocentric value: A non-anthropocentric value is a value centred on something other than human beings. These values can be non-instrumental or instrumental to non-human ends (IPBES/4/INF/13).</w:t>
      </w:r>
    </w:p>
    <w:p w14:paraId="628CE23D" w14:textId="77777777" w:rsidR="0024575E" w:rsidRPr="00DE2C02" w:rsidRDefault="0024575E" w:rsidP="0024575E">
      <w:pPr>
        <w:pStyle w:val="Normal-pool"/>
        <w:rPr>
          <w:sz w:val="22"/>
          <w:szCs w:val="22"/>
        </w:rPr>
      </w:pPr>
    </w:p>
    <w:p w14:paraId="51D02B8E" w14:textId="77777777" w:rsidR="0024575E" w:rsidRPr="00DE2C02" w:rsidRDefault="0024575E" w:rsidP="0024575E">
      <w:pPr>
        <w:pStyle w:val="Normal-pool"/>
        <w:rPr>
          <w:sz w:val="22"/>
          <w:szCs w:val="22"/>
        </w:rPr>
      </w:pPr>
      <w:r w:rsidRPr="00DE2C02">
        <w:rPr>
          <w:sz w:val="22"/>
          <w:szCs w:val="22"/>
        </w:rPr>
        <w:t xml:space="preserve">Intrinsic value: This concept refers to inherent value, that is the value something has independent of any human experience and evaluation. Such a value is viewed as an inherent property of the entity and not ascribed or generated by external valuing agents (Pascual </w:t>
      </w:r>
      <w:r w:rsidRPr="00DE2C02">
        <w:rPr>
          <w:i/>
          <w:sz w:val="22"/>
          <w:szCs w:val="22"/>
        </w:rPr>
        <w:t>et al</w:t>
      </w:r>
      <w:r w:rsidRPr="00DE2C02">
        <w:rPr>
          <w:sz w:val="22"/>
          <w:szCs w:val="22"/>
        </w:rPr>
        <w:t>., 2017).</w:t>
      </w:r>
    </w:p>
    <w:p w14:paraId="3A23C7EB" w14:textId="77777777" w:rsidR="0024575E" w:rsidRPr="00DE2C02" w:rsidRDefault="0024575E" w:rsidP="0024575E">
      <w:pPr>
        <w:pStyle w:val="Normal-pool"/>
        <w:rPr>
          <w:sz w:val="22"/>
          <w:szCs w:val="22"/>
        </w:rPr>
      </w:pPr>
    </w:p>
    <w:p w14:paraId="09B95A57" w14:textId="77777777" w:rsidR="0024575E" w:rsidRPr="00DE2C02" w:rsidRDefault="0024575E" w:rsidP="0024575E">
      <w:pPr>
        <w:pStyle w:val="Normal-pool"/>
        <w:rPr>
          <w:sz w:val="22"/>
          <w:szCs w:val="22"/>
        </w:rPr>
      </w:pPr>
      <w:r w:rsidRPr="00DE2C02">
        <w:rPr>
          <w:sz w:val="22"/>
          <w:szCs w:val="22"/>
        </w:rPr>
        <w:t xml:space="preserve">Anthropocentric value: The value that something has for human beings and human purposes (Pascual </w:t>
      </w:r>
      <w:r w:rsidRPr="00DE2C02">
        <w:rPr>
          <w:i/>
          <w:sz w:val="22"/>
          <w:szCs w:val="22"/>
        </w:rPr>
        <w:t>et al</w:t>
      </w:r>
      <w:r w:rsidRPr="00DE2C02">
        <w:rPr>
          <w:sz w:val="22"/>
          <w:szCs w:val="22"/>
        </w:rPr>
        <w:t>., 2017).</w:t>
      </w:r>
    </w:p>
    <w:p w14:paraId="26CB7886" w14:textId="77777777" w:rsidR="0024575E" w:rsidRPr="00DE2C02" w:rsidRDefault="0024575E" w:rsidP="0024575E">
      <w:pPr>
        <w:pStyle w:val="Normal-pool"/>
        <w:rPr>
          <w:sz w:val="22"/>
          <w:szCs w:val="22"/>
        </w:rPr>
      </w:pPr>
    </w:p>
    <w:p w14:paraId="66DB7A01" w14:textId="77777777" w:rsidR="0024575E" w:rsidRPr="00DE2C02" w:rsidRDefault="0024575E" w:rsidP="0024575E">
      <w:pPr>
        <w:pStyle w:val="Normal-pool"/>
        <w:rPr>
          <w:sz w:val="22"/>
          <w:szCs w:val="22"/>
        </w:rPr>
      </w:pPr>
      <w:r w:rsidRPr="00DE2C02">
        <w:rPr>
          <w:sz w:val="22"/>
          <w:szCs w:val="22"/>
        </w:rPr>
        <w:t xml:space="preserve">Instrumental value: The value attributed to something as a means to achieving a particular end (Pascual </w:t>
      </w:r>
      <w:r w:rsidRPr="00DE2C02">
        <w:rPr>
          <w:i/>
          <w:sz w:val="22"/>
          <w:szCs w:val="22"/>
        </w:rPr>
        <w:t>et al</w:t>
      </w:r>
      <w:r w:rsidRPr="00DE2C02">
        <w:rPr>
          <w:sz w:val="22"/>
          <w:szCs w:val="22"/>
        </w:rPr>
        <w:t>., 2017).</w:t>
      </w:r>
    </w:p>
    <w:p w14:paraId="0CE46397" w14:textId="77777777" w:rsidR="0024575E" w:rsidRPr="00DE2C02" w:rsidRDefault="0024575E" w:rsidP="0024575E">
      <w:pPr>
        <w:pStyle w:val="Normal-pool"/>
        <w:rPr>
          <w:sz w:val="22"/>
          <w:szCs w:val="22"/>
        </w:rPr>
      </w:pPr>
    </w:p>
    <w:p w14:paraId="30CD488F" w14:textId="77777777" w:rsidR="0024575E" w:rsidRPr="00DE2C02" w:rsidRDefault="0024575E" w:rsidP="0024575E">
      <w:pPr>
        <w:pStyle w:val="Normal-pool"/>
        <w:rPr>
          <w:sz w:val="22"/>
          <w:szCs w:val="22"/>
        </w:rPr>
      </w:pPr>
      <w:r w:rsidRPr="00DE2C02">
        <w:rPr>
          <w:sz w:val="22"/>
          <w:szCs w:val="22"/>
        </w:rPr>
        <w:t>Non-instrumental value: The value attributed to something as an end in itself, regardless of its utility for other ends.</w:t>
      </w:r>
    </w:p>
    <w:p w14:paraId="4E657256" w14:textId="77777777" w:rsidR="0024575E" w:rsidRPr="00DE2C02" w:rsidRDefault="0024575E" w:rsidP="0024575E">
      <w:pPr>
        <w:pStyle w:val="Normal-pool"/>
        <w:rPr>
          <w:sz w:val="22"/>
          <w:szCs w:val="22"/>
        </w:rPr>
      </w:pPr>
    </w:p>
    <w:p w14:paraId="24E025A9" w14:textId="77777777" w:rsidR="0024575E" w:rsidRPr="00DE2C02" w:rsidRDefault="0024575E" w:rsidP="0024575E">
      <w:pPr>
        <w:pStyle w:val="Normal-pool"/>
        <w:rPr>
          <w:sz w:val="22"/>
          <w:szCs w:val="22"/>
        </w:rPr>
      </w:pPr>
      <w:r w:rsidRPr="00DE2C02">
        <w:rPr>
          <w:sz w:val="22"/>
          <w:szCs w:val="22"/>
        </w:rPr>
        <w:t>Relational value: The values that contribute to desirable relationships, such as those among people or societies, and between people and nature, as in “Living in harmony with nature” (IPBES/4/INF/13).</w:t>
      </w:r>
    </w:p>
    <w:p w14:paraId="461184C2" w14:textId="77777777" w:rsidR="0024575E" w:rsidRPr="00DE2C02" w:rsidRDefault="0024575E" w:rsidP="0024575E">
      <w:pPr>
        <w:pStyle w:val="Normal-pool"/>
        <w:rPr>
          <w:sz w:val="22"/>
          <w:szCs w:val="22"/>
        </w:rPr>
      </w:pPr>
    </w:p>
    <w:p w14:paraId="291EE171" w14:textId="77777777" w:rsidR="0024575E" w:rsidRDefault="0024575E" w:rsidP="0024575E">
      <w:pPr>
        <w:pStyle w:val="Normal-pool"/>
        <w:rPr>
          <w:sz w:val="22"/>
          <w:szCs w:val="22"/>
        </w:rPr>
      </w:pPr>
      <w:r w:rsidRPr="00DE2C02">
        <w:rPr>
          <w:sz w:val="22"/>
          <w:szCs w:val="22"/>
        </w:rPr>
        <w:t xml:space="preserve">Integrated valuation: The process of collecting, synthesizing, and communicating knowledge about the ways in which people ascribe importance and meaning of NCP to humans, to facilitate deliberation and agreement for decision making and planning (Pascual </w:t>
      </w:r>
      <w:r w:rsidRPr="00DE2C02">
        <w:rPr>
          <w:i/>
          <w:sz w:val="22"/>
          <w:szCs w:val="22"/>
        </w:rPr>
        <w:t>et al</w:t>
      </w:r>
      <w:r w:rsidRPr="00DE2C02">
        <w:rPr>
          <w:sz w:val="22"/>
          <w:szCs w:val="22"/>
        </w:rPr>
        <w:t>., 2017).</w:t>
      </w:r>
    </w:p>
    <w:p w14:paraId="20BB7329" w14:textId="77777777" w:rsidR="0024575E" w:rsidRPr="00DE2C02" w:rsidRDefault="0024575E" w:rsidP="0024575E">
      <w:pPr>
        <w:pStyle w:val="Normal-pool"/>
        <w:rPr>
          <w:sz w:val="22"/>
          <w:szCs w:val="22"/>
        </w:rPr>
      </w:pPr>
    </w:p>
    <w:p w14:paraId="2342983A" w14:textId="77777777" w:rsidR="0024575E" w:rsidRPr="00DE2C02" w:rsidRDefault="0024575E" w:rsidP="0024575E">
      <w:pPr>
        <w:pStyle w:val="Normal-pool"/>
        <w:pBdr>
          <w:bottom w:val="single" w:sz="4" w:space="1" w:color="auto"/>
        </w:pBdr>
        <w:rPr>
          <w:b/>
          <w:sz w:val="22"/>
          <w:szCs w:val="22"/>
        </w:rPr>
      </w:pPr>
      <w:r w:rsidRPr="00DE2C02">
        <w:rPr>
          <w:b/>
          <w:sz w:val="22"/>
          <w:szCs w:val="22"/>
        </w:rPr>
        <w:t>W</w:t>
      </w:r>
    </w:p>
    <w:p w14:paraId="4CD6A65C" w14:textId="77777777" w:rsidR="0024575E" w:rsidRPr="00DE2C02" w:rsidRDefault="0024575E" w:rsidP="0024575E">
      <w:pPr>
        <w:pStyle w:val="Normal-pool"/>
        <w:rPr>
          <w:sz w:val="22"/>
          <w:szCs w:val="22"/>
        </w:rPr>
      </w:pPr>
    </w:p>
    <w:p w14:paraId="61B90796" w14:textId="77777777" w:rsidR="0024575E" w:rsidRPr="00DE2C02" w:rsidRDefault="0024575E" w:rsidP="0024575E">
      <w:pPr>
        <w:pStyle w:val="Normal-pool"/>
        <w:rPr>
          <w:b/>
          <w:sz w:val="22"/>
          <w:szCs w:val="22"/>
        </w:rPr>
      </w:pPr>
      <w:r w:rsidRPr="00DE2C02">
        <w:rPr>
          <w:b/>
          <w:sz w:val="22"/>
          <w:szCs w:val="22"/>
        </w:rPr>
        <w:t>Water security</w:t>
      </w:r>
    </w:p>
    <w:p w14:paraId="1265027A" w14:textId="77777777" w:rsidR="0024575E" w:rsidRPr="00DE2C02" w:rsidRDefault="0024575E" w:rsidP="0024575E">
      <w:pPr>
        <w:pStyle w:val="Normal-pool"/>
        <w:rPr>
          <w:sz w:val="22"/>
          <w:szCs w:val="22"/>
        </w:rPr>
      </w:pPr>
      <w:r w:rsidRPr="00DE2C02">
        <w:rPr>
          <w:sz w:val="22"/>
          <w:szCs w:val="22"/>
        </w:rPr>
        <w:t>The capacity of a population to safeguard sustainable access to adequate quantities of and acceptable quality water for sustaining livelihoods, human well-being, and socio-economic development, for ensuring protection against water-borne pollution and water-related disasters, and for preserving ecosystems in a climate of peace and political stability.</w:t>
      </w:r>
    </w:p>
    <w:p w14:paraId="481CB4E6" w14:textId="77777777" w:rsidR="0024575E" w:rsidRPr="00DE2C02" w:rsidRDefault="0024575E" w:rsidP="0024575E">
      <w:pPr>
        <w:pStyle w:val="Normal-pool"/>
        <w:rPr>
          <w:sz w:val="22"/>
          <w:szCs w:val="22"/>
        </w:rPr>
      </w:pPr>
    </w:p>
    <w:p w14:paraId="1054A656" w14:textId="77777777" w:rsidR="0024575E" w:rsidRPr="00DE2C02" w:rsidRDefault="0024575E" w:rsidP="0024575E">
      <w:pPr>
        <w:pStyle w:val="Normal-pool"/>
        <w:rPr>
          <w:b/>
          <w:sz w:val="22"/>
          <w:szCs w:val="22"/>
        </w:rPr>
      </w:pPr>
      <w:r w:rsidRPr="00DE2C02">
        <w:rPr>
          <w:b/>
          <w:sz w:val="22"/>
          <w:szCs w:val="22"/>
        </w:rPr>
        <w:t>Water stress</w:t>
      </w:r>
    </w:p>
    <w:p w14:paraId="1A7DEF5C" w14:textId="77777777" w:rsidR="0024575E" w:rsidRPr="00DE2C02" w:rsidRDefault="0024575E" w:rsidP="0024575E">
      <w:pPr>
        <w:pStyle w:val="Normal-pool"/>
        <w:rPr>
          <w:sz w:val="22"/>
          <w:szCs w:val="22"/>
        </w:rPr>
      </w:pPr>
      <w:r w:rsidRPr="00DE2C02">
        <w:rPr>
          <w:sz w:val="22"/>
          <w:szCs w:val="22"/>
        </w:rPr>
        <w:t>Water stress occurs in an organism when the demand for water exceeds the available amount during a certain period or when poor quality restricts its use.</w:t>
      </w:r>
    </w:p>
    <w:p w14:paraId="6C546626" w14:textId="77777777" w:rsidR="0024575E" w:rsidRPr="00DE2C02" w:rsidRDefault="0024575E" w:rsidP="0024575E">
      <w:pPr>
        <w:pStyle w:val="Normal-pool"/>
        <w:rPr>
          <w:sz w:val="22"/>
          <w:szCs w:val="22"/>
        </w:rPr>
      </w:pPr>
    </w:p>
    <w:p w14:paraId="7CDFB5D0" w14:textId="77777777" w:rsidR="0024575E" w:rsidRPr="00DE2C02" w:rsidRDefault="0024575E" w:rsidP="0024575E">
      <w:pPr>
        <w:pStyle w:val="Normal-pool"/>
        <w:rPr>
          <w:b/>
          <w:sz w:val="22"/>
          <w:szCs w:val="22"/>
        </w:rPr>
      </w:pPr>
      <w:r w:rsidRPr="00DE2C02">
        <w:rPr>
          <w:b/>
          <w:sz w:val="22"/>
          <w:szCs w:val="22"/>
        </w:rPr>
        <w:t>Well-being</w:t>
      </w:r>
    </w:p>
    <w:p w14:paraId="2D4EF010" w14:textId="77777777" w:rsidR="0024575E" w:rsidRDefault="0024575E" w:rsidP="0024575E">
      <w:pPr>
        <w:pStyle w:val="Normal-pool"/>
        <w:rPr>
          <w:sz w:val="22"/>
          <w:szCs w:val="22"/>
        </w:rPr>
      </w:pPr>
      <w:r w:rsidRPr="00DE2C02">
        <w:rPr>
          <w:sz w:val="22"/>
          <w:szCs w:val="22"/>
        </w:rPr>
        <w:t>A perspective on a good life that comprises access to basic resources, freedom and choice, health and physical well-being, good social relationships, security, peace of mind and spiritual experience. Well-being is achieved when individuals and communities can act meaningfully to pursue their goals and can enjoy a good quality of life. The concept of human well-being is used in many western societies and its variants, together with living in harmony with nature, and living well in balance and harmony with Mother Earth. All these are different perspectives on a good quality of life.</w:t>
      </w:r>
    </w:p>
    <w:p w14:paraId="485C6742" w14:textId="77777777" w:rsidR="0024575E" w:rsidRPr="00DE2C02" w:rsidRDefault="0024575E" w:rsidP="0024575E">
      <w:pPr>
        <w:pStyle w:val="Normal-pool"/>
        <w:rPr>
          <w:sz w:val="22"/>
          <w:szCs w:val="22"/>
        </w:rPr>
      </w:pPr>
    </w:p>
    <w:p w14:paraId="36A12E3E" w14:textId="77777777" w:rsidR="0024575E" w:rsidRPr="00DE2C02" w:rsidRDefault="0024575E" w:rsidP="0024575E">
      <w:pPr>
        <w:pStyle w:val="Normal-pool"/>
        <w:pBdr>
          <w:bottom w:val="single" w:sz="4" w:space="1" w:color="auto"/>
        </w:pBdr>
        <w:rPr>
          <w:b/>
          <w:sz w:val="22"/>
          <w:szCs w:val="22"/>
        </w:rPr>
      </w:pPr>
      <w:r w:rsidRPr="00DE2C02">
        <w:rPr>
          <w:b/>
          <w:sz w:val="22"/>
          <w:szCs w:val="22"/>
        </w:rPr>
        <w:t>Z</w:t>
      </w:r>
    </w:p>
    <w:p w14:paraId="6077CB26" w14:textId="77777777" w:rsidR="0024575E" w:rsidRPr="00DE2C02" w:rsidRDefault="0024575E" w:rsidP="0024575E">
      <w:pPr>
        <w:pStyle w:val="Normal-pool"/>
        <w:rPr>
          <w:sz w:val="22"/>
          <w:szCs w:val="22"/>
        </w:rPr>
      </w:pPr>
    </w:p>
    <w:p w14:paraId="6EB96DB5" w14:textId="77777777" w:rsidR="0024575E" w:rsidRPr="00DE2C02" w:rsidRDefault="0024575E" w:rsidP="0024575E">
      <w:pPr>
        <w:pStyle w:val="Normal-pool"/>
        <w:rPr>
          <w:b/>
          <w:sz w:val="22"/>
          <w:szCs w:val="22"/>
        </w:rPr>
      </w:pPr>
      <w:r w:rsidRPr="00DE2C02">
        <w:rPr>
          <w:b/>
          <w:sz w:val="22"/>
          <w:szCs w:val="22"/>
        </w:rPr>
        <w:t>Zoonotic diseases</w:t>
      </w:r>
    </w:p>
    <w:p w14:paraId="5AB2B116" w14:textId="418A02EA" w:rsidR="0024575E" w:rsidRDefault="0024575E" w:rsidP="0024575E">
      <w:pPr>
        <w:pStyle w:val="Normal-pool"/>
        <w:rPr>
          <w:sz w:val="22"/>
          <w:szCs w:val="22"/>
        </w:rPr>
      </w:pPr>
      <w:r w:rsidRPr="00DE2C02">
        <w:rPr>
          <w:sz w:val="22"/>
          <w:szCs w:val="22"/>
        </w:rPr>
        <w:t>Zoonotic disease or zoonoses are directly transmitted from animals to humans via various routes of transmission (e.g., air-influenza; bites and saliva-rabies)</w:t>
      </w:r>
    </w:p>
    <w:p w14:paraId="669E903D" w14:textId="77777777" w:rsidR="00EF023A" w:rsidRDefault="00EF023A" w:rsidP="0024575E">
      <w:pPr>
        <w:pStyle w:val="Normal-pool"/>
        <w:rPr>
          <w:sz w:val="22"/>
          <w:szCs w:val="22"/>
        </w:rPr>
      </w:pPr>
    </w:p>
    <w:p w14:paraId="31C3CFB0" w14:textId="5A959795" w:rsidR="00EF023A" w:rsidRPr="00DE2C02" w:rsidRDefault="00EF023A" w:rsidP="00EF023A">
      <w:pPr>
        <w:pStyle w:val="Normal-pool"/>
        <w:pBdr>
          <w:bottom w:val="single" w:sz="4" w:space="1" w:color="auto"/>
        </w:pBdr>
        <w:rPr>
          <w:b/>
          <w:sz w:val="22"/>
          <w:szCs w:val="22"/>
        </w:rPr>
      </w:pPr>
      <w:r>
        <w:rPr>
          <w:b/>
          <w:sz w:val="22"/>
          <w:szCs w:val="22"/>
        </w:rPr>
        <w:t xml:space="preserve">Glossary </w:t>
      </w:r>
      <w:r w:rsidRPr="00EF023A">
        <w:rPr>
          <w:b/>
          <w:sz w:val="22"/>
          <w:szCs w:val="22"/>
        </w:rPr>
        <w:t>References</w:t>
      </w:r>
    </w:p>
    <w:p w14:paraId="40034FEE" w14:textId="77777777" w:rsidR="00EF023A" w:rsidRPr="00B37440" w:rsidRDefault="00EF023A" w:rsidP="00EF023A">
      <w:pPr>
        <w:pStyle w:val="Normal-pool"/>
        <w:rPr>
          <w:sz w:val="22"/>
          <w:szCs w:val="22"/>
        </w:rPr>
      </w:pPr>
    </w:p>
    <w:p w14:paraId="009285CE" w14:textId="34D6DC07" w:rsidR="00EF023A" w:rsidRPr="00B37440" w:rsidRDefault="00EF023A" w:rsidP="00EF023A">
      <w:pPr>
        <w:pStyle w:val="Normal-pool"/>
        <w:rPr>
          <w:sz w:val="22"/>
          <w:szCs w:val="22"/>
        </w:rPr>
      </w:pPr>
      <w:r w:rsidRPr="00B37440">
        <w:rPr>
          <w:sz w:val="22"/>
          <w:szCs w:val="22"/>
        </w:rPr>
        <w:t xml:space="preserve">IPBES/4/INF/13. (2015). </w:t>
      </w:r>
      <w:r w:rsidRPr="00B37440">
        <w:rPr>
          <w:i/>
          <w:sz w:val="22"/>
          <w:szCs w:val="22"/>
        </w:rPr>
        <w:t>Preliminary guide regarding diverse conceptualization of multiple values of nature and its benefits, including biodiversity and ecosystem functions and services (deliverable 3 (d))</w:t>
      </w:r>
      <w:r w:rsidRPr="00B37440">
        <w:rPr>
          <w:sz w:val="22"/>
          <w:szCs w:val="22"/>
        </w:rPr>
        <w:t xml:space="preserve">. Bonn, Germany: IPBES Secretariat. Retrieved from </w:t>
      </w:r>
      <w:hyperlink r:id="rId2028" w:history="1">
        <w:r w:rsidRPr="00B37440">
          <w:rPr>
            <w:rStyle w:val="Hyperlink"/>
            <w:sz w:val="22"/>
            <w:szCs w:val="22"/>
          </w:rPr>
          <w:t>https://www.ipbes.net/system/tdf/downloads/IPBES-4-INF-13_EN.pdf?file=1&amp;type=node&amp;id=13413</w:t>
        </w:r>
      </w:hyperlink>
      <w:r w:rsidRPr="00B37440">
        <w:rPr>
          <w:sz w:val="22"/>
          <w:szCs w:val="22"/>
        </w:rPr>
        <w:t xml:space="preserve"> </w:t>
      </w:r>
    </w:p>
    <w:p w14:paraId="5A1E31C1" w14:textId="77777777" w:rsidR="00EF023A" w:rsidRPr="00B37440" w:rsidRDefault="00EF023A" w:rsidP="00EF023A">
      <w:pPr>
        <w:pStyle w:val="Normal-pool"/>
        <w:rPr>
          <w:sz w:val="22"/>
          <w:szCs w:val="22"/>
        </w:rPr>
      </w:pPr>
    </w:p>
    <w:p w14:paraId="1023D886" w14:textId="2F12A24D" w:rsidR="00EF023A" w:rsidRPr="00B37440" w:rsidRDefault="00EF023A" w:rsidP="00EF023A">
      <w:pPr>
        <w:pStyle w:val="NoSpacing"/>
        <w:spacing w:after="120" w:line="276" w:lineRule="auto"/>
        <w:rPr>
          <w:rFonts w:ascii="Times New Roman" w:hAnsi="Times New Roman" w:cs="Times New Roman"/>
          <w:color w:val="auto"/>
        </w:rPr>
      </w:pPr>
      <w:r w:rsidRPr="00B37440">
        <w:rPr>
          <w:rFonts w:ascii="Times New Roman" w:hAnsi="Times New Roman" w:cs="Times New Roman"/>
          <w:color w:val="auto"/>
        </w:rPr>
        <w:t xml:space="preserve">Myers, N., Mittermeier, R. A., Mittermeier, C. G., da Fonseca, G. A. B., &amp; Kent, J. (2000). Biodiversity hotspots for conservation priorities. </w:t>
      </w:r>
      <w:r w:rsidRPr="00B37440">
        <w:rPr>
          <w:rFonts w:ascii="Times New Roman" w:hAnsi="Times New Roman" w:cs="Times New Roman"/>
          <w:i/>
          <w:color w:val="auto"/>
        </w:rPr>
        <w:t>Nature, 403</w:t>
      </w:r>
      <w:r w:rsidRPr="00B37440">
        <w:rPr>
          <w:rFonts w:ascii="Times New Roman" w:hAnsi="Times New Roman" w:cs="Times New Roman"/>
          <w:color w:val="auto"/>
        </w:rPr>
        <w:t xml:space="preserve">, 853–858. </w:t>
      </w:r>
      <w:hyperlink r:id="rId2029" w:history="1">
        <w:r w:rsidRPr="00B37440">
          <w:rPr>
            <w:rStyle w:val="Hyperlink"/>
            <w:rFonts w:ascii="Times New Roman" w:hAnsi="Times New Roman" w:cs="Times New Roman"/>
          </w:rPr>
          <w:t>https://doi.org/10.1038/35002501</w:t>
        </w:r>
      </w:hyperlink>
      <w:r w:rsidRPr="00B37440">
        <w:rPr>
          <w:rFonts w:ascii="Times New Roman" w:hAnsi="Times New Roman" w:cs="Times New Roman"/>
          <w:color w:val="auto"/>
        </w:rPr>
        <w:t xml:space="preserve"> </w:t>
      </w:r>
    </w:p>
    <w:p w14:paraId="05EFB34E" w14:textId="693012B6" w:rsidR="00EF023A" w:rsidRPr="00B37440" w:rsidRDefault="00EF023A" w:rsidP="00385CE2">
      <w:pPr>
        <w:pStyle w:val="NoSpacing"/>
        <w:spacing w:after="120" w:line="276" w:lineRule="auto"/>
        <w:sectPr w:rsidR="00EF023A" w:rsidRPr="00B37440" w:rsidSect="0024575E">
          <w:type w:val="continuous"/>
          <w:pgSz w:w="11906" w:h="16838"/>
          <w:pgMar w:top="1276" w:right="1440" w:bottom="1440" w:left="1440" w:header="142" w:footer="720" w:gutter="0"/>
          <w:cols w:num="3" w:space="720"/>
          <w:docGrid w:linePitch="299"/>
        </w:sectPr>
      </w:pPr>
      <w:r w:rsidRPr="00B37440">
        <w:rPr>
          <w:rFonts w:ascii="Times New Roman" w:hAnsi="Times New Roman" w:cs="Times New Roman"/>
          <w:color w:val="auto"/>
        </w:rPr>
        <w:t xml:space="preserve">Pascual, U., Balvanera, P., Díaz, S., Pataki, G., Roth, E., … &amp; Maris, V. (2017). Valuing nature’s contributions to people: The IPBES approach. </w:t>
      </w:r>
      <w:r w:rsidRPr="00B37440">
        <w:rPr>
          <w:rFonts w:ascii="Times New Roman" w:hAnsi="Times New Roman" w:cs="Times New Roman"/>
          <w:i/>
          <w:color w:val="auto"/>
        </w:rPr>
        <w:t>Current Opinion in Environmental Sustainability, (26-27)</w:t>
      </w:r>
      <w:r w:rsidRPr="00B37440">
        <w:rPr>
          <w:rFonts w:ascii="Times New Roman" w:hAnsi="Times New Roman" w:cs="Times New Roman"/>
          <w:color w:val="auto"/>
        </w:rPr>
        <w:t xml:space="preserve">, 7–16. </w:t>
      </w:r>
      <w:r w:rsidRPr="00DA6432">
        <w:rPr>
          <w:rFonts w:ascii="Times New Roman" w:hAnsi="Times New Roman" w:cs="Times New Roman"/>
        </w:rPr>
        <w:t>https://doi.org/10.1016/j.cosust.2016.12.006</w:t>
      </w:r>
    </w:p>
    <w:p w14:paraId="7F2AFD78" w14:textId="33D5C470" w:rsidR="00DA6432" w:rsidRDefault="00DA6432" w:rsidP="00DA6432">
      <w:pPr>
        <w:pStyle w:val="Heading1"/>
      </w:pPr>
      <w:bookmarkStart w:id="580" w:name="_Toc519500085"/>
      <w:r>
        <w:t>Accronyms</w:t>
      </w:r>
      <w:bookmarkEnd w:id="580"/>
      <w:r>
        <w:t xml:space="preserve"> </w:t>
      </w:r>
      <w:r w:rsidRPr="00DA6432">
        <w:t xml:space="preserve"> </w:t>
      </w:r>
    </w:p>
    <w:p w14:paraId="2ADDD481" w14:textId="77777777" w:rsidR="00DA6432" w:rsidRPr="00DA6432" w:rsidRDefault="00DA6432" w:rsidP="00DA6432"/>
    <w:tbl>
      <w:tblPr>
        <w:tblStyle w:val="GridTable4-Accent31"/>
        <w:tblW w:w="4955" w:type="pct"/>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8"/>
        <w:gridCol w:w="7247"/>
      </w:tblGrid>
      <w:tr w:rsidR="00DA6432" w:rsidRPr="00DF3375" w14:paraId="5E308A06" w14:textId="77777777" w:rsidTr="00D159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51C339BA" w14:textId="67D45F91" w:rsidR="00DA6432" w:rsidRPr="00DA6432" w:rsidRDefault="00DA6432" w:rsidP="00D159DD">
            <w:pPr>
              <w:spacing w:after="120"/>
              <w:rPr>
                <w:rFonts w:ascii="Times New Roman" w:hAnsi="Times New Roman" w:cs="Times New Roman"/>
                <w:color w:val="auto"/>
              </w:rPr>
            </w:pPr>
            <w:r w:rsidRPr="00DA6432">
              <w:rPr>
                <w:rFonts w:ascii="Times New Roman" w:hAnsi="Times New Roman" w:cs="Times New Roman"/>
                <w:color w:val="auto"/>
              </w:rPr>
              <w:t>10-YFP</w:t>
            </w:r>
          </w:p>
        </w:tc>
        <w:tc>
          <w:tcPr>
            <w:tcW w:w="7247" w:type="dxa"/>
            <w:shd w:val="clear" w:color="auto" w:fill="auto"/>
          </w:tcPr>
          <w:p w14:paraId="498A6AD0" w14:textId="7A8485A9" w:rsidR="00DA6432" w:rsidRPr="00DA6432" w:rsidRDefault="00DA6432" w:rsidP="00D159DD">
            <w:pPr>
              <w:spacing w:after="12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rPr>
            </w:pPr>
            <w:r w:rsidRPr="00DA6432">
              <w:rPr>
                <w:rFonts w:ascii="Times New Roman" w:hAnsi="Times New Roman" w:cs="Times New Roman"/>
                <w:b w:val="0"/>
                <w:color w:val="auto"/>
              </w:rPr>
              <w:t>Afric</w:t>
            </w:r>
            <w:r>
              <w:rPr>
                <w:rFonts w:ascii="Times New Roman" w:hAnsi="Times New Roman" w:cs="Times New Roman"/>
                <w:b w:val="0"/>
                <w:color w:val="auto"/>
              </w:rPr>
              <w:t>an</w:t>
            </w:r>
            <w:r w:rsidRPr="00DA6432">
              <w:rPr>
                <w:rFonts w:ascii="Times New Roman" w:hAnsi="Times New Roman" w:cs="Times New Roman"/>
                <w:b w:val="0"/>
                <w:color w:val="auto"/>
              </w:rPr>
              <w:t xml:space="preserve"> </w:t>
            </w:r>
            <w:r w:rsidRPr="00DA6432">
              <w:rPr>
                <w:rFonts w:ascii="Times New Roman" w:hAnsi="Times New Roman" w:cs="Times New Roman"/>
                <w:b w:val="0"/>
                <w:color w:val="auto"/>
              </w:rPr>
              <w:t>African 10-Year Framework of Programmes</w:t>
            </w:r>
            <w:r w:rsidRPr="00DA6432">
              <w:rPr>
                <w:rFonts w:ascii="Times New Roman" w:hAnsi="Times New Roman" w:cs="Times New Roman"/>
                <w:b w:val="0"/>
                <w:color w:val="auto"/>
              </w:rPr>
              <w:t xml:space="preserve"> </w:t>
            </w:r>
          </w:p>
        </w:tc>
      </w:tr>
      <w:tr w:rsidR="00DA6432" w:rsidRPr="00DF3375" w14:paraId="783C4FB5"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072BE791"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ABS</w:t>
            </w:r>
          </w:p>
        </w:tc>
        <w:tc>
          <w:tcPr>
            <w:tcW w:w="7247" w:type="dxa"/>
            <w:shd w:val="clear" w:color="auto" w:fill="auto"/>
          </w:tcPr>
          <w:p w14:paraId="3A5F61EB"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eastAsia="Times New Roman" w:hAnsi="Times New Roman" w:cs="Times New Roman"/>
                <w:lang w:val="en-GB"/>
              </w:rPr>
              <w:t>Access and Benefit-Sharing</w:t>
            </w:r>
          </w:p>
        </w:tc>
      </w:tr>
      <w:tr w:rsidR="00DA6432" w:rsidRPr="00DF3375" w14:paraId="0CF2F674"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3CCABCB4"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ABTs</w:t>
            </w:r>
          </w:p>
        </w:tc>
        <w:tc>
          <w:tcPr>
            <w:tcW w:w="7247" w:type="dxa"/>
            <w:shd w:val="clear" w:color="auto" w:fill="auto"/>
          </w:tcPr>
          <w:p w14:paraId="48B6193C"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DF3375">
              <w:rPr>
                <w:rFonts w:ascii="Times New Roman" w:eastAsia="Times New Roman" w:hAnsi="Times New Roman" w:cs="Times New Roman"/>
              </w:rPr>
              <w:t>Aichi Biodiversity Targets</w:t>
            </w:r>
          </w:p>
        </w:tc>
      </w:tr>
      <w:tr w:rsidR="00DA6432" w:rsidRPr="00DF3375" w14:paraId="3E313D59"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5FE589F2"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ACBF</w:t>
            </w:r>
          </w:p>
        </w:tc>
        <w:tc>
          <w:tcPr>
            <w:tcW w:w="7247" w:type="dxa"/>
            <w:shd w:val="clear" w:color="auto" w:fill="auto"/>
            <w:hideMark/>
          </w:tcPr>
          <w:p w14:paraId="03E9DF89"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lang w:val="en-GB"/>
              </w:rPr>
            </w:pPr>
            <w:r w:rsidRPr="00DF3375">
              <w:rPr>
                <w:rFonts w:ascii="Times New Roman" w:hAnsi="Times New Roman" w:cs="Times New Roman"/>
                <w:lang w:val="en-GB"/>
              </w:rPr>
              <w:t xml:space="preserve">African Capacity Building Foundation </w:t>
            </w:r>
          </w:p>
        </w:tc>
      </w:tr>
      <w:tr w:rsidR="00DA6432" w:rsidRPr="00DF3375" w14:paraId="201DE867"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020B4A1D"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ADMADE</w:t>
            </w:r>
          </w:p>
        </w:tc>
        <w:tc>
          <w:tcPr>
            <w:tcW w:w="7247" w:type="dxa"/>
            <w:shd w:val="clear" w:color="auto" w:fill="auto"/>
          </w:tcPr>
          <w:p w14:paraId="0626F8A8"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DF3375">
              <w:rPr>
                <w:rFonts w:ascii="Times New Roman" w:eastAsia="Times New Roman" w:hAnsi="Times New Roman" w:cs="Times New Roman"/>
              </w:rPr>
              <w:t>Administrative Management Design for Game Management Areas</w:t>
            </w:r>
          </w:p>
        </w:tc>
      </w:tr>
      <w:tr w:rsidR="00DA6432" w:rsidRPr="00DF3375" w14:paraId="379FD5B0"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366977B3"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AfDB</w:t>
            </w:r>
          </w:p>
        </w:tc>
        <w:tc>
          <w:tcPr>
            <w:tcW w:w="7247" w:type="dxa"/>
            <w:shd w:val="clear" w:color="auto" w:fill="auto"/>
            <w:hideMark/>
          </w:tcPr>
          <w:p w14:paraId="0721D2C7"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highlight w:val="yellow"/>
                <w:lang w:val="en-GB"/>
              </w:rPr>
            </w:pPr>
            <w:r w:rsidRPr="00DF3375">
              <w:rPr>
                <w:rFonts w:ascii="Times New Roman" w:hAnsi="Times New Roman" w:cs="Times New Roman"/>
                <w:lang w:val="en-GB"/>
              </w:rPr>
              <w:t>African Development Bank</w:t>
            </w:r>
          </w:p>
        </w:tc>
      </w:tr>
      <w:tr w:rsidR="00DA6432" w:rsidRPr="00DF3375" w14:paraId="4689F277"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09D5A006"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AFR100</w:t>
            </w:r>
          </w:p>
        </w:tc>
        <w:tc>
          <w:tcPr>
            <w:tcW w:w="7247" w:type="dxa"/>
            <w:shd w:val="clear" w:color="auto" w:fill="auto"/>
          </w:tcPr>
          <w:p w14:paraId="6368CCE9"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African Forest Landscape Restoration Initiative</w:t>
            </w:r>
          </w:p>
        </w:tc>
      </w:tr>
      <w:tr w:rsidR="00DA6432" w:rsidRPr="00DF3375" w14:paraId="5BFEAEAF"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3527A7AE"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AMCEN</w:t>
            </w:r>
          </w:p>
        </w:tc>
        <w:tc>
          <w:tcPr>
            <w:tcW w:w="7247" w:type="dxa"/>
            <w:shd w:val="clear" w:color="auto" w:fill="auto"/>
            <w:hideMark/>
          </w:tcPr>
          <w:p w14:paraId="4D589FFE"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African Ministerial Conference on the Environment</w:t>
            </w:r>
          </w:p>
        </w:tc>
      </w:tr>
      <w:tr w:rsidR="00DA6432" w:rsidRPr="00DF3375" w14:paraId="698ED96C"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5480607D"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AMD</w:t>
            </w:r>
          </w:p>
        </w:tc>
        <w:tc>
          <w:tcPr>
            <w:tcW w:w="7247" w:type="dxa"/>
            <w:shd w:val="clear" w:color="auto" w:fill="auto"/>
          </w:tcPr>
          <w:p w14:paraId="5C029159"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African Marine Domain</w:t>
            </w:r>
          </w:p>
        </w:tc>
      </w:tr>
      <w:tr w:rsidR="00DA6432" w:rsidRPr="00DF3375" w14:paraId="391E4352"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2837F920"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APP</w:t>
            </w:r>
          </w:p>
        </w:tc>
        <w:tc>
          <w:tcPr>
            <w:tcW w:w="7247" w:type="dxa"/>
            <w:shd w:val="clear" w:color="auto" w:fill="auto"/>
            <w:hideMark/>
          </w:tcPr>
          <w:p w14:paraId="065D01E4"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Africa Progress Panel</w:t>
            </w:r>
          </w:p>
        </w:tc>
      </w:tr>
      <w:tr w:rsidR="00DA6432" w:rsidRPr="00DF3375" w14:paraId="7C48D9D1"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5909832B"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ARIPO</w:t>
            </w:r>
          </w:p>
        </w:tc>
        <w:tc>
          <w:tcPr>
            <w:tcW w:w="7247" w:type="dxa"/>
            <w:shd w:val="clear" w:color="auto" w:fill="auto"/>
          </w:tcPr>
          <w:p w14:paraId="5CF9F56A"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African Regional Intellectual Property Organization</w:t>
            </w:r>
          </w:p>
        </w:tc>
      </w:tr>
      <w:tr w:rsidR="00DA6432" w:rsidRPr="00DF3375" w14:paraId="392E4322"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11D91FDD"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ARSCP</w:t>
            </w:r>
          </w:p>
        </w:tc>
        <w:tc>
          <w:tcPr>
            <w:tcW w:w="7247" w:type="dxa"/>
            <w:shd w:val="clear" w:color="auto" w:fill="auto"/>
          </w:tcPr>
          <w:p w14:paraId="51A81B5B"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Africa Roundtable on Sustainable Consumption and Production</w:t>
            </w:r>
          </w:p>
        </w:tc>
      </w:tr>
      <w:tr w:rsidR="00DA6432" w:rsidRPr="00DF3375" w14:paraId="7411BF5E"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3ED2375C"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AU</w:t>
            </w:r>
          </w:p>
        </w:tc>
        <w:tc>
          <w:tcPr>
            <w:tcW w:w="7247" w:type="dxa"/>
            <w:shd w:val="clear" w:color="auto" w:fill="auto"/>
            <w:hideMark/>
          </w:tcPr>
          <w:p w14:paraId="21A28D41"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African Union</w:t>
            </w:r>
          </w:p>
        </w:tc>
      </w:tr>
      <w:tr w:rsidR="00DA6432" w:rsidRPr="00DF3375" w14:paraId="550B3F60"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67E7614C"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AUC</w:t>
            </w:r>
          </w:p>
        </w:tc>
        <w:tc>
          <w:tcPr>
            <w:tcW w:w="7247" w:type="dxa"/>
            <w:shd w:val="clear" w:color="auto" w:fill="auto"/>
            <w:hideMark/>
          </w:tcPr>
          <w:p w14:paraId="328C8D08"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African Union Commission</w:t>
            </w:r>
          </w:p>
        </w:tc>
      </w:tr>
      <w:tr w:rsidR="00DA6432" w:rsidRPr="00DF3375" w14:paraId="25F92F19"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2B8B2D0E"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AUPFP</w:t>
            </w:r>
          </w:p>
        </w:tc>
        <w:tc>
          <w:tcPr>
            <w:tcW w:w="7247" w:type="dxa"/>
            <w:shd w:val="clear" w:color="auto" w:fill="auto"/>
          </w:tcPr>
          <w:p w14:paraId="154C2A23"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African Union Policy Framework for Pastoralism</w:t>
            </w:r>
          </w:p>
        </w:tc>
      </w:tr>
      <w:tr w:rsidR="00DA6432" w:rsidRPr="00DF3375" w14:paraId="34EF3AC5"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63909644"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BECA</w:t>
            </w:r>
          </w:p>
        </w:tc>
        <w:tc>
          <w:tcPr>
            <w:tcW w:w="7247" w:type="dxa"/>
            <w:shd w:val="clear" w:color="auto" w:fill="auto"/>
          </w:tcPr>
          <w:p w14:paraId="3CE193C8"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Biosciences Eastern and Central Africa</w:t>
            </w:r>
          </w:p>
        </w:tc>
      </w:tr>
      <w:tr w:rsidR="00DA6432" w:rsidRPr="00DF3375" w14:paraId="5382E687"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58AE6C9C"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BES</w:t>
            </w:r>
          </w:p>
        </w:tc>
        <w:tc>
          <w:tcPr>
            <w:tcW w:w="7247" w:type="dxa"/>
            <w:shd w:val="clear" w:color="auto" w:fill="auto"/>
            <w:hideMark/>
          </w:tcPr>
          <w:p w14:paraId="36897CBB"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Biodiversity and Ecosystem Services</w:t>
            </w:r>
          </w:p>
        </w:tc>
      </w:tr>
      <w:tr w:rsidR="00DA6432" w:rsidRPr="00DF3375" w14:paraId="75429845"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5FD2A5A7"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CAMPFIRE</w:t>
            </w:r>
          </w:p>
        </w:tc>
        <w:tc>
          <w:tcPr>
            <w:tcW w:w="7247" w:type="dxa"/>
            <w:shd w:val="clear" w:color="auto" w:fill="auto"/>
            <w:hideMark/>
          </w:tcPr>
          <w:p w14:paraId="2F29E4FD"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Communal Areas Management Programme for Indigenous Resources</w:t>
            </w:r>
          </w:p>
        </w:tc>
      </w:tr>
      <w:tr w:rsidR="00DA6432" w:rsidRPr="00DF3375" w14:paraId="516143A4"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6D89185"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CAPMAS</w:t>
            </w:r>
          </w:p>
        </w:tc>
        <w:tc>
          <w:tcPr>
            <w:tcW w:w="7247" w:type="dxa"/>
            <w:shd w:val="clear" w:color="auto" w:fill="auto"/>
            <w:hideMark/>
          </w:tcPr>
          <w:p w14:paraId="0D5357F0"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Central Agency for Public Mobilization and Statistics</w:t>
            </w:r>
          </w:p>
        </w:tc>
      </w:tr>
      <w:tr w:rsidR="00DA6432" w:rsidRPr="00DF3375" w14:paraId="7591F271"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B6CBFED"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CARPE</w:t>
            </w:r>
          </w:p>
        </w:tc>
        <w:tc>
          <w:tcPr>
            <w:tcW w:w="7247" w:type="dxa"/>
            <w:shd w:val="clear" w:color="auto" w:fill="auto"/>
            <w:hideMark/>
          </w:tcPr>
          <w:p w14:paraId="360B964E"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Central Africa Regional Program for the Environment</w:t>
            </w:r>
          </w:p>
        </w:tc>
      </w:tr>
      <w:tr w:rsidR="00DA6432" w:rsidRPr="00DF3375" w14:paraId="550EB1C0"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7B0EDD85"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CBD</w:t>
            </w:r>
          </w:p>
        </w:tc>
        <w:tc>
          <w:tcPr>
            <w:tcW w:w="7247" w:type="dxa"/>
            <w:shd w:val="clear" w:color="auto" w:fill="auto"/>
            <w:hideMark/>
          </w:tcPr>
          <w:p w14:paraId="04553CEB"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Convention on Biological Diversity</w:t>
            </w:r>
          </w:p>
        </w:tc>
      </w:tr>
      <w:tr w:rsidR="00DA6432" w:rsidRPr="00DF3375" w14:paraId="7EE6080C"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2FC5FD4D"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CBFF</w:t>
            </w:r>
          </w:p>
        </w:tc>
        <w:tc>
          <w:tcPr>
            <w:tcW w:w="7247" w:type="dxa"/>
            <w:shd w:val="clear" w:color="auto" w:fill="auto"/>
          </w:tcPr>
          <w:p w14:paraId="599331B0"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Congo Basin Forest Fund</w:t>
            </w:r>
          </w:p>
        </w:tc>
      </w:tr>
      <w:tr w:rsidR="00DA6432" w:rsidRPr="00DF3375" w14:paraId="281008CE"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59CFAFC4"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CBNRM</w:t>
            </w:r>
          </w:p>
        </w:tc>
        <w:tc>
          <w:tcPr>
            <w:tcW w:w="7247" w:type="dxa"/>
            <w:shd w:val="clear" w:color="auto" w:fill="auto"/>
          </w:tcPr>
          <w:p w14:paraId="0F96D257"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Community-Based Natural Resource Management</w:t>
            </w:r>
          </w:p>
        </w:tc>
      </w:tr>
      <w:tr w:rsidR="00DA6432" w:rsidRPr="00DF3375" w14:paraId="422FFBAD"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0A2E9F54"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 xml:space="preserve">CCLME </w:t>
            </w:r>
          </w:p>
        </w:tc>
        <w:tc>
          <w:tcPr>
            <w:tcW w:w="7247" w:type="dxa"/>
            <w:shd w:val="clear" w:color="auto" w:fill="auto"/>
            <w:hideMark/>
          </w:tcPr>
          <w:p w14:paraId="39A320D9"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Canary Current Large Marine Ecosystem</w:t>
            </w:r>
          </w:p>
        </w:tc>
      </w:tr>
      <w:tr w:rsidR="00DA6432" w:rsidRPr="00DF3375" w14:paraId="13EB0CDA"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45D6E354"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CDKN</w:t>
            </w:r>
          </w:p>
        </w:tc>
        <w:tc>
          <w:tcPr>
            <w:tcW w:w="7247" w:type="dxa"/>
            <w:shd w:val="clear" w:color="auto" w:fill="auto"/>
            <w:hideMark/>
          </w:tcPr>
          <w:p w14:paraId="5FDBF24B"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Climate and Development Knowledge Network</w:t>
            </w:r>
          </w:p>
        </w:tc>
      </w:tr>
      <w:tr w:rsidR="00DA6432" w:rsidRPr="00DF3375" w14:paraId="458CA0DD"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3B58C65C"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CEPF</w:t>
            </w:r>
          </w:p>
        </w:tc>
        <w:tc>
          <w:tcPr>
            <w:tcW w:w="7247" w:type="dxa"/>
            <w:shd w:val="clear" w:color="auto" w:fill="auto"/>
            <w:hideMark/>
          </w:tcPr>
          <w:p w14:paraId="57BE95FB"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Critical Ecosystem Partnership Fund</w:t>
            </w:r>
          </w:p>
        </w:tc>
      </w:tr>
      <w:tr w:rsidR="00DA6432" w:rsidRPr="00DF3375" w14:paraId="22CFDBA5"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3F042097"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CIFOR</w:t>
            </w:r>
          </w:p>
        </w:tc>
        <w:tc>
          <w:tcPr>
            <w:tcW w:w="7247" w:type="dxa"/>
            <w:shd w:val="clear" w:color="auto" w:fill="auto"/>
            <w:hideMark/>
          </w:tcPr>
          <w:p w14:paraId="1C6326AF"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Centre for International Forestry Research</w:t>
            </w:r>
          </w:p>
        </w:tc>
      </w:tr>
      <w:tr w:rsidR="00DA6432" w:rsidRPr="00DF3375" w14:paraId="30C1530F"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B2A1B24"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CITES</w:t>
            </w:r>
          </w:p>
        </w:tc>
        <w:tc>
          <w:tcPr>
            <w:tcW w:w="7247" w:type="dxa"/>
            <w:shd w:val="clear" w:color="auto" w:fill="auto"/>
            <w:hideMark/>
          </w:tcPr>
          <w:p w14:paraId="395FF185"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Convention on International Trade in Endangered Species</w:t>
            </w:r>
          </w:p>
        </w:tc>
      </w:tr>
      <w:tr w:rsidR="00DA6432" w:rsidRPr="00DF3375" w14:paraId="081A5FB5"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039C34D4"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CMS</w:t>
            </w:r>
          </w:p>
        </w:tc>
        <w:tc>
          <w:tcPr>
            <w:tcW w:w="7247" w:type="dxa"/>
            <w:shd w:val="clear" w:color="auto" w:fill="auto"/>
          </w:tcPr>
          <w:p w14:paraId="1AA35C58"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Convention on Conservation of Migratory Species of Wild Animals</w:t>
            </w:r>
          </w:p>
        </w:tc>
      </w:tr>
      <w:tr w:rsidR="00DA6432" w:rsidRPr="00DF3375" w14:paraId="2B67D4FA"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76D65E05"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COMIFAC</w:t>
            </w:r>
          </w:p>
        </w:tc>
        <w:tc>
          <w:tcPr>
            <w:tcW w:w="7247" w:type="dxa"/>
            <w:shd w:val="clear" w:color="auto" w:fill="auto"/>
            <w:hideMark/>
          </w:tcPr>
          <w:p w14:paraId="18E1D9A9"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Commission des Forêts d'Afrique Centrale / Central African Forest Commission</w:t>
            </w:r>
          </w:p>
        </w:tc>
      </w:tr>
      <w:tr w:rsidR="00DA6432" w:rsidRPr="00DF3375" w14:paraId="505AEC4D"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49625795"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DAFF</w:t>
            </w:r>
          </w:p>
        </w:tc>
        <w:tc>
          <w:tcPr>
            <w:tcW w:w="7247" w:type="dxa"/>
            <w:shd w:val="clear" w:color="auto" w:fill="auto"/>
            <w:hideMark/>
          </w:tcPr>
          <w:p w14:paraId="5CC6C405"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Department Of Agriculture, Forestry and Fisheries</w:t>
            </w:r>
          </w:p>
        </w:tc>
      </w:tr>
      <w:tr w:rsidR="00DA6432" w:rsidRPr="00DF3375" w14:paraId="7F02A2CF"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4B2822CF"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DDT</w:t>
            </w:r>
          </w:p>
        </w:tc>
        <w:tc>
          <w:tcPr>
            <w:tcW w:w="7247" w:type="dxa"/>
            <w:shd w:val="clear" w:color="auto" w:fill="auto"/>
            <w:hideMark/>
          </w:tcPr>
          <w:p w14:paraId="5DCC3B0F"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Dichlorodiphenyltrichloroethane</w:t>
            </w:r>
          </w:p>
        </w:tc>
      </w:tr>
      <w:tr w:rsidR="00DA6432" w:rsidRPr="00DF3375" w14:paraId="28389CD4"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232CE2C6"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DPSIR</w:t>
            </w:r>
          </w:p>
        </w:tc>
        <w:tc>
          <w:tcPr>
            <w:tcW w:w="7247" w:type="dxa"/>
            <w:shd w:val="clear" w:color="auto" w:fill="auto"/>
          </w:tcPr>
          <w:p w14:paraId="0C049E46"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Drivers, Pressures, State, Impact, Response</w:t>
            </w:r>
          </w:p>
        </w:tc>
      </w:tr>
      <w:tr w:rsidR="00DA6432" w:rsidRPr="00DF3375" w14:paraId="1AF22E27"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EE529BD"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DRC</w:t>
            </w:r>
          </w:p>
        </w:tc>
        <w:tc>
          <w:tcPr>
            <w:tcW w:w="7247" w:type="dxa"/>
            <w:shd w:val="clear" w:color="auto" w:fill="auto"/>
            <w:hideMark/>
          </w:tcPr>
          <w:p w14:paraId="587EFE64"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Democratic Republic of the Congo</w:t>
            </w:r>
          </w:p>
        </w:tc>
      </w:tr>
      <w:tr w:rsidR="00DA6432" w:rsidRPr="00DF3375" w14:paraId="55E5911A"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57E15041"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EAC</w:t>
            </w:r>
          </w:p>
        </w:tc>
        <w:tc>
          <w:tcPr>
            <w:tcW w:w="7247" w:type="dxa"/>
            <w:shd w:val="clear" w:color="auto" w:fill="auto"/>
          </w:tcPr>
          <w:p w14:paraId="79D0AF64"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East Africa Community</w:t>
            </w:r>
          </w:p>
        </w:tc>
      </w:tr>
      <w:tr w:rsidR="00DA6432" w:rsidRPr="00DF3375" w14:paraId="4E25DD84"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62FC835C"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EAMCEF</w:t>
            </w:r>
          </w:p>
        </w:tc>
        <w:tc>
          <w:tcPr>
            <w:tcW w:w="7247" w:type="dxa"/>
            <w:shd w:val="clear" w:color="auto" w:fill="auto"/>
            <w:hideMark/>
          </w:tcPr>
          <w:p w14:paraId="0C48565D"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Eastern Arc Mountains Conservation Endowment Fund</w:t>
            </w:r>
          </w:p>
        </w:tc>
      </w:tr>
      <w:tr w:rsidR="00DA6432" w:rsidRPr="00DF3375" w14:paraId="1E384FC6"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1DAFDF7B"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EBAFOSA</w:t>
            </w:r>
          </w:p>
        </w:tc>
        <w:tc>
          <w:tcPr>
            <w:tcW w:w="7247" w:type="dxa"/>
            <w:shd w:val="clear" w:color="auto" w:fill="auto"/>
          </w:tcPr>
          <w:p w14:paraId="7F1D32F1"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Ecosystem-Based Adaptation for Food Security in Africa Assembly</w:t>
            </w:r>
          </w:p>
        </w:tc>
      </w:tr>
      <w:tr w:rsidR="00DA6432" w:rsidRPr="00DF3375" w14:paraId="52DAC3FF"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71591B18"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EIA</w:t>
            </w:r>
          </w:p>
        </w:tc>
        <w:tc>
          <w:tcPr>
            <w:tcW w:w="7247" w:type="dxa"/>
            <w:shd w:val="clear" w:color="auto" w:fill="auto"/>
          </w:tcPr>
          <w:p w14:paraId="02716275"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Environmental Impact Assessment</w:t>
            </w:r>
          </w:p>
        </w:tc>
      </w:tr>
      <w:tr w:rsidR="00DA6432" w:rsidRPr="00DF3375" w14:paraId="7967C922"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2D9DEEE6"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ELD</w:t>
            </w:r>
          </w:p>
        </w:tc>
        <w:tc>
          <w:tcPr>
            <w:tcW w:w="7247" w:type="dxa"/>
            <w:shd w:val="clear" w:color="auto" w:fill="auto"/>
          </w:tcPr>
          <w:p w14:paraId="1EE2AF32"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Economics of Land Degradation</w:t>
            </w:r>
          </w:p>
        </w:tc>
      </w:tr>
      <w:tr w:rsidR="00DA6432" w:rsidRPr="00DF3375" w14:paraId="4FE8BEB6"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1D9C117E"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EPA</w:t>
            </w:r>
          </w:p>
        </w:tc>
        <w:tc>
          <w:tcPr>
            <w:tcW w:w="7247" w:type="dxa"/>
            <w:shd w:val="clear" w:color="auto" w:fill="auto"/>
          </w:tcPr>
          <w:p w14:paraId="0757D73C"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Environmental Protection Agency</w:t>
            </w:r>
          </w:p>
        </w:tc>
      </w:tr>
      <w:tr w:rsidR="00DA6432" w:rsidRPr="00DF3375" w14:paraId="160D3445"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2EE92283"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FAO</w:t>
            </w:r>
          </w:p>
        </w:tc>
        <w:tc>
          <w:tcPr>
            <w:tcW w:w="7247" w:type="dxa"/>
            <w:shd w:val="clear" w:color="auto" w:fill="auto"/>
            <w:hideMark/>
          </w:tcPr>
          <w:p w14:paraId="40DDBFA0"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Food and Agriculture Organization</w:t>
            </w:r>
          </w:p>
        </w:tc>
      </w:tr>
      <w:tr w:rsidR="00DA6432" w:rsidRPr="00DF3375" w14:paraId="0239FF21"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39AF810"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FAO-ITTO</w:t>
            </w:r>
          </w:p>
        </w:tc>
        <w:tc>
          <w:tcPr>
            <w:tcW w:w="7247" w:type="dxa"/>
            <w:shd w:val="clear" w:color="auto" w:fill="auto"/>
            <w:hideMark/>
          </w:tcPr>
          <w:p w14:paraId="3B2B2BBF"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Food and Agriculture Organization-International Tropical Timber Organization</w:t>
            </w:r>
          </w:p>
        </w:tc>
      </w:tr>
      <w:tr w:rsidR="00DA6432" w:rsidRPr="00DF3375" w14:paraId="232E27CD"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05FD4612"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FCPF</w:t>
            </w:r>
          </w:p>
        </w:tc>
        <w:tc>
          <w:tcPr>
            <w:tcW w:w="7247" w:type="dxa"/>
            <w:shd w:val="clear" w:color="auto" w:fill="auto"/>
          </w:tcPr>
          <w:p w14:paraId="6075D30B"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Forest Carbon Partnership Facility</w:t>
            </w:r>
          </w:p>
        </w:tc>
      </w:tr>
      <w:tr w:rsidR="00DA6432" w:rsidRPr="00DF3375" w14:paraId="4FE94EAE"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3CB9B3B9"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FIP</w:t>
            </w:r>
          </w:p>
        </w:tc>
        <w:tc>
          <w:tcPr>
            <w:tcW w:w="7247" w:type="dxa"/>
            <w:shd w:val="clear" w:color="auto" w:fill="auto"/>
          </w:tcPr>
          <w:p w14:paraId="3B30884A"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Forest Investment Programme</w:t>
            </w:r>
          </w:p>
        </w:tc>
      </w:tr>
      <w:tr w:rsidR="00DA6432" w:rsidRPr="00DF3375" w14:paraId="4595840B"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447C5435"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FRB</w:t>
            </w:r>
          </w:p>
        </w:tc>
        <w:tc>
          <w:tcPr>
            <w:tcW w:w="7247" w:type="dxa"/>
            <w:shd w:val="clear" w:color="auto" w:fill="auto"/>
            <w:hideMark/>
          </w:tcPr>
          <w:p w14:paraId="70B75DC7"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Fondation pour la Recherche sur la Biodiversité</w:t>
            </w:r>
          </w:p>
        </w:tc>
      </w:tr>
      <w:tr w:rsidR="00DA6432" w:rsidRPr="00DF3375" w14:paraId="05804166"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3F77171"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GCLME</w:t>
            </w:r>
          </w:p>
        </w:tc>
        <w:tc>
          <w:tcPr>
            <w:tcW w:w="7247" w:type="dxa"/>
            <w:shd w:val="clear" w:color="auto" w:fill="auto"/>
            <w:hideMark/>
          </w:tcPr>
          <w:p w14:paraId="16C7AE8E"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Guinea Current Large Marine Ecosystem</w:t>
            </w:r>
          </w:p>
        </w:tc>
      </w:tr>
      <w:tr w:rsidR="00DA6432" w:rsidRPr="00DF3375" w14:paraId="172EFD1E"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2459A84B"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GCM</w:t>
            </w:r>
          </w:p>
        </w:tc>
        <w:tc>
          <w:tcPr>
            <w:tcW w:w="7247" w:type="dxa"/>
            <w:shd w:val="clear" w:color="auto" w:fill="auto"/>
          </w:tcPr>
          <w:p w14:paraId="1E9A0E9A"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Global Circulation Model</w:t>
            </w:r>
          </w:p>
        </w:tc>
      </w:tr>
      <w:tr w:rsidR="00DA6432" w:rsidRPr="00DF3375" w14:paraId="6A30747B"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00B13335"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GDP</w:t>
            </w:r>
          </w:p>
        </w:tc>
        <w:tc>
          <w:tcPr>
            <w:tcW w:w="7247" w:type="dxa"/>
            <w:shd w:val="clear" w:color="auto" w:fill="auto"/>
            <w:hideMark/>
          </w:tcPr>
          <w:p w14:paraId="29061A6C"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Gross Domestic Product</w:t>
            </w:r>
          </w:p>
        </w:tc>
      </w:tr>
      <w:tr w:rsidR="00DA6432" w:rsidRPr="00DF3375" w14:paraId="1AEAF769"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5FF17074"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GDSA</w:t>
            </w:r>
          </w:p>
        </w:tc>
        <w:tc>
          <w:tcPr>
            <w:tcW w:w="7247" w:type="dxa"/>
            <w:shd w:val="clear" w:color="auto" w:fill="auto"/>
          </w:tcPr>
          <w:p w14:paraId="4C740B86"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Gaborone Declaration for Sustainability in Africa</w:t>
            </w:r>
          </w:p>
        </w:tc>
      </w:tr>
      <w:tr w:rsidR="00DA6432" w:rsidRPr="00DF3375" w14:paraId="1A4C21F7"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432247EB"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GEF</w:t>
            </w:r>
          </w:p>
        </w:tc>
        <w:tc>
          <w:tcPr>
            <w:tcW w:w="7247" w:type="dxa"/>
            <w:shd w:val="clear" w:color="auto" w:fill="auto"/>
            <w:hideMark/>
          </w:tcPr>
          <w:p w14:paraId="152DD4DF"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Global Environment Facility</w:t>
            </w:r>
          </w:p>
        </w:tc>
      </w:tr>
      <w:tr w:rsidR="00DA6432" w:rsidRPr="00DF3375" w14:paraId="068C5EC7"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75BFC7FC"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 xml:space="preserve">GEO-6 </w:t>
            </w:r>
            <w:r w:rsidRPr="00DF3375">
              <w:rPr>
                <w:rFonts w:ascii="Times New Roman" w:hAnsi="Times New Roman" w:cs="Times New Roman"/>
                <w:b w:val="0"/>
              </w:rPr>
              <w:t>(or 2–5)</w:t>
            </w:r>
          </w:p>
        </w:tc>
        <w:tc>
          <w:tcPr>
            <w:tcW w:w="7247" w:type="dxa"/>
            <w:shd w:val="clear" w:color="auto" w:fill="auto"/>
          </w:tcPr>
          <w:p w14:paraId="596804C8"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Global Environment Outlook 6</w:t>
            </w:r>
          </w:p>
        </w:tc>
      </w:tr>
      <w:tr w:rsidR="00DA6432" w:rsidRPr="00DF3375" w14:paraId="494055C7"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521C9DE8"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GGWSSI</w:t>
            </w:r>
          </w:p>
        </w:tc>
        <w:tc>
          <w:tcPr>
            <w:tcW w:w="7247" w:type="dxa"/>
            <w:shd w:val="clear" w:color="auto" w:fill="auto"/>
          </w:tcPr>
          <w:p w14:paraId="2EE2AE2A"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Great Green Wall for the Sahara and the Sahel Initiative</w:t>
            </w:r>
          </w:p>
        </w:tc>
      </w:tr>
      <w:tr w:rsidR="00DA6432" w:rsidRPr="00DF3375" w14:paraId="630B4CB1"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442788F0"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GHG</w:t>
            </w:r>
          </w:p>
        </w:tc>
        <w:tc>
          <w:tcPr>
            <w:tcW w:w="7247" w:type="dxa"/>
            <w:shd w:val="clear" w:color="auto" w:fill="auto"/>
          </w:tcPr>
          <w:p w14:paraId="3BBD2A44"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Greenhouse Gas</w:t>
            </w:r>
          </w:p>
        </w:tc>
      </w:tr>
      <w:tr w:rsidR="00DA6432" w:rsidRPr="00DF3375" w14:paraId="3A5BF2B9"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438A01E9"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GIPB</w:t>
            </w:r>
          </w:p>
        </w:tc>
        <w:tc>
          <w:tcPr>
            <w:tcW w:w="7247" w:type="dxa"/>
            <w:shd w:val="clear" w:color="auto" w:fill="auto"/>
          </w:tcPr>
          <w:p w14:paraId="207818CB"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Global Partnership Initiative for Plant Breeding Capacity Building</w:t>
            </w:r>
          </w:p>
        </w:tc>
      </w:tr>
      <w:tr w:rsidR="00DA6432" w:rsidRPr="00DF3375" w14:paraId="047EF222"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747B67EA"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GIS</w:t>
            </w:r>
          </w:p>
        </w:tc>
        <w:tc>
          <w:tcPr>
            <w:tcW w:w="7247" w:type="dxa"/>
            <w:shd w:val="clear" w:color="auto" w:fill="auto"/>
            <w:hideMark/>
          </w:tcPr>
          <w:p w14:paraId="3D4E6B80"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Geographic Information System</w:t>
            </w:r>
          </w:p>
        </w:tc>
      </w:tr>
      <w:tr w:rsidR="00DA6432" w:rsidRPr="00DF3375" w14:paraId="2D05D580"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151BB3A8"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GISP</w:t>
            </w:r>
          </w:p>
        </w:tc>
        <w:tc>
          <w:tcPr>
            <w:tcW w:w="7247" w:type="dxa"/>
            <w:shd w:val="clear" w:color="auto" w:fill="auto"/>
          </w:tcPr>
          <w:p w14:paraId="62C7FB70"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Global Invasive Species Programme</w:t>
            </w:r>
          </w:p>
        </w:tc>
      </w:tr>
      <w:tr w:rsidR="00DA6432" w:rsidRPr="00DF3375" w14:paraId="780D65FB"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53DC52DC"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GSG</w:t>
            </w:r>
          </w:p>
        </w:tc>
        <w:tc>
          <w:tcPr>
            <w:tcW w:w="7247" w:type="dxa"/>
            <w:shd w:val="clear" w:color="auto" w:fill="auto"/>
            <w:hideMark/>
          </w:tcPr>
          <w:p w14:paraId="4663A713"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Global Scenarios Group</w:t>
            </w:r>
          </w:p>
        </w:tc>
      </w:tr>
      <w:tr w:rsidR="00DA6432" w:rsidRPr="00DF3375" w14:paraId="3610F69E"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350E4578"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HADCM</w:t>
            </w:r>
          </w:p>
        </w:tc>
        <w:tc>
          <w:tcPr>
            <w:tcW w:w="7247" w:type="dxa"/>
            <w:shd w:val="clear" w:color="auto" w:fill="auto"/>
          </w:tcPr>
          <w:p w14:paraId="7F8BED06"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Hadley Centre Coupled Model</w:t>
            </w:r>
          </w:p>
        </w:tc>
      </w:tr>
      <w:tr w:rsidR="00DA6432" w:rsidRPr="00DF3375" w14:paraId="1C78F493"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43D1D38E"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HDRO</w:t>
            </w:r>
          </w:p>
        </w:tc>
        <w:tc>
          <w:tcPr>
            <w:tcW w:w="7247" w:type="dxa"/>
            <w:shd w:val="clear" w:color="auto" w:fill="auto"/>
          </w:tcPr>
          <w:p w14:paraId="63ADC55A"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Human Development Reports Office</w:t>
            </w:r>
          </w:p>
        </w:tc>
      </w:tr>
      <w:tr w:rsidR="00DA6432" w:rsidRPr="00DF3375" w14:paraId="59364C8E"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674B6DF0"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IAEA</w:t>
            </w:r>
          </w:p>
        </w:tc>
        <w:tc>
          <w:tcPr>
            <w:tcW w:w="7247" w:type="dxa"/>
            <w:shd w:val="clear" w:color="auto" w:fill="auto"/>
          </w:tcPr>
          <w:p w14:paraId="53C5756A"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International Atomic Energy Agency</w:t>
            </w:r>
          </w:p>
        </w:tc>
      </w:tr>
      <w:tr w:rsidR="00DA6432" w:rsidRPr="00DF3375" w14:paraId="4E088F80"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323D6C1"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IAS</w:t>
            </w:r>
          </w:p>
        </w:tc>
        <w:tc>
          <w:tcPr>
            <w:tcW w:w="7247" w:type="dxa"/>
            <w:shd w:val="clear" w:color="auto" w:fill="auto"/>
            <w:hideMark/>
          </w:tcPr>
          <w:p w14:paraId="60F2648E"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Invasive Alien Species</w:t>
            </w:r>
          </w:p>
        </w:tc>
      </w:tr>
      <w:tr w:rsidR="00DA6432" w:rsidRPr="00DF3375" w14:paraId="58A8B54A"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3975FB44"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ICCA</w:t>
            </w:r>
          </w:p>
        </w:tc>
        <w:tc>
          <w:tcPr>
            <w:tcW w:w="7247" w:type="dxa"/>
            <w:shd w:val="clear" w:color="auto" w:fill="auto"/>
          </w:tcPr>
          <w:p w14:paraId="7E352A67"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Indigenous and Community Conserved Area</w:t>
            </w:r>
          </w:p>
        </w:tc>
      </w:tr>
      <w:tr w:rsidR="00DA6432" w:rsidRPr="00DF3375" w14:paraId="57E545A4"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5B3FCC18"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ICDP</w:t>
            </w:r>
          </w:p>
        </w:tc>
        <w:tc>
          <w:tcPr>
            <w:tcW w:w="7247" w:type="dxa"/>
            <w:shd w:val="clear" w:color="auto" w:fill="auto"/>
          </w:tcPr>
          <w:p w14:paraId="3985AA5B"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Integrated Conservation Development Project</w:t>
            </w:r>
          </w:p>
        </w:tc>
      </w:tr>
      <w:tr w:rsidR="00DA6432" w:rsidRPr="00DF3375" w14:paraId="6F315857"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1AD8397"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 xml:space="preserve">ICSU </w:t>
            </w:r>
          </w:p>
        </w:tc>
        <w:tc>
          <w:tcPr>
            <w:tcW w:w="7247" w:type="dxa"/>
            <w:shd w:val="clear" w:color="auto" w:fill="auto"/>
            <w:hideMark/>
          </w:tcPr>
          <w:p w14:paraId="489DF79F"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International Council of Scientific Unions</w:t>
            </w:r>
          </w:p>
        </w:tc>
      </w:tr>
      <w:tr w:rsidR="00DA6432" w:rsidRPr="00DF3375" w14:paraId="3F1D7A7B"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5316E9AE"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ICT</w:t>
            </w:r>
          </w:p>
        </w:tc>
        <w:tc>
          <w:tcPr>
            <w:tcW w:w="7247" w:type="dxa"/>
            <w:shd w:val="clear" w:color="auto" w:fill="auto"/>
          </w:tcPr>
          <w:p w14:paraId="310F9D97"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Information and Communications Technologies</w:t>
            </w:r>
          </w:p>
        </w:tc>
      </w:tr>
      <w:tr w:rsidR="00DA6432" w:rsidRPr="00DF3375" w14:paraId="6EAF5522"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68F0853E"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IEA</w:t>
            </w:r>
          </w:p>
        </w:tc>
        <w:tc>
          <w:tcPr>
            <w:tcW w:w="7247" w:type="dxa"/>
            <w:shd w:val="clear" w:color="auto" w:fill="auto"/>
            <w:hideMark/>
          </w:tcPr>
          <w:p w14:paraId="6E347D14"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International Energy Agency</w:t>
            </w:r>
          </w:p>
        </w:tc>
      </w:tr>
      <w:tr w:rsidR="00DA6432" w:rsidRPr="00DF3375" w14:paraId="5F807B64"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5761F6B5"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IFAD</w:t>
            </w:r>
          </w:p>
        </w:tc>
        <w:tc>
          <w:tcPr>
            <w:tcW w:w="7247" w:type="dxa"/>
            <w:shd w:val="clear" w:color="auto" w:fill="auto"/>
            <w:hideMark/>
          </w:tcPr>
          <w:p w14:paraId="6442533F"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International Fund for Agricultural Development</w:t>
            </w:r>
          </w:p>
        </w:tc>
      </w:tr>
      <w:tr w:rsidR="00DA6432" w:rsidRPr="00DF3375" w14:paraId="2A4B2E64"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5F0A8D8F"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IIED</w:t>
            </w:r>
          </w:p>
        </w:tc>
        <w:tc>
          <w:tcPr>
            <w:tcW w:w="7247" w:type="dxa"/>
            <w:shd w:val="clear" w:color="auto" w:fill="auto"/>
            <w:hideMark/>
          </w:tcPr>
          <w:p w14:paraId="32E585CF"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International Institute for Environment and Development</w:t>
            </w:r>
          </w:p>
        </w:tc>
      </w:tr>
      <w:tr w:rsidR="00DA6432" w:rsidRPr="00DF3375" w14:paraId="2EDC1756"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213F8427"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ILK</w:t>
            </w:r>
          </w:p>
        </w:tc>
        <w:tc>
          <w:tcPr>
            <w:tcW w:w="7247" w:type="dxa"/>
            <w:shd w:val="clear" w:color="auto" w:fill="auto"/>
            <w:hideMark/>
          </w:tcPr>
          <w:p w14:paraId="1CBD8D22"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Indigenous and Local Knowledge</w:t>
            </w:r>
          </w:p>
        </w:tc>
      </w:tr>
      <w:tr w:rsidR="00DA6432" w:rsidRPr="00DF3375" w14:paraId="3D9C55D3"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4C780ABE"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ILKP</w:t>
            </w:r>
          </w:p>
        </w:tc>
        <w:tc>
          <w:tcPr>
            <w:tcW w:w="7247" w:type="dxa"/>
            <w:shd w:val="clear" w:color="auto" w:fill="auto"/>
          </w:tcPr>
          <w:p w14:paraId="34410652"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Indigenous and Local Knowledge and Practices</w:t>
            </w:r>
          </w:p>
        </w:tc>
      </w:tr>
      <w:tr w:rsidR="00DA6432" w:rsidRPr="00DF3375" w14:paraId="3665271A"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319557EB"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ILM</w:t>
            </w:r>
          </w:p>
        </w:tc>
        <w:tc>
          <w:tcPr>
            <w:tcW w:w="7247" w:type="dxa"/>
            <w:shd w:val="clear" w:color="auto" w:fill="auto"/>
            <w:hideMark/>
          </w:tcPr>
          <w:p w14:paraId="495AAB29"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Integrated Landscape Management</w:t>
            </w:r>
          </w:p>
        </w:tc>
      </w:tr>
      <w:tr w:rsidR="00DA6432" w:rsidRPr="00DF3375" w14:paraId="5398D99E"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6199D6CD"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InVEST</w:t>
            </w:r>
          </w:p>
        </w:tc>
        <w:tc>
          <w:tcPr>
            <w:tcW w:w="7247" w:type="dxa"/>
            <w:shd w:val="clear" w:color="auto" w:fill="auto"/>
          </w:tcPr>
          <w:p w14:paraId="65D265D0"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Integrated Valuation of Ecosystem Services and Trade-offs</w:t>
            </w:r>
          </w:p>
        </w:tc>
      </w:tr>
      <w:tr w:rsidR="00DA6432" w:rsidRPr="00DF3375" w14:paraId="7FA982E9"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29E1624F"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IOC</w:t>
            </w:r>
          </w:p>
        </w:tc>
        <w:tc>
          <w:tcPr>
            <w:tcW w:w="7247" w:type="dxa"/>
            <w:shd w:val="clear" w:color="auto" w:fill="auto"/>
            <w:hideMark/>
          </w:tcPr>
          <w:p w14:paraId="4685375B"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Indian Ocean Commission</w:t>
            </w:r>
          </w:p>
        </w:tc>
      </w:tr>
      <w:tr w:rsidR="00DA6432" w:rsidRPr="00DF3375" w14:paraId="398F30C5"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25101138"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IPBES</w:t>
            </w:r>
          </w:p>
        </w:tc>
        <w:tc>
          <w:tcPr>
            <w:tcW w:w="7247" w:type="dxa"/>
            <w:shd w:val="clear" w:color="auto" w:fill="auto"/>
            <w:hideMark/>
          </w:tcPr>
          <w:p w14:paraId="74714C76"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Intergovernmental Science-Policy Platform on Biodiversity and Ecosystem Services</w:t>
            </w:r>
          </w:p>
        </w:tc>
      </w:tr>
      <w:tr w:rsidR="00DA6432" w:rsidRPr="00DF3375" w14:paraId="1AD3CBC9"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454ED09B"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IPCC</w:t>
            </w:r>
          </w:p>
        </w:tc>
        <w:tc>
          <w:tcPr>
            <w:tcW w:w="7247" w:type="dxa"/>
            <w:shd w:val="clear" w:color="auto" w:fill="auto"/>
            <w:hideMark/>
          </w:tcPr>
          <w:p w14:paraId="7BA59861"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Intergovernmental Panel on Climate Change</w:t>
            </w:r>
          </w:p>
        </w:tc>
      </w:tr>
      <w:tr w:rsidR="00DA6432" w:rsidRPr="00DF3375" w14:paraId="3CFCF0AE"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4A3D8BF3"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IPCC SRES</w:t>
            </w:r>
          </w:p>
        </w:tc>
        <w:tc>
          <w:tcPr>
            <w:tcW w:w="7247" w:type="dxa"/>
            <w:shd w:val="clear" w:color="auto" w:fill="auto"/>
            <w:hideMark/>
          </w:tcPr>
          <w:p w14:paraId="362ED061"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 xml:space="preserve">Intergovernmental Panel on Climate Change Special Report on Emissions </w:t>
            </w:r>
          </w:p>
        </w:tc>
      </w:tr>
      <w:tr w:rsidR="00DA6432" w:rsidRPr="00DF3375" w14:paraId="04F79482"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4EAA1C13"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ISO</w:t>
            </w:r>
          </w:p>
        </w:tc>
        <w:tc>
          <w:tcPr>
            <w:tcW w:w="7247" w:type="dxa"/>
            <w:shd w:val="clear" w:color="auto" w:fill="auto"/>
          </w:tcPr>
          <w:p w14:paraId="6F03EF13"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International Organization for Standardization</w:t>
            </w:r>
          </w:p>
        </w:tc>
      </w:tr>
      <w:tr w:rsidR="00DA6432" w:rsidRPr="00DF3375" w14:paraId="7CD30041"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2908E238"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ITPGRFA</w:t>
            </w:r>
          </w:p>
        </w:tc>
        <w:tc>
          <w:tcPr>
            <w:tcW w:w="7247" w:type="dxa"/>
            <w:shd w:val="clear" w:color="auto" w:fill="auto"/>
          </w:tcPr>
          <w:p w14:paraId="54DB5183"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International Treaty on Plant Genetic Resources for Food and Agriculture</w:t>
            </w:r>
          </w:p>
        </w:tc>
      </w:tr>
      <w:tr w:rsidR="00DA6432" w:rsidRPr="00DF3375" w14:paraId="5F57563A"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45BDAC82"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IUCN</w:t>
            </w:r>
          </w:p>
        </w:tc>
        <w:tc>
          <w:tcPr>
            <w:tcW w:w="7247" w:type="dxa"/>
            <w:shd w:val="clear" w:color="auto" w:fill="auto"/>
            <w:hideMark/>
          </w:tcPr>
          <w:p w14:paraId="188FCA7A"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International Union for Conservation of Nature</w:t>
            </w:r>
          </w:p>
        </w:tc>
      </w:tr>
      <w:tr w:rsidR="00DA6432" w:rsidRPr="00DF3375" w14:paraId="0631CC1C"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3493D9D8"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LAC</w:t>
            </w:r>
          </w:p>
        </w:tc>
        <w:tc>
          <w:tcPr>
            <w:tcW w:w="7247" w:type="dxa"/>
            <w:shd w:val="clear" w:color="auto" w:fill="auto"/>
          </w:tcPr>
          <w:p w14:paraId="27190717"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Land Administration Committee (of Ethiopia)</w:t>
            </w:r>
          </w:p>
        </w:tc>
      </w:tr>
      <w:tr w:rsidR="00DA6432" w:rsidRPr="00DF3375" w14:paraId="335D2192"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3F6FFDFA"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LEGEND</w:t>
            </w:r>
          </w:p>
        </w:tc>
        <w:tc>
          <w:tcPr>
            <w:tcW w:w="7247" w:type="dxa"/>
            <w:shd w:val="clear" w:color="auto" w:fill="auto"/>
          </w:tcPr>
          <w:p w14:paraId="466F3550"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Land: Enhancing Governance for Economic Development</w:t>
            </w:r>
          </w:p>
        </w:tc>
      </w:tr>
      <w:tr w:rsidR="00DA6432" w:rsidRPr="00DF3375" w14:paraId="42849545"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16DD99E9"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LHDA</w:t>
            </w:r>
          </w:p>
        </w:tc>
        <w:tc>
          <w:tcPr>
            <w:tcW w:w="7247" w:type="dxa"/>
            <w:shd w:val="clear" w:color="auto" w:fill="auto"/>
          </w:tcPr>
          <w:p w14:paraId="4E663824"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Lesotho Highlands Development Authority</w:t>
            </w:r>
          </w:p>
        </w:tc>
      </w:tr>
      <w:tr w:rsidR="00DA6432" w:rsidRPr="00DF3375" w14:paraId="57CDE1CE"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735F49E3"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LME</w:t>
            </w:r>
          </w:p>
        </w:tc>
        <w:tc>
          <w:tcPr>
            <w:tcW w:w="7247" w:type="dxa"/>
            <w:shd w:val="clear" w:color="auto" w:fill="auto"/>
            <w:hideMark/>
          </w:tcPr>
          <w:p w14:paraId="29A270CB"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Large Marine Ecosystem</w:t>
            </w:r>
          </w:p>
        </w:tc>
      </w:tr>
      <w:tr w:rsidR="00DA6432" w:rsidRPr="00DF3375" w14:paraId="00FF8201"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105C6F4F"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LMMA</w:t>
            </w:r>
          </w:p>
        </w:tc>
        <w:tc>
          <w:tcPr>
            <w:tcW w:w="7247" w:type="dxa"/>
            <w:shd w:val="clear" w:color="auto" w:fill="auto"/>
          </w:tcPr>
          <w:p w14:paraId="4526EA83"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Locally-Managed Marine Areas</w:t>
            </w:r>
          </w:p>
        </w:tc>
      </w:tr>
      <w:tr w:rsidR="00DA6432" w:rsidRPr="00DF3375" w14:paraId="4801C695"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652B0EBE"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LPFN</w:t>
            </w:r>
          </w:p>
        </w:tc>
        <w:tc>
          <w:tcPr>
            <w:tcW w:w="7247" w:type="dxa"/>
            <w:shd w:val="clear" w:color="auto" w:fill="auto"/>
          </w:tcPr>
          <w:p w14:paraId="3FE17993"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Landscape for People, Food and Nature</w:t>
            </w:r>
          </w:p>
        </w:tc>
      </w:tr>
      <w:tr w:rsidR="00DA6432" w:rsidRPr="00DF3375" w14:paraId="7963606E"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072C153A"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MA</w:t>
            </w:r>
          </w:p>
        </w:tc>
        <w:tc>
          <w:tcPr>
            <w:tcW w:w="7247" w:type="dxa"/>
            <w:shd w:val="clear" w:color="auto" w:fill="auto"/>
            <w:hideMark/>
          </w:tcPr>
          <w:p w14:paraId="41371668"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Millennium Ecosystem Assessment</w:t>
            </w:r>
          </w:p>
        </w:tc>
      </w:tr>
      <w:tr w:rsidR="00DA6432" w:rsidRPr="00DF3375" w14:paraId="6C5E33D5"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74775531"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MEA</w:t>
            </w:r>
          </w:p>
        </w:tc>
        <w:tc>
          <w:tcPr>
            <w:tcW w:w="7247" w:type="dxa"/>
            <w:shd w:val="clear" w:color="auto" w:fill="auto"/>
            <w:hideMark/>
          </w:tcPr>
          <w:p w14:paraId="210C351C"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Multilateral Environmental Agreements</w:t>
            </w:r>
          </w:p>
        </w:tc>
      </w:tr>
      <w:tr w:rsidR="00DA6432" w:rsidRPr="00DF3375" w14:paraId="69849058"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74F76936"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MEP</w:t>
            </w:r>
          </w:p>
        </w:tc>
        <w:tc>
          <w:tcPr>
            <w:tcW w:w="7247" w:type="dxa"/>
            <w:shd w:val="clear" w:color="auto" w:fill="auto"/>
          </w:tcPr>
          <w:p w14:paraId="528C401E"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Multidisciplinary Expert Panel</w:t>
            </w:r>
          </w:p>
        </w:tc>
      </w:tr>
      <w:tr w:rsidR="00DA6432" w:rsidRPr="00DF3375" w14:paraId="4B7BC895"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1DA26AD2"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MESH</w:t>
            </w:r>
          </w:p>
        </w:tc>
        <w:tc>
          <w:tcPr>
            <w:tcW w:w="7247" w:type="dxa"/>
            <w:shd w:val="clear" w:color="auto" w:fill="auto"/>
          </w:tcPr>
          <w:p w14:paraId="7AE8AE83"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Mapping Ecosystem Services to Human Well-being</w:t>
            </w:r>
          </w:p>
        </w:tc>
      </w:tr>
      <w:tr w:rsidR="00DA6432" w:rsidRPr="00DF3375" w14:paraId="52FC7167"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66CAD2AB"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MIKE</w:t>
            </w:r>
          </w:p>
        </w:tc>
        <w:tc>
          <w:tcPr>
            <w:tcW w:w="7247" w:type="dxa"/>
            <w:shd w:val="clear" w:color="auto" w:fill="auto"/>
          </w:tcPr>
          <w:p w14:paraId="0E00E276"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Monitoring of Illegal Killing of Elephants</w:t>
            </w:r>
          </w:p>
        </w:tc>
      </w:tr>
      <w:tr w:rsidR="00DA6432" w:rsidRPr="00DF3375" w14:paraId="7142ABB6"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39976086"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MNRT</w:t>
            </w:r>
          </w:p>
        </w:tc>
        <w:tc>
          <w:tcPr>
            <w:tcW w:w="7247" w:type="dxa"/>
            <w:shd w:val="clear" w:color="auto" w:fill="auto"/>
            <w:hideMark/>
          </w:tcPr>
          <w:p w14:paraId="7F5EC1ED"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 xml:space="preserve">Ministry of Natural Resources and Tourism in Tanzania </w:t>
            </w:r>
          </w:p>
        </w:tc>
      </w:tr>
      <w:tr w:rsidR="00DA6432" w:rsidRPr="00DF3375" w14:paraId="4FF4C9F1"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25C266D2"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MPI</w:t>
            </w:r>
          </w:p>
        </w:tc>
        <w:tc>
          <w:tcPr>
            <w:tcW w:w="7247" w:type="dxa"/>
            <w:shd w:val="clear" w:color="auto" w:fill="auto"/>
          </w:tcPr>
          <w:p w14:paraId="2DEF49F3"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Multidimensional Poverty Index</w:t>
            </w:r>
          </w:p>
        </w:tc>
      </w:tr>
      <w:tr w:rsidR="00DA6432" w:rsidRPr="00DF3375" w14:paraId="73160B6A"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7CF3F425"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MSC</w:t>
            </w:r>
          </w:p>
        </w:tc>
        <w:tc>
          <w:tcPr>
            <w:tcW w:w="7247" w:type="dxa"/>
            <w:shd w:val="clear" w:color="auto" w:fill="auto"/>
          </w:tcPr>
          <w:p w14:paraId="35EA283A"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Marine Stewardship Council</w:t>
            </w:r>
          </w:p>
        </w:tc>
      </w:tr>
      <w:tr w:rsidR="00DA6432" w:rsidRPr="00DF3375" w14:paraId="0CA30D9E"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2FC0D340"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NBSAP</w:t>
            </w:r>
          </w:p>
        </w:tc>
        <w:tc>
          <w:tcPr>
            <w:tcW w:w="7247" w:type="dxa"/>
            <w:shd w:val="clear" w:color="auto" w:fill="auto"/>
          </w:tcPr>
          <w:p w14:paraId="13750DE7"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National Biodiversity Strategy and Action Plan</w:t>
            </w:r>
          </w:p>
        </w:tc>
      </w:tr>
      <w:tr w:rsidR="00DA6432" w:rsidRPr="00DF3375" w14:paraId="508BD04B"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664E30CD"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NCP</w:t>
            </w:r>
          </w:p>
        </w:tc>
        <w:tc>
          <w:tcPr>
            <w:tcW w:w="7247" w:type="dxa"/>
            <w:shd w:val="clear" w:color="auto" w:fill="auto"/>
            <w:hideMark/>
          </w:tcPr>
          <w:p w14:paraId="60B31079"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Nature’s Contributions to People</w:t>
            </w:r>
          </w:p>
        </w:tc>
      </w:tr>
      <w:tr w:rsidR="00DA6432" w:rsidRPr="00DF3375" w14:paraId="6F2662BF"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1EC29B06"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NEMA</w:t>
            </w:r>
          </w:p>
        </w:tc>
        <w:tc>
          <w:tcPr>
            <w:tcW w:w="7247" w:type="dxa"/>
            <w:shd w:val="clear" w:color="auto" w:fill="auto"/>
          </w:tcPr>
          <w:p w14:paraId="2AC1FD7D"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National Environment Management Authority (of Uganda)</w:t>
            </w:r>
          </w:p>
        </w:tc>
      </w:tr>
      <w:tr w:rsidR="00DA6432" w:rsidRPr="00DF3375" w14:paraId="68EB984E"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2EA73E63"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NEPAD</w:t>
            </w:r>
          </w:p>
        </w:tc>
        <w:tc>
          <w:tcPr>
            <w:tcW w:w="7247" w:type="dxa"/>
            <w:shd w:val="clear" w:color="auto" w:fill="auto"/>
            <w:hideMark/>
          </w:tcPr>
          <w:p w14:paraId="61111F53"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New Partnership for Africa's Development</w:t>
            </w:r>
          </w:p>
        </w:tc>
      </w:tr>
      <w:tr w:rsidR="00DA6432" w:rsidRPr="00DF3375" w14:paraId="784ABB2D"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313ECA6B"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NGO</w:t>
            </w:r>
          </w:p>
        </w:tc>
        <w:tc>
          <w:tcPr>
            <w:tcW w:w="7247" w:type="dxa"/>
            <w:shd w:val="clear" w:color="auto" w:fill="auto"/>
            <w:hideMark/>
          </w:tcPr>
          <w:p w14:paraId="50E83BCB"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Non-Governmental Organisation</w:t>
            </w:r>
          </w:p>
        </w:tc>
      </w:tr>
      <w:tr w:rsidR="00DA6432" w:rsidRPr="00DF3375" w14:paraId="0E9B441E"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65FBA4C8"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NP/ABS</w:t>
            </w:r>
          </w:p>
        </w:tc>
        <w:tc>
          <w:tcPr>
            <w:tcW w:w="7247" w:type="dxa"/>
            <w:shd w:val="clear" w:color="auto" w:fill="auto"/>
          </w:tcPr>
          <w:p w14:paraId="01ED7B2E"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Nagoya Protocol on Access and Benefit-Sharing</w:t>
            </w:r>
          </w:p>
        </w:tc>
      </w:tr>
      <w:tr w:rsidR="00DA6432" w:rsidRPr="00DF3375" w14:paraId="579CBF98"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7590F369"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NPP</w:t>
            </w:r>
          </w:p>
        </w:tc>
        <w:tc>
          <w:tcPr>
            <w:tcW w:w="7247" w:type="dxa"/>
            <w:shd w:val="clear" w:color="auto" w:fill="auto"/>
          </w:tcPr>
          <w:p w14:paraId="54D7030C"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Net Primary Production</w:t>
            </w:r>
          </w:p>
        </w:tc>
      </w:tr>
      <w:tr w:rsidR="00DA6432" w:rsidRPr="00DF3375" w14:paraId="3E9FCC16"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336F1B10"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NQA</w:t>
            </w:r>
          </w:p>
        </w:tc>
        <w:tc>
          <w:tcPr>
            <w:tcW w:w="7247" w:type="dxa"/>
            <w:shd w:val="clear" w:color="auto" w:fill="auto"/>
          </w:tcPr>
          <w:p w14:paraId="486DFD6B"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National Quality Assurance (ISO Certification)</w:t>
            </w:r>
          </w:p>
        </w:tc>
      </w:tr>
      <w:tr w:rsidR="00DA6432" w:rsidRPr="00DF3375" w14:paraId="65F1F72B"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13653625"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NRC</w:t>
            </w:r>
          </w:p>
        </w:tc>
        <w:tc>
          <w:tcPr>
            <w:tcW w:w="7247" w:type="dxa"/>
            <w:shd w:val="clear" w:color="auto" w:fill="auto"/>
          </w:tcPr>
          <w:p w14:paraId="2CDAEE3A"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Natural Resources Canada</w:t>
            </w:r>
          </w:p>
        </w:tc>
      </w:tr>
      <w:tr w:rsidR="00DA6432" w:rsidRPr="00DF3375" w14:paraId="63E78DCA"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0EA40D22"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NTFPs</w:t>
            </w:r>
          </w:p>
        </w:tc>
        <w:tc>
          <w:tcPr>
            <w:tcW w:w="7247" w:type="dxa"/>
            <w:shd w:val="clear" w:color="auto" w:fill="auto"/>
            <w:hideMark/>
          </w:tcPr>
          <w:p w14:paraId="46988307"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Non-Timber Forest Products</w:t>
            </w:r>
          </w:p>
        </w:tc>
      </w:tr>
      <w:tr w:rsidR="00DA6432" w:rsidRPr="00DF3375" w14:paraId="65B5DAEB"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45376DF3"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OECD</w:t>
            </w:r>
          </w:p>
        </w:tc>
        <w:tc>
          <w:tcPr>
            <w:tcW w:w="7247" w:type="dxa"/>
            <w:shd w:val="clear" w:color="auto" w:fill="auto"/>
            <w:hideMark/>
          </w:tcPr>
          <w:p w14:paraId="7A81EEDF"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Organisation for Economic Cooperation and Development</w:t>
            </w:r>
          </w:p>
        </w:tc>
      </w:tr>
      <w:tr w:rsidR="00DA6432" w:rsidRPr="00DF3375" w14:paraId="783EB288"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0C9C5798"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OSS</w:t>
            </w:r>
          </w:p>
        </w:tc>
        <w:tc>
          <w:tcPr>
            <w:tcW w:w="7247" w:type="dxa"/>
            <w:shd w:val="clear" w:color="auto" w:fill="auto"/>
          </w:tcPr>
          <w:p w14:paraId="64D91D1C"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L'Observatoire du Sahara et du Sahel / Sahara and Sahel Observatory</w:t>
            </w:r>
          </w:p>
        </w:tc>
      </w:tr>
      <w:tr w:rsidR="00DA6432" w:rsidRPr="00DF3375" w14:paraId="1CBCEC8D"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853F2CF"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PATTEC</w:t>
            </w:r>
          </w:p>
        </w:tc>
        <w:tc>
          <w:tcPr>
            <w:tcW w:w="7247" w:type="dxa"/>
            <w:shd w:val="clear" w:color="auto" w:fill="auto"/>
            <w:hideMark/>
          </w:tcPr>
          <w:p w14:paraId="6796BC26"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 xml:space="preserve">Pan African Tsetse and Trypanosomiasis Eradication Campaign </w:t>
            </w:r>
          </w:p>
        </w:tc>
      </w:tr>
      <w:tr w:rsidR="00DA6432" w:rsidRPr="00DF3375" w14:paraId="7F80C264"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16CBA289"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PDD</w:t>
            </w:r>
          </w:p>
        </w:tc>
        <w:tc>
          <w:tcPr>
            <w:tcW w:w="7247" w:type="dxa"/>
            <w:shd w:val="clear" w:color="auto" w:fill="auto"/>
          </w:tcPr>
          <w:p w14:paraId="1D2715EC"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Project Design Document</w:t>
            </w:r>
          </w:p>
        </w:tc>
      </w:tr>
      <w:tr w:rsidR="00DA6432" w:rsidRPr="00DF3375" w14:paraId="11D65232"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09AE775C"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PERSGA/GEF</w:t>
            </w:r>
          </w:p>
        </w:tc>
        <w:tc>
          <w:tcPr>
            <w:tcW w:w="7247" w:type="dxa"/>
            <w:shd w:val="clear" w:color="auto" w:fill="auto"/>
            <w:hideMark/>
          </w:tcPr>
          <w:p w14:paraId="0525AFCF"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 xml:space="preserve">The Regional Organization for the Conservation of the Environment of the Red Sea &amp; Gulf of Aden/Global Environment Facility </w:t>
            </w:r>
          </w:p>
        </w:tc>
      </w:tr>
      <w:tr w:rsidR="00DA6432" w:rsidRPr="00DF3375" w14:paraId="35021F9F"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661C1244"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PES</w:t>
            </w:r>
          </w:p>
        </w:tc>
        <w:tc>
          <w:tcPr>
            <w:tcW w:w="7247" w:type="dxa"/>
            <w:shd w:val="clear" w:color="auto" w:fill="auto"/>
          </w:tcPr>
          <w:p w14:paraId="5DF5AD31"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Payments for Ecosystem Services</w:t>
            </w:r>
          </w:p>
        </w:tc>
      </w:tr>
      <w:tr w:rsidR="00DA6432" w:rsidRPr="00DF3375" w14:paraId="082B4995"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2D83E30A"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PPP</w:t>
            </w:r>
          </w:p>
        </w:tc>
        <w:tc>
          <w:tcPr>
            <w:tcW w:w="7247" w:type="dxa"/>
            <w:shd w:val="clear" w:color="auto" w:fill="auto"/>
          </w:tcPr>
          <w:p w14:paraId="37A9CD07"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Public Private Partnership</w:t>
            </w:r>
          </w:p>
        </w:tc>
      </w:tr>
      <w:tr w:rsidR="00DA6432" w:rsidRPr="00DF3375" w14:paraId="57917DA8"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7FB289E7"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RCP</w:t>
            </w:r>
          </w:p>
        </w:tc>
        <w:tc>
          <w:tcPr>
            <w:tcW w:w="7247" w:type="dxa"/>
            <w:shd w:val="clear" w:color="auto" w:fill="auto"/>
          </w:tcPr>
          <w:p w14:paraId="7F616CA2"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Representative Concentration Pathway</w:t>
            </w:r>
          </w:p>
        </w:tc>
      </w:tr>
      <w:tr w:rsidR="00DA6432" w:rsidRPr="00DF3375" w14:paraId="67C1962A"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038E8B26"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RECs</w:t>
            </w:r>
          </w:p>
        </w:tc>
        <w:tc>
          <w:tcPr>
            <w:tcW w:w="7247" w:type="dxa"/>
            <w:shd w:val="clear" w:color="auto" w:fill="auto"/>
          </w:tcPr>
          <w:p w14:paraId="0E7CE09D"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Regional Economic Communities</w:t>
            </w:r>
          </w:p>
        </w:tc>
      </w:tr>
      <w:tr w:rsidR="00DA6432" w:rsidRPr="00DF3375" w14:paraId="5C5A6C66"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08AAACC4"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REDD+</w:t>
            </w:r>
          </w:p>
        </w:tc>
        <w:tc>
          <w:tcPr>
            <w:tcW w:w="7247" w:type="dxa"/>
            <w:shd w:val="clear" w:color="auto" w:fill="auto"/>
            <w:hideMark/>
          </w:tcPr>
          <w:p w14:paraId="16B29713"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Reducing Emissions from Deforestation and Forest Degradation + the sustainable management of forests, and the conservation and enhancement of forest carbon stocks</w:t>
            </w:r>
          </w:p>
        </w:tc>
      </w:tr>
      <w:tr w:rsidR="00DA6432" w:rsidRPr="00DF3375" w14:paraId="62A10614"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3FD5D40"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RSA</w:t>
            </w:r>
          </w:p>
        </w:tc>
        <w:tc>
          <w:tcPr>
            <w:tcW w:w="7247" w:type="dxa"/>
            <w:shd w:val="clear" w:color="auto" w:fill="auto"/>
            <w:hideMark/>
          </w:tcPr>
          <w:p w14:paraId="79EF0BB5"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Republic of South Africa</w:t>
            </w:r>
          </w:p>
        </w:tc>
      </w:tr>
      <w:tr w:rsidR="00DA6432" w:rsidRPr="00DF3375" w14:paraId="4ABFA4F5"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567319B0"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SADC</w:t>
            </w:r>
          </w:p>
        </w:tc>
        <w:tc>
          <w:tcPr>
            <w:tcW w:w="7247" w:type="dxa"/>
            <w:shd w:val="clear" w:color="auto" w:fill="auto"/>
            <w:hideMark/>
          </w:tcPr>
          <w:p w14:paraId="18AD4869"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Southern African Development Community</w:t>
            </w:r>
          </w:p>
        </w:tc>
      </w:tr>
      <w:tr w:rsidR="00DA6432" w:rsidRPr="00DF3375" w14:paraId="317C2DCD"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3528296A"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SAGCOT</w:t>
            </w:r>
          </w:p>
        </w:tc>
        <w:tc>
          <w:tcPr>
            <w:tcW w:w="7247" w:type="dxa"/>
            <w:shd w:val="clear" w:color="auto" w:fill="auto"/>
          </w:tcPr>
          <w:p w14:paraId="60C99C40"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Southern Agricultural Growth Corridor of Tanzania</w:t>
            </w:r>
          </w:p>
        </w:tc>
      </w:tr>
      <w:tr w:rsidR="00DA6432" w:rsidRPr="00DF3375" w14:paraId="31C2A244"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03F5D031"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SANBI</w:t>
            </w:r>
          </w:p>
        </w:tc>
        <w:tc>
          <w:tcPr>
            <w:tcW w:w="7247" w:type="dxa"/>
            <w:shd w:val="clear" w:color="auto" w:fill="auto"/>
            <w:hideMark/>
          </w:tcPr>
          <w:p w14:paraId="08409C8E"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South African National Biodiversity Institute</w:t>
            </w:r>
          </w:p>
        </w:tc>
      </w:tr>
      <w:tr w:rsidR="00DA6432" w:rsidRPr="00DF3375" w14:paraId="009AF1F1"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12D7EAC4"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SCP</w:t>
            </w:r>
          </w:p>
        </w:tc>
        <w:tc>
          <w:tcPr>
            <w:tcW w:w="7247" w:type="dxa"/>
            <w:shd w:val="clear" w:color="auto" w:fill="auto"/>
          </w:tcPr>
          <w:p w14:paraId="00560F70"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Sustainable Consumption and Production</w:t>
            </w:r>
          </w:p>
        </w:tc>
      </w:tr>
      <w:tr w:rsidR="00DA6432" w:rsidRPr="00DF3375" w14:paraId="77D9B79C"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53404B25"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SDGs</w:t>
            </w:r>
          </w:p>
        </w:tc>
        <w:tc>
          <w:tcPr>
            <w:tcW w:w="7247" w:type="dxa"/>
            <w:shd w:val="clear" w:color="auto" w:fill="auto"/>
            <w:hideMark/>
          </w:tcPr>
          <w:p w14:paraId="648FB32D"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Sustainable Development Goals</w:t>
            </w:r>
          </w:p>
        </w:tc>
      </w:tr>
      <w:tr w:rsidR="00DA6432" w:rsidRPr="00DF3375" w14:paraId="5988F9B7"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7665DBF2"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SEA</w:t>
            </w:r>
          </w:p>
        </w:tc>
        <w:tc>
          <w:tcPr>
            <w:tcW w:w="7247" w:type="dxa"/>
            <w:shd w:val="clear" w:color="auto" w:fill="auto"/>
          </w:tcPr>
          <w:p w14:paraId="3CB3D1EB"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Strategic Environmental Assessment</w:t>
            </w:r>
          </w:p>
        </w:tc>
      </w:tr>
      <w:tr w:rsidR="00DA6432" w:rsidRPr="00DF3375" w14:paraId="65139690"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76E0B70C"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SEEA</w:t>
            </w:r>
          </w:p>
        </w:tc>
        <w:tc>
          <w:tcPr>
            <w:tcW w:w="7247" w:type="dxa"/>
            <w:shd w:val="clear" w:color="auto" w:fill="auto"/>
          </w:tcPr>
          <w:p w14:paraId="25DB31D6"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System of Environmental-Economic Accounting</w:t>
            </w:r>
          </w:p>
        </w:tc>
      </w:tr>
      <w:tr w:rsidR="00DA6432" w:rsidRPr="00DF3375" w14:paraId="7D3D0273"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3B83F884"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SIDS</w:t>
            </w:r>
          </w:p>
        </w:tc>
        <w:tc>
          <w:tcPr>
            <w:tcW w:w="7247" w:type="dxa"/>
            <w:shd w:val="clear" w:color="auto" w:fill="auto"/>
          </w:tcPr>
          <w:p w14:paraId="50E1B080"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Small Island Developing States</w:t>
            </w:r>
          </w:p>
        </w:tc>
      </w:tr>
      <w:tr w:rsidR="00DA6432" w:rsidRPr="00DF3375" w14:paraId="6B58388B"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289401D2"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SPM</w:t>
            </w:r>
          </w:p>
        </w:tc>
        <w:tc>
          <w:tcPr>
            <w:tcW w:w="7247" w:type="dxa"/>
            <w:shd w:val="clear" w:color="auto" w:fill="auto"/>
            <w:hideMark/>
          </w:tcPr>
          <w:p w14:paraId="51169B7F"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Summary for Policymakers</w:t>
            </w:r>
          </w:p>
        </w:tc>
      </w:tr>
      <w:tr w:rsidR="00DA6432" w:rsidRPr="00DF3375" w14:paraId="385604D5"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327E0B6E"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TEEB</w:t>
            </w:r>
          </w:p>
        </w:tc>
        <w:tc>
          <w:tcPr>
            <w:tcW w:w="7247" w:type="dxa"/>
            <w:shd w:val="clear" w:color="auto" w:fill="auto"/>
          </w:tcPr>
          <w:p w14:paraId="28895A32"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The Economics of Ecosystems and Biodiversity</w:t>
            </w:r>
          </w:p>
        </w:tc>
      </w:tr>
      <w:tr w:rsidR="00DA6432" w:rsidRPr="00DF3375" w14:paraId="0EED97A2"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570442F5"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TFCA</w:t>
            </w:r>
          </w:p>
        </w:tc>
        <w:tc>
          <w:tcPr>
            <w:tcW w:w="7247" w:type="dxa"/>
            <w:shd w:val="clear" w:color="auto" w:fill="auto"/>
          </w:tcPr>
          <w:p w14:paraId="59899A34"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Transfrontier Conservation Area</w:t>
            </w:r>
          </w:p>
        </w:tc>
      </w:tr>
      <w:tr w:rsidR="00DA6432" w:rsidRPr="00DF3375" w14:paraId="664807AF"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4BDED40E"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UK</w:t>
            </w:r>
          </w:p>
        </w:tc>
        <w:tc>
          <w:tcPr>
            <w:tcW w:w="7247" w:type="dxa"/>
            <w:shd w:val="clear" w:color="auto" w:fill="auto"/>
            <w:hideMark/>
          </w:tcPr>
          <w:p w14:paraId="3E79EB63"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Kingdom</w:t>
            </w:r>
          </w:p>
        </w:tc>
      </w:tr>
      <w:tr w:rsidR="00DA6432" w:rsidRPr="00DF3375" w14:paraId="439EB283"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745BB2CA"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UN</w:t>
            </w:r>
          </w:p>
        </w:tc>
        <w:tc>
          <w:tcPr>
            <w:tcW w:w="7247" w:type="dxa"/>
            <w:shd w:val="clear" w:color="auto" w:fill="auto"/>
            <w:hideMark/>
          </w:tcPr>
          <w:p w14:paraId="7CE6F700"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w:t>
            </w:r>
          </w:p>
        </w:tc>
      </w:tr>
      <w:tr w:rsidR="00DA6432" w:rsidRPr="00DF3375" w14:paraId="561595FC"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3A331AA4"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UN HABITAT</w:t>
            </w:r>
          </w:p>
        </w:tc>
        <w:tc>
          <w:tcPr>
            <w:tcW w:w="7247" w:type="dxa"/>
            <w:shd w:val="clear" w:color="auto" w:fill="auto"/>
          </w:tcPr>
          <w:p w14:paraId="5591D141"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Human Settlements Programme</w:t>
            </w:r>
          </w:p>
        </w:tc>
      </w:tr>
      <w:tr w:rsidR="00DA6432" w:rsidRPr="00DF3375" w14:paraId="7370C14F"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527C98E"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UNCCD</w:t>
            </w:r>
          </w:p>
        </w:tc>
        <w:tc>
          <w:tcPr>
            <w:tcW w:w="7247" w:type="dxa"/>
            <w:shd w:val="clear" w:color="auto" w:fill="auto"/>
            <w:hideMark/>
          </w:tcPr>
          <w:p w14:paraId="326BFA5E"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Convention to Combat Desertification</w:t>
            </w:r>
          </w:p>
        </w:tc>
      </w:tr>
      <w:tr w:rsidR="00DA6432" w:rsidRPr="00DF3375" w14:paraId="50C9BB96"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47B4F9BF"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UNCED</w:t>
            </w:r>
          </w:p>
        </w:tc>
        <w:tc>
          <w:tcPr>
            <w:tcW w:w="7247" w:type="dxa"/>
            <w:shd w:val="clear" w:color="auto" w:fill="auto"/>
          </w:tcPr>
          <w:p w14:paraId="04DDEC95"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Conference on Environment and Development</w:t>
            </w:r>
          </w:p>
        </w:tc>
      </w:tr>
      <w:tr w:rsidR="00DA6432" w:rsidRPr="00DF3375" w14:paraId="26CA9FEF"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662E50D1"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UNCTAD</w:t>
            </w:r>
          </w:p>
        </w:tc>
        <w:tc>
          <w:tcPr>
            <w:tcW w:w="7247" w:type="dxa"/>
            <w:shd w:val="clear" w:color="auto" w:fill="auto"/>
            <w:hideMark/>
          </w:tcPr>
          <w:p w14:paraId="19DF4E46"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Conference on Trade and Development</w:t>
            </w:r>
          </w:p>
        </w:tc>
      </w:tr>
      <w:tr w:rsidR="00DA6432" w:rsidRPr="00DF3375" w14:paraId="304FC1DB"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466658C2"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UNDP</w:t>
            </w:r>
          </w:p>
        </w:tc>
        <w:tc>
          <w:tcPr>
            <w:tcW w:w="7247" w:type="dxa"/>
            <w:shd w:val="clear" w:color="auto" w:fill="auto"/>
            <w:hideMark/>
          </w:tcPr>
          <w:p w14:paraId="5F67E883"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Development Programme</w:t>
            </w:r>
          </w:p>
        </w:tc>
      </w:tr>
      <w:tr w:rsidR="00DA6432" w:rsidRPr="00DF3375" w14:paraId="0ED1687E"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7ECCC758"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UNDRIP</w:t>
            </w:r>
          </w:p>
        </w:tc>
        <w:tc>
          <w:tcPr>
            <w:tcW w:w="7247" w:type="dxa"/>
            <w:shd w:val="clear" w:color="auto" w:fill="auto"/>
          </w:tcPr>
          <w:p w14:paraId="1108848A"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Declaration on the Rights of Indigenous People</w:t>
            </w:r>
          </w:p>
        </w:tc>
      </w:tr>
      <w:tr w:rsidR="00DA6432" w:rsidRPr="00DF3375" w14:paraId="49D8BABE"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2A272C2"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UNECA</w:t>
            </w:r>
          </w:p>
        </w:tc>
        <w:tc>
          <w:tcPr>
            <w:tcW w:w="7247" w:type="dxa"/>
            <w:shd w:val="clear" w:color="auto" w:fill="auto"/>
            <w:hideMark/>
          </w:tcPr>
          <w:p w14:paraId="7D192CCD"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Economic Commission for Africa</w:t>
            </w:r>
          </w:p>
        </w:tc>
      </w:tr>
      <w:tr w:rsidR="00DA6432" w:rsidRPr="00DF3375" w14:paraId="264C4B68"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A80F80C"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UNEP</w:t>
            </w:r>
          </w:p>
        </w:tc>
        <w:tc>
          <w:tcPr>
            <w:tcW w:w="7247" w:type="dxa"/>
            <w:shd w:val="clear" w:color="auto" w:fill="auto"/>
            <w:hideMark/>
          </w:tcPr>
          <w:p w14:paraId="60B8A2D9"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Environment Programme</w:t>
            </w:r>
          </w:p>
        </w:tc>
      </w:tr>
      <w:tr w:rsidR="00DA6432" w:rsidRPr="00DF3375" w14:paraId="203B09A7"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57F58FD3"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UNEP-WCMC</w:t>
            </w:r>
          </w:p>
        </w:tc>
        <w:tc>
          <w:tcPr>
            <w:tcW w:w="7247" w:type="dxa"/>
            <w:shd w:val="clear" w:color="auto" w:fill="auto"/>
            <w:hideMark/>
          </w:tcPr>
          <w:p w14:paraId="029B7097"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Environment Programme-World Conservation Monitoring Centre</w:t>
            </w:r>
          </w:p>
        </w:tc>
      </w:tr>
      <w:tr w:rsidR="00DA6432" w:rsidRPr="00DF3375" w14:paraId="0E626FF5"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3EE1960"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UNESCO</w:t>
            </w:r>
          </w:p>
        </w:tc>
        <w:tc>
          <w:tcPr>
            <w:tcW w:w="7247" w:type="dxa"/>
            <w:shd w:val="clear" w:color="auto" w:fill="auto"/>
            <w:hideMark/>
          </w:tcPr>
          <w:p w14:paraId="305029DA"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Educational, Scientific and Cultural Organisation</w:t>
            </w:r>
          </w:p>
        </w:tc>
      </w:tr>
      <w:tr w:rsidR="00DA6432" w:rsidRPr="00DF3375" w14:paraId="56E815CB"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716DC2B9"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lang w:val="en-GB"/>
              </w:rPr>
              <w:t>UNESCO-IHE</w:t>
            </w:r>
          </w:p>
        </w:tc>
        <w:tc>
          <w:tcPr>
            <w:tcW w:w="7247" w:type="dxa"/>
            <w:shd w:val="clear" w:color="auto" w:fill="auto"/>
          </w:tcPr>
          <w:p w14:paraId="1AD4204E"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Educational, Scientific and Cultural Organisation-Institute for Water Education</w:t>
            </w:r>
          </w:p>
        </w:tc>
      </w:tr>
      <w:tr w:rsidR="00DA6432" w:rsidRPr="00DF3375" w14:paraId="47AAFF54"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2098F533"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UNFCCC</w:t>
            </w:r>
          </w:p>
        </w:tc>
        <w:tc>
          <w:tcPr>
            <w:tcW w:w="7247" w:type="dxa"/>
            <w:shd w:val="clear" w:color="auto" w:fill="auto"/>
            <w:hideMark/>
          </w:tcPr>
          <w:p w14:paraId="270360F3"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Framework Convention on Climate Change</w:t>
            </w:r>
          </w:p>
        </w:tc>
      </w:tr>
      <w:tr w:rsidR="00DA6432" w:rsidRPr="00DF3375" w14:paraId="4A188CA1"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06120413"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 xml:space="preserve">UNFPA </w:t>
            </w:r>
          </w:p>
        </w:tc>
        <w:tc>
          <w:tcPr>
            <w:tcW w:w="7247" w:type="dxa"/>
            <w:shd w:val="clear" w:color="auto" w:fill="auto"/>
            <w:hideMark/>
          </w:tcPr>
          <w:p w14:paraId="7C32F61C"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 xml:space="preserve">United Nations Fund </w:t>
            </w:r>
          </w:p>
        </w:tc>
      </w:tr>
      <w:tr w:rsidR="00DA6432" w:rsidRPr="00DF3375" w14:paraId="41F1CD3A"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2AD7CB17"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UNICEF</w:t>
            </w:r>
          </w:p>
        </w:tc>
        <w:tc>
          <w:tcPr>
            <w:tcW w:w="7247" w:type="dxa"/>
            <w:shd w:val="clear" w:color="auto" w:fill="auto"/>
          </w:tcPr>
          <w:p w14:paraId="3396F996"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Children’s Fund</w:t>
            </w:r>
          </w:p>
        </w:tc>
      </w:tr>
      <w:tr w:rsidR="00DA6432" w:rsidRPr="00DF3375" w14:paraId="1DBFDCE2"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745B0CD3"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UNISDR</w:t>
            </w:r>
          </w:p>
        </w:tc>
        <w:tc>
          <w:tcPr>
            <w:tcW w:w="7247" w:type="dxa"/>
            <w:shd w:val="clear" w:color="auto" w:fill="auto"/>
          </w:tcPr>
          <w:p w14:paraId="6407E3ED"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lang w:val="en-GB"/>
              </w:rPr>
              <w:t>United Nations International Strategy for Disaster Reduction</w:t>
            </w:r>
          </w:p>
        </w:tc>
      </w:tr>
      <w:tr w:rsidR="00DA6432" w:rsidRPr="00DF3375" w14:paraId="68B119C7"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64897F26"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UNODC</w:t>
            </w:r>
          </w:p>
        </w:tc>
        <w:tc>
          <w:tcPr>
            <w:tcW w:w="7247" w:type="dxa"/>
            <w:shd w:val="clear" w:color="auto" w:fill="auto"/>
            <w:hideMark/>
          </w:tcPr>
          <w:p w14:paraId="09DFC5BA"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Office On Drugs And Crime</w:t>
            </w:r>
          </w:p>
        </w:tc>
      </w:tr>
      <w:tr w:rsidR="00DA6432" w:rsidRPr="00DF3375" w14:paraId="47D9640E"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6D36E3BF"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 xml:space="preserve">UNWTO </w:t>
            </w:r>
          </w:p>
        </w:tc>
        <w:tc>
          <w:tcPr>
            <w:tcW w:w="7247" w:type="dxa"/>
            <w:shd w:val="clear" w:color="auto" w:fill="auto"/>
            <w:hideMark/>
          </w:tcPr>
          <w:p w14:paraId="6DCC0B46"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World Tourism Organization.</w:t>
            </w:r>
          </w:p>
        </w:tc>
      </w:tr>
      <w:tr w:rsidR="00DA6432" w:rsidRPr="00DF3375" w14:paraId="2CD0E24D"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79E04F04"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USA</w:t>
            </w:r>
          </w:p>
        </w:tc>
        <w:tc>
          <w:tcPr>
            <w:tcW w:w="7247" w:type="dxa"/>
            <w:shd w:val="clear" w:color="auto" w:fill="auto"/>
            <w:hideMark/>
          </w:tcPr>
          <w:p w14:paraId="2D4435CE"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States of America</w:t>
            </w:r>
          </w:p>
        </w:tc>
      </w:tr>
      <w:tr w:rsidR="00DA6432" w:rsidRPr="00DF3375" w14:paraId="59E684B7"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64865BDE"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USAID</w:t>
            </w:r>
          </w:p>
        </w:tc>
        <w:tc>
          <w:tcPr>
            <w:tcW w:w="7247" w:type="dxa"/>
            <w:shd w:val="clear" w:color="auto" w:fill="auto"/>
            <w:hideMark/>
          </w:tcPr>
          <w:p w14:paraId="117F40D2"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States Agency for International Development</w:t>
            </w:r>
          </w:p>
        </w:tc>
      </w:tr>
      <w:tr w:rsidR="00DA6432" w:rsidRPr="00DF3375" w14:paraId="68AECA19"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7B7E44CE"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 xml:space="preserve">USDA </w:t>
            </w:r>
          </w:p>
        </w:tc>
        <w:tc>
          <w:tcPr>
            <w:tcW w:w="7247" w:type="dxa"/>
            <w:shd w:val="clear" w:color="auto" w:fill="auto"/>
            <w:hideMark/>
          </w:tcPr>
          <w:p w14:paraId="36229B5B"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States Department of Agriculture</w:t>
            </w:r>
          </w:p>
        </w:tc>
      </w:tr>
      <w:tr w:rsidR="00DA6432" w:rsidRPr="00DF3375" w14:paraId="784D6239"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48C0B55"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VGGT</w:t>
            </w:r>
          </w:p>
        </w:tc>
        <w:tc>
          <w:tcPr>
            <w:tcW w:w="7247" w:type="dxa"/>
            <w:shd w:val="clear" w:color="auto" w:fill="auto"/>
            <w:hideMark/>
          </w:tcPr>
          <w:p w14:paraId="5B9B8515"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Voluntary Guidelines on the Responsible Governance of Tenure</w:t>
            </w:r>
          </w:p>
        </w:tc>
      </w:tr>
      <w:tr w:rsidR="00DA6432" w:rsidRPr="00DF3375" w14:paraId="171EADDF"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4BBE1E9D"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WaterGAP</w:t>
            </w:r>
          </w:p>
        </w:tc>
        <w:tc>
          <w:tcPr>
            <w:tcW w:w="7247" w:type="dxa"/>
            <w:shd w:val="clear" w:color="auto" w:fill="auto"/>
          </w:tcPr>
          <w:p w14:paraId="57A95B41"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Water: A Global Assessment and Prognosis</w:t>
            </w:r>
          </w:p>
        </w:tc>
      </w:tr>
      <w:tr w:rsidR="00DA6432" w:rsidRPr="00DF3375" w14:paraId="23F01FF1"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0F011503"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WAVES</w:t>
            </w:r>
          </w:p>
        </w:tc>
        <w:tc>
          <w:tcPr>
            <w:tcW w:w="7247" w:type="dxa"/>
            <w:shd w:val="clear" w:color="auto" w:fill="auto"/>
            <w:hideMark/>
          </w:tcPr>
          <w:p w14:paraId="378FD521"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Wealth Accounting for Valuation of Ecosystem Services</w:t>
            </w:r>
          </w:p>
        </w:tc>
      </w:tr>
      <w:tr w:rsidR="00DA6432" w:rsidRPr="00DF3375" w14:paraId="5859D8DD"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4E0628EE"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WCPA</w:t>
            </w:r>
          </w:p>
        </w:tc>
        <w:tc>
          <w:tcPr>
            <w:tcW w:w="7247" w:type="dxa"/>
            <w:shd w:val="clear" w:color="auto" w:fill="auto"/>
          </w:tcPr>
          <w:p w14:paraId="5D5D1E22"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World Commission on Protected Areas</w:t>
            </w:r>
          </w:p>
        </w:tc>
      </w:tr>
      <w:tr w:rsidR="00DA6432" w:rsidRPr="00DF3375" w14:paraId="5AE68E61"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09E18050"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WEC</w:t>
            </w:r>
          </w:p>
        </w:tc>
        <w:tc>
          <w:tcPr>
            <w:tcW w:w="7247" w:type="dxa"/>
            <w:shd w:val="clear" w:color="auto" w:fill="auto"/>
          </w:tcPr>
          <w:p w14:paraId="2B04315D"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World Energy Council</w:t>
            </w:r>
          </w:p>
        </w:tc>
      </w:tr>
      <w:tr w:rsidR="00DA6432" w:rsidRPr="00DF3375" w14:paraId="7D70B66B"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59F11805"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WEMS</w:t>
            </w:r>
          </w:p>
        </w:tc>
        <w:tc>
          <w:tcPr>
            <w:tcW w:w="7247" w:type="dxa"/>
            <w:shd w:val="clear" w:color="auto" w:fill="auto"/>
          </w:tcPr>
          <w:p w14:paraId="11337087"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F3375">
              <w:rPr>
                <w:rFonts w:ascii="Times New Roman" w:hAnsi="Times New Roman" w:cs="Times New Roman"/>
              </w:rPr>
              <w:t>Wildlife Enforcement Monitoring System</w:t>
            </w:r>
          </w:p>
        </w:tc>
      </w:tr>
      <w:tr w:rsidR="00DA6432" w:rsidRPr="00DF3375" w14:paraId="44F20CC0"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68131CBB" w14:textId="77777777" w:rsidR="00DA6432" w:rsidRPr="00DF3375" w:rsidRDefault="00DA6432" w:rsidP="00D159DD">
            <w:pPr>
              <w:spacing w:after="120"/>
              <w:rPr>
                <w:rFonts w:ascii="Times New Roman" w:hAnsi="Times New Roman" w:cs="Times New Roman"/>
              </w:rPr>
            </w:pPr>
            <w:r w:rsidRPr="00DF3375">
              <w:rPr>
                <w:rFonts w:ascii="Times New Roman" w:hAnsi="Times New Roman" w:cs="Times New Roman"/>
              </w:rPr>
              <w:t>WHC</w:t>
            </w:r>
          </w:p>
        </w:tc>
        <w:tc>
          <w:tcPr>
            <w:tcW w:w="7247" w:type="dxa"/>
            <w:shd w:val="clear" w:color="auto" w:fill="auto"/>
          </w:tcPr>
          <w:p w14:paraId="4042277F"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World Heritage Convention</w:t>
            </w:r>
          </w:p>
        </w:tc>
      </w:tr>
      <w:tr w:rsidR="00DA6432" w:rsidRPr="00DF3375" w14:paraId="2933DBE0"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14E004E2"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WHO</w:t>
            </w:r>
          </w:p>
        </w:tc>
        <w:tc>
          <w:tcPr>
            <w:tcW w:w="7247" w:type="dxa"/>
            <w:shd w:val="clear" w:color="auto" w:fill="auto"/>
            <w:hideMark/>
          </w:tcPr>
          <w:p w14:paraId="7128117D"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World Health Organization</w:t>
            </w:r>
          </w:p>
        </w:tc>
      </w:tr>
      <w:tr w:rsidR="00DA6432" w:rsidRPr="00DF3375" w14:paraId="04EB9617"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4586F6C4"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WMO</w:t>
            </w:r>
          </w:p>
        </w:tc>
        <w:tc>
          <w:tcPr>
            <w:tcW w:w="7247" w:type="dxa"/>
            <w:shd w:val="clear" w:color="auto" w:fill="auto"/>
          </w:tcPr>
          <w:p w14:paraId="65B5A799"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World Meteorological Organization</w:t>
            </w:r>
          </w:p>
        </w:tc>
      </w:tr>
      <w:tr w:rsidR="00DA6432" w:rsidRPr="00DF3375" w14:paraId="6113F83A"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5CE9AD58"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WOAH</w:t>
            </w:r>
          </w:p>
        </w:tc>
        <w:tc>
          <w:tcPr>
            <w:tcW w:w="7247" w:type="dxa"/>
            <w:shd w:val="clear" w:color="auto" w:fill="auto"/>
            <w:hideMark/>
          </w:tcPr>
          <w:p w14:paraId="0BAC03A1"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 xml:space="preserve">World Organisation for Animal Health </w:t>
            </w:r>
          </w:p>
        </w:tc>
      </w:tr>
      <w:tr w:rsidR="00DA6432" w:rsidRPr="00DF3375" w14:paraId="507A3E50" w14:textId="77777777" w:rsidTr="00D159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88" w:type="dxa"/>
            <w:shd w:val="clear" w:color="auto" w:fill="auto"/>
          </w:tcPr>
          <w:p w14:paraId="5626A083"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WWAP</w:t>
            </w:r>
          </w:p>
        </w:tc>
        <w:tc>
          <w:tcPr>
            <w:tcW w:w="7247" w:type="dxa"/>
            <w:shd w:val="clear" w:color="auto" w:fill="auto"/>
          </w:tcPr>
          <w:p w14:paraId="22E89A75" w14:textId="77777777" w:rsidR="00DA6432" w:rsidRPr="00DF3375" w:rsidRDefault="00DA6432" w:rsidP="00D159DD">
            <w:pPr>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United Nations World Water Assessment Programme</w:t>
            </w:r>
          </w:p>
        </w:tc>
      </w:tr>
      <w:tr w:rsidR="00DA6432" w:rsidRPr="00DF3375" w14:paraId="555985C8" w14:textId="77777777" w:rsidTr="00D159DD">
        <w:tc>
          <w:tcPr>
            <w:cnfStyle w:val="001000000000" w:firstRow="0" w:lastRow="0" w:firstColumn="1" w:lastColumn="0" w:oddVBand="0" w:evenVBand="0" w:oddHBand="0" w:evenHBand="0" w:firstRowFirstColumn="0" w:firstRowLastColumn="0" w:lastRowFirstColumn="0" w:lastRowLastColumn="0"/>
            <w:tcW w:w="1688" w:type="dxa"/>
            <w:shd w:val="clear" w:color="auto" w:fill="auto"/>
            <w:hideMark/>
          </w:tcPr>
          <w:p w14:paraId="7CB56BA9" w14:textId="77777777" w:rsidR="00DA6432" w:rsidRPr="00DF3375" w:rsidRDefault="00DA6432" w:rsidP="00D159DD">
            <w:pPr>
              <w:spacing w:after="120"/>
              <w:rPr>
                <w:rFonts w:ascii="Times New Roman" w:hAnsi="Times New Roman" w:cs="Times New Roman"/>
                <w:lang w:val="en-GB"/>
              </w:rPr>
            </w:pPr>
            <w:r w:rsidRPr="00DF3375">
              <w:rPr>
                <w:rFonts w:ascii="Times New Roman" w:hAnsi="Times New Roman" w:cs="Times New Roman"/>
                <w:lang w:val="en-GB"/>
              </w:rPr>
              <w:t>WWF</w:t>
            </w:r>
          </w:p>
        </w:tc>
        <w:tc>
          <w:tcPr>
            <w:tcW w:w="7247" w:type="dxa"/>
            <w:shd w:val="clear" w:color="auto" w:fill="auto"/>
            <w:hideMark/>
          </w:tcPr>
          <w:p w14:paraId="56F0221D" w14:textId="77777777" w:rsidR="00DA6432" w:rsidRPr="00DF3375" w:rsidRDefault="00DA6432" w:rsidP="00D159DD">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F3375">
              <w:rPr>
                <w:rFonts w:ascii="Times New Roman" w:hAnsi="Times New Roman" w:cs="Times New Roman"/>
                <w:lang w:val="en-GB"/>
              </w:rPr>
              <w:t>World Wide Fund For Nature</w:t>
            </w:r>
          </w:p>
        </w:tc>
      </w:tr>
    </w:tbl>
    <w:p w14:paraId="666E1BED" w14:textId="77777777" w:rsidR="00DA6432" w:rsidRPr="001A60D9" w:rsidRDefault="00DA6432" w:rsidP="00DA6432">
      <w:pPr>
        <w:spacing w:after="120"/>
        <w:ind w:left="284" w:hanging="284"/>
        <w:rPr>
          <w:rFonts w:ascii="Times New Roman" w:hAnsi="Times New Roman" w:cs="Times New Roman"/>
        </w:rPr>
      </w:pPr>
    </w:p>
    <w:p w14:paraId="29323DDF" w14:textId="77777777" w:rsidR="00DA6432" w:rsidRPr="002E606B" w:rsidRDefault="00DA6432" w:rsidP="00DA6432">
      <w:pPr>
        <w:rPr>
          <w:rFonts w:ascii="Times New Roman" w:hAnsi="Times New Roman" w:cs="Times New Roman"/>
        </w:rPr>
      </w:pPr>
    </w:p>
    <w:p w14:paraId="17B7D611" w14:textId="5026E4F9" w:rsidR="00DA6432" w:rsidRPr="00EF023A" w:rsidRDefault="00DA6432" w:rsidP="00DA6432">
      <w:pPr>
        <w:pStyle w:val="Heading1"/>
      </w:pPr>
      <w:r w:rsidRPr="00DA6432">
        <w:t xml:space="preserve"> </w:t>
      </w:r>
    </w:p>
    <w:sectPr w:rsidR="00DA6432" w:rsidRPr="00EF023A" w:rsidSect="002D0F82">
      <w:footerReference w:type="default" r:id="rId2030"/>
      <w:pgSz w:w="11906" w:h="16838"/>
      <w:pgMar w:top="1276" w:right="1440" w:bottom="1440" w:left="1440" w:header="142"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85304D" w14:textId="77777777" w:rsidR="00BB631E" w:rsidRDefault="00BB631E">
      <w:r>
        <w:separator/>
      </w:r>
    </w:p>
  </w:endnote>
  <w:endnote w:type="continuationSeparator" w:id="0">
    <w:p w14:paraId="054A82F6" w14:textId="77777777" w:rsidR="00BB631E" w:rsidRDefault="00BB63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Adobe Garamond Pro">
    <w:panose1 w:val="00000000000000000000"/>
    <w:charset w:val="00"/>
    <w:family w:val="roman"/>
    <w:notTrueType/>
    <w:pitch w:val="variable"/>
    <w:sig w:usb0="00000007" w:usb1="00000001" w:usb2="00000000" w:usb3="00000000" w:csb0="00000093" w:csb1="00000000"/>
  </w:font>
  <w:font w:name="Lucida Grande">
    <w:altName w:val="Times New Roman"/>
    <w:charset w:val="00"/>
    <w:family w:val="auto"/>
    <w:pitch w:val="variable"/>
    <w:sig w:usb0="00000000"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Jim Nightshade">
    <w:altName w:val="Times New Roman"/>
    <w:charset w:val="00"/>
    <w:family w:val="auto"/>
    <w:pitch w:val="default"/>
  </w:font>
  <w:font w:name="Times">
    <w:panose1 w:val="02020603050405020304"/>
    <w:charset w:val="00"/>
    <w:family w:val="roman"/>
    <w:pitch w:val="variable"/>
    <w:sig w:usb0="E0002AFF" w:usb1="C0007841" w:usb2="00000009" w:usb3="00000000" w:csb0="000001FF" w:csb1="00000000"/>
  </w:font>
  <w:font w:name="EB Garamond">
    <w:altName w:val="Times New Roman"/>
    <w:charset w:val="00"/>
    <w:family w:val="auto"/>
    <w:pitch w:val="default"/>
  </w:font>
  <w:font w:name="AdvTTc999d02f">
    <w:panose1 w:val="00000000000000000000"/>
    <w:charset w:val="00"/>
    <w:family w:val="roman"/>
    <w:notTrueType/>
    <w:pitch w:val="default"/>
    <w:sig w:usb0="00000003" w:usb1="00000000" w:usb2="00000000" w:usb3="00000000" w:csb0="00000001" w:csb1="00000000"/>
  </w:font>
  <w:font w:name="Gungsuh">
    <w:panose1 w:val="02030600000101010101"/>
    <w:charset w:val="81"/>
    <w:family w:val="roman"/>
    <w:pitch w:val="variable"/>
    <w:sig w:usb0="B00002AF" w:usb1="69D77CFB" w:usb2="00000030" w:usb3="00000000" w:csb0="0008009F" w:csb1="00000000"/>
  </w:font>
  <w:font w:name="Cardo">
    <w:altName w:val="Times New Roman"/>
    <w:charset w:val="00"/>
    <w:family w:val="auto"/>
    <w:pitch w:val="default"/>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2780649"/>
      <w:docPartObj>
        <w:docPartGallery w:val="Page Numbers (Bottom of Page)"/>
        <w:docPartUnique/>
      </w:docPartObj>
    </w:sdtPr>
    <w:sdtEndPr>
      <w:rPr>
        <w:noProof/>
      </w:rPr>
    </w:sdtEndPr>
    <w:sdtContent>
      <w:p w14:paraId="74CC6501" w14:textId="38EC7661" w:rsidR="00BC0CFA" w:rsidRDefault="00BC0CFA">
        <w:pPr>
          <w:pStyle w:val="Footer"/>
          <w:jc w:val="right"/>
        </w:pPr>
        <w:r>
          <w:fldChar w:fldCharType="begin"/>
        </w:r>
        <w:r>
          <w:instrText xml:space="preserve"> PAGE   \* MERGEFORMAT </w:instrText>
        </w:r>
        <w:r>
          <w:fldChar w:fldCharType="separate"/>
        </w:r>
        <w:r w:rsidR="00DA6432">
          <w:rPr>
            <w:noProof/>
          </w:rPr>
          <w:t>12</w:t>
        </w:r>
        <w:r>
          <w:rPr>
            <w:noProof/>
          </w:rPr>
          <w:fldChar w:fldCharType="end"/>
        </w:r>
      </w:p>
    </w:sdtContent>
  </w:sdt>
  <w:p w14:paraId="546BCE08" w14:textId="77777777" w:rsidR="00BC0CFA" w:rsidRDefault="00BC0CF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alibri" w:eastAsia="Calibri" w:hAnsi="Calibri" w:cs="Calibri"/>
        <w:color w:val="000000"/>
        <w:sz w:val="22"/>
        <w:szCs w:val="22"/>
        <w:lang w:eastAsia="en-ZA"/>
      </w:rPr>
      <w:id w:val="-338156422"/>
      <w:docPartObj>
        <w:docPartGallery w:val="Page Numbers (Bottom of Page)"/>
        <w:docPartUnique/>
      </w:docPartObj>
    </w:sdtPr>
    <w:sdtEndPr>
      <w:rPr>
        <w:noProof/>
      </w:rPr>
    </w:sdtEndPr>
    <w:sdtContent>
      <w:p w14:paraId="72BEF6A5" w14:textId="361801AC" w:rsidR="00BC0CFA" w:rsidRPr="008C00D6" w:rsidRDefault="00BC0CFA" w:rsidP="00FF5FFD">
        <w:pPr>
          <w:pStyle w:val="Normal-pool"/>
          <w:tabs>
            <w:tab w:val="clear" w:pos="1247"/>
            <w:tab w:val="clear" w:pos="1814"/>
            <w:tab w:val="clear" w:pos="2381"/>
            <w:tab w:val="clear" w:pos="2948"/>
            <w:tab w:val="clear" w:pos="3515"/>
            <w:tab w:val="clear" w:pos="4082"/>
            <w:tab w:val="left" w:pos="624"/>
          </w:tabs>
        </w:pPr>
      </w:p>
      <w:p w14:paraId="4302801C" w14:textId="0F011147" w:rsidR="00BC0CFA" w:rsidRDefault="00DA6432">
        <w:pPr>
          <w:pStyle w:val="Footer"/>
          <w:jc w:val="right"/>
        </w:pPr>
      </w:p>
    </w:sdtContent>
  </w:sdt>
  <w:p w14:paraId="48ECF402" w14:textId="77777777" w:rsidR="00BC0CFA" w:rsidRDefault="00BC0CF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sz w:val="20"/>
        <w:szCs w:val="20"/>
      </w:rPr>
      <w:id w:val="-1158914927"/>
      <w:docPartObj>
        <w:docPartGallery w:val="Page Numbers (Bottom of Page)"/>
        <w:docPartUnique/>
      </w:docPartObj>
    </w:sdtPr>
    <w:sdtEndPr>
      <w:rPr>
        <w:noProof/>
      </w:rPr>
    </w:sdtEndPr>
    <w:sdtContent>
      <w:p w14:paraId="3682830B" w14:textId="23043999" w:rsidR="00BC0CFA" w:rsidRPr="00A801D7" w:rsidRDefault="00BC0CFA">
        <w:pPr>
          <w:pStyle w:val="Footer"/>
          <w:jc w:val="right"/>
          <w:rPr>
            <w:rFonts w:ascii="Times New Roman" w:hAnsi="Times New Roman" w:cs="Times New Roman"/>
            <w:sz w:val="20"/>
            <w:szCs w:val="20"/>
          </w:rPr>
        </w:pPr>
        <w:r w:rsidRPr="00A801D7">
          <w:rPr>
            <w:rFonts w:ascii="Times New Roman" w:hAnsi="Times New Roman" w:cs="Times New Roman"/>
            <w:sz w:val="20"/>
            <w:szCs w:val="20"/>
          </w:rPr>
          <w:fldChar w:fldCharType="begin"/>
        </w:r>
        <w:r w:rsidRPr="00A801D7">
          <w:rPr>
            <w:rFonts w:ascii="Times New Roman" w:hAnsi="Times New Roman" w:cs="Times New Roman"/>
            <w:sz w:val="20"/>
            <w:szCs w:val="20"/>
          </w:rPr>
          <w:instrText xml:space="preserve"> PAGE   \* MERGEFORMAT </w:instrText>
        </w:r>
        <w:r w:rsidRPr="00A801D7">
          <w:rPr>
            <w:rFonts w:ascii="Times New Roman" w:hAnsi="Times New Roman" w:cs="Times New Roman"/>
            <w:sz w:val="20"/>
            <w:szCs w:val="20"/>
          </w:rPr>
          <w:fldChar w:fldCharType="separate"/>
        </w:r>
        <w:r w:rsidR="00DA6432">
          <w:rPr>
            <w:rFonts w:ascii="Times New Roman" w:hAnsi="Times New Roman" w:cs="Times New Roman"/>
            <w:noProof/>
            <w:sz w:val="20"/>
            <w:szCs w:val="20"/>
          </w:rPr>
          <w:t>583</w:t>
        </w:r>
        <w:r w:rsidRPr="00A801D7">
          <w:rPr>
            <w:rFonts w:ascii="Times New Roman" w:hAnsi="Times New Roman" w:cs="Times New Roman"/>
            <w:noProof/>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04D605" w14:textId="77777777" w:rsidR="00BB631E" w:rsidRDefault="00BB631E">
      <w:r>
        <w:separator/>
      </w:r>
    </w:p>
  </w:footnote>
  <w:footnote w:type="continuationSeparator" w:id="0">
    <w:p w14:paraId="70B96F2B" w14:textId="77777777" w:rsidR="00BB631E" w:rsidRDefault="00BB631E">
      <w:r>
        <w:continuationSeparator/>
      </w:r>
    </w:p>
  </w:footnote>
  <w:footnote w:id="1">
    <w:p w14:paraId="66190A17" w14:textId="26B1B8CF" w:rsidR="00BC0CFA" w:rsidRPr="00BF7001" w:rsidRDefault="00BC0CFA">
      <w:pPr>
        <w:pStyle w:val="FootnoteText"/>
        <w:rPr>
          <w:rFonts w:ascii="Times New Roman" w:hAnsi="Times New Roman" w:cs="Times New Roman"/>
          <w:sz w:val="18"/>
          <w:szCs w:val="18"/>
          <w:lang w:val="en-ZA"/>
        </w:rPr>
      </w:pPr>
      <w:r w:rsidRPr="00BF7001">
        <w:rPr>
          <w:rStyle w:val="FootnoteReference"/>
          <w:rFonts w:ascii="Times New Roman" w:hAnsi="Times New Roman" w:cs="Times New Roman"/>
          <w:sz w:val="18"/>
          <w:szCs w:val="18"/>
        </w:rPr>
        <w:footnoteRef/>
      </w:r>
      <w:r w:rsidRPr="00BF7001">
        <w:rPr>
          <w:rFonts w:ascii="Times New Roman" w:hAnsi="Times New Roman" w:cs="Times New Roman"/>
          <w:sz w:val="18"/>
          <w:szCs w:val="18"/>
        </w:rPr>
        <w:t xml:space="preserve"> </w:t>
      </w:r>
      <w:r w:rsidRPr="00BF7001">
        <w:rPr>
          <w:rFonts w:ascii="Times New Roman" w:eastAsia="Times New Roman" w:hAnsi="Times New Roman" w:cs="Times New Roman"/>
          <w:sz w:val="18"/>
          <w:szCs w:val="18"/>
        </w:rPr>
        <w:t xml:space="preserve">Based on UN estimates from </w:t>
      </w:r>
      <w:hyperlink r:id="rId1" w:history="1">
        <w:r w:rsidRPr="00BF7001">
          <w:rPr>
            <w:rStyle w:val="Hyperlink"/>
            <w:rFonts w:ascii="Times New Roman" w:eastAsia="Times New Roman" w:hAnsi="Times New Roman" w:cs="Times New Roman"/>
            <w:sz w:val="18"/>
            <w:szCs w:val="18"/>
          </w:rPr>
          <w:t>http://www.worldometers.info/world-population/africa-population/</w:t>
        </w:r>
      </w:hyperlink>
      <w:r w:rsidRPr="00BF7001">
        <w:rPr>
          <w:rFonts w:ascii="Times New Roman" w:eastAsia="Times New Roman" w:hAnsi="Times New Roman" w:cs="Times New Roman"/>
          <w:sz w:val="18"/>
          <w:szCs w:val="18"/>
        </w:rPr>
        <w:t xml:space="preserve"> as at 18 August 2017.</w:t>
      </w:r>
    </w:p>
  </w:footnote>
  <w:footnote w:id="2">
    <w:p w14:paraId="17BAC2AB" w14:textId="50C82CBC" w:rsidR="00BC0CFA" w:rsidRPr="00095190" w:rsidRDefault="00BC0CFA">
      <w:pPr>
        <w:rPr>
          <w:rFonts w:ascii="Times New Roman" w:hAnsi="Times New Roman" w:cs="Times New Roman"/>
          <w:sz w:val="18"/>
          <w:szCs w:val="18"/>
        </w:rPr>
      </w:pPr>
      <w:r w:rsidRPr="00095190">
        <w:rPr>
          <w:rFonts w:ascii="Times New Roman" w:hAnsi="Times New Roman" w:cs="Times New Roman"/>
          <w:sz w:val="18"/>
          <w:szCs w:val="18"/>
          <w:vertAlign w:val="superscript"/>
        </w:rPr>
        <w:footnoteRef/>
      </w:r>
      <w:r w:rsidRPr="00095190">
        <w:rPr>
          <w:rFonts w:ascii="Times New Roman" w:hAnsi="Times New Roman" w:cs="Times New Roman"/>
          <w:sz w:val="18"/>
          <w:szCs w:val="18"/>
          <w:vertAlign w:val="superscript"/>
        </w:rPr>
        <w:t xml:space="preserve"> </w:t>
      </w:r>
      <w:r w:rsidRPr="00095190">
        <w:rPr>
          <w:rFonts w:ascii="Times New Roman" w:eastAsia="Times New Roman" w:hAnsi="Times New Roman" w:cs="Times New Roman"/>
          <w:i/>
          <w:sz w:val="18"/>
          <w:szCs w:val="18"/>
        </w:rPr>
        <w:t>Weighing the options.</w:t>
      </w:r>
      <w:r w:rsidRPr="00095190">
        <w:rPr>
          <w:rFonts w:ascii="Times New Roman" w:eastAsia="Times New Roman" w:hAnsi="Times New Roman" w:cs="Times New Roman"/>
          <w:sz w:val="18"/>
          <w:szCs w:val="18"/>
        </w:rPr>
        <w:t xml:space="preserve">Financial Mail, August 6 – August 12, 2015, p. 32. On the Tripartite Free Trade Agreement, see also analyses from the Tahir Institute for Middle East Policy, </w:t>
      </w:r>
      <w:hyperlink r:id="rId2">
        <w:r w:rsidRPr="00095190">
          <w:rPr>
            <w:rFonts w:ascii="Times New Roman" w:eastAsia="Times New Roman" w:hAnsi="Times New Roman" w:cs="Times New Roman"/>
            <w:color w:val="0000FF"/>
            <w:sz w:val="18"/>
            <w:szCs w:val="18"/>
            <w:u w:val="single"/>
          </w:rPr>
          <w:t>http://timep.org/commentary/tripartite-free-trade-area/</w:t>
        </w:r>
      </w:hyperlink>
      <w:r w:rsidRPr="00095190">
        <w:rPr>
          <w:rFonts w:ascii="Times New Roman" w:eastAsia="Times New Roman" w:hAnsi="Times New Roman" w:cs="Times New Roman"/>
          <w:sz w:val="18"/>
          <w:szCs w:val="18"/>
        </w:rPr>
        <w:t xml:space="preserve"> and Quartz Africa, </w:t>
      </w:r>
      <w:hyperlink r:id="rId3">
        <w:r w:rsidRPr="00095190">
          <w:rPr>
            <w:rFonts w:ascii="Times New Roman" w:eastAsia="Times New Roman" w:hAnsi="Times New Roman" w:cs="Times New Roman"/>
            <w:color w:val="0000FF"/>
            <w:sz w:val="18"/>
            <w:szCs w:val="18"/>
            <w:u w:val="single"/>
          </w:rPr>
          <w:t>http://qz.com/424557/the-tripartite-free-trade-area-agreement-in-africa-is-bound-to-disappoint/</w:t>
        </w:r>
      </w:hyperlink>
    </w:p>
  </w:footnote>
  <w:footnote w:id="3">
    <w:p w14:paraId="2D3224C9" w14:textId="77777777" w:rsidR="00BC0CFA" w:rsidRDefault="00BC0CFA" w:rsidP="009B0448">
      <w:pPr>
        <w:jc w:val="both"/>
        <w:rPr>
          <w:sz w:val="20"/>
          <w:szCs w:val="20"/>
        </w:rPr>
      </w:pPr>
      <w:r>
        <w:rPr>
          <w:rFonts w:ascii="Times New Roman" w:hAnsi="Times New Roman" w:cs="Times New Roman"/>
          <w:sz w:val="18"/>
          <w:szCs w:val="18"/>
          <w:vertAlign w:val="superscript"/>
        </w:rPr>
        <w:footnoteRef/>
      </w:r>
      <w:r>
        <w:rPr>
          <w:rFonts w:ascii="Times New Roman" w:hAnsi="Times New Roman" w:cs="Times New Roman"/>
          <w:sz w:val="18"/>
          <w:szCs w:val="18"/>
        </w:rPr>
        <w:t xml:space="preserve">African elephant (circa 1600 versus 2008), common hippopotamus (circa 1959 versus 2008), and black rhinoceros (circa 1700 versus 1987). The historical ranges are in blue, whereas the most recent ranges are represented by darker-colored polygons. For security purposes, the most recent black rhinoceros range polygons (1987) have been moved by random directions and distances. The black rhinoceros range has continued to shrink since 1987 across most of Africa, but has expanded locally in Zambia, South Africa, and Namibia through recent reintroductions, and the most current range polygons are not shown because of the recent poaching pressure on the rhinoceros. Source: Ripple </w:t>
      </w:r>
      <w:r>
        <w:rPr>
          <w:rFonts w:ascii="Times New Roman" w:hAnsi="Times New Roman" w:cs="Times New Roman"/>
          <w:i/>
          <w:sz w:val="18"/>
          <w:szCs w:val="18"/>
        </w:rPr>
        <w:t>et al.</w:t>
      </w:r>
      <w:r>
        <w:rPr>
          <w:rFonts w:ascii="Times New Roman" w:hAnsi="Times New Roman" w:cs="Times New Roman"/>
          <w:sz w:val="18"/>
          <w:szCs w:val="18"/>
        </w:rPr>
        <w:t xml:space="preserve"> (2015).</w:t>
      </w:r>
    </w:p>
  </w:footnote>
  <w:footnote w:id="4">
    <w:p w14:paraId="09339733" w14:textId="6C8B23FE" w:rsidR="00BC0CFA" w:rsidRPr="004C2EEE" w:rsidRDefault="00BC0CFA" w:rsidP="00991066">
      <w:pPr>
        <w:rPr>
          <w:rFonts w:ascii="Times New Roman" w:hAnsi="Times New Roman" w:cs="Times New Roman"/>
          <w:sz w:val="18"/>
          <w:szCs w:val="18"/>
        </w:rPr>
      </w:pPr>
      <w:r w:rsidRPr="004C2EEE">
        <w:rPr>
          <w:rFonts w:ascii="Times New Roman" w:hAnsi="Times New Roman" w:cs="Times New Roman"/>
          <w:sz w:val="18"/>
          <w:szCs w:val="18"/>
          <w:vertAlign w:val="superscript"/>
        </w:rPr>
        <w:footnoteRef/>
      </w:r>
      <w:hyperlink r:id="rId4">
        <w:r w:rsidRPr="004C2EEE">
          <w:rPr>
            <w:rFonts w:ascii="Times New Roman" w:hAnsi="Times New Roman" w:cs="Times New Roman"/>
            <w:color w:val="0000FF"/>
            <w:sz w:val="18"/>
            <w:szCs w:val="18"/>
            <w:u w:val="single"/>
          </w:rPr>
          <w:t>https://www.cbd.int/sp/targets/</w:t>
        </w:r>
      </w:hyperlink>
    </w:p>
  </w:footnote>
  <w:footnote w:id="5">
    <w:p w14:paraId="1B3C449D" w14:textId="0D03F999" w:rsidR="00BC0CFA" w:rsidRDefault="00BC0CFA" w:rsidP="00991066">
      <w:pPr>
        <w:rPr>
          <w:sz w:val="20"/>
          <w:szCs w:val="20"/>
        </w:rPr>
      </w:pPr>
      <w:r w:rsidRPr="004C2EEE">
        <w:rPr>
          <w:rFonts w:ascii="Times New Roman" w:hAnsi="Times New Roman" w:cs="Times New Roman"/>
          <w:sz w:val="18"/>
          <w:szCs w:val="18"/>
          <w:vertAlign w:val="superscript"/>
        </w:rPr>
        <w:footnoteRef/>
      </w:r>
      <w:hyperlink r:id="rId5">
        <w:r w:rsidRPr="004C2EEE">
          <w:rPr>
            <w:rFonts w:ascii="Times New Roman" w:hAnsi="Times New Roman" w:cs="Times New Roman"/>
            <w:color w:val="0000FF"/>
            <w:sz w:val="18"/>
            <w:szCs w:val="18"/>
            <w:u w:val="single"/>
          </w:rPr>
          <w:t>https://sustainabledevelopment.un.org/sdgs</w:t>
        </w:r>
      </w:hyperlink>
    </w:p>
  </w:footnote>
  <w:footnote w:id="6">
    <w:p w14:paraId="722100A4" w14:textId="77777777" w:rsidR="00BC0CFA" w:rsidRPr="00EF2D14" w:rsidRDefault="00BC0CFA" w:rsidP="007E5A5E">
      <w:pPr>
        <w:spacing w:line="276" w:lineRule="auto"/>
        <w:jc w:val="both"/>
        <w:rPr>
          <w:rFonts w:ascii="Times New Roman" w:hAnsi="Times New Roman" w:cs="Times New Roman"/>
          <w:sz w:val="18"/>
          <w:szCs w:val="18"/>
        </w:rPr>
      </w:pPr>
      <w:r w:rsidRPr="00EF2D14">
        <w:rPr>
          <w:rFonts w:ascii="Times New Roman" w:hAnsi="Times New Roman" w:cs="Times New Roman"/>
          <w:sz w:val="18"/>
          <w:szCs w:val="18"/>
          <w:vertAlign w:val="superscript"/>
        </w:rPr>
        <w:footnoteRef/>
      </w:r>
      <w:r w:rsidRPr="00EF2D14">
        <w:rPr>
          <w:rFonts w:ascii="Times New Roman" w:eastAsia="Times New Roman" w:hAnsi="Times New Roman" w:cs="Times New Roman"/>
          <w:sz w:val="18"/>
          <w:szCs w:val="18"/>
        </w:rPr>
        <w:t>These search terms were chosen to limit results to studies that specifically mention scenarios, and anything to do with biodiversity or ecosystems, including ecosystem services. An exploratory search including additional terms such as “nature”, “contributions”, “well-being” or specific ecosystem service descriptors (e.g., “food”) resulted in a much larger set of studies, most of which were not relevant to this assessment. We thus chose to work with the narrower set of search terms.</w:t>
      </w:r>
    </w:p>
  </w:footnote>
  <w:footnote w:id="7">
    <w:p w14:paraId="445D6A0C" w14:textId="790841CD" w:rsidR="00BC0CFA" w:rsidRPr="00555F55" w:rsidRDefault="00BC0CFA">
      <w:pPr>
        <w:pStyle w:val="FootnoteText"/>
        <w:rPr>
          <w:rFonts w:ascii="Times New Roman" w:hAnsi="Times New Roman" w:cs="Times New Roman"/>
          <w:lang w:val="en-ZA"/>
        </w:rPr>
      </w:pPr>
      <w:r>
        <w:rPr>
          <w:rStyle w:val="FootnoteReference"/>
        </w:rPr>
        <w:footnoteRef/>
      </w:r>
      <w:r w:rsidRPr="00555F55">
        <w:rPr>
          <w:sz w:val="18"/>
          <w:szCs w:val="18"/>
        </w:rPr>
        <w:t xml:space="preserve"> </w:t>
      </w:r>
      <w:r w:rsidRPr="00555F55">
        <w:rPr>
          <w:rFonts w:ascii="Times New Roman" w:hAnsi="Times New Roman" w:cs="Times New Roman"/>
          <w:sz w:val="18"/>
          <w:szCs w:val="18"/>
          <w:lang w:val="en-ZA"/>
        </w:rPr>
        <w:t xml:space="preserve">Supplement 5.1 can be retrieved from </w:t>
      </w:r>
      <w:hyperlink r:id="rId6" w:history="1">
        <w:r w:rsidRPr="00555F55">
          <w:rPr>
            <w:rStyle w:val="Hyperlink"/>
            <w:rFonts w:ascii="Times New Roman" w:hAnsi="Times New Roman" w:cs="Times New Roman"/>
            <w:sz w:val="18"/>
            <w:szCs w:val="18"/>
            <w:lang w:val="en-ZA"/>
          </w:rPr>
          <w:t>https://www.ipbes.net/africa-ra-ch5-supplement-51</w:t>
        </w:r>
      </w:hyperlink>
    </w:p>
  </w:footnote>
  <w:footnote w:id="8">
    <w:p w14:paraId="39DD885B" w14:textId="77777777" w:rsidR="00BC0CFA" w:rsidRPr="001C3581" w:rsidRDefault="00BC0CFA" w:rsidP="00F87FF5">
      <w:pPr>
        <w:rPr>
          <w:rFonts w:ascii="Times New Roman" w:hAnsi="Times New Roman" w:cs="Times New Roman"/>
          <w:sz w:val="18"/>
          <w:szCs w:val="18"/>
        </w:rPr>
      </w:pPr>
      <w:r w:rsidRPr="001C3581">
        <w:rPr>
          <w:rFonts w:ascii="Times New Roman" w:hAnsi="Times New Roman" w:cs="Times New Roman"/>
          <w:sz w:val="18"/>
          <w:szCs w:val="18"/>
          <w:vertAlign w:val="superscript"/>
        </w:rPr>
        <w:footnoteRef/>
      </w:r>
      <w:r w:rsidRPr="001C3581">
        <w:rPr>
          <w:rFonts w:ascii="Times New Roman" w:hAnsi="Times New Roman" w:cs="Times New Roman"/>
          <w:sz w:val="18"/>
          <w:szCs w:val="18"/>
        </w:rPr>
        <w:t xml:space="preserve"> www.regimeshifts.org</w:t>
      </w:r>
    </w:p>
  </w:footnote>
  <w:footnote w:id="9">
    <w:p w14:paraId="179074E3" w14:textId="7A255E60" w:rsidR="00BC0CFA" w:rsidRPr="004320D4" w:rsidRDefault="00BC0CFA">
      <w:pPr>
        <w:pStyle w:val="FootnoteText"/>
        <w:rPr>
          <w:rFonts w:ascii="Times New Roman" w:hAnsi="Times New Roman" w:cs="Times New Roman"/>
          <w:sz w:val="18"/>
          <w:szCs w:val="18"/>
          <w:lang w:val="en-ZA"/>
        </w:rPr>
      </w:pPr>
      <w:r w:rsidRPr="004320D4">
        <w:rPr>
          <w:rStyle w:val="FootnoteReference"/>
          <w:rFonts w:ascii="Times New Roman" w:hAnsi="Times New Roman" w:cs="Times New Roman"/>
          <w:sz w:val="18"/>
          <w:szCs w:val="18"/>
        </w:rPr>
        <w:footnoteRef/>
      </w:r>
      <w:r w:rsidRPr="004320D4">
        <w:rPr>
          <w:rFonts w:ascii="Times New Roman" w:hAnsi="Times New Roman" w:cs="Times New Roman"/>
          <w:sz w:val="18"/>
          <w:szCs w:val="18"/>
        </w:rPr>
        <w:t xml:space="preserve"> </w:t>
      </w:r>
      <w:r>
        <w:rPr>
          <w:rFonts w:ascii="Times New Roman" w:hAnsi="Times New Roman" w:cs="Times New Roman"/>
          <w:sz w:val="18"/>
          <w:szCs w:val="18"/>
        </w:rPr>
        <w:t>See</w:t>
      </w:r>
      <w:r w:rsidRPr="004320D4">
        <w:rPr>
          <w:rFonts w:ascii="Times New Roman" w:hAnsi="Times New Roman" w:cs="Times New Roman"/>
          <w:sz w:val="18"/>
          <w:szCs w:val="18"/>
        </w:rPr>
        <w:t xml:space="preserve"> CBD/COP/DEC/XIII/31</w:t>
      </w:r>
      <w:r>
        <w:rPr>
          <w:rFonts w:ascii="Times New Roman" w:hAnsi="Times New Roman" w:cs="Times New Roman"/>
          <w:sz w:val="18"/>
          <w:szCs w:val="18"/>
        </w:rPr>
        <w:t xml:space="preserve"> (</w:t>
      </w:r>
      <w:hyperlink r:id="rId7" w:history="1">
        <w:r w:rsidRPr="004320D4">
          <w:rPr>
            <w:rStyle w:val="Hyperlink"/>
            <w:rFonts w:ascii="Times New Roman" w:hAnsi="Times New Roman" w:cs="Times New Roman"/>
            <w:sz w:val="18"/>
            <w:szCs w:val="18"/>
          </w:rPr>
          <w:t>https://www.cbd.int/doc/decisions/cop-13/cop-13-dec-31-en.pdf</w:t>
        </w:r>
      </w:hyperlink>
      <w:r>
        <w:rPr>
          <w:rFonts w:ascii="Times New Roman" w:hAnsi="Times New Roman" w:cs="Times New Roman"/>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1C1042" w14:textId="77777777" w:rsidR="00BC0CFA" w:rsidRDefault="00DA6432">
    <w:pPr>
      <w:pStyle w:val="Header"/>
    </w:pPr>
    <w:r>
      <w:rPr>
        <w:noProof/>
      </w:rPr>
      <w:pict w14:anchorId="39052A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708176" o:spid="_x0000_s2050" type="#_x0000_t136" style="position:absolute;margin-left:0;margin-top:0;width:543.35pt;height:116.4pt;rotation:315;z-index:-251658752;mso-position-horizontal:center;mso-position-horizontal-relative:margin;mso-position-vertical:center;mso-position-vertical-relative:margin" o:allowincell="f" fillcolor="silver" stroked="f">
          <v:fill opacity=".5"/>
          <v:textpath style="font-family:&quot;Calibri&quot;;font-size:1pt" string="Confidential 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316143" w14:textId="77777777" w:rsidR="00BC0CFA" w:rsidRDefault="00BC0CFA" w:rsidP="0025359B">
    <w:pPr>
      <w:pBdr>
        <w:top w:val="none" w:sz="0" w:space="0" w:color="auto"/>
        <w:left w:val="none" w:sz="0" w:space="0" w:color="auto"/>
        <w:bottom w:val="single" w:sz="4" w:space="1" w:color="auto"/>
        <w:right w:val="none" w:sz="0" w:space="0" w:color="auto"/>
        <w:between w:val="none" w:sz="0" w:space="0" w:color="auto"/>
      </w:pBdr>
      <w:tabs>
        <w:tab w:val="left" w:pos="1247"/>
        <w:tab w:val="center" w:pos="4536"/>
        <w:tab w:val="right" w:pos="9072"/>
      </w:tabs>
      <w:spacing w:after="120"/>
      <w:rPr>
        <w:rFonts w:cs="Times New Roman"/>
        <w:b/>
        <w:color w:val="auto"/>
        <w:sz w:val="18"/>
        <w:szCs w:val="18"/>
        <w:lang w:eastAsia="en-US"/>
      </w:rPr>
    </w:pPr>
  </w:p>
  <w:p w14:paraId="4A6D3F13" w14:textId="77777777" w:rsidR="00BC0CFA" w:rsidRDefault="00BC0CFA" w:rsidP="0025359B">
    <w:pPr>
      <w:pBdr>
        <w:top w:val="none" w:sz="0" w:space="0" w:color="auto"/>
        <w:left w:val="none" w:sz="0" w:space="0" w:color="auto"/>
        <w:bottom w:val="single" w:sz="4" w:space="1" w:color="auto"/>
        <w:right w:val="none" w:sz="0" w:space="0" w:color="auto"/>
        <w:between w:val="none" w:sz="0" w:space="0" w:color="auto"/>
      </w:pBdr>
      <w:tabs>
        <w:tab w:val="left" w:pos="1247"/>
        <w:tab w:val="center" w:pos="4536"/>
        <w:tab w:val="right" w:pos="9072"/>
      </w:tabs>
      <w:spacing w:after="120"/>
      <w:rPr>
        <w:rFonts w:cs="Times New Roman"/>
        <w:b/>
        <w:color w:val="auto"/>
        <w:sz w:val="18"/>
        <w:szCs w:val="18"/>
        <w:lang w:eastAsia="en-US"/>
      </w:rPr>
    </w:pPr>
  </w:p>
  <w:p w14:paraId="5C199FC8" w14:textId="1C19D235" w:rsidR="00BC0CFA" w:rsidRPr="008B5269" w:rsidRDefault="00BC0CFA" w:rsidP="0025359B">
    <w:pPr>
      <w:pBdr>
        <w:top w:val="none" w:sz="0" w:space="0" w:color="auto"/>
        <w:left w:val="none" w:sz="0" w:space="0" w:color="auto"/>
        <w:bottom w:val="single" w:sz="4" w:space="1" w:color="auto"/>
        <w:right w:val="none" w:sz="0" w:space="0" w:color="auto"/>
        <w:between w:val="none" w:sz="0" w:space="0" w:color="auto"/>
      </w:pBdr>
      <w:tabs>
        <w:tab w:val="left" w:pos="1247"/>
        <w:tab w:val="center" w:pos="4536"/>
        <w:tab w:val="right" w:pos="9072"/>
      </w:tabs>
      <w:spacing w:after="120"/>
      <w:rPr>
        <w:rFonts w:cs="Times New Roman"/>
        <w:b/>
        <w:color w:val="auto"/>
        <w:sz w:val="18"/>
        <w:lang w:eastAsia="en-US"/>
      </w:rPr>
    </w:pPr>
    <w:r w:rsidRPr="008B5269">
      <w:rPr>
        <w:rFonts w:cs="Times New Roman"/>
        <w:b/>
        <w:color w:val="auto"/>
        <w:sz w:val="18"/>
        <w:szCs w:val="18"/>
        <w:lang w:eastAsia="en-US"/>
      </w:rPr>
      <w:t>IPBES/6/INF/3</w:t>
    </w:r>
    <w:r>
      <w:rPr>
        <w:rFonts w:cs="Times New Roman"/>
        <w:b/>
        <w:color w:val="auto"/>
        <w:sz w:val="18"/>
        <w:szCs w:val="18"/>
        <w:lang w:eastAsia="en-US"/>
      </w:rPr>
      <w:t>/Rev.1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02B688" w14:textId="77777777" w:rsidR="00BC0CFA" w:rsidRDefault="00BC0CFA" w:rsidP="008B5269">
    <w:pPr>
      <w:pBdr>
        <w:top w:val="none" w:sz="0" w:space="0" w:color="auto"/>
        <w:left w:val="none" w:sz="0" w:space="0" w:color="auto"/>
        <w:bottom w:val="single" w:sz="4" w:space="1" w:color="auto"/>
        <w:right w:val="none" w:sz="0" w:space="0" w:color="auto"/>
        <w:between w:val="none" w:sz="0" w:space="0" w:color="auto"/>
      </w:pBdr>
      <w:tabs>
        <w:tab w:val="left" w:pos="1247"/>
        <w:tab w:val="center" w:pos="4536"/>
        <w:tab w:val="right" w:pos="9072"/>
      </w:tabs>
      <w:spacing w:after="120"/>
      <w:rPr>
        <w:rFonts w:cs="Times New Roman"/>
        <w:b/>
        <w:color w:val="auto"/>
        <w:sz w:val="18"/>
        <w:szCs w:val="18"/>
        <w:lang w:eastAsia="en-US"/>
      </w:rPr>
    </w:pPr>
  </w:p>
  <w:p w14:paraId="64216FA6" w14:textId="77777777" w:rsidR="00BC0CFA" w:rsidRDefault="00BC0CFA" w:rsidP="008B5269">
    <w:pPr>
      <w:pBdr>
        <w:top w:val="none" w:sz="0" w:space="0" w:color="auto"/>
        <w:left w:val="none" w:sz="0" w:space="0" w:color="auto"/>
        <w:bottom w:val="single" w:sz="4" w:space="1" w:color="auto"/>
        <w:right w:val="none" w:sz="0" w:space="0" w:color="auto"/>
        <w:between w:val="none" w:sz="0" w:space="0" w:color="auto"/>
      </w:pBdr>
      <w:tabs>
        <w:tab w:val="left" w:pos="1247"/>
        <w:tab w:val="center" w:pos="4536"/>
        <w:tab w:val="right" w:pos="9072"/>
      </w:tabs>
      <w:spacing w:after="120"/>
      <w:rPr>
        <w:rFonts w:cs="Times New Roman"/>
        <w:b/>
        <w:color w:val="auto"/>
        <w:sz w:val="18"/>
        <w:szCs w:val="18"/>
        <w:lang w:eastAsia="en-US"/>
      </w:rPr>
    </w:pPr>
  </w:p>
  <w:p w14:paraId="71C510E3" w14:textId="77777777" w:rsidR="00BC0CFA" w:rsidRPr="008B5269" w:rsidRDefault="00BC0CFA" w:rsidP="008B5269">
    <w:pPr>
      <w:pBdr>
        <w:top w:val="none" w:sz="0" w:space="0" w:color="auto"/>
        <w:left w:val="none" w:sz="0" w:space="0" w:color="auto"/>
        <w:bottom w:val="single" w:sz="4" w:space="1" w:color="auto"/>
        <w:right w:val="none" w:sz="0" w:space="0" w:color="auto"/>
        <w:between w:val="none" w:sz="0" w:space="0" w:color="auto"/>
      </w:pBdr>
      <w:tabs>
        <w:tab w:val="left" w:pos="1247"/>
        <w:tab w:val="center" w:pos="4536"/>
        <w:tab w:val="right" w:pos="9072"/>
      </w:tabs>
      <w:spacing w:after="120"/>
      <w:rPr>
        <w:rFonts w:cs="Times New Roman"/>
        <w:b/>
        <w:color w:val="auto"/>
        <w:sz w:val="18"/>
        <w:lang w:eastAsia="en-US"/>
      </w:rPr>
    </w:pPr>
    <w:r w:rsidRPr="008B5269">
      <w:rPr>
        <w:rFonts w:cs="Times New Roman"/>
        <w:b/>
        <w:color w:val="auto"/>
        <w:sz w:val="18"/>
        <w:szCs w:val="18"/>
        <w:lang w:eastAsia="en-US"/>
      </w:rPr>
      <w:t>IPBES/6/INF/3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5D60C244"/>
    <w:lvl w:ilvl="0">
      <w:start w:val="1"/>
      <w:numFmt w:val="decimal"/>
      <w:pStyle w:val="ListNumber2"/>
      <w:lvlText w:val="%1."/>
      <w:lvlJc w:val="left"/>
      <w:pPr>
        <w:tabs>
          <w:tab w:val="num" w:pos="643"/>
        </w:tabs>
        <w:ind w:left="643" w:hanging="360"/>
      </w:pPr>
    </w:lvl>
  </w:abstractNum>
  <w:abstractNum w:abstractNumId="1" w15:restartNumberingAfterBreak="0">
    <w:nsid w:val="FFFFFF88"/>
    <w:multiLevelType w:val="singleLevel"/>
    <w:tmpl w:val="A85AFC86"/>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8A9267DA"/>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62C6F09"/>
    <w:multiLevelType w:val="hybridMultilevel"/>
    <w:tmpl w:val="DD02192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 w15:restartNumberingAfterBreak="0">
    <w:nsid w:val="089D13EC"/>
    <w:multiLevelType w:val="hybridMultilevel"/>
    <w:tmpl w:val="F47834F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 w15:restartNumberingAfterBreak="0">
    <w:nsid w:val="12254E59"/>
    <w:multiLevelType w:val="hybridMultilevel"/>
    <w:tmpl w:val="002C09E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 w15:restartNumberingAfterBreak="0">
    <w:nsid w:val="1645166F"/>
    <w:multiLevelType w:val="hybridMultilevel"/>
    <w:tmpl w:val="AC18B4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2B708B"/>
    <w:multiLevelType w:val="multilevel"/>
    <w:tmpl w:val="F01C1974"/>
    <w:lvl w:ilvl="0">
      <w:start w:val="1"/>
      <w:numFmt w:val="bullet"/>
      <w:lvlText w:val="●"/>
      <w:lvlJc w:val="left"/>
      <w:pPr>
        <w:ind w:left="720" w:firstLine="360"/>
      </w:pPr>
      <w:rPr>
        <w:rFonts w:ascii="Times New Roman" w:eastAsia="Arial" w:hAnsi="Times New Roman" w:cs="Times New Roman" w:hint="default"/>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8" w15:restartNumberingAfterBreak="0">
    <w:nsid w:val="19D829F8"/>
    <w:multiLevelType w:val="hybridMultilevel"/>
    <w:tmpl w:val="A7C01D1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9" w15:restartNumberingAfterBreak="0">
    <w:nsid w:val="1A527AF0"/>
    <w:multiLevelType w:val="multilevel"/>
    <w:tmpl w:val="3D508742"/>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rFonts w:ascii="Arial" w:eastAsia="Arial" w:hAnsi="Arial" w:cs="Arial"/>
        <w:u w:val="none"/>
      </w:rPr>
    </w:lvl>
    <w:lvl w:ilvl="2">
      <w:start w:val="1"/>
      <w:numFmt w:val="bullet"/>
      <w:lvlText w:val="■"/>
      <w:lvlJc w:val="left"/>
      <w:pPr>
        <w:ind w:left="2160" w:hanging="360"/>
      </w:pPr>
      <w:rPr>
        <w:rFonts w:ascii="Arial" w:eastAsia="Arial" w:hAnsi="Arial" w:cs="Arial"/>
        <w:u w:val="none"/>
      </w:rPr>
    </w:lvl>
    <w:lvl w:ilvl="3">
      <w:start w:val="1"/>
      <w:numFmt w:val="bullet"/>
      <w:lvlText w:val="●"/>
      <w:lvlJc w:val="left"/>
      <w:pPr>
        <w:ind w:left="2880" w:hanging="360"/>
      </w:pPr>
      <w:rPr>
        <w:rFonts w:ascii="Arial" w:eastAsia="Arial" w:hAnsi="Arial" w:cs="Arial"/>
        <w:u w:val="none"/>
      </w:rPr>
    </w:lvl>
    <w:lvl w:ilvl="4">
      <w:start w:val="1"/>
      <w:numFmt w:val="bullet"/>
      <w:lvlText w:val="○"/>
      <w:lvlJc w:val="left"/>
      <w:pPr>
        <w:ind w:left="3600" w:hanging="360"/>
      </w:pPr>
      <w:rPr>
        <w:rFonts w:ascii="Arial" w:eastAsia="Arial" w:hAnsi="Arial" w:cs="Arial"/>
        <w:u w:val="none"/>
      </w:rPr>
    </w:lvl>
    <w:lvl w:ilvl="5">
      <w:start w:val="1"/>
      <w:numFmt w:val="bullet"/>
      <w:lvlText w:val="■"/>
      <w:lvlJc w:val="left"/>
      <w:pPr>
        <w:ind w:left="4320" w:hanging="360"/>
      </w:pPr>
      <w:rPr>
        <w:rFonts w:ascii="Arial" w:eastAsia="Arial" w:hAnsi="Arial" w:cs="Arial"/>
        <w:u w:val="none"/>
      </w:rPr>
    </w:lvl>
    <w:lvl w:ilvl="6">
      <w:start w:val="1"/>
      <w:numFmt w:val="bullet"/>
      <w:lvlText w:val="●"/>
      <w:lvlJc w:val="left"/>
      <w:pPr>
        <w:ind w:left="5040" w:hanging="360"/>
      </w:pPr>
      <w:rPr>
        <w:rFonts w:ascii="Arial" w:eastAsia="Arial" w:hAnsi="Arial" w:cs="Arial"/>
        <w:u w:val="none"/>
      </w:rPr>
    </w:lvl>
    <w:lvl w:ilvl="7">
      <w:start w:val="1"/>
      <w:numFmt w:val="bullet"/>
      <w:lvlText w:val="○"/>
      <w:lvlJc w:val="left"/>
      <w:pPr>
        <w:ind w:left="5760" w:hanging="360"/>
      </w:pPr>
      <w:rPr>
        <w:rFonts w:ascii="Arial" w:eastAsia="Arial" w:hAnsi="Arial" w:cs="Arial"/>
        <w:u w:val="none"/>
      </w:rPr>
    </w:lvl>
    <w:lvl w:ilvl="8">
      <w:start w:val="1"/>
      <w:numFmt w:val="bullet"/>
      <w:lvlText w:val="■"/>
      <w:lvlJc w:val="left"/>
      <w:pPr>
        <w:ind w:left="6480" w:hanging="360"/>
      </w:pPr>
      <w:rPr>
        <w:rFonts w:ascii="Arial" w:eastAsia="Arial" w:hAnsi="Arial" w:cs="Arial"/>
        <w:u w:val="none"/>
      </w:rPr>
    </w:lvl>
  </w:abstractNum>
  <w:abstractNum w:abstractNumId="10" w15:restartNumberingAfterBreak="0">
    <w:nsid w:val="1B571867"/>
    <w:multiLevelType w:val="singleLevel"/>
    <w:tmpl w:val="A2E252AA"/>
    <w:lvl w:ilvl="0">
      <w:start w:val="1"/>
      <w:numFmt w:val="upperRoman"/>
      <w:pStyle w:val="Heading8"/>
      <w:lvlText w:val="%1."/>
      <w:lvlJc w:val="left"/>
      <w:pPr>
        <w:tabs>
          <w:tab w:val="num" w:pos="720"/>
        </w:tabs>
        <w:ind w:left="720" w:hanging="720"/>
      </w:pPr>
      <w:rPr>
        <w:rFonts w:hint="default"/>
      </w:rPr>
    </w:lvl>
  </w:abstractNum>
  <w:abstractNum w:abstractNumId="11" w15:restartNumberingAfterBreak="0">
    <w:nsid w:val="1BAD7AD1"/>
    <w:multiLevelType w:val="hybridMultilevel"/>
    <w:tmpl w:val="DA9C3BF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2" w15:restartNumberingAfterBreak="0">
    <w:nsid w:val="20D36BF3"/>
    <w:multiLevelType w:val="hybridMultilevel"/>
    <w:tmpl w:val="373E8EE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24272DA4"/>
    <w:multiLevelType w:val="hybridMultilevel"/>
    <w:tmpl w:val="330A832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29920D57"/>
    <w:multiLevelType w:val="hybridMultilevel"/>
    <w:tmpl w:val="CC4861C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5" w15:restartNumberingAfterBreak="0">
    <w:nsid w:val="2FE70001"/>
    <w:multiLevelType w:val="multilevel"/>
    <w:tmpl w:val="F2B814F6"/>
    <w:lvl w:ilvl="0">
      <w:start w:val="2"/>
      <w:numFmt w:val="decimal"/>
      <w:lvlText w:val="%1."/>
      <w:lvlJc w:val="left"/>
      <w:pPr>
        <w:ind w:left="360" w:hanging="360"/>
      </w:pPr>
      <w:rPr>
        <w:rFonts w:hint="default"/>
      </w:rPr>
    </w:lvl>
    <w:lvl w:ilvl="1">
      <w:start w:val="1"/>
      <w:numFmt w:val="decimal"/>
      <w:pStyle w:val="11"/>
      <w:lvlText w:val="%1.%2."/>
      <w:lvlJc w:val="left"/>
      <w:pPr>
        <w:ind w:left="2134"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790"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4822B11"/>
    <w:multiLevelType w:val="hybridMultilevel"/>
    <w:tmpl w:val="BF465C9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3AE349B6"/>
    <w:multiLevelType w:val="multilevel"/>
    <w:tmpl w:val="25383584"/>
    <w:lvl w:ilvl="0">
      <w:start w:val="3"/>
      <w:numFmt w:val="decimal"/>
      <w:lvlText w:val="%1"/>
      <w:lvlJc w:val="left"/>
      <w:pPr>
        <w:ind w:left="360" w:firstLine="360"/>
      </w:pPr>
    </w:lvl>
    <w:lvl w:ilvl="1">
      <w:start w:val="3"/>
      <w:numFmt w:val="decimal"/>
      <w:lvlText w:val="%1.%2"/>
      <w:lvlJc w:val="left"/>
      <w:pPr>
        <w:ind w:left="360" w:firstLine="360"/>
      </w:pPr>
    </w:lvl>
    <w:lvl w:ilvl="2">
      <w:start w:val="1"/>
      <w:numFmt w:val="decimal"/>
      <w:lvlText w:val="%1.%2.%3"/>
      <w:lvlJc w:val="left"/>
      <w:pPr>
        <w:ind w:left="720" w:firstLine="720"/>
      </w:pPr>
    </w:lvl>
    <w:lvl w:ilvl="3">
      <w:start w:val="1"/>
      <w:numFmt w:val="decimal"/>
      <w:lvlText w:val="%1.%2.%3.%4"/>
      <w:lvlJc w:val="left"/>
      <w:pPr>
        <w:ind w:left="720" w:firstLine="720"/>
      </w:pPr>
    </w:lvl>
    <w:lvl w:ilvl="4">
      <w:start w:val="1"/>
      <w:numFmt w:val="decimal"/>
      <w:lvlText w:val="%1.%2.%3.%4.%5"/>
      <w:lvlJc w:val="left"/>
      <w:pPr>
        <w:ind w:left="1080" w:firstLine="1080"/>
      </w:pPr>
    </w:lvl>
    <w:lvl w:ilvl="5">
      <w:start w:val="1"/>
      <w:numFmt w:val="decimal"/>
      <w:lvlText w:val="%1.%2.%3.%4.%5.%6"/>
      <w:lvlJc w:val="left"/>
      <w:pPr>
        <w:ind w:left="1080" w:firstLine="1080"/>
      </w:pPr>
    </w:lvl>
    <w:lvl w:ilvl="6">
      <w:start w:val="1"/>
      <w:numFmt w:val="decimal"/>
      <w:lvlText w:val="%1.%2.%3.%4.%5.%6.%7"/>
      <w:lvlJc w:val="left"/>
      <w:pPr>
        <w:ind w:left="1440" w:firstLine="1440"/>
      </w:pPr>
    </w:lvl>
    <w:lvl w:ilvl="7">
      <w:start w:val="1"/>
      <w:numFmt w:val="decimal"/>
      <w:lvlText w:val="%1.%2.%3.%4.%5.%6.%7.%8"/>
      <w:lvlJc w:val="left"/>
      <w:pPr>
        <w:ind w:left="1440" w:firstLine="1440"/>
      </w:pPr>
    </w:lvl>
    <w:lvl w:ilvl="8">
      <w:start w:val="1"/>
      <w:numFmt w:val="decimal"/>
      <w:lvlText w:val="%1.%2.%3.%4.%5.%6.%7.%8.%9"/>
      <w:lvlJc w:val="left"/>
      <w:pPr>
        <w:ind w:left="1800" w:firstLine="1800"/>
      </w:pPr>
    </w:lvl>
  </w:abstractNum>
  <w:abstractNum w:abstractNumId="18" w15:restartNumberingAfterBreak="0">
    <w:nsid w:val="4A4C03CA"/>
    <w:multiLevelType w:val="hybridMultilevel"/>
    <w:tmpl w:val="F5904EB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9" w15:restartNumberingAfterBreak="0">
    <w:nsid w:val="4B6D6AEF"/>
    <w:multiLevelType w:val="hybridMultilevel"/>
    <w:tmpl w:val="5C4435D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15:restartNumberingAfterBreak="0">
    <w:nsid w:val="4CDF4A9C"/>
    <w:multiLevelType w:val="hybridMultilevel"/>
    <w:tmpl w:val="CB6A2486"/>
    <w:lvl w:ilvl="0" w:tplc="1C090001">
      <w:start w:val="1"/>
      <w:numFmt w:val="bullet"/>
      <w:lvlText w:val=""/>
      <w:lvlJc w:val="left"/>
      <w:pPr>
        <w:ind w:left="1970" w:hanging="360"/>
      </w:pPr>
      <w:rPr>
        <w:rFonts w:ascii="Symbol" w:hAnsi="Symbol" w:hint="default"/>
      </w:rPr>
    </w:lvl>
    <w:lvl w:ilvl="1" w:tplc="1C090003" w:tentative="1">
      <w:start w:val="1"/>
      <w:numFmt w:val="bullet"/>
      <w:lvlText w:val="o"/>
      <w:lvlJc w:val="left"/>
      <w:pPr>
        <w:ind w:left="2690" w:hanging="360"/>
      </w:pPr>
      <w:rPr>
        <w:rFonts w:ascii="Courier New" w:hAnsi="Courier New" w:cs="Courier New" w:hint="default"/>
      </w:rPr>
    </w:lvl>
    <w:lvl w:ilvl="2" w:tplc="1C090005" w:tentative="1">
      <w:start w:val="1"/>
      <w:numFmt w:val="bullet"/>
      <w:lvlText w:val=""/>
      <w:lvlJc w:val="left"/>
      <w:pPr>
        <w:ind w:left="3410" w:hanging="360"/>
      </w:pPr>
      <w:rPr>
        <w:rFonts w:ascii="Wingdings" w:hAnsi="Wingdings" w:hint="default"/>
      </w:rPr>
    </w:lvl>
    <w:lvl w:ilvl="3" w:tplc="1C090001" w:tentative="1">
      <w:start w:val="1"/>
      <w:numFmt w:val="bullet"/>
      <w:lvlText w:val=""/>
      <w:lvlJc w:val="left"/>
      <w:pPr>
        <w:ind w:left="4130" w:hanging="360"/>
      </w:pPr>
      <w:rPr>
        <w:rFonts w:ascii="Symbol" w:hAnsi="Symbol" w:hint="default"/>
      </w:rPr>
    </w:lvl>
    <w:lvl w:ilvl="4" w:tplc="1C090003" w:tentative="1">
      <w:start w:val="1"/>
      <w:numFmt w:val="bullet"/>
      <w:lvlText w:val="o"/>
      <w:lvlJc w:val="left"/>
      <w:pPr>
        <w:ind w:left="4850" w:hanging="360"/>
      </w:pPr>
      <w:rPr>
        <w:rFonts w:ascii="Courier New" w:hAnsi="Courier New" w:cs="Courier New" w:hint="default"/>
      </w:rPr>
    </w:lvl>
    <w:lvl w:ilvl="5" w:tplc="1C090005" w:tentative="1">
      <w:start w:val="1"/>
      <w:numFmt w:val="bullet"/>
      <w:lvlText w:val=""/>
      <w:lvlJc w:val="left"/>
      <w:pPr>
        <w:ind w:left="5570" w:hanging="360"/>
      </w:pPr>
      <w:rPr>
        <w:rFonts w:ascii="Wingdings" w:hAnsi="Wingdings" w:hint="default"/>
      </w:rPr>
    </w:lvl>
    <w:lvl w:ilvl="6" w:tplc="1C090001" w:tentative="1">
      <w:start w:val="1"/>
      <w:numFmt w:val="bullet"/>
      <w:lvlText w:val=""/>
      <w:lvlJc w:val="left"/>
      <w:pPr>
        <w:ind w:left="6290" w:hanging="360"/>
      </w:pPr>
      <w:rPr>
        <w:rFonts w:ascii="Symbol" w:hAnsi="Symbol" w:hint="default"/>
      </w:rPr>
    </w:lvl>
    <w:lvl w:ilvl="7" w:tplc="1C090003" w:tentative="1">
      <w:start w:val="1"/>
      <w:numFmt w:val="bullet"/>
      <w:lvlText w:val="o"/>
      <w:lvlJc w:val="left"/>
      <w:pPr>
        <w:ind w:left="7010" w:hanging="360"/>
      </w:pPr>
      <w:rPr>
        <w:rFonts w:ascii="Courier New" w:hAnsi="Courier New" w:cs="Courier New" w:hint="default"/>
      </w:rPr>
    </w:lvl>
    <w:lvl w:ilvl="8" w:tplc="1C090005" w:tentative="1">
      <w:start w:val="1"/>
      <w:numFmt w:val="bullet"/>
      <w:lvlText w:val=""/>
      <w:lvlJc w:val="left"/>
      <w:pPr>
        <w:ind w:left="7730" w:hanging="360"/>
      </w:pPr>
      <w:rPr>
        <w:rFonts w:ascii="Wingdings" w:hAnsi="Wingdings" w:hint="default"/>
      </w:rPr>
    </w:lvl>
  </w:abstractNum>
  <w:abstractNum w:abstractNumId="21" w15:restartNumberingAfterBreak="0">
    <w:nsid w:val="500D5345"/>
    <w:multiLevelType w:val="hybridMultilevel"/>
    <w:tmpl w:val="999EC4E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519E52F3"/>
    <w:multiLevelType w:val="hybridMultilevel"/>
    <w:tmpl w:val="E1C4BCA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52A66A9D"/>
    <w:multiLevelType w:val="multilevel"/>
    <w:tmpl w:val="D07A6E4C"/>
    <w:styleLink w:val="Normallist"/>
    <w:lvl w:ilvl="0">
      <w:start w:val="1"/>
      <w:numFmt w:val="decimal"/>
      <w:lvlText w:val="%1."/>
      <w:lvlJc w:val="left"/>
      <w:pPr>
        <w:tabs>
          <w:tab w:val="num" w:pos="1134"/>
        </w:tabs>
        <w:ind w:left="1247" w:firstLine="0"/>
      </w:pPr>
      <w:rPr>
        <w:rFonts w:hint="default"/>
      </w:rPr>
    </w:lvl>
    <w:lvl w:ilvl="1">
      <w:start w:val="1"/>
      <w:numFmt w:val="lowerLetter"/>
      <w:lvlText w:val="(%2)"/>
      <w:lvlJc w:val="left"/>
      <w:pPr>
        <w:tabs>
          <w:tab w:val="num" w:pos="1134"/>
        </w:tabs>
        <w:ind w:left="1247" w:firstLine="567"/>
      </w:pPr>
      <w:rPr>
        <w:rFonts w:hint="default"/>
      </w:rPr>
    </w:lvl>
    <w:lvl w:ilvl="2">
      <w:start w:val="1"/>
      <w:numFmt w:val="lowerRoman"/>
      <w:lvlText w:val="(%3)"/>
      <w:lvlJc w:val="left"/>
      <w:pPr>
        <w:tabs>
          <w:tab w:val="num" w:pos="1134"/>
        </w:tabs>
        <w:ind w:left="2948" w:hanging="567"/>
      </w:pPr>
      <w:rPr>
        <w:rFonts w:hint="default"/>
      </w:rPr>
    </w:lvl>
    <w:lvl w:ilvl="3">
      <w:start w:val="1"/>
      <w:numFmt w:val="lowerLetter"/>
      <w:lvlText w:val="%4."/>
      <w:lvlJc w:val="left"/>
      <w:pPr>
        <w:tabs>
          <w:tab w:val="num" w:pos="1134"/>
        </w:tabs>
        <w:ind w:left="3515" w:hanging="567"/>
      </w:pPr>
      <w:rPr>
        <w:rFonts w:hint="default"/>
      </w:rPr>
    </w:lvl>
    <w:lvl w:ilvl="4">
      <w:start w:val="1"/>
      <w:numFmt w:val="lowerRoman"/>
      <w:lvlText w:val="%5."/>
      <w:lvlJc w:val="left"/>
      <w:pPr>
        <w:tabs>
          <w:tab w:val="num" w:pos="1134"/>
        </w:tabs>
        <w:ind w:left="4082" w:hanging="567"/>
      </w:pPr>
      <w:rPr>
        <w:rFonts w:hint="default"/>
      </w:rPr>
    </w:lvl>
    <w:lvl w:ilvl="5">
      <w:start w:val="1"/>
      <w:numFmt w:val="lowerRoman"/>
      <w:lvlText w:val="%6."/>
      <w:lvlJc w:val="right"/>
      <w:pPr>
        <w:tabs>
          <w:tab w:val="num" w:pos="7835"/>
        </w:tabs>
        <w:ind w:left="7835" w:hanging="180"/>
      </w:pPr>
      <w:rPr>
        <w:rFonts w:hint="default"/>
      </w:rPr>
    </w:lvl>
    <w:lvl w:ilvl="6">
      <w:start w:val="1"/>
      <w:numFmt w:val="decimal"/>
      <w:lvlText w:val="%7."/>
      <w:lvlJc w:val="left"/>
      <w:pPr>
        <w:tabs>
          <w:tab w:val="num" w:pos="8555"/>
        </w:tabs>
        <w:ind w:left="8555" w:hanging="360"/>
      </w:pPr>
      <w:rPr>
        <w:rFonts w:hint="default"/>
      </w:rPr>
    </w:lvl>
    <w:lvl w:ilvl="7">
      <w:start w:val="1"/>
      <w:numFmt w:val="lowerLetter"/>
      <w:lvlText w:val="%8."/>
      <w:lvlJc w:val="left"/>
      <w:pPr>
        <w:tabs>
          <w:tab w:val="num" w:pos="9275"/>
        </w:tabs>
        <w:ind w:left="9275" w:hanging="360"/>
      </w:pPr>
      <w:rPr>
        <w:rFonts w:hint="default"/>
      </w:rPr>
    </w:lvl>
    <w:lvl w:ilvl="8">
      <w:start w:val="1"/>
      <w:numFmt w:val="lowerRoman"/>
      <w:lvlText w:val="%9."/>
      <w:lvlJc w:val="right"/>
      <w:pPr>
        <w:tabs>
          <w:tab w:val="num" w:pos="9995"/>
        </w:tabs>
        <w:ind w:left="9995" w:hanging="180"/>
      </w:pPr>
      <w:rPr>
        <w:rFonts w:hint="default"/>
      </w:rPr>
    </w:lvl>
  </w:abstractNum>
  <w:abstractNum w:abstractNumId="24" w15:restartNumberingAfterBreak="0">
    <w:nsid w:val="547603DF"/>
    <w:multiLevelType w:val="multilevel"/>
    <w:tmpl w:val="487C2A30"/>
    <w:lvl w:ilvl="0">
      <w:start w:val="2"/>
      <w:numFmt w:val="bullet"/>
      <w:lvlText w:val="-"/>
      <w:lvlJc w:val="left"/>
      <w:pPr>
        <w:ind w:left="72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25" w15:restartNumberingAfterBreak="0">
    <w:nsid w:val="63F87822"/>
    <w:multiLevelType w:val="multilevel"/>
    <w:tmpl w:val="F3F249C2"/>
    <w:lvl w:ilvl="0">
      <w:start w:val="1"/>
      <w:numFmt w:val="bullet"/>
      <w:lvlText w:val="●"/>
      <w:lvlJc w:val="left"/>
      <w:pPr>
        <w:ind w:left="720" w:firstLine="360"/>
      </w:pPr>
      <w:rPr>
        <w:rFonts w:ascii="Arial" w:eastAsia="Arial" w:hAnsi="Arial" w:cs="Arial"/>
      </w:rPr>
    </w:lvl>
    <w:lvl w:ilvl="1">
      <w:start w:val="1"/>
      <w:numFmt w:val="bullet"/>
      <w:lvlText w:val="•"/>
      <w:lvlJc w:val="left"/>
      <w:pPr>
        <w:ind w:left="153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6" w15:restartNumberingAfterBreak="0">
    <w:nsid w:val="663E2600"/>
    <w:multiLevelType w:val="hybridMultilevel"/>
    <w:tmpl w:val="5288A138"/>
    <w:lvl w:ilvl="0" w:tplc="1C090001">
      <w:start w:val="1"/>
      <w:numFmt w:val="bullet"/>
      <w:lvlText w:val=""/>
      <w:lvlJc w:val="left"/>
      <w:pPr>
        <w:ind w:left="1996" w:hanging="360"/>
      </w:pPr>
      <w:rPr>
        <w:rFonts w:ascii="Symbol" w:hAnsi="Symbol" w:hint="default"/>
      </w:rPr>
    </w:lvl>
    <w:lvl w:ilvl="1" w:tplc="1C090003" w:tentative="1">
      <w:start w:val="1"/>
      <w:numFmt w:val="bullet"/>
      <w:lvlText w:val="o"/>
      <w:lvlJc w:val="left"/>
      <w:pPr>
        <w:ind w:left="2716" w:hanging="360"/>
      </w:pPr>
      <w:rPr>
        <w:rFonts w:ascii="Courier New" w:hAnsi="Courier New" w:cs="Courier New" w:hint="default"/>
      </w:rPr>
    </w:lvl>
    <w:lvl w:ilvl="2" w:tplc="1C090005" w:tentative="1">
      <w:start w:val="1"/>
      <w:numFmt w:val="bullet"/>
      <w:lvlText w:val=""/>
      <w:lvlJc w:val="left"/>
      <w:pPr>
        <w:ind w:left="3436" w:hanging="360"/>
      </w:pPr>
      <w:rPr>
        <w:rFonts w:ascii="Wingdings" w:hAnsi="Wingdings" w:hint="default"/>
      </w:rPr>
    </w:lvl>
    <w:lvl w:ilvl="3" w:tplc="1C090001" w:tentative="1">
      <w:start w:val="1"/>
      <w:numFmt w:val="bullet"/>
      <w:lvlText w:val=""/>
      <w:lvlJc w:val="left"/>
      <w:pPr>
        <w:ind w:left="4156" w:hanging="360"/>
      </w:pPr>
      <w:rPr>
        <w:rFonts w:ascii="Symbol" w:hAnsi="Symbol" w:hint="default"/>
      </w:rPr>
    </w:lvl>
    <w:lvl w:ilvl="4" w:tplc="1C090003" w:tentative="1">
      <w:start w:val="1"/>
      <w:numFmt w:val="bullet"/>
      <w:lvlText w:val="o"/>
      <w:lvlJc w:val="left"/>
      <w:pPr>
        <w:ind w:left="4876" w:hanging="360"/>
      </w:pPr>
      <w:rPr>
        <w:rFonts w:ascii="Courier New" w:hAnsi="Courier New" w:cs="Courier New" w:hint="default"/>
      </w:rPr>
    </w:lvl>
    <w:lvl w:ilvl="5" w:tplc="1C090005" w:tentative="1">
      <w:start w:val="1"/>
      <w:numFmt w:val="bullet"/>
      <w:lvlText w:val=""/>
      <w:lvlJc w:val="left"/>
      <w:pPr>
        <w:ind w:left="5596" w:hanging="360"/>
      </w:pPr>
      <w:rPr>
        <w:rFonts w:ascii="Wingdings" w:hAnsi="Wingdings" w:hint="default"/>
      </w:rPr>
    </w:lvl>
    <w:lvl w:ilvl="6" w:tplc="1C090001" w:tentative="1">
      <w:start w:val="1"/>
      <w:numFmt w:val="bullet"/>
      <w:lvlText w:val=""/>
      <w:lvlJc w:val="left"/>
      <w:pPr>
        <w:ind w:left="6316" w:hanging="360"/>
      </w:pPr>
      <w:rPr>
        <w:rFonts w:ascii="Symbol" w:hAnsi="Symbol" w:hint="default"/>
      </w:rPr>
    </w:lvl>
    <w:lvl w:ilvl="7" w:tplc="1C090003" w:tentative="1">
      <w:start w:val="1"/>
      <w:numFmt w:val="bullet"/>
      <w:lvlText w:val="o"/>
      <w:lvlJc w:val="left"/>
      <w:pPr>
        <w:ind w:left="7036" w:hanging="360"/>
      </w:pPr>
      <w:rPr>
        <w:rFonts w:ascii="Courier New" w:hAnsi="Courier New" w:cs="Courier New" w:hint="default"/>
      </w:rPr>
    </w:lvl>
    <w:lvl w:ilvl="8" w:tplc="1C090005" w:tentative="1">
      <w:start w:val="1"/>
      <w:numFmt w:val="bullet"/>
      <w:lvlText w:val=""/>
      <w:lvlJc w:val="left"/>
      <w:pPr>
        <w:ind w:left="7756" w:hanging="360"/>
      </w:pPr>
      <w:rPr>
        <w:rFonts w:ascii="Wingdings" w:hAnsi="Wingdings" w:hint="default"/>
      </w:rPr>
    </w:lvl>
  </w:abstractNum>
  <w:abstractNum w:abstractNumId="27" w15:restartNumberingAfterBreak="0">
    <w:nsid w:val="79451F08"/>
    <w:multiLevelType w:val="multilevel"/>
    <w:tmpl w:val="2B1AF65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7AF152D8"/>
    <w:multiLevelType w:val="multilevel"/>
    <w:tmpl w:val="05A6EB86"/>
    <w:lvl w:ilvl="0">
      <w:start w:val="3"/>
      <w:numFmt w:val="decimal"/>
      <w:lvlText w:val="%1."/>
      <w:lvlJc w:val="left"/>
      <w:pPr>
        <w:ind w:left="360" w:firstLine="360"/>
      </w:pPr>
      <w:rPr>
        <w:color w:val="FFFFFF" w:themeColor="background1"/>
      </w:rPr>
    </w:lvl>
    <w:lvl w:ilvl="1">
      <w:start w:val="1"/>
      <w:numFmt w:val="decimal"/>
      <w:lvlText w:val="%1.%2."/>
      <w:lvlJc w:val="left"/>
      <w:pPr>
        <w:ind w:left="266" w:firstLine="1152"/>
      </w:pPr>
    </w:lvl>
    <w:lvl w:ilvl="2">
      <w:start w:val="1"/>
      <w:numFmt w:val="decimal"/>
      <w:lvlText w:val="%1.%2.%3."/>
      <w:lvlJc w:val="left"/>
      <w:pPr>
        <w:ind w:left="1224" w:firstLine="1944"/>
      </w:pPr>
    </w:lvl>
    <w:lvl w:ilvl="3">
      <w:start w:val="1"/>
      <w:numFmt w:val="decimal"/>
      <w:lvlText w:val="%1.%2.%3.%4."/>
      <w:lvlJc w:val="left"/>
      <w:pPr>
        <w:ind w:left="1728" w:firstLine="2808"/>
      </w:pPr>
    </w:lvl>
    <w:lvl w:ilvl="4">
      <w:start w:val="1"/>
      <w:numFmt w:val="decimal"/>
      <w:lvlText w:val="%1.%2.%3.%4.%5."/>
      <w:lvlJc w:val="left"/>
      <w:pPr>
        <w:ind w:left="2232" w:firstLine="3672"/>
      </w:pPr>
    </w:lvl>
    <w:lvl w:ilvl="5">
      <w:start w:val="1"/>
      <w:numFmt w:val="decimal"/>
      <w:lvlText w:val="%1.%2.%3.%4.%5.%6."/>
      <w:lvlJc w:val="left"/>
      <w:pPr>
        <w:ind w:left="2736" w:firstLine="4536"/>
      </w:pPr>
    </w:lvl>
    <w:lvl w:ilvl="6">
      <w:start w:val="1"/>
      <w:numFmt w:val="decimal"/>
      <w:lvlText w:val="%1.%2.%3.%4.%5.%6.%7."/>
      <w:lvlJc w:val="left"/>
      <w:pPr>
        <w:ind w:left="3240" w:firstLine="5400"/>
      </w:pPr>
    </w:lvl>
    <w:lvl w:ilvl="7">
      <w:start w:val="1"/>
      <w:numFmt w:val="decimal"/>
      <w:lvlText w:val="%1.%2.%3.%4.%5.%6.%7.%8."/>
      <w:lvlJc w:val="left"/>
      <w:pPr>
        <w:ind w:left="3744" w:firstLine="6263"/>
      </w:pPr>
    </w:lvl>
    <w:lvl w:ilvl="8">
      <w:start w:val="1"/>
      <w:numFmt w:val="decimal"/>
      <w:lvlText w:val="%1.%2.%3.%4.%5.%6.%7.%8.%9."/>
      <w:lvlJc w:val="left"/>
      <w:pPr>
        <w:ind w:left="4320" w:firstLine="7200"/>
      </w:pPr>
    </w:lvl>
  </w:abstractNum>
  <w:abstractNum w:abstractNumId="29" w15:restartNumberingAfterBreak="0">
    <w:nsid w:val="7BB75BCB"/>
    <w:multiLevelType w:val="hybridMultilevel"/>
    <w:tmpl w:val="7EB2104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0" w15:restartNumberingAfterBreak="0">
    <w:nsid w:val="7FA362B3"/>
    <w:multiLevelType w:val="hybridMultilevel"/>
    <w:tmpl w:val="A6DCD640"/>
    <w:lvl w:ilvl="0" w:tplc="989E8262">
      <w:start w:val="1"/>
      <w:numFmt w:val="bullet"/>
      <w:pStyle w:val="BulletedLis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9"/>
  </w:num>
  <w:num w:numId="3">
    <w:abstractNumId w:val="30"/>
  </w:num>
  <w:num w:numId="4">
    <w:abstractNumId w:val="26"/>
  </w:num>
  <w:num w:numId="5">
    <w:abstractNumId w:val="20"/>
  </w:num>
  <w:num w:numId="6">
    <w:abstractNumId w:val="25"/>
  </w:num>
  <w:num w:numId="7">
    <w:abstractNumId w:val="2"/>
  </w:num>
  <w:num w:numId="8">
    <w:abstractNumId w:val="1"/>
  </w:num>
  <w:num w:numId="9">
    <w:abstractNumId w:val="0"/>
  </w:num>
  <w:num w:numId="10">
    <w:abstractNumId w:val="27"/>
  </w:num>
  <w:num w:numId="11">
    <w:abstractNumId w:val="28"/>
  </w:num>
  <w:num w:numId="12">
    <w:abstractNumId w:val="15"/>
  </w:num>
  <w:num w:numId="13">
    <w:abstractNumId w:val="10"/>
  </w:num>
  <w:num w:numId="14">
    <w:abstractNumId w:val="23"/>
  </w:num>
  <w:num w:numId="15">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num>
  <w:num w:numId="17">
    <w:abstractNumId w:val="28"/>
  </w:num>
  <w:num w:numId="18">
    <w:abstractNumId w:val="17"/>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num>
  <w:num w:numId="22">
    <w:abstractNumId w:val="21"/>
  </w:num>
  <w:num w:numId="23">
    <w:abstractNumId w:val="12"/>
  </w:num>
  <w:num w:numId="24">
    <w:abstractNumId w:val="16"/>
  </w:num>
  <w:num w:numId="25">
    <w:abstractNumId w:val="19"/>
  </w:num>
  <w:num w:numId="26">
    <w:abstractNumId w:val="22"/>
  </w:num>
  <w:num w:numId="27">
    <w:abstractNumId w:val="13"/>
  </w:num>
  <w:num w:numId="28">
    <w:abstractNumId w:val="23"/>
    <w:lvlOverride w:ilvl="0">
      <w:lvl w:ilvl="0">
        <w:start w:val="1"/>
        <w:numFmt w:val="decimal"/>
        <w:lvlText w:val="%1."/>
        <w:lvlJc w:val="left"/>
        <w:pPr>
          <w:tabs>
            <w:tab w:val="num" w:pos="1134"/>
          </w:tabs>
          <w:ind w:left="1247" w:firstLine="0"/>
        </w:pPr>
        <w:rPr>
          <w:rFonts w:hint="default"/>
        </w:rPr>
      </w:lvl>
    </w:lvlOverride>
  </w:num>
  <w:num w:numId="29">
    <w:abstractNumId w:val="5"/>
  </w:num>
  <w:num w:numId="30">
    <w:abstractNumId w:val="29"/>
  </w:num>
  <w:num w:numId="31">
    <w:abstractNumId w:val="18"/>
  </w:num>
  <w:num w:numId="32">
    <w:abstractNumId w:val="3"/>
  </w:num>
  <w:num w:numId="33">
    <w:abstractNumId w:val="4"/>
  </w:num>
  <w:num w:numId="34">
    <w:abstractNumId w:val="8"/>
  </w:num>
  <w:num w:numId="35">
    <w:abstractNumId w:val="14"/>
  </w:num>
  <w:num w:numId="36">
    <w:abstractNumId w:val="1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hideSpellingErrors/>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7655"/>
    <w:rsid w:val="000000FA"/>
    <w:rsid w:val="000006B9"/>
    <w:rsid w:val="000009C6"/>
    <w:rsid w:val="00001BC0"/>
    <w:rsid w:val="000054C6"/>
    <w:rsid w:val="0000666B"/>
    <w:rsid w:val="000105BD"/>
    <w:rsid w:val="00011433"/>
    <w:rsid w:val="00016424"/>
    <w:rsid w:val="00017424"/>
    <w:rsid w:val="00017502"/>
    <w:rsid w:val="00017A7E"/>
    <w:rsid w:val="000222A6"/>
    <w:rsid w:val="000233FD"/>
    <w:rsid w:val="0002374B"/>
    <w:rsid w:val="000239D6"/>
    <w:rsid w:val="000244E2"/>
    <w:rsid w:val="00024C10"/>
    <w:rsid w:val="00025B45"/>
    <w:rsid w:val="00025EC6"/>
    <w:rsid w:val="00030A21"/>
    <w:rsid w:val="0003354F"/>
    <w:rsid w:val="0003399A"/>
    <w:rsid w:val="0003439B"/>
    <w:rsid w:val="00034E3A"/>
    <w:rsid w:val="000350D9"/>
    <w:rsid w:val="00035800"/>
    <w:rsid w:val="00040E6F"/>
    <w:rsid w:val="000429F8"/>
    <w:rsid w:val="00043CC2"/>
    <w:rsid w:val="00045FC1"/>
    <w:rsid w:val="000502B4"/>
    <w:rsid w:val="00051889"/>
    <w:rsid w:val="0005235D"/>
    <w:rsid w:val="000525C2"/>
    <w:rsid w:val="00055477"/>
    <w:rsid w:val="00056211"/>
    <w:rsid w:val="0005637C"/>
    <w:rsid w:val="00056849"/>
    <w:rsid w:val="00056D0B"/>
    <w:rsid w:val="00056DAA"/>
    <w:rsid w:val="00057793"/>
    <w:rsid w:val="00061B8F"/>
    <w:rsid w:val="00062253"/>
    <w:rsid w:val="00063159"/>
    <w:rsid w:val="0006341F"/>
    <w:rsid w:val="000670B6"/>
    <w:rsid w:val="0006718C"/>
    <w:rsid w:val="00067A71"/>
    <w:rsid w:val="00067FA5"/>
    <w:rsid w:val="00070499"/>
    <w:rsid w:val="00070C83"/>
    <w:rsid w:val="00071380"/>
    <w:rsid w:val="0007339A"/>
    <w:rsid w:val="00074829"/>
    <w:rsid w:val="0007505C"/>
    <w:rsid w:val="000750FB"/>
    <w:rsid w:val="00075662"/>
    <w:rsid w:val="00075B39"/>
    <w:rsid w:val="00077B9F"/>
    <w:rsid w:val="00077F17"/>
    <w:rsid w:val="00080BD3"/>
    <w:rsid w:val="0008132A"/>
    <w:rsid w:val="000831AF"/>
    <w:rsid w:val="00084231"/>
    <w:rsid w:val="00084829"/>
    <w:rsid w:val="000849FA"/>
    <w:rsid w:val="00085B16"/>
    <w:rsid w:val="000869DA"/>
    <w:rsid w:val="00086A79"/>
    <w:rsid w:val="00086A82"/>
    <w:rsid w:val="000872F0"/>
    <w:rsid w:val="00087671"/>
    <w:rsid w:val="000878AD"/>
    <w:rsid w:val="000934D8"/>
    <w:rsid w:val="00093E24"/>
    <w:rsid w:val="00095190"/>
    <w:rsid w:val="0009566D"/>
    <w:rsid w:val="00096D03"/>
    <w:rsid w:val="000A1A9C"/>
    <w:rsid w:val="000A70BC"/>
    <w:rsid w:val="000B06FE"/>
    <w:rsid w:val="000B0953"/>
    <w:rsid w:val="000B1275"/>
    <w:rsid w:val="000B1693"/>
    <w:rsid w:val="000B1853"/>
    <w:rsid w:val="000B199D"/>
    <w:rsid w:val="000B2CCA"/>
    <w:rsid w:val="000B3642"/>
    <w:rsid w:val="000B722F"/>
    <w:rsid w:val="000C2EA6"/>
    <w:rsid w:val="000C41D1"/>
    <w:rsid w:val="000C55F7"/>
    <w:rsid w:val="000C5FF2"/>
    <w:rsid w:val="000C7215"/>
    <w:rsid w:val="000C7330"/>
    <w:rsid w:val="000D0413"/>
    <w:rsid w:val="000D068A"/>
    <w:rsid w:val="000D276B"/>
    <w:rsid w:val="000D2BD5"/>
    <w:rsid w:val="000D42F2"/>
    <w:rsid w:val="000D4653"/>
    <w:rsid w:val="000D536A"/>
    <w:rsid w:val="000D6AA0"/>
    <w:rsid w:val="000D6C6C"/>
    <w:rsid w:val="000E19CB"/>
    <w:rsid w:val="000E594A"/>
    <w:rsid w:val="000E5C77"/>
    <w:rsid w:val="000E68D2"/>
    <w:rsid w:val="000E7207"/>
    <w:rsid w:val="000E7FE7"/>
    <w:rsid w:val="000F07BB"/>
    <w:rsid w:val="000F18B7"/>
    <w:rsid w:val="000F2EFE"/>
    <w:rsid w:val="000F33E4"/>
    <w:rsid w:val="000F37DE"/>
    <w:rsid w:val="000F60C0"/>
    <w:rsid w:val="000F69D9"/>
    <w:rsid w:val="000F75D4"/>
    <w:rsid w:val="0010089E"/>
    <w:rsid w:val="001009F4"/>
    <w:rsid w:val="00101740"/>
    <w:rsid w:val="00101988"/>
    <w:rsid w:val="00102811"/>
    <w:rsid w:val="00106D78"/>
    <w:rsid w:val="00106DA8"/>
    <w:rsid w:val="00111C6D"/>
    <w:rsid w:val="0011592E"/>
    <w:rsid w:val="00115D8A"/>
    <w:rsid w:val="00117770"/>
    <w:rsid w:val="00124706"/>
    <w:rsid w:val="00125DEE"/>
    <w:rsid w:val="001324AD"/>
    <w:rsid w:val="00133DA2"/>
    <w:rsid w:val="00134408"/>
    <w:rsid w:val="00134543"/>
    <w:rsid w:val="00136147"/>
    <w:rsid w:val="00136FA9"/>
    <w:rsid w:val="00141C12"/>
    <w:rsid w:val="00142126"/>
    <w:rsid w:val="00145965"/>
    <w:rsid w:val="00145E64"/>
    <w:rsid w:val="00146794"/>
    <w:rsid w:val="00146914"/>
    <w:rsid w:val="00146BDC"/>
    <w:rsid w:val="001470C7"/>
    <w:rsid w:val="00147708"/>
    <w:rsid w:val="0014795F"/>
    <w:rsid w:val="00147D71"/>
    <w:rsid w:val="00150166"/>
    <w:rsid w:val="00151621"/>
    <w:rsid w:val="00152BAD"/>
    <w:rsid w:val="00153219"/>
    <w:rsid w:val="00153F99"/>
    <w:rsid w:val="00154FAA"/>
    <w:rsid w:val="00155F10"/>
    <w:rsid w:val="00156952"/>
    <w:rsid w:val="0015700C"/>
    <w:rsid w:val="00160D18"/>
    <w:rsid w:val="0016251D"/>
    <w:rsid w:val="0016274A"/>
    <w:rsid w:val="00162D04"/>
    <w:rsid w:val="00165060"/>
    <w:rsid w:val="001667D8"/>
    <w:rsid w:val="001675A0"/>
    <w:rsid w:val="00171E30"/>
    <w:rsid w:val="00172033"/>
    <w:rsid w:val="001755A2"/>
    <w:rsid w:val="00177222"/>
    <w:rsid w:val="001778ED"/>
    <w:rsid w:val="0018154B"/>
    <w:rsid w:val="00184AEA"/>
    <w:rsid w:val="00186F53"/>
    <w:rsid w:val="00193851"/>
    <w:rsid w:val="00194093"/>
    <w:rsid w:val="001940F1"/>
    <w:rsid w:val="00194803"/>
    <w:rsid w:val="00196365"/>
    <w:rsid w:val="001964B6"/>
    <w:rsid w:val="0019650D"/>
    <w:rsid w:val="00196CFB"/>
    <w:rsid w:val="00196E3D"/>
    <w:rsid w:val="001A0DAC"/>
    <w:rsid w:val="001A27F4"/>
    <w:rsid w:val="001A3B0A"/>
    <w:rsid w:val="001A3F45"/>
    <w:rsid w:val="001A423B"/>
    <w:rsid w:val="001A6423"/>
    <w:rsid w:val="001B15F7"/>
    <w:rsid w:val="001B1720"/>
    <w:rsid w:val="001B1A5C"/>
    <w:rsid w:val="001B4542"/>
    <w:rsid w:val="001B4CC2"/>
    <w:rsid w:val="001B72B0"/>
    <w:rsid w:val="001C08CC"/>
    <w:rsid w:val="001C0D51"/>
    <w:rsid w:val="001C186D"/>
    <w:rsid w:val="001C2B33"/>
    <w:rsid w:val="001C318F"/>
    <w:rsid w:val="001C3581"/>
    <w:rsid w:val="001C5AC5"/>
    <w:rsid w:val="001C6A69"/>
    <w:rsid w:val="001C6E5D"/>
    <w:rsid w:val="001C7966"/>
    <w:rsid w:val="001C7FBF"/>
    <w:rsid w:val="001D0368"/>
    <w:rsid w:val="001D0597"/>
    <w:rsid w:val="001D1084"/>
    <w:rsid w:val="001D4070"/>
    <w:rsid w:val="001D50F0"/>
    <w:rsid w:val="001D5DAF"/>
    <w:rsid w:val="001D5E0B"/>
    <w:rsid w:val="001D6815"/>
    <w:rsid w:val="001D74BD"/>
    <w:rsid w:val="001E07EB"/>
    <w:rsid w:val="001E1C89"/>
    <w:rsid w:val="001E437D"/>
    <w:rsid w:val="001E5E11"/>
    <w:rsid w:val="001E6177"/>
    <w:rsid w:val="001E7252"/>
    <w:rsid w:val="001E7CD8"/>
    <w:rsid w:val="001F27FC"/>
    <w:rsid w:val="001F35EF"/>
    <w:rsid w:val="001F50ED"/>
    <w:rsid w:val="001F5228"/>
    <w:rsid w:val="001F64CD"/>
    <w:rsid w:val="00200B60"/>
    <w:rsid w:val="0020100B"/>
    <w:rsid w:val="00201DF0"/>
    <w:rsid w:val="00201E17"/>
    <w:rsid w:val="00201EC7"/>
    <w:rsid w:val="002030DA"/>
    <w:rsid w:val="00203B47"/>
    <w:rsid w:val="00206030"/>
    <w:rsid w:val="00206D1D"/>
    <w:rsid w:val="0020734F"/>
    <w:rsid w:val="0020796B"/>
    <w:rsid w:val="00210AA1"/>
    <w:rsid w:val="002112E2"/>
    <w:rsid w:val="002124AB"/>
    <w:rsid w:val="002149EE"/>
    <w:rsid w:val="0021529B"/>
    <w:rsid w:val="00215824"/>
    <w:rsid w:val="00215F28"/>
    <w:rsid w:val="00216207"/>
    <w:rsid w:val="002178E0"/>
    <w:rsid w:val="002204F4"/>
    <w:rsid w:val="00224353"/>
    <w:rsid w:val="00233445"/>
    <w:rsid w:val="00233C75"/>
    <w:rsid w:val="00235C9D"/>
    <w:rsid w:val="002363B6"/>
    <w:rsid w:val="002417B8"/>
    <w:rsid w:val="00241A74"/>
    <w:rsid w:val="00241E71"/>
    <w:rsid w:val="002425FD"/>
    <w:rsid w:val="00242834"/>
    <w:rsid w:val="00243D82"/>
    <w:rsid w:val="00245716"/>
    <w:rsid w:val="0024575E"/>
    <w:rsid w:val="00246D95"/>
    <w:rsid w:val="00247AD0"/>
    <w:rsid w:val="00247D85"/>
    <w:rsid w:val="00250746"/>
    <w:rsid w:val="00250F13"/>
    <w:rsid w:val="0025359B"/>
    <w:rsid w:val="00254910"/>
    <w:rsid w:val="00256A37"/>
    <w:rsid w:val="00256B8E"/>
    <w:rsid w:val="00256C36"/>
    <w:rsid w:val="0026175D"/>
    <w:rsid w:val="002621AE"/>
    <w:rsid w:val="0026271E"/>
    <w:rsid w:val="002637DE"/>
    <w:rsid w:val="0026398B"/>
    <w:rsid w:val="00264EBF"/>
    <w:rsid w:val="00267AE7"/>
    <w:rsid w:val="00267D79"/>
    <w:rsid w:val="00270EBC"/>
    <w:rsid w:val="002719E6"/>
    <w:rsid w:val="00272F4D"/>
    <w:rsid w:val="002753BC"/>
    <w:rsid w:val="00275729"/>
    <w:rsid w:val="00275E6E"/>
    <w:rsid w:val="0027607B"/>
    <w:rsid w:val="002766BC"/>
    <w:rsid w:val="00277520"/>
    <w:rsid w:val="00277F07"/>
    <w:rsid w:val="00281933"/>
    <w:rsid w:val="00282A2A"/>
    <w:rsid w:val="00285852"/>
    <w:rsid w:val="002874A6"/>
    <w:rsid w:val="002905CD"/>
    <w:rsid w:val="002906DA"/>
    <w:rsid w:val="00290F84"/>
    <w:rsid w:val="00292D18"/>
    <w:rsid w:val="00294E60"/>
    <w:rsid w:val="00295FCA"/>
    <w:rsid w:val="00296F0E"/>
    <w:rsid w:val="00297A30"/>
    <w:rsid w:val="002A0A94"/>
    <w:rsid w:val="002A0F75"/>
    <w:rsid w:val="002A3383"/>
    <w:rsid w:val="002A3800"/>
    <w:rsid w:val="002A3C9E"/>
    <w:rsid w:val="002A3CC2"/>
    <w:rsid w:val="002A4DE2"/>
    <w:rsid w:val="002A5734"/>
    <w:rsid w:val="002A5AA1"/>
    <w:rsid w:val="002A7810"/>
    <w:rsid w:val="002A7AAC"/>
    <w:rsid w:val="002B10CC"/>
    <w:rsid w:val="002B12AA"/>
    <w:rsid w:val="002B1402"/>
    <w:rsid w:val="002B279F"/>
    <w:rsid w:val="002B4390"/>
    <w:rsid w:val="002B5035"/>
    <w:rsid w:val="002B547A"/>
    <w:rsid w:val="002B7102"/>
    <w:rsid w:val="002B7C27"/>
    <w:rsid w:val="002C047F"/>
    <w:rsid w:val="002C7A03"/>
    <w:rsid w:val="002C7C83"/>
    <w:rsid w:val="002D05E4"/>
    <w:rsid w:val="002D0F3E"/>
    <w:rsid w:val="002D0F82"/>
    <w:rsid w:val="002D29D8"/>
    <w:rsid w:val="002E074D"/>
    <w:rsid w:val="002E2AC5"/>
    <w:rsid w:val="002E2C8E"/>
    <w:rsid w:val="002E5001"/>
    <w:rsid w:val="002E7C66"/>
    <w:rsid w:val="002F0D14"/>
    <w:rsid w:val="002F1434"/>
    <w:rsid w:val="002F1D42"/>
    <w:rsid w:val="002F3AC7"/>
    <w:rsid w:val="002F3BA3"/>
    <w:rsid w:val="002F4333"/>
    <w:rsid w:val="002F54A9"/>
    <w:rsid w:val="002F6519"/>
    <w:rsid w:val="002F6D2A"/>
    <w:rsid w:val="002F7EC7"/>
    <w:rsid w:val="00302A39"/>
    <w:rsid w:val="00303BA7"/>
    <w:rsid w:val="003056E6"/>
    <w:rsid w:val="003058AC"/>
    <w:rsid w:val="003063BF"/>
    <w:rsid w:val="0030745A"/>
    <w:rsid w:val="00307BFC"/>
    <w:rsid w:val="0031071C"/>
    <w:rsid w:val="00311FB4"/>
    <w:rsid w:val="003132C6"/>
    <w:rsid w:val="003139C7"/>
    <w:rsid w:val="0031423D"/>
    <w:rsid w:val="00317630"/>
    <w:rsid w:val="0032107D"/>
    <w:rsid w:val="00323E72"/>
    <w:rsid w:val="00324839"/>
    <w:rsid w:val="00324A63"/>
    <w:rsid w:val="00325B91"/>
    <w:rsid w:val="0033312D"/>
    <w:rsid w:val="003353AA"/>
    <w:rsid w:val="0033557B"/>
    <w:rsid w:val="00342F6B"/>
    <w:rsid w:val="003457B1"/>
    <w:rsid w:val="00345BE2"/>
    <w:rsid w:val="003470C1"/>
    <w:rsid w:val="0034758B"/>
    <w:rsid w:val="00347D16"/>
    <w:rsid w:val="00352532"/>
    <w:rsid w:val="003536F0"/>
    <w:rsid w:val="003549CF"/>
    <w:rsid w:val="00354EA2"/>
    <w:rsid w:val="003555FB"/>
    <w:rsid w:val="00364CA6"/>
    <w:rsid w:val="0036538F"/>
    <w:rsid w:val="003653E2"/>
    <w:rsid w:val="003657D7"/>
    <w:rsid w:val="00366220"/>
    <w:rsid w:val="00366443"/>
    <w:rsid w:val="003669AE"/>
    <w:rsid w:val="00366B26"/>
    <w:rsid w:val="003677D9"/>
    <w:rsid w:val="003679F9"/>
    <w:rsid w:val="00370074"/>
    <w:rsid w:val="0037056E"/>
    <w:rsid w:val="00370A6B"/>
    <w:rsid w:val="00372283"/>
    <w:rsid w:val="003754D5"/>
    <w:rsid w:val="00377097"/>
    <w:rsid w:val="00382037"/>
    <w:rsid w:val="00382B5E"/>
    <w:rsid w:val="00385CE2"/>
    <w:rsid w:val="00390585"/>
    <w:rsid w:val="00390816"/>
    <w:rsid w:val="0039294F"/>
    <w:rsid w:val="003930D0"/>
    <w:rsid w:val="00394745"/>
    <w:rsid w:val="00396031"/>
    <w:rsid w:val="003A29E0"/>
    <w:rsid w:val="003A2B71"/>
    <w:rsid w:val="003A5BFF"/>
    <w:rsid w:val="003A668B"/>
    <w:rsid w:val="003A7C78"/>
    <w:rsid w:val="003B17A0"/>
    <w:rsid w:val="003B1987"/>
    <w:rsid w:val="003B30B5"/>
    <w:rsid w:val="003B5EEC"/>
    <w:rsid w:val="003C16B7"/>
    <w:rsid w:val="003C1C90"/>
    <w:rsid w:val="003C26D1"/>
    <w:rsid w:val="003C2988"/>
    <w:rsid w:val="003C74CD"/>
    <w:rsid w:val="003D0B8A"/>
    <w:rsid w:val="003D188D"/>
    <w:rsid w:val="003D2E42"/>
    <w:rsid w:val="003D3854"/>
    <w:rsid w:val="003D3D3E"/>
    <w:rsid w:val="003D5588"/>
    <w:rsid w:val="003D5A85"/>
    <w:rsid w:val="003D762C"/>
    <w:rsid w:val="003E052F"/>
    <w:rsid w:val="003E20BD"/>
    <w:rsid w:val="003E3A9C"/>
    <w:rsid w:val="003E3B66"/>
    <w:rsid w:val="003E4BB7"/>
    <w:rsid w:val="003E4F3E"/>
    <w:rsid w:val="003E5C9A"/>
    <w:rsid w:val="003E674E"/>
    <w:rsid w:val="003E7AC2"/>
    <w:rsid w:val="003F0629"/>
    <w:rsid w:val="003F199D"/>
    <w:rsid w:val="003F2166"/>
    <w:rsid w:val="003F49CC"/>
    <w:rsid w:val="003F4DF2"/>
    <w:rsid w:val="003F744F"/>
    <w:rsid w:val="00400F7A"/>
    <w:rsid w:val="00401451"/>
    <w:rsid w:val="004031E1"/>
    <w:rsid w:val="004033E2"/>
    <w:rsid w:val="00404D8F"/>
    <w:rsid w:val="00404F64"/>
    <w:rsid w:val="0040662E"/>
    <w:rsid w:val="00407007"/>
    <w:rsid w:val="00412692"/>
    <w:rsid w:val="00412C4A"/>
    <w:rsid w:val="0041674D"/>
    <w:rsid w:val="0041748C"/>
    <w:rsid w:val="0042013B"/>
    <w:rsid w:val="00422236"/>
    <w:rsid w:val="004259E0"/>
    <w:rsid w:val="00425C23"/>
    <w:rsid w:val="00427286"/>
    <w:rsid w:val="00427353"/>
    <w:rsid w:val="00431F56"/>
    <w:rsid w:val="004320D4"/>
    <w:rsid w:val="004333DA"/>
    <w:rsid w:val="004334FE"/>
    <w:rsid w:val="00434AC0"/>
    <w:rsid w:val="00436010"/>
    <w:rsid w:val="00440745"/>
    <w:rsid w:val="00442F3D"/>
    <w:rsid w:val="0044355D"/>
    <w:rsid w:val="004451B4"/>
    <w:rsid w:val="00446273"/>
    <w:rsid w:val="00446CCF"/>
    <w:rsid w:val="00450E0C"/>
    <w:rsid w:val="00450E3B"/>
    <w:rsid w:val="00450FF7"/>
    <w:rsid w:val="00452917"/>
    <w:rsid w:val="004535DD"/>
    <w:rsid w:val="0045558B"/>
    <w:rsid w:val="00455669"/>
    <w:rsid w:val="0045627F"/>
    <w:rsid w:val="00457180"/>
    <w:rsid w:val="004573D7"/>
    <w:rsid w:val="004605A3"/>
    <w:rsid w:val="00460EED"/>
    <w:rsid w:val="00462513"/>
    <w:rsid w:val="0046266C"/>
    <w:rsid w:val="00462DE7"/>
    <w:rsid w:val="00463135"/>
    <w:rsid w:val="0046316B"/>
    <w:rsid w:val="00463527"/>
    <w:rsid w:val="00465FE8"/>
    <w:rsid w:val="00466185"/>
    <w:rsid w:val="00466AAB"/>
    <w:rsid w:val="00467AF0"/>
    <w:rsid w:val="004711C0"/>
    <w:rsid w:val="004717BC"/>
    <w:rsid w:val="00471DBE"/>
    <w:rsid w:val="004729F4"/>
    <w:rsid w:val="00472A08"/>
    <w:rsid w:val="00477B4C"/>
    <w:rsid w:val="0048053B"/>
    <w:rsid w:val="00480DBA"/>
    <w:rsid w:val="004816E7"/>
    <w:rsid w:val="00481993"/>
    <w:rsid w:val="00484652"/>
    <w:rsid w:val="004859D5"/>
    <w:rsid w:val="0048653E"/>
    <w:rsid w:val="00487974"/>
    <w:rsid w:val="00487CA5"/>
    <w:rsid w:val="0049121B"/>
    <w:rsid w:val="004946E6"/>
    <w:rsid w:val="0049677E"/>
    <w:rsid w:val="004969B6"/>
    <w:rsid w:val="00497F56"/>
    <w:rsid w:val="004A0EC1"/>
    <w:rsid w:val="004A214F"/>
    <w:rsid w:val="004A2185"/>
    <w:rsid w:val="004A35B7"/>
    <w:rsid w:val="004A3F99"/>
    <w:rsid w:val="004A4E15"/>
    <w:rsid w:val="004A52C8"/>
    <w:rsid w:val="004A5BB6"/>
    <w:rsid w:val="004A64E0"/>
    <w:rsid w:val="004A6DF5"/>
    <w:rsid w:val="004B3279"/>
    <w:rsid w:val="004B3962"/>
    <w:rsid w:val="004B3B41"/>
    <w:rsid w:val="004B3FBD"/>
    <w:rsid w:val="004B4EBD"/>
    <w:rsid w:val="004B6610"/>
    <w:rsid w:val="004B6BC9"/>
    <w:rsid w:val="004B6ECF"/>
    <w:rsid w:val="004B7027"/>
    <w:rsid w:val="004C0EA3"/>
    <w:rsid w:val="004C12DE"/>
    <w:rsid w:val="004C2EEE"/>
    <w:rsid w:val="004C5C4E"/>
    <w:rsid w:val="004C733D"/>
    <w:rsid w:val="004C7D33"/>
    <w:rsid w:val="004C7E71"/>
    <w:rsid w:val="004D219E"/>
    <w:rsid w:val="004D5624"/>
    <w:rsid w:val="004D66B8"/>
    <w:rsid w:val="004D6B18"/>
    <w:rsid w:val="004E0D90"/>
    <w:rsid w:val="004E1DB1"/>
    <w:rsid w:val="004E1FA2"/>
    <w:rsid w:val="004E2718"/>
    <w:rsid w:val="004E3AD9"/>
    <w:rsid w:val="004E5616"/>
    <w:rsid w:val="004E7D8C"/>
    <w:rsid w:val="004F1213"/>
    <w:rsid w:val="004F2197"/>
    <w:rsid w:val="004F4CD5"/>
    <w:rsid w:val="00500B87"/>
    <w:rsid w:val="00500F00"/>
    <w:rsid w:val="0050215B"/>
    <w:rsid w:val="00503A06"/>
    <w:rsid w:val="00504B85"/>
    <w:rsid w:val="00504E8E"/>
    <w:rsid w:val="00505223"/>
    <w:rsid w:val="00505329"/>
    <w:rsid w:val="0050615E"/>
    <w:rsid w:val="005078C6"/>
    <w:rsid w:val="00511778"/>
    <w:rsid w:val="00511BA4"/>
    <w:rsid w:val="0051378E"/>
    <w:rsid w:val="005142DD"/>
    <w:rsid w:val="00514333"/>
    <w:rsid w:val="00520BF5"/>
    <w:rsid w:val="00522821"/>
    <w:rsid w:val="00524055"/>
    <w:rsid w:val="0052562E"/>
    <w:rsid w:val="005263E5"/>
    <w:rsid w:val="0052683C"/>
    <w:rsid w:val="00527EA8"/>
    <w:rsid w:val="0053141F"/>
    <w:rsid w:val="00532A51"/>
    <w:rsid w:val="005344BD"/>
    <w:rsid w:val="00537926"/>
    <w:rsid w:val="00541EC4"/>
    <w:rsid w:val="00543D9B"/>
    <w:rsid w:val="005442D9"/>
    <w:rsid w:val="005479DD"/>
    <w:rsid w:val="00547D47"/>
    <w:rsid w:val="00547E7D"/>
    <w:rsid w:val="00550D7B"/>
    <w:rsid w:val="00550FA0"/>
    <w:rsid w:val="005512FF"/>
    <w:rsid w:val="005514A7"/>
    <w:rsid w:val="00552775"/>
    <w:rsid w:val="00552EA7"/>
    <w:rsid w:val="0055424C"/>
    <w:rsid w:val="00555F55"/>
    <w:rsid w:val="005564FA"/>
    <w:rsid w:val="00562157"/>
    <w:rsid w:val="0056233A"/>
    <w:rsid w:val="00562EFE"/>
    <w:rsid w:val="005630A9"/>
    <w:rsid w:val="00564BD7"/>
    <w:rsid w:val="00565106"/>
    <w:rsid w:val="00566B67"/>
    <w:rsid w:val="0056787F"/>
    <w:rsid w:val="00570177"/>
    <w:rsid w:val="005709E6"/>
    <w:rsid w:val="005716B8"/>
    <w:rsid w:val="005743D3"/>
    <w:rsid w:val="00574E50"/>
    <w:rsid w:val="00574F87"/>
    <w:rsid w:val="00576E45"/>
    <w:rsid w:val="005772DE"/>
    <w:rsid w:val="0057733F"/>
    <w:rsid w:val="00580E31"/>
    <w:rsid w:val="00582335"/>
    <w:rsid w:val="0058286A"/>
    <w:rsid w:val="00582DD6"/>
    <w:rsid w:val="00583AAD"/>
    <w:rsid w:val="00583C19"/>
    <w:rsid w:val="00584D64"/>
    <w:rsid w:val="00584EDA"/>
    <w:rsid w:val="005850F3"/>
    <w:rsid w:val="00585E36"/>
    <w:rsid w:val="00585E60"/>
    <w:rsid w:val="005860AD"/>
    <w:rsid w:val="005869A8"/>
    <w:rsid w:val="005870D5"/>
    <w:rsid w:val="00587FDD"/>
    <w:rsid w:val="005907E3"/>
    <w:rsid w:val="0059090E"/>
    <w:rsid w:val="00590B60"/>
    <w:rsid w:val="00591F7A"/>
    <w:rsid w:val="00592457"/>
    <w:rsid w:val="00593565"/>
    <w:rsid w:val="00593D58"/>
    <w:rsid w:val="00593FBE"/>
    <w:rsid w:val="00594302"/>
    <w:rsid w:val="00594423"/>
    <w:rsid w:val="005970E1"/>
    <w:rsid w:val="00597ECE"/>
    <w:rsid w:val="005A01B4"/>
    <w:rsid w:val="005A0536"/>
    <w:rsid w:val="005A0710"/>
    <w:rsid w:val="005A0D8A"/>
    <w:rsid w:val="005A18E8"/>
    <w:rsid w:val="005A1CFF"/>
    <w:rsid w:val="005A1E35"/>
    <w:rsid w:val="005A1FA8"/>
    <w:rsid w:val="005A21B3"/>
    <w:rsid w:val="005A323E"/>
    <w:rsid w:val="005A4B6B"/>
    <w:rsid w:val="005A528F"/>
    <w:rsid w:val="005A6695"/>
    <w:rsid w:val="005A6AF4"/>
    <w:rsid w:val="005B0B8B"/>
    <w:rsid w:val="005B1E9B"/>
    <w:rsid w:val="005B2C51"/>
    <w:rsid w:val="005B31A0"/>
    <w:rsid w:val="005B5AF7"/>
    <w:rsid w:val="005C010D"/>
    <w:rsid w:val="005C0D31"/>
    <w:rsid w:val="005C1ABE"/>
    <w:rsid w:val="005C213F"/>
    <w:rsid w:val="005C3663"/>
    <w:rsid w:val="005C3DFB"/>
    <w:rsid w:val="005C4B1A"/>
    <w:rsid w:val="005C5A06"/>
    <w:rsid w:val="005C664E"/>
    <w:rsid w:val="005C7C62"/>
    <w:rsid w:val="005D18A2"/>
    <w:rsid w:val="005D1C4A"/>
    <w:rsid w:val="005D1D5B"/>
    <w:rsid w:val="005D27D8"/>
    <w:rsid w:val="005D2F61"/>
    <w:rsid w:val="005D333C"/>
    <w:rsid w:val="005D4C19"/>
    <w:rsid w:val="005D5B1D"/>
    <w:rsid w:val="005D6FF7"/>
    <w:rsid w:val="005E0280"/>
    <w:rsid w:val="005E0470"/>
    <w:rsid w:val="005E166C"/>
    <w:rsid w:val="005E17B5"/>
    <w:rsid w:val="005E1DA1"/>
    <w:rsid w:val="005E1F70"/>
    <w:rsid w:val="005E3FEF"/>
    <w:rsid w:val="005E435C"/>
    <w:rsid w:val="005E55F0"/>
    <w:rsid w:val="005E7938"/>
    <w:rsid w:val="005F190B"/>
    <w:rsid w:val="005F5779"/>
    <w:rsid w:val="005F5DCF"/>
    <w:rsid w:val="005F6FF4"/>
    <w:rsid w:val="006010DD"/>
    <w:rsid w:val="006014C2"/>
    <w:rsid w:val="00602B78"/>
    <w:rsid w:val="00602F26"/>
    <w:rsid w:val="00603F36"/>
    <w:rsid w:val="00604E21"/>
    <w:rsid w:val="00605961"/>
    <w:rsid w:val="0060758D"/>
    <w:rsid w:val="00607CCD"/>
    <w:rsid w:val="0061006F"/>
    <w:rsid w:val="00610424"/>
    <w:rsid w:val="0061299D"/>
    <w:rsid w:val="00612AA3"/>
    <w:rsid w:val="00614D0F"/>
    <w:rsid w:val="0061658B"/>
    <w:rsid w:val="0062276F"/>
    <w:rsid w:val="0062404B"/>
    <w:rsid w:val="00624DCE"/>
    <w:rsid w:val="006275F3"/>
    <w:rsid w:val="0063084A"/>
    <w:rsid w:val="00632CA5"/>
    <w:rsid w:val="00633D21"/>
    <w:rsid w:val="006348AB"/>
    <w:rsid w:val="00634F27"/>
    <w:rsid w:val="00636EC6"/>
    <w:rsid w:val="0063720F"/>
    <w:rsid w:val="00640280"/>
    <w:rsid w:val="00640AD3"/>
    <w:rsid w:val="00642805"/>
    <w:rsid w:val="0064535B"/>
    <w:rsid w:val="0064591B"/>
    <w:rsid w:val="00646464"/>
    <w:rsid w:val="00646F6E"/>
    <w:rsid w:val="00651237"/>
    <w:rsid w:val="00651CFC"/>
    <w:rsid w:val="00652C6C"/>
    <w:rsid w:val="00653911"/>
    <w:rsid w:val="00654F73"/>
    <w:rsid w:val="00655E1C"/>
    <w:rsid w:val="006573DB"/>
    <w:rsid w:val="00663335"/>
    <w:rsid w:val="0066468F"/>
    <w:rsid w:val="00665748"/>
    <w:rsid w:val="006657D9"/>
    <w:rsid w:val="0066627E"/>
    <w:rsid w:val="006664EF"/>
    <w:rsid w:val="00670A3C"/>
    <w:rsid w:val="00671F9D"/>
    <w:rsid w:val="006725EA"/>
    <w:rsid w:val="006729EF"/>
    <w:rsid w:val="006731E8"/>
    <w:rsid w:val="006756DF"/>
    <w:rsid w:val="00676449"/>
    <w:rsid w:val="006776A4"/>
    <w:rsid w:val="00677752"/>
    <w:rsid w:val="00677FEC"/>
    <w:rsid w:val="00680BD8"/>
    <w:rsid w:val="006828B0"/>
    <w:rsid w:val="006829DB"/>
    <w:rsid w:val="006834C9"/>
    <w:rsid w:val="00683D23"/>
    <w:rsid w:val="00685033"/>
    <w:rsid w:val="00685349"/>
    <w:rsid w:val="00685592"/>
    <w:rsid w:val="006862F8"/>
    <w:rsid w:val="00686356"/>
    <w:rsid w:val="0069086E"/>
    <w:rsid w:val="006916AB"/>
    <w:rsid w:val="00692DF8"/>
    <w:rsid w:val="00697224"/>
    <w:rsid w:val="006A0925"/>
    <w:rsid w:val="006A1245"/>
    <w:rsid w:val="006A2A67"/>
    <w:rsid w:val="006A335B"/>
    <w:rsid w:val="006A3A45"/>
    <w:rsid w:val="006A4666"/>
    <w:rsid w:val="006A50FB"/>
    <w:rsid w:val="006A5647"/>
    <w:rsid w:val="006A6FB4"/>
    <w:rsid w:val="006B2134"/>
    <w:rsid w:val="006B3803"/>
    <w:rsid w:val="006B6476"/>
    <w:rsid w:val="006B7655"/>
    <w:rsid w:val="006B794E"/>
    <w:rsid w:val="006C09A6"/>
    <w:rsid w:val="006C1455"/>
    <w:rsid w:val="006C3685"/>
    <w:rsid w:val="006C37C8"/>
    <w:rsid w:val="006C4A0A"/>
    <w:rsid w:val="006C57D8"/>
    <w:rsid w:val="006C79A9"/>
    <w:rsid w:val="006D070E"/>
    <w:rsid w:val="006D13FB"/>
    <w:rsid w:val="006D1CB8"/>
    <w:rsid w:val="006D1D01"/>
    <w:rsid w:val="006D4299"/>
    <w:rsid w:val="006D5D0B"/>
    <w:rsid w:val="006D5E4E"/>
    <w:rsid w:val="006D6DB3"/>
    <w:rsid w:val="006D75C7"/>
    <w:rsid w:val="006D75E1"/>
    <w:rsid w:val="006E0F08"/>
    <w:rsid w:val="006E27E7"/>
    <w:rsid w:val="006E3046"/>
    <w:rsid w:val="006E3475"/>
    <w:rsid w:val="006E409C"/>
    <w:rsid w:val="006E42B1"/>
    <w:rsid w:val="006E46E4"/>
    <w:rsid w:val="006E4CDF"/>
    <w:rsid w:val="006E52A0"/>
    <w:rsid w:val="006E5BDA"/>
    <w:rsid w:val="006F05B3"/>
    <w:rsid w:val="006F0B0F"/>
    <w:rsid w:val="006F25B4"/>
    <w:rsid w:val="006F3825"/>
    <w:rsid w:val="006F4985"/>
    <w:rsid w:val="006F56BC"/>
    <w:rsid w:val="006F62AC"/>
    <w:rsid w:val="006F6D73"/>
    <w:rsid w:val="007005CF"/>
    <w:rsid w:val="00702C2F"/>
    <w:rsid w:val="0070390D"/>
    <w:rsid w:val="00703920"/>
    <w:rsid w:val="007040F3"/>
    <w:rsid w:val="00706D5E"/>
    <w:rsid w:val="0071018D"/>
    <w:rsid w:val="007117B7"/>
    <w:rsid w:val="00711D6D"/>
    <w:rsid w:val="00713960"/>
    <w:rsid w:val="00713DEF"/>
    <w:rsid w:val="00714902"/>
    <w:rsid w:val="00714EFF"/>
    <w:rsid w:val="00717B51"/>
    <w:rsid w:val="007209BA"/>
    <w:rsid w:val="00722004"/>
    <w:rsid w:val="007244EE"/>
    <w:rsid w:val="00725622"/>
    <w:rsid w:val="0072755B"/>
    <w:rsid w:val="00727A89"/>
    <w:rsid w:val="00727A94"/>
    <w:rsid w:val="0073037A"/>
    <w:rsid w:val="007304B1"/>
    <w:rsid w:val="00730577"/>
    <w:rsid w:val="007306A7"/>
    <w:rsid w:val="007321F5"/>
    <w:rsid w:val="00735730"/>
    <w:rsid w:val="007373CC"/>
    <w:rsid w:val="00737DFF"/>
    <w:rsid w:val="00740DE5"/>
    <w:rsid w:val="00743148"/>
    <w:rsid w:val="0074398A"/>
    <w:rsid w:val="007449AD"/>
    <w:rsid w:val="007460EE"/>
    <w:rsid w:val="007461D0"/>
    <w:rsid w:val="007465DE"/>
    <w:rsid w:val="00746CE6"/>
    <w:rsid w:val="007478E6"/>
    <w:rsid w:val="00750821"/>
    <w:rsid w:val="00750977"/>
    <w:rsid w:val="0075110D"/>
    <w:rsid w:val="007518E1"/>
    <w:rsid w:val="00751BC1"/>
    <w:rsid w:val="00751CA6"/>
    <w:rsid w:val="00752381"/>
    <w:rsid w:val="0075390C"/>
    <w:rsid w:val="00753A56"/>
    <w:rsid w:val="00754EF0"/>
    <w:rsid w:val="00756240"/>
    <w:rsid w:val="00756658"/>
    <w:rsid w:val="0076165E"/>
    <w:rsid w:val="007663F3"/>
    <w:rsid w:val="00766FF5"/>
    <w:rsid w:val="0076752B"/>
    <w:rsid w:val="00771B9A"/>
    <w:rsid w:val="007733A8"/>
    <w:rsid w:val="0077522B"/>
    <w:rsid w:val="00775E78"/>
    <w:rsid w:val="00776E94"/>
    <w:rsid w:val="00782DF0"/>
    <w:rsid w:val="007831DA"/>
    <w:rsid w:val="0078478B"/>
    <w:rsid w:val="00785A8F"/>
    <w:rsid w:val="00787D01"/>
    <w:rsid w:val="00787D5E"/>
    <w:rsid w:val="00787F4D"/>
    <w:rsid w:val="00790CD1"/>
    <w:rsid w:val="0079223F"/>
    <w:rsid w:val="00794EFE"/>
    <w:rsid w:val="00795624"/>
    <w:rsid w:val="007A0E93"/>
    <w:rsid w:val="007A259A"/>
    <w:rsid w:val="007A3CF0"/>
    <w:rsid w:val="007B4886"/>
    <w:rsid w:val="007B520A"/>
    <w:rsid w:val="007B732A"/>
    <w:rsid w:val="007C02A3"/>
    <w:rsid w:val="007C0415"/>
    <w:rsid w:val="007C1BC4"/>
    <w:rsid w:val="007C1DCF"/>
    <w:rsid w:val="007C299C"/>
    <w:rsid w:val="007C3B8D"/>
    <w:rsid w:val="007C4CA2"/>
    <w:rsid w:val="007C5319"/>
    <w:rsid w:val="007C6685"/>
    <w:rsid w:val="007C70CE"/>
    <w:rsid w:val="007C7DAA"/>
    <w:rsid w:val="007D039B"/>
    <w:rsid w:val="007D10D2"/>
    <w:rsid w:val="007D2B54"/>
    <w:rsid w:val="007D302E"/>
    <w:rsid w:val="007D379E"/>
    <w:rsid w:val="007D44D5"/>
    <w:rsid w:val="007D54A5"/>
    <w:rsid w:val="007D585B"/>
    <w:rsid w:val="007D6DFD"/>
    <w:rsid w:val="007D7A1C"/>
    <w:rsid w:val="007E01CA"/>
    <w:rsid w:val="007E026B"/>
    <w:rsid w:val="007E0457"/>
    <w:rsid w:val="007E092E"/>
    <w:rsid w:val="007E1356"/>
    <w:rsid w:val="007E21DB"/>
    <w:rsid w:val="007E482B"/>
    <w:rsid w:val="007E5A5E"/>
    <w:rsid w:val="007E76C4"/>
    <w:rsid w:val="007F0A31"/>
    <w:rsid w:val="007F2025"/>
    <w:rsid w:val="007F251D"/>
    <w:rsid w:val="007F3F65"/>
    <w:rsid w:val="007F406D"/>
    <w:rsid w:val="007F6179"/>
    <w:rsid w:val="007F75A2"/>
    <w:rsid w:val="00802398"/>
    <w:rsid w:val="00802B8F"/>
    <w:rsid w:val="00805100"/>
    <w:rsid w:val="00805EE8"/>
    <w:rsid w:val="00807226"/>
    <w:rsid w:val="00811D17"/>
    <w:rsid w:val="00811DEA"/>
    <w:rsid w:val="0081388F"/>
    <w:rsid w:val="00813BD2"/>
    <w:rsid w:val="00815AA0"/>
    <w:rsid w:val="00815C9B"/>
    <w:rsid w:val="00817A4B"/>
    <w:rsid w:val="00820B9D"/>
    <w:rsid w:val="008211C2"/>
    <w:rsid w:val="0082170B"/>
    <w:rsid w:val="00822599"/>
    <w:rsid w:val="00824885"/>
    <w:rsid w:val="00825131"/>
    <w:rsid w:val="0082564F"/>
    <w:rsid w:val="00825913"/>
    <w:rsid w:val="00825FC2"/>
    <w:rsid w:val="00826313"/>
    <w:rsid w:val="00827683"/>
    <w:rsid w:val="00830A8D"/>
    <w:rsid w:val="0083191A"/>
    <w:rsid w:val="008327C3"/>
    <w:rsid w:val="00833706"/>
    <w:rsid w:val="00834A84"/>
    <w:rsid w:val="008354D0"/>
    <w:rsid w:val="008357EE"/>
    <w:rsid w:val="00835912"/>
    <w:rsid w:val="00835B42"/>
    <w:rsid w:val="008408AD"/>
    <w:rsid w:val="00842B72"/>
    <w:rsid w:val="008438E5"/>
    <w:rsid w:val="00844586"/>
    <w:rsid w:val="00844D8B"/>
    <w:rsid w:val="008454F5"/>
    <w:rsid w:val="00845E43"/>
    <w:rsid w:val="008460B2"/>
    <w:rsid w:val="00846A0B"/>
    <w:rsid w:val="0085007C"/>
    <w:rsid w:val="00853EA2"/>
    <w:rsid w:val="0085407D"/>
    <w:rsid w:val="008541C0"/>
    <w:rsid w:val="008548C7"/>
    <w:rsid w:val="00855280"/>
    <w:rsid w:val="00856458"/>
    <w:rsid w:val="00860A38"/>
    <w:rsid w:val="00860BC9"/>
    <w:rsid w:val="00861838"/>
    <w:rsid w:val="00862C0B"/>
    <w:rsid w:val="00867B2B"/>
    <w:rsid w:val="008718C7"/>
    <w:rsid w:val="00871C79"/>
    <w:rsid w:val="008760A5"/>
    <w:rsid w:val="008767C5"/>
    <w:rsid w:val="008769DC"/>
    <w:rsid w:val="00877C10"/>
    <w:rsid w:val="0088105D"/>
    <w:rsid w:val="00881140"/>
    <w:rsid w:val="00882845"/>
    <w:rsid w:val="00884170"/>
    <w:rsid w:val="00886767"/>
    <w:rsid w:val="008875E7"/>
    <w:rsid w:val="00887F58"/>
    <w:rsid w:val="00892335"/>
    <w:rsid w:val="00892CC3"/>
    <w:rsid w:val="00893128"/>
    <w:rsid w:val="0089555E"/>
    <w:rsid w:val="008957A2"/>
    <w:rsid w:val="008A12D8"/>
    <w:rsid w:val="008A2229"/>
    <w:rsid w:val="008A5102"/>
    <w:rsid w:val="008A5CF6"/>
    <w:rsid w:val="008A7EAA"/>
    <w:rsid w:val="008B46E9"/>
    <w:rsid w:val="008B5269"/>
    <w:rsid w:val="008B756B"/>
    <w:rsid w:val="008C0615"/>
    <w:rsid w:val="008C0A8D"/>
    <w:rsid w:val="008C0DFF"/>
    <w:rsid w:val="008C0F38"/>
    <w:rsid w:val="008C2385"/>
    <w:rsid w:val="008C2C8B"/>
    <w:rsid w:val="008C3073"/>
    <w:rsid w:val="008C3FE1"/>
    <w:rsid w:val="008C49AB"/>
    <w:rsid w:val="008D018D"/>
    <w:rsid w:val="008D047B"/>
    <w:rsid w:val="008D1599"/>
    <w:rsid w:val="008D4216"/>
    <w:rsid w:val="008D48A7"/>
    <w:rsid w:val="008D63CE"/>
    <w:rsid w:val="008D7214"/>
    <w:rsid w:val="008D7A68"/>
    <w:rsid w:val="008D7F78"/>
    <w:rsid w:val="008E1A3A"/>
    <w:rsid w:val="008E1BFA"/>
    <w:rsid w:val="008E27FF"/>
    <w:rsid w:val="008E2990"/>
    <w:rsid w:val="008E43D2"/>
    <w:rsid w:val="008E5265"/>
    <w:rsid w:val="008E64D6"/>
    <w:rsid w:val="008F061F"/>
    <w:rsid w:val="008F3E47"/>
    <w:rsid w:val="008F4B59"/>
    <w:rsid w:val="008F5B30"/>
    <w:rsid w:val="008F6588"/>
    <w:rsid w:val="008F6929"/>
    <w:rsid w:val="008F7029"/>
    <w:rsid w:val="008F7714"/>
    <w:rsid w:val="00900615"/>
    <w:rsid w:val="00901B6E"/>
    <w:rsid w:val="0090230B"/>
    <w:rsid w:val="009023B7"/>
    <w:rsid w:val="00902B20"/>
    <w:rsid w:val="009031EE"/>
    <w:rsid w:val="0090327C"/>
    <w:rsid w:val="00904157"/>
    <w:rsid w:val="0090446F"/>
    <w:rsid w:val="00906959"/>
    <w:rsid w:val="0091139F"/>
    <w:rsid w:val="00912524"/>
    <w:rsid w:val="00912C70"/>
    <w:rsid w:val="00913212"/>
    <w:rsid w:val="00914228"/>
    <w:rsid w:val="00917FB2"/>
    <w:rsid w:val="0092006D"/>
    <w:rsid w:val="009237FC"/>
    <w:rsid w:val="009245EF"/>
    <w:rsid w:val="00927A2B"/>
    <w:rsid w:val="009309DA"/>
    <w:rsid w:val="00930BF8"/>
    <w:rsid w:val="009323BE"/>
    <w:rsid w:val="00935358"/>
    <w:rsid w:val="00936117"/>
    <w:rsid w:val="009416B6"/>
    <w:rsid w:val="009459CB"/>
    <w:rsid w:val="00946AEF"/>
    <w:rsid w:val="00947A31"/>
    <w:rsid w:val="00950B7C"/>
    <w:rsid w:val="00951434"/>
    <w:rsid w:val="00953E95"/>
    <w:rsid w:val="00953F4A"/>
    <w:rsid w:val="00955495"/>
    <w:rsid w:val="009601D6"/>
    <w:rsid w:val="00960484"/>
    <w:rsid w:val="00960F51"/>
    <w:rsid w:val="00961E63"/>
    <w:rsid w:val="00964054"/>
    <w:rsid w:val="009723BD"/>
    <w:rsid w:val="009759CA"/>
    <w:rsid w:val="0098149E"/>
    <w:rsid w:val="009817A8"/>
    <w:rsid w:val="009833A8"/>
    <w:rsid w:val="0098513E"/>
    <w:rsid w:val="0098591B"/>
    <w:rsid w:val="00985D71"/>
    <w:rsid w:val="00986C20"/>
    <w:rsid w:val="009870E9"/>
    <w:rsid w:val="00990DA8"/>
    <w:rsid w:val="00991066"/>
    <w:rsid w:val="00991A46"/>
    <w:rsid w:val="00992B2A"/>
    <w:rsid w:val="0099374F"/>
    <w:rsid w:val="009955AE"/>
    <w:rsid w:val="009957A0"/>
    <w:rsid w:val="009958B3"/>
    <w:rsid w:val="0099645F"/>
    <w:rsid w:val="00996BC4"/>
    <w:rsid w:val="009A00E5"/>
    <w:rsid w:val="009A06F7"/>
    <w:rsid w:val="009A0B0B"/>
    <w:rsid w:val="009A117B"/>
    <w:rsid w:val="009A1A10"/>
    <w:rsid w:val="009A1E5A"/>
    <w:rsid w:val="009A2076"/>
    <w:rsid w:val="009A25E3"/>
    <w:rsid w:val="009A2D88"/>
    <w:rsid w:val="009A3F3F"/>
    <w:rsid w:val="009A6A80"/>
    <w:rsid w:val="009A6F90"/>
    <w:rsid w:val="009A711C"/>
    <w:rsid w:val="009B0448"/>
    <w:rsid w:val="009B0913"/>
    <w:rsid w:val="009B180B"/>
    <w:rsid w:val="009B4ACA"/>
    <w:rsid w:val="009B633E"/>
    <w:rsid w:val="009B63D6"/>
    <w:rsid w:val="009C38D1"/>
    <w:rsid w:val="009C42A2"/>
    <w:rsid w:val="009C4A2A"/>
    <w:rsid w:val="009C5B85"/>
    <w:rsid w:val="009C5BDD"/>
    <w:rsid w:val="009C64E5"/>
    <w:rsid w:val="009C6A92"/>
    <w:rsid w:val="009C7AE1"/>
    <w:rsid w:val="009D085F"/>
    <w:rsid w:val="009D09EB"/>
    <w:rsid w:val="009D18D4"/>
    <w:rsid w:val="009D2D2C"/>
    <w:rsid w:val="009D36D2"/>
    <w:rsid w:val="009D49BB"/>
    <w:rsid w:val="009D5879"/>
    <w:rsid w:val="009D5E46"/>
    <w:rsid w:val="009D64C8"/>
    <w:rsid w:val="009D7F1A"/>
    <w:rsid w:val="009D7FDB"/>
    <w:rsid w:val="009E2157"/>
    <w:rsid w:val="009E2ADD"/>
    <w:rsid w:val="009E33C9"/>
    <w:rsid w:val="009E36AA"/>
    <w:rsid w:val="009E42D1"/>
    <w:rsid w:val="009E47DC"/>
    <w:rsid w:val="009E4D0E"/>
    <w:rsid w:val="009E71DB"/>
    <w:rsid w:val="009F0016"/>
    <w:rsid w:val="009F0CC8"/>
    <w:rsid w:val="009F1D3B"/>
    <w:rsid w:val="009F31C7"/>
    <w:rsid w:val="009F3776"/>
    <w:rsid w:val="009F408D"/>
    <w:rsid w:val="009F4956"/>
    <w:rsid w:val="009F4F2E"/>
    <w:rsid w:val="009F710A"/>
    <w:rsid w:val="00A01C0C"/>
    <w:rsid w:val="00A02593"/>
    <w:rsid w:val="00A030F6"/>
    <w:rsid w:val="00A03CA0"/>
    <w:rsid w:val="00A04946"/>
    <w:rsid w:val="00A0723B"/>
    <w:rsid w:val="00A10679"/>
    <w:rsid w:val="00A1079C"/>
    <w:rsid w:val="00A12570"/>
    <w:rsid w:val="00A14C56"/>
    <w:rsid w:val="00A14C68"/>
    <w:rsid w:val="00A156E0"/>
    <w:rsid w:val="00A1706D"/>
    <w:rsid w:val="00A17576"/>
    <w:rsid w:val="00A176FA"/>
    <w:rsid w:val="00A20810"/>
    <w:rsid w:val="00A23B51"/>
    <w:rsid w:val="00A23BDB"/>
    <w:rsid w:val="00A24F88"/>
    <w:rsid w:val="00A24FEA"/>
    <w:rsid w:val="00A26D4C"/>
    <w:rsid w:val="00A308C1"/>
    <w:rsid w:val="00A31DD7"/>
    <w:rsid w:val="00A31E07"/>
    <w:rsid w:val="00A31E9E"/>
    <w:rsid w:val="00A3403E"/>
    <w:rsid w:val="00A349E9"/>
    <w:rsid w:val="00A35C87"/>
    <w:rsid w:val="00A35D70"/>
    <w:rsid w:val="00A37324"/>
    <w:rsid w:val="00A43A49"/>
    <w:rsid w:val="00A44EE7"/>
    <w:rsid w:val="00A47607"/>
    <w:rsid w:val="00A514C5"/>
    <w:rsid w:val="00A54730"/>
    <w:rsid w:val="00A552B1"/>
    <w:rsid w:val="00A5665F"/>
    <w:rsid w:val="00A625AA"/>
    <w:rsid w:val="00A62AC2"/>
    <w:rsid w:val="00A6521A"/>
    <w:rsid w:val="00A66D9E"/>
    <w:rsid w:val="00A708F4"/>
    <w:rsid w:val="00A73032"/>
    <w:rsid w:val="00A730EE"/>
    <w:rsid w:val="00A7451B"/>
    <w:rsid w:val="00A74555"/>
    <w:rsid w:val="00A7501C"/>
    <w:rsid w:val="00A75FA5"/>
    <w:rsid w:val="00A76064"/>
    <w:rsid w:val="00A801D7"/>
    <w:rsid w:val="00A81566"/>
    <w:rsid w:val="00A81AB7"/>
    <w:rsid w:val="00A81B1C"/>
    <w:rsid w:val="00A82471"/>
    <w:rsid w:val="00A8466E"/>
    <w:rsid w:val="00A86954"/>
    <w:rsid w:val="00A87033"/>
    <w:rsid w:val="00A910F5"/>
    <w:rsid w:val="00A9367C"/>
    <w:rsid w:val="00A9421D"/>
    <w:rsid w:val="00A94DCF"/>
    <w:rsid w:val="00A94FC1"/>
    <w:rsid w:val="00A953D3"/>
    <w:rsid w:val="00A972BE"/>
    <w:rsid w:val="00AA019B"/>
    <w:rsid w:val="00AA0E73"/>
    <w:rsid w:val="00AA2B5C"/>
    <w:rsid w:val="00AA4ED7"/>
    <w:rsid w:val="00AA5011"/>
    <w:rsid w:val="00AA52D4"/>
    <w:rsid w:val="00AA63AE"/>
    <w:rsid w:val="00AB1FBF"/>
    <w:rsid w:val="00AB3F9B"/>
    <w:rsid w:val="00AB6A60"/>
    <w:rsid w:val="00AB7529"/>
    <w:rsid w:val="00AB7E46"/>
    <w:rsid w:val="00AC25D7"/>
    <w:rsid w:val="00AC4346"/>
    <w:rsid w:val="00AC4A6F"/>
    <w:rsid w:val="00AC55F7"/>
    <w:rsid w:val="00AC6E1C"/>
    <w:rsid w:val="00AD2BA7"/>
    <w:rsid w:val="00AD5A9C"/>
    <w:rsid w:val="00AD7173"/>
    <w:rsid w:val="00AD75C2"/>
    <w:rsid w:val="00AD773A"/>
    <w:rsid w:val="00AE09C9"/>
    <w:rsid w:val="00AE1F46"/>
    <w:rsid w:val="00AE29A2"/>
    <w:rsid w:val="00AE3977"/>
    <w:rsid w:val="00AE47FC"/>
    <w:rsid w:val="00AE49CC"/>
    <w:rsid w:val="00AE514D"/>
    <w:rsid w:val="00AE525D"/>
    <w:rsid w:val="00AE6C3D"/>
    <w:rsid w:val="00AF0412"/>
    <w:rsid w:val="00AF101C"/>
    <w:rsid w:val="00AF1AC8"/>
    <w:rsid w:val="00AF381F"/>
    <w:rsid w:val="00AF47F5"/>
    <w:rsid w:val="00AF4CB5"/>
    <w:rsid w:val="00AF56A4"/>
    <w:rsid w:val="00AF66C9"/>
    <w:rsid w:val="00AF7538"/>
    <w:rsid w:val="00B00E56"/>
    <w:rsid w:val="00B025E9"/>
    <w:rsid w:val="00B04E4A"/>
    <w:rsid w:val="00B05EBB"/>
    <w:rsid w:val="00B0605B"/>
    <w:rsid w:val="00B06C01"/>
    <w:rsid w:val="00B1210A"/>
    <w:rsid w:val="00B1241D"/>
    <w:rsid w:val="00B12F5A"/>
    <w:rsid w:val="00B142C0"/>
    <w:rsid w:val="00B14815"/>
    <w:rsid w:val="00B15DD8"/>
    <w:rsid w:val="00B16A3D"/>
    <w:rsid w:val="00B208CE"/>
    <w:rsid w:val="00B2194D"/>
    <w:rsid w:val="00B226B9"/>
    <w:rsid w:val="00B22D81"/>
    <w:rsid w:val="00B22EAA"/>
    <w:rsid w:val="00B239D6"/>
    <w:rsid w:val="00B23D56"/>
    <w:rsid w:val="00B24128"/>
    <w:rsid w:val="00B3009D"/>
    <w:rsid w:val="00B33156"/>
    <w:rsid w:val="00B35ADC"/>
    <w:rsid w:val="00B3681D"/>
    <w:rsid w:val="00B37440"/>
    <w:rsid w:val="00B41B04"/>
    <w:rsid w:val="00B42CF2"/>
    <w:rsid w:val="00B43236"/>
    <w:rsid w:val="00B443F5"/>
    <w:rsid w:val="00B4675A"/>
    <w:rsid w:val="00B46B37"/>
    <w:rsid w:val="00B46BBB"/>
    <w:rsid w:val="00B50C39"/>
    <w:rsid w:val="00B5236A"/>
    <w:rsid w:val="00B52544"/>
    <w:rsid w:val="00B552D0"/>
    <w:rsid w:val="00B553F5"/>
    <w:rsid w:val="00B55DD8"/>
    <w:rsid w:val="00B56FBD"/>
    <w:rsid w:val="00B6545F"/>
    <w:rsid w:val="00B65899"/>
    <w:rsid w:val="00B65F3C"/>
    <w:rsid w:val="00B6681E"/>
    <w:rsid w:val="00B66C7D"/>
    <w:rsid w:val="00B70A29"/>
    <w:rsid w:val="00B722E0"/>
    <w:rsid w:val="00B72C21"/>
    <w:rsid w:val="00B759AD"/>
    <w:rsid w:val="00B77A3F"/>
    <w:rsid w:val="00B8023B"/>
    <w:rsid w:val="00B803E4"/>
    <w:rsid w:val="00B80F02"/>
    <w:rsid w:val="00B82D4A"/>
    <w:rsid w:val="00B83C97"/>
    <w:rsid w:val="00B8453C"/>
    <w:rsid w:val="00B84A1D"/>
    <w:rsid w:val="00B85160"/>
    <w:rsid w:val="00B852D3"/>
    <w:rsid w:val="00B85906"/>
    <w:rsid w:val="00B875C9"/>
    <w:rsid w:val="00B92426"/>
    <w:rsid w:val="00B92FCA"/>
    <w:rsid w:val="00B93083"/>
    <w:rsid w:val="00B930A8"/>
    <w:rsid w:val="00B95471"/>
    <w:rsid w:val="00B95D80"/>
    <w:rsid w:val="00B96812"/>
    <w:rsid w:val="00BA0544"/>
    <w:rsid w:val="00BA2BBD"/>
    <w:rsid w:val="00BA636F"/>
    <w:rsid w:val="00BA64AA"/>
    <w:rsid w:val="00BA6980"/>
    <w:rsid w:val="00BA6B41"/>
    <w:rsid w:val="00BA7EDD"/>
    <w:rsid w:val="00BB08BB"/>
    <w:rsid w:val="00BB0CCC"/>
    <w:rsid w:val="00BB0D85"/>
    <w:rsid w:val="00BB18B9"/>
    <w:rsid w:val="00BB1945"/>
    <w:rsid w:val="00BB2416"/>
    <w:rsid w:val="00BB2E6F"/>
    <w:rsid w:val="00BB4523"/>
    <w:rsid w:val="00BB5469"/>
    <w:rsid w:val="00BB5B4B"/>
    <w:rsid w:val="00BB631E"/>
    <w:rsid w:val="00BB6BDE"/>
    <w:rsid w:val="00BC0CFA"/>
    <w:rsid w:val="00BC40F8"/>
    <w:rsid w:val="00BC43A0"/>
    <w:rsid w:val="00BC5A41"/>
    <w:rsid w:val="00BC5B3F"/>
    <w:rsid w:val="00BC63CA"/>
    <w:rsid w:val="00BC6A09"/>
    <w:rsid w:val="00BD1D46"/>
    <w:rsid w:val="00BD2142"/>
    <w:rsid w:val="00BD2797"/>
    <w:rsid w:val="00BD2E70"/>
    <w:rsid w:val="00BD3C63"/>
    <w:rsid w:val="00BD447B"/>
    <w:rsid w:val="00BD4D48"/>
    <w:rsid w:val="00BD5829"/>
    <w:rsid w:val="00BD619A"/>
    <w:rsid w:val="00BE0ED5"/>
    <w:rsid w:val="00BE107D"/>
    <w:rsid w:val="00BE10AA"/>
    <w:rsid w:val="00BE26DF"/>
    <w:rsid w:val="00BE780B"/>
    <w:rsid w:val="00BF0DAE"/>
    <w:rsid w:val="00BF152E"/>
    <w:rsid w:val="00BF34FF"/>
    <w:rsid w:val="00BF4749"/>
    <w:rsid w:val="00BF6912"/>
    <w:rsid w:val="00BF7001"/>
    <w:rsid w:val="00C00167"/>
    <w:rsid w:val="00C003B0"/>
    <w:rsid w:val="00C03E3C"/>
    <w:rsid w:val="00C0487F"/>
    <w:rsid w:val="00C053F2"/>
    <w:rsid w:val="00C06CE0"/>
    <w:rsid w:val="00C07FB0"/>
    <w:rsid w:val="00C07FCA"/>
    <w:rsid w:val="00C10A68"/>
    <w:rsid w:val="00C12848"/>
    <w:rsid w:val="00C129AA"/>
    <w:rsid w:val="00C12F2E"/>
    <w:rsid w:val="00C13687"/>
    <w:rsid w:val="00C13D2B"/>
    <w:rsid w:val="00C15B29"/>
    <w:rsid w:val="00C1705C"/>
    <w:rsid w:val="00C21383"/>
    <w:rsid w:val="00C21A1B"/>
    <w:rsid w:val="00C22E59"/>
    <w:rsid w:val="00C23001"/>
    <w:rsid w:val="00C24EF4"/>
    <w:rsid w:val="00C258DE"/>
    <w:rsid w:val="00C27C2F"/>
    <w:rsid w:val="00C305DC"/>
    <w:rsid w:val="00C30E72"/>
    <w:rsid w:val="00C3197D"/>
    <w:rsid w:val="00C319A5"/>
    <w:rsid w:val="00C32238"/>
    <w:rsid w:val="00C32A4D"/>
    <w:rsid w:val="00C32ECF"/>
    <w:rsid w:val="00C3368C"/>
    <w:rsid w:val="00C34968"/>
    <w:rsid w:val="00C37A13"/>
    <w:rsid w:val="00C40551"/>
    <w:rsid w:val="00C412F7"/>
    <w:rsid w:val="00C42FBA"/>
    <w:rsid w:val="00C478A1"/>
    <w:rsid w:val="00C5034A"/>
    <w:rsid w:val="00C50ED4"/>
    <w:rsid w:val="00C516A5"/>
    <w:rsid w:val="00C53E47"/>
    <w:rsid w:val="00C561F2"/>
    <w:rsid w:val="00C57A50"/>
    <w:rsid w:val="00C6105B"/>
    <w:rsid w:val="00C61AC4"/>
    <w:rsid w:val="00C64FFA"/>
    <w:rsid w:val="00C6759D"/>
    <w:rsid w:val="00C67EF3"/>
    <w:rsid w:val="00C70D38"/>
    <w:rsid w:val="00C72CA4"/>
    <w:rsid w:val="00C76378"/>
    <w:rsid w:val="00C813C5"/>
    <w:rsid w:val="00C82E09"/>
    <w:rsid w:val="00C83C05"/>
    <w:rsid w:val="00C860C8"/>
    <w:rsid w:val="00C87E0F"/>
    <w:rsid w:val="00C920FE"/>
    <w:rsid w:val="00C94406"/>
    <w:rsid w:val="00C94BEF"/>
    <w:rsid w:val="00C9609C"/>
    <w:rsid w:val="00C96D81"/>
    <w:rsid w:val="00C97172"/>
    <w:rsid w:val="00CA0977"/>
    <w:rsid w:val="00CA1422"/>
    <w:rsid w:val="00CA1F74"/>
    <w:rsid w:val="00CA20FB"/>
    <w:rsid w:val="00CA23DD"/>
    <w:rsid w:val="00CA3944"/>
    <w:rsid w:val="00CA41D5"/>
    <w:rsid w:val="00CA6573"/>
    <w:rsid w:val="00CA7057"/>
    <w:rsid w:val="00CB0292"/>
    <w:rsid w:val="00CB2BBB"/>
    <w:rsid w:val="00CB31D4"/>
    <w:rsid w:val="00CB351C"/>
    <w:rsid w:val="00CB43CC"/>
    <w:rsid w:val="00CB4471"/>
    <w:rsid w:val="00CB492A"/>
    <w:rsid w:val="00CB54F3"/>
    <w:rsid w:val="00CB5882"/>
    <w:rsid w:val="00CB5D26"/>
    <w:rsid w:val="00CC0499"/>
    <w:rsid w:val="00CC2DB5"/>
    <w:rsid w:val="00CC4E82"/>
    <w:rsid w:val="00CC4FE3"/>
    <w:rsid w:val="00CC5C27"/>
    <w:rsid w:val="00CC7440"/>
    <w:rsid w:val="00CD0976"/>
    <w:rsid w:val="00CD24A5"/>
    <w:rsid w:val="00CD2E23"/>
    <w:rsid w:val="00CD49F1"/>
    <w:rsid w:val="00CD633D"/>
    <w:rsid w:val="00CD744C"/>
    <w:rsid w:val="00CD76F4"/>
    <w:rsid w:val="00CE1135"/>
    <w:rsid w:val="00CE15AF"/>
    <w:rsid w:val="00CE4202"/>
    <w:rsid w:val="00CE54B7"/>
    <w:rsid w:val="00CE63AE"/>
    <w:rsid w:val="00CE6E3A"/>
    <w:rsid w:val="00CE74B0"/>
    <w:rsid w:val="00CE7DE9"/>
    <w:rsid w:val="00CF05D0"/>
    <w:rsid w:val="00CF3383"/>
    <w:rsid w:val="00CF3D09"/>
    <w:rsid w:val="00D01115"/>
    <w:rsid w:val="00D011A2"/>
    <w:rsid w:val="00D011B9"/>
    <w:rsid w:val="00D01B5D"/>
    <w:rsid w:val="00D02B60"/>
    <w:rsid w:val="00D03246"/>
    <w:rsid w:val="00D042A4"/>
    <w:rsid w:val="00D04514"/>
    <w:rsid w:val="00D04ED9"/>
    <w:rsid w:val="00D04F12"/>
    <w:rsid w:val="00D1096B"/>
    <w:rsid w:val="00D12267"/>
    <w:rsid w:val="00D12977"/>
    <w:rsid w:val="00D133AC"/>
    <w:rsid w:val="00D13B6E"/>
    <w:rsid w:val="00D13B8D"/>
    <w:rsid w:val="00D14D3A"/>
    <w:rsid w:val="00D16C7C"/>
    <w:rsid w:val="00D1773F"/>
    <w:rsid w:val="00D234A9"/>
    <w:rsid w:val="00D245AE"/>
    <w:rsid w:val="00D245B4"/>
    <w:rsid w:val="00D26F7D"/>
    <w:rsid w:val="00D27FBB"/>
    <w:rsid w:val="00D314CD"/>
    <w:rsid w:val="00D3293A"/>
    <w:rsid w:val="00D32AA1"/>
    <w:rsid w:val="00D33F51"/>
    <w:rsid w:val="00D34F44"/>
    <w:rsid w:val="00D3725B"/>
    <w:rsid w:val="00D37321"/>
    <w:rsid w:val="00D4274F"/>
    <w:rsid w:val="00D4358E"/>
    <w:rsid w:val="00D43FF2"/>
    <w:rsid w:val="00D440A0"/>
    <w:rsid w:val="00D45143"/>
    <w:rsid w:val="00D45581"/>
    <w:rsid w:val="00D45C2E"/>
    <w:rsid w:val="00D466D9"/>
    <w:rsid w:val="00D47D3C"/>
    <w:rsid w:val="00D47F8F"/>
    <w:rsid w:val="00D51425"/>
    <w:rsid w:val="00D537D6"/>
    <w:rsid w:val="00D5478D"/>
    <w:rsid w:val="00D54CA3"/>
    <w:rsid w:val="00D55A2F"/>
    <w:rsid w:val="00D6031D"/>
    <w:rsid w:val="00D63022"/>
    <w:rsid w:val="00D645DC"/>
    <w:rsid w:val="00D6539B"/>
    <w:rsid w:val="00D65826"/>
    <w:rsid w:val="00D6634B"/>
    <w:rsid w:val="00D66C4C"/>
    <w:rsid w:val="00D67900"/>
    <w:rsid w:val="00D67DE9"/>
    <w:rsid w:val="00D700A2"/>
    <w:rsid w:val="00D719F1"/>
    <w:rsid w:val="00D7229F"/>
    <w:rsid w:val="00D73D66"/>
    <w:rsid w:val="00D74FA7"/>
    <w:rsid w:val="00D76D07"/>
    <w:rsid w:val="00D80DFD"/>
    <w:rsid w:val="00D81DBE"/>
    <w:rsid w:val="00D83F47"/>
    <w:rsid w:val="00D87A9B"/>
    <w:rsid w:val="00D87D29"/>
    <w:rsid w:val="00D91112"/>
    <w:rsid w:val="00D91856"/>
    <w:rsid w:val="00D925AD"/>
    <w:rsid w:val="00D92AD4"/>
    <w:rsid w:val="00D93572"/>
    <w:rsid w:val="00D938C0"/>
    <w:rsid w:val="00D95F3E"/>
    <w:rsid w:val="00D972A5"/>
    <w:rsid w:val="00DA10F3"/>
    <w:rsid w:val="00DA1465"/>
    <w:rsid w:val="00DA2261"/>
    <w:rsid w:val="00DA2E32"/>
    <w:rsid w:val="00DA31DC"/>
    <w:rsid w:val="00DA536E"/>
    <w:rsid w:val="00DA6432"/>
    <w:rsid w:val="00DA6D59"/>
    <w:rsid w:val="00DB0AD5"/>
    <w:rsid w:val="00DB164F"/>
    <w:rsid w:val="00DB1F25"/>
    <w:rsid w:val="00DB292B"/>
    <w:rsid w:val="00DB4364"/>
    <w:rsid w:val="00DB64B2"/>
    <w:rsid w:val="00DC1569"/>
    <w:rsid w:val="00DC184B"/>
    <w:rsid w:val="00DC4003"/>
    <w:rsid w:val="00DC4B63"/>
    <w:rsid w:val="00DC5B04"/>
    <w:rsid w:val="00DD0B53"/>
    <w:rsid w:val="00DD175E"/>
    <w:rsid w:val="00DD17D9"/>
    <w:rsid w:val="00DD1CB5"/>
    <w:rsid w:val="00DD25F7"/>
    <w:rsid w:val="00DD26C1"/>
    <w:rsid w:val="00DD297E"/>
    <w:rsid w:val="00DD419E"/>
    <w:rsid w:val="00DD573E"/>
    <w:rsid w:val="00DD78A7"/>
    <w:rsid w:val="00DE04B9"/>
    <w:rsid w:val="00DE0855"/>
    <w:rsid w:val="00DE16B7"/>
    <w:rsid w:val="00DE2CD3"/>
    <w:rsid w:val="00DE48B9"/>
    <w:rsid w:val="00DE5581"/>
    <w:rsid w:val="00DE5A5A"/>
    <w:rsid w:val="00DE700F"/>
    <w:rsid w:val="00DF57D3"/>
    <w:rsid w:val="00DF623E"/>
    <w:rsid w:val="00DF6C36"/>
    <w:rsid w:val="00DF7C06"/>
    <w:rsid w:val="00E00317"/>
    <w:rsid w:val="00E02A13"/>
    <w:rsid w:val="00E03FBF"/>
    <w:rsid w:val="00E04B16"/>
    <w:rsid w:val="00E05B46"/>
    <w:rsid w:val="00E07584"/>
    <w:rsid w:val="00E1071B"/>
    <w:rsid w:val="00E112ED"/>
    <w:rsid w:val="00E12EF2"/>
    <w:rsid w:val="00E13377"/>
    <w:rsid w:val="00E13EC6"/>
    <w:rsid w:val="00E14709"/>
    <w:rsid w:val="00E14C49"/>
    <w:rsid w:val="00E15645"/>
    <w:rsid w:val="00E1598D"/>
    <w:rsid w:val="00E163E5"/>
    <w:rsid w:val="00E17580"/>
    <w:rsid w:val="00E201B5"/>
    <w:rsid w:val="00E21939"/>
    <w:rsid w:val="00E22020"/>
    <w:rsid w:val="00E24BC5"/>
    <w:rsid w:val="00E25248"/>
    <w:rsid w:val="00E253EF"/>
    <w:rsid w:val="00E26036"/>
    <w:rsid w:val="00E27335"/>
    <w:rsid w:val="00E277FC"/>
    <w:rsid w:val="00E27B31"/>
    <w:rsid w:val="00E33179"/>
    <w:rsid w:val="00E34323"/>
    <w:rsid w:val="00E362DA"/>
    <w:rsid w:val="00E37013"/>
    <w:rsid w:val="00E37B4C"/>
    <w:rsid w:val="00E40B8F"/>
    <w:rsid w:val="00E419BD"/>
    <w:rsid w:val="00E44599"/>
    <w:rsid w:val="00E45246"/>
    <w:rsid w:val="00E5059C"/>
    <w:rsid w:val="00E50812"/>
    <w:rsid w:val="00E51264"/>
    <w:rsid w:val="00E51365"/>
    <w:rsid w:val="00E514D7"/>
    <w:rsid w:val="00E51C97"/>
    <w:rsid w:val="00E526DF"/>
    <w:rsid w:val="00E54335"/>
    <w:rsid w:val="00E55FE0"/>
    <w:rsid w:val="00E570EC"/>
    <w:rsid w:val="00E57852"/>
    <w:rsid w:val="00E608B0"/>
    <w:rsid w:val="00E61337"/>
    <w:rsid w:val="00E61475"/>
    <w:rsid w:val="00E62DDE"/>
    <w:rsid w:val="00E6376E"/>
    <w:rsid w:val="00E63B88"/>
    <w:rsid w:val="00E63D00"/>
    <w:rsid w:val="00E6619B"/>
    <w:rsid w:val="00E67FC2"/>
    <w:rsid w:val="00E7055C"/>
    <w:rsid w:val="00E709D8"/>
    <w:rsid w:val="00E71250"/>
    <w:rsid w:val="00E7210E"/>
    <w:rsid w:val="00E7524E"/>
    <w:rsid w:val="00E75E74"/>
    <w:rsid w:val="00E7620B"/>
    <w:rsid w:val="00E800BC"/>
    <w:rsid w:val="00E800DE"/>
    <w:rsid w:val="00E8283E"/>
    <w:rsid w:val="00E84BEA"/>
    <w:rsid w:val="00E8502A"/>
    <w:rsid w:val="00E85701"/>
    <w:rsid w:val="00E86F42"/>
    <w:rsid w:val="00E87C55"/>
    <w:rsid w:val="00E87C98"/>
    <w:rsid w:val="00E91A87"/>
    <w:rsid w:val="00E91DCF"/>
    <w:rsid w:val="00E93BC7"/>
    <w:rsid w:val="00E94534"/>
    <w:rsid w:val="00E9484D"/>
    <w:rsid w:val="00E96F88"/>
    <w:rsid w:val="00E97437"/>
    <w:rsid w:val="00E975C5"/>
    <w:rsid w:val="00E97A39"/>
    <w:rsid w:val="00EA0108"/>
    <w:rsid w:val="00EA0D49"/>
    <w:rsid w:val="00EA0EBB"/>
    <w:rsid w:val="00EA0FC1"/>
    <w:rsid w:val="00EA21B2"/>
    <w:rsid w:val="00EA39F8"/>
    <w:rsid w:val="00EA3BAC"/>
    <w:rsid w:val="00EA5480"/>
    <w:rsid w:val="00EB2783"/>
    <w:rsid w:val="00EB3AD2"/>
    <w:rsid w:val="00EB528C"/>
    <w:rsid w:val="00EB597B"/>
    <w:rsid w:val="00EB5C8C"/>
    <w:rsid w:val="00EB7500"/>
    <w:rsid w:val="00EC1EA1"/>
    <w:rsid w:val="00EC2F30"/>
    <w:rsid w:val="00EC3560"/>
    <w:rsid w:val="00EC365B"/>
    <w:rsid w:val="00EC44DA"/>
    <w:rsid w:val="00EC4E92"/>
    <w:rsid w:val="00EC5992"/>
    <w:rsid w:val="00EC64AD"/>
    <w:rsid w:val="00EC72C9"/>
    <w:rsid w:val="00ED10EB"/>
    <w:rsid w:val="00ED1474"/>
    <w:rsid w:val="00ED1681"/>
    <w:rsid w:val="00ED1A0F"/>
    <w:rsid w:val="00ED4FBA"/>
    <w:rsid w:val="00ED50B2"/>
    <w:rsid w:val="00ED73B0"/>
    <w:rsid w:val="00ED7F9A"/>
    <w:rsid w:val="00EE20F0"/>
    <w:rsid w:val="00EE33B1"/>
    <w:rsid w:val="00EE38E1"/>
    <w:rsid w:val="00EE5904"/>
    <w:rsid w:val="00EE74CE"/>
    <w:rsid w:val="00EE7D98"/>
    <w:rsid w:val="00EF023A"/>
    <w:rsid w:val="00EF276A"/>
    <w:rsid w:val="00EF2890"/>
    <w:rsid w:val="00EF2AC0"/>
    <w:rsid w:val="00EF2D14"/>
    <w:rsid w:val="00EF3643"/>
    <w:rsid w:val="00EF3E08"/>
    <w:rsid w:val="00EF6241"/>
    <w:rsid w:val="00EF637A"/>
    <w:rsid w:val="00EF67A8"/>
    <w:rsid w:val="00EF702A"/>
    <w:rsid w:val="00EF72D8"/>
    <w:rsid w:val="00EF77E2"/>
    <w:rsid w:val="00F04B31"/>
    <w:rsid w:val="00F053DF"/>
    <w:rsid w:val="00F057E4"/>
    <w:rsid w:val="00F05890"/>
    <w:rsid w:val="00F05BF3"/>
    <w:rsid w:val="00F06554"/>
    <w:rsid w:val="00F10219"/>
    <w:rsid w:val="00F10670"/>
    <w:rsid w:val="00F1078A"/>
    <w:rsid w:val="00F11945"/>
    <w:rsid w:val="00F11E59"/>
    <w:rsid w:val="00F13B9C"/>
    <w:rsid w:val="00F212C3"/>
    <w:rsid w:val="00F22516"/>
    <w:rsid w:val="00F22C23"/>
    <w:rsid w:val="00F24413"/>
    <w:rsid w:val="00F2503B"/>
    <w:rsid w:val="00F25446"/>
    <w:rsid w:val="00F26ADC"/>
    <w:rsid w:val="00F307BB"/>
    <w:rsid w:val="00F30869"/>
    <w:rsid w:val="00F31A4D"/>
    <w:rsid w:val="00F31FA5"/>
    <w:rsid w:val="00F32B59"/>
    <w:rsid w:val="00F4020A"/>
    <w:rsid w:val="00F40DCE"/>
    <w:rsid w:val="00F41188"/>
    <w:rsid w:val="00F4252E"/>
    <w:rsid w:val="00F434C8"/>
    <w:rsid w:val="00F4399E"/>
    <w:rsid w:val="00F441B4"/>
    <w:rsid w:val="00F44920"/>
    <w:rsid w:val="00F45C80"/>
    <w:rsid w:val="00F45DFB"/>
    <w:rsid w:val="00F4723D"/>
    <w:rsid w:val="00F4772C"/>
    <w:rsid w:val="00F50AC6"/>
    <w:rsid w:val="00F52E82"/>
    <w:rsid w:val="00F53067"/>
    <w:rsid w:val="00F548C4"/>
    <w:rsid w:val="00F555AE"/>
    <w:rsid w:val="00F56A91"/>
    <w:rsid w:val="00F56BCF"/>
    <w:rsid w:val="00F60995"/>
    <w:rsid w:val="00F60A2D"/>
    <w:rsid w:val="00F64BE8"/>
    <w:rsid w:val="00F65F3A"/>
    <w:rsid w:val="00F669ED"/>
    <w:rsid w:val="00F67FC8"/>
    <w:rsid w:val="00F7046E"/>
    <w:rsid w:val="00F71A83"/>
    <w:rsid w:val="00F72910"/>
    <w:rsid w:val="00F75CDB"/>
    <w:rsid w:val="00F77521"/>
    <w:rsid w:val="00F8137D"/>
    <w:rsid w:val="00F82249"/>
    <w:rsid w:val="00F82299"/>
    <w:rsid w:val="00F83B61"/>
    <w:rsid w:val="00F83DA7"/>
    <w:rsid w:val="00F86A67"/>
    <w:rsid w:val="00F87FCE"/>
    <w:rsid w:val="00F87FF5"/>
    <w:rsid w:val="00F905B0"/>
    <w:rsid w:val="00F905C5"/>
    <w:rsid w:val="00F913A1"/>
    <w:rsid w:val="00F9231E"/>
    <w:rsid w:val="00F92991"/>
    <w:rsid w:val="00F929FA"/>
    <w:rsid w:val="00F93B6E"/>
    <w:rsid w:val="00F943B8"/>
    <w:rsid w:val="00F9557E"/>
    <w:rsid w:val="00F9601E"/>
    <w:rsid w:val="00F9625A"/>
    <w:rsid w:val="00F96C65"/>
    <w:rsid w:val="00FA01B3"/>
    <w:rsid w:val="00FA04AE"/>
    <w:rsid w:val="00FA4DB8"/>
    <w:rsid w:val="00FA50B2"/>
    <w:rsid w:val="00FA7185"/>
    <w:rsid w:val="00FA73FA"/>
    <w:rsid w:val="00FA7E47"/>
    <w:rsid w:val="00FB0991"/>
    <w:rsid w:val="00FB0E06"/>
    <w:rsid w:val="00FB1E9C"/>
    <w:rsid w:val="00FB4B8A"/>
    <w:rsid w:val="00FB58AD"/>
    <w:rsid w:val="00FB5E48"/>
    <w:rsid w:val="00FB69EC"/>
    <w:rsid w:val="00FB75BF"/>
    <w:rsid w:val="00FC0620"/>
    <w:rsid w:val="00FC1881"/>
    <w:rsid w:val="00FC237B"/>
    <w:rsid w:val="00FC4906"/>
    <w:rsid w:val="00FC4B42"/>
    <w:rsid w:val="00FC4F0D"/>
    <w:rsid w:val="00FC7BAB"/>
    <w:rsid w:val="00FD1A20"/>
    <w:rsid w:val="00FD2580"/>
    <w:rsid w:val="00FD3265"/>
    <w:rsid w:val="00FD357D"/>
    <w:rsid w:val="00FD3DA7"/>
    <w:rsid w:val="00FD3EB4"/>
    <w:rsid w:val="00FD42DA"/>
    <w:rsid w:val="00FD45F2"/>
    <w:rsid w:val="00FD63B0"/>
    <w:rsid w:val="00FD64B6"/>
    <w:rsid w:val="00FD669B"/>
    <w:rsid w:val="00FD7493"/>
    <w:rsid w:val="00FE00C6"/>
    <w:rsid w:val="00FE523A"/>
    <w:rsid w:val="00FE5914"/>
    <w:rsid w:val="00FE781B"/>
    <w:rsid w:val="00FE792B"/>
    <w:rsid w:val="00FF0A4D"/>
    <w:rsid w:val="00FF242D"/>
    <w:rsid w:val="00FF5FFD"/>
    <w:rsid w:val="00FF79DA"/>
  </w:rsids>
  <m:mathPr>
    <m:mathFont m:val="Cambria Math"/>
    <m:brkBin m:val="before"/>
    <m:brkBinSub m:val="--"/>
    <m:smallFrac m:val="0"/>
    <m:dispDef/>
    <m:lMargin m:val="0"/>
    <m:rMargin m:val="0"/>
    <m:defJc m:val="centerGroup"/>
    <m:wrapIndent m:val="1440"/>
    <m:intLim m:val="subSup"/>
    <m:naryLim m:val="undOvr"/>
  </m:mathPr>
  <w:themeFontLang w:val="en-ZA"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27835335"/>
  <w15:docId w15:val="{EBB79900-FA83-488C-9AE2-3514EBBB21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color w:val="000000"/>
        <w:sz w:val="22"/>
        <w:szCs w:val="22"/>
        <w:lang w:val="en-GB" w:eastAsia="en-ZA" w:bidi="ar-SA"/>
      </w:rPr>
    </w:rPrDefault>
    <w:pPrDefault>
      <w:pPr>
        <w:pBdr>
          <w:top w:val="nil"/>
          <w:left w:val="nil"/>
          <w:bottom w:val="nil"/>
          <w:right w:val="nil"/>
          <w:between w:val="nil"/>
        </w:pBdr>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4D5624"/>
  </w:style>
  <w:style w:type="paragraph" w:styleId="Heading1">
    <w:name w:val="heading 1"/>
    <w:basedOn w:val="Normal"/>
    <w:next w:val="Normal"/>
    <w:link w:val="Heading1Char"/>
    <w:qFormat/>
    <w:pPr>
      <w:keepNext/>
      <w:keepLines/>
      <w:spacing w:before="480"/>
      <w:ind w:left="432" w:hanging="432"/>
      <w:outlineLvl w:val="0"/>
    </w:pPr>
    <w:rPr>
      <w:rFonts w:ascii="Times New Roman" w:eastAsia="Times New Roman" w:hAnsi="Times New Roman" w:cs="Times New Roman"/>
      <w:b/>
      <w:sz w:val="32"/>
      <w:szCs w:val="32"/>
    </w:rPr>
  </w:style>
  <w:style w:type="paragraph" w:styleId="Heading2">
    <w:name w:val="heading 2"/>
    <w:basedOn w:val="Normal"/>
    <w:next w:val="Normal"/>
    <w:link w:val="Heading2Char"/>
    <w:qFormat/>
    <w:pPr>
      <w:keepNext/>
      <w:keepLines/>
      <w:spacing w:before="200"/>
      <w:ind w:left="576" w:hanging="576"/>
      <w:outlineLvl w:val="1"/>
    </w:pPr>
    <w:rPr>
      <w:rFonts w:ascii="Cambria" w:eastAsia="Cambria" w:hAnsi="Cambria" w:cs="Cambria"/>
      <w:b/>
      <w:color w:val="4F81BD"/>
      <w:sz w:val="26"/>
      <w:szCs w:val="26"/>
    </w:rPr>
  </w:style>
  <w:style w:type="paragraph" w:styleId="Heading3">
    <w:name w:val="heading 3"/>
    <w:basedOn w:val="Normal"/>
    <w:next w:val="Normal"/>
    <w:link w:val="Heading3Char"/>
    <w:qFormat/>
    <w:rsid w:val="000B1853"/>
    <w:pPr>
      <w:keepNext/>
      <w:keepLines/>
      <w:spacing w:before="80"/>
      <w:ind w:left="720" w:hanging="720"/>
      <w:outlineLvl w:val="2"/>
    </w:pPr>
    <w:rPr>
      <w:rFonts w:ascii="Times New Roman" w:eastAsia="Cambria" w:hAnsi="Times New Roman" w:cs="Cambria"/>
      <w:b/>
      <w:color w:val="auto"/>
      <w:sz w:val="24"/>
    </w:rPr>
  </w:style>
  <w:style w:type="paragraph" w:styleId="Heading4">
    <w:name w:val="heading 4"/>
    <w:basedOn w:val="Normal"/>
    <w:next w:val="Normal"/>
    <w:link w:val="Heading4Char"/>
    <w:qFormat/>
    <w:pPr>
      <w:keepNext/>
      <w:keepLines/>
      <w:spacing w:before="360" w:after="200"/>
      <w:ind w:left="862"/>
      <w:contextualSpacing/>
      <w:outlineLvl w:val="3"/>
    </w:pPr>
    <w:rPr>
      <w:rFonts w:ascii="Times New Roman" w:eastAsia="Times New Roman" w:hAnsi="Times New Roman" w:cs="Times New Roman"/>
      <w:b/>
      <w:i/>
      <w:color w:val="4F81BD"/>
      <w:sz w:val="20"/>
      <w:szCs w:val="20"/>
    </w:rPr>
  </w:style>
  <w:style w:type="paragraph" w:styleId="Heading5">
    <w:name w:val="heading 5"/>
    <w:basedOn w:val="Normal"/>
    <w:next w:val="Normal"/>
    <w:link w:val="Heading5Char"/>
    <w:qFormat/>
    <w:pPr>
      <w:keepNext/>
      <w:keepLines/>
      <w:spacing w:before="360" w:after="200"/>
      <w:ind w:left="862"/>
      <w:contextualSpacing/>
      <w:outlineLvl w:val="4"/>
    </w:pPr>
    <w:rPr>
      <w:rFonts w:ascii="Times New Roman" w:eastAsia="Times New Roman" w:hAnsi="Times New Roman" w:cs="Times New Roman"/>
      <w:color w:val="243F61"/>
      <w:sz w:val="20"/>
      <w:szCs w:val="20"/>
    </w:rPr>
  </w:style>
  <w:style w:type="paragraph" w:styleId="Heading6">
    <w:name w:val="heading 6"/>
    <w:basedOn w:val="Normal"/>
    <w:next w:val="Normal"/>
    <w:link w:val="Heading6Char"/>
    <w:qFormat/>
    <w:pPr>
      <w:keepNext/>
      <w:keepLines/>
      <w:spacing w:before="200"/>
      <w:ind w:left="1152" w:hanging="1152"/>
      <w:outlineLvl w:val="5"/>
    </w:pPr>
    <w:rPr>
      <w:rFonts w:ascii="Cambria" w:eastAsia="Cambria" w:hAnsi="Cambria" w:cs="Cambria"/>
      <w:i/>
      <w:color w:val="243F61"/>
    </w:rPr>
  </w:style>
  <w:style w:type="paragraph" w:styleId="Heading8">
    <w:name w:val="heading 8"/>
    <w:basedOn w:val="Normal"/>
    <w:next w:val="Normal"/>
    <w:link w:val="Heading8Char"/>
    <w:uiPriority w:val="99"/>
    <w:qFormat/>
    <w:rsid w:val="001D6815"/>
    <w:pPr>
      <w:keepNext/>
      <w:widowControl w:val="0"/>
      <w:numPr>
        <w:numId w:val="13"/>
      </w:numPr>
      <w:pBdr>
        <w:top w:val="none" w:sz="0" w:space="0" w:color="auto"/>
        <w:left w:val="none" w:sz="0" w:space="0" w:color="auto"/>
        <w:bottom w:val="none" w:sz="0" w:space="0" w:color="auto"/>
        <w:right w:val="none" w:sz="0" w:space="0" w:color="auto"/>
        <w:between w:val="none" w:sz="0" w:space="0" w:color="auto"/>
      </w:pBdr>
      <w:tabs>
        <w:tab w:val="left" w:pos="-1440"/>
        <w:tab w:val="left" w:pos="-720"/>
      </w:tabs>
      <w:suppressAutoHyphens/>
      <w:spacing w:after="200" w:line="276" w:lineRule="auto"/>
      <w:jc w:val="center"/>
      <w:outlineLvl w:val="7"/>
    </w:pPr>
    <w:rPr>
      <w:rFonts w:eastAsia="MS Mincho" w:cs="Times New Roman"/>
      <w:snapToGrid w:val="0"/>
      <w:color w:val="auto"/>
      <w:u w:val="single"/>
      <w:lang w:val="en-US" w:eastAsia="en-US"/>
    </w:rPr>
  </w:style>
  <w:style w:type="paragraph" w:styleId="Heading9">
    <w:name w:val="heading 9"/>
    <w:basedOn w:val="Normal"/>
    <w:next w:val="Normal"/>
    <w:link w:val="Heading9Char"/>
    <w:uiPriority w:val="9"/>
    <w:semiHidden/>
    <w:unhideWhenUsed/>
    <w:qFormat/>
    <w:rsid w:val="00025B45"/>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83B61"/>
    <w:rPr>
      <w:rFonts w:ascii="Times New Roman" w:eastAsia="Times New Roman" w:hAnsi="Times New Roman" w:cs="Times New Roman"/>
      <w:b/>
      <w:sz w:val="32"/>
      <w:szCs w:val="32"/>
    </w:rPr>
  </w:style>
  <w:style w:type="character" w:customStyle="1" w:styleId="Heading2Char">
    <w:name w:val="Heading 2 Char"/>
    <w:basedOn w:val="DefaultParagraphFont"/>
    <w:link w:val="Heading2"/>
    <w:rsid w:val="00F83B61"/>
    <w:rPr>
      <w:rFonts w:ascii="Cambria" w:eastAsia="Cambria" w:hAnsi="Cambria" w:cs="Cambria"/>
      <w:b/>
      <w:color w:val="4F81BD"/>
      <w:sz w:val="26"/>
      <w:szCs w:val="26"/>
    </w:rPr>
  </w:style>
  <w:style w:type="character" w:customStyle="1" w:styleId="Heading3Char">
    <w:name w:val="Heading 3 Char"/>
    <w:basedOn w:val="DefaultParagraphFont"/>
    <w:link w:val="Heading3"/>
    <w:rsid w:val="000B1853"/>
    <w:rPr>
      <w:rFonts w:ascii="Times New Roman" w:eastAsia="Cambria" w:hAnsi="Times New Roman" w:cs="Cambria"/>
      <w:b/>
      <w:color w:val="auto"/>
      <w:sz w:val="24"/>
    </w:rPr>
  </w:style>
  <w:style w:type="character" w:customStyle="1" w:styleId="Heading4Char">
    <w:name w:val="Heading 4 Char"/>
    <w:basedOn w:val="DefaultParagraphFont"/>
    <w:link w:val="Heading4"/>
    <w:rsid w:val="00F83B61"/>
    <w:rPr>
      <w:rFonts w:ascii="Times New Roman" w:eastAsia="Times New Roman" w:hAnsi="Times New Roman" w:cs="Times New Roman"/>
      <w:b/>
      <w:i/>
      <w:color w:val="4F81BD"/>
      <w:sz w:val="20"/>
      <w:szCs w:val="20"/>
    </w:rPr>
  </w:style>
  <w:style w:type="character" w:customStyle="1" w:styleId="Heading5Char">
    <w:name w:val="Heading 5 Char"/>
    <w:basedOn w:val="DefaultParagraphFont"/>
    <w:link w:val="Heading5"/>
    <w:rsid w:val="00F83B61"/>
    <w:rPr>
      <w:rFonts w:ascii="Times New Roman" w:eastAsia="Times New Roman" w:hAnsi="Times New Roman" w:cs="Times New Roman"/>
      <w:color w:val="243F61"/>
      <w:sz w:val="20"/>
      <w:szCs w:val="20"/>
    </w:rPr>
  </w:style>
  <w:style w:type="character" w:customStyle="1" w:styleId="Heading6Char">
    <w:name w:val="Heading 6 Char"/>
    <w:basedOn w:val="DefaultParagraphFont"/>
    <w:link w:val="Heading6"/>
    <w:rsid w:val="00F83B61"/>
    <w:rPr>
      <w:rFonts w:ascii="Cambria" w:eastAsia="Cambria" w:hAnsi="Cambria" w:cs="Cambria"/>
      <w:i/>
      <w:color w:val="243F61"/>
    </w:rPr>
  </w:style>
  <w:style w:type="character" w:customStyle="1" w:styleId="Heading9Char">
    <w:name w:val="Heading 9 Char"/>
    <w:basedOn w:val="DefaultParagraphFont"/>
    <w:link w:val="Heading9"/>
    <w:uiPriority w:val="9"/>
    <w:rsid w:val="00025B4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99"/>
    <w:qFormat/>
    <w:pPr>
      <w:spacing w:after="300"/>
    </w:pPr>
    <w:rPr>
      <w:rFonts w:ascii="Cambria" w:eastAsia="Cambria" w:hAnsi="Cambria" w:cs="Cambria"/>
      <w:color w:val="17365D"/>
      <w:sz w:val="52"/>
      <w:szCs w:val="52"/>
    </w:rPr>
  </w:style>
  <w:style w:type="character" w:customStyle="1" w:styleId="TitleChar">
    <w:name w:val="Title Char"/>
    <w:basedOn w:val="DefaultParagraphFont"/>
    <w:link w:val="Title"/>
    <w:uiPriority w:val="99"/>
    <w:rsid w:val="00F83B61"/>
    <w:rPr>
      <w:rFonts w:ascii="Cambria" w:eastAsia="Cambria" w:hAnsi="Cambria" w:cs="Cambria"/>
      <w:color w:val="17365D"/>
      <w:sz w:val="52"/>
      <w:szCs w:val="52"/>
    </w:rPr>
  </w:style>
  <w:style w:type="paragraph" w:styleId="Subtitle">
    <w:name w:val="Subtitle"/>
    <w:basedOn w:val="Normal"/>
    <w:next w:val="Normal"/>
    <w:link w:val="SubtitleChar"/>
    <w:uiPriority w:val="99"/>
    <w:qFormat/>
    <w:rPr>
      <w:rFonts w:ascii="Cambria" w:eastAsia="Cambria" w:hAnsi="Cambria" w:cs="Cambria"/>
      <w:i/>
      <w:color w:val="4F81BD"/>
      <w:sz w:val="24"/>
      <w:szCs w:val="24"/>
    </w:rPr>
  </w:style>
  <w:style w:type="character" w:customStyle="1" w:styleId="SubtitleChar">
    <w:name w:val="Subtitle Char"/>
    <w:basedOn w:val="DefaultParagraphFont"/>
    <w:link w:val="Subtitle"/>
    <w:uiPriority w:val="99"/>
    <w:rsid w:val="00F83B61"/>
    <w:rPr>
      <w:rFonts w:ascii="Cambria" w:eastAsia="Cambria" w:hAnsi="Cambria" w:cs="Cambria"/>
      <w:i/>
      <w:color w:val="4F81BD"/>
      <w:sz w:val="24"/>
      <w:szCs w:val="24"/>
    </w:rPr>
  </w:style>
  <w:style w:type="table" w:customStyle="1" w:styleId="6">
    <w:name w:val="6"/>
    <w:basedOn w:val="TableNormal"/>
    <w:pPr>
      <w:spacing w:after="160" w:line="259" w:lineRule="auto"/>
    </w:pPr>
    <w:rPr>
      <w:color w:val="76923C"/>
    </w:rPr>
    <w:tblPr>
      <w:tblStyleRowBandSize w:val="1"/>
      <w:tblStyleColBandSize w:val="1"/>
    </w:tblPr>
  </w:style>
  <w:style w:type="table" w:customStyle="1" w:styleId="5">
    <w:name w:val="5"/>
    <w:basedOn w:val="TableNormal"/>
    <w:pPr>
      <w:spacing w:after="160" w:line="259" w:lineRule="auto"/>
    </w:pPr>
    <w:rPr>
      <w:color w:val="76923C"/>
    </w:rPr>
    <w:tblPr>
      <w:tblStyleRowBandSize w:val="1"/>
      <w:tblStyleColBandSize w:val="1"/>
    </w:tblPr>
  </w:style>
  <w:style w:type="table" w:customStyle="1" w:styleId="4">
    <w:name w:val="4"/>
    <w:basedOn w:val="TableNormal"/>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03" w:type="dxa"/>
        <w:right w:w="115" w:type="dxa"/>
      </w:tblCellMar>
    </w:tblPr>
    <w:tcPr>
      <w:shd w:val="clear" w:color="auto" w:fill="D3DFEE"/>
    </w:tcPr>
  </w:style>
  <w:style w:type="table" w:customStyle="1" w:styleId="3">
    <w:name w:val="3"/>
    <w:basedOn w:val="TableNormal"/>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3DFEE"/>
    </w:tcPr>
    <w:tblStylePr w:type="firstRow">
      <w:rPr>
        <w:b/>
        <w:i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i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i w:val="0"/>
        <w:color w:val="FFFFFF"/>
      </w:rPr>
      <w:tblPr/>
      <w:tcPr>
        <w:tcBorders>
          <w:left w:val="single" w:sz="8" w:space="0" w:color="FFFFFF"/>
          <w:right w:val="single" w:sz="24" w:space="0" w:color="FFFFFF"/>
          <w:insideH w:val="nil"/>
          <w:insideV w:val="nil"/>
        </w:tcBorders>
        <w:shd w:val="clear" w:color="auto" w:fill="9BBB59"/>
      </w:tcPr>
    </w:tblStylePr>
    <w:tblStylePr w:type="lastCol">
      <w:rPr>
        <w:b/>
        <w:i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2">
    <w:name w:val="2"/>
    <w:basedOn w:val="TableNormal"/>
    <w:pPr>
      <w:pBdr>
        <w:top w:val="none" w:sz="0" w:space="0" w:color="000000"/>
        <w:left w:val="none" w:sz="0" w:space="0" w:color="000000"/>
        <w:bottom w:val="none" w:sz="0" w:space="0" w:color="000000"/>
        <w:right w:val="none" w:sz="0" w:space="0" w:color="000000"/>
        <w:between w:val="none" w:sz="0" w:space="0" w:color="000000"/>
      </w:pBdr>
    </w:pPr>
    <w:tblPr>
      <w:tblStyleRowBandSize w:val="1"/>
      <w:tblStyleColBandSize w:val="1"/>
      <w:tblCellMar>
        <w:left w:w="115" w:type="dxa"/>
        <w:right w:w="115" w:type="dxa"/>
      </w:tblCellMar>
    </w:tblPr>
    <w:tcPr>
      <w:shd w:val="clear" w:color="auto" w:fill="D3DFEE"/>
    </w:tcPr>
    <w:tblStylePr w:type="firstRow">
      <w:rPr>
        <w:b/>
        <w:i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i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i w:val="0"/>
        <w:color w:val="FFFFFF"/>
      </w:rPr>
      <w:tblPr/>
      <w:tcPr>
        <w:tcBorders>
          <w:left w:val="single" w:sz="8" w:space="0" w:color="FFFFFF"/>
          <w:right w:val="single" w:sz="24" w:space="0" w:color="FFFFFF"/>
          <w:insideH w:val="nil"/>
          <w:insideV w:val="nil"/>
        </w:tcBorders>
        <w:shd w:val="clear" w:color="auto" w:fill="4F81BD"/>
      </w:tcPr>
    </w:tblStylePr>
    <w:tblStylePr w:type="lastCol">
      <w:rPr>
        <w:b/>
        <w:i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C0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C0DE"/>
      </w:tcPr>
    </w:tblStylePr>
  </w:style>
  <w:style w:type="table" w:customStyle="1" w:styleId="1">
    <w:name w:val="1"/>
    <w:basedOn w:val="TableNormal"/>
    <w:pPr>
      <w:spacing w:after="160" w:line="259" w:lineRule="auto"/>
    </w:pPr>
    <w:rPr>
      <w:color w:val="76923C"/>
    </w:rPr>
    <w:tblPr>
      <w:tblStyleRowBandSize w:val="1"/>
      <w:tblStyleColBandSize w:val="1"/>
    </w:tbl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unhideWhenUsed/>
    <w:rPr>
      <w:sz w:val="16"/>
      <w:szCs w:val="16"/>
    </w:rPr>
  </w:style>
  <w:style w:type="paragraph" w:styleId="BalloonText">
    <w:name w:val="Balloon Text"/>
    <w:basedOn w:val="Normal"/>
    <w:link w:val="BalloonTextChar"/>
    <w:uiPriority w:val="99"/>
    <w:semiHidden/>
    <w:unhideWhenUsed/>
    <w:rsid w:val="00A8466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8466E"/>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C13D2B"/>
    <w:rPr>
      <w:b/>
      <w:bCs/>
    </w:rPr>
  </w:style>
  <w:style w:type="character" w:customStyle="1" w:styleId="CommentSubjectChar">
    <w:name w:val="Comment Subject Char"/>
    <w:basedOn w:val="CommentTextChar"/>
    <w:link w:val="CommentSubject"/>
    <w:uiPriority w:val="99"/>
    <w:semiHidden/>
    <w:rsid w:val="00C13D2B"/>
    <w:rPr>
      <w:b/>
      <w:bCs/>
      <w:sz w:val="20"/>
      <w:szCs w:val="20"/>
    </w:rPr>
  </w:style>
  <w:style w:type="character" w:styleId="Hyperlink">
    <w:name w:val="Hyperlink"/>
    <w:basedOn w:val="DefaultParagraphFont"/>
    <w:uiPriority w:val="99"/>
    <w:unhideWhenUsed/>
    <w:rsid w:val="003C16B7"/>
    <w:rPr>
      <w:color w:val="0563C1" w:themeColor="hyperlink"/>
      <w:u w:val="single"/>
    </w:rPr>
  </w:style>
  <w:style w:type="paragraph" w:customStyle="1" w:styleId="BulletedList">
    <w:name w:val="Bulleted List"/>
    <w:basedOn w:val="ListParagraph"/>
    <w:link w:val="BulletedListChar"/>
    <w:uiPriority w:val="99"/>
    <w:qFormat/>
    <w:rsid w:val="00025B45"/>
    <w:pPr>
      <w:numPr>
        <w:numId w:val="3"/>
      </w:numPr>
      <w:pBdr>
        <w:top w:val="none" w:sz="0" w:space="0" w:color="auto"/>
        <w:left w:val="none" w:sz="0" w:space="0" w:color="auto"/>
        <w:bottom w:val="none" w:sz="0" w:space="0" w:color="auto"/>
        <w:right w:val="none" w:sz="0" w:space="0" w:color="auto"/>
        <w:between w:val="none" w:sz="0" w:space="0" w:color="auto"/>
      </w:pBdr>
      <w:spacing w:line="276" w:lineRule="auto"/>
    </w:pPr>
    <w:rPr>
      <w:rFonts w:ascii="Times New Roman" w:eastAsiaTheme="minorEastAsia" w:hAnsi="Times New Roman" w:cs="Times New Roman"/>
      <w:color w:val="auto"/>
      <w:sz w:val="20"/>
      <w:szCs w:val="20"/>
      <w:lang w:eastAsia="en-US"/>
    </w:rPr>
  </w:style>
  <w:style w:type="paragraph" w:styleId="ListParagraph">
    <w:name w:val="List Paragraph"/>
    <w:basedOn w:val="Normal"/>
    <w:uiPriority w:val="34"/>
    <w:qFormat/>
    <w:rsid w:val="00025B45"/>
    <w:pPr>
      <w:ind w:left="720"/>
      <w:contextualSpacing/>
    </w:pPr>
  </w:style>
  <w:style w:type="character" w:customStyle="1" w:styleId="BulletedListChar">
    <w:name w:val="Bulleted List Char"/>
    <w:basedOn w:val="DefaultParagraphFont"/>
    <w:link w:val="BulletedList"/>
    <w:uiPriority w:val="99"/>
    <w:rsid w:val="00025B45"/>
    <w:rPr>
      <w:rFonts w:ascii="Times New Roman" w:eastAsiaTheme="minorEastAsia" w:hAnsi="Times New Roman" w:cs="Times New Roman"/>
      <w:color w:val="auto"/>
      <w:sz w:val="20"/>
      <w:szCs w:val="20"/>
      <w:lang w:eastAsia="en-US"/>
    </w:rPr>
  </w:style>
  <w:style w:type="paragraph" w:styleId="Header">
    <w:name w:val="header"/>
    <w:basedOn w:val="Normal"/>
    <w:link w:val="HeaderChar"/>
    <w:uiPriority w:val="99"/>
    <w:unhideWhenUsed/>
    <w:rsid w:val="00591F7A"/>
    <w:pPr>
      <w:tabs>
        <w:tab w:val="center" w:pos="4513"/>
        <w:tab w:val="right" w:pos="9026"/>
      </w:tabs>
    </w:pPr>
  </w:style>
  <w:style w:type="character" w:customStyle="1" w:styleId="HeaderChar">
    <w:name w:val="Header Char"/>
    <w:basedOn w:val="DefaultParagraphFont"/>
    <w:link w:val="Header"/>
    <w:uiPriority w:val="99"/>
    <w:rsid w:val="00591F7A"/>
  </w:style>
  <w:style w:type="paragraph" w:styleId="Footer">
    <w:name w:val="footer"/>
    <w:basedOn w:val="Normal"/>
    <w:link w:val="FooterChar"/>
    <w:uiPriority w:val="99"/>
    <w:unhideWhenUsed/>
    <w:rsid w:val="00591F7A"/>
    <w:pPr>
      <w:tabs>
        <w:tab w:val="center" w:pos="4513"/>
        <w:tab w:val="right" w:pos="9026"/>
      </w:tabs>
    </w:pPr>
  </w:style>
  <w:style w:type="character" w:customStyle="1" w:styleId="FooterChar">
    <w:name w:val="Footer Char"/>
    <w:basedOn w:val="DefaultParagraphFont"/>
    <w:link w:val="Footer"/>
    <w:uiPriority w:val="99"/>
    <w:rsid w:val="00591F7A"/>
  </w:style>
  <w:style w:type="table" w:styleId="TableGrid">
    <w:name w:val="Table Grid"/>
    <w:basedOn w:val="TableNormal"/>
    <w:uiPriority w:val="39"/>
    <w:rsid w:val="006512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EF2890"/>
    <w:pPr>
      <w:widowControl w:val="0"/>
    </w:pPr>
    <w:rPr>
      <w:rFonts w:ascii="Consolas" w:hAnsi="Consolas" w:cs="Consolas"/>
      <w:sz w:val="21"/>
      <w:szCs w:val="21"/>
    </w:rPr>
  </w:style>
  <w:style w:type="character" w:customStyle="1" w:styleId="PlainTextChar">
    <w:name w:val="Plain Text Char"/>
    <w:basedOn w:val="DefaultParagraphFont"/>
    <w:link w:val="PlainText"/>
    <w:uiPriority w:val="99"/>
    <w:rsid w:val="00EF2890"/>
    <w:rPr>
      <w:rFonts w:ascii="Consolas" w:hAnsi="Consolas" w:cs="Consolas"/>
      <w:sz w:val="21"/>
      <w:szCs w:val="21"/>
    </w:rPr>
  </w:style>
  <w:style w:type="paragraph" w:customStyle="1" w:styleId="111">
    <w:name w:val="1.1.1"/>
    <w:basedOn w:val="Heading2"/>
    <w:uiPriority w:val="99"/>
    <w:qFormat/>
    <w:rsid w:val="00DD419E"/>
    <w:pPr>
      <w:widowControl w:val="0"/>
      <w:spacing w:before="120" w:after="120"/>
    </w:pPr>
    <w:rPr>
      <w:rFonts w:ascii="Times New Roman" w:eastAsia="Calibri" w:hAnsi="Times New Roman" w:cs="Calibri"/>
      <w:i/>
      <w:color w:val="auto"/>
      <w:sz w:val="20"/>
    </w:rPr>
  </w:style>
  <w:style w:type="paragraph" w:styleId="NoSpacing">
    <w:name w:val="No Spacing"/>
    <w:uiPriority w:val="1"/>
    <w:qFormat/>
    <w:rsid w:val="00DD419E"/>
  </w:style>
  <w:style w:type="table" w:styleId="MediumGrid3-Accent3">
    <w:name w:val="Medium Grid 3 Accent 3"/>
    <w:basedOn w:val="TableNormal"/>
    <w:uiPriority w:val="69"/>
    <w:rsid w:val="009D5879"/>
    <w:pPr>
      <w:pBdr>
        <w:top w:val="none" w:sz="0" w:space="0" w:color="auto"/>
        <w:left w:val="none" w:sz="0" w:space="0" w:color="auto"/>
        <w:bottom w:val="none" w:sz="0" w:space="0" w:color="auto"/>
        <w:right w:val="none" w:sz="0" w:space="0" w:color="auto"/>
        <w:between w:val="none" w:sz="0" w:space="0" w:color="auto"/>
      </w:pBdr>
    </w:pPr>
    <w:rPr>
      <w:rFonts w:asciiTheme="minorHAnsi" w:eastAsiaTheme="minorHAnsi" w:hAnsiTheme="minorHAnsi" w:cstheme="minorBidi"/>
      <w:color w:val="auto"/>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1">
    <w:name w:val="Medium Grid 3 Accent 1"/>
    <w:basedOn w:val="TableNormal"/>
    <w:uiPriority w:val="69"/>
    <w:rsid w:val="009D5879"/>
    <w:pPr>
      <w:pBdr>
        <w:top w:val="none" w:sz="0" w:space="0" w:color="auto"/>
        <w:left w:val="none" w:sz="0" w:space="0" w:color="auto"/>
        <w:bottom w:val="none" w:sz="0" w:space="0" w:color="auto"/>
        <w:right w:val="none" w:sz="0" w:space="0" w:color="auto"/>
        <w:between w:val="none" w:sz="0" w:space="0" w:color="auto"/>
      </w:pBdr>
    </w:pPr>
    <w:rPr>
      <w:rFonts w:asciiTheme="minorHAnsi" w:eastAsiaTheme="minorHAnsi" w:hAnsiTheme="minorHAnsi" w:cstheme="minorBidi"/>
      <w:color w:val="auto"/>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styleId="TOC3">
    <w:name w:val="toc 3"/>
    <w:basedOn w:val="Normal"/>
    <w:next w:val="Normal"/>
    <w:autoRedefine/>
    <w:uiPriority w:val="39"/>
    <w:unhideWhenUsed/>
    <w:rsid w:val="001D74BD"/>
    <w:pPr>
      <w:tabs>
        <w:tab w:val="left" w:pos="1100"/>
        <w:tab w:val="right" w:leader="dot" w:pos="9017"/>
      </w:tabs>
      <w:spacing w:after="100"/>
      <w:ind w:left="1134" w:hanging="694"/>
    </w:pPr>
  </w:style>
  <w:style w:type="paragraph" w:styleId="TOC2">
    <w:name w:val="toc 2"/>
    <w:basedOn w:val="Normal"/>
    <w:next w:val="Normal"/>
    <w:autoRedefine/>
    <w:uiPriority w:val="39"/>
    <w:unhideWhenUsed/>
    <w:rsid w:val="0085007C"/>
    <w:pPr>
      <w:tabs>
        <w:tab w:val="left" w:pos="1100"/>
        <w:tab w:val="right" w:leader="dot" w:pos="9017"/>
      </w:tabs>
      <w:spacing w:after="100"/>
      <w:ind w:left="709"/>
    </w:pPr>
    <w:rPr>
      <w:rFonts w:ascii="Times New Roman" w:hAnsi="Times New Roman" w:cs="Times New Roman"/>
      <w:noProof/>
      <w:color w:val="auto"/>
      <w:sz w:val="20"/>
      <w:szCs w:val="20"/>
    </w:rPr>
  </w:style>
  <w:style w:type="paragraph" w:styleId="TOCHeading">
    <w:name w:val="TOC Heading"/>
    <w:basedOn w:val="Heading1"/>
    <w:next w:val="Normal"/>
    <w:uiPriority w:val="39"/>
    <w:unhideWhenUsed/>
    <w:qFormat/>
    <w:rsid w:val="00ED50B2"/>
    <w:pPr>
      <w:pBdr>
        <w:top w:val="none" w:sz="0" w:space="0" w:color="auto"/>
        <w:left w:val="none" w:sz="0" w:space="0" w:color="auto"/>
        <w:bottom w:val="none" w:sz="0" w:space="0" w:color="auto"/>
        <w:right w:val="none" w:sz="0" w:space="0" w:color="auto"/>
        <w:between w:val="none" w:sz="0" w:space="0" w:color="auto"/>
      </w:pBdr>
      <w:spacing w:before="240" w:line="259" w:lineRule="auto"/>
      <w:ind w:left="0" w:firstLine="0"/>
      <w:outlineLvl w:val="9"/>
    </w:pPr>
    <w:rPr>
      <w:rFonts w:asciiTheme="majorHAnsi" w:eastAsiaTheme="majorEastAsia" w:hAnsiTheme="majorHAnsi" w:cstheme="majorBidi"/>
      <w:b w:val="0"/>
      <w:color w:val="2E74B5" w:themeColor="accent1" w:themeShade="BF"/>
      <w:lang w:val="en-US" w:eastAsia="en-US"/>
    </w:rPr>
  </w:style>
  <w:style w:type="paragraph" w:styleId="NormalWeb">
    <w:name w:val="Normal (Web)"/>
    <w:basedOn w:val="Normal"/>
    <w:uiPriority w:val="99"/>
    <w:unhideWhenUsed/>
    <w:rsid w:val="00EA0FC1"/>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pPr>
    <w:rPr>
      <w:rFonts w:ascii="Times New Roman" w:eastAsiaTheme="minorEastAsia" w:hAnsi="Times New Roman" w:cs="Times New Roman"/>
      <w:color w:val="auto"/>
      <w:sz w:val="24"/>
      <w:szCs w:val="24"/>
      <w:lang w:val="en-ZA"/>
    </w:rPr>
  </w:style>
  <w:style w:type="table" w:customStyle="1" w:styleId="9">
    <w:name w:val="9"/>
    <w:basedOn w:val="TableNormal"/>
    <w:rsid w:val="00F83B61"/>
    <w:pPr>
      <w:widowControl w:val="0"/>
      <w:pBdr>
        <w:top w:val="none" w:sz="0" w:space="0" w:color="auto"/>
        <w:left w:val="none" w:sz="0" w:space="0" w:color="auto"/>
        <w:bottom w:val="none" w:sz="0" w:space="0" w:color="auto"/>
        <w:right w:val="none" w:sz="0" w:space="0" w:color="auto"/>
        <w:between w:val="none" w:sz="0" w:space="0" w:color="auto"/>
      </w:pBdr>
    </w:pPr>
    <w:rPr>
      <w:sz w:val="24"/>
      <w:szCs w:val="24"/>
      <w:lang w:eastAsia="en-GB"/>
    </w:rPr>
    <w:tblPr>
      <w:tblStyleRowBandSize w:val="1"/>
      <w:tblStyleColBandSize w:val="1"/>
      <w:tblCellMar>
        <w:left w:w="115" w:type="dxa"/>
        <w:right w:w="115" w:type="dxa"/>
      </w:tblCellMar>
    </w:tblPr>
  </w:style>
  <w:style w:type="character" w:customStyle="1" w:styleId="fontstyle01">
    <w:name w:val="fontstyle01"/>
    <w:basedOn w:val="DefaultParagraphFont"/>
    <w:rsid w:val="00F83B61"/>
    <w:rPr>
      <w:rFonts w:ascii="Arial" w:hAnsi="Arial" w:cs="Arial" w:hint="default"/>
      <w:b w:val="0"/>
      <w:bCs w:val="0"/>
      <w:i w:val="0"/>
      <w:iCs w:val="0"/>
      <w:color w:val="000000"/>
      <w:sz w:val="22"/>
      <w:szCs w:val="22"/>
    </w:rPr>
  </w:style>
  <w:style w:type="character" w:customStyle="1" w:styleId="fontstyle21">
    <w:name w:val="fontstyle21"/>
    <w:basedOn w:val="DefaultParagraphFont"/>
    <w:rsid w:val="00F83B61"/>
    <w:rPr>
      <w:rFonts w:ascii="Arial" w:hAnsi="Arial" w:cs="Arial" w:hint="default"/>
      <w:b w:val="0"/>
      <w:bCs w:val="0"/>
      <w:i/>
      <w:iCs/>
      <w:color w:val="000000"/>
      <w:sz w:val="22"/>
      <w:szCs w:val="22"/>
    </w:rPr>
  </w:style>
  <w:style w:type="character" w:styleId="Strong">
    <w:name w:val="Strong"/>
    <w:basedOn w:val="DefaultParagraphFont"/>
    <w:uiPriority w:val="22"/>
    <w:qFormat/>
    <w:rsid w:val="00F83B61"/>
    <w:rPr>
      <w:b/>
      <w:bCs/>
    </w:rPr>
  </w:style>
  <w:style w:type="paragraph" w:customStyle="1" w:styleId="HB2">
    <w:name w:val="HB 2"/>
    <w:basedOn w:val="Heading2"/>
    <w:link w:val="HB2Char"/>
    <w:qFormat/>
    <w:rsid w:val="00F83B61"/>
    <w:pPr>
      <w:keepNext w:val="0"/>
      <w:keepLines w:val="0"/>
      <w:pBdr>
        <w:top w:val="none" w:sz="0" w:space="0" w:color="auto"/>
        <w:left w:val="none" w:sz="0" w:space="0" w:color="auto"/>
        <w:bottom w:val="none" w:sz="0" w:space="0" w:color="auto"/>
        <w:right w:val="none" w:sz="0" w:space="0" w:color="auto"/>
        <w:between w:val="none" w:sz="0" w:space="0" w:color="auto"/>
      </w:pBdr>
      <w:spacing w:before="360" w:after="200" w:line="276" w:lineRule="auto"/>
    </w:pPr>
    <w:rPr>
      <w:rFonts w:ascii="Times New Roman" w:eastAsiaTheme="majorEastAsia" w:hAnsi="Times New Roman" w:cs="Times New Roman"/>
      <w:bCs/>
      <w:color w:val="000000" w:themeColor="text1"/>
      <w:sz w:val="24"/>
      <w:szCs w:val="24"/>
      <w:lang w:eastAsia="en-GB"/>
    </w:rPr>
  </w:style>
  <w:style w:type="character" w:customStyle="1" w:styleId="HB2Char">
    <w:name w:val="HB 2 Char"/>
    <w:basedOn w:val="DefaultParagraphFont"/>
    <w:link w:val="HB2"/>
    <w:rsid w:val="00F83B61"/>
    <w:rPr>
      <w:rFonts w:ascii="Times New Roman" w:eastAsiaTheme="majorEastAsia" w:hAnsi="Times New Roman" w:cs="Times New Roman"/>
      <w:b/>
      <w:bCs/>
      <w:color w:val="000000" w:themeColor="text1"/>
      <w:sz w:val="24"/>
      <w:szCs w:val="24"/>
      <w:lang w:eastAsia="en-GB"/>
    </w:rPr>
  </w:style>
  <w:style w:type="table" w:customStyle="1" w:styleId="8">
    <w:name w:val="8"/>
    <w:basedOn w:val="TableNormal"/>
    <w:rsid w:val="00F83B61"/>
    <w:pPr>
      <w:widowControl w:val="0"/>
      <w:pBdr>
        <w:top w:val="none" w:sz="0" w:space="0" w:color="auto"/>
        <w:left w:val="none" w:sz="0" w:space="0" w:color="auto"/>
        <w:bottom w:val="none" w:sz="0" w:space="0" w:color="auto"/>
        <w:right w:val="none" w:sz="0" w:space="0" w:color="auto"/>
        <w:between w:val="none" w:sz="0" w:space="0" w:color="auto"/>
      </w:pBdr>
    </w:pPr>
    <w:rPr>
      <w:sz w:val="24"/>
      <w:szCs w:val="24"/>
      <w:lang w:eastAsia="en-GB"/>
    </w:rPr>
    <w:tblPr>
      <w:tblStyleRowBandSize w:val="1"/>
      <w:tblStyleColBandSize w:val="1"/>
      <w:tblCellMar>
        <w:left w:w="115" w:type="dxa"/>
        <w:right w:w="115" w:type="dxa"/>
      </w:tblCellMar>
    </w:tblPr>
  </w:style>
  <w:style w:type="paragraph" w:styleId="TOC1">
    <w:name w:val="toc 1"/>
    <w:basedOn w:val="Normal"/>
    <w:next w:val="Normal"/>
    <w:autoRedefine/>
    <w:uiPriority w:val="39"/>
    <w:unhideWhenUsed/>
    <w:rsid w:val="004451B4"/>
    <w:pPr>
      <w:pBdr>
        <w:top w:val="none" w:sz="0" w:space="0" w:color="auto"/>
        <w:left w:val="none" w:sz="0" w:space="0" w:color="auto"/>
        <w:bottom w:val="none" w:sz="0" w:space="0" w:color="auto"/>
        <w:right w:val="none" w:sz="0" w:space="0" w:color="auto"/>
        <w:between w:val="none" w:sz="0" w:space="0" w:color="auto"/>
      </w:pBdr>
      <w:tabs>
        <w:tab w:val="left" w:pos="440"/>
        <w:tab w:val="right" w:leader="dot" w:pos="9017"/>
      </w:tabs>
      <w:spacing w:after="100" w:line="259" w:lineRule="auto"/>
      <w:ind w:left="426" w:hanging="426"/>
    </w:pPr>
    <w:rPr>
      <w:rFonts w:ascii="Times New Roman" w:eastAsiaTheme="minorEastAsia" w:hAnsi="Times New Roman" w:cs="Times New Roman"/>
      <w:noProof/>
      <w:color w:val="auto"/>
      <w:sz w:val="18"/>
      <w:szCs w:val="18"/>
      <w:lang w:val="en-US" w:eastAsia="en-US"/>
    </w:rPr>
  </w:style>
  <w:style w:type="paragraph" w:customStyle="1" w:styleId="11">
    <w:name w:val="1.1"/>
    <w:basedOn w:val="Heading2"/>
    <w:uiPriority w:val="99"/>
    <w:qFormat/>
    <w:rsid w:val="00593FBE"/>
    <w:pPr>
      <w:widowControl w:val="0"/>
      <w:numPr>
        <w:ilvl w:val="1"/>
        <w:numId w:val="12"/>
      </w:numPr>
      <w:spacing w:before="240" w:after="240"/>
    </w:pPr>
    <w:rPr>
      <w:rFonts w:ascii="Times New Roman" w:eastAsia="Calibri" w:hAnsi="Times New Roman" w:cs="Calibri"/>
      <w:color w:val="auto"/>
      <w:sz w:val="24"/>
      <w:szCs w:val="24"/>
    </w:rPr>
  </w:style>
  <w:style w:type="paragraph" w:styleId="Index1">
    <w:name w:val="index 1"/>
    <w:basedOn w:val="Normal"/>
    <w:next w:val="Normal"/>
    <w:autoRedefine/>
    <w:uiPriority w:val="99"/>
    <w:unhideWhenUsed/>
    <w:rsid w:val="00F83B61"/>
    <w:pPr>
      <w:widowControl w:val="0"/>
      <w:ind w:left="240" w:hanging="240"/>
    </w:pPr>
    <w:rPr>
      <w:sz w:val="24"/>
      <w:szCs w:val="24"/>
    </w:rPr>
  </w:style>
  <w:style w:type="paragraph" w:styleId="Index2">
    <w:name w:val="index 2"/>
    <w:basedOn w:val="Normal"/>
    <w:next w:val="Normal"/>
    <w:autoRedefine/>
    <w:uiPriority w:val="99"/>
    <w:unhideWhenUsed/>
    <w:rsid w:val="00F83B61"/>
    <w:pPr>
      <w:widowControl w:val="0"/>
      <w:ind w:left="480" w:hanging="240"/>
    </w:pPr>
    <w:rPr>
      <w:sz w:val="24"/>
      <w:szCs w:val="24"/>
    </w:rPr>
  </w:style>
  <w:style w:type="paragraph" w:styleId="Index3">
    <w:name w:val="index 3"/>
    <w:basedOn w:val="Normal"/>
    <w:next w:val="Normal"/>
    <w:autoRedefine/>
    <w:uiPriority w:val="99"/>
    <w:unhideWhenUsed/>
    <w:rsid w:val="00F83B61"/>
    <w:pPr>
      <w:widowControl w:val="0"/>
      <w:ind w:left="720" w:hanging="240"/>
    </w:pPr>
    <w:rPr>
      <w:sz w:val="24"/>
      <w:szCs w:val="24"/>
    </w:rPr>
  </w:style>
  <w:style w:type="paragraph" w:styleId="Index4">
    <w:name w:val="index 4"/>
    <w:basedOn w:val="Normal"/>
    <w:next w:val="Normal"/>
    <w:autoRedefine/>
    <w:uiPriority w:val="99"/>
    <w:unhideWhenUsed/>
    <w:rsid w:val="00F83B61"/>
    <w:pPr>
      <w:widowControl w:val="0"/>
      <w:ind w:left="960" w:hanging="240"/>
    </w:pPr>
    <w:rPr>
      <w:sz w:val="24"/>
      <w:szCs w:val="24"/>
    </w:rPr>
  </w:style>
  <w:style w:type="paragraph" w:styleId="List">
    <w:name w:val="List"/>
    <w:basedOn w:val="Normal"/>
    <w:uiPriority w:val="99"/>
    <w:unhideWhenUsed/>
    <w:rsid w:val="00F83B61"/>
    <w:pPr>
      <w:widowControl w:val="0"/>
      <w:ind w:left="283" w:hanging="283"/>
      <w:contextualSpacing/>
    </w:pPr>
    <w:rPr>
      <w:sz w:val="24"/>
      <w:szCs w:val="24"/>
    </w:rPr>
  </w:style>
  <w:style w:type="paragraph" w:styleId="List2">
    <w:name w:val="List 2"/>
    <w:basedOn w:val="Normal"/>
    <w:uiPriority w:val="99"/>
    <w:unhideWhenUsed/>
    <w:rsid w:val="00F83B61"/>
    <w:pPr>
      <w:widowControl w:val="0"/>
      <w:ind w:left="566" w:hanging="283"/>
      <w:contextualSpacing/>
    </w:pPr>
    <w:rPr>
      <w:sz w:val="24"/>
      <w:szCs w:val="24"/>
    </w:rPr>
  </w:style>
  <w:style w:type="paragraph" w:styleId="List3">
    <w:name w:val="List 3"/>
    <w:basedOn w:val="Normal"/>
    <w:uiPriority w:val="99"/>
    <w:unhideWhenUsed/>
    <w:rsid w:val="00F83B61"/>
    <w:pPr>
      <w:widowControl w:val="0"/>
      <w:ind w:left="849" w:hanging="283"/>
      <w:contextualSpacing/>
    </w:pPr>
    <w:rPr>
      <w:sz w:val="24"/>
      <w:szCs w:val="24"/>
    </w:rPr>
  </w:style>
  <w:style w:type="paragraph" w:styleId="List4">
    <w:name w:val="List 4"/>
    <w:basedOn w:val="Normal"/>
    <w:uiPriority w:val="99"/>
    <w:unhideWhenUsed/>
    <w:rsid w:val="00F83B61"/>
    <w:pPr>
      <w:widowControl w:val="0"/>
      <w:ind w:left="1132" w:hanging="283"/>
      <w:contextualSpacing/>
    </w:pPr>
    <w:rPr>
      <w:sz w:val="24"/>
      <w:szCs w:val="24"/>
    </w:rPr>
  </w:style>
  <w:style w:type="paragraph" w:styleId="ListBullet">
    <w:name w:val="List Bullet"/>
    <w:basedOn w:val="Normal"/>
    <w:uiPriority w:val="99"/>
    <w:unhideWhenUsed/>
    <w:rsid w:val="00F83B61"/>
    <w:pPr>
      <w:widowControl w:val="0"/>
      <w:numPr>
        <w:numId w:val="7"/>
      </w:numPr>
      <w:contextualSpacing/>
    </w:pPr>
    <w:rPr>
      <w:sz w:val="24"/>
      <w:szCs w:val="24"/>
    </w:rPr>
  </w:style>
  <w:style w:type="paragraph" w:styleId="ListContinue">
    <w:name w:val="List Continue"/>
    <w:basedOn w:val="Normal"/>
    <w:uiPriority w:val="99"/>
    <w:unhideWhenUsed/>
    <w:rsid w:val="00F83B61"/>
    <w:pPr>
      <w:widowControl w:val="0"/>
      <w:spacing w:after="120"/>
      <w:ind w:left="283"/>
      <w:contextualSpacing/>
    </w:pPr>
    <w:rPr>
      <w:sz w:val="24"/>
      <w:szCs w:val="24"/>
    </w:rPr>
  </w:style>
  <w:style w:type="paragraph" w:styleId="ListNumber">
    <w:name w:val="List Number"/>
    <w:basedOn w:val="Normal"/>
    <w:uiPriority w:val="99"/>
    <w:unhideWhenUsed/>
    <w:rsid w:val="00F83B61"/>
    <w:pPr>
      <w:widowControl w:val="0"/>
      <w:numPr>
        <w:numId w:val="8"/>
      </w:numPr>
      <w:contextualSpacing/>
    </w:pPr>
    <w:rPr>
      <w:sz w:val="24"/>
      <w:szCs w:val="24"/>
    </w:rPr>
  </w:style>
  <w:style w:type="paragraph" w:styleId="ListNumber2">
    <w:name w:val="List Number 2"/>
    <w:basedOn w:val="Normal"/>
    <w:uiPriority w:val="99"/>
    <w:unhideWhenUsed/>
    <w:rsid w:val="00F83B61"/>
    <w:pPr>
      <w:widowControl w:val="0"/>
      <w:numPr>
        <w:numId w:val="9"/>
      </w:numPr>
      <w:contextualSpacing/>
    </w:pPr>
    <w:rPr>
      <w:sz w:val="24"/>
      <w:szCs w:val="24"/>
    </w:rPr>
  </w:style>
  <w:style w:type="paragraph" w:styleId="Caption">
    <w:name w:val="caption"/>
    <w:basedOn w:val="Normal"/>
    <w:next w:val="Normal"/>
    <w:uiPriority w:val="35"/>
    <w:unhideWhenUsed/>
    <w:qFormat/>
    <w:rsid w:val="00F83B61"/>
    <w:pPr>
      <w:widowControl w:val="0"/>
      <w:spacing w:after="200"/>
    </w:pPr>
    <w:rPr>
      <w:i/>
      <w:iCs/>
      <w:color w:val="44546A" w:themeColor="text2"/>
      <w:sz w:val="18"/>
      <w:szCs w:val="18"/>
    </w:rPr>
  </w:style>
  <w:style w:type="paragraph" w:styleId="TableofFigures">
    <w:name w:val="table of figures"/>
    <w:basedOn w:val="Normal"/>
    <w:next w:val="Normal"/>
    <w:uiPriority w:val="99"/>
    <w:unhideWhenUsed/>
    <w:qFormat/>
    <w:rsid w:val="00F83B61"/>
    <w:pPr>
      <w:widowControl w:val="0"/>
    </w:pPr>
    <w:rPr>
      <w:sz w:val="24"/>
      <w:szCs w:val="24"/>
    </w:rPr>
  </w:style>
  <w:style w:type="paragraph" w:styleId="Revision">
    <w:name w:val="Revision"/>
    <w:hidden/>
    <w:uiPriority w:val="99"/>
    <w:semiHidden/>
    <w:rsid w:val="00F83B61"/>
    <w:pPr>
      <w:pBdr>
        <w:top w:val="none" w:sz="0" w:space="0" w:color="auto"/>
        <w:left w:val="none" w:sz="0" w:space="0" w:color="auto"/>
        <w:bottom w:val="none" w:sz="0" w:space="0" w:color="auto"/>
        <w:right w:val="none" w:sz="0" w:space="0" w:color="auto"/>
        <w:between w:val="none" w:sz="0" w:space="0" w:color="auto"/>
      </w:pBdr>
    </w:pPr>
    <w:rPr>
      <w:sz w:val="24"/>
      <w:szCs w:val="24"/>
    </w:rPr>
  </w:style>
  <w:style w:type="paragraph" w:styleId="EndnoteText">
    <w:name w:val="endnote text"/>
    <w:basedOn w:val="Normal"/>
    <w:link w:val="EndnoteTextChar"/>
    <w:uiPriority w:val="99"/>
    <w:semiHidden/>
    <w:unhideWhenUsed/>
    <w:rsid w:val="00F83B61"/>
    <w:pPr>
      <w:widowControl w:val="0"/>
    </w:pPr>
    <w:rPr>
      <w:sz w:val="20"/>
      <w:szCs w:val="20"/>
    </w:rPr>
  </w:style>
  <w:style w:type="character" w:customStyle="1" w:styleId="EndnoteTextChar">
    <w:name w:val="Endnote Text Char"/>
    <w:basedOn w:val="DefaultParagraphFont"/>
    <w:link w:val="EndnoteText"/>
    <w:uiPriority w:val="99"/>
    <w:semiHidden/>
    <w:rsid w:val="00F83B61"/>
    <w:rPr>
      <w:sz w:val="20"/>
      <w:szCs w:val="20"/>
    </w:rPr>
  </w:style>
  <w:style w:type="paragraph" w:styleId="FootnoteText">
    <w:name w:val="footnote text"/>
    <w:basedOn w:val="Normal"/>
    <w:link w:val="FootnoteTextChar"/>
    <w:uiPriority w:val="99"/>
    <w:unhideWhenUsed/>
    <w:rsid w:val="00F83B61"/>
    <w:pPr>
      <w:widowControl w:val="0"/>
    </w:pPr>
    <w:rPr>
      <w:sz w:val="20"/>
      <w:szCs w:val="20"/>
    </w:rPr>
  </w:style>
  <w:style w:type="character" w:customStyle="1" w:styleId="FootnoteTextChar">
    <w:name w:val="Footnote Text Char"/>
    <w:basedOn w:val="DefaultParagraphFont"/>
    <w:link w:val="FootnoteText"/>
    <w:uiPriority w:val="99"/>
    <w:rsid w:val="00F83B61"/>
    <w:rPr>
      <w:sz w:val="20"/>
      <w:szCs w:val="20"/>
    </w:rPr>
  </w:style>
  <w:style w:type="character" w:styleId="FootnoteReference">
    <w:name w:val="footnote reference"/>
    <w:basedOn w:val="DefaultParagraphFont"/>
    <w:uiPriority w:val="99"/>
    <w:unhideWhenUsed/>
    <w:rsid w:val="00F83B61"/>
    <w:rPr>
      <w:vertAlign w:val="superscript"/>
    </w:rPr>
  </w:style>
  <w:style w:type="table" w:customStyle="1" w:styleId="GridTable4-Accent61">
    <w:name w:val="Grid Table 4 - Accent 61"/>
    <w:basedOn w:val="TableNormal"/>
    <w:uiPriority w:val="49"/>
    <w:rsid w:val="00370074"/>
    <w:pPr>
      <w:widowControl w:val="0"/>
      <w:pBdr>
        <w:top w:val="none" w:sz="0" w:space="0" w:color="auto"/>
        <w:left w:val="none" w:sz="0" w:space="0" w:color="auto"/>
        <w:bottom w:val="none" w:sz="0" w:space="0" w:color="auto"/>
        <w:right w:val="none" w:sz="0" w:space="0" w:color="auto"/>
        <w:between w:val="none" w:sz="0" w:space="0" w:color="auto"/>
      </w:pBdr>
    </w:pPr>
    <w:rPr>
      <w:rFonts w:ascii="Times New Roman" w:eastAsia="Times New Roman" w:hAnsi="Times New Roman" w:cs="Times New Roman"/>
      <w:sz w:val="24"/>
      <w:szCs w:val="24"/>
      <w:lang w:val="en-ZA"/>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A4">
    <w:name w:val="A4"/>
    <w:uiPriority w:val="99"/>
    <w:rsid w:val="00370074"/>
    <w:rPr>
      <w:rFonts w:cs="Adobe Garamond Pro"/>
      <w:color w:val="000000"/>
      <w:sz w:val="18"/>
      <w:szCs w:val="18"/>
    </w:rPr>
  </w:style>
  <w:style w:type="character" w:styleId="LineNumber">
    <w:name w:val="line number"/>
    <w:basedOn w:val="DefaultParagraphFont"/>
    <w:uiPriority w:val="99"/>
    <w:semiHidden/>
    <w:unhideWhenUsed/>
    <w:rsid w:val="00370074"/>
  </w:style>
  <w:style w:type="paragraph" w:customStyle="1" w:styleId="Default">
    <w:name w:val="Default"/>
    <w:uiPriority w:val="99"/>
    <w:rsid w:val="00370074"/>
    <w:pPr>
      <w:pBdr>
        <w:top w:val="none" w:sz="0" w:space="0" w:color="auto"/>
        <w:left w:val="none" w:sz="0" w:space="0" w:color="auto"/>
        <w:bottom w:val="none" w:sz="0" w:space="0" w:color="auto"/>
        <w:right w:val="none" w:sz="0" w:space="0" w:color="auto"/>
        <w:between w:val="none" w:sz="0" w:space="0" w:color="auto"/>
      </w:pBdr>
      <w:autoSpaceDE w:val="0"/>
      <w:autoSpaceDN w:val="0"/>
      <w:adjustRightInd w:val="0"/>
    </w:pPr>
    <w:rPr>
      <w:rFonts w:ascii="Times New Roman" w:eastAsiaTheme="minorHAnsi" w:hAnsi="Times New Roman" w:cs="Times New Roman"/>
      <w:sz w:val="24"/>
      <w:szCs w:val="24"/>
      <w:lang w:eastAsia="en-US"/>
    </w:rPr>
  </w:style>
  <w:style w:type="character" w:customStyle="1" w:styleId="HTMLPreformattedChar">
    <w:name w:val="HTML Preformatted Char"/>
    <w:basedOn w:val="DefaultParagraphFont"/>
    <w:link w:val="HTMLPreformatted"/>
    <w:uiPriority w:val="99"/>
    <w:semiHidden/>
    <w:rsid w:val="00370074"/>
    <w:rPr>
      <w:rFonts w:ascii="Courier New" w:eastAsia="Times New Roman" w:hAnsi="Courier New" w:cs="Courier New"/>
      <w:color w:val="auto"/>
      <w:sz w:val="20"/>
      <w:szCs w:val="20"/>
      <w:lang w:val="fr-FR" w:eastAsia="fr-FR"/>
    </w:rPr>
  </w:style>
  <w:style w:type="paragraph" w:styleId="HTMLPreformatted">
    <w:name w:val="HTML Preformatted"/>
    <w:basedOn w:val="Normal"/>
    <w:link w:val="HTMLPreformattedChar"/>
    <w:uiPriority w:val="99"/>
    <w:semiHidden/>
    <w:unhideWhenUsed/>
    <w:rsid w:val="00370074"/>
    <w:pPr>
      <w:pBdr>
        <w:top w:val="none" w:sz="0" w:space="0" w:color="auto"/>
        <w:left w:val="none" w:sz="0" w:space="0" w:color="auto"/>
        <w:bottom w:val="none" w:sz="0" w:space="0" w:color="auto"/>
        <w:right w:val="none" w:sz="0" w:space="0" w:color="auto"/>
        <w:between w:val="none" w:sz="0" w:space="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auto"/>
      <w:sz w:val="20"/>
      <w:szCs w:val="20"/>
      <w:lang w:val="fr-FR" w:eastAsia="fr-FR"/>
    </w:rPr>
  </w:style>
  <w:style w:type="character" w:styleId="Emphasis">
    <w:name w:val="Emphasis"/>
    <w:uiPriority w:val="20"/>
    <w:qFormat/>
    <w:rsid w:val="00370074"/>
    <w:rPr>
      <w:i/>
      <w:iCs/>
    </w:rPr>
  </w:style>
  <w:style w:type="character" w:customStyle="1" w:styleId="apple-converted-space">
    <w:name w:val="apple-converted-space"/>
    <w:basedOn w:val="DefaultParagraphFont"/>
    <w:rsid w:val="00370074"/>
  </w:style>
  <w:style w:type="character" w:customStyle="1" w:styleId="author">
    <w:name w:val="author"/>
    <w:basedOn w:val="DefaultParagraphFont"/>
    <w:rsid w:val="00370074"/>
  </w:style>
  <w:style w:type="character" w:customStyle="1" w:styleId="pubyear">
    <w:name w:val="pubyear"/>
    <w:basedOn w:val="DefaultParagraphFont"/>
    <w:rsid w:val="00370074"/>
  </w:style>
  <w:style w:type="character" w:customStyle="1" w:styleId="articletitle">
    <w:name w:val="articletitle"/>
    <w:basedOn w:val="DefaultParagraphFont"/>
    <w:rsid w:val="00370074"/>
  </w:style>
  <w:style w:type="character" w:customStyle="1" w:styleId="journaltitle">
    <w:name w:val="journaltitle"/>
    <w:basedOn w:val="DefaultParagraphFont"/>
    <w:rsid w:val="00370074"/>
  </w:style>
  <w:style w:type="character" w:customStyle="1" w:styleId="vol">
    <w:name w:val="vol"/>
    <w:basedOn w:val="DefaultParagraphFont"/>
    <w:rsid w:val="00370074"/>
  </w:style>
  <w:style w:type="character" w:customStyle="1" w:styleId="pagefirst">
    <w:name w:val="pagefirst"/>
    <w:basedOn w:val="DefaultParagraphFont"/>
    <w:rsid w:val="00370074"/>
  </w:style>
  <w:style w:type="character" w:customStyle="1" w:styleId="pagelast">
    <w:name w:val="pagelast"/>
    <w:basedOn w:val="DefaultParagraphFont"/>
    <w:rsid w:val="00370074"/>
  </w:style>
  <w:style w:type="character" w:customStyle="1" w:styleId="Caption1">
    <w:name w:val="Caption1"/>
    <w:basedOn w:val="DefaultParagraphFont"/>
    <w:rsid w:val="00370074"/>
  </w:style>
  <w:style w:type="character" w:customStyle="1" w:styleId="fn-label">
    <w:name w:val="fn-label"/>
    <w:basedOn w:val="DefaultParagraphFont"/>
    <w:rsid w:val="00370074"/>
  </w:style>
  <w:style w:type="table" w:customStyle="1" w:styleId="PlainTable11">
    <w:name w:val="Plain Table 11"/>
    <w:basedOn w:val="TableNormal"/>
    <w:uiPriority w:val="41"/>
    <w:rsid w:val="00370074"/>
    <w:pPr>
      <w:pBdr>
        <w:top w:val="none" w:sz="0" w:space="0" w:color="auto"/>
        <w:left w:val="none" w:sz="0" w:space="0" w:color="auto"/>
        <w:bottom w:val="none" w:sz="0" w:space="0" w:color="auto"/>
        <w:right w:val="none" w:sz="0" w:space="0" w:color="auto"/>
        <w:between w:val="none" w:sz="0" w:space="0" w:color="auto"/>
      </w:pBdr>
    </w:pPr>
    <w:rPr>
      <w:rFonts w:asciiTheme="minorHAnsi" w:eastAsiaTheme="minorHAnsi" w:hAnsiTheme="minorHAnsi" w:cstheme="minorBidi"/>
      <w:color w:val="auto"/>
      <w:lang w:val="en-US"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st">
    <w:name w:val="st"/>
    <w:basedOn w:val="DefaultParagraphFont"/>
    <w:rsid w:val="00370074"/>
  </w:style>
  <w:style w:type="paragraph" w:customStyle="1" w:styleId="BodyText2">
    <w:name w:val="Body Text2"/>
    <w:basedOn w:val="BodyText"/>
    <w:link w:val="BodyText2Char"/>
    <w:qFormat/>
    <w:rsid w:val="008B5269"/>
    <w:pPr>
      <w:widowControl/>
      <w:spacing w:after="0"/>
      <w:ind w:firstLine="284"/>
    </w:pPr>
    <w:rPr>
      <w:rFonts w:ascii="Times New Roman" w:eastAsia="Times New Roman" w:hAnsi="Times New Roman" w:cs="Arial"/>
      <w:color w:val="auto"/>
      <w:szCs w:val="24"/>
      <w:lang w:val="en-ZA" w:eastAsia="fi-FI"/>
    </w:rPr>
  </w:style>
  <w:style w:type="paragraph" w:styleId="BodyText">
    <w:name w:val="Body Text"/>
    <w:basedOn w:val="Normal"/>
    <w:link w:val="BodyTextChar"/>
    <w:uiPriority w:val="99"/>
    <w:semiHidden/>
    <w:unhideWhenUsed/>
    <w:rsid w:val="008B5269"/>
    <w:pPr>
      <w:widowControl w:val="0"/>
      <w:pBdr>
        <w:top w:val="none" w:sz="0" w:space="0" w:color="auto"/>
        <w:left w:val="none" w:sz="0" w:space="0" w:color="auto"/>
        <w:bottom w:val="none" w:sz="0" w:space="0" w:color="auto"/>
        <w:right w:val="none" w:sz="0" w:space="0" w:color="auto"/>
        <w:between w:val="none" w:sz="0" w:space="0" w:color="auto"/>
      </w:pBdr>
      <w:spacing w:after="120"/>
    </w:pPr>
    <w:rPr>
      <w:lang w:val="en-US" w:eastAsia="en-US"/>
    </w:rPr>
  </w:style>
  <w:style w:type="character" w:customStyle="1" w:styleId="BodyTextChar">
    <w:name w:val="Body Text Char"/>
    <w:basedOn w:val="DefaultParagraphFont"/>
    <w:link w:val="BodyText"/>
    <w:uiPriority w:val="99"/>
    <w:semiHidden/>
    <w:rsid w:val="008B5269"/>
    <w:rPr>
      <w:lang w:val="en-US" w:eastAsia="en-US"/>
    </w:rPr>
  </w:style>
  <w:style w:type="character" w:customStyle="1" w:styleId="BodyText2Char">
    <w:name w:val="Body Text2 Char"/>
    <w:basedOn w:val="DefaultParagraphFont"/>
    <w:link w:val="BodyText2"/>
    <w:rsid w:val="008B5269"/>
    <w:rPr>
      <w:rFonts w:ascii="Times New Roman" w:eastAsia="Times New Roman" w:hAnsi="Times New Roman" w:cs="Arial"/>
      <w:color w:val="auto"/>
      <w:szCs w:val="24"/>
      <w:lang w:val="en-ZA" w:eastAsia="fi-FI"/>
    </w:rPr>
  </w:style>
  <w:style w:type="table" w:customStyle="1" w:styleId="GridTable4-Accent31">
    <w:name w:val="Grid Table 4 - Accent 31"/>
    <w:basedOn w:val="TableNormal"/>
    <w:uiPriority w:val="49"/>
    <w:rsid w:val="008B5269"/>
    <w:pPr>
      <w:widowControl w:val="0"/>
      <w:pBdr>
        <w:top w:val="none" w:sz="0" w:space="0" w:color="auto"/>
        <w:left w:val="none" w:sz="0" w:space="0" w:color="auto"/>
        <w:bottom w:val="none" w:sz="0" w:space="0" w:color="auto"/>
        <w:right w:val="none" w:sz="0" w:space="0" w:color="auto"/>
        <w:between w:val="none" w:sz="0" w:space="0" w:color="auto"/>
      </w:pBdr>
    </w:pPr>
    <w:rPr>
      <w:lang w:val="en-US"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Style1">
    <w:name w:val="Style1"/>
    <w:basedOn w:val="Heading3"/>
    <w:uiPriority w:val="99"/>
    <w:rsid w:val="008B5269"/>
    <w:pPr>
      <w:widowControl w:val="0"/>
      <w:pBdr>
        <w:top w:val="none" w:sz="0" w:space="0" w:color="auto"/>
        <w:left w:val="none" w:sz="0" w:space="0" w:color="auto"/>
        <w:bottom w:val="none" w:sz="0" w:space="0" w:color="auto"/>
        <w:right w:val="none" w:sz="0" w:space="0" w:color="auto"/>
        <w:between w:val="none" w:sz="0" w:space="0" w:color="auto"/>
      </w:pBdr>
    </w:pPr>
    <w:rPr>
      <w:lang w:val="en-US" w:eastAsia="en-US"/>
    </w:rPr>
  </w:style>
  <w:style w:type="paragraph" w:customStyle="1" w:styleId="Style2">
    <w:name w:val="Style2"/>
    <w:basedOn w:val="Heading3"/>
    <w:uiPriority w:val="99"/>
    <w:rsid w:val="008B5269"/>
    <w:pPr>
      <w:widowControl w:val="0"/>
      <w:pBdr>
        <w:top w:val="none" w:sz="0" w:space="0" w:color="auto"/>
        <w:left w:val="none" w:sz="0" w:space="0" w:color="auto"/>
        <w:bottom w:val="none" w:sz="0" w:space="0" w:color="auto"/>
        <w:right w:val="none" w:sz="0" w:space="0" w:color="auto"/>
        <w:between w:val="none" w:sz="0" w:space="0" w:color="auto"/>
      </w:pBdr>
    </w:pPr>
    <w:rPr>
      <w:lang w:val="en-US" w:eastAsia="en-US"/>
    </w:rPr>
  </w:style>
  <w:style w:type="paragraph" w:customStyle="1" w:styleId="Style3">
    <w:name w:val="Style3"/>
    <w:basedOn w:val="Heading3"/>
    <w:uiPriority w:val="99"/>
    <w:rsid w:val="008B5269"/>
    <w:pPr>
      <w:widowControl w:val="0"/>
      <w:pBdr>
        <w:top w:val="none" w:sz="0" w:space="0" w:color="auto"/>
        <w:left w:val="none" w:sz="0" w:space="0" w:color="auto"/>
        <w:bottom w:val="none" w:sz="0" w:space="0" w:color="auto"/>
        <w:right w:val="none" w:sz="0" w:space="0" w:color="auto"/>
        <w:between w:val="none" w:sz="0" w:space="0" w:color="auto"/>
      </w:pBdr>
    </w:pPr>
    <w:rPr>
      <w:lang w:val="en-US" w:eastAsia="en-US"/>
    </w:rPr>
  </w:style>
  <w:style w:type="paragraph" w:customStyle="1" w:styleId="Style4">
    <w:name w:val="Style4"/>
    <w:basedOn w:val="Heading3"/>
    <w:uiPriority w:val="99"/>
    <w:rsid w:val="008B5269"/>
    <w:pPr>
      <w:widowControl w:val="0"/>
      <w:pBdr>
        <w:top w:val="none" w:sz="0" w:space="0" w:color="auto"/>
        <w:left w:val="none" w:sz="0" w:space="0" w:color="auto"/>
        <w:bottom w:val="none" w:sz="0" w:space="0" w:color="auto"/>
        <w:right w:val="none" w:sz="0" w:space="0" w:color="auto"/>
        <w:between w:val="none" w:sz="0" w:space="0" w:color="auto"/>
      </w:pBdr>
    </w:pPr>
    <w:rPr>
      <w:lang w:val="en-US" w:eastAsia="en-US"/>
    </w:rPr>
  </w:style>
  <w:style w:type="paragraph" w:customStyle="1" w:styleId="Style5">
    <w:name w:val="Style5"/>
    <w:basedOn w:val="Heading1"/>
    <w:uiPriority w:val="99"/>
    <w:rsid w:val="008B5269"/>
    <w:pPr>
      <w:widowControl w:val="0"/>
      <w:pBdr>
        <w:top w:val="none" w:sz="0" w:space="0" w:color="auto"/>
        <w:left w:val="none" w:sz="0" w:space="0" w:color="auto"/>
        <w:bottom w:val="none" w:sz="0" w:space="0" w:color="auto"/>
        <w:right w:val="none" w:sz="0" w:space="0" w:color="auto"/>
        <w:between w:val="none" w:sz="0" w:space="0" w:color="auto"/>
      </w:pBdr>
    </w:pPr>
    <w:rPr>
      <w:rFonts w:eastAsia="Cambria" w:cs="Cambria"/>
      <w:color w:val="auto"/>
      <w:sz w:val="24"/>
      <w:szCs w:val="28"/>
      <w:lang w:val="en-US" w:eastAsia="en-US"/>
    </w:rPr>
  </w:style>
  <w:style w:type="paragraph" w:customStyle="1" w:styleId="Style6">
    <w:name w:val="Style6"/>
    <w:basedOn w:val="Heading1"/>
    <w:uiPriority w:val="99"/>
    <w:rsid w:val="008B5269"/>
    <w:pPr>
      <w:widowControl w:val="0"/>
      <w:pBdr>
        <w:top w:val="none" w:sz="0" w:space="0" w:color="auto"/>
        <w:left w:val="none" w:sz="0" w:space="0" w:color="auto"/>
        <w:bottom w:val="none" w:sz="0" w:space="0" w:color="auto"/>
        <w:right w:val="none" w:sz="0" w:space="0" w:color="auto"/>
        <w:between w:val="none" w:sz="0" w:space="0" w:color="auto"/>
      </w:pBdr>
    </w:pPr>
    <w:rPr>
      <w:rFonts w:eastAsia="Cambria" w:cs="Cambria"/>
      <w:color w:val="auto"/>
      <w:sz w:val="24"/>
      <w:szCs w:val="28"/>
      <w:lang w:val="en-US" w:eastAsia="en-US"/>
    </w:rPr>
  </w:style>
  <w:style w:type="paragraph" w:customStyle="1" w:styleId="Style7">
    <w:name w:val="Style7"/>
    <w:basedOn w:val="Heading3"/>
    <w:uiPriority w:val="99"/>
    <w:rsid w:val="008B5269"/>
    <w:pPr>
      <w:widowControl w:val="0"/>
      <w:pBdr>
        <w:top w:val="none" w:sz="0" w:space="0" w:color="auto"/>
        <w:left w:val="none" w:sz="0" w:space="0" w:color="auto"/>
        <w:bottom w:val="none" w:sz="0" w:space="0" w:color="auto"/>
        <w:right w:val="none" w:sz="0" w:space="0" w:color="auto"/>
        <w:between w:val="none" w:sz="0" w:space="0" w:color="auto"/>
      </w:pBdr>
    </w:pPr>
    <w:rPr>
      <w:lang w:val="en-US" w:eastAsia="en-US"/>
    </w:rPr>
  </w:style>
  <w:style w:type="paragraph" w:customStyle="1" w:styleId="Style8">
    <w:name w:val="Style8"/>
    <w:basedOn w:val="Heading3"/>
    <w:uiPriority w:val="99"/>
    <w:rsid w:val="008B5269"/>
    <w:pPr>
      <w:widowControl w:val="0"/>
      <w:pBdr>
        <w:top w:val="none" w:sz="0" w:space="0" w:color="auto"/>
        <w:left w:val="none" w:sz="0" w:space="0" w:color="auto"/>
        <w:bottom w:val="none" w:sz="0" w:space="0" w:color="auto"/>
        <w:right w:val="none" w:sz="0" w:space="0" w:color="auto"/>
        <w:between w:val="none" w:sz="0" w:space="0" w:color="auto"/>
      </w:pBdr>
    </w:pPr>
    <w:rPr>
      <w:lang w:val="en-US" w:eastAsia="en-US"/>
    </w:rPr>
  </w:style>
  <w:style w:type="paragraph" w:customStyle="1" w:styleId="Style9">
    <w:name w:val="Style9"/>
    <w:basedOn w:val="Heading3"/>
    <w:uiPriority w:val="99"/>
    <w:rsid w:val="008B5269"/>
    <w:pPr>
      <w:widowControl w:val="0"/>
      <w:pBdr>
        <w:top w:val="none" w:sz="0" w:space="0" w:color="auto"/>
        <w:left w:val="none" w:sz="0" w:space="0" w:color="auto"/>
        <w:bottom w:val="none" w:sz="0" w:space="0" w:color="auto"/>
        <w:right w:val="none" w:sz="0" w:space="0" w:color="auto"/>
        <w:between w:val="none" w:sz="0" w:space="0" w:color="auto"/>
      </w:pBdr>
    </w:pPr>
    <w:rPr>
      <w:lang w:val="en-US" w:eastAsia="en-US"/>
    </w:rPr>
  </w:style>
  <w:style w:type="paragraph" w:customStyle="1" w:styleId="Style10">
    <w:name w:val="Style10"/>
    <w:basedOn w:val="Heading3"/>
    <w:uiPriority w:val="99"/>
    <w:rsid w:val="008B5269"/>
    <w:pPr>
      <w:widowControl w:val="0"/>
      <w:pBdr>
        <w:top w:val="none" w:sz="0" w:space="0" w:color="auto"/>
        <w:left w:val="none" w:sz="0" w:space="0" w:color="auto"/>
        <w:bottom w:val="none" w:sz="0" w:space="0" w:color="auto"/>
        <w:right w:val="none" w:sz="0" w:space="0" w:color="auto"/>
        <w:between w:val="none" w:sz="0" w:space="0" w:color="auto"/>
      </w:pBdr>
    </w:pPr>
    <w:rPr>
      <w:lang w:val="en-US" w:eastAsia="en-US"/>
    </w:rPr>
  </w:style>
  <w:style w:type="paragraph" w:customStyle="1" w:styleId="Style11">
    <w:name w:val="Style11"/>
    <w:basedOn w:val="Heading3"/>
    <w:uiPriority w:val="99"/>
    <w:rsid w:val="008B5269"/>
    <w:pPr>
      <w:widowControl w:val="0"/>
      <w:pBdr>
        <w:top w:val="none" w:sz="0" w:space="0" w:color="auto"/>
        <w:left w:val="none" w:sz="0" w:space="0" w:color="auto"/>
        <w:bottom w:val="none" w:sz="0" w:space="0" w:color="auto"/>
        <w:right w:val="none" w:sz="0" w:space="0" w:color="auto"/>
        <w:between w:val="none" w:sz="0" w:space="0" w:color="auto"/>
      </w:pBdr>
    </w:pPr>
    <w:rPr>
      <w:lang w:val="en-US" w:eastAsia="en-US"/>
    </w:rPr>
  </w:style>
  <w:style w:type="paragraph" w:customStyle="1" w:styleId="Style12">
    <w:name w:val="Style12"/>
    <w:basedOn w:val="Heading3"/>
    <w:uiPriority w:val="99"/>
    <w:rsid w:val="008B5269"/>
    <w:pPr>
      <w:widowControl w:val="0"/>
      <w:pBdr>
        <w:top w:val="none" w:sz="0" w:space="0" w:color="auto"/>
        <w:left w:val="none" w:sz="0" w:space="0" w:color="auto"/>
        <w:bottom w:val="none" w:sz="0" w:space="0" w:color="auto"/>
        <w:right w:val="none" w:sz="0" w:space="0" w:color="auto"/>
        <w:between w:val="none" w:sz="0" w:space="0" w:color="auto"/>
      </w:pBdr>
    </w:pPr>
    <w:rPr>
      <w:lang w:val="en-US" w:eastAsia="en-US"/>
    </w:rPr>
  </w:style>
  <w:style w:type="character" w:customStyle="1" w:styleId="DocumentMapChar">
    <w:name w:val="Document Map Char"/>
    <w:basedOn w:val="DefaultParagraphFont"/>
    <w:link w:val="DocumentMap"/>
    <w:uiPriority w:val="99"/>
    <w:semiHidden/>
    <w:rsid w:val="008B5269"/>
    <w:rPr>
      <w:rFonts w:ascii="Lucida Grande" w:hAnsi="Lucida Grande" w:cs="Lucida Grande"/>
      <w:sz w:val="24"/>
      <w:szCs w:val="24"/>
      <w:lang w:val="en-US" w:eastAsia="en-US"/>
    </w:rPr>
  </w:style>
  <w:style w:type="paragraph" w:styleId="DocumentMap">
    <w:name w:val="Document Map"/>
    <w:basedOn w:val="Normal"/>
    <w:link w:val="DocumentMapChar"/>
    <w:uiPriority w:val="99"/>
    <w:semiHidden/>
    <w:unhideWhenUsed/>
    <w:rsid w:val="008B5269"/>
    <w:pPr>
      <w:widowControl w:val="0"/>
      <w:pBdr>
        <w:top w:val="none" w:sz="0" w:space="0" w:color="auto"/>
        <w:left w:val="none" w:sz="0" w:space="0" w:color="auto"/>
        <w:bottom w:val="none" w:sz="0" w:space="0" w:color="auto"/>
        <w:right w:val="none" w:sz="0" w:space="0" w:color="auto"/>
        <w:between w:val="none" w:sz="0" w:space="0" w:color="auto"/>
      </w:pBdr>
    </w:pPr>
    <w:rPr>
      <w:rFonts w:ascii="Lucida Grande" w:hAnsi="Lucida Grande" w:cs="Lucida Grande"/>
      <w:sz w:val="24"/>
      <w:szCs w:val="24"/>
      <w:lang w:val="en-US" w:eastAsia="en-US"/>
    </w:rPr>
  </w:style>
  <w:style w:type="paragraph" w:styleId="TOC4">
    <w:name w:val="toc 4"/>
    <w:basedOn w:val="Normal"/>
    <w:next w:val="Normal"/>
    <w:autoRedefine/>
    <w:uiPriority w:val="39"/>
    <w:unhideWhenUsed/>
    <w:rsid w:val="001D6815"/>
    <w:pPr>
      <w:pBdr>
        <w:top w:val="none" w:sz="0" w:space="0" w:color="auto"/>
        <w:left w:val="none" w:sz="0" w:space="0" w:color="auto"/>
        <w:bottom w:val="none" w:sz="0" w:space="0" w:color="auto"/>
        <w:right w:val="none" w:sz="0" w:space="0" w:color="auto"/>
        <w:between w:val="none" w:sz="0" w:space="0" w:color="auto"/>
      </w:pBdr>
      <w:spacing w:after="100" w:line="259" w:lineRule="auto"/>
      <w:ind w:left="660"/>
    </w:pPr>
    <w:rPr>
      <w:rFonts w:asciiTheme="minorHAnsi" w:eastAsiaTheme="minorEastAsia" w:hAnsiTheme="minorHAnsi" w:cstheme="minorBidi"/>
      <w:color w:val="auto"/>
      <w:lang w:val="en-ZA"/>
    </w:rPr>
  </w:style>
  <w:style w:type="paragraph" w:styleId="TOC5">
    <w:name w:val="toc 5"/>
    <w:basedOn w:val="Normal"/>
    <w:next w:val="Normal"/>
    <w:autoRedefine/>
    <w:uiPriority w:val="39"/>
    <w:unhideWhenUsed/>
    <w:rsid w:val="001D6815"/>
    <w:pPr>
      <w:pBdr>
        <w:top w:val="none" w:sz="0" w:space="0" w:color="auto"/>
        <w:left w:val="none" w:sz="0" w:space="0" w:color="auto"/>
        <w:bottom w:val="none" w:sz="0" w:space="0" w:color="auto"/>
        <w:right w:val="none" w:sz="0" w:space="0" w:color="auto"/>
        <w:between w:val="none" w:sz="0" w:space="0" w:color="auto"/>
      </w:pBdr>
      <w:spacing w:after="100" w:line="259" w:lineRule="auto"/>
      <w:ind w:left="880"/>
    </w:pPr>
    <w:rPr>
      <w:rFonts w:asciiTheme="minorHAnsi" w:eastAsiaTheme="minorEastAsia" w:hAnsiTheme="minorHAnsi" w:cstheme="minorBidi"/>
      <w:color w:val="auto"/>
      <w:lang w:val="en-ZA"/>
    </w:rPr>
  </w:style>
  <w:style w:type="paragraph" w:styleId="TOC6">
    <w:name w:val="toc 6"/>
    <w:basedOn w:val="Normal"/>
    <w:next w:val="Normal"/>
    <w:autoRedefine/>
    <w:uiPriority w:val="39"/>
    <w:unhideWhenUsed/>
    <w:rsid w:val="001D6815"/>
    <w:pPr>
      <w:pBdr>
        <w:top w:val="none" w:sz="0" w:space="0" w:color="auto"/>
        <w:left w:val="none" w:sz="0" w:space="0" w:color="auto"/>
        <w:bottom w:val="none" w:sz="0" w:space="0" w:color="auto"/>
        <w:right w:val="none" w:sz="0" w:space="0" w:color="auto"/>
        <w:between w:val="none" w:sz="0" w:space="0" w:color="auto"/>
      </w:pBdr>
      <w:spacing w:after="100" w:line="259" w:lineRule="auto"/>
      <w:ind w:left="1100"/>
    </w:pPr>
    <w:rPr>
      <w:rFonts w:asciiTheme="minorHAnsi" w:eastAsiaTheme="minorEastAsia" w:hAnsiTheme="minorHAnsi" w:cstheme="minorBidi"/>
      <w:color w:val="auto"/>
      <w:lang w:val="en-ZA"/>
    </w:rPr>
  </w:style>
  <w:style w:type="paragraph" w:styleId="TOC7">
    <w:name w:val="toc 7"/>
    <w:basedOn w:val="Normal"/>
    <w:next w:val="Normal"/>
    <w:autoRedefine/>
    <w:uiPriority w:val="39"/>
    <w:unhideWhenUsed/>
    <w:rsid w:val="001D6815"/>
    <w:pPr>
      <w:pBdr>
        <w:top w:val="none" w:sz="0" w:space="0" w:color="auto"/>
        <w:left w:val="none" w:sz="0" w:space="0" w:color="auto"/>
        <w:bottom w:val="none" w:sz="0" w:space="0" w:color="auto"/>
        <w:right w:val="none" w:sz="0" w:space="0" w:color="auto"/>
        <w:between w:val="none" w:sz="0" w:space="0" w:color="auto"/>
      </w:pBdr>
      <w:spacing w:after="100" w:line="259" w:lineRule="auto"/>
      <w:ind w:left="1320"/>
    </w:pPr>
    <w:rPr>
      <w:rFonts w:asciiTheme="minorHAnsi" w:eastAsiaTheme="minorEastAsia" w:hAnsiTheme="minorHAnsi" w:cstheme="minorBidi"/>
      <w:color w:val="auto"/>
      <w:lang w:val="en-ZA"/>
    </w:rPr>
  </w:style>
  <w:style w:type="paragraph" w:styleId="TOC8">
    <w:name w:val="toc 8"/>
    <w:basedOn w:val="Normal"/>
    <w:next w:val="Normal"/>
    <w:autoRedefine/>
    <w:uiPriority w:val="39"/>
    <w:unhideWhenUsed/>
    <w:rsid w:val="001D6815"/>
    <w:pPr>
      <w:pBdr>
        <w:top w:val="none" w:sz="0" w:space="0" w:color="auto"/>
        <w:left w:val="none" w:sz="0" w:space="0" w:color="auto"/>
        <w:bottom w:val="none" w:sz="0" w:space="0" w:color="auto"/>
        <w:right w:val="none" w:sz="0" w:space="0" w:color="auto"/>
        <w:between w:val="none" w:sz="0" w:space="0" w:color="auto"/>
      </w:pBdr>
      <w:spacing w:after="100" w:line="259" w:lineRule="auto"/>
      <w:ind w:left="1540"/>
    </w:pPr>
    <w:rPr>
      <w:rFonts w:asciiTheme="minorHAnsi" w:eastAsiaTheme="minorEastAsia" w:hAnsiTheme="minorHAnsi" w:cstheme="minorBidi"/>
      <w:color w:val="auto"/>
      <w:lang w:val="en-ZA"/>
    </w:rPr>
  </w:style>
  <w:style w:type="paragraph" w:styleId="TOC9">
    <w:name w:val="toc 9"/>
    <w:basedOn w:val="Normal"/>
    <w:next w:val="Normal"/>
    <w:autoRedefine/>
    <w:uiPriority w:val="39"/>
    <w:unhideWhenUsed/>
    <w:rsid w:val="001D6815"/>
    <w:pPr>
      <w:pBdr>
        <w:top w:val="none" w:sz="0" w:space="0" w:color="auto"/>
        <w:left w:val="none" w:sz="0" w:space="0" w:color="auto"/>
        <w:bottom w:val="none" w:sz="0" w:space="0" w:color="auto"/>
        <w:right w:val="none" w:sz="0" w:space="0" w:color="auto"/>
        <w:between w:val="none" w:sz="0" w:space="0" w:color="auto"/>
      </w:pBdr>
      <w:spacing w:after="100" w:line="259" w:lineRule="auto"/>
      <w:ind w:left="1760"/>
    </w:pPr>
    <w:rPr>
      <w:rFonts w:asciiTheme="minorHAnsi" w:eastAsiaTheme="minorEastAsia" w:hAnsiTheme="minorHAnsi" w:cstheme="minorBidi"/>
      <w:color w:val="auto"/>
      <w:lang w:val="en-ZA"/>
    </w:rPr>
  </w:style>
  <w:style w:type="character" w:customStyle="1" w:styleId="Heading8Char">
    <w:name w:val="Heading 8 Char"/>
    <w:basedOn w:val="DefaultParagraphFont"/>
    <w:link w:val="Heading8"/>
    <w:uiPriority w:val="99"/>
    <w:rsid w:val="001D6815"/>
    <w:rPr>
      <w:rFonts w:eastAsia="MS Mincho" w:cs="Times New Roman"/>
      <w:snapToGrid w:val="0"/>
      <w:color w:val="auto"/>
      <w:u w:val="single"/>
      <w:lang w:val="en-US" w:eastAsia="en-US"/>
    </w:rPr>
  </w:style>
  <w:style w:type="paragraph" w:customStyle="1" w:styleId="CH2">
    <w:name w:val="CH2"/>
    <w:basedOn w:val="Normal"/>
    <w:next w:val="Normal"/>
    <w:link w:val="CH2Char"/>
    <w:rsid w:val="001D6815"/>
    <w:pPr>
      <w:keepNext/>
      <w:keepLines/>
      <w:pBdr>
        <w:top w:val="none" w:sz="0" w:space="0" w:color="auto"/>
        <w:left w:val="none" w:sz="0" w:space="0" w:color="auto"/>
        <w:bottom w:val="none" w:sz="0" w:space="0" w:color="auto"/>
        <w:right w:val="none" w:sz="0" w:space="0" w:color="auto"/>
        <w:between w:val="none" w:sz="0" w:space="0" w:color="auto"/>
      </w:pBdr>
      <w:tabs>
        <w:tab w:val="right" w:pos="851"/>
        <w:tab w:val="left" w:pos="1247"/>
        <w:tab w:val="left" w:pos="1814"/>
        <w:tab w:val="left" w:pos="2381"/>
        <w:tab w:val="left" w:pos="2948"/>
        <w:tab w:val="left" w:pos="3515"/>
        <w:tab w:val="left" w:pos="4082"/>
      </w:tabs>
      <w:suppressAutoHyphens/>
      <w:spacing w:before="80" w:after="120"/>
      <w:ind w:left="1247" w:right="284" w:hanging="1247"/>
    </w:pPr>
    <w:rPr>
      <w:rFonts w:ascii="Times New Roman" w:eastAsia="Times New Roman" w:hAnsi="Times New Roman" w:cs="Times New Roman"/>
      <w:b/>
      <w:color w:val="auto"/>
      <w:sz w:val="24"/>
      <w:szCs w:val="24"/>
      <w:lang w:eastAsia="en-US"/>
    </w:rPr>
  </w:style>
  <w:style w:type="paragraph" w:customStyle="1" w:styleId="Normal-pool">
    <w:name w:val="Normal-pool"/>
    <w:link w:val="Normal-poolChar"/>
    <w:qFormat/>
    <w:rsid w:val="001D6815"/>
    <w:pPr>
      <w:pBdr>
        <w:top w:val="none" w:sz="0" w:space="0" w:color="auto"/>
        <w:left w:val="none" w:sz="0" w:space="0" w:color="auto"/>
        <w:bottom w:val="none" w:sz="0" w:space="0" w:color="auto"/>
        <w:right w:val="none" w:sz="0" w:space="0" w:color="auto"/>
        <w:between w:val="none" w:sz="0" w:space="0" w:color="auto"/>
      </w:pBdr>
      <w:tabs>
        <w:tab w:val="left" w:pos="1247"/>
        <w:tab w:val="left" w:pos="1814"/>
        <w:tab w:val="left" w:pos="2381"/>
        <w:tab w:val="left" w:pos="2948"/>
        <w:tab w:val="left" w:pos="3515"/>
        <w:tab w:val="left" w:pos="4082"/>
      </w:tabs>
    </w:pPr>
    <w:rPr>
      <w:rFonts w:ascii="Times New Roman" w:eastAsia="Times New Roman" w:hAnsi="Times New Roman" w:cs="Times New Roman"/>
      <w:color w:val="auto"/>
      <w:sz w:val="20"/>
      <w:szCs w:val="20"/>
      <w:lang w:eastAsia="en-US"/>
    </w:rPr>
  </w:style>
  <w:style w:type="character" w:customStyle="1" w:styleId="Normal-poolChar">
    <w:name w:val="Normal-pool Char"/>
    <w:link w:val="Normal-pool"/>
    <w:rsid w:val="001D6815"/>
    <w:rPr>
      <w:rFonts w:ascii="Times New Roman" w:eastAsia="Times New Roman" w:hAnsi="Times New Roman" w:cs="Times New Roman"/>
      <w:color w:val="auto"/>
      <w:sz w:val="20"/>
      <w:szCs w:val="20"/>
      <w:lang w:eastAsia="en-US"/>
    </w:rPr>
  </w:style>
  <w:style w:type="character" w:customStyle="1" w:styleId="CH2Char">
    <w:name w:val="CH2 Char"/>
    <w:link w:val="CH2"/>
    <w:rsid w:val="001D6815"/>
    <w:rPr>
      <w:rFonts w:ascii="Times New Roman" w:eastAsia="Times New Roman" w:hAnsi="Times New Roman" w:cs="Times New Roman"/>
      <w:b/>
      <w:color w:val="auto"/>
      <w:sz w:val="24"/>
      <w:szCs w:val="24"/>
      <w:lang w:eastAsia="en-US"/>
    </w:rPr>
  </w:style>
  <w:style w:type="paragraph" w:customStyle="1" w:styleId="ZZAnxheader">
    <w:name w:val="ZZ_Anx_header"/>
    <w:basedOn w:val="Normal"/>
    <w:rsid w:val="001D6815"/>
    <w:pPr>
      <w:pBdr>
        <w:top w:val="none" w:sz="0" w:space="0" w:color="auto"/>
        <w:left w:val="none" w:sz="0" w:space="0" w:color="auto"/>
        <w:bottom w:val="none" w:sz="0" w:space="0" w:color="auto"/>
        <w:right w:val="none" w:sz="0" w:space="0" w:color="auto"/>
        <w:between w:val="none" w:sz="0" w:space="0" w:color="auto"/>
      </w:pBdr>
      <w:tabs>
        <w:tab w:val="left" w:pos="1247"/>
        <w:tab w:val="left" w:pos="1814"/>
        <w:tab w:val="left" w:pos="2381"/>
        <w:tab w:val="left" w:pos="2948"/>
        <w:tab w:val="left" w:pos="3515"/>
        <w:tab w:val="left" w:pos="4082"/>
      </w:tabs>
    </w:pPr>
    <w:rPr>
      <w:rFonts w:ascii="Times New Roman" w:eastAsia="Times New Roman" w:hAnsi="Times New Roman" w:cs="Times New Roman"/>
      <w:b/>
      <w:bCs/>
      <w:color w:val="auto"/>
      <w:sz w:val="28"/>
      <w:lang w:eastAsia="en-US"/>
    </w:rPr>
  </w:style>
  <w:style w:type="paragraph" w:customStyle="1" w:styleId="Normalnumber">
    <w:name w:val="Normal_number"/>
    <w:basedOn w:val="Normal"/>
    <w:link w:val="NormalnumberChar"/>
    <w:qFormat/>
    <w:rsid w:val="001D6815"/>
    <w:pPr>
      <w:pBdr>
        <w:top w:val="none" w:sz="0" w:space="0" w:color="auto"/>
        <w:left w:val="none" w:sz="0" w:space="0" w:color="auto"/>
        <w:bottom w:val="none" w:sz="0" w:space="0" w:color="auto"/>
        <w:right w:val="none" w:sz="0" w:space="0" w:color="auto"/>
        <w:between w:val="none" w:sz="0" w:space="0" w:color="auto"/>
      </w:pBdr>
      <w:tabs>
        <w:tab w:val="left" w:pos="624"/>
      </w:tabs>
      <w:spacing w:after="120"/>
    </w:pPr>
    <w:rPr>
      <w:rFonts w:ascii="Times New Roman" w:eastAsia="Times New Roman" w:hAnsi="Times New Roman" w:cs="Times New Roman"/>
      <w:color w:val="auto"/>
      <w:sz w:val="20"/>
      <w:szCs w:val="20"/>
      <w:lang w:eastAsia="en-US"/>
    </w:rPr>
  </w:style>
  <w:style w:type="character" w:customStyle="1" w:styleId="NormalnumberChar">
    <w:name w:val="Normal_number Char"/>
    <w:link w:val="Normalnumber"/>
    <w:rsid w:val="001D6815"/>
    <w:rPr>
      <w:rFonts w:ascii="Times New Roman" w:eastAsia="Times New Roman" w:hAnsi="Times New Roman" w:cs="Times New Roman"/>
      <w:color w:val="auto"/>
      <w:sz w:val="20"/>
      <w:szCs w:val="20"/>
      <w:lang w:eastAsia="en-US"/>
    </w:rPr>
  </w:style>
  <w:style w:type="paragraph" w:customStyle="1" w:styleId="AATitle">
    <w:name w:val="AA_Title"/>
    <w:basedOn w:val="Normal"/>
    <w:rsid w:val="001D6815"/>
    <w:pPr>
      <w:keepNext/>
      <w:keepLines/>
      <w:pBdr>
        <w:top w:val="none" w:sz="0" w:space="0" w:color="auto"/>
        <w:left w:val="none" w:sz="0" w:space="0" w:color="auto"/>
        <w:bottom w:val="none" w:sz="0" w:space="0" w:color="auto"/>
        <w:right w:val="none" w:sz="0" w:space="0" w:color="auto"/>
        <w:between w:val="none" w:sz="0" w:space="0" w:color="auto"/>
      </w:pBdr>
      <w:tabs>
        <w:tab w:val="left" w:pos="1247"/>
        <w:tab w:val="left" w:pos="1814"/>
        <w:tab w:val="left" w:pos="2381"/>
        <w:tab w:val="left" w:pos="2948"/>
        <w:tab w:val="left" w:pos="3515"/>
        <w:tab w:val="left" w:pos="4082"/>
      </w:tabs>
      <w:suppressAutoHyphens/>
      <w:ind w:right="5103"/>
    </w:pPr>
    <w:rPr>
      <w:rFonts w:ascii="Times New Roman" w:eastAsia="Times New Roman" w:hAnsi="Times New Roman" w:cs="Times New Roman"/>
      <w:b/>
      <w:color w:val="auto"/>
      <w:sz w:val="20"/>
      <w:szCs w:val="20"/>
      <w:lang w:eastAsia="en-US"/>
    </w:rPr>
  </w:style>
  <w:style w:type="paragraph" w:customStyle="1" w:styleId="AATitle2">
    <w:name w:val="AA_Title2"/>
    <w:basedOn w:val="AATitle"/>
    <w:rsid w:val="001D6815"/>
    <w:pPr>
      <w:tabs>
        <w:tab w:val="clear" w:pos="4082"/>
      </w:tabs>
      <w:spacing w:before="60" w:after="60"/>
      <w:ind w:right="4536"/>
    </w:pPr>
  </w:style>
  <w:style w:type="paragraph" w:customStyle="1" w:styleId="BBTitle">
    <w:name w:val="BB_Title"/>
    <w:basedOn w:val="Normal"/>
    <w:rsid w:val="001D6815"/>
    <w:pPr>
      <w:keepNext/>
      <w:keepLines/>
      <w:pBdr>
        <w:top w:val="none" w:sz="0" w:space="0" w:color="auto"/>
        <w:left w:val="none" w:sz="0" w:space="0" w:color="auto"/>
        <w:bottom w:val="none" w:sz="0" w:space="0" w:color="auto"/>
        <w:right w:val="none" w:sz="0" w:space="0" w:color="auto"/>
        <w:between w:val="none" w:sz="0" w:space="0" w:color="auto"/>
      </w:pBdr>
      <w:tabs>
        <w:tab w:val="left" w:pos="1247"/>
        <w:tab w:val="left" w:pos="1814"/>
        <w:tab w:val="left" w:pos="2381"/>
        <w:tab w:val="left" w:pos="2948"/>
        <w:tab w:val="left" w:pos="3515"/>
        <w:tab w:val="left" w:pos="4082"/>
      </w:tabs>
      <w:suppressAutoHyphens/>
      <w:spacing w:before="320" w:after="240"/>
      <w:ind w:left="1247" w:right="567"/>
    </w:pPr>
    <w:rPr>
      <w:rFonts w:ascii="Times New Roman" w:eastAsia="Times New Roman" w:hAnsi="Times New Roman" w:cs="Times New Roman"/>
      <w:b/>
      <w:color w:val="auto"/>
      <w:sz w:val="28"/>
      <w:szCs w:val="28"/>
      <w:lang w:eastAsia="en-US"/>
    </w:rPr>
  </w:style>
  <w:style w:type="paragraph" w:customStyle="1" w:styleId="IPBES1">
    <w:name w:val="IPBES 1"/>
    <w:basedOn w:val="Heading1"/>
    <w:link w:val="IPBES1Char"/>
    <w:qFormat/>
    <w:rsid w:val="001D6815"/>
    <w:pPr>
      <w:spacing w:before="0" w:after="240"/>
      <w:ind w:left="0" w:firstLine="0"/>
    </w:pPr>
    <w:rPr>
      <w:sz w:val="28"/>
    </w:rPr>
  </w:style>
  <w:style w:type="character" w:customStyle="1" w:styleId="IPBES1Char">
    <w:name w:val="IPBES 1 Char"/>
    <w:basedOn w:val="Heading1Char"/>
    <w:link w:val="IPBES1"/>
    <w:rsid w:val="001D6815"/>
    <w:rPr>
      <w:rFonts w:ascii="Times New Roman" w:eastAsia="Times New Roman" w:hAnsi="Times New Roman" w:cs="Times New Roman"/>
      <w:b/>
      <w:sz w:val="28"/>
      <w:szCs w:val="32"/>
    </w:rPr>
  </w:style>
  <w:style w:type="character" w:customStyle="1" w:styleId="BibRef">
    <w:name w:val="BibRef"/>
    <w:qFormat/>
    <w:rsid w:val="00F548C4"/>
    <w:rPr>
      <w:rFonts w:ascii="Times New Roman" w:hAnsi="Times New Roman"/>
      <w:color w:val="FF00FF"/>
      <w:sz w:val="20"/>
      <w:szCs w:val="20"/>
      <w:highlight w:val="white"/>
    </w:rPr>
  </w:style>
  <w:style w:type="paragraph" w:customStyle="1" w:styleId="BodyA">
    <w:name w:val="Body A"/>
    <w:uiPriority w:val="99"/>
    <w:rsid w:val="00F548C4"/>
    <w:pPr>
      <w:pBdr>
        <w:bar w:val="nil"/>
      </w:pBdr>
      <w:spacing w:after="160" w:line="259" w:lineRule="auto"/>
    </w:pPr>
    <w:rPr>
      <w:u w:color="000000"/>
      <w:bdr w:val="nil"/>
      <w:lang w:val="en-US" w:eastAsia="da-DK"/>
    </w:rPr>
  </w:style>
  <w:style w:type="character" w:customStyle="1" w:styleId="None">
    <w:name w:val="None"/>
    <w:rsid w:val="00F548C4"/>
  </w:style>
  <w:style w:type="character" w:customStyle="1" w:styleId="Hyperlink0">
    <w:name w:val="Hyperlink.0"/>
    <w:basedOn w:val="None"/>
    <w:rsid w:val="00F548C4"/>
    <w:rPr>
      <w:lang w:val="en-US"/>
    </w:rPr>
  </w:style>
  <w:style w:type="paragraph" w:customStyle="1" w:styleId="NormalPlain">
    <w:name w:val="Normal_Plain"/>
    <w:basedOn w:val="Normal"/>
    <w:uiPriority w:val="99"/>
    <w:qFormat/>
    <w:rsid w:val="0072755B"/>
    <w:pPr>
      <w:pBdr>
        <w:top w:val="none" w:sz="0" w:space="0" w:color="auto"/>
        <w:left w:val="none" w:sz="0" w:space="0" w:color="auto"/>
        <w:bottom w:val="none" w:sz="0" w:space="0" w:color="auto"/>
        <w:right w:val="none" w:sz="0" w:space="0" w:color="auto"/>
        <w:between w:val="none" w:sz="0" w:space="0" w:color="auto"/>
      </w:pBdr>
      <w:ind w:left="1260"/>
    </w:pPr>
    <w:rPr>
      <w:rFonts w:ascii="Times New Roman" w:eastAsia="MS Mincho" w:hAnsi="Times New Roman" w:cs="Times New Roman"/>
      <w:color w:val="auto"/>
      <w:sz w:val="20"/>
      <w:szCs w:val="20"/>
      <w:lang w:eastAsia="ko-KR"/>
    </w:rPr>
  </w:style>
  <w:style w:type="table" w:styleId="PlainTable1">
    <w:name w:val="Plain Table 1"/>
    <w:basedOn w:val="TableNormal"/>
    <w:uiPriority w:val="99"/>
    <w:rsid w:val="0017203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basedOn w:val="TableNormal"/>
    <w:next w:val="TableGrid"/>
    <w:uiPriority w:val="39"/>
    <w:rsid w:val="006D5E4E"/>
    <w:pPr>
      <w:pBdr>
        <w:top w:val="none" w:sz="0" w:space="0" w:color="auto"/>
        <w:left w:val="none" w:sz="0" w:space="0" w:color="auto"/>
        <w:bottom w:val="none" w:sz="0" w:space="0" w:color="auto"/>
        <w:right w:val="none" w:sz="0" w:space="0" w:color="auto"/>
        <w:between w:val="none" w:sz="0" w:space="0" w:color="auto"/>
      </w:pBdr>
    </w:pPr>
    <w:rPr>
      <w:rFonts w:asciiTheme="minorHAnsi" w:eastAsiaTheme="minorHAnsi" w:hAnsiTheme="minorHAnsi" w:cstheme="minorBidi"/>
      <w:color w:val="auto"/>
      <w:lang w:val="en-ZA"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docright">
    <w:name w:val="Table_doc_right"/>
    <w:basedOn w:val="TableNormal"/>
    <w:rsid w:val="00504B85"/>
    <w:pPr>
      <w:pBdr>
        <w:top w:val="none" w:sz="0" w:space="0" w:color="auto"/>
        <w:left w:val="none" w:sz="0" w:space="0" w:color="auto"/>
        <w:bottom w:val="none" w:sz="0" w:space="0" w:color="auto"/>
        <w:right w:val="none" w:sz="0" w:space="0" w:color="auto"/>
        <w:between w:val="none" w:sz="0" w:space="0" w:color="auto"/>
      </w:pBdr>
      <w:spacing w:before="40" w:after="40"/>
    </w:pPr>
    <w:rPr>
      <w:rFonts w:ascii="Times New Roman" w:eastAsia="Times New Roman" w:hAnsi="Times New Roman" w:cs="Times New Roman"/>
      <w:color w:val="auto"/>
      <w:sz w:val="18"/>
      <w:szCs w:val="18"/>
      <w:lang w:val="en-US" w:eastAsia="en-US"/>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numbering" w:customStyle="1" w:styleId="Normallist">
    <w:name w:val="Normal_list"/>
    <w:basedOn w:val="NoList"/>
    <w:rsid w:val="00514333"/>
    <w:pPr>
      <w:numPr>
        <w:numId w:val="14"/>
      </w:numPr>
    </w:pPr>
  </w:style>
  <w:style w:type="character" w:customStyle="1" w:styleId="UnresolvedMention1">
    <w:name w:val="Unresolved Mention1"/>
    <w:basedOn w:val="DefaultParagraphFont"/>
    <w:uiPriority w:val="99"/>
    <w:semiHidden/>
    <w:unhideWhenUsed/>
    <w:rsid w:val="00A86954"/>
    <w:rPr>
      <w:color w:val="808080"/>
      <w:shd w:val="clear" w:color="auto" w:fill="E6E6E6"/>
    </w:rPr>
  </w:style>
  <w:style w:type="paragraph" w:customStyle="1" w:styleId="ZZAnxtitle">
    <w:name w:val="ZZ_Anx_title"/>
    <w:basedOn w:val="Normal-pool"/>
    <w:rsid w:val="0098513E"/>
    <w:pPr>
      <w:tabs>
        <w:tab w:val="clear" w:pos="4082"/>
      </w:tabs>
      <w:spacing w:before="360" w:after="120"/>
      <w:ind w:left="1247"/>
    </w:pPr>
    <w:rPr>
      <w:b/>
      <w:bCs/>
      <w:sz w:val="28"/>
      <w:szCs w:val="26"/>
    </w:rPr>
  </w:style>
  <w:style w:type="character" w:styleId="HTMLCite">
    <w:name w:val="HTML Cite"/>
    <w:basedOn w:val="DefaultParagraphFont"/>
    <w:uiPriority w:val="99"/>
    <w:semiHidden/>
    <w:unhideWhenUsed/>
    <w:rsid w:val="00136FA9"/>
    <w:rPr>
      <w:i/>
      <w:iCs/>
    </w:rPr>
  </w:style>
  <w:style w:type="character" w:styleId="FollowedHyperlink">
    <w:name w:val="FollowedHyperlink"/>
    <w:basedOn w:val="DefaultParagraphFont"/>
    <w:uiPriority w:val="99"/>
    <w:semiHidden/>
    <w:unhideWhenUsed/>
    <w:rsid w:val="00E57852"/>
    <w:rPr>
      <w:color w:val="954F72" w:themeColor="followedHyperlink"/>
      <w:u w:val="single"/>
    </w:rPr>
  </w:style>
  <w:style w:type="character" w:styleId="PlaceholderText">
    <w:name w:val="Placeholder Text"/>
    <w:basedOn w:val="DefaultParagraphFont"/>
    <w:uiPriority w:val="99"/>
    <w:semiHidden/>
    <w:rsid w:val="00E57852"/>
    <w:rPr>
      <w:color w:val="808080"/>
    </w:rPr>
  </w:style>
  <w:style w:type="character" w:customStyle="1" w:styleId="resourcedetailtablecellvalue">
    <w:name w:val="resourcedetailtablecellvalue"/>
    <w:basedOn w:val="DefaultParagraphFont"/>
    <w:rsid w:val="00825FC2"/>
  </w:style>
  <w:style w:type="character" w:customStyle="1" w:styleId="bibliographic-informationvalue">
    <w:name w:val="bibliographic-information__value"/>
    <w:basedOn w:val="DefaultParagraphFont"/>
    <w:rsid w:val="00AC55F7"/>
  </w:style>
  <w:style w:type="character" w:customStyle="1" w:styleId="notranslate">
    <w:name w:val="notranslate"/>
    <w:basedOn w:val="DefaultParagraphFont"/>
    <w:rsid w:val="0026271E"/>
  </w:style>
  <w:style w:type="character" w:customStyle="1" w:styleId="HTMLPreformattedChar1">
    <w:name w:val="HTML Preformatted Char1"/>
    <w:basedOn w:val="DefaultParagraphFont"/>
    <w:uiPriority w:val="99"/>
    <w:semiHidden/>
    <w:rsid w:val="009B0448"/>
    <w:rPr>
      <w:rFonts w:ascii="Consolas" w:hAnsi="Consolas" w:cs="Consolas" w:hint="default"/>
      <w:sz w:val="20"/>
      <w:szCs w:val="20"/>
    </w:rPr>
  </w:style>
  <w:style w:type="character" w:customStyle="1" w:styleId="DocumentMapChar1">
    <w:name w:val="Document Map Char1"/>
    <w:basedOn w:val="DefaultParagraphFont"/>
    <w:uiPriority w:val="99"/>
    <w:semiHidden/>
    <w:rsid w:val="009B0448"/>
    <w:rPr>
      <w:rFonts w:ascii="Segoe UI" w:hAnsi="Segoe UI" w:cs="Segoe UI" w:hint="default"/>
      <w:sz w:val="16"/>
      <w:szCs w:val="16"/>
    </w:rPr>
  </w:style>
  <w:style w:type="numbering" w:customStyle="1" w:styleId="Normallist1">
    <w:name w:val="Normal_list1"/>
    <w:basedOn w:val="NoList"/>
    <w:rsid w:val="00455669"/>
  </w:style>
  <w:style w:type="table" w:customStyle="1" w:styleId="TableGrid2">
    <w:name w:val="Table Grid2"/>
    <w:basedOn w:val="TableNormal"/>
    <w:next w:val="TableGrid"/>
    <w:uiPriority w:val="39"/>
    <w:rsid w:val="00455669"/>
    <w:pPr>
      <w:pBdr>
        <w:top w:val="none" w:sz="0" w:space="0" w:color="auto"/>
        <w:left w:val="none" w:sz="0" w:space="0" w:color="auto"/>
        <w:bottom w:val="none" w:sz="0" w:space="0" w:color="auto"/>
        <w:right w:val="none" w:sz="0" w:space="0" w:color="auto"/>
        <w:between w:val="none" w:sz="0" w:space="0" w:color="auto"/>
      </w:pBdr>
    </w:pPr>
    <w:rPr>
      <w:rFonts w:ascii="Times New Roman" w:eastAsia="Times New Roman" w:hAnsi="Times New Roman" w:cs="Times New Roman"/>
      <w:color w:val="auto"/>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A643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6666709">
      <w:bodyDiv w:val="1"/>
      <w:marLeft w:val="0"/>
      <w:marRight w:val="0"/>
      <w:marTop w:val="0"/>
      <w:marBottom w:val="0"/>
      <w:divBdr>
        <w:top w:val="none" w:sz="0" w:space="0" w:color="auto"/>
        <w:left w:val="none" w:sz="0" w:space="0" w:color="auto"/>
        <w:bottom w:val="none" w:sz="0" w:space="0" w:color="auto"/>
        <w:right w:val="none" w:sz="0" w:space="0" w:color="auto"/>
      </w:divBdr>
      <w:divsChild>
        <w:div w:id="355010374">
          <w:marLeft w:val="0"/>
          <w:marRight w:val="0"/>
          <w:marTop w:val="0"/>
          <w:marBottom w:val="0"/>
          <w:divBdr>
            <w:top w:val="none" w:sz="0" w:space="0" w:color="auto"/>
            <w:left w:val="none" w:sz="0" w:space="0" w:color="auto"/>
            <w:bottom w:val="none" w:sz="0" w:space="0" w:color="auto"/>
            <w:right w:val="none" w:sz="0" w:space="0" w:color="auto"/>
          </w:divBdr>
        </w:div>
      </w:divsChild>
    </w:div>
    <w:div w:id="663432911">
      <w:bodyDiv w:val="1"/>
      <w:marLeft w:val="0"/>
      <w:marRight w:val="0"/>
      <w:marTop w:val="0"/>
      <w:marBottom w:val="0"/>
      <w:divBdr>
        <w:top w:val="none" w:sz="0" w:space="0" w:color="auto"/>
        <w:left w:val="none" w:sz="0" w:space="0" w:color="auto"/>
        <w:bottom w:val="none" w:sz="0" w:space="0" w:color="auto"/>
        <w:right w:val="none" w:sz="0" w:space="0" w:color="auto"/>
      </w:divBdr>
    </w:div>
    <w:div w:id="877474851">
      <w:bodyDiv w:val="1"/>
      <w:marLeft w:val="0"/>
      <w:marRight w:val="0"/>
      <w:marTop w:val="0"/>
      <w:marBottom w:val="0"/>
      <w:divBdr>
        <w:top w:val="none" w:sz="0" w:space="0" w:color="auto"/>
        <w:left w:val="none" w:sz="0" w:space="0" w:color="auto"/>
        <w:bottom w:val="none" w:sz="0" w:space="0" w:color="auto"/>
        <w:right w:val="none" w:sz="0" w:space="0" w:color="auto"/>
      </w:divBdr>
    </w:div>
    <w:div w:id="1002392403">
      <w:bodyDiv w:val="1"/>
      <w:marLeft w:val="0"/>
      <w:marRight w:val="0"/>
      <w:marTop w:val="0"/>
      <w:marBottom w:val="0"/>
      <w:divBdr>
        <w:top w:val="none" w:sz="0" w:space="0" w:color="auto"/>
        <w:left w:val="none" w:sz="0" w:space="0" w:color="auto"/>
        <w:bottom w:val="none" w:sz="0" w:space="0" w:color="auto"/>
        <w:right w:val="none" w:sz="0" w:space="0" w:color="auto"/>
      </w:divBdr>
    </w:div>
    <w:div w:id="1034890845">
      <w:bodyDiv w:val="1"/>
      <w:marLeft w:val="0"/>
      <w:marRight w:val="0"/>
      <w:marTop w:val="0"/>
      <w:marBottom w:val="0"/>
      <w:divBdr>
        <w:top w:val="none" w:sz="0" w:space="0" w:color="auto"/>
        <w:left w:val="none" w:sz="0" w:space="0" w:color="auto"/>
        <w:bottom w:val="none" w:sz="0" w:space="0" w:color="auto"/>
        <w:right w:val="none" w:sz="0" w:space="0" w:color="auto"/>
      </w:divBdr>
    </w:div>
    <w:div w:id="1357997815">
      <w:bodyDiv w:val="1"/>
      <w:marLeft w:val="0"/>
      <w:marRight w:val="0"/>
      <w:marTop w:val="0"/>
      <w:marBottom w:val="0"/>
      <w:divBdr>
        <w:top w:val="none" w:sz="0" w:space="0" w:color="auto"/>
        <w:left w:val="none" w:sz="0" w:space="0" w:color="auto"/>
        <w:bottom w:val="none" w:sz="0" w:space="0" w:color="auto"/>
        <w:right w:val="none" w:sz="0" w:space="0" w:color="auto"/>
      </w:divBdr>
    </w:div>
    <w:div w:id="1386831195">
      <w:bodyDiv w:val="1"/>
      <w:marLeft w:val="240"/>
      <w:marRight w:val="240"/>
      <w:marTop w:val="240"/>
      <w:marBottom w:val="60"/>
      <w:divBdr>
        <w:top w:val="none" w:sz="0" w:space="0" w:color="auto"/>
        <w:left w:val="none" w:sz="0" w:space="0" w:color="auto"/>
        <w:bottom w:val="none" w:sz="0" w:space="0" w:color="auto"/>
        <w:right w:val="none" w:sz="0" w:space="0" w:color="auto"/>
      </w:divBdr>
      <w:divsChild>
        <w:div w:id="1638147410">
          <w:marLeft w:val="0"/>
          <w:marRight w:val="0"/>
          <w:marTop w:val="0"/>
          <w:marBottom w:val="0"/>
          <w:divBdr>
            <w:top w:val="none" w:sz="0" w:space="0" w:color="auto"/>
            <w:left w:val="none" w:sz="0" w:space="0" w:color="auto"/>
            <w:bottom w:val="single" w:sz="6" w:space="9" w:color="C8C8C8"/>
            <w:right w:val="none" w:sz="0" w:space="0" w:color="auto"/>
          </w:divBdr>
          <w:divsChild>
            <w:div w:id="996999214">
              <w:marLeft w:val="0"/>
              <w:marRight w:val="0"/>
              <w:marTop w:val="0"/>
              <w:marBottom w:val="0"/>
              <w:divBdr>
                <w:top w:val="none" w:sz="0" w:space="0" w:color="auto"/>
                <w:left w:val="none" w:sz="0" w:space="0" w:color="auto"/>
                <w:bottom w:val="single" w:sz="6" w:space="9" w:color="C8C8C8"/>
                <w:right w:val="none" w:sz="0" w:space="0" w:color="auto"/>
              </w:divBdr>
              <w:divsChild>
                <w:div w:id="1666517584">
                  <w:marLeft w:val="0"/>
                  <w:marRight w:val="0"/>
                  <w:marTop w:val="0"/>
                  <w:marBottom w:val="0"/>
                  <w:divBdr>
                    <w:top w:val="none" w:sz="0" w:space="0" w:color="auto"/>
                    <w:left w:val="none" w:sz="0" w:space="0" w:color="auto"/>
                    <w:bottom w:val="none" w:sz="0" w:space="0" w:color="auto"/>
                    <w:right w:val="none" w:sz="0" w:space="0" w:color="auto"/>
                  </w:divBdr>
                  <w:divsChild>
                    <w:div w:id="872887576">
                      <w:marLeft w:val="480"/>
                      <w:marRight w:val="0"/>
                      <w:marTop w:val="0"/>
                      <w:marBottom w:val="0"/>
                      <w:divBdr>
                        <w:top w:val="none" w:sz="0" w:space="0" w:color="auto"/>
                        <w:left w:val="none" w:sz="0" w:space="0" w:color="auto"/>
                        <w:bottom w:val="none" w:sz="0" w:space="0" w:color="auto"/>
                        <w:right w:val="none" w:sz="0" w:space="0" w:color="auto"/>
                      </w:divBdr>
                      <w:divsChild>
                        <w:div w:id="63575630">
                          <w:marLeft w:val="0"/>
                          <w:marRight w:val="0"/>
                          <w:marTop w:val="0"/>
                          <w:marBottom w:val="0"/>
                          <w:divBdr>
                            <w:top w:val="none" w:sz="0" w:space="0" w:color="auto"/>
                            <w:left w:val="none" w:sz="0" w:space="0" w:color="auto"/>
                            <w:bottom w:val="none" w:sz="0" w:space="0" w:color="auto"/>
                            <w:right w:val="none" w:sz="0" w:space="0" w:color="auto"/>
                          </w:divBdr>
                        </w:div>
                        <w:div w:id="999692883">
                          <w:marLeft w:val="0"/>
                          <w:marRight w:val="0"/>
                          <w:marTop w:val="0"/>
                          <w:marBottom w:val="0"/>
                          <w:divBdr>
                            <w:top w:val="none" w:sz="0" w:space="0" w:color="auto"/>
                            <w:left w:val="none" w:sz="0" w:space="0" w:color="auto"/>
                            <w:bottom w:val="none" w:sz="0" w:space="0" w:color="auto"/>
                            <w:right w:val="none" w:sz="0" w:space="0" w:color="auto"/>
                          </w:divBdr>
                        </w:div>
                        <w:div w:id="1495219818">
                          <w:marLeft w:val="0"/>
                          <w:marRight w:val="0"/>
                          <w:marTop w:val="0"/>
                          <w:marBottom w:val="0"/>
                          <w:divBdr>
                            <w:top w:val="none" w:sz="0" w:space="0" w:color="auto"/>
                            <w:left w:val="none" w:sz="0" w:space="0" w:color="auto"/>
                            <w:bottom w:val="none" w:sz="0" w:space="0" w:color="auto"/>
                            <w:right w:val="none" w:sz="0" w:space="0" w:color="auto"/>
                          </w:divBdr>
                        </w:div>
                        <w:div w:id="182655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7630627">
      <w:bodyDiv w:val="1"/>
      <w:marLeft w:val="0"/>
      <w:marRight w:val="0"/>
      <w:marTop w:val="0"/>
      <w:marBottom w:val="0"/>
      <w:divBdr>
        <w:top w:val="none" w:sz="0" w:space="0" w:color="auto"/>
        <w:left w:val="none" w:sz="0" w:space="0" w:color="auto"/>
        <w:bottom w:val="none" w:sz="0" w:space="0" w:color="auto"/>
        <w:right w:val="none" w:sz="0" w:space="0" w:color="auto"/>
      </w:divBdr>
    </w:div>
    <w:div w:id="1694650773">
      <w:bodyDiv w:val="1"/>
      <w:marLeft w:val="0"/>
      <w:marRight w:val="0"/>
      <w:marTop w:val="0"/>
      <w:marBottom w:val="0"/>
      <w:divBdr>
        <w:top w:val="none" w:sz="0" w:space="0" w:color="auto"/>
        <w:left w:val="none" w:sz="0" w:space="0" w:color="auto"/>
        <w:bottom w:val="none" w:sz="0" w:space="0" w:color="auto"/>
        <w:right w:val="none" w:sz="0" w:space="0" w:color="auto"/>
      </w:divBdr>
    </w:div>
    <w:div w:id="1758552534">
      <w:bodyDiv w:val="1"/>
      <w:marLeft w:val="0"/>
      <w:marRight w:val="0"/>
      <w:marTop w:val="0"/>
      <w:marBottom w:val="0"/>
      <w:divBdr>
        <w:top w:val="none" w:sz="0" w:space="0" w:color="auto"/>
        <w:left w:val="none" w:sz="0" w:space="0" w:color="auto"/>
        <w:bottom w:val="none" w:sz="0" w:space="0" w:color="auto"/>
        <w:right w:val="none" w:sz="0" w:space="0" w:color="auto"/>
      </w:divBdr>
    </w:div>
    <w:div w:id="1920822592">
      <w:bodyDiv w:val="1"/>
      <w:marLeft w:val="0"/>
      <w:marRight w:val="0"/>
      <w:marTop w:val="0"/>
      <w:marBottom w:val="0"/>
      <w:divBdr>
        <w:top w:val="none" w:sz="0" w:space="0" w:color="auto"/>
        <w:left w:val="none" w:sz="0" w:space="0" w:color="auto"/>
        <w:bottom w:val="none" w:sz="0" w:space="0" w:color="auto"/>
        <w:right w:val="none" w:sz="0" w:space="0" w:color="auto"/>
      </w:divBdr>
    </w:div>
    <w:div w:id="19805276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www.ifad.org/documents/10180/a314bc61-46ff-4df0-be1a-a9cc9ad1b3e9" TargetMode="External"/><Relationship Id="rId1827" Type="http://schemas.openxmlformats.org/officeDocument/2006/relationships/hyperlink" Target="http://www.cms.int/sites/default/files/instrument/CMS-text.en_.PDF" TargetMode="External"/><Relationship Id="rId21" Type="http://schemas.openxmlformats.org/officeDocument/2006/relationships/footer" Target="footer2.xml"/><Relationship Id="rId170" Type="http://schemas.openxmlformats.org/officeDocument/2006/relationships/hyperlink" Target="https://doi.org/10.1007/978-94-017-9609-5_12" TargetMode="External"/><Relationship Id="rId268" Type="http://schemas.openxmlformats.org/officeDocument/2006/relationships/hyperlink" Target="https://doi.org/10.1016/j.jaridenv.2009.09.019" TargetMode="External"/><Relationship Id="rId475" Type="http://schemas.openxmlformats.org/officeDocument/2006/relationships/hyperlink" Target="https://doi.org/10.1080/17565529.2013.867247" TargetMode="External"/><Relationship Id="rId682" Type="http://schemas.openxmlformats.org/officeDocument/2006/relationships/image" Target="media/image68.png"/><Relationship Id="rId128" Type="http://schemas.openxmlformats.org/officeDocument/2006/relationships/hyperlink" Target="http://documents.worldbank.org/curated/en/994551467989467774/Poverty-in-a-rising-Africa-overview" TargetMode="External"/><Relationship Id="rId335" Type="http://schemas.openxmlformats.org/officeDocument/2006/relationships/hyperlink" Target="http://hdr.undp.org/sites/default/files/reports/270/hdr_2010_en_complete_reprint.pdf" TargetMode="External"/><Relationship Id="rId542" Type="http://schemas.openxmlformats.org/officeDocument/2006/relationships/hyperlink" Target="http://www.openness-project.eu/library/reference-book" TargetMode="External"/><Relationship Id="rId987" Type="http://schemas.openxmlformats.org/officeDocument/2006/relationships/hyperlink" Target="https://doi.org/10.1111/j.1474-919X.2006.00531.x" TargetMode="External"/><Relationship Id="rId1172" Type="http://schemas.openxmlformats.org/officeDocument/2006/relationships/hyperlink" Target="https://doi.org/10.1371/journal.pone.0144512" TargetMode="External"/><Relationship Id="rId2016" Type="http://schemas.openxmlformats.org/officeDocument/2006/relationships/hyperlink" Target="http://papaco.org/wp-content/uploads/2015/04/PAPACO-study-20_GOVERNANCE-STUDY-3-FINAL-REPORT-STATE.pdf" TargetMode="External"/><Relationship Id="rId402" Type="http://schemas.openxmlformats.org/officeDocument/2006/relationships/image" Target="media/image45.png"/><Relationship Id="rId847" Type="http://schemas.openxmlformats.org/officeDocument/2006/relationships/hyperlink" Target="https://portals.iucn.org/library/node/8268" TargetMode="External"/><Relationship Id="rId1032" Type="http://schemas.openxmlformats.org/officeDocument/2006/relationships/image" Target="media/image71.JPG"/><Relationship Id="rId1477" Type="http://schemas.openxmlformats.org/officeDocument/2006/relationships/hyperlink" Target="https://doi.org/10.1098/rstb.2008.0281" TargetMode="External"/><Relationship Id="rId1684" Type="http://schemas.openxmlformats.org/officeDocument/2006/relationships/hyperlink" Target="https://doi.org/10.5751/ES-04886-170327" TargetMode="External"/><Relationship Id="rId1891" Type="http://schemas.openxmlformats.org/officeDocument/2006/relationships/hyperlink" Target="https://live-fauna-flora-international.pantheonsite.io/wp-content/uploads/old-images/FFI-2015-Biodiversity-Offsets-South-Africa.pdf" TargetMode="External"/><Relationship Id="rId707" Type="http://schemas.openxmlformats.org/officeDocument/2006/relationships/hyperlink" Target="https://doi.org/10.1017/S0030605304000055" TargetMode="External"/><Relationship Id="rId914" Type="http://schemas.openxmlformats.org/officeDocument/2006/relationships/hyperlink" Target="https://doi.org/10.1126/science.aaf2201" TargetMode="External"/><Relationship Id="rId1337" Type="http://schemas.openxmlformats.org/officeDocument/2006/relationships/hyperlink" Target="https://www.ncbi.nlm.nih.gov/pubmed/18819669" TargetMode="External"/><Relationship Id="rId1544" Type="http://schemas.openxmlformats.org/officeDocument/2006/relationships/hyperlink" Target="https://doi.org/10.1371/journal.pone.0006140" TargetMode="External"/><Relationship Id="rId1751" Type="http://schemas.openxmlformats.org/officeDocument/2006/relationships/hyperlink" Target="http://www.greatgreenwallinitiative.org" TargetMode="External"/><Relationship Id="rId1989" Type="http://schemas.openxmlformats.org/officeDocument/2006/relationships/hyperlink" Target="http://www.un.org/esa/socdev/unpfii/documents/DRIPS_en.pdf" TargetMode="External"/><Relationship Id="rId43" Type="http://schemas.openxmlformats.org/officeDocument/2006/relationships/image" Target="media/image24.JPG"/><Relationship Id="rId1404" Type="http://schemas.openxmlformats.org/officeDocument/2006/relationships/hyperlink" Target="https://doi.org/10.4314/wsa.v36i5.62001" TargetMode="External"/><Relationship Id="rId1611" Type="http://schemas.openxmlformats.org/officeDocument/2006/relationships/hyperlink" Target="https://doi.org/10.1037/arc0000014" TargetMode="External"/><Relationship Id="rId1849" Type="http://schemas.openxmlformats.org/officeDocument/2006/relationships/hyperlink" Target="https://testportals.iucn.org/library/sites/library/files/documents/PDF-2000-002.pdf" TargetMode="External"/><Relationship Id="rId192" Type="http://schemas.openxmlformats.org/officeDocument/2006/relationships/hyperlink" Target="http://hdr.undp.org/en/content/what-human-development" TargetMode="External"/><Relationship Id="rId1709" Type="http://schemas.openxmlformats.org/officeDocument/2006/relationships/hyperlink" Target="https://doi.org/:10.1515/mammalia-2015-0033" TargetMode="External"/><Relationship Id="rId1916" Type="http://schemas.openxmlformats.org/officeDocument/2006/relationships/hyperlink" Target="https://doi.org/10.1111/j.1931-0846.2010.00009.x" TargetMode="External"/><Relationship Id="rId497" Type="http://schemas.openxmlformats.org/officeDocument/2006/relationships/hyperlink" Target="https://doi.org/10.1177/194008290800100305" TargetMode="External"/><Relationship Id="rId357" Type="http://schemas.openxmlformats.org/officeDocument/2006/relationships/hyperlink" Target="https://doi.org/10.4001/003.019.0228" TargetMode="External"/><Relationship Id="rId1194" Type="http://schemas.openxmlformats.org/officeDocument/2006/relationships/hyperlink" Target="https://doi.org/10.1016/j.chemosphere.2007.03.066" TargetMode="External"/><Relationship Id="rId217" Type="http://schemas.openxmlformats.org/officeDocument/2006/relationships/hyperlink" Target="https://doi.org/10.1111/j.1461-0248.2005.00751.x" TargetMode="External"/><Relationship Id="rId564" Type="http://schemas.openxmlformats.org/officeDocument/2006/relationships/hyperlink" Target="https://doi.org/10.1098/rspb.2002.2075" TargetMode="External"/><Relationship Id="rId771" Type="http://schemas.openxmlformats.org/officeDocument/2006/relationships/hyperlink" Target="https://journals.openedition.org/sapiens/1560" TargetMode="External"/><Relationship Id="rId869" Type="http://schemas.openxmlformats.org/officeDocument/2006/relationships/hyperlink" Target="https://trove.nla.gov.au/version/44482583" TargetMode="External"/><Relationship Id="rId1499" Type="http://schemas.openxmlformats.org/officeDocument/2006/relationships/hyperlink" Target="http://hdl.handle.net/10855/21376" TargetMode="External"/><Relationship Id="rId424" Type="http://schemas.openxmlformats.org/officeDocument/2006/relationships/hyperlink" Target="https://doi.org/10.1016/S0973-0826(08)60507-4" TargetMode="External"/><Relationship Id="rId631" Type="http://schemas.openxmlformats.org/officeDocument/2006/relationships/hyperlink" Target="http://orbit.dtu.dk/files/10267141/Technologies_for_Climate_Change_Mitigation_Agriculture_for_upload.pdf" TargetMode="External"/><Relationship Id="rId729" Type="http://schemas.openxmlformats.org/officeDocument/2006/relationships/hyperlink" Target="https://www.ewt.org.za/BOP/PAVS%20PROCEEDINGS.pdf" TargetMode="External"/><Relationship Id="rId1054" Type="http://schemas.openxmlformats.org/officeDocument/2006/relationships/image" Target="media/image90.png"/><Relationship Id="rId1261" Type="http://schemas.openxmlformats.org/officeDocument/2006/relationships/hyperlink" Target="http://pure.iiasa.ac.at/6770/1/IR-02-015.pdf" TargetMode="External"/><Relationship Id="rId1359" Type="http://schemas.openxmlformats.org/officeDocument/2006/relationships/hyperlink" Target="https://doi.org/10.1007/s10531-012-0331-1" TargetMode="External"/><Relationship Id="rId936" Type="http://schemas.openxmlformats.org/officeDocument/2006/relationships/hyperlink" Target="https://doi.org/10.1016/j.dsr2.2016.05.006" TargetMode="External"/><Relationship Id="rId1121" Type="http://schemas.openxmlformats.org/officeDocument/2006/relationships/hyperlink" Target="https://www.odi.org/sites/odi.org.uk/files/odi-assets/publications-opinion-files/3894.pdf" TargetMode="External"/><Relationship Id="rId1219" Type="http://schemas.openxmlformats.org/officeDocument/2006/relationships/hyperlink" Target="https://doi.org/10.1111/j.1600-0706.2008.17167.x" TargetMode="External"/><Relationship Id="rId1566" Type="http://schemas.openxmlformats.org/officeDocument/2006/relationships/hyperlink" Target="https://doi.org/10.1029/2009GB003568" TargetMode="External"/><Relationship Id="rId1773" Type="http://schemas.openxmlformats.org/officeDocument/2006/relationships/hyperlink" Target="http://www.footprintnetwork.org/images/uploads/africa_ecological_footprint_report.pdf" TargetMode="External"/><Relationship Id="rId1980" Type="http://schemas.openxmlformats.org/officeDocument/2006/relationships/hyperlink" Target="http://www.drylands-group.org/noop/file.php?id=319" TargetMode="External"/><Relationship Id="rId65" Type="http://schemas.openxmlformats.org/officeDocument/2006/relationships/hyperlink" Target="http://89.188.43.75/agricultforest/20140628-16%20Agidie%20et%20al.pdf" TargetMode="External"/><Relationship Id="rId1426" Type="http://schemas.openxmlformats.org/officeDocument/2006/relationships/hyperlink" Target="https://doi.org/10.1016/j.biocon.2006.08.012" TargetMode="External"/><Relationship Id="rId1633" Type="http://schemas.openxmlformats.org/officeDocument/2006/relationships/hyperlink" Target="https://doi.org/10.1186/1475-2875-13-213" TargetMode="External"/><Relationship Id="rId1840" Type="http://schemas.openxmlformats.org/officeDocument/2006/relationships/hyperlink" Target="http://conferences.iaia.org/2008/pdf/IAIA08Proceedings/IAIA08ConcurrentSessions/CS6-2_Biodiversity-Mainstreaming-EIA_deVilliers.pdf" TargetMode="External"/><Relationship Id="rId1700" Type="http://schemas.openxmlformats.org/officeDocument/2006/relationships/hyperlink" Target="https://doi.org/10.1073/pnas.0601816103" TargetMode="External"/><Relationship Id="rId1938" Type="http://schemas.openxmlformats.org/officeDocument/2006/relationships/hyperlink" Target="http://www.ecologyandsociety.org/vol11/iss1/art18/" TargetMode="External"/><Relationship Id="rId281" Type="http://schemas.openxmlformats.org/officeDocument/2006/relationships/hyperlink" Target="https://doi.org/10.1126/science.269.5222.347" TargetMode="External"/><Relationship Id="rId141" Type="http://schemas.openxmlformats.org/officeDocument/2006/relationships/hyperlink" Target="https://www.odi.org/sites/odi.org.uk/files/odi-assets/publications-opinion-files/1156.pdf" TargetMode="External"/><Relationship Id="rId379" Type="http://schemas.openxmlformats.org/officeDocument/2006/relationships/hyperlink" Target="http://documents.worldbank.org/curated/en/865571468149107611/pdf/NonAsciiFileName0.pdf" TargetMode="External"/><Relationship Id="rId586" Type="http://schemas.openxmlformats.org/officeDocument/2006/relationships/hyperlink" Target="https://doi.org/10.1017/S0376892909005347" TargetMode="External"/><Relationship Id="rId793" Type="http://schemas.openxmlformats.org/officeDocument/2006/relationships/hyperlink" Target="https://doi.org/10.1073/pnas.0704716104" TargetMode="External"/><Relationship Id="rId7" Type="http://schemas.openxmlformats.org/officeDocument/2006/relationships/settings" Target="settings.xml"/><Relationship Id="rId239" Type="http://schemas.openxmlformats.org/officeDocument/2006/relationships/hyperlink" Target="https://doi.org/10.17528/cifor/000716" TargetMode="External"/><Relationship Id="rId446" Type="http://schemas.openxmlformats.org/officeDocument/2006/relationships/hyperlink" Target="https://doi.org/10.1126/science.1117682" TargetMode="External"/><Relationship Id="rId653" Type="http://schemas.openxmlformats.org/officeDocument/2006/relationships/hyperlink" Target="https://doi.org/10.1080/09640560123194" TargetMode="External"/><Relationship Id="rId1076" Type="http://schemas.openxmlformats.org/officeDocument/2006/relationships/hyperlink" Target="http://www.undp.org/content/dam/rba/docs/Reports/African%20Economic%20Outlook%202015%20En.pdf" TargetMode="External"/><Relationship Id="rId1283" Type="http://schemas.openxmlformats.org/officeDocument/2006/relationships/hyperlink" Target="https://doi.org/10.1021/es001053j" TargetMode="External"/><Relationship Id="rId1490" Type="http://schemas.openxmlformats.org/officeDocument/2006/relationships/hyperlink" Target="https://www.cabdirect.org/cabdirect/abstract/20063044647" TargetMode="External"/><Relationship Id="rId306" Type="http://schemas.openxmlformats.org/officeDocument/2006/relationships/hyperlink" Target="https://doi.org/10.1111/j.1365-2028.2011.01315.x" TargetMode="External"/><Relationship Id="rId860" Type="http://schemas.openxmlformats.org/officeDocument/2006/relationships/hyperlink" Target="http://www.fao.org/docrep/003/x6611e/x6611e00.HTM" TargetMode="External"/><Relationship Id="rId958" Type="http://schemas.openxmlformats.org/officeDocument/2006/relationships/hyperlink" Target="https://doi.org/10.1007/s004420050035" TargetMode="External"/><Relationship Id="rId1143" Type="http://schemas.openxmlformats.org/officeDocument/2006/relationships/hyperlink" Target="https://doi.org/10.4161/gmcr.2.1.15086" TargetMode="External"/><Relationship Id="rId1588" Type="http://schemas.openxmlformats.org/officeDocument/2006/relationships/image" Target="media/image120.JPG"/><Relationship Id="rId1795" Type="http://schemas.openxmlformats.org/officeDocument/2006/relationships/hyperlink" Target="https://doi.org/10.1080/14728028.2014.993431" TargetMode="External"/><Relationship Id="rId87" Type="http://schemas.openxmlformats.org/officeDocument/2006/relationships/hyperlink" Target="https://doi.org/10.1126/science.291.5513.2616" TargetMode="External"/><Relationship Id="rId513" Type="http://schemas.openxmlformats.org/officeDocument/2006/relationships/hyperlink" Target="https://hrcak.srce.hr/17184" TargetMode="External"/><Relationship Id="rId720" Type="http://schemas.openxmlformats.org/officeDocument/2006/relationships/hyperlink" Target="http://www.zeroextinction.org/search.cfm" TargetMode="External"/><Relationship Id="rId818" Type="http://schemas.openxmlformats.org/officeDocument/2006/relationships/hyperlink" Target="https://doi.org/10.1111/j.1461-0248.2008.01255.x" TargetMode="External"/><Relationship Id="rId1350" Type="http://schemas.openxmlformats.org/officeDocument/2006/relationships/hyperlink" Target="https://doi.org/10.1016/j.biocon.2003.10.005" TargetMode="External"/><Relationship Id="rId1448" Type="http://schemas.openxmlformats.org/officeDocument/2006/relationships/hyperlink" Target="http://agris.fao.org/agris-search/search.do?recordID=XF19810683325" TargetMode="External"/><Relationship Id="rId1655" Type="http://schemas.openxmlformats.org/officeDocument/2006/relationships/hyperlink" Target="https://doi.org/10.1371/journal.pbio.0050157" TargetMode="External"/><Relationship Id="rId1003" Type="http://schemas.openxmlformats.org/officeDocument/2006/relationships/hyperlink" Target="http://hdl.handle.net/20.500.11822/9944" TargetMode="External"/><Relationship Id="rId1210" Type="http://schemas.openxmlformats.org/officeDocument/2006/relationships/hyperlink" Target="https://doi.org/10.1371/journal.pone.0065427" TargetMode="External"/><Relationship Id="rId1308" Type="http://schemas.openxmlformats.org/officeDocument/2006/relationships/hyperlink" Target="https://doi.org/10.2458/v12i1.21672" TargetMode="External"/><Relationship Id="rId1862" Type="http://schemas.openxmlformats.org/officeDocument/2006/relationships/hyperlink" Target="https://doi.org/10.1080/21513732.2011.617711" TargetMode="External"/><Relationship Id="rId1515" Type="http://schemas.openxmlformats.org/officeDocument/2006/relationships/hyperlink" Target="https://doi.org/10.4314/wsa.v37i5.6" TargetMode="External"/><Relationship Id="rId1722" Type="http://schemas.openxmlformats.org/officeDocument/2006/relationships/hyperlink" Target="https://dspace.library.uu.nl/handle/1874/344806" TargetMode="External"/><Relationship Id="rId14" Type="http://schemas.openxmlformats.org/officeDocument/2006/relationships/image" Target="media/image4.jpeg"/><Relationship Id="rId163" Type="http://schemas.openxmlformats.org/officeDocument/2006/relationships/hyperlink" Target="http://www.fao.org/3/a-i3710e.pdf" TargetMode="External"/><Relationship Id="rId370" Type="http://schemas.openxmlformats.org/officeDocument/2006/relationships/hyperlink" Target="http://www.who.int/globalchange/publications/quantitative-risk-assessment/en/" TargetMode="External"/><Relationship Id="rId230" Type="http://schemas.openxmlformats.org/officeDocument/2006/relationships/hyperlink" Target="http://www.cifor.org/nc/online-library/browse/view-publication/publication/1229.html" TargetMode="External"/><Relationship Id="rId468" Type="http://schemas.openxmlformats.org/officeDocument/2006/relationships/hyperlink" Target="https://doi.org/10.1191/1474474004eu313oa" TargetMode="External"/><Relationship Id="rId675" Type="http://schemas.openxmlformats.org/officeDocument/2006/relationships/image" Target="media/image62.png"/><Relationship Id="rId882" Type="http://schemas.openxmlformats.org/officeDocument/2006/relationships/hyperlink" Target="https://doi.org/10.1016/j.ecoser.2012.06.004" TargetMode="External"/><Relationship Id="rId1098" Type="http://schemas.openxmlformats.org/officeDocument/2006/relationships/hyperlink" Target="https://doi.org/10.1016/j.chemosphere.2014.08.030" TargetMode="External"/><Relationship Id="rId328" Type="http://schemas.openxmlformats.org/officeDocument/2006/relationships/hyperlink" Target="https://sustainabledevelopment.un.org/post2015/transformingourworld" TargetMode="External"/><Relationship Id="rId535" Type="http://schemas.openxmlformats.org/officeDocument/2006/relationships/hyperlink" Target="https://doi.org/10.1002/9781118352670.ch6" TargetMode="External"/><Relationship Id="rId742" Type="http://schemas.openxmlformats.org/officeDocument/2006/relationships/hyperlink" Target="http://www.besafe-project.net/img/uplf/BESAFE_brochure_online_18.pdf" TargetMode="External"/><Relationship Id="rId1165" Type="http://schemas.openxmlformats.org/officeDocument/2006/relationships/hyperlink" Target="https://www.millenniumassessment.org/documents/document.356.aspx.pdf" TargetMode="External"/><Relationship Id="rId1372" Type="http://schemas.openxmlformats.org/officeDocument/2006/relationships/hyperlink" Target="https://doi.org/10.1038/ncomms13379" TargetMode="External"/><Relationship Id="rId2009" Type="http://schemas.openxmlformats.org/officeDocument/2006/relationships/hyperlink" Target="https://doi.org/10.1080/07900627.2014.912130" TargetMode="External"/><Relationship Id="rId602" Type="http://schemas.openxmlformats.org/officeDocument/2006/relationships/hyperlink" Target="https://doi.org/10.1098/rstb.2015.0312" TargetMode="External"/><Relationship Id="rId1025" Type="http://schemas.openxmlformats.org/officeDocument/2006/relationships/hyperlink" Target="https://www.worldwildlife.org/ecoregions/at0201" TargetMode="External"/><Relationship Id="rId1232" Type="http://schemas.openxmlformats.org/officeDocument/2006/relationships/hyperlink" Target="http://emdat.be/sites/default/files/adsr_2016.pdf" TargetMode="External"/><Relationship Id="rId1677" Type="http://schemas.openxmlformats.org/officeDocument/2006/relationships/hyperlink" Target="https://doi.org/10.3354/cr01357" TargetMode="External"/><Relationship Id="rId1884" Type="http://schemas.openxmlformats.org/officeDocument/2006/relationships/hyperlink" Target="http://www.internationalwatersgovernance.com/lake-victoria-basin-commission-and-the-lake-victoria-fisheries-organization.html" TargetMode="External"/><Relationship Id="rId907" Type="http://schemas.openxmlformats.org/officeDocument/2006/relationships/hyperlink" Target="https://doi.org/10.1007/978-3-642-33584-6_5" TargetMode="External"/><Relationship Id="rId1537" Type="http://schemas.openxmlformats.org/officeDocument/2006/relationships/hyperlink" Target="https://www.cbd.int/doc/publications/cbd-ts-65-en.pdf" TargetMode="External"/><Relationship Id="rId1744" Type="http://schemas.openxmlformats.org/officeDocument/2006/relationships/image" Target="media/image126.JPG"/><Relationship Id="rId1951" Type="http://schemas.openxmlformats.org/officeDocument/2006/relationships/hyperlink" Target="https://doi.org/10.1002/pad.259" TargetMode="External"/><Relationship Id="rId36" Type="http://schemas.openxmlformats.org/officeDocument/2006/relationships/image" Target="media/image19.JPG"/><Relationship Id="rId1604" Type="http://schemas.openxmlformats.org/officeDocument/2006/relationships/hyperlink" Target="https://doi.org/10.1596/978-1-4648-0723-7" TargetMode="External"/><Relationship Id="rId185" Type="http://schemas.openxmlformats.org/officeDocument/2006/relationships/hyperlink" Target="https://doi.org/10.1080/07329113.1986.10756387" TargetMode="External"/><Relationship Id="rId1811" Type="http://schemas.openxmlformats.org/officeDocument/2006/relationships/hyperlink" Target="http://pubs.iied.org/pdfs/16614IIED.pdf" TargetMode="External"/><Relationship Id="rId1909" Type="http://schemas.openxmlformats.org/officeDocument/2006/relationships/hyperlink" Target="https://doi.org/10.1016/j.ecolecon.2009.03.017" TargetMode="External"/><Relationship Id="rId392" Type="http://schemas.openxmlformats.org/officeDocument/2006/relationships/image" Target="media/image37.JPG"/><Relationship Id="rId697" Type="http://schemas.openxmlformats.org/officeDocument/2006/relationships/hyperlink" Target="http://soer.deat.gov.za/dm_documents/Marine_and_Coastal_-_Background_Paper_wPDBE.pdf" TargetMode="External"/><Relationship Id="rId252" Type="http://schemas.openxmlformats.org/officeDocument/2006/relationships/hyperlink" Target="http://classiques.uqac.ca/classiques/morgan_lewis_henry/societe_archaique/societe_archaique.html" TargetMode="External"/><Relationship Id="rId1187" Type="http://schemas.openxmlformats.org/officeDocument/2006/relationships/hyperlink" Target="https://doi.org/10.1890/15409295(2007)5%5b13:DTHEF%5d2.0.CO;2" TargetMode="External"/><Relationship Id="rId112" Type="http://schemas.openxmlformats.org/officeDocument/2006/relationships/hyperlink" Target="https://doi.org/10.1126/science.1127609" TargetMode="External"/><Relationship Id="rId557" Type="http://schemas.openxmlformats.org/officeDocument/2006/relationships/hyperlink" Target="https://doi.org/10.1023/B:AGFO.0000009406.19593.90" TargetMode="External"/><Relationship Id="rId764" Type="http://schemas.openxmlformats.org/officeDocument/2006/relationships/hyperlink" Target="http://agris.fao.org/agris-search/search.do?recordID=US201300425337" TargetMode="External"/><Relationship Id="rId971" Type="http://schemas.openxmlformats.org/officeDocument/2006/relationships/hyperlink" Target="https://archive.org/details/worldmangroveatl97spal" TargetMode="External"/><Relationship Id="rId1394" Type="http://schemas.openxmlformats.org/officeDocument/2006/relationships/hyperlink" Target="https://doi.org/10.1080/09709274.2012.11906474" TargetMode="External"/><Relationship Id="rId1699" Type="http://schemas.openxmlformats.org/officeDocument/2006/relationships/hyperlink" Target="https://doi.org/10.1111/agec.12090" TargetMode="External"/><Relationship Id="rId2000" Type="http://schemas.openxmlformats.org/officeDocument/2006/relationships/hyperlink" Target="http://www.protectedplanet.net" TargetMode="External"/><Relationship Id="rId417" Type="http://schemas.openxmlformats.org/officeDocument/2006/relationships/hyperlink" Target="https://doi.org/10.1007/s10531-005-2090-8" TargetMode="External"/><Relationship Id="rId624" Type="http://schemas.openxmlformats.org/officeDocument/2006/relationships/hyperlink" Target="http://esa.un.org/unpd/wup/index.htm" TargetMode="External"/><Relationship Id="rId831" Type="http://schemas.openxmlformats.org/officeDocument/2006/relationships/hyperlink" Target="https://doi.org/10.1017/S037689291100035X" TargetMode="External"/><Relationship Id="rId1047" Type="http://schemas.openxmlformats.org/officeDocument/2006/relationships/image" Target="media/image85.JPG"/><Relationship Id="rId1254" Type="http://schemas.openxmlformats.org/officeDocument/2006/relationships/hyperlink" Target="https://doi.org/10.1111/j.1461-0248.2009.01297.x" TargetMode="External"/><Relationship Id="rId1461" Type="http://schemas.openxmlformats.org/officeDocument/2006/relationships/hyperlink" Target="https://doi.org/10.17528/cifor/000885" TargetMode="External"/><Relationship Id="rId929" Type="http://schemas.openxmlformats.org/officeDocument/2006/relationships/hyperlink" Target="https://doi.org/10.4102/sajs.v107i7/8.462" TargetMode="External"/><Relationship Id="rId1114" Type="http://schemas.openxmlformats.org/officeDocument/2006/relationships/hyperlink" Target="https://doi.org/10.1046/j.1365-2486.2000.00365.x" TargetMode="External"/><Relationship Id="rId1321" Type="http://schemas.openxmlformats.org/officeDocument/2006/relationships/hyperlink" Target="https://doi.org/10.1371/journal.pone.0094109" TargetMode="External"/><Relationship Id="rId1559" Type="http://schemas.openxmlformats.org/officeDocument/2006/relationships/hyperlink" Target="http://pubs.iied.org/17298IIED/" TargetMode="External"/><Relationship Id="rId1766" Type="http://schemas.openxmlformats.org/officeDocument/2006/relationships/image" Target="media/image136.JPG"/><Relationship Id="rId1973" Type="http://schemas.openxmlformats.org/officeDocument/2006/relationships/hyperlink" Target="https://doi.org/10.4155/cmt.12.14" TargetMode="External"/><Relationship Id="rId58" Type="http://schemas.openxmlformats.org/officeDocument/2006/relationships/hyperlink" Target="https://doi.org/10.1126/science.1248676" TargetMode="External"/><Relationship Id="rId1419" Type="http://schemas.openxmlformats.org/officeDocument/2006/relationships/hyperlink" Target="http://siteresources.worldbank.org/EXTEEI/Resources/BiodiversityEcosystemsServices_CC.pdf" TargetMode="External"/><Relationship Id="rId1626" Type="http://schemas.openxmlformats.org/officeDocument/2006/relationships/hyperlink" Target="https://doi.org/10.1111/j.1466-822x.200" TargetMode="External"/><Relationship Id="rId1833" Type="http://schemas.openxmlformats.org/officeDocument/2006/relationships/hyperlink" Target="https://doi.org/10.1080/03066150.2012.674940" TargetMode="External"/><Relationship Id="rId1900" Type="http://schemas.openxmlformats.org/officeDocument/2006/relationships/hyperlink" Target="https://doi.org/10.1080/21513732.2011.629632" TargetMode="External"/><Relationship Id="rId274" Type="http://schemas.openxmlformats.org/officeDocument/2006/relationships/hyperlink" Target="https://doi.org/10.17528/cifor/002190" TargetMode="External"/><Relationship Id="rId481" Type="http://schemas.openxmlformats.org/officeDocument/2006/relationships/hyperlink" Target="https://doi.org/10.1016/j.ecoser.2012.09.004" TargetMode="External"/><Relationship Id="rId134" Type="http://schemas.openxmlformats.org/officeDocument/2006/relationships/hyperlink" Target="https://doi.org/10.1038/nature25194" TargetMode="External"/><Relationship Id="rId579" Type="http://schemas.openxmlformats.org/officeDocument/2006/relationships/hyperlink" Target="https://doi.org/10.5539/jsd.v4n1p130" TargetMode="External"/><Relationship Id="rId786" Type="http://schemas.openxmlformats.org/officeDocument/2006/relationships/hyperlink" Target="https://doi.org/10.1371/journal.pone.0011832" TargetMode="External"/><Relationship Id="rId993" Type="http://schemas.openxmlformats.org/officeDocument/2006/relationships/hyperlink" Target="https://doi.org/10.1016/j.ocecoaman.2006.04.006" TargetMode="External"/><Relationship Id="rId341" Type="http://schemas.openxmlformats.org/officeDocument/2006/relationships/hyperlink" Target="http://old.unep-wcmc.org/medialibrary/2010/09/24/f07ef06e/Annual_Report_1998.pdf" TargetMode="External"/><Relationship Id="rId439" Type="http://schemas.openxmlformats.org/officeDocument/2006/relationships/hyperlink" Target="https://doi.org/10.1111/mec.13484" TargetMode="External"/><Relationship Id="rId646" Type="http://schemas.openxmlformats.org/officeDocument/2006/relationships/hyperlink" Target="https://doi.org/10.1596/27396" TargetMode="External"/><Relationship Id="rId1069" Type="http://schemas.openxmlformats.org/officeDocument/2006/relationships/image" Target="media/image102.JPG"/><Relationship Id="rId1276" Type="http://schemas.openxmlformats.org/officeDocument/2006/relationships/hyperlink" Target="https://doi.org/10.1371/journal.pbio.0050157" TargetMode="External"/><Relationship Id="rId1483" Type="http://schemas.openxmlformats.org/officeDocument/2006/relationships/hyperlink" Target="https://doi.org/10.1111/j.1365-3180.2006.00522.x" TargetMode="External"/><Relationship Id="rId2022" Type="http://schemas.openxmlformats.org/officeDocument/2006/relationships/hyperlink" Target="https://www.idrc.ca/sites/default/files/sp/Documents%20EN/CCAA-seasonal-forecasting.pdf" TargetMode="External"/><Relationship Id="rId201" Type="http://schemas.openxmlformats.org/officeDocument/2006/relationships/hyperlink" Target="https://doi.org/10.5751/ES-04641-170131" TargetMode="External"/><Relationship Id="rId506" Type="http://schemas.openxmlformats.org/officeDocument/2006/relationships/hyperlink" Target="https://doi.org/10.1006/jare.2001.0894" TargetMode="External"/><Relationship Id="rId853" Type="http://schemas.openxmlformats.org/officeDocument/2006/relationships/hyperlink" Target="https://doi.org/10.1007/s10722-012-9923-6" TargetMode="External"/><Relationship Id="rId1136" Type="http://schemas.openxmlformats.org/officeDocument/2006/relationships/hyperlink" Target="https://www.cbd.int/agriculture/2011-121/UNEP-WCMC3-sep11-en.pdf" TargetMode="External"/><Relationship Id="rId1690" Type="http://schemas.openxmlformats.org/officeDocument/2006/relationships/hyperlink" Target="https://doi.org/10.1016/j.scitotenv.2011.07.019" TargetMode="External"/><Relationship Id="rId1788" Type="http://schemas.openxmlformats.org/officeDocument/2006/relationships/hyperlink" Target="https://au.int/sites/default/files/documents/30240-doc-policy_framework_for_pastoralism.pdf" TargetMode="External"/><Relationship Id="rId1995" Type="http://schemas.openxmlformats.org/officeDocument/2006/relationships/hyperlink" Target="https://unep.ch/etb/publications/IPSD%20manual/UNEP%20IPSD%20final.pdf" TargetMode="External"/><Relationship Id="rId713" Type="http://schemas.openxmlformats.org/officeDocument/2006/relationships/hyperlink" Target="https://doi.org/10.1016/j.ecolind.2016.03.034" TargetMode="External"/><Relationship Id="rId920" Type="http://schemas.openxmlformats.org/officeDocument/2006/relationships/hyperlink" Target="http://hdl.handle.net/10907/232" TargetMode="External"/><Relationship Id="rId1343" Type="http://schemas.openxmlformats.org/officeDocument/2006/relationships/hyperlink" Target="https://doi.org/10.1080/14888386.2009.9712842" TargetMode="External"/><Relationship Id="rId1550" Type="http://schemas.openxmlformats.org/officeDocument/2006/relationships/hyperlink" Target="https://doi.org/10.2307/2404109" TargetMode="External"/><Relationship Id="rId1648" Type="http://schemas.openxmlformats.org/officeDocument/2006/relationships/hyperlink" Target="https://doi.org/10.1080/21564574.2009.9635577" TargetMode="External"/><Relationship Id="rId1203" Type="http://schemas.openxmlformats.org/officeDocument/2006/relationships/hyperlink" Target="http://www.fao.org/docrep/fao/010/ai554e/ai554e00.pdf" TargetMode="External"/><Relationship Id="rId1410" Type="http://schemas.openxmlformats.org/officeDocument/2006/relationships/hyperlink" Target="http://spuds.agron.ksu.edu/forqualco2.pdf" TargetMode="External"/><Relationship Id="rId1508" Type="http://schemas.openxmlformats.org/officeDocument/2006/relationships/hyperlink" Target="http://www.un.org/en/ecosoc/integration/2014/" TargetMode="External"/><Relationship Id="rId1855" Type="http://schemas.openxmlformats.org/officeDocument/2006/relationships/hyperlink" Target="http://www.fao.org/docrep/018/i3137e/i3137e.pdf" TargetMode="External"/><Relationship Id="rId1715" Type="http://schemas.openxmlformats.org/officeDocument/2006/relationships/hyperlink" Target="http://old.grida.no/publications/other/aeo/" TargetMode="External"/><Relationship Id="rId1922" Type="http://schemas.openxmlformats.org/officeDocument/2006/relationships/hyperlink" Target="https://doi.org/10.1680/mpal.11.00018" TargetMode="External"/><Relationship Id="rId296" Type="http://schemas.openxmlformats.org/officeDocument/2006/relationships/hyperlink" Target="https://doi.org/10.1017/S1537592704040149" TargetMode="External"/><Relationship Id="rId156" Type="http://schemas.openxmlformats.org/officeDocument/2006/relationships/hyperlink" Target="http://www.issg.org/pdf/publications/GISP/Guidelines_Toolkits_BestPractice/Emerton%26Howard_2008_EN.pdf" TargetMode="External"/><Relationship Id="rId363" Type="http://schemas.openxmlformats.org/officeDocument/2006/relationships/hyperlink" Target="https://doi.org/10.1016/j.worlddev.2015.10.025" TargetMode="External"/><Relationship Id="rId570" Type="http://schemas.openxmlformats.org/officeDocument/2006/relationships/hyperlink" Target="https://doi.org/10.1017/S1355770X0400186X" TargetMode="External"/><Relationship Id="rId223" Type="http://schemas.openxmlformats.org/officeDocument/2006/relationships/hyperlink" Target="https://open.library.ubc.ca/media/download/pdf/52383/1.0354315/5" TargetMode="External"/><Relationship Id="rId430" Type="http://schemas.openxmlformats.org/officeDocument/2006/relationships/hyperlink" Target="https://doi.org/10.1016/j.fishres.2013.12.006" TargetMode="External"/><Relationship Id="rId668" Type="http://schemas.openxmlformats.org/officeDocument/2006/relationships/image" Target="media/image56.png"/><Relationship Id="rId875" Type="http://schemas.openxmlformats.org/officeDocument/2006/relationships/hyperlink" Target="https://doi.org/10.1111/j.1365-2419.2011.00610.x" TargetMode="External"/><Relationship Id="rId1060" Type="http://schemas.openxmlformats.org/officeDocument/2006/relationships/image" Target="media/image94.JPG"/><Relationship Id="rId1298" Type="http://schemas.openxmlformats.org/officeDocument/2006/relationships/hyperlink" Target="https://doi.org/10.1088/1748-9326/7/3/034032" TargetMode="External"/><Relationship Id="rId528" Type="http://schemas.openxmlformats.org/officeDocument/2006/relationships/hyperlink" Target="https://doi.org/10.1080/21513732.2013.842611" TargetMode="External"/><Relationship Id="rId735" Type="http://schemas.openxmlformats.org/officeDocument/2006/relationships/hyperlink" Target="https://doi.org/10.1111/gcb.12807" TargetMode="External"/><Relationship Id="rId942" Type="http://schemas.openxmlformats.org/officeDocument/2006/relationships/hyperlink" Target="https://doi.org/10.1126/sciadv.1400103" TargetMode="External"/><Relationship Id="rId1158" Type="http://schemas.openxmlformats.org/officeDocument/2006/relationships/hyperlink" Target="https://doi.org/10.1016/j.fcr.2003.11.008" TargetMode="External"/><Relationship Id="rId1365" Type="http://schemas.openxmlformats.org/officeDocument/2006/relationships/hyperlink" Target="https://www.afdb.org/fileadmin/uploads/afdb/Documents/Publications/Working%20Paper%20170%20-%20Development%20of%20Wind%20Energy%20in%20Africa.pdf" TargetMode="External"/><Relationship Id="rId1572" Type="http://schemas.openxmlformats.org/officeDocument/2006/relationships/image" Target="media/image104.JPG"/><Relationship Id="rId1018" Type="http://schemas.openxmlformats.org/officeDocument/2006/relationships/hyperlink" Target="http://www.oie.int/animal-health-in-the-world/oie-listed-diseases-2015/" TargetMode="External"/><Relationship Id="rId1225" Type="http://schemas.openxmlformats.org/officeDocument/2006/relationships/hyperlink" Target="http://popups.ulg.ac.be/1780-4507/index.php?id=13022" TargetMode="External"/><Relationship Id="rId1432" Type="http://schemas.openxmlformats.org/officeDocument/2006/relationships/hyperlink" Target="https://doi.org/10.1038/320735a0" TargetMode="External"/><Relationship Id="rId1877" Type="http://schemas.openxmlformats.org/officeDocument/2006/relationships/hyperlink" Target="https://ssrn.com/abstract=2100337" TargetMode="External"/><Relationship Id="rId71" Type="http://schemas.openxmlformats.org/officeDocument/2006/relationships/hyperlink" Target="http://www.mtnforum.org/sites/default/files/publication/files/guidebook_climatechange.pdf" TargetMode="External"/><Relationship Id="rId802" Type="http://schemas.openxmlformats.org/officeDocument/2006/relationships/hyperlink" Target="https://ec.europa.eu/europeaid/larger-elephants-inputs-eu-strategic-approach-wildlife-conservation-africa-regional-analysis_en" TargetMode="External"/><Relationship Id="rId1737" Type="http://schemas.openxmlformats.org/officeDocument/2006/relationships/hyperlink" Target="https://doi.org/10.1596/978-0-8213-9616-2" TargetMode="External"/><Relationship Id="rId1944" Type="http://schemas.openxmlformats.org/officeDocument/2006/relationships/hyperlink" Target="http://www.communities.gov.uk/documents/corporate/pdf/146871.pdf" TargetMode="External"/><Relationship Id="rId29" Type="http://schemas.openxmlformats.org/officeDocument/2006/relationships/image" Target="media/image14.JPG"/><Relationship Id="rId178" Type="http://schemas.openxmlformats.org/officeDocument/2006/relationships/hyperlink" Target="https://www.thegef.org/gef/sites/thegef.org/files/webpage_attached/GEF6_programming_directions_final_0.pdf" TargetMode="External"/><Relationship Id="rId1804" Type="http://schemas.openxmlformats.org/officeDocument/2006/relationships/hyperlink" Target="https://doi.org/10.1017/CBO9780511541957" TargetMode="External"/><Relationship Id="rId385" Type="http://schemas.openxmlformats.org/officeDocument/2006/relationships/hyperlink" Target="http://www.worldfishcenter.org/resource_centre/WF_2592.pdf" TargetMode="External"/><Relationship Id="rId592" Type="http://schemas.openxmlformats.org/officeDocument/2006/relationships/hyperlink" Target="https://doi.org/10.1016/j.worlddev.2012.09.010" TargetMode="External"/><Relationship Id="rId245" Type="http://schemas.openxmlformats.org/officeDocument/2006/relationships/hyperlink" Target="https://doi.org/10.1890/1051-0761(2000)010%5b1263:TKOIAL%5d2.0.CO;2" TargetMode="External"/><Relationship Id="rId452" Type="http://schemas.openxmlformats.org/officeDocument/2006/relationships/hyperlink" Target="http://www.fao.org/in-action/canary-current-lme/working-groups/transboundary-diagnostic-analysis/en/" TargetMode="External"/><Relationship Id="rId897" Type="http://schemas.openxmlformats.org/officeDocument/2006/relationships/hyperlink" Target="https://doi.org/10.1080/03946975.2004.10531201" TargetMode="External"/><Relationship Id="rId1082" Type="http://schemas.openxmlformats.org/officeDocument/2006/relationships/hyperlink" Target="https://doi.org/10.5772/16817" TargetMode="External"/><Relationship Id="rId105" Type="http://schemas.openxmlformats.org/officeDocument/2006/relationships/hyperlink" Target="http://www.worldagroforestry.org/downloads/Publications/PDFS/B17800.pdf" TargetMode="External"/><Relationship Id="rId312" Type="http://schemas.openxmlformats.org/officeDocument/2006/relationships/hyperlink" Target="https://doi.org/10.1111/j.0906-7590.2007.04627.x" TargetMode="External"/><Relationship Id="rId757" Type="http://schemas.openxmlformats.org/officeDocument/2006/relationships/hyperlink" Target="https://doi.org/10.1002/9781444323276" TargetMode="External"/><Relationship Id="rId964" Type="http://schemas.openxmlformats.org/officeDocument/2006/relationships/hyperlink" Target="http://www.fao.org/3/a-a0726e.pdf" TargetMode="External"/><Relationship Id="rId1387" Type="http://schemas.openxmlformats.org/officeDocument/2006/relationships/hyperlink" Target="https://doi.org/10.1016/j.scitotenv.2009.10.020" TargetMode="External"/><Relationship Id="rId1594" Type="http://schemas.openxmlformats.org/officeDocument/2006/relationships/hyperlink" Target="https://www.afdb.org/en/knowledge/publications/tracking-africa%E2%80%99s-progress-in-figures/" TargetMode="External"/><Relationship Id="rId93" Type="http://schemas.openxmlformats.org/officeDocument/2006/relationships/hyperlink" Target="https://doi.org/10.3763/cpol.2002.0216" TargetMode="External"/><Relationship Id="rId617" Type="http://schemas.openxmlformats.org/officeDocument/2006/relationships/hyperlink" Target="https://doi.org/10.1016/j.wace.2013.07.007" TargetMode="External"/><Relationship Id="rId824" Type="http://schemas.openxmlformats.org/officeDocument/2006/relationships/hyperlink" Target="http://www.rac-spa.org/sites/default/files/doc_medmpanet/final_docs_regional/5_status_of_marine_protected_areas_in_the_mediterranean_2012.pdf" TargetMode="External"/><Relationship Id="rId1247" Type="http://schemas.openxmlformats.org/officeDocument/2006/relationships/hyperlink" Target="https://doi.org/10.1111/ecog.03109" TargetMode="External"/><Relationship Id="rId1454" Type="http://schemas.openxmlformats.org/officeDocument/2006/relationships/hyperlink" Target="https://doi.org/10.1002/wcc.404" TargetMode="External"/><Relationship Id="rId1661" Type="http://schemas.openxmlformats.org/officeDocument/2006/relationships/hyperlink" Target="https://doi.org/10.1111/j.1472-4642.2011.00877.x" TargetMode="External"/><Relationship Id="rId1899" Type="http://schemas.openxmlformats.org/officeDocument/2006/relationships/hyperlink" Target="https://doi.org/10.1080/00167223.2013.878229" TargetMode="External"/><Relationship Id="rId1107" Type="http://schemas.openxmlformats.org/officeDocument/2006/relationships/hyperlink" Target="http://www.nbri.org.na/sites/default/files/Agricola1998_99_No10_02_Bester.PDF" TargetMode="External"/><Relationship Id="rId1314" Type="http://schemas.openxmlformats.org/officeDocument/2006/relationships/hyperlink" Target="https://www.cbd.int/doc/publications/cbd-ts-50-en.pdf" TargetMode="External"/><Relationship Id="rId1521" Type="http://schemas.openxmlformats.org/officeDocument/2006/relationships/hyperlink" Target="https://doi.org/10.3354/esr00623" TargetMode="External"/><Relationship Id="rId1759" Type="http://schemas.openxmlformats.org/officeDocument/2006/relationships/hyperlink" Target="https://www.nqa.com/en-us/certification/standards/iso-14001-2004" TargetMode="External"/><Relationship Id="rId1966" Type="http://schemas.openxmlformats.org/officeDocument/2006/relationships/hyperlink" Target="https://doi.org/10.1007/978-94-007-2181-4_20" TargetMode="External"/><Relationship Id="rId1619" Type="http://schemas.openxmlformats.org/officeDocument/2006/relationships/hyperlink" Target="https://doi.org/10.1038/nature12976" TargetMode="External"/><Relationship Id="rId1826" Type="http://schemas.openxmlformats.org/officeDocument/2006/relationships/hyperlink" Target="https://doi.org/10.1111/j.1523-1739.2009.01243.x" TargetMode="External"/><Relationship Id="rId20" Type="http://schemas.openxmlformats.org/officeDocument/2006/relationships/header" Target="header3.xml"/><Relationship Id="rId267" Type="http://schemas.openxmlformats.org/officeDocument/2006/relationships/hyperlink" Target="https://doi.org/10.1016/j.gloenvcha.2009.10.002" TargetMode="External"/><Relationship Id="rId474" Type="http://schemas.openxmlformats.org/officeDocument/2006/relationships/hyperlink" Target="https://doi.org/10.1016/j.cosust.2014.11.002" TargetMode="External"/><Relationship Id="rId127" Type="http://schemas.openxmlformats.org/officeDocument/2006/relationships/hyperlink" Target="https://doi.org/10.1080/14888386.2014.934715" TargetMode="External"/><Relationship Id="rId681" Type="http://schemas.openxmlformats.org/officeDocument/2006/relationships/image" Target="media/image67.png"/><Relationship Id="rId779" Type="http://schemas.openxmlformats.org/officeDocument/2006/relationships/hyperlink" Target="https://doi.org/10.1079/9780851999975.0000" TargetMode="External"/><Relationship Id="rId986" Type="http://schemas.openxmlformats.org/officeDocument/2006/relationships/hyperlink" Target="https://sora.unm.edu/sites/default/files/journals/jrr/v035n03/p00173-p00186.pdf" TargetMode="External"/><Relationship Id="rId334" Type="http://schemas.openxmlformats.org/officeDocument/2006/relationships/hyperlink" Target="https://sustainabledevelopment.un.org/content/documents/Agenda21.pdf" TargetMode="External"/><Relationship Id="rId541" Type="http://schemas.openxmlformats.org/officeDocument/2006/relationships/hyperlink" Target="https://doi.org/10.1017/S0266467408005312" TargetMode="External"/><Relationship Id="rId639" Type="http://schemas.openxmlformats.org/officeDocument/2006/relationships/hyperlink" Target="https://doi.org/10.1016/j.ijsbe.2016.08.005" TargetMode="External"/><Relationship Id="rId1171" Type="http://schemas.openxmlformats.org/officeDocument/2006/relationships/hyperlink" Target="https://doi.org/10.1088/1748-9326/aa67a4" TargetMode="External"/><Relationship Id="rId1269" Type="http://schemas.openxmlformats.org/officeDocument/2006/relationships/hyperlink" Target="https://www.ipcc.ch/pdf/assessment-report/ar5/wg1/WG1AR5_Frontmatter_FINAL.pdf" TargetMode="External"/><Relationship Id="rId1476" Type="http://schemas.openxmlformats.org/officeDocument/2006/relationships/hyperlink" Target="https://doi.org/10.1016/j.coal.2013.07.009" TargetMode="External"/><Relationship Id="rId2015" Type="http://schemas.openxmlformats.org/officeDocument/2006/relationships/hyperlink" Target="http://www.wavespartnership.org/sites/waves/files/images/A_Smarter_GDP.pdf" TargetMode="External"/><Relationship Id="rId401" Type="http://schemas.openxmlformats.org/officeDocument/2006/relationships/hyperlink" Target="http://www.zonu.com/fullsize-en/2009-11-07-10918/African-Wetlands.html" TargetMode="External"/><Relationship Id="rId846" Type="http://schemas.openxmlformats.org/officeDocument/2006/relationships/hyperlink" Target="https://doi.org/10.1080/14041040410027318" TargetMode="External"/><Relationship Id="rId1031" Type="http://schemas.openxmlformats.org/officeDocument/2006/relationships/image" Target="media/image70.png"/><Relationship Id="rId1129" Type="http://schemas.openxmlformats.org/officeDocument/2006/relationships/hyperlink" Target="https://doi.org/10.1046/j.1523-1739.1999.98341.x" TargetMode="External"/><Relationship Id="rId1683" Type="http://schemas.openxmlformats.org/officeDocument/2006/relationships/hyperlink" Target="https://doi.org/10.3390/su6107142" TargetMode="External"/><Relationship Id="rId1890" Type="http://schemas.openxmlformats.org/officeDocument/2006/relationships/hyperlink" Target="https://doi.org/10.1111/j.1472-4642.2011.00770.x" TargetMode="External"/><Relationship Id="rId1988" Type="http://schemas.openxmlformats.org/officeDocument/2006/relationships/hyperlink" Target="http://www.un.org/depts/los/convention_agreements/texts/fish_stocks_agreement/CONF164_37.htm" TargetMode="External"/><Relationship Id="rId706" Type="http://schemas.openxmlformats.org/officeDocument/2006/relationships/hyperlink" Target="https://doi.org/10.1023/A:1008831829574" TargetMode="External"/><Relationship Id="rId913" Type="http://schemas.openxmlformats.org/officeDocument/2006/relationships/hyperlink" Target="https://doi.org/10.1111/j.1472-4642.2007.00308.x" TargetMode="External"/><Relationship Id="rId1336" Type="http://schemas.openxmlformats.org/officeDocument/2006/relationships/hyperlink" Target="https://www.sierraforestlegacy.org/Resources/Conservation/FireForestEcology/FireScienceResearch/FireEcology/FireEcology-Martin91.pdf" TargetMode="External"/><Relationship Id="rId1543" Type="http://schemas.openxmlformats.org/officeDocument/2006/relationships/hyperlink" Target="https://doi.org/10.2/sajs.v108i11/12.1448" TargetMode="External"/><Relationship Id="rId1750" Type="http://schemas.openxmlformats.org/officeDocument/2006/relationships/image" Target="media/image130.JPG"/><Relationship Id="rId42" Type="http://schemas.openxmlformats.org/officeDocument/2006/relationships/image" Target="media/image23.JPG"/><Relationship Id="rId1403" Type="http://schemas.openxmlformats.org/officeDocument/2006/relationships/hyperlink" Target="https://doi.org/10.3354/cr017105" TargetMode="External"/><Relationship Id="rId1610" Type="http://schemas.openxmlformats.org/officeDocument/2006/relationships/hyperlink" Target="http://www.cambridge.org/9781107082656" TargetMode="External"/><Relationship Id="rId1848" Type="http://schemas.openxmlformats.org/officeDocument/2006/relationships/hyperlink" Target="https://doi.org/10.3390/resources2010001" TargetMode="External"/><Relationship Id="rId191" Type="http://schemas.openxmlformats.org/officeDocument/2006/relationships/hyperlink" Target="https://doi.org/10.1007/978-94-007-6173-5_92-1" TargetMode="External"/><Relationship Id="rId1708" Type="http://schemas.openxmlformats.org/officeDocument/2006/relationships/hyperlink" Target="https://doi.org/10.5194/hess-17-2339-2013" TargetMode="External"/><Relationship Id="rId1915" Type="http://schemas.openxmlformats.org/officeDocument/2006/relationships/hyperlink" Target="http://www.conservationandsociety.org/text.asp?2008/6/1/49/49201" TargetMode="External"/><Relationship Id="rId289" Type="http://schemas.openxmlformats.org/officeDocument/2006/relationships/hyperlink" Target="https://doi.org/10.1038/461472a" TargetMode="External"/><Relationship Id="rId496" Type="http://schemas.openxmlformats.org/officeDocument/2006/relationships/hyperlink" Target="https://doi.org/10.1080/14728028.2011.9756702" TargetMode="External"/><Relationship Id="rId149" Type="http://schemas.openxmlformats.org/officeDocument/2006/relationships/hyperlink" Target="https://doi.org/10.1016/j.ecss.2016.03.032" TargetMode="External"/><Relationship Id="rId356" Type="http://schemas.openxmlformats.org/officeDocument/2006/relationships/hyperlink" Target="http://www.uneca.org/eca_resources/publications/sdd/%20panafcon%20outcomes.pdf" TargetMode="External"/><Relationship Id="rId563" Type="http://schemas.openxmlformats.org/officeDocument/2006/relationships/hyperlink" Target="https://doi.org/10.21825/af.v23i1.5039" TargetMode="External"/><Relationship Id="rId770" Type="http://schemas.openxmlformats.org/officeDocument/2006/relationships/hyperlink" Target="https://doi.org/10.3366/afr.2007.77.1.1" TargetMode="External"/><Relationship Id="rId1193" Type="http://schemas.openxmlformats.org/officeDocument/2006/relationships/hyperlink" Target="https://doi.org/10.1111/conl.12076" TargetMode="External"/><Relationship Id="rId216" Type="http://schemas.openxmlformats.org/officeDocument/2006/relationships/hyperlink" Target="https://doi.org/10.1007/s10113-014-0709-6" TargetMode="External"/><Relationship Id="rId423" Type="http://schemas.openxmlformats.org/officeDocument/2006/relationships/hyperlink" Target="https://doi.org/10.1080/10228190608566255" TargetMode="External"/><Relationship Id="rId868" Type="http://schemas.openxmlformats.org/officeDocument/2006/relationships/hyperlink" Target="https://trove.nla.gov.au/work/10743977?q&amp;versionId=44482583" TargetMode="External"/><Relationship Id="rId1053" Type="http://schemas.openxmlformats.org/officeDocument/2006/relationships/image" Target="media/image89.JPG"/><Relationship Id="rId1260" Type="http://schemas.openxmlformats.org/officeDocument/2006/relationships/hyperlink" Target="https://doi.org/10.1175/JHM-D-16-0195.1" TargetMode="External"/><Relationship Id="rId1498" Type="http://schemas.openxmlformats.org/officeDocument/2006/relationships/hyperlink" Target="http://unctad.org/en/PublicationsLibrary/aldcafrica2012_embargo_en.pdf" TargetMode="External"/><Relationship Id="rId630" Type="http://schemas.openxmlformats.org/officeDocument/2006/relationships/hyperlink" Target="https://www.e-unwto.org/doi/pdf/10.18111/9789284418725" TargetMode="External"/><Relationship Id="rId728" Type="http://schemas.openxmlformats.org/officeDocument/2006/relationships/hyperlink" Target="https://pulitzercenter.org/reporting/endangered-south-africa-those-doggone-conservationists" TargetMode="External"/><Relationship Id="rId935" Type="http://schemas.openxmlformats.org/officeDocument/2006/relationships/hyperlink" Target="https://sora.unm.edu/sites/default/files/journals/nab/v043n03/p00420-p00428.pdf" TargetMode="External"/><Relationship Id="rId1358" Type="http://schemas.openxmlformats.org/officeDocument/2006/relationships/hyperlink" Target="https://doi.org/10.1016/0006-3207(92)91164-N" TargetMode="External"/><Relationship Id="rId1565" Type="http://schemas.openxmlformats.org/officeDocument/2006/relationships/hyperlink" Target="https://www.worldwildlife.org/ecoregions/at0109" TargetMode="External"/><Relationship Id="rId1772" Type="http://schemas.openxmlformats.org/officeDocument/2006/relationships/hyperlink" Target="https://www.afdb.org/fileadmin/uploads/afdb/Documents/Policy-Documents/December_2013_-_AfDB%E2%80%99S_Integrated_Safeguards_System___Policy_Statement_and_Operational_Safeguards.pdf" TargetMode="External"/><Relationship Id="rId64" Type="http://schemas.openxmlformats.org/officeDocument/2006/relationships/hyperlink" Target="http://ageconsearch.tind.io//bitstream/12796/1/ltcwp33.pdf" TargetMode="External"/><Relationship Id="rId1120" Type="http://schemas.openxmlformats.org/officeDocument/2006/relationships/hyperlink" Target="http://hdl.handle.net/10520/EJC96286" TargetMode="External"/><Relationship Id="rId1218" Type="http://schemas.openxmlformats.org/officeDocument/2006/relationships/hyperlink" Target="http://ir-library.ku.ac.ke/handle/123456789/3849" TargetMode="External"/><Relationship Id="rId1425" Type="http://schemas.openxmlformats.org/officeDocument/2006/relationships/hyperlink" Target="https://doi.org/10.1046/j.1365-2699.2000.00208.x" TargetMode="External"/><Relationship Id="rId1632" Type="http://schemas.openxmlformats.org/officeDocument/2006/relationships/hyperlink" Target="http://www.ecologyandsociety.org/vol15/iss2/art17/" TargetMode="External"/><Relationship Id="rId1937" Type="http://schemas.openxmlformats.org/officeDocument/2006/relationships/hyperlink" Target="https://doi.org/10.1111/cobi.12568" TargetMode="External"/><Relationship Id="rId280" Type="http://schemas.openxmlformats.org/officeDocument/2006/relationships/hyperlink" Target="https://doi.org/10.1126/science.1246752" TargetMode="External"/><Relationship Id="rId140" Type="http://schemas.openxmlformats.org/officeDocument/2006/relationships/hyperlink" Target="https://doi.org/10.1016/j.jpolmod.2015.04.006" TargetMode="External"/><Relationship Id="rId378" Type="http://schemas.openxmlformats.org/officeDocument/2006/relationships/hyperlink" Target="http://documents.worldbank.org/curated/en/388381468741607213/Indigenous-knowledge-for-development-a-framework-for-action" TargetMode="External"/><Relationship Id="rId585" Type="http://schemas.openxmlformats.org/officeDocument/2006/relationships/hyperlink" Target="https://doi.org/10.1641/0006-3568(2001)051%5b0933:TEOTWA%5d2.0.CO;2" TargetMode="External"/><Relationship Id="rId792" Type="http://schemas.openxmlformats.org/officeDocument/2006/relationships/hyperlink" Target="https://doi.org/10.1371/journal.pbio.0040277" TargetMode="External"/><Relationship Id="rId6" Type="http://schemas.openxmlformats.org/officeDocument/2006/relationships/styles" Target="styles.xml"/><Relationship Id="rId238" Type="http://schemas.openxmlformats.org/officeDocument/2006/relationships/hyperlink" Target="https://doi.org/10.1038/nature18964" TargetMode="External"/><Relationship Id="rId445" Type="http://schemas.openxmlformats.org/officeDocument/2006/relationships/hyperlink" Target="http://www.espa.ac.uk/files/espa/Marine%20and%20Coastal%20-%20Synthesis%20Report.pdf" TargetMode="External"/><Relationship Id="rId652" Type="http://schemas.openxmlformats.org/officeDocument/2006/relationships/hyperlink" Target="https://doi.org/10.18052/www.scipress.com/ILSHS.15.1" TargetMode="External"/><Relationship Id="rId1075" Type="http://schemas.openxmlformats.org/officeDocument/2006/relationships/hyperlink" Target="https://www.afdb.org/fileadmin/uploads/afdb/Documents/GenericDocuments/xwwf_african_futures_report_english-lo-rez.pdf" TargetMode="External"/><Relationship Id="rId1282" Type="http://schemas.openxmlformats.org/officeDocument/2006/relationships/hyperlink" Target="https://globalands.ecologic.eu/sites/default/files/Globalands_Discussion_Paper_Sustainable_Landuse.pdf" TargetMode="External"/><Relationship Id="rId305" Type="http://schemas.openxmlformats.org/officeDocument/2006/relationships/hyperlink" Target="https://doi.org/10.1371/journal.pone.0082898" TargetMode="External"/><Relationship Id="rId512" Type="http://schemas.openxmlformats.org/officeDocument/2006/relationships/hyperlink" Target="https://doi.org/10.21622/resd.2015.01.2.243" TargetMode="External"/><Relationship Id="rId957" Type="http://schemas.openxmlformats.org/officeDocument/2006/relationships/hyperlink" Target="https://doi.org/10.1111/conl.12435" TargetMode="External"/><Relationship Id="rId1142" Type="http://schemas.openxmlformats.org/officeDocument/2006/relationships/hyperlink" Target="https://doi.org/10.1016/S1352-2310(02)01009-9" TargetMode="External"/><Relationship Id="rId1587" Type="http://schemas.openxmlformats.org/officeDocument/2006/relationships/image" Target="media/image119.JPG"/><Relationship Id="rId1794" Type="http://schemas.openxmlformats.org/officeDocument/2006/relationships/hyperlink" Target="https://doi.org/10.2993/0278-0771-36.2.457" TargetMode="External"/><Relationship Id="rId86" Type="http://schemas.openxmlformats.org/officeDocument/2006/relationships/hyperlink" Target="https://doi.org/10.1126/science.1106881" TargetMode="External"/><Relationship Id="rId817" Type="http://schemas.openxmlformats.org/officeDocument/2006/relationships/hyperlink" Target="http://doi.org/10.1023/A:101197842073" TargetMode="External"/><Relationship Id="rId1002" Type="http://schemas.openxmlformats.org/officeDocument/2006/relationships/hyperlink" Target="https://www.protectedplanet.net/c/protected-planet-report-2016" TargetMode="External"/><Relationship Id="rId1447" Type="http://schemas.openxmlformats.org/officeDocument/2006/relationships/hyperlink" Target="https://doi.org/10.1098/rstb.2015.0312" TargetMode="External"/><Relationship Id="rId1654" Type="http://schemas.openxmlformats.org/officeDocument/2006/relationships/hyperlink" Target="https://doi.org/10.1371/journal.pone.0024528" TargetMode="External"/><Relationship Id="rId1861" Type="http://schemas.openxmlformats.org/officeDocument/2006/relationships/hyperlink" Target="https://doi.org/10.1016/j.ecolecon.2011.11.012" TargetMode="External"/><Relationship Id="rId1307" Type="http://schemas.openxmlformats.org/officeDocument/2006/relationships/hyperlink" Target="https://doi.org/10.1007/978-1-4612-2278-1_2" TargetMode="External"/><Relationship Id="rId1514" Type="http://schemas.openxmlformats.org/officeDocument/2006/relationships/hyperlink" Target="https://doi.org/10.1017/S0022215114002254" TargetMode="External"/><Relationship Id="rId1721" Type="http://schemas.openxmlformats.org/officeDocument/2006/relationships/hyperlink" Target="https://doi.org/10.1007/s10021-015-9938-x" TargetMode="External"/><Relationship Id="rId1959" Type="http://schemas.openxmlformats.org/officeDocument/2006/relationships/hyperlink" Target="https://doi.org/10.1016/j.pecon.2017.05.003" TargetMode="External"/><Relationship Id="rId13" Type="http://schemas.openxmlformats.org/officeDocument/2006/relationships/image" Target="media/image3.jpeg"/><Relationship Id="rId1819" Type="http://schemas.openxmlformats.org/officeDocument/2006/relationships/hyperlink" Target="https://www.cbd.int/gbo/gbo4/publication/gbo4-en.pdf" TargetMode="External"/><Relationship Id="rId162" Type="http://schemas.openxmlformats.org/officeDocument/2006/relationships/hyperlink" Target="http://www.fao.org/docrep/013/i2000e/i2000e.pdf" TargetMode="External"/><Relationship Id="rId467" Type="http://schemas.openxmlformats.org/officeDocument/2006/relationships/hyperlink" Target="https://doi.org/10.1890/080025" TargetMode="External"/><Relationship Id="rId1097" Type="http://schemas.openxmlformats.org/officeDocument/2006/relationships/hyperlink" Target="https://doi.org/10.1002/tox.20068" TargetMode="External"/><Relationship Id="rId674" Type="http://schemas.openxmlformats.org/officeDocument/2006/relationships/image" Target="media/image61.JPG"/><Relationship Id="rId881" Type="http://schemas.openxmlformats.org/officeDocument/2006/relationships/hyperlink" Target="https://www.cbd.int/doc/world/mg/mg-nr-05-en.pdf" TargetMode="External"/><Relationship Id="rId979" Type="http://schemas.openxmlformats.org/officeDocument/2006/relationships/hyperlink" Target="https://www.cabdirect.org/cabdirect/abstract/20153364773" TargetMode="External"/><Relationship Id="rId327" Type="http://schemas.openxmlformats.org/officeDocument/2006/relationships/hyperlink" Target="http://www.un.org/millenniumgoals/pdf/report-2013/mdg-report-2013-english.pdf" TargetMode="External"/><Relationship Id="rId534" Type="http://schemas.openxmlformats.org/officeDocument/2006/relationships/hyperlink" Target="http://climatefrontlines.org/sites/default/files/ipbes/IPBES_in_Africa_2015.pdf" TargetMode="External"/><Relationship Id="rId741" Type="http://schemas.openxmlformats.org/officeDocument/2006/relationships/hyperlink" Target="https://doi.org/10.1073/pnas.0401456101" TargetMode="External"/><Relationship Id="rId839" Type="http://schemas.openxmlformats.org/officeDocument/2006/relationships/hyperlink" Target="https://doi.org/10.1016/j.biocon.2009.05.028" TargetMode="External"/><Relationship Id="rId1164" Type="http://schemas.openxmlformats.org/officeDocument/2006/relationships/hyperlink" Target="https://doi.org/10.7916/D8J966CS" TargetMode="External"/><Relationship Id="rId1371" Type="http://schemas.openxmlformats.org/officeDocument/2006/relationships/hyperlink" Target="https://www.ipcc.ch/pdf/assessment-report/ar5/wg1/WG1AR5_Frontmatter_FINAL.pdf" TargetMode="External"/><Relationship Id="rId1469" Type="http://schemas.openxmlformats.org/officeDocument/2006/relationships/hyperlink" Target="http://www.statista.com/statistics/265590/primary-energy-consumption-in-africa/" TargetMode="External"/><Relationship Id="rId2008" Type="http://schemas.openxmlformats.org/officeDocument/2006/relationships/hyperlink" Target="https://doi.org/10.1590/sajs.2014/a0074" TargetMode="External"/><Relationship Id="rId601" Type="http://schemas.openxmlformats.org/officeDocument/2006/relationships/hyperlink" Target="https://doi.org/10.1016/B978-0-12-505290-0.X5000-5" TargetMode="External"/><Relationship Id="rId1024" Type="http://schemas.openxmlformats.org/officeDocument/2006/relationships/hyperlink" Target="https://www.worldwildlife.org/ecoregions/at0202" TargetMode="External"/><Relationship Id="rId1231" Type="http://schemas.openxmlformats.org/officeDocument/2006/relationships/hyperlink" Target="https://www.unisdr.org/files/1078_publication2004emdat.pdf" TargetMode="External"/><Relationship Id="rId1676" Type="http://schemas.openxmlformats.org/officeDocument/2006/relationships/hyperlink" Target="http://vuir.vu.edu.au/id/eprint/4819" TargetMode="External"/><Relationship Id="rId1883" Type="http://schemas.openxmlformats.org/officeDocument/2006/relationships/hyperlink" Target="http://pubs.iied.org/pdfs/8116IIED.pdf" TargetMode="External"/><Relationship Id="rId906" Type="http://schemas.openxmlformats.org/officeDocument/2006/relationships/hyperlink" Target="https://doi.org/10.1080/21564574.2011.564660" TargetMode="External"/><Relationship Id="rId1329" Type="http://schemas.openxmlformats.org/officeDocument/2006/relationships/hyperlink" Target="http://hdl.handle.net/10568/1934" TargetMode="External"/><Relationship Id="rId1536" Type="http://schemas.openxmlformats.org/officeDocument/2006/relationships/hyperlink" Target="http://www.fao.org/tempref/docrep/fao/010/aj114e/aj114e10.pdf" TargetMode="External"/><Relationship Id="rId1743" Type="http://schemas.openxmlformats.org/officeDocument/2006/relationships/image" Target="media/image125.JPG"/><Relationship Id="rId1950" Type="http://schemas.openxmlformats.org/officeDocument/2006/relationships/hyperlink" Target="https://doi.org/10.3389/fevo.2015.00137" TargetMode="External"/><Relationship Id="rId35" Type="http://schemas.openxmlformats.org/officeDocument/2006/relationships/image" Target="media/image18.JPG"/><Relationship Id="rId1603" Type="http://schemas.openxmlformats.org/officeDocument/2006/relationships/hyperlink" Target="https://doi.org/10.1111/ddi.12337" TargetMode="External"/><Relationship Id="rId1810" Type="http://schemas.openxmlformats.org/officeDocument/2006/relationships/hyperlink" Target="http://www.tzonline.org/pdf/participatoryforestmanagement2009.pdf" TargetMode="External"/><Relationship Id="rId184" Type="http://schemas.openxmlformats.org/officeDocument/2006/relationships/hyperlink" Target="https://doi.org/10.5751/ES-04249-160325" TargetMode="External"/><Relationship Id="rId391" Type="http://schemas.openxmlformats.org/officeDocument/2006/relationships/hyperlink" Target="https://www.ipbes.net/node/add/supporting-material" TargetMode="External"/><Relationship Id="rId1908" Type="http://schemas.openxmlformats.org/officeDocument/2006/relationships/hyperlink" Target="https://www.wmo.int/pages/prog/amp/pwsp/documents/Mahoo_Sokoine.pdf" TargetMode="External"/><Relationship Id="rId251" Type="http://schemas.openxmlformats.org/officeDocument/2006/relationships/hyperlink" Target="https://doi.org/10.1098/rspb.2002.2075" TargetMode="External"/><Relationship Id="rId489" Type="http://schemas.openxmlformats.org/officeDocument/2006/relationships/hyperlink" Target="http://www.fao.org/3/a-y3557e.pdf" TargetMode="External"/><Relationship Id="rId696" Type="http://schemas.openxmlformats.org/officeDocument/2006/relationships/hyperlink" Target="https://doi.org/10.3763/ijas.2010.0553" TargetMode="External"/><Relationship Id="rId349" Type="http://schemas.openxmlformats.org/officeDocument/2006/relationships/hyperlink" Target="http://wedocs.unep.org/bitstream/handle/20.500.11822/7595/GEO_Africa_201611.pdf" TargetMode="External"/><Relationship Id="rId556" Type="http://schemas.openxmlformats.org/officeDocument/2006/relationships/hyperlink" Target="https://doi.org/10.1505/146554815816007018" TargetMode="External"/><Relationship Id="rId763" Type="http://schemas.openxmlformats.org/officeDocument/2006/relationships/hyperlink" Target="https://doi.org/10.1371/journal.pone.0011842" TargetMode="External"/><Relationship Id="rId1186" Type="http://schemas.openxmlformats.org/officeDocument/2006/relationships/hyperlink" Target="https://doi.org/10.1016/j.cosust.2014.11.002" TargetMode="External"/><Relationship Id="rId1393" Type="http://schemas.openxmlformats.org/officeDocument/2006/relationships/hyperlink" Target="https://doi.org/10.1016/j.ecoenv.2008.12.014" TargetMode="External"/><Relationship Id="rId111" Type="http://schemas.openxmlformats.org/officeDocument/2006/relationships/hyperlink" Target="https://doi.org/10.1073/pnas.1011526108" TargetMode="External"/><Relationship Id="rId209" Type="http://schemas.openxmlformats.org/officeDocument/2006/relationships/hyperlink" Target="https://www.ipcc.ch/pdf/special-reports/srex/SREX_Full_Report.pdf" TargetMode="External"/><Relationship Id="rId416" Type="http://schemas.openxmlformats.org/officeDocument/2006/relationships/hyperlink" Target="https://doi.org/10.1505/IFOR.5.4.379.22660" TargetMode="External"/><Relationship Id="rId970" Type="http://schemas.openxmlformats.org/officeDocument/2006/relationships/hyperlink" Target="https://portals.iucn.org/library/sites/library/files/documents/1988-015-3.pdf" TargetMode="External"/><Relationship Id="rId1046" Type="http://schemas.openxmlformats.org/officeDocument/2006/relationships/image" Target="media/image84.png"/><Relationship Id="rId1253" Type="http://schemas.openxmlformats.org/officeDocument/2006/relationships/hyperlink" Target="https://doi.org/10.1126/science.1152509" TargetMode="External"/><Relationship Id="rId1698" Type="http://schemas.openxmlformats.org/officeDocument/2006/relationships/hyperlink" Target="https://doi.org/10.1007/s11273-015-9466-7" TargetMode="External"/><Relationship Id="rId623" Type="http://schemas.openxmlformats.org/officeDocument/2006/relationships/hyperlink" Target="https://portals.iucn.org/library/node/8114" TargetMode="External"/><Relationship Id="rId830" Type="http://schemas.openxmlformats.org/officeDocument/2006/relationships/hyperlink" Target="http://doi.org/10.1111/j.1466-8238.2010.00584.x" TargetMode="External"/><Relationship Id="rId928" Type="http://schemas.openxmlformats.org/officeDocument/2006/relationships/hyperlink" Target="https://doi.org/10.5194/hess-11-1633-2007" TargetMode="External"/><Relationship Id="rId1460" Type="http://schemas.openxmlformats.org/officeDocument/2006/relationships/hyperlink" Target="https://doi.org/10.1080/0376835X.2011.570065" TargetMode="External"/><Relationship Id="rId1558" Type="http://schemas.openxmlformats.org/officeDocument/2006/relationships/hyperlink" Target="http://www.worldpopdata.org/" TargetMode="External"/><Relationship Id="rId1765" Type="http://schemas.openxmlformats.org/officeDocument/2006/relationships/image" Target="media/image135.JPG"/><Relationship Id="rId57" Type="http://schemas.openxmlformats.org/officeDocument/2006/relationships/hyperlink" Target="https://doi.org/10.18848/1832-2077/CGP/v05i03/54619" TargetMode="External"/><Relationship Id="rId1113" Type="http://schemas.openxmlformats.org/officeDocument/2006/relationships/hyperlink" Target="https://doi.org/10.1016/j.esd.2014.12.008" TargetMode="External"/><Relationship Id="rId1320" Type="http://schemas.openxmlformats.org/officeDocument/2006/relationships/hyperlink" Target="https://doi.org/10.5751/ES-04531-170109" TargetMode="External"/><Relationship Id="rId1418" Type="http://schemas.openxmlformats.org/officeDocument/2006/relationships/hyperlink" Target="https://doi.org/10.1371/journal.pone.0056236" TargetMode="External"/><Relationship Id="rId1972" Type="http://schemas.openxmlformats.org/officeDocument/2006/relationships/hyperlink" Target="https://doi.org/10.1007/s10113-013-0533-4" TargetMode="External"/><Relationship Id="rId1625" Type="http://schemas.openxmlformats.org/officeDocument/2006/relationships/hyperlink" Target="https://doi.org/10.1016/j.marpol.2010.01.023" TargetMode="External"/><Relationship Id="rId1832" Type="http://schemas.openxmlformats.org/officeDocument/2006/relationships/hyperlink" Target="https://doi.org/10.1038/387253a0" TargetMode="External"/><Relationship Id="rId273" Type="http://schemas.openxmlformats.org/officeDocument/2006/relationships/hyperlink" Target="http://www.plaas.org.za/sites/default/files/publications-pdf/LDPI29Oyono.pdf" TargetMode="External"/><Relationship Id="rId480" Type="http://schemas.openxmlformats.org/officeDocument/2006/relationships/hyperlink" Target="https://doi.org/10.1098/rspb.2013.0246" TargetMode="External"/><Relationship Id="rId133" Type="http://schemas.openxmlformats.org/officeDocument/2006/relationships/hyperlink" Target="https://doi.org/10.1016/j.tree.2013.05.002" TargetMode="External"/><Relationship Id="rId340" Type="http://schemas.openxmlformats.org/officeDocument/2006/relationships/hyperlink" Target="http://repository.uneca.org/handle/10855/22923" TargetMode="External"/><Relationship Id="rId578" Type="http://schemas.openxmlformats.org/officeDocument/2006/relationships/hyperlink" Target="https://doi.org/10.1016/j.envsci.2010.06.004" TargetMode="External"/><Relationship Id="rId785" Type="http://schemas.openxmlformats.org/officeDocument/2006/relationships/hyperlink" Target="https://doi.org/10.1023/A:1013126832741" TargetMode="External"/><Relationship Id="rId992" Type="http://schemas.openxmlformats.org/officeDocument/2006/relationships/hyperlink" Target="http://hdl.handle.net/10520/EJC96207" TargetMode="External"/><Relationship Id="rId2021" Type="http://schemas.openxmlformats.org/officeDocument/2006/relationships/hyperlink" Target="http://www.panda.org/lpr/africa2012" TargetMode="External"/><Relationship Id="rId200" Type="http://schemas.openxmlformats.org/officeDocument/2006/relationships/hyperlink" Target="https://doi.org/10.1016/j.biocon.2012.01.016" TargetMode="External"/><Relationship Id="rId438" Type="http://schemas.openxmlformats.org/officeDocument/2006/relationships/hyperlink" Target="https://doi.org/10.1023/A:1018783725398" TargetMode="External"/><Relationship Id="rId645" Type="http://schemas.openxmlformats.org/officeDocument/2006/relationships/hyperlink" Target="https://doi.org/10.1111/aje.12392" TargetMode="External"/><Relationship Id="rId852" Type="http://schemas.openxmlformats.org/officeDocument/2006/relationships/hyperlink" Target="https://doi.org/10.3354/cr017145" TargetMode="External"/><Relationship Id="rId1068" Type="http://schemas.openxmlformats.org/officeDocument/2006/relationships/image" Target="media/image101.JPG"/><Relationship Id="rId1275" Type="http://schemas.openxmlformats.org/officeDocument/2006/relationships/hyperlink" Target="https://doi.org/10.1007/s10584-012-0581-7" TargetMode="External"/><Relationship Id="rId1482" Type="http://schemas.openxmlformats.org/officeDocument/2006/relationships/hyperlink" Target="https://doi.org/10.1007/s10457-012-9493-9" TargetMode="External"/><Relationship Id="rId505" Type="http://schemas.openxmlformats.org/officeDocument/2006/relationships/hyperlink" Target="https://doi.org/10.5751/ES-06288-180472" TargetMode="External"/><Relationship Id="rId712" Type="http://schemas.openxmlformats.org/officeDocument/2006/relationships/hyperlink" Target="http://www.fao.org/docrep/005/w4442e/w4442e00.htm" TargetMode="External"/><Relationship Id="rId1135" Type="http://schemas.openxmlformats.org/officeDocument/2006/relationships/hyperlink" Target="https://doi.org/10.2989/16085914.2003.9626601" TargetMode="External"/><Relationship Id="rId1342" Type="http://schemas.openxmlformats.org/officeDocument/2006/relationships/hyperlink" Target="https://doi.org/10.17159/sajs.2016/20160070" TargetMode="External"/><Relationship Id="rId1787" Type="http://schemas.openxmlformats.org/officeDocument/2006/relationships/hyperlink" Target="https://doi.org/10.1017/S0376892906003183" TargetMode="External"/><Relationship Id="rId1994" Type="http://schemas.openxmlformats.org/officeDocument/2006/relationships/hyperlink" Target="https://na.unep.net/atlas/datlas/sites/default/files/GEO-4_Report_Full_en.pdf" TargetMode="External"/><Relationship Id="rId79" Type="http://schemas.openxmlformats.org/officeDocument/2006/relationships/hyperlink" Target="http://publications.cta.int/media/publications/downloads/1735_PDF.pdf" TargetMode="External"/><Relationship Id="rId1202" Type="http://schemas.openxmlformats.org/officeDocument/2006/relationships/hyperlink" Target="https://www.mpl.ird.fr/crea/taller-colombia/FAO/AGLL/pdfdocs/landqual.pdf" TargetMode="External"/><Relationship Id="rId1647" Type="http://schemas.openxmlformats.org/officeDocument/2006/relationships/hyperlink" Target="https://doi.org/10.1111/j.1461-0248.2009.01297.x" TargetMode="External"/><Relationship Id="rId1854" Type="http://schemas.openxmlformats.org/officeDocument/2006/relationships/hyperlink" Target="http://www.fao.org/3/a-i0510e.pdf" TargetMode="External"/><Relationship Id="rId1507" Type="http://schemas.openxmlformats.org/officeDocument/2006/relationships/hyperlink" Target="https://www.unodc.org/documents/data-and-analysis/wildlife/World_Wildlife_Crime_Report_2016_final.pdf" TargetMode="External"/><Relationship Id="rId1714" Type="http://schemas.openxmlformats.org/officeDocument/2006/relationships/hyperlink" Target="https://hdr.undp.org/hdr2006/" TargetMode="External"/><Relationship Id="rId295" Type="http://schemas.openxmlformats.org/officeDocument/2006/relationships/hyperlink" Target="https://www.mckinsey.com/~/media/McKinsey/dotcom/Insights%20and%20pubs/MGI/Research/Productivity%20Competitiveness%20and%20Growth/Lions%20on%20the%20move%20The%20progress%20of%20African%20economies/MGI_Lions_on_the_move_african_economies_full_report.ashx" TargetMode="External"/><Relationship Id="rId1921" Type="http://schemas.openxmlformats.org/officeDocument/2006/relationships/hyperlink" Target="https://doi.org/10.1155/2013/798101" TargetMode="External"/><Relationship Id="rId155" Type="http://schemas.openxmlformats.org/officeDocument/2006/relationships/hyperlink" Target="https://tspace.library.utoronto.ca/handle/1807/9189" TargetMode="External"/><Relationship Id="rId362" Type="http://schemas.openxmlformats.org/officeDocument/2006/relationships/hyperlink" Target="https://doi.org/10.1016/j.gloplacha.2014.07.007" TargetMode="External"/><Relationship Id="rId1297" Type="http://schemas.openxmlformats.org/officeDocument/2006/relationships/hyperlink" Target="https://doi.org/10.1016/j.prevetmed.2013.07.013" TargetMode="External"/><Relationship Id="rId222" Type="http://schemas.openxmlformats.org/officeDocument/2006/relationships/hyperlink" Target="https://doi.org/10.1016/j.cub.2015.10.046" TargetMode="External"/><Relationship Id="rId667" Type="http://schemas.openxmlformats.org/officeDocument/2006/relationships/image" Target="media/image55.png"/><Relationship Id="rId874" Type="http://schemas.openxmlformats.org/officeDocument/2006/relationships/hyperlink" Target="https://doi.org/10.3390/rs9010005" TargetMode="External"/><Relationship Id="rId527" Type="http://schemas.openxmlformats.org/officeDocument/2006/relationships/hyperlink" Target="http://www.irena.org/-/media/Files/IRENA/Agency/Publication/2017/Nov/IRENA_Biofuel_potential_sub-Saharan_Africa_2017.pdf" TargetMode="External"/><Relationship Id="rId734" Type="http://schemas.openxmlformats.org/officeDocument/2006/relationships/hyperlink" Target="https://doi.org/10.1111/j.1474-919X.2009.00954.x" TargetMode="External"/><Relationship Id="rId941" Type="http://schemas.openxmlformats.org/officeDocument/2006/relationships/hyperlink" Target="https://doi.org/10.1007/s12571-015-0478-1" TargetMode="External"/><Relationship Id="rId1157" Type="http://schemas.openxmlformats.org/officeDocument/2006/relationships/hyperlink" Target="https://doi.org/10.1111/j.1365-3180.2011.00850.x" TargetMode="External"/><Relationship Id="rId1364" Type="http://schemas.openxmlformats.org/officeDocument/2006/relationships/hyperlink" Target="https://doi.org/10.1155/2013/798101" TargetMode="External"/><Relationship Id="rId1571" Type="http://schemas.openxmlformats.org/officeDocument/2006/relationships/image" Target="media/image103.JPG"/><Relationship Id="rId70" Type="http://schemas.openxmlformats.org/officeDocument/2006/relationships/hyperlink" Target="https://doi.org/10.1080/07360932.2017.1310123" TargetMode="External"/><Relationship Id="rId801" Type="http://schemas.openxmlformats.org/officeDocument/2006/relationships/hyperlink" Target="https://doi.org/10.1016/j.ecoser.2012.09.004" TargetMode="External"/><Relationship Id="rId1017" Type="http://schemas.openxmlformats.org/officeDocument/2006/relationships/hyperlink" Target="http://databank.worldbank.org/data/download/POP.pdf" TargetMode="External"/><Relationship Id="rId1224" Type="http://schemas.openxmlformats.org/officeDocument/2006/relationships/hyperlink" Target="https://doi.org/10.1016/j.apgeog.2014.11.024" TargetMode="External"/><Relationship Id="rId1431" Type="http://schemas.openxmlformats.org/officeDocument/2006/relationships/hyperlink" Target="https://doi.org/10.3366/afr.2005.75.4.510" TargetMode="External"/><Relationship Id="rId1669" Type="http://schemas.openxmlformats.org/officeDocument/2006/relationships/hyperlink" Target="https://doi.org/10.1038/ncomms2986" TargetMode="External"/><Relationship Id="rId1876" Type="http://schemas.openxmlformats.org/officeDocument/2006/relationships/hyperlink" Target="https://www.thenation.com/article/great-green-wall-africa/" TargetMode="External"/><Relationship Id="rId1529" Type="http://schemas.openxmlformats.org/officeDocument/2006/relationships/hyperlink" Target="https://doi.org/10.1016/j.micinf.2010.09.015" TargetMode="External"/><Relationship Id="rId1736" Type="http://schemas.openxmlformats.org/officeDocument/2006/relationships/hyperlink" Target="https://doi.org/10.1098/rstb.2015.0315" TargetMode="External"/><Relationship Id="rId1943" Type="http://schemas.openxmlformats.org/officeDocument/2006/relationships/hyperlink" Target="http://www.cifor.org/publications/pdf_files/WPapers/WP162Pavageau.pdf" TargetMode="External"/><Relationship Id="rId28" Type="http://schemas.openxmlformats.org/officeDocument/2006/relationships/image" Target="media/image13.JPG"/><Relationship Id="rId1803" Type="http://schemas.openxmlformats.org/officeDocument/2006/relationships/hyperlink" Target="https://doi.org/10.1016/j.jenvman.2008.12.001" TargetMode="External"/><Relationship Id="rId177" Type="http://schemas.openxmlformats.org/officeDocument/2006/relationships/hyperlink" Target="http://www.gaboronedeclaration.com/s/GDSA-Declaration-2012.pdf" TargetMode="External"/><Relationship Id="rId384" Type="http://schemas.openxmlformats.org/officeDocument/2006/relationships/hyperlink" Target="http://www3.weforum.org/docs/WEF_ACR_2015/Africa_Competitiveness_Report_2015.pdf" TargetMode="External"/><Relationship Id="rId591" Type="http://schemas.openxmlformats.org/officeDocument/2006/relationships/hyperlink" Target="http://documents.worldbank.org/curated/en/326401468181790562/The-social-challenge-of-biodiversity-conservation" TargetMode="External"/><Relationship Id="rId244" Type="http://schemas.openxmlformats.org/officeDocument/2006/relationships/hyperlink" Target="https://doi.org/10.1080/14888386.2009.9712842" TargetMode="External"/><Relationship Id="rId689" Type="http://schemas.openxmlformats.org/officeDocument/2006/relationships/hyperlink" Target="http://www.fao.org/fileadmin/user_upload/mountain_partnership/docs/African%20Mountains%20Status%20Report_2014_Final.pdf" TargetMode="External"/><Relationship Id="rId896" Type="http://schemas.openxmlformats.org/officeDocument/2006/relationships/hyperlink" Target="https://doi.org/10.1046/j.1523-1739.1999.98467.x" TargetMode="External"/><Relationship Id="rId1081" Type="http://schemas.openxmlformats.org/officeDocument/2006/relationships/hyperlink" Target="https://doi.org/10.1073/pnas.1011013108" TargetMode="External"/><Relationship Id="rId451" Type="http://schemas.openxmlformats.org/officeDocument/2006/relationships/hyperlink" Target="https://www.cbd.int/health/SOK-biodiversity-en.pdf" TargetMode="External"/><Relationship Id="rId549" Type="http://schemas.openxmlformats.org/officeDocument/2006/relationships/hyperlink" Target="http://satoyama-initiative.org" TargetMode="External"/><Relationship Id="rId756" Type="http://schemas.openxmlformats.org/officeDocument/2006/relationships/hyperlink" Target="https://doi.org/10.1016/j.foreco.2012.11.031" TargetMode="External"/><Relationship Id="rId1179" Type="http://schemas.openxmlformats.org/officeDocument/2006/relationships/hyperlink" Target="https://www.observatoire-comifac.net/docs/edf2013/EN/EDF2013_EN.pdf" TargetMode="External"/><Relationship Id="rId1386" Type="http://schemas.openxmlformats.org/officeDocument/2006/relationships/hyperlink" Target="https://doi.org/10.5897/AJAR11.271" TargetMode="External"/><Relationship Id="rId1593" Type="http://schemas.openxmlformats.org/officeDocument/2006/relationships/hyperlink" Target="https://issafrica.s3.amazonaws.com/site/uploads/Paper_234.pdf" TargetMode="External"/><Relationship Id="rId104" Type="http://schemas.openxmlformats.org/officeDocument/2006/relationships/hyperlink" Target="http://www.fao.org/docrep/x3989e/x3989e04.htm" TargetMode="External"/><Relationship Id="rId311" Type="http://schemas.openxmlformats.org/officeDocument/2006/relationships/hyperlink" Target="https://doi.org/10.1007/s12571-015-0530-1" TargetMode="External"/><Relationship Id="rId409" Type="http://schemas.openxmlformats.org/officeDocument/2006/relationships/hyperlink" Target="https://doi.org/10.1016/S0305-750X(01)00066-3" TargetMode="External"/><Relationship Id="rId963" Type="http://schemas.openxmlformats.org/officeDocument/2006/relationships/hyperlink" Target="http://iwlearn.net/publications/regional-seas-reports/unep-regional-seas-reports-andstudies-no-182/lmes-and-regional-seas-i-west-and-central-africa" TargetMode="External"/><Relationship Id="rId1039" Type="http://schemas.openxmlformats.org/officeDocument/2006/relationships/image" Target="media/image77.png"/><Relationship Id="rId1246" Type="http://schemas.openxmlformats.org/officeDocument/2006/relationships/hyperlink" Target="https://doi.org/10.1111/j.1440-1770.2006.00307.x" TargetMode="External"/><Relationship Id="rId1898" Type="http://schemas.openxmlformats.org/officeDocument/2006/relationships/hyperlink" Target="http://www.unep.org" TargetMode="External"/><Relationship Id="rId92" Type="http://schemas.openxmlformats.org/officeDocument/2006/relationships/hyperlink" Target="https://openknowledge.worldbank.org/bitstream/handle/10986/22575/9781464807237.pdf" TargetMode="External"/><Relationship Id="rId616" Type="http://schemas.openxmlformats.org/officeDocument/2006/relationships/hyperlink" Target="https://doi.org/10.1007/s10661-009-0754-7" TargetMode="External"/><Relationship Id="rId823" Type="http://schemas.openxmlformats.org/officeDocument/2006/relationships/hyperlink" Target="https://doi.org/10.1016/j.landurbplan.2016.03.010" TargetMode="External"/><Relationship Id="rId1453" Type="http://schemas.openxmlformats.org/officeDocument/2006/relationships/hyperlink" Target="https://doi.org/10.1111/nph.12210" TargetMode="External"/><Relationship Id="rId1660" Type="http://schemas.openxmlformats.org/officeDocument/2006/relationships/hyperlink" Target="https://doi.org/10.1371/journal.pone.0120054" TargetMode="External"/><Relationship Id="rId1758" Type="http://schemas.openxmlformats.org/officeDocument/2006/relationships/image" Target="media/image132.JPG"/><Relationship Id="rId1106" Type="http://schemas.openxmlformats.org/officeDocument/2006/relationships/hyperlink" Target="https://doi.org/10.1126/science.1133105" TargetMode="External"/><Relationship Id="rId1313" Type="http://schemas.openxmlformats.org/officeDocument/2006/relationships/hyperlink" Target="https://doi.org/10.4314/wsa.v42i4.17" TargetMode="External"/><Relationship Id="rId1520" Type="http://schemas.openxmlformats.org/officeDocument/2006/relationships/hyperlink" Target="http://hdl.handle.net/11591/173498" TargetMode="External"/><Relationship Id="rId1965" Type="http://schemas.openxmlformats.org/officeDocument/2006/relationships/hyperlink" Target="http://www.oneplanetnetwork.org/initiatives" TargetMode="External"/><Relationship Id="rId1618" Type="http://schemas.openxmlformats.org/officeDocument/2006/relationships/hyperlink" Target="https://www.ipcc.ch/pdf/assessment-report/ar4/wg2/ar4-wg2-chapter9.pdf" TargetMode="External"/><Relationship Id="rId1825" Type="http://schemas.openxmlformats.org/officeDocument/2006/relationships/hyperlink" Target="https://ssrn.com/abstract=2814902" TargetMode="External"/><Relationship Id="rId199" Type="http://schemas.openxmlformats.org/officeDocument/2006/relationships/hyperlink" Target="https://doi.org/10.1111/j.1461-0248.2009.01297.x" TargetMode="External"/><Relationship Id="rId266" Type="http://schemas.openxmlformats.org/officeDocument/2006/relationships/hyperlink" Target="https://doi.org/10.1002/sd.1648" TargetMode="External"/><Relationship Id="rId473" Type="http://schemas.openxmlformats.org/officeDocument/2006/relationships/hyperlink" Target="https://doi.org/10.3390/metabo2020303" TargetMode="External"/><Relationship Id="rId680" Type="http://schemas.openxmlformats.org/officeDocument/2006/relationships/image" Target="media/image66.png"/><Relationship Id="rId126" Type="http://schemas.openxmlformats.org/officeDocument/2006/relationships/hyperlink" Target="https://doi.org/10.1111/j.1467-2979.2008.00315.x" TargetMode="External"/><Relationship Id="rId333" Type="http://schemas.openxmlformats.org/officeDocument/2006/relationships/hyperlink" Target="http://catalogue.unccd.int/858_V2_UNCCD_BRO_.pdf" TargetMode="External"/><Relationship Id="rId540" Type="http://schemas.openxmlformats.org/officeDocument/2006/relationships/hyperlink" Target="https://tropicalconservationscience.mongabay.com/content/v1/08-09-15-Kone_et_al_293-306_2008.pdf" TargetMode="External"/><Relationship Id="rId778" Type="http://schemas.openxmlformats.org/officeDocument/2006/relationships/hyperlink" Target="https://doi.org/10.1016/j.biocon.2010.06.007" TargetMode="External"/><Relationship Id="rId985" Type="http://schemas.openxmlformats.org/officeDocument/2006/relationships/hyperlink" Target="https://portals.iucn.org/library/node/27813" TargetMode="External"/><Relationship Id="rId1170" Type="http://schemas.openxmlformats.org/officeDocument/2006/relationships/hyperlink" Target="https://doi.org/10.1016/j.biocon.2010.06.007" TargetMode="External"/><Relationship Id="rId2014" Type="http://schemas.openxmlformats.org/officeDocument/2006/relationships/hyperlink" Target="http://www.wavespartnership.org/sites/waves/files/images/Moving_Beyond_GDP.pdf" TargetMode="External"/><Relationship Id="rId638" Type="http://schemas.openxmlformats.org/officeDocument/2006/relationships/hyperlink" Target="https://doi.org/10.1016/j.ecolind.2014.12.027" TargetMode="External"/><Relationship Id="rId845" Type="http://schemas.openxmlformats.org/officeDocument/2006/relationships/hyperlink" Target="https://doi.org/10.1038/nature11238" TargetMode="External"/><Relationship Id="rId1030" Type="http://schemas.openxmlformats.org/officeDocument/2006/relationships/hyperlink" Target="http://www.altwym.nl/uploads/file/520_1410766087.pdf" TargetMode="External"/><Relationship Id="rId1268" Type="http://schemas.openxmlformats.org/officeDocument/2006/relationships/hyperlink" Target="https://www.ipcc.ch/pdf/assessment-report/ar4/wg2/ar4_wg2_full_report.pdf" TargetMode="External"/><Relationship Id="rId1475" Type="http://schemas.openxmlformats.org/officeDocument/2006/relationships/hyperlink" Target="https://cgspace.cgiar.org/bitstream/handle/10568/3003/roleLivestockFarming.pdf?sequence=1" TargetMode="External"/><Relationship Id="rId1682" Type="http://schemas.openxmlformats.org/officeDocument/2006/relationships/hyperlink" Target="https://doi.org/10.1016/j.pce.2012.08.017" TargetMode="External"/><Relationship Id="rId400" Type="http://schemas.openxmlformats.org/officeDocument/2006/relationships/image" Target="media/image44.png"/><Relationship Id="rId705" Type="http://schemas.openxmlformats.org/officeDocument/2006/relationships/hyperlink" Target="https://doi.org/10.1111/conl.12010" TargetMode="External"/><Relationship Id="rId1128" Type="http://schemas.openxmlformats.org/officeDocument/2006/relationships/hyperlink" Target="https://doi.org/10.1038/sdata.2016.7" TargetMode="External"/><Relationship Id="rId1335" Type="http://schemas.openxmlformats.org/officeDocument/2006/relationships/hyperlink" Target="https://doi.org/10.1007/s00442-004-1725-x" TargetMode="External"/><Relationship Id="rId1542" Type="http://schemas.openxmlformats.org/officeDocument/2006/relationships/hyperlink" Target="https://doi.org/10.1016/j.jaridenv.2006.05.015" TargetMode="External"/><Relationship Id="rId1987" Type="http://schemas.openxmlformats.org/officeDocument/2006/relationships/hyperlink" Target="http://unfccc.int/files/essential_background/background_publications_htmlpdf/application/pdf/conveng.pdf" TargetMode="External"/><Relationship Id="rId912" Type="http://schemas.openxmlformats.org/officeDocument/2006/relationships/hyperlink" Target="https://doi.org/10.4000/vertigo.11515" TargetMode="External"/><Relationship Id="rId1847" Type="http://schemas.openxmlformats.org/officeDocument/2006/relationships/hyperlink" Target="https://doi.org/10.1111/j.1468-0491.2008.00402.x" TargetMode="External"/><Relationship Id="rId41" Type="http://schemas.openxmlformats.org/officeDocument/2006/relationships/image" Target="media/image22.JPG"/><Relationship Id="rId1402" Type="http://schemas.openxmlformats.org/officeDocument/2006/relationships/hyperlink" Target="https://portals.iucn.org/library/node/24905" TargetMode="External"/><Relationship Id="rId1707" Type="http://schemas.openxmlformats.org/officeDocument/2006/relationships/hyperlink" Target="https://doi.org/10.1016/j.jenvman.2010.09.007" TargetMode="External"/><Relationship Id="rId190" Type="http://schemas.openxmlformats.org/officeDocument/2006/relationships/hyperlink" Target="https://doi.org/10.1016/j.foreco.2010.08.033" TargetMode="External"/><Relationship Id="rId288" Type="http://schemas.openxmlformats.org/officeDocument/2006/relationships/hyperlink" Target="https://unu.edu/publications/articles/why-traditional-knowledge-holds-the-key-to-climate-change.html" TargetMode="External"/><Relationship Id="rId1914" Type="http://schemas.openxmlformats.org/officeDocument/2006/relationships/hyperlink" Target="https://doi.org/10.1016/j.envhaz.2006.11.001" TargetMode="External"/><Relationship Id="rId495" Type="http://schemas.openxmlformats.org/officeDocument/2006/relationships/hyperlink" Target="http://collections.unu.edu/eserv/UNU:5734/DNC2015_PolicyBrief_No2.pdf" TargetMode="External"/><Relationship Id="rId148" Type="http://schemas.openxmlformats.org/officeDocument/2006/relationships/hyperlink" Target="https://doi.org/10.1126/science.aap8826" TargetMode="External"/><Relationship Id="rId355" Type="http://schemas.openxmlformats.org/officeDocument/2006/relationships/hyperlink" Target="https://doi.org/10.1163/221097312X13397499736507" TargetMode="External"/><Relationship Id="rId562" Type="http://schemas.openxmlformats.org/officeDocument/2006/relationships/hyperlink" Target="https://doi.org/10.1016/j.gloenvcha.2012.03.003" TargetMode="External"/><Relationship Id="rId1192" Type="http://schemas.openxmlformats.org/officeDocument/2006/relationships/hyperlink" Target="https://doi.org/10.1016/j.biocon.2013.02.003" TargetMode="External"/><Relationship Id="rId215" Type="http://schemas.openxmlformats.org/officeDocument/2006/relationships/hyperlink" Target="https://doi.org/10.3897/natureconservation.6.5407" TargetMode="External"/><Relationship Id="rId422" Type="http://schemas.openxmlformats.org/officeDocument/2006/relationships/hyperlink" Target="https://www.iucn.org/es/node/890" TargetMode="External"/><Relationship Id="rId867" Type="http://schemas.openxmlformats.org/officeDocument/2006/relationships/hyperlink" Target="http://agris.fao.org/agris-search/search.do?recordID=US201302684381" TargetMode="External"/><Relationship Id="rId1052" Type="http://schemas.openxmlformats.org/officeDocument/2006/relationships/hyperlink" Target="http://www.iucngisd.org/gisd/" TargetMode="External"/><Relationship Id="rId1497" Type="http://schemas.openxmlformats.org/officeDocument/2006/relationships/hyperlink" Target="https://www.unccd.int/sites/default/files/documents/160915_ldn_rgb_small%20(1).pdf" TargetMode="External"/><Relationship Id="rId727" Type="http://schemas.openxmlformats.org/officeDocument/2006/relationships/hyperlink" Target="https://doi.org/10.1017/S0959270910000298" TargetMode="External"/><Relationship Id="rId934" Type="http://schemas.openxmlformats.org/officeDocument/2006/relationships/hyperlink" Target="https://doi.org/10.1002/aqc.2744" TargetMode="External"/><Relationship Id="rId1357" Type="http://schemas.openxmlformats.org/officeDocument/2006/relationships/hyperlink" Target="https://doi.org/10.1006/jema.2001.0486" TargetMode="External"/><Relationship Id="rId1564" Type="http://schemas.openxmlformats.org/officeDocument/2006/relationships/hyperlink" Target="http://wwf.panda.org/about_our_earth/deforestation/deforestation_fronts/deforestation_in_the_congo_basin" TargetMode="External"/><Relationship Id="rId1771" Type="http://schemas.openxmlformats.org/officeDocument/2006/relationships/hyperlink" Target="https://doi.org/10.1016/j.envdev.2015.06.006" TargetMode="External"/><Relationship Id="rId63" Type="http://schemas.openxmlformats.org/officeDocument/2006/relationships/hyperlink" Target="http://acbio.org.za/sites/default/files/2017/02/South-Africa-Field-Report-2017.pdf" TargetMode="External"/><Relationship Id="rId1217" Type="http://schemas.openxmlformats.org/officeDocument/2006/relationships/hyperlink" Target="https://doi.org/10.1098/rstb.2010.0171" TargetMode="External"/><Relationship Id="rId1424" Type="http://schemas.openxmlformats.org/officeDocument/2006/relationships/hyperlink" Target="https://doi.org/10.1641/0006-3568(2000)050%5b0053:EAECON%5d2.3.CO;2" TargetMode="External"/><Relationship Id="rId1631" Type="http://schemas.openxmlformats.org/officeDocument/2006/relationships/hyperlink" Target="https://doi.org/10.1007/s11104-014-2292-5" TargetMode="External"/><Relationship Id="rId1869" Type="http://schemas.openxmlformats.org/officeDocument/2006/relationships/hyperlink" Target="https://doi.org/10.1080/09500690902981269" TargetMode="External"/><Relationship Id="rId1729" Type="http://schemas.openxmlformats.org/officeDocument/2006/relationships/hyperlink" Target="https://doi.org/10.1111/conl.12159" TargetMode="External"/><Relationship Id="rId1936" Type="http://schemas.openxmlformats.org/officeDocument/2006/relationships/hyperlink" Target="https://www.oecd.org/tax/tax-policy/environmental-fiscal-reform-G7-environment-ministerial-meeting-june-2017.pdf" TargetMode="External"/><Relationship Id="rId377" Type="http://schemas.openxmlformats.org/officeDocument/2006/relationships/hyperlink" Target="http://issg.org/pdf/publications/GISP/Resources/CSIRAISmanagement.pdf" TargetMode="External"/><Relationship Id="rId584" Type="http://schemas.openxmlformats.org/officeDocument/2006/relationships/hyperlink" Target="https://doi.org/10.1371/journal.pone.0184023" TargetMode="External"/><Relationship Id="rId5" Type="http://schemas.openxmlformats.org/officeDocument/2006/relationships/numbering" Target="numbering.xml"/><Relationship Id="rId237" Type="http://schemas.openxmlformats.org/officeDocument/2006/relationships/hyperlink" Target="https://doi.org/10.1038/nature18299" TargetMode="External"/><Relationship Id="rId791" Type="http://schemas.openxmlformats.org/officeDocument/2006/relationships/hyperlink" Target="https://doi.org/10.1890/03-5258" TargetMode="External"/><Relationship Id="rId889" Type="http://schemas.openxmlformats.org/officeDocument/2006/relationships/hyperlink" Target="https://portals.iucn.org/library/sites/library/files/documents/SSC-OP-054.pdf" TargetMode="External"/><Relationship Id="rId1074" Type="http://schemas.openxmlformats.org/officeDocument/2006/relationships/hyperlink" Target="https://www.afdb.org/fileadmin/uploads/afdb/Documents/Publications/Africa%20in%2050%20Years%20Time.pdf" TargetMode="External"/><Relationship Id="rId444" Type="http://schemas.openxmlformats.org/officeDocument/2006/relationships/hyperlink" Target="https://doi.org/10.1017/S0376892910000603" TargetMode="External"/><Relationship Id="rId651" Type="http://schemas.openxmlformats.org/officeDocument/2006/relationships/hyperlink" Target="https://doi.org/10.1038/nature02403" TargetMode="External"/><Relationship Id="rId749" Type="http://schemas.openxmlformats.org/officeDocument/2006/relationships/hyperlink" Target="https://doi.org/10.1016/j.geoforum.2014.02.013" TargetMode="External"/><Relationship Id="rId1281" Type="http://schemas.openxmlformats.org/officeDocument/2006/relationships/hyperlink" Target="http://www.fao.org/3/a-az413e.pdf" TargetMode="External"/><Relationship Id="rId1379" Type="http://schemas.openxmlformats.org/officeDocument/2006/relationships/hyperlink" Target="http://hdl.handle.net/20.500.11822/7662" TargetMode="External"/><Relationship Id="rId1586" Type="http://schemas.openxmlformats.org/officeDocument/2006/relationships/image" Target="media/image118.JPG"/><Relationship Id="rId304" Type="http://schemas.openxmlformats.org/officeDocument/2006/relationships/hyperlink" Target="https://doi.org/10.1371/journal.pone.0060284" TargetMode="External"/><Relationship Id="rId511" Type="http://schemas.openxmlformats.org/officeDocument/2006/relationships/hyperlink" Target="https://doi.org/10.1016/j.apgeog.2015.06.015" TargetMode="External"/><Relationship Id="rId609" Type="http://schemas.openxmlformats.org/officeDocument/2006/relationships/hyperlink" Target="http://climatefrontlines.org/sites/default/files/ipbes/IPBES_in_Africa_2015.pdf" TargetMode="External"/><Relationship Id="rId956" Type="http://schemas.openxmlformats.org/officeDocument/2006/relationships/hyperlink" Target="https://doi.org/10.1007/s11027-014-9570-7" TargetMode="External"/><Relationship Id="rId1141" Type="http://schemas.openxmlformats.org/officeDocument/2006/relationships/hyperlink" Target="https://doi.org/10.1098/rstb.2009.0182" TargetMode="External"/><Relationship Id="rId1239" Type="http://schemas.openxmlformats.org/officeDocument/2006/relationships/hyperlink" Target="https://doi.org/10.1126/science.1244693" TargetMode="External"/><Relationship Id="rId1793" Type="http://schemas.openxmlformats.org/officeDocument/2006/relationships/hyperlink" Target="https://doi.org/10.1787/9789264034341-en" TargetMode="External"/><Relationship Id="rId85" Type="http://schemas.openxmlformats.org/officeDocument/2006/relationships/hyperlink" Target="https://doi.org/10.1111/j.1475-2743.2008.00169.x" TargetMode="External"/><Relationship Id="rId816" Type="http://schemas.openxmlformats.org/officeDocument/2006/relationships/hyperlink" Target="http://www.fao.org/3/a-i5555e.pdf" TargetMode="External"/><Relationship Id="rId1001" Type="http://schemas.openxmlformats.org/officeDocument/2006/relationships/hyperlink" Target="https://www.unep-wcmc.org/resources-and-data/state-of-the-worlds-protected-areas-2007" TargetMode="External"/><Relationship Id="rId1446" Type="http://schemas.openxmlformats.org/officeDocument/2006/relationships/hyperlink" Target="http://etd.fcla.edu/UF/UFE1000146/mugisha_a.pdf" TargetMode="External"/><Relationship Id="rId1653" Type="http://schemas.openxmlformats.org/officeDocument/2006/relationships/hyperlink" Target="http://www.ipcc.ch/pdf/assessment-report/ar5/syr/SYR_AR5_FINAL_full_wcover.pdf" TargetMode="External"/><Relationship Id="rId1860" Type="http://schemas.openxmlformats.org/officeDocument/2006/relationships/hyperlink" Target="http://www.jstor.org/stable/4314060" TargetMode="External"/><Relationship Id="rId1306" Type="http://schemas.openxmlformats.org/officeDocument/2006/relationships/hyperlink" Target="http://controverses.sciences-po.fr/climatewiki/images/2/2a/01_Lal_-_World_cropland_soils_as_a_source_or_sink.pdf" TargetMode="External"/><Relationship Id="rId1513" Type="http://schemas.openxmlformats.org/officeDocument/2006/relationships/hyperlink" Target="https://doi.org/10.5194/acp-10-11707-2010" TargetMode="External"/><Relationship Id="rId1720" Type="http://schemas.openxmlformats.org/officeDocument/2006/relationships/hyperlink" Target="http://wedocs.unep.org/bitstream/handle/20.500.11822/7595/GEO_Africa_201611.pdf" TargetMode="External"/><Relationship Id="rId1958" Type="http://schemas.openxmlformats.org/officeDocument/2006/relationships/hyperlink" Target="https://doi.org/10.1111/j.1475-4959.2011.00432.x" TargetMode="External"/><Relationship Id="rId12" Type="http://schemas.openxmlformats.org/officeDocument/2006/relationships/image" Target="media/image2.png"/><Relationship Id="rId1818" Type="http://schemas.openxmlformats.org/officeDocument/2006/relationships/hyperlink" Target="https://www.cbd.int/doc/decisions/cop-10/cop-10-dec-02-en.pdf" TargetMode="External"/><Relationship Id="rId161" Type="http://schemas.openxmlformats.org/officeDocument/2006/relationships/hyperlink" Target="http://www.fao.org/docrep/010/a1140e/a1140e00.htm" TargetMode="External"/><Relationship Id="rId399" Type="http://schemas.openxmlformats.org/officeDocument/2006/relationships/image" Target="media/image43.png"/><Relationship Id="rId259" Type="http://schemas.openxmlformats.org/officeDocument/2006/relationships/hyperlink" Target="https://doi.org/10.1073/pnas.1218656110" TargetMode="External"/><Relationship Id="rId466" Type="http://schemas.openxmlformats.org/officeDocument/2006/relationships/hyperlink" Target="http://www.fao.org/3/a-i6117e.pdf" TargetMode="External"/><Relationship Id="rId673" Type="http://schemas.openxmlformats.org/officeDocument/2006/relationships/image" Target="media/image60.png"/><Relationship Id="rId880" Type="http://schemas.openxmlformats.org/officeDocument/2006/relationships/hyperlink" Target="https://doi.org/10.1023/B:VEGE.0000019023.29636.92" TargetMode="External"/><Relationship Id="rId1096" Type="http://schemas.openxmlformats.org/officeDocument/2006/relationships/hyperlink" Target="https://doi.org/10.1038/526195e" TargetMode="External"/><Relationship Id="rId119" Type="http://schemas.openxmlformats.org/officeDocument/2006/relationships/hyperlink" Target="https://www.cbd.int/doc/meetings/health/wshb-afr-01/official/wshb-afr-01-02-en.pdf" TargetMode="External"/><Relationship Id="rId326" Type="http://schemas.openxmlformats.org/officeDocument/2006/relationships/hyperlink" Target="https://www.cbd.int/doc/legal/cbd-en.pdf" TargetMode="External"/><Relationship Id="rId533" Type="http://schemas.openxmlformats.org/officeDocument/2006/relationships/hyperlink" Target="https://doi.org/10.5539/jsd.v5n9p42" TargetMode="External"/><Relationship Id="rId978" Type="http://schemas.openxmlformats.org/officeDocument/2006/relationships/hyperlink" Target="https://doi.org/10.1016/j.iswcr.2017.05.008" TargetMode="External"/><Relationship Id="rId1163" Type="http://schemas.openxmlformats.org/officeDocument/2006/relationships/hyperlink" Target="https://doi.org/10.1007/s10113-015-0761-x" TargetMode="External"/><Relationship Id="rId1370" Type="http://schemas.openxmlformats.org/officeDocument/2006/relationships/hyperlink" Target="https://doi.org/10.1038/35002501" TargetMode="External"/><Relationship Id="rId2007" Type="http://schemas.openxmlformats.org/officeDocument/2006/relationships/hyperlink" Target="https://doi.org/10.1007/s10530-013-0615-8" TargetMode="External"/><Relationship Id="rId740" Type="http://schemas.openxmlformats.org/officeDocument/2006/relationships/hyperlink" Target="file:///D:\Desktop\%20https:\doi.org\10.5061\dryad.6gb90.2" TargetMode="External"/><Relationship Id="rId838" Type="http://schemas.openxmlformats.org/officeDocument/2006/relationships/hyperlink" Target="https://doi.org/10.1023/A:1020375430965" TargetMode="External"/><Relationship Id="rId1023" Type="http://schemas.openxmlformats.org/officeDocument/2006/relationships/hyperlink" Target="http://wwf.panda.org/about_our_earth/ecoregions/eastafrican_acacia_savannas.cfm" TargetMode="External"/><Relationship Id="rId1468" Type="http://schemas.openxmlformats.org/officeDocument/2006/relationships/hyperlink" Target="https://doi.org/10.1046/j.1365-2028.1998.115-89115.x" TargetMode="External"/><Relationship Id="rId1675" Type="http://schemas.openxmlformats.org/officeDocument/2006/relationships/hyperlink" Target="https://doi.org/10.1038/nature08823" TargetMode="External"/><Relationship Id="rId1882" Type="http://schemas.openxmlformats.org/officeDocument/2006/relationships/hyperlink" Target="http://pubs.iied.org/pdfs/17305IIED.pdf" TargetMode="External"/><Relationship Id="rId600" Type="http://schemas.openxmlformats.org/officeDocument/2006/relationships/hyperlink" Target="http://www.fao.org/3/a-v5040e.pdf" TargetMode="External"/><Relationship Id="rId1230" Type="http://schemas.openxmlformats.org/officeDocument/2006/relationships/hyperlink" Target="https://doi.org/10.1111/j.1365-2028.2009.01142.x" TargetMode="External"/><Relationship Id="rId1328" Type="http://schemas.openxmlformats.org/officeDocument/2006/relationships/hyperlink" Target="https://doi.org/10.1038/nclimate1876" TargetMode="External"/><Relationship Id="rId1535" Type="http://schemas.openxmlformats.org/officeDocument/2006/relationships/hyperlink" Target="https://www.protectedplanet.net/" TargetMode="External"/><Relationship Id="rId905" Type="http://schemas.openxmlformats.org/officeDocument/2006/relationships/hyperlink" Target="http://africanamphibians.myspecies.info/node/24" TargetMode="External"/><Relationship Id="rId1742" Type="http://schemas.openxmlformats.org/officeDocument/2006/relationships/hyperlink" Target="http://pdf.wri.org/ecosystem_services_guide_for_decisionmakers.pdf" TargetMode="External"/><Relationship Id="rId34" Type="http://schemas.openxmlformats.org/officeDocument/2006/relationships/image" Target="media/image17.JPG"/><Relationship Id="rId1602" Type="http://schemas.openxmlformats.org/officeDocument/2006/relationships/hyperlink" Target="http://archive.au.int/assets/images/agenda2063.pdf" TargetMode="External"/><Relationship Id="rId183" Type="http://schemas.openxmlformats.org/officeDocument/2006/relationships/hyperlink" Target="https://doi.org/10.5751/ES-06288-180472" TargetMode="External"/><Relationship Id="rId390" Type="http://schemas.openxmlformats.org/officeDocument/2006/relationships/image" Target="media/image36.png"/><Relationship Id="rId1907" Type="http://schemas.openxmlformats.org/officeDocument/2006/relationships/hyperlink" Target="https://www.millenniumassessment.org/documents/document.356.aspx.pdf" TargetMode="External"/><Relationship Id="rId250" Type="http://schemas.openxmlformats.org/officeDocument/2006/relationships/hyperlink" Target="http://www.iwmi.cgiar.org/assessment/Water%20for%20Food%20Water%20for%20Life/Chapters/Chapter%202%20Trends.pdf" TargetMode="External"/><Relationship Id="rId488" Type="http://schemas.openxmlformats.org/officeDocument/2006/relationships/hyperlink" Target="https://doi.org/10.1016/j.biocon.2005.11.031" TargetMode="External"/><Relationship Id="rId695" Type="http://schemas.openxmlformats.org/officeDocument/2006/relationships/hyperlink" Target="http://www.iucnredlist.org/details/10274/0" TargetMode="External"/><Relationship Id="rId110" Type="http://schemas.openxmlformats.org/officeDocument/2006/relationships/hyperlink" Target="https://doi.org/10.1073/pnas.1410465111" TargetMode="External"/><Relationship Id="rId348" Type="http://schemas.openxmlformats.org/officeDocument/2006/relationships/hyperlink" Target="https://reliefweb.int/sites/reliefweb.int/files/resources/-UNEP_2015_Annual_Report-2016UNEP-AnnualReport-2015-EN.pdf.pdf" TargetMode="External"/><Relationship Id="rId555" Type="http://schemas.openxmlformats.org/officeDocument/2006/relationships/hyperlink" Target="http://dx.doi.org/10.1155/2013/617459" TargetMode="External"/><Relationship Id="rId762" Type="http://schemas.openxmlformats.org/officeDocument/2006/relationships/hyperlink" Target="https://doi.org/10.1016/j.atmosenv.2007.10.001" TargetMode="External"/><Relationship Id="rId1185" Type="http://schemas.openxmlformats.org/officeDocument/2006/relationships/hyperlink" Target="https://doi.org/10.1126/science.1156401" TargetMode="External"/><Relationship Id="rId1392" Type="http://schemas.openxmlformats.org/officeDocument/2006/relationships/hyperlink" Target="https://doi.org/10.1016/j.cities.2012.07.007" TargetMode="External"/><Relationship Id="rId2029" Type="http://schemas.openxmlformats.org/officeDocument/2006/relationships/hyperlink" Target="https://doi.org/10.1038/35002501" TargetMode="External"/><Relationship Id="rId208" Type="http://schemas.openxmlformats.org/officeDocument/2006/relationships/hyperlink" Target="https://www.ipbes.net/sites/default/files/downloads/pdf/individual_chapters_pollination_20170305.pdf" TargetMode="External"/><Relationship Id="rId415" Type="http://schemas.openxmlformats.org/officeDocument/2006/relationships/hyperlink" Target="https://doi.org/10.1016/S0921-8009(01)00236-1" TargetMode="External"/><Relationship Id="rId622" Type="http://schemas.openxmlformats.org/officeDocument/2006/relationships/hyperlink" Target="http://bft.cirad.fr/cd/BFT_289_17-26.pdf" TargetMode="External"/><Relationship Id="rId1045" Type="http://schemas.openxmlformats.org/officeDocument/2006/relationships/image" Target="media/image83.png"/><Relationship Id="rId1252" Type="http://schemas.openxmlformats.org/officeDocument/2006/relationships/hyperlink" Target="https://doi.org/10.1038/nature11238" TargetMode="External"/><Relationship Id="rId1697" Type="http://schemas.openxmlformats.org/officeDocument/2006/relationships/hyperlink" Target="https://doi.org/10.1007/s00267-012-9888-4" TargetMode="External"/><Relationship Id="rId927" Type="http://schemas.openxmlformats.org/officeDocument/2006/relationships/hyperlink" Target="https://doi.org/10.1641/0006-3568(2001)051%5b0933:TEOTWA%5d2.0.CO;2" TargetMode="External"/><Relationship Id="rId1112" Type="http://schemas.openxmlformats.org/officeDocument/2006/relationships/hyperlink" Target="https://doi.org/10.1038/sdata.2016.130" TargetMode="External"/><Relationship Id="rId1557" Type="http://schemas.openxmlformats.org/officeDocument/2006/relationships/hyperlink" Target="https://data.worldbank.org/products/wdi" TargetMode="External"/><Relationship Id="rId1764" Type="http://schemas.openxmlformats.org/officeDocument/2006/relationships/hyperlink" Target="http://www.biota-africa.org" TargetMode="External"/><Relationship Id="rId1971" Type="http://schemas.openxmlformats.org/officeDocument/2006/relationships/hyperlink" Target="https://doi.org/10.5751/ES-06638-190314" TargetMode="External"/><Relationship Id="rId56" Type="http://schemas.openxmlformats.org/officeDocument/2006/relationships/hyperlink" Target="http://unstats.un.org/unsd/statcom/commission.htm" TargetMode="External"/><Relationship Id="rId1417" Type="http://schemas.openxmlformats.org/officeDocument/2006/relationships/hyperlink" Target="https://au.int/sites/default/files/documents/32888-doc-pattec_plan_of_action2001.pdf" TargetMode="External"/><Relationship Id="rId1624" Type="http://schemas.openxmlformats.org/officeDocument/2006/relationships/hyperlink" Target="http://www.climatechange2013.org/images/report/WG1AR5_ALL_FINAL.pdf" TargetMode="External"/><Relationship Id="rId1831" Type="http://schemas.openxmlformats.org/officeDocument/2006/relationships/hyperlink" Target="http://pfbc-cbfp.org/docs/key_docs/Plan_de_Convergence_COMIFAC_2015-2025_02072014_fr.pdf" TargetMode="External"/><Relationship Id="rId1929" Type="http://schemas.openxmlformats.org/officeDocument/2006/relationships/hyperlink" Target="http://www.jstor.org/stable/2118057" TargetMode="External"/><Relationship Id="rId272" Type="http://schemas.openxmlformats.org/officeDocument/2006/relationships/hyperlink" Target="http://link.springer.com/article/10.1080/09578810410001688798" TargetMode="External"/><Relationship Id="rId577" Type="http://schemas.openxmlformats.org/officeDocument/2006/relationships/hyperlink" Target="http://library.wur.nl/WebQuery/wurpubs/344241" TargetMode="External"/><Relationship Id="rId132" Type="http://schemas.openxmlformats.org/officeDocument/2006/relationships/hyperlink" Target="https://openknowledge.worldbank.org/bitstream/handle/10986/18853/multi_page.pdf" TargetMode="External"/><Relationship Id="rId784" Type="http://schemas.openxmlformats.org/officeDocument/2006/relationships/hyperlink" Target="http://www.daff.gov.za/Daffweb3/Portals/0/Statistics%20and%20Economic%20Analysis/Economic%20Analysis/Economic%20Review%202014.pdf" TargetMode="External"/><Relationship Id="rId991" Type="http://schemas.openxmlformats.org/officeDocument/2006/relationships/hyperlink" Target="http://www.biodiversityfoundation.org/documents/BFA%20No.20_Miombo%20Ecoregion%20Vision%20report.pdf" TargetMode="External"/><Relationship Id="rId1067" Type="http://schemas.openxmlformats.org/officeDocument/2006/relationships/image" Target="media/image100.png"/><Relationship Id="rId2020" Type="http://schemas.openxmlformats.org/officeDocument/2006/relationships/hyperlink" Target="http://www.indigenouspolicy.org/index.php/ipj/article/view/229" TargetMode="External"/><Relationship Id="rId437" Type="http://schemas.openxmlformats.org/officeDocument/2006/relationships/hyperlink" Target="https://doi.org/10.3389/fmicb.2011.00080" TargetMode="External"/><Relationship Id="rId644" Type="http://schemas.openxmlformats.org/officeDocument/2006/relationships/hyperlink" Target="https://doi.org/10.1016/j.biombioe.2011.03.010" TargetMode="External"/><Relationship Id="rId851" Type="http://schemas.openxmlformats.org/officeDocument/2006/relationships/hyperlink" Target="https://portals.iucn.org/library/node/6001" TargetMode="External"/><Relationship Id="rId1274" Type="http://schemas.openxmlformats.org/officeDocument/2006/relationships/hyperlink" Target="https://doi.org/10.1111/jiec.12371" TargetMode="External"/><Relationship Id="rId1481" Type="http://schemas.openxmlformats.org/officeDocument/2006/relationships/hyperlink" Target="http://documents.irevues.inist.fr/handle/2042/57893" TargetMode="External"/><Relationship Id="rId1579" Type="http://schemas.openxmlformats.org/officeDocument/2006/relationships/image" Target="media/image111.jpeg"/><Relationship Id="rId504" Type="http://schemas.openxmlformats.org/officeDocument/2006/relationships/hyperlink" Target="https://doi.org/10.1073/pnas.1112586108" TargetMode="External"/><Relationship Id="rId711" Type="http://schemas.openxmlformats.org/officeDocument/2006/relationships/hyperlink" Target="http://biblioteca.semarnat.gob.mx/janium/Documentos/Ciga/Libros2013/CD002534.pdf" TargetMode="External"/><Relationship Id="rId949" Type="http://schemas.openxmlformats.org/officeDocument/2006/relationships/hyperlink" Target="https://www.cbd.int/doc/world/za/za-nr-05-en.pdf" TargetMode="External"/><Relationship Id="rId1134" Type="http://schemas.openxmlformats.org/officeDocument/2006/relationships/hyperlink" Target="https://doi.org/10.1057/9781137343819_14" TargetMode="External"/><Relationship Id="rId1341" Type="http://schemas.openxmlformats.org/officeDocument/2006/relationships/hyperlink" Target="https://portals.iucn.org/library/node/28316" TargetMode="External"/><Relationship Id="rId1786" Type="http://schemas.openxmlformats.org/officeDocument/2006/relationships/hyperlink" Target="https://doi.org/10.1017/S037689290400116X" TargetMode="External"/><Relationship Id="rId1993" Type="http://schemas.openxmlformats.org/officeDocument/2006/relationships/hyperlink" Target="http://hdl.handle.net/10855/22877" TargetMode="External"/><Relationship Id="rId78" Type="http://schemas.openxmlformats.org/officeDocument/2006/relationships/hyperlink" Target="http://papers.ssrn.com/abstract=2752532" TargetMode="External"/><Relationship Id="rId809" Type="http://schemas.openxmlformats.org/officeDocument/2006/relationships/hyperlink" Target="http://www.fao.org/ag/againfo/programmes/en/genetics/documents/Interlaken/NorthWestAfrica.pdf" TargetMode="External"/><Relationship Id="rId1201" Type="http://schemas.openxmlformats.org/officeDocument/2006/relationships/hyperlink" Target="https://doi.org/10.1046/j.1523-1739.2002.00275.x" TargetMode="External"/><Relationship Id="rId1439" Type="http://schemas.openxmlformats.org/officeDocument/2006/relationships/hyperlink" Target="http://www.cosv.org/download/centrodocumentazione/climate%20change%20impacts%20on%20food%20security.pdf" TargetMode="External"/><Relationship Id="rId1646" Type="http://schemas.openxmlformats.org/officeDocument/2006/relationships/hyperlink" Target="file:///C:\Users\MDhliwayo\Desktop\Refs%20only%20for%20Chapter%205_MW_MD.docx" TargetMode="External"/><Relationship Id="rId1853" Type="http://schemas.openxmlformats.org/officeDocument/2006/relationships/hyperlink" Target="http://www.fao.org/tempref/docrep/fao/007/ad494e/ad494e00.pdf" TargetMode="External"/><Relationship Id="rId1506" Type="http://schemas.openxmlformats.org/officeDocument/2006/relationships/hyperlink" Target="http://www.un.org/esa/population/publications/concise2001/C2001English.pdf" TargetMode="External"/><Relationship Id="rId1713" Type="http://schemas.openxmlformats.org/officeDocument/2006/relationships/hyperlink" Target="https://esa.un.org/unpd/wpp/publications/files/key_findings_wpp_2015.pdf" TargetMode="External"/><Relationship Id="rId1920" Type="http://schemas.openxmlformats.org/officeDocument/2006/relationships/hyperlink" Target="https://doi.org/10.1684/agr.2008.0251" TargetMode="External"/><Relationship Id="rId294" Type="http://schemas.openxmlformats.org/officeDocument/2006/relationships/hyperlink" Target="https://doi.org/10.1505/146554815815834804" TargetMode="External"/><Relationship Id="rId154" Type="http://schemas.openxmlformats.org/officeDocument/2006/relationships/hyperlink" Target="https://doi.org/10.1007/s12665-009-0135-0" TargetMode="External"/><Relationship Id="rId361" Type="http://schemas.openxmlformats.org/officeDocument/2006/relationships/hyperlink" Target="https://doi.org/10.1002/ldr.1075" TargetMode="External"/><Relationship Id="rId599" Type="http://schemas.openxmlformats.org/officeDocument/2006/relationships/hyperlink" Target="https://doi.org/10.1177/0956247811431412" TargetMode="External"/><Relationship Id="rId459" Type="http://schemas.openxmlformats.org/officeDocument/2006/relationships/hyperlink" Target="http://doi.org/10.1080/14728028.2014.951002" TargetMode="External"/><Relationship Id="rId666" Type="http://schemas.openxmlformats.org/officeDocument/2006/relationships/image" Target="media/image54.png"/><Relationship Id="rId873" Type="http://schemas.openxmlformats.org/officeDocument/2006/relationships/hyperlink" Target="https://doi.org/10.1016/j.envpol.2011.04.027" TargetMode="External"/><Relationship Id="rId1089" Type="http://schemas.openxmlformats.org/officeDocument/2006/relationships/hyperlink" Target="http://hdl.handle.net/20.500.11822/9626" TargetMode="External"/><Relationship Id="rId1296" Type="http://schemas.openxmlformats.org/officeDocument/2006/relationships/hyperlink" Target="https://www.iucn.org/themes/ssc/news/%20bushmeat.html" TargetMode="External"/><Relationship Id="rId221" Type="http://schemas.openxmlformats.org/officeDocument/2006/relationships/hyperlink" Target="https://doi.org/10.1016/j.landusepol.2015.10.030" TargetMode="External"/><Relationship Id="rId319" Type="http://schemas.openxmlformats.org/officeDocument/2006/relationships/hyperlink" Target="https://doi.org/10.1002/ldr.610" TargetMode="External"/><Relationship Id="rId526" Type="http://schemas.openxmlformats.org/officeDocument/2006/relationships/hyperlink" Target="http://www.irena.org/documentdownloads/publications/irena_measuring-the-economics_2016.pdf" TargetMode="External"/><Relationship Id="rId1156" Type="http://schemas.openxmlformats.org/officeDocument/2006/relationships/hyperlink" Target="https://doi.org/10.1016/S0378-1135(99)00207-2" TargetMode="External"/><Relationship Id="rId1363" Type="http://schemas.openxmlformats.org/officeDocument/2006/relationships/hyperlink" Target="https://www.ncbi.nlm.nih.gov/pubmed/1611241" TargetMode="External"/><Relationship Id="rId733" Type="http://schemas.openxmlformats.org/officeDocument/2006/relationships/hyperlink" Target="https://doi.org/10.1642/0004-8038(2004)121%5b0660:SABODS%5d2.0.CO;2" TargetMode="External"/><Relationship Id="rId940" Type="http://schemas.openxmlformats.org/officeDocument/2006/relationships/hyperlink" Target="https://www.cbd.int/doc/publications/cbd-ts-11.pdf" TargetMode="External"/><Relationship Id="rId1016" Type="http://schemas.openxmlformats.org/officeDocument/2006/relationships/hyperlink" Target="https://doi.org/10.2305/IUCN.UK.2012.RLTS.T12436A16711116.en" TargetMode="External"/><Relationship Id="rId1570" Type="http://schemas.openxmlformats.org/officeDocument/2006/relationships/hyperlink" Target="https://doi.org/10.1016/j.enpol.2010.02.050" TargetMode="External"/><Relationship Id="rId1668" Type="http://schemas.openxmlformats.org/officeDocument/2006/relationships/hyperlink" Target="https://doi.org/10.3390/rs71215849" TargetMode="External"/><Relationship Id="rId1875" Type="http://schemas.openxmlformats.org/officeDocument/2006/relationships/hyperlink" Target="https://doi.org/10.4314/239" TargetMode="External"/><Relationship Id="rId800" Type="http://schemas.openxmlformats.org/officeDocument/2006/relationships/hyperlink" Target="https://doi.org/10.1016/j.jenvman.2011.01.019" TargetMode="External"/><Relationship Id="rId1223" Type="http://schemas.openxmlformats.org/officeDocument/2006/relationships/hyperlink" Target="https://doi.org/10.1155/2016/8057641" TargetMode="External"/><Relationship Id="rId1430" Type="http://schemas.openxmlformats.org/officeDocument/2006/relationships/hyperlink" Target="https://doi.org/10.1007/978-3-642-16014-1_9" TargetMode="External"/><Relationship Id="rId1528" Type="http://schemas.openxmlformats.org/officeDocument/2006/relationships/hyperlink" Target="https://www.cabdirect.org/cabdirect/abstract/20003034393" TargetMode="External"/><Relationship Id="rId1735" Type="http://schemas.openxmlformats.org/officeDocument/2006/relationships/hyperlink" Target="https://doi.org/10.1371/journal.pbio.1002413" TargetMode="External"/><Relationship Id="rId1942" Type="http://schemas.openxmlformats.org/officeDocument/2006/relationships/hyperlink" Target="https://doi.org/10.1371/journal.pone.0133252" TargetMode="External"/><Relationship Id="rId27" Type="http://schemas.openxmlformats.org/officeDocument/2006/relationships/image" Target="media/image12.JPG"/><Relationship Id="rId1802" Type="http://schemas.openxmlformats.org/officeDocument/2006/relationships/hyperlink" Target="https://doi.org/10.1111/j.1523-1739.2004.00077.x" TargetMode="External"/><Relationship Id="rId176" Type="http://schemas.openxmlformats.org/officeDocument/2006/relationships/hyperlink" Target="https://www.ourplanet.com/pdfs/OP-2010-05-EN-FULLVERSION.pdf" TargetMode="External"/><Relationship Id="rId383" Type="http://schemas.openxmlformats.org/officeDocument/2006/relationships/hyperlink" Target="http://dx.doi.org/10.1596/978-1-4648-0683-4" TargetMode="External"/><Relationship Id="rId590" Type="http://schemas.openxmlformats.org/officeDocument/2006/relationships/hyperlink" Target="https://doi.org/10.1038/ncomms10244" TargetMode="External"/><Relationship Id="rId243" Type="http://schemas.openxmlformats.org/officeDocument/2006/relationships/hyperlink" Target="https://doi.org/10.1126/science.277.5325.504" TargetMode="External"/><Relationship Id="rId450" Type="http://schemas.openxmlformats.org/officeDocument/2006/relationships/hyperlink" Target="http://www.saflii.org/za/journals/ADRY/2014/8.pdf" TargetMode="External"/><Relationship Id="rId688" Type="http://schemas.openxmlformats.org/officeDocument/2006/relationships/hyperlink" Target="https://doi.org/10.1068/b32091" TargetMode="External"/><Relationship Id="rId895" Type="http://schemas.openxmlformats.org/officeDocument/2006/relationships/hyperlink" Target="https://doi.org/10.1007/978-94-009-1525-1_19" TargetMode="External"/><Relationship Id="rId1080" Type="http://schemas.openxmlformats.org/officeDocument/2006/relationships/hyperlink" Target="http://www.aljazeera.com/news/africa/2010/10/201010176186773.html" TargetMode="External"/><Relationship Id="rId103" Type="http://schemas.openxmlformats.org/officeDocument/2006/relationships/hyperlink" Target="https://www.worldeconomics.com/Journal/Papers/African%20Diaspora%20Remittances%20are%20Better%20than%20Foreign%20Aid%20Funds.details?ID=570" TargetMode="External"/><Relationship Id="rId310" Type="http://schemas.openxmlformats.org/officeDocument/2006/relationships/hyperlink" Target="https://doi.org/10.1007/s10526-011-9392-4" TargetMode="External"/><Relationship Id="rId548" Type="http://schemas.openxmlformats.org/officeDocument/2006/relationships/hyperlink" Target="https://www.routledge.com/products/9781138025080" TargetMode="External"/><Relationship Id="rId755" Type="http://schemas.openxmlformats.org/officeDocument/2006/relationships/hyperlink" Target="https://doi.org/10.1111/j.1365-2028.2011.01272.x" TargetMode="External"/><Relationship Id="rId962" Type="http://schemas.openxmlformats.org/officeDocument/2006/relationships/hyperlink" Target="https://doi.org/10.1007/978-94-007-7088-1" TargetMode="External"/><Relationship Id="rId1178" Type="http://schemas.openxmlformats.org/officeDocument/2006/relationships/hyperlink" Target="https://doi.org/10.1016/j.gloenvcha.2007.05.005" TargetMode="External"/><Relationship Id="rId1385" Type="http://schemas.openxmlformats.org/officeDocument/2006/relationships/hyperlink" Target="https://doi.org/10.1007/978-3-319-19168-3_9" TargetMode="External"/><Relationship Id="rId1592" Type="http://schemas.openxmlformats.org/officeDocument/2006/relationships/image" Target="media/image124.JPG"/><Relationship Id="rId91" Type="http://schemas.openxmlformats.org/officeDocument/2006/relationships/hyperlink" Target="https://doi.org/10.1073/pnas.2007217108" TargetMode="External"/><Relationship Id="rId408" Type="http://schemas.openxmlformats.org/officeDocument/2006/relationships/hyperlink" Target="https://doi.org/10.1017/S0376892900030605" TargetMode="External"/><Relationship Id="rId615" Type="http://schemas.openxmlformats.org/officeDocument/2006/relationships/hyperlink" Target="https://doi.org/10.1111/j.1365-2028.2011.01318.x" TargetMode="External"/><Relationship Id="rId822" Type="http://schemas.openxmlformats.org/officeDocument/2006/relationships/hyperlink" Target="https://www.oceandocs.org/bitstream/handle/1834/862/MB284310.pdf?sequence=1" TargetMode="External"/><Relationship Id="rId1038" Type="http://schemas.openxmlformats.org/officeDocument/2006/relationships/image" Target="media/image76.JPG"/><Relationship Id="rId1245" Type="http://schemas.openxmlformats.org/officeDocument/2006/relationships/hyperlink" Target="https://doi.org/10.4319/lo.1994.39.6.1476" TargetMode="External"/><Relationship Id="rId1452" Type="http://schemas.openxmlformats.org/officeDocument/2006/relationships/hyperlink" Target="https://doi.org/10.1111/j.1365-2486.2007.01319.x" TargetMode="External"/><Relationship Id="rId1897" Type="http://schemas.openxmlformats.org/officeDocument/2006/relationships/hyperlink" Target="http://www.centre-cired.fr/IMG/pdf/CIREDWP-201023.pdf" TargetMode="External"/><Relationship Id="rId1105" Type="http://schemas.openxmlformats.org/officeDocument/2006/relationships/hyperlink" Target="https://doi.org/10.1111/j.1523-1739.2006.00595.x" TargetMode="External"/><Relationship Id="rId1312" Type="http://schemas.openxmlformats.org/officeDocument/2006/relationships/hyperlink" Target="https://doi.org/10.1371/journal.pone.0008375" TargetMode="External"/><Relationship Id="rId1757" Type="http://schemas.openxmlformats.org/officeDocument/2006/relationships/image" Target="media/image131.JPG"/><Relationship Id="rId1964" Type="http://schemas.openxmlformats.org/officeDocument/2006/relationships/hyperlink" Target="https://www.imf.org/external/pubs/ft/wp/2005/wp05156.pdf" TargetMode="External"/><Relationship Id="rId49" Type="http://schemas.openxmlformats.org/officeDocument/2006/relationships/image" Target="media/image28.JPG"/><Relationship Id="rId1617" Type="http://schemas.openxmlformats.org/officeDocument/2006/relationships/hyperlink" Target="https://doi.org/10.1037/arc0000014" TargetMode="External"/><Relationship Id="rId1824" Type="http://schemas.openxmlformats.org/officeDocument/2006/relationships/hyperlink" Target="https://www.cites.org/sites/default/files/eng/disc/CITES-Convention-EN.pdf" TargetMode="External"/><Relationship Id="rId198" Type="http://schemas.openxmlformats.org/officeDocument/2006/relationships/hyperlink" Target="http://wef-conference.gwsp.org/fileadmin/documents_news/understanding_the_nexus.pdf" TargetMode="External"/><Relationship Id="rId265" Type="http://schemas.openxmlformats.org/officeDocument/2006/relationships/hyperlink" Target="https://doi.org/10.1080/18186874.2013.834628" TargetMode="External"/><Relationship Id="rId472" Type="http://schemas.openxmlformats.org/officeDocument/2006/relationships/hyperlink" Target="http://biodiversityadvisor.sanbi.org/wp-content/uploads/2014/07/2006deWit_Background-InfoRep5_Strategic-Monetary-valuation.pdf" TargetMode="External"/><Relationship Id="rId125" Type="http://schemas.openxmlformats.org/officeDocument/2006/relationships/hyperlink" Target="https://doi.org/10.1016/j.jaridenv.2014.05.020" TargetMode="External"/><Relationship Id="rId332" Type="http://schemas.openxmlformats.org/officeDocument/2006/relationships/hyperlink" Target="http://citeseerx.ist.psu.edu/viewdoc/download?rep=rep1&amp;type=pdf&amp;doi=10.1.1.226.3778" TargetMode="External"/><Relationship Id="rId777" Type="http://schemas.openxmlformats.org/officeDocument/2006/relationships/hyperlink" Target="http://www.fao.org/3/a-ak241e.pdf" TargetMode="External"/><Relationship Id="rId984" Type="http://schemas.openxmlformats.org/officeDocument/2006/relationships/hyperlink" Target="https://doi.org/10.1111/j.1755-263X.2010.00120.x" TargetMode="External"/><Relationship Id="rId2013" Type="http://schemas.openxmlformats.org/officeDocument/2006/relationships/hyperlink" Target="https://doi.org/10.1016/j.ecoser.2018.01.014" TargetMode="External"/><Relationship Id="rId637" Type="http://schemas.openxmlformats.org/officeDocument/2006/relationships/hyperlink" Target="https://portals.iucn.org/library/sites/library/files/documents/2010-045.pdf" TargetMode="External"/><Relationship Id="rId844" Type="http://schemas.openxmlformats.org/officeDocument/2006/relationships/hyperlink" Target="https://doi.org/10.1016/j.gloenvcha.2005.08.004" TargetMode="External"/><Relationship Id="rId1267" Type="http://schemas.openxmlformats.org/officeDocument/2006/relationships/hyperlink" Target="https://www.ipcc.ch/ipccreports/tar/wg1/pdf/WGI_TAR_full_report.pdf" TargetMode="External"/><Relationship Id="rId1474" Type="http://schemas.openxmlformats.org/officeDocument/2006/relationships/hyperlink" Target="https://doi.org/10.17528/cifor/005098" TargetMode="External"/><Relationship Id="rId1681" Type="http://schemas.openxmlformats.org/officeDocument/2006/relationships/hyperlink" Target="http://www.ipcc.ch/report/ar5/wg2/" TargetMode="External"/><Relationship Id="rId704" Type="http://schemas.openxmlformats.org/officeDocument/2006/relationships/hyperlink" Target="https://doi.org/10.1093/biosci/bit003" TargetMode="External"/><Relationship Id="rId911" Type="http://schemas.openxmlformats.org/officeDocument/2006/relationships/hyperlink" Target="https://doi.org/10.1073/pnas.0707823105" TargetMode="External"/><Relationship Id="rId1127" Type="http://schemas.openxmlformats.org/officeDocument/2006/relationships/hyperlink" Target="http://www.afdb.org/" TargetMode="External"/><Relationship Id="rId1334" Type="http://schemas.openxmlformats.org/officeDocument/2006/relationships/hyperlink" Target="https://doi.org/10.4102/koedoe.v54i1.1054" TargetMode="External"/><Relationship Id="rId1541" Type="http://schemas.openxmlformats.org/officeDocument/2006/relationships/hyperlink" Target="https://doi.org/10.1111/j.1475-2743.2009.00195.x" TargetMode="External"/><Relationship Id="rId1779" Type="http://schemas.openxmlformats.org/officeDocument/2006/relationships/hyperlink" Target="http://www.unep.org/roa/amcen/docs/publications/guidebook" TargetMode="External"/><Relationship Id="rId1986" Type="http://schemas.openxmlformats.org/officeDocument/2006/relationships/hyperlink" Target="https://doi.org/10.2111/08-219.1" TargetMode="External"/><Relationship Id="rId40" Type="http://schemas.openxmlformats.org/officeDocument/2006/relationships/image" Target="media/image21.JPG"/><Relationship Id="rId1401" Type="http://schemas.openxmlformats.org/officeDocument/2006/relationships/hyperlink" Target="https://doi.org/10.1186/s40550-015-0009-z" TargetMode="External"/><Relationship Id="rId1639" Type="http://schemas.openxmlformats.org/officeDocument/2006/relationships/hyperlink" Target="https://doi.org/10.1177/0309133311422968" TargetMode="External"/><Relationship Id="rId1846" Type="http://schemas.openxmlformats.org/officeDocument/2006/relationships/hyperlink" Target="http://biodiversityadvisor.sanbi.org/wp-content/uploads/2015/11/2012NBA2011_report.pdf" TargetMode="External"/><Relationship Id="rId1706" Type="http://schemas.openxmlformats.org/officeDocument/2006/relationships/hyperlink" Target="https://doi.org/10.1016/j.pecs.2006.08.001" TargetMode="External"/><Relationship Id="rId1913" Type="http://schemas.openxmlformats.org/officeDocument/2006/relationships/hyperlink" Target="https://doi.org/10.1007/s00267-013-0114-9" TargetMode="External"/><Relationship Id="rId287" Type="http://schemas.openxmlformats.org/officeDocument/2006/relationships/hyperlink" Target="http://www.fao.org/docrep/x1880e/x1880e05.htm" TargetMode="External"/><Relationship Id="rId494" Type="http://schemas.openxmlformats.org/officeDocument/2006/relationships/hyperlink" Target="http://digitalcommons.kennesaw.edu/jgi/vol10/iss2/7" TargetMode="External"/><Relationship Id="rId147" Type="http://schemas.openxmlformats.org/officeDocument/2006/relationships/hyperlink" Target="https://doi.org/10.1016/j.cosust.2014.11.002" TargetMode="External"/><Relationship Id="rId354" Type="http://schemas.openxmlformats.org/officeDocument/2006/relationships/hyperlink" Target="http://www.unesco.org/new/en/natural-sciences/environment/ecological-sciences/biosphere-reserves/africa/" TargetMode="External"/><Relationship Id="rId799" Type="http://schemas.openxmlformats.org/officeDocument/2006/relationships/hyperlink" Target="https://doi.org/10.1016/j.biocon.2008.11.009" TargetMode="External"/><Relationship Id="rId1191" Type="http://schemas.openxmlformats.org/officeDocument/2006/relationships/hyperlink" Target="https://cmsdata.iucn.org/downloads/guidelines_for_applying_protected_area_management_categories.pdf" TargetMode="External"/><Relationship Id="rId561" Type="http://schemas.openxmlformats.org/officeDocument/2006/relationships/hyperlink" Target="https://www.conservationgateway.org/ConservationPractices/Marine/crr/library/Documents/wind-and-swell-wave-reduction-by-mangroves.pdf" TargetMode="External"/><Relationship Id="rId659" Type="http://schemas.openxmlformats.org/officeDocument/2006/relationships/image" Target="media/image48.JPG"/><Relationship Id="rId866" Type="http://schemas.openxmlformats.org/officeDocument/2006/relationships/hyperlink" Target="https://doi.org/10.1007/s10722-017-0513-5" TargetMode="External"/><Relationship Id="rId1289" Type="http://schemas.openxmlformats.org/officeDocument/2006/relationships/hyperlink" Target="https://doi.org/10.1177/0309133313492543" TargetMode="External"/><Relationship Id="rId1496" Type="http://schemas.openxmlformats.org/officeDocument/2006/relationships/hyperlink" Target="https://www.iccaconsortium.org/wp-content/uploads/2015/08/example-west-africa-common-areas-iucn-fr-2009.pdf" TargetMode="External"/><Relationship Id="rId214" Type="http://schemas.openxmlformats.org/officeDocument/2006/relationships/hyperlink" Target="https://doi.org/10.3389/fmars.2016.00162" TargetMode="External"/><Relationship Id="rId421" Type="http://schemas.openxmlformats.org/officeDocument/2006/relationships/hyperlink" Target="https://doi.org/10.1111/j.1461-0248.2006.00963.x" TargetMode="External"/><Relationship Id="rId519" Type="http://schemas.openxmlformats.org/officeDocument/2006/relationships/hyperlink" Target="https://doi.org/10.1111/conl.12060" TargetMode="External"/><Relationship Id="rId1051" Type="http://schemas.openxmlformats.org/officeDocument/2006/relationships/image" Target="media/image88.JPG"/><Relationship Id="rId1149" Type="http://schemas.openxmlformats.org/officeDocument/2006/relationships/hyperlink" Target="https://www.ncbi.nlm.nih.gov/pubmed/24765870" TargetMode="External"/><Relationship Id="rId1356" Type="http://schemas.openxmlformats.org/officeDocument/2006/relationships/hyperlink" Target="https://doi.org/10.1111/j.1365-2486.2008.01619.x" TargetMode="External"/><Relationship Id="rId726" Type="http://schemas.openxmlformats.org/officeDocument/2006/relationships/hyperlink" Target="https://doi.org/10.2989/1814232X.2012.675125" TargetMode="External"/><Relationship Id="rId933" Type="http://schemas.openxmlformats.org/officeDocument/2006/relationships/hyperlink" Target="https://doi.org/10.1016/j.biocon.2006.08.021" TargetMode="External"/><Relationship Id="rId1009" Type="http://schemas.openxmlformats.org/officeDocument/2006/relationships/hyperlink" Target="https://doi.org/10.1016/j.marpolbul.2009.09.009" TargetMode="External"/><Relationship Id="rId1563" Type="http://schemas.openxmlformats.org/officeDocument/2006/relationships/hyperlink" Target="https://www.worldwildlife.org/stories/huge-drop-in-african-elephant-population-as-poaching-crisis-continues" TargetMode="External"/><Relationship Id="rId1770" Type="http://schemas.openxmlformats.org/officeDocument/2006/relationships/hyperlink" Target="https://doi.org/10.1093/icesjms/fsn164" TargetMode="External"/><Relationship Id="rId1868" Type="http://schemas.openxmlformats.org/officeDocument/2006/relationships/hyperlink" Target="https://doi.org/10.5195/jwsr.2012.484" TargetMode="External"/><Relationship Id="rId62" Type="http://schemas.openxmlformats.org/officeDocument/2006/relationships/hyperlink" Target="http://www.afdb.org/fileadmin/uploads/afdb/Documents/Publications/C-10%20Note%201%20English%20%28final%29_for%20posting.pdf" TargetMode="External"/><Relationship Id="rId1216" Type="http://schemas.openxmlformats.org/officeDocument/2006/relationships/hyperlink" Target="https://doi.org/10.1016/j.ecolecon.2007.09.018" TargetMode="External"/><Relationship Id="rId1423" Type="http://schemas.openxmlformats.org/officeDocument/2006/relationships/hyperlink" Target="https://doi.org/10.1641/0006-3568(2000)050%5b0053:EAECON%5d2.3.CO;2" TargetMode="External"/><Relationship Id="rId1630" Type="http://schemas.openxmlformats.org/officeDocument/2006/relationships/hyperlink" Target="https://doi.org/10.1016/j.cosust.2014.11.002" TargetMode="External"/><Relationship Id="rId1728" Type="http://schemas.openxmlformats.org/officeDocument/2006/relationships/hyperlink" Target="http://hdl.handle.net/10568/34864" TargetMode="External"/><Relationship Id="rId1935" Type="http://schemas.openxmlformats.org/officeDocument/2006/relationships/hyperlink" Target="https://doi.org/10.1787/9789264222519-en" TargetMode="External"/><Relationship Id="rId169" Type="http://schemas.openxmlformats.org/officeDocument/2006/relationships/hyperlink" Target="https://doi.org/10.1016/j.ocecoaman.2015.08.006" TargetMode="External"/><Relationship Id="rId376" Type="http://schemas.openxmlformats.org/officeDocument/2006/relationships/hyperlink" Target="https://doi.org/10.3362/9781780440408" TargetMode="External"/><Relationship Id="rId583" Type="http://schemas.openxmlformats.org/officeDocument/2006/relationships/hyperlink" Target="http://climatefrontlines.org/sites/default/files/ipbes/IPBES_in_Africa_2015.pdf" TargetMode="External"/><Relationship Id="rId790" Type="http://schemas.openxmlformats.org/officeDocument/2006/relationships/hyperlink" Target="https://portals.iucn.org/library/sites/library/files/documents/RL-6-001.pdf" TargetMode="External"/><Relationship Id="rId4" Type="http://schemas.openxmlformats.org/officeDocument/2006/relationships/customXml" Target="../customXml/item4.xml"/><Relationship Id="rId236" Type="http://schemas.openxmlformats.org/officeDocument/2006/relationships/hyperlink" Target="https://doi.org/10.4314/ajest.v3i10.56259" TargetMode="External"/><Relationship Id="rId443" Type="http://schemas.openxmlformats.org/officeDocument/2006/relationships/hyperlink" Target="http://hdl.handle.net/10986/11927" TargetMode="External"/><Relationship Id="rId650" Type="http://schemas.openxmlformats.org/officeDocument/2006/relationships/hyperlink" Target="https://data.worldbank.org/" TargetMode="External"/><Relationship Id="rId888" Type="http://schemas.openxmlformats.org/officeDocument/2006/relationships/hyperlink" Target="https://doi.org/10.1073/pnas.1502540113" TargetMode="External"/><Relationship Id="rId1073" Type="http://schemas.openxmlformats.org/officeDocument/2006/relationships/hyperlink" Target="http://www.afdb.org" TargetMode="External"/><Relationship Id="rId1280" Type="http://schemas.openxmlformats.org/officeDocument/2006/relationships/hyperlink" Target="https://doi.org/10.1017/S0030605303000589" TargetMode="External"/><Relationship Id="rId303" Type="http://schemas.openxmlformats.org/officeDocument/2006/relationships/hyperlink" Target="https://doi.org/10.1111/j.1523-1739.2007.00852.x" TargetMode="External"/><Relationship Id="rId748" Type="http://schemas.openxmlformats.org/officeDocument/2006/relationships/hyperlink" Target="https://doi.org/10.1126/science.287.5450.41e" TargetMode="External"/><Relationship Id="rId955" Type="http://schemas.openxmlformats.org/officeDocument/2006/relationships/hyperlink" Target="https://doi.org/10.2307/3298559" TargetMode="External"/><Relationship Id="rId1140" Type="http://schemas.openxmlformats.org/officeDocument/2006/relationships/hyperlink" Target="https://doi.org/10.1038/nature11148" TargetMode="External"/><Relationship Id="rId1378" Type="http://schemas.openxmlformats.org/officeDocument/2006/relationships/hyperlink" Target="https://doi.org/10.1100/tsw.2008.47" TargetMode="External"/><Relationship Id="rId1585" Type="http://schemas.openxmlformats.org/officeDocument/2006/relationships/image" Target="media/image117.JPG"/><Relationship Id="rId1792" Type="http://schemas.openxmlformats.org/officeDocument/2006/relationships/hyperlink" Target="https://doi.org/10.1016/j.envsci.2014.10.011" TargetMode="External"/><Relationship Id="rId84" Type="http://schemas.openxmlformats.org/officeDocument/2006/relationships/hyperlink" Target="http://www.mrcmekong.org/assets/Uploads/M2R-report-address-water-energy-food-security.pdf" TargetMode="External"/><Relationship Id="rId510" Type="http://schemas.openxmlformats.org/officeDocument/2006/relationships/hyperlink" Target="https://doi.org/10.1007/s40415-015-0197-z" TargetMode="External"/><Relationship Id="rId608" Type="http://schemas.openxmlformats.org/officeDocument/2006/relationships/hyperlink" Target="https://www.odi.org/sites/odi.org.uk/files/odi-assets/publications-opinion-files/3769.pdf" TargetMode="External"/><Relationship Id="rId815" Type="http://schemas.openxmlformats.org/officeDocument/2006/relationships/hyperlink" Target="http://www.fao.org/3/a-i5555e.pdf" TargetMode="External"/><Relationship Id="rId1238" Type="http://schemas.openxmlformats.org/officeDocument/2006/relationships/hyperlink" Target="https://doi.org/10.1890/1540-9295(2007)5%5b131:PANIAC%5d2.0.CO;2" TargetMode="External"/><Relationship Id="rId1445" Type="http://schemas.openxmlformats.org/officeDocument/2006/relationships/hyperlink" Target="https://doi.org/10.1371/journal.pntd.0002186" TargetMode="External"/><Relationship Id="rId1652" Type="http://schemas.openxmlformats.org/officeDocument/2006/relationships/hyperlink" Target="http://www.ipcc.ch/publications_and_data/publications_ipcc_fourth_assessment_report_synthesis_report.htm" TargetMode="External"/><Relationship Id="rId1000" Type="http://schemas.openxmlformats.org/officeDocument/2006/relationships/hyperlink" Target="http://www.grida.no/publications/80" TargetMode="External"/><Relationship Id="rId1305" Type="http://schemas.openxmlformats.org/officeDocument/2006/relationships/hyperlink" Target="https://doi.org/10.1016/j.pce.2013.09.014" TargetMode="External"/><Relationship Id="rId1957" Type="http://schemas.openxmlformats.org/officeDocument/2006/relationships/hyperlink" Target="https://www.sadc.int/files/9914/6823/9107/SADC_Water_4th_Regional_Strategic_Action_Plan_English_version.pdf" TargetMode="External"/><Relationship Id="rId1512" Type="http://schemas.openxmlformats.org/officeDocument/2006/relationships/hyperlink" Target="https://doi.org/10.4314/wsa.v30i2.5066" TargetMode="External"/><Relationship Id="rId1817" Type="http://schemas.openxmlformats.org/officeDocument/2006/relationships/hyperlink" Target="https://www.cbd.int/doc/bioday/2010/idb-2010-booklet-en.pdf" TargetMode="External"/><Relationship Id="rId11" Type="http://schemas.openxmlformats.org/officeDocument/2006/relationships/image" Target="media/image1.png"/><Relationship Id="rId398" Type="http://schemas.openxmlformats.org/officeDocument/2006/relationships/image" Target="media/image42.JPG"/><Relationship Id="rId160" Type="http://schemas.openxmlformats.org/officeDocument/2006/relationships/hyperlink" Target="http://www.fao.org/tempref/docrep/fao/meeting/014/j9728e.pdf" TargetMode="External"/><Relationship Id="rId258" Type="http://schemas.openxmlformats.org/officeDocument/2006/relationships/hyperlink" Target="http://www.worldagroforestry.org/downloads/Publications/PDFs/WP12051.PDF" TargetMode="External"/><Relationship Id="rId465" Type="http://schemas.openxmlformats.org/officeDocument/2006/relationships/hyperlink" Target="https://doi.org/10.1016/j.ecolecon.2007.01.014" TargetMode="External"/><Relationship Id="rId672" Type="http://schemas.openxmlformats.org/officeDocument/2006/relationships/image" Target="media/image59.png"/><Relationship Id="rId1095" Type="http://schemas.openxmlformats.org/officeDocument/2006/relationships/hyperlink" Target="http://www.unece.org/environmental-policy/conventions/envlrtapwelcome/cross-sectoral-linkages/air-pollution-ecosystems-and-biodiversity.html" TargetMode="External"/><Relationship Id="rId118" Type="http://schemas.openxmlformats.org/officeDocument/2006/relationships/hyperlink" Target="https://openknowledge.worldbank.org/bitstream/handle/10986/22036/9781464804892.pdf?sequence=3&amp;isAllowed=y" TargetMode="External"/><Relationship Id="rId325" Type="http://schemas.openxmlformats.org/officeDocument/2006/relationships/hyperlink" Target="http://unhabitat.org/wpdm-package/state-of-african-cities-2014-re-imagining-sustainable-urban-transitions/?wpdmdl=111948" TargetMode="External"/><Relationship Id="rId532" Type="http://schemas.openxmlformats.org/officeDocument/2006/relationships/hyperlink" Target="https://doi.org/10.1016/0272-4944(95)90001-2" TargetMode="External"/><Relationship Id="rId977" Type="http://schemas.openxmlformats.org/officeDocument/2006/relationships/hyperlink" Target="https://portals.iucn.org/library/sites/library/files/documents/SSC-OP-006.pdf" TargetMode="External"/><Relationship Id="rId1162" Type="http://schemas.openxmlformats.org/officeDocument/2006/relationships/hyperlink" Target="http://documents.worldbank.org/curated/en/954071468778196576/pdf/multi0page.pdf" TargetMode="External"/><Relationship Id="rId2006" Type="http://schemas.openxmlformats.org/officeDocument/2006/relationships/hyperlink" Target="https://doi.org/10.1016/j.gloenvcha.2011.08.002" TargetMode="External"/><Relationship Id="rId837" Type="http://schemas.openxmlformats.org/officeDocument/2006/relationships/hyperlink" Target="https://doi.org/10.1046/j.1365-3008.1998.d01-22.x" TargetMode="External"/><Relationship Id="rId1022" Type="http://schemas.openxmlformats.org/officeDocument/2006/relationships/hyperlink" Target="https://www.worldwildlife.org/ecoregions/at1312" TargetMode="External"/><Relationship Id="rId1467" Type="http://schemas.openxmlformats.org/officeDocument/2006/relationships/hyperlink" Target="https://doi.org/10.1007/0-306-48201-0_21" TargetMode="External"/><Relationship Id="rId1674" Type="http://schemas.openxmlformats.org/officeDocument/2006/relationships/hyperlink" Target="https://doi.org/10.17159/sajs.2015/20140389" TargetMode="External"/><Relationship Id="rId1881" Type="http://schemas.openxmlformats.org/officeDocument/2006/relationships/hyperlink" Target="http://www.thegef.org/sites/default/files/publications/Mainstreaming-Biodiversity-LowRes_1.pdf" TargetMode="External"/><Relationship Id="rId904" Type="http://schemas.openxmlformats.org/officeDocument/2006/relationships/hyperlink" Target="http://www.salamandra-journal.com" TargetMode="External"/><Relationship Id="rId1327" Type="http://schemas.openxmlformats.org/officeDocument/2006/relationships/hyperlink" Target="https://doi.org/10.3402/iee.v2i0.18365" TargetMode="External"/><Relationship Id="rId1534" Type="http://schemas.openxmlformats.org/officeDocument/2006/relationships/hyperlink" Target="https://doi.org/10.1046/j.1365-2664.2001.00621.x" TargetMode="External"/><Relationship Id="rId1741" Type="http://schemas.openxmlformats.org/officeDocument/2006/relationships/hyperlink" Target="https://doi.org/10.1007/s10584-014-1249-2" TargetMode="External"/><Relationship Id="rId1979" Type="http://schemas.openxmlformats.org/officeDocument/2006/relationships/hyperlink" Target="http://www.ecologyandsociety.org/vol15/iss4/art29/" TargetMode="External"/><Relationship Id="rId33" Type="http://schemas.openxmlformats.org/officeDocument/2006/relationships/hyperlink" Target="https://oceansbeyondpiracy.org/" TargetMode="External"/><Relationship Id="rId1601" Type="http://schemas.openxmlformats.org/officeDocument/2006/relationships/hyperlink" Target="http://www.gaboronedeclaration.com/gdsa-documents/the-2012-gaborone-declaration-text" TargetMode="External"/><Relationship Id="rId1839" Type="http://schemas.openxmlformats.org/officeDocument/2006/relationships/hyperlink" Target="http://dx.doi.org/10.5751/ES-08053-210224" TargetMode="External"/><Relationship Id="rId182" Type="http://schemas.openxmlformats.org/officeDocument/2006/relationships/hyperlink" Target="https://doi.org/10.1073/pnas.1112586108" TargetMode="External"/><Relationship Id="rId1906" Type="http://schemas.openxmlformats.org/officeDocument/2006/relationships/hyperlink" Target="https://doi.org/10.1016/S0016-7185(01)00027-6" TargetMode="External"/><Relationship Id="rId487" Type="http://schemas.openxmlformats.org/officeDocument/2006/relationships/hyperlink" Target="http://hdl.handle.net/20.500.11822/9581" TargetMode="External"/><Relationship Id="rId694" Type="http://schemas.openxmlformats.org/officeDocument/2006/relationships/hyperlink" Target="http://www.sibm.it/PDF%20ATTI/BMM%2018(1)%20pdf/Pagine%20106-113.pdf" TargetMode="External"/><Relationship Id="rId347" Type="http://schemas.openxmlformats.org/officeDocument/2006/relationships/hyperlink" Target="https://www.uncclearn.org/sites/default/files/inventory/-unep_2014_annual_report-2015unep_annual_report_2014_production_lq.pdf.pdf" TargetMode="External"/><Relationship Id="rId999" Type="http://schemas.openxmlformats.org/officeDocument/2006/relationships/hyperlink" Target="http://hdl.handle.net/20.500.11822/9301" TargetMode="External"/><Relationship Id="rId1184" Type="http://schemas.openxmlformats.org/officeDocument/2006/relationships/hyperlink" Target="https://doi.org/10.1017/S001447971600048X" TargetMode="External"/><Relationship Id="rId2028" Type="http://schemas.openxmlformats.org/officeDocument/2006/relationships/hyperlink" Target="https://www.ipbes.net/system/tdf/downloads/IPBES-4-INF-13_EN.pdf?file=1&amp;type=node&amp;id=13413" TargetMode="External"/><Relationship Id="rId554" Type="http://schemas.openxmlformats.org/officeDocument/2006/relationships/hyperlink" Target="http://www.w3c.org/TR/1999/REC-html401-19991224/loose.dtd" TargetMode="External"/><Relationship Id="rId761" Type="http://schemas.openxmlformats.org/officeDocument/2006/relationships/hyperlink" Target="https://doi.org/10.1111/j.1095-8339.1974.tb01625.x" TargetMode="External"/><Relationship Id="rId859" Type="http://schemas.openxmlformats.org/officeDocument/2006/relationships/hyperlink" Target="https://doi.org/10.1016/j.sajb.2016.04.014" TargetMode="External"/><Relationship Id="rId1391" Type="http://schemas.openxmlformats.org/officeDocument/2006/relationships/hyperlink" Target="https://doi.org/10.1046/j.1523-1739.2000.99230.x" TargetMode="External"/><Relationship Id="rId1489" Type="http://schemas.openxmlformats.org/officeDocument/2006/relationships/hyperlink" Target="https://doi.org/10.1038/nature02121" TargetMode="External"/><Relationship Id="rId1696" Type="http://schemas.openxmlformats.org/officeDocument/2006/relationships/hyperlink" Target="https://doi.org/10.1007/s10531-009-9613-7" TargetMode="External"/><Relationship Id="rId207" Type="http://schemas.openxmlformats.org/officeDocument/2006/relationships/hyperlink" Target="https://www.ipbes.net/system/tdf/downloads/pdf/2016.methodological_assessment_report_scenarios_models.pdf?file=1&amp;type=node&amp;id=15244" TargetMode="External"/><Relationship Id="rId414" Type="http://schemas.openxmlformats.org/officeDocument/2006/relationships/hyperlink" Target="https://doi.org/10.1659/mrd.mm083" TargetMode="External"/><Relationship Id="rId621" Type="http://schemas.openxmlformats.org/officeDocument/2006/relationships/hyperlink" Target="https://doi.org/10.1016/j.ref.2016.10.005" TargetMode="External"/><Relationship Id="rId1044" Type="http://schemas.openxmlformats.org/officeDocument/2006/relationships/image" Target="media/image82.png"/><Relationship Id="rId1251" Type="http://schemas.openxmlformats.org/officeDocument/2006/relationships/hyperlink" Target="https://doi.org/10.2747/0272-3638.28.2.206" TargetMode="External"/><Relationship Id="rId1349" Type="http://schemas.openxmlformats.org/officeDocument/2006/relationships/hyperlink" Target="https://doi.org/10.1596/978-0-8213-9827-2" TargetMode="External"/><Relationship Id="rId719" Type="http://schemas.openxmlformats.org/officeDocument/2006/relationships/hyperlink" Target="http://www.birdlife.org/datazone/sowb/casestudy/244" TargetMode="External"/><Relationship Id="rId926" Type="http://schemas.openxmlformats.org/officeDocument/2006/relationships/hyperlink" Target="http://hdl.handle.net/1834/862" TargetMode="External"/><Relationship Id="rId1111" Type="http://schemas.openxmlformats.org/officeDocument/2006/relationships/hyperlink" Target="https://www.birdlife.org/sites/default/files/attachments/Africa-IBAs-%20%26-Ramsar-sites.pdf" TargetMode="External"/><Relationship Id="rId1556" Type="http://schemas.openxmlformats.org/officeDocument/2006/relationships/hyperlink" Target="http://documents.worldbank.org/curated/en/149141468320661795/pdf/467260WP0REPLA1sity1Sept020081final.pdf" TargetMode="External"/><Relationship Id="rId1763" Type="http://schemas.openxmlformats.org/officeDocument/2006/relationships/image" Target="media/image134.JPG"/><Relationship Id="rId1970" Type="http://schemas.openxmlformats.org/officeDocument/2006/relationships/hyperlink" Target="https://doi.org/10.1080/17565529.2012.751893" TargetMode="External"/><Relationship Id="rId55" Type="http://schemas.openxmlformats.org/officeDocument/2006/relationships/image" Target="media/image33.JPG"/><Relationship Id="rId1209" Type="http://schemas.openxmlformats.org/officeDocument/2006/relationships/hyperlink" Target="https://doi.org/10.1111/j.1472-4642.2007.00391.x" TargetMode="External"/><Relationship Id="rId1416" Type="http://schemas.openxmlformats.org/officeDocument/2006/relationships/hyperlink" Target="https://doi.org/10.1016/j.cosust.2016.12.006" TargetMode="External"/><Relationship Id="rId1623" Type="http://schemas.openxmlformats.org/officeDocument/2006/relationships/hyperlink" Target="https://doi.org/10.1111/j.1466-8238.2009.00485.x" TargetMode="External"/><Relationship Id="rId1830" Type="http://schemas.openxmlformats.org/officeDocument/2006/relationships/hyperlink" Target="https://doi.org/10.2307/3060911" TargetMode="External"/><Relationship Id="rId1928" Type="http://schemas.openxmlformats.org/officeDocument/2006/relationships/hyperlink" Target="https://doi.org/10.7892/boris.85304" TargetMode="External"/><Relationship Id="rId271" Type="http://schemas.openxmlformats.org/officeDocument/2006/relationships/hyperlink" Target="https://doi.org/10.1641/0006-3568(2001)051%5b0933:TEOTWA%5d2.0.CO;2" TargetMode="External"/><Relationship Id="rId131" Type="http://schemas.openxmlformats.org/officeDocument/2006/relationships/hyperlink" Target="http://www.igi-global.com/chapter/sustainable-management-of-invasive-species-for-small-island-developing-states-under-changing-climates/118030" TargetMode="External"/><Relationship Id="rId369" Type="http://schemas.openxmlformats.org/officeDocument/2006/relationships/hyperlink" Target="http://www.who.int/whr/2007/en/" TargetMode="External"/><Relationship Id="rId576" Type="http://schemas.openxmlformats.org/officeDocument/2006/relationships/hyperlink" Target="https://doi.org/10.1890/080023" TargetMode="External"/><Relationship Id="rId783" Type="http://schemas.openxmlformats.org/officeDocument/2006/relationships/hyperlink" Target="https://doi.org/10.1073/pnas.1606036114" TargetMode="External"/><Relationship Id="rId990" Type="http://schemas.openxmlformats.org/officeDocument/2006/relationships/hyperlink" Target="https://doi.org/10.1098/rstb.2010.0134" TargetMode="External"/><Relationship Id="rId229" Type="http://schemas.openxmlformats.org/officeDocument/2006/relationships/hyperlink" Target="https://doi.org/10.1038/nature08649" TargetMode="External"/><Relationship Id="rId436" Type="http://schemas.openxmlformats.org/officeDocument/2006/relationships/hyperlink" Target="https://doi.org/10.3368/er.26.2.143" TargetMode="External"/><Relationship Id="rId643" Type="http://schemas.openxmlformats.org/officeDocument/2006/relationships/hyperlink" Target="http://www.who.int/mediacentre/factsheets/fs115/en/index.html" TargetMode="External"/><Relationship Id="rId1066" Type="http://schemas.openxmlformats.org/officeDocument/2006/relationships/image" Target="media/image99.JPG"/><Relationship Id="rId1273" Type="http://schemas.openxmlformats.org/officeDocument/2006/relationships/hyperlink" Target="http://cmsdocs.s3.amazonaws.com/keydocuments/red_list_strategic_plan_2013_2020.pdf" TargetMode="External"/><Relationship Id="rId1480" Type="http://schemas.openxmlformats.org/officeDocument/2006/relationships/hyperlink" Target="https://assets.publishing.service.gov.uk/media/57a08a7640f0b649740005e4/IDL-50410.pdf" TargetMode="External"/><Relationship Id="rId850" Type="http://schemas.openxmlformats.org/officeDocument/2006/relationships/hyperlink" Target="https://doi.org/10.1007/s11273-014-9387-x" TargetMode="External"/><Relationship Id="rId948" Type="http://schemas.openxmlformats.org/officeDocument/2006/relationships/hyperlink" Target="http://climatefrontlines.org/sites/default/files/ipbes/IPBES_in_Africa_2015.pdf" TargetMode="External"/><Relationship Id="rId1133" Type="http://schemas.openxmlformats.org/officeDocument/2006/relationships/hyperlink" Target="https://doi.org/10.1017/S003060531500099X" TargetMode="External"/><Relationship Id="rId1578" Type="http://schemas.openxmlformats.org/officeDocument/2006/relationships/image" Target="media/image110.JPG"/><Relationship Id="rId1785" Type="http://schemas.openxmlformats.org/officeDocument/2006/relationships/hyperlink" Target="http://www.ecosystemassessments.net/resources/ecosystems-and-human-well-being-a-manual-for-assessment-practitioners.pdf" TargetMode="External"/><Relationship Id="rId1992" Type="http://schemas.openxmlformats.org/officeDocument/2006/relationships/hyperlink" Target="http://www.unpei.org/sites/default/files/publications/STORIES%20OF%20CHANGE%20PEI_Final%20Signed%20june2013.pdf" TargetMode="External"/><Relationship Id="rId77" Type="http://schemas.openxmlformats.org/officeDocument/2006/relationships/hyperlink" Target="http://wedocs.unep.org/bitstream/handle/20.500.11822/9626/-Africa%20Environment%20Outlook%202_%20Our%20Environment%2c%20Our%20Wealth-2006688.pdf?sequence=3&amp;isAllowed=y" TargetMode="External"/><Relationship Id="rId503" Type="http://schemas.openxmlformats.org/officeDocument/2006/relationships/hyperlink" Target="http://www.pollinationecology.org/index.php?journal=jpe&amp;page=article&amp;op=view&amp;path%5B%5D=191&amp;path%5B%5D=80" TargetMode="External"/><Relationship Id="rId710" Type="http://schemas.openxmlformats.org/officeDocument/2006/relationships/hyperlink" Target="https://open.library.ubc.ca/media/stream/pdf/52383/1.0354314/5" TargetMode="External"/><Relationship Id="rId808" Type="http://schemas.openxmlformats.org/officeDocument/2006/relationships/hyperlink" Target="http://www.fao.org/ag/againfo/programmes/en/genetics/documents/Interlaken/SouthernAfrica.pdf" TargetMode="External"/><Relationship Id="rId1340" Type="http://schemas.openxmlformats.org/officeDocument/2006/relationships/hyperlink" Target="https://doi.org/10.1126/science.277.5325.504" TargetMode="External"/><Relationship Id="rId1438" Type="http://schemas.openxmlformats.org/officeDocument/2006/relationships/hyperlink" Target="https://doi.org/10.1126/science.1131634" TargetMode="External"/><Relationship Id="rId1645" Type="http://schemas.openxmlformats.org/officeDocument/2006/relationships/hyperlink" Target="https://doi.org/10.1890/1540-9295(2007)5%5b131:PANIAC%5d2.0.CO;2" TargetMode="External"/><Relationship Id="rId1200" Type="http://schemas.openxmlformats.org/officeDocument/2006/relationships/hyperlink" Target="https://doi.org/10.2478/10004-1254-59-2008-1906" TargetMode="External"/><Relationship Id="rId1852" Type="http://schemas.openxmlformats.org/officeDocument/2006/relationships/hyperlink" Target="http://pubs.iied.org/pdfs/G03722.pdf" TargetMode="External"/><Relationship Id="rId1505" Type="http://schemas.openxmlformats.org/officeDocument/2006/relationships/hyperlink" Target="https://unfccc.int/files/essential_background/convention/application/pdf/english_paris_agreement.pdf" TargetMode="External"/><Relationship Id="rId1712" Type="http://schemas.openxmlformats.org/officeDocument/2006/relationships/hyperlink" Target="http://www.springer.com/gp/book/9783540778424" TargetMode="External"/><Relationship Id="rId293" Type="http://schemas.openxmlformats.org/officeDocument/2006/relationships/hyperlink" Target="http://unesdoc.unesco.org/images/0024/002474/247461m.pdf" TargetMode="External"/><Relationship Id="rId153" Type="http://schemas.openxmlformats.org/officeDocument/2006/relationships/hyperlink" Target="https://doi.org/10.1289/ehp.9806" TargetMode="External"/><Relationship Id="rId360" Type="http://schemas.openxmlformats.org/officeDocument/2006/relationships/hyperlink" Target="https://doi.org/10.1111/j.1365-2427.2009.02294.x" TargetMode="External"/><Relationship Id="rId598" Type="http://schemas.openxmlformats.org/officeDocument/2006/relationships/hyperlink" Target="https://doi.org/10.1016/j.jhevol.2010.10.001" TargetMode="External"/><Relationship Id="rId220" Type="http://schemas.openxmlformats.org/officeDocument/2006/relationships/hyperlink" Target="https://doi.org/10.1080/13880290490480112" TargetMode="External"/><Relationship Id="rId458" Type="http://schemas.openxmlformats.org/officeDocument/2006/relationships/hyperlink" Target="https://doi.org/10.1016/j.gloenvcha.2011.09.018" TargetMode="External"/><Relationship Id="rId665" Type="http://schemas.openxmlformats.org/officeDocument/2006/relationships/image" Target="media/image53.png"/><Relationship Id="rId872" Type="http://schemas.openxmlformats.org/officeDocument/2006/relationships/hyperlink" Target="https://doi.org/10.1016/j.gloenvcha.2013.07.008" TargetMode="External"/><Relationship Id="rId1088" Type="http://schemas.openxmlformats.org/officeDocument/2006/relationships/hyperlink" Target="https://doi.org/10.2193/2007-221" TargetMode="External"/><Relationship Id="rId1295" Type="http://schemas.openxmlformats.org/officeDocument/2006/relationships/hyperlink" Target="https://doi.org/10.1111/j.1466-8238.2008.00416.x" TargetMode="External"/><Relationship Id="rId318" Type="http://schemas.openxmlformats.org/officeDocument/2006/relationships/hyperlink" Target="https://doi.org/10.1007/978-3-540-72438-4_2" TargetMode="External"/><Relationship Id="rId525" Type="http://schemas.openxmlformats.org/officeDocument/2006/relationships/hyperlink" Target="https://www.iso.org/standard/62801.html" TargetMode="External"/><Relationship Id="rId732" Type="http://schemas.openxmlformats.org/officeDocument/2006/relationships/hyperlink" Target="https://doi.org/10.1111/j.1474-919X.1955.tb04981.x" TargetMode="External"/><Relationship Id="rId1155" Type="http://schemas.openxmlformats.org/officeDocument/2006/relationships/hyperlink" Target="https://www.taylorfrancis.com/books/9781138673274" TargetMode="External"/><Relationship Id="rId1362" Type="http://schemas.openxmlformats.org/officeDocument/2006/relationships/hyperlink" Target="https://www.sanbi.org/wp-content/uploads/2018/05/Strelitzia-19.pdf" TargetMode="External"/><Relationship Id="rId99" Type="http://schemas.openxmlformats.org/officeDocument/2006/relationships/hyperlink" Target="http://papaco.org/wp-content/uploads/2015/04/PAPACO-study-17_GOVERNANCE-STUDY-0-FINAL_REPORT-CONTEXT.pdf" TargetMode="External"/><Relationship Id="rId1015" Type="http://schemas.openxmlformats.org/officeDocument/2006/relationships/hyperlink" Target="https://doi.org/10.1016/0006-3207(80)90039-7" TargetMode="External"/><Relationship Id="rId1222" Type="http://schemas.openxmlformats.org/officeDocument/2006/relationships/hyperlink" Target="http://gmo-journal.com/2011/06/17/loss-of-biodiversity-and-genetically-modified-crops/" TargetMode="External"/><Relationship Id="rId1667" Type="http://schemas.openxmlformats.org/officeDocument/2006/relationships/hyperlink" Target="https://www.millenniumassessment.org/documents/document.356.aspx.pdf" TargetMode="External"/><Relationship Id="rId1874" Type="http://schemas.openxmlformats.org/officeDocument/2006/relationships/hyperlink" Target="https://doi.org/10.1126/science.162.3859.1243" TargetMode="External"/><Relationship Id="rId1527" Type="http://schemas.openxmlformats.org/officeDocument/2006/relationships/hyperlink" Target="https://doi.org/10.1080/10549811.2011.566114" TargetMode="External"/><Relationship Id="rId1734" Type="http://schemas.openxmlformats.org/officeDocument/2006/relationships/hyperlink" Target="http://www.ecologyandsociety.org/vol14/iss2/art25/" TargetMode="External"/><Relationship Id="rId1941" Type="http://schemas.openxmlformats.org/officeDocument/2006/relationships/hyperlink" Target="https://www.preventionweb.net/files/workspace/7935_ogalloera.pdf" TargetMode="External"/><Relationship Id="rId26" Type="http://schemas.openxmlformats.org/officeDocument/2006/relationships/image" Target="media/image11.JPG"/><Relationship Id="rId175" Type="http://schemas.openxmlformats.org/officeDocument/2006/relationships/hyperlink" Target="https://doi.org/10.1080/02626667.2015.1057143" TargetMode="External"/><Relationship Id="rId1801" Type="http://schemas.openxmlformats.org/officeDocument/2006/relationships/hyperlink" Target="https://www.thegef.org/sites/default/files/publications/NCSA-SR-web-100913_2.pdf" TargetMode="External"/><Relationship Id="rId382" Type="http://schemas.openxmlformats.org/officeDocument/2006/relationships/hyperlink" Target="http://documents.worldbank.org/curated/en/645751526965934674/pdf/Plan-Archive-9.pdf" TargetMode="External"/><Relationship Id="rId687" Type="http://schemas.openxmlformats.org/officeDocument/2006/relationships/hyperlink" Target="http://www.vliz.be/projects/pegaso/images/stories/pegaso_draft_p5.pdf" TargetMode="External"/><Relationship Id="rId242" Type="http://schemas.openxmlformats.org/officeDocument/2006/relationships/hyperlink" Target="https://doi.org/10.1111/j.1759-5436.1997.mp28004008.x" TargetMode="External"/><Relationship Id="rId894" Type="http://schemas.openxmlformats.org/officeDocument/2006/relationships/hyperlink" Target="https://doi.org/10.1080/10871209.2014.853330" TargetMode="External"/><Relationship Id="rId1177" Type="http://schemas.openxmlformats.org/officeDocument/2006/relationships/hyperlink" Target="http://namibia.leadr.msu.edu/items/show/356" TargetMode="External"/><Relationship Id="rId102" Type="http://schemas.openxmlformats.org/officeDocument/2006/relationships/hyperlink" Target="http://pubs.iied.org/pdfs/14536IIED.pdf" TargetMode="External"/><Relationship Id="rId547" Type="http://schemas.openxmlformats.org/officeDocument/2006/relationships/hyperlink" Target="https://doi.org/10.1111/j.1365-2419.2011.00610.x" TargetMode="External"/><Relationship Id="rId754" Type="http://schemas.openxmlformats.org/officeDocument/2006/relationships/hyperlink" Target="https://doi.org/10.1080/21564574.2005.9635528" TargetMode="External"/><Relationship Id="rId961" Type="http://schemas.openxmlformats.org/officeDocument/2006/relationships/hyperlink" Target="https://doi.org/10.1073/pnas.1211658109" TargetMode="External"/><Relationship Id="rId1384" Type="http://schemas.openxmlformats.org/officeDocument/2006/relationships/hyperlink" Target="https://doi.org/10.1264/jsme2.ME14144" TargetMode="External"/><Relationship Id="rId1591" Type="http://schemas.openxmlformats.org/officeDocument/2006/relationships/image" Target="media/image123.JPG"/><Relationship Id="rId1689" Type="http://schemas.openxmlformats.org/officeDocument/2006/relationships/hyperlink" Target="http://www.jstor.org/stable/26271964" TargetMode="External"/><Relationship Id="rId90" Type="http://schemas.openxmlformats.org/officeDocument/2006/relationships/hyperlink" Target="https://doi.org/10.1016/j.enpol.2011.09.039" TargetMode="External"/><Relationship Id="rId407" Type="http://schemas.openxmlformats.org/officeDocument/2006/relationships/hyperlink" Target="https://adriancolston.files.wordpress.com/2016/10/decolonizing-nature-strategies-for-conservation-in-a-postcolonial-era1.pdf" TargetMode="External"/><Relationship Id="rId614" Type="http://schemas.openxmlformats.org/officeDocument/2006/relationships/hyperlink" Target="https://www.irena.org/DocumentDownloads/Publications/IRENADBFZ_Biomass%20Potential%20in%20Africa.pdf" TargetMode="External"/><Relationship Id="rId821" Type="http://schemas.openxmlformats.org/officeDocument/2006/relationships/hyperlink" Target="https://doi.org/10.1186/1471-2148-11-117" TargetMode="External"/><Relationship Id="rId1037" Type="http://schemas.openxmlformats.org/officeDocument/2006/relationships/image" Target="media/image75.JPG"/><Relationship Id="rId1244" Type="http://schemas.openxmlformats.org/officeDocument/2006/relationships/hyperlink" Target="https://doi.org/10.1098/rstb.2009.0030" TargetMode="External"/><Relationship Id="rId1451" Type="http://schemas.openxmlformats.org/officeDocument/2006/relationships/hyperlink" Target="https://doi.org/10.1098/rstb.2010.0136" TargetMode="External"/><Relationship Id="rId1896" Type="http://schemas.openxmlformats.org/officeDocument/2006/relationships/hyperlink" Target="https://doi.org/10.1016/j.landusepol.2012.03.020" TargetMode="External"/><Relationship Id="rId919" Type="http://schemas.openxmlformats.org/officeDocument/2006/relationships/hyperlink" Target="https://doi.org/10.1016/j.biocon.2009.12.032" TargetMode="External"/><Relationship Id="rId1104" Type="http://schemas.openxmlformats.org/officeDocument/2006/relationships/hyperlink" Target="https://assets.publishing.service.gov.uk/media/57a08d31e5274a27b20016b5/R7334k.pdf" TargetMode="External"/><Relationship Id="rId1311" Type="http://schemas.openxmlformats.org/officeDocument/2006/relationships/hyperlink" Target="https://doi.org/10.1146/annurev-ecolsys-102209-144628" TargetMode="External"/><Relationship Id="rId1549" Type="http://schemas.openxmlformats.org/officeDocument/2006/relationships/hyperlink" Target="https://doi.org/10.1007/s00382-010-0984-y" TargetMode="External"/><Relationship Id="rId1756" Type="http://schemas.openxmlformats.org/officeDocument/2006/relationships/hyperlink" Target="http://unfccc.int/4159.php" TargetMode="External"/><Relationship Id="rId1963" Type="http://schemas.openxmlformats.org/officeDocument/2006/relationships/hyperlink" Target="https://www.ifama.org/resources/Documents/v15ib/Schouten-Glasbergen.pdf" TargetMode="External"/><Relationship Id="rId48" Type="http://schemas.openxmlformats.org/officeDocument/2006/relationships/image" Target="media/image27.JPG"/><Relationship Id="rId1409" Type="http://schemas.openxmlformats.org/officeDocument/2006/relationships/hyperlink" Target="https://doi.org/10.1016/j.agwat.2005.07.004" TargetMode="External"/><Relationship Id="rId1616" Type="http://schemas.openxmlformats.org/officeDocument/2006/relationships/hyperlink" Target="http://dx.doi.org/10.18161/popcount.201610" TargetMode="External"/><Relationship Id="rId1823" Type="http://schemas.openxmlformats.org/officeDocument/2006/relationships/hyperlink" Target="https://doi.org/10.1016/j.ijdrr.2015.01.007" TargetMode="External"/><Relationship Id="rId197" Type="http://schemas.openxmlformats.org/officeDocument/2006/relationships/hyperlink" Target="http://www.fao.org/nr/tenure/land-tenure-journal/index.php/LTJ/article/view/8/2" TargetMode="External"/><Relationship Id="rId264" Type="http://schemas.openxmlformats.org/officeDocument/2006/relationships/hyperlink" Target="http://horizon.documentation.ird.fr/exl-doc/pleins_textes/divers15-04/010061528.pdf" TargetMode="External"/><Relationship Id="rId471" Type="http://schemas.openxmlformats.org/officeDocument/2006/relationships/hyperlink" Target="https://www.cifor.org/library/2949/the-forests-of-the-congo-basin-state-of-the-forest-2008/" TargetMode="External"/><Relationship Id="rId124" Type="http://schemas.openxmlformats.org/officeDocument/2006/relationships/hyperlink" Target="http://elibrary.worldbank.org/doi/abs/10.1596/9780821396131_CH07" TargetMode="External"/><Relationship Id="rId569" Type="http://schemas.openxmlformats.org/officeDocument/2006/relationships/hyperlink" Target="http://www.fao.org/docrep/019/j3463f/j3463f.pdf" TargetMode="External"/><Relationship Id="rId776" Type="http://schemas.openxmlformats.org/officeDocument/2006/relationships/hyperlink" Target="https://doi.org/10.3133/fs20173005" TargetMode="External"/><Relationship Id="rId983" Type="http://schemas.openxmlformats.org/officeDocument/2006/relationships/hyperlink" Target="https://doi.org/10.1007/s10745-017-9907-4" TargetMode="External"/><Relationship Id="rId1199" Type="http://schemas.openxmlformats.org/officeDocument/2006/relationships/hyperlink" Target="https://doi.org/10.1017/S0950268807009806" TargetMode="External"/><Relationship Id="rId331" Type="http://schemas.openxmlformats.org/officeDocument/2006/relationships/hyperlink" Target="https://esa.un.org/unpd/wpp/Publications/Files/WPP2017_KeyFindings.pdf" TargetMode="External"/><Relationship Id="rId429" Type="http://schemas.openxmlformats.org/officeDocument/2006/relationships/hyperlink" Target="http://www.seaaroundus.org/doc/publications/books-and-reports/2012/Belhabib-et-al-2012-West-Africa.pdf" TargetMode="External"/><Relationship Id="rId636" Type="http://schemas.openxmlformats.org/officeDocument/2006/relationships/hyperlink" Target="https://doi.org/10.1098/rstb.2004.1594" TargetMode="External"/><Relationship Id="rId1059" Type="http://schemas.openxmlformats.org/officeDocument/2006/relationships/hyperlink" Target="http://www.materialflows.net/materialflowsnet/home/" TargetMode="External"/><Relationship Id="rId1266" Type="http://schemas.openxmlformats.org/officeDocument/2006/relationships/hyperlink" Target="http://www.actionaid.org/sites/files/actionaid/selfish_europe.pdf" TargetMode="External"/><Relationship Id="rId1473" Type="http://schemas.openxmlformats.org/officeDocument/2006/relationships/hyperlink" Target="https://doi.org/10.1007/s13280-012-0256-7" TargetMode="External"/><Relationship Id="rId2012" Type="http://schemas.openxmlformats.org/officeDocument/2006/relationships/hyperlink" Target="https://doi.org/10.1111/cobi.13000" TargetMode="External"/><Relationship Id="rId843" Type="http://schemas.openxmlformats.org/officeDocument/2006/relationships/hyperlink" Target="https://doi.org/10.1371/journal.pone.0083500" TargetMode="External"/><Relationship Id="rId1126" Type="http://schemas.openxmlformats.org/officeDocument/2006/relationships/hyperlink" Target="https://doi.org/10.1016/j.apgeog.2008.10.004" TargetMode="External"/><Relationship Id="rId1680" Type="http://schemas.openxmlformats.org/officeDocument/2006/relationships/hyperlink" Target="https://doi.org/10.1080/14693062.2011.582387" TargetMode="External"/><Relationship Id="rId1778" Type="http://schemas.openxmlformats.org/officeDocument/2006/relationships/hyperlink" Target="http://www.hirolaconservation.org/images/scientific-publications/Dissertation.pdf" TargetMode="External"/><Relationship Id="rId1985" Type="http://schemas.openxmlformats.org/officeDocument/2006/relationships/hyperlink" Target="https://doi.org/10.1002/j.1681-4835.2004.tb00112.x" TargetMode="External"/><Relationship Id="rId703" Type="http://schemas.openxmlformats.org/officeDocument/2006/relationships/hyperlink" Target="https://www.cepf.net/sites/default/files/en_guinean_forests_ecosystem_profile.pdf" TargetMode="External"/><Relationship Id="rId910" Type="http://schemas.openxmlformats.org/officeDocument/2006/relationships/hyperlink" Target="https://doi.org/10.1038/35002501" TargetMode="External"/><Relationship Id="rId1333" Type="http://schemas.openxmlformats.org/officeDocument/2006/relationships/hyperlink" Target="https://doi.org/10.1016/j.earscirev.2004.01.003" TargetMode="External"/><Relationship Id="rId1540" Type="http://schemas.openxmlformats.org/officeDocument/2006/relationships/hyperlink" Target="https://doi.org/10.1007/s00128-011-0439-0" TargetMode="External"/><Relationship Id="rId1638" Type="http://schemas.openxmlformats.org/officeDocument/2006/relationships/hyperlink" Target="http://www.jstor.org/stable/30041395" TargetMode="External"/><Relationship Id="rId1400" Type="http://schemas.openxmlformats.org/officeDocument/2006/relationships/hyperlink" Target="http://climatefrontlines.org/sites/default/files/ipbes/IPBES_in_Africa_2015.pdf" TargetMode="External"/><Relationship Id="rId1845" Type="http://schemas.openxmlformats.org/officeDocument/2006/relationships/hyperlink" Target="https://doi.org/10.1080/17565529.2013.867247" TargetMode="External"/><Relationship Id="rId1705" Type="http://schemas.openxmlformats.org/officeDocument/2006/relationships/hyperlink" Target="https://doi.org/10.1371/journal.pone.0032202" TargetMode="External"/><Relationship Id="rId1912" Type="http://schemas.openxmlformats.org/officeDocument/2006/relationships/hyperlink" Target="http://www.jstor.org/stable/4314059" TargetMode="External"/><Relationship Id="rId286" Type="http://schemas.openxmlformats.org/officeDocument/2006/relationships/hyperlink" Target="https://doi.org/10.1093/aobpla/plt042" TargetMode="External"/><Relationship Id="rId493" Type="http://schemas.openxmlformats.org/officeDocument/2006/relationships/hyperlink" Target="https://doi.org/10.5923/j.ijaf.20140404.09" TargetMode="External"/><Relationship Id="rId146" Type="http://schemas.openxmlformats.org/officeDocument/2006/relationships/hyperlink" Target="http://www.cifor.org/publications/pdf_files/Books/FAO-CIFOR_Book-14.pdf" TargetMode="External"/><Relationship Id="rId353" Type="http://schemas.openxmlformats.org/officeDocument/2006/relationships/hyperlink" Target="https://wedocs.unep.org/rest/bitstreams/32269/retrieve" TargetMode="External"/><Relationship Id="rId560" Type="http://schemas.openxmlformats.org/officeDocument/2006/relationships/hyperlink" Target="http://climatefrontlines.org/sites/default/files/ipbes/IPBES_in_Africa_2015.pdf" TargetMode="External"/><Relationship Id="rId798" Type="http://schemas.openxmlformats.org/officeDocument/2006/relationships/hyperlink" Target="http://www.easternarc.or.tz" TargetMode="External"/><Relationship Id="rId1190" Type="http://schemas.openxmlformats.org/officeDocument/2006/relationships/hyperlink" Target="https://doi.org/10.1016/j.actatropica.2015.10.023" TargetMode="External"/><Relationship Id="rId213" Type="http://schemas.openxmlformats.org/officeDocument/2006/relationships/hyperlink" Target="http://wedocs.unep.org/bitstream/handle/20.500.11822/18442/av020e00.pdf" TargetMode="External"/><Relationship Id="rId420" Type="http://schemas.openxmlformats.org/officeDocument/2006/relationships/hyperlink" Target="https://doi.org/10.3406/jatba.1972.3130" TargetMode="External"/><Relationship Id="rId658" Type="http://schemas.openxmlformats.org/officeDocument/2006/relationships/hyperlink" Target="http://reptile-database.reptarium.cz/" TargetMode="External"/><Relationship Id="rId865" Type="http://schemas.openxmlformats.org/officeDocument/2006/relationships/hyperlink" Target="https://doi.org/10.1080/01431161.2014.954062" TargetMode="External"/><Relationship Id="rId1050" Type="http://schemas.openxmlformats.org/officeDocument/2006/relationships/hyperlink" Target="http://www.poachingfacts.com/poaching-statistics/rhino-poaching-statistics/" TargetMode="External"/><Relationship Id="rId1288" Type="http://schemas.openxmlformats.org/officeDocument/2006/relationships/hyperlink" Target="https://doi.org/10.17138/tgft(1)215-219" TargetMode="External"/><Relationship Id="rId1495" Type="http://schemas.openxmlformats.org/officeDocument/2006/relationships/hyperlink" Target="http://mahale.main.jp/PAN/3_1/senna.html" TargetMode="External"/><Relationship Id="rId518" Type="http://schemas.openxmlformats.org/officeDocument/2006/relationships/hyperlink" Target="https://doi.org/10.1525/bio.2011.61.9.6" TargetMode="External"/><Relationship Id="rId725" Type="http://schemas.openxmlformats.org/officeDocument/2006/relationships/hyperlink" Target="https://doi.org/10.1111/cobi.12195" TargetMode="External"/><Relationship Id="rId932" Type="http://schemas.openxmlformats.org/officeDocument/2006/relationships/hyperlink" Target="http://horizon.documentation.ird.fr/exl-doc/pleins_textes/pleins_textes_6/colloques2/010008453.pdf" TargetMode="External"/><Relationship Id="rId1148" Type="http://schemas.openxmlformats.org/officeDocument/2006/relationships/hyperlink" Target="https://doi.org/10.1007/s12571-013-0248-x" TargetMode="External"/><Relationship Id="rId1355" Type="http://schemas.openxmlformats.org/officeDocument/2006/relationships/hyperlink" Target="http://pdf.wri.org/ecosystems_human_wellbeing.pdf" TargetMode="External"/><Relationship Id="rId1562" Type="http://schemas.openxmlformats.org/officeDocument/2006/relationships/hyperlink" Target="https://en.wikipedia.org/wiki/Madagascar_subhumid_forests" TargetMode="External"/><Relationship Id="rId1008" Type="http://schemas.openxmlformats.org/officeDocument/2006/relationships/hyperlink" Target="https://doi.org/10.1016/j.gloenvcha.2017.02.001" TargetMode="External"/><Relationship Id="rId1215" Type="http://schemas.openxmlformats.org/officeDocument/2006/relationships/hyperlink" Target="http://www.dannyleipziger.com/documents/GD_WP7.pdf" TargetMode="External"/><Relationship Id="rId1422" Type="http://schemas.openxmlformats.org/officeDocument/2006/relationships/hyperlink" Target="https://doi.org/10.1016/j.gloenvcha.2014.08.007" TargetMode="External"/><Relationship Id="rId1867" Type="http://schemas.openxmlformats.org/officeDocument/2006/relationships/hyperlink" Target="https://www.thegef.org/sites/default/files/publications/GEF-2020Strategies-March2015_CRA_WEB_2.pdf" TargetMode="External"/><Relationship Id="rId61" Type="http://schemas.openxmlformats.org/officeDocument/2006/relationships/hyperlink" Target="http://www.millenniumassessment.org/documents/document.355.aspx.pdf" TargetMode="External"/><Relationship Id="rId1727" Type="http://schemas.openxmlformats.org/officeDocument/2006/relationships/hyperlink" Target="https://doi.org/10.1016/j.eneco.2010.03.001" TargetMode="External"/><Relationship Id="rId1934" Type="http://schemas.openxmlformats.org/officeDocument/2006/relationships/hyperlink" Target="https://doi.org/10.1108/SAMPJ-04-2014-0020" TargetMode="External"/><Relationship Id="rId19" Type="http://schemas.openxmlformats.org/officeDocument/2006/relationships/footer" Target="footer1.xml"/><Relationship Id="rId168" Type="http://schemas.openxmlformats.org/officeDocument/2006/relationships/hyperlink" Target="https://www.cabdirect.org/cabdirect/abstract/20083156477" TargetMode="External"/><Relationship Id="rId375" Type="http://schemas.openxmlformats.org/officeDocument/2006/relationships/hyperlink" Target="https://doi.org/10.1016/j.landusepol.2007.02.002" TargetMode="External"/><Relationship Id="rId582" Type="http://schemas.openxmlformats.org/officeDocument/2006/relationships/hyperlink" Target="https://www.iea.org/publications/freepublication" TargetMode="External"/><Relationship Id="rId3" Type="http://schemas.openxmlformats.org/officeDocument/2006/relationships/customXml" Target="../customXml/item3.xml"/><Relationship Id="rId235" Type="http://schemas.openxmlformats.org/officeDocument/2006/relationships/hyperlink" Target="https://www.millenniumassessment.org/documents/document.356.aspx.pdf" TargetMode="External"/><Relationship Id="rId442" Type="http://schemas.openxmlformats.org/officeDocument/2006/relationships/hyperlink" Target="https://doi.org/10.1126/science.326_364b" TargetMode="External"/><Relationship Id="rId887" Type="http://schemas.openxmlformats.org/officeDocument/2006/relationships/hyperlink" Target="https://doi.org/10.1098/rstb.2012.0312" TargetMode="External"/><Relationship Id="rId1072" Type="http://schemas.openxmlformats.org/officeDocument/2006/relationships/hyperlink" Target="https://doi.org/10.3828/idpr.2015.4" TargetMode="External"/><Relationship Id="rId302" Type="http://schemas.openxmlformats.org/officeDocument/2006/relationships/hyperlink" Target="https://ideas.repec.org/b/wfi/wfbook/37457.html" TargetMode="External"/><Relationship Id="rId747" Type="http://schemas.openxmlformats.org/officeDocument/2006/relationships/hyperlink" Target="http://www.cifor.org/publications/pdf_files/books/miombo.pdf" TargetMode="External"/><Relationship Id="rId954" Type="http://schemas.openxmlformats.org/officeDocument/2006/relationships/hyperlink" Target="https://doi.org/10.1007/978-1-4899-2248-9_1" TargetMode="External"/><Relationship Id="rId1377" Type="http://schemas.openxmlformats.org/officeDocument/2006/relationships/hyperlink" Target="http://hdl.handle.net/2433/143343" TargetMode="External"/><Relationship Id="rId1584" Type="http://schemas.openxmlformats.org/officeDocument/2006/relationships/image" Target="media/image116.JPG"/><Relationship Id="rId1791" Type="http://schemas.openxmlformats.org/officeDocument/2006/relationships/hyperlink" Target="https://doi.org/10.1016/j.envdev.2015.09.007" TargetMode="External"/><Relationship Id="rId83" Type="http://schemas.openxmlformats.org/officeDocument/2006/relationships/hyperlink" Target="https://au.int/sites/default/files/newsevents/workingdocuments/32187-wd-state_of_africas_population_-_sa19093_-e.pdf" TargetMode="External"/><Relationship Id="rId607" Type="http://schemas.openxmlformats.org/officeDocument/2006/relationships/hyperlink" Target="http://climateanalytics.org/files/schaeffer_et_al__2013__africao__s_a_daptation_gap_technical_report.pdf" TargetMode="External"/><Relationship Id="rId814" Type="http://schemas.openxmlformats.org/officeDocument/2006/relationships/hyperlink" Target="http://www.fao.org/3/a-i4808e.pdf" TargetMode="External"/><Relationship Id="rId1237" Type="http://schemas.openxmlformats.org/officeDocument/2006/relationships/hyperlink" Target="https://doi.org/10.1046/j.1523-1739.2002.00465.x" TargetMode="External"/><Relationship Id="rId1444" Type="http://schemas.openxmlformats.org/officeDocument/2006/relationships/hyperlink" Target="http://climatefrontlines.org/sites/default/files/ipbes/IPBES_in_Africa_2015.pdf" TargetMode="External"/><Relationship Id="rId1651" Type="http://schemas.openxmlformats.org/officeDocument/2006/relationships/hyperlink" Target="https://www.ipbes.net/sites/default/files/downloads/pdf/SPM_Deliverable_3c.pdf" TargetMode="External"/><Relationship Id="rId1889" Type="http://schemas.openxmlformats.org/officeDocument/2006/relationships/hyperlink" Target="https://doi.org/10.1111/j.1472-4642.2011.00770.x" TargetMode="External"/><Relationship Id="rId246" Type="http://schemas.openxmlformats.org/officeDocument/2006/relationships/hyperlink" Target="https://www.jstor.org/stable/161618" TargetMode="External"/><Relationship Id="rId453" Type="http://schemas.openxmlformats.org/officeDocument/2006/relationships/hyperlink" Target="https://www.profor.info/sites/profor.info/files/PROFOR_CongoTimber_web_0.pdf" TargetMode="External"/><Relationship Id="rId660" Type="http://schemas.openxmlformats.org/officeDocument/2006/relationships/image" Target="media/image49.png"/><Relationship Id="rId898" Type="http://schemas.openxmlformats.org/officeDocument/2006/relationships/hyperlink" Target="https://doi.org/10.13128/Acta_Herpetol-2678" TargetMode="External"/><Relationship Id="rId1083" Type="http://schemas.openxmlformats.org/officeDocument/2006/relationships/hyperlink" Target="https://doi.org/10.1038/nclimate2313" TargetMode="External"/><Relationship Id="rId1290" Type="http://schemas.openxmlformats.org/officeDocument/2006/relationships/hyperlink" Target="https://doi.org/10.1021/es001119a" TargetMode="External"/><Relationship Id="rId1304" Type="http://schemas.openxmlformats.org/officeDocument/2006/relationships/hyperlink" Target="https://doi.org/10.1111/j.1365-2028.2007.00892.x" TargetMode="External"/><Relationship Id="rId1511" Type="http://schemas.openxmlformats.org/officeDocument/2006/relationships/hyperlink" Target="https://doi.org/10.1016/j.tree.2009.07.003" TargetMode="External"/><Relationship Id="rId1749" Type="http://schemas.openxmlformats.org/officeDocument/2006/relationships/image" Target="media/image129.JPG"/><Relationship Id="rId1956" Type="http://schemas.openxmlformats.org/officeDocument/2006/relationships/hyperlink" Target="http://www.wcs-ahead.org/documents/sadc_strategy.pdf" TargetMode="External"/><Relationship Id="rId106" Type="http://schemas.openxmlformats.org/officeDocument/2006/relationships/hyperlink" Target="http://pubs.iied.org/pdfs/G01089.pdf" TargetMode="External"/><Relationship Id="rId313" Type="http://schemas.openxmlformats.org/officeDocument/2006/relationships/hyperlink" Target="http://rio20.net/wp-content/uploads/2012/05/state_of_planet_declaration.pdf" TargetMode="External"/><Relationship Id="rId758" Type="http://schemas.openxmlformats.org/officeDocument/2006/relationships/hyperlink" Target="http://www.capetown.gov.za/Family%20and%20home/residential-utility-services/residential-water-and-sanitation-services/this-weeks-dam-levels" TargetMode="External"/><Relationship Id="rId965" Type="http://schemas.openxmlformats.org/officeDocument/2006/relationships/hyperlink" Target="https://pdfs.semanticscholar.org/06a5/662bcf46d862c5b862195550a108f91172de.pdf" TargetMode="External"/><Relationship Id="rId1150" Type="http://schemas.openxmlformats.org/officeDocument/2006/relationships/hyperlink" Target="http://hdl.handle.net/20.500.11822/9626" TargetMode="External"/><Relationship Id="rId1388" Type="http://schemas.openxmlformats.org/officeDocument/2006/relationships/hyperlink" Target="https://doi.org/10.2989/10220119.2014.939996" TargetMode="External"/><Relationship Id="rId1595" Type="http://schemas.openxmlformats.org/officeDocument/2006/relationships/hyperlink" Target="https://doi.org/10.1007/s11027-012-9403-5" TargetMode="External"/><Relationship Id="rId1609" Type="http://schemas.openxmlformats.org/officeDocument/2006/relationships/hyperlink" Target="http://www.ecologyandsociety.org/vol12/iss1/art17/" TargetMode="External"/><Relationship Id="rId1816" Type="http://schemas.openxmlformats.org/officeDocument/2006/relationships/hyperlink" Target="https://www.cbd.int/doc/publications/for-redd-en.pdf" TargetMode="External"/><Relationship Id="rId10" Type="http://schemas.openxmlformats.org/officeDocument/2006/relationships/endnotes" Target="endnotes.xml"/><Relationship Id="rId94" Type="http://schemas.openxmlformats.org/officeDocument/2006/relationships/hyperlink" Target="https://open.library.ubc.ca/media/download/pdf/52383/1.0354314/5" TargetMode="External"/><Relationship Id="rId397" Type="http://schemas.openxmlformats.org/officeDocument/2006/relationships/image" Target="media/image41.png"/><Relationship Id="rId520" Type="http://schemas.openxmlformats.org/officeDocument/2006/relationships/hyperlink" Target="http://www.ieabioenergy.com/wp-content/uploads/2016/09/IEA-Bioenergy-Countries-Report-23.09.2016-1.pdf" TargetMode="External"/><Relationship Id="rId618" Type="http://schemas.openxmlformats.org/officeDocument/2006/relationships/hyperlink" Target="https://doi.org/10.1371/journal.pone.0065397" TargetMode="External"/><Relationship Id="rId825" Type="http://schemas.openxmlformats.org/officeDocument/2006/relationships/hyperlink" Target="https://portals.iucn.org/library/sites/library/files/documents/2010-039.pdf" TargetMode="External"/><Relationship Id="rId1248" Type="http://schemas.openxmlformats.org/officeDocument/2006/relationships/hyperlink" Target="http://www.irena.org/DocumentDownloads/Publications/IRENA_Africa_Resource_Potential_Aug2014.pdf" TargetMode="External"/><Relationship Id="rId1455" Type="http://schemas.openxmlformats.org/officeDocument/2006/relationships/hyperlink" Target="http://catalogue.unccd.int/192_Article_emissions_from_fire.pdf" TargetMode="External"/><Relationship Id="rId1662" Type="http://schemas.openxmlformats.org/officeDocument/2006/relationships/hyperlink" Target="https://doi.org/10.1080/00167223.2013.878229" TargetMode="External"/><Relationship Id="rId257" Type="http://schemas.openxmlformats.org/officeDocument/2006/relationships/hyperlink" Target="https://www.afidep.org/download/Population-Dynamics-Climate-Change-and-Sustainable-Development-in-Africa" TargetMode="External"/><Relationship Id="rId464" Type="http://schemas.openxmlformats.org/officeDocument/2006/relationships/hyperlink" Target="http://biology.mcgill.ca/faculty/chapman/articles/80_Gopal.pdf" TargetMode="External"/><Relationship Id="rId1010" Type="http://schemas.openxmlformats.org/officeDocument/2006/relationships/hyperlink" Target="https://doi.org/10.2989/00306525.2010.488429" TargetMode="External"/><Relationship Id="rId1094" Type="http://schemas.openxmlformats.org/officeDocument/2006/relationships/hyperlink" Target="https://doi.org/10.1111/ddi.12337" TargetMode="External"/><Relationship Id="rId1108" Type="http://schemas.openxmlformats.org/officeDocument/2006/relationships/hyperlink" Target="https://doi.org/10.1016/j.gecco.2015.02.001" TargetMode="External"/><Relationship Id="rId1315" Type="http://schemas.openxmlformats.org/officeDocument/2006/relationships/hyperlink" Target="https://doi.org/10.1186/s12992-016-0192-6" TargetMode="External"/><Relationship Id="rId1967" Type="http://schemas.openxmlformats.org/officeDocument/2006/relationships/hyperlink" Target="https://doi.org/10.1017/S0376892910000366" TargetMode="External"/><Relationship Id="rId117" Type="http://schemas.openxmlformats.org/officeDocument/2006/relationships/hyperlink" Target="https://doi.org/10.1038/325031a0" TargetMode="External"/><Relationship Id="rId671" Type="http://schemas.openxmlformats.org/officeDocument/2006/relationships/image" Target="media/image58.png"/><Relationship Id="rId769" Type="http://schemas.openxmlformats.org/officeDocument/2006/relationships/hyperlink" Target="https://doi.org/10.1079/9781845931070.0000" TargetMode="External"/><Relationship Id="rId976" Type="http://schemas.openxmlformats.org/officeDocument/2006/relationships/hyperlink" Target="https://doi.org/10.1899/08-171.1" TargetMode="External"/><Relationship Id="rId1399" Type="http://schemas.openxmlformats.org/officeDocument/2006/relationships/hyperlink" Target="https://doi.org/10.1111/j.1365-2028.2007.00910.x" TargetMode="External"/><Relationship Id="rId324" Type="http://schemas.openxmlformats.org/officeDocument/2006/relationships/hyperlink" Target="http://hdl.handle.net/10520/EJC96207" TargetMode="External"/><Relationship Id="rId531" Type="http://schemas.openxmlformats.org/officeDocument/2006/relationships/hyperlink" Target="http://sustainableagriculture.net/publications" TargetMode="External"/><Relationship Id="rId629" Type="http://schemas.openxmlformats.org/officeDocument/2006/relationships/hyperlink" Target="https://www.scribd.com/document/327279591/Tanzania-2nd-State-of-the-Envrionemnt-Report-2014" TargetMode="External"/><Relationship Id="rId1161" Type="http://schemas.openxmlformats.org/officeDocument/2006/relationships/hyperlink" Target="http://citeseerx.ist.psu.edu/viewdoc/download?doi=10.1.1.17.5637&amp;rep=rep1&amp;type=pdf" TargetMode="External"/><Relationship Id="rId1259" Type="http://schemas.openxmlformats.org/officeDocument/2006/relationships/hyperlink" Target="http://www.un.org/en/africa/osaa/pdf/au/cap_naturalcapital_2015.pdf" TargetMode="External"/><Relationship Id="rId1466" Type="http://schemas.openxmlformats.org/officeDocument/2006/relationships/hyperlink" Target="https://doi.org/10.1016/j.chemosphere.2013.03.033" TargetMode="External"/><Relationship Id="rId2005" Type="http://schemas.openxmlformats.org/officeDocument/2006/relationships/hyperlink" Target="https://doi.org/10.1007/s10584-013-0906-1" TargetMode="External"/><Relationship Id="rId836" Type="http://schemas.openxmlformats.org/officeDocument/2006/relationships/hyperlink" Target="http://www.rspo.org/files/resource_centre/OP_Chain_Part%20A_new.pdf" TargetMode="External"/><Relationship Id="rId1021" Type="http://schemas.openxmlformats.org/officeDocument/2006/relationships/hyperlink" Target="http://d2ouvy59p0dg6k.cloudfront.net/downloads/lpr_living_planet_report_2012.pdf" TargetMode="External"/><Relationship Id="rId1119" Type="http://schemas.openxmlformats.org/officeDocument/2006/relationships/hyperlink" Target="https://doi.org/10.1128/JVI.02641-10" TargetMode="External"/><Relationship Id="rId1673" Type="http://schemas.openxmlformats.org/officeDocument/2006/relationships/hyperlink" Target="https://doi.org/10.1016/j.jhydrol.2009.11.028" TargetMode="External"/><Relationship Id="rId1880" Type="http://schemas.openxmlformats.org/officeDocument/2006/relationships/hyperlink" Target="https://opendocs.ids.ac.uk/opendocs/bitstream/handle/123456789/6936/ER148_GreenDevelopmentNaturalResourceFinancializationandEmergingConflictinSouthernAfrica.pdf" TargetMode="External"/><Relationship Id="rId1978" Type="http://schemas.openxmlformats.org/officeDocument/2006/relationships/hyperlink" Target="https://doi.org/10.1007/s13280-014-0501-3" TargetMode="External"/><Relationship Id="rId903" Type="http://schemas.openxmlformats.org/officeDocument/2006/relationships/hyperlink" Target="https://doi.org/10.1016/j.sajb.2017.01.117" TargetMode="External"/><Relationship Id="rId1326" Type="http://schemas.openxmlformats.org/officeDocument/2006/relationships/hyperlink" Target="https://doi.org/10.1023/A:1006355210516" TargetMode="External"/><Relationship Id="rId1533" Type="http://schemas.openxmlformats.org/officeDocument/2006/relationships/hyperlink" Target="https://doi.org/10.1351/pac200173071147" TargetMode="External"/><Relationship Id="rId1740" Type="http://schemas.openxmlformats.org/officeDocument/2006/relationships/hyperlink" Target="https://doi.org/10.1016/j.jaridenv.2016.02.005" TargetMode="External"/><Relationship Id="rId32" Type="http://schemas.openxmlformats.org/officeDocument/2006/relationships/hyperlink" Target="https://nfds.info/experience/fish-i-africa/" TargetMode="External"/><Relationship Id="rId1600" Type="http://schemas.openxmlformats.org/officeDocument/2006/relationships/hyperlink" Target="https://doi.org/10.1111/gcb.13299" TargetMode="External"/><Relationship Id="rId1838" Type="http://schemas.openxmlformats.org/officeDocument/2006/relationships/hyperlink" Target="https://doi.org/10.1023/A:1025075923297" TargetMode="External"/><Relationship Id="rId181" Type="http://schemas.openxmlformats.org/officeDocument/2006/relationships/hyperlink" Target="https://doi.org/10.1663/0013-0001(2005)059%5b0043:PBAEOB%5d2.0.CO;2" TargetMode="External"/><Relationship Id="rId1905" Type="http://schemas.openxmlformats.org/officeDocument/2006/relationships/hyperlink" Target="https://doi.org/10.5751/ES-05873-180226" TargetMode="External"/><Relationship Id="rId279" Type="http://schemas.openxmlformats.org/officeDocument/2006/relationships/hyperlink" Target="https://doi.org/10.1016/S0167-8809(00)00178-X" TargetMode="External"/><Relationship Id="rId486" Type="http://schemas.openxmlformats.org/officeDocument/2006/relationships/hyperlink" Target="http://ec.europa.eu/environment/cites/pdf/WAP_EN_WEB.PDF" TargetMode="External"/><Relationship Id="rId693" Type="http://schemas.openxmlformats.org/officeDocument/2006/relationships/hyperlink" Target="https://doi.org/10.1007/978-94-007-7088-1" TargetMode="External"/><Relationship Id="rId139" Type="http://schemas.openxmlformats.org/officeDocument/2006/relationships/hyperlink" Target="https://doi.org/10.1111/roiw.12013" TargetMode="External"/><Relationship Id="rId346" Type="http://schemas.openxmlformats.org/officeDocument/2006/relationships/hyperlink" Target="http://staging.unep.org/geo/pdfs/geo5/Measuring_progress.pdf" TargetMode="External"/><Relationship Id="rId553" Type="http://schemas.openxmlformats.org/officeDocument/2006/relationships/hyperlink" Target="http://www.antoniomachado.net/wp-content/uploads/pdf/legal/1998-borrador-anteproyecto-ley-areas-protegidas-guinea.p.pdf" TargetMode="External"/><Relationship Id="rId760" Type="http://schemas.openxmlformats.org/officeDocument/2006/relationships/hyperlink" Target="https://www.cabdirect.org/cabdirect/abstract/19790652146" TargetMode="External"/><Relationship Id="rId998" Type="http://schemas.openxmlformats.org/officeDocument/2006/relationships/hyperlink" Target="http://www.grida.no/publications/204" TargetMode="External"/><Relationship Id="rId1183" Type="http://schemas.openxmlformats.org/officeDocument/2006/relationships/hyperlink" Target="http://www.dwaf.gov.za/wfw/default.aspx" TargetMode="External"/><Relationship Id="rId1390" Type="http://schemas.openxmlformats.org/officeDocument/2006/relationships/hyperlink" Target="https://doi.org/10.1016/j.foreco.2005.01.023" TargetMode="External"/><Relationship Id="rId2027" Type="http://schemas.openxmlformats.org/officeDocument/2006/relationships/hyperlink" Target="http://www.spgrc.org.zm/" TargetMode="External"/><Relationship Id="rId206" Type="http://schemas.openxmlformats.org/officeDocument/2006/relationships/hyperlink" Target="http://www.ipbes.net/sites/default/files/downloads/IPBES-4-INF-9_EN_0.pdf" TargetMode="External"/><Relationship Id="rId413" Type="http://schemas.openxmlformats.org/officeDocument/2006/relationships/hyperlink" Target="https://doi.org/10.1016/j.worlddev.2014.03.006" TargetMode="External"/><Relationship Id="rId858" Type="http://schemas.openxmlformats.org/officeDocument/2006/relationships/hyperlink" Target="https://doi.org/10.1023/A:1009862025821" TargetMode="External"/><Relationship Id="rId1043" Type="http://schemas.openxmlformats.org/officeDocument/2006/relationships/image" Target="media/image81.JPG"/><Relationship Id="rId1488" Type="http://schemas.openxmlformats.org/officeDocument/2006/relationships/hyperlink" Target="https://www.theguardian.com/world/2015/oct/29/deforestation-might-have-started-west-africas-ebola-outbreak" TargetMode="External"/><Relationship Id="rId1695" Type="http://schemas.openxmlformats.org/officeDocument/2006/relationships/hyperlink" Target="https://www.sardc.net/books/SAEO/SAEO.pdf" TargetMode="External"/><Relationship Id="rId620" Type="http://schemas.openxmlformats.org/officeDocument/2006/relationships/hyperlink" Target="https://doi.org/10.1505/ifor.12.3.284" TargetMode="External"/><Relationship Id="rId718" Type="http://schemas.openxmlformats.org/officeDocument/2006/relationships/hyperlink" Target="https://doi.org/10.1017/S0959270901211071" TargetMode="External"/><Relationship Id="rId925" Type="http://schemas.openxmlformats.org/officeDocument/2006/relationships/hyperlink" Target="http://www.fao.org/3/a-BO092E.pdf" TargetMode="External"/><Relationship Id="rId1250" Type="http://schemas.openxmlformats.org/officeDocument/2006/relationships/hyperlink" Target="https://doi.org/10.1016/j.marpolbul.2015.09.018" TargetMode="External"/><Relationship Id="rId1348" Type="http://schemas.openxmlformats.org/officeDocument/2006/relationships/hyperlink" Target="http://www.suaire.suanet.ac.tz:8080/xmlui/handle/123456789/1377" TargetMode="External"/><Relationship Id="rId1555" Type="http://schemas.openxmlformats.org/officeDocument/2006/relationships/hyperlink" Target="http://www.worldatlas.com/articles/the-20-countries-with-the-highest-population-growth.html" TargetMode="External"/><Relationship Id="rId1762" Type="http://schemas.openxmlformats.org/officeDocument/2006/relationships/image" Target="media/image133.JPG"/><Relationship Id="rId1110" Type="http://schemas.openxmlformats.org/officeDocument/2006/relationships/hyperlink" Target="https://doi.org/10.1016/j.gloenvcha.2008.02.001" TargetMode="External"/><Relationship Id="rId1208" Type="http://schemas.openxmlformats.org/officeDocument/2006/relationships/hyperlink" Target="http://hdl.handle.net/20.500.11822/9816" TargetMode="External"/><Relationship Id="rId1415" Type="http://schemas.openxmlformats.org/officeDocument/2006/relationships/hyperlink" Target="https://doi.org/10.1016/j.gloenvcha.2011.09.014" TargetMode="External"/><Relationship Id="rId54" Type="http://schemas.openxmlformats.org/officeDocument/2006/relationships/image" Target="media/image32.JPG"/><Relationship Id="rId1622" Type="http://schemas.openxmlformats.org/officeDocument/2006/relationships/hyperlink" Target="https://www.africaportal.org/documents/3134/Mono175.pdf" TargetMode="External"/><Relationship Id="rId1927" Type="http://schemas.openxmlformats.org/officeDocument/2006/relationships/hyperlink" Target="http://www.nepad.org/download/file/fid/3072%20" TargetMode="External"/><Relationship Id="rId270" Type="http://schemas.openxmlformats.org/officeDocument/2006/relationships/hyperlink" Target="https://doi.org/10.1111/dpr.12147" TargetMode="External"/><Relationship Id="rId130" Type="http://schemas.openxmlformats.org/officeDocument/2006/relationships/hyperlink" Target="https://openknowledge.worldbank.org/bitstream/handle/10986/22722/9781464807381.pdf" TargetMode="External"/><Relationship Id="rId368" Type="http://schemas.openxmlformats.org/officeDocument/2006/relationships/hyperlink" Target="https://doi.org/10.1016/S0140-6736(15)60901-1" TargetMode="External"/><Relationship Id="rId575" Type="http://schemas.openxmlformats.org/officeDocument/2006/relationships/hyperlink" Target="http://www.odi.org.uk/resources/docs/1168.pdf" TargetMode="External"/><Relationship Id="rId782" Type="http://schemas.openxmlformats.org/officeDocument/2006/relationships/hyperlink" Target="https://cmsdata.iucn.org/downloads/the_mediterranean_a_biodiversity_hotspot_under_threat.pdf" TargetMode="External"/><Relationship Id="rId228" Type="http://schemas.openxmlformats.org/officeDocument/2006/relationships/hyperlink" Target="https://doi.org/10.1007/978-3-319-03982-4_4" TargetMode="External"/><Relationship Id="rId435" Type="http://schemas.openxmlformats.org/officeDocument/2006/relationships/hyperlink" Target="https://doi.org/10.5337/2014.231" TargetMode="External"/><Relationship Id="rId642" Type="http://schemas.openxmlformats.org/officeDocument/2006/relationships/hyperlink" Target="http://www.wpro.who.int/health_technology/book_who_traditional_medicine_strategy_2002_2005.pdf" TargetMode="External"/><Relationship Id="rId1065" Type="http://schemas.openxmlformats.org/officeDocument/2006/relationships/image" Target="media/image98.png"/><Relationship Id="rId1272" Type="http://schemas.openxmlformats.org/officeDocument/2006/relationships/hyperlink" Target="https://www.iucn.org/content/indigenous-and-community-conserved-areas-bold-new-frontier-conservation" TargetMode="External"/><Relationship Id="rId502" Type="http://schemas.openxmlformats.org/officeDocument/2006/relationships/hyperlink" Target="http://www.arjournals.org/index.php/ijpm/article/view/1290" TargetMode="External"/><Relationship Id="rId947" Type="http://schemas.openxmlformats.org/officeDocument/2006/relationships/hyperlink" Target="https://www.cifor.org/library/6376/where-land-meets-the-sea-a-global-review-of-the-governance-and-tenure-dimensions-of-coastal-mangrove-forests/" TargetMode="External"/><Relationship Id="rId1132" Type="http://schemas.openxmlformats.org/officeDocument/2006/relationships/hyperlink" Target="https://doi.org/10.1111/1475-4959.04977" TargetMode="External"/><Relationship Id="rId1577" Type="http://schemas.openxmlformats.org/officeDocument/2006/relationships/image" Target="media/image109.jpeg"/><Relationship Id="rId1784" Type="http://schemas.openxmlformats.org/officeDocument/2006/relationships/hyperlink" Target="http://www.wipo.int/edocs/lexdocs/treaties/en/ap010/trt_ap010.pdf" TargetMode="External"/><Relationship Id="rId1991" Type="http://schemas.openxmlformats.org/officeDocument/2006/relationships/hyperlink" Target="http://www2.unccd.int/sites/default/files/relevant-links/2017-01/UNCCD_Convention_ENG_0.pdf" TargetMode="External"/><Relationship Id="rId76" Type="http://schemas.openxmlformats.org/officeDocument/2006/relationships/hyperlink" Target="http://www.oecd.org/dev/pgd/46837274.pdf" TargetMode="External"/><Relationship Id="rId807" Type="http://schemas.openxmlformats.org/officeDocument/2006/relationships/hyperlink" Target="http://faostat.fao.org/faostat/collections?version=ext&amp;hasbulk=0&amp;subset=fisheries" TargetMode="External"/><Relationship Id="rId1437" Type="http://schemas.openxmlformats.org/officeDocument/2006/relationships/hyperlink" Target="https://pdfs.semanticscholar.org/9a95/8590d0f82015509300671c44161807352271.pdf" TargetMode="External"/><Relationship Id="rId1644" Type="http://schemas.openxmlformats.org/officeDocument/2006/relationships/hyperlink" Target="http://www.footprintnetwork.org" TargetMode="External"/><Relationship Id="rId1851" Type="http://schemas.openxmlformats.org/officeDocument/2006/relationships/hyperlink" Target="https://www.epa.gov/sites/production/files/2015-08/documents/420r07004.pdf" TargetMode="External"/><Relationship Id="rId1504" Type="http://schemas.openxmlformats.org/officeDocument/2006/relationships/hyperlink" Target="http://hdl.handle.net/20.500.11822/8539" TargetMode="External"/><Relationship Id="rId1711" Type="http://schemas.openxmlformats.org/officeDocument/2006/relationships/hyperlink" Target="https://doi.org/10.1016/j.gloenvcha.2008.08.005" TargetMode="External"/><Relationship Id="rId1949" Type="http://schemas.openxmlformats.org/officeDocument/2006/relationships/hyperlink" Target="https://www.ramsar.org/sites/default/files/documents/library/current_convention_text_e.pdf" TargetMode="External"/><Relationship Id="rId292" Type="http://schemas.openxmlformats.org/officeDocument/2006/relationships/hyperlink" Target="https://doi.org/10.1111/1468-2451.00386" TargetMode="External"/><Relationship Id="rId1809" Type="http://schemas.openxmlformats.org/officeDocument/2006/relationships/hyperlink" Target="http://pubs.iied.org/pdfs/17503IIED.pdf" TargetMode="External"/><Relationship Id="rId597" Type="http://schemas.openxmlformats.org/officeDocument/2006/relationships/hyperlink" Target="https://doi.org/10.5558/tfc83515-4" TargetMode="External"/><Relationship Id="rId152" Type="http://schemas.openxmlformats.org/officeDocument/2006/relationships/hyperlink" Target="http://apps.who.int/iris/bitstream/10665/42699/1/9241546018.pdf" TargetMode="External"/><Relationship Id="rId457" Type="http://schemas.openxmlformats.org/officeDocument/2006/relationships/hyperlink" Target="https://www.ipcc.ch/pdf/assessment-report/ar5/wg1/WG1AR5_Frontmatter_FINAL.pdf" TargetMode="External"/><Relationship Id="rId1087" Type="http://schemas.openxmlformats.org/officeDocument/2006/relationships/hyperlink" Target="https://doi.org/10.1073/pnas.1211466110" TargetMode="External"/><Relationship Id="rId1294" Type="http://schemas.openxmlformats.org/officeDocument/2006/relationships/hyperlink" Target="https://doi.org/10.1016/S0160-4120(02)00099-5" TargetMode="External"/><Relationship Id="rId664" Type="http://schemas.openxmlformats.org/officeDocument/2006/relationships/image" Target="media/image52.png"/><Relationship Id="rId871" Type="http://schemas.openxmlformats.org/officeDocument/2006/relationships/hyperlink" Target="https://doi.org/10.1016/j.dsr2.2009.04.014" TargetMode="External"/><Relationship Id="rId969" Type="http://schemas.openxmlformats.org/officeDocument/2006/relationships/hyperlink" Target="https://www.iucn.org/content/status-and-distribution-freshwater-biodiversity-western-africa" TargetMode="External"/><Relationship Id="rId1599" Type="http://schemas.openxmlformats.org/officeDocument/2006/relationships/hyperlink" Target="http://www.ecologyandsociety.org/vol10/iss2/art19/" TargetMode="External"/><Relationship Id="rId317" Type="http://schemas.openxmlformats.org/officeDocument/2006/relationships/hyperlink" Target="https://www.crcpress.com/Groundwater-Assessment-Modeling-and-Management/Thangarajan-Singh/p/book/9781498742849" TargetMode="External"/><Relationship Id="rId524" Type="http://schemas.openxmlformats.org/officeDocument/2006/relationships/hyperlink" Target="http://repository.icse.utah.edu/dspace/bitstream/123456789/9951/1/ClimateChange2007-1.pdf" TargetMode="External"/><Relationship Id="rId731" Type="http://schemas.openxmlformats.org/officeDocument/2006/relationships/hyperlink" Target="https://doi.org/10.1016/j.jag.2009.09.008" TargetMode="External"/><Relationship Id="rId1154" Type="http://schemas.openxmlformats.org/officeDocument/2006/relationships/hyperlink" Target="https://doi.org/10.1080/14888386.2014.934715" TargetMode="External"/><Relationship Id="rId1361" Type="http://schemas.openxmlformats.org/officeDocument/2006/relationships/hyperlink" Target="https://doi.org/10.5897/IJBC12.030" TargetMode="External"/><Relationship Id="rId1459" Type="http://schemas.openxmlformats.org/officeDocument/2006/relationships/hyperlink" Target="https://doi.org/10.1016/j.forpol.2006.03.004" TargetMode="External"/><Relationship Id="rId98" Type="http://schemas.openxmlformats.org/officeDocument/2006/relationships/hyperlink" Target="https://doi.org/10.1371/journal.pone.0118351" TargetMode="External"/><Relationship Id="rId829" Type="http://schemas.openxmlformats.org/officeDocument/2006/relationships/hyperlink" Target="https://doi.org/10.3390/s8042104" TargetMode="External"/><Relationship Id="rId1014" Type="http://schemas.openxmlformats.org/officeDocument/2006/relationships/hyperlink" Target="https://doi.org/10.1006/jare.1997.0303" TargetMode="External"/><Relationship Id="rId1221" Type="http://schemas.openxmlformats.org/officeDocument/2006/relationships/hyperlink" Target="https://www.cabdirect.org/cabdirect/abstract/19901182085" TargetMode="External"/><Relationship Id="rId1666" Type="http://schemas.openxmlformats.org/officeDocument/2006/relationships/hyperlink" Target="file:///C:\Users\MDhliwayo\Desktop\Refs%20only%20for%20Chapter%205_MW_MD.docx" TargetMode="External"/><Relationship Id="rId1873" Type="http://schemas.openxmlformats.org/officeDocument/2006/relationships/hyperlink" Target="https://doi.org/10.1080/03066150.2015.1036746" TargetMode="External"/><Relationship Id="rId1319" Type="http://schemas.openxmlformats.org/officeDocument/2006/relationships/hyperlink" Target="https://doi.org/10.1111/jwip.12095" TargetMode="External"/><Relationship Id="rId1526" Type="http://schemas.openxmlformats.org/officeDocument/2006/relationships/hyperlink" Target="https://doi.org/10.17528/cifor/003489" TargetMode="External"/><Relationship Id="rId1733" Type="http://schemas.openxmlformats.org/officeDocument/2006/relationships/hyperlink" Target="https://doi.org/10.1088/1748-9326/8/4/044018" TargetMode="External"/><Relationship Id="rId1940" Type="http://schemas.openxmlformats.org/officeDocument/2006/relationships/hyperlink" Target="https://doi.org/10.1080/19186444.2010.11658229" TargetMode="External"/><Relationship Id="rId25" Type="http://schemas.openxmlformats.org/officeDocument/2006/relationships/image" Target="media/image10.JPG"/><Relationship Id="rId1800" Type="http://schemas.openxmlformats.org/officeDocument/2006/relationships/hyperlink" Target="https://ideas.repec.org/p/ags/eaae67/241033.html" TargetMode="External"/><Relationship Id="rId174" Type="http://schemas.openxmlformats.org/officeDocument/2006/relationships/hyperlink" Target="https://doi.org/10.1016/j.worlddev.2012.06.014" TargetMode="External"/><Relationship Id="rId381" Type="http://schemas.openxmlformats.org/officeDocument/2006/relationships/hyperlink" Target="http://data.worldbank.org/sites/default/files/wdi-2012-ebook.pdf" TargetMode="External"/><Relationship Id="rId241" Type="http://schemas.openxmlformats.org/officeDocument/2006/relationships/hyperlink" Target="http://www.rericjournal.ait.ac.th/index.php/reric/article/view/334" TargetMode="External"/><Relationship Id="rId479" Type="http://schemas.openxmlformats.org/officeDocument/2006/relationships/hyperlink" Target="https://www.biology.lu.se/" TargetMode="External"/><Relationship Id="rId686" Type="http://schemas.openxmlformats.org/officeDocument/2006/relationships/hyperlink" Target="https://doi.org/10.2305/IUCN.UK.2011-2.RLTS.T34126A9841418.en" TargetMode="External"/><Relationship Id="rId893" Type="http://schemas.openxmlformats.org/officeDocument/2006/relationships/hyperlink" Target="http://www.eoearth.org/view/article/150641/" TargetMode="External"/><Relationship Id="rId339" Type="http://schemas.openxmlformats.org/officeDocument/2006/relationships/hyperlink" Target="http://www.uneca.org/sites/default/files/PublicationFiles/popular-participation-decentralization-in-africa.pdf" TargetMode="External"/><Relationship Id="rId546" Type="http://schemas.openxmlformats.org/officeDocument/2006/relationships/hyperlink" Target="https://doi.org/10.1098/rstb.2003.1432" TargetMode="External"/><Relationship Id="rId753" Type="http://schemas.openxmlformats.org/officeDocument/2006/relationships/hyperlink" Target="http://www.cpef.net/resources/hotspots/africa/Pages/Succulent-Karoo.aspx" TargetMode="External"/><Relationship Id="rId1176" Type="http://schemas.openxmlformats.org/officeDocument/2006/relationships/hyperlink" Target="https://doi.org/10.1144/GSL.SP.2005.250.01.09" TargetMode="External"/><Relationship Id="rId1383" Type="http://schemas.openxmlformats.org/officeDocument/2006/relationships/hyperlink" Target="http://hdl.handle.net/11250/135816" TargetMode="External"/><Relationship Id="rId101" Type="http://schemas.openxmlformats.org/officeDocument/2006/relationships/hyperlink" Target="https://doi.org/10.1016/j.jaridenv.2015.10.021" TargetMode="External"/><Relationship Id="rId406" Type="http://schemas.openxmlformats.org/officeDocument/2006/relationships/hyperlink" Target="https://doi.org/10.2307/3451412" TargetMode="External"/><Relationship Id="rId960" Type="http://schemas.openxmlformats.org/officeDocument/2006/relationships/hyperlink" Target="http://www.seasense.org/uploads/media/Sea_Sense_2010_Annual_Report.pdf" TargetMode="External"/><Relationship Id="rId1036" Type="http://schemas.openxmlformats.org/officeDocument/2006/relationships/image" Target="media/image74.png"/><Relationship Id="rId1243" Type="http://schemas.openxmlformats.org/officeDocument/2006/relationships/hyperlink" Target="https://doi.org/10.1038/nrmicro1069" TargetMode="External"/><Relationship Id="rId1590" Type="http://schemas.openxmlformats.org/officeDocument/2006/relationships/image" Target="media/image122.JPG"/><Relationship Id="rId1688" Type="http://schemas.openxmlformats.org/officeDocument/2006/relationships/hyperlink" Target="https://doi.org/10.1126/science.aai9214" TargetMode="External"/><Relationship Id="rId1895" Type="http://schemas.openxmlformats.org/officeDocument/2006/relationships/hyperlink" Target="http://www.conservationandsociety.org/text.asp?2007/5/1/88/49225" TargetMode="External"/><Relationship Id="rId613" Type="http://schemas.openxmlformats.org/officeDocument/2006/relationships/hyperlink" Target="https://doi.org/10.1007/s10499-016-9989-9" TargetMode="External"/><Relationship Id="rId820" Type="http://schemas.openxmlformats.org/officeDocument/2006/relationships/hyperlink" Target="http://www.cifor.org/publications/pdf_files/Books/Miombo.pdf" TargetMode="External"/><Relationship Id="rId918" Type="http://schemas.openxmlformats.org/officeDocument/2006/relationships/hyperlink" Target="http://na.nefsc.noaa.gov/lme/text/lme26.htm" TargetMode="External"/><Relationship Id="rId1450" Type="http://schemas.openxmlformats.org/officeDocument/2006/relationships/hyperlink" Target="http://opendocs.ids.ac.uk/opendocs/handle/123456789/2966" TargetMode="External"/><Relationship Id="rId1548" Type="http://schemas.openxmlformats.org/officeDocument/2006/relationships/hyperlink" Target="https://doi.org/10.1111/aje.12392" TargetMode="External"/><Relationship Id="rId1755" Type="http://schemas.openxmlformats.org/officeDocument/2006/relationships/hyperlink" Target="http://unfccc.int/4159.php" TargetMode="External"/><Relationship Id="rId1103" Type="http://schemas.openxmlformats.org/officeDocument/2006/relationships/hyperlink" Target="http://biblioteca.semarnat.gob.mx/janium/Documentos/Ciga/Libros2013/CD002534.pdf" TargetMode="External"/><Relationship Id="rId1310" Type="http://schemas.openxmlformats.org/officeDocument/2006/relationships/hyperlink" Target="https://islandpress.org/author/millennium-ecosystem-assessment" TargetMode="External"/><Relationship Id="rId1408" Type="http://schemas.openxmlformats.org/officeDocument/2006/relationships/hyperlink" Target="http://wtf.tw/ref/ostrom_1990.pdf" TargetMode="External"/><Relationship Id="rId1962" Type="http://schemas.openxmlformats.org/officeDocument/2006/relationships/hyperlink" Target="https://doi.org/10.1016/j.ecolecon.2011.03.012" TargetMode="External"/><Relationship Id="rId47" Type="http://schemas.openxmlformats.org/officeDocument/2006/relationships/image" Target="media/image26.JPG"/><Relationship Id="rId1615" Type="http://schemas.openxmlformats.org/officeDocument/2006/relationships/hyperlink" Target="https://doi.org/10.1111/j.1523-1739.2006.00475.x" TargetMode="External"/><Relationship Id="rId1822" Type="http://schemas.openxmlformats.org/officeDocument/2006/relationships/hyperlink" Target="https://doi.org/10.1016/j.tree.2009.10.008" TargetMode="External"/><Relationship Id="rId196" Type="http://schemas.openxmlformats.org/officeDocument/2006/relationships/hyperlink" Target="https://doi.org/10.1007/978-3-642-16014-1_6" TargetMode="External"/><Relationship Id="rId263" Type="http://schemas.openxmlformats.org/officeDocument/2006/relationships/hyperlink" Target="http://www.ecologyandsociety.org/vol11/iss2/art29/" TargetMode="External"/><Relationship Id="rId470" Type="http://schemas.openxmlformats.org/officeDocument/2006/relationships/hyperlink" Target="https://www.agora-parl.org/resources/library/ethiopias-renewable-energy-power-potential-and-development-opportunities" TargetMode="External"/><Relationship Id="rId123" Type="http://schemas.openxmlformats.org/officeDocument/2006/relationships/hyperlink" Target="https://www.iucn.org/downloads/pm12.pdf" TargetMode="External"/><Relationship Id="rId330" Type="http://schemas.openxmlformats.org/officeDocument/2006/relationships/hyperlink" Target="http://esa.un.org/unpd/wup/FinalReport/WUP2014-Report.pdf" TargetMode="External"/><Relationship Id="rId568" Type="http://schemas.openxmlformats.org/officeDocument/2006/relationships/hyperlink" Target="https://doi.org/10.1073/pnas.1218656110" TargetMode="External"/><Relationship Id="rId775" Type="http://schemas.openxmlformats.org/officeDocument/2006/relationships/hyperlink" Target="https://doi.org/10.1016/j.gloenvcha.2014.04.002" TargetMode="External"/><Relationship Id="rId982" Type="http://schemas.openxmlformats.org/officeDocument/2006/relationships/hyperlink" Target="https://doi.org/10.4103/0972-4923.105563" TargetMode="External"/><Relationship Id="rId1198" Type="http://schemas.openxmlformats.org/officeDocument/2006/relationships/hyperlink" Target="http://www.euro.who.int/__data/assets/pdf_file/0005/78638/E90038.pdf?ua=1" TargetMode="External"/><Relationship Id="rId2011" Type="http://schemas.openxmlformats.org/officeDocument/2006/relationships/hyperlink" Target="http://www.katoombagroup.org/documents/cds/uganda_2011/Introduction%20to%20Ecosystem%20Services%20and%20Climate%20Change/Learning_About_ES_FINAL.pdf" TargetMode="External"/><Relationship Id="rId428" Type="http://schemas.openxmlformats.org/officeDocument/2006/relationships/hyperlink" Target="http://journal-tes.dk/vol_6_no_1/no_2_Bassirou(lav).pdf" TargetMode="External"/><Relationship Id="rId635" Type="http://schemas.openxmlformats.org/officeDocument/2006/relationships/hyperlink" Target="https://doi.org/10.1017/S1742758400023572" TargetMode="External"/><Relationship Id="rId842" Type="http://schemas.openxmlformats.org/officeDocument/2006/relationships/hyperlink" Target="https://doi.org/10.1016/j.ecoser.2014.05.006" TargetMode="External"/><Relationship Id="rId1058" Type="http://schemas.openxmlformats.org/officeDocument/2006/relationships/image" Target="media/image93.png"/><Relationship Id="rId1265" Type="http://schemas.openxmlformats.org/officeDocument/2006/relationships/hyperlink" Target="https://doi.org/10.1111/conl.12389" TargetMode="External"/><Relationship Id="rId1472" Type="http://schemas.openxmlformats.org/officeDocument/2006/relationships/hyperlink" Target="http://press-files.anu.edu.au/downloads/press/p312491/pdf/CHAPTER6.pdf" TargetMode="External"/><Relationship Id="rId702" Type="http://schemas.openxmlformats.org/officeDocument/2006/relationships/hyperlink" Target="https://doi.org/10.1016/j.marpol.2009.08.007" TargetMode="External"/><Relationship Id="rId1125" Type="http://schemas.openxmlformats.org/officeDocument/2006/relationships/hyperlink" Target="https://doi.org/10.1016/j.rser.2009.10.009" TargetMode="External"/><Relationship Id="rId1332" Type="http://schemas.openxmlformats.org/officeDocument/2006/relationships/hyperlink" Target="https://doi.org/10.1016/j.scitotenv.2013.08.041" TargetMode="External"/><Relationship Id="rId1777" Type="http://schemas.openxmlformats.org/officeDocument/2006/relationships/hyperlink" Target="http://www.ecologyandsociety.org/vol10/iss2/art19/" TargetMode="External"/><Relationship Id="rId1984" Type="http://schemas.openxmlformats.org/officeDocument/2006/relationships/hyperlink" Target="http://contributoria.com/issue/2015-03/54a4f91991e4fdad46000007.html" TargetMode="External"/><Relationship Id="rId69" Type="http://schemas.openxmlformats.org/officeDocument/2006/relationships/hyperlink" Target="https://www.ophi.org.uk/wp-content/uploads/OPHI-wp38_with_note.pdf" TargetMode="External"/><Relationship Id="rId1637" Type="http://schemas.openxmlformats.org/officeDocument/2006/relationships/hyperlink" Target="https://doi.org/10.5194/hess-20-953-2016" TargetMode="External"/><Relationship Id="rId1844" Type="http://schemas.openxmlformats.org/officeDocument/2006/relationships/hyperlink" Target="https://www.cbd.int/doc/newsletters/news-jbf-2011-11-en.pdf" TargetMode="External"/><Relationship Id="rId1704" Type="http://schemas.openxmlformats.org/officeDocument/2006/relationships/hyperlink" Target="https://doi.org/10.1111/j.1472-4642.2009.00612.x" TargetMode="External"/><Relationship Id="rId285" Type="http://schemas.openxmlformats.org/officeDocument/2006/relationships/hyperlink" Target="http://www.fni.no/pdf/FNI-R0515.pdf" TargetMode="External"/><Relationship Id="rId1911" Type="http://schemas.openxmlformats.org/officeDocument/2006/relationships/hyperlink" Target="https://doi.org/10.1080/03736245.2017.1299639" TargetMode="External"/><Relationship Id="rId492" Type="http://schemas.openxmlformats.org/officeDocument/2006/relationships/hyperlink" Target="http://www.fao.org/3/a-i5588e.pdf" TargetMode="External"/><Relationship Id="rId797" Type="http://schemas.openxmlformats.org/officeDocument/2006/relationships/hyperlink" Target="https://doi.org/10.1007/s10980-017-0553-4" TargetMode="External"/><Relationship Id="rId145" Type="http://schemas.openxmlformats.org/officeDocument/2006/relationships/hyperlink" Target="https://doi.org/10.1080/10549810903548138" TargetMode="External"/><Relationship Id="rId352" Type="http://schemas.openxmlformats.org/officeDocument/2006/relationships/hyperlink" Target="https://www.protectedplanet.net" TargetMode="External"/><Relationship Id="rId1287" Type="http://schemas.openxmlformats.org/officeDocument/2006/relationships/hyperlink" Target="http://www.routledge.com/books/details/9780415632843/" TargetMode="External"/><Relationship Id="rId212" Type="http://schemas.openxmlformats.org/officeDocument/2006/relationships/hyperlink" Target="https://doi.org/10.9745/GHSP-D-13-00055" TargetMode="External"/><Relationship Id="rId657" Type="http://schemas.openxmlformats.org/officeDocument/2006/relationships/hyperlink" Target="http://amphibiaweb.org" TargetMode="External"/><Relationship Id="rId864" Type="http://schemas.openxmlformats.org/officeDocument/2006/relationships/hyperlink" Target="https://doi.org/10.1016/j.ocecoaman.2011.12.004" TargetMode="External"/><Relationship Id="rId1494" Type="http://schemas.openxmlformats.org/officeDocument/2006/relationships/hyperlink" Target="http://mahale.main.jp/PAN/3_1/senna.html" TargetMode="External"/><Relationship Id="rId1799" Type="http://schemas.openxmlformats.org/officeDocument/2006/relationships/hyperlink" Target="https://www.ramsar.org/sites/default/files/documents/pdf/lib/lib_valuation_e.pdf" TargetMode="External"/><Relationship Id="rId517" Type="http://schemas.openxmlformats.org/officeDocument/2006/relationships/hyperlink" Target="http://www.rainforestfoundationuk.org/files/rf5.pdf" TargetMode="External"/><Relationship Id="rId724" Type="http://schemas.openxmlformats.org/officeDocument/2006/relationships/hyperlink" Target="https://doi.org/10.1111/jbi.12084" TargetMode="External"/><Relationship Id="rId931" Type="http://schemas.openxmlformats.org/officeDocument/2006/relationships/hyperlink" Target="https://doi.org/10.1371/journal.pone.0039337" TargetMode="External"/><Relationship Id="rId1147" Type="http://schemas.openxmlformats.org/officeDocument/2006/relationships/hyperlink" Target="https://doi.org/10.1016/j.jaridenv.2014.05.020" TargetMode="External"/><Relationship Id="rId1354" Type="http://schemas.openxmlformats.org/officeDocument/2006/relationships/hyperlink" Target="https://doi.org/10.1016/j.agee.2005.06.014" TargetMode="External"/><Relationship Id="rId1561" Type="http://schemas.openxmlformats.org/officeDocument/2006/relationships/hyperlink" Target="http://web.archive.org/web/20100308064632/http:/www.nationalgeographic.com/wildworld/profiles/terrestrial/at/at0118.html" TargetMode="External"/><Relationship Id="rId60" Type="http://schemas.openxmlformats.org/officeDocument/2006/relationships/hyperlink" Target="https://issafrica.s3.amazonaws.com/site/uploads/Paper_234.pdf" TargetMode="External"/><Relationship Id="rId1007" Type="http://schemas.openxmlformats.org/officeDocument/2006/relationships/hyperlink" Target="https://doi.org/10.1098/rstb.2004.1594" TargetMode="External"/><Relationship Id="rId1214" Type="http://schemas.openxmlformats.org/officeDocument/2006/relationships/hyperlink" Target="https://doi.org/10.1111/nph.12104" TargetMode="External"/><Relationship Id="rId1421" Type="http://schemas.openxmlformats.org/officeDocument/2006/relationships/hyperlink" Target="http://nepad.org/resource/new-emerging-rural-world-overview-rural-change-africa" TargetMode="External"/><Relationship Id="rId1659" Type="http://schemas.openxmlformats.org/officeDocument/2006/relationships/hyperlink" Target="http://www.centre-cired.fr/IMG/pdf/CIREDWP-201023.pdf" TargetMode="External"/><Relationship Id="rId1866" Type="http://schemas.openxmlformats.org/officeDocument/2006/relationships/hyperlink" Target="https://www.cbd.int/doc/training/nbsap/b3-train-mainstream-en.pdf" TargetMode="External"/><Relationship Id="rId1519" Type="http://schemas.openxmlformats.org/officeDocument/2006/relationships/hyperlink" Target="https://doi.org/10.1023/A:1011668417953" TargetMode="External"/><Relationship Id="rId1726" Type="http://schemas.openxmlformats.org/officeDocument/2006/relationships/hyperlink" Target="https://doi.org/10.1016/j.gloenvcha.2011.08.002" TargetMode="External"/><Relationship Id="rId1933" Type="http://schemas.openxmlformats.org/officeDocument/2006/relationships/hyperlink" Target="https://doi.org/10.3390/su6107142" TargetMode="External"/><Relationship Id="rId18" Type="http://schemas.openxmlformats.org/officeDocument/2006/relationships/header" Target="header2.xml"/><Relationship Id="rId167" Type="http://schemas.openxmlformats.org/officeDocument/2006/relationships/hyperlink" Target="http://www.water.anu.edu.au/UNESCOChair/20101125/slides/Stefano_Farolfi.pdf" TargetMode="External"/><Relationship Id="rId374" Type="http://schemas.openxmlformats.org/officeDocument/2006/relationships/hyperlink" Target="http://www.fao.org/tempref/docrep/fao/x8080e/x8080e04.pdf" TargetMode="External"/><Relationship Id="rId581" Type="http://schemas.openxmlformats.org/officeDocument/2006/relationships/hyperlink" Target="https://doi.org/10.1016/j.jaridenv.2011.01.005" TargetMode="External"/><Relationship Id="rId234" Type="http://schemas.openxmlformats.org/officeDocument/2006/relationships/hyperlink" Target="https://millenniumassessment.org/en/Framework.html" TargetMode="External"/><Relationship Id="rId679" Type="http://schemas.openxmlformats.org/officeDocument/2006/relationships/image" Target="media/image65.png"/><Relationship Id="rId886" Type="http://schemas.openxmlformats.org/officeDocument/2006/relationships/hyperlink" Target="https://doi.org/10.1073/pnas.0804619106" TargetMode="External"/><Relationship Id="rId2" Type="http://schemas.openxmlformats.org/officeDocument/2006/relationships/customXml" Target="../customXml/item2.xml"/><Relationship Id="rId441" Type="http://schemas.openxmlformats.org/officeDocument/2006/relationships/hyperlink" Target="https://doi.org/10.1093/cdj/38.3.185" TargetMode="External"/><Relationship Id="rId539" Type="http://schemas.openxmlformats.org/officeDocument/2006/relationships/hyperlink" Target="https://doi.org/10.1080/09709274.2010.11906305" TargetMode="External"/><Relationship Id="rId746" Type="http://schemas.openxmlformats.org/officeDocument/2006/relationships/hyperlink" Target="https://doi.org/10.1038/nature.2015.18305" TargetMode="External"/><Relationship Id="rId1071" Type="http://schemas.openxmlformats.org/officeDocument/2006/relationships/hyperlink" Target="https://doi.org/10.3390/su6074587" TargetMode="External"/><Relationship Id="rId1169" Type="http://schemas.openxmlformats.org/officeDocument/2006/relationships/hyperlink" Target="http://www.zoo.cam.ac.uk/ioz/projects/bushmeat.htm" TargetMode="External"/><Relationship Id="rId1376" Type="http://schemas.openxmlformats.org/officeDocument/2006/relationships/hyperlink" Target="https://doi.org/10.1007/s00128-011-0485-7" TargetMode="External"/><Relationship Id="rId1583" Type="http://schemas.openxmlformats.org/officeDocument/2006/relationships/image" Target="media/image115.JPG"/><Relationship Id="rId301" Type="http://schemas.openxmlformats.org/officeDocument/2006/relationships/hyperlink" Target="https://doi.org/10.1111/1467-7660.00317" TargetMode="External"/><Relationship Id="rId953" Type="http://schemas.openxmlformats.org/officeDocument/2006/relationships/hyperlink" Target="https://www.plantzafrica.com/vegetation/savanna.htm" TargetMode="External"/><Relationship Id="rId1029" Type="http://schemas.openxmlformats.org/officeDocument/2006/relationships/hyperlink" Target="https://www.cbd.int/doc/world/zm/zm-nr-05-en.pdf" TargetMode="External"/><Relationship Id="rId1236" Type="http://schemas.openxmlformats.org/officeDocument/2006/relationships/hyperlink" Target="https://doi.org/10.1016/j.apgeog.2015.06.015" TargetMode="External"/><Relationship Id="rId1790" Type="http://schemas.openxmlformats.org/officeDocument/2006/relationships/hyperlink" Target="https://doi.org/10.1051/nss/2009056" TargetMode="External"/><Relationship Id="rId1888" Type="http://schemas.openxmlformats.org/officeDocument/2006/relationships/hyperlink" Target="https://doi.org/10.1016/j.enpol.2009.02.043" TargetMode="External"/><Relationship Id="rId82" Type="http://schemas.openxmlformats.org/officeDocument/2006/relationships/hyperlink" Target="http://archive.au.int/assets/images/agenda2063.pdf" TargetMode="External"/><Relationship Id="rId606" Type="http://schemas.openxmlformats.org/officeDocument/2006/relationships/hyperlink" Target="https://doi.org/10.1016/j.gloenvcha.2013.08.018" TargetMode="External"/><Relationship Id="rId813" Type="http://schemas.openxmlformats.org/officeDocument/2006/relationships/hyperlink" Target="http://www.fao.org/docrep/014/am664e/am664e00.pdf" TargetMode="External"/><Relationship Id="rId1443" Type="http://schemas.openxmlformats.org/officeDocument/2006/relationships/hyperlink" Target="https://doi.org/10.1002/jgrg.20091" TargetMode="External"/><Relationship Id="rId1650" Type="http://schemas.openxmlformats.org/officeDocument/2006/relationships/hyperlink" Target="https://doi.org/10.3390/su4040740" TargetMode="External"/><Relationship Id="rId1748" Type="http://schemas.openxmlformats.org/officeDocument/2006/relationships/hyperlink" Target="http://checklist.cites.org/%23/en" TargetMode="External"/><Relationship Id="rId1303" Type="http://schemas.openxmlformats.org/officeDocument/2006/relationships/hyperlink" Target="https://doi.org/10.1007/s10530-011-0124-6" TargetMode="External"/><Relationship Id="rId1510" Type="http://schemas.openxmlformats.org/officeDocument/2006/relationships/hyperlink" Target="https://eros.usgs.gov/westafrica/land-cover/deforestation-upper-guinean-forest" TargetMode="External"/><Relationship Id="rId1955" Type="http://schemas.openxmlformats.org/officeDocument/2006/relationships/hyperlink" Target="https://doi.org/10.3366/afr.2007.77.1.130" TargetMode="External"/><Relationship Id="rId1608" Type="http://schemas.openxmlformats.org/officeDocument/2006/relationships/hyperlink" Target="https://doi.org/10.1017/CBO9781316014240.006" TargetMode="External"/><Relationship Id="rId1815" Type="http://schemas.openxmlformats.org/officeDocument/2006/relationships/hyperlink" Target="https://doi.org/10.1641/0006-3568(2001)051%5b0613:TABFCI%5d2.0.CO;2" TargetMode="External"/><Relationship Id="rId189" Type="http://schemas.openxmlformats.org/officeDocument/2006/relationships/hyperlink" Target="https://landportal.org/file/8699/download?token=vA4Xv42W" TargetMode="External"/><Relationship Id="rId396" Type="http://schemas.openxmlformats.org/officeDocument/2006/relationships/image" Target="media/image40.JPG"/><Relationship Id="rId256" Type="http://schemas.openxmlformats.org/officeDocument/2006/relationships/hyperlink" Target="https://doi.org/10.1007/978-3-319-24442-6_2" TargetMode="External"/><Relationship Id="rId463" Type="http://schemas.openxmlformats.org/officeDocument/2006/relationships/hyperlink" Target="https://doi.org/10.1111/j.1467-7660.2007.00407.x" TargetMode="External"/><Relationship Id="rId670" Type="http://schemas.openxmlformats.org/officeDocument/2006/relationships/hyperlink" Target="file:///D:\Desktop\IPBES_6_INF_3%20_en_chapters_Africa_02072018.docx" TargetMode="External"/><Relationship Id="rId1093" Type="http://schemas.openxmlformats.org/officeDocument/2006/relationships/hyperlink" Target="https://doi.org/10.1111/j.1475-2743.2008.00169.x" TargetMode="External"/><Relationship Id="rId116" Type="http://schemas.openxmlformats.org/officeDocument/2006/relationships/hyperlink" Target="https://doi.org/10.1016/j.biocon.2005.08.018" TargetMode="External"/><Relationship Id="rId323" Type="http://schemas.openxmlformats.org/officeDocument/2006/relationships/hyperlink" Target="https://doi.org/10.1023/B:APJM.0000048715.35108.a7" TargetMode="External"/><Relationship Id="rId530" Type="http://schemas.openxmlformats.org/officeDocument/2006/relationships/hyperlink" Target="https://doi.org/10.1007/s11111-013-0189-5" TargetMode="External"/><Relationship Id="rId768" Type="http://schemas.openxmlformats.org/officeDocument/2006/relationships/hyperlink" Target="http://www.documentation.ird.fr/hor/fdi:010018567" TargetMode="External"/><Relationship Id="rId975" Type="http://schemas.openxmlformats.org/officeDocument/2006/relationships/hyperlink" Target="https://doi.org/10.2305/IUCN.UK.20161.RLTS.T15954A50659089.en" TargetMode="External"/><Relationship Id="rId1160" Type="http://schemas.openxmlformats.org/officeDocument/2006/relationships/hyperlink" Target="https://doi.org/10.1016/j.pestbp.2007.07.001" TargetMode="External"/><Relationship Id="rId1398" Type="http://schemas.openxmlformats.org/officeDocument/2006/relationships/hyperlink" Target="https://collections.unu.edu/eserv/UNU:5769/SEPLS_in_Africa_FINAL_lowres_web.pdf" TargetMode="External"/><Relationship Id="rId2004" Type="http://schemas.openxmlformats.org/officeDocument/2006/relationships/hyperlink" Target="http://jncc.defra.gov.uk/page-4065" TargetMode="External"/><Relationship Id="rId628" Type="http://schemas.openxmlformats.org/officeDocument/2006/relationships/hyperlink" Target="http://hdl.handle.net/10855/14915" TargetMode="External"/><Relationship Id="rId835" Type="http://schemas.openxmlformats.org/officeDocument/2006/relationships/hyperlink" Target="https://doi.org/10.1163/156854006778008177" TargetMode="External"/><Relationship Id="rId1258" Type="http://schemas.openxmlformats.org/officeDocument/2006/relationships/hyperlink" Target="https://doi.org/10.1016/j.sajb.2015.07.017" TargetMode="External"/><Relationship Id="rId1465" Type="http://schemas.openxmlformats.org/officeDocument/2006/relationships/hyperlink" Target="https://efface.eu/sites/default/files/EFFACE%20D3.2c%20-%20Quantitative%20and%20monetary%20analysis%20of%20Elephant%20and%20Rhino%20hunting.pdf" TargetMode="External"/><Relationship Id="rId1672" Type="http://schemas.openxmlformats.org/officeDocument/2006/relationships/hyperlink" Target="https://doi.org/10.1007/s10113-010-0191-8" TargetMode="External"/><Relationship Id="rId1020" Type="http://schemas.openxmlformats.org/officeDocument/2006/relationships/hyperlink" Target="https://portals.iucn.org/library/node/8268" TargetMode="External"/><Relationship Id="rId1118" Type="http://schemas.openxmlformats.org/officeDocument/2006/relationships/hyperlink" Target="http://www.worldlakes.org/uploads/16_lake_malawi_nyasa_27february2006.pdf" TargetMode="External"/><Relationship Id="rId1325" Type="http://schemas.openxmlformats.org/officeDocument/2006/relationships/hyperlink" Target="http://hdl.handle.net/10394/3879" TargetMode="External"/><Relationship Id="rId1532" Type="http://schemas.openxmlformats.org/officeDocument/2006/relationships/hyperlink" Target="https://doi.org/10.1023/A:1011923926911" TargetMode="External"/><Relationship Id="rId1977" Type="http://schemas.openxmlformats.org/officeDocument/2006/relationships/hyperlink" Target="https://doi.org/10.1016/j.landusepol.2012.08.008" TargetMode="External"/><Relationship Id="rId902" Type="http://schemas.openxmlformats.org/officeDocument/2006/relationships/hyperlink" Target="http://www.whs.tfcg.org/docs/E_Arc_Mountains_World_Heritage_Nomination_100127_FINAL.pdf" TargetMode="External"/><Relationship Id="rId1837" Type="http://schemas.openxmlformats.org/officeDocument/2006/relationships/hyperlink" Target="https://doi.org/10.1093/biosci/biu001" TargetMode="External"/><Relationship Id="rId31" Type="http://schemas.openxmlformats.org/officeDocument/2006/relationships/image" Target="media/image16.JPG"/><Relationship Id="rId180" Type="http://schemas.openxmlformats.org/officeDocument/2006/relationships/hyperlink" Target="https://doi.org/10.1080/13504500609469666" TargetMode="External"/><Relationship Id="rId278" Type="http://schemas.openxmlformats.org/officeDocument/2006/relationships/hyperlink" Target="https://doi.org/10.1126/science.1196624" TargetMode="External"/><Relationship Id="rId1904" Type="http://schemas.openxmlformats.org/officeDocument/2006/relationships/hyperlink" Target="https://doi.org/10.1016/j.forpol.2014.03.005" TargetMode="External"/><Relationship Id="rId485" Type="http://schemas.openxmlformats.org/officeDocument/2006/relationships/hyperlink" Target="https://doi.org/10.1016/j.envpol.2011.01.010" TargetMode="External"/><Relationship Id="rId692" Type="http://schemas.openxmlformats.org/officeDocument/2006/relationships/hyperlink" Target="https://doi.org/10.1016/j.jaridenv.2006.05.017" TargetMode="External"/><Relationship Id="rId138" Type="http://schemas.openxmlformats.org/officeDocument/2006/relationships/hyperlink" Target="https://doi.org/10.1186/1746-4269-11-14" TargetMode="External"/><Relationship Id="rId345" Type="http://schemas.openxmlformats.org/officeDocument/2006/relationships/hyperlink" Target="http://www.unep.org/pdf/green_economy_blue.pdf" TargetMode="External"/><Relationship Id="rId552" Type="http://schemas.openxmlformats.org/officeDocument/2006/relationships/hyperlink" Target="https://www.millenniumassessment.org/documents/document.356.aspx.pdf" TargetMode="External"/><Relationship Id="rId997" Type="http://schemas.openxmlformats.org/officeDocument/2006/relationships/hyperlink" Target="http://hdl.handle.net/20.500.11822/7717" TargetMode="External"/><Relationship Id="rId1182" Type="http://schemas.openxmlformats.org/officeDocument/2006/relationships/hyperlink" Target="https://dial.uclouvain.be/pr/boreal/fr/object/boreal:4593/datastream/PDF_09/view" TargetMode="External"/><Relationship Id="rId2026" Type="http://schemas.openxmlformats.org/officeDocument/2006/relationships/hyperlink" Target="https://www.nature.com/articles/sdata20167" TargetMode="External"/><Relationship Id="rId205" Type="http://schemas.openxmlformats.org/officeDocument/2006/relationships/hyperlink" Target="https://doi.org/10.1186/s13570-016-0061-1" TargetMode="External"/><Relationship Id="rId412" Type="http://schemas.openxmlformats.org/officeDocument/2006/relationships/hyperlink" Target="http://www.cifor.org/publications/pdf_files/OccPapers/OP-40.pdf" TargetMode="External"/><Relationship Id="rId857" Type="http://schemas.openxmlformats.org/officeDocument/2006/relationships/hyperlink" Target="https://doi.org/10.1016/j.dsr.2013.04.005" TargetMode="External"/><Relationship Id="rId1042" Type="http://schemas.openxmlformats.org/officeDocument/2006/relationships/image" Target="media/image80.JPG"/><Relationship Id="rId1487" Type="http://schemas.openxmlformats.org/officeDocument/2006/relationships/hyperlink" Target="https://doi.org/10.1016/j.ecolmodel.2005.11.025" TargetMode="External"/><Relationship Id="rId1694" Type="http://schemas.openxmlformats.org/officeDocument/2006/relationships/hyperlink" Target="https://www.researchgate.net/publication/281558184" TargetMode="External"/><Relationship Id="rId717" Type="http://schemas.openxmlformats.org/officeDocument/2006/relationships/hyperlink" Target="https://doi.org/10.1016/j.gloenvcha.2008.02.001" TargetMode="External"/><Relationship Id="rId924" Type="http://schemas.openxmlformats.org/officeDocument/2006/relationships/hyperlink" Target="https://doi.org/10.1787/9789264044197-en" TargetMode="External"/><Relationship Id="rId1347" Type="http://schemas.openxmlformats.org/officeDocument/2006/relationships/hyperlink" Target="https://doi.org/10.2307/1310789" TargetMode="External"/><Relationship Id="rId1554" Type="http://schemas.openxmlformats.org/officeDocument/2006/relationships/hyperlink" Target="https://doi.org/10.2989/16085910409503799" TargetMode="External"/><Relationship Id="rId1761" Type="http://schemas.openxmlformats.org/officeDocument/2006/relationships/hyperlink" Target="http://www.cybertracker.org" TargetMode="External"/><Relationship Id="rId1999" Type="http://schemas.openxmlformats.org/officeDocument/2006/relationships/hyperlink" Target="http://old.iwlearn.net/iw-projects/1111/reports/volta-basin-transboundary-diagnostic-analysis-tda" TargetMode="External"/><Relationship Id="rId53" Type="http://schemas.openxmlformats.org/officeDocument/2006/relationships/image" Target="media/image31.JPG"/><Relationship Id="rId1207" Type="http://schemas.openxmlformats.org/officeDocument/2006/relationships/hyperlink" Target="https://doi.org/10.1098/rstb.2007.2183" TargetMode="External"/><Relationship Id="rId1414" Type="http://schemas.openxmlformats.org/officeDocument/2006/relationships/hyperlink" Target="https://doi.org/10.3390/biology2020651" TargetMode="External"/><Relationship Id="rId1621" Type="http://schemas.openxmlformats.org/officeDocument/2006/relationships/hyperlink" Target="https://www.millenniumassessment.org/documents/document.335.aspx.pdf" TargetMode="External"/><Relationship Id="rId1859" Type="http://schemas.openxmlformats.org/officeDocument/2006/relationships/hyperlink" Target="https://doi.org/10.1016/j.ecolecon.2007.09.018" TargetMode="External"/><Relationship Id="rId1719" Type="http://schemas.openxmlformats.org/officeDocument/2006/relationships/hyperlink" Target="https://unep.ch/etb/publications/IPSD%20manual/UNEP%20IPSD%20final.pdf" TargetMode="External"/><Relationship Id="rId1926" Type="http://schemas.openxmlformats.org/officeDocument/2006/relationships/hyperlink" Target="http://www.biodiversityfinance.net/sites/default/files/content/knowledge_products/BIOFIN%20-%20Guideline%20and%20Action%20Plan%20web.pdf" TargetMode="External"/><Relationship Id="rId367" Type="http://schemas.openxmlformats.org/officeDocument/2006/relationships/hyperlink" Target="https://doi.org/10.1002/1099-145X(200011/12)11:6%3c523::AID-LDR411%3e3.0.CO;2-V" TargetMode="External"/><Relationship Id="rId574" Type="http://schemas.openxmlformats.org/officeDocument/2006/relationships/hyperlink" Target="http://siteresources.worldbank.org/INTLSMS/Resources/3358986-1233781970982/5800988-1286190918867/NPS_Report_2010-2011_25-09-2012.pdf" TargetMode="External"/><Relationship Id="rId227" Type="http://schemas.openxmlformats.org/officeDocument/2006/relationships/hyperlink" Target="https://doi.org/10.3389/fevo.2014.00038" TargetMode="External"/><Relationship Id="rId781" Type="http://schemas.openxmlformats.org/officeDocument/2006/relationships/hyperlink" Target="http://www.easternarc.or.tz/groups/webcontent/documents/pdf/Ecoregions_Book.pdf" TargetMode="External"/><Relationship Id="rId879" Type="http://schemas.openxmlformats.org/officeDocument/2006/relationships/hyperlink" Target="https://doi.org/10.1525/bio.2009.59.3.7" TargetMode="External"/><Relationship Id="rId434" Type="http://schemas.openxmlformats.org/officeDocument/2006/relationships/hyperlink" Target="https://doi.org/10.1016/j.gecco.2015.02.001" TargetMode="External"/><Relationship Id="rId641" Type="http://schemas.openxmlformats.org/officeDocument/2006/relationships/hyperlink" Target="https://doi.org/10.1111/sum.12115" TargetMode="External"/><Relationship Id="rId739" Type="http://schemas.openxmlformats.org/officeDocument/2006/relationships/hyperlink" Target="https://doi.org/10.1038/sdata.2016.7" TargetMode="External"/><Relationship Id="rId1064" Type="http://schemas.openxmlformats.org/officeDocument/2006/relationships/image" Target="media/image97.JPG"/><Relationship Id="rId1271" Type="http://schemas.openxmlformats.org/officeDocument/2006/relationships/hyperlink" Target="https://doi.org/10.5539/jsd.v8n2p196" TargetMode="External"/><Relationship Id="rId1369" Type="http://schemas.openxmlformats.org/officeDocument/2006/relationships/hyperlink" Target="http://www.worldagroforestry.org/downloads/Publications/PDFS/WP13657.pdf" TargetMode="External"/><Relationship Id="rId1576" Type="http://schemas.openxmlformats.org/officeDocument/2006/relationships/image" Target="media/image108.JPG"/><Relationship Id="rId501" Type="http://schemas.openxmlformats.org/officeDocument/2006/relationships/hyperlink" Target="https://doi.org/10.1016/j.ocecoaman.2015.06.011" TargetMode="External"/><Relationship Id="rId946" Type="http://schemas.openxmlformats.org/officeDocument/2006/relationships/hyperlink" Target="https://doi.org/10.1016/j.foreco.2016.10.016" TargetMode="External"/><Relationship Id="rId1131" Type="http://schemas.openxmlformats.org/officeDocument/2006/relationships/hyperlink" Target="https://doi.org/10.1007/978-94-011-1518-6_9" TargetMode="External"/><Relationship Id="rId1229" Type="http://schemas.openxmlformats.org/officeDocument/2006/relationships/hyperlink" Target="https://www.grain.org/article/entries/4653-land-grabbing-for-biofuels-must-stop" TargetMode="External"/><Relationship Id="rId1783" Type="http://schemas.openxmlformats.org/officeDocument/2006/relationships/hyperlink" Target="http://www.water-alternatives.org/index.php/volume5/v5issue2/173-a5-2-9/file" TargetMode="External"/><Relationship Id="rId1990" Type="http://schemas.openxmlformats.org/officeDocument/2006/relationships/hyperlink" Target="https://sustainabledevelopment.un.org/content/documents/21252030%20Agenda%20for%20Sustainable%20Development%20web.pdf" TargetMode="External"/><Relationship Id="rId75" Type="http://schemas.openxmlformats.org/officeDocument/2006/relationships/hyperlink" Target="https://reliefweb.int/sites/reliefweb.int/files/resources/APP_REPORT_2015_FINAL_low1.pdf" TargetMode="External"/><Relationship Id="rId806" Type="http://schemas.openxmlformats.org/officeDocument/2006/relationships/hyperlink" Target="http://www.fao.org/fi/fcp/en/EGY/profile.htm" TargetMode="External"/><Relationship Id="rId1436" Type="http://schemas.openxmlformats.org/officeDocument/2006/relationships/hyperlink" Target="https://doi.org/10.1016/S0380-1330(03)70555-3" TargetMode="External"/><Relationship Id="rId1643" Type="http://schemas.openxmlformats.org/officeDocument/2006/relationships/hyperlink" Target="https://doi.org/10.1111/jbi.12257" TargetMode="External"/><Relationship Id="rId1850" Type="http://schemas.openxmlformats.org/officeDocument/2006/relationships/hyperlink" Target="http://hdl.handle.net/10568/43674" TargetMode="External"/><Relationship Id="rId1503" Type="http://schemas.openxmlformats.org/officeDocument/2006/relationships/hyperlink" Target="http://hdl.handle.net/10568/34529" TargetMode="External"/><Relationship Id="rId1710" Type="http://schemas.openxmlformats.org/officeDocument/2006/relationships/hyperlink" Target="https://doi.org/10.1371/journal.pone.0066071" TargetMode="External"/><Relationship Id="rId1948" Type="http://schemas.openxmlformats.org/officeDocument/2006/relationships/hyperlink" Target="https://journals.openedition.org/regulation/11848" TargetMode="External"/><Relationship Id="rId291" Type="http://schemas.openxmlformats.org/officeDocument/2006/relationships/hyperlink" Target="http://www.fao.org/3/18c711a9-39e6-5e04-b72a-edfbcbd85777/i3491e.pdf" TargetMode="External"/><Relationship Id="rId1808" Type="http://schemas.openxmlformats.org/officeDocument/2006/relationships/hyperlink" Target="https://doi.org/10.1017/CBO9781316014240" TargetMode="External"/><Relationship Id="rId151" Type="http://schemas.openxmlformats.org/officeDocument/2006/relationships/hyperlink" Target="https://doi.org/10.1007/s10818-010-9088-3" TargetMode="External"/><Relationship Id="rId389" Type="http://schemas.openxmlformats.org/officeDocument/2006/relationships/image" Target="media/image35.JPG"/><Relationship Id="rId596" Type="http://schemas.openxmlformats.org/officeDocument/2006/relationships/hyperlink" Target="https://doi.org/10.1080/10871200801986739" TargetMode="External"/><Relationship Id="rId249" Type="http://schemas.openxmlformats.org/officeDocument/2006/relationships/hyperlink" Target="https://doi.org/10.1126/science.aaf1160" TargetMode="External"/><Relationship Id="rId456" Type="http://schemas.openxmlformats.org/officeDocument/2006/relationships/hyperlink" Target="https://doi.org/10.1051/agro/2010004" TargetMode="External"/><Relationship Id="rId663" Type="http://schemas.openxmlformats.org/officeDocument/2006/relationships/image" Target="media/image51.png"/><Relationship Id="rId870" Type="http://schemas.openxmlformats.org/officeDocument/2006/relationships/hyperlink" Target="https://doi.org/10.1111/j.1442-9993.2004.01396.x" TargetMode="External"/><Relationship Id="rId1086" Type="http://schemas.openxmlformats.org/officeDocument/2006/relationships/hyperlink" Target="https://doi.org/10.1098/rstb.2015.0346" TargetMode="External"/><Relationship Id="rId1293" Type="http://schemas.openxmlformats.org/officeDocument/2006/relationships/hyperlink" Target="http://www.forestpeoples.org/sites/fpp/files/publication/2016/05/fppdrcreportinternet-2.pdf" TargetMode="External"/><Relationship Id="rId109" Type="http://schemas.openxmlformats.org/officeDocument/2006/relationships/hyperlink" Target="https://www.cabi.org/Uploads/CABI/publishing/promotional-materials/african-invasives-book.pdf" TargetMode="External"/><Relationship Id="rId316" Type="http://schemas.openxmlformats.org/officeDocument/2006/relationships/hyperlink" Target="https://doi.org/10.1111/j.1467-2979.2011.00450.x" TargetMode="External"/><Relationship Id="rId523" Type="http://schemas.openxmlformats.org/officeDocument/2006/relationships/hyperlink" Target="http://www.ipbes.net/sites/default/files/downloads/pdf/ipbes-5-inf-24.pdf" TargetMode="External"/><Relationship Id="rId968" Type="http://schemas.openxmlformats.org/officeDocument/2006/relationships/hyperlink" Target="https://doi.org/10.1073/pnas.1423147112" TargetMode="External"/><Relationship Id="rId1153" Type="http://schemas.openxmlformats.org/officeDocument/2006/relationships/hyperlink" Target="http://www.saiia.org.za/occasional-papers/1106-ensuring-elephant-survival-through-improving-community-benefits" TargetMode="External"/><Relationship Id="rId1598" Type="http://schemas.openxmlformats.org/officeDocument/2006/relationships/hyperlink" Target="https://doi.org/10.1016/j.envsoft.2011.03.002" TargetMode="External"/><Relationship Id="rId97" Type="http://schemas.openxmlformats.org/officeDocument/2006/relationships/hyperlink" Target="https://doi.org/10.1016/j.ocecoaman.2015.04.010" TargetMode="External"/><Relationship Id="rId730" Type="http://schemas.openxmlformats.org/officeDocument/2006/relationships/hyperlink" Target="https://doi.org/10.5751/ES-08812-210425" TargetMode="External"/><Relationship Id="rId828" Type="http://schemas.openxmlformats.org/officeDocument/2006/relationships/hyperlink" Target="https://doi.org/10.2305/IUCN.UK.2008.RLTS.T40010A10301093.en" TargetMode="External"/><Relationship Id="rId1013" Type="http://schemas.openxmlformats.org/officeDocument/2006/relationships/hyperlink" Target="http://unesdoc.unesco.org/images/0005/000580/058054eo.pdf" TargetMode="External"/><Relationship Id="rId1360" Type="http://schemas.openxmlformats.org/officeDocument/2006/relationships/hyperlink" Target="https://doi.org/10.4236/jep.2011.210158" TargetMode="External"/><Relationship Id="rId1458" Type="http://schemas.openxmlformats.org/officeDocument/2006/relationships/hyperlink" Target="https://doi.org/10.1186/1756-3305-6&#8211;281" TargetMode="External"/><Relationship Id="rId1665" Type="http://schemas.openxmlformats.org/officeDocument/2006/relationships/hyperlink" Target="http://www.dwaf.gov.za/Docs/Other/LHWP/LHDA%20IFR%20PID%20final.pdf" TargetMode="External"/><Relationship Id="rId1872" Type="http://schemas.openxmlformats.org/officeDocument/2006/relationships/hyperlink" Target="http://archives.ippapublicpolicy.org/IMG/pdf/panel_11_s1_hai_phu_do.pdf" TargetMode="External"/><Relationship Id="rId1220" Type="http://schemas.openxmlformats.org/officeDocument/2006/relationships/hyperlink" Target="http://www.pik-potsdam.de/~luedeke/lucc4.pdf" TargetMode="External"/><Relationship Id="rId1318" Type="http://schemas.openxmlformats.org/officeDocument/2006/relationships/hyperlink" Target="https://doi.org/10.1038/ngeo689" TargetMode="External"/><Relationship Id="rId1525" Type="http://schemas.openxmlformats.org/officeDocument/2006/relationships/hyperlink" Target="https://start.org/wp-content/uploads/AIACCsummary.pdf" TargetMode="External"/><Relationship Id="rId1732" Type="http://schemas.openxmlformats.org/officeDocument/2006/relationships/hyperlink" Target="https://doi.org/10.5751/ES-08384-210212" TargetMode="External"/><Relationship Id="rId24" Type="http://schemas.openxmlformats.org/officeDocument/2006/relationships/image" Target="media/image9.JPG"/><Relationship Id="rId173" Type="http://schemas.openxmlformats.org/officeDocument/2006/relationships/hyperlink" Target="https://doi.org/10.1016/S0006-3207(02)00400-7" TargetMode="External"/><Relationship Id="rId380" Type="http://schemas.openxmlformats.org/officeDocument/2006/relationships/hyperlink" Target="http://data.worldbank.org/sites/default/files/wdi-2012-ebook.pdf" TargetMode="External"/><Relationship Id="rId240" Type="http://schemas.openxmlformats.org/officeDocument/2006/relationships/hyperlink" Target="http://www.ids.ac.uk/publications/ids-series-titles/ids-policy-briefings" TargetMode="External"/><Relationship Id="rId478" Type="http://schemas.openxmlformats.org/officeDocument/2006/relationships/hyperlink" Target="https://www.biology.lu.se/" TargetMode="External"/><Relationship Id="rId685" Type="http://schemas.openxmlformats.org/officeDocument/2006/relationships/hyperlink" Target="https://doi.org/10.1098/rstb.2013.0494" TargetMode="External"/><Relationship Id="rId892" Type="http://schemas.openxmlformats.org/officeDocument/2006/relationships/hyperlink" Target="https://doi.org/10.1098/rstb.2012.0300" TargetMode="External"/><Relationship Id="rId100" Type="http://schemas.openxmlformats.org/officeDocument/2006/relationships/hyperlink" Target="https://doi.org/10.1080/10246029.2011.614065" TargetMode="External"/><Relationship Id="rId338" Type="http://schemas.openxmlformats.org/officeDocument/2006/relationships/hyperlink" Target="http://repository.uneca.org/handle/10855/5650" TargetMode="External"/><Relationship Id="rId545" Type="http://schemas.openxmlformats.org/officeDocument/2006/relationships/hyperlink" Target="https://doi.org/10.1111/j.1365-2745.2011.01914.x" TargetMode="External"/><Relationship Id="rId752" Type="http://schemas.openxmlformats.org/officeDocument/2006/relationships/hyperlink" Target="https://www.cepf.net/sites/default/files/gfwa-ecosystem-profile-summary-2015-english.pdf" TargetMode="External"/><Relationship Id="rId1175" Type="http://schemas.openxmlformats.org/officeDocument/2006/relationships/hyperlink" Target="https://doi.org/10.1016/j.crm.2013.12.002" TargetMode="External"/><Relationship Id="rId1382" Type="http://schemas.openxmlformats.org/officeDocument/2006/relationships/hyperlink" Target="http://www.assar.uct.ac.za/node/471699" TargetMode="External"/><Relationship Id="rId2019" Type="http://schemas.openxmlformats.org/officeDocument/2006/relationships/hyperlink" Target="http://documents.worldbank.org/curated/en/183611467991015452/A-national-biodiversity-offset-scheme-a-road-map-for-Liberia-s-mining-sector" TargetMode="External"/><Relationship Id="rId405" Type="http://schemas.openxmlformats.org/officeDocument/2006/relationships/hyperlink" Target="https://doi.org/10.1016/S0169-5150(99)00054-7" TargetMode="External"/><Relationship Id="rId612" Type="http://schemas.openxmlformats.org/officeDocument/2006/relationships/hyperlink" Target="https://doi.org/10.1006/jare.2001.0896" TargetMode="External"/><Relationship Id="rId1035" Type="http://schemas.openxmlformats.org/officeDocument/2006/relationships/hyperlink" Target="https://doi.org/10.6069/H5MW2F2Q" TargetMode="External"/><Relationship Id="rId1242" Type="http://schemas.openxmlformats.org/officeDocument/2006/relationships/hyperlink" Target="https://www.bodleian.ox.ac.uk/__data/assets/pdf_file/0017/101258/Hawthorne-et-al-2011-Logging-Bibliography-online.pdf" TargetMode="External"/><Relationship Id="rId1687" Type="http://schemas.openxmlformats.org/officeDocument/2006/relationships/hyperlink" Target="http://www.oss-online.org/pdf/imv-en.pdf" TargetMode="External"/><Relationship Id="rId1894" Type="http://schemas.openxmlformats.org/officeDocument/2006/relationships/hyperlink" Target="https://doi.org/10.1023/A:1005627828199" TargetMode="External"/><Relationship Id="rId917" Type="http://schemas.openxmlformats.org/officeDocument/2006/relationships/hyperlink" Target="https://www.ipcc.ch/pdf/assessment-report/ar5/wg2/WGIIAR5-Chap22_FINAL.pdf" TargetMode="External"/><Relationship Id="rId1102" Type="http://schemas.openxmlformats.org/officeDocument/2006/relationships/hyperlink" Target="https://doi.org/10.1111/j.1461-0248.2011.01736.x" TargetMode="External"/><Relationship Id="rId1547" Type="http://schemas.openxmlformats.org/officeDocument/2006/relationships/hyperlink" Target="https://doi.org/10.1023/A:1008877309871" TargetMode="External"/><Relationship Id="rId1754" Type="http://schemas.openxmlformats.org/officeDocument/2006/relationships/hyperlink" Target="file:///D:\My%20Documents\IPBES%20TSU%20Africa\Assessments\Africa%20Assessment\Finalising\www.spgrc.org.zm\" TargetMode="External"/><Relationship Id="rId1961" Type="http://schemas.openxmlformats.org/officeDocument/2006/relationships/hyperlink" Target="https://doi.org/10.1017/CBO9781316014240.003" TargetMode="External"/><Relationship Id="rId46" Type="http://schemas.openxmlformats.org/officeDocument/2006/relationships/hyperlink" Target="https://www.grida.no/resources/5625" TargetMode="External"/><Relationship Id="rId1407" Type="http://schemas.openxmlformats.org/officeDocument/2006/relationships/hyperlink" Target="https://doi.org/10.1579/0044-7447-32.6.424" TargetMode="External"/><Relationship Id="rId1614" Type="http://schemas.openxmlformats.org/officeDocument/2006/relationships/hyperlink" Target="http://www.ecologyandsociety.org/vol13/iss1/art19/" TargetMode="External"/><Relationship Id="rId1821" Type="http://schemas.openxmlformats.org/officeDocument/2006/relationships/hyperlink" Target="http://www.ecologyandsociety.org/vol12/iss1/art10/" TargetMode="External"/><Relationship Id="rId195" Type="http://schemas.openxmlformats.org/officeDocument/2006/relationships/hyperlink" Target="http://pubs.iied.org/pdfs/17235IIED.pdf" TargetMode="External"/><Relationship Id="rId1919" Type="http://schemas.openxmlformats.org/officeDocument/2006/relationships/hyperlink" Target="https://doi.org/10.3920/JCNS2012.x002" TargetMode="External"/><Relationship Id="rId262" Type="http://schemas.openxmlformats.org/officeDocument/2006/relationships/hyperlink" Target="http://www.unesco.org/new/fileadmin/MULTIMEDIA/HQ/SC/pdf/sc_LINKS-art%20EGEC.pdf" TargetMode="External"/><Relationship Id="rId567" Type="http://schemas.openxmlformats.org/officeDocument/2006/relationships/hyperlink" Target="https://doi.org/10.1016/j.cosust.2012.12.001" TargetMode="External"/><Relationship Id="rId1197" Type="http://schemas.openxmlformats.org/officeDocument/2006/relationships/hyperlink" Target="https://www.cbd.int/doc/publications/cbd-ts-44-en.pdf" TargetMode="External"/><Relationship Id="rId122" Type="http://schemas.openxmlformats.org/officeDocument/2006/relationships/hyperlink" Target="http://www.cepf.net/resources/hotspots/Pages/default.aspxCritical" TargetMode="External"/><Relationship Id="rId774" Type="http://schemas.openxmlformats.org/officeDocument/2006/relationships/hyperlink" Target="https://doi.org/10.1016/j.ecolecon.2006.03.021" TargetMode="External"/><Relationship Id="rId981" Type="http://schemas.openxmlformats.org/officeDocument/2006/relationships/hyperlink" Target="https://doi.org/10.1007/BF00045191" TargetMode="External"/><Relationship Id="rId1057" Type="http://schemas.openxmlformats.org/officeDocument/2006/relationships/hyperlink" Target="http://www.materialflows.net/materialflowsnet/home/" TargetMode="External"/><Relationship Id="rId2010" Type="http://schemas.openxmlformats.org/officeDocument/2006/relationships/hyperlink" Target="https://doi.org/10.1016/j.gloenvcha.2014.03.001" TargetMode="External"/><Relationship Id="rId427" Type="http://schemas.openxmlformats.org/officeDocument/2006/relationships/hyperlink" Target="https://doi.org/10.1016/j.marpolbul.2006.12.003" TargetMode="External"/><Relationship Id="rId634" Type="http://schemas.openxmlformats.org/officeDocument/2006/relationships/hyperlink" Target="http://plants.usda.gov/" TargetMode="External"/><Relationship Id="rId841" Type="http://schemas.openxmlformats.org/officeDocument/2006/relationships/hyperlink" Target="https://doi.org/10.1111/j.1365-2028.1983.tb00322.x" TargetMode="External"/><Relationship Id="rId1264" Type="http://schemas.openxmlformats.org/officeDocument/2006/relationships/hyperlink" Target="https://www.preventionweb.net/files/8823_865DDFILEHazardsReportFinal2.pdf" TargetMode="External"/><Relationship Id="rId1471" Type="http://schemas.openxmlformats.org/officeDocument/2006/relationships/hyperlink" Target="https://doi.org/10.1579/0044-7447(2007)36%5b614:TAAHNO%5d2.0.CO;2" TargetMode="External"/><Relationship Id="rId1569" Type="http://schemas.openxmlformats.org/officeDocument/2006/relationships/hyperlink" Target="https://doi.org/10.1038/nclimate3004" TargetMode="External"/><Relationship Id="rId701" Type="http://schemas.openxmlformats.org/officeDocument/2006/relationships/hyperlink" Target="https://www.zohry.com/pubs/alyaa.pdf" TargetMode="External"/><Relationship Id="rId939" Type="http://schemas.openxmlformats.org/officeDocument/2006/relationships/hyperlink" Target="https://doi.org/10.1046/j.1466-822X.2001.00124.x" TargetMode="External"/><Relationship Id="rId1124" Type="http://schemas.openxmlformats.org/officeDocument/2006/relationships/hyperlink" Target="https://doi.org/10.1504/IER.2010.037902" TargetMode="External"/><Relationship Id="rId1331" Type="http://schemas.openxmlformats.org/officeDocument/2006/relationships/hyperlink" Target="http://www.esp.org/books/malthus/population/malthus.pdf" TargetMode="External"/><Relationship Id="rId1776" Type="http://schemas.openxmlformats.org/officeDocument/2006/relationships/hyperlink" Target="https://doi.org/10.1007/BF00340652" TargetMode="External"/><Relationship Id="rId1983" Type="http://schemas.openxmlformats.org/officeDocument/2006/relationships/hyperlink" Target="http://pure.iiasa.ac.at/7374/1/IR-04-076.pdf" TargetMode="External"/><Relationship Id="rId68" Type="http://schemas.openxmlformats.org/officeDocument/2006/relationships/hyperlink" Target="http://www.ophi.org.uk/wp-content/uploads/OPHIRP046a.pdf" TargetMode="External"/><Relationship Id="rId1429" Type="http://schemas.openxmlformats.org/officeDocument/2006/relationships/hyperlink" Target="https://doi.org/10.1016/j.gfs.2017.01.011" TargetMode="External"/><Relationship Id="rId1636" Type="http://schemas.openxmlformats.org/officeDocument/2006/relationships/hyperlink" Target="https://doi.org/10.1016/j.enpol.2012.04.066" TargetMode="External"/><Relationship Id="rId1843" Type="http://schemas.openxmlformats.org/officeDocument/2006/relationships/hyperlink" Target="https://doi.org/10.1111/j.1467-9493.2008.00343.x" TargetMode="External"/><Relationship Id="rId1703" Type="http://schemas.openxmlformats.org/officeDocument/2006/relationships/hyperlink" Target="https://doi.org/10.1086/682686" TargetMode="External"/><Relationship Id="rId1910" Type="http://schemas.openxmlformats.org/officeDocument/2006/relationships/hyperlink" Target="https://doi.org/10.1098/rstb.2012.0300" TargetMode="External"/><Relationship Id="rId284" Type="http://schemas.openxmlformats.org/officeDocument/2006/relationships/hyperlink" Target="http://africaresearchinstitute.org/newsite/wp-content/uploads/2013/03/Whatever-happened-to-Africas-rapid-urbanization.pdf" TargetMode="External"/><Relationship Id="rId491" Type="http://schemas.openxmlformats.org/officeDocument/2006/relationships/hyperlink" Target="http://www.fao.org/3/a-i3917e.pdf" TargetMode="External"/><Relationship Id="rId144" Type="http://schemas.openxmlformats.org/officeDocument/2006/relationships/hyperlink" Target="http://pubs.iied.org/pdfs/17342IIED.pdf" TargetMode="External"/><Relationship Id="rId589" Type="http://schemas.openxmlformats.org/officeDocument/2006/relationships/hyperlink" Target="https://doi.org/10.1079/9781780645322.0307" TargetMode="External"/><Relationship Id="rId796" Type="http://schemas.openxmlformats.org/officeDocument/2006/relationships/hyperlink" Target="https://doi.org/10.1016/j.jhevol.2009.04.006" TargetMode="External"/><Relationship Id="rId351" Type="http://schemas.openxmlformats.org/officeDocument/2006/relationships/hyperlink" Target="http://www.eld-initiative.org" TargetMode="External"/><Relationship Id="rId449" Type="http://schemas.openxmlformats.org/officeDocument/2006/relationships/hyperlink" Target="https://doi.org/10.1016/j.gloenvcha.2015.02.008" TargetMode="External"/><Relationship Id="rId656" Type="http://schemas.openxmlformats.org/officeDocument/2006/relationships/hyperlink" Target="https://pingpdf.com/pdf-application-of-food-balance-sheets-to-assess-the-scale-of-the-.html" TargetMode="External"/><Relationship Id="rId863" Type="http://schemas.openxmlformats.org/officeDocument/2006/relationships/hyperlink" Target="http://www.unesco.org/new/fileadmin/MULTIMEDIA/HQ/SC/pdf/TWAP_LMEs_launch.pdf" TargetMode="External"/><Relationship Id="rId1079" Type="http://schemas.openxmlformats.org/officeDocument/2006/relationships/hyperlink" Target="https://journals.openedition.org/oceanindien/769" TargetMode="External"/><Relationship Id="rId1286" Type="http://schemas.openxmlformats.org/officeDocument/2006/relationships/hyperlink" Target="http://www.rhinoresourcecenter.com/pdf_files/146/1469892235.pdf" TargetMode="External"/><Relationship Id="rId1493" Type="http://schemas.openxmlformats.org/officeDocument/2006/relationships/hyperlink" Target="https://doi.org/10.1111/j.1461-0248.2005.00782.x" TargetMode="External"/><Relationship Id="rId2032" Type="http://schemas.openxmlformats.org/officeDocument/2006/relationships/theme" Target="theme/theme1.xml"/><Relationship Id="rId211" Type="http://schemas.openxmlformats.org/officeDocument/2006/relationships/hyperlink" Target="http://regards.in2p3.fr/fiche.php?id=4408" TargetMode="External"/><Relationship Id="rId309" Type="http://schemas.openxmlformats.org/officeDocument/2006/relationships/hyperlink" Target="https://doi.org/10.1093/aobpla/plu027" TargetMode="External"/><Relationship Id="rId516" Type="http://schemas.openxmlformats.org/officeDocument/2006/relationships/hyperlink" Target="https://doi.org/10.1111/j.1526-100X.2005.00020.x" TargetMode="External"/><Relationship Id="rId1146" Type="http://schemas.openxmlformats.org/officeDocument/2006/relationships/hyperlink" Target="https://doi.org/10.7717/peerj.2354" TargetMode="External"/><Relationship Id="rId1798" Type="http://schemas.openxmlformats.org/officeDocument/2006/relationships/hyperlink" Target="https://doi.org/10.1017/S1355770X12000551" TargetMode="External"/><Relationship Id="rId723" Type="http://schemas.openxmlformats.org/officeDocument/2006/relationships/hyperlink" Target="https://doi.org/10.1016/j.ecolecon.2010.01.007" TargetMode="External"/><Relationship Id="rId930" Type="http://schemas.openxmlformats.org/officeDocument/2006/relationships/hyperlink" Target="https://doi.org/10.1016/j.jhydrol.2013.12.002" TargetMode="External"/><Relationship Id="rId1006" Type="http://schemas.openxmlformats.org/officeDocument/2006/relationships/hyperlink" Target="https://unhabitat.org/un-habitat-annual-report-2010/" TargetMode="External"/><Relationship Id="rId1353" Type="http://schemas.openxmlformats.org/officeDocument/2006/relationships/hyperlink" Target="https://doi.org/10.1038/nclimate2753" TargetMode="External"/><Relationship Id="rId1560" Type="http://schemas.openxmlformats.org/officeDocument/2006/relationships/hyperlink" Target="https://doi.org/10.1016/j.envint.2015.09.007" TargetMode="External"/><Relationship Id="rId1658" Type="http://schemas.openxmlformats.org/officeDocument/2006/relationships/hyperlink" Target="https://doi.org/10.1080/02626667.2015.1087644" TargetMode="External"/><Relationship Id="rId1865" Type="http://schemas.openxmlformats.org/officeDocument/2006/relationships/hyperlink" Target="http://www.nepad.org/resource/sahel-and-west-africa-program-support-great-green-wall-initiative" TargetMode="External"/><Relationship Id="rId1213" Type="http://schemas.openxmlformats.org/officeDocument/2006/relationships/hyperlink" Target="https://doi.org/10.1111/gcb.12916" TargetMode="External"/><Relationship Id="rId1420" Type="http://schemas.openxmlformats.org/officeDocument/2006/relationships/hyperlink" Target="https://doi.org/10.1088/1748-9326/10/9/095015" TargetMode="External"/><Relationship Id="rId1518" Type="http://schemas.openxmlformats.org/officeDocument/2006/relationships/hyperlink" Target="https://www.cbd.int/doc/publications/cbd-ts-60-en.pdf" TargetMode="External"/><Relationship Id="rId1725" Type="http://schemas.openxmlformats.org/officeDocument/2006/relationships/hyperlink" Target="https://doi.org/10.1007/s10584-013-0906-1" TargetMode="External"/><Relationship Id="rId1932" Type="http://schemas.openxmlformats.org/officeDocument/2006/relationships/hyperlink" Target="http://www.nrcan.gc.ca/energy/efficiency/industry/cipec/5379" TargetMode="External"/><Relationship Id="rId17" Type="http://schemas.openxmlformats.org/officeDocument/2006/relationships/header" Target="header1.xml"/><Relationship Id="rId166" Type="http://schemas.openxmlformats.org/officeDocument/2006/relationships/hyperlink" Target="http://www.fao.org/3/a-i5555e.pdf" TargetMode="External"/><Relationship Id="rId373" Type="http://schemas.openxmlformats.org/officeDocument/2006/relationships/hyperlink" Target="https://washdata.org/file/550/download" TargetMode="External"/><Relationship Id="rId580" Type="http://schemas.openxmlformats.org/officeDocument/2006/relationships/hyperlink" Target="https://doi.org/10.1016/j.biocon.2008.03.020" TargetMode="External"/><Relationship Id="rId1" Type="http://schemas.openxmlformats.org/officeDocument/2006/relationships/customXml" Target="../customXml/item1.xml"/><Relationship Id="rId233" Type="http://schemas.openxmlformats.org/officeDocument/2006/relationships/hyperlink" Target="https://doi.org/10.1023/B:BIOC.0000035876.39587.1a" TargetMode="External"/><Relationship Id="rId440" Type="http://schemas.openxmlformats.org/officeDocument/2006/relationships/hyperlink" Target="http://nora.nerc.ac.uk/id/eprint/17907/1/OR11067.pdf" TargetMode="External"/><Relationship Id="rId678" Type="http://schemas.openxmlformats.org/officeDocument/2006/relationships/hyperlink" Target="http://spatial.csir.co.za/website/" TargetMode="External"/><Relationship Id="rId885" Type="http://schemas.openxmlformats.org/officeDocument/2006/relationships/hyperlink" Target="https://doi.org/10.1371/journal.pone.0059469" TargetMode="External"/><Relationship Id="rId1070" Type="http://schemas.openxmlformats.org/officeDocument/2006/relationships/hyperlink" Target="https://doi.org/10.1371/journal.pone.0092044" TargetMode="External"/><Relationship Id="rId300" Type="http://schemas.openxmlformats.org/officeDocument/2006/relationships/hyperlink" Target="http://nbn-resolving.de/urn:nbn:de:0168-ssoar-109930" TargetMode="External"/><Relationship Id="rId538" Type="http://schemas.openxmlformats.org/officeDocument/2006/relationships/hyperlink" Target="https://doi.org/10.1088/1748-9326/8/2/025015" TargetMode="External"/><Relationship Id="rId745" Type="http://schemas.openxmlformats.org/officeDocument/2006/relationships/hyperlink" Target="https://doi.org/10.2305/IUCN.UK.2008.RLTS.T12561A3359140.en" TargetMode="External"/><Relationship Id="rId952" Type="http://schemas.openxmlformats.org/officeDocument/2006/relationships/hyperlink" Target="https://portals.iucn.org/library/sites/library/files/documents/2015-019.pdf" TargetMode="External"/><Relationship Id="rId1168" Type="http://schemas.openxmlformats.org/officeDocument/2006/relationships/hyperlink" Target="http://pubs.iied.org/pdfs/12590IIED.pdf" TargetMode="External"/><Relationship Id="rId1375" Type="http://schemas.openxmlformats.org/officeDocument/2006/relationships/hyperlink" Target="https://doi.org/10.1016/j.marpolbul.2015.09.044" TargetMode="External"/><Relationship Id="rId1582" Type="http://schemas.openxmlformats.org/officeDocument/2006/relationships/image" Target="media/image114.JPG"/><Relationship Id="rId81" Type="http://schemas.openxmlformats.org/officeDocument/2006/relationships/hyperlink" Target="http://www.afdb.org/fileadmin/uploads/afdb/Documents/Publications/MDG_Report_2015.pdf" TargetMode="External"/><Relationship Id="rId605" Type="http://schemas.openxmlformats.org/officeDocument/2006/relationships/hyperlink" Target="https://doi.org/10.1016/j.worlddev.2014.05.011" TargetMode="External"/><Relationship Id="rId812" Type="http://schemas.openxmlformats.org/officeDocument/2006/relationships/hyperlink" Target="http://www.fao.org/3/a-i0250e.pdf" TargetMode="External"/><Relationship Id="rId1028" Type="http://schemas.openxmlformats.org/officeDocument/2006/relationships/hyperlink" Target="http://www.jstor.org/stable/4314180" TargetMode="External"/><Relationship Id="rId1235" Type="http://schemas.openxmlformats.org/officeDocument/2006/relationships/hyperlink" Target="https://www.tni.org/files/Hall%20ICAS%20WP%202.pdf" TargetMode="External"/><Relationship Id="rId1442" Type="http://schemas.openxmlformats.org/officeDocument/2006/relationships/hyperlink" Target="https://www.tnrf.org/files/E-INFO_CBNRM_Bibliography_0.pdf" TargetMode="External"/><Relationship Id="rId1887" Type="http://schemas.openxmlformats.org/officeDocument/2006/relationships/hyperlink" Target="http://cmsdata.iucn.org/downloads/final_biodiversity_offsets_paper__9nov2014_1.pdf" TargetMode="External"/><Relationship Id="rId1302" Type="http://schemas.openxmlformats.org/officeDocument/2006/relationships/hyperlink" Target="https://doi.org/10.1659/mrd.0864" TargetMode="External"/><Relationship Id="rId1747" Type="http://schemas.openxmlformats.org/officeDocument/2006/relationships/hyperlink" Target="https://www.cbd.int/nbsap/default.shtml" TargetMode="External"/><Relationship Id="rId1954" Type="http://schemas.openxmlformats.org/officeDocument/2006/relationships/hyperlink" Target="https://doi.org/10.1080/08941920252866774" TargetMode="External"/><Relationship Id="rId39" Type="http://schemas.openxmlformats.org/officeDocument/2006/relationships/hyperlink" Target="http://www.invasives.org.za" TargetMode="External"/><Relationship Id="rId1607" Type="http://schemas.openxmlformats.org/officeDocument/2006/relationships/hyperlink" Target="https://doi.org/10.5194/bg-12-1317-2015" TargetMode="External"/><Relationship Id="rId1814" Type="http://schemas.openxmlformats.org/officeDocument/2006/relationships/hyperlink" Target="https://doi.org/10.1111/j.1471-0366.2011.00339.x" TargetMode="External"/><Relationship Id="rId188" Type="http://schemas.openxmlformats.org/officeDocument/2006/relationships/hyperlink" Target="https://doi.org/10.1017/CBO9780511750458.007" TargetMode="External"/><Relationship Id="rId395" Type="http://schemas.openxmlformats.org/officeDocument/2006/relationships/hyperlink" Target="http://pta-smg2.csir.co.za:32224/?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" TargetMode="External"/><Relationship Id="rId255" Type="http://schemas.openxmlformats.org/officeDocument/2006/relationships/hyperlink" Target="http://cmsdata.iucn.org/downloads/cca_jmurombedzi.pdf" TargetMode="External"/><Relationship Id="rId462" Type="http://schemas.openxmlformats.org/officeDocument/2006/relationships/hyperlink" Target="https://ideas.repec.org/p/iwt/bosers/h043071.html" TargetMode="External"/><Relationship Id="rId1092" Type="http://schemas.openxmlformats.org/officeDocument/2006/relationships/hyperlink" Target="http://www.au.int/en/sites/default/files/pr_.au_recs_uneca_afdb_nepad_acbf.pdf" TargetMode="External"/><Relationship Id="rId1397" Type="http://schemas.openxmlformats.org/officeDocument/2006/relationships/hyperlink" Target="https://www.oecd.org/greengrowth/48012345.pdf" TargetMode="External"/><Relationship Id="rId115" Type="http://schemas.openxmlformats.org/officeDocument/2006/relationships/hyperlink" Target="http://wedocs.unep.org/bitstream/handle/20.500.11822/22109/UNEP_Sudan_Governance_for_peace_2013" TargetMode="External"/><Relationship Id="rId322" Type="http://schemas.openxmlformats.org/officeDocument/2006/relationships/hyperlink" Target="https://doi.org/10.1126/science.1257484" TargetMode="External"/><Relationship Id="rId767" Type="http://schemas.openxmlformats.org/officeDocument/2006/relationships/hyperlink" Target="https://doi.org/10.1038/nclimate2735" TargetMode="External"/><Relationship Id="rId974" Type="http://schemas.openxmlformats.org/officeDocument/2006/relationships/hyperlink" Target="http://www.birdlife.org/worldwide/news/endemic-bird-areas-world-priorities-conservation" TargetMode="External"/><Relationship Id="rId2003" Type="http://schemas.openxmlformats.org/officeDocument/2006/relationships/hyperlink" Target="http://www.unisdr.org/files/43291_sendaiframeworkfordrren.pdf" TargetMode="External"/><Relationship Id="rId627" Type="http://schemas.openxmlformats.org/officeDocument/2006/relationships/hyperlink" Target="https://gridarendal-website-live.s3.amazonaws.com/production/documents/:s_document/323/original/AfricanLME_screen.pdf?1491297440" TargetMode="External"/><Relationship Id="rId834" Type="http://schemas.openxmlformats.org/officeDocument/2006/relationships/hyperlink" Target="https://portals.iucn.org/library/sites/library/files/documents/1988-015-3.pdf" TargetMode="External"/><Relationship Id="rId1257" Type="http://schemas.openxmlformats.org/officeDocument/2006/relationships/hyperlink" Target="https://eolien-biodiversite.com/IMG/pdf/englischewindkraftstudie_1252510701.pdf" TargetMode="External"/><Relationship Id="rId1464" Type="http://schemas.openxmlformats.org/officeDocument/2006/relationships/hyperlink" Target="https://doi.org/10.1016/j.biocon.2014.05.027" TargetMode="External"/><Relationship Id="rId1671" Type="http://schemas.openxmlformats.org/officeDocument/2006/relationships/hyperlink" Target="https://doi.org/10.1007/s00114-013-1088-4" TargetMode="External"/><Relationship Id="rId901" Type="http://schemas.openxmlformats.org/officeDocument/2006/relationships/hyperlink" Target="http://hdl.handle.net/20.500.11822/15160" TargetMode="External"/><Relationship Id="rId1117" Type="http://schemas.openxmlformats.org/officeDocument/2006/relationships/hyperlink" Target="https://doi.org/10.1046/j.1523-1739.1993.07030644.x" TargetMode="External"/><Relationship Id="rId1324" Type="http://schemas.openxmlformats.org/officeDocument/2006/relationships/hyperlink" Target="https://doi.org/10.1126/science.285.5426.397" TargetMode="External"/><Relationship Id="rId1531" Type="http://schemas.openxmlformats.org/officeDocument/2006/relationships/hyperlink" Target="https://doi.org/10.1155/2016/6201350" TargetMode="External"/><Relationship Id="rId1769" Type="http://schemas.openxmlformats.org/officeDocument/2006/relationships/hyperlink" Target="http://www.afforum.org/sites/default/files/English/English_79.pdf" TargetMode="External"/><Relationship Id="rId1976" Type="http://schemas.openxmlformats.org/officeDocument/2006/relationships/hyperlink" Target="https://doi.org/10.1579/0044-7447(2007)36%5b387:CLDTPM%5d2.0.CO;2" TargetMode="External"/><Relationship Id="rId30" Type="http://schemas.openxmlformats.org/officeDocument/2006/relationships/image" Target="media/image15.JPG"/><Relationship Id="rId1629" Type="http://schemas.openxmlformats.org/officeDocument/2006/relationships/hyperlink" Target="https://doi.org/10.1016/j.ijforecast.2016.01.004" TargetMode="External"/><Relationship Id="rId1836" Type="http://schemas.openxmlformats.org/officeDocument/2006/relationships/hyperlink" Target="https://doi.org/10.1080/13504500609469666" TargetMode="External"/><Relationship Id="rId1903" Type="http://schemas.openxmlformats.org/officeDocument/2006/relationships/hyperlink" Target="http://www.abiove.com.br/english/sustent/imm_nota_ministerio_abr09_us.pdf" TargetMode="External"/><Relationship Id="rId277" Type="http://schemas.openxmlformats.org/officeDocument/2006/relationships/hyperlink" Target="https://doi.org/10.1016/j.cosust.2016.12.006" TargetMode="External"/><Relationship Id="rId484" Type="http://schemas.openxmlformats.org/officeDocument/2006/relationships/hyperlink" Target="https://www.cbd.int/financial/values/uganda-economicassessment.pdf" TargetMode="External"/><Relationship Id="rId137" Type="http://schemas.openxmlformats.org/officeDocument/2006/relationships/hyperlink" Target="http://documents.worldbank.org/curated/en/869311468009642720/pdf/941170PUB0Box300Forum09781464804359.pdf" TargetMode="External"/><Relationship Id="rId344" Type="http://schemas.openxmlformats.org/officeDocument/2006/relationships/hyperlink" Target="http://www.unep.org/greeneconomy" TargetMode="External"/><Relationship Id="rId691" Type="http://schemas.openxmlformats.org/officeDocument/2006/relationships/hyperlink" Target="https://doi.org/10.1111/j.1365-2664.2009.01666.x" TargetMode="External"/><Relationship Id="rId789" Type="http://schemas.openxmlformats.org/officeDocument/2006/relationships/hyperlink" Target="http://data.iucn.org/dbtw-wpd/edocs/2009&#8211;003.pdf" TargetMode="External"/><Relationship Id="rId996" Type="http://schemas.openxmlformats.org/officeDocument/2006/relationships/hyperlink" Target="https://postconflict.unep.ch/publications/UNEP_Sudan.pdf" TargetMode="External"/><Relationship Id="rId2025" Type="http://schemas.openxmlformats.org/officeDocument/2006/relationships/hyperlink" Target="http://www.iccaregistry.org" TargetMode="External"/><Relationship Id="rId551" Type="http://schemas.openxmlformats.org/officeDocument/2006/relationships/hyperlink" Target="https://doi.org/10.1016/j.ufug.2009.09.003" TargetMode="External"/><Relationship Id="rId649" Type="http://schemas.openxmlformats.org/officeDocument/2006/relationships/hyperlink" Target="http://hdl.handle.net/10568/52032" TargetMode="External"/><Relationship Id="rId856" Type="http://schemas.openxmlformats.org/officeDocument/2006/relationships/hyperlink" Target="https://doi.org/10.4102/abc.v14i3/4.1205" TargetMode="External"/><Relationship Id="rId1181" Type="http://schemas.openxmlformats.org/officeDocument/2006/relationships/hyperlink" Target="https://siteresources.worldbank.org/DEC/Resources/Rising-Global-Interest-in-Farmland.pdf" TargetMode="External"/><Relationship Id="rId1279" Type="http://schemas.openxmlformats.org/officeDocument/2006/relationships/hyperlink" Target="https://doi.org/10.1007/s10661-009-1270-5" TargetMode="External"/><Relationship Id="rId1486" Type="http://schemas.openxmlformats.org/officeDocument/2006/relationships/hyperlink" Target="http://iiste.org/Journals/index.php/JEDS/article/viewFile/2307/2309" TargetMode="External"/><Relationship Id="rId204" Type="http://schemas.openxmlformats.org/officeDocument/2006/relationships/hyperlink" Target="http://www.ruralpovertyportal.org/region/home/tags/africa" TargetMode="External"/><Relationship Id="rId411" Type="http://schemas.openxmlformats.org/officeDocument/2006/relationships/hyperlink" Target="https://www.wider.unu.edu/sites/default/files/WP2013-100.pdf" TargetMode="External"/><Relationship Id="rId509" Type="http://schemas.openxmlformats.org/officeDocument/2006/relationships/hyperlink" Target="http://climatefrontlines.org/sites/default/files/ipbes/IPBES_in_Africa_2015.pdf" TargetMode="External"/><Relationship Id="rId1041" Type="http://schemas.openxmlformats.org/officeDocument/2006/relationships/image" Target="media/image79.png"/><Relationship Id="rId1139" Type="http://schemas.openxmlformats.org/officeDocument/2006/relationships/hyperlink" Target="https://doi.org/10.1525/bio.2010.60.10.7" TargetMode="External"/><Relationship Id="rId1346" Type="http://schemas.openxmlformats.org/officeDocument/2006/relationships/hyperlink" Target="http://www.innovators2015.com/Resources/storm-surge-reduction-by-mangroves-report.pdf" TargetMode="External"/><Relationship Id="rId1693" Type="http://schemas.openxmlformats.org/officeDocument/2006/relationships/hyperlink" Target="https://doi.org/10.1525/bio.2010.60.8.4" TargetMode="External"/><Relationship Id="rId1998" Type="http://schemas.openxmlformats.org/officeDocument/2006/relationships/hyperlink" Target="http://www.ebafosa.org/index.php/news-media/publications/?override=1" TargetMode="External"/><Relationship Id="rId716" Type="http://schemas.openxmlformats.org/officeDocument/2006/relationships/hyperlink" Target="https://doi.org/10.1016/j.landurbplan.2010.12.012" TargetMode="External"/><Relationship Id="rId923" Type="http://schemas.openxmlformats.org/officeDocument/2006/relationships/hyperlink" Target="http://cordioea.net/bleaching_resilience/wio-bleaching-2016" TargetMode="External"/><Relationship Id="rId1553" Type="http://schemas.openxmlformats.org/officeDocument/2006/relationships/hyperlink" Target="https://doi.org/10.1016/j.jaridenv.2004.03.022" TargetMode="External"/><Relationship Id="rId1760" Type="http://schemas.openxmlformats.org/officeDocument/2006/relationships/hyperlink" Target="http://www.nrcan.gc.ca/energy/efficiency/industry/cipec/5379" TargetMode="External"/><Relationship Id="rId1858" Type="http://schemas.openxmlformats.org/officeDocument/2006/relationships/hyperlink" Target="https://doi.org/10.1146/annurev.energy.30.050504.14451" TargetMode="External"/><Relationship Id="rId52" Type="http://schemas.openxmlformats.org/officeDocument/2006/relationships/hyperlink" Target="http://hdr.undp.org/en/composite/MPI" TargetMode="External"/><Relationship Id="rId1206" Type="http://schemas.openxmlformats.org/officeDocument/2006/relationships/hyperlink" Target="https://doi.org/10.1371/journal.pone.0045989" TargetMode="External"/><Relationship Id="rId1413" Type="http://schemas.openxmlformats.org/officeDocument/2006/relationships/hyperlink" Target="https://doi.org/10.5897/IJBC2015.0938" TargetMode="External"/><Relationship Id="rId1620" Type="http://schemas.openxmlformats.org/officeDocument/2006/relationships/hyperlink" Target="https://doi.org/10.1111/j.1523-1739.2012.01838.x" TargetMode="External"/><Relationship Id="rId1718" Type="http://schemas.openxmlformats.org/officeDocument/2006/relationships/hyperlink" Target="https://na.unep.net/atlas/africa/downloads/chapters/Africa_Atlas_English_Intro.pdf" TargetMode="External"/><Relationship Id="rId1925" Type="http://schemas.openxmlformats.org/officeDocument/2006/relationships/hyperlink" Target="https://doi.org/10.1016/j.cosust.2013.10.016" TargetMode="External"/><Relationship Id="rId299" Type="http://schemas.openxmlformats.org/officeDocument/2006/relationships/hyperlink" Target="https://ecoagriculture.org/wp-content/uploads/2015/08/DefiningILMforPolicyMakers.pdf" TargetMode="External"/><Relationship Id="rId159" Type="http://schemas.openxmlformats.org/officeDocument/2006/relationships/hyperlink" Target="https://za.boell.org/2014/02/12/g20s-energy-infrastructure-plans-africa-what-missing" TargetMode="External"/><Relationship Id="rId366" Type="http://schemas.openxmlformats.org/officeDocument/2006/relationships/hyperlink" Target="https://www.worldenergy.org/publications/2005/regional-energy-integration-in-africa/" TargetMode="External"/><Relationship Id="rId573" Type="http://schemas.openxmlformats.org/officeDocument/2006/relationships/hyperlink" Target="https://doi.org/10.1505/146554811798293872" TargetMode="External"/><Relationship Id="rId780" Type="http://schemas.openxmlformats.org/officeDocument/2006/relationships/hyperlink" Target="https://doi.org/10.1016/j.forpol.2006.04.001" TargetMode="External"/><Relationship Id="rId226" Type="http://schemas.openxmlformats.org/officeDocument/2006/relationships/hyperlink" Target="https://doi.org/10.1016/S0140-6736(12)61766-8" TargetMode="External"/><Relationship Id="rId433" Type="http://schemas.openxmlformats.org/officeDocument/2006/relationships/hyperlink" Target="https://doi.org/10.1016/j.envdev.2015.08.004" TargetMode="External"/><Relationship Id="rId878" Type="http://schemas.openxmlformats.org/officeDocument/2006/relationships/hyperlink" Target="https://doi.org/10.1007/978-94-009-0285-5_72" TargetMode="External"/><Relationship Id="rId1063" Type="http://schemas.openxmlformats.org/officeDocument/2006/relationships/hyperlink" Target="https://esa.un.org/unpd/wup/cd-rom/" TargetMode="External"/><Relationship Id="rId1270" Type="http://schemas.openxmlformats.org/officeDocument/2006/relationships/hyperlink" Target="https://www.ipcc.ch/pdf/assessment-report/ar5/wg3/WGIIIAR5_SPM_TS_Volume.pdf" TargetMode="External"/><Relationship Id="rId640" Type="http://schemas.openxmlformats.org/officeDocument/2006/relationships/hyperlink" Target="https://doi.org/10.1007/BF00164903" TargetMode="External"/><Relationship Id="rId738" Type="http://schemas.openxmlformats.org/officeDocument/2006/relationships/hyperlink" Target="https://portals.iucn.org/library/sites/library/files/documents/RL-67-001.pdf" TargetMode="External"/><Relationship Id="rId945" Type="http://schemas.openxmlformats.org/officeDocument/2006/relationships/hyperlink" Target="https://portals.iucn.org/library/sites/library/files/documents/2012-078-1.pdf" TargetMode="External"/><Relationship Id="rId1368" Type="http://schemas.openxmlformats.org/officeDocument/2006/relationships/hyperlink" Target="https://orkustofnun.is/gogn/unu-gtp-sc/UNU-GTP-SC-11-40.pdf" TargetMode="External"/><Relationship Id="rId1575" Type="http://schemas.openxmlformats.org/officeDocument/2006/relationships/image" Target="media/image107.jpeg"/><Relationship Id="rId1782" Type="http://schemas.openxmlformats.org/officeDocument/2006/relationships/hyperlink" Target="https://doi.org/10.1080/10220461.2013.780326" TargetMode="External"/><Relationship Id="rId74" Type="http://schemas.openxmlformats.org/officeDocument/2006/relationships/hyperlink" Target="http://www.afdb.org/fileadmin/uploads/afdb/Documents/Project-and-Operations/Africa_Progress_Report_2014.PDF" TargetMode="External"/><Relationship Id="rId500" Type="http://schemas.openxmlformats.org/officeDocument/2006/relationships/hyperlink" Target="https://doi.org/10.1126/science.1136674" TargetMode="External"/><Relationship Id="rId805" Type="http://schemas.openxmlformats.org/officeDocument/2006/relationships/hyperlink" Target="http://www.fao.org/forestry/fra/86624/en/" TargetMode="External"/><Relationship Id="rId1130" Type="http://schemas.openxmlformats.org/officeDocument/2006/relationships/hyperlink" Target="https://doi.org/10.1505/IFOR.5.2.148.17414" TargetMode="External"/><Relationship Id="rId1228" Type="http://schemas.openxmlformats.org/officeDocument/2006/relationships/hyperlink" Target="http://www.wiley.com/go/goudiehumanimpact" TargetMode="External"/><Relationship Id="rId1435" Type="http://schemas.openxmlformats.org/officeDocument/2006/relationships/hyperlink" Target="http://www.ccafs.cgiar.org" TargetMode="External"/><Relationship Id="rId1642" Type="http://schemas.openxmlformats.org/officeDocument/2006/relationships/hyperlink" Target="https://doi.org/10.1007/s10745-006-9012-6" TargetMode="External"/><Relationship Id="rId1947" Type="http://schemas.openxmlformats.org/officeDocument/2006/relationships/hyperlink" Target="https://doi.org/10.1007/s11269-011-9904-0" TargetMode="External"/><Relationship Id="rId1502" Type="http://schemas.openxmlformats.org/officeDocument/2006/relationships/hyperlink" Target="http://wedocs.unep.org/handle/20.500.11822/9626" TargetMode="External"/><Relationship Id="rId1807" Type="http://schemas.openxmlformats.org/officeDocument/2006/relationships/hyperlink" Target="https://doi.org/10.1037/arc0000014" TargetMode="External"/><Relationship Id="rId290" Type="http://schemas.openxmlformats.org/officeDocument/2006/relationships/hyperlink" Target="https://doi.org/10.1098/rstb.2014.0003" TargetMode="External"/><Relationship Id="rId388" Type="http://schemas.openxmlformats.org/officeDocument/2006/relationships/image" Target="media/image34.JPG"/><Relationship Id="rId150" Type="http://schemas.openxmlformats.org/officeDocument/2006/relationships/hyperlink" Target="https://doi.org/10.1111/ddi.12157" TargetMode="External"/><Relationship Id="rId595" Type="http://schemas.openxmlformats.org/officeDocument/2006/relationships/hyperlink" Target="https://doi.org/10.1098/rstb.2010.0143" TargetMode="External"/><Relationship Id="rId248" Type="http://schemas.openxmlformats.org/officeDocument/2006/relationships/hyperlink" Target="https://doi.org/10.1016/j.worlddev.2013.07.006" TargetMode="External"/><Relationship Id="rId455" Type="http://schemas.openxmlformats.org/officeDocument/2006/relationships/hyperlink" Target="https://doi.org/10.1016/j.ecolecon.2011.11.011" TargetMode="External"/><Relationship Id="rId662" Type="http://schemas.openxmlformats.org/officeDocument/2006/relationships/image" Target="media/image50.png"/><Relationship Id="rId1085" Type="http://schemas.openxmlformats.org/officeDocument/2006/relationships/hyperlink" Target="https://en.wikipedia.org/wiki/Stockholm_Convention_on_Persistent_Organic_Pollutants" TargetMode="External"/><Relationship Id="rId1292" Type="http://schemas.openxmlformats.org/officeDocument/2006/relationships/hyperlink" Target="https://doi.org/10.1016/S0160-4120(99)00005-7" TargetMode="External"/><Relationship Id="rId108" Type="http://schemas.openxmlformats.org/officeDocument/2006/relationships/hyperlink" Target="https://doi.org/10.5194/bg-11-2623-2014" TargetMode="External"/><Relationship Id="rId315" Type="http://schemas.openxmlformats.org/officeDocument/2006/relationships/hyperlink" Target="https://doi.org/10.1016/j.biocon.2014.01.028" TargetMode="External"/><Relationship Id="rId522" Type="http://schemas.openxmlformats.org/officeDocument/2006/relationships/hyperlink" Target="https://www.ipbes.net/search?query=%20sites%20default%20files%20downloads%20pdf%20spm_deliverable_3a_pollination_20170222.pdf" TargetMode="External"/><Relationship Id="rId967" Type="http://schemas.openxmlformats.org/officeDocument/2006/relationships/hyperlink" Target="https://www.sanbi.org/sites/default/files/documents/documents/ompareportdec2011summary-report-final.pdf" TargetMode="External"/><Relationship Id="rId1152" Type="http://schemas.openxmlformats.org/officeDocument/2006/relationships/hyperlink" Target="http://www.eurosurveillance.org/ViewArticle.aspx?ArticleId=19506" TargetMode="External"/><Relationship Id="rId1597" Type="http://schemas.openxmlformats.org/officeDocument/2006/relationships/hyperlink" Target="https://www.eea.europa.eu/publications/environmental_issue_report_2001_24/file" TargetMode="External"/><Relationship Id="rId96" Type="http://schemas.openxmlformats.org/officeDocument/2006/relationships/hyperlink" Target="https://open.library.ubc.ca/media/download/pdf/52383/1.0354243/5" TargetMode="External"/><Relationship Id="rId827" Type="http://schemas.openxmlformats.org/officeDocument/2006/relationships/hyperlink" Target="https://doi.org/10.1126/science.aad6760" TargetMode="External"/><Relationship Id="rId1012" Type="http://schemas.openxmlformats.org/officeDocument/2006/relationships/hyperlink" Target="https://doi.org/10.1016/j.ocecoaman.2006.08.012" TargetMode="External"/><Relationship Id="rId1457" Type="http://schemas.openxmlformats.org/officeDocument/2006/relationships/hyperlink" Target="https://scholar.google.com/citations?user=JjEgJcIAAAAJ&amp;hl=en&amp;oi=sra" TargetMode="External"/><Relationship Id="rId1664" Type="http://schemas.openxmlformats.org/officeDocument/2006/relationships/hyperlink" Target="https://www.millenniumassessment.org/documents/document.274.aspx.pdf" TargetMode="External"/><Relationship Id="rId1871" Type="http://schemas.openxmlformats.org/officeDocument/2006/relationships/hyperlink" Target="http://www.vahatra.mg/volume9.html" TargetMode="External"/><Relationship Id="rId1317" Type="http://schemas.openxmlformats.org/officeDocument/2006/relationships/hyperlink" Target="https://doi.org/10.1111/j.1600-0587.2013.00346.x" TargetMode="External"/><Relationship Id="rId1524" Type="http://schemas.openxmlformats.org/officeDocument/2006/relationships/hyperlink" Target="https://doi.org/10.4319/lo.2005.50.2.072" TargetMode="External"/><Relationship Id="rId1731" Type="http://schemas.openxmlformats.org/officeDocument/2006/relationships/hyperlink" Target="https://doi.org/10.1111/aje.12143" TargetMode="External"/><Relationship Id="rId1969" Type="http://schemas.openxmlformats.org/officeDocument/2006/relationships/hyperlink" Target="https://doi.org/10.1007/s10750-009-9979-2" TargetMode="External"/><Relationship Id="rId23" Type="http://schemas.openxmlformats.org/officeDocument/2006/relationships/image" Target="media/image8.JPG"/><Relationship Id="rId1829" Type="http://schemas.openxmlformats.org/officeDocument/2006/relationships/hyperlink" Target="https://doi.org/10.1016/j.envsci.2004.02.004" TargetMode="External"/><Relationship Id="rId172" Type="http://schemas.openxmlformats.org/officeDocument/2006/relationships/hyperlink" Target="https://doi.org/10.1186/s40878-015-0015-6" TargetMode="External"/><Relationship Id="rId477" Type="http://schemas.openxmlformats.org/officeDocument/2006/relationships/hyperlink" Target="http://blog.bbs-software.com/09-mr-elwin-murray-v-2/read-9781899044122-holy-ground-guide-to-faith-and-ecology.pdf" TargetMode="External"/><Relationship Id="rId684" Type="http://schemas.openxmlformats.org/officeDocument/2006/relationships/hyperlink" Target="http://www.innspub.net" TargetMode="External"/><Relationship Id="rId337" Type="http://schemas.openxmlformats.org/officeDocument/2006/relationships/hyperlink" Target="http://hdr.undp.org/sites/default/files/2016_human_development_report.pdf" TargetMode="External"/><Relationship Id="rId891" Type="http://schemas.openxmlformats.org/officeDocument/2006/relationships/hyperlink" Target="https://www.sanbi.org/sites/default/files/documents/documents/strelitzia-29-2012.pdf" TargetMode="External"/><Relationship Id="rId989" Type="http://schemas.openxmlformats.org/officeDocument/2006/relationships/hyperlink" Target="https://doi.org/10.1017/S0959270906000487" TargetMode="External"/><Relationship Id="rId2018" Type="http://schemas.openxmlformats.org/officeDocument/2006/relationships/hyperlink" Target="https://www.wavespartnership.org/en/knowledge-center/waves-annual-report-2013" TargetMode="External"/><Relationship Id="rId544" Type="http://schemas.openxmlformats.org/officeDocument/2006/relationships/hyperlink" Target="https://doi.org/10.1016/j.forpol.2013.09.006" TargetMode="External"/><Relationship Id="rId751" Type="http://schemas.openxmlformats.org/officeDocument/2006/relationships/hyperlink" Target="https://www.usaid.gov/central-africa-regional/cdcs" TargetMode="External"/><Relationship Id="rId849" Type="http://schemas.openxmlformats.org/officeDocument/2006/relationships/hyperlink" Target="https://doi.org/10.2989/16085914.2012.759095" TargetMode="External"/><Relationship Id="rId1174" Type="http://schemas.openxmlformats.org/officeDocument/2006/relationships/hyperlink" Target="https://doi.org/10.1126/science.287.5452.443" TargetMode="External"/><Relationship Id="rId1381" Type="http://schemas.openxmlformats.org/officeDocument/2006/relationships/hyperlink" Target="http://www.greenbeltmovement.org/node/743" TargetMode="External"/><Relationship Id="rId1479" Type="http://schemas.openxmlformats.org/officeDocument/2006/relationships/hyperlink" Target="https://www.ncbi.nlm.nih.gov/pubmed/10472679" TargetMode="External"/><Relationship Id="rId1686" Type="http://schemas.openxmlformats.org/officeDocument/2006/relationships/hyperlink" Target="https://doi.org/10.1007/s10584-013-0905-2" TargetMode="External"/><Relationship Id="rId404" Type="http://schemas.openxmlformats.org/officeDocument/2006/relationships/image" Target="media/image47.JPG"/><Relationship Id="rId611" Type="http://schemas.openxmlformats.org/officeDocument/2006/relationships/hyperlink" Target="https://doi.org/10.5194/soild-2-537-2015" TargetMode="External"/><Relationship Id="rId1034" Type="http://schemas.openxmlformats.org/officeDocument/2006/relationships/image" Target="media/image73.JPG"/><Relationship Id="rId1241" Type="http://schemas.openxmlformats.org/officeDocument/2006/relationships/hyperlink" Target="https://doi.org/10.1038/nclimate3039" TargetMode="External"/><Relationship Id="rId1339" Type="http://schemas.openxmlformats.org/officeDocument/2006/relationships/hyperlink" Target="http://coastalforests.tfcg.org/pubs/National-Synthesis-Ken.pdf" TargetMode="External"/><Relationship Id="rId1893" Type="http://schemas.openxmlformats.org/officeDocument/2006/relationships/hyperlink" Target="https://doi.org/10.1111/j.1523-1739.2008.00970.x" TargetMode="External"/><Relationship Id="rId709" Type="http://schemas.openxmlformats.org/officeDocument/2006/relationships/hyperlink" Target="http://www.iucnredlist.org/details/219/0" TargetMode="External"/><Relationship Id="rId916" Type="http://schemas.openxmlformats.org/officeDocument/2006/relationships/hyperlink" Target="https://doi.org/10.2982/0012-8317(1998)87%5b29:FAFALI%5d2.0.CO;2" TargetMode="External"/><Relationship Id="rId1101" Type="http://schemas.openxmlformats.org/officeDocument/2006/relationships/hyperlink" Target="https://doi.org/10.1007/978-3-642-16014-1" TargetMode="External"/><Relationship Id="rId1546" Type="http://schemas.openxmlformats.org/officeDocument/2006/relationships/hyperlink" Target="https://www.nature.com/polopoly_fs/1.21527!/menu/main/topColumns/topLeftColumn/pdf/nature.2017.21527.pdf?origin=ppub" TargetMode="External"/><Relationship Id="rId1753" Type="http://schemas.openxmlformats.org/officeDocument/2006/relationships/hyperlink" Target="file:///D:\My%20Documents\IPBES%20TSU%20Africa\Assessments\Africa%20Assessment\Finalising\www.spgrc.org.zm\" TargetMode="External"/><Relationship Id="rId1960" Type="http://schemas.openxmlformats.org/officeDocument/2006/relationships/hyperlink" Target="https://doi.org/10.1016/j.ecoser.2013.01.002" TargetMode="External"/><Relationship Id="rId45" Type="http://schemas.openxmlformats.org/officeDocument/2006/relationships/image" Target="media/image25.JPG"/><Relationship Id="rId1406" Type="http://schemas.openxmlformats.org/officeDocument/2006/relationships/hyperlink" Target="http://pubs.iied.org/pdfs/9544IIED.pdf" TargetMode="External"/><Relationship Id="rId1613" Type="http://schemas.openxmlformats.org/officeDocument/2006/relationships/hyperlink" Target="https://doi.org/10.1016/j.gloenvcha.2008.02.001" TargetMode="External"/><Relationship Id="rId1820" Type="http://schemas.openxmlformats.org/officeDocument/2006/relationships/hyperlink" Target="https://doi.org/10.1016/j.gecco.2014.11.010" TargetMode="External"/><Relationship Id="rId194" Type="http://schemas.openxmlformats.org/officeDocument/2006/relationships/hyperlink" Target="https://doi.org/10.2166/wp.2008.048" TargetMode="External"/><Relationship Id="rId1918" Type="http://schemas.openxmlformats.org/officeDocument/2006/relationships/hyperlink" Target="http://vuir.vu.edu.au/id/eprint/4819" TargetMode="External"/><Relationship Id="rId261" Type="http://schemas.openxmlformats.org/officeDocument/2006/relationships/hyperlink" Target="https://doi.org/10.1080/07900627.2016.1188266" TargetMode="External"/><Relationship Id="rId499" Type="http://schemas.openxmlformats.org/officeDocument/2006/relationships/hyperlink" Target="https://doi.org/10.1126/science.1111772" TargetMode="External"/><Relationship Id="rId359" Type="http://schemas.openxmlformats.org/officeDocument/2006/relationships/hyperlink" Target="https://doi.org/10.2989/16085914.2002.9626585" TargetMode="External"/><Relationship Id="rId566" Type="http://schemas.openxmlformats.org/officeDocument/2006/relationships/hyperlink" Target="https://doi.org/10.1016/j.jep.2015.04.034" TargetMode="External"/><Relationship Id="rId773" Type="http://schemas.openxmlformats.org/officeDocument/2006/relationships/hyperlink" Target="http://hal.ird.fr/ird-01546905v2/document" TargetMode="External"/><Relationship Id="rId1196" Type="http://schemas.openxmlformats.org/officeDocument/2006/relationships/hyperlink" Target="https://doi.org/10.1111/gcb.12092" TargetMode="External"/><Relationship Id="rId121" Type="http://schemas.openxmlformats.org/officeDocument/2006/relationships/hyperlink" Target="http://cdkn.org/resource/highlights-africa-ar5/" TargetMode="External"/><Relationship Id="rId219" Type="http://schemas.openxmlformats.org/officeDocument/2006/relationships/hyperlink" Target="http://www.tropenbos.org/news/climate-smart+landscapes+and+the+landscape+approach+%E2%80%93+an+exploration+of+the+concepts+and+their+practical+implications" TargetMode="External"/><Relationship Id="rId426" Type="http://schemas.openxmlformats.org/officeDocument/2006/relationships/hyperlink" Target="https://www.observatoire-comifac.net/docs/edf2013/EN/EDF2013_EN_chap2.pdf" TargetMode="External"/><Relationship Id="rId633" Type="http://schemas.openxmlformats.org/officeDocument/2006/relationships/hyperlink" Target="https://www2.le.ac.uk/departments/geography/people/cu5/docs/upton-et-al-eaglo-final-report-2013" TargetMode="External"/><Relationship Id="rId980" Type="http://schemas.openxmlformats.org/officeDocument/2006/relationships/hyperlink" Target="https://doi.org/10.1007/s11273-015-9474-7" TargetMode="External"/><Relationship Id="rId1056" Type="http://schemas.openxmlformats.org/officeDocument/2006/relationships/image" Target="media/image92.png"/><Relationship Id="rId1263" Type="http://schemas.openxmlformats.org/officeDocument/2006/relationships/hyperlink" Target="https://doi.org/10.1002/jgrg.20091" TargetMode="External"/><Relationship Id="rId840" Type="http://schemas.openxmlformats.org/officeDocument/2006/relationships/hyperlink" Target="https://portals.iucn.org/library/sites/library/files/documents/WTL-029.pdf" TargetMode="External"/><Relationship Id="rId938" Type="http://schemas.openxmlformats.org/officeDocument/2006/relationships/hyperlink" Target="http://www.fao.org/tempref/docrep/fao/008/y8344e/y8344e02.pdf" TargetMode="External"/><Relationship Id="rId1470" Type="http://schemas.openxmlformats.org/officeDocument/2006/relationships/hyperlink" Target="https://doi.org/10.1046/j.1365-2028.1998.115-89115.x" TargetMode="External"/><Relationship Id="rId1568" Type="http://schemas.openxmlformats.org/officeDocument/2006/relationships/hyperlink" Target="https://www.popline.org/node/643807" TargetMode="External"/><Relationship Id="rId1775" Type="http://schemas.openxmlformats.org/officeDocument/2006/relationships/hyperlink" Target="https://doi.org/10.3366/E0954889009000280" TargetMode="External"/><Relationship Id="rId67" Type="http://schemas.openxmlformats.org/officeDocument/2006/relationships/hyperlink" Target="https://doi.org/10.1016/j.ecolecon.2007.06.004x" TargetMode="External"/><Relationship Id="rId700" Type="http://schemas.openxmlformats.org/officeDocument/2006/relationships/hyperlink" Target="https://doi.org/10.1017/S0030605300022717" TargetMode="External"/><Relationship Id="rId1123" Type="http://schemas.openxmlformats.org/officeDocument/2006/relationships/hyperlink" Target="https://doi.org/10.1126/science.1102425" TargetMode="External"/><Relationship Id="rId1330" Type="http://schemas.openxmlformats.org/officeDocument/2006/relationships/hyperlink" Target="http://hdl.handle.net/10568/78026" TargetMode="External"/><Relationship Id="rId1428" Type="http://schemas.openxmlformats.org/officeDocument/2006/relationships/hyperlink" Target="https://doi.org/10.1038/nature04246" TargetMode="External"/><Relationship Id="rId1635" Type="http://schemas.openxmlformats.org/officeDocument/2006/relationships/hyperlink" Target="http://www.ecologyandsociety.org/vol13/iss2/art42/" TargetMode="External"/><Relationship Id="rId1982" Type="http://schemas.openxmlformats.org/officeDocument/2006/relationships/hyperlink" Target="http://herpconbio.org/Volume_7/Issue_3/Tingle_2012.pdf" TargetMode="External"/><Relationship Id="rId1842" Type="http://schemas.openxmlformats.org/officeDocument/2006/relationships/hyperlink" Target="https://doi.org/10.1016/j.cosust.2014.11.002" TargetMode="External"/><Relationship Id="rId1702" Type="http://schemas.openxmlformats.org/officeDocument/2006/relationships/hyperlink" Target="https://pdfs.semanticscholar.org/6d40/162006c08e92d367a81629d9d85fc381e028.pdf" TargetMode="External"/><Relationship Id="rId283" Type="http://schemas.openxmlformats.org/officeDocument/2006/relationships/hyperlink" Target="https://doi.org/10.1177/0956247809103026" TargetMode="External"/><Relationship Id="rId490" Type="http://schemas.openxmlformats.org/officeDocument/2006/relationships/hyperlink" Target="http://www.fao.org/3/a-mh068e.pdf" TargetMode="External"/><Relationship Id="rId143" Type="http://schemas.openxmlformats.org/officeDocument/2006/relationships/hyperlink" Target="http://pubs.iied.org/pdfs/G03874.pdf" TargetMode="External"/><Relationship Id="rId350" Type="http://schemas.openxmlformats.org/officeDocument/2006/relationships/hyperlink" Target="http://www.unenvironment.org/resources/emissions-gap-report" TargetMode="External"/><Relationship Id="rId588" Type="http://schemas.openxmlformats.org/officeDocument/2006/relationships/hyperlink" Target="https://doi.org/10.4155/cmt.13.43" TargetMode="External"/><Relationship Id="rId795" Type="http://schemas.openxmlformats.org/officeDocument/2006/relationships/hyperlink" Target="https://www.efi.int/publications-bank/modelling-valuing-and-managing-mediterranean-forest-ecosystems-non-timber-goods" TargetMode="External"/><Relationship Id="rId2031" Type="http://schemas.openxmlformats.org/officeDocument/2006/relationships/fontTable" Target="fontTable.xml"/><Relationship Id="rId9" Type="http://schemas.openxmlformats.org/officeDocument/2006/relationships/footnotes" Target="footnotes.xml"/><Relationship Id="rId210" Type="http://schemas.openxmlformats.org/officeDocument/2006/relationships/hyperlink" Target="http://www.ipcc.ch/pdf/assessment-report/ar5/syr/AR5_SYR_FINAL_SPM.pdf" TargetMode="External"/><Relationship Id="rId448" Type="http://schemas.openxmlformats.org/officeDocument/2006/relationships/hyperlink" Target="https://doi.org/10.1016/j.actao.2011.01.014" TargetMode="External"/><Relationship Id="rId655" Type="http://schemas.openxmlformats.org/officeDocument/2006/relationships/hyperlink" Target="https://doi.org/10.1007/s00027-014-0377-0" TargetMode="External"/><Relationship Id="rId862" Type="http://schemas.openxmlformats.org/officeDocument/2006/relationships/hyperlink" Target="https://doi.org/10.2305/IUCN.UK.2015-4.RLTS.T13653A45227543.en" TargetMode="External"/><Relationship Id="rId1078" Type="http://schemas.openxmlformats.org/officeDocument/2006/relationships/hyperlink" Target="https://doi.org/10.3200/ENVT.49.5.36-45" TargetMode="External"/><Relationship Id="rId1285" Type="http://schemas.openxmlformats.org/officeDocument/2006/relationships/hyperlink" Target="https://www.ncbi.nlm.nih.gov/books/NBK3775/" TargetMode="External"/><Relationship Id="rId1492" Type="http://schemas.openxmlformats.org/officeDocument/2006/relationships/hyperlink" Target="https://www.prb.org/urbanizationanenvironmentalforcetobereckonedwith/" TargetMode="External"/><Relationship Id="rId308" Type="http://schemas.openxmlformats.org/officeDocument/2006/relationships/hyperlink" Target="https://doi.org/10.1073/pnas.1211658109" TargetMode="External"/><Relationship Id="rId515" Type="http://schemas.openxmlformats.org/officeDocument/2006/relationships/hyperlink" Target="https://doi.org/10.1007/s10745-013-9592-x" TargetMode="External"/><Relationship Id="rId722" Type="http://schemas.openxmlformats.org/officeDocument/2006/relationships/hyperlink" Target="http://www.fondation-farm.org/zoe/doc/potentialites_rapport_ang_mp.pdf" TargetMode="External"/><Relationship Id="rId1145" Type="http://schemas.openxmlformats.org/officeDocument/2006/relationships/hyperlink" Target="https://doi.org/10.1002/(SICI)1098-2345(200003)50:3%3c169::AID-AJP1%3e3.0.CO;2-P" TargetMode="External"/><Relationship Id="rId1352" Type="http://schemas.openxmlformats.org/officeDocument/2006/relationships/hyperlink" Target="https://doi.org/10.1016/j.jaridenv.2006.11.020" TargetMode="External"/><Relationship Id="rId1797" Type="http://schemas.openxmlformats.org/officeDocument/2006/relationships/hyperlink" Target="http://www.jstor.org/stable/3146319" TargetMode="External"/><Relationship Id="rId89" Type="http://schemas.openxmlformats.org/officeDocument/2006/relationships/hyperlink" Target="http://www.fao.org/3/a-at481e.pdf" TargetMode="External"/><Relationship Id="rId1005" Type="http://schemas.openxmlformats.org/officeDocument/2006/relationships/hyperlink" Target="https://whc.unesco.org/en/activities/628/" TargetMode="External"/><Relationship Id="rId1212" Type="http://schemas.openxmlformats.org/officeDocument/2006/relationships/hyperlink" Target="https://doi.org/10.5772/22969" TargetMode="External"/><Relationship Id="rId1657" Type="http://schemas.openxmlformats.org/officeDocument/2006/relationships/hyperlink" Target="http://www.ecologyandsociety.org/vol12/iss1/art8/" TargetMode="External"/><Relationship Id="rId1864" Type="http://schemas.openxmlformats.org/officeDocument/2006/relationships/hyperlink" Target="https://doi.org/10.1111/fme.12133" TargetMode="External"/><Relationship Id="rId1517" Type="http://schemas.openxmlformats.org/officeDocument/2006/relationships/hyperlink" Target="https://doi.org/10.1111/bij.12012" TargetMode="External"/><Relationship Id="rId1724" Type="http://schemas.openxmlformats.org/officeDocument/2006/relationships/hyperlink" Target="https://doi.org/10.1007/s10584-013-0974-2" TargetMode="External"/><Relationship Id="rId16" Type="http://schemas.openxmlformats.org/officeDocument/2006/relationships/image" Target="media/image6.jpeg"/><Relationship Id="rId1931" Type="http://schemas.openxmlformats.org/officeDocument/2006/relationships/hyperlink" Target="https://www.nqa.com/en-us/certification/standards/iso-14001-2004" TargetMode="External"/><Relationship Id="rId165" Type="http://schemas.openxmlformats.org/officeDocument/2006/relationships/hyperlink" Target="http://www.fao.org/docrep/017/i3135b/i3135b.pdf" TargetMode="External"/><Relationship Id="rId372" Type="http://schemas.openxmlformats.org/officeDocument/2006/relationships/hyperlink" Target="http://www.afro.who.int/sites/default/files/2017-06/decLibrevilleDeclaration.pdf" TargetMode="External"/><Relationship Id="rId677" Type="http://schemas.openxmlformats.org/officeDocument/2006/relationships/image" Target="media/image64.png"/><Relationship Id="rId232" Type="http://schemas.openxmlformats.org/officeDocument/2006/relationships/hyperlink" Target="https://doi.org/10.1006/jema.2000.0336" TargetMode="External"/><Relationship Id="rId884" Type="http://schemas.openxmlformats.org/officeDocument/2006/relationships/hyperlink" Target="https://doi.org/10.1023/A:1008819426848" TargetMode="External"/><Relationship Id="rId537" Type="http://schemas.openxmlformats.org/officeDocument/2006/relationships/hyperlink" Target="https://doi.org/10.1016/S1473-3099(05)70268-1" TargetMode="External"/><Relationship Id="rId744" Type="http://schemas.openxmlformats.org/officeDocument/2006/relationships/hyperlink" Target="https://doi.org/10.1017/S003060531500099X" TargetMode="External"/><Relationship Id="rId951" Type="http://schemas.openxmlformats.org/officeDocument/2006/relationships/hyperlink" Target="https://www.afdb.org/fileadmin/uploads/afdb/Documents/Publications/WORKING%20105%20%20PDF%20d.pdf" TargetMode="External"/><Relationship Id="rId1167" Type="http://schemas.openxmlformats.org/officeDocument/2006/relationships/hyperlink" Target="http://www.fao.org/3/a-ak241e.pdf" TargetMode="External"/><Relationship Id="rId1374" Type="http://schemas.openxmlformats.org/officeDocument/2006/relationships/hyperlink" Target="http://www.fao.org/3/a-i2970e.pdf" TargetMode="External"/><Relationship Id="rId1581" Type="http://schemas.openxmlformats.org/officeDocument/2006/relationships/image" Target="media/image113.JPG"/><Relationship Id="rId1679" Type="http://schemas.openxmlformats.org/officeDocument/2006/relationships/hyperlink" Target="http://www.ipcc.ch/ipccreports/sres/emission/index.php?idp=0" TargetMode="External"/><Relationship Id="rId80" Type="http://schemas.openxmlformats.org/officeDocument/2006/relationships/hyperlink" Target="http://pages.au.int/sites/default/files/2050%20AIM%20Strategy%20%28Eng%29_0.pdf" TargetMode="External"/><Relationship Id="rId604" Type="http://schemas.openxmlformats.org/officeDocument/2006/relationships/hyperlink" Target="http://nbn-resolving.de/urn:nbn:de:hebis:34-2014020344903" TargetMode="External"/><Relationship Id="rId811" Type="http://schemas.openxmlformats.org/officeDocument/2006/relationships/hyperlink" Target="http://www.fao.org/docrep/013/i1500e/Lebanon.pdf" TargetMode="External"/><Relationship Id="rId1027" Type="http://schemas.openxmlformats.org/officeDocument/2006/relationships/hyperlink" Target="https://doi.org/10.1016/j.resourpol.2005.08.001" TargetMode="External"/><Relationship Id="rId1234" Type="http://schemas.openxmlformats.org/officeDocument/2006/relationships/hyperlink" Target="https://doi.org/10.1016/j.biocon.2009.05.028" TargetMode="External"/><Relationship Id="rId1441" Type="http://schemas.openxmlformats.org/officeDocument/2006/relationships/hyperlink" Target="https://www2.viu.ca/landscapelevel/files/2013/10/MtMarsabit_GovernanceAssessment.pdf" TargetMode="External"/><Relationship Id="rId1886" Type="http://schemas.openxmlformats.org/officeDocument/2006/relationships/hyperlink" Target="https://www.ipbes.net/sites/default/files/downloads/pdf/SPM_Deliverable_3c.pdf" TargetMode="External"/><Relationship Id="rId909" Type="http://schemas.openxmlformats.org/officeDocument/2006/relationships/hyperlink" Target="https://cmsdata.iucn.org/downloads/iucn_esaro_water_and_wetlands_situation_analysis.pdf" TargetMode="External"/><Relationship Id="rId1301" Type="http://schemas.openxmlformats.org/officeDocument/2006/relationships/hyperlink" Target="http://www.fao.org/forestry/6848-07d9a941381eb5e556c4ead52e20bd418.pdf" TargetMode="External"/><Relationship Id="rId1539" Type="http://schemas.openxmlformats.org/officeDocument/2006/relationships/hyperlink" Target="https://doi.org/10.1186/s12917-015-0333-9" TargetMode="External"/><Relationship Id="rId1746" Type="http://schemas.openxmlformats.org/officeDocument/2006/relationships/image" Target="media/image128.JPG"/><Relationship Id="rId1953" Type="http://schemas.openxmlformats.org/officeDocument/2006/relationships/hyperlink" Target="http://pubs.iied.org/pdfs/17503IIED.pdf" TargetMode="External"/><Relationship Id="rId38" Type="http://schemas.openxmlformats.org/officeDocument/2006/relationships/hyperlink" Target="http://academic.sun.ac.za/cib/%20" TargetMode="External"/><Relationship Id="rId1606" Type="http://schemas.openxmlformats.org/officeDocument/2006/relationships/hyperlink" Target="https://doi.org/10.1890/1540-9295(2003)001%5b0322:WGSNE%5d2.0.CO;2" TargetMode="External"/><Relationship Id="rId1813" Type="http://schemas.openxmlformats.org/officeDocument/2006/relationships/hyperlink" Target="https://repository.up.ac.za/bitstream/handle/2263/30315/Complete.pdf?sequence=10" TargetMode="External"/><Relationship Id="rId187" Type="http://schemas.openxmlformats.org/officeDocument/2006/relationships/hyperlink" Target="https://doi.org/10.1016/j.cosust.2015.06.009" TargetMode="External"/><Relationship Id="rId394" Type="http://schemas.openxmlformats.org/officeDocument/2006/relationships/image" Target="media/image39.JPG"/><Relationship Id="rId254" Type="http://schemas.openxmlformats.org/officeDocument/2006/relationships/hyperlink" Target="https://doi.org/10.1016/j.ecoser.2012.06.001" TargetMode="External"/><Relationship Id="rId699" Type="http://schemas.openxmlformats.org/officeDocument/2006/relationships/hyperlink" Target="https://doi.org/10.1017/S0030605300018524" TargetMode="External"/><Relationship Id="rId1091" Type="http://schemas.openxmlformats.org/officeDocument/2006/relationships/hyperlink" Target="http://www.agenda2063.au.int.pdf" TargetMode="External"/><Relationship Id="rId114" Type="http://schemas.openxmlformats.org/officeDocument/2006/relationships/hyperlink" Target="http://pdf.wri.org/ref/elbow_98_synthesis.pdf" TargetMode="External"/><Relationship Id="rId461" Type="http://schemas.openxmlformats.org/officeDocument/2006/relationships/hyperlink" Target="https://doi.org/10.1016/j.ecolecon.2011.10.024" TargetMode="External"/><Relationship Id="rId559" Type="http://schemas.openxmlformats.org/officeDocument/2006/relationships/hyperlink" Target="https://doi.org/10.1016/j.cosust.2013.10.014" TargetMode="External"/><Relationship Id="rId766" Type="http://schemas.openxmlformats.org/officeDocument/2006/relationships/hyperlink" Target="https://doi.org/10.1080/00045608.2011.579534" TargetMode="External"/><Relationship Id="rId1189" Type="http://schemas.openxmlformats.org/officeDocument/2006/relationships/hyperlink" Target="https://doi.org/10.1023/A:1026001626076" TargetMode="External"/><Relationship Id="rId1396" Type="http://schemas.openxmlformats.org/officeDocument/2006/relationships/hyperlink" Target="https://doi.org/10.1080/09709274.2012.11906474" TargetMode="External"/><Relationship Id="rId321" Type="http://schemas.openxmlformats.org/officeDocument/2006/relationships/hyperlink" Target="http://mirror.unhabitat.org/downloads/docs/4697_27825_ED-GC21-Policy%20Statement-finalApr21.pdf" TargetMode="External"/><Relationship Id="rId419" Type="http://schemas.openxmlformats.org/officeDocument/2006/relationships/hyperlink" Target="https://doi.org/10.1126/science.1106881" TargetMode="External"/><Relationship Id="rId626" Type="http://schemas.openxmlformats.org/officeDocument/2006/relationships/hyperlink" Target="http://www.cbd.int/cop12/insession" TargetMode="External"/><Relationship Id="rId973" Type="http://schemas.openxmlformats.org/officeDocument/2006/relationships/hyperlink" Target="https://doi.org/10.1016/j.envpol.2017.01.006" TargetMode="External"/><Relationship Id="rId1049" Type="http://schemas.openxmlformats.org/officeDocument/2006/relationships/image" Target="media/image87.png"/><Relationship Id="rId1256" Type="http://schemas.openxmlformats.org/officeDocument/2006/relationships/hyperlink" Target="https://doi.org/10.2307/2404879" TargetMode="External"/><Relationship Id="rId2002" Type="http://schemas.openxmlformats.org/officeDocument/2006/relationships/hyperlink" Target="http://whc.unesco.org/archive/convention-en.pdf" TargetMode="External"/><Relationship Id="rId833" Type="http://schemas.openxmlformats.org/officeDocument/2006/relationships/hyperlink" Target="https://doi.org/10.1007/978-3-642-16707-2_11" TargetMode="External"/><Relationship Id="rId1116" Type="http://schemas.openxmlformats.org/officeDocument/2006/relationships/hyperlink" Target="https://doi.org/10.1098/rstb.2011.0182" TargetMode="External"/><Relationship Id="rId1463" Type="http://schemas.openxmlformats.org/officeDocument/2006/relationships/hyperlink" Target="https://doi.org/10.2989/00306520409485458" TargetMode="External"/><Relationship Id="rId1670" Type="http://schemas.openxmlformats.org/officeDocument/2006/relationships/hyperlink" Target="https://doi.org/10.5091/plecevo.2012.597" TargetMode="External"/><Relationship Id="rId1768" Type="http://schemas.openxmlformats.org/officeDocument/2006/relationships/image" Target="media/image138.jpeg"/><Relationship Id="rId900" Type="http://schemas.openxmlformats.org/officeDocument/2006/relationships/hyperlink" Target="https://doi.org/10.1046/j.1523-1739.1998.012003516.x" TargetMode="External"/><Relationship Id="rId1323" Type="http://schemas.openxmlformats.org/officeDocument/2006/relationships/hyperlink" Target="https://doi.org/10.1002/ldr.827" TargetMode="External"/><Relationship Id="rId1530" Type="http://schemas.openxmlformats.org/officeDocument/2006/relationships/hyperlink" Target="https://doi.org/10.4172/2332-2543.1000108" TargetMode="External"/><Relationship Id="rId1628" Type="http://schemas.openxmlformats.org/officeDocument/2006/relationships/hyperlink" Target="https://doi.org/10.1016/j.gloplacha.2008.01.008" TargetMode="External"/><Relationship Id="rId1975" Type="http://schemas.openxmlformats.org/officeDocument/2006/relationships/hyperlink" Target="https://doi.org/10.1002/ldr.2716" TargetMode="External"/><Relationship Id="rId1835" Type="http://schemas.openxmlformats.org/officeDocument/2006/relationships/hyperlink" Target="https://doi.org/10.1016/j.icesjms.2004.12.006" TargetMode="External"/><Relationship Id="rId1902" Type="http://schemas.openxmlformats.org/officeDocument/2006/relationships/hyperlink" Target="https://doi.org/10.1139/f2011-061" TargetMode="External"/><Relationship Id="rId276" Type="http://schemas.openxmlformats.org/officeDocument/2006/relationships/hyperlink" Target="https://doi.org/10.1080/17449626.2015.1119928" TargetMode="External"/><Relationship Id="rId483" Type="http://schemas.openxmlformats.org/officeDocument/2006/relationships/hyperlink" Target="https://www.cbd.int/financial/values/djibouti-economicassessment.pdf" TargetMode="External"/><Relationship Id="rId690" Type="http://schemas.openxmlformats.org/officeDocument/2006/relationships/hyperlink" Target="https://portals.iucn.org/library/node/8976" TargetMode="External"/><Relationship Id="rId136" Type="http://schemas.openxmlformats.org/officeDocument/2006/relationships/hyperlink" Target="http://www.fao.org/3/a-i3917e.pdf" TargetMode="External"/><Relationship Id="rId343" Type="http://schemas.openxmlformats.org/officeDocument/2006/relationships/hyperlink" Target="http://chimalaya.org/2010/12/17/the-role-of-ecosystems-in-developing-a-sustainable-green-economy/" TargetMode="External"/><Relationship Id="rId550" Type="http://schemas.openxmlformats.org/officeDocument/2006/relationships/hyperlink" Target="http://hdl.handle.net/10394/3879" TargetMode="External"/><Relationship Id="rId788" Type="http://schemas.openxmlformats.org/officeDocument/2006/relationships/hyperlink" Target="https://www.iucn.org/downloads/the_status_and_distribution_of_freshwater_biodiversity_in_eastern_africa.pdf" TargetMode="External"/><Relationship Id="rId995" Type="http://schemas.openxmlformats.org/officeDocument/2006/relationships/hyperlink" Target="http://hdl.handle.net/20.500.11822/9626" TargetMode="External"/><Relationship Id="rId1180" Type="http://schemas.openxmlformats.org/officeDocument/2006/relationships/hyperlink" Target="https://doi.org/10.1890/130054" TargetMode="External"/><Relationship Id="rId2024" Type="http://schemas.openxmlformats.org/officeDocument/2006/relationships/hyperlink" Target="http://www.greenafricadirectory.org/listingtype/biodiversity-conservation-organisations/" TargetMode="External"/><Relationship Id="rId203" Type="http://schemas.openxmlformats.org/officeDocument/2006/relationships/hyperlink" Target="https://doi.org/10.1016/j.gloenvcha.2013.12.001" TargetMode="External"/><Relationship Id="rId648" Type="http://schemas.openxmlformats.org/officeDocument/2006/relationships/hyperlink" Target="https://doi.org/10.1111/ele.12389" TargetMode="External"/><Relationship Id="rId855" Type="http://schemas.openxmlformats.org/officeDocument/2006/relationships/hyperlink" Target="https://www.iucn.org/sites/dev/files/content/documents/rules20of20procedure20for20red20list_2017-2020_19sep2016.pdf" TargetMode="External"/><Relationship Id="rId1040" Type="http://schemas.openxmlformats.org/officeDocument/2006/relationships/image" Target="media/image78.png"/><Relationship Id="rId1278" Type="http://schemas.openxmlformats.org/officeDocument/2006/relationships/hyperlink" Target="https://doi.org/10.4000/ethnoecologie.1960" TargetMode="External"/><Relationship Id="rId1485" Type="http://schemas.openxmlformats.org/officeDocument/2006/relationships/hyperlink" Target="https://doi.org/10.1029/95JD02051" TargetMode="External"/><Relationship Id="rId1692" Type="http://schemas.openxmlformats.org/officeDocument/2006/relationships/hyperlink" Target="https://doi.org/10.1007/s10531-013-0478-4" TargetMode="External"/><Relationship Id="rId410" Type="http://schemas.openxmlformats.org/officeDocument/2006/relationships/hyperlink" Target="https://theredddesk.org/sites/default/files/resources/pdf/18_iucn_mainstreaming_gender_into_redd.pdf" TargetMode="External"/><Relationship Id="rId508" Type="http://schemas.openxmlformats.org/officeDocument/2006/relationships/hyperlink" Target="https://ebookcentral.proquest.com/lib/csir-ebooks/home.action" TargetMode="External"/><Relationship Id="rId715" Type="http://schemas.openxmlformats.org/officeDocument/2006/relationships/hyperlink" Target="https://doi.org/10.1016/S0025-326X(00)00027-8" TargetMode="External"/><Relationship Id="rId922" Type="http://schemas.openxmlformats.org/officeDocument/2006/relationships/hyperlink" Target="http://www.marinecultures.org/static/files/cots/CORAL_REEFS_WIO.pdf" TargetMode="External"/><Relationship Id="rId1138" Type="http://schemas.openxmlformats.org/officeDocument/2006/relationships/hyperlink" Target="http://www.biogeosciences.net/6/463/2009/" TargetMode="External"/><Relationship Id="rId1345" Type="http://schemas.openxmlformats.org/officeDocument/2006/relationships/hyperlink" Target="https://doi.org/10.1111/j.1523-1739.1987.tb00019.x" TargetMode="External"/><Relationship Id="rId1552" Type="http://schemas.openxmlformats.org/officeDocument/2006/relationships/hyperlink" Target="https://doi.org/10.1073/pnas.1403984111" TargetMode="External"/><Relationship Id="rId1997" Type="http://schemas.openxmlformats.org/officeDocument/2006/relationships/hyperlink" Target="http://wedocs.unep.org/bitstream/handle/20.500.11822/7595/GEO_Africa_201611.pdf" TargetMode="External"/><Relationship Id="rId1205" Type="http://schemas.openxmlformats.org/officeDocument/2006/relationships/hyperlink" Target="http://www.fao.org/3/a-i4808e.pdf" TargetMode="External"/><Relationship Id="rId1857" Type="http://schemas.openxmlformats.org/officeDocument/2006/relationships/hyperlink" Target="ftp://ftp.fao.org/docrep/fao/009/ad468e/ad468e.zip" TargetMode="External"/><Relationship Id="rId51" Type="http://schemas.openxmlformats.org/officeDocument/2006/relationships/image" Target="media/image30.JPG"/><Relationship Id="rId1412" Type="http://schemas.openxmlformats.org/officeDocument/2006/relationships/hyperlink" Target="https://doi.org/10.5897/IJBC2015.0938" TargetMode="External"/><Relationship Id="rId1717" Type="http://schemas.openxmlformats.org/officeDocument/2006/relationships/hyperlink" Target="https://na.unep.net/atlas/datlas/sites/default/files/GEO-4_Report_Full_en.pdf" TargetMode="External"/><Relationship Id="rId1924" Type="http://schemas.openxmlformats.org/officeDocument/2006/relationships/hyperlink" Target="http://www.ipcc.ch/ipccreports/sres/emission/index.php?idp=0" TargetMode="External"/><Relationship Id="rId298" Type="http://schemas.openxmlformats.org/officeDocument/2006/relationships/hyperlink" Target="https://www.ileia.org/wp-content/uploads/2017/01/30_3_Landscapes.pdf" TargetMode="External"/><Relationship Id="rId158" Type="http://schemas.openxmlformats.org/officeDocument/2006/relationships/hyperlink" Target="https://doi.org/10.17161/bi.v8i2.4126" TargetMode="External"/><Relationship Id="rId365" Type="http://schemas.openxmlformats.org/officeDocument/2006/relationships/hyperlink" Target="https://www.iucn.org/sites/dev/files/import/downloads/proceedingsgjerde.pdf" TargetMode="External"/><Relationship Id="rId572" Type="http://schemas.openxmlformats.org/officeDocument/2006/relationships/hyperlink" Target="https://www.ipcc.ch/pdf/assessment-report/ar5/wg2/WGIIAR5-Chap22_FINAL.pdf" TargetMode="External"/><Relationship Id="rId225" Type="http://schemas.openxmlformats.org/officeDocument/2006/relationships/hyperlink" Target="http://link.springer.com/chapter/10.1007/978-3-642-20992-5_15" TargetMode="External"/><Relationship Id="rId432" Type="http://schemas.openxmlformats.org/officeDocument/2006/relationships/hyperlink" Target="https://doi.org/10.1371/journal.pone.0118351" TargetMode="External"/><Relationship Id="rId877" Type="http://schemas.openxmlformats.org/officeDocument/2006/relationships/hyperlink" Target="https://doi.org/10.1016/0006-3207(92)90708-U" TargetMode="External"/><Relationship Id="rId1062" Type="http://schemas.openxmlformats.org/officeDocument/2006/relationships/image" Target="media/image96.png"/><Relationship Id="rId737" Type="http://schemas.openxmlformats.org/officeDocument/2006/relationships/hyperlink" Target="https://doi.org/10.1046/j.1523-1739.2002.00530.x" TargetMode="External"/><Relationship Id="rId944" Type="http://schemas.openxmlformats.org/officeDocument/2006/relationships/hyperlink" Target="http://marine.iwlearn.net/resolveuid/f4afb1bf-7137-42f6-b982-39a327df84cc" TargetMode="External"/><Relationship Id="rId1367" Type="http://schemas.openxmlformats.org/officeDocument/2006/relationships/hyperlink" Target="http://www.bothends.org/uploaded_files/uploadlibraryitem/1case_study_South_Africa_updated.pdf" TargetMode="External"/><Relationship Id="rId1574" Type="http://schemas.openxmlformats.org/officeDocument/2006/relationships/image" Target="media/image106.JPG"/><Relationship Id="rId1781" Type="http://schemas.openxmlformats.org/officeDocument/2006/relationships/hyperlink" Target="https://doi.org/10.1016/j.ecolecon.2016.03.018" TargetMode="External"/><Relationship Id="rId73" Type="http://schemas.openxmlformats.org/officeDocument/2006/relationships/hyperlink" Target="https://link.springer.com/content/pdf/10.1007%2F978-94-007-7088-1_23.pdf" TargetMode="External"/><Relationship Id="rId804" Type="http://schemas.openxmlformats.org/officeDocument/2006/relationships/hyperlink" Target="http://www.fao.org/3/a-ac349e.pdf" TargetMode="External"/><Relationship Id="rId1227" Type="http://schemas.openxmlformats.org/officeDocument/2006/relationships/hyperlink" Target="https://doi.org/10.1098/rstb.2010.0158" TargetMode="External"/><Relationship Id="rId1434" Type="http://schemas.openxmlformats.org/officeDocument/2006/relationships/hyperlink" Target="https://doi.org/10.12895/jaeid.20131.123" TargetMode="External"/><Relationship Id="rId1641" Type="http://schemas.openxmlformats.org/officeDocument/2006/relationships/hyperlink" Target="http://citeseerx.ist.psu.edu/viewdoc/download?doi=10.1.1.401.3361&amp;rep=rep1&amp;type=pdf" TargetMode="External"/><Relationship Id="rId1879" Type="http://schemas.openxmlformats.org/officeDocument/2006/relationships/hyperlink" Target="https://www.oaklandinstitute.org/sites/oaklandinstitute.org/files/OI_Ethiopa_Land_Investment_report.pdf" TargetMode="External"/><Relationship Id="rId1501" Type="http://schemas.openxmlformats.org/officeDocument/2006/relationships/hyperlink" Target="https://unep.ch/etu/publications/CSII_Senegal.pdf" TargetMode="External"/><Relationship Id="rId1739" Type="http://schemas.openxmlformats.org/officeDocument/2006/relationships/hyperlink" Target="http://www.panda.org/lpr/africa2012" TargetMode="External"/><Relationship Id="rId1946" Type="http://schemas.openxmlformats.org/officeDocument/2006/relationships/hyperlink" Target="http://www.consecol.org/vol7/iss3/art1/" TargetMode="External"/><Relationship Id="rId1806" Type="http://schemas.openxmlformats.org/officeDocument/2006/relationships/hyperlink" Target="http://www.cambridge.org/9781107082656" TargetMode="External"/><Relationship Id="rId387" Type="http://schemas.openxmlformats.org/officeDocument/2006/relationships/hyperlink" Target="https://doi.org/10.5367/oa.2011.0031" TargetMode="External"/><Relationship Id="rId594" Type="http://schemas.openxmlformats.org/officeDocument/2006/relationships/hyperlink" Target="https://www.usaid.gov/sites/default/files/documents/1860/Power_Africa_AR2016-optimized.pdf" TargetMode="External"/><Relationship Id="rId247" Type="http://schemas.openxmlformats.org/officeDocument/2006/relationships/hyperlink" Target="https://doi.org/10.1038/ncomms9221" TargetMode="External"/><Relationship Id="rId899" Type="http://schemas.openxmlformats.org/officeDocument/2006/relationships/hyperlink" Target="http://www.fao.org/docrep/x1880e/x1880e03.htm" TargetMode="External"/><Relationship Id="rId1084" Type="http://schemas.openxmlformats.org/officeDocument/2006/relationships/hyperlink" Target="https://doi.org/10.1016/j.tree.2004.07.021" TargetMode="External"/><Relationship Id="rId107" Type="http://schemas.openxmlformats.org/officeDocument/2006/relationships/hyperlink" Target="https://doi.org/10.1016/j.techfore.2016.06.009" TargetMode="External"/><Relationship Id="rId454" Type="http://schemas.openxmlformats.org/officeDocument/2006/relationships/hyperlink" Target="https://opendocs.ids.ac.uk/opendocs/bitstream/handle/123456789/775/Dp296.pdf?sequence=1" TargetMode="External"/><Relationship Id="rId661" Type="http://schemas.openxmlformats.org/officeDocument/2006/relationships/hyperlink" Target="https://cites.org/eng/disc/ac_pc.php" TargetMode="External"/><Relationship Id="rId759" Type="http://schemas.openxmlformats.org/officeDocument/2006/relationships/hyperlink" Target="https://doi.org/10.1007/s10531-011-0103-3" TargetMode="External"/><Relationship Id="rId966" Type="http://schemas.openxmlformats.org/officeDocument/2006/relationships/hyperlink" Target="https://portals.iucn.org/library/sites/library/files/documents/1997-040-2.pdf" TargetMode="External"/><Relationship Id="rId1291" Type="http://schemas.openxmlformats.org/officeDocument/2006/relationships/hyperlink" Target="https://doi.org/10.1111/aje.12160" TargetMode="External"/><Relationship Id="rId1389" Type="http://schemas.openxmlformats.org/officeDocument/2006/relationships/hyperlink" Target="https://doi.org/10.1002/wea.180" TargetMode="External"/><Relationship Id="rId1596" Type="http://schemas.openxmlformats.org/officeDocument/2006/relationships/hyperlink" Target="https://doi.org/10.1111/avsc.12133" TargetMode="External"/><Relationship Id="rId314" Type="http://schemas.openxmlformats.org/officeDocument/2006/relationships/hyperlink" Target="http://mri.scnatweb.ch/en/afromontcontent/afromont-source-documents/2508-africa-mountains-hotspots/file" TargetMode="External"/><Relationship Id="rId521" Type="http://schemas.openxmlformats.org/officeDocument/2006/relationships/hyperlink" Target="http://commissionoceanindien.org/fileadmin/projets/smartfish/TP/TP30EN.pdf" TargetMode="External"/><Relationship Id="rId619" Type="http://schemas.openxmlformats.org/officeDocument/2006/relationships/hyperlink" Target="https://doi.org/10.1023/B:AGFO.0000029000.22293.d1" TargetMode="External"/><Relationship Id="rId1151" Type="http://schemas.openxmlformats.org/officeDocument/2006/relationships/hyperlink" Target="http://adsabs.harvard.edu/abs/2015EGUGA..1715871C" TargetMode="External"/><Relationship Id="rId1249" Type="http://schemas.openxmlformats.org/officeDocument/2006/relationships/hyperlink" Target="https://doi.org/10.1016/j.rser.2013.08.041" TargetMode="External"/><Relationship Id="rId95" Type="http://schemas.openxmlformats.org/officeDocument/2006/relationships/hyperlink" Target="https://doi.org/10.1016/j.envdev.2015.08.004" TargetMode="External"/><Relationship Id="rId826" Type="http://schemas.openxmlformats.org/officeDocument/2006/relationships/hyperlink" Target="https://doi.org/10.2982/028.105.0104" TargetMode="External"/><Relationship Id="rId1011" Type="http://schemas.openxmlformats.org/officeDocument/2006/relationships/hyperlink" Target="https://doi.org/10.1038/nature01566" TargetMode="External"/><Relationship Id="rId1109" Type="http://schemas.openxmlformats.org/officeDocument/2006/relationships/hyperlink" Target="https://doi.org/10.1126/science.1229998" TargetMode="External"/><Relationship Id="rId1456" Type="http://schemas.openxmlformats.org/officeDocument/2006/relationships/hyperlink" Target="https://doi.org/10.2134/jeq2001.303814x" TargetMode="External"/><Relationship Id="rId1663" Type="http://schemas.openxmlformats.org/officeDocument/2006/relationships/hyperlink" Target="https://doi.org/10.1007/s10113-013-0430-x" TargetMode="External"/><Relationship Id="rId1870" Type="http://schemas.openxmlformats.org/officeDocument/2006/relationships/hyperlink" Target="http://www.jstor.org/stable/424942" TargetMode="External"/><Relationship Id="rId1968" Type="http://schemas.openxmlformats.org/officeDocument/2006/relationships/hyperlink" Target="https://www.odi.org/sites/odi.org.uk/files/odi-assets/publications-opinion-files/2811.pdf" TargetMode="External"/><Relationship Id="rId1316" Type="http://schemas.openxmlformats.org/officeDocument/2006/relationships/hyperlink" Target="https://www.sadc.int/files/9113/6724/7724/SADC_Policy_Paper_Climate_Change_EN_1.pdf" TargetMode="External"/><Relationship Id="rId1523" Type="http://schemas.openxmlformats.org/officeDocument/2006/relationships/hyperlink" Target="https://doi.org/10.1002/2014GL062473" TargetMode="External"/><Relationship Id="rId1730" Type="http://schemas.openxmlformats.org/officeDocument/2006/relationships/hyperlink" Target="https://doi.org/10.1098/rstb.2011.0105" TargetMode="External"/><Relationship Id="rId22" Type="http://schemas.openxmlformats.org/officeDocument/2006/relationships/image" Target="media/image7.JPG"/><Relationship Id="rId1828" Type="http://schemas.openxmlformats.org/officeDocument/2006/relationships/hyperlink" Target="https://doi.org/10.1007/s10745-006-9013-5" TargetMode="External"/><Relationship Id="rId171" Type="http://schemas.openxmlformats.org/officeDocument/2006/relationships/hyperlink" Target="https://doi.org/10.1016/j.gloenvcha.2013.04.002" TargetMode="External"/><Relationship Id="rId269" Type="http://schemas.openxmlformats.org/officeDocument/2006/relationships/hyperlink" Target="http://www.landcoalition.org/sites/default/files/documents/resources/land_matrix_2016_analytical_report_ii.pdf" TargetMode="External"/><Relationship Id="rId476" Type="http://schemas.openxmlformats.org/officeDocument/2006/relationships/hyperlink" Target="https://doi.org/10.1016/j.foreco.2016.08.003" TargetMode="External"/><Relationship Id="rId683" Type="http://schemas.openxmlformats.org/officeDocument/2006/relationships/image" Target="media/image69.png"/><Relationship Id="rId890" Type="http://schemas.openxmlformats.org/officeDocument/2006/relationships/hyperlink" Target="https://www.saambr.org.za/wp-content/uploads/2017/11/Southern_African_Marine_Linefish_Species_Profiles.pdf" TargetMode="External"/><Relationship Id="rId129" Type="http://schemas.openxmlformats.org/officeDocument/2006/relationships/hyperlink" Target="https://openknowledge.worldbank.org/bitstream/handle/10986/20241/679950NEWS0no400Box367900B00PUBLIC0.pdf" TargetMode="External"/><Relationship Id="rId336" Type="http://schemas.openxmlformats.org/officeDocument/2006/relationships/hyperlink" Target="http://hdr.undp.org/sites/default/files/2015_human_development_report_0.pdf" TargetMode="External"/><Relationship Id="rId543" Type="http://schemas.openxmlformats.org/officeDocument/2006/relationships/hyperlink" Target="https://doi.org/10.1186/1471-2431-14-243" TargetMode="External"/><Relationship Id="rId988" Type="http://schemas.openxmlformats.org/officeDocument/2006/relationships/hyperlink" Target="https://doi.org/10.1007/s10531-004-6684-3" TargetMode="External"/><Relationship Id="rId1173" Type="http://schemas.openxmlformats.org/officeDocument/2006/relationships/hyperlink" Target="https://doi.org/10.1007/b137853" TargetMode="External"/><Relationship Id="rId1380" Type="http://schemas.openxmlformats.org/officeDocument/2006/relationships/hyperlink" Target="https://islandpress.org/book/ecosystems-and-human-well-being-scenarios" TargetMode="External"/><Relationship Id="rId2017" Type="http://schemas.openxmlformats.org/officeDocument/2006/relationships/hyperlink" Target="http://biodiversityeconomics.org/document.rm?id=710" TargetMode="External"/><Relationship Id="rId403" Type="http://schemas.openxmlformats.org/officeDocument/2006/relationships/image" Target="media/image46.png"/><Relationship Id="rId750" Type="http://schemas.openxmlformats.org/officeDocument/2006/relationships/hyperlink" Target="http://parcc.protectedplanet.net/assets/IUCN_species_vulnerability-181b4593dd469dcba033b1f06aaa3cd7c7678424c3a2b056578c9582bd5bf7fb.pdf" TargetMode="External"/><Relationship Id="rId848" Type="http://schemas.openxmlformats.org/officeDocument/2006/relationships/hyperlink" Target="https://portals.iucn.org/library/sites/library/files/documents/RL-2000-001.pdf" TargetMode="External"/><Relationship Id="rId1033" Type="http://schemas.openxmlformats.org/officeDocument/2006/relationships/image" Target="media/image72.png"/><Relationship Id="rId1478" Type="http://schemas.openxmlformats.org/officeDocument/2006/relationships/hyperlink" Target="https://doi.org/10.1046/j.1365-3180.2000.00208.x" TargetMode="External"/><Relationship Id="rId1685" Type="http://schemas.openxmlformats.org/officeDocument/2006/relationships/hyperlink" Target="https://doi.org/10.1016/j.gloenvcha.2015.01.004" TargetMode="External"/><Relationship Id="rId1892" Type="http://schemas.openxmlformats.org/officeDocument/2006/relationships/hyperlink" Target="https://doi.org/10.1016/S0169-5347(98)01384-6" TargetMode="External"/><Relationship Id="rId610" Type="http://schemas.openxmlformats.org/officeDocument/2006/relationships/hyperlink" Target="https://doi.org/10.1017/S0021859610000341" TargetMode="External"/><Relationship Id="rId708" Type="http://schemas.openxmlformats.org/officeDocument/2006/relationships/hyperlink" Target="http://news.bbc.co.uk/2/hi/science/nature/7905986.stm" TargetMode="External"/><Relationship Id="rId915" Type="http://schemas.openxmlformats.org/officeDocument/2006/relationships/hyperlink" Target="https://doi.org/10.1017/S0030605300022602" TargetMode="External"/><Relationship Id="rId1240" Type="http://schemas.openxmlformats.org/officeDocument/2006/relationships/hyperlink" Target="https://doi.org/10.1111/j.1523-1739.2009.01166.x" TargetMode="External"/><Relationship Id="rId1338" Type="http://schemas.openxmlformats.org/officeDocument/2006/relationships/hyperlink" Target="https://doi.org/10.1007/978-1-4615-1531-9_2" TargetMode="External"/><Relationship Id="rId1545" Type="http://schemas.openxmlformats.org/officeDocument/2006/relationships/hyperlink" Target="http://www.undp.org/energyandenvironment" TargetMode="External"/><Relationship Id="rId1100" Type="http://schemas.openxmlformats.org/officeDocument/2006/relationships/hyperlink" Target="https://doi.org/10.1371/journal.pntd.0003056" TargetMode="External"/><Relationship Id="rId1405" Type="http://schemas.openxmlformats.org/officeDocument/2006/relationships/hyperlink" Target="https://doi.org/10.1016/j.chemosphere.2014.07.062" TargetMode="External"/><Relationship Id="rId1752" Type="http://schemas.openxmlformats.org/officeDocument/2006/relationships/hyperlink" Target="http://www.greatgreenwallinitiative.org" TargetMode="External"/><Relationship Id="rId44" Type="http://schemas.openxmlformats.org/officeDocument/2006/relationships/hyperlink" Target="https://esa.un.org/unpd/wpp/Download/Standard/Population/" TargetMode="External"/><Relationship Id="rId1612" Type="http://schemas.openxmlformats.org/officeDocument/2006/relationships/hyperlink" Target="https://doi.org/10.1017/CBO9781316014240" TargetMode="External"/><Relationship Id="rId1917" Type="http://schemas.openxmlformats.org/officeDocument/2006/relationships/hyperlink" Target="https://doi.org/10.1038/nature08823" TargetMode="External"/><Relationship Id="rId193" Type="http://schemas.openxmlformats.org/officeDocument/2006/relationships/hyperlink" Target="http://www.yesmagazine.org/issues/life-after-oil/100-renewable-energy-what-we-can-do-in-10-years-20160222" TargetMode="External"/><Relationship Id="rId498" Type="http://schemas.openxmlformats.org/officeDocument/2006/relationships/hyperlink" Target="https://doi.org/10.1016/j.agee.2011.11.014" TargetMode="External"/><Relationship Id="rId260" Type="http://schemas.openxmlformats.org/officeDocument/2006/relationships/hyperlink" Target="http://www.fao.org/fileadmin/templates/solaw/files/thematic_reports/SOLAW_thematic_report_3_land_degradation.pdf" TargetMode="External"/><Relationship Id="rId120" Type="http://schemas.openxmlformats.org/officeDocument/2006/relationships/hyperlink" Target="https://www.cbd.int/gbo/gbo4/publication/gbo4-en.pdf" TargetMode="External"/><Relationship Id="rId358" Type="http://schemas.openxmlformats.org/officeDocument/2006/relationships/hyperlink" Target="https://doi.org/10.1590/sajs.2014/a0074" TargetMode="External"/><Relationship Id="rId565" Type="http://schemas.openxmlformats.org/officeDocument/2006/relationships/hyperlink" Target="https://doi.org/10.4000/com.3762" TargetMode="External"/><Relationship Id="rId772" Type="http://schemas.openxmlformats.org/officeDocument/2006/relationships/hyperlink" Target="https://doi.org/10.2989/16085914.2016.1146122" TargetMode="External"/><Relationship Id="rId1195" Type="http://schemas.openxmlformats.org/officeDocument/2006/relationships/hyperlink" Target="https://doi.org/10.1088/1748-9326/10/8/085004" TargetMode="External"/><Relationship Id="rId218" Type="http://schemas.openxmlformats.org/officeDocument/2006/relationships/hyperlink" Target="https://doi.org/10.1002/jid.1598" TargetMode="External"/><Relationship Id="rId425" Type="http://schemas.openxmlformats.org/officeDocument/2006/relationships/hyperlink" Target="https://doi.org/10.1016/j.biombioe.2016.06.010" TargetMode="External"/><Relationship Id="rId632" Type="http://schemas.openxmlformats.org/officeDocument/2006/relationships/hyperlink" Target="https://doi.org/10.2980/19-3-3530" TargetMode="External"/><Relationship Id="rId1055" Type="http://schemas.openxmlformats.org/officeDocument/2006/relationships/image" Target="media/image91.JPG"/><Relationship Id="rId1262" Type="http://schemas.openxmlformats.org/officeDocument/2006/relationships/hyperlink" Target="https://doi.org/10.1002/ird.114" TargetMode="External"/><Relationship Id="rId937" Type="http://schemas.openxmlformats.org/officeDocument/2006/relationships/hyperlink" Target="https://portals.iucn.org/library/sites/library/files/documents/2011-014.pdf" TargetMode="External"/><Relationship Id="rId1122" Type="http://schemas.openxmlformats.org/officeDocument/2006/relationships/hyperlink" Target="https://www.cabi.org/Uploads/CABI/publishing/promotional-materials/african-invasives-book.pdf" TargetMode="External"/><Relationship Id="rId1567" Type="http://schemas.openxmlformats.org/officeDocument/2006/relationships/hyperlink" Target="https://doi.org/10.1264/jsme2.ME14144" TargetMode="External"/><Relationship Id="rId1774" Type="http://schemas.openxmlformats.org/officeDocument/2006/relationships/hyperlink" Target="https://doi.org/10.1002/ldr.1058" TargetMode="External"/><Relationship Id="rId1981" Type="http://schemas.openxmlformats.org/officeDocument/2006/relationships/hyperlink" Target="https://doi.org/10.1093/oxrep/19.3.400" TargetMode="External"/><Relationship Id="rId66" Type="http://schemas.openxmlformats.org/officeDocument/2006/relationships/hyperlink" Target="https://doi.org/10.1111/j.1467-7660.1995.tb00560.x" TargetMode="External"/><Relationship Id="rId1427" Type="http://schemas.openxmlformats.org/officeDocument/2006/relationships/hyperlink" Target="https://doi.org/10.1111/btp.12103" TargetMode="External"/><Relationship Id="rId1634" Type="http://schemas.openxmlformats.org/officeDocument/2006/relationships/hyperlink" Target="https://doi.org/10.1016/j.jaridenv.2015.12.007" TargetMode="External"/><Relationship Id="rId1841" Type="http://schemas.openxmlformats.org/officeDocument/2006/relationships/hyperlink" Target="https://www.aanmelder.nl/i/doc/6f851ab78a056c2c8ceacd3dd7bebd55?forcedownload=True" TargetMode="External"/><Relationship Id="rId1939" Type="http://schemas.openxmlformats.org/officeDocument/2006/relationships/hyperlink" Target="https://doi.org/10.1146/annurev.polisci.2.1.493" TargetMode="External"/><Relationship Id="rId1701" Type="http://schemas.openxmlformats.org/officeDocument/2006/relationships/hyperlink" Target="https://doi.org/10.1073/pnas.1211658109" TargetMode="External"/><Relationship Id="rId282" Type="http://schemas.openxmlformats.org/officeDocument/2006/relationships/hyperlink" Target="https://doi.org/10.1007/s10887-014-9103-y" TargetMode="External"/><Relationship Id="rId587" Type="http://schemas.openxmlformats.org/officeDocument/2006/relationships/hyperlink" Target="https://doi.org/10.4314/afrrev.v5i5.18" TargetMode="External"/><Relationship Id="rId8" Type="http://schemas.openxmlformats.org/officeDocument/2006/relationships/webSettings" Target="webSettings.xml"/><Relationship Id="rId142" Type="http://schemas.openxmlformats.org/officeDocument/2006/relationships/hyperlink" Target="https://cgspace.cgiar.org/handle/10568/20089" TargetMode="External"/><Relationship Id="rId447" Type="http://schemas.openxmlformats.org/officeDocument/2006/relationships/hyperlink" Target="https://doi.org/10.1023/A:1011012014240" TargetMode="External"/><Relationship Id="rId794" Type="http://schemas.openxmlformats.org/officeDocument/2006/relationships/hyperlink" Target="https://doi.org/10.1007/978-3-319-06388-1" TargetMode="External"/><Relationship Id="rId1077" Type="http://schemas.openxmlformats.org/officeDocument/2006/relationships/hyperlink" Target="http://www.un.org/en/africa/osaa/pdf/au/cap_naturalcapital_2015.pdf" TargetMode="External"/><Relationship Id="rId2030" Type="http://schemas.openxmlformats.org/officeDocument/2006/relationships/footer" Target="footer3.xml"/><Relationship Id="rId654" Type="http://schemas.openxmlformats.org/officeDocument/2006/relationships/hyperlink" Target="http://www.fao.org/docrep/006/Y4360E/y4360e00.htm" TargetMode="External"/><Relationship Id="rId861" Type="http://schemas.openxmlformats.org/officeDocument/2006/relationships/hyperlink" Target="https://doi.org/10.1073/pnas.1509645112" TargetMode="External"/><Relationship Id="rId959" Type="http://schemas.openxmlformats.org/officeDocument/2006/relationships/hyperlink" Target="https://portals.iucn.org/library/efiles/documents/2013-020.pdf" TargetMode="External"/><Relationship Id="rId1284" Type="http://schemas.openxmlformats.org/officeDocument/2006/relationships/hyperlink" Target="https://doi.org/10.1038/nature09575" TargetMode="External"/><Relationship Id="rId1491" Type="http://schemas.openxmlformats.org/officeDocument/2006/relationships/hyperlink" Target="https://doi.org/10.1002/ldr.3400050109" TargetMode="External"/><Relationship Id="rId1589" Type="http://schemas.openxmlformats.org/officeDocument/2006/relationships/image" Target="media/image121.JPG"/><Relationship Id="rId307" Type="http://schemas.openxmlformats.org/officeDocument/2006/relationships/hyperlink" Target="https://doi.org/10.1007/978-94-007-2181-4_20" TargetMode="External"/><Relationship Id="rId514" Type="http://schemas.openxmlformats.org/officeDocument/2006/relationships/hyperlink" Target="https://doi.org/10.21248/fvss.19.32" TargetMode="External"/><Relationship Id="rId721" Type="http://schemas.openxmlformats.org/officeDocument/2006/relationships/hyperlink" Target="http://doi.org/10.1023/A:1011997820776" TargetMode="External"/><Relationship Id="rId1144" Type="http://schemas.openxmlformats.org/officeDocument/2006/relationships/hyperlink" Target="https://doi.org/10.4102/koedoe.v52i1.880" TargetMode="External"/><Relationship Id="rId1351" Type="http://schemas.openxmlformats.org/officeDocument/2006/relationships/hyperlink" Target="https://doi.org/10.5194/bg-6-1027-2009" TargetMode="External"/><Relationship Id="rId1449" Type="http://schemas.openxmlformats.org/officeDocument/2006/relationships/hyperlink" Target="https://doi.org/10.1126/science.287.5459.1770" TargetMode="External"/><Relationship Id="rId1796" Type="http://schemas.openxmlformats.org/officeDocument/2006/relationships/hyperlink" Target="https://doi.org/10.1016/j.jclepro.2016.03.053" TargetMode="External"/><Relationship Id="rId88" Type="http://schemas.openxmlformats.org/officeDocument/2006/relationships/hyperlink" Target="https://doi.org/10.1016/j.marpolbul.2016.01.033" TargetMode="External"/><Relationship Id="rId819" Type="http://schemas.openxmlformats.org/officeDocument/2006/relationships/hyperlink" Target="http://agris.fao.org/agris-search/search.do?recordID=XF2015038080" TargetMode="External"/><Relationship Id="rId1004" Type="http://schemas.openxmlformats.org/officeDocument/2006/relationships/hyperlink" Target="https://www.protectedplanet.net/" TargetMode="External"/><Relationship Id="rId1211" Type="http://schemas.openxmlformats.org/officeDocument/2006/relationships/hyperlink" Target="https://www.ecologyandsociety.org/vol9/iss2/art5/" TargetMode="External"/><Relationship Id="rId1656" Type="http://schemas.openxmlformats.org/officeDocument/2006/relationships/hyperlink" Target="https://doi.org/10.1098/rstb.2010.0008" TargetMode="External"/><Relationship Id="rId1863" Type="http://schemas.openxmlformats.org/officeDocument/2006/relationships/hyperlink" Target="https://doi.org/10.1016/j.icesjms.2004.12.003" TargetMode="External"/><Relationship Id="rId1309" Type="http://schemas.openxmlformats.org/officeDocument/2006/relationships/hyperlink" Target="https://doi.org/10.1016/j.cub.2015.10.046" TargetMode="External"/><Relationship Id="rId1516" Type="http://schemas.openxmlformats.org/officeDocument/2006/relationships/hyperlink" Target="https://doi.org/10.1038/nature.2016.19225" TargetMode="External"/><Relationship Id="rId1723" Type="http://schemas.openxmlformats.org/officeDocument/2006/relationships/hyperlink" Target="https://doi.org/10.1016/j.gloenvcha.2012.11.002" TargetMode="External"/><Relationship Id="rId1930" Type="http://schemas.openxmlformats.org/officeDocument/2006/relationships/hyperlink" Target="https://doi.org/10.1016/j.envsci.2016.08.005" TargetMode="External"/><Relationship Id="rId15" Type="http://schemas.openxmlformats.org/officeDocument/2006/relationships/image" Target="media/image5.jpeg"/><Relationship Id="rId164" Type="http://schemas.openxmlformats.org/officeDocument/2006/relationships/hyperlink" Target="http://www.fao.org/3/a-i3720e.pdf" TargetMode="External"/><Relationship Id="rId371" Type="http://schemas.openxmlformats.org/officeDocument/2006/relationships/hyperlink" Target="http://www.who.int/gho/malaria/epidemic/cases/en/" TargetMode="External"/><Relationship Id="rId469" Type="http://schemas.openxmlformats.org/officeDocument/2006/relationships/hyperlink" Target="http://www.fao.org/3/a-i3917e.pdf" TargetMode="External"/><Relationship Id="rId676" Type="http://schemas.openxmlformats.org/officeDocument/2006/relationships/image" Target="media/image63.png"/><Relationship Id="rId883" Type="http://schemas.openxmlformats.org/officeDocument/2006/relationships/hyperlink" Target="https://doi.org/10.1016/j.ecoser.2015.10.023" TargetMode="External"/><Relationship Id="rId1099" Type="http://schemas.openxmlformats.org/officeDocument/2006/relationships/hyperlink" Target="https://www.ipcc.ch/pdf/technical-papers/climate-change-water-en.pdf" TargetMode="External"/><Relationship Id="rId231" Type="http://schemas.openxmlformats.org/officeDocument/2006/relationships/hyperlink" Target="https://ecoagriculture.org/wp-content/uploads/2015/09/ILM-for-the-SDGs-Two-Page-Statement-Sept-21-2015-FINAL-FINAL.pdf" TargetMode="External"/><Relationship Id="rId329" Type="http://schemas.openxmlformats.org/officeDocument/2006/relationships/hyperlink" Target="http://wedocs.unep.org/bitstream/handle/20.500.11822/18246/Key_Findings_WPP_2015.pdf" TargetMode="External"/><Relationship Id="rId536" Type="http://schemas.openxmlformats.org/officeDocument/2006/relationships/hyperlink" Target="http://www.worldagroforestry.org/knofordocs/Treesilience_Book_2014.pdf" TargetMode="External"/><Relationship Id="rId1166" Type="http://schemas.openxmlformats.org/officeDocument/2006/relationships/hyperlink" Target="https://doi.org/10.1038/387253a0" TargetMode="External"/><Relationship Id="rId1373" Type="http://schemas.openxmlformats.org/officeDocument/2006/relationships/hyperlink" Target="https://doi.org/10.1111/cobi.12643" TargetMode="External"/><Relationship Id="rId743" Type="http://schemas.openxmlformats.org/officeDocument/2006/relationships/hyperlink" Target="https://doi.org/10.1017/S0030605310000554" TargetMode="External"/><Relationship Id="rId950" Type="http://schemas.openxmlformats.org/officeDocument/2006/relationships/hyperlink" Target="https://epubs.scu.edu.au/cgi/viewcontent.cgi?article=1670&amp;context=esm_pubs" TargetMode="External"/><Relationship Id="rId1026" Type="http://schemas.openxmlformats.org/officeDocument/2006/relationships/hyperlink" Target="http://awsassets.wwf.org.za/downloads/facts_brochure_mockup_04_b.pdf" TargetMode="External"/><Relationship Id="rId1580" Type="http://schemas.openxmlformats.org/officeDocument/2006/relationships/image" Target="media/image112.JPG"/><Relationship Id="rId1678" Type="http://schemas.openxmlformats.org/officeDocument/2006/relationships/hyperlink" Target="https://doi.org/10.1111/j.1469-1795.2005.00008.x" TargetMode="External"/><Relationship Id="rId1885" Type="http://schemas.openxmlformats.org/officeDocument/2006/relationships/hyperlink" Target="https://www.ipbes.net/sites/default/files/downloads/IPBES-4-12_EN.pdf" TargetMode="External"/><Relationship Id="rId603" Type="http://schemas.openxmlformats.org/officeDocument/2006/relationships/hyperlink" Target="https://doi.org/10.5897/JVMAH11.013" TargetMode="External"/><Relationship Id="rId810" Type="http://schemas.openxmlformats.org/officeDocument/2006/relationships/hyperlink" Target="http://www.fao.org/ag/AGAInfo/programmes/en/genetics/documents/Interlaken/East%20Africa.pdf" TargetMode="External"/><Relationship Id="rId908" Type="http://schemas.openxmlformats.org/officeDocument/2006/relationships/hyperlink" Target="http://agris.fao.org/agris-search/search.do?recordID=US201300406593" TargetMode="External"/><Relationship Id="rId1233" Type="http://schemas.openxmlformats.org/officeDocument/2006/relationships/hyperlink" Target="https://doi.org/10.1098/rsif.2007.0235" TargetMode="External"/><Relationship Id="rId1440" Type="http://schemas.openxmlformats.org/officeDocument/2006/relationships/hyperlink" Target="http://hdl.handle.net/11245/1.253612" TargetMode="External"/><Relationship Id="rId1538" Type="http://schemas.openxmlformats.org/officeDocument/2006/relationships/hyperlink" Target="https://doi.org/10.1098/rstb.2013.0193" TargetMode="External"/><Relationship Id="rId1300" Type="http://schemas.openxmlformats.org/officeDocument/2006/relationships/hyperlink" Target="https://doi.org/10.1007/s11258-006-9125-4" TargetMode="External"/><Relationship Id="rId1745" Type="http://schemas.openxmlformats.org/officeDocument/2006/relationships/image" Target="media/image127.JPG"/><Relationship Id="rId1952" Type="http://schemas.openxmlformats.org/officeDocument/2006/relationships/hyperlink" Target="http://hdl.handle.net/10520/EJC96214" TargetMode="External"/><Relationship Id="rId37" Type="http://schemas.openxmlformats.org/officeDocument/2006/relationships/image" Target="media/image20.JPG"/><Relationship Id="rId1605" Type="http://schemas.openxmlformats.org/officeDocument/2006/relationships/hyperlink" Target="http://parcc.protectedplanet.net/system/comfy/cms/files/files/000/000/163/original/PARCC_EN_WEB.pdf" TargetMode="External"/><Relationship Id="rId1812" Type="http://schemas.openxmlformats.org/officeDocument/2006/relationships/hyperlink" Target="http://www.matthijsblonk.nl/paginas/AfricanParksEthiopieEng.htm" TargetMode="External"/><Relationship Id="rId186" Type="http://schemas.openxmlformats.org/officeDocument/2006/relationships/hyperlink" Target="https://doi.org/10.1088/1748-9326/aa94fe" TargetMode="External"/><Relationship Id="rId393" Type="http://schemas.openxmlformats.org/officeDocument/2006/relationships/image" Target="media/image38.png"/><Relationship Id="rId253" Type="http://schemas.openxmlformats.org/officeDocument/2006/relationships/hyperlink" Target="https://doi.org/10.1016/j.jep.2015.04.034" TargetMode="External"/><Relationship Id="rId460" Type="http://schemas.openxmlformats.org/officeDocument/2006/relationships/hyperlink" Target="https://doi.org/10.1016/j.ejrh.2015.12.065" TargetMode="External"/><Relationship Id="rId698" Type="http://schemas.openxmlformats.org/officeDocument/2006/relationships/hyperlink" Target="https://doi.org/10.1017/S0030605300018524" TargetMode="External"/><Relationship Id="rId1090" Type="http://schemas.openxmlformats.org/officeDocument/2006/relationships/hyperlink" Target="http://pdf.wri.org/ecosystem_services_guide_for_decisionmakers.pdf" TargetMode="External"/><Relationship Id="rId113" Type="http://schemas.openxmlformats.org/officeDocument/2006/relationships/hyperlink" Target="https://doi.org/10.1016/j.biocon.2013.03.014" TargetMode="External"/><Relationship Id="rId320" Type="http://schemas.openxmlformats.org/officeDocument/2006/relationships/hyperlink" Target="https://www.iucn.org/downloads/pm14.pdf" TargetMode="External"/><Relationship Id="rId558" Type="http://schemas.openxmlformats.org/officeDocument/2006/relationships/hyperlink" Target="http://bit.ly/2jMeKF0" TargetMode="External"/><Relationship Id="rId765" Type="http://schemas.openxmlformats.org/officeDocument/2006/relationships/hyperlink" Target="https://searchworks.stanford.edu/view/10385438" TargetMode="External"/><Relationship Id="rId972" Type="http://schemas.openxmlformats.org/officeDocument/2006/relationships/hyperlink" Target="http://data.unepwcmc.org/datasets/5" TargetMode="External"/><Relationship Id="rId1188" Type="http://schemas.openxmlformats.org/officeDocument/2006/relationships/hyperlink" Target="https://doi.org/10.1890/110137" TargetMode="External"/><Relationship Id="rId1395" Type="http://schemas.openxmlformats.org/officeDocument/2006/relationships/hyperlink" Target="https://doi.org/10.1579/0044-7447-33.1.13" TargetMode="External"/><Relationship Id="rId2001" Type="http://schemas.openxmlformats.org/officeDocument/2006/relationships/hyperlink" Target="https://wedocs.unep.org/rest/bitstreams/32269/retrieve" TargetMode="External"/><Relationship Id="rId418" Type="http://schemas.openxmlformats.org/officeDocument/2006/relationships/hyperlink" Target="https://doi.org/10.1007/978-94-007-2181-4_10" TargetMode="External"/><Relationship Id="rId625" Type="http://schemas.openxmlformats.org/officeDocument/2006/relationships/hyperlink" Target="https://unstats.un.org/unsd/energy/edbase.htm" TargetMode="External"/><Relationship Id="rId832" Type="http://schemas.openxmlformats.org/officeDocument/2006/relationships/hyperlink" Target="https://doi.org/10.1007/BF01190135" TargetMode="External"/><Relationship Id="rId1048" Type="http://schemas.openxmlformats.org/officeDocument/2006/relationships/image" Target="media/image86.JPG"/><Relationship Id="rId1255" Type="http://schemas.openxmlformats.org/officeDocument/2006/relationships/hyperlink" Target="https://doi.org/10.1146/annurev.es.04.110173.000245" TargetMode="External"/><Relationship Id="rId1462" Type="http://schemas.openxmlformats.org/officeDocument/2006/relationships/hyperlink" Target="https://doi.org/10.1080/0376835X.2011.570065" TargetMode="External"/><Relationship Id="rId1115" Type="http://schemas.openxmlformats.org/officeDocument/2006/relationships/hyperlink" Target="https://doi.org/10.1016/S0254-6299(15)30362-8" TargetMode="External"/><Relationship Id="rId1322" Type="http://schemas.openxmlformats.org/officeDocument/2006/relationships/hyperlink" Target="http://www.fao.org/docrep/014/i1861e/i1861e00.pdf" TargetMode="External"/><Relationship Id="rId1767" Type="http://schemas.openxmlformats.org/officeDocument/2006/relationships/image" Target="media/image137.JPG"/><Relationship Id="rId1974" Type="http://schemas.openxmlformats.org/officeDocument/2006/relationships/hyperlink" Target="https://doi.org/10.1016/j.envsci.2009.04.002" TargetMode="External"/><Relationship Id="rId59" Type="http://schemas.openxmlformats.org/officeDocument/2006/relationships/hyperlink" Target="https://doi.org/10.1641/B580507" TargetMode="External"/><Relationship Id="rId1627" Type="http://schemas.openxmlformats.org/officeDocument/2006/relationships/hyperlink" Target="https://doi.org/10.1126/science.1119929" TargetMode="External"/><Relationship Id="rId1834" Type="http://schemas.openxmlformats.org/officeDocument/2006/relationships/hyperlink" Target="https://doi.org/10.1111/j.1468-2346.2009.00859.x" TargetMode="External"/><Relationship Id="rId1901" Type="http://schemas.openxmlformats.org/officeDocument/2006/relationships/hyperlink" Target="https://doi.org/10.1111/j.1523-1739.2010.01448.x" TargetMode="External"/><Relationship Id="rId275" Type="http://schemas.openxmlformats.org/officeDocument/2006/relationships/hyperlink" Target="https://doi.org/10.1038/nature19792" TargetMode="External"/><Relationship Id="rId482" Type="http://schemas.openxmlformats.org/officeDocument/2006/relationships/hyperlink" Target="http://www.academicjournals.org/journal/AJPP/article-full-text-pdf/0C4BE7036300" TargetMode="External"/><Relationship Id="rId135" Type="http://schemas.openxmlformats.org/officeDocument/2006/relationships/hyperlink" Target="https://doi.org/10.1016/j.worlddev.2013.10.013" TargetMode="External"/><Relationship Id="rId342" Type="http://schemas.openxmlformats.org/officeDocument/2006/relationships/hyperlink" Target="http://wedocs.unep.org/bitstream/handle/20.500.11822/20624/Vital_water_graphics.pdf" TargetMode="External"/><Relationship Id="rId787" Type="http://schemas.openxmlformats.org/officeDocument/2006/relationships/hyperlink" Target="https://doi.org/10.1038/nature21048" TargetMode="External"/><Relationship Id="rId994" Type="http://schemas.openxmlformats.org/officeDocument/2006/relationships/hyperlink" Target="http://www.yemenwater.org/wp-content/uploads/2013/03/Red-Sea-and-Gulf-of-Adengiwa.pdf" TargetMode="External"/><Relationship Id="rId2023" Type="http://schemas.openxmlformats.org/officeDocument/2006/relationships/hyperlink" Target="https://doi.org/10.3390/atmos4040383" TargetMode="External"/><Relationship Id="rId202" Type="http://schemas.openxmlformats.org/officeDocument/2006/relationships/hyperlink" Target="https://www.iaea.org/sites/default/files/publications/magazines/bulletin/bull44-2/44204002429.pdf" TargetMode="External"/><Relationship Id="rId647" Type="http://schemas.openxmlformats.org/officeDocument/2006/relationships/hyperlink" Target="https://doi.org/10.1016/S0921-8009(03)00089-2" TargetMode="External"/><Relationship Id="rId854" Type="http://schemas.openxmlformats.org/officeDocument/2006/relationships/hyperlink" Target="http://agris.fao.org/agris-search/search.do?recordID=US201300075716" TargetMode="External"/><Relationship Id="rId1277" Type="http://schemas.openxmlformats.org/officeDocument/2006/relationships/hyperlink" Target="http://documents.worldbank.org/curated/en/925261469672208200/pdf/263280NWP0REPL1nt0of0Aquatic0Plants.pdf" TargetMode="External"/><Relationship Id="rId1484" Type="http://schemas.openxmlformats.org/officeDocument/2006/relationships/hyperlink" Target="https://doi.org/10.1111/j.1365-2028.2006.00748.x" TargetMode="External"/><Relationship Id="rId1691" Type="http://schemas.openxmlformats.org/officeDocument/2006/relationships/hyperlink" Target="https://doi.org/10.1016/j.biocon.2016.07.014" TargetMode="External"/><Relationship Id="rId507" Type="http://schemas.openxmlformats.org/officeDocument/2006/relationships/hyperlink" Target="https://doi.org/10.1007/s12571-013-0313-5" TargetMode="External"/><Relationship Id="rId714" Type="http://schemas.openxmlformats.org/officeDocument/2006/relationships/hyperlink" Target="https://doi.org/10.1016/j.quaint.2013.10.005" TargetMode="External"/><Relationship Id="rId921" Type="http://schemas.openxmlformats.org/officeDocument/2006/relationships/hyperlink" Target="https://doi.org/10.1080/12538078.1996.10515731" TargetMode="External"/><Relationship Id="rId1137" Type="http://schemas.openxmlformats.org/officeDocument/2006/relationships/hyperlink" Target="https://doi.org/10.1016/j.scitotenv.2005.02.043" TargetMode="External"/><Relationship Id="rId1344" Type="http://schemas.openxmlformats.org/officeDocument/2006/relationships/hyperlink" Target="http://climatefrontlines.org/sites/default/files/ipbes/IPBES_in_Africa_2015.pdf" TargetMode="External"/><Relationship Id="rId1551" Type="http://schemas.openxmlformats.org/officeDocument/2006/relationships/hyperlink" Target="http://www.issg.org/pdf/publications/GISP/Resources/AfricaInvaded.pdf" TargetMode="External"/><Relationship Id="rId1789" Type="http://schemas.openxmlformats.org/officeDocument/2006/relationships/hyperlink" Target="http://archive.au.int/assets/images/agenda2063.pdf" TargetMode="External"/><Relationship Id="rId1996" Type="http://schemas.openxmlformats.org/officeDocument/2006/relationships/hyperlink" Target="https://nationalmeasynergies.files.wordpress.com/2015/06/sourcebook-web.pdf" TargetMode="External"/><Relationship Id="rId50" Type="http://schemas.openxmlformats.org/officeDocument/2006/relationships/image" Target="media/image29.JPG"/><Relationship Id="rId1204" Type="http://schemas.openxmlformats.org/officeDocument/2006/relationships/hyperlink" Target="http://www.fao.org/docrep/013/i1757e/i1757e.pdf" TargetMode="External"/><Relationship Id="rId1411" Type="http://schemas.openxmlformats.org/officeDocument/2006/relationships/hyperlink" Target="http://www.rhinoresourcecenter.com/pdf_files/136/1368291242.pdf?view" TargetMode="External"/><Relationship Id="rId1649" Type="http://schemas.openxmlformats.org/officeDocument/2006/relationships/hyperlink" Target="https://doi.org/10.1002/joc.4240" TargetMode="External"/><Relationship Id="rId1856" Type="http://schemas.openxmlformats.org/officeDocument/2006/relationships/hyperlink" Target="http://www.scielo.org.za/pdf/pelj/v13n1/03.pdf" TargetMode="External"/><Relationship Id="rId1509" Type="http://schemas.openxmlformats.org/officeDocument/2006/relationships/hyperlink" Target="https://www.uneca.org/cfm2006/pages/survey-economic-social-conditions-africa" TargetMode="External"/><Relationship Id="rId1716" Type="http://schemas.openxmlformats.org/officeDocument/2006/relationships/hyperlink" Target="http://hdl.handle.net/20.500.11822/9626" TargetMode="External"/><Relationship Id="rId1923" Type="http://schemas.openxmlformats.org/officeDocument/2006/relationships/hyperlink" Target="https://doi.org/10.1038/35002501" TargetMode="External"/><Relationship Id="rId297" Type="http://schemas.openxmlformats.org/officeDocument/2006/relationships/hyperlink" Target="https://www.cbd.int/doc/publications/cbd-ts-49-en.pdf" TargetMode="External"/><Relationship Id="rId157" Type="http://schemas.openxmlformats.org/officeDocument/2006/relationships/hyperlink" Target="https://doi.org/10.1111/cobi.12441" TargetMode="External"/><Relationship Id="rId364" Type="http://schemas.openxmlformats.org/officeDocument/2006/relationships/hyperlink" Target="https://doi.org/10.1007/s10113-014-0629-5" TargetMode="External"/><Relationship Id="rId571" Type="http://schemas.openxmlformats.org/officeDocument/2006/relationships/hyperlink" Target="https://doi.org/10.1111/cobi.12643" TargetMode="External"/><Relationship Id="rId669" Type="http://schemas.openxmlformats.org/officeDocument/2006/relationships/image" Target="media/image57.png"/><Relationship Id="rId876" Type="http://schemas.openxmlformats.org/officeDocument/2006/relationships/hyperlink" Target="https://doi.org/10.1111/j.1096-3642.2010.00652.x" TargetMode="External"/><Relationship Id="rId1299" Type="http://schemas.openxmlformats.org/officeDocument/2006/relationships/hyperlink" Target="https://doi.org/10.1007/s12237-008-9121-0" TargetMode="External"/><Relationship Id="rId224" Type="http://schemas.openxmlformats.org/officeDocument/2006/relationships/hyperlink" Target="https://doi.org/10.1016/j.marpol.2011.05.007" TargetMode="External"/><Relationship Id="rId431" Type="http://schemas.openxmlformats.org/officeDocument/2006/relationships/hyperlink" Target="https://doi.org/10.1016/j.ocecoaman.2015.04.010" TargetMode="External"/><Relationship Id="rId529" Type="http://schemas.openxmlformats.org/officeDocument/2006/relationships/hyperlink" Target="https://doi.org/10.1007/s10021-002-0195-4" TargetMode="External"/><Relationship Id="rId736" Type="http://schemas.openxmlformats.org/officeDocument/2006/relationships/hyperlink" Target="https://doi.org/10.1111/j.1365-2699.2011.02613.x" TargetMode="External"/><Relationship Id="rId1061" Type="http://schemas.openxmlformats.org/officeDocument/2006/relationships/image" Target="media/image95.JPG"/><Relationship Id="rId1159" Type="http://schemas.openxmlformats.org/officeDocument/2006/relationships/hyperlink" Target="https://doi.org/10.1126/science.284.5421.1832" TargetMode="External"/><Relationship Id="rId1366" Type="http://schemas.openxmlformats.org/officeDocument/2006/relationships/hyperlink" Target="https://doi.org/10.1073/pnas.1015078108" TargetMode="External"/><Relationship Id="rId943" Type="http://schemas.openxmlformats.org/officeDocument/2006/relationships/hyperlink" Target="https://doi.org/10.1093/biosci/biw092" TargetMode="External"/><Relationship Id="rId1019" Type="http://schemas.openxmlformats.org/officeDocument/2006/relationships/hyperlink" Target="http://www.oie.int/fr/sante-animale-dans-le-monde/oie-listed-diseases-2017/" TargetMode="External"/><Relationship Id="rId1573" Type="http://schemas.openxmlformats.org/officeDocument/2006/relationships/image" Target="media/image105.JPG"/><Relationship Id="rId1780" Type="http://schemas.openxmlformats.org/officeDocument/2006/relationships/hyperlink" Target="https://wedocs.unep.org/bitstream/handle/20.500.11822/20569/AMCEN_15_EGM_7_Advance.pdf?sequence=1&amp;isAllowed=y" TargetMode="External"/><Relationship Id="rId1878" Type="http://schemas.openxmlformats.org/officeDocument/2006/relationships/hyperlink" Target="https://doi.org/10.1080/02673843.2012.657657" TargetMode="External"/><Relationship Id="rId72" Type="http://schemas.openxmlformats.org/officeDocument/2006/relationships/hyperlink" Target="https://doi.org/10.1016/j.landurbplan.2014.03.007" TargetMode="External"/><Relationship Id="rId803" Type="http://schemas.openxmlformats.org/officeDocument/2006/relationships/hyperlink" Target="http://www.fao.org/docrep/014/i2247e/i2247e00.pdf" TargetMode="External"/><Relationship Id="rId1226" Type="http://schemas.openxmlformats.org/officeDocument/2006/relationships/hyperlink" Target="https://whc.unesco.org/uploads/nominations/1231rev.pdf" TargetMode="External"/><Relationship Id="rId1433" Type="http://schemas.openxmlformats.org/officeDocument/2006/relationships/hyperlink" Target="https://www.intechopen.com/books/pesticides-in-the-modern-world-pesticides-use-and-management" TargetMode="External"/><Relationship Id="rId1640" Type="http://schemas.openxmlformats.org/officeDocument/2006/relationships/hyperlink" Target="http://www.fondationbiodiversite.fr/images/stories/telechargement/MODELO/02-rapportfrb-web3.pdf" TargetMode="External"/><Relationship Id="rId1738" Type="http://schemas.openxmlformats.org/officeDocument/2006/relationships/hyperlink" Target="http://databank.worldbank.org/data/download/site-content/wdi-2016-highlights-featuring-sdgs-booklet.pdf" TargetMode="External"/><Relationship Id="rId1500" Type="http://schemas.openxmlformats.org/officeDocument/2006/relationships/hyperlink" Target="http://web.unep.org/geo/" TargetMode="External"/><Relationship Id="rId1945" Type="http://schemas.openxmlformats.org/officeDocument/2006/relationships/hyperlink" Target="https://doi.org/10.1016/j.gloenvcha.2013.12.005" TargetMode="External"/><Relationship Id="rId1805" Type="http://schemas.openxmlformats.org/officeDocument/2006/relationships/hyperlink" Target="http://www.ecologyandsociety.org/vol12/iss1/art17/" TargetMode="External"/><Relationship Id="rId179" Type="http://schemas.openxmlformats.org/officeDocument/2006/relationships/hyperlink" Target="https://doi.org/10.1111/1365-2664.12417" TargetMode="External"/><Relationship Id="rId386" Type="http://schemas.openxmlformats.org/officeDocument/2006/relationships/hyperlink" Target="http://unesdoc.unesco.org/images/0024/002439/243938e.pdf" TargetMode="External"/><Relationship Id="rId593" Type="http://schemas.openxmlformats.org/officeDocument/2006/relationships/hyperlink" Target="https://doi.org/10.3917/seve.044.0051"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qz.com/424557/the-tripartite-free-trade-area-agreement-in-africa-is-bound-to-disappoint/" TargetMode="External"/><Relationship Id="rId7" Type="http://schemas.openxmlformats.org/officeDocument/2006/relationships/hyperlink" Target="https://www.cbd.int/doc/decisions/cop-13/cop-13-dec-31-en.pdf" TargetMode="External"/><Relationship Id="rId2" Type="http://schemas.openxmlformats.org/officeDocument/2006/relationships/hyperlink" Target="http://timep.org/commentary/tripartite-free-trade-area/" TargetMode="External"/><Relationship Id="rId1" Type="http://schemas.openxmlformats.org/officeDocument/2006/relationships/hyperlink" Target="http://www.worldometers.info/world-population/africa-population/" TargetMode="External"/><Relationship Id="rId6" Type="http://schemas.openxmlformats.org/officeDocument/2006/relationships/hyperlink" Target="https://www.ipbes.net/africa-ra-ch5-supplement-51" TargetMode="External"/><Relationship Id="rId5" Type="http://schemas.openxmlformats.org/officeDocument/2006/relationships/hyperlink" Target="https://sustainabledevelopment.un.org/sdgs" TargetMode="External"/><Relationship Id="rId4" Type="http://schemas.openxmlformats.org/officeDocument/2006/relationships/hyperlink" Target="https://www.cbd.int/sp/targe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93145753B523F4A8341B4F287D94C5D" ma:contentTypeVersion="8" ma:contentTypeDescription="Create a new document." ma:contentTypeScope="" ma:versionID="a5517e56a05a9de2277f3c1382fe9aae">
  <xsd:schema xmlns:xsd="http://www.w3.org/2001/XMLSchema" xmlns:xs="http://www.w3.org/2001/XMLSchema" xmlns:p="http://schemas.microsoft.com/office/2006/metadata/properties" xmlns:ns2="3c98c9ce-31e5-4a64-a655-42d13d8fa14b" xmlns:ns3="4e874372-ff28-4c18-a137-f1ec3c937b3c" targetNamespace="http://schemas.microsoft.com/office/2006/metadata/properties" ma:root="true" ma:fieldsID="cc9f902958acf22bebc71a3477d0276f" ns2:_="" ns3:_="">
    <xsd:import namespace="3c98c9ce-31e5-4a64-a655-42d13d8fa14b"/>
    <xsd:import namespace="4e874372-ff28-4c18-a137-f1ec3c937b3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98c9ce-31e5-4a64-a655-42d13d8fa14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e874372-ff28-4c18-a137-f1ec3c937b3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E0CC6-FD1E-4945-BC4C-287624FD79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c98c9ce-31e5-4a64-a655-42d13d8fa14b"/>
    <ds:schemaRef ds:uri="4e874372-ff28-4c18-a137-f1ec3c937b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D033A47-61CE-4A6F-933A-211FAC49D647}">
  <ds:schemaRefs>
    <ds:schemaRef ds:uri="http://schemas.microsoft.com/sharepoint/v3/contenttype/forms"/>
  </ds:schemaRefs>
</ds:datastoreItem>
</file>

<file path=customXml/itemProps3.xml><?xml version="1.0" encoding="utf-8"?>
<ds:datastoreItem xmlns:ds="http://schemas.openxmlformats.org/officeDocument/2006/customXml" ds:itemID="{7A176357-DD0B-4553-A085-EAA8CC945D4F}">
  <ds:schemaRefs>
    <ds:schemaRef ds:uri="http://www.w3.org/XML/1998/namespace"/>
    <ds:schemaRef ds:uri="http://schemas.microsoft.com/office/2006/documentManagement/types"/>
    <ds:schemaRef ds:uri="http://schemas.microsoft.com/office/2006/metadata/properties"/>
    <ds:schemaRef ds:uri="http://purl.org/dc/elements/1.1/"/>
    <ds:schemaRef ds:uri="http://purl.org/dc/terms/"/>
    <ds:schemaRef ds:uri="http://schemas.openxmlformats.org/package/2006/metadata/core-properties"/>
    <ds:schemaRef ds:uri="http://schemas.microsoft.com/office/infopath/2007/PartnerControls"/>
    <ds:schemaRef ds:uri="4e874372-ff28-4c18-a137-f1ec3c937b3c"/>
    <ds:schemaRef ds:uri="3c98c9ce-31e5-4a64-a655-42d13d8fa14b"/>
    <ds:schemaRef ds:uri="http://purl.org/dc/dcmitype/"/>
  </ds:schemaRefs>
</ds:datastoreItem>
</file>

<file path=customXml/itemProps4.xml><?xml version="1.0" encoding="utf-8"?>
<ds:datastoreItem xmlns:ds="http://schemas.openxmlformats.org/officeDocument/2006/customXml" ds:itemID="{7DEB8890-D1DA-4463-9313-CFD309158D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587</Pages>
  <Words>276033</Words>
  <Characters>1573389</Characters>
  <Application>Microsoft Office Word</Application>
  <DocSecurity>4</DocSecurity>
  <Lines>13111</Lines>
  <Paragraphs>3691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CSIR</Company>
  <LinksUpToDate>false</LinksUpToDate>
  <CharactersWithSpaces>1845731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Chimere</dc:creator>
  <cp:keywords/>
  <dc:description/>
  <cp:lastModifiedBy>Anastasia Brainich</cp:lastModifiedBy>
  <cp:revision>2</cp:revision>
  <cp:lastPrinted>2018-07-16T07:01:00Z</cp:lastPrinted>
  <dcterms:created xsi:type="dcterms:W3CDTF">2018-07-16T08:21:00Z</dcterms:created>
  <dcterms:modified xsi:type="dcterms:W3CDTF">2018-07-16T08:21:00Z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d2c4f778-6bdf-3592-bd9d-da532639811b</vt:lpwstr>
  </property>
  <property fmtid="{D5CDD505-2E9C-101B-9397-08002B2CF9AE}" pid="24" name="Mendeley Citation Style_1">
    <vt:lpwstr>http://www.zotero.org/styles/apa</vt:lpwstr>
  </property>
  <property fmtid="{D5CDD505-2E9C-101B-9397-08002B2CF9AE}" pid="25" name="ContentTypeId">
    <vt:lpwstr>0x010100A93145753B523F4A8341B4F287D94C5D</vt:lpwstr>
  </property>
</Properties>
</file>